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1.xml" ContentType="application/vnd.openxmlformats-officedocument.themeOverride+xml"/>
  <Override PartName="/word/charts/chart6.xml" ContentType="application/vnd.openxmlformats-officedocument.drawingml.chart+xml"/>
  <Override PartName="/word/theme/themeOverride2.xml" ContentType="application/vnd.openxmlformats-officedocument.themeOverride+xml"/>
  <Override PartName="/word/charts/chart7.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4E829A" w14:textId="77777777" w:rsidR="00FE07DA" w:rsidRPr="00FF386D" w:rsidRDefault="00FE07DA" w:rsidP="00FE07DA">
      <w:pPr>
        <w:jc w:val="center"/>
        <w:rPr>
          <w:rFonts w:ascii="Calibri Light" w:hAnsi="Calibri Light" w:cs="Calibri Light"/>
          <w:sz w:val="36"/>
          <w:szCs w:val="36"/>
        </w:rPr>
      </w:pPr>
      <w:bookmarkStart w:id="0" w:name="_Ref5085995"/>
      <w:bookmarkStart w:id="1" w:name="_Ref5085992"/>
      <w:bookmarkStart w:id="2" w:name="_Toc9794154"/>
      <w:bookmarkStart w:id="3" w:name="_Toc15039535"/>
    </w:p>
    <w:p w14:paraId="22F51A13" w14:textId="77777777" w:rsidR="00FE07DA" w:rsidRPr="00FF386D" w:rsidRDefault="00FE07DA" w:rsidP="00FE07DA">
      <w:pPr>
        <w:jc w:val="center"/>
        <w:rPr>
          <w:rFonts w:ascii="Calibri Light" w:hAnsi="Calibri Light" w:cs="Calibri Light"/>
          <w:sz w:val="36"/>
          <w:szCs w:val="36"/>
        </w:rPr>
      </w:pPr>
    </w:p>
    <w:p w14:paraId="2FF6135C" w14:textId="77777777" w:rsidR="00FE07DA" w:rsidRPr="00FF386D" w:rsidRDefault="00FE07DA" w:rsidP="00FE07DA">
      <w:pPr>
        <w:jc w:val="center"/>
        <w:rPr>
          <w:rFonts w:ascii="Calibri Light" w:hAnsi="Calibri Light" w:cs="Calibri Light"/>
          <w:sz w:val="36"/>
          <w:szCs w:val="36"/>
        </w:rPr>
      </w:pPr>
    </w:p>
    <w:p w14:paraId="0E517CB4" w14:textId="77777777" w:rsidR="00FE07DA" w:rsidRPr="00FF386D" w:rsidRDefault="00FE07DA" w:rsidP="00FE07DA">
      <w:pPr>
        <w:jc w:val="center"/>
        <w:rPr>
          <w:rFonts w:ascii="Calibri Light" w:hAnsi="Calibri Light" w:cs="Calibri Light"/>
          <w:sz w:val="36"/>
          <w:szCs w:val="36"/>
        </w:rPr>
      </w:pPr>
    </w:p>
    <w:p w14:paraId="6729B56B" w14:textId="77777777" w:rsidR="00FE07DA" w:rsidRPr="00FF386D" w:rsidRDefault="00FE07DA" w:rsidP="00FE07DA">
      <w:pPr>
        <w:jc w:val="center"/>
        <w:rPr>
          <w:rFonts w:ascii="Calibri Light" w:hAnsi="Calibri Light" w:cs="Calibri Light"/>
          <w:sz w:val="36"/>
          <w:szCs w:val="36"/>
        </w:rPr>
      </w:pPr>
    </w:p>
    <w:p w14:paraId="4621B445" w14:textId="77777777" w:rsidR="00FE07DA" w:rsidRPr="00FF386D" w:rsidRDefault="00FE07DA" w:rsidP="00FE07DA">
      <w:pPr>
        <w:jc w:val="center"/>
        <w:rPr>
          <w:rFonts w:ascii="Calibri Light" w:hAnsi="Calibri Light" w:cs="Calibri Light"/>
          <w:sz w:val="36"/>
          <w:szCs w:val="36"/>
        </w:rPr>
      </w:pPr>
    </w:p>
    <w:p w14:paraId="160D9236" w14:textId="1E64BEAB" w:rsidR="0044319F" w:rsidRPr="00FF386D" w:rsidRDefault="00C10A48" w:rsidP="0044319F">
      <w:pPr>
        <w:jc w:val="center"/>
        <w:rPr>
          <w:rFonts w:ascii="Calibri Light" w:hAnsi="Calibri Light" w:cs="Calibri Light"/>
          <w:b/>
          <w:bCs/>
          <w:sz w:val="52"/>
          <w:szCs w:val="52"/>
        </w:rPr>
      </w:pPr>
      <w:r w:rsidRPr="00FF386D">
        <w:rPr>
          <w:rFonts w:ascii="Calibri Light" w:hAnsi="Calibri Light" w:cs="Calibri Light"/>
          <w:b/>
          <w:bCs/>
          <w:sz w:val="52"/>
          <w:szCs w:val="52"/>
        </w:rPr>
        <w:t xml:space="preserve">Интегрисани национални </w:t>
      </w:r>
      <w:r w:rsidR="00826B84" w:rsidRPr="00FF386D">
        <w:rPr>
          <w:rFonts w:ascii="Calibri Light" w:hAnsi="Calibri Light" w:cs="Calibri Light"/>
          <w:b/>
          <w:bCs/>
          <w:sz w:val="52"/>
          <w:szCs w:val="52"/>
        </w:rPr>
        <w:t xml:space="preserve">енергетски </w:t>
      </w:r>
      <w:r w:rsidRPr="00FF386D">
        <w:rPr>
          <w:rFonts w:ascii="Calibri Light" w:hAnsi="Calibri Light" w:cs="Calibri Light"/>
          <w:b/>
          <w:bCs/>
          <w:sz w:val="52"/>
          <w:szCs w:val="52"/>
        </w:rPr>
        <w:t>и климатски план Републике Србије</w:t>
      </w:r>
    </w:p>
    <w:p w14:paraId="61111799" w14:textId="15EB64ED" w:rsidR="00402D75" w:rsidRPr="00FF386D" w:rsidRDefault="00402D75" w:rsidP="0044319F">
      <w:pPr>
        <w:jc w:val="center"/>
        <w:rPr>
          <w:rFonts w:ascii="Calibri Light" w:hAnsi="Calibri Light" w:cs="Calibri Light"/>
          <w:b/>
          <w:bCs/>
          <w:sz w:val="52"/>
          <w:szCs w:val="52"/>
        </w:rPr>
      </w:pPr>
      <w:r w:rsidRPr="00FF386D">
        <w:rPr>
          <w:rFonts w:ascii="Calibri Light" w:hAnsi="Calibri Light" w:cs="Calibri Light"/>
          <w:b/>
          <w:bCs/>
          <w:sz w:val="52"/>
          <w:szCs w:val="52"/>
        </w:rPr>
        <w:t xml:space="preserve">за период </w:t>
      </w:r>
      <w:r w:rsidR="00ED416E">
        <w:rPr>
          <w:rFonts w:ascii="Calibri Light" w:hAnsi="Calibri Light" w:cs="Calibri Light"/>
          <w:b/>
          <w:bCs/>
          <w:sz w:val="52"/>
          <w:szCs w:val="52"/>
        </w:rPr>
        <w:t xml:space="preserve">до </w:t>
      </w:r>
      <w:r w:rsidRPr="00FF386D">
        <w:rPr>
          <w:rFonts w:ascii="Calibri Light" w:hAnsi="Calibri Light" w:cs="Calibri Light"/>
          <w:b/>
          <w:bCs/>
          <w:sz w:val="52"/>
          <w:szCs w:val="52"/>
        </w:rPr>
        <w:t>2030. године</w:t>
      </w:r>
      <w:r w:rsidR="00ED416E">
        <w:rPr>
          <w:rFonts w:ascii="Calibri Light" w:hAnsi="Calibri Light" w:cs="Calibri Light"/>
          <w:b/>
          <w:bCs/>
          <w:sz w:val="52"/>
          <w:szCs w:val="52"/>
        </w:rPr>
        <w:t xml:space="preserve"> са визијом до 2050. године</w:t>
      </w:r>
    </w:p>
    <w:p w14:paraId="21AEDE9C" w14:textId="028B82D0" w:rsidR="00D83BF3" w:rsidRPr="00FF386D" w:rsidRDefault="0090689D" w:rsidP="00FE07DA">
      <w:pPr>
        <w:jc w:val="center"/>
        <w:rPr>
          <w:rFonts w:ascii="Calibri Light" w:hAnsi="Calibri Light" w:cs="Calibri Light"/>
          <w:b/>
          <w:bCs/>
          <w:sz w:val="44"/>
          <w:szCs w:val="44"/>
        </w:rPr>
      </w:pPr>
      <w:r>
        <w:rPr>
          <w:rFonts w:ascii="Calibri Light" w:hAnsi="Calibri Light" w:cs="Calibri Light"/>
          <w:b/>
          <w:bCs/>
          <w:sz w:val="44"/>
          <w:szCs w:val="44"/>
        </w:rPr>
        <w:t>Финална верзија</w:t>
      </w:r>
    </w:p>
    <w:p w14:paraId="4C9EDAF7" w14:textId="77777777" w:rsidR="00FE07DA" w:rsidRPr="00FF386D" w:rsidRDefault="00FE07DA" w:rsidP="00ED1DF8">
      <w:pPr>
        <w:ind w:left="720" w:right="313" w:hanging="360"/>
        <w:jc w:val="both"/>
      </w:pPr>
    </w:p>
    <w:p w14:paraId="05431CD6" w14:textId="77777777" w:rsidR="00D83BF3" w:rsidRPr="00FF386D" w:rsidRDefault="00D83BF3" w:rsidP="00ED1DF8">
      <w:pPr>
        <w:ind w:left="720" w:right="313" w:hanging="360"/>
        <w:jc w:val="both"/>
      </w:pPr>
    </w:p>
    <w:p w14:paraId="7AB5EED1" w14:textId="77777777" w:rsidR="00D83BF3" w:rsidRPr="00FF386D" w:rsidRDefault="00D83BF3" w:rsidP="00ED1DF8">
      <w:pPr>
        <w:ind w:left="720" w:right="313" w:hanging="360"/>
        <w:jc w:val="both"/>
      </w:pPr>
    </w:p>
    <w:p w14:paraId="3097C728" w14:textId="77777777" w:rsidR="00D83BF3" w:rsidRPr="00FF386D" w:rsidRDefault="00D83BF3" w:rsidP="00ED1DF8">
      <w:pPr>
        <w:ind w:left="720" w:right="313" w:hanging="360"/>
        <w:jc w:val="both"/>
      </w:pPr>
    </w:p>
    <w:p w14:paraId="49C00D7E" w14:textId="77777777" w:rsidR="00D83BF3" w:rsidRPr="00FF386D" w:rsidRDefault="00D83BF3" w:rsidP="00ED1DF8">
      <w:pPr>
        <w:ind w:left="720" w:right="313" w:hanging="360"/>
        <w:jc w:val="both"/>
      </w:pPr>
    </w:p>
    <w:p w14:paraId="67D26AF2" w14:textId="77777777" w:rsidR="00D83BF3" w:rsidRPr="00FF386D" w:rsidRDefault="00D83BF3" w:rsidP="00ED1DF8">
      <w:pPr>
        <w:ind w:left="720" w:right="313" w:hanging="360"/>
        <w:jc w:val="both"/>
      </w:pPr>
    </w:p>
    <w:p w14:paraId="0E5DAD65" w14:textId="77777777" w:rsidR="00D83BF3" w:rsidRPr="00FF386D" w:rsidRDefault="00D83BF3" w:rsidP="00ED1DF8">
      <w:pPr>
        <w:ind w:left="720" w:right="313" w:hanging="360"/>
        <w:jc w:val="both"/>
      </w:pPr>
    </w:p>
    <w:p w14:paraId="3AD1A940" w14:textId="77777777" w:rsidR="00D83BF3" w:rsidRPr="00FF386D" w:rsidRDefault="00D83BF3" w:rsidP="00ED1DF8">
      <w:pPr>
        <w:ind w:left="720" w:right="313" w:hanging="360"/>
        <w:jc w:val="both"/>
      </w:pPr>
    </w:p>
    <w:p w14:paraId="1856C083" w14:textId="77777777" w:rsidR="00D83BF3" w:rsidRPr="00FF386D" w:rsidRDefault="00D83BF3" w:rsidP="00ED1DF8">
      <w:pPr>
        <w:ind w:left="720" w:right="313" w:hanging="360"/>
        <w:jc w:val="both"/>
      </w:pPr>
    </w:p>
    <w:p w14:paraId="53242746" w14:textId="77777777" w:rsidR="00D83BF3" w:rsidRPr="00FF386D" w:rsidRDefault="00D83BF3" w:rsidP="00ED1DF8">
      <w:pPr>
        <w:ind w:left="720" w:right="313" w:hanging="360"/>
        <w:jc w:val="both"/>
      </w:pPr>
    </w:p>
    <w:p w14:paraId="2D037F6C" w14:textId="77777777" w:rsidR="00D83BF3" w:rsidRPr="00FF386D" w:rsidRDefault="00D83BF3" w:rsidP="00ED1DF8">
      <w:pPr>
        <w:ind w:left="720" w:right="313" w:hanging="360"/>
        <w:jc w:val="both"/>
      </w:pPr>
    </w:p>
    <w:p w14:paraId="7A3C27A6" w14:textId="77777777" w:rsidR="00D83BF3" w:rsidRPr="00FF386D" w:rsidRDefault="00D83BF3" w:rsidP="00ED1DF8">
      <w:pPr>
        <w:ind w:left="720" w:right="313" w:hanging="360"/>
        <w:jc w:val="both"/>
      </w:pPr>
    </w:p>
    <w:p w14:paraId="70CA0E34" w14:textId="77777777" w:rsidR="00D83BF3" w:rsidRPr="00FF386D" w:rsidRDefault="00D83BF3" w:rsidP="00062569">
      <w:pPr>
        <w:ind w:right="313"/>
        <w:jc w:val="both"/>
      </w:pPr>
    </w:p>
    <w:p w14:paraId="128FC752" w14:textId="3D260735" w:rsidR="00D83BF3" w:rsidRPr="00FF386D" w:rsidRDefault="00C10A48" w:rsidP="00D83BF3">
      <w:pPr>
        <w:ind w:left="720" w:right="313" w:hanging="360"/>
        <w:jc w:val="center"/>
        <w:rPr>
          <w:sz w:val="32"/>
          <w:szCs w:val="32"/>
        </w:rPr>
      </w:pPr>
      <w:r w:rsidRPr="00FF386D">
        <w:rPr>
          <w:sz w:val="32"/>
          <w:szCs w:val="32"/>
        </w:rPr>
        <w:t xml:space="preserve">Београд, </w:t>
      </w:r>
      <w:r w:rsidR="0090689D">
        <w:rPr>
          <w:sz w:val="32"/>
          <w:szCs w:val="32"/>
        </w:rPr>
        <w:t>децембар</w:t>
      </w:r>
      <w:r w:rsidRPr="00FF386D">
        <w:rPr>
          <w:sz w:val="32"/>
          <w:szCs w:val="32"/>
        </w:rPr>
        <w:t>, 202</w:t>
      </w:r>
      <w:r w:rsidR="00402D75" w:rsidRPr="00FF386D">
        <w:rPr>
          <w:sz w:val="32"/>
          <w:szCs w:val="32"/>
        </w:rPr>
        <w:t>3</w:t>
      </w:r>
      <w:r w:rsidRPr="00FF386D">
        <w:rPr>
          <w:sz w:val="32"/>
          <w:szCs w:val="32"/>
        </w:rPr>
        <w:t>. године</w:t>
      </w:r>
    </w:p>
    <w:bookmarkEnd w:id="0"/>
    <w:bookmarkEnd w:id="1"/>
    <w:bookmarkEnd w:id="2"/>
    <w:bookmarkEnd w:id="3"/>
    <w:p w14:paraId="30DE53F4" w14:textId="77777777" w:rsidR="00FE07DA" w:rsidRPr="00FF386D" w:rsidRDefault="00FE07DA">
      <w:pPr>
        <w:spacing w:line="259" w:lineRule="auto"/>
        <w:rPr>
          <w:rFonts w:ascii="Calibri Light" w:hAnsi="Calibri Light" w:cs="Calibri Light"/>
        </w:rPr>
      </w:pPr>
      <w:r w:rsidRPr="00FF386D">
        <w:rPr>
          <w:rFonts w:ascii="Calibri Light" w:hAnsi="Calibri Light" w:cs="Calibri Light"/>
        </w:rPr>
        <w:br w:type="page"/>
      </w:r>
    </w:p>
    <w:sdt>
      <w:sdtPr>
        <w:rPr>
          <w:rFonts w:asciiTheme="minorHAnsi" w:eastAsiaTheme="minorHAnsi" w:hAnsiTheme="minorHAnsi" w:cstheme="minorBidi"/>
          <w:color w:val="auto"/>
          <w:sz w:val="22"/>
          <w:szCs w:val="22"/>
          <w:lang w:val="sr-Cyrl-RS"/>
        </w:rPr>
        <w:id w:val="-42827571"/>
        <w:docPartObj>
          <w:docPartGallery w:val="Table of Contents"/>
          <w:docPartUnique/>
        </w:docPartObj>
      </w:sdtPr>
      <w:sdtEndPr>
        <w:rPr>
          <w:b/>
          <w:bCs/>
        </w:rPr>
      </w:sdtEndPr>
      <w:sdtContent>
        <w:sdt>
          <w:sdtPr>
            <w:rPr>
              <w:rFonts w:asciiTheme="minorHAnsi" w:eastAsiaTheme="minorHAnsi" w:hAnsiTheme="minorHAnsi" w:cstheme="minorBidi"/>
              <w:color w:val="auto"/>
              <w:sz w:val="22"/>
              <w:szCs w:val="22"/>
              <w:lang w:val="sr-Cyrl-RS"/>
            </w:rPr>
            <w:id w:val="-1850247050"/>
            <w:docPartObj>
              <w:docPartGallery w:val="Table of Contents"/>
              <w:docPartUnique/>
            </w:docPartObj>
          </w:sdtPr>
          <w:sdtContent>
            <w:sdt>
              <w:sdtPr>
                <w:rPr>
                  <w:rFonts w:asciiTheme="minorHAnsi" w:eastAsiaTheme="minorHAnsi" w:hAnsiTheme="minorHAnsi" w:cstheme="minorBidi"/>
                  <w:color w:val="auto"/>
                  <w:sz w:val="22"/>
                  <w:szCs w:val="22"/>
                  <w:lang w:val="sr-Cyrl-RS"/>
                </w:rPr>
                <w:id w:val="-590629368"/>
                <w:docPartObj>
                  <w:docPartGallery w:val="Table of Contents"/>
                  <w:docPartUnique/>
                </w:docPartObj>
              </w:sdtPr>
              <w:sdtContent>
                <w:sdt>
                  <w:sdtPr>
                    <w:rPr>
                      <w:rFonts w:asciiTheme="minorHAnsi" w:eastAsiaTheme="minorHAnsi" w:hAnsiTheme="minorHAnsi" w:cstheme="minorBidi"/>
                      <w:color w:val="auto"/>
                      <w:sz w:val="22"/>
                      <w:szCs w:val="22"/>
                      <w:lang w:val="sr-Cyrl-RS"/>
                    </w:rPr>
                    <w:id w:val="1217854146"/>
                    <w:docPartObj>
                      <w:docPartGallery w:val="Table of Contents"/>
                      <w:docPartUnique/>
                    </w:docPartObj>
                  </w:sdtPr>
                  <w:sdtContent>
                    <w:p w14:paraId="3586A490" w14:textId="6F6A0CB2" w:rsidR="003D1E9A" w:rsidRPr="00FF386D" w:rsidRDefault="00867DF2">
                      <w:pPr>
                        <w:pStyle w:val="TOCHeading"/>
                        <w:rPr>
                          <w:lang w:val="sr-Cyrl-RS"/>
                        </w:rPr>
                      </w:pPr>
                      <w:r w:rsidRPr="00FF386D">
                        <w:rPr>
                          <w:lang w:val="sr-Cyrl-RS"/>
                        </w:rPr>
                        <w:t>Садржај</w:t>
                      </w:r>
                    </w:p>
                    <w:p w14:paraId="0963E7C8" w14:textId="77777777" w:rsidR="001E64A3" w:rsidRPr="00FF386D" w:rsidRDefault="00000000" w:rsidP="00642AA5">
                      <w:pPr>
                        <w:pStyle w:val="TOC1"/>
                      </w:pPr>
                    </w:p>
                  </w:sdtContent>
                </w:sdt>
              </w:sdtContent>
            </w:sdt>
          </w:sdtContent>
        </w:sdt>
        <w:p w14:paraId="76C83975" w14:textId="7AB3CBC4" w:rsidR="00566668" w:rsidRDefault="00ED299B">
          <w:pPr>
            <w:pStyle w:val="TOC1"/>
            <w:rPr>
              <w:rFonts w:eastAsiaTheme="minorEastAsia"/>
              <w:noProof/>
              <w:kern w:val="2"/>
              <w:lang w:val="en-US"/>
              <w14:ligatures w14:val="standardContextual"/>
            </w:rPr>
          </w:pPr>
          <w:r w:rsidRPr="00FF386D">
            <w:fldChar w:fldCharType="begin"/>
          </w:r>
          <w:r w:rsidR="001E64A3" w:rsidRPr="00FF386D">
            <w:instrText xml:space="preserve"> TOC \o "1-2" \h \z \u </w:instrText>
          </w:r>
          <w:r w:rsidRPr="00FF386D">
            <w:fldChar w:fldCharType="separate"/>
          </w:r>
          <w:hyperlink w:anchor="_Toc153901524" w:history="1">
            <w:r w:rsidR="00566668" w:rsidRPr="00EB3118">
              <w:rPr>
                <w:rStyle w:val="Hyperlink"/>
                <w:noProof/>
              </w:rPr>
              <w:t>СКРАЋЕНИЦЕ И АКРОНИМИ</w:t>
            </w:r>
            <w:r w:rsidR="00566668">
              <w:rPr>
                <w:noProof/>
                <w:webHidden/>
              </w:rPr>
              <w:tab/>
            </w:r>
            <w:r w:rsidR="00566668">
              <w:rPr>
                <w:noProof/>
                <w:webHidden/>
              </w:rPr>
              <w:fldChar w:fldCharType="begin"/>
            </w:r>
            <w:r w:rsidR="00566668">
              <w:rPr>
                <w:noProof/>
                <w:webHidden/>
              </w:rPr>
              <w:instrText xml:space="preserve"> PAGEREF _Toc153901524 \h </w:instrText>
            </w:r>
            <w:r w:rsidR="00566668">
              <w:rPr>
                <w:noProof/>
                <w:webHidden/>
              </w:rPr>
            </w:r>
            <w:r w:rsidR="00566668">
              <w:rPr>
                <w:noProof/>
                <w:webHidden/>
              </w:rPr>
              <w:fldChar w:fldCharType="separate"/>
            </w:r>
            <w:r w:rsidR="00565B02">
              <w:rPr>
                <w:noProof/>
                <w:webHidden/>
              </w:rPr>
              <w:t>4</w:t>
            </w:r>
            <w:r w:rsidR="00566668">
              <w:rPr>
                <w:noProof/>
                <w:webHidden/>
              </w:rPr>
              <w:fldChar w:fldCharType="end"/>
            </w:r>
          </w:hyperlink>
        </w:p>
        <w:p w14:paraId="7A513C94" w14:textId="69DD740E" w:rsidR="00566668" w:rsidRDefault="00566668">
          <w:pPr>
            <w:pStyle w:val="TOC1"/>
            <w:rPr>
              <w:rFonts w:eastAsiaTheme="minorEastAsia"/>
              <w:noProof/>
              <w:kern w:val="2"/>
              <w:lang w:val="en-US"/>
              <w14:ligatures w14:val="standardContextual"/>
            </w:rPr>
          </w:pPr>
          <w:hyperlink w:anchor="_Toc153901525" w:history="1">
            <w:r w:rsidRPr="00EB3118">
              <w:rPr>
                <w:rStyle w:val="Hyperlink"/>
                <w:noProof/>
              </w:rPr>
              <w:t>СПИСАК ГРАФИЧКИХ ПРИКАЗА</w:t>
            </w:r>
            <w:r>
              <w:rPr>
                <w:noProof/>
                <w:webHidden/>
              </w:rPr>
              <w:tab/>
            </w:r>
            <w:r>
              <w:rPr>
                <w:noProof/>
                <w:webHidden/>
              </w:rPr>
              <w:fldChar w:fldCharType="begin"/>
            </w:r>
            <w:r>
              <w:rPr>
                <w:noProof/>
                <w:webHidden/>
              </w:rPr>
              <w:instrText xml:space="preserve"> PAGEREF _Toc153901525 \h </w:instrText>
            </w:r>
            <w:r>
              <w:rPr>
                <w:noProof/>
                <w:webHidden/>
              </w:rPr>
            </w:r>
            <w:r>
              <w:rPr>
                <w:noProof/>
                <w:webHidden/>
              </w:rPr>
              <w:fldChar w:fldCharType="separate"/>
            </w:r>
            <w:r w:rsidR="00565B02">
              <w:rPr>
                <w:noProof/>
                <w:webHidden/>
              </w:rPr>
              <w:t>7</w:t>
            </w:r>
            <w:r>
              <w:rPr>
                <w:noProof/>
                <w:webHidden/>
              </w:rPr>
              <w:fldChar w:fldCharType="end"/>
            </w:r>
          </w:hyperlink>
        </w:p>
        <w:p w14:paraId="198DFC5E" w14:textId="352E5A95" w:rsidR="00566668" w:rsidRDefault="00566668">
          <w:pPr>
            <w:pStyle w:val="TOC1"/>
            <w:rPr>
              <w:rFonts w:eastAsiaTheme="minorEastAsia"/>
              <w:noProof/>
              <w:kern w:val="2"/>
              <w:lang w:val="en-US"/>
              <w14:ligatures w14:val="standardContextual"/>
            </w:rPr>
          </w:pPr>
          <w:hyperlink w:anchor="_Toc153901526" w:history="1">
            <w:r w:rsidRPr="00EB3118">
              <w:rPr>
                <w:rStyle w:val="Hyperlink"/>
                <w:noProof/>
              </w:rPr>
              <w:t>СПИСАК ТАБЕЛА</w:t>
            </w:r>
            <w:r>
              <w:rPr>
                <w:noProof/>
                <w:webHidden/>
              </w:rPr>
              <w:tab/>
            </w:r>
            <w:r>
              <w:rPr>
                <w:noProof/>
                <w:webHidden/>
              </w:rPr>
              <w:fldChar w:fldCharType="begin"/>
            </w:r>
            <w:r>
              <w:rPr>
                <w:noProof/>
                <w:webHidden/>
              </w:rPr>
              <w:instrText xml:space="preserve"> PAGEREF _Toc153901526 \h </w:instrText>
            </w:r>
            <w:r>
              <w:rPr>
                <w:noProof/>
                <w:webHidden/>
              </w:rPr>
            </w:r>
            <w:r>
              <w:rPr>
                <w:noProof/>
                <w:webHidden/>
              </w:rPr>
              <w:fldChar w:fldCharType="separate"/>
            </w:r>
            <w:r w:rsidR="00565B02">
              <w:rPr>
                <w:noProof/>
                <w:webHidden/>
              </w:rPr>
              <w:t>12</w:t>
            </w:r>
            <w:r>
              <w:rPr>
                <w:noProof/>
                <w:webHidden/>
              </w:rPr>
              <w:fldChar w:fldCharType="end"/>
            </w:r>
          </w:hyperlink>
        </w:p>
        <w:p w14:paraId="77176CB3" w14:textId="425CADFD" w:rsidR="00566668" w:rsidRDefault="00566668">
          <w:pPr>
            <w:pStyle w:val="TOC1"/>
            <w:tabs>
              <w:tab w:val="left" w:pos="440"/>
            </w:tabs>
            <w:rPr>
              <w:rFonts w:eastAsiaTheme="minorEastAsia"/>
              <w:noProof/>
              <w:kern w:val="2"/>
              <w:lang w:val="en-US"/>
              <w14:ligatures w14:val="standardContextual"/>
            </w:rPr>
          </w:pPr>
          <w:hyperlink w:anchor="_Toc153901527" w:history="1">
            <w:r w:rsidRPr="00EB3118">
              <w:rPr>
                <w:rStyle w:val="Hyperlink"/>
                <w:noProof/>
              </w:rPr>
              <w:t>1</w:t>
            </w:r>
            <w:r>
              <w:rPr>
                <w:rFonts w:eastAsiaTheme="minorEastAsia"/>
                <w:noProof/>
                <w:kern w:val="2"/>
                <w:lang w:val="en-US"/>
                <w14:ligatures w14:val="standardContextual"/>
              </w:rPr>
              <w:tab/>
            </w:r>
            <w:r w:rsidRPr="00EB3118">
              <w:rPr>
                <w:rStyle w:val="Hyperlink"/>
                <w:noProof/>
              </w:rPr>
              <w:t>ПРЕГЛЕД И ПОСТУПАК ДОНОШЕЊА ПЛАНА</w:t>
            </w:r>
            <w:r>
              <w:rPr>
                <w:noProof/>
                <w:webHidden/>
              </w:rPr>
              <w:tab/>
            </w:r>
            <w:r>
              <w:rPr>
                <w:noProof/>
                <w:webHidden/>
              </w:rPr>
              <w:fldChar w:fldCharType="begin"/>
            </w:r>
            <w:r>
              <w:rPr>
                <w:noProof/>
                <w:webHidden/>
              </w:rPr>
              <w:instrText xml:space="preserve"> PAGEREF _Toc153901527 \h </w:instrText>
            </w:r>
            <w:r>
              <w:rPr>
                <w:noProof/>
                <w:webHidden/>
              </w:rPr>
            </w:r>
            <w:r>
              <w:rPr>
                <w:noProof/>
                <w:webHidden/>
              </w:rPr>
              <w:fldChar w:fldCharType="separate"/>
            </w:r>
            <w:r w:rsidR="00565B02">
              <w:rPr>
                <w:noProof/>
                <w:webHidden/>
              </w:rPr>
              <w:t>15</w:t>
            </w:r>
            <w:r>
              <w:rPr>
                <w:noProof/>
                <w:webHidden/>
              </w:rPr>
              <w:fldChar w:fldCharType="end"/>
            </w:r>
          </w:hyperlink>
        </w:p>
        <w:p w14:paraId="58B204F7" w14:textId="79B50C1F" w:rsidR="00566668" w:rsidRDefault="00566668">
          <w:pPr>
            <w:pStyle w:val="TOC2"/>
            <w:rPr>
              <w:rFonts w:eastAsiaTheme="minorEastAsia"/>
              <w:noProof/>
              <w:kern w:val="2"/>
              <w:lang w:val="en-US"/>
              <w14:ligatures w14:val="standardContextual"/>
            </w:rPr>
          </w:pPr>
          <w:hyperlink w:anchor="_Toc153901528" w:history="1">
            <w:r w:rsidRPr="00EB3118">
              <w:rPr>
                <w:rStyle w:val="Hyperlink"/>
                <w:noProof/>
              </w:rPr>
              <w:t>1.1</w:t>
            </w:r>
            <w:r>
              <w:rPr>
                <w:rFonts w:eastAsiaTheme="minorEastAsia"/>
                <w:noProof/>
                <w:kern w:val="2"/>
                <w:lang w:val="en-US"/>
                <w14:ligatures w14:val="standardContextual"/>
              </w:rPr>
              <w:tab/>
            </w:r>
            <w:r w:rsidRPr="00EB3118">
              <w:rPr>
                <w:rStyle w:val="Hyperlink"/>
                <w:noProof/>
              </w:rPr>
              <w:t>Кратак преглед (приказ/подручје примена плана)</w:t>
            </w:r>
            <w:r>
              <w:rPr>
                <w:noProof/>
                <w:webHidden/>
              </w:rPr>
              <w:tab/>
            </w:r>
            <w:r>
              <w:rPr>
                <w:noProof/>
                <w:webHidden/>
              </w:rPr>
              <w:fldChar w:fldCharType="begin"/>
            </w:r>
            <w:r>
              <w:rPr>
                <w:noProof/>
                <w:webHidden/>
              </w:rPr>
              <w:instrText xml:space="preserve"> PAGEREF _Toc153901528 \h </w:instrText>
            </w:r>
            <w:r>
              <w:rPr>
                <w:noProof/>
                <w:webHidden/>
              </w:rPr>
            </w:r>
            <w:r>
              <w:rPr>
                <w:noProof/>
                <w:webHidden/>
              </w:rPr>
              <w:fldChar w:fldCharType="separate"/>
            </w:r>
            <w:r w:rsidR="00565B02">
              <w:rPr>
                <w:noProof/>
                <w:webHidden/>
              </w:rPr>
              <w:t>15</w:t>
            </w:r>
            <w:r>
              <w:rPr>
                <w:noProof/>
                <w:webHidden/>
              </w:rPr>
              <w:fldChar w:fldCharType="end"/>
            </w:r>
          </w:hyperlink>
        </w:p>
        <w:p w14:paraId="40754DF9" w14:textId="40344D4B" w:rsidR="00566668" w:rsidRDefault="00566668">
          <w:pPr>
            <w:pStyle w:val="TOC2"/>
            <w:rPr>
              <w:rFonts w:eastAsiaTheme="minorEastAsia"/>
              <w:noProof/>
              <w:kern w:val="2"/>
              <w:lang w:val="en-US"/>
              <w14:ligatures w14:val="standardContextual"/>
            </w:rPr>
          </w:pPr>
          <w:hyperlink w:anchor="_Toc153901529" w:history="1">
            <w:r w:rsidRPr="00EB3118">
              <w:rPr>
                <w:rStyle w:val="Hyperlink"/>
                <w:noProof/>
              </w:rPr>
              <w:t>1.2.</w:t>
            </w:r>
            <w:r>
              <w:rPr>
                <w:rFonts w:eastAsiaTheme="minorEastAsia"/>
                <w:noProof/>
                <w:kern w:val="2"/>
                <w:lang w:val="en-US"/>
                <w14:ligatures w14:val="standardContextual"/>
              </w:rPr>
              <w:tab/>
            </w:r>
            <w:r w:rsidRPr="00EB3118">
              <w:rPr>
                <w:rStyle w:val="Hyperlink"/>
                <w:noProof/>
              </w:rPr>
              <w:t>Преглед постојећег регулаторног оквира</w:t>
            </w:r>
            <w:r>
              <w:rPr>
                <w:noProof/>
                <w:webHidden/>
              </w:rPr>
              <w:tab/>
            </w:r>
            <w:r>
              <w:rPr>
                <w:noProof/>
                <w:webHidden/>
              </w:rPr>
              <w:fldChar w:fldCharType="begin"/>
            </w:r>
            <w:r>
              <w:rPr>
                <w:noProof/>
                <w:webHidden/>
              </w:rPr>
              <w:instrText xml:space="preserve"> PAGEREF _Toc153901529 \h </w:instrText>
            </w:r>
            <w:r>
              <w:rPr>
                <w:noProof/>
                <w:webHidden/>
              </w:rPr>
            </w:r>
            <w:r>
              <w:rPr>
                <w:noProof/>
                <w:webHidden/>
              </w:rPr>
              <w:fldChar w:fldCharType="separate"/>
            </w:r>
            <w:r w:rsidR="00565B02">
              <w:rPr>
                <w:noProof/>
                <w:webHidden/>
              </w:rPr>
              <w:t>20</w:t>
            </w:r>
            <w:r>
              <w:rPr>
                <w:noProof/>
                <w:webHidden/>
              </w:rPr>
              <w:fldChar w:fldCharType="end"/>
            </w:r>
          </w:hyperlink>
        </w:p>
        <w:p w14:paraId="6F3D25EA" w14:textId="3FE96A3E" w:rsidR="00566668" w:rsidRDefault="00566668">
          <w:pPr>
            <w:pStyle w:val="TOC2"/>
            <w:rPr>
              <w:rFonts w:eastAsiaTheme="minorEastAsia"/>
              <w:noProof/>
              <w:kern w:val="2"/>
              <w:lang w:val="en-US"/>
              <w14:ligatures w14:val="standardContextual"/>
            </w:rPr>
          </w:pPr>
          <w:hyperlink w:anchor="_Toc153901530" w:history="1">
            <w:r w:rsidRPr="00EB3118">
              <w:rPr>
                <w:rStyle w:val="Hyperlink"/>
                <w:noProof/>
              </w:rPr>
              <w:t>1.3</w:t>
            </w:r>
            <w:r>
              <w:rPr>
                <w:rFonts w:eastAsiaTheme="minorEastAsia"/>
                <w:noProof/>
                <w:kern w:val="2"/>
                <w:lang w:val="en-US"/>
                <w14:ligatures w14:val="standardContextual"/>
              </w:rPr>
              <w:tab/>
            </w:r>
            <w:r w:rsidRPr="00EB3118">
              <w:rPr>
                <w:rStyle w:val="Hyperlink"/>
                <w:noProof/>
              </w:rPr>
              <w:t>Консултације са националним телима и телима Уније, њихово учешће и резултати</w:t>
            </w:r>
            <w:r>
              <w:rPr>
                <w:noProof/>
                <w:webHidden/>
              </w:rPr>
              <w:tab/>
            </w:r>
            <w:r>
              <w:rPr>
                <w:noProof/>
                <w:webHidden/>
              </w:rPr>
              <w:fldChar w:fldCharType="begin"/>
            </w:r>
            <w:r>
              <w:rPr>
                <w:noProof/>
                <w:webHidden/>
              </w:rPr>
              <w:instrText xml:space="preserve"> PAGEREF _Toc153901530 \h </w:instrText>
            </w:r>
            <w:r>
              <w:rPr>
                <w:noProof/>
                <w:webHidden/>
              </w:rPr>
            </w:r>
            <w:r>
              <w:rPr>
                <w:noProof/>
                <w:webHidden/>
              </w:rPr>
              <w:fldChar w:fldCharType="separate"/>
            </w:r>
            <w:r w:rsidR="00565B02">
              <w:rPr>
                <w:noProof/>
                <w:webHidden/>
              </w:rPr>
              <w:t>42</w:t>
            </w:r>
            <w:r>
              <w:rPr>
                <w:noProof/>
                <w:webHidden/>
              </w:rPr>
              <w:fldChar w:fldCharType="end"/>
            </w:r>
          </w:hyperlink>
        </w:p>
        <w:p w14:paraId="17E487C2" w14:textId="02A1DDC8" w:rsidR="00566668" w:rsidRDefault="00566668">
          <w:pPr>
            <w:pStyle w:val="TOC2"/>
            <w:rPr>
              <w:rFonts w:eastAsiaTheme="minorEastAsia"/>
              <w:noProof/>
              <w:kern w:val="2"/>
              <w:lang w:val="en-US"/>
              <w14:ligatures w14:val="standardContextual"/>
            </w:rPr>
          </w:pPr>
          <w:hyperlink w:anchor="_Toc153901531" w:history="1">
            <w:r w:rsidRPr="00EB3118">
              <w:rPr>
                <w:rStyle w:val="Hyperlink"/>
                <w:noProof/>
              </w:rPr>
              <w:t>1.4</w:t>
            </w:r>
            <w:r>
              <w:rPr>
                <w:rFonts w:eastAsiaTheme="minorEastAsia"/>
                <w:noProof/>
                <w:kern w:val="2"/>
                <w:lang w:val="en-US"/>
                <w14:ligatures w14:val="standardContextual"/>
              </w:rPr>
              <w:tab/>
            </w:r>
            <w:r w:rsidRPr="00EB3118">
              <w:rPr>
                <w:rStyle w:val="Hyperlink"/>
                <w:noProof/>
              </w:rPr>
              <w:t>Регионална сарадња на изради плана</w:t>
            </w:r>
            <w:r>
              <w:rPr>
                <w:noProof/>
                <w:webHidden/>
              </w:rPr>
              <w:tab/>
            </w:r>
            <w:r>
              <w:rPr>
                <w:noProof/>
                <w:webHidden/>
              </w:rPr>
              <w:fldChar w:fldCharType="begin"/>
            </w:r>
            <w:r>
              <w:rPr>
                <w:noProof/>
                <w:webHidden/>
              </w:rPr>
              <w:instrText xml:space="preserve"> PAGEREF _Toc153901531 \h </w:instrText>
            </w:r>
            <w:r>
              <w:rPr>
                <w:noProof/>
                <w:webHidden/>
              </w:rPr>
            </w:r>
            <w:r>
              <w:rPr>
                <w:noProof/>
                <w:webHidden/>
              </w:rPr>
              <w:fldChar w:fldCharType="separate"/>
            </w:r>
            <w:r w:rsidR="00565B02">
              <w:rPr>
                <w:noProof/>
                <w:webHidden/>
              </w:rPr>
              <w:t>46</w:t>
            </w:r>
            <w:r>
              <w:rPr>
                <w:noProof/>
                <w:webHidden/>
              </w:rPr>
              <w:fldChar w:fldCharType="end"/>
            </w:r>
          </w:hyperlink>
        </w:p>
        <w:p w14:paraId="3538D9CB" w14:textId="1A1DCE56" w:rsidR="00566668" w:rsidRDefault="00566668">
          <w:pPr>
            <w:pStyle w:val="TOC1"/>
            <w:tabs>
              <w:tab w:val="left" w:pos="440"/>
            </w:tabs>
            <w:rPr>
              <w:rFonts w:eastAsiaTheme="minorEastAsia"/>
              <w:noProof/>
              <w:kern w:val="2"/>
              <w:lang w:val="en-US"/>
              <w14:ligatures w14:val="standardContextual"/>
            </w:rPr>
          </w:pPr>
          <w:hyperlink w:anchor="_Toc153901532" w:history="1">
            <w:r w:rsidRPr="00EB3118">
              <w:rPr>
                <w:rStyle w:val="Hyperlink"/>
                <w:noProof/>
              </w:rPr>
              <w:t>2</w:t>
            </w:r>
            <w:r>
              <w:rPr>
                <w:rFonts w:eastAsiaTheme="minorEastAsia"/>
                <w:noProof/>
                <w:kern w:val="2"/>
                <w:lang w:val="en-US"/>
                <w14:ligatures w14:val="standardContextual"/>
              </w:rPr>
              <w:tab/>
            </w:r>
            <w:r w:rsidRPr="00EB3118">
              <w:rPr>
                <w:rStyle w:val="Hyperlink"/>
                <w:noProof/>
              </w:rPr>
              <w:t>НАЦИОНАЛНИ ЦИЉЕВИ</w:t>
            </w:r>
            <w:r>
              <w:rPr>
                <w:noProof/>
                <w:webHidden/>
              </w:rPr>
              <w:tab/>
            </w:r>
            <w:r>
              <w:rPr>
                <w:noProof/>
                <w:webHidden/>
              </w:rPr>
              <w:fldChar w:fldCharType="begin"/>
            </w:r>
            <w:r>
              <w:rPr>
                <w:noProof/>
                <w:webHidden/>
              </w:rPr>
              <w:instrText xml:space="preserve"> PAGEREF _Toc153901532 \h </w:instrText>
            </w:r>
            <w:r>
              <w:rPr>
                <w:noProof/>
                <w:webHidden/>
              </w:rPr>
            </w:r>
            <w:r>
              <w:rPr>
                <w:noProof/>
                <w:webHidden/>
              </w:rPr>
              <w:fldChar w:fldCharType="separate"/>
            </w:r>
            <w:r w:rsidR="00565B02">
              <w:rPr>
                <w:noProof/>
                <w:webHidden/>
              </w:rPr>
              <w:t>47</w:t>
            </w:r>
            <w:r>
              <w:rPr>
                <w:noProof/>
                <w:webHidden/>
              </w:rPr>
              <w:fldChar w:fldCharType="end"/>
            </w:r>
          </w:hyperlink>
        </w:p>
        <w:p w14:paraId="6108230D" w14:textId="7D06FD76" w:rsidR="00566668" w:rsidRDefault="00566668">
          <w:pPr>
            <w:pStyle w:val="TOC2"/>
            <w:rPr>
              <w:rFonts w:eastAsiaTheme="minorEastAsia"/>
              <w:noProof/>
              <w:kern w:val="2"/>
              <w:lang w:val="en-US"/>
              <w14:ligatures w14:val="standardContextual"/>
            </w:rPr>
          </w:pPr>
          <w:hyperlink w:anchor="_Toc153901533" w:history="1">
            <w:r w:rsidRPr="00EB3118">
              <w:rPr>
                <w:rStyle w:val="Hyperlink"/>
                <w:noProof/>
              </w:rPr>
              <w:t>2.1</w:t>
            </w:r>
            <w:r>
              <w:rPr>
                <w:rFonts w:eastAsiaTheme="minorEastAsia"/>
                <w:noProof/>
                <w:kern w:val="2"/>
                <w:lang w:val="en-US"/>
                <w14:ligatures w14:val="standardContextual"/>
              </w:rPr>
              <w:tab/>
            </w:r>
            <w:r w:rsidRPr="00EB3118">
              <w:rPr>
                <w:rStyle w:val="Hyperlink"/>
                <w:noProof/>
              </w:rPr>
              <w:t>Климатске промене, емисије и смањење гасова са ефектом стаклене баште (</w:t>
            </w:r>
            <w:r w:rsidRPr="00EB3118">
              <w:rPr>
                <w:rStyle w:val="Hyperlink"/>
                <w:i/>
                <w:iCs/>
                <w:noProof/>
              </w:rPr>
              <w:t>GHG</w:t>
            </w:r>
            <w:r w:rsidRPr="00EB3118">
              <w:rPr>
                <w:rStyle w:val="Hyperlink"/>
                <w:noProof/>
              </w:rPr>
              <w:t>)</w:t>
            </w:r>
            <w:r>
              <w:rPr>
                <w:noProof/>
                <w:webHidden/>
              </w:rPr>
              <w:tab/>
            </w:r>
            <w:r>
              <w:rPr>
                <w:noProof/>
                <w:webHidden/>
              </w:rPr>
              <w:fldChar w:fldCharType="begin"/>
            </w:r>
            <w:r>
              <w:rPr>
                <w:noProof/>
                <w:webHidden/>
              </w:rPr>
              <w:instrText xml:space="preserve"> PAGEREF _Toc153901533 \h </w:instrText>
            </w:r>
            <w:r>
              <w:rPr>
                <w:noProof/>
                <w:webHidden/>
              </w:rPr>
            </w:r>
            <w:r>
              <w:rPr>
                <w:noProof/>
                <w:webHidden/>
              </w:rPr>
              <w:fldChar w:fldCharType="separate"/>
            </w:r>
            <w:r w:rsidR="00565B02">
              <w:rPr>
                <w:noProof/>
                <w:webHidden/>
              </w:rPr>
              <w:t>48</w:t>
            </w:r>
            <w:r>
              <w:rPr>
                <w:noProof/>
                <w:webHidden/>
              </w:rPr>
              <w:fldChar w:fldCharType="end"/>
            </w:r>
          </w:hyperlink>
        </w:p>
        <w:p w14:paraId="10358F8E" w14:textId="26B5F4E1" w:rsidR="00566668" w:rsidRDefault="00566668">
          <w:pPr>
            <w:pStyle w:val="TOC2"/>
            <w:rPr>
              <w:rFonts w:eastAsiaTheme="minorEastAsia"/>
              <w:noProof/>
              <w:kern w:val="2"/>
              <w:lang w:val="en-US"/>
              <w14:ligatures w14:val="standardContextual"/>
            </w:rPr>
          </w:pPr>
          <w:hyperlink w:anchor="_Toc153901534" w:history="1">
            <w:r w:rsidRPr="00EB3118">
              <w:rPr>
                <w:rStyle w:val="Hyperlink"/>
                <w:noProof/>
              </w:rPr>
              <w:t>2.2</w:t>
            </w:r>
            <w:r>
              <w:rPr>
                <w:rFonts w:eastAsiaTheme="minorEastAsia"/>
                <w:noProof/>
                <w:kern w:val="2"/>
                <w:lang w:val="en-US"/>
                <w14:ligatures w14:val="standardContextual"/>
              </w:rPr>
              <w:tab/>
            </w:r>
            <w:r w:rsidRPr="00EB3118">
              <w:rPr>
                <w:rStyle w:val="Hyperlink"/>
                <w:noProof/>
              </w:rPr>
              <w:t>Обновљиви извори енергије</w:t>
            </w:r>
            <w:r>
              <w:rPr>
                <w:noProof/>
                <w:webHidden/>
              </w:rPr>
              <w:tab/>
            </w:r>
            <w:r>
              <w:rPr>
                <w:noProof/>
                <w:webHidden/>
              </w:rPr>
              <w:fldChar w:fldCharType="begin"/>
            </w:r>
            <w:r>
              <w:rPr>
                <w:noProof/>
                <w:webHidden/>
              </w:rPr>
              <w:instrText xml:space="preserve"> PAGEREF _Toc153901534 \h </w:instrText>
            </w:r>
            <w:r>
              <w:rPr>
                <w:noProof/>
                <w:webHidden/>
              </w:rPr>
            </w:r>
            <w:r>
              <w:rPr>
                <w:noProof/>
                <w:webHidden/>
              </w:rPr>
              <w:fldChar w:fldCharType="separate"/>
            </w:r>
            <w:r w:rsidR="00565B02">
              <w:rPr>
                <w:noProof/>
                <w:webHidden/>
              </w:rPr>
              <w:t>49</w:t>
            </w:r>
            <w:r>
              <w:rPr>
                <w:noProof/>
                <w:webHidden/>
              </w:rPr>
              <w:fldChar w:fldCharType="end"/>
            </w:r>
          </w:hyperlink>
        </w:p>
        <w:p w14:paraId="71D0E84A" w14:textId="23CFE358" w:rsidR="00566668" w:rsidRDefault="00566668">
          <w:pPr>
            <w:pStyle w:val="TOC2"/>
            <w:rPr>
              <w:rFonts w:eastAsiaTheme="minorEastAsia"/>
              <w:noProof/>
              <w:kern w:val="2"/>
              <w:lang w:val="en-US"/>
              <w14:ligatures w14:val="standardContextual"/>
            </w:rPr>
          </w:pPr>
          <w:hyperlink w:anchor="_Toc153901535" w:history="1">
            <w:r w:rsidRPr="00EB3118">
              <w:rPr>
                <w:rStyle w:val="Hyperlink"/>
                <w:noProof/>
              </w:rPr>
              <w:t>2.3</w:t>
            </w:r>
            <w:r>
              <w:rPr>
                <w:rFonts w:eastAsiaTheme="minorEastAsia"/>
                <w:noProof/>
                <w:kern w:val="2"/>
                <w:lang w:val="en-US"/>
                <w14:ligatures w14:val="standardContextual"/>
              </w:rPr>
              <w:tab/>
            </w:r>
            <w:r w:rsidRPr="00EB3118">
              <w:rPr>
                <w:rStyle w:val="Hyperlink"/>
                <w:noProof/>
              </w:rPr>
              <w:t>Унапређење енергетске ефикасности</w:t>
            </w:r>
            <w:r>
              <w:rPr>
                <w:noProof/>
                <w:webHidden/>
              </w:rPr>
              <w:tab/>
            </w:r>
            <w:r>
              <w:rPr>
                <w:noProof/>
                <w:webHidden/>
              </w:rPr>
              <w:fldChar w:fldCharType="begin"/>
            </w:r>
            <w:r>
              <w:rPr>
                <w:noProof/>
                <w:webHidden/>
              </w:rPr>
              <w:instrText xml:space="preserve"> PAGEREF _Toc153901535 \h </w:instrText>
            </w:r>
            <w:r>
              <w:rPr>
                <w:noProof/>
                <w:webHidden/>
              </w:rPr>
            </w:r>
            <w:r>
              <w:rPr>
                <w:noProof/>
                <w:webHidden/>
              </w:rPr>
              <w:fldChar w:fldCharType="separate"/>
            </w:r>
            <w:r w:rsidR="00565B02">
              <w:rPr>
                <w:noProof/>
                <w:webHidden/>
              </w:rPr>
              <w:t>53</w:t>
            </w:r>
            <w:r>
              <w:rPr>
                <w:noProof/>
                <w:webHidden/>
              </w:rPr>
              <w:fldChar w:fldCharType="end"/>
            </w:r>
          </w:hyperlink>
        </w:p>
        <w:p w14:paraId="766C5770" w14:textId="7596CB54" w:rsidR="00566668" w:rsidRDefault="00566668">
          <w:pPr>
            <w:pStyle w:val="TOC2"/>
            <w:rPr>
              <w:rFonts w:eastAsiaTheme="minorEastAsia"/>
              <w:noProof/>
              <w:kern w:val="2"/>
              <w:lang w:val="en-US"/>
              <w14:ligatures w14:val="standardContextual"/>
            </w:rPr>
          </w:pPr>
          <w:hyperlink w:anchor="_Toc153901537" w:history="1">
            <w:r w:rsidRPr="00EB3118">
              <w:rPr>
                <w:rStyle w:val="Hyperlink"/>
                <w:noProof/>
              </w:rPr>
              <w:t>2.4</w:t>
            </w:r>
            <w:r>
              <w:rPr>
                <w:rFonts w:eastAsiaTheme="minorEastAsia"/>
                <w:noProof/>
                <w:kern w:val="2"/>
                <w:lang w:val="en-US"/>
                <w14:ligatures w14:val="standardContextual"/>
              </w:rPr>
              <w:tab/>
            </w:r>
            <w:r w:rsidRPr="00EB3118">
              <w:rPr>
                <w:rStyle w:val="Hyperlink"/>
                <w:noProof/>
              </w:rPr>
              <w:t>Eнергетска сигурност</w:t>
            </w:r>
            <w:r>
              <w:rPr>
                <w:noProof/>
                <w:webHidden/>
              </w:rPr>
              <w:tab/>
            </w:r>
            <w:r>
              <w:rPr>
                <w:noProof/>
                <w:webHidden/>
              </w:rPr>
              <w:fldChar w:fldCharType="begin"/>
            </w:r>
            <w:r>
              <w:rPr>
                <w:noProof/>
                <w:webHidden/>
              </w:rPr>
              <w:instrText xml:space="preserve"> PAGEREF _Toc153901537 \h </w:instrText>
            </w:r>
            <w:r>
              <w:rPr>
                <w:noProof/>
                <w:webHidden/>
              </w:rPr>
            </w:r>
            <w:r>
              <w:rPr>
                <w:noProof/>
                <w:webHidden/>
              </w:rPr>
              <w:fldChar w:fldCharType="separate"/>
            </w:r>
            <w:r w:rsidR="00565B02">
              <w:rPr>
                <w:noProof/>
                <w:webHidden/>
              </w:rPr>
              <w:t>53</w:t>
            </w:r>
            <w:r>
              <w:rPr>
                <w:noProof/>
                <w:webHidden/>
              </w:rPr>
              <w:fldChar w:fldCharType="end"/>
            </w:r>
          </w:hyperlink>
        </w:p>
        <w:p w14:paraId="35636DEE" w14:textId="780967DE" w:rsidR="00566668" w:rsidRDefault="00566668">
          <w:pPr>
            <w:pStyle w:val="TOC2"/>
            <w:rPr>
              <w:rFonts w:eastAsiaTheme="minorEastAsia"/>
              <w:noProof/>
              <w:kern w:val="2"/>
              <w:lang w:val="en-US"/>
              <w14:ligatures w14:val="standardContextual"/>
            </w:rPr>
          </w:pPr>
          <w:hyperlink w:anchor="_Toc153901539" w:history="1">
            <w:r w:rsidRPr="00EB3118">
              <w:rPr>
                <w:rStyle w:val="Hyperlink"/>
                <w:noProof/>
              </w:rPr>
              <w:t>2.5</w:t>
            </w:r>
            <w:r>
              <w:rPr>
                <w:rFonts w:eastAsiaTheme="minorEastAsia"/>
                <w:noProof/>
                <w:kern w:val="2"/>
                <w:lang w:val="en-US"/>
                <w14:ligatures w14:val="standardContextual"/>
              </w:rPr>
              <w:tab/>
            </w:r>
            <w:r w:rsidRPr="00EB3118">
              <w:rPr>
                <w:rStyle w:val="Hyperlink"/>
                <w:noProof/>
              </w:rPr>
              <w:t>Унутрашње енергетско тржиште</w:t>
            </w:r>
            <w:r>
              <w:rPr>
                <w:noProof/>
                <w:webHidden/>
              </w:rPr>
              <w:tab/>
            </w:r>
            <w:r>
              <w:rPr>
                <w:noProof/>
                <w:webHidden/>
              </w:rPr>
              <w:fldChar w:fldCharType="begin"/>
            </w:r>
            <w:r>
              <w:rPr>
                <w:noProof/>
                <w:webHidden/>
              </w:rPr>
              <w:instrText xml:space="preserve"> PAGEREF _Toc153901539 \h </w:instrText>
            </w:r>
            <w:r>
              <w:rPr>
                <w:noProof/>
                <w:webHidden/>
              </w:rPr>
            </w:r>
            <w:r>
              <w:rPr>
                <w:noProof/>
                <w:webHidden/>
              </w:rPr>
              <w:fldChar w:fldCharType="separate"/>
            </w:r>
            <w:r w:rsidR="00565B02">
              <w:rPr>
                <w:noProof/>
                <w:webHidden/>
              </w:rPr>
              <w:t>54</w:t>
            </w:r>
            <w:r>
              <w:rPr>
                <w:noProof/>
                <w:webHidden/>
              </w:rPr>
              <w:fldChar w:fldCharType="end"/>
            </w:r>
          </w:hyperlink>
        </w:p>
        <w:p w14:paraId="427D223F" w14:textId="15E25795" w:rsidR="00566668" w:rsidRDefault="00566668">
          <w:pPr>
            <w:pStyle w:val="TOC2"/>
            <w:rPr>
              <w:rFonts w:eastAsiaTheme="minorEastAsia"/>
              <w:noProof/>
              <w:kern w:val="2"/>
              <w:lang w:val="en-US"/>
              <w14:ligatures w14:val="standardContextual"/>
            </w:rPr>
          </w:pPr>
          <w:hyperlink w:anchor="_Toc153901540" w:history="1">
            <w:r w:rsidRPr="00EB3118">
              <w:rPr>
                <w:rStyle w:val="Hyperlink"/>
                <w:noProof/>
              </w:rPr>
              <w:t>2.6</w:t>
            </w:r>
            <w:r>
              <w:rPr>
                <w:rFonts w:eastAsiaTheme="minorEastAsia"/>
                <w:noProof/>
                <w:kern w:val="2"/>
                <w:lang w:val="en-US"/>
                <w14:ligatures w14:val="standardContextual"/>
              </w:rPr>
              <w:tab/>
            </w:r>
            <w:r w:rsidRPr="00EB3118">
              <w:rPr>
                <w:rStyle w:val="Hyperlink"/>
                <w:noProof/>
              </w:rPr>
              <w:t>Истраживање, иновације и конкурентност</w:t>
            </w:r>
            <w:r>
              <w:rPr>
                <w:noProof/>
                <w:webHidden/>
              </w:rPr>
              <w:tab/>
            </w:r>
            <w:r>
              <w:rPr>
                <w:noProof/>
                <w:webHidden/>
              </w:rPr>
              <w:fldChar w:fldCharType="begin"/>
            </w:r>
            <w:r>
              <w:rPr>
                <w:noProof/>
                <w:webHidden/>
              </w:rPr>
              <w:instrText xml:space="preserve"> PAGEREF _Toc153901540 \h </w:instrText>
            </w:r>
            <w:r>
              <w:rPr>
                <w:noProof/>
                <w:webHidden/>
              </w:rPr>
            </w:r>
            <w:r>
              <w:rPr>
                <w:noProof/>
                <w:webHidden/>
              </w:rPr>
              <w:fldChar w:fldCharType="separate"/>
            </w:r>
            <w:r w:rsidR="00565B02">
              <w:rPr>
                <w:noProof/>
                <w:webHidden/>
              </w:rPr>
              <w:t>55</w:t>
            </w:r>
            <w:r>
              <w:rPr>
                <w:noProof/>
                <w:webHidden/>
              </w:rPr>
              <w:fldChar w:fldCharType="end"/>
            </w:r>
          </w:hyperlink>
        </w:p>
        <w:p w14:paraId="55979C1C" w14:textId="757E7623" w:rsidR="00566668" w:rsidRDefault="00566668">
          <w:pPr>
            <w:pStyle w:val="TOC1"/>
            <w:tabs>
              <w:tab w:val="left" w:pos="440"/>
            </w:tabs>
            <w:rPr>
              <w:rFonts w:eastAsiaTheme="minorEastAsia"/>
              <w:noProof/>
              <w:kern w:val="2"/>
              <w:lang w:val="en-US"/>
              <w14:ligatures w14:val="standardContextual"/>
            </w:rPr>
          </w:pPr>
          <w:hyperlink w:anchor="_Toc153901541" w:history="1">
            <w:r w:rsidRPr="00EB3118">
              <w:rPr>
                <w:rStyle w:val="Hyperlink"/>
                <w:noProof/>
              </w:rPr>
              <w:t>3</w:t>
            </w:r>
            <w:r>
              <w:rPr>
                <w:rFonts w:eastAsiaTheme="minorEastAsia"/>
                <w:noProof/>
                <w:kern w:val="2"/>
                <w:lang w:val="en-US"/>
                <w14:ligatures w14:val="standardContextual"/>
              </w:rPr>
              <w:tab/>
            </w:r>
            <w:r w:rsidRPr="00EB3118">
              <w:rPr>
                <w:rStyle w:val="Hyperlink"/>
                <w:noProof/>
              </w:rPr>
              <w:t>ПОЛИТИКЕ И МЕРЕ</w:t>
            </w:r>
            <w:r>
              <w:rPr>
                <w:noProof/>
                <w:webHidden/>
              </w:rPr>
              <w:tab/>
            </w:r>
            <w:r>
              <w:rPr>
                <w:noProof/>
                <w:webHidden/>
              </w:rPr>
              <w:fldChar w:fldCharType="begin"/>
            </w:r>
            <w:r>
              <w:rPr>
                <w:noProof/>
                <w:webHidden/>
              </w:rPr>
              <w:instrText xml:space="preserve"> PAGEREF _Toc153901541 \h </w:instrText>
            </w:r>
            <w:r>
              <w:rPr>
                <w:noProof/>
                <w:webHidden/>
              </w:rPr>
            </w:r>
            <w:r>
              <w:rPr>
                <w:noProof/>
                <w:webHidden/>
              </w:rPr>
              <w:fldChar w:fldCharType="separate"/>
            </w:r>
            <w:r w:rsidR="00565B02">
              <w:rPr>
                <w:noProof/>
                <w:webHidden/>
              </w:rPr>
              <w:t>56</w:t>
            </w:r>
            <w:r>
              <w:rPr>
                <w:noProof/>
                <w:webHidden/>
              </w:rPr>
              <w:fldChar w:fldCharType="end"/>
            </w:r>
          </w:hyperlink>
        </w:p>
        <w:p w14:paraId="344CB41E" w14:textId="3DBD4FE5" w:rsidR="00566668" w:rsidRDefault="00566668">
          <w:pPr>
            <w:pStyle w:val="TOC2"/>
            <w:rPr>
              <w:rFonts w:eastAsiaTheme="minorEastAsia"/>
              <w:noProof/>
              <w:kern w:val="2"/>
              <w:lang w:val="en-US"/>
              <w14:ligatures w14:val="standardContextual"/>
            </w:rPr>
          </w:pPr>
          <w:hyperlink w:anchor="_Toc153901542" w:history="1">
            <w:r w:rsidRPr="00EB3118">
              <w:rPr>
                <w:rStyle w:val="Hyperlink"/>
                <w:noProof/>
              </w:rPr>
              <w:t>3.1</w:t>
            </w:r>
            <w:r>
              <w:rPr>
                <w:rFonts w:eastAsiaTheme="minorEastAsia"/>
                <w:noProof/>
                <w:kern w:val="2"/>
                <w:lang w:val="en-US"/>
                <w14:ligatures w14:val="standardContextual"/>
              </w:rPr>
              <w:tab/>
            </w:r>
            <w:r w:rsidRPr="00EB3118">
              <w:rPr>
                <w:rStyle w:val="Hyperlink"/>
                <w:noProof/>
              </w:rPr>
              <w:t>Димензија декарбонизације</w:t>
            </w:r>
            <w:r>
              <w:rPr>
                <w:noProof/>
                <w:webHidden/>
              </w:rPr>
              <w:tab/>
            </w:r>
            <w:r>
              <w:rPr>
                <w:noProof/>
                <w:webHidden/>
              </w:rPr>
              <w:fldChar w:fldCharType="begin"/>
            </w:r>
            <w:r>
              <w:rPr>
                <w:noProof/>
                <w:webHidden/>
              </w:rPr>
              <w:instrText xml:space="preserve"> PAGEREF _Toc153901542 \h </w:instrText>
            </w:r>
            <w:r>
              <w:rPr>
                <w:noProof/>
                <w:webHidden/>
              </w:rPr>
            </w:r>
            <w:r>
              <w:rPr>
                <w:noProof/>
                <w:webHidden/>
              </w:rPr>
              <w:fldChar w:fldCharType="separate"/>
            </w:r>
            <w:r w:rsidR="00565B02">
              <w:rPr>
                <w:noProof/>
                <w:webHidden/>
              </w:rPr>
              <w:t>56</w:t>
            </w:r>
            <w:r>
              <w:rPr>
                <w:noProof/>
                <w:webHidden/>
              </w:rPr>
              <w:fldChar w:fldCharType="end"/>
            </w:r>
          </w:hyperlink>
        </w:p>
        <w:p w14:paraId="7DA6A37C" w14:textId="6E7C2872" w:rsidR="00566668" w:rsidRDefault="00566668">
          <w:pPr>
            <w:pStyle w:val="TOC2"/>
            <w:rPr>
              <w:rFonts w:eastAsiaTheme="minorEastAsia"/>
              <w:noProof/>
              <w:kern w:val="2"/>
              <w:lang w:val="en-US"/>
              <w14:ligatures w14:val="standardContextual"/>
            </w:rPr>
          </w:pPr>
          <w:hyperlink w:anchor="_Toc153901543" w:history="1">
            <w:r w:rsidRPr="00EB3118">
              <w:rPr>
                <w:rStyle w:val="Hyperlink"/>
                <w:noProof/>
              </w:rPr>
              <w:t>3.2</w:t>
            </w:r>
            <w:r>
              <w:rPr>
                <w:rFonts w:eastAsiaTheme="minorEastAsia"/>
                <w:noProof/>
                <w:kern w:val="2"/>
                <w:lang w:val="en-US"/>
                <w14:ligatures w14:val="standardContextual"/>
              </w:rPr>
              <w:tab/>
            </w:r>
            <w:r w:rsidRPr="00EB3118">
              <w:rPr>
                <w:rStyle w:val="Hyperlink"/>
                <w:noProof/>
              </w:rPr>
              <w:t>Димензија енергетска ефикасност</w:t>
            </w:r>
            <w:r>
              <w:rPr>
                <w:noProof/>
                <w:webHidden/>
              </w:rPr>
              <w:tab/>
            </w:r>
            <w:r>
              <w:rPr>
                <w:noProof/>
                <w:webHidden/>
              </w:rPr>
              <w:fldChar w:fldCharType="begin"/>
            </w:r>
            <w:r>
              <w:rPr>
                <w:noProof/>
                <w:webHidden/>
              </w:rPr>
              <w:instrText xml:space="preserve"> PAGEREF _Toc153901543 \h </w:instrText>
            </w:r>
            <w:r>
              <w:rPr>
                <w:noProof/>
                <w:webHidden/>
              </w:rPr>
            </w:r>
            <w:r>
              <w:rPr>
                <w:noProof/>
                <w:webHidden/>
              </w:rPr>
              <w:fldChar w:fldCharType="separate"/>
            </w:r>
            <w:r w:rsidR="00565B02">
              <w:rPr>
                <w:noProof/>
                <w:webHidden/>
              </w:rPr>
              <w:t>101</w:t>
            </w:r>
            <w:r>
              <w:rPr>
                <w:noProof/>
                <w:webHidden/>
              </w:rPr>
              <w:fldChar w:fldCharType="end"/>
            </w:r>
          </w:hyperlink>
        </w:p>
        <w:p w14:paraId="7CDABBE9" w14:textId="21D22687" w:rsidR="00566668" w:rsidRDefault="00566668">
          <w:pPr>
            <w:pStyle w:val="TOC2"/>
            <w:rPr>
              <w:rFonts w:eastAsiaTheme="minorEastAsia"/>
              <w:noProof/>
              <w:kern w:val="2"/>
              <w:lang w:val="en-US"/>
              <w14:ligatures w14:val="standardContextual"/>
            </w:rPr>
          </w:pPr>
          <w:hyperlink w:anchor="_Toc153901544" w:history="1">
            <w:r w:rsidRPr="00EB3118">
              <w:rPr>
                <w:rStyle w:val="Hyperlink"/>
                <w:noProof/>
              </w:rPr>
              <w:t>3.3</w:t>
            </w:r>
            <w:r>
              <w:rPr>
                <w:rFonts w:eastAsiaTheme="minorEastAsia"/>
                <w:noProof/>
                <w:kern w:val="2"/>
                <w:lang w:val="en-US"/>
                <w14:ligatures w14:val="standardContextual"/>
              </w:rPr>
              <w:tab/>
            </w:r>
            <w:r w:rsidRPr="00EB3118">
              <w:rPr>
                <w:rStyle w:val="Hyperlink"/>
                <w:noProof/>
              </w:rPr>
              <w:t>Димензија енергетска сигурност</w:t>
            </w:r>
            <w:r>
              <w:rPr>
                <w:noProof/>
                <w:webHidden/>
              </w:rPr>
              <w:tab/>
            </w:r>
            <w:r>
              <w:rPr>
                <w:noProof/>
                <w:webHidden/>
              </w:rPr>
              <w:fldChar w:fldCharType="begin"/>
            </w:r>
            <w:r>
              <w:rPr>
                <w:noProof/>
                <w:webHidden/>
              </w:rPr>
              <w:instrText xml:space="preserve"> PAGEREF _Toc153901544 \h </w:instrText>
            </w:r>
            <w:r>
              <w:rPr>
                <w:noProof/>
                <w:webHidden/>
              </w:rPr>
            </w:r>
            <w:r>
              <w:rPr>
                <w:noProof/>
                <w:webHidden/>
              </w:rPr>
              <w:fldChar w:fldCharType="separate"/>
            </w:r>
            <w:r w:rsidR="00565B02">
              <w:rPr>
                <w:noProof/>
                <w:webHidden/>
              </w:rPr>
              <w:t>149</w:t>
            </w:r>
            <w:r>
              <w:rPr>
                <w:noProof/>
                <w:webHidden/>
              </w:rPr>
              <w:fldChar w:fldCharType="end"/>
            </w:r>
          </w:hyperlink>
        </w:p>
        <w:p w14:paraId="6E67E130" w14:textId="197ABDFB" w:rsidR="00566668" w:rsidRDefault="00566668">
          <w:pPr>
            <w:pStyle w:val="TOC2"/>
            <w:rPr>
              <w:rFonts w:eastAsiaTheme="minorEastAsia"/>
              <w:noProof/>
              <w:kern w:val="2"/>
              <w:lang w:val="en-US"/>
              <w14:ligatures w14:val="standardContextual"/>
            </w:rPr>
          </w:pPr>
          <w:hyperlink w:anchor="_Toc153901546" w:history="1">
            <w:r w:rsidRPr="00EB3118">
              <w:rPr>
                <w:rStyle w:val="Hyperlink"/>
                <w:noProof/>
              </w:rPr>
              <w:t>3.4</w:t>
            </w:r>
            <w:r>
              <w:rPr>
                <w:rFonts w:eastAsiaTheme="minorEastAsia"/>
                <w:noProof/>
                <w:kern w:val="2"/>
                <w:lang w:val="en-US"/>
                <w14:ligatures w14:val="standardContextual"/>
              </w:rPr>
              <w:tab/>
            </w:r>
            <w:r w:rsidRPr="00EB3118">
              <w:rPr>
                <w:rStyle w:val="Hyperlink"/>
                <w:noProof/>
              </w:rPr>
              <w:t>Димензија унутрашње енергетско тржиште</w:t>
            </w:r>
            <w:r>
              <w:rPr>
                <w:noProof/>
                <w:webHidden/>
              </w:rPr>
              <w:tab/>
            </w:r>
            <w:r>
              <w:rPr>
                <w:noProof/>
                <w:webHidden/>
              </w:rPr>
              <w:fldChar w:fldCharType="begin"/>
            </w:r>
            <w:r>
              <w:rPr>
                <w:noProof/>
                <w:webHidden/>
              </w:rPr>
              <w:instrText xml:space="preserve"> PAGEREF _Toc153901546 \h </w:instrText>
            </w:r>
            <w:r>
              <w:rPr>
                <w:noProof/>
                <w:webHidden/>
              </w:rPr>
            </w:r>
            <w:r>
              <w:rPr>
                <w:noProof/>
                <w:webHidden/>
              </w:rPr>
              <w:fldChar w:fldCharType="separate"/>
            </w:r>
            <w:r w:rsidR="00565B02">
              <w:rPr>
                <w:noProof/>
                <w:webHidden/>
              </w:rPr>
              <w:t>160</w:t>
            </w:r>
            <w:r>
              <w:rPr>
                <w:noProof/>
                <w:webHidden/>
              </w:rPr>
              <w:fldChar w:fldCharType="end"/>
            </w:r>
          </w:hyperlink>
        </w:p>
        <w:p w14:paraId="2236DEE8" w14:textId="435C39C8" w:rsidR="00566668" w:rsidRDefault="00566668">
          <w:pPr>
            <w:pStyle w:val="TOC2"/>
            <w:rPr>
              <w:rFonts w:eastAsiaTheme="minorEastAsia"/>
              <w:noProof/>
              <w:kern w:val="2"/>
              <w:lang w:val="en-US"/>
              <w14:ligatures w14:val="standardContextual"/>
            </w:rPr>
          </w:pPr>
          <w:hyperlink w:anchor="_Toc153901548" w:history="1">
            <w:r w:rsidRPr="00EB3118">
              <w:rPr>
                <w:rStyle w:val="Hyperlink"/>
                <w:noProof/>
              </w:rPr>
              <w:t>3.5</w:t>
            </w:r>
            <w:r>
              <w:rPr>
                <w:rFonts w:eastAsiaTheme="minorEastAsia"/>
                <w:noProof/>
                <w:kern w:val="2"/>
                <w:lang w:val="en-US"/>
                <w14:ligatures w14:val="standardContextual"/>
              </w:rPr>
              <w:tab/>
            </w:r>
            <w:r w:rsidRPr="00EB3118">
              <w:rPr>
                <w:rStyle w:val="Hyperlink"/>
                <w:noProof/>
              </w:rPr>
              <w:t>Димензија истраживање, иновације и конкурентност</w:t>
            </w:r>
            <w:r>
              <w:rPr>
                <w:noProof/>
                <w:webHidden/>
              </w:rPr>
              <w:tab/>
            </w:r>
            <w:r>
              <w:rPr>
                <w:noProof/>
                <w:webHidden/>
              </w:rPr>
              <w:fldChar w:fldCharType="begin"/>
            </w:r>
            <w:r>
              <w:rPr>
                <w:noProof/>
                <w:webHidden/>
              </w:rPr>
              <w:instrText xml:space="preserve"> PAGEREF _Toc153901548 \h </w:instrText>
            </w:r>
            <w:r>
              <w:rPr>
                <w:noProof/>
                <w:webHidden/>
              </w:rPr>
            </w:r>
            <w:r>
              <w:rPr>
                <w:noProof/>
                <w:webHidden/>
              </w:rPr>
              <w:fldChar w:fldCharType="separate"/>
            </w:r>
            <w:r w:rsidR="00565B02">
              <w:rPr>
                <w:noProof/>
                <w:webHidden/>
              </w:rPr>
              <w:t>194</w:t>
            </w:r>
            <w:r>
              <w:rPr>
                <w:noProof/>
                <w:webHidden/>
              </w:rPr>
              <w:fldChar w:fldCharType="end"/>
            </w:r>
          </w:hyperlink>
        </w:p>
        <w:p w14:paraId="2E12367C" w14:textId="5030B63E" w:rsidR="00566668" w:rsidRDefault="00566668">
          <w:pPr>
            <w:pStyle w:val="TOC1"/>
            <w:tabs>
              <w:tab w:val="left" w:pos="440"/>
            </w:tabs>
            <w:rPr>
              <w:rFonts w:eastAsiaTheme="minorEastAsia"/>
              <w:noProof/>
              <w:kern w:val="2"/>
              <w:lang w:val="en-US"/>
              <w14:ligatures w14:val="standardContextual"/>
            </w:rPr>
          </w:pPr>
          <w:hyperlink w:anchor="_Toc153901549" w:history="1">
            <w:r w:rsidRPr="00EB3118">
              <w:rPr>
                <w:rStyle w:val="Hyperlink"/>
                <w:noProof/>
              </w:rPr>
              <w:t>4</w:t>
            </w:r>
            <w:r>
              <w:rPr>
                <w:rFonts w:eastAsiaTheme="minorEastAsia"/>
                <w:noProof/>
                <w:kern w:val="2"/>
                <w:lang w:val="en-US"/>
                <w14:ligatures w14:val="standardContextual"/>
              </w:rPr>
              <w:tab/>
            </w:r>
            <w:r w:rsidRPr="00EB3118">
              <w:rPr>
                <w:rStyle w:val="Hyperlink"/>
                <w:noProof/>
              </w:rPr>
              <w:t>ТРЕНУТНО СТАЊЕ И ПРОЈЕКЦИЈЕ СА ПОСТОЈЕЋИМ ПОЛИТИКАМА И МЕРАМА</w:t>
            </w:r>
            <w:r>
              <w:rPr>
                <w:noProof/>
                <w:webHidden/>
              </w:rPr>
              <w:tab/>
            </w:r>
            <w:r>
              <w:rPr>
                <w:noProof/>
                <w:webHidden/>
              </w:rPr>
              <w:fldChar w:fldCharType="begin"/>
            </w:r>
            <w:r>
              <w:rPr>
                <w:noProof/>
                <w:webHidden/>
              </w:rPr>
              <w:instrText xml:space="preserve"> PAGEREF _Toc153901549 \h </w:instrText>
            </w:r>
            <w:r>
              <w:rPr>
                <w:noProof/>
                <w:webHidden/>
              </w:rPr>
            </w:r>
            <w:r>
              <w:rPr>
                <w:noProof/>
                <w:webHidden/>
              </w:rPr>
              <w:fldChar w:fldCharType="separate"/>
            </w:r>
            <w:r w:rsidR="00565B02">
              <w:rPr>
                <w:noProof/>
                <w:webHidden/>
              </w:rPr>
              <w:t>214</w:t>
            </w:r>
            <w:r>
              <w:rPr>
                <w:noProof/>
                <w:webHidden/>
              </w:rPr>
              <w:fldChar w:fldCharType="end"/>
            </w:r>
          </w:hyperlink>
        </w:p>
        <w:p w14:paraId="0BC10279" w14:textId="452506FA" w:rsidR="00566668" w:rsidRDefault="00566668">
          <w:pPr>
            <w:pStyle w:val="TOC2"/>
            <w:rPr>
              <w:rFonts w:eastAsiaTheme="minorEastAsia"/>
              <w:noProof/>
              <w:kern w:val="2"/>
              <w:lang w:val="en-US"/>
              <w14:ligatures w14:val="standardContextual"/>
            </w:rPr>
          </w:pPr>
          <w:hyperlink w:anchor="_Toc153901550" w:history="1">
            <w:r w:rsidRPr="00EB3118">
              <w:rPr>
                <w:rStyle w:val="Hyperlink"/>
                <w:noProof/>
              </w:rPr>
              <w:t>4.1</w:t>
            </w:r>
            <w:r>
              <w:rPr>
                <w:rFonts w:eastAsiaTheme="minorEastAsia"/>
                <w:noProof/>
                <w:kern w:val="2"/>
                <w:lang w:val="en-US"/>
                <w14:ligatures w14:val="standardContextual"/>
              </w:rPr>
              <w:tab/>
            </w:r>
            <w:r w:rsidRPr="00EB3118">
              <w:rPr>
                <w:rStyle w:val="Hyperlink"/>
                <w:noProof/>
              </w:rPr>
              <w:t>Пројектовани развој главних егзогених фактора који утичу на развој енергетског система и емисије GHG</w:t>
            </w:r>
            <w:r>
              <w:rPr>
                <w:noProof/>
                <w:webHidden/>
              </w:rPr>
              <w:tab/>
            </w:r>
            <w:r>
              <w:rPr>
                <w:noProof/>
                <w:webHidden/>
              </w:rPr>
              <w:fldChar w:fldCharType="begin"/>
            </w:r>
            <w:r>
              <w:rPr>
                <w:noProof/>
                <w:webHidden/>
              </w:rPr>
              <w:instrText xml:space="preserve"> PAGEREF _Toc153901550 \h </w:instrText>
            </w:r>
            <w:r>
              <w:rPr>
                <w:noProof/>
                <w:webHidden/>
              </w:rPr>
            </w:r>
            <w:r>
              <w:rPr>
                <w:noProof/>
                <w:webHidden/>
              </w:rPr>
              <w:fldChar w:fldCharType="separate"/>
            </w:r>
            <w:r w:rsidR="00565B02">
              <w:rPr>
                <w:noProof/>
                <w:webHidden/>
              </w:rPr>
              <w:t>215</w:t>
            </w:r>
            <w:r>
              <w:rPr>
                <w:noProof/>
                <w:webHidden/>
              </w:rPr>
              <w:fldChar w:fldCharType="end"/>
            </w:r>
          </w:hyperlink>
        </w:p>
        <w:p w14:paraId="0688A41E" w14:textId="03071AD7" w:rsidR="00566668" w:rsidRDefault="00566668">
          <w:pPr>
            <w:pStyle w:val="TOC2"/>
            <w:rPr>
              <w:rFonts w:eastAsiaTheme="minorEastAsia"/>
              <w:noProof/>
              <w:kern w:val="2"/>
              <w:lang w:val="en-US"/>
              <w14:ligatures w14:val="standardContextual"/>
            </w:rPr>
          </w:pPr>
          <w:hyperlink w:anchor="_Toc153901552" w:history="1">
            <w:r w:rsidRPr="00EB3118">
              <w:rPr>
                <w:rStyle w:val="Hyperlink"/>
                <w:noProof/>
              </w:rPr>
              <w:t>4.2</w:t>
            </w:r>
            <w:r>
              <w:rPr>
                <w:rFonts w:eastAsiaTheme="minorEastAsia"/>
                <w:noProof/>
                <w:kern w:val="2"/>
                <w:lang w:val="en-US"/>
                <w14:ligatures w14:val="standardContextual"/>
              </w:rPr>
              <w:tab/>
            </w:r>
            <w:r w:rsidRPr="00EB3118">
              <w:rPr>
                <w:rStyle w:val="Hyperlink"/>
                <w:noProof/>
              </w:rPr>
              <w:t>Димензија декарбонизације</w:t>
            </w:r>
            <w:r>
              <w:rPr>
                <w:noProof/>
                <w:webHidden/>
              </w:rPr>
              <w:tab/>
            </w:r>
            <w:r>
              <w:rPr>
                <w:noProof/>
                <w:webHidden/>
              </w:rPr>
              <w:fldChar w:fldCharType="begin"/>
            </w:r>
            <w:r>
              <w:rPr>
                <w:noProof/>
                <w:webHidden/>
              </w:rPr>
              <w:instrText xml:space="preserve"> PAGEREF _Toc153901552 \h </w:instrText>
            </w:r>
            <w:r>
              <w:rPr>
                <w:noProof/>
                <w:webHidden/>
              </w:rPr>
            </w:r>
            <w:r>
              <w:rPr>
                <w:noProof/>
                <w:webHidden/>
              </w:rPr>
              <w:fldChar w:fldCharType="separate"/>
            </w:r>
            <w:r w:rsidR="00565B02">
              <w:rPr>
                <w:noProof/>
                <w:webHidden/>
              </w:rPr>
              <w:t>219</w:t>
            </w:r>
            <w:r>
              <w:rPr>
                <w:noProof/>
                <w:webHidden/>
              </w:rPr>
              <w:fldChar w:fldCharType="end"/>
            </w:r>
          </w:hyperlink>
        </w:p>
        <w:p w14:paraId="430CC34D" w14:textId="11F6B57D" w:rsidR="00566668" w:rsidRDefault="00566668">
          <w:pPr>
            <w:pStyle w:val="TOC2"/>
            <w:rPr>
              <w:rFonts w:eastAsiaTheme="minorEastAsia"/>
              <w:noProof/>
              <w:kern w:val="2"/>
              <w:lang w:val="en-US"/>
              <w14:ligatures w14:val="standardContextual"/>
            </w:rPr>
          </w:pPr>
          <w:hyperlink w:anchor="_Toc153901553" w:history="1">
            <w:r w:rsidRPr="00EB3118">
              <w:rPr>
                <w:rStyle w:val="Hyperlink"/>
                <w:noProof/>
              </w:rPr>
              <w:t>4.3</w:t>
            </w:r>
            <w:r>
              <w:rPr>
                <w:rFonts w:eastAsiaTheme="minorEastAsia"/>
                <w:noProof/>
                <w:kern w:val="2"/>
                <w:lang w:val="en-US"/>
                <w14:ligatures w14:val="standardContextual"/>
              </w:rPr>
              <w:tab/>
            </w:r>
            <w:r w:rsidRPr="00EB3118">
              <w:rPr>
                <w:rStyle w:val="Hyperlink"/>
                <w:noProof/>
              </w:rPr>
              <w:t>Димензија енергетска ефикасност</w:t>
            </w:r>
            <w:r>
              <w:rPr>
                <w:noProof/>
                <w:webHidden/>
              </w:rPr>
              <w:tab/>
            </w:r>
            <w:r>
              <w:rPr>
                <w:noProof/>
                <w:webHidden/>
              </w:rPr>
              <w:fldChar w:fldCharType="begin"/>
            </w:r>
            <w:r>
              <w:rPr>
                <w:noProof/>
                <w:webHidden/>
              </w:rPr>
              <w:instrText xml:space="preserve"> PAGEREF _Toc153901553 \h </w:instrText>
            </w:r>
            <w:r>
              <w:rPr>
                <w:noProof/>
                <w:webHidden/>
              </w:rPr>
            </w:r>
            <w:r>
              <w:rPr>
                <w:noProof/>
                <w:webHidden/>
              </w:rPr>
              <w:fldChar w:fldCharType="separate"/>
            </w:r>
            <w:r w:rsidR="00565B02">
              <w:rPr>
                <w:noProof/>
                <w:webHidden/>
              </w:rPr>
              <w:t>231</w:t>
            </w:r>
            <w:r>
              <w:rPr>
                <w:noProof/>
                <w:webHidden/>
              </w:rPr>
              <w:fldChar w:fldCharType="end"/>
            </w:r>
          </w:hyperlink>
        </w:p>
        <w:p w14:paraId="5BAD47D9" w14:textId="1092FBC2" w:rsidR="00566668" w:rsidRDefault="00566668">
          <w:pPr>
            <w:pStyle w:val="TOC2"/>
            <w:rPr>
              <w:rFonts w:eastAsiaTheme="minorEastAsia"/>
              <w:noProof/>
              <w:kern w:val="2"/>
              <w:lang w:val="en-US"/>
              <w14:ligatures w14:val="standardContextual"/>
            </w:rPr>
          </w:pPr>
          <w:hyperlink w:anchor="_Toc153901554" w:history="1">
            <w:r w:rsidRPr="00EB3118">
              <w:rPr>
                <w:rStyle w:val="Hyperlink"/>
                <w:noProof/>
              </w:rPr>
              <w:t>4.4</w:t>
            </w:r>
            <w:r>
              <w:rPr>
                <w:rFonts w:eastAsiaTheme="minorEastAsia"/>
                <w:noProof/>
                <w:kern w:val="2"/>
                <w:lang w:val="en-US"/>
                <w14:ligatures w14:val="standardContextual"/>
              </w:rPr>
              <w:tab/>
            </w:r>
            <w:r w:rsidRPr="00EB3118">
              <w:rPr>
                <w:rStyle w:val="Hyperlink"/>
                <w:noProof/>
              </w:rPr>
              <w:t>Димензија енергетске сигурности</w:t>
            </w:r>
            <w:r>
              <w:rPr>
                <w:noProof/>
                <w:webHidden/>
              </w:rPr>
              <w:tab/>
            </w:r>
            <w:r>
              <w:rPr>
                <w:noProof/>
                <w:webHidden/>
              </w:rPr>
              <w:fldChar w:fldCharType="begin"/>
            </w:r>
            <w:r>
              <w:rPr>
                <w:noProof/>
                <w:webHidden/>
              </w:rPr>
              <w:instrText xml:space="preserve"> PAGEREF _Toc153901554 \h </w:instrText>
            </w:r>
            <w:r>
              <w:rPr>
                <w:noProof/>
                <w:webHidden/>
              </w:rPr>
            </w:r>
            <w:r>
              <w:rPr>
                <w:noProof/>
                <w:webHidden/>
              </w:rPr>
              <w:fldChar w:fldCharType="separate"/>
            </w:r>
            <w:r w:rsidR="00565B02">
              <w:rPr>
                <w:noProof/>
                <w:webHidden/>
              </w:rPr>
              <w:t>243</w:t>
            </w:r>
            <w:r>
              <w:rPr>
                <w:noProof/>
                <w:webHidden/>
              </w:rPr>
              <w:fldChar w:fldCharType="end"/>
            </w:r>
          </w:hyperlink>
        </w:p>
        <w:p w14:paraId="21AA38BC" w14:textId="10C113AB" w:rsidR="00566668" w:rsidRDefault="00566668">
          <w:pPr>
            <w:pStyle w:val="TOC2"/>
            <w:rPr>
              <w:rFonts w:eastAsiaTheme="minorEastAsia"/>
              <w:noProof/>
              <w:kern w:val="2"/>
              <w:lang w:val="en-US"/>
              <w14:ligatures w14:val="standardContextual"/>
            </w:rPr>
          </w:pPr>
          <w:hyperlink w:anchor="_Toc153901555" w:history="1">
            <w:r w:rsidRPr="00EB3118">
              <w:rPr>
                <w:rStyle w:val="Hyperlink"/>
                <w:noProof/>
              </w:rPr>
              <w:t>4.5</w:t>
            </w:r>
            <w:r>
              <w:rPr>
                <w:rFonts w:eastAsiaTheme="minorEastAsia"/>
                <w:noProof/>
                <w:kern w:val="2"/>
                <w:lang w:val="en-US"/>
                <w14:ligatures w14:val="standardContextual"/>
              </w:rPr>
              <w:tab/>
            </w:r>
            <w:r w:rsidRPr="00EB3118">
              <w:rPr>
                <w:rStyle w:val="Hyperlink"/>
                <w:noProof/>
              </w:rPr>
              <w:t>Димензија унутрашњег енергетског тржишта</w:t>
            </w:r>
            <w:r>
              <w:rPr>
                <w:noProof/>
                <w:webHidden/>
              </w:rPr>
              <w:tab/>
            </w:r>
            <w:r>
              <w:rPr>
                <w:noProof/>
                <w:webHidden/>
              </w:rPr>
              <w:fldChar w:fldCharType="begin"/>
            </w:r>
            <w:r>
              <w:rPr>
                <w:noProof/>
                <w:webHidden/>
              </w:rPr>
              <w:instrText xml:space="preserve"> PAGEREF _Toc153901555 \h </w:instrText>
            </w:r>
            <w:r>
              <w:rPr>
                <w:noProof/>
                <w:webHidden/>
              </w:rPr>
            </w:r>
            <w:r>
              <w:rPr>
                <w:noProof/>
                <w:webHidden/>
              </w:rPr>
              <w:fldChar w:fldCharType="separate"/>
            </w:r>
            <w:r w:rsidR="00565B02">
              <w:rPr>
                <w:noProof/>
                <w:webHidden/>
              </w:rPr>
              <w:t>252</w:t>
            </w:r>
            <w:r>
              <w:rPr>
                <w:noProof/>
                <w:webHidden/>
              </w:rPr>
              <w:fldChar w:fldCharType="end"/>
            </w:r>
          </w:hyperlink>
        </w:p>
        <w:p w14:paraId="1A4F432A" w14:textId="53D6EB14" w:rsidR="00566668" w:rsidRDefault="00566668">
          <w:pPr>
            <w:pStyle w:val="TOC2"/>
            <w:rPr>
              <w:rFonts w:eastAsiaTheme="minorEastAsia"/>
              <w:noProof/>
              <w:kern w:val="2"/>
              <w:lang w:val="en-US"/>
              <w14:ligatures w14:val="standardContextual"/>
            </w:rPr>
          </w:pPr>
          <w:hyperlink w:anchor="_Toc153901556" w:history="1">
            <w:r w:rsidRPr="00EB3118">
              <w:rPr>
                <w:rStyle w:val="Hyperlink"/>
                <w:noProof/>
              </w:rPr>
              <w:t>4.6</w:t>
            </w:r>
            <w:r>
              <w:rPr>
                <w:rFonts w:eastAsiaTheme="minorEastAsia"/>
                <w:noProof/>
                <w:kern w:val="2"/>
                <w:lang w:val="en-US"/>
                <w14:ligatures w14:val="standardContextual"/>
              </w:rPr>
              <w:tab/>
            </w:r>
            <w:r w:rsidRPr="00EB3118">
              <w:rPr>
                <w:rStyle w:val="Hyperlink"/>
                <w:noProof/>
              </w:rPr>
              <w:t>Димензија истраживања, иновације и конкурентности</w:t>
            </w:r>
            <w:r>
              <w:rPr>
                <w:noProof/>
                <w:webHidden/>
              </w:rPr>
              <w:tab/>
            </w:r>
            <w:r>
              <w:rPr>
                <w:noProof/>
                <w:webHidden/>
              </w:rPr>
              <w:fldChar w:fldCharType="begin"/>
            </w:r>
            <w:r>
              <w:rPr>
                <w:noProof/>
                <w:webHidden/>
              </w:rPr>
              <w:instrText xml:space="preserve"> PAGEREF _Toc153901556 \h </w:instrText>
            </w:r>
            <w:r>
              <w:rPr>
                <w:noProof/>
                <w:webHidden/>
              </w:rPr>
            </w:r>
            <w:r>
              <w:rPr>
                <w:noProof/>
                <w:webHidden/>
              </w:rPr>
              <w:fldChar w:fldCharType="separate"/>
            </w:r>
            <w:r w:rsidR="00565B02">
              <w:rPr>
                <w:noProof/>
                <w:webHidden/>
              </w:rPr>
              <w:t>262</w:t>
            </w:r>
            <w:r>
              <w:rPr>
                <w:noProof/>
                <w:webHidden/>
              </w:rPr>
              <w:fldChar w:fldCharType="end"/>
            </w:r>
          </w:hyperlink>
        </w:p>
        <w:p w14:paraId="6DD064F1" w14:textId="441844AE" w:rsidR="00566668" w:rsidRDefault="00566668">
          <w:pPr>
            <w:pStyle w:val="TOC1"/>
            <w:tabs>
              <w:tab w:val="left" w:pos="440"/>
            </w:tabs>
            <w:rPr>
              <w:rFonts w:eastAsiaTheme="minorEastAsia"/>
              <w:noProof/>
              <w:kern w:val="2"/>
              <w:lang w:val="en-US"/>
              <w14:ligatures w14:val="standardContextual"/>
            </w:rPr>
          </w:pPr>
          <w:hyperlink w:anchor="_Toc153901557" w:history="1">
            <w:r w:rsidRPr="00EB3118">
              <w:rPr>
                <w:rStyle w:val="Hyperlink"/>
                <w:noProof/>
              </w:rPr>
              <w:t>5</w:t>
            </w:r>
            <w:r>
              <w:rPr>
                <w:rFonts w:eastAsiaTheme="minorEastAsia"/>
                <w:noProof/>
                <w:kern w:val="2"/>
                <w:lang w:val="en-US"/>
                <w14:ligatures w14:val="standardContextual"/>
              </w:rPr>
              <w:tab/>
            </w:r>
            <w:r w:rsidRPr="00EB3118">
              <w:rPr>
                <w:rStyle w:val="Hyperlink"/>
                <w:noProof/>
              </w:rPr>
              <w:t>ПРОЦЕНА УТИЦАЈА ПЛАНИРАНИХ ПОЛИТИКА И МЕРA</w:t>
            </w:r>
            <w:r>
              <w:rPr>
                <w:noProof/>
                <w:webHidden/>
              </w:rPr>
              <w:tab/>
            </w:r>
            <w:r>
              <w:rPr>
                <w:noProof/>
                <w:webHidden/>
              </w:rPr>
              <w:fldChar w:fldCharType="begin"/>
            </w:r>
            <w:r>
              <w:rPr>
                <w:noProof/>
                <w:webHidden/>
              </w:rPr>
              <w:instrText xml:space="preserve"> PAGEREF _Toc153901557 \h </w:instrText>
            </w:r>
            <w:r>
              <w:rPr>
                <w:noProof/>
                <w:webHidden/>
              </w:rPr>
            </w:r>
            <w:r>
              <w:rPr>
                <w:noProof/>
                <w:webHidden/>
              </w:rPr>
              <w:fldChar w:fldCharType="separate"/>
            </w:r>
            <w:r w:rsidR="00565B02">
              <w:rPr>
                <w:noProof/>
                <w:webHidden/>
              </w:rPr>
              <w:t>266</w:t>
            </w:r>
            <w:r>
              <w:rPr>
                <w:noProof/>
                <w:webHidden/>
              </w:rPr>
              <w:fldChar w:fldCharType="end"/>
            </w:r>
          </w:hyperlink>
        </w:p>
        <w:p w14:paraId="6EBD64B7" w14:textId="31281185" w:rsidR="00566668" w:rsidRDefault="00566668">
          <w:pPr>
            <w:pStyle w:val="TOC2"/>
            <w:rPr>
              <w:rFonts w:eastAsiaTheme="minorEastAsia"/>
              <w:noProof/>
              <w:kern w:val="2"/>
              <w:lang w:val="en-US"/>
              <w14:ligatures w14:val="standardContextual"/>
            </w:rPr>
          </w:pPr>
          <w:hyperlink w:anchor="_Toc153901559" w:history="1">
            <w:r w:rsidRPr="00EB3118">
              <w:rPr>
                <w:rStyle w:val="Hyperlink"/>
                <w:noProof/>
              </w:rPr>
              <w:t>5.1</w:t>
            </w:r>
            <w:r>
              <w:rPr>
                <w:rFonts w:eastAsiaTheme="minorEastAsia"/>
                <w:noProof/>
                <w:kern w:val="2"/>
                <w:lang w:val="en-US"/>
                <w14:ligatures w14:val="standardContextual"/>
              </w:rPr>
              <w:tab/>
            </w:r>
            <w:r w:rsidRPr="00EB3118">
              <w:rPr>
                <w:rStyle w:val="Hyperlink"/>
                <w:noProof/>
              </w:rPr>
              <w:t>Утицаји планираних политика и описаних мера на енергетски систем, емисије и уклањање GHG, укључујући поређење са пројекцијама са постојећим политикама и мерама</w:t>
            </w:r>
            <w:r>
              <w:rPr>
                <w:noProof/>
                <w:webHidden/>
              </w:rPr>
              <w:tab/>
            </w:r>
            <w:r>
              <w:rPr>
                <w:noProof/>
                <w:webHidden/>
              </w:rPr>
              <w:fldChar w:fldCharType="begin"/>
            </w:r>
            <w:r>
              <w:rPr>
                <w:noProof/>
                <w:webHidden/>
              </w:rPr>
              <w:instrText xml:space="preserve"> PAGEREF _Toc153901559 \h </w:instrText>
            </w:r>
            <w:r>
              <w:rPr>
                <w:noProof/>
                <w:webHidden/>
              </w:rPr>
            </w:r>
            <w:r>
              <w:rPr>
                <w:noProof/>
                <w:webHidden/>
              </w:rPr>
              <w:fldChar w:fldCharType="separate"/>
            </w:r>
            <w:r w:rsidR="00565B02">
              <w:rPr>
                <w:noProof/>
                <w:webHidden/>
              </w:rPr>
              <w:t>266</w:t>
            </w:r>
            <w:r>
              <w:rPr>
                <w:noProof/>
                <w:webHidden/>
              </w:rPr>
              <w:fldChar w:fldCharType="end"/>
            </w:r>
          </w:hyperlink>
        </w:p>
        <w:p w14:paraId="72CDA15C" w14:textId="1AE9A4E7" w:rsidR="00566668" w:rsidRDefault="00566668">
          <w:pPr>
            <w:pStyle w:val="TOC2"/>
            <w:rPr>
              <w:rFonts w:eastAsiaTheme="minorEastAsia"/>
              <w:noProof/>
              <w:kern w:val="2"/>
              <w:lang w:val="en-US"/>
              <w14:ligatures w14:val="standardContextual"/>
            </w:rPr>
          </w:pPr>
          <w:hyperlink w:anchor="_Toc153901560" w:history="1">
            <w:r w:rsidRPr="00EB3118">
              <w:rPr>
                <w:rStyle w:val="Hyperlink"/>
                <w:noProof/>
              </w:rPr>
              <w:t>5.2</w:t>
            </w:r>
            <w:r>
              <w:rPr>
                <w:rFonts w:eastAsiaTheme="minorEastAsia"/>
                <w:noProof/>
                <w:kern w:val="2"/>
                <w:lang w:val="en-US"/>
                <w14:ligatures w14:val="standardContextual"/>
              </w:rPr>
              <w:tab/>
            </w:r>
            <w:r w:rsidRPr="00EB3118">
              <w:rPr>
                <w:rStyle w:val="Hyperlink"/>
                <w:noProof/>
              </w:rPr>
              <w:t>Макроекономски утицај и, у мери у којој је то изводљиво, утицај на здравство, животну средину, запошљавање и образовање, вештине, као и друштво, планираних политика и мера, уз поређења пројекција са постојећим политикама и мерама</w:t>
            </w:r>
            <w:r>
              <w:rPr>
                <w:noProof/>
                <w:webHidden/>
              </w:rPr>
              <w:tab/>
            </w:r>
            <w:r>
              <w:rPr>
                <w:noProof/>
                <w:webHidden/>
              </w:rPr>
              <w:fldChar w:fldCharType="begin"/>
            </w:r>
            <w:r>
              <w:rPr>
                <w:noProof/>
                <w:webHidden/>
              </w:rPr>
              <w:instrText xml:space="preserve"> PAGEREF _Toc153901560 \h </w:instrText>
            </w:r>
            <w:r>
              <w:rPr>
                <w:noProof/>
                <w:webHidden/>
              </w:rPr>
            </w:r>
            <w:r>
              <w:rPr>
                <w:noProof/>
                <w:webHidden/>
              </w:rPr>
              <w:fldChar w:fldCharType="separate"/>
            </w:r>
            <w:r w:rsidR="00565B02">
              <w:rPr>
                <w:noProof/>
                <w:webHidden/>
              </w:rPr>
              <w:t>297</w:t>
            </w:r>
            <w:r>
              <w:rPr>
                <w:noProof/>
                <w:webHidden/>
              </w:rPr>
              <w:fldChar w:fldCharType="end"/>
            </w:r>
          </w:hyperlink>
        </w:p>
        <w:p w14:paraId="55B44161" w14:textId="1176D425" w:rsidR="00566668" w:rsidRDefault="00566668">
          <w:pPr>
            <w:pStyle w:val="TOC2"/>
            <w:rPr>
              <w:rFonts w:eastAsiaTheme="minorEastAsia"/>
              <w:noProof/>
              <w:kern w:val="2"/>
              <w:lang w:val="en-US"/>
              <w14:ligatures w14:val="standardContextual"/>
            </w:rPr>
          </w:pPr>
          <w:hyperlink w:anchor="_Toc153901562" w:history="1">
            <w:r w:rsidRPr="00EB3118">
              <w:rPr>
                <w:rStyle w:val="Hyperlink"/>
                <w:noProof/>
              </w:rPr>
              <w:t>5.3</w:t>
            </w:r>
            <w:r>
              <w:rPr>
                <w:rFonts w:eastAsiaTheme="minorEastAsia"/>
                <w:noProof/>
                <w:kern w:val="2"/>
                <w:lang w:val="en-US"/>
                <w14:ligatures w14:val="standardContextual"/>
              </w:rPr>
              <w:tab/>
            </w:r>
            <w:r w:rsidRPr="00EB3118">
              <w:rPr>
                <w:rStyle w:val="Hyperlink"/>
                <w:noProof/>
              </w:rPr>
              <w:t>Преглед инвестиционих потреба</w:t>
            </w:r>
            <w:r>
              <w:rPr>
                <w:noProof/>
                <w:webHidden/>
              </w:rPr>
              <w:tab/>
            </w:r>
            <w:r>
              <w:rPr>
                <w:noProof/>
                <w:webHidden/>
              </w:rPr>
              <w:fldChar w:fldCharType="begin"/>
            </w:r>
            <w:r>
              <w:rPr>
                <w:noProof/>
                <w:webHidden/>
              </w:rPr>
              <w:instrText xml:space="preserve"> PAGEREF _Toc153901562 \h </w:instrText>
            </w:r>
            <w:r>
              <w:rPr>
                <w:noProof/>
                <w:webHidden/>
              </w:rPr>
            </w:r>
            <w:r>
              <w:rPr>
                <w:noProof/>
                <w:webHidden/>
              </w:rPr>
              <w:fldChar w:fldCharType="separate"/>
            </w:r>
            <w:r w:rsidR="00565B02">
              <w:rPr>
                <w:noProof/>
                <w:webHidden/>
              </w:rPr>
              <w:t>301</w:t>
            </w:r>
            <w:r>
              <w:rPr>
                <w:noProof/>
                <w:webHidden/>
              </w:rPr>
              <w:fldChar w:fldCharType="end"/>
            </w:r>
          </w:hyperlink>
        </w:p>
        <w:p w14:paraId="7F3D02EC" w14:textId="56332643" w:rsidR="00566668" w:rsidRDefault="00566668">
          <w:pPr>
            <w:pStyle w:val="TOC2"/>
            <w:rPr>
              <w:rFonts w:eastAsiaTheme="minorEastAsia"/>
              <w:noProof/>
              <w:kern w:val="2"/>
              <w:lang w:val="en-US"/>
              <w14:ligatures w14:val="standardContextual"/>
            </w:rPr>
          </w:pPr>
          <w:hyperlink w:anchor="_Toc153901563" w:history="1">
            <w:r w:rsidRPr="00EB3118">
              <w:rPr>
                <w:rStyle w:val="Hyperlink"/>
                <w:noProof/>
              </w:rPr>
              <w:t>5.4</w:t>
            </w:r>
            <w:r>
              <w:rPr>
                <w:rFonts w:eastAsiaTheme="minorEastAsia"/>
                <w:noProof/>
                <w:kern w:val="2"/>
                <w:lang w:val="en-US"/>
                <w14:ligatures w14:val="standardContextual"/>
              </w:rPr>
              <w:tab/>
            </w:r>
            <w:r w:rsidRPr="00EB3118">
              <w:rPr>
                <w:rStyle w:val="Hyperlink"/>
                <w:noProof/>
              </w:rPr>
              <w:t>Утицаји планираних политика и мера на друге уговорне стране Енергетске заједнице и државе чланице Европске уније и регионалну сарадњу, укључујући поређење пројекција са постојећим политикама и мерама</w:t>
            </w:r>
            <w:r>
              <w:rPr>
                <w:noProof/>
                <w:webHidden/>
              </w:rPr>
              <w:tab/>
            </w:r>
            <w:r>
              <w:rPr>
                <w:noProof/>
                <w:webHidden/>
              </w:rPr>
              <w:fldChar w:fldCharType="begin"/>
            </w:r>
            <w:r>
              <w:rPr>
                <w:noProof/>
                <w:webHidden/>
              </w:rPr>
              <w:instrText xml:space="preserve"> PAGEREF _Toc153901563 \h </w:instrText>
            </w:r>
            <w:r>
              <w:rPr>
                <w:noProof/>
                <w:webHidden/>
              </w:rPr>
            </w:r>
            <w:r>
              <w:rPr>
                <w:noProof/>
                <w:webHidden/>
              </w:rPr>
              <w:fldChar w:fldCharType="separate"/>
            </w:r>
            <w:r w:rsidR="00565B02">
              <w:rPr>
                <w:noProof/>
                <w:webHidden/>
              </w:rPr>
              <w:t>308</w:t>
            </w:r>
            <w:r>
              <w:rPr>
                <w:noProof/>
                <w:webHidden/>
              </w:rPr>
              <w:fldChar w:fldCharType="end"/>
            </w:r>
          </w:hyperlink>
        </w:p>
        <w:p w14:paraId="62A60C05" w14:textId="46052613" w:rsidR="00566668" w:rsidRDefault="00566668">
          <w:pPr>
            <w:pStyle w:val="TOC1"/>
            <w:tabs>
              <w:tab w:val="left" w:pos="440"/>
            </w:tabs>
            <w:rPr>
              <w:rFonts w:eastAsiaTheme="minorEastAsia"/>
              <w:noProof/>
              <w:kern w:val="2"/>
              <w:lang w:val="en-US"/>
              <w14:ligatures w14:val="standardContextual"/>
            </w:rPr>
          </w:pPr>
          <w:hyperlink w:anchor="_Toc153901564" w:history="1">
            <w:r w:rsidRPr="00EB3118">
              <w:rPr>
                <w:rStyle w:val="Hyperlink"/>
                <w:noProof/>
              </w:rPr>
              <w:t>I.</w:t>
            </w:r>
            <w:r>
              <w:rPr>
                <w:rFonts w:eastAsiaTheme="minorEastAsia"/>
                <w:noProof/>
                <w:kern w:val="2"/>
                <w:lang w:val="en-US"/>
                <w14:ligatures w14:val="standardContextual"/>
              </w:rPr>
              <w:tab/>
            </w:r>
            <w:r w:rsidRPr="00EB3118">
              <w:rPr>
                <w:rStyle w:val="Hyperlink"/>
                <w:noProof/>
              </w:rPr>
              <w:t>Анекс: Збирна табела мера са трошковима имплементације</w:t>
            </w:r>
            <w:r>
              <w:rPr>
                <w:noProof/>
                <w:webHidden/>
              </w:rPr>
              <w:tab/>
            </w:r>
            <w:r>
              <w:rPr>
                <w:noProof/>
                <w:webHidden/>
              </w:rPr>
              <w:fldChar w:fldCharType="begin"/>
            </w:r>
            <w:r>
              <w:rPr>
                <w:noProof/>
                <w:webHidden/>
              </w:rPr>
              <w:instrText xml:space="preserve"> PAGEREF _Toc153901564 \h </w:instrText>
            </w:r>
            <w:r>
              <w:rPr>
                <w:noProof/>
                <w:webHidden/>
              </w:rPr>
            </w:r>
            <w:r>
              <w:rPr>
                <w:noProof/>
                <w:webHidden/>
              </w:rPr>
              <w:fldChar w:fldCharType="separate"/>
            </w:r>
            <w:r w:rsidR="00565B02">
              <w:rPr>
                <w:noProof/>
                <w:webHidden/>
              </w:rPr>
              <w:t>310</w:t>
            </w:r>
            <w:r>
              <w:rPr>
                <w:noProof/>
                <w:webHidden/>
              </w:rPr>
              <w:fldChar w:fldCharType="end"/>
            </w:r>
          </w:hyperlink>
        </w:p>
        <w:p w14:paraId="1728186D" w14:textId="6D6DB901" w:rsidR="00566668" w:rsidRDefault="00566668">
          <w:pPr>
            <w:pStyle w:val="TOC1"/>
            <w:tabs>
              <w:tab w:val="left" w:pos="440"/>
            </w:tabs>
            <w:rPr>
              <w:rFonts w:eastAsiaTheme="minorEastAsia"/>
              <w:noProof/>
              <w:kern w:val="2"/>
              <w:lang w:val="en-US"/>
              <w14:ligatures w14:val="standardContextual"/>
            </w:rPr>
          </w:pPr>
          <w:hyperlink w:anchor="_Toc153901565" w:history="1">
            <w:r w:rsidRPr="00EB3118">
              <w:rPr>
                <w:rStyle w:val="Hyperlink"/>
                <w:bCs/>
                <w:noProof/>
              </w:rPr>
              <w:t>II.</w:t>
            </w:r>
            <w:r>
              <w:rPr>
                <w:rFonts w:eastAsiaTheme="minorEastAsia"/>
                <w:noProof/>
                <w:kern w:val="2"/>
                <w:lang w:val="en-US"/>
                <w14:ligatures w14:val="standardContextual"/>
              </w:rPr>
              <w:tab/>
            </w:r>
            <w:r w:rsidRPr="00EB3118">
              <w:rPr>
                <w:rStyle w:val="Hyperlink"/>
                <w:bCs/>
                <w:noProof/>
              </w:rPr>
              <w:t>Анекс: Детаљна анализа рада електроенергетског система</w:t>
            </w:r>
            <w:r>
              <w:rPr>
                <w:noProof/>
                <w:webHidden/>
              </w:rPr>
              <w:tab/>
            </w:r>
            <w:r>
              <w:rPr>
                <w:noProof/>
                <w:webHidden/>
              </w:rPr>
              <w:fldChar w:fldCharType="begin"/>
            </w:r>
            <w:r>
              <w:rPr>
                <w:noProof/>
                <w:webHidden/>
              </w:rPr>
              <w:instrText xml:space="preserve"> PAGEREF _Toc153901565 \h </w:instrText>
            </w:r>
            <w:r>
              <w:rPr>
                <w:noProof/>
                <w:webHidden/>
              </w:rPr>
            </w:r>
            <w:r>
              <w:rPr>
                <w:noProof/>
                <w:webHidden/>
              </w:rPr>
              <w:fldChar w:fldCharType="separate"/>
            </w:r>
            <w:r w:rsidR="00565B02">
              <w:rPr>
                <w:noProof/>
                <w:webHidden/>
              </w:rPr>
              <w:t>320</w:t>
            </w:r>
            <w:r>
              <w:rPr>
                <w:noProof/>
                <w:webHidden/>
              </w:rPr>
              <w:fldChar w:fldCharType="end"/>
            </w:r>
          </w:hyperlink>
        </w:p>
        <w:p w14:paraId="783DC3B1" w14:textId="7C397B56" w:rsidR="00566668" w:rsidRDefault="00566668">
          <w:pPr>
            <w:pStyle w:val="TOC1"/>
            <w:tabs>
              <w:tab w:val="left" w:pos="660"/>
            </w:tabs>
            <w:rPr>
              <w:rFonts w:eastAsiaTheme="minorEastAsia"/>
              <w:noProof/>
              <w:kern w:val="2"/>
              <w:lang w:val="en-US"/>
              <w14:ligatures w14:val="standardContextual"/>
            </w:rPr>
          </w:pPr>
          <w:hyperlink w:anchor="_Toc153901566" w:history="1">
            <w:r w:rsidRPr="00EB3118">
              <w:rPr>
                <w:rStyle w:val="Hyperlink"/>
                <w:noProof/>
              </w:rPr>
              <w:t>III.</w:t>
            </w:r>
            <w:r>
              <w:rPr>
                <w:rFonts w:eastAsiaTheme="minorEastAsia"/>
                <w:noProof/>
                <w:kern w:val="2"/>
                <w:lang w:val="en-US"/>
                <w14:ligatures w14:val="standardContextual"/>
              </w:rPr>
              <w:tab/>
            </w:r>
            <w:r w:rsidRPr="00EB3118">
              <w:rPr>
                <w:rStyle w:val="Hyperlink"/>
                <w:noProof/>
              </w:rPr>
              <w:t>Анекс: Алати за квантитативну анализу</w:t>
            </w:r>
            <w:r>
              <w:rPr>
                <w:noProof/>
                <w:webHidden/>
              </w:rPr>
              <w:tab/>
            </w:r>
            <w:r>
              <w:rPr>
                <w:noProof/>
                <w:webHidden/>
              </w:rPr>
              <w:fldChar w:fldCharType="begin"/>
            </w:r>
            <w:r>
              <w:rPr>
                <w:noProof/>
                <w:webHidden/>
              </w:rPr>
              <w:instrText xml:space="preserve"> PAGEREF _Toc153901566 \h </w:instrText>
            </w:r>
            <w:r>
              <w:rPr>
                <w:noProof/>
                <w:webHidden/>
              </w:rPr>
            </w:r>
            <w:r>
              <w:rPr>
                <w:noProof/>
                <w:webHidden/>
              </w:rPr>
              <w:fldChar w:fldCharType="separate"/>
            </w:r>
            <w:r w:rsidR="00565B02">
              <w:rPr>
                <w:noProof/>
                <w:webHidden/>
              </w:rPr>
              <w:t>325</w:t>
            </w:r>
            <w:r>
              <w:rPr>
                <w:noProof/>
                <w:webHidden/>
              </w:rPr>
              <w:fldChar w:fldCharType="end"/>
            </w:r>
          </w:hyperlink>
        </w:p>
        <w:p w14:paraId="7489630B" w14:textId="3AB2CBD9" w:rsidR="00566668" w:rsidRDefault="00566668">
          <w:pPr>
            <w:pStyle w:val="TOC1"/>
            <w:tabs>
              <w:tab w:val="left" w:pos="660"/>
            </w:tabs>
            <w:rPr>
              <w:rFonts w:eastAsiaTheme="minorEastAsia"/>
              <w:noProof/>
              <w:kern w:val="2"/>
              <w:lang w:val="en-US"/>
              <w14:ligatures w14:val="standardContextual"/>
            </w:rPr>
          </w:pPr>
          <w:hyperlink w:anchor="_Toc153901568" w:history="1">
            <w:r w:rsidRPr="00EB3118">
              <w:rPr>
                <w:rStyle w:val="Hyperlink"/>
                <w:noProof/>
              </w:rPr>
              <w:t>IV.</w:t>
            </w:r>
            <w:r>
              <w:rPr>
                <w:rFonts w:eastAsiaTheme="minorEastAsia"/>
                <w:noProof/>
                <w:kern w:val="2"/>
                <w:lang w:val="en-US"/>
                <w14:ligatures w14:val="standardContextual"/>
              </w:rPr>
              <w:tab/>
            </w:r>
            <w:r w:rsidRPr="00EB3118">
              <w:rPr>
                <w:rStyle w:val="Hyperlink"/>
                <w:noProof/>
              </w:rPr>
              <w:t>Анекс: Списак пројеката из инфраструктурног плана</w:t>
            </w:r>
            <w:r>
              <w:rPr>
                <w:noProof/>
                <w:webHidden/>
              </w:rPr>
              <w:tab/>
            </w:r>
            <w:r>
              <w:rPr>
                <w:noProof/>
                <w:webHidden/>
              </w:rPr>
              <w:fldChar w:fldCharType="begin"/>
            </w:r>
            <w:r>
              <w:rPr>
                <w:noProof/>
                <w:webHidden/>
              </w:rPr>
              <w:instrText xml:space="preserve"> PAGEREF _Toc153901568 \h </w:instrText>
            </w:r>
            <w:r>
              <w:rPr>
                <w:noProof/>
                <w:webHidden/>
              </w:rPr>
            </w:r>
            <w:r>
              <w:rPr>
                <w:noProof/>
                <w:webHidden/>
              </w:rPr>
              <w:fldChar w:fldCharType="separate"/>
            </w:r>
            <w:r w:rsidR="00565B02">
              <w:rPr>
                <w:noProof/>
                <w:webHidden/>
              </w:rPr>
              <w:t>333</w:t>
            </w:r>
            <w:r>
              <w:rPr>
                <w:noProof/>
                <w:webHidden/>
              </w:rPr>
              <w:fldChar w:fldCharType="end"/>
            </w:r>
          </w:hyperlink>
        </w:p>
        <w:p w14:paraId="55A9A60A" w14:textId="031725B7" w:rsidR="00566668" w:rsidRDefault="00566668">
          <w:pPr>
            <w:pStyle w:val="TOC1"/>
            <w:tabs>
              <w:tab w:val="left" w:pos="440"/>
            </w:tabs>
            <w:rPr>
              <w:rFonts w:eastAsiaTheme="minorEastAsia"/>
              <w:noProof/>
              <w:kern w:val="2"/>
              <w:lang w:val="en-US"/>
              <w14:ligatures w14:val="standardContextual"/>
            </w:rPr>
          </w:pPr>
          <w:hyperlink w:anchor="_Toc153901570" w:history="1">
            <w:r w:rsidRPr="00EB3118">
              <w:rPr>
                <w:rStyle w:val="Hyperlink"/>
                <w:noProof/>
              </w:rPr>
              <w:t>V.</w:t>
            </w:r>
            <w:r>
              <w:rPr>
                <w:rFonts w:eastAsiaTheme="minorEastAsia"/>
                <w:noProof/>
                <w:kern w:val="2"/>
                <w:lang w:val="en-US"/>
                <w14:ligatures w14:val="standardContextual"/>
              </w:rPr>
              <w:tab/>
            </w:r>
            <w:r w:rsidRPr="00EB3118">
              <w:rPr>
                <w:rStyle w:val="Hyperlink"/>
                <w:noProof/>
              </w:rPr>
              <w:t>Анекс: Додатне табеле</w:t>
            </w:r>
            <w:r>
              <w:rPr>
                <w:noProof/>
                <w:webHidden/>
              </w:rPr>
              <w:tab/>
            </w:r>
            <w:r>
              <w:rPr>
                <w:noProof/>
                <w:webHidden/>
              </w:rPr>
              <w:fldChar w:fldCharType="begin"/>
            </w:r>
            <w:r>
              <w:rPr>
                <w:noProof/>
                <w:webHidden/>
              </w:rPr>
              <w:instrText xml:space="preserve"> PAGEREF _Toc153901570 \h </w:instrText>
            </w:r>
            <w:r>
              <w:rPr>
                <w:noProof/>
                <w:webHidden/>
              </w:rPr>
            </w:r>
            <w:r>
              <w:rPr>
                <w:noProof/>
                <w:webHidden/>
              </w:rPr>
              <w:fldChar w:fldCharType="separate"/>
            </w:r>
            <w:r w:rsidR="00565B02">
              <w:rPr>
                <w:noProof/>
                <w:webHidden/>
              </w:rPr>
              <w:t>335</w:t>
            </w:r>
            <w:r>
              <w:rPr>
                <w:noProof/>
                <w:webHidden/>
              </w:rPr>
              <w:fldChar w:fldCharType="end"/>
            </w:r>
          </w:hyperlink>
        </w:p>
        <w:p w14:paraId="5FE941B8" w14:textId="58005419" w:rsidR="003D1E9A" w:rsidRPr="00FF386D" w:rsidRDefault="00ED299B">
          <w:r w:rsidRPr="00FF386D">
            <w:fldChar w:fldCharType="end"/>
          </w:r>
        </w:p>
      </w:sdtContent>
    </w:sdt>
    <w:p w14:paraId="128B10F4" w14:textId="77777777" w:rsidR="003D1E9A" w:rsidRPr="00FF386D" w:rsidRDefault="003D1E9A">
      <w:pPr>
        <w:spacing w:line="259" w:lineRule="auto"/>
        <w:rPr>
          <w:rFonts w:ascii="Calibri Light" w:hAnsi="Calibri Light" w:cs="Calibri Light"/>
          <w:highlight w:val="green"/>
        </w:rPr>
      </w:pPr>
      <w:r w:rsidRPr="00FF386D">
        <w:rPr>
          <w:rFonts w:ascii="Calibri Light" w:hAnsi="Calibri Light" w:cs="Calibri Light"/>
          <w:highlight w:val="green"/>
        </w:rPr>
        <w:br w:type="page"/>
      </w:r>
    </w:p>
    <w:p w14:paraId="7C1623B3" w14:textId="77777777" w:rsidR="00E925CB" w:rsidRPr="00FF386D" w:rsidRDefault="00C10A48" w:rsidP="00A14648">
      <w:pPr>
        <w:pStyle w:val="Heading1"/>
        <w:numPr>
          <w:ilvl w:val="0"/>
          <w:numId w:val="0"/>
        </w:numPr>
        <w:ind w:left="432" w:hanging="432"/>
      </w:pPr>
      <w:bookmarkStart w:id="4" w:name="_Toc79772538"/>
      <w:bookmarkStart w:id="5" w:name="_Toc137457007"/>
      <w:bookmarkStart w:id="6" w:name="_Toc153901524"/>
      <w:r w:rsidRPr="00FF386D">
        <w:lastRenderedPageBreak/>
        <w:t>СКРАЋЕНИЦЕ И АКРОНИМИ</w:t>
      </w:r>
      <w:bookmarkEnd w:id="4"/>
      <w:bookmarkEnd w:id="5"/>
      <w:bookmarkEnd w:id="6"/>
    </w:p>
    <w:tbl>
      <w:tblPr>
        <w:tblStyle w:val="TableGrid"/>
        <w:tblW w:w="0" w:type="auto"/>
        <w:tblInd w:w="108" w:type="dxa"/>
        <w:tblLook w:val="04A0" w:firstRow="1" w:lastRow="0" w:firstColumn="1" w:lastColumn="0" w:noHBand="0" w:noVBand="1"/>
      </w:tblPr>
      <w:tblGrid>
        <w:gridCol w:w="2155"/>
        <w:gridCol w:w="7343"/>
      </w:tblGrid>
      <w:tr w:rsidR="00C10A48" w:rsidRPr="00FF386D" w14:paraId="2D13FA2E" w14:textId="77777777" w:rsidTr="000A06F7">
        <w:tc>
          <w:tcPr>
            <w:tcW w:w="2155" w:type="dxa"/>
          </w:tcPr>
          <w:p w14:paraId="786479AB" w14:textId="77777777" w:rsidR="00C10A48" w:rsidRPr="00FF386D" w:rsidRDefault="00C10A48" w:rsidP="00C10A48">
            <w:pPr>
              <w:jc w:val="left"/>
              <w:rPr>
                <w:rFonts w:asciiTheme="majorHAnsi" w:hAnsiTheme="majorHAnsi" w:cstheme="majorHAnsi"/>
                <w:sz w:val="22"/>
                <w:szCs w:val="22"/>
              </w:rPr>
            </w:pPr>
            <w:r w:rsidRPr="00FF386D">
              <w:rPr>
                <w:rFonts w:asciiTheme="majorHAnsi" w:hAnsiTheme="majorHAnsi" w:cstheme="majorHAnsi"/>
              </w:rPr>
              <w:t>АЕРС</w:t>
            </w:r>
          </w:p>
        </w:tc>
        <w:tc>
          <w:tcPr>
            <w:tcW w:w="7343" w:type="dxa"/>
          </w:tcPr>
          <w:p w14:paraId="419C87D6" w14:textId="77777777" w:rsidR="00C10A48" w:rsidRPr="00FF386D" w:rsidRDefault="00C10A48" w:rsidP="00C10A48">
            <w:pPr>
              <w:rPr>
                <w:rFonts w:asciiTheme="majorHAnsi" w:hAnsiTheme="majorHAnsi" w:cstheme="majorHAnsi"/>
                <w:sz w:val="22"/>
                <w:szCs w:val="22"/>
                <w:lang w:eastAsia="el-GR"/>
              </w:rPr>
            </w:pPr>
            <w:r w:rsidRPr="00FF386D">
              <w:rPr>
                <w:rFonts w:asciiTheme="majorHAnsi" w:hAnsiTheme="majorHAnsi" w:cstheme="majorHAnsi"/>
              </w:rPr>
              <w:t>Агенција за енергетику Републике Србије</w:t>
            </w:r>
          </w:p>
        </w:tc>
      </w:tr>
      <w:tr w:rsidR="00C10A48" w:rsidRPr="00FF386D" w14:paraId="39B8846A" w14:textId="77777777" w:rsidTr="000A06F7">
        <w:tc>
          <w:tcPr>
            <w:tcW w:w="2155" w:type="dxa"/>
          </w:tcPr>
          <w:p w14:paraId="4921D2ED" w14:textId="7F85C604" w:rsidR="00C10A48" w:rsidRPr="00FF386D" w:rsidRDefault="00C10A48" w:rsidP="00C10A48">
            <w:pPr>
              <w:rPr>
                <w:rFonts w:asciiTheme="majorHAnsi" w:hAnsiTheme="majorHAnsi" w:cstheme="majorHAnsi"/>
                <w:i/>
                <w:iCs/>
                <w:sz w:val="22"/>
                <w:szCs w:val="22"/>
              </w:rPr>
            </w:pPr>
            <w:r w:rsidRPr="00FF386D">
              <w:rPr>
                <w:rFonts w:asciiTheme="majorHAnsi" w:hAnsiTheme="majorHAnsi" w:cstheme="majorHAnsi"/>
                <w:i/>
                <w:iCs/>
              </w:rPr>
              <w:t>А</w:t>
            </w:r>
            <w:r w:rsidR="003A6E85" w:rsidRPr="00FF386D">
              <w:rPr>
                <w:rFonts w:asciiTheme="majorHAnsi" w:hAnsiTheme="majorHAnsi" w:cstheme="majorHAnsi"/>
                <w:i/>
                <w:iCs/>
              </w:rPr>
              <w:t>L</w:t>
            </w:r>
          </w:p>
        </w:tc>
        <w:tc>
          <w:tcPr>
            <w:tcW w:w="7343" w:type="dxa"/>
          </w:tcPr>
          <w:p w14:paraId="31A59E59" w14:textId="77777777" w:rsidR="00C10A48" w:rsidRPr="00FF386D" w:rsidRDefault="00C10A48" w:rsidP="00C10A48">
            <w:pPr>
              <w:rPr>
                <w:rFonts w:asciiTheme="majorHAnsi" w:hAnsiTheme="majorHAnsi" w:cstheme="majorHAnsi"/>
                <w:sz w:val="22"/>
                <w:szCs w:val="22"/>
                <w:lang w:eastAsia="el-GR"/>
              </w:rPr>
            </w:pPr>
            <w:r w:rsidRPr="00FF386D">
              <w:rPr>
                <w:rFonts w:asciiTheme="majorHAnsi" w:hAnsiTheme="majorHAnsi" w:cstheme="majorHAnsi"/>
              </w:rPr>
              <w:t>Албанија</w:t>
            </w:r>
          </w:p>
        </w:tc>
      </w:tr>
      <w:tr w:rsidR="00C10A48" w:rsidRPr="00FF386D" w14:paraId="74B84A67" w14:textId="77777777" w:rsidTr="000A06F7">
        <w:tc>
          <w:tcPr>
            <w:tcW w:w="2155" w:type="dxa"/>
            <w:vAlign w:val="center"/>
          </w:tcPr>
          <w:p w14:paraId="76BCA64E"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i/>
                <w:iCs/>
              </w:rPr>
              <w:t>ASEAN</w:t>
            </w:r>
          </w:p>
        </w:tc>
        <w:tc>
          <w:tcPr>
            <w:tcW w:w="7343" w:type="dxa"/>
          </w:tcPr>
          <w:p w14:paraId="3E44E955" w14:textId="77777777" w:rsidR="00C10A48" w:rsidRPr="00FF386D" w:rsidRDefault="00C10A48" w:rsidP="00C10A48">
            <w:pPr>
              <w:rPr>
                <w:rFonts w:asciiTheme="majorHAnsi" w:hAnsiTheme="majorHAnsi" w:cstheme="majorHAnsi"/>
                <w:sz w:val="22"/>
                <w:szCs w:val="22"/>
                <w:lang w:eastAsia="el-GR"/>
              </w:rPr>
            </w:pPr>
            <w:r w:rsidRPr="00FF386D">
              <w:rPr>
                <w:rFonts w:asciiTheme="majorHAnsi" w:hAnsiTheme="majorHAnsi" w:cstheme="majorHAnsi"/>
                <w:lang w:eastAsia="el-GR"/>
              </w:rPr>
              <w:t>Асоцијација нација југоисточне Азије</w:t>
            </w:r>
          </w:p>
        </w:tc>
      </w:tr>
      <w:tr w:rsidR="00C10A48" w:rsidRPr="00FF386D" w14:paraId="6B894DAD" w14:textId="77777777" w:rsidTr="000A06F7">
        <w:tc>
          <w:tcPr>
            <w:tcW w:w="2155" w:type="dxa"/>
          </w:tcPr>
          <w:p w14:paraId="5D0B3A2B" w14:textId="7764C164" w:rsidR="00C10A48" w:rsidRPr="00FF386D" w:rsidRDefault="00177426" w:rsidP="00C10A48">
            <w:pPr>
              <w:pStyle w:val="LDKBullets-main"/>
              <w:numPr>
                <w:ilvl w:val="0"/>
                <w:numId w:val="0"/>
              </w:numPr>
              <w:spacing w:after="120"/>
              <w:ind w:left="360" w:hanging="360"/>
              <w:rPr>
                <w:rFonts w:asciiTheme="majorHAnsi" w:hAnsiTheme="majorHAnsi" w:cstheme="majorHAnsi"/>
                <w:i/>
                <w:iCs/>
                <w:sz w:val="22"/>
                <w:szCs w:val="22"/>
              </w:rPr>
            </w:pPr>
            <w:r w:rsidRPr="00FF386D">
              <w:rPr>
                <w:rFonts w:asciiTheme="majorHAnsi" w:hAnsiTheme="majorHAnsi" w:cstheme="majorHAnsi"/>
                <w:i/>
                <w:iCs/>
              </w:rPr>
              <w:t>BA</w:t>
            </w:r>
          </w:p>
        </w:tc>
        <w:tc>
          <w:tcPr>
            <w:tcW w:w="7343" w:type="dxa"/>
          </w:tcPr>
          <w:p w14:paraId="12C35B11" w14:textId="77777777" w:rsidR="00C10A48" w:rsidRPr="00FF386D" w:rsidRDefault="00C10A48" w:rsidP="00C10A48">
            <w:pPr>
              <w:pStyle w:val="LDKBullets-main"/>
              <w:numPr>
                <w:ilvl w:val="0"/>
                <w:numId w:val="0"/>
              </w:numPr>
              <w:spacing w:after="120"/>
              <w:ind w:left="360" w:hanging="360"/>
              <w:rPr>
                <w:rFonts w:asciiTheme="majorHAnsi" w:hAnsiTheme="majorHAnsi" w:cstheme="majorHAnsi"/>
                <w:sz w:val="22"/>
                <w:szCs w:val="22"/>
              </w:rPr>
            </w:pPr>
            <w:r w:rsidRPr="00FF386D">
              <w:rPr>
                <w:rFonts w:asciiTheme="majorHAnsi" w:hAnsiTheme="majorHAnsi" w:cstheme="majorHAnsi"/>
              </w:rPr>
              <w:t>Босна и Херцеговина</w:t>
            </w:r>
          </w:p>
        </w:tc>
      </w:tr>
      <w:tr w:rsidR="00C10A48" w:rsidRPr="00FF386D" w14:paraId="32160A19" w14:textId="77777777" w:rsidTr="000A06F7">
        <w:tc>
          <w:tcPr>
            <w:tcW w:w="2155" w:type="dxa"/>
          </w:tcPr>
          <w:p w14:paraId="0D75D006" w14:textId="3615FC0F" w:rsidR="00C10A48" w:rsidRPr="00FF386D" w:rsidRDefault="00177426" w:rsidP="00C10A48">
            <w:pPr>
              <w:rPr>
                <w:rFonts w:asciiTheme="majorHAnsi" w:hAnsiTheme="majorHAnsi" w:cstheme="majorHAnsi"/>
                <w:i/>
                <w:iCs/>
                <w:sz w:val="22"/>
                <w:szCs w:val="22"/>
              </w:rPr>
            </w:pPr>
            <w:r w:rsidRPr="00FF386D">
              <w:rPr>
                <w:rFonts w:asciiTheme="majorHAnsi" w:hAnsiTheme="majorHAnsi" w:cstheme="majorHAnsi"/>
                <w:i/>
                <w:iCs/>
              </w:rPr>
              <w:t>BG</w:t>
            </w:r>
          </w:p>
        </w:tc>
        <w:tc>
          <w:tcPr>
            <w:tcW w:w="7343" w:type="dxa"/>
          </w:tcPr>
          <w:p w14:paraId="7BBA387D" w14:textId="77777777" w:rsidR="00C10A48" w:rsidRPr="00FF386D" w:rsidRDefault="00C10A48" w:rsidP="00C10A48">
            <w:pPr>
              <w:pStyle w:val="LDKBullets-main"/>
              <w:numPr>
                <w:ilvl w:val="0"/>
                <w:numId w:val="0"/>
              </w:numPr>
              <w:spacing w:after="120"/>
              <w:ind w:left="360" w:hanging="360"/>
              <w:rPr>
                <w:rFonts w:asciiTheme="majorHAnsi" w:hAnsiTheme="majorHAnsi" w:cstheme="majorHAnsi"/>
                <w:sz w:val="22"/>
                <w:szCs w:val="22"/>
              </w:rPr>
            </w:pPr>
            <w:r w:rsidRPr="00FF386D">
              <w:rPr>
                <w:rFonts w:asciiTheme="majorHAnsi" w:hAnsiTheme="majorHAnsi" w:cstheme="majorHAnsi"/>
              </w:rPr>
              <w:t>Бугарска</w:t>
            </w:r>
          </w:p>
        </w:tc>
      </w:tr>
      <w:tr w:rsidR="00C10A48" w:rsidRPr="00FF386D" w14:paraId="73797BEA" w14:textId="77777777" w:rsidTr="000A06F7">
        <w:tc>
          <w:tcPr>
            <w:tcW w:w="2155" w:type="dxa"/>
          </w:tcPr>
          <w:p w14:paraId="128E3022"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i/>
                <w:iCs/>
              </w:rPr>
              <w:t>BUR</w:t>
            </w:r>
          </w:p>
        </w:tc>
        <w:tc>
          <w:tcPr>
            <w:tcW w:w="7343" w:type="dxa"/>
          </w:tcPr>
          <w:p w14:paraId="73D95407" w14:textId="77777777" w:rsidR="00C10A48" w:rsidRPr="00FF386D" w:rsidRDefault="00C10A48" w:rsidP="00C10A48">
            <w:pPr>
              <w:rPr>
                <w:rFonts w:asciiTheme="majorHAnsi" w:hAnsiTheme="majorHAnsi" w:cstheme="majorHAnsi"/>
                <w:sz w:val="22"/>
                <w:szCs w:val="22"/>
                <w:lang w:eastAsia="el-GR"/>
              </w:rPr>
            </w:pPr>
            <w:r w:rsidRPr="00FF386D">
              <w:rPr>
                <w:rFonts w:asciiTheme="majorHAnsi" w:hAnsiTheme="majorHAnsi" w:cstheme="majorHAnsi"/>
              </w:rPr>
              <w:t>Двогодишњи ажурирани извештај</w:t>
            </w:r>
          </w:p>
        </w:tc>
      </w:tr>
      <w:tr w:rsidR="00C10A48" w:rsidRPr="00FF386D" w14:paraId="2B7978B9" w14:textId="77777777" w:rsidTr="000A06F7">
        <w:tc>
          <w:tcPr>
            <w:tcW w:w="2155" w:type="dxa"/>
          </w:tcPr>
          <w:p w14:paraId="1693A517"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i/>
                <w:iCs/>
              </w:rPr>
              <w:t>CACM</w:t>
            </w:r>
          </w:p>
        </w:tc>
        <w:tc>
          <w:tcPr>
            <w:tcW w:w="7343" w:type="dxa"/>
          </w:tcPr>
          <w:p w14:paraId="3931182E" w14:textId="77777777" w:rsidR="00C10A48" w:rsidRPr="00FF386D" w:rsidRDefault="00C10A48" w:rsidP="00C10A48">
            <w:pPr>
              <w:rPr>
                <w:rFonts w:asciiTheme="majorHAnsi" w:hAnsiTheme="majorHAnsi" w:cstheme="majorHAnsi"/>
                <w:sz w:val="22"/>
                <w:szCs w:val="22"/>
                <w:lang w:eastAsia="el-GR"/>
              </w:rPr>
            </w:pPr>
            <w:r w:rsidRPr="00FF386D">
              <w:rPr>
                <w:rFonts w:asciiTheme="majorHAnsi" w:hAnsiTheme="majorHAnsi" w:cstheme="majorHAnsi"/>
              </w:rPr>
              <w:t>Расподела прекограничних капацитет и управљање загушењима</w:t>
            </w:r>
          </w:p>
        </w:tc>
      </w:tr>
      <w:tr w:rsidR="00C10A48" w:rsidRPr="00FF386D" w14:paraId="4606CA62" w14:textId="77777777" w:rsidTr="000A06F7">
        <w:tc>
          <w:tcPr>
            <w:tcW w:w="2155" w:type="dxa"/>
          </w:tcPr>
          <w:p w14:paraId="6E192D24" w14:textId="77777777" w:rsidR="00C10A48" w:rsidRPr="00FF386D" w:rsidRDefault="00C10A48" w:rsidP="00C10A48">
            <w:pPr>
              <w:pStyle w:val="LDKBullets-main"/>
              <w:numPr>
                <w:ilvl w:val="0"/>
                <w:numId w:val="0"/>
              </w:numPr>
              <w:spacing w:after="120"/>
              <w:ind w:left="360" w:hanging="360"/>
              <w:rPr>
                <w:rFonts w:asciiTheme="majorHAnsi" w:hAnsiTheme="majorHAnsi" w:cstheme="majorHAnsi"/>
                <w:sz w:val="22"/>
                <w:szCs w:val="22"/>
              </w:rPr>
            </w:pPr>
            <w:r w:rsidRPr="00FF386D">
              <w:rPr>
                <w:rFonts w:asciiTheme="majorHAnsi" w:hAnsiTheme="majorHAnsi" w:cstheme="majorHAnsi"/>
                <w:i/>
                <w:iCs/>
              </w:rPr>
              <w:t xml:space="preserve">CBAM </w:t>
            </w:r>
          </w:p>
        </w:tc>
        <w:tc>
          <w:tcPr>
            <w:tcW w:w="7343" w:type="dxa"/>
          </w:tcPr>
          <w:p w14:paraId="56E5B969" w14:textId="77777777" w:rsidR="00C10A48" w:rsidRPr="00FF386D" w:rsidRDefault="00C10A48" w:rsidP="00C10A48">
            <w:pPr>
              <w:pStyle w:val="LDKBullets-main"/>
              <w:numPr>
                <w:ilvl w:val="0"/>
                <w:numId w:val="0"/>
              </w:numPr>
              <w:spacing w:after="120"/>
              <w:ind w:left="360" w:hanging="360"/>
              <w:rPr>
                <w:rFonts w:asciiTheme="majorHAnsi" w:hAnsiTheme="majorHAnsi" w:cstheme="majorHAnsi"/>
                <w:sz w:val="22"/>
                <w:szCs w:val="22"/>
              </w:rPr>
            </w:pPr>
            <w:r w:rsidRPr="00FF386D">
              <w:rPr>
                <w:rFonts w:asciiTheme="majorHAnsi" w:hAnsiTheme="majorHAnsi" w:cstheme="majorHAnsi"/>
              </w:rPr>
              <w:t>Механизам за прекогранично прилагођавање угљеника</w:t>
            </w:r>
          </w:p>
        </w:tc>
      </w:tr>
      <w:tr w:rsidR="00C10A48" w:rsidRPr="00FF386D" w14:paraId="063590E7" w14:textId="77777777" w:rsidTr="000A06F7">
        <w:tc>
          <w:tcPr>
            <w:tcW w:w="2155" w:type="dxa"/>
          </w:tcPr>
          <w:p w14:paraId="0D8EF842" w14:textId="77777777" w:rsidR="00C10A48" w:rsidRPr="00FF386D" w:rsidRDefault="00C10A48" w:rsidP="00C10A48">
            <w:pPr>
              <w:jc w:val="left"/>
              <w:rPr>
                <w:rFonts w:asciiTheme="majorHAnsi" w:hAnsiTheme="majorHAnsi" w:cstheme="majorHAnsi"/>
                <w:sz w:val="22"/>
                <w:szCs w:val="22"/>
              </w:rPr>
            </w:pPr>
            <w:r w:rsidRPr="00FF386D">
              <w:rPr>
                <w:rFonts w:asciiTheme="majorHAnsi" w:hAnsiTheme="majorHAnsi" w:cstheme="majorHAnsi"/>
                <w:i/>
                <w:iCs/>
              </w:rPr>
              <w:t xml:space="preserve">CCGT </w:t>
            </w:r>
          </w:p>
        </w:tc>
        <w:tc>
          <w:tcPr>
            <w:tcW w:w="7343" w:type="dxa"/>
          </w:tcPr>
          <w:p w14:paraId="40D6A99C" w14:textId="7354FEB1" w:rsidR="00C10A48" w:rsidRPr="00FF386D" w:rsidRDefault="00C10A48" w:rsidP="00C10A48">
            <w:pPr>
              <w:rPr>
                <w:rFonts w:asciiTheme="majorHAnsi" w:hAnsiTheme="majorHAnsi" w:cstheme="majorHAnsi"/>
                <w:sz w:val="22"/>
                <w:szCs w:val="22"/>
                <w:lang w:eastAsia="el-GR"/>
              </w:rPr>
            </w:pPr>
            <w:r w:rsidRPr="00FF386D">
              <w:rPr>
                <w:rFonts w:asciiTheme="majorHAnsi" w:hAnsiTheme="majorHAnsi" w:cstheme="majorHAnsi"/>
              </w:rPr>
              <w:t xml:space="preserve">Електрана </w:t>
            </w:r>
            <w:r w:rsidR="005446E5" w:rsidRPr="00FF386D">
              <w:rPr>
                <w:rFonts w:asciiTheme="majorHAnsi" w:hAnsiTheme="majorHAnsi" w:cstheme="majorHAnsi"/>
              </w:rPr>
              <w:t xml:space="preserve">са </w:t>
            </w:r>
            <w:r w:rsidRPr="00FF386D">
              <w:rPr>
                <w:rFonts w:asciiTheme="majorHAnsi" w:hAnsiTheme="majorHAnsi" w:cstheme="majorHAnsi"/>
              </w:rPr>
              <w:t>комбинован</w:t>
            </w:r>
            <w:r w:rsidR="005446E5" w:rsidRPr="00FF386D">
              <w:rPr>
                <w:rFonts w:asciiTheme="majorHAnsi" w:hAnsiTheme="majorHAnsi" w:cstheme="majorHAnsi"/>
              </w:rPr>
              <w:t>им</w:t>
            </w:r>
            <w:r w:rsidRPr="00FF386D">
              <w:rPr>
                <w:rFonts w:asciiTheme="majorHAnsi" w:hAnsiTheme="majorHAnsi" w:cstheme="majorHAnsi"/>
              </w:rPr>
              <w:t xml:space="preserve"> циклус</w:t>
            </w:r>
            <w:r w:rsidR="005446E5" w:rsidRPr="00FF386D">
              <w:rPr>
                <w:rFonts w:asciiTheme="majorHAnsi" w:hAnsiTheme="majorHAnsi" w:cstheme="majorHAnsi"/>
              </w:rPr>
              <w:t>ом</w:t>
            </w:r>
          </w:p>
        </w:tc>
      </w:tr>
      <w:tr w:rsidR="00C10A48" w:rsidRPr="00FF386D" w14:paraId="73AF999E" w14:textId="77777777" w:rsidTr="000A06F7">
        <w:tc>
          <w:tcPr>
            <w:tcW w:w="2155" w:type="dxa"/>
          </w:tcPr>
          <w:p w14:paraId="5004AF7B" w14:textId="77777777" w:rsidR="00C10A48" w:rsidRPr="00FF386D" w:rsidRDefault="00C10A48" w:rsidP="00C10A48">
            <w:pPr>
              <w:jc w:val="left"/>
              <w:rPr>
                <w:rFonts w:asciiTheme="majorHAnsi" w:hAnsiTheme="majorHAnsi" w:cstheme="majorHAnsi"/>
                <w:sz w:val="22"/>
                <w:szCs w:val="22"/>
              </w:rPr>
            </w:pPr>
            <w:r w:rsidRPr="00FF386D">
              <w:rPr>
                <w:rFonts w:asciiTheme="majorHAnsi" w:hAnsiTheme="majorHAnsi" w:cstheme="majorHAnsi"/>
                <w:i/>
                <w:iCs/>
              </w:rPr>
              <w:t>CCUS</w:t>
            </w:r>
          </w:p>
        </w:tc>
        <w:tc>
          <w:tcPr>
            <w:tcW w:w="7343" w:type="dxa"/>
          </w:tcPr>
          <w:p w14:paraId="5ECCD90C" w14:textId="77777777" w:rsidR="00C10A48" w:rsidRPr="00FF386D" w:rsidRDefault="00C10A48" w:rsidP="00C10A48">
            <w:pPr>
              <w:jc w:val="left"/>
              <w:rPr>
                <w:rFonts w:asciiTheme="majorHAnsi" w:hAnsiTheme="majorHAnsi" w:cstheme="majorHAnsi"/>
                <w:sz w:val="22"/>
                <w:szCs w:val="22"/>
              </w:rPr>
            </w:pPr>
            <w:r w:rsidRPr="00FF386D">
              <w:rPr>
                <w:rFonts w:asciiTheme="majorHAnsi" w:hAnsiTheme="majorHAnsi" w:cstheme="majorHAnsi"/>
              </w:rPr>
              <w:t>Хватање, складиштење и коришћење угљеника</w:t>
            </w:r>
          </w:p>
        </w:tc>
      </w:tr>
      <w:tr w:rsidR="00C10A48" w:rsidRPr="00FF386D" w14:paraId="5AEAADEB" w14:textId="77777777" w:rsidTr="000A06F7">
        <w:tc>
          <w:tcPr>
            <w:tcW w:w="2155" w:type="dxa"/>
          </w:tcPr>
          <w:p w14:paraId="32A530B2"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rPr>
              <w:t>ЦЕКОР</w:t>
            </w:r>
          </w:p>
        </w:tc>
        <w:tc>
          <w:tcPr>
            <w:tcW w:w="7343" w:type="dxa"/>
          </w:tcPr>
          <w:p w14:paraId="0649DE88"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rPr>
              <w:t>Центар за екологију и одрживи развој</w:t>
            </w:r>
          </w:p>
        </w:tc>
      </w:tr>
      <w:tr w:rsidR="00C10A48" w:rsidRPr="00FF386D" w14:paraId="64773EEF" w14:textId="77777777" w:rsidTr="000A06F7">
        <w:tc>
          <w:tcPr>
            <w:tcW w:w="2155" w:type="dxa"/>
          </w:tcPr>
          <w:p w14:paraId="781EF825"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i/>
                <w:iCs/>
              </w:rPr>
              <w:t>COP21</w:t>
            </w:r>
          </w:p>
        </w:tc>
        <w:tc>
          <w:tcPr>
            <w:tcW w:w="7343" w:type="dxa"/>
          </w:tcPr>
          <w:p w14:paraId="5722933C"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rPr>
              <w:t>Конференција о климатским променама у Паризу</w:t>
            </w:r>
          </w:p>
        </w:tc>
      </w:tr>
      <w:tr w:rsidR="00C10A48" w:rsidRPr="00FF386D" w14:paraId="46FB0D98" w14:textId="77777777" w:rsidTr="000A06F7">
        <w:tc>
          <w:tcPr>
            <w:tcW w:w="2155" w:type="dxa"/>
          </w:tcPr>
          <w:p w14:paraId="4DB6445E"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rPr>
              <w:t>УС</w:t>
            </w:r>
          </w:p>
        </w:tc>
        <w:tc>
          <w:tcPr>
            <w:tcW w:w="7343" w:type="dxa"/>
          </w:tcPr>
          <w:p w14:paraId="6469B96A"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rPr>
              <w:t>Уговорне стране</w:t>
            </w:r>
          </w:p>
        </w:tc>
      </w:tr>
      <w:tr w:rsidR="00C10A48" w:rsidRPr="00FF386D" w14:paraId="395E96C8" w14:textId="77777777" w:rsidTr="000A06F7">
        <w:tc>
          <w:tcPr>
            <w:tcW w:w="2155" w:type="dxa"/>
            <w:vAlign w:val="bottom"/>
          </w:tcPr>
          <w:p w14:paraId="28456440"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rPr>
              <w:t>ОДС</w:t>
            </w:r>
          </w:p>
        </w:tc>
        <w:tc>
          <w:tcPr>
            <w:tcW w:w="7343" w:type="dxa"/>
            <w:vAlign w:val="bottom"/>
          </w:tcPr>
          <w:p w14:paraId="0923B189"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color w:val="000000"/>
              </w:rPr>
              <w:t>Оператор дистрибуционог система</w:t>
            </w:r>
          </w:p>
        </w:tc>
      </w:tr>
      <w:tr w:rsidR="00C10A48" w:rsidRPr="00FF386D" w14:paraId="0F38E43F" w14:textId="77777777" w:rsidTr="000A06F7">
        <w:tc>
          <w:tcPr>
            <w:tcW w:w="2155" w:type="dxa"/>
            <w:vAlign w:val="bottom"/>
          </w:tcPr>
          <w:p w14:paraId="7CCB5177"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i/>
                <w:iCs/>
              </w:rPr>
              <w:t>EBRD</w:t>
            </w:r>
          </w:p>
        </w:tc>
        <w:tc>
          <w:tcPr>
            <w:tcW w:w="7343" w:type="dxa"/>
            <w:vAlign w:val="bottom"/>
          </w:tcPr>
          <w:p w14:paraId="1F014821"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color w:val="000000"/>
              </w:rPr>
              <w:t>Европска банка за обнову и развој</w:t>
            </w:r>
          </w:p>
        </w:tc>
      </w:tr>
      <w:tr w:rsidR="00C10A48" w:rsidRPr="00FF386D" w14:paraId="5A827490" w14:textId="77777777" w:rsidTr="000A06F7">
        <w:tc>
          <w:tcPr>
            <w:tcW w:w="2155" w:type="dxa"/>
            <w:vAlign w:val="bottom"/>
          </w:tcPr>
          <w:p w14:paraId="1498F897"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color w:val="000000"/>
              </w:rPr>
              <w:t>EE</w:t>
            </w:r>
          </w:p>
        </w:tc>
        <w:tc>
          <w:tcPr>
            <w:tcW w:w="7343" w:type="dxa"/>
            <w:vAlign w:val="bottom"/>
          </w:tcPr>
          <w:p w14:paraId="4B857912" w14:textId="786D64D3" w:rsidR="00C10A48" w:rsidRPr="00FF386D" w:rsidRDefault="00157C37" w:rsidP="00C10A48">
            <w:pPr>
              <w:rPr>
                <w:rFonts w:asciiTheme="majorHAnsi" w:hAnsiTheme="majorHAnsi" w:cstheme="majorHAnsi"/>
                <w:sz w:val="22"/>
                <w:szCs w:val="22"/>
              </w:rPr>
            </w:pPr>
            <w:r w:rsidRPr="00FF386D">
              <w:rPr>
                <w:rFonts w:asciiTheme="majorHAnsi" w:hAnsiTheme="majorHAnsi" w:cstheme="majorHAnsi"/>
                <w:color w:val="000000"/>
              </w:rPr>
              <w:t>Енергетска</w:t>
            </w:r>
            <w:r w:rsidR="00C10A48" w:rsidRPr="00FF386D">
              <w:rPr>
                <w:rFonts w:asciiTheme="majorHAnsi" w:hAnsiTheme="majorHAnsi" w:cstheme="majorHAnsi"/>
                <w:color w:val="000000"/>
              </w:rPr>
              <w:t xml:space="preserve"> ефикасност</w:t>
            </w:r>
          </w:p>
        </w:tc>
      </w:tr>
      <w:tr w:rsidR="00C10A48" w:rsidRPr="00FF386D" w14:paraId="0AC6F7D3" w14:textId="77777777" w:rsidTr="000A06F7">
        <w:tc>
          <w:tcPr>
            <w:tcW w:w="2155" w:type="dxa"/>
            <w:vAlign w:val="bottom"/>
          </w:tcPr>
          <w:p w14:paraId="59BEAE06"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i/>
                <w:iCs/>
                <w:color w:val="000000"/>
              </w:rPr>
              <w:t>EEFIG</w:t>
            </w:r>
          </w:p>
        </w:tc>
        <w:tc>
          <w:tcPr>
            <w:tcW w:w="7343" w:type="dxa"/>
            <w:vAlign w:val="bottom"/>
          </w:tcPr>
          <w:p w14:paraId="032703BC"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color w:val="000000"/>
              </w:rPr>
              <w:t>Група финансијских институција за енергетску ефикасност</w:t>
            </w:r>
          </w:p>
        </w:tc>
      </w:tr>
      <w:tr w:rsidR="00C10A48" w:rsidRPr="00FF386D" w14:paraId="5BAB3CA1" w14:textId="77777777" w:rsidTr="000A06F7">
        <w:tc>
          <w:tcPr>
            <w:tcW w:w="2155" w:type="dxa"/>
            <w:vAlign w:val="bottom"/>
          </w:tcPr>
          <w:p w14:paraId="0E1E19CC"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color w:val="000000"/>
              </w:rPr>
              <w:t>EЗ</w:t>
            </w:r>
          </w:p>
        </w:tc>
        <w:tc>
          <w:tcPr>
            <w:tcW w:w="7343" w:type="dxa"/>
            <w:vAlign w:val="bottom"/>
          </w:tcPr>
          <w:p w14:paraId="33D05DCC" w14:textId="05833969" w:rsidR="00C10A48" w:rsidRPr="00FF386D" w:rsidRDefault="00157C37" w:rsidP="00C10A48">
            <w:pPr>
              <w:rPr>
                <w:rFonts w:asciiTheme="majorHAnsi" w:hAnsiTheme="majorHAnsi" w:cstheme="majorHAnsi"/>
                <w:sz w:val="22"/>
                <w:szCs w:val="22"/>
              </w:rPr>
            </w:pPr>
            <w:r w:rsidRPr="00FF386D">
              <w:rPr>
                <w:rFonts w:asciiTheme="majorHAnsi" w:hAnsiTheme="majorHAnsi" w:cstheme="majorHAnsi"/>
                <w:color w:val="000000"/>
              </w:rPr>
              <w:t>Енергетска</w:t>
            </w:r>
            <w:r w:rsidR="00C10A48" w:rsidRPr="00FF386D">
              <w:rPr>
                <w:rFonts w:asciiTheme="majorHAnsi" w:hAnsiTheme="majorHAnsi" w:cstheme="majorHAnsi"/>
                <w:color w:val="000000"/>
              </w:rPr>
              <w:t xml:space="preserve"> заједница</w:t>
            </w:r>
          </w:p>
        </w:tc>
      </w:tr>
      <w:tr w:rsidR="00C10A48" w:rsidRPr="00FF386D" w14:paraId="7C3BA910" w14:textId="77777777" w:rsidTr="000A06F7">
        <w:tc>
          <w:tcPr>
            <w:tcW w:w="2155" w:type="dxa"/>
            <w:vAlign w:val="bottom"/>
          </w:tcPr>
          <w:p w14:paraId="5341C2B1"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i/>
                <w:iCs/>
                <w:color w:val="000000"/>
              </w:rPr>
              <w:t>ENTSO-E</w:t>
            </w:r>
          </w:p>
        </w:tc>
        <w:tc>
          <w:tcPr>
            <w:tcW w:w="7343" w:type="dxa"/>
            <w:vAlign w:val="bottom"/>
          </w:tcPr>
          <w:p w14:paraId="1CD6EC80"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color w:val="000000"/>
              </w:rPr>
              <w:t>Европска мрежа оператора преносног система за електричну енергију</w:t>
            </w:r>
          </w:p>
        </w:tc>
      </w:tr>
      <w:tr w:rsidR="00C10A48" w:rsidRPr="00FF386D" w14:paraId="2BF4BF3C" w14:textId="77777777" w:rsidTr="000A06F7">
        <w:tc>
          <w:tcPr>
            <w:tcW w:w="2155" w:type="dxa"/>
            <w:vAlign w:val="bottom"/>
          </w:tcPr>
          <w:p w14:paraId="17D1BE5B"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i/>
                <w:iCs/>
                <w:color w:val="000000"/>
              </w:rPr>
              <w:t xml:space="preserve">ENTSOG </w:t>
            </w:r>
          </w:p>
        </w:tc>
        <w:tc>
          <w:tcPr>
            <w:tcW w:w="7343" w:type="dxa"/>
            <w:vAlign w:val="bottom"/>
          </w:tcPr>
          <w:p w14:paraId="64806021"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color w:val="000000"/>
              </w:rPr>
              <w:t>Европска мрежа оператора преносног система за гас</w:t>
            </w:r>
          </w:p>
        </w:tc>
      </w:tr>
      <w:tr w:rsidR="00C10A48" w:rsidRPr="00FF386D" w14:paraId="3E235B42" w14:textId="77777777" w:rsidTr="000A06F7">
        <w:tc>
          <w:tcPr>
            <w:tcW w:w="2155" w:type="dxa"/>
            <w:vAlign w:val="bottom"/>
          </w:tcPr>
          <w:p w14:paraId="67593431"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i/>
                <w:iCs/>
                <w:color w:val="000000"/>
              </w:rPr>
              <w:t>EPEX SPOT</w:t>
            </w:r>
          </w:p>
        </w:tc>
        <w:tc>
          <w:tcPr>
            <w:tcW w:w="7343" w:type="dxa"/>
            <w:vAlign w:val="bottom"/>
          </w:tcPr>
          <w:p w14:paraId="64341C02"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color w:val="000000"/>
              </w:rPr>
              <w:t>Европска берза електричне енергије</w:t>
            </w:r>
          </w:p>
        </w:tc>
      </w:tr>
      <w:tr w:rsidR="00C10A48" w:rsidRPr="00FF386D" w14:paraId="7D767806" w14:textId="77777777" w:rsidTr="000A06F7">
        <w:tc>
          <w:tcPr>
            <w:tcW w:w="2155" w:type="dxa"/>
            <w:vAlign w:val="bottom"/>
          </w:tcPr>
          <w:p w14:paraId="6D70C758"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rPr>
              <w:t>ЕПС</w:t>
            </w:r>
          </w:p>
        </w:tc>
        <w:tc>
          <w:tcPr>
            <w:tcW w:w="7343" w:type="dxa"/>
            <w:vAlign w:val="bottom"/>
          </w:tcPr>
          <w:p w14:paraId="1A9C690B" w14:textId="77777777" w:rsidR="00C10A48" w:rsidRPr="00FF386D" w:rsidRDefault="00C10A48" w:rsidP="00C10A48">
            <w:pPr>
              <w:jc w:val="left"/>
              <w:rPr>
                <w:rFonts w:asciiTheme="majorHAnsi" w:hAnsiTheme="majorHAnsi" w:cstheme="majorHAnsi"/>
                <w:sz w:val="22"/>
                <w:szCs w:val="22"/>
              </w:rPr>
            </w:pPr>
            <w:r w:rsidRPr="00FF386D">
              <w:rPr>
                <w:rFonts w:asciiTheme="majorHAnsi" w:hAnsiTheme="majorHAnsi" w:cstheme="majorHAnsi"/>
                <w:color w:val="000000"/>
              </w:rPr>
              <w:t>Јавно предузеће „Електропривреда Србије”</w:t>
            </w:r>
          </w:p>
        </w:tc>
      </w:tr>
      <w:tr w:rsidR="00C10A48" w:rsidRPr="00FF386D" w14:paraId="2A644A87" w14:textId="77777777" w:rsidTr="00D24C20">
        <w:tc>
          <w:tcPr>
            <w:tcW w:w="2155" w:type="dxa"/>
            <w:vAlign w:val="bottom"/>
          </w:tcPr>
          <w:p w14:paraId="44E784C0"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i/>
                <w:iCs/>
                <w:color w:val="000000"/>
              </w:rPr>
              <w:t xml:space="preserve">ESCO </w:t>
            </w:r>
          </w:p>
        </w:tc>
        <w:tc>
          <w:tcPr>
            <w:tcW w:w="7343" w:type="dxa"/>
            <w:vAlign w:val="bottom"/>
          </w:tcPr>
          <w:p w14:paraId="00DC9C49"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color w:val="000000"/>
              </w:rPr>
              <w:t>Компаније за пружање енергетских услуга</w:t>
            </w:r>
          </w:p>
        </w:tc>
      </w:tr>
      <w:tr w:rsidR="00C10A48" w:rsidRPr="00FF386D" w14:paraId="7CC560E3" w14:textId="77777777" w:rsidTr="00D24C20">
        <w:tc>
          <w:tcPr>
            <w:tcW w:w="2155" w:type="dxa"/>
            <w:vAlign w:val="bottom"/>
          </w:tcPr>
          <w:p w14:paraId="648BE4C0"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i/>
                <w:iCs/>
                <w:color w:val="000000"/>
              </w:rPr>
              <w:t xml:space="preserve">ETS </w:t>
            </w:r>
          </w:p>
        </w:tc>
        <w:tc>
          <w:tcPr>
            <w:tcW w:w="7343" w:type="dxa"/>
            <w:vAlign w:val="bottom"/>
          </w:tcPr>
          <w:p w14:paraId="65D37892"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color w:val="000000"/>
              </w:rPr>
              <w:t>Систем трговине емисијама</w:t>
            </w:r>
          </w:p>
        </w:tc>
      </w:tr>
      <w:tr w:rsidR="00C10A48" w:rsidRPr="00FF386D" w14:paraId="32FC17C9" w14:textId="77777777" w:rsidTr="00D24C20">
        <w:tc>
          <w:tcPr>
            <w:tcW w:w="2155" w:type="dxa"/>
            <w:vAlign w:val="bottom"/>
          </w:tcPr>
          <w:p w14:paraId="3B22DB3A"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rPr>
              <w:t>ЕУ</w:t>
            </w:r>
          </w:p>
        </w:tc>
        <w:tc>
          <w:tcPr>
            <w:tcW w:w="7343" w:type="dxa"/>
            <w:vAlign w:val="bottom"/>
          </w:tcPr>
          <w:p w14:paraId="4341162A" w14:textId="77777777" w:rsidR="00C10A48" w:rsidRPr="00FF386D" w:rsidRDefault="00C10A48" w:rsidP="00C10A48">
            <w:pPr>
              <w:rPr>
                <w:rFonts w:asciiTheme="majorHAnsi" w:hAnsiTheme="majorHAnsi" w:cstheme="majorHAnsi"/>
                <w:sz w:val="22"/>
                <w:szCs w:val="22"/>
              </w:rPr>
            </w:pPr>
            <w:r w:rsidRPr="00FF386D">
              <w:rPr>
                <w:rFonts w:asciiTheme="majorHAnsi" w:hAnsiTheme="majorHAnsi" w:cstheme="majorHAnsi"/>
              </w:rPr>
              <w:t>Европска унија</w:t>
            </w:r>
          </w:p>
        </w:tc>
      </w:tr>
      <w:tr w:rsidR="00C10A48" w:rsidRPr="00FF386D" w14:paraId="781D2478" w14:textId="77777777" w:rsidTr="00D24C20">
        <w:tc>
          <w:tcPr>
            <w:tcW w:w="2155" w:type="dxa"/>
            <w:vAlign w:val="bottom"/>
          </w:tcPr>
          <w:p w14:paraId="0C293B49"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БДП</w:t>
            </w:r>
          </w:p>
        </w:tc>
        <w:tc>
          <w:tcPr>
            <w:tcW w:w="7343" w:type="dxa"/>
            <w:vAlign w:val="bottom"/>
          </w:tcPr>
          <w:p w14:paraId="24D41B04"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Бруто домаћи производ</w:t>
            </w:r>
          </w:p>
        </w:tc>
      </w:tr>
      <w:tr w:rsidR="00C10A48" w:rsidRPr="00FF386D" w14:paraId="11B66E5E" w14:textId="77777777" w:rsidTr="00D24C20">
        <w:tc>
          <w:tcPr>
            <w:tcW w:w="2155" w:type="dxa"/>
            <w:vAlign w:val="bottom"/>
          </w:tcPr>
          <w:p w14:paraId="110CFC65"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БПФЕ</w:t>
            </w:r>
          </w:p>
        </w:tc>
        <w:tc>
          <w:tcPr>
            <w:tcW w:w="7343" w:type="dxa"/>
            <w:vAlign w:val="bottom"/>
          </w:tcPr>
          <w:p w14:paraId="3A3B5847"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Бруто потрошња финалне енергије</w:t>
            </w:r>
          </w:p>
        </w:tc>
      </w:tr>
      <w:tr w:rsidR="00C10A48" w:rsidRPr="00FF386D" w14:paraId="073FB41A" w14:textId="77777777" w:rsidTr="00D24C20">
        <w:tc>
          <w:tcPr>
            <w:tcW w:w="2155" w:type="dxa"/>
            <w:vAlign w:val="bottom"/>
          </w:tcPr>
          <w:p w14:paraId="1EB4C612"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i/>
                <w:iCs/>
                <w:color w:val="000000"/>
              </w:rPr>
              <w:t xml:space="preserve">GHG </w:t>
            </w:r>
          </w:p>
        </w:tc>
        <w:tc>
          <w:tcPr>
            <w:tcW w:w="7343" w:type="dxa"/>
            <w:vAlign w:val="bottom"/>
          </w:tcPr>
          <w:p w14:paraId="181F63AD"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Гасови са ефектом стаклене баште</w:t>
            </w:r>
          </w:p>
        </w:tc>
      </w:tr>
      <w:tr w:rsidR="00C10A48" w:rsidRPr="00FF386D" w14:paraId="38855616" w14:textId="77777777" w:rsidTr="00D24C20">
        <w:tc>
          <w:tcPr>
            <w:tcW w:w="2155" w:type="dxa"/>
            <w:vAlign w:val="bottom"/>
          </w:tcPr>
          <w:p w14:paraId="31ECEB2A"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БДВ</w:t>
            </w:r>
          </w:p>
        </w:tc>
        <w:tc>
          <w:tcPr>
            <w:tcW w:w="7343" w:type="dxa"/>
            <w:vAlign w:val="bottom"/>
          </w:tcPr>
          <w:p w14:paraId="69067A0E"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Бруто додата вредност</w:t>
            </w:r>
          </w:p>
        </w:tc>
      </w:tr>
      <w:tr w:rsidR="00C10A48" w:rsidRPr="00FF386D" w14:paraId="6D3B7ACF" w14:textId="77777777" w:rsidTr="00D24C20">
        <w:tc>
          <w:tcPr>
            <w:tcW w:w="2155" w:type="dxa"/>
            <w:vAlign w:val="bottom"/>
          </w:tcPr>
          <w:p w14:paraId="6E444C27"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i/>
                <w:iCs/>
                <w:color w:val="000000"/>
              </w:rPr>
              <w:t>GWP</w:t>
            </w:r>
          </w:p>
        </w:tc>
        <w:tc>
          <w:tcPr>
            <w:tcW w:w="7343" w:type="dxa"/>
            <w:vAlign w:val="bottom"/>
          </w:tcPr>
          <w:p w14:paraId="4D2A5CEB"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Потенцијал глобалног загревања</w:t>
            </w:r>
          </w:p>
        </w:tc>
      </w:tr>
      <w:tr w:rsidR="00C10A48" w:rsidRPr="00FF386D" w14:paraId="442696E8" w14:textId="77777777" w:rsidTr="00D24C20">
        <w:tc>
          <w:tcPr>
            <w:tcW w:w="2155" w:type="dxa"/>
            <w:vAlign w:val="bottom"/>
          </w:tcPr>
          <w:p w14:paraId="1DE3566E" w14:textId="57F97CC0" w:rsidR="00C10A48" w:rsidRPr="00FF386D" w:rsidRDefault="00177426" w:rsidP="00C10A48">
            <w:pPr>
              <w:rPr>
                <w:rFonts w:asciiTheme="majorHAnsi" w:hAnsiTheme="majorHAnsi" w:cstheme="majorHAnsi"/>
                <w:i/>
                <w:iCs/>
                <w:color w:val="000000"/>
                <w:sz w:val="22"/>
                <w:szCs w:val="22"/>
              </w:rPr>
            </w:pPr>
            <w:r w:rsidRPr="00FF386D">
              <w:rPr>
                <w:rFonts w:asciiTheme="majorHAnsi" w:hAnsiTheme="majorHAnsi" w:cstheme="majorHAnsi"/>
                <w:i/>
                <w:iCs/>
                <w:color w:val="000000"/>
              </w:rPr>
              <w:t>HR</w:t>
            </w:r>
          </w:p>
        </w:tc>
        <w:tc>
          <w:tcPr>
            <w:tcW w:w="7343" w:type="dxa"/>
            <w:vAlign w:val="bottom"/>
          </w:tcPr>
          <w:p w14:paraId="35777DEC"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Хрватска</w:t>
            </w:r>
          </w:p>
        </w:tc>
      </w:tr>
      <w:tr w:rsidR="00C10A48" w:rsidRPr="00FF386D" w14:paraId="6C15CC50" w14:textId="77777777" w:rsidTr="00D24C20">
        <w:tc>
          <w:tcPr>
            <w:tcW w:w="2155" w:type="dxa"/>
            <w:vAlign w:val="bottom"/>
          </w:tcPr>
          <w:p w14:paraId="177829C3"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i/>
                <w:iCs/>
                <w:color w:val="000000"/>
              </w:rPr>
              <w:t>IAEA</w:t>
            </w:r>
          </w:p>
        </w:tc>
        <w:tc>
          <w:tcPr>
            <w:tcW w:w="7343" w:type="dxa"/>
            <w:vAlign w:val="bottom"/>
          </w:tcPr>
          <w:p w14:paraId="77E6CB65"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Међународна агенција за атомску енергију</w:t>
            </w:r>
          </w:p>
        </w:tc>
      </w:tr>
      <w:tr w:rsidR="00C10A48" w:rsidRPr="00FF386D" w14:paraId="2F439C70" w14:textId="77777777" w:rsidTr="00D24C20">
        <w:tc>
          <w:tcPr>
            <w:tcW w:w="2155" w:type="dxa"/>
            <w:vAlign w:val="bottom"/>
          </w:tcPr>
          <w:p w14:paraId="1B4C0530"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ИКТ</w:t>
            </w:r>
          </w:p>
        </w:tc>
        <w:tc>
          <w:tcPr>
            <w:tcW w:w="7343" w:type="dxa"/>
            <w:vAlign w:val="bottom"/>
          </w:tcPr>
          <w:p w14:paraId="4E6FBA1C"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Информационо- комуникационе технологије</w:t>
            </w:r>
          </w:p>
        </w:tc>
      </w:tr>
      <w:tr w:rsidR="00C10A48" w:rsidRPr="00FF386D" w14:paraId="31281567" w14:textId="77777777" w:rsidTr="00D24C20">
        <w:tc>
          <w:tcPr>
            <w:tcW w:w="2155" w:type="dxa"/>
            <w:vAlign w:val="bottom"/>
          </w:tcPr>
          <w:p w14:paraId="4FD54D7A"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МФИ</w:t>
            </w:r>
          </w:p>
        </w:tc>
        <w:tc>
          <w:tcPr>
            <w:tcW w:w="7343" w:type="dxa"/>
            <w:vAlign w:val="bottom"/>
          </w:tcPr>
          <w:p w14:paraId="450A2486"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Међународне финансијске институције</w:t>
            </w:r>
          </w:p>
        </w:tc>
      </w:tr>
      <w:tr w:rsidR="00C10A48" w:rsidRPr="00FF386D" w14:paraId="1CAB234C" w14:textId="77777777" w:rsidTr="00D24C20">
        <w:tc>
          <w:tcPr>
            <w:tcW w:w="2155" w:type="dxa"/>
            <w:vAlign w:val="bottom"/>
          </w:tcPr>
          <w:p w14:paraId="69C9D965"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i/>
                <w:iCs/>
                <w:color w:val="000000"/>
              </w:rPr>
              <w:lastRenderedPageBreak/>
              <w:t>INDC</w:t>
            </w:r>
          </w:p>
        </w:tc>
        <w:tc>
          <w:tcPr>
            <w:tcW w:w="7343" w:type="dxa"/>
            <w:vAlign w:val="bottom"/>
          </w:tcPr>
          <w:p w14:paraId="7FA5F4BE" w14:textId="77777777" w:rsidR="00C10A48" w:rsidRPr="00FF386D" w:rsidRDefault="00C10A48" w:rsidP="00C10A48">
            <w:pPr>
              <w:spacing w:line="240" w:lineRule="auto"/>
              <w:rPr>
                <w:rFonts w:asciiTheme="majorHAnsi" w:hAnsiTheme="majorHAnsi" w:cstheme="majorHAnsi"/>
                <w:color w:val="000000"/>
                <w:sz w:val="22"/>
                <w:szCs w:val="22"/>
              </w:rPr>
            </w:pPr>
            <w:r w:rsidRPr="00FF386D">
              <w:rPr>
                <w:rFonts w:asciiTheme="majorHAnsi" w:hAnsiTheme="majorHAnsi" w:cstheme="majorHAnsi"/>
                <w:color w:val="000000"/>
              </w:rPr>
              <w:t>Намеравани национално утврђени доприноси</w:t>
            </w:r>
          </w:p>
        </w:tc>
      </w:tr>
      <w:tr w:rsidR="00C10A48" w:rsidRPr="00FF386D" w14:paraId="6E4D7E4E" w14:textId="77777777" w:rsidTr="00D24C20">
        <w:tc>
          <w:tcPr>
            <w:tcW w:w="2155" w:type="dxa"/>
            <w:vAlign w:val="bottom"/>
          </w:tcPr>
          <w:p w14:paraId="6C75E144"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i/>
                <w:iCs/>
                <w:color w:val="000000"/>
              </w:rPr>
              <w:t>JCR</w:t>
            </w:r>
          </w:p>
        </w:tc>
        <w:tc>
          <w:tcPr>
            <w:tcW w:w="7343" w:type="dxa"/>
            <w:vAlign w:val="bottom"/>
          </w:tcPr>
          <w:p w14:paraId="014FD290"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Заједнички истраживачки центар</w:t>
            </w:r>
          </w:p>
        </w:tc>
      </w:tr>
      <w:tr w:rsidR="00C10A48" w:rsidRPr="00FF386D" w14:paraId="614E1BE9" w14:textId="77777777" w:rsidTr="00D24C20">
        <w:tc>
          <w:tcPr>
            <w:tcW w:w="2155" w:type="dxa"/>
            <w:vAlign w:val="bottom"/>
          </w:tcPr>
          <w:p w14:paraId="2DF365AF"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АД</w:t>
            </w:r>
          </w:p>
        </w:tc>
        <w:tc>
          <w:tcPr>
            <w:tcW w:w="7343" w:type="dxa"/>
            <w:vAlign w:val="bottom"/>
          </w:tcPr>
          <w:p w14:paraId="6D90A671"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Акционарско друштво</w:t>
            </w:r>
          </w:p>
        </w:tc>
      </w:tr>
      <w:tr w:rsidR="00C10A48" w:rsidRPr="00FF386D" w14:paraId="06079F6C" w14:textId="77777777" w:rsidTr="00D24C20">
        <w:tc>
          <w:tcPr>
            <w:tcW w:w="2155" w:type="dxa"/>
            <w:vAlign w:val="bottom"/>
          </w:tcPr>
          <w:p w14:paraId="0C9191FD"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ЛТВ</w:t>
            </w:r>
          </w:p>
        </w:tc>
        <w:tc>
          <w:tcPr>
            <w:tcW w:w="7343" w:type="dxa"/>
            <w:vAlign w:val="bottom"/>
          </w:tcPr>
          <w:p w14:paraId="479A504E"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Лако теретно возило</w:t>
            </w:r>
          </w:p>
        </w:tc>
      </w:tr>
      <w:tr w:rsidR="00C10A48" w:rsidRPr="00FF386D" w14:paraId="7ABB54BF" w14:textId="77777777" w:rsidTr="00D24C20">
        <w:tc>
          <w:tcPr>
            <w:tcW w:w="2155" w:type="dxa"/>
            <w:vAlign w:val="bottom"/>
          </w:tcPr>
          <w:p w14:paraId="6D7BB8F7"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i/>
                <w:iCs/>
                <w:color w:val="000000"/>
              </w:rPr>
              <w:t>LULUCF</w:t>
            </w:r>
          </w:p>
        </w:tc>
        <w:tc>
          <w:tcPr>
            <w:tcW w:w="7343" w:type="dxa"/>
            <w:vAlign w:val="bottom"/>
          </w:tcPr>
          <w:p w14:paraId="3E73C78D"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Коришћење земљишта, промена коришћења земљишта и шумарство</w:t>
            </w:r>
          </w:p>
        </w:tc>
      </w:tr>
      <w:tr w:rsidR="00C10A48" w:rsidRPr="00FF386D" w14:paraId="10354179" w14:textId="77777777" w:rsidTr="00D24C20">
        <w:tc>
          <w:tcPr>
            <w:tcW w:w="2155" w:type="dxa"/>
            <w:vAlign w:val="bottom"/>
          </w:tcPr>
          <w:p w14:paraId="7FAF0C22"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i/>
                <w:iCs/>
                <w:color w:val="000000"/>
              </w:rPr>
              <w:t>MaaS</w:t>
            </w:r>
          </w:p>
        </w:tc>
        <w:tc>
          <w:tcPr>
            <w:tcW w:w="7343" w:type="dxa"/>
            <w:vAlign w:val="bottom"/>
          </w:tcPr>
          <w:p w14:paraId="79717227"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Мобилност као услуга</w:t>
            </w:r>
          </w:p>
        </w:tc>
      </w:tr>
      <w:tr w:rsidR="00C10A48" w:rsidRPr="00FF386D" w14:paraId="321166EA" w14:textId="77777777" w:rsidTr="00D24C20">
        <w:tc>
          <w:tcPr>
            <w:tcW w:w="2155" w:type="dxa"/>
            <w:vAlign w:val="bottom"/>
          </w:tcPr>
          <w:p w14:paraId="661D89CF"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MC-EЗ</w:t>
            </w:r>
          </w:p>
        </w:tc>
        <w:tc>
          <w:tcPr>
            <w:tcW w:w="7343" w:type="dxa"/>
            <w:vAlign w:val="bottom"/>
          </w:tcPr>
          <w:p w14:paraId="163CB5A6"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Министарски савет–Енергетска заједница</w:t>
            </w:r>
          </w:p>
        </w:tc>
      </w:tr>
      <w:tr w:rsidR="00C10A48" w:rsidRPr="00FF386D" w14:paraId="39BBF494" w14:textId="77777777" w:rsidTr="00D24C20">
        <w:tc>
          <w:tcPr>
            <w:tcW w:w="2155" w:type="dxa"/>
            <w:vAlign w:val="bottom"/>
          </w:tcPr>
          <w:p w14:paraId="60A5EF08" w14:textId="0CC66015" w:rsidR="00C10A48" w:rsidRPr="00FF386D" w:rsidRDefault="00177426" w:rsidP="00C10A48">
            <w:pPr>
              <w:rPr>
                <w:rFonts w:asciiTheme="majorHAnsi" w:hAnsiTheme="majorHAnsi" w:cstheme="majorHAnsi"/>
                <w:i/>
                <w:iCs/>
                <w:color w:val="000000"/>
                <w:sz w:val="22"/>
                <w:szCs w:val="22"/>
              </w:rPr>
            </w:pPr>
            <w:r w:rsidRPr="00FF386D">
              <w:rPr>
                <w:rFonts w:asciiTheme="majorHAnsi" w:hAnsiTheme="majorHAnsi" w:cstheme="majorHAnsi"/>
                <w:i/>
                <w:iCs/>
                <w:color w:val="000000"/>
              </w:rPr>
              <w:t>MK</w:t>
            </w:r>
          </w:p>
        </w:tc>
        <w:tc>
          <w:tcPr>
            <w:tcW w:w="7343" w:type="dxa"/>
            <w:vAlign w:val="bottom"/>
          </w:tcPr>
          <w:p w14:paraId="58CFDF72"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Северна Македонија</w:t>
            </w:r>
          </w:p>
        </w:tc>
      </w:tr>
      <w:tr w:rsidR="00C10A48" w:rsidRPr="00FF386D" w14:paraId="69EC7527" w14:textId="77777777" w:rsidTr="00D24C20">
        <w:tc>
          <w:tcPr>
            <w:tcW w:w="2155" w:type="dxa"/>
            <w:vAlign w:val="bottom"/>
          </w:tcPr>
          <w:p w14:paraId="7AA29546" w14:textId="00B124B0" w:rsidR="00C10A48" w:rsidRPr="000A2AFE" w:rsidRDefault="00177426" w:rsidP="00C10A48">
            <w:pPr>
              <w:rPr>
                <w:rFonts w:asciiTheme="majorHAnsi" w:hAnsiTheme="majorHAnsi" w:cstheme="majorHAnsi"/>
                <w:i/>
                <w:iCs/>
                <w:color w:val="000000"/>
                <w:sz w:val="22"/>
                <w:szCs w:val="22"/>
                <w:lang w:val="en-US"/>
              </w:rPr>
            </w:pPr>
            <w:r w:rsidRPr="00FF386D">
              <w:rPr>
                <w:rFonts w:asciiTheme="majorHAnsi" w:hAnsiTheme="majorHAnsi" w:cstheme="majorHAnsi"/>
                <w:i/>
                <w:iCs/>
                <w:color w:val="000000"/>
              </w:rPr>
              <w:t>M</w:t>
            </w:r>
            <w:r w:rsidR="00E40C84">
              <w:rPr>
                <w:rFonts w:asciiTheme="majorHAnsi" w:hAnsiTheme="majorHAnsi" w:cstheme="majorHAnsi"/>
                <w:i/>
                <w:iCs/>
                <w:color w:val="000000"/>
                <w:lang w:val="en-US"/>
              </w:rPr>
              <w:t>E</w:t>
            </w:r>
          </w:p>
        </w:tc>
        <w:tc>
          <w:tcPr>
            <w:tcW w:w="7343" w:type="dxa"/>
            <w:vAlign w:val="bottom"/>
          </w:tcPr>
          <w:p w14:paraId="4A459185"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Црна Гора</w:t>
            </w:r>
          </w:p>
        </w:tc>
      </w:tr>
      <w:tr w:rsidR="00C10A48" w:rsidRPr="00FF386D" w14:paraId="134AC562" w14:textId="77777777" w:rsidTr="00D24C20">
        <w:tc>
          <w:tcPr>
            <w:tcW w:w="2155" w:type="dxa"/>
            <w:vAlign w:val="bottom"/>
          </w:tcPr>
          <w:p w14:paraId="2F575134"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МГСИ</w:t>
            </w:r>
          </w:p>
        </w:tc>
        <w:tc>
          <w:tcPr>
            <w:tcW w:w="7343" w:type="dxa"/>
            <w:vAlign w:val="bottom"/>
          </w:tcPr>
          <w:p w14:paraId="43D31148" w14:textId="26D92DB6"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 xml:space="preserve">Министарство </w:t>
            </w:r>
            <w:r w:rsidR="00A71252" w:rsidRPr="00FF386D">
              <w:rPr>
                <w:rFonts w:asciiTheme="majorHAnsi" w:hAnsiTheme="majorHAnsi" w:cstheme="majorHAnsi"/>
                <w:color w:val="000000"/>
              </w:rPr>
              <w:t>грађевин</w:t>
            </w:r>
            <w:r w:rsidR="00A71252">
              <w:rPr>
                <w:rFonts w:asciiTheme="majorHAnsi" w:hAnsiTheme="majorHAnsi" w:cstheme="majorHAnsi"/>
                <w:color w:val="000000"/>
              </w:rPr>
              <w:t>арства</w:t>
            </w:r>
            <w:r w:rsidRPr="00FF386D">
              <w:rPr>
                <w:rFonts w:asciiTheme="majorHAnsi" w:hAnsiTheme="majorHAnsi" w:cstheme="majorHAnsi"/>
                <w:color w:val="000000"/>
              </w:rPr>
              <w:t>, саобраћаја и инфраструктуре</w:t>
            </w:r>
          </w:p>
        </w:tc>
      </w:tr>
      <w:tr w:rsidR="00C10A48" w:rsidRPr="00FF386D" w14:paraId="60E2F926" w14:textId="77777777" w:rsidTr="00D24C20">
        <w:tc>
          <w:tcPr>
            <w:tcW w:w="2155" w:type="dxa"/>
            <w:vAlign w:val="bottom"/>
          </w:tcPr>
          <w:p w14:paraId="36830C5B"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MРЕ</w:t>
            </w:r>
          </w:p>
        </w:tc>
        <w:tc>
          <w:tcPr>
            <w:tcW w:w="7343" w:type="dxa"/>
            <w:vAlign w:val="bottom"/>
          </w:tcPr>
          <w:p w14:paraId="5C7DCB09"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Министарство рударства и енергетике</w:t>
            </w:r>
          </w:p>
        </w:tc>
      </w:tr>
      <w:tr w:rsidR="00C10A48" w:rsidRPr="00FF386D" w14:paraId="1ADB4949" w14:textId="77777777" w:rsidTr="00D24C20">
        <w:tc>
          <w:tcPr>
            <w:tcW w:w="2155" w:type="dxa"/>
            <w:vAlign w:val="bottom"/>
          </w:tcPr>
          <w:p w14:paraId="7E7D21AF" w14:textId="5DACB2EF" w:rsidR="00C10A48" w:rsidRPr="00FF386D" w:rsidRDefault="002A0D84" w:rsidP="00C10A48">
            <w:pPr>
              <w:rPr>
                <w:rFonts w:asciiTheme="majorHAnsi" w:hAnsiTheme="majorHAnsi" w:cstheme="majorHAnsi"/>
                <w:color w:val="000000"/>
                <w:sz w:val="22"/>
                <w:szCs w:val="22"/>
              </w:rPr>
            </w:pPr>
            <w:r w:rsidRPr="00FF386D">
              <w:rPr>
                <w:rFonts w:asciiTheme="majorHAnsi" w:hAnsiTheme="majorHAnsi" w:cstheme="majorHAnsi"/>
                <w:color w:val="000000"/>
              </w:rPr>
              <w:t>И</w:t>
            </w:r>
            <w:r w:rsidR="00C10A48" w:rsidRPr="00FF386D">
              <w:rPr>
                <w:rFonts w:asciiTheme="majorHAnsi" w:hAnsiTheme="majorHAnsi" w:cstheme="majorHAnsi"/>
                <w:color w:val="000000"/>
              </w:rPr>
              <w:t>НЕКП</w:t>
            </w:r>
          </w:p>
        </w:tc>
        <w:tc>
          <w:tcPr>
            <w:tcW w:w="7343" w:type="dxa"/>
            <w:vAlign w:val="bottom"/>
          </w:tcPr>
          <w:p w14:paraId="21823295" w14:textId="6B06C2CD" w:rsidR="00C10A48" w:rsidRPr="00FF386D" w:rsidRDefault="00157C37" w:rsidP="00C10A48">
            <w:pPr>
              <w:rPr>
                <w:rFonts w:asciiTheme="majorHAnsi" w:hAnsiTheme="majorHAnsi" w:cstheme="majorHAnsi"/>
                <w:color w:val="000000"/>
                <w:sz w:val="22"/>
                <w:szCs w:val="22"/>
              </w:rPr>
            </w:pPr>
            <w:r w:rsidRPr="00FF386D">
              <w:rPr>
                <w:rFonts w:asciiTheme="majorHAnsi" w:hAnsiTheme="majorHAnsi" w:cstheme="majorHAnsi"/>
                <w:color w:val="000000"/>
              </w:rPr>
              <w:t>Интегрисани</w:t>
            </w:r>
            <w:r w:rsidR="002A0D84" w:rsidRPr="00FF386D">
              <w:rPr>
                <w:rFonts w:asciiTheme="majorHAnsi" w:hAnsiTheme="majorHAnsi" w:cstheme="majorHAnsi"/>
                <w:color w:val="000000"/>
              </w:rPr>
              <w:t xml:space="preserve"> н</w:t>
            </w:r>
            <w:r w:rsidR="00C10A48" w:rsidRPr="00FF386D">
              <w:rPr>
                <w:rFonts w:asciiTheme="majorHAnsi" w:hAnsiTheme="majorHAnsi" w:cstheme="majorHAnsi"/>
                <w:color w:val="000000"/>
              </w:rPr>
              <w:t>ационални енергетски и климатски план</w:t>
            </w:r>
          </w:p>
        </w:tc>
      </w:tr>
      <w:tr w:rsidR="00C10A48" w:rsidRPr="00FF386D" w14:paraId="542A4BB3" w14:textId="77777777" w:rsidTr="00D24C20">
        <w:tc>
          <w:tcPr>
            <w:tcW w:w="2155" w:type="dxa"/>
            <w:vAlign w:val="bottom"/>
          </w:tcPr>
          <w:p w14:paraId="6997301C"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НАПЕЕ</w:t>
            </w:r>
          </w:p>
        </w:tc>
        <w:tc>
          <w:tcPr>
            <w:tcW w:w="7343" w:type="dxa"/>
            <w:vAlign w:val="bottom"/>
          </w:tcPr>
          <w:p w14:paraId="681DA405"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Национални акциони план за енергетску ефикасност</w:t>
            </w:r>
          </w:p>
        </w:tc>
      </w:tr>
      <w:tr w:rsidR="00C10A48" w:rsidRPr="00FF386D" w14:paraId="1AAD0158" w14:textId="77777777" w:rsidTr="00D24C20">
        <w:tc>
          <w:tcPr>
            <w:tcW w:w="2155" w:type="dxa"/>
            <w:vAlign w:val="bottom"/>
          </w:tcPr>
          <w:p w14:paraId="75A703D7"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i/>
                <w:iCs/>
                <w:color w:val="000000"/>
              </w:rPr>
              <w:t>NEMO</w:t>
            </w:r>
          </w:p>
        </w:tc>
        <w:tc>
          <w:tcPr>
            <w:tcW w:w="7343" w:type="dxa"/>
            <w:vAlign w:val="bottom"/>
          </w:tcPr>
          <w:p w14:paraId="234B4BF0"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Номиновани оператор тржишта електричне енергије</w:t>
            </w:r>
          </w:p>
        </w:tc>
      </w:tr>
      <w:tr w:rsidR="00C10A48" w:rsidRPr="00FF386D" w14:paraId="136B9C13" w14:textId="77777777" w:rsidTr="00D24C20">
        <w:tc>
          <w:tcPr>
            <w:tcW w:w="2155" w:type="dxa"/>
            <w:vAlign w:val="bottom"/>
          </w:tcPr>
          <w:p w14:paraId="7A19478F"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НИС</w:t>
            </w:r>
          </w:p>
        </w:tc>
        <w:tc>
          <w:tcPr>
            <w:tcW w:w="7343" w:type="dxa"/>
            <w:vAlign w:val="bottom"/>
          </w:tcPr>
          <w:p w14:paraId="36DB3ACD"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НИС а.д. Нови Сад</w:t>
            </w:r>
          </w:p>
        </w:tc>
      </w:tr>
      <w:tr w:rsidR="00C10A48" w:rsidRPr="00FF386D" w14:paraId="12CB7ADD" w14:textId="77777777" w:rsidTr="00D24C20">
        <w:tc>
          <w:tcPr>
            <w:tcW w:w="2155" w:type="dxa"/>
            <w:vAlign w:val="bottom"/>
          </w:tcPr>
          <w:p w14:paraId="224F30F6"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НАПОИЕ</w:t>
            </w:r>
          </w:p>
        </w:tc>
        <w:tc>
          <w:tcPr>
            <w:tcW w:w="7343" w:type="dxa"/>
            <w:vAlign w:val="bottom"/>
          </w:tcPr>
          <w:p w14:paraId="53161FB6"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Национални акциони план за коришћење обновљивих извора енергије</w:t>
            </w:r>
          </w:p>
        </w:tc>
      </w:tr>
      <w:tr w:rsidR="00C10A48" w:rsidRPr="00FF386D" w14:paraId="417C8311" w14:textId="77777777" w:rsidTr="00D24C20">
        <w:tc>
          <w:tcPr>
            <w:tcW w:w="2155" w:type="dxa"/>
            <w:vAlign w:val="bottom"/>
          </w:tcPr>
          <w:p w14:paraId="2335196C"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i/>
                <w:iCs/>
                <w:color w:val="000000"/>
              </w:rPr>
              <w:t>NTC</w:t>
            </w:r>
          </w:p>
        </w:tc>
        <w:tc>
          <w:tcPr>
            <w:tcW w:w="7343" w:type="dxa"/>
            <w:vAlign w:val="bottom"/>
          </w:tcPr>
          <w:p w14:paraId="471D135C"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Нето преносни капацитет</w:t>
            </w:r>
          </w:p>
        </w:tc>
      </w:tr>
      <w:tr w:rsidR="00C10A48" w:rsidRPr="00FF386D" w14:paraId="463B3371" w14:textId="77777777" w:rsidTr="00D24C20">
        <w:tc>
          <w:tcPr>
            <w:tcW w:w="2155" w:type="dxa"/>
            <w:vAlign w:val="bottom"/>
          </w:tcPr>
          <w:p w14:paraId="60BD0A6D"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i/>
                <w:iCs/>
                <w:color w:val="000000"/>
              </w:rPr>
              <w:t xml:space="preserve">nZEB </w:t>
            </w:r>
          </w:p>
        </w:tc>
        <w:tc>
          <w:tcPr>
            <w:tcW w:w="7343" w:type="dxa"/>
            <w:vAlign w:val="bottom"/>
          </w:tcPr>
          <w:p w14:paraId="4F45DCFA"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Зграда са готово нултом потрошњом енергије</w:t>
            </w:r>
          </w:p>
        </w:tc>
      </w:tr>
      <w:tr w:rsidR="00C10A48" w:rsidRPr="00FF386D" w14:paraId="5259E9F6" w14:textId="77777777" w:rsidTr="00D24C20">
        <w:tc>
          <w:tcPr>
            <w:tcW w:w="2155" w:type="dxa"/>
            <w:vAlign w:val="bottom"/>
          </w:tcPr>
          <w:p w14:paraId="683160F9"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i/>
                <w:iCs/>
                <w:color w:val="000000"/>
              </w:rPr>
              <w:t xml:space="preserve">O&amp;M </w:t>
            </w:r>
          </w:p>
        </w:tc>
        <w:tc>
          <w:tcPr>
            <w:tcW w:w="7343" w:type="dxa"/>
            <w:vAlign w:val="bottom"/>
          </w:tcPr>
          <w:p w14:paraId="49621203"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Рад и одржавање</w:t>
            </w:r>
          </w:p>
        </w:tc>
      </w:tr>
      <w:tr w:rsidR="00C10A48" w:rsidRPr="00FF386D" w14:paraId="35B9F1C1" w14:textId="77777777" w:rsidTr="00D24C20">
        <w:tc>
          <w:tcPr>
            <w:tcW w:w="2155" w:type="dxa"/>
            <w:vAlign w:val="bottom"/>
          </w:tcPr>
          <w:p w14:paraId="5E715948"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ДВ</w:t>
            </w:r>
          </w:p>
        </w:tc>
        <w:tc>
          <w:tcPr>
            <w:tcW w:w="7343" w:type="dxa"/>
            <w:vAlign w:val="bottom"/>
          </w:tcPr>
          <w:p w14:paraId="3D7B13F8"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Далеководи</w:t>
            </w:r>
          </w:p>
        </w:tc>
      </w:tr>
      <w:tr w:rsidR="00C10A48" w:rsidRPr="00FF386D" w14:paraId="25770CB9" w14:textId="77777777" w:rsidTr="00D24C20">
        <w:tc>
          <w:tcPr>
            <w:tcW w:w="2155" w:type="dxa"/>
            <w:vAlign w:val="bottom"/>
          </w:tcPr>
          <w:p w14:paraId="397C38BA"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i/>
                <w:iCs/>
                <w:color w:val="000000"/>
              </w:rPr>
              <w:t>ORF-EE</w:t>
            </w:r>
          </w:p>
        </w:tc>
        <w:tc>
          <w:tcPr>
            <w:tcW w:w="7343" w:type="dxa"/>
            <w:vAlign w:val="bottom"/>
          </w:tcPr>
          <w:p w14:paraId="6D991993" w14:textId="3637FE31"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 xml:space="preserve">Отворени регионални фонд за Југоисточну Европу – </w:t>
            </w:r>
            <w:r w:rsidR="00157C37" w:rsidRPr="00FF386D">
              <w:rPr>
                <w:rFonts w:asciiTheme="majorHAnsi" w:hAnsiTheme="majorHAnsi" w:cstheme="majorHAnsi"/>
                <w:color w:val="000000"/>
              </w:rPr>
              <w:t>Енергетска</w:t>
            </w:r>
            <w:r w:rsidRPr="00FF386D">
              <w:rPr>
                <w:rFonts w:asciiTheme="majorHAnsi" w:hAnsiTheme="majorHAnsi" w:cstheme="majorHAnsi"/>
                <w:color w:val="000000"/>
              </w:rPr>
              <w:t xml:space="preserve"> ефикасност</w:t>
            </w:r>
          </w:p>
        </w:tc>
      </w:tr>
      <w:tr w:rsidR="00C10A48" w:rsidRPr="00FF386D" w14:paraId="2AAEE189" w14:textId="77777777" w:rsidTr="00D24C20">
        <w:tc>
          <w:tcPr>
            <w:tcW w:w="2155" w:type="dxa"/>
            <w:vAlign w:val="bottom"/>
          </w:tcPr>
          <w:p w14:paraId="632FD378"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i/>
                <w:iCs/>
                <w:color w:val="000000"/>
              </w:rPr>
              <w:t>PCI</w:t>
            </w:r>
          </w:p>
        </w:tc>
        <w:tc>
          <w:tcPr>
            <w:tcW w:w="7343" w:type="dxa"/>
            <w:vAlign w:val="bottom"/>
          </w:tcPr>
          <w:p w14:paraId="3CD0A0A0"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Пројекти од заједничког интереса</w:t>
            </w:r>
          </w:p>
        </w:tc>
      </w:tr>
      <w:tr w:rsidR="00C10A48" w:rsidRPr="00FF386D" w14:paraId="5770E58B" w14:textId="77777777" w:rsidTr="00D24C20">
        <w:tc>
          <w:tcPr>
            <w:tcW w:w="2155" w:type="dxa"/>
            <w:vAlign w:val="bottom"/>
          </w:tcPr>
          <w:p w14:paraId="120EFC38"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i/>
                <w:iCs/>
                <w:color w:val="000000"/>
              </w:rPr>
              <w:t>PF4EE</w:t>
            </w:r>
          </w:p>
        </w:tc>
        <w:tc>
          <w:tcPr>
            <w:tcW w:w="7343" w:type="dxa"/>
            <w:vAlign w:val="bottom"/>
          </w:tcPr>
          <w:p w14:paraId="63EEB3B4"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Инструмент за приватно финансирање енергетске ефикасности</w:t>
            </w:r>
          </w:p>
        </w:tc>
      </w:tr>
      <w:tr w:rsidR="00C10A48" w:rsidRPr="00FF386D" w14:paraId="4A83E55F" w14:textId="77777777" w:rsidTr="00D24C20">
        <w:tc>
          <w:tcPr>
            <w:tcW w:w="2155" w:type="dxa"/>
            <w:vAlign w:val="bottom"/>
          </w:tcPr>
          <w:p w14:paraId="2122E794"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i/>
                <w:iCs/>
                <w:color w:val="000000"/>
              </w:rPr>
              <w:t xml:space="preserve">PLIMA </w:t>
            </w:r>
          </w:p>
        </w:tc>
        <w:tc>
          <w:tcPr>
            <w:tcW w:w="7343" w:type="dxa"/>
            <w:vAlign w:val="bottom"/>
          </w:tcPr>
          <w:p w14:paraId="531AE9B0"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Апликација библиотеке пројеката и интерактивне мапе</w:t>
            </w:r>
          </w:p>
        </w:tc>
      </w:tr>
      <w:tr w:rsidR="00C10A48" w:rsidRPr="00FF386D" w14:paraId="650C9F54" w14:textId="77777777" w:rsidTr="00D24C20">
        <w:tc>
          <w:tcPr>
            <w:tcW w:w="2155" w:type="dxa"/>
            <w:vAlign w:val="bottom"/>
          </w:tcPr>
          <w:p w14:paraId="41033E96"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МП</w:t>
            </w:r>
          </w:p>
        </w:tc>
        <w:tc>
          <w:tcPr>
            <w:tcW w:w="7343" w:type="dxa"/>
            <w:vAlign w:val="bottom"/>
          </w:tcPr>
          <w:p w14:paraId="3484C880" w14:textId="1EBBB26E"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Мер</w:t>
            </w:r>
            <w:r w:rsidR="005446E5" w:rsidRPr="00FF386D">
              <w:rPr>
                <w:rFonts w:asciiTheme="majorHAnsi" w:hAnsiTheme="majorHAnsi" w:cstheme="majorHAnsi"/>
                <w:color w:val="000000"/>
              </w:rPr>
              <w:t>а</w:t>
            </w:r>
            <w:r w:rsidRPr="00FF386D">
              <w:rPr>
                <w:rFonts w:asciiTheme="majorHAnsi" w:hAnsiTheme="majorHAnsi" w:cstheme="majorHAnsi"/>
                <w:color w:val="000000"/>
              </w:rPr>
              <w:t xml:space="preserve"> политике</w:t>
            </w:r>
          </w:p>
        </w:tc>
      </w:tr>
      <w:tr w:rsidR="00C10A48" w:rsidRPr="00FF386D" w14:paraId="383A8746" w14:textId="77777777" w:rsidTr="00D24C20">
        <w:tc>
          <w:tcPr>
            <w:tcW w:w="2155" w:type="dxa"/>
            <w:vAlign w:val="bottom"/>
          </w:tcPr>
          <w:p w14:paraId="304948A3"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ОИЕ</w:t>
            </w:r>
          </w:p>
        </w:tc>
        <w:tc>
          <w:tcPr>
            <w:tcW w:w="7343" w:type="dxa"/>
            <w:vAlign w:val="bottom"/>
          </w:tcPr>
          <w:p w14:paraId="06745701"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Обновљиви извори енергије</w:t>
            </w:r>
          </w:p>
        </w:tc>
      </w:tr>
      <w:tr w:rsidR="00C10A48" w:rsidRPr="00FF386D" w14:paraId="27238DAF" w14:textId="77777777" w:rsidTr="00D24C20">
        <w:tc>
          <w:tcPr>
            <w:tcW w:w="2155" w:type="dxa"/>
            <w:vAlign w:val="bottom"/>
          </w:tcPr>
          <w:p w14:paraId="38644DF7"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РС</w:t>
            </w:r>
          </w:p>
        </w:tc>
        <w:tc>
          <w:tcPr>
            <w:tcW w:w="7343" w:type="dxa"/>
            <w:vAlign w:val="bottom"/>
          </w:tcPr>
          <w:p w14:paraId="7B0FC5C8"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Република Србија</w:t>
            </w:r>
          </w:p>
        </w:tc>
      </w:tr>
      <w:tr w:rsidR="00C10A48" w:rsidRPr="00FF386D" w14:paraId="52A79B05" w14:textId="77777777" w:rsidTr="00D24C20">
        <w:tc>
          <w:tcPr>
            <w:tcW w:w="2155" w:type="dxa"/>
            <w:vAlign w:val="bottom"/>
          </w:tcPr>
          <w:p w14:paraId="19FF2827" w14:textId="66F13F07" w:rsidR="00C10A48" w:rsidRPr="00FF386D" w:rsidRDefault="00C10A48" w:rsidP="00C10A48">
            <w:pPr>
              <w:rPr>
                <w:rFonts w:asciiTheme="majorHAnsi" w:hAnsiTheme="majorHAnsi" w:cstheme="majorHAnsi"/>
                <w:i/>
                <w:iCs/>
                <w:color w:val="000000"/>
                <w:sz w:val="22"/>
                <w:szCs w:val="22"/>
              </w:rPr>
            </w:pPr>
            <w:r w:rsidRPr="00FF386D">
              <w:rPr>
                <w:rFonts w:asciiTheme="majorHAnsi" w:hAnsiTheme="majorHAnsi" w:cstheme="majorHAnsi"/>
                <w:i/>
                <w:iCs/>
                <w:color w:val="000000"/>
              </w:rPr>
              <w:t>SD</w:t>
            </w:r>
            <w:r w:rsidR="00E05505" w:rsidRPr="00FF386D">
              <w:rPr>
                <w:rFonts w:asciiTheme="majorHAnsi" w:hAnsiTheme="majorHAnsi" w:cstheme="majorHAnsi"/>
                <w:i/>
                <w:iCs/>
                <w:color w:val="000000"/>
              </w:rPr>
              <w:t>А</w:t>
            </w:r>
            <w:r w:rsidRPr="00FF386D">
              <w:rPr>
                <w:rFonts w:asciiTheme="majorHAnsi" w:hAnsiTheme="majorHAnsi" w:cstheme="majorHAnsi"/>
                <w:i/>
                <w:iCs/>
                <w:color w:val="000000"/>
              </w:rPr>
              <w:t>C</w:t>
            </w:r>
          </w:p>
        </w:tc>
        <w:tc>
          <w:tcPr>
            <w:tcW w:w="7343" w:type="dxa"/>
            <w:vAlign w:val="bottom"/>
          </w:tcPr>
          <w:p w14:paraId="6CB40EC5"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Спајање дан-унапред тржишта</w:t>
            </w:r>
          </w:p>
        </w:tc>
      </w:tr>
      <w:tr w:rsidR="00C10A48" w:rsidRPr="00FF386D" w14:paraId="51CF7650" w14:textId="77777777" w:rsidTr="00D24C20">
        <w:tc>
          <w:tcPr>
            <w:tcW w:w="2155" w:type="dxa"/>
            <w:vAlign w:val="bottom"/>
          </w:tcPr>
          <w:p w14:paraId="02F2E79C"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i/>
                <w:iCs/>
                <w:color w:val="000000"/>
              </w:rPr>
              <w:t>SAIDI</w:t>
            </w:r>
          </w:p>
        </w:tc>
        <w:tc>
          <w:tcPr>
            <w:tcW w:w="7343" w:type="dxa"/>
            <w:vAlign w:val="bottom"/>
          </w:tcPr>
          <w:p w14:paraId="3BAC0884" w14:textId="4D820C43" w:rsidR="00C10A48" w:rsidRPr="00FF386D" w:rsidRDefault="00E05505" w:rsidP="00C10A48">
            <w:pPr>
              <w:rPr>
                <w:rFonts w:asciiTheme="majorHAnsi" w:hAnsiTheme="majorHAnsi" w:cstheme="majorHAnsi"/>
                <w:color w:val="000000"/>
                <w:sz w:val="22"/>
                <w:szCs w:val="22"/>
              </w:rPr>
            </w:pPr>
            <w:r w:rsidRPr="00FF386D">
              <w:rPr>
                <w:rFonts w:asciiTheme="majorHAnsi" w:hAnsiTheme="majorHAnsi" w:cstheme="majorHAnsi"/>
                <w:color w:val="000000"/>
              </w:rPr>
              <w:t>Просечно трајањ</w:t>
            </w:r>
            <w:r w:rsidRPr="000A2AFE">
              <w:rPr>
                <w:rFonts w:asciiTheme="majorHAnsi" w:hAnsiTheme="majorHAnsi" w:cstheme="majorHAnsi"/>
                <w:color w:val="000000"/>
              </w:rPr>
              <w:t>e</w:t>
            </w:r>
            <w:r w:rsidRPr="00FF386D">
              <w:rPr>
                <w:rFonts w:asciiTheme="majorHAnsi" w:hAnsiTheme="majorHAnsi" w:cstheme="majorHAnsi"/>
                <w:color w:val="000000"/>
              </w:rPr>
              <w:t xml:space="preserve"> прекида испоруке у минутима по месту предаје електричне енергије</w:t>
            </w:r>
          </w:p>
        </w:tc>
      </w:tr>
      <w:tr w:rsidR="00C10A48" w:rsidRPr="00FF386D" w14:paraId="0E220C48" w14:textId="77777777" w:rsidTr="00D24C20">
        <w:tc>
          <w:tcPr>
            <w:tcW w:w="2155" w:type="dxa"/>
            <w:vAlign w:val="bottom"/>
          </w:tcPr>
          <w:p w14:paraId="1EFABB0C"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i/>
                <w:iCs/>
                <w:color w:val="000000"/>
              </w:rPr>
              <w:t>SAIFI</w:t>
            </w:r>
          </w:p>
        </w:tc>
        <w:tc>
          <w:tcPr>
            <w:tcW w:w="7343" w:type="dxa"/>
            <w:vAlign w:val="bottom"/>
          </w:tcPr>
          <w:p w14:paraId="13E688FD" w14:textId="0F6599B6" w:rsidR="00C10A48" w:rsidRPr="00FF386D" w:rsidRDefault="00E05505" w:rsidP="00C10A48">
            <w:pPr>
              <w:rPr>
                <w:rFonts w:asciiTheme="majorHAnsi" w:hAnsiTheme="majorHAnsi" w:cstheme="majorHAnsi"/>
                <w:color w:val="000000"/>
                <w:sz w:val="22"/>
                <w:szCs w:val="22"/>
              </w:rPr>
            </w:pPr>
            <w:r w:rsidRPr="00FF386D">
              <w:rPr>
                <w:rFonts w:asciiTheme="majorHAnsi" w:hAnsiTheme="majorHAnsi" w:cstheme="majorHAnsi"/>
                <w:color w:val="000000"/>
              </w:rPr>
              <w:t>Просечн</w:t>
            </w:r>
            <w:r w:rsidRPr="000A2AFE">
              <w:rPr>
                <w:rFonts w:asciiTheme="majorHAnsi" w:hAnsiTheme="majorHAnsi" w:cstheme="majorHAnsi"/>
                <w:color w:val="000000"/>
              </w:rPr>
              <w:t>a</w:t>
            </w:r>
            <w:r w:rsidRPr="00FF386D">
              <w:rPr>
                <w:rFonts w:asciiTheme="majorHAnsi" w:hAnsiTheme="majorHAnsi" w:cstheme="majorHAnsi"/>
                <w:color w:val="000000"/>
              </w:rPr>
              <w:t xml:space="preserve"> учесталост прекида испоруке по месту предаје електричне енергије</w:t>
            </w:r>
          </w:p>
        </w:tc>
      </w:tr>
      <w:tr w:rsidR="00C10A48" w:rsidRPr="00FF386D" w14:paraId="7512812F" w14:textId="77777777" w:rsidTr="00D24C20">
        <w:tc>
          <w:tcPr>
            <w:tcW w:w="2155" w:type="dxa"/>
            <w:vAlign w:val="bottom"/>
          </w:tcPr>
          <w:p w14:paraId="4B3DECBD"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САНУ</w:t>
            </w:r>
          </w:p>
        </w:tc>
        <w:tc>
          <w:tcPr>
            <w:tcW w:w="7343" w:type="dxa"/>
            <w:vAlign w:val="bottom"/>
          </w:tcPr>
          <w:p w14:paraId="21AFEC8C"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Српска академија наука и уметности</w:t>
            </w:r>
          </w:p>
        </w:tc>
      </w:tr>
      <w:tr w:rsidR="00C10A48" w:rsidRPr="00FF386D" w14:paraId="1D6CECFF" w14:textId="77777777" w:rsidTr="00D24C20">
        <w:tc>
          <w:tcPr>
            <w:tcW w:w="2155" w:type="dxa"/>
            <w:vAlign w:val="bottom"/>
          </w:tcPr>
          <w:p w14:paraId="61F2EF78"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ЈИЕ</w:t>
            </w:r>
          </w:p>
        </w:tc>
        <w:tc>
          <w:tcPr>
            <w:tcW w:w="7343" w:type="dxa"/>
            <w:vAlign w:val="bottom"/>
          </w:tcPr>
          <w:p w14:paraId="3FD9B120"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Југоисточна Европа</w:t>
            </w:r>
          </w:p>
        </w:tc>
      </w:tr>
      <w:tr w:rsidR="00C10A48" w:rsidRPr="00FF386D" w14:paraId="020D1120" w14:textId="77777777" w:rsidTr="00D24C20">
        <w:tc>
          <w:tcPr>
            <w:tcW w:w="2155" w:type="dxa"/>
            <w:vAlign w:val="bottom"/>
          </w:tcPr>
          <w:p w14:paraId="76CCBA57"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i/>
                <w:iCs/>
                <w:color w:val="000000"/>
              </w:rPr>
              <w:t>SEEPEX</w:t>
            </w:r>
          </w:p>
        </w:tc>
        <w:tc>
          <w:tcPr>
            <w:tcW w:w="7343" w:type="dxa"/>
            <w:vAlign w:val="bottom"/>
          </w:tcPr>
          <w:p w14:paraId="2715954A"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SEEPEX а.д.Београд,</w:t>
            </w:r>
          </w:p>
        </w:tc>
      </w:tr>
      <w:tr w:rsidR="00C10A48" w:rsidRPr="00FF386D" w14:paraId="435FB198" w14:textId="77777777" w:rsidTr="00D24C20">
        <w:tc>
          <w:tcPr>
            <w:tcW w:w="2155" w:type="dxa"/>
            <w:vAlign w:val="bottom"/>
          </w:tcPr>
          <w:p w14:paraId="4A56B8EA"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i/>
                <w:iCs/>
                <w:color w:val="000000"/>
              </w:rPr>
              <w:t xml:space="preserve">SET </w:t>
            </w:r>
          </w:p>
        </w:tc>
        <w:tc>
          <w:tcPr>
            <w:tcW w:w="7343" w:type="dxa"/>
            <w:vAlign w:val="bottom"/>
          </w:tcPr>
          <w:p w14:paraId="7C00BD00"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Стратешке енергетске технологије</w:t>
            </w:r>
          </w:p>
        </w:tc>
      </w:tr>
      <w:tr w:rsidR="00C10A48" w:rsidRPr="00FF386D" w14:paraId="28C1AA38" w14:textId="77777777" w:rsidTr="00D24C20">
        <w:tc>
          <w:tcPr>
            <w:tcW w:w="2155" w:type="dxa"/>
            <w:vAlign w:val="bottom"/>
          </w:tcPr>
          <w:p w14:paraId="492CF327"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i/>
                <w:iCs/>
                <w:color w:val="000000"/>
              </w:rPr>
              <w:t>SIDMC</w:t>
            </w:r>
          </w:p>
        </w:tc>
        <w:tc>
          <w:tcPr>
            <w:tcW w:w="7343" w:type="dxa"/>
            <w:vAlign w:val="bottom"/>
          </w:tcPr>
          <w:p w14:paraId="5C78FE53"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Јединствено унутардневно спајање тржишта</w:t>
            </w:r>
          </w:p>
        </w:tc>
      </w:tr>
      <w:tr w:rsidR="00C10A48" w:rsidRPr="00FF386D" w14:paraId="73232287" w14:textId="77777777" w:rsidTr="00D24C20">
        <w:tc>
          <w:tcPr>
            <w:tcW w:w="2155" w:type="dxa"/>
            <w:vAlign w:val="bottom"/>
          </w:tcPr>
          <w:p w14:paraId="28ABE7AF"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МСП</w:t>
            </w:r>
          </w:p>
        </w:tc>
        <w:tc>
          <w:tcPr>
            <w:tcW w:w="7343" w:type="dxa"/>
            <w:vAlign w:val="bottom"/>
          </w:tcPr>
          <w:p w14:paraId="65E3E709"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Мала и средња предузећа</w:t>
            </w:r>
          </w:p>
        </w:tc>
      </w:tr>
      <w:tr w:rsidR="00C10A48" w:rsidRPr="00FF386D" w14:paraId="69100DFB" w14:textId="77777777" w:rsidTr="00D24C20">
        <w:tc>
          <w:tcPr>
            <w:tcW w:w="2155" w:type="dxa"/>
            <w:vAlign w:val="bottom"/>
          </w:tcPr>
          <w:p w14:paraId="25F08237"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i/>
                <w:iCs/>
                <w:color w:val="000000"/>
              </w:rPr>
              <w:lastRenderedPageBreak/>
              <w:t xml:space="preserve">SMR </w:t>
            </w:r>
          </w:p>
        </w:tc>
        <w:tc>
          <w:tcPr>
            <w:tcW w:w="7343" w:type="dxa"/>
            <w:vAlign w:val="bottom"/>
          </w:tcPr>
          <w:p w14:paraId="16C0447C"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Мали модуларни реактори</w:t>
            </w:r>
          </w:p>
        </w:tc>
      </w:tr>
      <w:tr w:rsidR="00C10A48" w:rsidRPr="00FF386D" w14:paraId="4BACD976" w14:textId="77777777" w:rsidTr="00D24C20">
        <w:tc>
          <w:tcPr>
            <w:tcW w:w="2155" w:type="dxa"/>
            <w:vAlign w:val="bottom"/>
          </w:tcPr>
          <w:p w14:paraId="27F53438"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РЗС</w:t>
            </w:r>
          </w:p>
        </w:tc>
        <w:tc>
          <w:tcPr>
            <w:tcW w:w="7343" w:type="dxa"/>
            <w:vAlign w:val="bottom"/>
          </w:tcPr>
          <w:p w14:paraId="04E1209D"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Републички завод за статистику Србије</w:t>
            </w:r>
          </w:p>
        </w:tc>
      </w:tr>
      <w:tr w:rsidR="00C10A48" w:rsidRPr="00FF386D" w14:paraId="6B107551" w14:textId="77777777" w:rsidTr="00D24C20">
        <w:tc>
          <w:tcPr>
            <w:tcW w:w="2155" w:type="dxa"/>
            <w:vAlign w:val="bottom"/>
          </w:tcPr>
          <w:p w14:paraId="411F6713"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ПС</w:t>
            </w:r>
          </w:p>
        </w:tc>
        <w:tc>
          <w:tcPr>
            <w:tcW w:w="7343" w:type="dxa"/>
            <w:vAlign w:val="bottom"/>
          </w:tcPr>
          <w:p w14:paraId="6CC20A42"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Подстаница</w:t>
            </w:r>
          </w:p>
        </w:tc>
      </w:tr>
      <w:tr w:rsidR="00C10A48" w:rsidRPr="00FF386D" w14:paraId="0CBB009B" w14:textId="77777777" w:rsidTr="00D24C20">
        <w:tc>
          <w:tcPr>
            <w:tcW w:w="2155" w:type="dxa"/>
            <w:vAlign w:val="bottom"/>
          </w:tcPr>
          <w:p w14:paraId="7171A1A1"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i/>
                <w:iCs/>
                <w:color w:val="000000"/>
              </w:rPr>
              <w:t>SSP</w:t>
            </w:r>
          </w:p>
        </w:tc>
        <w:tc>
          <w:tcPr>
            <w:tcW w:w="7343" w:type="dxa"/>
            <w:vAlign w:val="bottom"/>
          </w:tcPr>
          <w:p w14:paraId="2F528B69"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Заједничке социо-економске путање</w:t>
            </w:r>
          </w:p>
        </w:tc>
      </w:tr>
      <w:tr w:rsidR="00C10A48" w:rsidRPr="00FF386D" w14:paraId="58D84D71" w14:textId="77777777" w:rsidTr="006A1EB2">
        <w:tc>
          <w:tcPr>
            <w:tcW w:w="2155" w:type="dxa"/>
            <w:vAlign w:val="center"/>
          </w:tcPr>
          <w:p w14:paraId="7D12FC64" w14:textId="77777777" w:rsidR="00C10A48" w:rsidRPr="00FF386D" w:rsidRDefault="00C10A48" w:rsidP="00C10A48">
            <w:pPr>
              <w:jc w:val="left"/>
              <w:rPr>
                <w:rFonts w:asciiTheme="majorHAnsi" w:hAnsiTheme="majorHAnsi" w:cstheme="majorHAnsi"/>
                <w:color w:val="000000"/>
                <w:sz w:val="22"/>
                <w:szCs w:val="22"/>
              </w:rPr>
            </w:pPr>
            <w:r w:rsidRPr="00FF386D">
              <w:rPr>
                <w:rFonts w:asciiTheme="majorHAnsi" w:hAnsiTheme="majorHAnsi" w:cstheme="majorHAnsi"/>
                <w:i/>
                <w:iCs/>
                <w:color w:val="000000"/>
              </w:rPr>
              <w:t xml:space="preserve">TRINITY </w:t>
            </w:r>
          </w:p>
        </w:tc>
        <w:tc>
          <w:tcPr>
            <w:tcW w:w="7343" w:type="dxa"/>
            <w:vAlign w:val="bottom"/>
          </w:tcPr>
          <w:p w14:paraId="5C699079"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Повећање регионалних граничних капацитета преносног система помоћу интелигентне тржишне технологије</w:t>
            </w:r>
          </w:p>
        </w:tc>
      </w:tr>
      <w:tr w:rsidR="00C10A48" w:rsidRPr="00FF386D" w14:paraId="5F50FB1E" w14:textId="77777777" w:rsidTr="00D24C20">
        <w:tc>
          <w:tcPr>
            <w:tcW w:w="2155" w:type="dxa"/>
            <w:vAlign w:val="bottom"/>
          </w:tcPr>
          <w:p w14:paraId="7D1FDFEF"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ТС</w:t>
            </w:r>
          </w:p>
        </w:tc>
        <w:tc>
          <w:tcPr>
            <w:tcW w:w="7343" w:type="dxa"/>
            <w:vAlign w:val="bottom"/>
          </w:tcPr>
          <w:p w14:paraId="4ADEC5A4" w14:textId="763E68AA"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Трансформат</w:t>
            </w:r>
            <w:r w:rsidR="00157C37" w:rsidRPr="00FF386D">
              <w:rPr>
                <w:rFonts w:asciiTheme="majorHAnsi" w:hAnsiTheme="majorHAnsi" w:cstheme="majorHAnsi"/>
                <w:color w:val="000000"/>
              </w:rPr>
              <w:t>орска</w:t>
            </w:r>
            <w:r w:rsidRPr="00FF386D">
              <w:rPr>
                <w:rFonts w:asciiTheme="majorHAnsi" w:hAnsiTheme="majorHAnsi" w:cstheme="majorHAnsi"/>
                <w:color w:val="000000"/>
              </w:rPr>
              <w:t xml:space="preserve"> подстаница</w:t>
            </w:r>
          </w:p>
        </w:tc>
      </w:tr>
      <w:tr w:rsidR="00C10A48" w:rsidRPr="00FF386D" w14:paraId="1E9902C5" w14:textId="77777777" w:rsidTr="00D24C20">
        <w:tc>
          <w:tcPr>
            <w:tcW w:w="2155" w:type="dxa"/>
            <w:vAlign w:val="bottom"/>
          </w:tcPr>
          <w:p w14:paraId="40BEA63C"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ОПС</w:t>
            </w:r>
          </w:p>
        </w:tc>
        <w:tc>
          <w:tcPr>
            <w:tcW w:w="7343" w:type="dxa"/>
            <w:vAlign w:val="bottom"/>
          </w:tcPr>
          <w:p w14:paraId="6CFC1AB2"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Оператор преносног система</w:t>
            </w:r>
          </w:p>
        </w:tc>
      </w:tr>
      <w:tr w:rsidR="00C10A48" w:rsidRPr="00FF386D" w14:paraId="1378CA0D" w14:textId="77777777" w:rsidTr="00D24C20">
        <w:tc>
          <w:tcPr>
            <w:tcW w:w="2155" w:type="dxa"/>
            <w:vAlign w:val="bottom"/>
          </w:tcPr>
          <w:p w14:paraId="6F0C0CD1"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i/>
                <w:iCs/>
                <w:color w:val="000000"/>
              </w:rPr>
              <w:t>TYNDP</w:t>
            </w:r>
          </w:p>
        </w:tc>
        <w:tc>
          <w:tcPr>
            <w:tcW w:w="7343" w:type="dxa"/>
            <w:vAlign w:val="bottom"/>
          </w:tcPr>
          <w:p w14:paraId="3C54922E"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Десетогодишњи план развоја преносног система</w:t>
            </w:r>
          </w:p>
        </w:tc>
      </w:tr>
      <w:tr w:rsidR="00C10A48" w:rsidRPr="00FF386D" w14:paraId="3E649269" w14:textId="77777777" w:rsidTr="00D24C20">
        <w:tc>
          <w:tcPr>
            <w:tcW w:w="2155" w:type="dxa"/>
            <w:vAlign w:val="bottom"/>
          </w:tcPr>
          <w:p w14:paraId="1BEC184F"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i/>
                <w:iCs/>
                <w:color w:val="000000"/>
              </w:rPr>
              <w:t>UNDP</w:t>
            </w:r>
          </w:p>
        </w:tc>
        <w:tc>
          <w:tcPr>
            <w:tcW w:w="7343" w:type="dxa"/>
            <w:vAlign w:val="bottom"/>
          </w:tcPr>
          <w:p w14:paraId="4B6D6265"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Програм Уједињених нација за развој</w:t>
            </w:r>
          </w:p>
        </w:tc>
      </w:tr>
      <w:tr w:rsidR="00C10A48" w:rsidRPr="00FF386D" w14:paraId="6071311A" w14:textId="77777777" w:rsidTr="00D24C20">
        <w:tc>
          <w:tcPr>
            <w:tcW w:w="2155" w:type="dxa"/>
            <w:vAlign w:val="bottom"/>
          </w:tcPr>
          <w:p w14:paraId="33519831"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i/>
                <w:iCs/>
                <w:color w:val="000000"/>
              </w:rPr>
              <w:t xml:space="preserve">UNFCCC </w:t>
            </w:r>
          </w:p>
        </w:tc>
        <w:tc>
          <w:tcPr>
            <w:tcW w:w="7343" w:type="dxa"/>
            <w:vAlign w:val="bottom"/>
          </w:tcPr>
          <w:p w14:paraId="5C4865AB"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Оквирна конвенција Уједињених нација о климатским променама</w:t>
            </w:r>
          </w:p>
        </w:tc>
      </w:tr>
      <w:tr w:rsidR="00C10A48" w:rsidRPr="00FF386D" w14:paraId="2126F31C" w14:textId="77777777" w:rsidTr="00D24C20">
        <w:tc>
          <w:tcPr>
            <w:tcW w:w="2155" w:type="dxa"/>
            <w:vAlign w:val="bottom"/>
          </w:tcPr>
          <w:p w14:paraId="7175A66E"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i/>
                <w:iCs/>
                <w:color w:val="000000"/>
              </w:rPr>
              <w:t>WAM</w:t>
            </w:r>
          </w:p>
        </w:tc>
        <w:tc>
          <w:tcPr>
            <w:tcW w:w="7343" w:type="dxa"/>
            <w:vAlign w:val="bottom"/>
          </w:tcPr>
          <w:p w14:paraId="497ED10E" w14:textId="2B1F6BB9" w:rsidR="00C10A48" w:rsidRPr="00FF386D" w:rsidRDefault="007B1676" w:rsidP="00C10A48">
            <w:pPr>
              <w:rPr>
                <w:rFonts w:asciiTheme="majorHAnsi" w:hAnsiTheme="majorHAnsi" w:cstheme="majorHAnsi"/>
                <w:color w:val="000000"/>
                <w:sz w:val="22"/>
                <w:szCs w:val="22"/>
              </w:rPr>
            </w:pPr>
            <w:r>
              <w:rPr>
                <w:rFonts w:asciiTheme="majorHAnsi" w:hAnsiTheme="majorHAnsi" w:cstheme="majorHAnsi"/>
                <w:color w:val="000000"/>
              </w:rPr>
              <w:t xml:space="preserve">Сценарио </w:t>
            </w:r>
            <w:r w:rsidR="00211141">
              <w:rPr>
                <w:rFonts w:asciiTheme="majorHAnsi" w:hAnsiTheme="majorHAnsi" w:cstheme="majorHAnsi"/>
                <w:color w:val="000000"/>
              </w:rPr>
              <w:t xml:space="preserve">са </w:t>
            </w:r>
            <w:r w:rsidR="00C10A48" w:rsidRPr="00FF386D">
              <w:rPr>
                <w:rFonts w:asciiTheme="majorHAnsi" w:hAnsiTheme="majorHAnsi" w:cstheme="majorHAnsi"/>
                <w:color w:val="000000"/>
              </w:rPr>
              <w:t>додатним мерама</w:t>
            </w:r>
          </w:p>
        </w:tc>
      </w:tr>
      <w:tr w:rsidR="00C10A48" w:rsidRPr="00FF386D" w14:paraId="5387F736" w14:textId="77777777" w:rsidTr="00D24C20">
        <w:tc>
          <w:tcPr>
            <w:tcW w:w="2155" w:type="dxa"/>
            <w:vAlign w:val="bottom"/>
          </w:tcPr>
          <w:p w14:paraId="6E4937A9"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i/>
                <w:iCs/>
                <w:color w:val="000000"/>
              </w:rPr>
              <w:t xml:space="preserve">WEM </w:t>
            </w:r>
          </w:p>
        </w:tc>
        <w:tc>
          <w:tcPr>
            <w:tcW w:w="7343" w:type="dxa"/>
            <w:vAlign w:val="bottom"/>
          </w:tcPr>
          <w:p w14:paraId="09E93AF8" w14:textId="60E92C4C" w:rsidR="00C10A48" w:rsidRPr="00FF386D" w:rsidRDefault="007B1676" w:rsidP="00C10A48">
            <w:pPr>
              <w:rPr>
                <w:rFonts w:asciiTheme="majorHAnsi" w:hAnsiTheme="majorHAnsi" w:cstheme="majorHAnsi"/>
                <w:color w:val="000000"/>
                <w:sz w:val="22"/>
                <w:szCs w:val="22"/>
              </w:rPr>
            </w:pPr>
            <w:r>
              <w:rPr>
                <w:rFonts w:asciiTheme="majorHAnsi" w:hAnsiTheme="majorHAnsi" w:cstheme="majorHAnsi"/>
                <w:color w:val="000000"/>
              </w:rPr>
              <w:t xml:space="preserve">Сценарио </w:t>
            </w:r>
            <w:r w:rsidR="00211141">
              <w:rPr>
                <w:rFonts w:asciiTheme="majorHAnsi" w:hAnsiTheme="majorHAnsi" w:cstheme="majorHAnsi"/>
                <w:color w:val="000000"/>
              </w:rPr>
              <w:t xml:space="preserve">са </w:t>
            </w:r>
            <w:r w:rsidR="00C10A48" w:rsidRPr="00FF386D">
              <w:rPr>
                <w:rFonts w:asciiTheme="majorHAnsi" w:hAnsiTheme="majorHAnsi" w:cstheme="majorHAnsi"/>
                <w:color w:val="000000"/>
              </w:rPr>
              <w:t>постојећим мерама</w:t>
            </w:r>
          </w:p>
        </w:tc>
      </w:tr>
      <w:tr w:rsidR="00C10A48" w:rsidRPr="00FF386D" w14:paraId="48BCEE22" w14:textId="77777777" w:rsidTr="00D24C20">
        <w:tc>
          <w:tcPr>
            <w:tcW w:w="2155" w:type="dxa"/>
            <w:vAlign w:val="bottom"/>
          </w:tcPr>
          <w:p w14:paraId="2223B886"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РГ</w:t>
            </w:r>
          </w:p>
        </w:tc>
        <w:tc>
          <w:tcPr>
            <w:tcW w:w="7343" w:type="dxa"/>
            <w:vAlign w:val="bottom"/>
          </w:tcPr>
          <w:p w14:paraId="4F6AA15B" w14:textId="77777777" w:rsidR="00C10A48" w:rsidRPr="00FF386D" w:rsidRDefault="00C10A48" w:rsidP="00C10A48">
            <w:pPr>
              <w:rPr>
                <w:rFonts w:asciiTheme="majorHAnsi" w:hAnsiTheme="majorHAnsi" w:cstheme="majorHAnsi"/>
                <w:color w:val="000000"/>
                <w:sz w:val="22"/>
                <w:szCs w:val="22"/>
              </w:rPr>
            </w:pPr>
            <w:r w:rsidRPr="00FF386D">
              <w:rPr>
                <w:rFonts w:asciiTheme="majorHAnsi" w:hAnsiTheme="majorHAnsi" w:cstheme="majorHAnsi"/>
                <w:color w:val="000000"/>
              </w:rPr>
              <w:t>Радна група</w:t>
            </w:r>
          </w:p>
        </w:tc>
      </w:tr>
    </w:tbl>
    <w:p w14:paraId="13087289" w14:textId="77777777" w:rsidR="00931D02" w:rsidRPr="00FF386D" w:rsidRDefault="00931D02">
      <w:pPr>
        <w:spacing w:line="259" w:lineRule="auto"/>
        <w:rPr>
          <w:rFonts w:ascii="Calibri Light" w:hAnsi="Calibri Light" w:cs="Calibri Light"/>
          <w:highlight w:val="green"/>
        </w:rPr>
      </w:pPr>
      <w:r w:rsidRPr="00FF386D">
        <w:rPr>
          <w:rFonts w:ascii="Calibri Light" w:hAnsi="Calibri Light" w:cs="Calibri Light"/>
          <w:highlight w:val="green"/>
        </w:rPr>
        <w:br w:type="page"/>
      </w:r>
    </w:p>
    <w:p w14:paraId="461E9FA0" w14:textId="675C5986" w:rsidR="00931D02" w:rsidRPr="00FF386D" w:rsidRDefault="00867DF2" w:rsidP="00A14648">
      <w:pPr>
        <w:pStyle w:val="Heading1"/>
        <w:numPr>
          <w:ilvl w:val="0"/>
          <w:numId w:val="0"/>
        </w:numPr>
        <w:ind w:left="432" w:hanging="432"/>
      </w:pPr>
      <w:bookmarkStart w:id="7" w:name="_Toc79772539"/>
      <w:bookmarkStart w:id="8" w:name="_Toc137457008"/>
      <w:bookmarkStart w:id="9" w:name="_Toc153901525"/>
      <w:r w:rsidRPr="00FF386D">
        <w:lastRenderedPageBreak/>
        <w:t xml:space="preserve">СПИСАК </w:t>
      </w:r>
      <w:bookmarkEnd w:id="7"/>
      <w:r w:rsidR="00313D67" w:rsidRPr="00FF386D">
        <w:t>ГРАФИЧКИХ ПРИКАЗА</w:t>
      </w:r>
      <w:bookmarkEnd w:id="8"/>
      <w:bookmarkEnd w:id="9"/>
    </w:p>
    <w:p w14:paraId="628C99D7" w14:textId="1C39027E" w:rsidR="00566668" w:rsidRDefault="00566668">
      <w:pPr>
        <w:pStyle w:val="TableofFigures"/>
        <w:tabs>
          <w:tab w:val="right" w:leader="dot" w:pos="9628"/>
        </w:tabs>
        <w:rPr>
          <w:rFonts w:eastAsiaTheme="minorEastAsia"/>
          <w:noProof/>
          <w:kern w:val="2"/>
          <w:lang w:val="en-US"/>
          <w14:ligatures w14:val="standardContextual"/>
        </w:rPr>
      </w:pPr>
      <w:r>
        <w:rPr>
          <w:rFonts w:asciiTheme="majorHAnsi" w:hAnsiTheme="majorHAnsi" w:cstheme="majorHAnsi"/>
          <w:highlight w:val="yellow"/>
        </w:rPr>
        <w:fldChar w:fldCharType="begin"/>
      </w:r>
      <w:r>
        <w:rPr>
          <w:rFonts w:asciiTheme="majorHAnsi" w:hAnsiTheme="majorHAnsi" w:cstheme="majorHAnsi"/>
          <w:highlight w:val="yellow"/>
        </w:rPr>
        <w:instrText xml:space="preserve"> TOC \h \z \c "Слика" </w:instrText>
      </w:r>
      <w:r>
        <w:rPr>
          <w:rFonts w:asciiTheme="majorHAnsi" w:hAnsiTheme="majorHAnsi" w:cstheme="majorHAnsi"/>
          <w:highlight w:val="yellow"/>
        </w:rPr>
        <w:fldChar w:fldCharType="separate"/>
      </w:r>
      <w:hyperlink w:anchor="_Toc153901331" w:history="1">
        <w:r w:rsidRPr="00756278">
          <w:rPr>
            <w:rStyle w:val="Hyperlink"/>
            <w:noProof/>
          </w:rPr>
          <w:t>Слика 1.1: Број становника у 2019. години, у милионима (извор: Евростат)</w:t>
        </w:r>
        <w:r>
          <w:rPr>
            <w:noProof/>
            <w:webHidden/>
          </w:rPr>
          <w:tab/>
        </w:r>
        <w:r>
          <w:rPr>
            <w:noProof/>
            <w:webHidden/>
          </w:rPr>
          <w:fldChar w:fldCharType="begin"/>
        </w:r>
        <w:r>
          <w:rPr>
            <w:noProof/>
            <w:webHidden/>
          </w:rPr>
          <w:instrText xml:space="preserve"> PAGEREF _Toc153901331 \h </w:instrText>
        </w:r>
        <w:r>
          <w:rPr>
            <w:noProof/>
            <w:webHidden/>
          </w:rPr>
        </w:r>
        <w:r>
          <w:rPr>
            <w:noProof/>
            <w:webHidden/>
          </w:rPr>
          <w:fldChar w:fldCharType="separate"/>
        </w:r>
        <w:r w:rsidR="00565B02">
          <w:rPr>
            <w:noProof/>
            <w:webHidden/>
          </w:rPr>
          <w:t>21</w:t>
        </w:r>
        <w:r>
          <w:rPr>
            <w:noProof/>
            <w:webHidden/>
          </w:rPr>
          <w:fldChar w:fldCharType="end"/>
        </w:r>
      </w:hyperlink>
    </w:p>
    <w:p w14:paraId="46F6CB22" w14:textId="4FB6A02A" w:rsidR="00566668" w:rsidRDefault="00566668">
      <w:pPr>
        <w:pStyle w:val="TableofFigures"/>
        <w:tabs>
          <w:tab w:val="right" w:leader="dot" w:pos="9628"/>
        </w:tabs>
        <w:rPr>
          <w:rFonts w:eastAsiaTheme="minorEastAsia"/>
          <w:noProof/>
          <w:kern w:val="2"/>
          <w:lang w:val="en-US"/>
          <w14:ligatures w14:val="standardContextual"/>
        </w:rPr>
      </w:pPr>
      <w:hyperlink w:anchor="_Toc153901332" w:history="1">
        <w:r w:rsidRPr="00756278">
          <w:rPr>
            <w:rStyle w:val="Hyperlink"/>
            <w:noProof/>
          </w:rPr>
          <w:t>Слика 1.2: Реална стопа раста БДП-а у 2019. години, у % (извор: Евростат)</w:t>
        </w:r>
        <w:r>
          <w:rPr>
            <w:noProof/>
            <w:webHidden/>
          </w:rPr>
          <w:tab/>
        </w:r>
        <w:r>
          <w:rPr>
            <w:noProof/>
            <w:webHidden/>
          </w:rPr>
          <w:fldChar w:fldCharType="begin"/>
        </w:r>
        <w:r>
          <w:rPr>
            <w:noProof/>
            <w:webHidden/>
          </w:rPr>
          <w:instrText xml:space="preserve"> PAGEREF _Toc153901332 \h </w:instrText>
        </w:r>
        <w:r>
          <w:rPr>
            <w:noProof/>
            <w:webHidden/>
          </w:rPr>
        </w:r>
        <w:r>
          <w:rPr>
            <w:noProof/>
            <w:webHidden/>
          </w:rPr>
          <w:fldChar w:fldCharType="separate"/>
        </w:r>
        <w:r w:rsidR="00565B02">
          <w:rPr>
            <w:noProof/>
            <w:webHidden/>
          </w:rPr>
          <w:t>21</w:t>
        </w:r>
        <w:r>
          <w:rPr>
            <w:noProof/>
            <w:webHidden/>
          </w:rPr>
          <w:fldChar w:fldCharType="end"/>
        </w:r>
      </w:hyperlink>
    </w:p>
    <w:p w14:paraId="04DBC520" w14:textId="46EF6FB5" w:rsidR="00566668" w:rsidRDefault="00566668">
      <w:pPr>
        <w:pStyle w:val="TableofFigures"/>
        <w:tabs>
          <w:tab w:val="right" w:leader="dot" w:pos="9628"/>
        </w:tabs>
        <w:rPr>
          <w:rFonts w:eastAsiaTheme="minorEastAsia"/>
          <w:noProof/>
          <w:kern w:val="2"/>
          <w:lang w:val="en-US"/>
          <w14:ligatures w14:val="standardContextual"/>
        </w:rPr>
      </w:pPr>
      <w:hyperlink w:anchor="_Toc153901333" w:history="1">
        <w:r w:rsidRPr="00756278">
          <w:rPr>
            <w:rStyle w:val="Hyperlink"/>
            <w:noProof/>
          </w:rPr>
          <w:t>Слика 1.3: Стопа дугорочне незапослености у 2019. години, у % (извор: Евростат)</w:t>
        </w:r>
        <w:r>
          <w:rPr>
            <w:noProof/>
            <w:webHidden/>
          </w:rPr>
          <w:tab/>
        </w:r>
        <w:r>
          <w:rPr>
            <w:noProof/>
            <w:webHidden/>
          </w:rPr>
          <w:fldChar w:fldCharType="begin"/>
        </w:r>
        <w:r>
          <w:rPr>
            <w:noProof/>
            <w:webHidden/>
          </w:rPr>
          <w:instrText xml:space="preserve"> PAGEREF _Toc153901333 \h </w:instrText>
        </w:r>
        <w:r>
          <w:rPr>
            <w:noProof/>
            <w:webHidden/>
          </w:rPr>
        </w:r>
        <w:r>
          <w:rPr>
            <w:noProof/>
            <w:webHidden/>
          </w:rPr>
          <w:fldChar w:fldCharType="separate"/>
        </w:r>
        <w:r w:rsidR="00565B02">
          <w:rPr>
            <w:noProof/>
            <w:webHidden/>
          </w:rPr>
          <w:t>21</w:t>
        </w:r>
        <w:r>
          <w:rPr>
            <w:noProof/>
            <w:webHidden/>
          </w:rPr>
          <w:fldChar w:fldCharType="end"/>
        </w:r>
      </w:hyperlink>
    </w:p>
    <w:p w14:paraId="7E261412" w14:textId="0744FA89" w:rsidR="00566668" w:rsidRDefault="00566668">
      <w:pPr>
        <w:pStyle w:val="TableofFigures"/>
        <w:tabs>
          <w:tab w:val="right" w:leader="dot" w:pos="9628"/>
        </w:tabs>
        <w:rPr>
          <w:rFonts w:eastAsiaTheme="minorEastAsia"/>
          <w:noProof/>
          <w:kern w:val="2"/>
          <w:lang w:val="en-US"/>
          <w14:ligatures w14:val="standardContextual"/>
        </w:rPr>
      </w:pPr>
      <w:hyperlink w:anchor="_Toc153901334" w:history="1">
        <w:r w:rsidRPr="00756278">
          <w:rPr>
            <w:rStyle w:val="Hyperlink"/>
            <w:noProof/>
          </w:rPr>
          <w:t>Слика 1.4: Потрошња примарне енергије по глави становника у 2019. години, toe/становнику (извор: Евростат)</w:t>
        </w:r>
        <w:r>
          <w:rPr>
            <w:noProof/>
            <w:webHidden/>
          </w:rPr>
          <w:tab/>
        </w:r>
        <w:r>
          <w:rPr>
            <w:noProof/>
            <w:webHidden/>
          </w:rPr>
          <w:fldChar w:fldCharType="begin"/>
        </w:r>
        <w:r>
          <w:rPr>
            <w:noProof/>
            <w:webHidden/>
          </w:rPr>
          <w:instrText xml:space="preserve"> PAGEREF _Toc153901334 \h </w:instrText>
        </w:r>
        <w:r>
          <w:rPr>
            <w:noProof/>
            <w:webHidden/>
          </w:rPr>
        </w:r>
        <w:r>
          <w:rPr>
            <w:noProof/>
            <w:webHidden/>
          </w:rPr>
          <w:fldChar w:fldCharType="separate"/>
        </w:r>
        <w:r w:rsidR="00565B02">
          <w:rPr>
            <w:noProof/>
            <w:webHidden/>
          </w:rPr>
          <w:t>22</w:t>
        </w:r>
        <w:r>
          <w:rPr>
            <w:noProof/>
            <w:webHidden/>
          </w:rPr>
          <w:fldChar w:fldCharType="end"/>
        </w:r>
      </w:hyperlink>
    </w:p>
    <w:p w14:paraId="15DCE044" w14:textId="73CDA405" w:rsidR="00566668" w:rsidRDefault="00566668">
      <w:pPr>
        <w:pStyle w:val="TableofFigures"/>
        <w:tabs>
          <w:tab w:val="right" w:leader="dot" w:pos="9628"/>
        </w:tabs>
        <w:rPr>
          <w:rFonts w:eastAsiaTheme="minorEastAsia"/>
          <w:noProof/>
          <w:kern w:val="2"/>
          <w:lang w:val="en-US"/>
          <w14:ligatures w14:val="standardContextual"/>
        </w:rPr>
      </w:pPr>
      <w:hyperlink w:anchor="_Toc153901335" w:history="1">
        <w:r w:rsidRPr="00756278">
          <w:rPr>
            <w:rStyle w:val="Hyperlink"/>
            <w:noProof/>
          </w:rPr>
          <w:t>Слика 1.5: Емисије CO2-eq по глави становника за 2019. годину, у милионима тона CO2 (Извор: Global Carbon Project)</w:t>
        </w:r>
        <w:r>
          <w:rPr>
            <w:noProof/>
            <w:webHidden/>
          </w:rPr>
          <w:tab/>
        </w:r>
        <w:r>
          <w:rPr>
            <w:noProof/>
            <w:webHidden/>
          </w:rPr>
          <w:fldChar w:fldCharType="begin"/>
        </w:r>
        <w:r>
          <w:rPr>
            <w:noProof/>
            <w:webHidden/>
          </w:rPr>
          <w:instrText xml:space="preserve"> PAGEREF _Toc153901335 \h </w:instrText>
        </w:r>
        <w:r>
          <w:rPr>
            <w:noProof/>
            <w:webHidden/>
          </w:rPr>
        </w:r>
        <w:r>
          <w:rPr>
            <w:noProof/>
            <w:webHidden/>
          </w:rPr>
          <w:fldChar w:fldCharType="separate"/>
        </w:r>
        <w:r w:rsidR="00565B02">
          <w:rPr>
            <w:noProof/>
            <w:webHidden/>
          </w:rPr>
          <w:t>22</w:t>
        </w:r>
        <w:r>
          <w:rPr>
            <w:noProof/>
            <w:webHidden/>
          </w:rPr>
          <w:fldChar w:fldCharType="end"/>
        </w:r>
      </w:hyperlink>
    </w:p>
    <w:p w14:paraId="55944F91" w14:textId="2F536715" w:rsidR="00566668" w:rsidRDefault="00566668">
      <w:pPr>
        <w:pStyle w:val="TableofFigures"/>
        <w:tabs>
          <w:tab w:val="right" w:leader="dot" w:pos="9628"/>
        </w:tabs>
        <w:rPr>
          <w:rFonts w:eastAsiaTheme="minorEastAsia"/>
          <w:noProof/>
          <w:kern w:val="2"/>
          <w:lang w:val="en-US"/>
          <w14:ligatures w14:val="standardContextual"/>
        </w:rPr>
      </w:pPr>
      <w:hyperlink w:anchor="_Toc153901336" w:history="1">
        <w:r w:rsidRPr="00756278">
          <w:rPr>
            <w:rStyle w:val="Hyperlink"/>
            <w:noProof/>
          </w:rPr>
          <w:t>Слика 1.6: Удео ОИЕ у бруто финалној потрошњи енергије за 2019. годину, у % (извор: Евростат)</w:t>
        </w:r>
        <w:r>
          <w:rPr>
            <w:noProof/>
            <w:webHidden/>
          </w:rPr>
          <w:tab/>
        </w:r>
        <w:r>
          <w:rPr>
            <w:noProof/>
            <w:webHidden/>
          </w:rPr>
          <w:fldChar w:fldCharType="begin"/>
        </w:r>
        <w:r>
          <w:rPr>
            <w:noProof/>
            <w:webHidden/>
          </w:rPr>
          <w:instrText xml:space="preserve"> PAGEREF _Toc153901336 \h </w:instrText>
        </w:r>
        <w:r>
          <w:rPr>
            <w:noProof/>
            <w:webHidden/>
          </w:rPr>
        </w:r>
        <w:r>
          <w:rPr>
            <w:noProof/>
            <w:webHidden/>
          </w:rPr>
          <w:fldChar w:fldCharType="separate"/>
        </w:r>
        <w:r w:rsidR="00565B02">
          <w:rPr>
            <w:noProof/>
            <w:webHidden/>
          </w:rPr>
          <w:t>23</w:t>
        </w:r>
        <w:r>
          <w:rPr>
            <w:noProof/>
            <w:webHidden/>
          </w:rPr>
          <w:fldChar w:fldCharType="end"/>
        </w:r>
      </w:hyperlink>
    </w:p>
    <w:p w14:paraId="35BD56BA" w14:textId="0A18F6D3" w:rsidR="00566668" w:rsidRDefault="00566668">
      <w:pPr>
        <w:pStyle w:val="TableofFigures"/>
        <w:tabs>
          <w:tab w:val="right" w:leader="dot" w:pos="9628"/>
        </w:tabs>
        <w:rPr>
          <w:rFonts w:eastAsiaTheme="minorEastAsia"/>
          <w:noProof/>
          <w:kern w:val="2"/>
          <w:lang w:val="en-US"/>
          <w14:ligatures w14:val="standardContextual"/>
        </w:rPr>
      </w:pPr>
      <w:hyperlink w:anchor="_Toc153901337" w:history="1">
        <w:r w:rsidRPr="00756278">
          <w:rPr>
            <w:rStyle w:val="Hyperlink"/>
            <w:noProof/>
          </w:rPr>
          <w:t>Слика 1.7: Удео ОИЕ у производњи електричне енергије за 2019. годину, у % (извор: Евростат)</w:t>
        </w:r>
        <w:r>
          <w:rPr>
            <w:noProof/>
            <w:webHidden/>
          </w:rPr>
          <w:tab/>
        </w:r>
        <w:r>
          <w:rPr>
            <w:noProof/>
            <w:webHidden/>
          </w:rPr>
          <w:fldChar w:fldCharType="begin"/>
        </w:r>
        <w:r>
          <w:rPr>
            <w:noProof/>
            <w:webHidden/>
          </w:rPr>
          <w:instrText xml:space="preserve"> PAGEREF _Toc153901337 \h </w:instrText>
        </w:r>
        <w:r>
          <w:rPr>
            <w:noProof/>
            <w:webHidden/>
          </w:rPr>
        </w:r>
        <w:r>
          <w:rPr>
            <w:noProof/>
            <w:webHidden/>
          </w:rPr>
          <w:fldChar w:fldCharType="separate"/>
        </w:r>
        <w:r w:rsidR="00565B02">
          <w:rPr>
            <w:noProof/>
            <w:webHidden/>
          </w:rPr>
          <w:t>23</w:t>
        </w:r>
        <w:r>
          <w:rPr>
            <w:noProof/>
            <w:webHidden/>
          </w:rPr>
          <w:fldChar w:fldCharType="end"/>
        </w:r>
      </w:hyperlink>
    </w:p>
    <w:p w14:paraId="3BB4EA5F" w14:textId="39029BBB" w:rsidR="00566668" w:rsidRDefault="00566668">
      <w:pPr>
        <w:pStyle w:val="TableofFigures"/>
        <w:tabs>
          <w:tab w:val="right" w:leader="dot" w:pos="9628"/>
        </w:tabs>
        <w:rPr>
          <w:rFonts w:eastAsiaTheme="minorEastAsia"/>
          <w:noProof/>
          <w:kern w:val="2"/>
          <w:lang w:val="en-US"/>
          <w14:ligatures w14:val="standardContextual"/>
        </w:rPr>
      </w:pPr>
      <w:hyperlink w:anchor="_Toc153901338" w:history="1">
        <w:r w:rsidRPr="00756278">
          <w:rPr>
            <w:rStyle w:val="Hyperlink"/>
            <w:noProof/>
          </w:rPr>
          <w:t>Слика 1.8: Потрошња примарне енергије за 2019. годину у односу на 2005, у % (извор: Евростат)</w:t>
        </w:r>
        <w:r>
          <w:rPr>
            <w:noProof/>
            <w:webHidden/>
          </w:rPr>
          <w:tab/>
        </w:r>
        <w:r>
          <w:rPr>
            <w:noProof/>
            <w:webHidden/>
          </w:rPr>
          <w:fldChar w:fldCharType="begin"/>
        </w:r>
        <w:r>
          <w:rPr>
            <w:noProof/>
            <w:webHidden/>
          </w:rPr>
          <w:instrText xml:space="preserve"> PAGEREF _Toc153901338 \h </w:instrText>
        </w:r>
        <w:r>
          <w:rPr>
            <w:noProof/>
            <w:webHidden/>
          </w:rPr>
        </w:r>
        <w:r>
          <w:rPr>
            <w:noProof/>
            <w:webHidden/>
          </w:rPr>
          <w:fldChar w:fldCharType="separate"/>
        </w:r>
        <w:r w:rsidR="00565B02">
          <w:rPr>
            <w:noProof/>
            <w:webHidden/>
          </w:rPr>
          <w:t>24</w:t>
        </w:r>
        <w:r>
          <w:rPr>
            <w:noProof/>
            <w:webHidden/>
          </w:rPr>
          <w:fldChar w:fldCharType="end"/>
        </w:r>
      </w:hyperlink>
    </w:p>
    <w:p w14:paraId="26901F52" w14:textId="72C21D85" w:rsidR="00566668" w:rsidRDefault="00566668">
      <w:pPr>
        <w:pStyle w:val="TableofFigures"/>
        <w:tabs>
          <w:tab w:val="right" w:leader="dot" w:pos="9628"/>
        </w:tabs>
        <w:rPr>
          <w:rFonts w:eastAsiaTheme="minorEastAsia"/>
          <w:noProof/>
          <w:kern w:val="2"/>
          <w:lang w:val="en-US"/>
          <w14:ligatures w14:val="standardContextual"/>
        </w:rPr>
      </w:pPr>
      <w:hyperlink w:anchor="_Toc153901339" w:history="1">
        <w:r w:rsidRPr="00756278">
          <w:rPr>
            <w:rStyle w:val="Hyperlink"/>
            <w:noProof/>
          </w:rPr>
          <w:t>Слика 1.9: Финална потрошња енергије у домаћинствима по глави становника за 2019. годину, у kgoe (извор: Евростат)</w:t>
        </w:r>
        <w:r>
          <w:rPr>
            <w:noProof/>
            <w:webHidden/>
          </w:rPr>
          <w:tab/>
        </w:r>
        <w:r>
          <w:rPr>
            <w:noProof/>
            <w:webHidden/>
          </w:rPr>
          <w:fldChar w:fldCharType="begin"/>
        </w:r>
        <w:r>
          <w:rPr>
            <w:noProof/>
            <w:webHidden/>
          </w:rPr>
          <w:instrText xml:space="preserve"> PAGEREF _Toc153901339 \h </w:instrText>
        </w:r>
        <w:r>
          <w:rPr>
            <w:noProof/>
            <w:webHidden/>
          </w:rPr>
        </w:r>
        <w:r>
          <w:rPr>
            <w:noProof/>
            <w:webHidden/>
          </w:rPr>
          <w:fldChar w:fldCharType="separate"/>
        </w:r>
        <w:r w:rsidR="00565B02">
          <w:rPr>
            <w:noProof/>
            <w:webHidden/>
          </w:rPr>
          <w:t>24</w:t>
        </w:r>
        <w:r>
          <w:rPr>
            <w:noProof/>
            <w:webHidden/>
          </w:rPr>
          <w:fldChar w:fldCharType="end"/>
        </w:r>
      </w:hyperlink>
    </w:p>
    <w:p w14:paraId="020E5A58" w14:textId="5440DF94" w:rsidR="00566668" w:rsidRDefault="00566668">
      <w:pPr>
        <w:pStyle w:val="TableofFigures"/>
        <w:tabs>
          <w:tab w:val="right" w:leader="dot" w:pos="9628"/>
        </w:tabs>
        <w:rPr>
          <w:rFonts w:eastAsiaTheme="minorEastAsia"/>
          <w:noProof/>
          <w:kern w:val="2"/>
          <w:lang w:val="en-US"/>
          <w14:ligatures w14:val="standardContextual"/>
        </w:rPr>
      </w:pPr>
      <w:hyperlink w:anchor="_Toc153901340" w:history="1">
        <w:r w:rsidRPr="00756278">
          <w:rPr>
            <w:rStyle w:val="Hyperlink"/>
            <w:noProof/>
          </w:rPr>
          <w:t>Слика 1.10: Енергетска продуктивност за 2019. годину, у ЕУР/kgoe (извор: Евростат)</w:t>
        </w:r>
        <w:r>
          <w:rPr>
            <w:noProof/>
            <w:webHidden/>
          </w:rPr>
          <w:tab/>
        </w:r>
        <w:r>
          <w:rPr>
            <w:noProof/>
            <w:webHidden/>
          </w:rPr>
          <w:fldChar w:fldCharType="begin"/>
        </w:r>
        <w:r>
          <w:rPr>
            <w:noProof/>
            <w:webHidden/>
          </w:rPr>
          <w:instrText xml:space="preserve"> PAGEREF _Toc153901340 \h </w:instrText>
        </w:r>
        <w:r>
          <w:rPr>
            <w:noProof/>
            <w:webHidden/>
          </w:rPr>
        </w:r>
        <w:r>
          <w:rPr>
            <w:noProof/>
            <w:webHidden/>
          </w:rPr>
          <w:fldChar w:fldCharType="separate"/>
        </w:r>
        <w:r w:rsidR="00565B02">
          <w:rPr>
            <w:noProof/>
            <w:webHidden/>
          </w:rPr>
          <w:t>25</w:t>
        </w:r>
        <w:r>
          <w:rPr>
            <w:noProof/>
            <w:webHidden/>
          </w:rPr>
          <w:fldChar w:fldCharType="end"/>
        </w:r>
      </w:hyperlink>
    </w:p>
    <w:p w14:paraId="7BAC955E" w14:textId="489394C6" w:rsidR="00566668" w:rsidRDefault="00566668">
      <w:pPr>
        <w:pStyle w:val="TableofFigures"/>
        <w:tabs>
          <w:tab w:val="right" w:leader="dot" w:pos="9628"/>
        </w:tabs>
        <w:rPr>
          <w:rFonts w:eastAsiaTheme="minorEastAsia"/>
          <w:noProof/>
          <w:kern w:val="2"/>
          <w:lang w:val="en-US"/>
          <w14:ligatures w14:val="standardContextual"/>
        </w:rPr>
      </w:pPr>
      <w:hyperlink w:anchor="_Toc153901341" w:history="1">
        <w:r w:rsidRPr="00756278">
          <w:rPr>
            <w:rStyle w:val="Hyperlink"/>
            <w:noProof/>
          </w:rPr>
          <w:t>Слика 1.11: Зависност од увоза за 2019. годину, у % (извор: Евростат)</w:t>
        </w:r>
        <w:r>
          <w:rPr>
            <w:noProof/>
            <w:webHidden/>
          </w:rPr>
          <w:tab/>
        </w:r>
        <w:r>
          <w:rPr>
            <w:noProof/>
            <w:webHidden/>
          </w:rPr>
          <w:fldChar w:fldCharType="begin"/>
        </w:r>
        <w:r>
          <w:rPr>
            <w:noProof/>
            <w:webHidden/>
          </w:rPr>
          <w:instrText xml:space="preserve"> PAGEREF _Toc153901341 \h </w:instrText>
        </w:r>
        <w:r>
          <w:rPr>
            <w:noProof/>
            <w:webHidden/>
          </w:rPr>
        </w:r>
        <w:r>
          <w:rPr>
            <w:noProof/>
            <w:webHidden/>
          </w:rPr>
          <w:fldChar w:fldCharType="separate"/>
        </w:r>
        <w:r w:rsidR="00565B02">
          <w:rPr>
            <w:noProof/>
            <w:webHidden/>
          </w:rPr>
          <w:t>25</w:t>
        </w:r>
        <w:r>
          <w:rPr>
            <w:noProof/>
            <w:webHidden/>
          </w:rPr>
          <w:fldChar w:fldCharType="end"/>
        </w:r>
      </w:hyperlink>
    </w:p>
    <w:p w14:paraId="26EB2838" w14:textId="31730B95" w:rsidR="00566668" w:rsidRDefault="00566668">
      <w:pPr>
        <w:pStyle w:val="TableofFigures"/>
        <w:tabs>
          <w:tab w:val="right" w:leader="dot" w:pos="9628"/>
        </w:tabs>
        <w:rPr>
          <w:rFonts w:eastAsiaTheme="minorEastAsia"/>
          <w:noProof/>
          <w:kern w:val="2"/>
          <w:lang w:val="en-US"/>
          <w14:ligatures w14:val="standardContextual"/>
        </w:rPr>
      </w:pPr>
      <w:hyperlink w:anchor="_Toc153901342" w:history="1">
        <w:r w:rsidRPr="00756278">
          <w:rPr>
            <w:rStyle w:val="Hyperlink"/>
            <w:noProof/>
          </w:rPr>
          <w:t>Слика 1.12 Становништво које није могло адекватно да загреје домове у 2019. години, у % (извор: Евростат)</w:t>
        </w:r>
        <w:r>
          <w:rPr>
            <w:noProof/>
            <w:webHidden/>
          </w:rPr>
          <w:tab/>
        </w:r>
        <w:r>
          <w:rPr>
            <w:noProof/>
            <w:webHidden/>
          </w:rPr>
          <w:fldChar w:fldCharType="begin"/>
        </w:r>
        <w:r>
          <w:rPr>
            <w:noProof/>
            <w:webHidden/>
          </w:rPr>
          <w:instrText xml:space="preserve"> PAGEREF _Toc153901342 \h </w:instrText>
        </w:r>
        <w:r>
          <w:rPr>
            <w:noProof/>
            <w:webHidden/>
          </w:rPr>
        </w:r>
        <w:r>
          <w:rPr>
            <w:noProof/>
            <w:webHidden/>
          </w:rPr>
          <w:fldChar w:fldCharType="separate"/>
        </w:r>
        <w:r w:rsidR="00565B02">
          <w:rPr>
            <w:noProof/>
            <w:webHidden/>
          </w:rPr>
          <w:t>26</w:t>
        </w:r>
        <w:r>
          <w:rPr>
            <w:noProof/>
            <w:webHidden/>
          </w:rPr>
          <w:fldChar w:fldCharType="end"/>
        </w:r>
      </w:hyperlink>
    </w:p>
    <w:p w14:paraId="2672BA7F" w14:textId="57B663B9" w:rsidR="00566668" w:rsidRDefault="00566668">
      <w:pPr>
        <w:pStyle w:val="TableofFigures"/>
        <w:tabs>
          <w:tab w:val="right" w:leader="dot" w:pos="9628"/>
        </w:tabs>
        <w:rPr>
          <w:rFonts w:eastAsiaTheme="minorEastAsia"/>
          <w:noProof/>
          <w:kern w:val="2"/>
          <w:lang w:val="en-US"/>
          <w14:ligatures w14:val="standardContextual"/>
        </w:rPr>
      </w:pPr>
      <w:hyperlink w:anchor="_Toc153901343" w:history="1">
        <w:r w:rsidRPr="00756278">
          <w:rPr>
            <w:rStyle w:val="Hyperlink"/>
            <w:noProof/>
          </w:rPr>
          <w:t>Слика 1.13: Бруто домаћи издаци за истраживање и развој за 2019. годину, у % (извор: Евростат)</w:t>
        </w:r>
        <w:r>
          <w:rPr>
            <w:noProof/>
            <w:webHidden/>
          </w:rPr>
          <w:tab/>
        </w:r>
        <w:r>
          <w:rPr>
            <w:noProof/>
            <w:webHidden/>
          </w:rPr>
          <w:fldChar w:fldCharType="begin"/>
        </w:r>
        <w:r>
          <w:rPr>
            <w:noProof/>
            <w:webHidden/>
          </w:rPr>
          <w:instrText xml:space="preserve"> PAGEREF _Toc153901343 \h </w:instrText>
        </w:r>
        <w:r>
          <w:rPr>
            <w:noProof/>
            <w:webHidden/>
          </w:rPr>
        </w:r>
        <w:r>
          <w:rPr>
            <w:noProof/>
            <w:webHidden/>
          </w:rPr>
          <w:fldChar w:fldCharType="separate"/>
        </w:r>
        <w:r w:rsidR="00565B02">
          <w:rPr>
            <w:noProof/>
            <w:webHidden/>
          </w:rPr>
          <w:t>26</w:t>
        </w:r>
        <w:r>
          <w:rPr>
            <w:noProof/>
            <w:webHidden/>
          </w:rPr>
          <w:fldChar w:fldCharType="end"/>
        </w:r>
      </w:hyperlink>
    </w:p>
    <w:p w14:paraId="1A695EEC" w14:textId="05025A0F" w:rsidR="00566668" w:rsidRDefault="00566668">
      <w:pPr>
        <w:pStyle w:val="TableofFigures"/>
        <w:tabs>
          <w:tab w:val="right" w:leader="dot" w:pos="9628"/>
        </w:tabs>
        <w:rPr>
          <w:rFonts w:eastAsiaTheme="minorEastAsia"/>
          <w:noProof/>
          <w:kern w:val="2"/>
          <w:lang w:val="en-US"/>
          <w14:ligatures w14:val="standardContextual"/>
        </w:rPr>
      </w:pPr>
      <w:hyperlink w:anchor="_Toc153901344" w:history="1">
        <w:r w:rsidRPr="00756278">
          <w:rPr>
            <w:rStyle w:val="Hyperlink"/>
            <w:noProof/>
          </w:rPr>
          <w:t>Слика 1.14: Управљање припремом и развојем Интегрисаног националног енергетског и климатског плана</w:t>
        </w:r>
        <w:r>
          <w:rPr>
            <w:noProof/>
            <w:webHidden/>
          </w:rPr>
          <w:tab/>
        </w:r>
        <w:r>
          <w:rPr>
            <w:noProof/>
            <w:webHidden/>
          </w:rPr>
          <w:fldChar w:fldCharType="begin"/>
        </w:r>
        <w:r>
          <w:rPr>
            <w:noProof/>
            <w:webHidden/>
          </w:rPr>
          <w:instrText xml:space="preserve"> PAGEREF _Toc153901344 \h </w:instrText>
        </w:r>
        <w:r>
          <w:rPr>
            <w:noProof/>
            <w:webHidden/>
          </w:rPr>
        </w:r>
        <w:r>
          <w:rPr>
            <w:noProof/>
            <w:webHidden/>
          </w:rPr>
          <w:fldChar w:fldCharType="separate"/>
        </w:r>
        <w:r w:rsidR="00565B02">
          <w:rPr>
            <w:noProof/>
            <w:webHidden/>
          </w:rPr>
          <w:t>41</w:t>
        </w:r>
        <w:r>
          <w:rPr>
            <w:noProof/>
            <w:webHidden/>
          </w:rPr>
          <w:fldChar w:fldCharType="end"/>
        </w:r>
      </w:hyperlink>
    </w:p>
    <w:p w14:paraId="576B53D5" w14:textId="1910D2B4" w:rsidR="00566668" w:rsidRDefault="00566668">
      <w:pPr>
        <w:pStyle w:val="TableofFigures"/>
        <w:tabs>
          <w:tab w:val="right" w:leader="dot" w:pos="9628"/>
        </w:tabs>
        <w:rPr>
          <w:rFonts w:eastAsiaTheme="minorEastAsia"/>
          <w:noProof/>
          <w:kern w:val="2"/>
          <w:lang w:val="en-US"/>
          <w14:ligatures w14:val="standardContextual"/>
        </w:rPr>
      </w:pPr>
      <w:hyperlink w:anchor="_Toc153901345" w:history="1">
        <w:r w:rsidRPr="00756278">
          <w:rPr>
            <w:rStyle w:val="Hyperlink"/>
            <w:noProof/>
          </w:rPr>
          <w:t>Слика 1.15: Структура Радних група по ангажованим субјектима</w:t>
        </w:r>
        <w:r>
          <w:rPr>
            <w:noProof/>
            <w:webHidden/>
          </w:rPr>
          <w:tab/>
        </w:r>
        <w:r>
          <w:rPr>
            <w:noProof/>
            <w:webHidden/>
          </w:rPr>
          <w:fldChar w:fldCharType="begin"/>
        </w:r>
        <w:r>
          <w:rPr>
            <w:noProof/>
            <w:webHidden/>
          </w:rPr>
          <w:instrText xml:space="preserve"> PAGEREF _Toc153901345 \h </w:instrText>
        </w:r>
        <w:r>
          <w:rPr>
            <w:noProof/>
            <w:webHidden/>
          </w:rPr>
        </w:r>
        <w:r>
          <w:rPr>
            <w:noProof/>
            <w:webHidden/>
          </w:rPr>
          <w:fldChar w:fldCharType="separate"/>
        </w:r>
        <w:r w:rsidR="00565B02">
          <w:rPr>
            <w:noProof/>
            <w:webHidden/>
          </w:rPr>
          <w:t>43</w:t>
        </w:r>
        <w:r>
          <w:rPr>
            <w:noProof/>
            <w:webHidden/>
          </w:rPr>
          <w:fldChar w:fldCharType="end"/>
        </w:r>
      </w:hyperlink>
    </w:p>
    <w:p w14:paraId="4B7BF2E3" w14:textId="7EE0310C" w:rsidR="00566668" w:rsidRDefault="00566668">
      <w:pPr>
        <w:pStyle w:val="TableofFigures"/>
        <w:tabs>
          <w:tab w:val="right" w:leader="dot" w:pos="9628"/>
        </w:tabs>
        <w:rPr>
          <w:rFonts w:eastAsiaTheme="minorEastAsia"/>
          <w:noProof/>
          <w:kern w:val="2"/>
          <w:lang w:val="en-US"/>
          <w14:ligatures w14:val="standardContextual"/>
        </w:rPr>
      </w:pPr>
      <w:hyperlink w:anchor="_Toc153901346" w:history="1">
        <w:r w:rsidRPr="00756278">
          <w:rPr>
            <w:rStyle w:val="Hyperlink"/>
            <w:noProof/>
          </w:rPr>
          <w:t>Слика 1.16: Ангажовани учесници пројекта по димензијама</w:t>
        </w:r>
        <w:r>
          <w:rPr>
            <w:noProof/>
            <w:webHidden/>
          </w:rPr>
          <w:tab/>
        </w:r>
        <w:r>
          <w:rPr>
            <w:noProof/>
            <w:webHidden/>
          </w:rPr>
          <w:fldChar w:fldCharType="begin"/>
        </w:r>
        <w:r>
          <w:rPr>
            <w:noProof/>
            <w:webHidden/>
          </w:rPr>
          <w:instrText xml:space="preserve"> PAGEREF _Toc153901346 \h </w:instrText>
        </w:r>
        <w:r>
          <w:rPr>
            <w:noProof/>
            <w:webHidden/>
          </w:rPr>
        </w:r>
        <w:r>
          <w:rPr>
            <w:noProof/>
            <w:webHidden/>
          </w:rPr>
          <w:fldChar w:fldCharType="separate"/>
        </w:r>
        <w:r w:rsidR="00565B02">
          <w:rPr>
            <w:noProof/>
            <w:webHidden/>
          </w:rPr>
          <w:t>44</w:t>
        </w:r>
        <w:r>
          <w:rPr>
            <w:noProof/>
            <w:webHidden/>
          </w:rPr>
          <w:fldChar w:fldCharType="end"/>
        </w:r>
      </w:hyperlink>
    </w:p>
    <w:p w14:paraId="6D21C681" w14:textId="302238D1" w:rsidR="00566668" w:rsidRDefault="00566668">
      <w:pPr>
        <w:pStyle w:val="TableofFigures"/>
        <w:tabs>
          <w:tab w:val="right" w:leader="dot" w:pos="9628"/>
        </w:tabs>
        <w:rPr>
          <w:rFonts w:eastAsiaTheme="minorEastAsia"/>
          <w:noProof/>
          <w:kern w:val="2"/>
          <w:lang w:val="en-US"/>
          <w14:ligatures w14:val="standardContextual"/>
        </w:rPr>
      </w:pPr>
      <w:hyperlink w:anchor="_Toc153901347" w:history="1">
        <w:r w:rsidRPr="00756278">
          <w:rPr>
            <w:rStyle w:val="Hyperlink"/>
            <w:noProof/>
          </w:rPr>
          <w:t>Слика 4.1: Међусобна повезаност између алата за моделирање за развој ИНЕКП-а</w:t>
        </w:r>
        <w:r>
          <w:rPr>
            <w:noProof/>
            <w:webHidden/>
          </w:rPr>
          <w:tab/>
        </w:r>
        <w:r>
          <w:rPr>
            <w:noProof/>
            <w:webHidden/>
          </w:rPr>
          <w:fldChar w:fldCharType="begin"/>
        </w:r>
        <w:r>
          <w:rPr>
            <w:noProof/>
            <w:webHidden/>
          </w:rPr>
          <w:instrText xml:space="preserve"> PAGEREF _Toc153901347 \h </w:instrText>
        </w:r>
        <w:r>
          <w:rPr>
            <w:noProof/>
            <w:webHidden/>
          </w:rPr>
        </w:r>
        <w:r>
          <w:rPr>
            <w:noProof/>
            <w:webHidden/>
          </w:rPr>
          <w:fldChar w:fldCharType="separate"/>
        </w:r>
        <w:r w:rsidR="00565B02">
          <w:rPr>
            <w:noProof/>
            <w:webHidden/>
          </w:rPr>
          <w:t>215</w:t>
        </w:r>
        <w:r>
          <w:rPr>
            <w:noProof/>
            <w:webHidden/>
          </w:rPr>
          <w:fldChar w:fldCharType="end"/>
        </w:r>
      </w:hyperlink>
    </w:p>
    <w:p w14:paraId="43C92D1D" w14:textId="73F4C2AA" w:rsidR="00566668" w:rsidRDefault="00566668">
      <w:pPr>
        <w:pStyle w:val="TableofFigures"/>
        <w:tabs>
          <w:tab w:val="right" w:leader="dot" w:pos="9628"/>
        </w:tabs>
        <w:rPr>
          <w:rFonts w:eastAsiaTheme="minorEastAsia"/>
          <w:noProof/>
          <w:kern w:val="2"/>
          <w:lang w:val="en-US"/>
          <w14:ligatures w14:val="standardContextual"/>
        </w:rPr>
      </w:pPr>
      <w:hyperlink w:anchor="_Toc153901348" w:history="1">
        <w:r w:rsidRPr="00756278">
          <w:rPr>
            <w:rStyle w:val="Hyperlink"/>
            <w:noProof/>
          </w:rPr>
          <w:t>Слика 4.2: Историјски подаци о БДП-у и броју становника у периоду 2010-2020. године (Извори: Републички завод за статистику, Министарство финансија, Народна банка)</w:t>
        </w:r>
        <w:r>
          <w:rPr>
            <w:noProof/>
            <w:webHidden/>
          </w:rPr>
          <w:tab/>
        </w:r>
        <w:r>
          <w:rPr>
            <w:noProof/>
            <w:webHidden/>
          </w:rPr>
          <w:fldChar w:fldCharType="begin"/>
        </w:r>
        <w:r>
          <w:rPr>
            <w:noProof/>
            <w:webHidden/>
          </w:rPr>
          <w:instrText xml:space="preserve"> PAGEREF _Toc153901348 \h </w:instrText>
        </w:r>
        <w:r>
          <w:rPr>
            <w:noProof/>
            <w:webHidden/>
          </w:rPr>
        </w:r>
        <w:r>
          <w:rPr>
            <w:noProof/>
            <w:webHidden/>
          </w:rPr>
          <w:fldChar w:fldCharType="separate"/>
        </w:r>
        <w:r w:rsidR="00565B02">
          <w:rPr>
            <w:noProof/>
            <w:webHidden/>
          </w:rPr>
          <w:t>216</w:t>
        </w:r>
        <w:r>
          <w:rPr>
            <w:noProof/>
            <w:webHidden/>
          </w:rPr>
          <w:fldChar w:fldCharType="end"/>
        </w:r>
      </w:hyperlink>
    </w:p>
    <w:p w14:paraId="17D47AE5" w14:textId="058FB4D7" w:rsidR="00566668" w:rsidRDefault="00566668">
      <w:pPr>
        <w:pStyle w:val="TableofFigures"/>
        <w:tabs>
          <w:tab w:val="right" w:leader="dot" w:pos="9628"/>
        </w:tabs>
        <w:rPr>
          <w:rFonts w:eastAsiaTheme="minorEastAsia"/>
          <w:noProof/>
          <w:kern w:val="2"/>
          <w:lang w:val="en-US"/>
          <w14:ligatures w14:val="standardContextual"/>
        </w:rPr>
      </w:pPr>
      <w:hyperlink w:anchor="_Toc153901349" w:history="1">
        <w:r w:rsidRPr="00756278">
          <w:rPr>
            <w:rStyle w:val="Hyperlink"/>
            <w:noProof/>
          </w:rPr>
          <w:t>Слика 4.3: Развој БДП-а (у константном Евро 2015) и броја становника у периоду 2020-2050. године (Извори: Републички завод за статистику, Министарство финансија, Народна банка, пројекције на основу SSP)</w:t>
        </w:r>
        <w:r>
          <w:rPr>
            <w:noProof/>
            <w:webHidden/>
          </w:rPr>
          <w:tab/>
        </w:r>
        <w:r>
          <w:rPr>
            <w:noProof/>
            <w:webHidden/>
          </w:rPr>
          <w:fldChar w:fldCharType="begin"/>
        </w:r>
        <w:r>
          <w:rPr>
            <w:noProof/>
            <w:webHidden/>
          </w:rPr>
          <w:instrText xml:space="preserve"> PAGEREF _Toc153901349 \h </w:instrText>
        </w:r>
        <w:r>
          <w:rPr>
            <w:noProof/>
            <w:webHidden/>
          </w:rPr>
        </w:r>
        <w:r>
          <w:rPr>
            <w:noProof/>
            <w:webHidden/>
          </w:rPr>
          <w:fldChar w:fldCharType="separate"/>
        </w:r>
        <w:r w:rsidR="00565B02">
          <w:rPr>
            <w:noProof/>
            <w:webHidden/>
          </w:rPr>
          <w:t>216</w:t>
        </w:r>
        <w:r>
          <w:rPr>
            <w:noProof/>
            <w:webHidden/>
          </w:rPr>
          <w:fldChar w:fldCharType="end"/>
        </w:r>
      </w:hyperlink>
    </w:p>
    <w:p w14:paraId="4D7B4FFF" w14:textId="3F17DE4E" w:rsidR="00566668" w:rsidRDefault="00566668">
      <w:pPr>
        <w:pStyle w:val="TableofFigures"/>
        <w:tabs>
          <w:tab w:val="right" w:leader="dot" w:pos="9628"/>
        </w:tabs>
        <w:rPr>
          <w:rFonts w:eastAsiaTheme="minorEastAsia"/>
          <w:noProof/>
          <w:kern w:val="2"/>
          <w:lang w:val="en-US"/>
          <w14:ligatures w14:val="standardContextual"/>
        </w:rPr>
      </w:pPr>
      <w:hyperlink w:anchor="_Toc153901350" w:history="1">
        <w:r w:rsidRPr="00756278">
          <w:rPr>
            <w:rStyle w:val="Hyperlink"/>
            <w:noProof/>
          </w:rPr>
          <w:t>Слика 4.4: Развој бруто додате вредности (БДВ) за различите секторе привредне делатности до 2050. године (Извори: Републички завод за статистику, Министарство финансија, Народна банка, пројекције на основу SSP)</w:t>
        </w:r>
        <w:r>
          <w:rPr>
            <w:noProof/>
            <w:webHidden/>
          </w:rPr>
          <w:tab/>
        </w:r>
        <w:r>
          <w:rPr>
            <w:noProof/>
            <w:webHidden/>
          </w:rPr>
          <w:fldChar w:fldCharType="begin"/>
        </w:r>
        <w:r>
          <w:rPr>
            <w:noProof/>
            <w:webHidden/>
          </w:rPr>
          <w:instrText xml:space="preserve"> PAGEREF _Toc153901350 \h </w:instrText>
        </w:r>
        <w:r>
          <w:rPr>
            <w:noProof/>
            <w:webHidden/>
          </w:rPr>
        </w:r>
        <w:r>
          <w:rPr>
            <w:noProof/>
            <w:webHidden/>
          </w:rPr>
          <w:fldChar w:fldCharType="separate"/>
        </w:r>
        <w:r w:rsidR="00565B02">
          <w:rPr>
            <w:noProof/>
            <w:webHidden/>
          </w:rPr>
          <w:t>217</w:t>
        </w:r>
        <w:r>
          <w:rPr>
            <w:noProof/>
            <w:webHidden/>
          </w:rPr>
          <w:fldChar w:fldCharType="end"/>
        </w:r>
      </w:hyperlink>
    </w:p>
    <w:p w14:paraId="0EB8DB4E" w14:textId="7AE116D6" w:rsidR="00566668" w:rsidRDefault="00566668">
      <w:pPr>
        <w:pStyle w:val="TableofFigures"/>
        <w:tabs>
          <w:tab w:val="right" w:leader="dot" w:pos="9628"/>
        </w:tabs>
        <w:rPr>
          <w:rFonts w:eastAsiaTheme="minorEastAsia"/>
          <w:noProof/>
          <w:kern w:val="2"/>
          <w:lang w:val="en-US"/>
          <w14:ligatures w14:val="standardContextual"/>
        </w:rPr>
      </w:pPr>
      <w:hyperlink w:anchor="_Toc153901351" w:history="1">
        <w:r w:rsidRPr="00756278">
          <w:rPr>
            <w:rStyle w:val="Hyperlink"/>
            <w:noProof/>
          </w:rPr>
          <w:t>Слика 4.5: Развој додате вредности других индустријских подсектора до 2050. године (Извори: пројекције засноване на сценаријима SSP-а)</w:t>
        </w:r>
        <w:r>
          <w:rPr>
            <w:noProof/>
            <w:webHidden/>
          </w:rPr>
          <w:tab/>
        </w:r>
        <w:r>
          <w:rPr>
            <w:noProof/>
            <w:webHidden/>
          </w:rPr>
          <w:fldChar w:fldCharType="begin"/>
        </w:r>
        <w:r>
          <w:rPr>
            <w:noProof/>
            <w:webHidden/>
          </w:rPr>
          <w:instrText xml:space="preserve"> PAGEREF _Toc153901351 \h </w:instrText>
        </w:r>
        <w:r>
          <w:rPr>
            <w:noProof/>
            <w:webHidden/>
          </w:rPr>
        </w:r>
        <w:r>
          <w:rPr>
            <w:noProof/>
            <w:webHidden/>
          </w:rPr>
          <w:fldChar w:fldCharType="separate"/>
        </w:r>
        <w:r w:rsidR="00565B02">
          <w:rPr>
            <w:noProof/>
            <w:webHidden/>
          </w:rPr>
          <w:t>218</w:t>
        </w:r>
        <w:r>
          <w:rPr>
            <w:noProof/>
            <w:webHidden/>
          </w:rPr>
          <w:fldChar w:fldCharType="end"/>
        </w:r>
      </w:hyperlink>
    </w:p>
    <w:p w14:paraId="64C207DD" w14:textId="3C13155D" w:rsidR="00566668" w:rsidRDefault="00566668">
      <w:pPr>
        <w:pStyle w:val="TableofFigures"/>
        <w:tabs>
          <w:tab w:val="right" w:leader="dot" w:pos="9628"/>
        </w:tabs>
        <w:rPr>
          <w:rFonts w:eastAsiaTheme="minorEastAsia"/>
          <w:noProof/>
          <w:kern w:val="2"/>
          <w:lang w:val="en-US"/>
          <w14:ligatures w14:val="standardContextual"/>
        </w:rPr>
      </w:pPr>
      <w:hyperlink w:anchor="_Toc153901352" w:history="1">
        <w:r w:rsidRPr="00756278">
          <w:rPr>
            <w:rStyle w:val="Hyperlink"/>
            <w:noProof/>
          </w:rPr>
          <w:t>Слика 4.6: Укупне емисије GHG (са LULUCF-ом и без њега) у периоду 2010-2019. година</w:t>
        </w:r>
        <w:r>
          <w:rPr>
            <w:noProof/>
            <w:webHidden/>
          </w:rPr>
          <w:tab/>
        </w:r>
        <w:r>
          <w:rPr>
            <w:noProof/>
            <w:webHidden/>
          </w:rPr>
          <w:fldChar w:fldCharType="begin"/>
        </w:r>
        <w:r>
          <w:rPr>
            <w:noProof/>
            <w:webHidden/>
          </w:rPr>
          <w:instrText xml:space="preserve"> PAGEREF _Toc153901352 \h </w:instrText>
        </w:r>
        <w:r>
          <w:rPr>
            <w:noProof/>
            <w:webHidden/>
          </w:rPr>
        </w:r>
        <w:r>
          <w:rPr>
            <w:noProof/>
            <w:webHidden/>
          </w:rPr>
          <w:fldChar w:fldCharType="separate"/>
        </w:r>
        <w:r w:rsidR="00565B02">
          <w:rPr>
            <w:noProof/>
            <w:webHidden/>
          </w:rPr>
          <w:t>220</w:t>
        </w:r>
        <w:r>
          <w:rPr>
            <w:noProof/>
            <w:webHidden/>
          </w:rPr>
          <w:fldChar w:fldCharType="end"/>
        </w:r>
      </w:hyperlink>
    </w:p>
    <w:p w14:paraId="02B4A2E6" w14:textId="58EC808F" w:rsidR="00566668" w:rsidRDefault="00566668">
      <w:pPr>
        <w:pStyle w:val="TableofFigures"/>
        <w:tabs>
          <w:tab w:val="right" w:leader="dot" w:pos="9628"/>
        </w:tabs>
        <w:rPr>
          <w:rFonts w:eastAsiaTheme="minorEastAsia"/>
          <w:noProof/>
          <w:kern w:val="2"/>
          <w:lang w:val="en-US"/>
          <w14:ligatures w14:val="standardContextual"/>
        </w:rPr>
      </w:pPr>
      <w:hyperlink w:anchor="_Toc153901353" w:history="1">
        <w:r w:rsidRPr="00756278">
          <w:rPr>
            <w:rStyle w:val="Hyperlink"/>
            <w:noProof/>
          </w:rPr>
          <w:t>Слика 4.7: Емисије CO2 по секторима у периоду 2020-2050. године у сценарију са постојећим мерама (WEM)</w:t>
        </w:r>
        <w:r>
          <w:rPr>
            <w:noProof/>
            <w:webHidden/>
          </w:rPr>
          <w:tab/>
        </w:r>
        <w:r>
          <w:rPr>
            <w:noProof/>
            <w:webHidden/>
          </w:rPr>
          <w:fldChar w:fldCharType="begin"/>
        </w:r>
        <w:r>
          <w:rPr>
            <w:noProof/>
            <w:webHidden/>
          </w:rPr>
          <w:instrText xml:space="preserve"> PAGEREF _Toc153901353 \h </w:instrText>
        </w:r>
        <w:r>
          <w:rPr>
            <w:noProof/>
            <w:webHidden/>
          </w:rPr>
        </w:r>
        <w:r>
          <w:rPr>
            <w:noProof/>
            <w:webHidden/>
          </w:rPr>
          <w:fldChar w:fldCharType="separate"/>
        </w:r>
        <w:r w:rsidR="00565B02">
          <w:rPr>
            <w:noProof/>
            <w:webHidden/>
          </w:rPr>
          <w:t>221</w:t>
        </w:r>
        <w:r>
          <w:rPr>
            <w:noProof/>
            <w:webHidden/>
          </w:rPr>
          <w:fldChar w:fldCharType="end"/>
        </w:r>
      </w:hyperlink>
    </w:p>
    <w:p w14:paraId="66D9FD76" w14:textId="01FCA9BD" w:rsidR="00566668" w:rsidRDefault="00566668">
      <w:pPr>
        <w:pStyle w:val="TableofFigures"/>
        <w:tabs>
          <w:tab w:val="right" w:leader="dot" w:pos="9628"/>
        </w:tabs>
        <w:rPr>
          <w:rFonts w:eastAsiaTheme="minorEastAsia"/>
          <w:noProof/>
          <w:kern w:val="2"/>
          <w:lang w:val="en-US"/>
          <w14:ligatures w14:val="standardContextual"/>
        </w:rPr>
      </w:pPr>
      <w:hyperlink w:anchor="_Toc153901354" w:history="1">
        <w:r w:rsidRPr="00756278">
          <w:rPr>
            <w:rStyle w:val="Hyperlink"/>
            <w:noProof/>
          </w:rPr>
          <w:t>Слика 4.8: Емисије CH4 по секторима у периоду 2020-2050. године у сценарију са постојећим мерама (WEM)</w:t>
        </w:r>
        <w:r>
          <w:rPr>
            <w:noProof/>
            <w:webHidden/>
          </w:rPr>
          <w:tab/>
        </w:r>
        <w:r>
          <w:rPr>
            <w:noProof/>
            <w:webHidden/>
          </w:rPr>
          <w:fldChar w:fldCharType="begin"/>
        </w:r>
        <w:r>
          <w:rPr>
            <w:noProof/>
            <w:webHidden/>
          </w:rPr>
          <w:instrText xml:space="preserve"> PAGEREF _Toc153901354 \h </w:instrText>
        </w:r>
        <w:r>
          <w:rPr>
            <w:noProof/>
            <w:webHidden/>
          </w:rPr>
        </w:r>
        <w:r>
          <w:rPr>
            <w:noProof/>
            <w:webHidden/>
          </w:rPr>
          <w:fldChar w:fldCharType="separate"/>
        </w:r>
        <w:r w:rsidR="00565B02">
          <w:rPr>
            <w:noProof/>
            <w:webHidden/>
          </w:rPr>
          <w:t>222</w:t>
        </w:r>
        <w:r>
          <w:rPr>
            <w:noProof/>
            <w:webHidden/>
          </w:rPr>
          <w:fldChar w:fldCharType="end"/>
        </w:r>
      </w:hyperlink>
    </w:p>
    <w:p w14:paraId="53DD82A4" w14:textId="56B237E0" w:rsidR="00566668" w:rsidRDefault="00566668">
      <w:pPr>
        <w:pStyle w:val="TableofFigures"/>
        <w:tabs>
          <w:tab w:val="right" w:leader="dot" w:pos="9628"/>
        </w:tabs>
        <w:rPr>
          <w:rFonts w:eastAsiaTheme="minorEastAsia"/>
          <w:noProof/>
          <w:kern w:val="2"/>
          <w:lang w:val="en-US"/>
          <w14:ligatures w14:val="standardContextual"/>
        </w:rPr>
      </w:pPr>
      <w:hyperlink w:anchor="_Toc153901355" w:history="1">
        <w:r w:rsidRPr="00756278">
          <w:rPr>
            <w:rStyle w:val="Hyperlink"/>
            <w:noProof/>
          </w:rPr>
          <w:t>Слика 4.9: Емисије N2O по секторима у периоду 2020-2050. године у сценарију са постојећим мерама (WEM)</w:t>
        </w:r>
        <w:r>
          <w:rPr>
            <w:noProof/>
            <w:webHidden/>
          </w:rPr>
          <w:tab/>
        </w:r>
        <w:r>
          <w:rPr>
            <w:noProof/>
            <w:webHidden/>
          </w:rPr>
          <w:fldChar w:fldCharType="begin"/>
        </w:r>
        <w:r>
          <w:rPr>
            <w:noProof/>
            <w:webHidden/>
          </w:rPr>
          <w:instrText xml:space="preserve"> PAGEREF _Toc153901355 \h </w:instrText>
        </w:r>
        <w:r>
          <w:rPr>
            <w:noProof/>
            <w:webHidden/>
          </w:rPr>
        </w:r>
        <w:r>
          <w:rPr>
            <w:noProof/>
            <w:webHidden/>
          </w:rPr>
          <w:fldChar w:fldCharType="separate"/>
        </w:r>
        <w:r w:rsidR="00565B02">
          <w:rPr>
            <w:noProof/>
            <w:webHidden/>
          </w:rPr>
          <w:t>223</w:t>
        </w:r>
        <w:r>
          <w:rPr>
            <w:noProof/>
            <w:webHidden/>
          </w:rPr>
          <w:fldChar w:fldCharType="end"/>
        </w:r>
      </w:hyperlink>
    </w:p>
    <w:p w14:paraId="73E9B833" w14:textId="67C8E9CA" w:rsidR="00566668" w:rsidRDefault="00566668">
      <w:pPr>
        <w:pStyle w:val="TableofFigures"/>
        <w:tabs>
          <w:tab w:val="right" w:leader="dot" w:pos="9628"/>
        </w:tabs>
        <w:rPr>
          <w:rFonts w:eastAsiaTheme="minorEastAsia"/>
          <w:noProof/>
          <w:kern w:val="2"/>
          <w:lang w:val="en-US"/>
          <w14:ligatures w14:val="standardContextual"/>
        </w:rPr>
      </w:pPr>
      <w:hyperlink w:anchor="_Toc153901356" w:history="1">
        <w:r w:rsidRPr="00756278">
          <w:rPr>
            <w:rStyle w:val="Hyperlink"/>
            <w:noProof/>
          </w:rPr>
          <w:t>Слика 4.10: Укупне емисије GHG у периоду 2020-2050 у сценарију са постојећим мерама (WEM)</w:t>
        </w:r>
        <w:r>
          <w:rPr>
            <w:noProof/>
            <w:webHidden/>
          </w:rPr>
          <w:tab/>
        </w:r>
        <w:r>
          <w:rPr>
            <w:noProof/>
            <w:webHidden/>
          </w:rPr>
          <w:fldChar w:fldCharType="begin"/>
        </w:r>
        <w:r>
          <w:rPr>
            <w:noProof/>
            <w:webHidden/>
          </w:rPr>
          <w:instrText xml:space="preserve"> PAGEREF _Toc153901356 \h </w:instrText>
        </w:r>
        <w:r>
          <w:rPr>
            <w:noProof/>
            <w:webHidden/>
          </w:rPr>
        </w:r>
        <w:r>
          <w:rPr>
            <w:noProof/>
            <w:webHidden/>
          </w:rPr>
          <w:fldChar w:fldCharType="separate"/>
        </w:r>
        <w:r w:rsidR="00565B02">
          <w:rPr>
            <w:noProof/>
            <w:webHidden/>
          </w:rPr>
          <w:t>223</w:t>
        </w:r>
        <w:r>
          <w:rPr>
            <w:noProof/>
            <w:webHidden/>
          </w:rPr>
          <w:fldChar w:fldCharType="end"/>
        </w:r>
      </w:hyperlink>
    </w:p>
    <w:p w14:paraId="684C6892" w14:textId="42CC8A27" w:rsidR="00566668" w:rsidRDefault="00566668">
      <w:pPr>
        <w:pStyle w:val="TableofFigures"/>
        <w:tabs>
          <w:tab w:val="right" w:leader="dot" w:pos="9628"/>
        </w:tabs>
        <w:rPr>
          <w:rFonts w:eastAsiaTheme="minorEastAsia"/>
          <w:noProof/>
          <w:kern w:val="2"/>
          <w:lang w:val="en-US"/>
          <w14:ligatures w14:val="standardContextual"/>
        </w:rPr>
      </w:pPr>
      <w:hyperlink w:anchor="_Toc153901357" w:history="1">
        <w:r w:rsidRPr="00756278">
          <w:rPr>
            <w:rStyle w:val="Hyperlink"/>
            <w:noProof/>
          </w:rPr>
          <w:t>Слика 4.11: Емисије GHG у периоду 2020-2050 за неенергетске секторе у сценарију са постојећим мерама (WEM)</w:t>
        </w:r>
        <w:r>
          <w:rPr>
            <w:noProof/>
            <w:webHidden/>
          </w:rPr>
          <w:tab/>
        </w:r>
        <w:r>
          <w:rPr>
            <w:noProof/>
            <w:webHidden/>
          </w:rPr>
          <w:fldChar w:fldCharType="begin"/>
        </w:r>
        <w:r>
          <w:rPr>
            <w:noProof/>
            <w:webHidden/>
          </w:rPr>
          <w:instrText xml:space="preserve"> PAGEREF _Toc153901357 \h </w:instrText>
        </w:r>
        <w:r>
          <w:rPr>
            <w:noProof/>
            <w:webHidden/>
          </w:rPr>
        </w:r>
        <w:r>
          <w:rPr>
            <w:noProof/>
            <w:webHidden/>
          </w:rPr>
          <w:fldChar w:fldCharType="separate"/>
        </w:r>
        <w:r w:rsidR="00565B02">
          <w:rPr>
            <w:noProof/>
            <w:webHidden/>
          </w:rPr>
          <w:t>224</w:t>
        </w:r>
        <w:r>
          <w:rPr>
            <w:noProof/>
            <w:webHidden/>
          </w:rPr>
          <w:fldChar w:fldCharType="end"/>
        </w:r>
      </w:hyperlink>
    </w:p>
    <w:p w14:paraId="5654A68B" w14:textId="296B94E0" w:rsidR="00566668" w:rsidRPr="00566668" w:rsidRDefault="00566668">
      <w:pPr>
        <w:pStyle w:val="TableofFigures"/>
        <w:tabs>
          <w:tab w:val="right" w:leader="dot" w:pos="9628"/>
        </w:tabs>
        <w:rPr>
          <w:rFonts w:eastAsiaTheme="minorEastAsia"/>
          <w:noProof/>
          <w:kern w:val="2"/>
          <w:lang w:val="en-US"/>
          <w14:ligatures w14:val="standardContextual"/>
        </w:rPr>
      </w:pPr>
      <w:hyperlink w:anchor="_Toc153901358" w:history="1">
        <w:r w:rsidRPr="00565B02">
          <w:rPr>
            <w:rStyle w:val="Hyperlink"/>
            <w:rFonts w:ascii="Calibri Light" w:hAnsi="Calibri Light" w:cs="Times New Roman"/>
            <w:noProof/>
          </w:rPr>
          <w:t>Слика 4.12: Интензитет емисије CO2 по јединици БДП-а (kg CO2 из извора енергије / € БДП) у периоду 2020-2050. године у сценарију са постојећим мерама (WEM)</w:t>
        </w:r>
        <w:r w:rsidRPr="00566668">
          <w:rPr>
            <w:noProof/>
            <w:webHidden/>
          </w:rPr>
          <w:tab/>
        </w:r>
        <w:r w:rsidRPr="00566668">
          <w:rPr>
            <w:noProof/>
            <w:webHidden/>
          </w:rPr>
          <w:fldChar w:fldCharType="begin"/>
        </w:r>
        <w:r w:rsidRPr="00566668">
          <w:rPr>
            <w:noProof/>
            <w:webHidden/>
          </w:rPr>
          <w:instrText xml:space="preserve"> PAGEREF _Toc153901358 \h </w:instrText>
        </w:r>
        <w:r w:rsidRPr="00566668">
          <w:rPr>
            <w:noProof/>
            <w:webHidden/>
          </w:rPr>
        </w:r>
        <w:r w:rsidRPr="00566668">
          <w:rPr>
            <w:noProof/>
            <w:webHidden/>
          </w:rPr>
          <w:fldChar w:fldCharType="separate"/>
        </w:r>
        <w:r w:rsidR="00565B02">
          <w:rPr>
            <w:noProof/>
            <w:webHidden/>
          </w:rPr>
          <w:t>224</w:t>
        </w:r>
        <w:r w:rsidRPr="00566668">
          <w:rPr>
            <w:noProof/>
            <w:webHidden/>
          </w:rPr>
          <w:fldChar w:fldCharType="end"/>
        </w:r>
      </w:hyperlink>
    </w:p>
    <w:p w14:paraId="088605DB" w14:textId="076505B9" w:rsidR="00566668" w:rsidRDefault="00566668">
      <w:pPr>
        <w:pStyle w:val="TableofFigures"/>
        <w:tabs>
          <w:tab w:val="right" w:leader="dot" w:pos="9628"/>
        </w:tabs>
        <w:rPr>
          <w:rFonts w:eastAsiaTheme="minorEastAsia"/>
          <w:noProof/>
          <w:kern w:val="2"/>
          <w:lang w:val="en-US"/>
          <w14:ligatures w14:val="standardContextual"/>
        </w:rPr>
      </w:pPr>
      <w:hyperlink w:anchor="_Toc153901359" w:history="1">
        <w:r w:rsidRPr="00756278">
          <w:rPr>
            <w:rStyle w:val="Hyperlink"/>
            <w:noProof/>
          </w:rPr>
          <w:t>Слика 4.13: Бруто производња електричне енергије у периоду 2010-2020. године (Извор: Евростат, 2023. година)</w:t>
        </w:r>
        <w:r>
          <w:rPr>
            <w:noProof/>
            <w:webHidden/>
          </w:rPr>
          <w:tab/>
        </w:r>
        <w:r>
          <w:rPr>
            <w:noProof/>
            <w:webHidden/>
          </w:rPr>
          <w:fldChar w:fldCharType="begin"/>
        </w:r>
        <w:r>
          <w:rPr>
            <w:noProof/>
            <w:webHidden/>
          </w:rPr>
          <w:instrText xml:space="preserve"> PAGEREF _Toc153901359 \h </w:instrText>
        </w:r>
        <w:r>
          <w:rPr>
            <w:noProof/>
            <w:webHidden/>
          </w:rPr>
        </w:r>
        <w:r>
          <w:rPr>
            <w:noProof/>
            <w:webHidden/>
          </w:rPr>
          <w:fldChar w:fldCharType="separate"/>
        </w:r>
        <w:r w:rsidR="00565B02">
          <w:rPr>
            <w:noProof/>
            <w:webHidden/>
          </w:rPr>
          <w:t>225</w:t>
        </w:r>
        <w:r>
          <w:rPr>
            <w:noProof/>
            <w:webHidden/>
          </w:rPr>
          <w:fldChar w:fldCharType="end"/>
        </w:r>
      </w:hyperlink>
    </w:p>
    <w:p w14:paraId="189B507E" w14:textId="10068FC3" w:rsidR="00566668" w:rsidRDefault="00566668">
      <w:pPr>
        <w:pStyle w:val="TableofFigures"/>
        <w:tabs>
          <w:tab w:val="right" w:leader="dot" w:pos="9628"/>
        </w:tabs>
        <w:rPr>
          <w:rFonts w:eastAsiaTheme="minorEastAsia"/>
          <w:noProof/>
          <w:kern w:val="2"/>
          <w:lang w:val="en-US"/>
          <w14:ligatures w14:val="standardContextual"/>
        </w:rPr>
      </w:pPr>
      <w:hyperlink w:anchor="_Toc153901360" w:history="1">
        <w:r w:rsidRPr="00756278">
          <w:rPr>
            <w:rStyle w:val="Hyperlink"/>
            <w:noProof/>
          </w:rPr>
          <w:t>Слика 4.14: Бруто производња топлотне енергије у периоду 2010-2020. године (Извор: Евростат, 2023. година)</w:t>
        </w:r>
        <w:r>
          <w:rPr>
            <w:noProof/>
            <w:webHidden/>
          </w:rPr>
          <w:tab/>
        </w:r>
        <w:r>
          <w:rPr>
            <w:noProof/>
            <w:webHidden/>
          </w:rPr>
          <w:fldChar w:fldCharType="begin"/>
        </w:r>
        <w:r>
          <w:rPr>
            <w:noProof/>
            <w:webHidden/>
          </w:rPr>
          <w:instrText xml:space="preserve"> PAGEREF _Toc153901360 \h </w:instrText>
        </w:r>
        <w:r>
          <w:rPr>
            <w:noProof/>
            <w:webHidden/>
          </w:rPr>
        </w:r>
        <w:r>
          <w:rPr>
            <w:noProof/>
            <w:webHidden/>
          </w:rPr>
          <w:fldChar w:fldCharType="separate"/>
        </w:r>
        <w:r w:rsidR="00565B02">
          <w:rPr>
            <w:noProof/>
            <w:webHidden/>
          </w:rPr>
          <w:t>226</w:t>
        </w:r>
        <w:r>
          <w:rPr>
            <w:noProof/>
            <w:webHidden/>
          </w:rPr>
          <w:fldChar w:fldCharType="end"/>
        </w:r>
      </w:hyperlink>
    </w:p>
    <w:p w14:paraId="196BB284" w14:textId="040BA2B2" w:rsidR="00566668" w:rsidRDefault="00566668">
      <w:pPr>
        <w:pStyle w:val="TableofFigures"/>
        <w:tabs>
          <w:tab w:val="right" w:leader="dot" w:pos="9628"/>
        </w:tabs>
        <w:rPr>
          <w:rFonts w:eastAsiaTheme="minorEastAsia"/>
          <w:noProof/>
          <w:kern w:val="2"/>
          <w:lang w:val="en-US"/>
          <w14:ligatures w14:val="standardContextual"/>
        </w:rPr>
      </w:pPr>
      <w:hyperlink w:anchor="_Toc153901361" w:history="1">
        <w:r w:rsidRPr="00756278">
          <w:rPr>
            <w:rStyle w:val="Hyperlink"/>
            <w:noProof/>
          </w:rPr>
          <w:t>Слика 4.15: Удео енергије из ОИЕ у периоду 2010-2020. године (Извор: Евростат, 2023. година)</w:t>
        </w:r>
        <w:r>
          <w:rPr>
            <w:noProof/>
            <w:webHidden/>
          </w:rPr>
          <w:tab/>
        </w:r>
        <w:r>
          <w:rPr>
            <w:noProof/>
            <w:webHidden/>
          </w:rPr>
          <w:fldChar w:fldCharType="begin"/>
        </w:r>
        <w:r>
          <w:rPr>
            <w:noProof/>
            <w:webHidden/>
          </w:rPr>
          <w:instrText xml:space="preserve"> PAGEREF _Toc153901361 \h </w:instrText>
        </w:r>
        <w:r>
          <w:rPr>
            <w:noProof/>
            <w:webHidden/>
          </w:rPr>
        </w:r>
        <w:r>
          <w:rPr>
            <w:noProof/>
            <w:webHidden/>
          </w:rPr>
          <w:fldChar w:fldCharType="separate"/>
        </w:r>
        <w:r w:rsidR="00565B02">
          <w:rPr>
            <w:noProof/>
            <w:webHidden/>
          </w:rPr>
          <w:t>226</w:t>
        </w:r>
        <w:r>
          <w:rPr>
            <w:noProof/>
            <w:webHidden/>
          </w:rPr>
          <w:fldChar w:fldCharType="end"/>
        </w:r>
      </w:hyperlink>
    </w:p>
    <w:p w14:paraId="53AC2308" w14:textId="25AB0CE8" w:rsidR="00566668" w:rsidRDefault="00566668">
      <w:pPr>
        <w:pStyle w:val="TableofFigures"/>
        <w:tabs>
          <w:tab w:val="right" w:leader="dot" w:pos="9628"/>
        </w:tabs>
        <w:rPr>
          <w:rFonts w:eastAsiaTheme="minorEastAsia"/>
          <w:noProof/>
          <w:kern w:val="2"/>
          <w:lang w:val="en-US"/>
          <w14:ligatures w14:val="standardContextual"/>
        </w:rPr>
      </w:pPr>
      <w:hyperlink w:anchor="_Toc153901362" w:history="1">
        <w:r w:rsidRPr="00756278">
          <w:rPr>
            <w:rStyle w:val="Hyperlink"/>
            <w:noProof/>
          </w:rPr>
          <w:t>Слика 4.16 : Удео ОИЕ у бруто финалној потрошњи енергије у периоду 2020-2050. године у сценарију са постојећим мерама (WEM)</w:t>
        </w:r>
        <w:r>
          <w:rPr>
            <w:noProof/>
            <w:webHidden/>
          </w:rPr>
          <w:tab/>
        </w:r>
        <w:r>
          <w:rPr>
            <w:noProof/>
            <w:webHidden/>
          </w:rPr>
          <w:fldChar w:fldCharType="begin"/>
        </w:r>
        <w:r>
          <w:rPr>
            <w:noProof/>
            <w:webHidden/>
          </w:rPr>
          <w:instrText xml:space="preserve"> PAGEREF _Toc153901362 \h </w:instrText>
        </w:r>
        <w:r>
          <w:rPr>
            <w:noProof/>
            <w:webHidden/>
          </w:rPr>
        </w:r>
        <w:r>
          <w:rPr>
            <w:noProof/>
            <w:webHidden/>
          </w:rPr>
          <w:fldChar w:fldCharType="separate"/>
        </w:r>
        <w:r w:rsidR="00565B02">
          <w:rPr>
            <w:noProof/>
            <w:webHidden/>
          </w:rPr>
          <w:t>227</w:t>
        </w:r>
        <w:r>
          <w:rPr>
            <w:noProof/>
            <w:webHidden/>
          </w:rPr>
          <w:fldChar w:fldCharType="end"/>
        </w:r>
      </w:hyperlink>
    </w:p>
    <w:p w14:paraId="0DC8C2C6" w14:textId="3A87147E" w:rsidR="00566668" w:rsidRDefault="00566668">
      <w:pPr>
        <w:pStyle w:val="TableofFigures"/>
        <w:tabs>
          <w:tab w:val="right" w:leader="dot" w:pos="9628"/>
        </w:tabs>
        <w:rPr>
          <w:rFonts w:eastAsiaTheme="minorEastAsia"/>
          <w:noProof/>
          <w:kern w:val="2"/>
          <w:lang w:val="en-US"/>
          <w14:ligatures w14:val="standardContextual"/>
        </w:rPr>
      </w:pPr>
      <w:hyperlink w:anchor="_Toc153901363" w:history="1">
        <w:r w:rsidRPr="00756278">
          <w:rPr>
            <w:rStyle w:val="Hyperlink"/>
            <w:noProof/>
          </w:rPr>
          <w:t>Слика 4.17: Удео ОИЕ у укупној производњи електричне енергије у периоду 2020-2050. године у сценарију са постојећим мерама (WEM)</w:t>
        </w:r>
        <w:r>
          <w:rPr>
            <w:noProof/>
            <w:webHidden/>
          </w:rPr>
          <w:tab/>
        </w:r>
        <w:r>
          <w:rPr>
            <w:noProof/>
            <w:webHidden/>
          </w:rPr>
          <w:fldChar w:fldCharType="begin"/>
        </w:r>
        <w:r>
          <w:rPr>
            <w:noProof/>
            <w:webHidden/>
          </w:rPr>
          <w:instrText xml:space="preserve"> PAGEREF _Toc153901363 \h </w:instrText>
        </w:r>
        <w:r>
          <w:rPr>
            <w:noProof/>
            <w:webHidden/>
          </w:rPr>
        </w:r>
        <w:r>
          <w:rPr>
            <w:noProof/>
            <w:webHidden/>
          </w:rPr>
          <w:fldChar w:fldCharType="separate"/>
        </w:r>
        <w:r w:rsidR="00565B02">
          <w:rPr>
            <w:noProof/>
            <w:webHidden/>
          </w:rPr>
          <w:t>227</w:t>
        </w:r>
        <w:r>
          <w:rPr>
            <w:noProof/>
            <w:webHidden/>
          </w:rPr>
          <w:fldChar w:fldCharType="end"/>
        </w:r>
      </w:hyperlink>
    </w:p>
    <w:p w14:paraId="69E4E9BD" w14:textId="522BEACF" w:rsidR="00566668" w:rsidRDefault="00566668">
      <w:pPr>
        <w:pStyle w:val="TableofFigures"/>
        <w:tabs>
          <w:tab w:val="right" w:leader="dot" w:pos="9628"/>
        </w:tabs>
        <w:rPr>
          <w:rFonts w:eastAsiaTheme="minorEastAsia"/>
          <w:noProof/>
          <w:kern w:val="2"/>
          <w:lang w:val="en-US"/>
          <w14:ligatures w14:val="standardContextual"/>
        </w:rPr>
      </w:pPr>
      <w:hyperlink w:anchor="_Toc153901364" w:history="1">
        <w:r w:rsidRPr="00756278">
          <w:rPr>
            <w:rStyle w:val="Hyperlink"/>
            <w:noProof/>
          </w:rPr>
          <w:t>Слика 4.18: Инсталисани капацитет по технологији у електроенергетском сектору у периоду 2020-2050. године у сценарију са постојећим мерама (WEM)</w:t>
        </w:r>
        <w:r>
          <w:rPr>
            <w:noProof/>
            <w:webHidden/>
          </w:rPr>
          <w:tab/>
        </w:r>
        <w:r>
          <w:rPr>
            <w:noProof/>
            <w:webHidden/>
          </w:rPr>
          <w:fldChar w:fldCharType="begin"/>
        </w:r>
        <w:r>
          <w:rPr>
            <w:noProof/>
            <w:webHidden/>
          </w:rPr>
          <w:instrText xml:space="preserve"> PAGEREF _Toc153901364 \h </w:instrText>
        </w:r>
        <w:r>
          <w:rPr>
            <w:noProof/>
            <w:webHidden/>
          </w:rPr>
        </w:r>
        <w:r>
          <w:rPr>
            <w:noProof/>
            <w:webHidden/>
          </w:rPr>
          <w:fldChar w:fldCharType="separate"/>
        </w:r>
        <w:r w:rsidR="00565B02">
          <w:rPr>
            <w:noProof/>
            <w:webHidden/>
          </w:rPr>
          <w:t>228</w:t>
        </w:r>
        <w:r>
          <w:rPr>
            <w:noProof/>
            <w:webHidden/>
          </w:rPr>
          <w:fldChar w:fldCharType="end"/>
        </w:r>
      </w:hyperlink>
    </w:p>
    <w:p w14:paraId="0DE7E043" w14:textId="5C163706" w:rsidR="00566668" w:rsidRDefault="00566668">
      <w:pPr>
        <w:pStyle w:val="TableofFigures"/>
        <w:tabs>
          <w:tab w:val="right" w:leader="dot" w:pos="9628"/>
        </w:tabs>
        <w:rPr>
          <w:rFonts w:eastAsiaTheme="minorEastAsia"/>
          <w:noProof/>
          <w:kern w:val="2"/>
          <w:lang w:val="en-US"/>
          <w14:ligatures w14:val="standardContextual"/>
        </w:rPr>
      </w:pPr>
      <w:hyperlink w:anchor="_Toc153901365" w:history="1">
        <w:r w:rsidRPr="00756278">
          <w:rPr>
            <w:rStyle w:val="Hyperlink"/>
            <w:noProof/>
          </w:rPr>
          <w:t>Слика 4.19: Инсталисани капацитет ОИЕ по технологији у периоду 2020-2050. године у сценарију са постојећим мерама (WEM)</w:t>
        </w:r>
        <w:r>
          <w:rPr>
            <w:noProof/>
            <w:webHidden/>
          </w:rPr>
          <w:tab/>
        </w:r>
        <w:r>
          <w:rPr>
            <w:noProof/>
            <w:webHidden/>
          </w:rPr>
          <w:fldChar w:fldCharType="begin"/>
        </w:r>
        <w:r>
          <w:rPr>
            <w:noProof/>
            <w:webHidden/>
          </w:rPr>
          <w:instrText xml:space="preserve"> PAGEREF _Toc153901365 \h </w:instrText>
        </w:r>
        <w:r>
          <w:rPr>
            <w:noProof/>
            <w:webHidden/>
          </w:rPr>
        </w:r>
        <w:r>
          <w:rPr>
            <w:noProof/>
            <w:webHidden/>
          </w:rPr>
          <w:fldChar w:fldCharType="separate"/>
        </w:r>
        <w:r w:rsidR="00565B02">
          <w:rPr>
            <w:noProof/>
            <w:webHidden/>
          </w:rPr>
          <w:t>229</w:t>
        </w:r>
        <w:r>
          <w:rPr>
            <w:noProof/>
            <w:webHidden/>
          </w:rPr>
          <w:fldChar w:fldCharType="end"/>
        </w:r>
      </w:hyperlink>
    </w:p>
    <w:p w14:paraId="139333B3" w14:textId="452DDC94" w:rsidR="00566668" w:rsidRDefault="00566668">
      <w:pPr>
        <w:pStyle w:val="TableofFigures"/>
        <w:tabs>
          <w:tab w:val="right" w:leader="dot" w:pos="9628"/>
        </w:tabs>
        <w:rPr>
          <w:rFonts w:eastAsiaTheme="minorEastAsia"/>
          <w:noProof/>
          <w:kern w:val="2"/>
          <w:lang w:val="en-US"/>
          <w14:ligatures w14:val="standardContextual"/>
        </w:rPr>
      </w:pPr>
      <w:hyperlink w:anchor="_Toc153901366" w:history="1">
        <w:r w:rsidRPr="00756278">
          <w:rPr>
            <w:rStyle w:val="Hyperlink"/>
            <w:noProof/>
          </w:rPr>
          <w:t>Слика 4.20: Удео ОИЕ у грејању и хлађењу у периоду 2020-2050. године у сценарију са постојећим мерама (WEM)</w:t>
        </w:r>
        <w:r>
          <w:rPr>
            <w:noProof/>
            <w:webHidden/>
          </w:rPr>
          <w:tab/>
        </w:r>
        <w:r>
          <w:rPr>
            <w:noProof/>
            <w:webHidden/>
          </w:rPr>
          <w:fldChar w:fldCharType="begin"/>
        </w:r>
        <w:r>
          <w:rPr>
            <w:noProof/>
            <w:webHidden/>
          </w:rPr>
          <w:instrText xml:space="preserve"> PAGEREF _Toc153901366 \h </w:instrText>
        </w:r>
        <w:r>
          <w:rPr>
            <w:noProof/>
            <w:webHidden/>
          </w:rPr>
        </w:r>
        <w:r>
          <w:rPr>
            <w:noProof/>
            <w:webHidden/>
          </w:rPr>
          <w:fldChar w:fldCharType="separate"/>
        </w:r>
        <w:r w:rsidR="00565B02">
          <w:rPr>
            <w:noProof/>
            <w:webHidden/>
          </w:rPr>
          <w:t>230</w:t>
        </w:r>
        <w:r>
          <w:rPr>
            <w:noProof/>
            <w:webHidden/>
          </w:rPr>
          <w:fldChar w:fldCharType="end"/>
        </w:r>
      </w:hyperlink>
    </w:p>
    <w:p w14:paraId="113306D6" w14:textId="08433AFA" w:rsidR="00566668" w:rsidRPr="00566668" w:rsidRDefault="00566668">
      <w:pPr>
        <w:pStyle w:val="TableofFigures"/>
        <w:tabs>
          <w:tab w:val="right" w:leader="dot" w:pos="9628"/>
        </w:tabs>
        <w:rPr>
          <w:rFonts w:eastAsiaTheme="minorEastAsia"/>
          <w:noProof/>
          <w:kern w:val="2"/>
          <w:lang w:val="en-US"/>
          <w14:ligatures w14:val="standardContextual"/>
        </w:rPr>
      </w:pPr>
      <w:hyperlink w:anchor="_Toc153901367" w:history="1">
        <w:r w:rsidRPr="00565B02">
          <w:rPr>
            <w:rStyle w:val="Hyperlink"/>
            <w:rFonts w:ascii="Calibri Light" w:hAnsi="Calibri Light" w:cs="Times New Roman"/>
            <w:noProof/>
          </w:rPr>
          <w:t>Слика 4.21: Удео ОИЕ у саобраћају (без мултипликатора) у периоду 2020-2050. године у сценарију са постојећим мерама (WEM)</w:t>
        </w:r>
        <w:r w:rsidRPr="00566668">
          <w:rPr>
            <w:noProof/>
            <w:webHidden/>
          </w:rPr>
          <w:tab/>
        </w:r>
        <w:r w:rsidRPr="00566668">
          <w:rPr>
            <w:noProof/>
            <w:webHidden/>
          </w:rPr>
          <w:fldChar w:fldCharType="begin"/>
        </w:r>
        <w:r w:rsidRPr="00566668">
          <w:rPr>
            <w:noProof/>
            <w:webHidden/>
          </w:rPr>
          <w:instrText xml:space="preserve"> PAGEREF _Toc153901367 \h </w:instrText>
        </w:r>
        <w:r w:rsidRPr="00566668">
          <w:rPr>
            <w:noProof/>
            <w:webHidden/>
          </w:rPr>
        </w:r>
        <w:r w:rsidRPr="00566668">
          <w:rPr>
            <w:noProof/>
            <w:webHidden/>
          </w:rPr>
          <w:fldChar w:fldCharType="separate"/>
        </w:r>
        <w:r w:rsidR="00565B02">
          <w:rPr>
            <w:noProof/>
            <w:webHidden/>
          </w:rPr>
          <w:t>230</w:t>
        </w:r>
        <w:r w:rsidRPr="00566668">
          <w:rPr>
            <w:noProof/>
            <w:webHidden/>
          </w:rPr>
          <w:fldChar w:fldCharType="end"/>
        </w:r>
      </w:hyperlink>
    </w:p>
    <w:p w14:paraId="6D9A0B0B" w14:textId="5958657D" w:rsidR="00566668" w:rsidRPr="00566668" w:rsidRDefault="00566668">
      <w:pPr>
        <w:pStyle w:val="TableofFigures"/>
        <w:tabs>
          <w:tab w:val="right" w:leader="dot" w:pos="9628"/>
        </w:tabs>
        <w:rPr>
          <w:rFonts w:eastAsiaTheme="minorEastAsia"/>
          <w:noProof/>
          <w:kern w:val="2"/>
          <w:lang w:val="en-US"/>
          <w14:ligatures w14:val="standardContextual"/>
        </w:rPr>
      </w:pPr>
      <w:hyperlink w:anchor="_Toc153901368" w:history="1">
        <w:r w:rsidRPr="00565B02">
          <w:rPr>
            <w:rStyle w:val="Hyperlink"/>
            <w:rFonts w:ascii="Calibri Light" w:hAnsi="Calibri Light" w:cs="Times New Roman"/>
            <w:noProof/>
          </w:rPr>
          <w:t>Слика 4.22: Потрошња електричне енергије из ОИЕ у саобраћају у периоду 2020-2050. године у сценарију са постојећим мерама (WEM)</w:t>
        </w:r>
        <w:r w:rsidRPr="00566668">
          <w:rPr>
            <w:noProof/>
            <w:webHidden/>
          </w:rPr>
          <w:tab/>
        </w:r>
        <w:r w:rsidRPr="00566668">
          <w:rPr>
            <w:noProof/>
            <w:webHidden/>
          </w:rPr>
          <w:fldChar w:fldCharType="begin"/>
        </w:r>
        <w:r w:rsidRPr="00566668">
          <w:rPr>
            <w:noProof/>
            <w:webHidden/>
          </w:rPr>
          <w:instrText xml:space="preserve"> PAGEREF _Toc153901368 \h </w:instrText>
        </w:r>
        <w:r w:rsidRPr="00566668">
          <w:rPr>
            <w:noProof/>
            <w:webHidden/>
          </w:rPr>
        </w:r>
        <w:r w:rsidRPr="00566668">
          <w:rPr>
            <w:noProof/>
            <w:webHidden/>
          </w:rPr>
          <w:fldChar w:fldCharType="separate"/>
        </w:r>
        <w:r w:rsidR="00565B02">
          <w:rPr>
            <w:noProof/>
            <w:webHidden/>
          </w:rPr>
          <w:t>231</w:t>
        </w:r>
        <w:r w:rsidRPr="00566668">
          <w:rPr>
            <w:noProof/>
            <w:webHidden/>
          </w:rPr>
          <w:fldChar w:fldCharType="end"/>
        </w:r>
      </w:hyperlink>
    </w:p>
    <w:p w14:paraId="49A693E4" w14:textId="2DBB81CD" w:rsidR="00566668" w:rsidRDefault="00566668">
      <w:pPr>
        <w:pStyle w:val="TableofFigures"/>
        <w:tabs>
          <w:tab w:val="right" w:leader="dot" w:pos="9628"/>
        </w:tabs>
        <w:rPr>
          <w:rFonts w:eastAsiaTheme="minorEastAsia"/>
          <w:noProof/>
          <w:kern w:val="2"/>
          <w:lang w:val="en-US"/>
          <w14:ligatures w14:val="standardContextual"/>
        </w:rPr>
      </w:pPr>
      <w:hyperlink w:anchor="_Toc153901369" w:history="1">
        <w:r w:rsidRPr="00756278">
          <w:rPr>
            <w:rStyle w:val="Hyperlink"/>
            <w:noProof/>
          </w:rPr>
          <w:t>Слика 4.23</w:t>
        </w:r>
        <w:r w:rsidRPr="00756278">
          <w:rPr>
            <w:rStyle w:val="Hyperlink"/>
            <w:noProof/>
            <w:lang w:val="en-US"/>
          </w:rPr>
          <w:t xml:space="preserve">: </w:t>
        </w:r>
        <w:r w:rsidRPr="00756278">
          <w:rPr>
            <w:rStyle w:val="Hyperlink"/>
            <w:noProof/>
          </w:rPr>
          <w:t>Бруто домаћа потрошња у периоду 2010-2020. године (Извор: Евростат, 2023. година)</w:t>
        </w:r>
        <w:r>
          <w:rPr>
            <w:noProof/>
            <w:webHidden/>
          </w:rPr>
          <w:tab/>
        </w:r>
        <w:r>
          <w:rPr>
            <w:noProof/>
            <w:webHidden/>
          </w:rPr>
          <w:fldChar w:fldCharType="begin"/>
        </w:r>
        <w:r>
          <w:rPr>
            <w:noProof/>
            <w:webHidden/>
          </w:rPr>
          <w:instrText xml:space="preserve"> PAGEREF _Toc153901369 \h </w:instrText>
        </w:r>
        <w:r>
          <w:rPr>
            <w:noProof/>
            <w:webHidden/>
          </w:rPr>
        </w:r>
        <w:r>
          <w:rPr>
            <w:noProof/>
            <w:webHidden/>
          </w:rPr>
          <w:fldChar w:fldCharType="separate"/>
        </w:r>
        <w:r w:rsidR="00565B02">
          <w:rPr>
            <w:noProof/>
            <w:webHidden/>
          </w:rPr>
          <w:t>232</w:t>
        </w:r>
        <w:r>
          <w:rPr>
            <w:noProof/>
            <w:webHidden/>
          </w:rPr>
          <w:fldChar w:fldCharType="end"/>
        </w:r>
      </w:hyperlink>
    </w:p>
    <w:p w14:paraId="16846514" w14:textId="0AFDBED2" w:rsidR="00566668" w:rsidRDefault="00566668">
      <w:pPr>
        <w:pStyle w:val="TableofFigures"/>
        <w:tabs>
          <w:tab w:val="right" w:leader="dot" w:pos="9628"/>
        </w:tabs>
        <w:rPr>
          <w:rFonts w:eastAsiaTheme="minorEastAsia"/>
          <w:noProof/>
          <w:kern w:val="2"/>
          <w:lang w:val="en-US"/>
          <w14:ligatures w14:val="standardContextual"/>
        </w:rPr>
      </w:pPr>
      <w:hyperlink w:anchor="_Toc153901370" w:history="1">
        <w:r w:rsidRPr="00756278">
          <w:rPr>
            <w:rStyle w:val="Hyperlink"/>
            <w:noProof/>
          </w:rPr>
          <w:t>Слика 4.24: Потрошња примарне енергија и финална потрошња енергије у периоду 2010-2020. године (Извор: Евростат, 2023. година)</w:t>
        </w:r>
        <w:r>
          <w:rPr>
            <w:noProof/>
            <w:webHidden/>
          </w:rPr>
          <w:tab/>
        </w:r>
        <w:r>
          <w:rPr>
            <w:noProof/>
            <w:webHidden/>
          </w:rPr>
          <w:fldChar w:fldCharType="begin"/>
        </w:r>
        <w:r>
          <w:rPr>
            <w:noProof/>
            <w:webHidden/>
          </w:rPr>
          <w:instrText xml:space="preserve"> PAGEREF _Toc153901370 \h </w:instrText>
        </w:r>
        <w:r>
          <w:rPr>
            <w:noProof/>
            <w:webHidden/>
          </w:rPr>
        </w:r>
        <w:r>
          <w:rPr>
            <w:noProof/>
            <w:webHidden/>
          </w:rPr>
          <w:fldChar w:fldCharType="separate"/>
        </w:r>
        <w:r w:rsidR="00565B02">
          <w:rPr>
            <w:noProof/>
            <w:webHidden/>
          </w:rPr>
          <w:t>232</w:t>
        </w:r>
        <w:r>
          <w:rPr>
            <w:noProof/>
            <w:webHidden/>
          </w:rPr>
          <w:fldChar w:fldCharType="end"/>
        </w:r>
      </w:hyperlink>
    </w:p>
    <w:p w14:paraId="70265C2C" w14:textId="2C12DFC9" w:rsidR="00566668" w:rsidRDefault="00566668">
      <w:pPr>
        <w:pStyle w:val="TableofFigures"/>
        <w:tabs>
          <w:tab w:val="right" w:leader="dot" w:pos="9628"/>
        </w:tabs>
        <w:rPr>
          <w:rFonts w:eastAsiaTheme="minorEastAsia"/>
          <w:noProof/>
          <w:kern w:val="2"/>
          <w:lang w:val="en-US"/>
          <w14:ligatures w14:val="standardContextual"/>
        </w:rPr>
      </w:pPr>
      <w:hyperlink w:anchor="_Toc153901371" w:history="1">
        <w:r w:rsidRPr="00756278">
          <w:rPr>
            <w:rStyle w:val="Hyperlink"/>
            <w:noProof/>
          </w:rPr>
          <w:t>Слика 4.25: Финална потрошња енергије по гориву у периоду 2010-20120. године (Извор: Евростат, 2023. година)</w:t>
        </w:r>
        <w:r>
          <w:rPr>
            <w:noProof/>
            <w:webHidden/>
          </w:rPr>
          <w:tab/>
        </w:r>
        <w:r>
          <w:rPr>
            <w:noProof/>
            <w:webHidden/>
          </w:rPr>
          <w:fldChar w:fldCharType="begin"/>
        </w:r>
        <w:r>
          <w:rPr>
            <w:noProof/>
            <w:webHidden/>
          </w:rPr>
          <w:instrText xml:space="preserve"> PAGEREF _Toc153901371 \h </w:instrText>
        </w:r>
        <w:r>
          <w:rPr>
            <w:noProof/>
            <w:webHidden/>
          </w:rPr>
        </w:r>
        <w:r>
          <w:rPr>
            <w:noProof/>
            <w:webHidden/>
          </w:rPr>
          <w:fldChar w:fldCharType="separate"/>
        </w:r>
        <w:r w:rsidR="00565B02">
          <w:rPr>
            <w:noProof/>
            <w:webHidden/>
          </w:rPr>
          <w:t>233</w:t>
        </w:r>
        <w:r>
          <w:rPr>
            <w:noProof/>
            <w:webHidden/>
          </w:rPr>
          <w:fldChar w:fldCharType="end"/>
        </w:r>
      </w:hyperlink>
    </w:p>
    <w:p w14:paraId="0AAAEEC3" w14:textId="776951EB" w:rsidR="00566668" w:rsidRDefault="00566668">
      <w:pPr>
        <w:pStyle w:val="TableofFigures"/>
        <w:tabs>
          <w:tab w:val="right" w:leader="dot" w:pos="9628"/>
        </w:tabs>
        <w:rPr>
          <w:rFonts w:eastAsiaTheme="minorEastAsia"/>
          <w:noProof/>
          <w:kern w:val="2"/>
          <w:lang w:val="en-US"/>
          <w14:ligatures w14:val="standardContextual"/>
        </w:rPr>
      </w:pPr>
      <w:hyperlink w:anchor="_Toc153901372" w:history="1">
        <w:r w:rsidRPr="00756278">
          <w:rPr>
            <w:rStyle w:val="Hyperlink"/>
            <w:noProof/>
          </w:rPr>
          <w:t>Слика 4.26: Финална потрошња енергије по сектору крајње потрошње у периоду 2010-2020. године (Извор: Евростат, 2023. година)</w:t>
        </w:r>
        <w:r>
          <w:rPr>
            <w:noProof/>
            <w:webHidden/>
          </w:rPr>
          <w:tab/>
        </w:r>
        <w:r>
          <w:rPr>
            <w:noProof/>
            <w:webHidden/>
          </w:rPr>
          <w:fldChar w:fldCharType="begin"/>
        </w:r>
        <w:r>
          <w:rPr>
            <w:noProof/>
            <w:webHidden/>
          </w:rPr>
          <w:instrText xml:space="preserve"> PAGEREF _Toc153901372 \h </w:instrText>
        </w:r>
        <w:r>
          <w:rPr>
            <w:noProof/>
            <w:webHidden/>
          </w:rPr>
        </w:r>
        <w:r>
          <w:rPr>
            <w:noProof/>
            <w:webHidden/>
          </w:rPr>
          <w:fldChar w:fldCharType="separate"/>
        </w:r>
        <w:r w:rsidR="00565B02">
          <w:rPr>
            <w:noProof/>
            <w:webHidden/>
          </w:rPr>
          <w:t>234</w:t>
        </w:r>
        <w:r>
          <w:rPr>
            <w:noProof/>
            <w:webHidden/>
          </w:rPr>
          <w:fldChar w:fldCharType="end"/>
        </w:r>
      </w:hyperlink>
    </w:p>
    <w:p w14:paraId="5A965C2C" w14:textId="6F700A26" w:rsidR="00566668" w:rsidRDefault="00566668">
      <w:pPr>
        <w:pStyle w:val="TableofFigures"/>
        <w:tabs>
          <w:tab w:val="right" w:leader="dot" w:pos="9628"/>
        </w:tabs>
        <w:rPr>
          <w:rFonts w:eastAsiaTheme="minorEastAsia"/>
          <w:noProof/>
          <w:kern w:val="2"/>
          <w:lang w:val="en-US"/>
          <w14:ligatures w14:val="standardContextual"/>
        </w:rPr>
      </w:pPr>
      <w:hyperlink w:anchor="_Toc153901373" w:history="1">
        <w:r w:rsidRPr="00756278">
          <w:rPr>
            <w:rStyle w:val="Hyperlink"/>
            <w:noProof/>
          </w:rPr>
          <w:t>Слика 4.27: Потрошња примарне и финалне енергије у периоду 2020-2050. године у сценарију са постојећим мерама (WEM)</w:t>
        </w:r>
        <w:r>
          <w:rPr>
            <w:noProof/>
            <w:webHidden/>
          </w:rPr>
          <w:tab/>
        </w:r>
        <w:r>
          <w:rPr>
            <w:noProof/>
            <w:webHidden/>
          </w:rPr>
          <w:fldChar w:fldCharType="begin"/>
        </w:r>
        <w:r>
          <w:rPr>
            <w:noProof/>
            <w:webHidden/>
          </w:rPr>
          <w:instrText xml:space="preserve"> PAGEREF _Toc153901373 \h </w:instrText>
        </w:r>
        <w:r>
          <w:rPr>
            <w:noProof/>
            <w:webHidden/>
          </w:rPr>
        </w:r>
        <w:r>
          <w:rPr>
            <w:noProof/>
            <w:webHidden/>
          </w:rPr>
          <w:fldChar w:fldCharType="separate"/>
        </w:r>
        <w:r w:rsidR="00565B02">
          <w:rPr>
            <w:noProof/>
            <w:webHidden/>
          </w:rPr>
          <w:t>235</w:t>
        </w:r>
        <w:r>
          <w:rPr>
            <w:noProof/>
            <w:webHidden/>
          </w:rPr>
          <w:fldChar w:fldCharType="end"/>
        </w:r>
      </w:hyperlink>
    </w:p>
    <w:p w14:paraId="555AD9B4" w14:textId="7057648B" w:rsidR="00566668" w:rsidRPr="00566668" w:rsidRDefault="00566668">
      <w:pPr>
        <w:pStyle w:val="TableofFigures"/>
        <w:tabs>
          <w:tab w:val="right" w:leader="dot" w:pos="9628"/>
        </w:tabs>
        <w:rPr>
          <w:rFonts w:eastAsiaTheme="minorEastAsia"/>
          <w:noProof/>
          <w:kern w:val="2"/>
          <w:lang w:val="en-US"/>
          <w14:ligatures w14:val="standardContextual"/>
        </w:rPr>
      </w:pPr>
      <w:hyperlink w:anchor="_Toc153901374" w:history="1">
        <w:r w:rsidRPr="00565B02">
          <w:rPr>
            <w:rStyle w:val="Hyperlink"/>
            <w:rFonts w:ascii="Calibri Light" w:hAnsi="Calibri Light" w:cs="Times New Roman"/>
            <w:noProof/>
          </w:rPr>
          <w:t>Слика 4.28: Финална потрошња енергије по гориву у периоду 2020-2050. године у сценарију са постојећим мерама (WEM)</w:t>
        </w:r>
        <w:r w:rsidRPr="00566668">
          <w:rPr>
            <w:noProof/>
            <w:webHidden/>
          </w:rPr>
          <w:tab/>
        </w:r>
        <w:r w:rsidRPr="00566668">
          <w:rPr>
            <w:noProof/>
            <w:webHidden/>
          </w:rPr>
          <w:fldChar w:fldCharType="begin"/>
        </w:r>
        <w:r w:rsidRPr="00566668">
          <w:rPr>
            <w:noProof/>
            <w:webHidden/>
          </w:rPr>
          <w:instrText xml:space="preserve"> PAGEREF _Toc153901374 \h </w:instrText>
        </w:r>
        <w:r w:rsidRPr="00566668">
          <w:rPr>
            <w:noProof/>
            <w:webHidden/>
          </w:rPr>
        </w:r>
        <w:r w:rsidRPr="00566668">
          <w:rPr>
            <w:noProof/>
            <w:webHidden/>
          </w:rPr>
          <w:fldChar w:fldCharType="separate"/>
        </w:r>
        <w:r w:rsidR="00565B02">
          <w:rPr>
            <w:noProof/>
            <w:webHidden/>
          </w:rPr>
          <w:t>235</w:t>
        </w:r>
        <w:r w:rsidRPr="00566668">
          <w:rPr>
            <w:noProof/>
            <w:webHidden/>
          </w:rPr>
          <w:fldChar w:fldCharType="end"/>
        </w:r>
      </w:hyperlink>
    </w:p>
    <w:p w14:paraId="195EA071" w14:textId="29A56CCB" w:rsidR="00566668" w:rsidRPr="00566668" w:rsidRDefault="00566668">
      <w:pPr>
        <w:pStyle w:val="TableofFigures"/>
        <w:tabs>
          <w:tab w:val="right" w:leader="dot" w:pos="9628"/>
        </w:tabs>
        <w:rPr>
          <w:rFonts w:eastAsiaTheme="minorEastAsia"/>
          <w:noProof/>
          <w:kern w:val="2"/>
          <w:lang w:val="en-US"/>
          <w14:ligatures w14:val="standardContextual"/>
        </w:rPr>
      </w:pPr>
      <w:hyperlink w:anchor="_Toc153901375" w:history="1">
        <w:r w:rsidRPr="00565B02">
          <w:rPr>
            <w:rStyle w:val="Hyperlink"/>
            <w:rFonts w:ascii="Calibri Light" w:hAnsi="Calibri Light" w:cs="Times New Roman"/>
            <w:noProof/>
          </w:rPr>
          <w:t>Слика 4.29: Интензитет финалне енергије у периоду 2020-2050. године у сценарију са постојећим мерама (WEM)</w:t>
        </w:r>
        <w:r w:rsidRPr="00566668">
          <w:rPr>
            <w:noProof/>
            <w:webHidden/>
          </w:rPr>
          <w:tab/>
        </w:r>
        <w:r w:rsidRPr="00566668">
          <w:rPr>
            <w:noProof/>
            <w:webHidden/>
          </w:rPr>
          <w:fldChar w:fldCharType="begin"/>
        </w:r>
        <w:r w:rsidRPr="00566668">
          <w:rPr>
            <w:noProof/>
            <w:webHidden/>
          </w:rPr>
          <w:instrText xml:space="preserve"> PAGEREF _Toc153901375 \h </w:instrText>
        </w:r>
        <w:r w:rsidRPr="00566668">
          <w:rPr>
            <w:noProof/>
            <w:webHidden/>
          </w:rPr>
        </w:r>
        <w:r w:rsidRPr="00566668">
          <w:rPr>
            <w:noProof/>
            <w:webHidden/>
          </w:rPr>
          <w:fldChar w:fldCharType="separate"/>
        </w:r>
        <w:r w:rsidR="00565B02">
          <w:rPr>
            <w:noProof/>
            <w:webHidden/>
          </w:rPr>
          <w:t>236</w:t>
        </w:r>
        <w:r w:rsidRPr="00566668">
          <w:rPr>
            <w:noProof/>
            <w:webHidden/>
          </w:rPr>
          <w:fldChar w:fldCharType="end"/>
        </w:r>
      </w:hyperlink>
    </w:p>
    <w:p w14:paraId="5E3DBE8E" w14:textId="4F29DF3C" w:rsidR="00566668" w:rsidRDefault="00566668">
      <w:pPr>
        <w:pStyle w:val="TableofFigures"/>
        <w:tabs>
          <w:tab w:val="right" w:leader="dot" w:pos="9628"/>
        </w:tabs>
        <w:rPr>
          <w:rFonts w:eastAsiaTheme="minorEastAsia"/>
          <w:noProof/>
          <w:kern w:val="2"/>
          <w:lang w:val="en-US"/>
          <w14:ligatures w14:val="standardContextual"/>
        </w:rPr>
      </w:pPr>
      <w:hyperlink w:anchor="_Toc153901376" w:history="1">
        <w:r w:rsidRPr="00756278">
          <w:rPr>
            <w:rStyle w:val="Hyperlink"/>
            <w:noProof/>
          </w:rPr>
          <w:t>Слика 4.30: Бруто домаћа потрошња горива у периоду 2020-2050. годинe у сценарију са постојећим мерама (WEM)</w:t>
        </w:r>
        <w:r>
          <w:rPr>
            <w:noProof/>
            <w:webHidden/>
          </w:rPr>
          <w:tab/>
        </w:r>
        <w:r>
          <w:rPr>
            <w:noProof/>
            <w:webHidden/>
          </w:rPr>
          <w:fldChar w:fldCharType="begin"/>
        </w:r>
        <w:r>
          <w:rPr>
            <w:noProof/>
            <w:webHidden/>
          </w:rPr>
          <w:instrText xml:space="preserve"> PAGEREF _Toc153901376 \h </w:instrText>
        </w:r>
        <w:r>
          <w:rPr>
            <w:noProof/>
            <w:webHidden/>
          </w:rPr>
        </w:r>
        <w:r>
          <w:rPr>
            <w:noProof/>
            <w:webHidden/>
          </w:rPr>
          <w:fldChar w:fldCharType="separate"/>
        </w:r>
        <w:r w:rsidR="00565B02">
          <w:rPr>
            <w:noProof/>
            <w:webHidden/>
          </w:rPr>
          <w:t>236</w:t>
        </w:r>
        <w:r>
          <w:rPr>
            <w:noProof/>
            <w:webHidden/>
          </w:rPr>
          <w:fldChar w:fldCharType="end"/>
        </w:r>
      </w:hyperlink>
    </w:p>
    <w:p w14:paraId="01C42D93" w14:textId="17757FAE" w:rsidR="00566668" w:rsidRDefault="00566668">
      <w:pPr>
        <w:pStyle w:val="TableofFigures"/>
        <w:tabs>
          <w:tab w:val="right" w:leader="dot" w:pos="9628"/>
        </w:tabs>
        <w:rPr>
          <w:rFonts w:eastAsiaTheme="minorEastAsia"/>
          <w:noProof/>
          <w:kern w:val="2"/>
          <w:lang w:val="en-US"/>
          <w14:ligatures w14:val="standardContextual"/>
        </w:rPr>
      </w:pPr>
      <w:hyperlink w:anchor="_Toc153901377" w:history="1">
        <w:r w:rsidRPr="00756278">
          <w:rPr>
            <w:rStyle w:val="Hyperlink"/>
            <w:noProof/>
          </w:rPr>
          <w:t>Слика 4.31: Финална потрошња енергије по сектору финалне потрошње у периоду 2020-2050. године</w:t>
        </w:r>
        <w:r>
          <w:rPr>
            <w:noProof/>
            <w:webHidden/>
          </w:rPr>
          <w:tab/>
        </w:r>
        <w:r>
          <w:rPr>
            <w:noProof/>
            <w:webHidden/>
          </w:rPr>
          <w:fldChar w:fldCharType="begin"/>
        </w:r>
        <w:r>
          <w:rPr>
            <w:noProof/>
            <w:webHidden/>
          </w:rPr>
          <w:instrText xml:space="preserve"> PAGEREF _Toc153901377 \h </w:instrText>
        </w:r>
        <w:r>
          <w:rPr>
            <w:noProof/>
            <w:webHidden/>
          </w:rPr>
        </w:r>
        <w:r>
          <w:rPr>
            <w:noProof/>
            <w:webHidden/>
          </w:rPr>
          <w:fldChar w:fldCharType="separate"/>
        </w:r>
        <w:r w:rsidR="00565B02">
          <w:rPr>
            <w:noProof/>
            <w:webHidden/>
          </w:rPr>
          <w:t>237</w:t>
        </w:r>
        <w:r>
          <w:rPr>
            <w:noProof/>
            <w:webHidden/>
          </w:rPr>
          <w:fldChar w:fldCharType="end"/>
        </w:r>
      </w:hyperlink>
    </w:p>
    <w:p w14:paraId="5E1507AA" w14:textId="729631B7" w:rsidR="00566668" w:rsidRDefault="00566668">
      <w:pPr>
        <w:pStyle w:val="TableofFigures"/>
        <w:tabs>
          <w:tab w:val="right" w:leader="dot" w:pos="9628"/>
        </w:tabs>
        <w:rPr>
          <w:rFonts w:eastAsiaTheme="minorEastAsia"/>
          <w:noProof/>
          <w:kern w:val="2"/>
          <w:lang w:val="en-US"/>
          <w14:ligatures w14:val="standardContextual"/>
        </w:rPr>
      </w:pPr>
      <w:hyperlink w:anchor="_Toc153901378" w:history="1">
        <w:r w:rsidRPr="00756278">
          <w:rPr>
            <w:rStyle w:val="Hyperlink"/>
            <w:noProof/>
          </w:rPr>
          <w:t>Слика 4.32: Финална потрошња енергије по гориву у индустријском сектору у периоду 2020-2050. година у сценарију са постојећим мерама (WEM)</w:t>
        </w:r>
        <w:r>
          <w:rPr>
            <w:noProof/>
            <w:webHidden/>
          </w:rPr>
          <w:tab/>
        </w:r>
        <w:r>
          <w:rPr>
            <w:noProof/>
            <w:webHidden/>
          </w:rPr>
          <w:fldChar w:fldCharType="begin"/>
        </w:r>
        <w:r>
          <w:rPr>
            <w:noProof/>
            <w:webHidden/>
          </w:rPr>
          <w:instrText xml:space="preserve"> PAGEREF _Toc153901378 \h </w:instrText>
        </w:r>
        <w:r>
          <w:rPr>
            <w:noProof/>
            <w:webHidden/>
          </w:rPr>
        </w:r>
        <w:r>
          <w:rPr>
            <w:noProof/>
            <w:webHidden/>
          </w:rPr>
          <w:fldChar w:fldCharType="separate"/>
        </w:r>
        <w:r w:rsidR="00565B02">
          <w:rPr>
            <w:noProof/>
            <w:webHidden/>
          </w:rPr>
          <w:t>238</w:t>
        </w:r>
        <w:r>
          <w:rPr>
            <w:noProof/>
            <w:webHidden/>
          </w:rPr>
          <w:fldChar w:fldCharType="end"/>
        </w:r>
      </w:hyperlink>
    </w:p>
    <w:p w14:paraId="67D3E57E" w14:textId="5140300C" w:rsidR="00566668" w:rsidRDefault="00566668">
      <w:pPr>
        <w:pStyle w:val="TableofFigures"/>
        <w:tabs>
          <w:tab w:val="right" w:leader="dot" w:pos="9628"/>
        </w:tabs>
        <w:rPr>
          <w:rFonts w:eastAsiaTheme="minorEastAsia"/>
          <w:noProof/>
          <w:kern w:val="2"/>
          <w:lang w:val="en-US"/>
          <w14:ligatures w14:val="standardContextual"/>
        </w:rPr>
      </w:pPr>
      <w:hyperlink w:anchor="_Toc153901379" w:history="1">
        <w:r w:rsidRPr="00756278">
          <w:rPr>
            <w:rStyle w:val="Hyperlink"/>
            <w:noProof/>
          </w:rPr>
          <w:t>Слика 4.33: Финална потрошња енергије по подсектору у индустријском сектору у периоду 2020-2050. године</w:t>
        </w:r>
        <w:r>
          <w:rPr>
            <w:noProof/>
            <w:webHidden/>
          </w:rPr>
          <w:tab/>
        </w:r>
        <w:r>
          <w:rPr>
            <w:noProof/>
            <w:webHidden/>
          </w:rPr>
          <w:fldChar w:fldCharType="begin"/>
        </w:r>
        <w:r>
          <w:rPr>
            <w:noProof/>
            <w:webHidden/>
          </w:rPr>
          <w:instrText xml:space="preserve"> PAGEREF _Toc153901379 \h </w:instrText>
        </w:r>
        <w:r>
          <w:rPr>
            <w:noProof/>
            <w:webHidden/>
          </w:rPr>
        </w:r>
        <w:r>
          <w:rPr>
            <w:noProof/>
            <w:webHidden/>
          </w:rPr>
          <w:fldChar w:fldCharType="separate"/>
        </w:r>
        <w:r w:rsidR="00565B02">
          <w:rPr>
            <w:noProof/>
            <w:webHidden/>
          </w:rPr>
          <w:t>238</w:t>
        </w:r>
        <w:r>
          <w:rPr>
            <w:noProof/>
            <w:webHidden/>
          </w:rPr>
          <w:fldChar w:fldCharType="end"/>
        </w:r>
      </w:hyperlink>
    </w:p>
    <w:p w14:paraId="4717F05C" w14:textId="22A94772" w:rsidR="00566668" w:rsidRDefault="00566668">
      <w:pPr>
        <w:pStyle w:val="TableofFigures"/>
        <w:tabs>
          <w:tab w:val="right" w:leader="dot" w:pos="9628"/>
        </w:tabs>
        <w:rPr>
          <w:rFonts w:eastAsiaTheme="minorEastAsia"/>
          <w:noProof/>
          <w:kern w:val="2"/>
          <w:lang w:val="en-US"/>
          <w14:ligatures w14:val="standardContextual"/>
        </w:rPr>
      </w:pPr>
      <w:hyperlink w:anchor="_Toc153901380" w:history="1">
        <w:r w:rsidRPr="00756278">
          <w:rPr>
            <w:rStyle w:val="Hyperlink"/>
            <w:noProof/>
          </w:rPr>
          <w:t>Слика 4.34: Финална потрошња енергије по извору енергије у сектору саобраћаја у периоду 2020-2050. године у сценарију са постојећим мерама (WEM)</w:t>
        </w:r>
        <w:r>
          <w:rPr>
            <w:noProof/>
            <w:webHidden/>
          </w:rPr>
          <w:tab/>
        </w:r>
        <w:r>
          <w:rPr>
            <w:noProof/>
            <w:webHidden/>
          </w:rPr>
          <w:fldChar w:fldCharType="begin"/>
        </w:r>
        <w:r>
          <w:rPr>
            <w:noProof/>
            <w:webHidden/>
          </w:rPr>
          <w:instrText xml:space="preserve"> PAGEREF _Toc153901380 \h </w:instrText>
        </w:r>
        <w:r>
          <w:rPr>
            <w:noProof/>
            <w:webHidden/>
          </w:rPr>
        </w:r>
        <w:r>
          <w:rPr>
            <w:noProof/>
            <w:webHidden/>
          </w:rPr>
          <w:fldChar w:fldCharType="separate"/>
        </w:r>
        <w:r w:rsidR="00565B02">
          <w:rPr>
            <w:noProof/>
            <w:webHidden/>
          </w:rPr>
          <w:t>239</w:t>
        </w:r>
        <w:r>
          <w:rPr>
            <w:noProof/>
            <w:webHidden/>
          </w:rPr>
          <w:fldChar w:fldCharType="end"/>
        </w:r>
      </w:hyperlink>
    </w:p>
    <w:p w14:paraId="7C6CCE3D" w14:textId="30B9E606" w:rsidR="00566668" w:rsidRDefault="00566668">
      <w:pPr>
        <w:pStyle w:val="TableofFigures"/>
        <w:tabs>
          <w:tab w:val="right" w:leader="dot" w:pos="9628"/>
        </w:tabs>
        <w:rPr>
          <w:rFonts w:eastAsiaTheme="minorEastAsia"/>
          <w:noProof/>
          <w:kern w:val="2"/>
          <w:lang w:val="en-US"/>
          <w14:ligatures w14:val="standardContextual"/>
        </w:rPr>
      </w:pPr>
      <w:hyperlink w:anchor="_Toc153901381" w:history="1">
        <w:r w:rsidRPr="00756278">
          <w:rPr>
            <w:rStyle w:val="Hyperlink"/>
            <w:noProof/>
          </w:rPr>
          <w:t>Слика 4.35: Финална потрошња енергије по подсектору у сектору саобраћаја у периоду 2020-2050. године у сценарију са постојећим мерама (WEM)</w:t>
        </w:r>
        <w:r>
          <w:rPr>
            <w:noProof/>
            <w:webHidden/>
          </w:rPr>
          <w:tab/>
        </w:r>
        <w:r>
          <w:rPr>
            <w:noProof/>
            <w:webHidden/>
          </w:rPr>
          <w:fldChar w:fldCharType="begin"/>
        </w:r>
        <w:r>
          <w:rPr>
            <w:noProof/>
            <w:webHidden/>
          </w:rPr>
          <w:instrText xml:space="preserve"> PAGEREF _Toc153901381 \h </w:instrText>
        </w:r>
        <w:r>
          <w:rPr>
            <w:noProof/>
            <w:webHidden/>
          </w:rPr>
        </w:r>
        <w:r>
          <w:rPr>
            <w:noProof/>
            <w:webHidden/>
          </w:rPr>
          <w:fldChar w:fldCharType="separate"/>
        </w:r>
        <w:r w:rsidR="00565B02">
          <w:rPr>
            <w:noProof/>
            <w:webHidden/>
          </w:rPr>
          <w:t>240</w:t>
        </w:r>
        <w:r>
          <w:rPr>
            <w:noProof/>
            <w:webHidden/>
          </w:rPr>
          <w:fldChar w:fldCharType="end"/>
        </w:r>
      </w:hyperlink>
    </w:p>
    <w:p w14:paraId="7530EBAC" w14:textId="292C1632" w:rsidR="00566668" w:rsidRDefault="00566668">
      <w:pPr>
        <w:pStyle w:val="TableofFigures"/>
        <w:tabs>
          <w:tab w:val="right" w:leader="dot" w:pos="9628"/>
        </w:tabs>
        <w:rPr>
          <w:rFonts w:eastAsiaTheme="minorEastAsia"/>
          <w:noProof/>
          <w:kern w:val="2"/>
          <w:lang w:val="en-US"/>
          <w14:ligatures w14:val="standardContextual"/>
        </w:rPr>
      </w:pPr>
      <w:hyperlink w:anchor="_Toc153901382" w:history="1">
        <w:r w:rsidRPr="00756278">
          <w:rPr>
            <w:rStyle w:val="Hyperlink"/>
            <w:noProof/>
          </w:rPr>
          <w:t>Слика 4.36: Финална потрошња енергије по извору енергије у сектору услуга у периоду 2020-2050. године у сценарију са постојећим мерама (WEM)</w:t>
        </w:r>
        <w:r>
          <w:rPr>
            <w:noProof/>
            <w:webHidden/>
          </w:rPr>
          <w:tab/>
        </w:r>
        <w:r>
          <w:rPr>
            <w:noProof/>
            <w:webHidden/>
          </w:rPr>
          <w:fldChar w:fldCharType="begin"/>
        </w:r>
        <w:r>
          <w:rPr>
            <w:noProof/>
            <w:webHidden/>
          </w:rPr>
          <w:instrText xml:space="preserve"> PAGEREF _Toc153901382 \h </w:instrText>
        </w:r>
        <w:r>
          <w:rPr>
            <w:noProof/>
            <w:webHidden/>
          </w:rPr>
        </w:r>
        <w:r>
          <w:rPr>
            <w:noProof/>
            <w:webHidden/>
          </w:rPr>
          <w:fldChar w:fldCharType="separate"/>
        </w:r>
        <w:r w:rsidR="00565B02">
          <w:rPr>
            <w:noProof/>
            <w:webHidden/>
          </w:rPr>
          <w:t>241</w:t>
        </w:r>
        <w:r>
          <w:rPr>
            <w:noProof/>
            <w:webHidden/>
          </w:rPr>
          <w:fldChar w:fldCharType="end"/>
        </w:r>
      </w:hyperlink>
    </w:p>
    <w:p w14:paraId="70CE2CE1" w14:textId="21D72CC1" w:rsidR="00566668" w:rsidRDefault="00566668">
      <w:pPr>
        <w:pStyle w:val="TableofFigures"/>
        <w:tabs>
          <w:tab w:val="right" w:leader="dot" w:pos="9628"/>
        </w:tabs>
        <w:rPr>
          <w:rFonts w:eastAsiaTheme="minorEastAsia"/>
          <w:noProof/>
          <w:kern w:val="2"/>
          <w:lang w:val="en-US"/>
          <w14:ligatures w14:val="standardContextual"/>
        </w:rPr>
      </w:pPr>
      <w:hyperlink w:anchor="_Toc153901383" w:history="1">
        <w:r w:rsidRPr="00756278">
          <w:rPr>
            <w:rStyle w:val="Hyperlink"/>
            <w:noProof/>
          </w:rPr>
          <w:t>Слика 4.37: Финална потрошња енергије по извору енергије у стамбеном сектору у периоду 2020-2050. године у сценарију са постојећим мерама (WEM)</w:t>
        </w:r>
        <w:r>
          <w:rPr>
            <w:noProof/>
            <w:webHidden/>
          </w:rPr>
          <w:tab/>
        </w:r>
        <w:r>
          <w:rPr>
            <w:noProof/>
            <w:webHidden/>
          </w:rPr>
          <w:fldChar w:fldCharType="begin"/>
        </w:r>
        <w:r>
          <w:rPr>
            <w:noProof/>
            <w:webHidden/>
          </w:rPr>
          <w:instrText xml:space="preserve"> PAGEREF _Toc153901383 \h </w:instrText>
        </w:r>
        <w:r>
          <w:rPr>
            <w:noProof/>
            <w:webHidden/>
          </w:rPr>
        </w:r>
        <w:r>
          <w:rPr>
            <w:noProof/>
            <w:webHidden/>
          </w:rPr>
          <w:fldChar w:fldCharType="separate"/>
        </w:r>
        <w:r w:rsidR="00565B02">
          <w:rPr>
            <w:noProof/>
            <w:webHidden/>
          </w:rPr>
          <w:t>242</w:t>
        </w:r>
        <w:r>
          <w:rPr>
            <w:noProof/>
            <w:webHidden/>
          </w:rPr>
          <w:fldChar w:fldCharType="end"/>
        </w:r>
      </w:hyperlink>
    </w:p>
    <w:p w14:paraId="309C9645" w14:textId="37155469" w:rsidR="00566668" w:rsidRDefault="00566668">
      <w:pPr>
        <w:pStyle w:val="TableofFigures"/>
        <w:tabs>
          <w:tab w:val="right" w:leader="dot" w:pos="9628"/>
        </w:tabs>
        <w:rPr>
          <w:rFonts w:eastAsiaTheme="minorEastAsia"/>
          <w:noProof/>
          <w:kern w:val="2"/>
          <w:lang w:val="en-US"/>
          <w14:ligatures w14:val="standardContextual"/>
        </w:rPr>
      </w:pPr>
      <w:hyperlink w:anchor="_Toc153901384" w:history="1">
        <w:r w:rsidRPr="00756278">
          <w:rPr>
            <w:rStyle w:val="Hyperlink"/>
            <w:noProof/>
          </w:rPr>
          <w:t>Слика 4.38: Финална потрошња енергије по извору енергије у сектору пољопривреде/шумарства у периоду 2020-2050. године у сценарију са постојећим мерама (WEM)</w:t>
        </w:r>
        <w:r>
          <w:rPr>
            <w:noProof/>
            <w:webHidden/>
          </w:rPr>
          <w:tab/>
        </w:r>
        <w:r>
          <w:rPr>
            <w:noProof/>
            <w:webHidden/>
          </w:rPr>
          <w:fldChar w:fldCharType="begin"/>
        </w:r>
        <w:r>
          <w:rPr>
            <w:noProof/>
            <w:webHidden/>
          </w:rPr>
          <w:instrText xml:space="preserve"> PAGEREF _Toc153901384 \h </w:instrText>
        </w:r>
        <w:r>
          <w:rPr>
            <w:noProof/>
            <w:webHidden/>
          </w:rPr>
        </w:r>
        <w:r>
          <w:rPr>
            <w:noProof/>
            <w:webHidden/>
          </w:rPr>
          <w:fldChar w:fldCharType="separate"/>
        </w:r>
        <w:r w:rsidR="00565B02">
          <w:rPr>
            <w:noProof/>
            <w:webHidden/>
          </w:rPr>
          <w:t>242</w:t>
        </w:r>
        <w:r>
          <w:rPr>
            <w:noProof/>
            <w:webHidden/>
          </w:rPr>
          <w:fldChar w:fldCharType="end"/>
        </w:r>
      </w:hyperlink>
    </w:p>
    <w:p w14:paraId="023DA984" w14:textId="0D627C41" w:rsidR="00566668" w:rsidRDefault="00566668">
      <w:pPr>
        <w:pStyle w:val="TableofFigures"/>
        <w:tabs>
          <w:tab w:val="right" w:leader="dot" w:pos="9628"/>
        </w:tabs>
        <w:rPr>
          <w:rFonts w:eastAsiaTheme="minorEastAsia"/>
          <w:noProof/>
          <w:kern w:val="2"/>
          <w:lang w:val="en-US"/>
          <w14:ligatures w14:val="standardContextual"/>
        </w:rPr>
      </w:pPr>
      <w:hyperlink w:anchor="_Toc153901385" w:history="1">
        <w:r w:rsidRPr="00756278">
          <w:rPr>
            <w:rStyle w:val="Hyperlink"/>
            <w:noProof/>
          </w:rPr>
          <w:t>Слика 4.39: Производња примарне енергије у периоду 2010-2020. године (Извор: Евростат, 2023. година)</w:t>
        </w:r>
        <w:r>
          <w:rPr>
            <w:noProof/>
            <w:webHidden/>
          </w:rPr>
          <w:tab/>
        </w:r>
        <w:r>
          <w:rPr>
            <w:noProof/>
            <w:webHidden/>
          </w:rPr>
          <w:fldChar w:fldCharType="begin"/>
        </w:r>
        <w:r>
          <w:rPr>
            <w:noProof/>
            <w:webHidden/>
          </w:rPr>
          <w:instrText xml:space="preserve"> PAGEREF _Toc153901385 \h </w:instrText>
        </w:r>
        <w:r>
          <w:rPr>
            <w:noProof/>
            <w:webHidden/>
          </w:rPr>
        </w:r>
        <w:r>
          <w:rPr>
            <w:noProof/>
            <w:webHidden/>
          </w:rPr>
          <w:fldChar w:fldCharType="separate"/>
        </w:r>
        <w:r w:rsidR="00565B02">
          <w:rPr>
            <w:noProof/>
            <w:webHidden/>
          </w:rPr>
          <w:t>244</w:t>
        </w:r>
        <w:r>
          <w:rPr>
            <w:noProof/>
            <w:webHidden/>
          </w:rPr>
          <w:fldChar w:fldCharType="end"/>
        </w:r>
      </w:hyperlink>
    </w:p>
    <w:p w14:paraId="129CD545" w14:textId="56F9EEC4" w:rsidR="00566668" w:rsidRDefault="00566668">
      <w:pPr>
        <w:pStyle w:val="TableofFigures"/>
        <w:tabs>
          <w:tab w:val="right" w:leader="dot" w:pos="9628"/>
        </w:tabs>
        <w:rPr>
          <w:rFonts w:eastAsiaTheme="minorEastAsia"/>
          <w:noProof/>
          <w:kern w:val="2"/>
          <w:lang w:val="en-US"/>
          <w14:ligatures w14:val="standardContextual"/>
        </w:rPr>
      </w:pPr>
      <w:hyperlink w:anchor="_Toc153901386" w:history="1">
        <w:r w:rsidRPr="00756278">
          <w:rPr>
            <w:rStyle w:val="Hyperlink"/>
            <w:noProof/>
          </w:rPr>
          <w:t>Слика 4.40: Трансформациони улаз у периоду 2010-2020. године (Извор: Евростат, 2023. година)</w:t>
        </w:r>
        <w:r>
          <w:rPr>
            <w:noProof/>
            <w:webHidden/>
          </w:rPr>
          <w:tab/>
        </w:r>
        <w:r>
          <w:rPr>
            <w:noProof/>
            <w:webHidden/>
          </w:rPr>
          <w:fldChar w:fldCharType="begin"/>
        </w:r>
        <w:r>
          <w:rPr>
            <w:noProof/>
            <w:webHidden/>
          </w:rPr>
          <w:instrText xml:space="preserve"> PAGEREF _Toc153901386 \h </w:instrText>
        </w:r>
        <w:r>
          <w:rPr>
            <w:noProof/>
            <w:webHidden/>
          </w:rPr>
        </w:r>
        <w:r>
          <w:rPr>
            <w:noProof/>
            <w:webHidden/>
          </w:rPr>
          <w:fldChar w:fldCharType="separate"/>
        </w:r>
        <w:r w:rsidR="00565B02">
          <w:rPr>
            <w:noProof/>
            <w:webHidden/>
          </w:rPr>
          <w:t>244</w:t>
        </w:r>
        <w:r>
          <w:rPr>
            <w:noProof/>
            <w:webHidden/>
          </w:rPr>
          <w:fldChar w:fldCharType="end"/>
        </w:r>
      </w:hyperlink>
    </w:p>
    <w:p w14:paraId="25AE60E8" w14:textId="3D97D531" w:rsidR="00566668" w:rsidRDefault="00566668">
      <w:pPr>
        <w:pStyle w:val="TableofFigures"/>
        <w:tabs>
          <w:tab w:val="right" w:leader="dot" w:pos="9628"/>
        </w:tabs>
        <w:rPr>
          <w:rFonts w:eastAsiaTheme="minorEastAsia"/>
          <w:noProof/>
          <w:kern w:val="2"/>
          <w:lang w:val="en-US"/>
          <w14:ligatures w14:val="standardContextual"/>
        </w:rPr>
      </w:pPr>
      <w:hyperlink w:anchor="_Toc153901387" w:history="1">
        <w:r w:rsidRPr="00756278">
          <w:rPr>
            <w:rStyle w:val="Hyperlink"/>
            <w:noProof/>
          </w:rPr>
          <w:t>Слика 4.41: Трансформациони излаз у периоду 2010-2020. године (Извор: Евростат, 2023. година)</w:t>
        </w:r>
        <w:r>
          <w:rPr>
            <w:noProof/>
            <w:webHidden/>
          </w:rPr>
          <w:tab/>
        </w:r>
        <w:r>
          <w:rPr>
            <w:noProof/>
            <w:webHidden/>
          </w:rPr>
          <w:fldChar w:fldCharType="begin"/>
        </w:r>
        <w:r>
          <w:rPr>
            <w:noProof/>
            <w:webHidden/>
          </w:rPr>
          <w:instrText xml:space="preserve"> PAGEREF _Toc153901387 \h </w:instrText>
        </w:r>
        <w:r>
          <w:rPr>
            <w:noProof/>
            <w:webHidden/>
          </w:rPr>
        </w:r>
        <w:r>
          <w:rPr>
            <w:noProof/>
            <w:webHidden/>
          </w:rPr>
          <w:fldChar w:fldCharType="separate"/>
        </w:r>
        <w:r w:rsidR="00565B02">
          <w:rPr>
            <w:noProof/>
            <w:webHidden/>
          </w:rPr>
          <w:t>245</w:t>
        </w:r>
        <w:r>
          <w:rPr>
            <w:noProof/>
            <w:webHidden/>
          </w:rPr>
          <w:fldChar w:fldCharType="end"/>
        </w:r>
      </w:hyperlink>
    </w:p>
    <w:p w14:paraId="2DC86E89" w14:textId="09693590" w:rsidR="00566668" w:rsidRDefault="00566668">
      <w:pPr>
        <w:pStyle w:val="TableofFigures"/>
        <w:tabs>
          <w:tab w:val="right" w:leader="dot" w:pos="9628"/>
        </w:tabs>
        <w:rPr>
          <w:rFonts w:eastAsiaTheme="minorEastAsia"/>
          <w:noProof/>
          <w:kern w:val="2"/>
          <w:lang w:val="en-US"/>
          <w14:ligatures w14:val="standardContextual"/>
        </w:rPr>
      </w:pPr>
      <w:hyperlink w:anchor="_Toc153901388" w:history="1">
        <w:r w:rsidRPr="00756278">
          <w:rPr>
            <w:rStyle w:val="Hyperlink"/>
            <w:noProof/>
          </w:rPr>
          <w:t>Слика 4.42: Зависност од увоза енергије у периоду 2020-2050. године у сценарију са постојећим мерама (WEM)</w:t>
        </w:r>
        <w:r>
          <w:rPr>
            <w:noProof/>
            <w:webHidden/>
          </w:rPr>
          <w:tab/>
        </w:r>
        <w:r>
          <w:rPr>
            <w:noProof/>
            <w:webHidden/>
          </w:rPr>
          <w:fldChar w:fldCharType="begin"/>
        </w:r>
        <w:r>
          <w:rPr>
            <w:noProof/>
            <w:webHidden/>
          </w:rPr>
          <w:instrText xml:space="preserve"> PAGEREF _Toc153901388 \h </w:instrText>
        </w:r>
        <w:r>
          <w:rPr>
            <w:noProof/>
            <w:webHidden/>
          </w:rPr>
        </w:r>
        <w:r>
          <w:rPr>
            <w:noProof/>
            <w:webHidden/>
          </w:rPr>
          <w:fldChar w:fldCharType="separate"/>
        </w:r>
        <w:r w:rsidR="00565B02">
          <w:rPr>
            <w:noProof/>
            <w:webHidden/>
          </w:rPr>
          <w:t>245</w:t>
        </w:r>
        <w:r>
          <w:rPr>
            <w:noProof/>
            <w:webHidden/>
          </w:rPr>
          <w:fldChar w:fldCharType="end"/>
        </w:r>
      </w:hyperlink>
    </w:p>
    <w:p w14:paraId="7D4557D4" w14:textId="18240218" w:rsidR="00566668" w:rsidRDefault="00566668">
      <w:pPr>
        <w:pStyle w:val="TableofFigures"/>
        <w:tabs>
          <w:tab w:val="right" w:leader="dot" w:pos="9628"/>
        </w:tabs>
        <w:rPr>
          <w:rFonts w:eastAsiaTheme="minorEastAsia"/>
          <w:noProof/>
          <w:kern w:val="2"/>
          <w:lang w:val="en-US"/>
          <w14:ligatures w14:val="standardContextual"/>
        </w:rPr>
      </w:pPr>
      <w:hyperlink w:anchor="_Toc153901389" w:history="1">
        <w:r w:rsidRPr="00756278">
          <w:rPr>
            <w:rStyle w:val="Hyperlink"/>
            <w:noProof/>
          </w:rPr>
          <w:t>Слика 4.43: Зависност од увоза нафте и нафтних деривата, природног гаса и електричне енергије у периоду 2020-2050. године у сценарију са постојећим мерама (WEM)</w:t>
        </w:r>
        <w:r>
          <w:rPr>
            <w:noProof/>
            <w:webHidden/>
          </w:rPr>
          <w:tab/>
        </w:r>
        <w:r>
          <w:rPr>
            <w:noProof/>
            <w:webHidden/>
          </w:rPr>
          <w:fldChar w:fldCharType="begin"/>
        </w:r>
        <w:r>
          <w:rPr>
            <w:noProof/>
            <w:webHidden/>
          </w:rPr>
          <w:instrText xml:space="preserve"> PAGEREF _Toc153901389 \h </w:instrText>
        </w:r>
        <w:r>
          <w:rPr>
            <w:noProof/>
            <w:webHidden/>
          </w:rPr>
        </w:r>
        <w:r>
          <w:rPr>
            <w:noProof/>
            <w:webHidden/>
          </w:rPr>
          <w:fldChar w:fldCharType="separate"/>
        </w:r>
        <w:r w:rsidR="00565B02">
          <w:rPr>
            <w:noProof/>
            <w:webHidden/>
          </w:rPr>
          <w:t>246</w:t>
        </w:r>
        <w:r>
          <w:rPr>
            <w:noProof/>
            <w:webHidden/>
          </w:rPr>
          <w:fldChar w:fldCharType="end"/>
        </w:r>
      </w:hyperlink>
    </w:p>
    <w:p w14:paraId="68476CF4" w14:textId="42F8DBFA" w:rsidR="00566668" w:rsidRDefault="00566668">
      <w:pPr>
        <w:pStyle w:val="TableofFigures"/>
        <w:tabs>
          <w:tab w:val="right" w:leader="dot" w:pos="9628"/>
        </w:tabs>
        <w:rPr>
          <w:rFonts w:eastAsiaTheme="minorEastAsia"/>
          <w:noProof/>
          <w:kern w:val="2"/>
          <w:lang w:val="en-US"/>
          <w14:ligatures w14:val="standardContextual"/>
        </w:rPr>
      </w:pPr>
      <w:hyperlink w:anchor="_Toc153901390" w:history="1">
        <w:r w:rsidRPr="00756278">
          <w:rPr>
            <w:rStyle w:val="Hyperlink"/>
            <w:noProof/>
          </w:rPr>
          <w:t>Слика 4.44: Производња примарне енергије у периоду 2020-2050. године у сценарију са постојећим мерама (WEM)</w:t>
        </w:r>
        <w:r>
          <w:rPr>
            <w:noProof/>
            <w:webHidden/>
          </w:rPr>
          <w:tab/>
        </w:r>
        <w:r>
          <w:rPr>
            <w:noProof/>
            <w:webHidden/>
          </w:rPr>
          <w:fldChar w:fldCharType="begin"/>
        </w:r>
        <w:r>
          <w:rPr>
            <w:noProof/>
            <w:webHidden/>
          </w:rPr>
          <w:instrText xml:space="preserve"> PAGEREF _Toc153901390 \h </w:instrText>
        </w:r>
        <w:r>
          <w:rPr>
            <w:noProof/>
            <w:webHidden/>
          </w:rPr>
        </w:r>
        <w:r>
          <w:rPr>
            <w:noProof/>
            <w:webHidden/>
          </w:rPr>
          <w:fldChar w:fldCharType="separate"/>
        </w:r>
        <w:r w:rsidR="00565B02">
          <w:rPr>
            <w:noProof/>
            <w:webHidden/>
          </w:rPr>
          <w:t>247</w:t>
        </w:r>
        <w:r>
          <w:rPr>
            <w:noProof/>
            <w:webHidden/>
          </w:rPr>
          <w:fldChar w:fldCharType="end"/>
        </w:r>
      </w:hyperlink>
    </w:p>
    <w:p w14:paraId="172BC01C" w14:textId="5AB67B0B" w:rsidR="00566668" w:rsidRDefault="00566668">
      <w:pPr>
        <w:pStyle w:val="TableofFigures"/>
        <w:tabs>
          <w:tab w:val="right" w:leader="dot" w:pos="9628"/>
        </w:tabs>
        <w:rPr>
          <w:rFonts w:eastAsiaTheme="minorEastAsia"/>
          <w:noProof/>
          <w:kern w:val="2"/>
          <w:lang w:val="en-US"/>
          <w14:ligatures w14:val="standardContextual"/>
        </w:rPr>
      </w:pPr>
      <w:hyperlink w:anchor="_Toc153901391" w:history="1">
        <w:r w:rsidRPr="00756278">
          <w:rPr>
            <w:rStyle w:val="Hyperlink"/>
            <w:noProof/>
          </w:rPr>
          <w:t>Слика 4.45: Увоз енергије по врсти горива у период 2020-2050. године у сценарију са постојећим мерама (WEM)</w:t>
        </w:r>
        <w:r>
          <w:rPr>
            <w:noProof/>
            <w:webHidden/>
          </w:rPr>
          <w:tab/>
        </w:r>
        <w:r>
          <w:rPr>
            <w:noProof/>
            <w:webHidden/>
          </w:rPr>
          <w:fldChar w:fldCharType="begin"/>
        </w:r>
        <w:r>
          <w:rPr>
            <w:noProof/>
            <w:webHidden/>
          </w:rPr>
          <w:instrText xml:space="preserve"> PAGEREF _Toc153901391 \h </w:instrText>
        </w:r>
        <w:r>
          <w:rPr>
            <w:noProof/>
            <w:webHidden/>
          </w:rPr>
        </w:r>
        <w:r>
          <w:rPr>
            <w:noProof/>
            <w:webHidden/>
          </w:rPr>
          <w:fldChar w:fldCharType="separate"/>
        </w:r>
        <w:r w:rsidR="00565B02">
          <w:rPr>
            <w:noProof/>
            <w:webHidden/>
          </w:rPr>
          <w:t>247</w:t>
        </w:r>
        <w:r>
          <w:rPr>
            <w:noProof/>
            <w:webHidden/>
          </w:rPr>
          <w:fldChar w:fldCharType="end"/>
        </w:r>
      </w:hyperlink>
    </w:p>
    <w:p w14:paraId="0475A221" w14:textId="17566FBD" w:rsidR="00566668" w:rsidRDefault="00566668">
      <w:pPr>
        <w:pStyle w:val="TableofFigures"/>
        <w:tabs>
          <w:tab w:val="right" w:leader="dot" w:pos="9628"/>
        </w:tabs>
        <w:rPr>
          <w:rFonts w:eastAsiaTheme="minorEastAsia"/>
          <w:noProof/>
          <w:kern w:val="2"/>
          <w:lang w:val="en-US"/>
          <w14:ligatures w14:val="standardContextual"/>
        </w:rPr>
      </w:pPr>
      <w:hyperlink w:anchor="_Toc153901392" w:history="1">
        <w:r w:rsidRPr="00756278">
          <w:rPr>
            <w:rStyle w:val="Hyperlink"/>
            <w:noProof/>
          </w:rPr>
          <w:t>Слика 4.46: Извоз енергије по врсти горива у периоду 2020-2050. године у сценарију са постојећим мерама (WEM)</w:t>
        </w:r>
        <w:r>
          <w:rPr>
            <w:noProof/>
            <w:webHidden/>
          </w:rPr>
          <w:tab/>
        </w:r>
        <w:r>
          <w:rPr>
            <w:noProof/>
            <w:webHidden/>
          </w:rPr>
          <w:fldChar w:fldCharType="begin"/>
        </w:r>
        <w:r>
          <w:rPr>
            <w:noProof/>
            <w:webHidden/>
          </w:rPr>
          <w:instrText xml:space="preserve"> PAGEREF _Toc153901392 \h </w:instrText>
        </w:r>
        <w:r>
          <w:rPr>
            <w:noProof/>
            <w:webHidden/>
          </w:rPr>
        </w:r>
        <w:r>
          <w:rPr>
            <w:noProof/>
            <w:webHidden/>
          </w:rPr>
          <w:fldChar w:fldCharType="separate"/>
        </w:r>
        <w:r w:rsidR="00565B02">
          <w:rPr>
            <w:noProof/>
            <w:webHidden/>
          </w:rPr>
          <w:t>248</w:t>
        </w:r>
        <w:r>
          <w:rPr>
            <w:noProof/>
            <w:webHidden/>
          </w:rPr>
          <w:fldChar w:fldCharType="end"/>
        </w:r>
      </w:hyperlink>
    </w:p>
    <w:p w14:paraId="2FD9890E" w14:textId="0BF58520" w:rsidR="00566668" w:rsidRDefault="00566668">
      <w:pPr>
        <w:pStyle w:val="TableofFigures"/>
        <w:tabs>
          <w:tab w:val="right" w:leader="dot" w:pos="9628"/>
        </w:tabs>
        <w:rPr>
          <w:rFonts w:eastAsiaTheme="minorEastAsia"/>
          <w:noProof/>
          <w:kern w:val="2"/>
          <w:lang w:val="en-US"/>
          <w14:ligatures w14:val="standardContextual"/>
        </w:rPr>
      </w:pPr>
      <w:hyperlink w:anchor="_Toc153901393" w:history="1">
        <w:r w:rsidRPr="00756278">
          <w:rPr>
            <w:rStyle w:val="Hyperlink"/>
            <w:noProof/>
          </w:rPr>
          <w:t>Слика 4.47: Увоз, извоз и нето увоз у периоду 2020-2050. године у сценарију са постојећим мерама (WEM)</w:t>
        </w:r>
        <w:r>
          <w:rPr>
            <w:noProof/>
            <w:webHidden/>
          </w:rPr>
          <w:tab/>
        </w:r>
        <w:r>
          <w:rPr>
            <w:noProof/>
            <w:webHidden/>
          </w:rPr>
          <w:fldChar w:fldCharType="begin"/>
        </w:r>
        <w:r>
          <w:rPr>
            <w:noProof/>
            <w:webHidden/>
          </w:rPr>
          <w:instrText xml:space="preserve"> PAGEREF _Toc153901393 \h </w:instrText>
        </w:r>
        <w:r>
          <w:rPr>
            <w:noProof/>
            <w:webHidden/>
          </w:rPr>
        </w:r>
        <w:r>
          <w:rPr>
            <w:noProof/>
            <w:webHidden/>
          </w:rPr>
          <w:fldChar w:fldCharType="separate"/>
        </w:r>
        <w:r w:rsidR="00565B02">
          <w:rPr>
            <w:noProof/>
            <w:webHidden/>
          </w:rPr>
          <w:t>248</w:t>
        </w:r>
        <w:r>
          <w:rPr>
            <w:noProof/>
            <w:webHidden/>
          </w:rPr>
          <w:fldChar w:fldCharType="end"/>
        </w:r>
      </w:hyperlink>
    </w:p>
    <w:p w14:paraId="476BB959" w14:textId="788DF123" w:rsidR="00566668" w:rsidRDefault="00566668">
      <w:pPr>
        <w:pStyle w:val="TableofFigures"/>
        <w:tabs>
          <w:tab w:val="right" w:leader="dot" w:pos="9628"/>
        </w:tabs>
        <w:rPr>
          <w:rFonts w:eastAsiaTheme="minorEastAsia"/>
          <w:noProof/>
          <w:kern w:val="2"/>
          <w:lang w:val="en-US"/>
          <w14:ligatures w14:val="standardContextual"/>
        </w:rPr>
      </w:pPr>
      <w:hyperlink w:anchor="_Toc153901394" w:history="1">
        <w:r w:rsidRPr="00756278">
          <w:rPr>
            <w:rStyle w:val="Hyperlink"/>
            <w:noProof/>
          </w:rPr>
          <w:t>Слика 4.48: Трансформациони улаз у сектору електричне енергије у периоду 2020-2050. године у сценарију са постојећим мерама (WEM)</w:t>
        </w:r>
        <w:r>
          <w:rPr>
            <w:noProof/>
            <w:webHidden/>
          </w:rPr>
          <w:tab/>
        </w:r>
        <w:r>
          <w:rPr>
            <w:noProof/>
            <w:webHidden/>
          </w:rPr>
          <w:fldChar w:fldCharType="begin"/>
        </w:r>
        <w:r>
          <w:rPr>
            <w:noProof/>
            <w:webHidden/>
          </w:rPr>
          <w:instrText xml:space="preserve"> PAGEREF _Toc153901394 \h </w:instrText>
        </w:r>
        <w:r>
          <w:rPr>
            <w:noProof/>
            <w:webHidden/>
          </w:rPr>
        </w:r>
        <w:r>
          <w:rPr>
            <w:noProof/>
            <w:webHidden/>
          </w:rPr>
          <w:fldChar w:fldCharType="separate"/>
        </w:r>
        <w:r w:rsidR="00565B02">
          <w:rPr>
            <w:noProof/>
            <w:webHidden/>
          </w:rPr>
          <w:t>249</w:t>
        </w:r>
        <w:r>
          <w:rPr>
            <w:noProof/>
            <w:webHidden/>
          </w:rPr>
          <w:fldChar w:fldCharType="end"/>
        </w:r>
      </w:hyperlink>
    </w:p>
    <w:p w14:paraId="0AB26E51" w14:textId="77A4226A" w:rsidR="00566668" w:rsidRDefault="00566668">
      <w:pPr>
        <w:pStyle w:val="TableofFigures"/>
        <w:tabs>
          <w:tab w:val="right" w:leader="dot" w:pos="9628"/>
        </w:tabs>
        <w:rPr>
          <w:rFonts w:eastAsiaTheme="minorEastAsia"/>
          <w:noProof/>
          <w:kern w:val="2"/>
          <w:lang w:val="en-US"/>
          <w14:ligatures w14:val="standardContextual"/>
        </w:rPr>
      </w:pPr>
      <w:hyperlink w:anchor="_Toc153901395" w:history="1">
        <w:r w:rsidRPr="00756278">
          <w:rPr>
            <w:rStyle w:val="Hyperlink"/>
            <w:noProof/>
          </w:rPr>
          <w:t>Слика 4.49: Трансформациони излаз у сектору електричне енергије у периоду 2020-2050. године у сценарију са постојећим мерама (WEM)</w:t>
        </w:r>
        <w:r>
          <w:rPr>
            <w:noProof/>
            <w:webHidden/>
          </w:rPr>
          <w:tab/>
        </w:r>
        <w:r>
          <w:rPr>
            <w:noProof/>
            <w:webHidden/>
          </w:rPr>
          <w:fldChar w:fldCharType="begin"/>
        </w:r>
        <w:r>
          <w:rPr>
            <w:noProof/>
            <w:webHidden/>
          </w:rPr>
          <w:instrText xml:space="preserve"> PAGEREF _Toc153901395 \h </w:instrText>
        </w:r>
        <w:r>
          <w:rPr>
            <w:noProof/>
            <w:webHidden/>
          </w:rPr>
        </w:r>
        <w:r>
          <w:rPr>
            <w:noProof/>
            <w:webHidden/>
          </w:rPr>
          <w:fldChar w:fldCharType="separate"/>
        </w:r>
        <w:r w:rsidR="00565B02">
          <w:rPr>
            <w:noProof/>
            <w:webHidden/>
          </w:rPr>
          <w:t>250</w:t>
        </w:r>
        <w:r>
          <w:rPr>
            <w:noProof/>
            <w:webHidden/>
          </w:rPr>
          <w:fldChar w:fldCharType="end"/>
        </w:r>
      </w:hyperlink>
    </w:p>
    <w:p w14:paraId="7A3ECAE0" w14:textId="16D9C2E4" w:rsidR="00566668" w:rsidRDefault="00566668">
      <w:pPr>
        <w:pStyle w:val="TableofFigures"/>
        <w:tabs>
          <w:tab w:val="right" w:leader="dot" w:pos="9628"/>
        </w:tabs>
        <w:rPr>
          <w:rFonts w:eastAsiaTheme="minorEastAsia"/>
          <w:noProof/>
          <w:kern w:val="2"/>
          <w:lang w:val="en-US"/>
          <w14:ligatures w14:val="standardContextual"/>
        </w:rPr>
      </w:pPr>
      <w:hyperlink w:anchor="_Toc153901396" w:history="1">
        <w:r w:rsidRPr="00756278">
          <w:rPr>
            <w:rStyle w:val="Hyperlink"/>
            <w:noProof/>
          </w:rPr>
          <w:t>Слика 4.50: Укупни губици електромреже у периоду 2020-2050. године у сценарију са постојећим мерама (WEM)</w:t>
        </w:r>
        <w:r>
          <w:rPr>
            <w:noProof/>
            <w:webHidden/>
          </w:rPr>
          <w:tab/>
        </w:r>
        <w:r>
          <w:rPr>
            <w:noProof/>
            <w:webHidden/>
          </w:rPr>
          <w:fldChar w:fldCharType="begin"/>
        </w:r>
        <w:r>
          <w:rPr>
            <w:noProof/>
            <w:webHidden/>
          </w:rPr>
          <w:instrText xml:space="preserve"> PAGEREF _Toc153901396 \h </w:instrText>
        </w:r>
        <w:r>
          <w:rPr>
            <w:noProof/>
            <w:webHidden/>
          </w:rPr>
        </w:r>
        <w:r>
          <w:rPr>
            <w:noProof/>
            <w:webHidden/>
          </w:rPr>
          <w:fldChar w:fldCharType="separate"/>
        </w:r>
        <w:r w:rsidR="00565B02">
          <w:rPr>
            <w:noProof/>
            <w:webHidden/>
          </w:rPr>
          <w:t>251</w:t>
        </w:r>
        <w:r>
          <w:rPr>
            <w:noProof/>
            <w:webHidden/>
          </w:rPr>
          <w:fldChar w:fldCharType="end"/>
        </w:r>
      </w:hyperlink>
    </w:p>
    <w:p w14:paraId="55F9EF15" w14:textId="600C942A" w:rsidR="00566668" w:rsidRDefault="00566668">
      <w:pPr>
        <w:pStyle w:val="TableofFigures"/>
        <w:tabs>
          <w:tab w:val="right" w:leader="dot" w:pos="9628"/>
        </w:tabs>
        <w:rPr>
          <w:rFonts w:eastAsiaTheme="minorEastAsia"/>
          <w:noProof/>
          <w:kern w:val="2"/>
          <w:lang w:val="en-US"/>
          <w14:ligatures w14:val="standardContextual"/>
        </w:rPr>
      </w:pPr>
      <w:hyperlink w:anchor="_Toc153901397" w:history="1">
        <w:r w:rsidRPr="00756278">
          <w:rPr>
            <w:rStyle w:val="Hyperlink"/>
            <w:noProof/>
          </w:rPr>
          <w:t>Слика 4.51: Укупни губици у систему гаса у периоду 2020-2050. године у сценарију са постојећим мерама (WEM)</w:t>
        </w:r>
        <w:r>
          <w:rPr>
            <w:noProof/>
            <w:webHidden/>
          </w:rPr>
          <w:tab/>
        </w:r>
        <w:r>
          <w:rPr>
            <w:noProof/>
            <w:webHidden/>
          </w:rPr>
          <w:fldChar w:fldCharType="begin"/>
        </w:r>
        <w:r>
          <w:rPr>
            <w:noProof/>
            <w:webHidden/>
          </w:rPr>
          <w:instrText xml:space="preserve"> PAGEREF _Toc153901397 \h </w:instrText>
        </w:r>
        <w:r>
          <w:rPr>
            <w:noProof/>
            <w:webHidden/>
          </w:rPr>
        </w:r>
        <w:r>
          <w:rPr>
            <w:noProof/>
            <w:webHidden/>
          </w:rPr>
          <w:fldChar w:fldCharType="separate"/>
        </w:r>
        <w:r w:rsidR="00565B02">
          <w:rPr>
            <w:noProof/>
            <w:webHidden/>
          </w:rPr>
          <w:t>251</w:t>
        </w:r>
        <w:r>
          <w:rPr>
            <w:noProof/>
            <w:webHidden/>
          </w:rPr>
          <w:fldChar w:fldCharType="end"/>
        </w:r>
      </w:hyperlink>
    </w:p>
    <w:p w14:paraId="7055CE45" w14:textId="433A33F7" w:rsidR="00566668" w:rsidRDefault="00566668">
      <w:pPr>
        <w:pStyle w:val="TableofFigures"/>
        <w:tabs>
          <w:tab w:val="right" w:leader="dot" w:pos="9628"/>
        </w:tabs>
        <w:rPr>
          <w:rFonts w:eastAsiaTheme="minorEastAsia"/>
          <w:noProof/>
          <w:kern w:val="2"/>
          <w:lang w:val="en-US"/>
          <w14:ligatures w14:val="standardContextual"/>
        </w:rPr>
      </w:pPr>
      <w:hyperlink w:anchor="_Toc153901398" w:history="1">
        <w:r w:rsidRPr="00756278">
          <w:rPr>
            <w:rStyle w:val="Hyperlink"/>
            <w:noProof/>
          </w:rPr>
          <w:t>Слика 4.52: ENTSO-E TYNDP 2020 идентификација системских потреба за 2030. и 2040. годину (извор: ENTSO-E)</w:t>
        </w:r>
        <w:r>
          <w:rPr>
            <w:noProof/>
            <w:webHidden/>
          </w:rPr>
          <w:tab/>
        </w:r>
        <w:r>
          <w:rPr>
            <w:noProof/>
            <w:webHidden/>
          </w:rPr>
          <w:fldChar w:fldCharType="begin"/>
        </w:r>
        <w:r>
          <w:rPr>
            <w:noProof/>
            <w:webHidden/>
          </w:rPr>
          <w:instrText xml:space="preserve"> PAGEREF _Toc153901398 \h </w:instrText>
        </w:r>
        <w:r>
          <w:rPr>
            <w:noProof/>
            <w:webHidden/>
          </w:rPr>
        </w:r>
        <w:r>
          <w:rPr>
            <w:noProof/>
            <w:webHidden/>
          </w:rPr>
          <w:fldChar w:fldCharType="separate"/>
        </w:r>
        <w:r w:rsidR="00565B02">
          <w:rPr>
            <w:noProof/>
            <w:webHidden/>
          </w:rPr>
          <w:t>253</w:t>
        </w:r>
        <w:r>
          <w:rPr>
            <w:noProof/>
            <w:webHidden/>
          </w:rPr>
          <w:fldChar w:fldCharType="end"/>
        </w:r>
      </w:hyperlink>
    </w:p>
    <w:p w14:paraId="26D71E82" w14:textId="6FC6323A" w:rsidR="00566668" w:rsidRDefault="00566668">
      <w:pPr>
        <w:pStyle w:val="TableofFigures"/>
        <w:tabs>
          <w:tab w:val="right" w:leader="dot" w:pos="9628"/>
        </w:tabs>
        <w:rPr>
          <w:rFonts w:eastAsiaTheme="minorEastAsia"/>
          <w:noProof/>
          <w:kern w:val="2"/>
          <w:lang w:val="en-US"/>
          <w14:ligatures w14:val="standardContextual"/>
        </w:rPr>
      </w:pPr>
      <w:hyperlink w:anchor="_Toc153901399" w:history="1">
        <w:r w:rsidRPr="00756278">
          <w:rPr>
            <w:rStyle w:val="Hyperlink"/>
            <w:noProof/>
          </w:rPr>
          <w:t>Слика 4.53: Повећање прекограничних капацитета до 2025. године (извор: ENTSO-E)</w:t>
        </w:r>
        <w:r>
          <w:rPr>
            <w:noProof/>
            <w:webHidden/>
          </w:rPr>
          <w:tab/>
        </w:r>
        <w:r>
          <w:rPr>
            <w:noProof/>
            <w:webHidden/>
          </w:rPr>
          <w:fldChar w:fldCharType="begin"/>
        </w:r>
        <w:r>
          <w:rPr>
            <w:noProof/>
            <w:webHidden/>
          </w:rPr>
          <w:instrText xml:space="preserve"> PAGEREF _Toc153901399 \h </w:instrText>
        </w:r>
        <w:r>
          <w:rPr>
            <w:noProof/>
            <w:webHidden/>
          </w:rPr>
        </w:r>
        <w:r>
          <w:rPr>
            <w:noProof/>
            <w:webHidden/>
          </w:rPr>
          <w:fldChar w:fldCharType="separate"/>
        </w:r>
        <w:r w:rsidR="00565B02">
          <w:rPr>
            <w:noProof/>
            <w:webHidden/>
          </w:rPr>
          <w:t>253</w:t>
        </w:r>
        <w:r>
          <w:rPr>
            <w:noProof/>
            <w:webHidden/>
          </w:rPr>
          <w:fldChar w:fldCharType="end"/>
        </w:r>
      </w:hyperlink>
    </w:p>
    <w:p w14:paraId="25BA3B5E" w14:textId="3A69DB6D" w:rsidR="00566668" w:rsidRDefault="00566668">
      <w:pPr>
        <w:pStyle w:val="TableofFigures"/>
        <w:tabs>
          <w:tab w:val="right" w:leader="dot" w:pos="9628"/>
        </w:tabs>
        <w:rPr>
          <w:rFonts w:eastAsiaTheme="minorEastAsia"/>
          <w:noProof/>
          <w:kern w:val="2"/>
          <w:lang w:val="en-US"/>
          <w14:ligatures w14:val="standardContextual"/>
        </w:rPr>
      </w:pPr>
      <w:hyperlink w:anchor="_Toc153901400" w:history="1">
        <w:r w:rsidRPr="00756278">
          <w:rPr>
            <w:rStyle w:val="Hyperlink"/>
            <w:noProof/>
          </w:rPr>
          <w:t>Слика 4.54: Пројекат коридора мреже за пренос електричне енергије (извор: ЕМС)</w:t>
        </w:r>
        <w:r>
          <w:rPr>
            <w:noProof/>
            <w:webHidden/>
          </w:rPr>
          <w:tab/>
        </w:r>
        <w:r>
          <w:rPr>
            <w:noProof/>
            <w:webHidden/>
          </w:rPr>
          <w:fldChar w:fldCharType="begin"/>
        </w:r>
        <w:r>
          <w:rPr>
            <w:noProof/>
            <w:webHidden/>
          </w:rPr>
          <w:instrText xml:space="preserve"> PAGEREF _Toc153901400 \h </w:instrText>
        </w:r>
        <w:r>
          <w:rPr>
            <w:noProof/>
            <w:webHidden/>
          </w:rPr>
        </w:r>
        <w:r>
          <w:rPr>
            <w:noProof/>
            <w:webHidden/>
          </w:rPr>
          <w:fldChar w:fldCharType="separate"/>
        </w:r>
        <w:r w:rsidR="00565B02">
          <w:rPr>
            <w:noProof/>
            <w:webHidden/>
          </w:rPr>
          <w:t>254</w:t>
        </w:r>
        <w:r>
          <w:rPr>
            <w:noProof/>
            <w:webHidden/>
          </w:rPr>
          <w:fldChar w:fldCharType="end"/>
        </w:r>
      </w:hyperlink>
    </w:p>
    <w:p w14:paraId="74844C54" w14:textId="7B9A6939" w:rsidR="00566668" w:rsidRDefault="00566668">
      <w:pPr>
        <w:pStyle w:val="TableofFigures"/>
        <w:tabs>
          <w:tab w:val="right" w:leader="dot" w:pos="9628"/>
        </w:tabs>
        <w:rPr>
          <w:rFonts w:eastAsiaTheme="minorEastAsia"/>
          <w:noProof/>
          <w:kern w:val="2"/>
          <w:lang w:val="en-US"/>
          <w14:ligatures w14:val="standardContextual"/>
        </w:rPr>
      </w:pPr>
      <w:hyperlink w:anchor="_Toc153901401" w:history="1">
        <w:r w:rsidRPr="00756278">
          <w:rPr>
            <w:rStyle w:val="Hyperlink"/>
            <w:noProof/>
          </w:rPr>
          <w:t>Слика 4.55: Електроенергетски систем Србије (извор: ЕМС) )</w:t>
        </w:r>
        <w:r>
          <w:rPr>
            <w:noProof/>
            <w:webHidden/>
          </w:rPr>
          <w:tab/>
        </w:r>
        <w:r>
          <w:rPr>
            <w:noProof/>
            <w:webHidden/>
          </w:rPr>
          <w:fldChar w:fldCharType="begin"/>
        </w:r>
        <w:r>
          <w:rPr>
            <w:noProof/>
            <w:webHidden/>
          </w:rPr>
          <w:instrText xml:space="preserve"> PAGEREF _Toc153901401 \h </w:instrText>
        </w:r>
        <w:r>
          <w:rPr>
            <w:noProof/>
            <w:webHidden/>
          </w:rPr>
        </w:r>
        <w:r>
          <w:rPr>
            <w:noProof/>
            <w:webHidden/>
          </w:rPr>
          <w:fldChar w:fldCharType="separate"/>
        </w:r>
        <w:r w:rsidR="00565B02">
          <w:rPr>
            <w:noProof/>
            <w:webHidden/>
          </w:rPr>
          <w:t>255</w:t>
        </w:r>
        <w:r>
          <w:rPr>
            <w:noProof/>
            <w:webHidden/>
          </w:rPr>
          <w:fldChar w:fldCharType="end"/>
        </w:r>
      </w:hyperlink>
    </w:p>
    <w:p w14:paraId="127121CA" w14:textId="0450BF8B" w:rsidR="00566668" w:rsidRDefault="00566668">
      <w:pPr>
        <w:pStyle w:val="TableofFigures"/>
        <w:tabs>
          <w:tab w:val="right" w:leader="dot" w:pos="9628"/>
        </w:tabs>
        <w:rPr>
          <w:rFonts w:eastAsiaTheme="minorEastAsia"/>
          <w:noProof/>
          <w:kern w:val="2"/>
          <w:lang w:val="en-US"/>
          <w14:ligatures w14:val="standardContextual"/>
        </w:rPr>
      </w:pPr>
      <w:hyperlink w:anchor="_Toc153901402" w:history="1">
        <w:r w:rsidRPr="00756278">
          <w:rPr>
            <w:rStyle w:val="Hyperlink"/>
            <w:noProof/>
          </w:rPr>
          <w:t>Слика 4.56: Просечне годишње малопродајне цене за конкурентну електричну енергију, без ПДВ-а и такси (извор: АЕРС)</w:t>
        </w:r>
        <w:r>
          <w:rPr>
            <w:noProof/>
            <w:webHidden/>
          </w:rPr>
          <w:tab/>
        </w:r>
        <w:r>
          <w:rPr>
            <w:noProof/>
            <w:webHidden/>
          </w:rPr>
          <w:fldChar w:fldCharType="begin"/>
        </w:r>
        <w:r>
          <w:rPr>
            <w:noProof/>
            <w:webHidden/>
          </w:rPr>
          <w:instrText xml:space="preserve"> PAGEREF _Toc153901402 \h </w:instrText>
        </w:r>
        <w:r>
          <w:rPr>
            <w:noProof/>
            <w:webHidden/>
          </w:rPr>
        </w:r>
        <w:r>
          <w:rPr>
            <w:noProof/>
            <w:webHidden/>
          </w:rPr>
          <w:fldChar w:fldCharType="separate"/>
        </w:r>
        <w:r w:rsidR="00565B02">
          <w:rPr>
            <w:noProof/>
            <w:webHidden/>
          </w:rPr>
          <w:t>257</w:t>
        </w:r>
        <w:r>
          <w:rPr>
            <w:noProof/>
            <w:webHidden/>
          </w:rPr>
          <w:fldChar w:fldCharType="end"/>
        </w:r>
      </w:hyperlink>
    </w:p>
    <w:p w14:paraId="1929EBD2" w14:textId="7C758FF4" w:rsidR="00566668" w:rsidRDefault="00566668">
      <w:pPr>
        <w:pStyle w:val="TableofFigures"/>
        <w:tabs>
          <w:tab w:val="right" w:leader="dot" w:pos="9628"/>
        </w:tabs>
        <w:rPr>
          <w:rFonts w:eastAsiaTheme="minorEastAsia"/>
          <w:noProof/>
          <w:kern w:val="2"/>
          <w:lang w:val="en-US"/>
          <w14:ligatures w14:val="standardContextual"/>
        </w:rPr>
      </w:pPr>
      <w:hyperlink w:anchor="_Toc153901403" w:history="1">
        <w:r w:rsidRPr="00756278">
          <w:rPr>
            <w:rStyle w:val="Hyperlink"/>
            <w:noProof/>
          </w:rPr>
          <w:t>Слика 4.57: Просечне годишње малопродајне цене на регулисаном тржишту, без ПДВ-а и такси (извор: АЕРС)</w:t>
        </w:r>
        <w:r>
          <w:rPr>
            <w:noProof/>
            <w:webHidden/>
          </w:rPr>
          <w:tab/>
        </w:r>
        <w:r>
          <w:rPr>
            <w:noProof/>
            <w:webHidden/>
          </w:rPr>
          <w:fldChar w:fldCharType="begin"/>
        </w:r>
        <w:r>
          <w:rPr>
            <w:noProof/>
            <w:webHidden/>
          </w:rPr>
          <w:instrText xml:space="preserve"> PAGEREF _Toc153901403 \h </w:instrText>
        </w:r>
        <w:r>
          <w:rPr>
            <w:noProof/>
            <w:webHidden/>
          </w:rPr>
        </w:r>
        <w:r>
          <w:rPr>
            <w:noProof/>
            <w:webHidden/>
          </w:rPr>
          <w:fldChar w:fldCharType="separate"/>
        </w:r>
        <w:r w:rsidR="00565B02">
          <w:rPr>
            <w:noProof/>
            <w:webHidden/>
          </w:rPr>
          <w:t>258</w:t>
        </w:r>
        <w:r>
          <w:rPr>
            <w:noProof/>
            <w:webHidden/>
          </w:rPr>
          <w:fldChar w:fldCharType="end"/>
        </w:r>
      </w:hyperlink>
    </w:p>
    <w:p w14:paraId="78489BEC" w14:textId="59681C21" w:rsidR="00566668" w:rsidRDefault="00566668">
      <w:pPr>
        <w:pStyle w:val="TableofFigures"/>
        <w:tabs>
          <w:tab w:val="right" w:leader="dot" w:pos="9628"/>
        </w:tabs>
        <w:rPr>
          <w:rFonts w:eastAsiaTheme="minorEastAsia"/>
          <w:noProof/>
          <w:kern w:val="2"/>
          <w:lang w:val="en-US"/>
          <w14:ligatures w14:val="standardContextual"/>
        </w:rPr>
      </w:pPr>
      <w:hyperlink w:anchor="_Toc153901404" w:history="1">
        <w:r w:rsidRPr="00756278">
          <w:rPr>
            <w:rStyle w:val="Hyperlink"/>
            <w:noProof/>
          </w:rPr>
          <w:t>Слика 4.58: Просечна одобрена цена за јавно снабдевање природним гасом у РСД/m3 (извор: АЕРС)</w:t>
        </w:r>
        <w:r>
          <w:rPr>
            <w:noProof/>
            <w:webHidden/>
          </w:rPr>
          <w:tab/>
        </w:r>
        <w:r>
          <w:rPr>
            <w:noProof/>
            <w:webHidden/>
          </w:rPr>
          <w:fldChar w:fldCharType="begin"/>
        </w:r>
        <w:r>
          <w:rPr>
            <w:noProof/>
            <w:webHidden/>
          </w:rPr>
          <w:instrText xml:space="preserve"> PAGEREF _Toc153901404 \h </w:instrText>
        </w:r>
        <w:r>
          <w:rPr>
            <w:noProof/>
            <w:webHidden/>
          </w:rPr>
        </w:r>
        <w:r>
          <w:rPr>
            <w:noProof/>
            <w:webHidden/>
          </w:rPr>
          <w:fldChar w:fldCharType="separate"/>
        </w:r>
        <w:r w:rsidR="00565B02">
          <w:rPr>
            <w:noProof/>
            <w:webHidden/>
          </w:rPr>
          <w:t>258</w:t>
        </w:r>
        <w:r>
          <w:rPr>
            <w:noProof/>
            <w:webHidden/>
          </w:rPr>
          <w:fldChar w:fldCharType="end"/>
        </w:r>
      </w:hyperlink>
    </w:p>
    <w:p w14:paraId="14929543" w14:textId="53A13605" w:rsidR="00566668" w:rsidRDefault="00566668">
      <w:pPr>
        <w:pStyle w:val="TableofFigures"/>
        <w:tabs>
          <w:tab w:val="right" w:leader="dot" w:pos="9628"/>
        </w:tabs>
        <w:rPr>
          <w:rFonts w:eastAsiaTheme="minorEastAsia"/>
          <w:noProof/>
          <w:kern w:val="2"/>
          <w:lang w:val="en-US"/>
          <w14:ligatures w14:val="standardContextual"/>
        </w:rPr>
      </w:pPr>
      <w:hyperlink w:anchor="_Toc153901405" w:history="1">
        <w:r w:rsidRPr="00756278">
          <w:rPr>
            <w:rStyle w:val="Hyperlink"/>
            <w:noProof/>
          </w:rPr>
          <w:t>Слика 4.59: Просечна пондерисана малопродајна цена на регулисаном тржишту у РСД/m3 (извор: АЕРС)</w:t>
        </w:r>
        <w:r>
          <w:rPr>
            <w:noProof/>
            <w:webHidden/>
          </w:rPr>
          <w:tab/>
        </w:r>
        <w:r>
          <w:rPr>
            <w:noProof/>
            <w:webHidden/>
          </w:rPr>
          <w:fldChar w:fldCharType="begin"/>
        </w:r>
        <w:r>
          <w:rPr>
            <w:noProof/>
            <w:webHidden/>
          </w:rPr>
          <w:instrText xml:space="preserve"> PAGEREF _Toc153901405 \h </w:instrText>
        </w:r>
        <w:r>
          <w:rPr>
            <w:noProof/>
            <w:webHidden/>
          </w:rPr>
        </w:r>
        <w:r>
          <w:rPr>
            <w:noProof/>
            <w:webHidden/>
          </w:rPr>
          <w:fldChar w:fldCharType="separate"/>
        </w:r>
        <w:r w:rsidR="00565B02">
          <w:rPr>
            <w:noProof/>
            <w:webHidden/>
          </w:rPr>
          <w:t>259</w:t>
        </w:r>
        <w:r>
          <w:rPr>
            <w:noProof/>
            <w:webHidden/>
          </w:rPr>
          <w:fldChar w:fldCharType="end"/>
        </w:r>
      </w:hyperlink>
    </w:p>
    <w:p w14:paraId="5674EDCD" w14:textId="410D767E" w:rsidR="00566668" w:rsidRDefault="00566668">
      <w:pPr>
        <w:pStyle w:val="TableofFigures"/>
        <w:tabs>
          <w:tab w:val="right" w:leader="dot" w:pos="9628"/>
        </w:tabs>
        <w:rPr>
          <w:rFonts w:eastAsiaTheme="minorEastAsia"/>
          <w:noProof/>
          <w:kern w:val="2"/>
          <w:lang w:val="en-US"/>
          <w14:ligatures w14:val="standardContextual"/>
        </w:rPr>
      </w:pPr>
      <w:hyperlink w:anchor="_Toc153901406" w:history="1">
        <w:r w:rsidRPr="00756278">
          <w:rPr>
            <w:rStyle w:val="Hyperlink"/>
            <w:noProof/>
          </w:rPr>
          <w:t>Слика 4.60: Процењена просечна цена снабдевања електричном енергијом у сценарију са постојећим мерама (WEM)</w:t>
        </w:r>
        <w:r>
          <w:rPr>
            <w:noProof/>
            <w:webHidden/>
          </w:rPr>
          <w:tab/>
        </w:r>
        <w:r>
          <w:rPr>
            <w:noProof/>
            <w:webHidden/>
          </w:rPr>
          <w:fldChar w:fldCharType="begin"/>
        </w:r>
        <w:r>
          <w:rPr>
            <w:noProof/>
            <w:webHidden/>
          </w:rPr>
          <w:instrText xml:space="preserve"> PAGEREF _Toc153901406 \h </w:instrText>
        </w:r>
        <w:r>
          <w:rPr>
            <w:noProof/>
            <w:webHidden/>
          </w:rPr>
        </w:r>
        <w:r>
          <w:rPr>
            <w:noProof/>
            <w:webHidden/>
          </w:rPr>
          <w:fldChar w:fldCharType="separate"/>
        </w:r>
        <w:r w:rsidR="00565B02">
          <w:rPr>
            <w:noProof/>
            <w:webHidden/>
          </w:rPr>
          <w:t>260</w:t>
        </w:r>
        <w:r>
          <w:rPr>
            <w:noProof/>
            <w:webHidden/>
          </w:rPr>
          <w:fldChar w:fldCharType="end"/>
        </w:r>
      </w:hyperlink>
    </w:p>
    <w:p w14:paraId="5ED3AFBB" w14:textId="05BEBD92" w:rsidR="00566668" w:rsidRDefault="00566668">
      <w:pPr>
        <w:pStyle w:val="TableofFigures"/>
        <w:tabs>
          <w:tab w:val="right" w:leader="dot" w:pos="9628"/>
        </w:tabs>
        <w:rPr>
          <w:rFonts w:eastAsiaTheme="minorEastAsia"/>
          <w:noProof/>
          <w:kern w:val="2"/>
          <w:lang w:val="en-US"/>
          <w14:ligatures w14:val="standardContextual"/>
        </w:rPr>
      </w:pPr>
      <w:hyperlink w:anchor="_Toc153901407" w:history="1">
        <w:r w:rsidRPr="00756278">
          <w:rPr>
            <w:rStyle w:val="Hyperlink"/>
            <w:noProof/>
          </w:rPr>
          <w:t>Слика 4.61: Просечне годишње увозне цене природног гаса у сценарију са постојећим мерама (WEM)</w:t>
        </w:r>
        <w:r>
          <w:rPr>
            <w:noProof/>
            <w:webHidden/>
          </w:rPr>
          <w:tab/>
        </w:r>
        <w:r>
          <w:rPr>
            <w:noProof/>
            <w:webHidden/>
          </w:rPr>
          <w:fldChar w:fldCharType="begin"/>
        </w:r>
        <w:r>
          <w:rPr>
            <w:noProof/>
            <w:webHidden/>
          </w:rPr>
          <w:instrText xml:space="preserve"> PAGEREF _Toc153901407 \h </w:instrText>
        </w:r>
        <w:r>
          <w:rPr>
            <w:noProof/>
            <w:webHidden/>
          </w:rPr>
        </w:r>
        <w:r>
          <w:rPr>
            <w:noProof/>
            <w:webHidden/>
          </w:rPr>
          <w:fldChar w:fldCharType="separate"/>
        </w:r>
        <w:r w:rsidR="00565B02">
          <w:rPr>
            <w:noProof/>
            <w:webHidden/>
          </w:rPr>
          <w:t>260</w:t>
        </w:r>
        <w:r>
          <w:rPr>
            <w:noProof/>
            <w:webHidden/>
          </w:rPr>
          <w:fldChar w:fldCharType="end"/>
        </w:r>
      </w:hyperlink>
    </w:p>
    <w:p w14:paraId="7A09861A" w14:textId="274AA535" w:rsidR="00566668" w:rsidRDefault="00566668">
      <w:pPr>
        <w:pStyle w:val="TableofFigures"/>
        <w:tabs>
          <w:tab w:val="right" w:leader="dot" w:pos="9628"/>
        </w:tabs>
        <w:rPr>
          <w:rFonts w:eastAsiaTheme="minorEastAsia"/>
          <w:noProof/>
          <w:kern w:val="2"/>
          <w:lang w:val="en-US"/>
          <w14:ligatures w14:val="standardContextual"/>
        </w:rPr>
      </w:pPr>
      <w:hyperlink w:anchor="_Toc153901408" w:history="1">
        <w:r w:rsidRPr="00756278">
          <w:rPr>
            <w:rStyle w:val="Hyperlink"/>
            <w:noProof/>
          </w:rPr>
          <w:t>Слика 4.62: Преглед организација за истраживање и развој по секторима (извор: Републички завод за статистику)</w:t>
        </w:r>
        <w:r>
          <w:rPr>
            <w:noProof/>
            <w:webHidden/>
          </w:rPr>
          <w:tab/>
        </w:r>
        <w:r>
          <w:rPr>
            <w:noProof/>
            <w:webHidden/>
          </w:rPr>
          <w:fldChar w:fldCharType="begin"/>
        </w:r>
        <w:r>
          <w:rPr>
            <w:noProof/>
            <w:webHidden/>
          </w:rPr>
          <w:instrText xml:space="preserve"> PAGEREF _Toc153901408 \h </w:instrText>
        </w:r>
        <w:r>
          <w:rPr>
            <w:noProof/>
            <w:webHidden/>
          </w:rPr>
        </w:r>
        <w:r>
          <w:rPr>
            <w:noProof/>
            <w:webHidden/>
          </w:rPr>
          <w:fldChar w:fldCharType="separate"/>
        </w:r>
        <w:r w:rsidR="00565B02">
          <w:rPr>
            <w:noProof/>
            <w:webHidden/>
          </w:rPr>
          <w:t>263</w:t>
        </w:r>
        <w:r>
          <w:rPr>
            <w:noProof/>
            <w:webHidden/>
          </w:rPr>
          <w:fldChar w:fldCharType="end"/>
        </w:r>
      </w:hyperlink>
    </w:p>
    <w:p w14:paraId="5A6A863C" w14:textId="25786D28" w:rsidR="00566668" w:rsidRDefault="00566668">
      <w:pPr>
        <w:pStyle w:val="TableofFigures"/>
        <w:tabs>
          <w:tab w:val="right" w:leader="dot" w:pos="9628"/>
        </w:tabs>
        <w:rPr>
          <w:rFonts w:eastAsiaTheme="minorEastAsia"/>
          <w:noProof/>
          <w:kern w:val="2"/>
          <w:lang w:val="en-US"/>
          <w14:ligatures w14:val="standardContextual"/>
        </w:rPr>
      </w:pPr>
      <w:hyperlink w:anchor="_Toc153901409" w:history="1">
        <w:r w:rsidRPr="00756278">
          <w:rPr>
            <w:rStyle w:val="Hyperlink"/>
            <w:noProof/>
          </w:rPr>
          <w:t>Слика 4.63: Преглед организација за истраживање и развој по областима науке (извор: Републички завод за статистику)</w:t>
        </w:r>
        <w:r>
          <w:rPr>
            <w:noProof/>
            <w:webHidden/>
          </w:rPr>
          <w:tab/>
        </w:r>
        <w:r>
          <w:rPr>
            <w:noProof/>
            <w:webHidden/>
          </w:rPr>
          <w:fldChar w:fldCharType="begin"/>
        </w:r>
        <w:r>
          <w:rPr>
            <w:noProof/>
            <w:webHidden/>
          </w:rPr>
          <w:instrText xml:space="preserve"> PAGEREF _Toc153901409 \h </w:instrText>
        </w:r>
        <w:r>
          <w:rPr>
            <w:noProof/>
            <w:webHidden/>
          </w:rPr>
        </w:r>
        <w:r>
          <w:rPr>
            <w:noProof/>
            <w:webHidden/>
          </w:rPr>
          <w:fldChar w:fldCharType="separate"/>
        </w:r>
        <w:r w:rsidR="00565B02">
          <w:rPr>
            <w:noProof/>
            <w:webHidden/>
          </w:rPr>
          <w:t>263</w:t>
        </w:r>
        <w:r>
          <w:rPr>
            <w:noProof/>
            <w:webHidden/>
          </w:rPr>
          <w:fldChar w:fldCharType="end"/>
        </w:r>
      </w:hyperlink>
    </w:p>
    <w:p w14:paraId="43AC9020" w14:textId="59F5BF81" w:rsidR="00566668" w:rsidRDefault="00566668">
      <w:pPr>
        <w:pStyle w:val="TableofFigures"/>
        <w:tabs>
          <w:tab w:val="right" w:leader="dot" w:pos="9628"/>
        </w:tabs>
        <w:rPr>
          <w:rFonts w:eastAsiaTheme="minorEastAsia"/>
          <w:noProof/>
          <w:kern w:val="2"/>
          <w:lang w:val="en-US"/>
          <w14:ligatures w14:val="standardContextual"/>
        </w:rPr>
      </w:pPr>
      <w:hyperlink w:anchor="_Toc153901410" w:history="1">
        <w:r w:rsidRPr="00756278">
          <w:rPr>
            <w:rStyle w:val="Hyperlink"/>
            <w:noProof/>
          </w:rPr>
          <w:t>Слика 4.64: Број запослених ангажованих у активностима истраживања и развоја (извор: Републички завод за статистику)</w:t>
        </w:r>
        <w:r>
          <w:rPr>
            <w:noProof/>
            <w:webHidden/>
          </w:rPr>
          <w:tab/>
        </w:r>
        <w:r>
          <w:rPr>
            <w:noProof/>
            <w:webHidden/>
          </w:rPr>
          <w:fldChar w:fldCharType="begin"/>
        </w:r>
        <w:r>
          <w:rPr>
            <w:noProof/>
            <w:webHidden/>
          </w:rPr>
          <w:instrText xml:space="preserve"> PAGEREF _Toc153901410 \h </w:instrText>
        </w:r>
        <w:r>
          <w:rPr>
            <w:noProof/>
            <w:webHidden/>
          </w:rPr>
        </w:r>
        <w:r>
          <w:rPr>
            <w:noProof/>
            <w:webHidden/>
          </w:rPr>
          <w:fldChar w:fldCharType="separate"/>
        </w:r>
        <w:r w:rsidR="00565B02">
          <w:rPr>
            <w:noProof/>
            <w:webHidden/>
          </w:rPr>
          <w:t>264</w:t>
        </w:r>
        <w:r>
          <w:rPr>
            <w:noProof/>
            <w:webHidden/>
          </w:rPr>
          <w:fldChar w:fldCharType="end"/>
        </w:r>
      </w:hyperlink>
    </w:p>
    <w:p w14:paraId="4E21FDC8" w14:textId="0627515B" w:rsidR="00566668" w:rsidRDefault="00566668">
      <w:pPr>
        <w:pStyle w:val="TableofFigures"/>
        <w:tabs>
          <w:tab w:val="right" w:leader="dot" w:pos="9628"/>
        </w:tabs>
        <w:rPr>
          <w:rFonts w:eastAsiaTheme="minorEastAsia"/>
          <w:noProof/>
          <w:kern w:val="2"/>
          <w:lang w:val="en-US"/>
          <w14:ligatures w14:val="standardContextual"/>
        </w:rPr>
      </w:pPr>
      <w:hyperlink w:anchor="_Toc153901411" w:history="1">
        <w:r w:rsidRPr="00756278">
          <w:rPr>
            <w:rStyle w:val="Hyperlink"/>
            <w:noProof/>
          </w:rPr>
          <w:t>Слика 4.65: Преглед истраживачких радова по областима науке и врсти (извор: Републички завод за статистику)</w:t>
        </w:r>
        <w:r>
          <w:rPr>
            <w:noProof/>
            <w:webHidden/>
          </w:rPr>
          <w:tab/>
        </w:r>
        <w:r>
          <w:rPr>
            <w:noProof/>
            <w:webHidden/>
          </w:rPr>
          <w:fldChar w:fldCharType="begin"/>
        </w:r>
        <w:r>
          <w:rPr>
            <w:noProof/>
            <w:webHidden/>
          </w:rPr>
          <w:instrText xml:space="preserve"> PAGEREF _Toc153901411 \h </w:instrText>
        </w:r>
        <w:r>
          <w:rPr>
            <w:noProof/>
            <w:webHidden/>
          </w:rPr>
        </w:r>
        <w:r>
          <w:rPr>
            <w:noProof/>
            <w:webHidden/>
          </w:rPr>
          <w:fldChar w:fldCharType="separate"/>
        </w:r>
        <w:r w:rsidR="00565B02">
          <w:rPr>
            <w:noProof/>
            <w:webHidden/>
          </w:rPr>
          <w:t>264</w:t>
        </w:r>
        <w:r>
          <w:rPr>
            <w:noProof/>
            <w:webHidden/>
          </w:rPr>
          <w:fldChar w:fldCharType="end"/>
        </w:r>
      </w:hyperlink>
    </w:p>
    <w:p w14:paraId="0911B98D" w14:textId="1030ABF4" w:rsidR="00566668" w:rsidRDefault="00566668">
      <w:pPr>
        <w:pStyle w:val="TableofFigures"/>
        <w:tabs>
          <w:tab w:val="right" w:leader="dot" w:pos="9628"/>
        </w:tabs>
        <w:rPr>
          <w:rFonts w:eastAsiaTheme="minorEastAsia"/>
          <w:noProof/>
          <w:kern w:val="2"/>
          <w:lang w:val="en-US"/>
          <w14:ligatures w14:val="standardContextual"/>
        </w:rPr>
      </w:pPr>
      <w:hyperlink w:anchor="_Toc153901412" w:history="1">
        <w:r w:rsidRPr="00756278">
          <w:rPr>
            <w:rStyle w:val="Hyperlink"/>
            <w:noProof/>
          </w:rPr>
          <w:t>Слика 4.66: Преглед иновативних предузећа по делатностима (извор: Завод за интелектуалну својину Републике Србије)</w:t>
        </w:r>
        <w:r>
          <w:rPr>
            <w:noProof/>
            <w:webHidden/>
          </w:rPr>
          <w:tab/>
        </w:r>
        <w:r>
          <w:rPr>
            <w:noProof/>
            <w:webHidden/>
          </w:rPr>
          <w:fldChar w:fldCharType="begin"/>
        </w:r>
        <w:r>
          <w:rPr>
            <w:noProof/>
            <w:webHidden/>
          </w:rPr>
          <w:instrText xml:space="preserve"> PAGEREF _Toc153901412 \h </w:instrText>
        </w:r>
        <w:r>
          <w:rPr>
            <w:noProof/>
            <w:webHidden/>
          </w:rPr>
        </w:r>
        <w:r>
          <w:rPr>
            <w:noProof/>
            <w:webHidden/>
          </w:rPr>
          <w:fldChar w:fldCharType="separate"/>
        </w:r>
        <w:r w:rsidR="00565B02">
          <w:rPr>
            <w:noProof/>
            <w:webHidden/>
          </w:rPr>
          <w:t>265</w:t>
        </w:r>
        <w:r>
          <w:rPr>
            <w:noProof/>
            <w:webHidden/>
          </w:rPr>
          <w:fldChar w:fldCharType="end"/>
        </w:r>
      </w:hyperlink>
    </w:p>
    <w:p w14:paraId="08080C2D" w14:textId="208E6C2F" w:rsidR="00566668" w:rsidRDefault="00566668">
      <w:pPr>
        <w:pStyle w:val="TableofFigures"/>
        <w:tabs>
          <w:tab w:val="right" w:leader="dot" w:pos="9628"/>
        </w:tabs>
        <w:rPr>
          <w:rFonts w:eastAsiaTheme="minorEastAsia"/>
          <w:noProof/>
          <w:kern w:val="2"/>
          <w:lang w:val="en-US"/>
          <w14:ligatures w14:val="standardContextual"/>
        </w:rPr>
      </w:pPr>
      <w:hyperlink w:anchor="_Toc153901413" w:history="1">
        <w:r w:rsidRPr="00756278">
          <w:rPr>
            <w:rStyle w:val="Hyperlink"/>
            <w:noProof/>
          </w:rPr>
          <w:t>Слика 5.1: Укупне емисије GHG (укључујући пољопривреду, отпад и LULUCF)</w:t>
        </w:r>
        <w:r>
          <w:rPr>
            <w:noProof/>
            <w:webHidden/>
          </w:rPr>
          <w:tab/>
        </w:r>
        <w:r>
          <w:rPr>
            <w:noProof/>
            <w:webHidden/>
          </w:rPr>
          <w:fldChar w:fldCharType="begin"/>
        </w:r>
        <w:r>
          <w:rPr>
            <w:noProof/>
            <w:webHidden/>
          </w:rPr>
          <w:instrText xml:space="preserve"> PAGEREF _Toc153901413 \h </w:instrText>
        </w:r>
        <w:r>
          <w:rPr>
            <w:noProof/>
            <w:webHidden/>
          </w:rPr>
        </w:r>
        <w:r>
          <w:rPr>
            <w:noProof/>
            <w:webHidden/>
          </w:rPr>
          <w:fldChar w:fldCharType="separate"/>
        </w:r>
        <w:r w:rsidR="00565B02">
          <w:rPr>
            <w:noProof/>
            <w:webHidden/>
          </w:rPr>
          <w:t>267</w:t>
        </w:r>
        <w:r>
          <w:rPr>
            <w:noProof/>
            <w:webHidden/>
          </w:rPr>
          <w:fldChar w:fldCharType="end"/>
        </w:r>
      </w:hyperlink>
    </w:p>
    <w:p w14:paraId="37C7C56F" w14:textId="255B948F" w:rsidR="00566668" w:rsidRDefault="00566668">
      <w:pPr>
        <w:pStyle w:val="TableofFigures"/>
        <w:tabs>
          <w:tab w:val="right" w:leader="dot" w:pos="9628"/>
        </w:tabs>
        <w:rPr>
          <w:rFonts w:eastAsiaTheme="minorEastAsia"/>
          <w:noProof/>
          <w:kern w:val="2"/>
          <w:lang w:val="en-US"/>
          <w14:ligatures w14:val="standardContextual"/>
        </w:rPr>
      </w:pPr>
      <w:hyperlink w:anchor="_Toc153901414" w:history="1">
        <w:r w:rsidRPr="00756278">
          <w:rPr>
            <w:rStyle w:val="Hyperlink"/>
            <w:noProof/>
          </w:rPr>
          <w:t>Слика 5.2: Укупне емисије GHG (укључујући пољопривреду, отпад и LULUCF), промене у процентима у односу на 1990. годину</w:t>
        </w:r>
        <w:r>
          <w:rPr>
            <w:noProof/>
            <w:webHidden/>
          </w:rPr>
          <w:tab/>
        </w:r>
        <w:r>
          <w:rPr>
            <w:noProof/>
            <w:webHidden/>
          </w:rPr>
          <w:fldChar w:fldCharType="begin"/>
        </w:r>
        <w:r>
          <w:rPr>
            <w:noProof/>
            <w:webHidden/>
          </w:rPr>
          <w:instrText xml:space="preserve"> PAGEREF _Toc153901414 \h </w:instrText>
        </w:r>
        <w:r>
          <w:rPr>
            <w:noProof/>
            <w:webHidden/>
          </w:rPr>
        </w:r>
        <w:r>
          <w:rPr>
            <w:noProof/>
            <w:webHidden/>
          </w:rPr>
          <w:fldChar w:fldCharType="separate"/>
        </w:r>
        <w:r w:rsidR="00565B02">
          <w:rPr>
            <w:noProof/>
            <w:webHidden/>
          </w:rPr>
          <w:t>268</w:t>
        </w:r>
        <w:r>
          <w:rPr>
            <w:noProof/>
            <w:webHidden/>
          </w:rPr>
          <w:fldChar w:fldCharType="end"/>
        </w:r>
      </w:hyperlink>
    </w:p>
    <w:p w14:paraId="05EDF7D0" w14:textId="28801F9E" w:rsidR="00566668" w:rsidRDefault="00566668">
      <w:pPr>
        <w:pStyle w:val="TableofFigures"/>
        <w:tabs>
          <w:tab w:val="right" w:leader="dot" w:pos="9628"/>
        </w:tabs>
        <w:rPr>
          <w:rFonts w:eastAsiaTheme="minorEastAsia"/>
          <w:noProof/>
          <w:kern w:val="2"/>
          <w:lang w:val="en-US"/>
          <w14:ligatures w14:val="standardContextual"/>
        </w:rPr>
      </w:pPr>
      <w:hyperlink w:anchor="_Toc153901415" w:history="1">
        <w:r w:rsidRPr="00756278">
          <w:rPr>
            <w:rStyle w:val="Hyperlink"/>
            <w:noProof/>
          </w:rPr>
          <w:t>Слика 5.3: Емисије GHG из употребе енергије, процеса и фугитивне емисије по сектору</w:t>
        </w:r>
        <w:r>
          <w:rPr>
            <w:noProof/>
            <w:webHidden/>
          </w:rPr>
          <w:tab/>
        </w:r>
        <w:r>
          <w:rPr>
            <w:noProof/>
            <w:webHidden/>
          </w:rPr>
          <w:fldChar w:fldCharType="begin"/>
        </w:r>
        <w:r>
          <w:rPr>
            <w:noProof/>
            <w:webHidden/>
          </w:rPr>
          <w:instrText xml:space="preserve"> PAGEREF _Toc153901415 \h </w:instrText>
        </w:r>
        <w:r>
          <w:rPr>
            <w:noProof/>
            <w:webHidden/>
          </w:rPr>
        </w:r>
        <w:r>
          <w:rPr>
            <w:noProof/>
            <w:webHidden/>
          </w:rPr>
          <w:fldChar w:fldCharType="separate"/>
        </w:r>
        <w:r w:rsidR="00565B02">
          <w:rPr>
            <w:noProof/>
            <w:webHidden/>
          </w:rPr>
          <w:t>268</w:t>
        </w:r>
        <w:r>
          <w:rPr>
            <w:noProof/>
            <w:webHidden/>
          </w:rPr>
          <w:fldChar w:fldCharType="end"/>
        </w:r>
      </w:hyperlink>
    </w:p>
    <w:p w14:paraId="15489ACA" w14:textId="110EC62D" w:rsidR="00566668" w:rsidRDefault="00566668">
      <w:pPr>
        <w:pStyle w:val="TableofFigures"/>
        <w:tabs>
          <w:tab w:val="right" w:leader="dot" w:pos="9628"/>
        </w:tabs>
        <w:rPr>
          <w:rFonts w:eastAsiaTheme="minorEastAsia"/>
          <w:noProof/>
          <w:kern w:val="2"/>
          <w:lang w:val="en-US"/>
          <w14:ligatures w14:val="standardContextual"/>
        </w:rPr>
      </w:pPr>
      <w:hyperlink w:anchor="_Toc153901416" w:history="1">
        <w:r w:rsidRPr="00756278">
          <w:rPr>
            <w:rStyle w:val="Hyperlink"/>
            <w:noProof/>
          </w:rPr>
          <w:t>Слика 5.4: Емисије GHG из употребе енергије, процеса и фугитивне емисије, промене у процентима у односу на 1990. годину</w:t>
        </w:r>
        <w:r>
          <w:rPr>
            <w:noProof/>
            <w:webHidden/>
          </w:rPr>
          <w:tab/>
        </w:r>
        <w:r>
          <w:rPr>
            <w:noProof/>
            <w:webHidden/>
          </w:rPr>
          <w:fldChar w:fldCharType="begin"/>
        </w:r>
        <w:r>
          <w:rPr>
            <w:noProof/>
            <w:webHidden/>
          </w:rPr>
          <w:instrText xml:space="preserve"> PAGEREF _Toc153901416 \h </w:instrText>
        </w:r>
        <w:r>
          <w:rPr>
            <w:noProof/>
            <w:webHidden/>
          </w:rPr>
        </w:r>
        <w:r>
          <w:rPr>
            <w:noProof/>
            <w:webHidden/>
          </w:rPr>
          <w:fldChar w:fldCharType="separate"/>
        </w:r>
        <w:r w:rsidR="00565B02">
          <w:rPr>
            <w:noProof/>
            <w:webHidden/>
          </w:rPr>
          <w:t>269</w:t>
        </w:r>
        <w:r>
          <w:rPr>
            <w:noProof/>
            <w:webHidden/>
          </w:rPr>
          <w:fldChar w:fldCharType="end"/>
        </w:r>
      </w:hyperlink>
    </w:p>
    <w:p w14:paraId="1D670204" w14:textId="48D667FE" w:rsidR="00566668" w:rsidRDefault="00566668">
      <w:pPr>
        <w:pStyle w:val="TableofFigures"/>
        <w:tabs>
          <w:tab w:val="right" w:leader="dot" w:pos="9628"/>
        </w:tabs>
        <w:rPr>
          <w:rFonts w:eastAsiaTheme="minorEastAsia"/>
          <w:noProof/>
          <w:kern w:val="2"/>
          <w:lang w:val="en-US"/>
          <w14:ligatures w14:val="standardContextual"/>
        </w:rPr>
      </w:pPr>
      <w:hyperlink w:anchor="_Toc153901417" w:history="1">
        <w:r w:rsidRPr="00756278">
          <w:rPr>
            <w:rStyle w:val="Hyperlink"/>
            <w:noProof/>
          </w:rPr>
          <w:t>Слика 5.5: Емисије GHG (из употребе енергије, процеса и фугитивне емисије по сектору) по сектору</w:t>
        </w:r>
        <w:r>
          <w:rPr>
            <w:noProof/>
            <w:webHidden/>
          </w:rPr>
          <w:tab/>
        </w:r>
        <w:r>
          <w:rPr>
            <w:noProof/>
            <w:webHidden/>
          </w:rPr>
          <w:fldChar w:fldCharType="begin"/>
        </w:r>
        <w:r>
          <w:rPr>
            <w:noProof/>
            <w:webHidden/>
          </w:rPr>
          <w:instrText xml:space="preserve"> PAGEREF _Toc153901417 \h </w:instrText>
        </w:r>
        <w:r>
          <w:rPr>
            <w:noProof/>
            <w:webHidden/>
          </w:rPr>
        </w:r>
        <w:r>
          <w:rPr>
            <w:noProof/>
            <w:webHidden/>
          </w:rPr>
          <w:fldChar w:fldCharType="separate"/>
        </w:r>
        <w:r w:rsidR="00565B02">
          <w:rPr>
            <w:noProof/>
            <w:webHidden/>
          </w:rPr>
          <w:t>270</w:t>
        </w:r>
        <w:r>
          <w:rPr>
            <w:noProof/>
            <w:webHidden/>
          </w:rPr>
          <w:fldChar w:fldCharType="end"/>
        </w:r>
      </w:hyperlink>
    </w:p>
    <w:p w14:paraId="13C503A3" w14:textId="477A003A" w:rsidR="00566668" w:rsidRDefault="00566668">
      <w:pPr>
        <w:pStyle w:val="TableofFigures"/>
        <w:tabs>
          <w:tab w:val="right" w:leader="dot" w:pos="9628"/>
        </w:tabs>
        <w:rPr>
          <w:rFonts w:eastAsiaTheme="minorEastAsia"/>
          <w:noProof/>
          <w:kern w:val="2"/>
          <w:lang w:val="en-US"/>
          <w14:ligatures w14:val="standardContextual"/>
        </w:rPr>
      </w:pPr>
      <w:hyperlink w:anchor="_Toc153901418" w:history="1">
        <w:r w:rsidRPr="00756278">
          <w:rPr>
            <w:rStyle w:val="Hyperlink"/>
            <w:noProof/>
          </w:rPr>
          <w:t>Слика 5.6: Емисије GHG из пољопривреде (неенергетске), отпад и LULUCF</w:t>
        </w:r>
        <w:r>
          <w:rPr>
            <w:noProof/>
            <w:webHidden/>
          </w:rPr>
          <w:tab/>
        </w:r>
        <w:r>
          <w:rPr>
            <w:noProof/>
            <w:webHidden/>
          </w:rPr>
          <w:fldChar w:fldCharType="begin"/>
        </w:r>
        <w:r>
          <w:rPr>
            <w:noProof/>
            <w:webHidden/>
          </w:rPr>
          <w:instrText xml:space="preserve"> PAGEREF _Toc153901418 \h </w:instrText>
        </w:r>
        <w:r>
          <w:rPr>
            <w:noProof/>
            <w:webHidden/>
          </w:rPr>
        </w:r>
        <w:r>
          <w:rPr>
            <w:noProof/>
            <w:webHidden/>
          </w:rPr>
          <w:fldChar w:fldCharType="separate"/>
        </w:r>
        <w:r w:rsidR="00565B02">
          <w:rPr>
            <w:noProof/>
            <w:webHidden/>
          </w:rPr>
          <w:t>270</w:t>
        </w:r>
        <w:r>
          <w:rPr>
            <w:noProof/>
            <w:webHidden/>
          </w:rPr>
          <w:fldChar w:fldCharType="end"/>
        </w:r>
      </w:hyperlink>
    </w:p>
    <w:p w14:paraId="08292FD4" w14:textId="135C9A8F" w:rsidR="00566668" w:rsidRDefault="00566668">
      <w:pPr>
        <w:pStyle w:val="TableofFigures"/>
        <w:tabs>
          <w:tab w:val="right" w:leader="dot" w:pos="9628"/>
        </w:tabs>
        <w:rPr>
          <w:rFonts w:eastAsiaTheme="minorEastAsia"/>
          <w:noProof/>
          <w:kern w:val="2"/>
          <w:lang w:val="en-US"/>
          <w14:ligatures w14:val="standardContextual"/>
        </w:rPr>
      </w:pPr>
      <w:hyperlink w:anchor="_Toc153901419" w:history="1">
        <w:r w:rsidRPr="00756278">
          <w:rPr>
            <w:rStyle w:val="Hyperlink"/>
            <w:noProof/>
          </w:rPr>
          <w:t>Слика 5.7: Удео емисије CO2 по секторима</w:t>
        </w:r>
        <w:r>
          <w:rPr>
            <w:noProof/>
            <w:webHidden/>
          </w:rPr>
          <w:tab/>
        </w:r>
        <w:r>
          <w:rPr>
            <w:noProof/>
            <w:webHidden/>
          </w:rPr>
          <w:fldChar w:fldCharType="begin"/>
        </w:r>
        <w:r>
          <w:rPr>
            <w:noProof/>
            <w:webHidden/>
          </w:rPr>
          <w:instrText xml:space="preserve"> PAGEREF _Toc153901419 \h </w:instrText>
        </w:r>
        <w:r>
          <w:rPr>
            <w:noProof/>
            <w:webHidden/>
          </w:rPr>
        </w:r>
        <w:r>
          <w:rPr>
            <w:noProof/>
            <w:webHidden/>
          </w:rPr>
          <w:fldChar w:fldCharType="separate"/>
        </w:r>
        <w:r w:rsidR="00565B02">
          <w:rPr>
            <w:noProof/>
            <w:webHidden/>
          </w:rPr>
          <w:t>271</w:t>
        </w:r>
        <w:r>
          <w:rPr>
            <w:noProof/>
            <w:webHidden/>
          </w:rPr>
          <w:fldChar w:fldCharType="end"/>
        </w:r>
      </w:hyperlink>
    </w:p>
    <w:p w14:paraId="2F1C808E" w14:textId="77EBD35D" w:rsidR="00566668" w:rsidRDefault="00566668">
      <w:pPr>
        <w:pStyle w:val="TableofFigures"/>
        <w:tabs>
          <w:tab w:val="right" w:leader="dot" w:pos="9628"/>
        </w:tabs>
        <w:rPr>
          <w:rFonts w:eastAsiaTheme="minorEastAsia"/>
          <w:noProof/>
          <w:kern w:val="2"/>
          <w:lang w:val="en-US"/>
          <w14:ligatures w14:val="standardContextual"/>
        </w:rPr>
      </w:pPr>
      <w:hyperlink w:anchor="_Toc153901420" w:history="1">
        <w:r w:rsidRPr="00756278">
          <w:rPr>
            <w:rStyle w:val="Hyperlink"/>
            <w:noProof/>
          </w:rPr>
          <w:t>Слика 5.8: Укупне емисије CH4 по секторима</w:t>
        </w:r>
        <w:r>
          <w:rPr>
            <w:noProof/>
            <w:webHidden/>
          </w:rPr>
          <w:tab/>
        </w:r>
        <w:r>
          <w:rPr>
            <w:noProof/>
            <w:webHidden/>
          </w:rPr>
          <w:fldChar w:fldCharType="begin"/>
        </w:r>
        <w:r>
          <w:rPr>
            <w:noProof/>
            <w:webHidden/>
          </w:rPr>
          <w:instrText xml:space="preserve"> PAGEREF _Toc153901420 \h </w:instrText>
        </w:r>
        <w:r>
          <w:rPr>
            <w:noProof/>
            <w:webHidden/>
          </w:rPr>
        </w:r>
        <w:r>
          <w:rPr>
            <w:noProof/>
            <w:webHidden/>
          </w:rPr>
          <w:fldChar w:fldCharType="separate"/>
        </w:r>
        <w:r w:rsidR="00565B02">
          <w:rPr>
            <w:noProof/>
            <w:webHidden/>
          </w:rPr>
          <w:t>272</w:t>
        </w:r>
        <w:r>
          <w:rPr>
            <w:noProof/>
            <w:webHidden/>
          </w:rPr>
          <w:fldChar w:fldCharType="end"/>
        </w:r>
      </w:hyperlink>
    </w:p>
    <w:p w14:paraId="737C8553" w14:textId="707B7A9E" w:rsidR="00566668" w:rsidRDefault="00566668">
      <w:pPr>
        <w:pStyle w:val="TableofFigures"/>
        <w:tabs>
          <w:tab w:val="right" w:leader="dot" w:pos="9628"/>
        </w:tabs>
        <w:rPr>
          <w:rFonts w:eastAsiaTheme="minorEastAsia"/>
          <w:noProof/>
          <w:kern w:val="2"/>
          <w:lang w:val="en-US"/>
          <w14:ligatures w14:val="standardContextual"/>
        </w:rPr>
      </w:pPr>
      <w:hyperlink w:anchor="_Toc153901421" w:history="1">
        <w:r w:rsidRPr="00756278">
          <w:rPr>
            <w:rStyle w:val="Hyperlink"/>
            <w:noProof/>
          </w:rPr>
          <w:t>Слика 5.9: Укупне емисије N2O по секторима</w:t>
        </w:r>
        <w:r>
          <w:rPr>
            <w:noProof/>
            <w:webHidden/>
          </w:rPr>
          <w:tab/>
        </w:r>
        <w:r>
          <w:rPr>
            <w:noProof/>
            <w:webHidden/>
          </w:rPr>
          <w:fldChar w:fldCharType="begin"/>
        </w:r>
        <w:r>
          <w:rPr>
            <w:noProof/>
            <w:webHidden/>
          </w:rPr>
          <w:instrText xml:space="preserve"> PAGEREF _Toc153901421 \h </w:instrText>
        </w:r>
        <w:r>
          <w:rPr>
            <w:noProof/>
            <w:webHidden/>
          </w:rPr>
        </w:r>
        <w:r>
          <w:rPr>
            <w:noProof/>
            <w:webHidden/>
          </w:rPr>
          <w:fldChar w:fldCharType="separate"/>
        </w:r>
        <w:r w:rsidR="00565B02">
          <w:rPr>
            <w:noProof/>
            <w:webHidden/>
          </w:rPr>
          <w:t>273</w:t>
        </w:r>
        <w:r>
          <w:rPr>
            <w:noProof/>
            <w:webHidden/>
          </w:rPr>
          <w:fldChar w:fldCharType="end"/>
        </w:r>
      </w:hyperlink>
    </w:p>
    <w:p w14:paraId="0B13B4C5" w14:textId="5D0E9BC9" w:rsidR="00566668" w:rsidRDefault="00566668">
      <w:pPr>
        <w:pStyle w:val="TableofFigures"/>
        <w:tabs>
          <w:tab w:val="right" w:leader="dot" w:pos="9628"/>
        </w:tabs>
        <w:rPr>
          <w:rFonts w:eastAsiaTheme="minorEastAsia"/>
          <w:noProof/>
          <w:kern w:val="2"/>
          <w:lang w:val="en-US"/>
          <w14:ligatures w14:val="standardContextual"/>
        </w:rPr>
      </w:pPr>
      <w:hyperlink w:anchor="_Toc153901422" w:history="1">
        <w:r w:rsidRPr="00756278">
          <w:rPr>
            <w:rStyle w:val="Hyperlink"/>
            <w:noProof/>
          </w:rPr>
          <w:t>Слика 5.10: Удео ОИЕ у бруто финалној потрошњи енергије</w:t>
        </w:r>
        <w:r>
          <w:rPr>
            <w:noProof/>
            <w:webHidden/>
          </w:rPr>
          <w:tab/>
        </w:r>
        <w:r>
          <w:rPr>
            <w:noProof/>
            <w:webHidden/>
          </w:rPr>
          <w:fldChar w:fldCharType="begin"/>
        </w:r>
        <w:r>
          <w:rPr>
            <w:noProof/>
            <w:webHidden/>
          </w:rPr>
          <w:instrText xml:space="preserve"> PAGEREF _Toc153901422 \h </w:instrText>
        </w:r>
        <w:r>
          <w:rPr>
            <w:noProof/>
            <w:webHidden/>
          </w:rPr>
        </w:r>
        <w:r>
          <w:rPr>
            <w:noProof/>
            <w:webHidden/>
          </w:rPr>
          <w:fldChar w:fldCharType="separate"/>
        </w:r>
        <w:r w:rsidR="00565B02">
          <w:rPr>
            <w:noProof/>
            <w:webHidden/>
          </w:rPr>
          <w:t>274</w:t>
        </w:r>
        <w:r>
          <w:rPr>
            <w:noProof/>
            <w:webHidden/>
          </w:rPr>
          <w:fldChar w:fldCharType="end"/>
        </w:r>
      </w:hyperlink>
    </w:p>
    <w:p w14:paraId="0E0AA789" w14:textId="7A9F20E2" w:rsidR="00566668" w:rsidRPr="00566668" w:rsidRDefault="00566668">
      <w:pPr>
        <w:pStyle w:val="TableofFigures"/>
        <w:tabs>
          <w:tab w:val="right" w:leader="dot" w:pos="9628"/>
        </w:tabs>
        <w:rPr>
          <w:rFonts w:eastAsiaTheme="minorEastAsia"/>
          <w:noProof/>
          <w:kern w:val="2"/>
          <w:lang w:val="en-US"/>
          <w14:ligatures w14:val="standardContextual"/>
        </w:rPr>
      </w:pPr>
      <w:hyperlink w:anchor="_Toc153901423" w:history="1">
        <w:r w:rsidRPr="00565B02">
          <w:rPr>
            <w:rStyle w:val="Hyperlink"/>
            <w:rFonts w:ascii="Calibri Light" w:hAnsi="Calibri Light" w:cs="Times New Roman"/>
            <w:noProof/>
          </w:rPr>
          <w:t>Слика 5.11: Удео ОИЕ у производњи електричне енергије</w:t>
        </w:r>
        <w:r w:rsidRPr="00566668">
          <w:rPr>
            <w:noProof/>
            <w:webHidden/>
          </w:rPr>
          <w:tab/>
        </w:r>
        <w:r w:rsidRPr="00566668">
          <w:rPr>
            <w:noProof/>
            <w:webHidden/>
          </w:rPr>
          <w:fldChar w:fldCharType="begin"/>
        </w:r>
        <w:r w:rsidRPr="00566668">
          <w:rPr>
            <w:noProof/>
            <w:webHidden/>
          </w:rPr>
          <w:instrText xml:space="preserve"> PAGEREF _Toc153901423 \h </w:instrText>
        </w:r>
        <w:r w:rsidRPr="00566668">
          <w:rPr>
            <w:noProof/>
            <w:webHidden/>
          </w:rPr>
        </w:r>
        <w:r w:rsidRPr="00566668">
          <w:rPr>
            <w:noProof/>
            <w:webHidden/>
          </w:rPr>
          <w:fldChar w:fldCharType="separate"/>
        </w:r>
        <w:r w:rsidR="00565B02">
          <w:rPr>
            <w:noProof/>
            <w:webHidden/>
          </w:rPr>
          <w:t>274</w:t>
        </w:r>
        <w:r w:rsidRPr="00566668">
          <w:rPr>
            <w:noProof/>
            <w:webHidden/>
          </w:rPr>
          <w:fldChar w:fldCharType="end"/>
        </w:r>
      </w:hyperlink>
    </w:p>
    <w:p w14:paraId="49C9EE90" w14:textId="78739225" w:rsidR="00566668" w:rsidRPr="00566668" w:rsidRDefault="00566668">
      <w:pPr>
        <w:pStyle w:val="TableofFigures"/>
        <w:tabs>
          <w:tab w:val="right" w:leader="dot" w:pos="9628"/>
        </w:tabs>
        <w:rPr>
          <w:rFonts w:eastAsiaTheme="minorEastAsia"/>
          <w:noProof/>
          <w:kern w:val="2"/>
          <w:lang w:val="en-US"/>
          <w14:ligatures w14:val="standardContextual"/>
        </w:rPr>
      </w:pPr>
      <w:hyperlink w:anchor="_Toc153901424" w:history="1">
        <w:r w:rsidRPr="00565B02">
          <w:rPr>
            <w:rStyle w:val="Hyperlink"/>
            <w:rFonts w:ascii="Calibri Light" w:hAnsi="Calibri Light" w:cs="Times New Roman"/>
            <w:noProof/>
          </w:rPr>
          <w:t>Слика 5.12: Удео ОИЕ у сектору саобраћаја (без мултипликатора)</w:t>
        </w:r>
        <w:r w:rsidRPr="00566668">
          <w:rPr>
            <w:noProof/>
            <w:webHidden/>
          </w:rPr>
          <w:tab/>
        </w:r>
        <w:r w:rsidRPr="00566668">
          <w:rPr>
            <w:noProof/>
            <w:webHidden/>
          </w:rPr>
          <w:fldChar w:fldCharType="begin"/>
        </w:r>
        <w:r w:rsidRPr="00566668">
          <w:rPr>
            <w:noProof/>
            <w:webHidden/>
          </w:rPr>
          <w:instrText xml:space="preserve"> PAGEREF _Toc153901424 \h </w:instrText>
        </w:r>
        <w:r w:rsidRPr="00566668">
          <w:rPr>
            <w:noProof/>
            <w:webHidden/>
          </w:rPr>
        </w:r>
        <w:r w:rsidRPr="00566668">
          <w:rPr>
            <w:noProof/>
            <w:webHidden/>
          </w:rPr>
          <w:fldChar w:fldCharType="separate"/>
        </w:r>
        <w:r w:rsidR="00565B02">
          <w:rPr>
            <w:noProof/>
            <w:webHidden/>
          </w:rPr>
          <w:t>275</w:t>
        </w:r>
        <w:r w:rsidRPr="00566668">
          <w:rPr>
            <w:noProof/>
            <w:webHidden/>
          </w:rPr>
          <w:fldChar w:fldCharType="end"/>
        </w:r>
      </w:hyperlink>
    </w:p>
    <w:p w14:paraId="62D1E234" w14:textId="0DD3F50B" w:rsidR="00566668" w:rsidRPr="00566668" w:rsidRDefault="00566668">
      <w:pPr>
        <w:pStyle w:val="TableofFigures"/>
        <w:tabs>
          <w:tab w:val="right" w:leader="dot" w:pos="9628"/>
        </w:tabs>
        <w:rPr>
          <w:rFonts w:eastAsiaTheme="minorEastAsia"/>
          <w:noProof/>
          <w:kern w:val="2"/>
          <w:lang w:val="en-US"/>
          <w14:ligatures w14:val="standardContextual"/>
        </w:rPr>
      </w:pPr>
      <w:hyperlink w:anchor="_Toc153901425" w:history="1">
        <w:r w:rsidRPr="00565B02">
          <w:rPr>
            <w:rStyle w:val="Hyperlink"/>
            <w:rFonts w:ascii="Calibri Light" w:hAnsi="Calibri Light" w:cs="Times New Roman"/>
            <w:noProof/>
          </w:rPr>
          <w:t>Слика 5.13: Удео ОИЕ у грејању</w:t>
        </w:r>
        <w:r w:rsidRPr="00566668">
          <w:rPr>
            <w:noProof/>
            <w:webHidden/>
          </w:rPr>
          <w:tab/>
        </w:r>
        <w:r w:rsidRPr="00566668">
          <w:rPr>
            <w:noProof/>
            <w:webHidden/>
          </w:rPr>
          <w:fldChar w:fldCharType="begin"/>
        </w:r>
        <w:r w:rsidRPr="00566668">
          <w:rPr>
            <w:noProof/>
            <w:webHidden/>
          </w:rPr>
          <w:instrText xml:space="preserve"> PAGEREF _Toc153901425 \h </w:instrText>
        </w:r>
        <w:r w:rsidRPr="00566668">
          <w:rPr>
            <w:noProof/>
            <w:webHidden/>
          </w:rPr>
        </w:r>
        <w:r w:rsidRPr="00566668">
          <w:rPr>
            <w:noProof/>
            <w:webHidden/>
          </w:rPr>
          <w:fldChar w:fldCharType="separate"/>
        </w:r>
        <w:r w:rsidR="00565B02">
          <w:rPr>
            <w:noProof/>
            <w:webHidden/>
          </w:rPr>
          <w:t>275</w:t>
        </w:r>
        <w:r w:rsidRPr="00566668">
          <w:rPr>
            <w:noProof/>
            <w:webHidden/>
          </w:rPr>
          <w:fldChar w:fldCharType="end"/>
        </w:r>
      </w:hyperlink>
    </w:p>
    <w:p w14:paraId="28DFC134" w14:textId="2785066B" w:rsidR="00566668" w:rsidRDefault="00566668">
      <w:pPr>
        <w:pStyle w:val="TableofFigures"/>
        <w:tabs>
          <w:tab w:val="right" w:leader="dot" w:pos="9628"/>
        </w:tabs>
        <w:rPr>
          <w:rFonts w:eastAsiaTheme="minorEastAsia"/>
          <w:noProof/>
          <w:kern w:val="2"/>
          <w:lang w:val="en-US"/>
          <w14:ligatures w14:val="standardContextual"/>
        </w:rPr>
      </w:pPr>
      <w:hyperlink w:anchor="_Toc153901426" w:history="1">
        <w:r w:rsidRPr="00756278">
          <w:rPr>
            <w:rStyle w:val="Hyperlink"/>
            <w:noProof/>
          </w:rPr>
          <w:t>Слика 5.14: Инсталисани капацитет ОИЕ по технологији</w:t>
        </w:r>
        <w:r>
          <w:rPr>
            <w:noProof/>
            <w:webHidden/>
          </w:rPr>
          <w:tab/>
        </w:r>
        <w:r>
          <w:rPr>
            <w:noProof/>
            <w:webHidden/>
          </w:rPr>
          <w:fldChar w:fldCharType="begin"/>
        </w:r>
        <w:r>
          <w:rPr>
            <w:noProof/>
            <w:webHidden/>
          </w:rPr>
          <w:instrText xml:space="preserve"> PAGEREF _Toc153901426 \h </w:instrText>
        </w:r>
        <w:r>
          <w:rPr>
            <w:noProof/>
            <w:webHidden/>
          </w:rPr>
        </w:r>
        <w:r>
          <w:rPr>
            <w:noProof/>
            <w:webHidden/>
          </w:rPr>
          <w:fldChar w:fldCharType="separate"/>
        </w:r>
        <w:r w:rsidR="00565B02">
          <w:rPr>
            <w:noProof/>
            <w:webHidden/>
          </w:rPr>
          <w:t>276</w:t>
        </w:r>
        <w:r>
          <w:rPr>
            <w:noProof/>
            <w:webHidden/>
          </w:rPr>
          <w:fldChar w:fldCharType="end"/>
        </w:r>
      </w:hyperlink>
    </w:p>
    <w:p w14:paraId="2B03B957" w14:textId="221AFCB9" w:rsidR="00566668" w:rsidRDefault="00566668">
      <w:pPr>
        <w:pStyle w:val="TableofFigures"/>
        <w:tabs>
          <w:tab w:val="right" w:leader="dot" w:pos="9628"/>
        </w:tabs>
        <w:rPr>
          <w:rFonts w:eastAsiaTheme="minorEastAsia"/>
          <w:noProof/>
          <w:kern w:val="2"/>
          <w:lang w:val="en-US"/>
          <w14:ligatures w14:val="standardContextual"/>
        </w:rPr>
      </w:pPr>
      <w:hyperlink w:anchor="_Toc153901427" w:history="1">
        <w:r w:rsidRPr="00756278">
          <w:rPr>
            <w:rStyle w:val="Hyperlink"/>
            <w:noProof/>
          </w:rPr>
          <w:t>Слика 5.15: Производња електричне енергије по извору у Сценарију S</w:t>
        </w:r>
        <w:r>
          <w:rPr>
            <w:noProof/>
            <w:webHidden/>
          </w:rPr>
          <w:tab/>
        </w:r>
        <w:r>
          <w:rPr>
            <w:noProof/>
            <w:webHidden/>
          </w:rPr>
          <w:fldChar w:fldCharType="begin"/>
        </w:r>
        <w:r>
          <w:rPr>
            <w:noProof/>
            <w:webHidden/>
          </w:rPr>
          <w:instrText xml:space="preserve"> PAGEREF _Toc153901427 \h </w:instrText>
        </w:r>
        <w:r>
          <w:rPr>
            <w:noProof/>
            <w:webHidden/>
          </w:rPr>
        </w:r>
        <w:r>
          <w:rPr>
            <w:noProof/>
            <w:webHidden/>
          </w:rPr>
          <w:fldChar w:fldCharType="separate"/>
        </w:r>
        <w:r w:rsidR="00565B02">
          <w:rPr>
            <w:noProof/>
            <w:webHidden/>
          </w:rPr>
          <w:t>278</w:t>
        </w:r>
        <w:r>
          <w:rPr>
            <w:noProof/>
            <w:webHidden/>
          </w:rPr>
          <w:fldChar w:fldCharType="end"/>
        </w:r>
      </w:hyperlink>
    </w:p>
    <w:p w14:paraId="48EA0317" w14:textId="25C18B7E" w:rsidR="00566668" w:rsidRDefault="00566668">
      <w:pPr>
        <w:pStyle w:val="TableofFigures"/>
        <w:tabs>
          <w:tab w:val="right" w:leader="dot" w:pos="9628"/>
        </w:tabs>
        <w:rPr>
          <w:rFonts w:eastAsiaTheme="minorEastAsia"/>
          <w:noProof/>
          <w:kern w:val="2"/>
          <w:lang w:val="en-US"/>
          <w14:ligatures w14:val="standardContextual"/>
        </w:rPr>
      </w:pPr>
      <w:hyperlink w:anchor="_Toc153901428" w:history="1">
        <w:r w:rsidRPr="00756278">
          <w:rPr>
            <w:rStyle w:val="Hyperlink"/>
            <w:noProof/>
          </w:rPr>
          <w:t>Слика 5.16: Потрошња електричне енергије из ОИЕ у саобраћају</w:t>
        </w:r>
        <w:r>
          <w:rPr>
            <w:noProof/>
            <w:webHidden/>
          </w:rPr>
          <w:tab/>
        </w:r>
        <w:r>
          <w:rPr>
            <w:noProof/>
            <w:webHidden/>
          </w:rPr>
          <w:fldChar w:fldCharType="begin"/>
        </w:r>
        <w:r>
          <w:rPr>
            <w:noProof/>
            <w:webHidden/>
          </w:rPr>
          <w:instrText xml:space="preserve"> PAGEREF _Toc153901428 \h </w:instrText>
        </w:r>
        <w:r>
          <w:rPr>
            <w:noProof/>
            <w:webHidden/>
          </w:rPr>
        </w:r>
        <w:r>
          <w:rPr>
            <w:noProof/>
            <w:webHidden/>
          </w:rPr>
          <w:fldChar w:fldCharType="separate"/>
        </w:r>
        <w:r w:rsidR="00565B02">
          <w:rPr>
            <w:noProof/>
            <w:webHidden/>
          </w:rPr>
          <w:t>279</w:t>
        </w:r>
        <w:r>
          <w:rPr>
            <w:noProof/>
            <w:webHidden/>
          </w:rPr>
          <w:fldChar w:fldCharType="end"/>
        </w:r>
      </w:hyperlink>
    </w:p>
    <w:p w14:paraId="548563F1" w14:textId="321C6843" w:rsidR="00566668" w:rsidRDefault="00566668">
      <w:pPr>
        <w:pStyle w:val="TableofFigures"/>
        <w:tabs>
          <w:tab w:val="right" w:leader="dot" w:pos="9628"/>
        </w:tabs>
        <w:rPr>
          <w:rFonts w:eastAsiaTheme="minorEastAsia"/>
          <w:noProof/>
          <w:kern w:val="2"/>
          <w:lang w:val="en-US"/>
          <w14:ligatures w14:val="standardContextual"/>
        </w:rPr>
      </w:pPr>
      <w:hyperlink w:anchor="_Toc153901429" w:history="1">
        <w:r w:rsidRPr="00756278">
          <w:rPr>
            <w:rStyle w:val="Hyperlink"/>
            <w:noProof/>
          </w:rPr>
          <w:t>Слика 5.17: Инсталисани капацитет по технологији у сектору даљинског грејања</w:t>
        </w:r>
        <w:r>
          <w:rPr>
            <w:noProof/>
            <w:webHidden/>
          </w:rPr>
          <w:tab/>
        </w:r>
        <w:r>
          <w:rPr>
            <w:noProof/>
            <w:webHidden/>
          </w:rPr>
          <w:fldChar w:fldCharType="begin"/>
        </w:r>
        <w:r>
          <w:rPr>
            <w:noProof/>
            <w:webHidden/>
          </w:rPr>
          <w:instrText xml:space="preserve"> PAGEREF _Toc153901429 \h </w:instrText>
        </w:r>
        <w:r>
          <w:rPr>
            <w:noProof/>
            <w:webHidden/>
          </w:rPr>
        </w:r>
        <w:r>
          <w:rPr>
            <w:noProof/>
            <w:webHidden/>
          </w:rPr>
          <w:fldChar w:fldCharType="separate"/>
        </w:r>
        <w:r w:rsidR="00565B02">
          <w:rPr>
            <w:noProof/>
            <w:webHidden/>
          </w:rPr>
          <w:t>280</w:t>
        </w:r>
        <w:r>
          <w:rPr>
            <w:noProof/>
            <w:webHidden/>
          </w:rPr>
          <w:fldChar w:fldCharType="end"/>
        </w:r>
      </w:hyperlink>
    </w:p>
    <w:p w14:paraId="1C58058C" w14:textId="1AD11571" w:rsidR="00566668" w:rsidRDefault="00566668">
      <w:pPr>
        <w:pStyle w:val="TableofFigures"/>
        <w:tabs>
          <w:tab w:val="right" w:leader="dot" w:pos="9628"/>
        </w:tabs>
        <w:rPr>
          <w:rFonts w:eastAsiaTheme="minorEastAsia"/>
          <w:noProof/>
          <w:kern w:val="2"/>
          <w:lang w:val="en-US"/>
          <w14:ligatures w14:val="standardContextual"/>
        </w:rPr>
      </w:pPr>
      <w:hyperlink w:anchor="_Toc153901430" w:history="1">
        <w:r w:rsidRPr="00756278">
          <w:rPr>
            <w:rStyle w:val="Hyperlink"/>
            <w:noProof/>
          </w:rPr>
          <w:t>Слика 5.18: Потрошња примарне енергије</w:t>
        </w:r>
        <w:r>
          <w:rPr>
            <w:noProof/>
            <w:webHidden/>
          </w:rPr>
          <w:tab/>
        </w:r>
        <w:r>
          <w:rPr>
            <w:noProof/>
            <w:webHidden/>
          </w:rPr>
          <w:fldChar w:fldCharType="begin"/>
        </w:r>
        <w:r>
          <w:rPr>
            <w:noProof/>
            <w:webHidden/>
          </w:rPr>
          <w:instrText xml:space="preserve"> PAGEREF _Toc153901430 \h </w:instrText>
        </w:r>
        <w:r>
          <w:rPr>
            <w:noProof/>
            <w:webHidden/>
          </w:rPr>
        </w:r>
        <w:r>
          <w:rPr>
            <w:noProof/>
            <w:webHidden/>
          </w:rPr>
          <w:fldChar w:fldCharType="separate"/>
        </w:r>
        <w:r w:rsidR="00565B02">
          <w:rPr>
            <w:noProof/>
            <w:webHidden/>
          </w:rPr>
          <w:t>281</w:t>
        </w:r>
        <w:r>
          <w:rPr>
            <w:noProof/>
            <w:webHidden/>
          </w:rPr>
          <w:fldChar w:fldCharType="end"/>
        </w:r>
      </w:hyperlink>
    </w:p>
    <w:p w14:paraId="77D97C09" w14:textId="2C17007C" w:rsidR="00566668" w:rsidRDefault="00566668">
      <w:pPr>
        <w:pStyle w:val="TableofFigures"/>
        <w:tabs>
          <w:tab w:val="right" w:leader="dot" w:pos="9628"/>
        </w:tabs>
        <w:rPr>
          <w:rFonts w:eastAsiaTheme="minorEastAsia"/>
          <w:noProof/>
          <w:kern w:val="2"/>
          <w:lang w:val="en-US"/>
          <w14:ligatures w14:val="standardContextual"/>
        </w:rPr>
      </w:pPr>
      <w:hyperlink w:anchor="_Toc153901431" w:history="1">
        <w:r w:rsidRPr="00756278">
          <w:rPr>
            <w:rStyle w:val="Hyperlink"/>
            <w:noProof/>
          </w:rPr>
          <w:t>Слика 5.19: Финална потрошња енергије</w:t>
        </w:r>
        <w:r>
          <w:rPr>
            <w:noProof/>
            <w:webHidden/>
          </w:rPr>
          <w:tab/>
        </w:r>
        <w:r>
          <w:rPr>
            <w:noProof/>
            <w:webHidden/>
          </w:rPr>
          <w:fldChar w:fldCharType="begin"/>
        </w:r>
        <w:r>
          <w:rPr>
            <w:noProof/>
            <w:webHidden/>
          </w:rPr>
          <w:instrText xml:space="preserve"> PAGEREF _Toc153901431 \h </w:instrText>
        </w:r>
        <w:r>
          <w:rPr>
            <w:noProof/>
            <w:webHidden/>
          </w:rPr>
        </w:r>
        <w:r>
          <w:rPr>
            <w:noProof/>
            <w:webHidden/>
          </w:rPr>
          <w:fldChar w:fldCharType="separate"/>
        </w:r>
        <w:r w:rsidR="00565B02">
          <w:rPr>
            <w:noProof/>
            <w:webHidden/>
          </w:rPr>
          <w:t>281</w:t>
        </w:r>
        <w:r>
          <w:rPr>
            <w:noProof/>
            <w:webHidden/>
          </w:rPr>
          <w:fldChar w:fldCharType="end"/>
        </w:r>
      </w:hyperlink>
    </w:p>
    <w:p w14:paraId="6D785D9A" w14:textId="0011BB8D" w:rsidR="00566668" w:rsidRDefault="00566668">
      <w:pPr>
        <w:pStyle w:val="TableofFigures"/>
        <w:tabs>
          <w:tab w:val="right" w:leader="dot" w:pos="9628"/>
        </w:tabs>
        <w:rPr>
          <w:rFonts w:eastAsiaTheme="minorEastAsia"/>
          <w:noProof/>
          <w:kern w:val="2"/>
          <w:lang w:val="en-US"/>
          <w14:ligatures w14:val="standardContextual"/>
        </w:rPr>
      </w:pPr>
      <w:hyperlink w:anchor="_Toc153901432" w:history="1">
        <w:r w:rsidRPr="00756278">
          <w:rPr>
            <w:rStyle w:val="Hyperlink"/>
            <w:noProof/>
          </w:rPr>
          <w:t>Слика 5.20: Финална потрошња енергије (ФПЕ) у индустрији по извору енергије</w:t>
        </w:r>
        <w:r>
          <w:rPr>
            <w:noProof/>
            <w:webHidden/>
          </w:rPr>
          <w:tab/>
        </w:r>
        <w:r>
          <w:rPr>
            <w:noProof/>
            <w:webHidden/>
          </w:rPr>
          <w:fldChar w:fldCharType="begin"/>
        </w:r>
        <w:r>
          <w:rPr>
            <w:noProof/>
            <w:webHidden/>
          </w:rPr>
          <w:instrText xml:space="preserve"> PAGEREF _Toc153901432 \h </w:instrText>
        </w:r>
        <w:r>
          <w:rPr>
            <w:noProof/>
            <w:webHidden/>
          </w:rPr>
        </w:r>
        <w:r>
          <w:rPr>
            <w:noProof/>
            <w:webHidden/>
          </w:rPr>
          <w:fldChar w:fldCharType="separate"/>
        </w:r>
        <w:r w:rsidR="00565B02">
          <w:rPr>
            <w:noProof/>
            <w:webHidden/>
          </w:rPr>
          <w:t>282</w:t>
        </w:r>
        <w:r>
          <w:rPr>
            <w:noProof/>
            <w:webHidden/>
          </w:rPr>
          <w:fldChar w:fldCharType="end"/>
        </w:r>
      </w:hyperlink>
    </w:p>
    <w:p w14:paraId="3DABD25C" w14:textId="357F49A3" w:rsidR="00566668" w:rsidRDefault="00566668">
      <w:pPr>
        <w:pStyle w:val="TableofFigures"/>
        <w:tabs>
          <w:tab w:val="right" w:leader="dot" w:pos="9628"/>
        </w:tabs>
        <w:rPr>
          <w:rFonts w:eastAsiaTheme="minorEastAsia"/>
          <w:noProof/>
          <w:kern w:val="2"/>
          <w:lang w:val="en-US"/>
          <w14:ligatures w14:val="standardContextual"/>
        </w:rPr>
      </w:pPr>
      <w:hyperlink w:anchor="_Toc153901433" w:history="1">
        <w:r w:rsidRPr="00756278">
          <w:rPr>
            <w:rStyle w:val="Hyperlink"/>
            <w:noProof/>
          </w:rPr>
          <w:t>Слика 5.21: Финална потрошња енергије (ФПЕ) у стамбеном сектору по извору енергије</w:t>
        </w:r>
        <w:r>
          <w:rPr>
            <w:noProof/>
            <w:webHidden/>
          </w:rPr>
          <w:tab/>
        </w:r>
        <w:r>
          <w:rPr>
            <w:noProof/>
            <w:webHidden/>
          </w:rPr>
          <w:fldChar w:fldCharType="begin"/>
        </w:r>
        <w:r>
          <w:rPr>
            <w:noProof/>
            <w:webHidden/>
          </w:rPr>
          <w:instrText xml:space="preserve"> PAGEREF _Toc153901433 \h </w:instrText>
        </w:r>
        <w:r>
          <w:rPr>
            <w:noProof/>
            <w:webHidden/>
          </w:rPr>
        </w:r>
        <w:r>
          <w:rPr>
            <w:noProof/>
            <w:webHidden/>
          </w:rPr>
          <w:fldChar w:fldCharType="separate"/>
        </w:r>
        <w:r w:rsidR="00565B02">
          <w:rPr>
            <w:noProof/>
            <w:webHidden/>
          </w:rPr>
          <w:t>283</w:t>
        </w:r>
        <w:r>
          <w:rPr>
            <w:noProof/>
            <w:webHidden/>
          </w:rPr>
          <w:fldChar w:fldCharType="end"/>
        </w:r>
      </w:hyperlink>
    </w:p>
    <w:p w14:paraId="03B1DF2E" w14:textId="7E839C13" w:rsidR="00566668" w:rsidRDefault="00566668">
      <w:pPr>
        <w:pStyle w:val="TableofFigures"/>
        <w:tabs>
          <w:tab w:val="right" w:leader="dot" w:pos="9628"/>
        </w:tabs>
        <w:rPr>
          <w:rFonts w:eastAsiaTheme="minorEastAsia"/>
          <w:noProof/>
          <w:kern w:val="2"/>
          <w:lang w:val="en-US"/>
          <w14:ligatures w14:val="standardContextual"/>
        </w:rPr>
      </w:pPr>
      <w:hyperlink w:anchor="_Toc153901434" w:history="1">
        <w:r w:rsidRPr="00756278">
          <w:rPr>
            <w:rStyle w:val="Hyperlink"/>
            <w:noProof/>
          </w:rPr>
          <w:t>Слика 5.22: Финална потрошња енергије у сектору услуга по извору енергије</w:t>
        </w:r>
        <w:r>
          <w:rPr>
            <w:noProof/>
            <w:webHidden/>
          </w:rPr>
          <w:tab/>
        </w:r>
        <w:r>
          <w:rPr>
            <w:noProof/>
            <w:webHidden/>
          </w:rPr>
          <w:fldChar w:fldCharType="begin"/>
        </w:r>
        <w:r>
          <w:rPr>
            <w:noProof/>
            <w:webHidden/>
          </w:rPr>
          <w:instrText xml:space="preserve"> PAGEREF _Toc153901434 \h </w:instrText>
        </w:r>
        <w:r>
          <w:rPr>
            <w:noProof/>
            <w:webHidden/>
          </w:rPr>
        </w:r>
        <w:r>
          <w:rPr>
            <w:noProof/>
            <w:webHidden/>
          </w:rPr>
          <w:fldChar w:fldCharType="separate"/>
        </w:r>
        <w:r w:rsidR="00565B02">
          <w:rPr>
            <w:noProof/>
            <w:webHidden/>
          </w:rPr>
          <w:t>283</w:t>
        </w:r>
        <w:r>
          <w:rPr>
            <w:noProof/>
            <w:webHidden/>
          </w:rPr>
          <w:fldChar w:fldCharType="end"/>
        </w:r>
      </w:hyperlink>
    </w:p>
    <w:p w14:paraId="59CB8D53" w14:textId="196E5A00" w:rsidR="00566668" w:rsidRDefault="00566668">
      <w:pPr>
        <w:pStyle w:val="TableofFigures"/>
        <w:tabs>
          <w:tab w:val="right" w:leader="dot" w:pos="9628"/>
        </w:tabs>
        <w:rPr>
          <w:rFonts w:eastAsiaTheme="minorEastAsia"/>
          <w:noProof/>
          <w:kern w:val="2"/>
          <w:lang w:val="en-US"/>
          <w14:ligatures w14:val="standardContextual"/>
        </w:rPr>
      </w:pPr>
      <w:hyperlink w:anchor="_Toc153901435" w:history="1">
        <w:r w:rsidRPr="00756278">
          <w:rPr>
            <w:rStyle w:val="Hyperlink"/>
            <w:noProof/>
          </w:rPr>
          <w:t>Слика 5.23: Финална потрошња енергије у сектору саобраћаја по типу горива</w:t>
        </w:r>
        <w:r>
          <w:rPr>
            <w:noProof/>
            <w:webHidden/>
          </w:rPr>
          <w:tab/>
        </w:r>
        <w:r>
          <w:rPr>
            <w:noProof/>
            <w:webHidden/>
          </w:rPr>
          <w:fldChar w:fldCharType="begin"/>
        </w:r>
        <w:r>
          <w:rPr>
            <w:noProof/>
            <w:webHidden/>
          </w:rPr>
          <w:instrText xml:space="preserve"> PAGEREF _Toc153901435 \h </w:instrText>
        </w:r>
        <w:r>
          <w:rPr>
            <w:noProof/>
            <w:webHidden/>
          </w:rPr>
        </w:r>
        <w:r>
          <w:rPr>
            <w:noProof/>
            <w:webHidden/>
          </w:rPr>
          <w:fldChar w:fldCharType="separate"/>
        </w:r>
        <w:r w:rsidR="00565B02">
          <w:rPr>
            <w:noProof/>
            <w:webHidden/>
          </w:rPr>
          <w:t>284</w:t>
        </w:r>
        <w:r>
          <w:rPr>
            <w:noProof/>
            <w:webHidden/>
          </w:rPr>
          <w:fldChar w:fldCharType="end"/>
        </w:r>
      </w:hyperlink>
    </w:p>
    <w:p w14:paraId="70F98A08" w14:textId="06ABE9D3" w:rsidR="00566668" w:rsidRDefault="00566668">
      <w:pPr>
        <w:pStyle w:val="TableofFigures"/>
        <w:tabs>
          <w:tab w:val="right" w:leader="dot" w:pos="9628"/>
        </w:tabs>
        <w:rPr>
          <w:rFonts w:eastAsiaTheme="minorEastAsia"/>
          <w:noProof/>
          <w:kern w:val="2"/>
          <w:lang w:val="en-US"/>
          <w14:ligatures w14:val="standardContextual"/>
        </w:rPr>
      </w:pPr>
      <w:hyperlink w:anchor="_Toc153901436" w:history="1">
        <w:r w:rsidRPr="00756278">
          <w:rPr>
            <w:rStyle w:val="Hyperlink"/>
            <w:noProof/>
          </w:rPr>
          <w:t>Слика 5.24: Финална потрошња енергије у сектору пољопривреде по типу горива</w:t>
        </w:r>
        <w:r>
          <w:rPr>
            <w:noProof/>
            <w:webHidden/>
          </w:rPr>
          <w:tab/>
        </w:r>
        <w:r>
          <w:rPr>
            <w:noProof/>
            <w:webHidden/>
          </w:rPr>
          <w:fldChar w:fldCharType="begin"/>
        </w:r>
        <w:r>
          <w:rPr>
            <w:noProof/>
            <w:webHidden/>
          </w:rPr>
          <w:instrText xml:space="preserve"> PAGEREF _Toc153901436 \h </w:instrText>
        </w:r>
        <w:r>
          <w:rPr>
            <w:noProof/>
            <w:webHidden/>
          </w:rPr>
        </w:r>
        <w:r>
          <w:rPr>
            <w:noProof/>
            <w:webHidden/>
          </w:rPr>
          <w:fldChar w:fldCharType="separate"/>
        </w:r>
        <w:r w:rsidR="00565B02">
          <w:rPr>
            <w:noProof/>
            <w:webHidden/>
          </w:rPr>
          <w:t>285</w:t>
        </w:r>
        <w:r>
          <w:rPr>
            <w:noProof/>
            <w:webHidden/>
          </w:rPr>
          <w:fldChar w:fldCharType="end"/>
        </w:r>
      </w:hyperlink>
    </w:p>
    <w:p w14:paraId="30314FCA" w14:textId="438F9B56" w:rsidR="00566668" w:rsidRDefault="00566668">
      <w:pPr>
        <w:pStyle w:val="TableofFigures"/>
        <w:tabs>
          <w:tab w:val="right" w:leader="dot" w:pos="9628"/>
        </w:tabs>
        <w:rPr>
          <w:rFonts w:eastAsiaTheme="minorEastAsia"/>
          <w:noProof/>
          <w:kern w:val="2"/>
          <w:lang w:val="en-US"/>
          <w14:ligatures w14:val="standardContextual"/>
        </w:rPr>
      </w:pPr>
      <w:hyperlink w:anchor="_Toc153901437" w:history="1">
        <w:r w:rsidRPr="00756278">
          <w:rPr>
            <w:rStyle w:val="Hyperlink"/>
            <w:noProof/>
          </w:rPr>
          <w:t xml:space="preserve">Слика 5.25: </w:t>
        </w:r>
        <w:r w:rsidRPr="00756278">
          <w:rPr>
            <w:rStyle w:val="Hyperlink"/>
            <w:iCs/>
            <w:noProof/>
          </w:rPr>
          <w:t>Интензитет финалне енергије</w:t>
        </w:r>
        <w:r>
          <w:rPr>
            <w:noProof/>
            <w:webHidden/>
          </w:rPr>
          <w:tab/>
        </w:r>
        <w:r>
          <w:rPr>
            <w:noProof/>
            <w:webHidden/>
          </w:rPr>
          <w:fldChar w:fldCharType="begin"/>
        </w:r>
        <w:r>
          <w:rPr>
            <w:noProof/>
            <w:webHidden/>
          </w:rPr>
          <w:instrText xml:space="preserve"> PAGEREF _Toc153901437 \h </w:instrText>
        </w:r>
        <w:r>
          <w:rPr>
            <w:noProof/>
            <w:webHidden/>
          </w:rPr>
        </w:r>
        <w:r>
          <w:rPr>
            <w:noProof/>
            <w:webHidden/>
          </w:rPr>
          <w:fldChar w:fldCharType="separate"/>
        </w:r>
        <w:r w:rsidR="00565B02">
          <w:rPr>
            <w:noProof/>
            <w:webHidden/>
          </w:rPr>
          <w:t>286</w:t>
        </w:r>
        <w:r>
          <w:rPr>
            <w:noProof/>
            <w:webHidden/>
          </w:rPr>
          <w:fldChar w:fldCharType="end"/>
        </w:r>
      </w:hyperlink>
    </w:p>
    <w:p w14:paraId="6ECECE06" w14:textId="12A53EA6" w:rsidR="00566668" w:rsidRDefault="00566668">
      <w:pPr>
        <w:pStyle w:val="TableofFigures"/>
        <w:tabs>
          <w:tab w:val="right" w:leader="dot" w:pos="9628"/>
        </w:tabs>
        <w:rPr>
          <w:rFonts w:eastAsiaTheme="minorEastAsia"/>
          <w:noProof/>
          <w:kern w:val="2"/>
          <w:lang w:val="en-US"/>
          <w14:ligatures w14:val="standardContextual"/>
        </w:rPr>
      </w:pPr>
      <w:hyperlink w:anchor="_Toc153901438" w:history="1">
        <w:r w:rsidRPr="00756278">
          <w:rPr>
            <w:rStyle w:val="Hyperlink"/>
            <w:noProof/>
          </w:rPr>
          <w:t>Слика 5.26: Бруто домаћа потрошња према гориву</w:t>
        </w:r>
        <w:r>
          <w:rPr>
            <w:noProof/>
            <w:webHidden/>
          </w:rPr>
          <w:tab/>
        </w:r>
        <w:r>
          <w:rPr>
            <w:noProof/>
            <w:webHidden/>
          </w:rPr>
          <w:fldChar w:fldCharType="begin"/>
        </w:r>
        <w:r>
          <w:rPr>
            <w:noProof/>
            <w:webHidden/>
          </w:rPr>
          <w:instrText xml:space="preserve"> PAGEREF _Toc153901438 \h </w:instrText>
        </w:r>
        <w:r>
          <w:rPr>
            <w:noProof/>
            <w:webHidden/>
          </w:rPr>
        </w:r>
        <w:r>
          <w:rPr>
            <w:noProof/>
            <w:webHidden/>
          </w:rPr>
          <w:fldChar w:fldCharType="separate"/>
        </w:r>
        <w:r w:rsidR="00565B02">
          <w:rPr>
            <w:noProof/>
            <w:webHidden/>
          </w:rPr>
          <w:t>287</w:t>
        </w:r>
        <w:r>
          <w:rPr>
            <w:noProof/>
            <w:webHidden/>
          </w:rPr>
          <w:fldChar w:fldCharType="end"/>
        </w:r>
      </w:hyperlink>
    </w:p>
    <w:p w14:paraId="0EC2ADA0" w14:textId="1FBAAFA0" w:rsidR="00566668" w:rsidRDefault="00566668">
      <w:pPr>
        <w:pStyle w:val="TableofFigures"/>
        <w:tabs>
          <w:tab w:val="right" w:leader="dot" w:pos="9628"/>
        </w:tabs>
        <w:rPr>
          <w:rFonts w:eastAsiaTheme="minorEastAsia"/>
          <w:noProof/>
          <w:kern w:val="2"/>
          <w:lang w:val="en-US"/>
          <w14:ligatures w14:val="standardContextual"/>
        </w:rPr>
      </w:pPr>
      <w:hyperlink w:anchor="_Toc153901439" w:history="1">
        <w:r w:rsidRPr="00756278">
          <w:rPr>
            <w:rStyle w:val="Hyperlink"/>
            <w:noProof/>
          </w:rPr>
          <w:t>Слика 5.27: Обнова у стамбеним зградама</w:t>
        </w:r>
        <w:r>
          <w:rPr>
            <w:noProof/>
            <w:webHidden/>
          </w:rPr>
          <w:tab/>
        </w:r>
        <w:r>
          <w:rPr>
            <w:noProof/>
            <w:webHidden/>
          </w:rPr>
          <w:fldChar w:fldCharType="begin"/>
        </w:r>
        <w:r>
          <w:rPr>
            <w:noProof/>
            <w:webHidden/>
          </w:rPr>
          <w:instrText xml:space="preserve"> PAGEREF _Toc153901439 \h </w:instrText>
        </w:r>
        <w:r>
          <w:rPr>
            <w:noProof/>
            <w:webHidden/>
          </w:rPr>
        </w:r>
        <w:r>
          <w:rPr>
            <w:noProof/>
            <w:webHidden/>
          </w:rPr>
          <w:fldChar w:fldCharType="separate"/>
        </w:r>
        <w:r w:rsidR="00565B02">
          <w:rPr>
            <w:noProof/>
            <w:webHidden/>
          </w:rPr>
          <w:t>287</w:t>
        </w:r>
        <w:r>
          <w:rPr>
            <w:noProof/>
            <w:webHidden/>
          </w:rPr>
          <w:fldChar w:fldCharType="end"/>
        </w:r>
      </w:hyperlink>
    </w:p>
    <w:p w14:paraId="5D8B86E6" w14:textId="5A20985C" w:rsidR="00566668" w:rsidRPr="00566668" w:rsidRDefault="00566668">
      <w:pPr>
        <w:pStyle w:val="TableofFigures"/>
        <w:tabs>
          <w:tab w:val="right" w:leader="dot" w:pos="9628"/>
        </w:tabs>
        <w:rPr>
          <w:rFonts w:eastAsiaTheme="minorEastAsia"/>
          <w:noProof/>
          <w:kern w:val="2"/>
          <w:lang w:val="en-US"/>
          <w14:ligatures w14:val="standardContextual"/>
        </w:rPr>
      </w:pPr>
      <w:hyperlink w:anchor="_Toc153901440" w:history="1">
        <w:r w:rsidRPr="00565B02">
          <w:rPr>
            <w:rStyle w:val="Hyperlink"/>
            <w:rFonts w:ascii="Calibri Light" w:hAnsi="Calibri Light" w:cs="Times New Roman"/>
            <w:noProof/>
          </w:rPr>
          <w:t>Слика 5.28: Обнова пословних зграда</w:t>
        </w:r>
        <w:r w:rsidRPr="00566668">
          <w:rPr>
            <w:noProof/>
            <w:webHidden/>
          </w:rPr>
          <w:tab/>
        </w:r>
        <w:r w:rsidRPr="00566668">
          <w:rPr>
            <w:noProof/>
            <w:webHidden/>
          </w:rPr>
          <w:fldChar w:fldCharType="begin"/>
        </w:r>
        <w:r w:rsidRPr="00566668">
          <w:rPr>
            <w:noProof/>
            <w:webHidden/>
          </w:rPr>
          <w:instrText xml:space="preserve"> PAGEREF _Toc153901440 \h </w:instrText>
        </w:r>
        <w:r w:rsidRPr="00566668">
          <w:rPr>
            <w:noProof/>
            <w:webHidden/>
          </w:rPr>
        </w:r>
        <w:r w:rsidRPr="00566668">
          <w:rPr>
            <w:noProof/>
            <w:webHidden/>
          </w:rPr>
          <w:fldChar w:fldCharType="separate"/>
        </w:r>
        <w:r w:rsidR="00565B02">
          <w:rPr>
            <w:noProof/>
            <w:webHidden/>
          </w:rPr>
          <w:t>288</w:t>
        </w:r>
        <w:r w:rsidRPr="00566668">
          <w:rPr>
            <w:noProof/>
            <w:webHidden/>
          </w:rPr>
          <w:fldChar w:fldCharType="end"/>
        </w:r>
      </w:hyperlink>
    </w:p>
    <w:p w14:paraId="4CC31319" w14:textId="685BC945" w:rsidR="00566668" w:rsidRDefault="00566668">
      <w:pPr>
        <w:pStyle w:val="TableofFigures"/>
        <w:tabs>
          <w:tab w:val="right" w:leader="dot" w:pos="9628"/>
        </w:tabs>
        <w:rPr>
          <w:rFonts w:eastAsiaTheme="minorEastAsia"/>
          <w:noProof/>
          <w:kern w:val="2"/>
          <w:lang w:val="en-US"/>
          <w14:ligatures w14:val="standardContextual"/>
        </w:rPr>
      </w:pPr>
      <w:hyperlink w:anchor="_Toc153901441" w:history="1">
        <w:r w:rsidRPr="00756278">
          <w:rPr>
            <w:rStyle w:val="Hyperlink"/>
            <w:noProof/>
          </w:rPr>
          <w:t>Слика 5.29: Јединична потрошња комерцијалних зграда</w:t>
        </w:r>
        <w:r>
          <w:rPr>
            <w:noProof/>
            <w:webHidden/>
          </w:rPr>
          <w:tab/>
        </w:r>
        <w:r>
          <w:rPr>
            <w:noProof/>
            <w:webHidden/>
          </w:rPr>
          <w:fldChar w:fldCharType="begin"/>
        </w:r>
        <w:r>
          <w:rPr>
            <w:noProof/>
            <w:webHidden/>
          </w:rPr>
          <w:instrText xml:space="preserve"> PAGEREF _Toc153901441 \h </w:instrText>
        </w:r>
        <w:r>
          <w:rPr>
            <w:noProof/>
            <w:webHidden/>
          </w:rPr>
        </w:r>
        <w:r>
          <w:rPr>
            <w:noProof/>
            <w:webHidden/>
          </w:rPr>
          <w:fldChar w:fldCharType="separate"/>
        </w:r>
        <w:r w:rsidR="00565B02">
          <w:rPr>
            <w:noProof/>
            <w:webHidden/>
          </w:rPr>
          <w:t>289</w:t>
        </w:r>
        <w:r>
          <w:rPr>
            <w:noProof/>
            <w:webHidden/>
          </w:rPr>
          <w:fldChar w:fldCharType="end"/>
        </w:r>
      </w:hyperlink>
    </w:p>
    <w:p w14:paraId="72C09559" w14:textId="5EF50EE6" w:rsidR="00566668" w:rsidRDefault="00566668">
      <w:pPr>
        <w:pStyle w:val="TableofFigures"/>
        <w:tabs>
          <w:tab w:val="right" w:leader="dot" w:pos="9628"/>
        </w:tabs>
        <w:rPr>
          <w:rFonts w:eastAsiaTheme="minorEastAsia"/>
          <w:noProof/>
          <w:kern w:val="2"/>
          <w:lang w:val="en-US"/>
          <w14:ligatures w14:val="standardContextual"/>
        </w:rPr>
      </w:pPr>
      <w:hyperlink w:anchor="_Toc153901442" w:history="1">
        <w:r w:rsidRPr="00756278">
          <w:rPr>
            <w:rStyle w:val="Hyperlink"/>
            <w:noProof/>
          </w:rPr>
          <w:t>Слика 5.30: Јединична потрошња стамбених зграда</w:t>
        </w:r>
        <w:r>
          <w:rPr>
            <w:noProof/>
            <w:webHidden/>
          </w:rPr>
          <w:tab/>
        </w:r>
        <w:r>
          <w:rPr>
            <w:noProof/>
            <w:webHidden/>
          </w:rPr>
          <w:fldChar w:fldCharType="begin"/>
        </w:r>
        <w:r>
          <w:rPr>
            <w:noProof/>
            <w:webHidden/>
          </w:rPr>
          <w:instrText xml:space="preserve"> PAGEREF _Toc153901442 \h </w:instrText>
        </w:r>
        <w:r>
          <w:rPr>
            <w:noProof/>
            <w:webHidden/>
          </w:rPr>
        </w:r>
        <w:r>
          <w:rPr>
            <w:noProof/>
            <w:webHidden/>
          </w:rPr>
          <w:fldChar w:fldCharType="separate"/>
        </w:r>
        <w:r w:rsidR="00565B02">
          <w:rPr>
            <w:noProof/>
            <w:webHidden/>
          </w:rPr>
          <w:t>289</w:t>
        </w:r>
        <w:r>
          <w:rPr>
            <w:noProof/>
            <w:webHidden/>
          </w:rPr>
          <w:fldChar w:fldCharType="end"/>
        </w:r>
      </w:hyperlink>
    </w:p>
    <w:p w14:paraId="612E6D6B" w14:textId="5229CBDB" w:rsidR="00566668" w:rsidRDefault="00566668">
      <w:pPr>
        <w:pStyle w:val="TableofFigures"/>
        <w:tabs>
          <w:tab w:val="right" w:leader="dot" w:pos="9628"/>
        </w:tabs>
        <w:rPr>
          <w:rFonts w:eastAsiaTheme="minorEastAsia"/>
          <w:noProof/>
          <w:kern w:val="2"/>
          <w:lang w:val="en-US"/>
          <w14:ligatures w14:val="standardContextual"/>
        </w:rPr>
      </w:pPr>
      <w:hyperlink w:anchor="_Toc153901443" w:history="1">
        <w:r w:rsidRPr="00756278">
          <w:rPr>
            <w:rStyle w:val="Hyperlink"/>
            <w:noProof/>
          </w:rPr>
          <w:t>Слика 5.31: Годишњи додатно инсталисани капацитет топлотних пумпи по сектору, технологији и сценарију до 2030. године и додатни капацитет за периоде од пет година након 2030. године</w:t>
        </w:r>
        <w:r>
          <w:rPr>
            <w:noProof/>
            <w:webHidden/>
          </w:rPr>
          <w:tab/>
        </w:r>
        <w:r>
          <w:rPr>
            <w:noProof/>
            <w:webHidden/>
          </w:rPr>
          <w:fldChar w:fldCharType="begin"/>
        </w:r>
        <w:r>
          <w:rPr>
            <w:noProof/>
            <w:webHidden/>
          </w:rPr>
          <w:instrText xml:space="preserve"> PAGEREF _Toc153901443 \h </w:instrText>
        </w:r>
        <w:r>
          <w:rPr>
            <w:noProof/>
            <w:webHidden/>
          </w:rPr>
        </w:r>
        <w:r>
          <w:rPr>
            <w:noProof/>
            <w:webHidden/>
          </w:rPr>
          <w:fldChar w:fldCharType="separate"/>
        </w:r>
        <w:r w:rsidR="00565B02">
          <w:rPr>
            <w:noProof/>
            <w:webHidden/>
          </w:rPr>
          <w:t>290</w:t>
        </w:r>
        <w:r>
          <w:rPr>
            <w:noProof/>
            <w:webHidden/>
          </w:rPr>
          <w:fldChar w:fldCharType="end"/>
        </w:r>
      </w:hyperlink>
    </w:p>
    <w:p w14:paraId="4D2885E6" w14:textId="398F8D5D" w:rsidR="00566668" w:rsidRDefault="00566668">
      <w:pPr>
        <w:pStyle w:val="TableofFigures"/>
        <w:tabs>
          <w:tab w:val="right" w:leader="dot" w:pos="9628"/>
        </w:tabs>
        <w:rPr>
          <w:rFonts w:eastAsiaTheme="minorEastAsia"/>
          <w:noProof/>
          <w:kern w:val="2"/>
          <w:lang w:val="en-US"/>
          <w14:ligatures w14:val="standardContextual"/>
        </w:rPr>
      </w:pPr>
      <w:hyperlink w:anchor="_Toc153901444" w:history="1">
        <w:r w:rsidRPr="00756278">
          <w:rPr>
            <w:rStyle w:val="Hyperlink"/>
            <w:noProof/>
          </w:rPr>
          <w:t>Слика 5.32: Годишњи додатно инсталисани капацитет топлотних пумпи по сектору, технологији и сценарију (са разликом у односу на WEM) до 2030. године и додатни капацитет за периоде од пет година након 2030. године</w:t>
        </w:r>
        <w:r>
          <w:rPr>
            <w:noProof/>
            <w:webHidden/>
          </w:rPr>
          <w:tab/>
        </w:r>
        <w:r>
          <w:rPr>
            <w:noProof/>
            <w:webHidden/>
          </w:rPr>
          <w:fldChar w:fldCharType="begin"/>
        </w:r>
        <w:r>
          <w:rPr>
            <w:noProof/>
            <w:webHidden/>
          </w:rPr>
          <w:instrText xml:space="preserve"> PAGEREF _Toc153901444 \h </w:instrText>
        </w:r>
        <w:r>
          <w:rPr>
            <w:noProof/>
            <w:webHidden/>
          </w:rPr>
        </w:r>
        <w:r>
          <w:rPr>
            <w:noProof/>
            <w:webHidden/>
          </w:rPr>
          <w:fldChar w:fldCharType="separate"/>
        </w:r>
        <w:r w:rsidR="00565B02">
          <w:rPr>
            <w:noProof/>
            <w:webHidden/>
          </w:rPr>
          <w:t>290</w:t>
        </w:r>
        <w:r>
          <w:rPr>
            <w:noProof/>
            <w:webHidden/>
          </w:rPr>
          <w:fldChar w:fldCharType="end"/>
        </w:r>
      </w:hyperlink>
    </w:p>
    <w:p w14:paraId="26A5B534" w14:textId="7E77F39E" w:rsidR="00566668" w:rsidRDefault="00566668">
      <w:pPr>
        <w:pStyle w:val="TableofFigures"/>
        <w:tabs>
          <w:tab w:val="right" w:leader="dot" w:pos="9628"/>
        </w:tabs>
        <w:rPr>
          <w:rFonts w:eastAsiaTheme="minorEastAsia"/>
          <w:noProof/>
          <w:kern w:val="2"/>
          <w:lang w:val="en-US"/>
          <w14:ligatures w14:val="standardContextual"/>
        </w:rPr>
      </w:pPr>
      <w:hyperlink w:anchor="_Toc153901445" w:history="1">
        <w:r w:rsidRPr="00756278">
          <w:rPr>
            <w:rStyle w:val="Hyperlink"/>
            <w:noProof/>
          </w:rPr>
          <w:t>Слика 5.33: Број електричних возила</w:t>
        </w:r>
        <w:r>
          <w:rPr>
            <w:noProof/>
            <w:webHidden/>
          </w:rPr>
          <w:tab/>
        </w:r>
        <w:r>
          <w:rPr>
            <w:noProof/>
            <w:webHidden/>
          </w:rPr>
          <w:fldChar w:fldCharType="begin"/>
        </w:r>
        <w:r>
          <w:rPr>
            <w:noProof/>
            <w:webHidden/>
          </w:rPr>
          <w:instrText xml:space="preserve"> PAGEREF _Toc153901445 \h </w:instrText>
        </w:r>
        <w:r>
          <w:rPr>
            <w:noProof/>
            <w:webHidden/>
          </w:rPr>
        </w:r>
        <w:r>
          <w:rPr>
            <w:noProof/>
            <w:webHidden/>
          </w:rPr>
          <w:fldChar w:fldCharType="separate"/>
        </w:r>
        <w:r w:rsidR="00565B02">
          <w:rPr>
            <w:noProof/>
            <w:webHidden/>
          </w:rPr>
          <w:t>291</w:t>
        </w:r>
        <w:r>
          <w:rPr>
            <w:noProof/>
            <w:webHidden/>
          </w:rPr>
          <w:fldChar w:fldCharType="end"/>
        </w:r>
      </w:hyperlink>
    </w:p>
    <w:p w14:paraId="3E254DE7" w14:textId="7666279A" w:rsidR="00566668" w:rsidRDefault="00566668">
      <w:pPr>
        <w:pStyle w:val="TableofFigures"/>
        <w:tabs>
          <w:tab w:val="right" w:leader="dot" w:pos="9628"/>
        </w:tabs>
        <w:rPr>
          <w:rFonts w:eastAsiaTheme="minorEastAsia"/>
          <w:noProof/>
          <w:kern w:val="2"/>
          <w:lang w:val="en-US"/>
          <w14:ligatures w14:val="standardContextual"/>
        </w:rPr>
      </w:pPr>
      <w:hyperlink w:anchor="_Toc153901446" w:history="1">
        <w:r w:rsidRPr="00756278">
          <w:rPr>
            <w:rStyle w:val="Hyperlink"/>
            <w:noProof/>
          </w:rPr>
          <w:t>Слика 5.34: Зависност од увоза енергије</w:t>
        </w:r>
        <w:r>
          <w:rPr>
            <w:noProof/>
            <w:webHidden/>
          </w:rPr>
          <w:tab/>
        </w:r>
        <w:r>
          <w:rPr>
            <w:noProof/>
            <w:webHidden/>
          </w:rPr>
          <w:fldChar w:fldCharType="begin"/>
        </w:r>
        <w:r>
          <w:rPr>
            <w:noProof/>
            <w:webHidden/>
          </w:rPr>
          <w:instrText xml:space="preserve"> PAGEREF _Toc153901446 \h </w:instrText>
        </w:r>
        <w:r>
          <w:rPr>
            <w:noProof/>
            <w:webHidden/>
          </w:rPr>
        </w:r>
        <w:r>
          <w:rPr>
            <w:noProof/>
            <w:webHidden/>
          </w:rPr>
          <w:fldChar w:fldCharType="separate"/>
        </w:r>
        <w:r w:rsidR="00565B02">
          <w:rPr>
            <w:noProof/>
            <w:webHidden/>
          </w:rPr>
          <w:t>292</w:t>
        </w:r>
        <w:r>
          <w:rPr>
            <w:noProof/>
            <w:webHidden/>
          </w:rPr>
          <w:fldChar w:fldCharType="end"/>
        </w:r>
      </w:hyperlink>
    </w:p>
    <w:p w14:paraId="382A71BB" w14:textId="432B336A" w:rsidR="00566668" w:rsidRDefault="00566668">
      <w:pPr>
        <w:pStyle w:val="TableofFigures"/>
        <w:tabs>
          <w:tab w:val="right" w:leader="dot" w:pos="9628"/>
        </w:tabs>
        <w:rPr>
          <w:rFonts w:eastAsiaTheme="minorEastAsia"/>
          <w:noProof/>
          <w:kern w:val="2"/>
          <w:lang w:val="en-US"/>
          <w14:ligatures w14:val="standardContextual"/>
        </w:rPr>
      </w:pPr>
      <w:hyperlink w:anchor="_Toc153901447" w:history="1">
        <w:r w:rsidRPr="00756278">
          <w:rPr>
            <w:rStyle w:val="Hyperlink"/>
            <w:noProof/>
          </w:rPr>
          <w:t>Слика 5.35: Примарна производња</w:t>
        </w:r>
        <w:r>
          <w:rPr>
            <w:noProof/>
            <w:webHidden/>
          </w:rPr>
          <w:tab/>
        </w:r>
        <w:r>
          <w:rPr>
            <w:noProof/>
            <w:webHidden/>
          </w:rPr>
          <w:fldChar w:fldCharType="begin"/>
        </w:r>
        <w:r>
          <w:rPr>
            <w:noProof/>
            <w:webHidden/>
          </w:rPr>
          <w:instrText xml:space="preserve"> PAGEREF _Toc153901447 \h </w:instrText>
        </w:r>
        <w:r>
          <w:rPr>
            <w:noProof/>
            <w:webHidden/>
          </w:rPr>
        </w:r>
        <w:r>
          <w:rPr>
            <w:noProof/>
            <w:webHidden/>
          </w:rPr>
          <w:fldChar w:fldCharType="separate"/>
        </w:r>
        <w:r w:rsidR="00565B02">
          <w:rPr>
            <w:noProof/>
            <w:webHidden/>
          </w:rPr>
          <w:t>293</w:t>
        </w:r>
        <w:r>
          <w:rPr>
            <w:noProof/>
            <w:webHidden/>
          </w:rPr>
          <w:fldChar w:fldCharType="end"/>
        </w:r>
      </w:hyperlink>
    </w:p>
    <w:p w14:paraId="4F59F277" w14:textId="5BC3AC27" w:rsidR="00566668" w:rsidRDefault="00566668">
      <w:pPr>
        <w:pStyle w:val="TableofFigures"/>
        <w:tabs>
          <w:tab w:val="right" w:leader="dot" w:pos="9628"/>
        </w:tabs>
        <w:rPr>
          <w:rFonts w:eastAsiaTheme="minorEastAsia"/>
          <w:noProof/>
          <w:kern w:val="2"/>
          <w:lang w:val="en-US"/>
          <w14:ligatures w14:val="standardContextual"/>
        </w:rPr>
      </w:pPr>
      <w:hyperlink w:anchor="_Toc153901448" w:history="1">
        <w:r w:rsidRPr="00756278">
          <w:rPr>
            <w:rStyle w:val="Hyperlink"/>
            <w:noProof/>
          </w:rPr>
          <w:t>Слика 5.36: Увоз енергије по гориву</w:t>
        </w:r>
        <w:r>
          <w:rPr>
            <w:noProof/>
            <w:webHidden/>
          </w:rPr>
          <w:tab/>
        </w:r>
        <w:r>
          <w:rPr>
            <w:noProof/>
            <w:webHidden/>
          </w:rPr>
          <w:fldChar w:fldCharType="begin"/>
        </w:r>
        <w:r>
          <w:rPr>
            <w:noProof/>
            <w:webHidden/>
          </w:rPr>
          <w:instrText xml:space="preserve"> PAGEREF _Toc153901448 \h </w:instrText>
        </w:r>
        <w:r>
          <w:rPr>
            <w:noProof/>
            <w:webHidden/>
          </w:rPr>
        </w:r>
        <w:r>
          <w:rPr>
            <w:noProof/>
            <w:webHidden/>
          </w:rPr>
          <w:fldChar w:fldCharType="separate"/>
        </w:r>
        <w:r w:rsidR="00565B02">
          <w:rPr>
            <w:noProof/>
            <w:webHidden/>
          </w:rPr>
          <w:t>293</w:t>
        </w:r>
        <w:r>
          <w:rPr>
            <w:noProof/>
            <w:webHidden/>
          </w:rPr>
          <w:fldChar w:fldCharType="end"/>
        </w:r>
      </w:hyperlink>
    </w:p>
    <w:p w14:paraId="48B7AFC6" w14:textId="56947F77" w:rsidR="00566668" w:rsidRDefault="00566668">
      <w:pPr>
        <w:pStyle w:val="TableofFigures"/>
        <w:tabs>
          <w:tab w:val="right" w:leader="dot" w:pos="9628"/>
        </w:tabs>
        <w:rPr>
          <w:rFonts w:eastAsiaTheme="minorEastAsia"/>
          <w:noProof/>
          <w:kern w:val="2"/>
          <w:lang w:val="en-US"/>
          <w14:ligatures w14:val="standardContextual"/>
        </w:rPr>
      </w:pPr>
      <w:hyperlink w:anchor="_Toc153901449" w:history="1">
        <w:r w:rsidRPr="00756278">
          <w:rPr>
            <w:rStyle w:val="Hyperlink"/>
            <w:noProof/>
          </w:rPr>
          <w:t>Слика 5.37: Извоз енергије по гориву</w:t>
        </w:r>
        <w:r>
          <w:rPr>
            <w:noProof/>
            <w:webHidden/>
          </w:rPr>
          <w:tab/>
        </w:r>
        <w:r>
          <w:rPr>
            <w:noProof/>
            <w:webHidden/>
          </w:rPr>
          <w:fldChar w:fldCharType="begin"/>
        </w:r>
        <w:r>
          <w:rPr>
            <w:noProof/>
            <w:webHidden/>
          </w:rPr>
          <w:instrText xml:space="preserve"> PAGEREF _Toc153901449 \h </w:instrText>
        </w:r>
        <w:r>
          <w:rPr>
            <w:noProof/>
            <w:webHidden/>
          </w:rPr>
        </w:r>
        <w:r>
          <w:rPr>
            <w:noProof/>
            <w:webHidden/>
          </w:rPr>
          <w:fldChar w:fldCharType="separate"/>
        </w:r>
        <w:r w:rsidR="00565B02">
          <w:rPr>
            <w:noProof/>
            <w:webHidden/>
          </w:rPr>
          <w:t>294</w:t>
        </w:r>
        <w:r>
          <w:rPr>
            <w:noProof/>
            <w:webHidden/>
          </w:rPr>
          <w:fldChar w:fldCharType="end"/>
        </w:r>
      </w:hyperlink>
    </w:p>
    <w:p w14:paraId="49DF1206" w14:textId="096D3A32" w:rsidR="00566668" w:rsidRDefault="00566668">
      <w:pPr>
        <w:pStyle w:val="TableofFigures"/>
        <w:tabs>
          <w:tab w:val="right" w:leader="dot" w:pos="9628"/>
        </w:tabs>
        <w:rPr>
          <w:rFonts w:eastAsiaTheme="minorEastAsia"/>
          <w:noProof/>
          <w:kern w:val="2"/>
          <w:lang w:val="en-US"/>
          <w14:ligatures w14:val="standardContextual"/>
        </w:rPr>
      </w:pPr>
      <w:hyperlink w:anchor="_Toc153901450" w:history="1">
        <w:r w:rsidRPr="00756278">
          <w:rPr>
            <w:rStyle w:val="Hyperlink"/>
            <w:noProof/>
          </w:rPr>
          <w:t>Слика 5.38: Увоз, извоз и нето увоз</w:t>
        </w:r>
        <w:r>
          <w:rPr>
            <w:noProof/>
            <w:webHidden/>
          </w:rPr>
          <w:tab/>
        </w:r>
        <w:r>
          <w:rPr>
            <w:noProof/>
            <w:webHidden/>
          </w:rPr>
          <w:fldChar w:fldCharType="begin"/>
        </w:r>
        <w:r>
          <w:rPr>
            <w:noProof/>
            <w:webHidden/>
          </w:rPr>
          <w:instrText xml:space="preserve"> PAGEREF _Toc153901450 \h </w:instrText>
        </w:r>
        <w:r>
          <w:rPr>
            <w:noProof/>
            <w:webHidden/>
          </w:rPr>
        </w:r>
        <w:r>
          <w:rPr>
            <w:noProof/>
            <w:webHidden/>
          </w:rPr>
          <w:fldChar w:fldCharType="separate"/>
        </w:r>
        <w:r w:rsidR="00565B02">
          <w:rPr>
            <w:noProof/>
            <w:webHidden/>
          </w:rPr>
          <w:t>295</w:t>
        </w:r>
        <w:r>
          <w:rPr>
            <w:noProof/>
            <w:webHidden/>
          </w:rPr>
          <w:fldChar w:fldCharType="end"/>
        </w:r>
      </w:hyperlink>
    </w:p>
    <w:p w14:paraId="0DC35AE2" w14:textId="5A79C957" w:rsidR="00566668" w:rsidRDefault="00566668">
      <w:pPr>
        <w:pStyle w:val="TableofFigures"/>
        <w:tabs>
          <w:tab w:val="right" w:leader="dot" w:pos="9628"/>
        </w:tabs>
        <w:rPr>
          <w:rFonts w:eastAsiaTheme="minorEastAsia"/>
          <w:noProof/>
          <w:kern w:val="2"/>
          <w:lang w:val="en-US"/>
          <w14:ligatures w14:val="standardContextual"/>
        </w:rPr>
      </w:pPr>
      <w:hyperlink w:anchor="_Toc153901451" w:history="1">
        <w:r w:rsidRPr="00756278">
          <w:rPr>
            <w:rStyle w:val="Hyperlink"/>
            <w:noProof/>
          </w:rPr>
          <w:t>Слика 5.39: Трансформациони улаз у сектору електроенергетике</w:t>
        </w:r>
        <w:r>
          <w:rPr>
            <w:noProof/>
            <w:webHidden/>
          </w:rPr>
          <w:tab/>
        </w:r>
        <w:r>
          <w:rPr>
            <w:noProof/>
            <w:webHidden/>
          </w:rPr>
          <w:fldChar w:fldCharType="begin"/>
        </w:r>
        <w:r>
          <w:rPr>
            <w:noProof/>
            <w:webHidden/>
          </w:rPr>
          <w:instrText xml:space="preserve"> PAGEREF _Toc153901451 \h </w:instrText>
        </w:r>
        <w:r>
          <w:rPr>
            <w:noProof/>
            <w:webHidden/>
          </w:rPr>
        </w:r>
        <w:r>
          <w:rPr>
            <w:noProof/>
            <w:webHidden/>
          </w:rPr>
          <w:fldChar w:fldCharType="separate"/>
        </w:r>
        <w:r w:rsidR="00565B02">
          <w:rPr>
            <w:noProof/>
            <w:webHidden/>
          </w:rPr>
          <w:t>295</w:t>
        </w:r>
        <w:r>
          <w:rPr>
            <w:noProof/>
            <w:webHidden/>
          </w:rPr>
          <w:fldChar w:fldCharType="end"/>
        </w:r>
      </w:hyperlink>
    </w:p>
    <w:p w14:paraId="1A823664" w14:textId="3132798D" w:rsidR="00566668" w:rsidRDefault="00566668">
      <w:pPr>
        <w:pStyle w:val="TableofFigures"/>
        <w:tabs>
          <w:tab w:val="right" w:leader="dot" w:pos="9628"/>
        </w:tabs>
        <w:rPr>
          <w:rFonts w:eastAsiaTheme="minorEastAsia"/>
          <w:noProof/>
          <w:kern w:val="2"/>
          <w:lang w:val="en-US"/>
          <w14:ligatures w14:val="standardContextual"/>
        </w:rPr>
      </w:pPr>
      <w:hyperlink w:anchor="_Toc153901452" w:history="1">
        <w:r w:rsidRPr="00756278">
          <w:rPr>
            <w:rStyle w:val="Hyperlink"/>
            <w:noProof/>
          </w:rPr>
          <w:t>Слика 5.40: Трансформациони излаз у сектору електроенергетике</w:t>
        </w:r>
        <w:r>
          <w:rPr>
            <w:noProof/>
            <w:webHidden/>
          </w:rPr>
          <w:tab/>
        </w:r>
        <w:r>
          <w:rPr>
            <w:noProof/>
            <w:webHidden/>
          </w:rPr>
          <w:fldChar w:fldCharType="begin"/>
        </w:r>
        <w:r>
          <w:rPr>
            <w:noProof/>
            <w:webHidden/>
          </w:rPr>
          <w:instrText xml:space="preserve"> PAGEREF _Toc153901452 \h </w:instrText>
        </w:r>
        <w:r>
          <w:rPr>
            <w:noProof/>
            <w:webHidden/>
          </w:rPr>
        </w:r>
        <w:r>
          <w:rPr>
            <w:noProof/>
            <w:webHidden/>
          </w:rPr>
          <w:fldChar w:fldCharType="separate"/>
        </w:r>
        <w:r w:rsidR="00565B02">
          <w:rPr>
            <w:noProof/>
            <w:webHidden/>
          </w:rPr>
          <w:t>296</w:t>
        </w:r>
        <w:r>
          <w:rPr>
            <w:noProof/>
            <w:webHidden/>
          </w:rPr>
          <w:fldChar w:fldCharType="end"/>
        </w:r>
      </w:hyperlink>
    </w:p>
    <w:p w14:paraId="106D6D34" w14:textId="02E30914" w:rsidR="00566668" w:rsidRDefault="00566668">
      <w:pPr>
        <w:pStyle w:val="TableofFigures"/>
        <w:tabs>
          <w:tab w:val="right" w:leader="dot" w:pos="9628"/>
        </w:tabs>
        <w:rPr>
          <w:rFonts w:eastAsiaTheme="minorEastAsia"/>
          <w:noProof/>
          <w:kern w:val="2"/>
          <w:lang w:val="en-US"/>
          <w14:ligatures w14:val="standardContextual"/>
        </w:rPr>
      </w:pPr>
      <w:hyperlink w:anchor="_Toc153901453" w:history="1">
        <w:r w:rsidRPr="00756278">
          <w:rPr>
            <w:rStyle w:val="Hyperlink"/>
            <w:noProof/>
          </w:rPr>
          <w:t>Слика 5.41: Укупни губици на електроенергетској мрежи</w:t>
        </w:r>
        <w:r>
          <w:rPr>
            <w:noProof/>
            <w:webHidden/>
          </w:rPr>
          <w:tab/>
        </w:r>
        <w:r>
          <w:rPr>
            <w:noProof/>
            <w:webHidden/>
          </w:rPr>
          <w:fldChar w:fldCharType="begin"/>
        </w:r>
        <w:r>
          <w:rPr>
            <w:noProof/>
            <w:webHidden/>
          </w:rPr>
          <w:instrText xml:space="preserve"> PAGEREF _Toc153901453 \h </w:instrText>
        </w:r>
        <w:r>
          <w:rPr>
            <w:noProof/>
            <w:webHidden/>
          </w:rPr>
        </w:r>
        <w:r>
          <w:rPr>
            <w:noProof/>
            <w:webHidden/>
          </w:rPr>
          <w:fldChar w:fldCharType="separate"/>
        </w:r>
        <w:r w:rsidR="00565B02">
          <w:rPr>
            <w:noProof/>
            <w:webHidden/>
          </w:rPr>
          <w:t>297</w:t>
        </w:r>
        <w:r>
          <w:rPr>
            <w:noProof/>
            <w:webHidden/>
          </w:rPr>
          <w:fldChar w:fldCharType="end"/>
        </w:r>
      </w:hyperlink>
    </w:p>
    <w:p w14:paraId="51031352" w14:textId="2F397280" w:rsidR="00566668" w:rsidRDefault="00566668">
      <w:pPr>
        <w:pStyle w:val="TableofFigures"/>
        <w:tabs>
          <w:tab w:val="right" w:leader="dot" w:pos="9628"/>
        </w:tabs>
        <w:rPr>
          <w:rFonts w:eastAsiaTheme="minorEastAsia"/>
          <w:noProof/>
          <w:kern w:val="2"/>
          <w:lang w:val="en-US"/>
          <w14:ligatures w14:val="standardContextual"/>
        </w:rPr>
      </w:pPr>
      <w:hyperlink w:anchor="_Toc153901454" w:history="1">
        <w:r w:rsidRPr="00756278">
          <w:rPr>
            <w:rStyle w:val="Hyperlink"/>
            <w:noProof/>
          </w:rPr>
          <w:t>Слика 5.42: Укупни губици у гасном систему</w:t>
        </w:r>
        <w:r>
          <w:rPr>
            <w:noProof/>
            <w:webHidden/>
          </w:rPr>
          <w:tab/>
        </w:r>
        <w:r>
          <w:rPr>
            <w:noProof/>
            <w:webHidden/>
          </w:rPr>
          <w:fldChar w:fldCharType="begin"/>
        </w:r>
        <w:r>
          <w:rPr>
            <w:noProof/>
            <w:webHidden/>
          </w:rPr>
          <w:instrText xml:space="preserve"> PAGEREF _Toc153901454 \h </w:instrText>
        </w:r>
        <w:r>
          <w:rPr>
            <w:noProof/>
            <w:webHidden/>
          </w:rPr>
        </w:r>
        <w:r>
          <w:rPr>
            <w:noProof/>
            <w:webHidden/>
          </w:rPr>
          <w:fldChar w:fldCharType="separate"/>
        </w:r>
        <w:r w:rsidR="00565B02">
          <w:rPr>
            <w:noProof/>
            <w:webHidden/>
          </w:rPr>
          <w:t>297</w:t>
        </w:r>
        <w:r>
          <w:rPr>
            <w:noProof/>
            <w:webHidden/>
          </w:rPr>
          <w:fldChar w:fldCharType="end"/>
        </w:r>
      </w:hyperlink>
    </w:p>
    <w:p w14:paraId="7E0909CD" w14:textId="50F25958" w:rsidR="00566668" w:rsidRDefault="00566668">
      <w:pPr>
        <w:pStyle w:val="TableofFigures"/>
        <w:tabs>
          <w:tab w:val="right" w:leader="dot" w:pos="9628"/>
        </w:tabs>
        <w:rPr>
          <w:rFonts w:eastAsiaTheme="minorEastAsia"/>
          <w:noProof/>
          <w:kern w:val="2"/>
          <w:lang w:val="en-US"/>
          <w14:ligatures w14:val="standardContextual"/>
        </w:rPr>
      </w:pPr>
      <w:hyperlink w:anchor="_Toc153901455" w:history="1">
        <w:r w:rsidRPr="00756278">
          <w:rPr>
            <w:rStyle w:val="Hyperlink"/>
            <w:noProof/>
          </w:rPr>
          <w:t>Слика 5.43: Утицај спровођења сценарија S и S-N на БДП привреде Србије у периоду 2025-2050. године</w:t>
        </w:r>
        <w:r>
          <w:rPr>
            <w:noProof/>
            <w:webHidden/>
          </w:rPr>
          <w:tab/>
        </w:r>
        <w:r>
          <w:rPr>
            <w:noProof/>
            <w:webHidden/>
          </w:rPr>
          <w:fldChar w:fldCharType="begin"/>
        </w:r>
        <w:r>
          <w:rPr>
            <w:noProof/>
            <w:webHidden/>
          </w:rPr>
          <w:instrText xml:space="preserve"> PAGEREF _Toc153901455 \h </w:instrText>
        </w:r>
        <w:r>
          <w:rPr>
            <w:noProof/>
            <w:webHidden/>
          </w:rPr>
        </w:r>
        <w:r>
          <w:rPr>
            <w:noProof/>
            <w:webHidden/>
          </w:rPr>
          <w:fldChar w:fldCharType="separate"/>
        </w:r>
        <w:r w:rsidR="00565B02">
          <w:rPr>
            <w:noProof/>
            <w:webHidden/>
          </w:rPr>
          <w:t>298</w:t>
        </w:r>
        <w:r>
          <w:rPr>
            <w:noProof/>
            <w:webHidden/>
          </w:rPr>
          <w:fldChar w:fldCharType="end"/>
        </w:r>
      </w:hyperlink>
    </w:p>
    <w:p w14:paraId="3BC9F595" w14:textId="35D73CF2" w:rsidR="00566668" w:rsidRDefault="00566668">
      <w:pPr>
        <w:pStyle w:val="TableofFigures"/>
        <w:tabs>
          <w:tab w:val="right" w:leader="dot" w:pos="9628"/>
        </w:tabs>
        <w:rPr>
          <w:rFonts w:eastAsiaTheme="minorEastAsia"/>
          <w:noProof/>
          <w:kern w:val="2"/>
          <w:lang w:val="en-US"/>
          <w14:ligatures w14:val="standardContextual"/>
        </w:rPr>
      </w:pPr>
      <w:hyperlink w:anchor="_Toc153901456" w:history="1">
        <w:r w:rsidRPr="00756278">
          <w:rPr>
            <w:rStyle w:val="Hyperlink"/>
            <w:noProof/>
          </w:rPr>
          <w:t>Слика 5.44: Утицај спровођења сценарија S и S-N на степен незапослености у привреди Србије у периоду 2025-2050. године</w:t>
        </w:r>
        <w:r>
          <w:rPr>
            <w:noProof/>
            <w:webHidden/>
          </w:rPr>
          <w:tab/>
        </w:r>
        <w:r>
          <w:rPr>
            <w:noProof/>
            <w:webHidden/>
          </w:rPr>
          <w:fldChar w:fldCharType="begin"/>
        </w:r>
        <w:r>
          <w:rPr>
            <w:noProof/>
            <w:webHidden/>
          </w:rPr>
          <w:instrText xml:space="preserve"> PAGEREF _Toc153901456 \h </w:instrText>
        </w:r>
        <w:r>
          <w:rPr>
            <w:noProof/>
            <w:webHidden/>
          </w:rPr>
        </w:r>
        <w:r>
          <w:rPr>
            <w:noProof/>
            <w:webHidden/>
          </w:rPr>
          <w:fldChar w:fldCharType="separate"/>
        </w:r>
        <w:r w:rsidR="00565B02">
          <w:rPr>
            <w:noProof/>
            <w:webHidden/>
          </w:rPr>
          <w:t>299</w:t>
        </w:r>
        <w:r>
          <w:rPr>
            <w:noProof/>
            <w:webHidden/>
          </w:rPr>
          <w:fldChar w:fldCharType="end"/>
        </w:r>
      </w:hyperlink>
    </w:p>
    <w:p w14:paraId="4DDF3590" w14:textId="39FFCB60" w:rsidR="00566668" w:rsidRDefault="00566668">
      <w:pPr>
        <w:pStyle w:val="TableofFigures"/>
        <w:tabs>
          <w:tab w:val="right" w:leader="dot" w:pos="9628"/>
        </w:tabs>
        <w:rPr>
          <w:rFonts w:eastAsiaTheme="minorEastAsia"/>
          <w:noProof/>
          <w:kern w:val="2"/>
          <w:lang w:val="en-US"/>
          <w14:ligatures w14:val="standardContextual"/>
        </w:rPr>
      </w:pPr>
      <w:hyperlink w:anchor="_Toc153901457" w:history="1">
        <w:r w:rsidRPr="00756278">
          <w:rPr>
            <w:rStyle w:val="Hyperlink"/>
            <w:noProof/>
          </w:rPr>
          <w:t>Слика 5.45: Утицај на запосленост по секторима у оквиру спровођења сценарија S</w:t>
        </w:r>
        <w:r>
          <w:rPr>
            <w:noProof/>
            <w:webHidden/>
          </w:rPr>
          <w:tab/>
        </w:r>
        <w:r>
          <w:rPr>
            <w:noProof/>
            <w:webHidden/>
          </w:rPr>
          <w:fldChar w:fldCharType="begin"/>
        </w:r>
        <w:r>
          <w:rPr>
            <w:noProof/>
            <w:webHidden/>
          </w:rPr>
          <w:instrText xml:space="preserve"> PAGEREF _Toc153901457 \h </w:instrText>
        </w:r>
        <w:r>
          <w:rPr>
            <w:noProof/>
            <w:webHidden/>
          </w:rPr>
        </w:r>
        <w:r>
          <w:rPr>
            <w:noProof/>
            <w:webHidden/>
          </w:rPr>
          <w:fldChar w:fldCharType="separate"/>
        </w:r>
        <w:r w:rsidR="00565B02">
          <w:rPr>
            <w:noProof/>
            <w:webHidden/>
          </w:rPr>
          <w:t>300</w:t>
        </w:r>
        <w:r>
          <w:rPr>
            <w:noProof/>
            <w:webHidden/>
          </w:rPr>
          <w:fldChar w:fldCharType="end"/>
        </w:r>
      </w:hyperlink>
    </w:p>
    <w:p w14:paraId="0716A664" w14:textId="4B97BCEC" w:rsidR="00566668" w:rsidRDefault="00566668">
      <w:pPr>
        <w:pStyle w:val="TableofFigures"/>
        <w:tabs>
          <w:tab w:val="right" w:leader="dot" w:pos="9628"/>
        </w:tabs>
        <w:rPr>
          <w:rFonts w:eastAsiaTheme="minorEastAsia"/>
          <w:noProof/>
          <w:kern w:val="2"/>
          <w:lang w:val="en-US"/>
          <w14:ligatures w14:val="standardContextual"/>
        </w:rPr>
      </w:pPr>
      <w:hyperlink w:anchor="_Toc153901458" w:history="1">
        <w:r w:rsidRPr="00756278">
          <w:rPr>
            <w:rStyle w:val="Hyperlink"/>
            <w:noProof/>
          </w:rPr>
          <w:t>Слика 5.46: Процена броја нових радних места према сценарију S због увођења нових капацитета ОИЕ за соларну енергију, ветар и биомасу</w:t>
        </w:r>
        <w:r>
          <w:rPr>
            <w:noProof/>
            <w:webHidden/>
          </w:rPr>
          <w:tab/>
        </w:r>
        <w:r>
          <w:rPr>
            <w:noProof/>
            <w:webHidden/>
          </w:rPr>
          <w:fldChar w:fldCharType="begin"/>
        </w:r>
        <w:r>
          <w:rPr>
            <w:noProof/>
            <w:webHidden/>
          </w:rPr>
          <w:instrText xml:space="preserve"> PAGEREF _Toc153901458 \h </w:instrText>
        </w:r>
        <w:r>
          <w:rPr>
            <w:noProof/>
            <w:webHidden/>
          </w:rPr>
        </w:r>
        <w:r>
          <w:rPr>
            <w:noProof/>
            <w:webHidden/>
          </w:rPr>
          <w:fldChar w:fldCharType="separate"/>
        </w:r>
        <w:r w:rsidR="00565B02">
          <w:rPr>
            <w:noProof/>
            <w:webHidden/>
          </w:rPr>
          <w:t>300</w:t>
        </w:r>
        <w:r>
          <w:rPr>
            <w:noProof/>
            <w:webHidden/>
          </w:rPr>
          <w:fldChar w:fldCharType="end"/>
        </w:r>
      </w:hyperlink>
    </w:p>
    <w:p w14:paraId="0AF9EBF9" w14:textId="6F848507" w:rsidR="00566668" w:rsidRDefault="00566668">
      <w:pPr>
        <w:pStyle w:val="TableofFigures"/>
        <w:tabs>
          <w:tab w:val="right" w:leader="dot" w:pos="9628"/>
        </w:tabs>
        <w:rPr>
          <w:rFonts w:eastAsiaTheme="minorEastAsia"/>
          <w:noProof/>
          <w:kern w:val="2"/>
          <w:lang w:val="en-US"/>
          <w14:ligatures w14:val="standardContextual"/>
        </w:rPr>
      </w:pPr>
      <w:hyperlink w:anchor="_Toc153901459" w:history="1">
        <w:r w:rsidRPr="00756278">
          <w:rPr>
            <w:rStyle w:val="Hyperlink"/>
            <w:noProof/>
          </w:rPr>
          <w:t>Слика 5.47: Кретање просечне цене снабдевања електричном енергијом у сценарију S</w:t>
        </w:r>
        <w:r>
          <w:rPr>
            <w:noProof/>
            <w:webHidden/>
          </w:rPr>
          <w:tab/>
        </w:r>
        <w:r>
          <w:rPr>
            <w:noProof/>
            <w:webHidden/>
          </w:rPr>
          <w:fldChar w:fldCharType="begin"/>
        </w:r>
        <w:r>
          <w:rPr>
            <w:noProof/>
            <w:webHidden/>
          </w:rPr>
          <w:instrText xml:space="preserve"> PAGEREF _Toc153901459 \h </w:instrText>
        </w:r>
        <w:r>
          <w:rPr>
            <w:noProof/>
            <w:webHidden/>
          </w:rPr>
        </w:r>
        <w:r>
          <w:rPr>
            <w:noProof/>
            <w:webHidden/>
          </w:rPr>
          <w:fldChar w:fldCharType="separate"/>
        </w:r>
        <w:r w:rsidR="00565B02">
          <w:rPr>
            <w:noProof/>
            <w:webHidden/>
          </w:rPr>
          <w:t>301</w:t>
        </w:r>
        <w:r>
          <w:rPr>
            <w:noProof/>
            <w:webHidden/>
          </w:rPr>
          <w:fldChar w:fldCharType="end"/>
        </w:r>
      </w:hyperlink>
    </w:p>
    <w:p w14:paraId="30DE784A" w14:textId="3C12ABA9" w:rsidR="00566668" w:rsidRDefault="00566668">
      <w:pPr>
        <w:pStyle w:val="TableofFigures"/>
        <w:tabs>
          <w:tab w:val="right" w:leader="dot" w:pos="9628"/>
        </w:tabs>
        <w:rPr>
          <w:rFonts w:eastAsiaTheme="minorEastAsia"/>
          <w:noProof/>
          <w:kern w:val="2"/>
          <w:lang w:val="en-US"/>
          <w14:ligatures w14:val="standardContextual"/>
        </w:rPr>
      </w:pPr>
      <w:hyperlink w:anchor="_Toc153901460" w:history="1">
        <w:r w:rsidRPr="00756278">
          <w:rPr>
            <w:rStyle w:val="Hyperlink"/>
            <w:noProof/>
          </w:rPr>
          <w:t>Слика 5.48: Дистрибуција трошкова имплементације по димензији</w:t>
        </w:r>
        <w:r>
          <w:rPr>
            <w:noProof/>
            <w:webHidden/>
          </w:rPr>
          <w:tab/>
        </w:r>
        <w:r>
          <w:rPr>
            <w:noProof/>
            <w:webHidden/>
          </w:rPr>
          <w:fldChar w:fldCharType="begin"/>
        </w:r>
        <w:r>
          <w:rPr>
            <w:noProof/>
            <w:webHidden/>
          </w:rPr>
          <w:instrText xml:space="preserve"> PAGEREF _Toc153901460 \h </w:instrText>
        </w:r>
        <w:r>
          <w:rPr>
            <w:noProof/>
            <w:webHidden/>
          </w:rPr>
        </w:r>
        <w:r>
          <w:rPr>
            <w:noProof/>
            <w:webHidden/>
          </w:rPr>
          <w:fldChar w:fldCharType="separate"/>
        </w:r>
        <w:r w:rsidR="00565B02">
          <w:rPr>
            <w:noProof/>
            <w:webHidden/>
          </w:rPr>
          <w:t>303</w:t>
        </w:r>
        <w:r>
          <w:rPr>
            <w:noProof/>
            <w:webHidden/>
          </w:rPr>
          <w:fldChar w:fldCharType="end"/>
        </w:r>
      </w:hyperlink>
    </w:p>
    <w:p w14:paraId="61B977A3" w14:textId="7FDB7DFC" w:rsidR="00566668" w:rsidRDefault="00566668">
      <w:pPr>
        <w:pStyle w:val="TableofFigures"/>
        <w:tabs>
          <w:tab w:val="right" w:leader="dot" w:pos="9628"/>
        </w:tabs>
        <w:rPr>
          <w:rFonts w:eastAsiaTheme="minorEastAsia"/>
          <w:noProof/>
          <w:kern w:val="2"/>
          <w:lang w:val="en-US"/>
          <w14:ligatures w14:val="standardContextual"/>
        </w:rPr>
      </w:pPr>
      <w:hyperlink w:anchor="_Toc153901461" w:history="1">
        <w:r w:rsidRPr="00756278">
          <w:rPr>
            <w:rStyle w:val="Hyperlink"/>
            <w:noProof/>
          </w:rPr>
          <w:t>Слика 5.49: Расподела трошкова имплементације по WEM/WAM</w:t>
        </w:r>
        <w:r>
          <w:rPr>
            <w:noProof/>
            <w:webHidden/>
          </w:rPr>
          <w:tab/>
        </w:r>
        <w:r>
          <w:rPr>
            <w:noProof/>
            <w:webHidden/>
          </w:rPr>
          <w:fldChar w:fldCharType="begin"/>
        </w:r>
        <w:r>
          <w:rPr>
            <w:noProof/>
            <w:webHidden/>
          </w:rPr>
          <w:instrText xml:space="preserve"> PAGEREF _Toc153901461 \h </w:instrText>
        </w:r>
        <w:r>
          <w:rPr>
            <w:noProof/>
            <w:webHidden/>
          </w:rPr>
        </w:r>
        <w:r>
          <w:rPr>
            <w:noProof/>
            <w:webHidden/>
          </w:rPr>
          <w:fldChar w:fldCharType="separate"/>
        </w:r>
        <w:r w:rsidR="00565B02">
          <w:rPr>
            <w:noProof/>
            <w:webHidden/>
          </w:rPr>
          <w:t>304</w:t>
        </w:r>
        <w:r>
          <w:rPr>
            <w:noProof/>
            <w:webHidden/>
          </w:rPr>
          <w:fldChar w:fldCharType="end"/>
        </w:r>
      </w:hyperlink>
    </w:p>
    <w:p w14:paraId="232F905E" w14:textId="33216B8E" w:rsidR="00566668" w:rsidRDefault="00566668">
      <w:pPr>
        <w:pStyle w:val="TableofFigures"/>
        <w:tabs>
          <w:tab w:val="right" w:leader="dot" w:pos="9628"/>
        </w:tabs>
        <w:rPr>
          <w:rFonts w:eastAsiaTheme="minorEastAsia"/>
          <w:noProof/>
          <w:kern w:val="2"/>
          <w:lang w:val="en-US"/>
          <w14:ligatures w14:val="standardContextual"/>
        </w:rPr>
      </w:pPr>
      <w:hyperlink w:anchor="_Toc153901462" w:history="1">
        <w:r w:rsidRPr="00756278">
          <w:rPr>
            <w:rStyle w:val="Hyperlink"/>
            <w:noProof/>
          </w:rPr>
          <w:t>Слика 5.50: Расподела трошкова имплементације према јавним и приватним (из сопствених средстава) инвестицијама</w:t>
        </w:r>
        <w:r>
          <w:rPr>
            <w:noProof/>
            <w:webHidden/>
          </w:rPr>
          <w:tab/>
        </w:r>
        <w:r>
          <w:rPr>
            <w:noProof/>
            <w:webHidden/>
          </w:rPr>
          <w:fldChar w:fldCharType="begin"/>
        </w:r>
        <w:r>
          <w:rPr>
            <w:noProof/>
            <w:webHidden/>
          </w:rPr>
          <w:instrText xml:space="preserve"> PAGEREF _Toc153901462 \h </w:instrText>
        </w:r>
        <w:r>
          <w:rPr>
            <w:noProof/>
            <w:webHidden/>
          </w:rPr>
        </w:r>
        <w:r>
          <w:rPr>
            <w:noProof/>
            <w:webHidden/>
          </w:rPr>
          <w:fldChar w:fldCharType="separate"/>
        </w:r>
        <w:r w:rsidR="00565B02">
          <w:rPr>
            <w:noProof/>
            <w:webHidden/>
          </w:rPr>
          <w:t>305</w:t>
        </w:r>
        <w:r>
          <w:rPr>
            <w:noProof/>
            <w:webHidden/>
          </w:rPr>
          <w:fldChar w:fldCharType="end"/>
        </w:r>
      </w:hyperlink>
    </w:p>
    <w:p w14:paraId="72C22C0E" w14:textId="3A13C614" w:rsidR="00566668" w:rsidRDefault="00566668">
      <w:pPr>
        <w:pStyle w:val="TableofFigures"/>
        <w:tabs>
          <w:tab w:val="right" w:leader="dot" w:pos="9628"/>
        </w:tabs>
        <w:rPr>
          <w:rFonts w:eastAsiaTheme="minorEastAsia"/>
          <w:noProof/>
          <w:kern w:val="2"/>
          <w:lang w:val="en-US"/>
          <w14:ligatures w14:val="standardContextual"/>
        </w:rPr>
      </w:pPr>
      <w:hyperlink w:anchor="_Toc153901463" w:history="1">
        <w:r w:rsidRPr="00756278">
          <w:rPr>
            <w:rStyle w:val="Hyperlink"/>
            <w:noProof/>
          </w:rPr>
          <w:t>Слика III.1: Преглед референтног система за модел СЕМС</w:t>
        </w:r>
        <w:r>
          <w:rPr>
            <w:noProof/>
            <w:webHidden/>
          </w:rPr>
          <w:tab/>
        </w:r>
        <w:r>
          <w:rPr>
            <w:noProof/>
            <w:webHidden/>
          </w:rPr>
          <w:fldChar w:fldCharType="begin"/>
        </w:r>
        <w:r>
          <w:rPr>
            <w:noProof/>
            <w:webHidden/>
          </w:rPr>
          <w:instrText xml:space="preserve"> PAGEREF _Toc153901463 \h </w:instrText>
        </w:r>
        <w:r>
          <w:rPr>
            <w:noProof/>
            <w:webHidden/>
          </w:rPr>
        </w:r>
        <w:r>
          <w:rPr>
            <w:noProof/>
            <w:webHidden/>
          </w:rPr>
          <w:fldChar w:fldCharType="separate"/>
        </w:r>
        <w:r w:rsidR="00565B02">
          <w:rPr>
            <w:noProof/>
            <w:webHidden/>
          </w:rPr>
          <w:t>326</w:t>
        </w:r>
        <w:r>
          <w:rPr>
            <w:noProof/>
            <w:webHidden/>
          </w:rPr>
          <w:fldChar w:fldCharType="end"/>
        </w:r>
      </w:hyperlink>
    </w:p>
    <w:p w14:paraId="1E2100FC" w14:textId="70C26C9E" w:rsidR="00566668" w:rsidRDefault="00566668">
      <w:pPr>
        <w:pStyle w:val="TableofFigures"/>
        <w:tabs>
          <w:tab w:val="right" w:leader="dot" w:pos="9628"/>
        </w:tabs>
        <w:rPr>
          <w:rFonts w:eastAsiaTheme="minorEastAsia"/>
          <w:noProof/>
          <w:kern w:val="2"/>
          <w:lang w:val="en-US"/>
          <w14:ligatures w14:val="standardContextual"/>
        </w:rPr>
      </w:pPr>
      <w:hyperlink w:anchor="_Toc153901464" w:history="1">
        <w:r w:rsidRPr="00756278">
          <w:rPr>
            <w:rStyle w:val="Hyperlink"/>
            <w:noProof/>
          </w:rPr>
          <w:t>Слика III.2: Типологија стамбеног сектора у складу са TABULA</w:t>
        </w:r>
        <w:r>
          <w:rPr>
            <w:noProof/>
            <w:webHidden/>
          </w:rPr>
          <w:tab/>
        </w:r>
        <w:r>
          <w:rPr>
            <w:noProof/>
            <w:webHidden/>
          </w:rPr>
          <w:fldChar w:fldCharType="begin"/>
        </w:r>
        <w:r>
          <w:rPr>
            <w:noProof/>
            <w:webHidden/>
          </w:rPr>
          <w:instrText xml:space="preserve"> PAGEREF _Toc153901464 \h </w:instrText>
        </w:r>
        <w:r>
          <w:rPr>
            <w:noProof/>
            <w:webHidden/>
          </w:rPr>
        </w:r>
        <w:r>
          <w:rPr>
            <w:noProof/>
            <w:webHidden/>
          </w:rPr>
          <w:fldChar w:fldCharType="separate"/>
        </w:r>
        <w:r w:rsidR="00565B02">
          <w:rPr>
            <w:noProof/>
            <w:webHidden/>
          </w:rPr>
          <w:t>327</w:t>
        </w:r>
        <w:r>
          <w:rPr>
            <w:noProof/>
            <w:webHidden/>
          </w:rPr>
          <w:fldChar w:fldCharType="end"/>
        </w:r>
      </w:hyperlink>
    </w:p>
    <w:p w14:paraId="732F8C99" w14:textId="6502BB3B" w:rsidR="00566668" w:rsidRDefault="00566668">
      <w:pPr>
        <w:pStyle w:val="TableofFigures"/>
        <w:tabs>
          <w:tab w:val="right" w:leader="dot" w:pos="9628"/>
        </w:tabs>
        <w:rPr>
          <w:rFonts w:eastAsiaTheme="minorEastAsia"/>
          <w:noProof/>
          <w:kern w:val="2"/>
          <w:lang w:val="en-US"/>
          <w14:ligatures w14:val="standardContextual"/>
        </w:rPr>
      </w:pPr>
      <w:hyperlink w:anchor="_Toc153901465" w:history="1">
        <w:r w:rsidRPr="00756278">
          <w:rPr>
            <w:rStyle w:val="Hyperlink"/>
            <w:noProof/>
          </w:rPr>
          <w:t>Слика III.3: Kључни аутпути модела по категоријама</w:t>
        </w:r>
        <w:r>
          <w:rPr>
            <w:noProof/>
            <w:webHidden/>
          </w:rPr>
          <w:tab/>
        </w:r>
        <w:r>
          <w:rPr>
            <w:noProof/>
            <w:webHidden/>
          </w:rPr>
          <w:fldChar w:fldCharType="begin"/>
        </w:r>
        <w:r>
          <w:rPr>
            <w:noProof/>
            <w:webHidden/>
          </w:rPr>
          <w:instrText xml:space="preserve"> PAGEREF _Toc153901465 \h </w:instrText>
        </w:r>
        <w:r>
          <w:rPr>
            <w:noProof/>
            <w:webHidden/>
          </w:rPr>
        </w:r>
        <w:r>
          <w:rPr>
            <w:noProof/>
            <w:webHidden/>
          </w:rPr>
          <w:fldChar w:fldCharType="separate"/>
        </w:r>
        <w:r w:rsidR="00565B02">
          <w:rPr>
            <w:noProof/>
            <w:webHidden/>
          </w:rPr>
          <w:t>330</w:t>
        </w:r>
        <w:r>
          <w:rPr>
            <w:noProof/>
            <w:webHidden/>
          </w:rPr>
          <w:fldChar w:fldCharType="end"/>
        </w:r>
      </w:hyperlink>
    </w:p>
    <w:p w14:paraId="0231CD9C" w14:textId="785619F2" w:rsidR="00566668" w:rsidRDefault="00566668">
      <w:pPr>
        <w:pStyle w:val="TableofFigures"/>
        <w:tabs>
          <w:tab w:val="right" w:leader="dot" w:pos="9628"/>
        </w:tabs>
        <w:rPr>
          <w:rFonts w:eastAsiaTheme="minorEastAsia"/>
          <w:noProof/>
          <w:kern w:val="2"/>
          <w:lang w:val="en-US"/>
          <w14:ligatures w14:val="standardContextual"/>
        </w:rPr>
      </w:pPr>
      <w:hyperlink w:anchor="_Toc153901466" w:history="1">
        <w:r w:rsidRPr="00756278">
          <w:rPr>
            <w:rStyle w:val="Hyperlink"/>
            <w:noProof/>
          </w:rPr>
          <w:t>Слика III.4: Географска покривеност регионалног модела</w:t>
        </w:r>
        <w:r>
          <w:rPr>
            <w:noProof/>
            <w:webHidden/>
          </w:rPr>
          <w:tab/>
        </w:r>
        <w:r>
          <w:rPr>
            <w:noProof/>
            <w:webHidden/>
          </w:rPr>
          <w:fldChar w:fldCharType="begin"/>
        </w:r>
        <w:r>
          <w:rPr>
            <w:noProof/>
            <w:webHidden/>
          </w:rPr>
          <w:instrText xml:space="preserve"> PAGEREF _Toc153901466 \h </w:instrText>
        </w:r>
        <w:r>
          <w:rPr>
            <w:noProof/>
            <w:webHidden/>
          </w:rPr>
        </w:r>
        <w:r>
          <w:rPr>
            <w:noProof/>
            <w:webHidden/>
          </w:rPr>
          <w:fldChar w:fldCharType="separate"/>
        </w:r>
        <w:r w:rsidR="00565B02">
          <w:rPr>
            <w:noProof/>
            <w:webHidden/>
          </w:rPr>
          <w:t>331</w:t>
        </w:r>
        <w:r>
          <w:rPr>
            <w:noProof/>
            <w:webHidden/>
          </w:rPr>
          <w:fldChar w:fldCharType="end"/>
        </w:r>
      </w:hyperlink>
    </w:p>
    <w:p w14:paraId="4BA98F3F" w14:textId="102438AD" w:rsidR="00566668" w:rsidRDefault="00566668">
      <w:pPr>
        <w:pStyle w:val="TableofFigures"/>
        <w:tabs>
          <w:tab w:val="right" w:leader="dot" w:pos="9628"/>
        </w:tabs>
        <w:rPr>
          <w:rFonts w:eastAsiaTheme="minorEastAsia"/>
          <w:noProof/>
          <w:kern w:val="2"/>
          <w:lang w:val="en-US"/>
          <w14:ligatures w14:val="standardContextual"/>
        </w:rPr>
      </w:pPr>
      <w:hyperlink w:anchor="_Toc153901467" w:history="1">
        <w:r w:rsidRPr="00756278">
          <w:rPr>
            <w:rStyle w:val="Hyperlink"/>
            <w:noProof/>
          </w:rPr>
          <w:t>Слика III.5: Резултати на нивоу сата за РС01, МК година 2, седмица 10</w:t>
        </w:r>
        <w:r>
          <w:rPr>
            <w:noProof/>
            <w:webHidden/>
          </w:rPr>
          <w:tab/>
        </w:r>
        <w:r>
          <w:rPr>
            <w:noProof/>
            <w:webHidden/>
          </w:rPr>
          <w:fldChar w:fldCharType="begin"/>
        </w:r>
        <w:r>
          <w:rPr>
            <w:noProof/>
            <w:webHidden/>
          </w:rPr>
          <w:instrText xml:space="preserve"> PAGEREF _Toc153901467 \h </w:instrText>
        </w:r>
        <w:r>
          <w:rPr>
            <w:noProof/>
            <w:webHidden/>
          </w:rPr>
        </w:r>
        <w:r>
          <w:rPr>
            <w:noProof/>
            <w:webHidden/>
          </w:rPr>
          <w:fldChar w:fldCharType="separate"/>
        </w:r>
        <w:r w:rsidR="00565B02">
          <w:rPr>
            <w:noProof/>
            <w:webHidden/>
          </w:rPr>
          <w:t>332</w:t>
        </w:r>
        <w:r>
          <w:rPr>
            <w:noProof/>
            <w:webHidden/>
          </w:rPr>
          <w:fldChar w:fldCharType="end"/>
        </w:r>
      </w:hyperlink>
    </w:p>
    <w:p w14:paraId="5B54D157" w14:textId="4922616A" w:rsidR="00931D02" w:rsidRPr="00FF386D" w:rsidRDefault="00566668">
      <w:pPr>
        <w:spacing w:line="259" w:lineRule="auto"/>
        <w:rPr>
          <w:rFonts w:asciiTheme="majorHAnsi" w:hAnsiTheme="majorHAnsi" w:cstheme="majorHAnsi"/>
          <w:highlight w:val="yellow"/>
        </w:rPr>
      </w:pPr>
      <w:r>
        <w:rPr>
          <w:rFonts w:asciiTheme="majorHAnsi" w:hAnsiTheme="majorHAnsi" w:cstheme="majorHAnsi"/>
          <w:highlight w:val="yellow"/>
        </w:rPr>
        <w:fldChar w:fldCharType="end"/>
      </w:r>
      <w:r w:rsidR="00931D02" w:rsidRPr="00FF386D">
        <w:rPr>
          <w:rFonts w:asciiTheme="majorHAnsi" w:hAnsiTheme="majorHAnsi" w:cstheme="majorHAnsi"/>
          <w:highlight w:val="yellow"/>
        </w:rPr>
        <w:br w:type="page"/>
      </w:r>
    </w:p>
    <w:p w14:paraId="5FEFCB7F" w14:textId="0C7D57BD" w:rsidR="00931D02" w:rsidRPr="00FF386D" w:rsidRDefault="00867DF2" w:rsidP="00A14648">
      <w:pPr>
        <w:pStyle w:val="Heading1"/>
        <w:numPr>
          <w:ilvl w:val="0"/>
          <w:numId w:val="0"/>
        </w:numPr>
        <w:ind w:left="432" w:hanging="432"/>
      </w:pPr>
      <w:bookmarkStart w:id="10" w:name="_Toc79772540"/>
      <w:bookmarkStart w:id="11" w:name="_Toc137457009"/>
      <w:bookmarkStart w:id="12" w:name="_Toc153901526"/>
      <w:r w:rsidRPr="00FF386D">
        <w:lastRenderedPageBreak/>
        <w:t>СПИСАК ТАБЕЛА</w:t>
      </w:r>
      <w:bookmarkEnd w:id="10"/>
      <w:bookmarkEnd w:id="11"/>
      <w:bookmarkEnd w:id="12"/>
    </w:p>
    <w:p w14:paraId="25A1536D" w14:textId="4EF9F48A" w:rsidR="00566668" w:rsidRDefault="00566668">
      <w:pPr>
        <w:pStyle w:val="TableofFigures"/>
        <w:tabs>
          <w:tab w:val="right" w:leader="dot" w:pos="9628"/>
        </w:tabs>
        <w:rPr>
          <w:rFonts w:eastAsiaTheme="minorEastAsia"/>
          <w:noProof/>
          <w:kern w:val="2"/>
          <w:lang w:val="en-US"/>
          <w14:ligatures w14:val="standardContextual"/>
        </w:rPr>
      </w:pPr>
      <w:r>
        <w:rPr>
          <w:rFonts w:ascii="Calibri Light" w:hAnsi="Calibri Light" w:cs="Calibri Light"/>
          <w:highlight w:val="yellow"/>
        </w:rPr>
        <w:fldChar w:fldCharType="begin"/>
      </w:r>
      <w:r>
        <w:rPr>
          <w:rFonts w:ascii="Calibri Light" w:hAnsi="Calibri Light" w:cs="Calibri Light"/>
          <w:highlight w:val="yellow"/>
        </w:rPr>
        <w:instrText xml:space="preserve"> TOC \h \z \c "Табела" </w:instrText>
      </w:r>
      <w:r>
        <w:rPr>
          <w:rFonts w:ascii="Calibri Light" w:hAnsi="Calibri Light" w:cs="Calibri Light"/>
          <w:highlight w:val="yellow"/>
        </w:rPr>
        <w:fldChar w:fldCharType="separate"/>
      </w:r>
      <w:hyperlink w:anchor="_Toc153901468" w:history="1">
        <w:r w:rsidRPr="00EB3088">
          <w:rPr>
            <w:rStyle w:val="Hyperlink"/>
            <w:noProof/>
          </w:rPr>
          <w:t>Табела 2.1: Путања смањење емисија GHG на годишњем нивоу</w:t>
        </w:r>
        <w:r>
          <w:rPr>
            <w:noProof/>
            <w:webHidden/>
          </w:rPr>
          <w:tab/>
        </w:r>
        <w:r>
          <w:rPr>
            <w:noProof/>
            <w:webHidden/>
          </w:rPr>
          <w:fldChar w:fldCharType="begin"/>
        </w:r>
        <w:r>
          <w:rPr>
            <w:noProof/>
            <w:webHidden/>
          </w:rPr>
          <w:instrText xml:space="preserve"> PAGEREF _Toc153901468 \h </w:instrText>
        </w:r>
        <w:r>
          <w:rPr>
            <w:noProof/>
            <w:webHidden/>
          </w:rPr>
        </w:r>
        <w:r>
          <w:rPr>
            <w:noProof/>
            <w:webHidden/>
          </w:rPr>
          <w:fldChar w:fldCharType="separate"/>
        </w:r>
        <w:r w:rsidR="00565B02">
          <w:rPr>
            <w:noProof/>
            <w:webHidden/>
          </w:rPr>
          <w:t>49</w:t>
        </w:r>
        <w:r>
          <w:rPr>
            <w:noProof/>
            <w:webHidden/>
          </w:rPr>
          <w:fldChar w:fldCharType="end"/>
        </w:r>
      </w:hyperlink>
    </w:p>
    <w:p w14:paraId="390A3CBD" w14:textId="5A26D75F" w:rsidR="00566668" w:rsidRDefault="00566668">
      <w:pPr>
        <w:pStyle w:val="TableofFigures"/>
        <w:tabs>
          <w:tab w:val="right" w:leader="dot" w:pos="9628"/>
        </w:tabs>
        <w:rPr>
          <w:rFonts w:eastAsiaTheme="minorEastAsia"/>
          <w:noProof/>
          <w:kern w:val="2"/>
          <w:lang w:val="en-US"/>
          <w14:ligatures w14:val="standardContextual"/>
        </w:rPr>
      </w:pPr>
      <w:hyperlink w:anchor="_Toc153901469" w:history="1">
        <w:r w:rsidRPr="00EB3088">
          <w:rPr>
            <w:rStyle w:val="Hyperlink"/>
            <w:noProof/>
          </w:rPr>
          <w:t>Табела 2.2: Путања за удео ОИЕ на годишњем нивоу</w:t>
        </w:r>
        <w:r>
          <w:rPr>
            <w:noProof/>
            <w:webHidden/>
          </w:rPr>
          <w:tab/>
        </w:r>
        <w:r>
          <w:rPr>
            <w:noProof/>
            <w:webHidden/>
          </w:rPr>
          <w:fldChar w:fldCharType="begin"/>
        </w:r>
        <w:r>
          <w:rPr>
            <w:noProof/>
            <w:webHidden/>
          </w:rPr>
          <w:instrText xml:space="preserve"> PAGEREF _Toc153901469 \h </w:instrText>
        </w:r>
        <w:r>
          <w:rPr>
            <w:noProof/>
            <w:webHidden/>
          </w:rPr>
        </w:r>
        <w:r>
          <w:rPr>
            <w:noProof/>
            <w:webHidden/>
          </w:rPr>
          <w:fldChar w:fldCharType="separate"/>
        </w:r>
        <w:r w:rsidR="00565B02">
          <w:rPr>
            <w:noProof/>
            <w:webHidden/>
          </w:rPr>
          <w:t>49</w:t>
        </w:r>
        <w:r>
          <w:rPr>
            <w:noProof/>
            <w:webHidden/>
          </w:rPr>
          <w:fldChar w:fldCharType="end"/>
        </w:r>
      </w:hyperlink>
    </w:p>
    <w:p w14:paraId="58C8E4B8" w14:textId="21E8480A" w:rsidR="00566668" w:rsidRDefault="00566668">
      <w:pPr>
        <w:pStyle w:val="TableofFigures"/>
        <w:tabs>
          <w:tab w:val="right" w:leader="dot" w:pos="9628"/>
        </w:tabs>
        <w:rPr>
          <w:rFonts w:eastAsiaTheme="minorEastAsia"/>
          <w:noProof/>
          <w:kern w:val="2"/>
          <w:lang w:val="en-US"/>
          <w14:ligatures w14:val="standardContextual"/>
        </w:rPr>
      </w:pPr>
      <w:hyperlink w:anchor="_Toc153901470" w:history="1">
        <w:r w:rsidRPr="00EB3088">
          <w:rPr>
            <w:rStyle w:val="Hyperlink"/>
            <w:noProof/>
          </w:rPr>
          <w:t>Табела 2.3: Путања на годишњем нивоу за ФПЕ и ППЕ</w:t>
        </w:r>
        <w:r>
          <w:rPr>
            <w:noProof/>
            <w:webHidden/>
          </w:rPr>
          <w:tab/>
        </w:r>
        <w:r>
          <w:rPr>
            <w:noProof/>
            <w:webHidden/>
          </w:rPr>
          <w:fldChar w:fldCharType="begin"/>
        </w:r>
        <w:r>
          <w:rPr>
            <w:noProof/>
            <w:webHidden/>
          </w:rPr>
          <w:instrText xml:space="preserve"> PAGEREF _Toc153901470 \h </w:instrText>
        </w:r>
        <w:r>
          <w:rPr>
            <w:noProof/>
            <w:webHidden/>
          </w:rPr>
        </w:r>
        <w:r>
          <w:rPr>
            <w:noProof/>
            <w:webHidden/>
          </w:rPr>
          <w:fldChar w:fldCharType="separate"/>
        </w:r>
        <w:r w:rsidR="00565B02">
          <w:rPr>
            <w:noProof/>
            <w:webHidden/>
          </w:rPr>
          <w:t>53</w:t>
        </w:r>
        <w:r>
          <w:rPr>
            <w:noProof/>
            <w:webHidden/>
          </w:rPr>
          <w:fldChar w:fldCharType="end"/>
        </w:r>
      </w:hyperlink>
    </w:p>
    <w:p w14:paraId="2DFB3A51" w14:textId="729AE9A2" w:rsidR="00566668" w:rsidRDefault="00566668">
      <w:pPr>
        <w:pStyle w:val="TableofFigures"/>
        <w:tabs>
          <w:tab w:val="right" w:leader="dot" w:pos="9628"/>
        </w:tabs>
        <w:rPr>
          <w:rFonts w:eastAsiaTheme="minorEastAsia"/>
          <w:noProof/>
          <w:kern w:val="2"/>
          <w:lang w:val="en-US"/>
          <w14:ligatures w14:val="standardContextual"/>
        </w:rPr>
      </w:pPr>
      <w:hyperlink w:anchor="_Toc153901471" w:history="1">
        <w:r w:rsidRPr="00EB3088">
          <w:rPr>
            <w:rStyle w:val="Hyperlink"/>
            <w:noProof/>
          </w:rPr>
          <w:t>Табела 3.1: Нова и кумулативна уштеда финалне енергије у периоду 2024-2030.године</w:t>
        </w:r>
        <w:r>
          <w:rPr>
            <w:noProof/>
            <w:webHidden/>
          </w:rPr>
          <w:tab/>
        </w:r>
        <w:r>
          <w:rPr>
            <w:noProof/>
            <w:webHidden/>
          </w:rPr>
          <w:fldChar w:fldCharType="begin"/>
        </w:r>
        <w:r>
          <w:rPr>
            <w:noProof/>
            <w:webHidden/>
          </w:rPr>
          <w:instrText xml:space="preserve"> PAGEREF _Toc153901471 \h </w:instrText>
        </w:r>
        <w:r>
          <w:rPr>
            <w:noProof/>
            <w:webHidden/>
          </w:rPr>
        </w:r>
        <w:r>
          <w:rPr>
            <w:noProof/>
            <w:webHidden/>
          </w:rPr>
          <w:fldChar w:fldCharType="separate"/>
        </w:r>
        <w:r w:rsidR="00565B02">
          <w:rPr>
            <w:noProof/>
            <w:webHidden/>
          </w:rPr>
          <w:t>101</w:t>
        </w:r>
        <w:r>
          <w:rPr>
            <w:noProof/>
            <w:webHidden/>
          </w:rPr>
          <w:fldChar w:fldCharType="end"/>
        </w:r>
      </w:hyperlink>
    </w:p>
    <w:p w14:paraId="19F8F63E" w14:textId="5AC0BD24" w:rsidR="00566668" w:rsidRDefault="00566668">
      <w:pPr>
        <w:pStyle w:val="TableofFigures"/>
        <w:tabs>
          <w:tab w:val="right" w:leader="dot" w:pos="9628"/>
        </w:tabs>
        <w:rPr>
          <w:rFonts w:eastAsiaTheme="minorEastAsia"/>
          <w:noProof/>
          <w:kern w:val="2"/>
          <w:lang w:val="en-US"/>
          <w14:ligatures w14:val="standardContextual"/>
        </w:rPr>
      </w:pPr>
      <w:hyperlink w:anchor="_Toc153901472" w:history="1">
        <w:r w:rsidRPr="00EB3088">
          <w:rPr>
            <w:rStyle w:val="Hyperlink"/>
            <w:noProof/>
          </w:rPr>
          <w:t>Табела 3.2: Одабране алтернативне мере за постизање циља из члана 7 у периоду 2024-2030. године</w:t>
        </w:r>
        <w:r>
          <w:rPr>
            <w:noProof/>
            <w:webHidden/>
          </w:rPr>
          <w:tab/>
        </w:r>
        <w:r>
          <w:rPr>
            <w:noProof/>
            <w:webHidden/>
          </w:rPr>
          <w:fldChar w:fldCharType="begin"/>
        </w:r>
        <w:r>
          <w:rPr>
            <w:noProof/>
            <w:webHidden/>
          </w:rPr>
          <w:instrText xml:space="preserve"> PAGEREF _Toc153901472 \h </w:instrText>
        </w:r>
        <w:r>
          <w:rPr>
            <w:noProof/>
            <w:webHidden/>
          </w:rPr>
        </w:r>
        <w:r>
          <w:rPr>
            <w:noProof/>
            <w:webHidden/>
          </w:rPr>
          <w:fldChar w:fldCharType="separate"/>
        </w:r>
        <w:r w:rsidR="00565B02">
          <w:rPr>
            <w:noProof/>
            <w:webHidden/>
          </w:rPr>
          <w:t>102</w:t>
        </w:r>
        <w:r>
          <w:rPr>
            <w:noProof/>
            <w:webHidden/>
          </w:rPr>
          <w:fldChar w:fldCharType="end"/>
        </w:r>
      </w:hyperlink>
    </w:p>
    <w:p w14:paraId="7F0B6091" w14:textId="30085A5D" w:rsidR="00566668" w:rsidRDefault="00566668">
      <w:pPr>
        <w:pStyle w:val="TableofFigures"/>
        <w:tabs>
          <w:tab w:val="right" w:leader="dot" w:pos="9628"/>
        </w:tabs>
        <w:rPr>
          <w:rFonts w:eastAsiaTheme="minorEastAsia"/>
          <w:noProof/>
          <w:kern w:val="2"/>
          <w:lang w:val="en-US"/>
          <w14:ligatures w14:val="standardContextual"/>
        </w:rPr>
      </w:pPr>
      <w:hyperlink w:anchor="_Toc153901473" w:history="1">
        <w:r w:rsidRPr="00EB3088">
          <w:rPr>
            <w:rStyle w:val="Hyperlink"/>
            <w:noProof/>
          </w:rPr>
          <w:t>Табела 4.1: Нумерички развој БДП-а и становника у периоду 2020-2050. година (Извори: Републички завод за статистику, Министарство финансија, Народна банка, пројекције на основу SSP)</w:t>
        </w:r>
        <w:r>
          <w:rPr>
            <w:noProof/>
            <w:webHidden/>
          </w:rPr>
          <w:tab/>
        </w:r>
        <w:r>
          <w:rPr>
            <w:noProof/>
            <w:webHidden/>
          </w:rPr>
          <w:fldChar w:fldCharType="begin"/>
        </w:r>
        <w:r>
          <w:rPr>
            <w:noProof/>
            <w:webHidden/>
          </w:rPr>
          <w:instrText xml:space="preserve"> PAGEREF _Toc153901473 \h </w:instrText>
        </w:r>
        <w:r>
          <w:rPr>
            <w:noProof/>
            <w:webHidden/>
          </w:rPr>
        </w:r>
        <w:r>
          <w:rPr>
            <w:noProof/>
            <w:webHidden/>
          </w:rPr>
          <w:fldChar w:fldCharType="separate"/>
        </w:r>
        <w:r w:rsidR="00565B02">
          <w:rPr>
            <w:noProof/>
            <w:webHidden/>
          </w:rPr>
          <w:t>217</w:t>
        </w:r>
        <w:r>
          <w:rPr>
            <w:noProof/>
            <w:webHidden/>
          </w:rPr>
          <w:fldChar w:fldCharType="end"/>
        </w:r>
      </w:hyperlink>
    </w:p>
    <w:p w14:paraId="728495C8" w14:textId="613FF857" w:rsidR="00566668" w:rsidRDefault="00566668">
      <w:pPr>
        <w:pStyle w:val="TableofFigures"/>
        <w:tabs>
          <w:tab w:val="right" w:leader="dot" w:pos="9628"/>
        </w:tabs>
        <w:rPr>
          <w:rFonts w:eastAsiaTheme="minorEastAsia"/>
          <w:noProof/>
          <w:kern w:val="2"/>
          <w:lang w:val="en-US"/>
          <w14:ligatures w14:val="standardContextual"/>
        </w:rPr>
      </w:pPr>
      <w:hyperlink w:anchor="_Toc153901474" w:history="1">
        <w:r w:rsidRPr="00EB3088">
          <w:rPr>
            <w:rStyle w:val="Hyperlink"/>
            <w:noProof/>
          </w:rPr>
          <w:t>Табела 4.2: Пројекције међународних цена горива до 2050. године</w:t>
        </w:r>
        <w:r>
          <w:rPr>
            <w:noProof/>
            <w:webHidden/>
          </w:rPr>
          <w:tab/>
        </w:r>
        <w:r>
          <w:rPr>
            <w:noProof/>
            <w:webHidden/>
          </w:rPr>
          <w:fldChar w:fldCharType="begin"/>
        </w:r>
        <w:r>
          <w:rPr>
            <w:noProof/>
            <w:webHidden/>
          </w:rPr>
          <w:instrText xml:space="preserve"> PAGEREF _Toc153901474 \h </w:instrText>
        </w:r>
        <w:r>
          <w:rPr>
            <w:noProof/>
            <w:webHidden/>
          </w:rPr>
        </w:r>
        <w:r>
          <w:rPr>
            <w:noProof/>
            <w:webHidden/>
          </w:rPr>
          <w:fldChar w:fldCharType="separate"/>
        </w:r>
        <w:r w:rsidR="00565B02">
          <w:rPr>
            <w:noProof/>
            <w:webHidden/>
          </w:rPr>
          <w:t>218</w:t>
        </w:r>
        <w:r>
          <w:rPr>
            <w:noProof/>
            <w:webHidden/>
          </w:rPr>
          <w:fldChar w:fldCharType="end"/>
        </w:r>
      </w:hyperlink>
    </w:p>
    <w:p w14:paraId="63730447" w14:textId="57CB6038" w:rsidR="00566668" w:rsidRDefault="00566668">
      <w:pPr>
        <w:pStyle w:val="TableofFigures"/>
        <w:tabs>
          <w:tab w:val="right" w:leader="dot" w:pos="9628"/>
        </w:tabs>
        <w:rPr>
          <w:rFonts w:eastAsiaTheme="minorEastAsia"/>
          <w:noProof/>
          <w:kern w:val="2"/>
          <w:lang w:val="en-US"/>
          <w14:ligatures w14:val="standardContextual"/>
        </w:rPr>
      </w:pPr>
      <w:hyperlink w:anchor="_Toc153901475" w:history="1">
        <w:r w:rsidRPr="00EB3088">
          <w:rPr>
            <w:rStyle w:val="Hyperlink"/>
            <w:noProof/>
          </w:rPr>
          <w:t>Табела 4.3: Пројекције преконоћних трошкова инвестирања у технологије обновљиве енергије</w:t>
        </w:r>
        <w:r>
          <w:rPr>
            <w:noProof/>
            <w:webHidden/>
          </w:rPr>
          <w:tab/>
        </w:r>
        <w:r>
          <w:rPr>
            <w:noProof/>
            <w:webHidden/>
          </w:rPr>
          <w:fldChar w:fldCharType="begin"/>
        </w:r>
        <w:r>
          <w:rPr>
            <w:noProof/>
            <w:webHidden/>
          </w:rPr>
          <w:instrText xml:space="preserve"> PAGEREF _Toc153901475 \h </w:instrText>
        </w:r>
        <w:r>
          <w:rPr>
            <w:noProof/>
            <w:webHidden/>
          </w:rPr>
        </w:r>
        <w:r>
          <w:rPr>
            <w:noProof/>
            <w:webHidden/>
          </w:rPr>
          <w:fldChar w:fldCharType="separate"/>
        </w:r>
        <w:r w:rsidR="00565B02">
          <w:rPr>
            <w:noProof/>
            <w:webHidden/>
          </w:rPr>
          <w:t>219</w:t>
        </w:r>
        <w:r>
          <w:rPr>
            <w:noProof/>
            <w:webHidden/>
          </w:rPr>
          <w:fldChar w:fldCharType="end"/>
        </w:r>
      </w:hyperlink>
    </w:p>
    <w:p w14:paraId="4E7803EA" w14:textId="715FBA5A" w:rsidR="00566668" w:rsidRDefault="00566668">
      <w:pPr>
        <w:pStyle w:val="TableofFigures"/>
        <w:tabs>
          <w:tab w:val="right" w:leader="dot" w:pos="9628"/>
        </w:tabs>
        <w:rPr>
          <w:rFonts w:eastAsiaTheme="minorEastAsia"/>
          <w:noProof/>
          <w:kern w:val="2"/>
          <w:lang w:val="en-US"/>
          <w14:ligatures w14:val="standardContextual"/>
        </w:rPr>
      </w:pPr>
      <w:hyperlink w:anchor="_Toc153901476" w:history="1">
        <w:r w:rsidRPr="00EB3088">
          <w:rPr>
            <w:rStyle w:val="Hyperlink"/>
            <w:noProof/>
          </w:rPr>
          <w:t>Табела 4.4: Топлотни капацитети интерконективних далековода по границама</w:t>
        </w:r>
        <w:r>
          <w:rPr>
            <w:noProof/>
            <w:webHidden/>
          </w:rPr>
          <w:tab/>
        </w:r>
        <w:r>
          <w:rPr>
            <w:noProof/>
            <w:webHidden/>
          </w:rPr>
          <w:fldChar w:fldCharType="begin"/>
        </w:r>
        <w:r>
          <w:rPr>
            <w:noProof/>
            <w:webHidden/>
          </w:rPr>
          <w:instrText xml:space="preserve"> PAGEREF _Toc153901476 \h </w:instrText>
        </w:r>
        <w:r>
          <w:rPr>
            <w:noProof/>
            <w:webHidden/>
          </w:rPr>
        </w:r>
        <w:r>
          <w:rPr>
            <w:noProof/>
            <w:webHidden/>
          </w:rPr>
          <w:fldChar w:fldCharType="separate"/>
        </w:r>
        <w:r w:rsidR="00565B02">
          <w:rPr>
            <w:noProof/>
            <w:webHidden/>
          </w:rPr>
          <w:t>252</w:t>
        </w:r>
        <w:r>
          <w:rPr>
            <w:noProof/>
            <w:webHidden/>
          </w:rPr>
          <w:fldChar w:fldCharType="end"/>
        </w:r>
      </w:hyperlink>
    </w:p>
    <w:p w14:paraId="6D3B05F7" w14:textId="6975FABE" w:rsidR="00566668" w:rsidRDefault="00566668">
      <w:pPr>
        <w:pStyle w:val="TableofFigures"/>
        <w:tabs>
          <w:tab w:val="right" w:leader="dot" w:pos="9628"/>
        </w:tabs>
        <w:rPr>
          <w:rFonts w:eastAsiaTheme="minorEastAsia"/>
          <w:noProof/>
          <w:kern w:val="2"/>
          <w:lang w:val="en-US"/>
          <w14:ligatures w14:val="standardContextual"/>
        </w:rPr>
      </w:pPr>
      <w:hyperlink w:anchor="_Toc153901477" w:history="1">
        <w:r w:rsidRPr="00EB3088">
          <w:rPr>
            <w:rStyle w:val="Hyperlink"/>
            <w:noProof/>
          </w:rPr>
          <w:t>Табела 5.1: Пројекције одређивања цена угљеника</w:t>
        </w:r>
        <w:r>
          <w:rPr>
            <w:noProof/>
            <w:webHidden/>
          </w:rPr>
          <w:tab/>
        </w:r>
        <w:r>
          <w:rPr>
            <w:noProof/>
            <w:webHidden/>
          </w:rPr>
          <w:fldChar w:fldCharType="begin"/>
        </w:r>
        <w:r>
          <w:rPr>
            <w:noProof/>
            <w:webHidden/>
          </w:rPr>
          <w:instrText xml:space="preserve"> PAGEREF _Toc153901477 \h </w:instrText>
        </w:r>
        <w:r>
          <w:rPr>
            <w:noProof/>
            <w:webHidden/>
          </w:rPr>
        </w:r>
        <w:r>
          <w:rPr>
            <w:noProof/>
            <w:webHidden/>
          </w:rPr>
          <w:fldChar w:fldCharType="separate"/>
        </w:r>
        <w:r w:rsidR="00565B02">
          <w:rPr>
            <w:noProof/>
            <w:webHidden/>
          </w:rPr>
          <w:t>266</w:t>
        </w:r>
        <w:r>
          <w:rPr>
            <w:noProof/>
            <w:webHidden/>
          </w:rPr>
          <w:fldChar w:fldCharType="end"/>
        </w:r>
      </w:hyperlink>
    </w:p>
    <w:p w14:paraId="0C60CC65" w14:textId="03A7C03C" w:rsidR="00566668" w:rsidRDefault="00566668">
      <w:pPr>
        <w:pStyle w:val="TableofFigures"/>
        <w:tabs>
          <w:tab w:val="right" w:leader="dot" w:pos="9628"/>
        </w:tabs>
        <w:rPr>
          <w:rFonts w:eastAsiaTheme="minorEastAsia"/>
          <w:noProof/>
          <w:kern w:val="2"/>
          <w:lang w:val="en-US"/>
          <w14:ligatures w14:val="standardContextual"/>
        </w:rPr>
      </w:pPr>
      <w:hyperlink w:anchor="_Toc153901478" w:history="1">
        <w:r w:rsidRPr="00EB3088">
          <w:rPr>
            <w:rStyle w:val="Hyperlink"/>
            <w:noProof/>
          </w:rPr>
          <w:t>Табела 5.2: Инсталисани капацитет ОИЕ по технологији и сценарију</w:t>
        </w:r>
        <w:r>
          <w:rPr>
            <w:noProof/>
            <w:webHidden/>
          </w:rPr>
          <w:tab/>
        </w:r>
        <w:r>
          <w:rPr>
            <w:noProof/>
            <w:webHidden/>
          </w:rPr>
          <w:fldChar w:fldCharType="begin"/>
        </w:r>
        <w:r>
          <w:rPr>
            <w:noProof/>
            <w:webHidden/>
          </w:rPr>
          <w:instrText xml:space="preserve"> PAGEREF _Toc153901478 \h </w:instrText>
        </w:r>
        <w:r>
          <w:rPr>
            <w:noProof/>
            <w:webHidden/>
          </w:rPr>
        </w:r>
        <w:r>
          <w:rPr>
            <w:noProof/>
            <w:webHidden/>
          </w:rPr>
          <w:fldChar w:fldCharType="separate"/>
        </w:r>
        <w:r w:rsidR="00565B02">
          <w:rPr>
            <w:noProof/>
            <w:webHidden/>
          </w:rPr>
          <w:t>276</w:t>
        </w:r>
        <w:r>
          <w:rPr>
            <w:noProof/>
            <w:webHidden/>
          </w:rPr>
          <w:fldChar w:fldCharType="end"/>
        </w:r>
      </w:hyperlink>
    </w:p>
    <w:p w14:paraId="788DF550" w14:textId="6FB3F634" w:rsidR="00566668" w:rsidRDefault="00566668">
      <w:pPr>
        <w:pStyle w:val="TableofFigures"/>
        <w:tabs>
          <w:tab w:val="right" w:leader="dot" w:pos="9628"/>
        </w:tabs>
        <w:rPr>
          <w:rFonts w:eastAsiaTheme="minorEastAsia"/>
          <w:noProof/>
          <w:kern w:val="2"/>
          <w:lang w:val="en-US"/>
          <w14:ligatures w14:val="standardContextual"/>
        </w:rPr>
      </w:pPr>
      <w:hyperlink w:anchor="_Toc153901479" w:history="1">
        <w:r w:rsidRPr="00EB3088">
          <w:rPr>
            <w:rStyle w:val="Hyperlink"/>
            <w:noProof/>
          </w:rPr>
          <w:t>Табела 5.3: Димензија мера и трошкови имплементације</w:t>
        </w:r>
        <w:r>
          <w:rPr>
            <w:noProof/>
            <w:webHidden/>
          </w:rPr>
          <w:tab/>
        </w:r>
        <w:r>
          <w:rPr>
            <w:noProof/>
            <w:webHidden/>
          </w:rPr>
          <w:fldChar w:fldCharType="begin"/>
        </w:r>
        <w:r>
          <w:rPr>
            <w:noProof/>
            <w:webHidden/>
          </w:rPr>
          <w:instrText xml:space="preserve"> PAGEREF _Toc153901479 \h </w:instrText>
        </w:r>
        <w:r>
          <w:rPr>
            <w:noProof/>
            <w:webHidden/>
          </w:rPr>
        </w:r>
        <w:r>
          <w:rPr>
            <w:noProof/>
            <w:webHidden/>
          </w:rPr>
          <w:fldChar w:fldCharType="separate"/>
        </w:r>
        <w:r w:rsidR="00565B02">
          <w:rPr>
            <w:noProof/>
            <w:webHidden/>
          </w:rPr>
          <w:t>304</w:t>
        </w:r>
        <w:r>
          <w:rPr>
            <w:noProof/>
            <w:webHidden/>
          </w:rPr>
          <w:fldChar w:fldCharType="end"/>
        </w:r>
      </w:hyperlink>
    </w:p>
    <w:p w14:paraId="7908E7DC" w14:textId="20A54E80" w:rsidR="00566668" w:rsidRDefault="00566668">
      <w:pPr>
        <w:pStyle w:val="TableofFigures"/>
        <w:tabs>
          <w:tab w:val="right" w:leader="dot" w:pos="9628"/>
        </w:tabs>
        <w:rPr>
          <w:rFonts w:eastAsiaTheme="minorEastAsia"/>
          <w:noProof/>
          <w:kern w:val="2"/>
          <w:lang w:val="en-US"/>
          <w14:ligatures w14:val="standardContextual"/>
        </w:rPr>
      </w:pPr>
      <w:hyperlink w:anchor="_Toc153901480" w:history="1">
        <w:r w:rsidRPr="00EB3088">
          <w:rPr>
            <w:rStyle w:val="Hyperlink"/>
            <w:noProof/>
          </w:rPr>
          <w:t>Табела 5.4: Индикативни преглед програма подршке зеленој транзицији Србије</w:t>
        </w:r>
        <w:r>
          <w:rPr>
            <w:noProof/>
            <w:webHidden/>
          </w:rPr>
          <w:tab/>
        </w:r>
        <w:r>
          <w:rPr>
            <w:noProof/>
            <w:webHidden/>
          </w:rPr>
          <w:fldChar w:fldCharType="begin"/>
        </w:r>
        <w:r>
          <w:rPr>
            <w:noProof/>
            <w:webHidden/>
          </w:rPr>
          <w:instrText xml:space="preserve"> PAGEREF _Toc153901480 \h </w:instrText>
        </w:r>
        <w:r>
          <w:rPr>
            <w:noProof/>
            <w:webHidden/>
          </w:rPr>
        </w:r>
        <w:r>
          <w:rPr>
            <w:noProof/>
            <w:webHidden/>
          </w:rPr>
          <w:fldChar w:fldCharType="separate"/>
        </w:r>
        <w:r w:rsidR="00565B02">
          <w:rPr>
            <w:noProof/>
            <w:webHidden/>
          </w:rPr>
          <w:t>305</w:t>
        </w:r>
        <w:r>
          <w:rPr>
            <w:noProof/>
            <w:webHidden/>
          </w:rPr>
          <w:fldChar w:fldCharType="end"/>
        </w:r>
      </w:hyperlink>
    </w:p>
    <w:p w14:paraId="65B3CF0B" w14:textId="260361F1" w:rsidR="00566668" w:rsidRDefault="00566668">
      <w:pPr>
        <w:pStyle w:val="TableofFigures"/>
        <w:tabs>
          <w:tab w:val="right" w:leader="dot" w:pos="9628"/>
        </w:tabs>
        <w:rPr>
          <w:rFonts w:eastAsiaTheme="minorEastAsia"/>
          <w:noProof/>
          <w:kern w:val="2"/>
          <w:lang w:val="en-US"/>
          <w14:ligatures w14:val="standardContextual"/>
        </w:rPr>
      </w:pPr>
      <w:hyperlink w:anchor="_Toc153901481" w:history="1">
        <w:r w:rsidRPr="00EB3088">
          <w:rPr>
            <w:rStyle w:val="Hyperlink"/>
            <w:noProof/>
          </w:rPr>
          <w:t>Табела 5.5: Списак најважнијих пројеката регионалне сарадње</w:t>
        </w:r>
        <w:r>
          <w:rPr>
            <w:noProof/>
            <w:webHidden/>
          </w:rPr>
          <w:tab/>
        </w:r>
        <w:r>
          <w:rPr>
            <w:noProof/>
            <w:webHidden/>
          </w:rPr>
          <w:fldChar w:fldCharType="begin"/>
        </w:r>
        <w:r>
          <w:rPr>
            <w:noProof/>
            <w:webHidden/>
          </w:rPr>
          <w:instrText xml:space="preserve"> PAGEREF _Toc153901481 \h </w:instrText>
        </w:r>
        <w:r>
          <w:rPr>
            <w:noProof/>
            <w:webHidden/>
          </w:rPr>
        </w:r>
        <w:r>
          <w:rPr>
            <w:noProof/>
            <w:webHidden/>
          </w:rPr>
          <w:fldChar w:fldCharType="separate"/>
        </w:r>
        <w:r w:rsidR="00565B02">
          <w:rPr>
            <w:noProof/>
            <w:webHidden/>
          </w:rPr>
          <w:t>309</w:t>
        </w:r>
        <w:r>
          <w:rPr>
            <w:noProof/>
            <w:webHidden/>
          </w:rPr>
          <w:fldChar w:fldCharType="end"/>
        </w:r>
      </w:hyperlink>
    </w:p>
    <w:p w14:paraId="3E1AB708" w14:textId="3D3442C5" w:rsidR="00566668" w:rsidRDefault="00566668">
      <w:pPr>
        <w:pStyle w:val="TableofFigures"/>
        <w:tabs>
          <w:tab w:val="right" w:leader="dot" w:pos="9628"/>
        </w:tabs>
        <w:rPr>
          <w:rFonts w:eastAsiaTheme="minorEastAsia"/>
          <w:noProof/>
          <w:kern w:val="2"/>
          <w:lang w:val="en-US"/>
          <w14:ligatures w14:val="standardContextual"/>
        </w:rPr>
      </w:pPr>
      <w:hyperlink w:anchor="_Toc153901482" w:history="1">
        <w:r w:rsidRPr="00EB3088">
          <w:rPr>
            <w:rStyle w:val="Hyperlink"/>
            <w:noProof/>
          </w:rPr>
          <w:t>Табела I.1</w:t>
        </w:r>
        <w:r w:rsidRPr="00EB3088">
          <w:rPr>
            <w:rStyle w:val="Hyperlink"/>
            <w:noProof/>
            <w:lang w:val="sr-Latn-RS"/>
          </w:rPr>
          <w:t xml:space="preserve">: </w:t>
        </w:r>
        <w:r w:rsidRPr="00EB3088">
          <w:rPr>
            <w:rStyle w:val="Hyperlink"/>
            <w:noProof/>
          </w:rPr>
          <w:t>Мере политике димензије декарбонизација</w:t>
        </w:r>
        <w:r>
          <w:rPr>
            <w:noProof/>
            <w:webHidden/>
          </w:rPr>
          <w:tab/>
        </w:r>
        <w:r>
          <w:rPr>
            <w:noProof/>
            <w:webHidden/>
          </w:rPr>
          <w:fldChar w:fldCharType="begin"/>
        </w:r>
        <w:r>
          <w:rPr>
            <w:noProof/>
            <w:webHidden/>
          </w:rPr>
          <w:instrText xml:space="preserve"> PAGEREF _Toc153901482 \h </w:instrText>
        </w:r>
        <w:r>
          <w:rPr>
            <w:noProof/>
            <w:webHidden/>
          </w:rPr>
        </w:r>
        <w:r>
          <w:rPr>
            <w:noProof/>
            <w:webHidden/>
          </w:rPr>
          <w:fldChar w:fldCharType="separate"/>
        </w:r>
        <w:r w:rsidR="00565B02">
          <w:rPr>
            <w:noProof/>
            <w:webHidden/>
          </w:rPr>
          <w:t>310</w:t>
        </w:r>
        <w:r>
          <w:rPr>
            <w:noProof/>
            <w:webHidden/>
          </w:rPr>
          <w:fldChar w:fldCharType="end"/>
        </w:r>
      </w:hyperlink>
    </w:p>
    <w:p w14:paraId="21EC862D" w14:textId="03E9C6D2" w:rsidR="00566668" w:rsidRDefault="00566668">
      <w:pPr>
        <w:pStyle w:val="TableofFigures"/>
        <w:tabs>
          <w:tab w:val="right" w:leader="dot" w:pos="9628"/>
        </w:tabs>
        <w:rPr>
          <w:rFonts w:eastAsiaTheme="minorEastAsia"/>
          <w:noProof/>
          <w:kern w:val="2"/>
          <w:lang w:val="en-US"/>
          <w14:ligatures w14:val="standardContextual"/>
        </w:rPr>
      </w:pPr>
      <w:hyperlink w:anchor="_Toc153901483" w:history="1">
        <w:r w:rsidRPr="00EB3088">
          <w:rPr>
            <w:rStyle w:val="Hyperlink"/>
            <w:noProof/>
          </w:rPr>
          <w:t>Табела I.2: Мере политике димензије енергетска ефикасност</w:t>
        </w:r>
        <w:r>
          <w:rPr>
            <w:noProof/>
            <w:webHidden/>
          </w:rPr>
          <w:tab/>
        </w:r>
        <w:r>
          <w:rPr>
            <w:noProof/>
            <w:webHidden/>
          </w:rPr>
          <w:fldChar w:fldCharType="begin"/>
        </w:r>
        <w:r>
          <w:rPr>
            <w:noProof/>
            <w:webHidden/>
          </w:rPr>
          <w:instrText xml:space="preserve"> PAGEREF _Toc153901483 \h </w:instrText>
        </w:r>
        <w:r>
          <w:rPr>
            <w:noProof/>
            <w:webHidden/>
          </w:rPr>
        </w:r>
        <w:r>
          <w:rPr>
            <w:noProof/>
            <w:webHidden/>
          </w:rPr>
          <w:fldChar w:fldCharType="separate"/>
        </w:r>
        <w:r w:rsidR="00565B02">
          <w:rPr>
            <w:noProof/>
            <w:webHidden/>
          </w:rPr>
          <w:t>313</w:t>
        </w:r>
        <w:r>
          <w:rPr>
            <w:noProof/>
            <w:webHidden/>
          </w:rPr>
          <w:fldChar w:fldCharType="end"/>
        </w:r>
      </w:hyperlink>
    </w:p>
    <w:p w14:paraId="09E41EC7" w14:textId="5037CF87" w:rsidR="00566668" w:rsidRDefault="00566668">
      <w:pPr>
        <w:pStyle w:val="TableofFigures"/>
        <w:tabs>
          <w:tab w:val="right" w:leader="dot" w:pos="9628"/>
        </w:tabs>
        <w:rPr>
          <w:rFonts w:eastAsiaTheme="minorEastAsia"/>
          <w:noProof/>
          <w:kern w:val="2"/>
          <w:lang w:val="en-US"/>
          <w14:ligatures w14:val="standardContextual"/>
        </w:rPr>
      </w:pPr>
      <w:hyperlink w:anchor="_Toc153901484" w:history="1">
        <w:r w:rsidRPr="00EB3088">
          <w:rPr>
            <w:rStyle w:val="Hyperlink"/>
            <w:noProof/>
          </w:rPr>
          <w:t>Табела I.3: Мере политике димензије енергетска сигурност</w:t>
        </w:r>
        <w:r>
          <w:rPr>
            <w:noProof/>
            <w:webHidden/>
          </w:rPr>
          <w:tab/>
        </w:r>
        <w:r>
          <w:rPr>
            <w:noProof/>
            <w:webHidden/>
          </w:rPr>
          <w:fldChar w:fldCharType="begin"/>
        </w:r>
        <w:r>
          <w:rPr>
            <w:noProof/>
            <w:webHidden/>
          </w:rPr>
          <w:instrText xml:space="preserve"> PAGEREF _Toc153901484 \h </w:instrText>
        </w:r>
        <w:r>
          <w:rPr>
            <w:noProof/>
            <w:webHidden/>
          </w:rPr>
        </w:r>
        <w:r>
          <w:rPr>
            <w:noProof/>
            <w:webHidden/>
          </w:rPr>
          <w:fldChar w:fldCharType="separate"/>
        </w:r>
        <w:r w:rsidR="00565B02">
          <w:rPr>
            <w:noProof/>
            <w:webHidden/>
          </w:rPr>
          <w:t>316</w:t>
        </w:r>
        <w:r>
          <w:rPr>
            <w:noProof/>
            <w:webHidden/>
          </w:rPr>
          <w:fldChar w:fldCharType="end"/>
        </w:r>
      </w:hyperlink>
    </w:p>
    <w:p w14:paraId="0F7D7523" w14:textId="49DC62ED" w:rsidR="00566668" w:rsidRDefault="00566668">
      <w:pPr>
        <w:pStyle w:val="TableofFigures"/>
        <w:tabs>
          <w:tab w:val="right" w:leader="dot" w:pos="9628"/>
        </w:tabs>
        <w:rPr>
          <w:rFonts w:eastAsiaTheme="minorEastAsia"/>
          <w:noProof/>
          <w:kern w:val="2"/>
          <w:lang w:val="en-US"/>
          <w14:ligatures w14:val="standardContextual"/>
        </w:rPr>
      </w:pPr>
      <w:hyperlink w:anchor="_Toc153901485" w:history="1">
        <w:r w:rsidRPr="00EB3088">
          <w:rPr>
            <w:rStyle w:val="Hyperlink"/>
            <w:noProof/>
          </w:rPr>
          <w:t>Табела I.4: Мере политике димензије унутрашње енергетско тржиште</w:t>
        </w:r>
        <w:r>
          <w:rPr>
            <w:noProof/>
            <w:webHidden/>
          </w:rPr>
          <w:tab/>
        </w:r>
        <w:r>
          <w:rPr>
            <w:noProof/>
            <w:webHidden/>
          </w:rPr>
          <w:fldChar w:fldCharType="begin"/>
        </w:r>
        <w:r>
          <w:rPr>
            <w:noProof/>
            <w:webHidden/>
          </w:rPr>
          <w:instrText xml:space="preserve"> PAGEREF _Toc153901485 \h </w:instrText>
        </w:r>
        <w:r>
          <w:rPr>
            <w:noProof/>
            <w:webHidden/>
          </w:rPr>
        </w:r>
        <w:r>
          <w:rPr>
            <w:noProof/>
            <w:webHidden/>
          </w:rPr>
          <w:fldChar w:fldCharType="separate"/>
        </w:r>
        <w:r w:rsidR="00565B02">
          <w:rPr>
            <w:noProof/>
            <w:webHidden/>
          </w:rPr>
          <w:t>316</w:t>
        </w:r>
        <w:r>
          <w:rPr>
            <w:noProof/>
            <w:webHidden/>
          </w:rPr>
          <w:fldChar w:fldCharType="end"/>
        </w:r>
      </w:hyperlink>
    </w:p>
    <w:p w14:paraId="5B038612" w14:textId="5B5F18E8" w:rsidR="00566668" w:rsidRDefault="00566668">
      <w:pPr>
        <w:pStyle w:val="TableofFigures"/>
        <w:tabs>
          <w:tab w:val="right" w:leader="dot" w:pos="9628"/>
        </w:tabs>
        <w:rPr>
          <w:rFonts w:eastAsiaTheme="minorEastAsia"/>
          <w:noProof/>
          <w:kern w:val="2"/>
          <w:lang w:val="en-US"/>
          <w14:ligatures w14:val="standardContextual"/>
        </w:rPr>
      </w:pPr>
      <w:hyperlink w:anchor="_Toc153901486" w:history="1">
        <w:r w:rsidRPr="00EB3088">
          <w:rPr>
            <w:rStyle w:val="Hyperlink"/>
            <w:noProof/>
          </w:rPr>
          <w:t>Табела I.5: Мере политике димензије истраживање, иновације и конкурентност</w:t>
        </w:r>
        <w:r>
          <w:rPr>
            <w:noProof/>
            <w:webHidden/>
          </w:rPr>
          <w:tab/>
        </w:r>
        <w:r>
          <w:rPr>
            <w:noProof/>
            <w:webHidden/>
          </w:rPr>
          <w:fldChar w:fldCharType="begin"/>
        </w:r>
        <w:r>
          <w:rPr>
            <w:noProof/>
            <w:webHidden/>
          </w:rPr>
          <w:instrText xml:space="preserve"> PAGEREF _Toc153901486 \h </w:instrText>
        </w:r>
        <w:r>
          <w:rPr>
            <w:noProof/>
            <w:webHidden/>
          </w:rPr>
        </w:r>
        <w:r>
          <w:rPr>
            <w:noProof/>
            <w:webHidden/>
          </w:rPr>
          <w:fldChar w:fldCharType="separate"/>
        </w:r>
        <w:r w:rsidR="00565B02">
          <w:rPr>
            <w:noProof/>
            <w:webHidden/>
          </w:rPr>
          <w:t>318</w:t>
        </w:r>
        <w:r>
          <w:rPr>
            <w:noProof/>
            <w:webHidden/>
          </w:rPr>
          <w:fldChar w:fldCharType="end"/>
        </w:r>
      </w:hyperlink>
    </w:p>
    <w:p w14:paraId="313B4FE2" w14:textId="1A62672B" w:rsidR="00566668" w:rsidRDefault="00566668">
      <w:pPr>
        <w:pStyle w:val="TableofFigures"/>
        <w:tabs>
          <w:tab w:val="right" w:leader="dot" w:pos="9628"/>
        </w:tabs>
        <w:rPr>
          <w:rFonts w:eastAsiaTheme="minorEastAsia"/>
          <w:noProof/>
          <w:kern w:val="2"/>
          <w:lang w:val="en-US"/>
          <w14:ligatures w14:val="standardContextual"/>
        </w:rPr>
      </w:pPr>
      <w:hyperlink w:anchor="_Toc153901487" w:history="1">
        <w:r w:rsidRPr="00EB3088">
          <w:rPr>
            <w:rStyle w:val="Hyperlink"/>
            <w:noProof/>
          </w:rPr>
          <w:t>Табела II.1: Просечни општи резултати Сценарија S за циљну 2030. годину</w:t>
        </w:r>
        <w:r>
          <w:rPr>
            <w:noProof/>
            <w:webHidden/>
          </w:rPr>
          <w:tab/>
        </w:r>
        <w:r>
          <w:rPr>
            <w:noProof/>
            <w:webHidden/>
          </w:rPr>
          <w:fldChar w:fldCharType="begin"/>
        </w:r>
        <w:r>
          <w:rPr>
            <w:noProof/>
            <w:webHidden/>
          </w:rPr>
          <w:instrText xml:space="preserve"> PAGEREF _Toc153901487 \h </w:instrText>
        </w:r>
        <w:r>
          <w:rPr>
            <w:noProof/>
            <w:webHidden/>
          </w:rPr>
        </w:r>
        <w:r>
          <w:rPr>
            <w:noProof/>
            <w:webHidden/>
          </w:rPr>
          <w:fldChar w:fldCharType="separate"/>
        </w:r>
        <w:r w:rsidR="00565B02">
          <w:rPr>
            <w:noProof/>
            <w:webHidden/>
          </w:rPr>
          <w:t>320</w:t>
        </w:r>
        <w:r>
          <w:rPr>
            <w:noProof/>
            <w:webHidden/>
          </w:rPr>
          <w:fldChar w:fldCharType="end"/>
        </w:r>
      </w:hyperlink>
    </w:p>
    <w:p w14:paraId="4B7467CB" w14:textId="32D9D5BB" w:rsidR="00566668" w:rsidRDefault="00566668">
      <w:pPr>
        <w:pStyle w:val="TableofFigures"/>
        <w:tabs>
          <w:tab w:val="right" w:leader="dot" w:pos="9628"/>
        </w:tabs>
        <w:rPr>
          <w:rFonts w:eastAsiaTheme="minorEastAsia"/>
          <w:noProof/>
          <w:kern w:val="2"/>
          <w:lang w:val="en-US"/>
          <w14:ligatures w14:val="standardContextual"/>
        </w:rPr>
      </w:pPr>
      <w:hyperlink w:anchor="_Toc153901488" w:history="1">
        <w:r w:rsidRPr="00EB3088">
          <w:rPr>
            <w:rStyle w:val="Hyperlink"/>
            <w:noProof/>
          </w:rPr>
          <w:t>Табела II.2 : Просечни годишњи резултати РХ Сценарија S за циљну 2030. годину</w:t>
        </w:r>
        <w:r>
          <w:rPr>
            <w:noProof/>
            <w:webHidden/>
          </w:rPr>
          <w:tab/>
        </w:r>
        <w:r>
          <w:rPr>
            <w:noProof/>
            <w:webHidden/>
          </w:rPr>
          <w:fldChar w:fldCharType="begin"/>
        </w:r>
        <w:r>
          <w:rPr>
            <w:noProof/>
            <w:webHidden/>
          </w:rPr>
          <w:instrText xml:space="preserve"> PAGEREF _Toc153901488 \h </w:instrText>
        </w:r>
        <w:r>
          <w:rPr>
            <w:noProof/>
            <w:webHidden/>
          </w:rPr>
        </w:r>
        <w:r>
          <w:rPr>
            <w:noProof/>
            <w:webHidden/>
          </w:rPr>
          <w:fldChar w:fldCharType="separate"/>
        </w:r>
        <w:r w:rsidR="00565B02">
          <w:rPr>
            <w:noProof/>
            <w:webHidden/>
          </w:rPr>
          <w:t>321</w:t>
        </w:r>
        <w:r>
          <w:rPr>
            <w:noProof/>
            <w:webHidden/>
          </w:rPr>
          <w:fldChar w:fldCharType="end"/>
        </w:r>
      </w:hyperlink>
    </w:p>
    <w:p w14:paraId="4BBEB6A7" w14:textId="78937AC3" w:rsidR="00566668" w:rsidRDefault="00566668">
      <w:pPr>
        <w:pStyle w:val="TableofFigures"/>
        <w:tabs>
          <w:tab w:val="right" w:leader="dot" w:pos="9628"/>
        </w:tabs>
        <w:rPr>
          <w:rFonts w:eastAsiaTheme="minorEastAsia"/>
          <w:noProof/>
          <w:kern w:val="2"/>
          <w:lang w:val="en-US"/>
          <w14:ligatures w14:val="standardContextual"/>
        </w:rPr>
      </w:pPr>
      <w:hyperlink w:anchor="_Toc153901489" w:history="1">
        <w:r w:rsidRPr="00EB3088">
          <w:rPr>
            <w:rStyle w:val="Hyperlink"/>
            <w:noProof/>
          </w:rPr>
          <w:t>Табела II.3: Просечни општи резултати сценарија S за циљну 2040. годину</w:t>
        </w:r>
        <w:r>
          <w:rPr>
            <w:noProof/>
            <w:webHidden/>
          </w:rPr>
          <w:tab/>
        </w:r>
        <w:r>
          <w:rPr>
            <w:noProof/>
            <w:webHidden/>
          </w:rPr>
          <w:fldChar w:fldCharType="begin"/>
        </w:r>
        <w:r>
          <w:rPr>
            <w:noProof/>
            <w:webHidden/>
          </w:rPr>
          <w:instrText xml:space="preserve"> PAGEREF _Toc153901489 \h </w:instrText>
        </w:r>
        <w:r>
          <w:rPr>
            <w:noProof/>
            <w:webHidden/>
          </w:rPr>
        </w:r>
        <w:r>
          <w:rPr>
            <w:noProof/>
            <w:webHidden/>
          </w:rPr>
          <w:fldChar w:fldCharType="separate"/>
        </w:r>
        <w:r w:rsidR="00565B02">
          <w:rPr>
            <w:noProof/>
            <w:webHidden/>
          </w:rPr>
          <w:t>321</w:t>
        </w:r>
        <w:r>
          <w:rPr>
            <w:noProof/>
            <w:webHidden/>
          </w:rPr>
          <w:fldChar w:fldCharType="end"/>
        </w:r>
      </w:hyperlink>
    </w:p>
    <w:p w14:paraId="6E7211B0" w14:textId="7D8D0EA8" w:rsidR="00566668" w:rsidRDefault="00566668">
      <w:pPr>
        <w:pStyle w:val="TableofFigures"/>
        <w:tabs>
          <w:tab w:val="right" w:leader="dot" w:pos="9628"/>
        </w:tabs>
        <w:rPr>
          <w:rFonts w:eastAsiaTheme="minorEastAsia"/>
          <w:noProof/>
          <w:kern w:val="2"/>
          <w:lang w:val="en-US"/>
          <w14:ligatures w14:val="standardContextual"/>
        </w:rPr>
      </w:pPr>
      <w:hyperlink w:anchor="_Toc153901490" w:history="1">
        <w:r w:rsidRPr="00EB3088">
          <w:rPr>
            <w:rStyle w:val="Hyperlink"/>
            <w:noProof/>
          </w:rPr>
          <w:t>Табела II.4: Просечни годишњи резултати РХЕ Сценарија S за циљну 2040. годину</w:t>
        </w:r>
        <w:r>
          <w:rPr>
            <w:noProof/>
            <w:webHidden/>
          </w:rPr>
          <w:tab/>
        </w:r>
        <w:r>
          <w:rPr>
            <w:noProof/>
            <w:webHidden/>
          </w:rPr>
          <w:fldChar w:fldCharType="begin"/>
        </w:r>
        <w:r>
          <w:rPr>
            <w:noProof/>
            <w:webHidden/>
          </w:rPr>
          <w:instrText xml:space="preserve"> PAGEREF _Toc153901490 \h </w:instrText>
        </w:r>
        <w:r>
          <w:rPr>
            <w:noProof/>
            <w:webHidden/>
          </w:rPr>
        </w:r>
        <w:r>
          <w:rPr>
            <w:noProof/>
            <w:webHidden/>
          </w:rPr>
          <w:fldChar w:fldCharType="separate"/>
        </w:r>
        <w:r w:rsidR="00565B02">
          <w:rPr>
            <w:noProof/>
            <w:webHidden/>
          </w:rPr>
          <w:t>322</w:t>
        </w:r>
        <w:r>
          <w:rPr>
            <w:noProof/>
            <w:webHidden/>
          </w:rPr>
          <w:fldChar w:fldCharType="end"/>
        </w:r>
      </w:hyperlink>
    </w:p>
    <w:p w14:paraId="291D71CB" w14:textId="151C309F" w:rsidR="00566668" w:rsidRDefault="00566668">
      <w:pPr>
        <w:pStyle w:val="TableofFigures"/>
        <w:tabs>
          <w:tab w:val="right" w:leader="dot" w:pos="9628"/>
        </w:tabs>
        <w:rPr>
          <w:rFonts w:eastAsiaTheme="minorEastAsia"/>
          <w:noProof/>
          <w:kern w:val="2"/>
          <w:lang w:val="en-US"/>
          <w14:ligatures w14:val="standardContextual"/>
        </w:rPr>
      </w:pPr>
      <w:hyperlink w:anchor="_Toc153901491" w:history="1">
        <w:r w:rsidRPr="00EB3088">
          <w:rPr>
            <w:rStyle w:val="Hyperlink"/>
            <w:noProof/>
          </w:rPr>
          <w:t>Табела II.5: Капацитети уз разматрање сигурности снабдевања</w:t>
        </w:r>
        <w:r>
          <w:rPr>
            <w:noProof/>
            <w:webHidden/>
          </w:rPr>
          <w:tab/>
        </w:r>
        <w:r>
          <w:rPr>
            <w:noProof/>
            <w:webHidden/>
          </w:rPr>
          <w:fldChar w:fldCharType="begin"/>
        </w:r>
        <w:r>
          <w:rPr>
            <w:noProof/>
            <w:webHidden/>
          </w:rPr>
          <w:instrText xml:space="preserve"> PAGEREF _Toc153901491 \h </w:instrText>
        </w:r>
        <w:r>
          <w:rPr>
            <w:noProof/>
            <w:webHidden/>
          </w:rPr>
        </w:r>
        <w:r>
          <w:rPr>
            <w:noProof/>
            <w:webHidden/>
          </w:rPr>
          <w:fldChar w:fldCharType="separate"/>
        </w:r>
        <w:r w:rsidR="00565B02">
          <w:rPr>
            <w:noProof/>
            <w:webHidden/>
          </w:rPr>
          <w:t>322</w:t>
        </w:r>
        <w:r>
          <w:rPr>
            <w:noProof/>
            <w:webHidden/>
          </w:rPr>
          <w:fldChar w:fldCharType="end"/>
        </w:r>
      </w:hyperlink>
    </w:p>
    <w:p w14:paraId="69A33F1A" w14:textId="4D31EE6D" w:rsidR="00566668" w:rsidRDefault="00566668">
      <w:pPr>
        <w:pStyle w:val="TableofFigures"/>
        <w:tabs>
          <w:tab w:val="right" w:leader="dot" w:pos="9628"/>
        </w:tabs>
        <w:rPr>
          <w:rFonts w:eastAsiaTheme="minorEastAsia"/>
          <w:noProof/>
          <w:kern w:val="2"/>
          <w:lang w:val="en-US"/>
          <w14:ligatures w14:val="standardContextual"/>
        </w:rPr>
      </w:pPr>
      <w:hyperlink w:anchor="_Toc153901492" w:history="1">
        <w:r w:rsidRPr="00EB3088">
          <w:rPr>
            <w:rStyle w:val="Hyperlink"/>
            <w:noProof/>
          </w:rPr>
          <w:t>Табела II.6: Производња уз разматрање сигурности снабдевања</w:t>
        </w:r>
        <w:r>
          <w:rPr>
            <w:noProof/>
            <w:webHidden/>
          </w:rPr>
          <w:tab/>
        </w:r>
        <w:r>
          <w:rPr>
            <w:noProof/>
            <w:webHidden/>
          </w:rPr>
          <w:fldChar w:fldCharType="begin"/>
        </w:r>
        <w:r>
          <w:rPr>
            <w:noProof/>
            <w:webHidden/>
          </w:rPr>
          <w:instrText xml:space="preserve"> PAGEREF _Toc153901492 \h </w:instrText>
        </w:r>
        <w:r>
          <w:rPr>
            <w:noProof/>
            <w:webHidden/>
          </w:rPr>
        </w:r>
        <w:r>
          <w:rPr>
            <w:noProof/>
            <w:webHidden/>
          </w:rPr>
          <w:fldChar w:fldCharType="separate"/>
        </w:r>
        <w:r w:rsidR="00565B02">
          <w:rPr>
            <w:noProof/>
            <w:webHidden/>
          </w:rPr>
          <w:t>323</w:t>
        </w:r>
        <w:r>
          <w:rPr>
            <w:noProof/>
            <w:webHidden/>
          </w:rPr>
          <w:fldChar w:fldCharType="end"/>
        </w:r>
      </w:hyperlink>
    </w:p>
    <w:p w14:paraId="36B8B7CA" w14:textId="192A497B" w:rsidR="00566668" w:rsidRDefault="00566668">
      <w:pPr>
        <w:pStyle w:val="TableofFigures"/>
        <w:tabs>
          <w:tab w:val="right" w:leader="dot" w:pos="9628"/>
        </w:tabs>
        <w:rPr>
          <w:rFonts w:eastAsiaTheme="minorEastAsia"/>
          <w:noProof/>
          <w:kern w:val="2"/>
          <w:lang w:val="en-US"/>
          <w14:ligatures w14:val="standardContextual"/>
        </w:rPr>
      </w:pPr>
      <w:hyperlink w:anchor="_Toc153901493" w:history="1">
        <w:r w:rsidRPr="00EB3088">
          <w:rPr>
            <w:rStyle w:val="Hyperlink"/>
            <w:noProof/>
          </w:rPr>
          <w:t>Табела II.7: Фактори капацитета уз разматрање сигурности снабдевања</w:t>
        </w:r>
        <w:r>
          <w:rPr>
            <w:noProof/>
            <w:webHidden/>
          </w:rPr>
          <w:tab/>
        </w:r>
        <w:r>
          <w:rPr>
            <w:noProof/>
            <w:webHidden/>
          </w:rPr>
          <w:fldChar w:fldCharType="begin"/>
        </w:r>
        <w:r>
          <w:rPr>
            <w:noProof/>
            <w:webHidden/>
          </w:rPr>
          <w:instrText xml:space="preserve"> PAGEREF _Toc153901493 \h </w:instrText>
        </w:r>
        <w:r>
          <w:rPr>
            <w:noProof/>
            <w:webHidden/>
          </w:rPr>
        </w:r>
        <w:r>
          <w:rPr>
            <w:noProof/>
            <w:webHidden/>
          </w:rPr>
          <w:fldChar w:fldCharType="separate"/>
        </w:r>
        <w:r w:rsidR="00565B02">
          <w:rPr>
            <w:noProof/>
            <w:webHidden/>
          </w:rPr>
          <w:t>323</w:t>
        </w:r>
        <w:r>
          <w:rPr>
            <w:noProof/>
            <w:webHidden/>
          </w:rPr>
          <w:fldChar w:fldCharType="end"/>
        </w:r>
      </w:hyperlink>
    </w:p>
    <w:p w14:paraId="676F9713" w14:textId="757E2E5E" w:rsidR="00566668" w:rsidRDefault="00566668">
      <w:pPr>
        <w:pStyle w:val="TableofFigures"/>
        <w:tabs>
          <w:tab w:val="right" w:leader="dot" w:pos="9628"/>
        </w:tabs>
        <w:rPr>
          <w:rFonts w:eastAsiaTheme="minorEastAsia"/>
          <w:noProof/>
          <w:kern w:val="2"/>
          <w:lang w:val="en-US"/>
          <w14:ligatures w14:val="standardContextual"/>
        </w:rPr>
      </w:pPr>
      <w:hyperlink w:anchor="_Toc153901494" w:history="1">
        <w:r w:rsidRPr="00EB3088">
          <w:rPr>
            <w:rStyle w:val="Hyperlink"/>
            <w:noProof/>
          </w:rPr>
          <w:t>Табела III.1: Период изградње типологије стамбених јединица</w:t>
        </w:r>
        <w:r>
          <w:rPr>
            <w:noProof/>
            <w:webHidden/>
          </w:rPr>
          <w:tab/>
        </w:r>
        <w:r>
          <w:rPr>
            <w:noProof/>
            <w:webHidden/>
          </w:rPr>
          <w:fldChar w:fldCharType="begin"/>
        </w:r>
        <w:r>
          <w:rPr>
            <w:noProof/>
            <w:webHidden/>
          </w:rPr>
          <w:instrText xml:space="preserve"> PAGEREF _Toc153901494 \h </w:instrText>
        </w:r>
        <w:r>
          <w:rPr>
            <w:noProof/>
            <w:webHidden/>
          </w:rPr>
        </w:r>
        <w:r>
          <w:rPr>
            <w:noProof/>
            <w:webHidden/>
          </w:rPr>
          <w:fldChar w:fldCharType="separate"/>
        </w:r>
        <w:r w:rsidR="00565B02">
          <w:rPr>
            <w:noProof/>
            <w:webHidden/>
          </w:rPr>
          <w:t>327</w:t>
        </w:r>
        <w:r>
          <w:rPr>
            <w:noProof/>
            <w:webHidden/>
          </w:rPr>
          <w:fldChar w:fldCharType="end"/>
        </w:r>
      </w:hyperlink>
    </w:p>
    <w:p w14:paraId="3F0393D0" w14:textId="446D5FBF" w:rsidR="00566668" w:rsidRDefault="00566668">
      <w:pPr>
        <w:pStyle w:val="TableofFigures"/>
        <w:tabs>
          <w:tab w:val="right" w:leader="dot" w:pos="9628"/>
        </w:tabs>
        <w:rPr>
          <w:rFonts w:eastAsiaTheme="minorEastAsia"/>
          <w:noProof/>
          <w:kern w:val="2"/>
          <w:lang w:val="en-US"/>
          <w14:ligatures w14:val="standardContextual"/>
        </w:rPr>
      </w:pPr>
      <w:hyperlink w:anchor="_Toc153901495" w:history="1">
        <w:r w:rsidRPr="00EB3088">
          <w:rPr>
            <w:rStyle w:val="Hyperlink"/>
            <w:noProof/>
          </w:rPr>
          <w:t>Табела IV.1</w:t>
        </w:r>
        <w:r w:rsidRPr="00EB3088">
          <w:rPr>
            <w:rStyle w:val="Hyperlink"/>
            <w:noProof/>
            <w:lang w:val="sr-Latn-RS"/>
          </w:rPr>
          <w:t>: Табела са додатним пројектима из Плана развоја енергетске инфраструктуре Републике Србије</w:t>
        </w:r>
        <w:r>
          <w:rPr>
            <w:noProof/>
            <w:webHidden/>
          </w:rPr>
          <w:tab/>
        </w:r>
        <w:r>
          <w:rPr>
            <w:noProof/>
            <w:webHidden/>
          </w:rPr>
          <w:fldChar w:fldCharType="begin"/>
        </w:r>
        <w:r>
          <w:rPr>
            <w:noProof/>
            <w:webHidden/>
          </w:rPr>
          <w:instrText xml:space="preserve"> PAGEREF _Toc153901495 \h </w:instrText>
        </w:r>
        <w:r>
          <w:rPr>
            <w:noProof/>
            <w:webHidden/>
          </w:rPr>
        </w:r>
        <w:r>
          <w:rPr>
            <w:noProof/>
            <w:webHidden/>
          </w:rPr>
          <w:fldChar w:fldCharType="separate"/>
        </w:r>
        <w:r w:rsidR="00565B02">
          <w:rPr>
            <w:noProof/>
            <w:webHidden/>
          </w:rPr>
          <w:t>333</w:t>
        </w:r>
        <w:r>
          <w:rPr>
            <w:noProof/>
            <w:webHidden/>
          </w:rPr>
          <w:fldChar w:fldCharType="end"/>
        </w:r>
      </w:hyperlink>
    </w:p>
    <w:p w14:paraId="074A5939" w14:textId="640D34C0" w:rsidR="00566668" w:rsidRDefault="00566668">
      <w:pPr>
        <w:pStyle w:val="TableofFigures"/>
        <w:tabs>
          <w:tab w:val="right" w:leader="dot" w:pos="9628"/>
        </w:tabs>
        <w:rPr>
          <w:rFonts w:eastAsiaTheme="minorEastAsia"/>
          <w:noProof/>
          <w:kern w:val="2"/>
          <w:lang w:val="en-US"/>
          <w14:ligatures w14:val="standardContextual"/>
        </w:rPr>
      </w:pPr>
      <w:hyperlink w:anchor="_Toc153901496" w:history="1">
        <w:r w:rsidRPr="00EB3088">
          <w:rPr>
            <w:rStyle w:val="Hyperlink"/>
            <w:noProof/>
          </w:rPr>
          <w:t>Табела V.1: Сектор енергетске индустрије – емисије у ktons CO2-eq</w:t>
        </w:r>
        <w:r>
          <w:rPr>
            <w:noProof/>
            <w:webHidden/>
          </w:rPr>
          <w:tab/>
        </w:r>
        <w:r>
          <w:rPr>
            <w:noProof/>
            <w:webHidden/>
          </w:rPr>
          <w:fldChar w:fldCharType="begin"/>
        </w:r>
        <w:r>
          <w:rPr>
            <w:noProof/>
            <w:webHidden/>
          </w:rPr>
          <w:instrText xml:space="preserve"> PAGEREF _Toc153901496 \h </w:instrText>
        </w:r>
        <w:r>
          <w:rPr>
            <w:noProof/>
            <w:webHidden/>
          </w:rPr>
        </w:r>
        <w:r>
          <w:rPr>
            <w:noProof/>
            <w:webHidden/>
          </w:rPr>
          <w:fldChar w:fldCharType="separate"/>
        </w:r>
        <w:r w:rsidR="00565B02">
          <w:rPr>
            <w:noProof/>
            <w:webHidden/>
          </w:rPr>
          <w:t>335</w:t>
        </w:r>
        <w:r>
          <w:rPr>
            <w:noProof/>
            <w:webHidden/>
          </w:rPr>
          <w:fldChar w:fldCharType="end"/>
        </w:r>
      </w:hyperlink>
    </w:p>
    <w:p w14:paraId="4A4D9E32" w14:textId="49181912" w:rsidR="00566668" w:rsidRDefault="00566668">
      <w:pPr>
        <w:pStyle w:val="TableofFigures"/>
        <w:tabs>
          <w:tab w:val="right" w:leader="dot" w:pos="9628"/>
        </w:tabs>
        <w:rPr>
          <w:rFonts w:eastAsiaTheme="minorEastAsia"/>
          <w:noProof/>
          <w:kern w:val="2"/>
          <w:lang w:val="en-US"/>
          <w14:ligatures w14:val="standardContextual"/>
        </w:rPr>
      </w:pPr>
      <w:hyperlink w:anchor="_Toc153901497" w:history="1">
        <w:r w:rsidRPr="00EB3088">
          <w:rPr>
            <w:rStyle w:val="Hyperlink"/>
            <w:noProof/>
          </w:rPr>
          <w:t>Табела V.2: Сектор електроенергетике - емисије у ktons CO2-eq</w:t>
        </w:r>
        <w:r>
          <w:rPr>
            <w:noProof/>
            <w:webHidden/>
          </w:rPr>
          <w:tab/>
        </w:r>
        <w:r>
          <w:rPr>
            <w:noProof/>
            <w:webHidden/>
          </w:rPr>
          <w:fldChar w:fldCharType="begin"/>
        </w:r>
        <w:r>
          <w:rPr>
            <w:noProof/>
            <w:webHidden/>
          </w:rPr>
          <w:instrText xml:space="preserve"> PAGEREF _Toc153901497 \h </w:instrText>
        </w:r>
        <w:r>
          <w:rPr>
            <w:noProof/>
            <w:webHidden/>
          </w:rPr>
        </w:r>
        <w:r>
          <w:rPr>
            <w:noProof/>
            <w:webHidden/>
          </w:rPr>
          <w:fldChar w:fldCharType="separate"/>
        </w:r>
        <w:r w:rsidR="00565B02">
          <w:rPr>
            <w:noProof/>
            <w:webHidden/>
          </w:rPr>
          <w:t>335</w:t>
        </w:r>
        <w:r>
          <w:rPr>
            <w:noProof/>
            <w:webHidden/>
          </w:rPr>
          <w:fldChar w:fldCharType="end"/>
        </w:r>
      </w:hyperlink>
    </w:p>
    <w:p w14:paraId="1EBAD0BD" w14:textId="31F7D164" w:rsidR="00566668" w:rsidRDefault="00566668">
      <w:pPr>
        <w:pStyle w:val="TableofFigures"/>
        <w:tabs>
          <w:tab w:val="right" w:leader="dot" w:pos="9628"/>
        </w:tabs>
        <w:rPr>
          <w:rFonts w:eastAsiaTheme="minorEastAsia"/>
          <w:noProof/>
          <w:kern w:val="2"/>
          <w:lang w:val="en-US"/>
          <w14:ligatures w14:val="standardContextual"/>
        </w:rPr>
      </w:pPr>
      <w:hyperlink w:anchor="_Toc153901498" w:history="1">
        <w:r w:rsidRPr="00EB3088">
          <w:rPr>
            <w:rStyle w:val="Hyperlink"/>
            <w:noProof/>
          </w:rPr>
          <w:t>Табела V.3: Прерађивачка индустрија и грађевинарство: Емисије из употребе енергије, процеса и фугитивне емисије у ktons CO2-eq</w:t>
        </w:r>
        <w:r>
          <w:rPr>
            <w:noProof/>
            <w:webHidden/>
          </w:rPr>
          <w:tab/>
        </w:r>
        <w:r>
          <w:rPr>
            <w:noProof/>
            <w:webHidden/>
          </w:rPr>
          <w:fldChar w:fldCharType="begin"/>
        </w:r>
        <w:r>
          <w:rPr>
            <w:noProof/>
            <w:webHidden/>
          </w:rPr>
          <w:instrText xml:space="preserve"> PAGEREF _Toc153901498 \h </w:instrText>
        </w:r>
        <w:r>
          <w:rPr>
            <w:noProof/>
            <w:webHidden/>
          </w:rPr>
        </w:r>
        <w:r>
          <w:rPr>
            <w:noProof/>
            <w:webHidden/>
          </w:rPr>
          <w:fldChar w:fldCharType="separate"/>
        </w:r>
        <w:r w:rsidR="00565B02">
          <w:rPr>
            <w:noProof/>
            <w:webHidden/>
          </w:rPr>
          <w:t>335</w:t>
        </w:r>
        <w:r>
          <w:rPr>
            <w:noProof/>
            <w:webHidden/>
          </w:rPr>
          <w:fldChar w:fldCharType="end"/>
        </w:r>
      </w:hyperlink>
    </w:p>
    <w:p w14:paraId="7FE69DB3" w14:textId="0E5D50C0" w:rsidR="00566668" w:rsidRDefault="00566668">
      <w:pPr>
        <w:pStyle w:val="TableofFigures"/>
        <w:tabs>
          <w:tab w:val="right" w:leader="dot" w:pos="9628"/>
        </w:tabs>
        <w:rPr>
          <w:rFonts w:eastAsiaTheme="minorEastAsia"/>
          <w:noProof/>
          <w:kern w:val="2"/>
          <w:lang w:val="en-US"/>
          <w14:ligatures w14:val="standardContextual"/>
        </w:rPr>
      </w:pPr>
      <w:hyperlink w:anchor="_Toc153901499" w:history="1">
        <w:r w:rsidRPr="00EB3088">
          <w:rPr>
            <w:rStyle w:val="Hyperlink"/>
            <w:noProof/>
          </w:rPr>
          <w:t>Табела V.4: Саобраћај - емисије у ktons CO2-eq</w:t>
        </w:r>
        <w:r>
          <w:rPr>
            <w:noProof/>
            <w:webHidden/>
          </w:rPr>
          <w:tab/>
        </w:r>
        <w:r>
          <w:rPr>
            <w:noProof/>
            <w:webHidden/>
          </w:rPr>
          <w:fldChar w:fldCharType="begin"/>
        </w:r>
        <w:r>
          <w:rPr>
            <w:noProof/>
            <w:webHidden/>
          </w:rPr>
          <w:instrText xml:space="preserve"> PAGEREF _Toc153901499 \h </w:instrText>
        </w:r>
        <w:r>
          <w:rPr>
            <w:noProof/>
            <w:webHidden/>
          </w:rPr>
        </w:r>
        <w:r>
          <w:rPr>
            <w:noProof/>
            <w:webHidden/>
          </w:rPr>
          <w:fldChar w:fldCharType="separate"/>
        </w:r>
        <w:r w:rsidR="00565B02">
          <w:rPr>
            <w:noProof/>
            <w:webHidden/>
          </w:rPr>
          <w:t>335</w:t>
        </w:r>
        <w:r>
          <w:rPr>
            <w:noProof/>
            <w:webHidden/>
          </w:rPr>
          <w:fldChar w:fldCharType="end"/>
        </w:r>
      </w:hyperlink>
    </w:p>
    <w:p w14:paraId="4D3CE153" w14:textId="0A4C36A4" w:rsidR="00566668" w:rsidRDefault="00566668">
      <w:pPr>
        <w:pStyle w:val="TableofFigures"/>
        <w:tabs>
          <w:tab w:val="right" w:leader="dot" w:pos="9628"/>
        </w:tabs>
        <w:rPr>
          <w:rFonts w:eastAsiaTheme="minorEastAsia"/>
          <w:noProof/>
          <w:kern w:val="2"/>
          <w:lang w:val="en-US"/>
          <w14:ligatures w14:val="standardContextual"/>
        </w:rPr>
      </w:pPr>
      <w:hyperlink w:anchor="_Toc153901500" w:history="1">
        <w:r w:rsidRPr="00EB3088">
          <w:rPr>
            <w:rStyle w:val="Hyperlink"/>
            <w:noProof/>
          </w:rPr>
          <w:t>Табела V.5: Стамбени сектор - емисије у ktons CO2-eq</w:t>
        </w:r>
        <w:r>
          <w:rPr>
            <w:noProof/>
            <w:webHidden/>
          </w:rPr>
          <w:tab/>
        </w:r>
        <w:r>
          <w:rPr>
            <w:noProof/>
            <w:webHidden/>
          </w:rPr>
          <w:fldChar w:fldCharType="begin"/>
        </w:r>
        <w:r>
          <w:rPr>
            <w:noProof/>
            <w:webHidden/>
          </w:rPr>
          <w:instrText xml:space="preserve"> PAGEREF _Toc153901500 \h </w:instrText>
        </w:r>
        <w:r>
          <w:rPr>
            <w:noProof/>
            <w:webHidden/>
          </w:rPr>
        </w:r>
        <w:r>
          <w:rPr>
            <w:noProof/>
            <w:webHidden/>
          </w:rPr>
          <w:fldChar w:fldCharType="separate"/>
        </w:r>
        <w:r w:rsidR="00565B02">
          <w:rPr>
            <w:noProof/>
            <w:webHidden/>
          </w:rPr>
          <w:t>335</w:t>
        </w:r>
        <w:r>
          <w:rPr>
            <w:noProof/>
            <w:webHidden/>
          </w:rPr>
          <w:fldChar w:fldCharType="end"/>
        </w:r>
      </w:hyperlink>
    </w:p>
    <w:p w14:paraId="339D0C63" w14:textId="58EED176" w:rsidR="00566668" w:rsidRDefault="00566668">
      <w:pPr>
        <w:pStyle w:val="TableofFigures"/>
        <w:tabs>
          <w:tab w:val="right" w:leader="dot" w:pos="9628"/>
        </w:tabs>
        <w:rPr>
          <w:rFonts w:eastAsiaTheme="minorEastAsia"/>
          <w:noProof/>
          <w:kern w:val="2"/>
          <w:lang w:val="en-US"/>
          <w14:ligatures w14:val="standardContextual"/>
        </w:rPr>
      </w:pPr>
      <w:hyperlink w:anchor="_Toc153901501" w:history="1">
        <w:r w:rsidRPr="00EB3088">
          <w:rPr>
            <w:rStyle w:val="Hyperlink"/>
            <w:noProof/>
          </w:rPr>
          <w:t>Табела V.6: Комерцијални сектор - емисије у ktons CO2-eq</w:t>
        </w:r>
        <w:r>
          <w:rPr>
            <w:noProof/>
            <w:webHidden/>
          </w:rPr>
          <w:tab/>
        </w:r>
        <w:r>
          <w:rPr>
            <w:noProof/>
            <w:webHidden/>
          </w:rPr>
          <w:fldChar w:fldCharType="begin"/>
        </w:r>
        <w:r>
          <w:rPr>
            <w:noProof/>
            <w:webHidden/>
          </w:rPr>
          <w:instrText xml:space="preserve"> PAGEREF _Toc153901501 \h </w:instrText>
        </w:r>
        <w:r>
          <w:rPr>
            <w:noProof/>
            <w:webHidden/>
          </w:rPr>
        </w:r>
        <w:r>
          <w:rPr>
            <w:noProof/>
            <w:webHidden/>
          </w:rPr>
          <w:fldChar w:fldCharType="separate"/>
        </w:r>
        <w:r w:rsidR="00565B02">
          <w:rPr>
            <w:noProof/>
            <w:webHidden/>
          </w:rPr>
          <w:t>336</w:t>
        </w:r>
        <w:r>
          <w:rPr>
            <w:noProof/>
            <w:webHidden/>
          </w:rPr>
          <w:fldChar w:fldCharType="end"/>
        </w:r>
      </w:hyperlink>
    </w:p>
    <w:p w14:paraId="2AF106A3" w14:textId="4258D7EA" w:rsidR="00566668" w:rsidRDefault="00566668">
      <w:pPr>
        <w:pStyle w:val="TableofFigures"/>
        <w:tabs>
          <w:tab w:val="right" w:leader="dot" w:pos="9628"/>
        </w:tabs>
        <w:rPr>
          <w:rFonts w:eastAsiaTheme="minorEastAsia"/>
          <w:noProof/>
          <w:kern w:val="2"/>
          <w:lang w:val="en-US"/>
          <w14:ligatures w14:val="standardContextual"/>
        </w:rPr>
      </w:pPr>
      <w:hyperlink w:anchor="_Toc153901502" w:history="1">
        <w:r w:rsidRPr="00EB3088">
          <w:rPr>
            <w:rStyle w:val="Hyperlink"/>
            <w:noProof/>
          </w:rPr>
          <w:t>Табела V.7: Други сектори: Емисије из употребе енергије, процеса и фугитивне емисије у ktons CO2-eq</w:t>
        </w:r>
        <w:r>
          <w:rPr>
            <w:noProof/>
            <w:webHidden/>
          </w:rPr>
          <w:tab/>
        </w:r>
        <w:r>
          <w:rPr>
            <w:noProof/>
            <w:webHidden/>
          </w:rPr>
          <w:fldChar w:fldCharType="begin"/>
        </w:r>
        <w:r>
          <w:rPr>
            <w:noProof/>
            <w:webHidden/>
          </w:rPr>
          <w:instrText xml:space="preserve"> PAGEREF _Toc153901502 \h </w:instrText>
        </w:r>
        <w:r>
          <w:rPr>
            <w:noProof/>
            <w:webHidden/>
          </w:rPr>
        </w:r>
        <w:r>
          <w:rPr>
            <w:noProof/>
            <w:webHidden/>
          </w:rPr>
          <w:fldChar w:fldCharType="separate"/>
        </w:r>
        <w:r w:rsidR="00565B02">
          <w:rPr>
            <w:noProof/>
            <w:webHidden/>
          </w:rPr>
          <w:t>336</w:t>
        </w:r>
        <w:r>
          <w:rPr>
            <w:noProof/>
            <w:webHidden/>
          </w:rPr>
          <w:fldChar w:fldCharType="end"/>
        </w:r>
      </w:hyperlink>
    </w:p>
    <w:p w14:paraId="7B98586E" w14:textId="3A57CF08" w:rsidR="00566668" w:rsidRDefault="00566668">
      <w:pPr>
        <w:pStyle w:val="TableofFigures"/>
        <w:tabs>
          <w:tab w:val="right" w:leader="dot" w:pos="9628"/>
        </w:tabs>
        <w:rPr>
          <w:rFonts w:eastAsiaTheme="minorEastAsia"/>
          <w:noProof/>
          <w:kern w:val="2"/>
          <w:lang w:val="en-US"/>
          <w14:ligatures w14:val="standardContextual"/>
        </w:rPr>
      </w:pPr>
      <w:hyperlink w:anchor="_Toc153901503" w:history="1">
        <w:r w:rsidRPr="00EB3088">
          <w:rPr>
            <w:rStyle w:val="Hyperlink"/>
            <w:noProof/>
          </w:rPr>
          <w:t>Табела V.8: Производња електричне ене</w:t>
        </w:r>
        <w:r w:rsidRPr="00EB3088">
          <w:rPr>
            <w:rStyle w:val="Hyperlink"/>
            <w:noProof/>
          </w:rPr>
          <w:t>р</w:t>
        </w:r>
        <w:r w:rsidRPr="00EB3088">
          <w:rPr>
            <w:rStyle w:val="Hyperlink"/>
            <w:noProof/>
          </w:rPr>
          <w:t>гије по типу извора (TWh)</w:t>
        </w:r>
        <w:r>
          <w:rPr>
            <w:noProof/>
            <w:webHidden/>
          </w:rPr>
          <w:tab/>
        </w:r>
        <w:r>
          <w:rPr>
            <w:noProof/>
            <w:webHidden/>
          </w:rPr>
          <w:fldChar w:fldCharType="begin"/>
        </w:r>
        <w:r>
          <w:rPr>
            <w:noProof/>
            <w:webHidden/>
          </w:rPr>
          <w:instrText xml:space="preserve"> PAGEREF _Toc153901503 \h </w:instrText>
        </w:r>
        <w:r>
          <w:rPr>
            <w:noProof/>
            <w:webHidden/>
          </w:rPr>
        </w:r>
        <w:r>
          <w:rPr>
            <w:noProof/>
            <w:webHidden/>
          </w:rPr>
          <w:fldChar w:fldCharType="separate"/>
        </w:r>
        <w:r w:rsidR="00565B02">
          <w:rPr>
            <w:noProof/>
            <w:webHidden/>
          </w:rPr>
          <w:t>336</w:t>
        </w:r>
        <w:r>
          <w:rPr>
            <w:noProof/>
            <w:webHidden/>
          </w:rPr>
          <w:fldChar w:fldCharType="end"/>
        </w:r>
      </w:hyperlink>
    </w:p>
    <w:p w14:paraId="1E855D2A" w14:textId="0067E7D4" w:rsidR="00566668" w:rsidRDefault="00566668">
      <w:pPr>
        <w:pStyle w:val="TableofFigures"/>
        <w:tabs>
          <w:tab w:val="right" w:leader="dot" w:pos="9628"/>
        </w:tabs>
        <w:rPr>
          <w:rFonts w:eastAsiaTheme="minorEastAsia"/>
          <w:noProof/>
          <w:kern w:val="2"/>
          <w:lang w:val="en-US"/>
          <w14:ligatures w14:val="standardContextual"/>
        </w:rPr>
      </w:pPr>
      <w:hyperlink w:anchor="_Toc153901504" w:history="1">
        <w:r w:rsidRPr="00EB3088">
          <w:rPr>
            <w:rStyle w:val="Hyperlink"/>
            <w:noProof/>
          </w:rPr>
          <w:t>Табела V.9: Финална потрошња енергије [ktoe]</w:t>
        </w:r>
        <w:r>
          <w:rPr>
            <w:noProof/>
            <w:webHidden/>
          </w:rPr>
          <w:tab/>
        </w:r>
        <w:r>
          <w:rPr>
            <w:noProof/>
            <w:webHidden/>
          </w:rPr>
          <w:fldChar w:fldCharType="begin"/>
        </w:r>
        <w:r>
          <w:rPr>
            <w:noProof/>
            <w:webHidden/>
          </w:rPr>
          <w:instrText xml:space="preserve"> PAGEREF _Toc153901504 \h </w:instrText>
        </w:r>
        <w:r>
          <w:rPr>
            <w:noProof/>
            <w:webHidden/>
          </w:rPr>
        </w:r>
        <w:r>
          <w:rPr>
            <w:noProof/>
            <w:webHidden/>
          </w:rPr>
          <w:fldChar w:fldCharType="separate"/>
        </w:r>
        <w:r w:rsidR="00565B02">
          <w:rPr>
            <w:noProof/>
            <w:webHidden/>
          </w:rPr>
          <w:t>337</w:t>
        </w:r>
        <w:r>
          <w:rPr>
            <w:noProof/>
            <w:webHidden/>
          </w:rPr>
          <w:fldChar w:fldCharType="end"/>
        </w:r>
      </w:hyperlink>
    </w:p>
    <w:p w14:paraId="7D53C8A1" w14:textId="340CDA2B" w:rsidR="00566668" w:rsidRDefault="00566668">
      <w:pPr>
        <w:pStyle w:val="TableofFigures"/>
        <w:tabs>
          <w:tab w:val="right" w:leader="dot" w:pos="9628"/>
        </w:tabs>
        <w:rPr>
          <w:rFonts w:eastAsiaTheme="minorEastAsia"/>
          <w:noProof/>
          <w:kern w:val="2"/>
          <w:lang w:val="en-US"/>
          <w14:ligatures w14:val="standardContextual"/>
        </w:rPr>
      </w:pPr>
      <w:hyperlink w:anchor="_Toc153901505" w:history="1">
        <w:r w:rsidRPr="00EB3088">
          <w:rPr>
            <w:rStyle w:val="Hyperlink"/>
            <w:noProof/>
          </w:rPr>
          <w:t>Табела V.10: Производња примарне енергије [ktoe]</w:t>
        </w:r>
        <w:r>
          <w:rPr>
            <w:noProof/>
            <w:webHidden/>
          </w:rPr>
          <w:tab/>
        </w:r>
        <w:r>
          <w:rPr>
            <w:noProof/>
            <w:webHidden/>
          </w:rPr>
          <w:fldChar w:fldCharType="begin"/>
        </w:r>
        <w:r>
          <w:rPr>
            <w:noProof/>
            <w:webHidden/>
          </w:rPr>
          <w:instrText xml:space="preserve"> PAGEREF _Toc153901505 \h </w:instrText>
        </w:r>
        <w:r>
          <w:rPr>
            <w:noProof/>
            <w:webHidden/>
          </w:rPr>
        </w:r>
        <w:r>
          <w:rPr>
            <w:noProof/>
            <w:webHidden/>
          </w:rPr>
          <w:fldChar w:fldCharType="separate"/>
        </w:r>
        <w:r w:rsidR="00565B02">
          <w:rPr>
            <w:noProof/>
            <w:webHidden/>
          </w:rPr>
          <w:t>337</w:t>
        </w:r>
        <w:r>
          <w:rPr>
            <w:noProof/>
            <w:webHidden/>
          </w:rPr>
          <w:fldChar w:fldCharType="end"/>
        </w:r>
      </w:hyperlink>
    </w:p>
    <w:p w14:paraId="1244C76C" w14:textId="204B57DD" w:rsidR="00566668" w:rsidRDefault="00566668">
      <w:pPr>
        <w:pStyle w:val="TableofFigures"/>
        <w:tabs>
          <w:tab w:val="right" w:leader="dot" w:pos="9628"/>
        </w:tabs>
        <w:rPr>
          <w:rFonts w:eastAsiaTheme="minorEastAsia"/>
          <w:noProof/>
          <w:kern w:val="2"/>
          <w:lang w:val="en-US"/>
          <w14:ligatures w14:val="standardContextual"/>
        </w:rPr>
      </w:pPr>
      <w:hyperlink w:anchor="_Toc153901506" w:history="1">
        <w:r w:rsidRPr="00EB3088">
          <w:rPr>
            <w:rStyle w:val="Hyperlink"/>
            <w:noProof/>
          </w:rPr>
          <w:t>Табела V.11: Потрошња примарне енергије [ktoe]</w:t>
        </w:r>
        <w:r>
          <w:rPr>
            <w:noProof/>
            <w:webHidden/>
          </w:rPr>
          <w:tab/>
        </w:r>
        <w:r>
          <w:rPr>
            <w:noProof/>
            <w:webHidden/>
          </w:rPr>
          <w:fldChar w:fldCharType="begin"/>
        </w:r>
        <w:r>
          <w:rPr>
            <w:noProof/>
            <w:webHidden/>
          </w:rPr>
          <w:instrText xml:space="preserve"> PAGEREF _Toc153901506 \h </w:instrText>
        </w:r>
        <w:r>
          <w:rPr>
            <w:noProof/>
            <w:webHidden/>
          </w:rPr>
        </w:r>
        <w:r>
          <w:rPr>
            <w:noProof/>
            <w:webHidden/>
          </w:rPr>
          <w:fldChar w:fldCharType="separate"/>
        </w:r>
        <w:r w:rsidR="00565B02">
          <w:rPr>
            <w:noProof/>
            <w:webHidden/>
          </w:rPr>
          <w:t>337</w:t>
        </w:r>
        <w:r>
          <w:rPr>
            <w:noProof/>
            <w:webHidden/>
          </w:rPr>
          <w:fldChar w:fldCharType="end"/>
        </w:r>
      </w:hyperlink>
    </w:p>
    <w:p w14:paraId="73A32251" w14:textId="4B874EE6" w:rsidR="00566668" w:rsidRDefault="00566668">
      <w:pPr>
        <w:pStyle w:val="TableofFigures"/>
        <w:tabs>
          <w:tab w:val="right" w:leader="dot" w:pos="9628"/>
        </w:tabs>
        <w:rPr>
          <w:rFonts w:eastAsiaTheme="minorEastAsia"/>
          <w:noProof/>
          <w:kern w:val="2"/>
          <w:lang w:val="en-US"/>
          <w14:ligatures w14:val="standardContextual"/>
        </w:rPr>
      </w:pPr>
      <w:hyperlink w:anchor="_Toc153901507" w:history="1">
        <w:r w:rsidRPr="00EB3088">
          <w:rPr>
            <w:rStyle w:val="Hyperlink"/>
            <w:noProof/>
          </w:rPr>
          <w:t>Табела V.12: Зависност од увоза енергије [%]</w:t>
        </w:r>
        <w:r>
          <w:rPr>
            <w:noProof/>
            <w:webHidden/>
          </w:rPr>
          <w:tab/>
        </w:r>
        <w:r>
          <w:rPr>
            <w:noProof/>
            <w:webHidden/>
          </w:rPr>
          <w:fldChar w:fldCharType="begin"/>
        </w:r>
        <w:r>
          <w:rPr>
            <w:noProof/>
            <w:webHidden/>
          </w:rPr>
          <w:instrText xml:space="preserve"> PAGEREF _Toc153901507 \h </w:instrText>
        </w:r>
        <w:r>
          <w:rPr>
            <w:noProof/>
            <w:webHidden/>
          </w:rPr>
        </w:r>
        <w:r>
          <w:rPr>
            <w:noProof/>
            <w:webHidden/>
          </w:rPr>
          <w:fldChar w:fldCharType="separate"/>
        </w:r>
        <w:r w:rsidR="00565B02">
          <w:rPr>
            <w:noProof/>
            <w:webHidden/>
          </w:rPr>
          <w:t>337</w:t>
        </w:r>
        <w:r>
          <w:rPr>
            <w:noProof/>
            <w:webHidden/>
          </w:rPr>
          <w:fldChar w:fldCharType="end"/>
        </w:r>
      </w:hyperlink>
    </w:p>
    <w:p w14:paraId="54688472" w14:textId="58F66BAF" w:rsidR="00566668" w:rsidRDefault="00566668">
      <w:pPr>
        <w:pStyle w:val="TableofFigures"/>
        <w:tabs>
          <w:tab w:val="right" w:leader="dot" w:pos="9628"/>
        </w:tabs>
        <w:rPr>
          <w:rFonts w:eastAsiaTheme="minorEastAsia"/>
          <w:noProof/>
          <w:kern w:val="2"/>
          <w:lang w:val="en-US"/>
          <w14:ligatures w14:val="standardContextual"/>
        </w:rPr>
      </w:pPr>
      <w:hyperlink w:anchor="_Toc153901508" w:history="1">
        <w:r w:rsidRPr="00EB3088">
          <w:rPr>
            <w:rStyle w:val="Hyperlink"/>
            <w:noProof/>
          </w:rPr>
          <w:t>Табела V.13: Зависност од увоза електричне енергије [%]</w:t>
        </w:r>
        <w:r>
          <w:rPr>
            <w:noProof/>
            <w:webHidden/>
          </w:rPr>
          <w:tab/>
        </w:r>
        <w:r>
          <w:rPr>
            <w:noProof/>
            <w:webHidden/>
          </w:rPr>
          <w:fldChar w:fldCharType="begin"/>
        </w:r>
        <w:r>
          <w:rPr>
            <w:noProof/>
            <w:webHidden/>
          </w:rPr>
          <w:instrText xml:space="preserve"> PAGEREF _Toc153901508 \h </w:instrText>
        </w:r>
        <w:r>
          <w:rPr>
            <w:noProof/>
            <w:webHidden/>
          </w:rPr>
        </w:r>
        <w:r>
          <w:rPr>
            <w:noProof/>
            <w:webHidden/>
          </w:rPr>
          <w:fldChar w:fldCharType="separate"/>
        </w:r>
        <w:r w:rsidR="00565B02">
          <w:rPr>
            <w:noProof/>
            <w:webHidden/>
          </w:rPr>
          <w:t>338</w:t>
        </w:r>
        <w:r>
          <w:rPr>
            <w:noProof/>
            <w:webHidden/>
          </w:rPr>
          <w:fldChar w:fldCharType="end"/>
        </w:r>
      </w:hyperlink>
    </w:p>
    <w:p w14:paraId="48ADEF8B" w14:textId="1B6A3C77" w:rsidR="00566668" w:rsidRDefault="00566668">
      <w:pPr>
        <w:pStyle w:val="TableofFigures"/>
        <w:tabs>
          <w:tab w:val="right" w:leader="dot" w:pos="9628"/>
        </w:tabs>
        <w:rPr>
          <w:rFonts w:eastAsiaTheme="minorEastAsia"/>
          <w:noProof/>
          <w:kern w:val="2"/>
          <w:lang w:val="en-US"/>
          <w14:ligatures w14:val="standardContextual"/>
        </w:rPr>
      </w:pPr>
      <w:hyperlink w:anchor="_Toc153901509" w:history="1">
        <w:r w:rsidRPr="00EB3088">
          <w:rPr>
            <w:rStyle w:val="Hyperlink"/>
            <w:noProof/>
          </w:rPr>
          <w:t>Табела V.14: Укупне емисије (укључујући пољопривреду, отпад и LULUCF) у ktons CO2eq</w:t>
        </w:r>
        <w:r>
          <w:rPr>
            <w:noProof/>
            <w:webHidden/>
          </w:rPr>
          <w:tab/>
        </w:r>
        <w:r>
          <w:rPr>
            <w:noProof/>
            <w:webHidden/>
          </w:rPr>
          <w:fldChar w:fldCharType="begin"/>
        </w:r>
        <w:r>
          <w:rPr>
            <w:noProof/>
            <w:webHidden/>
          </w:rPr>
          <w:instrText xml:space="preserve"> PAGEREF _Toc153901509 \h </w:instrText>
        </w:r>
        <w:r>
          <w:rPr>
            <w:noProof/>
            <w:webHidden/>
          </w:rPr>
        </w:r>
        <w:r>
          <w:rPr>
            <w:noProof/>
            <w:webHidden/>
          </w:rPr>
          <w:fldChar w:fldCharType="separate"/>
        </w:r>
        <w:r w:rsidR="00565B02">
          <w:rPr>
            <w:noProof/>
            <w:webHidden/>
          </w:rPr>
          <w:t>338</w:t>
        </w:r>
        <w:r>
          <w:rPr>
            <w:noProof/>
            <w:webHidden/>
          </w:rPr>
          <w:fldChar w:fldCharType="end"/>
        </w:r>
      </w:hyperlink>
    </w:p>
    <w:p w14:paraId="53CB7113" w14:textId="55559005" w:rsidR="00566668" w:rsidRDefault="00566668">
      <w:pPr>
        <w:pStyle w:val="TableofFigures"/>
        <w:tabs>
          <w:tab w:val="right" w:leader="dot" w:pos="9628"/>
        </w:tabs>
        <w:rPr>
          <w:rFonts w:eastAsiaTheme="minorEastAsia"/>
          <w:noProof/>
          <w:kern w:val="2"/>
          <w:lang w:val="en-US"/>
          <w14:ligatures w14:val="standardContextual"/>
        </w:rPr>
      </w:pPr>
      <w:hyperlink w:anchor="_Toc153901510" w:history="1">
        <w:r w:rsidRPr="00EB3088">
          <w:rPr>
            <w:rStyle w:val="Hyperlink"/>
            <w:noProof/>
          </w:rPr>
          <w:t>Табела V.15: Процентуално смањење укупних емисија у односу на нивое у 1990. години</w:t>
        </w:r>
        <w:r>
          <w:rPr>
            <w:noProof/>
            <w:webHidden/>
          </w:rPr>
          <w:tab/>
        </w:r>
        <w:r>
          <w:rPr>
            <w:noProof/>
            <w:webHidden/>
          </w:rPr>
          <w:fldChar w:fldCharType="begin"/>
        </w:r>
        <w:r>
          <w:rPr>
            <w:noProof/>
            <w:webHidden/>
          </w:rPr>
          <w:instrText xml:space="preserve"> PAGEREF _Toc153901510 \h </w:instrText>
        </w:r>
        <w:r>
          <w:rPr>
            <w:noProof/>
            <w:webHidden/>
          </w:rPr>
        </w:r>
        <w:r>
          <w:rPr>
            <w:noProof/>
            <w:webHidden/>
          </w:rPr>
          <w:fldChar w:fldCharType="separate"/>
        </w:r>
        <w:r w:rsidR="00565B02">
          <w:rPr>
            <w:noProof/>
            <w:webHidden/>
          </w:rPr>
          <w:t>338</w:t>
        </w:r>
        <w:r>
          <w:rPr>
            <w:noProof/>
            <w:webHidden/>
          </w:rPr>
          <w:fldChar w:fldCharType="end"/>
        </w:r>
      </w:hyperlink>
    </w:p>
    <w:p w14:paraId="3EBDCDFA" w14:textId="46DF8E55" w:rsidR="00566668" w:rsidRDefault="00566668">
      <w:pPr>
        <w:pStyle w:val="TableofFigures"/>
        <w:tabs>
          <w:tab w:val="right" w:leader="dot" w:pos="9628"/>
        </w:tabs>
        <w:rPr>
          <w:rFonts w:eastAsiaTheme="minorEastAsia"/>
          <w:noProof/>
          <w:kern w:val="2"/>
          <w:lang w:val="en-US"/>
          <w14:ligatures w14:val="standardContextual"/>
        </w:rPr>
      </w:pPr>
      <w:hyperlink w:anchor="_Toc153901511" w:history="1">
        <w:r w:rsidRPr="00EB3088">
          <w:rPr>
            <w:rStyle w:val="Hyperlink"/>
            <w:noProof/>
          </w:rPr>
          <w:t>Табела V.16: Удео ОИЕ у бруто финалној потрошњи енергије [%]</w:t>
        </w:r>
        <w:r>
          <w:rPr>
            <w:noProof/>
            <w:webHidden/>
          </w:rPr>
          <w:tab/>
        </w:r>
        <w:r>
          <w:rPr>
            <w:noProof/>
            <w:webHidden/>
          </w:rPr>
          <w:fldChar w:fldCharType="begin"/>
        </w:r>
        <w:r>
          <w:rPr>
            <w:noProof/>
            <w:webHidden/>
          </w:rPr>
          <w:instrText xml:space="preserve"> PAGEREF _Toc153901511 \h </w:instrText>
        </w:r>
        <w:r>
          <w:rPr>
            <w:noProof/>
            <w:webHidden/>
          </w:rPr>
        </w:r>
        <w:r>
          <w:rPr>
            <w:noProof/>
            <w:webHidden/>
          </w:rPr>
          <w:fldChar w:fldCharType="separate"/>
        </w:r>
        <w:r w:rsidR="00565B02">
          <w:rPr>
            <w:noProof/>
            <w:webHidden/>
          </w:rPr>
          <w:t>338</w:t>
        </w:r>
        <w:r>
          <w:rPr>
            <w:noProof/>
            <w:webHidden/>
          </w:rPr>
          <w:fldChar w:fldCharType="end"/>
        </w:r>
      </w:hyperlink>
    </w:p>
    <w:p w14:paraId="1293D520" w14:textId="1EA6F865" w:rsidR="00566668" w:rsidRDefault="00566668">
      <w:pPr>
        <w:pStyle w:val="TableofFigures"/>
        <w:tabs>
          <w:tab w:val="right" w:leader="dot" w:pos="9628"/>
        </w:tabs>
        <w:rPr>
          <w:rFonts w:eastAsiaTheme="minorEastAsia"/>
          <w:noProof/>
          <w:kern w:val="2"/>
          <w:lang w:val="en-US"/>
          <w14:ligatures w14:val="standardContextual"/>
        </w:rPr>
      </w:pPr>
      <w:hyperlink w:anchor="_Toc153901512" w:history="1">
        <w:r w:rsidRPr="00EB3088">
          <w:rPr>
            <w:rStyle w:val="Hyperlink"/>
            <w:noProof/>
          </w:rPr>
          <w:t>Табела V.17: Удео ОИЕ у производњи електричне енергије [%]</w:t>
        </w:r>
        <w:r>
          <w:rPr>
            <w:noProof/>
            <w:webHidden/>
          </w:rPr>
          <w:tab/>
        </w:r>
        <w:r>
          <w:rPr>
            <w:noProof/>
            <w:webHidden/>
          </w:rPr>
          <w:fldChar w:fldCharType="begin"/>
        </w:r>
        <w:r>
          <w:rPr>
            <w:noProof/>
            <w:webHidden/>
          </w:rPr>
          <w:instrText xml:space="preserve"> PAGEREF _Toc153901512 \h </w:instrText>
        </w:r>
        <w:r>
          <w:rPr>
            <w:noProof/>
            <w:webHidden/>
          </w:rPr>
        </w:r>
        <w:r>
          <w:rPr>
            <w:noProof/>
            <w:webHidden/>
          </w:rPr>
          <w:fldChar w:fldCharType="separate"/>
        </w:r>
        <w:r w:rsidR="00565B02">
          <w:rPr>
            <w:noProof/>
            <w:webHidden/>
          </w:rPr>
          <w:t>338</w:t>
        </w:r>
        <w:r>
          <w:rPr>
            <w:noProof/>
            <w:webHidden/>
          </w:rPr>
          <w:fldChar w:fldCharType="end"/>
        </w:r>
      </w:hyperlink>
    </w:p>
    <w:p w14:paraId="4C63F647" w14:textId="15C5E581" w:rsidR="00566668" w:rsidRDefault="00566668">
      <w:pPr>
        <w:pStyle w:val="TableofFigures"/>
        <w:tabs>
          <w:tab w:val="right" w:leader="dot" w:pos="9628"/>
        </w:tabs>
        <w:rPr>
          <w:rFonts w:eastAsiaTheme="minorEastAsia"/>
          <w:noProof/>
          <w:kern w:val="2"/>
          <w:lang w:val="en-US"/>
          <w14:ligatures w14:val="standardContextual"/>
        </w:rPr>
      </w:pPr>
      <w:hyperlink w:anchor="_Toc153901513" w:history="1">
        <w:r w:rsidRPr="00EB3088">
          <w:rPr>
            <w:rStyle w:val="Hyperlink"/>
            <w:noProof/>
          </w:rPr>
          <w:t>Табела V.18: Удео ОИЕ у саобраћају (без мултипликатора) [%]</w:t>
        </w:r>
        <w:r>
          <w:rPr>
            <w:noProof/>
            <w:webHidden/>
          </w:rPr>
          <w:tab/>
        </w:r>
        <w:r>
          <w:rPr>
            <w:noProof/>
            <w:webHidden/>
          </w:rPr>
          <w:fldChar w:fldCharType="begin"/>
        </w:r>
        <w:r>
          <w:rPr>
            <w:noProof/>
            <w:webHidden/>
          </w:rPr>
          <w:instrText xml:space="preserve"> PAGEREF _Toc153901513 \h </w:instrText>
        </w:r>
        <w:r>
          <w:rPr>
            <w:noProof/>
            <w:webHidden/>
          </w:rPr>
        </w:r>
        <w:r>
          <w:rPr>
            <w:noProof/>
            <w:webHidden/>
          </w:rPr>
          <w:fldChar w:fldCharType="separate"/>
        </w:r>
        <w:r w:rsidR="00565B02">
          <w:rPr>
            <w:noProof/>
            <w:webHidden/>
          </w:rPr>
          <w:t>339</w:t>
        </w:r>
        <w:r>
          <w:rPr>
            <w:noProof/>
            <w:webHidden/>
          </w:rPr>
          <w:fldChar w:fldCharType="end"/>
        </w:r>
      </w:hyperlink>
    </w:p>
    <w:p w14:paraId="31EBF0D6" w14:textId="32AE0700" w:rsidR="00566668" w:rsidRDefault="00566668">
      <w:pPr>
        <w:pStyle w:val="TableofFigures"/>
        <w:tabs>
          <w:tab w:val="right" w:leader="dot" w:pos="9628"/>
        </w:tabs>
        <w:rPr>
          <w:rFonts w:eastAsiaTheme="minorEastAsia"/>
          <w:noProof/>
          <w:kern w:val="2"/>
          <w:lang w:val="en-US"/>
          <w14:ligatures w14:val="standardContextual"/>
        </w:rPr>
      </w:pPr>
      <w:hyperlink w:anchor="_Toc153901514" w:history="1">
        <w:r w:rsidRPr="00EB3088">
          <w:rPr>
            <w:rStyle w:val="Hyperlink"/>
            <w:noProof/>
          </w:rPr>
          <w:t>Табела V.19: Удео ОИЕ у саобраћају (са мултипликаторима) [%]</w:t>
        </w:r>
        <w:r>
          <w:rPr>
            <w:noProof/>
            <w:webHidden/>
          </w:rPr>
          <w:tab/>
        </w:r>
        <w:r>
          <w:rPr>
            <w:noProof/>
            <w:webHidden/>
          </w:rPr>
          <w:fldChar w:fldCharType="begin"/>
        </w:r>
        <w:r>
          <w:rPr>
            <w:noProof/>
            <w:webHidden/>
          </w:rPr>
          <w:instrText xml:space="preserve"> PAGEREF _Toc153901514 \h </w:instrText>
        </w:r>
        <w:r>
          <w:rPr>
            <w:noProof/>
            <w:webHidden/>
          </w:rPr>
        </w:r>
        <w:r>
          <w:rPr>
            <w:noProof/>
            <w:webHidden/>
          </w:rPr>
          <w:fldChar w:fldCharType="separate"/>
        </w:r>
        <w:r w:rsidR="00565B02">
          <w:rPr>
            <w:noProof/>
            <w:webHidden/>
          </w:rPr>
          <w:t>339</w:t>
        </w:r>
        <w:r>
          <w:rPr>
            <w:noProof/>
            <w:webHidden/>
          </w:rPr>
          <w:fldChar w:fldCharType="end"/>
        </w:r>
      </w:hyperlink>
    </w:p>
    <w:p w14:paraId="438322ED" w14:textId="6DB24DD3" w:rsidR="00566668" w:rsidRDefault="00566668">
      <w:pPr>
        <w:pStyle w:val="TableofFigures"/>
        <w:tabs>
          <w:tab w:val="right" w:leader="dot" w:pos="9628"/>
        </w:tabs>
        <w:rPr>
          <w:rFonts w:eastAsiaTheme="minorEastAsia"/>
          <w:noProof/>
          <w:kern w:val="2"/>
          <w:lang w:val="en-US"/>
          <w14:ligatures w14:val="standardContextual"/>
        </w:rPr>
      </w:pPr>
      <w:hyperlink w:anchor="_Toc153901515" w:history="1">
        <w:r w:rsidRPr="00EB3088">
          <w:rPr>
            <w:rStyle w:val="Hyperlink"/>
            <w:noProof/>
          </w:rPr>
          <w:t>Табела V.20: Удео ОИЕ у грејању [%]</w:t>
        </w:r>
        <w:r>
          <w:rPr>
            <w:noProof/>
            <w:webHidden/>
          </w:rPr>
          <w:tab/>
        </w:r>
        <w:r>
          <w:rPr>
            <w:noProof/>
            <w:webHidden/>
          </w:rPr>
          <w:fldChar w:fldCharType="begin"/>
        </w:r>
        <w:r>
          <w:rPr>
            <w:noProof/>
            <w:webHidden/>
          </w:rPr>
          <w:instrText xml:space="preserve"> PAGEREF _Toc153901515 \h </w:instrText>
        </w:r>
        <w:r>
          <w:rPr>
            <w:noProof/>
            <w:webHidden/>
          </w:rPr>
        </w:r>
        <w:r>
          <w:rPr>
            <w:noProof/>
            <w:webHidden/>
          </w:rPr>
          <w:fldChar w:fldCharType="separate"/>
        </w:r>
        <w:r w:rsidR="00565B02">
          <w:rPr>
            <w:noProof/>
            <w:webHidden/>
          </w:rPr>
          <w:t>339</w:t>
        </w:r>
        <w:r>
          <w:rPr>
            <w:noProof/>
            <w:webHidden/>
          </w:rPr>
          <w:fldChar w:fldCharType="end"/>
        </w:r>
      </w:hyperlink>
    </w:p>
    <w:p w14:paraId="18DFA821" w14:textId="64F7D708" w:rsidR="00566668" w:rsidRDefault="00566668">
      <w:pPr>
        <w:pStyle w:val="TableofFigures"/>
        <w:tabs>
          <w:tab w:val="right" w:leader="dot" w:pos="9628"/>
        </w:tabs>
        <w:rPr>
          <w:rFonts w:eastAsiaTheme="minorEastAsia"/>
          <w:noProof/>
          <w:kern w:val="2"/>
          <w:lang w:val="en-US"/>
          <w14:ligatures w14:val="standardContextual"/>
        </w:rPr>
      </w:pPr>
      <w:hyperlink w:anchor="_Toc153901516" w:history="1">
        <w:r w:rsidRPr="00EB3088">
          <w:rPr>
            <w:rStyle w:val="Hyperlink"/>
            <w:noProof/>
          </w:rPr>
          <w:t>Табела V.21: Инсталисани капацитет ветроелектрана [GW]</w:t>
        </w:r>
        <w:r>
          <w:rPr>
            <w:noProof/>
            <w:webHidden/>
          </w:rPr>
          <w:tab/>
        </w:r>
        <w:r>
          <w:rPr>
            <w:noProof/>
            <w:webHidden/>
          </w:rPr>
          <w:fldChar w:fldCharType="begin"/>
        </w:r>
        <w:r>
          <w:rPr>
            <w:noProof/>
            <w:webHidden/>
          </w:rPr>
          <w:instrText xml:space="preserve"> PAGEREF _Toc153901516 \h </w:instrText>
        </w:r>
        <w:r>
          <w:rPr>
            <w:noProof/>
            <w:webHidden/>
          </w:rPr>
        </w:r>
        <w:r>
          <w:rPr>
            <w:noProof/>
            <w:webHidden/>
          </w:rPr>
          <w:fldChar w:fldCharType="separate"/>
        </w:r>
        <w:r w:rsidR="00565B02">
          <w:rPr>
            <w:noProof/>
            <w:webHidden/>
          </w:rPr>
          <w:t>339</w:t>
        </w:r>
        <w:r>
          <w:rPr>
            <w:noProof/>
            <w:webHidden/>
          </w:rPr>
          <w:fldChar w:fldCharType="end"/>
        </w:r>
      </w:hyperlink>
    </w:p>
    <w:p w14:paraId="5741BF25" w14:textId="01C39BAA" w:rsidR="00566668" w:rsidRDefault="00566668">
      <w:pPr>
        <w:pStyle w:val="TableofFigures"/>
        <w:tabs>
          <w:tab w:val="right" w:leader="dot" w:pos="9628"/>
        </w:tabs>
        <w:rPr>
          <w:rFonts w:eastAsiaTheme="minorEastAsia"/>
          <w:noProof/>
          <w:kern w:val="2"/>
          <w:lang w:val="en-US"/>
          <w14:ligatures w14:val="standardContextual"/>
        </w:rPr>
      </w:pPr>
      <w:hyperlink w:anchor="_Toc153901517" w:history="1">
        <w:r w:rsidRPr="00EB3088">
          <w:rPr>
            <w:rStyle w:val="Hyperlink"/>
            <w:noProof/>
          </w:rPr>
          <w:t>Табела V.22: Инсталисани капацитет соларних електрана [GW]</w:t>
        </w:r>
        <w:r>
          <w:rPr>
            <w:noProof/>
            <w:webHidden/>
          </w:rPr>
          <w:tab/>
        </w:r>
        <w:r>
          <w:rPr>
            <w:noProof/>
            <w:webHidden/>
          </w:rPr>
          <w:fldChar w:fldCharType="begin"/>
        </w:r>
        <w:r>
          <w:rPr>
            <w:noProof/>
            <w:webHidden/>
          </w:rPr>
          <w:instrText xml:space="preserve"> PAGEREF _Toc153901517 \h </w:instrText>
        </w:r>
        <w:r>
          <w:rPr>
            <w:noProof/>
            <w:webHidden/>
          </w:rPr>
        </w:r>
        <w:r>
          <w:rPr>
            <w:noProof/>
            <w:webHidden/>
          </w:rPr>
          <w:fldChar w:fldCharType="separate"/>
        </w:r>
        <w:r w:rsidR="00565B02">
          <w:rPr>
            <w:noProof/>
            <w:webHidden/>
          </w:rPr>
          <w:t>339</w:t>
        </w:r>
        <w:r>
          <w:rPr>
            <w:noProof/>
            <w:webHidden/>
          </w:rPr>
          <w:fldChar w:fldCharType="end"/>
        </w:r>
      </w:hyperlink>
    </w:p>
    <w:p w14:paraId="104EE162" w14:textId="7BA31475" w:rsidR="00566668" w:rsidRDefault="00566668">
      <w:pPr>
        <w:pStyle w:val="TableofFigures"/>
        <w:tabs>
          <w:tab w:val="right" w:leader="dot" w:pos="9628"/>
        </w:tabs>
        <w:rPr>
          <w:rFonts w:eastAsiaTheme="minorEastAsia"/>
          <w:noProof/>
          <w:kern w:val="2"/>
          <w:lang w:val="en-US"/>
          <w14:ligatures w14:val="standardContextual"/>
        </w:rPr>
      </w:pPr>
      <w:hyperlink w:anchor="_Toc153901518" w:history="1">
        <w:r w:rsidRPr="00EB3088">
          <w:rPr>
            <w:rStyle w:val="Hyperlink"/>
            <w:noProof/>
          </w:rPr>
          <w:t>Табела V.23: Финална потрошња енергије по гориву [ktoe]</w:t>
        </w:r>
        <w:r>
          <w:rPr>
            <w:noProof/>
            <w:webHidden/>
          </w:rPr>
          <w:tab/>
        </w:r>
        <w:r>
          <w:rPr>
            <w:noProof/>
            <w:webHidden/>
          </w:rPr>
          <w:fldChar w:fldCharType="begin"/>
        </w:r>
        <w:r>
          <w:rPr>
            <w:noProof/>
            <w:webHidden/>
          </w:rPr>
          <w:instrText xml:space="preserve"> PAGEREF _Toc153901518 \h </w:instrText>
        </w:r>
        <w:r>
          <w:rPr>
            <w:noProof/>
            <w:webHidden/>
          </w:rPr>
        </w:r>
        <w:r>
          <w:rPr>
            <w:noProof/>
            <w:webHidden/>
          </w:rPr>
          <w:fldChar w:fldCharType="separate"/>
        </w:r>
        <w:r w:rsidR="00565B02">
          <w:rPr>
            <w:noProof/>
            <w:webHidden/>
          </w:rPr>
          <w:t>340</w:t>
        </w:r>
        <w:r>
          <w:rPr>
            <w:noProof/>
            <w:webHidden/>
          </w:rPr>
          <w:fldChar w:fldCharType="end"/>
        </w:r>
      </w:hyperlink>
    </w:p>
    <w:p w14:paraId="3D293881" w14:textId="4D8A574E" w:rsidR="00566668" w:rsidRDefault="00566668">
      <w:pPr>
        <w:pStyle w:val="TableofFigures"/>
        <w:tabs>
          <w:tab w:val="right" w:leader="dot" w:pos="9628"/>
        </w:tabs>
        <w:rPr>
          <w:rFonts w:eastAsiaTheme="minorEastAsia"/>
          <w:noProof/>
          <w:kern w:val="2"/>
          <w:lang w:val="en-US"/>
          <w14:ligatures w14:val="standardContextual"/>
        </w:rPr>
      </w:pPr>
      <w:hyperlink w:anchor="_Toc153901519" w:history="1">
        <w:r w:rsidRPr="00EB3088">
          <w:rPr>
            <w:rStyle w:val="Hyperlink"/>
            <w:noProof/>
          </w:rPr>
          <w:t>Табела V.24: Финална потрошња енергије по сектору - Индустрија [ktoe]</w:t>
        </w:r>
        <w:r>
          <w:rPr>
            <w:noProof/>
            <w:webHidden/>
          </w:rPr>
          <w:tab/>
        </w:r>
        <w:r>
          <w:rPr>
            <w:noProof/>
            <w:webHidden/>
          </w:rPr>
          <w:fldChar w:fldCharType="begin"/>
        </w:r>
        <w:r>
          <w:rPr>
            <w:noProof/>
            <w:webHidden/>
          </w:rPr>
          <w:instrText xml:space="preserve"> PAGEREF _Toc153901519 \h </w:instrText>
        </w:r>
        <w:r>
          <w:rPr>
            <w:noProof/>
            <w:webHidden/>
          </w:rPr>
        </w:r>
        <w:r>
          <w:rPr>
            <w:noProof/>
            <w:webHidden/>
          </w:rPr>
          <w:fldChar w:fldCharType="separate"/>
        </w:r>
        <w:r w:rsidR="00565B02">
          <w:rPr>
            <w:noProof/>
            <w:webHidden/>
          </w:rPr>
          <w:t>340</w:t>
        </w:r>
        <w:r>
          <w:rPr>
            <w:noProof/>
            <w:webHidden/>
          </w:rPr>
          <w:fldChar w:fldCharType="end"/>
        </w:r>
      </w:hyperlink>
    </w:p>
    <w:p w14:paraId="716986C6" w14:textId="0803507D" w:rsidR="00566668" w:rsidRDefault="00566668">
      <w:pPr>
        <w:pStyle w:val="TableofFigures"/>
        <w:tabs>
          <w:tab w:val="right" w:leader="dot" w:pos="9628"/>
        </w:tabs>
        <w:rPr>
          <w:rFonts w:eastAsiaTheme="minorEastAsia"/>
          <w:noProof/>
          <w:kern w:val="2"/>
          <w:lang w:val="en-US"/>
          <w14:ligatures w14:val="standardContextual"/>
        </w:rPr>
      </w:pPr>
      <w:hyperlink w:anchor="_Toc153901520" w:history="1">
        <w:r w:rsidRPr="00EB3088">
          <w:rPr>
            <w:rStyle w:val="Hyperlink"/>
            <w:noProof/>
          </w:rPr>
          <w:t>Табела V.25: Финална потрошња енергије по сектору - Саобраћај [ktoe]</w:t>
        </w:r>
        <w:r>
          <w:rPr>
            <w:noProof/>
            <w:webHidden/>
          </w:rPr>
          <w:tab/>
        </w:r>
        <w:r>
          <w:rPr>
            <w:noProof/>
            <w:webHidden/>
          </w:rPr>
          <w:fldChar w:fldCharType="begin"/>
        </w:r>
        <w:r>
          <w:rPr>
            <w:noProof/>
            <w:webHidden/>
          </w:rPr>
          <w:instrText xml:space="preserve"> PAGEREF _Toc153901520 \h </w:instrText>
        </w:r>
        <w:r>
          <w:rPr>
            <w:noProof/>
            <w:webHidden/>
          </w:rPr>
        </w:r>
        <w:r>
          <w:rPr>
            <w:noProof/>
            <w:webHidden/>
          </w:rPr>
          <w:fldChar w:fldCharType="separate"/>
        </w:r>
        <w:r w:rsidR="00565B02">
          <w:rPr>
            <w:noProof/>
            <w:webHidden/>
          </w:rPr>
          <w:t>341</w:t>
        </w:r>
        <w:r>
          <w:rPr>
            <w:noProof/>
            <w:webHidden/>
          </w:rPr>
          <w:fldChar w:fldCharType="end"/>
        </w:r>
      </w:hyperlink>
    </w:p>
    <w:p w14:paraId="786458EE" w14:textId="3442CA59" w:rsidR="00566668" w:rsidRDefault="00566668">
      <w:pPr>
        <w:pStyle w:val="TableofFigures"/>
        <w:tabs>
          <w:tab w:val="right" w:leader="dot" w:pos="9628"/>
        </w:tabs>
        <w:rPr>
          <w:rFonts w:eastAsiaTheme="minorEastAsia"/>
          <w:noProof/>
          <w:kern w:val="2"/>
          <w:lang w:val="en-US"/>
          <w14:ligatures w14:val="standardContextual"/>
        </w:rPr>
      </w:pPr>
      <w:hyperlink w:anchor="_Toc153901521" w:history="1">
        <w:r w:rsidRPr="00EB3088">
          <w:rPr>
            <w:rStyle w:val="Hyperlink"/>
            <w:noProof/>
          </w:rPr>
          <w:t>Табела V.26: Финална потрошња енергије по сектору - Услуге [ktoe]</w:t>
        </w:r>
        <w:r>
          <w:rPr>
            <w:noProof/>
            <w:webHidden/>
          </w:rPr>
          <w:tab/>
        </w:r>
        <w:r>
          <w:rPr>
            <w:noProof/>
            <w:webHidden/>
          </w:rPr>
          <w:fldChar w:fldCharType="begin"/>
        </w:r>
        <w:r>
          <w:rPr>
            <w:noProof/>
            <w:webHidden/>
          </w:rPr>
          <w:instrText xml:space="preserve"> PAGEREF _Toc153901521 \h </w:instrText>
        </w:r>
        <w:r>
          <w:rPr>
            <w:noProof/>
            <w:webHidden/>
          </w:rPr>
        </w:r>
        <w:r>
          <w:rPr>
            <w:noProof/>
            <w:webHidden/>
          </w:rPr>
          <w:fldChar w:fldCharType="separate"/>
        </w:r>
        <w:r w:rsidR="00565B02">
          <w:rPr>
            <w:noProof/>
            <w:webHidden/>
          </w:rPr>
          <w:t>341</w:t>
        </w:r>
        <w:r>
          <w:rPr>
            <w:noProof/>
            <w:webHidden/>
          </w:rPr>
          <w:fldChar w:fldCharType="end"/>
        </w:r>
      </w:hyperlink>
    </w:p>
    <w:p w14:paraId="3CB49E2B" w14:textId="22448ED4" w:rsidR="00566668" w:rsidRDefault="00566668">
      <w:pPr>
        <w:pStyle w:val="TableofFigures"/>
        <w:tabs>
          <w:tab w:val="right" w:leader="dot" w:pos="9628"/>
        </w:tabs>
        <w:rPr>
          <w:rFonts w:eastAsiaTheme="minorEastAsia"/>
          <w:noProof/>
          <w:kern w:val="2"/>
          <w:lang w:val="en-US"/>
          <w14:ligatures w14:val="standardContextual"/>
        </w:rPr>
      </w:pPr>
      <w:hyperlink w:anchor="_Toc153901522" w:history="1">
        <w:r w:rsidRPr="00EB3088">
          <w:rPr>
            <w:rStyle w:val="Hyperlink"/>
            <w:noProof/>
          </w:rPr>
          <w:t>Табела V.27: Финална потрошња енергије по сектору – Стамбени сектор [ktoe]</w:t>
        </w:r>
        <w:r>
          <w:rPr>
            <w:noProof/>
            <w:webHidden/>
          </w:rPr>
          <w:tab/>
        </w:r>
        <w:r>
          <w:rPr>
            <w:noProof/>
            <w:webHidden/>
          </w:rPr>
          <w:fldChar w:fldCharType="begin"/>
        </w:r>
        <w:r>
          <w:rPr>
            <w:noProof/>
            <w:webHidden/>
          </w:rPr>
          <w:instrText xml:space="preserve"> PAGEREF _Toc153901522 \h </w:instrText>
        </w:r>
        <w:r>
          <w:rPr>
            <w:noProof/>
            <w:webHidden/>
          </w:rPr>
        </w:r>
        <w:r>
          <w:rPr>
            <w:noProof/>
            <w:webHidden/>
          </w:rPr>
          <w:fldChar w:fldCharType="separate"/>
        </w:r>
        <w:r w:rsidR="00565B02">
          <w:rPr>
            <w:noProof/>
            <w:webHidden/>
          </w:rPr>
          <w:t>341</w:t>
        </w:r>
        <w:r>
          <w:rPr>
            <w:noProof/>
            <w:webHidden/>
          </w:rPr>
          <w:fldChar w:fldCharType="end"/>
        </w:r>
      </w:hyperlink>
    </w:p>
    <w:p w14:paraId="7824AD43" w14:textId="4F173DD9" w:rsidR="00566668" w:rsidRDefault="00566668">
      <w:pPr>
        <w:pStyle w:val="TableofFigures"/>
        <w:tabs>
          <w:tab w:val="right" w:leader="dot" w:pos="9628"/>
        </w:tabs>
        <w:rPr>
          <w:rFonts w:eastAsiaTheme="minorEastAsia"/>
          <w:noProof/>
          <w:kern w:val="2"/>
          <w:lang w:val="en-US"/>
          <w14:ligatures w14:val="standardContextual"/>
        </w:rPr>
      </w:pPr>
      <w:hyperlink w:anchor="_Toc153901523" w:history="1">
        <w:r w:rsidRPr="00EB3088">
          <w:rPr>
            <w:rStyle w:val="Hyperlink"/>
            <w:noProof/>
          </w:rPr>
          <w:t>Табела V.28: Финална потрошња енергије по сектору - Пољопривреда [ktoe]</w:t>
        </w:r>
        <w:r>
          <w:rPr>
            <w:noProof/>
            <w:webHidden/>
          </w:rPr>
          <w:tab/>
        </w:r>
        <w:r>
          <w:rPr>
            <w:noProof/>
            <w:webHidden/>
          </w:rPr>
          <w:fldChar w:fldCharType="begin"/>
        </w:r>
        <w:r>
          <w:rPr>
            <w:noProof/>
            <w:webHidden/>
          </w:rPr>
          <w:instrText xml:space="preserve"> PAGEREF _Toc153901523 \h </w:instrText>
        </w:r>
        <w:r>
          <w:rPr>
            <w:noProof/>
            <w:webHidden/>
          </w:rPr>
        </w:r>
        <w:r>
          <w:rPr>
            <w:noProof/>
            <w:webHidden/>
          </w:rPr>
          <w:fldChar w:fldCharType="separate"/>
        </w:r>
        <w:r w:rsidR="00565B02">
          <w:rPr>
            <w:noProof/>
            <w:webHidden/>
          </w:rPr>
          <w:t>341</w:t>
        </w:r>
        <w:r>
          <w:rPr>
            <w:noProof/>
            <w:webHidden/>
          </w:rPr>
          <w:fldChar w:fldCharType="end"/>
        </w:r>
      </w:hyperlink>
    </w:p>
    <w:p w14:paraId="16B9D2E4" w14:textId="5B09F1D0" w:rsidR="00931D02" w:rsidRPr="00FF386D" w:rsidRDefault="00566668">
      <w:pPr>
        <w:spacing w:line="259" w:lineRule="auto"/>
        <w:rPr>
          <w:rFonts w:ascii="Calibri Light" w:hAnsi="Calibri Light" w:cs="Calibri Light"/>
          <w:highlight w:val="yellow"/>
        </w:rPr>
      </w:pPr>
      <w:r>
        <w:rPr>
          <w:rFonts w:ascii="Calibri Light" w:hAnsi="Calibri Light" w:cs="Calibri Light"/>
          <w:highlight w:val="yellow"/>
        </w:rPr>
        <w:fldChar w:fldCharType="end"/>
      </w:r>
      <w:r w:rsidR="00931D02" w:rsidRPr="00FF386D">
        <w:rPr>
          <w:rFonts w:ascii="Calibri Light" w:hAnsi="Calibri Light" w:cs="Calibri Light"/>
          <w:highlight w:val="yellow"/>
        </w:rPr>
        <w:br w:type="page"/>
      </w:r>
    </w:p>
    <w:p w14:paraId="71DC3065" w14:textId="77777777" w:rsidR="009069EE" w:rsidRPr="00FF386D" w:rsidRDefault="009069EE" w:rsidP="009069EE">
      <w:pPr>
        <w:rPr>
          <w:rFonts w:asciiTheme="majorHAnsi" w:hAnsiTheme="majorHAnsi" w:cstheme="majorHAnsi"/>
          <w:sz w:val="52"/>
          <w:szCs w:val="52"/>
          <w:highlight w:val="green"/>
          <w:lang w:eastAsia="el-GR"/>
        </w:rPr>
      </w:pPr>
    </w:p>
    <w:p w14:paraId="27397C0B" w14:textId="77777777" w:rsidR="009069EE" w:rsidRPr="00FF386D" w:rsidRDefault="009069EE" w:rsidP="009069EE">
      <w:pPr>
        <w:rPr>
          <w:rFonts w:asciiTheme="majorHAnsi" w:hAnsiTheme="majorHAnsi" w:cstheme="majorHAnsi"/>
          <w:sz w:val="52"/>
          <w:szCs w:val="52"/>
          <w:highlight w:val="green"/>
          <w:lang w:eastAsia="el-GR"/>
        </w:rPr>
      </w:pPr>
    </w:p>
    <w:p w14:paraId="63587475" w14:textId="77777777" w:rsidR="009069EE" w:rsidRPr="00FF386D" w:rsidRDefault="009069EE" w:rsidP="009069EE">
      <w:pPr>
        <w:rPr>
          <w:rFonts w:asciiTheme="majorHAnsi" w:hAnsiTheme="majorHAnsi" w:cstheme="majorHAnsi"/>
          <w:sz w:val="52"/>
          <w:szCs w:val="52"/>
          <w:highlight w:val="green"/>
          <w:lang w:eastAsia="el-GR"/>
        </w:rPr>
      </w:pPr>
    </w:p>
    <w:p w14:paraId="53788AC3" w14:textId="77777777" w:rsidR="009069EE" w:rsidRPr="00FF386D" w:rsidRDefault="009069EE" w:rsidP="009069EE">
      <w:pPr>
        <w:rPr>
          <w:rFonts w:asciiTheme="majorHAnsi" w:hAnsiTheme="majorHAnsi" w:cstheme="majorHAnsi"/>
          <w:sz w:val="52"/>
          <w:szCs w:val="52"/>
          <w:highlight w:val="green"/>
          <w:lang w:eastAsia="el-GR"/>
        </w:rPr>
      </w:pPr>
    </w:p>
    <w:p w14:paraId="52704802" w14:textId="77777777" w:rsidR="009069EE" w:rsidRPr="00FF386D" w:rsidRDefault="009069EE" w:rsidP="009069EE">
      <w:pPr>
        <w:rPr>
          <w:rFonts w:asciiTheme="majorHAnsi" w:hAnsiTheme="majorHAnsi" w:cstheme="majorHAnsi"/>
          <w:sz w:val="52"/>
          <w:szCs w:val="52"/>
          <w:highlight w:val="green"/>
          <w:lang w:eastAsia="el-GR"/>
        </w:rPr>
      </w:pPr>
    </w:p>
    <w:p w14:paraId="38876784" w14:textId="77777777" w:rsidR="009069EE" w:rsidRPr="00FF386D" w:rsidRDefault="009069EE" w:rsidP="009069EE">
      <w:pPr>
        <w:rPr>
          <w:rFonts w:asciiTheme="majorHAnsi" w:hAnsiTheme="majorHAnsi" w:cstheme="majorHAnsi"/>
          <w:sz w:val="52"/>
          <w:szCs w:val="52"/>
          <w:highlight w:val="green"/>
          <w:lang w:eastAsia="el-GR"/>
        </w:rPr>
      </w:pPr>
    </w:p>
    <w:p w14:paraId="3D9B1748" w14:textId="77777777" w:rsidR="009069EE" w:rsidRPr="00FF386D" w:rsidRDefault="009069EE" w:rsidP="009069EE">
      <w:pPr>
        <w:rPr>
          <w:rFonts w:asciiTheme="majorHAnsi" w:hAnsiTheme="majorHAnsi" w:cstheme="majorHAnsi"/>
          <w:sz w:val="52"/>
          <w:szCs w:val="52"/>
          <w:highlight w:val="green"/>
          <w:lang w:eastAsia="el-GR"/>
        </w:rPr>
      </w:pPr>
    </w:p>
    <w:p w14:paraId="01D90751" w14:textId="77777777" w:rsidR="009069EE" w:rsidRPr="00FF386D" w:rsidRDefault="009069EE" w:rsidP="009069EE">
      <w:pPr>
        <w:rPr>
          <w:rFonts w:asciiTheme="majorHAnsi" w:hAnsiTheme="majorHAnsi" w:cstheme="majorHAnsi"/>
          <w:sz w:val="52"/>
          <w:szCs w:val="52"/>
          <w:highlight w:val="green"/>
          <w:lang w:eastAsia="el-GR"/>
        </w:rPr>
      </w:pPr>
    </w:p>
    <w:p w14:paraId="7DFA5FF3" w14:textId="77777777" w:rsidR="00931D02" w:rsidRPr="00FF386D" w:rsidRDefault="002D1577" w:rsidP="009069EE">
      <w:pPr>
        <w:spacing w:line="259" w:lineRule="auto"/>
        <w:rPr>
          <w:rFonts w:ascii="Calibri Light" w:hAnsi="Calibri Light" w:cs="Calibri Light"/>
          <w:highlight w:val="green"/>
        </w:rPr>
      </w:pPr>
      <w:r w:rsidRPr="00FF386D">
        <w:rPr>
          <w:rFonts w:asciiTheme="majorHAnsi" w:hAnsiTheme="majorHAnsi" w:cstheme="majorHAnsi"/>
          <w:b/>
          <w:bCs/>
          <w:sz w:val="52"/>
          <w:szCs w:val="52"/>
          <w:lang w:eastAsia="el-GR"/>
        </w:rPr>
        <w:t>ОДЕЉАК</w:t>
      </w:r>
      <w:r w:rsidR="009069EE" w:rsidRPr="00FF386D">
        <w:rPr>
          <w:rFonts w:asciiTheme="majorHAnsi" w:hAnsiTheme="majorHAnsi" w:cstheme="majorHAnsi"/>
          <w:b/>
          <w:bCs/>
          <w:sz w:val="52"/>
          <w:szCs w:val="52"/>
          <w:lang w:eastAsia="el-GR"/>
        </w:rPr>
        <w:t xml:space="preserve"> A: </w:t>
      </w:r>
      <w:r w:rsidRPr="00FF386D">
        <w:rPr>
          <w:rFonts w:asciiTheme="majorHAnsi" w:hAnsiTheme="majorHAnsi" w:cstheme="majorHAnsi"/>
          <w:b/>
          <w:bCs/>
          <w:sz w:val="52"/>
          <w:szCs w:val="52"/>
          <w:lang w:eastAsia="el-GR"/>
        </w:rPr>
        <w:t>НАЦИОНАЛНИ ПЛАН</w:t>
      </w:r>
      <w:r w:rsidR="00931D02" w:rsidRPr="00FF386D">
        <w:rPr>
          <w:rFonts w:ascii="Calibri Light" w:hAnsi="Calibri Light" w:cs="Calibri Light"/>
          <w:highlight w:val="green"/>
        </w:rPr>
        <w:br w:type="page"/>
      </w:r>
    </w:p>
    <w:p w14:paraId="093FEFF5" w14:textId="32C61258" w:rsidR="00931D02" w:rsidRPr="00FF386D" w:rsidRDefault="00671116" w:rsidP="00F26DA0">
      <w:pPr>
        <w:pStyle w:val="Heading1"/>
        <w:numPr>
          <w:ilvl w:val="0"/>
          <w:numId w:val="1"/>
        </w:numPr>
      </w:pPr>
      <w:bookmarkStart w:id="13" w:name="_Toc79772541"/>
      <w:bookmarkStart w:id="14" w:name="_Toc137457010"/>
      <w:bookmarkStart w:id="15" w:name="_Toc153901527"/>
      <w:r w:rsidRPr="00FF386D">
        <w:lastRenderedPageBreak/>
        <w:t>ПРЕГЛЕД И</w:t>
      </w:r>
      <w:r w:rsidR="00C8735D" w:rsidRPr="00FF386D">
        <w:t xml:space="preserve"> </w:t>
      </w:r>
      <w:r w:rsidR="00736BA3" w:rsidRPr="00FF386D">
        <w:t xml:space="preserve">ПОСТУПАК </w:t>
      </w:r>
      <w:r w:rsidR="00EB3C75" w:rsidRPr="00FF386D">
        <w:t>ДОНОШЕЊА ПЛАНА</w:t>
      </w:r>
      <w:bookmarkEnd w:id="13"/>
      <w:bookmarkEnd w:id="14"/>
      <w:bookmarkEnd w:id="15"/>
    </w:p>
    <w:p w14:paraId="74E54C2A" w14:textId="222CC830" w:rsidR="00B759CC" w:rsidRPr="00C312D6" w:rsidRDefault="002D5014" w:rsidP="00B759CC">
      <w:pPr>
        <w:pStyle w:val="Heading2"/>
        <w:rPr>
          <w:lang w:val="sr-Cyrl-RS"/>
        </w:rPr>
      </w:pPr>
      <w:bookmarkStart w:id="16" w:name="_Toc79772542"/>
      <w:bookmarkStart w:id="17" w:name="_Toc137457011"/>
      <w:bookmarkStart w:id="18" w:name="_Toc153901528"/>
      <w:r w:rsidRPr="00C312D6">
        <w:rPr>
          <w:lang w:val="sr-Cyrl-RS"/>
        </w:rPr>
        <w:t>Кратак преглед</w:t>
      </w:r>
      <w:r w:rsidR="006E57AC" w:rsidRPr="00C312D6">
        <w:rPr>
          <w:lang w:val="sr-Cyrl-RS"/>
        </w:rPr>
        <w:t xml:space="preserve"> (</w:t>
      </w:r>
      <w:r w:rsidR="00671116" w:rsidRPr="00C312D6">
        <w:rPr>
          <w:lang w:val="sr-Cyrl-RS"/>
        </w:rPr>
        <w:t>п</w:t>
      </w:r>
      <w:r w:rsidR="00415FFD" w:rsidRPr="00C312D6">
        <w:rPr>
          <w:lang w:val="sr-Cyrl-RS"/>
        </w:rPr>
        <w:t>риказ</w:t>
      </w:r>
      <w:r w:rsidR="008B5F15" w:rsidRPr="00C312D6">
        <w:rPr>
          <w:lang w:val="sr-Cyrl-RS"/>
        </w:rPr>
        <w:t>/</w:t>
      </w:r>
      <w:r w:rsidR="00A52510" w:rsidRPr="00C312D6">
        <w:rPr>
          <w:lang w:val="sr-Cyrl-RS"/>
        </w:rPr>
        <w:t>подручје примена</w:t>
      </w:r>
      <w:r w:rsidR="00EF1BD5" w:rsidRPr="00C312D6">
        <w:rPr>
          <w:lang w:val="sr-Cyrl-RS"/>
        </w:rPr>
        <w:t xml:space="preserve"> плана</w:t>
      </w:r>
      <w:r w:rsidR="006E57AC" w:rsidRPr="00C312D6">
        <w:rPr>
          <w:lang w:val="sr-Cyrl-RS"/>
        </w:rPr>
        <w:t>)</w:t>
      </w:r>
      <w:bookmarkEnd w:id="16"/>
      <w:bookmarkEnd w:id="17"/>
      <w:bookmarkEnd w:id="18"/>
    </w:p>
    <w:p w14:paraId="1BA7D003" w14:textId="77777777" w:rsidR="00B759CC" w:rsidRPr="00C312D6" w:rsidRDefault="002D5014">
      <w:pPr>
        <w:pStyle w:val="Heading4"/>
        <w:numPr>
          <w:ilvl w:val="0"/>
          <w:numId w:val="266"/>
        </w:numPr>
        <w:rPr>
          <w:lang w:val="sr-Cyrl-RS"/>
        </w:rPr>
      </w:pPr>
      <w:r w:rsidRPr="00C312D6">
        <w:rPr>
          <w:lang w:val="sr-Cyrl-RS"/>
        </w:rPr>
        <w:t>Политички, економски, еколошки и друштвени контекст плана</w:t>
      </w:r>
    </w:p>
    <w:p w14:paraId="15CBDAA6" w14:textId="400AEF74"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У марту 2012. године, Европски савет је Републици Србији доделио статус кандидата, а одлуком Европског савета из јуна 2013. године су започети приступни преговори са Републиком Србијом. Берлински процес је покренут 2014. године као иницијатива </w:t>
      </w:r>
      <w:r w:rsidR="00A52510" w:rsidRPr="00FF386D">
        <w:rPr>
          <w:rFonts w:asciiTheme="majorHAnsi" w:eastAsia="Times New Roman" w:hAnsiTheme="majorHAnsi" w:cstheme="majorHAnsi"/>
          <w:lang w:eastAsia="el-GR"/>
        </w:rPr>
        <w:t xml:space="preserve">која има за </w:t>
      </w:r>
      <w:r w:rsidRPr="00FF386D">
        <w:rPr>
          <w:rFonts w:asciiTheme="majorHAnsi" w:eastAsia="Times New Roman" w:hAnsiTheme="majorHAnsi" w:cstheme="majorHAnsi"/>
          <w:lang w:eastAsia="el-GR"/>
        </w:rPr>
        <w:t xml:space="preserve">циљ да се </w:t>
      </w:r>
      <w:r w:rsidR="00A52510" w:rsidRPr="00FF386D">
        <w:rPr>
          <w:rFonts w:asciiTheme="majorHAnsi" w:eastAsia="Times New Roman" w:hAnsiTheme="majorHAnsi" w:cstheme="majorHAnsi"/>
          <w:lang w:eastAsia="el-GR"/>
        </w:rPr>
        <w:t>интензивира</w:t>
      </w:r>
      <w:r w:rsidRPr="00FF386D">
        <w:rPr>
          <w:rFonts w:asciiTheme="majorHAnsi" w:eastAsia="Times New Roman" w:hAnsiTheme="majorHAnsi" w:cstheme="majorHAnsi"/>
          <w:lang w:eastAsia="el-GR"/>
        </w:rPr>
        <w:t xml:space="preserve"> регионална сарадња </w:t>
      </w:r>
      <w:r w:rsidR="000E6E77" w:rsidRPr="00FF386D">
        <w:rPr>
          <w:rFonts w:asciiTheme="majorHAnsi" w:eastAsia="Times New Roman" w:hAnsiTheme="majorHAnsi" w:cstheme="majorHAnsi"/>
          <w:lang w:eastAsia="el-GR"/>
        </w:rPr>
        <w:t xml:space="preserve">у региону </w:t>
      </w:r>
      <w:r w:rsidRPr="00FF386D">
        <w:rPr>
          <w:rFonts w:asciiTheme="majorHAnsi" w:eastAsia="Times New Roman" w:hAnsiTheme="majorHAnsi" w:cstheme="majorHAnsi"/>
          <w:lang w:eastAsia="el-GR"/>
        </w:rPr>
        <w:t>Западно</w:t>
      </w:r>
      <w:r w:rsidR="000E6E77" w:rsidRPr="00FF386D">
        <w:rPr>
          <w:rFonts w:asciiTheme="majorHAnsi" w:eastAsia="Times New Roman" w:hAnsiTheme="majorHAnsi" w:cstheme="majorHAnsi"/>
          <w:lang w:eastAsia="el-GR"/>
        </w:rPr>
        <w:t>г</w:t>
      </w:r>
      <w:r w:rsidRPr="00FF386D">
        <w:rPr>
          <w:rFonts w:asciiTheme="majorHAnsi" w:eastAsia="Times New Roman" w:hAnsiTheme="majorHAnsi" w:cstheme="majorHAnsi"/>
          <w:lang w:eastAsia="el-GR"/>
        </w:rPr>
        <w:t xml:space="preserve"> Балкан</w:t>
      </w:r>
      <w:r w:rsidR="000E6E77" w:rsidRPr="00FF386D">
        <w:rPr>
          <w:rFonts w:asciiTheme="majorHAnsi" w:eastAsia="Times New Roman" w:hAnsiTheme="majorHAnsi" w:cstheme="majorHAnsi"/>
          <w:lang w:eastAsia="el-GR"/>
        </w:rPr>
        <w:t>а</w:t>
      </w:r>
      <w:r w:rsidRPr="00FF386D">
        <w:rPr>
          <w:rFonts w:asciiTheme="majorHAnsi" w:eastAsia="Times New Roman" w:hAnsiTheme="majorHAnsi" w:cstheme="majorHAnsi"/>
          <w:lang w:eastAsia="el-GR"/>
        </w:rPr>
        <w:t xml:space="preserve"> и </w:t>
      </w:r>
      <w:r w:rsidR="00A52510" w:rsidRPr="00FF386D">
        <w:rPr>
          <w:rFonts w:asciiTheme="majorHAnsi" w:eastAsia="Times New Roman" w:hAnsiTheme="majorHAnsi" w:cstheme="majorHAnsi"/>
          <w:lang w:eastAsia="el-GR"/>
        </w:rPr>
        <w:t>пружи</w:t>
      </w:r>
      <w:r w:rsidRPr="00FF386D">
        <w:rPr>
          <w:rFonts w:asciiTheme="majorHAnsi" w:eastAsia="Times New Roman" w:hAnsiTheme="majorHAnsi" w:cstheme="majorHAnsi"/>
          <w:lang w:eastAsia="el-GR"/>
        </w:rPr>
        <w:t xml:space="preserve"> помоћ </w:t>
      </w:r>
      <w:r w:rsidR="00A52510" w:rsidRPr="00FF386D">
        <w:rPr>
          <w:rFonts w:asciiTheme="majorHAnsi" w:eastAsia="Times New Roman" w:hAnsiTheme="majorHAnsi" w:cstheme="majorHAnsi"/>
          <w:lang w:eastAsia="el-GR"/>
        </w:rPr>
        <w:t xml:space="preserve">за </w:t>
      </w:r>
      <w:r w:rsidRPr="00FF386D">
        <w:rPr>
          <w:rFonts w:asciiTheme="majorHAnsi" w:eastAsia="Times New Roman" w:hAnsiTheme="majorHAnsi" w:cstheme="majorHAnsi"/>
          <w:lang w:eastAsia="el-GR"/>
        </w:rPr>
        <w:t>интеграциј</w:t>
      </w:r>
      <w:r w:rsidR="00A52510" w:rsidRPr="00FF386D">
        <w:rPr>
          <w:rFonts w:asciiTheme="majorHAnsi" w:eastAsia="Times New Roman" w:hAnsiTheme="majorHAnsi" w:cstheme="majorHAnsi"/>
          <w:lang w:eastAsia="el-GR"/>
        </w:rPr>
        <w:t>у</w:t>
      </w:r>
      <w:r w:rsidRPr="00FF386D">
        <w:rPr>
          <w:rFonts w:asciiTheme="majorHAnsi" w:eastAsia="Times New Roman" w:hAnsiTheme="majorHAnsi" w:cstheme="majorHAnsi"/>
          <w:lang w:eastAsia="el-GR"/>
        </w:rPr>
        <w:t xml:space="preserve"> земаља у Европску унију (ЕУ). Постепеним усклађивањем националн</w:t>
      </w:r>
      <w:r w:rsidR="00A52510" w:rsidRPr="00FF386D">
        <w:rPr>
          <w:rFonts w:asciiTheme="majorHAnsi" w:eastAsia="Times New Roman" w:hAnsiTheme="majorHAnsi" w:cstheme="majorHAnsi"/>
          <w:lang w:eastAsia="el-GR"/>
        </w:rPr>
        <w:t>ог</w:t>
      </w:r>
      <w:r w:rsidRPr="00FF386D">
        <w:rPr>
          <w:rFonts w:asciiTheme="majorHAnsi" w:eastAsia="Times New Roman" w:hAnsiTheme="majorHAnsi" w:cstheme="majorHAnsi"/>
          <w:lang w:eastAsia="el-GR"/>
        </w:rPr>
        <w:t xml:space="preserve"> правн</w:t>
      </w:r>
      <w:r w:rsidR="00A52510" w:rsidRPr="00FF386D">
        <w:rPr>
          <w:rFonts w:asciiTheme="majorHAnsi" w:eastAsia="Times New Roman" w:hAnsiTheme="majorHAnsi" w:cstheme="majorHAnsi"/>
          <w:lang w:eastAsia="el-GR"/>
        </w:rPr>
        <w:t>ог</w:t>
      </w:r>
      <w:r w:rsidRPr="00FF386D">
        <w:rPr>
          <w:rFonts w:asciiTheme="majorHAnsi" w:eastAsia="Times New Roman" w:hAnsiTheme="majorHAnsi" w:cstheme="majorHAnsi"/>
          <w:lang w:eastAsia="el-GR"/>
        </w:rPr>
        <w:t xml:space="preserve"> оквира са правним тековинама ЕУ, Република Србија је спровела бројна усаглашавања законодавства у области климатских промена, животне средине и енергетике.</w:t>
      </w:r>
    </w:p>
    <w:p w14:paraId="488FCE8C" w14:textId="240BFDD7"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Због потребе да се успостави глобални оквир за </w:t>
      </w:r>
      <w:r w:rsidR="00B3246F" w:rsidRPr="00FF386D">
        <w:rPr>
          <w:rFonts w:asciiTheme="majorHAnsi" w:eastAsia="Times New Roman" w:hAnsiTheme="majorHAnsi" w:cstheme="majorHAnsi"/>
          <w:lang w:eastAsia="el-GR"/>
        </w:rPr>
        <w:t>избегавање</w:t>
      </w:r>
      <w:r w:rsidRPr="00FF386D">
        <w:rPr>
          <w:rFonts w:asciiTheme="majorHAnsi" w:eastAsia="Times New Roman" w:hAnsiTheme="majorHAnsi" w:cstheme="majorHAnsi"/>
          <w:lang w:eastAsia="el-GR"/>
        </w:rPr>
        <w:t xml:space="preserve"> опасних промена </w:t>
      </w:r>
      <w:r w:rsidR="00B3246F" w:rsidRPr="00FF386D">
        <w:rPr>
          <w:rFonts w:asciiTheme="majorHAnsi" w:eastAsia="Times New Roman" w:hAnsiTheme="majorHAnsi" w:cstheme="majorHAnsi"/>
          <w:lang w:eastAsia="el-GR"/>
        </w:rPr>
        <w:t xml:space="preserve">климе </w:t>
      </w:r>
      <w:r w:rsidRPr="00FF386D">
        <w:rPr>
          <w:rFonts w:asciiTheme="majorHAnsi" w:eastAsia="Times New Roman" w:hAnsiTheme="majorHAnsi" w:cstheme="majorHAnsi"/>
          <w:lang w:eastAsia="el-GR"/>
        </w:rPr>
        <w:t>ограничавањем глобалног загревања на ниво знатно испод 2°C и улагањем напора да се ниво загревања ограничи на 1,5°C, 2015. године је покренут мултилатерални</w:t>
      </w:r>
      <w:r w:rsidR="00A52510" w:rsidRPr="00FF386D">
        <w:rPr>
          <w:rFonts w:asciiTheme="majorHAnsi" w:eastAsia="Times New Roman" w:hAnsiTheme="majorHAnsi" w:cstheme="majorHAnsi"/>
          <w:lang w:eastAsia="el-GR"/>
        </w:rPr>
        <w:t xml:space="preserve"> процес за промену климе</w:t>
      </w:r>
      <w:r w:rsidRPr="00FF386D">
        <w:rPr>
          <w:rFonts w:asciiTheme="majorHAnsi" w:eastAsia="Times New Roman" w:hAnsiTheme="majorHAnsi" w:cstheme="majorHAnsi"/>
          <w:lang w:eastAsia="el-GR"/>
        </w:rPr>
        <w:t xml:space="preserve">. Стога је на Конференцији </w:t>
      </w:r>
      <w:r w:rsidR="00B3246F" w:rsidRPr="00FF386D">
        <w:rPr>
          <w:rFonts w:asciiTheme="majorHAnsi" w:eastAsia="Times New Roman" w:hAnsiTheme="majorHAnsi" w:cstheme="majorHAnsi"/>
          <w:lang w:eastAsia="el-GR"/>
        </w:rPr>
        <w:t xml:space="preserve">УН </w:t>
      </w:r>
      <w:r w:rsidRPr="00FF386D">
        <w:rPr>
          <w:rFonts w:asciiTheme="majorHAnsi" w:eastAsia="Times New Roman" w:hAnsiTheme="majorHAnsi" w:cstheme="majorHAnsi"/>
          <w:lang w:eastAsia="el-GR"/>
        </w:rPr>
        <w:t xml:space="preserve">о </w:t>
      </w:r>
      <w:r w:rsidR="00B3246F" w:rsidRPr="00FF386D">
        <w:rPr>
          <w:rFonts w:asciiTheme="majorHAnsi" w:eastAsia="Times New Roman" w:hAnsiTheme="majorHAnsi" w:cstheme="majorHAnsi"/>
          <w:lang w:eastAsia="el-GR"/>
        </w:rPr>
        <w:t>променама климе</w:t>
      </w:r>
      <w:r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i/>
          <w:iCs/>
          <w:lang w:eastAsia="el-GR"/>
        </w:rPr>
        <w:t>COP21</w:t>
      </w:r>
      <w:r w:rsidRPr="00FF386D">
        <w:rPr>
          <w:rFonts w:asciiTheme="majorHAnsi" w:eastAsia="Times New Roman" w:hAnsiTheme="majorHAnsi" w:cstheme="majorHAnsi"/>
          <w:lang w:eastAsia="el-GR"/>
        </w:rPr>
        <w:t xml:space="preserve">) усвојен Париски споразум, као први универзални правно обавезујући међународни уговор о климатским променама. Пре </w:t>
      </w:r>
      <w:r w:rsidRPr="00FF386D">
        <w:rPr>
          <w:rFonts w:asciiTheme="majorHAnsi" w:eastAsia="Times New Roman" w:hAnsiTheme="majorHAnsi" w:cstheme="majorHAnsi"/>
          <w:i/>
          <w:iCs/>
          <w:lang w:eastAsia="el-GR"/>
        </w:rPr>
        <w:t>COP21</w:t>
      </w:r>
      <w:r w:rsidRPr="00FF386D">
        <w:rPr>
          <w:rFonts w:asciiTheme="majorHAnsi" w:eastAsia="Times New Roman" w:hAnsiTheme="majorHAnsi" w:cstheme="majorHAnsi"/>
          <w:lang w:eastAsia="el-GR"/>
        </w:rPr>
        <w:t xml:space="preserve">, Република Србија је поднела </w:t>
      </w:r>
      <w:r w:rsidRPr="00FF386D">
        <w:rPr>
          <w:rFonts w:asciiTheme="majorHAnsi" w:eastAsia="Times New Roman" w:hAnsiTheme="majorHAnsi" w:cstheme="majorHAnsi"/>
          <w:b/>
          <w:bCs/>
          <w:lang w:eastAsia="el-GR"/>
        </w:rPr>
        <w:t>Намеравани национално утврђени допринос (</w:t>
      </w:r>
      <w:r w:rsidRPr="00FF386D">
        <w:rPr>
          <w:rFonts w:asciiTheme="majorHAnsi" w:eastAsia="Times New Roman" w:hAnsiTheme="majorHAnsi" w:cstheme="majorHAnsi"/>
          <w:b/>
          <w:bCs/>
          <w:i/>
          <w:iCs/>
          <w:lang w:eastAsia="el-GR"/>
        </w:rPr>
        <w:t>INDCI)</w:t>
      </w:r>
      <w:r w:rsidRPr="00FF386D">
        <w:rPr>
          <w:rFonts w:asciiTheme="majorHAnsi" w:eastAsia="Times New Roman" w:hAnsiTheme="majorHAnsi" w:cstheme="majorHAnsi"/>
          <w:lang w:eastAsia="el-GR"/>
        </w:rPr>
        <w:t xml:space="preserve"> Оквирној конвенцији Уједињених нација о климатским променама (</w:t>
      </w:r>
      <w:r w:rsidRPr="00FF386D">
        <w:rPr>
          <w:rFonts w:asciiTheme="majorHAnsi" w:eastAsia="Times New Roman" w:hAnsiTheme="majorHAnsi" w:cstheme="majorHAnsi"/>
          <w:i/>
          <w:iCs/>
          <w:lang w:eastAsia="el-GR"/>
        </w:rPr>
        <w:t>UNFCCC</w:t>
      </w:r>
      <w:r w:rsidRPr="00FF386D">
        <w:rPr>
          <w:rFonts w:asciiTheme="majorHAnsi" w:eastAsia="Times New Roman" w:hAnsiTheme="majorHAnsi" w:cstheme="majorHAnsi"/>
          <w:lang w:eastAsia="el-GR"/>
        </w:rPr>
        <w:t xml:space="preserve">), </w:t>
      </w:r>
      <w:r w:rsidR="00A50ADC" w:rsidRPr="00565B02">
        <w:rPr>
          <w:rFonts w:asciiTheme="majorHAnsi" w:eastAsia="Times New Roman" w:hAnsiTheme="majorHAnsi" w:cstheme="majorHAnsi"/>
          <w:lang w:eastAsia="el-GR"/>
        </w:rPr>
        <w:t>у ком је приказан</w:t>
      </w:r>
      <w:r w:rsidRPr="00A50ADC">
        <w:rPr>
          <w:rFonts w:asciiTheme="majorHAnsi" w:eastAsia="Times New Roman" w:hAnsiTheme="majorHAnsi" w:cstheme="majorHAnsi"/>
          <w:lang w:eastAsia="el-GR"/>
        </w:rPr>
        <w:t>е допринос државе глобалним напорима за смањење емисија гасова са ефектом стаклене баште (</w:t>
      </w:r>
      <w:r w:rsidRPr="00A50ADC">
        <w:rPr>
          <w:rFonts w:asciiTheme="majorHAnsi" w:eastAsia="Times New Roman" w:hAnsiTheme="majorHAnsi" w:cstheme="majorHAnsi"/>
          <w:i/>
          <w:iCs/>
          <w:lang w:eastAsia="el-GR"/>
        </w:rPr>
        <w:t>GHG</w:t>
      </w:r>
      <w:r w:rsidRPr="00A50ADC">
        <w:rPr>
          <w:rFonts w:asciiTheme="majorHAnsi" w:eastAsia="Times New Roman" w:hAnsiTheme="majorHAnsi" w:cstheme="majorHAnsi"/>
          <w:lang w:eastAsia="el-GR"/>
        </w:rPr>
        <w:t>) кроз: „</w:t>
      </w:r>
      <w:r w:rsidRPr="00A50ADC">
        <w:rPr>
          <w:rFonts w:asciiTheme="majorHAnsi" w:eastAsia="Times New Roman" w:hAnsiTheme="majorHAnsi" w:cstheme="majorHAnsi"/>
          <w:i/>
          <w:iCs/>
          <w:lang w:eastAsia="el-GR"/>
        </w:rPr>
        <w:t>Смањење емисија гасова са ефектом стаклене баште (GHG) за 9,8% до 2030. године у односу на емисије</w:t>
      </w:r>
      <w:r w:rsidRPr="00FF386D">
        <w:rPr>
          <w:rFonts w:asciiTheme="majorHAnsi" w:eastAsia="Times New Roman" w:hAnsiTheme="majorHAnsi" w:cstheme="majorHAnsi"/>
          <w:i/>
          <w:iCs/>
          <w:lang w:eastAsia="el-GR"/>
        </w:rPr>
        <w:t xml:space="preserve"> из </w:t>
      </w:r>
      <w:r w:rsidR="00B3246F" w:rsidRPr="00FF386D">
        <w:rPr>
          <w:rFonts w:asciiTheme="majorHAnsi" w:eastAsia="Times New Roman" w:hAnsiTheme="majorHAnsi" w:cstheme="majorHAnsi"/>
          <w:i/>
          <w:iCs/>
          <w:lang w:eastAsia="el-GR"/>
        </w:rPr>
        <w:t>базне</w:t>
      </w:r>
      <w:r w:rsidRPr="00FF386D">
        <w:rPr>
          <w:rFonts w:asciiTheme="majorHAnsi" w:eastAsia="Times New Roman" w:hAnsiTheme="majorHAnsi" w:cstheme="majorHAnsi"/>
          <w:i/>
          <w:iCs/>
          <w:lang w:eastAsia="el-GR"/>
        </w:rPr>
        <w:t xml:space="preserve"> године (1990)</w:t>
      </w:r>
      <w:r w:rsidRPr="00FF386D">
        <w:rPr>
          <w:rFonts w:asciiTheme="majorHAnsi" w:eastAsia="Times New Roman" w:hAnsiTheme="majorHAnsi" w:cstheme="majorHAnsi"/>
          <w:lang w:eastAsia="el-GR"/>
        </w:rPr>
        <w:t xml:space="preserve">“. Након тога, Република Србија је ратификовала Париски споразум 2017. године. Документ </w:t>
      </w:r>
      <w:r w:rsidRPr="00FF386D">
        <w:rPr>
          <w:rFonts w:asciiTheme="majorHAnsi" w:eastAsia="Times New Roman" w:hAnsiTheme="majorHAnsi" w:cstheme="majorHAnsi"/>
          <w:b/>
          <w:bCs/>
          <w:lang w:eastAsia="el-GR"/>
        </w:rPr>
        <w:t>Други национално утврђени допринос (</w:t>
      </w:r>
      <w:r w:rsidRPr="00FF386D">
        <w:rPr>
          <w:rFonts w:asciiTheme="majorHAnsi" w:eastAsia="Times New Roman" w:hAnsiTheme="majorHAnsi" w:cstheme="majorHAnsi"/>
          <w:b/>
          <w:bCs/>
          <w:i/>
          <w:iCs/>
          <w:lang w:eastAsia="el-GR"/>
        </w:rPr>
        <w:t>NDC</w:t>
      </w:r>
      <w:r w:rsidRPr="00FF386D">
        <w:rPr>
          <w:rFonts w:asciiTheme="majorHAnsi" w:eastAsia="Times New Roman" w:hAnsiTheme="majorHAnsi" w:cstheme="majorHAnsi"/>
          <w:b/>
          <w:bCs/>
          <w:lang w:eastAsia="el-GR"/>
        </w:rPr>
        <w:t>)</w:t>
      </w:r>
      <w:r w:rsidRPr="00FF386D">
        <w:rPr>
          <w:rFonts w:asciiTheme="majorHAnsi" w:eastAsia="Times New Roman" w:hAnsiTheme="majorHAnsi" w:cstheme="majorHAnsi"/>
          <w:lang w:eastAsia="el-GR"/>
        </w:rPr>
        <w:t xml:space="preserve"> је поднет у августу 2022. године, и дефинише смањење емисија од 13,2% у односу на ниво из 2010. године и 33,3% до 2030. године у односу на 1990. годину</w:t>
      </w:r>
      <w:r w:rsidR="00900D44" w:rsidRPr="00FF386D">
        <w:rPr>
          <w:rFonts w:asciiTheme="majorHAnsi" w:eastAsia="Times New Roman" w:hAnsiTheme="majorHAnsi" w:cstheme="majorHAnsi"/>
          <w:lang w:eastAsia="el-GR"/>
        </w:rPr>
        <w:t xml:space="preserve"> (без </w:t>
      </w:r>
      <w:r w:rsidR="00900D44" w:rsidRPr="000A2AFE">
        <w:rPr>
          <w:rFonts w:asciiTheme="majorHAnsi" w:eastAsia="Times New Roman" w:hAnsiTheme="majorHAnsi" w:cstheme="majorHAnsi"/>
          <w:i/>
          <w:iCs/>
          <w:lang w:eastAsia="el-GR"/>
        </w:rPr>
        <w:t>LULUCF</w:t>
      </w:r>
      <w:r w:rsidR="00900D44" w:rsidRPr="000A2AFE">
        <w:rPr>
          <w:rFonts w:asciiTheme="majorHAnsi" w:eastAsia="Times New Roman" w:hAnsiTheme="majorHAnsi" w:cstheme="majorHAnsi"/>
          <w:lang w:eastAsia="el-GR"/>
        </w:rPr>
        <w:t>)</w:t>
      </w:r>
      <w:r w:rsidRPr="00FF386D">
        <w:rPr>
          <w:rFonts w:asciiTheme="majorHAnsi" w:eastAsia="Times New Roman" w:hAnsiTheme="majorHAnsi" w:cstheme="majorHAnsi"/>
          <w:lang w:eastAsia="el-GR"/>
        </w:rPr>
        <w:t>.</w:t>
      </w:r>
    </w:p>
    <w:p w14:paraId="5221E41D" w14:textId="3ED0A8B2"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bidi="he-IL"/>
        </w:rPr>
        <w:t xml:space="preserve">У новембру 2020. године Република Србија је на Самиту о Западном Балкану потписала </w:t>
      </w:r>
      <w:r w:rsidRPr="00FF386D">
        <w:rPr>
          <w:rFonts w:asciiTheme="majorHAnsi" w:eastAsia="Times New Roman" w:hAnsiTheme="majorHAnsi" w:cstheme="majorHAnsi"/>
          <w:b/>
          <w:bCs/>
          <w:lang w:eastAsia="el-GR" w:bidi="he-IL"/>
        </w:rPr>
        <w:t>Софијску декларацију о Зеленој агенди за Западни Балкан</w:t>
      </w:r>
      <w:r w:rsidRPr="00FF386D">
        <w:rPr>
          <w:rFonts w:asciiTheme="majorHAnsi" w:eastAsia="Times New Roman" w:hAnsiTheme="majorHAnsi" w:cstheme="majorHAnsi"/>
          <w:lang w:eastAsia="el-GR" w:bidi="he-IL"/>
        </w:rPr>
        <w:t xml:space="preserve"> у оквиру иницијативе Берлинског процеса и обавезала се да ће </w:t>
      </w:r>
      <w:r w:rsidR="00B3246F" w:rsidRPr="00FF386D">
        <w:rPr>
          <w:rFonts w:asciiTheme="majorHAnsi" w:eastAsia="Times New Roman" w:hAnsiTheme="majorHAnsi" w:cstheme="majorHAnsi"/>
          <w:lang w:eastAsia="el-GR" w:bidi="he-IL"/>
        </w:rPr>
        <w:t xml:space="preserve">заједно са Европском унијом </w:t>
      </w:r>
      <w:r w:rsidRPr="00FF386D">
        <w:rPr>
          <w:rFonts w:asciiTheme="majorHAnsi" w:eastAsia="Times New Roman" w:hAnsiTheme="majorHAnsi" w:cstheme="majorHAnsi"/>
          <w:lang w:eastAsia="el-GR" w:bidi="he-IL"/>
        </w:rPr>
        <w:t xml:space="preserve">радити на </w:t>
      </w:r>
      <w:r w:rsidR="00B3246F" w:rsidRPr="00FF386D">
        <w:rPr>
          <w:rFonts w:asciiTheme="majorHAnsi" w:eastAsia="Times New Roman" w:hAnsiTheme="majorHAnsi" w:cstheme="majorHAnsi"/>
          <w:lang w:eastAsia="el-GR" w:bidi="he-IL"/>
        </w:rPr>
        <w:t xml:space="preserve">остваривању </w:t>
      </w:r>
      <w:r w:rsidRPr="00FF386D">
        <w:rPr>
          <w:rFonts w:asciiTheme="majorHAnsi" w:eastAsia="Times New Roman" w:hAnsiTheme="majorHAnsi" w:cstheme="majorHAnsi"/>
          <w:lang w:eastAsia="el-GR" w:bidi="he-IL"/>
        </w:rPr>
        <w:t xml:space="preserve">циља </w:t>
      </w:r>
      <w:r w:rsidR="00B3246F" w:rsidRPr="00FF386D">
        <w:rPr>
          <w:rFonts w:asciiTheme="majorHAnsi" w:eastAsia="Times New Roman" w:hAnsiTheme="majorHAnsi" w:cstheme="majorHAnsi"/>
          <w:lang w:eastAsia="el-GR" w:bidi="he-IL"/>
        </w:rPr>
        <w:t xml:space="preserve">постизања </w:t>
      </w:r>
      <w:r w:rsidRPr="00FF386D">
        <w:rPr>
          <w:rFonts w:asciiTheme="majorHAnsi" w:eastAsia="Times New Roman" w:hAnsiTheme="majorHAnsi" w:cstheme="majorHAnsi"/>
          <w:lang w:eastAsia="el-GR" w:bidi="he-IL"/>
        </w:rPr>
        <w:t>угљеничн</w:t>
      </w:r>
      <w:r w:rsidR="00B3246F" w:rsidRPr="00FF386D">
        <w:rPr>
          <w:rFonts w:asciiTheme="majorHAnsi" w:eastAsia="Times New Roman" w:hAnsiTheme="majorHAnsi" w:cstheme="majorHAnsi"/>
          <w:lang w:eastAsia="el-GR" w:bidi="he-IL"/>
        </w:rPr>
        <w:t>е</w:t>
      </w:r>
      <w:r w:rsidRPr="00FF386D">
        <w:rPr>
          <w:rFonts w:asciiTheme="majorHAnsi" w:eastAsia="Times New Roman" w:hAnsiTheme="majorHAnsi" w:cstheme="majorHAnsi"/>
          <w:lang w:eastAsia="el-GR" w:bidi="he-IL"/>
        </w:rPr>
        <w:t xml:space="preserve"> неутрално</w:t>
      </w:r>
      <w:r w:rsidR="00B3246F" w:rsidRPr="00FF386D">
        <w:rPr>
          <w:rFonts w:asciiTheme="majorHAnsi" w:eastAsia="Times New Roman" w:hAnsiTheme="majorHAnsi" w:cstheme="majorHAnsi"/>
          <w:lang w:eastAsia="el-GR" w:bidi="he-IL"/>
        </w:rPr>
        <w:t>сти</w:t>
      </w:r>
      <w:r w:rsidRPr="00FF386D">
        <w:rPr>
          <w:rFonts w:asciiTheme="majorHAnsi" w:eastAsia="Times New Roman" w:hAnsiTheme="majorHAnsi" w:cstheme="majorHAnsi"/>
          <w:lang w:eastAsia="el-GR" w:bidi="he-IL"/>
        </w:rPr>
        <w:t xml:space="preserve"> континента до 2050. године. Почетком 2021. године Република Србија је увела реформе националног правног оквира у области енергетике и климатских промена, као полазну основу за процес енергетске транзиције ка климатски неутралном развоју. Остварена је комплетнија хармонизација са прописима Трећег енергетског пакета енергетског законодавства ЕУ и одређеним одредбама пакета ЕУ Чиста енергија за све Европљане. Република Србија је усвојила нови законодавни пакет који се састоји од </w:t>
      </w:r>
      <w:r w:rsidRPr="00FF386D">
        <w:rPr>
          <w:rFonts w:asciiTheme="majorHAnsi" w:eastAsia="Times New Roman" w:hAnsiTheme="majorHAnsi" w:cstheme="majorHAnsi"/>
          <w:b/>
          <w:bCs/>
          <w:lang w:eastAsia="el-GR" w:bidi="he-IL"/>
        </w:rPr>
        <w:t>Закона о</w:t>
      </w:r>
      <w:r w:rsidRPr="00FF386D">
        <w:rPr>
          <w:rFonts w:asciiTheme="majorHAnsi" w:eastAsia="Times New Roman" w:hAnsiTheme="majorHAnsi" w:cstheme="majorHAnsi"/>
          <w:lang w:eastAsia="el-GR" w:bidi="he-IL"/>
        </w:rPr>
        <w:t xml:space="preserve"> и</w:t>
      </w:r>
      <w:r w:rsidRPr="00FF386D">
        <w:rPr>
          <w:rFonts w:asciiTheme="majorHAnsi" w:eastAsia="Times New Roman" w:hAnsiTheme="majorHAnsi" w:cstheme="majorHAnsi"/>
          <w:b/>
          <w:bCs/>
          <w:lang w:eastAsia="el-GR" w:bidi="he-IL"/>
        </w:rPr>
        <w:t>зменама и допунама Закона о енергетици</w:t>
      </w:r>
      <w:r w:rsidRPr="00FF386D">
        <w:rPr>
          <w:rFonts w:asciiTheme="majorHAnsi" w:eastAsia="Times New Roman" w:hAnsiTheme="majorHAnsi" w:cstheme="majorHAnsi"/>
          <w:b/>
          <w:bCs/>
          <w:vertAlign w:val="superscript"/>
          <w:lang w:eastAsia="el-GR"/>
        </w:rPr>
        <w:footnoteReference w:id="2"/>
      </w:r>
      <w:r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b/>
          <w:bCs/>
          <w:lang w:eastAsia="el-GR"/>
        </w:rPr>
        <w:t>Закона о енергетској ефикасности и рационалној употреби енергије</w:t>
      </w:r>
      <w:r w:rsidRPr="00FF386D">
        <w:rPr>
          <w:rFonts w:asciiTheme="majorHAnsi" w:eastAsia="Times New Roman" w:hAnsiTheme="majorHAnsi" w:cstheme="majorHAnsi"/>
          <w:b/>
          <w:bCs/>
          <w:vertAlign w:val="superscript"/>
          <w:lang w:eastAsia="el-GR"/>
        </w:rPr>
        <w:footnoteReference w:id="3"/>
      </w:r>
      <w:r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b/>
          <w:bCs/>
          <w:lang w:eastAsia="el-GR"/>
        </w:rPr>
        <w:t>Закона о коришћењу обновљивих извора енергије</w:t>
      </w:r>
      <w:r w:rsidRPr="00FF386D">
        <w:rPr>
          <w:rFonts w:asciiTheme="majorHAnsi" w:eastAsia="Times New Roman" w:hAnsiTheme="majorHAnsi" w:cstheme="majorHAnsi"/>
          <w:b/>
          <w:bCs/>
          <w:vertAlign w:val="superscript"/>
          <w:lang w:eastAsia="el-GR"/>
        </w:rPr>
        <w:footnoteReference w:id="4"/>
      </w:r>
      <w:r w:rsidRPr="00FF386D">
        <w:rPr>
          <w:rFonts w:asciiTheme="majorHAnsi" w:eastAsia="Times New Roman" w:hAnsiTheme="majorHAnsi" w:cstheme="majorHAnsi"/>
          <w:lang w:eastAsia="el-GR"/>
        </w:rPr>
        <w:t xml:space="preserve">, </w:t>
      </w:r>
      <w:r w:rsidR="002A0D84" w:rsidRPr="00FF386D">
        <w:rPr>
          <w:rFonts w:asciiTheme="majorHAnsi" w:eastAsia="Times New Roman" w:hAnsiTheme="majorHAnsi" w:cstheme="majorHAnsi"/>
          <w:b/>
          <w:bCs/>
          <w:lang w:eastAsia="el-GR"/>
        </w:rPr>
        <w:t>Закона о изменама и допунама Закона о коришћењу обновљивих извора енергије</w:t>
      </w:r>
      <w:r w:rsidR="002A0D84" w:rsidRPr="00FF386D">
        <w:rPr>
          <w:rFonts w:asciiTheme="majorHAnsi" w:eastAsia="Times New Roman" w:hAnsiTheme="majorHAnsi" w:cstheme="majorHAnsi"/>
          <w:vertAlign w:val="superscript"/>
          <w:lang w:eastAsia="el-GR"/>
        </w:rPr>
        <w:footnoteReference w:id="5"/>
      </w:r>
      <w:r w:rsidR="002A0D84" w:rsidRPr="00FF386D">
        <w:rPr>
          <w:rFonts w:asciiTheme="majorHAnsi" w:eastAsia="Times New Roman" w:hAnsiTheme="majorHAnsi" w:cstheme="majorHAnsi"/>
          <w:lang w:eastAsia="el-GR"/>
        </w:rPr>
        <w:t xml:space="preserve">, </w:t>
      </w:r>
      <w:r w:rsidR="002A0D84" w:rsidRPr="00FF386D">
        <w:rPr>
          <w:rFonts w:asciiTheme="majorHAnsi" w:eastAsia="Times New Roman" w:hAnsiTheme="majorHAnsi" w:cstheme="majorHAnsi"/>
          <w:b/>
          <w:bCs/>
          <w:lang w:eastAsia="el-GR"/>
        </w:rPr>
        <w:t>З</w:t>
      </w:r>
      <w:r w:rsidRPr="00FF386D">
        <w:rPr>
          <w:rFonts w:asciiTheme="majorHAnsi" w:eastAsia="Times New Roman" w:hAnsiTheme="majorHAnsi" w:cstheme="majorHAnsi"/>
          <w:b/>
          <w:bCs/>
          <w:lang w:eastAsia="el-GR"/>
        </w:rPr>
        <w:t>акона о изменама и допунама Закона о рударству и геолошким истраживањима</w:t>
      </w:r>
      <w:r w:rsidRPr="00FF386D">
        <w:rPr>
          <w:rFonts w:asciiTheme="majorHAnsi" w:eastAsia="Times New Roman" w:hAnsiTheme="majorHAnsi" w:cstheme="majorHAnsi"/>
          <w:b/>
          <w:bCs/>
          <w:vertAlign w:val="superscript"/>
          <w:lang w:eastAsia="el-GR"/>
        </w:rPr>
        <w:footnoteReference w:id="6"/>
      </w:r>
      <w:r w:rsidRPr="00FF386D">
        <w:rPr>
          <w:rFonts w:asciiTheme="majorHAnsi" w:eastAsia="Times New Roman" w:hAnsiTheme="majorHAnsi" w:cstheme="majorHAnsi"/>
          <w:lang w:eastAsia="el-GR"/>
        </w:rPr>
        <w:t xml:space="preserve">, као и </w:t>
      </w:r>
      <w:r w:rsidRPr="00FF386D">
        <w:rPr>
          <w:rFonts w:asciiTheme="majorHAnsi" w:eastAsia="Times New Roman" w:hAnsiTheme="majorHAnsi" w:cstheme="majorHAnsi"/>
          <w:b/>
          <w:bCs/>
          <w:lang w:eastAsia="el-GR"/>
        </w:rPr>
        <w:t>Закона о климатским променама</w:t>
      </w:r>
      <w:r w:rsidRPr="00FF386D">
        <w:rPr>
          <w:rFonts w:asciiTheme="majorHAnsi" w:eastAsia="Times New Roman" w:hAnsiTheme="majorHAnsi" w:cstheme="majorHAnsi"/>
          <w:b/>
          <w:bCs/>
          <w:vertAlign w:val="superscript"/>
          <w:lang w:eastAsia="el-GR"/>
        </w:rPr>
        <w:footnoteReference w:id="7"/>
      </w:r>
      <w:r w:rsidRPr="00FF386D">
        <w:rPr>
          <w:rFonts w:asciiTheme="majorHAnsi" w:eastAsia="Times New Roman" w:hAnsiTheme="majorHAnsi" w:cstheme="majorHAnsi"/>
          <w:lang w:eastAsia="el-GR"/>
        </w:rPr>
        <w:t>.</w:t>
      </w:r>
    </w:p>
    <w:p w14:paraId="5B993E01" w14:textId="65E496F8" w:rsidR="00C377B5" w:rsidRPr="00FF386D" w:rsidRDefault="002E1742" w:rsidP="00C377B5">
      <w:pPr>
        <w:spacing w:before="120" w:after="120" w:line="240" w:lineRule="auto"/>
        <w:jc w:val="both"/>
        <w:rPr>
          <w:rFonts w:asciiTheme="majorHAnsi" w:eastAsia="Times New Roman" w:hAnsiTheme="majorHAnsi" w:cstheme="majorHAnsi"/>
          <w:lang w:eastAsia="el-GR"/>
        </w:rPr>
      </w:pPr>
      <w:r>
        <w:rPr>
          <w:rFonts w:asciiTheme="majorHAnsi" w:eastAsia="Times New Roman" w:hAnsiTheme="majorHAnsi" w:cstheme="majorHAnsi"/>
          <w:lang w:eastAsia="el-GR"/>
        </w:rPr>
        <w:t>Давање п</w:t>
      </w:r>
      <w:r w:rsidR="00C377B5" w:rsidRPr="00FF386D">
        <w:rPr>
          <w:rFonts w:asciiTheme="majorHAnsi" w:eastAsia="Times New Roman" w:hAnsiTheme="majorHAnsi" w:cstheme="majorHAnsi"/>
          <w:lang w:eastAsia="el-GR"/>
        </w:rPr>
        <w:t>одршк</w:t>
      </w:r>
      <w:r>
        <w:rPr>
          <w:rFonts w:asciiTheme="majorHAnsi" w:eastAsia="Times New Roman" w:hAnsiTheme="majorHAnsi" w:cstheme="majorHAnsi"/>
          <w:lang w:eastAsia="el-GR"/>
        </w:rPr>
        <w:t>е</w:t>
      </w:r>
      <w:r w:rsidR="00C377B5" w:rsidRPr="00FF386D">
        <w:rPr>
          <w:rFonts w:asciiTheme="majorHAnsi" w:eastAsia="Times New Roman" w:hAnsiTheme="majorHAnsi" w:cstheme="majorHAnsi"/>
          <w:lang w:eastAsia="el-GR"/>
        </w:rPr>
        <w:t xml:space="preserve"> </w:t>
      </w:r>
      <w:r>
        <w:rPr>
          <w:rFonts w:asciiTheme="majorHAnsi" w:eastAsia="Times New Roman" w:hAnsiTheme="majorHAnsi" w:cstheme="majorHAnsi"/>
          <w:lang w:eastAsia="el-GR"/>
        </w:rPr>
        <w:t xml:space="preserve">за </w:t>
      </w:r>
      <w:r w:rsidR="00C377B5" w:rsidRPr="00FF386D">
        <w:rPr>
          <w:rFonts w:asciiTheme="majorHAnsi" w:eastAsia="Times New Roman" w:hAnsiTheme="majorHAnsi" w:cstheme="majorHAnsi"/>
          <w:lang w:eastAsia="el-GR"/>
        </w:rPr>
        <w:t>испуњењ</w:t>
      </w:r>
      <w:r>
        <w:rPr>
          <w:rFonts w:asciiTheme="majorHAnsi" w:eastAsia="Times New Roman" w:hAnsiTheme="majorHAnsi" w:cstheme="majorHAnsi"/>
          <w:lang w:eastAsia="el-GR"/>
        </w:rPr>
        <w:t>е</w:t>
      </w:r>
      <w:r w:rsidR="00C377B5" w:rsidRPr="00FF386D">
        <w:rPr>
          <w:rFonts w:asciiTheme="majorHAnsi" w:eastAsia="Times New Roman" w:hAnsiTheme="majorHAnsi" w:cstheme="majorHAnsi"/>
          <w:lang w:eastAsia="el-GR"/>
        </w:rPr>
        <w:t xml:space="preserve"> обавеза Републике Србије у оквиру Париског споразума представља први циљ </w:t>
      </w:r>
      <w:r w:rsidR="00C377B5" w:rsidRPr="00FF386D">
        <w:rPr>
          <w:rFonts w:asciiTheme="majorHAnsi" w:eastAsia="Times New Roman" w:hAnsiTheme="majorHAnsi" w:cstheme="majorHAnsi"/>
          <w:b/>
          <w:bCs/>
          <w:lang w:eastAsia="el-GR"/>
        </w:rPr>
        <w:t>Стратегије нискоугљеничног развоја Републике Србије за период од 2023. до 2030. године са пројекцијама до 2050. године</w:t>
      </w:r>
      <w:r w:rsidR="00C377B5" w:rsidRPr="00FF386D">
        <w:rPr>
          <w:rFonts w:asciiTheme="majorHAnsi" w:eastAsia="Times New Roman" w:hAnsiTheme="majorHAnsi" w:cstheme="majorHAnsi"/>
          <w:b/>
          <w:bCs/>
          <w:vertAlign w:val="superscript"/>
          <w:lang w:eastAsia="el-GR"/>
        </w:rPr>
        <w:footnoteReference w:id="8"/>
      </w:r>
      <w:r w:rsidR="00C377B5" w:rsidRPr="00FF386D">
        <w:rPr>
          <w:rFonts w:asciiTheme="majorHAnsi" w:eastAsia="Times New Roman" w:hAnsiTheme="majorHAnsi" w:cstheme="majorHAnsi"/>
          <w:lang w:eastAsia="el-GR"/>
        </w:rPr>
        <w:t>, која је усвојена на основу Закона о климатским променама</w:t>
      </w:r>
      <w:r w:rsidR="004C7186">
        <w:rPr>
          <w:rFonts w:asciiTheme="majorHAnsi" w:eastAsia="Times New Roman" w:hAnsiTheme="majorHAnsi" w:cstheme="majorHAnsi"/>
          <w:lang w:eastAsia="el-GR"/>
        </w:rPr>
        <w:t xml:space="preserve"> са</w:t>
      </w:r>
      <w:r w:rsidR="00C377B5" w:rsidRPr="00FF386D">
        <w:rPr>
          <w:rFonts w:asciiTheme="majorHAnsi" w:eastAsia="Times New Roman" w:hAnsiTheme="majorHAnsi" w:cstheme="majorHAnsi"/>
          <w:lang w:eastAsia="el-GR"/>
        </w:rPr>
        <w:t xml:space="preserve"> циљ</w:t>
      </w:r>
      <w:r w:rsidR="004C7186">
        <w:rPr>
          <w:rFonts w:asciiTheme="majorHAnsi" w:eastAsia="Times New Roman" w:hAnsiTheme="majorHAnsi" w:cstheme="majorHAnsi"/>
          <w:lang w:eastAsia="el-GR"/>
        </w:rPr>
        <w:t>ем</w:t>
      </w:r>
      <w:r w:rsidR="00C377B5" w:rsidRPr="00FF386D">
        <w:rPr>
          <w:rFonts w:asciiTheme="majorHAnsi" w:eastAsia="Times New Roman" w:hAnsiTheme="majorHAnsi" w:cstheme="majorHAnsi"/>
          <w:lang w:eastAsia="el-GR"/>
        </w:rPr>
        <w:t xml:space="preserve"> </w:t>
      </w:r>
      <w:r w:rsidR="004C7186">
        <w:rPr>
          <w:rFonts w:asciiTheme="majorHAnsi" w:eastAsia="Times New Roman" w:hAnsiTheme="majorHAnsi" w:cstheme="majorHAnsi"/>
          <w:lang w:eastAsia="el-GR"/>
        </w:rPr>
        <w:t xml:space="preserve">да се </w:t>
      </w:r>
      <w:r w:rsidR="00C377B5" w:rsidRPr="00FF386D">
        <w:rPr>
          <w:rFonts w:asciiTheme="majorHAnsi" w:eastAsia="Times New Roman" w:hAnsiTheme="majorHAnsi" w:cstheme="majorHAnsi"/>
          <w:lang w:eastAsia="el-GR"/>
        </w:rPr>
        <w:t>утвр</w:t>
      </w:r>
      <w:r w:rsidR="004C7186">
        <w:rPr>
          <w:rFonts w:asciiTheme="majorHAnsi" w:eastAsia="Times New Roman" w:hAnsiTheme="majorHAnsi" w:cstheme="majorHAnsi"/>
          <w:lang w:eastAsia="el-GR"/>
        </w:rPr>
        <w:t>де</w:t>
      </w:r>
      <w:r w:rsidR="00C377B5" w:rsidRPr="00FF386D">
        <w:rPr>
          <w:rFonts w:asciiTheme="majorHAnsi" w:eastAsia="Times New Roman" w:hAnsiTheme="majorHAnsi" w:cstheme="majorHAnsi"/>
          <w:lang w:eastAsia="el-GR"/>
        </w:rPr>
        <w:t xml:space="preserve"> стратешки правц</w:t>
      </w:r>
      <w:r w:rsidR="004C7186">
        <w:rPr>
          <w:rFonts w:asciiTheme="majorHAnsi" w:eastAsia="Times New Roman" w:hAnsiTheme="majorHAnsi" w:cstheme="majorHAnsi"/>
          <w:lang w:eastAsia="el-GR"/>
        </w:rPr>
        <w:t>и</w:t>
      </w:r>
      <w:r w:rsidR="00C377B5" w:rsidRPr="00FF386D">
        <w:rPr>
          <w:rFonts w:asciiTheme="majorHAnsi" w:eastAsia="Times New Roman" w:hAnsiTheme="majorHAnsi" w:cstheme="majorHAnsi"/>
          <w:lang w:eastAsia="el-GR"/>
        </w:rPr>
        <w:t xml:space="preserve"> деловања и јавне политике </w:t>
      </w:r>
      <w:r w:rsidR="004C7186">
        <w:rPr>
          <w:rFonts w:asciiTheme="majorHAnsi" w:eastAsia="Times New Roman" w:hAnsiTheme="majorHAnsi" w:cstheme="majorHAnsi"/>
          <w:lang w:eastAsia="el-GR"/>
        </w:rPr>
        <w:t xml:space="preserve">за </w:t>
      </w:r>
      <w:r w:rsidR="00C377B5" w:rsidRPr="00FF386D">
        <w:rPr>
          <w:rFonts w:asciiTheme="majorHAnsi" w:eastAsia="Times New Roman" w:hAnsiTheme="majorHAnsi" w:cstheme="majorHAnsi"/>
          <w:lang w:eastAsia="el-GR"/>
        </w:rPr>
        <w:t>смањењ</w:t>
      </w:r>
      <w:r w:rsidR="004C7186">
        <w:rPr>
          <w:rFonts w:asciiTheme="majorHAnsi" w:eastAsia="Times New Roman" w:hAnsiTheme="majorHAnsi" w:cstheme="majorHAnsi"/>
          <w:lang w:eastAsia="el-GR"/>
        </w:rPr>
        <w:t>е</w:t>
      </w:r>
      <w:r w:rsidR="00C377B5" w:rsidRPr="00FF386D">
        <w:rPr>
          <w:rFonts w:asciiTheme="majorHAnsi" w:eastAsia="Times New Roman" w:hAnsiTheme="majorHAnsi" w:cstheme="majorHAnsi"/>
          <w:lang w:eastAsia="el-GR"/>
        </w:rPr>
        <w:t xml:space="preserve"> емисија гасова са ефектом стаклене баште на нивоу целе привреде. </w:t>
      </w:r>
      <w:r w:rsidR="00B3293A">
        <w:rPr>
          <w:rFonts w:asciiTheme="majorHAnsi" w:eastAsia="Times New Roman" w:hAnsiTheme="majorHAnsi" w:cstheme="majorHAnsi"/>
          <w:lang w:eastAsia="el-GR"/>
        </w:rPr>
        <w:t>Давање</w:t>
      </w:r>
      <w:r w:rsidR="00C377B5" w:rsidRPr="00FF386D">
        <w:rPr>
          <w:rFonts w:asciiTheme="majorHAnsi" w:eastAsia="Times New Roman" w:hAnsiTheme="majorHAnsi" w:cstheme="majorHAnsi"/>
          <w:lang w:eastAsia="el-GR"/>
        </w:rPr>
        <w:t xml:space="preserve"> могућности и препорук</w:t>
      </w:r>
      <w:r w:rsidR="00B3293A">
        <w:rPr>
          <w:rFonts w:asciiTheme="majorHAnsi" w:eastAsia="Times New Roman" w:hAnsiTheme="majorHAnsi" w:cstheme="majorHAnsi"/>
          <w:lang w:eastAsia="el-GR"/>
        </w:rPr>
        <w:t>а</w:t>
      </w:r>
      <w:r w:rsidR="00C377B5" w:rsidRPr="00FF386D">
        <w:rPr>
          <w:rFonts w:asciiTheme="majorHAnsi" w:eastAsia="Times New Roman" w:hAnsiTheme="majorHAnsi" w:cstheme="majorHAnsi"/>
          <w:lang w:eastAsia="el-GR"/>
        </w:rPr>
        <w:t xml:space="preserve"> за усклађивање нивоа емисија гасова са ефектом стаклене баште са нивоима у Европској Унији јесте други циљ Стратегије. Активности за </w:t>
      </w:r>
      <w:r w:rsidR="00C377B5" w:rsidRPr="00FF386D">
        <w:rPr>
          <w:rFonts w:asciiTheme="majorHAnsi" w:eastAsia="Times New Roman" w:hAnsiTheme="majorHAnsi" w:cstheme="majorHAnsi"/>
          <w:lang w:eastAsia="el-GR"/>
        </w:rPr>
        <w:lastRenderedPageBreak/>
        <w:t xml:space="preserve">спровођење мера и постизање циљева из Стратегије биће </w:t>
      </w:r>
      <w:r w:rsidR="00B3293A">
        <w:rPr>
          <w:rFonts w:asciiTheme="majorHAnsi" w:eastAsia="Times New Roman" w:hAnsiTheme="majorHAnsi" w:cstheme="majorHAnsi"/>
          <w:lang w:eastAsia="el-GR"/>
        </w:rPr>
        <w:t>утврђене</w:t>
      </w:r>
      <w:r w:rsidR="00C377B5" w:rsidRPr="00FF386D">
        <w:rPr>
          <w:rFonts w:asciiTheme="majorHAnsi" w:eastAsia="Times New Roman" w:hAnsiTheme="majorHAnsi" w:cstheme="majorHAnsi"/>
          <w:lang w:eastAsia="el-GR"/>
        </w:rPr>
        <w:t xml:space="preserve"> Акционим планом за спровођење Стратегије нискоугљеничног развоја за период 2024-2030. године, као и ИНЕКП-ом.</w:t>
      </w:r>
    </w:p>
    <w:p w14:paraId="3AC6C038" w14:textId="0D808DED" w:rsidR="00CA40EC" w:rsidRPr="00FF386D" w:rsidRDefault="00CA40EC"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На Самиту Западног Балкана 2022</w:t>
      </w:r>
      <w:r w:rsidR="00B3293A">
        <w:rPr>
          <w:rFonts w:asciiTheme="majorHAnsi" w:eastAsia="Times New Roman" w:hAnsiTheme="majorHAnsi" w:cstheme="majorHAnsi"/>
          <w:lang w:eastAsia="el-GR"/>
        </w:rPr>
        <w:t>. године</w:t>
      </w:r>
      <w:r w:rsidRPr="00FF386D">
        <w:rPr>
          <w:rFonts w:asciiTheme="majorHAnsi" w:eastAsia="Times New Roman" w:hAnsiTheme="majorHAnsi" w:cstheme="majorHAnsi"/>
          <w:lang w:eastAsia="el-GR"/>
        </w:rPr>
        <w:t xml:space="preserve"> у </w:t>
      </w:r>
      <w:r w:rsidR="006D7E87" w:rsidRPr="00FF386D">
        <w:rPr>
          <w:rFonts w:asciiTheme="majorHAnsi" w:eastAsia="Times New Roman" w:hAnsiTheme="majorHAnsi" w:cstheme="majorHAnsi"/>
          <w:lang w:eastAsia="el-GR"/>
        </w:rPr>
        <w:t xml:space="preserve">оквиру </w:t>
      </w:r>
      <w:r w:rsidR="00900D44" w:rsidRPr="00FF386D">
        <w:rPr>
          <w:rFonts w:asciiTheme="majorHAnsi" w:eastAsia="Times New Roman" w:hAnsiTheme="majorHAnsi" w:cstheme="majorHAnsi"/>
          <w:lang w:eastAsia="el-GR"/>
        </w:rPr>
        <w:t xml:space="preserve">иницијативе </w:t>
      </w:r>
      <w:r w:rsidR="006D7E87" w:rsidRPr="00FF386D">
        <w:rPr>
          <w:rFonts w:asciiTheme="majorHAnsi" w:eastAsia="Times New Roman" w:hAnsiTheme="majorHAnsi" w:cstheme="majorHAnsi"/>
          <w:lang w:eastAsia="el-GR"/>
        </w:rPr>
        <w:t>Берлинског процеса, Србија је потписала заједничку Декларацију о енергетској сигурности и зеленој транзицији на Западном Балкану</w:t>
      </w:r>
      <w:r w:rsidR="006D7E87" w:rsidRPr="000A2AFE">
        <w:rPr>
          <w:rStyle w:val="FootnoteReference"/>
          <w:rFonts w:asciiTheme="majorHAnsi" w:eastAsia="Times New Roman" w:hAnsiTheme="majorHAnsi" w:cstheme="majorHAnsi"/>
          <w:lang w:val="sr-Cyrl-RS" w:eastAsia="el-GR"/>
        </w:rPr>
        <w:footnoteReference w:id="9"/>
      </w:r>
      <w:r w:rsidR="006D7E87" w:rsidRPr="00FF386D">
        <w:rPr>
          <w:rFonts w:asciiTheme="majorHAnsi" w:eastAsia="Times New Roman" w:hAnsiTheme="majorHAnsi" w:cstheme="majorHAnsi"/>
          <w:lang w:eastAsia="el-GR"/>
        </w:rPr>
        <w:t xml:space="preserve">, која истиче посвећеност унапређењу регионалне сарадње у процесу транзиције ка чистој енергији у складу са Париским споразумом и Европским зеленим договором. На 20. </w:t>
      </w:r>
      <w:r w:rsidR="00C27CAF">
        <w:rPr>
          <w:rFonts w:asciiTheme="majorHAnsi" w:eastAsia="Times New Roman" w:hAnsiTheme="majorHAnsi" w:cstheme="majorHAnsi"/>
          <w:lang w:val="sr-Cyrl-CS" w:eastAsia="el-GR"/>
        </w:rPr>
        <w:t xml:space="preserve">састанку </w:t>
      </w:r>
      <w:r w:rsidR="006D7E87" w:rsidRPr="00FF386D">
        <w:rPr>
          <w:rFonts w:asciiTheme="majorHAnsi" w:eastAsia="Times New Roman" w:hAnsiTheme="majorHAnsi" w:cstheme="majorHAnsi"/>
          <w:lang w:eastAsia="el-GR"/>
        </w:rPr>
        <w:t>Министарско</w:t>
      </w:r>
      <w:r w:rsidR="00C27CAF">
        <w:rPr>
          <w:rFonts w:asciiTheme="majorHAnsi" w:eastAsia="Times New Roman" w:hAnsiTheme="majorHAnsi" w:cstheme="majorHAnsi"/>
          <w:lang w:val="sr-Cyrl-CS" w:eastAsia="el-GR"/>
        </w:rPr>
        <w:t>г</w:t>
      </w:r>
      <w:r w:rsidR="006D7E87" w:rsidRPr="00FF386D">
        <w:rPr>
          <w:rFonts w:asciiTheme="majorHAnsi" w:eastAsia="Times New Roman" w:hAnsiTheme="majorHAnsi" w:cstheme="majorHAnsi"/>
          <w:lang w:eastAsia="el-GR"/>
        </w:rPr>
        <w:t xml:space="preserve"> савет</w:t>
      </w:r>
      <w:r w:rsidR="00C27CAF">
        <w:rPr>
          <w:rFonts w:asciiTheme="majorHAnsi" w:eastAsia="Times New Roman" w:hAnsiTheme="majorHAnsi" w:cstheme="majorHAnsi"/>
          <w:lang w:val="sr-Cyrl-CS" w:eastAsia="el-GR"/>
        </w:rPr>
        <w:t>а</w:t>
      </w:r>
      <w:r w:rsidR="006D7E87" w:rsidRPr="00FF386D">
        <w:rPr>
          <w:rFonts w:asciiTheme="majorHAnsi" w:eastAsia="Times New Roman" w:hAnsiTheme="majorHAnsi" w:cstheme="majorHAnsi"/>
          <w:lang w:eastAsia="el-GR"/>
        </w:rPr>
        <w:t xml:space="preserve"> Енергетске заједнице 2022. године</w:t>
      </w:r>
      <w:r w:rsidR="002C517D" w:rsidRPr="000A2AFE">
        <w:rPr>
          <w:rFonts w:asciiTheme="majorHAnsi" w:eastAsia="Times New Roman" w:hAnsiTheme="majorHAnsi" w:cstheme="majorHAnsi"/>
          <w:lang w:eastAsia="el-GR"/>
        </w:rPr>
        <w:t xml:space="preserve">, </w:t>
      </w:r>
      <w:r w:rsidR="002C517D" w:rsidRPr="00FF386D">
        <w:rPr>
          <w:rFonts w:asciiTheme="majorHAnsi" w:eastAsia="Times New Roman" w:hAnsiTheme="majorHAnsi" w:cstheme="majorHAnsi"/>
          <w:lang w:eastAsia="el-GR"/>
        </w:rPr>
        <w:t>на ком је учествовала и Србија</w:t>
      </w:r>
      <w:r w:rsidR="006D7E87" w:rsidRPr="00FF386D">
        <w:rPr>
          <w:rFonts w:asciiTheme="majorHAnsi" w:eastAsia="Times New Roman" w:hAnsiTheme="majorHAnsi" w:cstheme="majorHAnsi"/>
          <w:lang w:eastAsia="el-GR"/>
        </w:rPr>
        <w:t>,</w:t>
      </w:r>
      <w:r w:rsidR="005E5008" w:rsidRPr="00FF386D">
        <w:rPr>
          <w:rFonts w:asciiTheme="majorHAnsi" w:eastAsia="Times New Roman" w:hAnsiTheme="majorHAnsi" w:cstheme="majorHAnsi"/>
          <w:lang w:eastAsia="el-GR"/>
        </w:rPr>
        <w:t xml:space="preserve"> усвојена је Одлука о изменама и допунама Одлуке 2021/14/</w:t>
      </w:r>
      <w:r w:rsidR="005E5008" w:rsidRPr="000A2AFE">
        <w:rPr>
          <w:rFonts w:asciiTheme="majorHAnsi" w:eastAsia="Times New Roman" w:hAnsiTheme="majorHAnsi" w:cstheme="majorHAnsi"/>
          <w:lang w:eastAsia="el-GR"/>
        </w:rPr>
        <w:t>MC-EnC,</w:t>
      </w:r>
      <w:r w:rsidR="005E5008" w:rsidRPr="00FF386D">
        <w:rPr>
          <w:rFonts w:asciiTheme="majorHAnsi" w:eastAsia="Times New Roman" w:hAnsiTheme="majorHAnsi" w:cstheme="majorHAnsi"/>
          <w:lang w:eastAsia="el-GR"/>
        </w:rPr>
        <w:t xml:space="preserve"> која укључује сет амбициозних циљева за смањење емисија гасова са ефектом стаклене баште, енергетску ефикасност и повећање удела обновљивих извора енергије до 2030. године.</w:t>
      </w:r>
      <w:r w:rsidR="00211141">
        <w:rPr>
          <w:rFonts w:asciiTheme="majorHAnsi" w:eastAsia="Times New Roman" w:hAnsiTheme="majorHAnsi" w:cstheme="majorHAnsi"/>
          <w:lang w:eastAsia="el-GR"/>
        </w:rPr>
        <w:t xml:space="preserve"> </w:t>
      </w:r>
      <w:r w:rsidR="00EB3C75" w:rsidRPr="00FF386D">
        <w:rPr>
          <w:rFonts w:asciiTheme="majorHAnsi" w:eastAsiaTheme="majorEastAsia" w:hAnsiTheme="majorHAnsi" w:cstheme="majorHAnsi"/>
          <w:lang w:eastAsia="el-GR"/>
        </w:rPr>
        <w:t xml:space="preserve">У складу са обавезом усвајања Интегрисаног националног енергетског и климатског плана и у складу са Законом о изменама и допунама </w:t>
      </w:r>
      <w:r w:rsidR="00EB3C75" w:rsidRPr="00FF386D">
        <w:rPr>
          <w:rFonts w:asciiTheme="majorHAnsi" w:eastAsiaTheme="majorEastAsia" w:hAnsiTheme="majorHAnsi" w:cstheme="majorHAnsi"/>
          <w:b/>
          <w:bCs/>
          <w:lang w:eastAsia="el-GR"/>
        </w:rPr>
        <w:t>Закона о енергетици</w:t>
      </w:r>
      <w:r w:rsidR="00EB3C75" w:rsidRPr="00FF386D">
        <w:rPr>
          <w:rFonts w:asciiTheme="majorHAnsi" w:eastAsiaTheme="majorEastAsia" w:hAnsiTheme="majorHAnsi" w:cstheme="majorHAnsi"/>
          <w:lang w:eastAsia="el-GR"/>
        </w:rPr>
        <w:t xml:space="preserve">, и као одговор на </w:t>
      </w:r>
      <w:r w:rsidR="00EB3C75" w:rsidRPr="00FF386D">
        <w:rPr>
          <w:rFonts w:asciiTheme="majorHAnsi" w:eastAsiaTheme="majorEastAsia" w:hAnsiTheme="majorHAnsi" w:cstheme="majorHAnsi"/>
          <w:b/>
          <w:bCs/>
          <w:lang w:eastAsia="el-GR"/>
        </w:rPr>
        <w:t>Препоруку Министарског савета Енергетске заједнице</w:t>
      </w:r>
      <w:r w:rsidR="00EB3C75" w:rsidRPr="00FF386D">
        <w:rPr>
          <w:rFonts w:asciiTheme="majorHAnsi" w:eastAsia="Times New Roman" w:hAnsiTheme="majorHAnsi" w:cstheme="majorHAnsi"/>
          <w:vertAlign w:val="superscript"/>
          <w:lang w:eastAsia="el-GR"/>
        </w:rPr>
        <w:footnoteReference w:id="10"/>
      </w:r>
      <w:r w:rsidR="00EB3C75" w:rsidRPr="00FF386D">
        <w:rPr>
          <w:rFonts w:asciiTheme="majorHAnsi" w:eastAsiaTheme="majorEastAsia" w:hAnsiTheme="majorHAnsi" w:cstheme="majorHAnsi"/>
          <w:b/>
          <w:bCs/>
          <w:lang w:eastAsia="el-GR"/>
        </w:rPr>
        <w:t xml:space="preserve"> </w:t>
      </w:r>
      <w:r w:rsidR="00EB3C75" w:rsidRPr="00FF386D">
        <w:rPr>
          <w:rFonts w:asciiTheme="majorHAnsi" w:eastAsia="Times New Roman" w:hAnsiTheme="majorHAnsi" w:cstheme="majorHAnsi"/>
          <w:lang w:eastAsia="el-GR"/>
        </w:rPr>
        <w:t xml:space="preserve">о припремама за израду интегрисаних националних енергетских и климатских планова уговорних страна Енергетске заједнице и у складу са одговарајућим </w:t>
      </w:r>
      <w:r w:rsidR="00EB3C75" w:rsidRPr="00FF386D">
        <w:rPr>
          <w:rFonts w:asciiTheme="majorHAnsi" w:eastAsia="Times New Roman" w:hAnsiTheme="majorHAnsi" w:cstheme="majorHAnsi"/>
          <w:b/>
          <w:bCs/>
          <w:lang w:eastAsia="el-GR"/>
        </w:rPr>
        <w:t>Регулаторним смерницама Секретаријата Енергетске заједнице</w:t>
      </w:r>
      <w:r w:rsidR="00EB3C75" w:rsidRPr="00FF386D">
        <w:rPr>
          <w:rFonts w:asciiTheme="majorHAnsi" w:eastAsia="Times New Roman" w:hAnsiTheme="majorHAnsi" w:cstheme="majorHAnsi"/>
          <w:vertAlign w:val="superscript"/>
          <w:lang w:eastAsia="el-GR"/>
        </w:rPr>
        <w:footnoteReference w:id="11"/>
      </w:r>
      <w:r w:rsidR="00EB3C75" w:rsidRPr="00FF386D">
        <w:rPr>
          <w:rFonts w:asciiTheme="majorHAnsi" w:eastAsia="Times New Roman" w:hAnsiTheme="majorHAnsi" w:cstheme="majorHAnsi"/>
          <w:lang w:eastAsia="el-GR"/>
        </w:rPr>
        <w:t>, Република Србија је израдила Национални енергетски и климатски план (</w:t>
      </w:r>
      <w:r w:rsidR="002A0D84" w:rsidRPr="00FF386D">
        <w:rPr>
          <w:rFonts w:asciiTheme="majorHAnsi" w:eastAsia="Times New Roman" w:hAnsiTheme="majorHAnsi" w:cstheme="majorHAnsi"/>
          <w:lang w:eastAsia="el-GR"/>
        </w:rPr>
        <w:t>И</w:t>
      </w:r>
      <w:r w:rsidR="00EB3C75" w:rsidRPr="00FF386D">
        <w:rPr>
          <w:rFonts w:asciiTheme="majorHAnsi" w:eastAsia="Times New Roman" w:hAnsiTheme="majorHAnsi" w:cstheme="majorHAnsi"/>
          <w:lang w:eastAsia="el-GR"/>
        </w:rPr>
        <w:t>НЕКП) који покрива период од 2021. до 2030. године. Поред тога, Министарски савет Енергетске заједнице</w:t>
      </w:r>
      <w:r w:rsidR="00EB3C75" w:rsidRPr="00FF386D">
        <w:rPr>
          <w:rFonts w:asciiTheme="majorHAnsi" w:eastAsia="Times New Roman" w:hAnsiTheme="majorHAnsi" w:cstheme="majorHAnsi"/>
          <w:vertAlign w:val="superscript"/>
          <w:lang w:eastAsia="el-GR"/>
        </w:rPr>
        <w:footnoteReference w:id="12"/>
      </w:r>
      <w:r w:rsidR="00EB3C75" w:rsidRPr="00FF386D">
        <w:rPr>
          <w:rFonts w:asciiTheme="majorHAnsi" w:eastAsia="Times New Roman" w:hAnsiTheme="majorHAnsi" w:cstheme="majorHAnsi"/>
          <w:lang w:eastAsia="el-GR"/>
        </w:rPr>
        <w:t xml:space="preserve"> је 2021. године </w:t>
      </w:r>
      <w:r w:rsidR="00B3246F" w:rsidRPr="00FF386D">
        <w:rPr>
          <w:rFonts w:asciiTheme="majorHAnsi" w:eastAsia="Times New Roman" w:hAnsiTheme="majorHAnsi" w:cstheme="majorHAnsi"/>
          <w:lang w:eastAsia="el-GR"/>
        </w:rPr>
        <w:t>укључио</w:t>
      </w:r>
      <w:r w:rsidR="00EB3C75" w:rsidRPr="00FF386D">
        <w:rPr>
          <w:rFonts w:asciiTheme="majorHAnsi" w:eastAsia="Times New Roman" w:hAnsiTheme="majorHAnsi" w:cstheme="majorHAnsi"/>
          <w:lang w:eastAsia="el-GR"/>
        </w:rPr>
        <w:t xml:space="preserve"> Уредбу (ЕУ) 2018/1999 у правне тековине Енергетске заједнице и </w:t>
      </w:r>
      <w:r w:rsidR="00B3246F" w:rsidRPr="00FF386D">
        <w:rPr>
          <w:rFonts w:asciiTheme="majorHAnsi" w:eastAsia="Times New Roman" w:hAnsiTheme="majorHAnsi" w:cstheme="majorHAnsi"/>
          <w:lang w:eastAsia="el-GR"/>
        </w:rPr>
        <w:t>усвојио измене и допуне</w:t>
      </w:r>
      <w:r w:rsidR="00EB3C75" w:rsidRPr="00FF386D">
        <w:rPr>
          <w:rFonts w:asciiTheme="majorHAnsi" w:eastAsia="Times New Roman" w:hAnsiTheme="majorHAnsi" w:cstheme="majorHAnsi"/>
          <w:lang w:eastAsia="el-GR"/>
        </w:rPr>
        <w:t xml:space="preserve"> Анекс</w:t>
      </w:r>
      <w:r w:rsidR="00B3246F" w:rsidRPr="00FF386D">
        <w:rPr>
          <w:rFonts w:asciiTheme="majorHAnsi" w:eastAsia="Times New Roman" w:hAnsiTheme="majorHAnsi" w:cstheme="majorHAnsi"/>
          <w:lang w:eastAsia="el-GR"/>
        </w:rPr>
        <w:t>а</w:t>
      </w:r>
      <w:r w:rsidR="00EB3C75" w:rsidRPr="00FF386D">
        <w:rPr>
          <w:rFonts w:asciiTheme="majorHAnsi" w:eastAsia="Times New Roman" w:hAnsiTheme="majorHAnsi" w:cstheme="majorHAnsi"/>
          <w:lang w:eastAsia="el-GR"/>
        </w:rPr>
        <w:t xml:space="preserve"> I Уговора.</w:t>
      </w:r>
    </w:p>
    <w:p w14:paraId="7939003A" w14:textId="72498F75" w:rsidR="00EB3C75"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На крају, важно је истаћи да </w:t>
      </w:r>
      <w:r w:rsidR="00B3246F" w:rsidRPr="00FF386D">
        <w:rPr>
          <w:rFonts w:asciiTheme="majorHAnsi" w:eastAsia="Times New Roman" w:hAnsiTheme="majorHAnsi" w:cstheme="majorHAnsi"/>
          <w:lang w:eastAsia="el-GR"/>
        </w:rPr>
        <w:t>су</w:t>
      </w:r>
      <w:r w:rsidRPr="00FF386D">
        <w:rPr>
          <w:rFonts w:asciiTheme="majorHAnsi" w:eastAsia="Times New Roman" w:hAnsiTheme="majorHAnsi" w:cstheme="majorHAnsi"/>
          <w:lang w:eastAsia="el-GR"/>
        </w:rPr>
        <w:t xml:space="preserve"> у децембру 2022. године </w:t>
      </w:r>
      <w:r w:rsidR="00B3246F" w:rsidRPr="00FF386D">
        <w:rPr>
          <w:rFonts w:asciiTheme="majorHAnsi" w:eastAsia="Times New Roman" w:hAnsiTheme="majorHAnsi" w:cstheme="majorHAnsi"/>
          <w:lang w:eastAsia="el-GR"/>
        </w:rPr>
        <w:t>усвојене измене и допуне</w:t>
      </w:r>
      <w:r w:rsidRPr="00FF386D">
        <w:rPr>
          <w:rFonts w:asciiTheme="majorHAnsi" w:eastAsia="Times New Roman" w:hAnsiTheme="majorHAnsi" w:cstheme="majorHAnsi"/>
          <w:lang w:eastAsia="el-GR"/>
        </w:rPr>
        <w:t xml:space="preserve"> Анекс</w:t>
      </w:r>
      <w:r w:rsidR="00B3246F" w:rsidRPr="000A2AFE">
        <w:rPr>
          <w:rFonts w:asciiTheme="majorHAnsi" w:eastAsia="Times New Roman" w:hAnsiTheme="majorHAnsi" w:cstheme="majorHAnsi"/>
          <w:lang w:eastAsia="el-GR"/>
        </w:rPr>
        <w:t>a</w:t>
      </w:r>
      <w:r w:rsidRPr="00FF386D">
        <w:rPr>
          <w:rFonts w:asciiTheme="majorHAnsi" w:eastAsia="Times New Roman" w:hAnsiTheme="majorHAnsi" w:cstheme="majorHAnsi"/>
          <w:lang w:eastAsia="el-GR"/>
        </w:rPr>
        <w:t xml:space="preserve"> I Уговора о оснивању Енергетске заједнице</w:t>
      </w:r>
      <w:r w:rsidR="0083671A">
        <w:rPr>
          <w:rFonts w:asciiTheme="majorHAnsi" w:eastAsia="Times New Roman" w:hAnsiTheme="majorHAnsi" w:cstheme="majorHAnsi"/>
          <w:lang w:val="en-US" w:eastAsia="el-GR"/>
        </w:rPr>
        <w:t xml:space="preserve"> </w:t>
      </w:r>
      <w:r w:rsidR="0083671A">
        <w:rPr>
          <w:rFonts w:asciiTheme="majorHAnsi" w:eastAsia="Times New Roman" w:hAnsiTheme="majorHAnsi" w:cstheme="majorHAnsi"/>
          <w:lang w:val="sr-Cyrl-CS" w:eastAsia="el-GR"/>
        </w:rPr>
        <w:t>и тиме уведени следећи прописи у корпус прописа Енергетске заједнице:</w:t>
      </w:r>
      <w:r w:rsidRPr="00FF386D">
        <w:rPr>
          <w:rFonts w:asciiTheme="majorHAnsi" w:eastAsia="Times New Roman" w:hAnsiTheme="majorHAnsi" w:cstheme="majorHAnsi"/>
          <w:lang w:eastAsia="el-GR"/>
        </w:rPr>
        <w:t xml:space="preserve"> Директив</w:t>
      </w:r>
      <w:r w:rsidR="0083671A">
        <w:rPr>
          <w:rFonts w:asciiTheme="majorHAnsi" w:eastAsia="Times New Roman" w:hAnsiTheme="majorHAnsi" w:cstheme="majorHAnsi"/>
          <w:lang w:val="sr-Cyrl-CS" w:eastAsia="el-GR"/>
        </w:rPr>
        <w:t>а</w:t>
      </w:r>
      <w:r w:rsidRPr="00FF386D">
        <w:rPr>
          <w:rFonts w:asciiTheme="majorHAnsi" w:eastAsia="Times New Roman" w:hAnsiTheme="majorHAnsi" w:cstheme="majorHAnsi"/>
          <w:lang w:eastAsia="el-GR"/>
        </w:rPr>
        <w:t xml:space="preserve"> (ЕУ) 2018/2001, Директив</w:t>
      </w:r>
      <w:r w:rsidR="0083671A">
        <w:rPr>
          <w:rFonts w:asciiTheme="majorHAnsi" w:eastAsia="Times New Roman" w:hAnsiTheme="majorHAnsi" w:cstheme="majorHAnsi"/>
          <w:lang w:val="sr-Cyrl-CS" w:eastAsia="el-GR"/>
        </w:rPr>
        <w:t>а</w:t>
      </w:r>
      <w:r w:rsidRPr="00FF386D">
        <w:rPr>
          <w:rFonts w:asciiTheme="majorHAnsi" w:eastAsia="Times New Roman" w:hAnsiTheme="majorHAnsi" w:cstheme="majorHAnsi"/>
          <w:lang w:eastAsia="el-GR"/>
        </w:rPr>
        <w:t xml:space="preserve"> (ЕУ) 2018/2002, Уредб</w:t>
      </w:r>
      <w:r w:rsidR="0083671A">
        <w:rPr>
          <w:rFonts w:asciiTheme="majorHAnsi" w:eastAsia="Times New Roman" w:hAnsiTheme="majorHAnsi" w:cstheme="majorHAnsi"/>
          <w:lang w:val="sr-Cyrl-CS" w:eastAsia="el-GR"/>
        </w:rPr>
        <w:t>а</w:t>
      </w:r>
      <w:r w:rsidRPr="00FF386D">
        <w:rPr>
          <w:rFonts w:asciiTheme="majorHAnsi" w:eastAsia="Times New Roman" w:hAnsiTheme="majorHAnsi" w:cstheme="majorHAnsi"/>
          <w:lang w:eastAsia="el-GR"/>
        </w:rPr>
        <w:t xml:space="preserve"> (ЕУ) 2018/ 1999, Делегиран</w:t>
      </w:r>
      <w:r w:rsidR="0083671A">
        <w:rPr>
          <w:rFonts w:asciiTheme="majorHAnsi" w:eastAsia="Times New Roman" w:hAnsiTheme="majorHAnsi" w:cstheme="majorHAnsi"/>
          <w:lang w:val="sr-Cyrl-CS" w:eastAsia="el-GR"/>
        </w:rPr>
        <w:t>а</w:t>
      </w:r>
      <w:r w:rsidRPr="00FF386D">
        <w:rPr>
          <w:rFonts w:asciiTheme="majorHAnsi" w:eastAsia="Times New Roman" w:hAnsiTheme="majorHAnsi" w:cstheme="majorHAnsi"/>
          <w:lang w:eastAsia="el-GR"/>
        </w:rPr>
        <w:t xml:space="preserve"> уредб</w:t>
      </w:r>
      <w:r w:rsidR="0083671A">
        <w:rPr>
          <w:rFonts w:asciiTheme="majorHAnsi" w:eastAsia="Times New Roman" w:hAnsiTheme="majorHAnsi" w:cstheme="majorHAnsi"/>
          <w:lang w:val="sr-Cyrl-CS" w:eastAsia="el-GR"/>
        </w:rPr>
        <w:t>а</w:t>
      </w:r>
      <w:r w:rsidRPr="00FF386D">
        <w:rPr>
          <w:rFonts w:asciiTheme="majorHAnsi" w:eastAsia="Times New Roman" w:hAnsiTheme="majorHAnsi" w:cstheme="majorHAnsi"/>
          <w:lang w:eastAsia="el-GR"/>
        </w:rPr>
        <w:t xml:space="preserve"> (ЕУ) 2020/1044, </w:t>
      </w:r>
      <w:r w:rsidR="00471CEF">
        <w:rPr>
          <w:rFonts w:asciiTheme="majorHAnsi" w:eastAsia="Times New Roman" w:hAnsiTheme="majorHAnsi" w:cstheme="majorHAnsi"/>
          <w:lang w:eastAsia="el-GR"/>
        </w:rPr>
        <w:t>У</w:t>
      </w:r>
      <w:r w:rsidRPr="00FF386D">
        <w:rPr>
          <w:rFonts w:asciiTheme="majorHAnsi" w:eastAsia="Times New Roman" w:hAnsiTheme="majorHAnsi" w:cstheme="majorHAnsi"/>
          <w:lang w:eastAsia="el-GR"/>
        </w:rPr>
        <w:t>редб</w:t>
      </w:r>
      <w:r w:rsidR="0083671A">
        <w:rPr>
          <w:rFonts w:asciiTheme="majorHAnsi" w:eastAsia="Times New Roman" w:hAnsiTheme="majorHAnsi" w:cstheme="majorHAnsi"/>
          <w:lang w:val="sr-Cyrl-CS" w:eastAsia="el-GR"/>
        </w:rPr>
        <w:t>а</w:t>
      </w:r>
      <w:r w:rsidR="00471CEF">
        <w:rPr>
          <w:rFonts w:asciiTheme="majorHAnsi" w:eastAsia="Times New Roman" w:hAnsiTheme="majorHAnsi" w:cstheme="majorHAnsi"/>
          <w:lang w:eastAsia="el-GR"/>
        </w:rPr>
        <w:t xml:space="preserve"> о спровођењу</w:t>
      </w:r>
      <w:r w:rsidRPr="00FF386D">
        <w:rPr>
          <w:rFonts w:asciiTheme="majorHAnsi" w:eastAsia="Times New Roman" w:hAnsiTheme="majorHAnsi" w:cstheme="majorHAnsi"/>
          <w:lang w:eastAsia="el-GR"/>
        </w:rPr>
        <w:t xml:space="preserve"> (ЕУ) 2020/1208, као и Уредб</w:t>
      </w:r>
      <w:r w:rsidR="0083671A">
        <w:rPr>
          <w:rFonts w:asciiTheme="majorHAnsi" w:eastAsia="Times New Roman" w:hAnsiTheme="majorHAnsi" w:cstheme="majorHAnsi"/>
          <w:lang w:val="sr-Cyrl-CS" w:eastAsia="el-GR"/>
        </w:rPr>
        <w:t>а</w:t>
      </w:r>
      <w:r w:rsidRPr="00FF386D">
        <w:rPr>
          <w:rFonts w:asciiTheme="majorHAnsi" w:eastAsia="Times New Roman" w:hAnsiTheme="majorHAnsi" w:cstheme="majorHAnsi"/>
          <w:lang w:eastAsia="el-GR"/>
        </w:rPr>
        <w:t xml:space="preserve"> (ЕУ) 2019/942, Уредб</w:t>
      </w:r>
      <w:r w:rsidR="0083671A">
        <w:rPr>
          <w:rFonts w:asciiTheme="majorHAnsi" w:eastAsia="Times New Roman" w:hAnsiTheme="majorHAnsi" w:cstheme="majorHAnsi"/>
          <w:lang w:val="sr-Cyrl-CS" w:eastAsia="el-GR"/>
        </w:rPr>
        <w:t>а</w:t>
      </w:r>
      <w:r w:rsidRPr="00FF386D">
        <w:rPr>
          <w:rFonts w:asciiTheme="majorHAnsi" w:eastAsia="Times New Roman" w:hAnsiTheme="majorHAnsi" w:cstheme="majorHAnsi"/>
          <w:lang w:eastAsia="el-GR"/>
        </w:rPr>
        <w:t xml:space="preserve"> (ЕУ) 2019/943, Уредб</w:t>
      </w:r>
      <w:r w:rsidR="0083671A">
        <w:rPr>
          <w:rFonts w:asciiTheme="majorHAnsi" w:eastAsia="Times New Roman" w:hAnsiTheme="majorHAnsi" w:cstheme="majorHAnsi"/>
          <w:lang w:val="sr-Cyrl-CS" w:eastAsia="el-GR"/>
        </w:rPr>
        <w:t>а</w:t>
      </w:r>
      <w:r w:rsidRPr="00FF386D">
        <w:rPr>
          <w:rFonts w:asciiTheme="majorHAnsi" w:eastAsia="Times New Roman" w:hAnsiTheme="majorHAnsi" w:cstheme="majorHAnsi"/>
          <w:lang w:eastAsia="el-GR"/>
        </w:rPr>
        <w:t xml:space="preserve"> (ЕУ) 2015/1222, Уредб</w:t>
      </w:r>
      <w:r w:rsidR="0083671A">
        <w:rPr>
          <w:rFonts w:asciiTheme="majorHAnsi" w:eastAsia="Times New Roman" w:hAnsiTheme="majorHAnsi" w:cstheme="majorHAnsi"/>
          <w:lang w:val="sr-Cyrl-CS" w:eastAsia="el-GR"/>
        </w:rPr>
        <w:t>а</w:t>
      </w:r>
      <w:r w:rsidRPr="00FF386D">
        <w:rPr>
          <w:rFonts w:asciiTheme="majorHAnsi" w:eastAsia="Times New Roman" w:hAnsiTheme="majorHAnsi" w:cstheme="majorHAnsi"/>
          <w:lang w:eastAsia="el-GR"/>
        </w:rPr>
        <w:t xml:space="preserve"> (ЕУ) 6/1719, Уредб</w:t>
      </w:r>
      <w:r w:rsidR="0083671A">
        <w:rPr>
          <w:rFonts w:asciiTheme="majorHAnsi" w:eastAsia="Times New Roman" w:hAnsiTheme="majorHAnsi" w:cstheme="majorHAnsi"/>
          <w:lang w:val="sr-Cyrl-CS" w:eastAsia="el-GR"/>
        </w:rPr>
        <w:t>а</w:t>
      </w:r>
      <w:r w:rsidRPr="00FF386D">
        <w:rPr>
          <w:rFonts w:asciiTheme="majorHAnsi" w:eastAsia="Times New Roman" w:hAnsiTheme="majorHAnsi" w:cstheme="majorHAnsi"/>
          <w:lang w:eastAsia="el-GR"/>
        </w:rPr>
        <w:t xml:space="preserve"> (ЕУ) 2017/2195, Уредб</w:t>
      </w:r>
      <w:r w:rsidR="0083671A">
        <w:rPr>
          <w:rFonts w:asciiTheme="majorHAnsi" w:eastAsia="Times New Roman" w:hAnsiTheme="majorHAnsi" w:cstheme="majorHAnsi"/>
          <w:lang w:val="sr-Cyrl-CS" w:eastAsia="el-GR"/>
        </w:rPr>
        <w:t>а</w:t>
      </w:r>
      <w:r w:rsidRPr="00FF386D">
        <w:rPr>
          <w:rFonts w:asciiTheme="majorHAnsi" w:eastAsia="Times New Roman" w:hAnsiTheme="majorHAnsi" w:cstheme="majorHAnsi"/>
          <w:lang w:eastAsia="el-GR"/>
        </w:rPr>
        <w:t xml:space="preserve"> (ЕУ) 2017/2196</w:t>
      </w:r>
      <w:r w:rsidR="0083671A">
        <w:rPr>
          <w:rFonts w:asciiTheme="majorHAnsi" w:eastAsia="Times New Roman" w:hAnsiTheme="majorHAnsi" w:cstheme="majorHAnsi"/>
          <w:lang w:val="sr-Cyrl-CS" w:eastAsia="el-GR"/>
        </w:rPr>
        <w:t xml:space="preserve"> и </w:t>
      </w:r>
      <w:r w:rsidRPr="00FF386D">
        <w:rPr>
          <w:rFonts w:asciiTheme="majorHAnsi" w:eastAsia="Times New Roman" w:hAnsiTheme="majorHAnsi" w:cstheme="majorHAnsi"/>
          <w:lang w:eastAsia="el-GR"/>
        </w:rPr>
        <w:t>Уредб</w:t>
      </w:r>
      <w:r w:rsidR="0083671A">
        <w:rPr>
          <w:rFonts w:asciiTheme="majorHAnsi" w:eastAsia="Times New Roman" w:hAnsiTheme="majorHAnsi" w:cstheme="majorHAnsi"/>
          <w:lang w:val="sr-Cyrl-CS" w:eastAsia="el-GR"/>
        </w:rPr>
        <w:t>а</w:t>
      </w:r>
      <w:r w:rsidRPr="00FF386D">
        <w:rPr>
          <w:rFonts w:asciiTheme="majorHAnsi" w:eastAsia="Times New Roman" w:hAnsiTheme="majorHAnsi" w:cstheme="majorHAnsi"/>
          <w:lang w:eastAsia="el-GR"/>
        </w:rPr>
        <w:t xml:space="preserve"> (ЕУ) 2017/1485</w:t>
      </w:r>
      <w:r w:rsidRPr="00FF386D">
        <w:rPr>
          <w:rFonts w:asciiTheme="majorHAnsi" w:eastAsia="Times New Roman" w:hAnsiTheme="majorHAnsi" w:cstheme="majorHAnsi"/>
          <w:vertAlign w:val="superscript"/>
          <w:lang w:eastAsia="el-GR"/>
        </w:rPr>
        <w:footnoteReference w:id="13"/>
      </w:r>
      <w:r w:rsidRPr="00FF386D">
        <w:rPr>
          <w:rFonts w:asciiTheme="majorHAnsi" w:eastAsia="Times New Roman" w:hAnsiTheme="majorHAnsi" w:cstheme="majorHAnsi"/>
          <w:lang w:eastAsia="el-GR"/>
        </w:rPr>
        <w:t>.</w:t>
      </w:r>
    </w:p>
    <w:p w14:paraId="4D26C949" w14:textId="5D19C43A" w:rsidR="00C21890" w:rsidRDefault="00C21890" w:rsidP="00EB3C75">
      <w:pPr>
        <w:spacing w:before="120" w:after="120" w:line="240" w:lineRule="auto"/>
        <w:jc w:val="both"/>
        <w:rPr>
          <w:rFonts w:asciiTheme="majorHAnsi" w:eastAsia="Times New Roman" w:hAnsiTheme="majorHAnsi" w:cstheme="majorHAnsi"/>
          <w:lang w:eastAsia="el-GR"/>
        </w:rPr>
      </w:pPr>
      <w:r>
        <w:rPr>
          <w:rFonts w:asciiTheme="majorHAnsi" w:eastAsia="Times New Roman" w:hAnsiTheme="majorHAnsi" w:cstheme="majorHAnsi"/>
          <w:lang w:eastAsia="el-GR"/>
        </w:rPr>
        <w:t>Квантитативна анализа пројекција сценарија за процену утицаја политика и мера у процесу израде ИНЕКП-а Републике Србије спроведена је коришћењем три алата за моделирање:</w:t>
      </w:r>
    </w:p>
    <w:p w14:paraId="16166C65" w14:textId="41C87CC5" w:rsidR="00C21890" w:rsidRPr="00C312D6" w:rsidRDefault="00C21890" w:rsidP="00C21890">
      <w:pPr>
        <w:pStyle w:val="ListParagraph"/>
        <w:numPr>
          <w:ilvl w:val="0"/>
          <w:numId w:val="378"/>
        </w:numPr>
        <w:spacing w:before="120" w:after="120" w:line="240" w:lineRule="auto"/>
        <w:jc w:val="both"/>
        <w:rPr>
          <w:rFonts w:asciiTheme="majorHAnsi" w:eastAsia="Times New Roman" w:hAnsiTheme="majorHAnsi" w:cstheme="majorHAnsi"/>
          <w:lang w:eastAsia="el-GR"/>
        </w:rPr>
      </w:pPr>
      <w:r w:rsidRPr="000A2AFE">
        <w:rPr>
          <w:rFonts w:asciiTheme="majorHAnsi" w:eastAsia="Times New Roman" w:hAnsiTheme="majorHAnsi" w:cstheme="majorHAnsi"/>
          <w:b/>
          <w:bCs/>
          <w:lang w:eastAsia="el-GR"/>
        </w:rPr>
        <w:t>Систем за енергетско моделирање Србије (СЕМС),</w:t>
      </w:r>
      <w:r>
        <w:rPr>
          <w:rFonts w:asciiTheme="majorHAnsi" w:eastAsia="Times New Roman" w:hAnsiTheme="majorHAnsi" w:cstheme="majorHAnsi"/>
          <w:lang w:eastAsia="el-GR"/>
        </w:rPr>
        <w:t xml:space="preserve"> заснован на оквиру</w:t>
      </w:r>
      <w:r w:rsidRPr="000A2AFE">
        <w:rPr>
          <w:rFonts w:asciiTheme="majorHAnsi" w:eastAsia="Times New Roman" w:hAnsiTheme="majorHAnsi" w:cstheme="majorHAnsi"/>
          <w:i/>
          <w:iCs/>
          <w:lang w:eastAsia="el-GR"/>
        </w:rPr>
        <w:t xml:space="preserve"> </w:t>
      </w:r>
      <w:r w:rsidRPr="000A2AFE">
        <w:rPr>
          <w:rFonts w:asciiTheme="majorHAnsi" w:eastAsia="Times New Roman" w:hAnsiTheme="majorHAnsi" w:cstheme="majorHAnsi"/>
          <w:i/>
          <w:iCs/>
          <w:lang w:val="en-US" w:eastAsia="el-GR"/>
        </w:rPr>
        <w:t>TIMES</w:t>
      </w:r>
      <w:r>
        <w:rPr>
          <w:rFonts w:asciiTheme="majorHAnsi" w:eastAsia="Times New Roman" w:hAnsiTheme="majorHAnsi" w:cstheme="majorHAnsi"/>
          <w:lang w:eastAsia="el-GR"/>
        </w:rPr>
        <w:t>, покрива развој целокупног енергетског система</w:t>
      </w:r>
    </w:p>
    <w:p w14:paraId="58EA9DF0" w14:textId="17D16ACF" w:rsidR="00C21890" w:rsidRDefault="00C21890" w:rsidP="00C21890">
      <w:pPr>
        <w:pStyle w:val="ListParagraph"/>
        <w:numPr>
          <w:ilvl w:val="0"/>
          <w:numId w:val="378"/>
        </w:numPr>
        <w:spacing w:before="120" w:after="120" w:line="240" w:lineRule="auto"/>
        <w:jc w:val="both"/>
        <w:rPr>
          <w:rFonts w:asciiTheme="majorHAnsi" w:eastAsia="Times New Roman" w:hAnsiTheme="majorHAnsi" w:cstheme="majorHAnsi"/>
          <w:lang w:val="en-US" w:eastAsia="el-GR"/>
        </w:rPr>
      </w:pPr>
      <w:r>
        <w:rPr>
          <w:rFonts w:asciiTheme="majorHAnsi" w:eastAsia="Times New Roman" w:hAnsiTheme="majorHAnsi" w:cstheme="majorHAnsi"/>
          <w:b/>
          <w:bCs/>
          <w:lang w:eastAsia="el-GR"/>
        </w:rPr>
        <w:t xml:space="preserve">Алат за макроекономску анализу </w:t>
      </w:r>
      <w:r>
        <w:rPr>
          <w:rFonts w:asciiTheme="majorHAnsi" w:eastAsia="Times New Roman" w:hAnsiTheme="majorHAnsi" w:cstheme="majorHAnsi"/>
          <w:lang w:eastAsia="el-GR"/>
        </w:rPr>
        <w:t xml:space="preserve">заснован на </w:t>
      </w:r>
      <w:r w:rsidR="00E33DCD">
        <w:rPr>
          <w:rFonts w:asciiTheme="majorHAnsi" w:eastAsia="Times New Roman" w:hAnsiTheme="majorHAnsi" w:cstheme="majorHAnsi"/>
          <w:lang w:eastAsia="el-GR"/>
        </w:rPr>
        <w:t xml:space="preserve">Примењеном моделу опште равнотеже ублажавање, адаптација и нове технологије (енг. </w:t>
      </w:r>
      <w:r w:rsidR="00E33DCD">
        <w:rPr>
          <w:rFonts w:asciiTheme="majorHAnsi" w:eastAsia="Times New Roman" w:hAnsiTheme="majorHAnsi" w:cstheme="majorHAnsi"/>
          <w:lang w:val="en-US" w:eastAsia="el-GR"/>
        </w:rPr>
        <w:t xml:space="preserve">Mitigation, Adaptation and New Technologies Applied General Equilibrium Model - </w:t>
      </w:r>
      <w:r w:rsidR="00E33DCD" w:rsidRPr="000A2AFE">
        <w:rPr>
          <w:rFonts w:asciiTheme="majorHAnsi" w:eastAsia="Times New Roman" w:hAnsiTheme="majorHAnsi" w:cstheme="majorHAnsi"/>
          <w:i/>
          <w:iCs/>
          <w:lang w:val="en-US" w:eastAsia="el-GR"/>
        </w:rPr>
        <w:t>MANAGE</w:t>
      </w:r>
      <w:r w:rsidR="00E33DCD">
        <w:rPr>
          <w:rFonts w:asciiTheme="majorHAnsi" w:eastAsia="Times New Roman" w:hAnsiTheme="majorHAnsi" w:cstheme="majorHAnsi"/>
          <w:lang w:val="en-US" w:eastAsia="el-GR"/>
        </w:rPr>
        <w:t>)</w:t>
      </w:r>
    </w:p>
    <w:p w14:paraId="6B5323EB" w14:textId="760DA205" w:rsidR="00E33DCD" w:rsidRDefault="00E33DCD" w:rsidP="00C21890">
      <w:pPr>
        <w:pStyle w:val="ListParagraph"/>
        <w:numPr>
          <w:ilvl w:val="0"/>
          <w:numId w:val="378"/>
        </w:numPr>
        <w:spacing w:before="120" w:after="120" w:line="240" w:lineRule="auto"/>
        <w:jc w:val="both"/>
        <w:rPr>
          <w:rFonts w:asciiTheme="majorHAnsi" w:eastAsia="Times New Roman" w:hAnsiTheme="majorHAnsi" w:cstheme="majorHAnsi"/>
          <w:lang w:val="en-US" w:eastAsia="el-GR"/>
        </w:rPr>
      </w:pPr>
      <w:r w:rsidRPr="000A2AFE">
        <w:rPr>
          <w:rFonts w:asciiTheme="majorHAnsi" w:eastAsia="Times New Roman" w:hAnsiTheme="majorHAnsi" w:cstheme="majorHAnsi"/>
          <w:b/>
          <w:bCs/>
          <w:lang w:eastAsia="el-GR"/>
        </w:rPr>
        <w:t>Алат за анализу високог удела ОИЕ у електроенергетском систему</w:t>
      </w:r>
      <w:r>
        <w:rPr>
          <w:rFonts w:asciiTheme="majorHAnsi" w:eastAsia="Times New Roman" w:hAnsiTheme="majorHAnsi" w:cstheme="majorHAnsi"/>
          <w:lang w:eastAsia="el-GR"/>
        </w:rPr>
        <w:t xml:space="preserve">, заснован на софтверу </w:t>
      </w:r>
      <w:r w:rsidRPr="000A2AFE">
        <w:rPr>
          <w:rFonts w:asciiTheme="majorHAnsi" w:eastAsia="Times New Roman" w:hAnsiTheme="majorHAnsi" w:cstheme="majorHAnsi"/>
          <w:i/>
          <w:iCs/>
          <w:lang w:val="en-US" w:eastAsia="el-GR"/>
        </w:rPr>
        <w:t>ANTARES</w:t>
      </w:r>
      <w:r>
        <w:rPr>
          <w:rFonts w:asciiTheme="majorHAnsi" w:eastAsia="Times New Roman" w:hAnsiTheme="majorHAnsi" w:cstheme="majorHAnsi"/>
          <w:lang w:val="en-US" w:eastAsia="el-GR"/>
        </w:rPr>
        <w:t>.</w:t>
      </w:r>
    </w:p>
    <w:p w14:paraId="42DDF489" w14:textId="0E4A29F8" w:rsidR="00C21890" w:rsidRPr="000A2AFE" w:rsidRDefault="00E33DCD" w:rsidP="00C358DB">
      <w:pPr>
        <w:spacing w:before="120" w:after="120" w:line="240" w:lineRule="auto"/>
        <w:jc w:val="both"/>
        <w:rPr>
          <w:rFonts w:asciiTheme="majorHAnsi" w:eastAsia="Times New Roman" w:hAnsiTheme="majorHAnsi" w:cstheme="majorHAnsi"/>
          <w:lang w:val="en-US" w:eastAsia="el-GR"/>
        </w:rPr>
      </w:pPr>
      <w:r>
        <w:rPr>
          <w:rFonts w:asciiTheme="majorHAnsi" w:eastAsia="Times New Roman" w:hAnsiTheme="majorHAnsi" w:cstheme="majorHAnsi"/>
          <w:lang w:eastAsia="el-GR"/>
        </w:rPr>
        <w:t>Дета</w:t>
      </w:r>
      <w:r w:rsidR="00C358DB">
        <w:rPr>
          <w:rFonts w:asciiTheme="majorHAnsi" w:eastAsia="Times New Roman" w:hAnsiTheme="majorHAnsi" w:cstheme="majorHAnsi"/>
          <w:lang w:eastAsia="el-GR"/>
        </w:rPr>
        <w:t xml:space="preserve">љи о имплементацији </w:t>
      </w:r>
      <w:r w:rsidR="00AB6D26">
        <w:rPr>
          <w:rFonts w:asciiTheme="majorHAnsi" w:eastAsia="Times New Roman" w:hAnsiTheme="majorHAnsi" w:cstheme="majorHAnsi"/>
          <w:lang w:eastAsia="el-GR"/>
        </w:rPr>
        <w:t xml:space="preserve">пакета </w:t>
      </w:r>
      <w:r w:rsidR="00C358DB">
        <w:rPr>
          <w:rFonts w:asciiTheme="majorHAnsi" w:eastAsia="Times New Roman" w:hAnsiTheme="majorHAnsi" w:cstheme="majorHAnsi"/>
          <w:lang w:eastAsia="el-GR"/>
        </w:rPr>
        <w:t xml:space="preserve">модела су дати у Анексу </w:t>
      </w:r>
      <w:r w:rsidR="00C358DB">
        <w:rPr>
          <w:rFonts w:asciiTheme="majorHAnsi" w:eastAsia="Times New Roman" w:hAnsiTheme="majorHAnsi" w:cstheme="majorHAnsi"/>
          <w:lang w:val="en-US" w:eastAsia="el-GR"/>
        </w:rPr>
        <w:t>III.</w:t>
      </w:r>
    </w:p>
    <w:p w14:paraId="1ACAAD27" w14:textId="77777777" w:rsidR="00EB3C75" w:rsidRPr="00FF386D" w:rsidRDefault="00EB3C75">
      <w:pPr>
        <w:pStyle w:val="ListParagraph"/>
        <w:keepNext/>
        <w:keepLines/>
        <w:numPr>
          <w:ilvl w:val="0"/>
          <w:numId w:val="266"/>
        </w:numPr>
        <w:spacing w:before="200" w:line="240" w:lineRule="auto"/>
        <w:outlineLvl w:val="3"/>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t>Стратегија која се односи на пет димензија Енергетске уније</w:t>
      </w:r>
    </w:p>
    <w:p w14:paraId="6C618336" w14:textId="20D5000D" w:rsidR="00EB3C75" w:rsidRPr="00FF386D" w:rsidRDefault="002A0D84" w:rsidP="00EB3C75">
      <w:pPr>
        <w:ind w:right="313"/>
        <w:jc w:val="both"/>
        <w:rPr>
          <w:rFonts w:asciiTheme="majorHAnsi" w:hAnsiTheme="majorHAnsi" w:cstheme="majorHAnsi"/>
        </w:rPr>
      </w:pPr>
      <w:r w:rsidRPr="00FF386D">
        <w:rPr>
          <w:rFonts w:asciiTheme="majorHAnsi" w:hAnsiTheme="majorHAnsi" w:cstheme="majorHAnsi"/>
        </w:rPr>
        <w:t>Интегр</w:t>
      </w:r>
      <w:r w:rsidR="00546832" w:rsidRPr="00FF386D">
        <w:rPr>
          <w:rFonts w:asciiTheme="majorHAnsi" w:hAnsiTheme="majorHAnsi" w:cstheme="majorHAnsi"/>
        </w:rPr>
        <w:t>и</w:t>
      </w:r>
      <w:r w:rsidRPr="00FF386D">
        <w:rPr>
          <w:rFonts w:asciiTheme="majorHAnsi" w:hAnsiTheme="majorHAnsi" w:cstheme="majorHAnsi"/>
        </w:rPr>
        <w:t>сани н</w:t>
      </w:r>
      <w:r w:rsidR="00EB3C75" w:rsidRPr="00FF386D">
        <w:rPr>
          <w:rFonts w:asciiTheme="majorHAnsi" w:hAnsiTheme="majorHAnsi" w:cstheme="majorHAnsi"/>
        </w:rPr>
        <w:t xml:space="preserve">ационални енергетски и климатски план </w:t>
      </w:r>
      <w:r w:rsidR="00B3246F" w:rsidRPr="00FF386D">
        <w:rPr>
          <w:rFonts w:asciiTheme="majorHAnsi" w:hAnsiTheme="majorHAnsi" w:cstheme="majorHAnsi"/>
        </w:rPr>
        <w:t>треба да на свеобухватан</w:t>
      </w:r>
      <w:r w:rsidR="00EB3C75" w:rsidRPr="00FF386D">
        <w:rPr>
          <w:rFonts w:asciiTheme="majorHAnsi" w:hAnsiTheme="majorHAnsi" w:cstheme="majorHAnsi"/>
        </w:rPr>
        <w:t xml:space="preserve"> и интегрисан начин </w:t>
      </w:r>
      <w:r w:rsidR="00B3246F" w:rsidRPr="00FF386D">
        <w:rPr>
          <w:rFonts w:asciiTheme="majorHAnsi" w:hAnsiTheme="majorHAnsi" w:cstheme="majorHAnsi"/>
        </w:rPr>
        <w:t>сагледа</w:t>
      </w:r>
      <w:r w:rsidR="00EB3C75" w:rsidRPr="00FF386D">
        <w:rPr>
          <w:rFonts w:asciiTheme="majorHAnsi" w:hAnsiTheme="majorHAnsi" w:cstheme="majorHAnsi"/>
        </w:rPr>
        <w:t xml:space="preserve"> пет димензија, </w:t>
      </w:r>
      <w:r w:rsidR="00B3246F" w:rsidRPr="00FF386D">
        <w:rPr>
          <w:rFonts w:asciiTheme="majorHAnsi" w:hAnsiTheme="majorHAnsi" w:cstheme="majorHAnsi"/>
        </w:rPr>
        <w:t xml:space="preserve">а </w:t>
      </w:r>
      <w:r w:rsidR="00EB3C75" w:rsidRPr="00FF386D">
        <w:rPr>
          <w:rFonts w:asciiTheme="majorHAnsi" w:hAnsiTheme="majorHAnsi" w:cstheme="majorHAnsi"/>
        </w:rPr>
        <w:t>у складу са Правилником о ближем садржају и смерницама за одређивање националних циљева Интегрисаног националног енергетског и климатског плана, начину његове израде и извештавању о његовој реализацији</w:t>
      </w:r>
      <w:r w:rsidR="00EB3C75" w:rsidRPr="00FF386D">
        <w:rPr>
          <w:rFonts w:asciiTheme="majorHAnsi" w:hAnsiTheme="majorHAnsi" w:cstheme="majorHAnsi"/>
          <w:vertAlign w:val="superscript"/>
        </w:rPr>
        <w:footnoteReference w:id="14"/>
      </w:r>
      <w:r w:rsidR="00EB3C75" w:rsidRPr="00FF386D">
        <w:rPr>
          <w:rFonts w:asciiTheme="majorHAnsi" w:hAnsiTheme="majorHAnsi" w:cstheme="majorHAnsi"/>
        </w:rPr>
        <w:t>:</w:t>
      </w:r>
    </w:p>
    <w:p w14:paraId="73F3AAD8" w14:textId="57FB3308" w:rsidR="00EB3C75" w:rsidRPr="00FF386D" w:rsidRDefault="00EB3C75">
      <w:pPr>
        <w:pStyle w:val="ListParagraph"/>
        <w:widowControl w:val="0"/>
        <w:numPr>
          <w:ilvl w:val="0"/>
          <w:numId w:val="267"/>
        </w:numPr>
        <w:tabs>
          <w:tab w:val="num" w:pos="360"/>
        </w:tabs>
        <w:spacing w:after="0" w:line="276" w:lineRule="auto"/>
        <w:jc w:val="both"/>
        <w:rPr>
          <w:rFonts w:asciiTheme="majorHAnsi" w:eastAsia="Times New Roman" w:hAnsiTheme="majorHAnsi" w:cstheme="majorHAnsi"/>
          <w:lang w:eastAsia="en-GB"/>
        </w:rPr>
      </w:pPr>
      <w:r w:rsidRPr="00FF386D">
        <w:rPr>
          <w:rFonts w:asciiTheme="majorHAnsi" w:eastAsia="Times New Roman" w:hAnsiTheme="majorHAnsi" w:cstheme="majorHAnsi"/>
          <w:b/>
          <w:bCs/>
          <w:lang w:eastAsia="en-GB"/>
        </w:rPr>
        <w:t>Декарбонизациј</w:t>
      </w:r>
      <w:r w:rsidR="00546832" w:rsidRPr="00FF386D">
        <w:rPr>
          <w:rFonts w:asciiTheme="majorHAnsi" w:eastAsia="Times New Roman" w:hAnsiTheme="majorHAnsi" w:cstheme="majorHAnsi"/>
          <w:b/>
          <w:bCs/>
          <w:lang w:eastAsia="en-GB"/>
        </w:rPr>
        <w:t>а</w:t>
      </w:r>
      <w:r w:rsidRPr="00FF386D">
        <w:rPr>
          <w:rFonts w:asciiTheme="majorHAnsi" w:eastAsia="Times New Roman" w:hAnsiTheme="majorHAnsi" w:cstheme="majorHAnsi"/>
          <w:lang w:eastAsia="en-GB"/>
        </w:rPr>
        <w:t xml:space="preserve"> представља посебну област која се односи на циљ да се п</w:t>
      </w:r>
      <w:r w:rsidR="00495989" w:rsidRPr="00FF386D">
        <w:rPr>
          <w:rFonts w:asciiTheme="majorHAnsi" w:eastAsia="Times New Roman" w:hAnsiTheme="majorHAnsi" w:cstheme="majorHAnsi"/>
          <w:lang w:eastAsia="en-GB"/>
        </w:rPr>
        <w:t>окаже</w:t>
      </w:r>
      <w:r w:rsidRPr="00FF386D">
        <w:rPr>
          <w:rFonts w:asciiTheme="majorHAnsi" w:eastAsia="Times New Roman" w:hAnsiTheme="majorHAnsi" w:cstheme="majorHAnsi"/>
          <w:lang w:eastAsia="en-GB"/>
        </w:rPr>
        <w:t xml:space="preserve"> </w:t>
      </w:r>
      <w:r w:rsidR="00495989" w:rsidRPr="00FF386D">
        <w:rPr>
          <w:rFonts w:asciiTheme="majorHAnsi" w:eastAsia="Times New Roman" w:hAnsiTheme="majorHAnsi" w:cstheme="majorHAnsi"/>
          <w:lang w:eastAsia="en-GB"/>
        </w:rPr>
        <w:t xml:space="preserve">посвећеност </w:t>
      </w:r>
      <w:r w:rsidRPr="00FF386D">
        <w:rPr>
          <w:rFonts w:asciiTheme="majorHAnsi" w:eastAsia="Times New Roman" w:hAnsiTheme="majorHAnsi" w:cstheme="majorHAnsi"/>
          <w:lang w:eastAsia="en-GB"/>
        </w:rPr>
        <w:t xml:space="preserve">земље </w:t>
      </w:r>
      <w:r w:rsidR="00495989" w:rsidRPr="00FF386D">
        <w:rPr>
          <w:rFonts w:asciiTheme="majorHAnsi" w:eastAsia="Times New Roman" w:hAnsiTheme="majorHAnsi" w:cstheme="majorHAnsi"/>
          <w:lang w:eastAsia="en-GB"/>
        </w:rPr>
        <w:t>борби против климатских промена</w:t>
      </w:r>
      <w:r w:rsidRPr="00FF386D">
        <w:rPr>
          <w:rFonts w:asciiTheme="majorHAnsi" w:eastAsia="Times New Roman" w:hAnsiTheme="majorHAnsi" w:cstheme="majorHAnsi"/>
          <w:lang w:eastAsia="en-GB"/>
        </w:rPr>
        <w:t xml:space="preserve"> и декарбонизацији привреде, са посебним фокусом на повећану употребу обновљивих извора енергије и смањење угљеничног отиска.</w:t>
      </w:r>
    </w:p>
    <w:p w14:paraId="65EE26F7" w14:textId="6287C774" w:rsidR="00EB3C75" w:rsidRPr="00FF386D" w:rsidRDefault="00EB3C75">
      <w:pPr>
        <w:numPr>
          <w:ilvl w:val="0"/>
          <w:numId w:val="228"/>
        </w:numPr>
        <w:spacing w:line="259" w:lineRule="auto"/>
        <w:ind w:right="313"/>
        <w:contextualSpacing/>
        <w:jc w:val="both"/>
        <w:rPr>
          <w:rFonts w:asciiTheme="majorHAnsi" w:hAnsiTheme="majorHAnsi" w:cstheme="majorHAnsi"/>
        </w:rPr>
      </w:pPr>
      <w:r w:rsidRPr="00FF386D">
        <w:rPr>
          <w:rFonts w:asciiTheme="majorHAnsi" w:hAnsiTheme="majorHAnsi"/>
          <w:b/>
          <w:bCs/>
        </w:rPr>
        <w:lastRenderedPageBreak/>
        <w:t>Емисиј</w:t>
      </w:r>
      <w:r w:rsidR="00546832" w:rsidRPr="00FF386D">
        <w:rPr>
          <w:rFonts w:asciiTheme="majorHAnsi" w:hAnsiTheme="majorHAnsi"/>
          <w:b/>
          <w:bCs/>
        </w:rPr>
        <w:t>а</w:t>
      </w:r>
      <w:r w:rsidRPr="00FF386D">
        <w:rPr>
          <w:rFonts w:asciiTheme="majorHAnsi" w:hAnsiTheme="majorHAnsi"/>
          <w:b/>
          <w:bCs/>
        </w:rPr>
        <w:t xml:space="preserve"> гасова са ефектом стаклене баште (</w:t>
      </w:r>
      <w:r w:rsidRPr="00FF386D">
        <w:rPr>
          <w:rFonts w:asciiTheme="majorHAnsi" w:hAnsiTheme="majorHAnsi"/>
          <w:b/>
          <w:bCs/>
          <w:i/>
        </w:rPr>
        <w:t>GHG</w:t>
      </w:r>
      <w:r w:rsidRPr="00FF386D">
        <w:rPr>
          <w:rFonts w:asciiTheme="majorHAnsi" w:hAnsiTheme="majorHAnsi"/>
          <w:b/>
          <w:bCs/>
        </w:rPr>
        <w:t xml:space="preserve">), </w:t>
      </w:r>
      <w:r w:rsidRPr="00FF386D">
        <w:rPr>
          <w:rFonts w:asciiTheme="majorHAnsi" w:hAnsiTheme="majorHAnsi"/>
        </w:rPr>
        <w:t>представља посебну подобласт која се тиче циља да се п</w:t>
      </w:r>
      <w:r w:rsidR="00495989" w:rsidRPr="00FF386D">
        <w:rPr>
          <w:rFonts w:asciiTheme="majorHAnsi" w:hAnsiTheme="majorHAnsi"/>
        </w:rPr>
        <w:t>окаже посвећеност</w:t>
      </w:r>
      <w:r w:rsidRPr="00FF386D">
        <w:rPr>
          <w:rFonts w:asciiTheme="majorHAnsi" w:hAnsiTheme="majorHAnsi"/>
        </w:rPr>
        <w:t xml:space="preserve"> земље</w:t>
      </w:r>
      <w:r w:rsidR="00595335" w:rsidRPr="00FF386D">
        <w:rPr>
          <w:rFonts w:asciiTheme="majorHAnsi" w:hAnsiTheme="majorHAnsi"/>
        </w:rPr>
        <w:t xml:space="preserve"> </w:t>
      </w:r>
      <w:r w:rsidRPr="00FF386D">
        <w:rPr>
          <w:rFonts w:asciiTheme="majorHAnsi" w:hAnsiTheme="majorHAnsi"/>
        </w:rPr>
        <w:t>смањењу емисија из сектора енергетике, као и емисија из неенергетских сектора.</w:t>
      </w:r>
    </w:p>
    <w:p w14:paraId="7C59AD5D" w14:textId="342EE0CE" w:rsidR="00EB3C75" w:rsidRPr="00FF386D" w:rsidRDefault="00EB3C75">
      <w:pPr>
        <w:numPr>
          <w:ilvl w:val="0"/>
          <w:numId w:val="228"/>
        </w:numPr>
        <w:spacing w:line="259" w:lineRule="auto"/>
        <w:ind w:right="313"/>
        <w:contextualSpacing/>
        <w:jc w:val="both"/>
        <w:rPr>
          <w:rFonts w:asciiTheme="majorHAnsi" w:hAnsiTheme="majorHAnsi" w:cstheme="majorHAnsi"/>
        </w:rPr>
      </w:pPr>
      <w:r w:rsidRPr="00FF386D">
        <w:rPr>
          <w:rFonts w:asciiTheme="majorHAnsi" w:hAnsiTheme="majorHAnsi"/>
          <w:b/>
          <w:bCs/>
        </w:rPr>
        <w:t>Обновљив</w:t>
      </w:r>
      <w:r w:rsidR="00546832" w:rsidRPr="00FF386D">
        <w:rPr>
          <w:rFonts w:asciiTheme="majorHAnsi" w:hAnsiTheme="majorHAnsi"/>
          <w:b/>
          <w:bCs/>
        </w:rPr>
        <w:t>и</w:t>
      </w:r>
      <w:r w:rsidRPr="00FF386D">
        <w:rPr>
          <w:rFonts w:asciiTheme="majorHAnsi" w:hAnsiTheme="majorHAnsi"/>
          <w:b/>
          <w:bCs/>
        </w:rPr>
        <w:t xml:space="preserve"> извор</w:t>
      </w:r>
      <w:r w:rsidR="00546832" w:rsidRPr="00FF386D">
        <w:rPr>
          <w:rFonts w:asciiTheme="majorHAnsi" w:hAnsiTheme="majorHAnsi"/>
          <w:b/>
          <w:bCs/>
        </w:rPr>
        <w:t>и</w:t>
      </w:r>
      <w:r w:rsidRPr="00FF386D">
        <w:rPr>
          <w:rFonts w:asciiTheme="majorHAnsi" w:hAnsiTheme="majorHAnsi"/>
          <w:b/>
          <w:bCs/>
        </w:rPr>
        <w:t xml:space="preserve"> енергије (ОИЕ)</w:t>
      </w:r>
      <w:r w:rsidRPr="00FF386D">
        <w:rPr>
          <w:rFonts w:asciiTheme="majorHAnsi" w:hAnsiTheme="majorHAnsi"/>
        </w:rPr>
        <w:t xml:space="preserve"> представљају посебну подобласт која се односи на циљ да се п</w:t>
      </w:r>
      <w:r w:rsidR="00495989" w:rsidRPr="00FF386D">
        <w:rPr>
          <w:rFonts w:asciiTheme="majorHAnsi" w:hAnsiTheme="majorHAnsi"/>
        </w:rPr>
        <w:t>окаже посвећеност</w:t>
      </w:r>
      <w:r w:rsidR="00546832" w:rsidRPr="00FF386D">
        <w:rPr>
          <w:rFonts w:asciiTheme="majorHAnsi" w:hAnsiTheme="majorHAnsi"/>
        </w:rPr>
        <w:t xml:space="preserve"> </w:t>
      </w:r>
      <w:r w:rsidRPr="00FF386D">
        <w:rPr>
          <w:rFonts w:asciiTheme="majorHAnsi" w:hAnsiTheme="majorHAnsi"/>
        </w:rPr>
        <w:t>земље подстицањ</w:t>
      </w:r>
      <w:r w:rsidR="00495989" w:rsidRPr="00FF386D">
        <w:rPr>
          <w:rFonts w:asciiTheme="majorHAnsi" w:hAnsiTheme="majorHAnsi"/>
        </w:rPr>
        <w:t>у</w:t>
      </w:r>
      <w:r w:rsidRPr="00FF386D">
        <w:rPr>
          <w:rFonts w:asciiTheme="majorHAnsi" w:hAnsiTheme="majorHAnsi"/>
        </w:rPr>
        <w:t xml:space="preserve"> </w:t>
      </w:r>
      <w:r w:rsidR="00495989" w:rsidRPr="00FF386D">
        <w:rPr>
          <w:rFonts w:asciiTheme="majorHAnsi" w:hAnsiTheme="majorHAnsi"/>
        </w:rPr>
        <w:t>коришћења</w:t>
      </w:r>
      <w:r w:rsidRPr="00FF386D">
        <w:rPr>
          <w:rFonts w:asciiTheme="majorHAnsi" w:hAnsiTheme="majorHAnsi"/>
        </w:rPr>
        <w:t xml:space="preserve"> обновљивих извора енергије </w:t>
      </w:r>
      <w:r w:rsidR="00495989" w:rsidRPr="00FF386D">
        <w:rPr>
          <w:rFonts w:asciiTheme="majorHAnsi" w:hAnsiTheme="majorHAnsi"/>
        </w:rPr>
        <w:t>у складу са повећањем</w:t>
      </w:r>
      <w:r w:rsidRPr="00FF386D">
        <w:rPr>
          <w:rFonts w:asciiTheme="majorHAnsi" w:hAnsiTheme="majorHAnsi"/>
        </w:rPr>
        <w:t xml:space="preserve"> потрошњ</w:t>
      </w:r>
      <w:r w:rsidR="00495989" w:rsidRPr="00FF386D">
        <w:rPr>
          <w:rFonts w:asciiTheme="majorHAnsi" w:hAnsiTheme="majorHAnsi"/>
        </w:rPr>
        <w:t>е</w:t>
      </w:r>
      <w:r w:rsidRPr="00FF386D">
        <w:rPr>
          <w:rFonts w:asciiTheme="majorHAnsi" w:hAnsiTheme="majorHAnsi"/>
        </w:rPr>
        <w:t xml:space="preserve"> енергије и р</w:t>
      </w:r>
      <w:r w:rsidR="00495989" w:rsidRPr="00FF386D">
        <w:rPr>
          <w:rFonts w:asciiTheme="majorHAnsi" w:hAnsiTheme="majorHAnsi"/>
        </w:rPr>
        <w:t>еши</w:t>
      </w:r>
      <w:r w:rsidRPr="00FF386D">
        <w:rPr>
          <w:rFonts w:asciiTheme="majorHAnsi" w:hAnsiTheme="majorHAnsi"/>
        </w:rPr>
        <w:t xml:space="preserve"> питање трансформације постојећег енергетског система у </w:t>
      </w:r>
      <w:r w:rsidR="00495989" w:rsidRPr="00FF386D">
        <w:rPr>
          <w:rFonts w:asciiTheme="majorHAnsi" w:hAnsiTheme="majorHAnsi"/>
        </w:rPr>
        <w:t>смислу технолошке</w:t>
      </w:r>
      <w:r w:rsidRPr="00FF386D">
        <w:rPr>
          <w:rFonts w:asciiTheme="majorHAnsi" w:hAnsiTheme="majorHAnsi"/>
        </w:rPr>
        <w:t xml:space="preserve"> транзиције.</w:t>
      </w:r>
    </w:p>
    <w:p w14:paraId="175CCE9C" w14:textId="5AE19DB6" w:rsidR="00EB3C75" w:rsidRPr="00FF386D" w:rsidRDefault="00EB3C75">
      <w:pPr>
        <w:pStyle w:val="ListParagraph"/>
        <w:widowControl w:val="0"/>
        <w:numPr>
          <w:ilvl w:val="0"/>
          <w:numId w:val="267"/>
        </w:numPr>
        <w:tabs>
          <w:tab w:val="num" w:pos="360"/>
        </w:tabs>
        <w:spacing w:after="0" w:line="276" w:lineRule="auto"/>
        <w:jc w:val="both"/>
        <w:rPr>
          <w:rFonts w:asciiTheme="majorHAnsi" w:eastAsia="Times New Roman" w:hAnsiTheme="majorHAnsi" w:cstheme="majorHAnsi"/>
          <w:lang w:eastAsia="en-GB"/>
        </w:rPr>
      </w:pPr>
      <w:r w:rsidRPr="00FF386D">
        <w:rPr>
          <w:rFonts w:asciiTheme="majorHAnsi" w:eastAsia="Times New Roman" w:hAnsiTheme="majorHAnsi" w:cstheme="majorHAnsi"/>
          <w:b/>
          <w:bCs/>
          <w:lang w:eastAsia="en-GB"/>
        </w:rPr>
        <w:t>Енергетск</w:t>
      </w:r>
      <w:r w:rsidR="00546832" w:rsidRPr="00FF386D">
        <w:rPr>
          <w:rFonts w:asciiTheme="majorHAnsi" w:eastAsia="Times New Roman" w:hAnsiTheme="majorHAnsi" w:cstheme="majorHAnsi"/>
          <w:b/>
          <w:bCs/>
          <w:lang w:eastAsia="en-GB"/>
        </w:rPr>
        <w:t>а</w:t>
      </w:r>
      <w:r w:rsidRPr="00FF386D">
        <w:rPr>
          <w:rFonts w:asciiTheme="majorHAnsi" w:eastAsia="Times New Roman" w:hAnsiTheme="majorHAnsi" w:cstheme="majorHAnsi"/>
          <w:b/>
          <w:bCs/>
          <w:lang w:eastAsia="en-GB"/>
        </w:rPr>
        <w:t xml:space="preserve"> ефикасност</w:t>
      </w:r>
      <w:r w:rsidRPr="00FF386D">
        <w:rPr>
          <w:rFonts w:asciiTheme="majorHAnsi" w:eastAsia="Times New Roman" w:hAnsiTheme="majorHAnsi" w:cstheme="majorHAnsi"/>
          <w:lang w:eastAsia="en-GB"/>
        </w:rPr>
        <w:t xml:space="preserve"> представља подобласт која се тиче циља да се п</w:t>
      </w:r>
      <w:r w:rsidR="00495989" w:rsidRPr="00FF386D">
        <w:rPr>
          <w:rFonts w:asciiTheme="majorHAnsi" w:eastAsia="Times New Roman" w:hAnsiTheme="majorHAnsi" w:cstheme="majorHAnsi"/>
          <w:lang w:eastAsia="en-GB"/>
        </w:rPr>
        <w:t>окаже</w:t>
      </w:r>
      <w:r w:rsidRPr="00FF386D">
        <w:rPr>
          <w:rFonts w:asciiTheme="majorHAnsi" w:eastAsia="Times New Roman" w:hAnsiTheme="majorHAnsi" w:cstheme="majorHAnsi"/>
          <w:lang w:eastAsia="en-GB"/>
        </w:rPr>
        <w:t xml:space="preserve"> </w:t>
      </w:r>
      <w:r w:rsidR="00495989" w:rsidRPr="00FF386D">
        <w:rPr>
          <w:rFonts w:asciiTheme="majorHAnsi" w:eastAsia="Times New Roman" w:hAnsiTheme="majorHAnsi" w:cstheme="majorHAnsi"/>
          <w:lang w:eastAsia="en-GB"/>
        </w:rPr>
        <w:t>посвећеност</w:t>
      </w:r>
      <w:r w:rsidRPr="00FF386D">
        <w:rPr>
          <w:rFonts w:asciiTheme="majorHAnsi" w:eastAsia="Times New Roman" w:hAnsiTheme="majorHAnsi" w:cstheme="majorHAnsi"/>
          <w:lang w:eastAsia="en-GB"/>
        </w:rPr>
        <w:t xml:space="preserve"> земље</w:t>
      </w:r>
      <w:r w:rsidR="00595335" w:rsidRPr="00FF386D">
        <w:rPr>
          <w:rFonts w:asciiTheme="majorHAnsi" w:eastAsia="Times New Roman" w:hAnsiTheme="majorHAnsi" w:cstheme="majorHAnsi"/>
          <w:lang w:eastAsia="en-GB"/>
        </w:rPr>
        <w:t xml:space="preserve"> </w:t>
      </w:r>
      <w:r w:rsidRPr="00FF386D">
        <w:rPr>
          <w:rFonts w:asciiTheme="majorHAnsi" w:eastAsia="Times New Roman" w:hAnsiTheme="majorHAnsi" w:cstheme="majorHAnsi"/>
          <w:lang w:eastAsia="en-GB"/>
        </w:rPr>
        <w:t>унапређењ</w:t>
      </w:r>
      <w:r w:rsidR="00495989" w:rsidRPr="00FF386D">
        <w:rPr>
          <w:rFonts w:asciiTheme="majorHAnsi" w:eastAsia="Times New Roman" w:hAnsiTheme="majorHAnsi" w:cstheme="majorHAnsi"/>
          <w:lang w:eastAsia="en-GB"/>
        </w:rPr>
        <w:t>у</w:t>
      </w:r>
      <w:r w:rsidRPr="00FF386D">
        <w:rPr>
          <w:rFonts w:asciiTheme="majorHAnsi" w:eastAsia="Times New Roman" w:hAnsiTheme="majorHAnsi" w:cstheme="majorHAnsi"/>
          <w:lang w:eastAsia="en-GB"/>
        </w:rPr>
        <w:t xml:space="preserve"> енергетске ефикасности у свим секторима</w:t>
      </w:r>
      <w:r w:rsidR="007208EE" w:rsidRPr="00FF386D">
        <w:rPr>
          <w:rFonts w:asciiTheme="majorHAnsi" w:eastAsia="Times New Roman" w:hAnsiTheme="majorHAnsi" w:cstheme="majorHAnsi"/>
          <w:lang w:eastAsia="en-GB"/>
        </w:rPr>
        <w:t>, а пре свега у секторима индустрије, саобраћаја, грађе</w:t>
      </w:r>
      <w:r w:rsidR="00471CEF">
        <w:rPr>
          <w:rFonts w:asciiTheme="majorHAnsi" w:eastAsia="Times New Roman" w:hAnsiTheme="majorHAnsi" w:cstheme="majorHAnsi"/>
          <w:lang w:eastAsia="en-GB"/>
        </w:rPr>
        <w:t>винарства</w:t>
      </w:r>
      <w:r w:rsidR="007208EE" w:rsidRPr="00FF386D">
        <w:rPr>
          <w:rFonts w:asciiTheme="majorHAnsi" w:eastAsia="Times New Roman" w:hAnsiTheme="majorHAnsi" w:cstheme="majorHAnsi"/>
          <w:lang w:eastAsia="en-GB"/>
        </w:rPr>
        <w:t xml:space="preserve"> и пољопривреде</w:t>
      </w:r>
      <w:r w:rsidRPr="00FF386D">
        <w:rPr>
          <w:rFonts w:asciiTheme="majorHAnsi" w:eastAsia="Times New Roman" w:hAnsiTheme="majorHAnsi" w:cstheme="majorHAnsi"/>
          <w:lang w:eastAsia="en-GB"/>
        </w:rPr>
        <w:t>.</w:t>
      </w:r>
    </w:p>
    <w:p w14:paraId="5E6EFA08" w14:textId="6A5D7158" w:rsidR="00EB3C75" w:rsidRPr="00FF386D" w:rsidRDefault="00EB3C75">
      <w:pPr>
        <w:pStyle w:val="ListParagraph"/>
        <w:widowControl w:val="0"/>
        <w:numPr>
          <w:ilvl w:val="0"/>
          <w:numId w:val="267"/>
        </w:numPr>
        <w:tabs>
          <w:tab w:val="num" w:pos="360"/>
        </w:tabs>
        <w:spacing w:after="0" w:line="276" w:lineRule="auto"/>
        <w:jc w:val="both"/>
        <w:rPr>
          <w:rFonts w:asciiTheme="majorHAnsi" w:eastAsia="Times New Roman" w:hAnsiTheme="majorHAnsi" w:cstheme="majorHAnsi"/>
          <w:lang w:eastAsia="en-GB"/>
        </w:rPr>
      </w:pPr>
      <w:r w:rsidRPr="00FF386D">
        <w:rPr>
          <w:rFonts w:asciiTheme="majorHAnsi" w:eastAsia="Times New Roman" w:hAnsiTheme="majorHAnsi" w:cstheme="majorHAnsi"/>
          <w:b/>
          <w:bCs/>
          <w:lang w:eastAsia="en-GB"/>
        </w:rPr>
        <w:t>Енергетск</w:t>
      </w:r>
      <w:r w:rsidR="00546832" w:rsidRPr="00FF386D">
        <w:rPr>
          <w:rFonts w:asciiTheme="majorHAnsi" w:eastAsia="Times New Roman" w:hAnsiTheme="majorHAnsi" w:cstheme="majorHAnsi"/>
          <w:b/>
          <w:bCs/>
          <w:lang w:eastAsia="en-GB"/>
        </w:rPr>
        <w:t>а</w:t>
      </w:r>
      <w:r w:rsidRPr="00FF386D">
        <w:rPr>
          <w:rFonts w:asciiTheme="majorHAnsi" w:eastAsia="Times New Roman" w:hAnsiTheme="majorHAnsi" w:cstheme="majorHAnsi"/>
          <w:b/>
          <w:bCs/>
          <w:lang w:eastAsia="en-GB"/>
        </w:rPr>
        <w:t xml:space="preserve"> сигурност </w:t>
      </w:r>
      <w:r w:rsidRPr="00FF386D">
        <w:rPr>
          <w:rFonts w:asciiTheme="majorHAnsi" w:eastAsia="Times New Roman" w:hAnsiTheme="majorHAnsi" w:cstheme="majorHAnsi"/>
          <w:lang w:eastAsia="en-GB"/>
        </w:rPr>
        <w:t xml:space="preserve">представља посебну област која се тиче циља да се </w:t>
      </w:r>
      <w:r w:rsidR="00495989" w:rsidRPr="00FF386D">
        <w:rPr>
          <w:rFonts w:asciiTheme="majorHAnsi" w:eastAsia="Times New Roman" w:hAnsiTheme="majorHAnsi" w:cstheme="majorHAnsi"/>
          <w:lang w:eastAsia="en-GB"/>
        </w:rPr>
        <w:t xml:space="preserve">покаже посвећеност </w:t>
      </w:r>
      <w:r w:rsidRPr="00FF386D">
        <w:rPr>
          <w:rFonts w:asciiTheme="majorHAnsi" w:eastAsia="Times New Roman" w:hAnsiTheme="majorHAnsi" w:cstheme="majorHAnsi"/>
          <w:lang w:eastAsia="en-GB"/>
        </w:rPr>
        <w:t>земље</w:t>
      </w:r>
      <w:r w:rsidR="00660D26" w:rsidRPr="00FF386D">
        <w:rPr>
          <w:rFonts w:asciiTheme="majorHAnsi" w:eastAsia="Times New Roman" w:hAnsiTheme="majorHAnsi" w:cstheme="majorHAnsi"/>
          <w:lang w:eastAsia="en-GB"/>
        </w:rPr>
        <w:t xml:space="preserve"> </w:t>
      </w:r>
      <w:r w:rsidRPr="00FF386D">
        <w:rPr>
          <w:rFonts w:asciiTheme="majorHAnsi" w:eastAsia="Times New Roman" w:hAnsiTheme="majorHAnsi" w:cstheme="majorHAnsi"/>
          <w:lang w:eastAsia="en-GB"/>
        </w:rPr>
        <w:t>диверсификациј</w:t>
      </w:r>
      <w:r w:rsidR="00495989" w:rsidRPr="00FF386D">
        <w:rPr>
          <w:rFonts w:asciiTheme="majorHAnsi" w:eastAsia="Times New Roman" w:hAnsiTheme="majorHAnsi" w:cstheme="majorHAnsi"/>
          <w:lang w:eastAsia="en-GB"/>
        </w:rPr>
        <w:t>и</w:t>
      </w:r>
      <w:r w:rsidRPr="00FF386D">
        <w:rPr>
          <w:rFonts w:asciiTheme="majorHAnsi" w:eastAsia="Times New Roman" w:hAnsiTheme="majorHAnsi" w:cstheme="majorHAnsi"/>
          <w:lang w:eastAsia="en-GB"/>
        </w:rPr>
        <w:t xml:space="preserve"> извора енергије и обезбеђивањ</w:t>
      </w:r>
      <w:r w:rsidR="00471CEF">
        <w:rPr>
          <w:rFonts w:asciiTheme="majorHAnsi" w:eastAsia="Times New Roman" w:hAnsiTheme="majorHAnsi" w:cstheme="majorHAnsi"/>
          <w:lang w:eastAsia="en-GB"/>
        </w:rPr>
        <w:t>у</w:t>
      </w:r>
      <w:r w:rsidRPr="00FF386D">
        <w:rPr>
          <w:rFonts w:asciiTheme="majorHAnsi" w:eastAsia="Times New Roman" w:hAnsiTheme="majorHAnsi" w:cstheme="majorHAnsi"/>
          <w:lang w:eastAsia="en-GB"/>
        </w:rPr>
        <w:t xml:space="preserve"> сигурности снабдевања </w:t>
      </w:r>
      <w:r w:rsidR="00595335" w:rsidRPr="00FF386D">
        <w:rPr>
          <w:rFonts w:asciiTheme="majorHAnsi" w:eastAsia="Times New Roman" w:hAnsiTheme="majorHAnsi" w:cstheme="majorHAnsi"/>
          <w:lang w:eastAsia="en-GB"/>
        </w:rPr>
        <w:t>путем</w:t>
      </w:r>
      <w:r w:rsidRPr="00FF386D">
        <w:rPr>
          <w:rFonts w:asciiTheme="majorHAnsi" w:eastAsia="Times New Roman" w:hAnsiTheme="majorHAnsi" w:cstheme="majorHAnsi"/>
          <w:lang w:eastAsia="en-GB"/>
        </w:rPr>
        <w:t xml:space="preserve"> солидарност</w:t>
      </w:r>
      <w:r w:rsidR="00595335" w:rsidRPr="00FF386D">
        <w:rPr>
          <w:rFonts w:asciiTheme="majorHAnsi" w:eastAsia="Times New Roman" w:hAnsiTheme="majorHAnsi" w:cstheme="majorHAnsi"/>
          <w:lang w:eastAsia="en-GB"/>
        </w:rPr>
        <w:t>и</w:t>
      </w:r>
      <w:r w:rsidRPr="00FF386D">
        <w:rPr>
          <w:rFonts w:asciiTheme="majorHAnsi" w:eastAsia="Times New Roman" w:hAnsiTheme="majorHAnsi" w:cstheme="majorHAnsi"/>
          <w:lang w:eastAsia="en-GB"/>
        </w:rPr>
        <w:t xml:space="preserve"> и сарадњ</w:t>
      </w:r>
      <w:r w:rsidR="00595335" w:rsidRPr="00FF386D">
        <w:rPr>
          <w:rFonts w:asciiTheme="majorHAnsi" w:eastAsia="Times New Roman" w:hAnsiTheme="majorHAnsi" w:cstheme="majorHAnsi"/>
          <w:lang w:eastAsia="en-GB"/>
        </w:rPr>
        <w:t>е</w:t>
      </w:r>
      <w:r w:rsidRPr="00FF386D">
        <w:rPr>
          <w:rFonts w:asciiTheme="majorHAnsi" w:eastAsia="Times New Roman" w:hAnsiTheme="majorHAnsi" w:cstheme="majorHAnsi"/>
          <w:lang w:eastAsia="en-GB"/>
        </w:rPr>
        <w:t xml:space="preserve"> између ЕУ и земаља </w:t>
      </w:r>
      <w:r w:rsidR="00495989" w:rsidRPr="00FF386D">
        <w:rPr>
          <w:rFonts w:asciiTheme="majorHAnsi" w:eastAsia="Times New Roman" w:hAnsiTheme="majorHAnsi" w:cstheme="majorHAnsi"/>
          <w:lang w:eastAsia="en-GB"/>
        </w:rPr>
        <w:t xml:space="preserve">чланица </w:t>
      </w:r>
      <w:r w:rsidRPr="00FF386D">
        <w:rPr>
          <w:rFonts w:asciiTheme="majorHAnsi" w:eastAsia="Times New Roman" w:hAnsiTheme="majorHAnsi" w:cstheme="majorHAnsi"/>
          <w:lang w:eastAsia="en-GB"/>
        </w:rPr>
        <w:t>Енергетске заједнице (ЕЗ).</w:t>
      </w:r>
    </w:p>
    <w:p w14:paraId="627AEA0F" w14:textId="0852B8BE" w:rsidR="00EB3C75" w:rsidRPr="00FF386D" w:rsidRDefault="00EB3C75">
      <w:pPr>
        <w:pStyle w:val="ListParagraph"/>
        <w:widowControl w:val="0"/>
        <w:numPr>
          <w:ilvl w:val="0"/>
          <w:numId w:val="267"/>
        </w:numPr>
        <w:tabs>
          <w:tab w:val="num" w:pos="360"/>
        </w:tabs>
        <w:spacing w:after="0" w:line="276" w:lineRule="auto"/>
        <w:jc w:val="both"/>
        <w:rPr>
          <w:rFonts w:asciiTheme="majorHAnsi" w:eastAsia="Times New Roman" w:hAnsiTheme="majorHAnsi" w:cstheme="majorHAnsi"/>
          <w:lang w:eastAsia="en-GB"/>
        </w:rPr>
      </w:pPr>
      <w:r w:rsidRPr="00FF386D">
        <w:rPr>
          <w:rFonts w:asciiTheme="majorHAnsi" w:eastAsia="Times New Roman" w:hAnsiTheme="majorHAnsi" w:cstheme="majorHAnsi"/>
          <w:b/>
          <w:bCs/>
          <w:lang w:eastAsia="en-GB"/>
        </w:rPr>
        <w:t>Унутрашње енерг</w:t>
      </w:r>
      <w:r w:rsidR="00105056" w:rsidRPr="00FF386D">
        <w:rPr>
          <w:rFonts w:asciiTheme="majorHAnsi" w:eastAsia="Times New Roman" w:hAnsiTheme="majorHAnsi" w:cstheme="majorHAnsi"/>
          <w:b/>
          <w:bCs/>
          <w:lang w:eastAsia="en-GB"/>
        </w:rPr>
        <w:t>етско тржиште</w:t>
      </w:r>
      <w:r w:rsidRPr="00FF386D">
        <w:rPr>
          <w:rFonts w:asciiTheme="majorHAnsi" w:eastAsia="Times New Roman" w:hAnsiTheme="majorHAnsi" w:cstheme="majorHAnsi"/>
          <w:lang w:eastAsia="en-GB"/>
        </w:rPr>
        <w:t xml:space="preserve"> представља посебну област која се тиче циља да се </w:t>
      </w:r>
      <w:r w:rsidR="00495989" w:rsidRPr="00FF386D">
        <w:rPr>
          <w:rFonts w:asciiTheme="majorHAnsi" w:eastAsia="Times New Roman" w:hAnsiTheme="majorHAnsi" w:cstheme="majorHAnsi"/>
          <w:lang w:eastAsia="en-GB"/>
        </w:rPr>
        <w:t>покаже посвећеност</w:t>
      </w:r>
      <w:r w:rsidR="00660D26" w:rsidRPr="00FF386D">
        <w:rPr>
          <w:rFonts w:asciiTheme="majorHAnsi" w:eastAsia="Times New Roman" w:hAnsiTheme="majorHAnsi" w:cstheme="majorHAnsi"/>
          <w:lang w:eastAsia="en-GB"/>
        </w:rPr>
        <w:t xml:space="preserve"> </w:t>
      </w:r>
      <w:r w:rsidRPr="00FF386D">
        <w:rPr>
          <w:rFonts w:asciiTheme="majorHAnsi" w:eastAsia="Times New Roman" w:hAnsiTheme="majorHAnsi" w:cstheme="majorHAnsi"/>
          <w:lang w:eastAsia="en-GB"/>
        </w:rPr>
        <w:t>зе</w:t>
      </w:r>
      <w:r w:rsidR="00495989" w:rsidRPr="00FF386D">
        <w:rPr>
          <w:rFonts w:asciiTheme="majorHAnsi" w:eastAsia="Times New Roman" w:hAnsiTheme="majorHAnsi" w:cstheme="majorHAnsi"/>
          <w:lang w:eastAsia="en-GB"/>
        </w:rPr>
        <w:t>мље</w:t>
      </w:r>
      <w:r w:rsidR="00660D26" w:rsidRPr="00FF386D">
        <w:rPr>
          <w:rFonts w:asciiTheme="majorHAnsi" w:eastAsia="Times New Roman" w:hAnsiTheme="majorHAnsi" w:cstheme="majorHAnsi"/>
          <w:lang w:eastAsia="en-GB"/>
        </w:rPr>
        <w:t xml:space="preserve"> </w:t>
      </w:r>
      <w:r w:rsidRPr="00FF386D">
        <w:rPr>
          <w:rFonts w:asciiTheme="majorHAnsi" w:eastAsia="Times New Roman" w:hAnsiTheme="majorHAnsi" w:cstheme="majorHAnsi"/>
          <w:lang w:eastAsia="en-GB"/>
        </w:rPr>
        <w:t xml:space="preserve">стварању потпуно интегрисаног и функционалног тржишта, које омогућава слободан проток енергије </w:t>
      </w:r>
      <w:r w:rsidR="00495989" w:rsidRPr="00FF386D">
        <w:rPr>
          <w:rFonts w:asciiTheme="majorHAnsi" w:eastAsia="Times New Roman" w:hAnsiTheme="majorHAnsi" w:cstheme="majorHAnsi"/>
          <w:lang w:eastAsia="en-GB"/>
        </w:rPr>
        <w:t>у оквиру</w:t>
      </w:r>
      <w:r w:rsidRPr="00FF386D">
        <w:rPr>
          <w:rFonts w:asciiTheme="majorHAnsi" w:eastAsia="Times New Roman" w:hAnsiTheme="majorHAnsi" w:cstheme="majorHAnsi"/>
          <w:lang w:eastAsia="en-GB"/>
        </w:rPr>
        <w:t xml:space="preserve"> Енергетск</w:t>
      </w:r>
      <w:r w:rsidR="00495989" w:rsidRPr="00FF386D">
        <w:rPr>
          <w:rFonts w:asciiTheme="majorHAnsi" w:eastAsia="Times New Roman" w:hAnsiTheme="majorHAnsi" w:cstheme="majorHAnsi"/>
          <w:lang w:eastAsia="en-GB"/>
        </w:rPr>
        <w:t>е</w:t>
      </w:r>
      <w:r w:rsidRPr="00FF386D">
        <w:rPr>
          <w:rFonts w:asciiTheme="majorHAnsi" w:eastAsia="Times New Roman" w:hAnsiTheme="majorHAnsi" w:cstheme="majorHAnsi"/>
          <w:lang w:eastAsia="en-GB"/>
        </w:rPr>
        <w:t xml:space="preserve"> заједниц</w:t>
      </w:r>
      <w:r w:rsidR="00495989" w:rsidRPr="00FF386D">
        <w:rPr>
          <w:rFonts w:asciiTheme="majorHAnsi" w:eastAsia="Times New Roman" w:hAnsiTheme="majorHAnsi" w:cstheme="majorHAnsi"/>
          <w:lang w:eastAsia="en-GB"/>
        </w:rPr>
        <w:t>е</w:t>
      </w:r>
      <w:r w:rsidRPr="00FF386D">
        <w:rPr>
          <w:rFonts w:asciiTheme="majorHAnsi" w:eastAsia="Times New Roman" w:hAnsiTheme="majorHAnsi" w:cstheme="majorHAnsi"/>
          <w:lang w:eastAsia="en-GB"/>
        </w:rPr>
        <w:t xml:space="preserve"> и Европск</w:t>
      </w:r>
      <w:r w:rsidR="00495989" w:rsidRPr="00FF386D">
        <w:rPr>
          <w:rFonts w:asciiTheme="majorHAnsi" w:eastAsia="Times New Roman" w:hAnsiTheme="majorHAnsi" w:cstheme="majorHAnsi"/>
          <w:lang w:eastAsia="en-GB"/>
        </w:rPr>
        <w:t>е</w:t>
      </w:r>
      <w:r w:rsidRPr="00FF386D">
        <w:rPr>
          <w:rFonts w:asciiTheme="majorHAnsi" w:eastAsia="Times New Roman" w:hAnsiTheme="majorHAnsi" w:cstheme="majorHAnsi"/>
          <w:lang w:eastAsia="en-GB"/>
        </w:rPr>
        <w:t xml:space="preserve"> униј</w:t>
      </w:r>
      <w:r w:rsidR="00495989" w:rsidRPr="00FF386D">
        <w:rPr>
          <w:rFonts w:asciiTheme="majorHAnsi" w:eastAsia="Times New Roman" w:hAnsiTheme="majorHAnsi" w:cstheme="majorHAnsi"/>
          <w:lang w:eastAsia="en-GB"/>
        </w:rPr>
        <w:t>е</w:t>
      </w:r>
      <w:r w:rsidRPr="00FF386D">
        <w:rPr>
          <w:rFonts w:asciiTheme="majorHAnsi" w:eastAsia="Times New Roman" w:hAnsiTheme="majorHAnsi" w:cstheme="majorHAnsi"/>
          <w:lang w:eastAsia="en-GB"/>
        </w:rPr>
        <w:t xml:space="preserve"> путем </w:t>
      </w:r>
      <w:r w:rsidR="00495989" w:rsidRPr="00FF386D">
        <w:rPr>
          <w:rFonts w:asciiTheme="majorHAnsi" w:eastAsia="Times New Roman" w:hAnsiTheme="majorHAnsi" w:cstheme="majorHAnsi"/>
          <w:lang w:eastAsia="en-GB"/>
        </w:rPr>
        <w:t>одговарајуће</w:t>
      </w:r>
      <w:r w:rsidRPr="00FF386D">
        <w:rPr>
          <w:rFonts w:asciiTheme="majorHAnsi" w:eastAsia="Times New Roman" w:hAnsiTheme="majorHAnsi" w:cstheme="majorHAnsi"/>
          <w:lang w:eastAsia="en-GB"/>
        </w:rPr>
        <w:t xml:space="preserve"> инфраструктуре и без техничких или регулаторних </w:t>
      </w:r>
      <w:r w:rsidR="00495989" w:rsidRPr="00FF386D">
        <w:rPr>
          <w:rFonts w:asciiTheme="majorHAnsi" w:eastAsia="Times New Roman" w:hAnsiTheme="majorHAnsi" w:cstheme="majorHAnsi"/>
          <w:lang w:eastAsia="en-GB"/>
        </w:rPr>
        <w:t>препрека</w:t>
      </w:r>
      <w:r w:rsidRPr="00FF386D">
        <w:rPr>
          <w:rFonts w:asciiTheme="majorHAnsi" w:eastAsia="Times New Roman" w:hAnsiTheme="majorHAnsi" w:cstheme="majorHAnsi"/>
          <w:lang w:eastAsia="en-GB"/>
        </w:rPr>
        <w:t>.</w:t>
      </w:r>
    </w:p>
    <w:p w14:paraId="20722388" w14:textId="6F5E3FDD" w:rsidR="00EB3C75" w:rsidRPr="00FF386D" w:rsidRDefault="00EB3C75">
      <w:pPr>
        <w:pStyle w:val="ListParagraph"/>
        <w:widowControl w:val="0"/>
        <w:numPr>
          <w:ilvl w:val="0"/>
          <w:numId w:val="267"/>
        </w:numPr>
        <w:tabs>
          <w:tab w:val="num" w:pos="360"/>
        </w:tabs>
        <w:spacing w:after="0" w:line="276" w:lineRule="auto"/>
        <w:jc w:val="both"/>
        <w:rPr>
          <w:rFonts w:asciiTheme="majorHAnsi" w:eastAsia="Times New Roman" w:hAnsiTheme="majorHAnsi" w:cstheme="majorHAnsi"/>
          <w:lang w:eastAsia="en-GB"/>
        </w:rPr>
      </w:pPr>
      <w:r w:rsidRPr="00FF386D">
        <w:rPr>
          <w:rFonts w:asciiTheme="majorHAnsi" w:eastAsia="Times New Roman" w:hAnsiTheme="majorHAnsi" w:cstheme="majorHAnsi"/>
          <w:b/>
          <w:bCs/>
          <w:lang w:eastAsia="en-GB"/>
        </w:rPr>
        <w:t>Истраживање, иновације и конкурентност</w:t>
      </w:r>
      <w:r w:rsidRPr="00FF386D">
        <w:rPr>
          <w:rFonts w:asciiTheme="majorHAnsi" w:eastAsia="Times New Roman" w:hAnsiTheme="majorHAnsi" w:cstheme="majorHAnsi"/>
          <w:lang w:eastAsia="en-GB"/>
        </w:rPr>
        <w:t xml:space="preserve"> представљају посебну област која </w:t>
      </w:r>
      <w:r w:rsidR="00660D26" w:rsidRPr="00FF386D">
        <w:rPr>
          <w:rFonts w:asciiTheme="majorHAnsi" w:eastAsia="Times New Roman" w:hAnsiTheme="majorHAnsi" w:cstheme="majorHAnsi"/>
          <w:lang w:eastAsia="en-GB"/>
        </w:rPr>
        <w:t>се односи на</w:t>
      </w:r>
      <w:r w:rsidRPr="00FF386D">
        <w:rPr>
          <w:rFonts w:asciiTheme="majorHAnsi" w:eastAsia="Times New Roman" w:hAnsiTheme="majorHAnsi" w:cstheme="majorHAnsi"/>
          <w:lang w:eastAsia="en-GB"/>
        </w:rPr>
        <w:t xml:space="preserve"> циљ да се </w:t>
      </w:r>
      <w:r w:rsidR="00495989" w:rsidRPr="00FF386D">
        <w:rPr>
          <w:rFonts w:asciiTheme="majorHAnsi" w:eastAsia="Times New Roman" w:hAnsiTheme="majorHAnsi" w:cstheme="majorHAnsi"/>
          <w:lang w:eastAsia="en-GB"/>
        </w:rPr>
        <w:t xml:space="preserve">покаже посвећеност </w:t>
      </w:r>
      <w:r w:rsidRPr="00FF386D">
        <w:rPr>
          <w:rFonts w:asciiTheme="majorHAnsi" w:eastAsia="Times New Roman" w:hAnsiTheme="majorHAnsi" w:cstheme="majorHAnsi"/>
          <w:lang w:eastAsia="en-GB"/>
        </w:rPr>
        <w:t xml:space="preserve">земље </w:t>
      </w:r>
      <w:r w:rsidR="00495989" w:rsidRPr="00FF386D">
        <w:rPr>
          <w:rFonts w:asciiTheme="majorHAnsi" w:eastAsia="Times New Roman" w:hAnsiTheme="majorHAnsi" w:cstheme="majorHAnsi"/>
          <w:lang w:eastAsia="en-GB"/>
        </w:rPr>
        <w:t xml:space="preserve">пружању </w:t>
      </w:r>
      <w:r w:rsidRPr="00FF386D">
        <w:rPr>
          <w:rFonts w:asciiTheme="majorHAnsi" w:eastAsia="Times New Roman" w:hAnsiTheme="majorHAnsi" w:cstheme="majorHAnsi"/>
          <w:lang w:eastAsia="en-GB"/>
        </w:rPr>
        <w:t>подр</w:t>
      </w:r>
      <w:r w:rsidR="00495989" w:rsidRPr="00FF386D">
        <w:rPr>
          <w:rFonts w:asciiTheme="majorHAnsi" w:eastAsia="Times New Roman" w:hAnsiTheme="majorHAnsi" w:cstheme="majorHAnsi"/>
          <w:lang w:eastAsia="en-GB"/>
        </w:rPr>
        <w:t>шке иновацијама у области</w:t>
      </w:r>
      <w:r w:rsidRPr="00FF386D">
        <w:rPr>
          <w:rFonts w:asciiTheme="majorHAnsi" w:eastAsia="Times New Roman" w:hAnsiTheme="majorHAnsi" w:cstheme="majorHAnsi"/>
          <w:lang w:eastAsia="en-GB"/>
        </w:rPr>
        <w:t xml:space="preserve"> развоја ниско-угљеничних технологија и </w:t>
      </w:r>
      <w:r w:rsidR="00495989" w:rsidRPr="00FF386D">
        <w:rPr>
          <w:rFonts w:asciiTheme="majorHAnsi" w:eastAsia="Times New Roman" w:hAnsiTheme="majorHAnsi" w:cstheme="majorHAnsi"/>
          <w:lang w:eastAsia="en-GB"/>
        </w:rPr>
        <w:t xml:space="preserve">чистих енергетских </w:t>
      </w:r>
      <w:r w:rsidRPr="00FF386D">
        <w:rPr>
          <w:rFonts w:asciiTheme="majorHAnsi" w:eastAsia="Times New Roman" w:hAnsiTheme="majorHAnsi" w:cstheme="majorHAnsi"/>
          <w:lang w:eastAsia="en-GB"/>
        </w:rPr>
        <w:t>технологија.</w:t>
      </w:r>
    </w:p>
    <w:p w14:paraId="3E091BF3" w14:textId="2FC6BED3" w:rsidR="00EB3C75" w:rsidRPr="00FF386D" w:rsidRDefault="00EB3C75" w:rsidP="00565B02">
      <w:pPr>
        <w:widowControl w:val="0"/>
        <w:spacing w:before="160" w:after="120" w:line="240" w:lineRule="auto"/>
        <w:jc w:val="both"/>
        <w:rPr>
          <w:rFonts w:asciiTheme="majorHAnsi" w:eastAsia="Times New Roman" w:hAnsiTheme="majorHAnsi" w:cstheme="majorHAnsi"/>
          <w:szCs w:val="20"/>
          <w:lang w:eastAsia="el-GR"/>
        </w:rPr>
      </w:pPr>
      <w:r w:rsidRPr="00FF386D">
        <w:rPr>
          <w:rFonts w:asciiTheme="majorHAnsi" w:eastAsia="Times New Roman" w:hAnsiTheme="majorHAnsi" w:cstheme="majorHAnsi"/>
          <w:szCs w:val="20"/>
          <w:lang w:eastAsia="el-GR"/>
        </w:rPr>
        <w:t xml:space="preserve">Стратешка политика у оквиру димензије </w:t>
      </w:r>
      <w:r w:rsidRPr="00FF386D">
        <w:rPr>
          <w:rFonts w:asciiTheme="majorHAnsi" w:eastAsia="Times New Roman" w:hAnsiTheme="majorHAnsi" w:cstheme="majorHAnsi"/>
          <w:b/>
          <w:bCs/>
          <w:szCs w:val="20"/>
          <w:lang w:eastAsia="el-GR"/>
        </w:rPr>
        <w:t xml:space="preserve">декарбонизације </w:t>
      </w:r>
      <w:r w:rsidRPr="00FF386D">
        <w:rPr>
          <w:rFonts w:asciiTheme="majorHAnsi" w:eastAsia="Times New Roman" w:hAnsiTheme="majorHAnsi" w:cstheme="majorHAnsi"/>
          <w:szCs w:val="20"/>
          <w:lang w:eastAsia="el-GR"/>
        </w:rPr>
        <w:t xml:space="preserve">обухвата дефинисање националних циљева за декарбонизацију </w:t>
      </w:r>
      <w:r w:rsidR="00EA2517" w:rsidRPr="00FF386D">
        <w:rPr>
          <w:rFonts w:asciiTheme="majorHAnsi" w:eastAsia="Times New Roman" w:hAnsiTheme="majorHAnsi" w:cstheme="majorHAnsi"/>
          <w:szCs w:val="20"/>
          <w:lang w:eastAsia="el-GR"/>
        </w:rPr>
        <w:t>уз</w:t>
      </w:r>
      <w:r w:rsidRPr="00FF386D">
        <w:rPr>
          <w:rFonts w:asciiTheme="majorHAnsi" w:eastAsia="Times New Roman" w:hAnsiTheme="majorHAnsi" w:cstheme="majorHAnsi"/>
          <w:szCs w:val="20"/>
          <w:lang w:eastAsia="el-GR"/>
        </w:rPr>
        <w:t xml:space="preserve"> фокус на смањење емисије гас</w:t>
      </w:r>
      <w:r w:rsidR="009D7D68">
        <w:rPr>
          <w:rFonts w:asciiTheme="majorHAnsi" w:eastAsia="Times New Roman" w:hAnsiTheme="majorHAnsi" w:cstheme="majorHAnsi"/>
          <w:szCs w:val="20"/>
          <w:lang w:eastAsia="el-GR"/>
        </w:rPr>
        <w:t>ова</w:t>
      </w:r>
      <w:r w:rsidRPr="00FF386D">
        <w:rPr>
          <w:rFonts w:asciiTheme="majorHAnsi" w:eastAsia="Times New Roman" w:hAnsiTheme="majorHAnsi" w:cstheme="majorHAnsi"/>
          <w:szCs w:val="20"/>
          <w:lang w:eastAsia="el-GR"/>
        </w:rPr>
        <w:t xml:space="preserve"> са ефектом стаклене баште (</w:t>
      </w:r>
      <w:r w:rsidRPr="00FF386D">
        <w:rPr>
          <w:rFonts w:asciiTheme="majorHAnsi" w:eastAsia="Times New Roman" w:hAnsiTheme="majorHAnsi" w:cstheme="majorHAnsi"/>
          <w:i/>
          <w:szCs w:val="20"/>
          <w:lang w:eastAsia="el-GR"/>
        </w:rPr>
        <w:t>GHG</w:t>
      </w:r>
      <w:r w:rsidRPr="00FF386D">
        <w:rPr>
          <w:rFonts w:asciiTheme="majorHAnsi" w:eastAsia="Times New Roman" w:hAnsiTheme="majorHAnsi" w:cstheme="majorHAnsi"/>
          <w:szCs w:val="20"/>
          <w:lang w:eastAsia="el-GR"/>
        </w:rPr>
        <w:t xml:space="preserve">) и удео </w:t>
      </w:r>
      <w:r w:rsidR="00495989" w:rsidRPr="00FF386D">
        <w:rPr>
          <w:rFonts w:asciiTheme="majorHAnsi" w:eastAsia="Times New Roman" w:hAnsiTheme="majorHAnsi" w:cstheme="majorHAnsi"/>
          <w:szCs w:val="20"/>
          <w:lang w:eastAsia="el-GR"/>
        </w:rPr>
        <w:t xml:space="preserve">енергије произведене из </w:t>
      </w:r>
      <w:r w:rsidRPr="00FF386D">
        <w:rPr>
          <w:rFonts w:asciiTheme="majorHAnsi" w:eastAsia="Times New Roman" w:hAnsiTheme="majorHAnsi" w:cstheme="majorHAnsi"/>
          <w:szCs w:val="20"/>
          <w:lang w:eastAsia="el-GR"/>
        </w:rPr>
        <w:t xml:space="preserve">обновљивих извора у бруто финалној потрошњи енергије. На основу постојећег стања, планиране мере политике у области енергетике, која генерише око 80% емисија </w:t>
      </w:r>
      <w:r w:rsidRPr="00FF386D">
        <w:rPr>
          <w:rFonts w:asciiTheme="majorHAnsi" w:eastAsia="Times New Roman" w:hAnsiTheme="majorHAnsi" w:cstheme="majorHAnsi"/>
          <w:i/>
          <w:szCs w:val="20"/>
          <w:lang w:eastAsia="el-GR"/>
        </w:rPr>
        <w:t>GHG</w:t>
      </w:r>
      <w:r w:rsidRPr="00FF386D">
        <w:rPr>
          <w:rFonts w:asciiTheme="majorHAnsi" w:eastAsia="Times New Roman" w:hAnsiTheme="majorHAnsi" w:cstheme="majorHAnsi"/>
          <w:szCs w:val="20"/>
          <w:lang w:eastAsia="el-GR"/>
        </w:rPr>
        <w:t xml:space="preserve"> у Републици Србији, </w:t>
      </w:r>
      <w:r w:rsidR="00495989" w:rsidRPr="00FF386D">
        <w:rPr>
          <w:rFonts w:asciiTheme="majorHAnsi" w:eastAsia="Times New Roman" w:hAnsiTheme="majorHAnsi" w:cstheme="majorHAnsi"/>
          <w:szCs w:val="20"/>
          <w:lang w:eastAsia="el-GR"/>
        </w:rPr>
        <w:t>оствариће кључни</w:t>
      </w:r>
      <w:r w:rsidRPr="00FF386D">
        <w:rPr>
          <w:rFonts w:asciiTheme="majorHAnsi" w:eastAsia="Times New Roman" w:hAnsiTheme="majorHAnsi" w:cstheme="majorHAnsi"/>
          <w:szCs w:val="20"/>
          <w:lang w:eastAsia="el-GR"/>
        </w:rPr>
        <w:t xml:space="preserve"> допринос процесу декарбонизације. Ажурирани Намеравани национално утврђени доприноси Србије </w:t>
      </w:r>
      <w:r w:rsidR="0048160A" w:rsidRPr="00FF386D">
        <w:rPr>
          <w:rFonts w:asciiTheme="majorHAnsi" w:eastAsia="Times New Roman" w:hAnsiTheme="majorHAnsi" w:cstheme="majorHAnsi"/>
          <w:szCs w:val="20"/>
          <w:lang w:eastAsia="el-GR"/>
        </w:rPr>
        <w:t xml:space="preserve">према </w:t>
      </w:r>
      <w:r w:rsidRPr="00FF386D">
        <w:rPr>
          <w:rFonts w:asciiTheme="majorHAnsi" w:eastAsia="Times New Roman" w:hAnsiTheme="majorHAnsi" w:cstheme="majorHAnsi"/>
          <w:szCs w:val="20"/>
          <w:lang w:eastAsia="el-GR"/>
        </w:rPr>
        <w:t xml:space="preserve">Париском споразуму је поднет </w:t>
      </w:r>
      <w:r w:rsidRPr="00FF386D">
        <w:rPr>
          <w:rFonts w:asciiTheme="majorHAnsi" w:eastAsia="Times New Roman" w:hAnsiTheme="majorHAnsi" w:cstheme="majorHAnsi"/>
          <w:i/>
          <w:iCs/>
          <w:szCs w:val="20"/>
          <w:lang w:eastAsia="el-GR"/>
        </w:rPr>
        <w:t>UNFCCC</w:t>
      </w:r>
      <w:r w:rsidR="00EA2517" w:rsidRPr="00FF386D">
        <w:rPr>
          <w:rFonts w:asciiTheme="majorHAnsi" w:eastAsia="Times New Roman" w:hAnsiTheme="majorHAnsi" w:cstheme="majorHAnsi"/>
          <w:i/>
          <w:iCs/>
          <w:szCs w:val="20"/>
          <w:lang w:eastAsia="el-GR"/>
        </w:rPr>
        <w:t>-у</w:t>
      </w:r>
      <w:r w:rsidRPr="00FF386D">
        <w:rPr>
          <w:rFonts w:asciiTheme="majorHAnsi" w:eastAsia="Times New Roman" w:hAnsiTheme="majorHAnsi" w:cstheme="majorHAnsi"/>
          <w:szCs w:val="20"/>
          <w:lang w:eastAsia="el-GR"/>
        </w:rPr>
        <w:t xml:space="preserve">, а Национални план за смањење емисија </w:t>
      </w:r>
      <w:r w:rsidR="0048160A" w:rsidRPr="00FF386D">
        <w:rPr>
          <w:rFonts w:asciiTheme="majorHAnsi" w:eastAsia="Times New Roman" w:hAnsiTheme="majorHAnsi" w:cstheme="majorHAnsi"/>
          <w:szCs w:val="20"/>
          <w:lang w:eastAsia="el-GR"/>
        </w:rPr>
        <w:t xml:space="preserve">ће се </w:t>
      </w:r>
      <w:r w:rsidRPr="00FF386D">
        <w:rPr>
          <w:rFonts w:asciiTheme="majorHAnsi" w:eastAsia="Times New Roman" w:hAnsiTheme="majorHAnsi" w:cstheme="majorHAnsi"/>
          <w:szCs w:val="20"/>
          <w:lang w:eastAsia="el-GR"/>
        </w:rPr>
        <w:t>спров</w:t>
      </w:r>
      <w:r w:rsidR="0048160A" w:rsidRPr="00FF386D">
        <w:rPr>
          <w:rFonts w:asciiTheme="majorHAnsi" w:eastAsia="Times New Roman" w:hAnsiTheme="majorHAnsi" w:cstheme="majorHAnsi"/>
          <w:szCs w:val="20"/>
          <w:lang w:eastAsia="el-GR"/>
        </w:rPr>
        <w:t xml:space="preserve">одити </w:t>
      </w:r>
      <w:r w:rsidRPr="00FF386D">
        <w:rPr>
          <w:rFonts w:asciiTheme="majorHAnsi" w:eastAsia="Times New Roman" w:hAnsiTheme="majorHAnsi" w:cstheme="majorHAnsi"/>
          <w:szCs w:val="20"/>
          <w:lang w:eastAsia="el-GR"/>
        </w:rPr>
        <w:t>у пракси за сумпор-диоксид, оксид</w:t>
      </w:r>
      <w:r w:rsidR="0048160A" w:rsidRPr="00FF386D">
        <w:rPr>
          <w:rFonts w:asciiTheme="majorHAnsi" w:eastAsia="Times New Roman" w:hAnsiTheme="majorHAnsi" w:cstheme="majorHAnsi"/>
          <w:szCs w:val="20"/>
          <w:lang w:eastAsia="el-GR"/>
        </w:rPr>
        <w:t>е азота</w:t>
      </w:r>
      <w:r w:rsidRPr="00FF386D">
        <w:rPr>
          <w:rFonts w:asciiTheme="majorHAnsi" w:eastAsia="Times New Roman" w:hAnsiTheme="majorHAnsi" w:cstheme="majorHAnsi"/>
          <w:szCs w:val="20"/>
          <w:lang w:eastAsia="el-GR"/>
        </w:rPr>
        <w:t xml:space="preserve"> и </w:t>
      </w:r>
      <w:r w:rsidR="0048160A" w:rsidRPr="00FF386D">
        <w:rPr>
          <w:rFonts w:asciiTheme="majorHAnsi" w:eastAsia="Times New Roman" w:hAnsiTheme="majorHAnsi" w:cstheme="majorHAnsi"/>
          <w:szCs w:val="20"/>
          <w:lang w:eastAsia="el-GR"/>
        </w:rPr>
        <w:t>прашкаст</w:t>
      </w:r>
      <w:r w:rsidR="009D7D68">
        <w:rPr>
          <w:rFonts w:asciiTheme="majorHAnsi" w:eastAsia="Times New Roman" w:hAnsiTheme="majorHAnsi" w:cstheme="majorHAnsi"/>
          <w:szCs w:val="20"/>
          <w:lang w:eastAsia="el-GR"/>
        </w:rPr>
        <w:t>е</w:t>
      </w:r>
      <w:r w:rsidR="0048160A" w:rsidRPr="00FF386D">
        <w:rPr>
          <w:rFonts w:asciiTheme="majorHAnsi" w:eastAsia="Times New Roman" w:hAnsiTheme="majorHAnsi" w:cstheme="majorHAnsi"/>
          <w:szCs w:val="20"/>
          <w:lang w:eastAsia="el-GR"/>
        </w:rPr>
        <w:t xml:space="preserve"> материј</w:t>
      </w:r>
      <w:r w:rsidR="009D7D68">
        <w:rPr>
          <w:rFonts w:asciiTheme="majorHAnsi" w:eastAsia="Times New Roman" w:hAnsiTheme="majorHAnsi" w:cstheme="majorHAnsi"/>
          <w:szCs w:val="20"/>
          <w:lang w:eastAsia="el-GR"/>
        </w:rPr>
        <w:t>е</w:t>
      </w:r>
      <w:r w:rsidRPr="00FF386D">
        <w:rPr>
          <w:rFonts w:asciiTheme="majorHAnsi" w:eastAsia="Times New Roman" w:hAnsiTheme="majorHAnsi" w:cstheme="majorHAnsi"/>
          <w:szCs w:val="20"/>
          <w:lang w:eastAsia="el-GR"/>
        </w:rPr>
        <w:t>. Већина мера политике</w:t>
      </w:r>
      <w:r w:rsidRPr="00FF386D">
        <w:rPr>
          <w:rFonts w:asciiTheme="majorHAnsi" w:hAnsiTheme="majorHAnsi" w:cstheme="majorHAnsi"/>
        </w:rPr>
        <w:t xml:space="preserve">, </w:t>
      </w:r>
      <w:r w:rsidRPr="00FF386D">
        <w:rPr>
          <w:rFonts w:asciiTheme="majorHAnsi" w:eastAsia="Times New Roman" w:hAnsiTheme="majorHAnsi" w:cstheme="majorHAnsi"/>
          <w:szCs w:val="20"/>
          <w:lang w:eastAsia="el-GR"/>
        </w:rPr>
        <w:t>као што је п</w:t>
      </w:r>
      <w:r w:rsidR="00EA2517" w:rsidRPr="00FF386D">
        <w:rPr>
          <w:rFonts w:asciiTheme="majorHAnsi" w:eastAsia="Times New Roman" w:hAnsiTheme="majorHAnsi" w:cstheme="majorHAnsi"/>
          <w:szCs w:val="20"/>
          <w:lang w:eastAsia="el-GR"/>
        </w:rPr>
        <w:t>одстицање</w:t>
      </w:r>
      <w:r w:rsidRPr="00FF386D">
        <w:rPr>
          <w:rFonts w:asciiTheme="majorHAnsi" w:eastAsia="Times New Roman" w:hAnsiTheme="majorHAnsi" w:cstheme="majorHAnsi"/>
          <w:szCs w:val="20"/>
          <w:lang w:eastAsia="el-GR"/>
        </w:rPr>
        <w:t xml:space="preserve"> обновљивих извора енергије и енергетске ефикасности, намењена је енергетском сектору, а реализација ових мера ће довести до укупног смањења емисија </w:t>
      </w:r>
      <w:r w:rsidRPr="00FF386D">
        <w:rPr>
          <w:rFonts w:asciiTheme="majorHAnsi" w:eastAsia="Times New Roman" w:hAnsiTheme="majorHAnsi" w:cstheme="majorHAnsi"/>
          <w:i/>
          <w:szCs w:val="20"/>
          <w:lang w:eastAsia="el-GR"/>
        </w:rPr>
        <w:t>GHG.</w:t>
      </w:r>
    </w:p>
    <w:p w14:paraId="5DD3E6B3" w14:textId="28829DD1" w:rsidR="00EB3C75" w:rsidRPr="00FF386D" w:rsidRDefault="00EB3C75" w:rsidP="00EB3C75">
      <w:pPr>
        <w:widowControl w:val="0"/>
        <w:spacing w:after="120" w:line="240" w:lineRule="auto"/>
        <w:jc w:val="both"/>
        <w:rPr>
          <w:rFonts w:asciiTheme="majorHAnsi" w:eastAsia="Times New Roman" w:hAnsiTheme="majorHAnsi" w:cstheme="majorHAnsi"/>
          <w:szCs w:val="20"/>
          <w:lang w:eastAsia="el-GR"/>
        </w:rPr>
      </w:pPr>
      <w:r w:rsidRPr="00FF386D">
        <w:rPr>
          <w:rFonts w:asciiTheme="majorHAnsi" w:eastAsia="Times New Roman" w:hAnsiTheme="majorHAnsi" w:cstheme="majorHAnsi"/>
          <w:szCs w:val="20"/>
          <w:lang w:eastAsia="el-GR"/>
        </w:rPr>
        <w:t xml:space="preserve">Дефинисање националних циљева у </w:t>
      </w:r>
      <w:r w:rsidR="0048160A" w:rsidRPr="00FF386D">
        <w:rPr>
          <w:rFonts w:asciiTheme="majorHAnsi" w:eastAsia="Times New Roman" w:hAnsiTheme="majorHAnsi" w:cstheme="majorHAnsi"/>
          <w:szCs w:val="20"/>
          <w:lang w:eastAsia="el-GR"/>
        </w:rPr>
        <w:t>области</w:t>
      </w:r>
      <w:r w:rsidRPr="00FF386D">
        <w:rPr>
          <w:rFonts w:asciiTheme="majorHAnsi" w:eastAsia="Times New Roman" w:hAnsiTheme="majorHAnsi" w:cstheme="majorHAnsi"/>
          <w:szCs w:val="20"/>
          <w:lang w:eastAsia="el-GR"/>
        </w:rPr>
        <w:t xml:space="preserve"> </w:t>
      </w:r>
      <w:r w:rsidRPr="00FF386D">
        <w:rPr>
          <w:rFonts w:asciiTheme="majorHAnsi" w:eastAsia="Times New Roman" w:hAnsiTheme="majorHAnsi" w:cstheme="majorHAnsi"/>
          <w:b/>
          <w:bCs/>
          <w:szCs w:val="20"/>
          <w:lang w:eastAsia="el-GR"/>
        </w:rPr>
        <w:t>енергетск</w:t>
      </w:r>
      <w:r w:rsidR="0057651A" w:rsidRPr="00FF386D">
        <w:rPr>
          <w:rFonts w:asciiTheme="majorHAnsi" w:eastAsia="Times New Roman" w:hAnsiTheme="majorHAnsi" w:cstheme="majorHAnsi"/>
          <w:b/>
          <w:bCs/>
          <w:szCs w:val="20"/>
          <w:lang w:eastAsia="el-GR"/>
        </w:rPr>
        <w:t>е</w:t>
      </w:r>
      <w:r w:rsidRPr="00FF386D">
        <w:rPr>
          <w:rFonts w:asciiTheme="majorHAnsi" w:eastAsia="Times New Roman" w:hAnsiTheme="majorHAnsi" w:cstheme="majorHAnsi"/>
          <w:b/>
          <w:bCs/>
          <w:szCs w:val="20"/>
          <w:lang w:eastAsia="el-GR"/>
        </w:rPr>
        <w:t xml:space="preserve"> ефикасност</w:t>
      </w:r>
      <w:r w:rsidR="0057651A" w:rsidRPr="00FF386D">
        <w:rPr>
          <w:rFonts w:asciiTheme="majorHAnsi" w:eastAsia="Times New Roman" w:hAnsiTheme="majorHAnsi" w:cstheme="majorHAnsi"/>
          <w:b/>
          <w:bCs/>
          <w:szCs w:val="20"/>
          <w:lang w:eastAsia="el-GR"/>
        </w:rPr>
        <w:t>и</w:t>
      </w:r>
      <w:r w:rsidRPr="00FF386D">
        <w:rPr>
          <w:rFonts w:asciiTheme="majorHAnsi" w:eastAsia="Times New Roman" w:hAnsiTheme="majorHAnsi" w:cstheme="majorHAnsi"/>
          <w:szCs w:val="20"/>
          <w:lang w:eastAsia="el-GR"/>
        </w:rPr>
        <w:t xml:space="preserve"> фокусира </w:t>
      </w:r>
      <w:r w:rsidR="009D7D68">
        <w:rPr>
          <w:rFonts w:asciiTheme="majorHAnsi" w:eastAsia="Times New Roman" w:hAnsiTheme="majorHAnsi" w:cstheme="majorHAnsi"/>
          <w:szCs w:val="20"/>
          <w:lang w:eastAsia="el-GR"/>
        </w:rPr>
        <w:t xml:space="preserve">се </w:t>
      </w:r>
      <w:r w:rsidRPr="00FF386D">
        <w:rPr>
          <w:rFonts w:asciiTheme="majorHAnsi" w:eastAsia="Times New Roman" w:hAnsiTheme="majorHAnsi" w:cstheme="majorHAnsi"/>
          <w:szCs w:val="20"/>
          <w:lang w:eastAsia="el-GR"/>
        </w:rPr>
        <w:t xml:space="preserve">на побољшање енергетске ефикасности </w:t>
      </w:r>
      <w:r w:rsidR="009D7D68">
        <w:rPr>
          <w:rFonts w:asciiTheme="majorHAnsi" w:eastAsia="Times New Roman" w:hAnsiTheme="majorHAnsi" w:cstheme="majorHAnsi"/>
          <w:szCs w:val="20"/>
          <w:lang w:eastAsia="el-GR"/>
        </w:rPr>
        <w:t xml:space="preserve">које </w:t>
      </w:r>
      <w:r w:rsidRPr="00FF386D">
        <w:rPr>
          <w:rFonts w:asciiTheme="majorHAnsi" w:eastAsia="Times New Roman" w:hAnsiTheme="majorHAnsi" w:cstheme="majorHAnsi"/>
          <w:szCs w:val="20"/>
          <w:lang w:eastAsia="el-GR"/>
        </w:rPr>
        <w:t xml:space="preserve">може </w:t>
      </w:r>
      <w:r w:rsidR="002A0D84" w:rsidRPr="00FF386D">
        <w:rPr>
          <w:rFonts w:asciiTheme="majorHAnsi" w:eastAsia="Times New Roman" w:hAnsiTheme="majorHAnsi" w:cstheme="majorHAnsi"/>
          <w:szCs w:val="20"/>
          <w:lang w:eastAsia="el-GR"/>
        </w:rPr>
        <w:t xml:space="preserve">се </w:t>
      </w:r>
      <w:r w:rsidRPr="00FF386D">
        <w:rPr>
          <w:rFonts w:asciiTheme="majorHAnsi" w:eastAsia="Times New Roman" w:hAnsiTheme="majorHAnsi" w:cstheme="majorHAnsi"/>
          <w:szCs w:val="20"/>
          <w:lang w:eastAsia="el-GR"/>
        </w:rPr>
        <w:t xml:space="preserve">изразити </w:t>
      </w:r>
      <w:r w:rsidR="00EA2517" w:rsidRPr="00FF386D">
        <w:rPr>
          <w:rFonts w:asciiTheme="majorHAnsi" w:eastAsia="Times New Roman" w:hAnsiTheme="majorHAnsi" w:cstheme="majorHAnsi"/>
          <w:szCs w:val="20"/>
          <w:lang w:eastAsia="el-GR"/>
        </w:rPr>
        <w:t>путем</w:t>
      </w:r>
      <w:r w:rsidRPr="00FF386D">
        <w:rPr>
          <w:rFonts w:asciiTheme="majorHAnsi" w:eastAsia="Times New Roman" w:hAnsiTheme="majorHAnsi" w:cstheme="majorHAnsi"/>
          <w:szCs w:val="20"/>
          <w:lang w:eastAsia="el-GR"/>
        </w:rPr>
        <w:t xml:space="preserve"> потрошњ</w:t>
      </w:r>
      <w:r w:rsidR="00EA2517" w:rsidRPr="00FF386D">
        <w:rPr>
          <w:rFonts w:asciiTheme="majorHAnsi" w:eastAsia="Times New Roman" w:hAnsiTheme="majorHAnsi" w:cstheme="majorHAnsi"/>
          <w:szCs w:val="20"/>
          <w:lang w:eastAsia="el-GR"/>
        </w:rPr>
        <w:t>е</w:t>
      </w:r>
      <w:r w:rsidRPr="00FF386D">
        <w:rPr>
          <w:rFonts w:asciiTheme="majorHAnsi" w:eastAsia="Times New Roman" w:hAnsiTheme="majorHAnsi" w:cstheme="majorHAnsi"/>
          <w:szCs w:val="20"/>
          <w:lang w:eastAsia="el-GR"/>
        </w:rPr>
        <w:t xml:space="preserve"> примарне или финалне енергије, уштед</w:t>
      </w:r>
      <w:r w:rsidR="00EA2517" w:rsidRPr="00FF386D">
        <w:rPr>
          <w:rFonts w:asciiTheme="majorHAnsi" w:eastAsia="Times New Roman" w:hAnsiTheme="majorHAnsi" w:cstheme="majorHAnsi"/>
          <w:szCs w:val="20"/>
          <w:lang w:eastAsia="el-GR"/>
        </w:rPr>
        <w:t>е</w:t>
      </w:r>
      <w:r w:rsidRPr="00FF386D">
        <w:rPr>
          <w:rFonts w:asciiTheme="majorHAnsi" w:eastAsia="Times New Roman" w:hAnsiTheme="majorHAnsi" w:cstheme="majorHAnsi"/>
          <w:szCs w:val="20"/>
          <w:lang w:eastAsia="el-GR"/>
        </w:rPr>
        <w:t xml:space="preserve"> примарне или финалне енергије, или преко енергетског интензитета, као и </w:t>
      </w:r>
      <w:r w:rsidR="00EA2517" w:rsidRPr="00FF386D">
        <w:rPr>
          <w:rFonts w:asciiTheme="majorHAnsi" w:eastAsia="Times New Roman" w:hAnsiTheme="majorHAnsi" w:cstheme="majorHAnsi"/>
          <w:szCs w:val="20"/>
          <w:lang w:eastAsia="el-GR"/>
        </w:rPr>
        <w:t>преко</w:t>
      </w:r>
      <w:r w:rsidRPr="00FF386D">
        <w:rPr>
          <w:rFonts w:asciiTheme="majorHAnsi" w:eastAsia="Times New Roman" w:hAnsiTheme="majorHAnsi" w:cstheme="majorHAnsi"/>
          <w:szCs w:val="20"/>
          <w:lang w:eastAsia="el-GR"/>
        </w:rPr>
        <w:t xml:space="preserve"> кумулативн</w:t>
      </w:r>
      <w:r w:rsidR="00EA2517" w:rsidRPr="00FF386D">
        <w:rPr>
          <w:rFonts w:asciiTheme="majorHAnsi" w:eastAsia="Times New Roman" w:hAnsiTheme="majorHAnsi" w:cstheme="majorHAnsi"/>
          <w:szCs w:val="20"/>
          <w:lang w:eastAsia="el-GR"/>
        </w:rPr>
        <w:t>е</w:t>
      </w:r>
      <w:r w:rsidRPr="00FF386D">
        <w:rPr>
          <w:rFonts w:asciiTheme="majorHAnsi" w:eastAsia="Times New Roman" w:hAnsiTheme="majorHAnsi" w:cstheme="majorHAnsi"/>
          <w:szCs w:val="20"/>
          <w:lang w:eastAsia="el-GR"/>
        </w:rPr>
        <w:t xml:space="preserve"> уштед</w:t>
      </w:r>
      <w:r w:rsidR="00EA2517" w:rsidRPr="00FF386D">
        <w:rPr>
          <w:rFonts w:asciiTheme="majorHAnsi" w:eastAsia="Times New Roman" w:hAnsiTheme="majorHAnsi" w:cstheme="majorHAnsi"/>
          <w:szCs w:val="20"/>
          <w:lang w:eastAsia="el-GR"/>
        </w:rPr>
        <w:t>е</w:t>
      </w:r>
      <w:r w:rsidRPr="00FF386D">
        <w:rPr>
          <w:rFonts w:asciiTheme="majorHAnsi" w:eastAsia="Times New Roman" w:hAnsiTheme="majorHAnsi" w:cstheme="majorHAnsi"/>
          <w:szCs w:val="20"/>
          <w:lang w:eastAsia="el-GR"/>
        </w:rPr>
        <w:t xml:space="preserve"> у </w:t>
      </w:r>
      <w:r w:rsidR="00EA2517" w:rsidRPr="00FF386D">
        <w:rPr>
          <w:rFonts w:asciiTheme="majorHAnsi" w:eastAsia="Times New Roman" w:hAnsiTheme="majorHAnsi" w:cstheme="majorHAnsi"/>
          <w:szCs w:val="20"/>
          <w:lang w:eastAsia="el-GR"/>
        </w:rPr>
        <w:t>финалној</w:t>
      </w:r>
      <w:r w:rsidRPr="00FF386D">
        <w:rPr>
          <w:rFonts w:asciiTheme="majorHAnsi" w:eastAsia="Times New Roman" w:hAnsiTheme="majorHAnsi" w:cstheme="majorHAnsi"/>
          <w:szCs w:val="20"/>
          <w:lang w:eastAsia="el-GR"/>
        </w:rPr>
        <w:t xml:space="preserve"> потрошњи. Важно је поставити индикативне кључне кораке за дугорочну обнову националног фонда стамбених и нестамбених зграда како јавних</w:t>
      </w:r>
      <w:r w:rsidR="00471CEF">
        <w:rPr>
          <w:rFonts w:asciiTheme="majorHAnsi" w:eastAsia="Times New Roman" w:hAnsiTheme="majorHAnsi" w:cstheme="majorHAnsi"/>
          <w:szCs w:val="20"/>
          <w:lang w:eastAsia="el-GR"/>
        </w:rPr>
        <w:t>,</w:t>
      </w:r>
      <w:r w:rsidRPr="00FF386D">
        <w:rPr>
          <w:rFonts w:asciiTheme="majorHAnsi" w:eastAsia="Times New Roman" w:hAnsiTheme="majorHAnsi" w:cstheme="majorHAnsi"/>
          <w:szCs w:val="20"/>
          <w:lang w:eastAsia="el-GR"/>
        </w:rPr>
        <w:t xml:space="preserve"> тако и приватних, мапу пута са утврђеним мерљивим индикаторима напретка</w:t>
      </w:r>
      <w:r w:rsidR="0048160A" w:rsidRPr="00FF386D">
        <w:rPr>
          <w:rFonts w:asciiTheme="majorHAnsi" w:eastAsia="Times New Roman" w:hAnsiTheme="majorHAnsi" w:cstheme="majorHAnsi"/>
          <w:szCs w:val="20"/>
          <w:lang w:eastAsia="el-GR"/>
        </w:rPr>
        <w:t xml:space="preserve"> на националном нивоу</w:t>
      </w:r>
      <w:r w:rsidRPr="00FF386D">
        <w:rPr>
          <w:rFonts w:asciiTheme="majorHAnsi" w:eastAsia="Times New Roman" w:hAnsiTheme="majorHAnsi" w:cstheme="majorHAnsi"/>
          <w:szCs w:val="20"/>
          <w:lang w:eastAsia="el-GR"/>
        </w:rPr>
        <w:t>, процену очекиване уштеде енергије</w:t>
      </w:r>
      <w:r w:rsidR="0048160A" w:rsidRPr="00FF386D">
        <w:rPr>
          <w:rFonts w:asciiTheme="majorHAnsi" w:eastAsia="Times New Roman" w:hAnsiTheme="majorHAnsi" w:cstheme="majorHAnsi"/>
          <w:szCs w:val="20"/>
          <w:lang w:eastAsia="el-GR"/>
        </w:rPr>
        <w:t xml:space="preserve"> </w:t>
      </w:r>
      <w:r w:rsidR="009D7D68">
        <w:rPr>
          <w:rFonts w:asciiTheme="majorHAnsi" w:eastAsia="Times New Roman" w:hAnsiTheme="majorHAnsi" w:cstheme="majorHAnsi"/>
          <w:szCs w:val="20"/>
          <w:lang w:eastAsia="el-GR"/>
        </w:rPr>
        <w:t xml:space="preserve">и ширих користи </w:t>
      </w:r>
      <w:r w:rsidR="0048160A" w:rsidRPr="00FF386D">
        <w:rPr>
          <w:rFonts w:asciiTheme="majorHAnsi" w:eastAsia="Times New Roman" w:hAnsiTheme="majorHAnsi" w:cstheme="majorHAnsi"/>
          <w:szCs w:val="20"/>
          <w:lang w:eastAsia="el-GR"/>
        </w:rPr>
        <w:t xml:space="preserve">која </w:t>
      </w:r>
      <w:r w:rsidR="00471CEF">
        <w:rPr>
          <w:rFonts w:asciiTheme="majorHAnsi" w:eastAsia="Times New Roman" w:hAnsiTheme="majorHAnsi" w:cstheme="majorHAnsi"/>
          <w:szCs w:val="20"/>
          <w:lang w:eastAsia="el-GR"/>
        </w:rPr>
        <w:t xml:space="preserve">је </w:t>
      </w:r>
      <w:r w:rsidRPr="00FF386D">
        <w:rPr>
          <w:rFonts w:asciiTheme="majorHAnsi" w:eastAsia="Times New Roman" w:hAnsiTheme="majorHAnsi" w:cstheme="majorHAnsi"/>
          <w:szCs w:val="20"/>
          <w:lang w:eastAsia="el-GR"/>
        </w:rPr>
        <w:t>утемељен</w:t>
      </w:r>
      <w:r w:rsidR="0048160A" w:rsidRPr="00FF386D">
        <w:rPr>
          <w:rFonts w:asciiTheme="majorHAnsi" w:eastAsia="Times New Roman" w:hAnsiTheme="majorHAnsi" w:cstheme="majorHAnsi"/>
          <w:szCs w:val="20"/>
          <w:lang w:eastAsia="el-GR"/>
        </w:rPr>
        <w:t>а</w:t>
      </w:r>
      <w:r w:rsidRPr="00FF386D">
        <w:rPr>
          <w:rFonts w:asciiTheme="majorHAnsi" w:eastAsia="Times New Roman" w:hAnsiTheme="majorHAnsi" w:cstheme="majorHAnsi"/>
          <w:szCs w:val="20"/>
          <w:lang w:eastAsia="el-GR"/>
        </w:rPr>
        <w:t xml:space="preserve"> на чињеницама, као и укупну површину која ће се санирати или еквивалентну годишњу уштеду енергије у складу са дугорочном стратегијом обнове националног фонда стамбених и нестамбених зграда.</w:t>
      </w:r>
    </w:p>
    <w:p w14:paraId="2546504C" w14:textId="35ED2E79" w:rsidR="00EB3C75" w:rsidRPr="00FF386D" w:rsidRDefault="00EB3C75" w:rsidP="00EB3C75">
      <w:pPr>
        <w:widowControl w:val="0"/>
        <w:spacing w:after="120" w:line="240" w:lineRule="auto"/>
        <w:jc w:val="both"/>
        <w:rPr>
          <w:rFonts w:asciiTheme="majorHAnsi" w:eastAsia="Times New Roman" w:hAnsiTheme="majorHAnsi" w:cstheme="majorHAnsi"/>
          <w:szCs w:val="20"/>
          <w:lang w:eastAsia="el-GR"/>
        </w:rPr>
      </w:pPr>
      <w:r w:rsidRPr="00FF386D">
        <w:rPr>
          <w:rFonts w:asciiTheme="majorHAnsi" w:eastAsia="Times New Roman" w:hAnsiTheme="majorHAnsi" w:cstheme="majorHAnsi"/>
          <w:szCs w:val="20"/>
          <w:lang w:eastAsia="el-GR"/>
        </w:rPr>
        <w:t xml:space="preserve">У грађевинском сектору ће се </w:t>
      </w:r>
      <w:r w:rsidR="0048160A" w:rsidRPr="00FF386D">
        <w:rPr>
          <w:rFonts w:asciiTheme="majorHAnsi" w:eastAsia="Times New Roman" w:hAnsiTheme="majorHAnsi" w:cstheme="majorHAnsi"/>
          <w:szCs w:val="20"/>
          <w:lang w:eastAsia="el-GR"/>
        </w:rPr>
        <w:t>спроводити</w:t>
      </w:r>
      <w:r w:rsidRPr="00FF386D">
        <w:rPr>
          <w:rFonts w:asciiTheme="majorHAnsi" w:eastAsia="Times New Roman" w:hAnsiTheme="majorHAnsi" w:cstheme="majorHAnsi"/>
          <w:szCs w:val="20"/>
          <w:lang w:eastAsia="el-GR"/>
        </w:rPr>
        <w:t xml:space="preserve"> добро </w:t>
      </w:r>
      <w:r w:rsidR="0057651A" w:rsidRPr="00FF386D">
        <w:rPr>
          <w:rFonts w:asciiTheme="majorHAnsi" w:eastAsia="Times New Roman" w:hAnsiTheme="majorHAnsi" w:cstheme="majorHAnsi"/>
          <w:szCs w:val="20"/>
          <w:lang w:eastAsia="el-GR"/>
        </w:rPr>
        <w:t>уравнотежена комбинација</w:t>
      </w:r>
      <w:r w:rsidRPr="00FF386D">
        <w:rPr>
          <w:rFonts w:asciiTheme="majorHAnsi" w:eastAsia="Times New Roman" w:hAnsiTheme="majorHAnsi" w:cstheme="majorHAnsi"/>
          <w:szCs w:val="20"/>
          <w:lang w:eastAsia="el-GR"/>
        </w:rPr>
        <w:t xml:space="preserve"> мера политике, финансијских, фискалних и регулаторних мера, како би се подржала енергетска санација зграда и остварила одређена стопа </w:t>
      </w:r>
      <w:r w:rsidR="0048160A" w:rsidRPr="00FF386D">
        <w:rPr>
          <w:rFonts w:asciiTheme="majorHAnsi" w:eastAsia="Times New Roman" w:hAnsiTheme="majorHAnsi" w:cstheme="majorHAnsi"/>
          <w:szCs w:val="20"/>
          <w:lang w:eastAsia="el-GR"/>
        </w:rPr>
        <w:t>обнове</w:t>
      </w:r>
      <w:r w:rsidRPr="00FF386D">
        <w:rPr>
          <w:rFonts w:asciiTheme="majorHAnsi" w:eastAsia="Times New Roman" w:hAnsiTheme="majorHAnsi" w:cstheme="majorHAnsi"/>
          <w:szCs w:val="20"/>
          <w:lang w:eastAsia="el-GR"/>
        </w:rPr>
        <w:t>. Потребно је обезбедити финансијску подршку за подстицање енергетске санације стамбених и нестамбених зграда. Поред тога, биће п</w:t>
      </w:r>
      <w:r w:rsidR="0057651A" w:rsidRPr="00FF386D">
        <w:rPr>
          <w:rFonts w:asciiTheme="majorHAnsi" w:eastAsia="Times New Roman" w:hAnsiTheme="majorHAnsi" w:cstheme="majorHAnsi"/>
          <w:szCs w:val="20"/>
          <w:lang w:eastAsia="el-GR"/>
        </w:rPr>
        <w:t>одстицане</w:t>
      </w:r>
      <w:r w:rsidRPr="00FF386D">
        <w:rPr>
          <w:rFonts w:asciiTheme="majorHAnsi" w:eastAsia="Times New Roman" w:hAnsiTheme="majorHAnsi" w:cstheme="majorHAnsi"/>
          <w:szCs w:val="20"/>
          <w:lang w:eastAsia="el-GR"/>
        </w:rPr>
        <w:t xml:space="preserve"> најекономичније индивидуалне технологије грејања и хлађења применом посебних инструмената. У случају нестамбених зграда, планирани програми ће се фокусирати на мере унапређења енергетске ефикасности узимајући у обзир њихов потенцијал за уштеду енергије и економске ефекте.</w:t>
      </w:r>
      <w:r w:rsidR="00A25CFE" w:rsidRPr="00FF386D">
        <w:rPr>
          <w:rFonts w:asciiTheme="majorHAnsi" w:eastAsia="Times New Roman" w:hAnsiTheme="majorHAnsi" w:cstheme="majorHAnsi"/>
          <w:szCs w:val="20"/>
          <w:lang w:eastAsia="el-GR"/>
        </w:rPr>
        <w:t xml:space="preserve"> У сектору саобраћаја главни инструмент подршке биће обезбеђивање пореских олакшица за куповину енергетских ефикасних возила у путничком и теретном саобраћају, као и проширење инфраструктуре јавног превоза и инфраструктуре за врсте алтернативних горива</w:t>
      </w:r>
      <w:r w:rsidR="00CC0DE1">
        <w:rPr>
          <w:rFonts w:asciiTheme="majorHAnsi" w:eastAsia="Times New Roman" w:hAnsiTheme="majorHAnsi" w:cstheme="majorHAnsi"/>
          <w:szCs w:val="20"/>
          <w:lang w:val="sr-Latn-RS" w:eastAsia="el-GR"/>
        </w:rPr>
        <w:t xml:space="preserve"> </w:t>
      </w:r>
      <w:r w:rsidR="00CC0DE1">
        <w:rPr>
          <w:rFonts w:asciiTheme="majorHAnsi" w:eastAsia="Times New Roman" w:hAnsiTheme="majorHAnsi" w:cstheme="majorHAnsi"/>
          <w:szCs w:val="20"/>
          <w:lang w:eastAsia="el-GR"/>
        </w:rPr>
        <w:t>која се промовишу</w:t>
      </w:r>
      <w:r w:rsidR="00A25CFE" w:rsidRPr="00FF386D">
        <w:rPr>
          <w:rFonts w:asciiTheme="majorHAnsi" w:eastAsia="Times New Roman" w:hAnsiTheme="majorHAnsi" w:cstheme="majorHAnsi"/>
          <w:szCs w:val="20"/>
          <w:lang w:eastAsia="el-GR"/>
        </w:rPr>
        <w:t xml:space="preserve">. </w:t>
      </w:r>
      <w:r w:rsidR="00E866D1" w:rsidRPr="00FF386D">
        <w:rPr>
          <w:rFonts w:asciiTheme="majorHAnsi" w:eastAsia="Times New Roman" w:hAnsiTheme="majorHAnsi" w:cstheme="majorHAnsi"/>
          <w:szCs w:val="20"/>
          <w:lang w:eastAsia="el-GR"/>
        </w:rPr>
        <w:t xml:space="preserve">Пројекти енергетске ефикасности у </w:t>
      </w:r>
      <w:r w:rsidR="00E866D1" w:rsidRPr="00FF386D">
        <w:rPr>
          <w:rFonts w:asciiTheme="majorHAnsi" w:eastAsia="Times New Roman" w:hAnsiTheme="majorHAnsi" w:cstheme="majorHAnsi"/>
          <w:szCs w:val="20"/>
          <w:lang w:eastAsia="el-GR"/>
        </w:rPr>
        <w:lastRenderedPageBreak/>
        <w:t xml:space="preserve">индустријском сектору спроводиће се кроз циљане </w:t>
      </w:r>
      <w:r w:rsidR="006936F6" w:rsidRPr="00FF386D">
        <w:rPr>
          <w:rFonts w:asciiTheme="majorHAnsi" w:eastAsia="Times New Roman" w:hAnsiTheme="majorHAnsi" w:cstheme="majorHAnsi"/>
          <w:szCs w:val="20"/>
          <w:lang w:eastAsia="el-GR"/>
        </w:rPr>
        <w:t xml:space="preserve">шеме </w:t>
      </w:r>
      <w:r w:rsidR="00E866D1" w:rsidRPr="00FF386D">
        <w:rPr>
          <w:rFonts w:asciiTheme="majorHAnsi" w:eastAsia="Times New Roman" w:hAnsiTheme="majorHAnsi" w:cstheme="majorHAnsi"/>
          <w:szCs w:val="20"/>
          <w:lang w:eastAsia="el-GR"/>
        </w:rPr>
        <w:t xml:space="preserve">подршке </w:t>
      </w:r>
      <w:r w:rsidR="006936F6" w:rsidRPr="00FF386D">
        <w:rPr>
          <w:rFonts w:asciiTheme="majorHAnsi" w:eastAsia="Times New Roman" w:hAnsiTheme="majorHAnsi" w:cstheme="majorHAnsi"/>
          <w:szCs w:val="20"/>
          <w:lang w:eastAsia="el-GR"/>
        </w:rPr>
        <w:t>п</w:t>
      </w:r>
      <w:r w:rsidR="00CC0DE1">
        <w:rPr>
          <w:rFonts w:asciiTheme="majorHAnsi" w:eastAsia="Times New Roman" w:hAnsiTheme="majorHAnsi" w:cstheme="majorHAnsi"/>
          <w:szCs w:val="20"/>
          <w:lang w:eastAsia="el-GR"/>
        </w:rPr>
        <w:t>утем</w:t>
      </w:r>
      <w:r w:rsidR="00E866D1" w:rsidRPr="00FF386D">
        <w:rPr>
          <w:rFonts w:asciiTheme="majorHAnsi" w:eastAsia="Times New Roman" w:hAnsiTheme="majorHAnsi" w:cstheme="majorHAnsi"/>
          <w:szCs w:val="20"/>
          <w:lang w:eastAsia="el-GR"/>
        </w:rPr>
        <w:t xml:space="preserve"> различит</w:t>
      </w:r>
      <w:r w:rsidR="006936F6" w:rsidRPr="00FF386D">
        <w:rPr>
          <w:rFonts w:asciiTheme="majorHAnsi" w:eastAsia="Times New Roman" w:hAnsiTheme="majorHAnsi" w:cstheme="majorHAnsi"/>
          <w:szCs w:val="20"/>
          <w:lang w:eastAsia="el-GR"/>
        </w:rPr>
        <w:t>их</w:t>
      </w:r>
      <w:r w:rsidR="00E866D1" w:rsidRPr="00FF386D">
        <w:rPr>
          <w:rFonts w:asciiTheme="majorHAnsi" w:eastAsia="Times New Roman" w:hAnsiTheme="majorHAnsi" w:cstheme="majorHAnsi"/>
          <w:szCs w:val="20"/>
          <w:lang w:eastAsia="el-GR"/>
        </w:rPr>
        <w:t xml:space="preserve"> финансијск</w:t>
      </w:r>
      <w:r w:rsidR="006936F6" w:rsidRPr="00FF386D">
        <w:rPr>
          <w:rFonts w:asciiTheme="majorHAnsi" w:eastAsia="Times New Roman" w:hAnsiTheme="majorHAnsi" w:cstheme="majorHAnsi"/>
          <w:szCs w:val="20"/>
          <w:lang w:eastAsia="el-GR"/>
        </w:rPr>
        <w:t>их</w:t>
      </w:r>
      <w:r w:rsidR="00E866D1" w:rsidRPr="00FF386D">
        <w:rPr>
          <w:rFonts w:asciiTheme="majorHAnsi" w:eastAsia="Times New Roman" w:hAnsiTheme="majorHAnsi" w:cstheme="majorHAnsi"/>
          <w:szCs w:val="20"/>
          <w:lang w:eastAsia="el-GR"/>
        </w:rPr>
        <w:t xml:space="preserve"> и фискалн</w:t>
      </w:r>
      <w:r w:rsidR="006936F6" w:rsidRPr="00FF386D">
        <w:rPr>
          <w:rFonts w:asciiTheme="majorHAnsi" w:eastAsia="Times New Roman" w:hAnsiTheme="majorHAnsi" w:cstheme="majorHAnsi"/>
          <w:szCs w:val="20"/>
          <w:lang w:eastAsia="el-GR"/>
        </w:rPr>
        <w:t>их</w:t>
      </w:r>
      <w:r w:rsidR="00E866D1" w:rsidRPr="00FF386D">
        <w:rPr>
          <w:rFonts w:asciiTheme="majorHAnsi" w:eastAsia="Times New Roman" w:hAnsiTheme="majorHAnsi" w:cstheme="majorHAnsi"/>
          <w:szCs w:val="20"/>
          <w:lang w:eastAsia="el-GR"/>
        </w:rPr>
        <w:t xml:space="preserve"> инструмен</w:t>
      </w:r>
      <w:r w:rsidR="006936F6" w:rsidRPr="00FF386D">
        <w:rPr>
          <w:rFonts w:asciiTheme="majorHAnsi" w:eastAsia="Times New Roman" w:hAnsiTheme="majorHAnsi" w:cstheme="majorHAnsi"/>
          <w:szCs w:val="20"/>
          <w:lang w:eastAsia="el-GR"/>
        </w:rPr>
        <w:t>а</w:t>
      </w:r>
      <w:r w:rsidR="00E866D1" w:rsidRPr="00FF386D">
        <w:rPr>
          <w:rFonts w:asciiTheme="majorHAnsi" w:eastAsia="Times New Roman" w:hAnsiTheme="majorHAnsi" w:cstheme="majorHAnsi"/>
          <w:szCs w:val="20"/>
          <w:lang w:eastAsia="el-GR"/>
        </w:rPr>
        <w:t>т</w:t>
      </w:r>
      <w:r w:rsidR="006936F6" w:rsidRPr="00FF386D">
        <w:rPr>
          <w:rFonts w:asciiTheme="majorHAnsi" w:eastAsia="Times New Roman" w:hAnsiTheme="majorHAnsi" w:cstheme="majorHAnsi"/>
          <w:szCs w:val="20"/>
          <w:lang w:eastAsia="el-GR"/>
        </w:rPr>
        <w:t>а</w:t>
      </w:r>
      <w:r w:rsidR="00E866D1" w:rsidRPr="00FF386D">
        <w:rPr>
          <w:rFonts w:asciiTheme="majorHAnsi" w:eastAsia="Times New Roman" w:hAnsiTheme="majorHAnsi" w:cstheme="majorHAnsi"/>
          <w:szCs w:val="20"/>
          <w:lang w:eastAsia="el-GR"/>
        </w:rPr>
        <w:t xml:space="preserve">, применом најбољих доступних технологија и </w:t>
      </w:r>
      <w:r w:rsidR="006936F6" w:rsidRPr="00FF386D">
        <w:rPr>
          <w:rFonts w:asciiTheme="majorHAnsi" w:eastAsia="Times New Roman" w:hAnsiTheme="majorHAnsi" w:cstheme="majorHAnsi"/>
          <w:szCs w:val="20"/>
          <w:lang w:eastAsia="el-GR"/>
        </w:rPr>
        <w:t>успостављање</w:t>
      </w:r>
      <w:r w:rsidR="005E0E3B" w:rsidRPr="00FF386D">
        <w:rPr>
          <w:rFonts w:asciiTheme="majorHAnsi" w:eastAsia="Times New Roman" w:hAnsiTheme="majorHAnsi" w:cstheme="majorHAnsi"/>
          <w:szCs w:val="20"/>
          <w:lang w:eastAsia="el-GR"/>
        </w:rPr>
        <w:t>м</w:t>
      </w:r>
      <w:r w:rsidR="006936F6" w:rsidRPr="00FF386D">
        <w:rPr>
          <w:rFonts w:asciiTheme="majorHAnsi" w:eastAsia="Times New Roman" w:hAnsiTheme="majorHAnsi" w:cstheme="majorHAnsi"/>
          <w:szCs w:val="20"/>
          <w:lang w:eastAsia="el-GR"/>
        </w:rPr>
        <w:t xml:space="preserve"> </w:t>
      </w:r>
      <w:r w:rsidR="005E0E3B" w:rsidRPr="00FF386D">
        <w:rPr>
          <w:rFonts w:asciiTheme="majorHAnsi" w:eastAsia="Times New Roman" w:hAnsiTheme="majorHAnsi" w:cstheme="majorHAnsi"/>
          <w:szCs w:val="20"/>
          <w:lang w:eastAsia="el-GR"/>
        </w:rPr>
        <w:t xml:space="preserve">енергетски ефикасних </w:t>
      </w:r>
      <w:r w:rsidR="006936F6" w:rsidRPr="00FF386D">
        <w:rPr>
          <w:rFonts w:asciiTheme="majorHAnsi" w:eastAsia="Times New Roman" w:hAnsiTheme="majorHAnsi" w:cstheme="majorHAnsi"/>
          <w:szCs w:val="20"/>
          <w:lang w:eastAsia="el-GR"/>
        </w:rPr>
        <w:t>индустријско-пословних зона. Специјализовани финансијски подстицаји биће примењ</w:t>
      </w:r>
      <w:r w:rsidR="00CC0DE1">
        <w:rPr>
          <w:rFonts w:asciiTheme="majorHAnsi" w:eastAsia="Times New Roman" w:hAnsiTheme="majorHAnsi" w:cstheme="majorHAnsi"/>
          <w:szCs w:val="20"/>
          <w:lang w:eastAsia="el-GR"/>
        </w:rPr>
        <w:t>ивани</w:t>
      </w:r>
      <w:r w:rsidR="006936F6" w:rsidRPr="00FF386D">
        <w:rPr>
          <w:rFonts w:asciiTheme="majorHAnsi" w:eastAsia="Times New Roman" w:hAnsiTheme="majorHAnsi" w:cstheme="majorHAnsi"/>
          <w:szCs w:val="20"/>
          <w:lang w:eastAsia="el-GR"/>
        </w:rPr>
        <w:t xml:space="preserve"> у сектору пољопривреде за унапређење енергетске ефикасности пољопривредних машина и инфраструктуре, промовисање производње и експлоатациј</w:t>
      </w:r>
      <w:r w:rsidR="00CC0DE1">
        <w:rPr>
          <w:rFonts w:asciiTheme="majorHAnsi" w:eastAsia="Times New Roman" w:hAnsiTheme="majorHAnsi" w:cstheme="majorHAnsi"/>
          <w:szCs w:val="20"/>
          <w:lang w:eastAsia="el-GR"/>
        </w:rPr>
        <w:t>у</w:t>
      </w:r>
      <w:r w:rsidR="006936F6" w:rsidRPr="00FF386D">
        <w:rPr>
          <w:rFonts w:asciiTheme="majorHAnsi" w:eastAsia="Times New Roman" w:hAnsiTheme="majorHAnsi" w:cstheme="majorHAnsi"/>
          <w:szCs w:val="20"/>
          <w:lang w:eastAsia="el-GR"/>
        </w:rPr>
        <w:t xml:space="preserve"> биомасе </w:t>
      </w:r>
      <w:r w:rsidR="005E0E3B" w:rsidRPr="00FF386D">
        <w:rPr>
          <w:rFonts w:asciiTheme="majorHAnsi" w:eastAsia="Times New Roman" w:hAnsiTheme="majorHAnsi" w:cstheme="majorHAnsi"/>
          <w:szCs w:val="20"/>
          <w:lang w:eastAsia="el-GR"/>
        </w:rPr>
        <w:t xml:space="preserve">и других ОИЕ, </w:t>
      </w:r>
      <w:r w:rsidR="006936F6" w:rsidRPr="00FF386D">
        <w:rPr>
          <w:rFonts w:asciiTheme="majorHAnsi" w:eastAsia="Times New Roman" w:hAnsiTheme="majorHAnsi" w:cstheme="majorHAnsi"/>
          <w:szCs w:val="20"/>
          <w:lang w:eastAsia="el-GR"/>
        </w:rPr>
        <w:t>и пружање саветодавних услуга</w:t>
      </w:r>
      <w:r w:rsidR="005E0E3B" w:rsidRPr="00FF386D">
        <w:rPr>
          <w:rFonts w:asciiTheme="majorHAnsi" w:eastAsia="Times New Roman" w:hAnsiTheme="majorHAnsi" w:cstheme="majorHAnsi"/>
          <w:szCs w:val="20"/>
          <w:lang w:eastAsia="el-GR"/>
        </w:rPr>
        <w:t xml:space="preserve"> пољопривредницима</w:t>
      </w:r>
      <w:r w:rsidR="006936F6" w:rsidRPr="00FF386D">
        <w:rPr>
          <w:rFonts w:asciiTheme="majorHAnsi" w:eastAsia="Times New Roman" w:hAnsiTheme="majorHAnsi" w:cstheme="majorHAnsi"/>
          <w:szCs w:val="20"/>
          <w:lang w:eastAsia="el-GR"/>
        </w:rPr>
        <w:t>.</w:t>
      </w:r>
    </w:p>
    <w:p w14:paraId="15834356" w14:textId="7C1B944B" w:rsidR="00EB3C75" w:rsidRPr="00C312D6" w:rsidRDefault="00EB3C75" w:rsidP="00EB3C75">
      <w:pPr>
        <w:widowControl w:val="0"/>
        <w:spacing w:after="120" w:line="240" w:lineRule="auto"/>
        <w:jc w:val="both"/>
        <w:rPr>
          <w:rFonts w:asciiTheme="majorHAnsi" w:eastAsia="Times New Roman" w:hAnsiTheme="majorHAnsi" w:cstheme="majorHAnsi"/>
          <w:szCs w:val="20"/>
          <w:lang w:eastAsia="el-GR"/>
        </w:rPr>
      </w:pPr>
      <w:r w:rsidRPr="00FF386D">
        <w:rPr>
          <w:rFonts w:asciiTheme="majorHAnsi" w:eastAsia="Times New Roman" w:hAnsiTheme="majorHAnsi" w:cstheme="majorHAnsi"/>
          <w:szCs w:val="20"/>
          <w:lang w:eastAsia="el-GR"/>
        </w:rPr>
        <w:t xml:space="preserve">Димензија </w:t>
      </w:r>
      <w:r w:rsidRPr="00FF386D">
        <w:rPr>
          <w:rFonts w:asciiTheme="majorHAnsi" w:eastAsia="Times New Roman" w:hAnsiTheme="majorHAnsi" w:cstheme="majorHAnsi"/>
          <w:b/>
          <w:bCs/>
          <w:szCs w:val="20"/>
          <w:lang w:eastAsia="el-GR"/>
        </w:rPr>
        <w:t>енергетске сигурности</w:t>
      </w:r>
      <w:r w:rsidRPr="00FF386D">
        <w:rPr>
          <w:rFonts w:asciiTheme="majorHAnsi" w:eastAsia="Times New Roman" w:hAnsiTheme="majorHAnsi" w:cstheme="majorHAnsi"/>
          <w:szCs w:val="20"/>
          <w:lang w:eastAsia="el-GR"/>
        </w:rPr>
        <w:t xml:space="preserve"> настоји да дефинише националне циљеве који се тичу повећања диверсификације извора енергије и снабдевања из трећих земаља, с циљем да се смањи зависности од увоза енергије, повећа флексибилности националног енергетског система и </w:t>
      </w:r>
      <w:r w:rsidR="0048160A" w:rsidRPr="00FF386D">
        <w:rPr>
          <w:rFonts w:asciiTheme="majorHAnsi" w:eastAsia="Times New Roman" w:hAnsiTheme="majorHAnsi" w:cstheme="majorHAnsi"/>
          <w:szCs w:val="20"/>
          <w:lang w:eastAsia="el-GR"/>
        </w:rPr>
        <w:t>реше</w:t>
      </w:r>
      <w:r w:rsidRPr="00FF386D">
        <w:rPr>
          <w:rFonts w:asciiTheme="majorHAnsi" w:eastAsia="Times New Roman" w:hAnsiTheme="majorHAnsi" w:cstheme="majorHAnsi"/>
          <w:szCs w:val="20"/>
          <w:lang w:eastAsia="el-GR"/>
        </w:rPr>
        <w:t xml:space="preserve"> питања ограниченог или прекинутог снабдевања</w:t>
      </w:r>
      <w:r w:rsidR="0048160A" w:rsidRPr="00FF386D">
        <w:rPr>
          <w:rFonts w:asciiTheme="majorHAnsi" w:eastAsia="Times New Roman" w:hAnsiTheme="majorHAnsi" w:cstheme="majorHAnsi"/>
          <w:szCs w:val="20"/>
          <w:lang w:eastAsia="el-GR"/>
        </w:rPr>
        <w:t xml:space="preserve"> енергије</w:t>
      </w:r>
      <w:r w:rsidRPr="00FF386D">
        <w:rPr>
          <w:rFonts w:asciiTheme="majorHAnsi" w:eastAsia="Times New Roman" w:hAnsiTheme="majorHAnsi" w:cstheme="majorHAnsi"/>
          <w:szCs w:val="20"/>
          <w:lang w:eastAsia="el-GR"/>
        </w:rPr>
        <w:t>, како би се побољшала отпорност регионалних и националних енергетских система. На основу постојећег стања, диверсификација извора снабдевања природним гасом је од највеће важности. Још једна компонента је</w:t>
      </w:r>
      <w:r w:rsidR="0057651A" w:rsidRPr="00FF386D">
        <w:rPr>
          <w:rFonts w:asciiTheme="majorHAnsi" w:eastAsia="Times New Roman" w:hAnsiTheme="majorHAnsi" w:cstheme="majorHAnsi"/>
          <w:szCs w:val="20"/>
          <w:lang w:eastAsia="el-GR"/>
        </w:rPr>
        <w:t>сте</w:t>
      </w:r>
      <w:r w:rsidRPr="00FF386D">
        <w:rPr>
          <w:rFonts w:asciiTheme="majorHAnsi" w:eastAsia="Times New Roman" w:hAnsiTheme="majorHAnsi" w:cstheme="majorHAnsi"/>
          <w:szCs w:val="20"/>
          <w:lang w:eastAsia="el-GR"/>
        </w:rPr>
        <w:t xml:space="preserve"> унапређење постојећих капацитета складиштења или изградња нових капацитета. Диверсификација извора енергије се бави и другим димензијама као што су промовисање других опција за производњу, поред производње из ОИЕ, и обезбеђивање сигурности снабдевања </w:t>
      </w:r>
      <w:r w:rsidR="0057651A" w:rsidRPr="00FF386D">
        <w:rPr>
          <w:rFonts w:asciiTheme="majorHAnsi" w:eastAsia="Times New Roman" w:hAnsiTheme="majorHAnsi" w:cstheme="majorHAnsi"/>
          <w:szCs w:val="20"/>
          <w:lang w:eastAsia="el-GR"/>
        </w:rPr>
        <w:t>путем</w:t>
      </w:r>
      <w:r w:rsidRPr="00FF386D">
        <w:rPr>
          <w:rFonts w:asciiTheme="majorHAnsi" w:eastAsia="Times New Roman" w:hAnsiTheme="majorHAnsi" w:cstheme="majorHAnsi"/>
          <w:szCs w:val="20"/>
          <w:lang w:eastAsia="el-GR"/>
        </w:rPr>
        <w:t xml:space="preserve"> већ</w:t>
      </w:r>
      <w:r w:rsidR="0057651A" w:rsidRPr="00FF386D">
        <w:rPr>
          <w:rFonts w:asciiTheme="majorHAnsi" w:eastAsia="Times New Roman" w:hAnsiTheme="majorHAnsi" w:cstheme="majorHAnsi"/>
          <w:szCs w:val="20"/>
          <w:lang w:eastAsia="el-GR"/>
        </w:rPr>
        <w:t>ег</w:t>
      </w:r>
      <w:r w:rsidRPr="00FF386D">
        <w:rPr>
          <w:rFonts w:asciiTheme="majorHAnsi" w:eastAsia="Times New Roman" w:hAnsiTheme="majorHAnsi" w:cstheme="majorHAnsi"/>
          <w:szCs w:val="20"/>
          <w:lang w:eastAsia="el-GR"/>
        </w:rPr>
        <w:t xml:space="preserve"> степен</w:t>
      </w:r>
      <w:r w:rsidR="0057651A" w:rsidRPr="00FF386D">
        <w:rPr>
          <w:rFonts w:asciiTheme="majorHAnsi" w:eastAsia="Times New Roman" w:hAnsiTheme="majorHAnsi" w:cstheme="majorHAnsi"/>
          <w:szCs w:val="20"/>
          <w:lang w:eastAsia="el-GR"/>
        </w:rPr>
        <w:t>а</w:t>
      </w:r>
      <w:r w:rsidRPr="00FF386D">
        <w:rPr>
          <w:rFonts w:asciiTheme="majorHAnsi" w:eastAsia="Times New Roman" w:hAnsiTheme="majorHAnsi" w:cstheme="majorHAnsi"/>
          <w:szCs w:val="20"/>
          <w:lang w:eastAsia="el-GR"/>
        </w:rPr>
        <w:t xml:space="preserve"> </w:t>
      </w:r>
      <w:r w:rsidR="0003750D">
        <w:rPr>
          <w:rFonts w:asciiTheme="majorHAnsi" w:eastAsia="Times New Roman" w:hAnsiTheme="majorHAnsi" w:cstheme="majorHAnsi"/>
          <w:szCs w:val="20"/>
          <w:lang w:eastAsia="el-GR"/>
        </w:rPr>
        <w:t>регионалног повезивања</w:t>
      </w:r>
      <w:r w:rsidRPr="00FF386D">
        <w:rPr>
          <w:rFonts w:asciiTheme="majorHAnsi" w:eastAsia="Times New Roman" w:hAnsiTheme="majorHAnsi" w:cstheme="majorHAnsi"/>
          <w:szCs w:val="20"/>
          <w:lang w:eastAsia="el-GR"/>
        </w:rPr>
        <w:t xml:space="preserve"> и подстицање</w:t>
      </w:r>
      <w:r w:rsidR="0057651A" w:rsidRPr="00FF386D">
        <w:rPr>
          <w:rFonts w:asciiTheme="majorHAnsi" w:eastAsia="Times New Roman" w:hAnsiTheme="majorHAnsi" w:cstheme="majorHAnsi"/>
          <w:szCs w:val="20"/>
          <w:lang w:eastAsia="el-GR"/>
        </w:rPr>
        <w:t>м</w:t>
      </w:r>
      <w:r w:rsidRPr="00FF386D">
        <w:rPr>
          <w:rFonts w:asciiTheme="majorHAnsi" w:eastAsia="Times New Roman" w:hAnsiTheme="majorHAnsi" w:cstheme="majorHAnsi"/>
          <w:szCs w:val="20"/>
          <w:lang w:eastAsia="el-GR"/>
        </w:rPr>
        <w:t xml:space="preserve"> интеграције тржишта.</w:t>
      </w:r>
    </w:p>
    <w:p w14:paraId="67BAF7E8" w14:textId="4915014C" w:rsidR="00EB3C75" w:rsidRPr="00FF386D" w:rsidRDefault="0048160A" w:rsidP="00EB3C75">
      <w:pPr>
        <w:widowControl w:val="0"/>
        <w:spacing w:after="120" w:line="240" w:lineRule="auto"/>
        <w:jc w:val="both"/>
        <w:rPr>
          <w:rFonts w:asciiTheme="majorHAnsi" w:eastAsia="Times New Roman" w:hAnsiTheme="majorHAnsi" w:cstheme="majorHAnsi"/>
          <w:szCs w:val="20"/>
          <w:lang w:eastAsia="el-GR"/>
        </w:rPr>
      </w:pPr>
      <w:r w:rsidRPr="00FF386D">
        <w:rPr>
          <w:rFonts w:asciiTheme="majorHAnsi" w:eastAsia="Times New Roman" w:hAnsiTheme="majorHAnsi" w:cstheme="majorHAnsi"/>
          <w:szCs w:val="20"/>
          <w:lang w:eastAsia="el-GR"/>
        </w:rPr>
        <w:t>У погледу</w:t>
      </w:r>
      <w:r w:rsidR="00EB3C75" w:rsidRPr="00FF386D">
        <w:rPr>
          <w:rFonts w:asciiTheme="majorHAnsi" w:eastAsia="Times New Roman" w:hAnsiTheme="majorHAnsi" w:cstheme="majorHAnsi"/>
          <w:szCs w:val="20"/>
          <w:lang w:eastAsia="el-GR"/>
        </w:rPr>
        <w:t xml:space="preserve"> </w:t>
      </w:r>
      <w:r w:rsidR="00EB3C75" w:rsidRPr="00FF386D">
        <w:rPr>
          <w:rFonts w:asciiTheme="majorHAnsi" w:eastAsia="Times New Roman" w:hAnsiTheme="majorHAnsi" w:cstheme="majorHAnsi"/>
          <w:b/>
          <w:bCs/>
          <w:szCs w:val="20"/>
          <w:lang w:eastAsia="el-GR"/>
        </w:rPr>
        <w:t>унутрашњег енергетског тржишта</w:t>
      </w:r>
      <w:r w:rsidR="00EB3C75" w:rsidRPr="00FF386D">
        <w:rPr>
          <w:rFonts w:asciiTheme="majorHAnsi" w:eastAsia="Times New Roman" w:hAnsiTheme="majorHAnsi" w:cstheme="majorHAnsi"/>
          <w:szCs w:val="20"/>
          <w:lang w:eastAsia="el-GR"/>
        </w:rPr>
        <w:t xml:space="preserve">, Србија ће </w:t>
      </w:r>
      <w:r w:rsidRPr="00FF386D">
        <w:rPr>
          <w:rFonts w:asciiTheme="majorHAnsi" w:eastAsia="Times New Roman" w:hAnsiTheme="majorHAnsi" w:cstheme="majorHAnsi"/>
          <w:szCs w:val="20"/>
          <w:lang w:eastAsia="el-GR"/>
        </w:rPr>
        <w:t>настојати да оствари</w:t>
      </w:r>
      <w:r w:rsidR="00EB3C75" w:rsidRPr="00FF386D">
        <w:rPr>
          <w:rFonts w:asciiTheme="majorHAnsi" w:eastAsia="Times New Roman" w:hAnsiTheme="majorHAnsi" w:cstheme="majorHAnsi"/>
          <w:szCs w:val="20"/>
          <w:lang w:eastAsia="el-GR"/>
        </w:rPr>
        <w:t xml:space="preserve"> одређен</w:t>
      </w:r>
      <w:r w:rsidRPr="00FF386D">
        <w:rPr>
          <w:rFonts w:asciiTheme="majorHAnsi" w:eastAsia="Times New Roman" w:hAnsiTheme="majorHAnsi" w:cstheme="majorHAnsi"/>
          <w:szCs w:val="20"/>
          <w:lang w:eastAsia="el-GR"/>
        </w:rPr>
        <w:t>и</w:t>
      </w:r>
      <w:r w:rsidR="00EB3C75" w:rsidRPr="00FF386D">
        <w:rPr>
          <w:rFonts w:asciiTheme="majorHAnsi" w:eastAsia="Times New Roman" w:hAnsiTheme="majorHAnsi" w:cstheme="majorHAnsi"/>
          <w:szCs w:val="20"/>
          <w:lang w:eastAsia="el-GR"/>
        </w:rPr>
        <w:t xml:space="preserve"> ниво </w:t>
      </w:r>
      <w:r w:rsidR="0003750D">
        <w:rPr>
          <w:rFonts w:asciiTheme="majorHAnsi" w:eastAsia="Times New Roman" w:hAnsiTheme="majorHAnsi" w:cstheme="majorHAnsi"/>
          <w:szCs w:val="20"/>
          <w:lang w:eastAsia="el-GR"/>
        </w:rPr>
        <w:t>регионалног повезивања</w:t>
      </w:r>
      <w:r w:rsidR="00EB3C75" w:rsidRPr="00FF386D">
        <w:rPr>
          <w:rFonts w:asciiTheme="majorHAnsi" w:eastAsia="Times New Roman" w:hAnsiTheme="majorHAnsi" w:cstheme="majorHAnsi"/>
          <w:szCs w:val="20"/>
          <w:lang w:eastAsia="el-GR"/>
        </w:rPr>
        <w:t xml:space="preserve"> електроенергетског система, кључни</w:t>
      </w:r>
      <w:r w:rsidRPr="00FF386D">
        <w:rPr>
          <w:rFonts w:asciiTheme="majorHAnsi" w:eastAsia="Times New Roman" w:hAnsiTheme="majorHAnsi" w:cstheme="majorHAnsi"/>
          <w:szCs w:val="20"/>
          <w:lang w:eastAsia="el-GR"/>
        </w:rPr>
        <w:t>х</w:t>
      </w:r>
      <w:r w:rsidR="00EB3C75" w:rsidRPr="00FF386D">
        <w:rPr>
          <w:rFonts w:asciiTheme="majorHAnsi" w:eastAsia="Times New Roman" w:hAnsiTheme="majorHAnsi" w:cstheme="majorHAnsi"/>
          <w:szCs w:val="20"/>
          <w:lang w:eastAsia="el-GR"/>
        </w:rPr>
        <w:t xml:space="preserve"> инфраструктурни</w:t>
      </w:r>
      <w:r w:rsidRPr="00FF386D">
        <w:rPr>
          <w:rFonts w:asciiTheme="majorHAnsi" w:eastAsia="Times New Roman" w:hAnsiTheme="majorHAnsi" w:cstheme="majorHAnsi"/>
          <w:szCs w:val="20"/>
          <w:lang w:eastAsia="el-GR"/>
        </w:rPr>
        <w:t>х</w:t>
      </w:r>
      <w:r w:rsidR="00EB3C75" w:rsidRPr="00FF386D">
        <w:rPr>
          <w:rFonts w:asciiTheme="majorHAnsi" w:eastAsia="Times New Roman" w:hAnsiTheme="majorHAnsi" w:cstheme="majorHAnsi"/>
          <w:szCs w:val="20"/>
          <w:lang w:eastAsia="el-GR"/>
        </w:rPr>
        <w:t xml:space="preserve"> пројек</w:t>
      </w:r>
      <w:r w:rsidRPr="00FF386D">
        <w:rPr>
          <w:rFonts w:asciiTheme="majorHAnsi" w:eastAsia="Times New Roman" w:hAnsiTheme="majorHAnsi" w:cstheme="majorHAnsi"/>
          <w:szCs w:val="20"/>
          <w:lang w:eastAsia="el-GR"/>
        </w:rPr>
        <w:t>ата</w:t>
      </w:r>
      <w:r w:rsidR="00EB3C75" w:rsidRPr="00FF386D">
        <w:rPr>
          <w:rFonts w:asciiTheme="majorHAnsi" w:eastAsia="Times New Roman" w:hAnsiTheme="majorHAnsi" w:cstheme="majorHAnsi"/>
          <w:szCs w:val="20"/>
          <w:lang w:eastAsia="el-GR"/>
        </w:rPr>
        <w:t xml:space="preserve"> за пренос електричне енергије и транспорт</w:t>
      </w:r>
      <w:r w:rsidRPr="00FF386D">
        <w:rPr>
          <w:rFonts w:asciiTheme="majorHAnsi" w:eastAsia="Times New Roman" w:hAnsiTheme="majorHAnsi" w:cstheme="majorHAnsi"/>
          <w:szCs w:val="20"/>
          <w:lang w:eastAsia="el-GR"/>
        </w:rPr>
        <w:t>а</w:t>
      </w:r>
      <w:r w:rsidR="00EB3C75" w:rsidRPr="00FF386D">
        <w:rPr>
          <w:rFonts w:asciiTheme="majorHAnsi" w:eastAsia="Times New Roman" w:hAnsiTheme="majorHAnsi" w:cstheme="majorHAnsi"/>
          <w:szCs w:val="20"/>
          <w:lang w:eastAsia="el-GR"/>
        </w:rPr>
        <w:t xml:space="preserve"> гаса, пројек</w:t>
      </w:r>
      <w:r w:rsidR="00CC0DE1">
        <w:rPr>
          <w:rFonts w:asciiTheme="majorHAnsi" w:eastAsia="Times New Roman" w:hAnsiTheme="majorHAnsi" w:cstheme="majorHAnsi"/>
          <w:szCs w:val="20"/>
          <w:lang w:eastAsia="el-GR"/>
        </w:rPr>
        <w:t>а</w:t>
      </w:r>
      <w:r w:rsidR="00EB3C75" w:rsidRPr="00FF386D">
        <w:rPr>
          <w:rFonts w:asciiTheme="majorHAnsi" w:eastAsia="Times New Roman" w:hAnsiTheme="majorHAnsi" w:cstheme="majorHAnsi"/>
          <w:szCs w:val="20"/>
          <w:lang w:eastAsia="el-GR"/>
        </w:rPr>
        <w:t>т</w:t>
      </w:r>
      <w:r w:rsidRPr="00FF386D">
        <w:rPr>
          <w:rFonts w:asciiTheme="majorHAnsi" w:eastAsia="Times New Roman" w:hAnsiTheme="majorHAnsi" w:cstheme="majorHAnsi"/>
          <w:szCs w:val="20"/>
          <w:lang w:eastAsia="el-GR"/>
        </w:rPr>
        <w:t>а</w:t>
      </w:r>
      <w:r w:rsidR="00EB3C75" w:rsidRPr="00FF386D">
        <w:rPr>
          <w:rFonts w:asciiTheme="majorHAnsi" w:eastAsia="Times New Roman" w:hAnsiTheme="majorHAnsi" w:cstheme="majorHAnsi"/>
          <w:szCs w:val="20"/>
          <w:lang w:eastAsia="el-GR"/>
        </w:rPr>
        <w:t xml:space="preserve"> модернизације и </w:t>
      </w:r>
      <w:r w:rsidRPr="00FF386D">
        <w:rPr>
          <w:rFonts w:asciiTheme="majorHAnsi" w:eastAsia="Times New Roman" w:hAnsiTheme="majorHAnsi" w:cstheme="majorHAnsi"/>
          <w:szCs w:val="20"/>
          <w:lang w:eastAsia="el-GR"/>
        </w:rPr>
        <w:t>пројеката кључне инфраструктуре који су планирани</w:t>
      </w:r>
      <w:r w:rsidR="00EB3C75" w:rsidRPr="00FF386D">
        <w:rPr>
          <w:rFonts w:asciiTheme="majorHAnsi" w:eastAsia="Times New Roman" w:hAnsiTheme="majorHAnsi" w:cstheme="majorHAnsi"/>
          <w:szCs w:val="20"/>
          <w:lang w:eastAsia="el-GR"/>
        </w:rPr>
        <w:t>, поред Пројеката од заједничког интереса (</w:t>
      </w:r>
      <w:r w:rsidR="00EB3C75" w:rsidRPr="00FF386D">
        <w:rPr>
          <w:rFonts w:asciiTheme="majorHAnsi" w:eastAsia="Times New Roman" w:hAnsiTheme="majorHAnsi" w:cstheme="majorHAnsi"/>
          <w:i/>
          <w:szCs w:val="20"/>
          <w:lang w:eastAsia="el-GR"/>
        </w:rPr>
        <w:t>PCI)</w:t>
      </w:r>
      <w:r w:rsidR="00EB3C75" w:rsidRPr="00FF386D">
        <w:rPr>
          <w:rFonts w:asciiTheme="majorHAnsi" w:eastAsia="Times New Roman" w:hAnsiTheme="majorHAnsi" w:cstheme="majorHAnsi"/>
          <w:szCs w:val="20"/>
          <w:lang w:eastAsia="el-GR"/>
        </w:rPr>
        <w:t xml:space="preserve">. Поред тога, национални циљеви који се односе на друге аспекте унутрашњег тржишта енергије, као што су повећање флексибилности система, посебно у погледу </w:t>
      </w:r>
      <w:r w:rsidRPr="00FF386D">
        <w:rPr>
          <w:rFonts w:asciiTheme="majorHAnsi" w:eastAsia="Times New Roman" w:hAnsiTheme="majorHAnsi" w:cstheme="majorHAnsi"/>
          <w:szCs w:val="20"/>
          <w:lang w:eastAsia="el-GR"/>
        </w:rPr>
        <w:t>унапређења</w:t>
      </w:r>
      <w:r w:rsidR="00EB3C75" w:rsidRPr="00FF386D">
        <w:rPr>
          <w:rFonts w:asciiTheme="majorHAnsi" w:eastAsia="Times New Roman" w:hAnsiTheme="majorHAnsi" w:cstheme="majorHAnsi"/>
          <w:szCs w:val="20"/>
          <w:lang w:eastAsia="el-GR"/>
        </w:rPr>
        <w:t xml:space="preserve"> конкурент</w:t>
      </w:r>
      <w:r w:rsidRPr="00FF386D">
        <w:rPr>
          <w:rFonts w:asciiTheme="majorHAnsi" w:eastAsia="Times New Roman" w:hAnsiTheme="majorHAnsi" w:cstheme="majorHAnsi"/>
          <w:szCs w:val="20"/>
          <w:lang w:eastAsia="el-GR"/>
        </w:rPr>
        <w:t>ности утврђивања</w:t>
      </w:r>
      <w:r w:rsidR="00EB3C75" w:rsidRPr="00FF386D">
        <w:rPr>
          <w:rFonts w:asciiTheme="majorHAnsi" w:eastAsia="Times New Roman" w:hAnsiTheme="majorHAnsi" w:cstheme="majorHAnsi"/>
          <w:szCs w:val="20"/>
          <w:lang w:eastAsia="el-GR"/>
        </w:rPr>
        <w:t xml:space="preserve"> цена електричне енергије у складу са</w:t>
      </w:r>
      <w:r w:rsidRPr="00FF386D">
        <w:rPr>
          <w:rFonts w:asciiTheme="majorHAnsi" w:eastAsia="Times New Roman" w:hAnsiTheme="majorHAnsi" w:cstheme="majorHAnsi"/>
          <w:szCs w:val="20"/>
          <w:lang w:eastAsia="el-GR"/>
        </w:rPr>
        <w:t xml:space="preserve"> прописима који се примењују у оквиру сектора</w:t>
      </w:r>
      <w:r w:rsidR="00EB3C75" w:rsidRPr="00FF386D">
        <w:rPr>
          <w:rFonts w:asciiTheme="majorHAnsi" w:eastAsia="Times New Roman" w:hAnsiTheme="majorHAnsi" w:cstheme="majorHAnsi"/>
          <w:szCs w:val="20"/>
          <w:lang w:eastAsia="el-GR"/>
        </w:rPr>
        <w:t>, интеграција и спајања тржишта са циљем да се повећају капацитети постојећих интерконектора</w:t>
      </w:r>
      <w:r w:rsidRPr="00FF386D">
        <w:rPr>
          <w:rFonts w:asciiTheme="majorHAnsi" w:eastAsia="Times New Roman" w:hAnsiTheme="majorHAnsi" w:cstheme="majorHAnsi"/>
          <w:szCs w:val="20"/>
          <w:lang w:eastAsia="el-GR"/>
        </w:rPr>
        <w:t xml:space="preserve"> којима се тргује</w:t>
      </w:r>
      <w:r w:rsidR="00EB3C75" w:rsidRPr="00FF386D">
        <w:rPr>
          <w:rFonts w:asciiTheme="majorHAnsi" w:eastAsia="Times New Roman" w:hAnsiTheme="majorHAnsi" w:cstheme="majorHAnsi"/>
          <w:szCs w:val="20"/>
          <w:lang w:eastAsia="el-GR"/>
        </w:rPr>
        <w:t xml:space="preserve">, паметне мреже, </w:t>
      </w:r>
      <w:r w:rsidRPr="00FF386D">
        <w:rPr>
          <w:rFonts w:asciiTheme="majorHAnsi" w:eastAsia="Times New Roman" w:hAnsiTheme="majorHAnsi" w:cstheme="majorHAnsi"/>
          <w:szCs w:val="20"/>
          <w:lang w:eastAsia="el-GR"/>
        </w:rPr>
        <w:t>обједињавање</w:t>
      </w:r>
      <w:r w:rsidR="00EB3C75" w:rsidRPr="00FF386D">
        <w:rPr>
          <w:rFonts w:asciiTheme="majorHAnsi" w:eastAsia="Times New Roman" w:hAnsiTheme="majorHAnsi" w:cstheme="majorHAnsi"/>
          <w:szCs w:val="20"/>
          <w:lang w:eastAsia="el-GR"/>
        </w:rPr>
        <w:t xml:space="preserve">, одговор на потражњу, складиштење, дистрибуирана производња, механизми </w:t>
      </w:r>
      <w:r w:rsidR="00EB3C75" w:rsidRPr="00737672">
        <w:rPr>
          <w:rFonts w:asciiTheme="majorHAnsi" w:eastAsia="Times New Roman" w:hAnsiTheme="majorHAnsi" w:cstheme="majorHAnsi"/>
          <w:szCs w:val="20"/>
          <w:lang w:eastAsia="el-GR"/>
        </w:rPr>
        <w:t>за диспечи</w:t>
      </w:r>
      <w:r w:rsidRPr="00737672">
        <w:rPr>
          <w:rFonts w:asciiTheme="majorHAnsi" w:eastAsia="Times New Roman" w:hAnsiTheme="majorHAnsi" w:cstheme="majorHAnsi"/>
          <w:szCs w:val="20"/>
          <w:lang w:eastAsia="el-GR"/>
        </w:rPr>
        <w:t>рање</w:t>
      </w:r>
      <w:r w:rsidR="00EB3C75" w:rsidRPr="00737672">
        <w:rPr>
          <w:rFonts w:asciiTheme="majorHAnsi" w:eastAsia="Times New Roman" w:hAnsiTheme="majorHAnsi" w:cstheme="majorHAnsi"/>
          <w:szCs w:val="20"/>
          <w:lang w:eastAsia="el-GR"/>
        </w:rPr>
        <w:t>, редиспечи</w:t>
      </w:r>
      <w:r w:rsidRPr="00737672">
        <w:rPr>
          <w:rFonts w:asciiTheme="majorHAnsi" w:eastAsia="Times New Roman" w:hAnsiTheme="majorHAnsi" w:cstheme="majorHAnsi"/>
          <w:szCs w:val="20"/>
          <w:lang w:eastAsia="el-GR"/>
        </w:rPr>
        <w:t xml:space="preserve">рање </w:t>
      </w:r>
      <w:r w:rsidR="00EB3C75" w:rsidRPr="00737672">
        <w:rPr>
          <w:rFonts w:asciiTheme="majorHAnsi" w:eastAsia="Times New Roman" w:hAnsiTheme="majorHAnsi" w:cstheme="majorHAnsi"/>
          <w:szCs w:val="20"/>
          <w:lang w:eastAsia="el-GR"/>
        </w:rPr>
        <w:t>и</w:t>
      </w:r>
      <w:r w:rsidR="00EB3C75" w:rsidRPr="00FF386D">
        <w:rPr>
          <w:rFonts w:asciiTheme="majorHAnsi" w:eastAsia="Times New Roman" w:hAnsiTheme="majorHAnsi" w:cstheme="majorHAnsi"/>
          <w:szCs w:val="20"/>
          <w:lang w:eastAsia="el-GR"/>
        </w:rPr>
        <w:t xml:space="preserve"> огранич</w:t>
      </w:r>
      <w:r w:rsidRPr="00FF386D">
        <w:rPr>
          <w:rFonts w:asciiTheme="majorHAnsi" w:eastAsia="Times New Roman" w:hAnsiTheme="majorHAnsi" w:cstheme="majorHAnsi"/>
          <w:szCs w:val="20"/>
          <w:lang w:eastAsia="el-GR"/>
        </w:rPr>
        <w:t>авање производње</w:t>
      </w:r>
      <w:r w:rsidR="00EB3C75" w:rsidRPr="00FF386D">
        <w:rPr>
          <w:rFonts w:asciiTheme="majorHAnsi" w:eastAsia="Times New Roman" w:hAnsiTheme="majorHAnsi" w:cstheme="majorHAnsi"/>
          <w:szCs w:val="20"/>
          <w:lang w:eastAsia="el-GR"/>
        </w:rPr>
        <w:t xml:space="preserve"> и ценовни сигнали у реалном времену. Држава ће обезбедити остваривање националних циљева у погледу адекватности електроенергетског система, као и флексибилности енергетског система, интеграцијом производње из обновљивих извора енергије, уз одржавање ниског нивоа енергетског сиромаштва и развојем програма за угрожене </w:t>
      </w:r>
      <w:r w:rsidR="007E1F30">
        <w:rPr>
          <w:rFonts w:asciiTheme="majorHAnsi" w:eastAsia="Times New Roman" w:hAnsiTheme="majorHAnsi" w:cstheme="majorHAnsi"/>
          <w:szCs w:val="20"/>
          <w:lang w:eastAsia="el-GR"/>
        </w:rPr>
        <w:t>купц</w:t>
      </w:r>
      <w:r w:rsidR="00EB3C75" w:rsidRPr="00FF386D">
        <w:rPr>
          <w:rFonts w:asciiTheme="majorHAnsi" w:eastAsia="Times New Roman" w:hAnsiTheme="majorHAnsi" w:cstheme="majorHAnsi"/>
          <w:szCs w:val="20"/>
          <w:lang w:eastAsia="el-GR"/>
        </w:rPr>
        <w:t>е.</w:t>
      </w:r>
    </w:p>
    <w:p w14:paraId="0AC56BEE" w14:textId="759BFC3E" w:rsidR="00EB3C75" w:rsidRPr="00FF386D" w:rsidRDefault="00EB3C75" w:rsidP="00EB3C75">
      <w:pPr>
        <w:widowControl w:val="0"/>
        <w:spacing w:after="120" w:line="240" w:lineRule="auto"/>
        <w:jc w:val="both"/>
        <w:rPr>
          <w:rFonts w:asciiTheme="majorHAnsi" w:eastAsia="Times New Roman" w:hAnsiTheme="majorHAnsi" w:cstheme="majorHAnsi"/>
          <w:szCs w:val="20"/>
          <w:lang w:eastAsia="el-GR"/>
        </w:rPr>
      </w:pPr>
      <w:r w:rsidRPr="00FF386D">
        <w:rPr>
          <w:rFonts w:asciiTheme="majorHAnsi" w:eastAsia="Times New Roman" w:hAnsiTheme="majorHAnsi" w:cstheme="majorHAnsi"/>
          <w:szCs w:val="20"/>
          <w:lang w:eastAsia="el-GR"/>
        </w:rPr>
        <w:t xml:space="preserve">Што се тиче </w:t>
      </w:r>
      <w:r w:rsidRPr="00FF386D">
        <w:rPr>
          <w:rFonts w:asciiTheme="majorHAnsi" w:eastAsia="Times New Roman" w:hAnsiTheme="majorHAnsi" w:cstheme="majorHAnsi"/>
          <w:b/>
          <w:bCs/>
          <w:szCs w:val="20"/>
          <w:lang w:eastAsia="el-GR"/>
        </w:rPr>
        <w:t>димензије истраживања, иновације и конкурентности</w:t>
      </w:r>
      <w:r w:rsidRPr="00FF386D">
        <w:rPr>
          <w:rFonts w:asciiTheme="majorHAnsi" w:eastAsia="Times New Roman" w:hAnsiTheme="majorHAnsi" w:cstheme="majorHAnsi"/>
          <w:szCs w:val="20"/>
          <w:lang w:eastAsia="el-GR"/>
        </w:rPr>
        <w:t xml:space="preserve">, дефинисање циљева у погледу енергетске сигурности треба да се фокусира на националне циљеве и циљеве за финансирање у области истраживања и иновација у јавном и приватном сектору, као и на националне циљеве до 2050. који се односе на подстицање чистих енергетских технологија. У оквиру истраживања и иновација, предвиђен је </w:t>
      </w:r>
      <w:r w:rsidR="0048160A" w:rsidRPr="00FF386D">
        <w:rPr>
          <w:rFonts w:asciiTheme="majorHAnsi" w:eastAsia="Times New Roman" w:hAnsiTheme="majorHAnsi" w:cstheme="majorHAnsi"/>
          <w:szCs w:val="20"/>
          <w:lang w:eastAsia="el-GR"/>
        </w:rPr>
        <w:t>оквиран</w:t>
      </w:r>
      <w:r w:rsidRPr="00FF386D">
        <w:rPr>
          <w:rFonts w:asciiTheme="majorHAnsi" w:eastAsia="Times New Roman" w:hAnsiTheme="majorHAnsi" w:cstheme="majorHAnsi"/>
          <w:szCs w:val="20"/>
          <w:lang w:eastAsia="el-GR"/>
        </w:rPr>
        <w:t xml:space="preserve"> број предложених мера политике за: повећање броја иновативних старт-ап-ова, високотехнолошких и интензивних сектора у складу са Стратегијом паметне специјализације, унапређење еф</w:t>
      </w:r>
      <w:r w:rsidR="0048160A" w:rsidRPr="00FF386D">
        <w:rPr>
          <w:rFonts w:asciiTheme="majorHAnsi" w:eastAsia="Times New Roman" w:hAnsiTheme="majorHAnsi" w:cstheme="majorHAnsi"/>
          <w:szCs w:val="20"/>
          <w:lang w:eastAsia="el-GR"/>
        </w:rPr>
        <w:t>ективности</w:t>
      </w:r>
      <w:r w:rsidRPr="00FF386D">
        <w:rPr>
          <w:rFonts w:asciiTheme="majorHAnsi" w:eastAsia="Times New Roman" w:hAnsiTheme="majorHAnsi" w:cstheme="majorHAnsi"/>
          <w:szCs w:val="20"/>
          <w:lang w:eastAsia="el-GR"/>
        </w:rPr>
        <w:t xml:space="preserve"> истраживања фокусирањем на резултате и обезбеђење подстицаја, развијање вештина које подстичу комерцијалну одрживост и п</w:t>
      </w:r>
      <w:r w:rsidR="0048160A" w:rsidRPr="00FF386D">
        <w:rPr>
          <w:rFonts w:asciiTheme="majorHAnsi" w:eastAsia="Times New Roman" w:hAnsiTheme="majorHAnsi" w:cstheme="majorHAnsi"/>
          <w:szCs w:val="20"/>
          <w:lang w:eastAsia="el-GR"/>
        </w:rPr>
        <w:t>ружају подршку</w:t>
      </w:r>
      <w:r w:rsidRPr="00FF386D">
        <w:rPr>
          <w:rFonts w:asciiTheme="majorHAnsi" w:eastAsia="Times New Roman" w:hAnsiTheme="majorHAnsi" w:cstheme="majorHAnsi"/>
          <w:szCs w:val="20"/>
          <w:lang w:eastAsia="el-GR"/>
        </w:rPr>
        <w:t xml:space="preserve"> </w:t>
      </w:r>
      <w:r w:rsidR="0048160A" w:rsidRPr="00FF386D">
        <w:rPr>
          <w:rFonts w:asciiTheme="majorHAnsi" w:eastAsia="Times New Roman" w:hAnsiTheme="majorHAnsi" w:cstheme="majorHAnsi"/>
          <w:szCs w:val="20"/>
          <w:lang w:eastAsia="el-GR"/>
        </w:rPr>
        <w:t xml:space="preserve">за </w:t>
      </w:r>
      <w:r w:rsidRPr="00FF386D">
        <w:rPr>
          <w:rFonts w:asciiTheme="majorHAnsi" w:eastAsia="Times New Roman" w:hAnsiTheme="majorHAnsi" w:cstheme="majorHAnsi"/>
          <w:szCs w:val="20"/>
          <w:lang w:eastAsia="el-GR"/>
        </w:rPr>
        <w:t>сарадњ</w:t>
      </w:r>
      <w:r w:rsidR="0048160A" w:rsidRPr="00FF386D">
        <w:rPr>
          <w:rFonts w:asciiTheme="majorHAnsi" w:eastAsia="Times New Roman" w:hAnsiTheme="majorHAnsi" w:cstheme="majorHAnsi"/>
          <w:szCs w:val="20"/>
          <w:lang w:eastAsia="el-GR"/>
        </w:rPr>
        <w:t>у</w:t>
      </w:r>
      <w:r w:rsidRPr="00FF386D">
        <w:rPr>
          <w:rFonts w:asciiTheme="majorHAnsi" w:eastAsia="Times New Roman" w:hAnsiTheme="majorHAnsi" w:cstheme="majorHAnsi"/>
          <w:szCs w:val="20"/>
          <w:lang w:eastAsia="el-GR"/>
        </w:rPr>
        <w:t xml:space="preserve"> између истраживачких института и предузећа у </w:t>
      </w:r>
      <w:r w:rsidR="00EB6282" w:rsidRPr="00FF386D">
        <w:rPr>
          <w:rFonts w:asciiTheme="majorHAnsi" w:eastAsia="Times New Roman" w:hAnsiTheme="majorHAnsi" w:cstheme="majorHAnsi"/>
          <w:szCs w:val="20"/>
          <w:lang w:eastAsia="el-GR"/>
        </w:rPr>
        <w:t xml:space="preserve">погледу </w:t>
      </w:r>
      <w:r w:rsidRPr="00FF386D">
        <w:rPr>
          <w:rFonts w:asciiTheme="majorHAnsi" w:eastAsia="Times New Roman" w:hAnsiTheme="majorHAnsi" w:cstheme="majorHAnsi"/>
          <w:szCs w:val="20"/>
          <w:lang w:eastAsia="el-GR"/>
        </w:rPr>
        <w:t>трансфер</w:t>
      </w:r>
      <w:r w:rsidR="00EB6282" w:rsidRPr="00FF386D">
        <w:rPr>
          <w:rFonts w:asciiTheme="majorHAnsi" w:eastAsia="Times New Roman" w:hAnsiTheme="majorHAnsi" w:cstheme="majorHAnsi"/>
          <w:szCs w:val="20"/>
          <w:lang w:eastAsia="el-GR"/>
        </w:rPr>
        <w:t>а</w:t>
      </w:r>
      <w:r w:rsidRPr="00FF386D">
        <w:rPr>
          <w:rFonts w:asciiTheme="majorHAnsi" w:eastAsia="Times New Roman" w:hAnsiTheme="majorHAnsi" w:cstheme="majorHAnsi"/>
          <w:szCs w:val="20"/>
          <w:lang w:eastAsia="el-GR"/>
        </w:rPr>
        <w:t xml:space="preserve"> технологије и коришћењ</w:t>
      </w:r>
      <w:r w:rsidR="00EB6282" w:rsidRPr="00FF386D">
        <w:rPr>
          <w:rFonts w:asciiTheme="majorHAnsi" w:eastAsia="Times New Roman" w:hAnsiTheme="majorHAnsi" w:cstheme="majorHAnsi"/>
          <w:szCs w:val="20"/>
          <w:lang w:eastAsia="el-GR"/>
        </w:rPr>
        <w:t>а</w:t>
      </w:r>
      <w:r w:rsidRPr="00FF386D">
        <w:rPr>
          <w:rFonts w:asciiTheme="majorHAnsi" w:eastAsia="Times New Roman" w:hAnsiTheme="majorHAnsi" w:cstheme="majorHAnsi"/>
          <w:szCs w:val="20"/>
          <w:lang w:eastAsia="el-GR"/>
        </w:rPr>
        <w:t xml:space="preserve"> резултата истраживања. Укупни издаци за истраживачко-развојне активности у 2020. години износили су 0,91% бруто домаћег производа (БДП). Република Србија ће тежити </w:t>
      </w:r>
      <w:r w:rsidR="00EB6282" w:rsidRPr="00FF386D">
        <w:rPr>
          <w:rFonts w:asciiTheme="majorHAnsi" w:eastAsia="Times New Roman" w:hAnsiTheme="majorHAnsi" w:cstheme="majorHAnsi"/>
          <w:szCs w:val="20"/>
          <w:lang w:eastAsia="el-GR"/>
        </w:rPr>
        <w:t xml:space="preserve">да област </w:t>
      </w:r>
      <w:r w:rsidRPr="00FF386D">
        <w:rPr>
          <w:rFonts w:asciiTheme="majorHAnsi" w:eastAsia="Times New Roman" w:hAnsiTheme="majorHAnsi" w:cstheme="majorHAnsi"/>
          <w:szCs w:val="20"/>
          <w:lang w:eastAsia="el-GR"/>
        </w:rPr>
        <w:t>истраживањ</w:t>
      </w:r>
      <w:r w:rsidR="00EB6282" w:rsidRPr="00FF386D">
        <w:rPr>
          <w:rFonts w:asciiTheme="majorHAnsi" w:eastAsia="Times New Roman" w:hAnsiTheme="majorHAnsi" w:cstheme="majorHAnsi"/>
          <w:szCs w:val="20"/>
          <w:lang w:eastAsia="el-GR"/>
        </w:rPr>
        <w:t>е</w:t>
      </w:r>
      <w:r w:rsidRPr="00FF386D">
        <w:rPr>
          <w:rFonts w:asciiTheme="majorHAnsi" w:eastAsia="Times New Roman" w:hAnsiTheme="majorHAnsi" w:cstheme="majorHAnsi"/>
          <w:szCs w:val="20"/>
          <w:lang w:eastAsia="el-GR"/>
        </w:rPr>
        <w:t xml:space="preserve"> и иновација</w:t>
      </w:r>
      <w:r w:rsidR="00EB6282" w:rsidRPr="00FF386D">
        <w:rPr>
          <w:rFonts w:asciiTheme="majorHAnsi" w:eastAsia="Times New Roman" w:hAnsiTheme="majorHAnsi" w:cstheme="majorHAnsi"/>
          <w:szCs w:val="20"/>
          <w:lang w:eastAsia="el-GR"/>
        </w:rPr>
        <w:t xml:space="preserve"> буде препозната као прилика</w:t>
      </w:r>
      <w:r w:rsidRPr="00FF386D">
        <w:rPr>
          <w:rFonts w:asciiTheme="majorHAnsi" w:eastAsia="Times New Roman" w:hAnsiTheme="majorHAnsi" w:cstheme="majorHAnsi"/>
          <w:szCs w:val="20"/>
          <w:lang w:eastAsia="el-GR"/>
        </w:rPr>
        <w:t xml:space="preserve"> да </w:t>
      </w:r>
      <w:r w:rsidR="00EB6282" w:rsidRPr="00FF386D">
        <w:rPr>
          <w:rFonts w:asciiTheme="majorHAnsi" w:eastAsia="Times New Roman" w:hAnsiTheme="majorHAnsi" w:cstheme="majorHAnsi"/>
          <w:szCs w:val="20"/>
          <w:lang w:eastAsia="el-GR"/>
        </w:rPr>
        <w:t xml:space="preserve">се </w:t>
      </w:r>
      <w:r w:rsidRPr="00FF386D">
        <w:rPr>
          <w:rFonts w:asciiTheme="majorHAnsi" w:eastAsia="Times New Roman" w:hAnsiTheme="majorHAnsi" w:cstheme="majorHAnsi"/>
          <w:szCs w:val="20"/>
          <w:lang w:eastAsia="el-GR"/>
        </w:rPr>
        <w:t xml:space="preserve">унапреди конкурентност националне привреде, </w:t>
      </w:r>
      <w:r w:rsidR="00EB6282" w:rsidRPr="00FF386D">
        <w:rPr>
          <w:rFonts w:asciiTheme="majorHAnsi" w:eastAsia="Times New Roman" w:hAnsiTheme="majorHAnsi" w:cstheme="majorHAnsi"/>
          <w:szCs w:val="20"/>
          <w:lang w:eastAsia="el-GR"/>
        </w:rPr>
        <w:t>а тиме</w:t>
      </w:r>
      <w:r w:rsidR="0057651A" w:rsidRPr="00FF386D">
        <w:rPr>
          <w:rFonts w:asciiTheme="majorHAnsi" w:eastAsia="Times New Roman" w:hAnsiTheme="majorHAnsi" w:cstheme="majorHAnsi"/>
          <w:szCs w:val="20"/>
          <w:lang w:eastAsia="el-GR"/>
        </w:rPr>
        <w:t xml:space="preserve"> </w:t>
      </w:r>
      <w:r w:rsidR="00EB6282" w:rsidRPr="00FF386D">
        <w:rPr>
          <w:rFonts w:asciiTheme="majorHAnsi" w:eastAsia="Times New Roman" w:hAnsiTheme="majorHAnsi" w:cstheme="majorHAnsi"/>
          <w:szCs w:val="20"/>
          <w:lang w:eastAsia="el-GR"/>
        </w:rPr>
        <w:t>и покретачи</w:t>
      </w:r>
      <w:r w:rsidRPr="00FF386D">
        <w:rPr>
          <w:rFonts w:asciiTheme="majorHAnsi" w:eastAsia="Times New Roman" w:hAnsiTheme="majorHAnsi" w:cstheme="majorHAnsi"/>
          <w:szCs w:val="20"/>
          <w:lang w:eastAsia="el-GR"/>
        </w:rPr>
        <w:t xml:space="preserve"> привредног раста и отварања нових радних места.</w:t>
      </w:r>
    </w:p>
    <w:p w14:paraId="52CA4B79" w14:textId="77777777" w:rsidR="00EB3C75" w:rsidRPr="00FF386D" w:rsidRDefault="00EB3C75">
      <w:pPr>
        <w:pStyle w:val="ListParagraph"/>
        <w:keepNext/>
        <w:keepLines/>
        <w:numPr>
          <w:ilvl w:val="0"/>
          <w:numId w:val="266"/>
        </w:numPr>
        <w:spacing w:before="200" w:after="0" w:line="240" w:lineRule="auto"/>
        <w:outlineLvl w:val="3"/>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t>Кључни циљеви и приоритети плана</w:t>
      </w:r>
    </w:p>
    <w:p w14:paraId="35BE3BC5" w14:textId="45DFAAC8" w:rsidR="00EB3C75" w:rsidRPr="00FF386D" w:rsidRDefault="00EB3C75" w:rsidP="00EB3C75">
      <w:pPr>
        <w:spacing w:after="120" w:line="240" w:lineRule="atLeast"/>
        <w:jc w:val="both"/>
        <w:rPr>
          <w:rFonts w:asciiTheme="majorHAnsi" w:eastAsia="Times New Roman" w:hAnsiTheme="majorHAnsi" w:cstheme="majorHAnsi"/>
          <w:szCs w:val="20"/>
        </w:rPr>
      </w:pPr>
      <w:r w:rsidRPr="00FF386D">
        <w:rPr>
          <w:rFonts w:asciiTheme="majorHAnsi" w:eastAsia="Times New Roman" w:hAnsiTheme="majorHAnsi" w:cstheme="majorHAnsi"/>
          <w:szCs w:val="20"/>
        </w:rPr>
        <w:t xml:space="preserve">Главни стубови </w:t>
      </w:r>
      <w:r w:rsidR="002A0D84" w:rsidRPr="00FF386D">
        <w:rPr>
          <w:rFonts w:asciiTheme="majorHAnsi" w:eastAsia="Times New Roman" w:hAnsiTheme="majorHAnsi" w:cstheme="majorHAnsi"/>
          <w:szCs w:val="20"/>
        </w:rPr>
        <w:t>И</w:t>
      </w:r>
      <w:r w:rsidRPr="00FF386D">
        <w:rPr>
          <w:rFonts w:asciiTheme="majorHAnsi" w:eastAsia="Times New Roman" w:hAnsiTheme="majorHAnsi" w:cstheme="majorHAnsi"/>
          <w:szCs w:val="20"/>
        </w:rPr>
        <w:t xml:space="preserve">НЕКП-а обухватају повећан удео ОИЕ у енергетском миксу Србије заједно са циљаним мерама енергетске ефикасности усмереним на смањење финалне потрошње енергије повећањем енергетског учинка. Ова путања транзиције </w:t>
      </w:r>
      <w:r w:rsidR="00EB6282" w:rsidRPr="00FF386D">
        <w:rPr>
          <w:rFonts w:asciiTheme="majorHAnsi" w:eastAsia="Times New Roman" w:hAnsiTheme="majorHAnsi" w:cstheme="majorHAnsi"/>
          <w:szCs w:val="20"/>
        </w:rPr>
        <w:t>ка</w:t>
      </w:r>
      <w:r w:rsidRPr="00FF386D">
        <w:rPr>
          <w:rFonts w:asciiTheme="majorHAnsi" w:eastAsia="Times New Roman" w:hAnsiTheme="majorHAnsi" w:cstheme="majorHAnsi"/>
          <w:szCs w:val="20"/>
        </w:rPr>
        <w:t xml:space="preserve"> чистој енергији усмерена је на унапређење енергетске сигурности земље, </w:t>
      </w:r>
      <w:r w:rsidR="00EB6282" w:rsidRPr="00FF386D">
        <w:rPr>
          <w:rFonts w:asciiTheme="majorHAnsi" w:eastAsia="Times New Roman" w:hAnsiTheme="majorHAnsi" w:cstheme="majorHAnsi"/>
          <w:szCs w:val="20"/>
        </w:rPr>
        <w:t>смањење</w:t>
      </w:r>
      <w:r w:rsidRPr="00FF386D">
        <w:rPr>
          <w:rFonts w:asciiTheme="majorHAnsi" w:eastAsia="Times New Roman" w:hAnsiTheme="majorHAnsi" w:cstheme="majorHAnsi"/>
          <w:szCs w:val="20"/>
        </w:rPr>
        <w:t xml:space="preserve"> њене енергетске зависности, истовремено осигуравајући реалистично смањење </w:t>
      </w:r>
      <w:r w:rsidR="0057651A" w:rsidRPr="00FF386D">
        <w:rPr>
          <w:rFonts w:asciiTheme="majorHAnsi" w:eastAsia="Times New Roman" w:hAnsiTheme="majorHAnsi" w:cstheme="majorHAnsi"/>
          <w:szCs w:val="20"/>
        </w:rPr>
        <w:t>употребе</w:t>
      </w:r>
      <w:r w:rsidRPr="00FF386D">
        <w:rPr>
          <w:rFonts w:asciiTheme="majorHAnsi" w:eastAsia="Times New Roman" w:hAnsiTheme="majorHAnsi" w:cstheme="majorHAnsi"/>
          <w:szCs w:val="20"/>
        </w:rPr>
        <w:t xml:space="preserve"> лигнита, доприносећи </w:t>
      </w:r>
      <w:r w:rsidRPr="00FF386D">
        <w:rPr>
          <w:rFonts w:asciiTheme="majorHAnsi" w:eastAsia="Times New Roman" w:hAnsiTheme="majorHAnsi" w:cstheme="majorHAnsi"/>
          <w:b/>
          <w:bCs/>
          <w:szCs w:val="20"/>
        </w:rPr>
        <w:t xml:space="preserve">значајном смањењу емисија </w:t>
      </w:r>
      <w:r w:rsidRPr="00FF386D">
        <w:rPr>
          <w:rFonts w:asciiTheme="majorHAnsi" w:eastAsia="Times New Roman" w:hAnsiTheme="majorHAnsi" w:cstheme="majorHAnsi"/>
          <w:b/>
          <w:bCs/>
          <w:i/>
          <w:szCs w:val="20"/>
        </w:rPr>
        <w:t>GHG</w:t>
      </w:r>
      <w:r w:rsidRPr="00FF386D">
        <w:rPr>
          <w:rFonts w:asciiTheme="majorHAnsi" w:eastAsia="Times New Roman" w:hAnsiTheme="majorHAnsi" w:cstheme="majorHAnsi"/>
          <w:b/>
          <w:bCs/>
          <w:szCs w:val="20"/>
        </w:rPr>
        <w:t xml:space="preserve"> до 2030. године</w:t>
      </w:r>
      <w:r w:rsidRPr="00FF386D">
        <w:rPr>
          <w:rFonts w:asciiTheme="majorHAnsi" w:eastAsia="Times New Roman" w:hAnsiTheme="majorHAnsi" w:cstheme="majorHAnsi"/>
          <w:szCs w:val="20"/>
        </w:rPr>
        <w:t>.</w:t>
      </w:r>
    </w:p>
    <w:p w14:paraId="5E07D419" w14:textId="660E11CA" w:rsidR="00EB3C75" w:rsidRPr="00FF386D" w:rsidRDefault="00EB3C75" w:rsidP="00EB3C75">
      <w:pPr>
        <w:spacing w:after="120" w:line="240" w:lineRule="atLeast"/>
        <w:jc w:val="both"/>
        <w:rPr>
          <w:rFonts w:asciiTheme="majorHAnsi" w:eastAsia="Times New Roman" w:hAnsiTheme="majorHAnsi" w:cstheme="majorHAnsi"/>
          <w:szCs w:val="20"/>
        </w:rPr>
      </w:pPr>
      <w:r w:rsidRPr="00FF386D">
        <w:rPr>
          <w:rFonts w:asciiTheme="majorHAnsi" w:eastAsia="Times New Roman" w:hAnsiTheme="majorHAnsi" w:cstheme="majorHAnsi"/>
          <w:b/>
          <w:bCs/>
          <w:szCs w:val="20"/>
        </w:rPr>
        <w:t>Повећани удео ОИЕ</w:t>
      </w:r>
      <w:r w:rsidRPr="00FF386D">
        <w:rPr>
          <w:rFonts w:asciiTheme="majorHAnsi" w:eastAsia="Times New Roman" w:hAnsiTheme="majorHAnsi" w:cstheme="majorHAnsi"/>
          <w:szCs w:val="20"/>
        </w:rPr>
        <w:t xml:space="preserve"> ће представљати један од најважнијих циљева </w:t>
      </w:r>
      <w:r w:rsidR="002A0D84" w:rsidRPr="00FF386D">
        <w:rPr>
          <w:rFonts w:asciiTheme="majorHAnsi" w:eastAsia="Times New Roman" w:hAnsiTheme="majorHAnsi" w:cstheme="majorHAnsi"/>
          <w:szCs w:val="20"/>
        </w:rPr>
        <w:t>И</w:t>
      </w:r>
      <w:r w:rsidRPr="00FF386D">
        <w:rPr>
          <w:rFonts w:asciiTheme="majorHAnsi" w:eastAsia="Times New Roman" w:hAnsiTheme="majorHAnsi" w:cstheme="majorHAnsi"/>
          <w:szCs w:val="20"/>
        </w:rPr>
        <w:t xml:space="preserve">НЕКП-а за Републику Србију </w:t>
      </w:r>
      <w:r w:rsidR="00F0370B" w:rsidRPr="00FF386D">
        <w:rPr>
          <w:rFonts w:asciiTheme="majorHAnsi" w:eastAsia="Times New Roman" w:hAnsiTheme="majorHAnsi" w:cstheme="majorHAnsi"/>
          <w:szCs w:val="20"/>
        </w:rPr>
        <w:t>достизањем</w:t>
      </w:r>
      <w:r w:rsidRPr="00FF386D">
        <w:rPr>
          <w:rFonts w:asciiTheme="majorHAnsi" w:eastAsia="Times New Roman" w:hAnsiTheme="majorHAnsi" w:cstheme="majorHAnsi"/>
          <w:szCs w:val="20"/>
        </w:rPr>
        <w:t xml:space="preserve"> удела од 3</w:t>
      </w:r>
      <w:r w:rsidR="002A0D84" w:rsidRPr="00FF386D">
        <w:rPr>
          <w:rFonts w:asciiTheme="majorHAnsi" w:eastAsia="Times New Roman" w:hAnsiTheme="majorHAnsi" w:cstheme="majorHAnsi"/>
          <w:szCs w:val="20"/>
        </w:rPr>
        <w:t>3,6</w:t>
      </w:r>
      <w:r w:rsidRPr="00FF386D">
        <w:rPr>
          <w:rFonts w:asciiTheme="majorHAnsi" w:eastAsia="Times New Roman" w:hAnsiTheme="majorHAnsi" w:cstheme="majorHAnsi"/>
          <w:szCs w:val="20"/>
        </w:rPr>
        <w:t>% у бруто финалној потрошњи енергије. ОИЕ ће се сматрати главним домаћим извором електричне енергије са уделом који прелази 4</w:t>
      </w:r>
      <w:r w:rsidR="002A0D84" w:rsidRPr="00FF386D">
        <w:rPr>
          <w:rFonts w:asciiTheme="majorHAnsi" w:eastAsia="Times New Roman" w:hAnsiTheme="majorHAnsi" w:cstheme="majorHAnsi"/>
          <w:szCs w:val="20"/>
        </w:rPr>
        <w:t>5</w:t>
      </w:r>
      <w:r w:rsidRPr="00FF386D">
        <w:rPr>
          <w:rFonts w:asciiTheme="majorHAnsi" w:eastAsia="Times New Roman" w:hAnsiTheme="majorHAnsi" w:cstheme="majorHAnsi"/>
          <w:szCs w:val="20"/>
        </w:rPr>
        <w:t xml:space="preserve">% бруто финалне потрошње електричне </w:t>
      </w:r>
      <w:r w:rsidRPr="00FF386D">
        <w:rPr>
          <w:rFonts w:asciiTheme="majorHAnsi" w:eastAsia="Times New Roman" w:hAnsiTheme="majorHAnsi" w:cstheme="majorHAnsi"/>
          <w:szCs w:val="20"/>
        </w:rPr>
        <w:lastRenderedPageBreak/>
        <w:t>енергије у 2030. године, који ће бити остварен углавном путем најекономичније експлоатације расположивог потенцијала у случају енергије ветра и соларне енергије.</w:t>
      </w:r>
    </w:p>
    <w:p w14:paraId="12834331" w14:textId="0F253E93" w:rsidR="00670329" w:rsidRPr="00FF386D" w:rsidRDefault="00EB3C75" w:rsidP="00EB3C75">
      <w:pPr>
        <w:spacing w:after="120" w:line="240" w:lineRule="atLeast"/>
        <w:jc w:val="both"/>
        <w:rPr>
          <w:rFonts w:asciiTheme="majorHAnsi" w:eastAsia="Times New Roman" w:hAnsiTheme="majorHAnsi" w:cstheme="majorHAnsi"/>
          <w:szCs w:val="20"/>
        </w:rPr>
      </w:pPr>
      <w:r w:rsidRPr="00FF386D">
        <w:rPr>
          <w:rFonts w:asciiTheme="majorHAnsi" w:eastAsia="Times New Roman" w:hAnsiTheme="majorHAnsi" w:cstheme="majorHAnsi"/>
          <w:szCs w:val="20"/>
        </w:rPr>
        <w:t>Ефикасно</w:t>
      </w:r>
      <w:r w:rsidR="0039141C" w:rsidRPr="00FF386D">
        <w:rPr>
          <w:rFonts w:asciiTheme="majorHAnsi" w:eastAsia="Times New Roman" w:hAnsiTheme="majorHAnsi" w:cstheme="majorHAnsi"/>
          <w:szCs w:val="20"/>
        </w:rPr>
        <w:t xml:space="preserve"> и </w:t>
      </w:r>
      <w:r w:rsidRPr="00FF386D">
        <w:rPr>
          <w:rFonts w:asciiTheme="majorHAnsi" w:eastAsia="Times New Roman" w:hAnsiTheme="majorHAnsi" w:cstheme="majorHAnsi"/>
          <w:szCs w:val="20"/>
        </w:rPr>
        <w:t xml:space="preserve">регионално интегрисано функционисање новог </w:t>
      </w:r>
      <w:r w:rsidR="002A0D84" w:rsidRPr="00FF386D">
        <w:rPr>
          <w:rFonts w:asciiTheme="majorHAnsi" w:eastAsia="Times New Roman" w:hAnsiTheme="majorHAnsi" w:cstheme="majorHAnsi"/>
          <w:szCs w:val="20"/>
        </w:rPr>
        <w:t xml:space="preserve">дан-унапред </w:t>
      </w:r>
      <w:r w:rsidRPr="00FF386D">
        <w:rPr>
          <w:rFonts w:asciiTheme="majorHAnsi" w:eastAsia="Times New Roman" w:hAnsiTheme="majorHAnsi" w:cstheme="majorHAnsi"/>
          <w:szCs w:val="20"/>
        </w:rPr>
        <w:t xml:space="preserve">тржишта електричне енергије, </w:t>
      </w:r>
      <w:r w:rsidR="002A0D84" w:rsidRPr="00FF386D">
        <w:rPr>
          <w:rFonts w:asciiTheme="majorHAnsi" w:eastAsia="Times New Roman" w:hAnsiTheme="majorHAnsi" w:cstheme="majorHAnsi"/>
          <w:szCs w:val="20"/>
        </w:rPr>
        <w:t>укључујући значај спајања регионал</w:t>
      </w:r>
      <w:r w:rsidR="00670329" w:rsidRPr="00FF386D">
        <w:rPr>
          <w:rFonts w:asciiTheme="majorHAnsi" w:eastAsia="Times New Roman" w:hAnsiTheme="majorHAnsi" w:cstheme="majorHAnsi"/>
          <w:szCs w:val="20"/>
        </w:rPr>
        <w:t>ног</w:t>
      </w:r>
      <w:r w:rsidR="002A0D84" w:rsidRPr="00FF386D">
        <w:rPr>
          <w:rFonts w:asciiTheme="majorHAnsi" w:eastAsia="Times New Roman" w:hAnsiTheme="majorHAnsi" w:cstheme="majorHAnsi"/>
          <w:szCs w:val="20"/>
        </w:rPr>
        <w:t xml:space="preserve"> тржишта елект</w:t>
      </w:r>
      <w:r w:rsidR="00F0370B" w:rsidRPr="00FF386D">
        <w:rPr>
          <w:rFonts w:asciiTheme="majorHAnsi" w:eastAsia="Times New Roman" w:hAnsiTheme="majorHAnsi" w:cstheme="majorHAnsi"/>
          <w:szCs w:val="20"/>
        </w:rPr>
        <w:t>р</w:t>
      </w:r>
      <w:r w:rsidR="002A0D84" w:rsidRPr="00FF386D">
        <w:rPr>
          <w:rFonts w:asciiTheme="majorHAnsi" w:eastAsia="Times New Roman" w:hAnsiTheme="majorHAnsi" w:cstheme="majorHAnsi"/>
          <w:szCs w:val="20"/>
        </w:rPr>
        <w:t>ичне енергије са европским тржиштем електричне енергије</w:t>
      </w:r>
      <w:r w:rsidR="00670329" w:rsidRPr="00FF386D">
        <w:rPr>
          <w:rFonts w:asciiTheme="majorHAnsi" w:eastAsia="Times New Roman" w:hAnsiTheme="majorHAnsi" w:cstheme="majorHAnsi"/>
          <w:szCs w:val="20"/>
        </w:rPr>
        <w:t xml:space="preserve">, </w:t>
      </w:r>
      <w:r w:rsidRPr="00FF386D">
        <w:rPr>
          <w:rFonts w:asciiTheme="majorHAnsi" w:eastAsia="Times New Roman" w:hAnsiTheme="majorHAnsi" w:cstheme="majorHAnsi"/>
          <w:szCs w:val="20"/>
        </w:rPr>
        <w:t xml:space="preserve">поједностављење и убрзање поступка издавања дозвола, дигитализација енергетског система, унапређење и проширење постојеће електроенергетске мреже и њених интерконекција, унапређење тржишта складиштења енергије, ОИЕ на дистрибутивној мрежи и ресурси управљања потрошњом, као и постепена електрификација и енергетско </w:t>
      </w:r>
      <w:r w:rsidR="00EB6282" w:rsidRPr="00FF386D">
        <w:rPr>
          <w:rFonts w:asciiTheme="majorHAnsi" w:eastAsia="Times New Roman" w:hAnsiTheme="majorHAnsi" w:cstheme="majorHAnsi"/>
          <w:szCs w:val="20"/>
        </w:rPr>
        <w:t>повезивање</w:t>
      </w:r>
      <w:r w:rsidRPr="00FF386D">
        <w:rPr>
          <w:rFonts w:asciiTheme="majorHAnsi" w:eastAsia="Times New Roman" w:hAnsiTheme="majorHAnsi" w:cstheme="majorHAnsi"/>
          <w:szCs w:val="20"/>
        </w:rPr>
        <w:t xml:space="preserve"> сектора финалне потрошње сматрају се предусловима за максимално учешће ОИЕ.</w:t>
      </w:r>
    </w:p>
    <w:p w14:paraId="0F04E777" w14:textId="7A4224C0" w:rsidR="00670329" w:rsidRPr="00FF386D" w:rsidRDefault="00670329" w:rsidP="00EB3C75">
      <w:pPr>
        <w:spacing w:after="120" w:line="240" w:lineRule="atLeast"/>
        <w:jc w:val="both"/>
        <w:rPr>
          <w:rFonts w:asciiTheme="majorHAnsi" w:eastAsia="Times New Roman" w:hAnsiTheme="majorHAnsi" w:cstheme="majorHAnsi"/>
          <w:szCs w:val="20"/>
        </w:rPr>
      </w:pPr>
      <w:r w:rsidRPr="00FF386D">
        <w:rPr>
          <w:rFonts w:asciiTheme="majorHAnsi" w:eastAsia="Times New Roman" w:hAnsiTheme="majorHAnsi" w:cstheme="majorHAnsi"/>
          <w:szCs w:val="20"/>
        </w:rPr>
        <w:t>Повећано интересовање инвеститора за инсталације на бази соларне енергије и енергије ветра, што је евидентно на основу великог броја поднетих захтева, осигураће инсталисање потребних нових капацитета до 2030. године и остваривање повећања удела са 30% у 2021. години на 45% у 2030. години.</w:t>
      </w:r>
    </w:p>
    <w:p w14:paraId="31D7D439" w14:textId="5688CF50" w:rsidR="00EB3C75" w:rsidRPr="00FF386D" w:rsidRDefault="00EB3C75" w:rsidP="00EB3C75">
      <w:pPr>
        <w:spacing w:after="120" w:line="240" w:lineRule="atLeast"/>
        <w:jc w:val="both"/>
        <w:rPr>
          <w:rFonts w:asciiTheme="majorHAnsi" w:eastAsia="Times New Roman" w:hAnsiTheme="majorHAnsi" w:cstheme="majorHAnsi"/>
          <w:szCs w:val="20"/>
        </w:rPr>
      </w:pPr>
      <w:r w:rsidRPr="00FF386D">
        <w:rPr>
          <w:rFonts w:asciiTheme="majorHAnsi" w:eastAsia="Times New Roman" w:hAnsiTheme="majorHAnsi" w:cstheme="majorHAnsi"/>
          <w:szCs w:val="20"/>
        </w:rPr>
        <w:t xml:space="preserve">Други приоритет је подстицање електромобилности, која ће се у великој мери ослањати на производњу електричне енергије из ОИЕ, уз значајне уштеде енергије, што ће истовремено допринети и постизању циљева енергетске ефикасности. Напослетку, даља експлоатација ОИЕ за покривање потреба за грејањем и хлађењем у зградама, учешће дистрибуираних технологија ОИЕ за производњу електричне енергије и промовисање напредних биогорива у сектору саобраћаја представљају додатне приоритете у оквиру </w:t>
      </w:r>
      <w:r w:rsidR="00670329" w:rsidRPr="00FF386D">
        <w:rPr>
          <w:rFonts w:asciiTheme="majorHAnsi" w:eastAsia="Times New Roman" w:hAnsiTheme="majorHAnsi" w:cstheme="majorHAnsi"/>
          <w:szCs w:val="20"/>
        </w:rPr>
        <w:t>И</w:t>
      </w:r>
      <w:r w:rsidRPr="00FF386D">
        <w:rPr>
          <w:rFonts w:asciiTheme="majorHAnsi" w:eastAsia="Times New Roman" w:hAnsiTheme="majorHAnsi" w:cstheme="majorHAnsi"/>
          <w:szCs w:val="20"/>
        </w:rPr>
        <w:t>НЕКП-а за даље увођење ОИЕ.</w:t>
      </w:r>
    </w:p>
    <w:p w14:paraId="3FF5531E" w14:textId="44F093B8" w:rsidR="00EB3C75" w:rsidRPr="00FF386D" w:rsidRDefault="00EB3C75" w:rsidP="00EB3C75">
      <w:pPr>
        <w:spacing w:before="120" w:after="120" w:line="276" w:lineRule="auto"/>
        <w:ind w:right="140"/>
        <w:jc w:val="both"/>
        <w:rPr>
          <w:rFonts w:asciiTheme="majorHAnsi" w:eastAsia="Times New Roman" w:hAnsiTheme="majorHAnsi" w:cstheme="majorHAnsi"/>
        </w:rPr>
      </w:pPr>
      <w:r w:rsidRPr="00FF386D">
        <w:rPr>
          <w:rFonts w:asciiTheme="majorHAnsi" w:eastAsia="Times New Roman" w:hAnsiTheme="majorHAnsi" w:cstheme="majorHAnsi"/>
        </w:rPr>
        <w:t xml:space="preserve">Поред тога, </w:t>
      </w:r>
      <w:r w:rsidR="00EB6282" w:rsidRPr="00FF386D">
        <w:rPr>
          <w:rFonts w:asciiTheme="majorHAnsi" w:eastAsia="Times New Roman" w:hAnsiTheme="majorHAnsi" w:cstheme="majorHAnsi"/>
          <w:b/>
          <w:bCs/>
        </w:rPr>
        <w:t>унапређење</w:t>
      </w:r>
      <w:r w:rsidRPr="00FF386D">
        <w:rPr>
          <w:rFonts w:asciiTheme="majorHAnsi" w:eastAsia="Times New Roman" w:hAnsiTheme="majorHAnsi" w:cstheme="majorHAnsi"/>
          <w:b/>
          <w:bCs/>
        </w:rPr>
        <w:t xml:space="preserve"> енергетске ефикасности</w:t>
      </w:r>
      <w:r w:rsidRPr="00FF386D">
        <w:rPr>
          <w:rFonts w:asciiTheme="majorHAnsi" w:eastAsia="Times New Roman" w:hAnsiTheme="majorHAnsi" w:cstheme="majorHAnsi"/>
        </w:rPr>
        <w:t xml:space="preserve"> представља </w:t>
      </w:r>
      <w:r w:rsidR="00EB6282" w:rsidRPr="00FF386D">
        <w:rPr>
          <w:rFonts w:asciiTheme="majorHAnsi" w:eastAsia="Times New Roman" w:hAnsiTheme="majorHAnsi" w:cstheme="majorHAnsi"/>
        </w:rPr>
        <w:t>кључни</w:t>
      </w:r>
      <w:r w:rsidRPr="00FF386D">
        <w:rPr>
          <w:rFonts w:asciiTheme="majorHAnsi" w:eastAsia="Times New Roman" w:hAnsiTheme="majorHAnsi" w:cstheme="majorHAnsi"/>
        </w:rPr>
        <w:t xml:space="preserve"> приоритет који </w:t>
      </w:r>
      <w:r w:rsidR="00EB6282" w:rsidRPr="00FF386D">
        <w:rPr>
          <w:rFonts w:asciiTheme="majorHAnsi" w:eastAsia="Times New Roman" w:hAnsiTheme="majorHAnsi" w:cstheme="majorHAnsi"/>
        </w:rPr>
        <w:t>истиче</w:t>
      </w:r>
      <w:r w:rsidRPr="00FF386D">
        <w:rPr>
          <w:rFonts w:asciiTheme="majorHAnsi" w:eastAsia="Times New Roman" w:hAnsiTheme="majorHAnsi" w:cstheme="majorHAnsi"/>
        </w:rPr>
        <w:t xml:space="preserve"> неопходност спровођења политика и мера, које </w:t>
      </w:r>
      <w:r w:rsidR="00EB6282" w:rsidRPr="00FF386D">
        <w:rPr>
          <w:rFonts w:asciiTheme="majorHAnsi" w:eastAsia="Times New Roman" w:hAnsiTheme="majorHAnsi" w:cstheme="majorHAnsi"/>
        </w:rPr>
        <w:t>потом</w:t>
      </w:r>
      <w:r w:rsidRPr="00FF386D">
        <w:rPr>
          <w:rFonts w:asciiTheme="majorHAnsi" w:eastAsia="Times New Roman" w:hAnsiTheme="majorHAnsi" w:cstheme="majorHAnsi"/>
        </w:rPr>
        <w:t xml:space="preserve"> </w:t>
      </w:r>
      <w:r w:rsidR="00EB6282" w:rsidRPr="00FF386D">
        <w:rPr>
          <w:rFonts w:asciiTheme="majorHAnsi" w:eastAsia="Times New Roman" w:hAnsiTheme="majorHAnsi" w:cstheme="majorHAnsi"/>
        </w:rPr>
        <w:t>демонстрирају најделотворнији приступ у</w:t>
      </w:r>
      <w:r w:rsidRPr="00FF386D">
        <w:rPr>
          <w:rFonts w:asciiTheme="majorHAnsi" w:eastAsia="Times New Roman" w:hAnsiTheme="majorHAnsi" w:cstheme="majorHAnsi"/>
        </w:rPr>
        <w:t xml:space="preserve"> економск</w:t>
      </w:r>
      <w:r w:rsidR="00EB6282" w:rsidRPr="00FF386D">
        <w:rPr>
          <w:rFonts w:asciiTheme="majorHAnsi" w:eastAsia="Times New Roman" w:hAnsiTheme="majorHAnsi" w:cstheme="majorHAnsi"/>
        </w:rPr>
        <w:t>ом</w:t>
      </w:r>
      <w:r w:rsidRPr="00FF386D">
        <w:rPr>
          <w:rFonts w:asciiTheme="majorHAnsi" w:eastAsia="Times New Roman" w:hAnsiTheme="majorHAnsi" w:cstheme="majorHAnsi"/>
        </w:rPr>
        <w:t xml:space="preserve"> и </w:t>
      </w:r>
      <w:r w:rsidR="00EB6282" w:rsidRPr="00FF386D">
        <w:rPr>
          <w:rFonts w:asciiTheme="majorHAnsi" w:eastAsia="Times New Roman" w:hAnsiTheme="majorHAnsi" w:cstheme="majorHAnsi"/>
        </w:rPr>
        <w:t>социјалном смислу</w:t>
      </w:r>
      <w:r w:rsidRPr="00FF386D">
        <w:rPr>
          <w:rFonts w:asciiTheme="majorHAnsi" w:eastAsia="Times New Roman" w:hAnsiTheme="majorHAnsi" w:cstheme="majorHAnsi"/>
        </w:rPr>
        <w:t xml:space="preserve"> за св</w:t>
      </w:r>
      <w:r w:rsidR="00EB6282" w:rsidRPr="00FF386D">
        <w:rPr>
          <w:rFonts w:asciiTheme="majorHAnsi" w:eastAsia="Times New Roman" w:hAnsiTheme="majorHAnsi" w:cstheme="majorHAnsi"/>
        </w:rPr>
        <w:t>е облике</w:t>
      </w:r>
      <w:r w:rsidRPr="00FF386D">
        <w:rPr>
          <w:rFonts w:asciiTheme="majorHAnsi" w:eastAsia="Times New Roman" w:hAnsiTheme="majorHAnsi" w:cstheme="majorHAnsi"/>
        </w:rPr>
        <w:t xml:space="preserve"> финалн</w:t>
      </w:r>
      <w:r w:rsidR="00EB6282" w:rsidRPr="00FF386D">
        <w:rPr>
          <w:rFonts w:asciiTheme="majorHAnsi" w:eastAsia="Times New Roman" w:hAnsiTheme="majorHAnsi" w:cstheme="majorHAnsi"/>
        </w:rPr>
        <w:t>е</w:t>
      </w:r>
      <w:r w:rsidRPr="00FF386D">
        <w:rPr>
          <w:rFonts w:asciiTheme="majorHAnsi" w:eastAsia="Times New Roman" w:hAnsiTheme="majorHAnsi" w:cstheme="majorHAnsi"/>
        </w:rPr>
        <w:t xml:space="preserve"> потрошњ</w:t>
      </w:r>
      <w:r w:rsidR="00EB6282" w:rsidRPr="00FF386D">
        <w:rPr>
          <w:rFonts w:asciiTheme="majorHAnsi" w:eastAsia="Times New Roman" w:hAnsiTheme="majorHAnsi" w:cstheme="majorHAnsi"/>
        </w:rPr>
        <w:t>е</w:t>
      </w:r>
      <w:r w:rsidRPr="00FF386D">
        <w:rPr>
          <w:rFonts w:asciiTheme="majorHAnsi" w:eastAsia="Times New Roman" w:hAnsiTheme="majorHAnsi" w:cstheme="majorHAnsi"/>
        </w:rPr>
        <w:t>. Финална потрошња енергије у 2030. години износиће највише 9,6 Мtoe, док ће потрошња примарне енергије у 2030. години бити највише 14,</w:t>
      </w:r>
      <w:r w:rsidR="009875E5" w:rsidRPr="000A2AFE">
        <w:rPr>
          <w:rFonts w:asciiTheme="majorHAnsi" w:eastAsia="Times New Roman" w:hAnsiTheme="majorHAnsi" w:cstheme="majorHAnsi"/>
        </w:rPr>
        <w:t>6</w:t>
      </w:r>
      <w:r w:rsidRPr="00FF386D">
        <w:rPr>
          <w:rFonts w:asciiTheme="majorHAnsi" w:eastAsia="Times New Roman" w:hAnsiTheme="majorHAnsi" w:cstheme="majorHAnsi"/>
        </w:rPr>
        <w:t xml:space="preserve">8 Мtoe. Треба напоменути да побољшање енергетске ефикасности </w:t>
      </w:r>
      <w:r w:rsidR="00EB6282" w:rsidRPr="00FF386D">
        <w:rPr>
          <w:rFonts w:asciiTheme="majorHAnsi" w:eastAsia="Times New Roman" w:hAnsiTheme="majorHAnsi" w:cstheme="majorHAnsi"/>
        </w:rPr>
        <w:t>производи</w:t>
      </w:r>
      <w:r w:rsidRPr="00FF386D">
        <w:rPr>
          <w:rFonts w:asciiTheme="majorHAnsi" w:eastAsia="Times New Roman" w:hAnsiTheme="majorHAnsi" w:cstheme="majorHAnsi"/>
        </w:rPr>
        <w:t xml:space="preserve"> додатне вишеструке користи, као што су смањење емисије </w:t>
      </w:r>
      <w:r w:rsidRPr="00FF386D">
        <w:rPr>
          <w:rFonts w:asciiTheme="majorHAnsi" w:eastAsia="Times New Roman" w:hAnsiTheme="majorHAnsi" w:cstheme="majorHAnsi"/>
          <w:i/>
          <w:iCs/>
        </w:rPr>
        <w:t>GHG</w:t>
      </w:r>
      <w:r w:rsidRPr="00FF386D">
        <w:rPr>
          <w:rFonts w:asciiTheme="majorHAnsi" w:eastAsia="Times New Roman" w:hAnsiTheme="majorHAnsi" w:cstheme="majorHAnsi"/>
        </w:rPr>
        <w:t xml:space="preserve">, смањење трошкова за енергију, побољшање </w:t>
      </w:r>
      <w:r w:rsidR="00EB6282" w:rsidRPr="00FF386D">
        <w:rPr>
          <w:rFonts w:asciiTheme="majorHAnsi" w:eastAsia="Times New Roman" w:hAnsiTheme="majorHAnsi" w:cstheme="majorHAnsi"/>
        </w:rPr>
        <w:t>нивоа комфора</w:t>
      </w:r>
      <w:r w:rsidRPr="00FF386D">
        <w:rPr>
          <w:rFonts w:asciiTheme="majorHAnsi" w:eastAsia="Times New Roman" w:hAnsiTheme="majorHAnsi" w:cstheme="majorHAnsi"/>
        </w:rPr>
        <w:t xml:space="preserve"> у зградама, повећање додатне вредности и запошљавања, побољшање конкурентности предузећа</w:t>
      </w:r>
      <w:r w:rsidR="00D45A4C" w:rsidRPr="00FF386D">
        <w:rPr>
          <w:rFonts w:asciiTheme="majorHAnsi" w:eastAsia="Times New Roman" w:hAnsiTheme="majorHAnsi" w:cstheme="majorHAnsi"/>
        </w:rPr>
        <w:t>,</w:t>
      </w:r>
      <w:r w:rsidRPr="00FF386D">
        <w:rPr>
          <w:rFonts w:asciiTheme="majorHAnsi" w:eastAsia="Times New Roman" w:hAnsiTheme="majorHAnsi" w:cstheme="majorHAnsi"/>
        </w:rPr>
        <w:t xml:space="preserve"> смањење сиромаштва</w:t>
      </w:r>
      <w:r w:rsidR="00D45A4C" w:rsidRPr="00FF386D">
        <w:rPr>
          <w:rFonts w:asciiTheme="majorHAnsi" w:eastAsia="Times New Roman" w:hAnsiTheme="majorHAnsi" w:cstheme="majorHAnsi"/>
        </w:rPr>
        <w:t xml:space="preserve"> и повећање вредности стамбеног фонда</w:t>
      </w:r>
      <w:r w:rsidRPr="00FF386D">
        <w:rPr>
          <w:rFonts w:asciiTheme="majorHAnsi" w:eastAsia="Times New Roman" w:hAnsiTheme="majorHAnsi" w:cstheme="majorHAnsi"/>
        </w:rPr>
        <w:t>.</w:t>
      </w:r>
    </w:p>
    <w:p w14:paraId="41827985" w14:textId="135E1CA7" w:rsidR="00EB3C75" w:rsidRPr="00FF386D" w:rsidRDefault="00F0370B" w:rsidP="00EB3C75">
      <w:pPr>
        <w:spacing w:after="120" w:line="240" w:lineRule="atLeast"/>
        <w:jc w:val="both"/>
        <w:rPr>
          <w:rFonts w:asciiTheme="majorHAnsi" w:eastAsia="Times New Roman" w:hAnsiTheme="majorHAnsi" w:cstheme="majorHAnsi"/>
          <w:szCs w:val="20"/>
        </w:rPr>
      </w:pPr>
      <w:r w:rsidRPr="00FF386D">
        <w:rPr>
          <w:rFonts w:asciiTheme="majorHAnsi" w:eastAsia="Times New Roman" w:hAnsiTheme="majorHAnsi" w:cstheme="majorHAnsi"/>
          <w:b/>
          <w:bCs/>
          <w:szCs w:val="20"/>
        </w:rPr>
        <w:t>Обнова</w:t>
      </w:r>
      <w:r w:rsidR="00EB3C75" w:rsidRPr="00FF386D">
        <w:rPr>
          <w:rFonts w:asciiTheme="majorHAnsi" w:eastAsia="Times New Roman" w:hAnsiTheme="majorHAnsi" w:cstheme="majorHAnsi"/>
          <w:b/>
          <w:bCs/>
          <w:szCs w:val="20"/>
        </w:rPr>
        <w:t xml:space="preserve"> зграда</w:t>
      </w:r>
      <w:r w:rsidR="00EB3C75" w:rsidRPr="00FF386D">
        <w:rPr>
          <w:rFonts w:asciiTheme="majorHAnsi" w:eastAsia="Times New Roman" w:hAnsiTheme="majorHAnsi" w:cstheme="majorHAnsi"/>
          <w:szCs w:val="20"/>
        </w:rPr>
        <w:t xml:space="preserve"> ће значајно допринети достизању циљева енергетске ефикасности. Биће уведене циљане политике и мере за подстицање стопе </w:t>
      </w:r>
      <w:r w:rsidR="00EB6282" w:rsidRPr="00FF386D">
        <w:rPr>
          <w:rFonts w:asciiTheme="majorHAnsi" w:eastAsia="Times New Roman" w:hAnsiTheme="majorHAnsi" w:cstheme="majorHAnsi"/>
          <w:szCs w:val="20"/>
        </w:rPr>
        <w:t>обнове</w:t>
      </w:r>
      <w:r w:rsidR="00EB3C75" w:rsidRPr="00FF386D">
        <w:rPr>
          <w:rFonts w:asciiTheme="majorHAnsi" w:eastAsia="Times New Roman" w:hAnsiTheme="majorHAnsi" w:cstheme="majorHAnsi"/>
          <w:szCs w:val="20"/>
        </w:rPr>
        <w:t xml:space="preserve"> од приближно 1% на годишњем нивоу у случају стамбених </w:t>
      </w:r>
      <w:r w:rsidR="00670329" w:rsidRPr="00FF386D">
        <w:rPr>
          <w:rFonts w:asciiTheme="majorHAnsi" w:eastAsia="Times New Roman" w:hAnsiTheme="majorHAnsi" w:cstheme="majorHAnsi"/>
          <w:szCs w:val="20"/>
        </w:rPr>
        <w:t>зграда (у складу са одредбама Дугорочне стратегије за подстицање улагања у обнову националног фонда зграда)</w:t>
      </w:r>
      <w:r w:rsidR="008E0734" w:rsidRPr="00FF386D">
        <w:rPr>
          <w:rFonts w:asciiTheme="majorHAnsi" w:eastAsia="Times New Roman" w:hAnsiTheme="majorHAnsi" w:cstheme="majorHAnsi"/>
          <w:szCs w:val="20"/>
        </w:rPr>
        <w:t xml:space="preserve">, 3% за зграде у јавном сектору и 2,3% за друге </w:t>
      </w:r>
      <w:r w:rsidR="00EB3C75" w:rsidRPr="00FF386D">
        <w:rPr>
          <w:rFonts w:asciiTheme="majorHAnsi" w:eastAsia="Times New Roman" w:hAnsiTheme="majorHAnsi" w:cstheme="majorHAnsi"/>
          <w:szCs w:val="20"/>
        </w:rPr>
        <w:t>нестамбен</w:t>
      </w:r>
      <w:r w:rsidR="008E0734" w:rsidRPr="00FF386D">
        <w:rPr>
          <w:rFonts w:asciiTheme="majorHAnsi" w:eastAsia="Times New Roman" w:hAnsiTheme="majorHAnsi" w:cstheme="majorHAnsi"/>
          <w:szCs w:val="20"/>
        </w:rPr>
        <w:t>е</w:t>
      </w:r>
      <w:r w:rsidR="00EB3C75" w:rsidRPr="00FF386D">
        <w:rPr>
          <w:rFonts w:asciiTheme="majorHAnsi" w:eastAsia="Times New Roman" w:hAnsiTheme="majorHAnsi" w:cstheme="majorHAnsi"/>
          <w:szCs w:val="20"/>
        </w:rPr>
        <w:t xml:space="preserve"> зград</w:t>
      </w:r>
      <w:r w:rsidR="008E0734" w:rsidRPr="00FF386D">
        <w:rPr>
          <w:rFonts w:asciiTheme="majorHAnsi" w:eastAsia="Times New Roman" w:hAnsiTheme="majorHAnsi" w:cstheme="majorHAnsi"/>
          <w:szCs w:val="20"/>
        </w:rPr>
        <w:t>е</w:t>
      </w:r>
      <w:r w:rsidR="00EB3C75" w:rsidRPr="00FF386D">
        <w:rPr>
          <w:rFonts w:asciiTheme="majorHAnsi" w:eastAsia="Times New Roman" w:hAnsiTheme="majorHAnsi" w:cstheme="majorHAnsi"/>
          <w:szCs w:val="20"/>
        </w:rPr>
        <w:t>. Слично томе, предвиђене су политике и мере и за индустријски сектор и сектор саобраћаја са фокусом на п</w:t>
      </w:r>
      <w:r w:rsidRPr="00FF386D">
        <w:rPr>
          <w:rFonts w:asciiTheme="majorHAnsi" w:eastAsia="Times New Roman" w:hAnsiTheme="majorHAnsi" w:cstheme="majorHAnsi"/>
          <w:szCs w:val="20"/>
        </w:rPr>
        <w:t>одстицање</w:t>
      </w:r>
      <w:r w:rsidR="00EB3C75" w:rsidRPr="00FF386D">
        <w:rPr>
          <w:rFonts w:asciiTheme="majorHAnsi" w:eastAsia="Times New Roman" w:hAnsiTheme="majorHAnsi" w:cstheme="majorHAnsi"/>
          <w:szCs w:val="20"/>
        </w:rPr>
        <w:t xml:space="preserve"> најекономичнијих технологија и возила.</w:t>
      </w:r>
    </w:p>
    <w:p w14:paraId="457CB211" w14:textId="663A4D21" w:rsidR="00EB3C75" w:rsidRPr="00FF386D" w:rsidRDefault="00EB3C75" w:rsidP="00EB3C75">
      <w:pPr>
        <w:spacing w:after="120" w:line="240" w:lineRule="atLeast"/>
        <w:jc w:val="both"/>
        <w:rPr>
          <w:rFonts w:asciiTheme="majorHAnsi" w:eastAsia="Times New Roman" w:hAnsiTheme="majorHAnsi" w:cstheme="majorHAnsi"/>
          <w:szCs w:val="20"/>
        </w:rPr>
      </w:pPr>
      <w:r w:rsidRPr="00FF386D">
        <w:rPr>
          <w:rFonts w:asciiTheme="majorHAnsi" w:eastAsia="Times New Roman" w:hAnsiTheme="majorHAnsi" w:cstheme="majorHAnsi"/>
          <w:szCs w:val="20"/>
        </w:rPr>
        <w:t xml:space="preserve">Акценат ће бити стављен на </w:t>
      </w:r>
      <w:r w:rsidRPr="00FF386D">
        <w:rPr>
          <w:rFonts w:asciiTheme="majorHAnsi" w:eastAsia="Times New Roman" w:hAnsiTheme="majorHAnsi" w:cstheme="majorHAnsi"/>
          <w:b/>
          <w:bCs/>
          <w:szCs w:val="20"/>
        </w:rPr>
        <w:t xml:space="preserve">оптимално коришћење доступних јавних и </w:t>
      </w:r>
      <w:r w:rsidR="008E0734" w:rsidRPr="00FF386D">
        <w:rPr>
          <w:rFonts w:asciiTheme="majorHAnsi" w:eastAsia="Times New Roman" w:hAnsiTheme="majorHAnsi" w:cstheme="majorHAnsi"/>
          <w:b/>
          <w:bCs/>
          <w:szCs w:val="20"/>
        </w:rPr>
        <w:t xml:space="preserve">сопствених </w:t>
      </w:r>
      <w:r w:rsidRPr="00FF386D">
        <w:rPr>
          <w:rFonts w:asciiTheme="majorHAnsi" w:eastAsia="Times New Roman" w:hAnsiTheme="majorHAnsi" w:cstheme="majorHAnsi"/>
          <w:b/>
          <w:bCs/>
          <w:szCs w:val="20"/>
        </w:rPr>
        <w:t>извора финансирања,</w:t>
      </w:r>
      <w:r w:rsidRPr="00FF386D">
        <w:rPr>
          <w:rFonts w:asciiTheme="majorHAnsi" w:eastAsia="Times New Roman" w:hAnsiTheme="majorHAnsi" w:cstheme="majorHAnsi"/>
          <w:szCs w:val="20"/>
        </w:rPr>
        <w:t xml:space="preserve"> чиме се обезбеђује постизање максималних нивоа активираних користи за крајње потрошаче, узимајући у обзир специфичности сваке категорије крајњих </w:t>
      </w:r>
      <w:r w:rsidR="00477920" w:rsidRPr="00FF386D">
        <w:rPr>
          <w:rFonts w:asciiTheme="majorHAnsi" w:eastAsia="Times New Roman" w:hAnsiTheme="majorHAnsi" w:cstheme="majorHAnsi"/>
          <w:szCs w:val="20"/>
        </w:rPr>
        <w:t>потрошача</w:t>
      </w:r>
      <w:r w:rsidRPr="00FF386D">
        <w:rPr>
          <w:rFonts w:asciiTheme="majorHAnsi" w:eastAsia="Times New Roman" w:hAnsiTheme="majorHAnsi" w:cstheme="majorHAnsi"/>
          <w:szCs w:val="20"/>
        </w:rPr>
        <w:t xml:space="preserve"> и карактеристике енергетског сектора.</w:t>
      </w:r>
    </w:p>
    <w:p w14:paraId="5BC80C58" w14:textId="30A7A342" w:rsidR="00EB3C75" w:rsidRPr="00C312D6" w:rsidRDefault="00EB3C75" w:rsidP="00EB3C75">
      <w:pPr>
        <w:spacing w:after="120" w:line="240" w:lineRule="atLeast"/>
        <w:jc w:val="both"/>
        <w:rPr>
          <w:rFonts w:asciiTheme="majorHAnsi" w:eastAsia="Times New Roman" w:hAnsiTheme="majorHAnsi" w:cstheme="majorHAnsi"/>
          <w:szCs w:val="20"/>
        </w:rPr>
      </w:pPr>
      <w:r w:rsidRPr="00FF386D">
        <w:rPr>
          <w:rFonts w:asciiTheme="majorHAnsi" w:eastAsia="Times New Roman" w:hAnsiTheme="majorHAnsi" w:cstheme="majorHAnsi"/>
          <w:szCs w:val="20"/>
        </w:rPr>
        <w:t xml:space="preserve">Други кључни циљ у оквиру </w:t>
      </w:r>
      <w:r w:rsidR="008E0734" w:rsidRPr="00FF386D">
        <w:rPr>
          <w:rFonts w:asciiTheme="majorHAnsi" w:eastAsia="Times New Roman" w:hAnsiTheme="majorHAnsi" w:cstheme="majorHAnsi"/>
          <w:szCs w:val="20"/>
        </w:rPr>
        <w:t>И</w:t>
      </w:r>
      <w:r w:rsidRPr="00FF386D">
        <w:rPr>
          <w:rFonts w:asciiTheme="majorHAnsi" w:eastAsia="Times New Roman" w:hAnsiTheme="majorHAnsi" w:cstheme="majorHAnsi"/>
          <w:szCs w:val="20"/>
        </w:rPr>
        <w:t>НЕКП-а</w:t>
      </w:r>
      <w:r w:rsidR="00EB6282" w:rsidRPr="00FF386D">
        <w:rPr>
          <w:rFonts w:asciiTheme="majorHAnsi" w:eastAsia="Times New Roman" w:hAnsiTheme="majorHAnsi" w:cstheme="majorHAnsi"/>
          <w:szCs w:val="20"/>
        </w:rPr>
        <w:t xml:space="preserve"> представља</w:t>
      </w:r>
      <w:r w:rsidRPr="00FF386D">
        <w:rPr>
          <w:rFonts w:asciiTheme="majorHAnsi" w:eastAsia="Times New Roman" w:hAnsiTheme="majorHAnsi" w:cstheme="majorHAnsi"/>
          <w:szCs w:val="20"/>
        </w:rPr>
        <w:t xml:space="preserve"> амбициозан, али и реал</w:t>
      </w:r>
      <w:r w:rsidR="00EB6282" w:rsidRPr="00FF386D">
        <w:rPr>
          <w:rFonts w:asciiTheme="majorHAnsi" w:eastAsia="Times New Roman" w:hAnsiTheme="majorHAnsi" w:cstheme="majorHAnsi"/>
          <w:szCs w:val="20"/>
        </w:rPr>
        <w:t>истичан</w:t>
      </w:r>
      <w:r w:rsidRPr="00FF386D">
        <w:rPr>
          <w:rFonts w:asciiTheme="majorHAnsi" w:eastAsia="Times New Roman" w:hAnsiTheme="majorHAnsi" w:cstheme="majorHAnsi"/>
          <w:szCs w:val="20"/>
        </w:rPr>
        <w:t xml:space="preserve"> програм за </w:t>
      </w:r>
      <w:r w:rsidRPr="00FF386D">
        <w:rPr>
          <w:rFonts w:asciiTheme="majorHAnsi" w:eastAsia="Times New Roman" w:hAnsiTheme="majorHAnsi" w:cstheme="majorHAnsi"/>
          <w:b/>
          <w:bCs/>
          <w:szCs w:val="20"/>
        </w:rPr>
        <w:t>смањење учешћа лигнита у производњи електричне енергије</w:t>
      </w:r>
      <w:r w:rsidRPr="00FF386D">
        <w:rPr>
          <w:rFonts w:asciiTheme="majorHAnsi" w:eastAsia="Times New Roman" w:hAnsiTheme="majorHAnsi" w:cstheme="majorHAnsi"/>
          <w:szCs w:val="20"/>
        </w:rPr>
        <w:t>, односно постепено повлачење</w:t>
      </w:r>
      <w:r w:rsidRPr="00FF386D">
        <w:rPr>
          <w:rFonts w:asciiTheme="majorHAnsi" w:eastAsia="Times New Roman" w:hAnsiTheme="majorHAnsi" w:cstheme="majorHAnsi"/>
          <w:bCs/>
          <w:szCs w:val="20"/>
        </w:rPr>
        <w:t xml:space="preserve"> лигнита, за </w:t>
      </w:r>
      <w:r w:rsidR="008E0734" w:rsidRPr="00FF386D">
        <w:rPr>
          <w:rFonts w:asciiTheme="majorHAnsi" w:eastAsia="Times New Roman" w:hAnsiTheme="majorHAnsi" w:cstheme="majorHAnsi"/>
          <w:bCs/>
          <w:szCs w:val="20"/>
        </w:rPr>
        <w:t>до 2</w:t>
      </w:r>
      <w:r w:rsidRPr="00FF386D">
        <w:rPr>
          <w:rFonts w:asciiTheme="majorHAnsi" w:eastAsia="Times New Roman" w:hAnsiTheme="majorHAnsi" w:cstheme="majorHAnsi"/>
          <w:bCs/>
          <w:szCs w:val="20"/>
        </w:rPr>
        <w:t>5% у 2030. години у односу на 2019. годину</w:t>
      </w:r>
      <w:r w:rsidRPr="00FF386D">
        <w:rPr>
          <w:rFonts w:asciiTheme="majorHAnsi" w:eastAsia="Times New Roman" w:hAnsiTheme="majorHAnsi" w:cstheme="majorHAnsi"/>
          <w:szCs w:val="20"/>
        </w:rPr>
        <w:t>. Повлачење лигнита у Републици Србији биће спроведено применом циљаних иницијатива, које обухватају усвајање интегрисаних програма за подршку областима у којима се врши експлоатација лигнита и обезбеђивање несметан</w:t>
      </w:r>
      <w:r w:rsidR="00EB6282" w:rsidRPr="00FF386D">
        <w:rPr>
          <w:rFonts w:asciiTheme="majorHAnsi" w:eastAsia="Times New Roman" w:hAnsiTheme="majorHAnsi" w:cstheme="majorHAnsi"/>
          <w:szCs w:val="20"/>
        </w:rPr>
        <w:t>е транзиције</w:t>
      </w:r>
      <w:r w:rsidRPr="00FF386D">
        <w:rPr>
          <w:rFonts w:asciiTheme="majorHAnsi" w:eastAsia="Times New Roman" w:hAnsiTheme="majorHAnsi" w:cstheme="majorHAnsi"/>
          <w:szCs w:val="20"/>
        </w:rPr>
        <w:t xml:space="preserve"> у </w:t>
      </w:r>
      <w:r w:rsidR="00F0370B" w:rsidRPr="00FF386D">
        <w:rPr>
          <w:rFonts w:asciiTheme="majorHAnsi" w:eastAsia="Times New Roman" w:hAnsiTheme="majorHAnsi" w:cstheme="majorHAnsi"/>
          <w:szCs w:val="20"/>
        </w:rPr>
        <w:t>е</w:t>
      </w:r>
      <w:r w:rsidR="00EB6282" w:rsidRPr="00FF386D">
        <w:rPr>
          <w:rFonts w:asciiTheme="majorHAnsi" w:eastAsia="Times New Roman" w:hAnsiTheme="majorHAnsi" w:cstheme="majorHAnsi"/>
          <w:szCs w:val="20"/>
        </w:rPr>
        <w:t>ру</w:t>
      </w:r>
      <w:r w:rsidR="00F0370B" w:rsidRPr="00FF386D">
        <w:rPr>
          <w:rFonts w:asciiTheme="majorHAnsi" w:eastAsia="Times New Roman" w:hAnsiTheme="majorHAnsi" w:cstheme="majorHAnsi"/>
          <w:szCs w:val="20"/>
        </w:rPr>
        <w:t xml:space="preserve"> без лигнита</w:t>
      </w:r>
      <w:r w:rsidRPr="00FF386D">
        <w:rPr>
          <w:rFonts w:asciiTheme="majorHAnsi" w:eastAsia="Times New Roman" w:hAnsiTheme="majorHAnsi" w:cstheme="majorHAnsi"/>
          <w:szCs w:val="20"/>
        </w:rPr>
        <w:t>.</w:t>
      </w:r>
    </w:p>
    <w:p w14:paraId="248E6177" w14:textId="1266ECAD" w:rsidR="00EB3C75" w:rsidRPr="00FF386D" w:rsidRDefault="00EB3C75" w:rsidP="00EB3C75">
      <w:pPr>
        <w:spacing w:after="120" w:line="240" w:lineRule="atLeast"/>
        <w:jc w:val="both"/>
        <w:rPr>
          <w:rFonts w:asciiTheme="majorHAnsi" w:eastAsia="Times New Roman" w:hAnsiTheme="majorHAnsi" w:cstheme="majorHAnsi"/>
          <w:szCs w:val="20"/>
        </w:rPr>
      </w:pPr>
      <w:r w:rsidRPr="00FF386D">
        <w:rPr>
          <w:rFonts w:asciiTheme="majorHAnsi" w:eastAsia="Times New Roman" w:hAnsiTheme="majorHAnsi" w:cstheme="majorHAnsi"/>
          <w:szCs w:val="20"/>
        </w:rPr>
        <w:t xml:space="preserve">Сви наведени циљеви </w:t>
      </w:r>
      <w:r w:rsidR="008E0734" w:rsidRPr="00FF386D">
        <w:rPr>
          <w:rFonts w:asciiTheme="majorHAnsi" w:eastAsia="Times New Roman" w:hAnsiTheme="majorHAnsi" w:cstheme="majorHAnsi"/>
          <w:szCs w:val="20"/>
        </w:rPr>
        <w:t>И</w:t>
      </w:r>
      <w:r w:rsidRPr="00FF386D">
        <w:rPr>
          <w:rFonts w:asciiTheme="majorHAnsi" w:eastAsia="Times New Roman" w:hAnsiTheme="majorHAnsi" w:cstheme="majorHAnsi"/>
          <w:szCs w:val="20"/>
        </w:rPr>
        <w:t>НЕКП-а, сходно томе, доприн</w:t>
      </w:r>
      <w:r w:rsidR="00F0370B" w:rsidRPr="00FF386D">
        <w:rPr>
          <w:rFonts w:asciiTheme="majorHAnsi" w:eastAsia="Times New Roman" w:hAnsiTheme="majorHAnsi" w:cstheme="majorHAnsi"/>
          <w:szCs w:val="20"/>
        </w:rPr>
        <w:t>еће</w:t>
      </w:r>
      <w:r w:rsidRPr="00FF386D">
        <w:rPr>
          <w:rFonts w:asciiTheme="majorHAnsi" w:eastAsia="Times New Roman" w:hAnsiTheme="majorHAnsi" w:cstheme="majorHAnsi"/>
          <w:szCs w:val="20"/>
        </w:rPr>
        <w:t xml:space="preserve"> </w:t>
      </w:r>
      <w:r w:rsidRPr="00FF386D">
        <w:rPr>
          <w:rFonts w:asciiTheme="majorHAnsi" w:eastAsia="Times New Roman" w:hAnsiTheme="majorHAnsi" w:cstheme="majorHAnsi"/>
          <w:b/>
          <w:bCs/>
          <w:szCs w:val="20"/>
        </w:rPr>
        <w:t xml:space="preserve">значајном смањењу емисија </w:t>
      </w:r>
      <w:r w:rsidRPr="00FF386D">
        <w:rPr>
          <w:rFonts w:asciiTheme="majorHAnsi" w:eastAsia="Times New Roman" w:hAnsiTheme="majorHAnsi" w:cstheme="majorHAnsi"/>
          <w:b/>
          <w:bCs/>
          <w:i/>
          <w:szCs w:val="20"/>
        </w:rPr>
        <w:t>GHG</w:t>
      </w:r>
      <w:r w:rsidRPr="00FF386D">
        <w:rPr>
          <w:rFonts w:asciiTheme="majorHAnsi" w:eastAsia="Times New Roman" w:hAnsiTheme="majorHAnsi" w:cstheme="majorHAnsi"/>
          <w:b/>
          <w:bCs/>
          <w:szCs w:val="20"/>
        </w:rPr>
        <w:t xml:space="preserve"> до 2030. године</w:t>
      </w:r>
      <w:r w:rsidRPr="00FF386D">
        <w:rPr>
          <w:rFonts w:asciiTheme="majorHAnsi" w:eastAsia="Times New Roman" w:hAnsiTheme="majorHAnsi" w:cstheme="majorHAnsi"/>
          <w:szCs w:val="20"/>
        </w:rPr>
        <w:t xml:space="preserve">, остварујући смањење емисије </w:t>
      </w:r>
      <w:r w:rsidRPr="00FF386D">
        <w:rPr>
          <w:rFonts w:asciiTheme="majorHAnsi" w:eastAsia="Times New Roman" w:hAnsiTheme="majorHAnsi" w:cstheme="majorHAnsi"/>
          <w:i/>
          <w:szCs w:val="20"/>
        </w:rPr>
        <w:t xml:space="preserve">GHG </w:t>
      </w:r>
      <w:r w:rsidRPr="00FF386D">
        <w:rPr>
          <w:rFonts w:asciiTheme="majorHAnsi" w:eastAsia="Times New Roman" w:hAnsiTheme="majorHAnsi" w:cstheme="majorHAnsi"/>
          <w:szCs w:val="20"/>
        </w:rPr>
        <w:t>од 13,2% у односу на нивоу из 2010. године, односно од 33</w:t>
      </w:r>
      <w:r w:rsidR="00532D8F" w:rsidRPr="000A2AFE">
        <w:rPr>
          <w:rFonts w:asciiTheme="majorHAnsi" w:eastAsia="Times New Roman" w:hAnsiTheme="majorHAnsi" w:cstheme="majorHAnsi"/>
          <w:szCs w:val="20"/>
        </w:rPr>
        <w:t>,3</w:t>
      </w:r>
      <w:r w:rsidRPr="00FF386D">
        <w:rPr>
          <w:rFonts w:asciiTheme="majorHAnsi" w:eastAsia="Times New Roman" w:hAnsiTheme="majorHAnsi" w:cstheme="majorHAnsi"/>
          <w:szCs w:val="20"/>
        </w:rPr>
        <w:t>% до 2030. у односу на 1990. годину</w:t>
      </w:r>
      <w:r w:rsidR="008E0734" w:rsidRPr="00FF386D">
        <w:rPr>
          <w:rFonts w:asciiTheme="majorHAnsi" w:eastAsia="Times New Roman" w:hAnsiTheme="majorHAnsi" w:cstheme="majorHAnsi"/>
          <w:szCs w:val="20"/>
        </w:rPr>
        <w:t xml:space="preserve"> (искључујући коришћењ</w:t>
      </w:r>
      <w:r w:rsidR="00330474" w:rsidRPr="00FF386D">
        <w:rPr>
          <w:rFonts w:asciiTheme="majorHAnsi" w:eastAsia="Times New Roman" w:hAnsiTheme="majorHAnsi" w:cstheme="majorHAnsi"/>
          <w:szCs w:val="20"/>
        </w:rPr>
        <w:t>е</w:t>
      </w:r>
      <w:r w:rsidR="008E0734" w:rsidRPr="00FF386D">
        <w:rPr>
          <w:rFonts w:asciiTheme="majorHAnsi" w:eastAsia="Times New Roman" w:hAnsiTheme="majorHAnsi" w:cstheme="majorHAnsi"/>
          <w:szCs w:val="20"/>
        </w:rPr>
        <w:t xml:space="preserve"> земљишта, промене коришћења земљишта и шумарств</w:t>
      </w:r>
      <w:r w:rsidR="000B4497">
        <w:rPr>
          <w:rFonts w:asciiTheme="majorHAnsi" w:eastAsia="Times New Roman" w:hAnsiTheme="majorHAnsi" w:cstheme="majorHAnsi"/>
          <w:szCs w:val="20"/>
        </w:rPr>
        <w:t>о</w:t>
      </w:r>
      <w:r w:rsidR="008E0734" w:rsidRPr="00FF386D">
        <w:rPr>
          <w:rFonts w:asciiTheme="majorHAnsi" w:eastAsia="Times New Roman" w:hAnsiTheme="majorHAnsi" w:cstheme="majorHAnsi"/>
          <w:szCs w:val="20"/>
        </w:rPr>
        <w:t>)</w:t>
      </w:r>
      <w:r w:rsidRPr="00FF386D">
        <w:rPr>
          <w:rFonts w:asciiTheme="majorHAnsi" w:eastAsia="Times New Roman" w:hAnsiTheme="majorHAnsi" w:cstheme="majorHAnsi"/>
          <w:szCs w:val="20"/>
        </w:rPr>
        <w:t xml:space="preserve">. </w:t>
      </w:r>
      <w:r w:rsidR="008E0734" w:rsidRPr="00FF386D">
        <w:rPr>
          <w:rFonts w:asciiTheme="majorHAnsi" w:eastAsia="Times New Roman" w:hAnsiTheme="majorHAnsi" w:cstheme="majorHAnsi"/>
          <w:szCs w:val="20"/>
        </w:rPr>
        <w:t xml:space="preserve">Циљ </w:t>
      </w:r>
      <w:r w:rsidR="00EE1D57" w:rsidRPr="00FF386D">
        <w:rPr>
          <w:rFonts w:asciiTheme="majorHAnsi" w:eastAsia="Times New Roman" w:hAnsiTheme="majorHAnsi" w:cstheme="majorHAnsi"/>
          <w:szCs w:val="20"/>
        </w:rPr>
        <w:t xml:space="preserve">у погледу </w:t>
      </w:r>
      <w:r w:rsidR="008E0734" w:rsidRPr="00FF386D">
        <w:rPr>
          <w:rFonts w:asciiTheme="majorHAnsi" w:eastAsia="Times New Roman" w:hAnsiTheme="majorHAnsi" w:cstheme="majorHAnsi"/>
          <w:szCs w:val="20"/>
        </w:rPr>
        <w:t>укупно</w:t>
      </w:r>
      <w:r w:rsidR="00EE1D57" w:rsidRPr="00FF386D">
        <w:rPr>
          <w:rFonts w:asciiTheme="majorHAnsi" w:eastAsia="Times New Roman" w:hAnsiTheme="majorHAnsi" w:cstheme="majorHAnsi"/>
          <w:szCs w:val="20"/>
        </w:rPr>
        <w:t>г</w:t>
      </w:r>
      <w:r w:rsidR="008E0734" w:rsidRPr="00FF386D">
        <w:rPr>
          <w:rFonts w:asciiTheme="majorHAnsi" w:eastAsia="Times New Roman" w:hAnsiTheme="majorHAnsi" w:cstheme="majorHAnsi"/>
          <w:szCs w:val="20"/>
        </w:rPr>
        <w:t xml:space="preserve"> смањењ</w:t>
      </w:r>
      <w:r w:rsidR="00EE1D57" w:rsidRPr="00FF386D">
        <w:rPr>
          <w:rFonts w:asciiTheme="majorHAnsi" w:eastAsia="Times New Roman" w:hAnsiTheme="majorHAnsi" w:cstheme="majorHAnsi"/>
          <w:szCs w:val="20"/>
        </w:rPr>
        <w:t>а</w:t>
      </w:r>
      <w:r w:rsidR="008E0734" w:rsidRPr="00FF386D">
        <w:rPr>
          <w:rFonts w:asciiTheme="majorHAnsi" w:eastAsia="Times New Roman" w:hAnsiTheme="majorHAnsi" w:cstheme="majorHAnsi"/>
          <w:szCs w:val="20"/>
        </w:rPr>
        <w:t xml:space="preserve"> емисија за 2030. годину </w:t>
      </w:r>
      <w:r w:rsidR="001F4A85" w:rsidRPr="00FF386D">
        <w:rPr>
          <w:rFonts w:asciiTheme="majorHAnsi" w:eastAsia="Times New Roman" w:hAnsiTheme="majorHAnsi" w:cstheme="majorHAnsi"/>
          <w:szCs w:val="20"/>
        </w:rPr>
        <w:t>износи</w:t>
      </w:r>
      <w:r w:rsidR="008E0734" w:rsidRPr="00FF386D">
        <w:rPr>
          <w:rFonts w:asciiTheme="majorHAnsi" w:eastAsia="Times New Roman" w:hAnsiTheme="majorHAnsi" w:cstheme="majorHAnsi"/>
          <w:szCs w:val="20"/>
        </w:rPr>
        <w:t xml:space="preserve"> 40,3% у односу на нивое из 1990. године (укључујући </w:t>
      </w:r>
      <w:r w:rsidR="008E0734" w:rsidRPr="00FF386D">
        <w:rPr>
          <w:rFonts w:asciiTheme="majorHAnsi" w:eastAsia="Times New Roman" w:hAnsiTheme="majorHAnsi" w:cstheme="majorHAnsi"/>
          <w:i/>
          <w:iCs/>
          <w:szCs w:val="20"/>
        </w:rPr>
        <w:t>LULUCF</w:t>
      </w:r>
      <w:r w:rsidR="008E0734" w:rsidRPr="00FF386D">
        <w:rPr>
          <w:rFonts w:asciiTheme="majorHAnsi" w:eastAsia="Times New Roman" w:hAnsiTheme="majorHAnsi" w:cstheme="majorHAnsi"/>
          <w:szCs w:val="20"/>
        </w:rPr>
        <w:t xml:space="preserve">). </w:t>
      </w:r>
      <w:r w:rsidRPr="00FF386D">
        <w:rPr>
          <w:rFonts w:asciiTheme="majorHAnsi" w:eastAsia="Times New Roman" w:hAnsiTheme="majorHAnsi" w:cstheme="majorHAnsi"/>
          <w:szCs w:val="20"/>
        </w:rPr>
        <w:t xml:space="preserve">Уопштено говорећи, Република Србија је одлучила да подржи транзицију ка климатски неутралној привреди с циљем да побољша конкурентност </w:t>
      </w:r>
      <w:r w:rsidRPr="00FF386D">
        <w:rPr>
          <w:rFonts w:asciiTheme="majorHAnsi" w:eastAsia="Times New Roman" w:hAnsiTheme="majorHAnsi" w:cstheme="majorHAnsi"/>
          <w:szCs w:val="20"/>
        </w:rPr>
        <w:lastRenderedPageBreak/>
        <w:t>привреде, повећа запосленост, ојача улогу потрошача и унапреди укупни оперативни оквир конкурентних енергетских тржишта, чиме ће се повећати социјално благостање.</w:t>
      </w:r>
    </w:p>
    <w:p w14:paraId="053DCF60" w14:textId="2A2EE455" w:rsidR="00EB3C75" w:rsidRPr="00FF386D" w:rsidRDefault="00EB3C75" w:rsidP="00EB3C75">
      <w:pPr>
        <w:spacing w:after="120" w:line="240" w:lineRule="atLeast"/>
        <w:ind w:right="196"/>
        <w:jc w:val="both"/>
        <w:rPr>
          <w:rFonts w:asciiTheme="majorHAnsi" w:eastAsia="Times New Roman" w:hAnsiTheme="majorHAnsi" w:cstheme="majorHAnsi"/>
          <w:szCs w:val="20"/>
        </w:rPr>
      </w:pPr>
      <w:r w:rsidRPr="00FF386D">
        <w:rPr>
          <w:rFonts w:asciiTheme="majorHAnsi" w:eastAsia="Times New Roman" w:hAnsiTheme="majorHAnsi" w:cstheme="majorHAnsi"/>
          <w:szCs w:val="20"/>
        </w:rPr>
        <w:t xml:space="preserve">У том контексту, постављају се и </w:t>
      </w:r>
      <w:r w:rsidRPr="00FF386D">
        <w:rPr>
          <w:rFonts w:asciiTheme="majorHAnsi" w:eastAsia="Times New Roman" w:hAnsiTheme="majorHAnsi" w:cstheme="majorHAnsi"/>
          <w:b/>
          <w:bCs/>
          <w:szCs w:val="20"/>
        </w:rPr>
        <w:t>додатни национални циљеви</w:t>
      </w:r>
      <w:r w:rsidRPr="00FF386D">
        <w:rPr>
          <w:rFonts w:asciiTheme="majorHAnsi" w:eastAsia="Times New Roman" w:hAnsiTheme="majorHAnsi" w:cstheme="majorHAnsi"/>
          <w:szCs w:val="20"/>
        </w:rPr>
        <w:t xml:space="preserve"> узимајући у обзир постојећи потенцијал, техничке специфичности и квалитативне карактеристике енергетског сектора и привреде Србије.</w:t>
      </w:r>
    </w:p>
    <w:p w14:paraId="2F4951BE" w14:textId="77777777" w:rsidR="00EB3C75" w:rsidRPr="00FF386D" w:rsidRDefault="00EB3C75" w:rsidP="00EB3C75">
      <w:pPr>
        <w:spacing w:after="120" w:line="240" w:lineRule="atLeast"/>
        <w:ind w:right="196"/>
        <w:jc w:val="both"/>
        <w:rPr>
          <w:rFonts w:asciiTheme="majorHAnsi" w:eastAsia="Times New Roman" w:hAnsiTheme="majorHAnsi" w:cstheme="majorHAnsi"/>
          <w:szCs w:val="20"/>
        </w:rPr>
      </w:pPr>
      <w:r w:rsidRPr="00FF386D">
        <w:rPr>
          <w:rFonts w:asciiTheme="majorHAnsi" w:eastAsia="Times New Roman" w:hAnsiTheme="majorHAnsi" w:cstheme="majorHAnsi"/>
          <w:szCs w:val="20"/>
        </w:rPr>
        <w:t>Тачније, утврђени су следећи квалитативни циљеви:</w:t>
      </w:r>
    </w:p>
    <w:p w14:paraId="2AD1C4E2" w14:textId="63FA640C" w:rsidR="00EB3C75" w:rsidRPr="00FF386D" w:rsidRDefault="00EB3C75">
      <w:pPr>
        <w:pStyle w:val="ListParagraph"/>
        <w:widowControl w:val="0"/>
        <w:numPr>
          <w:ilvl w:val="0"/>
          <w:numId w:val="265"/>
        </w:numPr>
        <w:tabs>
          <w:tab w:val="num" w:pos="360"/>
        </w:tabs>
        <w:spacing w:after="0" w:line="276" w:lineRule="auto"/>
        <w:jc w:val="both"/>
        <w:rPr>
          <w:rFonts w:asciiTheme="majorHAnsi" w:eastAsia="Times New Roman" w:hAnsiTheme="majorHAnsi" w:cstheme="majorHAnsi"/>
          <w:b/>
          <w:bCs/>
          <w:lang w:eastAsia="en-GB"/>
        </w:rPr>
      </w:pPr>
      <w:r w:rsidRPr="00FF386D">
        <w:rPr>
          <w:rFonts w:asciiTheme="majorHAnsi" w:eastAsia="Times New Roman" w:hAnsiTheme="majorHAnsi" w:cstheme="majorHAnsi"/>
          <w:lang w:eastAsia="en-GB"/>
        </w:rPr>
        <w:t xml:space="preserve">Унапређење </w:t>
      </w:r>
      <w:r w:rsidR="002353B4">
        <w:rPr>
          <w:rFonts w:asciiTheme="majorHAnsi" w:eastAsia="Times New Roman" w:hAnsiTheme="majorHAnsi" w:cstheme="majorHAnsi"/>
          <w:lang w:eastAsia="en-GB"/>
        </w:rPr>
        <w:t>регионалне повезаности</w:t>
      </w:r>
      <w:r w:rsidRPr="00FF386D">
        <w:rPr>
          <w:rFonts w:asciiTheme="majorHAnsi" w:eastAsia="Times New Roman" w:hAnsiTheme="majorHAnsi" w:cstheme="majorHAnsi"/>
          <w:lang w:eastAsia="en-GB"/>
        </w:rPr>
        <w:t xml:space="preserve"> и сигурност</w:t>
      </w:r>
      <w:r w:rsidR="00E1638D">
        <w:rPr>
          <w:rFonts w:asciiTheme="majorHAnsi" w:eastAsia="Times New Roman" w:hAnsiTheme="majorHAnsi" w:cstheme="majorHAnsi"/>
          <w:lang w:eastAsia="en-GB"/>
        </w:rPr>
        <w:t>и</w:t>
      </w:r>
      <w:r w:rsidRPr="00FF386D">
        <w:rPr>
          <w:rFonts w:asciiTheme="majorHAnsi" w:eastAsia="Times New Roman" w:hAnsiTheme="majorHAnsi" w:cstheme="majorHAnsi"/>
          <w:lang w:eastAsia="en-GB"/>
        </w:rPr>
        <w:t xml:space="preserve"> снабдевања енергијом</w:t>
      </w:r>
    </w:p>
    <w:p w14:paraId="4C7AEA4B" w14:textId="17DD1207" w:rsidR="00EB3C75" w:rsidRPr="00FF386D" w:rsidRDefault="00EB3C75">
      <w:pPr>
        <w:pStyle w:val="ListParagraph"/>
        <w:widowControl w:val="0"/>
        <w:numPr>
          <w:ilvl w:val="0"/>
          <w:numId w:val="265"/>
        </w:numPr>
        <w:tabs>
          <w:tab w:val="num" w:pos="360"/>
        </w:tabs>
        <w:spacing w:after="0" w:line="276" w:lineRule="auto"/>
        <w:jc w:val="both"/>
        <w:rPr>
          <w:rFonts w:ascii="Calibri Light" w:eastAsia="Times New Roman" w:hAnsi="Calibri Light" w:cstheme="majorHAnsi"/>
          <w:b/>
          <w:bCs/>
          <w:lang w:eastAsia="en-GB"/>
        </w:rPr>
      </w:pPr>
      <w:r w:rsidRPr="00FF386D">
        <w:rPr>
          <w:rFonts w:ascii="Calibri Light" w:eastAsia="Times New Roman" w:hAnsi="Calibri Light" w:cs="Calibri Light"/>
          <w:lang w:eastAsia="en-GB"/>
        </w:rPr>
        <w:t xml:space="preserve">Либерализација </w:t>
      </w:r>
      <w:r w:rsidR="00A31DB8" w:rsidRPr="00FF386D">
        <w:rPr>
          <w:rFonts w:ascii="Calibri Light" w:eastAsia="Times New Roman" w:hAnsi="Calibri Light" w:cs="Calibri Light"/>
          <w:lang w:eastAsia="en-GB"/>
        </w:rPr>
        <w:t xml:space="preserve">и повећање конкурентности </w:t>
      </w:r>
      <w:r w:rsidRPr="00FF386D">
        <w:rPr>
          <w:rFonts w:ascii="Calibri Light" w:eastAsia="Times New Roman" w:hAnsi="Calibri Light" w:cs="Calibri Light"/>
          <w:lang w:eastAsia="en-GB"/>
        </w:rPr>
        <w:t>енергетских тржишта и</w:t>
      </w:r>
    </w:p>
    <w:p w14:paraId="227B1112" w14:textId="77777777" w:rsidR="00EB3C75" w:rsidRPr="00FF386D" w:rsidRDefault="00EB3C75">
      <w:pPr>
        <w:pStyle w:val="ListParagraph"/>
        <w:widowControl w:val="0"/>
        <w:numPr>
          <w:ilvl w:val="0"/>
          <w:numId w:val="265"/>
        </w:numPr>
        <w:tabs>
          <w:tab w:val="num" w:pos="360"/>
        </w:tabs>
        <w:spacing w:after="0" w:line="276" w:lineRule="auto"/>
        <w:jc w:val="both"/>
        <w:rPr>
          <w:rFonts w:ascii="Calibri Light" w:eastAsia="Times New Roman" w:hAnsi="Calibri Light" w:cstheme="majorHAnsi"/>
          <w:b/>
          <w:bCs/>
          <w:lang w:eastAsia="en-GB"/>
        </w:rPr>
      </w:pPr>
      <w:r w:rsidRPr="00FF386D">
        <w:rPr>
          <w:rFonts w:ascii="Calibri Light" w:eastAsia="Times New Roman" w:hAnsi="Calibri Light" w:cs="Calibri Light"/>
          <w:lang w:eastAsia="en-GB"/>
        </w:rPr>
        <w:t>Омогућавање оптималног развоја и рада енергетског система и енергетске инфраструктуре</w:t>
      </w:r>
    </w:p>
    <w:p w14:paraId="664AA080" w14:textId="77777777" w:rsidR="00EB3C75" w:rsidRPr="00FF386D" w:rsidRDefault="00EB3C75">
      <w:pPr>
        <w:pStyle w:val="ListParagraph"/>
        <w:widowControl w:val="0"/>
        <w:numPr>
          <w:ilvl w:val="0"/>
          <w:numId w:val="265"/>
        </w:numPr>
        <w:tabs>
          <w:tab w:val="num" w:pos="360"/>
        </w:tabs>
        <w:spacing w:after="0" w:line="276" w:lineRule="auto"/>
        <w:jc w:val="both"/>
        <w:rPr>
          <w:rFonts w:asciiTheme="majorHAnsi" w:eastAsia="Times New Roman" w:hAnsiTheme="majorHAnsi" w:cstheme="majorHAnsi"/>
          <w:b/>
          <w:bCs/>
          <w:lang w:eastAsia="en-GB"/>
        </w:rPr>
      </w:pPr>
      <w:r w:rsidRPr="00FF386D">
        <w:rPr>
          <w:rFonts w:asciiTheme="majorHAnsi" w:eastAsia="Times New Roman" w:hAnsiTheme="majorHAnsi" w:cstheme="majorHAnsi"/>
          <w:lang w:eastAsia="en-GB"/>
        </w:rPr>
        <w:t>Заштита и јачање улоге потрошача</w:t>
      </w:r>
    </w:p>
    <w:p w14:paraId="57FC3AD8" w14:textId="77777777" w:rsidR="00EB3C75" w:rsidRPr="00FF386D" w:rsidRDefault="00EB3C75">
      <w:pPr>
        <w:pStyle w:val="ListParagraph"/>
        <w:widowControl w:val="0"/>
        <w:numPr>
          <w:ilvl w:val="0"/>
          <w:numId w:val="265"/>
        </w:numPr>
        <w:tabs>
          <w:tab w:val="num" w:pos="360"/>
        </w:tabs>
        <w:spacing w:after="0" w:line="276" w:lineRule="auto"/>
        <w:jc w:val="both"/>
        <w:rPr>
          <w:rFonts w:asciiTheme="majorHAnsi" w:eastAsia="Times New Roman" w:hAnsiTheme="majorHAnsi" w:cstheme="majorHAnsi"/>
          <w:b/>
          <w:bCs/>
          <w:lang w:eastAsia="en-GB"/>
        </w:rPr>
      </w:pPr>
      <w:r w:rsidRPr="00FF386D">
        <w:rPr>
          <w:rFonts w:asciiTheme="majorHAnsi" w:eastAsia="Times New Roman" w:hAnsiTheme="majorHAnsi" w:cstheme="majorHAnsi"/>
          <w:lang w:eastAsia="en-GB"/>
        </w:rPr>
        <w:t>Измена тренутних образаца потрошње и промовисање енергетски ефикасних горива са ниским емисијама код крајњих купаца</w:t>
      </w:r>
    </w:p>
    <w:p w14:paraId="026A6357" w14:textId="11926073" w:rsidR="00EB3C75" w:rsidRPr="00FF386D" w:rsidRDefault="00EB3C75">
      <w:pPr>
        <w:pStyle w:val="ListParagraph"/>
        <w:widowControl w:val="0"/>
        <w:numPr>
          <w:ilvl w:val="0"/>
          <w:numId w:val="265"/>
        </w:numPr>
        <w:tabs>
          <w:tab w:val="num" w:pos="360"/>
        </w:tabs>
        <w:spacing w:after="0" w:line="276" w:lineRule="auto"/>
        <w:jc w:val="both"/>
        <w:rPr>
          <w:rFonts w:asciiTheme="majorHAnsi" w:eastAsia="Times New Roman" w:hAnsiTheme="majorHAnsi" w:cstheme="majorHAnsi"/>
          <w:b/>
          <w:bCs/>
          <w:lang w:eastAsia="en-GB"/>
        </w:rPr>
      </w:pPr>
      <w:r w:rsidRPr="00FF386D">
        <w:rPr>
          <w:rFonts w:asciiTheme="majorHAnsi" w:eastAsia="Times New Roman" w:hAnsiTheme="majorHAnsi" w:cstheme="majorHAnsi"/>
          <w:lang w:eastAsia="en-GB"/>
        </w:rPr>
        <w:t>Јачање конкурентност</w:t>
      </w:r>
      <w:r w:rsidR="000B4497">
        <w:rPr>
          <w:rFonts w:asciiTheme="majorHAnsi" w:eastAsia="Times New Roman" w:hAnsiTheme="majorHAnsi" w:cstheme="majorHAnsi"/>
          <w:lang w:eastAsia="en-GB"/>
        </w:rPr>
        <w:t>и</w:t>
      </w:r>
      <w:r w:rsidRPr="00FF386D">
        <w:rPr>
          <w:rFonts w:asciiTheme="majorHAnsi" w:eastAsia="Times New Roman" w:hAnsiTheme="majorHAnsi" w:cstheme="majorHAnsi"/>
          <w:lang w:eastAsia="en-GB"/>
        </w:rPr>
        <w:t xml:space="preserve"> националне привреде</w:t>
      </w:r>
    </w:p>
    <w:p w14:paraId="46719F2D" w14:textId="523F9689" w:rsidR="00EB3C75" w:rsidRPr="00FF386D" w:rsidRDefault="00EB3C75" w:rsidP="000A2AFE">
      <w:pPr>
        <w:pStyle w:val="ListParagraph"/>
        <w:widowControl w:val="0"/>
        <w:numPr>
          <w:ilvl w:val="0"/>
          <w:numId w:val="265"/>
        </w:numPr>
        <w:tabs>
          <w:tab w:val="num" w:pos="360"/>
        </w:tabs>
        <w:spacing w:after="120" w:line="276" w:lineRule="auto"/>
        <w:ind w:left="714" w:hanging="357"/>
        <w:jc w:val="both"/>
        <w:rPr>
          <w:rFonts w:ascii="Calibri Light" w:eastAsia="Times New Roman" w:hAnsi="Calibri Light" w:cstheme="majorHAnsi"/>
          <w:b/>
          <w:bCs/>
          <w:lang w:eastAsia="en-GB"/>
        </w:rPr>
      </w:pPr>
      <w:r w:rsidRPr="00FF386D">
        <w:rPr>
          <w:rFonts w:ascii="Calibri Light" w:eastAsia="Times New Roman" w:hAnsi="Calibri Light" w:cs="Calibri Light"/>
          <w:lang w:eastAsia="en-GB"/>
        </w:rPr>
        <w:t>Подстицање истраживањ</w:t>
      </w:r>
      <w:r w:rsidR="00EB6282" w:rsidRPr="00FF386D">
        <w:rPr>
          <w:rFonts w:ascii="Calibri Light" w:eastAsia="Times New Roman" w:hAnsi="Calibri Light" w:cs="Calibri Light"/>
          <w:lang w:eastAsia="en-GB"/>
        </w:rPr>
        <w:t>а</w:t>
      </w:r>
      <w:r w:rsidRPr="00FF386D">
        <w:rPr>
          <w:rFonts w:ascii="Calibri Light" w:eastAsia="Times New Roman" w:hAnsi="Calibri Light" w:cs="Calibri Light"/>
          <w:lang w:eastAsia="en-GB"/>
        </w:rPr>
        <w:t xml:space="preserve"> и иновациј</w:t>
      </w:r>
      <w:r w:rsidR="00EB6282" w:rsidRPr="00FF386D">
        <w:rPr>
          <w:rFonts w:ascii="Calibri Light" w:eastAsia="Times New Roman" w:hAnsi="Calibri Light" w:cs="Calibri Light"/>
          <w:lang w:eastAsia="en-GB"/>
        </w:rPr>
        <w:t>а</w:t>
      </w:r>
      <w:r w:rsidRPr="00FF386D">
        <w:rPr>
          <w:rFonts w:ascii="Calibri Light" w:eastAsia="Times New Roman" w:hAnsi="Calibri Light" w:cs="Calibri Light"/>
          <w:lang w:eastAsia="en-GB"/>
        </w:rPr>
        <w:t xml:space="preserve"> у области животне средине и енергетике</w:t>
      </w:r>
    </w:p>
    <w:p w14:paraId="0FF45F63" w14:textId="446558C1" w:rsidR="00EB3C75" w:rsidRPr="00FF386D" w:rsidRDefault="00EB3C75" w:rsidP="00EB3C75">
      <w:pPr>
        <w:jc w:val="both"/>
        <w:rPr>
          <w:rFonts w:asciiTheme="majorHAnsi" w:hAnsiTheme="majorHAnsi" w:cstheme="majorHAnsi"/>
        </w:rPr>
      </w:pPr>
      <w:r w:rsidRPr="00FF386D">
        <w:rPr>
          <w:rFonts w:asciiTheme="majorHAnsi" w:hAnsiTheme="majorHAnsi" w:cstheme="majorHAnsi"/>
        </w:rPr>
        <w:t>Треба напоменути да се мобилизација значајних инвестици</w:t>
      </w:r>
      <w:r w:rsidR="00A31DB8" w:rsidRPr="00FF386D">
        <w:rPr>
          <w:rFonts w:asciiTheme="majorHAnsi" w:hAnsiTheme="majorHAnsi" w:cstheme="majorHAnsi"/>
        </w:rPr>
        <w:t>ја</w:t>
      </w:r>
      <w:r w:rsidR="00EB6282" w:rsidRPr="00FF386D">
        <w:rPr>
          <w:rFonts w:asciiTheme="majorHAnsi" w:hAnsiTheme="majorHAnsi" w:cstheme="majorHAnsi"/>
        </w:rPr>
        <w:t xml:space="preserve">, како </w:t>
      </w:r>
      <w:r w:rsidR="00A31DB8" w:rsidRPr="00FF386D">
        <w:rPr>
          <w:rFonts w:asciiTheme="majorHAnsi" w:hAnsiTheme="majorHAnsi" w:cstheme="majorHAnsi"/>
        </w:rPr>
        <w:t>из</w:t>
      </w:r>
      <w:r w:rsidR="00EB6282" w:rsidRPr="00FF386D">
        <w:rPr>
          <w:rFonts w:asciiTheme="majorHAnsi" w:hAnsiTheme="majorHAnsi" w:cstheme="majorHAnsi"/>
        </w:rPr>
        <w:t xml:space="preserve"> сопствених извора тако и</w:t>
      </w:r>
      <w:r w:rsidRPr="00FF386D">
        <w:rPr>
          <w:rFonts w:asciiTheme="majorHAnsi" w:hAnsiTheme="majorHAnsi" w:cstheme="majorHAnsi"/>
        </w:rPr>
        <w:t xml:space="preserve"> </w:t>
      </w:r>
      <w:r w:rsidR="00A31DB8" w:rsidRPr="00FF386D">
        <w:rPr>
          <w:rFonts w:asciiTheme="majorHAnsi" w:hAnsiTheme="majorHAnsi" w:cstheme="majorHAnsi"/>
        </w:rPr>
        <w:t xml:space="preserve">средстава </w:t>
      </w:r>
      <w:r w:rsidRPr="00FF386D">
        <w:rPr>
          <w:rFonts w:asciiTheme="majorHAnsi" w:hAnsiTheme="majorHAnsi" w:cstheme="majorHAnsi"/>
        </w:rPr>
        <w:t xml:space="preserve">јавног сектора и комбинација специјализованих механизама финансирања сматрају предусловима за постизање </w:t>
      </w:r>
      <w:r w:rsidR="00A31DB8" w:rsidRPr="00FF386D">
        <w:rPr>
          <w:rFonts w:asciiTheme="majorHAnsi" w:hAnsiTheme="majorHAnsi" w:cstheme="majorHAnsi"/>
        </w:rPr>
        <w:t>утврђених</w:t>
      </w:r>
      <w:r w:rsidRPr="00FF386D">
        <w:rPr>
          <w:rFonts w:asciiTheme="majorHAnsi" w:hAnsiTheme="majorHAnsi" w:cstheme="majorHAnsi"/>
        </w:rPr>
        <w:t xml:space="preserve"> циљева чиме ће се омогућити ефикасна реализација предвиђених политика и мера, како у погледу трошкова тако и у погледу времена реализације.</w:t>
      </w:r>
    </w:p>
    <w:p w14:paraId="2CFC21DF" w14:textId="58E3F6AC" w:rsidR="00EB3C75" w:rsidRPr="00FF386D" w:rsidRDefault="00EB3C75" w:rsidP="009648CB">
      <w:pPr>
        <w:pStyle w:val="Heading2"/>
        <w:numPr>
          <w:ilvl w:val="0"/>
          <w:numId w:val="0"/>
        </w:numPr>
        <w:ind w:left="576"/>
      </w:pPr>
      <w:bookmarkStart w:id="19" w:name="_Toc122700020"/>
      <w:bookmarkStart w:id="20" w:name="_Toc137457012"/>
      <w:bookmarkStart w:id="21" w:name="_Toc153901529"/>
      <w:r w:rsidRPr="00FF386D">
        <w:t>1.2.</w:t>
      </w:r>
      <w:r w:rsidRPr="00FF386D">
        <w:tab/>
      </w:r>
      <w:r w:rsidRPr="00565B02">
        <w:rPr>
          <w:lang w:val="sr-Cyrl-RS"/>
        </w:rPr>
        <w:t xml:space="preserve">Преглед </w:t>
      </w:r>
      <w:r w:rsidR="00A31DB8" w:rsidRPr="00565B02">
        <w:rPr>
          <w:lang w:val="sr-Cyrl-RS"/>
        </w:rPr>
        <w:t>постојећег</w:t>
      </w:r>
      <w:r w:rsidRPr="00565B02">
        <w:rPr>
          <w:lang w:val="sr-Cyrl-RS"/>
        </w:rPr>
        <w:t xml:space="preserve"> регулаторног оквира</w:t>
      </w:r>
      <w:bookmarkEnd w:id="19"/>
      <w:bookmarkEnd w:id="20"/>
      <w:bookmarkEnd w:id="21"/>
    </w:p>
    <w:p w14:paraId="5FAC37BC" w14:textId="591FC409" w:rsidR="00EB3C75" w:rsidRPr="00FF386D" w:rsidRDefault="00EB3C75">
      <w:pPr>
        <w:numPr>
          <w:ilvl w:val="0"/>
          <w:numId w:val="259"/>
        </w:numPr>
        <w:spacing w:line="259" w:lineRule="auto"/>
        <w:contextualSpacing/>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t xml:space="preserve">Енергетски систем на националном нивоу и </w:t>
      </w:r>
      <w:r w:rsidR="00477920" w:rsidRPr="00FF386D">
        <w:rPr>
          <w:rFonts w:asciiTheme="majorHAnsi" w:eastAsiaTheme="majorEastAsia" w:hAnsiTheme="majorHAnsi" w:cstheme="majorBidi"/>
          <w:b/>
          <w:bCs/>
          <w:iCs/>
          <w:color w:val="01406B"/>
          <w:szCs w:val="24"/>
        </w:rPr>
        <w:t>нивоу</w:t>
      </w:r>
      <w:r w:rsidRPr="00FF386D">
        <w:rPr>
          <w:rFonts w:asciiTheme="majorHAnsi" w:eastAsiaTheme="majorEastAsia" w:hAnsiTheme="majorHAnsi" w:cstheme="majorBidi"/>
          <w:b/>
          <w:bCs/>
          <w:iCs/>
          <w:color w:val="01406B"/>
          <w:szCs w:val="24"/>
        </w:rPr>
        <w:t xml:space="preserve"> Уније и контекст политике националног плана</w:t>
      </w:r>
    </w:p>
    <w:p w14:paraId="6CE30B53" w14:textId="7F0AC1B2"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У овом одељку је дат преглед тренутног контекста енергетског система и енергетске политике у земљи. </w:t>
      </w:r>
      <w:r w:rsidR="001F4A85" w:rsidRPr="00FF386D">
        <w:rPr>
          <w:rFonts w:asciiTheme="majorHAnsi" w:eastAsia="Times New Roman" w:hAnsiTheme="majorHAnsi" w:cstheme="majorHAnsi"/>
          <w:lang w:eastAsia="el-GR"/>
        </w:rPr>
        <w:t xml:space="preserve">Због утицаја пандемије COVID-19 на </w:t>
      </w:r>
      <w:r w:rsidR="000B4497">
        <w:rPr>
          <w:rFonts w:asciiTheme="majorHAnsi" w:eastAsia="Times New Roman" w:hAnsiTheme="majorHAnsi" w:cstheme="majorHAnsi"/>
          <w:lang w:eastAsia="el-GR"/>
        </w:rPr>
        <w:t>привредни</w:t>
      </w:r>
      <w:r w:rsidR="001F4A85" w:rsidRPr="00FF386D">
        <w:rPr>
          <w:rFonts w:asciiTheme="majorHAnsi" w:eastAsia="Times New Roman" w:hAnsiTheme="majorHAnsi" w:cstheme="majorHAnsi"/>
          <w:lang w:eastAsia="el-GR"/>
        </w:rPr>
        <w:t xml:space="preserve"> развој, потрошњу енергије и друге </w:t>
      </w:r>
      <w:r w:rsidR="00477920" w:rsidRPr="00FF386D">
        <w:rPr>
          <w:rFonts w:asciiTheme="majorHAnsi" w:eastAsia="Times New Roman" w:hAnsiTheme="majorHAnsi" w:cstheme="majorHAnsi"/>
          <w:lang w:eastAsia="el-GR"/>
        </w:rPr>
        <w:t>енергетске</w:t>
      </w:r>
      <w:r w:rsidR="001F4A85" w:rsidRPr="00FF386D">
        <w:rPr>
          <w:rFonts w:asciiTheme="majorHAnsi" w:eastAsia="Times New Roman" w:hAnsiTheme="majorHAnsi" w:cstheme="majorHAnsi"/>
          <w:lang w:eastAsia="el-GR"/>
        </w:rPr>
        <w:t xml:space="preserve"> показатеље, као </w:t>
      </w:r>
      <w:r w:rsidR="00F0370B" w:rsidRPr="00FF386D">
        <w:rPr>
          <w:rFonts w:asciiTheme="majorHAnsi" w:eastAsia="Times New Roman" w:hAnsiTheme="majorHAnsi" w:cstheme="majorHAnsi"/>
          <w:lang w:eastAsia="el-GR"/>
        </w:rPr>
        <w:t>референтна</w:t>
      </w:r>
      <w:r w:rsidR="001F4A85" w:rsidRPr="00FF386D">
        <w:rPr>
          <w:rFonts w:asciiTheme="majorHAnsi" w:eastAsia="Times New Roman" w:hAnsiTheme="majorHAnsi" w:cstheme="majorHAnsi"/>
          <w:lang w:eastAsia="el-GR"/>
        </w:rPr>
        <w:t xml:space="preserve"> година је узета 2019. година, како би се избегло погрешно тумачење резултата и поређење између земаља. </w:t>
      </w:r>
      <w:r w:rsidRPr="00FF386D">
        <w:rPr>
          <w:rFonts w:asciiTheme="majorHAnsi" w:eastAsia="Times New Roman" w:hAnsiTheme="majorHAnsi" w:cstheme="majorHAnsi"/>
          <w:lang w:eastAsia="el-GR"/>
        </w:rPr>
        <w:t xml:space="preserve">Штавише, </w:t>
      </w:r>
      <w:r w:rsidR="00A31DB8" w:rsidRPr="00FF386D">
        <w:rPr>
          <w:rFonts w:asciiTheme="majorHAnsi" w:eastAsia="Times New Roman" w:hAnsiTheme="majorHAnsi" w:cstheme="majorHAnsi"/>
          <w:lang w:eastAsia="el-GR"/>
        </w:rPr>
        <w:t>спроведено је</w:t>
      </w:r>
      <w:r w:rsidRPr="00FF386D">
        <w:rPr>
          <w:rFonts w:asciiTheme="majorHAnsi" w:eastAsia="Times New Roman" w:hAnsiTheme="majorHAnsi" w:cstheme="majorHAnsi"/>
          <w:lang w:eastAsia="el-GR"/>
        </w:rPr>
        <w:t xml:space="preserve"> поређењ</w:t>
      </w:r>
      <w:r w:rsidR="00A31DB8" w:rsidRPr="00FF386D">
        <w:rPr>
          <w:rFonts w:asciiTheme="majorHAnsi" w:eastAsia="Times New Roman" w:hAnsiTheme="majorHAnsi" w:cstheme="majorHAnsi"/>
          <w:lang w:eastAsia="el-GR"/>
        </w:rPr>
        <w:t xml:space="preserve">е у односу на </w:t>
      </w:r>
      <w:r w:rsidRPr="00FF386D">
        <w:rPr>
          <w:rFonts w:asciiTheme="majorHAnsi" w:eastAsia="Times New Roman" w:hAnsiTheme="majorHAnsi" w:cstheme="majorHAnsi"/>
          <w:lang w:eastAsia="el-GR"/>
        </w:rPr>
        <w:t>одабране суседне земље из Енергетске заједнице и Европске уније (Албанија, Босна и Херцеговина, Бугарска, Хрватска, Црна Гора и Северна Македонија) и у</w:t>
      </w:r>
      <w:r w:rsidR="00A31DB8" w:rsidRPr="00FF386D">
        <w:rPr>
          <w:rFonts w:asciiTheme="majorHAnsi" w:eastAsia="Times New Roman" w:hAnsiTheme="majorHAnsi" w:cstheme="majorHAnsi"/>
          <w:lang w:eastAsia="el-GR"/>
        </w:rPr>
        <w:t xml:space="preserve"> односу на</w:t>
      </w:r>
      <w:r w:rsidRPr="00FF386D">
        <w:rPr>
          <w:rFonts w:asciiTheme="majorHAnsi" w:eastAsia="Times New Roman" w:hAnsiTheme="majorHAnsi" w:cstheme="majorHAnsi"/>
          <w:lang w:eastAsia="el-GR"/>
        </w:rPr>
        <w:t xml:space="preserve"> просечне вредности у ЕУ, што би требало да пружи боље разумевање тренутног стања у Србији у односу на друге земље.</w:t>
      </w:r>
    </w:p>
    <w:p w14:paraId="5D365BCC" w14:textId="7D5BA4E0" w:rsidR="00EB3C75" w:rsidRPr="00FF386D" w:rsidRDefault="00EB3C75" w:rsidP="00A31DB8">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Проце</w:t>
      </w:r>
      <w:r w:rsidR="00A31DB8" w:rsidRPr="00FF386D">
        <w:rPr>
          <w:rFonts w:asciiTheme="majorHAnsi" w:eastAsia="Times New Roman" w:hAnsiTheme="majorHAnsi" w:cstheme="majorHAnsi"/>
          <w:lang w:eastAsia="el-GR"/>
        </w:rPr>
        <w:t>њује се</w:t>
      </w:r>
      <w:r w:rsidRPr="00FF386D">
        <w:rPr>
          <w:rFonts w:asciiTheme="majorHAnsi" w:eastAsia="Times New Roman" w:hAnsiTheme="majorHAnsi" w:cstheme="majorHAnsi"/>
          <w:lang w:eastAsia="el-GR"/>
        </w:rPr>
        <w:t xml:space="preserve"> да </w:t>
      </w:r>
      <w:r w:rsidR="00A31DB8" w:rsidRPr="00FF386D">
        <w:rPr>
          <w:rFonts w:asciiTheme="majorHAnsi" w:eastAsia="Times New Roman" w:hAnsiTheme="majorHAnsi" w:cstheme="majorHAnsi"/>
          <w:lang w:eastAsia="el-GR"/>
        </w:rPr>
        <w:t xml:space="preserve">је </w:t>
      </w:r>
      <w:r w:rsidR="00290A04" w:rsidRPr="00FF386D">
        <w:rPr>
          <w:rFonts w:asciiTheme="majorHAnsi" w:eastAsia="Times New Roman" w:hAnsiTheme="majorHAnsi" w:cstheme="majorHAnsi"/>
          <w:lang w:eastAsia="el-GR"/>
        </w:rPr>
        <w:t>број становника</w:t>
      </w:r>
      <w:r w:rsidRPr="00FF386D">
        <w:rPr>
          <w:rFonts w:asciiTheme="majorHAnsi" w:eastAsia="Times New Roman" w:hAnsiTheme="majorHAnsi" w:cstheme="majorHAnsi"/>
          <w:lang w:eastAsia="el-GR"/>
        </w:rPr>
        <w:t xml:space="preserve"> Републике Србије износи</w:t>
      </w:r>
      <w:r w:rsidR="00A31DB8" w:rsidRPr="00FF386D">
        <w:rPr>
          <w:rFonts w:asciiTheme="majorHAnsi" w:eastAsia="Times New Roman" w:hAnsiTheme="majorHAnsi" w:cstheme="majorHAnsi"/>
          <w:lang w:eastAsia="el-GR"/>
        </w:rPr>
        <w:t>о</w:t>
      </w:r>
      <w:r w:rsidRPr="00FF386D">
        <w:rPr>
          <w:rFonts w:asciiTheme="majorHAnsi" w:eastAsia="Times New Roman" w:hAnsiTheme="majorHAnsi" w:cstheme="majorHAnsi"/>
          <w:lang w:eastAsia="el-GR"/>
        </w:rPr>
        <w:t xml:space="preserve"> 6,964 милиона</w:t>
      </w:r>
      <w:r w:rsidR="00A31DB8"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lang w:eastAsia="el-GR"/>
        </w:rPr>
        <w:t xml:space="preserve">у 2019. години, </w:t>
      </w:r>
      <w:r w:rsidR="00A31DB8" w:rsidRPr="00FF386D">
        <w:rPr>
          <w:rFonts w:asciiTheme="majorHAnsi" w:eastAsia="Times New Roman" w:hAnsiTheme="majorHAnsi" w:cstheme="majorHAnsi"/>
          <w:lang w:eastAsia="el-GR"/>
        </w:rPr>
        <w:t>што значи да</w:t>
      </w:r>
      <w:r w:rsidRPr="00FF386D">
        <w:rPr>
          <w:rFonts w:asciiTheme="majorHAnsi" w:eastAsia="Times New Roman" w:hAnsiTheme="majorHAnsi" w:cstheme="majorHAnsi"/>
          <w:lang w:eastAsia="el-GR"/>
        </w:rPr>
        <w:t xml:space="preserve"> Србија заузима друго место у оквиру 7 земаља које су </w:t>
      </w:r>
      <w:r w:rsidR="00A31DB8" w:rsidRPr="00FF386D">
        <w:rPr>
          <w:rFonts w:asciiTheme="majorHAnsi" w:eastAsia="Times New Roman" w:hAnsiTheme="majorHAnsi" w:cstheme="majorHAnsi"/>
          <w:lang w:eastAsia="el-GR"/>
        </w:rPr>
        <w:t>изабране</w:t>
      </w:r>
      <w:r w:rsidRPr="00FF386D">
        <w:rPr>
          <w:rFonts w:asciiTheme="majorHAnsi" w:eastAsia="Times New Roman" w:hAnsiTheme="majorHAnsi" w:cstheme="majorHAnsi"/>
          <w:lang w:eastAsia="el-GR"/>
        </w:rPr>
        <w:t xml:space="preserve"> за потребе поређења у овом одељку (видети</w:t>
      </w:r>
      <w:r w:rsidR="009F54B7">
        <w:rPr>
          <w:rFonts w:asciiTheme="majorHAnsi" w:eastAsia="Times New Roman" w:hAnsiTheme="majorHAnsi" w:cstheme="majorHAnsi"/>
          <w:lang w:eastAsia="el-GR"/>
        </w:rPr>
        <w:t xml:space="preserve"> </w:t>
      </w:r>
      <w:r w:rsidR="009F54B7">
        <w:rPr>
          <w:rFonts w:asciiTheme="majorHAnsi" w:eastAsia="Times New Roman" w:hAnsiTheme="majorHAnsi" w:cstheme="majorHAnsi"/>
          <w:lang w:eastAsia="el-GR"/>
        </w:rPr>
        <w:fldChar w:fldCharType="begin"/>
      </w:r>
      <w:r w:rsidR="009F54B7">
        <w:rPr>
          <w:rFonts w:asciiTheme="majorHAnsi" w:eastAsia="Times New Roman" w:hAnsiTheme="majorHAnsi" w:cstheme="majorHAnsi"/>
          <w:lang w:eastAsia="el-GR"/>
        </w:rPr>
        <w:instrText xml:space="preserve"> REF _Ref153551244 \h  \* MERGEFORMAT </w:instrText>
      </w:r>
      <w:r w:rsidR="009F54B7">
        <w:rPr>
          <w:rFonts w:asciiTheme="majorHAnsi" w:eastAsia="Times New Roman" w:hAnsiTheme="majorHAnsi" w:cstheme="majorHAnsi"/>
          <w:lang w:eastAsia="el-GR"/>
        </w:rPr>
      </w:r>
      <w:r w:rsidR="009F54B7">
        <w:rPr>
          <w:rFonts w:asciiTheme="majorHAnsi" w:eastAsia="Times New Roman" w:hAnsiTheme="majorHAnsi" w:cstheme="majorHAnsi"/>
          <w:lang w:eastAsia="el-GR"/>
        </w:rPr>
        <w:fldChar w:fldCharType="separate"/>
      </w:r>
      <w:r w:rsidR="009F54B7" w:rsidRPr="00565B02">
        <w:rPr>
          <w:rFonts w:asciiTheme="majorHAnsi" w:eastAsia="Times New Roman" w:hAnsiTheme="majorHAnsi" w:cstheme="majorHAnsi"/>
          <w:lang w:eastAsia="el-GR"/>
        </w:rPr>
        <w:t>слику 1.1</w:t>
      </w:r>
      <w:r w:rsidR="009F54B7">
        <w:rPr>
          <w:rFonts w:asciiTheme="majorHAnsi" w:eastAsia="Times New Roman" w:hAnsiTheme="majorHAnsi" w:cstheme="majorHAnsi"/>
          <w:lang w:eastAsia="el-GR"/>
        </w:rPr>
        <w:fldChar w:fldCharType="end"/>
      </w:r>
      <w:r w:rsidRPr="00565B02">
        <w:rPr>
          <w:rFonts w:asciiTheme="majorHAnsi" w:eastAsia="Times New Roman" w:hAnsiTheme="majorHAnsi" w:cstheme="majorHAnsi"/>
        </w:rPr>
        <w:t>)</w:t>
      </w:r>
      <w:r w:rsidRPr="00FF386D">
        <w:rPr>
          <w:rFonts w:asciiTheme="majorHAnsi" w:eastAsia="Times New Roman" w:hAnsiTheme="majorHAnsi" w:cstheme="majorHAnsi"/>
          <w:lang w:eastAsia="el-GR"/>
        </w:rPr>
        <w:t>. Што се тиче реалног раста БДП -а, он је износио 4,</w:t>
      </w:r>
      <w:r w:rsidR="001F4A85" w:rsidRPr="00FF386D">
        <w:rPr>
          <w:rFonts w:asciiTheme="majorHAnsi" w:eastAsia="Times New Roman" w:hAnsiTheme="majorHAnsi" w:cstheme="majorHAnsi"/>
          <w:lang w:eastAsia="el-GR"/>
        </w:rPr>
        <w:t>3</w:t>
      </w:r>
      <w:r w:rsidRPr="00FF386D">
        <w:rPr>
          <w:rFonts w:asciiTheme="majorHAnsi" w:eastAsia="Times New Roman" w:hAnsiTheme="majorHAnsi" w:cstheme="majorHAnsi"/>
          <w:lang w:eastAsia="el-GR"/>
        </w:rPr>
        <w:t>% у 2019. години, што је највећи раст у поређењу са растом БДП-а у другим земљама (видети</w:t>
      </w:r>
      <w:r w:rsidR="009F54B7">
        <w:rPr>
          <w:rFonts w:asciiTheme="majorHAnsi" w:eastAsia="Times New Roman" w:hAnsiTheme="majorHAnsi" w:cstheme="majorHAnsi"/>
          <w:lang w:eastAsia="el-GR"/>
        </w:rPr>
        <w:t xml:space="preserve"> </w:t>
      </w:r>
      <w:r w:rsidR="009F54B7">
        <w:rPr>
          <w:rFonts w:asciiTheme="majorHAnsi" w:eastAsia="Times New Roman" w:hAnsiTheme="majorHAnsi" w:cstheme="majorHAnsi"/>
          <w:lang w:eastAsia="el-GR"/>
        </w:rPr>
        <w:fldChar w:fldCharType="begin"/>
      </w:r>
      <w:r w:rsidR="009F54B7">
        <w:rPr>
          <w:rFonts w:asciiTheme="majorHAnsi" w:eastAsia="Times New Roman" w:hAnsiTheme="majorHAnsi" w:cstheme="majorHAnsi"/>
          <w:lang w:eastAsia="el-GR"/>
        </w:rPr>
        <w:instrText xml:space="preserve"> REF _Ref153551300 \h  \* MERGEFORMAT </w:instrText>
      </w:r>
      <w:r w:rsidR="009F54B7">
        <w:rPr>
          <w:rFonts w:asciiTheme="majorHAnsi" w:eastAsia="Times New Roman" w:hAnsiTheme="majorHAnsi" w:cstheme="majorHAnsi"/>
          <w:lang w:eastAsia="el-GR"/>
        </w:rPr>
      </w:r>
      <w:r w:rsidR="009F54B7">
        <w:rPr>
          <w:rFonts w:asciiTheme="majorHAnsi" w:eastAsia="Times New Roman" w:hAnsiTheme="majorHAnsi" w:cstheme="majorHAnsi"/>
          <w:lang w:eastAsia="el-GR"/>
        </w:rPr>
        <w:fldChar w:fldCharType="separate"/>
      </w:r>
      <w:r w:rsidR="009F54B7" w:rsidRPr="00565B02">
        <w:rPr>
          <w:rFonts w:asciiTheme="majorHAnsi" w:eastAsia="Times New Roman" w:hAnsiTheme="majorHAnsi" w:cstheme="majorHAnsi"/>
          <w:lang w:eastAsia="el-GR"/>
        </w:rPr>
        <w:t>слику 1.2</w:t>
      </w:r>
      <w:r w:rsidR="009F54B7">
        <w:rPr>
          <w:rFonts w:asciiTheme="majorHAnsi" w:eastAsia="Times New Roman" w:hAnsiTheme="majorHAnsi" w:cstheme="majorHAnsi"/>
          <w:lang w:eastAsia="el-GR"/>
        </w:rPr>
        <w:fldChar w:fldCharType="end"/>
      </w:r>
      <w:r w:rsidRPr="00565B02">
        <w:rPr>
          <w:rFonts w:asciiTheme="majorHAnsi" w:eastAsia="Times New Roman" w:hAnsiTheme="majorHAnsi" w:cstheme="majorHAnsi"/>
        </w:rPr>
        <w:t>)</w:t>
      </w:r>
      <w:r w:rsidRPr="00FF386D">
        <w:rPr>
          <w:rFonts w:asciiTheme="majorHAnsi" w:eastAsia="Times New Roman" w:hAnsiTheme="majorHAnsi" w:cstheme="majorHAnsi"/>
          <w:lang w:eastAsia="el-GR"/>
        </w:rPr>
        <w:t xml:space="preserve">. Капиталне инвестиције </w:t>
      </w:r>
      <w:r w:rsidR="008471D9" w:rsidRPr="00FF386D">
        <w:rPr>
          <w:rFonts w:asciiTheme="majorHAnsi" w:eastAsia="Times New Roman" w:hAnsiTheme="majorHAnsi" w:cstheme="majorHAnsi"/>
          <w:lang w:eastAsia="el-GR"/>
        </w:rPr>
        <w:t xml:space="preserve">које су </w:t>
      </w:r>
      <w:r w:rsidRPr="00FF386D">
        <w:rPr>
          <w:rFonts w:asciiTheme="majorHAnsi" w:eastAsia="Times New Roman" w:hAnsiTheme="majorHAnsi" w:cstheme="majorHAnsi"/>
          <w:lang w:eastAsia="el-GR"/>
        </w:rPr>
        <w:t xml:space="preserve">предложене сетом политика и мера представљеним у </w:t>
      </w:r>
      <w:r w:rsidR="001F4A85" w:rsidRPr="00FF386D">
        <w:rPr>
          <w:rFonts w:asciiTheme="majorHAnsi" w:eastAsia="Times New Roman" w:hAnsiTheme="majorHAnsi" w:cstheme="majorHAnsi"/>
          <w:lang w:eastAsia="el-GR"/>
        </w:rPr>
        <w:t xml:space="preserve">поглављу 3 </w:t>
      </w:r>
      <w:r w:rsidRPr="00FF386D">
        <w:rPr>
          <w:rFonts w:asciiTheme="majorHAnsi" w:eastAsia="Times New Roman" w:hAnsiTheme="majorHAnsi" w:cstheme="majorHAnsi"/>
          <w:lang w:eastAsia="el-GR"/>
        </w:rPr>
        <w:t>ово</w:t>
      </w:r>
      <w:r w:rsidR="001F4A85" w:rsidRPr="00FF386D">
        <w:rPr>
          <w:rFonts w:asciiTheme="majorHAnsi" w:eastAsia="Times New Roman" w:hAnsiTheme="majorHAnsi" w:cstheme="majorHAnsi"/>
          <w:lang w:eastAsia="el-GR"/>
        </w:rPr>
        <w:t>г</w:t>
      </w:r>
      <w:r w:rsidRPr="00FF386D">
        <w:rPr>
          <w:rFonts w:asciiTheme="majorHAnsi" w:eastAsia="Times New Roman" w:hAnsiTheme="majorHAnsi" w:cstheme="majorHAnsi"/>
          <w:lang w:eastAsia="el-GR"/>
        </w:rPr>
        <w:t xml:space="preserve"> </w:t>
      </w:r>
      <w:r w:rsidR="001F4A85" w:rsidRPr="00FF386D">
        <w:rPr>
          <w:rFonts w:asciiTheme="majorHAnsi" w:eastAsia="Times New Roman" w:hAnsiTheme="majorHAnsi" w:cstheme="majorHAnsi"/>
          <w:lang w:eastAsia="el-GR"/>
        </w:rPr>
        <w:t>И</w:t>
      </w:r>
      <w:r w:rsidRPr="00FF386D">
        <w:rPr>
          <w:rFonts w:asciiTheme="majorHAnsi" w:eastAsia="Times New Roman" w:hAnsiTheme="majorHAnsi" w:cstheme="majorHAnsi"/>
          <w:lang w:eastAsia="el-GR"/>
        </w:rPr>
        <w:t>НЕКП-</w:t>
      </w:r>
      <w:r w:rsidR="001F4A85" w:rsidRPr="00FF386D">
        <w:rPr>
          <w:rFonts w:asciiTheme="majorHAnsi" w:eastAsia="Times New Roman" w:hAnsiTheme="majorHAnsi" w:cstheme="majorHAnsi"/>
          <w:lang w:eastAsia="el-GR"/>
        </w:rPr>
        <w:t>а</w:t>
      </w:r>
      <w:r w:rsidRPr="00FF386D">
        <w:rPr>
          <w:rFonts w:asciiTheme="majorHAnsi" w:eastAsia="Times New Roman" w:hAnsiTheme="majorHAnsi" w:cstheme="majorHAnsi"/>
          <w:lang w:eastAsia="el-GR"/>
        </w:rPr>
        <w:t xml:space="preserve"> такође треба узети у обзир као могућност за постављање додатне вредности БДП-у и подр</w:t>
      </w:r>
      <w:r w:rsidR="008471D9" w:rsidRPr="00FF386D">
        <w:rPr>
          <w:rFonts w:asciiTheme="majorHAnsi" w:eastAsia="Times New Roman" w:hAnsiTheme="majorHAnsi" w:cstheme="majorHAnsi"/>
          <w:lang w:eastAsia="el-GR"/>
        </w:rPr>
        <w:t xml:space="preserve">шку </w:t>
      </w:r>
      <w:r w:rsidRPr="00FF386D">
        <w:rPr>
          <w:rFonts w:asciiTheme="majorHAnsi" w:eastAsia="Times New Roman" w:hAnsiTheme="majorHAnsi" w:cstheme="majorHAnsi"/>
          <w:lang w:eastAsia="el-GR"/>
        </w:rPr>
        <w:t>процес</w:t>
      </w:r>
      <w:r w:rsidR="008471D9" w:rsidRPr="00FF386D">
        <w:rPr>
          <w:rFonts w:asciiTheme="majorHAnsi" w:eastAsia="Times New Roman" w:hAnsiTheme="majorHAnsi" w:cstheme="majorHAnsi"/>
          <w:lang w:eastAsia="el-GR"/>
        </w:rPr>
        <w:t>у</w:t>
      </w:r>
      <w:r w:rsidRPr="00FF386D">
        <w:rPr>
          <w:rFonts w:asciiTheme="majorHAnsi" w:eastAsia="Times New Roman" w:hAnsiTheme="majorHAnsi" w:cstheme="majorHAnsi"/>
          <w:lang w:eastAsia="el-GR"/>
        </w:rPr>
        <w:t xml:space="preserve"> економског раста земље.</w:t>
      </w:r>
    </w:p>
    <w:p w14:paraId="0D7722B5" w14:textId="3C5B24E4" w:rsidR="009F54B7" w:rsidRDefault="009F54B7" w:rsidP="00565B02">
      <w:pPr>
        <w:pStyle w:val="Caption"/>
        <w:keepNext/>
      </w:pPr>
      <w:bookmarkStart w:id="22" w:name="_Ref153551244"/>
      <w:bookmarkStart w:id="23" w:name="_Toc153901331"/>
      <w:r>
        <w:lastRenderedPageBreak/>
        <w:t xml:space="preserve">Слика </w:t>
      </w:r>
      <w:r w:rsidR="00F35B2C">
        <w:fldChar w:fldCharType="begin"/>
      </w:r>
      <w:r w:rsidR="00F35B2C">
        <w:instrText xml:space="preserve"> STYLEREF 1 \s </w:instrText>
      </w:r>
      <w:r w:rsidR="00F35B2C">
        <w:fldChar w:fldCharType="separate"/>
      </w:r>
      <w:r w:rsidR="00F35B2C">
        <w:rPr>
          <w:noProof/>
        </w:rPr>
        <w:t>1</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1</w:t>
      </w:r>
      <w:r w:rsidR="00F35B2C">
        <w:fldChar w:fldCharType="end"/>
      </w:r>
      <w:bookmarkEnd w:id="22"/>
      <w:r>
        <w:t xml:space="preserve">: </w:t>
      </w:r>
      <w:r w:rsidRPr="009F54B7">
        <w:t>Број становника у 2019. години, у милионима (извор: Евростат)</w:t>
      </w:r>
      <w:bookmarkEnd w:id="23"/>
    </w:p>
    <w:p w14:paraId="6C9EEC0C" w14:textId="77777777" w:rsidR="001F4A85" w:rsidRPr="00FF386D" w:rsidRDefault="001F4A85" w:rsidP="00EB3C75">
      <w:pPr>
        <w:spacing w:after="200" w:line="240" w:lineRule="auto"/>
        <w:jc w:val="center"/>
        <w:rPr>
          <w:rFonts w:ascii="Calibri Light" w:hAnsi="Calibri Light" w:cs="Times New Roman"/>
          <w:b/>
          <w:bCs/>
          <w:color w:val="01406B"/>
        </w:rPr>
      </w:pPr>
      <w:r w:rsidRPr="004F53D7">
        <w:rPr>
          <w:rFonts w:ascii="Calibri Light" w:hAnsi="Calibri Light" w:cs="Times New Roman"/>
          <w:b/>
          <w:bCs/>
          <w:noProof/>
          <w:color w:val="01406B"/>
          <w:lang w:val="en-US"/>
        </w:rPr>
        <w:drawing>
          <wp:inline distT="0" distB="0" distL="0" distR="0" wp14:anchorId="201A112C" wp14:editId="30C6AB0E">
            <wp:extent cx="3609340" cy="2407920"/>
            <wp:effectExtent l="0" t="0" r="0" b="0"/>
            <wp:docPr id="1528664018" name="Picture 1528664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09340" cy="2407920"/>
                    </a:xfrm>
                    <a:prstGeom prst="rect">
                      <a:avLst/>
                    </a:prstGeom>
                    <a:noFill/>
                  </pic:spPr>
                </pic:pic>
              </a:graphicData>
            </a:graphic>
          </wp:inline>
        </w:drawing>
      </w:r>
    </w:p>
    <w:p w14:paraId="19B0EB60" w14:textId="37A0A45F" w:rsidR="009F54B7" w:rsidRDefault="009F54B7" w:rsidP="00565B02">
      <w:pPr>
        <w:pStyle w:val="Caption"/>
        <w:keepNext/>
      </w:pPr>
      <w:bookmarkStart w:id="24" w:name="_Ref153551300"/>
      <w:bookmarkStart w:id="25" w:name="_Toc153901332"/>
      <w:r>
        <w:t xml:space="preserve">Слика </w:t>
      </w:r>
      <w:r w:rsidR="00F35B2C">
        <w:fldChar w:fldCharType="begin"/>
      </w:r>
      <w:r w:rsidR="00F35B2C">
        <w:instrText xml:space="preserve"> STYLEREF 1 \s </w:instrText>
      </w:r>
      <w:r w:rsidR="00F35B2C">
        <w:fldChar w:fldCharType="separate"/>
      </w:r>
      <w:r w:rsidR="00F35B2C">
        <w:rPr>
          <w:noProof/>
        </w:rPr>
        <w:t>1</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2</w:t>
      </w:r>
      <w:r w:rsidR="00F35B2C">
        <w:fldChar w:fldCharType="end"/>
      </w:r>
      <w:bookmarkEnd w:id="24"/>
      <w:r>
        <w:t xml:space="preserve">: </w:t>
      </w:r>
      <w:r w:rsidRPr="009F54B7">
        <w:t>Реална стопа раста БДП-а у 2019. години, у % (извор: Евростат)</w:t>
      </w:r>
      <w:bookmarkEnd w:id="25"/>
    </w:p>
    <w:p w14:paraId="768E3C2B" w14:textId="6D380C37" w:rsidR="001F4A85" w:rsidRPr="00FF386D" w:rsidRDefault="001F4A85" w:rsidP="00EB3C75">
      <w:pPr>
        <w:jc w:val="center"/>
      </w:pPr>
      <w:r w:rsidRPr="004F53D7">
        <w:rPr>
          <w:noProof/>
          <w:lang w:val="en-US"/>
        </w:rPr>
        <w:drawing>
          <wp:inline distT="0" distB="0" distL="0" distR="0" wp14:anchorId="2F719F9C" wp14:editId="27FE98C9">
            <wp:extent cx="3609340" cy="2407920"/>
            <wp:effectExtent l="0" t="0" r="0" b="0"/>
            <wp:docPr id="1526236423" name="Picture 1526236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09340" cy="2407920"/>
                    </a:xfrm>
                    <a:prstGeom prst="rect">
                      <a:avLst/>
                    </a:prstGeom>
                    <a:noFill/>
                  </pic:spPr>
                </pic:pic>
              </a:graphicData>
            </a:graphic>
          </wp:inline>
        </w:drawing>
      </w:r>
    </w:p>
    <w:p w14:paraId="738975A1" w14:textId="66E51BAE"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Стопа дугорочне незапослености у Србији износила</w:t>
      </w:r>
      <w:r w:rsidR="00290A04" w:rsidRPr="00FF386D">
        <w:rPr>
          <w:rFonts w:asciiTheme="majorHAnsi" w:eastAsia="Times New Roman" w:hAnsiTheme="majorHAnsi" w:cstheme="majorHAnsi"/>
          <w:lang w:eastAsia="el-GR"/>
        </w:rPr>
        <w:t xml:space="preserve"> је</w:t>
      </w:r>
      <w:r w:rsidRPr="00FF386D">
        <w:rPr>
          <w:rFonts w:asciiTheme="majorHAnsi" w:eastAsia="Times New Roman" w:hAnsiTheme="majorHAnsi" w:cstheme="majorHAnsi"/>
          <w:lang w:eastAsia="el-GR"/>
        </w:rPr>
        <w:t xml:space="preserve"> 5,</w:t>
      </w:r>
      <w:r w:rsidR="004C6341" w:rsidRPr="000A2AFE">
        <w:rPr>
          <w:rFonts w:asciiTheme="majorHAnsi" w:eastAsia="Times New Roman" w:hAnsiTheme="majorHAnsi" w:cstheme="majorHAnsi"/>
          <w:lang w:eastAsia="el-GR"/>
        </w:rPr>
        <w:t>5</w:t>
      </w:r>
      <w:r w:rsidRPr="00FF386D">
        <w:rPr>
          <w:rFonts w:asciiTheme="majorHAnsi" w:eastAsia="Times New Roman" w:hAnsiTheme="majorHAnsi" w:cstheme="majorHAnsi"/>
          <w:lang w:eastAsia="el-GR"/>
        </w:rPr>
        <w:t>% у 2019. години и од тада се континуирано смањује. У поређењу са одабраним земљама (видети</w:t>
      </w:r>
      <w:r w:rsidR="009F54B7">
        <w:rPr>
          <w:rFonts w:asciiTheme="majorHAnsi" w:eastAsia="Times New Roman" w:hAnsiTheme="majorHAnsi" w:cstheme="majorHAnsi"/>
          <w:lang w:eastAsia="el-GR"/>
        </w:rPr>
        <w:t xml:space="preserve"> </w:t>
      </w:r>
      <w:r w:rsidR="009F54B7">
        <w:rPr>
          <w:rFonts w:asciiTheme="majorHAnsi" w:eastAsia="Times New Roman" w:hAnsiTheme="majorHAnsi" w:cstheme="majorHAnsi"/>
          <w:lang w:eastAsia="el-GR"/>
        </w:rPr>
        <w:fldChar w:fldCharType="begin"/>
      </w:r>
      <w:r w:rsidR="009F54B7">
        <w:rPr>
          <w:rFonts w:asciiTheme="majorHAnsi" w:eastAsia="Times New Roman" w:hAnsiTheme="majorHAnsi" w:cstheme="majorHAnsi"/>
          <w:lang w:eastAsia="el-GR"/>
        </w:rPr>
        <w:instrText xml:space="preserve"> REF _Ref153551367 \h  \* MERGEFORMAT </w:instrText>
      </w:r>
      <w:r w:rsidR="009F54B7">
        <w:rPr>
          <w:rFonts w:asciiTheme="majorHAnsi" w:eastAsia="Times New Roman" w:hAnsiTheme="majorHAnsi" w:cstheme="majorHAnsi"/>
          <w:lang w:eastAsia="el-GR"/>
        </w:rPr>
      </w:r>
      <w:r w:rsidR="009F54B7">
        <w:rPr>
          <w:rFonts w:asciiTheme="majorHAnsi" w:eastAsia="Times New Roman" w:hAnsiTheme="majorHAnsi" w:cstheme="majorHAnsi"/>
          <w:lang w:eastAsia="el-GR"/>
        </w:rPr>
        <w:fldChar w:fldCharType="separate"/>
      </w:r>
      <w:r w:rsidR="009F54B7" w:rsidRPr="00565B02">
        <w:rPr>
          <w:rFonts w:asciiTheme="majorHAnsi" w:eastAsia="Times New Roman" w:hAnsiTheme="majorHAnsi" w:cstheme="majorHAnsi"/>
          <w:lang w:eastAsia="el-GR"/>
        </w:rPr>
        <w:t>слику 1.3</w:t>
      </w:r>
      <w:r w:rsidR="009F54B7">
        <w:rPr>
          <w:rFonts w:asciiTheme="majorHAnsi" w:eastAsia="Times New Roman" w:hAnsiTheme="majorHAnsi" w:cstheme="majorHAnsi"/>
          <w:lang w:eastAsia="el-GR"/>
        </w:rPr>
        <w:fldChar w:fldCharType="end"/>
      </w:r>
      <w:r w:rsidRPr="00FF386D">
        <w:rPr>
          <w:rFonts w:asciiTheme="majorHAnsi" w:eastAsia="Times New Roman" w:hAnsiTheme="majorHAnsi" w:cstheme="majorHAnsi"/>
          <w:lang w:eastAsia="el-GR"/>
        </w:rPr>
        <w:t xml:space="preserve">), Србија има трећу најмању стопу дугорочне незапослености, </w:t>
      </w:r>
      <w:r w:rsidR="000B4497">
        <w:rPr>
          <w:rFonts w:asciiTheme="majorHAnsi" w:eastAsia="Times New Roman" w:hAnsiTheme="majorHAnsi" w:cstheme="majorHAnsi"/>
          <w:lang w:eastAsia="el-GR"/>
        </w:rPr>
        <w:t>сличну</w:t>
      </w:r>
      <w:r w:rsidR="008471D9" w:rsidRPr="00FF386D">
        <w:rPr>
          <w:rFonts w:asciiTheme="majorHAnsi" w:eastAsia="Times New Roman" w:hAnsiTheme="majorHAnsi" w:cstheme="majorHAnsi"/>
          <w:lang w:eastAsia="el-GR"/>
        </w:rPr>
        <w:t xml:space="preserve"> оној у </w:t>
      </w:r>
      <w:r w:rsidRPr="00FF386D">
        <w:rPr>
          <w:rFonts w:asciiTheme="majorHAnsi" w:eastAsia="Times New Roman" w:hAnsiTheme="majorHAnsi" w:cstheme="majorHAnsi"/>
          <w:lang w:eastAsia="el-GR"/>
        </w:rPr>
        <w:t>зем</w:t>
      </w:r>
      <w:r w:rsidR="008471D9" w:rsidRPr="00FF386D">
        <w:rPr>
          <w:rFonts w:asciiTheme="majorHAnsi" w:eastAsia="Times New Roman" w:hAnsiTheme="majorHAnsi" w:cstheme="majorHAnsi"/>
          <w:lang w:eastAsia="el-GR"/>
        </w:rPr>
        <w:t>љама</w:t>
      </w:r>
      <w:r w:rsidRPr="00FF386D">
        <w:rPr>
          <w:rFonts w:asciiTheme="majorHAnsi" w:eastAsia="Times New Roman" w:hAnsiTheme="majorHAnsi" w:cstheme="majorHAnsi"/>
          <w:lang w:eastAsia="el-GR"/>
        </w:rPr>
        <w:t xml:space="preserve"> ЕУ, док је ова стопа </w:t>
      </w:r>
      <w:r w:rsidR="008471D9" w:rsidRPr="00FF386D">
        <w:rPr>
          <w:rFonts w:asciiTheme="majorHAnsi" w:eastAsia="Times New Roman" w:hAnsiTheme="majorHAnsi" w:cstheme="majorHAnsi"/>
          <w:lang w:eastAsia="el-GR"/>
        </w:rPr>
        <w:t>у свим</w:t>
      </w:r>
      <w:r w:rsidRPr="00FF386D">
        <w:rPr>
          <w:rFonts w:asciiTheme="majorHAnsi" w:eastAsia="Times New Roman" w:hAnsiTheme="majorHAnsi" w:cstheme="majorHAnsi"/>
          <w:lang w:eastAsia="el-GR"/>
        </w:rPr>
        <w:t xml:space="preserve"> остали</w:t>
      </w:r>
      <w:r w:rsidR="008471D9" w:rsidRPr="00FF386D">
        <w:rPr>
          <w:rFonts w:asciiTheme="majorHAnsi" w:eastAsia="Times New Roman" w:hAnsiTheme="majorHAnsi" w:cstheme="majorHAnsi"/>
          <w:lang w:eastAsia="el-GR"/>
        </w:rPr>
        <w:t>м</w:t>
      </w:r>
      <w:r w:rsidRPr="00FF386D">
        <w:rPr>
          <w:rFonts w:asciiTheme="majorHAnsi" w:eastAsia="Times New Roman" w:hAnsiTheme="majorHAnsi" w:cstheme="majorHAnsi"/>
          <w:lang w:eastAsia="el-GR"/>
        </w:rPr>
        <w:t xml:space="preserve"> </w:t>
      </w:r>
      <w:r w:rsidR="00732182" w:rsidRPr="00FF386D">
        <w:rPr>
          <w:rFonts w:asciiTheme="majorHAnsi" w:eastAsia="Times New Roman" w:hAnsiTheme="majorHAnsi" w:cstheme="majorHAnsi"/>
          <w:lang w:eastAsia="el-GR"/>
        </w:rPr>
        <w:t>земљама</w:t>
      </w:r>
      <w:r w:rsidRPr="00FF386D">
        <w:rPr>
          <w:rFonts w:asciiTheme="majorHAnsi" w:eastAsia="Times New Roman" w:hAnsiTheme="majorHAnsi" w:cstheme="majorHAnsi"/>
          <w:lang w:eastAsia="el-GR"/>
        </w:rPr>
        <w:t xml:space="preserve"> изнад 12%.</w:t>
      </w:r>
    </w:p>
    <w:p w14:paraId="7E91175A" w14:textId="3C90E069" w:rsidR="009F54B7" w:rsidRDefault="009F54B7" w:rsidP="00565B02">
      <w:pPr>
        <w:pStyle w:val="Caption"/>
        <w:keepNext/>
      </w:pPr>
      <w:bookmarkStart w:id="26" w:name="_Ref153551367"/>
      <w:bookmarkStart w:id="27" w:name="_Toc153901333"/>
      <w:r>
        <w:t xml:space="preserve">Слика </w:t>
      </w:r>
      <w:r w:rsidR="00F35B2C">
        <w:fldChar w:fldCharType="begin"/>
      </w:r>
      <w:r w:rsidR="00F35B2C">
        <w:instrText xml:space="preserve"> STYLEREF 1 \s </w:instrText>
      </w:r>
      <w:r w:rsidR="00F35B2C">
        <w:fldChar w:fldCharType="separate"/>
      </w:r>
      <w:r w:rsidR="00F35B2C">
        <w:rPr>
          <w:noProof/>
        </w:rPr>
        <w:t>1</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3</w:t>
      </w:r>
      <w:r w:rsidR="00F35B2C">
        <w:fldChar w:fldCharType="end"/>
      </w:r>
      <w:bookmarkEnd w:id="26"/>
      <w:r>
        <w:t xml:space="preserve">: </w:t>
      </w:r>
      <w:r w:rsidRPr="009F54B7">
        <w:t>Стопа дугорочне незапослености у 2019. години, у % (извор: Евростат)</w:t>
      </w:r>
      <w:bookmarkEnd w:id="27"/>
    </w:p>
    <w:p w14:paraId="4E6E2349" w14:textId="6815B09C" w:rsidR="001F4A85" w:rsidRPr="00FF386D" w:rsidRDefault="001F4A85" w:rsidP="00EB3C75">
      <w:pPr>
        <w:jc w:val="center"/>
      </w:pPr>
      <w:r w:rsidRPr="004F53D7">
        <w:rPr>
          <w:noProof/>
          <w:lang w:val="en-US"/>
        </w:rPr>
        <w:drawing>
          <wp:inline distT="0" distB="0" distL="0" distR="0" wp14:anchorId="7B64BF97" wp14:editId="0383886F">
            <wp:extent cx="3609340" cy="2407920"/>
            <wp:effectExtent l="0" t="0" r="0" b="0"/>
            <wp:docPr id="329193840" name="Picture 32919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09340" cy="2407920"/>
                    </a:xfrm>
                    <a:prstGeom prst="rect">
                      <a:avLst/>
                    </a:prstGeom>
                    <a:noFill/>
                  </pic:spPr>
                </pic:pic>
              </a:graphicData>
            </a:graphic>
          </wp:inline>
        </w:drawing>
      </w:r>
    </w:p>
    <w:p w14:paraId="226FEEA1" w14:textId="756F14DC" w:rsidR="00B91B96" w:rsidRPr="00FF386D" w:rsidRDefault="00EB3C75" w:rsidP="00565B02">
      <w:pPr>
        <w:spacing w:line="240" w:lineRule="auto"/>
        <w:jc w:val="both"/>
      </w:pPr>
      <w:r w:rsidRPr="00FF386D">
        <w:rPr>
          <w:rFonts w:asciiTheme="majorHAnsi" w:hAnsiTheme="majorHAnsi" w:cstheme="majorHAnsi"/>
        </w:rPr>
        <w:lastRenderedPageBreak/>
        <w:t xml:space="preserve">Потрошња примарне енергије по </w:t>
      </w:r>
      <w:r w:rsidR="00290A04" w:rsidRPr="00FF386D">
        <w:rPr>
          <w:rFonts w:asciiTheme="majorHAnsi" w:hAnsiTheme="majorHAnsi" w:cstheme="majorHAnsi"/>
        </w:rPr>
        <w:t xml:space="preserve">глави </w:t>
      </w:r>
      <w:r w:rsidRPr="00FF386D">
        <w:rPr>
          <w:rFonts w:asciiTheme="majorHAnsi" w:hAnsiTheme="majorHAnsi" w:cstheme="majorHAnsi"/>
        </w:rPr>
        <w:t>становник</w:t>
      </w:r>
      <w:r w:rsidR="00290A04" w:rsidRPr="00FF386D">
        <w:rPr>
          <w:rFonts w:asciiTheme="majorHAnsi" w:hAnsiTheme="majorHAnsi" w:cstheme="majorHAnsi"/>
        </w:rPr>
        <w:t>а</w:t>
      </w:r>
      <w:r w:rsidRPr="00FF386D">
        <w:rPr>
          <w:rFonts w:asciiTheme="majorHAnsi" w:hAnsiTheme="majorHAnsi" w:cstheme="majorHAnsi"/>
        </w:rPr>
        <w:t xml:space="preserve"> у Србији је око 2,12 toe/</w:t>
      </w:r>
      <w:r w:rsidR="00290A04" w:rsidRPr="00FF386D">
        <w:rPr>
          <w:rFonts w:asciiTheme="majorHAnsi" w:hAnsiTheme="majorHAnsi" w:cstheme="majorHAnsi"/>
        </w:rPr>
        <w:t xml:space="preserve">глави </w:t>
      </w:r>
      <w:r w:rsidRPr="00FF386D">
        <w:rPr>
          <w:rFonts w:asciiTheme="majorHAnsi" w:hAnsiTheme="majorHAnsi" w:cstheme="majorHAnsi"/>
        </w:rPr>
        <w:t>становник</w:t>
      </w:r>
      <w:r w:rsidR="00290A04" w:rsidRPr="00FF386D">
        <w:rPr>
          <w:rFonts w:asciiTheme="majorHAnsi" w:hAnsiTheme="majorHAnsi" w:cstheme="majorHAnsi"/>
        </w:rPr>
        <w:t>а</w:t>
      </w:r>
      <w:r w:rsidRPr="00FF386D">
        <w:rPr>
          <w:rFonts w:asciiTheme="majorHAnsi" w:hAnsiTheme="majorHAnsi" w:cstheme="majorHAnsi"/>
        </w:rPr>
        <w:t xml:space="preserve">, што значи да у просеку сваки грађанин у Србији троши 24,6 MWh, што је за 30% мање од просека у </w:t>
      </w:r>
      <w:r w:rsidR="00583032" w:rsidRPr="00FF386D">
        <w:rPr>
          <w:rFonts w:asciiTheme="majorHAnsi" w:hAnsiTheme="majorHAnsi" w:cstheme="majorHAnsi"/>
        </w:rPr>
        <w:t xml:space="preserve">државама </w:t>
      </w:r>
      <w:r w:rsidRPr="00FF386D">
        <w:rPr>
          <w:rFonts w:asciiTheme="majorHAnsi" w:hAnsiTheme="majorHAnsi" w:cstheme="majorHAnsi"/>
        </w:rPr>
        <w:t>ЕУ 27 (видети</w:t>
      </w:r>
      <w:r w:rsidR="009F54B7">
        <w:rPr>
          <w:rFonts w:asciiTheme="majorHAnsi" w:hAnsiTheme="majorHAnsi" w:cstheme="majorHAnsi"/>
        </w:rPr>
        <w:t xml:space="preserve"> </w:t>
      </w:r>
      <w:r w:rsidR="009F54B7">
        <w:rPr>
          <w:rFonts w:asciiTheme="majorHAnsi" w:hAnsiTheme="majorHAnsi" w:cstheme="majorHAnsi"/>
        </w:rPr>
        <w:fldChar w:fldCharType="begin"/>
      </w:r>
      <w:r w:rsidR="009F54B7">
        <w:rPr>
          <w:rFonts w:asciiTheme="majorHAnsi" w:hAnsiTheme="majorHAnsi" w:cstheme="majorHAnsi"/>
        </w:rPr>
        <w:instrText xml:space="preserve"> REF _Ref153551448 \h  \* MERGEFORMAT </w:instrText>
      </w:r>
      <w:r w:rsidR="009F54B7">
        <w:rPr>
          <w:rFonts w:asciiTheme="majorHAnsi" w:hAnsiTheme="majorHAnsi" w:cstheme="majorHAnsi"/>
        </w:rPr>
      </w:r>
      <w:r w:rsidR="009F54B7">
        <w:rPr>
          <w:rFonts w:asciiTheme="majorHAnsi" w:hAnsiTheme="majorHAnsi" w:cstheme="majorHAnsi"/>
        </w:rPr>
        <w:fldChar w:fldCharType="separate"/>
      </w:r>
      <w:r w:rsidR="009F54B7" w:rsidRPr="00565B02">
        <w:rPr>
          <w:rFonts w:asciiTheme="majorHAnsi" w:hAnsiTheme="majorHAnsi" w:cstheme="majorHAnsi"/>
        </w:rPr>
        <w:t>слику 1.4</w:t>
      </w:r>
      <w:r w:rsidR="009F54B7">
        <w:rPr>
          <w:rFonts w:asciiTheme="majorHAnsi" w:hAnsiTheme="majorHAnsi" w:cstheme="majorHAnsi"/>
        </w:rPr>
        <w:fldChar w:fldCharType="end"/>
      </w:r>
      <w:r w:rsidRPr="00FF386D">
        <w:rPr>
          <w:rFonts w:asciiTheme="majorHAnsi" w:hAnsiTheme="majorHAnsi" w:cstheme="majorHAnsi"/>
        </w:rPr>
        <w:t xml:space="preserve">). Све </w:t>
      </w:r>
      <w:r w:rsidR="003B301A" w:rsidRPr="00FF386D">
        <w:rPr>
          <w:rFonts w:asciiTheme="majorHAnsi" w:hAnsiTheme="majorHAnsi" w:cstheme="majorHAnsi"/>
        </w:rPr>
        <w:t xml:space="preserve">посматране </w:t>
      </w:r>
      <w:r w:rsidRPr="00FF386D">
        <w:rPr>
          <w:rFonts w:asciiTheme="majorHAnsi" w:hAnsiTheme="majorHAnsi" w:cstheme="majorHAnsi"/>
        </w:rPr>
        <w:t xml:space="preserve">земље, осим Бугарске, имају мању потрошњу по </w:t>
      </w:r>
      <w:r w:rsidR="00290A04" w:rsidRPr="00FF386D">
        <w:rPr>
          <w:rFonts w:asciiTheme="majorHAnsi" w:hAnsiTheme="majorHAnsi" w:cstheme="majorHAnsi"/>
        </w:rPr>
        <w:t xml:space="preserve">глави </w:t>
      </w:r>
      <w:r w:rsidRPr="00FF386D">
        <w:rPr>
          <w:rFonts w:asciiTheme="majorHAnsi" w:hAnsiTheme="majorHAnsi" w:cstheme="majorHAnsi"/>
        </w:rPr>
        <w:t>становник</w:t>
      </w:r>
      <w:r w:rsidR="00290A04" w:rsidRPr="00FF386D">
        <w:rPr>
          <w:rFonts w:asciiTheme="majorHAnsi" w:hAnsiTheme="majorHAnsi" w:cstheme="majorHAnsi"/>
        </w:rPr>
        <w:t>а</w:t>
      </w:r>
      <w:r w:rsidRPr="00FF386D">
        <w:rPr>
          <w:rFonts w:asciiTheme="majorHAnsi" w:hAnsiTheme="majorHAnsi" w:cstheme="majorHAnsi"/>
        </w:rPr>
        <w:t xml:space="preserve"> од Србије</w:t>
      </w:r>
      <w:r w:rsidR="001F4A85" w:rsidRPr="00FF386D">
        <w:rPr>
          <w:rFonts w:asciiTheme="majorHAnsi" w:hAnsiTheme="majorHAnsi" w:cstheme="majorHAnsi"/>
        </w:rPr>
        <w:t xml:space="preserve">. Један од кључних </w:t>
      </w:r>
      <w:r w:rsidR="00B91B96" w:rsidRPr="00FF386D">
        <w:rPr>
          <w:rFonts w:asciiTheme="majorHAnsi" w:hAnsiTheme="majorHAnsi" w:cstheme="majorHAnsi"/>
        </w:rPr>
        <w:t>разлога за то је чињеница</w:t>
      </w:r>
      <w:r w:rsidRPr="00FF386D">
        <w:rPr>
          <w:rFonts w:asciiTheme="majorHAnsi" w:hAnsiTheme="majorHAnsi" w:cstheme="majorHAnsi"/>
        </w:rPr>
        <w:t xml:space="preserve"> да је 66,4% производње електричне енергије у Србији у 2019. години долазило из електрана на лигнит</w:t>
      </w:r>
      <w:r w:rsidR="00B91B96" w:rsidRPr="00FF386D">
        <w:rPr>
          <w:rFonts w:asciiTheme="majorHAnsi" w:hAnsiTheme="majorHAnsi" w:cstheme="majorHAnsi"/>
        </w:rPr>
        <w:t xml:space="preserve">, а термоелектране/електране на лигнит захтевају више примарне енергије у </w:t>
      </w:r>
      <w:r w:rsidR="00477920" w:rsidRPr="00FF386D">
        <w:rPr>
          <w:rFonts w:asciiTheme="majorHAnsi" w:hAnsiTheme="majorHAnsi" w:cstheme="majorHAnsi"/>
        </w:rPr>
        <w:t>поређењу</w:t>
      </w:r>
      <w:r w:rsidR="00B91B96" w:rsidRPr="00FF386D">
        <w:rPr>
          <w:rFonts w:asciiTheme="majorHAnsi" w:hAnsiTheme="majorHAnsi" w:cstheme="majorHAnsi"/>
        </w:rPr>
        <w:t xml:space="preserve"> са другим енергетским миксом. На пример, највећи део производње електричне енергије у Албанији долази из хидроелектран</w:t>
      </w:r>
      <w:r w:rsidR="005F5201">
        <w:rPr>
          <w:rFonts w:asciiTheme="majorHAnsi" w:hAnsiTheme="majorHAnsi" w:cstheme="majorHAnsi"/>
        </w:rPr>
        <w:t>а</w:t>
      </w:r>
      <w:r w:rsidR="00B91B96" w:rsidRPr="00FF386D">
        <w:rPr>
          <w:rFonts w:asciiTheme="majorHAnsi" w:hAnsiTheme="majorHAnsi" w:cstheme="majorHAnsi"/>
        </w:rPr>
        <w:t xml:space="preserve"> што доводи до ниже потрошње примарне енергије.</w:t>
      </w:r>
    </w:p>
    <w:p w14:paraId="2D4EDB37" w14:textId="69FF1237" w:rsidR="009F54B7" w:rsidRDefault="009F54B7" w:rsidP="00565B02">
      <w:pPr>
        <w:pStyle w:val="Caption"/>
        <w:keepNext/>
      </w:pPr>
      <w:bookmarkStart w:id="28" w:name="_Ref153551448"/>
      <w:bookmarkStart w:id="29" w:name="_Toc153901334"/>
      <w:r>
        <w:t xml:space="preserve">Слика </w:t>
      </w:r>
      <w:r w:rsidR="00F35B2C">
        <w:fldChar w:fldCharType="begin"/>
      </w:r>
      <w:r w:rsidR="00F35B2C">
        <w:instrText xml:space="preserve"> STYLEREF 1 \s </w:instrText>
      </w:r>
      <w:r w:rsidR="00F35B2C">
        <w:fldChar w:fldCharType="separate"/>
      </w:r>
      <w:r w:rsidR="00F35B2C">
        <w:rPr>
          <w:noProof/>
        </w:rPr>
        <w:t>1</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4</w:t>
      </w:r>
      <w:r w:rsidR="00F35B2C">
        <w:fldChar w:fldCharType="end"/>
      </w:r>
      <w:bookmarkEnd w:id="28"/>
      <w:r>
        <w:t xml:space="preserve">: </w:t>
      </w:r>
      <w:r w:rsidRPr="009F54B7">
        <w:t>Потрошња примарне енергије по глави становника у 2019. години, toe/становнику (извор: Евростат)</w:t>
      </w:r>
      <w:bookmarkEnd w:id="29"/>
    </w:p>
    <w:p w14:paraId="2CD81E6F" w14:textId="64792A5F" w:rsidR="00B91B96" w:rsidRPr="00FF386D" w:rsidRDefault="00B91B96" w:rsidP="00EB3C75">
      <w:pPr>
        <w:jc w:val="center"/>
      </w:pPr>
      <w:r w:rsidRPr="004F53D7">
        <w:rPr>
          <w:noProof/>
          <w:lang w:val="en-US"/>
        </w:rPr>
        <w:drawing>
          <wp:inline distT="0" distB="0" distL="0" distR="0" wp14:anchorId="7AE85A47" wp14:editId="61D2865B">
            <wp:extent cx="3609340" cy="2407920"/>
            <wp:effectExtent l="0" t="0" r="0" b="0"/>
            <wp:docPr id="174223657" name="Picture 174223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09340" cy="2407920"/>
                    </a:xfrm>
                    <a:prstGeom prst="rect">
                      <a:avLst/>
                    </a:prstGeom>
                    <a:noFill/>
                  </pic:spPr>
                </pic:pic>
              </a:graphicData>
            </a:graphic>
          </wp:inline>
        </w:drawing>
      </w:r>
    </w:p>
    <w:p w14:paraId="0266451F" w14:textId="77777777" w:rsidR="00EB3C75" w:rsidRPr="00FF386D" w:rsidRDefault="00EB3C75" w:rsidP="00EB3C75">
      <w:pPr>
        <w:spacing w:before="120" w:after="120" w:line="240" w:lineRule="auto"/>
        <w:jc w:val="both"/>
        <w:rPr>
          <w:rFonts w:asciiTheme="majorHAnsi" w:eastAsia="Times New Roman" w:hAnsiTheme="majorHAnsi" w:cstheme="majorHAnsi"/>
          <w:b/>
          <w:bCs/>
          <w:lang w:eastAsia="el-GR"/>
        </w:rPr>
      </w:pPr>
      <w:r w:rsidRPr="00FF386D">
        <w:rPr>
          <w:rFonts w:asciiTheme="majorHAnsi" w:eastAsia="Times New Roman" w:hAnsiTheme="majorHAnsi" w:cstheme="majorHAnsi"/>
          <w:b/>
          <w:bCs/>
          <w:lang w:eastAsia="el-GR"/>
        </w:rPr>
        <w:t>Емисије CO2</w:t>
      </w:r>
    </w:p>
    <w:p w14:paraId="2876798D" w14:textId="23B85BD8"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У Србији је сваки грађанин одговоран за 7,8 </w:t>
      </w:r>
      <w:r w:rsidR="00290A04" w:rsidRPr="00FF386D">
        <w:rPr>
          <w:rFonts w:asciiTheme="majorHAnsi" w:eastAsia="Times New Roman" w:hAnsiTheme="majorHAnsi" w:cstheme="majorHAnsi"/>
          <w:lang w:eastAsia="el-GR"/>
        </w:rPr>
        <w:t>t</w:t>
      </w:r>
      <w:r w:rsidRPr="00FF386D">
        <w:rPr>
          <w:rFonts w:asciiTheme="majorHAnsi" w:eastAsia="Times New Roman" w:hAnsiTheme="majorHAnsi" w:cstheme="majorHAnsi"/>
          <w:lang w:eastAsia="el-GR"/>
        </w:rPr>
        <w:t xml:space="preserve"> CO</w:t>
      </w:r>
      <w:r w:rsidRPr="00FF386D">
        <w:rPr>
          <w:rFonts w:asciiTheme="majorHAnsi" w:eastAsia="Times New Roman" w:hAnsiTheme="majorHAnsi" w:cstheme="majorHAnsi"/>
          <w:vertAlign w:val="subscript"/>
          <w:lang w:eastAsia="el-GR"/>
        </w:rPr>
        <w:t>2</w:t>
      </w:r>
      <w:r w:rsidRPr="00FF386D">
        <w:rPr>
          <w:rFonts w:asciiTheme="majorHAnsi" w:eastAsia="Times New Roman" w:hAnsiTheme="majorHAnsi" w:cstheme="majorHAnsi"/>
          <w:lang w:eastAsia="el-GR"/>
        </w:rPr>
        <w:t>-еквивалента (видети</w:t>
      </w:r>
      <w:r w:rsidR="00612DAB">
        <w:rPr>
          <w:rFonts w:asciiTheme="majorHAnsi" w:eastAsia="Times New Roman" w:hAnsiTheme="majorHAnsi" w:cstheme="majorHAnsi"/>
          <w:lang w:eastAsia="el-GR"/>
        </w:rPr>
        <w:t xml:space="preserve"> </w:t>
      </w:r>
      <w:r w:rsidR="00612DAB">
        <w:rPr>
          <w:rFonts w:asciiTheme="majorHAnsi" w:eastAsia="Times New Roman" w:hAnsiTheme="majorHAnsi" w:cstheme="majorHAnsi"/>
          <w:lang w:eastAsia="el-GR"/>
        </w:rPr>
        <w:fldChar w:fldCharType="begin"/>
      </w:r>
      <w:r w:rsidR="00612DAB">
        <w:rPr>
          <w:rFonts w:asciiTheme="majorHAnsi" w:eastAsia="Times New Roman" w:hAnsiTheme="majorHAnsi" w:cstheme="majorHAnsi"/>
          <w:lang w:eastAsia="el-GR"/>
        </w:rPr>
        <w:instrText xml:space="preserve"> REF _Ref153551520 \h  \* MERGEFORMAT </w:instrText>
      </w:r>
      <w:r w:rsidR="00612DAB">
        <w:rPr>
          <w:rFonts w:asciiTheme="majorHAnsi" w:eastAsia="Times New Roman" w:hAnsiTheme="majorHAnsi" w:cstheme="majorHAnsi"/>
          <w:lang w:eastAsia="el-GR"/>
        </w:rPr>
      </w:r>
      <w:r w:rsidR="00612DAB">
        <w:rPr>
          <w:rFonts w:asciiTheme="majorHAnsi" w:eastAsia="Times New Roman" w:hAnsiTheme="majorHAnsi" w:cstheme="majorHAnsi"/>
          <w:lang w:eastAsia="el-GR"/>
        </w:rPr>
        <w:fldChar w:fldCharType="separate"/>
      </w:r>
      <w:r w:rsidR="00612DAB" w:rsidRPr="00565B02">
        <w:rPr>
          <w:rFonts w:asciiTheme="majorHAnsi" w:eastAsia="Times New Roman" w:hAnsiTheme="majorHAnsi" w:cstheme="majorHAnsi"/>
          <w:lang w:eastAsia="el-GR"/>
        </w:rPr>
        <w:t>слику 1.5</w:t>
      </w:r>
      <w:r w:rsidR="00612DAB">
        <w:rPr>
          <w:rFonts w:asciiTheme="majorHAnsi" w:eastAsia="Times New Roman" w:hAnsiTheme="majorHAnsi" w:cstheme="majorHAnsi"/>
          <w:lang w:eastAsia="el-GR"/>
        </w:rPr>
        <w:fldChar w:fldCharType="end"/>
      </w:r>
      <w:r w:rsidRPr="00FF386D">
        <w:rPr>
          <w:rFonts w:asciiTheme="majorHAnsi" w:eastAsia="Times New Roman" w:hAnsiTheme="majorHAnsi" w:cstheme="majorHAnsi"/>
          <w:lang w:eastAsia="el-GR"/>
        </w:rPr>
        <w:t>)</w:t>
      </w:r>
      <w:r w:rsidR="00583032" w:rsidRPr="00FF386D">
        <w:rPr>
          <w:rFonts w:asciiTheme="majorHAnsi" w:eastAsia="Times New Roman" w:hAnsiTheme="majorHAnsi" w:cstheme="majorHAnsi"/>
          <w:lang w:eastAsia="el-GR"/>
        </w:rPr>
        <w:t>, што у</w:t>
      </w:r>
      <w:r w:rsidRPr="00FF386D">
        <w:rPr>
          <w:rFonts w:asciiTheme="majorHAnsi" w:eastAsia="Times New Roman" w:hAnsiTheme="majorHAnsi" w:cstheme="majorHAnsi"/>
          <w:lang w:eastAsia="el-GR"/>
        </w:rPr>
        <w:t xml:space="preserve"> поређењу са одабраним суседним земљама представља највећу вредност, нешто нижу од просека у </w:t>
      </w:r>
      <w:r w:rsidR="00290A04" w:rsidRPr="00FF386D">
        <w:rPr>
          <w:rFonts w:asciiTheme="majorHAnsi" w:eastAsia="Times New Roman" w:hAnsiTheme="majorHAnsi" w:cstheme="majorHAnsi"/>
          <w:lang w:eastAsia="el-GR"/>
        </w:rPr>
        <w:t xml:space="preserve">државама </w:t>
      </w:r>
      <w:r w:rsidRPr="00FF386D">
        <w:rPr>
          <w:rFonts w:asciiTheme="majorHAnsi" w:eastAsia="Times New Roman" w:hAnsiTheme="majorHAnsi" w:cstheme="majorHAnsi"/>
          <w:lang w:eastAsia="el-GR"/>
        </w:rPr>
        <w:t>ЕУ 27. Нижа вредност се може видети у Албанији, с обзиром на то да Албанија већину своје производње електричне енергије заснива на хидро енергији.</w:t>
      </w:r>
    </w:p>
    <w:p w14:paraId="228ABD3B" w14:textId="056349D7" w:rsidR="00612DAB" w:rsidRDefault="00612DAB" w:rsidP="00565B02">
      <w:pPr>
        <w:pStyle w:val="Caption"/>
        <w:keepNext/>
      </w:pPr>
      <w:bookmarkStart w:id="30" w:name="_Ref153551520"/>
      <w:bookmarkStart w:id="31" w:name="_Toc153901335"/>
      <w:r>
        <w:t xml:space="preserve">Слика </w:t>
      </w:r>
      <w:r w:rsidR="00F35B2C">
        <w:fldChar w:fldCharType="begin"/>
      </w:r>
      <w:r w:rsidR="00F35B2C">
        <w:instrText xml:space="preserve"> STYLEREF 1 \s </w:instrText>
      </w:r>
      <w:r w:rsidR="00F35B2C">
        <w:fldChar w:fldCharType="separate"/>
      </w:r>
      <w:r w:rsidR="00F35B2C">
        <w:rPr>
          <w:noProof/>
        </w:rPr>
        <w:t>1</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5</w:t>
      </w:r>
      <w:r w:rsidR="00F35B2C">
        <w:fldChar w:fldCharType="end"/>
      </w:r>
      <w:bookmarkEnd w:id="30"/>
      <w:r>
        <w:t xml:space="preserve">: </w:t>
      </w:r>
      <w:r w:rsidRPr="00612DAB">
        <w:t>Емисије CO2-eq по глави становника за 2019. годину, у милионима тона CO2 (Извор: Global Carbon Project)</w:t>
      </w:r>
      <w:bookmarkEnd w:id="31"/>
    </w:p>
    <w:p w14:paraId="6421CE0B" w14:textId="091A0BB9" w:rsidR="00EB3C75" w:rsidRPr="00FF386D" w:rsidRDefault="00B91B96" w:rsidP="00EB3C75">
      <w:pPr>
        <w:spacing w:before="120" w:after="120" w:line="240" w:lineRule="auto"/>
        <w:jc w:val="center"/>
        <w:rPr>
          <w:rFonts w:ascii="Calibri" w:eastAsia="Times New Roman" w:hAnsi="Calibri" w:cs="Arial"/>
          <w:lang w:eastAsia="el-GR"/>
        </w:rPr>
      </w:pPr>
      <w:r w:rsidRPr="004F53D7">
        <w:rPr>
          <w:rFonts w:ascii="Calibri" w:eastAsia="Times New Roman" w:hAnsi="Calibri" w:cs="Arial"/>
          <w:noProof/>
          <w:lang w:val="en-US"/>
        </w:rPr>
        <w:drawing>
          <wp:inline distT="0" distB="0" distL="0" distR="0" wp14:anchorId="257A8444" wp14:editId="0CD7F4D4">
            <wp:extent cx="3609340" cy="2407920"/>
            <wp:effectExtent l="0" t="0" r="0" b="0"/>
            <wp:docPr id="1781903249" name="Picture 178190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09340" cy="2407920"/>
                    </a:xfrm>
                    <a:prstGeom prst="rect">
                      <a:avLst/>
                    </a:prstGeom>
                    <a:noFill/>
                  </pic:spPr>
                </pic:pic>
              </a:graphicData>
            </a:graphic>
          </wp:inline>
        </w:drawing>
      </w:r>
    </w:p>
    <w:p w14:paraId="6138875F" w14:textId="77777777" w:rsidR="00EB3C75" w:rsidRPr="00FF386D" w:rsidRDefault="00EB3C75" w:rsidP="00EB3C75">
      <w:pPr>
        <w:spacing w:before="120" w:after="120" w:line="240" w:lineRule="auto"/>
        <w:jc w:val="both"/>
        <w:rPr>
          <w:rFonts w:asciiTheme="majorHAnsi" w:eastAsia="Times New Roman" w:hAnsiTheme="majorHAnsi" w:cstheme="majorHAnsi"/>
          <w:b/>
          <w:bCs/>
          <w:lang w:eastAsia="el-GR"/>
        </w:rPr>
      </w:pPr>
      <w:r w:rsidRPr="00FF386D">
        <w:rPr>
          <w:rFonts w:asciiTheme="majorHAnsi" w:eastAsia="Times New Roman" w:hAnsiTheme="majorHAnsi" w:cstheme="majorHAnsi"/>
          <w:b/>
          <w:bCs/>
          <w:lang w:eastAsia="el-GR"/>
        </w:rPr>
        <w:t>Декарбонизација – Обновљиви извори енергије</w:t>
      </w:r>
    </w:p>
    <w:p w14:paraId="50AE2C70" w14:textId="321A7803" w:rsidR="00EB3C75" w:rsidRPr="00FF386D" w:rsidRDefault="00EB3C75" w:rsidP="00565B02">
      <w:pPr>
        <w:spacing w:line="240" w:lineRule="auto"/>
        <w:jc w:val="both"/>
        <w:rPr>
          <w:rFonts w:asciiTheme="majorHAnsi" w:hAnsiTheme="majorHAnsi" w:cstheme="majorHAnsi"/>
        </w:rPr>
      </w:pPr>
      <w:r w:rsidRPr="00FF386D">
        <w:rPr>
          <w:rFonts w:asciiTheme="majorHAnsi" w:hAnsiTheme="majorHAnsi" w:cstheme="majorHAnsi"/>
        </w:rPr>
        <w:t xml:space="preserve">У 2019. години, обновљиви извори енергије у Србији су достигли 21,4 % бруто финалне потрошње енергије, односно 26,3% </w:t>
      </w:r>
      <w:r w:rsidR="008471D9" w:rsidRPr="00FF386D">
        <w:rPr>
          <w:rFonts w:asciiTheme="majorHAnsi" w:hAnsiTheme="majorHAnsi" w:cstheme="majorHAnsi"/>
        </w:rPr>
        <w:t>након</w:t>
      </w:r>
      <w:r w:rsidRPr="00FF386D">
        <w:rPr>
          <w:rFonts w:asciiTheme="majorHAnsi" w:hAnsiTheme="majorHAnsi" w:cstheme="majorHAnsi"/>
        </w:rPr>
        <w:t xml:space="preserve"> статистичке ревизије енергетског биланса у 2020. години. Овај удео је већи од нивоа удела ОИЕ у ЕУ (видети</w:t>
      </w:r>
      <w:r w:rsidR="00612DAB">
        <w:rPr>
          <w:rFonts w:asciiTheme="majorHAnsi" w:hAnsiTheme="majorHAnsi" w:cstheme="majorHAnsi"/>
        </w:rPr>
        <w:t xml:space="preserve"> </w:t>
      </w:r>
      <w:r w:rsidR="00612DAB">
        <w:rPr>
          <w:rFonts w:asciiTheme="majorHAnsi" w:hAnsiTheme="majorHAnsi" w:cstheme="majorHAnsi"/>
        </w:rPr>
        <w:fldChar w:fldCharType="begin"/>
      </w:r>
      <w:r w:rsidR="00612DAB">
        <w:rPr>
          <w:rFonts w:asciiTheme="majorHAnsi" w:hAnsiTheme="majorHAnsi" w:cstheme="majorHAnsi"/>
        </w:rPr>
        <w:instrText xml:space="preserve"> REF _Ref153551599 \h  \* MERGEFORMAT </w:instrText>
      </w:r>
      <w:r w:rsidR="00612DAB">
        <w:rPr>
          <w:rFonts w:asciiTheme="majorHAnsi" w:hAnsiTheme="majorHAnsi" w:cstheme="majorHAnsi"/>
        </w:rPr>
      </w:r>
      <w:r w:rsidR="00612DAB">
        <w:rPr>
          <w:rFonts w:asciiTheme="majorHAnsi" w:hAnsiTheme="majorHAnsi" w:cstheme="majorHAnsi"/>
        </w:rPr>
        <w:fldChar w:fldCharType="separate"/>
      </w:r>
      <w:r w:rsidR="00612DAB" w:rsidRPr="00565B02">
        <w:rPr>
          <w:rFonts w:asciiTheme="majorHAnsi" w:hAnsiTheme="majorHAnsi" w:cstheme="majorHAnsi"/>
        </w:rPr>
        <w:t>слику 1.6</w:t>
      </w:r>
      <w:r w:rsidR="00612DAB">
        <w:rPr>
          <w:rFonts w:asciiTheme="majorHAnsi" w:hAnsiTheme="majorHAnsi" w:cstheme="majorHAnsi"/>
        </w:rPr>
        <w:fldChar w:fldCharType="end"/>
      </w:r>
      <w:r w:rsidR="00CD66DE" w:rsidRPr="00565B02">
        <w:rPr>
          <w:rFonts w:asciiTheme="majorHAnsi" w:hAnsiTheme="majorHAnsi" w:cstheme="majorHAnsi"/>
        </w:rPr>
        <w:t>)</w:t>
      </w:r>
      <w:r w:rsidR="00583032" w:rsidRPr="00565B02">
        <w:rPr>
          <w:rFonts w:asciiTheme="majorHAnsi" w:hAnsiTheme="majorHAnsi" w:cstheme="majorHAnsi"/>
        </w:rPr>
        <w:t>.</w:t>
      </w:r>
      <w:r w:rsidR="00583032" w:rsidRPr="00FF386D">
        <w:t xml:space="preserve"> </w:t>
      </w:r>
      <w:r w:rsidRPr="00FF386D">
        <w:rPr>
          <w:rFonts w:asciiTheme="majorHAnsi" w:hAnsiTheme="majorHAnsi" w:cstheme="majorHAnsi"/>
        </w:rPr>
        <w:t xml:space="preserve">Међутим, у поређењу са осталим земљама, Србија има </w:t>
      </w:r>
      <w:r w:rsidRPr="00FF386D">
        <w:rPr>
          <w:rFonts w:asciiTheme="majorHAnsi" w:hAnsiTheme="majorHAnsi" w:cstheme="majorHAnsi"/>
        </w:rPr>
        <w:lastRenderedPageBreak/>
        <w:t>други најнижи удео ОИЕ после Северне Македоније. Утврђени циљ за ОИЕ у Србији износи 27% у 2020. години, у складу са Одлуком D/2018/2/МC-EnZ Министарског савета Енергетске заједнице</w:t>
      </w:r>
      <w:r w:rsidR="00B91B96" w:rsidRPr="00FF386D">
        <w:rPr>
          <w:rStyle w:val="FootnoteReference"/>
          <w:rFonts w:asciiTheme="majorHAnsi" w:hAnsiTheme="majorHAnsi" w:cstheme="majorHAnsi"/>
          <w:lang w:val="sr-Cyrl-RS"/>
        </w:rPr>
        <w:footnoteReference w:id="15"/>
      </w:r>
      <w:r w:rsidRPr="00FF386D">
        <w:rPr>
          <w:rFonts w:asciiTheme="majorHAnsi" w:hAnsiTheme="majorHAnsi" w:cstheme="majorHAnsi"/>
        </w:rPr>
        <w:t>. Иако се капацитети обновљиве енергије повећавају, на тренд раста удела ОИЕ негативно утиче повећање потрошње енергије током последњих година.</w:t>
      </w:r>
    </w:p>
    <w:p w14:paraId="0877EB24" w14:textId="523AEA07" w:rsidR="00612DAB" w:rsidRDefault="00612DAB" w:rsidP="00565B02">
      <w:pPr>
        <w:pStyle w:val="Caption"/>
        <w:keepNext/>
      </w:pPr>
      <w:bookmarkStart w:id="32" w:name="_Ref153551599"/>
      <w:bookmarkStart w:id="33" w:name="_Toc153901336"/>
      <w:r>
        <w:t xml:space="preserve">Слика </w:t>
      </w:r>
      <w:r w:rsidR="00F35B2C">
        <w:fldChar w:fldCharType="begin"/>
      </w:r>
      <w:r w:rsidR="00F35B2C">
        <w:instrText xml:space="preserve"> STYLEREF 1 \s </w:instrText>
      </w:r>
      <w:r w:rsidR="00F35B2C">
        <w:fldChar w:fldCharType="separate"/>
      </w:r>
      <w:r w:rsidR="00F35B2C">
        <w:rPr>
          <w:noProof/>
        </w:rPr>
        <w:t>1</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6</w:t>
      </w:r>
      <w:r w:rsidR="00F35B2C">
        <w:fldChar w:fldCharType="end"/>
      </w:r>
      <w:bookmarkEnd w:id="32"/>
      <w:r>
        <w:t xml:space="preserve">: </w:t>
      </w:r>
      <w:r w:rsidRPr="00612DAB">
        <w:t>Удео ОИЕ у бруто финалној потрошњи енергије за 2019. годину, у % (извор: Евростат)</w:t>
      </w:r>
      <w:bookmarkEnd w:id="33"/>
    </w:p>
    <w:p w14:paraId="1A9E73C0" w14:textId="45767510" w:rsidR="00B91B96" w:rsidRPr="00FF386D" w:rsidRDefault="00B91B96" w:rsidP="00EB3C75">
      <w:pPr>
        <w:jc w:val="center"/>
      </w:pPr>
      <w:r w:rsidRPr="004F53D7">
        <w:rPr>
          <w:noProof/>
          <w:lang w:val="en-US"/>
        </w:rPr>
        <w:drawing>
          <wp:inline distT="0" distB="0" distL="0" distR="0" wp14:anchorId="16169767" wp14:editId="33685AF7">
            <wp:extent cx="3609340" cy="2407920"/>
            <wp:effectExtent l="0" t="0" r="0" b="0"/>
            <wp:docPr id="806096748" name="Picture 806096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09340" cy="2407920"/>
                    </a:xfrm>
                    <a:prstGeom prst="rect">
                      <a:avLst/>
                    </a:prstGeom>
                    <a:noFill/>
                  </pic:spPr>
                </pic:pic>
              </a:graphicData>
            </a:graphic>
          </wp:inline>
        </w:drawing>
      </w:r>
    </w:p>
    <w:p w14:paraId="2B2541CA" w14:textId="76DC220E"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Удео ОИЕ у производњи електричне енергије у Србији је стабилан у последњој деценији. Конкретније, удео ОИЕ у производњи електричне енергије за 2019. годину је износио 30,1% (видети</w:t>
      </w:r>
      <w:r w:rsidR="00612DAB">
        <w:rPr>
          <w:rFonts w:asciiTheme="majorHAnsi" w:eastAsia="Times New Roman" w:hAnsiTheme="majorHAnsi" w:cstheme="majorHAnsi"/>
          <w:lang w:eastAsia="el-GR"/>
        </w:rPr>
        <w:t xml:space="preserve"> </w:t>
      </w:r>
      <w:r w:rsidR="00612DAB">
        <w:rPr>
          <w:rFonts w:asciiTheme="majorHAnsi" w:eastAsia="Times New Roman" w:hAnsiTheme="majorHAnsi" w:cstheme="majorHAnsi"/>
          <w:lang w:eastAsia="el-GR"/>
        </w:rPr>
        <w:fldChar w:fldCharType="begin"/>
      </w:r>
      <w:r w:rsidR="00612DAB">
        <w:rPr>
          <w:rFonts w:asciiTheme="majorHAnsi" w:eastAsia="Times New Roman" w:hAnsiTheme="majorHAnsi" w:cstheme="majorHAnsi"/>
          <w:lang w:eastAsia="el-GR"/>
        </w:rPr>
        <w:instrText xml:space="preserve"> REF _Ref153551669 \h  \* MERGEFORMAT </w:instrText>
      </w:r>
      <w:r w:rsidR="00612DAB">
        <w:rPr>
          <w:rFonts w:asciiTheme="majorHAnsi" w:eastAsia="Times New Roman" w:hAnsiTheme="majorHAnsi" w:cstheme="majorHAnsi"/>
          <w:lang w:eastAsia="el-GR"/>
        </w:rPr>
      </w:r>
      <w:r w:rsidR="00612DAB">
        <w:rPr>
          <w:rFonts w:asciiTheme="majorHAnsi" w:eastAsia="Times New Roman" w:hAnsiTheme="majorHAnsi" w:cstheme="majorHAnsi"/>
          <w:lang w:eastAsia="el-GR"/>
        </w:rPr>
        <w:fldChar w:fldCharType="separate"/>
      </w:r>
      <w:r w:rsidR="00612DAB" w:rsidRPr="00565B02">
        <w:rPr>
          <w:rFonts w:asciiTheme="majorHAnsi" w:eastAsia="Times New Roman" w:hAnsiTheme="majorHAnsi" w:cstheme="majorHAnsi"/>
          <w:lang w:eastAsia="el-GR"/>
        </w:rPr>
        <w:t>слику 1.7</w:t>
      </w:r>
      <w:r w:rsidR="00612DAB">
        <w:rPr>
          <w:rFonts w:asciiTheme="majorHAnsi" w:eastAsia="Times New Roman" w:hAnsiTheme="majorHAnsi" w:cstheme="majorHAnsi"/>
          <w:lang w:eastAsia="el-GR"/>
        </w:rPr>
        <w:fldChar w:fldCharType="end"/>
      </w:r>
      <w:r w:rsidRPr="00FF386D">
        <w:rPr>
          <w:rFonts w:asciiTheme="majorHAnsi" w:eastAsia="Times New Roman" w:hAnsiTheme="majorHAnsi" w:cstheme="majorHAnsi"/>
          <w:lang w:eastAsia="el-GR"/>
        </w:rPr>
        <w:t xml:space="preserve">), што је за 4,5% мање од </w:t>
      </w:r>
      <w:r w:rsidR="00583032" w:rsidRPr="00FF386D">
        <w:rPr>
          <w:rFonts w:asciiTheme="majorHAnsi" w:eastAsia="Times New Roman" w:hAnsiTheme="majorHAnsi" w:cstheme="majorHAnsi"/>
          <w:lang w:eastAsia="el-GR"/>
        </w:rPr>
        <w:t xml:space="preserve">држава </w:t>
      </w:r>
      <w:r w:rsidRPr="00FF386D">
        <w:rPr>
          <w:rFonts w:asciiTheme="majorHAnsi" w:eastAsia="Times New Roman" w:hAnsiTheme="majorHAnsi" w:cstheme="majorHAnsi"/>
          <w:lang w:eastAsia="el-GR"/>
        </w:rPr>
        <w:t xml:space="preserve">ЕУ 27. У поређењу са другим земљама, Србија има већи удео </w:t>
      </w:r>
      <w:r w:rsidR="002E3C93" w:rsidRPr="00FF386D">
        <w:rPr>
          <w:rFonts w:asciiTheme="majorHAnsi" w:eastAsia="Times New Roman" w:hAnsiTheme="majorHAnsi" w:cstheme="majorHAnsi"/>
          <w:lang w:eastAsia="el-GR"/>
        </w:rPr>
        <w:t>једино у односу на</w:t>
      </w:r>
      <w:r w:rsidRPr="00FF386D">
        <w:rPr>
          <w:rFonts w:asciiTheme="majorHAnsi" w:eastAsia="Times New Roman" w:hAnsiTheme="majorHAnsi" w:cstheme="majorHAnsi"/>
          <w:lang w:eastAsia="el-GR"/>
        </w:rPr>
        <w:t xml:space="preserve"> Бугарск</w:t>
      </w:r>
      <w:r w:rsidR="002E3C93" w:rsidRPr="00FF386D">
        <w:rPr>
          <w:rFonts w:asciiTheme="majorHAnsi" w:eastAsia="Times New Roman" w:hAnsiTheme="majorHAnsi" w:cstheme="majorHAnsi"/>
          <w:lang w:eastAsia="el-GR"/>
        </w:rPr>
        <w:t>у</w:t>
      </w:r>
      <w:r w:rsidRPr="00FF386D">
        <w:rPr>
          <w:rFonts w:asciiTheme="majorHAnsi" w:eastAsia="Times New Roman" w:hAnsiTheme="majorHAnsi" w:cstheme="majorHAnsi"/>
          <w:lang w:eastAsia="el-GR"/>
        </w:rPr>
        <w:t xml:space="preserve"> и Северн</w:t>
      </w:r>
      <w:r w:rsidR="002E3C93" w:rsidRPr="00FF386D">
        <w:rPr>
          <w:rFonts w:asciiTheme="majorHAnsi" w:eastAsia="Times New Roman" w:hAnsiTheme="majorHAnsi" w:cstheme="majorHAnsi"/>
          <w:lang w:eastAsia="el-GR"/>
        </w:rPr>
        <w:t>у</w:t>
      </w:r>
      <w:r w:rsidRPr="00FF386D">
        <w:rPr>
          <w:rFonts w:asciiTheme="majorHAnsi" w:eastAsia="Times New Roman" w:hAnsiTheme="majorHAnsi" w:cstheme="majorHAnsi"/>
          <w:lang w:eastAsia="el-GR"/>
        </w:rPr>
        <w:t xml:space="preserve"> Македониј</w:t>
      </w:r>
      <w:r w:rsidR="002E3C93" w:rsidRPr="00FF386D">
        <w:rPr>
          <w:rFonts w:asciiTheme="majorHAnsi" w:eastAsia="Times New Roman" w:hAnsiTheme="majorHAnsi" w:cstheme="majorHAnsi"/>
          <w:lang w:eastAsia="el-GR"/>
        </w:rPr>
        <w:t>у</w:t>
      </w:r>
      <w:r w:rsidRPr="00FF386D">
        <w:rPr>
          <w:rFonts w:asciiTheme="majorHAnsi" w:eastAsia="Times New Roman" w:hAnsiTheme="majorHAnsi" w:cstheme="majorHAnsi"/>
          <w:lang w:eastAsia="el-GR"/>
        </w:rPr>
        <w:t>, док преостале земље имају знатно већи удео због структуре њиховог инсталисаног капацитета.</w:t>
      </w:r>
    </w:p>
    <w:p w14:paraId="349088A1" w14:textId="7903B53C" w:rsidR="00612DAB" w:rsidRDefault="00612DAB" w:rsidP="00565B02">
      <w:pPr>
        <w:pStyle w:val="Caption"/>
        <w:keepNext/>
        <w:jc w:val="center"/>
      </w:pPr>
      <w:bookmarkStart w:id="34" w:name="_Ref153551669"/>
      <w:bookmarkStart w:id="35" w:name="_Toc153901337"/>
      <w:r>
        <w:t xml:space="preserve">Слика </w:t>
      </w:r>
      <w:r w:rsidR="00F35B2C">
        <w:fldChar w:fldCharType="begin"/>
      </w:r>
      <w:r w:rsidR="00F35B2C">
        <w:instrText xml:space="preserve"> STYLEREF 1 \s </w:instrText>
      </w:r>
      <w:r w:rsidR="00F35B2C">
        <w:fldChar w:fldCharType="separate"/>
      </w:r>
      <w:r w:rsidR="00F35B2C">
        <w:rPr>
          <w:noProof/>
        </w:rPr>
        <w:t>1</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7</w:t>
      </w:r>
      <w:r w:rsidR="00F35B2C">
        <w:fldChar w:fldCharType="end"/>
      </w:r>
      <w:bookmarkEnd w:id="34"/>
      <w:r>
        <w:t xml:space="preserve">: </w:t>
      </w:r>
      <w:r w:rsidRPr="00612DAB">
        <w:t>Удео ОИЕ у производњи електричне енергије за 2019. годину, у % (извор: Евростат)</w:t>
      </w:r>
      <w:bookmarkEnd w:id="35"/>
    </w:p>
    <w:p w14:paraId="12DFB5CD" w14:textId="7C991CB1" w:rsidR="00762205" w:rsidRPr="00FF386D" w:rsidRDefault="00762205" w:rsidP="00EB3C75">
      <w:pPr>
        <w:jc w:val="center"/>
      </w:pPr>
      <w:r w:rsidRPr="004F53D7">
        <w:rPr>
          <w:noProof/>
          <w:lang w:val="en-US"/>
        </w:rPr>
        <w:drawing>
          <wp:inline distT="0" distB="0" distL="0" distR="0" wp14:anchorId="72612976" wp14:editId="0E5F6457">
            <wp:extent cx="3609340" cy="2407920"/>
            <wp:effectExtent l="0" t="0" r="0" b="0"/>
            <wp:docPr id="1514841493" name="Picture 151484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09340" cy="2407920"/>
                    </a:xfrm>
                    <a:prstGeom prst="rect">
                      <a:avLst/>
                    </a:prstGeom>
                    <a:noFill/>
                  </pic:spPr>
                </pic:pic>
              </a:graphicData>
            </a:graphic>
          </wp:inline>
        </w:drawing>
      </w:r>
    </w:p>
    <w:p w14:paraId="2BB0881B" w14:textId="16F87FEC" w:rsidR="00EB3C75" w:rsidRPr="00FF386D" w:rsidRDefault="00477920" w:rsidP="00EB3C75">
      <w:pPr>
        <w:spacing w:before="120" w:after="120" w:line="240" w:lineRule="auto"/>
        <w:jc w:val="both"/>
        <w:rPr>
          <w:rFonts w:asciiTheme="majorHAnsi" w:eastAsia="Times New Roman" w:hAnsiTheme="majorHAnsi" w:cstheme="majorHAnsi"/>
          <w:b/>
          <w:bCs/>
          <w:lang w:eastAsia="el-GR"/>
        </w:rPr>
      </w:pPr>
      <w:r w:rsidRPr="00FF386D">
        <w:rPr>
          <w:rFonts w:asciiTheme="majorHAnsi" w:eastAsia="Times New Roman" w:hAnsiTheme="majorHAnsi" w:cstheme="majorHAnsi"/>
          <w:b/>
          <w:bCs/>
          <w:lang w:eastAsia="el-GR"/>
        </w:rPr>
        <w:t>Енергетска</w:t>
      </w:r>
      <w:r w:rsidR="00EB3C75" w:rsidRPr="00FF386D">
        <w:rPr>
          <w:rFonts w:asciiTheme="majorHAnsi" w:eastAsia="Times New Roman" w:hAnsiTheme="majorHAnsi" w:cstheme="majorHAnsi"/>
          <w:b/>
          <w:bCs/>
          <w:lang w:eastAsia="el-GR"/>
        </w:rPr>
        <w:t xml:space="preserve"> ефикасност</w:t>
      </w:r>
    </w:p>
    <w:p w14:paraId="2E6243FC" w14:textId="4AB9FAD7" w:rsidR="00EB3C75" w:rsidRPr="00FF386D" w:rsidRDefault="00EB3C75" w:rsidP="00EB3C75">
      <w:pPr>
        <w:spacing w:after="0" w:line="240" w:lineRule="auto"/>
        <w:jc w:val="both"/>
        <w:rPr>
          <w:rFonts w:asciiTheme="majorHAnsi" w:hAnsiTheme="majorHAnsi" w:cstheme="majorHAnsi"/>
        </w:rPr>
      </w:pPr>
      <w:r w:rsidRPr="00FF386D">
        <w:rPr>
          <w:rFonts w:asciiTheme="majorHAnsi" w:hAnsiTheme="majorHAnsi" w:cstheme="majorHAnsi"/>
        </w:rPr>
        <w:t xml:space="preserve">Потрошња примарне енергије за 2019. годину у односу на 2005. годину приказана је на </w:t>
      </w:r>
      <w:r w:rsidR="00612DAB">
        <w:rPr>
          <w:rFonts w:asciiTheme="majorHAnsi" w:hAnsiTheme="majorHAnsi" w:cstheme="majorHAnsi"/>
        </w:rPr>
        <w:fldChar w:fldCharType="begin"/>
      </w:r>
      <w:r w:rsidR="00612DAB">
        <w:rPr>
          <w:rFonts w:asciiTheme="majorHAnsi" w:hAnsiTheme="majorHAnsi" w:cstheme="majorHAnsi"/>
        </w:rPr>
        <w:instrText xml:space="preserve"> REF _Ref153551744 \h  \* MERGEFORMAT </w:instrText>
      </w:r>
      <w:r w:rsidR="00612DAB">
        <w:rPr>
          <w:rFonts w:asciiTheme="majorHAnsi" w:hAnsiTheme="majorHAnsi" w:cstheme="majorHAnsi"/>
        </w:rPr>
      </w:r>
      <w:r w:rsidR="00612DAB">
        <w:rPr>
          <w:rFonts w:asciiTheme="majorHAnsi" w:hAnsiTheme="majorHAnsi" w:cstheme="majorHAnsi"/>
        </w:rPr>
        <w:fldChar w:fldCharType="separate"/>
      </w:r>
      <w:r w:rsidR="00612DAB" w:rsidRPr="00565B02">
        <w:rPr>
          <w:rFonts w:asciiTheme="majorHAnsi" w:hAnsiTheme="majorHAnsi" w:cstheme="majorHAnsi"/>
        </w:rPr>
        <w:t>слици 1.8</w:t>
      </w:r>
      <w:r w:rsidR="00612DAB">
        <w:rPr>
          <w:rFonts w:asciiTheme="majorHAnsi" w:hAnsiTheme="majorHAnsi" w:cstheme="majorHAnsi"/>
        </w:rPr>
        <w:fldChar w:fldCharType="end"/>
      </w:r>
      <w:r w:rsidR="009451DB" w:rsidRPr="00FF386D">
        <w:rPr>
          <w:rStyle w:val="LDKBodyChar0"/>
          <w:rFonts w:eastAsiaTheme="minorHAnsi"/>
        </w:rPr>
        <w:fldChar w:fldCharType="begin" w:fldLock="1"/>
      </w:r>
      <w:r w:rsidR="009451DB" w:rsidRPr="00FF386D">
        <w:rPr>
          <w:rStyle w:val="LDKBodyChar0"/>
          <w:rFonts w:eastAsiaTheme="minorHAnsi"/>
        </w:rPr>
        <w:instrText xml:space="preserve"> REF _Ref136445990 \h  \* MERGEFORMAT </w:instrText>
      </w:r>
      <w:r w:rsidR="009451DB" w:rsidRPr="00FF386D">
        <w:rPr>
          <w:rStyle w:val="LDKBodyChar0"/>
          <w:rFonts w:eastAsiaTheme="minorHAnsi"/>
        </w:rPr>
      </w:r>
      <w:r w:rsidR="009451DB" w:rsidRPr="00FF386D">
        <w:rPr>
          <w:rStyle w:val="LDKBodyChar0"/>
          <w:rFonts w:eastAsiaTheme="minorHAnsi"/>
        </w:rPr>
        <w:fldChar w:fldCharType="separate"/>
      </w:r>
      <w:r w:rsidR="009451DB" w:rsidRPr="00FF386D">
        <w:rPr>
          <w:rStyle w:val="LDKBodyChar0"/>
          <w:rFonts w:eastAsiaTheme="minorHAnsi"/>
        </w:rPr>
        <w:fldChar w:fldCharType="end"/>
      </w:r>
      <w:r w:rsidR="009451DB" w:rsidRPr="00FF386D">
        <w:rPr>
          <w:rStyle w:val="LDKBodyChar0"/>
          <w:rFonts w:eastAsiaTheme="minorHAnsi"/>
        </w:rPr>
        <w:t xml:space="preserve">. </w:t>
      </w:r>
      <w:r w:rsidRPr="00FF386D">
        <w:rPr>
          <w:rFonts w:asciiTheme="majorHAnsi" w:hAnsiTheme="majorHAnsi" w:cstheme="majorHAnsi"/>
        </w:rPr>
        <w:t>Према доступним подацима, Србија је успела да смањи потрошњу за 6,</w:t>
      </w:r>
      <w:r w:rsidR="002E3C93" w:rsidRPr="00FF386D">
        <w:rPr>
          <w:rFonts w:asciiTheme="majorHAnsi" w:hAnsiTheme="majorHAnsi" w:cstheme="majorHAnsi"/>
        </w:rPr>
        <w:t>7</w:t>
      </w:r>
      <w:r w:rsidRPr="00FF386D">
        <w:rPr>
          <w:rFonts w:asciiTheme="majorHAnsi" w:hAnsiTheme="majorHAnsi" w:cstheme="majorHAnsi"/>
        </w:rPr>
        <w:t>%, што представља трећу најнижу вредност међу земљама</w:t>
      </w:r>
      <w:r w:rsidR="002E3C93" w:rsidRPr="00FF386D">
        <w:rPr>
          <w:rFonts w:asciiTheme="majorHAnsi" w:hAnsiTheme="majorHAnsi" w:cstheme="majorHAnsi"/>
        </w:rPr>
        <w:t xml:space="preserve"> које су изабране за поређење</w:t>
      </w:r>
      <w:r w:rsidRPr="00FF386D">
        <w:rPr>
          <w:rFonts w:asciiTheme="majorHAnsi" w:hAnsiTheme="majorHAnsi" w:cstheme="majorHAnsi"/>
        </w:rPr>
        <w:t>. У поређењу са ЕУ 27, Србија заостаје за 4</w:t>
      </w:r>
      <w:r w:rsidR="002E3C93" w:rsidRPr="00FF386D">
        <w:rPr>
          <w:rFonts w:asciiTheme="majorHAnsi" w:hAnsiTheme="majorHAnsi" w:cstheme="majorHAnsi"/>
        </w:rPr>
        <w:t>,2</w:t>
      </w:r>
      <w:r w:rsidRPr="00FF386D">
        <w:rPr>
          <w:rFonts w:asciiTheme="majorHAnsi" w:hAnsiTheme="majorHAnsi" w:cstheme="majorHAnsi"/>
        </w:rPr>
        <w:t>%. Све земље</w:t>
      </w:r>
      <w:r w:rsidR="00762205" w:rsidRPr="00FF386D">
        <w:rPr>
          <w:rFonts w:asciiTheme="majorHAnsi" w:hAnsiTheme="majorHAnsi" w:cstheme="majorHAnsi"/>
        </w:rPr>
        <w:t>,</w:t>
      </w:r>
      <w:r w:rsidRPr="00FF386D">
        <w:rPr>
          <w:rFonts w:asciiTheme="majorHAnsi" w:hAnsiTheme="majorHAnsi" w:cstheme="majorHAnsi"/>
        </w:rPr>
        <w:t xml:space="preserve"> осим Албаније </w:t>
      </w:r>
      <w:r w:rsidR="00762205" w:rsidRPr="00FF386D">
        <w:rPr>
          <w:rFonts w:asciiTheme="majorHAnsi" w:hAnsiTheme="majorHAnsi" w:cstheme="majorHAnsi"/>
        </w:rPr>
        <w:t xml:space="preserve">и Црне Горе, </w:t>
      </w:r>
      <w:r w:rsidRPr="00FF386D">
        <w:rPr>
          <w:rFonts w:asciiTheme="majorHAnsi" w:hAnsiTheme="majorHAnsi" w:cstheme="majorHAnsi"/>
        </w:rPr>
        <w:t>имају негативан тренд потрошње примарне енергије.</w:t>
      </w:r>
    </w:p>
    <w:p w14:paraId="76CE434B" w14:textId="3D33CFE2" w:rsidR="00612DAB" w:rsidRDefault="00612DAB" w:rsidP="00565B02">
      <w:pPr>
        <w:pStyle w:val="Caption"/>
        <w:keepNext/>
      </w:pPr>
      <w:bookmarkStart w:id="36" w:name="_Ref153551744"/>
      <w:bookmarkStart w:id="37" w:name="_Toc153901338"/>
      <w:r>
        <w:lastRenderedPageBreak/>
        <w:t xml:space="preserve">Слика </w:t>
      </w:r>
      <w:r w:rsidR="00F35B2C">
        <w:fldChar w:fldCharType="begin"/>
      </w:r>
      <w:r w:rsidR="00F35B2C">
        <w:instrText xml:space="preserve"> STYLEREF 1 \s </w:instrText>
      </w:r>
      <w:r w:rsidR="00F35B2C">
        <w:fldChar w:fldCharType="separate"/>
      </w:r>
      <w:r w:rsidR="00F35B2C">
        <w:rPr>
          <w:noProof/>
        </w:rPr>
        <w:t>1</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8</w:t>
      </w:r>
      <w:r w:rsidR="00F35B2C">
        <w:fldChar w:fldCharType="end"/>
      </w:r>
      <w:bookmarkEnd w:id="36"/>
      <w:r w:rsidRPr="00612DAB">
        <w:t>: Потрошња примарне енергије за 2019. годину у односу на 2005, у % (извор: Евростат)</w:t>
      </w:r>
      <w:bookmarkEnd w:id="37"/>
    </w:p>
    <w:p w14:paraId="5C8709A2" w14:textId="13B8E2B3" w:rsidR="00762205" w:rsidRPr="00FF386D" w:rsidRDefault="00762205" w:rsidP="00EB3C75">
      <w:pPr>
        <w:spacing w:before="120" w:after="120" w:line="240" w:lineRule="auto"/>
        <w:jc w:val="center"/>
        <w:rPr>
          <w:rFonts w:ascii="Calibri" w:eastAsia="Times New Roman" w:hAnsi="Calibri" w:cs="Arial"/>
          <w:lang w:eastAsia="el-GR"/>
        </w:rPr>
      </w:pPr>
      <w:r w:rsidRPr="004F53D7">
        <w:rPr>
          <w:rFonts w:ascii="Calibri" w:eastAsia="Times New Roman" w:hAnsi="Calibri" w:cs="Arial"/>
          <w:noProof/>
          <w:lang w:val="en-US"/>
        </w:rPr>
        <w:drawing>
          <wp:inline distT="0" distB="0" distL="0" distR="0" wp14:anchorId="08D58B90" wp14:editId="4584D3A9">
            <wp:extent cx="3456940" cy="2407920"/>
            <wp:effectExtent l="0" t="0" r="0" b="0"/>
            <wp:docPr id="1518458117" name="Picture 1518458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56940" cy="2407920"/>
                    </a:xfrm>
                    <a:prstGeom prst="rect">
                      <a:avLst/>
                    </a:prstGeom>
                    <a:noFill/>
                  </pic:spPr>
                </pic:pic>
              </a:graphicData>
            </a:graphic>
          </wp:inline>
        </w:drawing>
      </w:r>
    </w:p>
    <w:p w14:paraId="4C86F6B2" w14:textId="2D03F55C"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Домаћинства у Србији су у 2019. години трошила у просеку 411 k</w:t>
      </w:r>
      <w:r w:rsidR="002D33A2" w:rsidRPr="00FF386D">
        <w:rPr>
          <w:rFonts w:asciiTheme="majorHAnsi" w:eastAsia="Times New Roman" w:hAnsiTheme="majorHAnsi" w:cstheme="majorHAnsi"/>
          <w:lang w:eastAsia="el-GR"/>
        </w:rPr>
        <w:t>g</w:t>
      </w:r>
      <w:r w:rsidRPr="00FF386D">
        <w:rPr>
          <w:rFonts w:asciiTheme="majorHAnsi" w:eastAsia="Times New Roman" w:hAnsiTheme="majorHAnsi" w:cstheme="majorHAnsi"/>
          <w:lang w:eastAsia="el-GR"/>
        </w:rPr>
        <w:t xml:space="preserve">oe, што је за 25% мање од просека у ЕУ 27. Финална потрошња енергије у домаћинствима по </w:t>
      </w:r>
      <w:r w:rsidR="00583032" w:rsidRPr="00FF386D">
        <w:rPr>
          <w:rFonts w:asciiTheme="majorHAnsi" w:eastAsia="Times New Roman" w:hAnsiTheme="majorHAnsi" w:cstheme="majorHAnsi"/>
          <w:lang w:eastAsia="el-GR"/>
        </w:rPr>
        <w:t>глави становника</w:t>
      </w:r>
      <w:r w:rsidRPr="00FF386D">
        <w:rPr>
          <w:rFonts w:asciiTheme="majorHAnsi" w:eastAsia="Times New Roman" w:hAnsiTheme="majorHAnsi" w:cstheme="majorHAnsi"/>
          <w:lang w:eastAsia="el-GR"/>
        </w:rPr>
        <w:t xml:space="preserve"> у Србији је трећа највећа потрошња у поређењу са осталим земљама (видети</w:t>
      </w:r>
      <w:r w:rsidR="00612DAB">
        <w:rPr>
          <w:rFonts w:asciiTheme="majorHAnsi" w:eastAsia="Times New Roman" w:hAnsiTheme="majorHAnsi" w:cstheme="majorHAnsi"/>
          <w:lang w:eastAsia="el-GR"/>
        </w:rPr>
        <w:t xml:space="preserve"> </w:t>
      </w:r>
      <w:r w:rsidR="00612DAB">
        <w:rPr>
          <w:rFonts w:asciiTheme="majorHAnsi" w:eastAsia="Times New Roman" w:hAnsiTheme="majorHAnsi" w:cstheme="majorHAnsi"/>
          <w:lang w:eastAsia="el-GR"/>
        </w:rPr>
        <w:fldChar w:fldCharType="begin"/>
      </w:r>
      <w:r w:rsidR="00612DAB">
        <w:rPr>
          <w:rFonts w:asciiTheme="majorHAnsi" w:eastAsia="Times New Roman" w:hAnsiTheme="majorHAnsi" w:cstheme="majorHAnsi"/>
          <w:lang w:eastAsia="el-GR"/>
        </w:rPr>
        <w:instrText xml:space="preserve"> REF _Ref153551813 \h  \* MERGEFORMAT </w:instrText>
      </w:r>
      <w:r w:rsidR="00612DAB">
        <w:rPr>
          <w:rFonts w:asciiTheme="majorHAnsi" w:eastAsia="Times New Roman" w:hAnsiTheme="majorHAnsi" w:cstheme="majorHAnsi"/>
          <w:lang w:eastAsia="el-GR"/>
        </w:rPr>
      </w:r>
      <w:r w:rsidR="00612DAB">
        <w:rPr>
          <w:rFonts w:asciiTheme="majorHAnsi" w:eastAsia="Times New Roman" w:hAnsiTheme="majorHAnsi" w:cstheme="majorHAnsi"/>
          <w:lang w:eastAsia="el-GR"/>
        </w:rPr>
        <w:fldChar w:fldCharType="separate"/>
      </w:r>
      <w:r w:rsidR="00612DAB" w:rsidRPr="00565B02">
        <w:rPr>
          <w:rFonts w:asciiTheme="majorHAnsi" w:eastAsia="Times New Roman" w:hAnsiTheme="majorHAnsi" w:cstheme="majorHAnsi"/>
          <w:lang w:eastAsia="el-GR"/>
        </w:rPr>
        <w:t>слику 1.9</w:t>
      </w:r>
      <w:r w:rsidR="00612DAB">
        <w:rPr>
          <w:rFonts w:asciiTheme="majorHAnsi" w:eastAsia="Times New Roman" w:hAnsiTheme="majorHAnsi" w:cstheme="majorHAnsi"/>
          <w:lang w:eastAsia="el-GR"/>
        </w:rPr>
        <w:fldChar w:fldCharType="end"/>
      </w:r>
      <w:r w:rsidR="009451DB" w:rsidRPr="00565B02">
        <w:rPr>
          <w:rFonts w:asciiTheme="majorHAnsi" w:eastAsia="Times New Roman" w:hAnsiTheme="majorHAnsi" w:cstheme="majorHAnsi"/>
        </w:rPr>
        <w:t>)</w:t>
      </w:r>
      <w:r w:rsidRPr="00FF386D">
        <w:rPr>
          <w:rFonts w:asciiTheme="majorHAnsi" w:eastAsia="Times New Roman" w:hAnsiTheme="majorHAnsi" w:cstheme="majorHAnsi"/>
          <w:lang w:eastAsia="el-GR"/>
        </w:rPr>
        <w:t>.</w:t>
      </w:r>
    </w:p>
    <w:p w14:paraId="3D6C31A1" w14:textId="4D795FFD" w:rsidR="00612DAB" w:rsidRDefault="00612DAB" w:rsidP="00565B02">
      <w:pPr>
        <w:pStyle w:val="Caption"/>
        <w:keepNext/>
      </w:pPr>
      <w:bookmarkStart w:id="38" w:name="_Ref153551813"/>
      <w:bookmarkStart w:id="39" w:name="_Toc153901339"/>
      <w:r>
        <w:t xml:space="preserve">Слика </w:t>
      </w:r>
      <w:r w:rsidR="00F35B2C">
        <w:fldChar w:fldCharType="begin"/>
      </w:r>
      <w:r w:rsidR="00F35B2C">
        <w:instrText xml:space="preserve"> STYLEREF 1 \s </w:instrText>
      </w:r>
      <w:r w:rsidR="00F35B2C">
        <w:fldChar w:fldCharType="separate"/>
      </w:r>
      <w:r w:rsidR="00F35B2C">
        <w:rPr>
          <w:noProof/>
        </w:rPr>
        <w:t>1</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9</w:t>
      </w:r>
      <w:r w:rsidR="00F35B2C">
        <w:fldChar w:fldCharType="end"/>
      </w:r>
      <w:bookmarkEnd w:id="38"/>
      <w:r w:rsidRPr="00612DAB">
        <w:t>: Финална потрошња енергије у домаћинствима по глави становника за 2019. годину, у kgoe (извор: Евростат)</w:t>
      </w:r>
      <w:bookmarkEnd w:id="39"/>
    </w:p>
    <w:p w14:paraId="70B2E89F" w14:textId="77777777" w:rsidR="00EB3C75" w:rsidRPr="00FF386D" w:rsidRDefault="00EB3C75" w:rsidP="00EB3C75">
      <w:pPr>
        <w:spacing w:before="120" w:after="120" w:line="240" w:lineRule="auto"/>
        <w:jc w:val="center"/>
        <w:rPr>
          <w:rFonts w:ascii="Calibri" w:eastAsia="Times New Roman" w:hAnsi="Calibri" w:cs="Arial"/>
          <w:lang w:eastAsia="el-GR"/>
        </w:rPr>
      </w:pPr>
      <w:r w:rsidRPr="004F53D7">
        <w:rPr>
          <w:rFonts w:ascii="Calibri" w:eastAsia="Times New Roman" w:hAnsi="Calibri" w:cs="Arial"/>
          <w:noProof/>
          <w:lang w:val="en-US"/>
        </w:rPr>
        <w:drawing>
          <wp:inline distT="0" distB="0" distL="0" distR="0" wp14:anchorId="0F576810" wp14:editId="273FEC61">
            <wp:extent cx="3584759" cy="2517866"/>
            <wp:effectExtent l="0" t="0" r="0" b="0"/>
            <wp:docPr id="442018149" name="Picture 44201814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Chart, bar chart&#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3584759" cy="2517866"/>
                    </a:xfrm>
                    <a:prstGeom prst="rect">
                      <a:avLst/>
                    </a:prstGeom>
                  </pic:spPr>
                </pic:pic>
              </a:graphicData>
            </a:graphic>
          </wp:inline>
        </w:drawing>
      </w:r>
    </w:p>
    <w:p w14:paraId="175CF339" w14:textId="682DF0DC" w:rsidR="00EB3C75" w:rsidRPr="00FF386D" w:rsidRDefault="00EB3C75" w:rsidP="009451DB">
      <w:pPr>
        <w:pStyle w:val="LDKBody1"/>
      </w:pPr>
      <w:r w:rsidRPr="00FF386D">
        <w:t>Показатељ енергетске продуктивности се користи да прикаже економски учинак по јединици бруто расположиве енергије. Бруто расположива енергије представља количину енерг</w:t>
      </w:r>
      <w:r w:rsidR="00583032" w:rsidRPr="00FF386D">
        <w:t xml:space="preserve">ената </w:t>
      </w:r>
      <w:r w:rsidRPr="00FF386D">
        <w:t xml:space="preserve">потребних за покривање потражње субјеката у Србији и приказана је на </w:t>
      </w:r>
      <w:r w:rsidR="00612DAB">
        <w:fldChar w:fldCharType="begin"/>
      </w:r>
      <w:r w:rsidR="00612DAB">
        <w:instrText xml:space="preserve"> REF _Ref153551891 \h </w:instrText>
      </w:r>
      <w:r w:rsidR="00612DAB">
        <w:fldChar w:fldCharType="separate"/>
      </w:r>
      <w:r w:rsidR="00612DAB">
        <w:t xml:space="preserve">слици </w:t>
      </w:r>
      <w:r w:rsidR="00612DAB">
        <w:rPr>
          <w:noProof/>
        </w:rPr>
        <w:t>1</w:t>
      </w:r>
      <w:r w:rsidR="00612DAB">
        <w:t>.</w:t>
      </w:r>
      <w:r w:rsidR="00612DAB">
        <w:rPr>
          <w:noProof/>
        </w:rPr>
        <w:t>10</w:t>
      </w:r>
      <w:r w:rsidR="00612DAB">
        <w:fldChar w:fldCharType="end"/>
      </w:r>
      <w:r w:rsidR="00612DAB">
        <w:t>.</w:t>
      </w:r>
      <w:r w:rsidR="009451DB" w:rsidRPr="00FF386D">
        <w:fldChar w:fldCharType="begin" w:fldLock="1"/>
      </w:r>
      <w:r w:rsidR="009451DB" w:rsidRPr="00FF386D">
        <w:instrText xml:space="preserve"> REF _Ref136446062 \h  \* MERGEFORMAT </w:instrText>
      </w:r>
      <w:r w:rsidR="009451DB" w:rsidRPr="00FF386D">
        <w:fldChar w:fldCharType="separate"/>
      </w:r>
      <w:r w:rsidR="009451DB" w:rsidRPr="00FF386D">
        <w:fldChar w:fldCharType="end"/>
      </w:r>
    </w:p>
    <w:p w14:paraId="6CC56BB7" w14:textId="0FB1455A" w:rsidR="00612DAB" w:rsidRDefault="00612DAB" w:rsidP="00565B02">
      <w:pPr>
        <w:pStyle w:val="Caption"/>
        <w:keepNext/>
      </w:pPr>
      <w:bookmarkStart w:id="40" w:name="_Ref153551891"/>
      <w:bookmarkStart w:id="41" w:name="_Toc153901340"/>
      <w:r>
        <w:lastRenderedPageBreak/>
        <w:t xml:space="preserve">Слика </w:t>
      </w:r>
      <w:r w:rsidR="00F35B2C">
        <w:fldChar w:fldCharType="begin"/>
      </w:r>
      <w:r w:rsidR="00F35B2C">
        <w:instrText xml:space="preserve"> STYLEREF 1 \s </w:instrText>
      </w:r>
      <w:r w:rsidR="00F35B2C">
        <w:fldChar w:fldCharType="separate"/>
      </w:r>
      <w:r w:rsidR="00F35B2C">
        <w:rPr>
          <w:noProof/>
        </w:rPr>
        <w:t>1</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10</w:t>
      </w:r>
      <w:r w:rsidR="00F35B2C">
        <w:fldChar w:fldCharType="end"/>
      </w:r>
      <w:bookmarkEnd w:id="40"/>
      <w:r w:rsidRPr="00612DAB">
        <w:t>: Енергетска продуктивност за 2019. годину, у ЕУР/kgoe (извор: Евростат)</w:t>
      </w:r>
      <w:bookmarkEnd w:id="41"/>
    </w:p>
    <w:p w14:paraId="3EDB2C15" w14:textId="02015520" w:rsidR="00762205" w:rsidRPr="00FF386D" w:rsidRDefault="00762205" w:rsidP="00EB3C75">
      <w:pPr>
        <w:spacing w:before="120" w:after="120" w:line="240" w:lineRule="auto"/>
        <w:jc w:val="center"/>
        <w:rPr>
          <w:rFonts w:ascii="Calibri" w:eastAsia="Times New Roman" w:hAnsi="Calibri" w:cs="Arial"/>
          <w:lang w:eastAsia="el-GR"/>
        </w:rPr>
      </w:pPr>
      <w:r w:rsidRPr="004F53D7">
        <w:rPr>
          <w:rFonts w:ascii="Calibri" w:eastAsia="Times New Roman" w:hAnsi="Calibri" w:cs="Arial"/>
          <w:noProof/>
          <w:lang w:val="en-US"/>
        </w:rPr>
        <w:drawing>
          <wp:inline distT="0" distB="0" distL="0" distR="0" wp14:anchorId="21D4CBCC" wp14:editId="1B7C1369">
            <wp:extent cx="3615055" cy="2407920"/>
            <wp:effectExtent l="0" t="0" r="4445" b="0"/>
            <wp:docPr id="1046623796" name="Picture 1046623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15055" cy="2407920"/>
                    </a:xfrm>
                    <a:prstGeom prst="rect">
                      <a:avLst/>
                    </a:prstGeom>
                    <a:noFill/>
                  </pic:spPr>
                </pic:pic>
              </a:graphicData>
            </a:graphic>
          </wp:inline>
        </w:drawing>
      </w:r>
    </w:p>
    <w:p w14:paraId="34BAEC7D" w14:textId="57DDD4C4" w:rsidR="00EB3C75" w:rsidRPr="00FF386D" w:rsidRDefault="00157C37" w:rsidP="00EB3C75">
      <w:pPr>
        <w:spacing w:before="120" w:after="120" w:line="240" w:lineRule="auto"/>
        <w:jc w:val="both"/>
        <w:rPr>
          <w:rFonts w:asciiTheme="majorHAnsi" w:eastAsia="Times New Roman" w:hAnsiTheme="majorHAnsi" w:cstheme="majorHAnsi"/>
          <w:b/>
          <w:bCs/>
          <w:lang w:eastAsia="el-GR"/>
        </w:rPr>
      </w:pPr>
      <w:r w:rsidRPr="00FF386D">
        <w:rPr>
          <w:rFonts w:asciiTheme="majorHAnsi" w:eastAsia="Times New Roman" w:hAnsiTheme="majorHAnsi" w:cstheme="majorHAnsi"/>
          <w:b/>
          <w:bCs/>
          <w:lang w:eastAsia="el-GR"/>
        </w:rPr>
        <w:t>Енергетска</w:t>
      </w:r>
      <w:r w:rsidR="00EB3C75" w:rsidRPr="00FF386D">
        <w:rPr>
          <w:rFonts w:asciiTheme="majorHAnsi" w:eastAsia="Times New Roman" w:hAnsiTheme="majorHAnsi" w:cstheme="majorHAnsi"/>
          <w:b/>
          <w:bCs/>
          <w:lang w:eastAsia="el-GR"/>
        </w:rPr>
        <w:t xml:space="preserve"> сигурност</w:t>
      </w:r>
    </w:p>
    <w:p w14:paraId="020F48B6" w14:textId="51CAC3CE"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Енергетска сигурност снабдевања у Србији,</w:t>
      </w:r>
      <w:r w:rsidR="00762205" w:rsidRPr="00FF386D">
        <w:rPr>
          <w:rFonts w:asciiTheme="majorHAnsi" w:eastAsia="Times New Roman" w:hAnsiTheme="majorHAnsi" w:cstheme="majorHAnsi"/>
          <w:lang w:eastAsia="el-GR"/>
        </w:rPr>
        <w:t xml:space="preserve"> </w:t>
      </w:r>
      <w:r w:rsidR="002E3C93" w:rsidRPr="00FF386D">
        <w:rPr>
          <w:rFonts w:asciiTheme="majorHAnsi" w:eastAsia="Times New Roman" w:hAnsiTheme="majorHAnsi" w:cstheme="majorHAnsi"/>
          <w:lang w:eastAsia="el-GR"/>
        </w:rPr>
        <w:t xml:space="preserve">на основу </w:t>
      </w:r>
      <w:r w:rsidRPr="00FF386D">
        <w:rPr>
          <w:rFonts w:asciiTheme="majorHAnsi" w:eastAsia="Times New Roman" w:hAnsiTheme="majorHAnsi" w:cstheme="majorHAnsi"/>
          <w:lang w:eastAsia="el-GR"/>
        </w:rPr>
        <w:t>зависности од увоза (</w:t>
      </w:r>
      <w:r w:rsidR="00184ADF">
        <w:rPr>
          <w:rFonts w:asciiTheme="majorHAnsi" w:eastAsia="Times New Roman" w:hAnsiTheme="majorHAnsi" w:cstheme="majorHAnsi"/>
          <w:lang w:eastAsia="el-GR"/>
        </w:rPr>
        <w:fldChar w:fldCharType="begin"/>
      </w:r>
      <w:r w:rsidR="00184ADF">
        <w:rPr>
          <w:rFonts w:asciiTheme="majorHAnsi" w:eastAsia="Times New Roman" w:hAnsiTheme="majorHAnsi" w:cstheme="majorHAnsi"/>
          <w:lang w:eastAsia="el-GR"/>
        </w:rPr>
        <w:instrText xml:space="preserve"> REF _Ref153551998 \h  \* MERGEFORMAT </w:instrText>
      </w:r>
      <w:r w:rsidR="00184ADF">
        <w:rPr>
          <w:rFonts w:asciiTheme="majorHAnsi" w:eastAsia="Times New Roman" w:hAnsiTheme="majorHAnsi" w:cstheme="majorHAnsi"/>
          <w:lang w:eastAsia="el-GR"/>
        </w:rPr>
      </w:r>
      <w:r w:rsidR="00184ADF">
        <w:rPr>
          <w:rFonts w:asciiTheme="majorHAnsi" w:eastAsia="Times New Roman" w:hAnsiTheme="majorHAnsi" w:cstheme="majorHAnsi"/>
          <w:lang w:eastAsia="el-GR"/>
        </w:rPr>
        <w:fldChar w:fldCharType="separate"/>
      </w:r>
      <w:r w:rsidR="00184ADF">
        <w:rPr>
          <w:rFonts w:asciiTheme="majorHAnsi" w:eastAsia="Times New Roman" w:hAnsiTheme="majorHAnsi" w:cstheme="majorHAnsi"/>
          <w:lang w:eastAsia="el-GR"/>
        </w:rPr>
        <w:t>с</w:t>
      </w:r>
      <w:r w:rsidR="00184ADF" w:rsidRPr="00565B02">
        <w:rPr>
          <w:rFonts w:asciiTheme="majorHAnsi" w:eastAsia="Times New Roman" w:hAnsiTheme="majorHAnsi" w:cstheme="majorHAnsi"/>
          <w:lang w:eastAsia="el-GR"/>
        </w:rPr>
        <w:t>лика 1.11</w:t>
      </w:r>
      <w:r w:rsidR="00184ADF">
        <w:rPr>
          <w:rFonts w:asciiTheme="majorHAnsi" w:eastAsia="Times New Roman" w:hAnsiTheme="majorHAnsi" w:cstheme="majorHAnsi"/>
          <w:lang w:eastAsia="el-GR"/>
        </w:rPr>
        <w:fldChar w:fldCharType="end"/>
      </w:r>
      <w:r w:rsidRPr="00FF386D">
        <w:rPr>
          <w:rFonts w:asciiTheme="majorHAnsi" w:eastAsia="Times New Roman" w:hAnsiTheme="majorHAnsi" w:cstheme="majorHAnsi"/>
          <w:lang w:eastAsia="el-GR"/>
        </w:rPr>
        <w:t>), постиже висок резултат са 35,6 %</w:t>
      </w:r>
      <w:r w:rsidR="00595132" w:rsidRPr="00FF386D">
        <w:rPr>
          <w:rFonts w:asciiTheme="majorHAnsi" w:eastAsia="Times New Roman" w:hAnsiTheme="majorHAnsi" w:cstheme="majorHAnsi"/>
          <w:lang w:eastAsia="el-GR"/>
        </w:rPr>
        <w:t>, а и</w:t>
      </w:r>
      <w:r w:rsidRPr="00FF386D">
        <w:rPr>
          <w:rFonts w:asciiTheme="majorHAnsi" w:eastAsia="Times New Roman" w:hAnsiTheme="majorHAnsi" w:cstheme="majorHAnsi"/>
          <w:lang w:eastAsia="el-GR"/>
        </w:rPr>
        <w:t xml:space="preserve"> у поређењу са ЕУ 27 показује веома добар резултат за 2019. годину. </w:t>
      </w:r>
      <w:r w:rsidR="005F7BE4" w:rsidRPr="00FF386D">
        <w:rPr>
          <w:rFonts w:asciiTheme="majorHAnsi" w:eastAsia="Times New Roman" w:hAnsiTheme="majorHAnsi" w:cstheme="majorHAnsi"/>
          <w:lang w:eastAsia="el-GR"/>
        </w:rPr>
        <w:t xml:space="preserve">Зависности од увоза </w:t>
      </w:r>
      <w:r w:rsidR="002E3C93" w:rsidRPr="00FF386D">
        <w:rPr>
          <w:rFonts w:asciiTheme="majorHAnsi" w:eastAsia="Times New Roman" w:hAnsiTheme="majorHAnsi" w:cstheme="majorHAnsi"/>
          <w:lang w:eastAsia="el-GR"/>
        </w:rPr>
        <w:t xml:space="preserve">у </w:t>
      </w:r>
      <w:r w:rsidR="005F7BE4" w:rsidRPr="00FF386D">
        <w:rPr>
          <w:rFonts w:asciiTheme="majorHAnsi" w:eastAsia="Times New Roman" w:hAnsiTheme="majorHAnsi" w:cstheme="majorHAnsi"/>
          <w:lang w:eastAsia="el-GR"/>
        </w:rPr>
        <w:t>зем</w:t>
      </w:r>
      <w:r w:rsidR="002E3C93" w:rsidRPr="00FF386D">
        <w:rPr>
          <w:rFonts w:asciiTheme="majorHAnsi" w:eastAsia="Times New Roman" w:hAnsiTheme="majorHAnsi" w:cstheme="majorHAnsi"/>
          <w:lang w:eastAsia="el-GR"/>
        </w:rPr>
        <w:t>љама</w:t>
      </w:r>
      <w:r w:rsidRPr="00FF386D">
        <w:rPr>
          <w:rFonts w:asciiTheme="majorHAnsi" w:eastAsia="Times New Roman" w:hAnsiTheme="majorHAnsi" w:cstheme="majorHAnsi"/>
          <w:lang w:eastAsia="el-GR"/>
        </w:rPr>
        <w:t xml:space="preserve"> попут Албаније, Црне Горе и Босне и Херцеговине </w:t>
      </w:r>
      <w:r w:rsidR="005F7BE4" w:rsidRPr="00FF386D">
        <w:rPr>
          <w:rFonts w:asciiTheme="majorHAnsi" w:eastAsia="Times New Roman" w:hAnsiTheme="majorHAnsi" w:cstheme="majorHAnsi"/>
          <w:lang w:eastAsia="el-GR"/>
        </w:rPr>
        <w:t>је</w:t>
      </w:r>
      <w:r w:rsidRPr="00FF386D">
        <w:rPr>
          <w:rFonts w:asciiTheme="majorHAnsi" w:eastAsia="Times New Roman" w:hAnsiTheme="majorHAnsi" w:cstheme="majorHAnsi"/>
          <w:lang w:eastAsia="el-GR"/>
        </w:rPr>
        <w:t xml:space="preserve"> око 30% док је, с друге стране, резултат Хрватске и Северне Македоније виши од 55%.</w:t>
      </w:r>
    </w:p>
    <w:p w14:paraId="3AA935D5" w14:textId="56DC04F0" w:rsidR="00184ADF" w:rsidRDefault="00184ADF" w:rsidP="00565B02">
      <w:pPr>
        <w:pStyle w:val="Caption"/>
        <w:keepNext/>
      </w:pPr>
      <w:bookmarkStart w:id="42" w:name="_Ref153551998"/>
      <w:bookmarkStart w:id="43" w:name="_Toc153901341"/>
      <w:r>
        <w:t xml:space="preserve">Слика </w:t>
      </w:r>
      <w:r w:rsidR="00F35B2C">
        <w:fldChar w:fldCharType="begin"/>
      </w:r>
      <w:r w:rsidR="00F35B2C">
        <w:instrText xml:space="preserve"> STYLEREF 1 \s </w:instrText>
      </w:r>
      <w:r w:rsidR="00F35B2C">
        <w:fldChar w:fldCharType="separate"/>
      </w:r>
      <w:r w:rsidR="00F35B2C">
        <w:rPr>
          <w:noProof/>
        </w:rPr>
        <w:t>1</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11</w:t>
      </w:r>
      <w:r w:rsidR="00F35B2C">
        <w:fldChar w:fldCharType="end"/>
      </w:r>
      <w:bookmarkEnd w:id="42"/>
      <w:r w:rsidRPr="00184ADF">
        <w:t>: Зависност од увоза за 2019. годину, у % (извор: Евростат)</w:t>
      </w:r>
      <w:bookmarkEnd w:id="43"/>
    </w:p>
    <w:p w14:paraId="46666F09" w14:textId="4B046B89" w:rsidR="00595132" w:rsidRPr="00FF386D" w:rsidRDefault="00595132" w:rsidP="00EB3C75">
      <w:pPr>
        <w:spacing w:before="120" w:after="120" w:line="240" w:lineRule="auto"/>
        <w:jc w:val="center"/>
        <w:rPr>
          <w:rFonts w:ascii="Calibri" w:eastAsia="Times New Roman" w:hAnsi="Calibri" w:cs="Arial"/>
          <w:lang w:eastAsia="el-GR"/>
        </w:rPr>
      </w:pPr>
      <w:r w:rsidRPr="004F53D7">
        <w:rPr>
          <w:rFonts w:ascii="Calibri" w:eastAsia="Times New Roman" w:hAnsi="Calibri" w:cs="Arial"/>
          <w:noProof/>
          <w:lang w:val="en-US"/>
        </w:rPr>
        <w:drawing>
          <wp:inline distT="0" distB="0" distL="0" distR="0" wp14:anchorId="7CDA2818" wp14:editId="13CA17EC">
            <wp:extent cx="3609340" cy="2407920"/>
            <wp:effectExtent l="0" t="0" r="0" b="0"/>
            <wp:docPr id="1952126320" name="Picture 1952126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09340" cy="2407920"/>
                    </a:xfrm>
                    <a:prstGeom prst="rect">
                      <a:avLst/>
                    </a:prstGeom>
                    <a:noFill/>
                  </pic:spPr>
                </pic:pic>
              </a:graphicData>
            </a:graphic>
          </wp:inline>
        </w:drawing>
      </w:r>
    </w:p>
    <w:p w14:paraId="57B831BD" w14:textId="77777777" w:rsidR="00EB3C75" w:rsidRPr="00FF386D" w:rsidRDefault="00EB3C75" w:rsidP="00EB3C75">
      <w:pPr>
        <w:spacing w:before="120" w:after="120" w:line="240" w:lineRule="auto"/>
        <w:jc w:val="both"/>
        <w:rPr>
          <w:rFonts w:asciiTheme="majorHAnsi" w:eastAsia="Times New Roman" w:hAnsiTheme="majorHAnsi" w:cstheme="majorHAnsi"/>
          <w:b/>
          <w:bCs/>
          <w:lang w:eastAsia="el-GR"/>
        </w:rPr>
      </w:pPr>
      <w:r w:rsidRPr="00FF386D">
        <w:rPr>
          <w:rFonts w:asciiTheme="majorHAnsi" w:eastAsia="Times New Roman" w:hAnsiTheme="majorHAnsi" w:cstheme="majorHAnsi"/>
          <w:b/>
          <w:bCs/>
          <w:lang w:eastAsia="el-GR"/>
        </w:rPr>
        <w:t>Унутрашње енергетско тржиште</w:t>
      </w:r>
    </w:p>
    <w:p w14:paraId="5058F42E" w14:textId="2794BE9D"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Један од показатеља нивоа енергетског сиромаштва се може исказати </w:t>
      </w:r>
      <w:r w:rsidR="005F7BE4" w:rsidRPr="00FF386D">
        <w:rPr>
          <w:rFonts w:asciiTheme="majorHAnsi" w:eastAsia="Times New Roman" w:hAnsiTheme="majorHAnsi" w:cstheme="majorHAnsi"/>
          <w:lang w:eastAsia="el-GR"/>
        </w:rPr>
        <w:t>као</w:t>
      </w:r>
      <w:r w:rsidRPr="00FF386D">
        <w:rPr>
          <w:rFonts w:asciiTheme="majorHAnsi" w:eastAsia="Times New Roman" w:hAnsiTheme="majorHAnsi" w:cstheme="majorHAnsi"/>
          <w:lang w:eastAsia="el-GR"/>
        </w:rPr>
        <w:t xml:space="preserve"> могућност људи да загреју своје домове. Када је у питању развој унутрашњег тржишта енергије, овај индикатор је веома важан и потребно га </w:t>
      </w:r>
      <w:r w:rsidR="005F7BE4" w:rsidRPr="00FF386D">
        <w:rPr>
          <w:rFonts w:asciiTheme="majorHAnsi" w:eastAsia="Times New Roman" w:hAnsiTheme="majorHAnsi" w:cstheme="majorHAnsi"/>
          <w:lang w:eastAsia="el-GR"/>
        </w:rPr>
        <w:t xml:space="preserve">је </w:t>
      </w:r>
      <w:r w:rsidRPr="00FF386D">
        <w:rPr>
          <w:rFonts w:asciiTheme="majorHAnsi" w:eastAsia="Times New Roman" w:hAnsiTheme="majorHAnsi" w:cstheme="majorHAnsi"/>
          <w:lang w:eastAsia="el-GR"/>
        </w:rPr>
        <w:t>узети у обзир. Као што се може видети на</w:t>
      </w:r>
      <w:r w:rsidR="00184ADF">
        <w:rPr>
          <w:rFonts w:asciiTheme="majorHAnsi" w:eastAsia="Times New Roman" w:hAnsiTheme="majorHAnsi" w:cstheme="majorHAnsi"/>
          <w:lang w:eastAsia="el-GR"/>
        </w:rPr>
        <w:t xml:space="preserve"> </w:t>
      </w:r>
      <w:r w:rsidR="00184ADF">
        <w:rPr>
          <w:rFonts w:asciiTheme="majorHAnsi" w:eastAsia="Times New Roman" w:hAnsiTheme="majorHAnsi" w:cstheme="majorHAnsi"/>
          <w:lang w:eastAsia="el-GR"/>
        </w:rPr>
        <w:fldChar w:fldCharType="begin"/>
      </w:r>
      <w:r w:rsidR="00184ADF">
        <w:rPr>
          <w:rFonts w:asciiTheme="majorHAnsi" w:eastAsia="Times New Roman" w:hAnsiTheme="majorHAnsi" w:cstheme="majorHAnsi"/>
          <w:lang w:eastAsia="el-GR"/>
        </w:rPr>
        <w:instrText xml:space="preserve"> REF _Ref153552090 \h  \* MERGEFORMAT </w:instrText>
      </w:r>
      <w:r w:rsidR="00184ADF">
        <w:rPr>
          <w:rFonts w:asciiTheme="majorHAnsi" w:eastAsia="Times New Roman" w:hAnsiTheme="majorHAnsi" w:cstheme="majorHAnsi"/>
          <w:lang w:eastAsia="el-GR"/>
        </w:rPr>
      </w:r>
      <w:r w:rsidR="00184ADF">
        <w:rPr>
          <w:rFonts w:asciiTheme="majorHAnsi" w:eastAsia="Times New Roman" w:hAnsiTheme="majorHAnsi" w:cstheme="majorHAnsi"/>
          <w:lang w:eastAsia="el-GR"/>
        </w:rPr>
        <w:fldChar w:fldCharType="separate"/>
      </w:r>
      <w:r w:rsidR="00184ADF" w:rsidRPr="00565B02">
        <w:rPr>
          <w:rFonts w:asciiTheme="majorHAnsi" w:eastAsia="Times New Roman" w:hAnsiTheme="majorHAnsi" w:cstheme="majorHAnsi"/>
          <w:lang w:eastAsia="el-GR"/>
        </w:rPr>
        <w:t>слици 1.12</w:t>
      </w:r>
      <w:r w:rsidR="00184ADF">
        <w:rPr>
          <w:rFonts w:asciiTheme="majorHAnsi" w:eastAsia="Times New Roman" w:hAnsiTheme="majorHAnsi" w:cstheme="majorHAnsi"/>
          <w:lang w:eastAsia="el-GR"/>
        </w:rPr>
        <w:fldChar w:fldCharType="end"/>
      </w:r>
      <w:r w:rsidRPr="00FF386D">
        <w:rPr>
          <w:rFonts w:asciiTheme="majorHAnsi" w:eastAsia="Times New Roman" w:hAnsiTheme="majorHAnsi" w:cstheme="majorHAnsi"/>
          <w:lang w:eastAsia="el-GR"/>
        </w:rPr>
        <w:t>, око 10% становништва у Србији не може адекватно да загреје своје домове, што смешта Србију на друго место у поређењу са одабраним земљама. Ситуација у ЕУ 27 је нешто боља са 6,9 %.</w:t>
      </w:r>
    </w:p>
    <w:p w14:paraId="416CE312" w14:textId="77777777" w:rsidR="00595132" w:rsidRPr="00FF386D" w:rsidRDefault="00595132" w:rsidP="00EB3C75">
      <w:pPr>
        <w:spacing w:before="120" w:after="120" w:line="240" w:lineRule="auto"/>
        <w:jc w:val="both"/>
        <w:rPr>
          <w:rFonts w:asciiTheme="majorHAnsi" w:eastAsia="Times New Roman" w:hAnsiTheme="majorHAnsi" w:cstheme="majorHAnsi"/>
          <w:lang w:eastAsia="el-GR"/>
        </w:rPr>
      </w:pPr>
    </w:p>
    <w:p w14:paraId="385CD4F6" w14:textId="7C64E63C" w:rsidR="00184ADF" w:rsidRDefault="00184ADF" w:rsidP="00565B02">
      <w:pPr>
        <w:pStyle w:val="Caption"/>
        <w:keepNext/>
      </w:pPr>
      <w:bookmarkStart w:id="44" w:name="_Ref153552090"/>
      <w:bookmarkStart w:id="45" w:name="_Toc153901342"/>
      <w:r>
        <w:lastRenderedPageBreak/>
        <w:t xml:space="preserve">Слика </w:t>
      </w:r>
      <w:r w:rsidR="00F35B2C">
        <w:fldChar w:fldCharType="begin"/>
      </w:r>
      <w:r w:rsidR="00F35B2C">
        <w:instrText xml:space="preserve"> STYLEREF 1 \s </w:instrText>
      </w:r>
      <w:r w:rsidR="00F35B2C">
        <w:fldChar w:fldCharType="separate"/>
      </w:r>
      <w:r w:rsidR="00F35B2C">
        <w:rPr>
          <w:noProof/>
        </w:rPr>
        <w:t>1</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12</w:t>
      </w:r>
      <w:r w:rsidR="00F35B2C">
        <w:fldChar w:fldCharType="end"/>
      </w:r>
      <w:bookmarkEnd w:id="44"/>
      <w:r w:rsidRPr="00184ADF">
        <w:t xml:space="preserve"> Становништво које није могло адекватно да загреје домове у 2019. години, у % (извор: Евростат)</w:t>
      </w:r>
      <w:bookmarkEnd w:id="45"/>
    </w:p>
    <w:p w14:paraId="09B506C4" w14:textId="7B791CDF" w:rsidR="00595132" w:rsidRPr="00FF386D" w:rsidRDefault="00595132" w:rsidP="00EB3C75">
      <w:pPr>
        <w:spacing w:before="120" w:after="120" w:line="240" w:lineRule="auto"/>
        <w:jc w:val="center"/>
        <w:rPr>
          <w:rFonts w:ascii="Calibri" w:eastAsia="Times New Roman" w:hAnsi="Calibri" w:cs="Arial"/>
          <w:lang w:eastAsia="el-GR"/>
        </w:rPr>
      </w:pPr>
      <w:r w:rsidRPr="004F53D7">
        <w:rPr>
          <w:rFonts w:ascii="Calibri" w:eastAsia="Times New Roman" w:hAnsi="Calibri" w:cs="Arial"/>
          <w:noProof/>
          <w:lang w:val="en-US"/>
        </w:rPr>
        <w:drawing>
          <wp:inline distT="0" distB="0" distL="0" distR="0" wp14:anchorId="6683DDBB" wp14:editId="4490A0E4">
            <wp:extent cx="3615055" cy="2407920"/>
            <wp:effectExtent l="0" t="0" r="4445" b="0"/>
            <wp:docPr id="168446009" name="Picture 168446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15055" cy="2407920"/>
                    </a:xfrm>
                    <a:prstGeom prst="rect">
                      <a:avLst/>
                    </a:prstGeom>
                    <a:noFill/>
                  </pic:spPr>
                </pic:pic>
              </a:graphicData>
            </a:graphic>
          </wp:inline>
        </w:drawing>
      </w:r>
    </w:p>
    <w:p w14:paraId="252BDCDB" w14:textId="77777777" w:rsidR="00EB3C75" w:rsidRPr="00FF386D" w:rsidRDefault="00EB3C75" w:rsidP="00EB3C75">
      <w:pPr>
        <w:spacing w:before="120" w:after="120" w:line="240" w:lineRule="auto"/>
        <w:jc w:val="both"/>
        <w:rPr>
          <w:rFonts w:asciiTheme="majorHAnsi" w:eastAsia="Times New Roman" w:hAnsiTheme="majorHAnsi" w:cstheme="majorHAnsi"/>
          <w:b/>
          <w:bCs/>
          <w:lang w:eastAsia="el-GR"/>
        </w:rPr>
      </w:pPr>
      <w:r w:rsidRPr="00FF386D">
        <w:rPr>
          <w:rFonts w:asciiTheme="majorHAnsi" w:eastAsia="Times New Roman" w:hAnsiTheme="majorHAnsi" w:cstheme="majorHAnsi"/>
          <w:b/>
          <w:bCs/>
          <w:lang w:eastAsia="el-GR"/>
        </w:rPr>
        <w:t>Истраживање, иновације и конкурентност</w:t>
      </w:r>
    </w:p>
    <w:p w14:paraId="1EC484BE" w14:textId="67930130"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У погледу издвајања средстава за истраживање и развој </w:t>
      </w:r>
      <w:r w:rsidR="002E3C93" w:rsidRPr="00FF386D">
        <w:rPr>
          <w:rFonts w:asciiTheme="majorHAnsi" w:eastAsia="Times New Roman" w:hAnsiTheme="majorHAnsi" w:cstheme="majorHAnsi"/>
          <w:lang w:eastAsia="el-GR"/>
        </w:rPr>
        <w:t xml:space="preserve">која су обухваћена </w:t>
      </w:r>
      <w:r w:rsidRPr="00FF386D">
        <w:rPr>
          <w:rFonts w:asciiTheme="majorHAnsi" w:eastAsia="Times New Roman" w:hAnsiTheme="majorHAnsi" w:cstheme="majorHAnsi"/>
          <w:lang w:eastAsia="el-GR"/>
        </w:rPr>
        <w:t>бруто домаћ</w:t>
      </w:r>
      <w:r w:rsidR="002E3C93" w:rsidRPr="00FF386D">
        <w:rPr>
          <w:rFonts w:asciiTheme="majorHAnsi" w:eastAsia="Times New Roman" w:hAnsiTheme="majorHAnsi" w:cstheme="majorHAnsi"/>
          <w:lang w:eastAsia="el-GR"/>
        </w:rPr>
        <w:t>им издацима</w:t>
      </w:r>
      <w:r w:rsidRPr="00FF386D">
        <w:rPr>
          <w:rFonts w:asciiTheme="majorHAnsi" w:eastAsia="Times New Roman" w:hAnsiTheme="majorHAnsi" w:cstheme="majorHAnsi"/>
          <w:lang w:eastAsia="el-GR"/>
        </w:rPr>
        <w:t>, Србија је издвојила 0,89% у 2019. години (видети</w:t>
      </w:r>
      <w:r w:rsidR="00DB471C">
        <w:rPr>
          <w:rFonts w:asciiTheme="majorHAnsi" w:eastAsia="Times New Roman" w:hAnsiTheme="majorHAnsi" w:cstheme="majorHAnsi"/>
          <w:lang w:eastAsia="el-GR"/>
        </w:rPr>
        <w:t xml:space="preserve"> </w:t>
      </w:r>
      <w:r w:rsidR="00DB471C">
        <w:rPr>
          <w:rFonts w:asciiTheme="majorHAnsi" w:eastAsia="Times New Roman" w:hAnsiTheme="majorHAnsi" w:cstheme="majorHAnsi"/>
          <w:lang w:eastAsia="el-GR"/>
        </w:rPr>
        <w:fldChar w:fldCharType="begin"/>
      </w:r>
      <w:r w:rsidR="00DB471C">
        <w:rPr>
          <w:rFonts w:asciiTheme="majorHAnsi" w:eastAsia="Times New Roman" w:hAnsiTheme="majorHAnsi" w:cstheme="majorHAnsi"/>
          <w:lang w:eastAsia="el-GR"/>
        </w:rPr>
        <w:instrText xml:space="preserve"> REF _Ref153552181 \h  \* MERGEFORMAT </w:instrText>
      </w:r>
      <w:r w:rsidR="00DB471C">
        <w:rPr>
          <w:rFonts w:asciiTheme="majorHAnsi" w:eastAsia="Times New Roman" w:hAnsiTheme="majorHAnsi" w:cstheme="majorHAnsi"/>
          <w:lang w:eastAsia="el-GR"/>
        </w:rPr>
      </w:r>
      <w:r w:rsidR="00DB471C">
        <w:rPr>
          <w:rFonts w:asciiTheme="majorHAnsi" w:eastAsia="Times New Roman" w:hAnsiTheme="majorHAnsi" w:cstheme="majorHAnsi"/>
          <w:lang w:eastAsia="el-GR"/>
        </w:rPr>
        <w:fldChar w:fldCharType="separate"/>
      </w:r>
      <w:r w:rsidR="00DB471C" w:rsidRPr="00565B02">
        <w:rPr>
          <w:rFonts w:asciiTheme="majorHAnsi" w:eastAsia="Times New Roman" w:hAnsiTheme="majorHAnsi" w:cstheme="majorHAnsi"/>
          <w:lang w:eastAsia="el-GR"/>
        </w:rPr>
        <w:t>слику 1.13</w:t>
      </w:r>
      <w:r w:rsidR="00DB471C">
        <w:rPr>
          <w:rFonts w:asciiTheme="majorHAnsi" w:eastAsia="Times New Roman" w:hAnsiTheme="majorHAnsi" w:cstheme="majorHAnsi"/>
          <w:lang w:eastAsia="el-GR"/>
        </w:rPr>
        <w:fldChar w:fldCharType="end"/>
      </w:r>
      <w:r w:rsidRPr="00565B02">
        <w:rPr>
          <w:rFonts w:asciiTheme="majorHAnsi" w:eastAsia="Times New Roman" w:hAnsiTheme="majorHAnsi" w:cstheme="majorHAnsi"/>
        </w:rPr>
        <w:t>)</w:t>
      </w:r>
      <w:r w:rsidRPr="00FF386D">
        <w:rPr>
          <w:rFonts w:asciiTheme="majorHAnsi" w:eastAsia="Times New Roman" w:hAnsiTheme="majorHAnsi" w:cstheme="majorHAnsi"/>
          <w:lang w:eastAsia="el-GR"/>
        </w:rPr>
        <w:t>; већа издвајања има само Хрватска. Србија издваја два пута мање средстава од просека ЕУ 27, који износи 2,2% у 2019. години.</w:t>
      </w:r>
    </w:p>
    <w:p w14:paraId="7FB19C4B" w14:textId="2C40C2A6" w:rsidR="00DB471C" w:rsidRDefault="00DB471C" w:rsidP="00565B02">
      <w:pPr>
        <w:pStyle w:val="Caption"/>
        <w:keepNext/>
      </w:pPr>
      <w:bookmarkStart w:id="46" w:name="_Ref153552181"/>
      <w:bookmarkStart w:id="47" w:name="_Toc153901343"/>
      <w:r>
        <w:t xml:space="preserve">Слика </w:t>
      </w:r>
      <w:r w:rsidR="00F35B2C">
        <w:fldChar w:fldCharType="begin"/>
      </w:r>
      <w:r w:rsidR="00F35B2C">
        <w:instrText xml:space="preserve"> STYLEREF 1 \s </w:instrText>
      </w:r>
      <w:r w:rsidR="00F35B2C">
        <w:fldChar w:fldCharType="separate"/>
      </w:r>
      <w:r w:rsidR="00F35B2C">
        <w:rPr>
          <w:noProof/>
        </w:rPr>
        <w:t>1</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13</w:t>
      </w:r>
      <w:r w:rsidR="00F35B2C">
        <w:fldChar w:fldCharType="end"/>
      </w:r>
      <w:bookmarkEnd w:id="46"/>
      <w:r>
        <w:t xml:space="preserve">: </w:t>
      </w:r>
      <w:r w:rsidRPr="00DB471C">
        <w:t>Бруто домаћи издаци за истраживање и развој за 2019. годину, у % (извор: Евростат)</w:t>
      </w:r>
      <w:bookmarkEnd w:id="47"/>
    </w:p>
    <w:p w14:paraId="7A5B74C1" w14:textId="1BD53F01" w:rsidR="00595132" w:rsidRPr="00FF386D" w:rsidRDefault="00595132" w:rsidP="00EB3C75">
      <w:pPr>
        <w:spacing w:before="120" w:after="120" w:line="240" w:lineRule="auto"/>
        <w:jc w:val="center"/>
        <w:rPr>
          <w:rFonts w:ascii="Calibri" w:eastAsia="Times New Roman" w:hAnsi="Calibri" w:cs="Arial"/>
          <w:lang w:eastAsia="el-GR"/>
        </w:rPr>
      </w:pPr>
      <w:r w:rsidRPr="004F53D7">
        <w:rPr>
          <w:rFonts w:ascii="Calibri" w:eastAsia="Times New Roman" w:hAnsi="Calibri" w:cs="Arial"/>
          <w:noProof/>
          <w:lang w:val="en-US"/>
        </w:rPr>
        <w:drawing>
          <wp:inline distT="0" distB="0" distL="0" distR="0" wp14:anchorId="53DC5009" wp14:editId="7B197CCA">
            <wp:extent cx="3615055" cy="2407920"/>
            <wp:effectExtent l="0" t="0" r="4445" b="0"/>
            <wp:docPr id="1467709325" name="Picture 1467709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15055" cy="2407920"/>
                    </a:xfrm>
                    <a:prstGeom prst="rect">
                      <a:avLst/>
                    </a:prstGeom>
                    <a:noFill/>
                  </pic:spPr>
                </pic:pic>
              </a:graphicData>
            </a:graphic>
          </wp:inline>
        </w:drawing>
      </w:r>
    </w:p>
    <w:p w14:paraId="6223DE1A" w14:textId="77777777" w:rsidR="00EB3C75" w:rsidRPr="00FF386D" w:rsidRDefault="00EB3C75">
      <w:pPr>
        <w:keepNext/>
        <w:keepLines/>
        <w:numPr>
          <w:ilvl w:val="0"/>
          <w:numId w:val="259"/>
        </w:numPr>
        <w:spacing w:before="200" w:after="0" w:line="240" w:lineRule="auto"/>
        <w:outlineLvl w:val="3"/>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t>Постојеће политике и мере у области енергетике и климе које се односе на пет димензија Енергетске уније</w:t>
      </w:r>
    </w:p>
    <w:p w14:paraId="150C7818" w14:textId="77777777" w:rsidR="00EB3C75" w:rsidRPr="00FF386D" w:rsidRDefault="00EB3C75" w:rsidP="00EB3C75">
      <w:pPr>
        <w:spacing w:before="120" w:after="120" w:line="240" w:lineRule="auto"/>
        <w:jc w:val="both"/>
        <w:rPr>
          <w:rFonts w:asciiTheme="majorHAnsi" w:eastAsia="Times New Roman" w:hAnsiTheme="majorHAnsi" w:cstheme="majorHAnsi"/>
          <w:b/>
          <w:bCs/>
          <w:lang w:eastAsia="el-GR"/>
        </w:rPr>
      </w:pPr>
      <w:r w:rsidRPr="00FF386D">
        <w:rPr>
          <w:rFonts w:asciiTheme="majorHAnsi" w:eastAsia="Times New Roman" w:hAnsiTheme="majorHAnsi" w:cstheme="majorHAnsi"/>
          <w:b/>
          <w:bCs/>
          <w:lang w:eastAsia="el-GR"/>
        </w:rPr>
        <w:t xml:space="preserve">Декарбонизација – Емисије </w:t>
      </w:r>
      <w:r w:rsidRPr="00FF386D">
        <w:rPr>
          <w:rFonts w:asciiTheme="majorHAnsi" w:eastAsia="Times New Roman" w:hAnsiTheme="majorHAnsi" w:cstheme="majorHAnsi"/>
          <w:b/>
          <w:bCs/>
          <w:iCs/>
          <w:lang w:eastAsia="el-GR"/>
        </w:rPr>
        <w:t>гасова са ефектом стаклене баште</w:t>
      </w:r>
    </w:p>
    <w:p w14:paraId="1A67F2BC" w14:textId="28C47A58" w:rsidR="00EB3C75" w:rsidRPr="00FF386D" w:rsidRDefault="00EB3C75" w:rsidP="00EB3C75">
      <w:pPr>
        <w:spacing w:line="240" w:lineRule="auto"/>
        <w:jc w:val="both"/>
        <w:rPr>
          <w:rFonts w:asciiTheme="majorHAnsi" w:hAnsiTheme="majorHAnsi" w:cstheme="majorHAnsi"/>
        </w:rPr>
      </w:pPr>
      <w:r w:rsidRPr="00FF386D">
        <w:rPr>
          <w:rFonts w:asciiTheme="majorHAnsi" w:hAnsiTheme="majorHAnsi" w:cstheme="majorHAnsi"/>
        </w:rPr>
        <w:t xml:space="preserve">Димензија декарбонизације је </w:t>
      </w:r>
      <w:r w:rsidR="00EC7EA1" w:rsidRPr="00FF386D">
        <w:rPr>
          <w:rFonts w:asciiTheme="majorHAnsi" w:hAnsiTheme="majorHAnsi" w:cstheme="majorHAnsi"/>
        </w:rPr>
        <w:t xml:space="preserve">формулисана </w:t>
      </w:r>
      <w:r w:rsidR="005F7BE4" w:rsidRPr="00FF386D">
        <w:rPr>
          <w:rFonts w:asciiTheme="majorHAnsi" w:hAnsiTheme="majorHAnsi" w:cstheme="majorHAnsi"/>
        </w:rPr>
        <w:t>преко</w:t>
      </w:r>
      <w:r w:rsidRPr="00FF386D">
        <w:rPr>
          <w:rFonts w:asciiTheme="majorHAnsi" w:hAnsiTheme="majorHAnsi" w:cstheme="majorHAnsi"/>
        </w:rPr>
        <w:t xml:space="preserve"> две кључне осе, тј. </w:t>
      </w:r>
      <w:r w:rsidR="005F7BE4" w:rsidRPr="00FF386D">
        <w:rPr>
          <w:rFonts w:asciiTheme="majorHAnsi" w:hAnsiTheme="majorHAnsi" w:cstheme="majorHAnsi"/>
        </w:rPr>
        <w:t>преко</w:t>
      </w:r>
      <w:r w:rsidRPr="00FF386D">
        <w:rPr>
          <w:rFonts w:asciiTheme="majorHAnsi" w:hAnsiTheme="majorHAnsi" w:cstheme="majorHAnsi"/>
        </w:rPr>
        <w:t xml:space="preserve"> смањењ</w:t>
      </w:r>
      <w:r w:rsidR="005F7BE4" w:rsidRPr="00FF386D">
        <w:rPr>
          <w:rFonts w:asciiTheme="majorHAnsi" w:hAnsiTheme="majorHAnsi" w:cstheme="majorHAnsi"/>
        </w:rPr>
        <w:t>а</w:t>
      </w:r>
      <w:r w:rsidRPr="00FF386D">
        <w:rPr>
          <w:rFonts w:asciiTheme="majorHAnsi" w:hAnsiTheme="majorHAnsi" w:cstheme="majorHAnsi"/>
        </w:rPr>
        <w:t xml:space="preserve"> емисија и обновљив</w:t>
      </w:r>
      <w:r w:rsidR="005F7BE4" w:rsidRPr="00FF386D">
        <w:rPr>
          <w:rFonts w:asciiTheme="majorHAnsi" w:hAnsiTheme="majorHAnsi" w:cstheme="majorHAnsi"/>
        </w:rPr>
        <w:t>их</w:t>
      </w:r>
      <w:r w:rsidRPr="00FF386D">
        <w:rPr>
          <w:rFonts w:asciiTheme="majorHAnsi" w:hAnsiTheme="majorHAnsi" w:cstheme="majorHAnsi"/>
        </w:rPr>
        <w:t xml:space="preserve"> извор</w:t>
      </w:r>
      <w:r w:rsidR="005F7BE4" w:rsidRPr="00FF386D">
        <w:rPr>
          <w:rFonts w:asciiTheme="majorHAnsi" w:hAnsiTheme="majorHAnsi" w:cstheme="majorHAnsi"/>
        </w:rPr>
        <w:t>а</w:t>
      </w:r>
      <w:r w:rsidRPr="00FF386D">
        <w:rPr>
          <w:rFonts w:asciiTheme="majorHAnsi" w:hAnsiTheme="majorHAnsi" w:cstheme="majorHAnsi"/>
        </w:rPr>
        <w:t xml:space="preserve"> енергије. </w:t>
      </w:r>
      <w:r w:rsidRPr="00FF386D">
        <w:rPr>
          <w:rFonts w:asciiTheme="majorHAnsi" w:hAnsiTheme="majorHAnsi" w:cstheme="majorHAnsi"/>
          <w:b/>
          <w:bCs/>
        </w:rPr>
        <w:t>Закон о заштити животне средине</w:t>
      </w:r>
      <w:r w:rsidRPr="00FF386D">
        <w:rPr>
          <w:rFonts w:asciiTheme="majorHAnsi" w:hAnsiTheme="majorHAnsi" w:cstheme="majorHAnsi"/>
          <w:vertAlign w:val="superscript"/>
        </w:rPr>
        <w:footnoteReference w:id="16"/>
      </w:r>
      <w:r w:rsidR="005F7BE4" w:rsidRPr="00FF386D">
        <w:rPr>
          <w:rFonts w:asciiTheme="majorHAnsi" w:hAnsiTheme="majorHAnsi" w:cstheme="majorHAnsi"/>
          <w:b/>
          <w:bCs/>
        </w:rPr>
        <w:t xml:space="preserve"> </w:t>
      </w:r>
      <w:r w:rsidRPr="00FF386D">
        <w:rPr>
          <w:rFonts w:asciiTheme="majorHAnsi" w:hAnsiTheme="majorHAnsi" w:cstheme="majorHAnsi"/>
        </w:rPr>
        <w:t xml:space="preserve">представља главну законодавну основу у погледу питања животне средине, док се новоусвојени </w:t>
      </w:r>
      <w:r w:rsidRPr="00FF386D">
        <w:rPr>
          <w:rFonts w:asciiTheme="majorHAnsi" w:hAnsiTheme="majorHAnsi" w:cstheme="majorHAnsi"/>
          <w:b/>
          <w:bCs/>
        </w:rPr>
        <w:t>Закон о климатским променама</w:t>
      </w:r>
      <w:r w:rsidRPr="00FF386D">
        <w:rPr>
          <w:rFonts w:asciiTheme="majorHAnsi" w:hAnsiTheme="majorHAnsi" w:cstheme="majorHAnsi"/>
          <w:b/>
          <w:bCs/>
          <w:vertAlign w:val="superscript"/>
        </w:rPr>
        <w:footnoteReference w:id="17"/>
      </w:r>
      <w:r w:rsidR="005F7BE4" w:rsidRPr="00FF386D">
        <w:rPr>
          <w:rFonts w:asciiTheme="majorHAnsi" w:hAnsiTheme="majorHAnsi" w:cstheme="majorHAnsi"/>
          <w:b/>
          <w:bCs/>
        </w:rPr>
        <w:t xml:space="preserve"> </w:t>
      </w:r>
      <w:r w:rsidRPr="00FF386D">
        <w:rPr>
          <w:rFonts w:asciiTheme="majorHAnsi" w:hAnsiTheme="majorHAnsi" w:cstheme="majorHAnsi"/>
        </w:rPr>
        <w:t>бави искључиво питањима климатских промена. Применом Закона о климатским променама, који се односи на емисије угљен-диоксида (CO</w:t>
      </w:r>
      <w:r w:rsidRPr="00FF386D">
        <w:rPr>
          <w:rFonts w:asciiTheme="majorHAnsi" w:hAnsiTheme="majorHAnsi" w:cstheme="majorHAnsi"/>
          <w:vertAlign w:val="subscript"/>
        </w:rPr>
        <w:t>2</w:t>
      </w:r>
      <w:r w:rsidRPr="00FF386D">
        <w:rPr>
          <w:rFonts w:asciiTheme="majorHAnsi" w:hAnsiTheme="majorHAnsi" w:cstheme="majorHAnsi"/>
        </w:rPr>
        <w:t>), метана (CH</w:t>
      </w:r>
      <w:r w:rsidRPr="00FF386D">
        <w:rPr>
          <w:rFonts w:asciiTheme="majorHAnsi" w:hAnsiTheme="majorHAnsi" w:cstheme="majorHAnsi"/>
          <w:vertAlign w:val="subscript"/>
        </w:rPr>
        <w:t>4</w:t>
      </w:r>
      <w:r w:rsidRPr="00FF386D">
        <w:rPr>
          <w:rFonts w:asciiTheme="majorHAnsi" w:hAnsiTheme="majorHAnsi" w:cstheme="majorHAnsi"/>
        </w:rPr>
        <w:t>), азот-оксида (N</w:t>
      </w:r>
      <w:r w:rsidRPr="00FF386D">
        <w:rPr>
          <w:rFonts w:asciiTheme="majorHAnsi" w:hAnsiTheme="majorHAnsi" w:cstheme="majorHAnsi"/>
          <w:vertAlign w:val="subscript"/>
        </w:rPr>
        <w:t>2</w:t>
      </w:r>
      <w:r w:rsidRPr="00FF386D">
        <w:rPr>
          <w:rFonts w:asciiTheme="majorHAnsi" w:hAnsiTheme="majorHAnsi" w:cstheme="majorHAnsi"/>
        </w:rPr>
        <w:t>O) флуороугљеника (HFC), перфлуороугљеника (PFC), сумпор хексафлуорида (SF</w:t>
      </w:r>
      <w:r w:rsidRPr="00FF386D">
        <w:rPr>
          <w:rFonts w:asciiTheme="majorHAnsi" w:hAnsiTheme="majorHAnsi" w:cstheme="majorHAnsi"/>
          <w:vertAlign w:val="subscript"/>
        </w:rPr>
        <w:t>6</w:t>
      </w:r>
      <w:r w:rsidRPr="00FF386D">
        <w:rPr>
          <w:rFonts w:asciiTheme="majorHAnsi" w:hAnsiTheme="majorHAnsi" w:cstheme="majorHAnsi"/>
        </w:rPr>
        <w:t>) и азот-трифлуоридa (NF</w:t>
      </w:r>
      <w:r w:rsidRPr="00FF386D">
        <w:rPr>
          <w:rFonts w:asciiTheme="majorHAnsi" w:hAnsiTheme="majorHAnsi" w:cstheme="majorHAnsi"/>
          <w:vertAlign w:val="subscript"/>
        </w:rPr>
        <w:t>3</w:t>
      </w:r>
      <w:r w:rsidRPr="00FF386D">
        <w:rPr>
          <w:rFonts w:asciiTheme="majorHAnsi" w:hAnsiTheme="majorHAnsi" w:cstheme="majorHAnsi"/>
        </w:rPr>
        <w:t>), Република Србија треба да успостави систем за смањење емисије гас</w:t>
      </w:r>
      <w:r w:rsidR="005F7BE4" w:rsidRPr="00FF386D">
        <w:rPr>
          <w:rFonts w:asciiTheme="majorHAnsi" w:hAnsiTheme="majorHAnsi" w:cstheme="majorHAnsi"/>
        </w:rPr>
        <w:t>а</w:t>
      </w:r>
      <w:r w:rsidRPr="00FF386D">
        <w:rPr>
          <w:rFonts w:asciiTheme="majorHAnsi" w:hAnsiTheme="majorHAnsi" w:cstheme="majorHAnsi"/>
        </w:rPr>
        <w:t xml:space="preserve"> са ефектом стаклене баште и </w:t>
      </w:r>
      <w:r w:rsidR="005F7BE4" w:rsidRPr="00FF386D">
        <w:rPr>
          <w:rFonts w:asciiTheme="majorHAnsi" w:hAnsiTheme="majorHAnsi" w:cstheme="majorHAnsi"/>
        </w:rPr>
        <w:t>обезбеди</w:t>
      </w:r>
      <w:r w:rsidRPr="00FF386D">
        <w:rPr>
          <w:rFonts w:asciiTheme="majorHAnsi" w:hAnsiTheme="majorHAnsi" w:cstheme="majorHAnsi"/>
        </w:rPr>
        <w:t xml:space="preserve"> </w:t>
      </w:r>
      <w:r w:rsidR="00EC7EA1" w:rsidRPr="00FF386D">
        <w:rPr>
          <w:rFonts w:asciiTheme="majorHAnsi" w:hAnsiTheme="majorHAnsi" w:cstheme="majorHAnsi"/>
        </w:rPr>
        <w:t>прилагођавање</w:t>
      </w:r>
      <w:r w:rsidRPr="00FF386D">
        <w:rPr>
          <w:rFonts w:asciiTheme="majorHAnsi" w:hAnsiTheme="majorHAnsi" w:cstheme="majorHAnsi"/>
        </w:rPr>
        <w:t xml:space="preserve"> на измењене климатске услове. </w:t>
      </w:r>
      <w:r w:rsidR="007E3E9A" w:rsidRPr="00FF386D">
        <w:rPr>
          <w:rFonts w:asciiTheme="majorHAnsi" w:hAnsiTheme="majorHAnsi" w:cstheme="majorHAnsi"/>
        </w:rPr>
        <w:t xml:space="preserve">Такође, 2010. године усвојен је </w:t>
      </w:r>
      <w:r w:rsidR="007E3E9A" w:rsidRPr="000A2AFE">
        <w:rPr>
          <w:rFonts w:asciiTheme="majorHAnsi" w:hAnsiTheme="majorHAnsi" w:cstheme="majorHAnsi"/>
          <w:b/>
          <w:bCs/>
        </w:rPr>
        <w:t xml:space="preserve">Закон о метеоролошкој </w:t>
      </w:r>
      <w:r w:rsidR="007E3E9A" w:rsidRPr="000A2AFE">
        <w:rPr>
          <w:rFonts w:asciiTheme="majorHAnsi" w:hAnsiTheme="majorHAnsi" w:cstheme="majorHAnsi"/>
          <w:b/>
          <w:bCs/>
        </w:rPr>
        <w:lastRenderedPageBreak/>
        <w:t>и хидролошкој делатности</w:t>
      </w:r>
      <w:r w:rsidR="007E3E9A" w:rsidRPr="000A2AFE">
        <w:rPr>
          <w:rStyle w:val="FootnoteReference"/>
          <w:rFonts w:asciiTheme="majorHAnsi" w:hAnsiTheme="majorHAnsi" w:cstheme="majorHAnsi"/>
          <w:b/>
          <w:bCs/>
          <w:lang w:val="sr-Cyrl-RS"/>
        </w:rPr>
        <w:footnoteReference w:id="18"/>
      </w:r>
      <w:r w:rsidR="007E3E9A" w:rsidRPr="00FF386D">
        <w:rPr>
          <w:rFonts w:asciiTheme="majorHAnsi" w:hAnsiTheme="majorHAnsi" w:cstheme="majorHAnsi"/>
        </w:rPr>
        <w:t xml:space="preserve"> којим су уређена питања систематских метеоролошких и хидролошких мерења и осматрања, праћења и истраживања стања и промена времена, климе, водних ресурса и режима површинских и подземних вода, сунчеве радијације, енергетског потенцијала сунца, ветра и вода на територији Републике Србије, што је од значаја за планирање развоја коришћења хидроенергије, енергије сунца и ветра као основних видова ОИЕ</w:t>
      </w:r>
      <w:r w:rsidR="007E3E9A" w:rsidRPr="000A2AFE">
        <w:rPr>
          <w:rFonts w:asciiTheme="majorHAnsi" w:hAnsiTheme="majorHAnsi" w:cstheme="majorHAnsi"/>
        </w:rPr>
        <w:t>.</w:t>
      </w:r>
    </w:p>
    <w:p w14:paraId="20D7CAC0" w14:textId="0CEA7155" w:rsidR="00EB3C75" w:rsidRPr="00FF386D" w:rsidRDefault="00EC7EA1" w:rsidP="000A2AFE">
      <w:pPr>
        <w:spacing w:line="240" w:lineRule="auto"/>
        <w:jc w:val="both"/>
        <w:rPr>
          <w:rFonts w:asciiTheme="majorHAnsi" w:hAnsiTheme="majorHAnsi" w:cstheme="majorHAnsi"/>
          <w:b/>
          <w:bCs/>
        </w:rPr>
      </w:pPr>
      <w:r w:rsidRPr="00FF386D">
        <w:rPr>
          <w:rFonts w:asciiTheme="majorHAnsi" w:hAnsiTheme="majorHAnsi" w:cstheme="majorHAnsi"/>
        </w:rPr>
        <w:t>У погледу</w:t>
      </w:r>
      <w:r w:rsidR="00EB3C75" w:rsidRPr="00FF386D">
        <w:rPr>
          <w:rFonts w:asciiTheme="majorHAnsi" w:hAnsiTheme="majorHAnsi" w:cstheme="majorHAnsi"/>
        </w:rPr>
        <w:t xml:space="preserve"> емисија, Република Србија је 2020. године усвојила</w:t>
      </w:r>
      <w:r w:rsidR="00EB3C75" w:rsidRPr="00FF386D">
        <w:rPr>
          <w:rFonts w:asciiTheme="majorHAnsi" w:hAnsiTheme="majorHAnsi" w:cstheme="majorHAnsi"/>
          <w:b/>
          <w:bCs/>
        </w:rPr>
        <w:t xml:space="preserve"> Национални план за смањење емисија</w:t>
      </w:r>
      <w:r w:rsidR="00EB3C75" w:rsidRPr="00FF386D">
        <w:rPr>
          <w:rFonts w:asciiTheme="majorHAnsi" w:hAnsiTheme="majorHAnsi" w:cstheme="majorHAnsi"/>
        </w:rPr>
        <w:t xml:space="preserve">, што представља важан корак ка смањењу емисија из великих постројења за сагоревање, чиме је Србија </w:t>
      </w:r>
      <w:r w:rsidRPr="00FF386D">
        <w:rPr>
          <w:rFonts w:asciiTheme="majorHAnsi" w:hAnsiTheme="majorHAnsi" w:cstheme="majorHAnsi"/>
        </w:rPr>
        <w:t xml:space="preserve">показала </w:t>
      </w:r>
      <w:r w:rsidR="00EB3C75" w:rsidRPr="00FF386D">
        <w:rPr>
          <w:rFonts w:asciiTheme="majorHAnsi" w:hAnsiTheme="majorHAnsi" w:cstheme="majorHAnsi"/>
        </w:rPr>
        <w:t xml:space="preserve">своју </w:t>
      </w:r>
      <w:r w:rsidRPr="00FF386D">
        <w:rPr>
          <w:rFonts w:asciiTheme="majorHAnsi" w:hAnsiTheme="majorHAnsi" w:cstheme="majorHAnsi"/>
        </w:rPr>
        <w:t>посвећеност</w:t>
      </w:r>
      <w:r w:rsidR="00EB3C75" w:rsidRPr="00FF386D">
        <w:rPr>
          <w:rFonts w:asciiTheme="majorHAnsi" w:hAnsiTheme="majorHAnsi" w:cstheme="majorHAnsi"/>
        </w:rPr>
        <w:t xml:space="preserve"> усклађивању са правним тековинама ЕУ у областима климатских промена, животне средине и енергетике. Поред тога, </w:t>
      </w:r>
      <w:r w:rsidR="00EB3C75" w:rsidRPr="00FF386D">
        <w:rPr>
          <w:rFonts w:asciiTheme="majorHAnsi" w:hAnsiTheme="majorHAnsi" w:cstheme="majorHAnsi"/>
          <w:b/>
          <w:bCs/>
        </w:rPr>
        <w:t>Иницијални национални извештај (</w:t>
      </w:r>
      <w:r w:rsidR="00EB3C75" w:rsidRPr="00FF386D">
        <w:rPr>
          <w:rFonts w:asciiTheme="majorHAnsi" w:hAnsiTheme="majorHAnsi" w:cstheme="majorHAnsi"/>
          <w:b/>
          <w:bCs/>
          <w:i/>
          <w:iCs/>
        </w:rPr>
        <w:t xml:space="preserve">INC) </w:t>
      </w:r>
      <w:r w:rsidR="00EB3C75" w:rsidRPr="00FF386D">
        <w:rPr>
          <w:rFonts w:asciiTheme="majorHAnsi" w:hAnsiTheme="majorHAnsi" w:cstheme="majorHAnsi"/>
        </w:rPr>
        <w:t xml:space="preserve">Републике Србије, као и </w:t>
      </w:r>
      <w:r w:rsidR="00EB3C75" w:rsidRPr="00FF386D">
        <w:rPr>
          <w:rFonts w:asciiTheme="majorHAnsi" w:hAnsiTheme="majorHAnsi" w:cstheme="majorHAnsi"/>
          <w:b/>
          <w:bCs/>
        </w:rPr>
        <w:t>Други национални извештај (</w:t>
      </w:r>
      <w:r w:rsidR="00EB3C75" w:rsidRPr="00FF386D">
        <w:rPr>
          <w:rFonts w:asciiTheme="majorHAnsi" w:hAnsiTheme="majorHAnsi" w:cstheme="majorHAnsi"/>
          <w:b/>
          <w:bCs/>
          <w:i/>
          <w:iCs/>
        </w:rPr>
        <w:t>SNC</w:t>
      </w:r>
      <w:r w:rsidR="00EB3C75" w:rsidRPr="00FF386D">
        <w:rPr>
          <w:rFonts w:asciiTheme="majorHAnsi" w:hAnsiTheme="majorHAnsi" w:cstheme="majorHAnsi"/>
          <w:b/>
          <w:bCs/>
        </w:rPr>
        <w:t>)</w:t>
      </w:r>
      <w:r w:rsidR="00EB3C75" w:rsidRPr="00FF386D">
        <w:rPr>
          <w:rFonts w:asciiTheme="majorHAnsi" w:hAnsiTheme="majorHAnsi" w:cstheme="majorHAnsi"/>
        </w:rPr>
        <w:t xml:space="preserve"> и </w:t>
      </w:r>
      <w:r w:rsidR="00EB3C75" w:rsidRPr="00FF386D">
        <w:rPr>
          <w:rFonts w:asciiTheme="majorHAnsi" w:hAnsiTheme="majorHAnsi" w:cstheme="majorHAnsi"/>
          <w:b/>
          <w:bCs/>
        </w:rPr>
        <w:t>Први ажурирани двогодишњи извештај (</w:t>
      </w:r>
      <w:r w:rsidR="00EB3C75" w:rsidRPr="00FF386D">
        <w:rPr>
          <w:rFonts w:asciiTheme="majorHAnsi" w:hAnsiTheme="majorHAnsi" w:cstheme="majorHAnsi"/>
          <w:b/>
          <w:bCs/>
          <w:i/>
          <w:iCs/>
        </w:rPr>
        <w:t>FBRU</w:t>
      </w:r>
      <w:r w:rsidR="00EB3C75" w:rsidRPr="00FF386D">
        <w:rPr>
          <w:rFonts w:asciiTheme="majorHAnsi" w:hAnsiTheme="majorHAnsi" w:cstheme="majorHAnsi"/>
          <w:b/>
          <w:bCs/>
        </w:rPr>
        <w:t>),</w:t>
      </w:r>
      <w:r w:rsidR="00EB3C75" w:rsidRPr="00FF386D">
        <w:rPr>
          <w:rFonts w:asciiTheme="majorHAnsi" w:hAnsiTheme="majorHAnsi" w:cstheme="majorHAnsi"/>
        </w:rPr>
        <w:t xml:space="preserve"> представљају важне националне документе извештавања </w:t>
      </w:r>
      <w:r w:rsidR="00EB3C75" w:rsidRPr="00FF386D">
        <w:rPr>
          <w:rFonts w:asciiTheme="majorHAnsi" w:hAnsiTheme="majorHAnsi" w:cstheme="majorHAnsi"/>
          <w:i/>
          <w:iCs/>
        </w:rPr>
        <w:t>UNFCCC</w:t>
      </w:r>
      <w:r w:rsidR="00EB3C75" w:rsidRPr="00FF386D">
        <w:rPr>
          <w:rFonts w:asciiTheme="majorHAnsi" w:hAnsiTheme="majorHAnsi" w:cstheme="majorHAnsi"/>
        </w:rPr>
        <w:t>-a и основу за будуће активности, истраживањ</w:t>
      </w:r>
      <w:r w:rsidR="005F7BE4" w:rsidRPr="00FF386D">
        <w:rPr>
          <w:rFonts w:asciiTheme="majorHAnsi" w:hAnsiTheme="majorHAnsi" w:cstheme="majorHAnsi"/>
        </w:rPr>
        <w:t>е</w:t>
      </w:r>
      <w:r w:rsidR="00EB3C75" w:rsidRPr="00FF386D">
        <w:rPr>
          <w:rFonts w:asciiTheme="majorHAnsi" w:hAnsiTheme="majorHAnsi" w:cstheme="majorHAnsi"/>
        </w:rPr>
        <w:t xml:space="preserve"> и политике у области климатских промена, изградњ</w:t>
      </w:r>
      <w:r w:rsidR="005F7BE4" w:rsidRPr="00FF386D">
        <w:rPr>
          <w:rFonts w:asciiTheme="majorHAnsi" w:hAnsiTheme="majorHAnsi" w:cstheme="majorHAnsi"/>
        </w:rPr>
        <w:t>у</w:t>
      </w:r>
      <w:r w:rsidR="00EB3C75" w:rsidRPr="00FF386D">
        <w:rPr>
          <w:rFonts w:asciiTheme="majorHAnsi" w:hAnsiTheme="majorHAnsi" w:cstheme="majorHAnsi"/>
        </w:rPr>
        <w:t xml:space="preserve"> националних капацитета и </w:t>
      </w:r>
      <w:r w:rsidR="005F7BE4" w:rsidRPr="00FF386D">
        <w:rPr>
          <w:rFonts w:asciiTheme="majorHAnsi" w:hAnsiTheme="majorHAnsi" w:cstheme="majorHAnsi"/>
        </w:rPr>
        <w:t>унапређење</w:t>
      </w:r>
      <w:r w:rsidR="00EB3C75" w:rsidRPr="00FF386D">
        <w:rPr>
          <w:rFonts w:asciiTheme="majorHAnsi" w:hAnsiTheme="majorHAnsi" w:cstheme="majorHAnsi"/>
        </w:rPr>
        <w:t xml:space="preserve"> знања и одрживог развоја у земљи. Да би испунила захтеве </w:t>
      </w:r>
      <w:r w:rsidR="00EB3C75" w:rsidRPr="00FF386D">
        <w:rPr>
          <w:rFonts w:asciiTheme="majorHAnsi" w:hAnsiTheme="majorHAnsi" w:cstheme="majorHAnsi"/>
          <w:i/>
          <w:iCs/>
        </w:rPr>
        <w:t>UNFCCC</w:t>
      </w:r>
      <w:r w:rsidR="00EB3C75" w:rsidRPr="00FF386D">
        <w:rPr>
          <w:rFonts w:asciiTheme="majorHAnsi" w:hAnsiTheme="majorHAnsi" w:cstheme="majorHAnsi"/>
        </w:rPr>
        <w:t xml:space="preserve"> -а у погледу извештавања, Србија је поднела </w:t>
      </w:r>
      <w:r w:rsidR="00EB3C75" w:rsidRPr="00FF386D">
        <w:rPr>
          <w:rFonts w:asciiTheme="majorHAnsi" w:hAnsiTheme="majorHAnsi" w:cstheme="majorHAnsi"/>
          <w:b/>
          <w:bCs/>
        </w:rPr>
        <w:t>Први национални извештај (</w:t>
      </w:r>
      <w:r w:rsidR="00EB3C75" w:rsidRPr="00FF386D">
        <w:rPr>
          <w:rFonts w:asciiTheme="majorHAnsi" w:hAnsiTheme="majorHAnsi" w:cstheme="majorHAnsi"/>
          <w:b/>
          <w:bCs/>
          <w:i/>
          <w:iCs/>
        </w:rPr>
        <w:t>NC1</w:t>
      </w:r>
      <w:r w:rsidR="00EB3C75" w:rsidRPr="00FF386D">
        <w:rPr>
          <w:rFonts w:asciiTheme="majorHAnsi" w:hAnsiTheme="majorHAnsi" w:cstheme="majorHAnsi"/>
          <w:b/>
          <w:bCs/>
        </w:rPr>
        <w:t>)</w:t>
      </w:r>
      <w:r w:rsidR="00EB3C75" w:rsidRPr="00FF386D">
        <w:rPr>
          <w:rFonts w:asciiTheme="majorHAnsi" w:hAnsiTheme="majorHAnsi" w:cstheme="majorHAnsi"/>
        </w:rPr>
        <w:t xml:space="preserve"> 2010. године, </w:t>
      </w:r>
      <w:r w:rsidR="00EB3C75" w:rsidRPr="00FF386D">
        <w:rPr>
          <w:rFonts w:asciiTheme="majorHAnsi" w:hAnsiTheme="majorHAnsi" w:cstheme="majorHAnsi"/>
          <w:b/>
          <w:bCs/>
        </w:rPr>
        <w:t>Први ажурирани двогодишњи извештај (</w:t>
      </w:r>
      <w:r w:rsidR="00EB3C75" w:rsidRPr="00FF386D">
        <w:rPr>
          <w:rFonts w:asciiTheme="majorHAnsi" w:hAnsiTheme="majorHAnsi" w:cstheme="majorHAnsi"/>
          <w:b/>
          <w:bCs/>
          <w:i/>
          <w:iCs/>
        </w:rPr>
        <w:t>BUR1</w:t>
      </w:r>
      <w:r w:rsidR="00EB3C75" w:rsidRPr="00FF386D">
        <w:rPr>
          <w:rFonts w:asciiTheme="majorHAnsi" w:hAnsiTheme="majorHAnsi" w:cstheme="majorHAnsi"/>
          <w:b/>
          <w:bCs/>
        </w:rPr>
        <w:t>)</w:t>
      </w:r>
      <w:r w:rsidR="00EB3C75" w:rsidRPr="00FF386D">
        <w:rPr>
          <w:rFonts w:asciiTheme="majorHAnsi" w:hAnsiTheme="majorHAnsi" w:cstheme="majorHAnsi"/>
        </w:rPr>
        <w:t xml:space="preserve"> 2016. године и </w:t>
      </w:r>
      <w:r w:rsidR="00EB3C75" w:rsidRPr="00FF386D">
        <w:rPr>
          <w:rFonts w:asciiTheme="majorHAnsi" w:hAnsiTheme="majorHAnsi" w:cstheme="majorHAnsi"/>
          <w:b/>
          <w:bCs/>
        </w:rPr>
        <w:t>Други национални извештај (NC2) 2017</w:t>
      </w:r>
      <w:r w:rsidR="00EB3C75" w:rsidRPr="00FF386D">
        <w:rPr>
          <w:rFonts w:asciiTheme="majorHAnsi" w:hAnsiTheme="majorHAnsi" w:cstheme="majorHAnsi"/>
        </w:rPr>
        <w:t xml:space="preserve">. године. Тренутно је у току израда </w:t>
      </w:r>
      <w:r w:rsidR="00EB3C75" w:rsidRPr="00FF386D">
        <w:rPr>
          <w:rFonts w:asciiTheme="majorHAnsi" w:hAnsiTheme="majorHAnsi" w:cstheme="majorHAnsi"/>
          <w:b/>
          <w:bCs/>
        </w:rPr>
        <w:t>Другог ажурираног двогодишњег извештаја (</w:t>
      </w:r>
      <w:r w:rsidR="00EB3C75" w:rsidRPr="00FF386D">
        <w:rPr>
          <w:rFonts w:asciiTheme="majorHAnsi" w:hAnsiTheme="majorHAnsi" w:cstheme="majorHAnsi"/>
          <w:b/>
          <w:bCs/>
          <w:i/>
          <w:iCs/>
        </w:rPr>
        <w:t>BUR2</w:t>
      </w:r>
      <w:r w:rsidR="00EB3C75" w:rsidRPr="00FF386D">
        <w:rPr>
          <w:rFonts w:asciiTheme="majorHAnsi" w:hAnsiTheme="majorHAnsi" w:cstheme="majorHAnsi"/>
          <w:b/>
          <w:bCs/>
        </w:rPr>
        <w:t>)</w:t>
      </w:r>
      <w:r w:rsidR="00EB3C75" w:rsidRPr="00FF386D">
        <w:rPr>
          <w:rFonts w:asciiTheme="majorHAnsi" w:hAnsiTheme="majorHAnsi" w:cstheme="majorHAnsi"/>
        </w:rPr>
        <w:t xml:space="preserve"> и </w:t>
      </w:r>
      <w:r w:rsidR="00EB3C75" w:rsidRPr="00FF386D">
        <w:rPr>
          <w:rFonts w:asciiTheme="majorHAnsi" w:hAnsiTheme="majorHAnsi" w:cstheme="majorHAnsi"/>
          <w:b/>
          <w:bCs/>
        </w:rPr>
        <w:t>Трећег националног извештаја (</w:t>
      </w:r>
      <w:r w:rsidR="00EB3C75" w:rsidRPr="00FF386D">
        <w:rPr>
          <w:rFonts w:asciiTheme="majorHAnsi" w:hAnsiTheme="majorHAnsi" w:cstheme="majorHAnsi"/>
          <w:b/>
          <w:bCs/>
          <w:i/>
          <w:iCs/>
        </w:rPr>
        <w:t>NC3</w:t>
      </w:r>
      <w:r w:rsidR="00EB3C75" w:rsidRPr="00FF386D">
        <w:rPr>
          <w:rFonts w:asciiTheme="majorHAnsi" w:hAnsiTheme="majorHAnsi" w:cstheme="majorHAnsi"/>
          <w:b/>
          <w:bCs/>
        </w:rPr>
        <w:t>).</w:t>
      </w:r>
    </w:p>
    <w:p w14:paraId="718687E9" w14:textId="0746E77F" w:rsidR="00EB3C75" w:rsidRPr="00FF386D" w:rsidRDefault="00EB3C75" w:rsidP="00EB3C75">
      <w:pPr>
        <w:spacing w:after="0" w:line="240" w:lineRule="auto"/>
        <w:jc w:val="both"/>
        <w:rPr>
          <w:rFonts w:asciiTheme="majorHAnsi" w:hAnsiTheme="majorHAnsi" w:cstheme="majorHAnsi"/>
        </w:rPr>
      </w:pPr>
      <w:r w:rsidRPr="00FF386D">
        <w:rPr>
          <w:rFonts w:asciiTheme="majorHAnsi" w:hAnsiTheme="majorHAnsi" w:cstheme="majorHAnsi"/>
        </w:rPr>
        <w:t>Република Србија је ратификовала Париски споразум 2017. године. Први документ Национално утврђени доприноси је поднет 2015. године, док је документ Други национално утврђени доприноси (</w:t>
      </w:r>
      <w:r w:rsidRPr="00FF386D">
        <w:rPr>
          <w:rFonts w:asciiTheme="majorHAnsi" w:hAnsiTheme="majorHAnsi" w:cstheme="majorHAnsi"/>
          <w:i/>
          <w:iCs/>
        </w:rPr>
        <w:t>NDC</w:t>
      </w:r>
      <w:r w:rsidRPr="00FF386D">
        <w:rPr>
          <w:rFonts w:asciiTheme="majorHAnsi" w:hAnsiTheme="majorHAnsi" w:cstheme="majorHAnsi"/>
        </w:rPr>
        <w:t>) поднет у августу 2022. године, и дефинише намеравано смањење емисија за 33,3% до 2030. године у односу на 1990. годину</w:t>
      </w:r>
      <w:r w:rsidR="005E09C6" w:rsidRPr="00FF386D">
        <w:rPr>
          <w:rFonts w:asciiTheme="majorHAnsi" w:hAnsiTheme="majorHAnsi" w:cstheme="majorHAnsi"/>
        </w:rPr>
        <w:t xml:space="preserve"> (без </w:t>
      </w:r>
      <w:r w:rsidR="005E09C6" w:rsidRPr="000A2AFE">
        <w:rPr>
          <w:rFonts w:asciiTheme="majorHAnsi" w:hAnsiTheme="majorHAnsi" w:cstheme="majorHAnsi"/>
          <w:i/>
          <w:iCs/>
        </w:rPr>
        <w:t>LULUCF</w:t>
      </w:r>
      <w:r w:rsidR="005E09C6" w:rsidRPr="00FF386D">
        <w:rPr>
          <w:rFonts w:asciiTheme="majorHAnsi" w:hAnsiTheme="majorHAnsi" w:cstheme="majorHAnsi"/>
        </w:rPr>
        <w:t>)</w:t>
      </w:r>
      <w:r w:rsidRPr="00FF386D">
        <w:rPr>
          <w:rFonts w:asciiTheme="majorHAnsi" w:hAnsiTheme="majorHAnsi" w:cstheme="majorHAnsi"/>
        </w:rPr>
        <w:t>.</w:t>
      </w:r>
    </w:p>
    <w:p w14:paraId="5118EF1A" w14:textId="30FD1AA7"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Године </w:t>
      </w:r>
      <w:r w:rsidR="008E404C" w:rsidRPr="00FF386D">
        <w:rPr>
          <w:rFonts w:asciiTheme="majorHAnsi" w:eastAsia="Times New Roman" w:hAnsiTheme="majorHAnsi" w:cstheme="majorHAnsi"/>
          <w:lang w:eastAsia="el-GR"/>
        </w:rPr>
        <w:t>20</w:t>
      </w:r>
      <w:r w:rsidR="008E404C" w:rsidRPr="000A2AFE">
        <w:rPr>
          <w:rFonts w:asciiTheme="majorHAnsi" w:eastAsia="Times New Roman" w:hAnsiTheme="majorHAnsi" w:cstheme="majorHAnsi"/>
          <w:lang w:eastAsia="el-GR"/>
        </w:rPr>
        <w:t>20</w:t>
      </w:r>
      <w:r w:rsidRPr="00FF386D">
        <w:rPr>
          <w:rFonts w:asciiTheme="majorHAnsi" w:eastAsia="Times New Roman" w:hAnsiTheme="majorHAnsi" w:cstheme="majorHAnsi"/>
          <w:lang w:eastAsia="el-GR"/>
        </w:rPr>
        <w:t xml:space="preserve">. усвојена је </w:t>
      </w:r>
      <w:r w:rsidRPr="00FF386D">
        <w:rPr>
          <w:rFonts w:asciiTheme="majorHAnsi" w:eastAsia="Times New Roman" w:hAnsiTheme="majorHAnsi" w:cstheme="majorHAnsi"/>
          <w:b/>
          <w:bCs/>
          <w:lang w:eastAsia="el-GR"/>
        </w:rPr>
        <w:t>Стратегија индустријске политике Републике Србије од 2021. до 2030</w:t>
      </w:r>
      <w:r w:rsidR="008E404C" w:rsidRPr="000A2AFE">
        <w:rPr>
          <w:rFonts w:asciiTheme="majorHAnsi" w:eastAsia="Times New Roman" w:hAnsiTheme="majorHAnsi" w:cstheme="majorHAnsi"/>
          <w:b/>
          <w:bCs/>
          <w:lang w:eastAsia="el-GR"/>
        </w:rPr>
        <w:t xml:space="preserve">. </w:t>
      </w:r>
      <w:r w:rsidR="008E404C" w:rsidRPr="00FF386D">
        <w:rPr>
          <w:rFonts w:asciiTheme="majorHAnsi" w:eastAsia="Times New Roman" w:hAnsiTheme="majorHAnsi" w:cstheme="majorHAnsi"/>
          <w:b/>
          <w:bCs/>
          <w:lang w:eastAsia="el-GR"/>
        </w:rPr>
        <w:t>године</w:t>
      </w:r>
      <w:r w:rsidRPr="00FF386D">
        <w:rPr>
          <w:rFonts w:asciiTheme="majorHAnsi" w:eastAsiaTheme="majorEastAsia" w:hAnsiTheme="majorHAnsi" w:cstheme="majorHAnsi"/>
          <w:vertAlign w:val="superscript"/>
          <w:lang w:eastAsia="el-GR"/>
        </w:rPr>
        <w:footnoteReference w:id="19"/>
      </w:r>
      <w:r w:rsidR="005F7BE4" w:rsidRPr="00FF386D">
        <w:rPr>
          <w:rFonts w:asciiTheme="majorHAnsi" w:eastAsia="Times New Roman" w:hAnsiTheme="majorHAnsi" w:cstheme="majorHAnsi"/>
          <w:b/>
          <w:bCs/>
          <w:lang w:eastAsia="el-GR"/>
        </w:rPr>
        <w:t xml:space="preserve"> </w:t>
      </w:r>
      <w:r w:rsidRPr="00FF386D">
        <w:rPr>
          <w:rFonts w:asciiTheme="majorHAnsi" w:eastAsia="Times New Roman" w:hAnsiTheme="majorHAnsi" w:cstheme="majorHAnsi"/>
          <w:lang w:eastAsia="el-GR"/>
        </w:rPr>
        <w:t>која представља свеобухватан реформски корак у области индустријског развоја, што је један од шест кључних елемената идентификованих у области индустријског развоја ЕУ.</w:t>
      </w:r>
    </w:p>
    <w:p w14:paraId="4499A338" w14:textId="462BAC9B" w:rsidR="00EB3C75"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Други важан </w:t>
      </w:r>
      <w:r w:rsidR="008F4356" w:rsidRPr="00FF386D">
        <w:rPr>
          <w:rFonts w:asciiTheme="majorHAnsi" w:eastAsia="Times New Roman" w:hAnsiTheme="majorHAnsi" w:cstheme="majorHAnsi"/>
          <w:lang w:eastAsia="el-GR"/>
        </w:rPr>
        <w:t xml:space="preserve">документ </w:t>
      </w:r>
      <w:r w:rsidRPr="00FF386D">
        <w:rPr>
          <w:rFonts w:asciiTheme="majorHAnsi" w:eastAsia="Times New Roman" w:hAnsiTheme="majorHAnsi" w:cstheme="majorHAnsi"/>
          <w:lang w:eastAsia="el-GR"/>
        </w:rPr>
        <w:t xml:space="preserve">је </w:t>
      </w:r>
      <w:r w:rsidRPr="00FF386D">
        <w:rPr>
          <w:rFonts w:asciiTheme="majorHAnsi" w:eastAsia="Times New Roman" w:hAnsiTheme="majorHAnsi" w:cstheme="majorHAnsi"/>
          <w:b/>
          <w:bCs/>
          <w:lang w:eastAsia="el-GR"/>
        </w:rPr>
        <w:t>Стратегија увођења чистије производње у Републици Србији</w:t>
      </w:r>
      <w:r w:rsidRPr="00FF386D">
        <w:rPr>
          <w:rFonts w:asciiTheme="majorHAnsi" w:eastAsia="Times New Roman" w:hAnsiTheme="majorHAnsi" w:cstheme="majorHAnsi"/>
          <w:b/>
          <w:bCs/>
          <w:vertAlign w:val="superscript"/>
          <w:lang w:eastAsia="el-GR"/>
        </w:rPr>
        <w:footnoteReference w:id="20"/>
      </w:r>
      <w:r w:rsidR="005F7BE4" w:rsidRPr="00FF386D">
        <w:rPr>
          <w:rFonts w:asciiTheme="majorHAnsi" w:eastAsia="Times New Roman" w:hAnsiTheme="majorHAnsi" w:cstheme="majorHAnsi"/>
          <w:b/>
          <w:bCs/>
          <w:lang w:eastAsia="el-GR"/>
        </w:rPr>
        <w:t xml:space="preserve"> </w:t>
      </w:r>
      <w:r w:rsidRPr="00FF386D">
        <w:rPr>
          <w:rFonts w:asciiTheme="majorHAnsi" w:eastAsia="Times New Roman" w:hAnsiTheme="majorHAnsi" w:cstheme="majorHAnsi"/>
          <w:lang w:eastAsia="el-GR"/>
        </w:rPr>
        <w:t>која обрађује концепт одрживог развоја подстицањем примене чистије производње, повећањем енергетске ефикасности и ефикасности коришћења природних ресурса, као и смањењем количине отпада.</w:t>
      </w:r>
    </w:p>
    <w:p w14:paraId="48D64BB4" w14:textId="50645305" w:rsidR="00AB6D26" w:rsidRDefault="00CB6BE4" w:rsidP="00EB3C75">
      <w:pPr>
        <w:spacing w:before="120" w:after="120" w:line="240" w:lineRule="auto"/>
        <w:jc w:val="both"/>
        <w:rPr>
          <w:rFonts w:asciiTheme="majorHAnsi" w:eastAsia="Times New Roman" w:hAnsiTheme="majorHAnsi" w:cstheme="majorHAnsi"/>
          <w:lang w:eastAsia="el-GR"/>
        </w:rPr>
      </w:pPr>
      <w:r>
        <w:rPr>
          <w:rFonts w:asciiTheme="majorHAnsi" w:eastAsia="Times New Roman" w:hAnsiTheme="majorHAnsi" w:cstheme="majorHAnsi"/>
          <w:lang w:eastAsia="el-GR"/>
        </w:rPr>
        <w:t xml:space="preserve">У септембру 2015. године Генерална скупштина Уједињених нација је усвојила Резолуцију </w:t>
      </w:r>
      <w:r w:rsidRPr="00CB6BE4">
        <w:rPr>
          <w:rFonts w:asciiTheme="majorHAnsi" w:eastAsia="Times New Roman" w:hAnsiTheme="majorHAnsi" w:cstheme="majorHAnsi"/>
          <w:lang w:val="en-GB" w:eastAsia="el-GR"/>
        </w:rPr>
        <w:t>A</w:t>
      </w:r>
      <w:r w:rsidRPr="00C312D6">
        <w:rPr>
          <w:rFonts w:asciiTheme="majorHAnsi" w:eastAsia="Times New Roman" w:hAnsiTheme="majorHAnsi" w:cstheme="majorHAnsi"/>
          <w:lang w:eastAsia="el-GR"/>
        </w:rPr>
        <w:t>/</w:t>
      </w:r>
      <w:r w:rsidRPr="000A2AFE">
        <w:rPr>
          <w:rFonts w:asciiTheme="majorHAnsi" w:eastAsia="Times New Roman" w:hAnsiTheme="majorHAnsi" w:cstheme="majorHAnsi"/>
          <w:i/>
          <w:iCs/>
          <w:lang w:val="en-GB" w:eastAsia="el-GR"/>
        </w:rPr>
        <w:t>RES</w:t>
      </w:r>
      <w:r w:rsidRPr="00C312D6">
        <w:rPr>
          <w:rFonts w:asciiTheme="majorHAnsi" w:eastAsia="Times New Roman" w:hAnsiTheme="majorHAnsi" w:cstheme="majorHAnsi"/>
          <w:i/>
          <w:iCs/>
          <w:lang w:eastAsia="el-GR"/>
        </w:rPr>
        <w:t>/</w:t>
      </w:r>
      <w:r w:rsidRPr="00C312D6">
        <w:rPr>
          <w:rFonts w:asciiTheme="majorHAnsi" w:eastAsia="Times New Roman" w:hAnsiTheme="majorHAnsi" w:cstheme="majorHAnsi"/>
          <w:lang w:eastAsia="el-GR"/>
        </w:rPr>
        <w:t>70/1</w:t>
      </w:r>
      <w:r>
        <w:rPr>
          <w:rFonts w:asciiTheme="majorHAnsi" w:eastAsia="Times New Roman" w:hAnsiTheme="majorHAnsi" w:cstheme="majorHAnsi"/>
          <w:lang w:eastAsia="el-GR"/>
        </w:rPr>
        <w:t xml:space="preserve"> </w:t>
      </w:r>
      <w:r w:rsidRPr="00C312D6">
        <w:rPr>
          <w:rFonts w:asciiTheme="majorHAnsi" w:eastAsia="Times New Roman" w:hAnsiTheme="majorHAnsi" w:cstheme="majorHAnsi"/>
          <w:lang w:eastAsia="el-GR"/>
        </w:rPr>
        <w:t>–</w:t>
      </w:r>
      <w:r>
        <w:rPr>
          <w:rFonts w:asciiTheme="majorHAnsi" w:eastAsia="Times New Roman" w:hAnsiTheme="majorHAnsi" w:cstheme="majorHAnsi"/>
          <w:lang w:eastAsia="el-GR"/>
        </w:rPr>
        <w:t xml:space="preserve"> Трансформисање нашег света: </w:t>
      </w:r>
      <w:r w:rsidRPr="000A2AFE">
        <w:rPr>
          <w:rFonts w:asciiTheme="majorHAnsi" w:eastAsia="Times New Roman" w:hAnsiTheme="majorHAnsi" w:cstheme="majorHAnsi"/>
          <w:b/>
          <w:bCs/>
          <w:lang w:eastAsia="el-GR"/>
        </w:rPr>
        <w:t>Агенда за одрживи развој до 2030. године.</w:t>
      </w:r>
      <w:r>
        <w:rPr>
          <w:rFonts w:asciiTheme="majorHAnsi" w:eastAsia="Times New Roman" w:hAnsiTheme="majorHAnsi" w:cstheme="majorHAnsi"/>
          <w:lang w:eastAsia="el-GR"/>
        </w:rPr>
        <w:t xml:space="preserve"> Три димензије Агенде 2030 су привредни развој, социјална инклузија и заштита животне средине. </w:t>
      </w:r>
      <w:r w:rsidR="00AC727F">
        <w:rPr>
          <w:rFonts w:asciiTheme="majorHAnsi" w:eastAsia="Times New Roman" w:hAnsiTheme="majorHAnsi" w:cstheme="majorHAnsi"/>
          <w:lang w:eastAsia="el-GR"/>
        </w:rPr>
        <w:t xml:space="preserve">Обухвата 17 циљева одрживог развоја који су ступили на снагу у јануару 2016. године, неки од њих су приступачна и чиста енергија, достојанствен рад и привредни развој, одрживи градови и заједнице, климатске акције и други. </w:t>
      </w:r>
      <w:r w:rsidR="000C282E">
        <w:rPr>
          <w:rFonts w:asciiTheme="majorHAnsi" w:eastAsia="Times New Roman" w:hAnsiTheme="majorHAnsi" w:cstheme="majorHAnsi"/>
          <w:lang w:eastAsia="el-GR"/>
        </w:rPr>
        <w:t>У децембру 2015. године образована је Међу</w:t>
      </w:r>
      <w:r w:rsidR="00A6498C">
        <w:rPr>
          <w:rFonts w:asciiTheme="majorHAnsi" w:eastAsia="Times New Roman" w:hAnsiTheme="majorHAnsi" w:cstheme="majorHAnsi"/>
          <w:lang w:val="sr-Cyrl-CS" w:eastAsia="el-GR"/>
        </w:rPr>
        <w:t>ресорна</w:t>
      </w:r>
      <w:r w:rsidR="000C282E">
        <w:rPr>
          <w:rFonts w:asciiTheme="majorHAnsi" w:eastAsia="Times New Roman" w:hAnsiTheme="majorHAnsi" w:cstheme="majorHAnsi"/>
          <w:lang w:eastAsia="el-GR"/>
        </w:rPr>
        <w:t xml:space="preserve"> радна група за спровођење Агенде 2030 за одрживи развој </w:t>
      </w:r>
      <w:r w:rsidR="001810B2">
        <w:rPr>
          <w:rFonts w:asciiTheme="majorHAnsi" w:eastAsia="Times New Roman" w:hAnsiTheme="majorHAnsi" w:cstheme="majorHAnsi"/>
          <w:lang w:eastAsia="el-GR"/>
        </w:rPr>
        <w:t xml:space="preserve">са задатком да координира радом свих министарстава и државних институција. Мапиран је Национални стратешки оквир </w:t>
      </w:r>
      <w:r w:rsidR="00B4458F">
        <w:rPr>
          <w:rFonts w:asciiTheme="majorHAnsi" w:eastAsia="Times New Roman" w:hAnsiTheme="majorHAnsi" w:cstheme="majorHAnsi"/>
          <w:lang w:eastAsia="el-GR"/>
        </w:rPr>
        <w:t xml:space="preserve">у односу на циљеве одрживог развоја Србије и Агенде 2030, док </w:t>
      </w:r>
      <w:r w:rsidR="00536481">
        <w:rPr>
          <w:rFonts w:asciiTheme="majorHAnsi" w:eastAsia="Times New Roman" w:hAnsiTheme="majorHAnsi" w:cstheme="majorHAnsi"/>
          <w:lang w:eastAsia="el-GR"/>
        </w:rPr>
        <w:t>се</w:t>
      </w:r>
      <w:r w:rsidR="00B4458F">
        <w:rPr>
          <w:rFonts w:asciiTheme="majorHAnsi" w:eastAsia="Times New Roman" w:hAnsiTheme="majorHAnsi" w:cstheme="majorHAnsi"/>
          <w:lang w:eastAsia="el-GR"/>
        </w:rPr>
        <w:t xml:space="preserve"> напредак у остварењу циљева одрживог развоја </w:t>
      </w:r>
      <w:r w:rsidR="00536481">
        <w:rPr>
          <w:rFonts w:asciiTheme="majorHAnsi" w:eastAsia="Times New Roman" w:hAnsiTheme="majorHAnsi" w:cstheme="majorHAnsi"/>
          <w:lang w:eastAsia="el-GR"/>
        </w:rPr>
        <w:t>мери на основу одговарајућих националних индикатора које израђује и прикупља Републички завод за статистику Републике Србије.</w:t>
      </w:r>
    </w:p>
    <w:p w14:paraId="0FD6F6DF" w14:textId="14899C5D" w:rsidR="00536481" w:rsidRPr="00A06136" w:rsidRDefault="00536481" w:rsidP="00EB3C75">
      <w:pPr>
        <w:spacing w:before="120" w:after="120" w:line="240" w:lineRule="auto"/>
        <w:jc w:val="both"/>
        <w:rPr>
          <w:rFonts w:asciiTheme="majorHAnsi" w:eastAsia="Times New Roman" w:hAnsiTheme="majorHAnsi" w:cstheme="majorHAnsi"/>
          <w:lang w:eastAsia="el-GR"/>
        </w:rPr>
      </w:pPr>
      <w:r>
        <w:rPr>
          <w:rFonts w:asciiTheme="majorHAnsi" w:eastAsia="Times New Roman" w:hAnsiTheme="majorHAnsi" w:cstheme="majorHAnsi"/>
          <w:lang w:eastAsia="el-GR"/>
        </w:rPr>
        <w:t xml:space="preserve">На </w:t>
      </w:r>
      <w:r w:rsidR="00131A88">
        <w:rPr>
          <w:rFonts w:asciiTheme="majorHAnsi" w:eastAsia="Times New Roman" w:hAnsiTheme="majorHAnsi" w:cstheme="majorHAnsi"/>
          <w:lang w:eastAsia="el-GR"/>
        </w:rPr>
        <w:t>конференцији о климатским променама (</w:t>
      </w:r>
      <w:r w:rsidR="00131A88" w:rsidRPr="000A2AFE">
        <w:rPr>
          <w:rFonts w:asciiTheme="majorHAnsi" w:eastAsia="Times New Roman" w:hAnsiTheme="majorHAnsi" w:cstheme="majorHAnsi"/>
          <w:i/>
          <w:iCs/>
          <w:lang w:val="en-US" w:eastAsia="el-GR"/>
        </w:rPr>
        <w:t>COP</w:t>
      </w:r>
      <w:r w:rsidR="00131A88" w:rsidRPr="00C312D6">
        <w:rPr>
          <w:rFonts w:asciiTheme="majorHAnsi" w:eastAsia="Times New Roman" w:hAnsiTheme="majorHAnsi" w:cstheme="majorHAnsi"/>
          <w:i/>
          <w:iCs/>
          <w:lang w:eastAsia="el-GR"/>
        </w:rPr>
        <w:t>26</w:t>
      </w:r>
      <w:r w:rsidR="00131A88" w:rsidRPr="00C312D6">
        <w:rPr>
          <w:rFonts w:asciiTheme="majorHAnsi" w:eastAsia="Times New Roman" w:hAnsiTheme="majorHAnsi" w:cstheme="majorHAnsi"/>
          <w:lang w:eastAsia="el-GR"/>
        </w:rPr>
        <w:t xml:space="preserve">) </w:t>
      </w:r>
      <w:r w:rsidR="00131A88">
        <w:rPr>
          <w:rFonts w:asciiTheme="majorHAnsi" w:eastAsia="Times New Roman" w:hAnsiTheme="majorHAnsi" w:cstheme="majorHAnsi"/>
          <w:lang w:eastAsia="el-GR"/>
        </w:rPr>
        <w:t>одржаној у Глазгову, Србија је приступила Глобалној иницијативи за смањење емисија метана. Учесници Иницијативе су се договорил</w:t>
      </w:r>
      <w:r w:rsidR="00760E20">
        <w:rPr>
          <w:rFonts w:asciiTheme="majorHAnsi" w:eastAsia="Times New Roman" w:hAnsiTheme="majorHAnsi" w:cstheme="majorHAnsi"/>
          <w:lang w:eastAsia="el-GR"/>
        </w:rPr>
        <w:t>е о предузимању</w:t>
      </w:r>
      <w:r w:rsidR="00131A88">
        <w:rPr>
          <w:rFonts w:asciiTheme="majorHAnsi" w:eastAsia="Times New Roman" w:hAnsiTheme="majorHAnsi" w:cstheme="majorHAnsi"/>
          <w:lang w:eastAsia="el-GR"/>
        </w:rPr>
        <w:t xml:space="preserve"> акциј</w:t>
      </w:r>
      <w:r w:rsidR="00760E20">
        <w:rPr>
          <w:rFonts w:asciiTheme="majorHAnsi" w:eastAsia="Times New Roman" w:hAnsiTheme="majorHAnsi" w:cstheme="majorHAnsi"/>
          <w:lang w:eastAsia="el-GR"/>
        </w:rPr>
        <w:t>а</w:t>
      </w:r>
      <w:r w:rsidR="00131A88">
        <w:rPr>
          <w:rFonts w:asciiTheme="majorHAnsi" w:eastAsia="Times New Roman" w:hAnsiTheme="majorHAnsi" w:cstheme="majorHAnsi"/>
          <w:lang w:eastAsia="el-GR"/>
        </w:rPr>
        <w:t xml:space="preserve"> за смањење глобалних антропогених емисија</w:t>
      </w:r>
      <w:r w:rsidR="007801CD">
        <w:rPr>
          <w:rFonts w:asciiTheme="majorHAnsi" w:eastAsia="Times New Roman" w:hAnsiTheme="majorHAnsi" w:cstheme="majorHAnsi"/>
          <w:lang w:val="sr-Latn-RS" w:eastAsia="el-GR"/>
        </w:rPr>
        <w:t xml:space="preserve"> </w:t>
      </w:r>
      <w:r w:rsidR="007801CD">
        <w:rPr>
          <w:rFonts w:asciiTheme="majorHAnsi" w:eastAsia="Times New Roman" w:hAnsiTheme="majorHAnsi" w:cstheme="majorHAnsi"/>
          <w:lang w:eastAsia="el-GR"/>
        </w:rPr>
        <w:t>метана</w:t>
      </w:r>
      <w:r w:rsidR="00131A88">
        <w:rPr>
          <w:rFonts w:asciiTheme="majorHAnsi" w:eastAsia="Times New Roman" w:hAnsiTheme="majorHAnsi" w:cstheme="majorHAnsi"/>
          <w:lang w:eastAsia="el-GR"/>
        </w:rPr>
        <w:t xml:space="preserve"> у свим секторима за најмање 30%</w:t>
      </w:r>
      <w:r w:rsidR="007801CD" w:rsidRPr="00C312D6">
        <w:rPr>
          <w:rFonts w:asciiTheme="majorHAnsi" w:eastAsia="Times New Roman" w:hAnsiTheme="majorHAnsi" w:cstheme="majorHAnsi"/>
          <w:lang w:eastAsia="el-GR"/>
        </w:rPr>
        <w:t xml:space="preserve"> </w:t>
      </w:r>
      <w:r w:rsidR="007801CD">
        <w:rPr>
          <w:rFonts w:asciiTheme="majorHAnsi" w:eastAsia="Times New Roman" w:hAnsiTheme="majorHAnsi" w:cstheme="majorHAnsi"/>
          <w:lang w:eastAsia="el-GR"/>
        </w:rPr>
        <w:t xml:space="preserve">до 2030. године у односу на нивое </w:t>
      </w:r>
      <w:r w:rsidR="00131A88">
        <w:rPr>
          <w:rFonts w:asciiTheme="majorHAnsi" w:eastAsia="Times New Roman" w:hAnsiTheme="majorHAnsi" w:cstheme="majorHAnsi"/>
          <w:lang w:eastAsia="el-GR"/>
        </w:rPr>
        <w:t>из 2020. године</w:t>
      </w:r>
      <w:r w:rsidR="007801CD">
        <w:rPr>
          <w:rFonts w:asciiTheme="majorHAnsi" w:eastAsia="Times New Roman" w:hAnsiTheme="majorHAnsi" w:cstheme="majorHAnsi"/>
          <w:lang w:eastAsia="el-GR"/>
        </w:rPr>
        <w:t>, истовремено уважавајући циљ</w:t>
      </w:r>
      <w:r w:rsidR="00766F0E">
        <w:rPr>
          <w:rFonts w:asciiTheme="majorHAnsi" w:eastAsia="Times New Roman" w:hAnsiTheme="majorHAnsi" w:cstheme="majorHAnsi"/>
          <w:lang w:eastAsia="el-GR"/>
        </w:rPr>
        <w:t xml:space="preserve"> С</w:t>
      </w:r>
      <w:r w:rsidR="007801CD">
        <w:rPr>
          <w:rFonts w:asciiTheme="majorHAnsi" w:eastAsia="Times New Roman" w:hAnsiTheme="majorHAnsi" w:cstheme="majorHAnsi"/>
          <w:lang w:eastAsia="el-GR"/>
        </w:rPr>
        <w:t>поразума</w:t>
      </w:r>
      <w:r w:rsidR="00766F0E">
        <w:rPr>
          <w:rFonts w:asciiTheme="majorHAnsi" w:eastAsia="Times New Roman" w:hAnsiTheme="majorHAnsi" w:cstheme="majorHAnsi"/>
          <w:lang w:eastAsia="el-GR"/>
        </w:rPr>
        <w:t xml:space="preserve"> из Париза</w:t>
      </w:r>
      <w:r w:rsidR="007801CD">
        <w:rPr>
          <w:rFonts w:asciiTheme="majorHAnsi" w:eastAsia="Times New Roman" w:hAnsiTheme="majorHAnsi" w:cstheme="majorHAnsi"/>
          <w:lang w:eastAsia="el-GR"/>
        </w:rPr>
        <w:t xml:space="preserve"> у погледу ограничавања </w:t>
      </w:r>
      <w:r w:rsidR="00766F0E">
        <w:rPr>
          <w:rFonts w:asciiTheme="majorHAnsi" w:eastAsia="Times New Roman" w:hAnsiTheme="majorHAnsi" w:cstheme="majorHAnsi"/>
          <w:lang w:eastAsia="el-GR"/>
        </w:rPr>
        <w:t>раста температуре на 1,5 ͦ</w:t>
      </w:r>
      <w:r w:rsidR="00766F0E">
        <w:rPr>
          <w:rFonts w:asciiTheme="majorHAnsi" w:eastAsia="Times New Roman" w:hAnsiTheme="majorHAnsi" w:cstheme="majorHAnsi"/>
          <w:lang w:val="en-US" w:eastAsia="el-GR"/>
        </w:rPr>
        <w:t>C</w:t>
      </w:r>
      <w:r w:rsidR="00766F0E" w:rsidRPr="00C312D6">
        <w:rPr>
          <w:rFonts w:asciiTheme="majorHAnsi" w:eastAsia="Times New Roman" w:hAnsiTheme="majorHAnsi" w:cstheme="majorHAnsi"/>
          <w:lang w:eastAsia="el-GR"/>
        </w:rPr>
        <w:t xml:space="preserve">. </w:t>
      </w:r>
      <w:r w:rsidR="00760E20">
        <w:rPr>
          <w:rFonts w:asciiTheme="majorHAnsi" w:eastAsia="Times New Roman" w:hAnsiTheme="majorHAnsi" w:cstheme="majorHAnsi"/>
          <w:lang w:eastAsia="el-GR"/>
        </w:rPr>
        <w:t>Чланице</w:t>
      </w:r>
      <w:r w:rsidR="00A06136">
        <w:rPr>
          <w:rFonts w:asciiTheme="majorHAnsi" w:eastAsia="Times New Roman" w:hAnsiTheme="majorHAnsi" w:cstheme="majorHAnsi"/>
          <w:lang w:eastAsia="el-GR"/>
        </w:rPr>
        <w:t xml:space="preserve"> </w:t>
      </w:r>
      <w:r w:rsidR="00D678B6">
        <w:rPr>
          <w:rFonts w:asciiTheme="majorHAnsi" w:eastAsia="Times New Roman" w:hAnsiTheme="majorHAnsi" w:cstheme="majorHAnsi"/>
          <w:lang w:eastAsia="el-GR"/>
        </w:rPr>
        <w:t>су се обавезал</w:t>
      </w:r>
      <w:r w:rsidR="00760E20">
        <w:rPr>
          <w:rFonts w:asciiTheme="majorHAnsi" w:eastAsia="Times New Roman" w:hAnsiTheme="majorHAnsi" w:cstheme="majorHAnsi"/>
          <w:lang w:eastAsia="el-GR"/>
        </w:rPr>
        <w:t>е</w:t>
      </w:r>
      <w:r w:rsidR="00D678B6">
        <w:rPr>
          <w:rFonts w:asciiTheme="majorHAnsi" w:eastAsia="Times New Roman" w:hAnsiTheme="majorHAnsi" w:cstheme="majorHAnsi"/>
          <w:lang w:eastAsia="el-GR"/>
        </w:rPr>
        <w:t xml:space="preserve"> да </w:t>
      </w:r>
      <w:r w:rsidR="00760E20">
        <w:rPr>
          <w:rFonts w:asciiTheme="majorHAnsi" w:eastAsia="Times New Roman" w:hAnsiTheme="majorHAnsi" w:cstheme="majorHAnsi"/>
          <w:lang w:eastAsia="el-GR"/>
        </w:rPr>
        <w:t xml:space="preserve">на локалном нивоу </w:t>
      </w:r>
      <w:r w:rsidR="00D678B6">
        <w:rPr>
          <w:rFonts w:asciiTheme="majorHAnsi" w:eastAsia="Times New Roman" w:hAnsiTheme="majorHAnsi" w:cstheme="majorHAnsi"/>
          <w:lang w:eastAsia="el-GR"/>
        </w:rPr>
        <w:t>предуз</w:t>
      </w:r>
      <w:r w:rsidR="00760E20">
        <w:rPr>
          <w:rFonts w:asciiTheme="majorHAnsi" w:eastAsia="Times New Roman" w:hAnsiTheme="majorHAnsi" w:cstheme="majorHAnsi"/>
          <w:lang w:eastAsia="el-GR"/>
        </w:rPr>
        <w:t>имају</w:t>
      </w:r>
      <w:r w:rsidR="00D678B6">
        <w:rPr>
          <w:rFonts w:asciiTheme="majorHAnsi" w:eastAsia="Times New Roman" w:hAnsiTheme="majorHAnsi" w:cstheme="majorHAnsi"/>
          <w:lang w:eastAsia="el-GR"/>
        </w:rPr>
        <w:t xml:space="preserve"> ак</w:t>
      </w:r>
      <w:r w:rsidR="00760E20">
        <w:rPr>
          <w:rFonts w:asciiTheme="majorHAnsi" w:eastAsia="Times New Roman" w:hAnsiTheme="majorHAnsi" w:cstheme="majorHAnsi"/>
          <w:lang w:eastAsia="el-GR"/>
        </w:rPr>
        <w:t>ције</w:t>
      </w:r>
      <w:r w:rsidR="00D678B6">
        <w:rPr>
          <w:rFonts w:asciiTheme="majorHAnsi" w:eastAsia="Times New Roman" w:hAnsiTheme="majorHAnsi" w:cstheme="majorHAnsi"/>
          <w:lang w:eastAsia="el-GR"/>
        </w:rPr>
        <w:t xml:space="preserve"> за смањење емисија из </w:t>
      </w:r>
      <w:r w:rsidR="00760E20">
        <w:rPr>
          <w:rFonts w:asciiTheme="majorHAnsi" w:eastAsia="Times New Roman" w:hAnsiTheme="majorHAnsi" w:cstheme="majorHAnsi"/>
          <w:lang w:eastAsia="el-GR"/>
        </w:rPr>
        <w:t xml:space="preserve">сектора енергетике, </w:t>
      </w:r>
      <w:r w:rsidR="00D678B6">
        <w:rPr>
          <w:rFonts w:asciiTheme="majorHAnsi" w:eastAsia="Times New Roman" w:hAnsiTheme="majorHAnsi" w:cstheme="majorHAnsi"/>
          <w:lang w:eastAsia="el-GR"/>
        </w:rPr>
        <w:t>отпада и пољопривред</w:t>
      </w:r>
      <w:r w:rsidR="00760E20">
        <w:rPr>
          <w:rFonts w:asciiTheme="majorHAnsi" w:eastAsia="Times New Roman" w:hAnsiTheme="majorHAnsi" w:cstheme="majorHAnsi"/>
          <w:lang w:eastAsia="el-GR"/>
        </w:rPr>
        <w:t>е</w:t>
      </w:r>
      <w:r w:rsidR="00D678B6">
        <w:rPr>
          <w:rFonts w:asciiTheme="majorHAnsi" w:eastAsia="Times New Roman" w:hAnsiTheme="majorHAnsi" w:cstheme="majorHAnsi"/>
          <w:lang w:eastAsia="el-GR"/>
        </w:rPr>
        <w:t xml:space="preserve"> </w:t>
      </w:r>
      <w:r w:rsidR="00760E20">
        <w:rPr>
          <w:rFonts w:asciiTheme="majorHAnsi" w:eastAsia="Times New Roman" w:hAnsiTheme="majorHAnsi" w:cstheme="majorHAnsi"/>
          <w:lang w:eastAsia="el-GR"/>
        </w:rPr>
        <w:t>путем</w:t>
      </w:r>
      <w:r w:rsidR="0078592C">
        <w:rPr>
          <w:rFonts w:asciiTheme="majorHAnsi" w:eastAsia="Times New Roman" w:hAnsiTheme="majorHAnsi" w:cstheme="majorHAnsi"/>
          <w:lang w:eastAsia="el-GR"/>
        </w:rPr>
        <w:t xml:space="preserve"> унапређења стандарда, технолошких иновација, подстицаја и партнерстава са пољопривредницима. Србија није</w:t>
      </w:r>
      <w:r w:rsidR="00760E20">
        <w:rPr>
          <w:rFonts w:asciiTheme="majorHAnsi" w:eastAsia="Times New Roman" w:hAnsiTheme="majorHAnsi" w:cstheme="majorHAnsi"/>
          <w:lang w:eastAsia="el-GR"/>
        </w:rPr>
        <w:t xml:space="preserve"> још увек</w:t>
      </w:r>
      <w:r w:rsidR="0078592C">
        <w:rPr>
          <w:rFonts w:asciiTheme="majorHAnsi" w:eastAsia="Times New Roman" w:hAnsiTheme="majorHAnsi" w:cstheme="majorHAnsi"/>
          <w:lang w:eastAsia="el-GR"/>
        </w:rPr>
        <w:t xml:space="preserve"> транспоновала ову обавезу у национално законодавство.</w:t>
      </w:r>
    </w:p>
    <w:p w14:paraId="55176EF6" w14:textId="051F5BCE" w:rsidR="00EB3C75" w:rsidRPr="000A2AFE" w:rsidRDefault="00042D40"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У октобру 2021. године потписана је Заједничка декларација о намерама о Стратешкој сарадњи у области климатске акције између Министарства за европске интеграције Републике Србије </w:t>
      </w:r>
      <w:r w:rsidR="00BC400A" w:rsidRPr="00FF386D">
        <w:rPr>
          <w:rFonts w:asciiTheme="majorHAnsi" w:eastAsia="Times New Roman" w:hAnsiTheme="majorHAnsi" w:cstheme="majorHAnsi"/>
          <w:lang w:eastAsia="el-GR"/>
        </w:rPr>
        <w:t xml:space="preserve">и Савезног </w:t>
      </w:r>
      <w:r w:rsidR="00BC400A" w:rsidRPr="00FF386D">
        <w:rPr>
          <w:rFonts w:asciiTheme="majorHAnsi" w:eastAsia="Times New Roman" w:hAnsiTheme="majorHAnsi" w:cstheme="majorHAnsi"/>
          <w:lang w:eastAsia="el-GR"/>
        </w:rPr>
        <w:lastRenderedPageBreak/>
        <w:t xml:space="preserve">министарства за економску сарадњу и развој Савезне Републике Немачке. Циљ </w:t>
      </w:r>
      <w:r w:rsidR="00317429" w:rsidRPr="00FF386D">
        <w:rPr>
          <w:rFonts w:asciiTheme="majorHAnsi" w:eastAsia="Times New Roman" w:hAnsiTheme="majorHAnsi" w:cstheme="majorHAnsi"/>
          <w:lang w:eastAsia="el-GR"/>
        </w:rPr>
        <w:t>К</w:t>
      </w:r>
      <w:r w:rsidR="00BC400A" w:rsidRPr="00FF386D">
        <w:rPr>
          <w:rFonts w:asciiTheme="majorHAnsi" w:eastAsia="Times New Roman" w:hAnsiTheme="majorHAnsi" w:cstheme="majorHAnsi"/>
          <w:lang w:eastAsia="el-GR"/>
        </w:rPr>
        <w:t>лиматског партнерства је да подржи процес декарбонизације кроз већу интеграцију обновљивих извора и промо</w:t>
      </w:r>
      <w:r w:rsidR="00B97747">
        <w:rPr>
          <w:rFonts w:asciiTheme="majorHAnsi" w:eastAsia="Times New Roman" w:hAnsiTheme="majorHAnsi" w:cstheme="majorHAnsi"/>
          <w:lang w:eastAsia="el-GR"/>
        </w:rPr>
        <w:t>висање</w:t>
      </w:r>
      <w:r w:rsidR="00BC400A" w:rsidRPr="00FF386D">
        <w:rPr>
          <w:rFonts w:asciiTheme="majorHAnsi" w:eastAsia="Times New Roman" w:hAnsiTheme="majorHAnsi" w:cstheme="majorHAnsi"/>
          <w:lang w:eastAsia="el-GR"/>
        </w:rPr>
        <w:t xml:space="preserve"> енергетске ефикасности, као и праведну зелену транзицију.</w:t>
      </w:r>
      <w:r w:rsidR="00317429" w:rsidRPr="00FF386D">
        <w:rPr>
          <w:rFonts w:asciiTheme="majorHAnsi" w:eastAsia="Times New Roman" w:hAnsiTheme="majorHAnsi" w:cstheme="majorHAnsi"/>
          <w:lang w:eastAsia="el-GR"/>
        </w:rPr>
        <w:t xml:space="preserve"> Основана је и радна група са циљем </w:t>
      </w:r>
      <w:r w:rsidR="00B97747">
        <w:rPr>
          <w:rFonts w:asciiTheme="majorHAnsi" w:eastAsia="Times New Roman" w:hAnsiTheme="majorHAnsi" w:cstheme="majorHAnsi"/>
          <w:lang w:eastAsia="el-GR"/>
        </w:rPr>
        <w:t xml:space="preserve">да се </w:t>
      </w:r>
      <w:r w:rsidR="00317429" w:rsidRPr="00FF386D">
        <w:rPr>
          <w:rFonts w:asciiTheme="majorHAnsi" w:eastAsia="Times New Roman" w:hAnsiTheme="majorHAnsi" w:cstheme="majorHAnsi"/>
          <w:lang w:eastAsia="el-GR"/>
        </w:rPr>
        <w:t>пруж</w:t>
      </w:r>
      <w:r w:rsidR="00E1638D">
        <w:rPr>
          <w:rFonts w:asciiTheme="majorHAnsi" w:eastAsia="Times New Roman" w:hAnsiTheme="majorHAnsi" w:cstheme="majorHAnsi"/>
          <w:lang w:eastAsia="el-GR"/>
        </w:rPr>
        <w:t>и</w:t>
      </w:r>
      <w:r w:rsidR="00317429" w:rsidRPr="00FF386D">
        <w:rPr>
          <w:rFonts w:asciiTheme="majorHAnsi" w:eastAsia="Times New Roman" w:hAnsiTheme="majorHAnsi" w:cstheme="majorHAnsi"/>
          <w:lang w:eastAsia="el-GR"/>
        </w:rPr>
        <w:t xml:space="preserve"> подршк</w:t>
      </w:r>
      <w:r w:rsidR="00B97747">
        <w:rPr>
          <w:rFonts w:asciiTheme="majorHAnsi" w:eastAsia="Times New Roman" w:hAnsiTheme="majorHAnsi" w:cstheme="majorHAnsi"/>
          <w:lang w:eastAsia="el-GR"/>
        </w:rPr>
        <w:t>а</w:t>
      </w:r>
      <w:r w:rsidR="00317429" w:rsidRPr="00FF386D">
        <w:rPr>
          <w:rFonts w:asciiTheme="majorHAnsi" w:eastAsia="Times New Roman" w:hAnsiTheme="majorHAnsi" w:cstheme="majorHAnsi"/>
          <w:lang w:eastAsia="el-GR"/>
        </w:rPr>
        <w:t xml:space="preserve"> имплементацији Климатског партнерства, </w:t>
      </w:r>
      <w:r w:rsidR="00B97747">
        <w:rPr>
          <w:rFonts w:asciiTheme="majorHAnsi" w:eastAsia="Times New Roman" w:hAnsiTheme="majorHAnsi" w:cstheme="majorHAnsi"/>
          <w:lang w:eastAsia="el-GR"/>
        </w:rPr>
        <w:t>путем</w:t>
      </w:r>
      <w:r w:rsidR="00317429" w:rsidRPr="00FF386D">
        <w:rPr>
          <w:rFonts w:asciiTheme="majorHAnsi" w:eastAsia="Times New Roman" w:hAnsiTheme="majorHAnsi" w:cstheme="majorHAnsi"/>
          <w:lang w:eastAsia="el-GR"/>
        </w:rPr>
        <w:t xml:space="preserve"> појачан</w:t>
      </w:r>
      <w:r w:rsidR="00B97747">
        <w:rPr>
          <w:rFonts w:asciiTheme="majorHAnsi" w:eastAsia="Times New Roman" w:hAnsiTheme="majorHAnsi" w:cstheme="majorHAnsi"/>
          <w:lang w:eastAsia="el-GR"/>
        </w:rPr>
        <w:t>е</w:t>
      </w:r>
      <w:r w:rsidR="00317429" w:rsidRPr="00FF386D">
        <w:rPr>
          <w:rFonts w:asciiTheme="majorHAnsi" w:eastAsia="Times New Roman" w:hAnsiTheme="majorHAnsi" w:cstheme="majorHAnsi"/>
          <w:lang w:eastAsia="el-GR"/>
        </w:rPr>
        <w:t xml:space="preserve"> координациј</w:t>
      </w:r>
      <w:r w:rsidR="00B97747">
        <w:rPr>
          <w:rFonts w:asciiTheme="majorHAnsi" w:eastAsia="Times New Roman" w:hAnsiTheme="majorHAnsi" w:cstheme="majorHAnsi"/>
          <w:lang w:eastAsia="el-GR"/>
        </w:rPr>
        <w:t>е</w:t>
      </w:r>
      <w:r w:rsidR="00317429" w:rsidRPr="00FF386D">
        <w:rPr>
          <w:rFonts w:asciiTheme="majorHAnsi" w:eastAsia="Times New Roman" w:hAnsiTheme="majorHAnsi" w:cstheme="majorHAnsi"/>
          <w:lang w:eastAsia="el-GR"/>
        </w:rPr>
        <w:t xml:space="preserve"> финансијске и техничке подршке развојној сарадњи.</w:t>
      </w:r>
    </w:p>
    <w:p w14:paraId="7F08C87A" w14:textId="77777777" w:rsidR="00EB3C75" w:rsidRPr="00FF386D" w:rsidRDefault="00EB3C75" w:rsidP="00EB3C75">
      <w:pPr>
        <w:spacing w:before="120" w:after="120" w:line="240" w:lineRule="auto"/>
        <w:jc w:val="both"/>
        <w:rPr>
          <w:rFonts w:asciiTheme="majorHAnsi" w:eastAsia="Times New Roman" w:hAnsiTheme="majorHAnsi" w:cstheme="majorHAnsi"/>
          <w:b/>
          <w:bCs/>
          <w:lang w:eastAsia="el-GR"/>
        </w:rPr>
      </w:pPr>
      <w:r w:rsidRPr="00FF386D">
        <w:rPr>
          <w:rFonts w:asciiTheme="majorHAnsi" w:eastAsia="Times New Roman" w:hAnsiTheme="majorHAnsi" w:cstheme="majorHAnsi"/>
          <w:b/>
          <w:bCs/>
          <w:lang w:eastAsia="el-GR"/>
        </w:rPr>
        <w:t>Декарбонизација–ОИЕ</w:t>
      </w:r>
    </w:p>
    <w:p w14:paraId="0EFFECDB" w14:textId="13AEE90F"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Република Србија је израдила свој први </w:t>
      </w:r>
      <w:r w:rsidRPr="00FF386D">
        <w:rPr>
          <w:rFonts w:asciiTheme="majorHAnsi" w:eastAsia="Times New Roman" w:hAnsiTheme="majorHAnsi" w:cstheme="majorHAnsi"/>
          <w:b/>
          <w:bCs/>
          <w:lang w:eastAsia="el-GR"/>
        </w:rPr>
        <w:t xml:space="preserve">Национални акциони план за обновљиве изворе енергије (НАПОИЕ) </w:t>
      </w:r>
      <w:r w:rsidRPr="00FF386D">
        <w:rPr>
          <w:rFonts w:asciiTheme="majorHAnsi" w:eastAsia="Times New Roman" w:hAnsiTheme="majorHAnsi" w:cstheme="majorHAnsi"/>
          <w:lang w:eastAsia="el-GR"/>
        </w:rPr>
        <w:t xml:space="preserve">2013. године, у складу са чланом 4. Директиве 2009/28/ЕЗ која прописује доношење НАПОИЕ-а, којим се утврђују национални циљеви земље за удео </w:t>
      </w:r>
      <w:r w:rsidR="00EC7EA1" w:rsidRPr="00FF386D">
        <w:rPr>
          <w:rFonts w:asciiTheme="majorHAnsi" w:eastAsia="Times New Roman" w:hAnsiTheme="majorHAnsi" w:cstheme="majorHAnsi"/>
          <w:lang w:eastAsia="el-GR"/>
        </w:rPr>
        <w:t xml:space="preserve">потрошње </w:t>
      </w:r>
      <w:r w:rsidRPr="00FF386D">
        <w:rPr>
          <w:rFonts w:asciiTheme="majorHAnsi" w:eastAsia="Times New Roman" w:hAnsiTheme="majorHAnsi" w:cstheme="majorHAnsi"/>
          <w:lang w:eastAsia="el-GR"/>
        </w:rPr>
        <w:t xml:space="preserve">енергије из обновљивих извора у саобраћају, електричној енергији и грејању и хлађењу у 2020. години и наводе одговарајуће мере које треба предузети за постизање ових општих националних циљева. Република Србија је израдила </w:t>
      </w:r>
      <w:r w:rsidRPr="00FF386D">
        <w:rPr>
          <w:rFonts w:asciiTheme="majorHAnsi" w:eastAsia="Times New Roman" w:hAnsiTheme="majorHAnsi" w:cstheme="majorHAnsi"/>
          <w:b/>
          <w:bCs/>
          <w:lang w:eastAsia="el-GR"/>
        </w:rPr>
        <w:t xml:space="preserve">Први извештај о напретку у промоцији и коришћењу енергије из обновљивих извора енергије (Извештај о напретку) </w:t>
      </w:r>
      <w:r w:rsidRPr="00FF386D">
        <w:rPr>
          <w:rFonts w:asciiTheme="majorHAnsi" w:eastAsia="Times New Roman" w:hAnsiTheme="majorHAnsi" w:cstheme="majorHAnsi"/>
          <w:lang w:eastAsia="el-GR"/>
        </w:rPr>
        <w:t xml:space="preserve">2014. године, </w:t>
      </w:r>
      <w:r w:rsidRPr="00FF386D">
        <w:rPr>
          <w:rFonts w:asciiTheme="majorHAnsi" w:eastAsia="Times New Roman" w:hAnsiTheme="majorHAnsi" w:cstheme="majorHAnsi"/>
          <w:b/>
          <w:bCs/>
          <w:lang w:eastAsia="el-GR"/>
        </w:rPr>
        <w:t>Други извештај о напретку</w:t>
      </w:r>
      <w:r w:rsidRPr="00FF386D">
        <w:rPr>
          <w:rFonts w:asciiTheme="majorHAnsi" w:eastAsia="Times New Roman" w:hAnsiTheme="majorHAnsi" w:cstheme="majorHAnsi"/>
          <w:lang w:eastAsia="el-GR"/>
        </w:rPr>
        <w:t xml:space="preserve"> 2016. године, </w:t>
      </w:r>
      <w:r w:rsidRPr="00FF386D">
        <w:rPr>
          <w:rFonts w:asciiTheme="majorHAnsi" w:eastAsia="Times New Roman" w:hAnsiTheme="majorHAnsi" w:cstheme="majorHAnsi"/>
          <w:b/>
          <w:bCs/>
          <w:lang w:eastAsia="el-GR"/>
        </w:rPr>
        <w:t>Трећи извештај о напретку</w:t>
      </w:r>
      <w:r w:rsidRPr="00FF386D">
        <w:rPr>
          <w:rFonts w:asciiTheme="majorHAnsi" w:eastAsia="Times New Roman" w:hAnsiTheme="majorHAnsi" w:cstheme="majorHAnsi"/>
          <w:lang w:eastAsia="el-GR"/>
        </w:rPr>
        <w:t xml:space="preserve"> 2018. године и </w:t>
      </w:r>
      <w:r w:rsidRPr="00FF386D">
        <w:rPr>
          <w:rFonts w:asciiTheme="majorHAnsi" w:eastAsia="Times New Roman" w:hAnsiTheme="majorHAnsi" w:cstheme="majorHAnsi"/>
          <w:b/>
          <w:bCs/>
          <w:lang w:eastAsia="el-GR"/>
        </w:rPr>
        <w:t>Четврти извештај о напретку</w:t>
      </w:r>
      <w:r w:rsidRPr="00FF386D">
        <w:rPr>
          <w:rFonts w:asciiTheme="majorHAnsi" w:eastAsia="Times New Roman" w:hAnsiTheme="majorHAnsi" w:cstheme="majorHAnsi"/>
          <w:lang w:eastAsia="el-GR"/>
        </w:rPr>
        <w:t xml:space="preserve"> 2020. године, у складу са захтевима члана 22. Директиве 2009/28/ЕЗ о обавези извештавања о обновљивој енергији. Удео ОИЕ у бруто финалној потрошњи енергије (БФПЕ) износио </w:t>
      </w:r>
      <w:r w:rsidR="005F7BE4" w:rsidRPr="00FF386D">
        <w:rPr>
          <w:rFonts w:asciiTheme="majorHAnsi" w:eastAsia="Times New Roman" w:hAnsiTheme="majorHAnsi" w:cstheme="majorHAnsi"/>
          <w:lang w:eastAsia="el-GR"/>
        </w:rPr>
        <w:t xml:space="preserve">је </w:t>
      </w:r>
      <w:r w:rsidRPr="00FF386D">
        <w:rPr>
          <w:rFonts w:asciiTheme="majorHAnsi" w:eastAsia="Times New Roman" w:hAnsiTheme="majorHAnsi" w:cstheme="majorHAnsi"/>
          <w:lang w:eastAsia="el-GR"/>
        </w:rPr>
        <w:t>21,44% у 2019. години у поређењу са задатим циљем од 27% за 2020.</w:t>
      </w:r>
    </w:p>
    <w:p w14:paraId="07E0CF30" w14:textId="086DA3E2" w:rsidR="00EB3C75" w:rsidRPr="00FF386D" w:rsidRDefault="00EB3C75" w:rsidP="000A2AFE">
      <w:pPr>
        <w:spacing w:line="240" w:lineRule="auto"/>
        <w:jc w:val="both"/>
        <w:rPr>
          <w:rFonts w:asciiTheme="majorHAnsi" w:hAnsiTheme="majorHAnsi" w:cstheme="majorHAnsi"/>
        </w:rPr>
      </w:pPr>
      <w:r w:rsidRPr="00FF386D">
        <w:rPr>
          <w:rFonts w:asciiTheme="majorHAnsi" w:hAnsiTheme="majorHAnsi" w:cstheme="majorHAnsi"/>
        </w:rPr>
        <w:t xml:space="preserve">Доношење </w:t>
      </w:r>
      <w:r w:rsidRPr="000A2AFE">
        <w:rPr>
          <w:rFonts w:asciiTheme="majorHAnsi" w:hAnsiTheme="majorHAnsi" w:cstheme="majorHAnsi"/>
          <w:b/>
          <w:bCs/>
        </w:rPr>
        <w:t>Закона о енергетици</w:t>
      </w:r>
      <w:r w:rsidR="006C6C41" w:rsidRPr="000A2AFE">
        <w:rPr>
          <w:rStyle w:val="FootnoteReference"/>
          <w:rFonts w:asciiTheme="majorHAnsi" w:hAnsiTheme="majorHAnsi" w:cstheme="majorHAnsi"/>
          <w:lang w:val="sr-Cyrl-RS"/>
        </w:rPr>
        <w:footnoteReference w:id="21"/>
      </w:r>
      <w:r w:rsidRPr="00FF386D">
        <w:rPr>
          <w:rFonts w:asciiTheme="majorHAnsi" w:hAnsiTheme="majorHAnsi" w:cstheme="majorHAnsi"/>
        </w:rPr>
        <w:t xml:space="preserve"> 2014. године имало је за циљ усклађивање енергетског законодавства Републике Србије са Трећим енергетским пакетом. Република Србија је 2016. године усвојила пакет подзаконских аката којима се </w:t>
      </w:r>
      <w:r w:rsidR="00B616D0" w:rsidRPr="00FF386D">
        <w:rPr>
          <w:rFonts w:asciiTheme="majorHAnsi" w:hAnsiTheme="majorHAnsi" w:cstheme="majorHAnsi"/>
        </w:rPr>
        <w:t xml:space="preserve">регулише </w:t>
      </w:r>
      <w:r w:rsidR="00EC7EA1" w:rsidRPr="00FF386D">
        <w:rPr>
          <w:rFonts w:asciiTheme="majorHAnsi" w:hAnsiTheme="majorHAnsi" w:cstheme="majorHAnsi"/>
        </w:rPr>
        <w:t xml:space="preserve">област </w:t>
      </w:r>
      <w:r w:rsidRPr="00FF386D">
        <w:rPr>
          <w:rFonts w:asciiTheme="majorHAnsi" w:hAnsiTheme="majorHAnsi" w:cstheme="majorHAnsi"/>
        </w:rPr>
        <w:t>обновљиви</w:t>
      </w:r>
      <w:r w:rsidR="00EC7EA1" w:rsidRPr="00FF386D">
        <w:rPr>
          <w:rFonts w:asciiTheme="majorHAnsi" w:hAnsiTheme="majorHAnsi" w:cstheme="majorHAnsi"/>
        </w:rPr>
        <w:t>х</w:t>
      </w:r>
      <w:r w:rsidRPr="00FF386D">
        <w:rPr>
          <w:rFonts w:asciiTheme="majorHAnsi" w:hAnsiTheme="majorHAnsi" w:cstheme="majorHAnsi"/>
        </w:rPr>
        <w:t xml:space="preserve"> извор</w:t>
      </w:r>
      <w:r w:rsidR="00EC7EA1" w:rsidRPr="00FF386D">
        <w:rPr>
          <w:rFonts w:asciiTheme="majorHAnsi" w:hAnsiTheme="majorHAnsi" w:cstheme="majorHAnsi"/>
        </w:rPr>
        <w:t>а</w:t>
      </w:r>
      <w:r w:rsidRPr="00FF386D">
        <w:rPr>
          <w:rFonts w:asciiTheme="majorHAnsi" w:hAnsiTheme="majorHAnsi" w:cstheme="majorHAnsi"/>
        </w:rPr>
        <w:t xml:space="preserve"> енергије и утврђује шема подршке за обновљиве изворе енергије. Доношење неопходних подзаконских аката како би се омогућила потпуна примена подстицајних мера за пројекте обновљивих извора енергије обухватило је</w:t>
      </w:r>
      <w:r w:rsidRPr="00FF386D">
        <w:rPr>
          <w:rFonts w:asciiTheme="majorHAnsi" w:hAnsiTheme="majorHAnsi" w:cstheme="majorHAnsi"/>
          <w:b/>
          <w:bCs/>
        </w:rPr>
        <w:t xml:space="preserve"> Уредбу о условима и поступку стицања статуса п</w:t>
      </w:r>
      <w:r w:rsidR="007415DF" w:rsidRPr="00FF386D">
        <w:rPr>
          <w:rFonts w:asciiTheme="majorHAnsi" w:hAnsiTheme="majorHAnsi" w:cstheme="majorHAnsi"/>
          <w:b/>
          <w:bCs/>
        </w:rPr>
        <w:t>овлашћеног</w:t>
      </w:r>
      <w:r w:rsidRPr="00FF386D">
        <w:rPr>
          <w:rFonts w:asciiTheme="majorHAnsi" w:hAnsiTheme="majorHAnsi" w:cstheme="majorHAnsi"/>
          <w:b/>
          <w:bCs/>
        </w:rPr>
        <w:t xml:space="preserve"> произвођача електричне енергије, привременог п</w:t>
      </w:r>
      <w:r w:rsidR="007415DF" w:rsidRPr="00FF386D">
        <w:rPr>
          <w:rFonts w:asciiTheme="majorHAnsi" w:hAnsiTheme="majorHAnsi" w:cstheme="majorHAnsi"/>
          <w:b/>
          <w:bCs/>
        </w:rPr>
        <w:t xml:space="preserve">овлашћеног </w:t>
      </w:r>
      <w:r w:rsidRPr="00FF386D">
        <w:rPr>
          <w:rFonts w:asciiTheme="majorHAnsi" w:hAnsiTheme="majorHAnsi" w:cstheme="majorHAnsi"/>
          <w:b/>
          <w:bCs/>
        </w:rPr>
        <w:t>произвођача електричне енергије и произвођача енергије из обновљивих извора енергије</w:t>
      </w:r>
      <w:r w:rsidRPr="00FF386D">
        <w:rPr>
          <w:rFonts w:asciiTheme="majorHAnsi" w:hAnsiTheme="majorHAnsi" w:cstheme="majorHAnsi"/>
          <w:b/>
          <w:bCs/>
          <w:vertAlign w:val="superscript"/>
        </w:rPr>
        <w:footnoteReference w:id="22"/>
      </w:r>
      <w:r w:rsidRPr="00FF386D">
        <w:rPr>
          <w:rFonts w:asciiTheme="majorHAnsi" w:hAnsiTheme="majorHAnsi" w:cstheme="majorHAnsi"/>
        </w:rPr>
        <w:t xml:space="preserve">, </w:t>
      </w:r>
      <w:r w:rsidRPr="00FF386D">
        <w:rPr>
          <w:rFonts w:asciiTheme="majorHAnsi" w:hAnsiTheme="majorHAnsi" w:cstheme="majorHAnsi"/>
          <w:b/>
          <w:bCs/>
        </w:rPr>
        <w:t xml:space="preserve">Уредбу о подстицајним мерама за производњу електричне енергије из обновљивих извора и из високоефикасне комбиноване производње електричне </w:t>
      </w:r>
      <w:r w:rsidR="004D672C" w:rsidRPr="00FF386D">
        <w:rPr>
          <w:rFonts w:asciiTheme="majorHAnsi" w:hAnsiTheme="majorHAnsi" w:cstheme="majorHAnsi"/>
          <w:b/>
          <w:bCs/>
        </w:rPr>
        <w:t xml:space="preserve">и топлотне </w:t>
      </w:r>
      <w:r w:rsidRPr="00FF386D">
        <w:rPr>
          <w:rFonts w:asciiTheme="majorHAnsi" w:hAnsiTheme="majorHAnsi" w:cstheme="majorHAnsi"/>
          <w:b/>
          <w:bCs/>
        </w:rPr>
        <w:t>енергије</w:t>
      </w:r>
      <w:r w:rsidRPr="00FF386D">
        <w:rPr>
          <w:rFonts w:asciiTheme="majorHAnsi" w:hAnsiTheme="majorHAnsi" w:cstheme="majorHAnsi"/>
          <w:b/>
          <w:bCs/>
          <w:vertAlign w:val="superscript"/>
        </w:rPr>
        <w:footnoteReference w:id="23"/>
      </w:r>
      <w:r w:rsidRPr="00FF386D">
        <w:rPr>
          <w:rFonts w:asciiTheme="majorHAnsi" w:hAnsiTheme="majorHAnsi" w:cstheme="majorHAnsi"/>
        </w:rPr>
        <w:t>и</w:t>
      </w:r>
      <w:r w:rsidR="0083294F" w:rsidRPr="00FF386D">
        <w:t xml:space="preserve"> </w:t>
      </w:r>
      <w:r w:rsidR="0083294F" w:rsidRPr="00FF386D">
        <w:rPr>
          <w:rFonts w:asciiTheme="majorHAnsi" w:hAnsiTheme="majorHAnsi" w:cstheme="majorHAnsi"/>
          <w:b/>
          <w:bCs/>
        </w:rPr>
        <w:t>Уредбу о Уговору о откупу електричне енергије</w:t>
      </w:r>
      <w:r w:rsidRPr="00FF386D">
        <w:rPr>
          <w:rFonts w:asciiTheme="majorHAnsi" w:hAnsiTheme="majorHAnsi" w:cstheme="majorHAnsi"/>
          <w:b/>
          <w:bCs/>
          <w:vertAlign w:val="superscript"/>
        </w:rPr>
        <w:footnoteReference w:id="24"/>
      </w:r>
      <w:r w:rsidR="0083294F" w:rsidRPr="00FF386D">
        <w:rPr>
          <w:rFonts w:asciiTheme="majorHAnsi" w:hAnsiTheme="majorHAnsi" w:cstheme="majorHAnsi"/>
          <w:b/>
          <w:bCs/>
        </w:rPr>
        <w:t xml:space="preserve"> </w:t>
      </w:r>
      <w:r w:rsidRPr="00FF386D">
        <w:rPr>
          <w:rFonts w:asciiTheme="majorHAnsi" w:hAnsiTheme="majorHAnsi" w:cstheme="majorHAnsi"/>
        </w:rPr>
        <w:t xml:space="preserve">и </w:t>
      </w:r>
      <w:r w:rsidR="0083294F" w:rsidRPr="00FF386D">
        <w:rPr>
          <w:rFonts w:asciiTheme="majorHAnsi" w:hAnsiTheme="majorHAnsi" w:cstheme="majorHAnsi"/>
        </w:rPr>
        <w:t>Уредбу о накнади за подстицај повлашћених произвођача електричне енергије</w:t>
      </w:r>
      <w:r w:rsidRPr="00FF386D">
        <w:rPr>
          <w:rFonts w:asciiTheme="majorHAnsi" w:hAnsiTheme="majorHAnsi" w:cstheme="majorHAnsi"/>
          <w:vertAlign w:val="superscript"/>
        </w:rPr>
        <w:footnoteReference w:id="25"/>
      </w:r>
      <w:r w:rsidRPr="00FF386D">
        <w:rPr>
          <w:rFonts w:asciiTheme="majorHAnsi" w:hAnsiTheme="majorHAnsi" w:cstheme="majorHAnsi"/>
        </w:rPr>
        <w:t xml:space="preserve">. Овај скуп прописа, познат као пакет Уговора о откупу електричне енергије подстакао </w:t>
      </w:r>
      <w:r w:rsidR="005F7BE4" w:rsidRPr="00FF386D">
        <w:rPr>
          <w:rFonts w:asciiTheme="majorHAnsi" w:hAnsiTheme="majorHAnsi" w:cstheme="majorHAnsi"/>
        </w:rPr>
        <w:t xml:space="preserve">је </w:t>
      </w:r>
      <w:r w:rsidRPr="00FF386D">
        <w:rPr>
          <w:rFonts w:asciiTheme="majorHAnsi" w:hAnsiTheme="majorHAnsi" w:cstheme="majorHAnsi"/>
        </w:rPr>
        <w:t>даљи развој капацитета обновљиве енергије. У 2020. години, укупни капацитет обновљивих извора енергије достигао је 514,61 MW, од чега 398 MW представља капацитет ветра.</w:t>
      </w:r>
      <w:r w:rsidR="00B7420A" w:rsidRPr="00FF386D">
        <w:rPr>
          <w:rFonts w:asciiTheme="majorHAnsi" w:hAnsiTheme="majorHAnsi" w:cstheme="majorHAnsi"/>
        </w:rPr>
        <w:t xml:space="preserve"> Доношењем следећих подзаконских акта, заокружен је регулаторни оквир за спровођење подстицајних мера предвиђених Законом о коришћењу обновљивих извора енергије: </w:t>
      </w:r>
      <w:r w:rsidR="00B7420A" w:rsidRPr="000A2AFE">
        <w:rPr>
          <w:rFonts w:asciiTheme="majorHAnsi" w:hAnsiTheme="majorHAnsi" w:cstheme="majorHAnsi"/>
          <w:b/>
          <w:bCs/>
        </w:rPr>
        <w:t>Уредба о моделу уговора о тржишној премији</w:t>
      </w:r>
      <w:r w:rsidR="00B7420A" w:rsidRPr="000A2AFE">
        <w:rPr>
          <w:rStyle w:val="FootnoteReference"/>
          <w:rFonts w:asciiTheme="majorHAnsi" w:hAnsiTheme="majorHAnsi" w:cstheme="majorHAnsi"/>
          <w:b/>
          <w:bCs/>
          <w:lang w:val="sr-Cyrl-RS"/>
        </w:rPr>
        <w:footnoteReference w:id="26"/>
      </w:r>
      <w:r w:rsidR="00B7420A" w:rsidRPr="00FF386D">
        <w:rPr>
          <w:rFonts w:asciiTheme="majorHAnsi" w:hAnsiTheme="majorHAnsi" w:cstheme="majorHAnsi"/>
        </w:rPr>
        <w:t xml:space="preserve">, </w:t>
      </w:r>
      <w:r w:rsidR="00B7420A" w:rsidRPr="000A2AFE">
        <w:rPr>
          <w:rFonts w:asciiTheme="majorHAnsi" w:hAnsiTheme="majorHAnsi" w:cstheme="majorHAnsi"/>
          <w:b/>
          <w:bCs/>
        </w:rPr>
        <w:t>Уредба о тржишној премији и фид-ин тарифи</w:t>
      </w:r>
      <w:r w:rsidR="001927AB" w:rsidRPr="000A2AFE">
        <w:rPr>
          <w:rStyle w:val="FootnoteReference"/>
          <w:rFonts w:asciiTheme="majorHAnsi" w:hAnsiTheme="majorHAnsi" w:cstheme="majorHAnsi"/>
          <w:b/>
          <w:bCs/>
          <w:lang w:val="sr-Cyrl-RS"/>
        </w:rPr>
        <w:footnoteReference w:id="27"/>
      </w:r>
      <w:r w:rsidR="001927AB" w:rsidRPr="00FF386D">
        <w:rPr>
          <w:rFonts w:asciiTheme="majorHAnsi" w:hAnsiTheme="majorHAnsi" w:cstheme="majorHAnsi"/>
        </w:rPr>
        <w:t xml:space="preserve"> и</w:t>
      </w:r>
      <w:r w:rsidR="00B7420A" w:rsidRPr="00FF386D">
        <w:rPr>
          <w:rFonts w:asciiTheme="majorHAnsi" w:hAnsiTheme="majorHAnsi" w:cstheme="majorHAnsi"/>
        </w:rPr>
        <w:t xml:space="preserve"> </w:t>
      </w:r>
      <w:r w:rsidR="00B7420A" w:rsidRPr="000A2AFE">
        <w:rPr>
          <w:rFonts w:asciiTheme="majorHAnsi" w:hAnsiTheme="majorHAnsi" w:cstheme="majorHAnsi"/>
          <w:b/>
          <w:bCs/>
        </w:rPr>
        <w:t>Уредба о преузимању балансне одговорности и моделу уговора о преузимању балансне одговорности</w:t>
      </w:r>
      <w:r w:rsidR="001927AB" w:rsidRPr="000A2AFE">
        <w:rPr>
          <w:rStyle w:val="FootnoteReference"/>
          <w:rFonts w:asciiTheme="majorHAnsi" w:hAnsiTheme="majorHAnsi" w:cstheme="majorHAnsi"/>
          <w:b/>
          <w:bCs/>
          <w:lang w:val="sr-Cyrl-RS"/>
        </w:rPr>
        <w:footnoteReference w:id="28"/>
      </w:r>
      <w:r w:rsidR="00B7420A" w:rsidRPr="00FF386D">
        <w:rPr>
          <w:rFonts w:asciiTheme="majorHAnsi" w:hAnsiTheme="majorHAnsi" w:cstheme="majorHAnsi"/>
        </w:rPr>
        <w:t>.</w:t>
      </w:r>
    </w:p>
    <w:p w14:paraId="56791810" w14:textId="57A6EC17" w:rsidR="00EB3C75" w:rsidRPr="00FF386D" w:rsidRDefault="00EB3C75" w:rsidP="00EB3C75">
      <w:pPr>
        <w:spacing w:after="0" w:line="240" w:lineRule="auto"/>
        <w:jc w:val="both"/>
        <w:rPr>
          <w:rFonts w:asciiTheme="majorHAnsi" w:hAnsiTheme="majorHAnsi" w:cstheme="majorHAnsi"/>
        </w:rPr>
      </w:pPr>
      <w:r w:rsidRPr="00FF386D">
        <w:rPr>
          <w:rFonts w:asciiTheme="majorHAnsi" w:hAnsiTheme="majorHAnsi" w:cstheme="majorHAnsi"/>
        </w:rPr>
        <w:t xml:space="preserve">Уредба о подстицајним мерама за производњу електричне енергије из обновљивих извора енергије и високоефикасну комбиновану производњу топлотне и електричне енергије првобитно је важила до краја 2018. године, а њено трајање је продужено је до краја 2019. године. Након </w:t>
      </w:r>
      <w:r w:rsidR="00EC7EA1" w:rsidRPr="00FF386D">
        <w:rPr>
          <w:rFonts w:asciiTheme="majorHAnsi" w:hAnsiTheme="majorHAnsi" w:cstheme="majorHAnsi"/>
        </w:rPr>
        <w:t>престанка важења</w:t>
      </w:r>
      <w:r w:rsidRPr="00FF386D">
        <w:rPr>
          <w:rFonts w:asciiTheme="majorHAnsi" w:hAnsiTheme="majorHAnsi" w:cstheme="majorHAnsi"/>
        </w:rPr>
        <w:t xml:space="preserve"> уредбе 31. децембра 2019. године, подстицаји који су раније били на снази, засновани на фид-ин тарифама, више нису доступни произвођачима електричне енергије који су стекли статус повлашћеног произвођача електричне енергије. Ипак, систем фид-ин тарифа остаје </w:t>
      </w:r>
      <w:r w:rsidR="00EC7EA1" w:rsidRPr="00FF386D">
        <w:rPr>
          <w:rFonts w:asciiTheme="majorHAnsi" w:hAnsiTheme="majorHAnsi" w:cstheme="majorHAnsi"/>
        </w:rPr>
        <w:t>на снази</w:t>
      </w:r>
      <w:r w:rsidRPr="00FF386D">
        <w:rPr>
          <w:rFonts w:asciiTheme="majorHAnsi" w:hAnsiTheme="majorHAnsi" w:cstheme="majorHAnsi"/>
        </w:rPr>
        <w:t xml:space="preserve"> за произвођаче који </w:t>
      </w:r>
      <w:r w:rsidR="00EC7EA1" w:rsidRPr="00FF386D">
        <w:rPr>
          <w:rFonts w:asciiTheme="majorHAnsi" w:hAnsiTheme="majorHAnsi" w:cstheme="majorHAnsi"/>
        </w:rPr>
        <w:t>га већ примењују</w:t>
      </w:r>
      <w:r w:rsidRPr="00FF386D">
        <w:rPr>
          <w:rFonts w:asciiTheme="majorHAnsi" w:hAnsiTheme="majorHAnsi" w:cstheme="majorHAnsi"/>
        </w:rPr>
        <w:t>, док ће нов</w:t>
      </w:r>
      <w:r w:rsidR="00EC7EA1" w:rsidRPr="00FF386D">
        <w:rPr>
          <w:rFonts w:asciiTheme="majorHAnsi" w:hAnsiTheme="majorHAnsi" w:cstheme="majorHAnsi"/>
        </w:rPr>
        <w:t>и</w:t>
      </w:r>
      <w:r w:rsidRPr="00FF386D">
        <w:rPr>
          <w:rFonts w:asciiTheme="majorHAnsi" w:hAnsiTheme="majorHAnsi" w:cstheme="majorHAnsi"/>
        </w:rPr>
        <w:t xml:space="preserve"> учесни</w:t>
      </w:r>
      <w:r w:rsidR="00EC7EA1" w:rsidRPr="00FF386D">
        <w:rPr>
          <w:rFonts w:asciiTheme="majorHAnsi" w:hAnsiTheme="majorHAnsi" w:cstheme="majorHAnsi"/>
        </w:rPr>
        <w:t xml:space="preserve">ци моћи да користе </w:t>
      </w:r>
      <w:r w:rsidRPr="00FF386D">
        <w:rPr>
          <w:rFonts w:asciiTheme="majorHAnsi" w:hAnsiTheme="majorHAnsi" w:cstheme="majorHAnsi"/>
        </w:rPr>
        <w:t>фид-ин тарифе или тржишн</w:t>
      </w:r>
      <w:r w:rsidR="0075343C" w:rsidRPr="00FF386D">
        <w:rPr>
          <w:rFonts w:asciiTheme="majorHAnsi" w:hAnsiTheme="majorHAnsi" w:cstheme="majorHAnsi"/>
        </w:rPr>
        <w:t>е</w:t>
      </w:r>
      <w:r w:rsidRPr="00FF386D">
        <w:rPr>
          <w:rFonts w:asciiTheme="majorHAnsi" w:hAnsiTheme="majorHAnsi" w:cstheme="majorHAnsi"/>
        </w:rPr>
        <w:t xml:space="preserve"> премије, у зависности од инсталисаног капацитета. У складу са предлогом Секретаријата Енергетске заједнице, Влада Републике Србије одлучила је да започне развој модела подстицаја заснованог на </w:t>
      </w:r>
      <w:r w:rsidR="00D12963" w:rsidRPr="00FF386D">
        <w:rPr>
          <w:rFonts w:asciiTheme="majorHAnsi" w:hAnsiTheme="majorHAnsi" w:cstheme="majorHAnsi"/>
        </w:rPr>
        <w:t>поступку</w:t>
      </w:r>
      <w:r w:rsidRPr="00FF386D">
        <w:rPr>
          <w:rFonts w:asciiTheme="majorHAnsi" w:hAnsiTheme="majorHAnsi" w:cstheme="majorHAnsi"/>
        </w:rPr>
        <w:t xml:space="preserve"> </w:t>
      </w:r>
      <w:r w:rsidRPr="00FF386D">
        <w:rPr>
          <w:rFonts w:asciiTheme="majorHAnsi" w:hAnsiTheme="majorHAnsi" w:cstheme="majorHAnsi"/>
        </w:rPr>
        <w:lastRenderedPageBreak/>
        <w:t>аукције</w:t>
      </w:r>
      <w:r w:rsidR="00D12963" w:rsidRPr="00FF386D">
        <w:rPr>
          <w:rFonts w:asciiTheme="majorHAnsi" w:hAnsiTheme="majorHAnsi" w:cstheme="majorHAnsi"/>
        </w:rPr>
        <w:t>, који је коначно дефинисан у Закон</w:t>
      </w:r>
      <w:r w:rsidR="00477920" w:rsidRPr="00FF386D">
        <w:rPr>
          <w:rFonts w:asciiTheme="majorHAnsi" w:hAnsiTheme="majorHAnsi" w:cstheme="majorHAnsi"/>
        </w:rPr>
        <w:t>у</w:t>
      </w:r>
      <w:r w:rsidR="00D12963" w:rsidRPr="00FF386D">
        <w:rPr>
          <w:rFonts w:asciiTheme="majorHAnsi" w:hAnsiTheme="majorHAnsi" w:cstheme="majorHAnsi"/>
        </w:rPr>
        <w:t xml:space="preserve"> о коришћењу обновљивих извора енергије</w:t>
      </w:r>
      <w:r w:rsidR="00D12963" w:rsidRPr="00FF386D">
        <w:rPr>
          <w:rStyle w:val="FootnoteReference"/>
          <w:rFonts w:asciiTheme="majorHAnsi" w:hAnsiTheme="majorHAnsi" w:cstheme="majorHAnsi"/>
          <w:lang w:val="sr-Cyrl-RS"/>
        </w:rPr>
        <w:footnoteReference w:id="29"/>
      </w:r>
      <w:r w:rsidR="00D12963" w:rsidRPr="00FF386D">
        <w:rPr>
          <w:rFonts w:asciiTheme="majorHAnsi" w:hAnsiTheme="majorHAnsi" w:cstheme="majorHAnsi"/>
        </w:rPr>
        <w:t xml:space="preserve"> донетом у априлу 2021. године и Закону о изменама и допунама Закона о коришћењу обновљивих извора енергије.</w:t>
      </w:r>
      <w:r w:rsidR="00D12963" w:rsidRPr="00FF386D">
        <w:rPr>
          <w:rStyle w:val="FootnoteReference"/>
          <w:rFonts w:asciiTheme="majorHAnsi" w:hAnsiTheme="majorHAnsi" w:cstheme="majorHAnsi"/>
          <w:lang w:val="sr-Cyrl-RS"/>
        </w:rPr>
        <w:footnoteReference w:id="30"/>
      </w:r>
    </w:p>
    <w:p w14:paraId="7E9CFD6B" w14:textId="7134BBE9"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У априлу 2021, Република Србија је први пут усвојила </w:t>
      </w:r>
      <w:r w:rsidRPr="00FF386D">
        <w:rPr>
          <w:rFonts w:asciiTheme="majorHAnsi" w:eastAsia="Times New Roman" w:hAnsiTheme="majorHAnsi" w:cstheme="majorHAnsi"/>
          <w:b/>
          <w:bCs/>
          <w:lang w:eastAsia="el-GR"/>
        </w:rPr>
        <w:t>Закон о коришћењу обновљивих извора енергије</w:t>
      </w:r>
      <w:r w:rsidRPr="00FF386D">
        <w:rPr>
          <w:rFonts w:asciiTheme="majorHAnsi" w:eastAsia="Times New Roman" w:hAnsiTheme="majorHAnsi" w:cstheme="majorHAnsi"/>
          <w:b/>
          <w:bCs/>
          <w:vertAlign w:val="superscript"/>
          <w:lang w:eastAsia="el-GR"/>
        </w:rPr>
        <w:footnoteReference w:id="31"/>
      </w:r>
      <w:r w:rsidRPr="00FF386D">
        <w:rPr>
          <w:rFonts w:asciiTheme="majorHAnsi" w:eastAsia="Times New Roman" w:hAnsiTheme="majorHAnsi" w:cstheme="majorHAnsi"/>
          <w:lang w:eastAsia="el-GR"/>
        </w:rPr>
        <w:t xml:space="preserve">. Упоредо с тим је усвојен </w:t>
      </w:r>
      <w:r w:rsidRPr="00FF386D">
        <w:rPr>
          <w:rFonts w:asciiTheme="majorHAnsi" w:eastAsia="Times New Roman" w:hAnsiTheme="majorHAnsi" w:cstheme="majorHAnsi"/>
          <w:b/>
          <w:bCs/>
          <w:lang w:eastAsia="el-GR"/>
        </w:rPr>
        <w:t>Закон о изменама и допунама Закона о енергетици</w:t>
      </w:r>
      <w:r w:rsidRPr="00FF386D">
        <w:rPr>
          <w:rFonts w:asciiTheme="majorHAnsi" w:eastAsia="Times New Roman" w:hAnsiTheme="majorHAnsi" w:cstheme="majorHAnsi"/>
          <w:b/>
          <w:bCs/>
          <w:vertAlign w:val="superscript"/>
          <w:lang w:eastAsia="el-GR"/>
        </w:rPr>
        <w:footnoteReference w:id="32"/>
      </w:r>
      <w:r w:rsidR="004334A9" w:rsidRPr="00FF386D">
        <w:rPr>
          <w:rFonts w:asciiTheme="majorHAnsi" w:eastAsia="Times New Roman" w:hAnsiTheme="majorHAnsi" w:cstheme="majorHAnsi"/>
          <w:b/>
          <w:bCs/>
          <w:lang w:eastAsia="el-GR"/>
        </w:rPr>
        <w:t>.</w:t>
      </w:r>
    </w:p>
    <w:p w14:paraId="67B2E961" w14:textId="724EB1F2"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Закон о коришћењу обновљивих извора енергије (у даљем тексту: Закон о ОИЕ) предвиђа развој новог система подстицаја за производњу електричне енергије из ОИЕ у облику тржишних премија, али истовремено омогућава другу шему подстицаја у облику ограничене фид-ин тарифе, кроз посебне квоте и аукције (право на обе врсте подстицаја се стиче у поступку аукције). Тако је успостављен много повољнији регулаторни оквир који ствара погодно окружење за улагања у постројења за производњу електричне енергије из ОИЕ различитих капацитета, док су </w:t>
      </w:r>
      <w:r w:rsidR="00477920" w:rsidRPr="00FF386D">
        <w:rPr>
          <w:rFonts w:asciiTheme="majorHAnsi" w:eastAsia="Times New Roman" w:hAnsiTheme="majorHAnsi" w:cstheme="majorHAnsi"/>
          <w:lang w:eastAsia="el-GR"/>
        </w:rPr>
        <w:t>подстицаји</w:t>
      </w:r>
      <w:r w:rsidRPr="00FF386D">
        <w:rPr>
          <w:rFonts w:asciiTheme="majorHAnsi" w:eastAsia="Times New Roman" w:hAnsiTheme="majorHAnsi" w:cstheme="majorHAnsi"/>
          <w:lang w:eastAsia="el-GR"/>
        </w:rPr>
        <w:t xml:space="preserve"> за улагања у мале капацитете још увек предвиђени кроз спровођење механизма фид-ин тарифа (пројекти са инсталисаним капацитетима испод 3 MW соларних</w:t>
      </w:r>
      <w:r w:rsidR="003B7FAF" w:rsidRPr="00FF386D">
        <w:rPr>
          <w:rFonts w:asciiTheme="majorHAnsi" w:eastAsia="Times New Roman" w:hAnsiTheme="majorHAnsi" w:cstheme="majorHAnsi"/>
          <w:lang w:eastAsia="el-GR"/>
        </w:rPr>
        <w:t xml:space="preserve"> електрана </w:t>
      </w:r>
      <w:r w:rsidRPr="00FF386D">
        <w:rPr>
          <w:rFonts w:asciiTheme="majorHAnsi" w:eastAsia="Times New Roman" w:hAnsiTheme="majorHAnsi" w:cstheme="majorHAnsi"/>
          <w:lang w:eastAsia="el-GR"/>
        </w:rPr>
        <w:t>и ветроелектрана и испод 0,5 MW електрана које користе друге ОИЕ). Напослетку, Закон о ОИЕ је покренуо додатне могућности за веће учешће ОИЕ на тржишту, као што је омогућавање оснивања заједница ОИЕ и пружање могућности за стицање статуса купца-произвођача.</w:t>
      </w:r>
    </w:p>
    <w:p w14:paraId="55B023A6" w14:textId="0F81479F"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Закон о ОИЕ дефинише биогорива као течна или гасовита горива за саобраћај, произведена из биомасе, док се биомаса дефинише као биоразградиви део производа, отпада или остатака биолошког порекла из пољопривреде (укључујући биљне и животињске материје), шумарства и повезаних индустрија, као и биоразградиви део индустријског отпада и комуналног отпада, у складу са прописима који уређују управљање отпадом. Поред тога, Закон о енергетици такође дефинише </w:t>
      </w:r>
      <w:r w:rsidR="0075343C" w:rsidRPr="00FF386D">
        <w:rPr>
          <w:rFonts w:asciiTheme="majorHAnsi" w:eastAsia="Times New Roman" w:hAnsiTheme="majorHAnsi" w:cstheme="majorHAnsi"/>
          <w:lang w:eastAsia="el-GR"/>
        </w:rPr>
        <w:t>појмове</w:t>
      </w:r>
      <w:r w:rsidRPr="00FF386D">
        <w:rPr>
          <w:rFonts w:asciiTheme="majorHAnsi" w:eastAsia="Times New Roman" w:hAnsiTheme="majorHAnsi" w:cstheme="majorHAnsi"/>
          <w:lang w:eastAsia="el-GR"/>
        </w:rPr>
        <w:t xml:space="preserve"> биомасе, биогорива и биотечности на сличан начин. Како би се достигао планирани удео обновљивих извора енергије у финалној потрошњи енергије у саобраћају, могу се обезбедити подстицајне мере произвођачима биогорива само за он</w:t>
      </w:r>
      <w:r w:rsidR="0075343C" w:rsidRPr="00FF386D">
        <w:rPr>
          <w:rFonts w:asciiTheme="majorHAnsi" w:eastAsia="Times New Roman" w:hAnsiTheme="majorHAnsi" w:cstheme="majorHAnsi"/>
          <w:lang w:eastAsia="el-GR"/>
        </w:rPr>
        <w:t>а пост</w:t>
      </w:r>
      <w:r w:rsidR="00732182" w:rsidRPr="00FF386D">
        <w:rPr>
          <w:rFonts w:asciiTheme="majorHAnsi" w:eastAsia="Times New Roman" w:hAnsiTheme="majorHAnsi" w:cstheme="majorHAnsi"/>
          <w:lang w:eastAsia="el-GR"/>
        </w:rPr>
        <w:t>ројења</w:t>
      </w:r>
      <w:r w:rsidRPr="00FF386D">
        <w:rPr>
          <w:rFonts w:asciiTheme="majorHAnsi" w:eastAsia="Times New Roman" w:hAnsiTheme="majorHAnsi" w:cstheme="majorHAnsi"/>
          <w:lang w:eastAsia="el-GR"/>
        </w:rPr>
        <w:t xml:space="preserve"> који производе напредна биогорива. По први пут је дефинисано коришћење електричне енергије из ОИЕ у сектору саобраћаја.</w:t>
      </w:r>
    </w:p>
    <w:p w14:paraId="61548958" w14:textId="0F19DD4C" w:rsidR="00EB3C75" w:rsidRPr="00FF386D" w:rsidRDefault="003B7FAF"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Поред тога</w:t>
      </w:r>
      <w:r w:rsidR="00EB3C75" w:rsidRPr="00FF386D">
        <w:rPr>
          <w:rFonts w:asciiTheme="majorHAnsi" w:eastAsia="Times New Roman" w:hAnsiTheme="majorHAnsi" w:cstheme="majorHAnsi"/>
          <w:lang w:eastAsia="el-GR"/>
        </w:rPr>
        <w:t>, статус биогорива, биотечности и горива из биомасе дефинисан је Законом о ОИЕ. У случају да су биогорива, биотечности и горива из биомасе, која нису произведена из отпада, у складу са критеријумима одрживости и постижу уштеду у емисијама гас</w:t>
      </w:r>
      <w:r w:rsidRPr="00FF386D">
        <w:rPr>
          <w:rFonts w:asciiTheme="majorHAnsi" w:eastAsia="Times New Roman" w:hAnsiTheme="majorHAnsi" w:cstheme="majorHAnsi"/>
          <w:lang w:eastAsia="el-GR"/>
        </w:rPr>
        <w:t>а</w:t>
      </w:r>
      <w:r w:rsidR="00EB3C75" w:rsidRPr="00FF386D">
        <w:rPr>
          <w:rFonts w:asciiTheme="majorHAnsi" w:eastAsia="Times New Roman" w:hAnsiTheme="majorHAnsi" w:cstheme="majorHAnsi"/>
          <w:lang w:eastAsia="el-GR"/>
        </w:rPr>
        <w:t xml:space="preserve"> стаклене баште, онда се енергија произведена из одговарајућих горива може сматрати као ОИЕ у бруто потрошњи енергије која се користи у свим видовима саобраћаја и на њу се примењују подстицаји у складу са Законом о ОИЕ. Закон о ОИЕ прописује две врсте подстицаја: (i) подстицаји за употребу иновативних технологија и нових ОИЕ, попут </w:t>
      </w:r>
      <w:r w:rsidR="00E40C84">
        <w:rPr>
          <w:rFonts w:asciiTheme="majorHAnsi" w:eastAsia="Times New Roman" w:hAnsiTheme="majorHAnsi" w:cstheme="majorHAnsi"/>
          <w:lang w:eastAsia="el-GR"/>
        </w:rPr>
        <w:t>обновљивог</w:t>
      </w:r>
      <w:r w:rsidR="00E40C84" w:rsidRPr="00FF386D">
        <w:rPr>
          <w:rFonts w:asciiTheme="majorHAnsi" w:eastAsia="Times New Roman" w:hAnsiTheme="majorHAnsi" w:cstheme="majorHAnsi"/>
          <w:lang w:eastAsia="el-GR"/>
        </w:rPr>
        <w:t xml:space="preserve"> </w:t>
      </w:r>
      <w:r w:rsidR="00EB3C75" w:rsidRPr="00FF386D">
        <w:rPr>
          <w:rFonts w:asciiTheme="majorHAnsi" w:eastAsia="Times New Roman" w:hAnsiTheme="majorHAnsi" w:cstheme="majorHAnsi"/>
          <w:lang w:eastAsia="el-GR"/>
        </w:rPr>
        <w:t>водоника, и (ii) подстицаји за производњу биогорива. Обновљиви водоник се може користити у сектору грејања и саобраћају, и као замена за природни гас.</w:t>
      </w:r>
    </w:p>
    <w:p w14:paraId="67EF4628" w14:textId="1F11A270" w:rsidR="00C5665D" w:rsidRPr="00FF386D" w:rsidRDefault="00C5665D" w:rsidP="00EB3C75">
      <w:pPr>
        <w:spacing w:before="120" w:after="120" w:line="240" w:lineRule="auto"/>
        <w:jc w:val="both"/>
        <w:rPr>
          <w:rFonts w:asciiTheme="majorHAnsi" w:eastAsia="Times New Roman" w:hAnsiTheme="majorHAnsi" w:cstheme="majorHAnsi"/>
          <w:lang w:eastAsia="el-GR"/>
        </w:rPr>
      </w:pPr>
      <w:r w:rsidRPr="000A2AFE">
        <w:rPr>
          <w:rFonts w:asciiTheme="majorHAnsi" w:eastAsia="Times New Roman" w:hAnsiTheme="majorHAnsi" w:cstheme="majorHAnsi"/>
          <w:b/>
          <w:bCs/>
          <w:lang w:eastAsia="el-GR"/>
        </w:rPr>
        <w:t>Директива (ЕП) 2009/28</w:t>
      </w:r>
      <w:r w:rsidRPr="00FF386D">
        <w:rPr>
          <w:rFonts w:asciiTheme="majorHAnsi" w:eastAsia="Times New Roman" w:hAnsiTheme="majorHAnsi" w:cstheme="majorHAnsi"/>
          <w:lang w:eastAsia="el-GR"/>
        </w:rPr>
        <w:t xml:space="preserve">, која се односи на обновљиве изворе енергије </w:t>
      </w:r>
      <w:r w:rsidR="0081025F">
        <w:rPr>
          <w:rFonts w:asciiTheme="majorHAnsi" w:eastAsia="Times New Roman" w:hAnsiTheme="majorHAnsi" w:cstheme="majorHAnsi"/>
          <w:lang w:eastAsia="el-GR"/>
        </w:rPr>
        <w:t>и усмерена је на</w:t>
      </w:r>
      <w:r w:rsidRPr="00FF386D">
        <w:rPr>
          <w:rFonts w:asciiTheme="majorHAnsi" w:eastAsia="Times New Roman" w:hAnsiTheme="majorHAnsi" w:cstheme="majorHAnsi"/>
          <w:lang w:eastAsia="el-GR"/>
        </w:rPr>
        <w:t xml:space="preserve"> смањењ</w:t>
      </w:r>
      <w:r w:rsidR="0081025F">
        <w:rPr>
          <w:rFonts w:asciiTheme="majorHAnsi" w:eastAsia="Times New Roman" w:hAnsiTheme="majorHAnsi" w:cstheme="majorHAnsi"/>
          <w:lang w:eastAsia="el-GR"/>
        </w:rPr>
        <w:t>е</w:t>
      </w:r>
      <w:r w:rsidRPr="00FF386D">
        <w:rPr>
          <w:rFonts w:asciiTheme="majorHAnsi" w:eastAsia="Times New Roman" w:hAnsiTheme="majorHAnsi" w:cstheme="majorHAnsi"/>
          <w:lang w:eastAsia="el-GR"/>
        </w:rPr>
        <w:t xml:space="preserve"> емисије гасова са ефектом стаклене баште, </w:t>
      </w:r>
      <w:r w:rsidR="0081025F">
        <w:rPr>
          <w:rFonts w:asciiTheme="majorHAnsi" w:eastAsia="Times New Roman" w:hAnsiTheme="majorHAnsi" w:cstheme="majorHAnsi"/>
          <w:lang w:eastAsia="el-GR"/>
        </w:rPr>
        <w:t xml:space="preserve">а </w:t>
      </w:r>
      <w:r w:rsidRPr="00FF386D">
        <w:rPr>
          <w:rFonts w:asciiTheme="majorHAnsi" w:eastAsia="Times New Roman" w:hAnsiTheme="majorHAnsi" w:cstheme="majorHAnsi"/>
          <w:lang w:eastAsia="el-GR"/>
        </w:rPr>
        <w:t>у делу који се односи на обавезан садржај биогорива у моторним горивима, имплементирана је у домаће законодавство</w:t>
      </w:r>
      <w:r w:rsidR="0081025F">
        <w:rPr>
          <w:rFonts w:asciiTheme="majorHAnsi" w:eastAsia="Times New Roman" w:hAnsiTheme="majorHAnsi" w:cstheme="majorHAnsi"/>
          <w:lang w:eastAsia="el-GR"/>
        </w:rPr>
        <w:t xml:space="preserve"> од </w:t>
      </w:r>
      <w:r w:rsidRPr="00FF386D">
        <w:rPr>
          <w:rFonts w:asciiTheme="majorHAnsi" w:eastAsia="Times New Roman" w:hAnsiTheme="majorHAnsi" w:cstheme="majorHAnsi"/>
          <w:lang w:eastAsia="el-GR"/>
        </w:rPr>
        <w:t>2019. године</w:t>
      </w:r>
      <w:r w:rsidR="0081025F">
        <w:rPr>
          <w:rFonts w:asciiTheme="majorHAnsi" w:eastAsia="Times New Roman" w:hAnsiTheme="majorHAnsi" w:cstheme="majorHAnsi"/>
          <w:lang w:eastAsia="el-GR"/>
        </w:rPr>
        <w:t xml:space="preserve">, након </w:t>
      </w:r>
      <w:r w:rsidRPr="00FF386D">
        <w:rPr>
          <w:rFonts w:asciiTheme="majorHAnsi" w:eastAsia="Times New Roman" w:hAnsiTheme="majorHAnsi" w:cstheme="majorHAnsi"/>
          <w:lang w:eastAsia="el-GR"/>
        </w:rPr>
        <w:t>дон</w:t>
      </w:r>
      <w:r w:rsidR="0081025F">
        <w:rPr>
          <w:rFonts w:asciiTheme="majorHAnsi" w:eastAsia="Times New Roman" w:hAnsiTheme="majorHAnsi" w:cstheme="majorHAnsi"/>
          <w:lang w:eastAsia="el-GR"/>
        </w:rPr>
        <w:t>ошења</w:t>
      </w:r>
      <w:r w:rsidR="0081025F">
        <w:rPr>
          <w:rFonts w:asciiTheme="majorHAnsi" w:eastAsia="Times New Roman" w:hAnsiTheme="majorHAnsi" w:cstheme="majorHAnsi"/>
          <w:lang w:val="sr-Latn-RS" w:eastAsia="el-GR"/>
        </w:rPr>
        <w:t xml:space="preserve"> </w:t>
      </w:r>
      <w:r w:rsidR="0081025F">
        <w:rPr>
          <w:rFonts w:asciiTheme="majorHAnsi" w:eastAsia="Times New Roman" w:hAnsiTheme="majorHAnsi" w:cstheme="majorHAnsi"/>
          <w:lang w:eastAsia="el-GR"/>
        </w:rPr>
        <w:t>следећих аката</w:t>
      </w:r>
      <w:r w:rsidRPr="00FF386D">
        <w:rPr>
          <w:rFonts w:asciiTheme="majorHAnsi" w:eastAsia="Times New Roman" w:hAnsiTheme="majorHAnsi" w:cstheme="majorHAnsi"/>
          <w:lang w:eastAsia="el-GR"/>
        </w:rPr>
        <w:t xml:space="preserve">: </w:t>
      </w:r>
      <w:r w:rsidRPr="000A2AFE">
        <w:rPr>
          <w:rFonts w:asciiTheme="majorHAnsi" w:eastAsia="Times New Roman" w:hAnsiTheme="majorHAnsi" w:cstheme="majorHAnsi"/>
          <w:b/>
          <w:bCs/>
          <w:lang w:eastAsia="el-GR"/>
        </w:rPr>
        <w:t>Уредба о уделу биогорива на тржишту</w:t>
      </w:r>
      <w:r w:rsidRPr="000A2AFE">
        <w:rPr>
          <w:rStyle w:val="FootnoteReference"/>
          <w:rFonts w:asciiTheme="majorHAnsi" w:eastAsia="Times New Roman" w:hAnsiTheme="majorHAnsi" w:cstheme="majorHAnsi"/>
          <w:lang w:val="sr-Cyrl-RS" w:eastAsia="el-GR"/>
        </w:rPr>
        <w:footnoteReference w:id="33"/>
      </w:r>
      <w:r w:rsidRPr="00FF386D">
        <w:rPr>
          <w:rFonts w:asciiTheme="majorHAnsi" w:eastAsia="Times New Roman" w:hAnsiTheme="majorHAnsi" w:cstheme="majorHAnsi"/>
          <w:lang w:eastAsia="el-GR"/>
        </w:rPr>
        <w:t xml:space="preserve">, </w:t>
      </w:r>
      <w:r w:rsidRPr="000A2AFE">
        <w:rPr>
          <w:rFonts w:asciiTheme="majorHAnsi" w:eastAsia="Times New Roman" w:hAnsiTheme="majorHAnsi" w:cstheme="majorHAnsi"/>
          <w:b/>
          <w:bCs/>
          <w:lang w:eastAsia="el-GR"/>
        </w:rPr>
        <w:t>Правилник о техничким и другим захтевима за биогорива и биотечности</w:t>
      </w:r>
      <w:r w:rsidR="00CA6C8F" w:rsidRPr="000A2AFE">
        <w:rPr>
          <w:rStyle w:val="FootnoteReference"/>
          <w:rFonts w:asciiTheme="majorHAnsi" w:eastAsia="Times New Roman" w:hAnsiTheme="majorHAnsi" w:cstheme="majorHAnsi"/>
          <w:lang w:val="sr-Cyrl-RS" w:eastAsia="el-GR"/>
        </w:rPr>
        <w:footnoteReference w:id="34"/>
      </w:r>
      <w:r w:rsidRPr="00FF386D">
        <w:rPr>
          <w:rFonts w:asciiTheme="majorHAnsi" w:eastAsia="Times New Roman" w:hAnsiTheme="majorHAnsi" w:cstheme="majorHAnsi"/>
          <w:lang w:eastAsia="el-GR"/>
        </w:rPr>
        <w:t xml:space="preserve"> и </w:t>
      </w:r>
      <w:r w:rsidRPr="000A2AFE">
        <w:rPr>
          <w:rFonts w:asciiTheme="majorHAnsi" w:eastAsia="Times New Roman" w:hAnsiTheme="majorHAnsi" w:cstheme="majorHAnsi"/>
          <w:b/>
          <w:bCs/>
          <w:lang w:eastAsia="el-GR"/>
        </w:rPr>
        <w:t>Уредба о критеријуму одрживости биогорива</w:t>
      </w:r>
      <w:r w:rsidR="00CA6C8F" w:rsidRPr="000A2AFE">
        <w:rPr>
          <w:rStyle w:val="FootnoteReference"/>
          <w:rFonts w:asciiTheme="majorHAnsi" w:eastAsia="Times New Roman" w:hAnsiTheme="majorHAnsi" w:cstheme="majorHAnsi"/>
          <w:lang w:val="sr-Cyrl-RS" w:eastAsia="el-GR"/>
        </w:rPr>
        <w:footnoteReference w:id="35"/>
      </w:r>
      <w:r w:rsidRPr="00FF386D">
        <w:rPr>
          <w:rFonts w:asciiTheme="majorHAnsi" w:eastAsia="Times New Roman" w:hAnsiTheme="majorHAnsi" w:cstheme="majorHAnsi"/>
          <w:lang w:eastAsia="el-GR"/>
        </w:rPr>
        <w:t xml:space="preserve">. У 2020. години донет је </w:t>
      </w:r>
      <w:r w:rsidRPr="000A2AFE">
        <w:rPr>
          <w:rFonts w:asciiTheme="majorHAnsi" w:eastAsia="Times New Roman" w:hAnsiTheme="majorHAnsi" w:cstheme="majorHAnsi"/>
          <w:b/>
          <w:bCs/>
          <w:lang w:eastAsia="el-GR"/>
        </w:rPr>
        <w:t>Правилник о израчунавању удела обновљивих извора енергије</w:t>
      </w:r>
      <w:r w:rsidR="00CA6C8F" w:rsidRPr="000A2AFE">
        <w:rPr>
          <w:rStyle w:val="FootnoteReference"/>
          <w:rFonts w:asciiTheme="majorHAnsi" w:eastAsia="Times New Roman" w:hAnsiTheme="majorHAnsi" w:cstheme="majorHAnsi"/>
          <w:lang w:val="sr-Cyrl-RS" w:eastAsia="el-GR"/>
        </w:rPr>
        <w:footnoteReference w:id="36"/>
      </w:r>
      <w:r w:rsidRPr="00FF386D">
        <w:rPr>
          <w:rFonts w:asciiTheme="majorHAnsi" w:eastAsia="Times New Roman" w:hAnsiTheme="majorHAnsi" w:cstheme="majorHAnsi"/>
          <w:lang w:eastAsia="el-GR"/>
        </w:rPr>
        <w:t>.</w:t>
      </w:r>
    </w:p>
    <w:p w14:paraId="4AEFFDF7" w14:textId="73DFBAF3" w:rsidR="00C5665D" w:rsidRPr="00FF386D" w:rsidRDefault="00C5665D"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Измене Закона о енергетици из 2021. године увеле су производњу водоника као моторног горива, као и производњу и намешавање биотечности. Прецизирано је да постоји енергетска делатност за трговину нафтом, дериватима нафте, биогоривима, биотечностима, компримованим природним гасом, утечњеним природним гасом и водоником. Водоник и утечњени природни гас су уведени у проширени </w:t>
      </w:r>
      <w:r w:rsidRPr="00FF386D">
        <w:rPr>
          <w:rFonts w:asciiTheme="majorHAnsi" w:eastAsia="Times New Roman" w:hAnsiTheme="majorHAnsi" w:cstheme="majorHAnsi"/>
          <w:lang w:eastAsia="el-GR"/>
        </w:rPr>
        <w:lastRenderedPageBreak/>
        <w:t xml:space="preserve">појам моторних горива, чиме је омогућено да се еколошки прихватљивим горивима тргује и на станицама за снабдевање </w:t>
      </w:r>
      <w:r w:rsidR="003B45CB">
        <w:rPr>
          <w:rFonts w:asciiTheme="majorHAnsi" w:eastAsia="Times New Roman" w:hAnsiTheme="majorHAnsi" w:cstheme="majorHAnsi"/>
          <w:lang w:eastAsia="el-GR"/>
        </w:rPr>
        <w:t xml:space="preserve">горивом </w:t>
      </w:r>
      <w:r w:rsidRPr="00FF386D">
        <w:rPr>
          <w:rFonts w:asciiTheme="majorHAnsi" w:eastAsia="Times New Roman" w:hAnsiTheme="majorHAnsi" w:cstheme="majorHAnsi"/>
          <w:lang w:eastAsia="el-GR"/>
        </w:rPr>
        <w:t>превозних средстава, односно да се користе као енергенти у саобраћају.</w:t>
      </w:r>
    </w:p>
    <w:p w14:paraId="5F1C4E9B" w14:textId="214D8731"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Прописане су додатне мере подстицаја за коришћење ОИЕ у сектору топлотне енергије. Енергетски субјекти који обављају делатност производње, дистрибуције и снабдевања купаца топлотном енергијом могу стећи подстицајне мере ако користе високоефикасну когенерацију, отпадну топлоту или обновљиве изворе енергије. Мере </w:t>
      </w:r>
      <w:r w:rsidRPr="00FF386D">
        <w:rPr>
          <w:rFonts w:asciiTheme="majorHAnsi" w:eastAsia="Times New Roman" w:hAnsiTheme="majorHAnsi" w:cstheme="majorHAnsi"/>
          <w:shd w:val="clear" w:color="auto" w:fill="FFFFFF" w:themeFill="background1"/>
          <w:lang w:eastAsia="el-GR"/>
        </w:rPr>
        <w:t xml:space="preserve">подстицаја у сектору грејања </w:t>
      </w:r>
      <w:r w:rsidRPr="00FF386D">
        <w:rPr>
          <w:rFonts w:asciiTheme="majorHAnsi" w:eastAsia="Times New Roman" w:hAnsiTheme="majorHAnsi" w:cstheme="majorHAnsi"/>
          <w:lang w:eastAsia="el-GR"/>
        </w:rPr>
        <w:t>прописују и обезбеђују локалне самоуправе.</w:t>
      </w:r>
    </w:p>
    <w:p w14:paraId="5C008AD1" w14:textId="2F1A032F" w:rsidR="00EB3C75" w:rsidRPr="00FF386D" w:rsidRDefault="00157C37" w:rsidP="00EB3C75">
      <w:pPr>
        <w:spacing w:before="120" w:after="120" w:line="240" w:lineRule="auto"/>
        <w:jc w:val="both"/>
        <w:rPr>
          <w:rFonts w:asciiTheme="majorHAnsi" w:eastAsia="Times New Roman" w:hAnsiTheme="majorHAnsi" w:cstheme="majorHAnsi"/>
          <w:b/>
          <w:bCs/>
          <w:lang w:eastAsia="el-GR"/>
        </w:rPr>
      </w:pPr>
      <w:r w:rsidRPr="00FF386D">
        <w:rPr>
          <w:rFonts w:asciiTheme="majorHAnsi" w:eastAsia="Times New Roman" w:hAnsiTheme="majorHAnsi" w:cstheme="majorHAnsi"/>
          <w:b/>
          <w:bCs/>
          <w:lang w:eastAsia="el-GR"/>
        </w:rPr>
        <w:t>Енергетска</w:t>
      </w:r>
      <w:r w:rsidR="00EB3C75" w:rsidRPr="00FF386D">
        <w:rPr>
          <w:rFonts w:asciiTheme="majorHAnsi" w:eastAsia="Times New Roman" w:hAnsiTheme="majorHAnsi" w:cstheme="majorHAnsi"/>
          <w:b/>
          <w:bCs/>
          <w:lang w:eastAsia="el-GR"/>
        </w:rPr>
        <w:t xml:space="preserve"> ефикасност</w:t>
      </w:r>
    </w:p>
    <w:p w14:paraId="1BDA6419" w14:textId="364822D5" w:rsidR="00EB3C75" w:rsidRPr="00FF386D" w:rsidRDefault="00EB3C75" w:rsidP="00EB3C75">
      <w:pPr>
        <w:spacing w:before="120" w:after="120" w:line="240" w:lineRule="auto"/>
        <w:jc w:val="both"/>
        <w:rPr>
          <w:rFonts w:ascii="Calibri" w:eastAsia="Times New Roman" w:hAnsi="Calibri" w:cs="Arial"/>
          <w:lang w:eastAsia="el-GR"/>
        </w:rPr>
      </w:pPr>
      <w:r w:rsidRPr="00FF386D">
        <w:rPr>
          <w:rFonts w:asciiTheme="majorHAnsi" w:eastAsia="Times New Roman" w:hAnsiTheme="majorHAnsi" w:cstheme="majorHAnsi"/>
          <w:b/>
          <w:bCs/>
          <w:lang w:eastAsia="el-GR"/>
        </w:rPr>
        <w:t>Закон о енергетској ефикасности и рационалној употреби енергије</w:t>
      </w:r>
      <w:r w:rsidRPr="00FF386D">
        <w:rPr>
          <w:rFonts w:asciiTheme="majorHAnsi" w:eastAsiaTheme="majorEastAsia" w:hAnsiTheme="majorHAnsi" w:cstheme="majorHAnsi"/>
          <w:vertAlign w:val="superscript"/>
          <w:lang w:eastAsia="el-GR"/>
        </w:rPr>
        <w:footnoteReference w:id="37"/>
      </w:r>
      <w:r w:rsidRPr="00FF386D">
        <w:rPr>
          <w:rFonts w:asciiTheme="majorHAnsi" w:eastAsia="Times New Roman" w:hAnsiTheme="majorHAnsi" w:cstheme="majorHAnsi"/>
          <w:b/>
          <w:bCs/>
          <w:lang w:eastAsia="el-GR"/>
        </w:rPr>
        <w:t xml:space="preserve"> </w:t>
      </w:r>
      <w:r w:rsidRPr="00FF386D">
        <w:rPr>
          <w:rFonts w:asciiTheme="majorHAnsi" w:eastAsia="Times New Roman" w:hAnsiTheme="majorHAnsi" w:cstheme="majorHAnsi"/>
          <w:bCs/>
          <w:lang w:eastAsia="el-GR"/>
        </w:rPr>
        <w:t>(ЗЕЕРУЕ)</w:t>
      </w:r>
      <w:r w:rsidR="003B7FAF" w:rsidRPr="00FF386D">
        <w:rPr>
          <w:rFonts w:asciiTheme="majorHAnsi" w:eastAsia="Times New Roman" w:hAnsiTheme="majorHAnsi" w:cstheme="majorHAnsi"/>
          <w:bCs/>
          <w:lang w:eastAsia="el-GR"/>
        </w:rPr>
        <w:t xml:space="preserve"> је</w:t>
      </w:r>
      <w:r w:rsidR="003B7FAF"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lang w:eastAsia="el-GR"/>
        </w:rPr>
        <w:t>усвојен</w:t>
      </w:r>
      <w:r w:rsidR="003B7FAF"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lang w:eastAsia="el-GR"/>
        </w:rPr>
        <w:t>2021. године</w:t>
      </w:r>
      <w:r w:rsidR="003B7FAF" w:rsidRPr="00FF386D">
        <w:rPr>
          <w:rFonts w:asciiTheme="majorHAnsi" w:eastAsia="Times New Roman" w:hAnsiTheme="majorHAnsi" w:cstheme="majorHAnsi"/>
          <w:lang w:eastAsia="el-GR"/>
        </w:rPr>
        <w:t xml:space="preserve"> а</w:t>
      </w:r>
      <w:r w:rsidRPr="00FF386D">
        <w:rPr>
          <w:rFonts w:asciiTheme="majorHAnsi" w:eastAsia="Times New Roman" w:hAnsiTheme="majorHAnsi" w:cstheme="majorHAnsi"/>
          <w:lang w:eastAsia="el-GR"/>
        </w:rPr>
        <w:t xml:space="preserve"> заменио је </w:t>
      </w:r>
      <w:r w:rsidRPr="00FF386D">
        <w:rPr>
          <w:rFonts w:asciiTheme="majorHAnsi" w:eastAsia="Times New Roman" w:hAnsiTheme="majorHAnsi" w:cstheme="majorHAnsi"/>
          <w:b/>
          <w:lang w:eastAsia="el-GR"/>
        </w:rPr>
        <w:t>Закон о ефикасном коришћењу енергије</w:t>
      </w:r>
      <w:r w:rsidRPr="00FF386D">
        <w:rPr>
          <w:rFonts w:asciiTheme="majorHAnsi" w:eastAsia="Times New Roman" w:hAnsiTheme="majorHAnsi" w:cstheme="majorHAnsi"/>
          <w:vertAlign w:val="superscript"/>
          <w:lang w:eastAsia="el-GR"/>
        </w:rPr>
        <w:footnoteReference w:id="38"/>
      </w:r>
      <w:r w:rsidRPr="00FF386D">
        <w:rPr>
          <w:rFonts w:asciiTheme="majorHAnsi" w:eastAsia="Times New Roman" w:hAnsiTheme="majorHAnsi" w:cstheme="majorHAnsi"/>
          <w:lang w:eastAsia="el-GR"/>
        </w:rPr>
        <w:t xml:space="preserve"> (ЗЕКЕ)</w:t>
      </w:r>
      <w:r w:rsidR="003B7FAF" w:rsidRPr="00FF386D">
        <w:rPr>
          <w:rFonts w:asciiTheme="majorHAnsi" w:eastAsia="Times New Roman" w:hAnsiTheme="majorHAnsi" w:cstheme="majorHAnsi"/>
          <w:lang w:eastAsia="el-GR"/>
        </w:rPr>
        <w:t>,</w:t>
      </w:r>
      <w:r w:rsidRPr="00FF386D">
        <w:rPr>
          <w:rFonts w:asciiTheme="majorHAnsi" w:eastAsia="Times New Roman" w:hAnsiTheme="majorHAnsi" w:cstheme="majorHAnsi"/>
          <w:lang w:eastAsia="el-GR"/>
        </w:rPr>
        <w:t xml:space="preserve"> који је био на снази у периоду од 2013-2021. ЗЕЕРУЕ је донет са циљем да се изврши усклађивање са новом регулативом из области енергетске ефикасности у ЕУ која је у међувремену донета, као и са циљем да се унапреде поједине одредбе ЗЕКЕ. ЗЕЕРУЕ данас представља кључни законодавни оквир за област енергетске ефикасности којим се утврђују услови и начин за ефикасно коришћење енергије и </w:t>
      </w:r>
      <w:bookmarkStart w:id="48" w:name="_Hlk116743137"/>
      <w:r w:rsidRPr="00FF386D">
        <w:rPr>
          <w:rFonts w:asciiTheme="majorHAnsi" w:eastAsia="Times New Roman" w:hAnsiTheme="majorHAnsi" w:cstheme="majorHAnsi"/>
          <w:lang w:eastAsia="el-GR"/>
        </w:rPr>
        <w:t>енергената, политика ефикасног коришћења енергије; систем енергетског менаџмента; мере политике енергетске ефикасности: коришћење енергије у зградама, код енергетских делатности и крајњих купаца, за енергетске објекте и енергетске услуге; енергетско означавање и захтев</w:t>
      </w:r>
      <w:r w:rsidR="003B7FAF" w:rsidRPr="00FF386D">
        <w:rPr>
          <w:rFonts w:asciiTheme="majorHAnsi" w:eastAsia="Times New Roman" w:hAnsiTheme="majorHAnsi" w:cstheme="majorHAnsi"/>
          <w:lang w:eastAsia="el-GR"/>
        </w:rPr>
        <w:t>е</w:t>
      </w:r>
      <w:r w:rsidRPr="00FF386D">
        <w:rPr>
          <w:rFonts w:asciiTheme="majorHAnsi" w:eastAsia="Times New Roman" w:hAnsiTheme="majorHAnsi" w:cstheme="majorHAnsi"/>
          <w:lang w:eastAsia="el-GR"/>
        </w:rPr>
        <w:t xml:space="preserve"> у погледу еко-дизајна; финансирање, подстицајне и друге мере у овој области. Циљ овог закона је стварање услова за ефикасно коришћење енергије и унапређење енергетске ефикасности, чиме се доприноси: остваривању уштеда енергије; сигурности снабдевања енергијом; смањењу утицаја енергетског сектора на животну средину и климатске промене; одрживом коришћењу природних и других ресурса; повећању конкурентности привреде; побољшању услова за економски развој и смањењу енергетског сиромаштва.</w:t>
      </w:r>
    </w:p>
    <w:p w14:paraId="243EC356" w14:textId="2662CD2B"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У циљу финансирања енергетске ефикасности закон је створио правни основ за </w:t>
      </w:r>
      <w:r w:rsidR="0075343C" w:rsidRPr="00FF386D">
        <w:rPr>
          <w:rFonts w:asciiTheme="majorHAnsi" w:eastAsia="Times New Roman" w:hAnsiTheme="majorHAnsi" w:cstheme="majorHAnsi"/>
          <w:lang w:eastAsia="el-GR"/>
        </w:rPr>
        <w:t>оснивање</w:t>
      </w:r>
      <w:r w:rsidRPr="00FF386D">
        <w:rPr>
          <w:rFonts w:asciiTheme="majorHAnsi" w:eastAsia="Times New Roman" w:hAnsiTheme="majorHAnsi" w:cstheme="majorHAnsi"/>
          <w:lang w:eastAsia="el-GR"/>
        </w:rPr>
        <w:t xml:space="preserve"> Управе за финансирање и подстицање енергетске ефикасности и </w:t>
      </w:r>
      <w:r w:rsidR="003B7FAF" w:rsidRPr="00FF386D">
        <w:rPr>
          <w:rFonts w:asciiTheme="majorHAnsi" w:eastAsia="Times New Roman" w:hAnsiTheme="majorHAnsi" w:cstheme="majorHAnsi"/>
          <w:lang w:eastAsia="el-GR"/>
        </w:rPr>
        <w:t>додатно</w:t>
      </w:r>
      <w:r w:rsidRPr="00FF386D">
        <w:rPr>
          <w:rFonts w:asciiTheme="majorHAnsi" w:eastAsia="Times New Roman" w:hAnsiTheme="majorHAnsi" w:cstheme="majorHAnsi"/>
          <w:lang w:eastAsia="el-GR"/>
        </w:rPr>
        <w:t xml:space="preserve"> уредио услове за уговарање енергетских услуга (ЕСКО).</w:t>
      </w:r>
    </w:p>
    <w:p w14:paraId="16D8932F" w14:textId="595E36A4"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ЗЕЕРУЕ је у великој мери усклађен са </w:t>
      </w:r>
      <w:r w:rsidRPr="00FF386D">
        <w:rPr>
          <w:rFonts w:asciiTheme="majorHAnsi" w:eastAsia="Times New Roman" w:hAnsiTheme="majorHAnsi" w:cstheme="majorHAnsi"/>
          <w:b/>
          <w:lang w:eastAsia="el-GR"/>
        </w:rPr>
        <w:t>Директив</w:t>
      </w:r>
      <w:r w:rsidR="00413E7C" w:rsidRPr="00FF386D">
        <w:rPr>
          <w:rFonts w:asciiTheme="majorHAnsi" w:eastAsia="Times New Roman" w:hAnsiTheme="majorHAnsi" w:cstheme="majorHAnsi"/>
          <w:b/>
          <w:lang w:eastAsia="el-GR"/>
        </w:rPr>
        <w:t>ом</w:t>
      </w:r>
      <w:r w:rsidRPr="00FF386D">
        <w:rPr>
          <w:rFonts w:asciiTheme="majorHAnsi" w:eastAsia="Times New Roman" w:hAnsiTheme="majorHAnsi" w:cstheme="majorHAnsi"/>
          <w:b/>
          <w:lang w:eastAsia="el-GR"/>
        </w:rPr>
        <w:t xml:space="preserve"> 2012/27/ЕУ о енергетској ефикасности</w:t>
      </w:r>
      <w:r w:rsidRPr="00FF386D">
        <w:rPr>
          <w:rFonts w:asciiTheme="majorHAnsi" w:eastAsia="Times New Roman" w:hAnsiTheme="majorHAnsi" w:cstheme="majorHAnsi"/>
          <w:vertAlign w:val="superscript"/>
          <w:lang w:eastAsia="el-GR"/>
        </w:rPr>
        <w:footnoteReference w:id="39"/>
      </w:r>
      <w:r w:rsidRPr="00FF386D">
        <w:rPr>
          <w:rFonts w:asciiTheme="majorHAnsi" w:eastAsia="Times New Roman" w:hAnsiTheme="majorHAnsi" w:cstheme="majorHAnsi"/>
          <w:b/>
          <w:lang w:eastAsia="el-GR"/>
        </w:rPr>
        <w:t xml:space="preserve"> </w:t>
      </w:r>
      <w:r w:rsidRPr="00FF386D">
        <w:rPr>
          <w:rFonts w:asciiTheme="majorHAnsi" w:eastAsia="Times New Roman" w:hAnsiTheme="majorHAnsi" w:cstheme="majorHAnsi"/>
          <w:lang w:eastAsia="el-GR"/>
        </w:rPr>
        <w:t>(</w:t>
      </w:r>
      <w:r w:rsidR="00690304" w:rsidRPr="00FF386D">
        <w:rPr>
          <w:rFonts w:asciiTheme="majorHAnsi" w:eastAsia="Times New Roman" w:hAnsiTheme="majorHAnsi" w:cstheme="majorHAnsi"/>
          <w:lang w:eastAsia="el-GR"/>
        </w:rPr>
        <w:t>Д</w:t>
      </w:r>
      <w:r w:rsidRPr="00FF386D">
        <w:rPr>
          <w:rFonts w:asciiTheme="majorHAnsi" w:eastAsia="Times New Roman" w:hAnsiTheme="majorHAnsi" w:cstheme="majorHAnsi"/>
          <w:lang w:eastAsia="el-GR"/>
        </w:rPr>
        <w:t>ЕЕ)</w:t>
      </w:r>
      <w:r w:rsidR="00887834" w:rsidRPr="00FF386D">
        <w:rPr>
          <w:rFonts w:asciiTheme="majorHAnsi" w:eastAsia="Times New Roman" w:hAnsiTheme="majorHAnsi" w:cstheme="majorHAnsi"/>
          <w:lang w:eastAsia="el-GR"/>
        </w:rPr>
        <w:t>,</w:t>
      </w:r>
      <w:r w:rsidRPr="00FF386D">
        <w:rPr>
          <w:rFonts w:asciiTheme="majorHAnsi" w:eastAsia="Times New Roman" w:hAnsiTheme="majorHAnsi" w:cstheme="majorHAnsi"/>
          <w:lang w:eastAsia="el-GR"/>
        </w:rPr>
        <w:t xml:space="preserve"> а усклађеност</w:t>
      </w:r>
      <w:r w:rsidR="00461519">
        <w:rPr>
          <w:rFonts w:asciiTheme="majorHAnsi" w:eastAsia="Times New Roman" w:hAnsiTheme="majorHAnsi" w:cstheme="majorHAnsi"/>
          <w:lang w:val="en-US" w:eastAsia="el-GR"/>
        </w:rPr>
        <w:t xml:space="preserve"> je </w:t>
      </w:r>
      <w:r w:rsidR="00163117" w:rsidRPr="00FF386D">
        <w:rPr>
          <w:rFonts w:asciiTheme="majorHAnsi" w:eastAsia="Times New Roman" w:hAnsiTheme="majorHAnsi" w:cstheme="majorHAnsi"/>
          <w:lang w:eastAsia="el-GR"/>
        </w:rPr>
        <w:t xml:space="preserve">додатно остварена </w:t>
      </w:r>
      <w:r w:rsidRPr="00FF386D">
        <w:rPr>
          <w:rFonts w:asciiTheme="majorHAnsi" w:eastAsia="Times New Roman" w:hAnsiTheme="majorHAnsi" w:cstheme="majorHAnsi"/>
          <w:lang w:eastAsia="el-GR"/>
        </w:rPr>
        <w:t xml:space="preserve">након доношења </w:t>
      </w:r>
      <w:r w:rsidR="00163117" w:rsidRPr="00FF386D">
        <w:rPr>
          <w:rFonts w:asciiTheme="majorHAnsi" w:eastAsia="Times New Roman" w:hAnsiTheme="majorHAnsi" w:cstheme="majorHAnsi"/>
          <w:lang w:eastAsia="el-GR"/>
        </w:rPr>
        <w:t xml:space="preserve">следећих </w:t>
      </w:r>
      <w:r w:rsidRPr="00FF386D">
        <w:rPr>
          <w:rFonts w:asciiTheme="majorHAnsi" w:eastAsia="Times New Roman" w:hAnsiTheme="majorHAnsi" w:cstheme="majorHAnsi"/>
          <w:lang w:eastAsia="el-GR"/>
        </w:rPr>
        <w:t>подзаконских аката</w:t>
      </w:r>
      <w:r w:rsidR="00163117" w:rsidRPr="00FF386D">
        <w:rPr>
          <w:rFonts w:asciiTheme="majorHAnsi" w:eastAsia="Times New Roman" w:hAnsiTheme="majorHAnsi" w:cstheme="majorHAnsi"/>
          <w:lang w:eastAsia="el-GR"/>
        </w:rPr>
        <w:t xml:space="preserve">: </w:t>
      </w:r>
      <w:r w:rsidR="00163117" w:rsidRPr="000A2AFE">
        <w:rPr>
          <w:rFonts w:asciiTheme="majorHAnsi" w:eastAsia="Times New Roman" w:hAnsiTheme="majorHAnsi" w:cstheme="majorHAnsi"/>
          <w:b/>
          <w:bCs/>
          <w:lang w:eastAsia="el-GR"/>
        </w:rPr>
        <w:t>Уредба о обавезама гарантованог снабдевача и о обавезама Овлашћене уговорне стране у погледу финансијских подстицаја за високоефикасну когенерацију</w:t>
      </w:r>
      <w:r w:rsidR="00163117" w:rsidRPr="000A2AFE">
        <w:rPr>
          <w:rStyle w:val="FootnoteReference"/>
          <w:rFonts w:asciiTheme="majorHAnsi" w:eastAsia="Times New Roman" w:hAnsiTheme="majorHAnsi" w:cstheme="majorHAnsi"/>
          <w:b/>
          <w:bCs/>
          <w:lang w:val="sr-Cyrl-RS" w:eastAsia="el-GR"/>
        </w:rPr>
        <w:footnoteReference w:id="40"/>
      </w:r>
      <w:r w:rsidR="00163117" w:rsidRPr="00FF386D">
        <w:rPr>
          <w:rFonts w:asciiTheme="majorHAnsi" w:eastAsia="Times New Roman" w:hAnsiTheme="majorHAnsi" w:cstheme="majorHAnsi"/>
          <w:lang w:eastAsia="el-GR"/>
        </w:rPr>
        <w:t xml:space="preserve">, </w:t>
      </w:r>
      <w:r w:rsidR="00163117" w:rsidRPr="000A2AFE">
        <w:rPr>
          <w:rFonts w:asciiTheme="majorHAnsi" w:eastAsia="Times New Roman" w:hAnsiTheme="majorHAnsi" w:cstheme="majorHAnsi"/>
          <w:b/>
          <w:bCs/>
          <w:lang w:eastAsia="el-GR"/>
        </w:rPr>
        <w:t>Уредба о минималним захтевима енергетске ефикасности које морају да испуњавају нови и реконструисани енергетски објекти</w:t>
      </w:r>
      <w:r w:rsidR="00163117" w:rsidRPr="000A2AFE">
        <w:rPr>
          <w:rStyle w:val="FootnoteReference"/>
          <w:rFonts w:asciiTheme="majorHAnsi" w:eastAsia="Times New Roman" w:hAnsiTheme="majorHAnsi" w:cstheme="majorHAnsi"/>
          <w:b/>
          <w:bCs/>
          <w:lang w:val="sr-Cyrl-RS" w:eastAsia="el-GR"/>
        </w:rPr>
        <w:footnoteReference w:id="41"/>
      </w:r>
      <w:r w:rsidR="00163117" w:rsidRPr="00FF386D">
        <w:rPr>
          <w:rFonts w:asciiTheme="majorHAnsi" w:eastAsia="Times New Roman" w:hAnsiTheme="majorHAnsi" w:cstheme="majorHAnsi"/>
          <w:lang w:eastAsia="el-GR"/>
        </w:rPr>
        <w:t xml:space="preserve">, </w:t>
      </w:r>
      <w:r w:rsidR="00163117" w:rsidRPr="000A2AFE">
        <w:rPr>
          <w:rFonts w:asciiTheme="majorHAnsi" w:eastAsia="Times New Roman" w:hAnsiTheme="majorHAnsi" w:cstheme="majorHAnsi"/>
          <w:b/>
          <w:bCs/>
          <w:lang w:eastAsia="el-GR"/>
        </w:rPr>
        <w:t>Уредба о обвезницима система енергетског менаџмента</w:t>
      </w:r>
      <w:r w:rsidR="00887834" w:rsidRPr="000A2AFE">
        <w:rPr>
          <w:rStyle w:val="FootnoteReference"/>
          <w:rFonts w:asciiTheme="majorHAnsi" w:eastAsia="Times New Roman" w:hAnsiTheme="majorHAnsi" w:cstheme="majorHAnsi"/>
          <w:b/>
          <w:bCs/>
          <w:lang w:val="sr-Cyrl-RS" w:eastAsia="el-GR"/>
        </w:rPr>
        <w:footnoteReference w:id="42"/>
      </w:r>
      <w:r w:rsidR="00887834" w:rsidRPr="00FF386D">
        <w:rPr>
          <w:rFonts w:asciiTheme="majorHAnsi" w:eastAsia="Times New Roman" w:hAnsiTheme="majorHAnsi" w:cstheme="majorHAnsi"/>
          <w:lang w:eastAsia="el-GR"/>
        </w:rPr>
        <w:t xml:space="preserve">, и </w:t>
      </w:r>
      <w:r w:rsidR="00163117" w:rsidRPr="000A2AFE">
        <w:rPr>
          <w:rFonts w:asciiTheme="majorHAnsi" w:eastAsia="Times New Roman" w:hAnsiTheme="majorHAnsi" w:cstheme="majorHAnsi"/>
          <w:b/>
          <w:bCs/>
          <w:lang w:eastAsia="el-GR"/>
        </w:rPr>
        <w:t>Уредба о моделу уговора о фид-ин тарифи за продају електричне енергије произведене у микро-когенерацијској јединици или малој когенерацији</w:t>
      </w:r>
      <w:r w:rsidR="00887834" w:rsidRPr="000A2AFE">
        <w:rPr>
          <w:rStyle w:val="FootnoteReference"/>
          <w:rFonts w:asciiTheme="majorHAnsi" w:eastAsia="Times New Roman" w:hAnsiTheme="majorHAnsi" w:cstheme="majorHAnsi"/>
          <w:b/>
          <w:bCs/>
          <w:lang w:val="sr-Cyrl-RS" w:eastAsia="el-GR"/>
        </w:rPr>
        <w:footnoteReference w:id="43"/>
      </w:r>
      <w:r w:rsidR="00163117" w:rsidRPr="00FF386D">
        <w:rPr>
          <w:rFonts w:asciiTheme="majorHAnsi" w:eastAsia="Times New Roman" w:hAnsiTheme="majorHAnsi" w:cstheme="majorHAnsi"/>
          <w:lang w:eastAsia="el-GR"/>
        </w:rPr>
        <w:t xml:space="preserve">. </w:t>
      </w:r>
      <w:r w:rsidR="00295B63">
        <w:rPr>
          <w:rFonts w:asciiTheme="majorHAnsi" w:eastAsia="Times New Roman" w:hAnsiTheme="majorHAnsi" w:cstheme="majorHAnsi"/>
          <w:lang w:eastAsia="el-GR"/>
        </w:rPr>
        <w:t xml:space="preserve">За пуну усклађеност недостаје још акт који се односи на План рехабилитације зграда централне власти, који треба да се усвоји у првом кварталу 2024. године. </w:t>
      </w:r>
      <w:r w:rsidRPr="00FF386D">
        <w:rPr>
          <w:rFonts w:asciiTheme="majorHAnsi" w:eastAsia="Times New Roman" w:hAnsiTheme="majorHAnsi" w:cstheme="majorHAnsi"/>
          <w:lang w:eastAsia="el-GR"/>
        </w:rPr>
        <w:t>У складу са овим одредбама, између осталог</w:t>
      </w:r>
      <w:r w:rsidR="00413E7C" w:rsidRPr="00FF386D">
        <w:rPr>
          <w:rFonts w:asciiTheme="majorHAnsi" w:eastAsia="Times New Roman" w:hAnsiTheme="majorHAnsi" w:cstheme="majorHAnsi"/>
          <w:lang w:eastAsia="el-GR"/>
        </w:rPr>
        <w:t>,</w:t>
      </w:r>
      <w:r w:rsidRPr="00FF386D">
        <w:rPr>
          <w:rFonts w:asciiTheme="majorHAnsi" w:eastAsia="Times New Roman" w:hAnsiTheme="majorHAnsi" w:cstheme="majorHAnsi"/>
          <w:lang w:eastAsia="el-GR"/>
        </w:rPr>
        <w:t xml:space="preserve"> предвиђено је да ће се у периоду након 2021. године циљеви у области енергетске ефикасности дефинисати </w:t>
      </w:r>
      <w:r w:rsidR="00413E7C" w:rsidRPr="00FF386D">
        <w:rPr>
          <w:rFonts w:asciiTheme="majorHAnsi" w:eastAsia="Times New Roman" w:hAnsiTheme="majorHAnsi" w:cstheme="majorHAnsi"/>
          <w:lang w:eastAsia="el-GR"/>
        </w:rPr>
        <w:t>преко</w:t>
      </w:r>
      <w:r w:rsidRPr="00FF386D">
        <w:rPr>
          <w:rFonts w:asciiTheme="majorHAnsi" w:eastAsia="Times New Roman" w:hAnsiTheme="majorHAnsi" w:cstheme="majorHAnsi"/>
          <w:lang w:eastAsia="el-GR"/>
        </w:rPr>
        <w:t xml:space="preserve"> ИНЕКП</w:t>
      </w:r>
      <w:r w:rsidR="00413E7C" w:rsidRPr="00FF386D">
        <w:rPr>
          <w:rFonts w:asciiTheme="majorHAnsi" w:eastAsia="Times New Roman" w:hAnsiTheme="majorHAnsi" w:cstheme="majorHAnsi"/>
          <w:lang w:eastAsia="el-GR"/>
        </w:rPr>
        <w:t>-а</w:t>
      </w:r>
      <w:r w:rsidRPr="00FF386D">
        <w:rPr>
          <w:rFonts w:asciiTheme="majorHAnsi" w:eastAsia="Times New Roman" w:hAnsiTheme="majorHAnsi" w:cstheme="majorHAnsi"/>
          <w:lang w:eastAsia="el-GR"/>
        </w:rPr>
        <w:t xml:space="preserve"> уместо </w:t>
      </w:r>
      <w:r w:rsidR="00413E7C" w:rsidRPr="00FF386D">
        <w:rPr>
          <w:rFonts w:asciiTheme="majorHAnsi" w:eastAsia="Times New Roman" w:hAnsiTheme="majorHAnsi" w:cstheme="majorHAnsi"/>
          <w:lang w:eastAsia="el-GR"/>
        </w:rPr>
        <w:t xml:space="preserve">путем </w:t>
      </w:r>
      <w:r w:rsidRPr="00FF386D">
        <w:rPr>
          <w:rFonts w:asciiTheme="majorHAnsi" w:eastAsia="Times New Roman" w:hAnsiTheme="majorHAnsi" w:cstheme="majorHAnsi"/>
          <w:lang w:eastAsia="el-GR"/>
        </w:rPr>
        <w:t>планов</w:t>
      </w:r>
      <w:r w:rsidR="00413E7C" w:rsidRPr="00FF386D">
        <w:rPr>
          <w:rFonts w:asciiTheme="majorHAnsi" w:eastAsia="Times New Roman" w:hAnsiTheme="majorHAnsi" w:cstheme="majorHAnsi"/>
          <w:lang w:eastAsia="el-GR"/>
        </w:rPr>
        <w:t>а</w:t>
      </w:r>
      <w:r w:rsidRPr="00FF386D">
        <w:rPr>
          <w:rFonts w:asciiTheme="majorHAnsi" w:eastAsia="Times New Roman" w:hAnsiTheme="majorHAnsi" w:cstheme="majorHAnsi"/>
          <w:lang w:eastAsia="el-GR"/>
        </w:rPr>
        <w:t xml:space="preserve"> енергетске ефикасности и то</w:t>
      </w:r>
      <w:r w:rsidR="00413E7C" w:rsidRPr="00FF386D">
        <w:rPr>
          <w:rFonts w:asciiTheme="majorHAnsi" w:eastAsia="Times New Roman" w:hAnsiTheme="majorHAnsi" w:cstheme="majorHAnsi"/>
          <w:lang w:eastAsia="el-GR"/>
        </w:rPr>
        <w:t>,</w:t>
      </w:r>
      <w:r w:rsidRPr="00FF386D">
        <w:rPr>
          <w:rFonts w:asciiTheme="majorHAnsi" w:eastAsia="Times New Roman" w:hAnsiTheme="majorHAnsi" w:cstheme="majorHAnsi"/>
          <w:lang w:eastAsia="el-GR"/>
        </w:rPr>
        <w:t xml:space="preserve"> индикативни циљ енергетске ефикасности, циљ кумулативне уштеде енергије као и циљ енергетске ефикасности за зграде централне власти.</w:t>
      </w:r>
    </w:p>
    <w:p w14:paraId="0D933CDB" w14:textId="0FE04704"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ЗЕЕРУЕ </w:t>
      </w:r>
      <w:r w:rsidR="00107C1E">
        <w:rPr>
          <w:rFonts w:asciiTheme="majorHAnsi" w:eastAsia="Times New Roman" w:hAnsiTheme="majorHAnsi" w:cstheme="majorHAnsi"/>
          <w:lang w:eastAsia="el-GR"/>
        </w:rPr>
        <w:t>и</w:t>
      </w:r>
      <w:r w:rsidR="00461519">
        <w:rPr>
          <w:rFonts w:asciiTheme="majorHAnsi" w:eastAsia="Times New Roman" w:hAnsiTheme="majorHAnsi" w:cstheme="majorHAnsi"/>
          <w:lang w:eastAsia="el-GR"/>
        </w:rPr>
        <w:t xml:space="preserve"> донети подзаконски акти</w:t>
      </w:r>
      <w:r w:rsidR="00107C1E">
        <w:rPr>
          <w:rFonts w:asciiTheme="majorHAnsi" w:eastAsia="Times New Roman" w:hAnsiTheme="majorHAnsi" w:cstheme="majorHAnsi"/>
          <w:lang w:eastAsia="el-GR"/>
        </w:rPr>
        <w:t xml:space="preserve"> су</w:t>
      </w:r>
      <w:r w:rsidRPr="00FF386D">
        <w:rPr>
          <w:rFonts w:asciiTheme="majorHAnsi" w:eastAsia="Times New Roman" w:hAnsiTheme="majorHAnsi" w:cstheme="majorHAnsi"/>
          <w:lang w:eastAsia="el-GR"/>
        </w:rPr>
        <w:t xml:space="preserve"> усклађен</w:t>
      </w:r>
      <w:r w:rsidR="00107C1E">
        <w:rPr>
          <w:rFonts w:asciiTheme="majorHAnsi" w:eastAsia="Times New Roman" w:hAnsiTheme="majorHAnsi" w:cstheme="majorHAnsi"/>
          <w:lang w:eastAsia="el-GR"/>
        </w:rPr>
        <w:t>и</w:t>
      </w:r>
      <w:r w:rsidRPr="00FF386D">
        <w:rPr>
          <w:rFonts w:asciiTheme="majorHAnsi" w:eastAsia="Times New Roman" w:hAnsiTheme="majorHAnsi" w:cstheme="majorHAnsi"/>
          <w:lang w:eastAsia="el-GR"/>
        </w:rPr>
        <w:t xml:space="preserve"> са </w:t>
      </w:r>
      <w:r w:rsidRPr="00FF386D">
        <w:rPr>
          <w:rFonts w:asciiTheme="majorHAnsi" w:eastAsia="Times New Roman" w:hAnsiTheme="majorHAnsi" w:cstheme="majorHAnsi"/>
          <w:b/>
          <w:lang w:eastAsia="el-GR"/>
        </w:rPr>
        <w:t>Уредбом (ЕУ) 2017/1369</w:t>
      </w:r>
      <w:r w:rsidRPr="00FF386D">
        <w:rPr>
          <w:rFonts w:asciiTheme="majorHAnsi" w:eastAsia="Times New Roman" w:hAnsiTheme="majorHAnsi" w:cstheme="majorHAnsi"/>
          <w:lang w:eastAsia="el-GR"/>
        </w:rPr>
        <w:t xml:space="preserve"> којом се успоставља оквир за означавање енергетске ефикасности и ставља ван снаге Директива 2010/30/ЕУ и са </w:t>
      </w:r>
      <w:r w:rsidRPr="00FF386D">
        <w:rPr>
          <w:rFonts w:asciiTheme="majorHAnsi" w:eastAsia="Times New Roman" w:hAnsiTheme="majorHAnsi" w:cstheme="majorHAnsi"/>
          <w:b/>
          <w:lang w:eastAsia="el-GR"/>
        </w:rPr>
        <w:t>Директивом 2009/125/ЕЗ</w:t>
      </w:r>
      <w:r w:rsidRPr="00FF386D">
        <w:rPr>
          <w:rFonts w:asciiTheme="majorHAnsi" w:eastAsia="Times New Roman" w:hAnsiTheme="majorHAnsi" w:cstheme="majorHAnsi"/>
          <w:lang w:eastAsia="el-GR"/>
        </w:rPr>
        <w:t xml:space="preserve"> којом се успоставља општи оквир за утврђивање захтева еко-дизајна за производе који утичу на потрошњу енергије. Осим тога ЗЕЕРУЕ је </w:t>
      </w:r>
      <w:r w:rsidR="0075343C" w:rsidRPr="00FF386D">
        <w:rPr>
          <w:rFonts w:asciiTheme="majorHAnsi" w:eastAsia="Times New Roman" w:hAnsiTheme="majorHAnsi" w:cstheme="majorHAnsi"/>
          <w:lang w:eastAsia="el-GR"/>
        </w:rPr>
        <w:t>транспоновао</w:t>
      </w:r>
      <w:r w:rsidRPr="00FF386D">
        <w:rPr>
          <w:rFonts w:asciiTheme="majorHAnsi" w:eastAsia="Times New Roman" w:hAnsiTheme="majorHAnsi" w:cstheme="majorHAnsi"/>
          <w:lang w:eastAsia="el-GR"/>
        </w:rPr>
        <w:t xml:space="preserve"> у правни систем Републике Србије и део </w:t>
      </w:r>
      <w:r w:rsidRPr="00FF386D">
        <w:rPr>
          <w:rFonts w:asciiTheme="majorHAnsi" w:eastAsia="Times New Roman" w:hAnsiTheme="majorHAnsi" w:cstheme="majorHAnsi"/>
          <w:lang w:eastAsia="el-GR"/>
        </w:rPr>
        <w:lastRenderedPageBreak/>
        <w:t xml:space="preserve">Директиве </w:t>
      </w:r>
      <w:bookmarkStart w:id="50" w:name="_Hlk59990651"/>
      <w:r w:rsidRPr="00FF386D">
        <w:rPr>
          <w:rFonts w:asciiTheme="majorHAnsi" w:eastAsia="Times New Roman" w:hAnsiTheme="majorHAnsi" w:cstheme="majorHAnsi"/>
          <w:lang w:eastAsia="el-GR"/>
        </w:rPr>
        <w:t>2010/31/ЕУ</w:t>
      </w:r>
      <w:bookmarkEnd w:id="50"/>
      <w:r w:rsidRPr="00FF386D">
        <w:rPr>
          <w:rFonts w:asciiTheme="majorHAnsi" w:eastAsia="Times New Roman" w:hAnsiTheme="majorHAnsi" w:cstheme="majorHAnsi"/>
          <w:lang w:eastAsia="el-GR"/>
        </w:rPr>
        <w:t xml:space="preserve"> о енергетској ефикасности зграда, са пратећим изменама и допунама, који се односи на преглед система за грејање и климатизацију.</w:t>
      </w:r>
    </w:p>
    <w:bookmarkEnd w:id="48"/>
    <w:p w14:paraId="64925BAC" w14:textId="27E490D1" w:rsidR="00EB3C75" w:rsidRPr="00FF386D" w:rsidRDefault="00EB3C75" w:rsidP="00EB3C75">
      <w:pPr>
        <w:spacing w:after="0" w:line="240" w:lineRule="auto"/>
        <w:jc w:val="both"/>
        <w:rPr>
          <w:rFonts w:asciiTheme="majorHAnsi" w:hAnsiTheme="majorHAnsi" w:cstheme="majorHAnsi"/>
          <w:lang w:eastAsia="en-GB"/>
        </w:rPr>
      </w:pPr>
      <w:r w:rsidRPr="00FF386D">
        <w:rPr>
          <w:rFonts w:asciiTheme="majorHAnsi" w:hAnsiTheme="majorHAnsi" w:cstheme="majorHAnsi"/>
          <w:lang w:eastAsia="en-GB"/>
        </w:rPr>
        <w:t xml:space="preserve">Република Србија је у претходном периоду усвојила четири </w:t>
      </w:r>
      <w:r w:rsidRPr="00FF386D">
        <w:rPr>
          <w:rFonts w:asciiTheme="majorHAnsi" w:hAnsiTheme="majorHAnsi" w:cstheme="majorHAnsi"/>
          <w:b/>
          <w:bCs/>
          <w:lang w:eastAsia="en-GB"/>
        </w:rPr>
        <w:t>Национална акциона плана за енергетску ефикасност (НАПЕЕ)</w:t>
      </w:r>
      <w:r w:rsidRPr="00FF386D">
        <w:rPr>
          <w:rFonts w:asciiTheme="majorHAnsi" w:hAnsiTheme="majorHAnsi" w:cstheme="majorHAnsi"/>
          <w:lang w:eastAsia="en-GB"/>
        </w:rPr>
        <w:t xml:space="preserve"> и то за периоде 2010-2012, 2013-2015, 2016-2018. и за период 2019 - 2021. </w:t>
      </w:r>
      <w:bookmarkStart w:id="51" w:name="_Hlk116747510"/>
      <w:bookmarkStart w:id="52" w:name="_Hlk116747544"/>
      <w:r w:rsidR="00413E7C" w:rsidRPr="00FF386D">
        <w:rPr>
          <w:rFonts w:asciiTheme="majorHAnsi" w:hAnsiTheme="majorHAnsi" w:cstheme="majorHAnsi"/>
          <w:lang w:eastAsia="en-GB"/>
        </w:rPr>
        <w:t>Овим</w:t>
      </w:r>
      <w:r w:rsidRPr="00FF386D">
        <w:rPr>
          <w:rFonts w:asciiTheme="majorHAnsi" w:hAnsiTheme="majorHAnsi" w:cstheme="majorHAnsi"/>
          <w:lang w:eastAsia="en-GB"/>
        </w:rPr>
        <w:t xml:space="preserve"> документ</w:t>
      </w:r>
      <w:r w:rsidR="00413E7C" w:rsidRPr="00FF386D">
        <w:rPr>
          <w:rFonts w:asciiTheme="majorHAnsi" w:hAnsiTheme="majorHAnsi" w:cstheme="majorHAnsi"/>
          <w:lang w:eastAsia="en-GB"/>
        </w:rPr>
        <w:t>има су</w:t>
      </w:r>
      <w:r w:rsidRPr="00FF386D">
        <w:rPr>
          <w:rFonts w:asciiTheme="majorHAnsi" w:hAnsiTheme="majorHAnsi" w:cstheme="majorHAnsi"/>
          <w:lang w:eastAsia="en-GB"/>
        </w:rPr>
        <w:t xml:space="preserve"> у претходном периоду постављени циљеви за унапређење енергетске ефикасности и дефинисане мере за њихово достизање</w:t>
      </w:r>
      <w:bookmarkEnd w:id="51"/>
      <w:r w:rsidRPr="00FF386D">
        <w:rPr>
          <w:rFonts w:asciiTheme="majorHAnsi" w:hAnsiTheme="majorHAnsi" w:cstheme="majorHAnsi"/>
          <w:lang w:eastAsia="en-GB"/>
        </w:rPr>
        <w:t xml:space="preserve">. </w:t>
      </w:r>
      <w:bookmarkEnd w:id="52"/>
      <w:r w:rsidRPr="00FF386D">
        <w:rPr>
          <w:rFonts w:asciiTheme="majorHAnsi" w:hAnsiTheme="majorHAnsi" w:cstheme="majorHAnsi"/>
          <w:lang w:eastAsia="en-GB"/>
        </w:rPr>
        <w:t xml:space="preserve">Последњи, </w:t>
      </w:r>
      <w:r w:rsidRPr="00FF386D">
        <w:rPr>
          <w:rFonts w:asciiTheme="majorHAnsi" w:hAnsiTheme="majorHAnsi" w:cstheme="majorHAnsi"/>
          <w:b/>
          <w:bCs/>
          <w:lang w:eastAsia="en-GB"/>
        </w:rPr>
        <w:t>Четврти акциони план за енергетску ефикасност</w:t>
      </w:r>
      <w:r w:rsidRPr="00FF386D">
        <w:rPr>
          <w:rFonts w:asciiTheme="majorHAnsi" w:hAnsiTheme="majorHAnsi" w:cstheme="majorHAnsi"/>
          <w:lang w:eastAsia="en-GB"/>
        </w:rPr>
        <w:t xml:space="preserve"> (4. НАПЕЕ) Републике Србије за период до 2021. године сачињен </w:t>
      </w:r>
      <w:r w:rsidR="00413E7C" w:rsidRPr="00FF386D">
        <w:rPr>
          <w:rFonts w:asciiTheme="majorHAnsi" w:hAnsiTheme="majorHAnsi" w:cstheme="majorHAnsi"/>
          <w:lang w:eastAsia="en-GB"/>
        </w:rPr>
        <w:t xml:space="preserve">је </w:t>
      </w:r>
      <w:r w:rsidRPr="00FF386D">
        <w:rPr>
          <w:rFonts w:asciiTheme="majorHAnsi" w:hAnsiTheme="majorHAnsi" w:cstheme="majorHAnsi"/>
          <w:lang w:eastAsia="en-GB"/>
        </w:rPr>
        <w:t>у складу са захтевима</w:t>
      </w:r>
      <w:r w:rsidR="007B784E">
        <w:rPr>
          <w:rFonts w:asciiTheme="majorHAnsi" w:hAnsiTheme="majorHAnsi" w:cstheme="majorHAnsi"/>
          <w:lang w:val="sr-Cyrl-CS" w:eastAsia="en-GB"/>
        </w:rPr>
        <w:t xml:space="preserve"> адаптиране</w:t>
      </w:r>
      <w:r w:rsidRPr="00FF386D">
        <w:rPr>
          <w:rFonts w:asciiTheme="majorHAnsi" w:hAnsiTheme="majorHAnsi" w:cstheme="majorHAnsi"/>
          <w:lang w:eastAsia="en-GB"/>
        </w:rPr>
        <w:t xml:space="preserve"> Директиве </w:t>
      </w:r>
      <w:r w:rsidRPr="00FF386D">
        <w:rPr>
          <w:rFonts w:asciiTheme="majorHAnsi" w:hAnsiTheme="majorHAnsi" w:cstheme="majorHAnsi"/>
          <w:b/>
          <w:bCs/>
          <w:lang w:eastAsia="en-GB"/>
        </w:rPr>
        <w:t>2012/27/ЕУ</w:t>
      </w:r>
      <w:r w:rsidRPr="00FF386D">
        <w:rPr>
          <w:rFonts w:asciiTheme="majorHAnsi" w:hAnsiTheme="majorHAnsi" w:cstheme="majorHAnsi"/>
          <w:lang w:eastAsia="en-GB"/>
        </w:rPr>
        <w:t xml:space="preserve"> коју је усвојио Министарски </w:t>
      </w:r>
      <w:r w:rsidR="00690304" w:rsidRPr="00FF386D">
        <w:rPr>
          <w:rFonts w:asciiTheme="majorHAnsi" w:hAnsiTheme="majorHAnsi" w:cstheme="majorHAnsi"/>
          <w:lang w:eastAsia="en-GB"/>
        </w:rPr>
        <w:t xml:space="preserve">савет </w:t>
      </w:r>
      <w:r w:rsidRPr="00FF386D">
        <w:rPr>
          <w:rFonts w:asciiTheme="majorHAnsi" w:hAnsiTheme="majorHAnsi" w:cstheme="majorHAnsi"/>
          <w:lang w:eastAsia="en-GB"/>
        </w:rPr>
        <w:t>Енергетске заједнице.</w:t>
      </w:r>
    </w:p>
    <w:p w14:paraId="5DD3C593" w14:textId="3AD08E78" w:rsidR="00EB3C75" w:rsidRPr="00FF386D" w:rsidRDefault="00EB3C75" w:rsidP="00EB3C75">
      <w:pPr>
        <w:spacing w:before="120" w:after="120" w:line="240" w:lineRule="auto"/>
        <w:jc w:val="both"/>
        <w:rPr>
          <w:rFonts w:asciiTheme="majorHAnsi" w:eastAsia="Times New Roman" w:hAnsiTheme="majorHAnsi" w:cstheme="majorHAnsi"/>
          <w:b/>
          <w:bCs/>
          <w:lang w:eastAsia="el-GR"/>
        </w:rPr>
      </w:pPr>
      <w:r w:rsidRPr="00FF386D">
        <w:rPr>
          <w:rFonts w:asciiTheme="majorHAnsi" w:eastAsia="Times New Roman" w:hAnsiTheme="majorHAnsi" w:cstheme="majorHAnsi"/>
          <w:lang w:eastAsia="el-GR"/>
        </w:rPr>
        <w:t>Закон о планирању и изградњи</w:t>
      </w:r>
      <w:r w:rsidR="00A743B3" w:rsidRPr="000A2AFE">
        <w:rPr>
          <w:rStyle w:val="FootnoteReference"/>
          <w:rFonts w:asciiTheme="majorHAnsi" w:eastAsia="Times New Roman" w:hAnsiTheme="majorHAnsi" w:cstheme="majorHAnsi"/>
          <w:lang w:val="sr-Cyrl-RS" w:eastAsia="el-GR"/>
        </w:rPr>
        <w:footnoteReference w:id="44"/>
      </w:r>
      <w:r w:rsidRPr="00FF386D">
        <w:rPr>
          <w:rFonts w:asciiTheme="majorHAnsi" w:eastAsia="Times New Roman" w:hAnsiTheme="majorHAnsi" w:cstheme="majorHAnsi"/>
          <w:lang w:eastAsia="el-GR"/>
        </w:rPr>
        <w:t xml:space="preserve"> из 2009. године дефинише обавезу издавања сертификата, односно обавезу пројектовања, изградње, употребе и одржавања зграда на начин који обезбеђује прописана енергетска својства. Поред тога, </w:t>
      </w:r>
      <w:r w:rsidRPr="00FF386D">
        <w:rPr>
          <w:rFonts w:asciiTheme="majorHAnsi" w:eastAsia="Times New Roman" w:hAnsiTheme="majorHAnsi" w:cstheme="majorHAnsi"/>
          <w:b/>
          <w:bCs/>
          <w:lang w:eastAsia="el-GR"/>
        </w:rPr>
        <w:t>Закон о изменама и допунама Закона о планирању и изградњи (ЗПИ)</w:t>
      </w:r>
      <w:r w:rsidR="005035DD" w:rsidRPr="000A2AFE">
        <w:rPr>
          <w:rStyle w:val="FootnoteReference"/>
          <w:rFonts w:asciiTheme="majorHAnsi" w:eastAsia="Times New Roman" w:hAnsiTheme="majorHAnsi" w:cstheme="majorHAnsi"/>
          <w:b/>
          <w:bCs/>
          <w:lang w:val="sr-Cyrl-RS" w:eastAsia="el-GR"/>
        </w:rPr>
        <w:footnoteReference w:id="45"/>
      </w:r>
      <w:r w:rsidR="00413E7C" w:rsidRPr="00FF386D">
        <w:rPr>
          <w:rFonts w:asciiTheme="majorHAnsi" w:eastAsia="Times New Roman" w:hAnsiTheme="majorHAnsi" w:cstheme="majorHAnsi"/>
          <w:b/>
          <w:bCs/>
          <w:lang w:eastAsia="el-GR"/>
        </w:rPr>
        <w:t>,</w:t>
      </w:r>
      <w:r w:rsidR="00413E7C" w:rsidRPr="00FF386D">
        <w:rPr>
          <w:rFonts w:asciiTheme="majorHAnsi" w:eastAsiaTheme="majorEastAsia" w:hAnsiTheme="majorHAnsi" w:cstheme="majorHAnsi"/>
          <w:vertAlign w:val="superscript"/>
          <w:lang w:eastAsia="el-GR"/>
        </w:rPr>
        <w:t xml:space="preserve"> </w:t>
      </w:r>
      <w:r w:rsidRPr="00FF386D">
        <w:rPr>
          <w:rFonts w:asciiTheme="majorHAnsi" w:eastAsia="Times New Roman" w:hAnsiTheme="majorHAnsi" w:cstheme="majorHAnsi"/>
          <w:lang w:eastAsia="el-GR"/>
        </w:rPr>
        <w:t xml:space="preserve">усвојен 2018. године, прописује обавезу издавања сертификата о енергетским својствима зграда, такозваних енергетских пасоша, путем Централног регистра енергетских пасоша (ЦРЕП), чиме је </w:t>
      </w:r>
      <w:r w:rsidR="00413E7C" w:rsidRPr="00FF386D">
        <w:rPr>
          <w:rFonts w:asciiTheme="majorHAnsi" w:eastAsia="Times New Roman" w:hAnsiTheme="majorHAnsi" w:cstheme="majorHAnsi"/>
          <w:lang w:eastAsia="el-GR"/>
        </w:rPr>
        <w:t>формирана</w:t>
      </w:r>
      <w:r w:rsidRPr="00FF386D">
        <w:rPr>
          <w:rFonts w:asciiTheme="majorHAnsi" w:eastAsia="Times New Roman" w:hAnsiTheme="majorHAnsi" w:cstheme="majorHAnsi"/>
          <w:lang w:eastAsia="el-GR"/>
        </w:rPr>
        <w:t xml:space="preserve"> база података о енергетским пасошима за територију Републике Србије</w:t>
      </w:r>
      <w:r w:rsidR="00C052EE">
        <w:rPr>
          <w:rStyle w:val="FootnoteReference"/>
          <w:rFonts w:asciiTheme="majorHAnsi" w:eastAsia="Times New Roman" w:hAnsiTheme="majorHAnsi" w:cstheme="majorHAnsi"/>
          <w:lang w:eastAsia="el-GR"/>
        </w:rPr>
        <w:footnoteReference w:id="46"/>
      </w:r>
      <w:r w:rsidRPr="00FF386D">
        <w:rPr>
          <w:rFonts w:asciiTheme="majorHAnsi" w:eastAsia="Times New Roman" w:hAnsiTheme="majorHAnsi" w:cstheme="majorHAnsi"/>
          <w:lang w:eastAsia="el-GR"/>
        </w:rPr>
        <w:t xml:space="preserve">, која садржи </w:t>
      </w:r>
      <w:r w:rsidR="002C40BD">
        <w:rPr>
          <w:rFonts w:asciiTheme="majorHAnsi" w:eastAsia="Times New Roman" w:hAnsiTheme="majorHAnsi" w:cstheme="majorHAnsi"/>
          <w:lang w:eastAsia="el-GR"/>
        </w:rPr>
        <w:t>11.789</w:t>
      </w:r>
      <w:r w:rsidRPr="00FF386D">
        <w:rPr>
          <w:rFonts w:asciiTheme="majorHAnsi" w:eastAsia="Times New Roman" w:hAnsiTheme="majorHAnsi" w:cstheme="majorHAnsi"/>
          <w:lang w:eastAsia="el-GR"/>
        </w:rPr>
        <w:t xml:space="preserve"> сертификата о енергетским својствима зграда</w:t>
      </w:r>
      <w:r w:rsidR="002C40BD">
        <w:rPr>
          <w:rFonts w:asciiTheme="majorHAnsi" w:eastAsia="Times New Roman" w:hAnsiTheme="majorHAnsi" w:cstheme="majorHAnsi"/>
          <w:lang w:eastAsia="el-GR"/>
        </w:rPr>
        <w:t xml:space="preserve"> од 2013. године до 14. новембра 2023. године</w:t>
      </w:r>
      <w:r w:rsidRPr="00FF386D">
        <w:rPr>
          <w:rFonts w:asciiTheme="majorHAnsi" w:eastAsia="Times New Roman" w:hAnsiTheme="majorHAnsi" w:cstheme="majorHAnsi"/>
          <w:lang w:eastAsia="el-GR"/>
        </w:rPr>
        <w:t>. Такође, изменама и допунама ЗПИ</w:t>
      </w:r>
      <w:r w:rsidRPr="00FF386D">
        <w:rPr>
          <w:rFonts w:asciiTheme="majorHAnsi" w:eastAsia="Times New Roman" w:hAnsiTheme="majorHAnsi" w:cstheme="majorHAnsi"/>
          <w:vertAlign w:val="superscript"/>
          <w:lang w:eastAsia="el-GR"/>
        </w:rPr>
        <w:footnoteReference w:id="47"/>
      </w:r>
      <w:r w:rsidR="00413E7C" w:rsidRPr="00FF386D">
        <w:rPr>
          <w:rFonts w:asciiTheme="majorHAnsi" w:eastAsia="Times New Roman" w:hAnsiTheme="majorHAnsi" w:cstheme="majorHAnsi"/>
          <w:lang w:eastAsia="el-GR"/>
        </w:rPr>
        <w:t xml:space="preserve"> у</w:t>
      </w:r>
      <w:r w:rsidRPr="00FF386D">
        <w:rPr>
          <w:rFonts w:asciiTheme="majorHAnsi" w:eastAsia="Times New Roman" w:hAnsiTheme="majorHAnsi" w:cstheme="majorHAnsi"/>
          <w:lang w:eastAsia="el-GR"/>
        </w:rPr>
        <w:t xml:space="preserve"> 2020. години, утврђен је правни основ за израду и усвајање </w:t>
      </w:r>
      <w:r w:rsidRPr="00FF386D">
        <w:rPr>
          <w:rFonts w:asciiTheme="majorHAnsi" w:eastAsia="Times New Roman" w:hAnsiTheme="majorHAnsi" w:cstheme="majorHAnsi"/>
          <w:b/>
          <w:bCs/>
          <w:lang w:eastAsia="el-GR"/>
        </w:rPr>
        <w:t>Дугорочне стратегије за подстицање улагања у обнову националног фонда зграда Републике Србије до 2050. године</w:t>
      </w:r>
      <w:r w:rsidRPr="00FF386D">
        <w:rPr>
          <w:rFonts w:asciiTheme="majorHAnsi" w:eastAsia="Times New Roman" w:hAnsiTheme="majorHAnsi" w:cstheme="majorHAnsi"/>
          <w:vertAlign w:val="superscript"/>
          <w:lang w:eastAsia="el-GR"/>
        </w:rPr>
        <w:footnoteReference w:id="48"/>
      </w:r>
      <w:r w:rsidRPr="00FF386D">
        <w:rPr>
          <w:rFonts w:asciiTheme="majorHAnsi" w:eastAsia="Times New Roman" w:hAnsiTheme="majorHAnsi" w:cstheme="majorHAnsi"/>
          <w:b/>
          <w:bCs/>
          <w:lang w:eastAsia="el-GR"/>
        </w:rPr>
        <w:t xml:space="preserve">, </w:t>
      </w:r>
      <w:r w:rsidRPr="00FF386D">
        <w:rPr>
          <w:rFonts w:asciiTheme="majorHAnsi" w:eastAsia="Times New Roman" w:hAnsiTheme="majorHAnsi" w:cstheme="majorHAnsi"/>
          <w:lang w:eastAsia="el-GR"/>
        </w:rPr>
        <w:t>која је</w:t>
      </w:r>
      <w:r w:rsidRPr="00FF386D">
        <w:rPr>
          <w:rFonts w:asciiTheme="majorHAnsi" w:eastAsia="Times New Roman" w:hAnsiTheme="majorHAnsi" w:cstheme="majorHAnsi"/>
          <w:b/>
          <w:bCs/>
          <w:lang w:eastAsia="el-GR"/>
        </w:rPr>
        <w:t xml:space="preserve"> </w:t>
      </w:r>
      <w:r w:rsidRPr="00FF386D">
        <w:rPr>
          <w:rFonts w:asciiTheme="majorHAnsi" w:eastAsia="Times New Roman" w:hAnsiTheme="majorHAnsi" w:cstheme="majorHAnsi"/>
          <w:lang w:eastAsia="el-GR"/>
        </w:rPr>
        <w:t xml:space="preserve">усвојена у првом кварталу 2022. године. Осим тога, према </w:t>
      </w:r>
      <w:r w:rsidRPr="00FF386D">
        <w:rPr>
          <w:rFonts w:asciiTheme="majorHAnsi" w:eastAsia="Times New Roman" w:hAnsiTheme="majorHAnsi" w:cstheme="majorHAnsi"/>
          <w:b/>
          <w:bCs/>
          <w:lang w:eastAsia="el-GR"/>
        </w:rPr>
        <w:t>Закону о становању и одржавању зграда</w:t>
      </w:r>
      <w:r w:rsidRPr="00FF386D">
        <w:rPr>
          <w:rFonts w:asciiTheme="majorHAnsi" w:eastAsia="Times New Roman" w:hAnsiTheme="majorHAnsi" w:cstheme="majorHAnsi"/>
          <w:vertAlign w:val="superscript"/>
          <w:lang w:eastAsia="el-GR"/>
        </w:rPr>
        <w:footnoteReference w:id="49"/>
      </w:r>
      <w:r w:rsidRPr="00FF386D">
        <w:rPr>
          <w:rFonts w:asciiTheme="majorHAnsi" w:eastAsia="Times New Roman" w:hAnsiTheme="majorHAnsi" w:cstheme="majorHAnsi"/>
          <w:lang w:eastAsia="el-GR"/>
        </w:rPr>
        <w:t xml:space="preserve">одрживи развој стамбеног простора представља један од кључних принципа за побољшање квалитета становања, кроз одговарајуће побољшање енергетске ефикасности. Коначно, </w:t>
      </w:r>
      <w:r w:rsidRPr="00FF386D">
        <w:rPr>
          <w:rFonts w:asciiTheme="majorHAnsi" w:eastAsia="Times New Roman" w:hAnsiTheme="majorHAnsi" w:cstheme="majorHAnsi"/>
          <w:b/>
          <w:bCs/>
          <w:lang w:eastAsia="el-GR"/>
        </w:rPr>
        <w:t>Правилник о енергетској ефикасности зграда</w:t>
      </w:r>
      <w:r w:rsidRPr="00FF386D">
        <w:rPr>
          <w:rFonts w:asciiTheme="majorHAnsi" w:eastAsia="Times New Roman" w:hAnsiTheme="majorHAnsi" w:cstheme="majorHAnsi"/>
          <w:vertAlign w:val="superscript"/>
          <w:lang w:eastAsia="el-GR"/>
        </w:rPr>
        <w:footnoteReference w:id="50"/>
      </w:r>
      <w:r w:rsidR="00413E7C" w:rsidRPr="00FF386D">
        <w:rPr>
          <w:rFonts w:asciiTheme="majorHAnsi" w:eastAsia="Times New Roman" w:hAnsiTheme="majorHAnsi" w:cstheme="majorHAnsi"/>
          <w:lang w:eastAsia="el-GR"/>
        </w:rPr>
        <w:t xml:space="preserve"> р</w:t>
      </w:r>
      <w:r w:rsidRPr="00FF386D">
        <w:rPr>
          <w:rFonts w:asciiTheme="majorHAnsi" w:eastAsia="Times New Roman" w:hAnsiTheme="majorHAnsi" w:cstheme="majorHAnsi"/>
          <w:lang w:eastAsia="el-GR"/>
        </w:rPr>
        <w:t xml:space="preserve">егулише техничке услове, као и </w:t>
      </w:r>
      <w:r w:rsidRPr="00FF386D">
        <w:rPr>
          <w:rFonts w:asciiTheme="majorHAnsi" w:eastAsia="Times New Roman" w:hAnsiTheme="majorHAnsi" w:cstheme="majorHAnsi"/>
          <w:b/>
          <w:bCs/>
          <w:lang w:eastAsia="el-GR"/>
        </w:rPr>
        <w:t>Правилник о условима, садржини и начину издавања сертификата о енергетским својствима зграда</w:t>
      </w:r>
      <w:r w:rsidRPr="00FF386D">
        <w:rPr>
          <w:rFonts w:asciiTheme="majorHAnsi" w:eastAsia="Times New Roman" w:hAnsiTheme="majorHAnsi" w:cstheme="majorHAnsi"/>
          <w:vertAlign w:val="superscript"/>
          <w:lang w:eastAsia="el-GR"/>
        </w:rPr>
        <w:footnoteReference w:id="51"/>
      </w:r>
      <w:r w:rsidR="00EE17DA" w:rsidRPr="000A2AFE">
        <w:rPr>
          <w:rFonts w:asciiTheme="majorHAnsi" w:eastAsia="Times New Roman" w:hAnsiTheme="majorHAnsi" w:cstheme="majorHAnsi"/>
          <w:lang w:eastAsia="el-GR"/>
        </w:rPr>
        <w:t xml:space="preserve">. У 2023. години Министарство грађевинарства, саобраћаја и инфраструктуре је предложило </w:t>
      </w:r>
      <w:r w:rsidR="003B45CB">
        <w:rPr>
          <w:rFonts w:asciiTheme="majorHAnsi" w:eastAsia="Times New Roman" w:hAnsiTheme="majorHAnsi" w:cstheme="majorHAnsi"/>
          <w:lang w:eastAsia="el-GR"/>
        </w:rPr>
        <w:t>н</w:t>
      </w:r>
      <w:r w:rsidR="00EE17DA" w:rsidRPr="000A2AFE">
        <w:rPr>
          <w:rFonts w:asciiTheme="majorHAnsi" w:eastAsia="Times New Roman" w:hAnsiTheme="majorHAnsi" w:cstheme="majorHAnsi"/>
          <w:lang w:eastAsia="el-GR"/>
        </w:rPr>
        <w:t xml:space="preserve">ацрт Закона о изменама и допунама Закона о планирању и изградњи, а Влада </w:t>
      </w:r>
      <w:r w:rsidR="003B45CB">
        <w:rPr>
          <w:rFonts w:asciiTheme="majorHAnsi" w:eastAsia="Times New Roman" w:hAnsiTheme="majorHAnsi" w:cstheme="majorHAnsi"/>
          <w:lang w:eastAsia="el-GR"/>
        </w:rPr>
        <w:t>је усвојила</w:t>
      </w:r>
      <w:r w:rsidR="00EE17DA" w:rsidRPr="000A2AFE">
        <w:rPr>
          <w:rFonts w:asciiTheme="majorHAnsi" w:eastAsia="Times New Roman" w:hAnsiTheme="majorHAnsi" w:cstheme="majorHAnsi"/>
          <w:lang w:eastAsia="el-GR"/>
        </w:rPr>
        <w:t xml:space="preserve"> </w:t>
      </w:r>
      <w:r w:rsidR="003B45CB">
        <w:rPr>
          <w:rFonts w:asciiTheme="majorHAnsi" w:eastAsia="Times New Roman" w:hAnsiTheme="majorHAnsi" w:cstheme="majorHAnsi"/>
          <w:lang w:eastAsia="el-GR"/>
        </w:rPr>
        <w:t>П</w:t>
      </w:r>
      <w:r w:rsidR="00EE17DA" w:rsidRPr="000A2AFE">
        <w:rPr>
          <w:rFonts w:asciiTheme="majorHAnsi" w:eastAsia="Times New Roman" w:hAnsiTheme="majorHAnsi" w:cstheme="majorHAnsi"/>
          <w:lang w:eastAsia="el-GR"/>
        </w:rPr>
        <w:t>редлог закона и п</w:t>
      </w:r>
      <w:r w:rsidR="003B45CB">
        <w:rPr>
          <w:rFonts w:asciiTheme="majorHAnsi" w:eastAsia="Times New Roman" w:hAnsiTheme="majorHAnsi" w:cstheme="majorHAnsi"/>
          <w:lang w:eastAsia="el-GR"/>
        </w:rPr>
        <w:t>однела</w:t>
      </w:r>
      <w:r w:rsidR="00EE17DA" w:rsidRPr="000A2AFE">
        <w:rPr>
          <w:rFonts w:asciiTheme="majorHAnsi" w:eastAsia="Times New Roman" w:hAnsiTheme="majorHAnsi" w:cstheme="majorHAnsi"/>
          <w:lang w:eastAsia="el-GR"/>
        </w:rPr>
        <w:t xml:space="preserve"> га Народној Скупштини на разматрање и усвајање. У предлогу Закона значајна пажња посвећена је даљем унапређењу енергетске ефика</w:t>
      </w:r>
      <w:r w:rsidR="003B45CB">
        <w:rPr>
          <w:rFonts w:asciiTheme="majorHAnsi" w:eastAsia="Times New Roman" w:hAnsiTheme="majorHAnsi" w:cstheme="majorHAnsi"/>
          <w:lang w:eastAsia="el-GR"/>
        </w:rPr>
        <w:t>с</w:t>
      </w:r>
      <w:r w:rsidR="00EE17DA" w:rsidRPr="000A2AFE">
        <w:rPr>
          <w:rFonts w:asciiTheme="majorHAnsi" w:eastAsia="Times New Roman" w:hAnsiTheme="majorHAnsi" w:cstheme="majorHAnsi"/>
          <w:lang w:eastAsia="el-GR"/>
        </w:rPr>
        <w:t>н</w:t>
      </w:r>
      <w:r w:rsidR="00795B2C">
        <w:rPr>
          <w:rFonts w:asciiTheme="majorHAnsi" w:eastAsia="Times New Roman" w:hAnsiTheme="majorHAnsi" w:cstheme="majorHAnsi"/>
          <w:lang w:eastAsia="el-GR"/>
        </w:rPr>
        <w:t>о</w:t>
      </w:r>
      <w:r w:rsidR="00EE17DA" w:rsidRPr="000A2AFE">
        <w:rPr>
          <w:rFonts w:asciiTheme="majorHAnsi" w:eastAsia="Times New Roman" w:hAnsiTheme="majorHAnsi" w:cstheme="majorHAnsi"/>
          <w:lang w:eastAsia="el-GR"/>
        </w:rPr>
        <w:t xml:space="preserve">сти: директно су транспоновани чланови 12 и 13 Директиве о енергетским </w:t>
      </w:r>
      <w:r w:rsidR="003B45CB">
        <w:rPr>
          <w:rFonts w:asciiTheme="majorHAnsi" w:eastAsia="Times New Roman" w:hAnsiTheme="majorHAnsi" w:cstheme="majorHAnsi"/>
          <w:lang w:eastAsia="el-GR"/>
        </w:rPr>
        <w:t>својствима</w:t>
      </w:r>
      <w:r w:rsidR="00EE17DA" w:rsidRPr="000A2AFE">
        <w:rPr>
          <w:rFonts w:asciiTheme="majorHAnsi" w:eastAsia="Times New Roman" w:hAnsiTheme="majorHAnsi" w:cstheme="majorHAnsi"/>
          <w:lang w:eastAsia="el-GR"/>
        </w:rPr>
        <w:t xml:space="preserve"> зграда 2010/31/ЕУ и предвиђена израда Националне методологије прорачуна енергетских </w:t>
      </w:r>
      <w:r w:rsidR="003B45CB">
        <w:rPr>
          <w:rFonts w:asciiTheme="majorHAnsi" w:eastAsia="Times New Roman" w:hAnsiTheme="majorHAnsi" w:cstheme="majorHAnsi"/>
          <w:lang w:eastAsia="el-GR"/>
        </w:rPr>
        <w:t>својст</w:t>
      </w:r>
      <w:r w:rsidR="00DB0B79">
        <w:rPr>
          <w:rFonts w:asciiTheme="majorHAnsi" w:eastAsia="Times New Roman" w:hAnsiTheme="majorHAnsi" w:cstheme="majorHAnsi"/>
          <w:lang w:val="sr-Cyrl-CS" w:eastAsia="el-GR"/>
        </w:rPr>
        <w:t>ав</w:t>
      </w:r>
      <w:r w:rsidR="003B45CB">
        <w:rPr>
          <w:rFonts w:asciiTheme="majorHAnsi" w:eastAsia="Times New Roman" w:hAnsiTheme="majorHAnsi" w:cstheme="majorHAnsi"/>
          <w:lang w:eastAsia="el-GR"/>
        </w:rPr>
        <w:t>а</w:t>
      </w:r>
      <w:r w:rsidR="00EE17DA" w:rsidRPr="000A2AFE">
        <w:rPr>
          <w:rFonts w:asciiTheme="majorHAnsi" w:eastAsia="Times New Roman" w:hAnsiTheme="majorHAnsi" w:cstheme="majorHAnsi"/>
          <w:lang w:eastAsia="el-GR"/>
        </w:rPr>
        <w:t xml:space="preserve"> зграда. Такође, Предлогом Закона предвиђено је и прописивање временског </w:t>
      </w:r>
      <w:r w:rsidR="003B45CB">
        <w:rPr>
          <w:rFonts w:asciiTheme="majorHAnsi" w:eastAsia="Times New Roman" w:hAnsiTheme="majorHAnsi" w:cstheme="majorHAnsi"/>
          <w:lang w:eastAsia="el-GR"/>
        </w:rPr>
        <w:t xml:space="preserve">рока </w:t>
      </w:r>
      <w:r w:rsidR="00EE17DA" w:rsidRPr="000A2AFE">
        <w:rPr>
          <w:rFonts w:asciiTheme="majorHAnsi" w:eastAsia="Times New Roman" w:hAnsiTheme="majorHAnsi" w:cstheme="majorHAnsi"/>
          <w:lang w:eastAsia="el-GR"/>
        </w:rPr>
        <w:t>важења енергетских пасоша – 10 година, као и обавеза прилагања енергетског сертификата приликом овере уговора о купопродаји непокретности или закључења уговора о закупу.</w:t>
      </w:r>
    </w:p>
    <w:p w14:paraId="204F8E6B" w14:textId="6DF65F97"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Нови </w:t>
      </w:r>
      <w:r w:rsidRPr="00FF386D">
        <w:rPr>
          <w:rFonts w:asciiTheme="majorHAnsi" w:eastAsia="Times New Roman" w:hAnsiTheme="majorHAnsi" w:cstheme="majorHAnsi"/>
          <w:b/>
          <w:bCs/>
          <w:lang w:eastAsia="el-GR"/>
        </w:rPr>
        <w:t>Закон о јавним набавкама</w:t>
      </w:r>
      <w:r w:rsidR="00977F16" w:rsidRPr="000A2AFE">
        <w:rPr>
          <w:rStyle w:val="FootnoteReference"/>
          <w:rFonts w:asciiTheme="majorHAnsi" w:eastAsia="Times New Roman" w:hAnsiTheme="majorHAnsi" w:cstheme="majorHAnsi"/>
          <w:b/>
          <w:bCs/>
          <w:lang w:val="sr-Cyrl-RS" w:eastAsia="el-GR"/>
        </w:rPr>
        <w:footnoteReference w:id="52"/>
      </w:r>
      <w:r w:rsidRPr="00FF386D">
        <w:rPr>
          <w:rFonts w:asciiTheme="majorHAnsi" w:eastAsia="Times New Roman" w:hAnsiTheme="majorHAnsi" w:cstheme="majorHAnsi"/>
          <w:lang w:eastAsia="el-GR"/>
        </w:rPr>
        <w:t xml:space="preserve"> </w:t>
      </w:r>
      <w:r w:rsidR="00413E7C" w:rsidRPr="00FF386D">
        <w:rPr>
          <w:rFonts w:asciiTheme="majorHAnsi" w:eastAsia="Times New Roman" w:hAnsiTheme="majorHAnsi" w:cstheme="majorHAnsi"/>
          <w:lang w:eastAsia="el-GR"/>
        </w:rPr>
        <w:t xml:space="preserve">који је </w:t>
      </w:r>
      <w:r w:rsidRPr="00FF386D">
        <w:rPr>
          <w:rFonts w:asciiTheme="majorHAnsi" w:eastAsia="Times New Roman" w:hAnsiTheme="majorHAnsi" w:cstheme="majorHAnsi"/>
          <w:lang w:eastAsia="el-GR"/>
        </w:rPr>
        <w:t xml:space="preserve">усвојен 2020. године </w:t>
      </w:r>
      <w:r w:rsidR="0075343C" w:rsidRPr="00FF386D">
        <w:rPr>
          <w:rFonts w:asciiTheme="majorHAnsi" w:eastAsia="Times New Roman" w:hAnsiTheme="majorHAnsi" w:cstheme="majorHAnsi"/>
          <w:lang w:eastAsia="el-GR"/>
        </w:rPr>
        <w:t>дефинише</w:t>
      </w:r>
      <w:r w:rsidRPr="00FF386D">
        <w:rPr>
          <w:rFonts w:asciiTheme="majorHAnsi" w:eastAsia="Times New Roman" w:hAnsiTheme="majorHAnsi" w:cstheme="majorHAnsi"/>
          <w:lang w:eastAsia="el-GR"/>
        </w:rPr>
        <w:t xml:space="preserve"> однос цене и квалитета укључујући квалитативне, еколошке и/или социјалне критеријуме, као и примену приступа економичности, као што су трошкови </w:t>
      </w:r>
      <w:r w:rsidR="0075343C" w:rsidRPr="00FF386D">
        <w:rPr>
          <w:rFonts w:asciiTheme="majorHAnsi" w:eastAsia="Times New Roman" w:hAnsiTheme="majorHAnsi" w:cstheme="majorHAnsi"/>
          <w:lang w:eastAsia="el-GR"/>
        </w:rPr>
        <w:t xml:space="preserve">животног циклуса у процесу набавке </w:t>
      </w:r>
      <w:r w:rsidRPr="00FF386D">
        <w:rPr>
          <w:rFonts w:asciiTheme="majorHAnsi" w:eastAsia="Times New Roman" w:hAnsiTheme="majorHAnsi" w:cstheme="majorHAnsi"/>
          <w:lang w:eastAsia="el-GR"/>
        </w:rPr>
        <w:t xml:space="preserve">добара, услуга или радова. У том контексту, Србија је усвојила </w:t>
      </w:r>
      <w:r w:rsidRPr="00FF386D">
        <w:rPr>
          <w:rFonts w:asciiTheme="majorHAnsi" w:eastAsia="Times New Roman" w:hAnsiTheme="majorHAnsi" w:cstheme="majorHAnsi"/>
          <w:b/>
          <w:bCs/>
          <w:lang w:eastAsia="el-GR"/>
        </w:rPr>
        <w:t>Програм развоја јавних набавки у Републици Србији за период 2019-2023</w:t>
      </w:r>
      <w:r w:rsidRPr="00FF386D">
        <w:rPr>
          <w:rFonts w:asciiTheme="majorHAnsi" w:eastAsia="Times New Roman" w:hAnsiTheme="majorHAnsi" w:cstheme="majorHAnsi"/>
          <w:vertAlign w:val="superscript"/>
          <w:lang w:eastAsia="el-GR"/>
        </w:rPr>
        <w:footnoteReference w:id="53"/>
      </w:r>
      <w:r w:rsidR="003B45CB">
        <w:rPr>
          <w:rFonts w:asciiTheme="majorHAnsi" w:eastAsia="Times New Roman" w:hAnsiTheme="majorHAnsi" w:cstheme="majorHAnsi"/>
          <w:b/>
          <w:bCs/>
          <w:lang w:eastAsia="el-GR"/>
        </w:rPr>
        <w:t>. године</w:t>
      </w:r>
      <w:r w:rsidR="00413E7C" w:rsidRPr="00FF386D">
        <w:rPr>
          <w:rFonts w:asciiTheme="majorHAnsi" w:eastAsia="Times New Roman" w:hAnsiTheme="majorHAnsi" w:cstheme="majorHAnsi"/>
          <w:lang w:eastAsia="el-GR"/>
        </w:rPr>
        <w:t xml:space="preserve"> к</w:t>
      </w:r>
      <w:r w:rsidRPr="00FF386D">
        <w:rPr>
          <w:rFonts w:asciiTheme="majorHAnsi" w:eastAsia="Times New Roman" w:hAnsiTheme="majorHAnsi" w:cstheme="majorHAnsi"/>
          <w:lang w:eastAsia="el-GR"/>
        </w:rPr>
        <w:t xml:space="preserve">оји </w:t>
      </w:r>
      <w:r w:rsidR="00413E7C" w:rsidRPr="00FF386D">
        <w:rPr>
          <w:rFonts w:asciiTheme="majorHAnsi" w:eastAsia="Times New Roman" w:hAnsiTheme="majorHAnsi" w:cstheme="majorHAnsi"/>
          <w:lang w:eastAsia="el-GR"/>
        </w:rPr>
        <w:t>д</w:t>
      </w:r>
      <w:r w:rsidR="0075343C" w:rsidRPr="00FF386D">
        <w:rPr>
          <w:rFonts w:asciiTheme="majorHAnsi" w:eastAsia="Times New Roman" w:hAnsiTheme="majorHAnsi" w:cstheme="majorHAnsi"/>
          <w:lang w:eastAsia="el-GR"/>
        </w:rPr>
        <w:t>ефинише</w:t>
      </w:r>
      <w:r w:rsidRPr="00FF386D">
        <w:rPr>
          <w:rFonts w:asciiTheme="majorHAnsi" w:eastAsia="Times New Roman" w:hAnsiTheme="majorHAnsi" w:cstheme="majorHAnsi"/>
          <w:lang w:eastAsia="el-GR"/>
        </w:rPr>
        <w:t xml:space="preserve"> посебне приоритете у систему јавних набавки, узимајући у обзир релевантну стратегију ЕУ и фокусирајући се на зелени и социјални аспект.</w:t>
      </w:r>
    </w:p>
    <w:p w14:paraId="27175592" w14:textId="1DC81AED"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Поред тога, </w:t>
      </w:r>
      <w:r w:rsidRPr="00FF386D">
        <w:rPr>
          <w:rFonts w:asciiTheme="majorHAnsi" w:eastAsia="Times New Roman" w:hAnsiTheme="majorHAnsi" w:cstheme="majorHAnsi"/>
          <w:b/>
          <w:lang w:eastAsia="el-GR"/>
        </w:rPr>
        <w:t>Законом о накнадама за коришћење јавних добара</w:t>
      </w:r>
      <w:r w:rsidR="004334A9" w:rsidRPr="00FF386D">
        <w:rPr>
          <w:rStyle w:val="FootnoteReference"/>
          <w:rFonts w:asciiTheme="majorHAnsi" w:eastAsia="Times New Roman" w:hAnsiTheme="majorHAnsi" w:cstheme="majorHAnsi"/>
          <w:b/>
          <w:lang w:val="sr-Cyrl-RS" w:eastAsia="el-GR"/>
        </w:rPr>
        <w:footnoteReference w:id="54"/>
      </w:r>
      <w:r w:rsidRPr="00FF386D">
        <w:rPr>
          <w:rFonts w:asciiTheme="majorHAnsi" w:eastAsia="Times New Roman" w:hAnsiTheme="majorHAnsi" w:cstheme="majorHAnsi"/>
          <w:lang w:eastAsia="el-GR"/>
        </w:rPr>
        <w:t xml:space="preserve"> предвиђена је накнада за </w:t>
      </w:r>
      <w:r w:rsidR="0075343C" w:rsidRPr="00FF386D">
        <w:rPr>
          <w:rFonts w:asciiTheme="majorHAnsi" w:eastAsia="Times New Roman" w:hAnsiTheme="majorHAnsi" w:cstheme="majorHAnsi"/>
          <w:lang w:eastAsia="el-GR"/>
        </w:rPr>
        <w:t>унапређење</w:t>
      </w:r>
      <w:r w:rsidRPr="00FF386D">
        <w:rPr>
          <w:rFonts w:asciiTheme="majorHAnsi" w:eastAsia="Times New Roman" w:hAnsiTheme="majorHAnsi" w:cstheme="majorHAnsi"/>
          <w:lang w:eastAsia="el-GR"/>
        </w:rPr>
        <w:t xml:space="preserve"> енергетске ефикасности за енергетске субјекте који обављају енергетске делатности снабдевања електричном енергијом, снабдевања природним гасом и јавног снабдевања природним гасом, као и за енергетске субјекте који обављају енергетску делатност производње </w:t>
      </w:r>
      <w:r w:rsidR="00413E7C" w:rsidRPr="00FF386D">
        <w:rPr>
          <w:rFonts w:asciiTheme="majorHAnsi" w:eastAsia="Times New Roman" w:hAnsiTheme="majorHAnsi" w:cstheme="majorHAnsi"/>
          <w:lang w:eastAsia="el-GR"/>
        </w:rPr>
        <w:t xml:space="preserve">деривата </w:t>
      </w:r>
      <w:r w:rsidRPr="00FF386D">
        <w:rPr>
          <w:rFonts w:asciiTheme="majorHAnsi" w:eastAsia="Times New Roman" w:hAnsiTheme="majorHAnsi" w:cstheme="majorHAnsi"/>
          <w:lang w:eastAsia="el-GR"/>
        </w:rPr>
        <w:t>нафт</w:t>
      </w:r>
      <w:r w:rsidR="00413E7C" w:rsidRPr="00FF386D">
        <w:rPr>
          <w:rFonts w:asciiTheme="majorHAnsi" w:eastAsia="Times New Roman" w:hAnsiTheme="majorHAnsi" w:cstheme="majorHAnsi"/>
          <w:lang w:eastAsia="el-GR"/>
        </w:rPr>
        <w:t>е</w:t>
      </w:r>
      <w:r w:rsidRPr="00FF386D">
        <w:rPr>
          <w:rFonts w:asciiTheme="majorHAnsi" w:eastAsia="Times New Roman" w:hAnsiTheme="majorHAnsi" w:cstheme="majorHAnsi"/>
          <w:lang w:eastAsia="el-GR"/>
        </w:rPr>
        <w:t xml:space="preserve"> и трговине нафтом, </w:t>
      </w:r>
      <w:r w:rsidRPr="00FF386D">
        <w:rPr>
          <w:rFonts w:asciiTheme="majorHAnsi" w:eastAsia="Times New Roman" w:hAnsiTheme="majorHAnsi" w:cstheme="majorHAnsi"/>
          <w:lang w:eastAsia="el-GR"/>
        </w:rPr>
        <w:lastRenderedPageBreak/>
        <w:t>дериватима</w:t>
      </w:r>
      <w:r w:rsidR="00413E7C" w:rsidRPr="00FF386D">
        <w:rPr>
          <w:rFonts w:asciiTheme="majorHAnsi" w:eastAsia="Times New Roman" w:hAnsiTheme="majorHAnsi" w:cstheme="majorHAnsi"/>
          <w:lang w:eastAsia="el-GR"/>
        </w:rPr>
        <w:t xml:space="preserve"> нафте,</w:t>
      </w:r>
      <w:r w:rsidRPr="00FF386D">
        <w:rPr>
          <w:rFonts w:asciiTheme="majorHAnsi" w:eastAsia="Times New Roman" w:hAnsiTheme="majorHAnsi" w:cstheme="majorHAnsi"/>
          <w:lang w:eastAsia="el-GR"/>
        </w:rPr>
        <w:t xml:space="preserve"> биогоривима итд. Министарство рударства и енергетике </w:t>
      </w:r>
      <w:r w:rsidR="00413E7C" w:rsidRPr="00FF386D">
        <w:rPr>
          <w:rFonts w:asciiTheme="majorHAnsi" w:eastAsia="Times New Roman" w:hAnsiTheme="majorHAnsi" w:cstheme="majorHAnsi"/>
          <w:lang w:eastAsia="el-GR"/>
        </w:rPr>
        <w:t>усвојило је</w:t>
      </w:r>
      <w:r w:rsidRPr="00FF386D">
        <w:rPr>
          <w:rFonts w:asciiTheme="majorHAnsi" w:eastAsia="Times New Roman" w:hAnsiTheme="majorHAnsi" w:cstheme="majorHAnsi"/>
          <w:lang w:eastAsia="el-GR"/>
        </w:rPr>
        <w:t xml:space="preserve"> 2019. годин</w:t>
      </w:r>
      <w:r w:rsidR="00413E7C" w:rsidRPr="00FF386D">
        <w:rPr>
          <w:rFonts w:asciiTheme="majorHAnsi" w:eastAsia="Times New Roman" w:hAnsiTheme="majorHAnsi" w:cstheme="majorHAnsi"/>
          <w:lang w:eastAsia="el-GR"/>
        </w:rPr>
        <w:t>е</w:t>
      </w:r>
      <w:r w:rsidRPr="00FF386D">
        <w:rPr>
          <w:rFonts w:asciiTheme="majorHAnsi" w:eastAsia="Times New Roman" w:hAnsiTheme="majorHAnsi" w:cstheme="majorHAnsi"/>
          <w:lang w:eastAsia="el-GR"/>
        </w:rPr>
        <w:t xml:space="preserve"> одговарајући </w:t>
      </w:r>
      <w:r w:rsidRPr="00FF386D">
        <w:rPr>
          <w:rFonts w:asciiTheme="majorHAnsi" w:eastAsia="Times New Roman" w:hAnsiTheme="majorHAnsi" w:cstheme="majorHAnsi"/>
          <w:b/>
          <w:bCs/>
          <w:lang w:eastAsia="el-GR"/>
        </w:rPr>
        <w:t>Правилник о обрасцу пријаве за евиденцију обвезника накнаде за унапређење енергетске ефикасности,</w:t>
      </w:r>
      <w:r w:rsidRPr="00FF386D">
        <w:rPr>
          <w:rFonts w:asciiTheme="majorHAnsi" w:eastAsia="Times New Roman" w:hAnsiTheme="majorHAnsi" w:cstheme="majorHAnsi"/>
          <w:lang w:eastAsia="el-GR"/>
        </w:rPr>
        <w:t xml:space="preserve"> обрасцу месечног и годишњег обрачуна количина енергије/ енергената испоручених потрошачима или стављених у промет на територији </w:t>
      </w:r>
      <w:r w:rsidR="00477920" w:rsidRPr="00FF386D">
        <w:rPr>
          <w:rFonts w:asciiTheme="majorHAnsi" w:eastAsia="Times New Roman" w:hAnsiTheme="majorHAnsi" w:cstheme="majorHAnsi"/>
          <w:lang w:eastAsia="el-GR"/>
        </w:rPr>
        <w:t>Р</w:t>
      </w:r>
      <w:r w:rsidRPr="00FF386D">
        <w:rPr>
          <w:rFonts w:asciiTheme="majorHAnsi" w:eastAsia="Times New Roman" w:hAnsiTheme="majorHAnsi" w:cstheme="majorHAnsi"/>
          <w:lang w:eastAsia="el-GR"/>
        </w:rPr>
        <w:t xml:space="preserve">епублике </w:t>
      </w:r>
      <w:r w:rsidR="00477920" w:rsidRPr="00FF386D">
        <w:rPr>
          <w:rFonts w:asciiTheme="majorHAnsi" w:eastAsia="Times New Roman" w:hAnsiTheme="majorHAnsi" w:cstheme="majorHAnsi"/>
          <w:lang w:eastAsia="el-GR"/>
        </w:rPr>
        <w:t>С</w:t>
      </w:r>
      <w:r w:rsidRPr="00FF386D">
        <w:rPr>
          <w:rFonts w:asciiTheme="majorHAnsi" w:eastAsia="Times New Roman" w:hAnsiTheme="majorHAnsi" w:cstheme="majorHAnsi"/>
          <w:lang w:eastAsia="el-GR"/>
        </w:rPr>
        <w:t>рбије, односно увезених на територију Републике Србије, обрасцу месечног и годишњег обрачуна обавезе плаћања накнаде, обрасцу извештаја о уплати, као и начину достављања ових образаца</w:t>
      </w:r>
      <w:r w:rsidR="00061288" w:rsidRPr="00FF386D">
        <w:rPr>
          <w:rStyle w:val="FootnoteReference"/>
          <w:rFonts w:asciiTheme="majorHAnsi" w:eastAsia="Times New Roman" w:hAnsiTheme="majorHAnsi" w:cstheme="majorHAnsi"/>
          <w:lang w:val="sr-Cyrl-RS" w:eastAsia="el-GR"/>
        </w:rPr>
        <w:footnoteReference w:id="55"/>
      </w:r>
      <w:r w:rsidR="00061288"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lang w:eastAsia="el-GR"/>
        </w:rPr>
        <w:t>за евидентирање субјеката обвезника плаћања накнаде за унапређење енергетске ефикасности од јула 2019. године.</w:t>
      </w:r>
    </w:p>
    <w:p w14:paraId="453A8C71" w14:textId="38F38B2E"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У 2017. години, усвојена је </w:t>
      </w:r>
      <w:r w:rsidRPr="00FF386D">
        <w:rPr>
          <w:rFonts w:asciiTheme="majorHAnsi" w:eastAsia="Times New Roman" w:hAnsiTheme="majorHAnsi" w:cstheme="majorHAnsi"/>
          <w:b/>
          <w:bCs/>
          <w:lang w:eastAsia="el-GR"/>
        </w:rPr>
        <w:t>Уредба о утврђивању Програма остваривања Стратегије развоја енергетике Републике Србије до 2025. године за период од 2017. до 2023</w:t>
      </w:r>
      <w:r w:rsidRPr="00FF386D">
        <w:rPr>
          <w:rFonts w:asciiTheme="majorHAnsi" w:eastAsia="Times New Roman" w:hAnsiTheme="majorHAnsi" w:cstheme="majorHAnsi"/>
          <w:b/>
          <w:bCs/>
          <w:vertAlign w:val="superscript"/>
          <w:lang w:eastAsia="el-GR"/>
        </w:rPr>
        <w:footnoteReference w:id="56"/>
      </w:r>
      <w:r w:rsidRPr="00FF386D">
        <w:rPr>
          <w:rFonts w:asciiTheme="majorHAnsi" w:eastAsia="Times New Roman" w:hAnsiTheme="majorHAnsi" w:cstheme="majorHAnsi"/>
          <w:lang w:eastAsia="el-GR"/>
        </w:rPr>
        <w:t xml:space="preserve">. </w:t>
      </w:r>
      <w:bookmarkStart w:id="53" w:name="_Hlk116747872"/>
      <w:r w:rsidRPr="00FF386D">
        <w:rPr>
          <w:rFonts w:asciiTheme="majorHAnsi" w:eastAsia="Times New Roman" w:hAnsiTheme="majorHAnsi" w:cstheme="majorHAnsi"/>
          <w:lang w:eastAsia="el-GR"/>
        </w:rPr>
        <w:t xml:space="preserve">Овим програмом утврђени су циљеви у погледу енергетске ефикасности у складу са </w:t>
      </w:r>
      <w:r w:rsidR="00061562">
        <w:rPr>
          <w:rFonts w:asciiTheme="majorHAnsi" w:eastAsia="Times New Roman" w:hAnsiTheme="majorHAnsi" w:cstheme="majorHAnsi"/>
          <w:lang w:eastAsia="el-GR"/>
        </w:rPr>
        <w:t>Д</w:t>
      </w:r>
      <w:r w:rsidRPr="00FF386D">
        <w:rPr>
          <w:rFonts w:asciiTheme="majorHAnsi" w:eastAsia="Times New Roman" w:hAnsiTheme="majorHAnsi" w:cstheme="majorHAnsi"/>
          <w:lang w:eastAsia="el-GR"/>
        </w:rPr>
        <w:t>ЕЕ директивом до 2020. године укључујући циљ кумулативне уштеде енергије и индикативни циљ у облику максимално дозвољене потрошње финалне односно примарне енергије.</w:t>
      </w:r>
    </w:p>
    <w:p w14:paraId="722AB30C" w14:textId="1FBE276F"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На основу ЗЕКЕ, у периоду од 2014-2021</w:t>
      </w:r>
      <w:r w:rsidR="00061562">
        <w:rPr>
          <w:rFonts w:asciiTheme="majorHAnsi" w:eastAsia="Times New Roman" w:hAnsiTheme="majorHAnsi" w:cstheme="majorHAnsi"/>
          <w:lang w:eastAsia="el-GR"/>
        </w:rPr>
        <w:t>.</w:t>
      </w:r>
      <w:r w:rsidRPr="00FF386D">
        <w:rPr>
          <w:rFonts w:asciiTheme="majorHAnsi" w:eastAsia="Times New Roman" w:hAnsiTheme="majorHAnsi" w:cstheme="majorHAnsi"/>
          <w:lang w:eastAsia="el-GR"/>
        </w:rPr>
        <w:t xml:space="preserve"> године</w:t>
      </w:r>
      <w:r w:rsidR="0001046D" w:rsidRPr="00FF386D">
        <w:rPr>
          <w:rFonts w:asciiTheme="majorHAnsi" w:eastAsia="Times New Roman" w:hAnsiTheme="majorHAnsi" w:cstheme="majorHAnsi"/>
          <w:lang w:eastAsia="el-GR"/>
        </w:rPr>
        <w:t>,</w:t>
      </w:r>
      <w:r w:rsidRPr="00FF386D">
        <w:rPr>
          <w:rFonts w:asciiTheme="majorHAnsi" w:eastAsia="Times New Roman" w:hAnsiTheme="majorHAnsi" w:cstheme="majorHAnsi"/>
          <w:lang w:eastAsia="el-GR"/>
        </w:rPr>
        <w:t xml:space="preserve"> средства подстицаја за унапређење енергетске ефикасности обезбеђена су у оквиру Буџетског фонда за унапређење енергетске ефикасности, буџетске линије чијим средствима је управљало Министарство рударства и енергетике. У том периоду спроведено је 7 јавних позива за доделу средстава за унапређење енергетске ефикасности објеката од јавног значаја на локалном нивоу кроз које је реализовано 107 пројеката укупне вредности око 14,4 мил</w:t>
      </w:r>
      <w:r w:rsidR="0001046D" w:rsidRPr="00FF386D">
        <w:rPr>
          <w:rFonts w:asciiTheme="majorHAnsi" w:eastAsia="Times New Roman" w:hAnsiTheme="majorHAnsi" w:cstheme="majorHAnsi"/>
          <w:lang w:eastAsia="el-GR"/>
        </w:rPr>
        <w:t>иона</w:t>
      </w:r>
      <w:r w:rsidRPr="00FF386D">
        <w:rPr>
          <w:rFonts w:asciiTheme="majorHAnsi" w:eastAsia="Times New Roman" w:hAnsiTheme="majorHAnsi" w:cstheme="majorHAnsi"/>
          <w:lang w:eastAsia="el-GR"/>
        </w:rPr>
        <w:t xml:space="preserve"> евра (средства Буџетског фонда око 8,9 мил</w:t>
      </w:r>
      <w:r w:rsidR="0001046D" w:rsidRPr="00FF386D">
        <w:rPr>
          <w:rFonts w:asciiTheme="majorHAnsi" w:eastAsia="Times New Roman" w:hAnsiTheme="majorHAnsi" w:cstheme="majorHAnsi"/>
          <w:lang w:eastAsia="el-GR"/>
        </w:rPr>
        <w:t>иона</w:t>
      </w:r>
      <w:r w:rsidRPr="00FF386D">
        <w:rPr>
          <w:rFonts w:asciiTheme="majorHAnsi" w:eastAsia="Times New Roman" w:hAnsiTheme="majorHAnsi" w:cstheme="majorHAnsi"/>
          <w:lang w:eastAsia="el-GR"/>
        </w:rPr>
        <w:t xml:space="preserve"> евра) а у складу са Уредбама о утврђивању Програма финансирања активности и мера унапређења ефикасног коришћења енергије које Влада Републике Србије на предлог Министарства рударства и енергетике (МРЕ) доноси сваке године. У том контексту, спроведене су и значајне активности у вези са обн</w:t>
      </w:r>
      <w:r w:rsidR="0001046D" w:rsidRPr="00FF386D">
        <w:rPr>
          <w:rFonts w:asciiTheme="majorHAnsi" w:eastAsia="Times New Roman" w:hAnsiTheme="majorHAnsi" w:cstheme="majorHAnsi"/>
          <w:lang w:eastAsia="el-GR"/>
        </w:rPr>
        <w:t>овом</w:t>
      </w:r>
      <w:r w:rsidRPr="00FF386D">
        <w:rPr>
          <w:rFonts w:asciiTheme="majorHAnsi" w:eastAsia="Times New Roman" w:hAnsiTheme="majorHAnsi" w:cstheme="majorHAnsi"/>
          <w:lang w:eastAsia="el-GR"/>
        </w:rPr>
        <w:t xml:space="preserve"> зграда у земљи од стране разних домаћих институција</w:t>
      </w:r>
      <w:r w:rsidR="0001046D" w:rsidRPr="00FF386D">
        <w:rPr>
          <w:rFonts w:asciiTheme="majorHAnsi" w:eastAsia="Times New Roman" w:hAnsiTheme="majorHAnsi" w:cstheme="majorHAnsi"/>
          <w:lang w:eastAsia="el-GR"/>
        </w:rPr>
        <w:t>,</w:t>
      </w:r>
      <w:r w:rsidRPr="00FF386D">
        <w:rPr>
          <w:rFonts w:asciiTheme="majorHAnsi" w:eastAsia="Times New Roman" w:hAnsiTheme="majorHAnsi" w:cstheme="majorHAnsi"/>
          <w:lang w:eastAsia="el-GR"/>
        </w:rPr>
        <w:t xml:space="preserve"> као и уз помоћ </w:t>
      </w:r>
      <w:r w:rsidR="0001046D" w:rsidRPr="00FF386D">
        <w:rPr>
          <w:rFonts w:asciiTheme="majorHAnsi" w:eastAsia="Times New Roman" w:hAnsiTheme="majorHAnsi" w:cstheme="majorHAnsi"/>
          <w:lang w:eastAsia="el-GR"/>
        </w:rPr>
        <w:t>м</w:t>
      </w:r>
      <w:r w:rsidRPr="00FF386D">
        <w:rPr>
          <w:rFonts w:asciiTheme="majorHAnsi" w:eastAsia="Times New Roman" w:hAnsiTheme="majorHAnsi" w:cstheme="majorHAnsi"/>
          <w:lang w:eastAsia="el-GR"/>
        </w:rPr>
        <w:t>еђународних финансијских институција и донатора.</w:t>
      </w:r>
    </w:p>
    <w:p w14:paraId="6B23D80E" w14:textId="16903BF8"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Једна од најзначајнијих новина коју је донео ЗЕЕРУЕ </w:t>
      </w:r>
      <w:r w:rsidR="0001046D" w:rsidRPr="00FF386D">
        <w:rPr>
          <w:rFonts w:asciiTheme="majorHAnsi" w:eastAsia="Times New Roman" w:hAnsiTheme="majorHAnsi" w:cstheme="majorHAnsi"/>
          <w:lang w:eastAsia="el-GR"/>
        </w:rPr>
        <w:t>представља</w:t>
      </w:r>
      <w:r w:rsidRPr="00FF386D">
        <w:rPr>
          <w:rFonts w:asciiTheme="majorHAnsi" w:eastAsia="Times New Roman" w:hAnsiTheme="majorHAnsi" w:cstheme="majorHAnsi"/>
          <w:lang w:eastAsia="el-GR"/>
        </w:rPr>
        <w:t xml:space="preserve"> правни основ за </w:t>
      </w:r>
      <w:r w:rsidR="0075343C" w:rsidRPr="00FF386D">
        <w:rPr>
          <w:rFonts w:asciiTheme="majorHAnsi" w:eastAsia="Times New Roman" w:hAnsiTheme="majorHAnsi" w:cstheme="majorHAnsi"/>
          <w:lang w:eastAsia="el-GR"/>
        </w:rPr>
        <w:t>осн</w:t>
      </w:r>
      <w:r w:rsidR="00061562">
        <w:rPr>
          <w:rFonts w:asciiTheme="majorHAnsi" w:eastAsia="Times New Roman" w:hAnsiTheme="majorHAnsi" w:cstheme="majorHAnsi"/>
          <w:lang w:eastAsia="el-GR"/>
        </w:rPr>
        <w:t>и</w:t>
      </w:r>
      <w:r w:rsidR="0075343C" w:rsidRPr="00FF386D">
        <w:rPr>
          <w:rFonts w:asciiTheme="majorHAnsi" w:eastAsia="Times New Roman" w:hAnsiTheme="majorHAnsi" w:cstheme="majorHAnsi"/>
          <w:lang w:eastAsia="el-GR"/>
        </w:rPr>
        <w:t xml:space="preserve">вање </w:t>
      </w:r>
      <w:r w:rsidRPr="00FF386D">
        <w:rPr>
          <w:rFonts w:asciiTheme="majorHAnsi" w:eastAsia="Times New Roman" w:hAnsiTheme="majorHAnsi" w:cstheme="majorHAnsi"/>
          <w:lang w:eastAsia="el-GR"/>
        </w:rPr>
        <w:t>Управе за финансирање и подстицање енергетске ефикасности (Управа ЕЕ). Управа ЕЕ је о</w:t>
      </w:r>
      <w:r w:rsidR="0001046D" w:rsidRPr="00FF386D">
        <w:rPr>
          <w:rFonts w:asciiTheme="majorHAnsi" w:eastAsia="Times New Roman" w:hAnsiTheme="majorHAnsi" w:cstheme="majorHAnsi"/>
          <w:lang w:eastAsia="el-GR"/>
        </w:rPr>
        <w:t>бразована</w:t>
      </w:r>
      <w:r w:rsidRPr="00FF386D">
        <w:rPr>
          <w:rFonts w:asciiTheme="majorHAnsi" w:eastAsia="Times New Roman" w:hAnsiTheme="majorHAnsi" w:cstheme="majorHAnsi"/>
          <w:lang w:eastAsia="el-GR"/>
        </w:rPr>
        <w:t xml:space="preserve"> крајем 2021. године као посебно правно лице у оквиру МРЕ, за обављање извршних и стручних послова који се односе на финансирање послова ефикасног коришћења енергије</w:t>
      </w:r>
      <w:r w:rsidRPr="00FF386D">
        <w:rPr>
          <w:rFonts w:ascii="Calibri" w:eastAsia="Times New Roman" w:hAnsi="Calibri" w:cs="Arial"/>
          <w:lang w:eastAsia="el-GR"/>
        </w:rPr>
        <w:t>,</w:t>
      </w:r>
      <w:r w:rsidRPr="00FF386D">
        <w:rPr>
          <w:rFonts w:asciiTheme="majorHAnsi" w:eastAsia="Times New Roman" w:hAnsiTheme="majorHAnsi" w:cstheme="majorHAnsi"/>
          <w:lang w:eastAsia="el-GR"/>
        </w:rPr>
        <w:t xml:space="preserve"> а почела је са радом у фебруару 2022. године. Послови Управе ЕЕ д</w:t>
      </w:r>
      <w:r w:rsidR="0075343C" w:rsidRPr="00FF386D">
        <w:rPr>
          <w:rFonts w:asciiTheme="majorHAnsi" w:eastAsia="Times New Roman" w:hAnsiTheme="majorHAnsi" w:cstheme="majorHAnsi"/>
          <w:lang w:eastAsia="el-GR"/>
        </w:rPr>
        <w:t>ефинисани</w:t>
      </w:r>
      <w:r w:rsidRPr="00FF386D">
        <w:rPr>
          <w:rFonts w:asciiTheme="majorHAnsi" w:eastAsia="Times New Roman" w:hAnsiTheme="majorHAnsi" w:cstheme="majorHAnsi"/>
          <w:lang w:eastAsia="el-GR"/>
        </w:rPr>
        <w:t xml:space="preserve"> су у члану 73. ЗЕЕРУЕ. То је омогућило да се у 2021. години покрену пилот пројекти доделе средстава грађанима у сарадњи са </w:t>
      </w:r>
      <w:r w:rsidR="00AE3338" w:rsidRPr="00FF386D">
        <w:rPr>
          <w:rFonts w:asciiTheme="majorHAnsi" w:eastAsia="Times New Roman" w:hAnsiTheme="majorHAnsi" w:cstheme="majorHAnsi"/>
          <w:lang w:eastAsia="el-GR"/>
        </w:rPr>
        <w:t xml:space="preserve">јединицама </w:t>
      </w:r>
      <w:r w:rsidRPr="00FF386D">
        <w:rPr>
          <w:rFonts w:asciiTheme="majorHAnsi" w:eastAsia="Times New Roman" w:hAnsiTheme="majorHAnsi" w:cstheme="majorHAnsi"/>
          <w:lang w:eastAsia="el-GR"/>
        </w:rPr>
        <w:t xml:space="preserve">локалне самоуправе при чему подстицаје </w:t>
      </w:r>
      <w:r w:rsidR="0075343C" w:rsidRPr="00FF386D">
        <w:rPr>
          <w:rFonts w:asciiTheme="majorHAnsi" w:eastAsia="Times New Roman" w:hAnsiTheme="majorHAnsi" w:cstheme="majorHAnsi"/>
          <w:lang w:eastAsia="el-GR"/>
        </w:rPr>
        <w:t xml:space="preserve">у висини </w:t>
      </w:r>
      <w:r w:rsidRPr="00FF386D">
        <w:rPr>
          <w:rFonts w:asciiTheme="majorHAnsi" w:eastAsia="Times New Roman" w:hAnsiTheme="majorHAnsi" w:cstheme="majorHAnsi"/>
          <w:lang w:eastAsia="el-GR"/>
        </w:rPr>
        <w:t>до 50% обезбеђују МРЕ и јединице локалне самоуправе (по 25%) а грађани око 50%:</w:t>
      </w:r>
    </w:p>
    <w:p w14:paraId="5924854C" w14:textId="5CFB7F4D" w:rsidR="00EB3C75" w:rsidRDefault="00EB3C75">
      <w:pPr>
        <w:numPr>
          <w:ilvl w:val="0"/>
          <w:numId w:val="258"/>
        </w:numPr>
        <w:spacing w:after="0" w:line="240" w:lineRule="auto"/>
        <w:ind w:left="709" w:hanging="283"/>
        <w:contextualSpacing/>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за енергетску санацију стамбених зграда, породичних кућа и станова 67 ЈЛС; око 5000 домаћинстава; Износ субвенција од </w:t>
      </w:r>
      <w:r w:rsidR="0075343C" w:rsidRPr="00FF386D">
        <w:rPr>
          <w:rFonts w:asciiTheme="majorHAnsi" w:eastAsia="Times New Roman" w:hAnsiTheme="majorHAnsi" w:cstheme="majorHAnsi"/>
          <w:lang w:eastAsia="el-GR"/>
        </w:rPr>
        <w:t xml:space="preserve">стране </w:t>
      </w:r>
      <w:r w:rsidRPr="00FF386D">
        <w:rPr>
          <w:rFonts w:asciiTheme="majorHAnsi" w:eastAsia="Times New Roman" w:hAnsiTheme="majorHAnsi" w:cstheme="majorHAnsi"/>
          <w:lang w:eastAsia="el-GR"/>
        </w:rPr>
        <w:t>МРЕ и ЈЛС: 461 милион</w:t>
      </w:r>
      <w:r w:rsidR="00AE3338" w:rsidRPr="00FF386D">
        <w:rPr>
          <w:rFonts w:asciiTheme="majorHAnsi" w:eastAsia="Times New Roman" w:hAnsiTheme="majorHAnsi" w:cstheme="majorHAnsi"/>
          <w:lang w:eastAsia="el-GR"/>
        </w:rPr>
        <w:t>а</w:t>
      </w:r>
      <w:r w:rsidRPr="00FF386D">
        <w:rPr>
          <w:rFonts w:asciiTheme="majorHAnsi" w:eastAsia="Times New Roman" w:hAnsiTheme="majorHAnsi" w:cstheme="majorHAnsi"/>
          <w:lang w:eastAsia="el-GR"/>
        </w:rPr>
        <w:t xml:space="preserve"> дин</w:t>
      </w:r>
      <w:r w:rsidR="00AE3338" w:rsidRPr="00FF386D">
        <w:rPr>
          <w:rFonts w:asciiTheme="majorHAnsi" w:eastAsia="Times New Roman" w:hAnsiTheme="majorHAnsi" w:cstheme="majorHAnsi"/>
          <w:lang w:eastAsia="el-GR"/>
        </w:rPr>
        <w:t>ара</w:t>
      </w:r>
      <w:r w:rsidRPr="00FF386D">
        <w:rPr>
          <w:rFonts w:asciiTheme="majorHAnsi" w:eastAsia="Times New Roman" w:hAnsiTheme="majorHAnsi" w:cstheme="majorHAnsi"/>
          <w:lang w:eastAsia="el-GR"/>
        </w:rPr>
        <w:t>; Очекиване уштеде енергије: око 36 милиона KWh. Процењено смањење емисија CO</w:t>
      </w:r>
      <w:r w:rsidRPr="00FF386D">
        <w:rPr>
          <w:rFonts w:asciiTheme="majorHAnsi" w:eastAsia="Times New Roman" w:hAnsiTheme="majorHAnsi" w:cstheme="majorHAnsi"/>
          <w:vertAlign w:val="subscript"/>
          <w:lang w:eastAsia="el-GR"/>
        </w:rPr>
        <w:t>2</w:t>
      </w:r>
      <w:r w:rsidRPr="00FF386D">
        <w:rPr>
          <w:rFonts w:asciiTheme="majorHAnsi" w:eastAsia="Times New Roman" w:hAnsiTheme="majorHAnsi" w:cstheme="majorHAnsi"/>
          <w:lang w:eastAsia="el-GR"/>
        </w:rPr>
        <w:t xml:space="preserve">: 12.154,90 </w:t>
      </w:r>
      <w:r w:rsidR="00AE3338" w:rsidRPr="00FF386D">
        <w:rPr>
          <w:rFonts w:asciiTheme="majorHAnsi" w:eastAsia="Times New Roman" w:hAnsiTheme="majorHAnsi" w:cstheme="majorHAnsi"/>
          <w:lang w:eastAsia="el-GR"/>
        </w:rPr>
        <w:t>t</w:t>
      </w:r>
    </w:p>
    <w:p w14:paraId="62F5996B" w14:textId="1E7EA4D0" w:rsidR="002C40BD" w:rsidRPr="00FF386D" w:rsidRDefault="002C40BD">
      <w:pPr>
        <w:numPr>
          <w:ilvl w:val="0"/>
          <w:numId w:val="258"/>
        </w:numPr>
        <w:spacing w:after="0" w:line="240" w:lineRule="auto"/>
        <w:ind w:left="709" w:hanging="283"/>
        <w:contextualSpacing/>
        <w:jc w:val="both"/>
        <w:rPr>
          <w:rFonts w:asciiTheme="majorHAnsi" w:eastAsia="Times New Roman" w:hAnsiTheme="majorHAnsi" w:cstheme="majorHAnsi"/>
          <w:lang w:eastAsia="el-GR"/>
        </w:rPr>
      </w:pPr>
      <w:r w:rsidRPr="002C40BD">
        <w:rPr>
          <w:rFonts w:asciiTheme="majorHAnsi" w:eastAsia="Times New Roman" w:hAnsiTheme="majorHAnsi" w:cstheme="majorHAnsi"/>
          <w:lang w:eastAsia="el-GR"/>
        </w:rPr>
        <w:t>и за уградњу соларних панела: 37 ЈЛС; 500 домаћинстава; Износ субвенција од стране МРЕ и ЈЛС: око 200 милиона динара; Очекиване уштеде енергије: 3.000.000 KWh годишње. Очекивано смањење емисије CO</w:t>
      </w:r>
      <w:r w:rsidRPr="002C40BD">
        <w:rPr>
          <w:rFonts w:asciiTheme="majorHAnsi" w:eastAsia="Times New Roman" w:hAnsiTheme="majorHAnsi" w:cstheme="majorHAnsi"/>
          <w:vertAlign w:val="subscript"/>
          <w:lang w:eastAsia="el-GR"/>
        </w:rPr>
        <w:t>2</w:t>
      </w:r>
      <w:r w:rsidRPr="002C40BD">
        <w:rPr>
          <w:rFonts w:asciiTheme="majorHAnsi" w:eastAsia="Times New Roman" w:hAnsiTheme="majorHAnsi" w:cstheme="majorHAnsi"/>
          <w:lang w:eastAsia="el-GR"/>
        </w:rPr>
        <w:t>: 3300 тона годишње.</w:t>
      </w:r>
    </w:p>
    <w:p w14:paraId="64BC5953" w14:textId="77777777" w:rsidR="00042D40" w:rsidRPr="00061562" w:rsidRDefault="00042D40" w:rsidP="000A2AFE">
      <w:pPr>
        <w:spacing w:after="0" w:line="240" w:lineRule="auto"/>
        <w:ind w:left="709"/>
        <w:contextualSpacing/>
        <w:jc w:val="both"/>
        <w:rPr>
          <w:rFonts w:asciiTheme="majorHAnsi" w:hAnsiTheme="majorHAnsi" w:cstheme="majorHAnsi"/>
        </w:rPr>
      </w:pPr>
    </w:p>
    <w:p w14:paraId="3F04F357" w14:textId="5D732D62" w:rsidR="00EB3C75" w:rsidRPr="00FF386D" w:rsidRDefault="00EB3C75" w:rsidP="00EB3C75">
      <w:pPr>
        <w:spacing w:after="0" w:line="240" w:lineRule="auto"/>
        <w:jc w:val="both"/>
        <w:rPr>
          <w:rFonts w:asciiTheme="majorHAnsi" w:eastAsia="Times New Roman" w:hAnsiTheme="majorHAnsi" w:cstheme="majorHAnsi"/>
          <w:lang w:eastAsia="el-GR"/>
        </w:rPr>
      </w:pPr>
      <w:r w:rsidRPr="00FF386D">
        <w:rPr>
          <w:rFonts w:asciiTheme="majorHAnsi" w:hAnsiTheme="majorHAnsi" w:cstheme="majorHAnsi"/>
        </w:rPr>
        <w:t>Ово је омогућило да се у Буџету РС за 2022. годину издвоје значајно већа средстава за финансирање енергетске ефикасности од око 2 милијарде РСД или око 17 мил</w:t>
      </w:r>
      <w:r w:rsidR="00AE3338" w:rsidRPr="00FF386D">
        <w:rPr>
          <w:rFonts w:asciiTheme="majorHAnsi" w:hAnsiTheme="majorHAnsi" w:cstheme="majorHAnsi"/>
        </w:rPr>
        <w:t>иона</w:t>
      </w:r>
      <w:r w:rsidRPr="00FF386D">
        <w:rPr>
          <w:rFonts w:asciiTheme="majorHAnsi" w:hAnsiTheme="majorHAnsi" w:cstheme="majorHAnsi"/>
        </w:rPr>
        <w:t xml:space="preserve"> ЕУР од чега се из средстава накнада прикупи око 10 </w:t>
      </w:r>
      <w:r w:rsidRPr="00FF386D">
        <w:rPr>
          <w:rFonts w:asciiTheme="majorHAnsi" w:eastAsia="Times New Roman" w:hAnsiTheme="majorHAnsi" w:cstheme="majorHAnsi"/>
          <w:lang w:eastAsia="el-GR"/>
        </w:rPr>
        <w:t>милиона евра годишње. На основу ових средстава</w:t>
      </w:r>
      <w:r w:rsidR="00AE3338"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lang w:eastAsia="el-GR"/>
        </w:rPr>
        <w:t>током 2022. године</w:t>
      </w:r>
      <w:r w:rsidR="00AE3338" w:rsidRPr="00FF386D">
        <w:rPr>
          <w:rFonts w:asciiTheme="majorHAnsi" w:eastAsia="Times New Roman" w:hAnsiTheme="majorHAnsi" w:cstheme="majorHAnsi"/>
          <w:lang w:eastAsia="el-GR"/>
        </w:rPr>
        <w:t>,</w:t>
      </w:r>
      <w:r w:rsidRPr="00FF386D">
        <w:rPr>
          <w:rFonts w:asciiTheme="majorHAnsi" w:eastAsia="Times New Roman" w:hAnsiTheme="majorHAnsi" w:cstheme="majorHAnsi"/>
          <w:lang w:eastAsia="el-GR"/>
        </w:rPr>
        <w:t xml:space="preserve"> у сарадњи са 151 ЈЛС</w:t>
      </w:r>
      <w:r w:rsidR="00AE3338" w:rsidRPr="00FF386D">
        <w:rPr>
          <w:rFonts w:asciiTheme="majorHAnsi" w:eastAsia="Times New Roman" w:hAnsiTheme="majorHAnsi" w:cstheme="majorHAnsi"/>
          <w:lang w:eastAsia="el-GR"/>
        </w:rPr>
        <w:t>,</w:t>
      </w:r>
      <w:r w:rsidRPr="00FF386D">
        <w:rPr>
          <w:rFonts w:asciiTheme="majorHAnsi" w:eastAsia="Times New Roman" w:hAnsiTheme="majorHAnsi" w:cstheme="majorHAnsi"/>
          <w:lang w:eastAsia="el-GR"/>
        </w:rPr>
        <w:t xml:space="preserve"> спроведен</w:t>
      </w:r>
      <w:r w:rsidR="00AE3338" w:rsidRPr="00FF386D">
        <w:rPr>
          <w:rFonts w:asciiTheme="majorHAnsi" w:eastAsia="Times New Roman" w:hAnsiTheme="majorHAnsi" w:cstheme="majorHAnsi"/>
          <w:lang w:eastAsia="el-GR"/>
        </w:rPr>
        <w:t xml:space="preserve"> је</w:t>
      </w:r>
      <w:r w:rsidRPr="00FF386D">
        <w:rPr>
          <w:rFonts w:asciiTheme="majorHAnsi" w:eastAsia="Times New Roman" w:hAnsiTheme="majorHAnsi" w:cstheme="majorHAnsi"/>
          <w:lang w:eastAsia="el-GR"/>
        </w:rPr>
        <w:t xml:space="preserve"> процес доделе подстицаја грађанима за </w:t>
      </w:r>
      <w:r w:rsidR="00AE3338" w:rsidRPr="00FF386D">
        <w:rPr>
          <w:rFonts w:asciiTheme="majorHAnsi" w:eastAsia="Times New Roman" w:hAnsiTheme="majorHAnsi" w:cstheme="majorHAnsi"/>
          <w:lang w:eastAsia="el-GR"/>
        </w:rPr>
        <w:t>обнову</w:t>
      </w:r>
      <w:r w:rsidRPr="00FF386D">
        <w:rPr>
          <w:rFonts w:asciiTheme="majorHAnsi" w:eastAsia="Times New Roman" w:hAnsiTheme="majorHAnsi" w:cstheme="majorHAnsi"/>
          <w:lang w:eastAsia="el-GR"/>
        </w:rPr>
        <w:t xml:space="preserve"> станова, породичних кућа и стамбених зграда и уградњу соларних панела: 20.000 домаћинстава; Износ субвенција МРЕ и ЈЛС: око 2 милијарде дин</w:t>
      </w:r>
      <w:r w:rsidR="00AE3338" w:rsidRPr="00FF386D">
        <w:rPr>
          <w:rFonts w:asciiTheme="majorHAnsi" w:eastAsia="Times New Roman" w:hAnsiTheme="majorHAnsi" w:cstheme="majorHAnsi"/>
          <w:lang w:eastAsia="el-GR"/>
        </w:rPr>
        <w:t>ара</w:t>
      </w:r>
      <w:r w:rsidRPr="00FF386D">
        <w:rPr>
          <w:rFonts w:asciiTheme="majorHAnsi" w:eastAsia="Times New Roman" w:hAnsiTheme="majorHAnsi" w:cstheme="majorHAnsi"/>
          <w:lang w:eastAsia="el-GR"/>
        </w:rPr>
        <w:t>; На основу степена регионалне развијености, најнеразвијеније ЈЛС ће учествовати са минимално 30%, док ће остале ЈЛС учествовати са минимално 50%. Очекиване уштеде енергије: 196.276.070 kWh годишње. Очекивано смањење емисије CO</w:t>
      </w:r>
      <w:r w:rsidRPr="00FF386D">
        <w:rPr>
          <w:rFonts w:asciiTheme="majorHAnsi" w:eastAsia="Times New Roman" w:hAnsiTheme="majorHAnsi" w:cstheme="majorHAnsi"/>
          <w:vertAlign w:val="subscript"/>
          <w:lang w:eastAsia="el-GR"/>
        </w:rPr>
        <w:t>2</w:t>
      </w:r>
      <w:r w:rsidRPr="00FF386D">
        <w:rPr>
          <w:rFonts w:asciiTheme="majorHAnsi" w:eastAsia="Times New Roman" w:hAnsiTheme="majorHAnsi" w:cstheme="majorHAnsi"/>
          <w:lang w:eastAsia="el-GR"/>
        </w:rPr>
        <w:t xml:space="preserve"> је 87.913 тона годишње. У 2022. години спроведен је и 8. јавни позив за унапређења енергетске ефикасности јавних објеката у ЈЛС, а први који реализује Управа ЕЕ</w:t>
      </w:r>
      <w:r w:rsidR="001174FD" w:rsidRPr="00FF386D">
        <w:rPr>
          <w:rFonts w:asciiTheme="majorHAnsi" w:eastAsia="Times New Roman" w:hAnsiTheme="majorHAnsi" w:cstheme="majorHAnsi"/>
          <w:lang w:eastAsia="el-GR"/>
        </w:rPr>
        <w:t>, која је</w:t>
      </w:r>
      <w:r w:rsidRPr="00FF386D">
        <w:rPr>
          <w:rFonts w:asciiTheme="majorHAnsi" w:eastAsia="Times New Roman" w:hAnsiTheme="majorHAnsi" w:cstheme="majorHAnsi"/>
          <w:lang w:eastAsia="el-GR"/>
        </w:rPr>
        <w:t xml:space="preserve"> обезбедила око 690 милиона динара за финансирање 38 објеката од јавног значаја; Очекиване уштеде 9 милиона кWh годишње; смањење емисије CО</w:t>
      </w:r>
      <w:r w:rsidRPr="00FF386D">
        <w:rPr>
          <w:rFonts w:asciiTheme="majorHAnsi" w:eastAsia="Times New Roman" w:hAnsiTheme="majorHAnsi" w:cstheme="majorHAnsi"/>
          <w:vertAlign w:val="subscript"/>
          <w:lang w:eastAsia="el-GR"/>
        </w:rPr>
        <w:t>2</w:t>
      </w:r>
      <w:r w:rsidRPr="00FF386D">
        <w:rPr>
          <w:rFonts w:asciiTheme="majorHAnsi" w:eastAsia="Times New Roman" w:hAnsiTheme="majorHAnsi" w:cstheme="majorHAnsi"/>
          <w:lang w:eastAsia="el-GR"/>
        </w:rPr>
        <w:t xml:space="preserve"> око 4500 тона годишње. </w:t>
      </w:r>
      <w:r w:rsidR="001174FD" w:rsidRPr="00FF386D">
        <w:rPr>
          <w:rFonts w:asciiTheme="majorHAnsi" w:eastAsia="Times New Roman" w:hAnsiTheme="majorHAnsi" w:cstheme="majorHAnsi"/>
          <w:lang w:eastAsia="el-GR"/>
        </w:rPr>
        <w:t>Биће спроведена е</w:t>
      </w:r>
      <w:r w:rsidRPr="00FF386D">
        <w:rPr>
          <w:rFonts w:asciiTheme="majorHAnsi" w:eastAsia="Times New Roman" w:hAnsiTheme="majorHAnsi" w:cstheme="majorHAnsi"/>
          <w:lang w:eastAsia="el-GR"/>
        </w:rPr>
        <w:t>нергетск</w:t>
      </w:r>
      <w:r w:rsidR="001174FD" w:rsidRPr="00FF386D">
        <w:rPr>
          <w:rFonts w:asciiTheme="majorHAnsi" w:eastAsia="Times New Roman" w:hAnsiTheme="majorHAnsi" w:cstheme="majorHAnsi"/>
          <w:lang w:eastAsia="el-GR"/>
        </w:rPr>
        <w:t>а</w:t>
      </w:r>
      <w:r w:rsidRPr="00FF386D">
        <w:rPr>
          <w:rFonts w:asciiTheme="majorHAnsi" w:eastAsia="Times New Roman" w:hAnsiTheme="majorHAnsi" w:cstheme="majorHAnsi"/>
          <w:lang w:eastAsia="el-GR"/>
        </w:rPr>
        <w:t xml:space="preserve"> санациј</w:t>
      </w:r>
      <w:r w:rsidR="001174FD" w:rsidRPr="00FF386D">
        <w:rPr>
          <w:rFonts w:asciiTheme="majorHAnsi" w:eastAsia="Times New Roman" w:hAnsiTheme="majorHAnsi" w:cstheme="majorHAnsi"/>
          <w:lang w:eastAsia="el-GR"/>
        </w:rPr>
        <w:t>а</w:t>
      </w:r>
      <w:r w:rsidRPr="00FF386D">
        <w:rPr>
          <w:rFonts w:asciiTheme="majorHAnsi" w:eastAsia="Times New Roman" w:hAnsiTheme="majorHAnsi" w:cstheme="majorHAnsi"/>
          <w:lang w:eastAsia="el-GR"/>
        </w:rPr>
        <w:t>.</w:t>
      </w:r>
    </w:p>
    <w:p w14:paraId="12145A12" w14:textId="77777777" w:rsidR="00AE2A4E" w:rsidRPr="00FF386D" w:rsidRDefault="00AE2A4E" w:rsidP="00EB3C75">
      <w:pPr>
        <w:spacing w:after="0" w:line="240" w:lineRule="auto"/>
        <w:jc w:val="both"/>
        <w:rPr>
          <w:rFonts w:asciiTheme="majorHAnsi" w:eastAsia="Times New Roman" w:hAnsiTheme="majorHAnsi" w:cstheme="majorHAnsi"/>
          <w:lang w:eastAsia="el-GR"/>
        </w:rPr>
      </w:pPr>
    </w:p>
    <w:p w14:paraId="3BF82B7E" w14:textId="7B857A14" w:rsidR="00EB3C75" w:rsidRPr="00FF386D" w:rsidRDefault="00EB3C75" w:rsidP="00EB3C75">
      <w:pPr>
        <w:spacing w:after="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На основу тога, обезбеђена су и средства кредита Светске банке у висини од </w:t>
      </w:r>
      <w:r w:rsidR="00AE2A4E" w:rsidRPr="00FF386D">
        <w:rPr>
          <w:rFonts w:asciiTheme="majorHAnsi" w:eastAsia="Times New Roman" w:hAnsiTheme="majorHAnsi" w:cstheme="majorHAnsi"/>
          <w:lang w:eastAsia="el-GR"/>
        </w:rPr>
        <w:t>5</w:t>
      </w:r>
      <w:r w:rsidRPr="00FF386D">
        <w:rPr>
          <w:rFonts w:asciiTheme="majorHAnsi" w:eastAsia="Times New Roman" w:hAnsiTheme="majorHAnsi" w:cstheme="majorHAnsi"/>
          <w:lang w:eastAsia="el-GR"/>
        </w:rPr>
        <w:t xml:space="preserve">0 милиона долара за реализацију пројекта „Чиста енергија и енергетска ефикасност за грађане у Србији“ који ће посебну пажњу посветити и социјално угроженим категоријама и </w:t>
      </w:r>
      <w:r w:rsidR="00162AD9" w:rsidRPr="00FF386D">
        <w:rPr>
          <w:rFonts w:asciiTheme="majorHAnsi" w:eastAsia="Times New Roman" w:hAnsiTheme="majorHAnsi" w:cstheme="majorHAnsi"/>
          <w:lang w:eastAsia="el-GR"/>
        </w:rPr>
        <w:t>обезбедити</w:t>
      </w:r>
      <w:r w:rsidRPr="00FF386D">
        <w:rPr>
          <w:rFonts w:asciiTheme="majorHAnsi" w:eastAsia="Times New Roman" w:hAnsiTheme="majorHAnsi" w:cstheme="majorHAnsi"/>
          <w:lang w:eastAsia="el-GR"/>
        </w:rPr>
        <w:t xml:space="preserve"> средства од </w:t>
      </w:r>
      <w:r w:rsidR="0008778C" w:rsidRPr="00FF386D">
        <w:rPr>
          <w:rFonts w:asciiTheme="majorHAnsi" w:eastAsia="Times New Roman" w:hAnsiTheme="majorHAnsi" w:cstheme="majorHAnsi"/>
          <w:lang w:eastAsia="el-GR"/>
        </w:rPr>
        <w:t>5</w:t>
      </w:r>
      <w:r w:rsidRPr="00FF386D">
        <w:rPr>
          <w:rFonts w:asciiTheme="majorHAnsi" w:eastAsia="Times New Roman" w:hAnsiTheme="majorHAnsi" w:cstheme="majorHAnsi"/>
          <w:lang w:eastAsia="el-GR"/>
        </w:rPr>
        <w:t xml:space="preserve">0 милиона евра кредита ЕБРД за реализацију пројекта „Енергетска санација стамбених и јавних објеката прикључених на систем даљинског грејања“ који ће у фокусу имати </w:t>
      </w:r>
      <w:r w:rsidR="0075343C" w:rsidRPr="00FF386D">
        <w:rPr>
          <w:rFonts w:asciiTheme="majorHAnsi" w:eastAsia="Times New Roman" w:hAnsiTheme="majorHAnsi" w:cstheme="majorHAnsi"/>
          <w:lang w:eastAsia="el-GR"/>
        </w:rPr>
        <w:t xml:space="preserve">вишепородичне </w:t>
      </w:r>
      <w:r w:rsidRPr="00FF386D">
        <w:rPr>
          <w:rFonts w:asciiTheme="majorHAnsi" w:eastAsia="Times New Roman" w:hAnsiTheme="majorHAnsi" w:cstheme="majorHAnsi"/>
          <w:lang w:eastAsia="el-GR"/>
        </w:rPr>
        <w:t xml:space="preserve">зграде са великом потрошњом топлотне енергије, прикључене на системе даљинског грејања, у циљу подршке преласку на наплату према потрошњи енергије. Очекује се да се </w:t>
      </w:r>
      <w:r w:rsidR="00162AD9" w:rsidRPr="00FF386D">
        <w:rPr>
          <w:rFonts w:asciiTheme="majorHAnsi" w:eastAsia="Times New Roman" w:hAnsiTheme="majorHAnsi" w:cstheme="majorHAnsi"/>
          <w:lang w:eastAsia="el-GR"/>
        </w:rPr>
        <w:t>путем</w:t>
      </w:r>
      <w:r w:rsidRPr="00FF386D">
        <w:rPr>
          <w:rFonts w:asciiTheme="majorHAnsi" w:eastAsia="Times New Roman" w:hAnsiTheme="majorHAnsi" w:cstheme="majorHAnsi"/>
          <w:lang w:eastAsia="el-GR"/>
        </w:rPr>
        <w:t xml:space="preserve"> ов</w:t>
      </w:r>
      <w:r w:rsidR="00162AD9" w:rsidRPr="00FF386D">
        <w:rPr>
          <w:rFonts w:asciiTheme="majorHAnsi" w:eastAsia="Times New Roman" w:hAnsiTheme="majorHAnsi" w:cstheme="majorHAnsi"/>
          <w:lang w:eastAsia="el-GR"/>
        </w:rPr>
        <w:t>их</w:t>
      </w:r>
      <w:r w:rsidRPr="00FF386D">
        <w:rPr>
          <w:rFonts w:asciiTheme="majorHAnsi" w:eastAsia="Times New Roman" w:hAnsiTheme="majorHAnsi" w:cstheme="majorHAnsi"/>
          <w:lang w:eastAsia="el-GR"/>
        </w:rPr>
        <w:t xml:space="preserve"> пројек</w:t>
      </w:r>
      <w:r w:rsidR="00162AD9" w:rsidRPr="00FF386D">
        <w:rPr>
          <w:rFonts w:asciiTheme="majorHAnsi" w:eastAsia="Times New Roman" w:hAnsiTheme="majorHAnsi" w:cstheme="majorHAnsi"/>
          <w:lang w:eastAsia="el-GR"/>
        </w:rPr>
        <w:t>ата</w:t>
      </w:r>
      <w:r w:rsidRPr="00FF386D">
        <w:rPr>
          <w:rFonts w:asciiTheme="majorHAnsi" w:eastAsia="Times New Roman" w:hAnsiTheme="majorHAnsi" w:cstheme="majorHAnsi"/>
          <w:lang w:eastAsia="el-GR"/>
        </w:rPr>
        <w:t xml:space="preserve"> обезбеде субвенције за око 100.000 домаћинстава</w:t>
      </w:r>
      <w:r w:rsidR="009451DB" w:rsidRPr="00FF386D">
        <w:rPr>
          <w:rFonts w:asciiTheme="majorHAnsi" w:eastAsia="Times New Roman" w:hAnsiTheme="majorHAnsi" w:cstheme="majorHAnsi"/>
          <w:lang w:eastAsia="el-GR"/>
        </w:rPr>
        <w:t>.</w:t>
      </w:r>
    </w:p>
    <w:bookmarkEnd w:id="53"/>
    <w:p w14:paraId="0FEBD4DB" w14:textId="77777777" w:rsidR="00EB3C75" w:rsidRPr="00FF386D" w:rsidRDefault="00EB3C75" w:rsidP="00EB3C75">
      <w:pPr>
        <w:spacing w:before="120" w:after="120" w:line="240" w:lineRule="auto"/>
        <w:jc w:val="both"/>
        <w:rPr>
          <w:rFonts w:asciiTheme="majorHAnsi" w:eastAsia="Times New Roman" w:hAnsiTheme="majorHAnsi" w:cstheme="majorHAnsi"/>
          <w:b/>
          <w:bCs/>
          <w:lang w:eastAsia="el-GR"/>
        </w:rPr>
      </w:pPr>
      <w:r w:rsidRPr="00FF386D">
        <w:rPr>
          <w:rFonts w:asciiTheme="majorHAnsi" w:eastAsia="Times New Roman" w:hAnsiTheme="majorHAnsi" w:cstheme="majorHAnsi"/>
          <w:b/>
          <w:bCs/>
          <w:lang w:eastAsia="el-GR"/>
        </w:rPr>
        <w:t>Унутрашње енергетско тржиште</w:t>
      </w:r>
    </w:p>
    <w:p w14:paraId="655182AA" w14:textId="1B453BE5"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Законодавни и регулаторни оквир за развој и регулисање унутрашњег енергетског тржишта у Републици Србији </w:t>
      </w:r>
      <w:r w:rsidR="0075343C" w:rsidRPr="00FF386D">
        <w:rPr>
          <w:rFonts w:asciiTheme="majorHAnsi" w:eastAsia="Times New Roman" w:hAnsiTheme="majorHAnsi" w:cstheme="majorHAnsi"/>
          <w:lang w:eastAsia="el-GR"/>
        </w:rPr>
        <w:t>утврђен</w:t>
      </w:r>
      <w:r w:rsidRPr="00FF386D">
        <w:rPr>
          <w:rFonts w:asciiTheme="majorHAnsi" w:eastAsia="Times New Roman" w:hAnsiTheme="majorHAnsi" w:cstheme="majorHAnsi"/>
          <w:lang w:eastAsia="el-GR"/>
        </w:rPr>
        <w:t xml:space="preserve"> је </w:t>
      </w:r>
      <w:r w:rsidRPr="00FF386D">
        <w:rPr>
          <w:rFonts w:asciiTheme="majorHAnsi" w:eastAsia="Times New Roman" w:hAnsiTheme="majorHAnsi" w:cstheme="majorHAnsi"/>
          <w:b/>
          <w:bCs/>
          <w:lang w:eastAsia="el-GR"/>
        </w:rPr>
        <w:t>Законом о енергетици</w:t>
      </w:r>
      <w:r w:rsidRPr="00FF386D">
        <w:rPr>
          <w:rFonts w:asciiTheme="majorHAnsi" w:eastAsia="Times New Roman" w:hAnsiTheme="majorHAnsi" w:cstheme="majorHAnsi"/>
          <w:vertAlign w:val="superscript"/>
          <w:lang w:eastAsia="el-GR"/>
        </w:rPr>
        <w:footnoteReference w:id="57"/>
      </w:r>
      <w:r w:rsidRPr="00FF386D">
        <w:rPr>
          <w:rFonts w:asciiTheme="majorHAnsi" w:eastAsia="Times New Roman" w:hAnsiTheme="majorHAnsi" w:cstheme="majorHAnsi"/>
          <w:lang w:eastAsia="el-GR"/>
        </w:rPr>
        <w:t>.</w:t>
      </w:r>
    </w:p>
    <w:p w14:paraId="622121BA" w14:textId="43FEB92E" w:rsidR="0082676E" w:rsidRPr="00FF386D" w:rsidRDefault="00EB3C75" w:rsidP="000A2AFE">
      <w:pPr>
        <w:spacing w:before="120" w:after="120" w:line="240" w:lineRule="auto"/>
        <w:jc w:val="both"/>
        <w:rPr>
          <w:rFonts w:asciiTheme="majorHAnsi" w:hAnsiTheme="majorHAnsi" w:cstheme="majorHAnsi"/>
          <w:bCs/>
        </w:rPr>
      </w:pPr>
      <w:r w:rsidRPr="00FF386D">
        <w:rPr>
          <w:rFonts w:asciiTheme="majorHAnsi" w:hAnsiTheme="majorHAnsi" w:cstheme="majorHAnsi"/>
          <w:bCs/>
        </w:rPr>
        <w:t>Десетогодишњи план развоја мреже за пренос електричне енергије (</w:t>
      </w:r>
      <w:r w:rsidR="00DE6C8B" w:rsidRPr="000A2AFE">
        <w:rPr>
          <w:rFonts w:asciiTheme="majorHAnsi" w:hAnsiTheme="majorHAnsi" w:cstheme="majorHAnsi"/>
          <w:bCs/>
        </w:rPr>
        <w:t>План развоја преносног система Републике Србије</w:t>
      </w:r>
      <w:r w:rsidRPr="00FF386D">
        <w:rPr>
          <w:rFonts w:asciiTheme="majorHAnsi" w:hAnsiTheme="majorHAnsi" w:cstheme="majorHAnsi"/>
          <w:bCs/>
        </w:rPr>
        <w:t xml:space="preserve">) сачињава Оператор преносног система (ОПС „Електромрежа Србије“ - ЕМС), који је такође </w:t>
      </w:r>
      <w:r w:rsidR="00162AD9" w:rsidRPr="00FF386D">
        <w:rPr>
          <w:rFonts w:asciiTheme="majorHAnsi" w:hAnsiTheme="majorHAnsi" w:cstheme="majorHAnsi"/>
          <w:bCs/>
        </w:rPr>
        <w:t>надлежан</w:t>
      </w:r>
      <w:r w:rsidRPr="00FF386D">
        <w:rPr>
          <w:rFonts w:asciiTheme="majorHAnsi" w:hAnsiTheme="majorHAnsi" w:cstheme="majorHAnsi"/>
          <w:bCs/>
        </w:rPr>
        <w:t xml:space="preserve"> за рад, одржавање и изградњу мреже за пренос електричне енергије у складу са Законом о енергетици и </w:t>
      </w:r>
      <w:r w:rsidRPr="00FF386D">
        <w:rPr>
          <w:rFonts w:asciiTheme="majorHAnsi" w:hAnsiTheme="majorHAnsi" w:cstheme="majorHAnsi"/>
          <w:b/>
          <w:bCs/>
        </w:rPr>
        <w:t>Правилима о раду преносног система</w:t>
      </w:r>
      <w:r w:rsidR="00FD19B6" w:rsidRPr="000A2AFE">
        <w:rPr>
          <w:rStyle w:val="FootnoteReference"/>
          <w:rFonts w:asciiTheme="majorHAnsi" w:hAnsiTheme="majorHAnsi" w:cstheme="majorHAnsi"/>
          <w:b/>
          <w:bCs/>
          <w:lang w:val="sr-Cyrl-RS"/>
        </w:rPr>
        <w:footnoteReference w:id="58"/>
      </w:r>
      <w:r w:rsidRPr="00FF386D">
        <w:rPr>
          <w:rFonts w:asciiTheme="majorHAnsi" w:hAnsiTheme="majorHAnsi" w:cstheme="majorHAnsi"/>
          <w:b/>
          <w:bCs/>
        </w:rPr>
        <w:t xml:space="preserve"> </w:t>
      </w:r>
      <w:r w:rsidRPr="00FF386D">
        <w:rPr>
          <w:rFonts w:asciiTheme="majorHAnsi" w:hAnsiTheme="majorHAnsi" w:cstheme="majorHAnsi"/>
          <w:bCs/>
        </w:rPr>
        <w:t xml:space="preserve">усвојеном у </w:t>
      </w:r>
      <w:r w:rsidR="00AE2A4E" w:rsidRPr="00FF386D">
        <w:rPr>
          <w:rFonts w:asciiTheme="majorHAnsi" w:hAnsiTheme="majorHAnsi" w:cstheme="majorHAnsi"/>
          <w:bCs/>
        </w:rPr>
        <w:t>априлу 2020</w:t>
      </w:r>
      <w:r w:rsidRPr="00FF386D">
        <w:rPr>
          <w:rFonts w:asciiTheme="majorHAnsi" w:hAnsiTheme="majorHAnsi" w:cstheme="majorHAnsi"/>
          <w:bCs/>
        </w:rPr>
        <w:t xml:space="preserve">. </w:t>
      </w:r>
      <w:r w:rsidR="00AE2A4E" w:rsidRPr="00FF386D">
        <w:rPr>
          <w:rFonts w:asciiTheme="majorHAnsi" w:hAnsiTheme="majorHAnsi" w:cstheme="majorHAnsi"/>
          <w:bCs/>
        </w:rPr>
        <w:t xml:space="preserve">године. </w:t>
      </w:r>
      <w:r w:rsidRPr="00FF386D">
        <w:rPr>
          <w:rFonts w:asciiTheme="majorHAnsi" w:hAnsiTheme="majorHAnsi" w:cstheme="majorHAnsi"/>
          <w:bCs/>
        </w:rPr>
        <w:t>Оператор дистрибутивног система електричне енергије (ОДС „Електродистрибуција</w:t>
      </w:r>
      <w:r w:rsidR="00AE2A4E" w:rsidRPr="00FF386D">
        <w:rPr>
          <w:rFonts w:asciiTheme="majorHAnsi" w:hAnsiTheme="majorHAnsi" w:cstheme="majorHAnsi"/>
          <w:bCs/>
        </w:rPr>
        <w:t xml:space="preserve"> Србије</w:t>
      </w:r>
      <w:r w:rsidRPr="00FF386D">
        <w:rPr>
          <w:rFonts w:asciiTheme="majorHAnsi" w:hAnsiTheme="majorHAnsi" w:cstheme="majorHAnsi"/>
          <w:bCs/>
        </w:rPr>
        <w:t xml:space="preserve">“), чија је власничка структура </w:t>
      </w:r>
      <w:r w:rsidR="006D43E6" w:rsidRPr="00FF386D">
        <w:rPr>
          <w:rFonts w:asciiTheme="majorHAnsi" w:hAnsiTheme="majorHAnsi" w:cstheme="majorHAnsi"/>
          <w:bCs/>
        </w:rPr>
        <w:t>у 2020. години пренета са</w:t>
      </w:r>
      <w:r w:rsidRPr="00FF386D">
        <w:rPr>
          <w:rFonts w:asciiTheme="majorHAnsi" w:hAnsiTheme="majorHAnsi" w:cstheme="majorHAnsi"/>
          <w:bCs/>
        </w:rPr>
        <w:t xml:space="preserve"> Јавног предузећа „Електропривреде Србије” (ЕПС)</w:t>
      </w:r>
      <w:r w:rsidR="006D43E6" w:rsidRPr="00FF386D">
        <w:rPr>
          <w:rFonts w:asciiTheme="majorHAnsi" w:hAnsiTheme="majorHAnsi" w:cstheme="majorHAnsi"/>
          <w:bCs/>
        </w:rPr>
        <w:t xml:space="preserve"> на Републику Србију</w:t>
      </w:r>
      <w:r w:rsidRPr="00FF386D">
        <w:rPr>
          <w:rFonts w:asciiTheme="majorHAnsi" w:hAnsiTheme="majorHAnsi" w:cstheme="majorHAnsi"/>
          <w:bCs/>
        </w:rPr>
        <w:t>, задужен је за припрему</w:t>
      </w:r>
      <w:r w:rsidR="00AF3A50">
        <w:rPr>
          <w:rFonts w:asciiTheme="majorHAnsi" w:hAnsiTheme="majorHAnsi" w:cstheme="majorHAnsi"/>
          <w:bCs/>
        </w:rPr>
        <w:t xml:space="preserve"> Плана развоја дистрибутивног система</w:t>
      </w:r>
      <w:r w:rsidRPr="00FF386D">
        <w:rPr>
          <w:rFonts w:asciiTheme="majorHAnsi" w:hAnsiTheme="majorHAnsi" w:cstheme="majorHAnsi"/>
          <w:bCs/>
        </w:rPr>
        <w:t xml:space="preserve"> , као и за њен рад и одржавање у складу са Законом о енергетици и </w:t>
      </w:r>
      <w:r w:rsidRPr="00FF386D">
        <w:rPr>
          <w:rFonts w:asciiTheme="majorHAnsi" w:hAnsiTheme="majorHAnsi" w:cstheme="majorHAnsi"/>
          <w:b/>
          <w:bCs/>
        </w:rPr>
        <w:t>Правилима о раду дистрибутивног система</w:t>
      </w:r>
      <w:r w:rsidR="008917EA" w:rsidRPr="000A2AFE">
        <w:rPr>
          <w:rStyle w:val="FootnoteReference"/>
          <w:rFonts w:asciiTheme="majorHAnsi" w:hAnsiTheme="majorHAnsi" w:cstheme="majorHAnsi"/>
          <w:b/>
          <w:bCs/>
          <w:lang w:val="sr-Cyrl-RS"/>
        </w:rPr>
        <w:footnoteReference w:id="59"/>
      </w:r>
      <w:r w:rsidRPr="00FF386D">
        <w:rPr>
          <w:rFonts w:asciiTheme="majorHAnsi" w:hAnsiTheme="majorHAnsi" w:cstheme="majorHAnsi"/>
          <w:b/>
          <w:bCs/>
        </w:rPr>
        <w:t xml:space="preserve"> </w:t>
      </w:r>
      <w:r w:rsidR="008917EA" w:rsidRPr="00FF386D">
        <w:rPr>
          <w:rFonts w:asciiTheme="majorHAnsi" w:hAnsiTheme="majorHAnsi" w:cstheme="majorHAnsi"/>
          <w:bCs/>
        </w:rPr>
        <w:t xml:space="preserve">усвојеним </w:t>
      </w:r>
      <w:r w:rsidR="00AE2A4E" w:rsidRPr="00FF386D">
        <w:rPr>
          <w:rFonts w:asciiTheme="majorHAnsi" w:hAnsiTheme="majorHAnsi" w:cstheme="majorHAnsi"/>
          <w:bCs/>
        </w:rPr>
        <w:t xml:space="preserve">у </w:t>
      </w:r>
      <w:r w:rsidR="008917EA" w:rsidRPr="00FF386D">
        <w:rPr>
          <w:rFonts w:asciiTheme="majorHAnsi" w:hAnsiTheme="majorHAnsi" w:cstheme="majorHAnsi"/>
          <w:bCs/>
        </w:rPr>
        <w:t xml:space="preserve">јулу 2017. године, са изменама усвојеним у </w:t>
      </w:r>
      <w:r w:rsidR="00AE2A4E" w:rsidRPr="00FF386D">
        <w:rPr>
          <w:rFonts w:asciiTheme="majorHAnsi" w:hAnsiTheme="majorHAnsi" w:cstheme="majorHAnsi"/>
          <w:bCs/>
        </w:rPr>
        <w:t>фебруару 2019. године</w:t>
      </w:r>
      <w:r w:rsidRPr="00FF386D">
        <w:rPr>
          <w:rFonts w:asciiTheme="majorHAnsi" w:hAnsiTheme="majorHAnsi" w:cstheme="majorHAnsi"/>
          <w:bCs/>
        </w:rPr>
        <w:t xml:space="preserve">. Што се тиче нивоа интерконективности система електричне енергије сходно критеријумима интерконективности ЕУ 2020 и ЕУ 2030, </w:t>
      </w:r>
      <w:r w:rsidRPr="00FF386D">
        <w:rPr>
          <w:rFonts w:asciiTheme="majorHAnsi" w:hAnsiTheme="majorHAnsi" w:cstheme="majorHAnsi"/>
        </w:rPr>
        <w:t>студија</w:t>
      </w:r>
      <w:r w:rsidRPr="00FF386D">
        <w:rPr>
          <w:rFonts w:asciiTheme="majorHAnsi" w:hAnsiTheme="majorHAnsi" w:cstheme="majorHAnsi"/>
          <w:b/>
        </w:rPr>
        <w:t xml:space="preserve"> </w:t>
      </w:r>
      <w:r w:rsidRPr="00FF386D">
        <w:rPr>
          <w:rFonts w:asciiTheme="majorHAnsi" w:hAnsiTheme="majorHAnsi" w:cstheme="majorHAnsi"/>
          <w:b/>
          <w:bCs/>
        </w:rPr>
        <w:t xml:space="preserve">Циљеви </w:t>
      </w:r>
      <w:r w:rsidR="0075343C" w:rsidRPr="00FF386D">
        <w:rPr>
          <w:rFonts w:asciiTheme="majorHAnsi" w:hAnsiTheme="majorHAnsi" w:cstheme="majorHAnsi"/>
          <w:b/>
          <w:bCs/>
        </w:rPr>
        <w:t xml:space="preserve">електроенергетских </w:t>
      </w:r>
      <w:r w:rsidRPr="00FF386D">
        <w:rPr>
          <w:rFonts w:asciiTheme="majorHAnsi" w:hAnsiTheme="majorHAnsi" w:cstheme="majorHAnsi"/>
          <w:b/>
          <w:bCs/>
        </w:rPr>
        <w:t>интерконекција уговорних страна Енергетске заједнице</w:t>
      </w:r>
      <w:r w:rsidRPr="00FF386D">
        <w:rPr>
          <w:rFonts w:asciiTheme="majorHAnsi" w:hAnsiTheme="majorHAnsi" w:cstheme="majorHAnsi"/>
          <w:b/>
          <w:vertAlign w:val="superscript"/>
        </w:rPr>
        <w:footnoteReference w:id="60"/>
      </w:r>
      <w:r w:rsidR="00162AD9" w:rsidRPr="00FF386D">
        <w:rPr>
          <w:rFonts w:asciiTheme="majorHAnsi" w:hAnsiTheme="majorHAnsi" w:cstheme="majorHAnsi"/>
          <w:bCs/>
        </w:rPr>
        <w:t xml:space="preserve"> и</w:t>
      </w:r>
      <w:r w:rsidRPr="00FF386D">
        <w:rPr>
          <w:rFonts w:asciiTheme="majorHAnsi" w:hAnsiTheme="majorHAnsi" w:cstheme="majorHAnsi"/>
          <w:bCs/>
        </w:rPr>
        <w:t>з фебруара 2021. године истиче да Србија постиже и премашује постављене циљеве.</w:t>
      </w:r>
    </w:p>
    <w:p w14:paraId="57AC9F99" w14:textId="07F53D30" w:rsidR="006D43E6" w:rsidRPr="000A2AFE" w:rsidRDefault="006D43E6" w:rsidP="006D43E6">
      <w:pPr>
        <w:spacing w:after="0" w:line="240" w:lineRule="auto"/>
        <w:jc w:val="both"/>
        <w:rPr>
          <w:rFonts w:asciiTheme="majorHAnsi" w:hAnsiTheme="majorHAnsi" w:cstheme="majorHAnsi"/>
          <w:bCs/>
        </w:rPr>
      </w:pPr>
      <w:r w:rsidRPr="000A2AFE">
        <w:rPr>
          <w:rFonts w:asciiTheme="majorHAnsi" w:eastAsia="Times New Roman" w:hAnsiTheme="majorHAnsi" w:cstheme="majorHAnsi"/>
          <w:lang w:eastAsia="el-GR"/>
        </w:rPr>
        <w:t xml:space="preserve">Влада Републике Србије и Јавно предузеће „Електропривреда Србије”, 29. децембра 2020. године закључиле </w:t>
      </w:r>
      <w:r w:rsidR="00454716">
        <w:rPr>
          <w:rFonts w:asciiTheme="majorHAnsi" w:eastAsia="Times New Roman" w:hAnsiTheme="majorHAnsi" w:cstheme="majorHAnsi"/>
          <w:lang w:eastAsia="el-GR"/>
        </w:rPr>
        <w:t xml:space="preserve">су </w:t>
      </w:r>
      <w:r w:rsidRPr="000A2AFE">
        <w:rPr>
          <w:rFonts w:asciiTheme="majorHAnsi" w:eastAsia="Times New Roman" w:hAnsiTheme="majorHAnsi" w:cstheme="majorHAnsi"/>
          <w:lang w:eastAsia="el-GR"/>
        </w:rPr>
        <w:t>Уговор о преносу удела у Оператору дистрибутивног система „ЕПС Дистрибуција” д.о.о. Београд са Јавног предузећа „Електропривреда Србије” Београд на Републику Србију. Решењем Агенције за привредне регистре број БД 99765/2020 од 31. децембра 2020. године, извршена је регистрација по којој је Република Србија уп</w:t>
      </w:r>
      <w:r w:rsidRPr="00FF386D">
        <w:rPr>
          <w:rFonts w:asciiTheme="majorHAnsi" w:eastAsia="Times New Roman" w:hAnsiTheme="majorHAnsi" w:cstheme="majorHAnsi"/>
          <w:lang w:eastAsia="el-GR"/>
        </w:rPr>
        <w:t>и</w:t>
      </w:r>
      <w:r w:rsidRPr="000A2AFE">
        <w:rPr>
          <w:rFonts w:asciiTheme="majorHAnsi" w:eastAsia="Times New Roman" w:hAnsiTheme="majorHAnsi" w:cstheme="majorHAnsi"/>
          <w:lang w:eastAsia="el-GR"/>
        </w:rPr>
        <w:t>сана као члан друштва са уделом од 100% капитала.</w:t>
      </w:r>
    </w:p>
    <w:p w14:paraId="625AA13B" w14:textId="1E12E877"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Усвајањем Закона о енергетици 2014. године, Србија је транспоновала већину одредби Гасне директиве и Уредбе о гасу. Током 2021-2022. године Агенција за енергетику Републике Србије је изменила и допунила прописе из својих надлежности и у складу са назначеним потребама, ради ефикаснијег функционисања тржишта и боље заштите крајњих </w:t>
      </w:r>
      <w:r w:rsidR="00636E53">
        <w:rPr>
          <w:rFonts w:asciiTheme="majorHAnsi" w:eastAsia="Times New Roman" w:hAnsiTheme="majorHAnsi" w:cstheme="majorHAnsi"/>
          <w:lang w:eastAsia="el-GR"/>
        </w:rPr>
        <w:t>купац</w:t>
      </w:r>
      <w:r w:rsidR="00636E53" w:rsidRPr="00FF386D">
        <w:rPr>
          <w:rFonts w:asciiTheme="majorHAnsi" w:eastAsia="Times New Roman" w:hAnsiTheme="majorHAnsi" w:cstheme="majorHAnsi"/>
          <w:lang w:eastAsia="el-GR"/>
        </w:rPr>
        <w:t xml:space="preserve">а </w:t>
      </w:r>
      <w:r w:rsidRPr="00FF386D">
        <w:rPr>
          <w:rFonts w:asciiTheme="majorHAnsi" w:eastAsia="Times New Roman" w:hAnsiTheme="majorHAnsi" w:cstheme="majorHAnsi"/>
          <w:lang w:eastAsia="el-GR"/>
        </w:rPr>
        <w:t>и других учесника на тржишту.</w:t>
      </w:r>
    </w:p>
    <w:p w14:paraId="49E84F8B" w14:textId="2F73C3C8"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Детаљна гасна регулатива је дефинисана </w:t>
      </w:r>
      <w:r w:rsidR="00162AD9" w:rsidRPr="00FF386D">
        <w:rPr>
          <w:rFonts w:asciiTheme="majorHAnsi" w:eastAsia="Times New Roman" w:hAnsiTheme="majorHAnsi" w:cstheme="majorHAnsi"/>
          <w:b/>
          <w:bCs/>
          <w:lang w:eastAsia="el-GR"/>
        </w:rPr>
        <w:t>П</w:t>
      </w:r>
      <w:r w:rsidRPr="00FF386D">
        <w:rPr>
          <w:rFonts w:asciiTheme="majorHAnsi" w:eastAsia="Times New Roman" w:hAnsiTheme="majorHAnsi" w:cstheme="majorHAnsi"/>
          <w:b/>
          <w:bCs/>
          <w:lang w:eastAsia="el-GR"/>
        </w:rPr>
        <w:t>равилима о раду транспортног система</w:t>
      </w:r>
      <w:r w:rsidRPr="00FF386D">
        <w:rPr>
          <w:rFonts w:asciiTheme="majorHAnsi" w:eastAsia="Times New Roman" w:hAnsiTheme="majorHAnsi" w:cstheme="majorHAnsi"/>
          <w:lang w:eastAsia="el-GR"/>
        </w:rPr>
        <w:t xml:space="preserve">, док </w:t>
      </w:r>
      <w:r w:rsidRPr="00FF386D">
        <w:rPr>
          <w:rFonts w:asciiTheme="majorHAnsi" w:eastAsia="Times New Roman" w:hAnsiTheme="majorHAnsi" w:cstheme="majorHAnsi"/>
          <w:b/>
          <w:bCs/>
          <w:lang w:eastAsia="el-GR"/>
        </w:rPr>
        <w:t xml:space="preserve">Десетогодишњи план развоја </w:t>
      </w:r>
      <w:r w:rsidR="00AE2A4E" w:rsidRPr="00FF386D">
        <w:rPr>
          <w:rFonts w:asciiTheme="majorHAnsi" w:eastAsia="Times New Roman" w:hAnsiTheme="majorHAnsi" w:cstheme="majorHAnsi"/>
          <w:b/>
          <w:bCs/>
          <w:lang w:eastAsia="el-GR"/>
        </w:rPr>
        <w:t>Yugorosgaz-a</w:t>
      </w:r>
      <w:r w:rsidRPr="00FF386D">
        <w:rPr>
          <w:rFonts w:asciiTheme="majorHAnsi" w:eastAsia="Times New Roman" w:hAnsiTheme="majorHAnsi" w:cstheme="majorHAnsi"/>
          <w:b/>
          <w:bCs/>
          <w:lang w:eastAsia="el-GR"/>
        </w:rPr>
        <w:t xml:space="preserve"> за период 2021-2030.</w:t>
      </w:r>
      <w:r w:rsidRPr="00FF386D">
        <w:rPr>
          <w:rFonts w:asciiTheme="majorHAnsi" w:eastAsia="Times New Roman" w:hAnsiTheme="majorHAnsi" w:cstheme="majorHAnsi"/>
          <w:lang w:eastAsia="el-GR"/>
        </w:rPr>
        <w:t xml:space="preserve"> </w:t>
      </w:r>
      <w:r w:rsidR="00162AD9" w:rsidRPr="00FF386D">
        <w:rPr>
          <w:rFonts w:asciiTheme="majorHAnsi" w:eastAsia="Times New Roman" w:hAnsiTheme="majorHAnsi" w:cstheme="majorHAnsi"/>
          <w:b/>
          <w:bCs/>
          <w:lang w:eastAsia="el-GR"/>
        </w:rPr>
        <w:t>године</w:t>
      </w:r>
      <w:r w:rsidR="00162AD9"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lang w:eastAsia="el-GR"/>
        </w:rPr>
        <w:t xml:space="preserve">и </w:t>
      </w:r>
      <w:r w:rsidRPr="00FF386D">
        <w:rPr>
          <w:rFonts w:asciiTheme="majorHAnsi" w:eastAsia="Times New Roman" w:hAnsiTheme="majorHAnsi" w:cstheme="majorHAnsi"/>
          <w:b/>
          <w:bCs/>
          <w:lang w:eastAsia="el-GR"/>
        </w:rPr>
        <w:t>Десетогодишњи план развоја Транспортгаса Србија за период 2020-2029</w:t>
      </w:r>
      <w:r w:rsidR="00162AD9" w:rsidRPr="00FF386D">
        <w:rPr>
          <w:rFonts w:asciiTheme="majorHAnsi" w:eastAsia="Times New Roman" w:hAnsiTheme="majorHAnsi" w:cstheme="majorHAnsi"/>
          <w:b/>
          <w:bCs/>
          <w:lang w:eastAsia="el-GR"/>
        </w:rPr>
        <w:t>. године</w:t>
      </w:r>
      <w:r w:rsidRPr="00FF386D">
        <w:rPr>
          <w:rFonts w:asciiTheme="majorHAnsi" w:eastAsia="Times New Roman" w:hAnsiTheme="majorHAnsi" w:cstheme="majorHAnsi"/>
          <w:b/>
          <w:bCs/>
          <w:lang w:eastAsia="el-GR"/>
        </w:rPr>
        <w:t xml:space="preserve"> </w:t>
      </w:r>
      <w:r w:rsidRPr="00FF386D">
        <w:rPr>
          <w:rFonts w:asciiTheme="majorHAnsi" w:eastAsia="Times New Roman" w:hAnsiTheme="majorHAnsi" w:cstheme="majorHAnsi"/>
          <w:lang w:eastAsia="el-GR"/>
        </w:rPr>
        <w:t>представљају кључн</w:t>
      </w:r>
      <w:r w:rsidR="0075343C" w:rsidRPr="00FF386D">
        <w:rPr>
          <w:rFonts w:asciiTheme="majorHAnsi" w:eastAsia="Times New Roman" w:hAnsiTheme="majorHAnsi" w:cstheme="majorHAnsi"/>
          <w:lang w:eastAsia="el-GR"/>
        </w:rPr>
        <w:t>е</w:t>
      </w:r>
      <w:r w:rsidRPr="00FF386D">
        <w:rPr>
          <w:rFonts w:asciiTheme="majorHAnsi" w:eastAsia="Times New Roman" w:hAnsiTheme="majorHAnsi" w:cstheme="majorHAnsi"/>
          <w:lang w:eastAsia="el-GR"/>
        </w:rPr>
        <w:t xml:space="preserve"> развојн</w:t>
      </w:r>
      <w:r w:rsidR="0075343C" w:rsidRPr="00FF386D">
        <w:rPr>
          <w:rFonts w:asciiTheme="majorHAnsi" w:eastAsia="Times New Roman" w:hAnsiTheme="majorHAnsi" w:cstheme="majorHAnsi"/>
          <w:lang w:eastAsia="el-GR"/>
        </w:rPr>
        <w:t>е</w:t>
      </w:r>
      <w:r w:rsidRPr="00FF386D">
        <w:rPr>
          <w:rFonts w:asciiTheme="majorHAnsi" w:eastAsia="Times New Roman" w:hAnsiTheme="majorHAnsi" w:cstheme="majorHAnsi"/>
          <w:lang w:eastAsia="el-GR"/>
        </w:rPr>
        <w:t xml:space="preserve"> документ</w:t>
      </w:r>
      <w:r w:rsidR="0075343C" w:rsidRPr="00FF386D">
        <w:rPr>
          <w:rFonts w:asciiTheme="majorHAnsi" w:eastAsia="Times New Roman" w:hAnsiTheme="majorHAnsi" w:cstheme="majorHAnsi"/>
          <w:lang w:eastAsia="el-GR"/>
        </w:rPr>
        <w:t>е</w:t>
      </w:r>
      <w:r w:rsidRPr="00FF386D">
        <w:rPr>
          <w:rFonts w:asciiTheme="majorHAnsi" w:eastAsia="Times New Roman" w:hAnsiTheme="majorHAnsi" w:cstheme="majorHAnsi"/>
          <w:lang w:eastAsia="el-GR"/>
        </w:rPr>
        <w:t xml:space="preserve"> кој</w:t>
      </w:r>
      <w:r w:rsidR="0075343C" w:rsidRPr="00FF386D">
        <w:rPr>
          <w:rFonts w:asciiTheme="majorHAnsi" w:eastAsia="Times New Roman" w:hAnsiTheme="majorHAnsi" w:cstheme="majorHAnsi"/>
          <w:lang w:eastAsia="el-GR"/>
        </w:rPr>
        <w:t>е</w:t>
      </w:r>
      <w:r w:rsidRPr="00FF386D">
        <w:rPr>
          <w:rFonts w:asciiTheme="majorHAnsi" w:eastAsia="Times New Roman" w:hAnsiTheme="majorHAnsi" w:cstheme="majorHAnsi"/>
          <w:lang w:eastAsia="el-GR"/>
        </w:rPr>
        <w:t xml:space="preserve"> </w:t>
      </w:r>
      <w:r w:rsidR="00162AD9" w:rsidRPr="00FF386D">
        <w:rPr>
          <w:rFonts w:asciiTheme="majorHAnsi" w:eastAsia="Times New Roman" w:hAnsiTheme="majorHAnsi" w:cstheme="majorHAnsi"/>
          <w:lang w:eastAsia="el-GR"/>
        </w:rPr>
        <w:t>израђују</w:t>
      </w:r>
      <w:r w:rsidRPr="00FF386D">
        <w:rPr>
          <w:rFonts w:asciiTheme="majorHAnsi" w:eastAsia="Times New Roman" w:hAnsiTheme="majorHAnsi" w:cstheme="majorHAnsi"/>
          <w:lang w:eastAsia="el-GR"/>
        </w:rPr>
        <w:t xml:space="preserve"> учесници на тржишту.</w:t>
      </w:r>
    </w:p>
    <w:p w14:paraId="704062AE" w14:textId="7D0CD5F7"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Организовано дан-унапред тржиште/берза електричне енергије у Србији („SEEPEX“</w:t>
      </w:r>
      <w:r w:rsidR="00283F25" w:rsidRPr="00FF386D">
        <w:rPr>
          <w:rFonts w:asciiTheme="majorHAnsi" w:eastAsia="Times New Roman" w:hAnsiTheme="majorHAnsi" w:cstheme="majorHAnsi"/>
          <w:lang w:eastAsia="el-GR"/>
        </w:rPr>
        <w:t xml:space="preserve"> а.д.</w:t>
      </w:r>
      <w:r w:rsidRPr="00FF386D">
        <w:rPr>
          <w:rFonts w:asciiTheme="majorHAnsi" w:eastAsia="Times New Roman" w:hAnsiTheme="majorHAnsi" w:cstheme="majorHAnsi"/>
          <w:lang w:eastAsia="el-GR"/>
        </w:rPr>
        <w:t>) основано је у фебруару 2016. године на основу партнерства између компанија ЕМС АД и Европске берзе електричне енергије (</w:t>
      </w:r>
      <w:r w:rsidRPr="00FF386D">
        <w:rPr>
          <w:rFonts w:asciiTheme="majorHAnsi" w:eastAsia="Times New Roman" w:hAnsiTheme="majorHAnsi" w:cstheme="majorHAnsi"/>
          <w:i/>
          <w:iCs/>
          <w:lang w:eastAsia="el-GR"/>
        </w:rPr>
        <w:t>EPEX SPOT</w:t>
      </w:r>
      <w:r w:rsidRPr="00FF386D">
        <w:rPr>
          <w:rFonts w:asciiTheme="majorHAnsi" w:eastAsia="Times New Roman" w:hAnsiTheme="majorHAnsi" w:cstheme="majorHAnsi"/>
          <w:lang w:eastAsia="el-GR"/>
        </w:rPr>
        <w:t xml:space="preserve">) у складу са Законом о енергетици и након усвајања измена и допуна Закона о ПДВ-у и нових правила лиценцирања у 2015. </w:t>
      </w:r>
      <w:r w:rsidR="00162AD9" w:rsidRPr="00FF386D">
        <w:rPr>
          <w:rFonts w:asciiTheme="majorHAnsi" w:eastAsia="Times New Roman" w:hAnsiTheme="majorHAnsi" w:cstheme="majorHAnsi"/>
          <w:lang w:eastAsia="el-GR"/>
        </w:rPr>
        <w:t xml:space="preserve">години. </w:t>
      </w:r>
      <w:r w:rsidRPr="00FF386D">
        <w:rPr>
          <w:rFonts w:asciiTheme="majorHAnsi" w:eastAsia="Times New Roman" w:hAnsiTheme="majorHAnsi" w:cstheme="majorHAnsi"/>
          <w:lang w:eastAsia="el-GR"/>
        </w:rPr>
        <w:t xml:space="preserve">Успешно лансирање дан-унапред тржишта у Србији је </w:t>
      </w:r>
      <w:r w:rsidRPr="00FF386D">
        <w:rPr>
          <w:rFonts w:asciiTheme="majorHAnsi" w:eastAsia="Times New Roman" w:hAnsiTheme="majorHAnsi" w:cstheme="majorHAnsi"/>
          <w:lang w:eastAsia="el-GR"/>
        </w:rPr>
        <w:lastRenderedPageBreak/>
        <w:t>важно за тржиште електричне енергије у југоисточној Европи јер је то прво организовано тржиште у региону.</w:t>
      </w:r>
    </w:p>
    <w:p w14:paraId="7116AF95" w14:textId="4A177B03"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Крајем 2014. године, Влада Републике Србије усвојила је Закључак којим се прихвата</w:t>
      </w:r>
      <w:r w:rsidR="0075343C" w:rsidRPr="00FF386D">
        <w:rPr>
          <w:rFonts w:asciiTheme="majorHAnsi" w:eastAsia="Times New Roman" w:hAnsiTheme="majorHAnsi" w:cstheme="majorHAnsi"/>
          <w:lang w:eastAsia="el-GR"/>
        </w:rPr>
        <w:t>ју полазне</w:t>
      </w:r>
      <w:r w:rsidRPr="00FF386D">
        <w:rPr>
          <w:rFonts w:asciiTheme="majorHAnsi" w:eastAsia="Times New Roman" w:hAnsiTheme="majorHAnsi" w:cstheme="majorHAnsi"/>
          <w:lang w:eastAsia="el-GR"/>
        </w:rPr>
        <w:t xml:space="preserve"> основ</w:t>
      </w:r>
      <w:r w:rsidR="0075343C" w:rsidRPr="00FF386D">
        <w:rPr>
          <w:rFonts w:asciiTheme="majorHAnsi" w:eastAsia="Times New Roman" w:hAnsiTheme="majorHAnsi" w:cstheme="majorHAnsi"/>
          <w:lang w:eastAsia="el-GR"/>
        </w:rPr>
        <w:t>е</w:t>
      </w:r>
      <w:r w:rsidRPr="00FF386D">
        <w:rPr>
          <w:rFonts w:asciiTheme="majorHAnsi" w:eastAsia="Times New Roman" w:hAnsiTheme="majorHAnsi" w:cstheme="majorHAnsi"/>
          <w:lang w:eastAsia="el-GR"/>
        </w:rPr>
        <w:t xml:space="preserve"> за реструктурирање ЈП Србијагас, којим је утврђено да оператори транспортног и дистрибутивног система буду правно одвојени субјекти од ЈП Србијагас. Влада је 2020. године усвојила </w:t>
      </w:r>
      <w:r w:rsidRPr="00FF386D">
        <w:rPr>
          <w:rFonts w:asciiTheme="majorHAnsi" w:eastAsia="Times New Roman" w:hAnsiTheme="majorHAnsi" w:cstheme="majorHAnsi"/>
          <w:b/>
          <w:bCs/>
          <w:lang w:eastAsia="el-GR"/>
        </w:rPr>
        <w:t>Акциони план за спровођење активности у циљу реорганизације ЈП „Србијагас“</w:t>
      </w:r>
      <w:r w:rsidRPr="00FF386D">
        <w:rPr>
          <w:rFonts w:asciiTheme="majorHAnsi" w:eastAsia="Times New Roman" w:hAnsiTheme="majorHAnsi" w:cstheme="majorHAnsi"/>
          <w:lang w:eastAsia="el-GR"/>
        </w:rPr>
        <w:t xml:space="preserve">, који предвиђа раздвајање његових делатности транспорта гаса и дистрибуције гаса, у складу са обавезама </w:t>
      </w:r>
      <w:r w:rsidR="00283F25" w:rsidRPr="00FF386D">
        <w:rPr>
          <w:rFonts w:asciiTheme="majorHAnsi" w:eastAsia="Times New Roman" w:hAnsiTheme="majorHAnsi" w:cstheme="majorHAnsi"/>
          <w:lang w:eastAsia="el-GR"/>
        </w:rPr>
        <w:t xml:space="preserve">које налаже </w:t>
      </w:r>
      <w:r w:rsidRPr="00FF386D">
        <w:rPr>
          <w:rFonts w:asciiTheme="majorHAnsi" w:eastAsia="Times New Roman" w:hAnsiTheme="majorHAnsi" w:cstheme="majorHAnsi"/>
          <w:lang w:eastAsia="el-GR"/>
        </w:rPr>
        <w:t xml:space="preserve">ЕУ. У складу са планом, власништво </w:t>
      </w:r>
      <w:r w:rsidR="0075343C" w:rsidRPr="00FF386D">
        <w:rPr>
          <w:rFonts w:asciiTheme="majorHAnsi" w:eastAsia="Times New Roman" w:hAnsiTheme="majorHAnsi" w:cstheme="majorHAnsi"/>
          <w:lang w:eastAsia="el-GR"/>
        </w:rPr>
        <w:t>над предузећем</w:t>
      </w:r>
      <w:r w:rsidRPr="00FF386D">
        <w:rPr>
          <w:rFonts w:asciiTheme="majorHAnsi" w:eastAsia="Times New Roman" w:hAnsiTheme="majorHAnsi" w:cstheme="majorHAnsi"/>
          <w:lang w:eastAsia="el-GR"/>
        </w:rPr>
        <w:t xml:space="preserve"> Транспортгас Србија пренето је са Србијагаса на Владу у мају 2021. године</w:t>
      </w:r>
      <w:r w:rsidRPr="00565B02">
        <w:rPr>
          <w:rFonts w:asciiTheme="majorHAnsi" w:eastAsia="Times New Roman" w:hAnsiTheme="majorHAnsi" w:cstheme="majorHAnsi"/>
          <w:lang w:eastAsia="el-GR"/>
        </w:rPr>
        <w:t>.</w:t>
      </w:r>
    </w:p>
    <w:p w14:paraId="0E5AE96F" w14:textId="2D2D266C"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У складу са Законом о енергетици, </w:t>
      </w:r>
      <w:r w:rsidR="00162AD9" w:rsidRPr="00FF386D">
        <w:rPr>
          <w:rFonts w:asciiTheme="majorHAnsi" w:eastAsia="Times New Roman" w:hAnsiTheme="majorHAnsi" w:cstheme="majorHAnsi"/>
          <w:lang w:eastAsia="el-GR"/>
        </w:rPr>
        <w:t xml:space="preserve">измењени су </w:t>
      </w:r>
      <w:r w:rsidRPr="00FF386D">
        <w:rPr>
          <w:rFonts w:asciiTheme="majorHAnsi" w:eastAsia="Times New Roman" w:hAnsiTheme="majorHAnsi" w:cstheme="majorHAnsi"/>
          <w:lang w:eastAsia="el-GR"/>
        </w:rPr>
        <w:t xml:space="preserve">услови за </w:t>
      </w:r>
      <w:r w:rsidR="0075343C" w:rsidRPr="00FF386D">
        <w:rPr>
          <w:rFonts w:asciiTheme="majorHAnsi" w:eastAsia="Times New Roman" w:hAnsiTheme="majorHAnsi" w:cstheme="majorHAnsi"/>
          <w:lang w:eastAsia="el-GR"/>
        </w:rPr>
        <w:t xml:space="preserve">стицање </w:t>
      </w:r>
      <w:r w:rsidRPr="00FF386D">
        <w:rPr>
          <w:rFonts w:asciiTheme="majorHAnsi" w:eastAsia="Times New Roman" w:hAnsiTheme="majorHAnsi" w:cstheme="majorHAnsi"/>
          <w:lang w:eastAsia="el-GR"/>
        </w:rPr>
        <w:t>прав</w:t>
      </w:r>
      <w:r w:rsidR="0075343C" w:rsidRPr="00FF386D">
        <w:rPr>
          <w:rFonts w:asciiTheme="majorHAnsi" w:eastAsia="Times New Roman" w:hAnsiTheme="majorHAnsi" w:cstheme="majorHAnsi"/>
          <w:lang w:eastAsia="el-GR"/>
        </w:rPr>
        <w:t>а</w:t>
      </w:r>
      <w:r w:rsidRPr="00FF386D">
        <w:rPr>
          <w:rFonts w:asciiTheme="majorHAnsi" w:eastAsia="Times New Roman" w:hAnsiTheme="majorHAnsi" w:cstheme="majorHAnsi"/>
          <w:lang w:eastAsia="el-GR"/>
        </w:rPr>
        <w:t xml:space="preserve"> на гарантовано снабдевање електричном енергијом. У складу са </w:t>
      </w:r>
      <w:r w:rsidR="00162AD9" w:rsidRPr="00FF386D">
        <w:rPr>
          <w:rFonts w:asciiTheme="majorHAnsi" w:eastAsia="Times New Roman" w:hAnsiTheme="majorHAnsi" w:cstheme="majorHAnsi"/>
          <w:lang w:eastAsia="el-GR"/>
        </w:rPr>
        <w:t>тим</w:t>
      </w:r>
      <w:r w:rsidRPr="00FF386D">
        <w:rPr>
          <w:rFonts w:asciiTheme="majorHAnsi" w:eastAsia="Times New Roman" w:hAnsiTheme="majorHAnsi" w:cstheme="majorHAnsi"/>
          <w:lang w:eastAsia="el-GR"/>
        </w:rPr>
        <w:t>, од 2015. године право на гарантовано снабдевање</w:t>
      </w:r>
      <w:r w:rsidR="00FE35E5" w:rsidRPr="000A2AFE">
        <w:rPr>
          <w:rFonts w:asciiTheme="majorHAnsi" w:eastAsia="Times New Roman" w:hAnsiTheme="majorHAnsi" w:cstheme="majorHAnsi"/>
          <w:lang w:eastAsia="el-GR"/>
        </w:rPr>
        <w:t xml:space="preserve"> </w:t>
      </w:r>
      <w:r w:rsidRPr="00FF386D">
        <w:rPr>
          <w:rFonts w:asciiTheme="majorHAnsi" w:eastAsia="Times New Roman" w:hAnsiTheme="majorHAnsi" w:cstheme="majorHAnsi"/>
          <w:lang w:eastAsia="el-GR"/>
        </w:rPr>
        <w:t>остварују само домаћинства и мали купци до 30.000 kWh</w:t>
      </w:r>
      <w:r w:rsidR="00FE35E5" w:rsidRPr="000A2AFE">
        <w:rPr>
          <w:rFonts w:asciiTheme="majorHAnsi" w:eastAsia="Times New Roman" w:hAnsiTheme="majorHAnsi" w:cstheme="majorHAnsi"/>
          <w:lang w:eastAsia="el-GR"/>
        </w:rPr>
        <w:t>,</w:t>
      </w:r>
      <w:r w:rsidR="00FE35E5" w:rsidRPr="00FF386D">
        <w:rPr>
          <w:rFonts w:asciiTheme="majorHAnsi" w:eastAsia="Times New Roman" w:hAnsiTheme="majorHAnsi" w:cstheme="majorHAnsi"/>
          <w:lang w:eastAsia="el-GR"/>
        </w:rPr>
        <w:t xml:space="preserve"> по ценама електричне енергије за гарантовано снабдевање које се одређују методологијом коју према Закону о енергетици доноси Агенција за енергетику, која даје и сагласност на одлуку о цени електричне енергије</w:t>
      </w:r>
      <w:r w:rsidRPr="00FF386D">
        <w:rPr>
          <w:rFonts w:asciiTheme="majorHAnsi" w:eastAsia="Times New Roman" w:hAnsiTheme="majorHAnsi" w:cstheme="majorHAnsi"/>
          <w:lang w:eastAsia="el-GR"/>
        </w:rPr>
        <w:t>. Конкретн</w:t>
      </w:r>
      <w:r w:rsidR="00283F25" w:rsidRPr="00FF386D">
        <w:rPr>
          <w:rFonts w:asciiTheme="majorHAnsi" w:eastAsia="Times New Roman" w:hAnsiTheme="majorHAnsi" w:cstheme="majorHAnsi"/>
          <w:lang w:eastAsia="el-GR"/>
        </w:rPr>
        <w:t>о</w:t>
      </w:r>
      <w:r w:rsidRPr="00FF386D">
        <w:rPr>
          <w:rFonts w:asciiTheme="majorHAnsi" w:eastAsia="Times New Roman" w:hAnsiTheme="majorHAnsi" w:cstheme="majorHAnsi"/>
          <w:lang w:eastAsia="el-GR"/>
        </w:rPr>
        <w:t xml:space="preserve">, домаћинства и мали купци имају право да остану код гарантованог снабдевача и да се снабдевају у складу са постојећим уговорима, али такође имају </w:t>
      </w:r>
      <w:r w:rsidR="00283F25" w:rsidRPr="00FF386D">
        <w:rPr>
          <w:rFonts w:asciiTheme="majorHAnsi" w:eastAsia="Times New Roman" w:hAnsiTheme="majorHAnsi" w:cstheme="majorHAnsi"/>
          <w:lang w:eastAsia="el-GR"/>
        </w:rPr>
        <w:t>могућност</w:t>
      </w:r>
      <w:r w:rsidRPr="00FF386D">
        <w:rPr>
          <w:rFonts w:asciiTheme="majorHAnsi" w:eastAsia="Times New Roman" w:hAnsiTheme="majorHAnsi" w:cstheme="majorHAnsi"/>
          <w:lang w:eastAsia="el-GR"/>
        </w:rPr>
        <w:t xml:space="preserve"> да склопе уговор са било којим лиценцираним снабдевачем електричне енергије на отвореном тржишту. У сектору гаса, сви крајњи купци природног гаса имају право да бирају свог снабдевача на тржишту. Домаћинства и мали купци природног гаса</w:t>
      </w:r>
      <w:r w:rsidR="00AE2A4E" w:rsidRPr="00FF386D">
        <w:rPr>
          <w:rFonts w:asciiTheme="majorHAnsi" w:eastAsia="Times New Roman" w:hAnsiTheme="majorHAnsi" w:cstheme="majorHAnsi"/>
          <w:lang w:eastAsia="el-GR"/>
        </w:rPr>
        <w:t xml:space="preserve"> до 100.000 m</w:t>
      </w:r>
      <w:r w:rsidR="00AE2A4E" w:rsidRPr="00FF386D">
        <w:rPr>
          <w:rFonts w:asciiTheme="majorHAnsi" w:eastAsia="Times New Roman" w:hAnsiTheme="majorHAnsi" w:cstheme="majorHAnsi"/>
          <w:vertAlign w:val="superscript"/>
          <w:lang w:eastAsia="el-GR"/>
        </w:rPr>
        <w:t>3</w:t>
      </w:r>
      <w:r w:rsidR="00AE2A4E"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lang w:eastAsia="el-GR"/>
        </w:rPr>
        <w:t>имају право на то од 2015. године, али имају право и на јавно снабдевање. У складу са циљевима енергетске политике, у Републици Србији је стимулисан развој конкуренције у сектору нафте, деривата</w:t>
      </w:r>
      <w:r w:rsidR="00162AD9" w:rsidRPr="00FF386D">
        <w:rPr>
          <w:rFonts w:asciiTheme="majorHAnsi" w:eastAsia="Times New Roman" w:hAnsiTheme="majorHAnsi" w:cstheme="majorHAnsi"/>
          <w:lang w:eastAsia="el-GR"/>
        </w:rPr>
        <w:t xml:space="preserve"> нафте</w:t>
      </w:r>
      <w:r w:rsidRPr="00FF386D">
        <w:rPr>
          <w:rFonts w:asciiTheme="majorHAnsi" w:eastAsia="Times New Roman" w:hAnsiTheme="majorHAnsi" w:cstheme="majorHAnsi"/>
          <w:lang w:eastAsia="el-GR"/>
        </w:rPr>
        <w:t>, биогорива и компримованог природног гаса у циљу повећања ефикасности овог сектора путем тржишних механизама. У ужем смислу регу</w:t>
      </w:r>
      <w:r w:rsidR="0075343C" w:rsidRPr="00FF386D">
        <w:rPr>
          <w:rFonts w:asciiTheme="majorHAnsi" w:eastAsia="Times New Roman" w:hAnsiTheme="majorHAnsi" w:cstheme="majorHAnsi"/>
          <w:lang w:eastAsia="el-GR"/>
        </w:rPr>
        <w:t xml:space="preserve">лисања </w:t>
      </w:r>
      <w:r w:rsidRPr="00FF386D">
        <w:rPr>
          <w:rFonts w:asciiTheme="majorHAnsi" w:eastAsia="Times New Roman" w:hAnsiTheme="majorHAnsi" w:cstheme="majorHAnsi"/>
          <w:lang w:eastAsia="el-GR"/>
        </w:rPr>
        <w:t xml:space="preserve">енергетских </w:t>
      </w:r>
      <w:r w:rsidR="0075343C" w:rsidRPr="00FF386D">
        <w:rPr>
          <w:rFonts w:asciiTheme="majorHAnsi" w:eastAsia="Times New Roman" w:hAnsiTheme="majorHAnsi" w:cstheme="majorHAnsi"/>
          <w:lang w:eastAsia="el-GR"/>
        </w:rPr>
        <w:t>делатности</w:t>
      </w:r>
      <w:r w:rsidRPr="00FF386D">
        <w:rPr>
          <w:rFonts w:asciiTheme="majorHAnsi" w:eastAsia="Times New Roman" w:hAnsiTheme="majorHAnsi" w:cstheme="majorHAnsi"/>
          <w:lang w:eastAsia="el-GR"/>
        </w:rPr>
        <w:t xml:space="preserve">, регулисане цене у овом сектору утврђују се само за </w:t>
      </w:r>
      <w:r w:rsidR="0075343C" w:rsidRPr="00FF386D">
        <w:rPr>
          <w:rFonts w:asciiTheme="majorHAnsi" w:eastAsia="Times New Roman" w:hAnsiTheme="majorHAnsi" w:cstheme="majorHAnsi"/>
          <w:lang w:eastAsia="el-GR"/>
        </w:rPr>
        <w:t>делатности</w:t>
      </w:r>
      <w:r w:rsidR="002C5CB8"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lang w:eastAsia="el-GR"/>
        </w:rPr>
        <w:t xml:space="preserve">транспорта нафте нафтоводима, односно транспорта деривата </w:t>
      </w:r>
      <w:r w:rsidR="00162AD9" w:rsidRPr="00FF386D">
        <w:rPr>
          <w:rFonts w:asciiTheme="majorHAnsi" w:eastAsia="Times New Roman" w:hAnsiTheme="majorHAnsi" w:cstheme="majorHAnsi"/>
          <w:lang w:eastAsia="el-GR"/>
        </w:rPr>
        <w:t xml:space="preserve">нафте </w:t>
      </w:r>
      <w:r w:rsidRPr="00FF386D">
        <w:rPr>
          <w:rFonts w:asciiTheme="majorHAnsi" w:eastAsia="Times New Roman" w:hAnsiTheme="majorHAnsi" w:cstheme="majorHAnsi"/>
          <w:lang w:eastAsia="el-GR"/>
        </w:rPr>
        <w:t>продуктоводима</w:t>
      </w:r>
      <w:r w:rsidR="002C5CB8" w:rsidRPr="00FF386D">
        <w:rPr>
          <w:rFonts w:asciiTheme="majorHAnsi" w:eastAsia="Times New Roman" w:hAnsiTheme="majorHAnsi" w:cstheme="majorHAnsi"/>
          <w:lang w:eastAsia="el-GR"/>
        </w:rPr>
        <w:t xml:space="preserve"> које имају природне монополистичке карактеристике.</w:t>
      </w:r>
    </w:p>
    <w:p w14:paraId="50B9F601" w14:textId="68EE5D33"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У складу са </w:t>
      </w:r>
      <w:r w:rsidR="00611A98" w:rsidRPr="00FF386D">
        <w:rPr>
          <w:rFonts w:asciiTheme="majorHAnsi" w:eastAsia="Times New Roman" w:hAnsiTheme="majorHAnsi" w:cstheme="majorHAnsi"/>
          <w:b/>
          <w:bCs/>
          <w:lang w:eastAsia="el-GR"/>
        </w:rPr>
        <w:t>Законом о изменама и допунама Закона о енергетици</w:t>
      </w:r>
      <w:r w:rsidR="00611A98" w:rsidRPr="000A2AFE">
        <w:rPr>
          <w:rStyle w:val="FootnoteReference"/>
          <w:rFonts w:asciiTheme="majorHAnsi" w:eastAsia="Times New Roman" w:hAnsiTheme="majorHAnsi" w:cstheme="majorHAnsi"/>
          <w:b/>
          <w:bCs/>
          <w:lang w:val="sr-Cyrl-RS" w:eastAsia="el-GR"/>
        </w:rPr>
        <w:footnoteReference w:id="61"/>
      </w:r>
      <w:r w:rsidRPr="000A2AFE">
        <w:rPr>
          <w:rFonts w:asciiTheme="majorHAnsi" w:eastAsia="Times New Roman" w:hAnsiTheme="majorHAnsi" w:cstheme="majorHAnsi"/>
          <w:lang w:eastAsia="el-GR"/>
        </w:rPr>
        <w:t xml:space="preserve"> из 2021. године</w:t>
      </w:r>
      <w:r w:rsidRPr="00FF386D">
        <w:rPr>
          <w:rFonts w:asciiTheme="majorHAnsi" w:eastAsia="Times New Roman" w:hAnsiTheme="majorHAnsi" w:cstheme="majorHAnsi"/>
          <w:lang w:eastAsia="el-GR"/>
        </w:rPr>
        <w:t xml:space="preserve">, у јуну 2022. године одређен је </w:t>
      </w:r>
      <w:r w:rsidRPr="00FF386D">
        <w:rPr>
          <w:rFonts w:asciiTheme="majorHAnsi" w:eastAsia="Times New Roman" w:hAnsiTheme="majorHAnsi" w:cstheme="majorHAnsi"/>
          <w:b/>
          <w:bCs/>
          <w:lang w:eastAsia="el-GR"/>
        </w:rPr>
        <w:t xml:space="preserve">номиновани оператор тржишта електричне енергије, </w:t>
      </w:r>
      <w:r w:rsidRPr="00FF386D">
        <w:rPr>
          <w:rFonts w:asciiTheme="majorHAnsi" w:eastAsia="Times New Roman" w:hAnsiTheme="majorHAnsi" w:cstheme="majorHAnsi"/>
          <w:lang w:eastAsia="el-GR"/>
        </w:rPr>
        <w:t xml:space="preserve">који треба да буде </w:t>
      </w:r>
      <w:r w:rsidR="00CA3C1D" w:rsidRPr="00FF386D">
        <w:rPr>
          <w:rFonts w:asciiTheme="majorHAnsi" w:eastAsia="Times New Roman" w:hAnsiTheme="majorHAnsi" w:cstheme="majorHAnsi"/>
          <w:lang w:eastAsia="el-GR"/>
        </w:rPr>
        <w:t>надлежан</w:t>
      </w:r>
      <w:r w:rsidRPr="00FF386D">
        <w:rPr>
          <w:rFonts w:asciiTheme="majorHAnsi" w:eastAsia="Times New Roman" w:hAnsiTheme="majorHAnsi" w:cstheme="majorHAnsi"/>
          <w:lang w:eastAsia="el-GR"/>
        </w:rPr>
        <w:t xml:space="preserve"> за имплементацију дан-унапред и унутардневног тржишта, чиме ће се, уз суседна организована тржишта, добити централна улога у омогућавању и координацији процеса повезивања тржишта. Гаранције порекла ће допринети привлачењу инвестиција у обновљиве изворе. У том смислу, Република Србија је применила функционалан </w:t>
      </w:r>
      <w:r w:rsidRPr="00FF386D">
        <w:rPr>
          <w:rFonts w:asciiTheme="majorHAnsi" w:eastAsia="Times New Roman" w:hAnsiTheme="majorHAnsi" w:cstheme="majorHAnsi"/>
          <w:b/>
          <w:bCs/>
          <w:lang w:eastAsia="el-GR"/>
        </w:rPr>
        <w:t>Систем гаранција порекла</w:t>
      </w:r>
      <w:r w:rsidR="00CA3C1D" w:rsidRPr="00FF386D">
        <w:rPr>
          <w:rFonts w:asciiTheme="majorHAnsi" w:eastAsia="Times New Roman" w:hAnsiTheme="majorHAnsi" w:cstheme="majorHAnsi"/>
          <w:b/>
          <w:bCs/>
          <w:lang w:eastAsia="el-GR"/>
        </w:rPr>
        <w:t>,</w:t>
      </w:r>
      <w:r w:rsidRPr="00FF386D">
        <w:rPr>
          <w:rFonts w:asciiTheme="majorHAnsi" w:eastAsia="Times New Roman" w:hAnsiTheme="majorHAnsi" w:cstheme="majorHAnsi"/>
          <w:b/>
          <w:bCs/>
          <w:lang w:eastAsia="el-GR"/>
        </w:rPr>
        <w:t xml:space="preserve"> </w:t>
      </w:r>
      <w:r w:rsidRPr="00FF386D">
        <w:rPr>
          <w:rFonts w:asciiTheme="majorHAnsi" w:eastAsia="Times New Roman" w:hAnsiTheme="majorHAnsi" w:cstheme="majorHAnsi"/>
          <w:lang w:eastAsia="el-GR"/>
        </w:rPr>
        <w:t xml:space="preserve">а ЕМС а.д. је постао пуноправан члан </w:t>
      </w:r>
      <w:r w:rsidRPr="00FF386D">
        <w:rPr>
          <w:rFonts w:asciiTheme="majorHAnsi" w:eastAsia="Times New Roman" w:hAnsiTheme="majorHAnsi" w:cstheme="majorHAnsi"/>
          <w:b/>
          <w:bCs/>
          <w:lang w:eastAsia="el-GR"/>
        </w:rPr>
        <w:t>Асоцијације тела</w:t>
      </w:r>
      <w:r w:rsidR="007415DF" w:rsidRPr="00FF386D">
        <w:rPr>
          <w:rFonts w:asciiTheme="majorHAnsi" w:eastAsia="Times New Roman" w:hAnsiTheme="majorHAnsi" w:cstheme="majorHAnsi"/>
          <w:b/>
          <w:bCs/>
          <w:lang w:eastAsia="el-GR"/>
        </w:rPr>
        <w:t xml:space="preserve"> за издавање гаранција порекла</w:t>
      </w:r>
      <w:r w:rsidRPr="00FF386D">
        <w:rPr>
          <w:rFonts w:asciiTheme="majorHAnsi" w:eastAsia="Times New Roman" w:hAnsiTheme="majorHAnsi" w:cstheme="majorHAnsi"/>
          <w:b/>
          <w:bCs/>
          <w:lang w:eastAsia="el-GR"/>
        </w:rPr>
        <w:t xml:space="preserve"> (</w:t>
      </w:r>
      <w:r w:rsidR="007415DF" w:rsidRPr="00FF386D">
        <w:rPr>
          <w:rFonts w:asciiTheme="majorHAnsi" w:eastAsia="Times New Roman" w:hAnsiTheme="majorHAnsi" w:cstheme="majorHAnsi"/>
          <w:b/>
          <w:bCs/>
          <w:i/>
          <w:iCs/>
          <w:lang w:eastAsia="el-GR"/>
        </w:rPr>
        <w:t>AIB</w:t>
      </w:r>
      <w:r w:rsidRPr="00FF386D">
        <w:rPr>
          <w:rFonts w:asciiTheme="majorHAnsi" w:eastAsia="Times New Roman" w:hAnsiTheme="majorHAnsi" w:cstheme="majorHAnsi"/>
          <w:b/>
          <w:bCs/>
          <w:lang w:eastAsia="el-GR"/>
        </w:rPr>
        <w:t>)</w:t>
      </w:r>
      <w:r w:rsidRPr="00FF386D">
        <w:rPr>
          <w:rFonts w:asciiTheme="majorHAnsi" w:eastAsia="Times New Roman" w:hAnsiTheme="majorHAnsi" w:cstheme="majorHAnsi"/>
          <w:lang w:eastAsia="el-GR"/>
        </w:rPr>
        <w:t xml:space="preserve">. Ово ће омогућити прекограничну трговину Гаранцијама порекла са ЕУ, која ће се наставити након што се директива </w:t>
      </w:r>
      <w:r w:rsidRPr="00FF386D">
        <w:rPr>
          <w:rFonts w:asciiTheme="majorHAnsi" w:eastAsia="Times New Roman" w:hAnsiTheme="majorHAnsi" w:cstheme="majorHAnsi"/>
          <w:i/>
          <w:iCs/>
          <w:lang w:eastAsia="el-GR"/>
        </w:rPr>
        <w:t>RED</w:t>
      </w:r>
      <w:r w:rsidR="00CA3C1D" w:rsidRPr="00FF386D">
        <w:rPr>
          <w:rFonts w:asciiTheme="majorHAnsi" w:eastAsia="Times New Roman" w:hAnsiTheme="majorHAnsi" w:cstheme="majorHAnsi"/>
          <w:i/>
          <w:iCs/>
          <w:lang w:eastAsia="el-GR"/>
        </w:rPr>
        <w:t xml:space="preserve"> </w:t>
      </w:r>
      <w:r w:rsidRPr="00FF386D">
        <w:rPr>
          <w:rFonts w:asciiTheme="majorHAnsi" w:eastAsia="Times New Roman" w:hAnsiTheme="majorHAnsi" w:cstheme="majorHAnsi"/>
          <w:i/>
          <w:iCs/>
          <w:lang w:eastAsia="el-GR"/>
        </w:rPr>
        <w:t>II</w:t>
      </w:r>
      <w:r w:rsidRPr="00FF386D">
        <w:rPr>
          <w:rFonts w:asciiTheme="majorHAnsi" w:eastAsia="Times New Roman" w:hAnsiTheme="majorHAnsi" w:cstheme="majorHAnsi"/>
          <w:lang w:eastAsia="el-GR"/>
        </w:rPr>
        <w:t xml:space="preserve"> транспонује и примени у свим земљама ЕУ од јула 2021. године.</w:t>
      </w:r>
    </w:p>
    <w:p w14:paraId="091F646D" w14:textId="670A6A83" w:rsidR="00EB3C75" w:rsidRPr="00FF386D" w:rsidRDefault="00EB3C75" w:rsidP="00EB3C75">
      <w:pPr>
        <w:spacing w:before="120" w:after="120" w:line="240" w:lineRule="auto"/>
        <w:jc w:val="both"/>
        <w:rPr>
          <w:rFonts w:asciiTheme="majorHAnsi" w:eastAsia="Times New Roman" w:hAnsiTheme="majorHAnsi" w:cstheme="majorHAnsi"/>
          <w:highlight w:val="yellow"/>
          <w:lang w:eastAsia="el-GR"/>
        </w:rPr>
      </w:pPr>
      <w:r w:rsidRPr="00FF386D">
        <w:rPr>
          <w:rFonts w:asciiTheme="majorHAnsi" w:eastAsia="Times New Roman" w:hAnsiTheme="majorHAnsi" w:cstheme="majorHAnsi"/>
          <w:lang w:eastAsia="el-GR"/>
        </w:rPr>
        <w:t xml:space="preserve">Осим тога, </w:t>
      </w:r>
      <w:r w:rsidR="00DD5A4F" w:rsidRPr="000A2AFE">
        <w:rPr>
          <w:rFonts w:asciiTheme="majorHAnsi" w:eastAsia="Times New Roman" w:hAnsiTheme="majorHAnsi" w:cstheme="majorHAnsi"/>
          <w:b/>
          <w:bCs/>
          <w:lang w:eastAsia="el-GR"/>
        </w:rPr>
        <w:t>Закон о изменама и допунама Закона о ко</w:t>
      </w:r>
      <w:r w:rsidR="003E31FD" w:rsidRPr="000A2AFE">
        <w:rPr>
          <w:rFonts w:asciiTheme="majorHAnsi" w:eastAsia="Times New Roman" w:hAnsiTheme="majorHAnsi" w:cstheme="majorHAnsi"/>
          <w:b/>
          <w:bCs/>
          <w:lang w:eastAsia="el-GR"/>
        </w:rPr>
        <w:t>р</w:t>
      </w:r>
      <w:r w:rsidR="00DD5A4F" w:rsidRPr="000A2AFE">
        <w:rPr>
          <w:rFonts w:asciiTheme="majorHAnsi" w:eastAsia="Times New Roman" w:hAnsiTheme="majorHAnsi" w:cstheme="majorHAnsi"/>
          <w:b/>
          <w:bCs/>
          <w:lang w:eastAsia="el-GR"/>
        </w:rPr>
        <w:t>ишћењу обновљивих извора енергиј</w:t>
      </w:r>
      <w:r w:rsidR="0046462F" w:rsidRPr="000A2AFE">
        <w:rPr>
          <w:rFonts w:asciiTheme="majorHAnsi" w:eastAsia="Times New Roman" w:hAnsiTheme="majorHAnsi" w:cstheme="majorHAnsi"/>
          <w:b/>
          <w:bCs/>
          <w:lang w:eastAsia="el-GR"/>
        </w:rPr>
        <w:t>е</w:t>
      </w:r>
      <w:r w:rsidR="0046462F" w:rsidRPr="00FF386D">
        <w:rPr>
          <w:rStyle w:val="FootnoteReference"/>
          <w:rFonts w:asciiTheme="majorHAnsi" w:eastAsia="Times New Roman" w:hAnsiTheme="majorHAnsi" w:cstheme="majorHAnsi"/>
          <w:lang w:val="sr-Cyrl-RS" w:eastAsia="el-GR"/>
        </w:rPr>
        <w:footnoteReference w:id="62"/>
      </w:r>
      <w:r w:rsidR="003E31FD" w:rsidRPr="00FF386D">
        <w:rPr>
          <w:rFonts w:asciiTheme="majorHAnsi" w:eastAsia="Times New Roman" w:hAnsiTheme="majorHAnsi" w:cstheme="majorHAnsi"/>
          <w:lang w:eastAsia="el-GR"/>
        </w:rPr>
        <w:t xml:space="preserve">, </w:t>
      </w:r>
      <w:r w:rsidR="002C5CB8" w:rsidRPr="00FF386D">
        <w:rPr>
          <w:rFonts w:asciiTheme="majorHAnsi" w:eastAsia="Times New Roman" w:hAnsiTheme="majorHAnsi" w:cstheme="majorHAnsi"/>
          <w:lang w:eastAsia="el-GR"/>
        </w:rPr>
        <w:t>омогућава</w:t>
      </w:r>
      <w:r w:rsidRPr="00FF386D">
        <w:rPr>
          <w:rFonts w:asciiTheme="majorHAnsi" w:eastAsia="Times New Roman" w:hAnsiTheme="majorHAnsi" w:cstheme="majorHAnsi"/>
          <w:lang w:eastAsia="el-GR"/>
        </w:rPr>
        <w:t xml:space="preserve"> боље окружење за модернизацију традиционалног и централизованог система производње </w:t>
      </w:r>
      <w:r w:rsidR="002C5CB8" w:rsidRPr="00FF386D">
        <w:rPr>
          <w:rFonts w:asciiTheme="majorHAnsi" w:eastAsia="Times New Roman" w:hAnsiTheme="majorHAnsi" w:cstheme="majorHAnsi"/>
          <w:lang w:eastAsia="el-GR"/>
        </w:rPr>
        <w:t xml:space="preserve">електричне </w:t>
      </w:r>
      <w:r w:rsidRPr="00FF386D">
        <w:rPr>
          <w:rFonts w:asciiTheme="majorHAnsi" w:eastAsia="Times New Roman" w:hAnsiTheme="majorHAnsi" w:cstheme="majorHAnsi"/>
          <w:lang w:eastAsia="el-GR"/>
        </w:rPr>
        <w:t>енергије увођењем концепта купца-произвођача, заједница</w:t>
      </w:r>
      <w:r w:rsidR="009F2763" w:rsidRPr="00C312D6">
        <w:rPr>
          <w:rFonts w:asciiTheme="majorHAnsi" w:eastAsia="Times New Roman" w:hAnsiTheme="majorHAnsi" w:cstheme="majorHAnsi"/>
          <w:lang w:eastAsia="el-GR"/>
        </w:rPr>
        <w:t xml:space="preserve"> </w:t>
      </w:r>
      <w:r w:rsidR="009F2763">
        <w:rPr>
          <w:rFonts w:asciiTheme="majorHAnsi" w:eastAsia="Times New Roman" w:hAnsiTheme="majorHAnsi" w:cstheme="majorHAnsi"/>
          <w:lang w:eastAsia="el-GR"/>
        </w:rPr>
        <w:t>ОИЕ</w:t>
      </w:r>
      <w:r w:rsidRPr="00FF386D">
        <w:rPr>
          <w:rFonts w:asciiTheme="majorHAnsi" w:eastAsia="Times New Roman" w:hAnsiTheme="majorHAnsi" w:cstheme="majorHAnsi"/>
          <w:lang w:eastAsia="el-GR"/>
        </w:rPr>
        <w:t xml:space="preserve"> и агрегатора</w:t>
      </w:r>
      <w:r w:rsidR="00765D28" w:rsidRPr="00FF386D">
        <w:rPr>
          <w:rFonts w:asciiTheme="majorHAnsi" w:eastAsia="Times New Roman" w:hAnsiTheme="majorHAnsi" w:cstheme="majorHAnsi"/>
          <w:lang w:eastAsia="el-GR"/>
        </w:rPr>
        <w:t>,</w:t>
      </w:r>
      <w:r w:rsidRPr="00FF386D">
        <w:rPr>
          <w:rFonts w:asciiTheme="majorHAnsi" w:eastAsia="Times New Roman" w:hAnsiTheme="majorHAnsi" w:cstheme="majorHAnsi"/>
          <w:lang w:eastAsia="el-GR"/>
        </w:rPr>
        <w:t xml:space="preserve"> као децентрализованих </w:t>
      </w:r>
      <w:r w:rsidR="00D7755A" w:rsidRPr="00FF386D">
        <w:rPr>
          <w:rFonts w:asciiTheme="majorHAnsi" w:eastAsia="Times New Roman" w:hAnsiTheme="majorHAnsi" w:cstheme="majorHAnsi"/>
          <w:lang w:eastAsia="el-GR"/>
        </w:rPr>
        <w:t>учесника</w:t>
      </w:r>
      <w:r w:rsidRPr="00FF386D">
        <w:rPr>
          <w:rFonts w:asciiTheme="majorHAnsi" w:eastAsia="Times New Roman" w:hAnsiTheme="majorHAnsi" w:cstheme="majorHAnsi"/>
          <w:lang w:eastAsia="el-GR"/>
        </w:rPr>
        <w:t xml:space="preserve"> на будућем тржишту енергије. Оснаживањем крајњих купаца да трансформишу своју улогу пасивних потрошача енергије у активне учеснике на тржишту кроз производњу</w:t>
      </w:r>
      <w:r w:rsidR="002C5CB8" w:rsidRPr="00FF386D">
        <w:rPr>
          <w:rFonts w:asciiTheme="majorHAnsi" w:eastAsia="Times New Roman" w:hAnsiTheme="majorHAnsi" w:cstheme="majorHAnsi"/>
          <w:lang w:eastAsia="el-GR"/>
        </w:rPr>
        <w:t xml:space="preserve"> електричне енергије за сопствене потребе</w:t>
      </w:r>
      <w:r w:rsidRPr="00FF386D">
        <w:rPr>
          <w:rFonts w:asciiTheme="majorHAnsi" w:eastAsia="Times New Roman" w:hAnsiTheme="majorHAnsi" w:cstheme="majorHAnsi"/>
          <w:lang w:eastAsia="el-GR"/>
        </w:rPr>
        <w:t>, Закон о коришћењу обновљивих извора енергије промовише општу идеју о могућностима локалне производње за сопствене потребе, са могућношћу п</w:t>
      </w:r>
      <w:r w:rsidR="002C5CB8" w:rsidRPr="00FF386D">
        <w:rPr>
          <w:rFonts w:asciiTheme="majorHAnsi" w:eastAsia="Times New Roman" w:hAnsiTheme="majorHAnsi" w:cstheme="majorHAnsi"/>
          <w:lang w:eastAsia="el-GR"/>
        </w:rPr>
        <w:t>рикључивања</w:t>
      </w:r>
      <w:r w:rsidRPr="00FF386D">
        <w:rPr>
          <w:rFonts w:asciiTheme="majorHAnsi" w:eastAsia="Times New Roman" w:hAnsiTheme="majorHAnsi" w:cstheme="majorHAnsi"/>
          <w:lang w:eastAsia="el-GR"/>
        </w:rPr>
        <w:t xml:space="preserve"> на мрежу и испоручивања вишка енергије до мреже.</w:t>
      </w:r>
    </w:p>
    <w:p w14:paraId="35A23CA1" w14:textId="3827C9D0" w:rsidR="00EB3C75" w:rsidRPr="00FF386D" w:rsidRDefault="00283F2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У складу са</w:t>
      </w:r>
      <w:r w:rsidR="00EB3C75" w:rsidRPr="00FF386D">
        <w:rPr>
          <w:rFonts w:asciiTheme="majorHAnsi" w:eastAsia="Times New Roman" w:hAnsiTheme="majorHAnsi" w:cstheme="majorHAnsi"/>
          <w:lang w:eastAsia="el-GR"/>
        </w:rPr>
        <w:t xml:space="preserve"> </w:t>
      </w:r>
      <w:r w:rsidR="00EB3C75" w:rsidRPr="00FF386D">
        <w:rPr>
          <w:rFonts w:asciiTheme="majorHAnsi" w:eastAsia="Times New Roman" w:hAnsiTheme="majorHAnsi" w:cstheme="majorHAnsi"/>
          <w:b/>
          <w:bCs/>
          <w:lang w:eastAsia="el-GR"/>
        </w:rPr>
        <w:t>Закон</w:t>
      </w:r>
      <w:r w:rsidRPr="00FF386D">
        <w:rPr>
          <w:rFonts w:asciiTheme="majorHAnsi" w:eastAsia="Times New Roman" w:hAnsiTheme="majorHAnsi" w:cstheme="majorHAnsi"/>
          <w:b/>
          <w:bCs/>
          <w:lang w:eastAsia="el-GR"/>
        </w:rPr>
        <w:t>ом</w:t>
      </w:r>
      <w:r w:rsidR="00EB3C75" w:rsidRPr="00FF386D">
        <w:rPr>
          <w:rFonts w:asciiTheme="majorHAnsi" w:eastAsia="Times New Roman" w:hAnsiTheme="majorHAnsi" w:cstheme="majorHAnsi"/>
          <w:b/>
          <w:bCs/>
          <w:lang w:eastAsia="el-GR"/>
        </w:rPr>
        <w:t xml:space="preserve"> о </w:t>
      </w:r>
      <w:r w:rsidR="003E31FD" w:rsidRPr="00FF386D">
        <w:rPr>
          <w:rFonts w:asciiTheme="majorHAnsi" w:eastAsia="Times New Roman" w:hAnsiTheme="majorHAnsi" w:cstheme="majorHAnsi"/>
          <w:b/>
          <w:bCs/>
          <w:lang w:eastAsia="el-GR"/>
        </w:rPr>
        <w:t>енергетици</w:t>
      </w:r>
      <w:r w:rsidR="00EB3C75" w:rsidRPr="00FF386D">
        <w:rPr>
          <w:rFonts w:asciiTheme="majorHAnsi" w:eastAsia="Times New Roman" w:hAnsiTheme="majorHAnsi" w:cstheme="majorHAnsi"/>
          <w:vertAlign w:val="superscript"/>
          <w:lang w:eastAsia="el-GR"/>
        </w:rPr>
        <w:footnoteReference w:id="63"/>
      </w:r>
      <w:r w:rsidR="00EB3C75" w:rsidRPr="00FF386D">
        <w:rPr>
          <w:rFonts w:asciiTheme="majorHAnsi" w:eastAsia="Times New Roman" w:hAnsiTheme="majorHAnsi" w:cstheme="majorHAnsi"/>
          <w:lang w:eastAsia="el-GR"/>
        </w:rPr>
        <w:t>, већа пажња се посвећује енергетском сиромаштву, које је означено као једна од кључних претњи у оквиру енергетске транзиције. Република Србија по први пут ставља већи нагласак на ов</w:t>
      </w:r>
      <w:r w:rsidR="002C5CB8" w:rsidRPr="00FF386D">
        <w:rPr>
          <w:rFonts w:asciiTheme="majorHAnsi" w:eastAsia="Times New Roman" w:hAnsiTheme="majorHAnsi" w:cstheme="majorHAnsi"/>
          <w:lang w:eastAsia="el-GR"/>
        </w:rPr>
        <w:t>о питање</w:t>
      </w:r>
      <w:r w:rsidR="00EB3C75" w:rsidRPr="00FF386D">
        <w:rPr>
          <w:rFonts w:asciiTheme="majorHAnsi" w:eastAsia="Times New Roman" w:hAnsiTheme="majorHAnsi" w:cstheme="majorHAnsi"/>
          <w:lang w:eastAsia="el-GR"/>
        </w:rPr>
        <w:t xml:space="preserve"> изменама и допунама Закона о енергетици. У том смислу, појам енергетског сиромаштва је </w:t>
      </w:r>
      <w:r w:rsidR="002C5CB8" w:rsidRPr="00FF386D">
        <w:rPr>
          <w:rFonts w:asciiTheme="majorHAnsi" w:eastAsia="Times New Roman" w:hAnsiTheme="majorHAnsi" w:cstheme="majorHAnsi"/>
          <w:lang w:eastAsia="el-GR"/>
        </w:rPr>
        <w:t>препознат у закону</w:t>
      </w:r>
      <w:r w:rsidR="00EB3C75" w:rsidRPr="00FF386D">
        <w:rPr>
          <w:rFonts w:asciiTheme="majorHAnsi" w:eastAsia="Times New Roman" w:hAnsiTheme="majorHAnsi" w:cstheme="majorHAnsi"/>
          <w:lang w:eastAsia="el-GR"/>
        </w:rPr>
        <w:t xml:space="preserve">, док су могућности намењене угроженим </w:t>
      </w:r>
      <w:r w:rsidR="00636E53">
        <w:rPr>
          <w:rFonts w:asciiTheme="majorHAnsi" w:eastAsia="Times New Roman" w:hAnsiTheme="majorHAnsi" w:cstheme="majorHAnsi"/>
          <w:lang w:eastAsia="el-GR"/>
        </w:rPr>
        <w:t>купц</w:t>
      </w:r>
      <w:r w:rsidR="00636E53" w:rsidRPr="00FF386D">
        <w:rPr>
          <w:rFonts w:asciiTheme="majorHAnsi" w:eastAsia="Times New Roman" w:hAnsiTheme="majorHAnsi" w:cstheme="majorHAnsi"/>
          <w:lang w:eastAsia="el-GR"/>
        </w:rPr>
        <w:t xml:space="preserve">има </w:t>
      </w:r>
      <w:r w:rsidR="00EB3C75" w:rsidRPr="00FF386D">
        <w:rPr>
          <w:rFonts w:asciiTheme="majorHAnsi" w:eastAsia="Times New Roman" w:hAnsiTheme="majorHAnsi" w:cstheme="majorHAnsi"/>
          <w:lang w:eastAsia="el-GR"/>
        </w:rPr>
        <w:t xml:space="preserve">проширене, и покривају и сектор грејања. На пример, </w:t>
      </w:r>
      <w:r w:rsidR="00EB3C75" w:rsidRPr="00FF386D">
        <w:rPr>
          <w:rFonts w:asciiTheme="majorHAnsi" w:eastAsia="Times New Roman" w:hAnsiTheme="majorHAnsi" w:cstheme="majorHAnsi"/>
          <w:b/>
          <w:bCs/>
          <w:lang w:eastAsia="el-GR"/>
        </w:rPr>
        <w:t>Уредб</w:t>
      </w:r>
      <w:r w:rsidR="007434E3" w:rsidRPr="00FF386D">
        <w:rPr>
          <w:rFonts w:asciiTheme="majorHAnsi" w:eastAsia="Times New Roman" w:hAnsiTheme="majorHAnsi" w:cstheme="majorHAnsi"/>
          <w:b/>
          <w:bCs/>
          <w:lang w:eastAsia="el-GR"/>
        </w:rPr>
        <w:t>а</w:t>
      </w:r>
      <w:r w:rsidR="00EB3C75" w:rsidRPr="00FF386D">
        <w:rPr>
          <w:rFonts w:asciiTheme="majorHAnsi" w:eastAsia="Times New Roman" w:hAnsiTheme="majorHAnsi" w:cstheme="majorHAnsi"/>
          <w:b/>
          <w:bCs/>
          <w:lang w:eastAsia="el-GR"/>
        </w:rPr>
        <w:t xml:space="preserve"> о енергетски угрожен</w:t>
      </w:r>
      <w:r w:rsidR="00E30304" w:rsidRPr="00FF386D">
        <w:rPr>
          <w:rFonts w:asciiTheme="majorHAnsi" w:eastAsia="Times New Roman" w:hAnsiTheme="majorHAnsi" w:cstheme="majorHAnsi"/>
          <w:b/>
          <w:bCs/>
          <w:lang w:eastAsia="el-GR"/>
        </w:rPr>
        <w:t>ом</w:t>
      </w:r>
      <w:r w:rsidR="00EB3C75" w:rsidRPr="00FF386D">
        <w:rPr>
          <w:rFonts w:asciiTheme="majorHAnsi" w:eastAsia="Times New Roman" w:hAnsiTheme="majorHAnsi" w:cstheme="majorHAnsi"/>
          <w:b/>
          <w:bCs/>
          <w:lang w:eastAsia="el-GR"/>
        </w:rPr>
        <w:t xml:space="preserve"> купц</w:t>
      </w:r>
      <w:r w:rsidR="00E30304" w:rsidRPr="00FF386D">
        <w:rPr>
          <w:rFonts w:asciiTheme="majorHAnsi" w:eastAsia="Times New Roman" w:hAnsiTheme="majorHAnsi" w:cstheme="majorHAnsi"/>
          <w:b/>
          <w:bCs/>
          <w:lang w:eastAsia="el-GR"/>
        </w:rPr>
        <w:t>у</w:t>
      </w:r>
      <w:r w:rsidR="00EB3C75" w:rsidRPr="00FF386D">
        <w:rPr>
          <w:rFonts w:asciiTheme="majorHAnsi" w:eastAsia="Times New Roman" w:hAnsiTheme="majorHAnsi" w:cstheme="majorHAnsi"/>
          <w:b/>
          <w:bCs/>
          <w:vertAlign w:val="superscript"/>
          <w:lang w:eastAsia="el-GR"/>
        </w:rPr>
        <w:footnoteReference w:id="64"/>
      </w:r>
      <w:r w:rsidR="003E31FD" w:rsidRPr="000A2AFE">
        <w:rPr>
          <w:rFonts w:asciiTheme="majorHAnsi" w:eastAsia="Times New Roman" w:hAnsiTheme="majorHAnsi" w:cstheme="majorHAnsi"/>
          <w:lang w:eastAsia="el-GR"/>
        </w:rPr>
        <w:t xml:space="preserve"> </w:t>
      </w:r>
      <w:r w:rsidR="007434E3" w:rsidRPr="000A2AFE">
        <w:rPr>
          <w:rFonts w:asciiTheme="majorHAnsi" w:eastAsia="Times New Roman" w:hAnsiTheme="majorHAnsi" w:cstheme="majorHAnsi"/>
          <w:lang w:eastAsia="el-GR"/>
        </w:rPr>
        <w:t xml:space="preserve">која </w:t>
      </w:r>
      <w:r w:rsidR="007434E3" w:rsidRPr="00FF386D">
        <w:rPr>
          <w:rFonts w:asciiTheme="majorHAnsi" w:eastAsia="Times New Roman" w:hAnsiTheme="majorHAnsi" w:cstheme="majorHAnsi"/>
          <w:lang w:eastAsia="el-GR"/>
        </w:rPr>
        <w:t xml:space="preserve">ближе прописује </w:t>
      </w:r>
      <w:r w:rsidR="00EB3C75" w:rsidRPr="00FF386D">
        <w:rPr>
          <w:rFonts w:asciiTheme="majorHAnsi" w:eastAsia="Times New Roman" w:hAnsiTheme="majorHAnsi" w:cstheme="majorHAnsi"/>
          <w:lang w:eastAsia="el-GR"/>
        </w:rPr>
        <w:lastRenderedPageBreak/>
        <w:t>критеријум</w:t>
      </w:r>
      <w:r w:rsidR="007434E3" w:rsidRPr="00FF386D">
        <w:rPr>
          <w:rFonts w:asciiTheme="majorHAnsi" w:eastAsia="Times New Roman" w:hAnsiTheme="majorHAnsi" w:cstheme="majorHAnsi"/>
          <w:lang w:eastAsia="el-GR"/>
        </w:rPr>
        <w:t>е</w:t>
      </w:r>
      <w:r w:rsidR="00EB3C75" w:rsidRPr="00FF386D">
        <w:rPr>
          <w:rFonts w:asciiTheme="majorHAnsi" w:eastAsia="Times New Roman" w:hAnsiTheme="majorHAnsi" w:cstheme="majorHAnsi"/>
          <w:lang w:eastAsia="el-GR"/>
        </w:rPr>
        <w:t xml:space="preserve"> за стицање статуса енергетски угроженог купца</w:t>
      </w:r>
      <w:r w:rsidR="007434E3" w:rsidRPr="00FF386D">
        <w:rPr>
          <w:rFonts w:asciiTheme="majorHAnsi" w:eastAsia="Times New Roman" w:hAnsiTheme="majorHAnsi" w:cstheme="majorHAnsi"/>
          <w:lang w:eastAsia="el-GR"/>
        </w:rPr>
        <w:t xml:space="preserve"> електричне енергије или природног гаса</w:t>
      </w:r>
      <w:r w:rsidR="00EB3C75" w:rsidRPr="00FF386D">
        <w:rPr>
          <w:rFonts w:asciiTheme="majorHAnsi" w:eastAsia="Times New Roman" w:hAnsiTheme="majorHAnsi" w:cstheme="majorHAnsi"/>
          <w:lang w:eastAsia="el-GR"/>
        </w:rPr>
        <w:t xml:space="preserve">, </w:t>
      </w:r>
      <w:r w:rsidR="007434E3" w:rsidRPr="00FF386D">
        <w:rPr>
          <w:rFonts w:asciiTheme="majorHAnsi" w:eastAsia="Times New Roman" w:hAnsiTheme="majorHAnsi" w:cstheme="majorHAnsi"/>
          <w:lang w:eastAsia="el-GR"/>
        </w:rPr>
        <w:t xml:space="preserve">унапређена је новом </w:t>
      </w:r>
      <w:r w:rsidR="007434E3" w:rsidRPr="000A2AFE">
        <w:rPr>
          <w:rFonts w:asciiTheme="majorHAnsi" w:eastAsia="Times New Roman" w:hAnsiTheme="majorHAnsi" w:cstheme="majorHAnsi"/>
          <w:b/>
          <w:bCs/>
          <w:lang w:eastAsia="el-GR"/>
        </w:rPr>
        <w:t>Уредбом о енергетски угроженом купцу</w:t>
      </w:r>
      <w:r w:rsidR="00F21906" w:rsidRPr="000A2AFE">
        <w:rPr>
          <w:rStyle w:val="FootnoteReference"/>
          <w:rFonts w:asciiTheme="majorHAnsi" w:eastAsia="Times New Roman" w:hAnsiTheme="majorHAnsi" w:cstheme="majorHAnsi"/>
          <w:b/>
          <w:bCs/>
          <w:lang w:val="sr-Cyrl-RS" w:eastAsia="el-GR"/>
        </w:rPr>
        <w:footnoteReference w:id="65"/>
      </w:r>
      <w:r w:rsidR="00F21906" w:rsidRPr="00FF386D">
        <w:rPr>
          <w:rFonts w:asciiTheme="majorHAnsi" w:eastAsia="Times New Roman" w:hAnsiTheme="majorHAnsi" w:cstheme="majorHAnsi"/>
          <w:lang w:eastAsia="el-GR"/>
        </w:rPr>
        <w:t xml:space="preserve"> усвојеном децембра 2022</w:t>
      </w:r>
      <w:r w:rsidR="007434E3" w:rsidRPr="00FF386D">
        <w:rPr>
          <w:rFonts w:asciiTheme="majorHAnsi" w:eastAsia="Times New Roman" w:hAnsiTheme="majorHAnsi" w:cstheme="majorHAnsi"/>
          <w:lang w:eastAsia="el-GR"/>
        </w:rPr>
        <w:t>, која</w:t>
      </w:r>
      <w:r w:rsidR="00154F7E" w:rsidRPr="00FF386D">
        <w:rPr>
          <w:rFonts w:asciiTheme="majorHAnsi" w:eastAsia="Times New Roman" w:hAnsiTheme="majorHAnsi" w:cstheme="majorHAnsi"/>
          <w:lang w:eastAsia="el-GR"/>
        </w:rPr>
        <w:t xml:space="preserve"> први пут уводи олакшице за топлотну енергију и предвиђа значајно проширење броја корисника олакшица</w:t>
      </w:r>
      <w:r w:rsidR="00EB3C75" w:rsidRPr="00FF386D">
        <w:rPr>
          <w:rFonts w:asciiTheme="majorHAnsi" w:eastAsia="Times New Roman" w:hAnsiTheme="majorHAnsi" w:cstheme="majorHAnsi"/>
          <w:lang w:eastAsia="el-GR"/>
        </w:rPr>
        <w:t>. За стицање статуса, потребно је да се најпре поднесе захтев јединици локалне самоуправе надлежној за послове социјалне заштите.</w:t>
      </w:r>
    </w:p>
    <w:p w14:paraId="2BFCB372" w14:textId="77777777" w:rsidR="00EB3C75" w:rsidRPr="00FF386D" w:rsidRDefault="00EB3C75" w:rsidP="00EB3C75">
      <w:pPr>
        <w:spacing w:before="120" w:after="120" w:line="240" w:lineRule="auto"/>
        <w:jc w:val="both"/>
        <w:rPr>
          <w:rFonts w:asciiTheme="majorHAnsi" w:eastAsia="Times New Roman" w:hAnsiTheme="majorHAnsi" w:cstheme="majorHAnsi"/>
          <w:b/>
          <w:bCs/>
          <w:lang w:eastAsia="el-GR"/>
        </w:rPr>
      </w:pPr>
      <w:r w:rsidRPr="00FF386D">
        <w:rPr>
          <w:rFonts w:asciiTheme="majorHAnsi" w:eastAsia="Times New Roman" w:hAnsiTheme="majorHAnsi" w:cstheme="majorHAnsi"/>
          <w:b/>
          <w:bCs/>
          <w:lang w:eastAsia="el-GR"/>
        </w:rPr>
        <w:t>Енергетска сигурност</w:t>
      </w:r>
    </w:p>
    <w:p w14:paraId="187CF6C8" w14:textId="69761377"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Основни елементи законодавства Републике Србије који</w:t>
      </w:r>
      <w:r w:rsidR="00E30304" w:rsidRPr="00FF386D">
        <w:rPr>
          <w:rFonts w:asciiTheme="majorHAnsi" w:eastAsia="Times New Roman" w:hAnsiTheme="majorHAnsi" w:cstheme="majorHAnsi"/>
          <w:lang w:eastAsia="el-GR"/>
        </w:rPr>
        <w:t>ма се уређује</w:t>
      </w:r>
      <w:r w:rsidRPr="00FF386D">
        <w:rPr>
          <w:rFonts w:asciiTheme="majorHAnsi" w:eastAsia="Times New Roman" w:hAnsiTheme="majorHAnsi" w:cstheme="majorHAnsi"/>
          <w:lang w:eastAsia="el-GR"/>
        </w:rPr>
        <w:t xml:space="preserve"> енергетск</w:t>
      </w:r>
      <w:r w:rsidR="00E30304" w:rsidRPr="00FF386D">
        <w:rPr>
          <w:rFonts w:asciiTheme="majorHAnsi" w:eastAsia="Times New Roman" w:hAnsiTheme="majorHAnsi" w:cstheme="majorHAnsi"/>
          <w:lang w:eastAsia="el-GR"/>
        </w:rPr>
        <w:t>а</w:t>
      </w:r>
      <w:r w:rsidRPr="00FF386D">
        <w:rPr>
          <w:rFonts w:asciiTheme="majorHAnsi" w:eastAsia="Times New Roman" w:hAnsiTheme="majorHAnsi" w:cstheme="majorHAnsi"/>
          <w:lang w:eastAsia="el-GR"/>
        </w:rPr>
        <w:t xml:space="preserve"> сигурност су </w:t>
      </w:r>
      <w:r w:rsidRPr="00FF386D">
        <w:rPr>
          <w:rFonts w:asciiTheme="majorHAnsi" w:eastAsia="Times New Roman" w:hAnsiTheme="majorHAnsi" w:cstheme="majorHAnsi"/>
          <w:b/>
          <w:bCs/>
          <w:lang w:eastAsia="el-GR"/>
        </w:rPr>
        <w:t>Закон о енергетици</w:t>
      </w:r>
      <w:r w:rsidRPr="00FF386D">
        <w:rPr>
          <w:rFonts w:asciiTheme="majorHAnsi" w:eastAsia="Times New Roman" w:hAnsiTheme="majorHAnsi" w:cstheme="majorHAnsi"/>
          <w:vertAlign w:val="superscript"/>
          <w:lang w:eastAsia="el-GR"/>
        </w:rPr>
        <w:footnoteReference w:id="66"/>
      </w:r>
      <w:r w:rsidR="00765D28" w:rsidRPr="00FF386D">
        <w:rPr>
          <w:rFonts w:asciiTheme="majorHAnsi" w:eastAsia="Times New Roman" w:hAnsiTheme="majorHAnsi" w:cstheme="majorHAnsi"/>
          <w:lang w:eastAsia="el-GR"/>
        </w:rPr>
        <w:t xml:space="preserve"> и</w:t>
      </w:r>
      <w:r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b/>
          <w:bCs/>
          <w:lang w:eastAsia="el-GR"/>
        </w:rPr>
        <w:t>Закон о робним резервама</w:t>
      </w:r>
      <w:r w:rsidRPr="00FF386D">
        <w:rPr>
          <w:rFonts w:asciiTheme="majorHAnsi" w:eastAsia="Times New Roman" w:hAnsiTheme="majorHAnsi" w:cstheme="majorHAnsi"/>
          <w:vertAlign w:val="superscript"/>
          <w:lang w:eastAsia="el-GR"/>
        </w:rPr>
        <w:footnoteReference w:id="67"/>
      </w:r>
      <w:r w:rsidRPr="00FF386D">
        <w:rPr>
          <w:rFonts w:asciiTheme="majorHAnsi" w:eastAsia="Times New Roman" w:hAnsiTheme="majorHAnsi" w:cstheme="majorHAnsi"/>
          <w:lang w:eastAsia="el-GR"/>
        </w:rPr>
        <w:t xml:space="preserve">. Док </w:t>
      </w:r>
      <w:r w:rsidR="00E30304" w:rsidRPr="00FF386D">
        <w:rPr>
          <w:rFonts w:asciiTheme="majorHAnsi" w:eastAsia="Times New Roman" w:hAnsiTheme="majorHAnsi" w:cstheme="majorHAnsi"/>
          <w:lang w:eastAsia="el-GR"/>
        </w:rPr>
        <w:t xml:space="preserve">се </w:t>
      </w:r>
      <w:r w:rsidRPr="00FF386D">
        <w:rPr>
          <w:rFonts w:asciiTheme="majorHAnsi" w:eastAsia="Times New Roman" w:hAnsiTheme="majorHAnsi" w:cstheme="majorHAnsi"/>
          <w:lang w:eastAsia="el-GR"/>
        </w:rPr>
        <w:t>Закон</w:t>
      </w:r>
      <w:r w:rsidR="00E30304" w:rsidRPr="00FF386D">
        <w:rPr>
          <w:rFonts w:asciiTheme="majorHAnsi" w:eastAsia="Times New Roman" w:hAnsiTheme="majorHAnsi" w:cstheme="majorHAnsi"/>
          <w:lang w:eastAsia="el-GR"/>
        </w:rPr>
        <w:t>ом</w:t>
      </w:r>
      <w:r w:rsidRPr="00FF386D">
        <w:rPr>
          <w:rFonts w:asciiTheme="majorHAnsi" w:eastAsia="Times New Roman" w:hAnsiTheme="majorHAnsi" w:cstheme="majorHAnsi"/>
          <w:lang w:eastAsia="el-GR"/>
        </w:rPr>
        <w:t xml:space="preserve"> о енергетици </w:t>
      </w:r>
      <w:r w:rsidR="00E30304" w:rsidRPr="00FF386D">
        <w:rPr>
          <w:rFonts w:asciiTheme="majorHAnsi" w:eastAsia="Times New Roman" w:hAnsiTheme="majorHAnsi" w:cstheme="majorHAnsi"/>
          <w:lang w:eastAsia="el-GR"/>
        </w:rPr>
        <w:t>уређује</w:t>
      </w:r>
      <w:r w:rsidRPr="00FF386D">
        <w:rPr>
          <w:rFonts w:asciiTheme="majorHAnsi" w:eastAsia="Times New Roman" w:hAnsiTheme="majorHAnsi" w:cstheme="majorHAnsi"/>
          <w:lang w:eastAsia="el-GR"/>
        </w:rPr>
        <w:t xml:space="preserve"> читав спектар енергетског сектора који покрива све изворе енергије, Закон о робним резервама је релевантан за регулисање формирања и коришћења обавезних резерви нафте и деривата</w:t>
      </w:r>
      <w:r w:rsidR="00765D28" w:rsidRPr="00FF386D">
        <w:rPr>
          <w:rFonts w:asciiTheme="majorHAnsi" w:eastAsia="Times New Roman" w:hAnsiTheme="majorHAnsi" w:cstheme="majorHAnsi"/>
          <w:lang w:eastAsia="el-GR"/>
        </w:rPr>
        <w:t xml:space="preserve"> нафте</w:t>
      </w:r>
      <w:r w:rsidRPr="00FF386D">
        <w:rPr>
          <w:rFonts w:asciiTheme="majorHAnsi" w:eastAsia="Times New Roman" w:hAnsiTheme="majorHAnsi" w:cstheme="majorHAnsi"/>
          <w:lang w:eastAsia="el-GR"/>
        </w:rPr>
        <w:t>, као део примене Директиве 2009/119/ЕЗ кој</w:t>
      </w:r>
      <w:r w:rsidR="002C5CB8" w:rsidRPr="00FF386D">
        <w:rPr>
          <w:rFonts w:asciiTheme="majorHAnsi" w:eastAsia="Times New Roman" w:hAnsiTheme="majorHAnsi" w:cstheme="majorHAnsi"/>
          <w:lang w:eastAsia="el-GR"/>
        </w:rPr>
        <w:t>ом се уводи</w:t>
      </w:r>
      <w:r w:rsidRPr="00FF386D">
        <w:rPr>
          <w:rFonts w:asciiTheme="majorHAnsi" w:eastAsia="Times New Roman" w:hAnsiTheme="majorHAnsi" w:cstheme="majorHAnsi"/>
          <w:lang w:eastAsia="el-GR"/>
        </w:rPr>
        <w:t xml:space="preserve"> обавез</w:t>
      </w:r>
      <w:r w:rsidR="00B543A1">
        <w:rPr>
          <w:rFonts w:asciiTheme="majorHAnsi" w:eastAsia="Times New Roman" w:hAnsiTheme="majorHAnsi" w:cstheme="majorHAnsi"/>
          <w:lang w:eastAsia="el-GR"/>
        </w:rPr>
        <w:t>а</w:t>
      </w:r>
      <w:r w:rsidRPr="00FF386D">
        <w:rPr>
          <w:rFonts w:asciiTheme="majorHAnsi" w:eastAsia="Times New Roman" w:hAnsiTheme="majorHAnsi" w:cstheme="majorHAnsi"/>
          <w:lang w:eastAsia="el-GR"/>
        </w:rPr>
        <w:t xml:space="preserve"> одржавања минималних залиха сирове нафте и/или деривата </w:t>
      </w:r>
      <w:r w:rsidR="00B543A1">
        <w:rPr>
          <w:rFonts w:asciiTheme="majorHAnsi" w:eastAsia="Times New Roman" w:hAnsiTheme="majorHAnsi" w:cstheme="majorHAnsi"/>
          <w:lang w:eastAsia="el-GR"/>
        </w:rPr>
        <w:t xml:space="preserve">нафте </w:t>
      </w:r>
      <w:r w:rsidRPr="00FF386D">
        <w:rPr>
          <w:rFonts w:asciiTheme="majorHAnsi" w:eastAsia="Times New Roman" w:hAnsiTheme="majorHAnsi" w:cstheme="majorHAnsi"/>
          <w:lang w:eastAsia="el-GR"/>
        </w:rPr>
        <w:t xml:space="preserve">најкасније до 1. јануара 2023. </w:t>
      </w:r>
      <w:r w:rsidR="00B543A1">
        <w:rPr>
          <w:rFonts w:asciiTheme="majorHAnsi" w:eastAsia="Times New Roman" w:hAnsiTheme="majorHAnsi" w:cstheme="majorHAnsi"/>
          <w:lang w:eastAsia="el-GR"/>
        </w:rPr>
        <w:t xml:space="preserve">године. </w:t>
      </w:r>
      <w:r w:rsidRPr="00FF386D">
        <w:rPr>
          <w:rFonts w:asciiTheme="majorHAnsi" w:eastAsia="Times New Roman" w:hAnsiTheme="majorHAnsi" w:cstheme="majorHAnsi"/>
          <w:lang w:eastAsia="el-GR"/>
        </w:rPr>
        <w:t>Како би се успоставио потпуни правни оквир за транспозицију ове Директиве, потребно је да Влада Републике Србије и Министарство рударства и енергетике усвоје неколико додатних уредби и подзаконских аката. Усвојене су измене и допуне Уредбе о сигурности снабдевања и Уредбе о приступу транспортном систему које се тичу обавезних залиха природног гаса и сертификације оператора складишта, а њихова примена је обавезна у Енергетској заједници.</w:t>
      </w:r>
    </w:p>
    <w:p w14:paraId="0D140C62" w14:textId="69856784"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У складу са Законом о енергетици, Влада усваја </w:t>
      </w:r>
      <w:r w:rsidRPr="00FF386D">
        <w:rPr>
          <w:rFonts w:asciiTheme="majorHAnsi" w:eastAsia="Times New Roman" w:hAnsiTheme="majorHAnsi" w:cstheme="majorHAnsi"/>
          <w:b/>
          <w:bCs/>
          <w:lang w:eastAsia="el-GR"/>
        </w:rPr>
        <w:t xml:space="preserve">Енергетски биланс </w:t>
      </w:r>
      <w:r w:rsidRPr="00FF386D">
        <w:rPr>
          <w:rFonts w:asciiTheme="majorHAnsi" w:eastAsia="Times New Roman" w:hAnsiTheme="majorHAnsi" w:cstheme="majorHAnsi"/>
          <w:lang w:eastAsia="el-GR"/>
        </w:rPr>
        <w:t>на предлог Министарства рударства и енергетике(МРЕ) до краја децембра текуће године за наредну годину, као документ у којем се утврђују годишње потребе за енергијом, изражене на месечној основи, неопходн</w:t>
      </w:r>
      <w:r w:rsidR="00B543A1">
        <w:rPr>
          <w:rFonts w:asciiTheme="majorHAnsi" w:eastAsia="Times New Roman" w:hAnsiTheme="majorHAnsi" w:cstheme="majorHAnsi"/>
          <w:lang w:eastAsia="el-GR"/>
        </w:rPr>
        <w:t>е</w:t>
      </w:r>
      <w:r w:rsidRPr="00FF386D">
        <w:rPr>
          <w:rFonts w:asciiTheme="majorHAnsi" w:eastAsia="Times New Roman" w:hAnsiTheme="majorHAnsi" w:cstheme="majorHAnsi"/>
          <w:lang w:eastAsia="el-GR"/>
        </w:rPr>
        <w:t xml:space="preserve"> за осигурање поузданог, сигурног и квалитетног снабдевања купаца. Поред тога, </w:t>
      </w:r>
      <w:r w:rsidRPr="00FF386D">
        <w:rPr>
          <w:rFonts w:asciiTheme="majorHAnsi" w:eastAsia="Times New Roman" w:hAnsiTheme="majorHAnsi" w:cstheme="majorHAnsi"/>
          <w:b/>
          <w:bCs/>
          <w:lang w:eastAsia="el-GR"/>
        </w:rPr>
        <w:t>Закон о критичној инфраструктури</w:t>
      </w:r>
      <w:r w:rsidRPr="00FF386D">
        <w:rPr>
          <w:rFonts w:asciiTheme="majorHAnsi" w:eastAsia="Times New Roman" w:hAnsiTheme="majorHAnsi" w:cstheme="majorHAnsi"/>
          <w:b/>
          <w:bCs/>
          <w:vertAlign w:val="superscript"/>
          <w:lang w:eastAsia="el-GR"/>
        </w:rPr>
        <w:footnoteReference w:id="68"/>
      </w:r>
      <w:r w:rsidRPr="00FF386D">
        <w:rPr>
          <w:rFonts w:asciiTheme="majorHAnsi" w:eastAsia="Times New Roman" w:hAnsiTheme="majorHAnsi" w:cstheme="majorHAnsi"/>
          <w:lang w:eastAsia="el-GR"/>
        </w:rPr>
        <w:t xml:space="preserve"> идентификовао </w:t>
      </w:r>
      <w:r w:rsidR="00765D28" w:rsidRPr="00FF386D">
        <w:rPr>
          <w:rFonts w:asciiTheme="majorHAnsi" w:eastAsia="Times New Roman" w:hAnsiTheme="majorHAnsi" w:cstheme="majorHAnsi"/>
          <w:lang w:eastAsia="el-GR"/>
        </w:rPr>
        <w:t xml:space="preserve">је </w:t>
      </w:r>
      <w:r w:rsidRPr="00FF386D">
        <w:rPr>
          <w:rFonts w:asciiTheme="majorHAnsi" w:eastAsia="Times New Roman" w:hAnsiTheme="majorHAnsi" w:cstheme="majorHAnsi"/>
          <w:lang w:eastAsia="el-GR"/>
        </w:rPr>
        <w:t xml:space="preserve">кључне секторе </w:t>
      </w:r>
      <w:r w:rsidR="002C5CB8" w:rsidRPr="00FF386D">
        <w:rPr>
          <w:rFonts w:asciiTheme="majorHAnsi" w:eastAsia="Times New Roman" w:hAnsiTheme="majorHAnsi" w:cstheme="majorHAnsi"/>
          <w:lang w:eastAsia="el-GR"/>
        </w:rPr>
        <w:t xml:space="preserve">у </w:t>
      </w:r>
      <w:r w:rsidRPr="00FF386D">
        <w:rPr>
          <w:rFonts w:asciiTheme="majorHAnsi" w:eastAsia="Times New Roman" w:hAnsiTheme="majorHAnsi" w:cstheme="majorHAnsi"/>
          <w:lang w:eastAsia="el-GR"/>
        </w:rPr>
        <w:t>којима је потребна критична инфраструктура, и ту је енергетски сектор наведен као први.</w:t>
      </w:r>
    </w:p>
    <w:p w14:paraId="552BC825" w14:textId="0D11027E"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Влада Републике Србије прописује услове </w:t>
      </w:r>
      <w:r w:rsidR="00D7755A" w:rsidRPr="00FF386D">
        <w:rPr>
          <w:rFonts w:asciiTheme="majorHAnsi" w:eastAsia="Times New Roman" w:hAnsiTheme="majorHAnsi" w:cstheme="majorHAnsi"/>
          <w:lang w:eastAsia="el-GR"/>
        </w:rPr>
        <w:t>испоруке</w:t>
      </w:r>
      <w:r w:rsidRPr="00FF386D">
        <w:rPr>
          <w:rFonts w:asciiTheme="majorHAnsi" w:eastAsia="Times New Roman" w:hAnsiTheme="majorHAnsi" w:cstheme="majorHAnsi"/>
          <w:lang w:eastAsia="el-GR"/>
        </w:rPr>
        <w:t xml:space="preserve"> и снабдевањ</w:t>
      </w:r>
      <w:r w:rsidR="00D7755A" w:rsidRPr="00FF386D">
        <w:rPr>
          <w:rFonts w:asciiTheme="majorHAnsi" w:eastAsia="Times New Roman" w:hAnsiTheme="majorHAnsi" w:cstheme="majorHAnsi"/>
          <w:lang w:eastAsia="el-GR"/>
        </w:rPr>
        <w:t>а</w:t>
      </w:r>
      <w:r w:rsidRPr="00FF386D">
        <w:rPr>
          <w:rFonts w:asciiTheme="majorHAnsi" w:eastAsia="Times New Roman" w:hAnsiTheme="majorHAnsi" w:cstheme="majorHAnsi"/>
          <w:lang w:eastAsia="el-GR"/>
        </w:rPr>
        <w:t xml:space="preserve"> електричном енергијом, нафтом и природним гасом, као и мере које треба предузети уколико је угрожена сигурност снабдевања енергијом и </w:t>
      </w:r>
      <w:r w:rsidR="002C5CB8" w:rsidRPr="00FF386D">
        <w:rPr>
          <w:rFonts w:asciiTheme="majorHAnsi" w:eastAsia="Times New Roman" w:hAnsiTheme="majorHAnsi" w:cstheme="majorHAnsi"/>
          <w:lang w:eastAsia="el-GR"/>
        </w:rPr>
        <w:t>енергентима</w:t>
      </w:r>
      <w:r w:rsidRPr="00FF386D">
        <w:rPr>
          <w:rFonts w:asciiTheme="majorHAnsi" w:eastAsia="Times New Roman" w:hAnsiTheme="majorHAnsi" w:cstheme="majorHAnsi"/>
          <w:lang w:eastAsia="el-GR"/>
        </w:rPr>
        <w:t xml:space="preserve"> због поремећаја тржишта или система. У том смислу, Република Србија </w:t>
      </w:r>
      <w:r w:rsidR="00E30304" w:rsidRPr="00FF386D">
        <w:rPr>
          <w:rFonts w:asciiTheme="majorHAnsi" w:eastAsia="Times New Roman" w:hAnsiTheme="majorHAnsi" w:cstheme="majorHAnsi"/>
          <w:lang w:eastAsia="el-GR"/>
        </w:rPr>
        <w:t>је успешно успоставила секундарно законодавство у погледу</w:t>
      </w:r>
      <w:r w:rsidRPr="00FF386D">
        <w:rPr>
          <w:rFonts w:asciiTheme="majorHAnsi" w:eastAsia="Times New Roman" w:hAnsiTheme="majorHAnsi" w:cstheme="majorHAnsi"/>
          <w:lang w:eastAsia="el-GR"/>
        </w:rPr>
        <w:t xml:space="preserve"> </w:t>
      </w:r>
      <w:r w:rsidR="003E31FD" w:rsidRPr="00FF386D">
        <w:rPr>
          <w:rFonts w:asciiTheme="majorHAnsi" w:eastAsia="Times New Roman" w:hAnsiTheme="majorHAnsi" w:cstheme="majorHAnsi"/>
          <w:lang w:eastAsia="el-GR"/>
        </w:rPr>
        <w:t>снабдевањ</w:t>
      </w:r>
      <w:r w:rsidR="00E30304" w:rsidRPr="00FF386D">
        <w:rPr>
          <w:rFonts w:asciiTheme="majorHAnsi" w:eastAsia="Times New Roman" w:hAnsiTheme="majorHAnsi" w:cstheme="majorHAnsi"/>
          <w:lang w:eastAsia="el-GR"/>
        </w:rPr>
        <w:t>а</w:t>
      </w:r>
      <w:r w:rsidR="003E31FD" w:rsidRPr="00FF386D">
        <w:rPr>
          <w:rFonts w:asciiTheme="majorHAnsi" w:eastAsia="Times New Roman" w:hAnsiTheme="majorHAnsi" w:cstheme="majorHAnsi"/>
          <w:lang w:eastAsia="el-GR"/>
        </w:rPr>
        <w:t xml:space="preserve"> </w:t>
      </w:r>
      <w:r w:rsidR="00E30304" w:rsidRPr="00FF386D">
        <w:rPr>
          <w:rFonts w:asciiTheme="majorHAnsi" w:eastAsia="Times New Roman" w:hAnsiTheme="majorHAnsi" w:cstheme="majorHAnsi"/>
          <w:lang w:eastAsia="el-GR"/>
        </w:rPr>
        <w:t xml:space="preserve">електричном енергијом и </w:t>
      </w:r>
      <w:r w:rsidR="003E31FD" w:rsidRPr="00FF386D">
        <w:rPr>
          <w:rFonts w:asciiTheme="majorHAnsi" w:eastAsia="Times New Roman" w:hAnsiTheme="majorHAnsi" w:cstheme="majorHAnsi"/>
          <w:lang w:eastAsia="el-GR"/>
        </w:rPr>
        <w:t xml:space="preserve">природним гасом </w:t>
      </w:r>
      <w:r w:rsidR="00E30304" w:rsidRPr="00FF386D">
        <w:rPr>
          <w:rFonts w:asciiTheme="majorHAnsi" w:eastAsia="Times New Roman" w:hAnsiTheme="majorHAnsi" w:cstheme="majorHAnsi"/>
          <w:lang w:eastAsia="el-GR"/>
        </w:rPr>
        <w:t xml:space="preserve">као </w:t>
      </w:r>
      <w:r w:rsidR="003E31FD" w:rsidRPr="00FF386D">
        <w:rPr>
          <w:rFonts w:asciiTheme="majorHAnsi" w:eastAsia="Times New Roman" w:hAnsiTheme="majorHAnsi" w:cstheme="majorHAnsi"/>
          <w:lang w:eastAsia="el-GR"/>
        </w:rPr>
        <w:t xml:space="preserve">и </w:t>
      </w:r>
      <w:r w:rsidRPr="00FF386D">
        <w:rPr>
          <w:rFonts w:asciiTheme="majorHAnsi" w:eastAsia="Times New Roman" w:hAnsiTheme="majorHAnsi" w:cstheme="majorHAnsi"/>
          <w:lang w:eastAsia="el-GR"/>
        </w:rPr>
        <w:t xml:space="preserve">сигурности снабдевања, </w:t>
      </w:r>
      <w:r w:rsidR="003E31FD" w:rsidRPr="00FF386D">
        <w:rPr>
          <w:rFonts w:asciiTheme="majorHAnsi" w:eastAsia="Times New Roman" w:hAnsiTheme="majorHAnsi" w:cstheme="majorHAnsi"/>
          <w:lang w:eastAsia="el-GR"/>
        </w:rPr>
        <w:t>п</w:t>
      </w:r>
      <w:r w:rsidR="00E30304" w:rsidRPr="00FF386D">
        <w:rPr>
          <w:rFonts w:asciiTheme="majorHAnsi" w:eastAsia="Times New Roman" w:hAnsiTheme="majorHAnsi" w:cstheme="majorHAnsi"/>
          <w:lang w:eastAsia="el-GR"/>
        </w:rPr>
        <w:t xml:space="preserve">омоћу </w:t>
      </w:r>
      <w:r w:rsidRPr="00FF386D">
        <w:rPr>
          <w:rFonts w:asciiTheme="majorHAnsi" w:eastAsia="Times New Roman" w:hAnsiTheme="majorHAnsi" w:cstheme="majorHAnsi"/>
          <w:lang w:eastAsia="el-GR"/>
        </w:rPr>
        <w:t xml:space="preserve">две </w:t>
      </w:r>
      <w:r w:rsidR="00E30304" w:rsidRPr="00FF386D">
        <w:rPr>
          <w:rFonts w:asciiTheme="majorHAnsi" w:eastAsia="Times New Roman" w:hAnsiTheme="majorHAnsi" w:cstheme="majorHAnsi"/>
          <w:lang w:eastAsia="el-GR"/>
        </w:rPr>
        <w:t>важне</w:t>
      </w:r>
      <w:r w:rsidRPr="00FF386D">
        <w:rPr>
          <w:rFonts w:asciiTheme="majorHAnsi" w:eastAsia="Times New Roman" w:hAnsiTheme="majorHAnsi" w:cstheme="majorHAnsi"/>
          <w:lang w:eastAsia="el-GR"/>
        </w:rPr>
        <w:t xml:space="preserve"> уредбе, </w:t>
      </w:r>
      <w:r w:rsidRPr="00FF386D">
        <w:rPr>
          <w:rFonts w:asciiTheme="majorHAnsi" w:eastAsia="Times New Roman" w:hAnsiTheme="majorHAnsi" w:cstheme="majorHAnsi"/>
          <w:b/>
          <w:bCs/>
          <w:lang w:eastAsia="el-GR"/>
        </w:rPr>
        <w:t>Уредб</w:t>
      </w:r>
      <w:r w:rsidR="00765D28" w:rsidRPr="00FF386D">
        <w:rPr>
          <w:rFonts w:asciiTheme="majorHAnsi" w:eastAsia="Times New Roman" w:hAnsiTheme="majorHAnsi" w:cstheme="majorHAnsi"/>
          <w:b/>
          <w:bCs/>
          <w:lang w:eastAsia="el-GR"/>
        </w:rPr>
        <w:t>е</w:t>
      </w:r>
      <w:r w:rsidRPr="00FF386D">
        <w:rPr>
          <w:rFonts w:asciiTheme="majorHAnsi" w:eastAsia="Times New Roman" w:hAnsiTheme="majorHAnsi" w:cstheme="majorHAnsi"/>
          <w:b/>
          <w:bCs/>
          <w:lang w:eastAsia="el-GR"/>
        </w:rPr>
        <w:t xml:space="preserve"> о условима испоруке и снабдевања електричном енергијом</w:t>
      </w:r>
      <w:r w:rsidRPr="00FF386D">
        <w:rPr>
          <w:rFonts w:asciiTheme="majorHAnsi" w:eastAsia="Times New Roman" w:hAnsiTheme="majorHAnsi" w:cstheme="majorHAnsi"/>
          <w:vertAlign w:val="superscript"/>
          <w:lang w:eastAsia="el-GR"/>
        </w:rPr>
        <w:footnoteReference w:id="69"/>
      </w:r>
      <w:r w:rsidRPr="00FF386D">
        <w:rPr>
          <w:rFonts w:asciiTheme="majorHAnsi" w:eastAsia="Times New Roman" w:hAnsiTheme="majorHAnsi" w:cstheme="majorHAnsi"/>
          <w:lang w:eastAsia="el-GR"/>
        </w:rPr>
        <w:t xml:space="preserve">и </w:t>
      </w:r>
      <w:r w:rsidRPr="00FF386D">
        <w:rPr>
          <w:rFonts w:asciiTheme="majorHAnsi" w:eastAsia="Times New Roman" w:hAnsiTheme="majorHAnsi" w:cstheme="majorHAnsi"/>
          <w:b/>
          <w:bCs/>
          <w:lang w:eastAsia="el-GR"/>
        </w:rPr>
        <w:t>Уредб</w:t>
      </w:r>
      <w:r w:rsidR="00765D28" w:rsidRPr="00FF386D">
        <w:rPr>
          <w:rFonts w:asciiTheme="majorHAnsi" w:eastAsia="Times New Roman" w:hAnsiTheme="majorHAnsi" w:cstheme="majorHAnsi"/>
          <w:b/>
          <w:bCs/>
          <w:lang w:eastAsia="el-GR"/>
        </w:rPr>
        <w:t>е</w:t>
      </w:r>
      <w:r w:rsidRPr="00FF386D">
        <w:rPr>
          <w:rFonts w:asciiTheme="majorHAnsi" w:eastAsia="Times New Roman" w:hAnsiTheme="majorHAnsi" w:cstheme="majorHAnsi"/>
          <w:b/>
          <w:bCs/>
          <w:lang w:eastAsia="el-GR"/>
        </w:rPr>
        <w:t xml:space="preserve"> о условима за испоруку природног гаса</w:t>
      </w:r>
      <w:r w:rsidRPr="00FF386D">
        <w:rPr>
          <w:rFonts w:asciiTheme="majorHAnsi" w:eastAsia="Times New Roman" w:hAnsiTheme="majorHAnsi" w:cstheme="majorHAnsi"/>
          <w:vertAlign w:val="superscript"/>
          <w:lang w:eastAsia="el-GR"/>
        </w:rPr>
        <w:footnoteReference w:id="70"/>
      </w:r>
      <w:r w:rsidRPr="00FF386D">
        <w:rPr>
          <w:rFonts w:asciiTheme="majorHAnsi" w:eastAsia="Times New Roman" w:hAnsiTheme="majorHAnsi" w:cstheme="majorHAnsi"/>
          <w:lang w:eastAsia="el-GR"/>
        </w:rPr>
        <w:t xml:space="preserve">. </w:t>
      </w:r>
      <w:r w:rsidR="002C5CB8" w:rsidRPr="00FF386D">
        <w:rPr>
          <w:rFonts w:asciiTheme="majorHAnsi" w:eastAsia="Times New Roman" w:hAnsiTheme="majorHAnsi" w:cstheme="majorHAnsi"/>
          <w:lang w:eastAsia="el-GR"/>
        </w:rPr>
        <w:t>Поред тога</w:t>
      </w:r>
      <w:r w:rsidRPr="00FF386D">
        <w:rPr>
          <w:rFonts w:asciiTheme="majorHAnsi" w:eastAsia="Times New Roman" w:hAnsiTheme="majorHAnsi" w:cstheme="majorHAnsi"/>
          <w:lang w:eastAsia="el-GR"/>
        </w:rPr>
        <w:t xml:space="preserve">, Србија је у потпуности усклађена са правним тековинама ЕУ у погледу </w:t>
      </w:r>
      <w:r w:rsidR="002C5CB8" w:rsidRPr="00FF386D">
        <w:rPr>
          <w:rFonts w:asciiTheme="majorHAnsi" w:eastAsia="Times New Roman" w:hAnsiTheme="majorHAnsi" w:cstheme="majorHAnsi"/>
          <w:lang w:eastAsia="el-GR"/>
        </w:rPr>
        <w:t>обавезних резерви</w:t>
      </w:r>
      <w:r w:rsidRPr="00FF386D">
        <w:rPr>
          <w:rFonts w:asciiTheme="majorHAnsi" w:eastAsia="Times New Roman" w:hAnsiTheme="majorHAnsi" w:cstheme="majorHAnsi"/>
          <w:lang w:eastAsia="el-GR"/>
        </w:rPr>
        <w:t xml:space="preserve"> нафте у оквиру сигурности снабдевања, што је дефинисано </w:t>
      </w:r>
      <w:r w:rsidRPr="00FF386D">
        <w:rPr>
          <w:rFonts w:asciiTheme="majorHAnsi" w:eastAsia="Times New Roman" w:hAnsiTheme="majorHAnsi" w:cstheme="majorHAnsi"/>
          <w:b/>
          <w:bCs/>
          <w:lang w:eastAsia="el-GR"/>
        </w:rPr>
        <w:t>Уредбом о утврђивању Програма мера у случају када је угрожена сигурност снабдевања енергијом и енергентима (Кризни план)</w:t>
      </w:r>
      <w:r w:rsidRPr="00FF386D">
        <w:rPr>
          <w:rFonts w:asciiTheme="majorHAnsi" w:eastAsia="Times New Roman" w:hAnsiTheme="majorHAnsi" w:cstheme="majorHAnsi"/>
          <w:vertAlign w:val="superscript"/>
          <w:lang w:eastAsia="el-GR"/>
        </w:rPr>
        <w:footnoteReference w:id="71"/>
      </w:r>
      <w:r w:rsidR="00765D28" w:rsidRPr="00FF386D">
        <w:rPr>
          <w:rFonts w:asciiTheme="majorHAnsi" w:eastAsia="Times New Roman" w:hAnsiTheme="majorHAnsi" w:cstheme="majorHAnsi"/>
          <w:lang w:eastAsia="el-GR"/>
        </w:rPr>
        <w:t xml:space="preserve"> и</w:t>
      </w:r>
      <w:r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b/>
          <w:bCs/>
          <w:lang w:eastAsia="el-GR"/>
        </w:rPr>
        <w:t>Уредбом о плану и критеријумима набавки за формирање обавезних резерви нафте</w:t>
      </w:r>
      <w:r w:rsidRPr="00FF386D">
        <w:rPr>
          <w:rFonts w:asciiTheme="majorHAnsi" w:eastAsia="Times New Roman" w:hAnsiTheme="majorHAnsi" w:cstheme="majorHAnsi"/>
          <w:vertAlign w:val="superscript"/>
          <w:lang w:eastAsia="el-GR"/>
        </w:rPr>
        <w:footnoteReference w:id="72"/>
      </w:r>
      <w:r w:rsidRPr="00FF386D">
        <w:rPr>
          <w:rFonts w:asciiTheme="majorHAnsi" w:eastAsia="Times New Roman" w:hAnsiTheme="majorHAnsi" w:cstheme="majorHAnsi"/>
          <w:lang w:eastAsia="el-GR"/>
        </w:rPr>
        <w:t>. Током 2021. године</w:t>
      </w:r>
      <w:r w:rsidR="00765D28" w:rsidRPr="00FF386D">
        <w:rPr>
          <w:rFonts w:asciiTheme="majorHAnsi" w:eastAsia="Times New Roman" w:hAnsiTheme="majorHAnsi" w:cstheme="majorHAnsi"/>
          <w:lang w:eastAsia="el-GR"/>
        </w:rPr>
        <w:t>,</w:t>
      </w:r>
      <w:r w:rsidRPr="00FF386D">
        <w:rPr>
          <w:rFonts w:asciiTheme="majorHAnsi" w:eastAsia="Times New Roman" w:hAnsiTheme="majorHAnsi" w:cstheme="majorHAnsi"/>
          <w:lang w:eastAsia="el-GR"/>
        </w:rPr>
        <w:t xml:space="preserve"> Влада је усвојила </w:t>
      </w:r>
      <w:r w:rsidRPr="00FF386D">
        <w:rPr>
          <w:rFonts w:asciiTheme="majorHAnsi" w:eastAsia="Times New Roman" w:hAnsiTheme="majorHAnsi" w:cstheme="majorHAnsi"/>
          <w:b/>
          <w:bCs/>
          <w:lang w:eastAsia="el-GR"/>
        </w:rPr>
        <w:t xml:space="preserve">Уредбу о изменама и допунама Уредбе о плану и критеријумима набавке </w:t>
      </w:r>
      <w:r w:rsidR="00E30304" w:rsidRPr="00FF386D">
        <w:rPr>
          <w:rFonts w:asciiTheme="majorHAnsi" w:eastAsia="Times New Roman" w:hAnsiTheme="majorHAnsi" w:cstheme="majorHAnsi"/>
          <w:b/>
          <w:bCs/>
          <w:lang w:eastAsia="el-GR"/>
        </w:rPr>
        <w:t>за</w:t>
      </w:r>
      <w:r w:rsidRPr="00FF386D">
        <w:rPr>
          <w:rFonts w:asciiTheme="majorHAnsi" w:eastAsia="Times New Roman" w:hAnsiTheme="majorHAnsi" w:cstheme="majorHAnsi"/>
          <w:b/>
          <w:bCs/>
          <w:lang w:eastAsia="el-GR"/>
        </w:rPr>
        <w:t xml:space="preserve"> формирањ</w:t>
      </w:r>
      <w:r w:rsidR="00E30304" w:rsidRPr="00FF386D">
        <w:rPr>
          <w:rFonts w:asciiTheme="majorHAnsi" w:eastAsia="Times New Roman" w:hAnsiTheme="majorHAnsi" w:cstheme="majorHAnsi"/>
          <w:b/>
          <w:bCs/>
          <w:lang w:eastAsia="el-GR"/>
        </w:rPr>
        <w:t>е</w:t>
      </w:r>
      <w:r w:rsidRPr="00FF386D">
        <w:rPr>
          <w:rFonts w:asciiTheme="majorHAnsi" w:eastAsia="Times New Roman" w:hAnsiTheme="majorHAnsi" w:cstheme="majorHAnsi"/>
          <w:b/>
          <w:bCs/>
          <w:lang w:eastAsia="el-GR"/>
        </w:rPr>
        <w:t xml:space="preserve"> обавезних резерви нафте и деривата</w:t>
      </w:r>
      <w:r w:rsidR="00765D28" w:rsidRPr="00FF386D">
        <w:rPr>
          <w:rFonts w:asciiTheme="majorHAnsi" w:eastAsia="Times New Roman" w:hAnsiTheme="majorHAnsi" w:cstheme="majorHAnsi"/>
          <w:b/>
          <w:bCs/>
          <w:lang w:eastAsia="el-GR"/>
        </w:rPr>
        <w:t xml:space="preserve"> нафте</w:t>
      </w:r>
      <w:r w:rsidRPr="00FF386D">
        <w:rPr>
          <w:rFonts w:asciiTheme="majorHAnsi" w:eastAsia="Times New Roman" w:hAnsiTheme="majorHAnsi" w:cstheme="majorHAnsi"/>
          <w:b/>
          <w:bCs/>
          <w:vertAlign w:val="superscript"/>
          <w:lang w:eastAsia="el-GR"/>
        </w:rPr>
        <w:footnoteReference w:id="73"/>
      </w:r>
      <w:r w:rsidRPr="00FF386D">
        <w:rPr>
          <w:rFonts w:asciiTheme="majorHAnsi" w:eastAsia="Times New Roman" w:hAnsiTheme="majorHAnsi" w:cstheme="majorHAnsi"/>
          <w:lang w:eastAsia="el-GR"/>
        </w:rPr>
        <w:t xml:space="preserve"> која дефинише да се сирова нафта набавља у квалитету утврђеном Правилима рада транспортног система за транспорт нафте нафтоводом, као и да се обавезне резерве обнављају заменом, продајом и набавком. Такође, усвојен је </w:t>
      </w:r>
      <w:r w:rsidRPr="00FF386D">
        <w:rPr>
          <w:rFonts w:asciiTheme="majorHAnsi" w:eastAsia="Times New Roman" w:hAnsiTheme="majorHAnsi" w:cstheme="majorHAnsi"/>
          <w:b/>
          <w:bCs/>
          <w:lang w:eastAsia="el-GR"/>
        </w:rPr>
        <w:t xml:space="preserve">Правилник </w:t>
      </w:r>
      <w:r w:rsidR="00E30304" w:rsidRPr="00FF386D">
        <w:rPr>
          <w:rFonts w:asciiTheme="majorHAnsi" w:eastAsia="Times New Roman" w:hAnsiTheme="majorHAnsi" w:cstheme="majorHAnsi"/>
          <w:b/>
          <w:bCs/>
          <w:lang w:eastAsia="el-GR"/>
        </w:rPr>
        <w:t>о</w:t>
      </w:r>
      <w:r w:rsidRPr="00FF386D">
        <w:rPr>
          <w:rFonts w:asciiTheme="majorHAnsi" w:eastAsia="Times New Roman" w:hAnsiTheme="majorHAnsi" w:cstheme="majorHAnsi"/>
          <w:b/>
          <w:bCs/>
          <w:lang w:eastAsia="el-GR"/>
        </w:rPr>
        <w:t xml:space="preserve"> утврђ</w:t>
      </w:r>
      <w:r w:rsidR="00E30304" w:rsidRPr="00FF386D">
        <w:rPr>
          <w:rFonts w:asciiTheme="majorHAnsi" w:eastAsia="Times New Roman" w:hAnsiTheme="majorHAnsi" w:cstheme="majorHAnsi"/>
          <w:b/>
          <w:bCs/>
          <w:lang w:eastAsia="el-GR"/>
        </w:rPr>
        <w:t xml:space="preserve">ивању </w:t>
      </w:r>
      <w:r w:rsidRPr="00FF386D">
        <w:rPr>
          <w:rFonts w:asciiTheme="majorHAnsi" w:eastAsia="Times New Roman" w:hAnsiTheme="majorHAnsi" w:cstheme="majorHAnsi"/>
          <w:b/>
          <w:bCs/>
          <w:lang w:eastAsia="el-GR"/>
        </w:rPr>
        <w:t>Годишњ</w:t>
      </w:r>
      <w:r w:rsidR="00E30304" w:rsidRPr="00FF386D">
        <w:rPr>
          <w:rFonts w:asciiTheme="majorHAnsi" w:eastAsia="Times New Roman" w:hAnsiTheme="majorHAnsi" w:cstheme="majorHAnsi"/>
          <w:b/>
          <w:bCs/>
          <w:lang w:eastAsia="el-GR"/>
        </w:rPr>
        <w:t>ег</w:t>
      </w:r>
      <w:r w:rsidRPr="00FF386D">
        <w:rPr>
          <w:rFonts w:asciiTheme="majorHAnsi" w:eastAsia="Times New Roman" w:hAnsiTheme="majorHAnsi" w:cstheme="majorHAnsi"/>
          <w:b/>
          <w:bCs/>
          <w:lang w:eastAsia="el-GR"/>
        </w:rPr>
        <w:t xml:space="preserve"> програм</w:t>
      </w:r>
      <w:r w:rsidR="00E30304" w:rsidRPr="00FF386D">
        <w:rPr>
          <w:rFonts w:asciiTheme="majorHAnsi" w:eastAsia="Times New Roman" w:hAnsiTheme="majorHAnsi" w:cstheme="majorHAnsi"/>
          <w:b/>
          <w:bCs/>
          <w:lang w:eastAsia="el-GR"/>
        </w:rPr>
        <w:t>а</w:t>
      </w:r>
      <w:r w:rsidRPr="00FF386D">
        <w:rPr>
          <w:rFonts w:asciiTheme="majorHAnsi" w:eastAsia="Times New Roman" w:hAnsiTheme="majorHAnsi" w:cstheme="majorHAnsi"/>
          <w:b/>
          <w:bCs/>
          <w:lang w:eastAsia="el-GR"/>
        </w:rPr>
        <w:t xml:space="preserve"> формирања и одржавања обавезних резерви нафте за 2021.</w:t>
      </w:r>
      <w:r w:rsidRPr="00FF386D">
        <w:rPr>
          <w:rFonts w:asciiTheme="majorHAnsi" w:eastAsia="Times New Roman" w:hAnsiTheme="majorHAnsi" w:cstheme="majorHAnsi"/>
          <w:b/>
          <w:bCs/>
          <w:vertAlign w:val="superscript"/>
          <w:lang w:eastAsia="el-GR"/>
        </w:rPr>
        <w:footnoteReference w:id="74"/>
      </w:r>
    </w:p>
    <w:p w14:paraId="0BAA044B" w14:textId="71D5B370"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У складу са одредбама члана 315. Закона о енергетици, кој</w:t>
      </w:r>
      <w:r w:rsidR="00E30304" w:rsidRPr="00FF386D">
        <w:rPr>
          <w:rFonts w:asciiTheme="majorHAnsi" w:eastAsia="Times New Roman" w:hAnsiTheme="majorHAnsi" w:cstheme="majorHAnsi"/>
          <w:lang w:eastAsia="el-GR"/>
        </w:rPr>
        <w:t xml:space="preserve">е </w:t>
      </w:r>
      <w:r w:rsidRPr="00FF386D">
        <w:rPr>
          <w:rFonts w:asciiTheme="majorHAnsi" w:eastAsia="Times New Roman" w:hAnsiTheme="majorHAnsi" w:cstheme="majorHAnsi"/>
          <w:lang w:eastAsia="el-GR"/>
        </w:rPr>
        <w:t>предвиђа</w:t>
      </w:r>
      <w:r w:rsidR="00E30304" w:rsidRPr="00FF386D">
        <w:rPr>
          <w:rFonts w:asciiTheme="majorHAnsi" w:eastAsia="Times New Roman" w:hAnsiTheme="majorHAnsi" w:cstheme="majorHAnsi"/>
          <w:lang w:eastAsia="el-GR"/>
        </w:rPr>
        <w:t>ју</w:t>
      </w:r>
      <w:r w:rsidRPr="00FF386D">
        <w:rPr>
          <w:rFonts w:asciiTheme="majorHAnsi" w:eastAsia="Times New Roman" w:hAnsiTheme="majorHAnsi" w:cstheme="majorHAnsi"/>
          <w:lang w:eastAsia="el-GR"/>
        </w:rPr>
        <w:t xml:space="preserve"> усвајање </w:t>
      </w:r>
      <w:r w:rsidR="00E30304" w:rsidRPr="00FF386D">
        <w:rPr>
          <w:rFonts w:asciiTheme="majorHAnsi" w:eastAsia="Times New Roman" w:hAnsiTheme="majorHAnsi" w:cstheme="majorHAnsi"/>
          <w:lang w:eastAsia="el-GR"/>
        </w:rPr>
        <w:t>П</w:t>
      </w:r>
      <w:r w:rsidRPr="00FF386D">
        <w:rPr>
          <w:rFonts w:asciiTheme="majorHAnsi" w:eastAsia="Times New Roman" w:hAnsiTheme="majorHAnsi" w:cstheme="majorHAnsi"/>
          <w:lang w:eastAsia="el-GR"/>
        </w:rPr>
        <w:t>ревентивн</w:t>
      </w:r>
      <w:r w:rsidR="00E30304" w:rsidRPr="00FF386D">
        <w:rPr>
          <w:rFonts w:asciiTheme="majorHAnsi" w:eastAsia="Times New Roman" w:hAnsiTheme="majorHAnsi" w:cstheme="majorHAnsi"/>
          <w:lang w:eastAsia="el-GR"/>
        </w:rPr>
        <w:t>ог акционог плана</w:t>
      </w:r>
      <w:r w:rsidRPr="00FF386D">
        <w:rPr>
          <w:rFonts w:asciiTheme="majorHAnsi" w:eastAsia="Times New Roman" w:hAnsiTheme="majorHAnsi" w:cstheme="majorHAnsi"/>
          <w:lang w:eastAsia="el-GR"/>
        </w:rPr>
        <w:t xml:space="preserve"> и Кризног плана ради обезбеђивања сигурности снабдевања природним гасом, као и у складу са одредбама </w:t>
      </w:r>
      <w:r w:rsidRPr="00FF386D">
        <w:rPr>
          <w:rFonts w:asciiTheme="majorHAnsi" w:eastAsia="Times New Roman" w:hAnsiTheme="majorHAnsi" w:cstheme="majorHAnsi"/>
          <w:b/>
          <w:bCs/>
          <w:lang w:eastAsia="el-GR"/>
        </w:rPr>
        <w:t xml:space="preserve">Уредбе о утврђивању Превентивног акционог плана ради обезбеђивања </w:t>
      </w:r>
      <w:r w:rsidRPr="00FF386D">
        <w:rPr>
          <w:rFonts w:asciiTheme="majorHAnsi" w:eastAsia="Times New Roman" w:hAnsiTheme="majorHAnsi" w:cstheme="majorHAnsi"/>
          <w:b/>
          <w:bCs/>
          <w:lang w:eastAsia="el-GR"/>
        </w:rPr>
        <w:lastRenderedPageBreak/>
        <w:t>сигурности снабдевања природним гасом</w:t>
      </w:r>
      <w:r w:rsidRPr="00FF386D">
        <w:rPr>
          <w:rFonts w:asciiTheme="majorHAnsi" w:eastAsia="Times New Roman" w:hAnsiTheme="majorHAnsi" w:cstheme="majorHAnsi"/>
          <w:vertAlign w:val="superscript"/>
          <w:lang w:eastAsia="el-GR"/>
        </w:rPr>
        <w:footnoteReference w:id="75"/>
      </w:r>
      <w:r w:rsidRPr="00FF386D">
        <w:rPr>
          <w:rFonts w:asciiTheme="majorHAnsi" w:eastAsia="Times New Roman" w:hAnsiTheme="majorHAnsi" w:cstheme="majorHAnsi"/>
          <w:lang w:eastAsia="el-GR"/>
        </w:rPr>
        <w:t xml:space="preserve">и </w:t>
      </w:r>
      <w:r w:rsidRPr="00FF386D">
        <w:rPr>
          <w:rFonts w:asciiTheme="majorHAnsi" w:eastAsia="Times New Roman" w:hAnsiTheme="majorHAnsi" w:cstheme="majorHAnsi"/>
          <w:b/>
          <w:bCs/>
          <w:lang w:eastAsia="el-GR"/>
        </w:rPr>
        <w:t xml:space="preserve">Уредбе о утврђивању </w:t>
      </w:r>
      <w:r w:rsidR="00E30304" w:rsidRPr="00FF386D">
        <w:rPr>
          <w:rFonts w:asciiTheme="majorHAnsi" w:eastAsia="Times New Roman" w:hAnsiTheme="majorHAnsi" w:cstheme="majorHAnsi"/>
          <w:b/>
          <w:bCs/>
          <w:lang w:eastAsia="el-GR"/>
        </w:rPr>
        <w:t>К</w:t>
      </w:r>
      <w:r w:rsidRPr="00FF386D">
        <w:rPr>
          <w:rFonts w:asciiTheme="majorHAnsi" w:eastAsia="Times New Roman" w:hAnsiTheme="majorHAnsi" w:cstheme="majorHAnsi"/>
          <w:b/>
          <w:bCs/>
          <w:lang w:eastAsia="el-GR"/>
        </w:rPr>
        <w:t>ризног плана ради обезбеђивања сигурности снабдевања природним гасом</w:t>
      </w:r>
      <w:r w:rsidRPr="00FF386D">
        <w:rPr>
          <w:rFonts w:asciiTheme="majorHAnsi" w:eastAsia="Times New Roman" w:hAnsiTheme="majorHAnsi" w:cstheme="majorHAnsi"/>
          <w:vertAlign w:val="superscript"/>
          <w:lang w:eastAsia="el-GR"/>
        </w:rPr>
        <w:footnoteReference w:id="76"/>
      </w:r>
      <w:r w:rsidRPr="00FF386D">
        <w:rPr>
          <w:rFonts w:asciiTheme="majorHAnsi" w:eastAsia="Times New Roman" w:hAnsiTheme="majorHAnsi" w:cstheme="majorHAnsi"/>
          <w:lang w:eastAsia="el-GR"/>
        </w:rPr>
        <w:t xml:space="preserve">, Република Србија је израдила </w:t>
      </w:r>
      <w:r w:rsidRPr="00FF386D">
        <w:rPr>
          <w:rFonts w:asciiTheme="majorHAnsi" w:eastAsia="Times New Roman" w:hAnsiTheme="majorHAnsi" w:cstheme="majorHAnsi"/>
          <w:b/>
          <w:bCs/>
          <w:lang w:eastAsia="el-GR"/>
        </w:rPr>
        <w:t>Кризни план за обезбеђење сигурности снабдевања природним гасом и Превентивни акциони план за обезбеђивање сигурности снабдевања природним гасом</w:t>
      </w:r>
      <w:r w:rsidRPr="00FF386D">
        <w:rPr>
          <w:rFonts w:asciiTheme="majorHAnsi" w:eastAsia="Times New Roman" w:hAnsiTheme="majorHAnsi" w:cstheme="majorHAnsi"/>
          <w:lang w:eastAsia="el-GR"/>
        </w:rPr>
        <w:t xml:space="preserve">. Кризни план одређује мере и </w:t>
      </w:r>
      <w:r w:rsidR="002C5CB8" w:rsidRPr="00FF386D">
        <w:rPr>
          <w:rFonts w:asciiTheme="majorHAnsi" w:eastAsia="Times New Roman" w:hAnsiTheme="majorHAnsi" w:cstheme="majorHAnsi"/>
          <w:lang w:eastAsia="el-GR"/>
        </w:rPr>
        <w:t>компаније за пружање</w:t>
      </w:r>
      <w:r w:rsidR="00420ACC" w:rsidRPr="00FF386D">
        <w:rPr>
          <w:rFonts w:asciiTheme="majorHAnsi" w:eastAsia="Times New Roman" w:hAnsiTheme="majorHAnsi" w:cstheme="majorHAnsi"/>
          <w:lang w:eastAsia="el-GR"/>
        </w:rPr>
        <w:t xml:space="preserve"> енергетских услуга који ће</w:t>
      </w:r>
      <w:r w:rsidRPr="00FF386D">
        <w:rPr>
          <w:rFonts w:asciiTheme="majorHAnsi" w:eastAsia="Times New Roman" w:hAnsiTheme="majorHAnsi" w:cstheme="majorHAnsi"/>
          <w:lang w:eastAsia="el-GR"/>
        </w:rPr>
        <w:t xml:space="preserve"> бити </w:t>
      </w:r>
      <w:r w:rsidR="00420ACC" w:rsidRPr="00FF386D">
        <w:rPr>
          <w:rFonts w:asciiTheme="majorHAnsi" w:eastAsia="Times New Roman" w:hAnsiTheme="majorHAnsi" w:cstheme="majorHAnsi"/>
          <w:lang w:eastAsia="el-GR"/>
        </w:rPr>
        <w:t xml:space="preserve">надлежни </w:t>
      </w:r>
      <w:r w:rsidRPr="00FF386D">
        <w:rPr>
          <w:rFonts w:asciiTheme="majorHAnsi" w:eastAsia="Times New Roman" w:hAnsiTheme="majorHAnsi" w:cstheme="majorHAnsi"/>
          <w:lang w:eastAsia="el-GR"/>
        </w:rPr>
        <w:t>за о</w:t>
      </w:r>
      <w:r w:rsidR="00E30304" w:rsidRPr="00FF386D">
        <w:rPr>
          <w:rFonts w:asciiTheme="majorHAnsi" w:eastAsia="Times New Roman" w:hAnsiTheme="majorHAnsi" w:cstheme="majorHAnsi"/>
          <w:lang w:eastAsia="el-GR"/>
        </w:rPr>
        <w:t xml:space="preserve">безбеђивање </w:t>
      </w:r>
      <w:r w:rsidRPr="00FF386D">
        <w:rPr>
          <w:rFonts w:asciiTheme="majorHAnsi" w:eastAsia="Times New Roman" w:hAnsiTheme="majorHAnsi" w:cstheme="majorHAnsi"/>
          <w:lang w:eastAsia="el-GR"/>
        </w:rPr>
        <w:t xml:space="preserve">сигурности транспортног система и сигурности снабдевања одређених група крајњих купаца, као и количину и капацитет природног гаса у случају опште несташице природног гаса. </w:t>
      </w:r>
      <w:r w:rsidR="00E30304" w:rsidRPr="00FF386D">
        <w:rPr>
          <w:rFonts w:asciiTheme="majorHAnsi" w:eastAsia="Times New Roman" w:hAnsiTheme="majorHAnsi" w:cstheme="majorHAnsi"/>
          <w:lang w:eastAsia="el-GR"/>
        </w:rPr>
        <w:t>Превентивни акциони план</w:t>
      </w:r>
      <w:r w:rsidRPr="00FF386D">
        <w:rPr>
          <w:rFonts w:asciiTheme="majorHAnsi" w:eastAsia="Times New Roman" w:hAnsiTheme="majorHAnsi" w:cstheme="majorHAnsi"/>
          <w:lang w:eastAsia="el-GR"/>
        </w:rPr>
        <w:t xml:space="preserve"> садржи процену ризика у смислу постизања сигурности снабдевања, поред мера за ублажавање идентификованих ризика </w:t>
      </w:r>
      <w:r w:rsidR="002C5CB8" w:rsidRPr="00FF386D">
        <w:rPr>
          <w:rFonts w:asciiTheme="majorHAnsi" w:eastAsia="Times New Roman" w:hAnsiTheme="majorHAnsi" w:cstheme="majorHAnsi"/>
          <w:lang w:eastAsia="el-GR"/>
        </w:rPr>
        <w:t>који се тичу неопходних капацитета преноса</w:t>
      </w:r>
      <w:r w:rsidRPr="00FF386D">
        <w:rPr>
          <w:rFonts w:asciiTheme="majorHAnsi" w:eastAsia="Times New Roman" w:hAnsiTheme="majorHAnsi" w:cstheme="majorHAnsi"/>
          <w:lang w:eastAsia="el-GR"/>
        </w:rPr>
        <w:t xml:space="preserve"> у циљу </w:t>
      </w:r>
      <w:r w:rsidR="00732182" w:rsidRPr="00FF386D">
        <w:rPr>
          <w:rFonts w:asciiTheme="majorHAnsi" w:eastAsia="Times New Roman" w:hAnsiTheme="majorHAnsi" w:cstheme="majorHAnsi"/>
          <w:lang w:eastAsia="el-GR"/>
        </w:rPr>
        <w:t>задовољења</w:t>
      </w:r>
      <w:r w:rsidRPr="00FF386D">
        <w:rPr>
          <w:rFonts w:asciiTheme="majorHAnsi" w:eastAsia="Times New Roman" w:hAnsiTheme="majorHAnsi" w:cstheme="majorHAnsi"/>
          <w:lang w:eastAsia="el-GR"/>
        </w:rPr>
        <w:t xml:space="preserve"> укупне потражње за природним гасом и обезбеђивања снабдевања одређених група крајњих купаца природног гаса.</w:t>
      </w:r>
    </w:p>
    <w:p w14:paraId="1473645A" w14:textId="2E51CF84"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На основу члана 18. става 3. Закона о робним резервама, МРЕ </w:t>
      </w:r>
      <w:r w:rsidR="002C5CB8" w:rsidRPr="00FF386D">
        <w:rPr>
          <w:rFonts w:asciiTheme="majorHAnsi" w:eastAsia="Times New Roman" w:hAnsiTheme="majorHAnsi" w:cstheme="majorHAnsi"/>
          <w:lang w:eastAsia="el-GR"/>
        </w:rPr>
        <w:t>сваке године усваја</w:t>
      </w:r>
      <w:r w:rsidRPr="00FF386D">
        <w:rPr>
          <w:rFonts w:asciiTheme="majorHAnsi" w:eastAsia="Times New Roman" w:hAnsiTheme="majorHAnsi" w:cstheme="majorHAnsi"/>
          <w:b/>
          <w:bCs/>
          <w:lang w:eastAsia="el-GR"/>
        </w:rPr>
        <w:t xml:space="preserve"> Правилник о утврђивању Годишњег програма формирања и одржавања обавезних резерви нафте и деривата нафте за 2020. годину</w:t>
      </w:r>
      <w:r w:rsidRPr="00FF386D">
        <w:rPr>
          <w:rFonts w:asciiTheme="majorHAnsi" w:eastAsia="Times New Roman" w:hAnsiTheme="majorHAnsi" w:cstheme="majorHAnsi"/>
          <w:vertAlign w:val="superscript"/>
          <w:lang w:eastAsia="el-GR"/>
        </w:rPr>
        <w:footnoteReference w:id="77"/>
      </w:r>
      <w:r w:rsidRPr="00FF386D">
        <w:rPr>
          <w:rFonts w:asciiTheme="majorHAnsi" w:eastAsia="Times New Roman" w:hAnsiTheme="majorHAnsi" w:cstheme="majorHAnsi"/>
          <w:lang w:eastAsia="el-GR"/>
        </w:rPr>
        <w:t xml:space="preserve">. У том смислу, Србија је усвојила дугорочни план за формирање и одржавање обавезних </w:t>
      </w:r>
      <w:r w:rsidR="002C5CB8" w:rsidRPr="00FF386D">
        <w:rPr>
          <w:rFonts w:asciiTheme="majorHAnsi" w:eastAsia="Times New Roman" w:hAnsiTheme="majorHAnsi" w:cstheme="majorHAnsi"/>
          <w:lang w:eastAsia="el-GR"/>
        </w:rPr>
        <w:t>резерви</w:t>
      </w:r>
      <w:r w:rsidRPr="00FF386D">
        <w:rPr>
          <w:rFonts w:asciiTheme="majorHAnsi" w:eastAsia="Times New Roman" w:hAnsiTheme="majorHAnsi" w:cstheme="majorHAnsi"/>
          <w:lang w:eastAsia="el-GR"/>
        </w:rPr>
        <w:t xml:space="preserve"> нафте 2018. године, а 2019. године је усвојен </w:t>
      </w:r>
      <w:r w:rsidRPr="00FF386D">
        <w:rPr>
          <w:rFonts w:asciiTheme="majorHAnsi" w:eastAsia="Times New Roman" w:hAnsiTheme="majorHAnsi" w:cstheme="majorHAnsi"/>
          <w:b/>
          <w:bCs/>
          <w:lang w:eastAsia="el-GR"/>
        </w:rPr>
        <w:t xml:space="preserve">План реаговања у </w:t>
      </w:r>
      <w:r w:rsidR="00E30304" w:rsidRPr="00FF386D">
        <w:rPr>
          <w:rFonts w:asciiTheme="majorHAnsi" w:eastAsia="Times New Roman" w:hAnsiTheme="majorHAnsi" w:cstheme="majorHAnsi"/>
          <w:b/>
          <w:bCs/>
          <w:lang w:eastAsia="el-GR"/>
        </w:rPr>
        <w:t>непредвиђеним ситуацијама</w:t>
      </w:r>
      <w:r w:rsidRPr="00FF386D">
        <w:rPr>
          <w:rFonts w:asciiTheme="majorHAnsi" w:eastAsia="Times New Roman" w:hAnsiTheme="majorHAnsi" w:cstheme="majorHAnsi"/>
          <w:b/>
          <w:bCs/>
          <w:vertAlign w:val="superscript"/>
          <w:lang w:eastAsia="el-GR"/>
        </w:rPr>
        <w:footnoteReference w:id="78"/>
      </w:r>
      <w:r w:rsidRPr="00FF386D">
        <w:rPr>
          <w:rFonts w:asciiTheme="majorHAnsi" w:eastAsia="Times New Roman" w:hAnsiTheme="majorHAnsi" w:cstheme="majorHAnsi"/>
          <w:lang w:eastAsia="el-GR"/>
        </w:rPr>
        <w:t xml:space="preserve">. Овај план </w:t>
      </w:r>
      <w:r w:rsidR="002C5CB8" w:rsidRPr="00FF386D">
        <w:rPr>
          <w:rFonts w:asciiTheme="majorHAnsi" w:eastAsia="Times New Roman" w:hAnsiTheme="majorHAnsi" w:cstheme="majorHAnsi"/>
          <w:lang w:eastAsia="el-GR"/>
        </w:rPr>
        <w:t>дефинише</w:t>
      </w:r>
      <w:r w:rsidRPr="00FF386D">
        <w:rPr>
          <w:rFonts w:asciiTheme="majorHAnsi" w:eastAsia="Times New Roman" w:hAnsiTheme="majorHAnsi" w:cstheme="majorHAnsi"/>
          <w:lang w:eastAsia="el-GR"/>
        </w:rPr>
        <w:t xml:space="preserve"> процедуре и кораке које треба да предузму главни субјекти у Србији </w:t>
      </w:r>
      <w:r w:rsidR="002C5CB8" w:rsidRPr="00FF386D">
        <w:rPr>
          <w:rFonts w:asciiTheme="majorHAnsi" w:eastAsia="Times New Roman" w:hAnsiTheme="majorHAnsi" w:cstheme="majorHAnsi"/>
          <w:lang w:eastAsia="el-GR"/>
        </w:rPr>
        <w:t>који су надлежни</w:t>
      </w:r>
      <w:r w:rsidRPr="00FF386D">
        <w:rPr>
          <w:rFonts w:asciiTheme="majorHAnsi" w:eastAsia="Times New Roman" w:hAnsiTheme="majorHAnsi" w:cstheme="majorHAnsi"/>
          <w:lang w:eastAsia="el-GR"/>
        </w:rPr>
        <w:t xml:space="preserve"> за предузимање мера током кризе у снабдевању нафтом, укључујући процедуре и критеријуме за идентификацију прекида снабдевања и нормализацију снабдевања тржишта у Србији. Такође одређује тела </w:t>
      </w:r>
      <w:r w:rsidR="00E30304" w:rsidRPr="00FF386D">
        <w:rPr>
          <w:rFonts w:asciiTheme="majorHAnsi" w:eastAsia="Times New Roman" w:hAnsiTheme="majorHAnsi" w:cstheme="majorHAnsi"/>
          <w:lang w:eastAsia="el-GR"/>
        </w:rPr>
        <w:t xml:space="preserve">одговорна </w:t>
      </w:r>
      <w:r w:rsidRPr="00FF386D">
        <w:rPr>
          <w:rFonts w:asciiTheme="majorHAnsi" w:eastAsia="Times New Roman" w:hAnsiTheme="majorHAnsi" w:cstheme="majorHAnsi"/>
          <w:lang w:eastAsia="el-GR"/>
        </w:rPr>
        <w:t xml:space="preserve">за отклањање поремећаја у снабдевању, као што су институције Владе надлежне за јавне и приватне енергетске субјекте у </w:t>
      </w:r>
      <w:r w:rsidR="002C5CB8" w:rsidRPr="00FF386D">
        <w:rPr>
          <w:rFonts w:asciiTheme="majorHAnsi" w:eastAsia="Times New Roman" w:hAnsiTheme="majorHAnsi" w:cstheme="majorHAnsi"/>
          <w:lang w:eastAsia="el-GR"/>
        </w:rPr>
        <w:t xml:space="preserve">сектору нафте </w:t>
      </w:r>
      <w:r w:rsidRPr="00FF386D">
        <w:rPr>
          <w:rFonts w:asciiTheme="majorHAnsi" w:eastAsia="Times New Roman" w:hAnsiTheme="majorHAnsi" w:cstheme="majorHAnsi"/>
          <w:lang w:eastAsia="el-GR"/>
        </w:rPr>
        <w:t xml:space="preserve">и гаса. У 2019. години, Министарство рударства и енергетике је доставило </w:t>
      </w:r>
      <w:r w:rsidRPr="00FF386D">
        <w:rPr>
          <w:rFonts w:asciiTheme="majorHAnsi" w:eastAsia="Times New Roman" w:hAnsiTheme="majorHAnsi" w:cstheme="majorHAnsi"/>
          <w:b/>
          <w:bCs/>
          <w:lang w:eastAsia="el-GR"/>
        </w:rPr>
        <w:t>Изјаву о сигурности снабдевања за 2018. годину</w:t>
      </w:r>
      <w:r w:rsidRPr="00FF386D">
        <w:rPr>
          <w:rFonts w:asciiTheme="majorHAnsi" w:eastAsia="Times New Roman" w:hAnsiTheme="majorHAnsi" w:cstheme="majorHAnsi"/>
          <w:lang w:eastAsia="el-GR"/>
        </w:rPr>
        <w:t xml:space="preserve"> Секретаријату Енергетске заједнице</w:t>
      </w:r>
      <w:r w:rsidR="00C2750F">
        <w:rPr>
          <w:rFonts w:asciiTheme="majorHAnsi" w:eastAsia="Times New Roman" w:hAnsiTheme="majorHAnsi" w:cstheme="majorHAnsi"/>
          <w:lang w:eastAsia="el-GR"/>
        </w:rPr>
        <w:t>.</w:t>
      </w:r>
    </w:p>
    <w:p w14:paraId="29DD7F87" w14:textId="379225E6"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b/>
          <w:bCs/>
          <w:lang w:eastAsia="el-GR"/>
        </w:rPr>
        <w:t xml:space="preserve">Радна група (РГ) за праћење сигурности снабдевања енергијом и енергентима </w:t>
      </w:r>
      <w:r w:rsidRPr="00FF386D">
        <w:rPr>
          <w:rFonts w:asciiTheme="majorHAnsi" w:eastAsia="Times New Roman" w:hAnsiTheme="majorHAnsi" w:cstheme="majorHAnsi"/>
          <w:lang w:eastAsia="el-GR"/>
        </w:rPr>
        <w:t>у Републици Србији, коју је именовало Министарство рударства и енергетике</w:t>
      </w:r>
      <w:r w:rsidR="00420ACC" w:rsidRPr="00FF386D">
        <w:rPr>
          <w:rFonts w:asciiTheme="majorHAnsi" w:eastAsia="Times New Roman" w:hAnsiTheme="majorHAnsi" w:cstheme="majorHAnsi"/>
          <w:lang w:eastAsia="el-GR"/>
        </w:rPr>
        <w:t>,</w:t>
      </w:r>
      <w:r w:rsidRPr="00FF386D">
        <w:rPr>
          <w:rFonts w:asciiTheme="majorHAnsi" w:eastAsia="Times New Roman" w:hAnsiTheme="majorHAnsi" w:cstheme="majorHAnsi"/>
          <w:lang w:eastAsia="el-GR"/>
        </w:rPr>
        <w:t xml:space="preserve"> функционише од 2005. године. Састоји се од представника Министарства надлежног за енергетику, Агенције за енергетику Републике Србије (АЕРС), ЕПС</w:t>
      </w:r>
      <w:r w:rsidR="00897549" w:rsidRPr="00FF386D">
        <w:rPr>
          <w:rFonts w:asciiTheme="majorHAnsi" w:eastAsia="Times New Roman" w:hAnsiTheme="majorHAnsi" w:cstheme="majorHAnsi"/>
          <w:lang w:eastAsia="el-GR"/>
        </w:rPr>
        <w:t xml:space="preserve"> а.д</w:t>
      </w:r>
      <w:r w:rsidRPr="00FF386D">
        <w:rPr>
          <w:rFonts w:asciiTheme="majorHAnsi" w:eastAsia="Times New Roman" w:hAnsiTheme="majorHAnsi" w:cstheme="majorHAnsi"/>
          <w:lang w:eastAsia="el-GR"/>
        </w:rPr>
        <w:t>, ЕМС</w:t>
      </w:r>
      <w:r w:rsidR="00E30304" w:rsidRPr="00FF386D">
        <w:rPr>
          <w:rFonts w:asciiTheme="majorHAnsi" w:eastAsia="Times New Roman" w:hAnsiTheme="majorHAnsi" w:cstheme="majorHAnsi"/>
          <w:lang w:eastAsia="el-GR"/>
        </w:rPr>
        <w:t xml:space="preserve"> а.д</w:t>
      </w:r>
      <w:r w:rsidRPr="00FF386D">
        <w:rPr>
          <w:rFonts w:asciiTheme="majorHAnsi" w:eastAsia="Times New Roman" w:hAnsiTheme="majorHAnsi" w:cstheme="majorHAnsi"/>
          <w:lang w:eastAsia="el-GR"/>
        </w:rPr>
        <w:t>, ЈП Србијагас, НИС</w:t>
      </w:r>
      <w:r w:rsidR="00E30304" w:rsidRPr="00FF386D">
        <w:rPr>
          <w:rFonts w:asciiTheme="majorHAnsi" w:eastAsia="Times New Roman" w:hAnsiTheme="majorHAnsi" w:cstheme="majorHAnsi"/>
          <w:lang w:eastAsia="el-GR"/>
        </w:rPr>
        <w:t xml:space="preserve"> а.д</w:t>
      </w:r>
      <w:r w:rsidRPr="00FF386D">
        <w:rPr>
          <w:rFonts w:asciiTheme="majorHAnsi" w:eastAsia="Times New Roman" w:hAnsiTheme="majorHAnsi" w:cstheme="majorHAnsi"/>
          <w:lang w:eastAsia="el-GR"/>
        </w:rPr>
        <w:t xml:space="preserve">, </w:t>
      </w:r>
      <w:r w:rsidR="007F6A1A">
        <w:rPr>
          <w:rFonts w:asciiTheme="majorHAnsi" w:eastAsia="Times New Roman" w:hAnsiTheme="majorHAnsi" w:cstheme="majorHAnsi"/>
          <w:lang w:eastAsia="el-GR"/>
        </w:rPr>
        <w:t>П</w:t>
      </w:r>
      <w:r w:rsidR="00E30304" w:rsidRPr="00FF386D">
        <w:rPr>
          <w:rFonts w:asciiTheme="majorHAnsi" w:eastAsia="Times New Roman" w:hAnsiTheme="majorHAnsi" w:cstheme="majorHAnsi"/>
          <w:lang w:eastAsia="el-GR"/>
        </w:rPr>
        <w:t xml:space="preserve">ословног </w:t>
      </w:r>
      <w:r w:rsidRPr="00FF386D">
        <w:rPr>
          <w:rFonts w:asciiTheme="majorHAnsi" w:eastAsia="Times New Roman" w:hAnsiTheme="majorHAnsi" w:cstheme="majorHAnsi"/>
          <w:lang w:eastAsia="el-GR"/>
        </w:rPr>
        <w:t>удружења Топлане Србије, Покрајинског секретаријата за енергетику и минералне сировине, Секретаријата за енергетику града Београда и „ЈКП Београдске електране Београд”. Њена улога је праћење сигурности снабдевања енергијом и енергентима, предлагање одговарајућих мера, припрема основа за извештај о сигурности снабдевања електричном енергијом и природним гасом и предлагање мера у случају угрожене сигурности снабдевања купаца или рада енергетског система, услед недовољног снабдевања на тржишту енергије или настанка других ванредних околности.</w:t>
      </w:r>
    </w:p>
    <w:p w14:paraId="317225AD" w14:textId="1392D04D"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Остала релевантна тела задужена за енергетску сигурност су </w:t>
      </w:r>
      <w:r w:rsidRPr="00FF386D">
        <w:rPr>
          <w:rFonts w:asciiTheme="majorHAnsi" w:eastAsia="Times New Roman" w:hAnsiTheme="majorHAnsi" w:cstheme="majorHAnsi"/>
          <w:b/>
          <w:bCs/>
          <w:lang w:eastAsia="el-GR"/>
        </w:rPr>
        <w:t xml:space="preserve">Управа за резерве енергената </w:t>
      </w:r>
      <w:r w:rsidRPr="00FF386D">
        <w:rPr>
          <w:rFonts w:asciiTheme="majorHAnsi" w:eastAsia="Times New Roman" w:hAnsiTheme="majorHAnsi" w:cstheme="majorHAnsi"/>
          <w:lang w:eastAsia="el-GR"/>
        </w:rPr>
        <w:t xml:space="preserve">при Министарству рударства и енергетике, те посебно </w:t>
      </w:r>
      <w:r w:rsidR="00D7755A" w:rsidRPr="00FF386D">
        <w:rPr>
          <w:rFonts w:asciiTheme="majorHAnsi" w:eastAsia="Times New Roman" w:hAnsiTheme="majorHAnsi" w:cstheme="majorHAnsi"/>
          <w:lang w:eastAsia="el-GR"/>
        </w:rPr>
        <w:t>образована</w:t>
      </w:r>
      <w:r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b/>
          <w:bCs/>
          <w:lang w:eastAsia="el-GR"/>
        </w:rPr>
        <w:t>Група за Централно складишно тело</w:t>
      </w:r>
      <w:r w:rsidRPr="00FF386D">
        <w:rPr>
          <w:rFonts w:asciiTheme="majorHAnsi" w:eastAsia="Times New Roman" w:hAnsiTheme="majorHAnsi" w:cstheme="majorHAnsi"/>
          <w:lang w:eastAsia="el-GR"/>
        </w:rPr>
        <w:t xml:space="preserve">, као и </w:t>
      </w:r>
      <w:r w:rsidRPr="00FF386D">
        <w:rPr>
          <w:rFonts w:asciiTheme="majorHAnsi" w:eastAsia="Times New Roman" w:hAnsiTheme="majorHAnsi" w:cstheme="majorHAnsi"/>
          <w:b/>
          <w:bCs/>
          <w:lang w:eastAsia="el-GR"/>
        </w:rPr>
        <w:t xml:space="preserve">Одељење за енергетику </w:t>
      </w:r>
      <w:r w:rsidRPr="00FF386D">
        <w:rPr>
          <w:rFonts w:asciiTheme="majorHAnsi" w:eastAsia="Times New Roman" w:hAnsiTheme="majorHAnsi" w:cstheme="majorHAnsi"/>
          <w:lang w:eastAsia="el-GR"/>
        </w:rPr>
        <w:t xml:space="preserve">у оквиру </w:t>
      </w:r>
      <w:r w:rsidRPr="00FF386D">
        <w:rPr>
          <w:rFonts w:asciiTheme="majorHAnsi" w:eastAsia="Times New Roman" w:hAnsiTheme="majorHAnsi" w:cstheme="majorHAnsi"/>
          <w:b/>
          <w:bCs/>
          <w:lang w:eastAsia="el-GR"/>
        </w:rPr>
        <w:t>Републичке дирекције за робне резерве</w:t>
      </w:r>
      <w:r w:rsidRPr="00FF386D">
        <w:rPr>
          <w:rFonts w:asciiTheme="majorHAnsi" w:eastAsia="Times New Roman" w:hAnsiTheme="majorHAnsi" w:cstheme="majorHAnsi"/>
          <w:lang w:eastAsia="el-GR"/>
        </w:rPr>
        <w:t xml:space="preserve">. У складу са подзаконским актима, Република Србија је основала </w:t>
      </w:r>
      <w:r w:rsidR="00E30304" w:rsidRPr="00FF386D">
        <w:rPr>
          <w:rFonts w:asciiTheme="majorHAnsi" w:eastAsia="Times New Roman" w:hAnsiTheme="majorHAnsi" w:cstheme="majorHAnsi"/>
          <w:b/>
          <w:bCs/>
          <w:lang w:eastAsia="el-GR"/>
        </w:rPr>
        <w:t>О</w:t>
      </w:r>
      <w:r w:rsidRPr="00FF386D">
        <w:rPr>
          <w:rFonts w:asciiTheme="majorHAnsi" w:eastAsia="Times New Roman" w:hAnsiTheme="majorHAnsi" w:cstheme="majorHAnsi"/>
          <w:b/>
          <w:bCs/>
          <w:lang w:eastAsia="el-GR"/>
        </w:rPr>
        <w:t xml:space="preserve">рганизацију за </w:t>
      </w:r>
      <w:r w:rsidR="00E30304" w:rsidRPr="00FF386D">
        <w:rPr>
          <w:rFonts w:asciiTheme="majorHAnsi" w:eastAsia="Times New Roman" w:hAnsiTheme="majorHAnsi" w:cstheme="majorHAnsi"/>
          <w:b/>
          <w:bCs/>
          <w:lang w:eastAsia="el-GR"/>
        </w:rPr>
        <w:t xml:space="preserve">националну </w:t>
      </w:r>
      <w:r w:rsidRPr="00FF386D">
        <w:rPr>
          <w:rFonts w:asciiTheme="majorHAnsi" w:eastAsia="Times New Roman" w:hAnsiTheme="majorHAnsi" w:cstheme="majorHAnsi"/>
          <w:b/>
          <w:bCs/>
          <w:lang w:eastAsia="el-GR"/>
        </w:rPr>
        <w:t>стратегиј</w:t>
      </w:r>
      <w:r w:rsidR="00E30304" w:rsidRPr="00FF386D">
        <w:rPr>
          <w:rFonts w:asciiTheme="majorHAnsi" w:eastAsia="Times New Roman" w:hAnsiTheme="majorHAnsi" w:cstheme="majorHAnsi"/>
          <w:b/>
          <w:bCs/>
          <w:lang w:eastAsia="el-GR"/>
        </w:rPr>
        <w:t>у</w:t>
      </w:r>
      <w:r w:rsidRPr="00FF386D">
        <w:rPr>
          <w:rFonts w:asciiTheme="majorHAnsi" w:eastAsia="Times New Roman" w:hAnsiTheme="majorHAnsi" w:cstheme="majorHAnsi"/>
          <w:b/>
          <w:bCs/>
          <w:lang w:eastAsia="el-GR"/>
        </w:rPr>
        <w:t xml:space="preserve"> за кризне ситуације </w:t>
      </w:r>
      <w:r w:rsidRPr="00FF386D">
        <w:rPr>
          <w:rFonts w:asciiTheme="majorHAnsi" w:eastAsia="Times New Roman" w:hAnsiTheme="majorHAnsi" w:cstheme="majorHAnsi"/>
          <w:lang w:eastAsia="el-GR"/>
        </w:rPr>
        <w:t>која даје општи оквир за решавање кризних ситуација у нафтном сектору и којом председава државни секретар МРЕ</w:t>
      </w:r>
      <w:r w:rsidR="00420ACC" w:rsidRPr="00FF386D">
        <w:rPr>
          <w:rFonts w:asciiTheme="majorHAnsi" w:eastAsia="Times New Roman" w:hAnsiTheme="majorHAnsi" w:cstheme="majorHAnsi"/>
          <w:lang w:eastAsia="el-GR"/>
        </w:rPr>
        <w:t>,</w:t>
      </w:r>
      <w:r w:rsidRPr="00FF386D">
        <w:rPr>
          <w:rFonts w:asciiTheme="majorHAnsi" w:eastAsia="Times New Roman" w:hAnsiTheme="majorHAnsi" w:cstheme="majorHAnsi"/>
          <w:lang w:eastAsia="el-GR"/>
        </w:rPr>
        <w:t xml:space="preserve"> а састоји се од представника сектора за нафту и гас у оквиру МРЕ и представника Републичке дирекције за робне резерве, Републичког завода за статистику, Министарства трговине, туризма и телекомуникација, Министарства финансија, Министарства унутрашњих послова, Министарства грађевинарства, саобраћаја и инфраструктуре и нафтних компанија које послују на тржишту Републике Србије.</w:t>
      </w:r>
    </w:p>
    <w:p w14:paraId="10B4A354" w14:textId="27FF525E" w:rsidR="002F78ED" w:rsidRDefault="00D2655C" w:rsidP="00EB3C75">
      <w:pPr>
        <w:spacing w:before="120" w:after="120" w:line="240" w:lineRule="auto"/>
        <w:jc w:val="both"/>
        <w:rPr>
          <w:rFonts w:asciiTheme="majorHAnsi" w:eastAsia="Times New Roman" w:hAnsiTheme="majorHAnsi" w:cstheme="majorHAnsi"/>
          <w:lang w:eastAsia="el-GR"/>
        </w:rPr>
      </w:pPr>
      <w:r>
        <w:rPr>
          <w:rFonts w:asciiTheme="majorHAnsi" w:eastAsia="Times New Roman" w:hAnsiTheme="majorHAnsi" w:cstheme="majorHAnsi"/>
          <w:lang w:eastAsia="el-GR"/>
        </w:rPr>
        <w:t>О</w:t>
      </w:r>
      <w:r w:rsidR="00EB3C75" w:rsidRPr="00FF386D">
        <w:rPr>
          <w:rFonts w:asciiTheme="majorHAnsi" w:eastAsia="Times New Roman" w:hAnsiTheme="majorHAnsi" w:cstheme="majorHAnsi"/>
          <w:lang w:eastAsia="el-GR"/>
        </w:rPr>
        <w:t xml:space="preserve">ператори преносних система електричне енергије и природног гаса дужни су да </w:t>
      </w:r>
      <w:r>
        <w:rPr>
          <w:rFonts w:asciiTheme="majorHAnsi" w:eastAsia="Times New Roman" w:hAnsiTheme="majorHAnsi" w:cstheme="majorHAnsi"/>
          <w:lang w:eastAsia="el-GR"/>
        </w:rPr>
        <w:t>у</w:t>
      </w:r>
      <w:r w:rsidRPr="00D2655C">
        <w:rPr>
          <w:rFonts w:asciiTheme="majorHAnsi" w:eastAsia="Times New Roman" w:hAnsiTheme="majorHAnsi" w:cstheme="majorHAnsi"/>
          <w:lang w:eastAsia="el-GR"/>
        </w:rPr>
        <w:t xml:space="preserve"> складу са члановима 111. и 250. Закона о енергетици</w:t>
      </w:r>
      <w:r>
        <w:rPr>
          <w:rFonts w:asciiTheme="majorHAnsi" w:eastAsia="Times New Roman" w:hAnsiTheme="majorHAnsi" w:cstheme="majorHAnsi"/>
          <w:lang w:eastAsia="el-GR"/>
        </w:rPr>
        <w:t xml:space="preserve"> </w:t>
      </w:r>
      <w:r w:rsidR="00EB3C75" w:rsidRPr="00FF386D">
        <w:rPr>
          <w:rFonts w:asciiTheme="majorHAnsi" w:eastAsia="Times New Roman" w:hAnsiTheme="majorHAnsi" w:cstheme="majorHAnsi"/>
          <w:lang w:eastAsia="el-GR"/>
        </w:rPr>
        <w:t xml:space="preserve">подносе </w:t>
      </w:r>
      <w:r w:rsidR="00E30304" w:rsidRPr="00FF386D">
        <w:rPr>
          <w:rFonts w:asciiTheme="majorHAnsi" w:eastAsia="Times New Roman" w:hAnsiTheme="majorHAnsi" w:cstheme="majorHAnsi"/>
          <w:lang w:eastAsia="el-GR"/>
        </w:rPr>
        <w:t>Агенцији</w:t>
      </w:r>
      <w:r w:rsidR="00EB3C75" w:rsidRPr="00FF386D">
        <w:rPr>
          <w:rFonts w:asciiTheme="majorHAnsi" w:eastAsia="Times New Roman" w:hAnsiTheme="majorHAnsi" w:cstheme="majorHAnsi"/>
          <w:lang w:eastAsia="el-GR"/>
        </w:rPr>
        <w:t xml:space="preserve"> </w:t>
      </w:r>
      <w:r>
        <w:rPr>
          <w:rFonts w:asciiTheme="majorHAnsi" w:eastAsia="Times New Roman" w:hAnsiTheme="majorHAnsi" w:cstheme="majorHAnsi"/>
          <w:lang w:eastAsia="el-GR"/>
        </w:rPr>
        <w:t xml:space="preserve">за енергетику </w:t>
      </w:r>
      <w:r w:rsidR="00EB3C75" w:rsidRPr="00FF386D">
        <w:rPr>
          <w:rFonts w:asciiTheme="majorHAnsi" w:eastAsia="Times New Roman" w:hAnsiTheme="majorHAnsi" w:cstheme="majorHAnsi"/>
          <w:lang w:eastAsia="el-GR"/>
        </w:rPr>
        <w:t>на сагласност десетогодишњи план развоја мреже</w:t>
      </w:r>
      <w:r w:rsidR="003901AB" w:rsidRPr="00FF386D">
        <w:rPr>
          <w:rFonts w:asciiTheme="majorHAnsi" w:eastAsia="Times New Roman" w:hAnsiTheme="majorHAnsi" w:cstheme="majorHAnsi"/>
          <w:lang w:eastAsia="el-GR"/>
        </w:rPr>
        <w:t xml:space="preserve"> (преносног система) за коју су задужени</w:t>
      </w:r>
      <w:r w:rsidR="00EB3C75" w:rsidRPr="00FF386D">
        <w:rPr>
          <w:rFonts w:asciiTheme="majorHAnsi" w:eastAsia="Times New Roman" w:hAnsiTheme="majorHAnsi" w:cstheme="majorHAnsi"/>
          <w:lang w:eastAsia="el-GR"/>
        </w:rPr>
        <w:t xml:space="preserve">. Што се тиче планирања развоја мреже у сектору природног гаса, постоје два кључна плана, и то: </w:t>
      </w:r>
      <w:r w:rsidR="00EB3C75" w:rsidRPr="00FF386D">
        <w:rPr>
          <w:rFonts w:asciiTheme="majorHAnsi" w:eastAsia="Times New Roman" w:hAnsiTheme="majorHAnsi" w:cstheme="majorHAnsi"/>
          <w:b/>
          <w:bCs/>
          <w:lang w:eastAsia="el-GR"/>
        </w:rPr>
        <w:t xml:space="preserve">План развоја транспортног гасоводног система Транспортгас-а за период 2020-2029. </w:t>
      </w:r>
      <w:r w:rsidR="00420ACC" w:rsidRPr="00FF386D">
        <w:rPr>
          <w:rFonts w:asciiTheme="majorHAnsi" w:eastAsia="Times New Roman" w:hAnsiTheme="majorHAnsi" w:cstheme="majorHAnsi"/>
          <w:b/>
          <w:bCs/>
          <w:lang w:eastAsia="el-GR"/>
        </w:rPr>
        <w:t xml:space="preserve">године </w:t>
      </w:r>
      <w:r w:rsidR="00EB3C75" w:rsidRPr="00FF386D">
        <w:rPr>
          <w:rFonts w:asciiTheme="majorHAnsi" w:eastAsia="Times New Roman" w:hAnsiTheme="majorHAnsi" w:cstheme="majorHAnsi"/>
          <w:lang w:eastAsia="el-GR"/>
        </w:rPr>
        <w:t xml:space="preserve">и </w:t>
      </w:r>
      <w:r w:rsidR="00EB3C75" w:rsidRPr="00FF386D">
        <w:rPr>
          <w:rFonts w:asciiTheme="majorHAnsi" w:eastAsia="Times New Roman" w:hAnsiTheme="majorHAnsi" w:cstheme="majorHAnsi"/>
          <w:b/>
          <w:bCs/>
          <w:lang w:eastAsia="el-GR"/>
        </w:rPr>
        <w:t>План развоја транспортног система Yugorosgaz-а за период 2021-2030</w:t>
      </w:r>
      <w:r w:rsidR="00420ACC" w:rsidRPr="00FF386D">
        <w:rPr>
          <w:rFonts w:asciiTheme="majorHAnsi" w:eastAsia="Times New Roman" w:hAnsiTheme="majorHAnsi" w:cstheme="majorHAnsi"/>
          <w:b/>
          <w:bCs/>
          <w:lang w:eastAsia="el-GR"/>
        </w:rPr>
        <w:t>. године.</w:t>
      </w:r>
      <w:r w:rsidR="00EB3C75" w:rsidRPr="00FF386D">
        <w:rPr>
          <w:rFonts w:asciiTheme="majorHAnsi" w:eastAsia="Times New Roman" w:hAnsiTheme="majorHAnsi" w:cstheme="majorHAnsi"/>
          <w:lang w:eastAsia="el-GR"/>
        </w:rPr>
        <w:t xml:space="preserve"> У погледу електроенергетског сектора, </w:t>
      </w:r>
      <w:r w:rsidR="00EB3C75" w:rsidRPr="00FF386D">
        <w:rPr>
          <w:rFonts w:asciiTheme="majorHAnsi" w:eastAsia="Times New Roman" w:hAnsiTheme="majorHAnsi" w:cstheme="majorHAnsi"/>
          <w:b/>
          <w:bCs/>
          <w:lang w:eastAsia="el-GR"/>
        </w:rPr>
        <w:t xml:space="preserve">План развоја преносног система за </w:t>
      </w:r>
      <w:r w:rsidR="00EB3C75" w:rsidRPr="00FF386D">
        <w:rPr>
          <w:rFonts w:asciiTheme="majorHAnsi" w:eastAsia="Times New Roman" w:hAnsiTheme="majorHAnsi" w:cstheme="majorHAnsi"/>
          <w:b/>
          <w:bCs/>
          <w:lang w:eastAsia="el-GR"/>
        </w:rPr>
        <w:lastRenderedPageBreak/>
        <w:t>период 2021-2030.</w:t>
      </w:r>
      <w:r w:rsidR="00EB3C75" w:rsidRPr="00FF386D">
        <w:rPr>
          <w:rFonts w:asciiTheme="majorHAnsi" w:eastAsia="Times New Roman" w:hAnsiTheme="majorHAnsi" w:cstheme="majorHAnsi"/>
          <w:lang w:eastAsia="el-GR"/>
        </w:rPr>
        <w:t xml:space="preserve"> </w:t>
      </w:r>
      <w:r w:rsidR="00420ACC" w:rsidRPr="00FF386D">
        <w:rPr>
          <w:rFonts w:asciiTheme="majorHAnsi" w:eastAsia="Times New Roman" w:hAnsiTheme="majorHAnsi" w:cstheme="majorHAnsi"/>
          <w:b/>
          <w:bCs/>
          <w:lang w:eastAsia="el-GR"/>
        </w:rPr>
        <w:t xml:space="preserve">године </w:t>
      </w:r>
      <w:r w:rsidR="00EB3C75" w:rsidRPr="00FF386D">
        <w:rPr>
          <w:rFonts w:asciiTheme="majorHAnsi" w:eastAsia="Times New Roman" w:hAnsiTheme="majorHAnsi" w:cstheme="majorHAnsi"/>
          <w:lang w:eastAsia="el-GR"/>
        </w:rPr>
        <w:t xml:space="preserve">представља развојно планирање ЕМС-а, док је </w:t>
      </w:r>
      <w:r w:rsidR="00EB3C75" w:rsidRPr="00FF386D">
        <w:rPr>
          <w:rFonts w:asciiTheme="majorHAnsi" w:eastAsia="Times New Roman" w:hAnsiTheme="majorHAnsi" w:cstheme="majorHAnsi"/>
          <w:b/>
          <w:bCs/>
          <w:lang w:eastAsia="el-GR"/>
        </w:rPr>
        <w:t>План развоја дистрибутивног система такође</w:t>
      </w:r>
      <w:r w:rsidR="00E30304" w:rsidRPr="00FF386D">
        <w:rPr>
          <w:rFonts w:asciiTheme="majorHAnsi" w:eastAsia="Times New Roman" w:hAnsiTheme="majorHAnsi" w:cstheme="majorHAnsi"/>
          <w:b/>
          <w:bCs/>
          <w:lang w:eastAsia="el-GR"/>
        </w:rPr>
        <w:t xml:space="preserve"> одобрен</w:t>
      </w:r>
      <w:r w:rsidR="00EB3C75" w:rsidRPr="00FF386D">
        <w:rPr>
          <w:rFonts w:asciiTheme="majorHAnsi" w:eastAsia="Times New Roman" w:hAnsiTheme="majorHAnsi" w:cstheme="majorHAnsi"/>
          <w:b/>
          <w:bCs/>
          <w:lang w:eastAsia="el-GR"/>
        </w:rPr>
        <w:t xml:space="preserve"> за период 2021-2030</w:t>
      </w:r>
      <w:r w:rsidR="00EB3C75" w:rsidRPr="00FF386D">
        <w:rPr>
          <w:rFonts w:asciiTheme="majorHAnsi" w:eastAsia="Times New Roman" w:hAnsiTheme="majorHAnsi" w:cstheme="majorHAnsi"/>
          <w:lang w:eastAsia="el-GR"/>
        </w:rPr>
        <w:t>.</w:t>
      </w:r>
      <w:r w:rsidR="00EB3C75" w:rsidRPr="00FF386D">
        <w:rPr>
          <w:rFonts w:asciiTheme="majorHAnsi" w:eastAsia="Times New Roman" w:hAnsiTheme="majorHAnsi" w:cstheme="majorHAnsi"/>
          <w:b/>
          <w:bCs/>
          <w:lang w:eastAsia="el-GR"/>
        </w:rPr>
        <w:t xml:space="preserve"> </w:t>
      </w:r>
      <w:r w:rsidR="00420ACC" w:rsidRPr="00FF386D">
        <w:rPr>
          <w:rFonts w:asciiTheme="majorHAnsi" w:eastAsia="Times New Roman" w:hAnsiTheme="majorHAnsi" w:cstheme="majorHAnsi"/>
          <w:b/>
          <w:bCs/>
          <w:lang w:eastAsia="el-GR"/>
        </w:rPr>
        <w:t>године</w:t>
      </w:r>
      <w:r w:rsidR="00420ACC" w:rsidRPr="00FF386D">
        <w:rPr>
          <w:rFonts w:asciiTheme="majorHAnsi" w:eastAsia="Times New Roman" w:hAnsiTheme="majorHAnsi" w:cstheme="majorHAnsi"/>
          <w:lang w:eastAsia="el-GR"/>
        </w:rPr>
        <w:t xml:space="preserve">. </w:t>
      </w:r>
      <w:r w:rsidR="00EB3C75" w:rsidRPr="00FF386D">
        <w:rPr>
          <w:rFonts w:asciiTheme="majorHAnsi" w:eastAsia="Times New Roman" w:hAnsiTheme="majorHAnsi" w:cstheme="majorHAnsi"/>
          <w:lang w:eastAsia="el-GR"/>
        </w:rPr>
        <w:t>Поред тога, у складу са чланом 325. Закона о енергетици, енергетски субјекти који врше транспорт нафте нафтоводима су у обавези да донесу петогодишњи план развоја.</w:t>
      </w:r>
    </w:p>
    <w:p w14:paraId="6F7719F7" w14:textId="6393D224" w:rsidR="002F78ED" w:rsidRPr="00FF386D" w:rsidRDefault="002F78ED" w:rsidP="00E66DD4">
      <w:pPr>
        <w:spacing w:before="120" w:after="120" w:line="240" w:lineRule="auto"/>
        <w:jc w:val="both"/>
        <w:rPr>
          <w:rFonts w:asciiTheme="majorHAnsi" w:eastAsia="Times New Roman" w:hAnsiTheme="majorHAnsi" w:cstheme="majorHAnsi"/>
          <w:lang w:eastAsia="el-GR"/>
        </w:rPr>
      </w:pPr>
      <w:r>
        <w:rPr>
          <w:rFonts w:asciiTheme="majorHAnsi" w:eastAsia="Times New Roman" w:hAnsiTheme="majorHAnsi" w:cstheme="majorHAnsi"/>
          <w:lang w:eastAsia="el-GR"/>
        </w:rPr>
        <w:t>Влада Републике Србије је у јуну 2023</w:t>
      </w:r>
      <w:r w:rsidR="00E66DD4">
        <w:rPr>
          <w:rFonts w:asciiTheme="majorHAnsi" w:eastAsia="Times New Roman" w:hAnsiTheme="majorHAnsi" w:cstheme="majorHAnsi"/>
          <w:lang w:eastAsia="el-GR"/>
        </w:rPr>
        <w:t>. године</w:t>
      </w:r>
      <w:r>
        <w:rPr>
          <w:rFonts w:asciiTheme="majorHAnsi" w:eastAsia="Times New Roman" w:hAnsiTheme="majorHAnsi" w:cstheme="majorHAnsi"/>
          <w:lang w:eastAsia="el-GR"/>
        </w:rPr>
        <w:t xml:space="preserve"> усвојила Закључак о прихватању </w:t>
      </w:r>
      <w:r w:rsidRPr="002F78ED">
        <w:rPr>
          <w:rFonts w:asciiTheme="majorHAnsi" w:eastAsia="Times New Roman" w:hAnsiTheme="majorHAnsi" w:cstheme="majorHAnsi"/>
          <w:lang w:eastAsia="el-GR"/>
        </w:rPr>
        <w:t>полазних основа Плана развоја енергетске инфраструктуре и мера енергетске ефикасности за период до 2028. године, са пројекцијама до 2030. годин</w:t>
      </w:r>
      <w:r>
        <w:rPr>
          <w:rFonts w:asciiTheme="majorHAnsi" w:eastAsia="Times New Roman" w:hAnsiTheme="majorHAnsi" w:cstheme="majorHAnsi"/>
          <w:lang w:eastAsia="el-GR"/>
        </w:rPr>
        <w:t>е, кој</w:t>
      </w:r>
      <w:r w:rsidR="007F6A1A">
        <w:rPr>
          <w:rFonts w:asciiTheme="majorHAnsi" w:eastAsia="Times New Roman" w:hAnsiTheme="majorHAnsi" w:cstheme="majorHAnsi"/>
          <w:lang w:eastAsia="el-GR"/>
        </w:rPr>
        <w:t>и</w:t>
      </w:r>
      <w:r>
        <w:rPr>
          <w:rFonts w:asciiTheme="majorHAnsi" w:eastAsia="Times New Roman" w:hAnsiTheme="majorHAnsi" w:cstheme="majorHAnsi"/>
          <w:lang w:eastAsia="el-GR"/>
        </w:rPr>
        <w:t xml:space="preserve"> </w:t>
      </w:r>
      <w:r w:rsidR="00E66DD4">
        <w:rPr>
          <w:rFonts w:asciiTheme="majorHAnsi" w:eastAsia="Times New Roman" w:hAnsiTheme="majorHAnsi" w:cstheme="majorHAnsi"/>
          <w:lang w:eastAsia="el-GR"/>
        </w:rPr>
        <w:t>дефинише кључне циљеве у</w:t>
      </w:r>
      <w:r>
        <w:rPr>
          <w:rFonts w:asciiTheme="majorHAnsi" w:eastAsia="Times New Roman" w:hAnsiTheme="majorHAnsi" w:cstheme="majorHAnsi"/>
          <w:lang w:eastAsia="el-GR"/>
        </w:rPr>
        <w:t xml:space="preserve"> св</w:t>
      </w:r>
      <w:r w:rsidR="00E66DD4">
        <w:rPr>
          <w:rFonts w:asciiTheme="majorHAnsi" w:eastAsia="Times New Roman" w:hAnsiTheme="majorHAnsi" w:cstheme="majorHAnsi"/>
          <w:lang w:eastAsia="el-GR"/>
        </w:rPr>
        <w:t>им</w:t>
      </w:r>
      <w:r>
        <w:rPr>
          <w:rFonts w:asciiTheme="majorHAnsi" w:eastAsia="Times New Roman" w:hAnsiTheme="majorHAnsi" w:cstheme="majorHAnsi"/>
          <w:lang w:eastAsia="el-GR"/>
        </w:rPr>
        <w:t xml:space="preserve"> области</w:t>
      </w:r>
      <w:r w:rsidR="00E66DD4">
        <w:rPr>
          <w:rFonts w:asciiTheme="majorHAnsi" w:eastAsia="Times New Roman" w:hAnsiTheme="majorHAnsi" w:cstheme="majorHAnsi"/>
          <w:lang w:eastAsia="el-GR"/>
        </w:rPr>
        <w:t>ма</w:t>
      </w:r>
      <w:r>
        <w:rPr>
          <w:rFonts w:asciiTheme="majorHAnsi" w:eastAsia="Times New Roman" w:hAnsiTheme="majorHAnsi" w:cstheme="majorHAnsi"/>
          <w:lang w:eastAsia="el-GR"/>
        </w:rPr>
        <w:t xml:space="preserve"> </w:t>
      </w:r>
      <w:r w:rsidR="00040CE7">
        <w:rPr>
          <w:rFonts w:asciiTheme="majorHAnsi" w:eastAsia="Times New Roman" w:hAnsiTheme="majorHAnsi" w:cstheme="majorHAnsi"/>
          <w:lang w:eastAsia="el-GR"/>
        </w:rPr>
        <w:t>енергетског сектора: п</w:t>
      </w:r>
      <w:r w:rsidR="00040CE7" w:rsidRPr="00040CE7">
        <w:rPr>
          <w:rFonts w:asciiTheme="majorHAnsi" w:eastAsia="Times New Roman" w:hAnsiTheme="majorHAnsi" w:cstheme="majorHAnsi"/>
          <w:lang w:eastAsia="el-GR"/>
        </w:rPr>
        <w:t>роизводњ</w:t>
      </w:r>
      <w:r w:rsidR="00B254E3">
        <w:rPr>
          <w:rFonts w:asciiTheme="majorHAnsi" w:eastAsia="Times New Roman" w:hAnsiTheme="majorHAnsi" w:cstheme="majorHAnsi"/>
          <w:lang w:eastAsia="el-GR"/>
        </w:rPr>
        <w:t>и</w:t>
      </w:r>
      <w:r w:rsidR="00040CE7" w:rsidRPr="00040CE7">
        <w:rPr>
          <w:rFonts w:asciiTheme="majorHAnsi" w:eastAsia="Times New Roman" w:hAnsiTheme="majorHAnsi" w:cstheme="majorHAnsi"/>
          <w:lang w:eastAsia="el-GR"/>
        </w:rPr>
        <w:t xml:space="preserve"> електричне енергије</w:t>
      </w:r>
      <w:r w:rsidR="00040CE7">
        <w:rPr>
          <w:rFonts w:asciiTheme="majorHAnsi" w:eastAsia="Times New Roman" w:hAnsiTheme="majorHAnsi" w:cstheme="majorHAnsi"/>
          <w:lang w:eastAsia="el-GR"/>
        </w:rPr>
        <w:t>, преносн</w:t>
      </w:r>
      <w:r w:rsidR="00B254E3">
        <w:rPr>
          <w:rFonts w:asciiTheme="majorHAnsi" w:eastAsia="Times New Roman" w:hAnsiTheme="majorHAnsi" w:cstheme="majorHAnsi"/>
          <w:lang w:eastAsia="el-GR"/>
        </w:rPr>
        <w:t>ој</w:t>
      </w:r>
      <w:r w:rsidR="00040CE7">
        <w:rPr>
          <w:rFonts w:asciiTheme="majorHAnsi" w:eastAsia="Times New Roman" w:hAnsiTheme="majorHAnsi" w:cstheme="majorHAnsi"/>
          <w:lang w:eastAsia="el-GR"/>
        </w:rPr>
        <w:t xml:space="preserve"> и дистрибутивн</w:t>
      </w:r>
      <w:r w:rsidR="00B254E3">
        <w:rPr>
          <w:rFonts w:asciiTheme="majorHAnsi" w:eastAsia="Times New Roman" w:hAnsiTheme="majorHAnsi" w:cstheme="majorHAnsi"/>
          <w:lang w:eastAsia="el-GR"/>
        </w:rPr>
        <w:t>ој</w:t>
      </w:r>
      <w:r w:rsidR="00E66DD4">
        <w:rPr>
          <w:rFonts w:asciiTheme="majorHAnsi" w:eastAsia="Times New Roman" w:hAnsiTheme="majorHAnsi" w:cstheme="majorHAnsi"/>
          <w:lang w:eastAsia="el-GR"/>
        </w:rPr>
        <w:t xml:space="preserve"> </w:t>
      </w:r>
      <w:r w:rsidR="00040CE7">
        <w:rPr>
          <w:rFonts w:asciiTheme="majorHAnsi" w:eastAsia="Times New Roman" w:hAnsiTheme="majorHAnsi" w:cstheme="majorHAnsi"/>
          <w:lang w:eastAsia="el-GR"/>
        </w:rPr>
        <w:t>мреж</w:t>
      </w:r>
      <w:r w:rsidR="00B254E3">
        <w:rPr>
          <w:rFonts w:asciiTheme="majorHAnsi" w:eastAsia="Times New Roman" w:hAnsiTheme="majorHAnsi" w:cstheme="majorHAnsi"/>
          <w:lang w:eastAsia="el-GR"/>
        </w:rPr>
        <w:t>и</w:t>
      </w:r>
      <w:r w:rsidR="00040CE7">
        <w:rPr>
          <w:rFonts w:asciiTheme="majorHAnsi" w:eastAsia="Times New Roman" w:hAnsiTheme="majorHAnsi" w:cstheme="majorHAnsi"/>
          <w:lang w:eastAsia="el-GR"/>
        </w:rPr>
        <w:t>, сектор</w:t>
      </w:r>
      <w:r w:rsidR="00B254E3">
        <w:rPr>
          <w:rFonts w:asciiTheme="majorHAnsi" w:eastAsia="Times New Roman" w:hAnsiTheme="majorHAnsi" w:cstheme="majorHAnsi"/>
          <w:lang w:eastAsia="el-GR"/>
        </w:rPr>
        <w:t>у</w:t>
      </w:r>
      <w:r w:rsidR="00040CE7">
        <w:rPr>
          <w:rFonts w:asciiTheme="majorHAnsi" w:eastAsia="Times New Roman" w:hAnsiTheme="majorHAnsi" w:cstheme="majorHAnsi"/>
          <w:lang w:eastAsia="el-GR"/>
        </w:rPr>
        <w:t xml:space="preserve"> природног гаса, сектор</w:t>
      </w:r>
      <w:r w:rsidR="00B254E3">
        <w:rPr>
          <w:rFonts w:asciiTheme="majorHAnsi" w:eastAsia="Times New Roman" w:hAnsiTheme="majorHAnsi" w:cstheme="majorHAnsi"/>
          <w:lang w:eastAsia="el-GR"/>
        </w:rPr>
        <w:t>у</w:t>
      </w:r>
      <w:r w:rsidR="00040CE7">
        <w:rPr>
          <w:rFonts w:asciiTheme="majorHAnsi" w:eastAsia="Times New Roman" w:hAnsiTheme="majorHAnsi" w:cstheme="majorHAnsi"/>
          <w:lang w:eastAsia="el-GR"/>
        </w:rPr>
        <w:t xml:space="preserve"> нафте и деривата </w:t>
      </w:r>
      <w:r w:rsidR="00B254E3">
        <w:rPr>
          <w:rFonts w:asciiTheme="majorHAnsi" w:eastAsia="Times New Roman" w:hAnsiTheme="majorHAnsi" w:cstheme="majorHAnsi"/>
          <w:lang w:eastAsia="el-GR"/>
        </w:rPr>
        <w:t xml:space="preserve">нафте </w:t>
      </w:r>
      <w:r w:rsidR="00040CE7">
        <w:rPr>
          <w:rFonts w:asciiTheme="majorHAnsi" w:eastAsia="Times New Roman" w:hAnsiTheme="majorHAnsi" w:cstheme="majorHAnsi"/>
          <w:lang w:eastAsia="el-GR"/>
        </w:rPr>
        <w:t>и енергетск</w:t>
      </w:r>
      <w:r w:rsidR="00B254E3">
        <w:rPr>
          <w:rFonts w:asciiTheme="majorHAnsi" w:eastAsia="Times New Roman" w:hAnsiTheme="majorHAnsi" w:cstheme="majorHAnsi"/>
          <w:lang w:eastAsia="el-GR"/>
        </w:rPr>
        <w:t>ој</w:t>
      </w:r>
      <w:r w:rsidR="00040CE7">
        <w:rPr>
          <w:rFonts w:asciiTheme="majorHAnsi" w:eastAsia="Times New Roman" w:hAnsiTheme="majorHAnsi" w:cstheme="majorHAnsi"/>
          <w:lang w:eastAsia="el-GR"/>
        </w:rPr>
        <w:t xml:space="preserve"> ефикасност</w:t>
      </w:r>
      <w:r w:rsidR="00B254E3">
        <w:rPr>
          <w:rFonts w:asciiTheme="majorHAnsi" w:eastAsia="Times New Roman" w:hAnsiTheme="majorHAnsi" w:cstheme="majorHAnsi"/>
          <w:lang w:eastAsia="el-GR"/>
        </w:rPr>
        <w:t>и</w:t>
      </w:r>
      <w:r w:rsidR="00040CE7">
        <w:rPr>
          <w:rFonts w:asciiTheme="majorHAnsi" w:eastAsia="Times New Roman" w:hAnsiTheme="majorHAnsi" w:cstheme="majorHAnsi"/>
          <w:lang w:eastAsia="el-GR"/>
        </w:rPr>
        <w:t xml:space="preserve">. Основни циљ плана јесте да се дефинишу основни правци стратешког развоја који ће бити део нове </w:t>
      </w:r>
      <w:r w:rsidR="00040CE7" w:rsidRPr="00040CE7">
        <w:rPr>
          <w:rFonts w:asciiTheme="majorHAnsi" w:eastAsia="Times New Roman" w:hAnsiTheme="majorHAnsi" w:cstheme="majorHAnsi"/>
          <w:lang w:eastAsia="el-GR"/>
        </w:rPr>
        <w:t>Стратегије развоја енергетике Републике Србије</w:t>
      </w:r>
      <w:r w:rsidR="00E66DD4">
        <w:rPr>
          <w:rFonts w:asciiTheme="majorHAnsi" w:eastAsia="Times New Roman" w:hAnsiTheme="majorHAnsi" w:cstheme="majorHAnsi"/>
          <w:lang w:eastAsia="el-GR"/>
        </w:rPr>
        <w:t>, која</w:t>
      </w:r>
      <w:r w:rsidR="00040CE7" w:rsidRPr="00040CE7">
        <w:rPr>
          <w:rFonts w:asciiTheme="majorHAnsi" w:eastAsia="Times New Roman" w:hAnsiTheme="majorHAnsi" w:cstheme="majorHAnsi"/>
          <w:lang w:eastAsia="el-GR"/>
        </w:rPr>
        <w:t xml:space="preserve"> </w:t>
      </w:r>
      <w:r w:rsidR="00B254E3">
        <w:rPr>
          <w:rFonts w:asciiTheme="majorHAnsi" w:eastAsia="Times New Roman" w:hAnsiTheme="majorHAnsi" w:cstheme="majorHAnsi"/>
          <w:lang w:eastAsia="el-GR"/>
        </w:rPr>
        <w:t>би требало</w:t>
      </w:r>
      <w:r w:rsidR="00040CE7">
        <w:rPr>
          <w:rFonts w:asciiTheme="majorHAnsi" w:eastAsia="Times New Roman" w:hAnsiTheme="majorHAnsi" w:cstheme="majorHAnsi"/>
          <w:lang w:eastAsia="el-GR"/>
        </w:rPr>
        <w:t xml:space="preserve"> да буде усвојена до краја 2023. године.</w:t>
      </w:r>
      <w:r w:rsidR="00E66DD4">
        <w:rPr>
          <w:rFonts w:asciiTheme="majorHAnsi" w:eastAsia="Times New Roman" w:hAnsiTheme="majorHAnsi" w:cstheme="majorHAnsi"/>
          <w:lang w:eastAsia="el-GR"/>
        </w:rPr>
        <w:t xml:space="preserve"> </w:t>
      </w:r>
      <w:r w:rsidR="00B254E3">
        <w:rPr>
          <w:rFonts w:asciiTheme="majorHAnsi" w:eastAsia="Times New Roman" w:hAnsiTheme="majorHAnsi" w:cstheme="majorHAnsi"/>
          <w:lang w:eastAsia="el-GR"/>
        </w:rPr>
        <w:t>Фокус</w:t>
      </w:r>
      <w:r w:rsidR="00E66DD4">
        <w:rPr>
          <w:rFonts w:asciiTheme="majorHAnsi" w:eastAsia="Times New Roman" w:hAnsiTheme="majorHAnsi" w:cstheme="majorHAnsi"/>
          <w:lang w:eastAsia="el-GR"/>
        </w:rPr>
        <w:t xml:space="preserve"> плана је на </w:t>
      </w:r>
      <w:r w:rsidR="00B254E3">
        <w:rPr>
          <w:rFonts w:asciiTheme="majorHAnsi" w:eastAsia="Times New Roman" w:hAnsiTheme="majorHAnsi" w:cstheme="majorHAnsi"/>
          <w:lang w:eastAsia="el-GR"/>
        </w:rPr>
        <w:t>сагледавању</w:t>
      </w:r>
      <w:r w:rsidR="00E66DD4" w:rsidRPr="00E66DD4">
        <w:rPr>
          <w:rFonts w:asciiTheme="majorHAnsi" w:eastAsia="Times New Roman" w:hAnsiTheme="majorHAnsi" w:cstheme="majorHAnsi"/>
          <w:lang w:eastAsia="el-GR"/>
        </w:rPr>
        <w:t xml:space="preserve"> степена реализације пројеката предвиђених важећом</w:t>
      </w:r>
      <w:r w:rsidR="00E66DD4">
        <w:rPr>
          <w:rFonts w:asciiTheme="majorHAnsi" w:eastAsia="Times New Roman" w:hAnsiTheme="majorHAnsi" w:cstheme="majorHAnsi"/>
          <w:lang w:eastAsia="el-GR"/>
        </w:rPr>
        <w:t xml:space="preserve"> </w:t>
      </w:r>
      <w:r w:rsidR="00E66DD4" w:rsidRPr="00E66DD4">
        <w:rPr>
          <w:rFonts w:asciiTheme="majorHAnsi" w:eastAsia="Times New Roman" w:hAnsiTheme="majorHAnsi" w:cstheme="majorHAnsi"/>
          <w:lang w:eastAsia="el-GR"/>
        </w:rPr>
        <w:t>Стратегијом енергетике Републике Србије до 2025. године са</w:t>
      </w:r>
      <w:r w:rsidR="00E66DD4">
        <w:rPr>
          <w:rFonts w:asciiTheme="majorHAnsi" w:eastAsia="Times New Roman" w:hAnsiTheme="majorHAnsi" w:cstheme="majorHAnsi"/>
          <w:lang w:eastAsia="el-GR"/>
        </w:rPr>
        <w:t xml:space="preserve"> </w:t>
      </w:r>
      <w:r w:rsidR="00E66DD4" w:rsidRPr="00E66DD4">
        <w:rPr>
          <w:rFonts w:asciiTheme="majorHAnsi" w:eastAsia="Times New Roman" w:hAnsiTheme="majorHAnsi" w:cstheme="majorHAnsi"/>
          <w:lang w:eastAsia="el-GR"/>
        </w:rPr>
        <w:t>пројекцијама до 2030 године</w:t>
      </w:r>
      <w:r w:rsidR="00E66DD4">
        <w:rPr>
          <w:rStyle w:val="FootnoteReference"/>
          <w:rFonts w:asciiTheme="majorHAnsi" w:eastAsia="Times New Roman" w:hAnsiTheme="majorHAnsi" w:cstheme="majorHAnsi"/>
          <w:lang w:eastAsia="el-GR"/>
        </w:rPr>
        <w:footnoteReference w:id="79"/>
      </w:r>
      <w:r w:rsidR="00E66DD4">
        <w:rPr>
          <w:rFonts w:asciiTheme="majorHAnsi" w:eastAsia="Times New Roman" w:hAnsiTheme="majorHAnsi" w:cstheme="majorHAnsi"/>
          <w:lang w:eastAsia="el-GR"/>
        </w:rPr>
        <w:t xml:space="preserve">, </w:t>
      </w:r>
      <w:r w:rsidR="00E66DD4" w:rsidRPr="00E66DD4">
        <w:rPr>
          <w:rFonts w:asciiTheme="majorHAnsi" w:eastAsia="Times New Roman" w:hAnsiTheme="majorHAnsi" w:cstheme="majorHAnsi"/>
          <w:lang w:eastAsia="el-GR"/>
        </w:rPr>
        <w:t>идентификациј</w:t>
      </w:r>
      <w:r w:rsidR="00E66DD4">
        <w:rPr>
          <w:rFonts w:asciiTheme="majorHAnsi" w:eastAsia="Times New Roman" w:hAnsiTheme="majorHAnsi" w:cstheme="majorHAnsi"/>
          <w:lang w:eastAsia="el-GR"/>
        </w:rPr>
        <w:t>и</w:t>
      </w:r>
      <w:r w:rsidR="00E66DD4" w:rsidRPr="00E66DD4">
        <w:rPr>
          <w:rFonts w:asciiTheme="majorHAnsi" w:eastAsia="Times New Roman" w:hAnsiTheme="majorHAnsi" w:cstheme="majorHAnsi"/>
          <w:lang w:eastAsia="el-GR"/>
        </w:rPr>
        <w:t xml:space="preserve"> нових пројеката </w:t>
      </w:r>
      <w:r w:rsidR="00E66DD4">
        <w:rPr>
          <w:rFonts w:asciiTheme="majorHAnsi" w:eastAsia="Times New Roman" w:hAnsiTheme="majorHAnsi" w:cstheme="majorHAnsi"/>
          <w:lang w:eastAsia="el-GR"/>
        </w:rPr>
        <w:t xml:space="preserve">и </w:t>
      </w:r>
      <w:r w:rsidR="00E66DD4" w:rsidRPr="00E66DD4">
        <w:rPr>
          <w:rFonts w:asciiTheme="majorHAnsi" w:eastAsia="Times New Roman" w:hAnsiTheme="majorHAnsi" w:cstheme="majorHAnsi"/>
          <w:lang w:eastAsia="el-GR"/>
        </w:rPr>
        <w:t>пројекцијама потрошње до 2040. године са пројекцијама до 2050.</w:t>
      </w:r>
      <w:r w:rsidR="00E66DD4">
        <w:rPr>
          <w:rFonts w:asciiTheme="majorHAnsi" w:eastAsia="Times New Roman" w:hAnsiTheme="majorHAnsi" w:cstheme="majorHAnsi"/>
          <w:lang w:eastAsia="el-GR"/>
        </w:rPr>
        <w:t xml:space="preserve"> </w:t>
      </w:r>
      <w:r w:rsidR="00E66DD4" w:rsidRPr="00E66DD4">
        <w:rPr>
          <w:rFonts w:asciiTheme="majorHAnsi" w:eastAsia="Times New Roman" w:hAnsiTheme="majorHAnsi" w:cstheme="majorHAnsi"/>
          <w:lang w:eastAsia="el-GR"/>
        </w:rPr>
        <w:t>године.</w:t>
      </w:r>
    </w:p>
    <w:p w14:paraId="6A8BC3E3" w14:textId="401F4891"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Што се тиче ново</w:t>
      </w:r>
      <w:r w:rsidR="00E30304" w:rsidRPr="00FF386D">
        <w:rPr>
          <w:rFonts w:asciiTheme="majorHAnsi" w:eastAsia="Times New Roman" w:hAnsiTheme="majorHAnsi" w:cstheme="majorHAnsi"/>
          <w:lang w:eastAsia="el-GR"/>
        </w:rPr>
        <w:t xml:space="preserve">насталог </w:t>
      </w:r>
      <w:r w:rsidRPr="00FF386D">
        <w:rPr>
          <w:rFonts w:asciiTheme="majorHAnsi" w:eastAsia="Times New Roman" w:hAnsiTheme="majorHAnsi" w:cstheme="majorHAnsi"/>
          <w:lang w:eastAsia="el-GR"/>
        </w:rPr>
        <w:t xml:space="preserve">безбедносног питања, </w:t>
      </w:r>
      <w:r w:rsidRPr="00FF386D">
        <w:rPr>
          <w:rFonts w:asciiTheme="majorHAnsi" w:eastAsia="Times New Roman" w:hAnsiTheme="majorHAnsi" w:cstheme="majorHAnsi"/>
          <w:b/>
          <w:bCs/>
          <w:lang w:eastAsia="el-GR"/>
        </w:rPr>
        <w:t xml:space="preserve">сајбер безбедност </w:t>
      </w:r>
      <w:r w:rsidRPr="00FF386D">
        <w:rPr>
          <w:rFonts w:asciiTheme="majorHAnsi" w:eastAsia="Times New Roman" w:hAnsiTheme="majorHAnsi" w:cstheme="majorHAnsi"/>
          <w:lang w:eastAsia="el-GR"/>
        </w:rPr>
        <w:t>се еф</w:t>
      </w:r>
      <w:r w:rsidR="002C5CB8" w:rsidRPr="00FF386D">
        <w:rPr>
          <w:rFonts w:asciiTheme="majorHAnsi" w:eastAsia="Times New Roman" w:hAnsiTheme="majorHAnsi" w:cstheme="majorHAnsi"/>
          <w:lang w:eastAsia="el-GR"/>
        </w:rPr>
        <w:t>ективно</w:t>
      </w:r>
      <w:r w:rsidRPr="00FF386D">
        <w:rPr>
          <w:rFonts w:asciiTheme="majorHAnsi" w:eastAsia="Times New Roman" w:hAnsiTheme="majorHAnsi" w:cstheme="majorHAnsi"/>
          <w:lang w:eastAsia="el-GR"/>
        </w:rPr>
        <w:t xml:space="preserve"> спроводи у енергетском сектору кроз концепт информационо-комуникационих (ИКТ) система од посебног значаја, дефинисан </w:t>
      </w:r>
      <w:r w:rsidRPr="00FF386D">
        <w:rPr>
          <w:rFonts w:asciiTheme="majorHAnsi" w:eastAsia="Times New Roman" w:hAnsiTheme="majorHAnsi" w:cstheme="majorHAnsi"/>
          <w:b/>
          <w:bCs/>
          <w:lang w:eastAsia="el-GR"/>
        </w:rPr>
        <w:t>Законом о информационој безбедности</w:t>
      </w:r>
      <w:r w:rsidRPr="00FF386D">
        <w:rPr>
          <w:rFonts w:asciiTheme="majorHAnsi" w:eastAsia="Times New Roman" w:hAnsiTheme="majorHAnsi" w:cstheme="majorHAnsi"/>
          <w:vertAlign w:val="superscript"/>
          <w:lang w:eastAsia="el-GR"/>
        </w:rPr>
        <w:footnoteReference w:id="80"/>
      </w:r>
      <w:r w:rsidR="00420ACC" w:rsidRPr="00FF386D">
        <w:rPr>
          <w:rFonts w:asciiTheme="majorHAnsi" w:eastAsia="Times New Roman" w:hAnsiTheme="majorHAnsi" w:cstheme="majorHAnsi"/>
          <w:lang w:eastAsia="el-GR"/>
        </w:rPr>
        <w:t xml:space="preserve"> и</w:t>
      </w:r>
      <w:r w:rsidRPr="00FF386D">
        <w:rPr>
          <w:rFonts w:asciiTheme="majorHAnsi" w:eastAsia="Times New Roman" w:hAnsiTheme="majorHAnsi" w:cstheme="majorHAnsi"/>
          <w:lang w:eastAsia="el-GR"/>
        </w:rPr>
        <w:t xml:space="preserve">з 2016. године, као свеобухватним правним и институционалним оквиром за сајбер безбедност. Уз овај закон, </w:t>
      </w:r>
      <w:r w:rsidRPr="00FF386D">
        <w:rPr>
          <w:rFonts w:asciiTheme="majorHAnsi" w:eastAsia="Times New Roman" w:hAnsiTheme="majorHAnsi" w:cstheme="majorHAnsi"/>
          <w:b/>
          <w:bCs/>
          <w:lang w:eastAsia="el-GR"/>
        </w:rPr>
        <w:t>Уредба о утврђивању Листе послова у областима у којима се обављају делатности од општег интереса и у којима се користе информационо-комуникациони системи од посебног значаја</w:t>
      </w:r>
      <w:r w:rsidRPr="00FF386D">
        <w:rPr>
          <w:rFonts w:asciiTheme="majorHAnsi" w:eastAsia="Times New Roman" w:hAnsiTheme="majorHAnsi" w:cstheme="majorHAnsi"/>
          <w:vertAlign w:val="superscript"/>
          <w:lang w:eastAsia="el-GR"/>
        </w:rPr>
        <w:footnoteReference w:id="81"/>
      </w:r>
      <w:r w:rsidR="00420ACC" w:rsidRPr="00FF386D">
        <w:rPr>
          <w:rFonts w:asciiTheme="majorHAnsi" w:eastAsia="Times New Roman" w:hAnsiTheme="majorHAnsi" w:cstheme="majorHAnsi"/>
          <w:b/>
          <w:bCs/>
          <w:lang w:eastAsia="el-GR"/>
        </w:rPr>
        <w:t xml:space="preserve"> </w:t>
      </w:r>
      <w:r w:rsidRPr="00FF386D">
        <w:rPr>
          <w:rFonts w:asciiTheme="majorHAnsi" w:eastAsia="Times New Roman" w:hAnsiTheme="majorHAnsi" w:cstheme="majorHAnsi"/>
          <w:lang w:eastAsia="el-GR"/>
        </w:rPr>
        <w:t>истиче енергетски сектор као јед</w:t>
      </w:r>
      <w:r w:rsidR="002C5CB8" w:rsidRPr="00FF386D">
        <w:rPr>
          <w:rFonts w:asciiTheme="majorHAnsi" w:eastAsia="Times New Roman" w:hAnsiTheme="majorHAnsi" w:cstheme="majorHAnsi"/>
          <w:lang w:eastAsia="el-GR"/>
        </w:rPr>
        <w:t>ну</w:t>
      </w:r>
      <w:r w:rsidRPr="00FF386D">
        <w:rPr>
          <w:rFonts w:asciiTheme="majorHAnsi" w:eastAsia="Times New Roman" w:hAnsiTheme="majorHAnsi" w:cstheme="majorHAnsi"/>
          <w:lang w:eastAsia="el-GR"/>
        </w:rPr>
        <w:t xml:space="preserve"> од кључних области и наводи </w:t>
      </w:r>
      <w:r w:rsidR="002C5CB8" w:rsidRPr="00FF386D">
        <w:rPr>
          <w:rFonts w:asciiTheme="majorHAnsi" w:eastAsia="Times New Roman" w:hAnsiTheme="majorHAnsi" w:cstheme="majorHAnsi"/>
          <w:lang w:eastAsia="el-GR"/>
        </w:rPr>
        <w:t>делатности</w:t>
      </w:r>
      <w:r w:rsidRPr="00FF386D">
        <w:rPr>
          <w:rFonts w:asciiTheme="majorHAnsi" w:eastAsia="Times New Roman" w:hAnsiTheme="majorHAnsi" w:cstheme="majorHAnsi"/>
          <w:lang w:eastAsia="el-GR"/>
        </w:rPr>
        <w:t xml:space="preserve"> као што су производња, пренос и дистрибуција електричне енергије; истраживање, експлоатација, прерада, транспорт и дистрибуција нафте и деривата</w:t>
      </w:r>
      <w:r w:rsidR="00420ACC" w:rsidRPr="00FF386D">
        <w:rPr>
          <w:rFonts w:asciiTheme="majorHAnsi" w:eastAsia="Times New Roman" w:hAnsiTheme="majorHAnsi" w:cstheme="majorHAnsi"/>
          <w:lang w:eastAsia="el-GR"/>
        </w:rPr>
        <w:t xml:space="preserve"> нафте</w:t>
      </w:r>
      <w:r w:rsidRPr="00FF386D">
        <w:rPr>
          <w:rFonts w:asciiTheme="majorHAnsi" w:eastAsia="Times New Roman" w:hAnsiTheme="majorHAnsi" w:cstheme="majorHAnsi"/>
          <w:lang w:eastAsia="el-GR"/>
        </w:rPr>
        <w:t xml:space="preserve">; истраживање, експлоатација, </w:t>
      </w:r>
      <w:r w:rsidR="002C5CB8" w:rsidRPr="00FF386D">
        <w:rPr>
          <w:rFonts w:asciiTheme="majorHAnsi" w:eastAsia="Times New Roman" w:hAnsiTheme="majorHAnsi" w:cstheme="majorHAnsi"/>
          <w:lang w:eastAsia="el-GR"/>
        </w:rPr>
        <w:t>прерада</w:t>
      </w:r>
      <w:r w:rsidRPr="00FF386D">
        <w:rPr>
          <w:rFonts w:asciiTheme="majorHAnsi" w:eastAsia="Times New Roman" w:hAnsiTheme="majorHAnsi" w:cstheme="majorHAnsi"/>
          <w:lang w:eastAsia="el-GR"/>
        </w:rPr>
        <w:t xml:space="preserve">, транспорт и дистрибуција природног гаса и течног гаса; производња и прерада угља. </w:t>
      </w:r>
      <w:r w:rsidRPr="00FF386D">
        <w:rPr>
          <w:rFonts w:asciiTheme="majorHAnsi" w:eastAsia="Times New Roman" w:hAnsiTheme="majorHAnsi" w:cstheme="majorHAnsi"/>
          <w:b/>
          <w:bCs/>
          <w:lang w:eastAsia="el-GR"/>
        </w:rPr>
        <w:t xml:space="preserve">Стратегија развоја информационе безбедности </w:t>
      </w:r>
      <w:r w:rsidR="009A4E89" w:rsidRPr="00FF386D">
        <w:rPr>
          <w:rFonts w:asciiTheme="majorHAnsi" w:eastAsia="Times New Roman" w:hAnsiTheme="majorHAnsi" w:cstheme="majorHAnsi"/>
          <w:b/>
          <w:bCs/>
          <w:lang w:eastAsia="el-GR"/>
        </w:rPr>
        <w:t xml:space="preserve">у Републици Србији </w:t>
      </w:r>
      <w:r w:rsidRPr="00FF386D">
        <w:rPr>
          <w:rFonts w:asciiTheme="majorHAnsi" w:eastAsia="Times New Roman" w:hAnsiTheme="majorHAnsi" w:cstheme="majorHAnsi"/>
          <w:b/>
          <w:bCs/>
          <w:lang w:eastAsia="el-GR"/>
        </w:rPr>
        <w:t xml:space="preserve">за период </w:t>
      </w:r>
      <w:r w:rsidR="009A4E89" w:rsidRPr="00FF386D">
        <w:rPr>
          <w:rFonts w:asciiTheme="majorHAnsi" w:eastAsia="Times New Roman" w:hAnsiTheme="majorHAnsi" w:cstheme="majorHAnsi"/>
          <w:b/>
          <w:bCs/>
          <w:lang w:eastAsia="el-GR"/>
        </w:rPr>
        <w:t xml:space="preserve">од </w:t>
      </w:r>
      <w:r w:rsidRPr="00FF386D">
        <w:rPr>
          <w:rFonts w:asciiTheme="majorHAnsi" w:eastAsia="Times New Roman" w:hAnsiTheme="majorHAnsi" w:cstheme="majorHAnsi"/>
          <w:b/>
          <w:bCs/>
          <w:lang w:eastAsia="el-GR"/>
        </w:rPr>
        <w:t>2017</w:t>
      </w:r>
      <w:r w:rsidR="009A4E89" w:rsidRPr="00FF386D">
        <w:rPr>
          <w:rFonts w:asciiTheme="majorHAnsi" w:eastAsia="Times New Roman" w:hAnsiTheme="majorHAnsi" w:cstheme="majorHAnsi"/>
          <w:b/>
          <w:bCs/>
          <w:lang w:eastAsia="el-GR"/>
        </w:rPr>
        <w:t xml:space="preserve">. до </w:t>
      </w:r>
      <w:r w:rsidRPr="00FF386D">
        <w:rPr>
          <w:rFonts w:asciiTheme="majorHAnsi" w:eastAsia="Times New Roman" w:hAnsiTheme="majorHAnsi" w:cstheme="majorHAnsi"/>
          <w:b/>
          <w:bCs/>
          <w:lang w:eastAsia="el-GR"/>
        </w:rPr>
        <w:t xml:space="preserve">2020. </w:t>
      </w:r>
      <w:r w:rsidR="00420ACC" w:rsidRPr="00FF386D">
        <w:rPr>
          <w:rFonts w:asciiTheme="majorHAnsi" w:eastAsia="Times New Roman" w:hAnsiTheme="majorHAnsi" w:cstheme="majorHAnsi"/>
          <w:b/>
          <w:bCs/>
          <w:lang w:eastAsia="el-GR"/>
        </w:rPr>
        <w:t>године</w:t>
      </w:r>
      <w:r w:rsidR="009A4E89" w:rsidRPr="000A2AFE">
        <w:rPr>
          <w:rStyle w:val="FootnoteReference"/>
          <w:rFonts w:asciiTheme="majorHAnsi" w:eastAsia="Times New Roman" w:hAnsiTheme="majorHAnsi" w:cstheme="majorHAnsi"/>
          <w:b/>
          <w:bCs/>
          <w:lang w:val="sr-Cyrl-RS" w:eastAsia="el-GR"/>
        </w:rPr>
        <w:footnoteReference w:id="82"/>
      </w:r>
      <w:r w:rsidR="00420ACC" w:rsidRPr="00FF386D">
        <w:rPr>
          <w:rFonts w:asciiTheme="majorHAnsi" w:eastAsia="Times New Roman" w:hAnsiTheme="majorHAnsi" w:cstheme="majorHAnsi"/>
          <w:b/>
          <w:bCs/>
          <w:lang w:eastAsia="el-GR"/>
        </w:rPr>
        <w:t xml:space="preserve"> </w:t>
      </w:r>
      <w:r w:rsidRPr="00FF386D">
        <w:rPr>
          <w:rFonts w:asciiTheme="majorHAnsi" w:eastAsia="Times New Roman" w:hAnsiTheme="majorHAnsi" w:cstheme="majorHAnsi"/>
          <w:lang w:eastAsia="el-GR"/>
        </w:rPr>
        <w:t xml:space="preserve">повезана </w:t>
      </w:r>
      <w:r w:rsidR="00420ACC" w:rsidRPr="00FF386D">
        <w:rPr>
          <w:rFonts w:asciiTheme="majorHAnsi" w:eastAsia="Times New Roman" w:hAnsiTheme="majorHAnsi" w:cstheme="majorHAnsi"/>
          <w:lang w:eastAsia="el-GR"/>
        </w:rPr>
        <w:t xml:space="preserve">је </w:t>
      </w:r>
      <w:r w:rsidRPr="00FF386D">
        <w:rPr>
          <w:rFonts w:asciiTheme="majorHAnsi" w:eastAsia="Times New Roman" w:hAnsiTheme="majorHAnsi" w:cstheme="majorHAnsi"/>
          <w:lang w:eastAsia="el-GR"/>
        </w:rPr>
        <w:t>са спровођењем Директиве 2016/1148/ЕЗ (НИС директива) и уводи принципе и дефинише циљеве у оквиру безбедности ИКТ система од посебног значаја, као и борбу против сајбер криминала, али у Стратегији нису идентификоване политике конкретно везане само за енергетику.</w:t>
      </w:r>
    </w:p>
    <w:p w14:paraId="0EE6C1BF" w14:textId="1D0D34DD"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Процена ризика је дефинисана у Закону о безбедности информација и </w:t>
      </w:r>
      <w:r w:rsidRPr="00FF386D">
        <w:rPr>
          <w:rFonts w:asciiTheme="majorHAnsi" w:eastAsia="Times New Roman" w:hAnsiTheme="majorHAnsi" w:cstheme="majorHAnsi"/>
          <w:b/>
          <w:bCs/>
          <w:lang w:eastAsia="el-GR"/>
        </w:rPr>
        <w:t xml:space="preserve">Уредби о ближем садржају </w:t>
      </w:r>
      <w:r w:rsidR="00E30304" w:rsidRPr="00FF386D">
        <w:rPr>
          <w:rFonts w:asciiTheme="majorHAnsi" w:eastAsia="Times New Roman" w:hAnsiTheme="majorHAnsi" w:cstheme="majorHAnsi"/>
          <w:b/>
          <w:bCs/>
          <w:lang w:eastAsia="el-GR"/>
        </w:rPr>
        <w:t xml:space="preserve">акта о </w:t>
      </w:r>
      <w:r w:rsidRPr="00FF386D">
        <w:rPr>
          <w:rFonts w:asciiTheme="majorHAnsi" w:eastAsia="Times New Roman" w:hAnsiTheme="majorHAnsi" w:cstheme="majorHAnsi"/>
          <w:b/>
          <w:bCs/>
          <w:lang w:eastAsia="el-GR"/>
        </w:rPr>
        <w:t xml:space="preserve">безбедности </w:t>
      </w:r>
      <w:r w:rsidR="00E30304" w:rsidRPr="00FF386D">
        <w:rPr>
          <w:rFonts w:asciiTheme="majorHAnsi" w:eastAsia="Times New Roman" w:hAnsiTheme="majorHAnsi" w:cstheme="majorHAnsi"/>
          <w:b/>
          <w:bCs/>
          <w:lang w:eastAsia="el-GR"/>
        </w:rPr>
        <w:t xml:space="preserve">информационо-комуникационих система </w:t>
      </w:r>
      <w:r w:rsidRPr="00FF386D">
        <w:rPr>
          <w:rFonts w:asciiTheme="majorHAnsi" w:eastAsia="Times New Roman" w:hAnsiTheme="majorHAnsi" w:cstheme="majorHAnsi"/>
          <w:b/>
          <w:bCs/>
          <w:lang w:eastAsia="el-GR"/>
        </w:rPr>
        <w:t>од посебног значаја</w:t>
      </w:r>
      <w:r w:rsidRPr="00FF386D">
        <w:rPr>
          <w:rFonts w:asciiTheme="majorHAnsi" w:eastAsia="Times New Roman" w:hAnsiTheme="majorHAnsi" w:cstheme="majorHAnsi"/>
          <w:b/>
          <w:bCs/>
          <w:vertAlign w:val="superscript"/>
          <w:lang w:eastAsia="el-GR"/>
        </w:rPr>
        <w:footnoteReference w:id="83"/>
      </w:r>
      <w:r w:rsidRPr="00FF386D">
        <w:rPr>
          <w:rFonts w:asciiTheme="majorHAnsi" w:eastAsia="Times New Roman" w:hAnsiTheme="majorHAnsi" w:cstheme="majorHAnsi"/>
          <w:b/>
          <w:bCs/>
          <w:lang w:eastAsia="el-GR"/>
        </w:rPr>
        <w:t xml:space="preserve">. </w:t>
      </w:r>
      <w:r w:rsidRPr="00FF386D">
        <w:rPr>
          <w:rFonts w:asciiTheme="majorHAnsi" w:eastAsia="Times New Roman" w:hAnsiTheme="majorHAnsi" w:cstheme="majorHAnsi"/>
          <w:lang w:eastAsia="el-GR"/>
        </w:rPr>
        <w:t xml:space="preserve">Њу спроводи </w:t>
      </w:r>
      <w:r w:rsidRPr="00FF386D">
        <w:rPr>
          <w:rFonts w:asciiTheme="majorHAnsi" w:eastAsia="Times New Roman" w:hAnsiTheme="majorHAnsi" w:cstheme="majorHAnsi"/>
          <w:b/>
          <w:bCs/>
          <w:lang w:eastAsia="el-GR"/>
        </w:rPr>
        <w:t xml:space="preserve">национални </w:t>
      </w:r>
      <w:r w:rsidR="00E30304" w:rsidRPr="00FF386D">
        <w:rPr>
          <w:rFonts w:asciiTheme="majorHAnsi" w:eastAsia="Times New Roman" w:hAnsiTheme="majorHAnsi" w:cstheme="majorHAnsi"/>
          <w:b/>
          <w:bCs/>
          <w:lang w:eastAsia="el-GR"/>
        </w:rPr>
        <w:t>центар</w:t>
      </w:r>
      <w:r w:rsidRPr="00FF386D">
        <w:rPr>
          <w:rFonts w:asciiTheme="majorHAnsi" w:eastAsia="Times New Roman" w:hAnsiTheme="majorHAnsi" w:cstheme="majorHAnsi"/>
          <w:b/>
          <w:bCs/>
          <w:lang w:eastAsia="el-GR"/>
        </w:rPr>
        <w:t xml:space="preserve"> за</w:t>
      </w:r>
      <w:r w:rsidR="00E30304" w:rsidRPr="00FF386D">
        <w:rPr>
          <w:rFonts w:asciiTheme="majorHAnsi" w:eastAsia="Times New Roman" w:hAnsiTheme="majorHAnsi" w:cstheme="majorHAnsi"/>
          <w:b/>
          <w:bCs/>
          <w:lang w:eastAsia="el-GR"/>
        </w:rPr>
        <w:t xml:space="preserve"> превенцију безбедносних ризика у ИКТ системима</w:t>
      </w:r>
      <w:r w:rsidRPr="00FF386D">
        <w:rPr>
          <w:rFonts w:asciiTheme="majorHAnsi" w:eastAsia="Times New Roman" w:hAnsiTheme="majorHAnsi" w:cstheme="majorHAnsi"/>
          <w:b/>
          <w:bCs/>
          <w:lang w:eastAsia="el-GR"/>
        </w:rPr>
        <w:t xml:space="preserve"> (СРБ-ЦЕРТ)</w:t>
      </w:r>
      <w:r w:rsidRPr="00FF386D">
        <w:rPr>
          <w:rFonts w:asciiTheme="majorHAnsi" w:eastAsia="Times New Roman" w:hAnsiTheme="majorHAnsi" w:cstheme="majorHAnsi"/>
          <w:lang w:eastAsia="el-GR"/>
        </w:rPr>
        <w:t>, надлежан за енергетски сектор, који ради у оквиру Регулаторне агенције за електронске комуникације и поштанске услуге</w:t>
      </w:r>
      <w:r w:rsidR="003E31FD" w:rsidRPr="00FF386D">
        <w:rPr>
          <w:rFonts w:asciiTheme="majorHAnsi" w:eastAsia="Times New Roman" w:hAnsiTheme="majorHAnsi" w:cstheme="majorHAnsi"/>
          <w:lang w:eastAsia="el-GR"/>
        </w:rPr>
        <w:t>.</w:t>
      </w:r>
      <w:r w:rsidRPr="00FF386D">
        <w:rPr>
          <w:rFonts w:asciiTheme="majorHAnsi" w:eastAsia="Times New Roman" w:hAnsiTheme="majorHAnsi" w:cstheme="majorHAnsi"/>
          <w:lang w:eastAsia="el-GR"/>
        </w:rPr>
        <w:t xml:space="preserve"> Један од главних недостатака у процени ризика представља изостављање прекограничне компоненте.</w:t>
      </w:r>
    </w:p>
    <w:p w14:paraId="45A3848B" w14:textId="0B2FCA3B" w:rsidR="00EB3C75"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Од 2019. године, Одсек за информациону безбедност и електронско пословање у оквиру Сектора за информационо друштво и информациону безбедност Министарства трговине, туризма и телекомуникација врши годишњу инспекцију и надзор над информационим и комуникационим технологијама (ИКТ). У 2020. години спроведена је инспекција и надзор над компанијама ЕМС, Србијагас и НИС, док ће током 2021. године бити потребно да се изврши инспекција Јавног комуналног предузећа Београдске електране (2021 К1), Транспортгас (2021 К3) и </w:t>
      </w:r>
      <w:r w:rsidR="003E31FD" w:rsidRPr="00FF386D">
        <w:rPr>
          <w:rFonts w:asciiTheme="majorHAnsi" w:eastAsia="Times New Roman" w:hAnsiTheme="majorHAnsi" w:cstheme="majorHAnsi"/>
          <w:lang w:eastAsia="el-GR"/>
        </w:rPr>
        <w:t>Електрод</w:t>
      </w:r>
      <w:r w:rsidRPr="00FF386D">
        <w:rPr>
          <w:rFonts w:asciiTheme="majorHAnsi" w:eastAsia="Times New Roman" w:hAnsiTheme="majorHAnsi" w:cstheme="majorHAnsi"/>
          <w:lang w:eastAsia="el-GR"/>
        </w:rPr>
        <w:t>истрибуција</w:t>
      </w:r>
      <w:r w:rsidR="003E31FD" w:rsidRPr="00FF386D">
        <w:rPr>
          <w:rFonts w:asciiTheme="majorHAnsi" w:eastAsia="Times New Roman" w:hAnsiTheme="majorHAnsi" w:cstheme="majorHAnsi"/>
          <w:lang w:eastAsia="el-GR"/>
        </w:rPr>
        <w:t xml:space="preserve"> Србије</w:t>
      </w:r>
      <w:r w:rsidRPr="00FF386D">
        <w:rPr>
          <w:rFonts w:asciiTheme="majorHAnsi" w:eastAsia="Times New Roman" w:hAnsiTheme="majorHAnsi" w:cstheme="majorHAnsi"/>
          <w:lang w:eastAsia="el-GR"/>
        </w:rPr>
        <w:t xml:space="preserve"> 2021(К4).</w:t>
      </w:r>
    </w:p>
    <w:p w14:paraId="7361B8AF" w14:textId="4371D1B3" w:rsidR="00562812" w:rsidRPr="00FF386D" w:rsidRDefault="00562812" w:rsidP="00EB3C75">
      <w:pPr>
        <w:spacing w:before="120" w:after="120" w:line="240" w:lineRule="auto"/>
        <w:jc w:val="both"/>
        <w:rPr>
          <w:rFonts w:asciiTheme="majorHAnsi" w:eastAsia="Times New Roman" w:hAnsiTheme="majorHAnsi" w:cstheme="majorHAnsi"/>
          <w:lang w:eastAsia="el-GR"/>
        </w:rPr>
      </w:pPr>
      <w:r>
        <w:rPr>
          <w:rFonts w:asciiTheme="majorHAnsi" w:eastAsia="Times New Roman" w:hAnsiTheme="majorHAnsi" w:cstheme="majorHAnsi"/>
          <w:lang w:eastAsia="el-GR"/>
        </w:rPr>
        <w:t xml:space="preserve">У Србији је на снази Закон о </w:t>
      </w:r>
      <w:r w:rsidRPr="00562812">
        <w:rPr>
          <w:rFonts w:asciiTheme="majorHAnsi" w:eastAsia="Times New Roman" w:hAnsiTheme="majorHAnsi" w:cstheme="majorHAnsi"/>
          <w:lang w:eastAsia="el-GR"/>
        </w:rPr>
        <w:t>забрани изградње нуклеарних електрана у Савезној Републици Југославији</w:t>
      </w:r>
      <w:r>
        <w:rPr>
          <w:rStyle w:val="FootnoteReference"/>
          <w:rFonts w:asciiTheme="majorHAnsi" w:eastAsia="Times New Roman" w:hAnsiTheme="majorHAnsi" w:cstheme="majorHAnsi"/>
          <w:lang w:eastAsia="el-GR"/>
        </w:rPr>
        <w:footnoteReference w:id="84"/>
      </w:r>
      <w:r>
        <w:rPr>
          <w:rFonts w:asciiTheme="majorHAnsi" w:eastAsia="Times New Roman" w:hAnsiTheme="majorHAnsi" w:cstheme="majorHAnsi"/>
          <w:lang w:eastAsia="el-GR"/>
        </w:rPr>
        <w:t xml:space="preserve">, који забрањује </w:t>
      </w:r>
      <w:r w:rsidRPr="00562812">
        <w:rPr>
          <w:rFonts w:asciiTheme="majorHAnsi" w:eastAsia="Times New Roman" w:hAnsiTheme="majorHAnsi" w:cstheme="majorHAnsi"/>
          <w:lang w:eastAsia="el-GR"/>
        </w:rPr>
        <w:t>доношење инвестиционих одлука, израду инвестиционих програма и техничке документације за изградњу нуклеарних електрана, постројења за производњу нуклеарног горива и постројења за прераду ислуженог горива за нуклеарне електране.</w:t>
      </w:r>
      <w:r>
        <w:rPr>
          <w:rFonts w:asciiTheme="majorHAnsi" w:eastAsia="Times New Roman" w:hAnsiTheme="majorHAnsi" w:cstheme="majorHAnsi"/>
          <w:lang w:eastAsia="el-GR"/>
        </w:rPr>
        <w:t xml:space="preserve"> Одредбе закона не </w:t>
      </w:r>
      <w:r>
        <w:rPr>
          <w:rFonts w:asciiTheme="majorHAnsi" w:eastAsia="Times New Roman" w:hAnsiTheme="majorHAnsi" w:cstheme="majorHAnsi"/>
          <w:lang w:eastAsia="el-GR"/>
        </w:rPr>
        <w:lastRenderedPageBreak/>
        <w:t xml:space="preserve">забрањују </w:t>
      </w:r>
      <w:r w:rsidRPr="00562812">
        <w:rPr>
          <w:rFonts w:asciiTheme="majorHAnsi" w:eastAsia="Times New Roman" w:hAnsiTheme="majorHAnsi" w:cstheme="majorHAnsi"/>
          <w:lang w:eastAsia="el-GR"/>
        </w:rPr>
        <w:t>научноистраживачке и истраживачко-развојне радове, рударско-геолошке истражне радове, геолошко-сеизмичка истраживања и образовање кадрова</w:t>
      </w:r>
      <w:r>
        <w:rPr>
          <w:rFonts w:asciiTheme="majorHAnsi" w:eastAsia="Times New Roman" w:hAnsiTheme="majorHAnsi" w:cstheme="majorHAnsi"/>
          <w:lang w:eastAsia="el-GR"/>
        </w:rPr>
        <w:t xml:space="preserve"> у области развоја нуклеарне енергије</w:t>
      </w:r>
      <w:r w:rsidRPr="00562812">
        <w:rPr>
          <w:rFonts w:asciiTheme="majorHAnsi" w:eastAsia="Times New Roman" w:hAnsiTheme="majorHAnsi" w:cstheme="majorHAnsi"/>
          <w:lang w:eastAsia="el-GR"/>
        </w:rPr>
        <w:t>.</w:t>
      </w:r>
    </w:p>
    <w:p w14:paraId="2D209F44" w14:textId="77777777" w:rsidR="00EB3C75" w:rsidRPr="00FF386D" w:rsidRDefault="00EB3C75" w:rsidP="00EB3C75">
      <w:pPr>
        <w:spacing w:before="120" w:after="120" w:line="240" w:lineRule="auto"/>
        <w:jc w:val="both"/>
        <w:rPr>
          <w:rFonts w:asciiTheme="majorHAnsi" w:eastAsia="Times New Roman" w:hAnsiTheme="majorHAnsi" w:cstheme="majorHAnsi"/>
          <w:b/>
          <w:bCs/>
          <w:lang w:eastAsia="el-GR"/>
        </w:rPr>
      </w:pPr>
      <w:r w:rsidRPr="00FF386D">
        <w:rPr>
          <w:rFonts w:asciiTheme="majorHAnsi" w:eastAsia="Times New Roman" w:hAnsiTheme="majorHAnsi" w:cstheme="majorHAnsi"/>
          <w:b/>
          <w:bCs/>
          <w:lang w:eastAsia="el-GR"/>
        </w:rPr>
        <w:t>Истраживање, иновације и конкурентност</w:t>
      </w:r>
    </w:p>
    <w:p w14:paraId="578AB437" w14:textId="336EBAFD"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Стратешки и законодавни оквир Републике Србије у области</w:t>
      </w:r>
      <w:r w:rsidR="00E30304" w:rsidRPr="00FF386D">
        <w:rPr>
          <w:rFonts w:asciiTheme="majorHAnsi" w:eastAsia="Times New Roman" w:hAnsiTheme="majorHAnsi" w:cstheme="majorHAnsi"/>
          <w:lang w:eastAsia="el-GR"/>
        </w:rPr>
        <w:t>ма</w:t>
      </w:r>
      <w:r w:rsidRPr="00FF386D">
        <w:rPr>
          <w:rFonts w:asciiTheme="majorHAnsi" w:eastAsia="Times New Roman" w:hAnsiTheme="majorHAnsi" w:cstheme="majorHAnsi"/>
          <w:lang w:eastAsia="el-GR"/>
        </w:rPr>
        <w:t xml:space="preserve"> науке, истраживања и иновација </w:t>
      </w:r>
      <w:r w:rsidR="002C5CB8" w:rsidRPr="00FF386D">
        <w:rPr>
          <w:rFonts w:asciiTheme="majorHAnsi" w:eastAsia="Times New Roman" w:hAnsiTheme="majorHAnsi" w:cstheme="majorHAnsi"/>
          <w:lang w:eastAsia="el-GR"/>
        </w:rPr>
        <w:t>је усклађен</w:t>
      </w:r>
      <w:r w:rsidR="00C84AE3"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lang w:eastAsia="el-GR"/>
        </w:rPr>
        <w:t xml:space="preserve">са правним тековинама ЕУ. Србија је 2016. године отворила </w:t>
      </w:r>
      <w:r w:rsidRPr="00FF386D">
        <w:rPr>
          <w:rFonts w:asciiTheme="majorHAnsi" w:eastAsia="Times New Roman" w:hAnsiTheme="majorHAnsi" w:cstheme="majorHAnsi"/>
          <w:b/>
          <w:bCs/>
          <w:lang w:eastAsia="el-GR"/>
        </w:rPr>
        <w:t>Преговарачко поглавље 25: Наука и истраживање</w:t>
      </w:r>
      <w:r w:rsidRPr="00FF386D">
        <w:rPr>
          <w:rFonts w:asciiTheme="majorHAnsi" w:eastAsia="Times New Roman" w:hAnsiTheme="majorHAnsi" w:cstheme="majorHAnsi"/>
          <w:lang w:eastAsia="el-GR"/>
        </w:rPr>
        <w:t xml:space="preserve"> у оквиру претприступног преговарачког процеса са Европском унијом, а затим га привремено затворила, </w:t>
      </w:r>
      <w:r w:rsidR="00C84AE3" w:rsidRPr="00FF386D">
        <w:rPr>
          <w:rFonts w:asciiTheme="majorHAnsi" w:eastAsia="Times New Roman" w:hAnsiTheme="majorHAnsi" w:cstheme="majorHAnsi"/>
          <w:lang w:eastAsia="el-GR"/>
        </w:rPr>
        <w:t xml:space="preserve">па је </w:t>
      </w:r>
      <w:r w:rsidRPr="00FF386D">
        <w:rPr>
          <w:rFonts w:asciiTheme="majorHAnsi" w:eastAsia="Times New Roman" w:hAnsiTheme="majorHAnsi" w:cstheme="majorHAnsi"/>
          <w:lang w:eastAsia="el-GR"/>
        </w:rPr>
        <w:t xml:space="preserve">тако ово поглавље постало прво поглавље које је Србија успешно закључила у преговорима са ЕУ. Исте године усвојена је </w:t>
      </w:r>
      <w:r w:rsidRPr="00FF386D">
        <w:rPr>
          <w:rFonts w:asciiTheme="majorHAnsi" w:eastAsia="Times New Roman" w:hAnsiTheme="majorHAnsi" w:cstheme="majorHAnsi"/>
          <w:b/>
          <w:bCs/>
          <w:lang w:eastAsia="el-GR"/>
        </w:rPr>
        <w:t>Стратегија научног и технолошког развоја Републике Србије за период од 2016. до 2020. године – „Истраживањ</w:t>
      </w:r>
      <w:r w:rsidR="00E30304" w:rsidRPr="00FF386D">
        <w:rPr>
          <w:rFonts w:asciiTheme="majorHAnsi" w:eastAsia="Times New Roman" w:hAnsiTheme="majorHAnsi" w:cstheme="majorHAnsi"/>
          <w:b/>
          <w:bCs/>
          <w:lang w:eastAsia="el-GR"/>
        </w:rPr>
        <w:t>а</w:t>
      </w:r>
      <w:r w:rsidRPr="00FF386D">
        <w:rPr>
          <w:rFonts w:asciiTheme="majorHAnsi" w:eastAsia="Times New Roman" w:hAnsiTheme="majorHAnsi" w:cstheme="majorHAnsi"/>
          <w:b/>
          <w:bCs/>
          <w:lang w:eastAsia="el-GR"/>
        </w:rPr>
        <w:t xml:space="preserve"> за иновације“</w:t>
      </w:r>
      <w:r w:rsidRPr="00FF386D">
        <w:rPr>
          <w:rFonts w:asciiTheme="majorHAnsi" w:eastAsia="Times New Roman" w:hAnsiTheme="majorHAnsi" w:cstheme="majorHAnsi"/>
          <w:b/>
          <w:bCs/>
          <w:vertAlign w:val="superscript"/>
          <w:lang w:eastAsia="el-GR"/>
        </w:rPr>
        <w:footnoteReference w:id="85"/>
      </w:r>
      <w:r w:rsidRPr="00FF386D">
        <w:rPr>
          <w:rFonts w:asciiTheme="majorHAnsi" w:eastAsia="Times New Roman" w:hAnsiTheme="majorHAnsi" w:cstheme="majorHAnsi"/>
          <w:lang w:eastAsia="el-GR"/>
        </w:rPr>
        <w:t xml:space="preserve">. Такође, процес развоја </w:t>
      </w:r>
      <w:r w:rsidRPr="00FF386D">
        <w:rPr>
          <w:rFonts w:asciiTheme="majorHAnsi" w:eastAsia="Times New Roman" w:hAnsiTheme="majorHAnsi" w:cstheme="majorHAnsi"/>
          <w:b/>
          <w:bCs/>
          <w:lang w:eastAsia="el-GR"/>
        </w:rPr>
        <w:t>Стратегије паметне специјализације Србије (4С)</w:t>
      </w:r>
      <w:r w:rsidRPr="00FF386D">
        <w:rPr>
          <w:rFonts w:asciiTheme="majorHAnsi" w:eastAsia="Times New Roman" w:hAnsiTheme="majorHAnsi" w:cstheme="majorHAnsi"/>
          <w:lang w:eastAsia="el-GR"/>
        </w:rPr>
        <w:t xml:space="preserve"> званично су покренули крајем 2016. године Министарство просвете, науке и технолошког развоја и </w:t>
      </w:r>
      <w:r w:rsidR="00E30304" w:rsidRPr="00FF386D">
        <w:rPr>
          <w:rFonts w:asciiTheme="majorHAnsi" w:eastAsia="Times New Roman" w:hAnsiTheme="majorHAnsi" w:cstheme="majorHAnsi"/>
          <w:lang w:eastAsia="el-GR"/>
        </w:rPr>
        <w:t>Републички с</w:t>
      </w:r>
      <w:r w:rsidRPr="00FF386D">
        <w:rPr>
          <w:rFonts w:asciiTheme="majorHAnsi" w:eastAsia="Times New Roman" w:hAnsiTheme="majorHAnsi" w:cstheme="majorHAnsi"/>
          <w:lang w:eastAsia="el-GR"/>
        </w:rPr>
        <w:t xml:space="preserve">екретаријат за јавне политике, као почетни трансформативни корак. Србија је тако постала прва земља која није чланица ЕУ а која се придружила </w:t>
      </w:r>
      <w:r w:rsidRPr="00FF386D">
        <w:rPr>
          <w:rFonts w:asciiTheme="majorHAnsi" w:eastAsia="Times New Roman" w:hAnsiTheme="majorHAnsi" w:cstheme="majorHAnsi"/>
          <w:b/>
          <w:bCs/>
          <w:lang w:eastAsia="el-GR"/>
        </w:rPr>
        <w:t xml:space="preserve">Платформи земаља и региона </w:t>
      </w:r>
      <w:r w:rsidRPr="00FF386D">
        <w:rPr>
          <w:rFonts w:asciiTheme="majorHAnsi" w:eastAsia="Times New Roman" w:hAnsiTheme="majorHAnsi" w:cstheme="majorHAnsi"/>
          <w:lang w:eastAsia="el-GR"/>
        </w:rPr>
        <w:t xml:space="preserve">обухваћеној у Стратегији паметне специјализације и коначно, Србија је применила нову парадигму иновационе политике и приступ развоју паметне специјализације усвајањем </w:t>
      </w:r>
      <w:r w:rsidRPr="00FF386D">
        <w:rPr>
          <w:rFonts w:asciiTheme="majorHAnsi" w:eastAsia="Times New Roman" w:hAnsiTheme="majorHAnsi" w:cstheme="majorHAnsi"/>
          <w:b/>
          <w:bCs/>
          <w:lang w:eastAsia="el-GR"/>
        </w:rPr>
        <w:t>Стратегије паметне специјализације Србије (4С) за период 2020. до 2027</w:t>
      </w:r>
      <w:r w:rsidRPr="00FF386D">
        <w:rPr>
          <w:rFonts w:asciiTheme="majorHAnsi" w:eastAsia="Times New Roman" w:hAnsiTheme="majorHAnsi" w:cstheme="majorHAnsi"/>
          <w:b/>
          <w:bCs/>
          <w:vertAlign w:val="superscript"/>
          <w:lang w:eastAsia="el-GR"/>
        </w:rPr>
        <w:footnoteReference w:id="86"/>
      </w:r>
      <w:r w:rsidR="00C84AE3" w:rsidRPr="00FF386D">
        <w:rPr>
          <w:rFonts w:asciiTheme="majorHAnsi" w:eastAsia="Times New Roman" w:hAnsiTheme="majorHAnsi" w:cstheme="majorHAnsi"/>
          <w:lang w:eastAsia="el-GR"/>
        </w:rPr>
        <w:t xml:space="preserve"> у</w:t>
      </w:r>
      <w:r w:rsidRPr="00FF386D">
        <w:rPr>
          <w:rFonts w:asciiTheme="majorHAnsi" w:eastAsia="Times New Roman" w:hAnsiTheme="majorHAnsi" w:cstheme="majorHAnsi"/>
          <w:lang w:eastAsia="el-GR"/>
        </w:rPr>
        <w:t xml:space="preserve"> 2020. години.</w:t>
      </w:r>
    </w:p>
    <w:p w14:paraId="7F308AE0" w14:textId="0907B2B9"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Општа визија овог стратешког документа је да се пружи подршка развоју паметне и креативне Републике Србије, високо конкурентне у свету, препознат</w:t>
      </w:r>
      <w:r w:rsidR="002C5CB8" w:rsidRPr="00FF386D">
        <w:rPr>
          <w:rFonts w:asciiTheme="majorHAnsi" w:eastAsia="Times New Roman" w:hAnsiTheme="majorHAnsi" w:cstheme="majorHAnsi"/>
          <w:lang w:eastAsia="el-GR"/>
        </w:rPr>
        <w:t>љиве</w:t>
      </w:r>
      <w:r w:rsidRPr="00FF386D">
        <w:rPr>
          <w:rFonts w:asciiTheme="majorHAnsi" w:eastAsia="Times New Roman" w:hAnsiTheme="majorHAnsi" w:cstheme="majorHAnsi"/>
          <w:lang w:eastAsia="el-GR"/>
        </w:rPr>
        <w:t xml:space="preserve"> по иновацијама заснованим на знању, партнерствима из домаћег екосистема и креативности појединаца у областима одрживе висок</w:t>
      </w:r>
      <w:r w:rsidR="00E30304" w:rsidRPr="00FF386D">
        <w:rPr>
          <w:rFonts w:asciiTheme="majorHAnsi" w:eastAsia="Times New Roman" w:hAnsiTheme="majorHAnsi" w:cstheme="majorHAnsi"/>
          <w:lang w:eastAsia="el-GR"/>
        </w:rPr>
        <w:t>о технолошке</w:t>
      </w:r>
      <w:r w:rsidRPr="00FF386D">
        <w:rPr>
          <w:rFonts w:asciiTheme="majorHAnsi" w:eastAsia="Times New Roman" w:hAnsiTheme="majorHAnsi" w:cstheme="majorHAnsi"/>
          <w:lang w:eastAsia="el-GR"/>
        </w:rPr>
        <w:t xml:space="preserve"> производње хране високе додатне вредности за будућност, софистицираних софтверских решења за глобално тржиште и међусекторски</w:t>
      </w:r>
      <w:r w:rsidR="00E30304" w:rsidRPr="00FF386D">
        <w:rPr>
          <w:rFonts w:asciiTheme="majorHAnsi" w:eastAsia="Times New Roman" w:hAnsiTheme="majorHAnsi" w:cstheme="majorHAnsi"/>
          <w:lang w:eastAsia="el-GR"/>
        </w:rPr>
        <w:t xml:space="preserve"> утемељених</w:t>
      </w:r>
      <w:r w:rsidRPr="00FF386D">
        <w:rPr>
          <w:rFonts w:asciiTheme="majorHAnsi" w:eastAsia="Times New Roman" w:hAnsiTheme="majorHAnsi" w:cstheme="majorHAnsi"/>
          <w:lang w:eastAsia="el-GR"/>
        </w:rPr>
        <w:t xml:space="preserve"> индустријских иновација. Општа визија значи да ће од 2027. године </w:t>
      </w:r>
      <w:r w:rsidR="00E30304" w:rsidRPr="00FF386D">
        <w:rPr>
          <w:rFonts w:asciiTheme="majorHAnsi" w:eastAsia="Times New Roman" w:hAnsiTheme="majorHAnsi" w:cstheme="majorHAnsi"/>
          <w:lang w:eastAsia="el-GR"/>
        </w:rPr>
        <w:t>српска економија</w:t>
      </w:r>
      <w:r w:rsidR="00C84AE3"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lang w:eastAsia="el-GR"/>
        </w:rPr>
        <w:t>бити у великој мери заснована на знању и иновацијама и обухватиће и подржати кључне приоритетне стратешке области ради остварења веће конкурентности и бољих позиција у глобалним ланцима снабдевања. Дакле, кључни стубови ове стратегије су наука, конкурентност, образовање, комуникација и дигитализација и пољопривреда.</w:t>
      </w:r>
    </w:p>
    <w:p w14:paraId="044CBEF8" w14:textId="07601D21"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У периоду од усвајања стратегије под називом „Истраживање за иновације“ спроведен је низ предвиђених мера, попут усвајања </w:t>
      </w:r>
      <w:r w:rsidRPr="00FF386D">
        <w:rPr>
          <w:rFonts w:asciiTheme="majorHAnsi" w:eastAsia="Times New Roman" w:hAnsiTheme="majorHAnsi" w:cstheme="majorHAnsi"/>
          <w:b/>
          <w:bCs/>
          <w:lang w:eastAsia="el-GR"/>
        </w:rPr>
        <w:t>Закона о Фонду за науку</w:t>
      </w:r>
      <w:r w:rsidRPr="00FF386D">
        <w:rPr>
          <w:rFonts w:asciiTheme="majorHAnsi" w:eastAsia="Times New Roman" w:hAnsiTheme="majorHAnsi" w:cstheme="majorHAnsi"/>
          <w:b/>
          <w:bCs/>
          <w:vertAlign w:val="superscript"/>
          <w:lang w:eastAsia="el-GR"/>
        </w:rPr>
        <w:footnoteReference w:id="87"/>
      </w:r>
      <w:r w:rsidRPr="00FF386D">
        <w:rPr>
          <w:rFonts w:asciiTheme="majorHAnsi" w:eastAsia="Times New Roman" w:hAnsiTheme="majorHAnsi" w:cstheme="majorHAnsi"/>
          <w:bCs/>
          <w:lang w:eastAsia="el-GR"/>
        </w:rPr>
        <w:t xml:space="preserve"> 2018. године </w:t>
      </w:r>
      <w:r w:rsidRPr="00FF386D">
        <w:rPr>
          <w:rFonts w:asciiTheme="majorHAnsi" w:eastAsia="Times New Roman" w:hAnsiTheme="majorHAnsi" w:cstheme="majorHAnsi"/>
          <w:b/>
          <w:bCs/>
          <w:lang w:eastAsia="el-GR"/>
        </w:rPr>
        <w:t>и Закона о науци и истраживањима</w:t>
      </w:r>
      <w:r w:rsidRPr="00FF386D">
        <w:rPr>
          <w:rFonts w:asciiTheme="majorHAnsi" w:eastAsia="Times New Roman" w:hAnsiTheme="majorHAnsi" w:cstheme="majorHAnsi"/>
          <w:b/>
          <w:bCs/>
          <w:vertAlign w:val="superscript"/>
          <w:lang w:eastAsia="el-GR"/>
        </w:rPr>
        <w:footnoteReference w:id="88"/>
      </w:r>
      <w:r w:rsidRPr="00FF386D">
        <w:rPr>
          <w:rFonts w:asciiTheme="majorHAnsi" w:eastAsia="Times New Roman" w:hAnsiTheme="majorHAnsi" w:cstheme="majorHAnsi"/>
          <w:b/>
          <w:bCs/>
          <w:lang w:eastAsia="el-GR"/>
        </w:rPr>
        <w:t xml:space="preserve"> </w:t>
      </w:r>
      <w:r w:rsidRPr="00FF386D">
        <w:rPr>
          <w:rFonts w:asciiTheme="majorHAnsi" w:eastAsia="Times New Roman" w:hAnsiTheme="majorHAnsi" w:cstheme="majorHAnsi"/>
          <w:lang w:eastAsia="el-GR"/>
        </w:rPr>
        <w:t xml:space="preserve">2019. године, што су били кључни кораци у реформи система организације и финансирања науке. Ти закони су омогућили имплементацију новог модела финансирања истраживачких активности </w:t>
      </w:r>
      <w:r w:rsidR="00C84AE3" w:rsidRPr="00FF386D">
        <w:rPr>
          <w:rFonts w:asciiTheme="majorHAnsi" w:eastAsia="Times New Roman" w:hAnsiTheme="majorHAnsi" w:cstheme="majorHAnsi"/>
          <w:lang w:eastAsia="el-GR"/>
        </w:rPr>
        <w:t>путем</w:t>
      </w:r>
      <w:r w:rsidRPr="00FF386D">
        <w:rPr>
          <w:rFonts w:asciiTheme="majorHAnsi" w:eastAsia="Times New Roman" w:hAnsiTheme="majorHAnsi" w:cstheme="majorHAnsi"/>
          <w:lang w:eastAsia="el-GR"/>
        </w:rPr>
        <w:t xml:space="preserve"> институционално</w:t>
      </w:r>
      <w:r w:rsidR="00C84AE3" w:rsidRPr="00FF386D">
        <w:rPr>
          <w:rFonts w:asciiTheme="majorHAnsi" w:eastAsia="Times New Roman" w:hAnsiTheme="majorHAnsi" w:cstheme="majorHAnsi"/>
          <w:lang w:eastAsia="el-GR"/>
        </w:rPr>
        <w:t>г</w:t>
      </w:r>
      <w:r w:rsidRPr="00FF386D">
        <w:rPr>
          <w:rFonts w:asciiTheme="majorHAnsi" w:eastAsia="Times New Roman" w:hAnsiTheme="majorHAnsi" w:cstheme="majorHAnsi"/>
          <w:lang w:eastAsia="el-GR"/>
        </w:rPr>
        <w:t xml:space="preserve"> и конкурентно</w:t>
      </w:r>
      <w:r w:rsidR="00C84AE3" w:rsidRPr="00FF386D">
        <w:rPr>
          <w:rFonts w:asciiTheme="majorHAnsi" w:eastAsia="Times New Roman" w:hAnsiTheme="majorHAnsi" w:cstheme="majorHAnsi"/>
          <w:lang w:eastAsia="el-GR"/>
        </w:rPr>
        <w:t>г</w:t>
      </w:r>
      <w:r w:rsidRPr="00FF386D">
        <w:rPr>
          <w:rFonts w:asciiTheme="majorHAnsi" w:eastAsia="Times New Roman" w:hAnsiTheme="majorHAnsi" w:cstheme="majorHAnsi"/>
          <w:lang w:eastAsia="el-GR"/>
        </w:rPr>
        <w:t xml:space="preserve"> финансирањ</w:t>
      </w:r>
      <w:r w:rsidR="00C84AE3" w:rsidRPr="00FF386D">
        <w:rPr>
          <w:rFonts w:asciiTheme="majorHAnsi" w:eastAsia="Times New Roman" w:hAnsiTheme="majorHAnsi" w:cstheme="majorHAnsi"/>
          <w:lang w:eastAsia="el-GR"/>
        </w:rPr>
        <w:t>а</w:t>
      </w:r>
      <w:r w:rsidRPr="00FF386D">
        <w:rPr>
          <w:rFonts w:asciiTheme="majorHAnsi" w:eastAsia="Times New Roman" w:hAnsiTheme="majorHAnsi" w:cstheme="majorHAnsi"/>
          <w:lang w:eastAsia="el-GR"/>
        </w:rPr>
        <w:t xml:space="preserve"> пројеката. О</w:t>
      </w:r>
      <w:r w:rsidR="00C84AE3" w:rsidRPr="00FF386D">
        <w:rPr>
          <w:rFonts w:asciiTheme="majorHAnsi" w:eastAsia="Times New Roman" w:hAnsiTheme="majorHAnsi" w:cstheme="majorHAnsi"/>
          <w:lang w:eastAsia="el-GR"/>
        </w:rPr>
        <w:t>бразовањем</w:t>
      </w:r>
      <w:r w:rsidRPr="00FF386D">
        <w:rPr>
          <w:rFonts w:asciiTheme="majorHAnsi" w:eastAsia="Times New Roman" w:hAnsiTheme="majorHAnsi" w:cstheme="majorHAnsi"/>
          <w:lang w:eastAsia="el-GR"/>
        </w:rPr>
        <w:t xml:space="preserve"> и радом </w:t>
      </w:r>
      <w:r w:rsidRPr="00FF386D">
        <w:rPr>
          <w:rFonts w:asciiTheme="majorHAnsi" w:eastAsia="Times New Roman" w:hAnsiTheme="majorHAnsi" w:cstheme="majorHAnsi"/>
          <w:b/>
          <w:bCs/>
          <w:lang w:eastAsia="el-GR"/>
        </w:rPr>
        <w:t>Фонда за науку Републике Србије</w:t>
      </w:r>
      <w:r w:rsidRPr="00FF386D">
        <w:rPr>
          <w:rFonts w:asciiTheme="majorHAnsi" w:eastAsia="Times New Roman" w:hAnsiTheme="majorHAnsi" w:cstheme="majorHAnsi"/>
          <w:lang w:eastAsia="el-GR"/>
        </w:rPr>
        <w:t xml:space="preserve"> уређује се и побољшава област подршке научним истраживањима, док институционална подршка Владе кроз </w:t>
      </w:r>
      <w:r w:rsidRPr="00FF386D">
        <w:rPr>
          <w:rFonts w:asciiTheme="majorHAnsi" w:eastAsia="Times New Roman" w:hAnsiTheme="majorHAnsi" w:cstheme="majorHAnsi"/>
          <w:b/>
          <w:bCs/>
          <w:lang w:eastAsia="el-GR"/>
        </w:rPr>
        <w:t xml:space="preserve">Фонд за иновације </w:t>
      </w:r>
      <w:r w:rsidRPr="00FF386D">
        <w:rPr>
          <w:rFonts w:asciiTheme="majorHAnsi" w:eastAsia="Times New Roman" w:hAnsiTheme="majorHAnsi" w:cstheme="majorHAnsi"/>
          <w:lang w:eastAsia="el-GR"/>
        </w:rPr>
        <w:t>има за циљ да омогући сарадњу између инвеститора и међународних донатора, како би се обезбедила већа средства, подстакла универзитетско-пословна сарадња ради превођења научних достигнућа у реалну економију, и охрабрила мала и средња предузећа која се баве иновационим активностима.</w:t>
      </w:r>
    </w:p>
    <w:p w14:paraId="0F46F2DC" w14:textId="0D4A3E21"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Након тога, Министарство просвете, науке и технолошког развоја је израдило </w:t>
      </w:r>
      <w:r w:rsidRPr="00FF386D">
        <w:rPr>
          <w:rFonts w:asciiTheme="majorHAnsi" w:eastAsia="Times New Roman" w:hAnsiTheme="majorHAnsi" w:cstheme="majorHAnsi"/>
          <w:b/>
          <w:bCs/>
          <w:lang w:eastAsia="el-GR"/>
        </w:rPr>
        <w:t xml:space="preserve">Стратегију научног и технолошког развоја </w:t>
      </w:r>
      <w:r w:rsidR="002F4C4C" w:rsidRPr="00FF386D">
        <w:rPr>
          <w:rFonts w:asciiTheme="majorHAnsi" w:eastAsia="Times New Roman" w:hAnsiTheme="majorHAnsi" w:cstheme="majorHAnsi"/>
          <w:b/>
          <w:bCs/>
          <w:lang w:eastAsia="el-GR"/>
        </w:rPr>
        <w:t xml:space="preserve">Републике </w:t>
      </w:r>
      <w:r w:rsidRPr="00FF386D">
        <w:rPr>
          <w:rFonts w:asciiTheme="majorHAnsi" w:eastAsia="Times New Roman" w:hAnsiTheme="majorHAnsi" w:cstheme="majorHAnsi"/>
          <w:b/>
          <w:bCs/>
          <w:lang w:eastAsia="el-GR"/>
        </w:rPr>
        <w:t xml:space="preserve">Србије </w:t>
      </w:r>
      <w:r w:rsidR="002F4C4C" w:rsidRPr="00FF386D">
        <w:rPr>
          <w:rFonts w:asciiTheme="majorHAnsi" w:eastAsia="Times New Roman" w:hAnsiTheme="majorHAnsi" w:cstheme="majorHAnsi"/>
          <w:b/>
          <w:bCs/>
          <w:lang w:eastAsia="el-GR"/>
        </w:rPr>
        <w:t xml:space="preserve">за период </w:t>
      </w:r>
      <w:r w:rsidRPr="00FF386D">
        <w:rPr>
          <w:rFonts w:asciiTheme="majorHAnsi" w:eastAsia="Times New Roman" w:hAnsiTheme="majorHAnsi" w:cstheme="majorHAnsi"/>
          <w:b/>
          <w:bCs/>
          <w:lang w:eastAsia="el-GR"/>
        </w:rPr>
        <w:t>од 2021. до 2025</w:t>
      </w:r>
      <w:r w:rsidR="00C84AE3" w:rsidRPr="00FF386D">
        <w:rPr>
          <w:rFonts w:asciiTheme="majorHAnsi" w:eastAsia="Times New Roman" w:hAnsiTheme="majorHAnsi" w:cstheme="majorHAnsi"/>
          <w:b/>
          <w:bCs/>
          <w:lang w:eastAsia="el-GR"/>
        </w:rPr>
        <w:t>. године</w:t>
      </w:r>
      <w:r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b/>
          <w:bCs/>
          <w:lang w:eastAsia="el-GR"/>
        </w:rPr>
        <w:t>„Моћ знања“</w:t>
      </w:r>
      <w:r w:rsidRPr="00FF386D">
        <w:rPr>
          <w:rFonts w:asciiTheme="majorHAnsi" w:eastAsia="Times New Roman" w:hAnsiTheme="majorHAnsi" w:cstheme="majorHAnsi"/>
          <w:b/>
          <w:bCs/>
          <w:vertAlign w:val="superscript"/>
          <w:lang w:eastAsia="el-GR"/>
        </w:rPr>
        <w:footnoteReference w:id="89"/>
      </w:r>
      <w:r w:rsidRPr="00FF386D">
        <w:rPr>
          <w:rFonts w:asciiTheme="majorHAnsi" w:eastAsia="Times New Roman" w:hAnsiTheme="majorHAnsi" w:cstheme="majorHAnsi"/>
          <w:lang w:eastAsia="el-GR"/>
        </w:rPr>
        <w:t xml:space="preserve">, која је усвојена 2021. </w:t>
      </w:r>
      <w:r w:rsidR="00E30304" w:rsidRPr="00FF386D">
        <w:rPr>
          <w:rFonts w:asciiTheme="majorHAnsi" w:eastAsia="Times New Roman" w:hAnsiTheme="majorHAnsi" w:cstheme="majorHAnsi"/>
          <w:lang w:eastAsia="el-GR"/>
        </w:rPr>
        <w:t xml:space="preserve">године. </w:t>
      </w:r>
      <w:r w:rsidRPr="00FF386D">
        <w:rPr>
          <w:rFonts w:asciiTheme="majorHAnsi" w:eastAsia="Times New Roman" w:hAnsiTheme="majorHAnsi" w:cstheme="majorHAnsi"/>
          <w:lang w:eastAsia="el-GR"/>
        </w:rPr>
        <w:t xml:space="preserve">Саставни део ове стратегије је трогодишњи </w:t>
      </w:r>
      <w:r w:rsidRPr="00FF386D">
        <w:rPr>
          <w:rFonts w:asciiTheme="majorHAnsi" w:eastAsia="Times New Roman" w:hAnsiTheme="majorHAnsi" w:cstheme="majorHAnsi"/>
          <w:b/>
          <w:bCs/>
          <w:lang w:eastAsia="el-GR"/>
        </w:rPr>
        <w:t>Акцион</w:t>
      </w:r>
      <w:r w:rsidR="000A6729" w:rsidRPr="00FF386D">
        <w:rPr>
          <w:rFonts w:asciiTheme="majorHAnsi" w:eastAsia="Times New Roman" w:hAnsiTheme="majorHAnsi" w:cstheme="majorHAnsi"/>
          <w:b/>
          <w:bCs/>
          <w:lang w:eastAsia="el-GR"/>
        </w:rPr>
        <w:t xml:space="preserve">и </w:t>
      </w:r>
      <w:r w:rsidRPr="00FF386D">
        <w:rPr>
          <w:rFonts w:asciiTheme="majorHAnsi" w:eastAsia="Times New Roman" w:hAnsiTheme="majorHAnsi" w:cstheme="majorHAnsi"/>
          <w:b/>
          <w:bCs/>
          <w:lang w:eastAsia="el-GR"/>
        </w:rPr>
        <w:t xml:space="preserve">план за </w:t>
      </w:r>
      <w:r w:rsidR="000A6729" w:rsidRPr="00FF386D">
        <w:rPr>
          <w:rFonts w:asciiTheme="majorHAnsi" w:eastAsia="Times New Roman" w:hAnsiTheme="majorHAnsi" w:cstheme="majorHAnsi"/>
          <w:b/>
          <w:bCs/>
          <w:lang w:eastAsia="el-GR"/>
        </w:rPr>
        <w:t xml:space="preserve">период </w:t>
      </w:r>
      <w:r w:rsidRPr="00FF386D">
        <w:rPr>
          <w:rFonts w:asciiTheme="majorHAnsi" w:eastAsia="Times New Roman" w:hAnsiTheme="majorHAnsi" w:cstheme="majorHAnsi"/>
          <w:b/>
          <w:bCs/>
          <w:lang w:eastAsia="el-GR"/>
        </w:rPr>
        <w:t>2021-2023</w:t>
      </w:r>
      <w:r w:rsidRPr="00FF386D">
        <w:rPr>
          <w:rFonts w:asciiTheme="majorHAnsi" w:eastAsia="Times New Roman" w:hAnsiTheme="majorHAnsi" w:cstheme="majorHAnsi"/>
          <w:lang w:eastAsia="el-GR"/>
        </w:rPr>
        <w:t>.</w:t>
      </w:r>
      <w:r w:rsidR="000A6729" w:rsidRPr="00FF386D">
        <w:rPr>
          <w:rFonts w:asciiTheme="majorHAnsi" w:eastAsia="Times New Roman" w:hAnsiTheme="majorHAnsi" w:cstheme="majorHAnsi"/>
          <w:lang w:eastAsia="el-GR"/>
        </w:rPr>
        <w:t xml:space="preserve"> године.</w:t>
      </w:r>
      <w:r w:rsidRPr="00FF386D">
        <w:rPr>
          <w:rFonts w:asciiTheme="majorHAnsi" w:eastAsia="Times New Roman" w:hAnsiTheme="majorHAnsi" w:cstheme="majorHAnsi"/>
          <w:lang w:eastAsia="el-GR"/>
        </w:rPr>
        <w:t xml:space="preserve"> Стратегија има за циљ да омогући убрза</w:t>
      </w:r>
      <w:r w:rsidR="000A6729" w:rsidRPr="00FF386D">
        <w:rPr>
          <w:rFonts w:asciiTheme="majorHAnsi" w:eastAsia="Times New Roman" w:hAnsiTheme="majorHAnsi" w:cstheme="majorHAnsi"/>
          <w:lang w:eastAsia="el-GR"/>
        </w:rPr>
        <w:t>ни</w:t>
      </w:r>
      <w:r w:rsidRPr="00FF386D">
        <w:rPr>
          <w:rFonts w:asciiTheme="majorHAnsi" w:eastAsia="Times New Roman" w:hAnsiTheme="majorHAnsi" w:cstheme="majorHAnsi"/>
          <w:lang w:eastAsia="el-GR"/>
        </w:rPr>
        <w:t xml:space="preserve"> развоја Србије и интеграцију земље у европски истраживачки простор кроз унапређење научно-технолошког и иновационог система. </w:t>
      </w:r>
      <w:r w:rsidRPr="00FF386D">
        <w:rPr>
          <w:rFonts w:asciiTheme="majorHAnsi" w:eastAsia="Times New Roman" w:hAnsiTheme="majorHAnsi" w:cstheme="majorHAnsi"/>
          <w:b/>
          <w:bCs/>
          <w:lang w:eastAsia="el-GR"/>
        </w:rPr>
        <w:t xml:space="preserve">Стратегија индустријске политике од 2021. до 2030. </w:t>
      </w:r>
      <w:r w:rsidR="00C84AE3" w:rsidRPr="00FF386D">
        <w:rPr>
          <w:rFonts w:asciiTheme="majorHAnsi" w:eastAsia="Times New Roman" w:hAnsiTheme="majorHAnsi" w:cstheme="majorHAnsi"/>
          <w:b/>
          <w:bCs/>
          <w:lang w:eastAsia="el-GR"/>
        </w:rPr>
        <w:t xml:space="preserve">године, </w:t>
      </w:r>
      <w:r w:rsidRPr="00FF386D">
        <w:rPr>
          <w:rFonts w:asciiTheme="majorHAnsi" w:eastAsia="Times New Roman" w:hAnsiTheme="majorHAnsi" w:cstheme="majorHAnsi"/>
          <w:lang w:eastAsia="el-GR"/>
        </w:rPr>
        <w:t xml:space="preserve">која је заменила претходну </w:t>
      </w:r>
      <w:r w:rsidRPr="00FF386D">
        <w:rPr>
          <w:rFonts w:asciiTheme="majorHAnsi" w:eastAsia="Times New Roman" w:hAnsiTheme="majorHAnsi" w:cstheme="majorHAnsi"/>
          <w:b/>
          <w:bCs/>
          <w:lang w:eastAsia="el-GR"/>
        </w:rPr>
        <w:t xml:space="preserve">Стратегију развоја индустрије </w:t>
      </w:r>
      <w:r w:rsidRPr="00FF386D">
        <w:rPr>
          <w:rFonts w:asciiTheme="majorHAnsi" w:eastAsia="Times New Roman" w:hAnsiTheme="majorHAnsi" w:cstheme="majorHAnsi"/>
          <w:lang w:eastAsia="el-GR"/>
        </w:rPr>
        <w:t>изузетно је релевантна за 4С, а општи циљ нове стратегије је подизање конкурентности индустрије Републике Србије са фокусом на развој оријентисан ка индустрији, који подразумева напредну производњу и услуге са високом додатом вредношћу.</w:t>
      </w:r>
    </w:p>
    <w:p w14:paraId="2FDF8F54" w14:textId="743E21DF" w:rsidR="00EB3C75" w:rsidRPr="00FF386D" w:rsidRDefault="00E30304"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lastRenderedPageBreak/>
        <w:t>Када је реч о</w:t>
      </w:r>
      <w:r w:rsidR="00EB3C75" w:rsidRPr="00FF386D">
        <w:rPr>
          <w:rFonts w:asciiTheme="majorHAnsi" w:eastAsia="Times New Roman" w:hAnsiTheme="majorHAnsi" w:cstheme="majorHAnsi"/>
          <w:lang w:eastAsia="el-GR"/>
        </w:rPr>
        <w:t xml:space="preserve"> националн</w:t>
      </w:r>
      <w:r w:rsidRPr="00FF386D">
        <w:rPr>
          <w:rFonts w:asciiTheme="majorHAnsi" w:eastAsia="Times New Roman" w:hAnsiTheme="majorHAnsi" w:cstheme="majorHAnsi"/>
          <w:lang w:eastAsia="el-GR"/>
        </w:rPr>
        <w:t>им</w:t>
      </w:r>
      <w:r w:rsidR="00EB3C75" w:rsidRPr="00FF386D">
        <w:rPr>
          <w:rFonts w:asciiTheme="majorHAnsi" w:eastAsia="Times New Roman" w:hAnsiTheme="majorHAnsi" w:cstheme="majorHAnsi"/>
          <w:lang w:eastAsia="el-GR"/>
        </w:rPr>
        <w:t xml:space="preserve"> капацитет</w:t>
      </w:r>
      <w:r w:rsidRPr="00FF386D">
        <w:rPr>
          <w:rFonts w:asciiTheme="majorHAnsi" w:eastAsia="Times New Roman" w:hAnsiTheme="majorHAnsi" w:cstheme="majorHAnsi"/>
          <w:lang w:eastAsia="el-GR"/>
        </w:rPr>
        <w:t>има</w:t>
      </w:r>
      <w:r w:rsidR="00EB3C75" w:rsidRPr="00FF386D">
        <w:rPr>
          <w:rFonts w:asciiTheme="majorHAnsi" w:eastAsia="Times New Roman" w:hAnsiTheme="majorHAnsi" w:cstheme="majorHAnsi"/>
          <w:lang w:eastAsia="el-GR"/>
        </w:rPr>
        <w:t xml:space="preserve"> и тренутно</w:t>
      </w:r>
      <w:r w:rsidRPr="00FF386D">
        <w:rPr>
          <w:rFonts w:asciiTheme="majorHAnsi" w:eastAsia="Times New Roman" w:hAnsiTheme="majorHAnsi" w:cstheme="majorHAnsi"/>
          <w:lang w:eastAsia="el-GR"/>
        </w:rPr>
        <w:t>м</w:t>
      </w:r>
      <w:r w:rsidR="00EB3C75" w:rsidRPr="00FF386D">
        <w:rPr>
          <w:rFonts w:asciiTheme="majorHAnsi" w:eastAsia="Times New Roman" w:hAnsiTheme="majorHAnsi" w:cstheme="majorHAnsi"/>
          <w:lang w:eastAsia="el-GR"/>
        </w:rPr>
        <w:t xml:space="preserve"> стањ</w:t>
      </w:r>
      <w:r w:rsidRPr="00FF386D">
        <w:rPr>
          <w:rFonts w:asciiTheme="majorHAnsi" w:eastAsia="Times New Roman" w:hAnsiTheme="majorHAnsi" w:cstheme="majorHAnsi"/>
          <w:lang w:eastAsia="el-GR"/>
        </w:rPr>
        <w:t>у</w:t>
      </w:r>
      <w:r w:rsidR="00EB3C75" w:rsidRPr="00FF386D">
        <w:rPr>
          <w:rFonts w:asciiTheme="majorHAnsi" w:eastAsia="Times New Roman" w:hAnsiTheme="majorHAnsi" w:cstheme="majorHAnsi"/>
          <w:lang w:eastAsia="el-GR"/>
        </w:rPr>
        <w:t xml:space="preserve"> развоја, Република Србија има око 2.000 истраживача на милион становника, што је више него у осталим </w:t>
      </w:r>
      <w:r w:rsidR="000E6E77" w:rsidRPr="00FF386D">
        <w:rPr>
          <w:rFonts w:asciiTheme="majorHAnsi" w:eastAsia="Times New Roman" w:hAnsiTheme="majorHAnsi" w:cstheme="majorHAnsi"/>
          <w:lang w:eastAsia="el-GR"/>
        </w:rPr>
        <w:t xml:space="preserve">државама региона </w:t>
      </w:r>
      <w:r w:rsidR="00EB3C75" w:rsidRPr="00FF386D">
        <w:rPr>
          <w:rFonts w:asciiTheme="majorHAnsi" w:eastAsia="Times New Roman" w:hAnsiTheme="majorHAnsi" w:cstheme="majorHAnsi"/>
          <w:lang w:eastAsia="el-GR"/>
        </w:rPr>
        <w:t xml:space="preserve">Западног Балкана, али мање него у развијенијим земљама ЕУ из региона. Званично </w:t>
      </w:r>
      <w:r w:rsidR="004D6EB0" w:rsidRPr="00FF386D">
        <w:rPr>
          <w:rFonts w:asciiTheme="majorHAnsi" w:eastAsia="Times New Roman" w:hAnsiTheme="majorHAnsi" w:cstheme="majorHAnsi"/>
          <w:lang w:eastAsia="el-GR"/>
        </w:rPr>
        <w:t>има</w:t>
      </w:r>
      <w:r w:rsidR="00EB3C75" w:rsidRPr="00FF386D">
        <w:rPr>
          <w:rFonts w:asciiTheme="majorHAnsi" w:eastAsia="Times New Roman" w:hAnsiTheme="majorHAnsi" w:cstheme="majorHAnsi"/>
          <w:lang w:eastAsia="el-GR"/>
        </w:rPr>
        <w:t xml:space="preserve"> око 15.000 истраживача</w:t>
      </w:r>
      <w:r w:rsidR="00C84AE3" w:rsidRPr="00FF386D">
        <w:rPr>
          <w:rFonts w:asciiTheme="majorHAnsi" w:eastAsia="Times New Roman" w:hAnsiTheme="majorHAnsi" w:cstheme="majorHAnsi"/>
          <w:lang w:eastAsia="el-GR"/>
        </w:rPr>
        <w:t>, а</w:t>
      </w:r>
      <w:r w:rsidR="00EB3C75" w:rsidRPr="00FF386D">
        <w:rPr>
          <w:rFonts w:asciiTheme="majorHAnsi" w:eastAsia="Times New Roman" w:hAnsiTheme="majorHAnsi" w:cstheme="majorHAnsi"/>
          <w:lang w:eastAsia="el-GR"/>
        </w:rPr>
        <w:t xml:space="preserve"> овај број се стално повећава. С обзиром на то да је највећи број истраживача</w:t>
      </w:r>
      <w:r w:rsidR="000A6729" w:rsidRPr="00FF386D">
        <w:rPr>
          <w:rFonts w:asciiTheme="majorHAnsi" w:eastAsia="Times New Roman" w:hAnsiTheme="majorHAnsi" w:cstheme="majorHAnsi"/>
          <w:lang w:eastAsia="el-GR"/>
        </w:rPr>
        <w:t xml:space="preserve"> присутан</w:t>
      </w:r>
      <w:r w:rsidR="00EB3C75" w:rsidRPr="00FF386D">
        <w:rPr>
          <w:rFonts w:asciiTheme="majorHAnsi" w:eastAsia="Times New Roman" w:hAnsiTheme="majorHAnsi" w:cstheme="majorHAnsi"/>
          <w:lang w:eastAsia="el-GR"/>
        </w:rPr>
        <w:t xml:space="preserve"> у јавном сектору, попут високошколских установа и института, број истраживача стагнира од 2016. године, а забележен је чак и благи пад.</w:t>
      </w:r>
    </w:p>
    <w:p w14:paraId="2E8A6634" w14:textId="268720D6"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Више од половине пословних субјеката у Србији окарактерисано је као иновативно са значајним трендом повећања броја иновативних предузећа у последњих неколико година. Предузећа, с друге стране, улажу врло мало у истраживање и развој, док су иновације генерално инкременталне природе с врло мало предузећа која су направила радикалне иновације и развила светски производ. Оваква ситуација у пословном сектору огледа се и у релативно малом броју патената у односу на друге земље. У сваком случају, од 2012. године постоји тренд раста броја иноватора међу пословним субјектима. Највећи удео пословања иноватора је у сектору информација и комуникација и п</w:t>
      </w:r>
      <w:r w:rsidR="004D6EB0" w:rsidRPr="00FF386D">
        <w:rPr>
          <w:rFonts w:asciiTheme="majorHAnsi" w:eastAsia="Times New Roman" w:hAnsiTheme="majorHAnsi" w:cstheme="majorHAnsi"/>
          <w:lang w:eastAsia="el-GR"/>
        </w:rPr>
        <w:t>роизвођачкој</w:t>
      </w:r>
      <w:r w:rsidRPr="00FF386D">
        <w:rPr>
          <w:rFonts w:asciiTheme="majorHAnsi" w:eastAsia="Times New Roman" w:hAnsiTheme="majorHAnsi" w:cstheme="majorHAnsi"/>
          <w:lang w:eastAsia="el-GR"/>
        </w:rPr>
        <w:t xml:space="preserve"> индустрији, док је у случају енергетског сектора удео пословања иноватора био већи од 42% у периоду 2012-2018. </w:t>
      </w:r>
      <w:r w:rsidR="00C84AE3" w:rsidRPr="00FF386D">
        <w:rPr>
          <w:rFonts w:asciiTheme="majorHAnsi" w:eastAsia="Times New Roman" w:hAnsiTheme="majorHAnsi" w:cstheme="majorHAnsi"/>
          <w:lang w:eastAsia="el-GR"/>
        </w:rPr>
        <w:t xml:space="preserve">године. </w:t>
      </w:r>
      <w:r w:rsidRPr="00FF386D">
        <w:rPr>
          <w:rFonts w:asciiTheme="majorHAnsi" w:eastAsia="Times New Roman" w:hAnsiTheme="majorHAnsi" w:cstheme="majorHAnsi"/>
          <w:lang w:eastAsia="el-GR"/>
        </w:rPr>
        <w:t>С друге стране, број пријава патената је на ниском нивоу, али је број одобрених патената домаћих проналазача у иностранству, на основу међународних и/или европских пријава патената, порастао у последњих неколико година.</w:t>
      </w:r>
    </w:p>
    <w:p w14:paraId="0E7FA6D2" w14:textId="6B4EB681"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У 2015. години, </w:t>
      </w:r>
      <w:r w:rsidR="000A6729" w:rsidRPr="00FF386D">
        <w:rPr>
          <w:rFonts w:asciiTheme="majorHAnsi" w:eastAsia="Times New Roman" w:hAnsiTheme="majorHAnsi" w:cstheme="majorHAnsi"/>
          <w:lang w:eastAsia="el-GR"/>
        </w:rPr>
        <w:t xml:space="preserve">на основу </w:t>
      </w:r>
      <w:r w:rsidRPr="00FF386D">
        <w:rPr>
          <w:rFonts w:asciiTheme="majorHAnsi" w:eastAsia="Times New Roman" w:hAnsiTheme="majorHAnsi" w:cstheme="majorHAnsi"/>
          <w:lang w:eastAsia="el-GR"/>
        </w:rPr>
        <w:t>партнерств</w:t>
      </w:r>
      <w:r w:rsidR="000A6729" w:rsidRPr="00FF386D">
        <w:rPr>
          <w:rFonts w:asciiTheme="majorHAnsi" w:eastAsia="Times New Roman" w:hAnsiTheme="majorHAnsi" w:cstheme="majorHAnsi"/>
          <w:lang w:eastAsia="el-GR"/>
        </w:rPr>
        <w:t>а</w:t>
      </w:r>
      <w:r w:rsidRPr="00FF386D">
        <w:rPr>
          <w:rFonts w:asciiTheme="majorHAnsi" w:eastAsia="Times New Roman" w:hAnsiTheme="majorHAnsi" w:cstheme="majorHAnsi"/>
          <w:lang w:eastAsia="el-GR"/>
        </w:rPr>
        <w:t xml:space="preserve"> Владе, Града Београда и Универзитета у Београду основ</w:t>
      </w:r>
      <w:r w:rsidR="000A6729" w:rsidRPr="00FF386D">
        <w:rPr>
          <w:rFonts w:asciiTheme="majorHAnsi" w:eastAsia="Times New Roman" w:hAnsiTheme="majorHAnsi" w:cstheme="majorHAnsi"/>
          <w:lang w:eastAsia="el-GR"/>
        </w:rPr>
        <w:t>ан</w:t>
      </w:r>
      <w:r w:rsidRPr="00FF386D">
        <w:rPr>
          <w:rFonts w:asciiTheme="majorHAnsi" w:eastAsia="Times New Roman" w:hAnsiTheme="majorHAnsi" w:cstheme="majorHAnsi"/>
          <w:lang w:eastAsia="el-GR"/>
        </w:rPr>
        <w:t xml:space="preserve"> је први </w:t>
      </w:r>
      <w:r w:rsidRPr="00FF386D">
        <w:rPr>
          <w:rFonts w:asciiTheme="majorHAnsi" w:eastAsia="Times New Roman" w:hAnsiTheme="majorHAnsi" w:cstheme="majorHAnsi"/>
          <w:b/>
          <w:bCs/>
          <w:lang w:eastAsia="el-GR"/>
        </w:rPr>
        <w:t xml:space="preserve">Научно-технолошки парк, </w:t>
      </w:r>
      <w:r w:rsidRPr="00FF386D">
        <w:rPr>
          <w:rFonts w:asciiTheme="majorHAnsi" w:eastAsia="Times New Roman" w:hAnsiTheme="majorHAnsi" w:cstheme="majorHAnsi"/>
          <w:bCs/>
          <w:lang w:eastAsia="el-GR"/>
        </w:rPr>
        <w:t>који се налази у Београду</w:t>
      </w:r>
      <w:r w:rsidRPr="00FF386D">
        <w:rPr>
          <w:rFonts w:asciiTheme="majorHAnsi" w:eastAsia="Times New Roman" w:hAnsiTheme="majorHAnsi" w:cstheme="majorHAnsi"/>
          <w:lang w:eastAsia="el-GR"/>
        </w:rPr>
        <w:t>, као мер</w:t>
      </w:r>
      <w:r w:rsidR="008E7A4A">
        <w:rPr>
          <w:rFonts w:asciiTheme="majorHAnsi" w:eastAsia="Times New Roman" w:hAnsiTheme="majorHAnsi" w:cstheme="majorHAnsi"/>
          <w:lang w:val="sr-Latn-RS" w:eastAsia="el-GR"/>
        </w:rPr>
        <w:t>a</w:t>
      </w:r>
      <w:r w:rsidRPr="00FF386D">
        <w:rPr>
          <w:rFonts w:asciiTheme="majorHAnsi" w:eastAsia="Times New Roman" w:hAnsiTheme="majorHAnsi" w:cstheme="majorHAnsi"/>
          <w:lang w:eastAsia="el-GR"/>
        </w:rPr>
        <w:t xml:space="preserve"> за подстицање научног и иновацијског развоја. Изграђени су додатни научно-технолошки паркови у још три града – Нишу, Новом Саду и Чачку. У циљу спровођења позитивних промена у европској научној заједници, у Србији је 2018. године усвојена </w:t>
      </w:r>
      <w:r w:rsidRPr="00FF386D">
        <w:rPr>
          <w:rFonts w:asciiTheme="majorHAnsi" w:eastAsia="Times New Roman" w:hAnsiTheme="majorHAnsi" w:cstheme="majorHAnsi"/>
          <w:b/>
          <w:bCs/>
          <w:lang w:eastAsia="el-GR"/>
        </w:rPr>
        <w:t>Платформа за отворену науку</w:t>
      </w:r>
      <w:r w:rsidRPr="00FF386D">
        <w:rPr>
          <w:rFonts w:asciiTheme="majorHAnsi" w:eastAsia="Times New Roman" w:hAnsiTheme="majorHAnsi" w:cstheme="majorHAnsi"/>
          <w:lang w:eastAsia="el-GR"/>
        </w:rPr>
        <w:t xml:space="preserve">. На националном нивоу у области енергетике и климе, у оквиру </w:t>
      </w:r>
      <w:r w:rsidRPr="00FF386D">
        <w:rPr>
          <w:rFonts w:asciiTheme="majorHAnsi" w:eastAsia="Times New Roman" w:hAnsiTheme="majorHAnsi" w:cstheme="majorHAnsi"/>
          <w:b/>
          <w:bCs/>
          <w:lang w:eastAsia="el-GR"/>
        </w:rPr>
        <w:t xml:space="preserve">Сектора за технолошки развој, трансфер технологија и иновациони систем </w:t>
      </w:r>
      <w:r w:rsidRPr="00FF386D">
        <w:rPr>
          <w:rFonts w:asciiTheme="majorHAnsi" w:eastAsia="Times New Roman" w:hAnsiTheme="majorHAnsi" w:cstheme="majorHAnsi"/>
          <w:lang w:eastAsia="el-GR"/>
        </w:rPr>
        <w:t xml:space="preserve">Министарства просвете, науке и технолошког развоја, постоји </w:t>
      </w:r>
      <w:r w:rsidRPr="00FF386D">
        <w:rPr>
          <w:rFonts w:asciiTheme="majorHAnsi" w:eastAsia="Times New Roman" w:hAnsiTheme="majorHAnsi" w:cstheme="majorHAnsi"/>
          <w:b/>
          <w:bCs/>
          <w:lang w:eastAsia="el-GR"/>
        </w:rPr>
        <w:t>област Енергетика, рударство и енергетска ефикасност</w:t>
      </w:r>
      <w:r w:rsidRPr="00FF386D">
        <w:rPr>
          <w:rFonts w:asciiTheme="majorHAnsi" w:eastAsia="Times New Roman" w:hAnsiTheme="majorHAnsi" w:cstheme="majorHAnsi"/>
          <w:lang w:eastAsia="el-GR"/>
        </w:rPr>
        <w:t xml:space="preserve"> као једн</w:t>
      </w:r>
      <w:r w:rsidR="000A6729" w:rsidRPr="00FF386D">
        <w:rPr>
          <w:rFonts w:asciiTheme="majorHAnsi" w:eastAsia="Times New Roman" w:hAnsiTheme="majorHAnsi" w:cstheme="majorHAnsi"/>
          <w:lang w:eastAsia="el-GR"/>
        </w:rPr>
        <w:t>а</w:t>
      </w:r>
      <w:r w:rsidRPr="00FF386D">
        <w:rPr>
          <w:rFonts w:asciiTheme="majorHAnsi" w:eastAsia="Times New Roman" w:hAnsiTheme="majorHAnsi" w:cstheme="majorHAnsi"/>
          <w:lang w:eastAsia="el-GR"/>
        </w:rPr>
        <w:t xml:space="preserve"> од кључних </w:t>
      </w:r>
      <w:r w:rsidR="000A6729" w:rsidRPr="00FF386D">
        <w:rPr>
          <w:rFonts w:asciiTheme="majorHAnsi" w:eastAsia="Times New Roman" w:hAnsiTheme="majorHAnsi" w:cstheme="majorHAnsi"/>
          <w:lang w:eastAsia="el-GR"/>
        </w:rPr>
        <w:t>области</w:t>
      </w:r>
      <w:r w:rsidRPr="00FF386D">
        <w:rPr>
          <w:rFonts w:asciiTheme="majorHAnsi" w:eastAsia="Times New Roman" w:hAnsiTheme="majorHAnsi" w:cstheme="majorHAnsi"/>
          <w:lang w:eastAsia="el-GR"/>
        </w:rPr>
        <w:t xml:space="preserve">. Још једно тело које постоји при Министарству просвете, науке и технолошког развоја је </w:t>
      </w:r>
      <w:r w:rsidRPr="00FF386D">
        <w:rPr>
          <w:rFonts w:asciiTheme="majorHAnsi" w:eastAsia="Times New Roman" w:hAnsiTheme="majorHAnsi" w:cstheme="majorHAnsi"/>
          <w:b/>
          <w:bCs/>
          <w:lang w:eastAsia="el-GR"/>
        </w:rPr>
        <w:t>Национални савет за научни и технолошки развој</w:t>
      </w:r>
      <w:r w:rsidRPr="00FF386D">
        <w:rPr>
          <w:rFonts w:asciiTheme="majorHAnsi" w:eastAsia="Times New Roman" w:hAnsiTheme="majorHAnsi" w:cstheme="majorHAnsi"/>
          <w:lang w:eastAsia="el-GR"/>
        </w:rPr>
        <w:t xml:space="preserve">. Осим тога, постоје многе друге институције и тела која доприносе развоју истраживања и иновација, попут </w:t>
      </w:r>
      <w:r w:rsidRPr="00FF386D">
        <w:rPr>
          <w:rFonts w:asciiTheme="majorHAnsi" w:eastAsia="Times New Roman" w:hAnsiTheme="majorHAnsi" w:cstheme="majorHAnsi"/>
          <w:b/>
          <w:bCs/>
          <w:lang w:eastAsia="el-GR"/>
        </w:rPr>
        <w:t>Српске академије наука и уметности (САНУ)</w:t>
      </w:r>
      <w:r w:rsidRPr="00FF386D">
        <w:rPr>
          <w:rFonts w:asciiTheme="majorHAnsi" w:eastAsia="Times New Roman" w:hAnsiTheme="majorHAnsi" w:cstheme="majorHAnsi"/>
          <w:lang w:eastAsia="el-GR"/>
        </w:rPr>
        <w:t xml:space="preserve"> и </w:t>
      </w:r>
      <w:r w:rsidRPr="00FF386D">
        <w:rPr>
          <w:rFonts w:asciiTheme="majorHAnsi" w:eastAsia="Times New Roman" w:hAnsiTheme="majorHAnsi" w:cstheme="majorHAnsi"/>
          <w:b/>
          <w:bCs/>
          <w:lang w:eastAsia="el-GR"/>
        </w:rPr>
        <w:t>Центра за промоцију науке</w:t>
      </w:r>
      <w:r w:rsidRPr="00FF386D">
        <w:rPr>
          <w:rFonts w:asciiTheme="majorHAnsi" w:eastAsia="Times New Roman" w:hAnsiTheme="majorHAnsi" w:cstheme="majorHAnsi"/>
          <w:lang w:eastAsia="el-GR"/>
        </w:rPr>
        <w:t xml:space="preserve">, са различитим </w:t>
      </w:r>
      <w:r w:rsidR="000A6729" w:rsidRPr="00FF386D">
        <w:rPr>
          <w:rFonts w:asciiTheme="majorHAnsi" w:eastAsia="Times New Roman" w:hAnsiTheme="majorHAnsi" w:cstheme="majorHAnsi"/>
          <w:lang w:eastAsia="el-GR"/>
        </w:rPr>
        <w:t>надлежностима</w:t>
      </w:r>
      <w:r w:rsidRPr="00FF386D">
        <w:rPr>
          <w:rFonts w:asciiTheme="majorHAnsi" w:eastAsia="Times New Roman" w:hAnsiTheme="majorHAnsi" w:cstheme="majorHAnsi"/>
          <w:lang w:eastAsia="el-GR"/>
        </w:rPr>
        <w:t xml:space="preserve"> и циљевима. Међутим, већина њих нема </w:t>
      </w:r>
      <w:r w:rsidR="000A6729" w:rsidRPr="00FF386D">
        <w:rPr>
          <w:rFonts w:asciiTheme="majorHAnsi" w:eastAsia="Times New Roman" w:hAnsiTheme="majorHAnsi" w:cstheme="majorHAnsi"/>
          <w:lang w:eastAsia="el-GR"/>
        </w:rPr>
        <w:t>конкретне</w:t>
      </w:r>
      <w:r w:rsidRPr="00FF386D">
        <w:rPr>
          <w:rFonts w:asciiTheme="majorHAnsi" w:eastAsia="Times New Roman" w:hAnsiTheme="majorHAnsi" w:cstheme="majorHAnsi"/>
          <w:lang w:eastAsia="el-GR"/>
        </w:rPr>
        <w:t xml:space="preserve"> циљеве у вези са истраживањем и иновацијама у области енергетике, што је случај и са </w:t>
      </w:r>
      <w:r w:rsidR="004D6EB0" w:rsidRPr="00FF386D">
        <w:rPr>
          <w:rFonts w:asciiTheme="majorHAnsi" w:eastAsia="Times New Roman" w:hAnsiTheme="majorHAnsi" w:cstheme="majorHAnsi"/>
          <w:lang w:eastAsia="el-GR"/>
        </w:rPr>
        <w:t>наведеним</w:t>
      </w:r>
      <w:r w:rsidRPr="00FF386D">
        <w:rPr>
          <w:rFonts w:asciiTheme="majorHAnsi" w:eastAsia="Times New Roman" w:hAnsiTheme="majorHAnsi" w:cstheme="majorHAnsi"/>
          <w:lang w:eastAsia="el-GR"/>
        </w:rPr>
        <w:t xml:space="preserve"> стратегијама, а нема ни посебних позива из области енергетике и животне средине (и/или климатских промена). У сваком случају, многи институти и факултети су веома активни у спровођењу и истраживања и иновација у енергетским технологијама. </w:t>
      </w:r>
      <w:r w:rsidR="000A6729" w:rsidRPr="00FF386D">
        <w:rPr>
          <w:rFonts w:asciiTheme="majorHAnsi" w:eastAsia="Times New Roman" w:hAnsiTheme="majorHAnsi" w:cstheme="majorHAnsi"/>
          <w:lang w:eastAsia="el-GR"/>
        </w:rPr>
        <w:t>Када је у питању</w:t>
      </w:r>
      <w:r w:rsidRPr="00FF386D">
        <w:rPr>
          <w:rFonts w:asciiTheme="majorHAnsi" w:eastAsia="Times New Roman" w:hAnsiTheme="majorHAnsi" w:cstheme="majorHAnsi"/>
          <w:lang w:eastAsia="el-GR"/>
        </w:rPr>
        <w:t xml:space="preserve"> конкурентност, релевантне институције су </w:t>
      </w:r>
      <w:r w:rsidRPr="00FF386D">
        <w:rPr>
          <w:rFonts w:asciiTheme="majorHAnsi" w:eastAsia="Times New Roman" w:hAnsiTheme="majorHAnsi" w:cstheme="majorHAnsi"/>
          <w:b/>
          <w:bCs/>
          <w:lang w:eastAsia="el-GR"/>
        </w:rPr>
        <w:t xml:space="preserve">Привредна комора, Развојна агенција Србије </w:t>
      </w:r>
      <w:r w:rsidRPr="00FF386D">
        <w:rPr>
          <w:rFonts w:asciiTheme="majorHAnsi" w:eastAsia="Times New Roman" w:hAnsiTheme="majorHAnsi" w:cstheme="majorHAnsi"/>
          <w:lang w:eastAsia="el-GR"/>
        </w:rPr>
        <w:t>и</w:t>
      </w:r>
      <w:r w:rsidRPr="00FF386D">
        <w:rPr>
          <w:rFonts w:asciiTheme="majorHAnsi" w:eastAsia="Times New Roman" w:hAnsiTheme="majorHAnsi" w:cstheme="majorHAnsi"/>
          <w:b/>
          <w:bCs/>
          <w:lang w:eastAsia="el-GR"/>
        </w:rPr>
        <w:t xml:space="preserve"> Комисија за заштиту конкуренције</w:t>
      </w:r>
      <w:r w:rsidRPr="00FF386D">
        <w:rPr>
          <w:rFonts w:asciiTheme="majorHAnsi" w:eastAsia="Times New Roman" w:hAnsiTheme="majorHAnsi" w:cstheme="majorHAnsi"/>
          <w:lang w:eastAsia="el-GR"/>
        </w:rPr>
        <w:t>.</w:t>
      </w:r>
    </w:p>
    <w:p w14:paraId="522F762B" w14:textId="0EA65676"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Република Србија успешно спроводи међународну сарадњу, углавном кроз програме билатералне сарадње, сарадњу у региону/макрорегиону и програме ЕУ. Споразум који су 2014. године потписале Влада Србије и Европска унија омогућио је учешће Републике Србије у </w:t>
      </w:r>
      <w:r w:rsidRPr="00FF386D">
        <w:rPr>
          <w:rFonts w:asciiTheme="majorHAnsi" w:eastAsia="Times New Roman" w:hAnsiTheme="majorHAnsi" w:cstheme="majorHAnsi"/>
          <w:b/>
          <w:bCs/>
          <w:lang w:eastAsia="el-GR"/>
        </w:rPr>
        <w:t>програму Хоризонт 2020</w:t>
      </w:r>
      <w:r w:rsidRPr="00FF386D">
        <w:rPr>
          <w:rFonts w:asciiTheme="majorHAnsi" w:eastAsia="Times New Roman" w:hAnsiTheme="majorHAnsi" w:cstheme="majorHAnsi"/>
          <w:lang w:eastAsia="el-GR"/>
        </w:rPr>
        <w:t xml:space="preserve">. Као последица тога, учешће српских научних тимова значајно се повећало у пројектима који се финансирају из Хоризонта 2020. Према подацима из јануара 2020, 446 институција из Републике Србије учествује у програму у оквиру 311 пројеката одобрених за финансирање, </w:t>
      </w:r>
      <w:r w:rsidR="004D6EB0" w:rsidRPr="00FF386D">
        <w:rPr>
          <w:rFonts w:asciiTheme="majorHAnsi" w:eastAsia="Times New Roman" w:hAnsiTheme="majorHAnsi" w:cstheme="majorHAnsi"/>
          <w:lang w:eastAsia="el-GR"/>
        </w:rPr>
        <w:t>од којих</w:t>
      </w:r>
      <w:r w:rsidR="000A6729"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lang w:eastAsia="el-GR"/>
        </w:rPr>
        <w:t>је 149 учесника из приватног сектора. Већина пројеката је у области хране, око 20%, затим следе енергетске и информационе технологије.</w:t>
      </w:r>
    </w:p>
    <w:p w14:paraId="01D52C16" w14:textId="34971321"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Поред тога, Република Србија је изузетно активна у спровођењу </w:t>
      </w:r>
      <w:r w:rsidRPr="00FF386D">
        <w:rPr>
          <w:rFonts w:asciiTheme="majorHAnsi" w:eastAsia="Times New Roman" w:hAnsiTheme="majorHAnsi" w:cstheme="majorHAnsi"/>
          <w:b/>
          <w:bCs/>
          <w:lang w:eastAsia="el-GR"/>
        </w:rPr>
        <w:t>Стратегије ЕУ за Дунавски регион</w:t>
      </w:r>
      <w:r w:rsidRPr="00FF386D">
        <w:rPr>
          <w:rFonts w:asciiTheme="majorHAnsi" w:eastAsia="Times New Roman" w:hAnsiTheme="majorHAnsi" w:cstheme="majorHAnsi"/>
          <w:lang w:eastAsia="el-GR"/>
        </w:rPr>
        <w:t xml:space="preserve"> где координира </w:t>
      </w:r>
      <w:r w:rsidR="004D6EB0" w:rsidRPr="00FF386D">
        <w:rPr>
          <w:rFonts w:asciiTheme="majorHAnsi" w:eastAsia="Times New Roman" w:hAnsiTheme="majorHAnsi" w:cstheme="majorHAnsi"/>
          <w:lang w:eastAsia="el-GR"/>
        </w:rPr>
        <w:t>п</w:t>
      </w:r>
      <w:r w:rsidRPr="00FF386D">
        <w:rPr>
          <w:rFonts w:asciiTheme="majorHAnsi" w:eastAsia="Times New Roman" w:hAnsiTheme="majorHAnsi" w:cstheme="majorHAnsi"/>
          <w:lang w:eastAsia="el-GR"/>
        </w:rPr>
        <w:t>риоритетн</w:t>
      </w:r>
      <w:r w:rsidR="004D6EB0" w:rsidRPr="00FF386D">
        <w:rPr>
          <w:rFonts w:asciiTheme="majorHAnsi" w:eastAsia="Times New Roman" w:hAnsiTheme="majorHAnsi" w:cstheme="majorHAnsi"/>
          <w:lang w:eastAsia="el-GR"/>
        </w:rPr>
        <w:t>ом облашћу</w:t>
      </w:r>
      <w:r w:rsidRPr="00FF386D">
        <w:rPr>
          <w:rFonts w:asciiTheme="majorHAnsi" w:eastAsia="Times New Roman" w:hAnsiTheme="majorHAnsi" w:cstheme="majorHAnsi"/>
          <w:lang w:eastAsia="el-GR"/>
        </w:rPr>
        <w:t xml:space="preserve"> 7 „Развој </w:t>
      </w:r>
      <w:r w:rsidR="004D6EB0" w:rsidRPr="00FF386D">
        <w:rPr>
          <w:rFonts w:asciiTheme="majorHAnsi" w:eastAsia="Times New Roman" w:hAnsiTheme="majorHAnsi" w:cstheme="majorHAnsi"/>
          <w:lang w:eastAsia="el-GR"/>
        </w:rPr>
        <w:t>економије</w:t>
      </w:r>
      <w:r w:rsidRPr="00FF386D">
        <w:rPr>
          <w:rFonts w:asciiTheme="majorHAnsi" w:eastAsia="Times New Roman" w:hAnsiTheme="majorHAnsi" w:cstheme="majorHAnsi"/>
          <w:lang w:eastAsia="el-GR"/>
        </w:rPr>
        <w:t xml:space="preserve"> знањ</w:t>
      </w:r>
      <w:r w:rsidR="004D6EB0" w:rsidRPr="00FF386D">
        <w:rPr>
          <w:rFonts w:asciiTheme="majorHAnsi" w:eastAsia="Times New Roman" w:hAnsiTheme="majorHAnsi" w:cstheme="majorHAnsi"/>
          <w:lang w:eastAsia="el-GR"/>
        </w:rPr>
        <w:t>а</w:t>
      </w:r>
      <w:r w:rsidRPr="00FF386D">
        <w:rPr>
          <w:rFonts w:asciiTheme="majorHAnsi" w:eastAsia="Times New Roman" w:hAnsiTheme="majorHAnsi" w:cstheme="majorHAnsi"/>
          <w:lang w:eastAsia="el-GR"/>
        </w:rPr>
        <w:t xml:space="preserve"> (истраживање, образовање и ИКТ)“. Република Србија тренутно координира стубом који повезује регион са </w:t>
      </w:r>
      <w:r w:rsidRPr="00FF386D">
        <w:rPr>
          <w:rFonts w:asciiTheme="majorHAnsi" w:eastAsia="Times New Roman" w:hAnsiTheme="majorHAnsi" w:cstheme="majorHAnsi"/>
          <w:b/>
          <w:bCs/>
          <w:lang w:eastAsia="el-GR"/>
        </w:rPr>
        <w:t>Стратегијом ЕУ за Јадранско-јонски регион</w:t>
      </w:r>
      <w:r w:rsidRPr="00FF386D">
        <w:rPr>
          <w:rFonts w:asciiTheme="majorHAnsi" w:eastAsia="Times New Roman" w:hAnsiTheme="majorHAnsi" w:cstheme="majorHAnsi"/>
          <w:lang w:eastAsia="el-GR"/>
        </w:rPr>
        <w:t xml:space="preserve">, иницијативом која има за циљ промовисање економског и друштвеног просперитета и раста у региону побољшањем његове атрактивности, конкурентности и кохезије. Република Србија је такође активна у </w:t>
      </w:r>
      <w:r w:rsidRPr="00FF386D">
        <w:rPr>
          <w:rFonts w:asciiTheme="majorHAnsi" w:eastAsia="Times New Roman" w:hAnsiTheme="majorHAnsi" w:cstheme="majorHAnsi"/>
          <w:b/>
          <w:bCs/>
          <w:lang w:eastAsia="el-GR"/>
        </w:rPr>
        <w:t>Европском стратешком форуму за истраживачку инфраструктуру (</w:t>
      </w:r>
      <w:r w:rsidR="004D6EB0" w:rsidRPr="00FF386D">
        <w:rPr>
          <w:rFonts w:asciiTheme="majorHAnsi" w:eastAsia="Times New Roman" w:hAnsiTheme="majorHAnsi" w:cstheme="majorHAnsi"/>
          <w:b/>
          <w:bCs/>
          <w:lang w:eastAsia="el-GR"/>
        </w:rPr>
        <w:t>ЕСФРИ</w:t>
      </w:r>
      <w:r w:rsidRPr="00FF386D">
        <w:rPr>
          <w:rFonts w:asciiTheme="majorHAnsi" w:eastAsia="Times New Roman" w:hAnsiTheme="majorHAnsi" w:cstheme="majorHAnsi"/>
          <w:b/>
          <w:bCs/>
          <w:lang w:eastAsia="el-GR"/>
        </w:rPr>
        <w:t xml:space="preserve">) </w:t>
      </w:r>
      <w:r w:rsidRPr="00FF386D">
        <w:rPr>
          <w:rFonts w:asciiTheme="majorHAnsi" w:eastAsia="Times New Roman" w:hAnsiTheme="majorHAnsi" w:cstheme="majorHAnsi"/>
          <w:lang w:eastAsia="el-GR"/>
        </w:rPr>
        <w:t xml:space="preserve">и у четири </w:t>
      </w:r>
      <w:r w:rsidRPr="00FF386D">
        <w:rPr>
          <w:rFonts w:asciiTheme="majorHAnsi" w:eastAsia="Times New Roman" w:hAnsiTheme="majorHAnsi" w:cstheme="majorHAnsi"/>
          <w:b/>
          <w:bCs/>
          <w:lang w:eastAsia="el-GR"/>
        </w:rPr>
        <w:t>Европска конзорцијума истраживачк</w:t>
      </w:r>
      <w:r w:rsidR="004D6EB0" w:rsidRPr="00FF386D">
        <w:rPr>
          <w:rFonts w:asciiTheme="majorHAnsi" w:eastAsia="Times New Roman" w:hAnsiTheme="majorHAnsi" w:cstheme="majorHAnsi"/>
          <w:b/>
          <w:bCs/>
          <w:lang w:eastAsia="el-GR"/>
        </w:rPr>
        <w:t xml:space="preserve">е </w:t>
      </w:r>
      <w:r w:rsidRPr="00FF386D">
        <w:rPr>
          <w:rFonts w:asciiTheme="majorHAnsi" w:eastAsia="Times New Roman" w:hAnsiTheme="majorHAnsi" w:cstheme="majorHAnsi"/>
          <w:b/>
          <w:bCs/>
          <w:lang w:eastAsia="el-GR"/>
        </w:rPr>
        <w:t>инфраструктур</w:t>
      </w:r>
      <w:r w:rsidR="004D6EB0" w:rsidRPr="00FF386D">
        <w:rPr>
          <w:rFonts w:asciiTheme="majorHAnsi" w:eastAsia="Times New Roman" w:hAnsiTheme="majorHAnsi" w:cstheme="majorHAnsi"/>
          <w:b/>
          <w:bCs/>
          <w:lang w:eastAsia="el-GR"/>
        </w:rPr>
        <w:t>е</w:t>
      </w:r>
      <w:r w:rsidRPr="00FF386D">
        <w:rPr>
          <w:rFonts w:asciiTheme="majorHAnsi" w:eastAsia="Times New Roman" w:hAnsiTheme="majorHAnsi" w:cstheme="majorHAnsi"/>
          <w:b/>
          <w:bCs/>
          <w:lang w:eastAsia="el-GR"/>
        </w:rPr>
        <w:t xml:space="preserve"> (</w:t>
      </w:r>
      <w:r w:rsidRPr="00FF386D">
        <w:rPr>
          <w:rFonts w:asciiTheme="majorHAnsi" w:eastAsia="Times New Roman" w:hAnsiTheme="majorHAnsi" w:cstheme="majorHAnsi"/>
          <w:b/>
          <w:bCs/>
          <w:i/>
          <w:iCs/>
          <w:lang w:eastAsia="el-GR"/>
        </w:rPr>
        <w:t>ERIC</w:t>
      </w:r>
      <w:r w:rsidRPr="00FF386D">
        <w:rPr>
          <w:rFonts w:asciiTheme="majorHAnsi" w:eastAsia="Times New Roman" w:hAnsiTheme="majorHAnsi" w:cstheme="majorHAnsi"/>
          <w:b/>
          <w:bCs/>
          <w:lang w:eastAsia="el-GR"/>
        </w:rPr>
        <w:t xml:space="preserve">): </w:t>
      </w:r>
      <w:r w:rsidRPr="00FF386D">
        <w:rPr>
          <w:rFonts w:asciiTheme="majorHAnsi" w:eastAsia="Times New Roman" w:hAnsiTheme="majorHAnsi" w:cstheme="majorHAnsi"/>
          <w:b/>
          <w:bCs/>
          <w:i/>
          <w:iCs/>
          <w:lang w:eastAsia="el-GR"/>
        </w:rPr>
        <w:t xml:space="preserve">CERIC </w:t>
      </w:r>
      <w:r w:rsidRPr="00FF386D">
        <w:rPr>
          <w:rFonts w:asciiTheme="majorHAnsi" w:eastAsia="Times New Roman" w:hAnsiTheme="majorHAnsi" w:cstheme="majorHAnsi"/>
          <w:b/>
          <w:bCs/>
          <w:lang w:eastAsia="el-GR"/>
        </w:rPr>
        <w:t xml:space="preserve">(Централноевропски конзорцијум за истраживачку инфраструктуру), </w:t>
      </w:r>
      <w:r w:rsidRPr="00FF386D">
        <w:rPr>
          <w:rFonts w:asciiTheme="majorHAnsi" w:eastAsia="Times New Roman" w:hAnsiTheme="majorHAnsi" w:cstheme="majorHAnsi"/>
          <w:b/>
          <w:bCs/>
          <w:i/>
          <w:iCs/>
          <w:lang w:eastAsia="el-GR"/>
        </w:rPr>
        <w:t>DARIAH</w:t>
      </w:r>
      <w:r w:rsidRPr="00FF386D">
        <w:rPr>
          <w:rFonts w:asciiTheme="majorHAnsi" w:eastAsia="Times New Roman" w:hAnsiTheme="majorHAnsi" w:cstheme="majorHAnsi"/>
          <w:b/>
          <w:bCs/>
          <w:lang w:eastAsia="el-GR"/>
        </w:rPr>
        <w:t xml:space="preserve"> (Дигитална истраживачка инфраструктура за уметност и хуманистичке науке), </w:t>
      </w:r>
      <w:r w:rsidRPr="00FF386D">
        <w:rPr>
          <w:rFonts w:asciiTheme="majorHAnsi" w:eastAsia="Times New Roman" w:hAnsiTheme="majorHAnsi" w:cstheme="majorHAnsi"/>
          <w:b/>
          <w:bCs/>
          <w:i/>
          <w:iCs/>
          <w:lang w:eastAsia="el-GR"/>
        </w:rPr>
        <w:t>ESS</w:t>
      </w:r>
      <w:r w:rsidRPr="00FF386D">
        <w:rPr>
          <w:rFonts w:asciiTheme="majorHAnsi" w:eastAsia="Times New Roman" w:hAnsiTheme="majorHAnsi" w:cstheme="majorHAnsi"/>
          <w:b/>
          <w:bCs/>
          <w:lang w:eastAsia="el-GR"/>
        </w:rPr>
        <w:t xml:space="preserve"> (Европско друштвено истраживање) и </w:t>
      </w:r>
      <w:r w:rsidRPr="00FF386D">
        <w:rPr>
          <w:rFonts w:asciiTheme="majorHAnsi" w:eastAsia="Times New Roman" w:hAnsiTheme="majorHAnsi" w:cstheme="majorHAnsi"/>
          <w:b/>
          <w:bCs/>
          <w:i/>
          <w:iCs/>
          <w:lang w:eastAsia="el-GR"/>
        </w:rPr>
        <w:t xml:space="preserve">CESSDA </w:t>
      </w:r>
      <w:r w:rsidRPr="00FF386D">
        <w:rPr>
          <w:rFonts w:asciiTheme="majorHAnsi" w:eastAsia="Times New Roman" w:hAnsiTheme="majorHAnsi" w:cstheme="majorHAnsi"/>
          <w:b/>
          <w:bCs/>
          <w:lang w:eastAsia="el-GR"/>
        </w:rPr>
        <w:t>(Европски конзорцијум архива података у друштвеним наукама)</w:t>
      </w:r>
      <w:r w:rsidRPr="00FF386D">
        <w:rPr>
          <w:rFonts w:asciiTheme="majorHAnsi" w:eastAsia="Times New Roman" w:hAnsiTheme="majorHAnsi" w:cstheme="majorHAnsi"/>
          <w:lang w:eastAsia="el-GR"/>
        </w:rPr>
        <w:t xml:space="preserve">. Штавише, Србија је развила интензивну сарадњу на неколико нивоа са </w:t>
      </w:r>
      <w:r w:rsidRPr="00FF386D">
        <w:rPr>
          <w:rFonts w:asciiTheme="majorHAnsi" w:eastAsia="Times New Roman" w:hAnsiTheme="majorHAnsi" w:cstheme="majorHAnsi"/>
          <w:b/>
          <w:bCs/>
          <w:lang w:eastAsia="el-GR"/>
        </w:rPr>
        <w:t>Заједничким истраживачким центром (</w:t>
      </w:r>
      <w:r w:rsidRPr="00FF386D">
        <w:rPr>
          <w:rFonts w:asciiTheme="majorHAnsi" w:eastAsia="Times New Roman" w:hAnsiTheme="majorHAnsi" w:cstheme="majorHAnsi"/>
          <w:b/>
          <w:bCs/>
          <w:i/>
          <w:iCs/>
          <w:lang w:eastAsia="el-GR"/>
        </w:rPr>
        <w:t>JRC</w:t>
      </w:r>
      <w:r w:rsidRPr="00FF386D">
        <w:rPr>
          <w:rFonts w:asciiTheme="majorHAnsi" w:eastAsia="Times New Roman" w:hAnsiTheme="majorHAnsi" w:cstheme="majorHAnsi"/>
          <w:b/>
          <w:bCs/>
          <w:lang w:eastAsia="el-GR"/>
        </w:rPr>
        <w:t xml:space="preserve">) Европске комисије, </w:t>
      </w:r>
      <w:r w:rsidRPr="00FF386D">
        <w:rPr>
          <w:rFonts w:asciiTheme="majorHAnsi" w:eastAsia="Times New Roman" w:hAnsiTheme="majorHAnsi" w:cstheme="majorHAnsi"/>
          <w:lang w:eastAsia="el-GR"/>
        </w:rPr>
        <w:t xml:space="preserve">а такође показује висок ниво </w:t>
      </w:r>
      <w:r w:rsidRPr="00FF386D">
        <w:rPr>
          <w:rFonts w:asciiTheme="majorHAnsi" w:eastAsia="Times New Roman" w:hAnsiTheme="majorHAnsi" w:cstheme="majorHAnsi"/>
          <w:lang w:eastAsia="el-GR"/>
        </w:rPr>
        <w:lastRenderedPageBreak/>
        <w:t xml:space="preserve">активности у програмима </w:t>
      </w:r>
      <w:r w:rsidRPr="00FF386D">
        <w:rPr>
          <w:rFonts w:asciiTheme="majorHAnsi" w:eastAsia="Times New Roman" w:hAnsiTheme="majorHAnsi" w:cstheme="majorHAnsi"/>
          <w:i/>
          <w:iCs/>
          <w:lang w:eastAsia="el-GR"/>
        </w:rPr>
        <w:t>EUREKA</w:t>
      </w:r>
      <w:r w:rsidRPr="00FF386D">
        <w:rPr>
          <w:rFonts w:asciiTheme="majorHAnsi" w:eastAsia="Times New Roman" w:hAnsiTheme="majorHAnsi" w:cstheme="majorHAnsi"/>
          <w:lang w:eastAsia="el-GR"/>
        </w:rPr>
        <w:t xml:space="preserve"> и </w:t>
      </w:r>
      <w:r w:rsidRPr="00FF386D">
        <w:rPr>
          <w:rFonts w:asciiTheme="majorHAnsi" w:eastAsia="Times New Roman" w:hAnsiTheme="majorHAnsi" w:cstheme="majorHAnsi"/>
          <w:i/>
          <w:iCs/>
          <w:lang w:eastAsia="el-GR"/>
        </w:rPr>
        <w:t>COST.</w:t>
      </w:r>
      <w:r w:rsidRPr="00FF386D">
        <w:rPr>
          <w:rFonts w:asciiTheme="majorHAnsi" w:eastAsia="Times New Roman" w:hAnsiTheme="majorHAnsi" w:cstheme="majorHAnsi"/>
          <w:lang w:eastAsia="el-GR"/>
        </w:rPr>
        <w:t xml:space="preserve"> Коначно, </w:t>
      </w:r>
      <w:r w:rsidRPr="00FF386D">
        <w:rPr>
          <w:rFonts w:asciiTheme="majorHAnsi" w:eastAsia="Times New Roman" w:hAnsiTheme="majorHAnsi" w:cstheme="majorHAnsi"/>
          <w:b/>
          <w:bCs/>
          <w:lang w:eastAsia="el-GR"/>
        </w:rPr>
        <w:t>Акциони план за заједничко регионално тржиште за период 2021-2024</w:t>
      </w:r>
      <w:r w:rsidR="00C84AE3" w:rsidRPr="00FF386D">
        <w:rPr>
          <w:rFonts w:asciiTheme="majorHAnsi" w:eastAsia="Times New Roman" w:hAnsiTheme="majorHAnsi" w:cstheme="majorHAnsi"/>
          <w:b/>
          <w:bCs/>
          <w:lang w:eastAsia="el-GR"/>
        </w:rPr>
        <w:t>. године</w:t>
      </w:r>
      <w:r w:rsidRPr="00FF386D">
        <w:rPr>
          <w:rFonts w:asciiTheme="majorHAnsi" w:eastAsia="Times New Roman" w:hAnsiTheme="majorHAnsi" w:cstheme="majorHAnsi"/>
          <w:lang w:eastAsia="el-GR"/>
        </w:rPr>
        <w:t xml:space="preserve">, који је </w:t>
      </w:r>
      <w:r w:rsidR="000A6729" w:rsidRPr="00FF386D">
        <w:rPr>
          <w:rFonts w:asciiTheme="majorHAnsi" w:eastAsia="Times New Roman" w:hAnsiTheme="majorHAnsi" w:cstheme="majorHAnsi"/>
          <w:lang w:eastAsia="el-GR"/>
        </w:rPr>
        <w:t>израдио</w:t>
      </w:r>
      <w:r w:rsidRPr="00FF386D">
        <w:rPr>
          <w:rFonts w:asciiTheme="majorHAnsi" w:eastAsia="Times New Roman" w:hAnsiTheme="majorHAnsi" w:cstheme="majorHAnsi"/>
          <w:lang w:eastAsia="el-GR"/>
        </w:rPr>
        <w:t xml:space="preserve"> Секретаријат Централноевропског уговора о слободној трговини (</w:t>
      </w:r>
      <w:r w:rsidRPr="00FF386D">
        <w:rPr>
          <w:rFonts w:asciiTheme="majorHAnsi" w:eastAsia="Times New Roman" w:hAnsiTheme="majorHAnsi" w:cstheme="majorHAnsi"/>
          <w:i/>
          <w:iCs/>
          <w:lang w:eastAsia="el-GR"/>
        </w:rPr>
        <w:t>CEFTA</w:t>
      </w:r>
      <w:r w:rsidRPr="00FF386D">
        <w:rPr>
          <w:rFonts w:asciiTheme="majorHAnsi" w:eastAsia="Times New Roman" w:hAnsiTheme="majorHAnsi" w:cstheme="majorHAnsi"/>
          <w:lang w:eastAsia="el-GR"/>
        </w:rPr>
        <w:t xml:space="preserve">), садржи очекивања и планове у вези са регионалном мобилношћу истраживача, </w:t>
      </w:r>
      <w:r w:rsidR="000A6729" w:rsidRPr="00FF386D">
        <w:rPr>
          <w:rFonts w:asciiTheme="majorHAnsi" w:eastAsia="Times New Roman" w:hAnsiTheme="majorHAnsi" w:cstheme="majorHAnsi"/>
          <w:lang w:eastAsia="el-GR"/>
        </w:rPr>
        <w:t>као и</w:t>
      </w:r>
      <w:r w:rsidRPr="00FF386D">
        <w:rPr>
          <w:rFonts w:asciiTheme="majorHAnsi" w:eastAsia="Times New Roman" w:hAnsiTheme="majorHAnsi" w:cstheme="majorHAnsi"/>
          <w:lang w:eastAsia="el-GR"/>
        </w:rPr>
        <w:t xml:space="preserve"> разменом знања и сарадњом у области иновација, као једним од кључних стубова.</w:t>
      </w:r>
    </w:p>
    <w:p w14:paraId="6A090103" w14:textId="77777777" w:rsidR="00EB3C75" w:rsidRPr="00FF386D" w:rsidRDefault="00EB3C75">
      <w:pPr>
        <w:pStyle w:val="ListParagraph"/>
        <w:keepNext/>
        <w:keepLines/>
        <w:numPr>
          <w:ilvl w:val="0"/>
          <w:numId w:val="259"/>
        </w:numPr>
        <w:spacing w:before="200" w:line="240" w:lineRule="auto"/>
        <w:outlineLvl w:val="3"/>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t>Кључна питања од прекограничног значаја</w:t>
      </w:r>
    </w:p>
    <w:p w14:paraId="7678B2B2" w14:textId="05354A89"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Република Србија је чланица </w:t>
      </w:r>
      <w:r w:rsidR="004D6EB0" w:rsidRPr="00FF386D">
        <w:rPr>
          <w:rFonts w:asciiTheme="majorHAnsi" w:eastAsia="Times New Roman" w:hAnsiTheme="majorHAnsi" w:cstheme="majorHAnsi"/>
          <w:lang w:eastAsia="el-GR"/>
        </w:rPr>
        <w:t>Иницијативе</w:t>
      </w:r>
      <w:r w:rsidRPr="00FF386D">
        <w:rPr>
          <w:rFonts w:asciiTheme="majorHAnsi" w:eastAsia="Times New Roman" w:hAnsiTheme="majorHAnsi" w:cstheme="majorHAnsi"/>
          <w:lang w:eastAsia="el-GR"/>
        </w:rPr>
        <w:t xml:space="preserve"> за енергетско повезивање централне и југоисточне Европе (</w:t>
      </w:r>
      <w:r w:rsidRPr="00FF386D">
        <w:rPr>
          <w:rFonts w:asciiTheme="majorHAnsi" w:eastAsia="Times New Roman" w:hAnsiTheme="majorHAnsi" w:cstheme="majorHAnsi"/>
          <w:i/>
          <w:iCs/>
          <w:lang w:eastAsia="el-GR"/>
        </w:rPr>
        <w:t>CESEC</w:t>
      </w:r>
      <w:r w:rsidRPr="00FF386D">
        <w:rPr>
          <w:rFonts w:asciiTheme="majorHAnsi" w:eastAsia="Times New Roman" w:hAnsiTheme="majorHAnsi" w:cstheme="majorHAnsi"/>
          <w:lang w:eastAsia="el-GR"/>
        </w:rPr>
        <w:t xml:space="preserve">), </w:t>
      </w:r>
      <w:r w:rsidR="004D6EB0" w:rsidRPr="00FF386D">
        <w:rPr>
          <w:rFonts w:asciiTheme="majorHAnsi" w:eastAsia="Times New Roman" w:hAnsiTheme="majorHAnsi" w:cstheme="majorHAnsi"/>
          <w:lang w:eastAsia="el-GR"/>
        </w:rPr>
        <w:t xml:space="preserve">организације </w:t>
      </w:r>
      <w:r w:rsidRPr="00FF386D">
        <w:rPr>
          <w:rFonts w:asciiTheme="majorHAnsi" w:eastAsia="Times New Roman" w:hAnsiTheme="majorHAnsi" w:cstheme="majorHAnsi"/>
          <w:lang w:eastAsia="el-GR"/>
        </w:rPr>
        <w:t xml:space="preserve">која ради на убрзању интеграције тржишта гаса и електричне енергије у централно-источној и југоисточној Европи, заједно са свим осталим уговорним странама Енергетске заједнице и девет држава чланица ЕУ – Аустрија, Бугарска, Хрватска, Грчка, Мађарска, Италија, Румунија, Словачка и Словенија. </w:t>
      </w:r>
      <w:r w:rsidR="004D6EB0" w:rsidRPr="00FF386D">
        <w:rPr>
          <w:rFonts w:asciiTheme="majorHAnsi" w:eastAsia="Times New Roman" w:hAnsiTheme="majorHAnsi" w:cstheme="majorHAnsi"/>
          <w:lang w:eastAsia="el-GR"/>
        </w:rPr>
        <w:t>Поред</w:t>
      </w:r>
      <w:r w:rsidRPr="00FF386D">
        <w:rPr>
          <w:rFonts w:asciiTheme="majorHAnsi" w:eastAsia="Times New Roman" w:hAnsiTheme="majorHAnsi" w:cstheme="majorHAnsi"/>
          <w:lang w:eastAsia="el-GR"/>
        </w:rPr>
        <w:t xml:space="preserve"> тога, Република Србија учествује и доприноси регионалним састанцима и радионицама, као и догађајима регионалне размене </w:t>
      </w:r>
      <w:r w:rsidR="004D6EB0" w:rsidRPr="00FF386D">
        <w:rPr>
          <w:rFonts w:asciiTheme="majorHAnsi" w:eastAsia="Times New Roman" w:hAnsiTheme="majorHAnsi" w:cstheme="majorHAnsi"/>
          <w:lang w:eastAsia="el-GR"/>
        </w:rPr>
        <w:t xml:space="preserve">у оквиру </w:t>
      </w:r>
      <w:r w:rsidR="004D6EB0" w:rsidRPr="000A2AFE">
        <w:rPr>
          <w:rFonts w:asciiTheme="majorHAnsi" w:eastAsia="Times New Roman" w:hAnsiTheme="majorHAnsi" w:cstheme="majorHAnsi"/>
          <w:i/>
          <w:iCs/>
          <w:lang w:eastAsia="el-GR"/>
        </w:rPr>
        <w:t>GIZ</w:t>
      </w:r>
      <w:r w:rsidR="004D6EB0" w:rsidRPr="00FF386D">
        <w:rPr>
          <w:rFonts w:asciiTheme="majorHAnsi" w:eastAsia="Times New Roman" w:hAnsiTheme="majorHAnsi" w:cstheme="majorHAnsi"/>
          <w:lang w:eastAsia="el-GR"/>
        </w:rPr>
        <w:t xml:space="preserve">-овог </w:t>
      </w:r>
      <w:r w:rsidRPr="00FF386D">
        <w:rPr>
          <w:rFonts w:asciiTheme="majorHAnsi" w:eastAsia="Times New Roman" w:hAnsiTheme="majorHAnsi" w:cstheme="majorHAnsi"/>
          <w:lang w:eastAsia="el-GR"/>
        </w:rPr>
        <w:t>Отворен</w:t>
      </w:r>
      <w:r w:rsidR="004D6EB0" w:rsidRPr="00FF386D">
        <w:rPr>
          <w:rFonts w:asciiTheme="majorHAnsi" w:eastAsia="Times New Roman" w:hAnsiTheme="majorHAnsi" w:cstheme="majorHAnsi"/>
          <w:lang w:eastAsia="el-GR"/>
        </w:rPr>
        <w:t>ог</w:t>
      </w:r>
      <w:r w:rsidRPr="00FF386D">
        <w:rPr>
          <w:rFonts w:asciiTheme="majorHAnsi" w:eastAsia="Times New Roman" w:hAnsiTheme="majorHAnsi" w:cstheme="majorHAnsi"/>
          <w:lang w:eastAsia="el-GR"/>
        </w:rPr>
        <w:t xml:space="preserve"> регионалн</w:t>
      </w:r>
      <w:r w:rsidR="004D6EB0" w:rsidRPr="00FF386D">
        <w:rPr>
          <w:rFonts w:asciiTheme="majorHAnsi" w:eastAsia="Times New Roman" w:hAnsiTheme="majorHAnsi" w:cstheme="majorHAnsi"/>
          <w:lang w:eastAsia="el-GR"/>
        </w:rPr>
        <w:t>ог</w:t>
      </w:r>
      <w:r w:rsidRPr="00FF386D">
        <w:rPr>
          <w:rFonts w:asciiTheme="majorHAnsi" w:eastAsia="Times New Roman" w:hAnsiTheme="majorHAnsi" w:cstheme="majorHAnsi"/>
          <w:lang w:eastAsia="el-GR"/>
        </w:rPr>
        <w:t xml:space="preserve"> фонд</w:t>
      </w:r>
      <w:r w:rsidR="004D6EB0" w:rsidRPr="00FF386D">
        <w:rPr>
          <w:rFonts w:asciiTheme="majorHAnsi" w:eastAsia="Times New Roman" w:hAnsiTheme="majorHAnsi" w:cstheme="majorHAnsi"/>
          <w:lang w:eastAsia="el-GR"/>
        </w:rPr>
        <w:t>а</w:t>
      </w:r>
      <w:r w:rsidRPr="00FF386D">
        <w:rPr>
          <w:rFonts w:asciiTheme="majorHAnsi" w:eastAsia="Times New Roman" w:hAnsiTheme="majorHAnsi" w:cstheme="majorHAnsi"/>
          <w:lang w:eastAsia="el-GR"/>
        </w:rPr>
        <w:t xml:space="preserve"> – Енергетска ефикасност (</w:t>
      </w:r>
      <w:r w:rsidRPr="00FF386D">
        <w:rPr>
          <w:rFonts w:asciiTheme="majorHAnsi" w:eastAsia="Times New Roman" w:hAnsiTheme="majorHAnsi" w:cstheme="majorHAnsi"/>
          <w:i/>
          <w:iCs/>
          <w:lang w:eastAsia="el-GR"/>
        </w:rPr>
        <w:t>О</w:t>
      </w:r>
      <w:r w:rsidR="004D6EB0" w:rsidRPr="000A2AFE">
        <w:rPr>
          <w:rFonts w:asciiTheme="majorHAnsi" w:eastAsia="Times New Roman" w:hAnsiTheme="majorHAnsi" w:cstheme="majorHAnsi"/>
          <w:i/>
          <w:iCs/>
          <w:lang w:eastAsia="el-GR"/>
        </w:rPr>
        <w:t>RF</w:t>
      </w:r>
      <w:r w:rsidRPr="00FF386D">
        <w:rPr>
          <w:rFonts w:asciiTheme="majorHAnsi" w:eastAsia="Times New Roman" w:hAnsiTheme="majorHAnsi" w:cstheme="majorHAnsi"/>
          <w:i/>
          <w:iCs/>
          <w:lang w:eastAsia="el-GR"/>
        </w:rPr>
        <w:t>-ЕЕ</w:t>
      </w:r>
      <w:r w:rsidRPr="00FF386D">
        <w:rPr>
          <w:rFonts w:asciiTheme="majorHAnsi" w:eastAsia="Times New Roman" w:hAnsiTheme="majorHAnsi" w:cstheme="majorHAnsi"/>
          <w:lang w:eastAsia="el-GR"/>
        </w:rPr>
        <w:t>) како би се о</w:t>
      </w:r>
      <w:r w:rsidR="000A6729" w:rsidRPr="00FF386D">
        <w:rPr>
          <w:rFonts w:asciiTheme="majorHAnsi" w:eastAsia="Times New Roman" w:hAnsiTheme="majorHAnsi" w:cstheme="majorHAnsi"/>
          <w:lang w:eastAsia="el-GR"/>
        </w:rPr>
        <w:t>могућиле</w:t>
      </w:r>
      <w:r w:rsidRPr="00FF386D">
        <w:rPr>
          <w:rFonts w:asciiTheme="majorHAnsi" w:eastAsia="Times New Roman" w:hAnsiTheme="majorHAnsi" w:cstheme="majorHAnsi"/>
          <w:lang w:eastAsia="el-GR"/>
        </w:rPr>
        <w:t xml:space="preserve"> дискусиј</w:t>
      </w:r>
      <w:r w:rsidR="000A6729" w:rsidRPr="00FF386D">
        <w:rPr>
          <w:rFonts w:asciiTheme="majorHAnsi" w:eastAsia="Times New Roman" w:hAnsiTheme="majorHAnsi" w:cstheme="majorHAnsi"/>
          <w:lang w:eastAsia="el-GR"/>
        </w:rPr>
        <w:t>е</w:t>
      </w:r>
      <w:r w:rsidRPr="00FF386D">
        <w:rPr>
          <w:rFonts w:asciiTheme="majorHAnsi" w:eastAsia="Times New Roman" w:hAnsiTheme="majorHAnsi" w:cstheme="majorHAnsi"/>
          <w:lang w:eastAsia="el-GR"/>
        </w:rPr>
        <w:t xml:space="preserve"> о приступима моделовању, доступности и квалитету података, изазовима, најбољим праксама, међусекторским и регионалним питањима.</w:t>
      </w:r>
    </w:p>
    <w:p w14:paraId="0F6C4902" w14:textId="1C7D597E" w:rsidR="00EB3C75" w:rsidRPr="00FF386D" w:rsidRDefault="000A6729"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Конкретно</w:t>
      </w:r>
      <w:r w:rsidR="00EB3C75" w:rsidRPr="00FF386D">
        <w:rPr>
          <w:rFonts w:asciiTheme="majorHAnsi" w:eastAsia="Times New Roman" w:hAnsiTheme="majorHAnsi" w:cstheme="majorHAnsi"/>
          <w:lang w:eastAsia="el-GR"/>
        </w:rPr>
        <w:t>, Министарство рударства и енергетике учествује у различитим техничким радним групама Енергетске заједнице:</w:t>
      </w:r>
    </w:p>
    <w:p w14:paraId="48398C65" w14:textId="77777777" w:rsidR="00EB3C75" w:rsidRPr="00FF386D" w:rsidRDefault="00EB3C75">
      <w:pPr>
        <w:numPr>
          <w:ilvl w:val="0"/>
          <w:numId w:val="5"/>
        </w:num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Координационој групи за енергетску ефикасност,</w:t>
      </w:r>
    </w:p>
    <w:p w14:paraId="62CBE125" w14:textId="77777777" w:rsidR="00EB3C75" w:rsidRPr="00FF386D" w:rsidRDefault="00EB3C75">
      <w:pPr>
        <w:numPr>
          <w:ilvl w:val="0"/>
          <w:numId w:val="5"/>
        </w:num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Координационој групи за обновљиве изворе енергије,</w:t>
      </w:r>
    </w:p>
    <w:p w14:paraId="42893C35" w14:textId="77777777" w:rsidR="00EB3C75" w:rsidRPr="00FF386D" w:rsidRDefault="00EB3C75">
      <w:pPr>
        <w:numPr>
          <w:ilvl w:val="0"/>
          <w:numId w:val="5"/>
        </w:num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Координационој групи за сигурност снабдевања,</w:t>
      </w:r>
    </w:p>
    <w:p w14:paraId="25D78915" w14:textId="77777777" w:rsidR="00EB3C75" w:rsidRPr="00FF386D" w:rsidRDefault="00EB3C75">
      <w:pPr>
        <w:numPr>
          <w:ilvl w:val="0"/>
          <w:numId w:val="5"/>
        </w:num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Координационој групи оператора дистрибутивних система за електричну енергију,</w:t>
      </w:r>
    </w:p>
    <w:p w14:paraId="58B2BD93" w14:textId="77777777" w:rsidR="00EB3C75" w:rsidRPr="00FF386D" w:rsidRDefault="00EB3C75">
      <w:pPr>
        <w:numPr>
          <w:ilvl w:val="0"/>
          <w:numId w:val="5"/>
        </w:num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Координационој групи за сајбер безбедност и критичну инфраструктуру,</w:t>
      </w:r>
    </w:p>
    <w:p w14:paraId="5C1F8D2A" w14:textId="77777777" w:rsidR="00EB3C75" w:rsidRPr="00FF386D" w:rsidRDefault="00EB3C75">
      <w:pPr>
        <w:numPr>
          <w:ilvl w:val="0"/>
          <w:numId w:val="5"/>
        </w:num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Координационој групи за електричну енергију и гас </w:t>
      </w:r>
      <w:r w:rsidRPr="00FF386D">
        <w:rPr>
          <w:rFonts w:asciiTheme="majorHAnsi" w:eastAsia="Times New Roman" w:hAnsiTheme="majorHAnsi" w:cstheme="majorHAnsi"/>
          <w:i/>
          <w:iCs/>
          <w:lang w:eastAsia="el-GR"/>
        </w:rPr>
        <w:t>PECI</w:t>
      </w:r>
      <w:r w:rsidRPr="00FF386D">
        <w:rPr>
          <w:rFonts w:asciiTheme="majorHAnsi" w:eastAsia="Times New Roman" w:hAnsiTheme="majorHAnsi" w:cstheme="majorHAnsi"/>
          <w:lang w:eastAsia="el-GR"/>
        </w:rPr>
        <w:t>.</w:t>
      </w:r>
    </w:p>
    <w:p w14:paraId="41775927" w14:textId="07018D19"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ЕМС је пуноправни члан </w:t>
      </w:r>
      <w:r w:rsidR="004D6EB0" w:rsidRPr="00FF386D">
        <w:rPr>
          <w:rFonts w:asciiTheme="majorHAnsi" w:eastAsia="Times New Roman" w:hAnsiTheme="majorHAnsi" w:cstheme="majorHAnsi"/>
          <w:lang w:eastAsia="el-GR"/>
        </w:rPr>
        <w:t>У</w:t>
      </w:r>
      <w:r w:rsidRPr="00FF386D">
        <w:rPr>
          <w:rFonts w:asciiTheme="majorHAnsi" w:eastAsia="Times New Roman" w:hAnsiTheme="majorHAnsi" w:cstheme="majorHAnsi"/>
          <w:lang w:eastAsia="el-GR"/>
        </w:rPr>
        <w:t xml:space="preserve">дружења </w:t>
      </w:r>
      <w:r w:rsidR="004D6EB0" w:rsidRPr="00FF386D">
        <w:rPr>
          <w:rFonts w:asciiTheme="majorHAnsi" w:eastAsia="Times New Roman" w:hAnsiTheme="majorHAnsi" w:cstheme="majorHAnsi"/>
          <w:lang w:eastAsia="el-GR"/>
        </w:rPr>
        <w:t xml:space="preserve">европских </w:t>
      </w:r>
      <w:r w:rsidRPr="00FF386D">
        <w:rPr>
          <w:rFonts w:asciiTheme="majorHAnsi" w:eastAsia="Times New Roman" w:hAnsiTheme="majorHAnsi" w:cstheme="majorHAnsi"/>
          <w:lang w:eastAsia="el-GR"/>
        </w:rPr>
        <w:t>оператора преносних система за електричну енергију (</w:t>
      </w:r>
      <w:r w:rsidRPr="00FF386D">
        <w:rPr>
          <w:rFonts w:asciiTheme="majorHAnsi" w:eastAsia="Times New Roman" w:hAnsiTheme="majorHAnsi" w:cstheme="majorHAnsi"/>
          <w:i/>
          <w:iCs/>
          <w:lang w:eastAsia="el-GR"/>
        </w:rPr>
        <w:t>ENTSO-E).</w:t>
      </w:r>
      <w:r w:rsidRPr="00FF386D">
        <w:rPr>
          <w:rFonts w:asciiTheme="majorHAnsi" w:eastAsia="Times New Roman" w:hAnsiTheme="majorHAnsi" w:cstheme="majorHAnsi"/>
          <w:lang w:eastAsia="el-GR"/>
        </w:rPr>
        <w:t xml:space="preserve"> ЕМС је такође један од оснивача првог регионалног координатора за сигурност у југоисточној Европи, компаније Центар за координацију сигурности СЦЦ, доо Београд, и </w:t>
      </w:r>
      <w:r w:rsidR="004D6EB0" w:rsidRPr="00FF386D">
        <w:rPr>
          <w:rFonts w:asciiTheme="majorHAnsi" w:eastAsia="Times New Roman" w:hAnsiTheme="majorHAnsi" w:cstheme="majorHAnsi"/>
          <w:lang w:eastAsia="el-GR"/>
        </w:rPr>
        <w:t>заинтересована</w:t>
      </w:r>
      <w:r w:rsidRPr="00FF386D">
        <w:rPr>
          <w:rFonts w:asciiTheme="majorHAnsi" w:eastAsia="Times New Roman" w:hAnsiTheme="majorHAnsi" w:cstheme="majorHAnsi"/>
          <w:lang w:eastAsia="el-GR"/>
        </w:rPr>
        <w:t xml:space="preserve"> страна заједно са „Црногорским електропреносним системом“ </w:t>
      </w:r>
      <w:r w:rsidR="004D6EB0" w:rsidRPr="00FF386D">
        <w:rPr>
          <w:rFonts w:asciiTheme="majorHAnsi" w:eastAsia="Times New Roman" w:hAnsiTheme="majorHAnsi" w:cstheme="majorHAnsi"/>
          <w:lang w:eastAsia="el-GR"/>
        </w:rPr>
        <w:t xml:space="preserve">а.д. </w:t>
      </w:r>
      <w:r w:rsidRPr="00FF386D">
        <w:rPr>
          <w:rFonts w:asciiTheme="majorHAnsi" w:eastAsia="Times New Roman" w:hAnsiTheme="majorHAnsi" w:cstheme="majorHAnsi"/>
          <w:lang w:eastAsia="el-GR"/>
        </w:rPr>
        <w:t>(ЦГЕС), односно ОПС из Црне Горе и „Независним оператором система у Босни и Херцеговини ”(НОСБиХ), односно НОС из Босне и Херцеговине.</w:t>
      </w:r>
    </w:p>
    <w:p w14:paraId="1AA3FF4B" w14:textId="6F9F365D"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Агенција за енергетику Републике Србије учествује у раду Регулаторног одбора Енергетске заједнице </w:t>
      </w:r>
      <w:r w:rsidR="009C7C73" w:rsidRPr="00FF386D">
        <w:rPr>
          <w:rFonts w:asciiTheme="majorHAnsi" w:eastAsia="Times New Roman" w:hAnsiTheme="majorHAnsi" w:cstheme="majorHAnsi"/>
          <w:lang w:eastAsia="el-GR"/>
        </w:rPr>
        <w:t>који је</w:t>
      </w:r>
      <w:r w:rsidRPr="00FF386D">
        <w:rPr>
          <w:rFonts w:asciiTheme="majorHAnsi" w:eastAsia="Times New Roman" w:hAnsiTheme="majorHAnsi" w:cstheme="majorHAnsi"/>
          <w:lang w:eastAsia="el-GR"/>
        </w:rPr>
        <w:t xml:space="preserve"> део саветодавног тела Министарског савета Енергетске заједнице, као и у раду Форума за електричну енергију и </w:t>
      </w:r>
      <w:r w:rsidR="000A6729" w:rsidRPr="00FF386D">
        <w:rPr>
          <w:rFonts w:asciiTheme="majorHAnsi" w:eastAsia="Times New Roman" w:hAnsiTheme="majorHAnsi" w:cstheme="majorHAnsi"/>
          <w:lang w:eastAsia="el-GR"/>
        </w:rPr>
        <w:t xml:space="preserve">Форума за </w:t>
      </w:r>
      <w:r w:rsidRPr="00FF386D">
        <w:rPr>
          <w:rFonts w:asciiTheme="majorHAnsi" w:eastAsia="Times New Roman" w:hAnsiTheme="majorHAnsi" w:cstheme="majorHAnsi"/>
          <w:lang w:eastAsia="el-GR"/>
        </w:rPr>
        <w:t>природни гас и Балканског форума. Агенција за енергетику Републике Србије пуноправни је члан Регионалног удружења енергетских регулатора (</w:t>
      </w:r>
      <w:r w:rsidR="004B17A5" w:rsidRPr="00FF386D">
        <w:rPr>
          <w:rFonts w:asciiTheme="majorHAnsi" w:eastAsia="Times New Roman" w:hAnsiTheme="majorHAnsi" w:cstheme="majorHAnsi"/>
          <w:i/>
          <w:iCs/>
          <w:lang w:eastAsia="el-GR"/>
        </w:rPr>
        <w:t>ERRA</w:t>
      </w:r>
      <w:r w:rsidRPr="00FF386D">
        <w:rPr>
          <w:rFonts w:asciiTheme="majorHAnsi" w:eastAsia="Times New Roman" w:hAnsiTheme="majorHAnsi" w:cstheme="majorHAnsi"/>
          <w:lang w:eastAsia="el-GR"/>
        </w:rPr>
        <w:t xml:space="preserve">), специјализованог удружења регулатора чији је циљ побољшање сарадње, размена искустава и изградња капацитета регулатора </w:t>
      </w:r>
      <w:r w:rsidR="000A6729" w:rsidRPr="00FF386D">
        <w:rPr>
          <w:rFonts w:asciiTheme="majorHAnsi" w:eastAsia="Times New Roman" w:hAnsiTheme="majorHAnsi" w:cstheme="majorHAnsi"/>
          <w:lang w:eastAsia="el-GR"/>
        </w:rPr>
        <w:t>земаља чланица</w:t>
      </w:r>
      <w:r w:rsidRPr="00FF386D">
        <w:rPr>
          <w:rFonts w:asciiTheme="majorHAnsi" w:eastAsia="Times New Roman" w:hAnsiTheme="majorHAnsi" w:cstheme="majorHAnsi"/>
          <w:lang w:eastAsia="el-GR"/>
        </w:rPr>
        <w:t>. Агенција за енергетику Републике Србије такође учествује, као посматрач, у раду Савета европских енергетских регулатора (</w:t>
      </w:r>
      <w:r w:rsidR="004B17A5" w:rsidRPr="00FF386D">
        <w:rPr>
          <w:rFonts w:asciiTheme="majorHAnsi" w:eastAsia="Times New Roman" w:hAnsiTheme="majorHAnsi" w:cstheme="majorHAnsi"/>
          <w:i/>
          <w:iCs/>
          <w:lang w:eastAsia="el-GR"/>
        </w:rPr>
        <w:t>CEER</w:t>
      </w:r>
      <w:r w:rsidRPr="00FF386D">
        <w:rPr>
          <w:rFonts w:asciiTheme="majorHAnsi" w:eastAsia="Times New Roman" w:hAnsiTheme="majorHAnsi" w:cstheme="majorHAnsi"/>
          <w:lang w:eastAsia="el-GR"/>
        </w:rPr>
        <w:t xml:space="preserve">). Придруживањем овом Савету, </w:t>
      </w:r>
      <w:r w:rsidR="0039141C" w:rsidRPr="00FF386D">
        <w:rPr>
          <w:rFonts w:asciiTheme="majorHAnsi" w:eastAsia="Times New Roman" w:hAnsiTheme="majorHAnsi" w:cstheme="majorHAnsi"/>
          <w:lang w:eastAsia="el-GR"/>
        </w:rPr>
        <w:t>Агенција</w:t>
      </w:r>
      <w:r w:rsidRPr="00FF386D">
        <w:rPr>
          <w:rFonts w:asciiTheme="majorHAnsi" w:eastAsia="Times New Roman" w:hAnsiTheme="majorHAnsi" w:cstheme="majorHAnsi"/>
          <w:lang w:eastAsia="el-GR"/>
        </w:rPr>
        <w:t xml:space="preserve"> за енергетику стиче искуство у примени Трећег </w:t>
      </w:r>
      <w:r w:rsidR="000A6729" w:rsidRPr="00FF386D">
        <w:rPr>
          <w:rFonts w:asciiTheme="majorHAnsi" w:eastAsia="Times New Roman" w:hAnsiTheme="majorHAnsi" w:cstheme="majorHAnsi"/>
          <w:lang w:eastAsia="el-GR"/>
        </w:rPr>
        <w:t xml:space="preserve">законодавног </w:t>
      </w:r>
      <w:r w:rsidRPr="00FF386D">
        <w:rPr>
          <w:rFonts w:asciiTheme="majorHAnsi" w:eastAsia="Times New Roman" w:hAnsiTheme="majorHAnsi" w:cstheme="majorHAnsi"/>
          <w:lang w:eastAsia="el-GR"/>
        </w:rPr>
        <w:t>пакета и упознаје изазове са којима се државе чланице ЕУ суочавају у стварању јединственог, конкурентног, ефикасног и одрживог унутрашњег енергетског тржишта у Европској унији, као и нове пакете европског законодавства.</w:t>
      </w:r>
    </w:p>
    <w:p w14:paraId="208596B9" w14:textId="1E4F9674"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w:t>
      </w:r>
      <w:r w:rsidRPr="00FF386D">
        <w:rPr>
          <w:rFonts w:asciiTheme="majorHAnsi" w:eastAsia="Times New Roman" w:hAnsiTheme="majorHAnsi" w:cstheme="majorHAnsi"/>
          <w:i/>
          <w:iCs/>
          <w:lang w:eastAsia="el-GR"/>
        </w:rPr>
        <w:t>SEEPEX</w:t>
      </w:r>
      <w:r w:rsidRPr="00FF386D">
        <w:rPr>
          <w:rFonts w:asciiTheme="majorHAnsi" w:eastAsia="Times New Roman" w:hAnsiTheme="majorHAnsi" w:cstheme="majorHAnsi"/>
          <w:lang w:eastAsia="el-GR"/>
        </w:rPr>
        <w:t xml:space="preserve">“ је учесник пројекта </w:t>
      </w:r>
      <w:r w:rsidRPr="00FF386D">
        <w:rPr>
          <w:rFonts w:asciiTheme="majorHAnsi" w:eastAsia="Times New Roman" w:hAnsiTheme="majorHAnsi" w:cstheme="majorHAnsi"/>
          <w:i/>
          <w:iCs/>
          <w:lang w:eastAsia="el-GR"/>
        </w:rPr>
        <w:t>TRINITY</w:t>
      </w:r>
      <w:r w:rsidRPr="00FF386D">
        <w:rPr>
          <w:rFonts w:asciiTheme="majorHAnsi" w:eastAsia="Times New Roman" w:hAnsiTheme="majorHAnsi" w:cstheme="majorHAnsi"/>
          <w:lang w:eastAsia="el-GR"/>
        </w:rPr>
        <w:t xml:space="preserve"> (унапређење преносног система регионалних граница помоћу технологије интелигентних тржишта), чији је главни циљ јачање сарадње и координације између оператора преносних система југоисточне Европе (ЈИЕ) у циљу подршке интеграцији тржишта електричне енергије у региону, </w:t>
      </w:r>
      <w:r w:rsidR="004D6EB0" w:rsidRPr="00FF386D">
        <w:rPr>
          <w:rFonts w:asciiTheme="majorHAnsi" w:eastAsia="Times New Roman" w:hAnsiTheme="majorHAnsi" w:cstheme="majorHAnsi"/>
          <w:lang w:eastAsia="el-GR"/>
        </w:rPr>
        <w:t>при чему се подстиче</w:t>
      </w:r>
      <w:r w:rsidRPr="00FF386D">
        <w:rPr>
          <w:rFonts w:asciiTheme="majorHAnsi" w:eastAsia="Times New Roman" w:hAnsiTheme="majorHAnsi" w:cstheme="majorHAnsi"/>
          <w:lang w:eastAsia="el-GR"/>
        </w:rPr>
        <w:t xml:space="preserve"> веће</w:t>
      </w:r>
      <w:r w:rsidR="004D6EB0"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lang w:eastAsia="el-GR"/>
        </w:rPr>
        <w:t>учешћ</w:t>
      </w:r>
      <w:r w:rsidR="004D6EB0" w:rsidRPr="00FF386D">
        <w:rPr>
          <w:rFonts w:asciiTheme="majorHAnsi" w:eastAsia="Times New Roman" w:hAnsiTheme="majorHAnsi" w:cstheme="majorHAnsi"/>
          <w:lang w:eastAsia="el-GR"/>
        </w:rPr>
        <w:t>е</w:t>
      </w:r>
      <w:r w:rsidRPr="00FF386D">
        <w:rPr>
          <w:rFonts w:asciiTheme="majorHAnsi" w:eastAsia="Times New Roman" w:hAnsiTheme="majorHAnsi" w:cstheme="majorHAnsi"/>
          <w:lang w:eastAsia="el-GR"/>
        </w:rPr>
        <w:t xml:space="preserve"> чистих извора енергије. </w:t>
      </w:r>
      <w:r w:rsidRPr="00FF386D">
        <w:rPr>
          <w:rFonts w:asciiTheme="majorHAnsi" w:eastAsia="Times New Roman" w:hAnsiTheme="majorHAnsi" w:cstheme="majorHAnsi"/>
          <w:i/>
          <w:iCs/>
          <w:lang w:eastAsia="el-GR"/>
        </w:rPr>
        <w:t>TRINITY</w:t>
      </w:r>
      <w:r w:rsidRPr="00FF386D">
        <w:rPr>
          <w:rFonts w:asciiTheme="majorHAnsi" w:eastAsia="Times New Roman" w:hAnsiTheme="majorHAnsi" w:cstheme="majorHAnsi"/>
          <w:lang w:eastAsia="el-GR"/>
        </w:rPr>
        <w:t xml:space="preserve"> се бави Оквирним програмом </w:t>
      </w:r>
      <w:r w:rsidR="004D6EB0" w:rsidRPr="00FF386D">
        <w:rPr>
          <w:rFonts w:asciiTheme="majorHAnsi" w:eastAsia="Times New Roman" w:hAnsiTheme="majorHAnsi" w:cstheme="majorHAnsi"/>
          <w:lang w:eastAsia="el-GR"/>
        </w:rPr>
        <w:t xml:space="preserve">ЕУ </w:t>
      </w:r>
      <w:r w:rsidRPr="00FF386D">
        <w:rPr>
          <w:rFonts w:asciiTheme="majorHAnsi" w:eastAsia="Times New Roman" w:hAnsiTheme="majorHAnsi" w:cstheme="majorHAnsi"/>
          <w:lang w:eastAsia="el-GR"/>
        </w:rPr>
        <w:t>за истраживања Хоризонт 2020. у оквиру циља „изградње нискоугљеничне и климатски резистентне будућности: сигурне, чисте и ефикасне енергије”. „</w:t>
      </w:r>
      <w:r w:rsidRPr="00FF386D">
        <w:rPr>
          <w:rFonts w:asciiTheme="majorHAnsi" w:eastAsia="Times New Roman" w:hAnsiTheme="majorHAnsi" w:cstheme="majorHAnsi"/>
          <w:i/>
          <w:iCs/>
          <w:lang w:eastAsia="el-GR"/>
        </w:rPr>
        <w:t>SEEPEX</w:t>
      </w:r>
      <w:r w:rsidRPr="00FF386D">
        <w:rPr>
          <w:rFonts w:asciiTheme="majorHAnsi" w:eastAsia="Times New Roman" w:hAnsiTheme="majorHAnsi" w:cstheme="majorHAnsi"/>
          <w:lang w:eastAsia="el-GR"/>
        </w:rPr>
        <w:t xml:space="preserve">“ је водећи за Радни пакет 3: </w:t>
      </w:r>
      <w:r w:rsidRPr="00FF386D">
        <w:rPr>
          <w:rFonts w:asciiTheme="majorHAnsi" w:eastAsia="Times New Roman" w:hAnsiTheme="majorHAnsi" w:cstheme="majorHAnsi"/>
          <w:i/>
          <w:iCs/>
          <w:lang w:eastAsia="el-GR"/>
        </w:rPr>
        <w:t>TRINITY SEE</w:t>
      </w:r>
      <w:r w:rsidRPr="00FF386D">
        <w:rPr>
          <w:rFonts w:asciiTheme="majorHAnsi" w:eastAsia="Times New Roman" w:hAnsiTheme="majorHAnsi" w:cstheme="majorHAnsi"/>
          <w:lang w:eastAsia="el-GR"/>
        </w:rPr>
        <w:t xml:space="preserve"> Оквир за прекогранично повезивање тржишта, који има за циљ да покаже предности координираног рада унутар-дневног тржишта електричне енергије, заједничког регионалног тржишта резервних капацитета, билатералне трговине и тржишта гаранција порекла, узимајући у обзир земље чланице ЕУ и земље које нису чланице ЕУ.</w:t>
      </w:r>
    </w:p>
    <w:p w14:paraId="0BCCA9C2" w14:textId="77777777" w:rsidR="00EB3C75" w:rsidRPr="00FF386D" w:rsidRDefault="00EB3C75">
      <w:pPr>
        <w:pStyle w:val="ListParagraph"/>
        <w:keepNext/>
        <w:keepLines/>
        <w:numPr>
          <w:ilvl w:val="0"/>
          <w:numId w:val="259"/>
        </w:numPr>
        <w:spacing w:before="200" w:after="0" w:line="240" w:lineRule="auto"/>
        <w:outlineLvl w:val="3"/>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lastRenderedPageBreak/>
        <w:t>Структура управљања имплементацијом националних енергетских и климатских политика</w:t>
      </w:r>
    </w:p>
    <w:p w14:paraId="45992E53" w14:textId="66A04710"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Процес израде и припреме </w:t>
      </w:r>
      <w:r w:rsidR="003E31FD" w:rsidRPr="00FF386D">
        <w:rPr>
          <w:rFonts w:asciiTheme="majorHAnsi" w:eastAsia="Times New Roman" w:hAnsiTheme="majorHAnsi" w:cstheme="majorHAnsi"/>
          <w:lang w:eastAsia="el-GR"/>
        </w:rPr>
        <w:t>Интегрисаног н</w:t>
      </w:r>
      <w:r w:rsidRPr="00FF386D">
        <w:rPr>
          <w:rFonts w:asciiTheme="majorHAnsi" w:eastAsia="Times New Roman" w:hAnsiTheme="majorHAnsi" w:cstheme="majorHAnsi"/>
          <w:lang w:eastAsia="el-GR"/>
        </w:rPr>
        <w:t xml:space="preserve">ационалног енергетског и климатског плана спроводи се у оквиру пројекта „Даљи развој капацитета за енергетско планирање“, покренутог фебруара 2021. </w:t>
      </w:r>
      <w:r w:rsidR="004B17A5" w:rsidRPr="00FF386D">
        <w:rPr>
          <w:rFonts w:asciiTheme="majorHAnsi" w:eastAsia="Times New Roman" w:hAnsiTheme="majorHAnsi" w:cstheme="majorHAnsi"/>
          <w:lang w:eastAsia="el-GR"/>
        </w:rPr>
        <w:t xml:space="preserve">године. </w:t>
      </w:r>
      <w:r w:rsidRPr="00FF386D">
        <w:rPr>
          <w:rFonts w:asciiTheme="majorHAnsi" w:eastAsia="Times New Roman" w:hAnsiTheme="majorHAnsi" w:cstheme="majorHAnsi"/>
          <w:lang w:eastAsia="el-GR"/>
        </w:rPr>
        <w:t xml:space="preserve">Након што су </w:t>
      </w:r>
      <w:r w:rsidR="004D6EB0" w:rsidRPr="00FF386D">
        <w:rPr>
          <w:rFonts w:asciiTheme="majorHAnsi" w:eastAsia="Times New Roman" w:hAnsiTheme="majorHAnsi" w:cstheme="majorHAnsi"/>
          <w:lang w:eastAsia="el-GR"/>
        </w:rPr>
        <w:t>одређене</w:t>
      </w:r>
      <w:r w:rsidRPr="00FF386D">
        <w:rPr>
          <w:rFonts w:asciiTheme="majorHAnsi" w:eastAsia="Times New Roman" w:hAnsiTheme="majorHAnsi" w:cstheme="majorHAnsi"/>
          <w:lang w:eastAsia="el-GR"/>
        </w:rPr>
        <w:t xml:space="preserve"> релевантне институције, тела и </w:t>
      </w:r>
      <w:r w:rsidR="00215140">
        <w:rPr>
          <w:rFonts w:asciiTheme="majorHAnsi" w:eastAsia="Times New Roman" w:hAnsiTheme="majorHAnsi" w:cstheme="majorHAnsi"/>
          <w:lang w:eastAsia="el-GR"/>
        </w:rPr>
        <w:t>предузећа</w:t>
      </w:r>
      <w:r w:rsidRPr="00FF386D">
        <w:rPr>
          <w:rFonts w:asciiTheme="majorHAnsi" w:eastAsia="Times New Roman" w:hAnsiTheme="majorHAnsi" w:cstheme="majorHAnsi"/>
          <w:lang w:eastAsia="el-GR"/>
        </w:rPr>
        <w:t>, формиране су Радне групе (видети Поглавље 1.3.ii).</w:t>
      </w:r>
    </w:p>
    <w:p w14:paraId="26082BE5" w14:textId="11884D5E" w:rsidR="009648CB"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Влада Републике Србије представља национално тело надлежно за усвајање</w:t>
      </w:r>
      <w:r w:rsidR="009648CB" w:rsidRPr="00FF386D">
        <w:rPr>
          <w:rFonts w:asciiTheme="majorHAnsi" w:eastAsia="Times New Roman" w:hAnsiTheme="majorHAnsi" w:cstheme="majorHAnsi"/>
          <w:lang w:eastAsia="el-GR"/>
        </w:rPr>
        <w:t xml:space="preserve"> за период до десет година,</w:t>
      </w:r>
      <w:r w:rsidRPr="00FF386D">
        <w:rPr>
          <w:rFonts w:asciiTheme="majorHAnsi" w:eastAsia="Times New Roman" w:hAnsiTheme="majorHAnsi" w:cstheme="majorHAnsi"/>
          <w:lang w:eastAsia="el-GR"/>
        </w:rPr>
        <w:t xml:space="preserve"> у складу са Законом о енергетици, док је Министарство рударства и енергетике одговорно за </w:t>
      </w:r>
      <w:r w:rsidR="00675AB9" w:rsidRPr="00FF386D">
        <w:rPr>
          <w:rFonts w:asciiTheme="majorHAnsi" w:eastAsia="Times New Roman" w:hAnsiTheme="majorHAnsi" w:cstheme="majorHAnsi"/>
          <w:lang w:eastAsia="el-GR"/>
        </w:rPr>
        <w:t xml:space="preserve">израду </w:t>
      </w:r>
      <w:r w:rsidR="009648CB" w:rsidRPr="00FF386D">
        <w:rPr>
          <w:rFonts w:asciiTheme="majorHAnsi" w:eastAsia="Times New Roman" w:hAnsiTheme="majorHAnsi" w:cstheme="majorHAnsi"/>
          <w:lang w:eastAsia="el-GR"/>
        </w:rPr>
        <w:t xml:space="preserve">ИНЕКП-а у сарадњи са </w:t>
      </w:r>
      <w:r w:rsidR="004D6EB0" w:rsidRPr="00FF386D">
        <w:rPr>
          <w:rFonts w:asciiTheme="majorHAnsi" w:eastAsia="Times New Roman" w:hAnsiTheme="majorHAnsi" w:cstheme="majorHAnsi"/>
          <w:lang w:eastAsia="el-GR"/>
        </w:rPr>
        <w:t xml:space="preserve">другим </w:t>
      </w:r>
      <w:r w:rsidR="009648CB" w:rsidRPr="00FF386D">
        <w:rPr>
          <w:rFonts w:asciiTheme="majorHAnsi" w:eastAsia="Times New Roman" w:hAnsiTheme="majorHAnsi" w:cstheme="majorHAnsi"/>
          <w:lang w:eastAsia="el-GR"/>
        </w:rPr>
        <w:t>одговарајућим министарствима.</w:t>
      </w:r>
      <w:r w:rsidRPr="00FF386D">
        <w:rPr>
          <w:rFonts w:asciiTheme="majorHAnsi" w:eastAsia="Times New Roman" w:hAnsiTheme="majorHAnsi" w:cstheme="majorHAnsi"/>
          <w:lang w:eastAsia="el-GR"/>
        </w:rPr>
        <w:t xml:space="preserve"> Током развоја и израде </w:t>
      </w:r>
      <w:r w:rsidR="009648CB" w:rsidRPr="00FF386D">
        <w:rPr>
          <w:rFonts w:asciiTheme="majorHAnsi" w:eastAsia="Times New Roman" w:hAnsiTheme="majorHAnsi" w:cstheme="majorHAnsi"/>
          <w:lang w:eastAsia="el-GR"/>
        </w:rPr>
        <w:t>И</w:t>
      </w:r>
      <w:r w:rsidRPr="00FF386D">
        <w:rPr>
          <w:rFonts w:asciiTheme="majorHAnsi" w:eastAsia="Times New Roman" w:hAnsiTheme="majorHAnsi" w:cstheme="majorHAnsi"/>
          <w:lang w:eastAsia="el-GR"/>
        </w:rPr>
        <w:t>НЕКП-а, консултант је пружио техничку подршку Министарству рударства и енергетике као и другим институцијама и телима укљученим у процес, у смислу преношења знања заснованог на великом међународном искуству, примени најбољих решења и специфичн</w:t>
      </w:r>
      <w:r w:rsidR="004D6EB0" w:rsidRPr="00FF386D">
        <w:rPr>
          <w:rFonts w:asciiTheme="majorHAnsi" w:eastAsia="Times New Roman" w:hAnsiTheme="majorHAnsi" w:cstheme="majorHAnsi"/>
          <w:lang w:eastAsia="el-GR"/>
        </w:rPr>
        <w:t>ог стручног знања</w:t>
      </w:r>
      <w:r w:rsidRPr="00FF386D">
        <w:rPr>
          <w:rFonts w:asciiTheme="majorHAnsi" w:eastAsia="Times New Roman" w:hAnsiTheme="majorHAnsi" w:cstheme="majorHAnsi"/>
          <w:lang w:eastAsia="el-GR"/>
        </w:rPr>
        <w:t xml:space="preserve"> кој</w:t>
      </w:r>
      <w:r w:rsidR="004D6EB0" w:rsidRPr="00FF386D">
        <w:rPr>
          <w:rFonts w:asciiTheme="majorHAnsi" w:eastAsia="Times New Roman" w:hAnsiTheme="majorHAnsi" w:cstheme="majorHAnsi"/>
          <w:lang w:eastAsia="el-GR"/>
        </w:rPr>
        <w:t>е</w:t>
      </w:r>
      <w:r w:rsidRPr="00FF386D">
        <w:rPr>
          <w:rFonts w:asciiTheme="majorHAnsi" w:eastAsia="Times New Roman" w:hAnsiTheme="majorHAnsi" w:cstheme="majorHAnsi"/>
          <w:lang w:eastAsia="el-GR"/>
        </w:rPr>
        <w:t xml:space="preserve"> ће олакшати и убрзати процес. Коначно, одговорност за надзор над напретком пројекта припада Управном одбору пројекта, телу које се састоји од различитих владиних институција, и одговорно је за имплементацију и праћење.</w:t>
      </w:r>
    </w:p>
    <w:p w14:paraId="42453BA2" w14:textId="1E0270F5" w:rsidR="00501424" w:rsidRDefault="00501424" w:rsidP="00565B02">
      <w:pPr>
        <w:pStyle w:val="Caption"/>
        <w:keepNext/>
      </w:pPr>
      <w:bookmarkStart w:id="57" w:name="_Toc153901344"/>
      <w:r>
        <w:t xml:space="preserve">Слика </w:t>
      </w:r>
      <w:r w:rsidR="00F35B2C">
        <w:fldChar w:fldCharType="begin"/>
      </w:r>
      <w:r w:rsidR="00F35B2C">
        <w:instrText xml:space="preserve"> STYLEREF 1 \s </w:instrText>
      </w:r>
      <w:r w:rsidR="00F35B2C">
        <w:fldChar w:fldCharType="separate"/>
      </w:r>
      <w:r w:rsidR="00F35B2C">
        <w:rPr>
          <w:noProof/>
        </w:rPr>
        <w:t>1</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14</w:t>
      </w:r>
      <w:r w:rsidR="00F35B2C">
        <w:fldChar w:fldCharType="end"/>
      </w:r>
      <w:r>
        <w:t xml:space="preserve">: </w:t>
      </w:r>
      <w:r w:rsidRPr="00501424">
        <w:t>Управљање припремом и развојем Интегрисаног националног енергетског и климатског плана</w:t>
      </w:r>
      <w:bookmarkEnd w:id="57"/>
    </w:p>
    <w:p w14:paraId="423A0788" w14:textId="2FEF8003" w:rsidR="00EB3C75" w:rsidRPr="00FF386D" w:rsidRDefault="00330AC1" w:rsidP="00EB3C75">
      <w:pPr>
        <w:spacing w:before="120" w:after="120" w:line="240" w:lineRule="auto"/>
        <w:jc w:val="center"/>
        <w:rPr>
          <w:rFonts w:asciiTheme="majorHAnsi" w:eastAsia="Times New Roman" w:hAnsiTheme="majorHAnsi" w:cstheme="majorHAnsi"/>
          <w:lang w:eastAsia="el-GR"/>
        </w:rPr>
      </w:pPr>
      <w:r w:rsidRPr="004F53D7">
        <w:rPr>
          <w:rFonts w:asciiTheme="majorHAnsi" w:eastAsia="Times New Roman" w:hAnsiTheme="majorHAnsi" w:cstheme="majorHAnsi"/>
          <w:noProof/>
          <w:lang w:val="en-US"/>
        </w:rPr>
        <w:drawing>
          <wp:inline distT="0" distB="0" distL="0" distR="0" wp14:anchorId="7CDEF6E5" wp14:editId="10E83D86">
            <wp:extent cx="6036310" cy="2731354"/>
            <wp:effectExtent l="0" t="0" r="2540" b="0"/>
            <wp:docPr id="2021907906" name="Picture 2021907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56264" cy="2740383"/>
                    </a:xfrm>
                    <a:prstGeom prst="rect">
                      <a:avLst/>
                    </a:prstGeom>
                    <a:noFill/>
                  </pic:spPr>
                </pic:pic>
              </a:graphicData>
            </a:graphic>
          </wp:inline>
        </w:drawing>
      </w:r>
    </w:p>
    <w:p w14:paraId="756E6781" w14:textId="02205979"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Енергетска заједница је у одређеној мери вршила своју саветодавну улогу, углавном током званичних консултација Републике Србије са Секретаријатом Енергетске заједнице о Нацрту </w:t>
      </w:r>
      <w:r w:rsidR="009648CB" w:rsidRPr="00FF386D">
        <w:rPr>
          <w:rFonts w:asciiTheme="majorHAnsi" w:eastAsia="Times New Roman" w:hAnsiTheme="majorHAnsi" w:cstheme="majorHAnsi"/>
          <w:lang w:eastAsia="el-GR"/>
        </w:rPr>
        <w:t>И</w:t>
      </w:r>
      <w:r w:rsidRPr="00FF386D">
        <w:rPr>
          <w:rFonts w:asciiTheme="majorHAnsi" w:eastAsia="Times New Roman" w:hAnsiTheme="majorHAnsi" w:cstheme="majorHAnsi"/>
          <w:lang w:eastAsia="el-GR"/>
        </w:rPr>
        <w:t xml:space="preserve">НЕКП-а и приликом давања препорука за финализацију документа. Међутим, од ране фазе развоја и припреме </w:t>
      </w:r>
      <w:r w:rsidR="009648CB" w:rsidRPr="00FF386D">
        <w:rPr>
          <w:rFonts w:asciiTheme="majorHAnsi" w:eastAsia="Times New Roman" w:hAnsiTheme="majorHAnsi" w:cstheme="majorHAnsi"/>
          <w:lang w:eastAsia="el-GR"/>
        </w:rPr>
        <w:t>И</w:t>
      </w:r>
      <w:r w:rsidRPr="00FF386D">
        <w:rPr>
          <w:rFonts w:asciiTheme="majorHAnsi" w:eastAsia="Times New Roman" w:hAnsiTheme="majorHAnsi" w:cstheme="majorHAnsi"/>
          <w:lang w:eastAsia="el-GR"/>
        </w:rPr>
        <w:t xml:space="preserve">НЕКП-а, Енергетска заједница је редовно пратила напредак </w:t>
      </w:r>
      <w:r w:rsidR="004B17A5" w:rsidRPr="00FF386D">
        <w:rPr>
          <w:rFonts w:asciiTheme="majorHAnsi" w:eastAsia="Times New Roman" w:hAnsiTheme="majorHAnsi" w:cstheme="majorHAnsi"/>
          <w:lang w:eastAsia="el-GR"/>
        </w:rPr>
        <w:t>целокупног</w:t>
      </w:r>
      <w:r w:rsidRPr="00FF386D">
        <w:rPr>
          <w:rFonts w:asciiTheme="majorHAnsi" w:eastAsia="Times New Roman" w:hAnsiTheme="majorHAnsi" w:cstheme="majorHAnsi"/>
          <w:lang w:eastAsia="el-GR"/>
        </w:rPr>
        <w:t xml:space="preserve"> процеса, првенствено кроз различите радне групе Енергетске заједнице и друге одговарајуће платформе и механизме комуникације.</w:t>
      </w:r>
    </w:p>
    <w:p w14:paraId="192D7CAE" w14:textId="7A5A2363" w:rsidR="009C67B9" w:rsidRPr="00FF386D" w:rsidRDefault="009C67B9" w:rsidP="009C67B9">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Министарство заштите животне средине је </w:t>
      </w:r>
      <w:r w:rsidR="00215140">
        <w:rPr>
          <w:rFonts w:asciiTheme="majorHAnsi" w:eastAsia="Times New Roman" w:hAnsiTheme="majorHAnsi" w:cstheme="majorHAnsi"/>
          <w:lang w:eastAsia="el-GR"/>
        </w:rPr>
        <w:t>надлежно</w:t>
      </w:r>
      <w:r w:rsidRPr="00FF386D">
        <w:rPr>
          <w:rFonts w:asciiTheme="majorHAnsi" w:eastAsia="Times New Roman" w:hAnsiTheme="majorHAnsi" w:cstheme="majorHAnsi"/>
          <w:lang w:eastAsia="el-GR"/>
        </w:rPr>
        <w:t xml:space="preserve"> за </w:t>
      </w:r>
      <w:r w:rsidR="00215140">
        <w:rPr>
          <w:rFonts w:asciiTheme="majorHAnsi" w:eastAsia="Times New Roman" w:hAnsiTheme="majorHAnsi" w:cstheme="majorHAnsi"/>
          <w:lang w:eastAsia="el-GR"/>
        </w:rPr>
        <w:t>праћење</w:t>
      </w:r>
      <w:r w:rsidRPr="00FF386D">
        <w:rPr>
          <w:rFonts w:asciiTheme="majorHAnsi" w:eastAsia="Times New Roman" w:hAnsiTheme="majorHAnsi" w:cstheme="majorHAnsi"/>
          <w:lang w:eastAsia="el-GR"/>
        </w:rPr>
        <w:t xml:space="preserve"> и извештавање </w:t>
      </w:r>
      <w:r w:rsidR="00215140">
        <w:rPr>
          <w:rFonts w:asciiTheme="majorHAnsi" w:eastAsia="Times New Roman" w:hAnsiTheme="majorHAnsi" w:cstheme="majorHAnsi"/>
          <w:lang w:eastAsia="el-GR"/>
        </w:rPr>
        <w:t xml:space="preserve">о </w:t>
      </w:r>
      <w:r w:rsidRPr="00FF386D">
        <w:rPr>
          <w:rFonts w:asciiTheme="majorHAnsi" w:eastAsia="Times New Roman" w:hAnsiTheme="majorHAnsi" w:cstheme="majorHAnsi"/>
          <w:lang w:eastAsia="el-GR"/>
        </w:rPr>
        <w:t>политика</w:t>
      </w:r>
      <w:r w:rsidR="00215140">
        <w:rPr>
          <w:rFonts w:asciiTheme="majorHAnsi" w:eastAsia="Times New Roman" w:hAnsiTheme="majorHAnsi" w:cstheme="majorHAnsi"/>
          <w:lang w:eastAsia="el-GR"/>
        </w:rPr>
        <w:t>ма</w:t>
      </w:r>
      <w:r w:rsidRPr="00FF386D">
        <w:rPr>
          <w:rFonts w:asciiTheme="majorHAnsi" w:eastAsia="Times New Roman" w:hAnsiTheme="majorHAnsi" w:cstheme="majorHAnsi"/>
          <w:lang w:eastAsia="el-GR"/>
        </w:rPr>
        <w:t xml:space="preserve"> и мера</w:t>
      </w:r>
      <w:r w:rsidR="00215140">
        <w:rPr>
          <w:rFonts w:asciiTheme="majorHAnsi" w:eastAsia="Times New Roman" w:hAnsiTheme="majorHAnsi" w:cstheme="majorHAnsi"/>
          <w:lang w:eastAsia="el-GR"/>
        </w:rPr>
        <w:t>ма</w:t>
      </w:r>
      <w:r w:rsidRPr="00FF386D">
        <w:rPr>
          <w:rFonts w:asciiTheme="majorHAnsi" w:eastAsia="Times New Roman" w:hAnsiTheme="majorHAnsi" w:cstheme="majorHAnsi"/>
          <w:lang w:eastAsia="el-GR"/>
        </w:rPr>
        <w:t xml:space="preserve"> које прои</w:t>
      </w:r>
      <w:r w:rsidR="00FF7040">
        <w:rPr>
          <w:rFonts w:asciiTheme="majorHAnsi" w:eastAsia="Times New Roman" w:hAnsiTheme="majorHAnsi" w:cstheme="majorHAnsi"/>
          <w:lang w:val="sr-Cyrl-CS" w:eastAsia="el-GR"/>
        </w:rPr>
        <w:t>з</w:t>
      </w:r>
      <w:r w:rsidR="00215140">
        <w:rPr>
          <w:rFonts w:asciiTheme="majorHAnsi" w:eastAsia="Times New Roman" w:hAnsiTheme="majorHAnsi" w:cstheme="majorHAnsi"/>
          <w:lang w:eastAsia="el-GR"/>
        </w:rPr>
        <w:t>илазе</w:t>
      </w:r>
      <w:r w:rsidRPr="00FF386D">
        <w:rPr>
          <w:rFonts w:asciiTheme="majorHAnsi" w:eastAsia="Times New Roman" w:hAnsiTheme="majorHAnsi" w:cstheme="majorHAnsi"/>
          <w:lang w:eastAsia="el-GR"/>
        </w:rPr>
        <w:t xml:space="preserve"> из усвојене Стратегије нискоугљеничног развоја Републике Србије за период од 2023. до 2030. године са пројекцијама до 2050. године. Такође је </w:t>
      </w:r>
      <w:r w:rsidR="00215140">
        <w:rPr>
          <w:rFonts w:asciiTheme="majorHAnsi" w:eastAsia="Times New Roman" w:hAnsiTheme="majorHAnsi" w:cstheme="majorHAnsi"/>
          <w:lang w:eastAsia="el-GR"/>
        </w:rPr>
        <w:t>и надлежно</w:t>
      </w:r>
      <w:r w:rsidRPr="00FF386D">
        <w:rPr>
          <w:rFonts w:asciiTheme="majorHAnsi" w:eastAsia="Times New Roman" w:hAnsiTheme="majorHAnsi" w:cstheme="majorHAnsi"/>
          <w:lang w:eastAsia="el-GR"/>
        </w:rPr>
        <w:t xml:space="preserve"> за </w:t>
      </w:r>
      <w:r w:rsidR="00215140">
        <w:rPr>
          <w:rFonts w:asciiTheme="majorHAnsi" w:eastAsia="Times New Roman" w:hAnsiTheme="majorHAnsi" w:cstheme="majorHAnsi"/>
          <w:lang w:eastAsia="el-GR"/>
        </w:rPr>
        <w:t>израду</w:t>
      </w:r>
      <w:r w:rsidRPr="00FF386D">
        <w:rPr>
          <w:rFonts w:asciiTheme="majorHAnsi" w:eastAsia="Times New Roman" w:hAnsiTheme="majorHAnsi" w:cstheme="majorHAnsi"/>
          <w:lang w:eastAsia="el-GR"/>
        </w:rPr>
        <w:t xml:space="preserve"> националне међусекторске Стратегије климатских промена са Акционим планом, на основу пројекта који се финансира из ЕУ ИПА фондова. Агенција за заштиту животне средине, као орган у саставу Министарства заштите животне средине, </w:t>
      </w:r>
      <w:r w:rsidR="0009103F">
        <w:rPr>
          <w:rFonts w:asciiTheme="majorHAnsi" w:eastAsia="Times New Roman" w:hAnsiTheme="majorHAnsi" w:cstheme="majorHAnsi"/>
          <w:lang w:eastAsia="el-GR"/>
        </w:rPr>
        <w:t>у</w:t>
      </w:r>
      <w:r w:rsidRPr="00FF386D">
        <w:rPr>
          <w:rFonts w:asciiTheme="majorHAnsi" w:eastAsia="Times New Roman" w:hAnsiTheme="majorHAnsi" w:cstheme="majorHAnsi"/>
          <w:lang w:eastAsia="el-GR"/>
        </w:rPr>
        <w:t xml:space="preserve"> својств</w:t>
      </w:r>
      <w:r w:rsidR="0009103F">
        <w:rPr>
          <w:rFonts w:asciiTheme="majorHAnsi" w:eastAsia="Times New Roman" w:hAnsiTheme="majorHAnsi" w:cstheme="majorHAnsi"/>
          <w:lang w:eastAsia="el-GR"/>
        </w:rPr>
        <w:t>у</w:t>
      </w:r>
      <w:r w:rsidRPr="00FF386D">
        <w:rPr>
          <w:rFonts w:asciiTheme="majorHAnsi" w:eastAsia="Times New Roman" w:hAnsiTheme="majorHAnsi" w:cstheme="majorHAnsi"/>
          <w:lang w:eastAsia="el-GR"/>
        </w:rPr>
        <w:t xml:space="preserve"> правног лица, обавља стручне послове који се односе на развој, усклађивање и вођење националног информационог система заштите животне средине, у оквиру ког се налази инвентар гасова са ефектом стаклене баште.</w:t>
      </w:r>
    </w:p>
    <w:p w14:paraId="2A1AAE4B" w14:textId="7883CD72" w:rsidR="009C67B9" w:rsidRPr="00FF386D" w:rsidRDefault="009C67B9" w:rsidP="009C67B9">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МРЕ спроводи процес аукција за доделу тржишних премија за обновљиве изворе енергије на основу расположивих квота које прописује Влада. Базу података за енергетске прегледе (ЕП) и систем енергетског менаџмента (СЕМИС) организује, спроводи и прати </w:t>
      </w:r>
      <w:r w:rsidR="0009103F">
        <w:rPr>
          <w:rFonts w:asciiTheme="majorHAnsi" w:eastAsia="Times New Roman" w:hAnsiTheme="majorHAnsi" w:cstheme="majorHAnsi"/>
          <w:lang w:eastAsia="el-GR"/>
        </w:rPr>
        <w:t>МРЕ</w:t>
      </w:r>
      <w:r w:rsidRPr="00FF386D">
        <w:rPr>
          <w:rFonts w:asciiTheme="majorHAnsi" w:eastAsia="Times New Roman" w:hAnsiTheme="majorHAnsi" w:cstheme="majorHAnsi"/>
          <w:lang w:eastAsia="el-GR"/>
        </w:rPr>
        <w:t xml:space="preserve">, као и </w:t>
      </w:r>
      <w:r w:rsidR="0009103F">
        <w:rPr>
          <w:rFonts w:asciiTheme="majorHAnsi" w:eastAsia="Times New Roman" w:hAnsiTheme="majorHAnsi" w:cstheme="majorHAnsi"/>
          <w:lang w:eastAsia="el-GR"/>
        </w:rPr>
        <w:t>остваривање</w:t>
      </w:r>
      <w:r w:rsidRPr="00FF386D">
        <w:rPr>
          <w:rFonts w:asciiTheme="majorHAnsi" w:eastAsia="Times New Roman" w:hAnsiTheme="majorHAnsi" w:cstheme="majorHAnsi"/>
          <w:lang w:eastAsia="el-GR"/>
        </w:rPr>
        <w:t xml:space="preserve"> циљева система енергетског менаџмента. Главне активности МРЕ</w:t>
      </w:r>
      <w:r w:rsidR="0009103F">
        <w:rPr>
          <w:rFonts w:asciiTheme="majorHAnsi" w:eastAsia="Times New Roman" w:hAnsiTheme="majorHAnsi" w:cstheme="majorHAnsi"/>
          <w:lang w:eastAsia="el-GR"/>
        </w:rPr>
        <w:t>-а</w:t>
      </w:r>
      <w:r w:rsidRPr="00FF386D">
        <w:rPr>
          <w:rFonts w:asciiTheme="majorHAnsi" w:eastAsia="Times New Roman" w:hAnsiTheme="majorHAnsi" w:cstheme="majorHAnsi"/>
          <w:lang w:eastAsia="el-GR"/>
        </w:rPr>
        <w:t xml:space="preserve"> у области енергетске ефикасности (ЕЕ), као тела државне администрације које је задужено за енергетску ефикасност</w:t>
      </w:r>
      <w:r w:rsidR="0009103F">
        <w:rPr>
          <w:rFonts w:asciiTheme="majorHAnsi" w:eastAsia="Times New Roman" w:hAnsiTheme="majorHAnsi" w:cstheme="majorHAnsi"/>
          <w:lang w:eastAsia="el-GR"/>
        </w:rPr>
        <w:t>,</w:t>
      </w:r>
      <w:r w:rsidRPr="00FF386D">
        <w:rPr>
          <w:rFonts w:asciiTheme="majorHAnsi" w:eastAsia="Times New Roman" w:hAnsiTheme="majorHAnsi" w:cstheme="majorHAnsi"/>
          <w:lang w:eastAsia="el-GR"/>
        </w:rPr>
        <w:t xml:space="preserve"> </w:t>
      </w:r>
      <w:r w:rsidR="0009103F">
        <w:rPr>
          <w:rFonts w:asciiTheme="majorHAnsi" w:eastAsia="Times New Roman" w:hAnsiTheme="majorHAnsi" w:cstheme="majorHAnsi"/>
          <w:lang w:eastAsia="el-GR"/>
        </w:rPr>
        <w:t>је</w:t>
      </w:r>
      <w:r w:rsidRPr="00FF386D">
        <w:rPr>
          <w:rFonts w:asciiTheme="majorHAnsi" w:eastAsia="Times New Roman" w:hAnsiTheme="majorHAnsi" w:cstheme="majorHAnsi"/>
          <w:lang w:eastAsia="el-GR"/>
        </w:rPr>
        <w:t>су креирање политик</w:t>
      </w:r>
      <w:r w:rsidR="0009103F">
        <w:rPr>
          <w:rFonts w:asciiTheme="majorHAnsi" w:eastAsia="Times New Roman" w:hAnsiTheme="majorHAnsi" w:cstheme="majorHAnsi"/>
          <w:lang w:eastAsia="el-GR"/>
        </w:rPr>
        <w:t>а</w:t>
      </w:r>
      <w:r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lang w:eastAsia="el-GR"/>
        </w:rPr>
        <w:lastRenderedPageBreak/>
        <w:t xml:space="preserve">регулаторних услова </w:t>
      </w:r>
      <w:r w:rsidR="0009103F">
        <w:rPr>
          <w:rFonts w:asciiTheme="majorHAnsi" w:eastAsia="Times New Roman" w:hAnsiTheme="majorHAnsi" w:cstheme="majorHAnsi"/>
          <w:lang w:eastAsia="el-GR"/>
        </w:rPr>
        <w:t xml:space="preserve">и услова </w:t>
      </w:r>
      <w:r w:rsidRPr="00FF386D">
        <w:rPr>
          <w:rFonts w:asciiTheme="majorHAnsi" w:eastAsia="Times New Roman" w:hAnsiTheme="majorHAnsi" w:cstheme="majorHAnsi"/>
          <w:lang w:eastAsia="el-GR"/>
        </w:rPr>
        <w:t>за д</w:t>
      </w:r>
      <w:r w:rsidR="0009103F">
        <w:rPr>
          <w:rFonts w:asciiTheme="majorHAnsi" w:eastAsia="Times New Roman" w:hAnsiTheme="majorHAnsi" w:cstheme="majorHAnsi"/>
          <w:lang w:eastAsia="el-GR"/>
        </w:rPr>
        <w:t>оделу</w:t>
      </w:r>
      <w:r w:rsidRPr="00FF386D">
        <w:rPr>
          <w:rFonts w:asciiTheme="majorHAnsi" w:eastAsia="Times New Roman" w:hAnsiTheme="majorHAnsi" w:cstheme="majorHAnsi"/>
          <w:lang w:eastAsia="el-GR"/>
        </w:rPr>
        <w:t xml:space="preserve"> субвенција за рационално коришћење енергије и повећање енергетске ефикасности.</w:t>
      </w:r>
    </w:p>
    <w:p w14:paraId="11B401D6" w14:textId="27527CEE" w:rsidR="009C67B9" w:rsidRPr="00FF386D" w:rsidRDefault="009C67B9" w:rsidP="009C67B9">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За праћење </w:t>
      </w:r>
      <w:r w:rsidR="0009103F">
        <w:rPr>
          <w:rFonts w:asciiTheme="majorHAnsi" w:eastAsia="Times New Roman" w:hAnsiTheme="majorHAnsi" w:cstheme="majorHAnsi"/>
          <w:lang w:eastAsia="el-GR"/>
        </w:rPr>
        <w:t>остваривања</w:t>
      </w:r>
      <w:r w:rsidRPr="00FF386D">
        <w:rPr>
          <w:rFonts w:asciiTheme="majorHAnsi" w:eastAsia="Times New Roman" w:hAnsiTheme="majorHAnsi" w:cstheme="majorHAnsi"/>
          <w:lang w:eastAsia="el-GR"/>
        </w:rPr>
        <w:t xml:space="preserve"> циљева и мера утврђених Стратегијом одрживог урбаног развоја Републике Србије до 2030. године</w:t>
      </w:r>
      <w:r w:rsidR="00D45D24">
        <w:rPr>
          <w:rStyle w:val="FootnoteReference"/>
          <w:rFonts w:asciiTheme="majorHAnsi" w:eastAsia="Times New Roman" w:hAnsiTheme="majorHAnsi" w:cstheme="majorHAnsi"/>
          <w:lang w:eastAsia="el-GR"/>
        </w:rPr>
        <w:footnoteReference w:id="90"/>
      </w:r>
      <w:r w:rsidRPr="00FF386D">
        <w:rPr>
          <w:rFonts w:asciiTheme="majorHAnsi" w:eastAsia="Times New Roman" w:hAnsiTheme="majorHAnsi" w:cstheme="majorHAnsi"/>
          <w:lang w:eastAsia="el-GR"/>
        </w:rPr>
        <w:t xml:space="preserve"> и трогодишњим акционим плановима на националном нивоу задужена је </w:t>
      </w:r>
      <w:r w:rsidR="0009103F">
        <w:rPr>
          <w:rFonts w:asciiTheme="majorHAnsi" w:eastAsia="Times New Roman" w:hAnsiTheme="majorHAnsi" w:cstheme="majorHAnsi"/>
          <w:lang w:eastAsia="el-GR"/>
        </w:rPr>
        <w:t>Одељење</w:t>
      </w:r>
      <w:r w:rsidRPr="00FF386D">
        <w:rPr>
          <w:rFonts w:asciiTheme="majorHAnsi" w:eastAsia="Times New Roman" w:hAnsiTheme="majorHAnsi" w:cstheme="majorHAnsi"/>
          <w:lang w:eastAsia="el-GR"/>
        </w:rPr>
        <w:t xml:space="preserve"> за урбани развој у оквиру Министарства грађевинарства, саобраћаја и инфраструктуре (МГСИ). Сертификат о енергетским својствима зграда издаје се </w:t>
      </w:r>
      <w:r w:rsidR="0009103F">
        <w:rPr>
          <w:rFonts w:asciiTheme="majorHAnsi" w:eastAsia="Times New Roman" w:hAnsiTheme="majorHAnsi" w:cstheme="majorHAnsi"/>
          <w:lang w:eastAsia="el-GR"/>
        </w:rPr>
        <w:t>путем</w:t>
      </w:r>
      <w:r w:rsidRPr="00FF386D">
        <w:rPr>
          <w:rFonts w:asciiTheme="majorHAnsi" w:eastAsia="Times New Roman" w:hAnsiTheme="majorHAnsi" w:cstheme="majorHAnsi"/>
          <w:lang w:eastAsia="el-GR"/>
        </w:rPr>
        <w:t xml:space="preserve"> Централн</w:t>
      </w:r>
      <w:r w:rsidR="0009103F">
        <w:rPr>
          <w:rFonts w:asciiTheme="majorHAnsi" w:eastAsia="Times New Roman" w:hAnsiTheme="majorHAnsi" w:cstheme="majorHAnsi"/>
          <w:lang w:eastAsia="el-GR"/>
        </w:rPr>
        <w:t>ог</w:t>
      </w:r>
      <w:r w:rsidRPr="00FF386D">
        <w:rPr>
          <w:rFonts w:asciiTheme="majorHAnsi" w:eastAsia="Times New Roman" w:hAnsiTheme="majorHAnsi" w:cstheme="majorHAnsi"/>
          <w:lang w:eastAsia="el-GR"/>
        </w:rPr>
        <w:t xml:space="preserve"> регистр</w:t>
      </w:r>
      <w:r w:rsidR="0009103F">
        <w:rPr>
          <w:rFonts w:asciiTheme="majorHAnsi" w:eastAsia="Times New Roman" w:hAnsiTheme="majorHAnsi" w:cstheme="majorHAnsi"/>
          <w:lang w:eastAsia="el-GR"/>
        </w:rPr>
        <w:t>а</w:t>
      </w:r>
      <w:r w:rsidRPr="00FF386D">
        <w:rPr>
          <w:rFonts w:asciiTheme="majorHAnsi" w:eastAsia="Times New Roman" w:hAnsiTheme="majorHAnsi" w:cstheme="majorHAnsi"/>
          <w:lang w:eastAsia="el-GR"/>
        </w:rPr>
        <w:t xml:space="preserve"> енергетских пасоша (ЦРЕП), кој</w:t>
      </w:r>
      <w:r w:rsidR="0009103F">
        <w:rPr>
          <w:rFonts w:asciiTheme="majorHAnsi" w:eastAsia="Times New Roman" w:hAnsiTheme="majorHAnsi" w:cstheme="majorHAnsi"/>
          <w:lang w:eastAsia="el-GR"/>
        </w:rPr>
        <w:t>е води</w:t>
      </w:r>
      <w:r w:rsidRPr="00FF386D">
        <w:rPr>
          <w:rFonts w:asciiTheme="majorHAnsi" w:eastAsia="Times New Roman" w:hAnsiTheme="majorHAnsi" w:cstheme="majorHAnsi"/>
          <w:lang w:eastAsia="el-GR"/>
        </w:rPr>
        <w:t xml:space="preserve"> и одржава МГСИ.</w:t>
      </w:r>
    </w:p>
    <w:p w14:paraId="5C9D346F" w14:textId="228F79F7" w:rsidR="009C67B9" w:rsidRPr="00FF386D" w:rsidRDefault="009C67B9" w:rsidP="009C67B9">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Десетогодишњи план развоја мреже за пренос електричне енергије (</w:t>
      </w:r>
      <w:r w:rsidRPr="000A2AFE">
        <w:rPr>
          <w:rFonts w:asciiTheme="majorHAnsi" w:eastAsia="Times New Roman" w:hAnsiTheme="majorHAnsi" w:cstheme="majorHAnsi"/>
          <w:i/>
          <w:iCs/>
          <w:lang w:eastAsia="el-GR"/>
        </w:rPr>
        <w:t>TYNDP</w:t>
      </w:r>
      <w:r w:rsidRPr="00FF386D">
        <w:rPr>
          <w:rFonts w:asciiTheme="majorHAnsi" w:eastAsia="Times New Roman" w:hAnsiTheme="majorHAnsi" w:cstheme="majorHAnsi"/>
          <w:lang w:eastAsia="el-GR"/>
        </w:rPr>
        <w:t xml:space="preserve">) </w:t>
      </w:r>
      <w:r w:rsidR="0009103F">
        <w:rPr>
          <w:rFonts w:asciiTheme="majorHAnsi" w:eastAsia="Times New Roman" w:hAnsiTheme="majorHAnsi" w:cstheme="majorHAnsi"/>
          <w:lang w:eastAsia="el-GR"/>
        </w:rPr>
        <w:t>израђује</w:t>
      </w:r>
      <w:r w:rsidRPr="00FF386D">
        <w:rPr>
          <w:rFonts w:asciiTheme="majorHAnsi" w:eastAsia="Times New Roman" w:hAnsiTheme="majorHAnsi" w:cstheme="majorHAnsi"/>
          <w:lang w:eastAsia="el-GR"/>
        </w:rPr>
        <w:t xml:space="preserve"> Оператор преносног система (ЕМС), који је такође надлежан за рад, одржавање и изградњу мреже за пренос електричне енергије у складу са Законом о енергетици и Правилима о раду преносног система.</w:t>
      </w:r>
    </w:p>
    <w:p w14:paraId="5D87DA51" w14:textId="7546B635" w:rsidR="009C67B9" w:rsidRPr="00FF386D" w:rsidRDefault="009C67B9" w:rsidP="009C67B9">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Оператор дистрибутивног система електричне енергије („Електродистрибуција Србије“) задужен је за припрему </w:t>
      </w:r>
      <w:r w:rsidRPr="000A2AFE">
        <w:rPr>
          <w:rFonts w:asciiTheme="majorHAnsi" w:eastAsia="Times New Roman" w:hAnsiTheme="majorHAnsi" w:cstheme="majorHAnsi"/>
          <w:i/>
          <w:iCs/>
          <w:lang w:eastAsia="el-GR"/>
        </w:rPr>
        <w:t>TYNDP</w:t>
      </w:r>
      <w:r w:rsidRPr="00FF386D">
        <w:rPr>
          <w:rFonts w:asciiTheme="majorHAnsi" w:eastAsia="Times New Roman" w:hAnsiTheme="majorHAnsi" w:cstheme="majorHAnsi"/>
          <w:lang w:eastAsia="el-GR"/>
        </w:rPr>
        <w:t xml:space="preserve"> дистрибутивне мреже, као и за њен рад и одржавање у складу са Законом о енергетици и Правилима о раду дистрибутивног система.</w:t>
      </w:r>
    </w:p>
    <w:p w14:paraId="74CF32B1" w14:textId="1DB81BEE" w:rsidR="009C67B9" w:rsidRPr="00FF386D" w:rsidRDefault="009C67B9" w:rsidP="009C67B9">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Агенција за енергетику (АЕРС) је независно регулаторно тело основано у складу са Законом о енергетици са примарним задатком да развија и унапређује тржиште електричне енергије и природног гаса на принципима недискриминације и ефикасне конкуренције стварање</w:t>
      </w:r>
      <w:r w:rsidR="004B75DB">
        <w:rPr>
          <w:rFonts w:asciiTheme="majorHAnsi" w:eastAsia="Times New Roman" w:hAnsiTheme="majorHAnsi" w:cstheme="majorHAnsi"/>
          <w:lang w:eastAsia="el-GR"/>
        </w:rPr>
        <w:t>м</w:t>
      </w:r>
      <w:r w:rsidRPr="00FF386D">
        <w:rPr>
          <w:rFonts w:asciiTheme="majorHAnsi" w:eastAsia="Times New Roman" w:hAnsiTheme="majorHAnsi" w:cstheme="majorHAnsi"/>
          <w:lang w:eastAsia="el-GR"/>
        </w:rPr>
        <w:t xml:space="preserve"> стабилног регулаторног оквира. Најважније надлежности Агенције за енергетику су сертификација и лиценцирање оператора преносног/транспортног система, регулација цена и надзор над тржиштем енергије.</w:t>
      </w:r>
    </w:p>
    <w:p w14:paraId="2785ABB0" w14:textId="05012E15" w:rsidR="00EB3C75" w:rsidRPr="00C312D6" w:rsidRDefault="00EB3C75">
      <w:pPr>
        <w:pStyle w:val="Heading2"/>
        <w:numPr>
          <w:ilvl w:val="1"/>
          <w:numId w:val="260"/>
        </w:numPr>
        <w:rPr>
          <w:lang w:val="sr-Cyrl-RS"/>
        </w:rPr>
      </w:pPr>
      <w:bookmarkStart w:id="58" w:name="_Toc122700021"/>
      <w:bookmarkStart w:id="59" w:name="_Toc137457013"/>
      <w:bookmarkStart w:id="60" w:name="_Toc153901530"/>
      <w:r w:rsidRPr="00C312D6">
        <w:rPr>
          <w:lang w:val="sr-Cyrl-RS"/>
        </w:rPr>
        <w:t xml:space="preserve">Консултације </w:t>
      </w:r>
      <w:r w:rsidR="004D6EB0" w:rsidRPr="00C312D6">
        <w:rPr>
          <w:lang w:val="sr-Cyrl-RS"/>
        </w:rPr>
        <w:t>са националним телима и телима Уније, њихово учешће и резултати</w:t>
      </w:r>
      <w:bookmarkEnd w:id="58"/>
      <w:bookmarkEnd w:id="59"/>
      <w:bookmarkEnd w:id="60"/>
    </w:p>
    <w:p w14:paraId="4E184119" w14:textId="0120B5C8" w:rsidR="00EB3C75" w:rsidRPr="00FF386D" w:rsidRDefault="00EB3C75">
      <w:pPr>
        <w:keepNext/>
        <w:keepLines/>
        <w:numPr>
          <w:ilvl w:val="0"/>
          <w:numId w:val="261"/>
        </w:numPr>
        <w:spacing w:before="200" w:line="240" w:lineRule="auto"/>
        <w:outlineLvl w:val="3"/>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t xml:space="preserve">Укључивање </w:t>
      </w:r>
      <w:r w:rsidR="009648CB" w:rsidRPr="00FF386D">
        <w:rPr>
          <w:rFonts w:asciiTheme="majorHAnsi" w:eastAsiaTheme="majorEastAsia" w:hAnsiTheme="majorHAnsi" w:cstheme="majorBidi"/>
          <w:b/>
          <w:bCs/>
          <w:iCs/>
          <w:color w:val="01406B"/>
          <w:szCs w:val="24"/>
        </w:rPr>
        <w:t xml:space="preserve">републичке </w:t>
      </w:r>
      <w:r w:rsidR="004D6EB0" w:rsidRPr="00FF386D">
        <w:rPr>
          <w:rFonts w:asciiTheme="majorHAnsi" w:eastAsiaTheme="majorEastAsia" w:hAnsiTheme="majorHAnsi" w:cstheme="majorBidi"/>
          <w:b/>
          <w:bCs/>
          <w:iCs/>
          <w:color w:val="01406B"/>
          <w:szCs w:val="24"/>
        </w:rPr>
        <w:t xml:space="preserve">Народне </w:t>
      </w:r>
      <w:r w:rsidR="009648CB" w:rsidRPr="00FF386D">
        <w:rPr>
          <w:rFonts w:asciiTheme="majorHAnsi" w:eastAsiaTheme="majorEastAsia" w:hAnsiTheme="majorHAnsi" w:cstheme="majorBidi"/>
          <w:b/>
          <w:bCs/>
          <w:iCs/>
          <w:color w:val="01406B"/>
          <w:szCs w:val="24"/>
        </w:rPr>
        <w:t>скупштине</w:t>
      </w:r>
    </w:p>
    <w:p w14:paraId="138644D6" w14:textId="2E152005" w:rsidR="00EB3C75" w:rsidRPr="00FF386D" w:rsidRDefault="00EB3C75" w:rsidP="00EB3C75">
      <w:pPr>
        <w:spacing w:after="0" w:line="240" w:lineRule="auto"/>
        <w:jc w:val="both"/>
        <w:rPr>
          <w:rFonts w:asciiTheme="majorHAnsi" w:hAnsiTheme="majorHAnsi" w:cstheme="majorHAnsi"/>
        </w:rPr>
      </w:pPr>
      <w:r w:rsidRPr="00FF386D">
        <w:rPr>
          <w:rFonts w:asciiTheme="majorHAnsi" w:hAnsiTheme="majorHAnsi" w:cstheme="majorHAnsi"/>
        </w:rPr>
        <w:t xml:space="preserve">Одредбама Закона о енергетици није предвиђено учешће </w:t>
      </w:r>
      <w:r w:rsidR="004B17A5" w:rsidRPr="00FF386D">
        <w:rPr>
          <w:rFonts w:asciiTheme="majorHAnsi" w:hAnsiTheme="majorHAnsi" w:cstheme="majorHAnsi"/>
        </w:rPr>
        <w:t xml:space="preserve">Скупштине </w:t>
      </w:r>
      <w:r w:rsidRPr="00FF386D">
        <w:rPr>
          <w:rFonts w:asciiTheme="majorHAnsi" w:hAnsiTheme="majorHAnsi" w:cstheme="majorHAnsi"/>
        </w:rPr>
        <w:t xml:space="preserve">у процесу припреме или усвајања </w:t>
      </w:r>
      <w:r w:rsidR="00477920" w:rsidRPr="00FF386D">
        <w:rPr>
          <w:rFonts w:asciiTheme="majorHAnsi" w:hAnsiTheme="majorHAnsi" w:cstheme="majorHAnsi"/>
        </w:rPr>
        <w:t>Интегрисаног</w:t>
      </w:r>
      <w:r w:rsidR="009648CB" w:rsidRPr="00FF386D">
        <w:rPr>
          <w:rFonts w:asciiTheme="majorHAnsi" w:hAnsiTheme="majorHAnsi" w:cstheme="majorHAnsi"/>
        </w:rPr>
        <w:t xml:space="preserve"> н</w:t>
      </w:r>
      <w:r w:rsidRPr="00FF386D">
        <w:rPr>
          <w:rFonts w:asciiTheme="majorHAnsi" w:hAnsiTheme="majorHAnsi" w:cstheme="majorHAnsi"/>
        </w:rPr>
        <w:t xml:space="preserve">ационалног енергетског и климатског плана Републике Србије. У складу са чланом 8а Закона о енергетици, </w:t>
      </w:r>
      <w:r w:rsidR="009648CB" w:rsidRPr="00FF386D">
        <w:rPr>
          <w:rFonts w:asciiTheme="majorHAnsi" w:hAnsiTheme="majorHAnsi" w:cstheme="majorHAnsi"/>
        </w:rPr>
        <w:t>Интегрисани н</w:t>
      </w:r>
      <w:r w:rsidRPr="00FF386D">
        <w:rPr>
          <w:rFonts w:asciiTheme="majorHAnsi" w:hAnsiTheme="majorHAnsi" w:cstheme="majorHAnsi"/>
        </w:rPr>
        <w:t>ационални енергетски и климатски план Републике Србије усваја Влада Републике Србије.</w:t>
      </w:r>
      <w:r w:rsidR="002C40BD">
        <w:rPr>
          <w:rFonts w:asciiTheme="majorHAnsi" w:hAnsiTheme="majorHAnsi" w:cstheme="majorHAnsi"/>
        </w:rPr>
        <w:t xml:space="preserve"> Поступак израде ИНЕКП-а је представљен на Парламентарном форуму за енергетску политику Србије одржаном 8. фебруара 2022. године.</w:t>
      </w:r>
    </w:p>
    <w:p w14:paraId="23C30190" w14:textId="77777777" w:rsidR="00EB3C75" w:rsidRPr="00FF386D" w:rsidRDefault="00EB3C75" w:rsidP="00EB3C75">
      <w:pPr>
        <w:spacing w:after="0" w:line="240" w:lineRule="auto"/>
        <w:jc w:val="both"/>
        <w:rPr>
          <w:rFonts w:asciiTheme="majorHAnsi" w:hAnsiTheme="majorHAnsi" w:cstheme="majorHAnsi"/>
          <w:sz w:val="24"/>
          <w:szCs w:val="24"/>
          <w:lang w:eastAsia="en-GB"/>
        </w:rPr>
      </w:pPr>
    </w:p>
    <w:p w14:paraId="0B1FB2CE" w14:textId="77777777" w:rsidR="00EB3C75" w:rsidRPr="00FF386D" w:rsidRDefault="00EB3C75">
      <w:pPr>
        <w:pStyle w:val="ListParagraph"/>
        <w:keepNext/>
        <w:keepLines/>
        <w:numPr>
          <w:ilvl w:val="0"/>
          <w:numId w:val="262"/>
        </w:numPr>
        <w:spacing w:before="200" w:after="0" w:line="240" w:lineRule="auto"/>
        <w:outlineLvl w:val="3"/>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t>Консултације са заинтересованим странама, укључујући социјалне партнере, и ангажовање цивилног друштва и шире јавности</w:t>
      </w:r>
    </w:p>
    <w:p w14:paraId="3342CF50" w14:textId="7FF2FD13" w:rsidR="002C40BD" w:rsidRDefault="00DC303D" w:rsidP="00EB3C75">
      <w:pPr>
        <w:spacing w:before="120" w:after="120" w:line="240" w:lineRule="auto"/>
        <w:jc w:val="both"/>
        <w:rPr>
          <w:rFonts w:asciiTheme="majorHAnsi" w:eastAsia="Times New Roman" w:hAnsiTheme="majorHAnsi" w:cstheme="majorHAnsi"/>
          <w:lang w:eastAsia="el-GR"/>
        </w:rPr>
      </w:pPr>
      <w:r>
        <w:rPr>
          <w:rFonts w:asciiTheme="majorHAnsi" w:eastAsia="Times New Roman" w:hAnsiTheme="majorHAnsi" w:cstheme="majorHAnsi"/>
          <w:lang w:eastAsia="el-GR"/>
        </w:rPr>
        <w:t>Од фебруара 2021. године Министарство рударства</w:t>
      </w:r>
      <w:r w:rsidR="00D45BA0">
        <w:rPr>
          <w:rFonts w:asciiTheme="majorHAnsi" w:eastAsia="Times New Roman" w:hAnsiTheme="majorHAnsi" w:cstheme="majorHAnsi"/>
          <w:lang w:eastAsia="el-GR"/>
        </w:rPr>
        <w:t xml:space="preserve"> и енергетике</w:t>
      </w:r>
      <w:r>
        <w:rPr>
          <w:rFonts w:asciiTheme="majorHAnsi" w:eastAsia="Times New Roman" w:hAnsiTheme="majorHAnsi" w:cstheme="majorHAnsi"/>
          <w:lang w:eastAsia="el-GR"/>
        </w:rPr>
        <w:t xml:space="preserve"> је </w:t>
      </w:r>
      <w:r w:rsidR="00902C40">
        <w:rPr>
          <w:rFonts w:asciiTheme="majorHAnsi" w:eastAsia="Times New Roman" w:hAnsiTheme="majorHAnsi" w:cstheme="majorHAnsi"/>
          <w:lang w:eastAsia="el-GR"/>
        </w:rPr>
        <w:t xml:space="preserve">радило на изради ИНЕКП-а у оквиру пројекта „Даљи развој капацитета за енергетско планирање”, који је у целости </w:t>
      </w:r>
      <w:r w:rsidR="00ED3A33">
        <w:rPr>
          <w:rFonts w:asciiTheme="majorHAnsi" w:eastAsia="Times New Roman" w:hAnsiTheme="majorHAnsi" w:cstheme="majorHAnsi"/>
          <w:lang w:eastAsia="el-GR"/>
        </w:rPr>
        <w:t>финансиран из средстава фонда ИПА Европске Уније.</w:t>
      </w:r>
    </w:p>
    <w:p w14:paraId="263C6FDA" w14:textId="691E7468" w:rsidR="00ED3A33" w:rsidRDefault="003F7F8E" w:rsidP="00EB3C75">
      <w:pPr>
        <w:spacing w:before="120" w:after="120" w:line="240" w:lineRule="auto"/>
        <w:jc w:val="both"/>
        <w:rPr>
          <w:rFonts w:asciiTheme="majorHAnsi" w:eastAsia="Times New Roman" w:hAnsiTheme="majorHAnsi" w:cstheme="majorHAnsi"/>
          <w:lang w:eastAsia="el-GR"/>
        </w:rPr>
      </w:pPr>
      <w:r>
        <w:rPr>
          <w:rFonts w:asciiTheme="majorHAnsi" w:eastAsia="Times New Roman" w:hAnsiTheme="majorHAnsi" w:cstheme="majorHAnsi"/>
          <w:lang w:eastAsia="el-GR"/>
        </w:rPr>
        <w:t>Основне информације о пројекту у оквиру којег је планирана израда ИНЕКП-а објављене су на веб порталу ЕУзаТЕБЕ</w:t>
      </w:r>
      <w:r>
        <w:rPr>
          <w:rFonts w:asciiTheme="majorHAnsi" w:eastAsia="Times New Roman" w:hAnsiTheme="majorHAnsi" w:cstheme="majorHAnsi"/>
          <w:lang w:val="sr-Latn-RS" w:eastAsia="el-GR"/>
        </w:rPr>
        <w:t xml:space="preserve">: </w:t>
      </w:r>
      <w:r>
        <w:rPr>
          <w:rFonts w:asciiTheme="majorHAnsi" w:eastAsia="Times New Roman" w:hAnsiTheme="majorHAnsi" w:cstheme="majorHAnsi"/>
          <w:lang w:eastAsia="el-GR"/>
        </w:rPr>
        <w:t>Даљи развој капацитета за енергетско планирање</w:t>
      </w:r>
      <w:r w:rsidR="00D45BA0">
        <w:rPr>
          <w:rFonts w:asciiTheme="majorHAnsi" w:eastAsia="Times New Roman" w:hAnsiTheme="majorHAnsi" w:cstheme="majorHAnsi"/>
          <w:lang w:eastAsia="el-GR"/>
        </w:rPr>
        <w:t xml:space="preserve"> (</w:t>
      </w:r>
      <w:r w:rsidR="00D45BA0">
        <w:rPr>
          <w:rFonts w:asciiTheme="majorHAnsi" w:eastAsia="Times New Roman" w:hAnsiTheme="majorHAnsi" w:cstheme="majorHAnsi"/>
          <w:lang w:val="en-US" w:eastAsia="el-GR"/>
        </w:rPr>
        <w:t>euzatebe</w:t>
      </w:r>
      <w:r w:rsidR="00D45BA0" w:rsidRPr="00C312D6">
        <w:rPr>
          <w:rFonts w:asciiTheme="majorHAnsi" w:eastAsia="Times New Roman" w:hAnsiTheme="majorHAnsi" w:cstheme="majorHAnsi"/>
          <w:lang w:eastAsia="el-GR"/>
        </w:rPr>
        <w:t>.</w:t>
      </w:r>
      <w:r w:rsidR="00D45BA0">
        <w:rPr>
          <w:rFonts w:asciiTheme="majorHAnsi" w:eastAsia="Times New Roman" w:hAnsiTheme="majorHAnsi" w:cstheme="majorHAnsi"/>
          <w:lang w:val="en-US" w:eastAsia="el-GR"/>
        </w:rPr>
        <w:t>rs</w:t>
      </w:r>
      <w:r w:rsidR="00D45BA0" w:rsidRPr="00C312D6">
        <w:rPr>
          <w:rFonts w:asciiTheme="majorHAnsi" w:eastAsia="Times New Roman" w:hAnsiTheme="majorHAnsi" w:cstheme="majorHAnsi"/>
          <w:lang w:eastAsia="el-GR"/>
        </w:rPr>
        <w:t xml:space="preserve">). </w:t>
      </w:r>
      <w:r w:rsidR="008F3D4A">
        <w:rPr>
          <w:rFonts w:asciiTheme="majorHAnsi" w:eastAsia="Times New Roman" w:hAnsiTheme="majorHAnsi" w:cstheme="majorHAnsi"/>
          <w:lang w:eastAsia="el-GR"/>
        </w:rPr>
        <w:t xml:space="preserve">На </w:t>
      </w:r>
      <w:r w:rsidR="008F3D4A" w:rsidRPr="008F3D4A">
        <w:rPr>
          <w:rFonts w:asciiTheme="majorHAnsi" w:eastAsia="Times New Roman" w:hAnsiTheme="majorHAnsi" w:cstheme="majorHAnsi"/>
          <w:lang w:eastAsia="el-GR"/>
        </w:rPr>
        <w:t xml:space="preserve">веб страници Министарства рударства и енергетике, </w:t>
      </w:r>
      <w:r w:rsidR="008F3D4A">
        <w:rPr>
          <w:rFonts w:asciiTheme="majorHAnsi" w:eastAsia="Times New Roman" w:hAnsiTheme="majorHAnsi" w:cstheme="majorHAnsi"/>
          <w:lang w:eastAsia="el-GR"/>
        </w:rPr>
        <w:t xml:space="preserve">20. априла 2021. године, </w:t>
      </w:r>
      <w:r w:rsidR="008F3D4A" w:rsidRPr="008F3D4A">
        <w:rPr>
          <w:rFonts w:asciiTheme="majorHAnsi" w:eastAsia="Times New Roman" w:hAnsiTheme="majorHAnsi" w:cstheme="majorHAnsi"/>
          <w:lang w:eastAsia="el-GR"/>
        </w:rPr>
        <w:t>након почетног састанка на пројекту и првог састанка Управног одбора пројекта</w:t>
      </w:r>
      <w:r w:rsidR="008F3D4A">
        <w:rPr>
          <w:rFonts w:asciiTheme="majorHAnsi" w:eastAsia="Times New Roman" w:hAnsiTheme="majorHAnsi" w:cstheme="majorHAnsi"/>
          <w:lang w:eastAsia="el-GR"/>
        </w:rPr>
        <w:t>, објављене су и</w:t>
      </w:r>
      <w:r w:rsidR="00D45BA0">
        <w:rPr>
          <w:rFonts w:asciiTheme="majorHAnsi" w:eastAsia="Times New Roman" w:hAnsiTheme="majorHAnsi" w:cstheme="majorHAnsi"/>
          <w:lang w:eastAsia="el-GR"/>
        </w:rPr>
        <w:t>нформације о почетку процеса израде Интегрисаног националног и климатског плана Републике Србије за период до 2030. године са визијом до 2050. године</w:t>
      </w:r>
      <w:r w:rsidR="008F3D4A">
        <w:rPr>
          <w:rFonts w:asciiTheme="majorHAnsi" w:eastAsia="Times New Roman" w:hAnsiTheme="majorHAnsi" w:cstheme="majorHAnsi"/>
          <w:lang w:eastAsia="el-GR"/>
        </w:rPr>
        <w:t>, којима је јавност обавештена да пројекат, између осталог, предвиђа спровођење јавних консултација и консултација са</w:t>
      </w:r>
      <w:r w:rsidR="00126449">
        <w:rPr>
          <w:rFonts w:asciiTheme="majorHAnsi" w:eastAsia="Times New Roman" w:hAnsiTheme="majorHAnsi" w:cstheme="majorHAnsi"/>
          <w:lang w:val="sr-Cyrl-CS" w:eastAsia="el-GR"/>
        </w:rPr>
        <w:t xml:space="preserve"> Секретаријатом</w:t>
      </w:r>
      <w:r w:rsidR="008F3D4A">
        <w:rPr>
          <w:rFonts w:asciiTheme="majorHAnsi" w:eastAsia="Times New Roman" w:hAnsiTheme="majorHAnsi" w:cstheme="majorHAnsi"/>
          <w:lang w:eastAsia="el-GR"/>
        </w:rPr>
        <w:t xml:space="preserve"> Енергетск</w:t>
      </w:r>
      <w:r w:rsidR="00126449">
        <w:rPr>
          <w:rFonts w:asciiTheme="majorHAnsi" w:eastAsia="Times New Roman" w:hAnsiTheme="majorHAnsi" w:cstheme="majorHAnsi"/>
          <w:lang w:val="sr-Cyrl-CS" w:eastAsia="el-GR"/>
        </w:rPr>
        <w:t>е</w:t>
      </w:r>
      <w:r w:rsidR="008F3D4A">
        <w:rPr>
          <w:rFonts w:asciiTheme="majorHAnsi" w:eastAsia="Times New Roman" w:hAnsiTheme="majorHAnsi" w:cstheme="majorHAnsi"/>
          <w:lang w:eastAsia="el-GR"/>
        </w:rPr>
        <w:t xml:space="preserve"> заједниц</w:t>
      </w:r>
      <w:r w:rsidR="00126449">
        <w:rPr>
          <w:rFonts w:asciiTheme="majorHAnsi" w:eastAsia="Times New Roman" w:hAnsiTheme="majorHAnsi" w:cstheme="majorHAnsi"/>
          <w:lang w:val="sr-Cyrl-CS" w:eastAsia="el-GR"/>
        </w:rPr>
        <w:t>е</w:t>
      </w:r>
      <w:r w:rsidR="008F3D4A">
        <w:rPr>
          <w:rFonts w:asciiTheme="majorHAnsi" w:eastAsia="Times New Roman" w:hAnsiTheme="majorHAnsi" w:cstheme="majorHAnsi"/>
          <w:lang w:eastAsia="el-GR"/>
        </w:rPr>
        <w:t>, израду и усвајање Стратешке процене утицаја на животну средину и ИНЕКП-а од стране Владе Републике Србије.</w:t>
      </w:r>
    </w:p>
    <w:p w14:paraId="39F0F7A3" w14:textId="2DD9BCE6" w:rsidR="00101D40" w:rsidRPr="00C312D6" w:rsidRDefault="00101D40" w:rsidP="00EB3C75">
      <w:pPr>
        <w:spacing w:before="120" w:after="120" w:line="240" w:lineRule="auto"/>
        <w:jc w:val="both"/>
        <w:rPr>
          <w:rFonts w:asciiTheme="majorHAnsi" w:eastAsia="Times New Roman" w:hAnsiTheme="majorHAnsi" w:cstheme="majorHAnsi"/>
          <w:lang w:eastAsia="el-GR"/>
        </w:rPr>
      </w:pPr>
      <w:r>
        <w:rPr>
          <w:rFonts w:asciiTheme="majorHAnsi" w:eastAsia="Times New Roman" w:hAnsiTheme="majorHAnsi" w:cstheme="majorHAnsi"/>
          <w:lang w:eastAsia="el-GR"/>
        </w:rPr>
        <w:t xml:space="preserve">У циљу </w:t>
      </w:r>
      <w:r w:rsidR="00B6362C">
        <w:rPr>
          <w:rFonts w:asciiTheme="majorHAnsi" w:eastAsia="Times New Roman" w:hAnsiTheme="majorHAnsi" w:cstheme="majorHAnsi"/>
          <w:lang w:eastAsia="el-GR"/>
        </w:rPr>
        <w:t xml:space="preserve">надзора и </w:t>
      </w:r>
      <w:r>
        <w:rPr>
          <w:rFonts w:asciiTheme="majorHAnsi" w:eastAsia="Times New Roman" w:hAnsiTheme="majorHAnsi" w:cstheme="majorHAnsi"/>
          <w:lang w:eastAsia="el-GR"/>
        </w:rPr>
        <w:t>праћења спровођења пројекта у складу са Проје</w:t>
      </w:r>
      <w:r w:rsidR="003D27B9">
        <w:rPr>
          <w:rFonts w:asciiTheme="majorHAnsi" w:eastAsia="Times New Roman" w:hAnsiTheme="majorHAnsi" w:cstheme="majorHAnsi"/>
          <w:lang w:eastAsia="el-GR"/>
        </w:rPr>
        <w:t>к</w:t>
      </w:r>
      <w:r>
        <w:rPr>
          <w:rFonts w:asciiTheme="majorHAnsi" w:eastAsia="Times New Roman" w:hAnsiTheme="majorHAnsi" w:cstheme="majorHAnsi"/>
          <w:lang w:eastAsia="el-GR"/>
        </w:rPr>
        <w:t>тним задатком, образоване су две мулти</w:t>
      </w:r>
      <w:r w:rsidR="007D3559">
        <w:rPr>
          <w:rFonts w:asciiTheme="majorHAnsi" w:eastAsia="Times New Roman" w:hAnsiTheme="majorHAnsi" w:cstheme="majorHAnsi"/>
          <w:lang w:val="sr-Cyrl-CS" w:eastAsia="el-GR"/>
        </w:rPr>
        <w:t>ресорне</w:t>
      </w:r>
      <w:r>
        <w:rPr>
          <w:rFonts w:asciiTheme="majorHAnsi" w:eastAsia="Times New Roman" w:hAnsiTheme="majorHAnsi" w:cstheme="majorHAnsi"/>
          <w:lang w:eastAsia="el-GR"/>
        </w:rPr>
        <w:t xml:space="preserve"> Радне групе</w:t>
      </w:r>
      <w:r w:rsidR="00B6362C">
        <w:rPr>
          <w:rFonts w:asciiTheme="majorHAnsi" w:eastAsia="Times New Roman" w:hAnsiTheme="majorHAnsi" w:cstheme="majorHAnsi"/>
          <w:lang w:eastAsia="el-GR"/>
        </w:rPr>
        <w:t xml:space="preserve"> које су, поред представника Министарства рударства и енергетике, обухватиле велики број релевантних министарства и институција, јавне и приватне компаније, </w:t>
      </w:r>
      <w:r w:rsidR="00B6362C">
        <w:rPr>
          <w:rFonts w:asciiTheme="majorHAnsi" w:eastAsia="Times New Roman" w:hAnsiTheme="majorHAnsi" w:cstheme="majorHAnsi"/>
          <w:lang w:eastAsia="el-GR"/>
        </w:rPr>
        <w:lastRenderedPageBreak/>
        <w:t xml:space="preserve">организације цивилног друштва, док су </w:t>
      </w:r>
      <w:r w:rsidR="00A718C9">
        <w:rPr>
          <w:rFonts w:asciiTheme="majorHAnsi" w:eastAsia="Times New Roman" w:hAnsiTheme="majorHAnsi" w:cstheme="majorHAnsi"/>
          <w:lang w:eastAsia="el-GR"/>
        </w:rPr>
        <w:t xml:space="preserve">пројектне </w:t>
      </w:r>
      <w:r w:rsidR="00B6362C">
        <w:rPr>
          <w:rFonts w:asciiTheme="majorHAnsi" w:eastAsia="Times New Roman" w:hAnsiTheme="majorHAnsi" w:cstheme="majorHAnsi"/>
          <w:lang w:eastAsia="el-GR"/>
        </w:rPr>
        <w:t>активности праћене од стране Енергетске заједнице, Европске комисије, Делегације ЕУ у Републици Србији, ЕБРД-а и Јапанске пословне алијансе.</w:t>
      </w:r>
    </w:p>
    <w:p w14:paraId="5A1B32DF" w14:textId="0092513A"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Конкретно, Радна група 1 оријентисана ка моделовању</w:t>
      </w:r>
      <w:r w:rsidR="003E634E" w:rsidRPr="00FF386D">
        <w:rPr>
          <w:rFonts w:asciiTheme="majorHAnsi" w:eastAsia="Times New Roman" w:hAnsiTheme="majorHAnsi" w:cstheme="majorHAnsi"/>
          <w:lang w:eastAsia="el-GR"/>
        </w:rPr>
        <w:t>, надлежна је</w:t>
      </w:r>
      <w:r w:rsidRPr="00FF386D">
        <w:rPr>
          <w:rFonts w:asciiTheme="majorHAnsi" w:eastAsia="Times New Roman" w:hAnsiTheme="majorHAnsi" w:cstheme="majorHAnsi"/>
          <w:lang w:eastAsia="el-GR"/>
        </w:rPr>
        <w:t xml:space="preserve"> за аналитички рад, док је Радна група 2 </w:t>
      </w:r>
      <w:r w:rsidR="0075525A" w:rsidRPr="00FF386D">
        <w:rPr>
          <w:rFonts w:asciiTheme="majorHAnsi" w:eastAsia="Times New Roman" w:hAnsiTheme="majorHAnsi" w:cstheme="majorHAnsi"/>
          <w:lang w:eastAsia="el-GR"/>
        </w:rPr>
        <w:t>усмерена</w:t>
      </w:r>
      <w:r w:rsidRPr="00FF386D">
        <w:rPr>
          <w:rFonts w:asciiTheme="majorHAnsi" w:eastAsia="Times New Roman" w:hAnsiTheme="majorHAnsi" w:cstheme="majorHAnsi"/>
          <w:lang w:eastAsia="el-GR"/>
        </w:rPr>
        <w:t xml:space="preserve"> на политике и одго</w:t>
      </w:r>
      <w:r w:rsidR="003E634E" w:rsidRPr="00FF386D">
        <w:rPr>
          <w:rFonts w:asciiTheme="majorHAnsi" w:eastAsia="Times New Roman" w:hAnsiTheme="majorHAnsi" w:cstheme="majorHAnsi"/>
          <w:lang w:eastAsia="el-GR"/>
        </w:rPr>
        <w:t>ворна</w:t>
      </w:r>
      <w:r w:rsidRPr="00FF386D">
        <w:rPr>
          <w:rFonts w:asciiTheme="majorHAnsi" w:eastAsia="Times New Roman" w:hAnsiTheme="majorHAnsi" w:cstheme="majorHAnsi"/>
          <w:lang w:eastAsia="el-GR"/>
        </w:rPr>
        <w:t xml:space="preserve"> је за израду </w:t>
      </w:r>
      <w:r w:rsidR="009648CB" w:rsidRPr="00FF386D">
        <w:rPr>
          <w:rFonts w:asciiTheme="majorHAnsi" w:eastAsia="Times New Roman" w:hAnsiTheme="majorHAnsi" w:cstheme="majorHAnsi"/>
          <w:lang w:eastAsia="el-GR"/>
        </w:rPr>
        <w:t>Интегрисаног н</w:t>
      </w:r>
      <w:r w:rsidRPr="00FF386D">
        <w:rPr>
          <w:rFonts w:asciiTheme="majorHAnsi" w:eastAsia="Times New Roman" w:hAnsiTheme="majorHAnsi" w:cstheme="majorHAnsi"/>
          <w:lang w:eastAsia="el-GR"/>
        </w:rPr>
        <w:t>ационалног енергетског и климатског плана (</w:t>
      </w:r>
      <w:r w:rsidR="009648CB" w:rsidRPr="00FF386D">
        <w:rPr>
          <w:rFonts w:asciiTheme="majorHAnsi" w:eastAsia="Times New Roman" w:hAnsiTheme="majorHAnsi" w:cstheme="majorHAnsi"/>
          <w:lang w:eastAsia="el-GR"/>
        </w:rPr>
        <w:t>И</w:t>
      </w:r>
      <w:r w:rsidRPr="00FF386D">
        <w:rPr>
          <w:rFonts w:asciiTheme="majorHAnsi" w:eastAsia="Times New Roman" w:hAnsiTheme="majorHAnsi" w:cstheme="majorHAnsi"/>
          <w:lang w:eastAsia="el-GR"/>
        </w:rPr>
        <w:t xml:space="preserve">НЕКП). Целокупним процесом развоја и припреме </w:t>
      </w:r>
      <w:r w:rsidR="009648CB" w:rsidRPr="00FF386D">
        <w:rPr>
          <w:rFonts w:asciiTheme="majorHAnsi" w:eastAsia="Times New Roman" w:hAnsiTheme="majorHAnsi" w:cstheme="majorHAnsi"/>
          <w:lang w:eastAsia="el-GR"/>
        </w:rPr>
        <w:t>И</w:t>
      </w:r>
      <w:r w:rsidRPr="00FF386D">
        <w:rPr>
          <w:rFonts w:asciiTheme="majorHAnsi" w:eastAsia="Times New Roman" w:hAnsiTheme="majorHAnsi" w:cstheme="majorHAnsi"/>
          <w:lang w:eastAsia="el-GR"/>
        </w:rPr>
        <w:t>НЕКП-а координи</w:t>
      </w:r>
      <w:r w:rsidR="00303663">
        <w:rPr>
          <w:rFonts w:asciiTheme="majorHAnsi" w:eastAsia="Times New Roman" w:hAnsiTheme="majorHAnsi" w:cstheme="majorHAnsi"/>
          <w:lang w:eastAsia="el-GR"/>
        </w:rPr>
        <w:t>ра</w:t>
      </w:r>
      <w:r w:rsidRPr="00FF386D">
        <w:rPr>
          <w:rFonts w:asciiTheme="majorHAnsi" w:eastAsia="Times New Roman" w:hAnsiTheme="majorHAnsi" w:cstheme="majorHAnsi"/>
          <w:lang w:eastAsia="el-GR"/>
        </w:rPr>
        <w:t xml:space="preserve"> Министарство рударства и енергетике, као водеће </w:t>
      </w:r>
      <w:r w:rsidR="003E634E" w:rsidRPr="00FF386D">
        <w:rPr>
          <w:rFonts w:asciiTheme="majorHAnsi" w:eastAsia="Times New Roman" w:hAnsiTheme="majorHAnsi" w:cstheme="majorHAnsi"/>
          <w:lang w:eastAsia="el-GR"/>
        </w:rPr>
        <w:t>м</w:t>
      </w:r>
      <w:r w:rsidRPr="00FF386D">
        <w:rPr>
          <w:rFonts w:asciiTheme="majorHAnsi" w:eastAsia="Times New Roman" w:hAnsiTheme="majorHAnsi" w:cstheme="majorHAnsi"/>
          <w:lang w:eastAsia="el-GR"/>
        </w:rPr>
        <w:t>инистарство за припрему докумената и кључни корисник наведеног пројекта.</w:t>
      </w:r>
    </w:p>
    <w:p w14:paraId="3F7B3B90" w14:textId="62B31A39" w:rsidR="00501424" w:rsidRDefault="00501424" w:rsidP="00565B02">
      <w:pPr>
        <w:pStyle w:val="Caption"/>
        <w:keepNext/>
      </w:pPr>
      <w:bookmarkStart w:id="61" w:name="_Toc153901345"/>
      <w:r>
        <w:t xml:space="preserve">Слика </w:t>
      </w:r>
      <w:r w:rsidR="00F35B2C">
        <w:fldChar w:fldCharType="begin"/>
      </w:r>
      <w:r w:rsidR="00F35B2C">
        <w:instrText xml:space="preserve"> STYLEREF 1 \s </w:instrText>
      </w:r>
      <w:r w:rsidR="00F35B2C">
        <w:fldChar w:fldCharType="separate"/>
      </w:r>
      <w:r w:rsidR="00F35B2C">
        <w:rPr>
          <w:noProof/>
        </w:rPr>
        <w:t>1</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15</w:t>
      </w:r>
      <w:r w:rsidR="00F35B2C">
        <w:fldChar w:fldCharType="end"/>
      </w:r>
      <w:r>
        <w:t xml:space="preserve">: </w:t>
      </w:r>
      <w:r w:rsidRPr="00501424">
        <w:t>Структура Радних група по ангажованим субјектима</w:t>
      </w:r>
      <w:bookmarkEnd w:id="61"/>
    </w:p>
    <w:p w14:paraId="47E26C48" w14:textId="04B12BDD" w:rsidR="00847051" w:rsidRPr="00FF386D" w:rsidRDefault="00847051" w:rsidP="00F706C0">
      <w:pPr>
        <w:jc w:val="center"/>
      </w:pPr>
      <w:r w:rsidRPr="004F53D7">
        <w:rPr>
          <w:noProof/>
          <w:lang w:val="en-US"/>
        </w:rPr>
        <w:drawing>
          <wp:inline distT="0" distB="0" distL="0" distR="0" wp14:anchorId="1BEC8119" wp14:editId="70E16766">
            <wp:extent cx="6120130" cy="3221899"/>
            <wp:effectExtent l="0" t="0" r="0" b="0"/>
            <wp:docPr id="1682939082" name="Graphic 1682939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939082" name=""/>
                    <pic:cNvPicPr/>
                  </pic:nvPicPr>
                  <pic:blipFill rotWithShape="1">
                    <a:blip r:embed="rId25">
                      <a:extLst>
                        <a:ext uri="{96DAC541-7B7A-43D3-8B79-37D633B846F1}">
                          <asvg:svgBlip xmlns:asvg="http://schemas.microsoft.com/office/drawing/2016/SVG/main" r:embed="rId26"/>
                        </a:ext>
                      </a:extLst>
                    </a:blip>
                    <a:srcRect t="6404"/>
                    <a:stretch/>
                  </pic:blipFill>
                  <pic:spPr bwMode="auto">
                    <a:xfrm>
                      <a:off x="0" y="0"/>
                      <a:ext cx="6120130" cy="3221899"/>
                    </a:xfrm>
                    <a:prstGeom prst="rect">
                      <a:avLst/>
                    </a:prstGeom>
                    <a:ln>
                      <a:noFill/>
                    </a:ln>
                    <a:extLst>
                      <a:ext uri="{53640926-AAD7-44D8-BBD7-CCE9431645EC}">
                        <a14:shadowObscured xmlns:a14="http://schemas.microsoft.com/office/drawing/2010/main"/>
                      </a:ext>
                    </a:extLst>
                  </pic:spPr>
                </pic:pic>
              </a:graphicData>
            </a:graphic>
          </wp:inline>
        </w:drawing>
      </w:r>
    </w:p>
    <w:p w14:paraId="36346F9D" w14:textId="718721B0" w:rsidR="00EB3C75" w:rsidRPr="00FF386D" w:rsidRDefault="00EB3C75" w:rsidP="00EB3C75">
      <w:pPr>
        <w:spacing w:line="240" w:lineRule="auto"/>
        <w:jc w:val="both"/>
        <w:rPr>
          <w:rFonts w:asciiTheme="majorHAnsi" w:hAnsiTheme="majorHAnsi" w:cstheme="majorHAnsi"/>
        </w:rPr>
      </w:pPr>
      <w:r w:rsidRPr="00FF386D">
        <w:rPr>
          <w:rFonts w:asciiTheme="majorHAnsi" w:hAnsiTheme="majorHAnsi" w:cstheme="majorHAnsi"/>
        </w:rPr>
        <w:t>Радне групе су се у почетку састојале од 19 националних актера и укупно 83 представника. Актери су обухватали: 6 владиних институција (5 министарстава и Управу за резерве енергената), 6 а</w:t>
      </w:r>
      <w:r w:rsidR="004D6EB0" w:rsidRPr="00FF386D">
        <w:rPr>
          <w:rFonts w:asciiTheme="majorHAnsi" w:hAnsiTheme="majorHAnsi" w:cstheme="majorHAnsi"/>
        </w:rPr>
        <w:t>ктера</w:t>
      </w:r>
      <w:r w:rsidRPr="00FF386D">
        <w:rPr>
          <w:rFonts w:asciiTheme="majorHAnsi" w:hAnsiTheme="majorHAnsi" w:cstheme="majorHAnsi"/>
        </w:rPr>
        <w:t xml:space="preserve"> које представљају агенције, регулаторе и завод за статистику и 7 енергетских </w:t>
      </w:r>
      <w:r w:rsidR="000A6729" w:rsidRPr="00FF386D">
        <w:rPr>
          <w:rFonts w:asciiTheme="majorHAnsi" w:hAnsiTheme="majorHAnsi" w:cstheme="majorHAnsi"/>
        </w:rPr>
        <w:t>предузећа</w:t>
      </w:r>
      <w:r w:rsidRPr="00FF386D">
        <w:rPr>
          <w:rFonts w:asciiTheme="majorHAnsi" w:hAnsiTheme="majorHAnsi" w:cstheme="majorHAnsi"/>
        </w:rPr>
        <w:t xml:space="preserve">. Како би се обезбедило редовно учешће представника цивилног друштва у изради и припреми </w:t>
      </w:r>
      <w:r w:rsidR="009648CB" w:rsidRPr="00FF386D">
        <w:rPr>
          <w:rFonts w:asciiTheme="majorHAnsi" w:hAnsiTheme="majorHAnsi" w:cstheme="majorHAnsi"/>
        </w:rPr>
        <w:t>И</w:t>
      </w:r>
      <w:r w:rsidRPr="00FF386D">
        <w:rPr>
          <w:rFonts w:asciiTheme="majorHAnsi" w:hAnsiTheme="majorHAnsi" w:cstheme="majorHAnsi"/>
        </w:rPr>
        <w:t xml:space="preserve">НЕКП-а, радне групе су накнадно проширене. </w:t>
      </w:r>
      <w:r w:rsidR="000A6729" w:rsidRPr="00FF386D">
        <w:rPr>
          <w:rFonts w:asciiTheme="majorHAnsi" w:hAnsiTheme="majorHAnsi" w:cstheme="majorHAnsi"/>
        </w:rPr>
        <w:t>Године</w:t>
      </w:r>
      <w:r w:rsidRPr="00FF386D">
        <w:rPr>
          <w:rFonts w:asciiTheme="majorHAnsi" w:hAnsiTheme="majorHAnsi" w:cstheme="majorHAnsi"/>
        </w:rPr>
        <w:t xml:space="preserve"> 2021</w:t>
      </w:r>
      <w:r w:rsidR="000A6729" w:rsidRPr="00FF386D">
        <w:rPr>
          <w:rFonts w:asciiTheme="majorHAnsi" w:hAnsiTheme="majorHAnsi" w:cstheme="majorHAnsi"/>
        </w:rPr>
        <w:t>, објављен је</w:t>
      </w:r>
      <w:r w:rsidR="003E634E" w:rsidRPr="00FF386D">
        <w:rPr>
          <w:rFonts w:asciiTheme="majorHAnsi" w:hAnsiTheme="majorHAnsi" w:cstheme="majorHAnsi"/>
        </w:rPr>
        <w:t xml:space="preserve"> </w:t>
      </w:r>
      <w:r w:rsidRPr="00FF386D">
        <w:rPr>
          <w:rFonts w:asciiTheme="majorHAnsi" w:hAnsiTheme="majorHAnsi" w:cstheme="majorHAnsi"/>
        </w:rPr>
        <w:t>јавни позив за организације цивилног друштва за чланство у радним групама Министарства рударства и енергетике. Тако су се представници РЕС Фондације, Београдске отворене школе (БОШ) и Центра за екологију и одрживи развој (ЦЕКОР) придружили РГ1 и РГ2 као редовни чланови.</w:t>
      </w:r>
    </w:p>
    <w:p w14:paraId="14AABBAB" w14:textId="2F1F5E78" w:rsidR="00EB3C75" w:rsidRPr="00FF386D" w:rsidRDefault="004D6EB0" w:rsidP="00EB3C75">
      <w:pPr>
        <w:spacing w:line="240" w:lineRule="auto"/>
        <w:jc w:val="both"/>
        <w:rPr>
          <w:rFonts w:asciiTheme="majorHAnsi" w:hAnsiTheme="majorHAnsi" w:cstheme="majorHAnsi"/>
          <w:lang w:eastAsia="en-GB"/>
        </w:rPr>
      </w:pPr>
      <w:r w:rsidRPr="00FF386D">
        <w:rPr>
          <w:rFonts w:asciiTheme="majorHAnsi" w:hAnsiTheme="majorHAnsi" w:cstheme="majorHAnsi"/>
          <w:lang w:eastAsia="en-GB"/>
        </w:rPr>
        <w:t>Поред</w:t>
      </w:r>
      <w:r w:rsidR="00EB3C75" w:rsidRPr="00FF386D">
        <w:rPr>
          <w:rFonts w:asciiTheme="majorHAnsi" w:hAnsiTheme="majorHAnsi" w:cstheme="majorHAnsi"/>
          <w:lang w:eastAsia="en-GB"/>
        </w:rPr>
        <w:t xml:space="preserve"> тога, како би се осигурао висок квалитет планирања, </w:t>
      </w:r>
      <w:r w:rsidR="000A6729" w:rsidRPr="00FF386D">
        <w:rPr>
          <w:rFonts w:asciiTheme="majorHAnsi" w:hAnsiTheme="majorHAnsi" w:cstheme="majorHAnsi"/>
          <w:lang w:eastAsia="en-GB"/>
        </w:rPr>
        <w:t>ублажио недостатак капацитета и</w:t>
      </w:r>
      <w:r w:rsidR="00EB3C75" w:rsidRPr="00FF386D">
        <w:rPr>
          <w:rFonts w:asciiTheme="majorHAnsi" w:hAnsiTheme="majorHAnsi" w:cstheme="majorHAnsi"/>
          <w:lang w:eastAsia="en-GB"/>
        </w:rPr>
        <w:t xml:space="preserve"> у потпуности мобили</w:t>
      </w:r>
      <w:r w:rsidR="0075525A" w:rsidRPr="00FF386D">
        <w:rPr>
          <w:rFonts w:asciiTheme="majorHAnsi" w:hAnsiTheme="majorHAnsi" w:cstheme="majorHAnsi"/>
          <w:lang w:eastAsia="en-GB"/>
        </w:rPr>
        <w:t>сали</w:t>
      </w:r>
      <w:r w:rsidR="00EB3C75" w:rsidRPr="00FF386D">
        <w:rPr>
          <w:rFonts w:asciiTheme="majorHAnsi" w:hAnsiTheme="majorHAnsi" w:cstheme="majorHAnsi"/>
          <w:lang w:eastAsia="en-GB"/>
        </w:rPr>
        <w:t xml:space="preserve"> постојећи национални капацитети, целокупни процес </w:t>
      </w:r>
      <w:r w:rsidR="0075525A" w:rsidRPr="00FF386D">
        <w:rPr>
          <w:rFonts w:asciiTheme="majorHAnsi" w:hAnsiTheme="majorHAnsi" w:cstheme="majorHAnsi"/>
          <w:lang w:eastAsia="en-GB"/>
        </w:rPr>
        <w:t>је уживао константну подршку бројних релевантних тела,</w:t>
      </w:r>
      <w:r w:rsidR="00EB3C75" w:rsidRPr="00FF386D">
        <w:rPr>
          <w:rFonts w:asciiTheme="majorHAnsi" w:hAnsiTheme="majorHAnsi" w:cstheme="majorHAnsi"/>
          <w:lang w:eastAsia="en-GB"/>
        </w:rPr>
        <w:t xml:space="preserve"> као што су различита пословна удружења, истраживачке институције и други</w:t>
      </w:r>
      <w:r w:rsidR="0075525A" w:rsidRPr="00FF386D">
        <w:rPr>
          <w:rFonts w:asciiTheme="majorHAnsi" w:hAnsiTheme="majorHAnsi" w:cstheme="majorHAnsi"/>
          <w:lang w:eastAsia="en-GB"/>
        </w:rPr>
        <w:t xml:space="preserve">, на </w:t>
      </w:r>
      <w:r w:rsidR="0075525A" w:rsidRPr="00FF386D">
        <w:rPr>
          <w:rFonts w:asciiTheme="majorHAnsi" w:hAnsiTheme="majorHAnsi" w:cstheme="majorHAnsi"/>
          <w:i/>
          <w:iCs/>
          <w:lang w:eastAsia="en-GB"/>
        </w:rPr>
        <w:t>ad-hoc</w:t>
      </w:r>
      <w:r w:rsidR="0075525A" w:rsidRPr="00FF386D">
        <w:rPr>
          <w:rFonts w:asciiTheme="majorHAnsi" w:hAnsiTheme="majorHAnsi" w:cstheme="majorHAnsi"/>
          <w:lang w:eastAsia="en-GB"/>
        </w:rPr>
        <w:t xml:space="preserve"> основи, за одређена питања</w:t>
      </w:r>
      <w:r w:rsidR="00EB3C75" w:rsidRPr="00FF386D">
        <w:rPr>
          <w:rFonts w:asciiTheme="majorHAnsi" w:hAnsiTheme="majorHAnsi" w:cstheme="majorHAnsi"/>
          <w:lang w:eastAsia="en-GB"/>
        </w:rPr>
        <w:t xml:space="preserve">. Концепт процеса доношења одлука, дискусија и укупне комуникације реализован је на састанцима Радне групе који су се редовно одржавали, али и на редовно одржаваним такозваним „димензионалним састанцима“, посвећеним свакој од пет димензија (односно, декарбонизацији, енергетској ефикасности, унутрашњем енергетском тржишту, енергетској сигурности, </w:t>
      </w:r>
      <w:r w:rsidRPr="00FF386D">
        <w:rPr>
          <w:rFonts w:asciiTheme="majorHAnsi" w:hAnsiTheme="majorHAnsi" w:cstheme="majorHAnsi"/>
          <w:lang w:eastAsia="en-GB"/>
        </w:rPr>
        <w:t xml:space="preserve">истраживању, </w:t>
      </w:r>
      <w:r w:rsidR="00EB3C75" w:rsidRPr="00FF386D">
        <w:rPr>
          <w:rFonts w:asciiTheme="majorHAnsi" w:hAnsiTheme="majorHAnsi" w:cstheme="majorHAnsi"/>
          <w:lang w:eastAsia="en-GB"/>
        </w:rPr>
        <w:t>иновациј</w:t>
      </w:r>
      <w:r w:rsidRPr="00FF386D">
        <w:rPr>
          <w:rFonts w:asciiTheme="majorHAnsi" w:hAnsiTheme="majorHAnsi" w:cstheme="majorHAnsi"/>
          <w:lang w:eastAsia="en-GB"/>
        </w:rPr>
        <w:t>ама</w:t>
      </w:r>
      <w:r w:rsidR="00EB3C75" w:rsidRPr="00FF386D">
        <w:rPr>
          <w:rFonts w:asciiTheme="majorHAnsi" w:hAnsiTheme="majorHAnsi" w:cstheme="majorHAnsi"/>
          <w:lang w:eastAsia="en-GB"/>
        </w:rPr>
        <w:t xml:space="preserve"> и конкурентности), са циљем да се свака димензија детаљно обради. Због ограниченог </w:t>
      </w:r>
      <w:r w:rsidR="0075525A" w:rsidRPr="00FF386D">
        <w:rPr>
          <w:rFonts w:asciiTheme="majorHAnsi" w:hAnsiTheme="majorHAnsi" w:cstheme="majorHAnsi"/>
          <w:lang w:eastAsia="en-GB"/>
        </w:rPr>
        <w:t>рока</w:t>
      </w:r>
      <w:r w:rsidR="00EB3C75" w:rsidRPr="00FF386D">
        <w:rPr>
          <w:rFonts w:asciiTheme="majorHAnsi" w:hAnsiTheme="majorHAnsi" w:cstheme="majorHAnsi"/>
          <w:lang w:eastAsia="en-GB"/>
        </w:rPr>
        <w:t xml:space="preserve"> за израду </w:t>
      </w:r>
      <w:r w:rsidR="009648CB" w:rsidRPr="00FF386D">
        <w:rPr>
          <w:rFonts w:asciiTheme="majorHAnsi" w:hAnsiTheme="majorHAnsi" w:cstheme="majorHAnsi"/>
          <w:lang w:eastAsia="en-GB"/>
        </w:rPr>
        <w:t>И</w:t>
      </w:r>
      <w:r w:rsidR="00EB3C75" w:rsidRPr="00FF386D">
        <w:rPr>
          <w:rFonts w:asciiTheme="majorHAnsi" w:hAnsiTheme="majorHAnsi" w:cstheme="majorHAnsi"/>
          <w:lang w:eastAsia="en-GB"/>
        </w:rPr>
        <w:t>НЕКП</w:t>
      </w:r>
      <w:r w:rsidR="00303663">
        <w:rPr>
          <w:rFonts w:asciiTheme="majorHAnsi" w:hAnsiTheme="majorHAnsi" w:cstheme="majorHAnsi"/>
          <w:lang w:eastAsia="en-GB"/>
        </w:rPr>
        <w:t>-а</w:t>
      </w:r>
      <w:r w:rsidR="00EB3C75" w:rsidRPr="00FF386D">
        <w:rPr>
          <w:rFonts w:asciiTheme="majorHAnsi" w:hAnsiTheme="majorHAnsi" w:cstheme="majorHAnsi"/>
          <w:lang w:eastAsia="en-GB"/>
        </w:rPr>
        <w:t xml:space="preserve"> и прилично захтевне организације, не постоји стриктна дефиниција или успостављен</w:t>
      </w:r>
      <w:r w:rsidRPr="00FF386D">
        <w:rPr>
          <w:rFonts w:asciiTheme="majorHAnsi" w:hAnsiTheme="majorHAnsi" w:cstheme="majorHAnsi"/>
          <w:lang w:eastAsia="en-GB"/>
        </w:rPr>
        <w:t>е</w:t>
      </w:r>
      <w:r w:rsidR="00EB3C75" w:rsidRPr="00FF386D">
        <w:rPr>
          <w:rFonts w:asciiTheme="majorHAnsi" w:hAnsiTheme="majorHAnsi" w:cstheme="majorHAnsi"/>
          <w:lang w:eastAsia="en-GB"/>
        </w:rPr>
        <w:t xml:space="preserve"> подгрупе за пет димензија Енергетске уније, али је њихово учешће незванично одређено према њиховој надлежности и релевантности.</w:t>
      </w:r>
    </w:p>
    <w:p w14:paraId="74EE5C98" w14:textId="78EE747E" w:rsidR="00EB3C75" w:rsidRPr="00FF386D" w:rsidRDefault="00EB3C75" w:rsidP="00EB3C75">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Детаљна шема релевантних учесника по димензиј</w:t>
      </w:r>
      <w:r w:rsidR="0075525A" w:rsidRPr="00FF386D">
        <w:rPr>
          <w:rFonts w:asciiTheme="majorHAnsi" w:eastAsia="Times New Roman" w:hAnsiTheme="majorHAnsi" w:cstheme="majorHAnsi"/>
          <w:lang w:eastAsia="el-GR"/>
        </w:rPr>
        <w:t>ама</w:t>
      </w:r>
      <w:r w:rsidRPr="00FF386D">
        <w:rPr>
          <w:rFonts w:asciiTheme="majorHAnsi" w:eastAsia="Times New Roman" w:hAnsiTheme="majorHAnsi" w:cstheme="majorHAnsi"/>
          <w:lang w:eastAsia="el-GR"/>
        </w:rPr>
        <w:t xml:space="preserve"> у оквиру пројекта представљена је на следећој слици:</w:t>
      </w:r>
    </w:p>
    <w:p w14:paraId="3355050F" w14:textId="2CDF73BE" w:rsidR="00501424" w:rsidRDefault="00501424" w:rsidP="00565B02">
      <w:pPr>
        <w:pStyle w:val="Caption"/>
        <w:keepNext/>
      </w:pPr>
      <w:bookmarkStart w:id="62" w:name="_Toc153901346"/>
      <w:r>
        <w:lastRenderedPageBreak/>
        <w:t xml:space="preserve">Слика </w:t>
      </w:r>
      <w:r w:rsidR="00F35B2C">
        <w:fldChar w:fldCharType="begin"/>
      </w:r>
      <w:r w:rsidR="00F35B2C">
        <w:instrText xml:space="preserve"> STYLEREF 1 \s </w:instrText>
      </w:r>
      <w:r w:rsidR="00F35B2C">
        <w:fldChar w:fldCharType="separate"/>
      </w:r>
      <w:r w:rsidR="00F35B2C">
        <w:rPr>
          <w:noProof/>
        </w:rPr>
        <w:t>1</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16</w:t>
      </w:r>
      <w:r w:rsidR="00F35B2C">
        <w:fldChar w:fldCharType="end"/>
      </w:r>
      <w:r>
        <w:t xml:space="preserve">: </w:t>
      </w:r>
      <w:r w:rsidRPr="00501424">
        <w:t>Ангажовани учесници пројекта по димензијама</w:t>
      </w:r>
      <w:bookmarkEnd w:id="62"/>
    </w:p>
    <w:p w14:paraId="365A5499" w14:textId="7A279170" w:rsidR="009F1EA4" w:rsidRPr="00FF386D" w:rsidRDefault="009F1EA4" w:rsidP="009F1EA4">
      <w:pPr>
        <w:spacing w:before="120" w:after="120" w:line="240" w:lineRule="auto"/>
        <w:jc w:val="center"/>
        <w:rPr>
          <w:rFonts w:ascii="Calibri" w:eastAsia="Times New Roman" w:hAnsi="Calibri" w:cs="Arial"/>
          <w:lang w:eastAsia="el-GR"/>
        </w:rPr>
      </w:pPr>
      <w:r w:rsidRPr="004F53D7">
        <w:rPr>
          <w:rFonts w:ascii="Calibri" w:eastAsia="Times New Roman" w:hAnsi="Calibri" w:cs="Arial"/>
          <w:noProof/>
          <w:lang w:val="en-US"/>
        </w:rPr>
        <w:drawing>
          <wp:inline distT="0" distB="0" distL="0" distR="0" wp14:anchorId="54978A55" wp14:editId="011FE4CE">
            <wp:extent cx="5730875" cy="2242185"/>
            <wp:effectExtent l="0" t="0" r="3175" b="5715"/>
            <wp:docPr id="455230171" name="Picture 455230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0875" cy="2242185"/>
                    </a:xfrm>
                    <a:prstGeom prst="rect">
                      <a:avLst/>
                    </a:prstGeom>
                    <a:noFill/>
                  </pic:spPr>
                </pic:pic>
              </a:graphicData>
            </a:graphic>
          </wp:inline>
        </w:drawing>
      </w:r>
    </w:p>
    <w:p w14:paraId="4B6AA6E5" w14:textId="49C64804" w:rsidR="00EB3C75" w:rsidRPr="00FF386D" w:rsidRDefault="00EB3C75" w:rsidP="00EB3C75">
      <w:pPr>
        <w:jc w:val="both"/>
        <w:rPr>
          <w:rFonts w:asciiTheme="majorHAnsi" w:hAnsiTheme="majorHAnsi" w:cstheme="majorHAnsi"/>
        </w:rPr>
      </w:pPr>
      <w:r w:rsidRPr="00FF386D">
        <w:rPr>
          <w:rFonts w:asciiTheme="majorHAnsi" w:hAnsiTheme="majorHAnsi" w:cstheme="majorHAnsi"/>
        </w:rPr>
        <w:t>Институције које представљају по</w:t>
      </w:r>
      <w:r w:rsidR="004D6EB0" w:rsidRPr="00FF386D">
        <w:rPr>
          <w:rFonts w:asciiTheme="majorHAnsi" w:hAnsiTheme="majorHAnsi" w:cstheme="majorHAnsi"/>
        </w:rPr>
        <w:t xml:space="preserve">дршку </w:t>
      </w:r>
      <w:r w:rsidRPr="00FF386D">
        <w:rPr>
          <w:rFonts w:asciiTheme="majorHAnsi" w:hAnsiTheme="majorHAnsi" w:cstheme="majorHAnsi"/>
        </w:rPr>
        <w:t xml:space="preserve">у пројекту, и нису чланови Радне групе, углавном су активне у димензији енергетске ефикасности и димензији истраживања, иновација и конкурентности. </w:t>
      </w:r>
      <w:r w:rsidR="00886FFB">
        <w:rPr>
          <w:rFonts w:asciiTheme="majorHAnsi" w:hAnsiTheme="majorHAnsi" w:cstheme="majorHAnsi"/>
        </w:rPr>
        <w:t xml:space="preserve">У периоду од априла до јула 2021. године, прикупљена је велика количина података у </w:t>
      </w:r>
      <w:r w:rsidR="001D7EFC">
        <w:rPr>
          <w:rFonts w:asciiTheme="majorHAnsi" w:hAnsiTheme="majorHAnsi" w:cstheme="majorHAnsi"/>
        </w:rPr>
        <w:t>виду</w:t>
      </w:r>
      <w:r w:rsidR="00886FFB">
        <w:rPr>
          <w:rFonts w:asciiTheme="majorHAnsi" w:hAnsiTheme="majorHAnsi" w:cstheme="majorHAnsi"/>
        </w:rPr>
        <w:t xml:space="preserve"> улазних података алата за моделирање у енергетици. </w:t>
      </w:r>
      <w:r w:rsidRPr="00FF386D">
        <w:rPr>
          <w:rFonts w:asciiTheme="majorHAnsi" w:hAnsiTheme="majorHAnsi" w:cstheme="majorHAnsi"/>
        </w:rPr>
        <w:t>Министарство рударства и енергетике је покренуло поступак прикупљања мишљења од различитих образовних</w:t>
      </w:r>
      <w:r w:rsidR="00886FFB">
        <w:rPr>
          <w:rFonts w:asciiTheme="majorHAnsi" w:hAnsiTheme="majorHAnsi" w:cstheme="majorHAnsi"/>
        </w:rPr>
        <w:t xml:space="preserve"> и научних</w:t>
      </w:r>
      <w:r w:rsidRPr="00FF386D">
        <w:rPr>
          <w:rFonts w:asciiTheme="majorHAnsi" w:hAnsiTheme="majorHAnsi" w:cstheme="majorHAnsi"/>
        </w:rPr>
        <w:t xml:space="preserve"> институ</w:t>
      </w:r>
      <w:r w:rsidR="00886FFB">
        <w:rPr>
          <w:rFonts w:asciiTheme="majorHAnsi" w:hAnsiTheme="majorHAnsi" w:cstheme="majorHAnsi"/>
        </w:rPr>
        <w:t>та и асоцијација</w:t>
      </w:r>
      <w:r w:rsidRPr="00FF386D">
        <w:rPr>
          <w:rFonts w:asciiTheme="majorHAnsi" w:hAnsiTheme="majorHAnsi" w:cstheme="majorHAnsi"/>
        </w:rPr>
        <w:t xml:space="preserve"> о одређеним темама, у складу са њиховим надлежностима и релевантношћу, попут Универзитета у Београду, Универзитета у Новом Саду, Универзитета у Нишу и Универзитета у Крагујевцу. Исти поступак је примењен и на Електротехнички институт Никола Тесла и Институт Миха</w:t>
      </w:r>
      <w:r w:rsidR="004D6EB0" w:rsidRPr="00FF386D">
        <w:rPr>
          <w:rFonts w:asciiTheme="majorHAnsi" w:hAnsiTheme="majorHAnsi" w:cstheme="majorHAnsi"/>
        </w:rPr>
        <w:t>јло</w:t>
      </w:r>
      <w:r w:rsidRPr="00FF386D">
        <w:rPr>
          <w:rFonts w:asciiTheme="majorHAnsi" w:hAnsiTheme="majorHAnsi" w:cstheme="majorHAnsi"/>
        </w:rPr>
        <w:t xml:space="preserve"> Пупин, као и на Српску академију наука и уметности (САНУ). Поред тога, пословно удружење „Топлане Србије“ учествовало је на састанцима у вези са системом даљинског грејања, док је предузеће Београдски метро и воз доставило одговарајуће податке и информације о текућем пројекту и планираним активностима у вези са развојем железничког саобраћаја у граду Београду. Штавише, током анализе стања енергетског сиромаштва у Републици Србији и припреме </w:t>
      </w:r>
      <w:r w:rsidR="009648CB" w:rsidRPr="00FF386D">
        <w:rPr>
          <w:rFonts w:asciiTheme="majorHAnsi" w:hAnsiTheme="majorHAnsi" w:cstheme="majorHAnsi"/>
        </w:rPr>
        <w:t>И</w:t>
      </w:r>
      <w:r w:rsidRPr="00FF386D">
        <w:rPr>
          <w:rFonts w:asciiTheme="majorHAnsi" w:hAnsiTheme="majorHAnsi" w:cstheme="majorHAnsi"/>
        </w:rPr>
        <w:t>НЕКП-а, узета је у обзир студија невладине организације РЕС Фондације о енергетском сиромаштву у Републици Србији у 2021. години.</w:t>
      </w:r>
      <w:r w:rsidR="00886FFB">
        <w:rPr>
          <w:rFonts w:asciiTheme="majorHAnsi" w:hAnsiTheme="majorHAnsi" w:cstheme="majorHAnsi"/>
        </w:rPr>
        <w:t xml:space="preserve"> Поред тога, контактиране су </w:t>
      </w:r>
      <w:r w:rsidR="001D7EFC">
        <w:rPr>
          <w:rFonts w:asciiTheme="majorHAnsi" w:hAnsiTheme="majorHAnsi" w:cstheme="majorHAnsi"/>
        </w:rPr>
        <w:t xml:space="preserve">и </w:t>
      </w:r>
      <w:r w:rsidR="00886FFB">
        <w:rPr>
          <w:rFonts w:asciiTheme="majorHAnsi" w:hAnsiTheme="majorHAnsi" w:cstheme="majorHAnsi"/>
        </w:rPr>
        <w:t xml:space="preserve">консултоване следеће институције: Машински факултет Универзитета у Београду, Шумарски факултет Универзитета у Београду, Електротехнички факултет Универзитета у Београду, Технолошко-металуршки факултет </w:t>
      </w:r>
      <w:r w:rsidR="00886FFB" w:rsidRPr="00886FFB">
        <w:rPr>
          <w:rFonts w:asciiTheme="majorHAnsi" w:hAnsiTheme="majorHAnsi" w:cstheme="majorHAnsi"/>
        </w:rPr>
        <w:t>Универзитета у Београду,</w:t>
      </w:r>
      <w:r w:rsidR="00886FFB">
        <w:rPr>
          <w:rFonts w:asciiTheme="majorHAnsi" w:hAnsiTheme="majorHAnsi" w:cstheme="majorHAnsi"/>
        </w:rPr>
        <w:t xml:space="preserve"> </w:t>
      </w:r>
      <w:r w:rsidR="00886FFB" w:rsidRPr="00886FFB">
        <w:rPr>
          <w:rFonts w:asciiTheme="majorHAnsi" w:hAnsiTheme="majorHAnsi" w:cstheme="majorHAnsi"/>
        </w:rPr>
        <w:t xml:space="preserve">Машински факултет Универзитета у </w:t>
      </w:r>
      <w:r w:rsidR="00886FFB">
        <w:rPr>
          <w:rFonts w:asciiTheme="majorHAnsi" w:hAnsiTheme="majorHAnsi" w:cstheme="majorHAnsi"/>
        </w:rPr>
        <w:t xml:space="preserve">Нишу, Пољопривредни факултет Универзитета у Новом Саду, </w:t>
      </w:r>
      <w:r w:rsidR="00886FFB" w:rsidRPr="00886FFB">
        <w:rPr>
          <w:rFonts w:asciiTheme="majorHAnsi" w:hAnsiTheme="majorHAnsi" w:cstheme="majorHAnsi"/>
        </w:rPr>
        <w:t>Електротехнички факултет Универзитета у</w:t>
      </w:r>
      <w:r w:rsidR="00886FFB">
        <w:rPr>
          <w:rFonts w:asciiTheme="majorHAnsi" w:hAnsiTheme="majorHAnsi" w:cstheme="majorHAnsi"/>
        </w:rPr>
        <w:t xml:space="preserve"> Крагујевцу, Институт</w:t>
      </w:r>
      <w:r w:rsidR="001D4037">
        <w:rPr>
          <w:rFonts w:asciiTheme="majorHAnsi" w:hAnsiTheme="majorHAnsi" w:cstheme="majorHAnsi"/>
          <w:lang w:val="sr-Cyrl-CS"/>
        </w:rPr>
        <w:t xml:space="preserve"> за нуклеарне науке</w:t>
      </w:r>
      <w:r w:rsidR="00886FFB">
        <w:rPr>
          <w:rFonts w:asciiTheme="majorHAnsi" w:hAnsiTheme="majorHAnsi" w:cstheme="majorHAnsi"/>
        </w:rPr>
        <w:t xml:space="preserve"> </w:t>
      </w:r>
      <w:r w:rsidR="001D4037">
        <w:rPr>
          <w:rFonts w:asciiTheme="majorHAnsi" w:hAnsiTheme="majorHAnsi" w:cstheme="majorHAnsi"/>
          <w:lang w:val="sr-Cyrl-CS"/>
        </w:rPr>
        <w:t>„</w:t>
      </w:r>
      <w:r w:rsidR="00886FFB">
        <w:rPr>
          <w:rFonts w:asciiTheme="majorHAnsi" w:hAnsiTheme="majorHAnsi" w:cstheme="majorHAnsi"/>
        </w:rPr>
        <w:t>Винч</w:t>
      </w:r>
      <w:r w:rsidR="001D4037">
        <w:rPr>
          <w:rFonts w:asciiTheme="majorHAnsi" w:hAnsiTheme="majorHAnsi" w:cstheme="majorHAnsi"/>
          <w:lang w:val="sr-Cyrl-CS"/>
        </w:rPr>
        <w:t>а“ Универзитета у Београду</w:t>
      </w:r>
      <w:r w:rsidR="00886FFB">
        <w:rPr>
          <w:rFonts w:asciiTheme="majorHAnsi" w:hAnsiTheme="majorHAnsi" w:cstheme="majorHAnsi"/>
        </w:rPr>
        <w:t>, Факултет техничких наука Универзитета у Београду, Министарство пољопривреде, шумарства и водопривреде.</w:t>
      </w:r>
    </w:p>
    <w:p w14:paraId="55917369" w14:textId="56C5985E" w:rsidR="00EB3C75" w:rsidRDefault="0075525A" w:rsidP="00EB3C75">
      <w:pPr>
        <w:jc w:val="both"/>
        <w:rPr>
          <w:rFonts w:asciiTheme="majorHAnsi" w:hAnsiTheme="majorHAnsi" w:cstheme="majorHAnsi"/>
        </w:rPr>
      </w:pPr>
      <w:r w:rsidRPr="00FF386D">
        <w:rPr>
          <w:rFonts w:asciiTheme="majorHAnsi" w:hAnsiTheme="majorHAnsi" w:cstheme="majorHAnsi"/>
        </w:rPr>
        <w:t>Коначно</w:t>
      </w:r>
      <w:r w:rsidR="00EB3C75" w:rsidRPr="00FF386D">
        <w:rPr>
          <w:rFonts w:asciiTheme="majorHAnsi" w:hAnsiTheme="majorHAnsi" w:cstheme="majorHAnsi"/>
        </w:rPr>
        <w:t xml:space="preserve">, током израде нацрта </w:t>
      </w:r>
      <w:r w:rsidR="009648CB" w:rsidRPr="00FF386D">
        <w:rPr>
          <w:rFonts w:asciiTheme="majorHAnsi" w:hAnsiTheme="majorHAnsi" w:cstheme="majorHAnsi"/>
        </w:rPr>
        <w:t>И</w:t>
      </w:r>
      <w:r w:rsidR="00EB3C75" w:rsidRPr="00FF386D">
        <w:rPr>
          <w:rFonts w:asciiTheme="majorHAnsi" w:hAnsiTheme="majorHAnsi" w:cstheme="majorHAnsi"/>
        </w:rPr>
        <w:t>НЕКП-а, одржан је низ билатералних и мултилатералних састанака са раз</w:t>
      </w:r>
      <w:r w:rsidRPr="00FF386D">
        <w:rPr>
          <w:rFonts w:asciiTheme="majorHAnsi" w:hAnsiTheme="majorHAnsi" w:cstheme="majorHAnsi"/>
        </w:rPr>
        <w:t>личитим</w:t>
      </w:r>
      <w:r w:rsidR="00EB3C75" w:rsidRPr="00FF386D">
        <w:rPr>
          <w:rFonts w:asciiTheme="majorHAnsi" w:hAnsiTheme="majorHAnsi" w:cstheme="majorHAnsi"/>
        </w:rPr>
        <w:t xml:space="preserve"> </w:t>
      </w:r>
      <w:r w:rsidRPr="00FF386D">
        <w:rPr>
          <w:rFonts w:asciiTheme="majorHAnsi" w:hAnsiTheme="majorHAnsi" w:cstheme="majorHAnsi"/>
        </w:rPr>
        <w:t>актерима</w:t>
      </w:r>
      <w:r w:rsidR="00EB3C75" w:rsidRPr="00FF386D">
        <w:rPr>
          <w:rFonts w:asciiTheme="majorHAnsi" w:hAnsiTheme="majorHAnsi" w:cstheme="majorHAnsi"/>
        </w:rPr>
        <w:t>. Тако је одржано 11 састанака Радне групе и око 50 билатералних састанака, с обзиром на то да је укључивање свих актера био приоритет управљачког процеса.</w:t>
      </w:r>
    </w:p>
    <w:p w14:paraId="5A0E2ACE" w14:textId="152FB713" w:rsidR="00886FFB" w:rsidRDefault="00886FFB" w:rsidP="00EB3C75">
      <w:pPr>
        <w:jc w:val="both"/>
        <w:rPr>
          <w:rFonts w:asciiTheme="majorHAnsi" w:hAnsiTheme="majorHAnsi" w:cstheme="majorHAnsi"/>
        </w:rPr>
      </w:pPr>
      <w:r>
        <w:rPr>
          <w:rFonts w:asciiTheme="majorHAnsi" w:hAnsiTheme="majorHAnsi" w:cstheme="majorHAnsi"/>
        </w:rPr>
        <w:t xml:space="preserve">У периоду од 9. августа 2022. године до 5. септембра 2022. године, Министарство рударства и енергетике је спровело ране консултације током којих је </w:t>
      </w:r>
      <w:r w:rsidR="001D7EFC">
        <w:rPr>
          <w:rFonts w:asciiTheme="majorHAnsi" w:hAnsiTheme="majorHAnsi" w:cstheme="majorHAnsi"/>
        </w:rPr>
        <w:t xml:space="preserve">упућен позив </w:t>
      </w:r>
      <w:r>
        <w:rPr>
          <w:rFonts w:asciiTheme="majorHAnsi" w:hAnsiTheme="majorHAnsi" w:cstheme="majorHAnsi"/>
        </w:rPr>
        <w:t>заинтересован</w:t>
      </w:r>
      <w:r w:rsidR="001D7EFC">
        <w:rPr>
          <w:rFonts w:asciiTheme="majorHAnsi" w:hAnsiTheme="majorHAnsi" w:cstheme="majorHAnsi"/>
        </w:rPr>
        <w:t>ој</w:t>
      </w:r>
      <w:r>
        <w:rPr>
          <w:rFonts w:asciiTheme="majorHAnsi" w:hAnsiTheme="majorHAnsi" w:cstheme="majorHAnsi"/>
        </w:rPr>
        <w:t xml:space="preserve"> јавност</w:t>
      </w:r>
      <w:r w:rsidR="001D7EFC">
        <w:rPr>
          <w:rFonts w:asciiTheme="majorHAnsi" w:hAnsiTheme="majorHAnsi" w:cstheme="majorHAnsi"/>
        </w:rPr>
        <w:t>и</w:t>
      </w:r>
      <w:r>
        <w:rPr>
          <w:rFonts w:asciiTheme="majorHAnsi" w:hAnsiTheme="majorHAnsi" w:cstheme="majorHAnsi"/>
        </w:rPr>
        <w:t xml:space="preserve"> да достави коментаре, питања и сугестије на објављен</w:t>
      </w:r>
      <w:r w:rsidR="001D7EFC">
        <w:rPr>
          <w:rFonts w:asciiTheme="majorHAnsi" w:hAnsiTheme="majorHAnsi" w:cstheme="majorHAnsi"/>
        </w:rPr>
        <w:t>е</w:t>
      </w:r>
      <w:r>
        <w:rPr>
          <w:rFonts w:asciiTheme="majorHAnsi" w:hAnsiTheme="majorHAnsi" w:cstheme="majorHAnsi"/>
        </w:rPr>
        <w:t xml:space="preserve"> радн</w:t>
      </w:r>
      <w:r w:rsidR="001D7EFC">
        <w:rPr>
          <w:rFonts w:asciiTheme="majorHAnsi" w:hAnsiTheme="majorHAnsi" w:cstheme="majorHAnsi"/>
        </w:rPr>
        <w:t>е</w:t>
      </w:r>
      <w:r>
        <w:rPr>
          <w:rFonts w:asciiTheme="majorHAnsi" w:hAnsiTheme="majorHAnsi" w:cstheme="majorHAnsi"/>
        </w:rPr>
        <w:t xml:space="preserve"> сценариј</w:t>
      </w:r>
      <w:r w:rsidR="001D7EFC">
        <w:rPr>
          <w:rFonts w:asciiTheme="majorHAnsi" w:hAnsiTheme="majorHAnsi" w:cstheme="majorHAnsi"/>
        </w:rPr>
        <w:t>е</w:t>
      </w:r>
      <w:r>
        <w:rPr>
          <w:rFonts w:asciiTheme="majorHAnsi" w:hAnsiTheme="majorHAnsi" w:cstheme="majorHAnsi"/>
        </w:rPr>
        <w:t xml:space="preserve"> кој</w:t>
      </w:r>
      <w:r w:rsidR="001D7EFC">
        <w:rPr>
          <w:rFonts w:asciiTheme="majorHAnsi" w:hAnsiTheme="majorHAnsi" w:cstheme="majorHAnsi"/>
        </w:rPr>
        <w:t>и</w:t>
      </w:r>
      <w:r>
        <w:rPr>
          <w:rFonts w:asciiTheme="majorHAnsi" w:hAnsiTheme="majorHAnsi" w:cstheme="majorHAnsi"/>
        </w:rPr>
        <w:t xml:space="preserve"> су развијен</w:t>
      </w:r>
      <w:r w:rsidR="001D7EFC">
        <w:rPr>
          <w:rFonts w:asciiTheme="majorHAnsi" w:hAnsiTheme="majorHAnsi" w:cstheme="majorHAnsi"/>
        </w:rPr>
        <w:t>и</w:t>
      </w:r>
      <w:r>
        <w:rPr>
          <w:rFonts w:asciiTheme="majorHAnsi" w:hAnsiTheme="majorHAnsi" w:cstheme="majorHAnsi"/>
        </w:rPr>
        <w:t xml:space="preserve"> у поступку израде ИНЕКП-а. </w:t>
      </w:r>
      <w:r w:rsidR="00AC1631">
        <w:rPr>
          <w:rFonts w:asciiTheme="majorHAnsi" w:hAnsiTheme="majorHAnsi" w:cstheme="majorHAnsi"/>
        </w:rPr>
        <w:t>Ране</w:t>
      </w:r>
      <w:r w:rsidR="00005654">
        <w:rPr>
          <w:rFonts w:asciiTheme="majorHAnsi" w:hAnsiTheme="majorHAnsi" w:cstheme="majorHAnsi"/>
        </w:rPr>
        <w:t xml:space="preserve"> јавн</w:t>
      </w:r>
      <w:r w:rsidR="00AC1631">
        <w:rPr>
          <w:rFonts w:asciiTheme="majorHAnsi" w:hAnsiTheme="majorHAnsi" w:cstheme="majorHAnsi"/>
        </w:rPr>
        <w:t xml:space="preserve">е </w:t>
      </w:r>
      <w:r w:rsidR="00005654">
        <w:rPr>
          <w:rFonts w:asciiTheme="majorHAnsi" w:hAnsiTheme="majorHAnsi" w:cstheme="majorHAnsi"/>
        </w:rPr>
        <w:t>консултациј</w:t>
      </w:r>
      <w:r w:rsidR="00AC1631">
        <w:rPr>
          <w:rFonts w:asciiTheme="majorHAnsi" w:hAnsiTheme="majorHAnsi" w:cstheme="majorHAnsi"/>
        </w:rPr>
        <w:t>е су обухватиле</w:t>
      </w:r>
      <w:r w:rsidR="00005654">
        <w:rPr>
          <w:rFonts w:asciiTheme="majorHAnsi" w:hAnsiTheme="majorHAnsi" w:cstheme="majorHAnsi"/>
        </w:rPr>
        <w:t xml:space="preserve">: Сценарио 1, Сценарио 2, Сценарио 3 и </w:t>
      </w:r>
      <w:r w:rsidR="007B1676">
        <w:rPr>
          <w:rFonts w:asciiTheme="majorHAnsi" w:hAnsiTheme="majorHAnsi" w:cstheme="majorHAnsi"/>
        </w:rPr>
        <w:t>Сценарио S</w:t>
      </w:r>
      <w:r w:rsidR="00005654">
        <w:rPr>
          <w:rFonts w:asciiTheme="majorHAnsi" w:hAnsiTheme="majorHAnsi" w:cstheme="majorHAnsi"/>
        </w:rPr>
        <w:t xml:space="preserve">, уз напомену да није било достављених коментара </w:t>
      </w:r>
      <w:r w:rsidR="001D7EFC">
        <w:rPr>
          <w:rFonts w:asciiTheme="majorHAnsi" w:hAnsiTheme="majorHAnsi" w:cstheme="majorHAnsi"/>
        </w:rPr>
        <w:t xml:space="preserve">и </w:t>
      </w:r>
      <w:r w:rsidR="00005654">
        <w:rPr>
          <w:rFonts w:asciiTheme="majorHAnsi" w:hAnsiTheme="majorHAnsi" w:cstheme="majorHAnsi"/>
        </w:rPr>
        <w:t>питања на Сценарио 6 (</w:t>
      </w:r>
      <w:r w:rsidR="00005654" w:rsidRPr="000A2AFE">
        <w:rPr>
          <w:rFonts w:asciiTheme="majorHAnsi" w:hAnsiTheme="majorHAnsi" w:cstheme="majorHAnsi"/>
          <w:i/>
          <w:iCs/>
          <w:lang w:val="en-US"/>
        </w:rPr>
        <w:t>Fit</w:t>
      </w:r>
      <w:r w:rsidR="00005654" w:rsidRPr="00C312D6">
        <w:rPr>
          <w:rFonts w:asciiTheme="majorHAnsi" w:hAnsiTheme="majorHAnsi" w:cstheme="majorHAnsi"/>
          <w:i/>
          <w:iCs/>
        </w:rPr>
        <w:t xml:space="preserve"> </w:t>
      </w:r>
      <w:r w:rsidR="00005654" w:rsidRPr="000A2AFE">
        <w:rPr>
          <w:rFonts w:asciiTheme="majorHAnsi" w:hAnsiTheme="majorHAnsi" w:cstheme="majorHAnsi"/>
          <w:i/>
          <w:iCs/>
          <w:lang w:val="en-US"/>
        </w:rPr>
        <w:t>for</w:t>
      </w:r>
      <w:r w:rsidR="00005654" w:rsidRPr="00C312D6">
        <w:rPr>
          <w:rFonts w:asciiTheme="majorHAnsi" w:hAnsiTheme="majorHAnsi" w:cstheme="majorHAnsi"/>
          <w:i/>
          <w:iCs/>
        </w:rPr>
        <w:t xml:space="preserve"> 55</w:t>
      </w:r>
      <w:r w:rsidR="00005654" w:rsidRPr="00C312D6">
        <w:rPr>
          <w:rFonts w:asciiTheme="majorHAnsi" w:hAnsiTheme="majorHAnsi" w:cstheme="majorHAnsi"/>
        </w:rPr>
        <w:t>)</w:t>
      </w:r>
      <w:r w:rsidR="008B61BE" w:rsidRPr="00C312D6">
        <w:rPr>
          <w:rFonts w:asciiTheme="majorHAnsi" w:hAnsiTheme="majorHAnsi" w:cstheme="majorHAnsi"/>
        </w:rPr>
        <w:t xml:space="preserve">, </w:t>
      </w:r>
      <w:r w:rsidR="001D7EFC">
        <w:rPr>
          <w:rFonts w:asciiTheme="majorHAnsi" w:hAnsiTheme="majorHAnsi" w:cstheme="majorHAnsi"/>
        </w:rPr>
        <w:t>с обзиром на то да је</w:t>
      </w:r>
      <w:r w:rsidR="008B61BE">
        <w:rPr>
          <w:rFonts w:asciiTheme="majorHAnsi" w:hAnsiTheme="majorHAnsi" w:cstheme="majorHAnsi"/>
        </w:rPr>
        <w:t xml:space="preserve"> овај сценарио израђен искључиво у циљу </w:t>
      </w:r>
      <w:r w:rsidR="00AC1631">
        <w:rPr>
          <w:rFonts w:asciiTheme="majorHAnsi" w:hAnsiTheme="majorHAnsi" w:cstheme="majorHAnsi"/>
        </w:rPr>
        <w:t>пружања информација о томе шта би се десило кад би циљеви Републике Србије</w:t>
      </w:r>
      <w:r w:rsidR="001D7EFC">
        <w:rPr>
          <w:rFonts w:asciiTheme="majorHAnsi" w:hAnsiTheme="majorHAnsi" w:cstheme="majorHAnsi"/>
        </w:rPr>
        <w:t xml:space="preserve"> били</w:t>
      </w:r>
      <w:r w:rsidR="00AC1631">
        <w:rPr>
          <w:rFonts w:asciiTheme="majorHAnsi" w:hAnsiTheme="majorHAnsi" w:cstheme="majorHAnsi"/>
        </w:rPr>
        <w:t xml:space="preserve"> једнаки циљевима ЕУ.</w:t>
      </w:r>
    </w:p>
    <w:p w14:paraId="2B439E06" w14:textId="1F2964DA" w:rsidR="00AC1631" w:rsidRDefault="00AC1631" w:rsidP="00EB3C75">
      <w:pPr>
        <w:jc w:val="both"/>
        <w:rPr>
          <w:rFonts w:asciiTheme="majorHAnsi" w:hAnsiTheme="majorHAnsi" w:cstheme="majorHAnsi"/>
        </w:rPr>
      </w:pPr>
      <w:r w:rsidRPr="00AC1631">
        <w:rPr>
          <w:rFonts w:asciiTheme="majorHAnsi" w:hAnsiTheme="majorHAnsi" w:cstheme="majorHAnsi"/>
        </w:rPr>
        <w:t>Министарство рударства и енергетике</w:t>
      </w:r>
      <w:r>
        <w:rPr>
          <w:rFonts w:asciiTheme="majorHAnsi" w:hAnsiTheme="majorHAnsi" w:cstheme="majorHAnsi"/>
        </w:rPr>
        <w:t xml:space="preserve"> је организовало јавне консултације за стручну јавност и друге заинтересоване стране </w:t>
      </w:r>
      <w:r w:rsidR="00CF1440">
        <w:rPr>
          <w:rFonts w:asciiTheme="majorHAnsi" w:hAnsiTheme="majorHAnsi" w:cstheme="majorHAnsi"/>
        </w:rPr>
        <w:t>с циљем да доставе своје</w:t>
      </w:r>
      <w:r>
        <w:rPr>
          <w:rFonts w:asciiTheme="majorHAnsi" w:hAnsiTheme="majorHAnsi" w:cstheme="majorHAnsi"/>
        </w:rPr>
        <w:t xml:space="preserve"> коментаре и сугестије на Интегрисани национални и климатски план Републике Србије за период до 2030. године од 13. јуна 2023. до 28. јула 2023. године, укључујући перспективу до 2050. године. Јавне консултације су спроведене на следећи начин:</w:t>
      </w:r>
    </w:p>
    <w:p w14:paraId="5DD85E60" w14:textId="0000430D" w:rsidR="00AC1631" w:rsidRDefault="00CF1440" w:rsidP="00AC1631">
      <w:pPr>
        <w:pStyle w:val="ListParagraph"/>
        <w:numPr>
          <w:ilvl w:val="0"/>
          <w:numId w:val="380"/>
        </w:numPr>
        <w:jc w:val="both"/>
        <w:rPr>
          <w:rFonts w:asciiTheme="majorHAnsi" w:hAnsiTheme="majorHAnsi" w:cstheme="majorHAnsi"/>
        </w:rPr>
      </w:pPr>
      <w:r>
        <w:rPr>
          <w:rFonts w:asciiTheme="majorHAnsi" w:hAnsiTheme="majorHAnsi" w:cstheme="majorHAnsi"/>
        </w:rPr>
        <w:lastRenderedPageBreak/>
        <w:t>у виду презентације и консултација на јавној расправи одржан</w:t>
      </w:r>
      <w:r w:rsidR="001D7EFC">
        <w:rPr>
          <w:rFonts w:asciiTheme="majorHAnsi" w:hAnsiTheme="majorHAnsi" w:cstheme="majorHAnsi"/>
        </w:rPr>
        <w:t>ој</w:t>
      </w:r>
      <w:r>
        <w:rPr>
          <w:rFonts w:asciiTheme="majorHAnsi" w:hAnsiTheme="majorHAnsi" w:cstheme="majorHAnsi"/>
        </w:rPr>
        <w:t xml:space="preserve"> у Привредној комори Србије 11. јула 2023. године, од 10:</w:t>
      </w:r>
      <w:r w:rsidRPr="00C312D6">
        <w:rPr>
          <w:rFonts w:asciiTheme="majorHAnsi" w:hAnsiTheme="majorHAnsi" w:cstheme="majorHAnsi"/>
        </w:rPr>
        <w:t xml:space="preserve">00 </w:t>
      </w:r>
      <w:r>
        <w:rPr>
          <w:rFonts w:asciiTheme="majorHAnsi" w:hAnsiTheme="majorHAnsi" w:cstheme="majorHAnsi"/>
        </w:rPr>
        <w:t>до 1:00 у Београду</w:t>
      </w:r>
      <w:r w:rsidR="0033347C">
        <w:rPr>
          <w:rFonts w:asciiTheme="majorHAnsi" w:hAnsiTheme="majorHAnsi" w:cstheme="majorHAnsi"/>
        </w:rPr>
        <w:t>.</w:t>
      </w:r>
    </w:p>
    <w:p w14:paraId="47BEE7A3" w14:textId="3D46F65E" w:rsidR="00CF1440" w:rsidRDefault="00CF1440" w:rsidP="00AC1631">
      <w:pPr>
        <w:pStyle w:val="ListParagraph"/>
        <w:numPr>
          <w:ilvl w:val="0"/>
          <w:numId w:val="380"/>
        </w:numPr>
        <w:jc w:val="both"/>
        <w:rPr>
          <w:rFonts w:asciiTheme="majorHAnsi" w:hAnsiTheme="majorHAnsi" w:cstheme="majorHAnsi"/>
        </w:rPr>
      </w:pPr>
      <w:r>
        <w:rPr>
          <w:rFonts w:asciiTheme="majorHAnsi" w:hAnsiTheme="majorHAnsi" w:cstheme="majorHAnsi"/>
        </w:rPr>
        <w:t xml:space="preserve">у </w:t>
      </w:r>
      <w:r w:rsidRPr="00CF1440">
        <w:rPr>
          <w:rFonts w:asciiTheme="majorHAnsi" w:hAnsiTheme="majorHAnsi" w:cstheme="majorHAnsi"/>
        </w:rPr>
        <w:t>виду презентације и консултација на јавној расправи одржан</w:t>
      </w:r>
      <w:r w:rsidR="001D7EFC">
        <w:rPr>
          <w:rFonts w:asciiTheme="majorHAnsi" w:hAnsiTheme="majorHAnsi" w:cstheme="majorHAnsi"/>
        </w:rPr>
        <w:t>ој</w:t>
      </w:r>
      <w:r w:rsidRPr="00CF1440">
        <w:rPr>
          <w:rFonts w:asciiTheme="majorHAnsi" w:hAnsiTheme="majorHAnsi" w:cstheme="majorHAnsi"/>
        </w:rPr>
        <w:t xml:space="preserve"> у</w:t>
      </w:r>
      <w:r>
        <w:rPr>
          <w:rFonts w:asciiTheme="majorHAnsi" w:hAnsiTheme="majorHAnsi" w:cstheme="majorHAnsi"/>
        </w:rPr>
        <w:t xml:space="preserve"> Регионалној привредној комори у Новом Саду, 12. јула 2023. године, од 11:00 до 2:00.</w:t>
      </w:r>
    </w:p>
    <w:p w14:paraId="242A82AC" w14:textId="757342F5" w:rsidR="00CF1440" w:rsidRDefault="00CF1440" w:rsidP="00AC1631">
      <w:pPr>
        <w:pStyle w:val="ListParagraph"/>
        <w:numPr>
          <w:ilvl w:val="0"/>
          <w:numId w:val="380"/>
        </w:numPr>
        <w:jc w:val="both"/>
        <w:rPr>
          <w:rFonts w:asciiTheme="majorHAnsi" w:hAnsiTheme="majorHAnsi" w:cstheme="majorHAnsi"/>
        </w:rPr>
      </w:pPr>
      <w:r w:rsidRPr="00CF1440">
        <w:rPr>
          <w:rFonts w:asciiTheme="majorHAnsi" w:hAnsiTheme="majorHAnsi" w:cstheme="majorHAnsi"/>
        </w:rPr>
        <w:t>у виду презентације и консултација на јавној расправи одржаној у Регионалној привредној комори</w:t>
      </w:r>
      <w:r>
        <w:rPr>
          <w:rFonts w:asciiTheme="majorHAnsi" w:hAnsiTheme="majorHAnsi" w:cstheme="majorHAnsi"/>
        </w:rPr>
        <w:t xml:space="preserve"> у Нишу, 14. јула 2023. године, од 11 до 2:00.</w:t>
      </w:r>
    </w:p>
    <w:p w14:paraId="20B15913" w14:textId="2B25BC94" w:rsidR="00CF1440" w:rsidRPr="00C312D6" w:rsidRDefault="00CF1440" w:rsidP="00CF1440">
      <w:pPr>
        <w:jc w:val="both"/>
        <w:rPr>
          <w:rFonts w:asciiTheme="majorHAnsi" w:hAnsiTheme="majorHAnsi" w:cstheme="majorHAnsi"/>
        </w:rPr>
      </w:pPr>
      <w:r>
        <w:rPr>
          <w:rFonts w:asciiTheme="majorHAnsi" w:hAnsiTheme="majorHAnsi" w:cstheme="majorHAnsi"/>
        </w:rPr>
        <w:t xml:space="preserve">Нацрт ИНЕКП-а је </w:t>
      </w:r>
      <w:r w:rsidR="00E56779">
        <w:rPr>
          <w:rFonts w:asciiTheme="majorHAnsi" w:hAnsiTheme="majorHAnsi" w:cstheme="majorHAnsi"/>
        </w:rPr>
        <w:t xml:space="preserve">стављен на јавне консултације, </w:t>
      </w:r>
      <w:r w:rsidR="00ED3694">
        <w:rPr>
          <w:rFonts w:asciiTheme="majorHAnsi" w:hAnsiTheme="majorHAnsi" w:cstheme="majorHAnsi"/>
        </w:rPr>
        <w:t>пружајући прилику широј јавности, цивилним друштвима, невладиним организацијама, локалним и регионалним органима власти и другим заинтересованим странама да доставе своје коментаре, осигуравајући транспарентност планирања. У исто време су одржане консултације са Секретаријатом Енергетске заједнице. Најважнији закључци планирања с</w:t>
      </w:r>
      <w:r w:rsidR="001E2101">
        <w:rPr>
          <w:rFonts w:asciiTheme="majorHAnsi" w:hAnsiTheme="majorHAnsi" w:cstheme="majorHAnsi"/>
        </w:rPr>
        <w:t xml:space="preserve">проведеног </w:t>
      </w:r>
      <w:r w:rsidR="00ED3694">
        <w:rPr>
          <w:rFonts w:asciiTheme="majorHAnsi" w:hAnsiTheme="majorHAnsi" w:cstheme="majorHAnsi"/>
        </w:rPr>
        <w:t xml:space="preserve">на локалном нивоу, </w:t>
      </w:r>
      <w:r w:rsidR="001E2101">
        <w:rPr>
          <w:rFonts w:asciiTheme="majorHAnsi" w:hAnsiTheme="majorHAnsi" w:cstheme="majorHAnsi"/>
        </w:rPr>
        <w:t xml:space="preserve">попут Акционог плана за зелени град града Београда и Акционог плана за одрживу енергију и климу града Београда за период до 2030. године, узети су у обзир у раној фази развоја и израде Интегрисаног националног енергетског и климатског плана, због потребе </w:t>
      </w:r>
      <w:r w:rsidR="001D7EFC">
        <w:rPr>
          <w:rFonts w:asciiTheme="majorHAnsi" w:hAnsiTheme="majorHAnsi" w:cstheme="majorHAnsi"/>
        </w:rPr>
        <w:t>да се постигне</w:t>
      </w:r>
      <w:r w:rsidR="001E2101">
        <w:rPr>
          <w:rFonts w:asciiTheme="majorHAnsi" w:hAnsiTheme="majorHAnsi" w:cstheme="majorHAnsi"/>
        </w:rPr>
        <w:t xml:space="preserve"> с</w:t>
      </w:r>
      <w:r w:rsidR="001D7EFC">
        <w:rPr>
          <w:rFonts w:asciiTheme="majorHAnsi" w:hAnsiTheme="majorHAnsi" w:cstheme="majorHAnsi"/>
        </w:rPr>
        <w:t>веобухватност и компатибилност планирања на националном и локалном нивоу.</w:t>
      </w:r>
    </w:p>
    <w:p w14:paraId="5FFD1AFE" w14:textId="61DCB806" w:rsidR="005E2A44" w:rsidRPr="000A2AFE" w:rsidRDefault="005E2A44" w:rsidP="00CF1440">
      <w:pPr>
        <w:jc w:val="both"/>
        <w:rPr>
          <w:rFonts w:asciiTheme="majorHAnsi" w:hAnsiTheme="majorHAnsi" w:cstheme="majorHAnsi"/>
        </w:rPr>
      </w:pPr>
      <w:r>
        <w:rPr>
          <w:rFonts w:asciiTheme="majorHAnsi" w:hAnsiTheme="majorHAnsi" w:cstheme="majorHAnsi"/>
        </w:rPr>
        <w:t>Током поступка јавних консултација достављен</w:t>
      </w:r>
      <w:r w:rsidR="001D7EFC">
        <w:rPr>
          <w:rFonts w:asciiTheme="majorHAnsi" w:hAnsiTheme="majorHAnsi" w:cstheme="majorHAnsi"/>
        </w:rPr>
        <w:t>е</w:t>
      </w:r>
      <w:r>
        <w:rPr>
          <w:rFonts w:asciiTheme="majorHAnsi" w:hAnsiTheme="majorHAnsi" w:cstheme="majorHAnsi"/>
        </w:rPr>
        <w:t xml:space="preserve"> су примедбе, предлози и сугестије бројних заинтересованих страна, које су обухватиле различита министарства, државне институције, владине агенције, организације цивилног друштва, еколошке организације, јавна и приватна предузећа, физичка лица и друге. Након завршетка јавних консултација, Радна група је размотрила све примљене коментаре, предлоге и сугестије и пружила одговоре на њих. Достављено је 549 коментара на ИНЕКП, док је на С</w:t>
      </w:r>
      <w:r w:rsidR="00734FB5">
        <w:rPr>
          <w:rFonts w:asciiTheme="majorHAnsi" w:hAnsiTheme="majorHAnsi" w:cstheme="majorHAnsi"/>
        </w:rPr>
        <w:t>ПУ за</w:t>
      </w:r>
      <w:r>
        <w:rPr>
          <w:rFonts w:asciiTheme="majorHAnsi" w:hAnsiTheme="majorHAnsi" w:cstheme="majorHAnsi"/>
        </w:rPr>
        <w:t xml:space="preserve"> ИНЕКП-а достављено 67 коментара. Широки спектар добијених коментара и сугестија значајно </w:t>
      </w:r>
      <w:r w:rsidR="00734FB5">
        <w:rPr>
          <w:rFonts w:asciiTheme="majorHAnsi" w:hAnsiTheme="majorHAnsi" w:cstheme="majorHAnsi"/>
        </w:rPr>
        <w:t xml:space="preserve">су </w:t>
      </w:r>
      <w:r>
        <w:rPr>
          <w:rFonts w:asciiTheme="majorHAnsi" w:hAnsiTheme="majorHAnsi" w:cstheme="majorHAnsi"/>
        </w:rPr>
        <w:t>унапреди</w:t>
      </w:r>
      <w:r w:rsidR="00734FB5">
        <w:rPr>
          <w:rFonts w:asciiTheme="majorHAnsi" w:hAnsiTheme="majorHAnsi" w:cstheme="majorHAnsi"/>
        </w:rPr>
        <w:t>ли</w:t>
      </w:r>
      <w:r>
        <w:rPr>
          <w:rFonts w:asciiTheme="majorHAnsi" w:hAnsiTheme="majorHAnsi" w:cstheme="majorHAnsi"/>
        </w:rPr>
        <w:t xml:space="preserve"> ИНЕКП и </w:t>
      </w:r>
      <w:r w:rsidR="00734FB5">
        <w:rPr>
          <w:rFonts w:asciiTheme="majorHAnsi" w:hAnsiTheme="majorHAnsi" w:cstheme="majorHAnsi"/>
        </w:rPr>
        <w:t>СПУ за ИНЕКП</w:t>
      </w:r>
      <w:r w:rsidR="00E56779">
        <w:rPr>
          <w:rFonts w:asciiTheme="majorHAnsi" w:hAnsiTheme="majorHAnsi" w:cstheme="majorHAnsi"/>
        </w:rPr>
        <w:t xml:space="preserve"> и обезбедили да ИНЕКП буде свеобухватан, поуздан и у складу са националним и међународним енергетским и климатским циљевима.</w:t>
      </w:r>
    </w:p>
    <w:p w14:paraId="48056347" w14:textId="77777777" w:rsidR="00EB3C75" w:rsidRPr="00FF386D" w:rsidRDefault="00EB3C75">
      <w:pPr>
        <w:pStyle w:val="ListParagraph"/>
        <w:keepNext/>
        <w:keepLines/>
        <w:numPr>
          <w:ilvl w:val="0"/>
          <w:numId w:val="262"/>
        </w:numPr>
        <w:spacing w:before="200" w:line="240" w:lineRule="auto"/>
        <w:outlineLvl w:val="3"/>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t>Консултације са другим уговорним странама Енергетске заједнице и државама чланицама Европске уније</w:t>
      </w:r>
    </w:p>
    <w:p w14:paraId="11BE765C" w14:textId="6B8CA44E" w:rsidR="00EB3C75" w:rsidRPr="00FF386D" w:rsidRDefault="0075525A" w:rsidP="00EB3C75">
      <w:pPr>
        <w:jc w:val="both"/>
        <w:rPr>
          <w:rFonts w:asciiTheme="majorHAnsi" w:hAnsiTheme="majorHAnsi" w:cstheme="majorHAnsi"/>
          <w:lang w:eastAsia="el-GR"/>
        </w:rPr>
      </w:pPr>
      <w:r w:rsidRPr="00FF386D">
        <w:rPr>
          <w:rFonts w:asciiTheme="majorHAnsi" w:hAnsiTheme="majorHAnsi" w:cstheme="majorHAnsi"/>
          <w:lang w:eastAsia="el-GR"/>
        </w:rPr>
        <w:t xml:space="preserve">С обзиром на то </w:t>
      </w:r>
      <w:r w:rsidR="00EB3C75" w:rsidRPr="00FF386D">
        <w:rPr>
          <w:rFonts w:asciiTheme="majorHAnsi" w:hAnsiTheme="majorHAnsi" w:cstheme="majorHAnsi"/>
          <w:lang w:eastAsia="el-GR"/>
        </w:rPr>
        <w:t xml:space="preserve">да су државе чланице Европске уније </w:t>
      </w:r>
      <w:r w:rsidRPr="00FF386D">
        <w:rPr>
          <w:rFonts w:asciiTheme="majorHAnsi" w:hAnsiTheme="majorHAnsi" w:cstheme="majorHAnsi"/>
          <w:lang w:eastAsia="el-GR"/>
        </w:rPr>
        <w:t>завршиле израду</w:t>
      </w:r>
      <w:r w:rsidR="00EB3C75" w:rsidRPr="00FF386D">
        <w:rPr>
          <w:rFonts w:asciiTheme="majorHAnsi" w:hAnsiTheme="majorHAnsi" w:cstheme="majorHAnsi"/>
          <w:lang w:eastAsia="el-GR"/>
        </w:rPr>
        <w:t xml:space="preserve"> и усвојиле своје </w:t>
      </w:r>
      <w:r w:rsidR="009648CB" w:rsidRPr="00FF386D">
        <w:rPr>
          <w:rFonts w:asciiTheme="majorHAnsi" w:hAnsiTheme="majorHAnsi" w:cstheme="majorHAnsi"/>
          <w:lang w:eastAsia="el-GR"/>
        </w:rPr>
        <w:t>И</w:t>
      </w:r>
      <w:r w:rsidR="00EB3C75" w:rsidRPr="00FF386D">
        <w:rPr>
          <w:rFonts w:asciiTheme="majorHAnsi" w:hAnsiTheme="majorHAnsi" w:cstheme="majorHAnsi"/>
          <w:lang w:eastAsia="el-GR"/>
        </w:rPr>
        <w:t xml:space="preserve">НЕКП-ове </w:t>
      </w:r>
      <w:r w:rsidRPr="00FF386D">
        <w:rPr>
          <w:rFonts w:asciiTheme="majorHAnsi" w:hAnsiTheme="majorHAnsi" w:cstheme="majorHAnsi"/>
          <w:lang w:eastAsia="el-GR"/>
        </w:rPr>
        <w:t>пре</w:t>
      </w:r>
      <w:r w:rsidR="00EB3C75" w:rsidRPr="00FF386D">
        <w:rPr>
          <w:rFonts w:asciiTheme="majorHAnsi" w:hAnsiTheme="majorHAnsi" w:cstheme="majorHAnsi"/>
          <w:lang w:eastAsia="el-GR"/>
        </w:rPr>
        <w:t xml:space="preserve"> 2021. године, Република Србија је имала </w:t>
      </w:r>
      <w:r w:rsidRPr="00FF386D">
        <w:rPr>
          <w:rFonts w:asciiTheme="majorHAnsi" w:hAnsiTheme="majorHAnsi" w:cstheme="majorHAnsi"/>
          <w:lang w:eastAsia="el-GR"/>
        </w:rPr>
        <w:t>могућност</w:t>
      </w:r>
      <w:r w:rsidR="00EB3C75" w:rsidRPr="00FF386D">
        <w:rPr>
          <w:rFonts w:asciiTheme="majorHAnsi" w:hAnsiTheme="majorHAnsi" w:cstheme="majorHAnsi"/>
          <w:lang w:eastAsia="el-GR"/>
        </w:rPr>
        <w:t xml:space="preserve"> да добије увид у сваки план, са посебним фокусом на планове које су сачиниле суседне земље. </w:t>
      </w:r>
      <w:r w:rsidRPr="00FF386D">
        <w:rPr>
          <w:rFonts w:asciiTheme="majorHAnsi" w:hAnsiTheme="majorHAnsi" w:cstheme="majorHAnsi"/>
          <w:lang w:eastAsia="el-GR"/>
        </w:rPr>
        <w:t xml:space="preserve">На првом месту, </w:t>
      </w:r>
      <w:r w:rsidR="00EB3C75" w:rsidRPr="00FF386D">
        <w:rPr>
          <w:rFonts w:asciiTheme="majorHAnsi" w:hAnsiTheme="majorHAnsi" w:cstheme="majorHAnsi"/>
          <w:lang w:eastAsia="el-GR"/>
        </w:rPr>
        <w:t xml:space="preserve">и </w:t>
      </w:r>
      <w:r w:rsidRPr="00FF386D">
        <w:rPr>
          <w:rFonts w:asciiTheme="majorHAnsi" w:hAnsiTheme="majorHAnsi" w:cstheme="majorHAnsi"/>
          <w:lang w:eastAsia="el-GR"/>
        </w:rPr>
        <w:t xml:space="preserve">као </w:t>
      </w:r>
      <w:r w:rsidR="00EB3C75" w:rsidRPr="00FF386D">
        <w:rPr>
          <w:rFonts w:asciiTheme="majorHAnsi" w:hAnsiTheme="majorHAnsi" w:cstheme="majorHAnsi"/>
          <w:lang w:eastAsia="el-GR"/>
        </w:rPr>
        <w:t xml:space="preserve">најважније, Република Србија је размотрила </w:t>
      </w:r>
      <w:r w:rsidR="009648CB" w:rsidRPr="00FF386D">
        <w:rPr>
          <w:rFonts w:asciiTheme="majorHAnsi" w:hAnsiTheme="majorHAnsi" w:cstheme="majorHAnsi"/>
          <w:lang w:eastAsia="el-GR"/>
        </w:rPr>
        <w:t>И</w:t>
      </w:r>
      <w:r w:rsidR="00EB3C75" w:rsidRPr="00FF386D">
        <w:rPr>
          <w:rFonts w:asciiTheme="majorHAnsi" w:hAnsiTheme="majorHAnsi" w:cstheme="majorHAnsi"/>
          <w:lang w:eastAsia="el-GR"/>
        </w:rPr>
        <w:t xml:space="preserve">НЕКП-ове земаља са којима </w:t>
      </w:r>
      <w:r w:rsidRPr="00FF386D">
        <w:rPr>
          <w:rFonts w:asciiTheme="majorHAnsi" w:hAnsiTheme="majorHAnsi" w:cstheme="majorHAnsi"/>
          <w:lang w:eastAsia="el-GR"/>
        </w:rPr>
        <w:t>има заједничке</w:t>
      </w:r>
      <w:r w:rsidR="00EB3C75" w:rsidRPr="00FF386D">
        <w:rPr>
          <w:rFonts w:asciiTheme="majorHAnsi" w:hAnsiTheme="majorHAnsi" w:cstheme="majorHAnsi"/>
          <w:lang w:eastAsia="el-GR"/>
        </w:rPr>
        <w:t xml:space="preserve"> границе, као што су Хрватска, Бугарска, Румунија и Мађарска. У исто време, Република Србија је разматрала све </w:t>
      </w:r>
      <w:r w:rsidR="009648CB" w:rsidRPr="00FF386D">
        <w:rPr>
          <w:rFonts w:asciiTheme="majorHAnsi" w:hAnsiTheme="majorHAnsi" w:cstheme="majorHAnsi"/>
          <w:lang w:eastAsia="el-GR"/>
        </w:rPr>
        <w:t>И</w:t>
      </w:r>
      <w:r w:rsidR="00EB3C75" w:rsidRPr="00FF386D">
        <w:rPr>
          <w:rFonts w:asciiTheme="majorHAnsi" w:hAnsiTheme="majorHAnsi" w:cstheme="majorHAnsi"/>
          <w:lang w:eastAsia="el-GR"/>
        </w:rPr>
        <w:t xml:space="preserve">НЕКП-ове европских земаља. </w:t>
      </w:r>
      <w:r w:rsidRPr="00FF386D">
        <w:rPr>
          <w:rFonts w:asciiTheme="majorHAnsi" w:hAnsiTheme="majorHAnsi" w:cstheme="majorHAnsi"/>
          <w:lang w:eastAsia="el-GR"/>
        </w:rPr>
        <w:t>Поред тога</w:t>
      </w:r>
      <w:r w:rsidR="00EB3C75" w:rsidRPr="00FF386D">
        <w:rPr>
          <w:rFonts w:asciiTheme="majorHAnsi" w:hAnsiTheme="majorHAnsi" w:cstheme="majorHAnsi"/>
          <w:lang w:eastAsia="el-GR"/>
        </w:rPr>
        <w:t xml:space="preserve">, </w:t>
      </w:r>
      <w:r w:rsidR="008773BB">
        <w:rPr>
          <w:rFonts w:asciiTheme="majorHAnsi" w:hAnsiTheme="majorHAnsi" w:cstheme="majorHAnsi"/>
          <w:lang w:eastAsia="el-GR"/>
        </w:rPr>
        <w:t xml:space="preserve">прекограничне консултације су одржане са Хрватском, Бугарском, Румунијом, Мађарском, Босном и Херцеговином, </w:t>
      </w:r>
      <w:r w:rsidR="00EB3C75" w:rsidRPr="00FF386D">
        <w:rPr>
          <w:rFonts w:asciiTheme="majorHAnsi" w:hAnsiTheme="majorHAnsi" w:cstheme="majorHAnsi"/>
          <w:lang w:eastAsia="el-GR"/>
        </w:rPr>
        <w:t>Северн</w:t>
      </w:r>
      <w:r w:rsidR="008773BB">
        <w:rPr>
          <w:rFonts w:asciiTheme="majorHAnsi" w:hAnsiTheme="majorHAnsi" w:cstheme="majorHAnsi"/>
          <w:lang w:eastAsia="el-GR"/>
        </w:rPr>
        <w:t>ом</w:t>
      </w:r>
      <w:r w:rsidR="00EB3C75" w:rsidRPr="00FF386D">
        <w:rPr>
          <w:rFonts w:asciiTheme="majorHAnsi" w:hAnsiTheme="majorHAnsi" w:cstheme="majorHAnsi"/>
          <w:lang w:eastAsia="el-GR"/>
        </w:rPr>
        <w:t xml:space="preserve"> Македониј</w:t>
      </w:r>
      <w:r w:rsidR="008773BB">
        <w:rPr>
          <w:rFonts w:asciiTheme="majorHAnsi" w:hAnsiTheme="majorHAnsi" w:cstheme="majorHAnsi"/>
          <w:lang w:eastAsia="el-GR"/>
        </w:rPr>
        <w:t>ом, Црном Гором и Албанијом.</w:t>
      </w:r>
    </w:p>
    <w:p w14:paraId="5B5D59D7" w14:textId="3C6C01C6" w:rsidR="00EB3C75" w:rsidRPr="00FF386D" w:rsidRDefault="001D7EFC">
      <w:pPr>
        <w:pStyle w:val="ListParagraph"/>
        <w:keepNext/>
        <w:keepLines/>
        <w:numPr>
          <w:ilvl w:val="0"/>
          <w:numId w:val="262"/>
        </w:numPr>
        <w:spacing w:before="200" w:line="240" w:lineRule="auto"/>
        <w:outlineLvl w:val="3"/>
        <w:rPr>
          <w:rFonts w:asciiTheme="majorHAnsi" w:eastAsiaTheme="majorEastAsia" w:hAnsiTheme="majorHAnsi" w:cstheme="majorBidi"/>
          <w:b/>
          <w:bCs/>
          <w:iCs/>
          <w:color w:val="01406B"/>
          <w:szCs w:val="24"/>
        </w:rPr>
      </w:pPr>
      <w:r>
        <w:rPr>
          <w:rFonts w:asciiTheme="majorHAnsi" w:eastAsiaTheme="majorEastAsia" w:hAnsiTheme="majorHAnsi" w:cstheme="majorBidi"/>
          <w:b/>
          <w:bCs/>
          <w:iCs/>
          <w:color w:val="01406B"/>
          <w:szCs w:val="24"/>
        </w:rPr>
        <w:t>Консултације</w:t>
      </w:r>
      <w:r w:rsidR="00EB3C75" w:rsidRPr="00FF386D">
        <w:rPr>
          <w:rFonts w:asciiTheme="majorHAnsi" w:eastAsiaTheme="majorEastAsia" w:hAnsiTheme="majorHAnsi" w:cstheme="majorBidi"/>
          <w:b/>
          <w:bCs/>
          <w:iCs/>
          <w:color w:val="01406B"/>
          <w:szCs w:val="24"/>
        </w:rPr>
        <w:t xml:space="preserve"> са Секретаријатом Енергетске заједнице</w:t>
      </w:r>
    </w:p>
    <w:p w14:paraId="274C7303" w14:textId="0D883448" w:rsidR="00EB3C75" w:rsidRDefault="00EB3C75" w:rsidP="00EB3C75">
      <w:pPr>
        <w:jc w:val="both"/>
        <w:rPr>
          <w:rFonts w:asciiTheme="majorHAnsi" w:hAnsiTheme="majorHAnsi" w:cstheme="majorHAnsi"/>
          <w:lang w:eastAsia="el-GR"/>
        </w:rPr>
      </w:pPr>
      <w:r w:rsidRPr="00FF386D">
        <w:rPr>
          <w:rFonts w:asciiTheme="majorHAnsi" w:hAnsiTheme="majorHAnsi" w:cstheme="majorHAnsi"/>
          <w:lang w:eastAsia="el-GR"/>
        </w:rPr>
        <w:t xml:space="preserve">Од почетка израде и припреме нацрта </w:t>
      </w:r>
      <w:r w:rsidR="00123E1C" w:rsidRPr="00FF386D">
        <w:rPr>
          <w:rFonts w:asciiTheme="majorHAnsi" w:hAnsiTheme="majorHAnsi" w:cstheme="majorHAnsi"/>
          <w:lang w:eastAsia="el-GR"/>
        </w:rPr>
        <w:t>И</w:t>
      </w:r>
      <w:r w:rsidRPr="00FF386D">
        <w:rPr>
          <w:rFonts w:asciiTheme="majorHAnsi" w:hAnsiTheme="majorHAnsi" w:cstheme="majorHAnsi"/>
          <w:lang w:eastAsia="el-GR"/>
        </w:rPr>
        <w:t xml:space="preserve">НЕКП-а Републике Србије, Секретаријат Енергетске заједнице је помно пратио напредак целокупног процеса, при чему је пружао неопходну подршку по потреби. Формално, ово укључивање Секретаријата ЕЗ се остварује кроз рад Министарског савета ЕЗ, као и у оквиру различитих постојећих тематских координационих група, платформи и иницијатива на нивоу Енергетске заједнице, али и других регионалних формата везаних </w:t>
      </w:r>
      <w:r w:rsidR="00675AB9" w:rsidRPr="00FF386D">
        <w:rPr>
          <w:rFonts w:asciiTheme="majorHAnsi" w:hAnsiTheme="majorHAnsi" w:cstheme="majorHAnsi"/>
          <w:lang w:eastAsia="el-GR"/>
        </w:rPr>
        <w:t xml:space="preserve">за </w:t>
      </w:r>
      <w:r w:rsidR="00123E1C" w:rsidRPr="00FF386D">
        <w:rPr>
          <w:rFonts w:asciiTheme="majorHAnsi" w:hAnsiTheme="majorHAnsi" w:cstheme="majorHAnsi"/>
          <w:lang w:eastAsia="el-GR"/>
        </w:rPr>
        <w:t xml:space="preserve">енергетику и </w:t>
      </w:r>
      <w:r w:rsidRPr="00FF386D">
        <w:rPr>
          <w:rFonts w:asciiTheme="majorHAnsi" w:hAnsiTheme="majorHAnsi" w:cstheme="majorHAnsi"/>
          <w:lang w:eastAsia="el-GR"/>
        </w:rPr>
        <w:t>климу у којима Енергетска заједница активно учествује.</w:t>
      </w:r>
    </w:p>
    <w:p w14:paraId="7F9EB9AC" w14:textId="1FA8CC87" w:rsidR="001D7EFC" w:rsidRDefault="001D7EFC" w:rsidP="00EB3C75">
      <w:pPr>
        <w:jc w:val="both"/>
        <w:rPr>
          <w:rFonts w:asciiTheme="majorHAnsi" w:hAnsiTheme="majorHAnsi" w:cstheme="majorHAnsi"/>
          <w:lang w:eastAsia="el-GR"/>
        </w:rPr>
      </w:pPr>
      <w:r>
        <w:rPr>
          <w:rFonts w:asciiTheme="majorHAnsi" w:hAnsiTheme="majorHAnsi" w:cstheme="majorHAnsi"/>
          <w:lang w:eastAsia="el-GR"/>
        </w:rPr>
        <w:t xml:space="preserve">Секретаријат ЕЗ је доставио 31 препоруку за ревизију нацрта ИНЕКП-а. Све препоруке су темељно размотрене и примењене </w:t>
      </w:r>
      <w:r w:rsidR="001E65A9">
        <w:rPr>
          <w:rFonts w:asciiTheme="majorHAnsi" w:hAnsiTheme="majorHAnsi" w:cstheme="majorHAnsi"/>
          <w:lang w:eastAsia="el-GR"/>
        </w:rPr>
        <w:t xml:space="preserve">су додатне измене у финалној верзији. </w:t>
      </w:r>
      <w:r w:rsidR="008773BB">
        <w:rPr>
          <w:rFonts w:asciiTheme="majorHAnsi" w:hAnsiTheme="majorHAnsi" w:cstheme="majorHAnsi"/>
          <w:lang w:eastAsia="el-GR"/>
        </w:rPr>
        <w:t xml:space="preserve">За све </w:t>
      </w:r>
      <w:r w:rsidR="001E65A9">
        <w:rPr>
          <w:rFonts w:asciiTheme="majorHAnsi" w:hAnsiTheme="majorHAnsi" w:cstheme="majorHAnsi"/>
          <w:lang w:eastAsia="el-GR"/>
        </w:rPr>
        <w:t>препорук</w:t>
      </w:r>
      <w:r w:rsidR="008773BB">
        <w:rPr>
          <w:rFonts w:asciiTheme="majorHAnsi" w:hAnsiTheme="majorHAnsi" w:cstheme="majorHAnsi"/>
          <w:lang w:eastAsia="el-GR"/>
        </w:rPr>
        <w:t>е</w:t>
      </w:r>
      <w:r w:rsidR="001E65A9">
        <w:rPr>
          <w:rFonts w:asciiTheme="majorHAnsi" w:hAnsiTheme="majorHAnsi" w:cstheme="majorHAnsi"/>
          <w:lang w:eastAsia="el-GR"/>
        </w:rPr>
        <w:t xml:space="preserve"> </w:t>
      </w:r>
      <w:r w:rsidR="008773BB">
        <w:rPr>
          <w:rFonts w:asciiTheme="majorHAnsi" w:hAnsiTheme="majorHAnsi" w:cstheme="majorHAnsi"/>
          <w:lang w:eastAsia="el-GR"/>
        </w:rPr>
        <w:t>ја дато образложење о начину на који су размотрене.</w:t>
      </w:r>
    </w:p>
    <w:p w14:paraId="05E02839" w14:textId="2806552C" w:rsidR="001E65A9" w:rsidRDefault="001E65A9" w:rsidP="00EB3C75">
      <w:pPr>
        <w:jc w:val="both"/>
        <w:rPr>
          <w:rFonts w:asciiTheme="majorHAnsi" w:hAnsiTheme="majorHAnsi" w:cstheme="majorHAnsi"/>
          <w:lang w:eastAsia="el-GR"/>
        </w:rPr>
      </w:pPr>
      <w:r>
        <w:rPr>
          <w:rFonts w:asciiTheme="majorHAnsi" w:hAnsiTheme="majorHAnsi" w:cstheme="majorHAnsi"/>
          <w:lang w:eastAsia="el-GR"/>
        </w:rPr>
        <w:t>У погл</w:t>
      </w:r>
      <w:r w:rsidR="005A4253">
        <w:rPr>
          <w:rFonts w:asciiTheme="majorHAnsi" w:hAnsiTheme="majorHAnsi" w:cstheme="majorHAnsi"/>
          <w:lang w:eastAsia="el-GR"/>
        </w:rPr>
        <w:t xml:space="preserve">еду најважнијих </w:t>
      </w:r>
      <w:r>
        <w:rPr>
          <w:rFonts w:asciiTheme="majorHAnsi" w:hAnsiTheme="majorHAnsi" w:cstheme="majorHAnsi"/>
          <w:lang w:eastAsia="el-GR"/>
        </w:rPr>
        <w:t xml:space="preserve">индикатора за 2030. годину, које је </w:t>
      </w:r>
      <w:r w:rsidR="005A4253">
        <w:rPr>
          <w:rFonts w:asciiTheme="majorHAnsi" w:hAnsiTheme="majorHAnsi" w:cstheme="majorHAnsi"/>
          <w:lang w:eastAsia="el-GR"/>
        </w:rPr>
        <w:t>утврдио</w:t>
      </w:r>
      <w:r>
        <w:rPr>
          <w:rFonts w:asciiTheme="majorHAnsi" w:hAnsiTheme="majorHAnsi" w:cstheme="majorHAnsi"/>
          <w:lang w:eastAsia="el-GR"/>
        </w:rPr>
        <w:t xml:space="preserve"> Министарски савет у децембру 2022. године (Одлука </w:t>
      </w:r>
      <w:r w:rsidRPr="000A2AFE">
        <w:rPr>
          <w:rFonts w:asciiTheme="majorHAnsi" w:hAnsiTheme="majorHAnsi" w:cstheme="majorHAnsi"/>
          <w:i/>
          <w:iCs/>
          <w:lang w:eastAsia="el-GR"/>
        </w:rPr>
        <w:t>2022/02/</w:t>
      </w:r>
      <w:r w:rsidRPr="000A2AFE">
        <w:rPr>
          <w:rFonts w:asciiTheme="majorHAnsi" w:hAnsiTheme="majorHAnsi" w:cstheme="majorHAnsi"/>
          <w:i/>
          <w:iCs/>
          <w:lang w:val="en-US" w:eastAsia="el-GR"/>
        </w:rPr>
        <w:t>MC</w:t>
      </w:r>
      <w:r w:rsidRPr="00C312D6">
        <w:rPr>
          <w:rFonts w:asciiTheme="majorHAnsi" w:hAnsiTheme="majorHAnsi" w:cstheme="majorHAnsi"/>
          <w:i/>
          <w:iCs/>
          <w:lang w:eastAsia="el-GR"/>
        </w:rPr>
        <w:t>-</w:t>
      </w:r>
      <w:r w:rsidRPr="000A2AFE">
        <w:rPr>
          <w:rFonts w:asciiTheme="majorHAnsi" w:hAnsiTheme="majorHAnsi" w:cstheme="majorHAnsi"/>
          <w:i/>
          <w:iCs/>
          <w:lang w:val="en-US" w:eastAsia="el-GR"/>
        </w:rPr>
        <w:t>EnC</w:t>
      </w:r>
      <w:r w:rsidRPr="00C312D6">
        <w:rPr>
          <w:rFonts w:asciiTheme="majorHAnsi" w:hAnsiTheme="majorHAnsi" w:cstheme="majorHAnsi"/>
          <w:lang w:eastAsia="el-GR"/>
        </w:rPr>
        <w:t>)</w:t>
      </w:r>
      <w:r>
        <w:rPr>
          <w:rFonts w:asciiTheme="majorHAnsi" w:hAnsiTheme="majorHAnsi" w:cstheme="majorHAnsi"/>
          <w:lang w:eastAsia="el-GR"/>
        </w:rPr>
        <w:t>, циљ за смањење емисија</w:t>
      </w:r>
      <w:r w:rsidRPr="000A2AFE">
        <w:rPr>
          <w:rFonts w:asciiTheme="majorHAnsi" w:hAnsiTheme="majorHAnsi" w:cstheme="majorHAnsi"/>
          <w:i/>
          <w:iCs/>
          <w:lang w:eastAsia="el-GR"/>
        </w:rPr>
        <w:t xml:space="preserve"> </w:t>
      </w:r>
      <w:r w:rsidRPr="000A2AFE">
        <w:rPr>
          <w:rFonts w:asciiTheme="majorHAnsi" w:hAnsiTheme="majorHAnsi" w:cstheme="majorHAnsi"/>
          <w:i/>
          <w:iCs/>
          <w:lang w:val="en-US" w:eastAsia="el-GR"/>
        </w:rPr>
        <w:t>GHG</w:t>
      </w:r>
      <w:r w:rsidRPr="00C312D6">
        <w:rPr>
          <w:rFonts w:asciiTheme="majorHAnsi" w:hAnsiTheme="majorHAnsi" w:cstheme="majorHAnsi"/>
          <w:lang w:eastAsia="el-GR"/>
        </w:rPr>
        <w:t xml:space="preserve"> </w:t>
      </w:r>
      <w:r>
        <w:rPr>
          <w:rFonts w:asciiTheme="majorHAnsi" w:hAnsiTheme="majorHAnsi" w:cstheme="majorHAnsi"/>
          <w:lang w:eastAsia="el-GR"/>
        </w:rPr>
        <w:t xml:space="preserve">остаје неизмењен, </w:t>
      </w:r>
      <w:r w:rsidR="009D7F9F">
        <w:rPr>
          <w:rFonts w:asciiTheme="majorHAnsi" w:hAnsiTheme="majorHAnsi" w:cstheme="majorHAnsi"/>
          <w:lang w:eastAsia="el-GR"/>
        </w:rPr>
        <w:t xml:space="preserve">ФПЕ </w:t>
      </w:r>
      <w:r w:rsidR="005A4253">
        <w:rPr>
          <w:rFonts w:asciiTheme="majorHAnsi" w:hAnsiTheme="majorHAnsi" w:cstheme="majorHAnsi"/>
          <w:lang w:eastAsia="el-GR"/>
        </w:rPr>
        <w:t>се незнатно смањује</w:t>
      </w:r>
      <w:r w:rsidR="00534F58">
        <w:rPr>
          <w:rFonts w:asciiTheme="majorHAnsi" w:hAnsiTheme="majorHAnsi" w:cstheme="majorHAnsi"/>
          <w:lang w:eastAsia="el-GR"/>
        </w:rPr>
        <w:t>,</w:t>
      </w:r>
      <w:r w:rsidR="005A4253">
        <w:rPr>
          <w:rFonts w:asciiTheme="majorHAnsi" w:hAnsiTheme="majorHAnsi" w:cstheme="majorHAnsi"/>
          <w:lang w:eastAsia="el-GR"/>
        </w:rPr>
        <w:t xml:space="preserve"> </w:t>
      </w:r>
      <w:r w:rsidR="00534F58">
        <w:rPr>
          <w:rFonts w:asciiTheme="majorHAnsi" w:hAnsiTheme="majorHAnsi" w:cstheme="majorHAnsi"/>
          <w:lang w:eastAsia="el-GR"/>
        </w:rPr>
        <w:t>а</w:t>
      </w:r>
      <w:r>
        <w:rPr>
          <w:rFonts w:asciiTheme="majorHAnsi" w:hAnsiTheme="majorHAnsi" w:cstheme="majorHAnsi"/>
          <w:lang w:eastAsia="el-GR"/>
        </w:rPr>
        <w:t xml:space="preserve"> ППЕ </w:t>
      </w:r>
      <w:r w:rsidR="0001015A">
        <w:rPr>
          <w:rFonts w:asciiTheme="majorHAnsi" w:hAnsiTheme="majorHAnsi" w:cstheme="majorHAnsi"/>
          <w:lang w:eastAsia="el-GR"/>
        </w:rPr>
        <w:t>незнатно повећа</w:t>
      </w:r>
      <w:r w:rsidR="005A4253">
        <w:rPr>
          <w:rFonts w:asciiTheme="majorHAnsi" w:hAnsiTheme="majorHAnsi" w:cstheme="majorHAnsi"/>
          <w:lang w:eastAsia="el-GR"/>
        </w:rPr>
        <w:t>ва</w:t>
      </w:r>
      <w:r w:rsidR="0001015A">
        <w:rPr>
          <w:rFonts w:asciiTheme="majorHAnsi" w:hAnsiTheme="majorHAnsi" w:cstheme="majorHAnsi"/>
          <w:lang w:eastAsia="el-GR"/>
        </w:rPr>
        <w:t xml:space="preserve">, </w:t>
      </w:r>
      <w:r w:rsidR="00534F58">
        <w:rPr>
          <w:rFonts w:asciiTheme="majorHAnsi" w:hAnsiTheme="majorHAnsi" w:cstheme="majorHAnsi"/>
          <w:lang w:eastAsia="el-GR"/>
        </w:rPr>
        <w:t xml:space="preserve">док </w:t>
      </w:r>
      <w:r w:rsidR="0001015A">
        <w:rPr>
          <w:rFonts w:asciiTheme="majorHAnsi" w:hAnsiTheme="majorHAnsi" w:cstheme="majorHAnsi"/>
          <w:lang w:eastAsia="el-GR"/>
        </w:rPr>
        <w:t xml:space="preserve">разлика у погледу удела ОИЕ у БФПЕ остаје неизмењена као најмањи циљ који је потребно остварити. Детаљно образложење је дато у Поглављу 2 како би се </w:t>
      </w:r>
      <w:r w:rsidR="00D9696C">
        <w:rPr>
          <w:rFonts w:asciiTheme="majorHAnsi" w:hAnsiTheme="majorHAnsi" w:cstheme="majorHAnsi"/>
          <w:lang w:eastAsia="el-GR"/>
        </w:rPr>
        <w:t>објаснил</w:t>
      </w:r>
      <w:r w:rsidR="009D7F9F">
        <w:rPr>
          <w:rFonts w:asciiTheme="majorHAnsi" w:hAnsiTheme="majorHAnsi" w:cstheme="majorHAnsi"/>
          <w:lang w:eastAsia="el-GR"/>
        </w:rPr>
        <w:t>е специфичне</w:t>
      </w:r>
      <w:r w:rsidR="00D9696C">
        <w:rPr>
          <w:rFonts w:asciiTheme="majorHAnsi" w:hAnsiTheme="majorHAnsi" w:cstheme="majorHAnsi"/>
          <w:lang w:eastAsia="el-GR"/>
        </w:rPr>
        <w:t xml:space="preserve"> националн</w:t>
      </w:r>
      <w:r w:rsidR="009D7F9F">
        <w:rPr>
          <w:rFonts w:asciiTheme="majorHAnsi" w:hAnsiTheme="majorHAnsi" w:cstheme="majorHAnsi"/>
          <w:lang w:eastAsia="el-GR"/>
        </w:rPr>
        <w:t xml:space="preserve">е околности </w:t>
      </w:r>
      <w:r w:rsidR="00553A6A">
        <w:rPr>
          <w:rFonts w:asciiTheme="majorHAnsi" w:hAnsiTheme="majorHAnsi" w:cstheme="majorHAnsi"/>
          <w:lang w:eastAsia="el-GR"/>
        </w:rPr>
        <w:t xml:space="preserve">којима се оправдава разлика између амбиција у нацрту </w:t>
      </w:r>
      <w:r w:rsidR="00553A6A">
        <w:rPr>
          <w:rFonts w:asciiTheme="majorHAnsi" w:hAnsiTheme="majorHAnsi" w:cstheme="majorHAnsi"/>
          <w:lang w:eastAsia="el-GR"/>
        </w:rPr>
        <w:lastRenderedPageBreak/>
        <w:t xml:space="preserve">ИНЕКП-а и циљева постављених од стране Секретаријата ЕЗ, као </w:t>
      </w:r>
      <w:r w:rsidR="005A4253">
        <w:rPr>
          <w:rFonts w:asciiTheme="majorHAnsi" w:hAnsiTheme="majorHAnsi" w:cstheme="majorHAnsi"/>
          <w:lang w:eastAsia="el-GR"/>
        </w:rPr>
        <w:t xml:space="preserve">и </w:t>
      </w:r>
      <w:r w:rsidR="00553A6A">
        <w:rPr>
          <w:rFonts w:asciiTheme="majorHAnsi" w:hAnsiTheme="majorHAnsi" w:cstheme="majorHAnsi"/>
          <w:lang w:eastAsia="el-GR"/>
        </w:rPr>
        <w:t>повећањ</w:t>
      </w:r>
      <w:r w:rsidR="005A4253">
        <w:rPr>
          <w:rFonts w:asciiTheme="majorHAnsi" w:hAnsiTheme="majorHAnsi" w:cstheme="majorHAnsi"/>
          <w:lang w:eastAsia="el-GR"/>
        </w:rPr>
        <w:t>е</w:t>
      </w:r>
      <w:r w:rsidR="00553A6A">
        <w:rPr>
          <w:rFonts w:asciiTheme="majorHAnsi" w:hAnsiTheme="majorHAnsi" w:cstheme="majorHAnsi"/>
          <w:lang w:eastAsia="el-GR"/>
        </w:rPr>
        <w:t xml:space="preserve"> циљ</w:t>
      </w:r>
      <w:r w:rsidR="005A4253">
        <w:rPr>
          <w:rFonts w:asciiTheme="majorHAnsi" w:hAnsiTheme="majorHAnsi" w:cstheme="majorHAnsi"/>
          <w:lang w:eastAsia="el-GR"/>
        </w:rPr>
        <w:t>а</w:t>
      </w:r>
      <w:r w:rsidR="00553A6A">
        <w:rPr>
          <w:rFonts w:asciiTheme="majorHAnsi" w:hAnsiTheme="majorHAnsi" w:cstheme="majorHAnsi"/>
          <w:lang w:eastAsia="el-GR"/>
        </w:rPr>
        <w:t xml:space="preserve"> за обновљиве изворе енергије у грејању и хлађењу, укључујући даљинско грејање.</w:t>
      </w:r>
    </w:p>
    <w:p w14:paraId="4771FE93" w14:textId="3D4A7005" w:rsidR="009D7F9F" w:rsidRPr="00410CF1" w:rsidRDefault="009D7F9F" w:rsidP="00EB3C75">
      <w:pPr>
        <w:jc w:val="both"/>
        <w:rPr>
          <w:rFonts w:asciiTheme="majorHAnsi" w:hAnsiTheme="majorHAnsi" w:cstheme="majorHAnsi"/>
          <w:lang w:eastAsia="el-GR"/>
        </w:rPr>
      </w:pPr>
      <w:r>
        <w:rPr>
          <w:rFonts w:asciiTheme="majorHAnsi" w:hAnsiTheme="majorHAnsi" w:cstheme="majorHAnsi"/>
          <w:lang w:eastAsia="el-GR"/>
        </w:rPr>
        <w:t xml:space="preserve">Такође, у анализи је размотрено постепено увођење цене угљеника у секторима </w:t>
      </w:r>
      <w:r w:rsidR="005A4253">
        <w:rPr>
          <w:rFonts w:asciiTheme="majorHAnsi" w:hAnsiTheme="majorHAnsi" w:cstheme="majorHAnsi"/>
          <w:lang w:eastAsia="el-GR"/>
        </w:rPr>
        <w:t xml:space="preserve">за које се сматра да ће бити </w:t>
      </w:r>
      <w:r w:rsidR="00534F58">
        <w:rPr>
          <w:rFonts w:asciiTheme="majorHAnsi" w:hAnsiTheme="majorHAnsi" w:cstheme="majorHAnsi"/>
          <w:lang w:eastAsia="el-GR"/>
        </w:rPr>
        <w:t xml:space="preserve">највише </w:t>
      </w:r>
      <w:r w:rsidR="005A4253">
        <w:rPr>
          <w:rFonts w:asciiTheme="majorHAnsi" w:hAnsiTheme="majorHAnsi" w:cstheme="majorHAnsi"/>
          <w:lang w:eastAsia="el-GR"/>
        </w:rPr>
        <w:t xml:space="preserve">погођени </w:t>
      </w:r>
      <w:r w:rsidR="00A1442E">
        <w:rPr>
          <w:rFonts w:asciiTheme="majorHAnsi" w:hAnsiTheme="majorHAnsi" w:cstheme="majorHAnsi"/>
          <w:lang w:eastAsia="el-GR"/>
        </w:rPr>
        <w:t>применом</w:t>
      </w:r>
      <w:r>
        <w:rPr>
          <w:rFonts w:asciiTheme="majorHAnsi" w:hAnsiTheme="majorHAnsi" w:cstheme="majorHAnsi"/>
          <w:lang w:eastAsia="el-GR"/>
        </w:rPr>
        <w:t xml:space="preserve"> </w:t>
      </w:r>
      <w:r w:rsidRPr="000A2AFE">
        <w:rPr>
          <w:rFonts w:asciiTheme="majorHAnsi" w:hAnsiTheme="majorHAnsi" w:cstheme="majorHAnsi"/>
          <w:i/>
          <w:iCs/>
          <w:lang w:val="en-US" w:eastAsia="el-GR"/>
        </w:rPr>
        <w:t>CBAM</w:t>
      </w:r>
      <w:r w:rsidR="005A4253">
        <w:rPr>
          <w:rFonts w:asciiTheme="majorHAnsi" w:hAnsiTheme="majorHAnsi" w:cstheme="majorHAnsi"/>
          <w:lang w:eastAsia="el-GR"/>
        </w:rPr>
        <w:t xml:space="preserve">, </w:t>
      </w:r>
      <w:r w:rsidR="00410CF1">
        <w:rPr>
          <w:rFonts w:asciiTheme="majorHAnsi" w:hAnsiTheme="majorHAnsi" w:cstheme="majorHAnsi"/>
          <w:lang w:eastAsia="el-GR"/>
        </w:rPr>
        <w:t xml:space="preserve">али узимајући у обзир неизвесност у погледу начина примене цене угљеника, </w:t>
      </w:r>
      <w:r w:rsidR="00A1442E">
        <w:rPr>
          <w:rFonts w:asciiTheme="majorHAnsi" w:hAnsiTheme="majorHAnsi" w:cstheme="majorHAnsi"/>
          <w:lang w:eastAsia="el-GR"/>
        </w:rPr>
        <w:t xml:space="preserve">и чињеницу да је </w:t>
      </w:r>
      <w:r w:rsidR="00410CF1">
        <w:rPr>
          <w:rFonts w:asciiTheme="majorHAnsi" w:hAnsiTheme="majorHAnsi" w:cstheme="majorHAnsi"/>
          <w:lang w:eastAsia="el-GR"/>
        </w:rPr>
        <w:t xml:space="preserve">Уредба о </w:t>
      </w:r>
      <w:r w:rsidR="00410CF1" w:rsidRPr="000A2AFE">
        <w:rPr>
          <w:rFonts w:asciiTheme="majorHAnsi" w:hAnsiTheme="majorHAnsi" w:cstheme="majorHAnsi"/>
          <w:i/>
          <w:iCs/>
          <w:lang w:val="en-US" w:eastAsia="el-GR"/>
        </w:rPr>
        <w:t>CBAM</w:t>
      </w:r>
      <w:r w:rsidR="00410CF1" w:rsidRPr="00C312D6">
        <w:rPr>
          <w:rFonts w:asciiTheme="majorHAnsi" w:hAnsiTheme="majorHAnsi" w:cstheme="majorHAnsi"/>
          <w:lang w:eastAsia="el-GR"/>
        </w:rPr>
        <w:t xml:space="preserve"> </w:t>
      </w:r>
      <w:r w:rsidR="00410CF1">
        <w:rPr>
          <w:rFonts w:asciiTheme="majorHAnsi" w:hAnsiTheme="majorHAnsi" w:cstheme="majorHAnsi"/>
          <w:lang w:eastAsia="el-GR"/>
        </w:rPr>
        <w:t>усвојена у мају 2023. године није могуће обухватити релевантне прецизне информације у ИНЕКП-у.</w:t>
      </w:r>
    </w:p>
    <w:p w14:paraId="74A3237C" w14:textId="6BB83CB1" w:rsidR="00C01E4C" w:rsidRDefault="001228D1" w:rsidP="00C11708">
      <w:pPr>
        <w:jc w:val="both"/>
        <w:rPr>
          <w:rFonts w:asciiTheme="majorHAnsi" w:hAnsiTheme="majorHAnsi" w:cstheme="majorHAnsi"/>
          <w:lang w:eastAsia="el-GR"/>
        </w:rPr>
      </w:pPr>
      <w:r>
        <w:rPr>
          <w:rFonts w:asciiTheme="majorHAnsi" w:hAnsiTheme="majorHAnsi" w:cstheme="majorHAnsi"/>
          <w:lang w:eastAsia="el-GR"/>
        </w:rPr>
        <w:t xml:space="preserve">Међутим, </w:t>
      </w:r>
      <w:r w:rsidR="00C11708">
        <w:rPr>
          <w:rFonts w:asciiTheme="majorHAnsi" w:hAnsiTheme="majorHAnsi" w:cstheme="majorHAnsi"/>
          <w:lang w:eastAsia="el-GR"/>
        </w:rPr>
        <w:t>м</w:t>
      </w:r>
      <w:r w:rsidR="00C11708" w:rsidRPr="00C11708">
        <w:rPr>
          <w:rFonts w:asciiTheme="majorHAnsi" w:hAnsiTheme="majorHAnsi" w:cstheme="majorHAnsi"/>
          <w:lang w:eastAsia="el-GR"/>
        </w:rPr>
        <w:t xml:space="preserve">одернизација индустрије угља се одвија паралелно са модернизацијом старијих електрана, како би постале компатибилне са захтевима Директиве о великим постројењима за сагоревање. </w:t>
      </w:r>
      <w:r w:rsidR="00C01E4C">
        <w:rPr>
          <w:rFonts w:asciiTheme="majorHAnsi" w:hAnsiTheme="majorHAnsi" w:cstheme="majorHAnsi"/>
          <w:lang w:eastAsia="el-GR"/>
        </w:rPr>
        <w:t>Такође, планира</w:t>
      </w:r>
      <w:r w:rsidR="005F73B6">
        <w:rPr>
          <w:rFonts w:asciiTheme="majorHAnsi" w:hAnsiTheme="majorHAnsi" w:cstheme="majorHAnsi"/>
          <w:lang w:eastAsia="el-GR"/>
        </w:rPr>
        <w:t>но</w:t>
      </w:r>
      <w:r w:rsidR="00C01E4C">
        <w:rPr>
          <w:rFonts w:asciiTheme="majorHAnsi" w:hAnsiTheme="majorHAnsi" w:cstheme="majorHAnsi"/>
          <w:lang w:eastAsia="el-GR"/>
        </w:rPr>
        <w:t xml:space="preserve"> смањење ангажовања термоелектрана и инвестициј</w:t>
      </w:r>
      <w:r w:rsidR="00534F58">
        <w:rPr>
          <w:rFonts w:asciiTheme="majorHAnsi" w:hAnsiTheme="majorHAnsi" w:cstheme="majorHAnsi"/>
          <w:lang w:eastAsia="el-GR"/>
        </w:rPr>
        <w:t>е</w:t>
      </w:r>
      <w:r w:rsidR="00C01E4C">
        <w:rPr>
          <w:rFonts w:asciiTheme="majorHAnsi" w:hAnsiTheme="majorHAnsi" w:cstheme="majorHAnsi"/>
          <w:lang w:eastAsia="el-GR"/>
        </w:rPr>
        <w:t xml:space="preserve"> у гасну инфраструктуру како би се обезбедила неометана енергетска транзиција у Србији сматрају се кључним и значајним прелазним мерама </w:t>
      </w:r>
      <w:r w:rsidR="00534F58">
        <w:rPr>
          <w:rFonts w:asciiTheme="majorHAnsi" w:hAnsiTheme="majorHAnsi" w:cstheme="majorHAnsi"/>
          <w:lang w:eastAsia="el-GR"/>
        </w:rPr>
        <w:t>које обезбеђују сигурност снабдевања.</w:t>
      </w:r>
    </w:p>
    <w:p w14:paraId="3AE4EEC4" w14:textId="3C0093E3" w:rsidR="00EB3C75" w:rsidRPr="00565B02" w:rsidRDefault="00EB3C75" w:rsidP="009648CB">
      <w:pPr>
        <w:pStyle w:val="Heading2"/>
        <w:rPr>
          <w:lang w:val="sr-Cyrl-RS"/>
        </w:rPr>
      </w:pPr>
      <w:bookmarkStart w:id="63" w:name="_Toc122700022"/>
      <w:bookmarkStart w:id="64" w:name="_Toc137457014"/>
      <w:bookmarkStart w:id="65" w:name="_Toc153901531"/>
      <w:r w:rsidRPr="00565B02">
        <w:rPr>
          <w:lang w:val="sr-Cyrl-RS"/>
        </w:rPr>
        <w:t xml:space="preserve">Регионална сарадња </w:t>
      </w:r>
      <w:r w:rsidR="0075525A" w:rsidRPr="00565B02">
        <w:rPr>
          <w:lang w:val="sr-Cyrl-RS"/>
        </w:rPr>
        <w:t>на</w:t>
      </w:r>
      <w:r w:rsidRPr="00565B02">
        <w:rPr>
          <w:lang w:val="sr-Cyrl-RS"/>
        </w:rPr>
        <w:t xml:space="preserve"> изради плана</w:t>
      </w:r>
      <w:bookmarkEnd w:id="63"/>
      <w:bookmarkEnd w:id="64"/>
      <w:bookmarkEnd w:id="65"/>
    </w:p>
    <w:p w14:paraId="7BA8A346" w14:textId="77777777" w:rsidR="00EB3C75" w:rsidRPr="00FF386D" w:rsidRDefault="00EB3C75">
      <w:pPr>
        <w:keepNext/>
        <w:keepLines/>
        <w:numPr>
          <w:ilvl w:val="0"/>
          <w:numId w:val="4"/>
        </w:numPr>
        <w:spacing w:before="200" w:line="240" w:lineRule="auto"/>
        <w:ind w:left="714" w:hanging="357"/>
        <w:outlineLvl w:val="3"/>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t>Елементи на које се примењује заједничко или координисано планирање са другим уговорним странама Енергетске заједнице и државама чланицама Европске уније</w:t>
      </w:r>
    </w:p>
    <w:p w14:paraId="0F8CBEFA" w14:textId="77777777" w:rsidR="00EB3C75" w:rsidRPr="000A2AFE" w:rsidRDefault="00EB3C75" w:rsidP="00EB3C75">
      <w:pPr>
        <w:rPr>
          <w:rFonts w:asciiTheme="majorHAnsi" w:hAnsiTheme="majorHAnsi" w:cstheme="majorHAnsi"/>
          <w:lang w:eastAsia="el-GR"/>
        </w:rPr>
      </w:pPr>
      <w:r w:rsidRPr="000A2AFE">
        <w:rPr>
          <w:rFonts w:asciiTheme="majorHAnsi" w:hAnsiTheme="majorHAnsi" w:cstheme="majorHAnsi"/>
          <w:lang w:eastAsia="el-GR"/>
        </w:rPr>
        <w:t>Са становишта Републике Србије, утврђени елементи од прекограничног значаја су:</w:t>
      </w:r>
    </w:p>
    <w:p w14:paraId="25872AC1" w14:textId="77777777" w:rsidR="00EB3C75" w:rsidRPr="000A2AFE" w:rsidRDefault="00EB3C75">
      <w:pPr>
        <w:pStyle w:val="ListParagraph"/>
        <w:widowControl w:val="0"/>
        <w:numPr>
          <w:ilvl w:val="0"/>
          <w:numId w:val="263"/>
        </w:numPr>
        <w:tabs>
          <w:tab w:val="num" w:pos="360"/>
        </w:tabs>
        <w:spacing w:after="0" w:line="276" w:lineRule="auto"/>
        <w:jc w:val="both"/>
        <w:rPr>
          <w:rFonts w:asciiTheme="majorHAnsi" w:eastAsia="Times New Roman" w:hAnsiTheme="majorHAnsi" w:cstheme="majorHAnsi"/>
          <w:lang w:eastAsia="en-GB"/>
        </w:rPr>
      </w:pPr>
      <w:r w:rsidRPr="000A2AFE">
        <w:rPr>
          <w:rFonts w:asciiTheme="majorHAnsi" w:eastAsia="Times New Roman" w:hAnsiTheme="majorHAnsi" w:cstheme="majorHAnsi"/>
          <w:lang w:eastAsia="en-GB"/>
        </w:rPr>
        <w:t>интеграција енергетских тржишта,</w:t>
      </w:r>
    </w:p>
    <w:p w14:paraId="4D7FEEDA" w14:textId="380B44D6" w:rsidR="00EB3C75" w:rsidRPr="000A2AFE" w:rsidRDefault="00EB3C75">
      <w:pPr>
        <w:pStyle w:val="ListParagraph"/>
        <w:widowControl w:val="0"/>
        <w:numPr>
          <w:ilvl w:val="0"/>
          <w:numId w:val="263"/>
        </w:numPr>
        <w:tabs>
          <w:tab w:val="num" w:pos="360"/>
        </w:tabs>
        <w:spacing w:after="0" w:line="276" w:lineRule="auto"/>
        <w:jc w:val="both"/>
        <w:rPr>
          <w:rFonts w:asciiTheme="majorHAnsi" w:eastAsia="Times New Roman" w:hAnsiTheme="majorHAnsi" w:cstheme="majorHAnsi"/>
          <w:lang w:eastAsia="en-GB"/>
        </w:rPr>
      </w:pPr>
      <w:r w:rsidRPr="000A2AFE">
        <w:rPr>
          <w:rFonts w:asciiTheme="majorHAnsi" w:eastAsia="Times New Roman" w:hAnsiTheme="majorHAnsi" w:cstheme="majorHAnsi"/>
          <w:lang w:eastAsia="en-GB"/>
        </w:rPr>
        <w:t xml:space="preserve">велики инфраструктурни пројекти </w:t>
      </w:r>
      <w:r w:rsidR="0075525A" w:rsidRPr="000A2AFE">
        <w:rPr>
          <w:rFonts w:asciiTheme="majorHAnsi" w:eastAsia="Times New Roman" w:hAnsiTheme="majorHAnsi" w:cstheme="majorHAnsi"/>
          <w:lang w:eastAsia="en-GB"/>
        </w:rPr>
        <w:t xml:space="preserve">у </w:t>
      </w:r>
      <w:r w:rsidRPr="000A2AFE">
        <w:rPr>
          <w:rFonts w:asciiTheme="majorHAnsi" w:eastAsia="Times New Roman" w:hAnsiTheme="majorHAnsi" w:cstheme="majorHAnsi"/>
          <w:lang w:eastAsia="en-GB"/>
        </w:rPr>
        <w:t>близ</w:t>
      </w:r>
      <w:r w:rsidR="0075525A" w:rsidRPr="000A2AFE">
        <w:rPr>
          <w:rFonts w:asciiTheme="majorHAnsi" w:eastAsia="Times New Roman" w:hAnsiTheme="majorHAnsi" w:cstheme="majorHAnsi"/>
          <w:lang w:eastAsia="en-GB"/>
        </w:rPr>
        <w:t xml:space="preserve">ини </w:t>
      </w:r>
      <w:r w:rsidRPr="000A2AFE">
        <w:rPr>
          <w:rFonts w:asciiTheme="majorHAnsi" w:eastAsia="Times New Roman" w:hAnsiTheme="majorHAnsi" w:cstheme="majorHAnsi"/>
          <w:lang w:eastAsia="en-GB"/>
        </w:rPr>
        <w:t>државне границе и прекогранични инфраструктурни пројекти,</w:t>
      </w:r>
    </w:p>
    <w:p w14:paraId="3FFAF8A3" w14:textId="77777777" w:rsidR="00EB3C75" w:rsidRPr="000A2AFE" w:rsidRDefault="00EB3C75">
      <w:pPr>
        <w:pStyle w:val="ListParagraph"/>
        <w:widowControl w:val="0"/>
        <w:numPr>
          <w:ilvl w:val="0"/>
          <w:numId w:val="263"/>
        </w:numPr>
        <w:tabs>
          <w:tab w:val="num" w:pos="360"/>
        </w:tabs>
        <w:spacing w:after="0" w:line="276" w:lineRule="auto"/>
        <w:jc w:val="both"/>
        <w:rPr>
          <w:rFonts w:asciiTheme="majorHAnsi" w:eastAsia="Times New Roman" w:hAnsiTheme="majorHAnsi" w:cstheme="majorHAnsi"/>
          <w:lang w:eastAsia="en-GB"/>
        </w:rPr>
      </w:pPr>
      <w:r w:rsidRPr="000A2AFE">
        <w:rPr>
          <w:rFonts w:asciiTheme="majorHAnsi" w:eastAsia="Times New Roman" w:hAnsiTheme="majorHAnsi" w:cstheme="majorHAnsi"/>
          <w:lang w:eastAsia="en-GB"/>
        </w:rPr>
        <w:t>међународна научноистраживачка сарадња, и</w:t>
      </w:r>
    </w:p>
    <w:p w14:paraId="1A215E15" w14:textId="77777777" w:rsidR="00EB3C75" w:rsidRPr="000A2AFE" w:rsidRDefault="00EB3C75">
      <w:pPr>
        <w:pStyle w:val="ListParagraph"/>
        <w:widowControl w:val="0"/>
        <w:numPr>
          <w:ilvl w:val="0"/>
          <w:numId w:val="263"/>
        </w:numPr>
        <w:tabs>
          <w:tab w:val="num" w:pos="360"/>
        </w:tabs>
        <w:spacing w:after="0" w:line="276" w:lineRule="auto"/>
        <w:jc w:val="both"/>
        <w:rPr>
          <w:rFonts w:asciiTheme="majorHAnsi" w:eastAsia="Times New Roman" w:hAnsiTheme="majorHAnsi" w:cstheme="majorHAnsi"/>
          <w:lang w:eastAsia="en-GB"/>
        </w:rPr>
      </w:pPr>
      <w:r w:rsidRPr="000A2AFE">
        <w:rPr>
          <w:rFonts w:asciiTheme="majorHAnsi" w:eastAsia="Times New Roman" w:hAnsiTheme="majorHAnsi" w:cstheme="majorHAnsi"/>
          <w:lang w:eastAsia="en-GB"/>
        </w:rPr>
        <w:t>друге активности које могу утицати на друге уговорне стране ЕЗ и државе чланице ЕУ.</w:t>
      </w:r>
    </w:p>
    <w:p w14:paraId="0D230F71" w14:textId="77777777" w:rsidR="00EB3C75" w:rsidRPr="00FF386D" w:rsidRDefault="00EB3C75" w:rsidP="00565B02">
      <w:pPr>
        <w:keepNext/>
        <w:keepLines/>
        <w:numPr>
          <w:ilvl w:val="0"/>
          <w:numId w:val="264"/>
        </w:numPr>
        <w:spacing w:before="200" w:after="120" w:line="240" w:lineRule="auto"/>
        <w:ind w:left="714" w:hanging="357"/>
        <w:outlineLvl w:val="3"/>
        <w:rPr>
          <w:rFonts w:asciiTheme="majorHAnsi" w:eastAsiaTheme="majorEastAsia" w:hAnsiTheme="majorHAnsi" w:cstheme="majorBidi"/>
          <w:b/>
          <w:bCs/>
          <w:iCs/>
          <w:color w:val="01406B"/>
          <w:szCs w:val="24"/>
          <w:lang w:eastAsia="el-GR"/>
        </w:rPr>
      </w:pPr>
      <w:r w:rsidRPr="00FF386D">
        <w:rPr>
          <w:rFonts w:asciiTheme="majorHAnsi" w:eastAsiaTheme="majorEastAsia" w:hAnsiTheme="majorHAnsi" w:cstheme="majorBidi"/>
          <w:b/>
          <w:bCs/>
          <w:iCs/>
          <w:color w:val="01406B"/>
          <w:szCs w:val="24"/>
          <w:lang w:eastAsia="el-GR"/>
        </w:rPr>
        <w:t>Објашњење како се регионална сарадња третира у плану</w:t>
      </w:r>
    </w:p>
    <w:p w14:paraId="50F74071" w14:textId="1408BFC1" w:rsidR="00620B7D" w:rsidRPr="00FF386D" w:rsidRDefault="00EB3C75" w:rsidP="00565B02">
      <w:pPr>
        <w:spacing w:line="259" w:lineRule="auto"/>
        <w:jc w:val="both"/>
        <w:rPr>
          <w:rFonts w:ascii="Calibri Light" w:eastAsia="Times New Roman" w:hAnsi="Calibri Light" w:cs="Calibri Light"/>
          <w:b/>
          <w:smallCaps/>
          <w:color w:val="FFFFFF"/>
          <w:kern w:val="28"/>
          <w:sz w:val="48"/>
          <w:szCs w:val="32"/>
          <w:lang w:eastAsia="el-GR"/>
        </w:rPr>
      </w:pPr>
      <w:r w:rsidRPr="00FF386D">
        <w:rPr>
          <w:rFonts w:ascii="Calibri Light" w:hAnsi="Calibri Light" w:cs="Calibri Light"/>
          <w:lang w:eastAsia="el-GR"/>
        </w:rPr>
        <w:t>Консултације са регионом</w:t>
      </w:r>
      <w:r w:rsidR="00534F58">
        <w:rPr>
          <w:rFonts w:ascii="Calibri Light" w:hAnsi="Calibri Light" w:cs="Calibri Light"/>
          <w:lang w:eastAsia="el-GR"/>
        </w:rPr>
        <w:t xml:space="preserve"> су</w:t>
      </w:r>
      <w:r w:rsidRPr="00FF386D">
        <w:rPr>
          <w:rFonts w:ascii="Calibri Light" w:hAnsi="Calibri Light" w:cs="Calibri Light"/>
          <w:lang w:eastAsia="el-GR"/>
        </w:rPr>
        <w:t xml:space="preserve"> одржане паралелно са јавним консултацијама за нацрт плана.</w:t>
      </w:r>
      <w:r w:rsidR="00534F58">
        <w:rPr>
          <w:rFonts w:ascii="Calibri Light" w:hAnsi="Calibri Light" w:cs="Calibri Light"/>
          <w:lang w:eastAsia="el-GR"/>
        </w:rPr>
        <w:t xml:space="preserve"> Међутим, </w:t>
      </w:r>
      <w:r w:rsidR="004D2D13">
        <w:rPr>
          <w:rFonts w:ascii="Calibri Light" w:hAnsi="Calibri Light" w:cs="Calibri Light"/>
          <w:lang w:eastAsia="el-GR"/>
        </w:rPr>
        <w:t xml:space="preserve">овај </w:t>
      </w:r>
      <w:r w:rsidR="00534F58">
        <w:rPr>
          <w:rFonts w:ascii="Calibri Light" w:hAnsi="Calibri Light" w:cs="Calibri Light"/>
          <w:lang w:eastAsia="el-GR"/>
        </w:rPr>
        <w:t xml:space="preserve">период је продужен за </w:t>
      </w:r>
      <w:r w:rsidR="004D2D13">
        <w:rPr>
          <w:rFonts w:ascii="Calibri Light" w:hAnsi="Calibri Light" w:cs="Calibri Light"/>
          <w:lang w:eastAsia="el-GR"/>
        </w:rPr>
        <w:t>више од</w:t>
      </w:r>
      <w:r w:rsidR="00534F58">
        <w:rPr>
          <w:rFonts w:ascii="Calibri Light" w:hAnsi="Calibri Light" w:cs="Calibri Light"/>
          <w:lang w:eastAsia="el-GR"/>
        </w:rPr>
        <w:t xml:space="preserve"> 4 месеца </w:t>
      </w:r>
      <w:r w:rsidR="004D2D13">
        <w:rPr>
          <w:rFonts w:ascii="Calibri Light" w:hAnsi="Calibri Light" w:cs="Calibri Light"/>
          <w:lang w:eastAsia="el-GR"/>
        </w:rPr>
        <w:t>све до</w:t>
      </w:r>
      <w:r w:rsidR="00534F58">
        <w:rPr>
          <w:rFonts w:ascii="Calibri Light" w:hAnsi="Calibri Light" w:cs="Calibri Light"/>
          <w:lang w:eastAsia="el-GR"/>
        </w:rPr>
        <w:t xml:space="preserve"> израде финалне верзије ИНЕКП-а. Током периода консултација, достављен </w:t>
      </w:r>
      <w:r w:rsidR="004D2D13">
        <w:rPr>
          <w:rFonts w:ascii="Calibri Light" w:hAnsi="Calibri Light" w:cs="Calibri Light"/>
          <w:lang w:eastAsia="el-GR"/>
        </w:rPr>
        <w:t xml:space="preserve">је само један коментар </w:t>
      </w:r>
      <w:r w:rsidR="00534F58">
        <w:rPr>
          <w:rFonts w:ascii="Calibri Light" w:hAnsi="Calibri Light" w:cs="Calibri Light"/>
          <w:lang w:eastAsia="el-GR"/>
        </w:rPr>
        <w:t xml:space="preserve">од стране Министарства за животну средину, водопривреду и шумске ресурсе Румуније на Стратешку процену утицаја на ИНЕКП </w:t>
      </w:r>
      <w:r w:rsidR="004D2D13">
        <w:rPr>
          <w:rFonts w:ascii="Calibri Light" w:hAnsi="Calibri Light" w:cs="Calibri Light"/>
          <w:lang w:eastAsia="el-GR"/>
        </w:rPr>
        <w:t>а у том погледу је достављено</w:t>
      </w:r>
      <w:r w:rsidR="00534F58">
        <w:rPr>
          <w:rFonts w:ascii="Calibri Light" w:hAnsi="Calibri Light" w:cs="Calibri Light"/>
          <w:lang w:eastAsia="el-GR"/>
        </w:rPr>
        <w:t xml:space="preserve"> релевантн</w:t>
      </w:r>
      <w:r w:rsidR="004D2D13">
        <w:rPr>
          <w:rFonts w:ascii="Calibri Light" w:hAnsi="Calibri Light" w:cs="Calibri Light"/>
          <w:lang w:eastAsia="el-GR"/>
        </w:rPr>
        <w:t>о</w:t>
      </w:r>
      <w:r w:rsidR="00534F58">
        <w:rPr>
          <w:rFonts w:ascii="Calibri Light" w:hAnsi="Calibri Light" w:cs="Calibri Light"/>
          <w:lang w:eastAsia="el-GR"/>
        </w:rPr>
        <w:t xml:space="preserve"> објашњењ</w:t>
      </w:r>
      <w:r w:rsidR="004D2D13">
        <w:rPr>
          <w:rFonts w:ascii="Calibri Light" w:hAnsi="Calibri Light" w:cs="Calibri Light"/>
          <w:lang w:eastAsia="el-GR"/>
        </w:rPr>
        <w:t xml:space="preserve">е. </w:t>
      </w:r>
      <w:bookmarkStart w:id="66" w:name="_Toc79772546"/>
      <w:r w:rsidR="00620B7D" w:rsidRPr="00FF386D">
        <w:br w:type="page"/>
      </w:r>
    </w:p>
    <w:p w14:paraId="387020A5" w14:textId="018A8764" w:rsidR="0041580B" w:rsidRPr="00FF386D" w:rsidRDefault="00222699" w:rsidP="0041580B">
      <w:pPr>
        <w:pStyle w:val="Heading1"/>
        <w:jc w:val="left"/>
      </w:pPr>
      <w:bookmarkStart w:id="67" w:name="_Toc137457015"/>
      <w:bookmarkStart w:id="68" w:name="_Toc153901532"/>
      <w:r w:rsidRPr="00FF386D">
        <w:lastRenderedPageBreak/>
        <w:t>НАЦИОНАЛНИ</w:t>
      </w:r>
      <w:r w:rsidR="002A7EF9" w:rsidRPr="00FF386D">
        <w:t xml:space="preserve"> ЦИЉЕВИ</w:t>
      </w:r>
      <w:bookmarkEnd w:id="66"/>
      <w:bookmarkEnd w:id="67"/>
      <w:bookmarkEnd w:id="68"/>
    </w:p>
    <w:p w14:paraId="5FCF54CF" w14:textId="2A4F1D6D" w:rsidR="001325F6" w:rsidRDefault="001325F6" w:rsidP="00DC6720">
      <w:pPr>
        <w:pStyle w:val="LDKBody1"/>
      </w:pPr>
      <w:bookmarkStart w:id="69" w:name="_Toc79772547"/>
      <w:r>
        <w:t>Свеобухватни приступ Интегрисаног националног и климатског плана захтева разматрање пет димензија на координисан начин, уз постављање следећих циљева и доприноса:</w:t>
      </w:r>
    </w:p>
    <w:p w14:paraId="4B12963F" w14:textId="6D7CE456" w:rsidR="001325F6" w:rsidRDefault="00470886" w:rsidP="00DC6720">
      <w:pPr>
        <w:pStyle w:val="LDKBody1"/>
      </w:pPr>
      <w:r>
        <w:t>У погледу димензије Декарбонизација:</w:t>
      </w:r>
    </w:p>
    <w:p w14:paraId="2D54CADE" w14:textId="42B791D5" w:rsidR="00470886" w:rsidRDefault="00470886" w:rsidP="00470886">
      <w:pPr>
        <w:pStyle w:val="LDKBody1"/>
        <w:numPr>
          <w:ilvl w:val="0"/>
          <w:numId w:val="381"/>
        </w:numPr>
      </w:pPr>
      <w:r>
        <w:t>Обавезујући национални циљ за смањење нето емисија гасова са ефектом стаклене баште у 2030. години у поређењу са нивоима из 1990. године</w:t>
      </w:r>
    </w:p>
    <w:p w14:paraId="5757CD00" w14:textId="10FB9F61" w:rsidR="00470886" w:rsidRDefault="00470886" w:rsidP="00470886">
      <w:pPr>
        <w:pStyle w:val="LDKBody1"/>
        <w:numPr>
          <w:ilvl w:val="0"/>
          <w:numId w:val="381"/>
        </w:numPr>
      </w:pPr>
      <w:r>
        <w:t>Циљ за све привредне секторе у погледу удела енергије из обновљивих извора у бруто финалној потрошњи енергије државе до 2030. године</w:t>
      </w:r>
    </w:p>
    <w:p w14:paraId="2AFDEF4E" w14:textId="5C0862C5" w:rsidR="00470886" w:rsidRDefault="00470886" w:rsidP="00470886">
      <w:pPr>
        <w:pStyle w:val="LDKBody1"/>
      </w:pPr>
      <w:r>
        <w:t>У погледу димензије Енергетска ефикасност:</w:t>
      </w:r>
    </w:p>
    <w:p w14:paraId="02AD2A84" w14:textId="70649C07" w:rsidR="00470886" w:rsidRDefault="00470886" w:rsidP="00470886">
      <w:pPr>
        <w:pStyle w:val="LDKBody1"/>
        <w:numPr>
          <w:ilvl w:val="0"/>
          <w:numId w:val="382"/>
        </w:numPr>
      </w:pPr>
      <w:r>
        <w:t>Национални циљ за енергетску ефикасност у 2030. години изражен к</w:t>
      </w:r>
      <w:r w:rsidR="00903272">
        <w:t>роз</w:t>
      </w:r>
      <w:r>
        <w:t xml:space="preserve"> потрошњ</w:t>
      </w:r>
      <w:r w:rsidR="00903272">
        <w:t>у</w:t>
      </w:r>
      <w:r>
        <w:t xml:space="preserve"> примарне енергије и финалн</w:t>
      </w:r>
      <w:r w:rsidR="00903272">
        <w:t>у</w:t>
      </w:r>
      <w:r>
        <w:t xml:space="preserve"> потрошњ</w:t>
      </w:r>
      <w:r w:rsidR="00903272">
        <w:t>у енергије</w:t>
      </w:r>
    </w:p>
    <w:p w14:paraId="6B005765" w14:textId="1BABB750" w:rsidR="00470886" w:rsidRDefault="00470886" w:rsidP="00470886">
      <w:pPr>
        <w:pStyle w:val="LDKBody1"/>
        <w:numPr>
          <w:ilvl w:val="0"/>
          <w:numId w:val="382"/>
        </w:numPr>
      </w:pPr>
      <w:r>
        <w:t xml:space="preserve">Кумулативне </w:t>
      </w:r>
      <w:r w:rsidR="00032938">
        <w:t xml:space="preserve">уштеде </w:t>
      </w:r>
      <w:r w:rsidR="009C5908">
        <w:t xml:space="preserve">у финалној потрошњи које </w:t>
      </w:r>
      <w:r w:rsidR="00101E11">
        <w:t>је потребно</w:t>
      </w:r>
      <w:r w:rsidR="009C5908">
        <w:t xml:space="preserve"> остварити</w:t>
      </w:r>
      <w:r w:rsidR="00032938">
        <w:t xml:space="preserve"> у периоду 2025-2030 како је дефинисано </w:t>
      </w:r>
      <w:r w:rsidR="009C5908">
        <w:t xml:space="preserve">под </w:t>
      </w:r>
      <w:r w:rsidR="00032938">
        <w:t>тачк</w:t>
      </w:r>
      <w:r w:rsidR="009C5908">
        <w:t>ом</w:t>
      </w:r>
      <w:r w:rsidR="00032938">
        <w:t xml:space="preserve"> (б) члана 7 (1) о обавезама за уштеду енергије у складу са Директивом </w:t>
      </w:r>
      <w:r w:rsidR="00032938" w:rsidRPr="000A2AFE">
        <w:rPr>
          <w:i/>
          <w:iCs/>
        </w:rPr>
        <w:t>2012/27/Е</w:t>
      </w:r>
      <w:r w:rsidR="00032938" w:rsidRPr="000A2AFE">
        <w:rPr>
          <w:i/>
          <w:iCs/>
          <w:lang w:val="en-US"/>
        </w:rPr>
        <w:t>U</w:t>
      </w:r>
      <w:r w:rsidR="00032938" w:rsidRPr="00C312D6">
        <w:t xml:space="preserve"> </w:t>
      </w:r>
      <w:r w:rsidR="00032938">
        <w:t>која је измењен</w:t>
      </w:r>
      <w:r w:rsidR="009C5908">
        <w:t>а</w:t>
      </w:r>
      <w:r w:rsidR="00032938">
        <w:t xml:space="preserve"> и усвојена одлукама </w:t>
      </w:r>
      <w:r w:rsidR="00032938" w:rsidRPr="00C312D6">
        <w:rPr>
          <w:i/>
          <w:iCs/>
        </w:rPr>
        <w:t>2015/08/</w:t>
      </w:r>
      <w:r w:rsidR="00032938" w:rsidRPr="000A2AFE">
        <w:rPr>
          <w:i/>
          <w:iCs/>
          <w:lang w:val="en-GB"/>
        </w:rPr>
        <w:t>MC</w:t>
      </w:r>
      <w:r w:rsidR="00032938" w:rsidRPr="00C312D6">
        <w:rPr>
          <w:i/>
          <w:iCs/>
        </w:rPr>
        <w:t>-</w:t>
      </w:r>
      <w:r w:rsidR="00032938" w:rsidRPr="000A2AFE">
        <w:rPr>
          <w:i/>
          <w:iCs/>
          <w:lang w:val="en-GB"/>
        </w:rPr>
        <w:t>EnC</w:t>
      </w:r>
      <w:r w:rsidR="00032938" w:rsidRPr="00032938">
        <w:t xml:space="preserve"> </w:t>
      </w:r>
      <w:r w:rsidR="00032938">
        <w:t xml:space="preserve">и </w:t>
      </w:r>
      <w:r w:rsidR="00032938" w:rsidRPr="00C312D6">
        <w:rPr>
          <w:i/>
          <w:iCs/>
        </w:rPr>
        <w:t>2022/02/</w:t>
      </w:r>
      <w:r w:rsidR="00032938" w:rsidRPr="000A2AFE">
        <w:rPr>
          <w:i/>
          <w:iCs/>
          <w:lang w:val="en-GB"/>
        </w:rPr>
        <w:t>MC</w:t>
      </w:r>
      <w:r w:rsidR="00032938" w:rsidRPr="00C312D6">
        <w:rPr>
          <w:i/>
          <w:iCs/>
        </w:rPr>
        <w:t>-</w:t>
      </w:r>
      <w:r w:rsidR="00032938" w:rsidRPr="000A2AFE">
        <w:rPr>
          <w:i/>
          <w:iCs/>
          <w:lang w:val="en-GB"/>
        </w:rPr>
        <w:t>EnC</w:t>
      </w:r>
      <w:r w:rsidR="00032938" w:rsidRPr="00032938">
        <w:t xml:space="preserve"> </w:t>
      </w:r>
      <w:r w:rsidR="00032938">
        <w:t>Министарског савета</w:t>
      </w:r>
      <w:r w:rsidR="00990755">
        <w:rPr>
          <w:lang w:val="sr-Cyrl-CS"/>
        </w:rPr>
        <w:t xml:space="preserve"> Енергетске заједнице</w:t>
      </w:r>
      <w:r w:rsidR="00336ADA">
        <w:t>.</w:t>
      </w:r>
    </w:p>
    <w:p w14:paraId="6EA24A6D" w14:textId="018497B3" w:rsidR="00336ADA" w:rsidRDefault="00336ADA" w:rsidP="00336ADA">
      <w:pPr>
        <w:pStyle w:val="LDKBody1"/>
      </w:pPr>
      <w:r>
        <w:t>У погледу димензије Енергетска сигурност:</w:t>
      </w:r>
    </w:p>
    <w:p w14:paraId="5CB6A6E9" w14:textId="7B6CCB10" w:rsidR="00336ADA" w:rsidRDefault="009C5908" w:rsidP="00336ADA">
      <w:pPr>
        <w:pStyle w:val="LDKBody1"/>
        <w:numPr>
          <w:ilvl w:val="0"/>
          <w:numId w:val="383"/>
        </w:numPr>
      </w:pPr>
      <w:r>
        <w:t xml:space="preserve">Национални циљеви </w:t>
      </w:r>
      <w:r w:rsidR="00101E11">
        <w:t xml:space="preserve">у погледу </w:t>
      </w:r>
      <w:r>
        <w:t>повећа</w:t>
      </w:r>
      <w:r w:rsidR="00101E11">
        <w:t>ња</w:t>
      </w:r>
      <w:r>
        <w:t xml:space="preserve"> диверсификациј</w:t>
      </w:r>
      <w:r w:rsidR="00101E11">
        <w:t>е</w:t>
      </w:r>
      <w:r>
        <w:t xml:space="preserve"> извора енергије и снабдевања из трећих земаља, </w:t>
      </w:r>
      <w:r w:rsidR="00101E11">
        <w:t>како би се смањила</w:t>
      </w:r>
      <w:r>
        <w:t xml:space="preserve"> зависности од увоза енергије, повећа</w:t>
      </w:r>
      <w:r w:rsidR="00D827A0">
        <w:t>ла</w:t>
      </w:r>
      <w:r>
        <w:t xml:space="preserve"> флексибилности националног енергетског система и р</w:t>
      </w:r>
      <w:r w:rsidR="00D827A0">
        <w:t>ешило питање</w:t>
      </w:r>
      <w:r>
        <w:t xml:space="preserve"> ограниченог или прекинутог снабдевања извора енергије с циљем да се унапреди отпорност регионалног и националног енергетског система.</w:t>
      </w:r>
    </w:p>
    <w:p w14:paraId="0E46C796" w14:textId="740A9CE0" w:rsidR="009C5908" w:rsidRDefault="009C5908" w:rsidP="009C5908">
      <w:pPr>
        <w:pStyle w:val="LDKBody1"/>
      </w:pPr>
      <w:r>
        <w:t>У погледу димензије Унутрашње енергетско тржиште:</w:t>
      </w:r>
    </w:p>
    <w:p w14:paraId="6362F045" w14:textId="7E6EFE9B" w:rsidR="00D827A0" w:rsidRDefault="00D827A0" w:rsidP="00D827A0">
      <w:pPr>
        <w:pStyle w:val="LDKBody1"/>
        <w:numPr>
          <w:ilvl w:val="0"/>
          <w:numId w:val="383"/>
        </w:numPr>
      </w:pPr>
      <w:r>
        <w:t xml:space="preserve">Циљеви у погледу нивоа интерконективности у области електричне енергије, најважнијих инфраструктурних пројеката за пренос електричне енергије и гаса, национални циљеви </w:t>
      </w:r>
      <w:r w:rsidR="00714D31">
        <w:t>који се односе на аспекте</w:t>
      </w:r>
      <w:r>
        <w:t xml:space="preserve"> унутрашњег енергетског тржишта (јачање регионалне сарадње и унапређење интеграције регионалног тржишта).</w:t>
      </w:r>
    </w:p>
    <w:p w14:paraId="2632AD22" w14:textId="7669D0F9" w:rsidR="00D827A0" w:rsidRDefault="00D827A0" w:rsidP="00D827A0">
      <w:pPr>
        <w:pStyle w:val="LDKBody1"/>
      </w:pPr>
      <w:r>
        <w:t>У погледу димензије Истраживање, иновације и конкурентност:</w:t>
      </w:r>
    </w:p>
    <w:p w14:paraId="7E44F3CC" w14:textId="7A5547B1" w:rsidR="00D827A0" w:rsidRDefault="00971B7E" w:rsidP="00D827A0">
      <w:pPr>
        <w:pStyle w:val="LDKBody1"/>
        <w:numPr>
          <w:ilvl w:val="0"/>
          <w:numId w:val="383"/>
        </w:numPr>
      </w:pPr>
      <w:r>
        <w:t xml:space="preserve">Национални циљеви за истраживање и иновације у јавном и приватном сектору </w:t>
      </w:r>
      <w:r w:rsidR="00903272">
        <w:t>који се односе на</w:t>
      </w:r>
      <w:r>
        <w:t xml:space="preserve"> приоритет</w:t>
      </w:r>
      <w:r w:rsidR="00903272">
        <w:t>е</w:t>
      </w:r>
      <w:r>
        <w:t xml:space="preserve"> Енергетске Уније</w:t>
      </w:r>
    </w:p>
    <w:p w14:paraId="14794D7C" w14:textId="4901E5B6" w:rsidR="00971B7E" w:rsidRDefault="00971B7E" w:rsidP="00971B7E">
      <w:pPr>
        <w:pStyle w:val="LDKBody1"/>
        <w:rPr>
          <w:b/>
          <w:bCs/>
        </w:rPr>
      </w:pPr>
      <w:r w:rsidRPr="000A2AFE">
        <w:rPr>
          <w:b/>
          <w:bCs/>
        </w:rPr>
        <w:t>Механизам управљања за спровођење ИНЕКП-а, постизање максималног нивоа синергиј</w:t>
      </w:r>
      <w:r>
        <w:rPr>
          <w:b/>
          <w:bCs/>
          <w:lang w:val="en-US"/>
        </w:rPr>
        <w:t>a</w:t>
      </w:r>
      <w:r w:rsidRPr="000A2AFE">
        <w:rPr>
          <w:b/>
          <w:bCs/>
        </w:rPr>
        <w:t xml:space="preserve"> између мера и ефикасно коришћење њиховог буџета</w:t>
      </w:r>
    </w:p>
    <w:p w14:paraId="7AE15407" w14:textId="470ABD93" w:rsidR="00BD6F55" w:rsidRDefault="00971B7E" w:rsidP="00971B7E">
      <w:pPr>
        <w:pStyle w:val="LDKBody1"/>
      </w:pPr>
      <w:r>
        <w:t xml:space="preserve">Треба напоменути да ће се развој управљачког оквира за </w:t>
      </w:r>
      <w:r w:rsidR="00BD6F55">
        <w:t xml:space="preserve">интегрисано </w:t>
      </w:r>
      <w:r>
        <w:t xml:space="preserve">праћење и процену </w:t>
      </w:r>
      <w:r w:rsidR="00ED54A7">
        <w:t>испуњења</w:t>
      </w:r>
      <w:r>
        <w:t xml:space="preserve"> </w:t>
      </w:r>
      <w:r w:rsidR="00BD6F55">
        <w:t>одређених циљева и спровођења мера политике</w:t>
      </w:r>
      <w:r w:rsidR="000D09A1">
        <w:t>,</w:t>
      </w:r>
      <w:r w:rsidR="00BD6F55">
        <w:t xml:space="preserve"> како је детаљно описано у Поглављу 3</w:t>
      </w:r>
      <w:r w:rsidR="000D09A1">
        <w:t>,</w:t>
      </w:r>
      <w:r w:rsidR="00BD6F55">
        <w:t xml:space="preserve"> </w:t>
      </w:r>
      <w:r w:rsidR="000D09A1">
        <w:t>спровести применом механизама за праћење и управљање, који ће бити развијени у складу са прописима националног законодавства, укључујући спровођење детаљне стручне контроле и примену пенала за случајеве не испуњава</w:t>
      </w:r>
      <w:r w:rsidR="00ED54A7">
        <w:t>ња</w:t>
      </w:r>
      <w:r w:rsidR="000D09A1">
        <w:t xml:space="preserve"> захтев</w:t>
      </w:r>
      <w:r w:rsidR="00ED54A7">
        <w:t>а</w:t>
      </w:r>
      <w:r w:rsidR="000D09A1">
        <w:t>.</w:t>
      </w:r>
    </w:p>
    <w:p w14:paraId="73B91CA5" w14:textId="05F97DFB" w:rsidR="00C66728" w:rsidRDefault="000D09A1" w:rsidP="00971B7E">
      <w:pPr>
        <w:pStyle w:val="LDKBody1"/>
      </w:pPr>
      <w:r>
        <w:t xml:space="preserve">Применом овог управљачког оквира настоји се да се обезбеди централизовано и интегрисано праћење </w:t>
      </w:r>
      <w:r w:rsidR="00C66728">
        <w:t>спровођења мера политике као и допринос заинтересованих страна током њиховог спровођења с циљем да се постигну циљеви ИНЕКП-а.</w:t>
      </w:r>
    </w:p>
    <w:p w14:paraId="17273653" w14:textId="7FEBD883" w:rsidR="000D09A1" w:rsidRDefault="00C66728" w:rsidP="00971B7E">
      <w:pPr>
        <w:pStyle w:val="LDKBody1"/>
      </w:pPr>
      <w:r>
        <w:t>У</w:t>
      </w:r>
      <w:r w:rsidRPr="00C66728">
        <w:t>прављачк</w:t>
      </w:r>
      <w:r>
        <w:t>и</w:t>
      </w:r>
      <w:r w:rsidRPr="00C66728">
        <w:t xml:space="preserve"> оквир</w:t>
      </w:r>
      <w:r>
        <w:t xml:space="preserve"> ће омогућити сарадњу и комуникацију</w:t>
      </w:r>
      <w:r w:rsidRPr="00C66728">
        <w:t xml:space="preserve"> </w:t>
      </w:r>
      <w:r w:rsidR="000D09A1">
        <w:t xml:space="preserve">између заинтересованих страна у свакој од пет различитих димензија, </w:t>
      </w:r>
      <w:r w:rsidR="00F60823">
        <w:t xml:space="preserve">осигуравајући </w:t>
      </w:r>
      <w:r>
        <w:t xml:space="preserve">тиме </w:t>
      </w:r>
      <w:r w:rsidR="00F60823">
        <w:t>постизање максималног нивоа синергија између мера политике спроведених у оквиру свих димензија ИНЕКП-а.</w:t>
      </w:r>
    </w:p>
    <w:p w14:paraId="55783B47" w14:textId="785D9884" w:rsidR="00F60823" w:rsidRDefault="009E3E63" w:rsidP="00971B7E">
      <w:pPr>
        <w:pStyle w:val="LDKBody1"/>
      </w:pPr>
      <w:r>
        <w:t xml:space="preserve">Радна група за енергетику и климу којом председава Министарство рударства и енергетике треба да </w:t>
      </w:r>
      <w:r>
        <w:lastRenderedPageBreak/>
        <w:t>има значајну улогу у развоју и спровођењу управљачког оквира, са следећим функцијама</w:t>
      </w:r>
      <w:r w:rsidR="00ED54A7">
        <w:t>, између осталог</w:t>
      </w:r>
      <w:r>
        <w:t>:</w:t>
      </w:r>
    </w:p>
    <w:p w14:paraId="5D33FC48" w14:textId="43A32F22" w:rsidR="009E3E63" w:rsidRDefault="00ED105A" w:rsidP="009E3E63">
      <w:pPr>
        <w:pStyle w:val="LDKBody1"/>
        <w:numPr>
          <w:ilvl w:val="0"/>
          <w:numId w:val="383"/>
        </w:numPr>
      </w:pPr>
      <w:r>
        <w:t>Утврђивање националних приоритета и методологије и смерница за планирање у енергетици, као и ажурирање ИНЕКП-а</w:t>
      </w:r>
    </w:p>
    <w:p w14:paraId="058A844F" w14:textId="3444E61A" w:rsidR="00ED105A" w:rsidRDefault="00ED105A" w:rsidP="009E3E63">
      <w:pPr>
        <w:pStyle w:val="LDKBody1"/>
        <w:numPr>
          <w:ilvl w:val="0"/>
          <w:numId w:val="383"/>
        </w:numPr>
      </w:pPr>
      <w:r>
        <w:t>Анализ</w:t>
      </w:r>
      <w:r w:rsidR="00ED54A7">
        <w:t>а</w:t>
      </w:r>
      <w:r>
        <w:t xml:space="preserve"> и ажурирање сценарија развоја енергетског система</w:t>
      </w:r>
    </w:p>
    <w:p w14:paraId="69A5742C" w14:textId="2992F526" w:rsidR="00ED105A" w:rsidRDefault="00ED105A" w:rsidP="009E3E63">
      <w:pPr>
        <w:pStyle w:val="LDKBody1"/>
        <w:numPr>
          <w:ilvl w:val="0"/>
          <w:numId w:val="383"/>
        </w:numPr>
      </w:pPr>
      <w:r>
        <w:t>Планирањ</w:t>
      </w:r>
      <w:r w:rsidR="00ED54A7">
        <w:t>е</w:t>
      </w:r>
      <w:r>
        <w:t xml:space="preserve"> и промовисањ</w:t>
      </w:r>
      <w:r w:rsidR="00ED54A7">
        <w:t>е</w:t>
      </w:r>
      <w:r>
        <w:t xml:space="preserve"> предлога за енергетске политике и акције и давање препорука за предузимање корективних мера у случају одступања</w:t>
      </w:r>
    </w:p>
    <w:p w14:paraId="2DADDCF3" w14:textId="6B9ABB21" w:rsidR="00ED105A" w:rsidRDefault="00ED105A" w:rsidP="009E3E63">
      <w:pPr>
        <w:pStyle w:val="LDKBody1"/>
        <w:numPr>
          <w:ilvl w:val="0"/>
          <w:numId w:val="383"/>
        </w:numPr>
      </w:pPr>
      <w:r>
        <w:t>Давање смерница институционалним телима</w:t>
      </w:r>
    </w:p>
    <w:p w14:paraId="109A8041" w14:textId="32818944" w:rsidR="00ED105A" w:rsidRDefault="00ED105A" w:rsidP="00ED105A">
      <w:pPr>
        <w:pStyle w:val="LDKBody1"/>
      </w:pPr>
      <w:r>
        <w:t>Поред тога, заинтересоване стране треба да узму у обзир одредбе ИНЕКП-а у сопственим развојним политикама како би допринеле несметаном и делотворном спровођењу мера политике утврђеним у ИНЕКП-у.</w:t>
      </w:r>
    </w:p>
    <w:p w14:paraId="1D913820" w14:textId="11076CE9" w:rsidR="00ED105A" w:rsidRDefault="00ED105A" w:rsidP="00ED105A">
      <w:pPr>
        <w:pStyle w:val="LDKBody1"/>
      </w:pPr>
      <w:r>
        <w:t xml:space="preserve">У ту сврху, биће развијен механизам за координацију, који ће обухватити одборе или групе предвиђене да се обезбеди релевантност других повезаних националних стратегија, као што су </w:t>
      </w:r>
      <w:r w:rsidR="0042167C">
        <w:t>стратегија</w:t>
      </w:r>
      <w:r>
        <w:t xml:space="preserve"> за управљање отпадом, циркуларну економију и прилагођавање на измењене климатске услове.</w:t>
      </w:r>
    </w:p>
    <w:p w14:paraId="4222E5DC" w14:textId="77A87A67" w:rsidR="00ED105A" w:rsidRDefault="00ED105A" w:rsidP="00ED105A">
      <w:pPr>
        <w:pStyle w:val="LDKBody1"/>
      </w:pPr>
      <w:r>
        <w:t>Спровођење управљачког оквира ће обезбедити континуитет политика и мера које је потребно спровести и конзистентност јавних и приватних институционалних тела укључених у спровођење ових политика и мера.</w:t>
      </w:r>
    </w:p>
    <w:p w14:paraId="00BB75C1" w14:textId="56BF5AF8" w:rsidR="00ED105A" w:rsidRDefault="00ED105A" w:rsidP="00ED105A">
      <w:pPr>
        <w:pStyle w:val="LDKBody1"/>
      </w:pPr>
      <w:r>
        <w:t>Најзначајнији елемент управљачког оквира ће бити развој интегрисаног механизма за праћење политик</w:t>
      </w:r>
      <w:r w:rsidR="0042167C">
        <w:t>а</w:t>
      </w:r>
      <w:r>
        <w:t xml:space="preserve"> и мера које се </w:t>
      </w:r>
      <w:r w:rsidR="0042167C">
        <w:t>с</w:t>
      </w:r>
      <w:r>
        <w:t xml:space="preserve">проводе. Овај механизам ће </w:t>
      </w:r>
      <w:r w:rsidR="0042167C">
        <w:t>обухватити процедуре за континуирано праћење како постизања појединачних циљева ИНЕКП-а, тако и делотворности и утицаја сваке мере политике понаособ, укључујући коришћење релева</w:t>
      </w:r>
      <w:r w:rsidR="000C31F3">
        <w:t>н</w:t>
      </w:r>
      <w:r w:rsidR="0042167C">
        <w:t>тних кључних индикатора перформанси.</w:t>
      </w:r>
    </w:p>
    <w:p w14:paraId="381D2876" w14:textId="4CE0A024" w:rsidR="0042167C" w:rsidRDefault="0042167C" w:rsidP="00ED105A">
      <w:pPr>
        <w:pStyle w:val="LDKBody1"/>
      </w:pPr>
      <w:r>
        <w:t xml:space="preserve">Наравно, током спровођења ИНЕКП-а, биће узета у обзир сва одступања, прво </w:t>
      </w:r>
      <w:r w:rsidR="00E06FF9">
        <w:t xml:space="preserve">како би се предузеле </w:t>
      </w:r>
      <w:r>
        <w:t>корективн</w:t>
      </w:r>
      <w:r w:rsidR="00E06FF9">
        <w:t xml:space="preserve">е </w:t>
      </w:r>
      <w:r>
        <w:t>мер</w:t>
      </w:r>
      <w:r w:rsidR="00E06FF9">
        <w:t>е</w:t>
      </w:r>
      <w:r>
        <w:t xml:space="preserve"> од стране наведених тела, а затим како би се обезбедила сигурност снабдевања у Републици Србији.</w:t>
      </w:r>
    </w:p>
    <w:p w14:paraId="66163074" w14:textId="17B725B1" w:rsidR="00ED105A" w:rsidRDefault="000C31F3" w:rsidP="00ED105A">
      <w:pPr>
        <w:pStyle w:val="LDKBody1"/>
      </w:pPr>
      <w:r>
        <w:t>Биће коришћен релевантан модел за</w:t>
      </w:r>
      <w:r w:rsidR="00E06FF9">
        <w:t xml:space="preserve"> осмишљавање и спровођење механизама и програма финансирања. </w:t>
      </w:r>
      <w:r>
        <w:t>Ови механизми и програми финансирања биће осмишљени укључујући, између осталог, постизање максималног степена искоришћености ресурса, ефикасније коришћење расположивих јавних фондова, увођење иновативних алата финансирања, обезбеђивање активније мобилизације домаћих финансијских сектора и постизање максималних нивоа синергија између различитих циљева политика.</w:t>
      </w:r>
    </w:p>
    <w:p w14:paraId="7807EC89" w14:textId="7498FB1A" w:rsidR="000C31F3" w:rsidRPr="000D09A1" w:rsidRDefault="000C31F3" w:rsidP="00ED105A">
      <w:pPr>
        <w:pStyle w:val="LDKBody1"/>
      </w:pPr>
      <w:r>
        <w:t>Следећа потпоглавља дају приказ циљева политике за сваку од претходно наведених димензија у Републици Србији.</w:t>
      </w:r>
    </w:p>
    <w:p w14:paraId="5496194B" w14:textId="77777777" w:rsidR="00971B7E" w:rsidRPr="00470886" w:rsidRDefault="00971B7E" w:rsidP="00971B7E">
      <w:pPr>
        <w:pStyle w:val="LDKBody1"/>
      </w:pPr>
    </w:p>
    <w:p w14:paraId="7FA8FB3A" w14:textId="045539B4" w:rsidR="00653D73" w:rsidRPr="00C312D6" w:rsidRDefault="00222699" w:rsidP="00653D73">
      <w:pPr>
        <w:pStyle w:val="Heading2"/>
        <w:rPr>
          <w:lang w:val="sr-Cyrl-RS"/>
        </w:rPr>
      </w:pPr>
      <w:bookmarkStart w:id="70" w:name="_Toc137457016"/>
      <w:bookmarkStart w:id="71" w:name="_Toc153901533"/>
      <w:bookmarkEnd w:id="69"/>
      <w:r w:rsidRPr="00C312D6">
        <w:rPr>
          <w:lang w:val="sr-Cyrl-RS"/>
        </w:rPr>
        <w:t>Климатске промене, емисије и смањење гасова са ефектом стаклене баште (</w:t>
      </w:r>
      <w:r w:rsidRPr="00FF386D">
        <w:rPr>
          <w:i/>
          <w:iCs/>
        </w:rPr>
        <w:t>GHG</w:t>
      </w:r>
      <w:r w:rsidRPr="00C312D6">
        <w:rPr>
          <w:lang w:val="sr-Cyrl-RS"/>
        </w:rPr>
        <w:t>)</w:t>
      </w:r>
      <w:bookmarkEnd w:id="70"/>
      <w:bookmarkEnd w:id="71"/>
    </w:p>
    <w:p w14:paraId="5128BBB1" w14:textId="3A12A2AE" w:rsidR="00DC6720" w:rsidRDefault="00DC6720" w:rsidP="00DC6720">
      <w:pPr>
        <w:spacing w:after="120" w:line="240" w:lineRule="atLeast"/>
        <w:jc w:val="both"/>
        <w:rPr>
          <w:rFonts w:asciiTheme="majorHAnsi" w:eastAsia="Times New Roman" w:hAnsiTheme="majorHAnsi" w:cstheme="majorHAnsi"/>
          <w:szCs w:val="20"/>
        </w:rPr>
      </w:pPr>
      <w:bookmarkStart w:id="72" w:name="_bookmark25"/>
      <w:bookmarkEnd w:id="72"/>
      <w:r w:rsidRPr="00FF386D">
        <w:rPr>
          <w:rFonts w:asciiTheme="majorHAnsi" w:eastAsia="Times New Roman" w:hAnsiTheme="majorHAnsi" w:cstheme="majorHAnsi"/>
          <w:szCs w:val="20"/>
        </w:rPr>
        <w:t xml:space="preserve">Одређен је централни </w:t>
      </w:r>
      <w:r w:rsidRPr="00FF386D">
        <w:rPr>
          <w:rFonts w:asciiTheme="majorHAnsi" w:eastAsia="Times New Roman" w:hAnsiTheme="majorHAnsi" w:cstheme="majorHAnsi"/>
          <w:b/>
          <w:bCs/>
          <w:szCs w:val="20"/>
        </w:rPr>
        <w:t>циљ за смањење емисије</w:t>
      </w:r>
      <w:r w:rsidRPr="00FF386D">
        <w:rPr>
          <w:rFonts w:asciiTheme="majorHAnsi" w:eastAsia="Times New Roman" w:hAnsiTheme="majorHAnsi" w:cstheme="majorHAnsi"/>
          <w:b/>
          <w:bCs/>
          <w:i/>
          <w:iCs/>
          <w:szCs w:val="20"/>
        </w:rPr>
        <w:t xml:space="preserve"> GHG</w:t>
      </w:r>
      <w:r w:rsidRPr="00FF386D">
        <w:rPr>
          <w:rFonts w:asciiTheme="majorHAnsi" w:eastAsia="Times New Roman" w:hAnsiTheme="majorHAnsi" w:cstheme="majorHAnsi"/>
          <w:szCs w:val="20"/>
        </w:rPr>
        <w:t xml:space="preserve"> за 40,</w:t>
      </w:r>
      <w:r w:rsidR="00B9551E" w:rsidRPr="00FF386D">
        <w:rPr>
          <w:rFonts w:asciiTheme="majorHAnsi" w:eastAsia="Times New Roman" w:hAnsiTheme="majorHAnsi" w:cstheme="majorHAnsi"/>
          <w:szCs w:val="20"/>
        </w:rPr>
        <w:t>3</w:t>
      </w:r>
      <w:r w:rsidRPr="00FF386D">
        <w:rPr>
          <w:rFonts w:asciiTheme="majorHAnsi" w:eastAsia="Times New Roman" w:hAnsiTheme="majorHAnsi" w:cstheme="majorHAnsi"/>
          <w:szCs w:val="20"/>
        </w:rPr>
        <w:t xml:space="preserve">% у 2030. години у односу на 1990. годину, укључујући пољопривреду, отпад и </w:t>
      </w:r>
      <w:r w:rsidRPr="00FF386D">
        <w:rPr>
          <w:rFonts w:asciiTheme="majorHAnsi" w:eastAsia="Times New Roman" w:hAnsiTheme="majorHAnsi" w:cstheme="majorHAnsi"/>
          <w:i/>
          <w:iCs/>
          <w:szCs w:val="20"/>
        </w:rPr>
        <w:t>LULUCF</w:t>
      </w:r>
      <w:r w:rsidRPr="00FF386D">
        <w:rPr>
          <w:rFonts w:asciiTheme="majorHAnsi" w:eastAsia="Times New Roman" w:hAnsiTheme="majorHAnsi" w:cstheme="majorHAnsi"/>
          <w:szCs w:val="20"/>
        </w:rPr>
        <w:t xml:space="preserve">. </w:t>
      </w:r>
      <w:r w:rsidR="00107C1E">
        <w:rPr>
          <w:rFonts w:asciiTheme="majorHAnsi" w:eastAsia="Times New Roman" w:hAnsiTheme="majorHAnsi" w:cstheme="majorHAnsi"/>
          <w:szCs w:val="20"/>
        </w:rPr>
        <w:t>Овај циљ је у складу са чланом 4 одлуке 2022/02/</w:t>
      </w:r>
      <w:r w:rsidR="00107C1E" w:rsidRPr="00565B02">
        <w:rPr>
          <w:rFonts w:asciiTheme="majorHAnsi" w:eastAsia="Times New Roman" w:hAnsiTheme="majorHAnsi" w:cstheme="majorHAnsi"/>
          <w:i/>
          <w:iCs/>
          <w:szCs w:val="20"/>
          <w:lang w:val="en-US"/>
        </w:rPr>
        <w:t>MC-EnC</w:t>
      </w:r>
      <w:r w:rsidR="00107C1E">
        <w:rPr>
          <w:rFonts w:asciiTheme="majorHAnsi" w:eastAsia="Times New Roman" w:hAnsiTheme="majorHAnsi" w:cstheme="majorHAnsi"/>
          <w:szCs w:val="20"/>
          <w:lang w:val="en-US"/>
        </w:rPr>
        <w:t xml:space="preserve"> </w:t>
      </w:r>
      <w:r w:rsidR="00107C1E">
        <w:rPr>
          <w:rFonts w:asciiTheme="majorHAnsi" w:eastAsia="Times New Roman" w:hAnsiTheme="majorHAnsi" w:cstheme="majorHAnsi"/>
          <w:szCs w:val="20"/>
        </w:rPr>
        <w:t xml:space="preserve">Министарског савета Енергетске заједнице, тачка (13). </w:t>
      </w:r>
      <w:r w:rsidRPr="00FF386D">
        <w:rPr>
          <w:rFonts w:asciiTheme="majorHAnsi" w:eastAsia="Times New Roman" w:hAnsiTheme="majorHAnsi" w:cstheme="majorHAnsi"/>
          <w:szCs w:val="20"/>
        </w:rPr>
        <w:t xml:space="preserve">То је </w:t>
      </w:r>
      <w:r w:rsidR="00107C1E">
        <w:rPr>
          <w:rFonts w:asciiTheme="majorHAnsi" w:eastAsia="Times New Roman" w:hAnsiTheme="majorHAnsi" w:cstheme="majorHAnsi"/>
          <w:szCs w:val="20"/>
        </w:rPr>
        <w:t xml:space="preserve">такође </w:t>
      </w:r>
      <w:r w:rsidRPr="00FF386D">
        <w:rPr>
          <w:rFonts w:asciiTheme="majorHAnsi" w:eastAsia="Times New Roman" w:hAnsiTheme="majorHAnsi" w:cstheme="majorHAnsi"/>
          <w:szCs w:val="20"/>
        </w:rPr>
        <w:t xml:space="preserve">у складу са циљевима </w:t>
      </w:r>
      <w:r w:rsidR="002C12A9" w:rsidRPr="00FF386D">
        <w:rPr>
          <w:rFonts w:asciiTheme="majorHAnsi" w:eastAsia="Times New Roman" w:hAnsiTheme="majorHAnsi" w:cstheme="majorHAnsi"/>
          <w:szCs w:val="20"/>
        </w:rPr>
        <w:t xml:space="preserve">који су </w:t>
      </w:r>
      <w:r w:rsidRPr="00FF386D">
        <w:rPr>
          <w:rFonts w:asciiTheme="majorHAnsi" w:eastAsia="Times New Roman" w:hAnsiTheme="majorHAnsi" w:cstheme="majorHAnsi"/>
          <w:szCs w:val="20"/>
        </w:rPr>
        <w:t>дефинисани у недавно ажурираним Национално одређеним доприносима (</w:t>
      </w:r>
      <w:r w:rsidR="00B834AA" w:rsidRPr="00FF386D">
        <w:rPr>
          <w:rFonts w:asciiTheme="majorHAnsi" w:eastAsia="Times New Roman" w:hAnsiTheme="majorHAnsi" w:cstheme="majorHAnsi"/>
          <w:i/>
          <w:iCs/>
          <w:szCs w:val="20"/>
        </w:rPr>
        <w:t>NDC</w:t>
      </w:r>
      <w:r w:rsidRPr="00FF386D">
        <w:rPr>
          <w:rFonts w:asciiTheme="majorHAnsi" w:eastAsia="Times New Roman" w:hAnsiTheme="majorHAnsi" w:cstheme="majorHAnsi"/>
          <w:szCs w:val="20"/>
        </w:rPr>
        <w:t xml:space="preserve">). У циљу смањења емисија </w:t>
      </w:r>
      <w:r w:rsidRPr="00FF386D">
        <w:rPr>
          <w:rFonts w:asciiTheme="majorHAnsi" w:eastAsia="Times New Roman" w:hAnsiTheme="majorHAnsi" w:cstheme="majorHAnsi"/>
          <w:i/>
          <w:iCs/>
          <w:szCs w:val="20"/>
        </w:rPr>
        <w:t>GHG</w:t>
      </w:r>
      <w:r w:rsidRPr="00FF386D">
        <w:rPr>
          <w:rFonts w:asciiTheme="majorHAnsi" w:eastAsia="Times New Roman" w:hAnsiTheme="majorHAnsi" w:cstheme="majorHAnsi"/>
          <w:szCs w:val="20"/>
        </w:rPr>
        <w:t xml:space="preserve"> у свим секторима понуде и потражње биће успостављена добро избалансирана комбинација политика и мера</w:t>
      </w:r>
      <w:r w:rsidR="00107C1E">
        <w:rPr>
          <w:rFonts w:asciiTheme="majorHAnsi" w:eastAsia="Times New Roman" w:hAnsiTheme="majorHAnsi" w:cstheme="majorHAnsi"/>
          <w:szCs w:val="20"/>
        </w:rPr>
        <w:t>.</w:t>
      </w:r>
    </w:p>
    <w:p w14:paraId="0ABD4D65" w14:textId="7E1356F1" w:rsidR="00107C1E" w:rsidRDefault="00F87050" w:rsidP="00DC6720">
      <w:pPr>
        <w:spacing w:after="120" w:line="240" w:lineRule="atLeast"/>
        <w:jc w:val="both"/>
        <w:rPr>
          <w:rFonts w:asciiTheme="majorHAnsi" w:eastAsia="Times New Roman" w:hAnsiTheme="majorHAnsi" w:cstheme="majorHAnsi"/>
          <w:szCs w:val="20"/>
        </w:rPr>
      </w:pPr>
      <w:r>
        <w:rPr>
          <w:rFonts w:asciiTheme="majorHAnsi" w:eastAsia="Times New Roman" w:hAnsiTheme="majorHAnsi" w:cstheme="majorHAnsi"/>
          <w:szCs w:val="20"/>
        </w:rPr>
        <w:t>П</w:t>
      </w:r>
      <w:r w:rsidR="00107C1E">
        <w:rPr>
          <w:rFonts w:asciiTheme="majorHAnsi" w:eastAsia="Times New Roman" w:hAnsiTheme="majorHAnsi" w:cstheme="majorHAnsi"/>
          <w:szCs w:val="20"/>
        </w:rPr>
        <w:t xml:space="preserve">утања од 2025. до 2030. године </w:t>
      </w:r>
      <w:r>
        <w:rPr>
          <w:rFonts w:asciiTheme="majorHAnsi" w:eastAsia="Times New Roman" w:hAnsiTheme="majorHAnsi" w:cstheme="majorHAnsi"/>
          <w:szCs w:val="20"/>
        </w:rPr>
        <w:t xml:space="preserve">на годишњем нивоу </w:t>
      </w:r>
      <w:r w:rsidR="00107C1E">
        <w:rPr>
          <w:rFonts w:asciiTheme="majorHAnsi" w:eastAsia="Times New Roman" w:hAnsiTheme="majorHAnsi" w:cstheme="majorHAnsi"/>
          <w:szCs w:val="20"/>
        </w:rPr>
        <w:t xml:space="preserve">за </w:t>
      </w:r>
      <w:r>
        <w:rPr>
          <w:rFonts w:asciiTheme="majorHAnsi" w:eastAsia="Times New Roman" w:hAnsiTheme="majorHAnsi" w:cstheme="majorHAnsi"/>
          <w:szCs w:val="20"/>
        </w:rPr>
        <w:t>достизање националног доприноса може се видети у наредној табели.</w:t>
      </w:r>
    </w:p>
    <w:p w14:paraId="4BEE019C" w14:textId="093AAF98" w:rsidR="0033347C" w:rsidRDefault="0033347C" w:rsidP="00565B02">
      <w:pPr>
        <w:pStyle w:val="Caption"/>
        <w:keepNext/>
      </w:pPr>
      <w:bookmarkStart w:id="73" w:name="_Toc153901468"/>
      <w:r>
        <w:lastRenderedPageBreak/>
        <w:t xml:space="preserve">Табела </w:t>
      </w:r>
      <w:r w:rsidR="00873C40">
        <w:fldChar w:fldCharType="begin"/>
      </w:r>
      <w:r w:rsidR="00873C40">
        <w:instrText xml:space="preserve"> STYLEREF 1 \s </w:instrText>
      </w:r>
      <w:r w:rsidR="00873C40">
        <w:fldChar w:fldCharType="separate"/>
      </w:r>
      <w:r w:rsidR="00873C40">
        <w:rPr>
          <w:noProof/>
        </w:rPr>
        <w:t>2</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1</w:t>
      </w:r>
      <w:r w:rsidR="00873C40">
        <w:fldChar w:fldCharType="end"/>
      </w:r>
      <w:r w:rsidRPr="0033347C">
        <w:t>: Путања смањење емисија GHG на годишњем нивоу</w:t>
      </w:r>
      <w:bookmarkEnd w:id="73"/>
    </w:p>
    <w:tbl>
      <w:tblPr>
        <w:tblStyle w:val="GridTable4-Accent11"/>
        <w:tblW w:w="7901" w:type="dxa"/>
        <w:jc w:val="center"/>
        <w:tblLook w:val="04A0" w:firstRow="1" w:lastRow="0" w:firstColumn="1" w:lastColumn="0" w:noHBand="0" w:noVBand="1"/>
      </w:tblPr>
      <w:tblGrid>
        <w:gridCol w:w="2255"/>
        <w:gridCol w:w="941"/>
        <w:gridCol w:w="941"/>
        <w:gridCol w:w="941"/>
        <w:gridCol w:w="941"/>
        <w:gridCol w:w="941"/>
        <w:gridCol w:w="941"/>
      </w:tblGrid>
      <w:tr w:rsidR="00396276" w:rsidRPr="006C5F46" w14:paraId="270A8E80" w14:textId="77777777" w:rsidTr="0009619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55" w:type="dxa"/>
          </w:tcPr>
          <w:p w14:paraId="0C6B9E5D" w14:textId="77777777" w:rsidR="00F87050" w:rsidRPr="0009619E" w:rsidRDefault="00F87050" w:rsidP="0009619E">
            <w:pPr>
              <w:spacing w:line="240" w:lineRule="auto"/>
              <w:jc w:val="right"/>
              <w:rPr>
                <w:rFonts w:ascii="Calibri" w:eastAsia="Times New Roman" w:hAnsi="Calibri" w:cs="Calibri"/>
                <w:color w:val="000000"/>
                <w:lang w:val="en-US" w:eastAsia="en-GB"/>
              </w:rPr>
            </w:pPr>
          </w:p>
        </w:tc>
        <w:tc>
          <w:tcPr>
            <w:tcW w:w="941" w:type="dxa"/>
            <w:noWrap/>
            <w:hideMark/>
          </w:tcPr>
          <w:p w14:paraId="17A71327" w14:textId="77777777" w:rsidR="00F87050" w:rsidRPr="006C5F46" w:rsidRDefault="00F87050" w:rsidP="0009619E">
            <w:pPr>
              <w:spacing w:line="240" w:lineRule="auto"/>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6C5F46">
              <w:rPr>
                <w:rFonts w:ascii="Calibri" w:eastAsia="Times New Roman" w:hAnsi="Calibri" w:cs="Calibri"/>
                <w:color w:val="000000"/>
                <w:lang w:eastAsia="en-GB"/>
              </w:rPr>
              <w:t>2025</w:t>
            </w:r>
          </w:p>
        </w:tc>
        <w:tc>
          <w:tcPr>
            <w:tcW w:w="941" w:type="dxa"/>
            <w:noWrap/>
            <w:hideMark/>
          </w:tcPr>
          <w:p w14:paraId="7F968FF0" w14:textId="77777777" w:rsidR="00F87050" w:rsidRPr="006C5F46" w:rsidRDefault="00F87050" w:rsidP="0009619E">
            <w:pPr>
              <w:spacing w:line="240" w:lineRule="auto"/>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6C5F46">
              <w:rPr>
                <w:rFonts w:ascii="Calibri" w:eastAsia="Times New Roman" w:hAnsi="Calibri" w:cs="Calibri"/>
                <w:color w:val="000000"/>
                <w:lang w:eastAsia="en-GB"/>
              </w:rPr>
              <w:t>2026</w:t>
            </w:r>
          </w:p>
        </w:tc>
        <w:tc>
          <w:tcPr>
            <w:tcW w:w="941" w:type="dxa"/>
            <w:noWrap/>
            <w:hideMark/>
          </w:tcPr>
          <w:p w14:paraId="4E1CE30C" w14:textId="77777777" w:rsidR="00F87050" w:rsidRPr="006C5F46" w:rsidRDefault="00F87050" w:rsidP="0009619E">
            <w:pPr>
              <w:spacing w:line="240" w:lineRule="auto"/>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6C5F46">
              <w:rPr>
                <w:rFonts w:ascii="Calibri" w:eastAsia="Times New Roman" w:hAnsi="Calibri" w:cs="Calibri"/>
                <w:color w:val="000000"/>
                <w:lang w:eastAsia="en-GB"/>
              </w:rPr>
              <w:t>2027</w:t>
            </w:r>
          </w:p>
        </w:tc>
        <w:tc>
          <w:tcPr>
            <w:tcW w:w="941" w:type="dxa"/>
            <w:noWrap/>
            <w:hideMark/>
          </w:tcPr>
          <w:p w14:paraId="453F1CC0" w14:textId="77777777" w:rsidR="00F87050" w:rsidRPr="006C5F46" w:rsidRDefault="00F87050" w:rsidP="0009619E">
            <w:pPr>
              <w:spacing w:line="240" w:lineRule="auto"/>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6C5F46">
              <w:rPr>
                <w:rFonts w:ascii="Calibri" w:eastAsia="Times New Roman" w:hAnsi="Calibri" w:cs="Calibri"/>
                <w:color w:val="000000"/>
                <w:lang w:eastAsia="en-GB"/>
              </w:rPr>
              <w:t>2028</w:t>
            </w:r>
          </w:p>
        </w:tc>
        <w:tc>
          <w:tcPr>
            <w:tcW w:w="941" w:type="dxa"/>
            <w:noWrap/>
            <w:hideMark/>
          </w:tcPr>
          <w:p w14:paraId="213EBFFA" w14:textId="77777777" w:rsidR="00F87050" w:rsidRPr="006C5F46" w:rsidRDefault="00F87050" w:rsidP="0009619E">
            <w:pPr>
              <w:spacing w:line="240" w:lineRule="auto"/>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6C5F46">
              <w:rPr>
                <w:rFonts w:ascii="Calibri" w:eastAsia="Times New Roman" w:hAnsi="Calibri" w:cs="Calibri"/>
                <w:color w:val="000000"/>
                <w:lang w:eastAsia="en-GB"/>
              </w:rPr>
              <w:t>2029</w:t>
            </w:r>
          </w:p>
        </w:tc>
        <w:tc>
          <w:tcPr>
            <w:tcW w:w="941" w:type="dxa"/>
            <w:noWrap/>
            <w:hideMark/>
          </w:tcPr>
          <w:p w14:paraId="7F57A592" w14:textId="77777777" w:rsidR="00F87050" w:rsidRPr="006C5F46" w:rsidRDefault="00F87050" w:rsidP="0009619E">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6C5F46">
              <w:rPr>
                <w:rFonts w:ascii="Calibri" w:eastAsia="Times New Roman" w:hAnsi="Calibri" w:cs="Calibri"/>
                <w:color w:val="000000"/>
                <w:lang w:eastAsia="en-GB"/>
              </w:rPr>
              <w:t>2030</w:t>
            </w:r>
          </w:p>
        </w:tc>
      </w:tr>
      <w:tr w:rsidR="00396276" w:rsidRPr="006C5F46" w14:paraId="78BDC24E" w14:textId="77777777" w:rsidTr="0009619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55" w:type="dxa"/>
          </w:tcPr>
          <w:p w14:paraId="6DB59E45" w14:textId="2730A1C3" w:rsidR="00F87050" w:rsidRPr="006C5F46" w:rsidRDefault="00F87050" w:rsidP="0009619E">
            <w:pPr>
              <w:spacing w:line="240" w:lineRule="auto"/>
              <w:rPr>
                <w:rFonts w:ascii="Calibri" w:eastAsia="Times New Roman" w:hAnsi="Calibri" w:cs="Calibri"/>
                <w:color w:val="000000"/>
                <w:lang w:eastAsia="en-GB"/>
              </w:rPr>
            </w:pPr>
            <w:r>
              <w:rPr>
                <w:rFonts w:ascii="Calibri" w:eastAsia="Times New Roman" w:hAnsi="Calibri" w:cs="Calibri"/>
                <w:color w:val="000000"/>
                <w:lang w:eastAsia="en-GB"/>
              </w:rPr>
              <w:t>Смањење у односу на 1990. годину</w:t>
            </w:r>
          </w:p>
        </w:tc>
        <w:tc>
          <w:tcPr>
            <w:tcW w:w="941" w:type="dxa"/>
            <w:noWrap/>
            <w:hideMark/>
          </w:tcPr>
          <w:p w14:paraId="6B859F85" w14:textId="77777777" w:rsidR="00F87050" w:rsidRPr="006C5F46" w:rsidRDefault="00F87050" w:rsidP="0009619E">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6C5F46">
              <w:rPr>
                <w:rFonts w:ascii="Calibri" w:eastAsia="Times New Roman" w:hAnsi="Calibri" w:cs="Calibri"/>
                <w:color w:val="000000"/>
                <w:lang w:eastAsia="en-GB"/>
              </w:rPr>
              <w:t>-30.7%</w:t>
            </w:r>
          </w:p>
        </w:tc>
        <w:tc>
          <w:tcPr>
            <w:tcW w:w="941" w:type="dxa"/>
            <w:noWrap/>
            <w:hideMark/>
          </w:tcPr>
          <w:p w14:paraId="0045A53C" w14:textId="77777777" w:rsidR="00F87050" w:rsidRPr="006C5F46" w:rsidRDefault="00F87050" w:rsidP="0009619E">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6C5F46">
              <w:rPr>
                <w:rFonts w:ascii="Calibri" w:eastAsia="Times New Roman" w:hAnsi="Calibri" w:cs="Calibri"/>
                <w:color w:val="000000"/>
                <w:lang w:eastAsia="en-GB"/>
              </w:rPr>
              <w:t>-32.0%</w:t>
            </w:r>
          </w:p>
        </w:tc>
        <w:tc>
          <w:tcPr>
            <w:tcW w:w="941" w:type="dxa"/>
            <w:noWrap/>
            <w:hideMark/>
          </w:tcPr>
          <w:p w14:paraId="0AE0A247" w14:textId="77777777" w:rsidR="00F87050" w:rsidRPr="006C5F46" w:rsidRDefault="00F87050" w:rsidP="0009619E">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6C5F46">
              <w:rPr>
                <w:rFonts w:ascii="Calibri" w:eastAsia="Times New Roman" w:hAnsi="Calibri" w:cs="Calibri"/>
                <w:color w:val="000000"/>
                <w:lang w:eastAsia="en-GB"/>
              </w:rPr>
              <w:t>-32.5%</w:t>
            </w:r>
          </w:p>
        </w:tc>
        <w:tc>
          <w:tcPr>
            <w:tcW w:w="941" w:type="dxa"/>
            <w:noWrap/>
            <w:hideMark/>
          </w:tcPr>
          <w:p w14:paraId="66BE291A" w14:textId="77777777" w:rsidR="00F87050" w:rsidRPr="006C5F46" w:rsidRDefault="00F87050" w:rsidP="0009619E">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6C5F46">
              <w:rPr>
                <w:rFonts w:ascii="Calibri" w:eastAsia="Times New Roman" w:hAnsi="Calibri" w:cs="Calibri"/>
                <w:color w:val="000000"/>
                <w:lang w:eastAsia="en-GB"/>
              </w:rPr>
              <w:t>-33.7%</w:t>
            </w:r>
          </w:p>
        </w:tc>
        <w:tc>
          <w:tcPr>
            <w:tcW w:w="941" w:type="dxa"/>
            <w:noWrap/>
            <w:hideMark/>
          </w:tcPr>
          <w:p w14:paraId="283BB237" w14:textId="77777777" w:rsidR="00F87050" w:rsidRPr="006C5F46" w:rsidRDefault="00F87050" w:rsidP="0009619E">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6C5F46">
              <w:rPr>
                <w:rFonts w:ascii="Calibri" w:eastAsia="Times New Roman" w:hAnsi="Calibri" w:cs="Calibri"/>
                <w:color w:val="000000"/>
                <w:lang w:eastAsia="en-GB"/>
              </w:rPr>
              <w:t>-36.0%</w:t>
            </w:r>
          </w:p>
        </w:tc>
        <w:tc>
          <w:tcPr>
            <w:tcW w:w="941" w:type="dxa"/>
            <w:noWrap/>
            <w:hideMark/>
          </w:tcPr>
          <w:p w14:paraId="1530A221" w14:textId="77777777" w:rsidR="00F87050" w:rsidRPr="006C5F46" w:rsidRDefault="00F87050" w:rsidP="0009619E">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6C5F46">
              <w:rPr>
                <w:rFonts w:ascii="Calibri" w:eastAsia="Times New Roman" w:hAnsi="Calibri" w:cs="Calibri"/>
                <w:color w:val="000000"/>
                <w:lang w:eastAsia="en-GB"/>
              </w:rPr>
              <w:t>-40.</w:t>
            </w:r>
            <w:r>
              <w:rPr>
                <w:rFonts w:ascii="Calibri" w:eastAsia="Times New Roman" w:hAnsi="Calibri" w:cs="Calibri"/>
                <w:color w:val="000000"/>
                <w:lang w:eastAsia="en-GB"/>
              </w:rPr>
              <w:t>3</w:t>
            </w:r>
            <w:r w:rsidRPr="006C5F46">
              <w:rPr>
                <w:rFonts w:ascii="Calibri" w:eastAsia="Times New Roman" w:hAnsi="Calibri" w:cs="Calibri"/>
                <w:color w:val="000000"/>
                <w:lang w:eastAsia="en-GB"/>
              </w:rPr>
              <w:t>%</w:t>
            </w:r>
          </w:p>
        </w:tc>
      </w:tr>
    </w:tbl>
    <w:p w14:paraId="22B565B2" w14:textId="5432A664" w:rsidR="00DC6720" w:rsidRPr="00FF386D" w:rsidRDefault="00DC6720" w:rsidP="00565B02">
      <w:pPr>
        <w:spacing w:before="120" w:after="120" w:line="240" w:lineRule="atLeast"/>
        <w:jc w:val="both"/>
        <w:rPr>
          <w:rFonts w:asciiTheme="majorHAnsi" w:eastAsia="Times New Roman" w:hAnsiTheme="majorHAnsi" w:cstheme="majorHAnsi"/>
          <w:szCs w:val="20"/>
        </w:rPr>
      </w:pPr>
      <w:r w:rsidRPr="00FF386D">
        <w:rPr>
          <w:rFonts w:asciiTheme="majorHAnsi" w:eastAsia="Times New Roman" w:hAnsiTheme="majorHAnsi" w:cstheme="majorHAnsi"/>
          <w:szCs w:val="20"/>
        </w:rPr>
        <w:t xml:space="preserve">Приоритет се даје такође и </w:t>
      </w:r>
      <w:r w:rsidRPr="00FF386D">
        <w:rPr>
          <w:rFonts w:asciiTheme="majorHAnsi" w:eastAsia="Times New Roman" w:hAnsiTheme="majorHAnsi" w:cstheme="majorHAnsi"/>
          <w:b/>
          <w:bCs/>
          <w:szCs w:val="20"/>
        </w:rPr>
        <w:t>адаптацији на климатске промене</w:t>
      </w:r>
      <w:r w:rsidRPr="00FF386D">
        <w:rPr>
          <w:rFonts w:asciiTheme="majorHAnsi" w:eastAsia="Times New Roman" w:hAnsiTheme="majorHAnsi" w:cstheme="majorHAnsi"/>
          <w:szCs w:val="20"/>
        </w:rPr>
        <w:t xml:space="preserve">, јер </w:t>
      </w:r>
      <w:r w:rsidR="000E5B40" w:rsidRPr="00FF386D">
        <w:rPr>
          <w:rFonts w:asciiTheme="majorHAnsi" w:eastAsia="Times New Roman" w:hAnsiTheme="majorHAnsi" w:cstheme="majorHAnsi"/>
          <w:szCs w:val="20"/>
        </w:rPr>
        <w:t xml:space="preserve">је </w:t>
      </w:r>
      <w:r w:rsidRPr="00FF386D">
        <w:rPr>
          <w:rFonts w:asciiTheme="majorHAnsi" w:eastAsia="Times New Roman" w:hAnsiTheme="majorHAnsi" w:cstheme="majorHAnsi"/>
          <w:szCs w:val="20"/>
        </w:rPr>
        <w:t xml:space="preserve">Република Србија </w:t>
      </w:r>
      <w:r w:rsidR="000E5B40" w:rsidRPr="00FF386D">
        <w:rPr>
          <w:rFonts w:asciiTheme="majorHAnsi" w:eastAsia="Times New Roman" w:hAnsiTheme="majorHAnsi" w:cstheme="majorHAnsi"/>
          <w:szCs w:val="20"/>
        </w:rPr>
        <w:t>према Закону о климатским променама почела</w:t>
      </w:r>
      <w:r w:rsidRPr="00FF386D">
        <w:rPr>
          <w:rFonts w:asciiTheme="majorHAnsi" w:eastAsia="Times New Roman" w:hAnsiTheme="majorHAnsi" w:cstheme="majorHAnsi"/>
          <w:szCs w:val="20"/>
        </w:rPr>
        <w:t xml:space="preserve"> </w:t>
      </w:r>
      <w:r w:rsidR="000E5B40" w:rsidRPr="00FF386D">
        <w:rPr>
          <w:rFonts w:asciiTheme="majorHAnsi" w:eastAsia="Times New Roman" w:hAnsiTheme="majorHAnsi" w:cstheme="majorHAnsi"/>
          <w:szCs w:val="20"/>
        </w:rPr>
        <w:t>израду Програма прилагођавања на измењене климатске услове са Акционим планом</w:t>
      </w:r>
      <w:r w:rsidRPr="00FF386D">
        <w:rPr>
          <w:rFonts w:asciiTheme="majorHAnsi" w:eastAsia="Times New Roman" w:hAnsiTheme="majorHAnsi" w:cstheme="majorHAnsi"/>
          <w:szCs w:val="20"/>
        </w:rPr>
        <w:t>, кој</w:t>
      </w:r>
      <w:r w:rsidR="000E5B40" w:rsidRPr="00FF386D">
        <w:rPr>
          <w:rFonts w:asciiTheme="majorHAnsi" w:eastAsia="Times New Roman" w:hAnsiTheme="majorHAnsi" w:cstheme="majorHAnsi"/>
          <w:szCs w:val="20"/>
        </w:rPr>
        <w:t>и</w:t>
      </w:r>
      <w:r w:rsidRPr="00FF386D">
        <w:rPr>
          <w:rFonts w:asciiTheme="majorHAnsi" w:eastAsia="Times New Roman" w:hAnsiTheme="majorHAnsi" w:cstheme="majorHAnsi"/>
          <w:szCs w:val="20"/>
        </w:rPr>
        <w:t xml:space="preserve"> ће прецизирати опште циљеве, </w:t>
      </w:r>
      <w:r w:rsidR="000E5B40" w:rsidRPr="00FF386D">
        <w:rPr>
          <w:rFonts w:asciiTheme="majorHAnsi" w:eastAsia="Times New Roman" w:hAnsiTheme="majorHAnsi" w:cstheme="majorHAnsi"/>
          <w:szCs w:val="20"/>
        </w:rPr>
        <w:t>идентифи</w:t>
      </w:r>
      <w:r w:rsidR="006502C0">
        <w:rPr>
          <w:rFonts w:asciiTheme="majorHAnsi" w:eastAsia="Times New Roman" w:hAnsiTheme="majorHAnsi" w:cstheme="majorHAnsi"/>
          <w:szCs w:val="20"/>
        </w:rPr>
        <w:t>коваће</w:t>
      </w:r>
      <w:r w:rsidR="000E5B40" w:rsidRPr="00FF386D">
        <w:rPr>
          <w:rFonts w:asciiTheme="majorHAnsi" w:eastAsia="Times New Roman" w:hAnsiTheme="majorHAnsi" w:cstheme="majorHAnsi"/>
          <w:szCs w:val="20"/>
        </w:rPr>
        <w:t xml:space="preserve"> сектор</w:t>
      </w:r>
      <w:r w:rsidR="006502C0">
        <w:rPr>
          <w:rFonts w:asciiTheme="majorHAnsi" w:eastAsia="Times New Roman" w:hAnsiTheme="majorHAnsi" w:cstheme="majorHAnsi"/>
          <w:szCs w:val="20"/>
        </w:rPr>
        <w:t>е</w:t>
      </w:r>
      <w:r w:rsidR="000E5B40" w:rsidRPr="00FF386D">
        <w:rPr>
          <w:rFonts w:asciiTheme="majorHAnsi" w:eastAsia="Times New Roman" w:hAnsiTheme="majorHAnsi" w:cstheme="majorHAnsi"/>
          <w:szCs w:val="20"/>
        </w:rPr>
        <w:t xml:space="preserve"> најпогођениј</w:t>
      </w:r>
      <w:r w:rsidR="006502C0">
        <w:rPr>
          <w:rFonts w:asciiTheme="majorHAnsi" w:eastAsia="Times New Roman" w:hAnsiTheme="majorHAnsi" w:cstheme="majorHAnsi"/>
          <w:szCs w:val="20"/>
        </w:rPr>
        <w:t>е</w:t>
      </w:r>
      <w:r w:rsidR="000E5B40" w:rsidRPr="00FF386D">
        <w:rPr>
          <w:rFonts w:asciiTheme="majorHAnsi" w:eastAsia="Times New Roman" w:hAnsiTheme="majorHAnsi" w:cstheme="majorHAnsi"/>
          <w:szCs w:val="20"/>
        </w:rPr>
        <w:t xml:space="preserve"> климатским променама и мере прилагођавања на измењене климатске услове,</w:t>
      </w:r>
      <w:r w:rsidRPr="00FF386D">
        <w:rPr>
          <w:rFonts w:asciiTheme="majorHAnsi" w:eastAsia="Times New Roman" w:hAnsiTheme="majorHAnsi" w:cstheme="majorHAnsi"/>
          <w:szCs w:val="20"/>
        </w:rPr>
        <w:t xml:space="preserve"> у оквирима постављеним Конвенцијом Уједињених нација о климатским променама, директивама Европске уније (ЕУ) и међународним искуством.</w:t>
      </w:r>
    </w:p>
    <w:p w14:paraId="240B22D3" w14:textId="36263208" w:rsidR="00DC6720" w:rsidRPr="00FF386D" w:rsidRDefault="002C12A9" w:rsidP="00DC6720">
      <w:pPr>
        <w:spacing w:after="120" w:line="240" w:lineRule="atLeast"/>
        <w:jc w:val="both"/>
        <w:rPr>
          <w:rFonts w:asciiTheme="majorHAnsi" w:eastAsia="Times New Roman" w:hAnsiTheme="majorHAnsi" w:cstheme="majorHAnsi"/>
          <w:szCs w:val="20"/>
        </w:rPr>
      </w:pPr>
      <w:r w:rsidRPr="00FF386D">
        <w:rPr>
          <w:rFonts w:asciiTheme="majorHAnsi" w:eastAsia="Times New Roman" w:hAnsiTheme="majorHAnsi" w:cstheme="majorHAnsi"/>
          <w:szCs w:val="20"/>
        </w:rPr>
        <w:t>И коначно</w:t>
      </w:r>
      <w:r w:rsidR="00DC6720" w:rsidRPr="00FF386D">
        <w:rPr>
          <w:rFonts w:asciiTheme="majorHAnsi" w:eastAsia="Times New Roman" w:hAnsiTheme="majorHAnsi" w:cstheme="majorHAnsi"/>
          <w:szCs w:val="20"/>
        </w:rPr>
        <w:t xml:space="preserve">, </w:t>
      </w:r>
      <w:r w:rsidR="00DC6720" w:rsidRPr="00FF386D">
        <w:rPr>
          <w:rFonts w:asciiTheme="majorHAnsi" w:eastAsia="Times New Roman" w:hAnsiTheme="majorHAnsi" w:cstheme="majorHAnsi"/>
          <w:b/>
          <w:bCs/>
          <w:szCs w:val="20"/>
        </w:rPr>
        <w:t>подстицаће се промоција циркуларне економије и биоекономије</w:t>
      </w:r>
      <w:r w:rsidR="00DC6720" w:rsidRPr="00FF386D">
        <w:rPr>
          <w:rFonts w:asciiTheme="majorHAnsi" w:eastAsia="Times New Roman" w:hAnsiTheme="majorHAnsi" w:cstheme="majorHAnsi"/>
          <w:szCs w:val="20"/>
        </w:rPr>
        <w:t xml:space="preserve"> што ће такође допринети постизању циља ублажавања климатских промена. Прелазак на циркуларни образац може довести до значајног смањења емисије </w:t>
      </w:r>
      <w:r w:rsidR="00DC6720" w:rsidRPr="00FF386D">
        <w:rPr>
          <w:rFonts w:asciiTheme="majorHAnsi" w:eastAsia="Times New Roman" w:hAnsiTheme="majorHAnsi" w:cstheme="majorHAnsi"/>
          <w:i/>
          <w:iCs/>
          <w:szCs w:val="20"/>
        </w:rPr>
        <w:t>GHG</w:t>
      </w:r>
      <w:r w:rsidR="00DC6720" w:rsidRPr="00FF386D">
        <w:rPr>
          <w:rFonts w:asciiTheme="majorHAnsi" w:eastAsia="Times New Roman" w:hAnsiTheme="majorHAnsi" w:cstheme="majorHAnsi"/>
          <w:szCs w:val="20"/>
        </w:rPr>
        <w:t xml:space="preserve"> захваљујући рециклажи и поновној употреби материјала, ефикаснијем коришћењу ресурса и еколошки прихватљивијем дизајну производа, као и увођењ</w:t>
      </w:r>
      <w:r w:rsidR="006502C0">
        <w:rPr>
          <w:rFonts w:asciiTheme="majorHAnsi" w:eastAsia="Times New Roman" w:hAnsiTheme="majorHAnsi" w:cstheme="majorHAnsi"/>
          <w:szCs w:val="20"/>
        </w:rPr>
        <w:t>у</w:t>
      </w:r>
      <w:r w:rsidR="00DC6720" w:rsidRPr="00FF386D">
        <w:rPr>
          <w:rFonts w:asciiTheme="majorHAnsi" w:eastAsia="Times New Roman" w:hAnsiTheme="majorHAnsi" w:cstheme="majorHAnsi"/>
          <w:szCs w:val="20"/>
        </w:rPr>
        <w:t xml:space="preserve"> нових циркуларних модела</w:t>
      </w:r>
      <w:r w:rsidRPr="00FF386D">
        <w:rPr>
          <w:rFonts w:asciiTheme="majorHAnsi" w:eastAsia="Times New Roman" w:hAnsiTheme="majorHAnsi" w:cstheme="majorHAnsi"/>
          <w:szCs w:val="20"/>
        </w:rPr>
        <w:t xml:space="preserve"> пословања</w:t>
      </w:r>
      <w:r w:rsidR="00DC6720" w:rsidRPr="00FF386D">
        <w:rPr>
          <w:rFonts w:asciiTheme="majorHAnsi" w:eastAsia="Times New Roman" w:hAnsiTheme="majorHAnsi" w:cstheme="majorHAnsi"/>
          <w:szCs w:val="20"/>
        </w:rPr>
        <w:t>, посебно у индустрији, саобраћају и изграђеном окружењу.</w:t>
      </w:r>
    </w:p>
    <w:p w14:paraId="08256FB3" w14:textId="543BEC1F" w:rsidR="00F87050" w:rsidRPr="00565B02" w:rsidRDefault="00222699" w:rsidP="00F87050">
      <w:pPr>
        <w:pStyle w:val="Heading2"/>
        <w:rPr>
          <w:lang w:val="sr-Cyrl-RS"/>
        </w:rPr>
      </w:pPr>
      <w:bookmarkStart w:id="74" w:name="_Toc137457017"/>
      <w:bookmarkStart w:id="75" w:name="_Toc153901534"/>
      <w:r w:rsidRPr="00565B02">
        <w:rPr>
          <w:lang w:val="sr-Cyrl-RS"/>
        </w:rPr>
        <w:t>Обновљиви извори енергије</w:t>
      </w:r>
      <w:bookmarkEnd w:id="74"/>
      <w:bookmarkEnd w:id="75"/>
    </w:p>
    <w:p w14:paraId="1F30E15C" w14:textId="65D6333E" w:rsidR="00F87050" w:rsidRPr="00F87050" w:rsidRDefault="00F87050" w:rsidP="00DC6720">
      <w:pPr>
        <w:spacing w:before="120" w:after="120" w:line="276" w:lineRule="auto"/>
        <w:ind w:right="194"/>
        <w:jc w:val="both"/>
        <w:rPr>
          <w:rFonts w:asciiTheme="majorHAnsi" w:hAnsiTheme="majorHAnsi" w:cstheme="majorHAnsi"/>
          <w:lang w:bidi="sr-Cyrl-CS"/>
        </w:rPr>
      </w:pPr>
      <w:bookmarkStart w:id="76" w:name="_Hlk136443763"/>
      <w:r>
        <w:rPr>
          <w:rFonts w:asciiTheme="majorHAnsi" w:hAnsiTheme="majorHAnsi" w:cstheme="majorHAnsi"/>
          <w:lang w:bidi="sr-Cyrl-CS"/>
        </w:rPr>
        <w:t>У складу са чланом 2 одлуке 2022/02/</w:t>
      </w:r>
      <w:r w:rsidRPr="00565B02">
        <w:rPr>
          <w:rFonts w:asciiTheme="majorHAnsi" w:hAnsiTheme="majorHAnsi" w:cstheme="majorHAnsi"/>
          <w:i/>
          <w:iCs/>
          <w:lang w:val="en-US" w:bidi="sr-Cyrl-CS"/>
        </w:rPr>
        <w:t>MC-EnC</w:t>
      </w:r>
      <w:r>
        <w:rPr>
          <w:rFonts w:asciiTheme="majorHAnsi" w:hAnsiTheme="majorHAnsi" w:cstheme="majorHAnsi"/>
          <w:lang w:val="en-US" w:bidi="sr-Cyrl-CS"/>
        </w:rPr>
        <w:t xml:space="preserve"> </w:t>
      </w:r>
      <w:r>
        <w:rPr>
          <w:rFonts w:asciiTheme="majorHAnsi" w:hAnsiTheme="majorHAnsi" w:cstheme="majorHAnsi"/>
          <w:lang w:bidi="sr-Cyrl-CS"/>
        </w:rPr>
        <w:t xml:space="preserve">Министарског савета Енергетске заједнице, тачка (5), </w:t>
      </w:r>
      <w:r w:rsidR="00617A2C">
        <w:rPr>
          <w:rFonts w:asciiTheme="majorHAnsi" w:hAnsiTheme="majorHAnsi" w:cstheme="majorHAnsi"/>
          <w:lang w:bidi="sr-Cyrl-CS"/>
        </w:rPr>
        <w:t xml:space="preserve">донета је одлука у погледу циља </w:t>
      </w:r>
      <w:r>
        <w:rPr>
          <w:rFonts w:asciiTheme="majorHAnsi" w:hAnsiTheme="majorHAnsi" w:cstheme="majorHAnsi"/>
          <w:lang w:bidi="sr-Cyrl-CS"/>
        </w:rPr>
        <w:t xml:space="preserve">националног доприноса од 40,7% за ОИЕ и бруто финалну потрошњу енергије </w:t>
      </w:r>
      <w:r w:rsidR="00617A2C">
        <w:rPr>
          <w:rFonts w:asciiTheme="majorHAnsi" w:hAnsiTheme="majorHAnsi" w:cstheme="majorHAnsi"/>
          <w:lang w:bidi="sr-Cyrl-CS"/>
        </w:rPr>
        <w:t>за Републику Србију.</w:t>
      </w:r>
    </w:p>
    <w:p w14:paraId="6D078C1B" w14:textId="56176BA6" w:rsidR="00DC6720" w:rsidRDefault="00617A2C" w:rsidP="00DC6720">
      <w:pPr>
        <w:spacing w:before="120" w:after="120" w:line="276" w:lineRule="auto"/>
        <w:ind w:right="194"/>
        <w:jc w:val="both"/>
        <w:rPr>
          <w:rFonts w:asciiTheme="majorHAnsi" w:hAnsiTheme="majorHAnsi" w:cstheme="majorHAnsi"/>
          <w:lang w:bidi="sr-Cyrl-CS"/>
        </w:rPr>
      </w:pPr>
      <w:r>
        <w:rPr>
          <w:rFonts w:asciiTheme="majorHAnsi" w:hAnsiTheme="majorHAnsi" w:cstheme="majorHAnsi"/>
          <w:lang w:bidi="sr-Cyrl-CS"/>
        </w:rPr>
        <w:t xml:space="preserve">Актуелни </w:t>
      </w:r>
      <w:r w:rsidR="008263D9" w:rsidRPr="00FF386D">
        <w:rPr>
          <w:rFonts w:asciiTheme="majorHAnsi" w:hAnsiTheme="majorHAnsi" w:cstheme="majorHAnsi"/>
          <w:lang w:bidi="sr-Cyrl-CS"/>
        </w:rPr>
        <w:t>И</w:t>
      </w:r>
      <w:r w:rsidR="00DC6720" w:rsidRPr="00FF386D">
        <w:rPr>
          <w:rFonts w:asciiTheme="majorHAnsi" w:hAnsiTheme="majorHAnsi" w:cstheme="majorHAnsi"/>
          <w:lang w:bidi="sr-Cyrl-CS"/>
        </w:rPr>
        <w:t>НЕКП</w:t>
      </w:r>
      <w:r>
        <w:rPr>
          <w:rFonts w:asciiTheme="majorHAnsi" w:hAnsiTheme="majorHAnsi" w:cstheme="majorHAnsi"/>
          <w:lang w:bidi="sr-Cyrl-CS"/>
        </w:rPr>
        <w:t xml:space="preserve"> утврђује национални допринос за</w:t>
      </w:r>
      <w:r w:rsidR="00DC6720" w:rsidRPr="00FF386D">
        <w:rPr>
          <w:rFonts w:asciiTheme="majorHAnsi" w:hAnsiTheme="majorHAnsi" w:cstheme="majorHAnsi"/>
          <w:lang w:bidi="sr-Cyrl-CS"/>
        </w:rPr>
        <w:t xml:space="preserve"> </w:t>
      </w:r>
      <w:r w:rsidR="00DC6720" w:rsidRPr="00565B02">
        <w:rPr>
          <w:rFonts w:asciiTheme="majorHAnsi" w:hAnsiTheme="majorHAnsi" w:cstheme="majorHAnsi"/>
          <w:b/>
          <w:bCs/>
          <w:lang w:bidi="sr-Cyrl-CS"/>
        </w:rPr>
        <w:t>удео ОИЕ</w:t>
      </w:r>
      <w:r w:rsidR="00DC6720" w:rsidRPr="00FF386D">
        <w:rPr>
          <w:rFonts w:asciiTheme="majorHAnsi" w:hAnsiTheme="majorHAnsi" w:cstheme="majorHAnsi"/>
          <w:lang w:bidi="sr-Cyrl-CS"/>
        </w:rPr>
        <w:t xml:space="preserve"> </w:t>
      </w:r>
      <w:r w:rsidR="00DC6720" w:rsidRPr="00565B02">
        <w:rPr>
          <w:rFonts w:asciiTheme="majorHAnsi" w:hAnsiTheme="majorHAnsi" w:cstheme="majorHAnsi"/>
          <w:b/>
          <w:bCs/>
          <w:lang w:bidi="sr-Cyrl-CS"/>
        </w:rPr>
        <w:t>у бруто финалној потрошњи енергије</w:t>
      </w:r>
      <w:r w:rsidR="00DC6720" w:rsidRPr="00FF386D">
        <w:rPr>
          <w:rFonts w:asciiTheme="majorHAnsi" w:hAnsiTheme="majorHAnsi" w:cstheme="majorHAnsi"/>
          <w:lang w:bidi="sr-Cyrl-CS"/>
        </w:rPr>
        <w:t xml:space="preserve"> </w:t>
      </w:r>
      <w:r>
        <w:rPr>
          <w:rFonts w:asciiTheme="majorHAnsi" w:hAnsiTheme="majorHAnsi" w:cstheme="majorHAnsi"/>
          <w:lang w:bidi="sr-Cyrl-CS"/>
        </w:rPr>
        <w:t xml:space="preserve">који </w:t>
      </w:r>
      <w:r w:rsidR="00DC6720" w:rsidRPr="00FF386D">
        <w:rPr>
          <w:rFonts w:asciiTheme="majorHAnsi" w:hAnsiTheme="majorHAnsi" w:cstheme="majorHAnsi"/>
          <w:lang w:bidi="sr-Cyrl-CS"/>
        </w:rPr>
        <w:t>износи најмање 3</w:t>
      </w:r>
      <w:r w:rsidR="00B23425" w:rsidRPr="00FF386D">
        <w:rPr>
          <w:rFonts w:asciiTheme="majorHAnsi" w:hAnsiTheme="majorHAnsi" w:cstheme="majorHAnsi"/>
          <w:lang w:bidi="sr-Cyrl-CS"/>
        </w:rPr>
        <w:t>3,6</w:t>
      </w:r>
      <w:r w:rsidR="00DC6720" w:rsidRPr="00FF386D">
        <w:rPr>
          <w:rFonts w:asciiTheme="majorHAnsi" w:hAnsiTheme="majorHAnsi" w:cstheme="majorHAnsi"/>
          <w:lang w:bidi="sr-Cyrl-CS"/>
        </w:rPr>
        <w:t xml:space="preserve">% у 2030. години. Додатни циљеви су постављени </w:t>
      </w:r>
      <w:r w:rsidR="00031E1F">
        <w:rPr>
          <w:rFonts w:asciiTheme="majorHAnsi" w:hAnsiTheme="majorHAnsi" w:cstheme="majorHAnsi"/>
          <w:lang w:bidi="sr-Cyrl-CS"/>
        </w:rPr>
        <w:t>по сектору</w:t>
      </w:r>
      <w:r w:rsidR="002469EE">
        <w:rPr>
          <w:rFonts w:asciiTheme="majorHAnsi" w:hAnsiTheme="majorHAnsi" w:cstheme="majorHAnsi"/>
          <w:lang w:bidi="sr-Cyrl-CS"/>
        </w:rPr>
        <w:t>,</w:t>
      </w:r>
      <w:r w:rsidR="00031E1F">
        <w:rPr>
          <w:rFonts w:asciiTheme="majorHAnsi" w:hAnsiTheme="majorHAnsi" w:cstheme="majorHAnsi"/>
          <w:lang w:bidi="sr-Cyrl-CS"/>
        </w:rPr>
        <w:t xml:space="preserve"> а </w:t>
      </w:r>
      <w:r w:rsidR="00DC6720" w:rsidRPr="00FF386D">
        <w:rPr>
          <w:rFonts w:asciiTheme="majorHAnsi" w:hAnsiTheme="majorHAnsi" w:cstheme="majorHAnsi"/>
          <w:lang w:bidi="sr-Cyrl-CS"/>
        </w:rPr>
        <w:t xml:space="preserve">удео ОИЕ у </w:t>
      </w:r>
      <w:r w:rsidR="00031E1F">
        <w:rPr>
          <w:rFonts w:asciiTheme="majorHAnsi" w:hAnsiTheme="majorHAnsi" w:cstheme="majorHAnsi"/>
          <w:lang w:bidi="sr-Cyrl-CS"/>
        </w:rPr>
        <w:t>производњи</w:t>
      </w:r>
      <w:r w:rsidR="00DC6720" w:rsidRPr="00FF386D">
        <w:rPr>
          <w:rFonts w:asciiTheme="majorHAnsi" w:hAnsiTheme="majorHAnsi" w:cstheme="majorHAnsi"/>
          <w:lang w:bidi="sr-Cyrl-CS"/>
        </w:rPr>
        <w:t xml:space="preserve"> електричне енергије </w:t>
      </w:r>
      <w:r w:rsidR="00031E1F">
        <w:rPr>
          <w:rFonts w:asciiTheme="majorHAnsi" w:hAnsiTheme="majorHAnsi" w:cstheme="majorHAnsi"/>
          <w:lang w:bidi="sr-Cyrl-CS"/>
        </w:rPr>
        <w:t>ће достићи</w:t>
      </w:r>
      <w:r w:rsidR="00DC6720" w:rsidRPr="00FF386D">
        <w:rPr>
          <w:rFonts w:asciiTheme="majorHAnsi" w:hAnsiTheme="majorHAnsi" w:cstheme="majorHAnsi"/>
          <w:lang w:bidi="sr-Cyrl-CS"/>
        </w:rPr>
        <w:t xml:space="preserve"> најмање 4</w:t>
      </w:r>
      <w:r w:rsidR="00B23425" w:rsidRPr="00FF386D">
        <w:rPr>
          <w:rFonts w:asciiTheme="majorHAnsi" w:hAnsiTheme="majorHAnsi" w:cstheme="majorHAnsi"/>
          <w:lang w:bidi="sr-Cyrl-CS"/>
        </w:rPr>
        <w:t>5,2</w:t>
      </w:r>
      <w:r w:rsidR="00DC6720" w:rsidRPr="00FF386D">
        <w:rPr>
          <w:rFonts w:asciiTheme="majorHAnsi" w:hAnsiTheme="majorHAnsi" w:cstheme="majorHAnsi"/>
          <w:lang w:bidi="sr-Cyrl-CS"/>
        </w:rPr>
        <w:t xml:space="preserve">%, удео ОИЕ </w:t>
      </w:r>
      <w:r w:rsidR="002C12A9" w:rsidRPr="00FF386D">
        <w:rPr>
          <w:rFonts w:asciiTheme="majorHAnsi" w:hAnsiTheme="majorHAnsi" w:cstheme="majorHAnsi"/>
          <w:lang w:bidi="sr-Cyrl-CS"/>
        </w:rPr>
        <w:t xml:space="preserve">у енергији потрошеној </w:t>
      </w:r>
      <w:r w:rsidR="00DC6720" w:rsidRPr="00FF386D">
        <w:rPr>
          <w:rFonts w:asciiTheme="majorHAnsi" w:hAnsiTheme="majorHAnsi" w:cstheme="majorHAnsi"/>
          <w:lang w:bidi="sr-Cyrl-CS"/>
        </w:rPr>
        <w:t>за грејање и хлађење 4</w:t>
      </w:r>
      <w:r w:rsidR="00B23425" w:rsidRPr="00FF386D">
        <w:rPr>
          <w:rFonts w:asciiTheme="majorHAnsi" w:hAnsiTheme="majorHAnsi" w:cstheme="majorHAnsi"/>
          <w:lang w:bidi="sr-Cyrl-CS"/>
        </w:rPr>
        <w:t>1,4</w:t>
      </w:r>
      <w:r w:rsidR="00DC6720" w:rsidRPr="00FF386D">
        <w:rPr>
          <w:rFonts w:asciiTheme="majorHAnsi" w:hAnsiTheme="majorHAnsi" w:cstheme="majorHAnsi"/>
          <w:lang w:bidi="sr-Cyrl-CS"/>
        </w:rPr>
        <w:t xml:space="preserve">%, а удео ОИЕ у сектору саобраћаја </w:t>
      </w:r>
      <w:r w:rsidR="000E6E77" w:rsidRPr="00FF386D">
        <w:rPr>
          <w:rFonts w:asciiTheme="majorHAnsi" w:hAnsiTheme="majorHAnsi" w:cstheme="majorHAnsi"/>
          <w:lang w:bidi="sr-Cyrl-CS"/>
        </w:rPr>
        <w:t>7</w:t>
      </w:r>
      <w:r w:rsidR="00DC6720" w:rsidRPr="00FF386D">
        <w:rPr>
          <w:rFonts w:asciiTheme="majorHAnsi" w:hAnsiTheme="majorHAnsi" w:cstheme="majorHAnsi"/>
          <w:lang w:bidi="sr-Cyrl-CS"/>
        </w:rPr>
        <w:t>%</w:t>
      </w:r>
      <w:r w:rsidR="00031E1F">
        <w:rPr>
          <w:rFonts w:asciiTheme="majorHAnsi" w:hAnsiTheme="majorHAnsi" w:cstheme="majorHAnsi"/>
          <w:lang w:bidi="sr-Cyrl-CS"/>
        </w:rPr>
        <w:t xml:space="preserve"> (са мултипликаторима) и 3,2% (без мултипликатора)</w:t>
      </w:r>
      <w:r w:rsidR="002C12A9" w:rsidRPr="00FF386D">
        <w:rPr>
          <w:rFonts w:asciiTheme="majorHAnsi" w:hAnsiTheme="majorHAnsi" w:cstheme="majorHAnsi"/>
          <w:lang w:bidi="sr-Cyrl-CS"/>
        </w:rPr>
        <w:t xml:space="preserve">, </w:t>
      </w:r>
      <w:r w:rsidR="00DC6720" w:rsidRPr="00FF386D">
        <w:rPr>
          <w:rFonts w:asciiTheme="majorHAnsi" w:hAnsiTheme="majorHAnsi" w:cstheme="majorHAnsi"/>
          <w:lang w:bidi="sr-Cyrl-CS"/>
        </w:rPr>
        <w:t>у складу са одговарајућом методологијом ЕУ за прорачун.</w:t>
      </w:r>
    </w:p>
    <w:p w14:paraId="34ECA861" w14:textId="557AFFD6" w:rsidR="00617A2C" w:rsidRDefault="00617A2C" w:rsidP="00DC6720">
      <w:pPr>
        <w:spacing w:before="120" w:after="120" w:line="276" w:lineRule="auto"/>
        <w:ind w:right="194"/>
        <w:jc w:val="both"/>
        <w:rPr>
          <w:rFonts w:asciiTheme="majorHAnsi" w:hAnsiTheme="majorHAnsi" w:cstheme="majorHAnsi"/>
          <w:lang w:bidi="sr-Cyrl-CS"/>
        </w:rPr>
      </w:pPr>
      <w:r>
        <w:rPr>
          <w:rFonts w:asciiTheme="majorHAnsi" w:hAnsiTheme="majorHAnsi" w:cstheme="majorHAnsi"/>
          <w:lang w:bidi="sr-Cyrl-CS"/>
        </w:rPr>
        <w:t>Путања циљева до 2030. године на годишњем нивоу је приказана у наредној табели.</w:t>
      </w:r>
    </w:p>
    <w:p w14:paraId="0D281FAA" w14:textId="4CBC190E" w:rsidR="0033347C" w:rsidRDefault="0033347C" w:rsidP="00565B02">
      <w:pPr>
        <w:pStyle w:val="Caption"/>
        <w:keepNext/>
      </w:pPr>
      <w:bookmarkStart w:id="77" w:name="_Toc153901469"/>
      <w:r>
        <w:t xml:space="preserve">Табела </w:t>
      </w:r>
      <w:r w:rsidR="00873C40">
        <w:fldChar w:fldCharType="begin"/>
      </w:r>
      <w:r w:rsidR="00873C40">
        <w:instrText xml:space="preserve"> STYLEREF 1 \s </w:instrText>
      </w:r>
      <w:r w:rsidR="00873C40">
        <w:fldChar w:fldCharType="separate"/>
      </w:r>
      <w:r w:rsidR="00873C40">
        <w:rPr>
          <w:noProof/>
        </w:rPr>
        <w:t>2</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2</w:t>
      </w:r>
      <w:r w:rsidR="00873C40">
        <w:fldChar w:fldCharType="end"/>
      </w:r>
      <w:r w:rsidRPr="0033347C">
        <w:t>: Путања за удео ОИЕ на годишњем нивоу</w:t>
      </w:r>
      <w:bookmarkEnd w:id="77"/>
    </w:p>
    <w:tbl>
      <w:tblPr>
        <w:tblStyle w:val="GridTable4-Accent11"/>
        <w:tblW w:w="8725" w:type="dxa"/>
        <w:jc w:val="center"/>
        <w:tblLook w:val="04A0" w:firstRow="1" w:lastRow="0" w:firstColumn="1" w:lastColumn="0" w:noHBand="0" w:noVBand="1"/>
      </w:tblPr>
      <w:tblGrid>
        <w:gridCol w:w="2034"/>
        <w:gridCol w:w="1116"/>
        <w:gridCol w:w="1115"/>
        <w:gridCol w:w="1115"/>
        <w:gridCol w:w="1115"/>
        <w:gridCol w:w="1115"/>
        <w:gridCol w:w="1115"/>
      </w:tblGrid>
      <w:tr w:rsidR="00396276" w:rsidRPr="004D1B81" w14:paraId="650EAAC7" w14:textId="77777777" w:rsidTr="00552106">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34" w:type="dxa"/>
          </w:tcPr>
          <w:p w14:paraId="7D5E49CF" w14:textId="77777777" w:rsidR="00617A2C" w:rsidRPr="0009619E" w:rsidRDefault="00617A2C" w:rsidP="0009619E">
            <w:pPr>
              <w:spacing w:line="240" w:lineRule="auto"/>
              <w:jc w:val="right"/>
              <w:rPr>
                <w:rFonts w:ascii="Calibri" w:eastAsia="Times New Roman" w:hAnsi="Calibri" w:cs="Calibri"/>
                <w:color w:val="000000"/>
                <w:lang w:val="en-US" w:eastAsia="en-GB"/>
              </w:rPr>
            </w:pPr>
          </w:p>
        </w:tc>
        <w:tc>
          <w:tcPr>
            <w:tcW w:w="1116" w:type="dxa"/>
            <w:noWrap/>
            <w:hideMark/>
          </w:tcPr>
          <w:p w14:paraId="254290D9" w14:textId="77777777" w:rsidR="00617A2C" w:rsidRPr="004D1B81" w:rsidRDefault="00617A2C" w:rsidP="0009619E">
            <w:pPr>
              <w:spacing w:line="240" w:lineRule="auto"/>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D1B81">
              <w:rPr>
                <w:rFonts w:ascii="Calibri" w:eastAsia="Times New Roman" w:hAnsi="Calibri" w:cs="Calibri"/>
                <w:color w:val="000000"/>
                <w:lang w:eastAsia="en-GB"/>
              </w:rPr>
              <w:t>2025</w:t>
            </w:r>
          </w:p>
        </w:tc>
        <w:tc>
          <w:tcPr>
            <w:tcW w:w="1115" w:type="dxa"/>
            <w:noWrap/>
            <w:hideMark/>
          </w:tcPr>
          <w:p w14:paraId="05BB980C" w14:textId="77777777" w:rsidR="00617A2C" w:rsidRPr="004D1B81" w:rsidRDefault="00617A2C" w:rsidP="0009619E">
            <w:pPr>
              <w:spacing w:line="240" w:lineRule="auto"/>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D1B81">
              <w:rPr>
                <w:rFonts w:ascii="Calibri" w:eastAsia="Times New Roman" w:hAnsi="Calibri" w:cs="Calibri"/>
                <w:color w:val="000000"/>
                <w:lang w:eastAsia="en-GB"/>
              </w:rPr>
              <w:t>2026</w:t>
            </w:r>
          </w:p>
        </w:tc>
        <w:tc>
          <w:tcPr>
            <w:tcW w:w="1115" w:type="dxa"/>
            <w:noWrap/>
            <w:hideMark/>
          </w:tcPr>
          <w:p w14:paraId="08C4B537" w14:textId="77777777" w:rsidR="00617A2C" w:rsidRPr="004D1B81" w:rsidRDefault="00617A2C" w:rsidP="0009619E">
            <w:pPr>
              <w:spacing w:line="240" w:lineRule="auto"/>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D1B81">
              <w:rPr>
                <w:rFonts w:ascii="Calibri" w:eastAsia="Times New Roman" w:hAnsi="Calibri" w:cs="Calibri"/>
                <w:color w:val="000000"/>
                <w:lang w:eastAsia="en-GB"/>
              </w:rPr>
              <w:t>2027</w:t>
            </w:r>
          </w:p>
        </w:tc>
        <w:tc>
          <w:tcPr>
            <w:tcW w:w="1115" w:type="dxa"/>
            <w:noWrap/>
            <w:hideMark/>
          </w:tcPr>
          <w:p w14:paraId="7D68C2F0" w14:textId="77777777" w:rsidR="00617A2C" w:rsidRPr="004D1B81" w:rsidRDefault="00617A2C" w:rsidP="0009619E">
            <w:pPr>
              <w:spacing w:line="240" w:lineRule="auto"/>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D1B81">
              <w:rPr>
                <w:rFonts w:ascii="Calibri" w:eastAsia="Times New Roman" w:hAnsi="Calibri" w:cs="Calibri"/>
                <w:color w:val="000000"/>
                <w:lang w:eastAsia="en-GB"/>
              </w:rPr>
              <w:t>2028</w:t>
            </w:r>
          </w:p>
        </w:tc>
        <w:tc>
          <w:tcPr>
            <w:tcW w:w="1115" w:type="dxa"/>
            <w:noWrap/>
            <w:hideMark/>
          </w:tcPr>
          <w:p w14:paraId="370B67BA" w14:textId="77777777" w:rsidR="00617A2C" w:rsidRPr="004D1B81" w:rsidRDefault="00617A2C" w:rsidP="0009619E">
            <w:pPr>
              <w:spacing w:line="240" w:lineRule="auto"/>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D1B81">
              <w:rPr>
                <w:rFonts w:ascii="Calibri" w:eastAsia="Times New Roman" w:hAnsi="Calibri" w:cs="Calibri"/>
                <w:color w:val="000000"/>
                <w:lang w:eastAsia="en-GB"/>
              </w:rPr>
              <w:t>2029</w:t>
            </w:r>
          </w:p>
        </w:tc>
        <w:tc>
          <w:tcPr>
            <w:tcW w:w="1115" w:type="dxa"/>
            <w:noWrap/>
            <w:hideMark/>
          </w:tcPr>
          <w:p w14:paraId="4B970BD5" w14:textId="77777777" w:rsidR="00617A2C" w:rsidRPr="004D1B81" w:rsidRDefault="00617A2C" w:rsidP="0009619E">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D1B81">
              <w:rPr>
                <w:rFonts w:ascii="Calibri" w:eastAsia="Times New Roman" w:hAnsi="Calibri" w:cs="Calibri"/>
                <w:color w:val="000000"/>
                <w:lang w:eastAsia="en-GB"/>
              </w:rPr>
              <w:t>2030</w:t>
            </w:r>
          </w:p>
        </w:tc>
      </w:tr>
      <w:tr w:rsidR="00396276" w:rsidRPr="004D1B81" w14:paraId="7D453406" w14:textId="77777777" w:rsidTr="0055210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34" w:type="dxa"/>
          </w:tcPr>
          <w:p w14:paraId="3280FC2E" w14:textId="3309FDE1" w:rsidR="00617A2C" w:rsidRPr="0009619E" w:rsidRDefault="00617A2C" w:rsidP="0009619E">
            <w:pPr>
              <w:spacing w:line="240" w:lineRule="auto"/>
              <w:jc w:val="center"/>
              <w:rPr>
                <w:rFonts w:ascii="Calibri" w:eastAsia="Times New Roman" w:hAnsi="Calibri" w:cs="Calibri"/>
                <w:color w:val="000000"/>
                <w:lang w:val="en-US" w:eastAsia="en-GB"/>
              </w:rPr>
            </w:pPr>
            <w:r>
              <w:rPr>
                <w:rFonts w:ascii="Calibri" w:eastAsia="Times New Roman" w:hAnsi="Calibri" w:cs="Calibri"/>
                <w:color w:val="000000"/>
                <w:lang w:eastAsia="en-GB"/>
              </w:rPr>
              <w:t>Удео ОИЕ у БФПЕ</w:t>
            </w:r>
          </w:p>
        </w:tc>
        <w:tc>
          <w:tcPr>
            <w:tcW w:w="1116" w:type="dxa"/>
            <w:noWrap/>
            <w:hideMark/>
          </w:tcPr>
          <w:p w14:paraId="19573739" w14:textId="078E6A1C" w:rsidR="00617A2C" w:rsidRPr="004D1B81" w:rsidRDefault="00617A2C" w:rsidP="0009619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D1B81">
              <w:rPr>
                <w:rFonts w:ascii="Calibri" w:eastAsia="Times New Roman" w:hAnsi="Calibri" w:cs="Calibri"/>
                <w:color w:val="000000"/>
                <w:lang w:eastAsia="en-GB"/>
              </w:rPr>
              <w:t>29</w:t>
            </w:r>
            <w:r w:rsidR="00552106">
              <w:rPr>
                <w:rFonts w:ascii="Calibri" w:eastAsia="Times New Roman" w:hAnsi="Calibri" w:cs="Calibri"/>
                <w:color w:val="000000"/>
                <w:lang w:eastAsia="en-GB"/>
              </w:rPr>
              <w:t>,</w:t>
            </w:r>
            <w:r w:rsidRPr="004D1B81">
              <w:rPr>
                <w:rFonts w:ascii="Calibri" w:eastAsia="Times New Roman" w:hAnsi="Calibri" w:cs="Calibri"/>
                <w:color w:val="000000"/>
                <w:lang w:eastAsia="en-GB"/>
              </w:rPr>
              <w:t>8%</w:t>
            </w:r>
          </w:p>
        </w:tc>
        <w:tc>
          <w:tcPr>
            <w:tcW w:w="1115" w:type="dxa"/>
            <w:noWrap/>
            <w:hideMark/>
          </w:tcPr>
          <w:p w14:paraId="41EE3643" w14:textId="1AA22542" w:rsidR="00617A2C" w:rsidRPr="004D1B81" w:rsidRDefault="00617A2C" w:rsidP="0009619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D1B81">
              <w:rPr>
                <w:rFonts w:ascii="Calibri" w:eastAsia="Times New Roman" w:hAnsi="Calibri" w:cs="Calibri"/>
                <w:color w:val="000000"/>
                <w:lang w:eastAsia="en-GB"/>
              </w:rPr>
              <w:t>30</w:t>
            </w:r>
            <w:r w:rsidR="00552106">
              <w:rPr>
                <w:rFonts w:ascii="Calibri" w:eastAsia="Times New Roman" w:hAnsi="Calibri" w:cs="Calibri"/>
                <w:color w:val="000000"/>
                <w:lang w:eastAsia="en-GB"/>
              </w:rPr>
              <w:t>,</w:t>
            </w:r>
            <w:r w:rsidRPr="004D1B81">
              <w:rPr>
                <w:rFonts w:ascii="Calibri" w:eastAsia="Times New Roman" w:hAnsi="Calibri" w:cs="Calibri"/>
                <w:color w:val="000000"/>
                <w:lang w:eastAsia="en-GB"/>
              </w:rPr>
              <w:t>6%</w:t>
            </w:r>
          </w:p>
        </w:tc>
        <w:tc>
          <w:tcPr>
            <w:tcW w:w="1115" w:type="dxa"/>
            <w:noWrap/>
            <w:hideMark/>
          </w:tcPr>
          <w:p w14:paraId="6AA476CA" w14:textId="0599A49C" w:rsidR="00617A2C" w:rsidRPr="004D1B81" w:rsidRDefault="00617A2C" w:rsidP="0009619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D1B81">
              <w:rPr>
                <w:rFonts w:ascii="Calibri" w:eastAsia="Times New Roman" w:hAnsi="Calibri" w:cs="Calibri"/>
                <w:color w:val="000000"/>
                <w:lang w:eastAsia="en-GB"/>
              </w:rPr>
              <w:t>31</w:t>
            </w:r>
            <w:r w:rsidR="00552106">
              <w:rPr>
                <w:rFonts w:ascii="Calibri" w:eastAsia="Times New Roman" w:hAnsi="Calibri" w:cs="Calibri"/>
                <w:color w:val="000000"/>
                <w:lang w:eastAsia="en-GB"/>
              </w:rPr>
              <w:t>,</w:t>
            </w:r>
            <w:r w:rsidRPr="004D1B81">
              <w:rPr>
                <w:rFonts w:ascii="Calibri" w:eastAsia="Times New Roman" w:hAnsi="Calibri" w:cs="Calibri"/>
                <w:color w:val="000000"/>
                <w:lang w:eastAsia="en-GB"/>
              </w:rPr>
              <w:t>2%</w:t>
            </w:r>
          </w:p>
        </w:tc>
        <w:tc>
          <w:tcPr>
            <w:tcW w:w="1115" w:type="dxa"/>
            <w:noWrap/>
            <w:hideMark/>
          </w:tcPr>
          <w:p w14:paraId="426E040A" w14:textId="038AB815" w:rsidR="00617A2C" w:rsidRPr="004D1B81" w:rsidRDefault="00617A2C" w:rsidP="0009619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D1B81">
              <w:rPr>
                <w:rFonts w:ascii="Calibri" w:eastAsia="Times New Roman" w:hAnsi="Calibri" w:cs="Calibri"/>
                <w:color w:val="000000"/>
                <w:lang w:eastAsia="en-GB"/>
              </w:rPr>
              <w:t>31</w:t>
            </w:r>
            <w:r w:rsidR="00552106">
              <w:rPr>
                <w:rFonts w:ascii="Calibri" w:eastAsia="Times New Roman" w:hAnsi="Calibri" w:cs="Calibri"/>
                <w:color w:val="000000"/>
                <w:lang w:eastAsia="en-GB"/>
              </w:rPr>
              <w:t>,</w:t>
            </w:r>
            <w:r w:rsidRPr="004D1B81">
              <w:rPr>
                <w:rFonts w:ascii="Calibri" w:eastAsia="Times New Roman" w:hAnsi="Calibri" w:cs="Calibri"/>
                <w:color w:val="000000"/>
                <w:lang w:eastAsia="en-GB"/>
              </w:rPr>
              <w:t>9%</w:t>
            </w:r>
          </w:p>
        </w:tc>
        <w:tc>
          <w:tcPr>
            <w:tcW w:w="1115" w:type="dxa"/>
            <w:noWrap/>
            <w:hideMark/>
          </w:tcPr>
          <w:p w14:paraId="119DD99D" w14:textId="431332C2" w:rsidR="00617A2C" w:rsidRPr="004D1B81" w:rsidRDefault="00617A2C" w:rsidP="0009619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D1B81">
              <w:rPr>
                <w:rFonts w:ascii="Calibri" w:eastAsia="Times New Roman" w:hAnsi="Calibri" w:cs="Calibri"/>
                <w:color w:val="000000"/>
                <w:lang w:eastAsia="en-GB"/>
              </w:rPr>
              <w:t>32</w:t>
            </w:r>
            <w:r w:rsidR="00552106">
              <w:rPr>
                <w:rFonts w:ascii="Calibri" w:eastAsia="Times New Roman" w:hAnsi="Calibri" w:cs="Calibri"/>
                <w:color w:val="000000"/>
                <w:lang w:eastAsia="en-GB"/>
              </w:rPr>
              <w:t>,</w:t>
            </w:r>
            <w:r w:rsidRPr="004D1B81">
              <w:rPr>
                <w:rFonts w:ascii="Calibri" w:eastAsia="Times New Roman" w:hAnsi="Calibri" w:cs="Calibri"/>
                <w:color w:val="000000"/>
                <w:lang w:eastAsia="en-GB"/>
              </w:rPr>
              <w:t>6%</w:t>
            </w:r>
          </w:p>
        </w:tc>
        <w:tc>
          <w:tcPr>
            <w:tcW w:w="1115" w:type="dxa"/>
            <w:noWrap/>
            <w:hideMark/>
          </w:tcPr>
          <w:p w14:paraId="6FB217AD" w14:textId="55947BE4" w:rsidR="00617A2C" w:rsidRPr="004D1B81" w:rsidRDefault="00617A2C" w:rsidP="0009619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D1B81">
              <w:rPr>
                <w:rFonts w:ascii="Calibri" w:eastAsia="Times New Roman" w:hAnsi="Calibri" w:cs="Calibri"/>
                <w:color w:val="000000"/>
                <w:lang w:eastAsia="en-GB"/>
              </w:rPr>
              <w:t>33</w:t>
            </w:r>
            <w:r w:rsidR="00552106">
              <w:rPr>
                <w:rFonts w:ascii="Calibri" w:eastAsia="Times New Roman" w:hAnsi="Calibri" w:cs="Calibri"/>
                <w:color w:val="000000"/>
                <w:lang w:eastAsia="en-GB"/>
              </w:rPr>
              <w:t>,</w:t>
            </w:r>
            <w:r w:rsidRPr="004D1B81">
              <w:rPr>
                <w:rFonts w:ascii="Calibri" w:eastAsia="Times New Roman" w:hAnsi="Calibri" w:cs="Calibri"/>
                <w:color w:val="000000"/>
                <w:lang w:eastAsia="en-GB"/>
              </w:rPr>
              <w:t>6%</w:t>
            </w:r>
          </w:p>
        </w:tc>
      </w:tr>
      <w:tr w:rsidR="00552106" w:rsidRPr="004D1B81" w14:paraId="1A496101" w14:textId="77777777" w:rsidTr="00565B02">
        <w:trPr>
          <w:trHeight w:val="300"/>
          <w:jc w:val="center"/>
        </w:trPr>
        <w:tc>
          <w:tcPr>
            <w:cnfStyle w:val="001000000000" w:firstRow="0" w:lastRow="0" w:firstColumn="1" w:lastColumn="0" w:oddVBand="0" w:evenVBand="0" w:oddHBand="0" w:evenHBand="0" w:firstRowFirstColumn="0" w:firstRowLastColumn="0" w:lastRowFirstColumn="0" w:lastRowLastColumn="0"/>
            <w:tcW w:w="2034" w:type="dxa"/>
          </w:tcPr>
          <w:p w14:paraId="27028B51" w14:textId="57B57727" w:rsidR="00552106" w:rsidRPr="00552106" w:rsidRDefault="00552106" w:rsidP="00552106">
            <w:pPr>
              <w:spacing w:line="240" w:lineRule="auto"/>
              <w:jc w:val="center"/>
              <w:rPr>
                <w:rFonts w:ascii="Calibri" w:eastAsia="Times New Roman" w:hAnsi="Calibri" w:cs="Calibri"/>
                <w:color w:val="000000"/>
                <w:lang w:eastAsia="en-GB"/>
              </w:rPr>
            </w:pPr>
            <w:r>
              <w:rPr>
                <w:rFonts w:ascii="Calibri" w:eastAsia="Times New Roman" w:hAnsi="Calibri" w:cs="Calibri"/>
                <w:color w:val="000000"/>
                <w:lang w:val="en-US" w:eastAsia="en-GB"/>
              </w:rPr>
              <w:t>O</w:t>
            </w:r>
            <w:r>
              <w:rPr>
                <w:rFonts w:ascii="Calibri" w:eastAsia="Times New Roman" w:hAnsi="Calibri" w:cs="Calibri"/>
                <w:color w:val="000000"/>
                <w:lang w:eastAsia="en-GB"/>
              </w:rPr>
              <w:t>ИЕ у електричној енергији</w:t>
            </w:r>
          </w:p>
        </w:tc>
        <w:tc>
          <w:tcPr>
            <w:tcW w:w="1116" w:type="dxa"/>
            <w:noWrap/>
            <w:vAlign w:val="center"/>
          </w:tcPr>
          <w:p w14:paraId="27A77779" w14:textId="5FBBE9BC" w:rsidR="00552106" w:rsidRPr="00565B02" w:rsidRDefault="00552106" w:rsidP="0055210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565B02">
              <w:rPr>
                <w:rFonts w:cstheme="minorHAnsi"/>
                <w:color w:val="000000" w:themeColor="text1"/>
              </w:rPr>
              <w:t>34</w:t>
            </w:r>
            <w:r>
              <w:rPr>
                <w:rFonts w:cstheme="minorHAnsi"/>
                <w:color w:val="000000" w:themeColor="text1"/>
              </w:rPr>
              <w:t>,</w:t>
            </w:r>
            <w:r w:rsidRPr="00565B02">
              <w:rPr>
                <w:rFonts w:cstheme="minorHAnsi"/>
                <w:color w:val="000000" w:themeColor="text1"/>
              </w:rPr>
              <w:t>7%</w:t>
            </w:r>
          </w:p>
        </w:tc>
        <w:tc>
          <w:tcPr>
            <w:tcW w:w="1115" w:type="dxa"/>
            <w:noWrap/>
            <w:vAlign w:val="center"/>
          </w:tcPr>
          <w:p w14:paraId="5E9F16A6" w14:textId="4E82D755" w:rsidR="00552106" w:rsidRPr="00565B02" w:rsidRDefault="00552106" w:rsidP="0055210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565B02">
              <w:rPr>
                <w:rFonts w:cstheme="minorHAnsi"/>
                <w:color w:val="000000" w:themeColor="text1"/>
              </w:rPr>
              <w:t>36</w:t>
            </w:r>
            <w:r>
              <w:rPr>
                <w:rFonts w:cstheme="minorHAnsi"/>
                <w:color w:val="000000" w:themeColor="text1"/>
              </w:rPr>
              <w:t>,</w:t>
            </w:r>
            <w:r w:rsidRPr="00565B02">
              <w:rPr>
                <w:rFonts w:cstheme="minorHAnsi"/>
                <w:color w:val="000000" w:themeColor="text1"/>
              </w:rPr>
              <w:t>7%</w:t>
            </w:r>
          </w:p>
        </w:tc>
        <w:tc>
          <w:tcPr>
            <w:tcW w:w="1115" w:type="dxa"/>
            <w:noWrap/>
            <w:vAlign w:val="center"/>
          </w:tcPr>
          <w:p w14:paraId="1834D944" w14:textId="663930FF" w:rsidR="00552106" w:rsidRPr="00565B02" w:rsidRDefault="00552106" w:rsidP="0055210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565B02">
              <w:rPr>
                <w:rFonts w:cstheme="minorHAnsi"/>
                <w:color w:val="000000" w:themeColor="text1"/>
              </w:rPr>
              <w:t>38</w:t>
            </w:r>
            <w:r>
              <w:rPr>
                <w:rFonts w:cstheme="minorHAnsi"/>
                <w:color w:val="000000" w:themeColor="text1"/>
              </w:rPr>
              <w:t>,</w:t>
            </w:r>
            <w:r w:rsidRPr="00565B02">
              <w:rPr>
                <w:rFonts w:cstheme="minorHAnsi"/>
                <w:color w:val="000000" w:themeColor="text1"/>
              </w:rPr>
              <w:t>0%</w:t>
            </w:r>
          </w:p>
        </w:tc>
        <w:tc>
          <w:tcPr>
            <w:tcW w:w="1115" w:type="dxa"/>
            <w:noWrap/>
            <w:vAlign w:val="center"/>
          </w:tcPr>
          <w:p w14:paraId="3E7FBBF4" w14:textId="5F98B501" w:rsidR="00552106" w:rsidRPr="00565B02" w:rsidRDefault="00552106" w:rsidP="0055210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565B02">
              <w:rPr>
                <w:rFonts w:cstheme="minorHAnsi"/>
                <w:color w:val="000000" w:themeColor="text1"/>
              </w:rPr>
              <w:t>39</w:t>
            </w:r>
            <w:r>
              <w:rPr>
                <w:rFonts w:cstheme="minorHAnsi"/>
                <w:color w:val="000000" w:themeColor="text1"/>
              </w:rPr>
              <w:t>,</w:t>
            </w:r>
            <w:r w:rsidRPr="00565B02">
              <w:rPr>
                <w:rFonts w:cstheme="minorHAnsi"/>
                <w:color w:val="000000" w:themeColor="text1"/>
              </w:rPr>
              <w:t>8%</w:t>
            </w:r>
          </w:p>
        </w:tc>
        <w:tc>
          <w:tcPr>
            <w:tcW w:w="1115" w:type="dxa"/>
            <w:noWrap/>
            <w:vAlign w:val="center"/>
          </w:tcPr>
          <w:p w14:paraId="455A4699" w14:textId="35DBA7FA" w:rsidR="00552106" w:rsidRPr="00565B02" w:rsidRDefault="00552106" w:rsidP="0055210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565B02">
              <w:rPr>
                <w:rFonts w:cstheme="minorHAnsi"/>
                <w:color w:val="000000" w:themeColor="text1"/>
              </w:rPr>
              <w:t>41</w:t>
            </w:r>
            <w:r>
              <w:rPr>
                <w:rFonts w:cstheme="minorHAnsi"/>
                <w:color w:val="000000" w:themeColor="text1"/>
              </w:rPr>
              <w:t>,</w:t>
            </w:r>
            <w:r w:rsidRPr="00565B02">
              <w:rPr>
                <w:rFonts w:cstheme="minorHAnsi"/>
                <w:color w:val="000000" w:themeColor="text1"/>
              </w:rPr>
              <w:t>5%</w:t>
            </w:r>
          </w:p>
        </w:tc>
        <w:tc>
          <w:tcPr>
            <w:tcW w:w="1115" w:type="dxa"/>
            <w:noWrap/>
            <w:vAlign w:val="center"/>
          </w:tcPr>
          <w:p w14:paraId="335335F2" w14:textId="7D7C4B93" w:rsidR="00552106" w:rsidRPr="00565B02" w:rsidRDefault="00552106" w:rsidP="0055210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565B02">
              <w:rPr>
                <w:rFonts w:cstheme="minorHAnsi"/>
                <w:color w:val="000000" w:themeColor="text1"/>
              </w:rPr>
              <w:t>45</w:t>
            </w:r>
            <w:r>
              <w:rPr>
                <w:rFonts w:cstheme="minorHAnsi"/>
                <w:color w:val="000000" w:themeColor="text1"/>
              </w:rPr>
              <w:t>,</w:t>
            </w:r>
            <w:r w:rsidRPr="00565B02">
              <w:rPr>
                <w:rFonts w:cstheme="minorHAnsi"/>
                <w:color w:val="000000" w:themeColor="text1"/>
              </w:rPr>
              <w:t>2%</w:t>
            </w:r>
          </w:p>
        </w:tc>
      </w:tr>
      <w:tr w:rsidR="00552106" w:rsidRPr="004D1B81" w14:paraId="28797091" w14:textId="77777777" w:rsidTr="00565B0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34" w:type="dxa"/>
          </w:tcPr>
          <w:p w14:paraId="3AE6BB11" w14:textId="4EEA01D3" w:rsidR="00552106" w:rsidRPr="00565B02" w:rsidRDefault="00552106" w:rsidP="00552106">
            <w:pPr>
              <w:spacing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ОИЕ у грејању и хлађењу</w:t>
            </w:r>
          </w:p>
        </w:tc>
        <w:tc>
          <w:tcPr>
            <w:tcW w:w="1116" w:type="dxa"/>
            <w:noWrap/>
            <w:vAlign w:val="center"/>
          </w:tcPr>
          <w:p w14:paraId="40A34308" w14:textId="68FFF880" w:rsidR="00552106" w:rsidRPr="00565B02" w:rsidRDefault="00552106" w:rsidP="0055210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n-GB"/>
              </w:rPr>
            </w:pPr>
            <w:r w:rsidRPr="00565B02">
              <w:rPr>
                <w:rFonts w:cstheme="minorHAnsi"/>
                <w:color w:val="000000" w:themeColor="text1"/>
              </w:rPr>
              <w:t>41</w:t>
            </w:r>
            <w:r>
              <w:rPr>
                <w:rFonts w:cstheme="minorHAnsi"/>
                <w:color w:val="000000" w:themeColor="text1"/>
              </w:rPr>
              <w:t>,</w:t>
            </w:r>
            <w:r w:rsidRPr="00565B02">
              <w:rPr>
                <w:rFonts w:cstheme="minorHAnsi"/>
                <w:color w:val="000000" w:themeColor="text1"/>
              </w:rPr>
              <w:t>1%</w:t>
            </w:r>
          </w:p>
        </w:tc>
        <w:tc>
          <w:tcPr>
            <w:tcW w:w="1115" w:type="dxa"/>
            <w:noWrap/>
            <w:vAlign w:val="center"/>
          </w:tcPr>
          <w:p w14:paraId="524F6B2A" w14:textId="2F0EE0F4" w:rsidR="00552106" w:rsidRPr="00565B02" w:rsidRDefault="00552106" w:rsidP="0055210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n-GB"/>
              </w:rPr>
            </w:pPr>
            <w:r w:rsidRPr="00565B02">
              <w:rPr>
                <w:rFonts w:cstheme="minorHAnsi"/>
                <w:color w:val="000000" w:themeColor="text1"/>
              </w:rPr>
              <w:t>41</w:t>
            </w:r>
            <w:r>
              <w:rPr>
                <w:rFonts w:cstheme="minorHAnsi"/>
                <w:color w:val="000000" w:themeColor="text1"/>
              </w:rPr>
              <w:t>,</w:t>
            </w:r>
            <w:r w:rsidRPr="00565B02">
              <w:rPr>
                <w:rFonts w:cstheme="minorHAnsi"/>
                <w:color w:val="000000" w:themeColor="text1"/>
              </w:rPr>
              <w:t>5%</w:t>
            </w:r>
          </w:p>
        </w:tc>
        <w:tc>
          <w:tcPr>
            <w:tcW w:w="1115" w:type="dxa"/>
            <w:noWrap/>
            <w:vAlign w:val="center"/>
          </w:tcPr>
          <w:p w14:paraId="4BCEFB41" w14:textId="5D3920BF" w:rsidR="00552106" w:rsidRPr="00565B02" w:rsidRDefault="00552106" w:rsidP="0055210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n-GB"/>
              </w:rPr>
            </w:pPr>
            <w:r w:rsidRPr="00565B02">
              <w:rPr>
                <w:rFonts w:cstheme="minorHAnsi"/>
                <w:color w:val="000000" w:themeColor="text1"/>
              </w:rPr>
              <w:t>41</w:t>
            </w:r>
            <w:r>
              <w:rPr>
                <w:rFonts w:cstheme="minorHAnsi"/>
                <w:color w:val="000000" w:themeColor="text1"/>
              </w:rPr>
              <w:t>,</w:t>
            </w:r>
            <w:r w:rsidRPr="00565B02">
              <w:rPr>
                <w:rFonts w:cstheme="minorHAnsi"/>
                <w:color w:val="000000" w:themeColor="text1"/>
              </w:rPr>
              <w:t>2%</w:t>
            </w:r>
          </w:p>
        </w:tc>
        <w:tc>
          <w:tcPr>
            <w:tcW w:w="1115" w:type="dxa"/>
            <w:noWrap/>
            <w:vAlign w:val="center"/>
          </w:tcPr>
          <w:p w14:paraId="5E89D403" w14:textId="60ECA85A" w:rsidR="00552106" w:rsidRPr="00565B02" w:rsidRDefault="00552106" w:rsidP="0055210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n-GB"/>
              </w:rPr>
            </w:pPr>
            <w:r w:rsidRPr="00565B02">
              <w:rPr>
                <w:rFonts w:cstheme="minorHAnsi"/>
                <w:color w:val="000000" w:themeColor="text1"/>
              </w:rPr>
              <w:t>41</w:t>
            </w:r>
            <w:r>
              <w:rPr>
                <w:rFonts w:cstheme="minorHAnsi"/>
                <w:color w:val="000000" w:themeColor="text1"/>
              </w:rPr>
              <w:t>,</w:t>
            </w:r>
            <w:r w:rsidRPr="00565B02">
              <w:rPr>
                <w:rFonts w:cstheme="minorHAnsi"/>
                <w:color w:val="000000" w:themeColor="text1"/>
              </w:rPr>
              <w:t>1%</w:t>
            </w:r>
          </w:p>
        </w:tc>
        <w:tc>
          <w:tcPr>
            <w:tcW w:w="1115" w:type="dxa"/>
            <w:noWrap/>
            <w:vAlign w:val="center"/>
          </w:tcPr>
          <w:p w14:paraId="68976A67" w14:textId="077F31BD" w:rsidR="00552106" w:rsidRPr="00565B02" w:rsidRDefault="00552106" w:rsidP="0055210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n-GB"/>
              </w:rPr>
            </w:pPr>
            <w:r w:rsidRPr="00565B02">
              <w:rPr>
                <w:rFonts w:cstheme="minorHAnsi"/>
                <w:color w:val="000000" w:themeColor="text1"/>
              </w:rPr>
              <w:t>41</w:t>
            </w:r>
            <w:r>
              <w:rPr>
                <w:rFonts w:cstheme="minorHAnsi"/>
                <w:color w:val="000000" w:themeColor="text1"/>
              </w:rPr>
              <w:t>,</w:t>
            </w:r>
            <w:r w:rsidRPr="00565B02">
              <w:rPr>
                <w:rFonts w:cstheme="minorHAnsi"/>
                <w:color w:val="000000" w:themeColor="text1"/>
              </w:rPr>
              <w:t>0%</w:t>
            </w:r>
          </w:p>
        </w:tc>
        <w:tc>
          <w:tcPr>
            <w:tcW w:w="1115" w:type="dxa"/>
            <w:noWrap/>
            <w:vAlign w:val="center"/>
          </w:tcPr>
          <w:p w14:paraId="13D9E02A" w14:textId="669D51C4" w:rsidR="00552106" w:rsidRPr="00565B02" w:rsidRDefault="00552106" w:rsidP="0055210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n-GB"/>
              </w:rPr>
            </w:pPr>
            <w:r w:rsidRPr="00565B02">
              <w:rPr>
                <w:rFonts w:cstheme="minorHAnsi"/>
                <w:color w:val="000000" w:themeColor="text1"/>
              </w:rPr>
              <w:t>41</w:t>
            </w:r>
            <w:r>
              <w:rPr>
                <w:rFonts w:cstheme="minorHAnsi"/>
                <w:color w:val="000000" w:themeColor="text1"/>
              </w:rPr>
              <w:t>,</w:t>
            </w:r>
            <w:r w:rsidRPr="00565B02">
              <w:rPr>
                <w:rFonts w:cstheme="minorHAnsi"/>
                <w:color w:val="000000" w:themeColor="text1"/>
              </w:rPr>
              <w:t>4%</w:t>
            </w:r>
          </w:p>
        </w:tc>
      </w:tr>
      <w:tr w:rsidR="00552106" w:rsidRPr="004D1B81" w14:paraId="092D7979" w14:textId="77777777" w:rsidTr="00565B02">
        <w:trPr>
          <w:trHeight w:val="300"/>
          <w:jc w:val="center"/>
        </w:trPr>
        <w:tc>
          <w:tcPr>
            <w:cnfStyle w:val="001000000000" w:firstRow="0" w:lastRow="0" w:firstColumn="1" w:lastColumn="0" w:oddVBand="0" w:evenVBand="0" w:oddHBand="0" w:evenHBand="0" w:firstRowFirstColumn="0" w:firstRowLastColumn="0" w:lastRowFirstColumn="0" w:lastRowLastColumn="0"/>
            <w:tcW w:w="2034" w:type="dxa"/>
          </w:tcPr>
          <w:p w14:paraId="3B2FBA66" w14:textId="11D34838" w:rsidR="00552106" w:rsidRDefault="00552106" w:rsidP="00552106">
            <w:pPr>
              <w:spacing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ОИЕ у саобраћају</w:t>
            </w:r>
          </w:p>
        </w:tc>
        <w:tc>
          <w:tcPr>
            <w:tcW w:w="1116" w:type="dxa"/>
            <w:noWrap/>
            <w:vAlign w:val="center"/>
          </w:tcPr>
          <w:p w14:paraId="310EB259" w14:textId="685CC9EB" w:rsidR="00552106" w:rsidRPr="00565B02" w:rsidRDefault="00552106" w:rsidP="0055210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565B02">
              <w:rPr>
                <w:rFonts w:cstheme="minorHAnsi"/>
                <w:color w:val="000000" w:themeColor="text1"/>
              </w:rPr>
              <w:t>1</w:t>
            </w:r>
            <w:r>
              <w:rPr>
                <w:rFonts w:cstheme="minorHAnsi"/>
                <w:color w:val="000000" w:themeColor="text1"/>
              </w:rPr>
              <w:t>,</w:t>
            </w:r>
            <w:r w:rsidRPr="00565B02">
              <w:rPr>
                <w:rFonts w:cstheme="minorHAnsi"/>
                <w:color w:val="000000" w:themeColor="text1"/>
              </w:rPr>
              <w:t>8%</w:t>
            </w:r>
          </w:p>
        </w:tc>
        <w:tc>
          <w:tcPr>
            <w:tcW w:w="1115" w:type="dxa"/>
            <w:noWrap/>
            <w:vAlign w:val="center"/>
          </w:tcPr>
          <w:p w14:paraId="1BDCCB43" w14:textId="0860CF7F" w:rsidR="00552106" w:rsidRPr="00565B02" w:rsidRDefault="00552106" w:rsidP="0055210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565B02">
              <w:rPr>
                <w:rFonts w:cstheme="minorHAnsi"/>
                <w:color w:val="000000" w:themeColor="text1"/>
              </w:rPr>
              <w:t>2</w:t>
            </w:r>
            <w:r>
              <w:rPr>
                <w:rFonts w:cstheme="minorHAnsi"/>
                <w:color w:val="000000" w:themeColor="text1"/>
              </w:rPr>
              <w:t>,</w:t>
            </w:r>
            <w:r w:rsidRPr="00565B02">
              <w:rPr>
                <w:rFonts w:cstheme="minorHAnsi"/>
                <w:color w:val="000000" w:themeColor="text1"/>
              </w:rPr>
              <w:t>1%</w:t>
            </w:r>
          </w:p>
        </w:tc>
        <w:tc>
          <w:tcPr>
            <w:tcW w:w="1115" w:type="dxa"/>
            <w:noWrap/>
            <w:vAlign w:val="center"/>
          </w:tcPr>
          <w:p w14:paraId="006E9565" w14:textId="2A8A7FF7" w:rsidR="00552106" w:rsidRPr="00565B02" w:rsidRDefault="00552106" w:rsidP="0055210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565B02">
              <w:rPr>
                <w:rFonts w:cstheme="minorHAnsi"/>
                <w:color w:val="000000" w:themeColor="text1"/>
              </w:rPr>
              <w:t>2</w:t>
            </w:r>
            <w:r>
              <w:rPr>
                <w:rFonts w:cstheme="minorHAnsi"/>
                <w:color w:val="000000" w:themeColor="text1"/>
              </w:rPr>
              <w:t>,</w:t>
            </w:r>
            <w:r w:rsidRPr="00565B02">
              <w:rPr>
                <w:rFonts w:cstheme="minorHAnsi"/>
                <w:color w:val="000000" w:themeColor="text1"/>
              </w:rPr>
              <w:t>3%</w:t>
            </w:r>
          </w:p>
        </w:tc>
        <w:tc>
          <w:tcPr>
            <w:tcW w:w="1115" w:type="dxa"/>
            <w:noWrap/>
            <w:vAlign w:val="center"/>
          </w:tcPr>
          <w:p w14:paraId="2D66052E" w14:textId="491343C8" w:rsidR="00552106" w:rsidRPr="00565B02" w:rsidRDefault="00552106" w:rsidP="0055210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565B02">
              <w:rPr>
                <w:rFonts w:cstheme="minorHAnsi"/>
                <w:color w:val="000000" w:themeColor="text1"/>
              </w:rPr>
              <w:t>2</w:t>
            </w:r>
            <w:r>
              <w:rPr>
                <w:rFonts w:cstheme="minorHAnsi"/>
                <w:color w:val="000000" w:themeColor="text1"/>
              </w:rPr>
              <w:t>,</w:t>
            </w:r>
            <w:r w:rsidRPr="00565B02">
              <w:rPr>
                <w:rFonts w:cstheme="minorHAnsi"/>
                <w:color w:val="000000" w:themeColor="text1"/>
              </w:rPr>
              <w:t>6%</w:t>
            </w:r>
          </w:p>
        </w:tc>
        <w:tc>
          <w:tcPr>
            <w:tcW w:w="1115" w:type="dxa"/>
            <w:noWrap/>
            <w:vAlign w:val="center"/>
          </w:tcPr>
          <w:p w14:paraId="3DE1861C" w14:textId="6B67F3AF" w:rsidR="00552106" w:rsidRPr="00565B02" w:rsidRDefault="00552106" w:rsidP="0055210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565B02">
              <w:rPr>
                <w:rFonts w:cstheme="minorHAnsi"/>
                <w:color w:val="000000" w:themeColor="text1"/>
              </w:rPr>
              <w:t>2</w:t>
            </w:r>
            <w:r>
              <w:rPr>
                <w:rFonts w:cstheme="minorHAnsi"/>
                <w:color w:val="000000" w:themeColor="text1"/>
              </w:rPr>
              <w:t>,</w:t>
            </w:r>
            <w:r w:rsidRPr="00565B02">
              <w:rPr>
                <w:rFonts w:cstheme="minorHAnsi"/>
                <w:color w:val="000000" w:themeColor="text1"/>
              </w:rPr>
              <w:t>9%</w:t>
            </w:r>
          </w:p>
        </w:tc>
        <w:tc>
          <w:tcPr>
            <w:tcW w:w="1115" w:type="dxa"/>
            <w:noWrap/>
            <w:vAlign w:val="center"/>
          </w:tcPr>
          <w:p w14:paraId="0FE2C1B2" w14:textId="29754B86" w:rsidR="00552106" w:rsidRPr="00565B02" w:rsidRDefault="00552106" w:rsidP="0055210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565B02">
              <w:rPr>
                <w:rFonts w:cstheme="minorHAnsi"/>
                <w:color w:val="000000" w:themeColor="text1"/>
              </w:rPr>
              <w:t>3</w:t>
            </w:r>
            <w:r>
              <w:rPr>
                <w:rFonts w:cstheme="minorHAnsi"/>
                <w:color w:val="000000" w:themeColor="text1"/>
              </w:rPr>
              <w:t>,</w:t>
            </w:r>
            <w:r w:rsidRPr="00565B02">
              <w:rPr>
                <w:rFonts w:cstheme="minorHAnsi"/>
                <w:color w:val="000000" w:themeColor="text1"/>
              </w:rPr>
              <w:t>2%</w:t>
            </w:r>
          </w:p>
        </w:tc>
      </w:tr>
      <w:tr w:rsidR="00552106" w:rsidRPr="004D1B81" w14:paraId="13DCB680" w14:textId="77777777" w:rsidTr="00565B0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34" w:type="dxa"/>
          </w:tcPr>
          <w:p w14:paraId="6CC4BF19" w14:textId="25C35DF2" w:rsidR="00552106" w:rsidRDefault="00552106" w:rsidP="00552106">
            <w:pPr>
              <w:spacing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Допринос биогорива у ОИЕ у саобраћају</w:t>
            </w:r>
          </w:p>
        </w:tc>
        <w:tc>
          <w:tcPr>
            <w:tcW w:w="1116" w:type="dxa"/>
            <w:noWrap/>
            <w:vAlign w:val="center"/>
          </w:tcPr>
          <w:p w14:paraId="52E40450" w14:textId="710519F7" w:rsidR="00552106" w:rsidRPr="00565B02" w:rsidRDefault="00552106" w:rsidP="0055210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n-GB"/>
              </w:rPr>
            </w:pPr>
            <w:r w:rsidRPr="00565B02">
              <w:rPr>
                <w:rFonts w:cstheme="minorHAnsi"/>
                <w:color w:val="000000" w:themeColor="text1"/>
              </w:rPr>
              <w:t>1</w:t>
            </w:r>
            <w:r>
              <w:rPr>
                <w:rFonts w:cstheme="minorHAnsi"/>
                <w:color w:val="000000" w:themeColor="text1"/>
              </w:rPr>
              <w:t>,</w:t>
            </w:r>
            <w:r w:rsidRPr="00565B02">
              <w:rPr>
                <w:rFonts w:cstheme="minorHAnsi"/>
                <w:color w:val="000000" w:themeColor="text1"/>
              </w:rPr>
              <w:t>3%</w:t>
            </w:r>
          </w:p>
        </w:tc>
        <w:tc>
          <w:tcPr>
            <w:tcW w:w="1115" w:type="dxa"/>
            <w:noWrap/>
            <w:vAlign w:val="center"/>
          </w:tcPr>
          <w:p w14:paraId="10865000" w14:textId="0CB423A5" w:rsidR="00552106" w:rsidRPr="00565B02" w:rsidRDefault="00552106" w:rsidP="0055210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n-GB"/>
              </w:rPr>
            </w:pPr>
            <w:r w:rsidRPr="00565B02">
              <w:rPr>
                <w:rFonts w:cstheme="minorHAnsi"/>
                <w:color w:val="000000" w:themeColor="text1"/>
              </w:rPr>
              <w:t>1</w:t>
            </w:r>
            <w:r>
              <w:rPr>
                <w:rFonts w:cstheme="minorHAnsi"/>
                <w:color w:val="000000" w:themeColor="text1"/>
              </w:rPr>
              <w:t>,</w:t>
            </w:r>
            <w:r w:rsidRPr="00565B02">
              <w:rPr>
                <w:rFonts w:cstheme="minorHAnsi"/>
                <w:color w:val="000000" w:themeColor="text1"/>
              </w:rPr>
              <w:t>5%</w:t>
            </w:r>
          </w:p>
        </w:tc>
        <w:tc>
          <w:tcPr>
            <w:tcW w:w="1115" w:type="dxa"/>
            <w:noWrap/>
            <w:vAlign w:val="center"/>
          </w:tcPr>
          <w:p w14:paraId="0BB7C8CD" w14:textId="1C7FD3A5" w:rsidR="00552106" w:rsidRPr="00565B02" w:rsidRDefault="00552106" w:rsidP="0055210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n-GB"/>
              </w:rPr>
            </w:pPr>
            <w:r w:rsidRPr="00565B02">
              <w:rPr>
                <w:rFonts w:cstheme="minorHAnsi"/>
                <w:color w:val="000000" w:themeColor="text1"/>
              </w:rPr>
              <w:t>1</w:t>
            </w:r>
            <w:r>
              <w:rPr>
                <w:rFonts w:cstheme="minorHAnsi"/>
                <w:color w:val="000000" w:themeColor="text1"/>
              </w:rPr>
              <w:t>,</w:t>
            </w:r>
            <w:r w:rsidRPr="00565B02">
              <w:rPr>
                <w:rFonts w:cstheme="minorHAnsi"/>
                <w:color w:val="000000" w:themeColor="text1"/>
              </w:rPr>
              <w:t>6%</w:t>
            </w:r>
          </w:p>
        </w:tc>
        <w:tc>
          <w:tcPr>
            <w:tcW w:w="1115" w:type="dxa"/>
            <w:noWrap/>
            <w:vAlign w:val="center"/>
          </w:tcPr>
          <w:p w14:paraId="249F07D0" w14:textId="35C1739C" w:rsidR="00552106" w:rsidRPr="00565B02" w:rsidRDefault="00552106" w:rsidP="0055210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n-GB"/>
              </w:rPr>
            </w:pPr>
            <w:r w:rsidRPr="00565B02">
              <w:rPr>
                <w:rFonts w:cstheme="minorHAnsi"/>
                <w:color w:val="000000" w:themeColor="text1"/>
              </w:rPr>
              <w:t>1</w:t>
            </w:r>
            <w:r>
              <w:rPr>
                <w:rFonts w:cstheme="minorHAnsi"/>
                <w:color w:val="000000" w:themeColor="text1"/>
              </w:rPr>
              <w:t>,</w:t>
            </w:r>
            <w:r w:rsidRPr="00565B02">
              <w:rPr>
                <w:rFonts w:cstheme="minorHAnsi"/>
                <w:color w:val="000000" w:themeColor="text1"/>
              </w:rPr>
              <w:t>8%</w:t>
            </w:r>
          </w:p>
        </w:tc>
        <w:tc>
          <w:tcPr>
            <w:tcW w:w="1115" w:type="dxa"/>
            <w:noWrap/>
            <w:vAlign w:val="center"/>
          </w:tcPr>
          <w:p w14:paraId="03FB77E7" w14:textId="27D2FCC0" w:rsidR="00552106" w:rsidRPr="00565B02" w:rsidRDefault="00552106" w:rsidP="0055210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n-GB"/>
              </w:rPr>
            </w:pPr>
            <w:r w:rsidRPr="00565B02">
              <w:rPr>
                <w:rFonts w:cstheme="minorHAnsi"/>
                <w:color w:val="000000" w:themeColor="text1"/>
              </w:rPr>
              <w:t>2</w:t>
            </w:r>
            <w:r>
              <w:rPr>
                <w:rFonts w:cstheme="minorHAnsi"/>
                <w:color w:val="000000" w:themeColor="text1"/>
              </w:rPr>
              <w:t>,</w:t>
            </w:r>
            <w:r w:rsidRPr="00565B02">
              <w:rPr>
                <w:rFonts w:cstheme="minorHAnsi"/>
                <w:color w:val="000000" w:themeColor="text1"/>
              </w:rPr>
              <w:t>0%</w:t>
            </w:r>
          </w:p>
        </w:tc>
        <w:tc>
          <w:tcPr>
            <w:tcW w:w="1115" w:type="dxa"/>
            <w:noWrap/>
            <w:vAlign w:val="center"/>
          </w:tcPr>
          <w:p w14:paraId="61339B61" w14:textId="3339D568" w:rsidR="00552106" w:rsidRPr="00565B02" w:rsidRDefault="00552106" w:rsidP="0055210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n-GB"/>
              </w:rPr>
            </w:pPr>
            <w:r w:rsidRPr="00565B02">
              <w:rPr>
                <w:rFonts w:cstheme="minorHAnsi"/>
                <w:color w:val="000000" w:themeColor="text1"/>
              </w:rPr>
              <w:t>2</w:t>
            </w:r>
            <w:r>
              <w:rPr>
                <w:rFonts w:cstheme="minorHAnsi"/>
                <w:color w:val="000000" w:themeColor="text1"/>
              </w:rPr>
              <w:t>,</w:t>
            </w:r>
            <w:r w:rsidRPr="00565B02">
              <w:rPr>
                <w:rFonts w:cstheme="minorHAnsi"/>
                <w:color w:val="000000" w:themeColor="text1"/>
              </w:rPr>
              <w:t>1%</w:t>
            </w:r>
          </w:p>
        </w:tc>
      </w:tr>
    </w:tbl>
    <w:p w14:paraId="43C1AFF3" w14:textId="0A006897" w:rsidR="00951F76" w:rsidRDefault="00195317" w:rsidP="00DC6720">
      <w:pPr>
        <w:spacing w:before="120" w:after="120" w:line="276" w:lineRule="auto"/>
        <w:ind w:right="194"/>
        <w:jc w:val="both"/>
        <w:rPr>
          <w:rFonts w:asciiTheme="majorHAnsi" w:hAnsiTheme="majorHAnsi" w:cstheme="majorHAnsi"/>
          <w:lang w:bidi="sr-Cyrl-CS"/>
        </w:rPr>
      </w:pPr>
      <w:r>
        <w:rPr>
          <w:rFonts w:asciiTheme="majorHAnsi" w:hAnsiTheme="majorHAnsi" w:cstheme="majorHAnsi"/>
          <w:lang w:bidi="sr-Cyrl-CS"/>
        </w:rPr>
        <w:t xml:space="preserve">Неусклађеност са </w:t>
      </w:r>
      <w:r w:rsidR="00951F76">
        <w:rPr>
          <w:rFonts w:asciiTheme="majorHAnsi" w:hAnsiTheme="majorHAnsi" w:cstheme="majorHAnsi"/>
          <w:lang w:bidi="sr-Cyrl-CS"/>
        </w:rPr>
        <w:t>циљ</w:t>
      </w:r>
      <w:r>
        <w:rPr>
          <w:rFonts w:asciiTheme="majorHAnsi" w:hAnsiTheme="majorHAnsi" w:cstheme="majorHAnsi"/>
          <w:lang w:bidi="sr-Cyrl-CS"/>
        </w:rPr>
        <w:t>ем</w:t>
      </w:r>
      <w:r w:rsidR="00951F76">
        <w:rPr>
          <w:rFonts w:asciiTheme="majorHAnsi" w:hAnsiTheme="majorHAnsi" w:cstheme="majorHAnsi"/>
          <w:lang w:bidi="sr-Cyrl-CS"/>
        </w:rPr>
        <w:t xml:space="preserve"> националног доприноса </w:t>
      </w:r>
      <w:r>
        <w:rPr>
          <w:rFonts w:asciiTheme="majorHAnsi" w:hAnsiTheme="majorHAnsi" w:cstheme="majorHAnsi"/>
          <w:lang w:bidi="sr-Cyrl-CS"/>
        </w:rPr>
        <w:t xml:space="preserve">утврђеног </w:t>
      </w:r>
      <w:r w:rsidR="00951F76">
        <w:rPr>
          <w:rFonts w:asciiTheme="majorHAnsi" w:hAnsiTheme="majorHAnsi" w:cstheme="majorHAnsi"/>
          <w:lang w:bidi="sr-Cyrl-CS"/>
        </w:rPr>
        <w:t>одлук</w:t>
      </w:r>
      <w:r>
        <w:rPr>
          <w:rFonts w:asciiTheme="majorHAnsi" w:hAnsiTheme="majorHAnsi" w:cstheme="majorHAnsi"/>
          <w:lang w:bidi="sr-Cyrl-CS"/>
        </w:rPr>
        <w:t>ом</w:t>
      </w:r>
      <w:r w:rsidR="00951F76">
        <w:rPr>
          <w:rFonts w:asciiTheme="majorHAnsi" w:hAnsiTheme="majorHAnsi" w:cstheme="majorHAnsi"/>
          <w:lang w:bidi="sr-Cyrl-CS"/>
        </w:rPr>
        <w:t xml:space="preserve"> Министарског савета је оправдан</w:t>
      </w:r>
      <w:r>
        <w:rPr>
          <w:rFonts w:asciiTheme="majorHAnsi" w:hAnsiTheme="majorHAnsi" w:cstheme="majorHAnsi"/>
          <w:lang w:bidi="sr-Cyrl-CS"/>
        </w:rPr>
        <w:t>а</w:t>
      </w:r>
      <w:r w:rsidR="00951F76">
        <w:rPr>
          <w:rFonts w:asciiTheme="majorHAnsi" w:hAnsiTheme="majorHAnsi" w:cstheme="majorHAnsi"/>
          <w:lang w:bidi="sr-Cyrl-CS"/>
        </w:rPr>
        <w:t xml:space="preserve"> у складу са посебним условима предвиђеним чланом 6 одлуке Министарског савета и тачније, у складу са критеријум</w:t>
      </w:r>
      <w:r>
        <w:rPr>
          <w:rFonts w:asciiTheme="majorHAnsi" w:hAnsiTheme="majorHAnsi" w:cstheme="majorHAnsi"/>
          <w:lang w:bidi="sr-Cyrl-CS"/>
        </w:rPr>
        <w:t>има</w:t>
      </w:r>
      <w:r w:rsidR="00951F76">
        <w:rPr>
          <w:rFonts w:asciiTheme="majorHAnsi" w:hAnsiTheme="majorHAnsi" w:cstheme="majorHAnsi"/>
          <w:lang w:bidi="sr-Cyrl-CS"/>
        </w:rPr>
        <w:t xml:space="preserve"> члана 31 Уредбе о управљању која гласи:</w:t>
      </w:r>
    </w:p>
    <w:p w14:paraId="29C0F280" w14:textId="5E69D789" w:rsidR="00195317" w:rsidRPr="00565B02" w:rsidRDefault="00195317" w:rsidP="00195317">
      <w:pPr>
        <w:pStyle w:val="ListParagraph"/>
        <w:numPr>
          <w:ilvl w:val="0"/>
          <w:numId w:val="389"/>
        </w:numPr>
        <w:spacing w:before="120" w:after="120" w:line="276" w:lineRule="auto"/>
        <w:ind w:right="194"/>
        <w:jc w:val="both"/>
        <w:rPr>
          <w:rFonts w:asciiTheme="majorHAnsi" w:hAnsiTheme="majorHAnsi" w:cstheme="majorHAnsi"/>
          <w:lang w:bidi="sr-Cyrl-CS"/>
        </w:rPr>
      </w:pPr>
      <w:r>
        <w:rPr>
          <w:rFonts w:asciiTheme="majorHAnsi" w:hAnsiTheme="majorHAnsi" w:cstheme="majorHAnsi"/>
          <w:lang w:bidi="sr-Cyrl-CS"/>
        </w:rPr>
        <w:t xml:space="preserve">У складу са критеријумом </w:t>
      </w:r>
      <w:r w:rsidRPr="00565B02">
        <w:rPr>
          <w:rFonts w:asciiTheme="majorHAnsi" w:hAnsiTheme="majorHAnsi" w:cstheme="majorHAnsi"/>
          <w:b/>
          <w:bCs/>
          <w:lang w:bidi="sr-Cyrl-CS"/>
        </w:rPr>
        <w:t>(</w:t>
      </w:r>
      <w:r w:rsidRPr="00565B02">
        <w:rPr>
          <w:rFonts w:asciiTheme="majorHAnsi" w:hAnsiTheme="majorHAnsi" w:cstheme="majorHAnsi"/>
          <w:b/>
          <w:bCs/>
          <w:lang w:val="en-US" w:bidi="sr-Cyrl-CS"/>
        </w:rPr>
        <w:t xml:space="preserve">ii) </w:t>
      </w:r>
      <w:r w:rsidRPr="00565B02">
        <w:rPr>
          <w:rFonts w:asciiTheme="majorHAnsi" w:hAnsiTheme="majorHAnsi" w:cstheme="majorHAnsi"/>
          <w:b/>
          <w:bCs/>
          <w:lang w:bidi="sr-Cyrl-CS"/>
        </w:rPr>
        <w:t>економски услови, укључујући БДП по глави становника</w:t>
      </w:r>
      <w:r w:rsidRPr="00565B02">
        <w:rPr>
          <w:rFonts w:asciiTheme="majorHAnsi" w:hAnsiTheme="majorHAnsi" w:cstheme="majorHAnsi"/>
          <w:b/>
          <w:bCs/>
          <w:lang w:val="sr-Latn-RS" w:bidi="sr-Cyrl-CS"/>
        </w:rPr>
        <w:t>;</w:t>
      </w:r>
      <w:r w:rsidRPr="00565B02">
        <w:rPr>
          <w:rFonts w:asciiTheme="majorHAnsi" w:hAnsiTheme="majorHAnsi" w:cstheme="majorHAnsi"/>
          <w:b/>
          <w:bCs/>
          <w:lang w:bidi="sr-Cyrl-CS"/>
        </w:rPr>
        <w:t xml:space="preserve"> потенцијал за економично коришћење</w:t>
      </w:r>
      <w:r w:rsidRPr="00565B02">
        <w:rPr>
          <w:rFonts w:asciiTheme="majorHAnsi" w:hAnsiTheme="majorHAnsi" w:cstheme="majorHAnsi"/>
          <w:b/>
          <w:bCs/>
          <w:lang w:val="sr-Latn-RS" w:bidi="sr-Cyrl-CS"/>
        </w:rPr>
        <w:t xml:space="preserve"> </w:t>
      </w:r>
      <w:r w:rsidRPr="00565B02">
        <w:rPr>
          <w:rFonts w:asciiTheme="majorHAnsi" w:hAnsiTheme="majorHAnsi" w:cstheme="majorHAnsi"/>
          <w:b/>
          <w:bCs/>
          <w:lang w:bidi="sr-Cyrl-CS"/>
        </w:rPr>
        <w:t>обновљивих извора енергије</w:t>
      </w:r>
    </w:p>
    <w:p w14:paraId="70AF3185" w14:textId="125F2666" w:rsidR="00195317" w:rsidRDefault="00195317" w:rsidP="000925A8">
      <w:pPr>
        <w:pStyle w:val="ListParagraph"/>
        <w:numPr>
          <w:ilvl w:val="0"/>
          <w:numId w:val="391"/>
        </w:numPr>
        <w:spacing w:before="120" w:after="120" w:line="276" w:lineRule="auto"/>
        <w:ind w:right="194"/>
        <w:jc w:val="both"/>
        <w:rPr>
          <w:rFonts w:asciiTheme="majorHAnsi" w:hAnsiTheme="majorHAnsi" w:cstheme="majorHAnsi"/>
          <w:lang w:bidi="sr-Cyrl-CS"/>
        </w:rPr>
      </w:pPr>
      <w:r w:rsidRPr="00565B02">
        <w:rPr>
          <w:rFonts w:asciiTheme="majorHAnsi" w:hAnsiTheme="majorHAnsi" w:cstheme="majorHAnsi"/>
          <w:lang w:bidi="sr-Cyrl-CS"/>
        </w:rPr>
        <w:t xml:space="preserve">Анализа је указала на то да би постизање националног доприноса предложеног одлуком Министарског савета захтевало нереалистични раст употребе топлотних пумпи у домаћинствима и у терцијарном сектору, достижући 11,1 </w:t>
      </w:r>
      <w:r w:rsidRPr="00565B02">
        <w:rPr>
          <w:rFonts w:asciiTheme="majorHAnsi" w:hAnsiTheme="majorHAnsi" w:cstheme="majorHAnsi"/>
          <w:lang w:val="en-US" w:bidi="sr-Cyrl-CS"/>
        </w:rPr>
        <w:t xml:space="preserve">GWth </w:t>
      </w:r>
      <w:r w:rsidRPr="00565B02">
        <w:rPr>
          <w:rFonts w:asciiTheme="majorHAnsi" w:hAnsiTheme="majorHAnsi" w:cstheme="majorHAnsi"/>
          <w:lang w:bidi="sr-Cyrl-CS"/>
        </w:rPr>
        <w:t xml:space="preserve">до 2030. године, што одговара </w:t>
      </w:r>
      <w:r w:rsidRPr="00565B02">
        <w:rPr>
          <w:rFonts w:asciiTheme="majorHAnsi" w:hAnsiTheme="majorHAnsi" w:cstheme="majorHAnsi"/>
          <w:lang w:bidi="sr-Cyrl-CS"/>
        </w:rPr>
        <w:lastRenderedPageBreak/>
        <w:t xml:space="preserve">444 хиљада јединица, и подразумева нереалистичан </w:t>
      </w:r>
      <w:r w:rsidR="00FE6F5B" w:rsidRPr="00565B02">
        <w:rPr>
          <w:rFonts w:asciiTheme="majorHAnsi" w:hAnsiTheme="majorHAnsi" w:cstheme="majorHAnsi"/>
          <w:lang w:bidi="sr-Cyrl-CS"/>
        </w:rPr>
        <w:t xml:space="preserve">додатак од 1,6 </w:t>
      </w:r>
      <w:r w:rsidR="00FE6F5B" w:rsidRPr="00565B02">
        <w:rPr>
          <w:rFonts w:asciiTheme="majorHAnsi" w:hAnsiTheme="majorHAnsi" w:cstheme="majorHAnsi"/>
          <w:lang w:val="en-US" w:bidi="sr-Cyrl-CS"/>
        </w:rPr>
        <w:t xml:space="preserve">GWth, </w:t>
      </w:r>
      <w:r w:rsidR="00623A60" w:rsidRPr="00565B02">
        <w:rPr>
          <w:rFonts w:asciiTheme="majorHAnsi" w:hAnsiTheme="majorHAnsi" w:cstheme="majorHAnsi"/>
          <w:lang w:bidi="sr-Cyrl-CS"/>
        </w:rPr>
        <w:t>односно готово 63 хиљада јединица до 2030. године, док је у складу са постојећим трендовима</w:t>
      </w:r>
      <w:r w:rsidR="00565DBC" w:rsidRPr="00565DBC">
        <w:rPr>
          <w:rFonts w:asciiTheme="majorHAnsi" w:hAnsiTheme="majorHAnsi" w:cstheme="majorHAnsi"/>
          <w:lang w:bidi="sr-Cyrl-CS"/>
        </w:rPr>
        <w:t xml:space="preserve"> 2021. годин</w:t>
      </w:r>
      <w:r w:rsidR="00565DBC">
        <w:rPr>
          <w:rFonts w:asciiTheme="majorHAnsi" w:hAnsiTheme="majorHAnsi" w:cstheme="majorHAnsi"/>
          <w:lang w:val="en-US" w:bidi="sr-Cyrl-CS"/>
        </w:rPr>
        <w:t>e</w:t>
      </w:r>
      <w:r w:rsidR="00623A60" w:rsidRPr="00565B02">
        <w:rPr>
          <w:rFonts w:asciiTheme="majorHAnsi" w:hAnsiTheme="majorHAnsi" w:cstheme="majorHAnsi"/>
          <w:lang w:bidi="sr-Cyrl-CS"/>
        </w:rPr>
        <w:t xml:space="preserve"> у Србији продато само 4 хиљаде топлотних пумпи, а може се очекивати да би</w:t>
      </w:r>
      <w:r w:rsidR="00EE4C1B" w:rsidRPr="00565B02">
        <w:rPr>
          <w:rFonts w:asciiTheme="majorHAnsi" w:hAnsiTheme="majorHAnsi" w:cstheme="majorHAnsi"/>
          <w:lang w:bidi="sr-Cyrl-CS"/>
        </w:rPr>
        <w:t xml:space="preserve"> се </w:t>
      </w:r>
      <w:r w:rsidR="00623A60" w:rsidRPr="00565B02">
        <w:rPr>
          <w:rFonts w:asciiTheme="majorHAnsi" w:hAnsiTheme="majorHAnsi" w:cstheme="majorHAnsi"/>
          <w:lang w:bidi="sr-Cyrl-CS"/>
        </w:rPr>
        <w:t xml:space="preserve">у наредних </w:t>
      </w:r>
      <w:r w:rsidR="00EE4C1B" w:rsidRPr="00565B02">
        <w:rPr>
          <w:rFonts w:asciiTheme="majorHAnsi" w:hAnsiTheme="majorHAnsi" w:cstheme="majorHAnsi"/>
          <w:lang w:bidi="sr-Cyrl-CS"/>
        </w:rPr>
        <w:t>7</w:t>
      </w:r>
      <w:r w:rsidR="00623A60" w:rsidRPr="00565B02">
        <w:rPr>
          <w:rFonts w:asciiTheme="majorHAnsi" w:hAnsiTheme="majorHAnsi" w:cstheme="majorHAnsi"/>
          <w:lang w:bidi="sr-Cyrl-CS"/>
        </w:rPr>
        <w:t xml:space="preserve"> година </w:t>
      </w:r>
      <w:r w:rsidR="00EE4C1B" w:rsidRPr="00565B02">
        <w:rPr>
          <w:rFonts w:asciiTheme="majorHAnsi" w:hAnsiTheme="majorHAnsi" w:cstheme="majorHAnsi"/>
          <w:lang w:bidi="sr-Cyrl-CS"/>
        </w:rPr>
        <w:t xml:space="preserve">могло инсталирати око 30 до 40 хиљада топлотних пумпи. </w:t>
      </w:r>
      <w:r w:rsidR="00565DBC">
        <w:rPr>
          <w:rFonts w:asciiTheme="majorHAnsi" w:hAnsiTheme="majorHAnsi" w:cstheme="majorHAnsi"/>
          <w:lang w:bidi="sr-Cyrl-CS"/>
        </w:rPr>
        <w:t>П</w:t>
      </w:r>
      <w:r w:rsidR="00565DBC" w:rsidRPr="00565DBC">
        <w:rPr>
          <w:rFonts w:asciiTheme="majorHAnsi" w:hAnsiTheme="majorHAnsi" w:cstheme="majorHAnsi"/>
          <w:lang w:bidi="sr-Cyrl-CS"/>
        </w:rPr>
        <w:t xml:space="preserve">редложени национални допринос </w:t>
      </w:r>
      <w:r w:rsidR="00565DBC">
        <w:rPr>
          <w:rFonts w:asciiTheme="majorHAnsi" w:hAnsiTheme="majorHAnsi" w:cstheme="majorHAnsi"/>
          <w:lang w:bidi="sr-Cyrl-CS"/>
        </w:rPr>
        <w:t xml:space="preserve">предвиђен у </w:t>
      </w:r>
      <w:r w:rsidR="00EE4C1B" w:rsidRPr="00565B02">
        <w:rPr>
          <w:rFonts w:asciiTheme="majorHAnsi" w:hAnsiTheme="majorHAnsi" w:cstheme="majorHAnsi"/>
          <w:lang w:bidi="sr-Cyrl-CS"/>
        </w:rPr>
        <w:t>ИНЕКП</w:t>
      </w:r>
      <w:r w:rsidR="00565DBC">
        <w:rPr>
          <w:rFonts w:asciiTheme="majorHAnsi" w:hAnsiTheme="majorHAnsi" w:cstheme="majorHAnsi"/>
          <w:lang w:val="en-US" w:bidi="sr-Cyrl-CS"/>
        </w:rPr>
        <w:t>-</w:t>
      </w:r>
      <w:r w:rsidR="00565DBC">
        <w:rPr>
          <w:rFonts w:asciiTheme="majorHAnsi" w:hAnsiTheme="majorHAnsi" w:cstheme="majorHAnsi"/>
          <w:lang w:bidi="sr-Cyrl-CS"/>
        </w:rPr>
        <w:t>у</w:t>
      </w:r>
      <w:r w:rsidR="00EE4C1B" w:rsidRPr="00565B02">
        <w:rPr>
          <w:rFonts w:asciiTheme="majorHAnsi" w:hAnsiTheme="majorHAnsi" w:cstheme="majorHAnsi"/>
          <w:lang w:bidi="sr-Cyrl-CS"/>
        </w:rPr>
        <w:t xml:space="preserve"> у погледу инсталације топлотних пумпи достиже 7 </w:t>
      </w:r>
      <w:r w:rsidR="00EE4C1B" w:rsidRPr="00565B02">
        <w:rPr>
          <w:rFonts w:asciiTheme="majorHAnsi" w:hAnsiTheme="majorHAnsi" w:cstheme="majorHAnsi"/>
          <w:lang w:val="en-US" w:bidi="sr-Cyrl-CS"/>
        </w:rPr>
        <w:t>GWth (</w:t>
      </w:r>
      <w:r w:rsidR="00CE64C7" w:rsidRPr="00565B02">
        <w:rPr>
          <w:rFonts w:asciiTheme="majorHAnsi" w:hAnsiTheme="majorHAnsi" w:cstheme="majorHAnsi"/>
          <w:lang w:bidi="sr-Cyrl-CS"/>
        </w:rPr>
        <w:t>282 хиљада јединица) до 2030. године</w:t>
      </w:r>
      <w:r w:rsidR="001F7AFD" w:rsidRPr="00565B02">
        <w:rPr>
          <w:rFonts w:asciiTheme="majorHAnsi" w:hAnsiTheme="majorHAnsi" w:cstheme="majorHAnsi"/>
          <w:lang w:val="en-US" w:bidi="sr-Cyrl-CS"/>
        </w:rPr>
        <w:t xml:space="preserve">, </w:t>
      </w:r>
      <w:r w:rsidR="001F7AFD" w:rsidRPr="00565B02">
        <w:rPr>
          <w:rFonts w:asciiTheme="majorHAnsi" w:hAnsiTheme="majorHAnsi" w:cstheme="majorHAnsi"/>
          <w:lang w:bidi="sr-Cyrl-CS"/>
        </w:rPr>
        <w:t xml:space="preserve">што одговара просечном годишњем додатку од око 40 хиљада јединица, што је и даље представља амбициозну цифру. Предвиђен је </w:t>
      </w:r>
      <w:r w:rsidR="00565DBC">
        <w:rPr>
          <w:rFonts w:asciiTheme="majorHAnsi" w:hAnsiTheme="majorHAnsi" w:cstheme="majorHAnsi"/>
          <w:lang w:bidi="sr-Cyrl-CS"/>
        </w:rPr>
        <w:t>п</w:t>
      </w:r>
      <w:r w:rsidR="001F7AFD" w:rsidRPr="00565B02">
        <w:rPr>
          <w:rFonts w:asciiTheme="majorHAnsi" w:hAnsiTheme="majorHAnsi" w:cstheme="majorHAnsi"/>
          <w:lang w:bidi="sr-Cyrl-CS"/>
        </w:rPr>
        <w:t>росечан Фактор сезонских перформанси (ФСП) од 3,3 до 2030. године, што је ближе просечној ефикасности садашњих тренова опреме, док би виши циљ захтевао ФСП на нивоу од 5</w:t>
      </w:r>
      <w:r w:rsidR="001F7AFD" w:rsidRPr="00565B02">
        <w:rPr>
          <w:rFonts w:asciiTheme="majorHAnsi" w:hAnsiTheme="majorHAnsi" w:cstheme="majorHAnsi"/>
          <w:lang w:val="en-US" w:bidi="sr-Cyrl-CS"/>
        </w:rPr>
        <w:t xml:space="preserve">TWh </w:t>
      </w:r>
      <w:r w:rsidR="001F7AFD" w:rsidRPr="00565B02">
        <w:rPr>
          <w:rFonts w:asciiTheme="majorHAnsi" w:hAnsiTheme="majorHAnsi" w:cstheme="majorHAnsi"/>
          <w:lang w:bidi="sr-Cyrl-CS"/>
        </w:rPr>
        <w:t xml:space="preserve">до 2030. године, што </w:t>
      </w:r>
      <w:r w:rsidR="00565DBC">
        <w:rPr>
          <w:rFonts w:asciiTheme="majorHAnsi" w:hAnsiTheme="majorHAnsi" w:cstheme="majorHAnsi"/>
          <w:lang w:bidi="sr-Cyrl-CS"/>
        </w:rPr>
        <w:t>одговара</w:t>
      </w:r>
      <w:r w:rsidR="001F7AFD" w:rsidRPr="00565B02">
        <w:rPr>
          <w:rFonts w:asciiTheme="majorHAnsi" w:hAnsiTheme="majorHAnsi" w:cstheme="majorHAnsi"/>
          <w:lang w:bidi="sr-Cyrl-CS"/>
        </w:rPr>
        <w:t xml:space="preserve"> перформанса</w:t>
      </w:r>
      <w:r w:rsidR="00565DBC">
        <w:rPr>
          <w:rFonts w:asciiTheme="majorHAnsi" w:hAnsiTheme="majorHAnsi" w:cstheme="majorHAnsi"/>
          <w:lang w:bidi="sr-Cyrl-CS"/>
        </w:rPr>
        <w:t>ма искључиво</w:t>
      </w:r>
      <w:r w:rsidR="001F7AFD" w:rsidRPr="00565B02">
        <w:rPr>
          <w:rFonts w:asciiTheme="majorHAnsi" w:hAnsiTheme="majorHAnsi" w:cstheme="majorHAnsi"/>
          <w:lang w:bidi="sr-Cyrl-CS"/>
        </w:rPr>
        <w:t xml:space="preserve"> производа високог квалитета.</w:t>
      </w:r>
    </w:p>
    <w:p w14:paraId="6E2F44E7" w14:textId="506F101B" w:rsidR="001F7AFD" w:rsidRDefault="001F7AFD" w:rsidP="00565B02">
      <w:pPr>
        <w:pStyle w:val="ListParagraph"/>
        <w:numPr>
          <w:ilvl w:val="0"/>
          <w:numId w:val="391"/>
        </w:numPr>
        <w:spacing w:before="120" w:after="120" w:line="276" w:lineRule="auto"/>
        <w:ind w:right="194"/>
        <w:jc w:val="both"/>
        <w:rPr>
          <w:rFonts w:asciiTheme="majorHAnsi" w:hAnsiTheme="majorHAnsi" w:cstheme="majorHAnsi"/>
          <w:lang w:bidi="sr-Cyrl-CS"/>
        </w:rPr>
      </w:pPr>
      <w:r>
        <w:rPr>
          <w:rFonts w:asciiTheme="majorHAnsi" w:hAnsiTheme="majorHAnsi" w:cstheme="majorHAnsi"/>
          <w:lang w:bidi="sr-Cyrl-CS"/>
        </w:rPr>
        <w:t xml:space="preserve">Предложени национални допринос на основу одлуке Министарског савета би подразумевао висок ниво извоза електричне енергије што се може сматрати неодговарајућим с аспекта рационалног планирања употребе природних ресурса у Србији. Анализа </w:t>
      </w:r>
      <w:r w:rsidR="006403B4">
        <w:rPr>
          <w:rFonts w:asciiTheme="majorHAnsi" w:hAnsiTheme="majorHAnsi" w:cstheme="majorHAnsi"/>
          <w:lang w:bidi="sr-Cyrl-CS"/>
        </w:rPr>
        <w:t>је довела до</w:t>
      </w:r>
      <w:r>
        <w:rPr>
          <w:rFonts w:asciiTheme="majorHAnsi" w:hAnsiTheme="majorHAnsi" w:cstheme="majorHAnsi"/>
          <w:lang w:bidi="sr-Cyrl-CS"/>
        </w:rPr>
        <w:t xml:space="preserve"> нето извоза на нивоу од 5</w:t>
      </w:r>
      <w:r>
        <w:rPr>
          <w:rFonts w:asciiTheme="majorHAnsi" w:hAnsiTheme="majorHAnsi" w:cstheme="majorHAnsi"/>
          <w:lang w:val="en-US" w:bidi="sr-Cyrl-CS"/>
        </w:rPr>
        <w:t xml:space="preserve">TWh </w:t>
      </w:r>
      <w:r>
        <w:rPr>
          <w:rFonts w:asciiTheme="majorHAnsi" w:hAnsiTheme="majorHAnsi" w:cstheme="majorHAnsi"/>
          <w:lang w:bidi="sr-Cyrl-CS"/>
        </w:rPr>
        <w:t xml:space="preserve">до 2030. године што представља </w:t>
      </w:r>
      <w:r w:rsidR="001C1E2E">
        <w:rPr>
          <w:rFonts w:asciiTheme="majorHAnsi" w:hAnsiTheme="majorHAnsi" w:cstheme="majorHAnsi"/>
          <w:lang w:bidi="sr-Cyrl-CS"/>
        </w:rPr>
        <w:t>веома</w:t>
      </w:r>
      <w:r>
        <w:rPr>
          <w:rFonts w:asciiTheme="majorHAnsi" w:hAnsiTheme="majorHAnsi" w:cstheme="majorHAnsi"/>
          <w:lang w:bidi="sr-Cyrl-CS"/>
        </w:rPr>
        <w:t xml:space="preserve"> висок ниво који није оправдан одговарајућим студијама. </w:t>
      </w:r>
      <w:r w:rsidR="006403B4">
        <w:rPr>
          <w:rFonts w:asciiTheme="majorHAnsi" w:hAnsiTheme="majorHAnsi" w:cstheme="majorHAnsi"/>
          <w:lang w:bidi="sr-Cyrl-CS"/>
        </w:rPr>
        <w:t xml:space="preserve">Анализа у оквиру ИНЕКП </w:t>
      </w:r>
      <w:r w:rsidR="001C1E2E">
        <w:rPr>
          <w:rFonts w:asciiTheme="majorHAnsi" w:hAnsiTheme="majorHAnsi" w:cstheme="majorHAnsi"/>
          <w:lang w:bidi="sr-Cyrl-CS"/>
        </w:rPr>
        <w:t>предвиђа 0,</w:t>
      </w:r>
      <w:r w:rsidR="00F532CB">
        <w:rPr>
          <w:rFonts w:asciiTheme="majorHAnsi" w:hAnsiTheme="majorHAnsi" w:cstheme="majorHAnsi"/>
          <w:lang w:bidi="sr-Cyrl-CS"/>
        </w:rPr>
        <w:t>7</w:t>
      </w:r>
      <w:r w:rsidR="001C1E2E">
        <w:rPr>
          <w:rFonts w:asciiTheme="majorHAnsi" w:hAnsiTheme="majorHAnsi" w:cstheme="majorHAnsi"/>
          <w:lang w:bidi="sr-Cyrl-CS"/>
        </w:rPr>
        <w:t xml:space="preserve"> </w:t>
      </w:r>
      <w:r w:rsidR="001C1E2E">
        <w:rPr>
          <w:rFonts w:asciiTheme="majorHAnsi" w:hAnsiTheme="majorHAnsi" w:cstheme="majorHAnsi"/>
          <w:lang w:val="en-US" w:bidi="sr-Cyrl-CS"/>
        </w:rPr>
        <w:t xml:space="preserve">TWh </w:t>
      </w:r>
      <w:r w:rsidR="001C1E2E">
        <w:rPr>
          <w:rFonts w:asciiTheme="majorHAnsi" w:hAnsiTheme="majorHAnsi" w:cstheme="majorHAnsi"/>
          <w:lang w:bidi="sr-Cyrl-CS"/>
        </w:rPr>
        <w:t>нето извоза до 2030. године, што указује на самодовољан електроенергетски систем.</w:t>
      </w:r>
    </w:p>
    <w:p w14:paraId="151A6EA6" w14:textId="2DAF40C6" w:rsidR="001C1E2E" w:rsidRDefault="001C1E2E" w:rsidP="00565B02">
      <w:pPr>
        <w:pStyle w:val="ListParagraph"/>
        <w:numPr>
          <w:ilvl w:val="0"/>
          <w:numId w:val="391"/>
        </w:numPr>
        <w:spacing w:before="120" w:after="120" w:line="276" w:lineRule="auto"/>
        <w:ind w:right="194"/>
        <w:jc w:val="both"/>
        <w:rPr>
          <w:rFonts w:asciiTheme="majorHAnsi" w:hAnsiTheme="majorHAnsi" w:cstheme="majorHAnsi"/>
          <w:lang w:bidi="sr-Cyrl-CS"/>
        </w:rPr>
      </w:pPr>
      <w:r w:rsidRPr="001C1E2E">
        <w:rPr>
          <w:rFonts w:asciiTheme="majorHAnsi" w:hAnsiTheme="majorHAnsi" w:cstheme="majorHAnsi"/>
          <w:lang w:bidi="sr-Cyrl-CS"/>
        </w:rPr>
        <w:t>Предложени национални допринос на основу одлуке Министарског савета</w:t>
      </w:r>
      <w:r>
        <w:rPr>
          <w:rFonts w:asciiTheme="majorHAnsi" w:hAnsiTheme="majorHAnsi" w:cstheme="majorHAnsi"/>
          <w:lang w:bidi="sr-Cyrl-CS"/>
        </w:rPr>
        <w:t xml:space="preserve"> би захтевао најмање 88 </w:t>
      </w:r>
      <w:r>
        <w:rPr>
          <w:rFonts w:asciiTheme="majorHAnsi" w:hAnsiTheme="majorHAnsi" w:cstheme="majorHAnsi"/>
          <w:lang w:val="en-US" w:bidi="sr-Cyrl-CS"/>
        </w:rPr>
        <w:t xml:space="preserve">ktoe </w:t>
      </w:r>
      <w:r>
        <w:rPr>
          <w:rFonts w:asciiTheme="majorHAnsi" w:hAnsiTheme="majorHAnsi" w:cstheme="majorHAnsi"/>
          <w:lang w:bidi="sr-Cyrl-CS"/>
        </w:rPr>
        <w:t xml:space="preserve">прихватљивих биогорива и увођење 89 хиљада електричних возила у 2030. години. </w:t>
      </w:r>
      <w:r w:rsidR="0032249D">
        <w:rPr>
          <w:rFonts w:asciiTheme="majorHAnsi" w:hAnsiTheme="majorHAnsi" w:cstheme="majorHAnsi"/>
          <w:lang w:bidi="sr-Cyrl-CS"/>
        </w:rPr>
        <w:t xml:space="preserve">Национални допринос предвиђен ИНЕКП-ом </w:t>
      </w:r>
      <w:r w:rsidR="00EF08E4">
        <w:rPr>
          <w:rFonts w:asciiTheme="majorHAnsi" w:hAnsiTheme="majorHAnsi" w:cstheme="majorHAnsi"/>
          <w:lang w:bidi="sr-Cyrl-CS"/>
        </w:rPr>
        <w:t>обухвата реалистичније претпоставке за биогорива (49</w:t>
      </w:r>
      <w:r w:rsidR="00EF08E4">
        <w:rPr>
          <w:rFonts w:asciiTheme="majorHAnsi" w:hAnsiTheme="majorHAnsi" w:cstheme="majorHAnsi"/>
          <w:lang w:val="en-US" w:bidi="sr-Cyrl-CS"/>
        </w:rPr>
        <w:t xml:space="preserve">ktoe </w:t>
      </w:r>
      <w:r w:rsidR="00EF08E4">
        <w:rPr>
          <w:rFonts w:asciiTheme="majorHAnsi" w:hAnsiTheme="majorHAnsi" w:cstheme="majorHAnsi"/>
          <w:lang w:bidi="sr-Cyrl-CS"/>
        </w:rPr>
        <w:t>у 2030.години) и увођење електричних возила од 44 хиљада до 2030. године.</w:t>
      </w:r>
    </w:p>
    <w:p w14:paraId="1174C9DC" w14:textId="65E01D39" w:rsidR="00EF08E4" w:rsidRDefault="00A74C3C" w:rsidP="00565B02">
      <w:pPr>
        <w:pStyle w:val="ListParagraph"/>
        <w:numPr>
          <w:ilvl w:val="0"/>
          <w:numId w:val="391"/>
        </w:numPr>
        <w:spacing w:before="120" w:after="120" w:line="276" w:lineRule="auto"/>
        <w:ind w:right="194"/>
        <w:jc w:val="both"/>
        <w:rPr>
          <w:rFonts w:asciiTheme="majorHAnsi" w:hAnsiTheme="majorHAnsi" w:cstheme="majorHAnsi"/>
          <w:lang w:bidi="sr-Cyrl-CS"/>
        </w:rPr>
      </w:pPr>
      <w:bookmarkStart w:id="78" w:name="_Hlk152845736"/>
      <w:r w:rsidRPr="00A74C3C">
        <w:rPr>
          <w:rFonts w:asciiTheme="majorHAnsi" w:hAnsiTheme="majorHAnsi" w:cstheme="majorHAnsi"/>
          <w:lang w:bidi="sr-Cyrl-CS"/>
        </w:rPr>
        <w:t>Предложени национални допринос на основу одлуке Министарског савета</w:t>
      </w:r>
      <w:r>
        <w:rPr>
          <w:rFonts w:asciiTheme="majorHAnsi" w:hAnsiTheme="majorHAnsi" w:cstheme="majorHAnsi"/>
          <w:lang w:bidi="sr-Cyrl-CS"/>
        </w:rPr>
        <w:t xml:space="preserve"> </w:t>
      </w:r>
      <w:bookmarkEnd w:id="78"/>
      <w:r>
        <w:rPr>
          <w:rFonts w:asciiTheme="majorHAnsi" w:hAnsiTheme="majorHAnsi" w:cstheme="majorHAnsi"/>
          <w:lang w:bidi="sr-Cyrl-CS"/>
        </w:rPr>
        <w:t xml:space="preserve">би захтевао веће капацитете варијабилних технологија обновљиве енергије у мрежи, </w:t>
      </w:r>
      <w:r w:rsidR="00FE3892">
        <w:rPr>
          <w:rFonts w:asciiTheme="majorHAnsi" w:hAnsiTheme="majorHAnsi" w:cstheme="majorHAnsi"/>
          <w:lang w:bidi="sr-Cyrl-CS"/>
        </w:rPr>
        <w:t>што би подразумевало веће баланс</w:t>
      </w:r>
      <w:r w:rsidR="003E6A0D">
        <w:rPr>
          <w:rFonts w:asciiTheme="majorHAnsi" w:hAnsiTheme="majorHAnsi" w:cstheme="majorHAnsi"/>
          <w:lang w:bidi="sr-Cyrl-CS"/>
        </w:rPr>
        <w:t xml:space="preserve">не резерве </w:t>
      </w:r>
      <w:r w:rsidR="00FE3892">
        <w:rPr>
          <w:rFonts w:asciiTheme="majorHAnsi" w:hAnsiTheme="majorHAnsi" w:cstheme="majorHAnsi"/>
          <w:lang w:bidi="sr-Cyrl-CS"/>
        </w:rPr>
        <w:t>(</w:t>
      </w:r>
      <w:r w:rsidR="003E6A0D">
        <w:rPr>
          <w:rFonts w:asciiTheme="majorHAnsi" w:hAnsiTheme="majorHAnsi" w:cstheme="majorHAnsi"/>
          <w:lang w:bidi="sr-Cyrl-CS"/>
        </w:rPr>
        <w:t xml:space="preserve">веће </w:t>
      </w:r>
      <w:r w:rsidR="00FE3892">
        <w:rPr>
          <w:rFonts w:asciiTheme="majorHAnsi" w:hAnsiTheme="majorHAnsi" w:cstheme="majorHAnsi"/>
          <w:lang w:bidi="sr-Cyrl-CS"/>
        </w:rPr>
        <w:t xml:space="preserve">од расположивих на тржишту у 2030. години) и </w:t>
      </w:r>
      <w:r w:rsidR="003E6A0D">
        <w:rPr>
          <w:rFonts w:asciiTheme="majorHAnsi" w:hAnsiTheme="majorHAnsi" w:cstheme="majorHAnsi"/>
          <w:lang w:bidi="sr-Cyrl-CS"/>
        </w:rPr>
        <w:t xml:space="preserve">изложило </w:t>
      </w:r>
      <w:r w:rsidR="00565DBC">
        <w:rPr>
          <w:rFonts w:asciiTheme="majorHAnsi" w:hAnsiTheme="majorHAnsi" w:cstheme="majorHAnsi"/>
          <w:lang w:bidi="sr-Cyrl-CS"/>
        </w:rPr>
        <w:t xml:space="preserve">би </w:t>
      </w:r>
      <w:r w:rsidR="003E6A0D">
        <w:rPr>
          <w:rFonts w:asciiTheme="majorHAnsi" w:hAnsiTheme="majorHAnsi" w:cstheme="majorHAnsi"/>
          <w:lang w:bidi="sr-Cyrl-CS"/>
        </w:rPr>
        <w:t xml:space="preserve">систем ризику. Анализа је показала да би ово додатно захтевало </w:t>
      </w:r>
      <w:r w:rsidR="00565DBC">
        <w:rPr>
          <w:rFonts w:asciiTheme="majorHAnsi" w:hAnsiTheme="majorHAnsi" w:cstheme="majorHAnsi"/>
          <w:lang w:bidi="sr-Cyrl-CS"/>
        </w:rPr>
        <w:t xml:space="preserve">и </w:t>
      </w:r>
      <w:r w:rsidR="003E6A0D">
        <w:rPr>
          <w:rFonts w:asciiTheme="majorHAnsi" w:hAnsiTheme="majorHAnsi" w:cstheme="majorHAnsi"/>
          <w:lang w:bidi="sr-Cyrl-CS"/>
        </w:rPr>
        <w:t xml:space="preserve">инсталацију реверзибилних хидроелектрана у превише оптимистичком временском року, што би </w:t>
      </w:r>
      <w:r w:rsidR="00565DBC">
        <w:rPr>
          <w:rFonts w:asciiTheme="majorHAnsi" w:hAnsiTheme="majorHAnsi" w:cstheme="majorHAnsi"/>
          <w:lang w:bidi="sr-Cyrl-CS"/>
        </w:rPr>
        <w:t>подразумевало</w:t>
      </w:r>
      <w:r w:rsidR="003E6A0D">
        <w:rPr>
          <w:rFonts w:asciiTheme="majorHAnsi" w:hAnsiTheme="majorHAnsi" w:cstheme="majorHAnsi"/>
          <w:lang w:bidi="sr-Cyrl-CS"/>
        </w:rPr>
        <w:t xml:space="preserve"> да Бистрица буде оперативна до 2028. године </w:t>
      </w:r>
      <w:r w:rsidR="00565DBC">
        <w:rPr>
          <w:rFonts w:asciiTheme="majorHAnsi" w:hAnsiTheme="majorHAnsi" w:cstheme="majorHAnsi"/>
          <w:lang w:bidi="sr-Cyrl-CS"/>
        </w:rPr>
        <w:t>а</w:t>
      </w:r>
      <w:r w:rsidR="003E6A0D">
        <w:rPr>
          <w:rFonts w:asciiTheme="majorHAnsi" w:hAnsiTheme="majorHAnsi" w:cstheme="majorHAnsi"/>
          <w:lang w:bidi="sr-Cyrl-CS"/>
        </w:rPr>
        <w:t xml:space="preserve"> Ђердап 3 до 2030. године. У анализи ИНЕКП-а предвиђен је реалистичнији временски рок у складу са којим је Бистрица оперативна до 2032. године а Ђердап 3 до 2035. године, </w:t>
      </w:r>
      <w:r w:rsidR="00CC3099">
        <w:rPr>
          <w:rFonts w:asciiTheme="majorHAnsi" w:hAnsiTheme="majorHAnsi" w:cstheme="majorHAnsi"/>
          <w:lang w:bidi="sr-Cyrl-CS"/>
        </w:rPr>
        <w:t>чиме систем добија</w:t>
      </w:r>
      <w:r w:rsidR="003E6A0D">
        <w:rPr>
          <w:rFonts w:asciiTheme="majorHAnsi" w:hAnsiTheme="majorHAnsi" w:cstheme="majorHAnsi"/>
          <w:lang w:bidi="sr-Cyrl-CS"/>
        </w:rPr>
        <w:t xml:space="preserve"> додатне </w:t>
      </w:r>
      <w:r w:rsidR="00CC3099">
        <w:rPr>
          <w:rFonts w:asciiTheme="majorHAnsi" w:hAnsiTheme="majorHAnsi" w:cstheme="majorHAnsi"/>
          <w:lang w:bidi="sr-Cyrl-CS"/>
        </w:rPr>
        <w:t>капацитете</w:t>
      </w:r>
      <w:r w:rsidR="003E6A0D">
        <w:rPr>
          <w:rFonts w:asciiTheme="majorHAnsi" w:hAnsiTheme="majorHAnsi" w:cstheme="majorHAnsi"/>
          <w:lang w:bidi="sr-Cyrl-CS"/>
        </w:rPr>
        <w:t xml:space="preserve"> у погледу флексибилности и балансирања.</w:t>
      </w:r>
    </w:p>
    <w:p w14:paraId="7378259B" w14:textId="12A246ED" w:rsidR="00633B55" w:rsidRDefault="00633B55" w:rsidP="00633B55">
      <w:pPr>
        <w:pStyle w:val="ListParagraph"/>
        <w:spacing w:before="120" w:after="120" w:line="276" w:lineRule="auto"/>
        <w:ind w:left="0" w:right="194"/>
        <w:jc w:val="both"/>
        <w:rPr>
          <w:rFonts w:asciiTheme="majorHAnsi" w:hAnsiTheme="majorHAnsi" w:cstheme="majorHAnsi"/>
          <w:b/>
          <w:bCs/>
          <w:lang w:val="sr-Latn-RS" w:bidi="sr-Cyrl-CS"/>
        </w:rPr>
      </w:pPr>
      <w:r>
        <w:rPr>
          <w:rFonts w:asciiTheme="majorHAnsi" w:hAnsiTheme="majorHAnsi" w:cstheme="majorHAnsi"/>
          <w:lang w:bidi="sr-Cyrl-CS"/>
        </w:rPr>
        <w:t xml:space="preserve">2) </w:t>
      </w:r>
      <w:r w:rsidR="003E6A0D">
        <w:rPr>
          <w:rFonts w:asciiTheme="majorHAnsi" w:hAnsiTheme="majorHAnsi" w:cstheme="majorHAnsi"/>
          <w:lang w:bidi="sr-Cyrl-CS"/>
        </w:rPr>
        <w:t xml:space="preserve">У складу са критеријумом </w:t>
      </w:r>
      <w:r w:rsidR="003E6A0D" w:rsidRPr="00565B02">
        <w:rPr>
          <w:rFonts w:asciiTheme="majorHAnsi" w:hAnsiTheme="majorHAnsi" w:cstheme="majorHAnsi"/>
          <w:b/>
          <w:bCs/>
          <w:lang w:bidi="sr-Cyrl-CS"/>
        </w:rPr>
        <w:t>(</w:t>
      </w:r>
      <w:r w:rsidR="003E6A0D" w:rsidRPr="00565B02">
        <w:rPr>
          <w:rFonts w:asciiTheme="majorHAnsi" w:hAnsiTheme="majorHAnsi" w:cstheme="majorHAnsi"/>
          <w:b/>
          <w:bCs/>
          <w:lang w:val="en-US" w:bidi="sr-Cyrl-CS"/>
        </w:rPr>
        <w:t xml:space="preserve">iii) </w:t>
      </w:r>
      <w:r w:rsidR="003E6A0D" w:rsidRPr="00565B02">
        <w:rPr>
          <w:rFonts w:asciiTheme="majorHAnsi" w:hAnsiTheme="majorHAnsi" w:cstheme="majorHAnsi"/>
          <w:b/>
          <w:bCs/>
          <w:lang w:bidi="sr-Cyrl-CS"/>
        </w:rPr>
        <w:t>географска, еколошка и природна ограничења, укључујући и ограничења неповезаних области и региона</w:t>
      </w:r>
      <w:r w:rsidR="003E6A0D" w:rsidRPr="00565B02">
        <w:rPr>
          <w:rFonts w:asciiTheme="majorHAnsi" w:hAnsiTheme="majorHAnsi" w:cstheme="majorHAnsi"/>
          <w:b/>
          <w:bCs/>
          <w:lang w:val="sr-Latn-RS" w:bidi="sr-Cyrl-CS"/>
        </w:rPr>
        <w:t>:</w:t>
      </w:r>
    </w:p>
    <w:p w14:paraId="18118350" w14:textId="136501AC" w:rsidR="000925A8" w:rsidRPr="00565B02" w:rsidRDefault="00902895" w:rsidP="00902895">
      <w:pPr>
        <w:pStyle w:val="ListParagraph"/>
        <w:numPr>
          <w:ilvl w:val="0"/>
          <w:numId w:val="393"/>
        </w:numPr>
        <w:spacing w:before="120" w:after="120" w:line="276" w:lineRule="auto"/>
        <w:ind w:right="194"/>
        <w:jc w:val="both"/>
        <w:rPr>
          <w:rFonts w:asciiTheme="majorHAnsi" w:hAnsiTheme="majorHAnsi" w:cstheme="majorHAnsi"/>
          <w:lang w:val="sr-Latn-RS" w:bidi="sr-Cyrl-CS"/>
        </w:rPr>
      </w:pPr>
      <w:r w:rsidRPr="00A74C3C">
        <w:rPr>
          <w:rFonts w:asciiTheme="majorHAnsi" w:hAnsiTheme="majorHAnsi" w:cstheme="majorHAnsi"/>
          <w:lang w:bidi="sr-Cyrl-CS"/>
        </w:rPr>
        <w:t>Предложени национални допринос на основу одлуке Министарског савета</w:t>
      </w:r>
      <w:r>
        <w:rPr>
          <w:rFonts w:asciiTheme="majorHAnsi" w:hAnsiTheme="majorHAnsi" w:cstheme="majorHAnsi"/>
          <w:lang w:bidi="sr-Cyrl-CS"/>
        </w:rPr>
        <w:t xml:space="preserve"> би захтевао коришћење биомасе изнад нивоа ресурса који се могу експлоатисати на одрживи начин у Србији. Неопходна процењена примарна производња биомасе за достизање циља износи 1,9 </w:t>
      </w:r>
      <w:r>
        <w:rPr>
          <w:rFonts w:asciiTheme="majorHAnsi" w:hAnsiTheme="majorHAnsi" w:cstheme="majorHAnsi"/>
          <w:lang w:val="en-US" w:bidi="sr-Cyrl-CS"/>
        </w:rPr>
        <w:t xml:space="preserve">Mtoe </w:t>
      </w:r>
      <w:r>
        <w:rPr>
          <w:rFonts w:asciiTheme="majorHAnsi" w:hAnsiTheme="majorHAnsi" w:cstheme="majorHAnsi"/>
          <w:lang w:bidi="sr-Cyrl-CS"/>
        </w:rPr>
        <w:t>до 2030. године што је изнад нивоа процењеног одрживог потенцијала за пољопривредну и шумску биомасу (постојеће студије наводе технички потенцијал на нивоу од 1,9-2,0</w:t>
      </w:r>
      <w:r>
        <w:rPr>
          <w:rFonts w:asciiTheme="majorHAnsi" w:hAnsiTheme="majorHAnsi" w:cstheme="majorHAnsi"/>
          <w:lang w:val="en-US" w:bidi="sr-Cyrl-CS"/>
        </w:rPr>
        <w:t xml:space="preserve">Mtoe </w:t>
      </w:r>
      <w:r>
        <w:rPr>
          <w:rFonts w:asciiTheme="majorHAnsi" w:hAnsiTheme="majorHAnsi" w:cstheme="majorHAnsi"/>
          <w:lang w:bidi="sr-Cyrl-CS"/>
        </w:rPr>
        <w:t>али критеријум одрживости смањује овај ниво). Национални допринос превиђен у ИНЕКП-у захтева примарну производњу од 1,7</w:t>
      </w:r>
      <w:r>
        <w:rPr>
          <w:rFonts w:asciiTheme="majorHAnsi" w:hAnsiTheme="majorHAnsi" w:cstheme="majorHAnsi"/>
          <w:lang w:val="en-US" w:bidi="sr-Cyrl-CS"/>
        </w:rPr>
        <w:t xml:space="preserve">Mtoe </w:t>
      </w:r>
      <w:r>
        <w:rPr>
          <w:rFonts w:asciiTheme="majorHAnsi" w:hAnsiTheme="majorHAnsi" w:cstheme="majorHAnsi"/>
          <w:lang w:bidi="sr-Cyrl-CS"/>
        </w:rPr>
        <w:t>биомасе у 2030. години, што је близу постојећег нивоа али коришћених у ефикаснијим уређајима.</w:t>
      </w:r>
    </w:p>
    <w:p w14:paraId="78F5C6D7" w14:textId="37BBB318" w:rsidR="00902895" w:rsidRDefault="00902895" w:rsidP="00902895">
      <w:pPr>
        <w:spacing w:before="120" w:after="120" w:line="276" w:lineRule="auto"/>
        <w:ind w:right="194"/>
        <w:jc w:val="both"/>
        <w:rPr>
          <w:rFonts w:asciiTheme="majorHAnsi" w:hAnsiTheme="majorHAnsi" w:cstheme="majorHAnsi"/>
          <w:lang w:bidi="sr-Cyrl-CS"/>
        </w:rPr>
      </w:pPr>
      <w:r>
        <w:rPr>
          <w:rFonts w:asciiTheme="majorHAnsi" w:hAnsiTheme="majorHAnsi" w:cstheme="majorHAnsi"/>
          <w:lang w:bidi="sr-Cyrl-CS"/>
        </w:rPr>
        <w:t xml:space="preserve">У случају посебног циља у сектору грејања и хлађења, потребно је невести да индикативни циљеви из члана 23 Директиве о обновљивим изворима енергије </w:t>
      </w:r>
      <w:r>
        <w:rPr>
          <w:rFonts w:asciiTheme="majorHAnsi" w:hAnsiTheme="majorHAnsi" w:cstheme="majorHAnsi"/>
          <w:lang w:val="el-GR" w:bidi="sr-Cyrl-CS"/>
        </w:rPr>
        <w:t>ΙΙ (</w:t>
      </w:r>
      <w:r w:rsidRPr="00565B02">
        <w:rPr>
          <w:rFonts w:asciiTheme="majorHAnsi" w:hAnsiTheme="majorHAnsi" w:cstheme="majorHAnsi"/>
          <w:i/>
          <w:iCs/>
          <w:lang w:val="en-US" w:bidi="sr-Cyrl-CS"/>
        </w:rPr>
        <w:t>RED II</w:t>
      </w:r>
      <w:r>
        <w:rPr>
          <w:rFonts w:asciiTheme="majorHAnsi" w:hAnsiTheme="majorHAnsi" w:cstheme="majorHAnsi"/>
          <w:lang w:val="en-US" w:bidi="sr-Cyrl-CS"/>
        </w:rPr>
        <w:t>)</w:t>
      </w:r>
      <w:r>
        <w:rPr>
          <w:rFonts w:asciiTheme="majorHAnsi" w:hAnsiTheme="majorHAnsi" w:cstheme="majorHAnsi"/>
          <w:lang w:bidi="sr-Cyrl-CS"/>
        </w:rPr>
        <w:t xml:space="preserve"> нису обавезујући и да чланице ЕЗ нису у обавези да прате раст од 1,1% ОИЕ на годишњем нивоу у сектору грејања и хлађења. Остваривање просечне стопе раста од 1,1% на годишњем нивоу би захтевало превише оптимистичне </w:t>
      </w:r>
      <w:r w:rsidR="00582CF3">
        <w:rPr>
          <w:rFonts w:asciiTheme="majorHAnsi" w:hAnsiTheme="majorHAnsi" w:cstheme="majorHAnsi"/>
          <w:lang w:bidi="sr-Cyrl-CS"/>
        </w:rPr>
        <w:t xml:space="preserve">претходно наведене </w:t>
      </w:r>
      <w:r>
        <w:rPr>
          <w:rFonts w:asciiTheme="majorHAnsi" w:hAnsiTheme="majorHAnsi" w:cstheme="majorHAnsi"/>
          <w:lang w:bidi="sr-Cyrl-CS"/>
        </w:rPr>
        <w:t>претпоставке</w:t>
      </w:r>
      <w:r w:rsidR="007A3448">
        <w:rPr>
          <w:rFonts w:asciiTheme="majorHAnsi" w:hAnsiTheme="majorHAnsi" w:cstheme="majorHAnsi"/>
          <w:lang w:bidi="sr-Cyrl-CS"/>
        </w:rPr>
        <w:t xml:space="preserve"> </w:t>
      </w:r>
      <w:r w:rsidR="002A3A7C" w:rsidRPr="002A3A7C">
        <w:rPr>
          <w:rFonts w:asciiTheme="majorHAnsi" w:hAnsiTheme="majorHAnsi" w:cstheme="majorHAnsi"/>
          <w:lang w:bidi="sr-Cyrl-CS"/>
        </w:rPr>
        <w:t xml:space="preserve">у погледу одрживог потенцијала биомасе </w:t>
      </w:r>
      <w:r w:rsidR="007A3448">
        <w:rPr>
          <w:rFonts w:asciiTheme="majorHAnsi" w:hAnsiTheme="majorHAnsi" w:cstheme="majorHAnsi"/>
          <w:lang w:bidi="sr-Cyrl-CS"/>
        </w:rPr>
        <w:t xml:space="preserve">и стопе увођења, као и </w:t>
      </w:r>
      <w:r w:rsidR="002A3A7C">
        <w:rPr>
          <w:rFonts w:asciiTheme="majorHAnsi" w:hAnsiTheme="majorHAnsi" w:cstheme="majorHAnsi"/>
          <w:lang w:bidi="sr-Cyrl-CS"/>
        </w:rPr>
        <w:t xml:space="preserve">ФСП-а топлотних пумпи. У складу са реалистичнијим претпоставкама примењеним за израчунавање </w:t>
      </w:r>
      <w:r w:rsidR="002A3A7C">
        <w:rPr>
          <w:rFonts w:asciiTheme="majorHAnsi" w:hAnsiTheme="majorHAnsi" w:cstheme="majorHAnsi"/>
          <w:lang w:bidi="sr-Cyrl-CS"/>
        </w:rPr>
        <w:lastRenderedPageBreak/>
        <w:t>националног доприноса у ИНЕКП-у, остварује се стопа раста од 0,6 на годишњем нивоу до 2030. године.</w:t>
      </w:r>
    </w:p>
    <w:p w14:paraId="6B19DC0E" w14:textId="5D126D1F" w:rsidR="002A3A7C" w:rsidRPr="00565B02" w:rsidRDefault="002A3A7C" w:rsidP="00565B02">
      <w:pPr>
        <w:spacing w:before="120" w:after="120" w:line="276" w:lineRule="auto"/>
        <w:ind w:right="194"/>
        <w:jc w:val="both"/>
        <w:rPr>
          <w:rFonts w:asciiTheme="majorHAnsi" w:hAnsiTheme="majorHAnsi" w:cstheme="majorHAnsi"/>
          <w:lang w:bidi="sr-Cyrl-CS"/>
        </w:rPr>
      </w:pPr>
      <w:r>
        <w:rPr>
          <w:rFonts w:asciiTheme="majorHAnsi" w:hAnsiTheme="majorHAnsi" w:cstheme="majorHAnsi"/>
          <w:lang w:bidi="sr-Cyrl-CS"/>
        </w:rPr>
        <w:t>Претходно наведен</w:t>
      </w:r>
      <w:r w:rsidR="00B74BD3">
        <w:rPr>
          <w:rFonts w:asciiTheme="majorHAnsi" w:hAnsiTheme="majorHAnsi" w:cstheme="majorHAnsi"/>
          <w:lang w:val="en-US" w:bidi="sr-Cyrl-CS"/>
        </w:rPr>
        <w:t xml:space="preserve">e </w:t>
      </w:r>
      <w:r w:rsidR="00B74BD3">
        <w:rPr>
          <w:rFonts w:asciiTheme="majorHAnsi" w:hAnsiTheme="majorHAnsi" w:cstheme="majorHAnsi"/>
          <w:lang w:bidi="sr-Cyrl-CS"/>
        </w:rPr>
        <w:t>појединости указују да је национални допринос од 33,6% ОИЕ у БФПЕ</w:t>
      </w:r>
      <w:r w:rsidR="00396276">
        <w:rPr>
          <w:rFonts w:asciiTheme="majorHAnsi" w:hAnsiTheme="majorHAnsi" w:cstheme="majorHAnsi"/>
          <w:lang w:bidi="sr-Cyrl-CS"/>
        </w:rPr>
        <w:t>,</w:t>
      </w:r>
      <w:r w:rsidR="00B74BD3">
        <w:rPr>
          <w:rFonts w:asciiTheme="majorHAnsi" w:hAnsiTheme="majorHAnsi" w:cstheme="majorHAnsi"/>
          <w:lang w:bidi="sr-Cyrl-CS"/>
        </w:rPr>
        <w:t xml:space="preserve"> као што је документован</w:t>
      </w:r>
      <w:r w:rsidR="00582CF3">
        <w:rPr>
          <w:rFonts w:asciiTheme="majorHAnsi" w:hAnsiTheme="majorHAnsi" w:cstheme="majorHAnsi"/>
          <w:lang w:bidi="sr-Cyrl-CS"/>
        </w:rPr>
        <w:t>о</w:t>
      </w:r>
      <w:r w:rsidR="00B74BD3">
        <w:rPr>
          <w:rFonts w:asciiTheme="majorHAnsi" w:hAnsiTheme="majorHAnsi" w:cstheme="majorHAnsi"/>
          <w:lang w:bidi="sr-Cyrl-CS"/>
        </w:rPr>
        <w:t xml:space="preserve"> у ИНЕКП-у</w:t>
      </w:r>
      <w:r w:rsidR="00396276">
        <w:rPr>
          <w:rFonts w:asciiTheme="majorHAnsi" w:hAnsiTheme="majorHAnsi" w:cstheme="majorHAnsi"/>
          <w:lang w:bidi="sr-Cyrl-CS"/>
        </w:rPr>
        <w:t xml:space="preserve">, </w:t>
      </w:r>
      <w:r w:rsidR="00B74BD3">
        <w:rPr>
          <w:rFonts w:asciiTheme="majorHAnsi" w:hAnsiTheme="majorHAnsi" w:cstheme="majorHAnsi"/>
          <w:lang w:bidi="sr-Cyrl-CS"/>
        </w:rPr>
        <w:t>прихватљив, достижан, али и врло амбициозан за кратки временски период до 2030. године.</w:t>
      </w:r>
    </w:p>
    <w:p w14:paraId="6344B5D3" w14:textId="77777777" w:rsidR="00323E77" w:rsidRDefault="0093542C" w:rsidP="00DC6720">
      <w:pPr>
        <w:spacing w:before="120" w:after="120" w:line="276" w:lineRule="auto"/>
        <w:ind w:right="194"/>
        <w:jc w:val="both"/>
        <w:rPr>
          <w:rFonts w:asciiTheme="majorHAnsi" w:hAnsiTheme="majorHAnsi" w:cstheme="majorHAnsi"/>
          <w:lang w:bidi="sr-Cyrl-CS"/>
        </w:rPr>
      </w:pPr>
      <w:r>
        <w:rPr>
          <w:rFonts w:asciiTheme="majorHAnsi" w:hAnsiTheme="majorHAnsi" w:cstheme="majorHAnsi"/>
          <w:lang w:bidi="sr-Cyrl-CS"/>
        </w:rPr>
        <w:t xml:space="preserve">Међутим, на основу интензивних дискусија са релевантним актерима и узимајући у обзир документ </w:t>
      </w:r>
      <w:r w:rsidRPr="000A2AFE">
        <w:rPr>
          <w:rFonts w:asciiTheme="majorHAnsi" w:hAnsiTheme="majorHAnsi" w:cstheme="majorHAnsi"/>
          <w:b/>
          <w:bCs/>
          <w:lang w:bidi="sr-Cyrl-CS"/>
        </w:rPr>
        <w:t xml:space="preserve">„Полазне основе плана развоја енергетске инфраструктуре и мера енергетске ефикасности за период до 2028. са пројекцијама до 2030. године“ (Одлука Владе о усвајању 05 број 312-5262/2023-1 од 15.6.2023) </w:t>
      </w:r>
      <w:r>
        <w:rPr>
          <w:rFonts w:asciiTheme="majorHAnsi" w:hAnsiTheme="majorHAnsi" w:cstheme="majorHAnsi"/>
          <w:lang w:bidi="sr-Cyrl-CS"/>
        </w:rPr>
        <w:t>– „</w:t>
      </w:r>
      <w:r w:rsidRPr="000A2AFE">
        <w:rPr>
          <w:rFonts w:asciiTheme="majorHAnsi" w:hAnsiTheme="majorHAnsi" w:cstheme="majorHAnsi"/>
          <w:i/>
          <w:iCs/>
          <w:lang w:bidi="sr-Cyrl-CS"/>
        </w:rPr>
        <w:t>PREIMEE</w:t>
      </w:r>
      <w:r>
        <w:rPr>
          <w:rFonts w:asciiTheme="majorHAnsi" w:hAnsiTheme="majorHAnsi" w:cstheme="majorHAnsi"/>
          <w:lang w:bidi="sr-Cyrl-CS"/>
        </w:rPr>
        <w:t xml:space="preserve">“, </w:t>
      </w:r>
      <w:r w:rsidR="00323E77">
        <w:rPr>
          <w:rFonts w:asciiTheme="majorHAnsi" w:hAnsiTheme="majorHAnsi" w:cstheme="majorHAnsi"/>
          <w:lang w:bidi="sr-Cyrl-CS"/>
        </w:rPr>
        <w:t>примењене су даље измене:</w:t>
      </w:r>
    </w:p>
    <w:p w14:paraId="21B1806F" w14:textId="4A1D6264" w:rsidR="0093542C" w:rsidRPr="000A2AFE" w:rsidRDefault="00323E77" w:rsidP="000A2AFE">
      <w:pPr>
        <w:pStyle w:val="ListParagraph"/>
        <w:numPr>
          <w:ilvl w:val="0"/>
          <w:numId w:val="305"/>
        </w:numPr>
        <w:spacing w:before="120" w:after="120" w:line="276" w:lineRule="auto"/>
        <w:ind w:right="194"/>
        <w:jc w:val="both"/>
        <w:rPr>
          <w:rFonts w:asciiTheme="majorHAnsi" w:hAnsiTheme="majorHAnsi" w:cstheme="majorHAnsi"/>
          <w:lang w:bidi="sr-Cyrl-CS"/>
        </w:rPr>
      </w:pPr>
      <w:r w:rsidRPr="000A2AFE">
        <w:rPr>
          <w:rFonts w:asciiTheme="majorHAnsi" w:hAnsiTheme="majorHAnsi" w:cstheme="majorHAnsi"/>
          <w:lang w:bidi="sr-Cyrl-CS"/>
        </w:rPr>
        <w:t>Увођење нове електране на гас, која би требало да постане оперативна до 2029</w:t>
      </w:r>
      <w:r w:rsidR="009514C3" w:rsidRPr="000A2AFE">
        <w:rPr>
          <w:rFonts w:asciiTheme="majorHAnsi" w:hAnsiTheme="majorHAnsi" w:cstheme="majorHAnsi"/>
          <w:lang w:bidi="sr-Cyrl-CS"/>
        </w:rPr>
        <w:t>.</w:t>
      </w:r>
      <w:r w:rsidRPr="000A2AFE">
        <w:rPr>
          <w:rFonts w:asciiTheme="majorHAnsi" w:hAnsiTheme="majorHAnsi" w:cstheme="majorHAnsi"/>
          <w:lang w:bidi="sr-Cyrl-CS"/>
        </w:rPr>
        <w:t xml:space="preserve"> године, </w:t>
      </w:r>
      <w:r w:rsidR="00045986">
        <w:rPr>
          <w:rFonts w:asciiTheme="majorHAnsi" w:hAnsiTheme="majorHAnsi" w:cstheme="majorHAnsi"/>
          <w:lang w:bidi="sr-Cyrl-CS"/>
        </w:rPr>
        <w:t>а</w:t>
      </w:r>
      <w:r w:rsidRPr="000A2AFE">
        <w:rPr>
          <w:rFonts w:asciiTheme="majorHAnsi" w:hAnsiTheme="majorHAnsi" w:cstheme="majorHAnsi"/>
          <w:lang w:bidi="sr-Cyrl-CS"/>
        </w:rPr>
        <w:t xml:space="preserve"> чијим се ангажовањем смањује производња електричне енергије из лигнита али и пружа неопходна стабилност електроенергетском систему. </w:t>
      </w:r>
      <w:r w:rsidR="009514C3" w:rsidRPr="000A2AFE">
        <w:rPr>
          <w:rFonts w:asciiTheme="majorHAnsi" w:hAnsiTheme="majorHAnsi" w:cstheme="majorHAnsi"/>
          <w:lang w:bidi="sr-Cyrl-CS"/>
        </w:rPr>
        <w:t xml:space="preserve">На овај начин се </w:t>
      </w:r>
      <w:r w:rsidR="00045986">
        <w:rPr>
          <w:rFonts w:asciiTheme="majorHAnsi" w:hAnsiTheme="majorHAnsi" w:cstheme="majorHAnsi"/>
          <w:lang w:bidi="sr-Cyrl-CS"/>
        </w:rPr>
        <w:t>незнатно</w:t>
      </w:r>
      <w:r w:rsidR="009514C3" w:rsidRPr="000A2AFE">
        <w:rPr>
          <w:rFonts w:asciiTheme="majorHAnsi" w:hAnsiTheme="majorHAnsi" w:cstheme="majorHAnsi"/>
          <w:lang w:bidi="sr-Cyrl-CS"/>
        </w:rPr>
        <w:t xml:space="preserve"> смањује удео ОИЕ у производњи електричне енергије.</w:t>
      </w:r>
    </w:p>
    <w:p w14:paraId="7DF4CD2C" w14:textId="0A2632BE" w:rsidR="009514C3" w:rsidRPr="000A2AFE" w:rsidRDefault="009514C3" w:rsidP="000A2AFE">
      <w:pPr>
        <w:pStyle w:val="ListParagraph"/>
        <w:numPr>
          <w:ilvl w:val="0"/>
          <w:numId w:val="305"/>
        </w:numPr>
        <w:spacing w:before="120" w:after="120" w:line="276" w:lineRule="auto"/>
        <w:ind w:right="194"/>
        <w:jc w:val="both"/>
        <w:rPr>
          <w:rFonts w:asciiTheme="majorHAnsi" w:hAnsiTheme="majorHAnsi" w:cstheme="majorHAnsi"/>
          <w:lang w:bidi="sr-Cyrl-CS"/>
        </w:rPr>
      </w:pPr>
      <w:r w:rsidRPr="000A2AFE">
        <w:rPr>
          <w:rFonts w:asciiTheme="majorHAnsi" w:hAnsiTheme="majorHAnsi" w:cstheme="majorHAnsi"/>
          <w:lang w:bidi="sr-Cyrl-CS"/>
        </w:rPr>
        <w:t>Смањено ангажовање термоелектрана на лигнит (смањење од 25% до 2030. године у поређењу са 2021. годином) као резултат увођења електране на гас.</w:t>
      </w:r>
    </w:p>
    <w:p w14:paraId="628178BC" w14:textId="64547CC1" w:rsidR="009514C3" w:rsidRPr="000A2AFE" w:rsidRDefault="008B3EA0" w:rsidP="000A2AFE">
      <w:pPr>
        <w:pStyle w:val="ListParagraph"/>
        <w:numPr>
          <w:ilvl w:val="0"/>
          <w:numId w:val="305"/>
        </w:numPr>
        <w:spacing w:before="120" w:after="120" w:line="276" w:lineRule="auto"/>
        <w:ind w:right="194"/>
        <w:jc w:val="both"/>
        <w:rPr>
          <w:rFonts w:asciiTheme="majorHAnsi" w:hAnsiTheme="majorHAnsi" w:cstheme="majorHAnsi"/>
          <w:lang w:bidi="sr-Cyrl-CS"/>
        </w:rPr>
      </w:pPr>
      <w:r>
        <w:rPr>
          <w:rFonts w:asciiTheme="majorHAnsi" w:hAnsiTheme="majorHAnsi" w:cstheme="majorHAnsi"/>
          <w:lang w:bidi="sr-Cyrl-CS"/>
        </w:rPr>
        <w:t>Интегрисање</w:t>
      </w:r>
      <w:r w:rsidR="009514C3" w:rsidRPr="000A2AFE">
        <w:rPr>
          <w:rFonts w:asciiTheme="majorHAnsi" w:hAnsiTheme="majorHAnsi" w:cstheme="majorHAnsi"/>
          <w:lang w:bidi="sr-Cyrl-CS"/>
        </w:rPr>
        <w:t xml:space="preserve"> реалистичнијих трошкова улагања у проширење преносног система у случају интеграције већег нивоа варијабилних ОИЕ у производњ</w:t>
      </w:r>
      <w:r w:rsidR="008D494F">
        <w:rPr>
          <w:rFonts w:asciiTheme="majorHAnsi" w:hAnsiTheme="majorHAnsi" w:cstheme="majorHAnsi"/>
          <w:lang w:bidi="sr-Cyrl-CS"/>
        </w:rPr>
        <w:t>и</w:t>
      </w:r>
      <w:r w:rsidR="009514C3" w:rsidRPr="000A2AFE">
        <w:rPr>
          <w:rFonts w:asciiTheme="majorHAnsi" w:hAnsiTheme="majorHAnsi" w:cstheme="majorHAnsi"/>
          <w:lang w:bidi="sr-Cyrl-CS"/>
        </w:rPr>
        <w:t xml:space="preserve"> електричне енергије.</w:t>
      </w:r>
    </w:p>
    <w:p w14:paraId="6DD4B4AC" w14:textId="1842DD92" w:rsidR="009514C3" w:rsidRPr="000A2AFE" w:rsidRDefault="009514C3" w:rsidP="000A2AFE">
      <w:pPr>
        <w:pStyle w:val="ListParagraph"/>
        <w:numPr>
          <w:ilvl w:val="0"/>
          <w:numId w:val="305"/>
        </w:numPr>
        <w:spacing w:before="120" w:after="120" w:line="276" w:lineRule="auto"/>
        <w:ind w:right="194"/>
        <w:jc w:val="both"/>
        <w:rPr>
          <w:rFonts w:asciiTheme="majorHAnsi" w:hAnsiTheme="majorHAnsi" w:cstheme="majorHAnsi"/>
          <w:lang w:bidi="sr-Cyrl-CS"/>
        </w:rPr>
      </w:pPr>
      <w:r w:rsidRPr="000A2AFE">
        <w:rPr>
          <w:rFonts w:asciiTheme="majorHAnsi" w:hAnsiTheme="majorHAnsi" w:cstheme="majorHAnsi"/>
          <w:lang w:bidi="sr-Cyrl-CS"/>
        </w:rPr>
        <w:t>Реалистичнији удео биогорива у саобраћају (смањење укупног нивоа биогорива у 2030. години са 70 ktoe на 49 ktoe) и реалистичније увођење електричних возила (смањење укупног броја електричних возила у 2030. години са 77,6 хиљада на 44,8 хиљада),</w:t>
      </w:r>
      <w:r w:rsidR="00CD6110" w:rsidRPr="000A2AFE">
        <w:rPr>
          <w:rFonts w:asciiTheme="majorHAnsi" w:hAnsiTheme="majorHAnsi" w:cstheme="majorHAnsi"/>
          <w:lang w:bidi="sr-Cyrl-CS"/>
        </w:rPr>
        <w:t xml:space="preserve"> што доводи до </w:t>
      </w:r>
      <w:r w:rsidR="00045986">
        <w:rPr>
          <w:rFonts w:asciiTheme="majorHAnsi" w:hAnsiTheme="majorHAnsi" w:cstheme="majorHAnsi"/>
          <w:lang w:bidi="sr-Cyrl-CS"/>
        </w:rPr>
        <w:t>незнатног</w:t>
      </w:r>
      <w:r w:rsidR="00CD6110" w:rsidRPr="000A2AFE">
        <w:rPr>
          <w:rFonts w:asciiTheme="majorHAnsi" w:hAnsiTheme="majorHAnsi" w:cstheme="majorHAnsi"/>
          <w:lang w:bidi="sr-Cyrl-CS"/>
        </w:rPr>
        <w:t xml:space="preserve"> смањења удела ОИЕ у саобраћају.</w:t>
      </w:r>
    </w:p>
    <w:p w14:paraId="7509F37F" w14:textId="64FAA681" w:rsidR="00CD6110" w:rsidRPr="0093542C" w:rsidRDefault="00CD6110" w:rsidP="00DC6720">
      <w:pPr>
        <w:spacing w:before="120" w:after="120" w:line="276" w:lineRule="auto"/>
        <w:ind w:right="194"/>
        <w:jc w:val="both"/>
        <w:rPr>
          <w:rFonts w:asciiTheme="majorHAnsi" w:hAnsiTheme="majorHAnsi" w:cstheme="majorHAnsi"/>
          <w:lang w:bidi="sr-Cyrl-CS"/>
        </w:rPr>
      </w:pPr>
      <w:r>
        <w:rPr>
          <w:rFonts w:asciiTheme="majorHAnsi" w:hAnsiTheme="majorHAnsi" w:cstheme="majorHAnsi"/>
          <w:lang w:bidi="sr-Cyrl-CS"/>
        </w:rPr>
        <w:t xml:space="preserve">Ова анализа </w:t>
      </w:r>
      <w:r w:rsidR="008B3EA0">
        <w:rPr>
          <w:rFonts w:asciiTheme="majorHAnsi" w:hAnsiTheme="majorHAnsi" w:cstheme="majorHAnsi"/>
          <w:lang w:bidi="sr-Cyrl-CS"/>
        </w:rPr>
        <w:t>довела је</w:t>
      </w:r>
      <w:r>
        <w:rPr>
          <w:rFonts w:asciiTheme="majorHAnsi" w:hAnsiTheme="majorHAnsi" w:cstheme="majorHAnsi"/>
          <w:lang w:bidi="sr-Cyrl-CS"/>
        </w:rPr>
        <w:t xml:space="preserve"> до удела ОИЕ у </w:t>
      </w:r>
      <w:r w:rsidRPr="00CD6110">
        <w:rPr>
          <w:rFonts w:asciiTheme="majorHAnsi" w:hAnsiTheme="majorHAnsi" w:cstheme="majorHAnsi"/>
          <w:lang w:bidi="sr-Cyrl-CS"/>
        </w:rPr>
        <w:t>бруто финалној потрошњи енергије</w:t>
      </w:r>
      <w:r>
        <w:rPr>
          <w:rFonts w:asciiTheme="majorHAnsi" w:hAnsiTheme="majorHAnsi" w:cstheme="majorHAnsi"/>
          <w:lang w:bidi="sr-Cyrl-CS"/>
        </w:rPr>
        <w:t xml:space="preserve"> од 33,6%, као прихватљивог и достижног циља, усклађеног са истим нивоом амбициј</w:t>
      </w:r>
      <w:r w:rsidR="00670682">
        <w:rPr>
          <w:rFonts w:asciiTheme="majorHAnsi" w:hAnsiTheme="majorHAnsi" w:cstheme="majorHAnsi"/>
          <w:lang w:val="sr-Latn-RS" w:bidi="sr-Cyrl-CS"/>
        </w:rPr>
        <w:t>a</w:t>
      </w:r>
      <w:r>
        <w:rPr>
          <w:rFonts w:asciiTheme="majorHAnsi" w:hAnsiTheme="majorHAnsi" w:cstheme="majorHAnsi"/>
          <w:lang w:bidi="sr-Cyrl-CS"/>
        </w:rPr>
        <w:t xml:space="preserve"> за смањење емисије гасова са ефектом стаклене баште, који остаје на истом нивоу као и раније</w:t>
      </w:r>
      <w:r w:rsidR="00CC23A9">
        <w:rPr>
          <w:rFonts w:asciiTheme="majorHAnsi" w:hAnsiTheme="majorHAnsi" w:cstheme="majorHAnsi"/>
          <w:lang w:bidi="sr-Cyrl-CS"/>
        </w:rPr>
        <w:t xml:space="preserve">, у складу са Стратегијом нискоугљеничког развоја Републике Србије. </w:t>
      </w:r>
      <w:r w:rsidR="008D494F">
        <w:rPr>
          <w:rFonts w:asciiTheme="majorHAnsi" w:hAnsiTheme="majorHAnsi" w:cstheme="majorHAnsi"/>
          <w:lang w:bidi="sr-Cyrl-CS"/>
        </w:rPr>
        <w:t>Секторски удели</w:t>
      </w:r>
      <w:r w:rsidR="00CC23A9">
        <w:rPr>
          <w:rFonts w:asciiTheme="majorHAnsi" w:hAnsiTheme="majorHAnsi" w:cstheme="majorHAnsi"/>
          <w:lang w:bidi="sr-Cyrl-CS"/>
        </w:rPr>
        <w:t xml:space="preserve"> ОИЕ</w:t>
      </w:r>
      <w:r w:rsidR="008D494F">
        <w:rPr>
          <w:rFonts w:asciiTheme="majorHAnsi" w:hAnsiTheme="majorHAnsi" w:cstheme="majorHAnsi"/>
          <w:lang w:bidi="sr-Cyrl-CS"/>
        </w:rPr>
        <w:t xml:space="preserve"> </w:t>
      </w:r>
      <w:r w:rsidR="00CC23A9">
        <w:rPr>
          <w:rFonts w:asciiTheme="majorHAnsi" w:hAnsiTheme="majorHAnsi" w:cstheme="majorHAnsi"/>
          <w:lang w:bidi="sr-Cyrl-CS"/>
        </w:rPr>
        <w:t>су ревидирани и износе 45,2% у производњи електричне енергије, 3,2 у сектору саобраћаја (без мултипликатора) и 41,4% у грејању.</w:t>
      </w:r>
    </w:p>
    <w:p w14:paraId="5596D341" w14:textId="0DF74D89" w:rsidR="00DC6720" w:rsidRPr="00FF386D" w:rsidRDefault="00DC6720" w:rsidP="00DC6720">
      <w:pPr>
        <w:spacing w:before="120" w:after="120" w:line="276" w:lineRule="auto"/>
        <w:ind w:right="194"/>
        <w:jc w:val="both"/>
        <w:rPr>
          <w:rFonts w:asciiTheme="majorHAnsi" w:hAnsiTheme="majorHAnsi" w:cstheme="majorHAnsi"/>
        </w:rPr>
      </w:pPr>
      <w:r w:rsidRPr="00FF386D">
        <w:rPr>
          <w:rFonts w:asciiTheme="majorHAnsi" w:hAnsiTheme="majorHAnsi" w:cstheme="majorHAnsi"/>
          <w:lang w:bidi="sr-Cyrl-CS"/>
        </w:rPr>
        <w:t xml:space="preserve">Наведени циљеви за </w:t>
      </w:r>
      <w:r w:rsidRPr="00FF386D">
        <w:rPr>
          <w:rFonts w:asciiTheme="majorHAnsi" w:hAnsiTheme="majorHAnsi" w:cstheme="majorHAnsi"/>
          <w:b/>
          <w:lang w:bidi="sr-Cyrl-CS"/>
        </w:rPr>
        <w:t xml:space="preserve">удео ОИЕ су директно повезани са </w:t>
      </w:r>
      <w:r w:rsidR="002C12A9" w:rsidRPr="00FF386D">
        <w:rPr>
          <w:rFonts w:asciiTheme="majorHAnsi" w:hAnsiTheme="majorHAnsi" w:cstheme="majorHAnsi"/>
          <w:b/>
          <w:lang w:bidi="sr-Cyrl-CS"/>
        </w:rPr>
        <w:t>порастом</w:t>
      </w:r>
      <w:r w:rsidRPr="00FF386D">
        <w:rPr>
          <w:rFonts w:asciiTheme="majorHAnsi" w:hAnsiTheme="majorHAnsi" w:cstheme="majorHAnsi"/>
          <w:b/>
          <w:lang w:bidi="sr-Cyrl-CS"/>
        </w:rPr>
        <w:t xml:space="preserve"> финалне потрошње</w:t>
      </w:r>
      <w:r w:rsidR="00EF30AC" w:rsidRPr="00FF386D">
        <w:rPr>
          <w:rFonts w:asciiTheme="majorHAnsi" w:hAnsiTheme="majorHAnsi" w:cstheme="majorHAnsi"/>
          <w:b/>
          <w:lang w:bidi="sr-Cyrl-CS"/>
        </w:rPr>
        <w:t>, што захтева постизање</w:t>
      </w:r>
      <w:r w:rsidRPr="00FF386D">
        <w:rPr>
          <w:rFonts w:asciiTheme="majorHAnsi" w:hAnsiTheme="majorHAnsi" w:cstheme="majorHAnsi"/>
          <w:b/>
          <w:lang w:bidi="sr-Cyrl-CS"/>
        </w:rPr>
        <w:t xml:space="preserve"> </w:t>
      </w:r>
      <w:r w:rsidR="008263D9" w:rsidRPr="00FF386D">
        <w:rPr>
          <w:rFonts w:asciiTheme="majorHAnsi" w:hAnsiTheme="majorHAnsi" w:cstheme="majorHAnsi"/>
          <w:b/>
          <w:lang w:bidi="sr-Cyrl-CS"/>
        </w:rPr>
        <w:t>одговарајућих</w:t>
      </w:r>
      <w:r w:rsidRPr="00FF386D">
        <w:rPr>
          <w:rFonts w:asciiTheme="majorHAnsi" w:hAnsiTheme="majorHAnsi" w:cstheme="majorHAnsi"/>
          <w:b/>
          <w:lang w:bidi="sr-Cyrl-CS"/>
        </w:rPr>
        <w:t xml:space="preserve"> циљева енергетске ефикасности.</w:t>
      </w:r>
      <w:r w:rsidRPr="00FF386D">
        <w:rPr>
          <w:rFonts w:asciiTheme="majorHAnsi" w:hAnsiTheme="majorHAnsi" w:cstheme="majorHAnsi"/>
          <w:lang w:bidi="sr-Cyrl-CS"/>
        </w:rPr>
        <w:t xml:space="preserve"> Очигледно, кључни стуб за испуњавање националног циља за удео ОИЕ је допринос ОИЕ у потрошњи електричне енергије који</w:t>
      </w:r>
      <w:r w:rsidR="00E321AE">
        <w:rPr>
          <w:rFonts w:asciiTheme="majorHAnsi" w:hAnsiTheme="majorHAnsi" w:cstheme="majorHAnsi"/>
          <w:lang w:bidi="sr-Cyrl-CS"/>
        </w:rPr>
        <w:t xml:space="preserve"> посебно</w:t>
      </w:r>
      <w:r w:rsidRPr="00FF386D">
        <w:rPr>
          <w:rFonts w:asciiTheme="majorHAnsi" w:hAnsiTheme="majorHAnsi" w:cstheme="majorHAnsi"/>
          <w:lang w:bidi="sr-Cyrl-CS"/>
        </w:rPr>
        <w:t xml:space="preserve"> </w:t>
      </w:r>
      <w:r w:rsidR="00E321AE">
        <w:rPr>
          <w:rFonts w:asciiTheme="majorHAnsi" w:hAnsiTheme="majorHAnsi" w:cstheme="majorHAnsi"/>
          <w:lang w:bidi="sr-Cyrl-CS"/>
        </w:rPr>
        <w:t xml:space="preserve">захтева </w:t>
      </w:r>
      <w:r w:rsidRPr="00FF386D">
        <w:rPr>
          <w:rFonts w:asciiTheme="majorHAnsi" w:hAnsiTheme="majorHAnsi" w:cstheme="majorHAnsi"/>
          <w:lang w:bidi="sr-Cyrl-CS"/>
        </w:rPr>
        <w:t>благовремено и ефикасно спровођење планираних политика и мера.</w:t>
      </w:r>
    </w:p>
    <w:p w14:paraId="163350BD" w14:textId="08FD85FB" w:rsidR="00DC6720" w:rsidRPr="00FF386D" w:rsidRDefault="00DC6720" w:rsidP="00DC6720">
      <w:pPr>
        <w:spacing w:before="120" w:after="120" w:line="276" w:lineRule="auto"/>
        <w:ind w:right="194"/>
        <w:jc w:val="both"/>
        <w:rPr>
          <w:rFonts w:asciiTheme="majorHAnsi" w:hAnsiTheme="majorHAnsi" w:cstheme="majorHAnsi"/>
        </w:rPr>
      </w:pPr>
      <w:r w:rsidRPr="00FF386D">
        <w:rPr>
          <w:rFonts w:asciiTheme="majorHAnsi" w:hAnsiTheme="majorHAnsi" w:cstheme="majorHAnsi"/>
          <w:lang w:bidi="sr-Cyrl-CS"/>
        </w:rPr>
        <w:t>Упркос чињеници да се циљ може оценити као амбициозан, такође се може сматрати и да је реалан, узимајући у обзир и технички и економски потенцијал и већ исказани интерес предузетника.</w:t>
      </w:r>
    </w:p>
    <w:p w14:paraId="49AD1A42" w14:textId="52090F42" w:rsidR="00DC6720" w:rsidRPr="00FF386D" w:rsidRDefault="00DC6720" w:rsidP="00DC6720">
      <w:pPr>
        <w:spacing w:before="120" w:after="120" w:line="276" w:lineRule="auto"/>
        <w:ind w:right="194"/>
        <w:jc w:val="both"/>
        <w:rPr>
          <w:rFonts w:asciiTheme="majorHAnsi" w:hAnsiTheme="majorHAnsi" w:cstheme="majorHAnsi"/>
        </w:rPr>
      </w:pPr>
      <w:r w:rsidRPr="00FF386D">
        <w:rPr>
          <w:rFonts w:asciiTheme="majorHAnsi" w:hAnsiTheme="majorHAnsi" w:cstheme="majorHAnsi"/>
          <w:lang w:bidi="sr-Cyrl-CS"/>
        </w:rPr>
        <w:t xml:space="preserve">Промовишу се такође </w:t>
      </w:r>
      <w:r w:rsidRPr="00FF386D">
        <w:rPr>
          <w:rFonts w:asciiTheme="majorHAnsi" w:hAnsiTheme="majorHAnsi" w:cstheme="majorHAnsi"/>
          <w:b/>
          <w:lang w:bidi="sr-Cyrl-CS"/>
        </w:rPr>
        <w:t>електрификација и повезивање сектора финалне потрошње</w:t>
      </w:r>
      <w:r w:rsidRPr="00FF386D">
        <w:rPr>
          <w:rFonts w:asciiTheme="majorHAnsi" w:hAnsiTheme="majorHAnsi" w:cstheme="majorHAnsi"/>
          <w:lang w:bidi="sr-Cyrl-CS"/>
        </w:rPr>
        <w:t xml:space="preserve"> како би се повећао удео ОИЕ у финалној потрошњи енергије. Првенствено, </w:t>
      </w:r>
      <w:r w:rsidRPr="00FF386D">
        <w:rPr>
          <w:rFonts w:asciiTheme="majorHAnsi" w:hAnsiTheme="majorHAnsi" w:cstheme="majorHAnsi"/>
          <w:b/>
          <w:lang w:bidi="sr-Cyrl-CS"/>
        </w:rPr>
        <w:t>постепена електрификација сектора саобраћаја</w:t>
      </w:r>
      <w:r w:rsidRPr="00FF386D">
        <w:rPr>
          <w:rFonts w:asciiTheme="majorHAnsi" w:hAnsiTheme="majorHAnsi" w:cstheme="majorHAnsi"/>
          <w:lang w:bidi="sr-Cyrl-CS"/>
        </w:rPr>
        <w:t xml:space="preserve"> представља </w:t>
      </w:r>
      <w:r w:rsidR="00EF30AC" w:rsidRPr="00FF386D">
        <w:rPr>
          <w:rFonts w:asciiTheme="majorHAnsi" w:hAnsiTheme="majorHAnsi" w:cstheme="majorHAnsi"/>
          <w:lang w:bidi="sr-Cyrl-CS"/>
        </w:rPr>
        <w:t>кључни</w:t>
      </w:r>
      <w:r w:rsidRPr="00FF386D">
        <w:rPr>
          <w:rFonts w:asciiTheme="majorHAnsi" w:hAnsiTheme="majorHAnsi" w:cstheme="majorHAnsi"/>
          <w:lang w:bidi="sr-Cyrl-CS"/>
        </w:rPr>
        <w:t xml:space="preserve"> изазов до 2030. године. Тачније, очекује се да ће значајан продор електричних возила умногоме утицати на </w:t>
      </w:r>
      <w:r w:rsidR="00EF30AC" w:rsidRPr="00FF386D">
        <w:rPr>
          <w:rFonts w:asciiTheme="majorHAnsi" w:hAnsiTheme="majorHAnsi" w:cstheme="majorHAnsi"/>
          <w:lang w:bidi="sr-Cyrl-CS"/>
        </w:rPr>
        <w:t>више</w:t>
      </w:r>
      <w:r w:rsidRPr="00FF386D">
        <w:rPr>
          <w:rFonts w:asciiTheme="majorHAnsi" w:hAnsiTheme="majorHAnsi" w:cstheme="majorHAnsi"/>
          <w:lang w:bidi="sr-Cyrl-CS"/>
        </w:rPr>
        <w:t xml:space="preserve"> димензија у </w:t>
      </w:r>
      <w:r w:rsidR="00EF30AC" w:rsidRPr="00FF386D">
        <w:rPr>
          <w:rFonts w:asciiTheme="majorHAnsi" w:hAnsiTheme="majorHAnsi" w:cstheme="majorHAnsi"/>
          <w:lang w:bidi="sr-Cyrl-CS"/>
        </w:rPr>
        <w:t xml:space="preserve">оквиру </w:t>
      </w:r>
      <w:r w:rsidR="008263D9" w:rsidRPr="00FF386D">
        <w:rPr>
          <w:rFonts w:asciiTheme="majorHAnsi" w:hAnsiTheme="majorHAnsi" w:cstheme="majorHAnsi"/>
          <w:lang w:bidi="sr-Cyrl-CS"/>
        </w:rPr>
        <w:t>И</w:t>
      </w:r>
      <w:r w:rsidRPr="00FF386D">
        <w:rPr>
          <w:rFonts w:asciiTheme="majorHAnsi" w:hAnsiTheme="majorHAnsi" w:cstheme="majorHAnsi"/>
          <w:lang w:bidi="sr-Cyrl-CS"/>
        </w:rPr>
        <w:t>НЕКП</w:t>
      </w:r>
      <w:r w:rsidR="008263D9" w:rsidRPr="00FF386D">
        <w:rPr>
          <w:rFonts w:asciiTheme="majorHAnsi" w:hAnsiTheme="majorHAnsi" w:cstheme="majorHAnsi"/>
          <w:lang w:bidi="sr-Cyrl-CS"/>
        </w:rPr>
        <w:t>-</w:t>
      </w:r>
      <w:r w:rsidR="00EF30AC" w:rsidRPr="00FF386D">
        <w:rPr>
          <w:rFonts w:asciiTheme="majorHAnsi" w:hAnsiTheme="majorHAnsi" w:cstheme="majorHAnsi"/>
          <w:lang w:bidi="sr-Cyrl-CS"/>
        </w:rPr>
        <w:t>а</w:t>
      </w:r>
      <w:r w:rsidRPr="00FF386D">
        <w:rPr>
          <w:rFonts w:asciiTheme="majorHAnsi" w:hAnsiTheme="majorHAnsi" w:cstheme="majorHAnsi"/>
          <w:lang w:bidi="sr-Cyrl-CS"/>
        </w:rPr>
        <w:t>. Циљ је да се ов</w:t>
      </w:r>
      <w:r w:rsidR="00967657" w:rsidRPr="00FF386D">
        <w:rPr>
          <w:rFonts w:asciiTheme="majorHAnsi" w:hAnsiTheme="majorHAnsi" w:cstheme="majorHAnsi"/>
          <w:lang w:bidi="sr-Cyrl-CS"/>
        </w:rPr>
        <w:t>о увођење електричних возила</w:t>
      </w:r>
      <w:r w:rsidRPr="00FF386D">
        <w:rPr>
          <w:rFonts w:asciiTheme="majorHAnsi" w:hAnsiTheme="majorHAnsi" w:cstheme="majorHAnsi"/>
          <w:lang w:bidi="sr-Cyrl-CS"/>
        </w:rPr>
        <w:t xml:space="preserve"> постигне </w:t>
      </w:r>
      <w:r w:rsidR="00967657" w:rsidRPr="00FF386D">
        <w:rPr>
          <w:rFonts w:asciiTheme="majorHAnsi" w:hAnsiTheme="majorHAnsi" w:cstheme="majorHAnsi"/>
          <w:lang w:bidi="sr-Cyrl-CS"/>
        </w:rPr>
        <w:t>применом најекономичнијег приступа</w:t>
      </w:r>
      <w:r w:rsidRPr="00FF386D">
        <w:rPr>
          <w:rFonts w:asciiTheme="majorHAnsi" w:hAnsiTheme="majorHAnsi" w:cstheme="majorHAnsi"/>
          <w:lang w:bidi="sr-Cyrl-CS"/>
        </w:rPr>
        <w:t xml:space="preserve"> по националну привреду, при чему ће се обезбедити благовремено испуњење одређених предуслова за електрификацију сектора саобраћаја, као што су истовремени развој инфраструктуре за пуњење </w:t>
      </w:r>
      <w:r w:rsidR="00967657" w:rsidRPr="00FF386D">
        <w:rPr>
          <w:rFonts w:asciiTheme="majorHAnsi" w:hAnsiTheme="majorHAnsi" w:cstheme="majorHAnsi"/>
          <w:lang w:bidi="sr-Cyrl-CS"/>
        </w:rPr>
        <w:t xml:space="preserve">електричних возила </w:t>
      </w:r>
      <w:r w:rsidRPr="00FF386D">
        <w:rPr>
          <w:rFonts w:asciiTheme="majorHAnsi" w:hAnsiTheme="majorHAnsi" w:cstheme="majorHAnsi"/>
          <w:lang w:bidi="sr-Cyrl-CS"/>
        </w:rPr>
        <w:t>и усвајање регулаторног оквира.</w:t>
      </w:r>
    </w:p>
    <w:p w14:paraId="10D52747" w14:textId="7E85D9B4" w:rsidR="00DC6720" w:rsidRPr="00FF386D" w:rsidRDefault="00DC6720" w:rsidP="00DC6720">
      <w:pPr>
        <w:spacing w:before="120" w:after="120" w:line="276" w:lineRule="auto"/>
        <w:ind w:right="194"/>
        <w:jc w:val="both"/>
        <w:rPr>
          <w:rFonts w:asciiTheme="majorHAnsi" w:hAnsiTheme="majorHAnsi" w:cstheme="majorHAnsi"/>
        </w:rPr>
      </w:pPr>
      <w:r w:rsidRPr="00FF386D">
        <w:rPr>
          <w:rFonts w:asciiTheme="majorHAnsi" w:hAnsiTheme="majorHAnsi" w:cstheme="majorHAnsi"/>
          <w:lang w:bidi="sr-Cyrl-CS"/>
        </w:rPr>
        <w:t xml:space="preserve">Поред тога, </w:t>
      </w:r>
      <w:r w:rsidRPr="00FF386D">
        <w:rPr>
          <w:rFonts w:asciiTheme="majorHAnsi" w:hAnsiTheme="majorHAnsi" w:cstheme="majorHAnsi"/>
          <w:b/>
          <w:lang w:bidi="sr-Cyrl-CS"/>
        </w:rPr>
        <w:t>повезивање сектора</w:t>
      </w:r>
      <w:r w:rsidRPr="00FF386D">
        <w:rPr>
          <w:rFonts w:asciiTheme="majorHAnsi" w:hAnsiTheme="majorHAnsi" w:cstheme="majorHAnsi"/>
          <w:lang w:bidi="sr-Cyrl-CS"/>
        </w:rPr>
        <w:t xml:space="preserve"> ће допринети максимизацији </w:t>
      </w:r>
      <w:r w:rsidR="00967657" w:rsidRPr="00FF386D">
        <w:rPr>
          <w:rFonts w:asciiTheme="majorHAnsi" w:hAnsiTheme="majorHAnsi" w:cstheme="majorHAnsi"/>
          <w:lang w:bidi="sr-Cyrl-CS"/>
        </w:rPr>
        <w:t xml:space="preserve">примене </w:t>
      </w:r>
      <w:r w:rsidRPr="00FF386D">
        <w:rPr>
          <w:rFonts w:asciiTheme="majorHAnsi" w:hAnsiTheme="majorHAnsi" w:cstheme="majorHAnsi"/>
          <w:lang w:bidi="sr-Cyrl-CS"/>
        </w:rPr>
        <w:t>ОИЕ у различитим врстама финалне потрошње енергије а, евидентно, електрификација различит</w:t>
      </w:r>
      <w:r w:rsidR="00967657" w:rsidRPr="00FF386D">
        <w:rPr>
          <w:rFonts w:asciiTheme="majorHAnsi" w:hAnsiTheme="majorHAnsi" w:cstheme="majorHAnsi"/>
          <w:lang w:bidi="sr-Cyrl-CS"/>
        </w:rPr>
        <w:t>их врста</w:t>
      </w:r>
      <w:r w:rsidRPr="00FF386D">
        <w:rPr>
          <w:rFonts w:asciiTheme="majorHAnsi" w:hAnsiTheme="majorHAnsi" w:cstheme="majorHAnsi"/>
          <w:lang w:bidi="sr-Cyrl-CS"/>
        </w:rPr>
        <w:t xml:space="preserve"> финалне потрошње је суштинска компонента у постизању овог циља. Улога топлотних пумпи, заједно са системима за </w:t>
      </w:r>
      <w:r w:rsidRPr="00FF386D">
        <w:rPr>
          <w:rFonts w:asciiTheme="majorHAnsi" w:hAnsiTheme="majorHAnsi" w:cstheme="majorHAnsi"/>
          <w:lang w:bidi="sr-Cyrl-CS"/>
        </w:rPr>
        <w:lastRenderedPageBreak/>
        <w:t xml:space="preserve">складиштење енергије и </w:t>
      </w:r>
      <w:r w:rsidR="00967657" w:rsidRPr="00FF386D">
        <w:rPr>
          <w:rFonts w:asciiTheme="majorHAnsi" w:hAnsiTheme="majorHAnsi" w:cstheme="majorHAnsi"/>
          <w:lang w:bidi="sr-Cyrl-CS"/>
        </w:rPr>
        <w:t xml:space="preserve">шемом производње електричне енергије за </w:t>
      </w:r>
      <w:r w:rsidRPr="00FF386D">
        <w:rPr>
          <w:rFonts w:asciiTheme="majorHAnsi" w:hAnsiTheme="majorHAnsi" w:cstheme="majorHAnsi"/>
          <w:lang w:bidi="sr-Cyrl-CS"/>
        </w:rPr>
        <w:t>сопствене пот</w:t>
      </w:r>
      <w:r w:rsidR="00967657" w:rsidRPr="00FF386D">
        <w:rPr>
          <w:rFonts w:asciiTheme="majorHAnsi" w:hAnsiTheme="majorHAnsi" w:cstheme="majorHAnsi"/>
          <w:lang w:bidi="sr-Cyrl-CS"/>
        </w:rPr>
        <w:t>ребе</w:t>
      </w:r>
      <w:r w:rsidRPr="00FF386D">
        <w:rPr>
          <w:rFonts w:asciiTheme="majorHAnsi" w:hAnsiTheme="majorHAnsi" w:cstheme="majorHAnsi"/>
          <w:lang w:bidi="sr-Cyrl-CS"/>
        </w:rPr>
        <w:t xml:space="preserve">, кључна је за постизање повезивања сектора. Слично томе, мешање водоника или биометана </w:t>
      </w:r>
      <w:r w:rsidR="00967657" w:rsidRPr="00FF386D">
        <w:rPr>
          <w:rFonts w:asciiTheme="majorHAnsi" w:hAnsiTheme="majorHAnsi" w:cstheme="majorHAnsi"/>
          <w:lang w:bidi="sr-Cyrl-CS"/>
        </w:rPr>
        <w:t xml:space="preserve">испоруком у постојећу </w:t>
      </w:r>
      <w:r w:rsidRPr="00FF386D">
        <w:rPr>
          <w:rFonts w:asciiTheme="majorHAnsi" w:hAnsiTheme="majorHAnsi" w:cstheme="majorHAnsi"/>
          <w:lang w:bidi="sr-Cyrl-CS"/>
        </w:rPr>
        <w:t>мреж</w:t>
      </w:r>
      <w:r w:rsidR="00967657" w:rsidRPr="00FF386D">
        <w:rPr>
          <w:rFonts w:asciiTheme="majorHAnsi" w:hAnsiTheme="majorHAnsi" w:cstheme="majorHAnsi"/>
          <w:lang w:bidi="sr-Cyrl-CS"/>
        </w:rPr>
        <w:t>у</w:t>
      </w:r>
      <w:r w:rsidRPr="00FF386D">
        <w:rPr>
          <w:rFonts w:asciiTheme="majorHAnsi" w:hAnsiTheme="majorHAnsi" w:cstheme="majorHAnsi"/>
          <w:lang w:bidi="sr-Cyrl-CS"/>
        </w:rPr>
        <w:t xml:space="preserve"> природн</w:t>
      </w:r>
      <w:r w:rsidR="00967657" w:rsidRPr="00FF386D">
        <w:rPr>
          <w:rFonts w:asciiTheme="majorHAnsi" w:hAnsiTheme="majorHAnsi" w:cstheme="majorHAnsi"/>
          <w:lang w:bidi="sr-Cyrl-CS"/>
        </w:rPr>
        <w:t>ог</w:t>
      </w:r>
      <w:r w:rsidRPr="00FF386D">
        <w:rPr>
          <w:rFonts w:asciiTheme="majorHAnsi" w:hAnsiTheme="majorHAnsi" w:cstheme="majorHAnsi"/>
          <w:lang w:bidi="sr-Cyrl-CS"/>
        </w:rPr>
        <w:t xml:space="preserve"> гас</w:t>
      </w:r>
      <w:r w:rsidR="00967657" w:rsidRPr="00FF386D">
        <w:rPr>
          <w:rFonts w:asciiTheme="majorHAnsi" w:hAnsiTheme="majorHAnsi" w:cstheme="majorHAnsi"/>
          <w:lang w:bidi="sr-Cyrl-CS"/>
        </w:rPr>
        <w:t>а</w:t>
      </w:r>
      <w:r w:rsidRPr="00FF386D">
        <w:rPr>
          <w:rFonts w:asciiTheme="majorHAnsi" w:hAnsiTheme="majorHAnsi" w:cstheme="majorHAnsi"/>
          <w:lang w:bidi="sr-Cyrl-CS"/>
        </w:rPr>
        <w:t xml:space="preserve"> ће такође допринети повезивању сектора.</w:t>
      </w:r>
    </w:p>
    <w:p w14:paraId="5C508557" w14:textId="5D74AE0F" w:rsidR="00DC6720" w:rsidRPr="00FF386D" w:rsidRDefault="00DC6720" w:rsidP="00DC6720">
      <w:pPr>
        <w:spacing w:before="120" w:after="120" w:line="276" w:lineRule="auto"/>
        <w:ind w:right="194"/>
        <w:jc w:val="both"/>
        <w:rPr>
          <w:rFonts w:asciiTheme="majorHAnsi" w:hAnsiTheme="majorHAnsi" w:cstheme="majorHAnsi"/>
        </w:rPr>
      </w:pPr>
      <w:r w:rsidRPr="00FF386D">
        <w:rPr>
          <w:rFonts w:asciiTheme="majorHAnsi" w:hAnsiTheme="majorHAnsi" w:cstheme="majorHAnsi"/>
          <w:lang w:bidi="sr-Cyrl-CS"/>
        </w:rPr>
        <w:t xml:space="preserve">Такође је постављен циљ за </w:t>
      </w:r>
      <w:r w:rsidRPr="00FF386D">
        <w:rPr>
          <w:rFonts w:asciiTheme="majorHAnsi" w:hAnsiTheme="majorHAnsi" w:cstheme="majorHAnsi"/>
          <w:b/>
          <w:lang w:bidi="sr-Cyrl-CS"/>
        </w:rPr>
        <w:t xml:space="preserve">промовисање технологија ОИЕ у зградама кроз </w:t>
      </w:r>
      <w:r w:rsidR="00967657" w:rsidRPr="00FF386D">
        <w:rPr>
          <w:rFonts w:asciiTheme="majorHAnsi" w:hAnsiTheme="majorHAnsi" w:cstheme="majorHAnsi"/>
          <w:b/>
          <w:lang w:bidi="sr-Cyrl-CS"/>
        </w:rPr>
        <w:t>шеме производње за сопствене потребе</w:t>
      </w:r>
      <w:r w:rsidRPr="00FF386D">
        <w:rPr>
          <w:rFonts w:asciiTheme="majorHAnsi" w:hAnsiTheme="majorHAnsi" w:cstheme="majorHAnsi"/>
          <w:lang w:bidi="sr-Cyrl-CS"/>
        </w:rPr>
        <w:t xml:space="preserve">. Тачније, очекује се да ће инсталисани капацитет технологија ОИЕ за производњу електричне енергије </w:t>
      </w:r>
      <w:r w:rsidR="00B23425" w:rsidRPr="00FF386D">
        <w:rPr>
          <w:rFonts w:asciiTheme="majorHAnsi" w:hAnsiTheme="majorHAnsi" w:cstheme="majorHAnsi"/>
          <w:lang w:bidi="sr-Cyrl-CS"/>
        </w:rPr>
        <w:t>(углавном кр</w:t>
      </w:r>
      <w:r w:rsidR="00175EB1" w:rsidRPr="000A2AFE">
        <w:rPr>
          <w:rFonts w:asciiTheme="majorHAnsi" w:hAnsiTheme="majorHAnsi" w:cstheme="majorHAnsi"/>
          <w:lang w:bidi="sr-Cyrl-CS"/>
        </w:rPr>
        <w:t>o</w:t>
      </w:r>
      <w:r w:rsidR="00B23425" w:rsidRPr="00FF386D">
        <w:rPr>
          <w:rFonts w:asciiTheme="majorHAnsi" w:hAnsiTheme="majorHAnsi" w:cstheme="majorHAnsi"/>
          <w:lang w:bidi="sr-Cyrl-CS"/>
        </w:rPr>
        <w:t xml:space="preserve">вни фотонапонски системи) </w:t>
      </w:r>
      <w:r w:rsidRPr="00FF386D">
        <w:rPr>
          <w:rFonts w:asciiTheme="majorHAnsi" w:hAnsiTheme="majorHAnsi" w:cstheme="majorHAnsi"/>
          <w:lang w:bidi="sr-Cyrl-CS"/>
        </w:rPr>
        <w:t>достићи 0,5 GW у 2030. години и да ће моћи да покрије приближно 5% потрошње електричне енергије у стамбеном сектору.</w:t>
      </w:r>
    </w:p>
    <w:p w14:paraId="18183D70" w14:textId="045C9B8F" w:rsidR="00DC6720" w:rsidRPr="00FF386D" w:rsidRDefault="00DC6720" w:rsidP="00DC6720">
      <w:pPr>
        <w:spacing w:before="120" w:after="120" w:line="276" w:lineRule="auto"/>
        <w:ind w:right="194"/>
        <w:jc w:val="both"/>
        <w:rPr>
          <w:rFonts w:asciiTheme="majorHAnsi" w:hAnsiTheme="majorHAnsi" w:cstheme="majorHAnsi"/>
        </w:rPr>
      </w:pPr>
      <w:r w:rsidRPr="00FF386D">
        <w:rPr>
          <w:rFonts w:asciiTheme="majorHAnsi" w:hAnsiTheme="majorHAnsi" w:cstheme="majorHAnsi"/>
          <w:lang w:bidi="sr-Cyrl-CS"/>
        </w:rPr>
        <w:t xml:space="preserve">У оквиру </w:t>
      </w:r>
      <w:r w:rsidR="008263D9" w:rsidRPr="00FF386D">
        <w:rPr>
          <w:rFonts w:asciiTheme="majorHAnsi" w:hAnsiTheme="majorHAnsi" w:cstheme="majorHAnsi"/>
          <w:lang w:bidi="sr-Cyrl-CS"/>
        </w:rPr>
        <w:t>И</w:t>
      </w:r>
      <w:r w:rsidRPr="00FF386D">
        <w:rPr>
          <w:rFonts w:asciiTheme="majorHAnsi" w:hAnsiTheme="majorHAnsi" w:cstheme="majorHAnsi"/>
          <w:lang w:bidi="sr-Cyrl-CS"/>
        </w:rPr>
        <w:t>НЕКП</w:t>
      </w:r>
      <w:r w:rsidR="008263D9" w:rsidRPr="00FF386D">
        <w:rPr>
          <w:rFonts w:asciiTheme="majorHAnsi" w:hAnsiTheme="majorHAnsi" w:cstheme="majorHAnsi"/>
          <w:lang w:bidi="sr-Cyrl-CS"/>
        </w:rPr>
        <w:t>-а</w:t>
      </w:r>
      <w:r w:rsidRPr="00FF386D">
        <w:rPr>
          <w:rFonts w:asciiTheme="majorHAnsi" w:hAnsiTheme="majorHAnsi" w:cstheme="majorHAnsi"/>
          <w:lang w:bidi="sr-Cyrl-CS"/>
        </w:rPr>
        <w:t xml:space="preserve">, кроз пилот пројекте, промовисаће се и нове </w:t>
      </w:r>
      <w:r w:rsidRPr="00FF386D">
        <w:rPr>
          <w:rFonts w:asciiTheme="majorHAnsi" w:hAnsiTheme="majorHAnsi" w:cstheme="majorHAnsi"/>
          <w:b/>
          <w:lang w:bidi="sr-Cyrl-CS"/>
        </w:rPr>
        <w:t>иновативне технологије ОИЕ</w:t>
      </w:r>
      <w:r w:rsidRPr="00FF386D">
        <w:rPr>
          <w:rFonts w:asciiTheme="majorHAnsi" w:hAnsiTheme="majorHAnsi" w:cstheme="majorHAnsi"/>
          <w:lang w:bidi="sr-Cyrl-CS"/>
        </w:rPr>
        <w:t xml:space="preserve"> за производњу електричне енергије, као што су: мале ветротурбине</w:t>
      </w:r>
      <w:r w:rsidR="008D494F">
        <w:rPr>
          <w:rFonts w:asciiTheme="majorHAnsi" w:hAnsiTheme="majorHAnsi" w:cstheme="majorHAnsi"/>
          <w:lang w:bidi="sr-Cyrl-CS"/>
        </w:rPr>
        <w:t xml:space="preserve">, коришћење </w:t>
      </w:r>
      <w:r w:rsidR="00116700">
        <w:rPr>
          <w:rFonts w:asciiTheme="majorHAnsi" w:hAnsiTheme="majorHAnsi" w:cstheme="majorHAnsi"/>
          <w:lang w:bidi="sr-Cyrl-CS"/>
        </w:rPr>
        <w:t xml:space="preserve">производње </w:t>
      </w:r>
      <w:r w:rsidR="008D494F">
        <w:rPr>
          <w:rFonts w:asciiTheme="majorHAnsi" w:hAnsiTheme="majorHAnsi" w:cstheme="majorHAnsi"/>
          <w:lang w:bidi="sr-Cyrl-CS"/>
        </w:rPr>
        <w:t>обновљивог водоника</w:t>
      </w:r>
      <w:r w:rsidRPr="00FF386D">
        <w:rPr>
          <w:rFonts w:asciiTheme="majorHAnsi" w:hAnsiTheme="majorHAnsi" w:cstheme="majorHAnsi"/>
          <w:lang w:bidi="sr-Cyrl-CS"/>
        </w:rPr>
        <w:t xml:space="preserve"> </w:t>
      </w:r>
      <w:r w:rsidR="00116700">
        <w:rPr>
          <w:rFonts w:asciiTheme="majorHAnsi" w:hAnsiTheme="majorHAnsi" w:cstheme="majorHAnsi"/>
          <w:lang w:bidi="sr-Cyrl-CS"/>
        </w:rPr>
        <w:t xml:space="preserve">за складиштење електричне енергије из варијабилних ОИЕ </w:t>
      </w:r>
      <w:r w:rsidRPr="00FF386D">
        <w:rPr>
          <w:rFonts w:asciiTheme="majorHAnsi" w:hAnsiTheme="majorHAnsi" w:cstheme="majorHAnsi"/>
          <w:lang w:bidi="sr-Cyrl-CS"/>
        </w:rPr>
        <w:t>итд, како би се проценио њихов учинак.</w:t>
      </w:r>
    </w:p>
    <w:p w14:paraId="74F9BB90" w14:textId="6FC86FF9" w:rsidR="00DC6720" w:rsidRDefault="00DC6720" w:rsidP="00DC6720">
      <w:pPr>
        <w:spacing w:before="120" w:after="120" w:line="276" w:lineRule="auto"/>
        <w:ind w:right="194"/>
        <w:jc w:val="both"/>
        <w:rPr>
          <w:rFonts w:asciiTheme="majorHAnsi" w:hAnsiTheme="majorHAnsi" w:cstheme="majorHAnsi"/>
          <w:lang w:bidi="sr-Cyrl-CS"/>
        </w:rPr>
      </w:pPr>
      <w:r w:rsidRPr="00FF386D">
        <w:rPr>
          <w:rFonts w:asciiTheme="majorHAnsi" w:hAnsiTheme="majorHAnsi" w:cstheme="majorHAnsi"/>
          <w:lang w:bidi="sr-Cyrl-CS"/>
        </w:rPr>
        <w:t xml:space="preserve">Коришћење ОИЕ за покривање потреба за грејањем и хлађењем оствариће се углавном кроз </w:t>
      </w:r>
      <w:r w:rsidRPr="00FF386D">
        <w:rPr>
          <w:rFonts w:asciiTheme="majorHAnsi" w:hAnsiTheme="majorHAnsi" w:cstheme="majorHAnsi"/>
          <w:b/>
          <w:lang w:bidi="sr-Cyrl-CS"/>
        </w:rPr>
        <w:t xml:space="preserve">инсталацију топлотних пумпи великог обима </w:t>
      </w:r>
      <w:r w:rsidRPr="00FF386D">
        <w:rPr>
          <w:rFonts w:asciiTheme="majorHAnsi" w:hAnsiTheme="majorHAnsi" w:cstheme="majorHAnsi"/>
          <w:lang w:bidi="sr-Cyrl-CS"/>
        </w:rPr>
        <w:t>(</w:t>
      </w:r>
      <w:r w:rsidR="00B23425" w:rsidRPr="00FF386D">
        <w:rPr>
          <w:rFonts w:asciiTheme="majorHAnsi" w:hAnsiTheme="majorHAnsi" w:cstheme="majorHAnsi"/>
          <w:lang w:bidi="sr-Cyrl-CS"/>
        </w:rPr>
        <w:t>приближно 7</w:t>
      </w:r>
      <w:r w:rsidRPr="00FF386D">
        <w:rPr>
          <w:rFonts w:asciiTheme="majorHAnsi" w:hAnsiTheme="majorHAnsi" w:cstheme="majorHAnsi"/>
          <w:lang w:bidi="sr-Cyrl-CS"/>
        </w:rPr>
        <w:t xml:space="preserve"> GW</w:t>
      </w:r>
      <w:r w:rsidR="00116700" w:rsidRPr="00116700">
        <w:rPr>
          <w:rFonts w:asciiTheme="majorHAnsi" w:hAnsiTheme="majorHAnsi" w:cstheme="majorHAnsi"/>
          <w:lang w:bidi="sr-Cyrl-CS"/>
        </w:rPr>
        <w:t>th</w:t>
      </w:r>
      <w:r w:rsidRPr="00FF386D">
        <w:rPr>
          <w:rFonts w:asciiTheme="majorHAnsi" w:hAnsiTheme="majorHAnsi" w:cstheme="majorHAnsi"/>
          <w:lang w:bidi="sr-Cyrl-CS"/>
        </w:rPr>
        <w:t>), док је улога соларних термалних система, геотермалне енергије и биомасе такође битна.</w:t>
      </w:r>
    </w:p>
    <w:p w14:paraId="229BD46B" w14:textId="63662EEC" w:rsidR="00E321AE" w:rsidRPr="004E5584" w:rsidRDefault="00E321AE" w:rsidP="00DC6720">
      <w:pPr>
        <w:spacing w:before="120" w:after="120" w:line="276" w:lineRule="auto"/>
        <w:ind w:right="194"/>
        <w:jc w:val="both"/>
        <w:rPr>
          <w:rFonts w:asciiTheme="majorHAnsi" w:hAnsiTheme="majorHAnsi" w:cstheme="majorHAnsi"/>
        </w:rPr>
      </w:pPr>
      <w:r>
        <w:rPr>
          <w:rFonts w:asciiTheme="majorHAnsi" w:hAnsiTheme="majorHAnsi" w:cstheme="majorHAnsi"/>
          <w:lang w:bidi="sr-Cyrl-CS"/>
        </w:rPr>
        <w:t xml:space="preserve">Предложени циљ на основу члана </w:t>
      </w:r>
      <w:r w:rsidR="008773BB" w:rsidRPr="00C312D6">
        <w:rPr>
          <w:rFonts w:asciiTheme="majorHAnsi" w:hAnsiTheme="majorHAnsi" w:cstheme="majorHAnsi"/>
          <w:lang w:bidi="sr-Cyrl-CS"/>
        </w:rPr>
        <w:t>2</w:t>
      </w:r>
      <w:r>
        <w:rPr>
          <w:rFonts w:asciiTheme="majorHAnsi" w:hAnsiTheme="majorHAnsi" w:cstheme="majorHAnsi"/>
          <w:lang w:bidi="sr-Cyrl-CS"/>
        </w:rPr>
        <w:t xml:space="preserve">. Одлуке број </w:t>
      </w:r>
      <w:r w:rsidRPr="000A2AFE">
        <w:rPr>
          <w:rFonts w:asciiTheme="majorHAnsi" w:hAnsiTheme="majorHAnsi" w:cstheme="majorHAnsi"/>
          <w:i/>
          <w:iCs/>
          <w:lang w:bidi="sr-Cyrl-CS"/>
        </w:rPr>
        <w:t>202</w:t>
      </w:r>
      <w:r w:rsidR="008773BB" w:rsidRPr="00C312D6">
        <w:rPr>
          <w:rFonts w:asciiTheme="majorHAnsi" w:hAnsiTheme="majorHAnsi" w:cstheme="majorHAnsi"/>
          <w:i/>
          <w:iCs/>
          <w:lang w:bidi="sr-Cyrl-CS"/>
        </w:rPr>
        <w:t>2</w:t>
      </w:r>
      <w:r w:rsidRPr="000A2AFE">
        <w:rPr>
          <w:rFonts w:asciiTheme="majorHAnsi" w:hAnsiTheme="majorHAnsi" w:cstheme="majorHAnsi"/>
          <w:i/>
          <w:iCs/>
          <w:lang w:bidi="sr-Cyrl-CS"/>
        </w:rPr>
        <w:t>/</w:t>
      </w:r>
      <w:r w:rsidR="00673593">
        <w:rPr>
          <w:rFonts w:asciiTheme="majorHAnsi" w:hAnsiTheme="majorHAnsi" w:cstheme="majorHAnsi"/>
          <w:i/>
          <w:iCs/>
          <w:lang w:val="en-US" w:bidi="sr-Cyrl-CS"/>
        </w:rPr>
        <w:t>02</w:t>
      </w:r>
      <w:r w:rsidRPr="000A2AFE">
        <w:rPr>
          <w:rFonts w:asciiTheme="majorHAnsi" w:hAnsiTheme="majorHAnsi" w:cstheme="majorHAnsi"/>
          <w:i/>
          <w:iCs/>
          <w:lang w:bidi="sr-Cyrl-CS"/>
        </w:rPr>
        <w:t>/</w:t>
      </w:r>
      <w:r w:rsidRPr="000A2AFE">
        <w:rPr>
          <w:rFonts w:asciiTheme="majorHAnsi" w:hAnsiTheme="majorHAnsi" w:cstheme="majorHAnsi"/>
          <w:i/>
          <w:iCs/>
          <w:lang w:val="en-US" w:bidi="sr-Cyrl-CS"/>
        </w:rPr>
        <w:t>MC</w:t>
      </w:r>
      <w:r w:rsidRPr="00C312D6">
        <w:rPr>
          <w:rFonts w:asciiTheme="majorHAnsi" w:hAnsiTheme="majorHAnsi" w:cstheme="majorHAnsi"/>
          <w:i/>
          <w:iCs/>
          <w:lang w:bidi="sr-Cyrl-CS"/>
        </w:rPr>
        <w:t>-</w:t>
      </w:r>
      <w:r w:rsidRPr="000A2AFE">
        <w:rPr>
          <w:rFonts w:asciiTheme="majorHAnsi" w:hAnsiTheme="majorHAnsi" w:cstheme="majorHAnsi"/>
          <w:i/>
          <w:iCs/>
          <w:lang w:val="en-US" w:bidi="sr-Cyrl-CS"/>
        </w:rPr>
        <w:t>EnC</w:t>
      </w:r>
      <w:r w:rsidRPr="00C312D6">
        <w:rPr>
          <w:rFonts w:asciiTheme="majorHAnsi" w:hAnsiTheme="majorHAnsi" w:cstheme="majorHAnsi"/>
          <w:lang w:bidi="sr-Cyrl-CS"/>
        </w:rPr>
        <w:t xml:space="preserve"> </w:t>
      </w:r>
      <w:r>
        <w:rPr>
          <w:rFonts w:asciiTheme="majorHAnsi" w:hAnsiTheme="majorHAnsi" w:cstheme="majorHAnsi"/>
          <w:lang w:bidi="sr-Cyrl-CS"/>
        </w:rPr>
        <w:t xml:space="preserve">за повећање нивоа коришћења ОИЕ у грејању и хлађењу за 1,1% у 2030. години није реалистичан и достижан, с обзиром на то да </w:t>
      </w:r>
      <w:r w:rsidR="004E5584">
        <w:rPr>
          <w:rFonts w:asciiTheme="majorHAnsi" w:hAnsiTheme="majorHAnsi" w:cstheme="majorHAnsi"/>
          <w:lang w:bidi="sr-Cyrl-CS"/>
        </w:rPr>
        <w:t>се може остварити углавном масовном употребом топлотних пумпи. Међутим, постојећи потенцијал биомасе је готово искоришћен док за друге преостале технологије ОИЕ не постоје значајни изгледи за додатну примену.</w:t>
      </w:r>
    </w:p>
    <w:p w14:paraId="2B9D8743" w14:textId="62230FBD" w:rsidR="00DC6720" w:rsidRDefault="00736DC1" w:rsidP="00DC6720">
      <w:pPr>
        <w:spacing w:before="120" w:after="120" w:line="276" w:lineRule="auto"/>
        <w:ind w:right="194"/>
        <w:jc w:val="both"/>
        <w:rPr>
          <w:rFonts w:asciiTheme="majorHAnsi" w:hAnsiTheme="majorHAnsi" w:cstheme="majorHAnsi"/>
          <w:lang w:val="en-GB" w:bidi="sr-Cyrl-CS"/>
        </w:rPr>
      </w:pPr>
      <w:r w:rsidRPr="00FF386D">
        <w:rPr>
          <w:rFonts w:asciiTheme="majorHAnsi" w:hAnsiTheme="majorHAnsi" w:cstheme="majorHAnsi"/>
          <w:lang w:bidi="sr-Cyrl-CS"/>
        </w:rPr>
        <w:t>Поред тога</w:t>
      </w:r>
      <w:r w:rsidR="00DC6720" w:rsidRPr="00FF386D">
        <w:rPr>
          <w:rFonts w:asciiTheme="majorHAnsi" w:hAnsiTheme="majorHAnsi" w:cstheme="majorHAnsi"/>
          <w:lang w:bidi="sr-Cyrl-CS"/>
        </w:rPr>
        <w:t xml:space="preserve">, </w:t>
      </w:r>
      <w:r w:rsidR="00DC6720" w:rsidRPr="00FF386D">
        <w:rPr>
          <w:rFonts w:asciiTheme="majorHAnsi" w:hAnsiTheme="majorHAnsi" w:cstheme="majorHAnsi"/>
          <w:b/>
          <w:lang w:bidi="sr-Cyrl-CS"/>
        </w:rPr>
        <w:t>даље коришћење ОИЕ у мрежама даљинског грејања</w:t>
      </w:r>
      <w:r w:rsidR="00DC6720" w:rsidRPr="00FF386D">
        <w:rPr>
          <w:rFonts w:asciiTheme="majorHAnsi" w:hAnsiTheme="majorHAnsi" w:cstheme="majorHAnsi"/>
          <w:lang w:bidi="sr-Cyrl-CS"/>
        </w:rPr>
        <w:t xml:space="preserve"> ће се постићи углавном путем биомасе (</w:t>
      </w:r>
      <w:r w:rsidR="00B23425" w:rsidRPr="00FF386D">
        <w:rPr>
          <w:rFonts w:asciiTheme="majorHAnsi" w:hAnsiTheme="majorHAnsi" w:cstheme="majorHAnsi"/>
          <w:lang w:bidi="sr-Cyrl-CS"/>
        </w:rPr>
        <w:t xml:space="preserve">2,7 </w:t>
      </w:r>
      <w:r w:rsidR="00DC6720" w:rsidRPr="00FF386D">
        <w:rPr>
          <w:rFonts w:asciiTheme="majorHAnsi" w:hAnsiTheme="majorHAnsi" w:cstheme="majorHAnsi"/>
          <w:lang w:bidi="sr-Cyrl-CS"/>
        </w:rPr>
        <w:t>ktoe), а предвиђена је и постепена експлоатација других ОИЕ, као што су биометан, водоник и геотермална енергија.</w:t>
      </w:r>
      <w:r w:rsidR="004F7831">
        <w:rPr>
          <w:rFonts w:asciiTheme="majorHAnsi" w:hAnsiTheme="majorHAnsi" w:cstheme="majorHAnsi"/>
          <w:lang w:bidi="sr-Cyrl-CS"/>
        </w:rPr>
        <w:t xml:space="preserve"> У складу са Законом о енергетици и Правилником о ближем садржају и смерницама за одређивање националних циљева у Интегрисаном националном енергетском и климатском плану</w:t>
      </w:r>
      <w:r w:rsidR="004F7831" w:rsidRPr="004F7831">
        <w:rPr>
          <w:rFonts w:asciiTheme="majorHAnsi" w:hAnsiTheme="majorHAnsi" w:cstheme="majorHAnsi"/>
          <w:lang w:val="en-GB" w:bidi="sr-Cyrl-CS"/>
        </w:rPr>
        <w:t xml:space="preserve">, </w:t>
      </w:r>
      <w:r w:rsidR="00B329C9">
        <w:rPr>
          <w:rFonts w:asciiTheme="majorHAnsi" w:hAnsiTheme="majorHAnsi" w:cstheme="majorHAnsi"/>
          <w:lang w:bidi="sr-Cyrl-CS"/>
        </w:rPr>
        <w:t>начину његове израде и извештавању о његовој реализацији, постоји обавеза ажурирања ИНЕКП на сваке 4 године. У поступку ажурирања ИНЕКП, циљеви за ОИЕ у грејању и хлађењу ће бити анализиран</w:t>
      </w:r>
      <w:r w:rsidR="00BA45DF">
        <w:rPr>
          <w:rFonts w:asciiTheme="majorHAnsi" w:hAnsiTheme="majorHAnsi" w:cstheme="majorHAnsi"/>
          <w:lang w:bidi="sr-Cyrl-CS"/>
        </w:rPr>
        <w:t>и</w:t>
      </w:r>
      <w:r w:rsidR="00B329C9">
        <w:rPr>
          <w:rFonts w:asciiTheme="majorHAnsi" w:hAnsiTheme="majorHAnsi" w:cstheme="majorHAnsi"/>
          <w:lang w:bidi="sr-Cyrl-CS"/>
        </w:rPr>
        <w:t xml:space="preserve"> у сврху укључивања биометана и других ОИЕ у грејање и хлађење.</w:t>
      </w:r>
    </w:p>
    <w:p w14:paraId="652526B0" w14:textId="761FB719" w:rsidR="004F7831" w:rsidRPr="00565B02" w:rsidRDefault="00A76E35" w:rsidP="004F7831">
      <w:pPr>
        <w:spacing w:before="120" w:after="120" w:line="276" w:lineRule="auto"/>
        <w:ind w:right="194"/>
        <w:jc w:val="both"/>
        <w:rPr>
          <w:rFonts w:asciiTheme="majorHAnsi" w:hAnsiTheme="majorHAnsi" w:cstheme="majorHAnsi"/>
          <w:lang w:val="sr-Latn-RS" w:bidi="sr-Cyrl-CS"/>
        </w:rPr>
      </w:pPr>
      <w:r>
        <w:rPr>
          <w:rFonts w:asciiTheme="majorHAnsi" w:hAnsiTheme="majorHAnsi" w:cstheme="majorHAnsi"/>
          <w:lang w:bidi="sr-Cyrl-CS"/>
        </w:rPr>
        <w:t xml:space="preserve">Потребно је </w:t>
      </w:r>
      <w:r w:rsidR="00A86139">
        <w:rPr>
          <w:rFonts w:asciiTheme="majorHAnsi" w:hAnsiTheme="majorHAnsi" w:cstheme="majorHAnsi"/>
          <w:lang w:bidi="sr-Cyrl-CS"/>
        </w:rPr>
        <w:t xml:space="preserve">спровести детаљнију </w:t>
      </w:r>
      <w:r w:rsidR="00BA45DF">
        <w:rPr>
          <w:rFonts w:asciiTheme="majorHAnsi" w:hAnsiTheme="majorHAnsi" w:cstheme="majorHAnsi"/>
          <w:lang w:bidi="sr-Cyrl-CS"/>
        </w:rPr>
        <w:t xml:space="preserve">анализу </w:t>
      </w:r>
      <w:r w:rsidR="00A86139">
        <w:rPr>
          <w:rFonts w:asciiTheme="majorHAnsi" w:hAnsiTheme="majorHAnsi" w:cstheme="majorHAnsi"/>
          <w:lang w:bidi="sr-Cyrl-CS"/>
        </w:rPr>
        <w:t>у вези са потенцијалом одрживе биомасе и биогаса како би се сагледао потенцијал повећања удела биомасе на дугорочном нивоу. У овом тренутку биомаса се користи</w:t>
      </w:r>
      <w:r w:rsidR="002C117F">
        <w:rPr>
          <w:rFonts w:asciiTheme="majorHAnsi" w:hAnsiTheme="majorHAnsi" w:cstheme="majorHAnsi"/>
          <w:lang w:bidi="sr-Cyrl-CS"/>
        </w:rPr>
        <w:t xml:space="preserve"> углавном</w:t>
      </w:r>
      <w:r w:rsidR="00A86139">
        <w:rPr>
          <w:rFonts w:asciiTheme="majorHAnsi" w:hAnsiTheme="majorHAnsi" w:cstheme="majorHAnsi"/>
          <w:lang w:bidi="sr-Cyrl-CS"/>
        </w:rPr>
        <w:t xml:space="preserve"> у уређајима ниске </w:t>
      </w:r>
      <w:r w:rsidR="00BA45DF">
        <w:rPr>
          <w:rFonts w:asciiTheme="majorHAnsi" w:hAnsiTheme="majorHAnsi" w:cstheme="majorHAnsi"/>
          <w:lang w:bidi="sr-Cyrl-CS"/>
        </w:rPr>
        <w:t>енергетске ефикасности (шпорети на дрва), па се велике количине биомасе користе за покривање потражње за грејањем, што доводи до нереалистично виског удела у прорачунима ОИЕ.</w:t>
      </w:r>
    </w:p>
    <w:p w14:paraId="5D4A1EDA" w14:textId="39C03A6F" w:rsidR="004F7831" w:rsidRPr="004F7831" w:rsidRDefault="000B07DE" w:rsidP="004F7831">
      <w:pPr>
        <w:spacing w:before="120" w:after="120" w:line="276" w:lineRule="auto"/>
        <w:ind w:right="194"/>
        <w:jc w:val="both"/>
        <w:rPr>
          <w:rFonts w:asciiTheme="majorHAnsi" w:hAnsiTheme="majorHAnsi" w:cstheme="majorHAnsi"/>
          <w:lang w:val="en-GB" w:bidi="sr-Cyrl-CS"/>
        </w:rPr>
      </w:pPr>
      <w:r>
        <w:rPr>
          <w:rFonts w:asciiTheme="majorHAnsi" w:hAnsiTheme="majorHAnsi" w:cstheme="majorHAnsi"/>
          <w:lang w:bidi="sr-Cyrl-CS"/>
        </w:rPr>
        <w:t>Поред тога, нове технологије ће бити разматране за период до 2050. године (на пример централизоване топлотне пумпе) које су у овом тренутку веома скупе и нису уведене као решење.</w:t>
      </w:r>
    </w:p>
    <w:p w14:paraId="555AEA3C" w14:textId="4EF9B496" w:rsidR="00DC6720" w:rsidRPr="00FF386D" w:rsidRDefault="00736DC1" w:rsidP="00DC6720">
      <w:pPr>
        <w:spacing w:before="120" w:after="120" w:line="276" w:lineRule="auto"/>
        <w:ind w:right="194"/>
        <w:jc w:val="both"/>
        <w:rPr>
          <w:rFonts w:asciiTheme="majorHAnsi" w:hAnsiTheme="majorHAnsi" w:cstheme="majorHAnsi"/>
        </w:rPr>
      </w:pPr>
      <w:r w:rsidRPr="00FF386D">
        <w:rPr>
          <w:rFonts w:asciiTheme="majorHAnsi" w:hAnsiTheme="majorHAnsi" w:cstheme="majorHAnsi"/>
          <w:lang w:bidi="sr-Cyrl-CS"/>
        </w:rPr>
        <w:t>Коначно</w:t>
      </w:r>
      <w:r w:rsidR="00DC6720" w:rsidRPr="00FF386D">
        <w:rPr>
          <w:rFonts w:asciiTheme="majorHAnsi" w:hAnsiTheme="majorHAnsi" w:cstheme="majorHAnsi"/>
          <w:lang w:bidi="sr-Cyrl-CS"/>
        </w:rPr>
        <w:t xml:space="preserve">, очекује се да ће </w:t>
      </w:r>
      <w:r w:rsidR="00DC6720" w:rsidRPr="00FF386D">
        <w:rPr>
          <w:rFonts w:asciiTheme="majorHAnsi" w:hAnsiTheme="majorHAnsi" w:cstheme="majorHAnsi"/>
          <w:b/>
          <w:lang w:bidi="sr-Cyrl-CS"/>
        </w:rPr>
        <w:t>допринос електричних возила</w:t>
      </w:r>
      <w:r w:rsidR="00DC6720" w:rsidRPr="00FF386D">
        <w:rPr>
          <w:rFonts w:asciiTheme="majorHAnsi" w:hAnsiTheme="majorHAnsi" w:cstheme="majorHAnsi"/>
          <w:lang w:bidi="sr-Cyrl-CS"/>
        </w:rPr>
        <w:t xml:space="preserve"> бити значајан за даље промовисање ОИЕ. Требало би напоменути да ће до 2030. године бити регистровано приближно </w:t>
      </w:r>
      <w:r w:rsidR="00116700" w:rsidRPr="00FF386D">
        <w:rPr>
          <w:rFonts w:asciiTheme="majorHAnsi" w:hAnsiTheme="majorHAnsi" w:cstheme="majorHAnsi"/>
          <w:lang w:bidi="sr-Cyrl-CS"/>
        </w:rPr>
        <w:t>4</w:t>
      </w:r>
      <w:r w:rsidR="00116700">
        <w:rPr>
          <w:rFonts w:asciiTheme="majorHAnsi" w:hAnsiTheme="majorHAnsi" w:cstheme="majorHAnsi"/>
          <w:lang w:bidi="sr-Cyrl-CS"/>
        </w:rPr>
        <w:t>4</w:t>
      </w:r>
      <w:r w:rsidR="004E5584">
        <w:rPr>
          <w:rFonts w:asciiTheme="majorHAnsi" w:hAnsiTheme="majorHAnsi" w:cstheme="majorHAnsi"/>
          <w:lang w:bidi="sr-Cyrl-CS"/>
        </w:rPr>
        <w:t>,8</w:t>
      </w:r>
      <w:r w:rsidR="00116700" w:rsidRPr="00FF386D">
        <w:rPr>
          <w:rFonts w:asciiTheme="majorHAnsi" w:hAnsiTheme="majorHAnsi" w:cstheme="majorHAnsi"/>
          <w:lang w:bidi="sr-Cyrl-CS"/>
        </w:rPr>
        <w:t xml:space="preserve"> </w:t>
      </w:r>
      <w:r w:rsidR="00DC6720" w:rsidRPr="00FF386D">
        <w:rPr>
          <w:rFonts w:asciiTheme="majorHAnsi" w:hAnsiTheme="majorHAnsi" w:cstheme="majorHAnsi"/>
          <w:lang w:bidi="sr-Cyrl-CS"/>
        </w:rPr>
        <w:t>хиљад</w:t>
      </w:r>
      <w:r w:rsidR="004E5584">
        <w:rPr>
          <w:rFonts w:asciiTheme="majorHAnsi" w:hAnsiTheme="majorHAnsi" w:cstheme="majorHAnsi"/>
          <w:lang w:bidi="sr-Cyrl-CS"/>
        </w:rPr>
        <w:t>а</w:t>
      </w:r>
      <w:r w:rsidR="00DC6720" w:rsidRPr="00FF386D">
        <w:rPr>
          <w:rFonts w:asciiTheme="majorHAnsi" w:hAnsiTheme="majorHAnsi" w:cstheme="majorHAnsi"/>
          <w:lang w:bidi="sr-Cyrl-CS"/>
        </w:rPr>
        <w:t xml:space="preserve"> електричних возила (путничких и лаких комерцијалних</w:t>
      </w:r>
      <w:r w:rsidRPr="00FF386D">
        <w:rPr>
          <w:rFonts w:asciiTheme="majorHAnsi" w:hAnsiTheme="majorHAnsi" w:cstheme="majorHAnsi"/>
          <w:lang w:bidi="sr-Cyrl-CS"/>
        </w:rPr>
        <w:t xml:space="preserve"> возила</w:t>
      </w:r>
      <w:r w:rsidR="00DC6720" w:rsidRPr="00FF386D">
        <w:rPr>
          <w:rFonts w:asciiTheme="majorHAnsi" w:hAnsiTheme="majorHAnsi" w:cstheme="majorHAnsi"/>
          <w:lang w:bidi="sr-Cyrl-CS"/>
        </w:rPr>
        <w:t>). На крају, али не и најмање важно, допринос биогорива ће остати доминантан, са посебним повећањем удела напредних биогорива до 2030. године (</w:t>
      </w:r>
      <w:r w:rsidR="00B23425" w:rsidRPr="00FF386D">
        <w:rPr>
          <w:rFonts w:asciiTheme="majorHAnsi" w:hAnsiTheme="majorHAnsi" w:cstheme="majorHAnsi"/>
          <w:lang w:bidi="sr-Cyrl-CS"/>
        </w:rPr>
        <w:t>4</w:t>
      </w:r>
      <w:r w:rsidR="00DC6720" w:rsidRPr="00FF386D">
        <w:rPr>
          <w:rFonts w:asciiTheme="majorHAnsi" w:hAnsiTheme="majorHAnsi" w:cstheme="majorHAnsi"/>
          <w:lang w:bidi="sr-Cyrl-CS"/>
        </w:rPr>
        <w:t>9 ktoe</w:t>
      </w:r>
      <w:r w:rsidR="00B23425" w:rsidRPr="00FF386D">
        <w:rPr>
          <w:rFonts w:asciiTheme="majorHAnsi" w:hAnsiTheme="majorHAnsi" w:cstheme="majorHAnsi"/>
          <w:lang w:bidi="sr-Cyrl-CS"/>
        </w:rPr>
        <w:t xml:space="preserve"> без предвиђених мултипликатора</w:t>
      </w:r>
      <w:r w:rsidR="00DC6720" w:rsidRPr="00FF386D">
        <w:rPr>
          <w:rFonts w:asciiTheme="majorHAnsi" w:hAnsiTheme="majorHAnsi" w:cstheme="majorHAnsi"/>
          <w:lang w:bidi="sr-Cyrl-CS"/>
        </w:rPr>
        <w:t>).</w:t>
      </w:r>
    </w:p>
    <w:bookmarkEnd w:id="76"/>
    <w:p w14:paraId="53AE9164" w14:textId="77777777" w:rsidR="00DC6720" w:rsidRPr="00FF386D" w:rsidRDefault="00DC6720" w:rsidP="00AD2CDA">
      <w:pPr>
        <w:spacing w:before="120" w:after="120" w:line="276" w:lineRule="auto"/>
        <w:ind w:right="194"/>
        <w:jc w:val="both"/>
        <w:rPr>
          <w:rFonts w:asciiTheme="majorHAnsi" w:hAnsiTheme="majorHAnsi" w:cstheme="majorHAnsi"/>
        </w:rPr>
      </w:pPr>
    </w:p>
    <w:p w14:paraId="3B04EF1C" w14:textId="11D1A402" w:rsidR="00653D73" w:rsidRPr="00565B02" w:rsidRDefault="00FD4322" w:rsidP="00653D73">
      <w:pPr>
        <w:pStyle w:val="Heading2"/>
        <w:rPr>
          <w:lang w:val="sr-Cyrl-RS"/>
        </w:rPr>
      </w:pPr>
      <w:bookmarkStart w:id="79" w:name="_bookmark38"/>
      <w:bookmarkStart w:id="80" w:name="_bookmark39"/>
      <w:bookmarkStart w:id="81" w:name="_Toc137457018"/>
      <w:bookmarkStart w:id="82" w:name="_Toc153901535"/>
      <w:bookmarkEnd w:id="79"/>
      <w:bookmarkEnd w:id="80"/>
      <w:r w:rsidRPr="00565B02">
        <w:rPr>
          <w:lang w:val="sr-Cyrl-RS"/>
        </w:rPr>
        <w:lastRenderedPageBreak/>
        <w:t>Унапређење енергетске ефикасности</w:t>
      </w:r>
      <w:bookmarkEnd w:id="81"/>
      <w:bookmarkEnd w:id="82"/>
    </w:p>
    <w:p w14:paraId="7A5A002C" w14:textId="014503E7" w:rsidR="00DC6720" w:rsidRDefault="003D0882" w:rsidP="00DC6720">
      <w:pPr>
        <w:spacing w:after="120" w:line="240" w:lineRule="atLeast"/>
        <w:jc w:val="both"/>
        <w:rPr>
          <w:rFonts w:asciiTheme="majorHAnsi" w:eastAsia="Times New Roman" w:hAnsiTheme="majorHAnsi" w:cstheme="majorHAnsi"/>
          <w:szCs w:val="20"/>
          <w:lang w:bidi="sr-Cyrl-CS"/>
        </w:rPr>
      </w:pPr>
      <w:bookmarkStart w:id="83" w:name="_bookmark40"/>
      <w:bookmarkStart w:id="84" w:name="_bookmark41"/>
      <w:bookmarkEnd w:id="83"/>
      <w:bookmarkEnd w:id="84"/>
      <w:r w:rsidRPr="00FF386D">
        <w:rPr>
          <w:rFonts w:asciiTheme="majorHAnsi" w:eastAsia="Times New Roman" w:hAnsiTheme="majorHAnsi" w:cstheme="majorHAnsi"/>
          <w:szCs w:val="20"/>
          <w:lang w:bidi="sr-Cyrl-CS"/>
        </w:rPr>
        <w:t>Један од ц</w:t>
      </w:r>
      <w:r w:rsidR="00DC6720" w:rsidRPr="00FF386D">
        <w:rPr>
          <w:rFonts w:asciiTheme="majorHAnsi" w:eastAsia="Times New Roman" w:hAnsiTheme="majorHAnsi" w:cstheme="majorHAnsi"/>
          <w:szCs w:val="20"/>
          <w:lang w:bidi="sr-Cyrl-CS"/>
        </w:rPr>
        <w:t>иљ</w:t>
      </w:r>
      <w:r w:rsidRPr="00FF386D">
        <w:rPr>
          <w:rFonts w:asciiTheme="majorHAnsi" w:eastAsia="Times New Roman" w:hAnsiTheme="majorHAnsi" w:cstheme="majorHAnsi"/>
          <w:szCs w:val="20"/>
          <w:lang w:bidi="sr-Cyrl-CS"/>
        </w:rPr>
        <w:t>ева</w:t>
      </w:r>
      <w:r w:rsidR="00DC6720" w:rsidRPr="00FF386D">
        <w:rPr>
          <w:rFonts w:asciiTheme="majorHAnsi" w:eastAsia="Times New Roman" w:hAnsiTheme="majorHAnsi" w:cstheme="majorHAnsi"/>
          <w:szCs w:val="20"/>
          <w:lang w:bidi="sr-Cyrl-CS"/>
        </w:rPr>
        <w:t xml:space="preserve"> од изузетног значаја у оквиру </w:t>
      </w:r>
      <w:r w:rsidR="00B23425" w:rsidRPr="00FF386D">
        <w:rPr>
          <w:rFonts w:asciiTheme="majorHAnsi" w:eastAsia="Times New Roman" w:hAnsiTheme="majorHAnsi" w:cstheme="majorHAnsi"/>
          <w:szCs w:val="20"/>
          <w:lang w:bidi="sr-Cyrl-CS"/>
        </w:rPr>
        <w:t>И</w:t>
      </w:r>
      <w:r w:rsidR="00DC6720" w:rsidRPr="00FF386D">
        <w:rPr>
          <w:rFonts w:asciiTheme="majorHAnsi" w:eastAsia="Times New Roman" w:hAnsiTheme="majorHAnsi" w:cstheme="majorHAnsi"/>
          <w:szCs w:val="20"/>
          <w:lang w:bidi="sr-Cyrl-CS"/>
        </w:rPr>
        <w:t>НЕКП</w:t>
      </w:r>
      <w:r w:rsidR="008263D9" w:rsidRPr="00FF386D">
        <w:rPr>
          <w:rFonts w:asciiTheme="majorHAnsi" w:eastAsia="Times New Roman" w:hAnsiTheme="majorHAnsi" w:cstheme="majorHAnsi"/>
          <w:szCs w:val="20"/>
          <w:lang w:bidi="sr-Cyrl-CS"/>
        </w:rPr>
        <w:t>-а</w:t>
      </w:r>
      <w:r w:rsidR="00DC6720" w:rsidRPr="00FF386D">
        <w:rPr>
          <w:rFonts w:asciiTheme="majorHAnsi" w:eastAsia="Times New Roman" w:hAnsiTheme="majorHAnsi" w:cstheme="majorHAnsi"/>
          <w:szCs w:val="20"/>
          <w:lang w:bidi="sr-Cyrl-CS"/>
        </w:rPr>
        <w:t xml:space="preserve"> </w:t>
      </w:r>
      <w:r w:rsidR="00DC6720" w:rsidRPr="00FF386D">
        <w:rPr>
          <w:rFonts w:asciiTheme="majorHAnsi" w:eastAsia="Times New Roman" w:hAnsiTheme="majorHAnsi" w:cstheme="majorHAnsi"/>
          <w:b/>
          <w:szCs w:val="20"/>
          <w:lang w:bidi="sr-Cyrl-CS"/>
        </w:rPr>
        <w:t>је побољшање енергетске ефикасности</w:t>
      </w:r>
      <w:r w:rsidR="00DC6720" w:rsidRPr="00FF386D">
        <w:rPr>
          <w:rFonts w:asciiTheme="majorHAnsi" w:eastAsia="Times New Roman" w:hAnsiTheme="majorHAnsi" w:cstheme="majorHAnsi"/>
          <w:szCs w:val="20"/>
          <w:lang w:bidi="sr-Cyrl-CS"/>
        </w:rPr>
        <w:t>, чиме се постиже ограничење финалне потрошње енергије на ниво не већи од 9,</w:t>
      </w:r>
      <w:r w:rsidR="00B23425" w:rsidRPr="00FF386D">
        <w:rPr>
          <w:rFonts w:asciiTheme="majorHAnsi" w:eastAsia="Times New Roman" w:hAnsiTheme="majorHAnsi" w:cstheme="majorHAnsi"/>
          <w:szCs w:val="20"/>
          <w:lang w:bidi="sr-Cyrl-CS"/>
        </w:rPr>
        <w:t>7</w:t>
      </w:r>
      <w:r w:rsidR="00DC6720" w:rsidRPr="00FF386D">
        <w:rPr>
          <w:rFonts w:asciiTheme="majorHAnsi" w:eastAsia="Times New Roman" w:hAnsiTheme="majorHAnsi" w:cstheme="majorHAnsi"/>
          <w:szCs w:val="20"/>
          <w:lang w:bidi="sr-Cyrl-CS"/>
        </w:rPr>
        <w:t xml:space="preserve"> Mtoe у 2030. години. </w:t>
      </w:r>
      <w:r w:rsidR="00B23425" w:rsidRPr="00FF386D">
        <w:rPr>
          <w:rFonts w:asciiTheme="majorHAnsi" w:eastAsia="Times New Roman" w:hAnsiTheme="majorHAnsi" w:cstheme="majorHAnsi"/>
          <w:szCs w:val="20"/>
          <w:lang w:bidi="sr-Cyrl-CS"/>
        </w:rPr>
        <w:t>Иста тенденција је уочена и у случају п</w:t>
      </w:r>
      <w:r w:rsidR="00DC6720" w:rsidRPr="00FF386D">
        <w:rPr>
          <w:rFonts w:asciiTheme="majorHAnsi" w:eastAsia="Times New Roman" w:hAnsiTheme="majorHAnsi" w:cstheme="majorHAnsi"/>
          <w:szCs w:val="20"/>
          <w:lang w:bidi="sr-Cyrl-CS"/>
        </w:rPr>
        <w:t>отрошњ</w:t>
      </w:r>
      <w:r w:rsidR="00B23425" w:rsidRPr="00FF386D">
        <w:rPr>
          <w:rFonts w:asciiTheme="majorHAnsi" w:eastAsia="Times New Roman" w:hAnsiTheme="majorHAnsi" w:cstheme="majorHAnsi"/>
          <w:szCs w:val="20"/>
          <w:lang w:bidi="sr-Cyrl-CS"/>
        </w:rPr>
        <w:t>е</w:t>
      </w:r>
      <w:r w:rsidR="00DC6720" w:rsidRPr="00FF386D">
        <w:rPr>
          <w:rFonts w:asciiTheme="majorHAnsi" w:eastAsia="Times New Roman" w:hAnsiTheme="majorHAnsi" w:cstheme="majorHAnsi"/>
          <w:szCs w:val="20"/>
          <w:lang w:bidi="sr-Cyrl-CS"/>
        </w:rPr>
        <w:t xml:space="preserve"> примарне енергије</w:t>
      </w:r>
      <w:r w:rsidR="00B23425" w:rsidRPr="00FF386D">
        <w:rPr>
          <w:rFonts w:asciiTheme="majorHAnsi" w:eastAsia="Times New Roman" w:hAnsiTheme="majorHAnsi" w:cstheme="majorHAnsi"/>
          <w:szCs w:val="20"/>
          <w:lang w:bidi="sr-Cyrl-CS"/>
        </w:rPr>
        <w:t>, која би требало да буде мања од 1</w:t>
      </w:r>
      <w:r w:rsidR="00DD5F82" w:rsidRPr="00FF386D">
        <w:rPr>
          <w:rFonts w:asciiTheme="majorHAnsi" w:eastAsia="Times New Roman" w:hAnsiTheme="majorHAnsi" w:cstheme="majorHAnsi"/>
          <w:szCs w:val="20"/>
          <w:lang w:bidi="sr-Cyrl-CS"/>
        </w:rPr>
        <w:t>4,68</w:t>
      </w:r>
      <w:r w:rsidR="00B23425" w:rsidRPr="00FF386D">
        <w:rPr>
          <w:rFonts w:asciiTheme="majorHAnsi" w:eastAsia="Times New Roman" w:hAnsiTheme="majorHAnsi" w:cstheme="majorHAnsi"/>
          <w:szCs w:val="20"/>
          <w:lang w:bidi="sr-Cyrl-CS"/>
        </w:rPr>
        <w:t xml:space="preserve"> Mtoe у 2030. години.</w:t>
      </w:r>
    </w:p>
    <w:p w14:paraId="2FC3A2D6" w14:textId="1EA58A58" w:rsidR="00842781" w:rsidRDefault="00842781" w:rsidP="00DC6720">
      <w:pPr>
        <w:spacing w:after="120" w:line="240" w:lineRule="atLeast"/>
        <w:jc w:val="both"/>
        <w:rPr>
          <w:rFonts w:asciiTheme="majorHAnsi" w:eastAsia="Times New Roman" w:hAnsiTheme="majorHAnsi" w:cstheme="majorHAnsi"/>
          <w:szCs w:val="20"/>
          <w:lang w:bidi="sr-Cyrl-CS"/>
        </w:rPr>
      </w:pPr>
      <w:r>
        <w:rPr>
          <w:rFonts w:asciiTheme="majorHAnsi" w:eastAsia="Times New Roman" w:hAnsiTheme="majorHAnsi" w:cstheme="majorHAnsi"/>
          <w:szCs w:val="20"/>
          <w:lang w:bidi="sr-Cyrl-CS"/>
        </w:rPr>
        <w:t>Ови циљеви су у складу са чланом 3 одлуке 2022/</w:t>
      </w:r>
      <w:r>
        <w:rPr>
          <w:rFonts w:asciiTheme="majorHAnsi" w:eastAsia="Times New Roman" w:hAnsiTheme="majorHAnsi" w:cstheme="majorHAnsi"/>
          <w:szCs w:val="20"/>
          <w:lang w:val="el-GR" w:bidi="sr-Cyrl-CS"/>
        </w:rPr>
        <w:t>02/</w:t>
      </w:r>
      <w:r w:rsidRPr="00565B02">
        <w:rPr>
          <w:rFonts w:asciiTheme="majorHAnsi" w:eastAsia="Times New Roman" w:hAnsiTheme="majorHAnsi" w:cstheme="majorHAnsi"/>
          <w:i/>
          <w:iCs/>
          <w:szCs w:val="20"/>
          <w:lang w:val="en-US" w:bidi="sr-Cyrl-CS"/>
        </w:rPr>
        <w:t>EM-EnC</w:t>
      </w:r>
      <w:r>
        <w:rPr>
          <w:rFonts w:asciiTheme="majorHAnsi" w:eastAsia="Times New Roman" w:hAnsiTheme="majorHAnsi" w:cstheme="majorHAnsi"/>
          <w:szCs w:val="20"/>
          <w:lang w:val="en-US" w:bidi="sr-Cyrl-CS"/>
        </w:rPr>
        <w:t xml:space="preserve"> </w:t>
      </w:r>
      <w:r>
        <w:rPr>
          <w:rFonts w:asciiTheme="majorHAnsi" w:eastAsia="Times New Roman" w:hAnsiTheme="majorHAnsi" w:cstheme="majorHAnsi"/>
          <w:szCs w:val="20"/>
          <w:lang w:bidi="sr-Cyrl-CS"/>
        </w:rPr>
        <w:t>Министарског савета Енергетске заједнице, тачка (4)</w:t>
      </w:r>
      <w:r w:rsidR="00F71C48">
        <w:rPr>
          <w:rFonts w:asciiTheme="majorHAnsi" w:eastAsia="Times New Roman" w:hAnsiTheme="majorHAnsi" w:cstheme="majorHAnsi"/>
          <w:szCs w:val="20"/>
          <w:lang w:bidi="sr-Cyrl-CS"/>
        </w:rPr>
        <w:t>, с обзиром на то да су разлике на нивоу статистичке грешке.</w:t>
      </w:r>
    </w:p>
    <w:p w14:paraId="21FDF3AC" w14:textId="289F1CED" w:rsidR="00F71C48" w:rsidRDefault="00F71C48" w:rsidP="00DC6720">
      <w:pPr>
        <w:spacing w:after="120" w:line="240" w:lineRule="atLeast"/>
        <w:jc w:val="both"/>
        <w:rPr>
          <w:rFonts w:asciiTheme="majorHAnsi" w:eastAsia="Times New Roman" w:hAnsiTheme="majorHAnsi" w:cstheme="majorHAnsi"/>
          <w:szCs w:val="20"/>
          <w:lang w:bidi="sr-Cyrl-CS"/>
        </w:rPr>
      </w:pPr>
      <w:r>
        <w:rPr>
          <w:rFonts w:asciiTheme="majorHAnsi" w:eastAsia="Times New Roman" w:hAnsiTheme="majorHAnsi" w:cstheme="majorHAnsi"/>
          <w:szCs w:val="20"/>
          <w:lang w:bidi="sr-Cyrl-CS"/>
        </w:rPr>
        <w:t>Путања остваривања циљева за 2030. године на годишњем нивоу се може видети у наредној табели.</w:t>
      </w:r>
    </w:p>
    <w:p w14:paraId="13EF08EC" w14:textId="472D5364" w:rsidR="0033347C" w:rsidRDefault="0033347C" w:rsidP="00565B02">
      <w:pPr>
        <w:pStyle w:val="Caption"/>
        <w:keepNext/>
      </w:pPr>
      <w:bookmarkStart w:id="85" w:name="_Toc153901470"/>
      <w:r>
        <w:t xml:space="preserve">Табела </w:t>
      </w:r>
      <w:r w:rsidR="00873C40">
        <w:fldChar w:fldCharType="begin"/>
      </w:r>
      <w:r w:rsidR="00873C40">
        <w:instrText xml:space="preserve"> STYLEREF 1 \s </w:instrText>
      </w:r>
      <w:r w:rsidR="00873C40">
        <w:fldChar w:fldCharType="separate"/>
      </w:r>
      <w:r w:rsidR="00873C40">
        <w:rPr>
          <w:noProof/>
        </w:rPr>
        <w:t>2</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3</w:t>
      </w:r>
      <w:r w:rsidR="00873C40">
        <w:fldChar w:fldCharType="end"/>
      </w:r>
      <w:r w:rsidRPr="0033347C">
        <w:t>: Путања на годишњем нивоу за ФПЕ и ППЕ</w:t>
      </w:r>
      <w:bookmarkEnd w:id="85"/>
    </w:p>
    <w:tbl>
      <w:tblPr>
        <w:tblStyle w:val="GridTable4-Accent11"/>
        <w:tblW w:w="0" w:type="auto"/>
        <w:jc w:val="center"/>
        <w:tblLayout w:type="fixed"/>
        <w:tblLook w:val="04A0" w:firstRow="1" w:lastRow="0" w:firstColumn="1" w:lastColumn="0" w:noHBand="0" w:noVBand="1"/>
      </w:tblPr>
      <w:tblGrid>
        <w:gridCol w:w="2990"/>
        <w:gridCol w:w="828"/>
        <w:gridCol w:w="828"/>
        <w:gridCol w:w="828"/>
        <w:gridCol w:w="828"/>
        <w:gridCol w:w="828"/>
        <w:gridCol w:w="828"/>
      </w:tblGrid>
      <w:tr w:rsidR="001D4D2B" w:rsidRPr="00EA730B" w14:paraId="7C96D4FC" w14:textId="77777777" w:rsidTr="0009619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90" w:type="dxa"/>
          </w:tcPr>
          <w:p w14:paraId="79C7B749" w14:textId="77777777" w:rsidR="001D4D2B" w:rsidRPr="00EA730B" w:rsidRDefault="001D4D2B" w:rsidP="0009619E">
            <w:pPr>
              <w:spacing w:line="240" w:lineRule="auto"/>
              <w:jc w:val="right"/>
              <w:rPr>
                <w:rFonts w:ascii="Calibri" w:eastAsia="Times New Roman" w:hAnsi="Calibri" w:cs="Calibri"/>
                <w:color w:val="000000"/>
                <w:lang w:eastAsia="en-GB"/>
              </w:rPr>
            </w:pPr>
            <w:r>
              <w:rPr>
                <w:rFonts w:ascii="Calibri" w:hAnsi="Calibri" w:cs="Calibri"/>
                <w:color w:val="000000"/>
              </w:rPr>
              <w:t>(Mtoe)</w:t>
            </w:r>
          </w:p>
        </w:tc>
        <w:tc>
          <w:tcPr>
            <w:tcW w:w="828" w:type="dxa"/>
            <w:noWrap/>
            <w:hideMark/>
          </w:tcPr>
          <w:p w14:paraId="7DCF5AEF" w14:textId="77777777" w:rsidR="001D4D2B" w:rsidRPr="0009619E" w:rsidRDefault="001D4D2B" w:rsidP="0009619E">
            <w:pPr>
              <w:spacing w:line="240" w:lineRule="auto"/>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09619E">
              <w:rPr>
                <w:rFonts w:ascii="Calibri" w:eastAsia="Times New Roman" w:hAnsi="Calibri" w:cs="Calibri"/>
                <w:color w:val="000000"/>
                <w:lang w:eastAsia="en-GB"/>
              </w:rPr>
              <w:t>2025</w:t>
            </w:r>
          </w:p>
        </w:tc>
        <w:tc>
          <w:tcPr>
            <w:tcW w:w="828" w:type="dxa"/>
            <w:noWrap/>
            <w:hideMark/>
          </w:tcPr>
          <w:p w14:paraId="16E086ED" w14:textId="77777777" w:rsidR="001D4D2B" w:rsidRPr="0009619E" w:rsidRDefault="001D4D2B" w:rsidP="0009619E">
            <w:pPr>
              <w:spacing w:line="240" w:lineRule="auto"/>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09619E">
              <w:rPr>
                <w:rFonts w:ascii="Calibri" w:eastAsia="Times New Roman" w:hAnsi="Calibri" w:cs="Calibri"/>
                <w:color w:val="000000"/>
                <w:lang w:eastAsia="en-GB"/>
              </w:rPr>
              <w:t>2026</w:t>
            </w:r>
          </w:p>
        </w:tc>
        <w:tc>
          <w:tcPr>
            <w:tcW w:w="828" w:type="dxa"/>
            <w:noWrap/>
            <w:hideMark/>
          </w:tcPr>
          <w:p w14:paraId="3EA4EE91" w14:textId="77777777" w:rsidR="001D4D2B" w:rsidRPr="0009619E" w:rsidRDefault="001D4D2B" w:rsidP="0009619E">
            <w:pPr>
              <w:spacing w:line="240" w:lineRule="auto"/>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09619E">
              <w:rPr>
                <w:rFonts w:ascii="Calibri" w:eastAsia="Times New Roman" w:hAnsi="Calibri" w:cs="Calibri"/>
                <w:color w:val="000000"/>
                <w:lang w:eastAsia="en-GB"/>
              </w:rPr>
              <w:t>2027</w:t>
            </w:r>
          </w:p>
        </w:tc>
        <w:tc>
          <w:tcPr>
            <w:tcW w:w="828" w:type="dxa"/>
            <w:noWrap/>
            <w:hideMark/>
          </w:tcPr>
          <w:p w14:paraId="5860FA8E" w14:textId="77777777" w:rsidR="001D4D2B" w:rsidRPr="0009619E" w:rsidRDefault="001D4D2B" w:rsidP="0009619E">
            <w:pPr>
              <w:spacing w:line="240" w:lineRule="auto"/>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09619E">
              <w:rPr>
                <w:rFonts w:ascii="Calibri" w:eastAsia="Times New Roman" w:hAnsi="Calibri" w:cs="Calibri"/>
                <w:color w:val="000000"/>
                <w:lang w:eastAsia="en-GB"/>
              </w:rPr>
              <w:t>2028</w:t>
            </w:r>
          </w:p>
        </w:tc>
        <w:tc>
          <w:tcPr>
            <w:tcW w:w="828" w:type="dxa"/>
            <w:noWrap/>
            <w:hideMark/>
          </w:tcPr>
          <w:p w14:paraId="1B78F72D" w14:textId="77777777" w:rsidR="001D4D2B" w:rsidRPr="0009619E" w:rsidRDefault="001D4D2B" w:rsidP="0009619E">
            <w:pPr>
              <w:spacing w:line="240" w:lineRule="auto"/>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09619E">
              <w:rPr>
                <w:rFonts w:ascii="Calibri" w:eastAsia="Times New Roman" w:hAnsi="Calibri" w:cs="Calibri"/>
                <w:color w:val="000000"/>
                <w:lang w:eastAsia="en-GB"/>
              </w:rPr>
              <w:t>2029</w:t>
            </w:r>
          </w:p>
        </w:tc>
        <w:tc>
          <w:tcPr>
            <w:tcW w:w="828" w:type="dxa"/>
            <w:noWrap/>
            <w:hideMark/>
          </w:tcPr>
          <w:p w14:paraId="0AAF27CF" w14:textId="77777777" w:rsidR="001D4D2B" w:rsidRPr="0009619E" w:rsidRDefault="001D4D2B" w:rsidP="0009619E">
            <w:pPr>
              <w:spacing w:line="240" w:lineRule="auto"/>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09619E">
              <w:rPr>
                <w:rFonts w:ascii="Calibri" w:eastAsia="Times New Roman" w:hAnsi="Calibri" w:cs="Calibri"/>
                <w:color w:val="000000"/>
                <w:lang w:eastAsia="en-GB"/>
              </w:rPr>
              <w:t>2030</w:t>
            </w:r>
          </w:p>
        </w:tc>
      </w:tr>
      <w:tr w:rsidR="001D4D2B" w:rsidRPr="00EA730B" w14:paraId="02387C2A" w14:textId="77777777" w:rsidTr="0009619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90" w:type="dxa"/>
          </w:tcPr>
          <w:p w14:paraId="4175CEDE" w14:textId="14B19408" w:rsidR="001D4D2B" w:rsidRPr="00EA730B" w:rsidRDefault="001D4D2B" w:rsidP="0009619E">
            <w:pPr>
              <w:spacing w:line="240" w:lineRule="auto"/>
              <w:rPr>
                <w:rFonts w:ascii="Calibri" w:eastAsia="Times New Roman" w:hAnsi="Calibri" w:cs="Calibri"/>
                <w:color w:val="000000"/>
                <w:lang w:eastAsia="en-GB"/>
              </w:rPr>
            </w:pPr>
            <w:r>
              <w:rPr>
                <w:rFonts w:ascii="Calibri" w:hAnsi="Calibri" w:cs="Calibri"/>
                <w:color w:val="000000"/>
              </w:rPr>
              <w:t>Финална потрошња енергије</w:t>
            </w:r>
          </w:p>
        </w:tc>
        <w:tc>
          <w:tcPr>
            <w:tcW w:w="828" w:type="dxa"/>
            <w:noWrap/>
            <w:hideMark/>
          </w:tcPr>
          <w:p w14:paraId="5F8DF649" w14:textId="747AE289" w:rsidR="001D4D2B" w:rsidRPr="0009619E" w:rsidRDefault="001D4D2B" w:rsidP="0009619E">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09619E">
              <w:rPr>
                <w:rFonts w:ascii="Calibri" w:eastAsia="Times New Roman" w:hAnsi="Calibri" w:cs="Calibri"/>
                <w:color w:val="000000"/>
                <w:lang w:eastAsia="en-GB"/>
              </w:rPr>
              <w:t>9</w:t>
            </w:r>
            <w:r>
              <w:rPr>
                <w:rFonts w:ascii="Calibri" w:eastAsia="Times New Roman" w:hAnsi="Calibri" w:cs="Calibri"/>
                <w:color w:val="000000"/>
                <w:lang w:eastAsia="en-GB"/>
              </w:rPr>
              <w:t>,</w:t>
            </w:r>
            <w:r w:rsidRPr="0009619E">
              <w:rPr>
                <w:rFonts w:ascii="Calibri" w:eastAsia="Times New Roman" w:hAnsi="Calibri" w:cs="Calibri"/>
                <w:color w:val="000000"/>
                <w:lang w:eastAsia="en-GB"/>
              </w:rPr>
              <w:t>3</w:t>
            </w:r>
          </w:p>
        </w:tc>
        <w:tc>
          <w:tcPr>
            <w:tcW w:w="828" w:type="dxa"/>
            <w:noWrap/>
            <w:hideMark/>
          </w:tcPr>
          <w:p w14:paraId="642E2DFA" w14:textId="38E9CFE6" w:rsidR="001D4D2B" w:rsidRPr="0009619E" w:rsidRDefault="001D4D2B" w:rsidP="0009619E">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09619E">
              <w:rPr>
                <w:rFonts w:ascii="Calibri" w:eastAsia="Times New Roman" w:hAnsi="Calibri" w:cs="Calibri"/>
                <w:color w:val="000000"/>
                <w:lang w:eastAsia="en-GB"/>
              </w:rPr>
              <w:t>9</w:t>
            </w:r>
            <w:r>
              <w:rPr>
                <w:rFonts w:ascii="Calibri" w:eastAsia="Times New Roman" w:hAnsi="Calibri" w:cs="Calibri"/>
                <w:color w:val="000000"/>
                <w:lang w:eastAsia="en-GB"/>
              </w:rPr>
              <w:t>,</w:t>
            </w:r>
            <w:r w:rsidRPr="0009619E">
              <w:rPr>
                <w:rFonts w:ascii="Calibri" w:eastAsia="Times New Roman" w:hAnsi="Calibri" w:cs="Calibri"/>
                <w:color w:val="000000"/>
                <w:lang w:eastAsia="en-GB"/>
              </w:rPr>
              <w:t>3</w:t>
            </w:r>
          </w:p>
        </w:tc>
        <w:tc>
          <w:tcPr>
            <w:tcW w:w="828" w:type="dxa"/>
            <w:noWrap/>
            <w:hideMark/>
          </w:tcPr>
          <w:p w14:paraId="5AA6B965" w14:textId="3C2F711A" w:rsidR="001D4D2B" w:rsidRPr="0009619E" w:rsidRDefault="001D4D2B" w:rsidP="0009619E">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09619E">
              <w:rPr>
                <w:rFonts w:ascii="Calibri" w:eastAsia="Times New Roman" w:hAnsi="Calibri" w:cs="Calibri"/>
                <w:color w:val="000000"/>
                <w:lang w:eastAsia="en-GB"/>
              </w:rPr>
              <w:t>9</w:t>
            </w:r>
            <w:r>
              <w:rPr>
                <w:rFonts w:ascii="Calibri" w:eastAsia="Times New Roman" w:hAnsi="Calibri" w:cs="Calibri"/>
                <w:color w:val="000000"/>
                <w:lang w:eastAsia="en-GB"/>
              </w:rPr>
              <w:t>,</w:t>
            </w:r>
            <w:r w:rsidRPr="0009619E">
              <w:rPr>
                <w:rFonts w:ascii="Calibri" w:eastAsia="Times New Roman" w:hAnsi="Calibri" w:cs="Calibri"/>
                <w:color w:val="000000"/>
                <w:lang w:eastAsia="en-GB"/>
              </w:rPr>
              <w:t>4</w:t>
            </w:r>
          </w:p>
        </w:tc>
        <w:tc>
          <w:tcPr>
            <w:tcW w:w="828" w:type="dxa"/>
            <w:noWrap/>
            <w:hideMark/>
          </w:tcPr>
          <w:p w14:paraId="49232EE8" w14:textId="0236E993" w:rsidR="001D4D2B" w:rsidRPr="0009619E" w:rsidRDefault="001D4D2B" w:rsidP="0009619E">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09619E">
              <w:rPr>
                <w:rFonts w:ascii="Calibri" w:eastAsia="Times New Roman" w:hAnsi="Calibri" w:cs="Calibri"/>
                <w:color w:val="000000"/>
                <w:lang w:eastAsia="en-GB"/>
              </w:rPr>
              <w:t>9</w:t>
            </w:r>
            <w:r>
              <w:rPr>
                <w:rFonts w:ascii="Calibri" w:eastAsia="Times New Roman" w:hAnsi="Calibri" w:cs="Calibri"/>
                <w:color w:val="000000"/>
                <w:lang w:eastAsia="en-GB"/>
              </w:rPr>
              <w:t>,</w:t>
            </w:r>
            <w:r w:rsidRPr="0009619E">
              <w:rPr>
                <w:rFonts w:ascii="Calibri" w:eastAsia="Times New Roman" w:hAnsi="Calibri" w:cs="Calibri"/>
                <w:color w:val="000000"/>
                <w:lang w:eastAsia="en-GB"/>
              </w:rPr>
              <w:t>5</w:t>
            </w:r>
          </w:p>
        </w:tc>
        <w:tc>
          <w:tcPr>
            <w:tcW w:w="828" w:type="dxa"/>
            <w:noWrap/>
            <w:hideMark/>
          </w:tcPr>
          <w:p w14:paraId="65CB649A" w14:textId="3F13C62E" w:rsidR="001D4D2B" w:rsidRPr="0009619E" w:rsidRDefault="001D4D2B" w:rsidP="0009619E">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09619E">
              <w:rPr>
                <w:rFonts w:ascii="Calibri" w:eastAsia="Times New Roman" w:hAnsi="Calibri" w:cs="Calibri"/>
                <w:color w:val="000000"/>
                <w:lang w:eastAsia="en-GB"/>
              </w:rPr>
              <w:t>9</w:t>
            </w:r>
            <w:r>
              <w:rPr>
                <w:rFonts w:ascii="Calibri" w:eastAsia="Times New Roman" w:hAnsi="Calibri" w:cs="Calibri"/>
                <w:color w:val="000000"/>
                <w:lang w:eastAsia="en-GB"/>
              </w:rPr>
              <w:t>,</w:t>
            </w:r>
            <w:r w:rsidRPr="0009619E">
              <w:rPr>
                <w:rFonts w:ascii="Calibri" w:eastAsia="Times New Roman" w:hAnsi="Calibri" w:cs="Calibri"/>
                <w:color w:val="000000"/>
                <w:lang w:eastAsia="en-GB"/>
              </w:rPr>
              <w:t>6</w:t>
            </w:r>
          </w:p>
        </w:tc>
        <w:tc>
          <w:tcPr>
            <w:tcW w:w="828" w:type="dxa"/>
            <w:noWrap/>
            <w:hideMark/>
          </w:tcPr>
          <w:p w14:paraId="46DF5E7B" w14:textId="3ACC749C" w:rsidR="001D4D2B" w:rsidRPr="0009619E" w:rsidRDefault="001D4D2B" w:rsidP="0009619E">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09619E">
              <w:rPr>
                <w:rFonts w:ascii="Calibri" w:eastAsia="Times New Roman" w:hAnsi="Calibri" w:cs="Calibri"/>
                <w:color w:val="000000"/>
                <w:lang w:eastAsia="en-GB"/>
              </w:rPr>
              <w:t>9</w:t>
            </w:r>
            <w:r>
              <w:rPr>
                <w:rFonts w:ascii="Calibri" w:eastAsia="Times New Roman" w:hAnsi="Calibri" w:cs="Calibri"/>
                <w:color w:val="000000"/>
                <w:lang w:eastAsia="en-GB"/>
              </w:rPr>
              <w:t>,</w:t>
            </w:r>
            <w:r w:rsidRPr="0009619E">
              <w:rPr>
                <w:rFonts w:ascii="Calibri" w:eastAsia="Times New Roman" w:hAnsi="Calibri" w:cs="Calibri"/>
                <w:color w:val="000000"/>
                <w:lang w:eastAsia="en-GB"/>
              </w:rPr>
              <w:t>7</w:t>
            </w:r>
          </w:p>
        </w:tc>
      </w:tr>
      <w:tr w:rsidR="001D4D2B" w:rsidRPr="00EA730B" w14:paraId="3F7F6A7A" w14:textId="77777777" w:rsidTr="0009619E">
        <w:trPr>
          <w:trHeight w:val="300"/>
          <w:jc w:val="center"/>
        </w:trPr>
        <w:tc>
          <w:tcPr>
            <w:cnfStyle w:val="001000000000" w:firstRow="0" w:lastRow="0" w:firstColumn="1" w:lastColumn="0" w:oddVBand="0" w:evenVBand="0" w:oddHBand="0" w:evenHBand="0" w:firstRowFirstColumn="0" w:firstRowLastColumn="0" w:lastRowFirstColumn="0" w:lastRowLastColumn="0"/>
            <w:tcW w:w="2990" w:type="dxa"/>
          </w:tcPr>
          <w:p w14:paraId="4C0004D0" w14:textId="0B78ACDE" w:rsidR="001D4D2B" w:rsidRPr="00EA730B" w:rsidRDefault="001D4D2B" w:rsidP="0009619E">
            <w:pPr>
              <w:spacing w:line="240" w:lineRule="auto"/>
              <w:rPr>
                <w:rFonts w:ascii="Calibri" w:eastAsia="Times New Roman" w:hAnsi="Calibri" w:cs="Calibri"/>
                <w:color w:val="000000"/>
                <w:lang w:eastAsia="en-GB"/>
              </w:rPr>
            </w:pPr>
            <w:r>
              <w:rPr>
                <w:rFonts w:ascii="Calibri" w:hAnsi="Calibri" w:cs="Calibri"/>
                <w:color w:val="000000"/>
              </w:rPr>
              <w:t>Потрошња примарне енергије</w:t>
            </w:r>
          </w:p>
        </w:tc>
        <w:tc>
          <w:tcPr>
            <w:tcW w:w="828" w:type="dxa"/>
            <w:noWrap/>
            <w:hideMark/>
          </w:tcPr>
          <w:p w14:paraId="37C58A30" w14:textId="7EC32843" w:rsidR="001D4D2B" w:rsidRPr="0009619E" w:rsidRDefault="001D4D2B" w:rsidP="0009619E">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09619E">
              <w:rPr>
                <w:rFonts w:ascii="Calibri" w:eastAsia="Times New Roman" w:hAnsi="Calibri" w:cs="Calibri"/>
                <w:color w:val="000000"/>
                <w:lang w:eastAsia="en-GB"/>
              </w:rPr>
              <w:t>15</w:t>
            </w:r>
            <w:r>
              <w:rPr>
                <w:rFonts w:ascii="Calibri" w:eastAsia="Times New Roman" w:hAnsi="Calibri" w:cs="Calibri"/>
                <w:color w:val="000000"/>
                <w:lang w:eastAsia="en-GB"/>
              </w:rPr>
              <w:t>,</w:t>
            </w:r>
            <w:r w:rsidRPr="0009619E">
              <w:rPr>
                <w:rFonts w:ascii="Calibri" w:eastAsia="Times New Roman" w:hAnsi="Calibri" w:cs="Calibri"/>
                <w:color w:val="000000"/>
                <w:lang w:eastAsia="en-GB"/>
              </w:rPr>
              <w:t>15</w:t>
            </w:r>
          </w:p>
        </w:tc>
        <w:tc>
          <w:tcPr>
            <w:tcW w:w="828" w:type="dxa"/>
            <w:noWrap/>
            <w:hideMark/>
          </w:tcPr>
          <w:p w14:paraId="30533020" w14:textId="4E9414B6" w:rsidR="001D4D2B" w:rsidRPr="0009619E" w:rsidRDefault="001D4D2B" w:rsidP="0009619E">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09619E">
              <w:rPr>
                <w:rFonts w:ascii="Calibri" w:eastAsia="Times New Roman" w:hAnsi="Calibri" w:cs="Calibri"/>
                <w:color w:val="000000"/>
                <w:lang w:eastAsia="en-GB"/>
              </w:rPr>
              <w:t>15</w:t>
            </w:r>
            <w:r>
              <w:rPr>
                <w:rFonts w:ascii="Calibri" w:eastAsia="Times New Roman" w:hAnsi="Calibri" w:cs="Calibri"/>
                <w:color w:val="000000"/>
                <w:lang w:eastAsia="en-GB"/>
              </w:rPr>
              <w:t>,</w:t>
            </w:r>
            <w:r w:rsidRPr="0009619E">
              <w:rPr>
                <w:rFonts w:ascii="Calibri" w:eastAsia="Times New Roman" w:hAnsi="Calibri" w:cs="Calibri"/>
                <w:color w:val="000000"/>
                <w:lang w:eastAsia="en-GB"/>
              </w:rPr>
              <w:t>09</w:t>
            </w:r>
          </w:p>
        </w:tc>
        <w:tc>
          <w:tcPr>
            <w:tcW w:w="828" w:type="dxa"/>
            <w:noWrap/>
            <w:hideMark/>
          </w:tcPr>
          <w:p w14:paraId="026A098E" w14:textId="610FC106" w:rsidR="001D4D2B" w:rsidRPr="0009619E" w:rsidRDefault="001D4D2B" w:rsidP="0009619E">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09619E">
              <w:rPr>
                <w:rFonts w:ascii="Calibri" w:eastAsia="Times New Roman" w:hAnsi="Calibri" w:cs="Calibri"/>
                <w:color w:val="000000"/>
                <w:lang w:eastAsia="en-GB"/>
              </w:rPr>
              <w:t>15</w:t>
            </w:r>
            <w:r>
              <w:rPr>
                <w:rFonts w:ascii="Calibri" w:eastAsia="Times New Roman" w:hAnsi="Calibri" w:cs="Calibri"/>
                <w:color w:val="000000"/>
                <w:lang w:eastAsia="en-GB"/>
              </w:rPr>
              <w:t>,</w:t>
            </w:r>
            <w:r w:rsidRPr="0009619E">
              <w:rPr>
                <w:rFonts w:ascii="Calibri" w:eastAsia="Times New Roman" w:hAnsi="Calibri" w:cs="Calibri"/>
                <w:color w:val="000000"/>
                <w:lang w:eastAsia="en-GB"/>
              </w:rPr>
              <w:t>11</w:t>
            </w:r>
          </w:p>
        </w:tc>
        <w:tc>
          <w:tcPr>
            <w:tcW w:w="828" w:type="dxa"/>
            <w:noWrap/>
            <w:hideMark/>
          </w:tcPr>
          <w:p w14:paraId="38FD3C77" w14:textId="5272D771" w:rsidR="001D4D2B" w:rsidRPr="0009619E" w:rsidRDefault="001D4D2B" w:rsidP="0009619E">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09619E">
              <w:rPr>
                <w:rFonts w:ascii="Calibri" w:eastAsia="Times New Roman" w:hAnsi="Calibri" w:cs="Calibri"/>
                <w:color w:val="000000"/>
                <w:lang w:eastAsia="en-GB"/>
              </w:rPr>
              <w:t>15</w:t>
            </w:r>
            <w:r>
              <w:rPr>
                <w:rFonts w:ascii="Calibri" w:eastAsia="Times New Roman" w:hAnsi="Calibri" w:cs="Calibri"/>
                <w:color w:val="000000"/>
                <w:lang w:eastAsia="en-GB"/>
              </w:rPr>
              <w:t>,</w:t>
            </w:r>
            <w:r w:rsidRPr="0009619E">
              <w:rPr>
                <w:rFonts w:ascii="Calibri" w:eastAsia="Times New Roman" w:hAnsi="Calibri" w:cs="Calibri"/>
                <w:color w:val="000000"/>
                <w:lang w:eastAsia="en-GB"/>
              </w:rPr>
              <w:t>06</w:t>
            </w:r>
          </w:p>
        </w:tc>
        <w:tc>
          <w:tcPr>
            <w:tcW w:w="828" w:type="dxa"/>
            <w:noWrap/>
            <w:hideMark/>
          </w:tcPr>
          <w:p w14:paraId="66057DB1" w14:textId="4DE15BA6" w:rsidR="001D4D2B" w:rsidRPr="0009619E" w:rsidRDefault="001D4D2B" w:rsidP="0009619E">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09619E">
              <w:rPr>
                <w:rFonts w:ascii="Calibri" w:eastAsia="Times New Roman" w:hAnsi="Calibri" w:cs="Calibri"/>
                <w:color w:val="000000"/>
                <w:lang w:eastAsia="en-GB"/>
              </w:rPr>
              <w:t>14</w:t>
            </w:r>
            <w:r>
              <w:rPr>
                <w:rFonts w:ascii="Calibri" w:eastAsia="Times New Roman" w:hAnsi="Calibri" w:cs="Calibri"/>
                <w:color w:val="000000"/>
                <w:lang w:eastAsia="en-GB"/>
              </w:rPr>
              <w:t>,</w:t>
            </w:r>
            <w:r w:rsidRPr="0009619E">
              <w:rPr>
                <w:rFonts w:ascii="Calibri" w:eastAsia="Times New Roman" w:hAnsi="Calibri" w:cs="Calibri"/>
                <w:color w:val="000000"/>
                <w:lang w:eastAsia="en-GB"/>
              </w:rPr>
              <w:t>83</w:t>
            </w:r>
          </w:p>
        </w:tc>
        <w:tc>
          <w:tcPr>
            <w:tcW w:w="828" w:type="dxa"/>
            <w:noWrap/>
            <w:hideMark/>
          </w:tcPr>
          <w:p w14:paraId="7BB3E5AF" w14:textId="7B1B1247" w:rsidR="001D4D2B" w:rsidRPr="0009619E" w:rsidRDefault="001D4D2B" w:rsidP="0009619E">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09619E">
              <w:rPr>
                <w:rFonts w:ascii="Calibri" w:eastAsia="Times New Roman" w:hAnsi="Calibri" w:cs="Calibri"/>
                <w:color w:val="000000"/>
                <w:lang w:eastAsia="en-GB"/>
              </w:rPr>
              <w:t>14</w:t>
            </w:r>
            <w:r>
              <w:rPr>
                <w:rFonts w:ascii="Calibri" w:eastAsia="Times New Roman" w:hAnsi="Calibri" w:cs="Calibri"/>
                <w:color w:val="000000"/>
                <w:lang w:eastAsia="en-GB"/>
              </w:rPr>
              <w:t>,</w:t>
            </w:r>
            <w:r w:rsidRPr="0009619E">
              <w:rPr>
                <w:rFonts w:ascii="Calibri" w:eastAsia="Times New Roman" w:hAnsi="Calibri" w:cs="Calibri"/>
                <w:color w:val="000000"/>
                <w:lang w:eastAsia="en-GB"/>
              </w:rPr>
              <w:t>68</w:t>
            </w:r>
          </w:p>
        </w:tc>
      </w:tr>
    </w:tbl>
    <w:p w14:paraId="69C589CC" w14:textId="7DB3DF59" w:rsidR="00DC6720" w:rsidRPr="00FF386D" w:rsidRDefault="00DC6720" w:rsidP="00565B02">
      <w:pPr>
        <w:spacing w:before="120" w:after="120" w:line="240" w:lineRule="atLeast"/>
        <w:jc w:val="both"/>
        <w:rPr>
          <w:rFonts w:asciiTheme="majorHAnsi" w:eastAsia="Times New Roman" w:hAnsiTheme="majorHAnsi" w:cstheme="majorHAnsi"/>
          <w:szCs w:val="20"/>
        </w:rPr>
      </w:pPr>
      <w:r w:rsidRPr="00FF386D">
        <w:rPr>
          <w:rFonts w:asciiTheme="majorHAnsi" w:eastAsia="Times New Roman" w:hAnsiTheme="majorHAnsi" w:cstheme="majorHAnsi"/>
          <w:szCs w:val="20"/>
          <w:lang w:bidi="sr-Cyrl-CS"/>
        </w:rPr>
        <w:t xml:space="preserve">Додатни </w:t>
      </w:r>
      <w:r w:rsidRPr="00FF386D">
        <w:rPr>
          <w:rFonts w:asciiTheme="majorHAnsi" w:eastAsia="Times New Roman" w:hAnsiTheme="majorHAnsi" w:cstheme="majorHAnsi"/>
          <w:b/>
          <w:szCs w:val="20"/>
          <w:lang w:bidi="sr-Cyrl-CS"/>
        </w:rPr>
        <w:t>циљ у погледу уштеде енергије одређен је у складу са одредбама члана 7. Директиве 2012/27/ЕУ</w:t>
      </w:r>
      <w:r w:rsidRPr="00FF386D">
        <w:rPr>
          <w:rFonts w:asciiTheme="majorHAnsi" w:eastAsia="Times New Roman" w:hAnsiTheme="majorHAnsi" w:cstheme="majorHAnsi"/>
          <w:szCs w:val="20"/>
          <w:lang w:bidi="sr-Cyrl-CS"/>
        </w:rPr>
        <w:t xml:space="preserve">. Штавише, конкретно, </w:t>
      </w:r>
      <w:r w:rsidRPr="00FF386D">
        <w:rPr>
          <w:rFonts w:asciiTheme="majorHAnsi" w:eastAsia="Times New Roman" w:hAnsiTheme="majorHAnsi" w:cstheme="majorHAnsi"/>
          <w:color w:val="000000"/>
          <w:szCs w:val="20"/>
        </w:rPr>
        <w:t xml:space="preserve">506 ktoe </w:t>
      </w:r>
      <w:r w:rsidRPr="00FF386D">
        <w:rPr>
          <w:rFonts w:asciiTheme="majorHAnsi" w:eastAsia="Times New Roman" w:hAnsiTheme="majorHAnsi" w:cstheme="majorHAnsi"/>
          <w:szCs w:val="20"/>
          <w:lang w:bidi="sr-Cyrl-CS"/>
        </w:rPr>
        <w:t>кумулативне финалне уштеде енергије требало би да буде остварено применом мера енергетске ефикасности у периоду 2024-2030.</w:t>
      </w:r>
      <w:r w:rsidR="003D0882" w:rsidRPr="00FF386D">
        <w:rPr>
          <w:rFonts w:asciiTheme="majorHAnsi" w:eastAsia="Times New Roman" w:hAnsiTheme="majorHAnsi" w:cstheme="majorHAnsi"/>
          <w:szCs w:val="20"/>
          <w:lang w:bidi="sr-Cyrl-CS"/>
        </w:rPr>
        <w:t xml:space="preserve"> године.</w:t>
      </w:r>
    </w:p>
    <w:p w14:paraId="5A445403" w14:textId="7468FE96" w:rsidR="00DC6720" w:rsidRPr="00FF386D" w:rsidRDefault="00DC6720" w:rsidP="00DC6720">
      <w:pPr>
        <w:spacing w:after="120" w:line="240" w:lineRule="atLeast"/>
        <w:jc w:val="both"/>
        <w:rPr>
          <w:rFonts w:asciiTheme="majorHAnsi" w:eastAsia="Times New Roman" w:hAnsiTheme="majorHAnsi" w:cstheme="majorHAnsi"/>
          <w:szCs w:val="20"/>
        </w:rPr>
      </w:pPr>
      <w:r w:rsidRPr="00FF386D">
        <w:rPr>
          <w:rFonts w:asciiTheme="majorHAnsi" w:eastAsia="Times New Roman" w:hAnsiTheme="majorHAnsi" w:cstheme="majorHAnsi"/>
          <w:szCs w:val="20"/>
          <w:lang w:bidi="sr-Cyrl-CS"/>
        </w:rPr>
        <w:t xml:space="preserve">Потреба за </w:t>
      </w:r>
      <w:r w:rsidRPr="00FF386D">
        <w:rPr>
          <w:rFonts w:asciiTheme="majorHAnsi" w:eastAsia="Times New Roman" w:hAnsiTheme="majorHAnsi" w:cstheme="majorHAnsi"/>
          <w:b/>
          <w:szCs w:val="20"/>
          <w:lang w:bidi="sr-Cyrl-CS"/>
        </w:rPr>
        <w:t>обнављањем постојећег фонда</w:t>
      </w:r>
      <w:r w:rsidRPr="00FF386D">
        <w:rPr>
          <w:rFonts w:asciiTheme="majorHAnsi" w:eastAsia="Times New Roman" w:hAnsiTheme="majorHAnsi" w:cstheme="majorHAnsi"/>
          <w:szCs w:val="20"/>
          <w:lang w:bidi="sr-Cyrl-CS"/>
        </w:rPr>
        <w:t xml:space="preserve"> </w:t>
      </w:r>
      <w:r w:rsidR="003D0882" w:rsidRPr="00FF386D">
        <w:rPr>
          <w:rFonts w:asciiTheme="majorHAnsi" w:eastAsia="Times New Roman" w:hAnsiTheme="majorHAnsi" w:cstheme="majorHAnsi"/>
          <w:b/>
          <w:bCs/>
          <w:szCs w:val="20"/>
          <w:lang w:bidi="sr-Cyrl-CS"/>
        </w:rPr>
        <w:t>зграда</w:t>
      </w:r>
      <w:r w:rsidR="003D0882" w:rsidRPr="00FF386D">
        <w:rPr>
          <w:rFonts w:asciiTheme="majorHAnsi" w:eastAsia="Times New Roman" w:hAnsiTheme="majorHAnsi" w:cstheme="majorHAnsi"/>
          <w:szCs w:val="20"/>
          <w:lang w:bidi="sr-Cyrl-CS"/>
        </w:rPr>
        <w:t xml:space="preserve"> </w:t>
      </w:r>
      <w:r w:rsidRPr="00FF386D">
        <w:rPr>
          <w:rFonts w:asciiTheme="majorHAnsi" w:eastAsia="Times New Roman" w:hAnsiTheme="majorHAnsi" w:cstheme="majorHAnsi"/>
          <w:szCs w:val="20"/>
          <w:lang w:bidi="sr-Cyrl-CS"/>
        </w:rPr>
        <w:t xml:space="preserve">је неоспорна, што би довело не само до значајних уштеда енергије и трошкова, већ и до истовременог побољшања услова у погледу </w:t>
      </w:r>
      <w:r w:rsidR="003D0882" w:rsidRPr="00FF386D">
        <w:rPr>
          <w:rFonts w:asciiTheme="majorHAnsi" w:eastAsia="Times New Roman" w:hAnsiTheme="majorHAnsi" w:cstheme="majorHAnsi"/>
          <w:szCs w:val="20"/>
          <w:lang w:bidi="sr-Cyrl-CS"/>
        </w:rPr>
        <w:t>комфора</w:t>
      </w:r>
      <w:r w:rsidRPr="00FF386D">
        <w:rPr>
          <w:rFonts w:asciiTheme="majorHAnsi" w:eastAsia="Times New Roman" w:hAnsiTheme="majorHAnsi" w:cstheme="majorHAnsi"/>
          <w:szCs w:val="20"/>
          <w:lang w:bidi="sr-Cyrl-CS"/>
        </w:rPr>
        <w:t xml:space="preserve">, безбедности и здравља у санираним зградама. Стопе </w:t>
      </w:r>
      <w:r w:rsidR="008263D9" w:rsidRPr="00FF386D">
        <w:rPr>
          <w:rFonts w:asciiTheme="majorHAnsi" w:eastAsia="Times New Roman" w:hAnsiTheme="majorHAnsi" w:cstheme="majorHAnsi"/>
          <w:szCs w:val="20"/>
          <w:lang w:bidi="sr-Cyrl-CS"/>
        </w:rPr>
        <w:t>обнове</w:t>
      </w:r>
      <w:r w:rsidRPr="00FF386D">
        <w:rPr>
          <w:rFonts w:asciiTheme="majorHAnsi" w:eastAsia="Times New Roman" w:hAnsiTheme="majorHAnsi" w:cstheme="majorHAnsi"/>
          <w:szCs w:val="20"/>
          <w:lang w:bidi="sr-Cyrl-CS"/>
        </w:rPr>
        <w:t xml:space="preserve">, процењене у оквиру Дугорочне стратегије за подстицање улагања у обнову националног фонда зграда Републике Србије </w:t>
      </w:r>
      <w:r w:rsidR="00175EB1" w:rsidRPr="00FF386D">
        <w:rPr>
          <w:rFonts w:asciiTheme="majorHAnsi" w:eastAsia="Times New Roman" w:hAnsiTheme="majorHAnsi" w:cstheme="majorHAnsi"/>
          <w:szCs w:val="20"/>
          <w:lang w:bidi="sr-Cyrl-CS"/>
        </w:rPr>
        <w:t>до 2050. године</w:t>
      </w:r>
      <w:r w:rsidR="00175EB1" w:rsidRPr="000A2AFE">
        <w:rPr>
          <w:rStyle w:val="FootnoteReference"/>
          <w:rFonts w:asciiTheme="majorHAnsi" w:eastAsia="Times New Roman" w:hAnsiTheme="majorHAnsi" w:cstheme="majorHAnsi"/>
          <w:szCs w:val="20"/>
          <w:lang w:val="sr-Cyrl-RS" w:bidi="sr-Cyrl-CS"/>
        </w:rPr>
        <w:footnoteReference w:id="91"/>
      </w:r>
      <w:r w:rsidR="00175EB1" w:rsidRPr="00FF386D">
        <w:rPr>
          <w:rFonts w:asciiTheme="majorHAnsi" w:eastAsia="Times New Roman" w:hAnsiTheme="majorHAnsi" w:cstheme="majorHAnsi"/>
          <w:szCs w:val="20"/>
          <w:lang w:bidi="sr-Cyrl-CS"/>
        </w:rPr>
        <w:t xml:space="preserve"> </w:t>
      </w:r>
      <w:r w:rsidRPr="00FF386D">
        <w:rPr>
          <w:rFonts w:asciiTheme="majorHAnsi" w:eastAsia="Times New Roman" w:hAnsiTheme="majorHAnsi" w:cstheme="majorHAnsi"/>
          <w:szCs w:val="20"/>
          <w:lang w:bidi="sr-Cyrl-CS"/>
        </w:rPr>
        <w:t xml:space="preserve">за случај стамбених и нестамбених зграда узете су у разматрање у оквиру </w:t>
      </w:r>
      <w:r w:rsidR="008263D9" w:rsidRPr="00FF386D">
        <w:rPr>
          <w:rFonts w:asciiTheme="majorHAnsi" w:eastAsia="Times New Roman" w:hAnsiTheme="majorHAnsi" w:cstheme="majorHAnsi"/>
          <w:szCs w:val="20"/>
          <w:lang w:bidi="sr-Cyrl-CS"/>
        </w:rPr>
        <w:t>И</w:t>
      </w:r>
      <w:r w:rsidRPr="00FF386D">
        <w:rPr>
          <w:rFonts w:asciiTheme="majorHAnsi" w:eastAsia="Times New Roman" w:hAnsiTheme="majorHAnsi" w:cstheme="majorHAnsi"/>
          <w:szCs w:val="20"/>
          <w:lang w:bidi="sr-Cyrl-CS"/>
        </w:rPr>
        <w:t>НЕКП</w:t>
      </w:r>
      <w:r w:rsidR="008263D9" w:rsidRPr="00FF386D">
        <w:rPr>
          <w:rFonts w:asciiTheme="majorHAnsi" w:eastAsia="Times New Roman" w:hAnsiTheme="majorHAnsi" w:cstheme="majorHAnsi"/>
          <w:szCs w:val="20"/>
          <w:lang w:bidi="sr-Cyrl-CS"/>
        </w:rPr>
        <w:t>-а</w:t>
      </w:r>
      <w:r w:rsidRPr="00FF386D">
        <w:rPr>
          <w:rFonts w:asciiTheme="majorHAnsi" w:eastAsia="Times New Roman" w:hAnsiTheme="majorHAnsi" w:cstheme="majorHAnsi"/>
          <w:szCs w:val="20"/>
          <w:lang w:bidi="sr-Cyrl-CS"/>
        </w:rPr>
        <w:t xml:space="preserve"> до 2030. године, како би се обезбедила њихова потпуна усклађеност и омогућила довољна стопа обнове фонда</w:t>
      </w:r>
      <w:r w:rsidR="003D0882" w:rsidRPr="00FF386D">
        <w:rPr>
          <w:rFonts w:asciiTheme="majorHAnsi" w:eastAsia="Times New Roman" w:hAnsiTheme="majorHAnsi" w:cstheme="majorHAnsi"/>
          <w:szCs w:val="20"/>
          <w:lang w:bidi="sr-Cyrl-CS"/>
        </w:rPr>
        <w:t xml:space="preserve"> зграда</w:t>
      </w:r>
      <w:r w:rsidRPr="00FF386D">
        <w:rPr>
          <w:rFonts w:asciiTheme="majorHAnsi" w:eastAsia="Times New Roman" w:hAnsiTheme="majorHAnsi" w:cstheme="majorHAnsi"/>
          <w:szCs w:val="20"/>
          <w:lang w:bidi="sr-Cyrl-CS"/>
        </w:rPr>
        <w:t>.</w:t>
      </w:r>
    </w:p>
    <w:p w14:paraId="0A57EF6E" w14:textId="3C719782" w:rsidR="00DC6720" w:rsidRPr="00FF386D" w:rsidRDefault="00DC6720" w:rsidP="00DC6720">
      <w:pPr>
        <w:spacing w:after="120" w:line="240" w:lineRule="atLeast"/>
        <w:jc w:val="both"/>
        <w:rPr>
          <w:rFonts w:asciiTheme="majorHAnsi" w:eastAsia="Times New Roman" w:hAnsiTheme="majorHAnsi" w:cstheme="majorHAnsi"/>
          <w:szCs w:val="20"/>
        </w:rPr>
      </w:pPr>
      <w:r w:rsidRPr="00FF386D">
        <w:rPr>
          <w:rFonts w:asciiTheme="majorHAnsi" w:eastAsia="Times New Roman" w:hAnsiTheme="majorHAnsi" w:cstheme="majorHAnsi"/>
          <w:szCs w:val="20"/>
          <w:lang w:bidi="sr-Cyrl-CS"/>
        </w:rPr>
        <w:t xml:space="preserve">Најзад, спровођење планираних политика и мера за побољшање енергетске ефикасности код крајњих </w:t>
      </w:r>
      <w:r w:rsidR="00EE0C1C">
        <w:rPr>
          <w:rFonts w:asciiTheme="majorHAnsi" w:eastAsia="Times New Roman" w:hAnsiTheme="majorHAnsi" w:cstheme="majorHAnsi"/>
          <w:szCs w:val="20"/>
          <w:lang w:bidi="sr-Cyrl-CS"/>
        </w:rPr>
        <w:t>купац</w:t>
      </w:r>
      <w:r w:rsidR="00EE0C1C" w:rsidRPr="00FF386D">
        <w:rPr>
          <w:rFonts w:asciiTheme="majorHAnsi" w:eastAsia="Times New Roman" w:hAnsiTheme="majorHAnsi" w:cstheme="majorHAnsi"/>
          <w:szCs w:val="20"/>
          <w:lang w:bidi="sr-Cyrl-CS"/>
        </w:rPr>
        <w:t xml:space="preserve">а </w:t>
      </w:r>
      <w:r w:rsidRPr="00FF386D">
        <w:rPr>
          <w:rFonts w:asciiTheme="majorHAnsi" w:eastAsia="Times New Roman" w:hAnsiTheme="majorHAnsi" w:cstheme="majorHAnsi"/>
          <w:szCs w:val="20"/>
          <w:lang w:bidi="sr-Cyrl-CS"/>
        </w:rPr>
        <w:t xml:space="preserve">захтева </w:t>
      </w:r>
      <w:r w:rsidRPr="00FF386D">
        <w:rPr>
          <w:rFonts w:asciiTheme="majorHAnsi" w:eastAsia="Times New Roman" w:hAnsiTheme="majorHAnsi" w:cstheme="majorHAnsi"/>
          <w:b/>
          <w:szCs w:val="20"/>
          <w:lang w:bidi="sr-Cyrl-CS"/>
        </w:rPr>
        <w:t>креирање ефикасних механизама финансирања</w:t>
      </w:r>
      <w:r w:rsidRPr="00FF386D">
        <w:rPr>
          <w:rFonts w:asciiTheme="majorHAnsi" w:eastAsia="Times New Roman" w:hAnsiTheme="majorHAnsi" w:cstheme="majorHAnsi"/>
          <w:szCs w:val="20"/>
          <w:lang w:bidi="sr-Cyrl-CS"/>
        </w:rPr>
        <w:t xml:space="preserve"> како би се увећали и унапредили тренутни нивои бенефита </w:t>
      </w:r>
      <w:r w:rsidR="00B23425" w:rsidRPr="00FF386D">
        <w:rPr>
          <w:rFonts w:asciiTheme="majorHAnsi" w:eastAsia="Times New Roman" w:hAnsiTheme="majorHAnsi" w:cstheme="majorHAnsi"/>
          <w:szCs w:val="20"/>
          <w:lang w:bidi="sr-Cyrl-CS"/>
        </w:rPr>
        <w:t>сопствених средстава.</w:t>
      </w:r>
      <w:r w:rsidRPr="00FF386D">
        <w:rPr>
          <w:rFonts w:asciiTheme="majorHAnsi" w:eastAsia="Times New Roman" w:hAnsiTheme="majorHAnsi" w:cstheme="majorHAnsi"/>
          <w:szCs w:val="20"/>
          <w:lang w:bidi="sr-Cyrl-CS"/>
        </w:rPr>
        <w:t xml:space="preserve"> Активно укључивање финансијског сектора и промоција </w:t>
      </w:r>
      <w:r w:rsidRPr="00FF386D">
        <w:rPr>
          <w:rFonts w:asciiTheme="majorHAnsi" w:eastAsia="Times New Roman" w:hAnsiTheme="majorHAnsi" w:cstheme="majorHAnsi"/>
          <w:b/>
          <w:szCs w:val="20"/>
          <w:lang w:bidi="sr-Cyrl-CS"/>
        </w:rPr>
        <w:t>иновативних инструмената финансирања</w:t>
      </w:r>
      <w:r w:rsidRPr="00FF386D">
        <w:rPr>
          <w:rFonts w:asciiTheme="majorHAnsi" w:eastAsia="Times New Roman" w:hAnsiTheme="majorHAnsi" w:cstheme="majorHAnsi"/>
          <w:szCs w:val="20"/>
          <w:lang w:bidi="sr-Cyrl-CS"/>
        </w:rPr>
        <w:t xml:space="preserve">, укључујући промоцију уговора о енергетском учинку и енергетским услугама, </w:t>
      </w:r>
      <w:r w:rsidR="008263D9" w:rsidRPr="00FF386D">
        <w:rPr>
          <w:rFonts w:asciiTheme="majorHAnsi" w:eastAsia="Times New Roman" w:hAnsiTheme="majorHAnsi" w:cstheme="majorHAnsi"/>
          <w:szCs w:val="20"/>
          <w:lang w:bidi="sr-Cyrl-CS"/>
        </w:rPr>
        <w:t xml:space="preserve">представљају </w:t>
      </w:r>
      <w:r w:rsidRPr="00FF386D">
        <w:rPr>
          <w:rFonts w:asciiTheme="majorHAnsi" w:eastAsia="Times New Roman" w:hAnsiTheme="majorHAnsi" w:cstheme="majorHAnsi"/>
          <w:szCs w:val="20"/>
          <w:lang w:bidi="sr-Cyrl-CS"/>
        </w:rPr>
        <w:t>кључн</w:t>
      </w:r>
      <w:r w:rsidR="008263D9" w:rsidRPr="00FF386D">
        <w:rPr>
          <w:rFonts w:asciiTheme="majorHAnsi" w:eastAsia="Times New Roman" w:hAnsiTheme="majorHAnsi" w:cstheme="majorHAnsi"/>
          <w:szCs w:val="20"/>
          <w:lang w:bidi="sr-Cyrl-CS"/>
        </w:rPr>
        <w:t>е</w:t>
      </w:r>
      <w:r w:rsidRPr="00FF386D">
        <w:rPr>
          <w:rFonts w:asciiTheme="majorHAnsi" w:eastAsia="Times New Roman" w:hAnsiTheme="majorHAnsi" w:cstheme="majorHAnsi"/>
          <w:szCs w:val="20"/>
          <w:lang w:bidi="sr-Cyrl-CS"/>
        </w:rPr>
        <w:t xml:space="preserve"> параметр</w:t>
      </w:r>
      <w:r w:rsidR="008263D9" w:rsidRPr="00FF386D">
        <w:rPr>
          <w:rFonts w:asciiTheme="majorHAnsi" w:eastAsia="Times New Roman" w:hAnsiTheme="majorHAnsi" w:cstheme="majorHAnsi"/>
          <w:szCs w:val="20"/>
          <w:lang w:bidi="sr-Cyrl-CS"/>
        </w:rPr>
        <w:t>е</w:t>
      </w:r>
      <w:r w:rsidRPr="00FF386D">
        <w:rPr>
          <w:rFonts w:asciiTheme="majorHAnsi" w:eastAsia="Times New Roman" w:hAnsiTheme="majorHAnsi" w:cstheme="majorHAnsi"/>
          <w:szCs w:val="20"/>
          <w:lang w:bidi="sr-Cyrl-CS"/>
        </w:rPr>
        <w:t xml:space="preserve"> за постизање овог циља. </w:t>
      </w:r>
      <w:bookmarkStart w:id="87" w:name="_Hlk116748594"/>
      <w:r w:rsidRPr="00FF386D">
        <w:rPr>
          <w:rFonts w:asciiTheme="majorHAnsi" w:eastAsia="Times New Roman" w:hAnsiTheme="majorHAnsi" w:cstheme="majorHAnsi"/>
          <w:szCs w:val="20"/>
          <w:lang w:bidi="sr-Cyrl-CS"/>
        </w:rPr>
        <w:t xml:space="preserve">Посебну улогу у креирању и спровођењу механизма финансирања имаће Управа за ЕЕ. Њене капацитете треба јачати у наредном периоду, а </w:t>
      </w:r>
      <w:r w:rsidR="003D0882" w:rsidRPr="00FF386D">
        <w:rPr>
          <w:rFonts w:asciiTheme="majorHAnsi" w:eastAsia="Times New Roman" w:hAnsiTheme="majorHAnsi" w:cstheme="majorHAnsi"/>
          <w:szCs w:val="20"/>
          <w:lang w:bidi="sr-Cyrl-CS"/>
        </w:rPr>
        <w:t>потребно је</w:t>
      </w:r>
      <w:r w:rsidRPr="00FF386D">
        <w:rPr>
          <w:rFonts w:asciiTheme="majorHAnsi" w:eastAsia="Times New Roman" w:hAnsiTheme="majorHAnsi" w:cstheme="majorHAnsi"/>
          <w:szCs w:val="20"/>
          <w:lang w:bidi="sr-Cyrl-CS"/>
        </w:rPr>
        <w:t xml:space="preserve"> радити и на даљем унапређењу њеног правног статуса. То ће омогућити примену адекватних механизама финансирања за подстицање ЕЕ. Ова Управа већ спроводи активности на финансирању унапређења енергетске ефикасности у домаћинствима и у зградама јавног сектора на локалном нивоу, као што је претходно наведено.</w:t>
      </w:r>
    </w:p>
    <w:p w14:paraId="3509D4F9" w14:textId="196F3790" w:rsidR="00653D73" w:rsidRPr="00565B02" w:rsidRDefault="00653D73" w:rsidP="00653D73">
      <w:pPr>
        <w:pStyle w:val="Heading2"/>
        <w:rPr>
          <w:lang w:val="sr-Cyrl-RS"/>
        </w:rPr>
      </w:pPr>
      <w:bookmarkStart w:id="88" w:name="_Toc153901536"/>
      <w:bookmarkStart w:id="89" w:name="_bookmark43"/>
      <w:bookmarkStart w:id="90" w:name="_Toc137457019"/>
      <w:bookmarkStart w:id="91" w:name="_Toc153901537"/>
      <w:bookmarkEnd w:id="87"/>
      <w:bookmarkEnd w:id="88"/>
      <w:bookmarkEnd w:id="89"/>
      <w:r w:rsidRPr="00565B02">
        <w:rPr>
          <w:lang w:val="sr-Cyrl-RS"/>
        </w:rPr>
        <w:t>E</w:t>
      </w:r>
      <w:r w:rsidR="00FD4322" w:rsidRPr="00565B02">
        <w:rPr>
          <w:lang w:val="sr-Cyrl-RS"/>
        </w:rPr>
        <w:t>нергетска сигурност</w:t>
      </w:r>
      <w:bookmarkEnd w:id="90"/>
      <w:bookmarkEnd w:id="91"/>
    </w:p>
    <w:p w14:paraId="1783F9D5" w14:textId="60E4A549" w:rsidR="00DC6720" w:rsidRPr="00FF386D" w:rsidRDefault="00DC6720" w:rsidP="00DC6720">
      <w:pPr>
        <w:spacing w:after="120" w:line="240" w:lineRule="atLeast"/>
        <w:ind w:right="193"/>
        <w:jc w:val="both"/>
        <w:rPr>
          <w:rFonts w:asciiTheme="majorHAnsi" w:eastAsia="Times New Roman" w:hAnsiTheme="majorHAnsi" w:cstheme="majorHAnsi"/>
          <w:szCs w:val="20"/>
        </w:rPr>
      </w:pPr>
      <w:bookmarkStart w:id="92" w:name="_bookmark44"/>
      <w:bookmarkEnd w:id="92"/>
      <w:r w:rsidRPr="00FF386D">
        <w:rPr>
          <w:rFonts w:asciiTheme="majorHAnsi" w:eastAsia="Times New Roman" w:hAnsiTheme="majorHAnsi" w:cstheme="majorHAnsi"/>
          <w:szCs w:val="20"/>
          <w:lang w:bidi="sr-Cyrl-CS"/>
        </w:rPr>
        <w:t xml:space="preserve">Диверсификација извора енергије и земаља из којих се врши снабдевање горивом главни је циљ за димензију енергетске сигурности у оквиру </w:t>
      </w:r>
      <w:r w:rsidR="008263D9" w:rsidRPr="00FF386D">
        <w:rPr>
          <w:rFonts w:asciiTheme="majorHAnsi" w:eastAsia="Times New Roman" w:hAnsiTheme="majorHAnsi" w:cstheme="majorHAnsi"/>
          <w:szCs w:val="20"/>
          <w:lang w:bidi="sr-Cyrl-CS"/>
        </w:rPr>
        <w:t>И</w:t>
      </w:r>
      <w:r w:rsidRPr="00FF386D">
        <w:rPr>
          <w:rFonts w:asciiTheme="majorHAnsi" w:eastAsia="Times New Roman" w:hAnsiTheme="majorHAnsi" w:cstheme="majorHAnsi"/>
          <w:szCs w:val="20"/>
          <w:lang w:bidi="sr-Cyrl-CS"/>
        </w:rPr>
        <w:t>НЕКП</w:t>
      </w:r>
      <w:r w:rsidR="008263D9" w:rsidRPr="00FF386D">
        <w:rPr>
          <w:rFonts w:asciiTheme="majorHAnsi" w:eastAsia="Times New Roman" w:hAnsiTheme="majorHAnsi" w:cstheme="majorHAnsi"/>
          <w:szCs w:val="20"/>
          <w:lang w:bidi="sr-Cyrl-CS"/>
        </w:rPr>
        <w:t>-а</w:t>
      </w:r>
      <w:r w:rsidRPr="00FF386D">
        <w:rPr>
          <w:rFonts w:asciiTheme="majorHAnsi" w:eastAsia="Times New Roman" w:hAnsiTheme="majorHAnsi" w:cstheme="majorHAnsi"/>
          <w:szCs w:val="20"/>
          <w:lang w:bidi="sr-Cyrl-CS"/>
        </w:rPr>
        <w:t xml:space="preserve">. Прецизније, започеће се спровођење политика и мера за </w:t>
      </w:r>
      <w:r w:rsidRPr="00FF386D">
        <w:rPr>
          <w:rFonts w:asciiTheme="majorHAnsi" w:eastAsia="Times New Roman" w:hAnsiTheme="majorHAnsi" w:cstheme="majorHAnsi"/>
          <w:b/>
          <w:szCs w:val="20"/>
          <w:lang w:bidi="sr-Cyrl-CS"/>
        </w:rPr>
        <w:t>већу диверсификацију извора енергије</w:t>
      </w:r>
      <w:r w:rsidRPr="00FF386D">
        <w:rPr>
          <w:rFonts w:asciiTheme="majorHAnsi" w:eastAsia="Times New Roman" w:hAnsiTheme="majorHAnsi" w:cstheme="majorHAnsi"/>
          <w:szCs w:val="20"/>
          <w:lang w:bidi="sr-Cyrl-CS"/>
        </w:rPr>
        <w:t xml:space="preserve"> како би се спречила зависност од само једног горива или само једне земље. Постигнута диверсификација ће повећати конкурентност између горива и снабдевача из трећих земаља што ће довести до снижења цена енергије, побољшања сигурности снабдевања и заштите снабдевања енергијом у случају енергетске кризе на регионалном нивоу.</w:t>
      </w:r>
    </w:p>
    <w:p w14:paraId="3D141B0C" w14:textId="3DD1EC8C" w:rsidR="00DC6720" w:rsidRPr="00FF386D" w:rsidRDefault="00DC6720" w:rsidP="00DC6720">
      <w:pPr>
        <w:spacing w:after="120" w:line="240" w:lineRule="atLeast"/>
        <w:ind w:right="193"/>
        <w:jc w:val="both"/>
        <w:rPr>
          <w:rFonts w:asciiTheme="majorHAnsi" w:eastAsia="Times New Roman" w:hAnsiTheme="majorHAnsi" w:cstheme="majorHAnsi"/>
          <w:szCs w:val="20"/>
        </w:rPr>
      </w:pPr>
      <w:r w:rsidRPr="00FF386D">
        <w:rPr>
          <w:rFonts w:asciiTheme="majorHAnsi" w:eastAsia="Times New Roman" w:hAnsiTheme="majorHAnsi" w:cstheme="majorHAnsi"/>
          <w:szCs w:val="20"/>
          <w:lang w:bidi="sr-Cyrl-CS"/>
        </w:rPr>
        <w:t xml:space="preserve">Евидентно је да треба обезбедити </w:t>
      </w:r>
      <w:r w:rsidRPr="00FF386D">
        <w:rPr>
          <w:rFonts w:asciiTheme="majorHAnsi" w:eastAsia="Times New Roman" w:hAnsiTheme="majorHAnsi" w:cstheme="majorHAnsi"/>
          <w:b/>
          <w:szCs w:val="20"/>
          <w:lang w:bidi="sr-Cyrl-CS"/>
        </w:rPr>
        <w:t xml:space="preserve">оптимално коришћење домаћих извора енергије </w:t>
      </w:r>
      <w:r w:rsidRPr="00FF386D">
        <w:rPr>
          <w:rFonts w:asciiTheme="majorHAnsi" w:eastAsia="Times New Roman" w:hAnsiTheme="majorHAnsi" w:cstheme="majorHAnsi"/>
          <w:szCs w:val="20"/>
          <w:lang w:bidi="sr-Cyrl-CS"/>
        </w:rPr>
        <w:t xml:space="preserve">ради повећања енергетске сигурности. Препознавање постојећег потенцијала и најекономичније коришћење домаћих извора енергије је суштински циљ у оквиру </w:t>
      </w:r>
      <w:r w:rsidR="008263D9" w:rsidRPr="00FF386D">
        <w:rPr>
          <w:rFonts w:asciiTheme="majorHAnsi" w:eastAsia="Times New Roman" w:hAnsiTheme="majorHAnsi" w:cstheme="majorHAnsi"/>
          <w:szCs w:val="20"/>
          <w:lang w:bidi="sr-Cyrl-CS"/>
        </w:rPr>
        <w:t>И</w:t>
      </w:r>
      <w:r w:rsidRPr="00FF386D">
        <w:rPr>
          <w:rFonts w:asciiTheme="majorHAnsi" w:eastAsia="Times New Roman" w:hAnsiTheme="majorHAnsi" w:cstheme="majorHAnsi"/>
          <w:szCs w:val="20"/>
          <w:lang w:bidi="sr-Cyrl-CS"/>
        </w:rPr>
        <w:t>НЕКП</w:t>
      </w:r>
      <w:r w:rsidR="008263D9" w:rsidRPr="00FF386D">
        <w:rPr>
          <w:rFonts w:asciiTheme="majorHAnsi" w:eastAsia="Times New Roman" w:hAnsiTheme="majorHAnsi" w:cstheme="majorHAnsi"/>
          <w:szCs w:val="20"/>
          <w:lang w:bidi="sr-Cyrl-CS"/>
        </w:rPr>
        <w:t>-а</w:t>
      </w:r>
      <w:r w:rsidRPr="00FF386D">
        <w:rPr>
          <w:rFonts w:asciiTheme="majorHAnsi" w:eastAsia="Times New Roman" w:hAnsiTheme="majorHAnsi" w:cstheme="majorHAnsi"/>
          <w:szCs w:val="20"/>
          <w:lang w:bidi="sr-Cyrl-CS"/>
        </w:rPr>
        <w:t xml:space="preserve">. Нагласак ће бити стављен на употребу </w:t>
      </w:r>
      <w:r w:rsidRPr="00FF386D">
        <w:rPr>
          <w:rFonts w:asciiTheme="majorHAnsi" w:eastAsia="Times New Roman" w:hAnsiTheme="majorHAnsi" w:cstheme="majorHAnsi"/>
          <w:szCs w:val="20"/>
          <w:lang w:bidi="sr-Cyrl-CS"/>
        </w:rPr>
        <w:lastRenderedPageBreak/>
        <w:t>и искоришћење потенцијала ОИЕ, како за производњу електричне енергије тако и за директну употребу код финалне потрошње, што ће значајно допринети енергетској сигурности.</w:t>
      </w:r>
    </w:p>
    <w:p w14:paraId="475E7DD1" w14:textId="4AE5C241" w:rsidR="00DC6720" w:rsidRPr="00FF386D" w:rsidRDefault="00DC6720" w:rsidP="00DC6720">
      <w:pPr>
        <w:spacing w:after="120" w:line="240" w:lineRule="atLeast"/>
        <w:ind w:right="193"/>
        <w:jc w:val="both"/>
        <w:rPr>
          <w:rFonts w:asciiTheme="majorHAnsi" w:eastAsia="Times New Roman" w:hAnsiTheme="majorHAnsi" w:cstheme="majorHAnsi"/>
          <w:szCs w:val="20"/>
        </w:rPr>
      </w:pPr>
      <w:r w:rsidRPr="00FF386D">
        <w:rPr>
          <w:rFonts w:asciiTheme="majorHAnsi" w:eastAsia="Times New Roman" w:hAnsiTheme="majorHAnsi" w:cstheme="majorHAnsi"/>
          <w:b/>
          <w:szCs w:val="20"/>
          <w:lang w:bidi="sr-Cyrl-CS"/>
        </w:rPr>
        <w:t xml:space="preserve">Јачање геополитичке улоге </w:t>
      </w:r>
      <w:r w:rsidRPr="00FF386D">
        <w:rPr>
          <w:rFonts w:asciiTheme="majorHAnsi" w:eastAsia="Times New Roman" w:hAnsiTheme="majorHAnsi" w:cstheme="majorHAnsi"/>
          <w:szCs w:val="20"/>
          <w:lang w:bidi="sr-Cyrl-CS"/>
        </w:rPr>
        <w:t>Републике Србије представља још један кључни циљ. Због тога је хитно потребно завршити постојеће интерконекције и пројектовати нове међународне интерконекције са цевоводима из суседних земаља. Поред тога, ове активности ће допринети и диверсификацији извора енергије и рута снабдевања из трећих земаља. Биће промовисано неколико прекограничних/међународних пројеката транспорта природног гаса, чиме ће бити повећана диверсификација извора енергије а, у комбинацији са промовисањем пројеката складиштења природног гаса, биће обезбеђен</w:t>
      </w:r>
      <w:r w:rsidR="003D0882" w:rsidRPr="00FF386D">
        <w:rPr>
          <w:rFonts w:asciiTheme="majorHAnsi" w:eastAsia="Times New Roman" w:hAnsiTheme="majorHAnsi" w:cstheme="majorHAnsi"/>
          <w:szCs w:val="20"/>
          <w:lang w:bidi="sr-Cyrl-CS"/>
        </w:rPr>
        <w:t xml:space="preserve">е </w:t>
      </w:r>
      <w:r w:rsidRPr="00FF386D">
        <w:rPr>
          <w:rFonts w:asciiTheme="majorHAnsi" w:eastAsia="Times New Roman" w:hAnsiTheme="majorHAnsi" w:cstheme="majorHAnsi"/>
          <w:szCs w:val="20"/>
          <w:lang w:bidi="sr-Cyrl-CS"/>
        </w:rPr>
        <w:t>адекватн</w:t>
      </w:r>
      <w:r w:rsidR="003D0882" w:rsidRPr="00FF386D">
        <w:rPr>
          <w:rFonts w:asciiTheme="majorHAnsi" w:eastAsia="Times New Roman" w:hAnsiTheme="majorHAnsi" w:cstheme="majorHAnsi"/>
          <w:szCs w:val="20"/>
          <w:lang w:bidi="sr-Cyrl-CS"/>
        </w:rPr>
        <w:t>е количине природног гаса</w:t>
      </w:r>
      <w:r w:rsidRPr="00FF386D">
        <w:rPr>
          <w:rFonts w:asciiTheme="majorHAnsi" w:eastAsia="Times New Roman" w:hAnsiTheme="majorHAnsi" w:cstheme="majorHAnsi"/>
          <w:szCs w:val="20"/>
          <w:lang w:bidi="sr-Cyrl-CS"/>
        </w:rPr>
        <w:t xml:space="preserve"> у случају </w:t>
      </w:r>
      <w:r w:rsidR="003D0882" w:rsidRPr="00FF386D">
        <w:rPr>
          <w:rFonts w:asciiTheme="majorHAnsi" w:eastAsia="Times New Roman" w:hAnsiTheme="majorHAnsi" w:cstheme="majorHAnsi"/>
          <w:szCs w:val="20"/>
          <w:lang w:bidi="sr-Cyrl-CS"/>
        </w:rPr>
        <w:t xml:space="preserve">његове </w:t>
      </w:r>
      <w:r w:rsidRPr="00FF386D">
        <w:rPr>
          <w:rFonts w:asciiTheme="majorHAnsi" w:eastAsia="Times New Roman" w:hAnsiTheme="majorHAnsi" w:cstheme="majorHAnsi"/>
          <w:szCs w:val="20"/>
          <w:lang w:bidi="sr-Cyrl-CS"/>
        </w:rPr>
        <w:t>несташице</w:t>
      </w:r>
      <w:r w:rsidR="003D0882" w:rsidRPr="00FF386D">
        <w:rPr>
          <w:rFonts w:asciiTheme="majorHAnsi" w:eastAsia="Times New Roman" w:hAnsiTheme="majorHAnsi" w:cstheme="majorHAnsi"/>
          <w:szCs w:val="20"/>
          <w:lang w:bidi="sr-Cyrl-CS"/>
        </w:rPr>
        <w:t>.</w:t>
      </w:r>
    </w:p>
    <w:p w14:paraId="0F0D8854" w14:textId="0AF68DE8" w:rsidR="00DC6720" w:rsidRPr="00FF386D" w:rsidRDefault="00DC6720" w:rsidP="00DC6720">
      <w:pPr>
        <w:spacing w:after="120" w:line="240" w:lineRule="atLeast"/>
        <w:ind w:right="193"/>
        <w:jc w:val="both"/>
        <w:rPr>
          <w:rFonts w:asciiTheme="majorHAnsi" w:eastAsia="Times New Roman" w:hAnsiTheme="majorHAnsi" w:cstheme="majorHAnsi"/>
          <w:szCs w:val="20"/>
        </w:rPr>
      </w:pPr>
      <w:r w:rsidRPr="00FF386D">
        <w:rPr>
          <w:rFonts w:asciiTheme="majorHAnsi" w:eastAsia="Times New Roman" w:hAnsiTheme="majorHAnsi" w:cstheme="majorHAnsi"/>
          <w:b/>
          <w:szCs w:val="20"/>
          <w:lang w:bidi="sr-Cyrl-CS"/>
        </w:rPr>
        <w:t>Стабилизација стопе енергетске зависности</w:t>
      </w:r>
      <w:r w:rsidRPr="00FF386D">
        <w:rPr>
          <w:rFonts w:asciiTheme="majorHAnsi" w:eastAsia="Times New Roman" w:hAnsiTheme="majorHAnsi" w:cstheme="majorHAnsi"/>
          <w:szCs w:val="20"/>
          <w:lang w:bidi="sr-Cyrl-CS"/>
        </w:rPr>
        <w:t xml:space="preserve"> је још један важан циљ у оквиру </w:t>
      </w:r>
      <w:r w:rsidR="00E017DE" w:rsidRPr="00FF386D">
        <w:rPr>
          <w:rFonts w:asciiTheme="majorHAnsi" w:eastAsia="Times New Roman" w:hAnsiTheme="majorHAnsi" w:cstheme="majorHAnsi"/>
          <w:szCs w:val="20"/>
          <w:lang w:bidi="sr-Cyrl-CS"/>
        </w:rPr>
        <w:t>И</w:t>
      </w:r>
      <w:r w:rsidRPr="00FF386D">
        <w:rPr>
          <w:rFonts w:asciiTheme="majorHAnsi" w:eastAsia="Times New Roman" w:hAnsiTheme="majorHAnsi" w:cstheme="majorHAnsi"/>
          <w:szCs w:val="20"/>
          <w:lang w:bidi="sr-Cyrl-CS"/>
        </w:rPr>
        <w:t>НЕКП</w:t>
      </w:r>
      <w:r w:rsidR="00E017DE" w:rsidRPr="00FF386D">
        <w:rPr>
          <w:rFonts w:asciiTheme="majorHAnsi" w:eastAsia="Times New Roman" w:hAnsiTheme="majorHAnsi" w:cstheme="majorHAnsi"/>
          <w:szCs w:val="20"/>
          <w:lang w:bidi="sr-Cyrl-CS"/>
        </w:rPr>
        <w:t>-а</w:t>
      </w:r>
      <w:r w:rsidRPr="00FF386D">
        <w:rPr>
          <w:rFonts w:asciiTheme="majorHAnsi" w:eastAsia="Times New Roman" w:hAnsiTheme="majorHAnsi" w:cstheme="majorHAnsi"/>
          <w:szCs w:val="20"/>
          <w:lang w:bidi="sr-Cyrl-CS"/>
        </w:rPr>
        <w:t>. Тренутна енергетска зависност је на релативно ниском нивоу и императив је да она остане на сличном нивоу због високог учешћа деривата нафте и, у мањој мери, природног гаса. Сходно томе, енергетска зависност не би требало да пређе ниво од 41% у 2030. години.</w:t>
      </w:r>
    </w:p>
    <w:p w14:paraId="1533CA59" w14:textId="130B9989" w:rsidR="00DC6720" w:rsidRPr="00FF386D" w:rsidRDefault="00DC6720" w:rsidP="00DC6720">
      <w:pPr>
        <w:spacing w:after="120" w:line="240" w:lineRule="atLeast"/>
        <w:jc w:val="both"/>
        <w:rPr>
          <w:rFonts w:asciiTheme="majorHAnsi" w:eastAsia="Times New Roman" w:hAnsiTheme="majorHAnsi" w:cstheme="majorHAnsi"/>
          <w:szCs w:val="20"/>
          <w:lang w:bidi="sr-Cyrl-CS"/>
        </w:rPr>
      </w:pPr>
      <w:r w:rsidRPr="00FF386D">
        <w:rPr>
          <w:rFonts w:asciiTheme="majorHAnsi" w:eastAsia="Times New Roman" w:hAnsiTheme="majorHAnsi" w:cstheme="majorHAnsi"/>
          <w:szCs w:val="20"/>
          <w:lang w:bidi="sr-Cyrl-CS"/>
        </w:rPr>
        <w:t xml:space="preserve">Најзад, </w:t>
      </w:r>
      <w:r w:rsidR="003D0882" w:rsidRPr="00FF386D">
        <w:rPr>
          <w:rFonts w:asciiTheme="majorHAnsi" w:eastAsia="Times New Roman" w:hAnsiTheme="majorHAnsi" w:cstheme="majorHAnsi"/>
          <w:szCs w:val="20"/>
          <w:lang w:bidi="sr-Cyrl-CS"/>
        </w:rPr>
        <w:t>још један од</w:t>
      </w:r>
      <w:r w:rsidRPr="00FF386D">
        <w:rPr>
          <w:rFonts w:asciiTheme="majorHAnsi" w:eastAsia="Times New Roman" w:hAnsiTheme="majorHAnsi" w:cstheme="majorHAnsi"/>
          <w:szCs w:val="20"/>
          <w:lang w:bidi="sr-Cyrl-CS"/>
        </w:rPr>
        <w:t xml:space="preserve"> циљ</w:t>
      </w:r>
      <w:r w:rsidR="003D0882" w:rsidRPr="00FF386D">
        <w:rPr>
          <w:rFonts w:asciiTheme="majorHAnsi" w:eastAsia="Times New Roman" w:hAnsiTheme="majorHAnsi" w:cstheme="majorHAnsi"/>
          <w:szCs w:val="20"/>
          <w:lang w:bidi="sr-Cyrl-CS"/>
        </w:rPr>
        <w:t>ева</w:t>
      </w:r>
      <w:r w:rsidRPr="00FF386D">
        <w:rPr>
          <w:rFonts w:asciiTheme="majorHAnsi" w:eastAsia="Times New Roman" w:hAnsiTheme="majorHAnsi" w:cstheme="majorHAnsi"/>
          <w:szCs w:val="20"/>
          <w:lang w:bidi="sr-Cyrl-CS"/>
        </w:rPr>
        <w:t xml:space="preserve"> је обезбеђивање </w:t>
      </w:r>
      <w:r w:rsidRPr="00FF386D">
        <w:rPr>
          <w:rFonts w:asciiTheme="majorHAnsi" w:eastAsia="Times New Roman" w:hAnsiTheme="majorHAnsi" w:cstheme="majorHAnsi"/>
          <w:b/>
          <w:szCs w:val="20"/>
          <w:lang w:bidi="sr-Cyrl-CS"/>
        </w:rPr>
        <w:t xml:space="preserve">потребне адекватности електроенергетског система </w:t>
      </w:r>
      <w:r w:rsidRPr="00FF386D">
        <w:rPr>
          <w:rFonts w:asciiTheme="majorHAnsi" w:eastAsia="Times New Roman" w:hAnsiTheme="majorHAnsi" w:cstheme="majorHAnsi"/>
          <w:szCs w:val="20"/>
          <w:lang w:bidi="sr-Cyrl-CS"/>
        </w:rPr>
        <w:t xml:space="preserve">како би се постигао минимални ниво поузданости </w:t>
      </w:r>
      <w:r w:rsidR="003D0882" w:rsidRPr="00FF386D">
        <w:rPr>
          <w:rFonts w:asciiTheme="majorHAnsi" w:eastAsia="Times New Roman" w:hAnsiTheme="majorHAnsi" w:cstheme="majorHAnsi"/>
          <w:szCs w:val="20"/>
          <w:lang w:bidi="sr-Cyrl-CS"/>
        </w:rPr>
        <w:t xml:space="preserve">који је </w:t>
      </w:r>
      <w:r w:rsidRPr="00FF386D">
        <w:rPr>
          <w:rFonts w:asciiTheme="majorHAnsi" w:eastAsia="Times New Roman" w:hAnsiTheme="majorHAnsi" w:cstheme="majorHAnsi"/>
          <w:szCs w:val="20"/>
          <w:lang w:bidi="sr-Cyrl-CS"/>
        </w:rPr>
        <w:t xml:space="preserve">потребан за </w:t>
      </w:r>
      <w:r w:rsidR="003D0882" w:rsidRPr="00FF386D">
        <w:rPr>
          <w:rFonts w:asciiTheme="majorHAnsi" w:eastAsia="Times New Roman" w:hAnsiTheme="majorHAnsi" w:cstheme="majorHAnsi"/>
          <w:szCs w:val="20"/>
          <w:lang w:bidi="sr-Cyrl-CS"/>
        </w:rPr>
        <w:t>задовољење</w:t>
      </w:r>
      <w:r w:rsidRPr="00FF386D">
        <w:rPr>
          <w:rFonts w:asciiTheme="majorHAnsi" w:eastAsia="Times New Roman" w:hAnsiTheme="majorHAnsi" w:cstheme="majorHAnsi"/>
          <w:szCs w:val="20"/>
          <w:lang w:bidi="sr-Cyrl-CS"/>
        </w:rPr>
        <w:t xml:space="preserve"> потражње за електричном енергијом, узимајући у обзир одлуку о смањењу производње електричне енергије у постројењима на лигнит. Да би се постигао овај циљ, биће неопходно усвојити механизме за јачање </w:t>
      </w:r>
      <w:r w:rsidR="004E5584">
        <w:rPr>
          <w:rFonts w:asciiTheme="majorHAnsi" w:eastAsia="Times New Roman" w:hAnsiTheme="majorHAnsi" w:cstheme="majorHAnsi"/>
          <w:szCs w:val="20"/>
          <w:lang w:bidi="sr-Cyrl-CS"/>
        </w:rPr>
        <w:t xml:space="preserve">флексибилности </w:t>
      </w:r>
      <w:r w:rsidRPr="00FF386D">
        <w:rPr>
          <w:rFonts w:asciiTheme="majorHAnsi" w:eastAsia="Times New Roman" w:hAnsiTheme="majorHAnsi" w:cstheme="majorHAnsi"/>
          <w:szCs w:val="20"/>
          <w:lang w:bidi="sr-Cyrl-CS"/>
        </w:rPr>
        <w:t xml:space="preserve">система </w:t>
      </w:r>
      <w:r w:rsidR="003D0882" w:rsidRPr="00FF386D">
        <w:rPr>
          <w:rFonts w:asciiTheme="majorHAnsi" w:eastAsia="Times New Roman" w:hAnsiTheme="majorHAnsi" w:cstheme="majorHAnsi"/>
          <w:szCs w:val="20"/>
          <w:lang w:bidi="sr-Cyrl-CS"/>
        </w:rPr>
        <w:t xml:space="preserve">уз помоћ </w:t>
      </w:r>
      <w:r w:rsidRPr="00FF386D">
        <w:rPr>
          <w:rFonts w:asciiTheme="majorHAnsi" w:eastAsia="Times New Roman" w:hAnsiTheme="majorHAnsi" w:cstheme="majorHAnsi"/>
          <w:szCs w:val="20"/>
          <w:lang w:bidi="sr-Cyrl-CS"/>
        </w:rPr>
        <w:t>додатни</w:t>
      </w:r>
      <w:r w:rsidR="003D0882" w:rsidRPr="00FF386D">
        <w:rPr>
          <w:rFonts w:asciiTheme="majorHAnsi" w:eastAsia="Times New Roman" w:hAnsiTheme="majorHAnsi" w:cstheme="majorHAnsi"/>
          <w:szCs w:val="20"/>
          <w:lang w:bidi="sr-Cyrl-CS"/>
        </w:rPr>
        <w:t xml:space="preserve">х </w:t>
      </w:r>
      <w:r w:rsidRPr="00FF386D">
        <w:rPr>
          <w:rFonts w:asciiTheme="majorHAnsi" w:eastAsia="Times New Roman" w:hAnsiTheme="majorHAnsi" w:cstheme="majorHAnsi"/>
          <w:szCs w:val="20"/>
          <w:lang w:bidi="sr-Cyrl-CS"/>
        </w:rPr>
        <w:t>капацитет</w:t>
      </w:r>
      <w:r w:rsidR="003D0882" w:rsidRPr="00FF386D">
        <w:rPr>
          <w:rFonts w:asciiTheme="majorHAnsi" w:eastAsia="Times New Roman" w:hAnsiTheme="majorHAnsi" w:cstheme="majorHAnsi"/>
          <w:szCs w:val="20"/>
          <w:lang w:bidi="sr-Cyrl-CS"/>
        </w:rPr>
        <w:t>а</w:t>
      </w:r>
      <w:r w:rsidRPr="00FF386D">
        <w:rPr>
          <w:rFonts w:asciiTheme="majorHAnsi" w:eastAsia="Times New Roman" w:hAnsiTheme="majorHAnsi" w:cstheme="majorHAnsi"/>
          <w:szCs w:val="20"/>
          <w:lang w:bidi="sr-Cyrl-CS"/>
        </w:rPr>
        <w:t xml:space="preserve"> за производњу електричне енергије или промовисање шеме од</w:t>
      </w:r>
      <w:r w:rsidR="00BB3CD5" w:rsidRPr="00FF386D">
        <w:rPr>
          <w:rFonts w:asciiTheme="majorHAnsi" w:eastAsia="Times New Roman" w:hAnsiTheme="majorHAnsi" w:cstheme="majorHAnsi"/>
          <w:szCs w:val="20"/>
          <w:lang w:bidi="sr-Cyrl-CS"/>
        </w:rPr>
        <w:t>зива</w:t>
      </w:r>
      <w:r w:rsidRPr="00FF386D">
        <w:rPr>
          <w:rFonts w:asciiTheme="majorHAnsi" w:eastAsia="Times New Roman" w:hAnsiTheme="majorHAnsi" w:cstheme="majorHAnsi"/>
          <w:szCs w:val="20"/>
          <w:lang w:bidi="sr-Cyrl-CS"/>
        </w:rPr>
        <w:t xml:space="preserve"> потражњ</w:t>
      </w:r>
      <w:r w:rsidR="00BB3CD5" w:rsidRPr="00FF386D">
        <w:rPr>
          <w:rFonts w:asciiTheme="majorHAnsi" w:eastAsia="Times New Roman" w:hAnsiTheme="majorHAnsi" w:cstheme="majorHAnsi"/>
          <w:szCs w:val="20"/>
          <w:lang w:bidi="sr-Cyrl-CS"/>
        </w:rPr>
        <w:t>е</w:t>
      </w:r>
      <w:r w:rsidRPr="00FF386D">
        <w:rPr>
          <w:rFonts w:asciiTheme="majorHAnsi" w:eastAsia="Times New Roman" w:hAnsiTheme="majorHAnsi" w:cstheme="majorHAnsi"/>
          <w:szCs w:val="20"/>
          <w:lang w:bidi="sr-Cyrl-CS"/>
        </w:rPr>
        <w:t>.</w:t>
      </w:r>
    </w:p>
    <w:p w14:paraId="64B90FFC" w14:textId="186B33F3" w:rsidR="00653D73" w:rsidRPr="00565B02" w:rsidRDefault="001D2C8E" w:rsidP="00653D73">
      <w:pPr>
        <w:pStyle w:val="Heading2"/>
        <w:rPr>
          <w:lang w:val="sr-Cyrl-RS"/>
        </w:rPr>
      </w:pPr>
      <w:bookmarkStart w:id="93" w:name="_Toc153901538"/>
      <w:bookmarkStart w:id="94" w:name="_bookmark46"/>
      <w:bookmarkStart w:id="95" w:name="_Toc137457020"/>
      <w:bookmarkStart w:id="96" w:name="_Toc153901539"/>
      <w:bookmarkEnd w:id="93"/>
      <w:bookmarkEnd w:id="94"/>
      <w:r w:rsidRPr="00565B02">
        <w:rPr>
          <w:lang w:val="sr-Cyrl-RS"/>
        </w:rPr>
        <w:t xml:space="preserve">Унутрашње </w:t>
      </w:r>
      <w:r w:rsidR="00DC6720" w:rsidRPr="00565B02">
        <w:rPr>
          <w:lang w:val="sr-Cyrl-RS"/>
        </w:rPr>
        <w:t xml:space="preserve">енергетско </w:t>
      </w:r>
      <w:r w:rsidRPr="00565B02">
        <w:rPr>
          <w:lang w:val="sr-Cyrl-RS"/>
        </w:rPr>
        <w:t>тржиште</w:t>
      </w:r>
      <w:bookmarkEnd w:id="95"/>
      <w:bookmarkEnd w:id="96"/>
    </w:p>
    <w:p w14:paraId="730769AB" w14:textId="77777777" w:rsidR="00DC6720" w:rsidRPr="00FF386D" w:rsidRDefault="00DC6720" w:rsidP="00DC6720">
      <w:pPr>
        <w:spacing w:after="120" w:line="240" w:lineRule="atLeast"/>
        <w:ind w:right="193"/>
        <w:jc w:val="both"/>
        <w:rPr>
          <w:rFonts w:asciiTheme="majorHAnsi" w:eastAsia="Times New Roman" w:hAnsiTheme="majorHAnsi" w:cstheme="majorHAnsi"/>
          <w:szCs w:val="20"/>
        </w:rPr>
      </w:pPr>
      <w:bookmarkStart w:id="97" w:name="_bookmark47"/>
      <w:bookmarkEnd w:id="97"/>
      <w:r w:rsidRPr="00FF386D">
        <w:rPr>
          <w:rFonts w:asciiTheme="majorHAnsi" w:eastAsia="Times New Roman" w:hAnsiTheme="majorHAnsi" w:cstheme="majorHAnsi"/>
          <w:szCs w:val="20"/>
          <w:lang w:bidi="sr-Cyrl-CS"/>
        </w:rPr>
        <w:t xml:space="preserve">У оквиру димензије унутрашњег енергетског тржишта промовисаће се </w:t>
      </w:r>
      <w:r w:rsidRPr="00FF386D">
        <w:rPr>
          <w:rFonts w:asciiTheme="majorHAnsi" w:eastAsia="Times New Roman" w:hAnsiTheme="majorHAnsi" w:cstheme="majorHAnsi"/>
          <w:b/>
          <w:szCs w:val="20"/>
          <w:lang w:bidi="sr-Cyrl-CS"/>
        </w:rPr>
        <w:t>интеграција тржишта и успостављање конкурентних енергетских тржишта</w:t>
      </w:r>
      <w:r w:rsidRPr="00FF386D">
        <w:rPr>
          <w:rFonts w:asciiTheme="majorHAnsi" w:eastAsia="Times New Roman" w:hAnsiTheme="majorHAnsi" w:cstheme="majorHAnsi"/>
          <w:szCs w:val="20"/>
          <w:lang w:bidi="sr-Cyrl-CS"/>
        </w:rPr>
        <w:t>. Биће покренуте потребне реформе за усклађивање домаћих тржишта електричне енергије и природног гаса са директивама и уредбама ЕУ о одговарајућим тржиштима.</w:t>
      </w:r>
    </w:p>
    <w:p w14:paraId="7E6DB24A" w14:textId="22628326" w:rsidR="00DC6720" w:rsidRPr="00FF386D" w:rsidRDefault="00DC6720" w:rsidP="00DC6720">
      <w:pPr>
        <w:spacing w:after="120" w:line="240" w:lineRule="atLeast"/>
        <w:ind w:right="193"/>
        <w:jc w:val="both"/>
        <w:rPr>
          <w:rFonts w:asciiTheme="majorHAnsi" w:eastAsia="Times New Roman" w:hAnsiTheme="majorHAnsi" w:cstheme="majorHAnsi"/>
          <w:szCs w:val="20"/>
        </w:rPr>
      </w:pPr>
      <w:r w:rsidRPr="00FF386D">
        <w:rPr>
          <w:rFonts w:asciiTheme="majorHAnsi" w:eastAsia="Times New Roman" w:hAnsiTheme="majorHAnsi" w:cstheme="majorHAnsi"/>
          <w:bCs/>
          <w:szCs w:val="20"/>
          <w:lang w:bidi="sr-Cyrl-CS"/>
        </w:rPr>
        <w:t>Због побољшаних токова енергије преко интерконекција</w:t>
      </w:r>
      <w:r w:rsidR="004E5584">
        <w:rPr>
          <w:rFonts w:asciiTheme="majorHAnsi" w:eastAsia="Times New Roman" w:hAnsiTheme="majorHAnsi" w:cstheme="majorHAnsi"/>
          <w:bCs/>
          <w:szCs w:val="20"/>
          <w:lang w:bidi="sr-Cyrl-CS"/>
        </w:rPr>
        <w:t xml:space="preserve"> (минимални циљ за прекогранични капацитет је 70%)</w:t>
      </w:r>
      <w:r w:rsidRPr="00FF386D">
        <w:rPr>
          <w:rFonts w:asciiTheme="majorHAnsi" w:eastAsia="Times New Roman" w:hAnsiTheme="majorHAnsi" w:cstheme="majorHAnsi"/>
          <w:bCs/>
          <w:szCs w:val="20"/>
          <w:lang w:bidi="sr-Cyrl-CS"/>
        </w:rPr>
        <w:t>,</w:t>
      </w:r>
      <w:r w:rsidRPr="00FF386D">
        <w:rPr>
          <w:rFonts w:asciiTheme="majorHAnsi" w:eastAsia="Times New Roman" w:hAnsiTheme="majorHAnsi" w:cstheme="majorHAnsi"/>
          <w:b/>
          <w:szCs w:val="20"/>
          <w:lang w:bidi="sr-Cyrl-CS"/>
        </w:rPr>
        <w:t xml:space="preserve"> спајање енергетских тржишта</w:t>
      </w:r>
      <w:r w:rsidRPr="00FF386D">
        <w:rPr>
          <w:rFonts w:asciiTheme="majorHAnsi" w:eastAsia="Times New Roman" w:hAnsiTheme="majorHAnsi" w:cstheme="majorHAnsi"/>
          <w:szCs w:val="20"/>
          <w:lang w:bidi="sr-Cyrl-CS"/>
        </w:rPr>
        <w:t xml:space="preserve"> ће помоћи повећању ликвидности међусобно повезаних тржишта и омогућити учешће ОИЕ у прекограничној трговини електричном енергијом.</w:t>
      </w:r>
    </w:p>
    <w:p w14:paraId="515DB3BF" w14:textId="77777777" w:rsidR="00DC6720" w:rsidRPr="00FF386D" w:rsidRDefault="00DC6720" w:rsidP="00DC6720">
      <w:pPr>
        <w:spacing w:after="120" w:line="240" w:lineRule="atLeast"/>
        <w:ind w:right="193"/>
        <w:jc w:val="both"/>
        <w:rPr>
          <w:rFonts w:asciiTheme="majorHAnsi" w:eastAsia="Times New Roman" w:hAnsiTheme="majorHAnsi" w:cstheme="majorHAnsi"/>
          <w:szCs w:val="20"/>
        </w:rPr>
      </w:pPr>
      <w:r w:rsidRPr="00FF386D">
        <w:rPr>
          <w:rFonts w:asciiTheme="majorHAnsi" w:eastAsia="Times New Roman" w:hAnsiTheme="majorHAnsi" w:cstheme="majorHAnsi"/>
          <w:szCs w:val="20"/>
          <w:lang w:bidi="sr-Cyrl-CS"/>
        </w:rPr>
        <w:t>Учешће на новим енергетским тржиштима омогућиће да ОИЕ добију подстицај и способност да уравнотеже своју производњу ближе реалном времену, чиме се смањују потребе и повезани трошкови за резерве и повећава сигурност система.</w:t>
      </w:r>
    </w:p>
    <w:p w14:paraId="12C591C3" w14:textId="4F76C4B0" w:rsidR="00DC6720" w:rsidRPr="00FF386D" w:rsidRDefault="00DC6720" w:rsidP="00DC6720">
      <w:pPr>
        <w:spacing w:after="120" w:line="240" w:lineRule="atLeast"/>
        <w:jc w:val="both"/>
        <w:rPr>
          <w:rFonts w:asciiTheme="majorHAnsi" w:eastAsia="Times New Roman" w:hAnsiTheme="majorHAnsi" w:cstheme="majorHAnsi"/>
          <w:szCs w:val="20"/>
        </w:rPr>
      </w:pPr>
      <w:r w:rsidRPr="00FF386D">
        <w:rPr>
          <w:rFonts w:asciiTheme="majorHAnsi" w:eastAsia="Times New Roman" w:hAnsiTheme="majorHAnsi" w:cstheme="majorHAnsi"/>
          <w:szCs w:val="20"/>
          <w:lang w:bidi="sr-Cyrl-CS"/>
        </w:rPr>
        <w:t xml:space="preserve">Још један циљ је </w:t>
      </w:r>
      <w:r w:rsidRPr="00FF386D">
        <w:rPr>
          <w:rFonts w:asciiTheme="majorHAnsi" w:eastAsia="Times New Roman" w:hAnsiTheme="majorHAnsi" w:cstheme="majorHAnsi"/>
          <w:b/>
          <w:szCs w:val="20"/>
          <w:lang w:bidi="sr-Cyrl-CS"/>
        </w:rPr>
        <w:t>јачање улоге потрошача на тржишту електричне енергије</w:t>
      </w:r>
      <w:r w:rsidRPr="00FF386D">
        <w:rPr>
          <w:rFonts w:asciiTheme="majorHAnsi" w:eastAsia="Times New Roman" w:hAnsiTheme="majorHAnsi" w:cstheme="majorHAnsi"/>
          <w:szCs w:val="20"/>
          <w:lang w:bidi="sr-Cyrl-CS"/>
        </w:rPr>
        <w:t xml:space="preserve"> путем повећања учешћа на страни потрошње на тржишту електричне енергије и </w:t>
      </w:r>
      <w:r w:rsidR="00477920" w:rsidRPr="00FF386D">
        <w:rPr>
          <w:rFonts w:asciiTheme="majorHAnsi" w:eastAsia="Times New Roman" w:hAnsiTheme="majorHAnsi" w:cstheme="majorHAnsi"/>
          <w:szCs w:val="20"/>
          <w:lang w:bidi="sr-Cyrl-CS"/>
        </w:rPr>
        <w:t>промовисање примене</w:t>
      </w:r>
      <w:r w:rsidRPr="00FF386D">
        <w:rPr>
          <w:rFonts w:asciiTheme="majorHAnsi" w:eastAsia="Times New Roman" w:hAnsiTheme="majorHAnsi" w:cstheme="majorHAnsi"/>
          <w:szCs w:val="20"/>
          <w:lang w:bidi="sr-Cyrl-CS"/>
        </w:rPr>
        <w:t xml:space="preserve"> система складиштења чиме ће се обезбедити ниже цене енергије и ојачати учешће ОИЕ и адекватност електроенергетског система.</w:t>
      </w:r>
    </w:p>
    <w:p w14:paraId="4075A47B" w14:textId="77777777" w:rsidR="00DC6720" w:rsidRPr="00FF386D" w:rsidRDefault="00DC6720" w:rsidP="00DC6720">
      <w:pPr>
        <w:spacing w:after="120" w:line="240" w:lineRule="atLeast"/>
        <w:ind w:right="193"/>
        <w:jc w:val="both"/>
        <w:rPr>
          <w:rFonts w:asciiTheme="majorHAnsi" w:eastAsia="Times New Roman" w:hAnsiTheme="majorHAnsi" w:cstheme="majorHAnsi"/>
          <w:szCs w:val="20"/>
        </w:rPr>
      </w:pPr>
      <w:r w:rsidRPr="00FF386D">
        <w:rPr>
          <w:rFonts w:asciiTheme="majorHAnsi" w:eastAsia="Times New Roman" w:hAnsiTheme="majorHAnsi" w:cstheme="majorHAnsi"/>
          <w:b/>
          <w:szCs w:val="20"/>
          <w:lang w:bidi="sr-Cyrl-CS"/>
        </w:rPr>
        <w:t>Дигитализација енергетског система</w:t>
      </w:r>
      <w:r w:rsidRPr="00FF386D">
        <w:rPr>
          <w:rFonts w:asciiTheme="majorHAnsi" w:eastAsia="Times New Roman" w:hAnsiTheme="majorHAnsi" w:cstheme="majorHAnsi"/>
          <w:szCs w:val="20"/>
          <w:lang w:bidi="sr-Cyrl-CS"/>
        </w:rPr>
        <w:t xml:space="preserve"> је предуслов за развој оперативних и конкурентних домаћих енергетских тржишта на прописан начин, као и за оптимално спровођење и коришћење свих технолошких апликација и тржишних механизама који се могу развити у контексту енергетских тржишта. Кроз развојне програме оператера, акценат ће бити на планирању и спровођењу релевантних инфраструктурних пројеката, информационих система, контролних центара и мерних уређаја који ће омогућити потпуни прелазак са постојећег енергетског система на потпуно дигитализовани систем, уз обезбеђивање сигурног управљања подацима о потрошачима.</w:t>
      </w:r>
    </w:p>
    <w:p w14:paraId="7C33D6D3" w14:textId="77777777" w:rsidR="00DC6720" w:rsidRPr="00FF386D" w:rsidRDefault="00DC6720" w:rsidP="00DC6720">
      <w:pPr>
        <w:spacing w:after="120" w:line="240" w:lineRule="atLeast"/>
        <w:jc w:val="both"/>
        <w:rPr>
          <w:rFonts w:asciiTheme="majorHAnsi" w:eastAsia="Times New Roman" w:hAnsiTheme="majorHAnsi" w:cstheme="majorHAnsi"/>
          <w:szCs w:val="20"/>
        </w:rPr>
      </w:pPr>
      <w:r w:rsidRPr="00FF386D">
        <w:rPr>
          <w:rFonts w:asciiTheme="majorHAnsi" w:eastAsia="Times New Roman" w:hAnsiTheme="majorHAnsi" w:cstheme="majorHAnsi"/>
          <w:b/>
          <w:szCs w:val="20"/>
          <w:lang w:bidi="sr-Cyrl-CS"/>
        </w:rPr>
        <w:t>Смањење енергетског сиромаштва</w:t>
      </w:r>
      <w:r w:rsidRPr="00FF386D">
        <w:rPr>
          <w:rFonts w:asciiTheme="majorHAnsi" w:eastAsia="Times New Roman" w:hAnsiTheme="majorHAnsi" w:cstheme="majorHAnsi"/>
          <w:szCs w:val="20"/>
          <w:lang w:bidi="sr-Cyrl-CS"/>
        </w:rPr>
        <w:t xml:space="preserve"> представља такође циљ с обзиром на то да је у овом домену бележено постепено погоршавање услед енергетске кризе. Смањење енергетског сиромаштва за 75% у 2030. години у односу на 2020. годину постављено је као национални циљ.</w:t>
      </w:r>
    </w:p>
    <w:p w14:paraId="6BC55C2E" w14:textId="5B14FAFA" w:rsidR="00DC6720" w:rsidRPr="00FF386D" w:rsidRDefault="00DC6720" w:rsidP="00DC6720">
      <w:pPr>
        <w:spacing w:after="120" w:line="240" w:lineRule="atLeast"/>
        <w:jc w:val="both"/>
        <w:rPr>
          <w:rFonts w:asciiTheme="majorHAnsi" w:eastAsia="Times New Roman" w:hAnsiTheme="majorHAnsi" w:cstheme="majorHAnsi"/>
          <w:szCs w:val="20"/>
          <w:lang w:bidi="sr-Cyrl-CS"/>
        </w:rPr>
      </w:pPr>
      <w:r w:rsidRPr="00FF386D">
        <w:rPr>
          <w:rFonts w:asciiTheme="majorHAnsi" w:eastAsia="Times New Roman" w:hAnsiTheme="majorHAnsi" w:cstheme="majorHAnsi"/>
          <w:szCs w:val="20"/>
          <w:lang w:bidi="sr-Cyrl-CS"/>
        </w:rPr>
        <w:t xml:space="preserve">Најзад, допринос </w:t>
      </w:r>
      <w:r w:rsidR="003D0882" w:rsidRPr="00FF386D">
        <w:rPr>
          <w:rFonts w:asciiTheme="majorHAnsi" w:eastAsia="Times New Roman" w:hAnsiTheme="majorHAnsi" w:cstheme="majorHAnsi"/>
          <w:b/>
          <w:szCs w:val="20"/>
          <w:lang w:bidi="sr-Cyrl-CS"/>
        </w:rPr>
        <w:t>шема</w:t>
      </w:r>
      <w:r w:rsidRPr="00FF386D">
        <w:rPr>
          <w:rFonts w:asciiTheme="majorHAnsi" w:eastAsia="Times New Roman" w:hAnsiTheme="majorHAnsi" w:cstheme="majorHAnsi"/>
          <w:b/>
          <w:szCs w:val="20"/>
          <w:lang w:bidi="sr-Cyrl-CS"/>
        </w:rPr>
        <w:t xml:space="preserve"> </w:t>
      </w:r>
      <w:r w:rsidR="003D0882" w:rsidRPr="00FF386D">
        <w:rPr>
          <w:rFonts w:asciiTheme="majorHAnsi" w:eastAsia="Times New Roman" w:hAnsiTheme="majorHAnsi" w:cstheme="majorHAnsi"/>
          <w:b/>
          <w:szCs w:val="20"/>
          <w:lang w:bidi="sr-Cyrl-CS"/>
        </w:rPr>
        <w:t xml:space="preserve">развоја </w:t>
      </w:r>
      <w:r w:rsidRPr="00FF386D">
        <w:rPr>
          <w:rFonts w:asciiTheme="majorHAnsi" w:eastAsia="Times New Roman" w:hAnsiTheme="majorHAnsi" w:cstheme="majorHAnsi"/>
          <w:b/>
          <w:szCs w:val="20"/>
          <w:lang w:bidi="sr-Cyrl-CS"/>
        </w:rPr>
        <w:t>локалн</w:t>
      </w:r>
      <w:r w:rsidR="003D0882" w:rsidRPr="00FF386D">
        <w:rPr>
          <w:rFonts w:asciiTheme="majorHAnsi" w:eastAsia="Times New Roman" w:hAnsiTheme="majorHAnsi" w:cstheme="majorHAnsi"/>
          <w:b/>
          <w:szCs w:val="20"/>
          <w:lang w:bidi="sr-Cyrl-CS"/>
        </w:rPr>
        <w:t>их</w:t>
      </w:r>
      <w:r w:rsidRPr="00FF386D">
        <w:rPr>
          <w:rFonts w:asciiTheme="majorHAnsi" w:eastAsia="Times New Roman" w:hAnsiTheme="majorHAnsi" w:cstheme="majorHAnsi"/>
          <w:b/>
          <w:szCs w:val="20"/>
          <w:lang w:bidi="sr-Cyrl-CS"/>
        </w:rPr>
        <w:t xml:space="preserve"> енергетск</w:t>
      </w:r>
      <w:r w:rsidR="003D0882" w:rsidRPr="00FF386D">
        <w:rPr>
          <w:rFonts w:asciiTheme="majorHAnsi" w:eastAsia="Times New Roman" w:hAnsiTheme="majorHAnsi" w:cstheme="majorHAnsi"/>
          <w:b/>
          <w:szCs w:val="20"/>
          <w:lang w:bidi="sr-Cyrl-CS"/>
        </w:rPr>
        <w:t>их</w:t>
      </w:r>
      <w:r w:rsidRPr="00FF386D">
        <w:rPr>
          <w:rFonts w:asciiTheme="majorHAnsi" w:eastAsia="Times New Roman" w:hAnsiTheme="majorHAnsi" w:cstheme="majorHAnsi"/>
          <w:b/>
          <w:szCs w:val="20"/>
          <w:lang w:bidi="sr-Cyrl-CS"/>
        </w:rPr>
        <w:t xml:space="preserve"> заједниц</w:t>
      </w:r>
      <w:r w:rsidR="003D0882" w:rsidRPr="00FF386D">
        <w:rPr>
          <w:rFonts w:asciiTheme="majorHAnsi" w:eastAsia="Times New Roman" w:hAnsiTheme="majorHAnsi" w:cstheme="majorHAnsi"/>
          <w:b/>
          <w:szCs w:val="20"/>
          <w:lang w:bidi="sr-Cyrl-CS"/>
        </w:rPr>
        <w:t>а</w:t>
      </w:r>
      <w:r w:rsidRPr="00FF386D">
        <w:rPr>
          <w:rFonts w:asciiTheme="majorHAnsi" w:eastAsia="Times New Roman" w:hAnsiTheme="majorHAnsi" w:cstheme="majorHAnsi"/>
          <w:szCs w:val="20"/>
          <w:lang w:bidi="sr-Cyrl-CS"/>
        </w:rPr>
        <w:t xml:space="preserve"> је двострук, јер ће допринети како примени ОИЕ и улагањима у енергетску ефикасност, као што је претходно наведено, тако и активнијем учешћу локалне заједнице јачањем улоге потрошача. Постављени квантитативни циљ обухвата </w:t>
      </w:r>
      <w:r w:rsidRPr="00FF386D">
        <w:rPr>
          <w:rFonts w:asciiTheme="majorHAnsi" w:eastAsia="Times New Roman" w:hAnsiTheme="majorHAnsi" w:cstheme="majorHAnsi"/>
          <w:szCs w:val="20"/>
          <w:lang w:bidi="sr-Cyrl-CS"/>
        </w:rPr>
        <w:lastRenderedPageBreak/>
        <w:t xml:space="preserve">инсталацију и рад нових </w:t>
      </w:r>
      <w:r w:rsidR="00116700">
        <w:rPr>
          <w:rFonts w:asciiTheme="majorHAnsi" w:eastAsia="Times New Roman" w:hAnsiTheme="majorHAnsi" w:cstheme="majorHAnsi"/>
          <w:szCs w:val="20"/>
          <w:lang w:bidi="sr-Cyrl-CS"/>
        </w:rPr>
        <w:t>шема</w:t>
      </w:r>
      <w:r w:rsidR="00116700" w:rsidRPr="00FF386D">
        <w:rPr>
          <w:rFonts w:asciiTheme="majorHAnsi" w:eastAsia="Times New Roman" w:hAnsiTheme="majorHAnsi" w:cstheme="majorHAnsi"/>
          <w:szCs w:val="20"/>
          <w:lang w:bidi="sr-Cyrl-CS"/>
        </w:rPr>
        <w:t xml:space="preserve"> </w:t>
      </w:r>
      <w:r w:rsidR="003D0882" w:rsidRPr="00FF386D">
        <w:rPr>
          <w:rFonts w:asciiTheme="majorHAnsi" w:eastAsia="Times New Roman" w:hAnsiTheme="majorHAnsi" w:cstheme="majorHAnsi"/>
          <w:szCs w:val="20"/>
          <w:lang w:bidi="sr-Cyrl-CS"/>
        </w:rPr>
        <w:t xml:space="preserve">за производњу енергије за сопствене потребе </w:t>
      </w:r>
      <w:r w:rsidRPr="00FF386D">
        <w:rPr>
          <w:rFonts w:asciiTheme="majorHAnsi" w:eastAsia="Times New Roman" w:hAnsiTheme="majorHAnsi" w:cstheme="majorHAnsi"/>
          <w:szCs w:val="20"/>
          <w:lang w:bidi="sr-Cyrl-CS"/>
        </w:rPr>
        <w:t>са инсталисаним капацитетом од 0,5 GW</w:t>
      </w:r>
      <w:r w:rsidR="00B23425" w:rsidRPr="00FF386D">
        <w:rPr>
          <w:rFonts w:asciiTheme="majorHAnsi" w:eastAsia="Times New Roman" w:hAnsiTheme="majorHAnsi" w:cstheme="majorHAnsi"/>
          <w:szCs w:val="20"/>
          <w:lang w:bidi="sr-Cyrl-CS"/>
        </w:rPr>
        <w:t xml:space="preserve"> (углавном кровних фотонапонских система)</w:t>
      </w:r>
      <w:r w:rsidRPr="00FF386D">
        <w:rPr>
          <w:rFonts w:asciiTheme="majorHAnsi" w:eastAsia="Times New Roman" w:hAnsiTheme="majorHAnsi" w:cstheme="majorHAnsi"/>
          <w:szCs w:val="20"/>
          <w:lang w:bidi="sr-Cyrl-CS"/>
        </w:rPr>
        <w:t xml:space="preserve"> у 2030. години.</w:t>
      </w:r>
    </w:p>
    <w:p w14:paraId="5538F461" w14:textId="710CEC5C" w:rsidR="00653D73" w:rsidRPr="00565B02" w:rsidRDefault="00DD43F5" w:rsidP="00653D73">
      <w:pPr>
        <w:pStyle w:val="Heading2"/>
        <w:rPr>
          <w:lang w:val="sr-Cyrl-RS"/>
        </w:rPr>
      </w:pPr>
      <w:bookmarkStart w:id="98" w:name="_Toc151488554"/>
      <w:bookmarkStart w:id="99" w:name="_bookmark49"/>
      <w:bookmarkStart w:id="100" w:name="_Toc137457021"/>
      <w:bookmarkStart w:id="101" w:name="_Toc153901540"/>
      <w:bookmarkEnd w:id="98"/>
      <w:bookmarkEnd w:id="99"/>
      <w:r w:rsidRPr="00565B02">
        <w:rPr>
          <w:lang w:val="sr-Cyrl-RS"/>
        </w:rPr>
        <w:t>Истраживање, иновације и конкурентност</w:t>
      </w:r>
      <w:bookmarkEnd w:id="100"/>
      <w:bookmarkEnd w:id="101"/>
    </w:p>
    <w:p w14:paraId="688D9FB0" w14:textId="77777777" w:rsidR="00DC6720" w:rsidRPr="00FF386D" w:rsidRDefault="00DC6720" w:rsidP="00DC6720">
      <w:pPr>
        <w:spacing w:after="120" w:line="240" w:lineRule="atLeast"/>
        <w:jc w:val="both"/>
        <w:rPr>
          <w:rFonts w:asciiTheme="majorHAnsi" w:eastAsia="Times New Roman" w:hAnsiTheme="majorHAnsi" w:cstheme="majorHAnsi"/>
          <w:szCs w:val="20"/>
        </w:rPr>
      </w:pPr>
      <w:bookmarkStart w:id="102" w:name="_bookmark50"/>
      <w:bookmarkEnd w:id="102"/>
      <w:r w:rsidRPr="00FF386D">
        <w:rPr>
          <w:rFonts w:asciiTheme="majorHAnsi" w:eastAsia="Times New Roman" w:hAnsiTheme="majorHAnsi" w:cstheme="majorHAnsi"/>
          <w:b/>
          <w:szCs w:val="20"/>
          <w:lang w:bidi="sr-Cyrl-CS"/>
        </w:rPr>
        <w:t>Промоција истраживања и иновација</w:t>
      </w:r>
      <w:r w:rsidRPr="00FF386D">
        <w:rPr>
          <w:rFonts w:asciiTheme="majorHAnsi" w:eastAsia="Times New Roman" w:hAnsiTheme="majorHAnsi" w:cstheme="majorHAnsi"/>
          <w:szCs w:val="20"/>
          <w:lang w:bidi="sr-Cyrl-CS"/>
        </w:rPr>
        <w:t xml:space="preserve"> ће и даље бити приоритет кроз подршку иновативним технологијама, које ће допринети испуњењу енергетских и климатских циљева. Очекује се да ће се годишњи трошкови за даљу подршку истраживању и технолошком развоју удвостручити у 2030. години у односу на 2020. годину.</w:t>
      </w:r>
    </w:p>
    <w:p w14:paraId="1C341056" w14:textId="6E9304EF" w:rsidR="00DC6720" w:rsidRDefault="00DC6720" w:rsidP="00DC6720">
      <w:pPr>
        <w:spacing w:after="120" w:line="240" w:lineRule="atLeast"/>
        <w:jc w:val="both"/>
        <w:rPr>
          <w:rFonts w:asciiTheme="majorHAnsi" w:eastAsia="Times New Roman" w:hAnsiTheme="majorHAnsi" w:cstheme="majorHAnsi"/>
          <w:szCs w:val="20"/>
          <w:lang w:bidi="sr-Cyrl-CS"/>
        </w:rPr>
      </w:pPr>
      <w:r w:rsidRPr="00FF386D">
        <w:rPr>
          <w:rFonts w:asciiTheme="majorHAnsi" w:eastAsia="Times New Roman" w:hAnsiTheme="majorHAnsi" w:cstheme="majorHAnsi"/>
          <w:b/>
          <w:szCs w:val="20"/>
          <w:lang w:bidi="sr-Cyrl-CS"/>
        </w:rPr>
        <w:t>Побољшање енергетског интензитета и интензитета емисије гасова са ефектом стаклене баште</w:t>
      </w:r>
      <w:r w:rsidRPr="00FF386D">
        <w:rPr>
          <w:rFonts w:asciiTheme="majorHAnsi" w:eastAsia="Times New Roman" w:hAnsiTheme="majorHAnsi" w:cstheme="majorHAnsi"/>
          <w:szCs w:val="20"/>
          <w:lang w:bidi="sr-Cyrl-CS"/>
        </w:rPr>
        <w:t xml:space="preserve"> успеће да повећа конкурентност привреде Србије. Тачније, усвајање циљаних политика и мера у области енергетске ефикасности допринеће и смањењу трошкова за енергију и повећању конкурентности различитих привредних сектора.</w:t>
      </w:r>
    </w:p>
    <w:p w14:paraId="707FB868" w14:textId="193127F5" w:rsidR="00341FA5" w:rsidRPr="00421D3F" w:rsidRDefault="00341FA5" w:rsidP="00DC6720">
      <w:pPr>
        <w:spacing w:after="120" w:line="240" w:lineRule="atLeast"/>
        <w:jc w:val="both"/>
        <w:rPr>
          <w:rFonts w:asciiTheme="majorHAnsi" w:eastAsia="Times New Roman" w:hAnsiTheme="majorHAnsi" w:cstheme="majorHAnsi"/>
          <w:szCs w:val="20"/>
        </w:rPr>
      </w:pPr>
      <w:r>
        <w:rPr>
          <w:rFonts w:asciiTheme="majorHAnsi" w:eastAsia="Times New Roman" w:hAnsiTheme="majorHAnsi" w:cstheme="majorHAnsi"/>
          <w:szCs w:val="20"/>
        </w:rPr>
        <w:t xml:space="preserve">Имајући у виду посвећеност Републике Србије циљевима Софијске декларације, потребно је </w:t>
      </w:r>
      <w:r w:rsidR="0008626C">
        <w:rPr>
          <w:rFonts w:asciiTheme="majorHAnsi" w:eastAsia="Times New Roman" w:hAnsiTheme="majorHAnsi" w:cstheme="majorHAnsi"/>
          <w:szCs w:val="20"/>
        </w:rPr>
        <w:t xml:space="preserve">детаљно </w:t>
      </w:r>
      <w:r>
        <w:rPr>
          <w:rFonts w:asciiTheme="majorHAnsi" w:eastAsia="Times New Roman" w:hAnsiTheme="majorHAnsi" w:cstheme="majorHAnsi"/>
          <w:szCs w:val="20"/>
        </w:rPr>
        <w:t xml:space="preserve">истражити потенцијал </w:t>
      </w:r>
      <w:r w:rsidR="0008626C">
        <w:rPr>
          <w:rFonts w:asciiTheme="majorHAnsi" w:eastAsia="Times New Roman" w:hAnsiTheme="majorHAnsi" w:cstheme="majorHAnsi"/>
          <w:szCs w:val="20"/>
        </w:rPr>
        <w:t xml:space="preserve">опција хватања, коришћења и складиштења угљеника </w:t>
      </w:r>
      <w:r w:rsidR="0008626C" w:rsidRPr="00C312D6">
        <w:rPr>
          <w:rFonts w:asciiTheme="majorHAnsi" w:eastAsia="Times New Roman" w:hAnsiTheme="majorHAnsi" w:cstheme="majorHAnsi"/>
          <w:szCs w:val="20"/>
        </w:rPr>
        <w:t>(</w:t>
      </w:r>
      <w:r w:rsidR="0008626C" w:rsidRPr="009C53DF">
        <w:rPr>
          <w:rFonts w:asciiTheme="majorHAnsi" w:eastAsia="Times New Roman" w:hAnsiTheme="majorHAnsi" w:cstheme="majorHAnsi"/>
          <w:i/>
          <w:iCs/>
          <w:szCs w:val="20"/>
          <w:lang w:val="en-US"/>
        </w:rPr>
        <w:t>CCUS</w:t>
      </w:r>
      <w:r w:rsidR="0008626C" w:rsidRPr="00C312D6">
        <w:rPr>
          <w:rFonts w:asciiTheme="majorHAnsi" w:eastAsia="Times New Roman" w:hAnsiTheme="majorHAnsi" w:cstheme="majorHAnsi"/>
          <w:szCs w:val="20"/>
        </w:rPr>
        <w:t xml:space="preserve">) </w:t>
      </w:r>
      <w:r w:rsidR="0008626C">
        <w:rPr>
          <w:rFonts w:asciiTheme="majorHAnsi" w:eastAsia="Times New Roman" w:hAnsiTheme="majorHAnsi" w:cstheme="majorHAnsi"/>
          <w:szCs w:val="20"/>
        </w:rPr>
        <w:t xml:space="preserve">на дугорочном нивоу. </w:t>
      </w:r>
      <w:r w:rsidR="009C53DF">
        <w:rPr>
          <w:rFonts w:asciiTheme="majorHAnsi" w:eastAsia="Times New Roman" w:hAnsiTheme="majorHAnsi" w:cstheme="majorHAnsi"/>
          <w:szCs w:val="20"/>
        </w:rPr>
        <w:t>Циљ би би</w:t>
      </w:r>
      <w:r w:rsidR="00FF60DE">
        <w:rPr>
          <w:rFonts w:asciiTheme="majorHAnsi" w:eastAsia="Times New Roman" w:hAnsiTheme="majorHAnsi" w:cstheme="majorHAnsi"/>
          <w:szCs w:val="20"/>
        </w:rPr>
        <w:t>о да се сакупе неизбежне емисије угљен</w:t>
      </w:r>
      <w:r w:rsidR="00421D3F" w:rsidRPr="00C312D6">
        <w:rPr>
          <w:rFonts w:asciiTheme="majorHAnsi" w:eastAsia="Times New Roman" w:hAnsiTheme="majorHAnsi" w:cstheme="majorHAnsi"/>
          <w:szCs w:val="20"/>
        </w:rPr>
        <w:t>-</w:t>
      </w:r>
      <w:r w:rsidR="00FF60DE">
        <w:rPr>
          <w:rFonts w:asciiTheme="majorHAnsi" w:eastAsia="Times New Roman" w:hAnsiTheme="majorHAnsi" w:cstheme="majorHAnsi"/>
          <w:szCs w:val="20"/>
        </w:rPr>
        <w:t>диоксида и искористе у индустриј</w:t>
      </w:r>
      <w:r w:rsidR="00421D3F">
        <w:rPr>
          <w:rFonts w:asciiTheme="majorHAnsi" w:eastAsia="Times New Roman" w:hAnsiTheme="majorHAnsi" w:cstheme="majorHAnsi"/>
          <w:szCs w:val="20"/>
        </w:rPr>
        <w:t>ској примени</w:t>
      </w:r>
      <w:r w:rsidR="00FF60DE">
        <w:rPr>
          <w:rFonts w:asciiTheme="majorHAnsi" w:eastAsia="Times New Roman" w:hAnsiTheme="majorHAnsi" w:cstheme="majorHAnsi"/>
          <w:szCs w:val="20"/>
        </w:rPr>
        <w:t xml:space="preserve"> или да се ускладиште. Анализа потенцијалних опција складиштења </w:t>
      </w:r>
      <w:r w:rsidR="00FF60DE">
        <w:rPr>
          <w:rFonts w:asciiTheme="majorHAnsi" w:eastAsia="Times New Roman" w:hAnsiTheme="majorHAnsi" w:cstheme="majorHAnsi"/>
          <w:szCs w:val="20"/>
          <w:lang w:val="en-US"/>
        </w:rPr>
        <w:t>CO</w:t>
      </w:r>
      <w:r w:rsidR="00FF60DE" w:rsidRPr="00C312D6">
        <w:rPr>
          <w:rFonts w:asciiTheme="majorHAnsi" w:eastAsia="Times New Roman" w:hAnsiTheme="majorHAnsi" w:cstheme="majorHAnsi"/>
          <w:szCs w:val="20"/>
          <w:vertAlign w:val="subscript"/>
        </w:rPr>
        <w:t>2</w:t>
      </w:r>
      <w:r w:rsidR="00FF60DE" w:rsidRPr="00C312D6">
        <w:rPr>
          <w:rFonts w:asciiTheme="majorHAnsi" w:eastAsia="Times New Roman" w:hAnsiTheme="majorHAnsi" w:cstheme="majorHAnsi"/>
          <w:szCs w:val="20"/>
        </w:rPr>
        <w:t xml:space="preserve"> </w:t>
      </w:r>
      <w:r w:rsidR="00FF60DE">
        <w:rPr>
          <w:rFonts w:asciiTheme="majorHAnsi" w:eastAsia="Times New Roman" w:hAnsiTheme="majorHAnsi" w:cstheme="majorHAnsi"/>
          <w:szCs w:val="20"/>
        </w:rPr>
        <w:t>у Србији би била неопходна</w:t>
      </w:r>
      <w:r w:rsidR="00421D3F">
        <w:rPr>
          <w:rFonts w:asciiTheme="majorHAnsi" w:eastAsia="Times New Roman" w:hAnsiTheme="majorHAnsi" w:cstheme="majorHAnsi"/>
          <w:szCs w:val="20"/>
        </w:rPr>
        <w:t>,</w:t>
      </w:r>
      <w:r w:rsidR="00FF60DE">
        <w:rPr>
          <w:rFonts w:asciiTheme="majorHAnsi" w:eastAsia="Times New Roman" w:hAnsiTheme="majorHAnsi" w:cstheme="majorHAnsi"/>
          <w:szCs w:val="20"/>
        </w:rPr>
        <w:t xml:space="preserve"> </w:t>
      </w:r>
      <w:r w:rsidR="00421D3F">
        <w:rPr>
          <w:rFonts w:asciiTheme="majorHAnsi" w:eastAsia="Times New Roman" w:hAnsiTheme="majorHAnsi" w:cstheme="majorHAnsi"/>
          <w:szCs w:val="20"/>
        </w:rPr>
        <w:t>као и спровођење истраживања и огледних активности</w:t>
      </w:r>
      <w:r w:rsidR="00D129D8">
        <w:rPr>
          <w:rFonts w:asciiTheme="majorHAnsi" w:eastAsia="Times New Roman" w:hAnsiTheme="majorHAnsi" w:cstheme="majorHAnsi"/>
          <w:szCs w:val="20"/>
        </w:rPr>
        <w:t>. Очекивано усвајање Директиве 2009/31/ЕЗ о геолошком складиштењу угљен</w:t>
      </w:r>
      <w:r w:rsidR="00421D3F" w:rsidRPr="00C312D6">
        <w:rPr>
          <w:rFonts w:asciiTheme="majorHAnsi" w:eastAsia="Times New Roman" w:hAnsiTheme="majorHAnsi" w:cstheme="majorHAnsi"/>
          <w:szCs w:val="20"/>
        </w:rPr>
        <w:t>-</w:t>
      </w:r>
      <w:r w:rsidR="00D129D8">
        <w:rPr>
          <w:rFonts w:asciiTheme="majorHAnsi" w:eastAsia="Times New Roman" w:hAnsiTheme="majorHAnsi" w:cstheme="majorHAnsi"/>
          <w:szCs w:val="20"/>
        </w:rPr>
        <w:t>диоксида од стране Министарског савета ЕЗ ће поставити базу за будуће спровођење пројеката</w:t>
      </w:r>
      <w:r w:rsidR="00D129D8" w:rsidRPr="00421D3F">
        <w:rPr>
          <w:rFonts w:asciiTheme="majorHAnsi" w:eastAsia="Times New Roman" w:hAnsiTheme="majorHAnsi" w:cstheme="majorHAnsi"/>
          <w:i/>
          <w:iCs/>
          <w:szCs w:val="20"/>
        </w:rPr>
        <w:t xml:space="preserve"> </w:t>
      </w:r>
      <w:r w:rsidR="00D129D8" w:rsidRPr="00421D3F">
        <w:rPr>
          <w:rFonts w:asciiTheme="majorHAnsi" w:eastAsia="Times New Roman" w:hAnsiTheme="majorHAnsi" w:cstheme="majorHAnsi"/>
          <w:i/>
          <w:iCs/>
          <w:szCs w:val="20"/>
          <w:lang w:val="en-US"/>
        </w:rPr>
        <w:t>CCUS</w:t>
      </w:r>
      <w:r w:rsidR="00D129D8" w:rsidRPr="00C312D6">
        <w:rPr>
          <w:rFonts w:asciiTheme="majorHAnsi" w:eastAsia="Times New Roman" w:hAnsiTheme="majorHAnsi" w:cstheme="majorHAnsi"/>
          <w:szCs w:val="20"/>
        </w:rPr>
        <w:t xml:space="preserve"> </w:t>
      </w:r>
      <w:r w:rsidR="00D129D8">
        <w:rPr>
          <w:rFonts w:asciiTheme="majorHAnsi" w:eastAsia="Times New Roman" w:hAnsiTheme="majorHAnsi" w:cstheme="majorHAnsi"/>
          <w:szCs w:val="20"/>
        </w:rPr>
        <w:t>у региону и посебно у Србији.</w:t>
      </w:r>
    </w:p>
    <w:p w14:paraId="14636E37" w14:textId="0081DD83" w:rsidR="00DC6720" w:rsidRPr="00FF386D" w:rsidRDefault="00DC6720" w:rsidP="00DC6720">
      <w:pPr>
        <w:spacing w:after="120" w:line="240" w:lineRule="atLeast"/>
        <w:jc w:val="both"/>
        <w:rPr>
          <w:rFonts w:asciiTheme="majorHAnsi" w:eastAsia="Times New Roman" w:hAnsiTheme="majorHAnsi" w:cstheme="majorHAnsi"/>
          <w:szCs w:val="20"/>
        </w:rPr>
      </w:pPr>
      <w:r w:rsidRPr="00FF386D">
        <w:rPr>
          <w:rFonts w:asciiTheme="majorHAnsi" w:eastAsia="Times New Roman" w:hAnsiTheme="majorHAnsi" w:cstheme="majorHAnsi"/>
          <w:b/>
          <w:szCs w:val="20"/>
          <w:lang w:bidi="sr-Cyrl-CS"/>
        </w:rPr>
        <w:t>Смањење трошкова за енергију</w:t>
      </w:r>
      <w:r w:rsidRPr="00FF386D">
        <w:rPr>
          <w:rFonts w:asciiTheme="majorHAnsi" w:eastAsia="Times New Roman" w:hAnsiTheme="majorHAnsi" w:cstheme="majorHAnsi"/>
          <w:szCs w:val="20"/>
          <w:lang w:bidi="sr-Cyrl-CS"/>
        </w:rPr>
        <w:t xml:space="preserve"> ће учинити да енергенти буду приступачнији свим потрошачима. Креирање неопходних политика и мера ће узети у обзир куповну моћ потрошача и њихових посебних група, као и све локалне карактеристике, као што су услови у руралним подручјима. Циљ које је постављен у оквиру </w:t>
      </w:r>
      <w:r w:rsidR="00C2311A">
        <w:rPr>
          <w:rFonts w:asciiTheme="majorHAnsi" w:eastAsia="Times New Roman" w:hAnsiTheme="majorHAnsi" w:cstheme="majorHAnsi"/>
          <w:szCs w:val="20"/>
          <w:lang w:bidi="sr-Cyrl-CS"/>
        </w:rPr>
        <w:t>И</w:t>
      </w:r>
      <w:r w:rsidRPr="00FF386D">
        <w:rPr>
          <w:rFonts w:asciiTheme="majorHAnsi" w:eastAsia="Times New Roman" w:hAnsiTheme="majorHAnsi" w:cstheme="majorHAnsi"/>
          <w:szCs w:val="20"/>
          <w:lang w:bidi="sr-Cyrl-CS"/>
        </w:rPr>
        <w:t>НЕКП јесте одржавање просечне цене енергената испод просечног европског нивоа за крајњег потрошача.</w:t>
      </w:r>
    </w:p>
    <w:p w14:paraId="4587E595" w14:textId="0DD6A179" w:rsidR="00DC6720" w:rsidRPr="00FF386D" w:rsidRDefault="00DC6720" w:rsidP="00DC6720">
      <w:pPr>
        <w:spacing w:after="120" w:line="240" w:lineRule="atLeast"/>
        <w:jc w:val="both"/>
        <w:rPr>
          <w:rFonts w:asciiTheme="majorHAnsi" w:eastAsia="Times New Roman" w:hAnsiTheme="majorHAnsi" w:cstheme="majorHAnsi"/>
          <w:szCs w:val="20"/>
        </w:rPr>
      </w:pPr>
      <w:r w:rsidRPr="00FF386D">
        <w:rPr>
          <w:rFonts w:asciiTheme="majorHAnsi" w:eastAsia="Times New Roman" w:hAnsiTheme="majorHAnsi" w:cstheme="majorHAnsi"/>
          <w:b/>
          <w:szCs w:val="20"/>
          <w:lang w:bidi="sr-Cyrl-CS"/>
        </w:rPr>
        <w:t>Додата вредност енергетског сектора</w:t>
      </w:r>
      <w:r w:rsidR="00143850" w:rsidRPr="00FF386D">
        <w:rPr>
          <w:rFonts w:asciiTheme="majorHAnsi" w:eastAsia="Times New Roman" w:hAnsiTheme="majorHAnsi" w:cstheme="majorHAnsi"/>
          <w:b/>
          <w:szCs w:val="20"/>
          <w:lang w:bidi="sr-Cyrl-CS"/>
        </w:rPr>
        <w:t xml:space="preserve"> у земљи</w:t>
      </w:r>
      <w:r w:rsidRPr="00FF386D">
        <w:rPr>
          <w:rFonts w:asciiTheme="majorHAnsi" w:eastAsia="Times New Roman" w:hAnsiTheme="majorHAnsi" w:cstheme="majorHAnsi"/>
          <w:szCs w:val="20"/>
          <w:lang w:bidi="sr-Cyrl-CS"/>
        </w:rPr>
        <w:t xml:space="preserve"> ће бити повећана препознавањем и промоцијом иновативних апликација и услуга у енергетском сектору са високом домаћом додатном вредношћу, која повећава бруто домаћи производ и унапређује одрживост енергетског сектора. Поред тога, овим циљем се обезбеђује и повећање броја директних и индиректних послова због активности у енергетском сектору.</w:t>
      </w:r>
    </w:p>
    <w:p w14:paraId="195DD143" w14:textId="7DFD4CA9" w:rsidR="00351DC9" w:rsidRPr="00FF386D" w:rsidRDefault="00DC6720" w:rsidP="007D341E">
      <w:pPr>
        <w:pStyle w:val="LDKbody"/>
        <w:rPr>
          <w:highlight w:val="green"/>
          <w:lang w:val="sr-Cyrl-RS"/>
        </w:rPr>
      </w:pPr>
      <w:r w:rsidRPr="00FF386D">
        <w:rPr>
          <w:rFonts w:asciiTheme="majorHAnsi" w:hAnsiTheme="majorHAnsi" w:cstheme="majorHAnsi"/>
          <w:szCs w:val="20"/>
          <w:lang w:bidi="sr-Cyrl-CS"/>
        </w:rPr>
        <w:t xml:space="preserve">Најзад, политике и мере које буду интегрисане у </w:t>
      </w:r>
      <w:r w:rsidR="008773BB">
        <w:rPr>
          <w:rFonts w:asciiTheme="majorHAnsi" w:hAnsiTheme="majorHAnsi" w:cstheme="majorHAnsi"/>
          <w:szCs w:val="20"/>
          <w:lang w:bidi="sr-Cyrl-CS"/>
        </w:rPr>
        <w:t>Акциони план</w:t>
      </w:r>
      <w:r w:rsidRPr="00FF386D">
        <w:rPr>
          <w:rFonts w:asciiTheme="majorHAnsi" w:hAnsiTheme="majorHAnsi" w:cstheme="majorHAnsi"/>
          <w:szCs w:val="20"/>
          <w:lang w:bidi="sr-Cyrl-CS"/>
        </w:rPr>
        <w:t xml:space="preserve"> праведне транзиције биће реализоване у областима не које ће у највећој мери утицати </w:t>
      </w:r>
      <w:r w:rsidRPr="00FF386D">
        <w:rPr>
          <w:rFonts w:asciiTheme="majorHAnsi" w:hAnsiTheme="majorHAnsi" w:cstheme="majorHAnsi"/>
          <w:b/>
          <w:szCs w:val="20"/>
          <w:lang w:bidi="sr-Cyrl-CS"/>
        </w:rPr>
        <w:t>прелазак на привреду са ниским нивоом емисија угљеника</w:t>
      </w:r>
      <w:r w:rsidRPr="00FF386D">
        <w:rPr>
          <w:rFonts w:asciiTheme="majorHAnsi" w:hAnsiTheme="majorHAnsi" w:cstheme="majorHAnsi"/>
          <w:szCs w:val="20"/>
          <w:lang w:bidi="sr-Cyrl-CS"/>
        </w:rPr>
        <w:t xml:space="preserve">. Изазови са којима се суочавају области које зависе од лигнита током преласка на привреду са ниским нивоом емисија угљеника могу се решити прилагођеним приступима којима се подржава структурна трансформација и убрзава процес економске диверсификације и технолошке транзиције. Циљ је да се развије стратегија одрживог </w:t>
      </w:r>
      <w:r w:rsidR="00E1638D">
        <w:rPr>
          <w:rFonts w:asciiTheme="majorHAnsi" w:hAnsiTheme="majorHAnsi" w:cstheme="majorHAnsi"/>
          <w:szCs w:val="20"/>
          <w:lang w:val="sr-Cyrl-RS" w:bidi="sr-Cyrl-CS"/>
        </w:rPr>
        <w:t xml:space="preserve">равномерног регионалног </w:t>
      </w:r>
      <w:r w:rsidRPr="00FF386D">
        <w:rPr>
          <w:rFonts w:asciiTheme="majorHAnsi" w:hAnsiTheme="majorHAnsi" w:cstheme="majorHAnsi"/>
          <w:szCs w:val="20"/>
          <w:lang w:bidi="sr-Cyrl-CS"/>
        </w:rPr>
        <w:t>развоја, фокусирајући се на секторе са динамичним перспективама у смислу показатеља учинка, запослености и прихода.</w:t>
      </w:r>
      <w:r w:rsidR="00351DC9" w:rsidRPr="00FF386D">
        <w:rPr>
          <w:highlight w:val="green"/>
          <w:lang w:val="sr-Cyrl-RS"/>
        </w:rPr>
        <w:br w:type="page"/>
      </w:r>
    </w:p>
    <w:p w14:paraId="448A1F48" w14:textId="5D725EC5" w:rsidR="00854ADA" w:rsidRPr="00FF386D" w:rsidRDefault="00854ADA" w:rsidP="00B1080B">
      <w:pPr>
        <w:pStyle w:val="Heading1"/>
      </w:pPr>
      <w:bookmarkStart w:id="103" w:name="_Toc79772552"/>
      <w:bookmarkStart w:id="104" w:name="_Toc115351868"/>
      <w:bookmarkStart w:id="105" w:name="_Toc137457022"/>
      <w:bookmarkStart w:id="106" w:name="_Toc153901541"/>
      <w:r w:rsidRPr="00FF386D">
        <w:lastRenderedPageBreak/>
        <w:t>ПОЛИТИКЕ И МЕРЕ</w:t>
      </w:r>
      <w:bookmarkEnd w:id="103"/>
      <w:bookmarkEnd w:id="104"/>
      <w:bookmarkEnd w:id="105"/>
      <w:bookmarkEnd w:id="106"/>
    </w:p>
    <w:p w14:paraId="39AA3262" w14:textId="5CF30ADF" w:rsidR="000A640B" w:rsidRPr="000A2AFE" w:rsidRDefault="00AE2EC6" w:rsidP="000A2AFE">
      <w:pPr>
        <w:pStyle w:val="LDKbody"/>
        <w:rPr>
          <w:lang w:val="sr-Cyrl-RS"/>
        </w:rPr>
      </w:pPr>
      <w:bookmarkStart w:id="107" w:name="_Toc115351869"/>
      <w:r>
        <w:rPr>
          <w:rFonts w:ascii="Calibri Light" w:hAnsi="Calibri Light" w:cs="Calibri Light"/>
          <w:lang w:val="sr-Cyrl-RS"/>
        </w:rPr>
        <w:t>Најважније</w:t>
      </w:r>
      <w:r w:rsidR="000A640B">
        <w:rPr>
          <w:rFonts w:ascii="Calibri Light" w:hAnsi="Calibri Light" w:cs="Calibri Light"/>
          <w:lang w:val="sr-Cyrl-RS"/>
        </w:rPr>
        <w:t xml:space="preserve"> постојеће и планиране политике и мере за постизање циљева које су приказане у поглављу 2 анализиране су у наредним одељцима. Анализа обухвата, између осталог, детаље о квантификованим циљевима, временски оквир за њихову имплементацију, индикаторе напретка, тела надлежна за спровођење и праћење, процењене трошкове имплементације и одговарајуће изворе финансирања где је могуће.</w:t>
      </w:r>
    </w:p>
    <w:p w14:paraId="01DEE3A1" w14:textId="0A9CBA78" w:rsidR="00854ADA" w:rsidRPr="00565B02" w:rsidRDefault="00854ADA" w:rsidP="00D77559">
      <w:pPr>
        <w:pStyle w:val="Heading2"/>
        <w:rPr>
          <w:lang w:val="sr-Cyrl-RS"/>
        </w:rPr>
      </w:pPr>
      <w:bookmarkStart w:id="108" w:name="_Toc137457023"/>
      <w:bookmarkStart w:id="109" w:name="_Toc153901542"/>
      <w:r w:rsidRPr="00565B02">
        <w:rPr>
          <w:lang w:val="sr-Cyrl-RS"/>
        </w:rPr>
        <w:t>Димензија декарбонизације</w:t>
      </w:r>
      <w:bookmarkEnd w:id="107"/>
      <w:bookmarkEnd w:id="108"/>
      <w:bookmarkEnd w:id="109"/>
    </w:p>
    <w:p w14:paraId="5ECF3C20" w14:textId="0A80B544" w:rsidR="00854ADA" w:rsidRPr="00565B02" w:rsidRDefault="00854ADA" w:rsidP="00B1080B">
      <w:pPr>
        <w:pStyle w:val="Heading3"/>
        <w:rPr>
          <w:lang w:val="sr-Cyrl-RS"/>
        </w:rPr>
      </w:pPr>
      <w:r w:rsidRPr="00565B02">
        <w:rPr>
          <w:lang w:val="sr-Cyrl-RS"/>
        </w:rPr>
        <w:t>Емисије</w:t>
      </w:r>
      <w:r w:rsidR="00AE1E48" w:rsidRPr="00565B02">
        <w:rPr>
          <w:lang w:val="sr-Cyrl-RS"/>
        </w:rPr>
        <w:t xml:space="preserve"> </w:t>
      </w:r>
      <w:r w:rsidRPr="00565B02">
        <w:rPr>
          <w:lang w:val="sr-Cyrl-RS"/>
        </w:rPr>
        <w:t>гасова са ефектом стаклене баште (</w:t>
      </w:r>
      <w:r w:rsidRPr="00565B02">
        <w:rPr>
          <w:i/>
          <w:iCs/>
          <w:lang w:val="sr-Cyrl-RS"/>
        </w:rPr>
        <w:t>GHG</w:t>
      </w:r>
      <w:r w:rsidRPr="00565B02">
        <w:rPr>
          <w:lang w:val="sr-Cyrl-RS"/>
        </w:rPr>
        <w:t>)</w:t>
      </w:r>
      <w:r w:rsidR="00AE1E48" w:rsidRPr="00565B02">
        <w:rPr>
          <w:lang w:val="sr-Cyrl-RS"/>
        </w:rPr>
        <w:t xml:space="preserve"> и смањење емисија</w:t>
      </w:r>
    </w:p>
    <w:p w14:paraId="4F429103" w14:textId="428E1AA3" w:rsidR="00854ADA" w:rsidRPr="00FF386D" w:rsidRDefault="00854ADA">
      <w:pPr>
        <w:pStyle w:val="ListParagraph"/>
        <w:keepNext/>
        <w:keepLines/>
        <w:numPr>
          <w:ilvl w:val="0"/>
          <w:numId w:val="277"/>
        </w:numPr>
        <w:spacing w:before="200" w:after="0" w:line="240" w:lineRule="auto"/>
        <w:jc w:val="both"/>
        <w:outlineLvl w:val="3"/>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t>Политике и мере за остваривање циљ</w:t>
      </w:r>
      <w:r w:rsidR="00D72565" w:rsidRPr="00FF386D">
        <w:rPr>
          <w:rFonts w:asciiTheme="majorHAnsi" w:eastAsiaTheme="majorEastAsia" w:hAnsiTheme="majorHAnsi" w:cstheme="majorBidi"/>
          <w:b/>
          <w:bCs/>
          <w:iCs/>
          <w:color w:val="01406B"/>
          <w:szCs w:val="24"/>
        </w:rPr>
        <w:t>а</w:t>
      </w:r>
      <w:r w:rsidRPr="00FF386D">
        <w:rPr>
          <w:rFonts w:asciiTheme="majorHAnsi" w:eastAsiaTheme="majorEastAsia" w:hAnsiTheme="majorHAnsi" w:cstheme="majorBidi"/>
          <w:b/>
          <w:bCs/>
          <w:iCs/>
          <w:color w:val="01406B"/>
          <w:szCs w:val="24"/>
        </w:rPr>
        <w:t xml:space="preserve"> утврђен</w:t>
      </w:r>
      <w:r w:rsidR="00D72565" w:rsidRPr="00FF386D">
        <w:rPr>
          <w:rFonts w:asciiTheme="majorHAnsi" w:eastAsiaTheme="majorEastAsia" w:hAnsiTheme="majorHAnsi" w:cstheme="majorBidi"/>
          <w:b/>
          <w:bCs/>
          <w:iCs/>
          <w:color w:val="01406B"/>
          <w:szCs w:val="24"/>
        </w:rPr>
        <w:t>ог</w:t>
      </w:r>
      <w:r w:rsidRPr="00FF386D">
        <w:rPr>
          <w:rFonts w:asciiTheme="majorHAnsi" w:eastAsiaTheme="majorEastAsia" w:hAnsiTheme="majorHAnsi" w:cstheme="majorBidi"/>
          <w:b/>
          <w:bCs/>
          <w:iCs/>
          <w:color w:val="01406B"/>
          <w:szCs w:val="24"/>
        </w:rPr>
        <w:t xml:space="preserve"> на основу Уредбе (EУ) 2018/842, како је наведено у одељку 2.1 и политике и мере у складу са Уредбом (ЕУ) 2018/841, кој</w:t>
      </w:r>
      <w:r w:rsidR="008E631F" w:rsidRPr="00FF386D">
        <w:rPr>
          <w:rFonts w:asciiTheme="majorHAnsi" w:eastAsiaTheme="majorEastAsia" w:hAnsiTheme="majorHAnsi" w:cstheme="majorBidi"/>
          <w:b/>
          <w:bCs/>
          <w:iCs/>
          <w:color w:val="01406B"/>
          <w:szCs w:val="24"/>
        </w:rPr>
        <w:t>има</w:t>
      </w:r>
      <w:r w:rsidRPr="00FF386D">
        <w:rPr>
          <w:rFonts w:asciiTheme="majorHAnsi" w:eastAsiaTheme="majorEastAsia" w:hAnsiTheme="majorHAnsi" w:cstheme="majorBidi"/>
          <w:b/>
          <w:bCs/>
          <w:iCs/>
          <w:color w:val="01406B"/>
          <w:szCs w:val="24"/>
        </w:rPr>
        <w:t xml:space="preserve"> су обухваћени сви кључни сектори </w:t>
      </w:r>
      <w:r w:rsidR="008E631F" w:rsidRPr="00FF386D">
        <w:rPr>
          <w:rFonts w:asciiTheme="majorHAnsi" w:eastAsiaTheme="majorEastAsia" w:hAnsiTheme="majorHAnsi" w:cstheme="majorBidi"/>
          <w:b/>
          <w:bCs/>
          <w:iCs/>
          <w:color w:val="01406B"/>
          <w:szCs w:val="24"/>
        </w:rPr>
        <w:t xml:space="preserve">који производе велике </w:t>
      </w:r>
      <w:r w:rsidRPr="00FF386D">
        <w:rPr>
          <w:rFonts w:asciiTheme="majorHAnsi" w:eastAsiaTheme="majorEastAsia" w:hAnsiTheme="majorHAnsi" w:cstheme="majorBidi"/>
          <w:b/>
          <w:bCs/>
          <w:iCs/>
          <w:color w:val="01406B"/>
          <w:szCs w:val="24"/>
        </w:rPr>
        <w:t>емисиј</w:t>
      </w:r>
      <w:r w:rsidR="008E631F" w:rsidRPr="00FF386D">
        <w:rPr>
          <w:rFonts w:asciiTheme="majorHAnsi" w:eastAsiaTheme="majorEastAsia" w:hAnsiTheme="majorHAnsi" w:cstheme="majorBidi"/>
          <w:b/>
          <w:bCs/>
          <w:iCs/>
          <w:color w:val="01406B"/>
          <w:szCs w:val="24"/>
        </w:rPr>
        <w:t>е</w:t>
      </w:r>
      <w:r w:rsidRPr="00FF386D">
        <w:rPr>
          <w:rFonts w:asciiTheme="majorHAnsi" w:eastAsiaTheme="majorEastAsia" w:hAnsiTheme="majorHAnsi" w:cstheme="majorBidi"/>
          <w:b/>
          <w:bCs/>
          <w:iCs/>
          <w:color w:val="01406B"/>
          <w:szCs w:val="24"/>
        </w:rPr>
        <w:t xml:space="preserve"> и сектори за </w:t>
      </w:r>
      <w:r w:rsidR="008E631F" w:rsidRPr="00FF386D">
        <w:rPr>
          <w:rFonts w:asciiTheme="majorHAnsi" w:eastAsiaTheme="majorEastAsia" w:hAnsiTheme="majorHAnsi" w:cstheme="majorBidi"/>
          <w:b/>
          <w:bCs/>
          <w:iCs/>
          <w:color w:val="01406B"/>
          <w:szCs w:val="24"/>
        </w:rPr>
        <w:t>јачање</w:t>
      </w:r>
      <w:r w:rsidRPr="00FF386D">
        <w:rPr>
          <w:rFonts w:asciiTheme="majorHAnsi" w:eastAsiaTheme="majorEastAsia" w:hAnsiTheme="majorHAnsi" w:cstheme="majorBidi"/>
          <w:b/>
          <w:bCs/>
          <w:iCs/>
          <w:color w:val="01406B"/>
          <w:szCs w:val="24"/>
        </w:rPr>
        <w:t xml:space="preserve"> </w:t>
      </w:r>
      <w:r w:rsidR="00AE1E48" w:rsidRPr="00FF386D">
        <w:rPr>
          <w:rFonts w:asciiTheme="majorHAnsi" w:eastAsiaTheme="majorEastAsia" w:hAnsiTheme="majorHAnsi" w:cstheme="majorBidi"/>
          <w:b/>
          <w:bCs/>
          <w:iCs/>
          <w:color w:val="01406B"/>
          <w:szCs w:val="24"/>
        </w:rPr>
        <w:t>смањења</w:t>
      </w:r>
      <w:r w:rsidRPr="00FF386D">
        <w:rPr>
          <w:rFonts w:asciiTheme="majorHAnsi" w:eastAsiaTheme="majorEastAsia" w:hAnsiTheme="majorHAnsi" w:cstheme="majorBidi"/>
          <w:b/>
          <w:bCs/>
          <w:iCs/>
          <w:color w:val="01406B"/>
          <w:szCs w:val="24"/>
        </w:rPr>
        <w:t xml:space="preserve"> емисија, </w:t>
      </w:r>
      <w:r w:rsidR="008E631F" w:rsidRPr="00FF386D">
        <w:rPr>
          <w:rFonts w:asciiTheme="majorHAnsi" w:eastAsiaTheme="majorEastAsia" w:hAnsiTheme="majorHAnsi" w:cstheme="majorBidi"/>
          <w:b/>
          <w:bCs/>
          <w:iCs/>
          <w:color w:val="01406B"/>
          <w:szCs w:val="24"/>
        </w:rPr>
        <w:t>с изгледом да се у погледу</w:t>
      </w:r>
      <w:r w:rsidRPr="00FF386D">
        <w:rPr>
          <w:rFonts w:asciiTheme="majorHAnsi" w:eastAsiaTheme="majorEastAsia" w:hAnsiTheme="majorHAnsi" w:cstheme="majorBidi"/>
          <w:b/>
          <w:bCs/>
          <w:iCs/>
          <w:color w:val="01406B"/>
          <w:szCs w:val="24"/>
        </w:rPr>
        <w:t xml:space="preserve"> дугорочн</w:t>
      </w:r>
      <w:r w:rsidR="008E631F" w:rsidRPr="00FF386D">
        <w:rPr>
          <w:rFonts w:asciiTheme="majorHAnsi" w:eastAsiaTheme="majorEastAsia" w:hAnsiTheme="majorHAnsi" w:cstheme="majorBidi"/>
          <w:b/>
          <w:bCs/>
          <w:iCs/>
          <w:color w:val="01406B"/>
          <w:szCs w:val="24"/>
        </w:rPr>
        <w:t>е</w:t>
      </w:r>
      <w:r w:rsidRPr="00FF386D">
        <w:rPr>
          <w:rFonts w:asciiTheme="majorHAnsi" w:eastAsiaTheme="majorEastAsia" w:hAnsiTheme="majorHAnsi" w:cstheme="majorBidi"/>
          <w:b/>
          <w:bCs/>
          <w:iCs/>
          <w:color w:val="01406B"/>
          <w:szCs w:val="24"/>
        </w:rPr>
        <w:t xml:space="preserve"> визиј</w:t>
      </w:r>
      <w:r w:rsidR="008E631F" w:rsidRPr="00FF386D">
        <w:rPr>
          <w:rFonts w:asciiTheme="majorHAnsi" w:eastAsiaTheme="majorEastAsia" w:hAnsiTheme="majorHAnsi" w:cstheme="majorBidi"/>
          <w:b/>
          <w:bCs/>
          <w:iCs/>
          <w:color w:val="01406B"/>
          <w:szCs w:val="24"/>
        </w:rPr>
        <w:t>е</w:t>
      </w:r>
      <w:r w:rsidRPr="00FF386D">
        <w:rPr>
          <w:rFonts w:asciiTheme="majorHAnsi" w:eastAsiaTheme="majorEastAsia" w:hAnsiTheme="majorHAnsi" w:cstheme="majorBidi"/>
          <w:b/>
          <w:bCs/>
          <w:iCs/>
          <w:color w:val="01406B"/>
          <w:szCs w:val="24"/>
        </w:rPr>
        <w:t xml:space="preserve"> и циљ</w:t>
      </w:r>
      <w:r w:rsidR="008E631F" w:rsidRPr="00FF386D">
        <w:rPr>
          <w:rFonts w:asciiTheme="majorHAnsi" w:eastAsiaTheme="majorEastAsia" w:hAnsiTheme="majorHAnsi" w:cstheme="majorBidi"/>
          <w:b/>
          <w:bCs/>
          <w:iCs/>
          <w:color w:val="01406B"/>
          <w:szCs w:val="24"/>
        </w:rPr>
        <w:t>а са перспективом од 50 година</w:t>
      </w:r>
      <w:r w:rsidRPr="00FF386D">
        <w:rPr>
          <w:rFonts w:asciiTheme="majorHAnsi" w:eastAsiaTheme="majorEastAsia" w:hAnsiTheme="majorHAnsi" w:cstheme="majorBidi"/>
          <w:b/>
          <w:bCs/>
          <w:iCs/>
          <w:color w:val="01406B"/>
          <w:szCs w:val="24"/>
        </w:rPr>
        <w:t xml:space="preserve"> </w:t>
      </w:r>
      <w:r w:rsidR="008E631F" w:rsidRPr="00FF386D">
        <w:rPr>
          <w:rFonts w:asciiTheme="majorHAnsi" w:eastAsiaTheme="majorEastAsia" w:hAnsiTheme="majorHAnsi" w:cstheme="majorBidi"/>
          <w:b/>
          <w:bCs/>
          <w:iCs/>
          <w:color w:val="01406B"/>
          <w:szCs w:val="24"/>
        </w:rPr>
        <w:t>оствари</w:t>
      </w:r>
      <w:r w:rsidRPr="00FF386D">
        <w:rPr>
          <w:rFonts w:asciiTheme="majorHAnsi" w:eastAsiaTheme="majorEastAsia" w:hAnsiTheme="majorHAnsi" w:cstheme="majorBidi"/>
          <w:b/>
          <w:bCs/>
          <w:iCs/>
          <w:color w:val="01406B"/>
          <w:szCs w:val="24"/>
        </w:rPr>
        <w:t xml:space="preserve"> привред</w:t>
      </w:r>
      <w:r w:rsidR="002B764A" w:rsidRPr="00FF386D">
        <w:rPr>
          <w:rFonts w:asciiTheme="majorHAnsi" w:eastAsiaTheme="majorEastAsia" w:hAnsiTheme="majorHAnsi" w:cstheme="majorBidi"/>
          <w:b/>
          <w:bCs/>
          <w:iCs/>
          <w:color w:val="01406B"/>
          <w:szCs w:val="24"/>
        </w:rPr>
        <w:t>а</w:t>
      </w:r>
      <w:r w:rsidRPr="00FF386D">
        <w:rPr>
          <w:rFonts w:asciiTheme="majorHAnsi" w:eastAsiaTheme="majorEastAsia" w:hAnsiTheme="majorHAnsi" w:cstheme="majorBidi"/>
          <w:b/>
          <w:bCs/>
          <w:iCs/>
          <w:color w:val="01406B"/>
          <w:szCs w:val="24"/>
        </w:rPr>
        <w:t xml:space="preserve"> </w:t>
      </w:r>
      <w:r w:rsidR="008E631F" w:rsidRPr="00FF386D">
        <w:rPr>
          <w:rFonts w:asciiTheme="majorHAnsi" w:eastAsiaTheme="majorEastAsia" w:hAnsiTheme="majorHAnsi" w:cstheme="majorBidi"/>
          <w:b/>
          <w:bCs/>
          <w:iCs/>
          <w:color w:val="01406B"/>
          <w:szCs w:val="24"/>
        </w:rPr>
        <w:t>са ниским нивоом емисија угљеника</w:t>
      </w:r>
      <w:r w:rsidRPr="00FF386D">
        <w:rPr>
          <w:rFonts w:asciiTheme="majorHAnsi" w:eastAsiaTheme="majorEastAsia" w:hAnsiTheme="majorHAnsi" w:cstheme="majorBidi"/>
          <w:b/>
          <w:bCs/>
          <w:iCs/>
          <w:color w:val="01406B"/>
          <w:szCs w:val="24"/>
        </w:rPr>
        <w:t xml:space="preserve"> и оствар</w:t>
      </w:r>
      <w:r w:rsidR="008E631F" w:rsidRPr="00FF386D">
        <w:rPr>
          <w:rFonts w:asciiTheme="majorHAnsi" w:eastAsiaTheme="majorEastAsia" w:hAnsiTheme="majorHAnsi" w:cstheme="majorBidi"/>
          <w:b/>
          <w:bCs/>
          <w:iCs/>
          <w:color w:val="01406B"/>
          <w:szCs w:val="24"/>
        </w:rPr>
        <w:t>и равнотежа</w:t>
      </w:r>
      <w:r w:rsidRPr="00FF386D">
        <w:rPr>
          <w:rFonts w:asciiTheme="majorHAnsi" w:eastAsiaTheme="majorEastAsia" w:hAnsiTheme="majorHAnsi" w:cstheme="majorBidi"/>
          <w:b/>
          <w:bCs/>
          <w:iCs/>
          <w:color w:val="01406B"/>
          <w:szCs w:val="24"/>
        </w:rPr>
        <w:t xml:space="preserve"> између емисија и </w:t>
      </w:r>
      <w:r w:rsidR="00AE1E48" w:rsidRPr="00FF386D">
        <w:rPr>
          <w:rFonts w:asciiTheme="majorHAnsi" w:eastAsiaTheme="majorEastAsia" w:hAnsiTheme="majorHAnsi" w:cstheme="majorBidi"/>
          <w:b/>
          <w:bCs/>
          <w:iCs/>
          <w:color w:val="01406B"/>
          <w:szCs w:val="24"/>
        </w:rPr>
        <w:t>смањења</w:t>
      </w:r>
      <w:r w:rsidR="008E631F" w:rsidRPr="00FF386D">
        <w:rPr>
          <w:rFonts w:asciiTheme="majorHAnsi" w:eastAsiaTheme="majorEastAsia" w:hAnsiTheme="majorHAnsi" w:cstheme="majorBidi"/>
          <w:b/>
          <w:bCs/>
          <w:iCs/>
          <w:color w:val="01406B"/>
          <w:szCs w:val="24"/>
        </w:rPr>
        <w:t xml:space="preserve"> емисија</w:t>
      </w:r>
      <w:r w:rsidRPr="00FF386D">
        <w:rPr>
          <w:rFonts w:asciiTheme="majorHAnsi" w:eastAsiaTheme="majorEastAsia" w:hAnsiTheme="majorHAnsi" w:cstheme="majorBidi"/>
          <w:b/>
          <w:bCs/>
          <w:iCs/>
          <w:color w:val="01406B"/>
          <w:szCs w:val="24"/>
        </w:rPr>
        <w:t xml:space="preserve"> у складу са Париским споразумом</w:t>
      </w:r>
    </w:p>
    <w:p w14:paraId="47C1F475" w14:textId="3EB9DE49" w:rsidR="00854ADA" w:rsidRPr="00FF386D" w:rsidRDefault="00854ADA" w:rsidP="00854ADA">
      <w:pPr>
        <w:spacing w:before="240"/>
        <w:jc w:val="both"/>
        <w:rPr>
          <w:rFonts w:asciiTheme="majorHAnsi" w:hAnsiTheme="majorHAnsi" w:cstheme="majorHAnsi"/>
          <w:bCs/>
          <w:color w:val="000000"/>
        </w:rPr>
      </w:pPr>
      <w:r w:rsidRPr="00FF386D">
        <w:rPr>
          <w:rFonts w:asciiTheme="majorHAnsi" w:hAnsiTheme="majorHAnsi" w:cstheme="majorHAnsi"/>
          <w:bCs/>
          <w:color w:val="000000"/>
        </w:rPr>
        <w:t xml:space="preserve">ИНЕКП предвиђа </w:t>
      </w:r>
      <w:r w:rsidR="00FC1DDD" w:rsidRPr="00FF386D">
        <w:rPr>
          <w:rFonts w:asciiTheme="majorHAnsi" w:hAnsiTheme="majorHAnsi" w:cstheme="majorHAnsi"/>
          <w:bCs/>
          <w:color w:val="000000"/>
        </w:rPr>
        <w:t>низ</w:t>
      </w:r>
      <w:r w:rsidRPr="00FF386D">
        <w:rPr>
          <w:rFonts w:asciiTheme="majorHAnsi" w:hAnsiTheme="majorHAnsi" w:cstheme="majorHAnsi"/>
          <w:bCs/>
          <w:color w:val="000000"/>
        </w:rPr>
        <w:t xml:space="preserve"> мера политике које се односе на димензију декарбонизације, односно емисије </w:t>
      </w:r>
      <w:r w:rsidRPr="00FF386D">
        <w:rPr>
          <w:rFonts w:asciiTheme="majorHAnsi" w:hAnsiTheme="majorHAnsi" w:cstheme="majorHAnsi"/>
          <w:bCs/>
          <w:i/>
          <w:iCs/>
          <w:color w:val="000000"/>
        </w:rPr>
        <w:t xml:space="preserve">GHG </w:t>
      </w:r>
      <w:r w:rsidRPr="00FF386D">
        <w:rPr>
          <w:rFonts w:asciiTheme="majorHAnsi" w:hAnsiTheme="majorHAnsi" w:cstheme="majorHAnsi"/>
          <w:bCs/>
          <w:color w:val="000000"/>
        </w:rPr>
        <w:t xml:space="preserve">из сектора </w:t>
      </w:r>
      <w:r w:rsidR="00FC1DDD" w:rsidRPr="00FF386D">
        <w:rPr>
          <w:rFonts w:asciiTheme="majorHAnsi" w:hAnsiTheme="majorHAnsi" w:cstheme="majorHAnsi"/>
          <w:bCs/>
          <w:color w:val="000000"/>
        </w:rPr>
        <w:t xml:space="preserve">енергетике </w:t>
      </w:r>
      <w:r w:rsidRPr="00FF386D">
        <w:rPr>
          <w:rFonts w:asciiTheme="majorHAnsi" w:hAnsiTheme="majorHAnsi" w:cstheme="majorHAnsi"/>
          <w:bCs/>
          <w:color w:val="000000"/>
        </w:rPr>
        <w:t xml:space="preserve">и неенергетских </w:t>
      </w:r>
      <w:r w:rsidR="00FC1DDD" w:rsidRPr="00FF386D">
        <w:rPr>
          <w:rFonts w:asciiTheme="majorHAnsi" w:hAnsiTheme="majorHAnsi" w:cstheme="majorHAnsi"/>
          <w:bCs/>
          <w:color w:val="000000"/>
        </w:rPr>
        <w:t>извора</w:t>
      </w:r>
      <w:r w:rsidRPr="00FF386D">
        <w:rPr>
          <w:rFonts w:asciiTheme="majorHAnsi" w:hAnsiTheme="majorHAnsi" w:cstheme="majorHAnsi"/>
          <w:bCs/>
          <w:color w:val="000000"/>
        </w:rPr>
        <w:t xml:space="preserve">. Постојеће и планиране мере политике у области енергетике, која генерише око 80% емисија </w:t>
      </w:r>
      <w:r w:rsidRPr="00FF386D">
        <w:rPr>
          <w:rFonts w:asciiTheme="majorHAnsi" w:hAnsiTheme="majorHAnsi" w:cstheme="majorHAnsi"/>
          <w:bCs/>
          <w:i/>
          <w:iCs/>
          <w:color w:val="000000"/>
        </w:rPr>
        <w:t xml:space="preserve">GHG </w:t>
      </w:r>
      <w:r w:rsidRPr="00FF386D">
        <w:rPr>
          <w:rFonts w:asciiTheme="majorHAnsi" w:hAnsiTheme="majorHAnsi" w:cstheme="majorHAnsi"/>
          <w:bCs/>
          <w:color w:val="000000"/>
        </w:rPr>
        <w:t xml:space="preserve">у Републици Србији, даће значајан допринос процесу декарбонизације. Постојеће мере декарбонизације </w:t>
      </w:r>
      <w:r w:rsidR="00FC1DDD" w:rsidRPr="00FF386D">
        <w:rPr>
          <w:rFonts w:asciiTheme="majorHAnsi" w:hAnsiTheme="majorHAnsi" w:cstheme="majorHAnsi"/>
          <w:bCs/>
          <w:color w:val="000000"/>
        </w:rPr>
        <w:t>биће</w:t>
      </w:r>
      <w:r w:rsidRPr="00FF386D">
        <w:rPr>
          <w:rFonts w:asciiTheme="majorHAnsi" w:hAnsiTheme="majorHAnsi" w:cstheme="majorHAnsi"/>
          <w:bCs/>
          <w:color w:val="000000"/>
        </w:rPr>
        <w:t xml:space="preserve"> продужене до 2030. године</w:t>
      </w:r>
      <w:r w:rsidR="00FC1DDD" w:rsidRPr="00FF386D">
        <w:rPr>
          <w:rFonts w:asciiTheme="majorHAnsi" w:hAnsiTheme="majorHAnsi" w:cstheme="majorHAnsi"/>
          <w:bCs/>
          <w:color w:val="000000"/>
        </w:rPr>
        <w:t xml:space="preserve"> и допу</w:t>
      </w:r>
      <w:r w:rsidRPr="00FF386D">
        <w:rPr>
          <w:rFonts w:asciiTheme="majorHAnsi" w:hAnsiTheme="majorHAnsi" w:cstheme="majorHAnsi"/>
          <w:bCs/>
          <w:color w:val="000000"/>
        </w:rPr>
        <w:t>њаваће мере које подржавају трансформацију сектора ОИЕ и друг</w:t>
      </w:r>
      <w:r w:rsidR="00FC1DDD" w:rsidRPr="00FF386D">
        <w:rPr>
          <w:rFonts w:asciiTheme="majorHAnsi" w:hAnsiTheme="majorHAnsi" w:cstheme="majorHAnsi"/>
          <w:bCs/>
          <w:color w:val="000000"/>
        </w:rPr>
        <w:t xml:space="preserve">е </w:t>
      </w:r>
      <w:r w:rsidRPr="00FF386D">
        <w:rPr>
          <w:rFonts w:asciiTheme="majorHAnsi" w:hAnsiTheme="majorHAnsi" w:cstheme="majorHAnsi"/>
          <w:bCs/>
          <w:color w:val="000000"/>
        </w:rPr>
        <w:t>димензиј</w:t>
      </w:r>
      <w:r w:rsidR="00FC1DDD" w:rsidRPr="00FF386D">
        <w:rPr>
          <w:rFonts w:asciiTheme="majorHAnsi" w:hAnsiTheme="majorHAnsi" w:cstheme="majorHAnsi"/>
          <w:bCs/>
          <w:color w:val="000000"/>
        </w:rPr>
        <w:t>е</w:t>
      </w:r>
      <w:r w:rsidRPr="00FF386D">
        <w:rPr>
          <w:rFonts w:asciiTheme="majorHAnsi" w:hAnsiTheme="majorHAnsi" w:cstheme="majorHAnsi"/>
          <w:bCs/>
          <w:color w:val="000000"/>
        </w:rPr>
        <w:t xml:space="preserve"> Енергетске уније, укључујући енергетску ефикасност, унутрашње </w:t>
      </w:r>
      <w:r w:rsidR="00FC1DDD" w:rsidRPr="00FF386D">
        <w:rPr>
          <w:rFonts w:asciiTheme="majorHAnsi" w:hAnsiTheme="majorHAnsi" w:cstheme="majorHAnsi"/>
          <w:bCs/>
          <w:color w:val="000000"/>
        </w:rPr>
        <w:t xml:space="preserve">енергетско </w:t>
      </w:r>
      <w:r w:rsidRPr="00FF386D">
        <w:rPr>
          <w:rFonts w:asciiTheme="majorHAnsi" w:hAnsiTheme="majorHAnsi" w:cstheme="majorHAnsi"/>
          <w:bCs/>
          <w:color w:val="000000"/>
        </w:rPr>
        <w:t>тржиште и енергетску сигурност.</w:t>
      </w:r>
    </w:p>
    <w:p w14:paraId="76CC1A92" w14:textId="42B085FD" w:rsidR="00854ADA" w:rsidRPr="00FF386D" w:rsidRDefault="00854ADA" w:rsidP="00854ADA">
      <w:pPr>
        <w:spacing w:before="160"/>
        <w:jc w:val="both"/>
        <w:rPr>
          <w:rFonts w:asciiTheme="majorHAnsi" w:hAnsiTheme="majorHAnsi" w:cstheme="majorHAnsi"/>
          <w:bCs/>
          <w:color w:val="000000"/>
        </w:rPr>
      </w:pPr>
      <w:r w:rsidRPr="00FF386D">
        <w:rPr>
          <w:rFonts w:asciiTheme="majorHAnsi" w:hAnsiTheme="majorHAnsi" w:cstheme="majorHAnsi"/>
          <w:bCs/>
          <w:color w:val="000000"/>
        </w:rPr>
        <w:t>Рад на унапређењу инвентара гасова са ефектом стаклене баште и ажурирање Национално утврђених доприноса Србије</w:t>
      </w:r>
      <w:r w:rsidR="00752DB2" w:rsidRPr="00FF386D">
        <w:rPr>
          <w:rFonts w:asciiTheme="majorHAnsi" w:hAnsiTheme="majorHAnsi" w:cstheme="majorHAnsi"/>
          <w:bCs/>
          <w:color w:val="000000"/>
        </w:rPr>
        <w:t>,</w:t>
      </w:r>
      <w:r w:rsidRPr="00FF386D">
        <w:rPr>
          <w:rFonts w:asciiTheme="majorHAnsi" w:hAnsiTheme="majorHAnsi" w:cstheme="majorHAnsi"/>
          <w:bCs/>
          <w:color w:val="000000"/>
        </w:rPr>
        <w:t xml:space="preserve"> </w:t>
      </w:r>
      <w:r w:rsidR="00752DB2" w:rsidRPr="00FF386D">
        <w:rPr>
          <w:rFonts w:asciiTheme="majorHAnsi" w:hAnsiTheme="majorHAnsi" w:cstheme="majorHAnsi"/>
          <w:bCs/>
          <w:color w:val="000000"/>
        </w:rPr>
        <w:t>у складу са</w:t>
      </w:r>
      <w:r w:rsidRPr="00FF386D">
        <w:rPr>
          <w:rFonts w:asciiTheme="majorHAnsi" w:hAnsiTheme="majorHAnsi" w:cstheme="majorHAnsi"/>
          <w:bCs/>
          <w:color w:val="000000"/>
        </w:rPr>
        <w:t xml:space="preserve"> Париск</w:t>
      </w:r>
      <w:r w:rsidR="00752DB2" w:rsidRPr="00FF386D">
        <w:rPr>
          <w:rFonts w:asciiTheme="majorHAnsi" w:hAnsiTheme="majorHAnsi" w:cstheme="majorHAnsi"/>
          <w:bCs/>
          <w:color w:val="000000"/>
        </w:rPr>
        <w:t>им</w:t>
      </w:r>
      <w:r w:rsidRPr="00FF386D">
        <w:rPr>
          <w:rFonts w:asciiTheme="majorHAnsi" w:hAnsiTheme="majorHAnsi" w:cstheme="majorHAnsi"/>
          <w:bCs/>
          <w:color w:val="000000"/>
        </w:rPr>
        <w:t xml:space="preserve"> споразум</w:t>
      </w:r>
      <w:r w:rsidR="00752DB2" w:rsidRPr="00FF386D">
        <w:rPr>
          <w:rFonts w:asciiTheme="majorHAnsi" w:hAnsiTheme="majorHAnsi" w:cstheme="majorHAnsi"/>
          <w:bCs/>
          <w:color w:val="000000"/>
        </w:rPr>
        <w:t>ом,</w:t>
      </w:r>
      <w:r w:rsidRPr="00FF386D">
        <w:rPr>
          <w:rFonts w:asciiTheme="majorHAnsi" w:hAnsiTheme="majorHAnsi" w:cstheme="majorHAnsi"/>
          <w:bCs/>
          <w:color w:val="000000"/>
        </w:rPr>
        <w:t xml:space="preserve"> напредује. Усклађивање законодавства о праћењу, извештавању и верификацији емисија </w:t>
      </w:r>
      <w:r w:rsidRPr="00FF386D">
        <w:rPr>
          <w:rFonts w:asciiTheme="majorHAnsi" w:hAnsiTheme="majorHAnsi" w:cstheme="majorHAnsi"/>
          <w:bCs/>
          <w:i/>
          <w:iCs/>
          <w:color w:val="000000"/>
        </w:rPr>
        <w:t xml:space="preserve">GHG </w:t>
      </w:r>
      <w:r w:rsidRPr="00FF386D">
        <w:rPr>
          <w:rFonts w:asciiTheme="majorHAnsi" w:hAnsiTheme="majorHAnsi" w:cstheme="majorHAnsi"/>
          <w:bCs/>
          <w:color w:val="000000"/>
        </w:rPr>
        <w:t>у складу са Системом трговине емисијама (</w:t>
      </w:r>
      <w:r w:rsidRPr="00FF386D">
        <w:rPr>
          <w:rFonts w:asciiTheme="majorHAnsi" w:hAnsiTheme="majorHAnsi" w:cstheme="majorHAnsi"/>
          <w:bCs/>
          <w:i/>
          <w:iCs/>
          <w:color w:val="000000"/>
        </w:rPr>
        <w:t>ETS</w:t>
      </w:r>
      <w:r w:rsidRPr="00FF386D">
        <w:rPr>
          <w:rFonts w:asciiTheme="majorHAnsi" w:hAnsiTheme="majorHAnsi" w:cstheme="majorHAnsi"/>
          <w:bCs/>
          <w:color w:val="000000"/>
        </w:rPr>
        <w:t xml:space="preserve">) и Директивом о подели напора </w:t>
      </w:r>
      <w:r w:rsidR="00752DB2" w:rsidRPr="00FF386D">
        <w:rPr>
          <w:rFonts w:asciiTheme="majorHAnsi" w:hAnsiTheme="majorHAnsi" w:cstheme="majorHAnsi"/>
          <w:bCs/>
          <w:color w:val="000000"/>
        </w:rPr>
        <w:t>се спроводи путем Закона о климатским променама</w:t>
      </w:r>
      <w:r w:rsidR="008F4356" w:rsidRPr="000A2AFE">
        <w:rPr>
          <w:rStyle w:val="FootnoteReference"/>
          <w:rFonts w:asciiTheme="majorHAnsi" w:hAnsiTheme="majorHAnsi" w:cstheme="majorHAnsi"/>
          <w:bCs/>
          <w:color w:val="000000"/>
          <w:lang w:val="sr-Cyrl-RS"/>
        </w:rPr>
        <w:footnoteReference w:id="92"/>
      </w:r>
      <w:r w:rsidR="00752DB2" w:rsidRPr="00FF386D">
        <w:rPr>
          <w:rFonts w:asciiTheme="majorHAnsi" w:hAnsiTheme="majorHAnsi" w:cstheme="majorHAnsi"/>
          <w:bCs/>
          <w:color w:val="000000"/>
        </w:rPr>
        <w:t>.</w:t>
      </w:r>
      <w:r w:rsidRPr="00FF386D">
        <w:rPr>
          <w:rFonts w:asciiTheme="majorHAnsi" w:hAnsiTheme="majorHAnsi" w:cstheme="majorHAnsi"/>
          <w:bCs/>
          <w:color w:val="000000"/>
        </w:rPr>
        <w:t xml:space="preserve"> </w:t>
      </w:r>
      <w:r w:rsidR="00AE2EC6">
        <w:rPr>
          <w:rFonts w:asciiTheme="majorHAnsi" w:hAnsiTheme="majorHAnsi" w:cstheme="majorHAnsi"/>
          <w:bCs/>
          <w:color w:val="000000"/>
        </w:rPr>
        <w:t>На основу члана 58, став 8, Закона о климатским променама (Службени гласник Републике Србије, бр. 26/21), Министарство за заштиту животне средине је донело Правилник о садржини Националног инвентара гасова са ефектом стаклене баште и Национални извештај о инвентару гасов</w:t>
      </w:r>
      <w:r w:rsidR="00355A28">
        <w:rPr>
          <w:rFonts w:asciiTheme="majorHAnsi" w:hAnsiTheme="majorHAnsi" w:cstheme="majorHAnsi"/>
          <w:bCs/>
          <w:color w:val="000000"/>
        </w:rPr>
        <w:t>а</w:t>
      </w:r>
      <w:r w:rsidR="00AE2EC6">
        <w:rPr>
          <w:rFonts w:asciiTheme="majorHAnsi" w:hAnsiTheme="majorHAnsi" w:cstheme="majorHAnsi"/>
          <w:bCs/>
          <w:color w:val="000000"/>
        </w:rPr>
        <w:t xml:space="preserve"> са ефектом стаклене баште (Службени гласник Републике Србије бр. 55/23). </w:t>
      </w:r>
      <w:r w:rsidR="00E47670">
        <w:rPr>
          <w:rFonts w:asciiTheme="majorHAnsi" w:hAnsiTheme="majorHAnsi" w:cstheme="majorHAnsi"/>
          <w:bCs/>
          <w:color w:val="000000"/>
        </w:rPr>
        <w:t>У складу са Правилником</w:t>
      </w:r>
      <w:r w:rsidR="00355A28">
        <w:rPr>
          <w:rFonts w:asciiTheme="majorHAnsi" w:hAnsiTheme="majorHAnsi" w:cstheme="majorHAnsi"/>
          <w:bCs/>
          <w:color w:val="000000"/>
        </w:rPr>
        <w:t>,</w:t>
      </w:r>
      <w:r w:rsidR="00E47670">
        <w:rPr>
          <w:rFonts w:asciiTheme="majorHAnsi" w:hAnsiTheme="majorHAnsi" w:cstheme="majorHAnsi"/>
          <w:bCs/>
          <w:color w:val="000000"/>
        </w:rPr>
        <w:t xml:space="preserve"> садржина Инвентара је усклађена са Париским споразумом и смерницама Међувладиног панела о климатским променама. Потребно је да Република Србије унапреди административне и техничке капацитете на свим нивоима и да додатно повећа инвестиције за транзицију ка зеленој енергији.</w:t>
      </w:r>
    </w:p>
    <w:p w14:paraId="0F244CBA" w14:textId="3A895CE0" w:rsidR="00854ADA" w:rsidRPr="00FF386D" w:rsidRDefault="00854ADA" w:rsidP="00854ADA">
      <w:pPr>
        <w:jc w:val="both"/>
        <w:rPr>
          <w:rFonts w:asciiTheme="majorHAnsi" w:hAnsiTheme="majorHAnsi" w:cstheme="majorHAnsi"/>
          <w:b/>
          <w:bCs/>
          <w:iCs/>
          <w:color w:val="000000"/>
        </w:rPr>
      </w:pPr>
      <w:r w:rsidRPr="00FF386D">
        <w:rPr>
          <w:rFonts w:asciiTheme="majorHAnsi" w:hAnsiTheme="majorHAnsi" w:cstheme="majorHAnsi"/>
          <w:b/>
          <w:bCs/>
          <w:iCs/>
          <w:color w:val="000000"/>
        </w:rPr>
        <w:t>Регулаторне мере</w:t>
      </w:r>
    </w:p>
    <w:p w14:paraId="7EA02E71" w14:textId="196B3AB6" w:rsidR="00854ADA" w:rsidRPr="00565B02" w:rsidRDefault="00854ADA" w:rsidP="00854ADA">
      <w:pPr>
        <w:jc w:val="both"/>
        <w:rPr>
          <w:rFonts w:asciiTheme="majorHAnsi" w:hAnsiTheme="majorHAnsi" w:cstheme="majorHAnsi"/>
          <w:iCs/>
          <w:color w:val="000000"/>
          <w:lang w:val="sr-Latn-RS"/>
        </w:rPr>
      </w:pPr>
      <w:r w:rsidRPr="00FF386D">
        <w:rPr>
          <w:rFonts w:asciiTheme="majorHAnsi" w:hAnsiTheme="majorHAnsi" w:cstheme="majorHAnsi"/>
          <w:iCs/>
          <w:color w:val="000000"/>
        </w:rPr>
        <w:t>Осим предложених мера политике које се од</w:t>
      </w:r>
      <w:r w:rsidR="00752DB2" w:rsidRPr="00FF386D">
        <w:rPr>
          <w:rFonts w:asciiTheme="majorHAnsi" w:hAnsiTheme="majorHAnsi" w:cstheme="majorHAnsi"/>
          <w:iCs/>
          <w:color w:val="000000"/>
        </w:rPr>
        <w:t>н</w:t>
      </w:r>
      <w:r w:rsidRPr="00FF386D">
        <w:rPr>
          <w:rFonts w:asciiTheme="majorHAnsi" w:hAnsiTheme="majorHAnsi" w:cstheme="majorHAnsi"/>
          <w:iCs/>
          <w:color w:val="000000"/>
        </w:rPr>
        <w:t xml:space="preserve">осе на циљеве за смањење емисије </w:t>
      </w:r>
      <w:r w:rsidRPr="00FF386D">
        <w:rPr>
          <w:rFonts w:asciiTheme="majorHAnsi" w:hAnsiTheme="majorHAnsi" w:cstheme="majorHAnsi"/>
          <w:i/>
          <w:iCs/>
          <w:color w:val="000000"/>
        </w:rPr>
        <w:t xml:space="preserve">GHG </w:t>
      </w:r>
      <w:r w:rsidRPr="00FF386D">
        <w:rPr>
          <w:rFonts w:asciiTheme="majorHAnsi" w:hAnsiTheme="majorHAnsi" w:cstheme="majorHAnsi"/>
          <w:iCs/>
          <w:color w:val="000000"/>
        </w:rPr>
        <w:t xml:space="preserve">из енергетских и неенергетских извора, </w:t>
      </w:r>
      <w:r w:rsidR="00752DB2" w:rsidRPr="00FF386D">
        <w:rPr>
          <w:rFonts w:asciiTheme="majorHAnsi" w:hAnsiTheme="majorHAnsi" w:cstheme="majorHAnsi"/>
          <w:iCs/>
          <w:color w:val="000000"/>
        </w:rPr>
        <w:t xml:space="preserve">такође је </w:t>
      </w:r>
      <w:r w:rsidRPr="00FF386D">
        <w:rPr>
          <w:rFonts w:asciiTheme="majorHAnsi" w:hAnsiTheme="majorHAnsi" w:cstheme="majorHAnsi"/>
          <w:iCs/>
          <w:color w:val="000000"/>
        </w:rPr>
        <w:t xml:space="preserve">предложенο </w:t>
      </w:r>
      <w:r w:rsidR="00752DB2" w:rsidRPr="00FF386D">
        <w:rPr>
          <w:rFonts w:asciiTheme="majorHAnsi" w:hAnsiTheme="majorHAnsi" w:cstheme="majorHAnsi"/>
          <w:iCs/>
          <w:color w:val="000000"/>
        </w:rPr>
        <w:t xml:space="preserve">и </w:t>
      </w:r>
      <w:r w:rsidRPr="00FF386D">
        <w:rPr>
          <w:rFonts w:asciiTheme="majorHAnsi" w:hAnsiTheme="majorHAnsi" w:cstheme="majorHAnsi"/>
          <w:iCs/>
          <w:color w:val="000000"/>
        </w:rPr>
        <w:t xml:space="preserve">6 мера </w:t>
      </w:r>
      <w:r w:rsidR="00752DB2" w:rsidRPr="00FF386D">
        <w:rPr>
          <w:rFonts w:asciiTheme="majorHAnsi" w:hAnsiTheme="majorHAnsi" w:cstheme="majorHAnsi"/>
          <w:iCs/>
          <w:color w:val="000000"/>
        </w:rPr>
        <w:t>политик</w:t>
      </w:r>
      <w:r w:rsidR="00200595" w:rsidRPr="00FF386D">
        <w:rPr>
          <w:rFonts w:asciiTheme="majorHAnsi" w:hAnsiTheme="majorHAnsi" w:cstheme="majorHAnsi"/>
          <w:iCs/>
          <w:color w:val="000000"/>
        </w:rPr>
        <w:t>а</w:t>
      </w:r>
      <w:r w:rsidR="00752DB2" w:rsidRPr="00FF386D">
        <w:rPr>
          <w:rFonts w:asciiTheme="majorHAnsi" w:hAnsiTheme="majorHAnsi" w:cstheme="majorHAnsi"/>
          <w:iCs/>
          <w:color w:val="000000"/>
        </w:rPr>
        <w:t xml:space="preserve"> </w:t>
      </w:r>
      <w:r w:rsidRPr="00FF386D">
        <w:rPr>
          <w:rFonts w:asciiTheme="majorHAnsi" w:hAnsiTheme="majorHAnsi" w:cstheme="majorHAnsi"/>
          <w:iCs/>
          <w:color w:val="000000"/>
        </w:rPr>
        <w:t>за унапређење постојећег регулаторног оквира и подизањ</w:t>
      </w:r>
      <w:r w:rsidR="00200595" w:rsidRPr="00FF386D">
        <w:rPr>
          <w:rFonts w:asciiTheme="majorHAnsi" w:hAnsiTheme="majorHAnsi" w:cstheme="majorHAnsi"/>
          <w:iCs/>
          <w:color w:val="000000"/>
        </w:rPr>
        <w:t>е</w:t>
      </w:r>
      <w:r w:rsidRPr="00FF386D">
        <w:rPr>
          <w:rFonts w:asciiTheme="majorHAnsi" w:hAnsiTheme="majorHAnsi" w:cstheme="majorHAnsi"/>
          <w:iCs/>
          <w:color w:val="000000"/>
        </w:rPr>
        <w:t xml:space="preserve"> </w:t>
      </w:r>
      <w:r w:rsidR="005467CE" w:rsidRPr="00FF386D">
        <w:rPr>
          <w:rFonts w:asciiTheme="majorHAnsi" w:hAnsiTheme="majorHAnsi" w:cstheme="majorHAnsi"/>
          <w:iCs/>
          <w:color w:val="000000"/>
        </w:rPr>
        <w:t xml:space="preserve">нивоа </w:t>
      </w:r>
      <w:r w:rsidRPr="00FF386D">
        <w:rPr>
          <w:rFonts w:asciiTheme="majorHAnsi" w:hAnsiTheme="majorHAnsi" w:cstheme="majorHAnsi"/>
          <w:iCs/>
          <w:color w:val="000000"/>
        </w:rPr>
        <w:t xml:space="preserve">свести јавности о последицама потрошње енергије по животну средину, </w:t>
      </w:r>
      <w:r w:rsidR="00A54071" w:rsidRPr="00FF386D">
        <w:rPr>
          <w:rFonts w:asciiTheme="majorHAnsi" w:hAnsiTheme="majorHAnsi" w:cstheme="majorHAnsi"/>
          <w:iCs/>
          <w:color w:val="000000"/>
        </w:rPr>
        <w:t>како би се</w:t>
      </w:r>
      <w:r w:rsidR="00C81302" w:rsidRPr="00FF386D">
        <w:rPr>
          <w:rFonts w:asciiTheme="majorHAnsi" w:hAnsiTheme="majorHAnsi" w:cstheme="majorHAnsi"/>
          <w:iCs/>
          <w:color w:val="000000"/>
        </w:rPr>
        <w:t xml:space="preserve"> </w:t>
      </w:r>
      <w:r w:rsidR="000A5B96" w:rsidRPr="00FF386D">
        <w:rPr>
          <w:rFonts w:asciiTheme="majorHAnsi" w:hAnsiTheme="majorHAnsi" w:cstheme="majorHAnsi"/>
          <w:iCs/>
          <w:color w:val="000000"/>
        </w:rPr>
        <w:t xml:space="preserve">јавност </w:t>
      </w:r>
      <w:r w:rsidR="00CE55F7" w:rsidRPr="00FF386D">
        <w:rPr>
          <w:rFonts w:asciiTheme="majorHAnsi" w:hAnsiTheme="majorHAnsi" w:cstheme="majorHAnsi"/>
          <w:iCs/>
          <w:color w:val="000000"/>
        </w:rPr>
        <w:t>мотиви</w:t>
      </w:r>
      <w:r w:rsidR="00A54071" w:rsidRPr="00FF386D">
        <w:rPr>
          <w:rFonts w:asciiTheme="majorHAnsi" w:hAnsiTheme="majorHAnsi" w:cstheme="majorHAnsi"/>
          <w:iCs/>
          <w:color w:val="000000"/>
        </w:rPr>
        <w:t>сала,</w:t>
      </w:r>
      <w:r w:rsidR="00CE55F7" w:rsidRPr="00FF386D">
        <w:rPr>
          <w:rFonts w:asciiTheme="majorHAnsi" w:hAnsiTheme="majorHAnsi" w:cstheme="majorHAnsi"/>
          <w:iCs/>
          <w:color w:val="000000"/>
        </w:rPr>
        <w:t xml:space="preserve"> подстак</w:t>
      </w:r>
      <w:r w:rsidR="00A54071" w:rsidRPr="00FF386D">
        <w:rPr>
          <w:rFonts w:asciiTheme="majorHAnsi" w:hAnsiTheme="majorHAnsi" w:cstheme="majorHAnsi"/>
          <w:iCs/>
          <w:color w:val="000000"/>
        </w:rPr>
        <w:t>ла</w:t>
      </w:r>
      <w:r w:rsidR="00CE55F7" w:rsidRPr="00FF386D">
        <w:rPr>
          <w:rFonts w:asciiTheme="majorHAnsi" w:hAnsiTheme="majorHAnsi" w:cstheme="majorHAnsi"/>
          <w:iCs/>
          <w:color w:val="000000"/>
        </w:rPr>
        <w:t xml:space="preserve"> и информ</w:t>
      </w:r>
      <w:r w:rsidR="00A54071" w:rsidRPr="00FF386D">
        <w:rPr>
          <w:rFonts w:asciiTheme="majorHAnsi" w:hAnsiTheme="majorHAnsi" w:cstheme="majorHAnsi"/>
          <w:iCs/>
          <w:color w:val="000000"/>
        </w:rPr>
        <w:t xml:space="preserve">исала </w:t>
      </w:r>
      <w:r w:rsidR="00A54071" w:rsidRPr="00CB5449">
        <w:rPr>
          <w:rFonts w:asciiTheme="majorHAnsi" w:hAnsiTheme="majorHAnsi" w:cstheme="majorHAnsi"/>
          <w:iCs/>
          <w:color w:val="000000"/>
        </w:rPr>
        <w:t xml:space="preserve">да </w:t>
      </w:r>
      <w:r w:rsidR="00C74CD2">
        <w:rPr>
          <w:rFonts w:asciiTheme="majorHAnsi" w:hAnsiTheme="majorHAnsi" w:cstheme="majorHAnsi"/>
          <w:iCs/>
          <w:color w:val="000000"/>
        </w:rPr>
        <w:t>измени</w:t>
      </w:r>
      <w:r w:rsidR="003B26D9" w:rsidRPr="00CB5449">
        <w:rPr>
          <w:rFonts w:asciiTheme="majorHAnsi" w:hAnsiTheme="majorHAnsi" w:cstheme="majorHAnsi"/>
          <w:iCs/>
          <w:color w:val="000000"/>
        </w:rPr>
        <w:t xml:space="preserve"> понашањ</w:t>
      </w:r>
      <w:r w:rsidR="00200595" w:rsidRPr="00CB5449">
        <w:rPr>
          <w:rFonts w:asciiTheme="majorHAnsi" w:hAnsiTheme="majorHAnsi" w:cstheme="majorHAnsi"/>
          <w:iCs/>
          <w:color w:val="000000"/>
        </w:rPr>
        <w:t>е</w:t>
      </w:r>
      <w:r w:rsidR="003B26D9" w:rsidRPr="00CB5449">
        <w:rPr>
          <w:rFonts w:asciiTheme="majorHAnsi" w:hAnsiTheme="majorHAnsi" w:cstheme="majorHAnsi"/>
          <w:iCs/>
          <w:color w:val="000000"/>
        </w:rPr>
        <w:t xml:space="preserve"> и наста</w:t>
      </w:r>
      <w:r w:rsidR="00200595" w:rsidRPr="00CB5449">
        <w:rPr>
          <w:rFonts w:asciiTheme="majorHAnsi" w:hAnsiTheme="majorHAnsi" w:cstheme="majorHAnsi"/>
          <w:iCs/>
          <w:color w:val="000000"/>
        </w:rPr>
        <w:t>в</w:t>
      </w:r>
      <w:r w:rsidR="00A54071" w:rsidRPr="00CB5449">
        <w:rPr>
          <w:rFonts w:asciiTheme="majorHAnsi" w:hAnsiTheme="majorHAnsi" w:cstheme="majorHAnsi"/>
          <w:iCs/>
          <w:color w:val="000000"/>
        </w:rPr>
        <w:t xml:space="preserve">и </w:t>
      </w:r>
      <w:r w:rsidR="00C74CD2">
        <w:rPr>
          <w:rFonts w:asciiTheme="majorHAnsi" w:hAnsiTheme="majorHAnsi" w:cstheme="majorHAnsi"/>
          <w:iCs/>
          <w:color w:val="000000"/>
        </w:rPr>
        <w:t xml:space="preserve">да буде </w:t>
      </w:r>
      <w:r w:rsidR="00A54071" w:rsidRPr="00CB5449">
        <w:rPr>
          <w:rFonts w:asciiTheme="majorHAnsi" w:hAnsiTheme="majorHAnsi" w:cstheme="majorHAnsi"/>
          <w:iCs/>
          <w:color w:val="000000"/>
        </w:rPr>
        <w:t>ангажова</w:t>
      </w:r>
      <w:r w:rsidR="00C74CD2">
        <w:rPr>
          <w:rFonts w:asciiTheme="majorHAnsi" w:hAnsiTheme="majorHAnsi" w:cstheme="majorHAnsi"/>
          <w:iCs/>
          <w:color w:val="000000"/>
        </w:rPr>
        <w:t>на</w:t>
      </w:r>
      <w:r w:rsidR="00A54071" w:rsidRPr="00CB5449">
        <w:rPr>
          <w:rFonts w:asciiTheme="majorHAnsi" w:hAnsiTheme="majorHAnsi" w:cstheme="majorHAnsi"/>
          <w:iCs/>
          <w:color w:val="000000"/>
        </w:rPr>
        <w:t>.</w:t>
      </w:r>
    </w:p>
    <w:tbl>
      <w:tblPr>
        <w:tblW w:w="9680" w:type="dxa"/>
        <w:tblLook w:val="04A0" w:firstRow="1" w:lastRow="0" w:firstColumn="1" w:lastColumn="0" w:noHBand="0" w:noVBand="1"/>
      </w:tblPr>
      <w:tblGrid>
        <w:gridCol w:w="3402"/>
        <w:gridCol w:w="973"/>
        <w:gridCol w:w="967"/>
        <w:gridCol w:w="4338"/>
      </w:tblGrid>
      <w:tr w:rsidR="00854ADA" w:rsidRPr="00FF386D" w14:paraId="03C2DC46" w14:textId="77777777" w:rsidTr="0057310C">
        <w:trPr>
          <w:trHeight w:val="349"/>
        </w:trPr>
        <w:tc>
          <w:tcPr>
            <w:tcW w:w="3402"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6222B210"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Calibri Light" w:eastAsia="Times New Roman" w:hAnsi="Calibri Light" w:cs="Calibri Light"/>
                <w:b/>
                <w:bCs/>
                <w:color w:val="FFFFFF"/>
                <w:sz w:val="20"/>
                <w:szCs w:val="20"/>
                <w:lang w:eastAsia="en-GB"/>
              </w:rPr>
              <w:t>Шифра мере политике:</w:t>
            </w:r>
          </w:p>
        </w:tc>
        <w:tc>
          <w:tcPr>
            <w:tcW w:w="973" w:type="dxa"/>
            <w:tcBorders>
              <w:top w:val="single" w:sz="8" w:space="0" w:color="auto"/>
              <w:left w:val="nil"/>
              <w:bottom w:val="single" w:sz="8" w:space="0" w:color="auto"/>
              <w:right w:val="single" w:sz="8" w:space="0" w:color="auto"/>
            </w:tcBorders>
            <w:shd w:val="clear" w:color="auto" w:fill="E7E6E6" w:themeFill="background2"/>
            <w:vAlign w:val="center"/>
            <w:hideMark/>
          </w:tcPr>
          <w:p w14:paraId="68160A51" w14:textId="2C75A6AF"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eastAsia="Times New Roman" w:hAnsi="Calibri Light" w:cs="Calibri Light"/>
                <w:b/>
                <w:bCs/>
                <w:color w:val="000000"/>
                <w:sz w:val="20"/>
                <w:szCs w:val="20"/>
                <w:lang w:eastAsia="en-GB"/>
              </w:rPr>
              <w:t>MП_Д1</w:t>
            </w:r>
          </w:p>
        </w:tc>
        <w:tc>
          <w:tcPr>
            <w:tcW w:w="967" w:type="dxa"/>
            <w:tcBorders>
              <w:top w:val="single" w:sz="8" w:space="0" w:color="auto"/>
              <w:left w:val="nil"/>
              <w:bottom w:val="single" w:sz="8" w:space="0" w:color="auto"/>
              <w:right w:val="single" w:sz="8" w:space="0" w:color="auto"/>
            </w:tcBorders>
            <w:shd w:val="clear" w:color="000000" w:fill="244062"/>
            <w:vAlign w:val="center"/>
            <w:hideMark/>
          </w:tcPr>
          <w:p w14:paraId="3096C4F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eastAsia="Times New Roman" w:hAnsi="Calibri Light" w:cs="Calibri Light"/>
                <w:b/>
                <w:bCs/>
                <w:color w:val="FFFFFF"/>
                <w:sz w:val="20"/>
                <w:szCs w:val="20"/>
                <w:lang w:eastAsia="en-GB"/>
              </w:rPr>
              <w:t xml:space="preserve">Назив: </w:t>
            </w:r>
          </w:p>
        </w:tc>
        <w:tc>
          <w:tcPr>
            <w:tcW w:w="4338" w:type="dxa"/>
            <w:tcBorders>
              <w:top w:val="single" w:sz="8" w:space="0" w:color="auto"/>
              <w:left w:val="nil"/>
              <w:bottom w:val="single" w:sz="8" w:space="0" w:color="auto"/>
              <w:right w:val="single" w:sz="8" w:space="0" w:color="auto"/>
            </w:tcBorders>
            <w:shd w:val="clear" w:color="auto" w:fill="E7E6E6" w:themeFill="background2"/>
            <w:vAlign w:val="center"/>
            <w:hideMark/>
          </w:tcPr>
          <w:p w14:paraId="230EA453" w14:textId="6ADC2971" w:rsidR="00854ADA" w:rsidRPr="00FF386D" w:rsidRDefault="00FF5D39" w:rsidP="00854ADA">
            <w:pPr>
              <w:spacing w:after="0" w:line="240" w:lineRule="auto"/>
              <w:jc w:val="both"/>
              <w:rPr>
                <w:rFonts w:ascii="Calibri Light" w:eastAsia="Times New Roman" w:hAnsi="Calibri Light" w:cs="Calibri Light"/>
                <w:b/>
                <w:bCs/>
                <w:color w:val="000000"/>
                <w:sz w:val="20"/>
                <w:szCs w:val="20"/>
                <w:lang w:eastAsia="en-GB"/>
              </w:rPr>
            </w:pPr>
            <w:r>
              <w:rPr>
                <w:rFonts w:ascii="Calibri Light" w:eastAsia="Times New Roman" w:hAnsi="Calibri Light" w:cs="Calibri Light"/>
                <w:b/>
                <w:bCs/>
                <w:color w:val="000000"/>
                <w:sz w:val="20"/>
                <w:szCs w:val="20"/>
                <w:lang w:eastAsia="en-GB"/>
              </w:rPr>
              <w:t>У</w:t>
            </w:r>
            <w:r w:rsidR="00854ADA" w:rsidRPr="00FF386D">
              <w:rPr>
                <w:rFonts w:ascii="Calibri Light" w:eastAsia="Times New Roman" w:hAnsi="Calibri Light" w:cs="Calibri Light"/>
                <w:b/>
                <w:bCs/>
                <w:color w:val="000000"/>
                <w:sz w:val="20"/>
                <w:szCs w:val="20"/>
                <w:lang w:eastAsia="en-GB"/>
              </w:rPr>
              <w:t xml:space="preserve">вођење </w:t>
            </w:r>
            <w:r w:rsidRPr="00FF5D39">
              <w:rPr>
                <w:rFonts w:ascii="Calibri Light" w:eastAsia="Times New Roman" w:hAnsi="Calibri Light" w:cs="Calibri Light"/>
                <w:b/>
                <w:bCs/>
                <w:color w:val="000000"/>
                <w:sz w:val="20"/>
                <w:szCs w:val="20"/>
                <w:lang w:eastAsia="en-GB"/>
              </w:rPr>
              <w:t>цене</w:t>
            </w:r>
            <w:r w:rsidR="00211141">
              <w:rPr>
                <w:rFonts w:ascii="Calibri Light" w:eastAsia="Times New Roman" w:hAnsi="Calibri Light" w:cs="Calibri Light"/>
                <w:b/>
                <w:bCs/>
                <w:color w:val="000000"/>
                <w:sz w:val="20"/>
                <w:szCs w:val="20"/>
                <w:lang w:eastAsia="en-GB"/>
              </w:rPr>
              <w:t xml:space="preserve"> </w:t>
            </w:r>
            <w:r w:rsidRPr="00FF5D39">
              <w:rPr>
                <w:rFonts w:ascii="Calibri Light" w:eastAsia="Times New Roman" w:hAnsi="Calibri Light" w:cs="Calibri Light"/>
                <w:b/>
                <w:bCs/>
                <w:color w:val="000000"/>
                <w:sz w:val="20"/>
                <w:szCs w:val="20"/>
                <w:lang w:eastAsia="en-GB"/>
              </w:rPr>
              <w:t>угљеника на енергију</w:t>
            </w:r>
          </w:p>
        </w:tc>
      </w:tr>
      <w:tr w:rsidR="00854ADA" w:rsidRPr="00FF386D" w14:paraId="3AE8CCE6" w14:textId="77777777" w:rsidTr="0057310C">
        <w:trPr>
          <w:trHeight w:val="271"/>
        </w:trPr>
        <w:tc>
          <w:tcPr>
            <w:tcW w:w="3402" w:type="dxa"/>
            <w:tcBorders>
              <w:top w:val="nil"/>
              <w:left w:val="single" w:sz="8" w:space="0" w:color="auto"/>
              <w:bottom w:val="single" w:sz="8" w:space="0" w:color="auto"/>
              <w:right w:val="nil"/>
            </w:tcBorders>
            <w:shd w:val="clear" w:color="000000" w:fill="244062"/>
            <w:vAlign w:val="center"/>
            <w:hideMark/>
          </w:tcPr>
          <w:p w14:paraId="65890DE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eastAsia="Times New Roman" w:hAnsi="Calibri Light" w:cs="Calibri Light"/>
                <w:b/>
                <w:bCs/>
                <w:color w:val="FFFFFF"/>
                <w:sz w:val="20"/>
                <w:szCs w:val="20"/>
                <w:lang w:eastAsia="en-GB"/>
              </w:rPr>
              <w:t>Главни циљ:</w:t>
            </w:r>
          </w:p>
        </w:tc>
        <w:tc>
          <w:tcPr>
            <w:tcW w:w="6278" w:type="dxa"/>
            <w:gridSpan w:val="3"/>
            <w:tcBorders>
              <w:top w:val="single" w:sz="8" w:space="0" w:color="auto"/>
              <w:left w:val="nil"/>
              <w:bottom w:val="single" w:sz="8" w:space="0" w:color="auto"/>
              <w:right w:val="single" w:sz="8" w:space="0" w:color="000000"/>
            </w:tcBorders>
            <w:shd w:val="clear" w:color="auto" w:fill="auto"/>
            <w:vAlign w:val="center"/>
            <w:hideMark/>
          </w:tcPr>
          <w:p w14:paraId="55E7DBD1" w14:textId="677D11D3" w:rsidR="00854ADA" w:rsidRPr="00FF386D" w:rsidRDefault="00854ADA" w:rsidP="00854ADA">
            <w:pPr>
              <w:spacing w:after="0" w:line="240" w:lineRule="auto"/>
              <w:rPr>
                <w:rFonts w:asciiTheme="majorHAnsi" w:hAnsiTheme="majorHAnsi" w:cstheme="majorHAnsi"/>
                <w:sz w:val="24"/>
                <w:szCs w:val="24"/>
                <w:lang w:eastAsia="en-GB"/>
              </w:rPr>
            </w:pPr>
            <w:r w:rsidRPr="00FF386D">
              <w:rPr>
                <w:rFonts w:asciiTheme="majorHAnsi" w:eastAsia="Times New Roman" w:hAnsiTheme="majorHAnsi" w:cstheme="majorHAnsi"/>
                <w:color w:val="000000"/>
                <w:sz w:val="20"/>
                <w:szCs w:val="20"/>
                <w:lang w:eastAsia="en-GB"/>
              </w:rPr>
              <w:t xml:space="preserve">Смањење емисија </w:t>
            </w:r>
            <w:r w:rsidR="004D35DC" w:rsidRPr="00FF386D">
              <w:rPr>
                <w:rFonts w:asciiTheme="majorHAnsi" w:eastAsia="Times New Roman" w:hAnsiTheme="majorHAnsi" w:cstheme="majorHAnsi"/>
                <w:color w:val="000000"/>
                <w:sz w:val="20"/>
                <w:szCs w:val="20"/>
                <w:lang w:eastAsia="en-GB"/>
              </w:rPr>
              <w:t>угљеника</w:t>
            </w:r>
          </w:p>
        </w:tc>
      </w:tr>
      <w:tr w:rsidR="00854ADA" w:rsidRPr="00FF386D" w14:paraId="0C51D280" w14:textId="77777777" w:rsidTr="0057310C">
        <w:trPr>
          <w:trHeight w:val="315"/>
        </w:trPr>
        <w:tc>
          <w:tcPr>
            <w:tcW w:w="3402" w:type="dxa"/>
            <w:tcBorders>
              <w:top w:val="nil"/>
              <w:left w:val="single" w:sz="8" w:space="0" w:color="auto"/>
              <w:bottom w:val="single" w:sz="8" w:space="0" w:color="auto"/>
              <w:right w:val="single" w:sz="8" w:space="0" w:color="auto"/>
            </w:tcBorders>
            <w:shd w:val="clear" w:color="000000" w:fill="244062"/>
            <w:vAlign w:val="center"/>
            <w:hideMark/>
          </w:tcPr>
          <w:p w14:paraId="1009639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eastAsia="Times New Roman" w:hAnsi="Calibri Light" w:cs="Calibri Light"/>
                <w:b/>
                <w:bCs/>
                <w:color w:val="FFFFFF"/>
                <w:sz w:val="20"/>
                <w:szCs w:val="20"/>
                <w:lang w:eastAsia="en-GB"/>
              </w:rPr>
              <w:lastRenderedPageBreak/>
              <w:t>Квантификовани циљ:</w:t>
            </w:r>
          </w:p>
        </w:tc>
        <w:tc>
          <w:tcPr>
            <w:tcW w:w="6278" w:type="dxa"/>
            <w:gridSpan w:val="3"/>
            <w:tcBorders>
              <w:top w:val="single" w:sz="8" w:space="0" w:color="auto"/>
              <w:left w:val="nil"/>
              <w:bottom w:val="single" w:sz="8" w:space="0" w:color="auto"/>
              <w:right w:val="single" w:sz="8" w:space="0" w:color="000000"/>
            </w:tcBorders>
            <w:shd w:val="clear" w:color="auto" w:fill="auto"/>
            <w:vAlign w:val="center"/>
          </w:tcPr>
          <w:p w14:paraId="533DFE4E" w14:textId="5A2A2831" w:rsidR="00854ADA" w:rsidRPr="00FF386D" w:rsidRDefault="00FF5D39" w:rsidP="00854ADA">
            <w:pPr>
              <w:spacing w:after="0" w:line="240" w:lineRule="auto"/>
              <w:rPr>
                <w:rFonts w:asciiTheme="majorHAnsi" w:eastAsia="Times New Roman" w:hAnsiTheme="majorHAnsi" w:cstheme="majorHAnsi"/>
                <w:color w:val="000000"/>
                <w:sz w:val="20"/>
                <w:szCs w:val="20"/>
                <w:lang w:eastAsia="en-GB"/>
              </w:rPr>
            </w:pPr>
            <w:r w:rsidRPr="00FF5D39">
              <w:rPr>
                <w:rFonts w:asciiTheme="majorHAnsi" w:eastAsia="Times New Roman" w:hAnsiTheme="majorHAnsi" w:cstheme="majorHAnsi"/>
                <w:color w:val="000000"/>
                <w:sz w:val="20"/>
                <w:szCs w:val="20"/>
                <w:lang w:eastAsia="en-GB"/>
              </w:rPr>
              <w:t xml:space="preserve">Допринос циљу </w:t>
            </w:r>
            <w:r>
              <w:rPr>
                <w:rFonts w:asciiTheme="majorHAnsi" w:eastAsia="Times New Roman" w:hAnsiTheme="majorHAnsi" w:cstheme="majorHAnsi"/>
                <w:color w:val="000000"/>
                <w:sz w:val="20"/>
                <w:szCs w:val="20"/>
                <w:lang w:eastAsia="en-GB"/>
              </w:rPr>
              <w:t>с</w:t>
            </w:r>
            <w:r w:rsidR="00854ADA" w:rsidRPr="00FF386D">
              <w:rPr>
                <w:rFonts w:asciiTheme="majorHAnsi" w:eastAsia="Times New Roman" w:hAnsiTheme="majorHAnsi" w:cstheme="majorHAnsi"/>
                <w:color w:val="000000"/>
                <w:sz w:val="20"/>
                <w:szCs w:val="20"/>
                <w:lang w:eastAsia="en-GB"/>
              </w:rPr>
              <w:t>мањењ</w:t>
            </w:r>
            <w:r>
              <w:rPr>
                <w:rFonts w:asciiTheme="majorHAnsi" w:eastAsia="Times New Roman" w:hAnsiTheme="majorHAnsi" w:cstheme="majorHAnsi"/>
                <w:color w:val="000000"/>
                <w:sz w:val="20"/>
                <w:szCs w:val="20"/>
                <w:lang w:eastAsia="en-GB"/>
              </w:rPr>
              <w:t>а</w:t>
            </w:r>
            <w:r w:rsidR="00854ADA" w:rsidRPr="00FF386D">
              <w:rPr>
                <w:rFonts w:asciiTheme="majorHAnsi" w:eastAsia="Times New Roman" w:hAnsiTheme="majorHAnsi" w:cstheme="majorHAnsi"/>
                <w:color w:val="000000"/>
                <w:sz w:val="20"/>
                <w:szCs w:val="20"/>
                <w:lang w:eastAsia="en-GB"/>
              </w:rPr>
              <w:t xml:space="preserve"> емисија </w:t>
            </w:r>
            <w:r w:rsidR="00854ADA" w:rsidRPr="00FF386D">
              <w:rPr>
                <w:rFonts w:asciiTheme="majorHAnsi" w:eastAsia="Times New Roman" w:hAnsiTheme="majorHAnsi" w:cstheme="majorHAnsi"/>
                <w:i/>
                <w:iCs/>
                <w:color w:val="000000"/>
                <w:sz w:val="20"/>
                <w:szCs w:val="20"/>
                <w:lang w:eastAsia="en-GB"/>
              </w:rPr>
              <w:t>GHG</w:t>
            </w:r>
            <w:r w:rsidR="00854ADA" w:rsidRPr="00FF386D">
              <w:rPr>
                <w:rFonts w:asciiTheme="majorHAnsi" w:eastAsia="Times New Roman" w:hAnsiTheme="majorHAnsi" w:cstheme="majorHAnsi"/>
                <w:color w:val="000000"/>
                <w:sz w:val="20"/>
                <w:szCs w:val="20"/>
                <w:lang w:eastAsia="en-GB"/>
              </w:rPr>
              <w:t xml:space="preserve"> за </w:t>
            </w:r>
            <w:r>
              <w:rPr>
                <w:rFonts w:asciiTheme="majorHAnsi" w:eastAsia="Times New Roman" w:hAnsiTheme="majorHAnsi" w:cstheme="majorHAnsi"/>
                <w:color w:val="000000"/>
                <w:sz w:val="20"/>
                <w:szCs w:val="20"/>
                <w:lang w:eastAsia="en-GB"/>
              </w:rPr>
              <w:t>33</w:t>
            </w:r>
            <w:r w:rsidR="00B9551E" w:rsidRPr="00FF386D">
              <w:rPr>
                <w:rFonts w:asciiTheme="majorHAnsi" w:eastAsia="Times New Roman" w:hAnsiTheme="majorHAnsi" w:cstheme="majorHAnsi"/>
                <w:color w:val="000000"/>
                <w:sz w:val="20"/>
                <w:szCs w:val="20"/>
                <w:lang w:eastAsia="en-GB"/>
              </w:rPr>
              <w:t>,</w:t>
            </w:r>
            <w:r w:rsidR="00B9551E" w:rsidRPr="00FF386D">
              <w:rPr>
                <w:rFonts w:eastAsia="Times New Roman"/>
                <w:color w:val="000000"/>
                <w:sz w:val="20"/>
                <w:szCs w:val="20"/>
                <w:lang w:eastAsia="en-GB"/>
              </w:rPr>
              <w:t>3</w:t>
            </w:r>
            <w:r w:rsidR="00854ADA" w:rsidRPr="00FF386D">
              <w:rPr>
                <w:rFonts w:asciiTheme="majorHAnsi" w:eastAsia="Times New Roman" w:hAnsiTheme="majorHAnsi" w:cstheme="majorHAnsi"/>
                <w:color w:val="000000"/>
                <w:sz w:val="20"/>
                <w:szCs w:val="20"/>
                <w:lang w:eastAsia="en-GB"/>
              </w:rPr>
              <w:t>% (</w:t>
            </w:r>
            <w:r>
              <w:rPr>
                <w:rFonts w:asciiTheme="majorHAnsi" w:eastAsia="Times New Roman" w:hAnsiTheme="majorHAnsi" w:cstheme="majorHAnsi"/>
                <w:color w:val="000000"/>
                <w:sz w:val="20"/>
                <w:szCs w:val="20"/>
                <w:lang w:eastAsia="en-GB"/>
              </w:rPr>
              <w:t>без</w:t>
            </w:r>
            <w:r w:rsidRPr="00FF386D">
              <w:rPr>
                <w:rFonts w:asciiTheme="majorHAnsi" w:eastAsia="Times New Roman" w:hAnsiTheme="majorHAnsi" w:cstheme="majorHAnsi"/>
                <w:color w:val="000000"/>
                <w:sz w:val="20"/>
                <w:szCs w:val="20"/>
                <w:lang w:eastAsia="en-GB"/>
              </w:rPr>
              <w:t xml:space="preserve"> </w:t>
            </w:r>
            <w:r w:rsidR="00854ADA" w:rsidRPr="00FF386D">
              <w:rPr>
                <w:rFonts w:asciiTheme="majorHAnsi" w:eastAsia="Times New Roman" w:hAnsiTheme="majorHAnsi" w:cstheme="majorHAnsi"/>
                <w:i/>
                <w:iCs/>
                <w:color w:val="000000"/>
                <w:sz w:val="20"/>
                <w:szCs w:val="20"/>
                <w:lang w:eastAsia="en-GB"/>
              </w:rPr>
              <w:t>LULUCF</w:t>
            </w:r>
            <w:r w:rsidR="00854ADA" w:rsidRPr="00FF386D">
              <w:rPr>
                <w:rFonts w:asciiTheme="majorHAnsi" w:eastAsia="Times New Roman" w:hAnsiTheme="majorHAnsi" w:cstheme="majorHAnsi"/>
                <w:color w:val="000000"/>
                <w:sz w:val="20"/>
                <w:szCs w:val="20"/>
                <w:lang w:eastAsia="en-GB"/>
              </w:rPr>
              <w:t xml:space="preserve">) до 2030. </w:t>
            </w:r>
            <w:r w:rsidR="004D35DC" w:rsidRPr="00FF386D">
              <w:rPr>
                <w:rFonts w:asciiTheme="majorHAnsi" w:eastAsia="Times New Roman" w:hAnsiTheme="majorHAnsi" w:cstheme="majorHAnsi"/>
                <w:color w:val="000000"/>
                <w:sz w:val="20"/>
                <w:szCs w:val="20"/>
                <w:lang w:eastAsia="en-GB"/>
              </w:rPr>
              <w:t xml:space="preserve">године </w:t>
            </w:r>
            <w:r w:rsidR="00854ADA" w:rsidRPr="00FF386D">
              <w:rPr>
                <w:rFonts w:asciiTheme="majorHAnsi" w:eastAsia="Times New Roman" w:hAnsiTheme="majorHAnsi" w:cstheme="majorHAnsi"/>
                <w:color w:val="000000"/>
                <w:sz w:val="20"/>
                <w:szCs w:val="20"/>
                <w:lang w:eastAsia="en-GB"/>
              </w:rPr>
              <w:t>у поређењу са нивоима из 1990. године</w:t>
            </w:r>
          </w:p>
        </w:tc>
      </w:tr>
      <w:tr w:rsidR="00854ADA" w:rsidRPr="00FF386D" w14:paraId="15BE2AC5" w14:textId="77777777" w:rsidTr="0057310C">
        <w:trPr>
          <w:trHeight w:val="980"/>
        </w:trPr>
        <w:tc>
          <w:tcPr>
            <w:tcW w:w="3402" w:type="dxa"/>
            <w:tcBorders>
              <w:top w:val="nil"/>
              <w:left w:val="single" w:sz="8" w:space="0" w:color="auto"/>
              <w:bottom w:val="single" w:sz="8" w:space="0" w:color="auto"/>
              <w:right w:val="single" w:sz="8" w:space="0" w:color="auto"/>
            </w:tcBorders>
            <w:shd w:val="clear" w:color="000000" w:fill="244062"/>
            <w:vAlign w:val="center"/>
            <w:hideMark/>
          </w:tcPr>
          <w:p w14:paraId="3A053C0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78" w:type="dxa"/>
            <w:gridSpan w:val="3"/>
            <w:tcBorders>
              <w:top w:val="single" w:sz="8" w:space="0" w:color="auto"/>
              <w:left w:val="nil"/>
              <w:bottom w:val="single" w:sz="8" w:space="0" w:color="auto"/>
              <w:right w:val="single" w:sz="8" w:space="0" w:color="000000"/>
            </w:tcBorders>
            <w:shd w:val="clear" w:color="auto" w:fill="auto"/>
            <w:vAlign w:val="center"/>
            <w:hideMark/>
          </w:tcPr>
          <w:p w14:paraId="75DC0BD0" w14:textId="41B8078C" w:rsidR="00854ADA" w:rsidRPr="002331D8"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МП_Д1</w:t>
            </w:r>
            <w:r w:rsidR="00A71479" w:rsidRPr="00C312D6">
              <w:rPr>
                <w:rFonts w:asciiTheme="majorHAnsi" w:eastAsia="Times New Roman" w:hAnsiTheme="majorHAnsi" w:cstheme="majorHAnsi"/>
                <w:color w:val="000000"/>
                <w:sz w:val="20"/>
                <w:szCs w:val="20"/>
                <w:lang w:eastAsia="en-GB"/>
              </w:rPr>
              <w:t xml:space="preserve">, </w:t>
            </w:r>
            <w:r w:rsidR="00A71479">
              <w:rPr>
                <w:rFonts w:asciiTheme="majorHAnsi" w:eastAsia="Times New Roman" w:hAnsiTheme="majorHAnsi" w:cstheme="majorHAnsi"/>
                <w:color w:val="000000"/>
                <w:sz w:val="20"/>
                <w:szCs w:val="20"/>
                <w:lang w:eastAsia="en-GB"/>
              </w:rPr>
              <w:t>заједно са применом Систем</w:t>
            </w:r>
            <w:r w:rsidR="00A71479">
              <w:rPr>
                <w:rFonts w:asciiTheme="majorHAnsi" w:eastAsia="Times New Roman" w:hAnsiTheme="majorHAnsi" w:cstheme="majorHAnsi"/>
                <w:color w:val="000000"/>
                <w:sz w:val="20"/>
                <w:szCs w:val="20"/>
                <w:lang w:val="sr-Latn-RS" w:eastAsia="en-GB"/>
              </w:rPr>
              <w:t xml:space="preserve">a </w:t>
            </w:r>
            <w:r w:rsidR="00A71479">
              <w:rPr>
                <w:rFonts w:asciiTheme="majorHAnsi" w:eastAsia="Times New Roman" w:hAnsiTheme="majorHAnsi" w:cstheme="majorHAnsi"/>
                <w:color w:val="000000"/>
                <w:sz w:val="20"/>
                <w:szCs w:val="20"/>
                <w:lang w:eastAsia="en-GB"/>
              </w:rPr>
              <w:t xml:space="preserve">за трговину емисијама или других инструмената </w:t>
            </w:r>
            <w:r w:rsidR="007930D1">
              <w:rPr>
                <w:rFonts w:asciiTheme="majorHAnsi" w:eastAsia="Times New Roman" w:hAnsiTheme="majorHAnsi" w:cstheme="majorHAnsi"/>
                <w:color w:val="000000"/>
                <w:sz w:val="20"/>
                <w:szCs w:val="20"/>
                <w:lang w:eastAsia="en-GB"/>
              </w:rPr>
              <w:t xml:space="preserve">одређивања </w:t>
            </w:r>
            <w:r w:rsidR="00A71479">
              <w:rPr>
                <w:rFonts w:asciiTheme="majorHAnsi" w:eastAsia="Times New Roman" w:hAnsiTheme="majorHAnsi" w:cstheme="majorHAnsi"/>
                <w:color w:val="000000"/>
                <w:sz w:val="20"/>
                <w:szCs w:val="20"/>
                <w:lang w:eastAsia="en-GB"/>
              </w:rPr>
              <w:t>цене угљеника, убрзаће</w:t>
            </w:r>
            <w:r w:rsidRPr="00FF386D">
              <w:rPr>
                <w:rFonts w:asciiTheme="majorHAnsi" w:eastAsia="Times New Roman" w:hAnsiTheme="majorHAnsi" w:cstheme="majorHAnsi"/>
                <w:color w:val="000000"/>
                <w:sz w:val="20"/>
                <w:szCs w:val="20"/>
                <w:lang w:eastAsia="en-GB"/>
              </w:rPr>
              <w:t xml:space="preserve"> </w:t>
            </w:r>
            <w:r w:rsidR="007C1536" w:rsidRPr="00FF386D">
              <w:rPr>
                <w:rFonts w:asciiTheme="majorHAnsi" w:eastAsia="Times New Roman" w:hAnsiTheme="majorHAnsi" w:cstheme="majorHAnsi"/>
                <w:color w:val="000000"/>
                <w:sz w:val="20"/>
                <w:szCs w:val="20"/>
                <w:lang w:eastAsia="en-GB"/>
              </w:rPr>
              <w:t>повлачење</w:t>
            </w:r>
            <w:r w:rsidRPr="00FF386D">
              <w:rPr>
                <w:rFonts w:asciiTheme="majorHAnsi" w:eastAsia="Times New Roman" w:hAnsiTheme="majorHAnsi" w:cstheme="majorHAnsi"/>
                <w:color w:val="000000"/>
                <w:sz w:val="20"/>
                <w:szCs w:val="20"/>
                <w:lang w:eastAsia="en-GB"/>
              </w:rPr>
              <w:t xml:space="preserve"> конвенционалних горива</w:t>
            </w:r>
            <w:r w:rsidR="00A71479">
              <w:rPr>
                <w:rFonts w:asciiTheme="majorHAnsi" w:eastAsia="Times New Roman" w:hAnsiTheme="majorHAnsi" w:cstheme="majorHAnsi"/>
                <w:color w:val="000000"/>
                <w:sz w:val="20"/>
                <w:szCs w:val="20"/>
                <w:lang w:eastAsia="en-GB"/>
              </w:rPr>
              <w:t xml:space="preserve">. Средства прикупљена </w:t>
            </w:r>
            <w:r w:rsidR="007930D1">
              <w:rPr>
                <w:rFonts w:asciiTheme="majorHAnsi" w:eastAsia="Times New Roman" w:hAnsiTheme="majorHAnsi" w:cstheme="majorHAnsi"/>
                <w:color w:val="000000"/>
                <w:sz w:val="20"/>
                <w:szCs w:val="20"/>
                <w:lang w:eastAsia="en-GB"/>
              </w:rPr>
              <w:t>од одређивања</w:t>
            </w:r>
            <w:r w:rsidR="00A71479">
              <w:rPr>
                <w:rFonts w:asciiTheme="majorHAnsi" w:eastAsia="Times New Roman" w:hAnsiTheme="majorHAnsi" w:cstheme="majorHAnsi"/>
                <w:color w:val="000000"/>
                <w:sz w:val="20"/>
                <w:szCs w:val="20"/>
                <w:lang w:eastAsia="en-GB"/>
              </w:rPr>
              <w:t xml:space="preserve"> цене угљеника </w:t>
            </w:r>
            <w:r w:rsidR="007930D1">
              <w:rPr>
                <w:rFonts w:asciiTheme="majorHAnsi" w:eastAsia="Times New Roman" w:hAnsiTheme="majorHAnsi" w:cstheme="majorHAnsi"/>
                <w:color w:val="000000"/>
                <w:sz w:val="20"/>
                <w:szCs w:val="20"/>
                <w:lang w:eastAsia="en-GB"/>
              </w:rPr>
              <w:t>биће коришћена за</w:t>
            </w:r>
            <w:r w:rsidRPr="00FF386D">
              <w:rPr>
                <w:rFonts w:asciiTheme="majorHAnsi" w:eastAsia="Times New Roman" w:hAnsiTheme="majorHAnsi" w:cstheme="majorHAnsi"/>
                <w:color w:val="000000"/>
                <w:sz w:val="20"/>
                <w:szCs w:val="20"/>
                <w:lang w:eastAsia="en-GB"/>
              </w:rPr>
              <w:t xml:space="preserve"> стимулиса</w:t>
            </w:r>
            <w:r w:rsidR="007930D1">
              <w:rPr>
                <w:rFonts w:asciiTheme="majorHAnsi" w:eastAsia="Times New Roman" w:hAnsiTheme="majorHAnsi" w:cstheme="majorHAnsi"/>
                <w:color w:val="000000"/>
                <w:sz w:val="20"/>
                <w:szCs w:val="20"/>
                <w:lang w:eastAsia="en-GB"/>
              </w:rPr>
              <w:t>ње</w:t>
            </w:r>
            <w:r w:rsidRPr="00FF386D">
              <w:rPr>
                <w:rFonts w:asciiTheme="majorHAnsi" w:eastAsia="Times New Roman" w:hAnsiTheme="majorHAnsi" w:cstheme="majorHAnsi"/>
                <w:color w:val="000000"/>
                <w:sz w:val="20"/>
                <w:szCs w:val="20"/>
                <w:lang w:eastAsia="en-GB"/>
              </w:rPr>
              <w:t xml:space="preserve"> инвестициј</w:t>
            </w:r>
            <w:r w:rsidR="007930D1">
              <w:rPr>
                <w:rFonts w:asciiTheme="majorHAnsi" w:eastAsia="Times New Roman" w:hAnsiTheme="majorHAnsi" w:cstheme="majorHAnsi"/>
                <w:color w:val="000000"/>
                <w:sz w:val="20"/>
                <w:szCs w:val="20"/>
                <w:lang w:eastAsia="en-GB"/>
              </w:rPr>
              <w:t>а</w:t>
            </w:r>
            <w:r w:rsidRPr="00FF386D">
              <w:rPr>
                <w:rFonts w:asciiTheme="majorHAnsi" w:eastAsia="Times New Roman" w:hAnsiTheme="majorHAnsi" w:cstheme="majorHAnsi"/>
                <w:color w:val="000000"/>
                <w:sz w:val="20"/>
                <w:szCs w:val="20"/>
                <w:lang w:eastAsia="en-GB"/>
              </w:rPr>
              <w:t xml:space="preserve"> у ОИЕ</w:t>
            </w:r>
            <w:r w:rsidR="007930D1">
              <w:rPr>
                <w:rFonts w:asciiTheme="majorHAnsi" w:eastAsia="Times New Roman" w:hAnsiTheme="majorHAnsi" w:cstheme="majorHAnsi"/>
                <w:color w:val="000000"/>
                <w:sz w:val="20"/>
                <w:szCs w:val="20"/>
                <w:lang w:eastAsia="en-GB"/>
              </w:rPr>
              <w:t>,</w:t>
            </w:r>
            <w:r w:rsidRPr="00FF386D">
              <w:rPr>
                <w:rFonts w:asciiTheme="majorHAnsi" w:eastAsia="Times New Roman" w:hAnsiTheme="majorHAnsi" w:cstheme="majorHAnsi"/>
                <w:color w:val="000000"/>
                <w:sz w:val="20"/>
                <w:szCs w:val="20"/>
                <w:lang w:eastAsia="en-GB"/>
              </w:rPr>
              <w:t xml:space="preserve"> повећа</w:t>
            </w:r>
            <w:r w:rsidR="00A578BE">
              <w:rPr>
                <w:rFonts w:asciiTheme="majorHAnsi" w:eastAsia="Times New Roman" w:hAnsiTheme="majorHAnsi" w:cstheme="majorHAnsi"/>
                <w:color w:val="000000"/>
                <w:sz w:val="20"/>
                <w:szCs w:val="20"/>
                <w:lang w:eastAsia="en-GB"/>
              </w:rPr>
              <w:t>но</w:t>
            </w:r>
            <w:r w:rsidRPr="00FF386D">
              <w:rPr>
                <w:rFonts w:asciiTheme="majorHAnsi" w:eastAsia="Times New Roman" w:hAnsiTheme="majorHAnsi" w:cstheme="majorHAnsi"/>
                <w:color w:val="000000"/>
                <w:sz w:val="20"/>
                <w:szCs w:val="20"/>
                <w:lang w:eastAsia="en-GB"/>
              </w:rPr>
              <w:t xml:space="preserve"> увођење мера енергетске ефикасности</w:t>
            </w:r>
            <w:r w:rsidR="0051339A">
              <w:rPr>
                <w:rFonts w:asciiTheme="majorHAnsi" w:eastAsia="Times New Roman" w:hAnsiTheme="majorHAnsi" w:cstheme="majorHAnsi"/>
                <w:color w:val="000000"/>
                <w:sz w:val="20"/>
                <w:szCs w:val="20"/>
                <w:lang w:eastAsia="en-GB"/>
              </w:rPr>
              <w:t xml:space="preserve"> и ублажавање </w:t>
            </w:r>
            <w:r w:rsidR="00211141">
              <w:rPr>
                <w:rFonts w:asciiTheme="majorHAnsi" w:eastAsia="Times New Roman" w:hAnsiTheme="majorHAnsi" w:cstheme="majorHAnsi"/>
                <w:color w:val="000000"/>
                <w:sz w:val="20"/>
                <w:szCs w:val="20"/>
                <w:lang w:eastAsia="en-GB"/>
              </w:rPr>
              <w:t>друштвених</w:t>
            </w:r>
            <w:r w:rsidR="0051339A">
              <w:rPr>
                <w:rFonts w:asciiTheme="majorHAnsi" w:eastAsia="Times New Roman" w:hAnsiTheme="majorHAnsi" w:cstheme="majorHAnsi"/>
                <w:color w:val="000000"/>
                <w:sz w:val="20"/>
                <w:szCs w:val="20"/>
                <w:lang w:eastAsia="en-GB"/>
              </w:rPr>
              <w:t xml:space="preserve"> и економских последица декарбонизације</w:t>
            </w:r>
            <w:r w:rsidRPr="00FF386D">
              <w:rPr>
                <w:rFonts w:asciiTheme="majorHAnsi" w:eastAsia="Times New Roman" w:hAnsiTheme="majorHAnsi" w:cstheme="majorHAnsi"/>
                <w:color w:val="000000"/>
                <w:sz w:val="20"/>
                <w:szCs w:val="20"/>
                <w:lang w:eastAsia="en-GB"/>
              </w:rPr>
              <w:t>.</w:t>
            </w:r>
            <w:r w:rsidR="00FF5D39" w:rsidRPr="00FF5D39">
              <w:rPr>
                <w:rFonts w:asciiTheme="majorHAnsi" w:eastAsia="Times New Roman" w:hAnsiTheme="majorHAnsi" w:cstheme="majorHAnsi"/>
                <w:color w:val="000000"/>
                <w:sz w:val="20"/>
                <w:szCs w:val="20"/>
                <w:lang w:eastAsia="en-GB"/>
              </w:rPr>
              <w:t>.</w:t>
            </w:r>
            <w:r w:rsidR="002331D8">
              <w:rPr>
                <w:rFonts w:asciiTheme="majorHAnsi" w:eastAsia="Times New Roman" w:hAnsiTheme="majorHAnsi" w:cstheme="majorHAnsi"/>
                <w:color w:val="000000"/>
                <w:sz w:val="20"/>
                <w:szCs w:val="20"/>
                <w:lang w:val="sr-Latn-RS" w:eastAsia="en-GB"/>
              </w:rPr>
              <w:t xml:space="preserve"> </w:t>
            </w:r>
            <w:r w:rsidR="002331D8">
              <w:rPr>
                <w:rFonts w:asciiTheme="majorHAnsi" w:eastAsia="Times New Roman" w:hAnsiTheme="majorHAnsi" w:cstheme="majorHAnsi"/>
                <w:color w:val="000000"/>
                <w:sz w:val="20"/>
                <w:szCs w:val="20"/>
                <w:lang w:eastAsia="en-GB"/>
              </w:rPr>
              <w:t xml:space="preserve">Успостављање механизма </w:t>
            </w:r>
            <w:r w:rsidR="007930D1">
              <w:rPr>
                <w:rFonts w:asciiTheme="majorHAnsi" w:eastAsia="Times New Roman" w:hAnsiTheme="majorHAnsi" w:cstheme="majorHAnsi"/>
                <w:color w:val="000000"/>
                <w:sz w:val="20"/>
                <w:szCs w:val="20"/>
                <w:lang w:eastAsia="en-GB"/>
              </w:rPr>
              <w:t xml:space="preserve">одређивања </w:t>
            </w:r>
            <w:r w:rsidR="002331D8">
              <w:rPr>
                <w:rFonts w:asciiTheme="majorHAnsi" w:eastAsia="Times New Roman" w:hAnsiTheme="majorHAnsi" w:cstheme="majorHAnsi"/>
                <w:color w:val="000000"/>
                <w:sz w:val="20"/>
                <w:szCs w:val="20"/>
                <w:lang w:eastAsia="en-GB"/>
              </w:rPr>
              <w:t>цене угљеника</w:t>
            </w:r>
            <w:r w:rsidR="007930D1">
              <w:rPr>
                <w:rFonts w:asciiTheme="majorHAnsi" w:eastAsia="Times New Roman" w:hAnsiTheme="majorHAnsi" w:cstheme="majorHAnsi"/>
                <w:color w:val="000000"/>
                <w:sz w:val="20"/>
                <w:szCs w:val="20"/>
                <w:lang w:eastAsia="en-GB"/>
              </w:rPr>
              <w:t xml:space="preserve"> ће смањити или елиминисати трошкове спровођења</w:t>
            </w:r>
            <w:r w:rsidR="00EA250B">
              <w:rPr>
                <w:rFonts w:asciiTheme="majorHAnsi" w:eastAsia="Times New Roman" w:hAnsiTheme="majorHAnsi" w:cstheme="majorHAnsi"/>
                <w:color w:val="000000"/>
                <w:sz w:val="20"/>
                <w:szCs w:val="20"/>
                <w:lang w:eastAsia="en-GB"/>
              </w:rPr>
              <w:t xml:space="preserve"> Механизма за п</w:t>
            </w:r>
            <w:r w:rsidR="002331D8">
              <w:rPr>
                <w:rFonts w:asciiTheme="majorHAnsi" w:eastAsia="Times New Roman" w:hAnsiTheme="majorHAnsi" w:cstheme="majorHAnsi"/>
                <w:color w:val="000000"/>
                <w:sz w:val="20"/>
                <w:szCs w:val="20"/>
                <w:lang w:eastAsia="en-GB"/>
              </w:rPr>
              <w:t>рекогранично</w:t>
            </w:r>
            <w:r w:rsidR="00EA250B">
              <w:rPr>
                <w:rFonts w:asciiTheme="majorHAnsi" w:eastAsia="Times New Roman" w:hAnsiTheme="majorHAnsi" w:cstheme="majorHAnsi"/>
                <w:color w:val="000000"/>
                <w:sz w:val="20"/>
                <w:szCs w:val="20"/>
                <w:lang w:eastAsia="en-GB"/>
              </w:rPr>
              <w:t xml:space="preserve"> прилагођавање цене угљеника ЕУ, који је у прелазној фази ступио на снагу 1. октобра 2023. године.</w:t>
            </w:r>
          </w:p>
        </w:tc>
      </w:tr>
      <w:tr w:rsidR="00854ADA" w:rsidRPr="00FF386D" w14:paraId="321F9B52" w14:textId="77777777" w:rsidTr="0057310C">
        <w:trPr>
          <w:trHeight w:val="315"/>
        </w:trPr>
        <w:tc>
          <w:tcPr>
            <w:tcW w:w="3402" w:type="dxa"/>
            <w:tcBorders>
              <w:top w:val="nil"/>
              <w:left w:val="single" w:sz="8" w:space="0" w:color="auto"/>
              <w:bottom w:val="single" w:sz="8" w:space="0" w:color="auto"/>
              <w:right w:val="single" w:sz="8" w:space="0" w:color="auto"/>
            </w:tcBorders>
            <w:shd w:val="clear" w:color="000000" w:fill="244062"/>
            <w:vAlign w:val="center"/>
          </w:tcPr>
          <w:p w14:paraId="3B7B72F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hAnsi="Calibri Light" w:cs="Calibri Light"/>
                <w:b/>
                <w:bCs/>
                <w:color w:val="FFFFFF"/>
                <w:sz w:val="20"/>
                <w:szCs w:val="20"/>
              </w:rPr>
              <w:t>Временски оквир имплементације</w:t>
            </w:r>
          </w:p>
        </w:tc>
        <w:tc>
          <w:tcPr>
            <w:tcW w:w="6278" w:type="dxa"/>
            <w:gridSpan w:val="3"/>
            <w:tcBorders>
              <w:top w:val="single" w:sz="8" w:space="0" w:color="auto"/>
              <w:left w:val="nil"/>
              <w:bottom w:val="single" w:sz="8" w:space="0" w:color="auto"/>
              <w:right w:val="single" w:sz="8" w:space="0" w:color="000000"/>
            </w:tcBorders>
            <w:shd w:val="clear" w:color="auto" w:fill="auto"/>
            <w:vAlign w:val="center"/>
            <w:hideMark/>
          </w:tcPr>
          <w:p w14:paraId="09F5B4A4" w14:textId="7409639C"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202</w:t>
            </w:r>
            <w:r w:rsidR="007C1536" w:rsidRPr="00FF386D">
              <w:rPr>
                <w:rFonts w:asciiTheme="majorHAnsi" w:eastAsia="Times New Roman" w:hAnsiTheme="majorHAnsi" w:cstheme="majorHAnsi"/>
                <w:color w:val="000000"/>
                <w:sz w:val="20"/>
                <w:szCs w:val="20"/>
                <w:lang w:eastAsia="en-GB"/>
              </w:rPr>
              <w:t>3</w:t>
            </w:r>
            <w:r w:rsidRPr="00FF386D">
              <w:rPr>
                <w:rFonts w:asciiTheme="majorHAnsi" w:eastAsia="Times New Roman" w:hAnsiTheme="majorHAnsi" w:cstheme="majorHAnsi"/>
                <w:color w:val="000000"/>
                <w:sz w:val="20"/>
                <w:szCs w:val="20"/>
                <w:lang w:eastAsia="en-GB"/>
              </w:rPr>
              <w:t>-2030 укључујући и припремни период</w:t>
            </w:r>
          </w:p>
        </w:tc>
      </w:tr>
      <w:tr w:rsidR="00854ADA" w:rsidRPr="00FF386D" w14:paraId="7E5EB84A" w14:textId="77777777" w:rsidTr="0057310C">
        <w:trPr>
          <w:trHeight w:val="315"/>
        </w:trPr>
        <w:tc>
          <w:tcPr>
            <w:tcW w:w="3402" w:type="dxa"/>
            <w:tcBorders>
              <w:top w:val="nil"/>
              <w:left w:val="single" w:sz="8" w:space="0" w:color="auto"/>
              <w:bottom w:val="single" w:sz="8" w:space="0" w:color="auto"/>
              <w:right w:val="single" w:sz="8" w:space="0" w:color="auto"/>
            </w:tcBorders>
            <w:shd w:val="clear" w:color="000000" w:fill="244062"/>
            <w:vAlign w:val="center"/>
          </w:tcPr>
          <w:p w14:paraId="019664E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78" w:type="dxa"/>
            <w:gridSpan w:val="3"/>
            <w:tcBorders>
              <w:top w:val="single" w:sz="8" w:space="0" w:color="auto"/>
              <w:left w:val="nil"/>
              <w:bottom w:val="single" w:sz="8" w:space="0" w:color="auto"/>
              <w:right w:val="single" w:sz="8" w:space="0" w:color="000000"/>
            </w:tcBorders>
            <w:shd w:val="clear" w:color="auto" w:fill="auto"/>
            <w:vAlign w:val="center"/>
            <w:hideMark/>
          </w:tcPr>
          <w:p w14:paraId="01AA53D5"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Реформа</w:t>
            </w:r>
          </w:p>
        </w:tc>
      </w:tr>
      <w:tr w:rsidR="00854ADA" w:rsidRPr="00FF386D" w14:paraId="76EDF207" w14:textId="77777777" w:rsidTr="0057310C">
        <w:trPr>
          <w:trHeight w:val="315"/>
        </w:trPr>
        <w:tc>
          <w:tcPr>
            <w:tcW w:w="3402" w:type="dxa"/>
            <w:tcBorders>
              <w:top w:val="nil"/>
              <w:left w:val="single" w:sz="8" w:space="0" w:color="auto"/>
              <w:bottom w:val="single" w:sz="8" w:space="0" w:color="auto"/>
              <w:right w:val="single" w:sz="8" w:space="0" w:color="auto"/>
            </w:tcBorders>
            <w:shd w:val="clear" w:color="000000" w:fill="244062"/>
            <w:vAlign w:val="center"/>
          </w:tcPr>
          <w:p w14:paraId="12D0F72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hAnsi="Calibri Light" w:cs="Calibri Light"/>
                <w:b/>
                <w:bCs/>
                <w:color w:val="FFFFFF"/>
                <w:sz w:val="20"/>
                <w:szCs w:val="20"/>
              </w:rPr>
              <w:t>Покривени/ обухваћени сектори</w:t>
            </w:r>
          </w:p>
        </w:tc>
        <w:tc>
          <w:tcPr>
            <w:tcW w:w="6278" w:type="dxa"/>
            <w:gridSpan w:val="3"/>
            <w:tcBorders>
              <w:top w:val="single" w:sz="8" w:space="0" w:color="auto"/>
              <w:left w:val="nil"/>
              <w:bottom w:val="single" w:sz="8" w:space="0" w:color="auto"/>
              <w:right w:val="single" w:sz="8" w:space="0" w:color="000000"/>
            </w:tcBorders>
            <w:shd w:val="clear" w:color="auto" w:fill="auto"/>
            <w:vAlign w:val="center"/>
            <w:hideMark/>
          </w:tcPr>
          <w:p w14:paraId="75A5DBCB" w14:textId="273F5BEC"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Све области </w:t>
            </w:r>
            <w:r w:rsidR="007C1536" w:rsidRPr="00FF386D">
              <w:rPr>
                <w:rFonts w:asciiTheme="majorHAnsi" w:eastAsia="Times New Roman" w:hAnsiTheme="majorHAnsi" w:cstheme="majorHAnsi"/>
                <w:color w:val="000000"/>
                <w:sz w:val="20"/>
                <w:szCs w:val="20"/>
                <w:lang w:eastAsia="en-GB"/>
              </w:rPr>
              <w:t>И</w:t>
            </w:r>
            <w:r w:rsidRPr="00FF386D">
              <w:rPr>
                <w:rFonts w:asciiTheme="majorHAnsi" w:eastAsia="Times New Roman" w:hAnsiTheme="majorHAnsi" w:cstheme="majorHAnsi"/>
                <w:color w:val="000000"/>
                <w:sz w:val="20"/>
                <w:szCs w:val="20"/>
                <w:lang w:eastAsia="en-GB"/>
              </w:rPr>
              <w:t>НЕКП-а</w:t>
            </w:r>
          </w:p>
        </w:tc>
      </w:tr>
      <w:tr w:rsidR="00854ADA" w:rsidRPr="00FF386D" w14:paraId="79307EF6" w14:textId="77777777" w:rsidTr="0057310C">
        <w:trPr>
          <w:trHeight w:val="315"/>
        </w:trPr>
        <w:tc>
          <w:tcPr>
            <w:tcW w:w="3402" w:type="dxa"/>
            <w:tcBorders>
              <w:top w:val="nil"/>
              <w:left w:val="single" w:sz="8" w:space="0" w:color="auto"/>
              <w:bottom w:val="single" w:sz="8" w:space="0" w:color="auto"/>
              <w:right w:val="nil"/>
            </w:tcBorders>
            <w:shd w:val="clear" w:color="000000" w:fill="244062"/>
            <w:vAlign w:val="center"/>
          </w:tcPr>
          <w:p w14:paraId="216AFD5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hAnsi="Calibri Light" w:cs="Calibri Light"/>
                <w:b/>
                <w:bCs/>
                <w:color w:val="FFFFFF"/>
                <w:sz w:val="20"/>
                <w:szCs w:val="20"/>
              </w:rPr>
              <w:t>Извршни орган</w:t>
            </w:r>
          </w:p>
        </w:tc>
        <w:tc>
          <w:tcPr>
            <w:tcW w:w="6278" w:type="dxa"/>
            <w:gridSpan w:val="3"/>
            <w:tcBorders>
              <w:top w:val="single" w:sz="8" w:space="0" w:color="auto"/>
              <w:left w:val="nil"/>
              <w:bottom w:val="single" w:sz="8" w:space="0" w:color="auto"/>
              <w:right w:val="single" w:sz="8" w:space="0" w:color="000000"/>
            </w:tcBorders>
            <w:shd w:val="clear" w:color="auto" w:fill="auto"/>
            <w:vAlign w:val="center"/>
            <w:hideMark/>
          </w:tcPr>
          <w:p w14:paraId="2085C3C1" w14:textId="58BE25F8" w:rsidR="00854ADA" w:rsidRPr="00FF386D" w:rsidRDefault="00854ADA" w:rsidP="00C312D6">
            <w:pPr>
              <w:spacing w:after="0" w:line="240" w:lineRule="auto"/>
              <w:ind w:left="720"/>
              <w:contextualSpacing/>
              <w:jc w:val="both"/>
              <w:rPr>
                <w:rFonts w:asciiTheme="majorHAnsi" w:eastAsia="Times New Roman" w:hAnsiTheme="majorHAnsi" w:cstheme="majorHAnsi"/>
                <w:color w:val="000000"/>
                <w:sz w:val="20"/>
                <w:szCs w:val="20"/>
                <w:lang w:eastAsia="en-GB"/>
              </w:rPr>
            </w:pPr>
          </w:p>
          <w:p w14:paraId="71F84110" w14:textId="0923ED7B" w:rsidR="00854ADA" w:rsidRDefault="00854ADA" w:rsidP="00854ADA">
            <w:pPr>
              <w:numPr>
                <w:ilvl w:val="0"/>
                <w:numId w:val="207"/>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Министарство </w:t>
            </w:r>
            <w:r w:rsidR="00FF5D39" w:rsidRPr="00FF5D39">
              <w:rPr>
                <w:rFonts w:asciiTheme="majorHAnsi" w:eastAsia="Times New Roman" w:hAnsiTheme="majorHAnsi" w:cstheme="majorHAnsi"/>
                <w:color w:val="000000"/>
                <w:sz w:val="20"/>
                <w:szCs w:val="20"/>
                <w:lang w:eastAsia="en-GB"/>
              </w:rPr>
              <w:t>финансија</w:t>
            </w:r>
          </w:p>
          <w:p w14:paraId="0685197E" w14:textId="77777777" w:rsidR="00FF5D39" w:rsidRDefault="00FF5D39" w:rsidP="00FF5D39">
            <w:pPr>
              <w:numPr>
                <w:ilvl w:val="0"/>
                <w:numId w:val="207"/>
              </w:numPr>
              <w:spacing w:after="0" w:line="240" w:lineRule="auto"/>
              <w:contextualSpacing/>
              <w:jc w:val="both"/>
              <w:rPr>
                <w:rFonts w:asciiTheme="majorHAnsi" w:eastAsia="Times New Roman" w:hAnsiTheme="majorHAnsi" w:cstheme="majorHAnsi"/>
                <w:color w:val="000000"/>
                <w:sz w:val="20"/>
                <w:szCs w:val="20"/>
                <w:lang w:eastAsia="en-GB"/>
              </w:rPr>
            </w:pPr>
            <w:r w:rsidRPr="00FF5D39">
              <w:rPr>
                <w:rFonts w:asciiTheme="majorHAnsi" w:eastAsia="Times New Roman" w:hAnsiTheme="majorHAnsi" w:cstheme="majorHAnsi"/>
                <w:color w:val="000000"/>
                <w:sz w:val="20"/>
                <w:szCs w:val="20"/>
                <w:lang w:eastAsia="en-GB"/>
              </w:rPr>
              <w:t>Министарство рударства и енергетике</w:t>
            </w:r>
          </w:p>
          <w:p w14:paraId="0E049DE9" w14:textId="0396DF43" w:rsidR="00240C72" w:rsidRPr="00FF5D39" w:rsidRDefault="00240C72" w:rsidP="00FF5D39">
            <w:pPr>
              <w:numPr>
                <w:ilvl w:val="0"/>
                <w:numId w:val="207"/>
              </w:numPr>
              <w:spacing w:after="0" w:line="240" w:lineRule="auto"/>
              <w:contextualSpacing/>
              <w:jc w:val="both"/>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Министарство за заштиту животне средине</w:t>
            </w:r>
          </w:p>
          <w:p w14:paraId="5BE4F24E" w14:textId="498A0016" w:rsidR="00854ADA" w:rsidRPr="00FF386D" w:rsidRDefault="00854ADA" w:rsidP="00854ADA">
            <w:pPr>
              <w:numPr>
                <w:ilvl w:val="0"/>
                <w:numId w:val="207"/>
              </w:numPr>
              <w:spacing w:after="0" w:line="240" w:lineRule="auto"/>
              <w:contextualSpacing/>
              <w:jc w:val="both"/>
              <w:rPr>
                <w:rFonts w:asciiTheme="majorHAnsi" w:eastAsia="Times New Roman" w:hAnsiTheme="majorHAnsi" w:cstheme="majorHAnsi"/>
                <w:color w:val="000000"/>
                <w:sz w:val="20"/>
                <w:szCs w:val="20"/>
                <w:lang w:eastAsia="en-GB"/>
              </w:rPr>
            </w:pPr>
          </w:p>
        </w:tc>
      </w:tr>
      <w:tr w:rsidR="00854ADA" w:rsidRPr="00FF386D" w14:paraId="7AC73B59" w14:textId="77777777" w:rsidTr="0057310C">
        <w:trPr>
          <w:trHeight w:val="315"/>
        </w:trPr>
        <w:tc>
          <w:tcPr>
            <w:tcW w:w="3402" w:type="dxa"/>
            <w:tcBorders>
              <w:top w:val="nil"/>
              <w:left w:val="single" w:sz="8" w:space="0" w:color="auto"/>
              <w:bottom w:val="single" w:sz="8" w:space="0" w:color="auto"/>
              <w:right w:val="nil"/>
            </w:tcBorders>
            <w:shd w:val="clear" w:color="000000" w:fill="244062"/>
            <w:vAlign w:val="center"/>
          </w:tcPr>
          <w:p w14:paraId="5483A16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hAnsi="Calibri Light" w:cs="Calibri Light"/>
                <w:b/>
                <w:bCs/>
                <w:color w:val="FFFFFF"/>
                <w:sz w:val="20"/>
                <w:szCs w:val="20"/>
              </w:rPr>
              <w:t>Тело за праћење</w:t>
            </w:r>
          </w:p>
        </w:tc>
        <w:tc>
          <w:tcPr>
            <w:tcW w:w="6278" w:type="dxa"/>
            <w:gridSpan w:val="3"/>
            <w:tcBorders>
              <w:top w:val="single" w:sz="8" w:space="0" w:color="auto"/>
              <w:left w:val="nil"/>
              <w:bottom w:val="single" w:sz="8" w:space="0" w:color="auto"/>
              <w:right w:val="single" w:sz="8" w:space="0" w:color="000000"/>
            </w:tcBorders>
            <w:shd w:val="clear" w:color="auto" w:fill="auto"/>
            <w:vAlign w:val="center"/>
            <w:hideMark/>
          </w:tcPr>
          <w:p w14:paraId="37CFC154" w14:textId="4C065EE0" w:rsidR="00FF5D39" w:rsidRPr="000A2AFE" w:rsidRDefault="00211141" w:rsidP="000A2AFE">
            <w:pPr>
              <w:pStyle w:val="ListParagraph"/>
              <w:numPr>
                <w:ilvl w:val="0"/>
                <w:numId w:val="207"/>
              </w:numPr>
              <w:spacing w:after="0"/>
              <w:ind w:left="714" w:hanging="357"/>
              <w:rPr>
                <w:rFonts w:asciiTheme="majorHAnsi" w:eastAsia="Times New Roman" w:hAnsiTheme="majorHAnsi" w:cstheme="majorHAnsi"/>
                <w:color w:val="000000"/>
                <w:sz w:val="20"/>
                <w:szCs w:val="20"/>
                <w:lang w:eastAsia="en-GB"/>
              </w:rPr>
            </w:pPr>
            <w:r w:rsidRPr="00FF5D39">
              <w:rPr>
                <w:rFonts w:asciiTheme="majorHAnsi" w:eastAsia="Times New Roman" w:hAnsiTheme="majorHAnsi" w:cstheme="majorHAnsi"/>
                <w:color w:val="000000"/>
                <w:sz w:val="20"/>
                <w:szCs w:val="20"/>
                <w:lang w:eastAsia="en-GB"/>
              </w:rPr>
              <w:t>Министарство</w:t>
            </w:r>
            <w:r w:rsidR="00FF5D39" w:rsidRPr="00FF5D39">
              <w:rPr>
                <w:rFonts w:asciiTheme="majorHAnsi" w:eastAsia="Times New Roman" w:hAnsiTheme="majorHAnsi" w:cstheme="majorHAnsi"/>
                <w:color w:val="000000"/>
                <w:sz w:val="20"/>
                <w:szCs w:val="20"/>
                <w:lang w:eastAsia="en-GB"/>
              </w:rPr>
              <w:t xml:space="preserve"> финансија</w:t>
            </w:r>
          </w:p>
          <w:p w14:paraId="58D38D9C" w14:textId="3057EA99" w:rsidR="00854ADA" w:rsidRPr="00FF386D" w:rsidRDefault="00854ADA" w:rsidP="00854ADA">
            <w:pPr>
              <w:numPr>
                <w:ilvl w:val="0"/>
                <w:numId w:val="207"/>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за заштиту животне средине</w:t>
            </w:r>
          </w:p>
          <w:p w14:paraId="19D55349" w14:textId="4E322EBF" w:rsidR="00854ADA" w:rsidRDefault="00854ADA" w:rsidP="00854ADA">
            <w:pPr>
              <w:numPr>
                <w:ilvl w:val="0"/>
                <w:numId w:val="207"/>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рударств</w:t>
            </w:r>
            <w:r w:rsidR="004C7137" w:rsidRPr="00FF386D">
              <w:rPr>
                <w:rFonts w:asciiTheme="majorHAnsi" w:eastAsia="Times New Roman" w:hAnsiTheme="majorHAnsi" w:cstheme="majorHAnsi"/>
                <w:color w:val="000000"/>
                <w:sz w:val="20"/>
                <w:szCs w:val="20"/>
                <w:lang w:eastAsia="en-GB"/>
              </w:rPr>
              <w:t>а и енергетике</w:t>
            </w:r>
          </w:p>
          <w:p w14:paraId="7BD58FD9" w14:textId="77777777" w:rsidR="00240C72" w:rsidRDefault="00C84EC5" w:rsidP="00854ADA">
            <w:pPr>
              <w:numPr>
                <w:ilvl w:val="0"/>
                <w:numId w:val="207"/>
              </w:numPr>
              <w:spacing w:after="0" w:line="240" w:lineRule="auto"/>
              <w:contextualSpacing/>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Јавна комунална предузећа</w:t>
            </w:r>
          </w:p>
          <w:p w14:paraId="46EC856B" w14:textId="76383EA8" w:rsidR="00C84EC5" w:rsidRPr="00FF386D" w:rsidRDefault="00C84EC5" w:rsidP="00854ADA">
            <w:pPr>
              <w:numPr>
                <w:ilvl w:val="0"/>
                <w:numId w:val="207"/>
              </w:numPr>
              <w:spacing w:after="0" w:line="240" w:lineRule="auto"/>
              <w:contextualSpacing/>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Приватни инвеститори</w:t>
            </w:r>
          </w:p>
        </w:tc>
      </w:tr>
      <w:tr w:rsidR="00854ADA" w:rsidRPr="00FF386D" w14:paraId="53E162D6" w14:textId="77777777" w:rsidTr="0057310C">
        <w:trPr>
          <w:trHeight w:val="315"/>
        </w:trPr>
        <w:tc>
          <w:tcPr>
            <w:tcW w:w="3402" w:type="dxa"/>
            <w:tcBorders>
              <w:top w:val="nil"/>
              <w:left w:val="single" w:sz="8" w:space="0" w:color="auto"/>
              <w:bottom w:val="single" w:sz="8" w:space="0" w:color="auto"/>
              <w:right w:val="single" w:sz="8" w:space="0" w:color="auto"/>
            </w:tcBorders>
            <w:shd w:val="clear" w:color="000000" w:fill="244062"/>
            <w:vAlign w:val="center"/>
          </w:tcPr>
          <w:p w14:paraId="483CD19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hAnsi="Calibri Light" w:cs="Calibri Light"/>
                <w:b/>
                <w:bCs/>
                <w:color w:val="FFFFFF"/>
                <w:sz w:val="20"/>
                <w:szCs w:val="20"/>
              </w:rPr>
              <w:t>Индикатори напретка</w:t>
            </w:r>
          </w:p>
        </w:tc>
        <w:tc>
          <w:tcPr>
            <w:tcW w:w="6278" w:type="dxa"/>
            <w:gridSpan w:val="3"/>
            <w:tcBorders>
              <w:top w:val="single" w:sz="8" w:space="0" w:color="auto"/>
              <w:left w:val="nil"/>
              <w:bottom w:val="single" w:sz="8" w:space="0" w:color="auto"/>
              <w:right w:val="single" w:sz="8" w:space="0" w:color="000000"/>
            </w:tcBorders>
            <w:shd w:val="clear" w:color="auto" w:fill="auto"/>
            <w:vAlign w:val="center"/>
            <w:hideMark/>
          </w:tcPr>
          <w:p w14:paraId="6041B59E" w14:textId="77777777" w:rsidR="00854ADA" w:rsidRPr="000A2AFE" w:rsidRDefault="00854ADA" w:rsidP="000A2AFE">
            <w:pPr>
              <w:pStyle w:val="ListParagraph"/>
              <w:numPr>
                <w:ilvl w:val="0"/>
                <w:numId w:val="358"/>
              </w:numPr>
              <w:spacing w:after="0" w:line="240" w:lineRule="auto"/>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Годишње смањење емисија (Gg CO</w:t>
            </w:r>
            <w:r w:rsidRPr="000A2AFE">
              <w:rPr>
                <w:rFonts w:asciiTheme="majorHAnsi" w:eastAsia="Times New Roman" w:hAnsiTheme="majorHAnsi" w:cstheme="majorHAnsi"/>
                <w:color w:val="000000"/>
                <w:sz w:val="20"/>
                <w:szCs w:val="20"/>
                <w:vertAlign w:val="subscript"/>
                <w:lang w:eastAsia="en-GB"/>
              </w:rPr>
              <w:t>2</w:t>
            </w:r>
            <w:r w:rsidRPr="000A2AFE">
              <w:rPr>
                <w:rFonts w:asciiTheme="majorHAnsi" w:eastAsia="Times New Roman" w:hAnsiTheme="majorHAnsi" w:cstheme="majorHAnsi"/>
                <w:color w:val="000000"/>
                <w:sz w:val="20"/>
                <w:szCs w:val="20"/>
                <w:lang w:eastAsia="en-GB"/>
              </w:rPr>
              <w:t>-eq)</w:t>
            </w:r>
          </w:p>
        </w:tc>
      </w:tr>
      <w:tr w:rsidR="00854ADA" w:rsidRPr="00FF386D" w14:paraId="4E7B7B7E" w14:textId="77777777" w:rsidTr="0057310C">
        <w:trPr>
          <w:trHeight w:val="561"/>
        </w:trPr>
        <w:tc>
          <w:tcPr>
            <w:tcW w:w="3402" w:type="dxa"/>
            <w:tcBorders>
              <w:top w:val="nil"/>
              <w:left w:val="single" w:sz="8" w:space="0" w:color="auto"/>
              <w:bottom w:val="single" w:sz="8" w:space="0" w:color="auto"/>
              <w:right w:val="single" w:sz="8" w:space="0" w:color="auto"/>
            </w:tcBorders>
            <w:shd w:val="clear" w:color="000000" w:fill="244062"/>
            <w:vAlign w:val="center"/>
          </w:tcPr>
          <w:p w14:paraId="063324F5" w14:textId="4421B946" w:rsidR="00854ADA" w:rsidRPr="00FF386D" w:rsidRDefault="00854ADA" w:rsidP="004D35DC">
            <w:pPr>
              <w:spacing w:after="0" w:line="240" w:lineRule="auto"/>
              <w:rPr>
                <w:rFonts w:ascii="Calibri Light" w:eastAsia="Times New Roman" w:hAnsi="Calibri Light" w:cs="Calibri Light"/>
                <w:b/>
                <w:bCs/>
                <w:color w:val="FFFFFF"/>
                <w:sz w:val="20"/>
                <w:szCs w:val="20"/>
                <w:lang w:eastAsia="en-GB"/>
              </w:rPr>
            </w:pPr>
            <w:r w:rsidRPr="00FF386D">
              <w:rPr>
                <w:rFonts w:ascii="Calibri Light" w:eastAsia="Times New Roman" w:hAnsi="Calibri Light" w:cs="Calibri Light"/>
                <w:b/>
                <w:bCs/>
                <w:color w:val="FFFFFF"/>
                <w:sz w:val="20"/>
                <w:szCs w:val="20"/>
                <w:lang w:eastAsia="en-GB"/>
              </w:rPr>
              <w:t>Друге релевантне обухваћене димензије Енергетске уније</w:t>
            </w:r>
          </w:p>
        </w:tc>
        <w:tc>
          <w:tcPr>
            <w:tcW w:w="6278" w:type="dxa"/>
            <w:gridSpan w:val="3"/>
            <w:tcBorders>
              <w:top w:val="single" w:sz="8" w:space="0" w:color="auto"/>
              <w:left w:val="nil"/>
              <w:bottom w:val="single" w:sz="8" w:space="0" w:color="auto"/>
              <w:right w:val="single" w:sz="8" w:space="0" w:color="000000"/>
            </w:tcBorders>
            <w:shd w:val="clear" w:color="auto" w:fill="auto"/>
            <w:vAlign w:val="center"/>
          </w:tcPr>
          <w:p w14:paraId="731D84C5"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p>
        </w:tc>
      </w:tr>
      <w:tr w:rsidR="00854ADA" w:rsidRPr="00FF386D" w14:paraId="1352B52B" w14:textId="77777777" w:rsidTr="0057310C">
        <w:trPr>
          <w:trHeight w:val="450"/>
        </w:trPr>
        <w:tc>
          <w:tcPr>
            <w:tcW w:w="3402"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723D6969" w14:textId="7D6858D2"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Политике Уније која су резултирале</w:t>
            </w:r>
            <w:r w:rsidR="008A1B30" w:rsidRPr="000A2AFE">
              <w:rPr>
                <w:rFonts w:ascii="Calibri Light" w:eastAsia="Times New Roman" w:hAnsi="Calibri Light" w:cs="Calibri Light"/>
                <w:b/>
                <w:bCs/>
                <w:color w:val="FFFFFF"/>
                <w:sz w:val="20"/>
                <w:szCs w:val="20"/>
                <w:lang w:eastAsia="en-GB"/>
              </w:rPr>
              <w:t xml:space="preserve"> </w:t>
            </w:r>
            <w:r w:rsidR="00854ADA" w:rsidRPr="000A2AFE">
              <w:rPr>
                <w:rFonts w:ascii="Calibri Light" w:eastAsia="Times New Roman" w:hAnsi="Calibri Light" w:cs="Calibri Light"/>
                <w:b/>
                <w:bCs/>
                <w:color w:val="FFFFFF"/>
                <w:sz w:val="20"/>
                <w:szCs w:val="20"/>
                <w:lang w:eastAsia="en-GB"/>
              </w:rPr>
              <w:t>имплементацијом ове МП</w:t>
            </w:r>
          </w:p>
        </w:tc>
        <w:tc>
          <w:tcPr>
            <w:tcW w:w="6278"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177F8D0C" w14:textId="2B728920" w:rsidR="00854ADA" w:rsidRPr="00CC2944" w:rsidRDefault="00854ADA" w:rsidP="00CC2944">
            <w:pPr>
              <w:numPr>
                <w:ilvl w:val="0"/>
                <w:numId w:val="171"/>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Уредба 2018/</w:t>
            </w:r>
            <w:r w:rsidR="00FF5D39">
              <w:rPr>
                <w:rFonts w:asciiTheme="majorHAnsi" w:eastAsia="Times New Roman" w:hAnsiTheme="majorHAnsi" w:cstheme="majorHAnsi"/>
                <w:color w:val="000000"/>
                <w:sz w:val="20"/>
                <w:szCs w:val="20"/>
                <w:lang w:eastAsia="en-GB"/>
              </w:rPr>
              <w:t>1999</w:t>
            </w:r>
            <w:r w:rsidR="00EA250B">
              <w:rPr>
                <w:rFonts w:asciiTheme="majorHAnsi" w:eastAsia="Times New Roman" w:hAnsiTheme="majorHAnsi" w:cstheme="majorHAnsi"/>
                <w:color w:val="000000"/>
                <w:sz w:val="20"/>
                <w:szCs w:val="20"/>
                <w:lang w:eastAsia="en-GB"/>
              </w:rPr>
              <w:t>Директиве 2023/959 и 2009/29</w:t>
            </w:r>
            <w:r w:rsidR="00EA250B" w:rsidRPr="00C312D6">
              <w:rPr>
                <w:rFonts w:asciiTheme="majorHAnsi" w:eastAsia="Times New Roman" w:hAnsiTheme="majorHAnsi" w:cstheme="majorHAnsi"/>
                <w:color w:val="000000"/>
                <w:sz w:val="20"/>
                <w:szCs w:val="20"/>
                <w:lang w:eastAsia="en-GB"/>
              </w:rPr>
              <w:t>/</w:t>
            </w:r>
            <w:r w:rsidR="00EA250B">
              <w:rPr>
                <w:rFonts w:asciiTheme="majorHAnsi" w:eastAsia="Times New Roman" w:hAnsiTheme="majorHAnsi" w:cstheme="majorHAnsi"/>
                <w:color w:val="000000"/>
                <w:sz w:val="20"/>
                <w:szCs w:val="20"/>
                <w:lang w:val="en-US" w:eastAsia="en-GB"/>
              </w:rPr>
              <w:t>EC</w:t>
            </w:r>
            <w:r w:rsidR="00EA250B" w:rsidRPr="00C312D6">
              <w:rPr>
                <w:rFonts w:asciiTheme="majorHAnsi" w:eastAsia="Times New Roman" w:hAnsiTheme="majorHAnsi" w:cstheme="majorHAnsi"/>
                <w:color w:val="000000"/>
                <w:sz w:val="20"/>
                <w:szCs w:val="20"/>
                <w:lang w:eastAsia="en-GB"/>
              </w:rPr>
              <w:t xml:space="preserve"> </w:t>
            </w:r>
            <w:r w:rsidR="00EA250B">
              <w:rPr>
                <w:rFonts w:asciiTheme="majorHAnsi" w:eastAsia="Times New Roman" w:hAnsiTheme="majorHAnsi" w:cstheme="majorHAnsi"/>
                <w:color w:val="000000"/>
                <w:sz w:val="20"/>
                <w:szCs w:val="20"/>
                <w:lang w:eastAsia="en-GB"/>
              </w:rPr>
              <w:t>којом се мења Директива 2003/87/</w:t>
            </w:r>
            <w:r w:rsidR="00EA250B">
              <w:rPr>
                <w:rFonts w:asciiTheme="majorHAnsi" w:eastAsia="Times New Roman" w:hAnsiTheme="majorHAnsi" w:cstheme="majorHAnsi"/>
                <w:color w:val="000000"/>
                <w:sz w:val="20"/>
                <w:szCs w:val="20"/>
                <w:lang w:val="el-GR" w:eastAsia="en-GB"/>
              </w:rPr>
              <w:t>Ε</w:t>
            </w:r>
            <w:r w:rsidR="00EA250B">
              <w:rPr>
                <w:rFonts w:asciiTheme="majorHAnsi" w:eastAsia="Times New Roman" w:hAnsiTheme="majorHAnsi" w:cstheme="majorHAnsi"/>
                <w:color w:val="000000"/>
                <w:sz w:val="20"/>
                <w:szCs w:val="20"/>
                <w:lang w:val="en-US" w:eastAsia="en-GB"/>
              </w:rPr>
              <w:t>C</w:t>
            </w:r>
          </w:p>
        </w:tc>
      </w:tr>
      <w:tr w:rsidR="00854ADA" w:rsidRPr="00FF386D" w14:paraId="15F8ADD9" w14:textId="77777777" w:rsidTr="0057310C">
        <w:trPr>
          <w:trHeight w:val="450"/>
        </w:trPr>
        <w:tc>
          <w:tcPr>
            <w:tcW w:w="3402" w:type="dxa"/>
            <w:vMerge/>
            <w:tcBorders>
              <w:top w:val="nil"/>
              <w:left w:val="single" w:sz="8" w:space="0" w:color="auto"/>
              <w:bottom w:val="single" w:sz="8" w:space="0" w:color="000000"/>
              <w:right w:val="single" w:sz="8" w:space="0" w:color="auto"/>
            </w:tcBorders>
            <w:vAlign w:val="center"/>
            <w:hideMark/>
          </w:tcPr>
          <w:p w14:paraId="66FCE1C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278" w:type="dxa"/>
            <w:gridSpan w:val="3"/>
            <w:vMerge/>
            <w:tcBorders>
              <w:top w:val="single" w:sz="8" w:space="0" w:color="auto"/>
              <w:left w:val="single" w:sz="8" w:space="0" w:color="auto"/>
              <w:bottom w:val="single" w:sz="8" w:space="0" w:color="000000"/>
              <w:right w:val="single" w:sz="8" w:space="0" w:color="000000"/>
            </w:tcBorders>
            <w:vAlign w:val="center"/>
            <w:hideMark/>
          </w:tcPr>
          <w:p w14:paraId="0E6D6642" w14:textId="77777777" w:rsidR="00854ADA" w:rsidRPr="00FF386D" w:rsidRDefault="00854ADA" w:rsidP="00854ADA">
            <w:pPr>
              <w:numPr>
                <w:ilvl w:val="0"/>
                <w:numId w:val="102"/>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454A2D94" w14:textId="77777777" w:rsidTr="0057310C">
        <w:trPr>
          <w:trHeight w:val="450"/>
        </w:trPr>
        <w:tc>
          <w:tcPr>
            <w:tcW w:w="3402" w:type="dxa"/>
            <w:vMerge/>
            <w:tcBorders>
              <w:top w:val="nil"/>
              <w:left w:val="single" w:sz="8" w:space="0" w:color="auto"/>
              <w:bottom w:val="single" w:sz="8" w:space="0" w:color="000000"/>
              <w:right w:val="single" w:sz="8" w:space="0" w:color="auto"/>
            </w:tcBorders>
            <w:vAlign w:val="center"/>
            <w:hideMark/>
          </w:tcPr>
          <w:p w14:paraId="0032165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278" w:type="dxa"/>
            <w:gridSpan w:val="3"/>
            <w:vMerge/>
            <w:tcBorders>
              <w:top w:val="single" w:sz="8" w:space="0" w:color="auto"/>
              <w:left w:val="single" w:sz="8" w:space="0" w:color="auto"/>
              <w:bottom w:val="single" w:sz="8" w:space="0" w:color="000000"/>
              <w:right w:val="single" w:sz="8" w:space="0" w:color="000000"/>
            </w:tcBorders>
            <w:vAlign w:val="center"/>
            <w:hideMark/>
          </w:tcPr>
          <w:p w14:paraId="1C8F6CB5" w14:textId="77777777" w:rsidR="00854ADA" w:rsidRPr="00FF386D" w:rsidRDefault="00854ADA" w:rsidP="00854ADA">
            <w:pPr>
              <w:numPr>
                <w:ilvl w:val="0"/>
                <w:numId w:val="102"/>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4AB0ECE1" w14:textId="77777777" w:rsidTr="0057310C">
        <w:trPr>
          <w:trHeight w:val="297"/>
        </w:trPr>
        <w:tc>
          <w:tcPr>
            <w:tcW w:w="3402" w:type="dxa"/>
            <w:tcBorders>
              <w:top w:val="nil"/>
              <w:left w:val="single" w:sz="8" w:space="0" w:color="auto"/>
              <w:bottom w:val="single" w:sz="8" w:space="0" w:color="auto"/>
              <w:right w:val="single" w:sz="8" w:space="0" w:color="auto"/>
            </w:tcBorders>
            <w:shd w:val="clear" w:color="000000" w:fill="244062"/>
            <w:vAlign w:val="center"/>
            <w:hideMark/>
          </w:tcPr>
          <w:p w14:paraId="49C3561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eastAsia="Times New Roman" w:hAnsi="Calibri Light" w:cs="Calibri Light"/>
                <w:b/>
                <w:bCs/>
                <w:color w:val="FFFFFF"/>
                <w:sz w:val="20"/>
                <w:szCs w:val="20"/>
                <w:lang w:eastAsia="en-GB"/>
              </w:rPr>
              <w:t xml:space="preserve">Релевантни национални плански документ (правни, регулаторни акти, итд) </w:t>
            </w:r>
          </w:p>
        </w:tc>
        <w:tc>
          <w:tcPr>
            <w:tcW w:w="6278" w:type="dxa"/>
            <w:gridSpan w:val="3"/>
            <w:tcBorders>
              <w:top w:val="single" w:sz="8" w:space="0" w:color="auto"/>
              <w:left w:val="nil"/>
              <w:bottom w:val="single" w:sz="8" w:space="0" w:color="auto"/>
              <w:right w:val="single" w:sz="8" w:space="0" w:color="000000"/>
            </w:tcBorders>
            <w:shd w:val="clear" w:color="auto" w:fill="auto"/>
            <w:vAlign w:val="center"/>
            <w:hideMark/>
          </w:tcPr>
          <w:p w14:paraId="65CB7E16" w14:textId="090F24BE" w:rsidR="00854ADA" w:rsidRPr="00FF386D" w:rsidRDefault="00FF5D39" w:rsidP="00854ADA">
            <w:pPr>
              <w:numPr>
                <w:ilvl w:val="0"/>
                <w:numId w:val="102"/>
              </w:numPr>
              <w:spacing w:after="0" w:line="240" w:lineRule="auto"/>
              <w:contextualSpacing/>
              <w:rPr>
                <w:rFonts w:asciiTheme="majorHAnsi" w:eastAsia="Times New Roman" w:hAnsiTheme="majorHAnsi" w:cstheme="majorHAnsi"/>
                <w:color w:val="000000"/>
                <w:sz w:val="20"/>
                <w:szCs w:val="20"/>
                <w:lang w:eastAsia="en-GB"/>
              </w:rPr>
            </w:pPr>
            <w:r w:rsidRPr="00FF5D39">
              <w:rPr>
                <w:rFonts w:asciiTheme="majorHAnsi" w:eastAsia="Times New Roman" w:hAnsiTheme="majorHAnsi" w:cstheme="majorHAnsi"/>
                <w:color w:val="000000"/>
                <w:sz w:val="20"/>
                <w:szCs w:val="20"/>
                <w:lang w:eastAsia="en-GB"/>
              </w:rPr>
              <w:t>Стратегија нискоугљеничког развоја за период од 2023. до-2030. године са пројекцијама до 2050. године</w:t>
            </w:r>
          </w:p>
        </w:tc>
      </w:tr>
      <w:tr w:rsidR="00854ADA" w:rsidRPr="00FF386D" w14:paraId="1B97EB7C" w14:textId="77777777" w:rsidTr="0057310C">
        <w:trPr>
          <w:trHeight w:val="315"/>
        </w:trPr>
        <w:tc>
          <w:tcPr>
            <w:tcW w:w="3402" w:type="dxa"/>
            <w:tcBorders>
              <w:top w:val="nil"/>
              <w:left w:val="single" w:sz="8" w:space="0" w:color="auto"/>
              <w:bottom w:val="single" w:sz="8" w:space="0" w:color="auto"/>
              <w:right w:val="single" w:sz="8" w:space="0" w:color="auto"/>
            </w:tcBorders>
            <w:shd w:val="clear" w:color="000000" w:fill="244062"/>
            <w:vAlign w:val="center"/>
            <w:hideMark/>
          </w:tcPr>
          <w:p w14:paraId="03935D3A" w14:textId="5CCD824D"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hAnsi="Calibri Light" w:cs="Calibri Light"/>
                <w:b/>
                <w:bCs/>
                <w:color w:val="FFFFFF"/>
                <w:sz w:val="20"/>
                <w:szCs w:val="20"/>
              </w:rPr>
              <w:t>Трошкови имплементације</w:t>
            </w:r>
          </w:p>
        </w:tc>
        <w:tc>
          <w:tcPr>
            <w:tcW w:w="6278" w:type="dxa"/>
            <w:gridSpan w:val="3"/>
            <w:tcBorders>
              <w:top w:val="single" w:sz="8" w:space="0" w:color="auto"/>
              <w:left w:val="nil"/>
              <w:bottom w:val="single" w:sz="8" w:space="0" w:color="auto"/>
              <w:right w:val="single" w:sz="8" w:space="0" w:color="000000"/>
            </w:tcBorders>
            <w:shd w:val="clear" w:color="auto" w:fill="auto"/>
            <w:vAlign w:val="center"/>
            <w:hideMark/>
          </w:tcPr>
          <w:p w14:paraId="476C2A19" w14:textId="25013077" w:rsidR="00854ADA" w:rsidRPr="00FF386D" w:rsidRDefault="00FF5D39" w:rsidP="00854ADA">
            <w:pPr>
              <w:spacing w:after="0" w:line="240" w:lineRule="auto"/>
              <w:rPr>
                <w:rFonts w:asciiTheme="majorHAnsi" w:eastAsia="Times New Roman" w:hAnsiTheme="majorHAnsi" w:cstheme="majorHAnsi"/>
                <w:color w:val="000000"/>
                <w:sz w:val="20"/>
                <w:szCs w:val="20"/>
                <w:lang w:eastAsia="en-GB"/>
              </w:rPr>
            </w:pPr>
            <w:r w:rsidRPr="00FF5D39">
              <w:rPr>
                <w:rFonts w:asciiTheme="majorHAnsi" w:eastAsia="Times New Roman" w:hAnsiTheme="majorHAnsi" w:cstheme="majorHAnsi"/>
                <w:color w:val="000000"/>
                <w:sz w:val="20"/>
                <w:szCs w:val="20"/>
                <w:lang w:eastAsia="en-GB"/>
              </w:rPr>
              <w:t>0,2 милиона евра</w:t>
            </w:r>
          </w:p>
        </w:tc>
      </w:tr>
      <w:tr w:rsidR="00854ADA" w:rsidRPr="00FF386D" w14:paraId="5C921F05" w14:textId="77777777" w:rsidTr="0057310C">
        <w:trPr>
          <w:trHeight w:val="315"/>
        </w:trPr>
        <w:tc>
          <w:tcPr>
            <w:tcW w:w="3402" w:type="dxa"/>
            <w:tcBorders>
              <w:top w:val="nil"/>
              <w:left w:val="single" w:sz="8" w:space="0" w:color="auto"/>
              <w:bottom w:val="single" w:sz="8" w:space="0" w:color="auto"/>
              <w:right w:val="single" w:sz="8" w:space="0" w:color="auto"/>
            </w:tcBorders>
            <w:shd w:val="clear" w:color="000000" w:fill="244062"/>
            <w:vAlign w:val="center"/>
          </w:tcPr>
          <w:p w14:paraId="2E31A4D4" w14:textId="77777777" w:rsidR="00854ADA" w:rsidRPr="00FF386D" w:rsidRDefault="00854ADA" w:rsidP="00854ADA">
            <w:pPr>
              <w:spacing w:after="0" w:line="240" w:lineRule="auto"/>
              <w:rPr>
                <w:rFonts w:ascii="Calibri Light" w:hAnsi="Calibri Light" w:cs="Calibri Light"/>
                <w:b/>
                <w:bCs/>
                <w:color w:val="FFFFFF"/>
                <w:sz w:val="20"/>
                <w:szCs w:val="20"/>
              </w:rPr>
            </w:pPr>
            <w:r w:rsidRPr="00FF386D">
              <w:rPr>
                <w:rFonts w:ascii="Calibri Light" w:hAnsi="Calibri Light" w:cs="Calibri Light"/>
                <w:b/>
                <w:bCs/>
                <w:color w:val="FFFFFF"/>
                <w:sz w:val="20"/>
                <w:szCs w:val="20"/>
              </w:rPr>
              <w:t>Извор(и) финансирања </w:t>
            </w:r>
          </w:p>
        </w:tc>
        <w:tc>
          <w:tcPr>
            <w:tcW w:w="6278" w:type="dxa"/>
            <w:gridSpan w:val="3"/>
            <w:tcBorders>
              <w:top w:val="single" w:sz="8" w:space="0" w:color="auto"/>
              <w:left w:val="nil"/>
              <w:bottom w:val="single" w:sz="8" w:space="0" w:color="auto"/>
              <w:right w:val="single" w:sz="8" w:space="0" w:color="000000"/>
            </w:tcBorders>
            <w:shd w:val="clear" w:color="auto" w:fill="auto"/>
            <w:vAlign w:val="center"/>
          </w:tcPr>
          <w:p w14:paraId="418D1602" w14:textId="66F05F81" w:rsidR="00854ADA" w:rsidRPr="000A2AFE" w:rsidRDefault="009C5283"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EУ и други фондови, буџетска средства</w:t>
            </w:r>
          </w:p>
        </w:tc>
      </w:tr>
    </w:tbl>
    <w:p w14:paraId="6CBCE9EA" w14:textId="77777777" w:rsidR="00854ADA" w:rsidRPr="00FF386D" w:rsidRDefault="00854ADA" w:rsidP="00854ADA">
      <w:pPr>
        <w:jc w:val="both"/>
        <w:rPr>
          <w:rFonts w:asciiTheme="majorHAnsi" w:hAnsiTheme="majorHAnsi" w:cstheme="majorHAnsi"/>
          <w:iCs/>
          <w:color w:val="000000"/>
        </w:rPr>
      </w:pPr>
    </w:p>
    <w:tbl>
      <w:tblPr>
        <w:tblW w:w="9629" w:type="dxa"/>
        <w:tblLook w:val="04A0" w:firstRow="1" w:lastRow="0" w:firstColumn="1" w:lastColumn="0" w:noHBand="0" w:noVBand="1"/>
      </w:tblPr>
      <w:tblGrid>
        <w:gridCol w:w="3323"/>
        <w:gridCol w:w="951"/>
        <w:gridCol w:w="945"/>
        <w:gridCol w:w="4410"/>
      </w:tblGrid>
      <w:tr w:rsidR="00854ADA" w:rsidRPr="00FF386D" w14:paraId="6E702F2D" w14:textId="77777777" w:rsidTr="006E0ED7">
        <w:trPr>
          <w:trHeight w:val="349"/>
        </w:trPr>
        <w:tc>
          <w:tcPr>
            <w:tcW w:w="3323"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2666B3D0"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Шифра мере политике: </w:t>
            </w:r>
          </w:p>
        </w:tc>
        <w:tc>
          <w:tcPr>
            <w:tcW w:w="951" w:type="dxa"/>
            <w:tcBorders>
              <w:top w:val="single" w:sz="8" w:space="0" w:color="auto"/>
              <w:left w:val="nil"/>
              <w:bottom w:val="single" w:sz="8" w:space="0" w:color="auto"/>
              <w:right w:val="single" w:sz="8" w:space="0" w:color="auto"/>
            </w:tcBorders>
            <w:shd w:val="clear" w:color="auto" w:fill="E7E6E6" w:themeFill="background2"/>
            <w:vAlign w:val="center"/>
            <w:hideMark/>
          </w:tcPr>
          <w:p w14:paraId="4D0D0B80"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МП_Д2</w:t>
            </w:r>
          </w:p>
        </w:tc>
        <w:tc>
          <w:tcPr>
            <w:tcW w:w="945" w:type="dxa"/>
            <w:tcBorders>
              <w:top w:val="single" w:sz="8" w:space="0" w:color="auto"/>
              <w:left w:val="nil"/>
              <w:bottom w:val="single" w:sz="8" w:space="0" w:color="auto"/>
              <w:right w:val="single" w:sz="8" w:space="0" w:color="auto"/>
            </w:tcBorders>
            <w:shd w:val="clear" w:color="000000" w:fill="244062"/>
            <w:vAlign w:val="center"/>
            <w:hideMark/>
          </w:tcPr>
          <w:p w14:paraId="087F1EA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410" w:type="dxa"/>
            <w:tcBorders>
              <w:top w:val="single" w:sz="8" w:space="0" w:color="auto"/>
              <w:left w:val="nil"/>
              <w:bottom w:val="single" w:sz="8" w:space="0" w:color="auto"/>
              <w:right w:val="single" w:sz="8" w:space="0" w:color="auto"/>
            </w:tcBorders>
            <w:shd w:val="clear" w:color="auto" w:fill="E7E6E6" w:themeFill="background2"/>
            <w:vAlign w:val="center"/>
            <w:hideMark/>
          </w:tcPr>
          <w:p w14:paraId="0FC75E0F" w14:textId="351DD441" w:rsidR="00854ADA" w:rsidRPr="00FF386D" w:rsidRDefault="0057310C" w:rsidP="00854ADA">
            <w:pPr>
              <w:spacing w:after="0" w:line="240" w:lineRule="auto"/>
              <w:jc w:val="both"/>
              <w:rPr>
                <w:rFonts w:ascii="Calibri Light" w:eastAsia="Times New Roman" w:hAnsi="Calibri Light" w:cs="Calibri Light"/>
                <w:b/>
                <w:bCs/>
                <w:color w:val="000000"/>
                <w:sz w:val="20"/>
                <w:szCs w:val="20"/>
                <w:lang w:eastAsia="en-GB"/>
              </w:rPr>
            </w:pPr>
            <w:r>
              <w:rPr>
                <w:rFonts w:ascii="Calibri Light" w:eastAsia="Times New Roman" w:hAnsi="Calibri Light" w:cs="Calibri Light"/>
                <w:b/>
                <w:bCs/>
                <w:color w:val="000000"/>
                <w:sz w:val="20"/>
                <w:szCs w:val="20"/>
                <w:lang w:eastAsia="en-GB"/>
              </w:rPr>
              <w:t>П</w:t>
            </w:r>
            <w:r w:rsidR="00854ADA" w:rsidRPr="000A2AFE">
              <w:rPr>
                <w:rFonts w:ascii="Calibri Light" w:eastAsia="Times New Roman" w:hAnsi="Calibri Light" w:cs="Calibri Light"/>
                <w:b/>
                <w:bCs/>
                <w:color w:val="000000"/>
                <w:sz w:val="20"/>
                <w:szCs w:val="20"/>
                <w:lang w:eastAsia="en-GB"/>
              </w:rPr>
              <w:t xml:space="preserve">раћење </w:t>
            </w:r>
            <w:r>
              <w:rPr>
                <w:rFonts w:ascii="Calibri Light" w:eastAsia="Times New Roman" w:hAnsi="Calibri Light" w:cs="Calibri Light"/>
                <w:b/>
                <w:bCs/>
                <w:color w:val="000000"/>
                <w:sz w:val="20"/>
                <w:szCs w:val="20"/>
                <w:lang w:eastAsia="en-GB"/>
              </w:rPr>
              <w:t xml:space="preserve">и ревизија </w:t>
            </w:r>
            <w:r w:rsidR="00854ADA" w:rsidRPr="000A2AFE">
              <w:rPr>
                <w:rFonts w:ascii="Calibri Light" w:eastAsia="Times New Roman" w:hAnsi="Calibri Light" w:cs="Calibri Light"/>
                <w:b/>
                <w:bCs/>
                <w:color w:val="000000"/>
                <w:sz w:val="20"/>
                <w:szCs w:val="20"/>
                <w:lang w:eastAsia="en-GB"/>
              </w:rPr>
              <w:t xml:space="preserve">Стратегије нискоугљеничног развоја и </w:t>
            </w:r>
            <w:r w:rsidR="00FF5D39" w:rsidRPr="00FF5D39">
              <w:rPr>
                <w:rFonts w:ascii="Calibri Light" w:eastAsia="Times New Roman" w:hAnsi="Calibri Light" w:cs="Calibri Light"/>
                <w:b/>
                <w:bCs/>
                <w:color w:val="000000"/>
                <w:sz w:val="20"/>
                <w:szCs w:val="20"/>
                <w:lang w:eastAsia="en-GB"/>
              </w:rPr>
              <w:t>спровођење</w:t>
            </w:r>
            <w:r w:rsidR="00854ADA" w:rsidRPr="000A2AFE">
              <w:rPr>
                <w:rFonts w:ascii="Calibri Light" w:eastAsia="Times New Roman" w:hAnsi="Calibri Light" w:cs="Calibri Light"/>
                <w:b/>
                <w:bCs/>
                <w:color w:val="000000"/>
                <w:sz w:val="20"/>
                <w:szCs w:val="20"/>
                <w:lang w:eastAsia="en-GB"/>
              </w:rPr>
              <w:t xml:space="preserve"> </w:t>
            </w:r>
            <w:r w:rsidR="00FF5D39" w:rsidRPr="00FF5D39">
              <w:rPr>
                <w:rFonts w:ascii="Calibri Light" w:eastAsia="Times New Roman" w:hAnsi="Calibri Light" w:cs="Calibri Light"/>
                <w:b/>
                <w:bCs/>
                <w:color w:val="000000"/>
                <w:sz w:val="20"/>
                <w:szCs w:val="20"/>
                <w:lang w:eastAsia="en-GB"/>
              </w:rPr>
              <w:t>Програма</w:t>
            </w:r>
            <w:r w:rsidR="00854ADA" w:rsidRPr="000A2AFE">
              <w:rPr>
                <w:rFonts w:ascii="Calibri Light" w:eastAsia="Times New Roman" w:hAnsi="Calibri Light" w:cs="Calibri Light"/>
                <w:b/>
                <w:bCs/>
                <w:color w:val="000000"/>
                <w:sz w:val="20"/>
                <w:szCs w:val="20"/>
                <w:lang w:eastAsia="en-GB"/>
              </w:rPr>
              <w:t xml:space="preserve"> </w:t>
            </w:r>
            <w:r w:rsidR="00D82E08" w:rsidRPr="000A2AFE">
              <w:rPr>
                <w:rFonts w:ascii="Calibri Light" w:eastAsia="Times New Roman" w:hAnsi="Calibri Light" w:cs="Calibri Light"/>
                <w:b/>
                <w:bCs/>
                <w:color w:val="000000"/>
                <w:sz w:val="20"/>
                <w:szCs w:val="20"/>
                <w:lang w:eastAsia="en-GB"/>
              </w:rPr>
              <w:t>прилагођавања</w:t>
            </w:r>
            <w:r w:rsidR="00854ADA" w:rsidRPr="000A2AFE">
              <w:rPr>
                <w:rFonts w:ascii="Calibri Light" w:eastAsia="Times New Roman" w:hAnsi="Calibri Light" w:cs="Calibri Light"/>
                <w:b/>
                <w:bCs/>
                <w:color w:val="000000"/>
                <w:sz w:val="20"/>
                <w:szCs w:val="20"/>
                <w:lang w:eastAsia="en-GB"/>
              </w:rPr>
              <w:t xml:space="preserve"> на </w:t>
            </w:r>
            <w:r w:rsidR="00F0625C" w:rsidRPr="000A2AFE">
              <w:rPr>
                <w:rFonts w:ascii="Calibri Light" w:eastAsia="Times New Roman" w:hAnsi="Calibri Light" w:cs="Calibri Light"/>
                <w:b/>
                <w:bCs/>
                <w:color w:val="000000"/>
                <w:sz w:val="20"/>
                <w:szCs w:val="20"/>
                <w:lang w:eastAsia="en-GB"/>
              </w:rPr>
              <w:t xml:space="preserve">измењене </w:t>
            </w:r>
            <w:r w:rsidR="00854ADA" w:rsidRPr="000A2AFE">
              <w:rPr>
                <w:rFonts w:ascii="Calibri Light" w:eastAsia="Times New Roman" w:hAnsi="Calibri Light" w:cs="Calibri Light"/>
                <w:b/>
                <w:bCs/>
                <w:color w:val="000000"/>
                <w:sz w:val="20"/>
                <w:szCs w:val="20"/>
                <w:lang w:eastAsia="en-GB"/>
              </w:rPr>
              <w:t xml:space="preserve">климатске </w:t>
            </w:r>
            <w:r w:rsidR="00F0625C" w:rsidRPr="000A2AFE">
              <w:rPr>
                <w:rFonts w:ascii="Calibri Light" w:eastAsia="Times New Roman" w:hAnsi="Calibri Light" w:cs="Calibri Light"/>
                <w:b/>
                <w:bCs/>
                <w:color w:val="000000"/>
                <w:sz w:val="20"/>
                <w:szCs w:val="20"/>
                <w:lang w:eastAsia="en-GB"/>
              </w:rPr>
              <w:t>услове</w:t>
            </w:r>
            <w:r w:rsidR="00FF5D39" w:rsidRPr="00FF5D39">
              <w:rPr>
                <w:rFonts w:ascii="Calibri Light" w:eastAsia="Times New Roman" w:hAnsi="Calibri Light" w:cs="Calibri Light"/>
                <w:b/>
                <w:bCs/>
                <w:color w:val="000000"/>
                <w:sz w:val="20"/>
                <w:szCs w:val="20"/>
                <w:lang w:eastAsia="en-GB"/>
              </w:rPr>
              <w:t xml:space="preserve"> са Акционим планом</w:t>
            </w:r>
          </w:p>
        </w:tc>
      </w:tr>
      <w:tr w:rsidR="00854ADA" w:rsidRPr="00FF386D" w14:paraId="0CB9CC53" w14:textId="77777777" w:rsidTr="006E0ED7">
        <w:trPr>
          <w:trHeight w:val="271"/>
        </w:trPr>
        <w:tc>
          <w:tcPr>
            <w:tcW w:w="3323" w:type="dxa"/>
            <w:tcBorders>
              <w:top w:val="nil"/>
              <w:left w:val="single" w:sz="8" w:space="0" w:color="auto"/>
              <w:bottom w:val="single" w:sz="8" w:space="0" w:color="auto"/>
              <w:right w:val="nil"/>
            </w:tcBorders>
            <w:shd w:val="clear" w:color="000000" w:fill="244062"/>
            <w:vAlign w:val="center"/>
            <w:hideMark/>
          </w:tcPr>
          <w:p w14:paraId="60CEC75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306" w:type="dxa"/>
            <w:gridSpan w:val="3"/>
            <w:tcBorders>
              <w:top w:val="single" w:sz="8" w:space="0" w:color="auto"/>
              <w:left w:val="nil"/>
              <w:bottom w:val="single" w:sz="8" w:space="0" w:color="auto"/>
              <w:right w:val="single" w:sz="8" w:space="0" w:color="000000"/>
            </w:tcBorders>
            <w:shd w:val="clear" w:color="auto" w:fill="auto"/>
            <w:vAlign w:val="center"/>
            <w:hideMark/>
          </w:tcPr>
          <w:p w14:paraId="77C2F18E" w14:textId="4F226080" w:rsidR="00854ADA" w:rsidRPr="00FF386D" w:rsidRDefault="00854ADA" w:rsidP="00854ADA">
            <w:pPr>
              <w:spacing w:after="0" w:line="240" w:lineRule="auto"/>
              <w:rPr>
                <w:rFonts w:asciiTheme="majorHAnsi" w:hAnsiTheme="majorHAnsi" w:cstheme="majorHAnsi"/>
                <w:sz w:val="24"/>
                <w:szCs w:val="24"/>
                <w:lang w:eastAsia="en-GB"/>
              </w:rPr>
            </w:pPr>
            <w:r w:rsidRPr="000A2AFE">
              <w:rPr>
                <w:rFonts w:ascii="Calibri Light" w:eastAsia="Times New Roman" w:hAnsi="Calibri Light" w:cs="Calibri Light"/>
                <w:color w:val="000000"/>
                <w:sz w:val="20"/>
                <w:szCs w:val="20"/>
                <w:lang w:eastAsia="en-GB"/>
              </w:rPr>
              <w:t xml:space="preserve">Смањење емисија </w:t>
            </w:r>
            <w:r w:rsidR="00774E9C" w:rsidRPr="000A2AFE">
              <w:rPr>
                <w:rFonts w:ascii="Calibri Light" w:eastAsia="Times New Roman" w:hAnsi="Calibri Light" w:cs="Calibri Light"/>
                <w:color w:val="000000"/>
                <w:sz w:val="20"/>
                <w:szCs w:val="20"/>
                <w:lang w:eastAsia="en-GB"/>
              </w:rPr>
              <w:t>угљеника</w:t>
            </w:r>
          </w:p>
        </w:tc>
      </w:tr>
      <w:tr w:rsidR="00854ADA" w:rsidRPr="00FF386D" w14:paraId="0667A06B" w14:textId="77777777" w:rsidTr="006E0ED7">
        <w:trPr>
          <w:trHeight w:val="315"/>
        </w:trPr>
        <w:tc>
          <w:tcPr>
            <w:tcW w:w="3323" w:type="dxa"/>
            <w:tcBorders>
              <w:top w:val="nil"/>
              <w:left w:val="single" w:sz="8" w:space="0" w:color="auto"/>
              <w:bottom w:val="single" w:sz="8" w:space="0" w:color="auto"/>
              <w:right w:val="single" w:sz="8" w:space="0" w:color="auto"/>
            </w:tcBorders>
            <w:shd w:val="clear" w:color="000000" w:fill="244062"/>
            <w:vAlign w:val="center"/>
            <w:hideMark/>
          </w:tcPr>
          <w:p w14:paraId="4EE049D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Квантификовани циљ: </w:t>
            </w:r>
          </w:p>
        </w:tc>
        <w:tc>
          <w:tcPr>
            <w:tcW w:w="6306" w:type="dxa"/>
            <w:gridSpan w:val="3"/>
            <w:tcBorders>
              <w:top w:val="single" w:sz="8" w:space="0" w:color="auto"/>
              <w:left w:val="nil"/>
              <w:bottom w:val="single" w:sz="8" w:space="0" w:color="auto"/>
              <w:right w:val="single" w:sz="8" w:space="0" w:color="000000"/>
            </w:tcBorders>
            <w:shd w:val="clear" w:color="auto" w:fill="auto"/>
            <w:vAlign w:val="center"/>
          </w:tcPr>
          <w:p w14:paraId="0D7CC393" w14:textId="782084D1" w:rsidR="00854ADA" w:rsidRPr="00FF386D" w:rsidRDefault="00FF5D39" w:rsidP="00854ADA">
            <w:pPr>
              <w:spacing w:after="0" w:line="240" w:lineRule="auto"/>
              <w:rPr>
                <w:rFonts w:asciiTheme="majorHAnsi" w:eastAsia="Times New Roman" w:hAnsiTheme="majorHAnsi" w:cstheme="majorHAnsi"/>
                <w:color w:val="000000"/>
                <w:sz w:val="20"/>
                <w:szCs w:val="20"/>
                <w:lang w:eastAsia="en-GB"/>
              </w:rPr>
            </w:pPr>
            <w:r w:rsidRPr="00FF5D39">
              <w:rPr>
                <w:rFonts w:asciiTheme="majorHAnsi" w:eastAsia="Times New Roman" w:hAnsiTheme="majorHAnsi" w:cstheme="majorHAnsi"/>
                <w:color w:val="000000"/>
                <w:sz w:val="20"/>
                <w:szCs w:val="20"/>
                <w:lang w:eastAsia="en-GB"/>
              </w:rPr>
              <w:t xml:space="preserve">Допринос циљу смањења емисија </w:t>
            </w:r>
            <w:r w:rsidRPr="000A2AFE">
              <w:rPr>
                <w:rFonts w:asciiTheme="majorHAnsi" w:eastAsia="Times New Roman" w:hAnsiTheme="majorHAnsi" w:cstheme="majorHAnsi"/>
                <w:i/>
                <w:iCs/>
                <w:color w:val="000000"/>
                <w:sz w:val="20"/>
                <w:szCs w:val="20"/>
                <w:lang w:eastAsia="en-GB"/>
              </w:rPr>
              <w:t xml:space="preserve">GHG </w:t>
            </w:r>
            <w:r w:rsidRPr="00FF5D39">
              <w:rPr>
                <w:rFonts w:asciiTheme="majorHAnsi" w:eastAsia="Times New Roman" w:hAnsiTheme="majorHAnsi" w:cstheme="majorHAnsi"/>
                <w:color w:val="000000"/>
                <w:sz w:val="20"/>
                <w:szCs w:val="20"/>
                <w:lang w:eastAsia="en-GB"/>
              </w:rPr>
              <w:t xml:space="preserve">за 33,3% (без </w:t>
            </w:r>
            <w:r w:rsidRPr="000A2AFE">
              <w:rPr>
                <w:rFonts w:asciiTheme="majorHAnsi" w:eastAsia="Times New Roman" w:hAnsiTheme="majorHAnsi" w:cstheme="majorHAnsi"/>
                <w:i/>
                <w:iCs/>
                <w:color w:val="000000"/>
                <w:sz w:val="20"/>
                <w:szCs w:val="20"/>
                <w:lang w:eastAsia="en-GB"/>
              </w:rPr>
              <w:t>LULUCF</w:t>
            </w:r>
            <w:r w:rsidRPr="00FF5D39">
              <w:rPr>
                <w:rFonts w:asciiTheme="majorHAnsi" w:eastAsia="Times New Roman" w:hAnsiTheme="majorHAnsi" w:cstheme="majorHAnsi"/>
                <w:color w:val="000000"/>
                <w:sz w:val="20"/>
                <w:szCs w:val="20"/>
                <w:lang w:eastAsia="en-GB"/>
              </w:rPr>
              <w:t>) до 2030. године у односу на нивое из 1990. године</w:t>
            </w:r>
          </w:p>
        </w:tc>
      </w:tr>
      <w:tr w:rsidR="00854ADA" w:rsidRPr="00FF386D" w14:paraId="2872A455" w14:textId="77777777" w:rsidTr="006E0ED7">
        <w:trPr>
          <w:trHeight w:val="2295"/>
        </w:trPr>
        <w:tc>
          <w:tcPr>
            <w:tcW w:w="3323" w:type="dxa"/>
            <w:tcBorders>
              <w:top w:val="nil"/>
              <w:left w:val="single" w:sz="8" w:space="0" w:color="auto"/>
              <w:bottom w:val="single" w:sz="8" w:space="0" w:color="auto"/>
              <w:right w:val="single" w:sz="8" w:space="0" w:color="auto"/>
            </w:tcBorders>
            <w:shd w:val="clear" w:color="000000" w:fill="244062"/>
            <w:vAlign w:val="center"/>
            <w:hideMark/>
          </w:tcPr>
          <w:p w14:paraId="5081DD5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Опис:</w:t>
            </w:r>
          </w:p>
        </w:tc>
        <w:tc>
          <w:tcPr>
            <w:tcW w:w="6306" w:type="dxa"/>
            <w:gridSpan w:val="3"/>
            <w:tcBorders>
              <w:top w:val="single" w:sz="8" w:space="0" w:color="auto"/>
              <w:left w:val="nil"/>
              <w:bottom w:val="single" w:sz="8" w:space="0" w:color="auto"/>
              <w:right w:val="single" w:sz="8" w:space="0" w:color="000000"/>
            </w:tcBorders>
            <w:shd w:val="clear" w:color="auto" w:fill="auto"/>
            <w:vAlign w:val="center"/>
            <w:hideMark/>
          </w:tcPr>
          <w:p w14:paraId="21147253" w14:textId="64034A9E" w:rsidR="00854ADA" w:rsidRPr="0089560A"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МП_</w:t>
            </w:r>
            <w:r w:rsidR="009C5283" w:rsidRPr="000A2AFE">
              <w:rPr>
                <w:rFonts w:ascii="Calibri Light" w:eastAsia="Times New Roman" w:hAnsi="Calibri Light" w:cs="Calibri Light"/>
                <w:color w:val="000000"/>
                <w:sz w:val="20"/>
                <w:szCs w:val="20"/>
                <w:lang w:eastAsia="en-GB"/>
              </w:rPr>
              <w:t>Д</w:t>
            </w:r>
            <w:r w:rsidR="009C5283" w:rsidRPr="00FF386D">
              <w:rPr>
                <w:rFonts w:ascii="Calibri Light" w:eastAsia="Times New Roman" w:hAnsi="Calibri Light" w:cs="Calibri Light"/>
                <w:color w:val="000000"/>
                <w:sz w:val="20"/>
                <w:szCs w:val="20"/>
                <w:lang w:eastAsia="en-GB"/>
              </w:rPr>
              <w:t>2</w:t>
            </w:r>
            <w:r w:rsidR="009C5283"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 xml:space="preserve">ће омогућити процес праћења </w:t>
            </w:r>
            <w:r w:rsidR="001F6911">
              <w:rPr>
                <w:rFonts w:ascii="Calibri Light" w:eastAsia="Times New Roman" w:hAnsi="Calibri Light" w:cs="Calibri Light"/>
                <w:color w:val="000000"/>
                <w:sz w:val="20"/>
                <w:szCs w:val="20"/>
                <w:lang w:eastAsia="en-GB"/>
              </w:rPr>
              <w:t xml:space="preserve">и ревизије </w:t>
            </w:r>
            <w:r w:rsidRPr="000A2AFE">
              <w:rPr>
                <w:rFonts w:ascii="Calibri Light" w:eastAsia="Times New Roman" w:hAnsi="Calibri Light" w:cs="Calibri Light"/>
                <w:color w:val="000000"/>
                <w:sz w:val="20"/>
                <w:szCs w:val="20"/>
                <w:lang w:eastAsia="en-GB"/>
              </w:rPr>
              <w:t>усвојене Стратегије нискоугљ</w:t>
            </w:r>
            <w:r w:rsidR="00A23425">
              <w:rPr>
                <w:rFonts w:ascii="Calibri Light" w:eastAsia="Times New Roman" w:hAnsi="Calibri Light" w:cs="Calibri Light"/>
                <w:color w:val="000000"/>
                <w:sz w:val="20"/>
                <w:szCs w:val="20"/>
                <w:lang w:eastAsia="en-GB"/>
              </w:rPr>
              <w:t>е</w:t>
            </w:r>
            <w:r w:rsidRPr="000A2AFE">
              <w:rPr>
                <w:rFonts w:ascii="Calibri Light" w:eastAsia="Times New Roman" w:hAnsi="Calibri Light" w:cs="Calibri Light"/>
                <w:color w:val="000000"/>
                <w:sz w:val="20"/>
                <w:szCs w:val="20"/>
                <w:lang w:eastAsia="en-GB"/>
              </w:rPr>
              <w:t>ничног развоја</w:t>
            </w:r>
            <w:r w:rsidR="00A13762" w:rsidRPr="00A13762">
              <w:rPr>
                <w:rFonts w:ascii="Calibri Light" w:eastAsia="Times New Roman" w:hAnsi="Calibri Light" w:cs="Calibri Light"/>
                <w:color w:val="000000"/>
                <w:sz w:val="20"/>
                <w:szCs w:val="20"/>
                <w:lang w:eastAsia="en-GB"/>
              </w:rPr>
              <w:t xml:space="preserve">, узимајући у обзир њене главне циљеве, односно испуњење обавеза Париског споразума и предлог препорука за усклађивање путање Србије за смањење емисија </w:t>
            </w:r>
            <w:r w:rsidR="00A13762" w:rsidRPr="000A2AFE">
              <w:rPr>
                <w:rFonts w:ascii="Calibri Light" w:eastAsia="Times New Roman" w:hAnsi="Calibri Light" w:cs="Calibri Light"/>
                <w:i/>
                <w:iCs/>
                <w:color w:val="000000"/>
                <w:sz w:val="20"/>
                <w:szCs w:val="20"/>
                <w:lang w:eastAsia="en-GB"/>
              </w:rPr>
              <w:t>GHG</w:t>
            </w:r>
            <w:r w:rsidR="00A13762" w:rsidRPr="00A13762">
              <w:rPr>
                <w:rFonts w:ascii="Calibri Light" w:eastAsia="Times New Roman" w:hAnsi="Calibri Light" w:cs="Calibri Light"/>
                <w:color w:val="000000"/>
                <w:sz w:val="20"/>
                <w:szCs w:val="20"/>
                <w:lang w:eastAsia="en-GB"/>
              </w:rPr>
              <w:t xml:space="preserve"> са путањом ЕУ на економичан начин уз разматрање социјалног аспекта. Поред тога, на основу Закона о климатским променама, Србија ће завршити и спровести Програм прилагођавања на измењене климатске услове са Акционим планом, који ће утврдити опште циљеве, идентификовати секторе који су највише погођени климатским променама, и мере за прилагођавање на измењене климатске услове у оквиру који је утврђен Конвенцијом Уједињених нација о промени климе, уредбама ЕУ и међународним искуством.</w:t>
            </w:r>
            <w:r w:rsidR="0089560A" w:rsidRPr="00C312D6">
              <w:rPr>
                <w:rFonts w:ascii="Calibri Light" w:eastAsia="Times New Roman" w:hAnsi="Calibri Light" w:cs="Calibri Light"/>
                <w:color w:val="000000"/>
                <w:sz w:val="20"/>
                <w:szCs w:val="20"/>
                <w:lang w:eastAsia="en-GB"/>
              </w:rPr>
              <w:t xml:space="preserve"> </w:t>
            </w:r>
            <w:r w:rsidR="0089560A">
              <w:rPr>
                <w:rFonts w:ascii="Calibri Light" w:eastAsia="Times New Roman" w:hAnsi="Calibri Light" w:cs="Calibri Light"/>
                <w:color w:val="000000"/>
                <w:sz w:val="20"/>
                <w:szCs w:val="20"/>
                <w:lang w:eastAsia="en-GB"/>
              </w:rPr>
              <w:t xml:space="preserve">Поред тога, мере прилагођавања </w:t>
            </w:r>
            <w:r w:rsidR="00A712E7">
              <w:rPr>
                <w:rFonts w:ascii="Calibri Light" w:eastAsia="Times New Roman" w:hAnsi="Calibri Light" w:cs="Calibri Light"/>
                <w:color w:val="000000"/>
                <w:sz w:val="20"/>
                <w:szCs w:val="20"/>
                <w:lang w:eastAsia="en-GB"/>
              </w:rPr>
              <w:t xml:space="preserve">које су </w:t>
            </w:r>
            <w:r w:rsidR="0089560A">
              <w:rPr>
                <w:rFonts w:ascii="Calibri Light" w:eastAsia="Times New Roman" w:hAnsi="Calibri Light" w:cs="Calibri Light"/>
                <w:color w:val="000000"/>
                <w:sz w:val="20"/>
                <w:szCs w:val="20"/>
                <w:lang w:eastAsia="en-GB"/>
              </w:rPr>
              <w:t xml:space="preserve">предвиђене </w:t>
            </w:r>
            <w:r w:rsidR="00A712E7">
              <w:rPr>
                <w:rFonts w:ascii="Calibri Light" w:eastAsia="Times New Roman" w:hAnsi="Calibri Light" w:cs="Calibri Light"/>
                <w:color w:val="000000"/>
                <w:sz w:val="20"/>
                <w:szCs w:val="20"/>
                <w:lang w:eastAsia="en-GB"/>
              </w:rPr>
              <w:t>да се спроводе на државном нивоу би требало такође планирати и спроводити на локалном нивоу. Неопходно је јачање институција која ће спроводити активности на локалном нивоу и уопште које ће пратити и вршити надзор над спровођењем ових локалних планова., пројеката, итд., у области енергетике и климе.</w:t>
            </w:r>
          </w:p>
        </w:tc>
      </w:tr>
      <w:tr w:rsidR="00854ADA" w:rsidRPr="00FF386D" w14:paraId="4E15B52F" w14:textId="77777777" w:rsidTr="006E0ED7">
        <w:trPr>
          <w:trHeight w:val="315"/>
        </w:trPr>
        <w:tc>
          <w:tcPr>
            <w:tcW w:w="3323" w:type="dxa"/>
            <w:tcBorders>
              <w:top w:val="nil"/>
              <w:left w:val="single" w:sz="8" w:space="0" w:color="auto"/>
              <w:bottom w:val="single" w:sz="8" w:space="0" w:color="auto"/>
              <w:right w:val="single" w:sz="8" w:space="0" w:color="auto"/>
            </w:tcBorders>
            <w:shd w:val="clear" w:color="000000" w:fill="244062"/>
            <w:vAlign w:val="center"/>
            <w:hideMark/>
          </w:tcPr>
          <w:p w14:paraId="511723F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hAnsi="Calibri Light" w:cs="Calibri Light"/>
                <w:b/>
                <w:bCs/>
                <w:color w:val="FFFFFF"/>
                <w:sz w:val="20"/>
                <w:szCs w:val="20"/>
              </w:rPr>
              <w:t>Временски оквир имплементације</w:t>
            </w:r>
          </w:p>
        </w:tc>
        <w:tc>
          <w:tcPr>
            <w:tcW w:w="6306" w:type="dxa"/>
            <w:gridSpan w:val="3"/>
            <w:tcBorders>
              <w:top w:val="single" w:sz="8" w:space="0" w:color="auto"/>
              <w:left w:val="nil"/>
              <w:bottom w:val="single" w:sz="8" w:space="0" w:color="auto"/>
              <w:right w:val="single" w:sz="8" w:space="0" w:color="000000"/>
            </w:tcBorders>
            <w:shd w:val="clear" w:color="auto" w:fill="auto"/>
            <w:vAlign w:val="center"/>
            <w:hideMark/>
          </w:tcPr>
          <w:p w14:paraId="7FCBF227" w14:textId="6E8CA02A" w:rsidR="00854ADA" w:rsidRPr="00FF386D" w:rsidRDefault="00A13762"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202</w:t>
            </w:r>
            <w:r>
              <w:rPr>
                <w:rFonts w:ascii="Calibri Light" w:eastAsia="Times New Roman" w:hAnsi="Calibri Light" w:cs="Calibri Light"/>
                <w:color w:val="000000"/>
                <w:sz w:val="20"/>
                <w:szCs w:val="20"/>
                <w:lang w:eastAsia="en-GB"/>
              </w:rPr>
              <w:t>3</w:t>
            </w:r>
            <w:r w:rsidR="00854ADA" w:rsidRPr="000A2AFE">
              <w:rPr>
                <w:rFonts w:ascii="Calibri Light" w:eastAsia="Times New Roman" w:hAnsi="Calibri Light" w:cs="Calibri Light"/>
                <w:color w:val="000000"/>
                <w:sz w:val="20"/>
                <w:szCs w:val="20"/>
                <w:lang w:eastAsia="en-GB"/>
              </w:rPr>
              <w:t>-2030.</w:t>
            </w:r>
          </w:p>
        </w:tc>
      </w:tr>
      <w:tr w:rsidR="00854ADA" w:rsidRPr="00FF386D" w14:paraId="2E9085A9" w14:textId="77777777" w:rsidTr="006E0ED7">
        <w:trPr>
          <w:trHeight w:val="315"/>
        </w:trPr>
        <w:tc>
          <w:tcPr>
            <w:tcW w:w="3323" w:type="dxa"/>
            <w:tcBorders>
              <w:top w:val="nil"/>
              <w:left w:val="single" w:sz="8" w:space="0" w:color="auto"/>
              <w:bottom w:val="single" w:sz="8" w:space="0" w:color="auto"/>
              <w:right w:val="single" w:sz="8" w:space="0" w:color="auto"/>
            </w:tcBorders>
            <w:shd w:val="clear" w:color="000000" w:fill="244062"/>
            <w:vAlign w:val="center"/>
            <w:hideMark/>
          </w:tcPr>
          <w:p w14:paraId="31D49F0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306" w:type="dxa"/>
            <w:gridSpan w:val="3"/>
            <w:tcBorders>
              <w:top w:val="single" w:sz="8" w:space="0" w:color="auto"/>
              <w:left w:val="nil"/>
              <w:bottom w:val="single" w:sz="8" w:space="0" w:color="auto"/>
              <w:right w:val="single" w:sz="8" w:space="0" w:color="000000"/>
            </w:tcBorders>
            <w:shd w:val="clear" w:color="auto" w:fill="auto"/>
            <w:vAlign w:val="center"/>
            <w:hideMark/>
          </w:tcPr>
          <w:p w14:paraId="44E55F94"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Реформа</w:t>
            </w:r>
          </w:p>
        </w:tc>
      </w:tr>
      <w:tr w:rsidR="00854ADA" w:rsidRPr="00FF386D" w14:paraId="535D5B52" w14:textId="77777777" w:rsidTr="006E0ED7">
        <w:trPr>
          <w:trHeight w:val="315"/>
        </w:trPr>
        <w:tc>
          <w:tcPr>
            <w:tcW w:w="3323" w:type="dxa"/>
            <w:tcBorders>
              <w:top w:val="nil"/>
              <w:left w:val="single" w:sz="8" w:space="0" w:color="auto"/>
              <w:bottom w:val="single" w:sz="8" w:space="0" w:color="auto"/>
              <w:right w:val="single" w:sz="8" w:space="0" w:color="auto"/>
            </w:tcBorders>
            <w:shd w:val="clear" w:color="000000" w:fill="244062"/>
            <w:vAlign w:val="center"/>
            <w:hideMark/>
          </w:tcPr>
          <w:p w14:paraId="7964768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hAnsi="Calibri Light" w:cs="Calibri Light"/>
                <w:b/>
                <w:bCs/>
                <w:color w:val="FFFFFF"/>
                <w:sz w:val="20"/>
                <w:szCs w:val="20"/>
              </w:rPr>
              <w:t>Покривени/ обухваћени сектори</w:t>
            </w:r>
          </w:p>
        </w:tc>
        <w:tc>
          <w:tcPr>
            <w:tcW w:w="6306" w:type="dxa"/>
            <w:gridSpan w:val="3"/>
            <w:tcBorders>
              <w:top w:val="single" w:sz="8" w:space="0" w:color="auto"/>
              <w:left w:val="nil"/>
              <w:bottom w:val="single" w:sz="8" w:space="0" w:color="auto"/>
              <w:right w:val="single" w:sz="8" w:space="0" w:color="000000"/>
            </w:tcBorders>
            <w:shd w:val="clear" w:color="auto" w:fill="auto"/>
            <w:vAlign w:val="center"/>
            <w:hideMark/>
          </w:tcPr>
          <w:p w14:paraId="1E2382CB" w14:textId="054B546B"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 xml:space="preserve">Све области </w:t>
            </w:r>
            <w:r w:rsidR="00774E9C" w:rsidRPr="000A2AFE">
              <w:rPr>
                <w:rFonts w:ascii="Calibri Light" w:eastAsia="Times New Roman" w:hAnsi="Calibri Light" w:cs="Calibri Light"/>
                <w:color w:val="000000"/>
                <w:sz w:val="20"/>
                <w:szCs w:val="20"/>
                <w:lang w:eastAsia="en-GB"/>
              </w:rPr>
              <w:t>И</w:t>
            </w:r>
            <w:r w:rsidRPr="000A2AFE">
              <w:rPr>
                <w:rFonts w:ascii="Calibri Light" w:eastAsia="Times New Roman" w:hAnsi="Calibri Light" w:cs="Calibri Light"/>
                <w:color w:val="000000"/>
                <w:sz w:val="20"/>
                <w:szCs w:val="20"/>
                <w:lang w:eastAsia="en-GB"/>
              </w:rPr>
              <w:t>НЕКП</w:t>
            </w:r>
            <w:r w:rsidR="00774E9C" w:rsidRPr="000A2AFE">
              <w:rPr>
                <w:rFonts w:ascii="Calibri Light" w:eastAsia="Times New Roman" w:hAnsi="Calibri Light" w:cs="Calibri Light"/>
                <w:color w:val="000000"/>
                <w:sz w:val="20"/>
                <w:szCs w:val="20"/>
                <w:lang w:eastAsia="en-GB"/>
              </w:rPr>
              <w:t>-а</w:t>
            </w:r>
          </w:p>
        </w:tc>
      </w:tr>
      <w:tr w:rsidR="00854ADA" w:rsidRPr="00FF386D" w14:paraId="77084763" w14:textId="77777777" w:rsidTr="006E0ED7">
        <w:trPr>
          <w:trHeight w:val="315"/>
        </w:trPr>
        <w:tc>
          <w:tcPr>
            <w:tcW w:w="3323" w:type="dxa"/>
            <w:tcBorders>
              <w:top w:val="nil"/>
              <w:left w:val="single" w:sz="8" w:space="0" w:color="auto"/>
              <w:bottom w:val="single" w:sz="8" w:space="0" w:color="auto"/>
              <w:right w:val="single" w:sz="8" w:space="0" w:color="auto"/>
            </w:tcBorders>
            <w:shd w:val="clear" w:color="000000" w:fill="244062"/>
            <w:vAlign w:val="center"/>
            <w:hideMark/>
          </w:tcPr>
          <w:p w14:paraId="3F852DC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hAnsi="Calibri Light" w:cs="Calibri Light"/>
                <w:b/>
                <w:bCs/>
                <w:color w:val="FFFFFF"/>
                <w:sz w:val="20"/>
                <w:szCs w:val="20"/>
              </w:rPr>
              <w:t>Извршни орган</w:t>
            </w:r>
          </w:p>
        </w:tc>
        <w:tc>
          <w:tcPr>
            <w:tcW w:w="6306" w:type="dxa"/>
            <w:gridSpan w:val="3"/>
            <w:tcBorders>
              <w:top w:val="single" w:sz="8" w:space="0" w:color="auto"/>
              <w:left w:val="nil"/>
              <w:bottom w:val="single" w:sz="8" w:space="0" w:color="auto"/>
              <w:right w:val="single" w:sz="8" w:space="0" w:color="000000"/>
            </w:tcBorders>
            <w:shd w:val="clear" w:color="auto" w:fill="auto"/>
            <w:vAlign w:val="center"/>
            <w:hideMark/>
          </w:tcPr>
          <w:p w14:paraId="73394490" w14:textId="77777777" w:rsidR="00854ADA" w:rsidRPr="00FF386D" w:rsidRDefault="00854ADA" w:rsidP="00854ADA">
            <w:pPr>
              <w:numPr>
                <w:ilvl w:val="0"/>
                <w:numId w:val="207"/>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заштите животне средине</w:t>
            </w:r>
          </w:p>
        </w:tc>
      </w:tr>
      <w:tr w:rsidR="00854ADA" w:rsidRPr="00FF386D" w14:paraId="609E69D1" w14:textId="77777777" w:rsidTr="006E0ED7">
        <w:trPr>
          <w:trHeight w:val="315"/>
        </w:trPr>
        <w:tc>
          <w:tcPr>
            <w:tcW w:w="3323" w:type="dxa"/>
            <w:tcBorders>
              <w:top w:val="nil"/>
              <w:left w:val="single" w:sz="8" w:space="0" w:color="auto"/>
              <w:bottom w:val="single" w:sz="8" w:space="0" w:color="auto"/>
              <w:right w:val="nil"/>
            </w:tcBorders>
            <w:shd w:val="clear" w:color="000000" w:fill="244062"/>
            <w:vAlign w:val="center"/>
            <w:hideMark/>
          </w:tcPr>
          <w:p w14:paraId="13A7A39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hAnsi="Calibri Light" w:cs="Calibri Light"/>
                <w:b/>
                <w:bCs/>
                <w:color w:val="FFFFFF"/>
                <w:sz w:val="20"/>
                <w:szCs w:val="20"/>
              </w:rPr>
              <w:t>Тело за праћење</w:t>
            </w:r>
          </w:p>
        </w:tc>
        <w:tc>
          <w:tcPr>
            <w:tcW w:w="6306" w:type="dxa"/>
            <w:gridSpan w:val="3"/>
            <w:tcBorders>
              <w:top w:val="single" w:sz="8" w:space="0" w:color="auto"/>
              <w:left w:val="nil"/>
              <w:bottom w:val="single" w:sz="8" w:space="0" w:color="auto"/>
              <w:right w:val="single" w:sz="8" w:space="0" w:color="000000"/>
            </w:tcBorders>
            <w:shd w:val="clear" w:color="auto" w:fill="auto"/>
            <w:vAlign w:val="center"/>
            <w:hideMark/>
          </w:tcPr>
          <w:p w14:paraId="213ABC3B" w14:textId="77777777" w:rsidR="00854ADA" w:rsidRPr="00FF386D" w:rsidRDefault="00854ADA" w:rsidP="00854ADA">
            <w:pPr>
              <w:numPr>
                <w:ilvl w:val="0"/>
                <w:numId w:val="207"/>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заштите животне средине</w:t>
            </w:r>
          </w:p>
          <w:p w14:paraId="6EBEDD4B" w14:textId="77777777" w:rsidR="00854ADA" w:rsidRDefault="00854ADA" w:rsidP="00854ADA">
            <w:pPr>
              <w:numPr>
                <w:ilvl w:val="0"/>
                <w:numId w:val="207"/>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рударства и енергетике</w:t>
            </w:r>
          </w:p>
          <w:p w14:paraId="6553F301" w14:textId="73E35B2C" w:rsidR="00C84EC5" w:rsidRPr="00FF386D" w:rsidRDefault="00C84EC5" w:rsidP="00854ADA">
            <w:pPr>
              <w:numPr>
                <w:ilvl w:val="0"/>
                <w:numId w:val="207"/>
              </w:numPr>
              <w:spacing w:after="0" w:line="240" w:lineRule="auto"/>
              <w:contextualSpacing/>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Остале релевантне институције</w:t>
            </w:r>
          </w:p>
        </w:tc>
      </w:tr>
      <w:tr w:rsidR="00854ADA" w:rsidRPr="00FF386D" w14:paraId="7479FD4A" w14:textId="77777777" w:rsidTr="006E0ED7">
        <w:trPr>
          <w:trHeight w:val="315"/>
        </w:trPr>
        <w:tc>
          <w:tcPr>
            <w:tcW w:w="3323" w:type="dxa"/>
            <w:tcBorders>
              <w:top w:val="nil"/>
              <w:left w:val="single" w:sz="8" w:space="0" w:color="auto"/>
              <w:bottom w:val="single" w:sz="8" w:space="0" w:color="auto"/>
              <w:right w:val="nil"/>
            </w:tcBorders>
            <w:shd w:val="clear" w:color="000000" w:fill="244062"/>
            <w:vAlign w:val="center"/>
            <w:hideMark/>
          </w:tcPr>
          <w:p w14:paraId="384E6BD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hAnsi="Calibri Light" w:cs="Calibri Light"/>
                <w:b/>
                <w:bCs/>
                <w:color w:val="FFFFFF"/>
                <w:sz w:val="20"/>
                <w:szCs w:val="20"/>
              </w:rPr>
              <w:t>Индикатори напретка</w:t>
            </w:r>
          </w:p>
        </w:tc>
        <w:tc>
          <w:tcPr>
            <w:tcW w:w="6306" w:type="dxa"/>
            <w:gridSpan w:val="3"/>
            <w:tcBorders>
              <w:top w:val="single" w:sz="8" w:space="0" w:color="auto"/>
              <w:left w:val="nil"/>
              <w:bottom w:val="single" w:sz="8" w:space="0" w:color="auto"/>
              <w:right w:val="single" w:sz="8" w:space="0" w:color="000000"/>
            </w:tcBorders>
            <w:shd w:val="clear" w:color="auto" w:fill="auto"/>
            <w:vAlign w:val="center"/>
            <w:hideMark/>
          </w:tcPr>
          <w:p w14:paraId="338AF230" w14:textId="77777777" w:rsidR="00854ADA" w:rsidRPr="000A2AFE" w:rsidRDefault="00854ADA" w:rsidP="000A2AFE">
            <w:pPr>
              <w:pStyle w:val="ListParagraph"/>
              <w:numPr>
                <w:ilvl w:val="0"/>
                <w:numId w:val="357"/>
              </w:num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Годишње смањење емисија(Gg CO</w:t>
            </w:r>
            <w:r w:rsidRPr="000A2AFE">
              <w:rPr>
                <w:rFonts w:ascii="Calibri Light" w:eastAsia="Times New Roman" w:hAnsi="Calibri Light" w:cs="Calibri Light"/>
                <w:color w:val="000000"/>
                <w:sz w:val="20"/>
                <w:szCs w:val="20"/>
                <w:vertAlign w:val="subscript"/>
                <w:lang w:eastAsia="en-GB"/>
              </w:rPr>
              <w:t>2</w:t>
            </w:r>
            <w:r w:rsidRPr="000A2AFE">
              <w:rPr>
                <w:rFonts w:ascii="Calibri Light" w:eastAsia="Times New Roman" w:hAnsi="Calibri Light" w:cs="Calibri Light"/>
                <w:color w:val="000000"/>
                <w:sz w:val="20"/>
                <w:szCs w:val="20"/>
                <w:lang w:eastAsia="en-GB"/>
              </w:rPr>
              <w:t>-eq)</w:t>
            </w:r>
          </w:p>
        </w:tc>
      </w:tr>
      <w:tr w:rsidR="00854ADA" w:rsidRPr="00FF386D" w14:paraId="429BE38E" w14:textId="77777777" w:rsidTr="006E0ED7">
        <w:trPr>
          <w:trHeight w:val="561"/>
        </w:trPr>
        <w:tc>
          <w:tcPr>
            <w:tcW w:w="3323" w:type="dxa"/>
            <w:tcBorders>
              <w:top w:val="nil"/>
              <w:left w:val="single" w:sz="8" w:space="0" w:color="auto"/>
              <w:bottom w:val="single" w:sz="8" w:space="0" w:color="auto"/>
              <w:right w:val="single" w:sz="8" w:space="0" w:color="auto"/>
            </w:tcBorders>
            <w:shd w:val="clear" w:color="000000" w:fill="244062"/>
            <w:vAlign w:val="center"/>
            <w:hideMark/>
          </w:tcPr>
          <w:p w14:paraId="06F708A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hAnsi="Calibri Light" w:cs="Calibri Light"/>
                <w:b/>
                <w:bCs/>
                <w:color w:val="FFFFFF"/>
                <w:sz w:val="20"/>
                <w:szCs w:val="20"/>
              </w:rPr>
              <w:t>Друге релевантне обухваћене димензије Енергетске уније</w:t>
            </w:r>
          </w:p>
        </w:tc>
        <w:tc>
          <w:tcPr>
            <w:tcW w:w="6306" w:type="dxa"/>
            <w:gridSpan w:val="3"/>
            <w:tcBorders>
              <w:top w:val="single" w:sz="8" w:space="0" w:color="auto"/>
              <w:left w:val="nil"/>
              <w:bottom w:val="single" w:sz="8" w:space="0" w:color="auto"/>
              <w:right w:val="single" w:sz="8" w:space="0" w:color="000000"/>
            </w:tcBorders>
            <w:shd w:val="clear" w:color="auto" w:fill="auto"/>
            <w:vAlign w:val="center"/>
          </w:tcPr>
          <w:p w14:paraId="4E12CEFF"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p>
        </w:tc>
      </w:tr>
      <w:tr w:rsidR="00854ADA" w:rsidRPr="00FF386D" w14:paraId="351B7EA7" w14:textId="77777777" w:rsidTr="006E0ED7">
        <w:trPr>
          <w:trHeight w:val="450"/>
        </w:trPr>
        <w:tc>
          <w:tcPr>
            <w:tcW w:w="3323"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71758D08" w14:textId="272472BE"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Политике Уније која су резултирале</w:t>
            </w:r>
            <w:r w:rsidR="008A1B30" w:rsidRPr="000A2AFE">
              <w:rPr>
                <w:rFonts w:ascii="Calibri Light" w:eastAsia="Times New Roman" w:hAnsi="Calibri Light" w:cs="Calibri Light"/>
                <w:b/>
                <w:bCs/>
                <w:color w:val="FFFFFF"/>
                <w:sz w:val="20"/>
                <w:szCs w:val="20"/>
                <w:lang w:eastAsia="en-GB"/>
              </w:rPr>
              <w:t xml:space="preserve"> </w:t>
            </w:r>
            <w:r w:rsidR="00854ADA" w:rsidRPr="000A2AFE">
              <w:rPr>
                <w:rFonts w:ascii="Calibri Light" w:eastAsia="Times New Roman" w:hAnsi="Calibri Light" w:cs="Calibri Light"/>
                <w:b/>
                <w:bCs/>
                <w:color w:val="FFFFFF"/>
                <w:sz w:val="20"/>
                <w:szCs w:val="20"/>
                <w:lang w:eastAsia="en-GB"/>
              </w:rPr>
              <w:t>имплементацијом ове МП</w:t>
            </w:r>
          </w:p>
        </w:tc>
        <w:tc>
          <w:tcPr>
            <w:tcW w:w="6306"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1D35D43A" w14:textId="6111B45D" w:rsidR="00854ADA" w:rsidRPr="00FF386D" w:rsidRDefault="00854ADA" w:rsidP="00854ADA">
            <w:pPr>
              <w:numPr>
                <w:ilvl w:val="0"/>
                <w:numId w:val="171"/>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Уредба 2018/</w:t>
            </w:r>
            <w:r w:rsidR="00A13762" w:rsidRPr="00A13762">
              <w:rPr>
                <w:rFonts w:ascii="Calibri Light" w:eastAsia="Times New Roman" w:hAnsi="Calibri Light" w:cs="Calibri Light"/>
                <w:color w:val="000000"/>
                <w:sz w:val="20"/>
                <w:szCs w:val="20"/>
                <w:lang w:eastAsia="en-GB"/>
              </w:rPr>
              <w:t>1999</w:t>
            </w:r>
          </w:p>
        </w:tc>
      </w:tr>
      <w:tr w:rsidR="00854ADA" w:rsidRPr="00FF386D" w14:paraId="51B81226" w14:textId="77777777" w:rsidTr="006E0ED7">
        <w:trPr>
          <w:trHeight w:val="450"/>
        </w:trPr>
        <w:tc>
          <w:tcPr>
            <w:tcW w:w="3323" w:type="dxa"/>
            <w:vMerge/>
            <w:tcBorders>
              <w:top w:val="nil"/>
              <w:left w:val="single" w:sz="8" w:space="0" w:color="auto"/>
              <w:bottom w:val="single" w:sz="8" w:space="0" w:color="000000"/>
              <w:right w:val="single" w:sz="8" w:space="0" w:color="auto"/>
            </w:tcBorders>
            <w:vAlign w:val="center"/>
            <w:hideMark/>
          </w:tcPr>
          <w:p w14:paraId="7AD68E6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306" w:type="dxa"/>
            <w:gridSpan w:val="3"/>
            <w:vMerge/>
            <w:tcBorders>
              <w:top w:val="single" w:sz="8" w:space="0" w:color="auto"/>
              <w:left w:val="single" w:sz="8" w:space="0" w:color="auto"/>
              <w:bottom w:val="single" w:sz="8" w:space="0" w:color="000000"/>
              <w:right w:val="single" w:sz="8" w:space="0" w:color="000000"/>
            </w:tcBorders>
            <w:vAlign w:val="center"/>
            <w:hideMark/>
          </w:tcPr>
          <w:p w14:paraId="1421048B" w14:textId="77777777" w:rsidR="00854ADA" w:rsidRPr="00FF386D" w:rsidRDefault="00854ADA" w:rsidP="00854ADA">
            <w:pPr>
              <w:numPr>
                <w:ilvl w:val="0"/>
                <w:numId w:val="102"/>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56176B7B" w14:textId="77777777" w:rsidTr="006E0ED7">
        <w:trPr>
          <w:trHeight w:val="450"/>
        </w:trPr>
        <w:tc>
          <w:tcPr>
            <w:tcW w:w="3323" w:type="dxa"/>
            <w:vMerge/>
            <w:tcBorders>
              <w:top w:val="nil"/>
              <w:left w:val="single" w:sz="8" w:space="0" w:color="auto"/>
              <w:bottom w:val="single" w:sz="8" w:space="0" w:color="000000"/>
              <w:right w:val="single" w:sz="8" w:space="0" w:color="auto"/>
            </w:tcBorders>
            <w:vAlign w:val="center"/>
            <w:hideMark/>
          </w:tcPr>
          <w:p w14:paraId="1D9D2AD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306" w:type="dxa"/>
            <w:gridSpan w:val="3"/>
            <w:vMerge/>
            <w:tcBorders>
              <w:top w:val="single" w:sz="8" w:space="0" w:color="auto"/>
              <w:left w:val="single" w:sz="8" w:space="0" w:color="auto"/>
              <w:bottom w:val="single" w:sz="8" w:space="0" w:color="000000"/>
              <w:right w:val="single" w:sz="8" w:space="0" w:color="000000"/>
            </w:tcBorders>
            <w:vAlign w:val="center"/>
            <w:hideMark/>
          </w:tcPr>
          <w:p w14:paraId="3181A804" w14:textId="77777777" w:rsidR="00854ADA" w:rsidRPr="00FF386D" w:rsidRDefault="00854ADA" w:rsidP="00854ADA">
            <w:pPr>
              <w:numPr>
                <w:ilvl w:val="0"/>
                <w:numId w:val="102"/>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47E02148" w14:textId="77777777" w:rsidTr="006E0ED7">
        <w:trPr>
          <w:trHeight w:val="297"/>
        </w:trPr>
        <w:tc>
          <w:tcPr>
            <w:tcW w:w="3323" w:type="dxa"/>
            <w:tcBorders>
              <w:top w:val="nil"/>
              <w:left w:val="single" w:sz="8" w:space="0" w:color="auto"/>
              <w:bottom w:val="single" w:sz="8" w:space="0" w:color="auto"/>
              <w:right w:val="single" w:sz="8" w:space="0" w:color="auto"/>
            </w:tcBorders>
            <w:shd w:val="clear" w:color="000000" w:fill="244062"/>
            <w:vAlign w:val="center"/>
            <w:hideMark/>
          </w:tcPr>
          <w:p w14:paraId="5B83393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hAnsi="Calibri Light" w:cs="Calibri Light"/>
                <w:b/>
                <w:bCs/>
                <w:color w:val="FFFFFF"/>
                <w:sz w:val="20"/>
                <w:szCs w:val="20"/>
              </w:rPr>
              <w:t>Релевантни национални плански документ (правни, регулаторни акти, итд)</w:t>
            </w:r>
          </w:p>
        </w:tc>
        <w:tc>
          <w:tcPr>
            <w:tcW w:w="6306" w:type="dxa"/>
            <w:gridSpan w:val="3"/>
            <w:tcBorders>
              <w:top w:val="single" w:sz="8" w:space="0" w:color="auto"/>
              <w:left w:val="nil"/>
              <w:bottom w:val="single" w:sz="8" w:space="0" w:color="auto"/>
              <w:right w:val="single" w:sz="8" w:space="0" w:color="000000"/>
            </w:tcBorders>
            <w:shd w:val="clear" w:color="auto" w:fill="auto"/>
            <w:vAlign w:val="center"/>
            <w:hideMark/>
          </w:tcPr>
          <w:p w14:paraId="553BB6D5" w14:textId="77777777" w:rsidR="00854ADA" w:rsidRPr="000A2AFE" w:rsidRDefault="00854ADA" w:rsidP="00854ADA">
            <w:pPr>
              <w:numPr>
                <w:ilvl w:val="0"/>
                <w:numId w:val="102"/>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Закон о климатским променама</w:t>
            </w:r>
          </w:p>
          <w:p w14:paraId="543672D4" w14:textId="029BF79F" w:rsidR="00A13762" w:rsidRPr="00FF386D" w:rsidRDefault="00A13762" w:rsidP="00854ADA">
            <w:pPr>
              <w:numPr>
                <w:ilvl w:val="0"/>
                <w:numId w:val="102"/>
              </w:numPr>
              <w:spacing w:after="0" w:line="240" w:lineRule="auto"/>
              <w:contextualSpacing/>
              <w:rPr>
                <w:rFonts w:asciiTheme="majorHAnsi" w:eastAsia="Times New Roman" w:hAnsiTheme="majorHAnsi" w:cstheme="majorHAnsi"/>
                <w:color w:val="000000"/>
                <w:sz w:val="20"/>
                <w:szCs w:val="20"/>
                <w:lang w:eastAsia="en-GB"/>
              </w:rPr>
            </w:pPr>
            <w:r w:rsidRPr="00A13762">
              <w:rPr>
                <w:rFonts w:asciiTheme="majorHAnsi" w:eastAsia="Times New Roman" w:hAnsiTheme="majorHAnsi" w:cstheme="majorHAnsi"/>
                <w:color w:val="000000"/>
                <w:sz w:val="20"/>
                <w:szCs w:val="20"/>
                <w:lang w:eastAsia="en-GB"/>
              </w:rPr>
              <w:t>Стратегија нискоугљеничког развоја за период од 2023. до 2030. године са пројекцијама до 2050. године</w:t>
            </w:r>
          </w:p>
        </w:tc>
      </w:tr>
      <w:tr w:rsidR="00854ADA" w:rsidRPr="00FF386D" w14:paraId="0827A20F" w14:textId="77777777" w:rsidTr="006E0ED7">
        <w:trPr>
          <w:trHeight w:val="315"/>
        </w:trPr>
        <w:tc>
          <w:tcPr>
            <w:tcW w:w="3323" w:type="dxa"/>
            <w:tcBorders>
              <w:top w:val="nil"/>
              <w:left w:val="single" w:sz="8" w:space="0" w:color="auto"/>
              <w:bottom w:val="single" w:sz="8" w:space="0" w:color="auto"/>
              <w:right w:val="single" w:sz="8" w:space="0" w:color="auto"/>
            </w:tcBorders>
            <w:shd w:val="clear" w:color="000000" w:fill="244062"/>
            <w:vAlign w:val="center"/>
            <w:hideMark/>
          </w:tcPr>
          <w:p w14:paraId="7C69A11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hAnsi="Calibri Light" w:cs="Calibri Light"/>
                <w:b/>
                <w:bCs/>
                <w:color w:val="FFFFFF"/>
                <w:sz w:val="20"/>
                <w:szCs w:val="20"/>
              </w:rPr>
              <w:t>Трошкови имплементације </w:t>
            </w:r>
          </w:p>
        </w:tc>
        <w:tc>
          <w:tcPr>
            <w:tcW w:w="6306" w:type="dxa"/>
            <w:gridSpan w:val="3"/>
            <w:tcBorders>
              <w:top w:val="single" w:sz="8" w:space="0" w:color="auto"/>
              <w:left w:val="nil"/>
              <w:bottom w:val="single" w:sz="8" w:space="0" w:color="auto"/>
              <w:right w:val="single" w:sz="8" w:space="0" w:color="000000"/>
            </w:tcBorders>
            <w:shd w:val="clear" w:color="auto" w:fill="auto"/>
            <w:vAlign w:val="center"/>
          </w:tcPr>
          <w:p w14:paraId="7B55082D"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1,4 милиона евра</w:t>
            </w:r>
          </w:p>
        </w:tc>
      </w:tr>
      <w:tr w:rsidR="00854ADA" w:rsidRPr="00FF386D" w14:paraId="03AC423C" w14:textId="77777777" w:rsidTr="006E0ED7">
        <w:trPr>
          <w:trHeight w:val="315"/>
        </w:trPr>
        <w:tc>
          <w:tcPr>
            <w:tcW w:w="3323" w:type="dxa"/>
            <w:tcBorders>
              <w:top w:val="nil"/>
              <w:left w:val="single" w:sz="8" w:space="0" w:color="auto"/>
              <w:bottom w:val="single" w:sz="8" w:space="0" w:color="auto"/>
              <w:right w:val="single" w:sz="8" w:space="0" w:color="auto"/>
            </w:tcBorders>
            <w:shd w:val="clear" w:color="000000" w:fill="244062"/>
            <w:vAlign w:val="center"/>
            <w:hideMark/>
          </w:tcPr>
          <w:p w14:paraId="7380C8B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hAnsi="Calibri Light" w:cs="Calibri Light"/>
                <w:b/>
                <w:bCs/>
                <w:color w:val="FFFFFF"/>
                <w:sz w:val="20"/>
                <w:szCs w:val="20"/>
              </w:rPr>
              <w:t>Извор(и) финансирања </w:t>
            </w:r>
          </w:p>
        </w:tc>
        <w:tc>
          <w:tcPr>
            <w:tcW w:w="6306" w:type="dxa"/>
            <w:gridSpan w:val="3"/>
            <w:tcBorders>
              <w:top w:val="single" w:sz="8" w:space="0" w:color="auto"/>
              <w:left w:val="nil"/>
              <w:bottom w:val="single" w:sz="8" w:space="0" w:color="auto"/>
              <w:right w:val="single" w:sz="8" w:space="0" w:color="000000"/>
            </w:tcBorders>
            <w:shd w:val="clear" w:color="auto" w:fill="auto"/>
            <w:vAlign w:val="center"/>
            <w:hideMark/>
          </w:tcPr>
          <w:p w14:paraId="2EA17903" w14:textId="07674AE4"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Фондови ЕУ и други фондови, </w:t>
            </w:r>
            <w:r w:rsidR="00F0625C" w:rsidRPr="00FF386D">
              <w:rPr>
                <w:rFonts w:asciiTheme="majorHAnsi" w:eastAsia="Times New Roman" w:hAnsiTheme="majorHAnsi" w:cstheme="majorHAnsi"/>
                <w:color w:val="000000"/>
                <w:sz w:val="20"/>
                <w:szCs w:val="20"/>
                <w:lang w:eastAsia="en-GB"/>
              </w:rPr>
              <w:t>буџетска средства</w:t>
            </w:r>
          </w:p>
        </w:tc>
      </w:tr>
    </w:tbl>
    <w:p w14:paraId="0275989F"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30"/>
        <w:gridCol w:w="951"/>
        <w:gridCol w:w="946"/>
        <w:gridCol w:w="4231"/>
      </w:tblGrid>
      <w:tr w:rsidR="00854ADA" w:rsidRPr="00FF386D" w14:paraId="7EE73F6D" w14:textId="77777777" w:rsidTr="0057310C">
        <w:trPr>
          <w:trHeight w:val="421"/>
        </w:trPr>
        <w:tc>
          <w:tcPr>
            <w:tcW w:w="3330"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746CAE4D"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Calibri Light" w:eastAsia="Times New Roman" w:hAnsi="Calibri Light" w:cs="Calibri Light"/>
                <w:b/>
                <w:bCs/>
                <w:color w:val="FFFFFF"/>
                <w:sz w:val="20"/>
                <w:szCs w:val="20"/>
                <w:lang w:eastAsia="en-GB"/>
              </w:rPr>
              <w:t>Шифра мере политике:</w:t>
            </w:r>
          </w:p>
        </w:tc>
        <w:tc>
          <w:tcPr>
            <w:tcW w:w="951" w:type="dxa"/>
            <w:tcBorders>
              <w:top w:val="single" w:sz="8" w:space="0" w:color="auto"/>
              <w:left w:val="nil"/>
              <w:bottom w:val="single" w:sz="8" w:space="0" w:color="auto"/>
              <w:right w:val="single" w:sz="8" w:space="0" w:color="auto"/>
            </w:tcBorders>
            <w:shd w:val="clear" w:color="auto" w:fill="E7E6E6" w:themeFill="background2"/>
            <w:vAlign w:val="center"/>
            <w:hideMark/>
          </w:tcPr>
          <w:p w14:paraId="0867B611"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eastAsia="Times New Roman" w:hAnsi="Calibri Light" w:cs="Calibri Light"/>
                <w:b/>
                <w:bCs/>
                <w:color w:val="000000"/>
                <w:sz w:val="20"/>
                <w:szCs w:val="20"/>
                <w:lang w:eastAsia="en-GB"/>
              </w:rPr>
              <w:t>МП_Д3</w:t>
            </w:r>
          </w:p>
        </w:tc>
        <w:tc>
          <w:tcPr>
            <w:tcW w:w="946" w:type="dxa"/>
            <w:tcBorders>
              <w:top w:val="single" w:sz="8" w:space="0" w:color="auto"/>
              <w:left w:val="nil"/>
              <w:bottom w:val="single" w:sz="8" w:space="0" w:color="auto"/>
              <w:right w:val="single" w:sz="8" w:space="0" w:color="auto"/>
            </w:tcBorders>
            <w:shd w:val="clear" w:color="000000" w:fill="244062"/>
            <w:vAlign w:val="center"/>
            <w:hideMark/>
          </w:tcPr>
          <w:p w14:paraId="0DC0588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eastAsia="Times New Roman" w:hAnsi="Calibri Light" w:cs="Calibri Light"/>
                <w:b/>
                <w:bCs/>
                <w:color w:val="FFFFFF"/>
                <w:sz w:val="20"/>
                <w:szCs w:val="20"/>
                <w:lang w:eastAsia="en-GB"/>
              </w:rPr>
              <w:t xml:space="preserve">Назив: </w:t>
            </w:r>
          </w:p>
        </w:tc>
        <w:tc>
          <w:tcPr>
            <w:tcW w:w="4231" w:type="dxa"/>
            <w:tcBorders>
              <w:top w:val="single" w:sz="8" w:space="0" w:color="auto"/>
              <w:left w:val="nil"/>
              <w:bottom w:val="single" w:sz="8" w:space="0" w:color="auto"/>
              <w:right w:val="single" w:sz="8" w:space="0" w:color="auto"/>
            </w:tcBorders>
            <w:shd w:val="clear" w:color="auto" w:fill="E7E6E6" w:themeFill="background2"/>
            <w:vAlign w:val="center"/>
            <w:hideMark/>
          </w:tcPr>
          <w:p w14:paraId="27122A23" w14:textId="77777777" w:rsidR="00854ADA" w:rsidRPr="00FF386D" w:rsidRDefault="00854ADA" w:rsidP="00854ADA">
            <w:pPr>
              <w:spacing w:after="0" w:line="240" w:lineRule="auto"/>
              <w:rPr>
                <w:rFonts w:ascii="Calibri Light" w:eastAsia="Times New Roman" w:hAnsi="Calibri Light" w:cs="Calibri Light"/>
                <w:b/>
                <w:bCs/>
                <w:color w:val="000000"/>
                <w:sz w:val="20"/>
                <w:szCs w:val="20"/>
                <w:lang w:eastAsia="en-GB"/>
              </w:rPr>
            </w:pPr>
            <w:r w:rsidRPr="00FF386D">
              <w:rPr>
                <w:rFonts w:ascii="Calibri Light" w:eastAsia="Times New Roman" w:hAnsi="Calibri Light" w:cs="Calibri Light"/>
                <w:b/>
                <w:bCs/>
                <w:color w:val="000000"/>
                <w:sz w:val="20"/>
                <w:szCs w:val="20"/>
                <w:lang w:eastAsia="en-GB"/>
              </w:rPr>
              <w:t>Промовисање циркуларне економије</w:t>
            </w:r>
          </w:p>
        </w:tc>
      </w:tr>
      <w:tr w:rsidR="00854ADA" w:rsidRPr="00FF386D" w14:paraId="309186F9" w14:textId="77777777" w:rsidTr="000A2AFE">
        <w:trPr>
          <w:trHeight w:val="474"/>
        </w:trPr>
        <w:tc>
          <w:tcPr>
            <w:tcW w:w="3330" w:type="dxa"/>
            <w:tcBorders>
              <w:top w:val="nil"/>
              <w:left w:val="single" w:sz="8" w:space="0" w:color="auto"/>
              <w:bottom w:val="single" w:sz="8" w:space="0" w:color="auto"/>
              <w:right w:val="nil"/>
            </w:tcBorders>
            <w:shd w:val="clear" w:color="000000" w:fill="244062"/>
            <w:vAlign w:val="center"/>
            <w:hideMark/>
          </w:tcPr>
          <w:p w14:paraId="08793A1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2DB5BFF3" w14:textId="77777777" w:rsidR="00854ADA" w:rsidRPr="00FF386D" w:rsidRDefault="00854ADA" w:rsidP="00B15302">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Смањење емисија гасова са ефектом стаклене баште</w:t>
            </w:r>
          </w:p>
        </w:tc>
      </w:tr>
      <w:tr w:rsidR="00854ADA" w:rsidRPr="00FF386D" w14:paraId="326C8833"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59F3D30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128" w:type="dxa"/>
            <w:gridSpan w:val="3"/>
            <w:tcBorders>
              <w:top w:val="single" w:sz="8" w:space="0" w:color="auto"/>
              <w:left w:val="nil"/>
              <w:bottom w:val="single" w:sz="8" w:space="0" w:color="auto"/>
              <w:right w:val="single" w:sz="8" w:space="0" w:color="000000"/>
            </w:tcBorders>
            <w:shd w:val="clear" w:color="auto" w:fill="auto"/>
            <w:hideMark/>
          </w:tcPr>
          <w:p w14:paraId="79F47655" w14:textId="79844C74" w:rsidR="00854ADA" w:rsidRPr="00FF386D" w:rsidRDefault="00B15302" w:rsidP="00854ADA">
            <w:pPr>
              <w:spacing w:after="0" w:line="240" w:lineRule="auto"/>
              <w:jc w:val="both"/>
              <w:rPr>
                <w:rFonts w:asciiTheme="majorHAnsi" w:eastAsia="Times New Roman" w:hAnsiTheme="majorHAnsi" w:cstheme="majorHAnsi"/>
                <w:color w:val="000000"/>
                <w:sz w:val="20"/>
                <w:szCs w:val="20"/>
                <w:lang w:eastAsia="en-GB"/>
              </w:rPr>
            </w:pPr>
            <w:r w:rsidRPr="00B15302">
              <w:rPr>
                <w:rFonts w:asciiTheme="majorHAnsi" w:eastAsia="Times New Roman" w:hAnsiTheme="majorHAnsi" w:cstheme="majorHAnsi"/>
                <w:color w:val="000000"/>
                <w:sz w:val="20"/>
                <w:szCs w:val="20"/>
                <w:lang w:eastAsia="en-GB"/>
              </w:rPr>
              <w:t xml:space="preserve">Смањење емисија </w:t>
            </w:r>
            <w:r w:rsidRPr="000A2AFE">
              <w:rPr>
                <w:rFonts w:asciiTheme="majorHAnsi" w:eastAsia="Times New Roman" w:hAnsiTheme="majorHAnsi" w:cstheme="majorHAnsi"/>
                <w:i/>
                <w:iCs/>
                <w:color w:val="000000"/>
                <w:sz w:val="20"/>
                <w:szCs w:val="20"/>
                <w:lang w:eastAsia="en-GB"/>
              </w:rPr>
              <w:t>GHG</w:t>
            </w:r>
            <w:r w:rsidRPr="00B15302">
              <w:rPr>
                <w:rFonts w:asciiTheme="majorHAnsi" w:eastAsia="Times New Roman" w:hAnsiTheme="majorHAnsi" w:cstheme="majorHAnsi"/>
                <w:color w:val="000000"/>
                <w:sz w:val="20"/>
                <w:szCs w:val="20"/>
                <w:lang w:eastAsia="en-GB"/>
              </w:rPr>
              <w:t xml:space="preserve"> у сектору отпада за 13% до 2030. године у поређењу са 2010. годином</w:t>
            </w:r>
          </w:p>
        </w:tc>
      </w:tr>
      <w:tr w:rsidR="00854ADA" w:rsidRPr="00FF386D" w14:paraId="28EB21CE" w14:textId="77777777" w:rsidTr="00565B02">
        <w:trPr>
          <w:trHeight w:val="547"/>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08B1E6F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eastAsia="Times New Roman" w:hAnsi="Calibri Light" w:cs="Calibri Light"/>
                <w:b/>
                <w:bCs/>
                <w:color w:val="FFFFFF"/>
                <w:sz w:val="20"/>
                <w:szCs w:val="20"/>
                <w:lang w:eastAsia="en-GB"/>
              </w:rPr>
              <w:t>Опис:</w:t>
            </w:r>
          </w:p>
        </w:tc>
        <w:tc>
          <w:tcPr>
            <w:tcW w:w="6128" w:type="dxa"/>
            <w:gridSpan w:val="3"/>
            <w:tcBorders>
              <w:top w:val="single" w:sz="8" w:space="0" w:color="auto"/>
              <w:left w:val="nil"/>
              <w:bottom w:val="single" w:sz="8" w:space="0" w:color="auto"/>
              <w:right w:val="single" w:sz="8" w:space="0" w:color="000000"/>
            </w:tcBorders>
            <w:shd w:val="clear" w:color="auto" w:fill="auto"/>
            <w:hideMark/>
          </w:tcPr>
          <w:p w14:paraId="2BF674CA" w14:textId="3F01DADB" w:rsidR="00854ADA" w:rsidRPr="00FF386D" w:rsidRDefault="00854ADA" w:rsidP="00854ADA">
            <w:pPr>
              <w:spacing w:after="0" w:line="240" w:lineRule="auto"/>
              <w:jc w:val="both"/>
              <w:rPr>
                <w:rFonts w:asciiTheme="majorHAnsi" w:hAnsiTheme="majorHAnsi" w:cstheme="majorHAnsi"/>
                <w:sz w:val="20"/>
                <w:szCs w:val="20"/>
                <w:lang w:eastAsia="en-GB"/>
              </w:rPr>
            </w:pPr>
            <w:r w:rsidRPr="00FF386D">
              <w:rPr>
                <w:rFonts w:asciiTheme="majorHAnsi" w:hAnsiTheme="majorHAnsi" w:cstheme="majorHAnsi"/>
                <w:sz w:val="20"/>
                <w:szCs w:val="20"/>
              </w:rPr>
              <w:t>МП_</w:t>
            </w:r>
            <w:r w:rsidR="009C5283" w:rsidRPr="00FF386D">
              <w:rPr>
                <w:rFonts w:asciiTheme="majorHAnsi" w:hAnsiTheme="majorHAnsi" w:cstheme="majorHAnsi"/>
                <w:sz w:val="20"/>
                <w:szCs w:val="20"/>
              </w:rPr>
              <w:t xml:space="preserve">Д3 </w:t>
            </w:r>
            <w:r w:rsidRPr="00FF386D">
              <w:rPr>
                <w:rFonts w:asciiTheme="majorHAnsi" w:hAnsiTheme="majorHAnsi" w:cstheme="majorHAnsi"/>
                <w:sz w:val="20"/>
                <w:szCs w:val="20"/>
              </w:rPr>
              <w:t xml:space="preserve">ће промовисати активности у складу са </w:t>
            </w:r>
            <w:r w:rsidR="00B15302" w:rsidRPr="00B15302">
              <w:rPr>
                <w:rFonts w:asciiTheme="majorHAnsi" w:hAnsiTheme="majorHAnsi" w:cstheme="majorHAnsi"/>
                <w:sz w:val="20"/>
                <w:szCs w:val="20"/>
              </w:rPr>
              <w:t>Програмом развоја циркуларне економије у Републици Србији за период 2022-2024</w:t>
            </w:r>
            <w:r w:rsidR="00BE1F44" w:rsidRPr="00FF386D">
              <w:rPr>
                <w:rFonts w:asciiTheme="majorHAnsi" w:hAnsiTheme="majorHAnsi" w:cstheme="majorHAnsi"/>
                <w:sz w:val="20"/>
                <w:szCs w:val="20"/>
              </w:rPr>
              <w:t>,</w:t>
            </w:r>
            <w:r w:rsidRPr="00FF386D">
              <w:rPr>
                <w:rFonts w:asciiTheme="majorHAnsi" w:hAnsiTheme="majorHAnsi" w:cstheme="majorHAnsi"/>
                <w:sz w:val="20"/>
                <w:szCs w:val="20"/>
              </w:rPr>
              <w:t xml:space="preserve"> </w:t>
            </w:r>
            <w:r w:rsidR="00BE1F44" w:rsidRPr="00FF386D">
              <w:rPr>
                <w:rFonts w:asciiTheme="majorHAnsi" w:hAnsiTheme="majorHAnsi" w:cstheme="majorHAnsi"/>
                <w:sz w:val="20"/>
                <w:szCs w:val="20"/>
              </w:rPr>
              <w:t>с циљем да се пређе</w:t>
            </w:r>
            <w:r w:rsidRPr="00FF386D">
              <w:rPr>
                <w:rFonts w:asciiTheme="majorHAnsi" w:hAnsiTheme="majorHAnsi" w:cstheme="majorHAnsi"/>
                <w:sz w:val="20"/>
                <w:szCs w:val="20"/>
              </w:rPr>
              <w:t xml:space="preserve"> на </w:t>
            </w:r>
            <w:r w:rsidR="00756B5D" w:rsidRPr="00FF386D">
              <w:rPr>
                <w:rFonts w:asciiTheme="majorHAnsi" w:hAnsiTheme="majorHAnsi" w:cstheme="majorHAnsi"/>
                <w:sz w:val="20"/>
                <w:szCs w:val="20"/>
              </w:rPr>
              <w:t>циркуларни модел</w:t>
            </w:r>
            <w:r w:rsidRPr="00FF386D">
              <w:rPr>
                <w:rFonts w:asciiTheme="majorHAnsi" w:hAnsiTheme="majorHAnsi" w:cstheme="majorHAnsi"/>
                <w:sz w:val="20"/>
                <w:szCs w:val="20"/>
              </w:rPr>
              <w:t xml:space="preserve"> који може да доведе до значајног смањења емисије гасова са ефектом стаклене баште путем </w:t>
            </w:r>
            <w:r w:rsidR="00756B5D" w:rsidRPr="00FF386D">
              <w:rPr>
                <w:rFonts w:asciiTheme="majorHAnsi" w:hAnsiTheme="majorHAnsi" w:cstheme="majorHAnsi"/>
                <w:sz w:val="20"/>
                <w:szCs w:val="20"/>
              </w:rPr>
              <w:t>рециклаже</w:t>
            </w:r>
            <w:r w:rsidRPr="00FF386D">
              <w:rPr>
                <w:rFonts w:asciiTheme="majorHAnsi" w:hAnsiTheme="majorHAnsi" w:cstheme="majorHAnsi"/>
                <w:sz w:val="20"/>
                <w:szCs w:val="20"/>
              </w:rPr>
              <w:t xml:space="preserve"> и поновне употребе материјала, ефикаснијег коришћења ресурса и еколошки прихватљивијег дизајна производа, као и увођењ</w:t>
            </w:r>
            <w:r w:rsidR="00756B5D" w:rsidRPr="00FF386D">
              <w:rPr>
                <w:rFonts w:asciiTheme="majorHAnsi" w:hAnsiTheme="majorHAnsi" w:cstheme="majorHAnsi"/>
                <w:sz w:val="20"/>
                <w:szCs w:val="20"/>
              </w:rPr>
              <w:t>ем</w:t>
            </w:r>
            <w:r w:rsidRPr="00FF386D">
              <w:rPr>
                <w:rFonts w:asciiTheme="majorHAnsi" w:hAnsiTheme="majorHAnsi" w:cstheme="majorHAnsi"/>
                <w:sz w:val="20"/>
                <w:szCs w:val="20"/>
              </w:rPr>
              <w:t xml:space="preserve"> нових „циркуларних“ пословних модела, посебно у индустрији, </w:t>
            </w:r>
            <w:r w:rsidR="00756B5D" w:rsidRPr="00FF386D">
              <w:rPr>
                <w:rFonts w:asciiTheme="majorHAnsi" w:hAnsiTheme="majorHAnsi" w:cstheme="majorHAnsi"/>
                <w:sz w:val="20"/>
                <w:szCs w:val="20"/>
              </w:rPr>
              <w:t>саобраћају</w:t>
            </w:r>
            <w:r w:rsidRPr="00FF386D">
              <w:rPr>
                <w:rFonts w:asciiTheme="majorHAnsi" w:hAnsiTheme="majorHAnsi" w:cstheme="majorHAnsi"/>
                <w:sz w:val="20"/>
                <w:szCs w:val="20"/>
              </w:rPr>
              <w:t xml:space="preserve"> и изграђеном окружењу. </w:t>
            </w:r>
            <w:r w:rsidR="00756B5D" w:rsidRPr="00FF386D">
              <w:rPr>
                <w:rFonts w:asciiTheme="majorHAnsi" w:hAnsiTheme="majorHAnsi" w:cstheme="majorHAnsi"/>
                <w:sz w:val="20"/>
                <w:szCs w:val="20"/>
              </w:rPr>
              <w:t xml:space="preserve">Размотриће се </w:t>
            </w:r>
            <w:r w:rsidRPr="00FF386D">
              <w:rPr>
                <w:rFonts w:asciiTheme="majorHAnsi" w:hAnsiTheme="majorHAnsi" w:cstheme="majorHAnsi"/>
                <w:sz w:val="20"/>
                <w:szCs w:val="20"/>
              </w:rPr>
              <w:t xml:space="preserve">и низ </w:t>
            </w:r>
            <w:r w:rsidRPr="00FF386D">
              <w:rPr>
                <w:rFonts w:asciiTheme="majorHAnsi" w:hAnsiTheme="majorHAnsi" w:cstheme="majorHAnsi"/>
                <w:sz w:val="20"/>
                <w:szCs w:val="20"/>
              </w:rPr>
              <w:lastRenderedPageBreak/>
              <w:t>активности за развој финансијских инструмената, планирање и успостављање регулаторног оквира.</w:t>
            </w:r>
          </w:p>
        </w:tc>
      </w:tr>
      <w:tr w:rsidR="00854ADA" w:rsidRPr="00FF386D" w14:paraId="44515948"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5F7CAD0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hAnsi="Calibri Light" w:cs="Calibri Light"/>
                <w:b/>
                <w:bCs/>
                <w:color w:val="FFFFFF"/>
                <w:sz w:val="20"/>
                <w:szCs w:val="20"/>
              </w:rPr>
              <w:lastRenderedPageBreak/>
              <w:t>Временски оквир имплементације</w:t>
            </w:r>
          </w:p>
        </w:tc>
        <w:tc>
          <w:tcPr>
            <w:tcW w:w="6128" w:type="dxa"/>
            <w:gridSpan w:val="3"/>
            <w:tcBorders>
              <w:top w:val="single" w:sz="8" w:space="0" w:color="auto"/>
              <w:left w:val="nil"/>
              <w:bottom w:val="single" w:sz="8" w:space="0" w:color="auto"/>
              <w:right w:val="single" w:sz="8" w:space="0" w:color="000000"/>
            </w:tcBorders>
            <w:shd w:val="clear" w:color="auto" w:fill="auto"/>
            <w:hideMark/>
          </w:tcPr>
          <w:p w14:paraId="4D07EE64" w14:textId="3EDFFF33" w:rsidR="00854ADA" w:rsidRPr="00FF386D" w:rsidRDefault="00B15302"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202</w:t>
            </w:r>
            <w:r>
              <w:rPr>
                <w:rFonts w:asciiTheme="majorHAnsi" w:hAnsiTheme="majorHAnsi" w:cstheme="majorHAnsi"/>
                <w:sz w:val="20"/>
                <w:szCs w:val="20"/>
              </w:rPr>
              <w:t>4</w:t>
            </w:r>
            <w:r w:rsidR="00854ADA" w:rsidRPr="00FF386D">
              <w:rPr>
                <w:rFonts w:asciiTheme="majorHAnsi" w:hAnsiTheme="majorHAnsi" w:cstheme="majorHAnsi"/>
                <w:sz w:val="20"/>
                <w:szCs w:val="20"/>
              </w:rPr>
              <w:t>-2030.</w:t>
            </w:r>
          </w:p>
        </w:tc>
      </w:tr>
      <w:tr w:rsidR="00854ADA" w:rsidRPr="00FF386D" w14:paraId="3BE123ED"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tcPr>
          <w:p w14:paraId="7FDAE8A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128" w:type="dxa"/>
            <w:gridSpan w:val="3"/>
            <w:tcBorders>
              <w:top w:val="single" w:sz="8" w:space="0" w:color="auto"/>
              <w:left w:val="nil"/>
              <w:bottom w:val="single" w:sz="8" w:space="0" w:color="auto"/>
              <w:right w:val="single" w:sz="8" w:space="0" w:color="000000"/>
            </w:tcBorders>
            <w:shd w:val="clear" w:color="auto" w:fill="auto"/>
            <w:hideMark/>
          </w:tcPr>
          <w:p w14:paraId="0C1C7C81"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Реформа</w:t>
            </w:r>
          </w:p>
        </w:tc>
      </w:tr>
      <w:tr w:rsidR="00854ADA" w:rsidRPr="00FF386D" w14:paraId="5F2CC379"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tcPr>
          <w:p w14:paraId="472C046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hAnsi="Calibri Light" w:cs="Calibri Light"/>
                <w:b/>
                <w:bCs/>
                <w:color w:val="FFFFFF"/>
                <w:sz w:val="20"/>
                <w:szCs w:val="20"/>
              </w:rPr>
              <w:t>Покривени/ обухваћени сектори</w:t>
            </w:r>
          </w:p>
        </w:tc>
        <w:tc>
          <w:tcPr>
            <w:tcW w:w="6128" w:type="dxa"/>
            <w:gridSpan w:val="3"/>
            <w:tcBorders>
              <w:top w:val="single" w:sz="8" w:space="0" w:color="auto"/>
              <w:left w:val="nil"/>
              <w:bottom w:val="single" w:sz="8" w:space="0" w:color="auto"/>
              <w:right w:val="single" w:sz="8" w:space="0" w:color="000000"/>
            </w:tcBorders>
            <w:shd w:val="clear" w:color="auto" w:fill="auto"/>
            <w:hideMark/>
          </w:tcPr>
          <w:p w14:paraId="7EB0C970" w14:textId="48DF8D91"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 xml:space="preserve">Све области </w:t>
            </w:r>
            <w:r w:rsidR="00756B5D" w:rsidRPr="00FF386D">
              <w:rPr>
                <w:rFonts w:asciiTheme="majorHAnsi" w:hAnsiTheme="majorHAnsi" w:cstheme="majorHAnsi"/>
                <w:sz w:val="20"/>
                <w:szCs w:val="20"/>
              </w:rPr>
              <w:t>И</w:t>
            </w:r>
            <w:r w:rsidRPr="00FF386D">
              <w:rPr>
                <w:rFonts w:asciiTheme="majorHAnsi" w:hAnsiTheme="majorHAnsi" w:cstheme="majorHAnsi"/>
                <w:sz w:val="20"/>
                <w:szCs w:val="20"/>
              </w:rPr>
              <w:t>НЕКП</w:t>
            </w:r>
            <w:r w:rsidR="00756B5D" w:rsidRPr="00FF386D">
              <w:rPr>
                <w:rFonts w:asciiTheme="majorHAnsi" w:hAnsiTheme="majorHAnsi" w:cstheme="majorHAnsi"/>
                <w:sz w:val="20"/>
                <w:szCs w:val="20"/>
              </w:rPr>
              <w:t>-а</w:t>
            </w:r>
          </w:p>
        </w:tc>
      </w:tr>
      <w:tr w:rsidR="00854ADA" w:rsidRPr="00FF386D" w14:paraId="4B63D4DE" w14:textId="77777777" w:rsidTr="0057310C">
        <w:trPr>
          <w:trHeight w:val="315"/>
        </w:trPr>
        <w:tc>
          <w:tcPr>
            <w:tcW w:w="3330" w:type="dxa"/>
            <w:tcBorders>
              <w:top w:val="single" w:sz="8" w:space="0" w:color="auto"/>
              <w:left w:val="single" w:sz="8" w:space="0" w:color="auto"/>
              <w:bottom w:val="single" w:sz="8" w:space="0" w:color="auto"/>
              <w:right w:val="single" w:sz="4" w:space="0" w:color="auto"/>
            </w:tcBorders>
            <w:shd w:val="clear" w:color="000000" w:fill="244062"/>
            <w:vAlign w:val="center"/>
          </w:tcPr>
          <w:p w14:paraId="5353E77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hAnsi="Calibri Light" w:cs="Calibri Light"/>
                <w:b/>
                <w:bCs/>
                <w:color w:val="FFFFFF"/>
                <w:sz w:val="20"/>
                <w:szCs w:val="20"/>
              </w:rPr>
              <w:t>Извршни орган</w:t>
            </w:r>
          </w:p>
        </w:tc>
        <w:tc>
          <w:tcPr>
            <w:tcW w:w="6128" w:type="dxa"/>
            <w:gridSpan w:val="3"/>
            <w:tcBorders>
              <w:top w:val="single" w:sz="8" w:space="0" w:color="auto"/>
              <w:left w:val="single" w:sz="4" w:space="0" w:color="auto"/>
              <w:bottom w:val="single" w:sz="8" w:space="0" w:color="auto"/>
              <w:right w:val="single" w:sz="8" w:space="0" w:color="000000"/>
            </w:tcBorders>
            <w:shd w:val="clear" w:color="auto" w:fill="auto"/>
            <w:hideMark/>
          </w:tcPr>
          <w:p w14:paraId="54E40A16" w14:textId="77777777" w:rsidR="00854ADA" w:rsidRPr="00FF386D" w:rsidRDefault="00854ADA" w:rsidP="00854ADA">
            <w:pPr>
              <w:numPr>
                <w:ilvl w:val="0"/>
                <w:numId w:val="10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Министарство заштите животне средине</w:t>
            </w:r>
          </w:p>
        </w:tc>
      </w:tr>
      <w:tr w:rsidR="00854ADA" w:rsidRPr="00FF386D" w14:paraId="30A388CD" w14:textId="77777777" w:rsidTr="0057310C">
        <w:trPr>
          <w:trHeight w:val="315"/>
        </w:trPr>
        <w:tc>
          <w:tcPr>
            <w:tcW w:w="3330" w:type="dxa"/>
            <w:tcBorders>
              <w:top w:val="single" w:sz="8" w:space="0" w:color="auto"/>
              <w:left w:val="single" w:sz="8" w:space="0" w:color="auto"/>
              <w:bottom w:val="single" w:sz="8" w:space="0" w:color="auto"/>
              <w:right w:val="single" w:sz="4" w:space="0" w:color="auto"/>
            </w:tcBorders>
            <w:shd w:val="clear" w:color="000000" w:fill="244062"/>
            <w:vAlign w:val="center"/>
          </w:tcPr>
          <w:p w14:paraId="4FEA318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hAnsi="Calibri Light" w:cs="Calibri Light"/>
                <w:b/>
                <w:bCs/>
                <w:color w:val="FFFFFF"/>
                <w:sz w:val="20"/>
                <w:szCs w:val="20"/>
              </w:rPr>
              <w:t>Тело за праћење</w:t>
            </w:r>
          </w:p>
        </w:tc>
        <w:tc>
          <w:tcPr>
            <w:tcW w:w="6128" w:type="dxa"/>
            <w:gridSpan w:val="3"/>
            <w:tcBorders>
              <w:top w:val="single" w:sz="8" w:space="0" w:color="auto"/>
              <w:left w:val="single" w:sz="4" w:space="0" w:color="auto"/>
              <w:bottom w:val="single" w:sz="8" w:space="0" w:color="auto"/>
              <w:right w:val="single" w:sz="8" w:space="0" w:color="000000"/>
            </w:tcBorders>
            <w:shd w:val="clear" w:color="auto" w:fill="auto"/>
            <w:hideMark/>
          </w:tcPr>
          <w:p w14:paraId="667BAD16" w14:textId="77777777" w:rsidR="00854ADA" w:rsidRPr="00FF386D" w:rsidRDefault="00854ADA" w:rsidP="00854ADA">
            <w:pPr>
              <w:numPr>
                <w:ilvl w:val="0"/>
                <w:numId w:val="102"/>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Министарство заштите животне средине</w:t>
            </w:r>
          </w:p>
          <w:p w14:paraId="31AC0E0B" w14:textId="77777777" w:rsidR="00854ADA" w:rsidRPr="00FF386D" w:rsidRDefault="00854ADA" w:rsidP="00854ADA">
            <w:pPr>
              <w:numPr>
                <w:ilvl w:val="0"/>
                <w:numId w:val="102"/>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Агенција за заштиту животне средине</w:t>
            </w:r>
          </w:p>
        </w:tc>
      </w:tr>
      <w:tr w:rsidR="00854ADA" w:rsidRPr="00FF386D" w14:paraId="5FF1D57F"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tcPr>
          <w:p w14:paraId="0CC3DAE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hAnsi="Calibri Light" w:cs="Calibri Light"/>
                <w:b/>
                <w:bCs/>
                <w:color w:val="FFFFFF"/>
                <w:sz w:val="20"/>
                <w:szCs w:val="20"/>
              </w:rPr>
              <w:t>Индикатори напретка</w:t>
            </w:r>
          </w:p>
        </w:tc>
        <w:tc>
          <w:tcPr>
            <w:tcW w:w="6128" w:type="dxa"/>
            <w:gridSpan w:val="3"/>
            <w:tcBorders>
              <w:top w:val="single" w:sz="8" w:space="0" w:color="auto"/>
              <w:left w:val="nil"/>
              <w:bottom w:val="single" w:sz="8" w:space="0" w:color="auto"/>
              <w:right w:val="single" w:sz="8" w:space="0" w:color="000000"/>
            </w:tcBorders>
            <w:shd w:val="clear" w:color="auto" w:fill="auto"/>
            <w:hideMark/>
          </w:tcPr>
          <w:p w14:paraId="50B236EC" w14:textId="77777777" w:rsidR="00854ADA" w:rsidRPr="000A2AFE" w:rsidRDefault="00854ADA" w:rsidP="000A2AFE">
            <w:pPr>
              <w:pStyle w:val="ListParagraph"/>
              <w:numPr>
                <w:ilvl w:val="0"/>
                <w:numId w:val="356"/>
              </w:numPr>
              <w:spacing w:after="0" w:line="240" w:lineRule="auto"/>
              <w:rPr>
                <w:rFonts w:asciiTheme="majorHAnsi" w:eastAsia="Times New Roman" w:hAnsiTheme="majorHAnsi" w:cstheme="majorHAnsi"/>
                <w:color w:val="000000"/>
                <w:sz w:val="20"/>
                <w:szCs w:val="20"/>
                <w:lang w:eastAsia="en-GB"/>
              </w:rPr>
            </w:pPr>
            <w:r w:rsidRPr="000A2AFE">
              <w:rPr>
                <w:rFonts w:asciiTheme="majorHAnsi" w:hAnsiTheme="majorHAnsi" w:cstheme="majorHAnsi"/>
                <w:sz w:val="20"/>
                <w:szCs w:val="20"/>
              </w:rPr>
              <w:t xml:space="preserve">Годишње смањење емисија </w:t>
            </w:r>
            <w:r w:rsidRPr="000A2AFE">
              <w:rPr>
                <w:rFonts w:ascii="Calibri Light" w:eastAsia="Times New Roman" w:hAnsi="Calibri Light" w:cs="Calibri Light"/>
                <w:color w:val="000000"/>
                <w:sz w:val="20"/>
                <w:szCs w:val="20"/>
                <w:lang w:eastAsia="en-GB"/>
              </w:rPr>
              <w:t>(Gg CO</w:t>
            </w:r>
            <w:r w:rsidRPr="000A2AFE">
              <w:rPr>
                <w:rFonts w:ascii="Calibri Light" w:eastAsia="Times New Roman" w:hAnsi="Calibri Light" w:cs="Calibri Light"/>
                <w:color w:val="000000"/>
                <w:sz w:val="20"/>
                <w:szCs w:val="20"/>
                <w:vertAlign w:val="subscript"/>
                <w:lang w:eastAsia="en-GB"/>
              </w:rPr>
              <w:t>2</w:t>
            </w:r>
            <w:r w:rsidRPr="000A2AFE">
              <w:rPr>
                <w:rFonts w:ascii="Calibri Light" w:eastAsia="Times New Roman" w:hAnsi="Calibri Light" w:cs="Calibri Light"/>
                <w:color w:val="000000"/>
                <w:sz w:val="20"/>
                <w:szCs w:val="20"/>
                <w:lang w:eastAsia="en-GB"/>
              </w:rPr>
              <w:t>-eq)</w:t>
            </w:r>
          </w:p>
        </w:tc>
      </w:tr>
      <w:tr w:rsidR="00854ADA" w:rsidRPr="00FF386D" w14:paraId="0D9DEF46" w14:textId="77777777" w:rsidTr="0057310C">
        <w:trPr>
          <w:trHeight w:val="621"/>
        </w:trPr>
        <w:tc>
          <w:tcPr>
            <w:tcW w:w="3330" w:type="dxa"/>
            <w:tcBorders>
              <w:top w:val="nil"/>
              <w:left w:val="single" w:sz="8" w:space="0" w:color="auto"/>
              <w:bottom w:val="single" w:sz="8" w:space="0" w:color="auto"/>
              <w:right w:val="single" w:sz="8" w:space="0" w:color="auto"/>
            </w:tcBorders>
            <w:shd w:val="clear" w:color="000000" w:fill="244062"/>
            <w:vAlign w:val="center"/>
          </w:tcPr>
          <w:p w14:paraId="5B985A3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eastAsia="Times New Roman" w:hAnsi="Calibri Light" w:cs="Calibri Light"/>
                <w:b/>
                <w:bCs/>
                <w:color w:val="FFFFFF"/>
                <w:sz w:val="20"/>
                <w:szCs w:val="20"/>
                <w:lang w:eastAsia="en-GB"/>
              </w:rPr>
              <w:t>Друге релевантне обухваћене димензије Енергетске уније</w:t>
            </w:r>
          </w:p>
        </w:tc>
        <w:tc>
          <w:tcPr>
            <w:tcW w:w="6128" w:type="dxa"/>
            <w:gridSpan w:val="3"/>
            <w:tcBorders>
              <w:top w:val="single" w:sz="8" w:space="0" w:color="auto"/>
              <w:left w:val="nil"/>
              <w:bottom w:val="single" w:sz="8" w:space="0" w:color="auto"/>
              <w:right w:val="single" w:sz="8" w:space="0" w:color="000000"/>
            </w:tcBorders>
            <w:shd w:val="clear" w:color="auto" w:fill="auto"/>
          </w:tcPr>
          <w:p w14:paraId="7EC95A66"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p>
        </w:tc>
      </w:tr>
      <w:tr w:rsidR="00854ADA" w:rsidRPr="00FF386D" w14:paraId="2944C319" w14:textId="77777777" w:rsidTr="000A2AFE">
        <w:trPr>
          <w:trHeight w:val="450"/>
        </w:trPr>
        <w:tc>
          <w:tcPr>
            <w:tcW w:w="3330"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7EF0F969" w14:textId="3C529FA4"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Политике Уније која су резултирале</w:t>
            </w:r>
            <w:r w:rsidR="008A1B30" w:rsidRPr="000A2AFE">
              <w:rPr>
                <w:rFonts w:ascii="Calibri Light" w:eastAsia="Times New Roman" w:hAnsi="Calibri Light" w:cs="Calibri Light"/>
                <w:b/>
                <w:bCs/>
                <w:color w:val="FFFFFF"/>
                <w:sz w:val="20"/>
                <w:szCs w:val="20"/>
                <w:lang w:eastAsia="en-GB"/>
              </w:rPr>
              <w:t xml:space="preserve"> </w:t>
            </w:r>
            <w:r w:rsidR="00854ADA" w:rsidRPr="000A2AFE">
              <w:rPr>
                <w:rFonts w:ascii="Calibri Light" w:eastAsia="Times New Roman" w:hAnsi="Calibri Light" w:cs="Calibri Light"/>
                <w:b/>
                <w:bCs/>
                <w:color w:val="FFFFFF"/>
                <w:sz w:val="20"/>
                <w:szCs w:val="20"/>
                <w:lang w:eastAsia="en-GB"/>
              </w:rPr>
              <w:t>имплементацијом ове МП</w:t>
            </w:r>
          </w:p>
        </w:tc>
        <w:tc>
          <w:tcPr>
            <w:tcW w:w="6128"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6671728F" w14:textId="4F5F48DD" w:rsidR="00854ADA" w:rsidRPr="00FF386D" w:rsidRDefault="00854ADA" w:rsidP="000A2AFE">
            <w:pPr>
              <w:numPr>
                <w:ilvl w:val="0"/>
                <w:numId w:val="102"/>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Уредба 2018/</w:t>
            </w:r>
            <w:r w:rsidR="00B15302" w:rsidRPr="00B15302">
              <w:rPr>
                <w:rFonts w:asciiTheme="majorHAnsi" w:hAnsiTheme="majorHAnsi" w:cstheme="majorHAnsi"/>
                <w:sz w:val="20"/>
                <w:szCs w:val="20"/>
              </w:rPr>
              <w:t>1999</w:t>
            </w:r>
          </w:p>
        </w:tc>
      </w:tr>
      <w:tr w:rsidR="00854ADA" w:rsidRPr="00FF386D" w14:paraId="4AC4E362" w14:textId="77777777" w:rsidTr="0057310C">
        <w:trPr>
          <w:trHeight w:val="450"/>
        </w:trPr>
        <w:tc>
          <w:tcPr>
            <w:tcW w:w="3330" w:type="dxa"/>
            <w:vMerge/>
            <w:tcBorders>
              <w:top w:val="nil"/>
              <w:left w:val="single" w:sz="8" w:space="0" w:color="auto"/>
              <w:bottom w:val="single" w:sz="8" w:space="0" w:color="000000"/>
              <w:right w:val="single" w:sz="8" w:space="0" w:color="auto"/>
            </w:tcBorders>
            <w:vAlign w:val="center"/>
            <w:hideMark/>
          </w:tcPr>
          <w:p w14:paraId="4DFD662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8" w:type="dxa"/>
            <w:gridSpan w:val="3"/>
            <w:vMerge/>
            <w:tcBorders>
              <w:top w:val="single" w:sz="8" w:space="0" w:color="auto"/>
              <w:left w:val="single" w:sz="8" w:space="0" w:color="auto"/>
              <w:bottom w:val="single" w:sz="8" w:space="0" w:color="000000"/>
              <w:right w:val="single" w:sz="8" w:space="0" w:color="000000"/>
            </w:tcBorders>
            <w:hideMark/>
          </w:tcPr>
          <w:p w14:paraId="0D45D339" w14:textId="77777777" w:rsidR="00854ADA" w:rsidRPr="00FF386D" w:rsidRDefault="00854ADA" w:rsidP="00854ADA">
            <w:pPr>
              <w:numPr>
                <w:ilvl w:val="0"/>
                <w:numId w:val="102"/>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69A7E8B9" w14:textId="77777777" w:rsidTr="0057310C">
        <w:trPr>
          <w:trHeight w:val="450"/>
        </w:trPr>
        <w:tc>
          <w:tcPr>
            <w:tcW w:w="3330" w:type="dxa"/>
            <w:vMerge/>
            <w:tcBorders>
              <w:top w:val="nil"/>
              <w:left w:val="single" w:sz="8" w:space="0" w:color="auto"/>
              <w:bottom w:val="single" w:sz="8" w:space="0" w:color="000000"/>
              <w:right w:val="single" w:sz="8" w:space="0" w:color="auto"/>
            </w:tcBorders>
            <w:vAlign w:val="center"/>
            <w:hideMark/>
          </w:tcPr>
          <w:p w14:paraId="7E5410D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8" w:type="dxa"/>
            <w:gridSpan w:val="3"/>
            <w:vMerge/>
            <w:tcBorders>
              <w:top w:val="single" w:sz="8" w:space="0" w:color="auto"/>
              <w:left w:val="single" w:sz="8" w:space="0" w:color="auto"/>
              <w:bottom w:val="single" w:sz="8" w:space="0" w:color="000000"/>
              <w:right w:val="single" w:sz="8" w:space="0" w:color="000000"/>
            </w:tcBorders>
            <w:hideMark/>
          </w:tcPr>
          <w:p w14:paraId="7A174466" w14:textId="77777777" w:rsidR="00854ADA" w:rsidRPr="00FF386D" w:rsidRDefault="00854ADA" w:rsidP="00854ADA">
            <w:pPr>
              <w:numPr>
                <w:ilvl w:val="0"/>
                <w:numId w:val="102"/>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604F5038" w14:textId="77777777" w:rsidTr="0057310C">
        <w:trPr>
          <w:trHeight w:val="571"/>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6998022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hAnsi="Calibri Light" w:cs="Calibri Light"/>
                <w:b/>
                <w:bCs/>
                <w:color w:val="FFFFFF"/>
                <w:sz w:val="20"/>
                <w:szCs w:val="20"/>
              </w:rPr>
              <w:t>Релевантни национални плански документ (правни, регулаторни акти, итд)</w:t>
            </w:r>
          </w:p>
        </w:tc>
        <w:tc>
          <w:tcPr>
            <w:tcW w:w="6128" w:type="dxa"/>
            <w:gridSpan w:val="3"/>
            <w:tcBorders>
              <w:top w:val="single" w:sz="8" w:space="0" w:color="auto"/>
              <w:left w:val="nil"/>
              <w:bottom w:val="single" w:sz="8" w:space="0" w:color="auto"/>
              <w:right w:val="single" w:sz="8" w:space="0" w:color="000000"/>
            </w:tcBorders>
            <w:shd w:val="clear" w:color="auto" w:fill="auto"/>
            <w:hideMark/>
          </w:tcPr>
          <w:p w14:paraId="5EA2672C" w14:textId="6D527FDD" w:rsidR="00B15302" w:rsidRPr="00B15302" w:rsidRDefault="00B15302" w:rsidP="00B15302">
            <w:pPr>
              <w:numPr>
                <w:ilvl w:val="0"/>
                <w:numId w:val="185"/>
              </w:numPr>
              <w:spacing w:after="0" w:line="240" w:lineRule="auto"/>
              <w:contextualSpacing/>
              <w:rPr>
                <w:rFonts w:asciiTheme="majorHAnsi" w:hAnsiTheme="majorHAnsi" w:cstheme="majorHAnsi"/>
                <w:sz w:val="20"/>
                <w:szCs w:val="20"/>
              </w:rPr>
            </w:pPr>
            <w:r w:rsidRPr="00B15302">
              <w:rPr>
                <w:rFonts w:asciiTheme="majorHAnsi" w:hAnsiTheme="majorHAnsi" w:cstheme="majorHAnsi"/>
                <w:sz w:val="20"/>
                <w:szCs w:val="20"/>
              </w:rPr>
              <w:t>Програм развоја циркуларне економије у Републици Србији за период 2022-2031</w:t>
            </w:r>
          </w:p>
          <w:p w14:paraId="0797A987" w14:textId="510E9C80" w:rsidR="00854ADA" w:rsidRPr="00FF386D" w:rsidRDefault="00B15302" w:rsidP="00B15302">
            <w:pPr>
              <w:numPr>
                <w:ilvl w:val="0"/>
                <w:numId w:val="185"/>
              </w:numPr>
              <w:spacing w:after="0" w:line="240" w:lineRule="auto"/>
              <w:contextualSpacing/>
              <w:rPr>
                <w:rFonts w:asciiTheme="majorHAnsi" w:hAnsiTheme="majorHAnsi" w:cstheme="majorHAnsi"/>
                <w:sz w:val="20"/>
                <w:szCs w:val="20"/>
                <w:lang w:eastAsia="en-GB"/>
              </w:rPr>
            </w:pPr>
            <w:r w:rsidRPr="00B15302">
              <w:rPr>
                <w:rFonts w:asciiTheme="majorHAnsi" w:hAnsiTheme="majorHAnsi" w:cstheme="majorHAnsi"/>
                <w:sz w:val="20"/>
                <w:szCs w:val="20"/>
              </w:rPr>
              <w:t>Програм управљања отпадом у Републици Србији за период 2022-2031</w:t>
            </w:r>
          </w:p>
        </w:tc>
      </w:tr>
      <w:tr w:rsidR="00854ADA" w:rsidRPr="00FF386D" w14:paraId="327AFC47"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5DC56CA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hAnsi="Calibri Light" w:cs="Calibri Light"/>
                <w:b/>
                <w:bCs/>
                <w:color w:val="FFFFFF"/>
                <w:sz w:val="20"/>
                <w:szCs w:val="20"/>
              </w:rPr>
              <w:t>Трошкови имплементације </w:t>
            </w:r>
          </w:p>
        </w:tc>
        <w:tc>
          <w:tcPr>
            <w:tcW w:w="6128" w:type="dxa"/>
            <w:gridSpan w:val="3"/>
            <w:tcBorders>
              <w:top w:val="single" w:sz="8" w:space="0" w:color="auto"/>
              <w:left w:val="nil"/>
              <w:bottom w:val="single" w:sz="8" w:space="0" w:color="auto"/>
              <w:right w:val="single" w:sz="8" w:space="0" w:color="000000"/>
            </w:tcBorders>
            <w:shd w:val="clear" w:color="auto" w:fill="auto"/>
          </w:tcPr>
          <w:p w14:paraId="79E71E1B"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4,5 милиона евра</w:t>
            </w:r>
          </w:p>
        </w:tc>
      </w:tr>
      <w:tr w:rsidR="00854ADA" w:rsidRPr="00FF386D" w14:paraId="3FF63970"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tcPr>
          <w:p w14:paraId="332CFD0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hAnsi="Calibri Light" w:cs="Calibri Light"/>
                <w:b/>
                <w:bCs/>
                <w:color w:val="FFFFFF"/>
                <w:sz w:val="20"/>
                <w:szCs w:val="20"/>
              </w:rPr>
              <w:t>Извор(и) финансирања </w:t>
            </w:r>
          </w:p>
        </w:tc>
        <w:tc>
          <w:tcPr>
            <w:tcW w:w="6128" w:type="dxa"/>
            <w:gridSpan w:val="3"/>
            <w:tcBorders>
              <w:top w:val="single" w:sz="8" w:space="0" w:color="auto"/>
              <w:left w:val="nil"/>
              <w:bottom w:val="single" w:sz="8" w:space="0" w:color="auto"/>
              <w:right w:val="single" w:sz="8" w:space="0" w:color="000000"/>
            </w:tcBorders>
            <w:shd w:val="clear" w:color="auto" w:fill="auto"/>
          </w:tcPr>
          <w:p w14:paraId="5FF47340" w14:textId="4C13080A"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Фондови ЕУ и други фондови, </w:t>
            </w:r>
            <w:r w:rsidR="00756B5D" w:rsidRPr="00FF386D">
              <w:rPr>
                <w:rFonts w:asciiTheme="majorHAnsi" w:eastAsia="Times New Roman" w:hAnsiTheme="majorHAnsi" w:cstheme="majorHAnsi"/>
                <w:color w:val="000000"/>
                <w:sz w:val="20"/>
                <w:szCs w:val="20"/>
                <w:lang w:eastAsia="en-GB"/>
              </w:rPr>
              <w:t>буџетска средства</w:t>
            </w:r>
          </w:p>
        </w:tc>
      </w:tr>
    </w:tbl>
    <w:p w14:paraId="640659B3"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30"/>
        <w:gridCol w:w="940"/>
        <w:gridCol w:w="946"/>
        <w:gridCol w:w="4242"/>
      </w:tblGrid>
      <w:tr w:rsidR="00854ADA" w:rsidRPr="00FF386D" w14:paraId="17DC9525" w14:textId="77777777" w:rsidTr="0057310C">
        <w:trPr>
          <w:trHeight w:val="508"/>
        </w:trPr>
        <w:tc>
          <w:tcPr>
            <w:tcW w:w="3330" w:type="dxa"/>
            <w:tcBorders>
              <w:top w:val="single" w:sz="8" w:space="0" w:color="auto"/>
              <w:left w:val="single" w:sz="8" w:space="0" w:color="auto"/>
              <w:bottom w:val="single" w:sz="8" w:space="0" w:color="auto"/>
              <w:right w:val="single" w:sz="8" w:space="0" w:color="auto"/>
            </w:tcBorders>
            <w:shd w:val="clear" w:color="000000" w:fill="244062"/>
            <w:hideMark/>
          </w:tcPr>
          <w:p w14:paraId="62AC03F6"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40" w:type="dxa"/>
            <w:tcBorders>
              <w:top w:val="single" w:sz="8" w:space="0" w:color="auto"/>
              <w:left w:val="nil"/>
              <w:bottom w:val="single" w:sz="8" w:space="0" w:color="auto"/>
              <w:right w:val="single" w:sz="8" w:space="0" w:color="auto"/>
            </w:tcBorders>
            <w:shd w:val="clear" w:color="auto" w:fill="E7E6E6" w:themeFill="background2"/>
            <w:vAlign w:val="center"/>
            <w:hideMark/>
          </w:tcPr>
          <w:p w14:paraId="7C20EFB2"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МП_Д4</w:t>
            </w:r>
          </w:p>
        </w:tc>
        <w:tc>
          <w:tcPr>
            <w:tcW w:w="946" w:type="dxa"/>
            <w:tcBorders>
              <w:top w:val="single" w:sz="8" w:space="0" w:color="auto"/>
              <w:left w:val="nil"/>
              <w:bottom w:val="single" w:sz="8" w:space="0" w:color="auto"/>
              <w:right w:val="single" w:sz="8" w:space="0" w:color="auto"/>
            </w:tcBorders>
            <w:shd w:val="clear" w:color="000000" w:fill="244062"/>
            <w:vAlign w:val="center"/>
            <w:hideMark/>
          </w:tcPr>
          <w:p w14:paraId="16987F1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42" w:type="dxa"/>
            <w:tcBorders>
              <w:top w:val="single" w:sz="8" w:space="0" w:color="auto"/>
              <w:left w:val="nil"/>
              <w:bottom w:val="single" w:sz="8" w:space="0" w:color="auto"/>
              <w:right w:val="single" w:sz="8" w:space="0" w:color="auto"/>
            </w:tcBorders>
            <w:shd w:val="clear" w:color="auto" w:fill="E7E6E6" w:themeFill="background2"/>
            <w:vAlign w:val="center"/>
            <w:hideMark/>
          </w:tcPr>
          <w:p w14:paraId="73517AB0" w14:textId="0B8DDCE1" w:rsidR="00854ADA" w:rsidRPr="00FF386D" w:rsidRDefault="00854ADA" w:rsidP="00854ADA">
            <w:pPr>
              <w:spacing w:after="0" w:line="240" w:lineRule="auto"/>
              <w:jc w:val="both"/>
              <w:rPr>
                <w:rFonts w:ascii="Times New Roman" w:hAnsi="Times New Roman" w:cs="Times New Roman"/>
                <w:sz w:val="24"/>
                <w:szCs w:val="24"/>
                <w:lang w:eastAsia="en-GB"/>
              </w:rPr>
            </w:pPr>
            <w:r w:rsidRPr="000A2AFE">
              <w:rPr>
                <w:rFonts w:ascii="Calibri Light" w:eastAsia="Times New Roman" w:hAnsi="Calibri Light" w:cs="Calibri Light"/>
                <w:b/>
                <w:bCs/>
                <w:color w:val="000000"/>
                <w:sz w:val="20"/>
                <w:szCs w:val="20"/>
                <w:lang w:eastAsia="en-GB"/>
              </w:rPr>
              <w:t xml:space="preserve">Организовање кампања подизања </w:t>
            </w:r>
            <w:r w:rsidR="007A6C02" w:rsidRPr="000A2AFE">
              <w:rPr>
                <w:rFonts w:ascii="Calibri Light" w:eastAsia="Times New Roman" w:hAnsi="Calibri Light" w:cs="Calibri Light"/>
                <w:b/>
                <w:bCs/>
                <w:color w:val="000000"/>
                <w:sz w:val="20"/>
                <w:szCs w:val="20"/>
                <w:lang w:eastAsia="en-GB"/>
              </w:rPr>
              <w:t xml:space="preserve">нивоа </w:t>
            </w:r>
            <w:r w:rsidRPr="000A2AFE">
              <w:rPr>
                <w:rFonts w:ascii="Calibri Light" w:eastAsia="Times New Roman" w:hAnsi="Calibri Light" w:cs="Calibri Light"/>
                <w:b/>
                <w:bCs/>
                <w:color w:val="000000"/>
                <w:sz w:val="20"/>
                <w:szCs w:val="20"/>
                <w:lang w:eastAsia="en-GB"/>
              </w:rPr>
              <w:t xml:space="preserve">свести </w:t>
            </w:r>
            <w:r w:rsidR="00BE1F44" w:rsidRPr="000A2AFE">
              <w:rPr>
                <w:rFonts w:ascii="Calibri Light" w:eastAsia="Times New Roman" w:hAnsi="Calibri Light" w:cs="Calibri Light"/>
                <w:b/>
                <w:bCs/>
                <w:color w:val="000000"/>
                <w:sz w:val="20"/>
                <w:szCs w:val="20"/>
                <w:lang w:eastAsia="en-GB"/>
              </w:rPr>
              <w:t xml:space="preserve">за </w:t>
            </w:r>
            <w:r w:rsidR="00D53ED5" w:rsidRPr="000A2AFE">
              <w:rPr>
                <w:rFonts w:ascii="Calibri Light" w:eastAsia="Times New Roman" w:hAnsi="Calibri Light" w:cs="Calibri Light"/>
                <w:b/>
                <w:bCs/>
                <w:color w:val="000000"/>
                <w:sz w:val="20"/>
                <w:szCs w:val="20"/>
                <w:lang w:eastAsia="en-GB"/>
              </w:rPr>
              <w:t>унапређено</w:t>
            </w:r>
            <w:r w:rsidRPr="000A2AFE">
              <w:rPr>
                <w:rFonts w:ascii="Calibri Light" w:eastAsia="Times New Roman" w:hAnsi="Calibri Light" w:cs="Calibri Light"/>
                <w:b/>
                <w:bCs/>
                <w:color w:val="000000"/>
                <w:sz w:val="20"/>
                <w:szCs w:val="20"/>
                <w:lang w:eastAsia="en-GB"/>
              </w:rPr>
              <w:t xml:space="preserve"> ширења информација</w:t>
            </w:r>
            <w:r w:rsidR="00F56FED" w:rsidRPr="00F56FED">
              <w:rPr>
                <w:rFonts w:ascii="Calibri Light" w:eastAsia="Times New Roman" w:hAnsi="Calibri Light" w:cs="Calibri Light"/>
                <w:b/>
                <w:bCs/>
                <w:color w:val="000000"/>
                <w:sz w:val="20"/>
                <w:szCs w:val="20"/>
                <w:lang w:eastAsia="en-GB"/>
              </w:rPr>
              <w:t xml:space="preserve"> о </w:t>
            </w:r>
            <w:r w:rsidR="0057310C">
              <w:rPr>
                <w:rFonts w:ascii="Calibri Light" w:eastAsia="Times New Roman" w:hAnsi="Calibri Light" w:cs="Calibri Light"/>
                <w:b/>
                <w:bCs/>
                <w:color w:val="000000"/>
                <w:sz w:val="20"/>
                <w:szCs w:val="20"/>
                <w:lang w:eastAsia="en-GB"/>
              </w:rPr>
              <w:t xml:space="preserve">климатским </w:t>
            </w:r>
            <w:r w:rsidR="00F56FED" w:rsidRPr="00F56FED">
              <w:rPr>
                <w:rFonts w:ascii="Calibri Light" w:eastAsia="Times New Roman" w:hAnsi="Calibri Light" w:cs="Calibri Light"/>
                <w:b/>
                <w:bCs/>
                <w:color w:val="000000"/>
                <w:sz w:val="20"/>
                <w:szCs w:val="20"/>
                <w:lang w:eastAsia="en-GB"/>
              </w:rPr>
              <w:t>променама</w:t>
            </w:r>
          </w:p>
        </w:tc>
      </w:tr>
      <w:tr w:rsidR="00854ADA" w:rsidRPr="00FF386D" w14:paraId="3FF797D5" w14:textId="77777777" w:rsidTr="0057310C">
        <w:trPr>
          <w:trHeight w:val="402"/>
        </w:trPr>
        <w:tc>
          <w:tcPr>
            <w:tcW w:w="3330" w:type="dxa"/>
            <w:tcBorders>
              <w:top w:val="single" w:sz="8" w:space="0" w:color="auto"/>
              <w:left w:val="single" w:sz="8" w:space="0" w:color="auto"/>
              <w:bottom w:val="single" w:sz="8" w:space="0" w:color="auto"/>
              <w:right w:val="single" w:sz="4" w:space="0" w:color="auto"/>
            </w:tcBorders>
            <w:shd w:val="clear" w:color="000000" w:fill="244062"/>
            <w:hideMark/>
          </w:tcPr>
          <w:p w14:paraId="045272C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28" w:type="dxa"/>
            <w:gridSpan w:val="3"/>
            <w:tcBorders>
              <w:top w:val="single" w:sz="8" w:space="0" w:color="auto"/>
              <w:left w:val="single" w:sz="4" w:space="0" w:color="auto"/>
              <w:bottom w:val="single" w:sz="8" w:space="0" w:color="auto"/>
              <w:right w:val="single" w:sz="8" w:space="0" w:color="000000"/>
            </w:tcBorders>
            <w:shd w:val="clear" w:color="auto" w:fill="auto"/>
            <w:vAlign w:val="center"/>
            <w:hideMark/>
          </w:tcPr>
          <w:p w14:paraId="6A0AEB73"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Смањење емисија гасова са ефектом стаклене баште</w:t>
            </w:r>
          </w:p>
        </w:tc>
      </w:tr>
      <w:tr w:rsidR="00854ADA" w:rsidRPr="00FF386D" w14:paraId="7D7331FC"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hideMark/>
          </w:tcPr>
          <w:p w14:paraId="1888A64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4D602B8A" w14:textId="110033C7" w:rsidR="00854ADA" w:rsidRPr="00FF386D" w:rsidRDefault="00F56FED" w:rsidP="00854ADA">
            <w:pPr>
              <w:spacing w:after="0" w:line="240" w:lineRule="auto"/>
              <w:rPr>
                <w:rFonts w:asciiTheme="majorHAnsi" w:eastAsia="Times New Roman" w:hAnsiTheme="majorHAnsi" w:cstheme="majorHAnsi"/>
                <w:color w:val="000000"/>
                <w:sz w:val="20"/>
                <w:szCs w:val="20"/>
                <w:lang w:eastAsia="en-GB"/>
              </w:rPr>
            </w:pPr>
            <w:r w:rsidRPr="00F56FED">
              <w:rPr>
                <w:rFonts w:asciiTheme="majorHAnsi" w:eastAsia="Times New Roman" w:hAnsiTheme="majorHAnsi" w:cstheme="majorHAnsi"/>
                <w:color w:val="000000"/>
                <w:sz w:val="20"/>
                <w:szCs w:val="20"/>
                <w:lang w:eastAsia="en-GB"/>
              </w:rPr>
              <w:t xml:space="preserve">Допринос циљу смањења емисија </w:t>
            </w:r>
            <w:r w:rsidRPr="000A2AFE">
              <w:rPr>
                <w:rFonts w:asciiTheme="majorHAnsi" w:eastAsia="Times New Roman" w:hAnsiTheme="majorHAnsi" w:cstheme="majorHAnsi"/>
                <w:i/>
                <w:iCs/>
                <w:color w:val="000000"/>
                <w:sz w:val="20"/>
                <w:szCs w:val="20"/>
                <w:lang w:eastAsia="en-GB"/>
              </w:rPr>
              <w:t>GHG</w:t>
            </w:r>
            <w:r w:rsidRPr="00F56FED">
              <w:rPr>
                <w:rFonts w:asciiTheme="majorHAnsi" w:eastAsia="Times New Roman" w:hAnsiTheme="majorHAnsi" w:cstheme="majorHAnsi"/>
                <w:color w:val="000000"/>
                <w:sz w:val="20"/>
                <w:szCs w:val="20"/>
                <w:lang w:eastAsia="en-GB"/>
              </w:rPr>
              <w:t xml:space="preserve"> за 33,3% (без</w:t>
            </w:r>
            <w:r w:rsidRPr="000A2AFE">
              <w:rPr>
                <w:rFonts w:asciiTheme="majorHAnsi" w:eastAsia="Times New Roman" w:hAnsiTheme="majorHAnsi" w:cstheme="majorHAnsi"/>
                <w:i/>
                <w:iCs/>
                <w:color w:val="000000"/>
                <w:sz w:val="20"/>
                <w:szCs w:val="20"/>
                <w:lang w:eastAsia="en-GB"/>
              </w:rPr>
              <w:t xml:space="preserve"> LULUCF</w:t>
            </w:r>
            <w:r w:rsidRPr="00F56FED">
              <w:rPr>
                <w:rFonts w:asciiTheme="majorHAnsi" w:eastAsia="Times New Roman" w:hAnsiTheme="majorHAnsi" w:cstheme="majorHAnsi"/>
                <w:color w:val="000000"/>
                <w:sz w:val="20"/>
                <w:szCs w:val="20"/>
                <w:lang w:eastAsia="en-GB"/>
              </w:rPr>
              <w:t>) до 2030. године у поређењу са нивоима из 1990. године</w:t>
            </w:r>
          </w:p>
        </w:tc>
      </w:tr>
      <w:tr w:rsidR="00854ADA" w:rsidRPr="00FF386D" w14:paraId="6FEF7423" w14:textId="77777777" w:rsidTr="0057310C">
        <w:trPr>
          <w:trHeight w:val="1619"/>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47517D1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1C39C962" w14:textId="05091C3A" w:rsidR="00854ADA" w:rsidRPr="00FF386D" w:rsidRDefault="00854ADA" w:rsidP="00A54071">
            <w:pPr>
              <w:spacing w:after="0" w:line="240" w:lineRule="auto"/>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МП_</w:t>
            </w:r>
            <w:r w:rsidR="009C5283" w:rsidRPr="000A2AFE">
              <w:rPr>
                <w:rFonts w:ascii="Calibri Light" w:eastAsia="Times New Roman" w:hAnsi="Calibri Light" w:cs="Calibri Light"/>
                <w:color w:val="000000"/>
                <w:sz w:val="20"/>
                <w:szCs w:val="20"/>
                <w:lang w:eastAsia="en-GB"/>
              </w:rPr>
              <w:t>Д</w:t>
            </w:r>
            <w:r w:rsidR="009C5283" w:rsidRPr="00FF386D">
              <w:rPr>
                <w:rFonts w:ascii="Calibri Light" w:eastAsia="Times New Roman" w:hAnsi="Calibri Light" w:cs="Calibri Light"/>
                <w:color w:val="000000"/>
                <w:sz w:val="20"/>
                <w:szCs w:val="20"/>
                <w:lang w:eastAsia="en-GB"/>
              </w:rPr>
              <w:t>4</w:t>
            </w:r>
            <w:r w:rsidR="009C5283"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ће п</w:t>
            </w:r>
            <w:r w:rsidR="007A6C02" w:rsidRPr="000A2AFE">
              <w:rPr>
                <w:rFonts w:ascii="Calibri Light" w:eastAsia="Times New Roman" w:hAnsi="Calibri Light" w:cs="Calibri Light"/>
                <w:color w:val="000000"/>
                <w:sz w:val="20"/>
                <w:szCs w:val="20"/>
                <w:lang w:eastAsia="en-GB"/>
              </w:rPr>
              <w:t>одстицати</w:t>
            </w:r>
            <w:r w:rsidRPr="000A2AFE">
              <w:rPr>
                <w:rFonts w:ascii="Calibri Light" w:eastAsia="Times New Roman" w:hAnsi="Calibri Light" w:cs="Calibri Light"/>
                <w:color w:val="000000"/>
                <w:sz w:val="20"/>
                <w:szCs w:val="20"/>
                <w:lang w:eastAsia="en-GB"/>
              </w:rPr>
              <w:t xml:space="preserve"> организ</w:t>
            </w:r>
            <w:r w:rsidR="007A6C02" w:rsidRPr="000A2AFE">
              <w:rPr>
                <w:rFonts w:ascii="Calibri Light" w:eastAsia="Times New Roman" w:hAnsi="Calibri Light" w:cs="Calibri Light"/>
                <w:color w:val="000000"/>
                <w:sz w:val="20"/>
                <w:szCs w:val="20"/>
                <w:lang w:eastAsia="en-GB"/>
              </w:rPr>
              <w:t>овање</w:t>
            </w:r>
            <w:r w:rsidRPr="000A2AFE">
              <w:rPr>
                <w:rFonts w:ascii="Calibri Light" w:eastAsia="Times New Roman" w:hAnsi="Calibri Light" w:cs="Calibri Light"/>
                <w:color w:val="000000"/>
                <w:sz w:val="20"/>
                <w:szCs w:val="20"/>
                <w:lang w:eastAsia="en-GB"/>
              </w:rPr>
              <w:t xml:space="preserve"> активности информисања, подизања свести и консултациј</w:t>
            </w:r>
            <w:r w:rsidR="00BE1F44" w:rsidRPr="000A2AFE">
              <w:rPr>
                <w:rFonts w:ascii="Calibri Light" w:eastAsia="Times New Roman" w:hAnsi="Calibri Light" w:cs="Calibri Light"/>
                <w:color w:val="000000"/>
                <w:sz w:val="20"/>
                <w:szCs w:val="20"/>
                <w:lang w:eastAsia="en-GB"/>
              </w:rPr>
              <w:t>а</w:t>
            </w:r>
            <w:r w:rsidR="00F56FED">
              <w:t xml:space="preserve"> </w:t>
            </w:r>
            <w:r w:rsidR="00F56FED" w:rsidRPr="00F56FED">
              <w:rPr>
                <w:rFonts w:ascii="Calibri Light" w:eastAsia="Times New Roman" w:hAnsi="Calibri Light" w:cs="Calibri Light"/>
                <w:color w:val="000000"/>
                <w:sz w:val="20"/>
                <w:szCs w:val="20"/>
                <w:lang w:eastAsia="en-GB"/>
              </w:rPr>
              <w:t xml:space="preserve">о </w:t>
            </w:r>
            <w:r w:rsidR="0057310C">
              <w:rPr>
                <w:rFonts w:ascii="Calibri Light" w:eastAsia="Times New Roman" w:hAnsi="Calibri Light" w:cs="Calibri Light"/>
                <w:color w:val="000000"/>
                <w:sz w:val="20"/>
                <w:szCs w:val="20"/>
                <w:lang w:eastAsia="en-GB"/>
              </w:rPr>
              <w:t xml:space="preserve">климатским </w:t>
            </w:r>
            <w:r w:rsidR="00F56FED" w:rsidRPr="00F56FED">
              <w:rPr>
                <w:rFonts w:ascii="Calibri Light" w:eastAsia="Times New Roman" w:hAnsi="Calibri Light" w:cs="Calibri Light"/>
                <w:color w:val="000000"/>
                <w:sz w:val="20"/>
                <w:szCs w:val="20"/>
                <w:lang w:eastAsia="en-GB"/>
              </w:rPr>
              <w:t>променама</w:t>
            </w:r>
            <w:r w:rsidRPr="000A2AFE">
              <w:rPr>
                <w:rFonts w:ascii="Calibri Light" w:eastAsia="Times New Roman" w:hAnsi="Calibri Light" w:cs="Calibri Light"/>
                <w:color w:val="000000"/>
                <w:sz w:val="20"/>
                <w:szCs w:val="20"/>
                <w:lang w:eastAsia="en-GB"/>
              </w:rPr>
              <w:t>.</w:t>
            </w:r>
            <w:r w:rsidR="007A6C02" w:rsidRPr="000A2AFE">
              <w:rPr>
                <w:rFonts w:ascii="Calibri Light" w:eastAsia="Times New Roman" w:hAnsi="Calibri Light" w:cs="Calibri Light"/>
                <w:color w:val="000000"/>
                <w:sz w:val="20"/>
                <w:szCs w:val="20"/>
                <w:lang w:eastAsia="en-GB"/>
              </w:rPr>
              <w:t xml:space="preserve"> П</w:t>
            </w:r>
            <w:r w:rsidRPr="000A2AFE">
              <w:rPr>
                <w:rFonts w:ascii="Calibri Light" w:eastAsia="Times New Roman" w:hAnsi="Calibri Light" w:cs="Calibri Light"/>
                <w:color w:val="000000"/>
                <w:sz w:val="20"/>
                <w:szCs w:val="20"/>
                <w:lang w:eastAsia="en-GB"/>
              </w:rPr>
              <w:t>ромен</w:t>
            </w:r>
            <w:r w:rsidR="007A6C02"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понашања </w:t>
            </w:r>
            <w:r w:rsidR="00AE4D93" w:rsidRPr="000A2AFE">
              <w:rPr>
                <w:rFonts w:ascii="Calibri Light" w:eastAsia="Times New Roman" w:hAnsi="Calibri Light" w:cs="Calibri Light"/>
                <w:color w:val="000000"/>
                <w:sz w:val="20"/>
                <w:szCs w:val="20"/>
                <w:lang w:eastAsia="en-GB"/>
              </w:rPr>
              <w:t>уз помоћ</w:t>
            </w:r>
            <w:r w:rsidRPr="000A2AFE">
              <w:rPr>
                <w:rFonts w:ascii="Calibri Light" w:eastAsia="Times New Roman" w:hAnsi="Calibri Light" w:cs="Calibri Light"/>
                <w:color w:val="000000"/>
                <w:sz w:val="20"/>
                <w:szCs w:val="20"/>
                <w:lang w:eastAsia="en-GB"/>
              </w:rPr>
              <w:t xml:space="preserve"> иницијатива у области </w:t>
            </w:r>
            <w:r w:rsidR="00BE1F44" w:rsidRPr="000A2AFE">
              <w:rPr>
                <w:rFonts w:ascii="Calibri Light" w:eastAsia="Times New Roman" w:hAnsi="Calibri Light" w:cs="Calibri Light"/>
                <w:color w:val="000000"/>
                <w:sz w:val="20"/>
                <w:szCs w:val="20"/>
                <w:lang w:eastAsia="en-GB"/>
              </w:rPr>
              <w:t>обуке</w:t>
            </w:r>
            <w:r w:rsidRPr="000A2AFE">
              <w:rPr>
                <w:rFonts w:ascii="Calibri Light" w:eastAsia="Times New Roman" w:hAnsi="Calibri Light" w:cs="Calibri Light"/>
                <w:color w:val="000000"/>
                <w:sz w:val="20"/>
                <w:szCs w:val="20"/>
                <w:lang w:eastAsia="en-GB"/>
              </w:rPr>
              <w:t xml:space="preserve">, </w:t>
            </w:r>
            <w:r w:rsidR="00BE1F44" w:rsidRPr="000A2AFE">
              <w:rPr>
                <w:rFonts w:ascii="Calibri Light" w:eastAsia="Times New Roman" w:hAnsi="Calibri Light" w:cs="Calibri Light"/>
                <w:color w:val="000000"/>
                <w:sz w:val="20"/>
                <w:szCs w:val="20"/>
                <w:lang w:eastAsia="en-GB"/>
              </w:rPr>
              <w:t>едукације</w:t>
            </w:r>
            <w:r w:rsidRPr="000A2AFE">
              <w:rPr>
                <w:rFonts w:ascii="Calibri Light" w:eastAsia="Times New Roman" w:hAnsi="Calibri Light" w:cs="Calibri Light"/>
                <w:color w:val="000000"/>
                <w:sz w:val="20"/>
                <w:szCs w:val="20"/>
                <w:lang w:eastAsia="en-GB"/>
              </w:rPr>
              <w:t xml:space="preserve"> и подизања свести</w:t>
            </w:r>
            <w:r w:rsidR="00DA65B2" w:rsidRPr="000A2AFE">
              <w:rPr>
                <w:rFonts w:ascii="Calibri Light" w:eastAsia="Times New Roman" w:hAnsi="Calibri Light" w:cs="Calibri Light"/>
                <w:color w:val="000000"/>
                <w:sz w:val="20"/>
                <w:szCs w:val="20"/>
                <w:lang w:eastAsia="en-GB"/>
              </w:rPr>
              <w:t xml:space="preserve"> </w:t>
            </w:r>
            <w:r w:rsidR="007A6C02" w:rsidRPr="000A2AFE">
              <w:rPr>
                <w:rFonts w:ascii="Calibri Light" w:eastAsia="Times New Roman" w:hAnsi="Calibri Light" w:cs="Calibri Light"/>
                <w:color w:val="000000"/>
                <w:sz w:val="20"/>
                <w:szCs w:val="20"/>
                <w:lang w:eastAsia="en-GB"/>
              </w:rPr>
              <w:t xml:space="preserve">биће фокус ових активности, а </w:t>
            </w:r>
            <w:r w:rsidRPr="000A2AFE">
              <w:rPr>
                <w:rFonts w:ascii="Calibri Light" w:eastAsia="Times New Roman" w:hAnsi="Calibri Light" w:cs="Calibri Light"/>
                <w:color w:val="000000"/>
                <w:sz w:val="20"/>
                <w:szCs w:val="20"/>
                <w:lang w:eastAsia="en-GB"/>
              </w:rPr>
              <w:t xml:space="preserve">посебна пажња </w:t>
            </w:r>
            <w:r w:rsidR="007A6C02" w:rsidRPr="000A2AFE">
              <w:rPr>
                <w:rFonts w:ascii="Calibri Light" w:eastAsia="Times New Roman" w:hAnsi="Calibri Light" w:cs="Calibri Light"/>
                <w:color w:val="000000"/>
                <w:sz w:val="20"/>
                <w:szCs w:val="20"/>
                <w:lang w:eastAsia="en-GB"/>
              </w:rPr>
              <w:t>ће се посветити значају</w:t>
            </w:r>
            <w:r w:rsidRPr="000A2AFE">
              <w:rPr>
                <w:rFonts w:ascii="Calibri Light" w:eastAsia="Times New Roman" w:hAnsi="Calibri Light" w:cs="Calibri Light"/>
                <w:color w:val="000000"/>
                <w:sz w:val="20"/>
                <w:szCs w:val="20"/>
                <w:lang w:eastAsia="en-GB"/>
              </w:rPr>
              <w:t xml:space="preserve"> подизања </w:t>
            </w:r>
            <w:r w:rsidR="007A6C02" w:rsidRPr="000A2AFE">
              <w:rPr>
                <w:rFonts w:ascii="Calibri Light" w:eastAsia="Times New Roman" w:hAnsi="Calibri Light" w:cs="Calibri Light"/>
                <w:color w:val="000000"/>
                <w:sz w:val="20"/>
                <w:szCs w:val="20"/>
                <w:lang w:eastAsia="en-GB"/>
              </w:rPr>
              <w:t xml:space="preserve">нивоа </w:t>
            </w:r>
            <w:r w:rsidRPr="000A2AFE">
              <w:rPr>
                <w:rFonts w:ascii="Calibri Light" w:eastAsia="Times New Roman" w:hAnsi="Calibri Light" w:cs="Calibri Light"/>
                <w:color w:val="000000"/>
                <w:sz w:val="20"/>
                <w:szCs w:val="20"/>
                <w:lang w:eastAsia="en-GB"/>
              </w:rPr>
              <w:t>свести о утицају потрошње на животну средину</w:t>
            </w:r>
            <w:r w:rsidR="005467CE" w:rsidRPr="000A2AFE">
              <w:rPr>
                <w:rFonts w:ascii="Calibri Light" w:eastAsia="Times New Roman" w:hAnsi="Calibri Light" w:cs="Calibri Light"/>
                <w:color w:val="000000"/>
                <w:sz w:val="20"/>
                <w:szCs w:val="20"/>
                <w:lang w:eastAsia="en-GB"/>
              </w:rPr>
              <w:t xml:space="preserve">, </w:t>
            </w:r>
            <w:r w:rsidR="00A54071" w:rsidRPr="000A2AFE">
              <w:rPr>
                <w:rFonts w:ascii="Calibri Light" w:eastAsia="Times New Roman" w:hAnsi="Calibri Light" w:cs="Calibri Light"/>
                <w:iCs/>
                <w:color w:val="000000"/>
                <w:sz w:val="20"/>
                <w:szCs w:val="20"/>
                <w:lang w:eastAsia="en-GB"/>
              </w:rPr>
              <w:t xml:space="preserve">како би се јавност мотивисала, подстакла и информисала да </w:t>
            </w:r>
            <w:r w:rsidR="00C74CD2">
              <w:rPr>
                <w:rFonts w:ascii="Calibri Light" w:eastAsia="Times New Roman" w:hAnsi="Calibri Light" w:cs="Calibri Light"/>
                <w:iCs/>
                <w:color w:val="000000"/>
                <w:sz w:val="20"/>
                <w:szCs w:val="20"/>
                <w:lang w:eastAsia="en-GB"/>
              </w:rPr>
              <w:t>из</w:t>
            </w:r>
            <w:r w:rsidR="00A54071" w:rsidRPr="000A2AFE">
              <w:rPr>
                <w:rFonts w:ascii="Calibri Light" w:eastAsia="Times New Roman" w:hAnsi="Calibri Light" w:cs="Calibri Light"/>
                <w:iCs/>
                <w:color w:val="000000"/>
                <w:sz w:val="20"/>
                <w:szCs w:val="20"/>
                <w:lang w:eastAsia="en-GB"/>
              </w:rPr>
              <w:t xml:space="preserve">мени понашање и настави </w:t>
            </w:r>
            <w:r w:rsidR="00C74CD2">
              <w:rPr>
                <w:rFonts w:ascii="Calibri Light" w:eastAsia="Times New Roman" w:hAnsi="Calibri Light" w:cs="Calibri Light"/>
                <w:iCs/>
                <w:color w:val="000000"/>
                <w:sz w:val="20"/>
                <w:szCs w:val="20"/>
                <w:lang w:eastAsia="en-GB"/>
              </w:rPr>
              <w:t xml:space="preserve">да буде </w:t>
            </w:r>
            <w:r w:rsidR="00A54071" w:rsidRPr="000A2AFE">
              <w:rPr>
                <w:rFonts w:ascii="Calibri Light" w:eastAsia="Times New Roman" w:hAnsi="Calibri Light" w:cs="Calibri Light"/>
                <w:iCs/>
                <w:color w:val="000000"/>
                <w:sz w:val="20"/>
                <w:szCs w:val="20"/>
                <w:lang w:eastAsia="en-GB"/>
              </w:rPr>
              <w:t>ангажова</w:t>
            </w:r>
            <w:r w:rsidR="00C74CD2">
              <w:rPr>
                <w:rFonts w:ascii="Calibri Light" w:eastAsia="Times New Roman" w:hAnsi="Calibri Light" w:cs="Calibri Light"/>
                <w:iCs/>
                <w:color w:val="000000"/>
                <w:sz w:val="20"/>
                <w:szCs w:val="20"/>
                <w:lang w:eastAsia="en-GB"/>
              </w:rPr>
              <w:t>на</w:t>
            </w:r>
            <w:r w:rsidR="00A54071" w:rsidRPr="000A2AFE">
              <w:rPr>
                <w:rFonts w:ascii="Calibri Light" w:eastAsia="Times New Roman" w:hAnsi="Calibri Light" w:cs="Calibri Light"/>
                <w:iCs/>
                <w:color w:val="000000"/>
                <w:sz w:val="20"/>
                <w:szCs w:val="20"/>
                <w:lang w:eastAsia="en-GB"/>
              </w:rPr>
              <w:t>.</w:t>
            </w:r>
            <w:r w:rsidR="00F56FED">
              <w:t xml:space="preserve"> </w:t>
            </w:r>
            <w:r w:rsidR="00F56FED" w:rsidRPr="00F56FED">
              <w:rPr>
                <w:rFonts w:ascii="Calibri Light" w:eastAsia="Times New Roman" w:hAnsi="Calibri Light" w:cs="Calibri Light"/>
                <w:iCs/>
                <w:color w:val="000000"/>
                <w:sz w:val="20"/>
                <w:szCs w:val="20"/>
                <w:lang w:eastAsia="en-GB"/>
              </w:rPr>
              <w:t>На пример, едукација становника је неопходна за смањење емисија CH4 из ентеричке ферментације животиња, употребу ђубрива, управљање емисијама из ђубрива и смањење емисије оксида азота из тла. Неопходно је пружити обуку пољопривредницима за коришћење остатака усева и шумских остатака за грејање и задовољење осталих енергетских потреба у пољопривреди.</w:t>
            </w:r>
          </w:p>
        </w:tc>
      </w:tr>
      <w:tr w:rsidR="00854ADA" w:rsidRPr="00FF386D" w14:paraId="5AA73481"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hideMark/>
          </w:tcPr>
          <w:p w14:paraId="5047641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5DD8A10C" w14:textId="7882F5A6" w:rsidR="00854ADA" w:rsidRPr="00FF386D" w:rsidRDefault="00F56FED"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202</w:t>
            </w:r>
            <w:r>
              <w:rPr>
                <w:rFonts w:ascii="Calibri Light" w:eastAsia="Times New Roman" w:hAnsi="Calibri Light" w:cs="Calibri Light"/>
                <w:color w:val="000000"/>
                <w:sz w:val="20"/>
                <w:szCs w:val="20"/>
                <w:lang w:eastAsia="en-GB"/>
              </w:rPr>
              <w:t>4</w:t>
            </w:r>
            <w:r w:rsidR="00854ADA" w:rsidRPr="000A2AFE">
              <w:rPr>
                <w:rFonts w:ascii="Calibri Light" w:eastAsia="Times New Roman" w:hAnsi="Calibri Light" w:cs="Calibri Light"/>
                <w:color w:val="000000"/>
                <w:sz w:val="20"/>
                <w:szCs w:val="20"/>
                <w:lang w:eastAsia="en-GB"/>
              </w:rPr>
              <w:t>-2030.</w:t>
            </w:r>
          </w:p>
        </w:tc>
      </w:tr>
      <w:tr w:rsidR="00854ADA" w:rsidRPr="00FF386D" w14:paraId="0FD62270"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hideMark/>
          </w:tcPr>
          <w:p w14:paraId="5B962F5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2BA263A9"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Реформа</w:t>
            </w:r>
          </w:p>
        </w:tc>
      </w:tr>
      <w:tr w:rsidR="00854ADA" w:rsidRPr="00FF386D" w14:paraId="4FF74BE8"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hideMark/>
          </w:tcPr>
          <w:p w14:paraId="24F3E69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3BE15E9C" w14:textId="1B8D7C9E"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 xml:space="preserve">Све области </w:t>
            </w:r>
            <w:r w:rsidR="00BE1F44" w:rsidRPr="000A2AFE">
              <w:rPr>
                <w:rFonts w:ascii="Calibri Light" w:eastAsia="Times New Roman" w:hAnsi="Calibri Light" w:cs="Calibri Light"/>
                <w:color w:val="000000"/>
                <w:sz w:val="20"/>
                <w:szCs w:val="20"/>
                <w:lang w:eastAsia="en-GB"/>
              </w:rPr>
              <w:t>И</w:t>
            </w:r>
            <w:r w:rsidRPr="000A2AFE">
              <w:rPr>
                <w:rFonts w:ascii="Calibri Light" w:eastAsia="Times New Roman" w:hAnsi="Calibri Light" w:cs="Calibri Light"/>
                <w:color w:val="000000"/>
                <w:sz w:val="20"/>
                <w:szCs w:val="20"/>
                <w:lang w:eastAsia="en-GB"/>
              </w:rPr>
              <w:t>НЕКП</w:t>
            </w:r>
            <w:r w:rsidR="00BE1F44" w:rsidRPr="000A2AFE">
              <w:rPr>
                <w:rFonts w:ascii="Calibri Light" w:eastAsia="Times New Roman" w:hAnsi="Calibri Light" w:cs="Calibri Light"/>
                <w:color w:val="000000"/>
                <w:sz w:val="20"/>
                <w:szCs w:val="20"/>
                <w:lang w:eastAsia="en-GB"/>
              </w:rPr>
              <w:t>-а</w:t>
            </w:r>
          </w:p>
        </w:tc>
      </w:tr>
      <w:tr w:rsidR="00854ADA" w:rsidRPr="00FF386D" w14:paraId="4E674E66"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hideMark/>
          </w:tcPr>
          <w:p w14:paraId="5D27D6D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103F3696" w14:textId="77777777" w:rsidR="00854ADA" w:rsidRPr="000A2AFE" w:rsidRDefault="00854ADA" w:rsidP="00854ADA">
            <w:pPr>
              <w:numPr>
                <w:ilvl w:val="0"/>
                <w:numId w:val="185"/>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заштите животне средине,</w:t>
            </w:r>
          </w:p>
          <w:p w14:paraId="6D145371" w14:textId="77777777" w:rsidR="00F56FED" w:rsidRPr="00F56FED" w:rsidRDefault="00F56FED" w:rsidP="00F56FED">
            <w:pPr>
              <w:numPr>
                <w:ilvl w:val="0"/>
                <w:numId w:val="185"/>
              </w:numPr>
              <w:spacing w:after="0" w:line="240" w:lineRule="auto"/>
              <w:contextualSpacing/>
              <w:jc w:val="both"/>
              <w:rPr>
                <w:rFonts w:asciiTheme="majorHAnsi" w:eastAsia="Times New Roman" w:hAnsiTheme="majorHAnsi" w:cstheme="majorHAnsi"/>
                <w:color w:val="000000"/>
                <w:sz w:val="20"/>
                <w:szCs w:val="20"/>
                <w:lang w:eastAsia="en-GB"/>
              </w:rPr>
            </w:pPr>
            <w:r w:rsidRPr="00F56FED">
              <w:rPr>
                <w:rFonts w:asciiTheme="majorHAnsi" w:eastAsia="Times New Roman" w:hAnsiTheme="majorHAnsi" w:cstheme="majorHAnsi"/>
                <w:color w:val="000000"/>
                <w:sz w:val="20"/>
                <w:szCs w:val="20"/>
                <w:lang w:eastAsia="en-GB"/>
              </w:rPr>
              <w:t>Министарство просвете, науке и технолошког развоја</w:t>
            </w:r>
          </w:p>
          <w:p w14:paraId="3FD214E8" w14:textId="77777777" w:rsidR="00F56FED" w:rsidRPr="00F56FED" w:rsidRDefault="00F56FED" w:rsidP="00F56FED">
            <w:pPr>
              <w:numPr>
                <w:ilvl w:val="0"/>
                <w:numId w:val="185"/>
              </w:numPr>
              <w:spacing w:after="0" w:line="240" w:lineRule="auto"/>
              <w:contextualSpacing/>
              <w:jc w:val="both"/>
              <w:rPr>
                <w:rFonts w:asciiTheme="majorHAnsi" w:eastAsia="Times New Roman" w:hAnsiTheme="majorHAnsi" w:cstheme="majorHAnsi"/>
                <w:color w:val="000000"/>
                <w:sz w:val="20"/>
                <w:szCs w:val="20"/>
                <w:lang w:eastAsia="en-GB"/>
              </w:rPr>
            </w:pPr>
            <w:r w:rsidRPr="00F56FED">
              <w:rPr>
                <w:rFonts w:asciiTheme="majorHAnsi" w:eastAsia="Times New Roman" w:hAnsiTheme="majorHAnsi" w:cstheme="majorHAnsi"/>
                <w:color w:val="000000"/>
                <w:sz w:val="20"/>
                <w:szCs w:val="20"/>
                <w:lang w:eastAsia="en-GB"/>
              </w:rPr>
              <w:t>Министарство за рад, запошљавање, борачка и социјална питања</w:t>
            </w:r>
          </w:p>
          <w:p w14:paraId="5C694ACC" w14:textId="7978CFAF" w:rsidR="00F56FED" w:rsidRPr="00FF386D" w:rsidRDefault="00F56FED" w:rsidP="00F56FED">
            <w:pPr>
              <w:numPr>
                <w:ilvl w:val="0"/>
                <w:numId w:val="185"/>
              </w:numPr>
              <w:spacing w:after="0" w:line="240" w:lineRule="auto"/>
              <w:contextualSpacing/>
              <w:jc w:val="both"/>
              <w:rPr>
                <w:rFonts w:asciiTheme="majorHAnsi" w:eastAsia="Times New Roman" w:hAnsiTheme="majorHAnsi" w:cstheme="majorHAnsi"/>
                <w:color w:val="000000"/>
                <w:sz w:val="20"/>
                <w:szCs w:val="20"/>
                <w:lang w:eastAsia="en-GB"/>
              </w:rPr>
            </w:pPr>
            <w:r w:rsidRPr="00F56FED">
              <w:rPr>
                <w:rFonts w:asciiTheme="majorHAnsi" w:eastAsia="Times New Roman" w:hAnsiTheme="majorHAnsi" w:cstheme="majorHAnsi"/>
                <w:color w:val="000000"/>
                <w:sz w:val="20"/>
                <w:szCs w:val="20"/>
                <w:lang w:eastAsia="en-GB"/>
              </w:rPr>
              <w:t>Привредна комора</w:t>
            </w:r>
          </w:p>
        </w:tc>
      </w:tr>
      <w:tr w:rsidR="00854ADA" w:rsidRPr="00FF386D" w14:paraId="5AAFA32B" w14:textId="77777777" w:rsidTr="0057310C">
        <w:trPr>
          <w:trHeight w:val="315"/>
        </w:trPr>
        <w:tc>
          <w:tcPr>
            <w:tcW w:w="3330" w:type="dxa"/>
            <w:tcBorders>
              <w:top w:val="single" w:sz="8" w:space="0" w:color="auto"/>
              <w:left w:val="single" w:sz="8" w:space="0" w:color="auto"/>
              <w:bottom w:val="single" w:sz="8" w:space="0" w:color="auto"/>
              <w:right w:val="single" w:sz="4" w:space="0" w:color="auto"/>
            </w:tcBorders>
            <w:shd w:val="clear" w:color="000000" w:fill="244062"/>
            <w:hideMark/>
          </w:tcPr>
          <w:p w14:paraId="6C37742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Тело за праћење</w:t>
            </w:r>
          </w:p>
        </w:tc>
        <w:tc>
          <w:tcPr>
            <w:tcW w:w="6128" w:type="dxa"/>
            <w:gridSpan w:val="3"/>
            <w:tcBorders>
              <w:top w:val="single" w:sz="8" w:space="0" w:color="auto"/>
              <w:left w:val="single" w:sz="4" w:space="0" w:color="auto"/>
              <w:bottom w:val="single" w:sz="8" w:space="0" w:color="auto"/>
              <w:right w:val="single" w:sz="8" w:space="0" w:color="000000"/>
            </w:tcBorders>
            <w:shd w:val="clear" w:color="auto" w:fill="auto"/>
            <w:vAlign w:val="center"/>
            <w:hideMark/>
          </w:tcPr>
          <w:p w14:paraId="4A2A7AA3" w14:textId="77777777" w:rsidR="00854ADA" w:rsidRPr="00FF386D" w:rsidRDefault="00854ADA" w:rsidP="00854ADA">
            <w:pPr>
              <w:numPr>
                <w:ilvl w:val="0"/>
                <w:numId w:val="185"/>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заштите животне средине</w:t>
            </w:r>
          </w:p>
        </w:tc>
      </w:tr>
      <w:tr w:rsidR="00854ADA" w:rsidRPr="00FF386D" w14:paraId="56F6743F" w14:textId="77777777" w:rsidTr="0057310C">
        <w:trPr>
          <w:trHeight w:val="315"/>
        </w:trPr>
        <w:tc>
          <w:tcPr>
            <w:tcW w:w="3330" w:type="dxa"/>
            <w:tcBorders>
              <w:top w:val="single" w:sz="8" w:space="0" w:color="auto"/>
              <w:left w:val="single" w:sz="8" w:space="0" w:color="auto"/>
              <w:bottom w:val="single" w:sz="8" w:space="0" w:color="auto"/>
              <w:right w:val="single" w:sz="4" w:space="0" w:color="auto"/>
            </w:tcBorders>
            <w:shd w:val="clear" w:color="000000" w:fill="244062"/>
            <w:hideMark/>
          </w:tcPr>
          <w:p w14:paraId="1F138E4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28" w:type="dxa"/>
            <w:gridSpan w:val="3"/>
            <w:tcBorders>
              <w:top w:val="single" w:sz="8" w:space="0" w:color="auto"/>
              <w:left w:val="single" w:sz="4" w:space="0" w:color="auto"/>
              <w:bottom w:val="single" w:sz="8" w:space="0" w:color="auto"/>
              <w:right w:val="single" w:sz="8" w:space="0" w:color="000000"/>
            </w:tcBorders>
            <w:shd w:val="clear" w:color="auto" w:fill="auto"/>
            <w:vAlign w:val="center"/>
            <w:hideMark/>
          </w:tcPr>
          <w:p w14:paraId="4C46E61B" w14:textId="3051A47D" w:rsidR="00854ADA" w:rsidRPr="000A2AFE" w:rsidRDefault="00F56FED" w:rsidP="000A2AFE">
            <w:pPr>
              <w:pStyle w:val="ListParagraph"/>
              <w:numPr>
                <w:ilvl w:val="0"/>
                <w:numId w:val="355"/>
              </w:num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 xml:space="preserve">Процењени утицај мера за ублажавање до 2030. године (Gg CO2-eq) </w:t>
            </w:r>
          </w:p>
        </w:tc>
      </w:tr>
      <w:tr w:rsidR="00854ADA" w:rsidRPr="00FF386D" w14:paraId="478BAF77" w14:textId="77777777" w:rsidTr="0057310C">
        <w:trPr>
          <w:trHeight w:val="301"/>
        </w:trPr>
        <w:tc>
          <w:tcPr>
            <w:tcW w:w="3330" w:type="dxa"/>
            <w:tcBorders>
              <w:top w:val="nil"/>
              <w:left w:val="single" w:sz="8" w:space="0" w:color="auto"/>
              <w:bottom w:val="single" w:sz="8" w:space="0" w:color="auto"/>
              <w:right w:val="single" w:sz="8" w:space="0" w:color="auto"/>
            </w:tcBorders>
            <w:shd w:val="clear" w:color="000000" w:fill="244062"/>
            <w:hideMark/>
          </w:tcPr>
          <w:p w14:paraId="47D677F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tcPr>
          <w:p w14:paraId="09C43757"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p>
        </w:tc>
      </w:tr>
      <w:tr w:rsidR="00854ADA" w:rsidRPr="00FF386D" w14:paraId="429FC089" w14:textId="77777777" w:rsidTr="0057310C">
        <w:trPr>
          <w:trHeight w:val="450"/>
        </w:trPr>
        <w:tc>
          <w:tcPr>
            <w:tcW w:w="3330" w:type="dxa"/>
            <w:vMerge w:val="restart"/>
            <w:tcBorders>
              <w:top w:val="nil"/>
              <w:left w:val="single" w:sz="8" w:space="0" w:color="auto"/>
              <w:bottom w:val="single" w:sz="8" w:space="0" w:color="000000"/>
              <w:right w:val="single" w:sz="8" w:space="0" w:color="auto"/>
            </w:tcBorders>
            <w:shd w:val="clear" w:color="000000" w:fill="244062"/>
            <w:hideMark/>
          </w:tcPr>
          <w:p w14:paraId="54D73E2C" w14:textId="77777777" w:rsidR="00854ADA" w:rsidRPr="00FF386D" w:rsidRDefault="00854ADA" w:rsidP="00854ADA">
            <w:pPr>
              <w:spacing w:after="0" w:line="240" w:lineRule="auto"/>
              <w:rPr>
                <w:rFonts w:asciiTheme="majorHAnsi" w:hAnsiTheme="majorHAnsi" w:cstheme="majorHAnsi"/>
                <w:b/>
                <w:bCs/>
                <w:sz w:val="20"/>
                <w:szCs w:val="20"/>
              </w:rPr>
            </w:pPr>
          </w:p>
          <w:p w14:paraId="607904EF" w14:textId="77777777" w:rsidR="00854ADA" w:rsidRPr="00FF386D" w:rsidRDefault="00854ADA" w:rsidP="00854ADA">
            <w:pPr>
              <w:spacing w:after="0" w:line="240" w:lineRule="auto"/>
              <w:rPr>
                <w:rFonts w:asciiTheme="majorHAnsi" w:hAnsiTheme="majorHAnsi" w:cstheme="majorHAnsi"/>
                <w:b/>
                <w:bCs/>
                <w:sz w:val="20"/>
                <w:szCs w:val="20"/>
              </w:rPr>
            </w:pPr>
          </w:p>
          <w:p w14:paraId="1DBF34B2" w14:textId="48C32E65" w:rsidR="00854ADA" w:rsidRPr="00FF386D" w:rsidRDefault="004D35DC"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Политике Уније која су резултирале</w:t>
            </w:r>
            <w:r w:rsidR="008A1B30" w:rsidRPr="00FF386D">
              <w:rPr>
                <w:rFonts w:asciiTheme="majorHAnsi" w:hAnsiTheme="majorHAnsi" w:cstheme="majorHAnsi"/>
                <w:b/>
                <w:bCs/>
                <w:sz w:val="20"/>
                <w:szCs w:val="20"/>
              </w:rPr>
              <w:t xml:space="preserve"> </w:t>
            </w:r>
            <w:r w:rsidR="00854ADA" w:rsidRPr="00FF386D">
              <w:rPr>
                <w:rFonts w:asciiTheme="majorHAnsi" w:hAnsiTheme="majorHAnsi" w:cstheme="majorHAnsi"/>
                <w:b/>
                <w:bCs/>
                <w:sz w:val="20"/>
                <w:szCs w:val="20"/>
              </w:rPr>
              <w:t>имплементацијом ове МП</w:t>
            </w:r>
          </w:p>
          <w:p w14:paraId="4B554B6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8"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223ABE35" w14:textId="47201EFC" w:rsidR="00854ADA" w:rsidRPr="00FF386D" w:rsidRDefault="00854ADA">
            <w:pPr>
              <w:pStyle w:val="ListParagraph"/>
              <w:numPr>
                <w:ilvl w:val="0"/>
                <w:numId w:val="276"/>
              </w:num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Уредба 2018/</w:t>
            </w:r>
            <w:r w:rsidR="00F56FED">
              <w:rPr>
                <w:rFonts w:ascii="Calibri Light" w:eastAsia="Times New Roman" w:hAnsi="Calibri Light" w:cs="Calibri Light"/>
                <w:color w:val="000000"/>
                <w:sz w:val="20"/>
                <w:szCs w:val="20"/>
                <w:lang w:eastAsia="en-GB"/>
              </w:rPr>
              <w:t>1999</w:t>
            </w:r>
          </w:p>
        </w:tc>
      </w:tr>
      <w:tr w:rsidR="00854ADA" w:rsidRPr="00FF386D" w14:paraId="1C8DD443" w14:textId="77777777" w:rsidTr="0057310C">
        <w:trPr>
          <w:trHeight w:val="450"/>
        </w:trPr>
        <w:tc>
          <w:tcPr>
            <w:tcW w:w="3330" w:type="dxa"/>
            <w:vMerge/>
            <w:tcBorders>
              <w:top w:val="nil"/>
              <w:left w:val="single" w:sz="8" w:space="0" w:color="auto"/>
              <w:bottom w:val="single" w:sz="8" w:space="0" w:color="000000"/>
              <w:right w:val="single" w:sz="8" w:space="0" w:color="auto"/>
            </w:tcBorders>
            <w:hideMark/>
          </w:tcPr>
          <w:p w14:paraId="05AA13F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8" w:type="dxa"/>
            <w:gridSpan w:val="3"/>
            <w:vMerge/>
            <w:tcBorders>
              <w:top w:val="single" w:sz="8" w:space="0" w:color="auto"/>
              <w:left w:val="single" w:sz="8" w:space="0" w:color="auto"/>
              <w:bottom w:val="single" w:sz="8" w:space="0" w:color="000000"/>
              <w:right w:val="single" w:sz="8" w:space="0" w:color="000000"/>
            </w:tcBorders>
            <w:vAlign w:val="center"/>
            <w:hideMark/>
          </w:tcPr>
          <w:p w14:paraId="68CD06E1" w14:textId="77777777" w:rsidR="00854ADA" w:rsidRPr="00FF386D" w:rsidRDefault="00854ADA" w:rsidP="00854ADA">
            <w:pPr>
              <w:numPr>
                <w:ilvl w:val="0"/>
                <w:numId w:val="102"/>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07E01175" w14:textId="77777777" w:rsidTr="0057310C">
        <w:trPr>
          <w:trHeight w:val="450"/>
        </w:trPr>
        <w:tc>
          <w:tcPr>
            <w:tcW w:w="3330" w:type="dxa"/>
            <w:vMerge/>
            <w:tcBorders>
              <w:top w:val="nil"/>
              <w:left w:val="single" w:sz="8" w:space="0" w:color="auto"/>
              <w:bottom w:val="single" w:sz="8" w:space="0" w:color="000000"/>
              <w:right w:val="single" w:sz="8" w:space="0" w:color="auto"/>
            </w:tcBorders>
            <w:hideMark/>
          </w:tcPr>
          <w:p w14:paraId="0814BEB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8" w:type="dxa"/>
            <w:gridSpan w:val="3"/>
            <w:vMerge/>
            <w:tcBorders>
              <w:top w:val="single" w:sz="8" w:space="0" w:color="auto"/>
              <w:left w:val="single" w:sz="8" w:space="0" w:color="auto"/>
              <w:bottom w:val="single" w:sz="8" w:space="0" w:color="000000"/>
              <w:right w:val="single" w:sz="8" w:space="0" w:color="000000"/>
            </w:tcBorders>
            <w:vAlign w:val="center"/>
            <w:hideMark/>
          </w:tcPr>
          <w:p w14:paraId="1EE665E7" w14:textId="77777777" w:rsidR="00854ADA" w:rsidRPr="00FF386D" w:rsidRDefault="00854ADA" w:rsidP="00854ADA">
            <w:pPr>
              <w:numPr>
                <w:ilvl w:val="0"/>
                <w:numId w:val="102"/>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4B962854" w14:textId="77777777" w:rsidTr="0057310C">
        <w:trPr>
          <w:trHeight w:val="493"/>
        </w:trPr>
        <w:tc>
          <w:tcPr>
            <w:tcW w:w="3330" w:type="dxa"/>
            <w:tcBorders>
              <w:top w:val="nil"/>
              <w:left w:val="single" w:sz="8" w:space="0" w:color="auto"/>
              <w:bottom w:val="single" w:sz="8" w:space="0" w:color="auto"/>
              <w:right w:val="single" w:sz="8" w:space="0" w:color="auto"/>
            </w:tcBorders>
            <w:shd w:val="clear" w:color="000000" w:fill="244062"/>
            <w:hideMark/>
          </w:tcPr>
          <w:p w14:paraId="3A0A745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3E1F2333" w14:textId="36517FA4" w:rsidR="00854ADA" w:rsidRPr="00FF386D" w:rsidRDefault="00854ADA" w:rsidP="00854ADA">
            <w:pPr>
              <w:numPr>
                <w:ilvl w:val="0"/>
                <w:numId w:val="167"/>
              </w:numPr>
              <w:spacing w:after="0" w:line="240" w:lineRule="auto"/>
              <w:contextualSpacing/>
              <w:rPr>
                <w:rFonts w:asciiTheme="majorHAnsi" w:hAnsiTheme="majorHAnsi" w:cstheme="majorHAnsi"/>
                <w:sz w:val="24"/>
                <w:szCs w:val="24"/>
                <w:lang w:eastAsia="en-GB"/>
              </w:rPr>
            </w:pPr>
            <w:r w:rsidRPr="000A2AFE">
              <w:rPr>
                <w:rFonts w:ascii="Calibri Light" w:eastAsia="Times New Roman" w:hAnsi="Calibri Light" w:cs="Calibri Light"/>
                <w:color w:val="000000"/>
                <w:sz w:val="20"/>
                <w:szCs w:val="20"/>
                <w:lang w:eastAsia="en-GB"/>
              </w:rPr>
              <w:t xml:space="preserve">Стратегија нискоугљеничног развоја </w:t>
            </w:r>
            <w:r w:rsidR="00F56FED" w:rsidRPr="00F56FED">
              <w:rPr>
                <w:rFonts w:ascii="Calibri Light" w:eastAsia="Times New Roman" w:hAnsi="Calibri Light" w:cs="Calibri Light"/>
                <w:color w:val="000000"/>
                <w:sz w:val="20"/>
                <w:szCs w:val="20"/>
                <w:lang w:eastAsia="en-GB"/>
              </w:rPr>
              <w:t>за период од 2023. до 2030. године са</w:t>
            </w:r>
            <w:r w:rsidR="00F56FED">
              <w:rPr>
                <w:rFonts w:ascii="Calibri Light" w:eastAsia="Times New Roman" w:hAnsi="Calibri Light" w:cs="Calibri Light"/>
                <w:color w:val="000000"/>
                <w:sz w:val="20"/>
                <w:szCs w:val="20"/>
                <w:lang w:eastAsia="en-GB"/>
              </w:rPr>
              <w:t xml:space="preserve"> </w:t>
            </w:r>
            <w:r w:rsidR="00F56FED" w:rsidRPr="00F56FED">
              <w:rPr>
                <w:rFonts w:ascii="Calibri Light" w:eastAsia="Times New Roman" w:hAnsi="Calibri Light" w:cs="Calibri Light"/>
                <w:color w:val="000000"/>
                <w:sz w:val="20"/>
                <w:szCs w:val="20"/>
                <w:lang w:eastAsia="en-GB"/>
              </w:rPr>
              <w:t>пројекцијама до 2050. године</w:t>
            </w:r>
          </w:p>
        </w:tc>
      </w:tr>
      <w:tr w:rsidR="00854ADA" w:rsidRPr="00FF386D" w14:paraId="50693327"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hideMark/>
          </w:tcPr>
          <w:p w14:paraId="5A95FF5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Трошкови имплементације </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4770E0B4" w14:textId="6F9A851A" w:rsidR="00854ADA" w:rsidRPr="00FF386D" w:rsidRDefault="00F56FED" w:rsidP="00854ADA">
            <w:pPr>
              <w:spacing w:after="0" w:line="240" w:lineRule="auto"/>
              <w:rPr>
                <w:rFonts w:asciiTheme="majorHAnsi" w:eastAsia="Times New Roman" w:hAnsiTheme="majorHAnsi" w:cstheme="majorHAnsi"/>
                <w:color w:val="000000"/>
                <w:sz w:val="20"/>
                <w:szCs w:val="20"/>
                <w:lang w:eastAsia="en-GB"/>
              </w:rPr>
            </w:pPr>
            <w:r w:rsidRPr="00F56FED">
              <w:rPr>
                <w:rFonts w:asciiTheme="majorHAnsi" w:eastAsia="Times New Roman" w:hAnsiTheme="majorHAnsi" w:cstheme="majorHAnsi"/>
                <w:color w:val="000000"/>
                <w:sz w:val="20"/>
                <w:szCs w:val="20"/>
                <w:lang w:eastAsia="en-GB"/>
              </w:rPr>
              <w:t>Под разматрањем</w:t>
            </w:r>
          </w:p>
        </w:tc>
      </w:tr>
      <w:tr w:rsidR="00854ADA" w:rsidRPr="00FF386D" w14:paraId="1296038E"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hideMark/>
          </w:tcPr>
          <w:p w14:paraId="6EDC503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Извор(и) финансирања </w:t>
            </w:r>
          </w:p>
        </w:tc>
        <w:tc>
          <w:tcPr>
            <w:tcW w:w="6128" w:type="dxa"/>
            <w:gridSpan w:val="3"/>
            <w:tcBorders>
              <w:top w:val="single" w:sz="8" w:space="0" w:color="auto"/>
              <w:left w:val="nil"/>
              <w:bottom w:val="single" w:sz="8" w:space="0" w:color="auto"/>
              <w:right w:val="single" w:sz="8" w:space="0" w:color="auto"/>
            </w:tcBorders>
            <w:shd w:val="clear" w:color="auto" w:fill="auto"/>
            <w:vAlign w:val="center"/>
            <w:hideMark/>
          </w:tcPr>
          <w:p w14:paraId="14FEEB4F" w14:textId="1B3A1D0F"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BE1F44" w:rsidRPr="00FF386D">
              <w:rPr>
                <w:rFonts w:asciiTheme="majorHAnsi" w:eastAsia="Times New Roman" w:hAnsiTheme="majorHAnsi" w:cstheme="majorHAnsi"/>
                <w:color w:val="000000"/>
                <w:sz w:val="20"/>
                <w:szCs w:val="20"/>
                <w:lang w:eastAsia="en-GB"/>
              </w:rPr>
              <w:t>ска средства</w:t>
            </w:r>
          </w:p>
        </w:tc>
      </w:tr>
    </w:tbl>
    <w:p w14:paraId="20130780"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98" w:type="dxa"/>
        <w:tblInd w:w="-10" w:type="dxa"/>
        <w:tblLook w:val="04A0" w:firstRow="1" w:lastRow="0" w:firstColumn="1" w:lastColumn="0" w:noHBand="0" w:noVBand="1"/>
      </w:tblPr>
      <w:tblGrid>
        <w:gridCol w:w="3402"/>
        <w:gridCol w:w="973"/>
        <w:gridCol w:w="967"/>
        <w:gridCol w:w="4156"/>
      </w:tblGrid>
      <w:tr w:rsidR="00854ADA" w:rsidRPr="00FF386D" w14:paraId="2511030E" w14:textId="77777777" w:rsidTr="006E0ED7">
        <w:trPr>
          <w:trHeight w:val="349"/>
        </w:trPr>
        <w:tc>
          <w:tcPr>
            <w:tcW w:w="3402"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12AF514E" w14:textId="77777777" w:rsidR="00854ADA" w:rsidRPr="00FF386D" w:rsidRDefault="00854ADA" w:rsidP="00854ADA">
            <w:pPr>
              <w:spacing w:after="0" w:line="240" w:lineRule="auto"/>
              <w:jc w:val="both"/>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73" w:type="dxa"/>
            <w:tcBorders>
              <w:top w:val="single" w:sz="8" w:space="0" w:color="auto"/>
              <w:left w:val="nil"/>
              <w:bottom w:val="single" w:sz="8" w:space="0" w:color="auto"/>
              <w:right w:val="single" w:sz="8" w:space="0" w:color="auto"/>
            </w:tcBorders>
            <w:shd w:val="clear" w:color="auto" w:fill="E7E6E6" w:themeFill="background2"/>
            <w:vAlign w:val="center"/>
            <w:hideMark/>
          </w:tcPr>
          <w:p w14:paraId="6ACEE9C3" w14:textId="15F11E13"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eastAsia="Times New Roman" w:hAnsi="Calibri Light" w:cs="Calibri Light"/>
                <w:b/>
                <w:bCs/>
                <w:color w:val="000000"/>
                <w:sz w:val="20"/>
                <w:szCs w:val="20"/>
                <w:lang w:eastAsia="en-GB"/>
              </w:rPr>
              <w:t>MП_Д6</w:t>
            </w:r>
          </w:p>
        </w:tc>
        <w:tc>
          <w:tcPr>
            <w:tcW w:w="967" w:type="dxa"/>
            <w:tcBorders>
              <w:top w:val="single" w:sz="8" w:space="0" w:color="auto"/>
              <w:left w:val="nil"/>
              <w:bottom w:val="single" w:sz="8" w:space="0" w:color="auto"/>
              <w:right w:val="single" w:sz="8" w:space="0" w:color="auto"/>
            </w:tcBorders>
            <w:shd w:val="clear" w:color="000000" w:fill="244062"/>
            <w:vAlign w:val="center"/>
            <w:hideMark/>
          </w:tcPr>
          <w:p w14:paraId="1EEAC22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eastAsia="Times New Roman" w:hAnsi="Calibri Light" w:cs="Calibri Light"/>
                <w:b/>
                <w:bCs/>
                <w:color w:val="FFFFFF"/>
                <w:sz w:val="20"/>
                <w:szCs w:val="20"/>
                <w:lang w:eastAsia="en-GB"/>
              </w:rPr>
              <w:t xml:space="preserve">Назив: </w:t>
            </w:r>
          </w:p>
        </w:tc>
        <w:tc>
          <w:tcPr>
            <w:tcW w:w="4156" w:type="dxa"/>
            <w:tcBorders>
              <w:top w:val="single" w:sz="8" w:space="0" w:color="auto"/>
              <w:left w:val="nil"/>
              <w:bottom w:val="single" w:sz="8" w:space="0" w:color="auto"/>
              <w:right w:val="single" w:sz="8" w:space="0" w:color="auto"/>
            </w:tcBorders>
            <w:shd w:val="clear" w:color="auto" w:fill="E7E6E6" w:themeFill="background2"/>
            <w:vAlign w:val="center"/>
            <w:hideMark/>
          </w:tcPr>
          <w:p w14:paraId="2F27CDDA" w14:textId="5F3636F1" w:rsidR="00854ADA" w:rsidRPr="00FF386D" w:rsidRDefault="0057310C" w:rsidP="00854ADA">
            <w:pPr>
              <w:spacing w:after="0" w:line="240" w:lineRule="auto"/>
              <w:jc w:val="both"/>
              <w:rPr>
                <w:rFonts w:ascii="Calibri Light" w:eastAsia="Times New Roman" w:hAnsi="Calibri Light" w:cs="Calibri Light"/>
                <w:b/>
                <w:bCs/>
                <w:color w:val="000000"/>
                <w:sz w:val="20"/>
                <w:szCs w:val="20"/>
                <w:lang w:eastAsia="en-GB"/>
              </w:rPr>
            </w:pPr>
            <w:r>
              <w:rPr>
                <w:rFonts w:ascii="Calibri Light" w:eastAsia="Times New Roman" w:hAnsi="Calibri Light" w:cs="Calibri Light"/>
                <w:b/>
                <w:bCs/>
                <w:color w:val="000000"/>
                <w:sz w:val="20"/>
                <w:szCs w:val="20"/>
                <w:lang w:eastAsia="en-GB"/>
              </w:rPr>
              <w:t>П</w:t>
            </w:r>
            <w:r w:rsidR="00854ADA" w:rsidRPr="00FF386D">
              <w:rPr>
                <w:rFonts w:ascii="Calibri Light" w:eastAsia="Times New Roman" w:hAnsi="Calibri Light" w:cs="Calibri Light"/>
                <w:b/>
                <w:bCs/>
                <w:color w:val="000000"/>
                <w:sz w:val="20"/>
                <w:szCs w:val="20"/>
                <w:lang w:eastAsia="en-GB"/>
              </w:rPr>
              <w:t>раћ</w:t>
            </w:r>
            <w:r w:rsidR="00E262A1" w:rsidRPr="00FF386D">
              <w:rPr>
                <w:rFonts w:ascii="Calibri Light" w:eastAsia="Times New Roman" w:hAnsi="Calibri Light" w:cs="Calibri Light"/>
                <w:b/>
                <w:bCs/>
                <w:color w:val="000000"/>
                <w:sz w:val="20"/>
                <w:szCs w:val="20"/>
                <w:lang w:eastAsia="en-GB"/>
              </w:rPr>
              <w:t>ење</w:t>
            </w:r>
            <w:r>
              <w:rPr>
                <w:rFonts w:ascii="Calibri Light" w:eastAsia="Times New Roman" w:hAnsi="Calibri Light" w:cs="Calibri Light"/>
                <w:b/>
                <w:bCs/>
                <w:color w:val="000000"/>
                <w:sz w:val="20"/>
                <w:szCs w:val="20"/>
                <w:lang w:eastAsia="en-GB"/>
              </w:rPr>
              <w:t xml:space="preserve"> и ревизија</w:t>
            </w:r>
            <w:r w:rsidR="00854ADA" w:rsidRPr="00FF386D">
              <w:rPr>
                <w:rFonts w:ascii="Calibri Light" w:eastAsia="Times New Roman" w:hAnsi="Calibri Light" w:cs="Calibri Light"/>
                <w:b/>
                <w:bCs/>
                <w:color w:val="000000"/>
                <w:sz w:val="20"/>
                <w:szCs w:val="20"/>
                <w:lang w:eastAsia="en-GB"/>
              </w:rPr>
              <w:t xml:space="preserve"> </w:t>
            </w:r>
            <w:r w:rsidR="008773BB">
              <w:rPr>
                <w:rFonts w:ascii="Calibri Light" w:eastAsia="Times New Roman" w:hAnsi="Calibri Light" w:cs="Calibri Light"/>
                <w:b/>
                <w:bCs/>
                <w:color w:val="000000"/>
                <w:sz w:val="20"/>
                <w:szCs w:val="20"/>
                <w:lang w:eastAsia="en-GB"/>
              </w:rPr>
              <w:t>Акционог п</w:t>
            </w:r>
            <w:r w:rsidR="00F56FED" w:rsidRPr="00F56FED">
              <w:rPr>
                <w:rFonts w:ascii="Calibri Light" w:eastAsia="Times New Roman" w:hAnsi="Calibri Light" w:cs="Calibri Light"/>
                <w:b/>
                <w:bCs/>
                <w:color w:val="000000"/>
                <w:sz w:val="20"/>
                <w:szCs w:val="20"/>
                <w:lang w:eastAsia="en-GB"/>
              </w:rPr>
              <w:t xml:space="preserve">лана </w:t>
            </w:r>
            <w:r w:rsidR="00F56FED">
              <w:rPr>
                <w:rFonts w:ascii="Calibri Light" w:eastAsia="Times New Roman" w:hAnsi="Calibri Light" w:cs="Calibri Light"/>
                <w:b/>
                <w:bCs/>
                <w:color w:val="000000"/>
                <w:sz w:val="20"/>
                <w:szCs w:val="20"/>
                <w:lang w:eastAsia="en-GB"/>
              </w:rPr>
              <w:t>п</w:t>
            </w:r>
            <w:r w:rsidR="00854ADA" w:rsidRPr="00FF386D">
              <w:rPr>
                <w:rFonts w:ascii="Calibri Light" w:eastAsia="Times New Roman" w:hAnsi="Calibri Light" w:cs="Calibri Light"/>
                <w:b/>
                <w:bCs/>
                <w:color w:val="000000"/>
                <w:sz w:val="20"/>
                <w:szCs w:val="20"/>
                <w:lang w:eastAsia="en-GB"/>
              </w:rPr>
              <w:t>раведне транзиције</w:t>
            </w:r>
          </w:p>
        </w:tc>
      </w:tr>
      <w:tr w:rsidR="00854ADA" w:rsidRPr="00FF386D" w14:paraId="005D375E" w14:textId="77777777" w:rsidTr="006E0ED7">
        <w:trPr>
          <w:trHeight w:val="271"/>
        </w:trPr>
        <w:tc>
          <w:tcPr>
            <w:tcW w:w="3402" w:type="dxa"/>
            <w:tcBorders>
              <w:top w:val="nil"/>
              <w:left w:val="single" w:sz="8" w:space="0" w:color="auto"/>
              <w:bottom w:val="single" w:sz="8" w:space="0" w:color="auto"/>
              <w:right w:val="nil"/>
            </w:tcBorders>
            <w:shd w:val="clear" w:color="000000" w:fill="244062"/>
            <w:vAlign w:val="center"/>
            <w:hideMark/>
          </w:tcPr>
          <w:p w14:paraId="18AF0847"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Главни циљ:</w:t>
            </w:r>
          </w:p>
        </w:tc>
        <w:tc>
          <w:tcPr>
            <w:tcW w:w="6096" w:type="dxa"/>
            <w:gridSpan w:val="3"/>
            <w:tcBorders>
              <w:top w:val="single" w:sz="8" w:space="0" w:color="auto"/>
              <w:left w:val="nil"/>
              <w:bottom w:val="single" w:sz="8" w:space="0" w:color="auto"/>
              <w:right w:val="single" w:sz="8" w:space="0" w:color="000000"/>
            </w:tcBorders>
            <w:shd w:val="clear" w:color="auto" w:fill="auto"/>
            <w:hideMark/>
          </w:tcPr>
          <w:p w14:paraId="0DDD5D9E" w14:textId="3DE6A43A" w:rsidR="00854ADA" w:rsidRPr="00FF386D" w:rsidRDefault="00854ADA" w:rsidP="00854ADA">
            <w:pPr>
              <w:spacing w:after="0" w:line="240" w:lineRule="auto"/>
              <w:rPr>
                <w:rFonts w:asciiTheme="majorHAnsi" w:hAnsiTheme="majorHAnsi" w:cstheme="majorHAnsi"/>
                <w:sz w:val="24"/>
                <w:szCs w:val="24"/>
                <w:lang w:eastAsia="en-GB"/>
              </w:rPr>
            </w:pPr>
            <w:r w:rsidRPr="000A2AFE">
              <w:rPr>
                <w:rFonts w:ascii="Calibri Light" w:eastAsia="Times New Roman" w:hAnsi="Calibri Light" w:cs="Calibri Light"/>
                <w:color w:val="000000"/>
                <w:sz w:val="20"/>
                <w:szCs w:val="20"/>
                <w:lang w:eastAsia="en-GB"/>
              </w:rPr>
              <w:t xml:space="preserve">Смањење емисија </w:t>
            </w:r>
            <w:r w:rsidR="008A1B30" w:rsidRPr="000A2AFE">
              <w:rPr>
                <w:rFonts w:ascii="Calibri Light" w:eastAsia="Times New Roman" w:hAnsi="Calibri Light" w:cs="Calibri Light"/>
                <w:color w:val="000000"/>
                <w:sz w:val="20"/>
                <w:szCs w:val="20"/>
                <w:lang w:eastAsia="en-GB"/>
              </w:rPr>
              <w:t>угљеника</w:t>
            </w:r>
          </w:p>
        </w:tc>
      </w:tr>
      <w:tr w:rsidR="00854ADA" w:rsidRPr="00FF386D" w14:paraId="75FE7FD6" w14:textId="77777777" w:rsidTr="006E0ED7">
        <w:trPr>
          <w:trHeight w:val="315"/>
        </w:trPr>
        <w:tc>
          <w:tcPr>
            <w:tcW w:w="3402" w:type="dxa"/>
            <w:tcBorders>
              <w:top w:val="nil"/>
              <w:left w:val="single" w:sz="8" w:space="0" w:color="auto"/>
              <w:bottom w:val="single" w:sz="8" w:space="0" w:color="auto"/>
              <w:right w:val="single" w:sz="8" w:space="0" w:color="auto"/>
            </w:tcBorders>
            <w:shd w:val="clear" w:color="000000" w:fill="244062"/>
            <w:vAlign w:val="center"/>
            <w:hideMark/>
          </w:tcPr>
          <w:p w14:paraId="1321B0C5"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096" w:type="dxa"/>
            <w:gridSpan w:val="3"/>
            <w:tcBorders>
              <w:top w:val="single" w:sz="8" w:space="0" w:color="auto"/>
              <w:left w:val="nil"/>
              <w:bottom w:val="single" w:sz="8" w:space="0" w:color="auto"/>
              <w:right w:val="single" w:sz="8" w:space="0" w:color="000000"/>
            </w:tcBorders>
            <w:shd w:val="clear" w:color="auto" w:fill="auto"/>
          </w:tcPr>
          <w:p w14:paraId="0E874213" w14:textId="54371564" w:rsidR="00854ADA" w:rsidRPr="00FF386D" w:rsidRDefault="00F56FED" w:rsidP="00854ADA">
            <w:pPr>
              <w:spacing w:after="0" w:line="240" w:lineRule="auto"/>
              <w:rPr>
                <w:rFonts w:asciiTheme="majorHAnsi" w:eastAsia="Times New Roman" w:hAnsiTheme="majorHAnsi" w:cstheme="majorHAnsi"/>
                <w:color w:val="000000"/>
                <w:sz w:val="20"/>
                <w:szCs w:val="20"/>
                <w:lang w:eastAsia="en-GB"/>
              </w:rPr>
            </w:pPr>
            <w:r w:rsidRPr="00F56FED">
              <w:rPr>
                <w:rFonts w:asciiTheme="majorHAnsi" w:eastAsia="Times New Roman" w:hAnsiTheme="majorHAnsi" w:cstheme="majorHAnsi"/>
                <w:color w:val="000000"/>
                <w:sz w:val="20"/>
                <w:szCs w:val="20"/>
                <w:lang w:eastAsia="en-GB"/>
              </w:rPr>
              <w:t xml:space="preserve">Допринос циљу смањења емисија </w:t>
            </w:r>
            <w:r w:rsidRPr="000A2AFE">
              <w:rPr>
                <w:rFonts w:asciiTheme="majorHAnsi" w:eastAsia="Times New Roman" w:hAnsiTheme="majorHAnsi" w:cstheme="majorHAnsi"/>
                <w:i/>
                <w:iCs/>
                <w:color w:val="000000"/>
                <w:sz w:val="20"/>
                <w:szCs w:val="20"/>
                <w:lang w:eastAsia="en-GB"/>
              </w:rPr>
              <w:t>GHG</w:t>
            </w:r>
            <w:r w:rsidRPr="00F56FED">
              <w:rPr>
                <w:rFonts w:asciiTheme="majorHAnsi" w:eastAsia="Times New Roman" w:hAnsiTheme="majorHAnsi" w:cstheme="majorHAnsi"/>
                <w:color w:val="000000"/>
                <w:sz w:val="20"/>
                <w:szCs w:val="20"/>
                <w:lang w:eastAsia="en-GB"/>
              </w:rPr>
              <w:t xml:space="preserve"> за </w:t>
            </w:r>
            <w:r w:rsidR="001F6911">
              <w:rPr>
                <w:rFonts w:asciiTheme="majorHAnsi" w:eastAsia="Times New Roman" w:hAnsiTheme="majorHAnsi" w:cstheme="majorHAnsi"/>
                <w:color w:val="000000"/>
                <w:sz w:val="20"/>
                <w:szCs w:val="20"/>
                <w:lang w:eastAsia="en-GB"/>
              </w:rPr>
              <w:t>40</w:t>
            </w:r>
            <w:r w:rsidRPr="00F56FED">
              <w:rPr>
                <w:rFonts w:asciiTheme="majorHAnsi" w:eastAsia="Times New Roman" w:hAnsiTheme="majorHAnsi" w:cstheme="majorHAnsi"/>
                <w:color w:val="000000"/>
                <w:sz w:val="20"/>
                <w:szCs w:val="20"/>
                <w:lang w:eastAsia="en-GB"/>
              </w:rPr>
              <w:t>,3% до 2030. године у поређењу са нивоима из 1990. године</w:t>
            </w:r>
          </w:p>
        </w:tc>
      </w:tr>
      <w:tr w:rsidR="00854ADA" w:rsidRPr="00FF386D" w14:paraId="7957A84E" w14:textId="77777777" w:rsidTr="006E0ED7">
        <w:trPr>
          <w:trHeight w:val="2295"/>
        </w:trPr>
        <w:tc>
          <w:tcPr>
            <w:tcW w:w="3402" w:type="dxa"/>
            <w:tcBorders>
              <w:top w:val="nil"/>
              <w:left w:val="single" w:sz="8" w:space="0" w:color="auto"/>
              <w:bottom w:val="single" w:sz="8" w:space="0" w:color="auto"/>
              <w:right w:val="single" w:sz="8" w:space="0" w:color="auto"/>
            </w:tcBorders>
            <w:shd w:val="clear" w:color="000000" w:fill="244062"/>
            <w:vAlign w:val="center"/>
            <w:hideMark/>
          </w:tcPr>
          <w:p w14:paraId="3F7B3C32"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Опис:</w:t>
            </w:r>
          </w:p>
        </w:tc>
        <w:tc>
          <w:tcPr>
            <w:tcW w:w="6096" w:type="dxa"/>
            <w:gridSpan w:val="3"/>
            <w:tcBorders>
              <w:top w:val="single" w:sz="8" w:space="0" w:color="auto"/>
              <w:left w:val="nil"/>
              <w:bottom w:val="single" w:sz="8" w:space="0" w:color="auto"/>
              <w:right w:val="single" w:sz="8" w:space="0" w:color="000000"/>
            </w:tcBorders>
            <w:shd w:val="clear" w:color="auto" w:fill="auto"/>
            <w:vAlign w:val="center"/>
            <w:hideMark/>
          </w:tcPr>
          <w:p w14:paraId="308C880F" w14:textId="5F8C0B3B" w:rsidR="00854ADA" w:rsidRDefault="00854ADA" w:rsidP="0060511B">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МП_Д6 ћ</w:t>
            </w:r>
            <w:r w:rsidR="003F1C65" w:rsidRPr="00FF386D">
              <w:rPr>
                <w:rFonts w:asciiTheme="majorHAnsi" w:eastAsia="Times New Roman" w:hAnsiTheme="majorHAnsi" w:cstheme="majorHAnsi"/>
                <w:color w:val="000000"/>
                <w:sz w:val="20"/>
                <w:szCs w:val="20"/>
                <w:lang w:eastAsia="en-GB"/>
              </w:rPr>
              <w:t>е бити усмерена на</w:t>
            </w:r>
            <w:r w:rsidRPr="00FF386D">
              <w:rPr>
                <w:rFonts w:asciiTheme="majorHAnsi" w:eastAsia="Times New Roman" w:hAnsiTheme="majorHAnsi" w:cstheme="majorHAnsi"/>
                <w:color w:val="000000"/>
                <w:sz w:val="20"/>
                <w:szCs w:val="20"/>
                <w:lang w:eastAsia="en-GB"/>
              </w:rPr>
              <w:t xml:space="preserve"> </w:t>
            </w:r>
            <w:r w:rsidR="008A1B30" w:rsidRPr="00FF386D">
              <w:rPr>
                <w:rFonts w:asciiTheme="majorHAnsi" w:eastAsia="Times New Roman" w:hAnsiTheme="majorHAnsi" w:cstheme="majorHAnsi"/>
                <w:color w:val="000000"/>
                <w:sz w:val="20"/>
                <w:szCs w:val="20"/>
                <w:lang w:eastAsia="en-GB"/>
              </w:rPr>
              <w:t>опорав</w:t>
            </w:r>
            <w:r w:rsidR="003F1C65" w:rsidRPr="00FF386D">
              <w:rPr>
                <w:rFonts w:asciiTheme="majorHAnsi" w:eastAsia="Times New Roman" w:hAnsiTheme="majorHAnsi" w:cstheme="majorHAnsi"/>
                <w:color w:val="000000"/>
                <w:sz w:val="20"/>
                <w:szCs w:val="20"/>
                <w:lang w:eastAsia="en-GB"/>
              </w:rPr>
              <w:t>ак</w:t>
            </w:r>
            <w:r w:rsidRPr="00FF386D">
              <w:rPr>
                <w:rFonts w:asciiTheme="majorHAnsi" w:eastAsia="Times New Roman" w:hAnsiTheme="majorHAnsi" w:cstheme="majorHAnsi"/>
                <w:color w:val="000000"/>
                <w:sz w:val="20"/>
                <w:szCs w:val="20"/>
                <w:lang w:eastAsia="en-GB"/>
              </w:rPr>
              <w:t xml:space="preserve"> локалне привреде, о</w:t>
            </w:r>
            <w:r w:rsidR="00A23425">
              <w:rPr>
                <w:rFonts w:asciiTheme="majorHAnsi" w:eastAsia="Times New Roman" w:hAnsiTheme="majorHAnsi" w:cstheme="majorHAnsi"/>
                <w:color w:val="000000"/>
                <w:sz w:val="20"/>
                <w:szCs w:val="20"/>
                <w:lang w:eastAsia="en-GB"/>
              </w:rPr>
              <w:t>безбеђивање</w:t>
            </w:r>
            <w:r w:rsidRPr="00FF386D">
              <w:rPr>
                <w:rFonts w:asciiTheme="majorHAnsi" w:eastAsia="Times New Roman" w:hAnsiTheme="majorHAnsi" w:cstheme="majorHAnsi"/>
                <w:color w:val="000000"/>
                <w:sz w:val="20"/>
                <w:szCs w:val="20"/>
                <w:lang w:eastAsia="en-GB"/>
              </w:rPr>
              <w:t xml:space="preserve"> и отварањ</w:t>
            </w:r>
            <w:r w:rsidR="003F1C65" w:rsidRPr="00FF386D">
              <w:rPr>
                <w:rFonts w:asciiTheme="majorHAnsi" w:eastAsia="Times New Roman" w:hAnsiTheme="majorHAnsi" w:cstheme="majorHAnsi"/>
                <w:color w:val="000000"/>
                <w:sz w:val="20"/>
                <w:szCs w:val="20"/>
                <w:lang w:eastAsia="en-GB"/>
              </w:rPr>
              <w:t>е</w:t>
            </w:r>
            <w:r w:rsidRPr="00FF386D">
              <w:rPr>
                <w:rFonts w:asciiTheme="majorHAnsi" w:eastAsia="Times New Roman" w:hAnsiTheme="majorHAnsi" w:cstheme="majorHAnsi"/>
                <w:color w:val="000000"/>
                <w:sz w:val="20"/>
                <w:szCs w:val="20"/>
                <w:lang w:eastAsia="en-GB"/>
              </w:rPr>
              <w:t xml:space="preserve"> нових</w:t>
            </w:r>
            <w:r w:rsidR="008A6CDE" w:rsidRPr="00FF386D">
              <w:rPr>
                <w:rFonts w:asciiTheme="majorHAnsi" w:eastAsia="Times New Roman" w:hAnsiTheme="majorHAnsi" w:cstheme="majorHAnsi"/>
                <w:color w:val="000000"/>
                <w:sz w:val="20"/>
                <w:szCs w:val="20"/>
                <w:lang w:eastAsia="en-GB"/>
              </w:rPr>
              <w:t xml:space="preserve"> радних места</w:t>
            </w:r>
            <w:r w:rsidRPr="00FF386D">
              <w:rPr>
                <w:rFonts w:asciiTheme="majorHAnsi" w:eastAsia="Times New Roman" w:hAnsiTheme="majorHAnsi" w:cstheme="majorHAnsi"/>
                <w:color w:val="000000"/>
                <w:sz w:val="20"/>
                <w:szCs w:val="20"/>
                <w:lang w:eastAsia="en-GB"/>
              </w:rPr>
              <w:t>, п</w:t>
            </w:r>
            <w:r w:rsidR="00872B04" w:rsidRPr="00FF386D">
              <w:rPr>
                <w:rFonts w:asciiTheme="majorHAnsi" w:eastAsia="Times New Roman" w:hAnsiTheme="majorHAnsi" w:cstheme="majorHAnsi"/>
                <w:color w:val="000000"/>
                <w:sz w:val="20"/>
                <w:szCs w:val="20"/>
                <w:lang w:eastAsia="en-GB"/>
              </w:rPr>
              <w:t>омоћу</w:t>
            </w:r>
            <w:r w:rsidRPr="00FF386D">
              <w:rPr>
                <w:rFonts w:asciiTheme="majorHAnsi" w:eastAsia="Times New Roman" w:hAnsiTheme="majorHAnsi" w:cstheme="majorHAnsi"/>
                <w:color w:val="000000"/>
                <w:sz w:val="20"/>
                <w:szCs w:val="20"/>
                <w:lang w:eastAsia="en-GB"/>
              </w:rPr>
              <w:t xml:space="preserve"> флексибилне развојне трансформације обухваћених области. </w:t>
            </w:r>
            <w:r w:rsidR="008773BB">
              <w:rPr>
                <w:rFonts w:asciiTheme="majorHAnsi" w:eastAsia="Times New Roman" w:hAnsiTheme="majorHAnsi" w:cstheme="majorHAnsi"/>
                <w:color w:val="000000"/>
                <w:sz w:val="20"/>
                <w:szCs w:val="20"/>
                <w:lang w:eastAsia="en-GB"/>
              </w:rPr>
              <w:t>Акциони п</w:t>
            </w:r>
            <w:r w:rsidRPr="00FF386D">
              <w:rPr>
                <w:rFonts w:asciiTheme="majorHAnsi" w:eastAsia="Times New Roman" w:hAnsiTheme="majorHAnsi" w:cstheme="majorHAnsi"/>
                <w:color w:val="000000"/>
                <w:sz w:val="20"/>
                <w:szCs w:val="20"/>
                <w:lang w:eastAsia="en-GB"/>
              </w:rPr>
              <w:t xml:space="preserve">лан праведне транзиције ће </w:t>
            </w:r>
            <w:r w:rsidR="00DA65B2" w:rsidRPr="00FF386D">
              <w:rPr>
                <w:rFonts w:asciiTheme="majorHAnsi" w:eastAsia="Times New Roman" w:hAnsiTheme="majorHAnsi" w:cstheme="majorHAnsi"/>
                <w:color w:val="000000"/>
                <w:sz w:val="20"/>
                <w:szCs w:val="20"/>
                <w:lang w:eastAsia="en-GB"/>
              </w:rPr>
              <w:t>утврдити</w:t>
            </w:r>
            <w:r w:rsidRPr="00FF386D">
              <w:rPr>
                <w:rFonts w:asciiTheme="majorHAnsi" w:eastAsia="Times New Roman" w:hAnsiTheme="majorHAnsi" w:cstheme="majorHAnsi"/>
                <w:color w:val="000000"/>
                <w:sz w:val="20"/>
                <w:szCs w:val="20"/>
                <w:lang w:eastAsia="en-GB"/>
              </w:rPr>
              <w:t xml:space="preserve"> стубове развоја који ће допринети </w:t>
            </w:r>
            <w:r w:rsidR="00DA664E" w:rsidRPr="00FF386D">
              <w:rPr>
                <w:rFonts w:asciiTheme="majorHAnsi" w:eastAsia="Times New Roman" w:hAnsiTheme="majorHAnsi" w:cstheme="majorHAnsi"/>
                <w:color w:val="000000"/>
                <w:sz w:val="20"/>
                <w:szCs w:val="20"/>
                <w:lang w:eastAsia="en-GB"/>
              </w:rPr>
              <w:t>остварењу</w:t>
            </w:r>
            <w:r w:rsidRPr="00FF386D">
              <w:rPr>
                <w:rFonts w:asciiTheme="majorHAnsi" w:eastAsia="Times New Roman" w:hAnsiTheme="majorHAnsi" w:cstheme="majorHAnsi"/>
                <w:color w:val="000000"/>
                <w:sz w:val="20"/>
                <w:szCs w:val="20"/>
                <w:lang w:eastAsia="en-GB"/>
              </w:rPr>
              <w:t xml:space="preserve"> циљева, </w:t>
            </w:r>
            <w:r w:rsidR="00DD0230" w:rsidRPr="00FF386D">
              <w:rPr>
                <w:rFonts w:asciiTheme="majorHAnsi" w:eastAsia="Times New Roman" w:hAnsiTheme="majorHAnsi" w:cstheme="majorHAnsi"/>
                <w:color w:val="000000"/>
                <w:sz w:val="20"/>
                <w:szCs w:val="20"/>
                <w:lang w:eastAsia="en-GB"/>
              </w:rPr>
              <w:t>уз</w:t>
            </w:r>
            <w:r w:rsidR="003F1C65" w:rsidRPr="00FF386D">
              <w:rPr>
                <w:rFonts w:asciiTheme="majorHAnsi" w:eastAsia="Times New Roman" w:hAnsiTheme="majorHAnsi" w:cstheme="majorHAnsi"/>
                <w:color w:val="000000"/>
                <w:sz w:val="20"/>
                <w:szCs w:val="20"/>
                <w:lang w:eastAsia="en-GB"/>
              </w:rPr>
              <w:t xml:space="preserve"> </w:t>
            </w:r>
            <w:r w:rsidR="00DA664E" w:rsidRPr="00FF386D">
              <w:rPr>
                <w:rFonts w:asciiTheme="majorHAnsi" w:eastAsia="Times New Roman" w:hAnsiTheme="majorHAnsi" w:cstheme="majorHAnsi"/>
                <w:color w:val="000000"/>
                <w:sz w:val="20"/>
                <w:szCs w:val="20"/>
                <w:lang w:eastAsia="en-GB"/>
              </w:rPr>
              <w:t xml:space="preserve">нагласак </w:t>
            </w:r>
            <w:r w:rsidRPr="00FF386D">
              <w:rPr>
                <w:rFonts w:asciiTheme="majorHAnsi" w:eastAsia="Times New Roman" w:hAnsiTheme="majorHAnsi" w:cstheme="majorHAnsi"/>
                <w:color w:val="000000"/>
                <w:sz w:val="20"/>
                <w:szCs w:val="20"/>
                <w:lang w:eastAsia="en-GB"/>
              </w:rPr>
              <w:t xml:space="preserve">на унапређење инфраструктуре и алтернативно </w:t>
            </w:r>
            <w:r w:rsidR="00DD0230" w:rsidRPr="00FF386D">
              <w:rPr>
                <w:rFonts w:asciiTheme="majorHAnsi" w:eastAsia="Times New Roman" w:hAnsiTheme="majorHAnsi" w:cstheme="majorHAnsi"/>
                <w:color w:val="000000"/>
                <w:sz w:val="20"/>
                <w:szCs w:val="20"/>
                <w:lang w:eastAsia="en-GB"/>
              </w:rPr>
              <w:t>искоришћење</w:t>
            </w:r>
            <w:r w:rsidRPr="00FF386D">
              <w:rPr>
                <w:rFonts w:asciiTheme="majorHAnsi" w:eastAsia="Times New Roman" w:hAnsiTheme="majorHAnsi" w:cstheme="majorHAnsi"/>
                <w:color w:val="000000"/>
                <w:sz w:val="20"/>
                <w:szCs w:val="20"/>
                <w:lang w:eastAsia="en-GB"/>
              </w:rPr>
              <w:t xml:space="preserve"> земљишта које тренутно заузимају рудници лигнита. Поред тога, </w:t>
            </w:r>
            <w:r w:rsidR="003F1C65" w:rsidRPr="00FF386D">
              <w:rPr>
                <w:rFonts w:asciiTheme="majorHAnsi" w:eastAsia="Times New Roman" w:hAnsiTheme="majorHAnsi" w:cstheme="majorHAnsi"/>
                <w:color w:val="000000"/>
                <w:sz w:val="20"/>
                <w:szCs w:val="20"/>
                <w:lang w:eastAsia="en-GB"/>
              </w:rPr>
              <w:t xml:space="preserve">од кључне важности су </w:t>
            </w:r>
            <w:r w:rsidRPr="00FF386D">
              <w:rPr>
                <w:rFonts w:asciiTheme="majorHAnsi" w:eastAsia="Times New Roman" w:hAnsiTheme="majorHAnsi" w:cstheme="majorHAnsi"/>
                <w:color w:val="000000"/>
                <w:sz w:val="20"/>
                <w:szCs w:val="20"/>
                <w:lang w:eastAsia="en-GB"/>
              </w:rPr>
              <w:t>консултације са заинтересованим странама</w:t>
            </w:r>
            <w:r w:rsidR="00DA664E" w:rsidRPr="00FF386D">
              <w:rPr>
                <w:rFonts w:asciiTheme="majorHAnsi" w:eastAsia="Times New Roman" w:hAnsiTheme="majorHAnsi" w:cstheme="majorHAnsi"/>
                <w:color w:val="000000"/>
                <w:sz w:val="20"/>
                <w:szCs w:val="20"/>
                <w:lang w:eastAsia="en-GB"/>
              </w:rPr>
              <w:t>, укључујући социјалне партнере и цивилно друштво,</w:t>
            </w:r>
            <w:r w:rsidRPr="00FF386D">
              <w:rPr>
                <w:rFonts w:asciiTheme="majorHAnsi" w:eastAsia="Times New Roman" w:hAnsiTheme="majorHAnsi" w:cstheme="majorHAnsi"/>
                <w:color w:val="000000"/>
                <w:sz w:val="20"/>
                <w:szCs w:val="20"/>
                <w:lang w:eastAsia="en-GB"/>
              </w:rPr>
              <w:t xml:space="preserve"> и </w:t>
            </w:r>
            <w:r w:rsidR="003F1C65" w:rsidRPr="00FF386D">
              <w:rPr>
                <w:rFonts w:asciiTheme="majorHAnsi" w:eastAsia="Times New Roman" w:hAnsiTheme="majorHAnsi" w:cstheme="majorHAnsi"/>
                <w:color w:val="000000"/>
                <w:sz w:val="20"/>
                <w:szCs w:val="20"/>
                <w:lang w:eastAsia="en-GB"/>
              </w:rPr>
              <w:t xml:space="preserve">њихово </w:t>
            </w:r>
            <w:r w:rsidRPr="00FF386D">
              <w:rPr>
                <w:rFonts w:asciiTheme="majorHAnsi" w:eastAsia="Times New Roman" w:hAnsiTheme="majorHAnsi" w:cstheme="majorHAnsi"/>
                <w:color w:val="000000"/>
                <w:sz w:val="20"/>
                <w:szCs w:val="20"/>
                <w:lang w:eastAsia="en-GB"/>
              </w:rPr>
              <w:t>ангажовање у припреми планова</w:t>
            </w:r>
            <w:r w:rsidR="00DA664E" w:rsidRPr="00FF386D">
              <w:rPr>
                <w:rFonts w:asciiTheme="majorHAnsi" w:eastAsia="Times New Roman" w:hAnsiTheme="majorHAnsi" w:cstheme="majorHAnsi"/>
                <w:color w:val="000000"/>
                <w:sz w:val="20"/>
                <w:szCs w:val="20"/>
                <w:lang w:eastAsia="en-GB"/>
              </w:rPr>
              <w:t>.</w:t>
            </w:r>
            <w:r w:rsidRPr="00FF386D">
              <w:rPr>
                <w:rFonts w:asciiTheme="majorHAnsi" w:eastAsia="Times New Roman" w:hAnsiTheme="majorHAnsi" w:cstheme="majorHAnsi"/>
                <w:color w:val="000000"/>
                <w:sz w:val="20"/>
                <w:szCs w:val="20"/>
                <w:lang w:eastAsia="en-GB"/>
              </w:rPr>
              <w:t xml:space="preserve"> </w:t>
            </w:r>
            <w:r w:rsidR="00DA664E" w:rsidRPr="00FF386D">
              <w:rPr>
                <w:rFonts w:asciiTheme="majorHAnsi" w:eastAsia="Times New Roman" w:hAnsiTheme="majorHAnsi" w:cstheme="majorHAnsi"/>
                <w:color w:val="000000"/>
                <w:sz w:val="20"/>
                <w:szCs w:val="20"/>
                <w:lang w:eastAsia="en-GB"/>
              </w:rPr>
              <w:t>Ова мера ће т</w:t>
            </w:r>
            <w:r w:rsidRPr="00FF386D">
              <w:rPr>
                <w:rFonts w:asciiTheme="majorHAnsi" w:eastAsia="Times New Roman" w:hAnsiTheme="majorHAnsi" w:cstheme="majorHAnsi"/>
                <w:color w:val="000000"/>
                <w:sz w:val="20"/>
                <w:szCs w:val="20"/>
                <w:lang w:eastAsia="en-GB"/>
              </w:rPr>
              <w:t>акође</w:t>
            </w:r>
            <w:r w:rsidR="00DA664E" w:rsidRPr="00FF386D">
              <w:rPr>
                <w:rFonts w:asciiTheme="majorHAnsi" w:eastAsia="Times New Roman" w:hAnsiTheme="majorHAnsi" w:cstheme="majorHAnsi"/>
                <w:color w:val="000000"/>
                <w:sz w:val="20"/>
                <w:szCs w:val="20"/>
                <w:lang w:eastAsia="en-GB"/>
              </w:rPr>
              <w:t xml:space="preserve"> </w:t>
            </w:r>
            <w:r w:rsidRPr="00FF386D">
              <w:rPr>
                <w:rFonts w:asciiTheme="majorHAnsi" w:eastAsia="Times New Roman" w:hAnsiTheme="majorHAnsi" w:cstheme="majorHAnsi"/>
                <w:color w:val="000000"/>
                <w:sz w:val="20"/>
                <w:szCs w:val="20"/>
                <w:lang w:eastAsia="en-GB"/>
              </w:rPr>
              <w:t>обухватити пореске олакшице</w:t>
            </w:r>
            <w:r w:rsidR="001D74A1" w:rsidRPr="00FF386D">
              <w:rPr>
                <w:rFonts w:asciiTheme="majorHAnsi" w:eastAsia="Times New Roman" w:hAnsiTheme="majorHAnsi" w:cstheme="majorHAnsi"/>
                <w:color w:val="000000"/>
                <w:sz w:val="20"/>
                <w:szCs w:val="20"/>
                <w:lang w:eastAsia="en-GB"/>
              </w:rPr>
              <w:t>, заједно са</w:t>
            </w:r>
            <w:r w:rsidRPr="00FF386D">
              <w:rPr>
                <w:rFonts w:asciiTheme="majorHAnsi" w:eastAsia="Times New Roman" w:hAnsiTheme="majorHAnsi" w:cstheme="majorHAnsi"/>
                <w:color w:val="000000"/>
                <w:sz w:val="20"/>
                <w:szCs w:val="20"/>
                <w:lang w:eastAsia="en-GB"/>
              </w:rPr>
              <w:t xml:space="preserve"> субвенциј</w:t>
            </w:r>
            <w:r w:rsidR="001D74A1" w:rsidRPr="00FF386D">
              <w:rPr>
                <w:rFonts w:asciiTheme="majorHAnsi" w:eastAsia="Times New Roman" w:hAnsiTheme="majorHAnsi" w:cstheme="majorHAnsi"/>
                <w:color w:val="000000"/>
                <w:sz w:val="20"/>
                <w:szCs w:val="20"/>
                <w:lang w:eastAsia="en-GB"/>
              </w:rPr>
              <w:t>ама</w:t>
            </w:r>
            <w:r w:rsidRPr="00FF386D">
              <w:rPr>
                <w:rFonts w:asciiTheme="majorHAnsi" w:eastAsia="Times New Roman" w:hAnsiTheme="majorHAnsi" w:cstheme="majorHAnsi"/>
                <w:color w:val="000000"/>
                <w:sz w:val="20"/>
                <w:szCs w:val="20"/>
                <w:lang w:eastAsia="en-GB"/>
              </w:rPr>
              <w:t>,</w:t>
            </w:r>
            <w:r w:rsidR="001D74A1" w:rsidRPr="00FF386D">
              <w:rPr>
                <w:rFonts w:asciiTheme="majorHAnsi" w:eastAsia="Times New Roman" w:hAnsiTheme="majorHAnsi" w:cstheme="majorHAnsi"/>
                <w:color w:val="000000"/>
                <w:sz w:val="20"/>
                <w:szCs w:val="20"/>
                <w:lang w:eastAsia="en-GB"/>
              </w:rPr>
              <w:t xml:space="preserve"> за </w:t>
            </w:r>
            <w:r w:rsidRPr="00FF386D">
              <w:rPr>
                <w:rFonts w:asciiTheme="majorHAnsi" w:eastAsia="Times New Roman" w:hAnsiTheme="majorHAnsi" w:cstheme="majorHAnsi"/>
                <w:color w:val="000000"/>
                <w:sz w:val="20"/>
                <w:szCs w:val="20"/>
                <w:lang w:eastAsia="en-GB"/>
              </w:rPr>
              <w:t>привлачењ</w:t>
            </w:r>
            <w:r w:rsidR="001D74A1" w:rsidRPr="00FF386D">
              <w:rPr>
                <w:rFonts w:asciiTheme="majorHAnsi" w:eastAsia="Times New Roman" w:hAnsiTheme="majorHAnsi" w:cstheme="majorHAnsi"/>
                <w:color w:val="000000"/>
                <w:sz w:val="20"/>
                <w:szCs w:val="20"/>
                <w:lang w:eastAsia="en-GB"/>
              </w:rPr>
              <w:t>е</w:t>
            </w:r>
            <w:r w:rsidRPr="00FF386D">
              <w:rPr>
                <w:rFonts w:asciiTheme="majorHAnsi" w:eastAsia="Times New Roman" w:hAnsiTheme="majorHAnsi" w:cstheme="majorHAnsi"/>
                <w:color w:val="000000"/>
                <w:sz w:val="20"/>
                <w:szCs w:val="20"/>
                <w:lang w:eastAsia="en-GB"/>
              </w:rPr>
              <w:t xml:space="preserve"> инвестиција, </w:t>
            </w:r>
            <w:r w:rsidR="00F56FED" w:rsidRPr="00F56FED">
              <w:rPr>
                <w:rFonts w:asciiTheme="majorHAnsi" w:eastAsia="Times New Roman" w:hAnsiTheme="majorHAnsi" w:cstheme="majorHAnsi"/>
                <w:color w:val="000000"/>
                <w:sz w:val="20"/>
                <w:szCs w:val="20"/>
                <w:lang w:eastAsia="en-GB"/>
              </w:rPr>
              <w:t xml:space="preserve">израду просторних планова и мера за ремедијацију и рекултивацију како </w:t>
            </w:r>
            <w:r w:rsidR="001D74A1" w:rsidRPr="00FF386D">
              <w:rPr>
                <w:rFonts w:asciiTheme="majorHAnsi" w:eastAsia="Times New Roman" w:hAnsiTheme="majorHAnsi" w:cstheme="majorHAnsi"/>
                <w:color w:val="000000"/>
                <w:sz w:val="20"/>
                <w:szCs w:val="20"/>
                <w:lang w:eastAsia="en-GB"/>
              </w:rPr>
              <w:t>би се</w:t>
            </w:r>
            <w:r w:rsidRPr="00FF386D">
              <w:rPr>
                <w:rFonts w:asciiTheme="majorHAnsi" w:eastAsia="Times New Roman" w:hAnsiTheme="majorHAnsi" w:cstheme="majorHAnsi"/>
                <w:color w:val="000000"/>
                <w:sz w:val="20"/>
                <w:szCs w:val="20"/>
                <w:lang w:eastAsia="en-GB"/>
              </w:rPr>
              <w:t xml:space="preserve"> </w:t>
            </w:r>
            <w:r w:rsidR="001D74A1" w:rsidRPr="00FF386D">
              <w:rPr>
                <w:rFonts w:asciiTheme="majorHAnsi" w:eastAsia="Times New Roman" w:hAnsiTheme="majorHAnsi" w:cstheme="majorHAnsi"/>
                <w:color w:val="000000"/>
                <w:sz w:val="20"/>
                <w:szCs w:val="20"/>
                <w:lang w:eastAsia="en-GB"/>
              </w:rPr>
              <w:t>одредила</w:t>
            </w:r>
            <w:r w:rsidR="00573F7F" w:rsidRPr="00FF386D">
              <w:rPr>
                <w:rFonts w:asciiTheme="majorHAnsi" w:eastAsia="Times New Roman" w:hAnsiTheme="majorHAnsi" w:cstheme="majorHAnsi"/>
                <w:color w:val="000000"/>
                <w:sz w:val="20"/>
                <w:szCs w:val="20"/>
                <w:lang w:eastAsia="en-GB"/>
              </w:rPr>
              <w:t xml:space="preserve"> намена</w:t>
            </w:r>
            <w:r w:rsidRPr="00FF386D">
              <w:rPr>
                <w:rFonts w:asciiTheme="majorHAnsi" w:eastAsia="Times New Roman" w:hAnsiTheme="majorHAnsi" w:cstheme="majorHAnsi"/>
                <w:color w:val="000000"/>
                <w:sz w:val="20"/>
                <w:szCs w:val="20"/>
                <w:lang w:eastAsia="en-GB"/>
              </w:rPr>
              <w:t xml:space="preserve"> </w:t>
            </w:r>
            <w:r w:rsidR="00DA664E" w:rsidRPr="00FF386D">
              <w:rPr>
                <w:rFonts w:asciiTheme="majorHAnsi" w:eastAsia="Times New Roman" w:hAnsiTheme="majorHAnsi" w:cstheme="majorHAnsi"/>
                <w:color w:val="000000"/>
                <w:sz w:val="20"/>
                <w:szCs w:val="20"/>
                <w:lang w:eastAsia="en-GB"/>
              </w:rPr>
              <w:t>расположивог</w:t>
            </w:r>
            <w:r w:rsidRPr="00FF386D">
              <w:rPr>
                <w:rFonts w:asciiTheme="majorHAnsi" w:eastAsia="Times New Roman" w:hAnsiTheme="majorHAnsi" w:cstheme="majorHAnsi"/>
                <w:color w:val="000000"/>
                <w:sz w:val="20"/>
                <w:szCs w:val="20"/>
                <w:lang w:eastAsia="en-GB"/>
              </w:rPr>
              <w:t xml:space="preserve"> земљишта након затварања рудника лигнита и </w:t>
            </w:r>
            <w:r w:rsidR="001D74A1" w:rsidRPr="00FF386D">
              <w:rPr>
                <w:rFonts w:asciiTheme="majorHAnsi" w:eastAsia="Times New Roman" w:hAnsiTheme="majorHAnsi" w:cstheme="majorHAnsi"/>
                <w:color w:val="000000"/>
                <w:sz w:val="20"/>
                <w:szCs w:val="20"/>
                <w:lang w:eastAsia="en-GB"/>
              </w:rPr>
              <w:t>рокови</w:t>
            </w:r>
            <w:r w:rsidRPr="00FF386D">
              <w:rPr>
                <w:rFonts w:asciiTheme="majorHAnsi" w:eastAsia="Times New Roman" w:hAnsiTheme="majorHAnsi" w:cstheme="majorHAnsi"/>
                <w:color w:val="000000"/>
                <w:sz w:val="20"/>
                <w:szCs w:val="20"/>
                <w:lang w:eastAsia="en-GB"/>
              </w:rPr>
              <w:t xml:space="preserve"> за реализацију инвестиција. </w:t>
            </w:r>
            <w:r w:rsidR="008773BB">
              <w:rPr>
                <w:rFonts w:asciiTheme="majorHAnsi" w:eastAsia="Times New Roman" w:hAnsiTheme="majorHAnsi" w:cstheme="majorHAnsi"/>
                <w:color w:val="000000"/>
                <w:sz w:val="20"/>
                <w:szCs w:val="20"/>
                <w:lang w:eastAsia="en-GB"/>
              </w:rPr>
              <w:t>Акциони п</w:t>
            </w:r>
            <w:r w:rsidR="00F56FED" w:rsidRPr="00F56FED">
              <w:rPr>
                <w:rFonts w:asciiTheme="majorHAnsi" w:eastAsia="Times New Roman" w:hAnsiTheme="majorHAnsi" w:cstheme="majorHAnsi"/>
                <w:color w:val="000000"/>
                <w:sz w:val="20"/>
                <w:szCs w:val="20"/>
                <w:lang w:eastAsia="en-GB"/>
              </w:rPr>
              <w:t>лан праведне транзиције ће обухватити препоруке за унапређене институционалне и управне структуре, потребне реформе политика за подршку праведној транзицији и низ потенцијалних циљаних инвестиција. На пример, План праведне транзиције може да садржи препоруке у погледу политика и инвестиција, као што су: измена Правила о раду транспортног система природног гаса, развој неопходне инфраструктуре ОПС-а и ОДС-а, план спремности сектора саобраћаја и индустрије за коришћење водоника.</w:t>
            </w:r>
          </w:p>
          <w:p w14:paraId="0B55E5A5" w14:textId="429E49AC" w:rsidR="00F56FED" w:rsidRPr="00C312D6" w:rsidRDefault="00F56FED" w:rsidP="0060511B">
            <w:pPr>
              <w:spacing w:after="0" w:line="240" w:lineRule="auto"/>
              <w:jc w:val="both"/>
              <w:rPr>
                <w:rFonts w:asciiTheme="majorHAnsi" w:eastAsia="Times New Roman" w:hAnsiTheme="majorHAnsi" w:cstheme="majorHAnsi"/>
                <w:color w:val="000000"/>
                <w:sz w:val="20"/>
                <w:szCs w:val="20"/>
                <w:lang w:eastAsia="en-GB"/>
              </w:rPr>
            </w:pPr>
            <w:r w:rsidRPr="00F56FED">
              <w:rPr>
                <w:rFonts w:asciiTheme="majorHAnsi" w:eastAsia="Times New Roman" w:hAnsiTheme="majorHAnsi" w:cstheme="majorHAnsi"/>
                <w:color w:val="000000"/>
                <w:sz w:val="20"/>
                <w:szCs w:val="20"/>
                <w:lang w:eastAsia="en-GB"/>
              </w:rPr>
              <w:t>Ова МП се односи на документ „Дијагностика праведне транзиције” који је још увек у поступку израде.</w:t>
            </w:r>
            <w:r w:rsidR="001F6911">
              <w:rPr>
                <w:rFonts w:asciiTheme="majorHAnsi" w:eastAsia="Times New Roman" w:hAnsiTheme="majorHAnsi" w:cstheme="majorHAnsi"/>
                <w:color w:val="000000"/>
                <w:sz w:val="20"/>
                <w:szCs w:val="20"/>
                <w:lang w:eastAsia="en-GB"/>
              </w:rPr>
              <w:t xml:space="preserve"> Трошкови имплементације мера обухваћених у Акционом плану су у разматрању и нису део трошкова имплементације ове мере.</w:t>
            </w:r>
          </w:p>
        </w:tc>
      </w:tr>
      <w:tr w:rsidR="00854ADA" w:rsidRPr="00FF386D" w14:paraId="72370632" w14:textId="77777777" w:rsidTr="006E0ED7">
        <w:trPr>
          <w:trHeight w:val="315"/>
        </w:trPr>
        <w:tc>
          <w:tcPr>
            <w:tcW w:w="3402" w:type="dxa"/>
            <w:tcBorders>
              <w:top w:val="nil"/>
              <w:left w:val="single" w:sz="8" w:space="0" w:color="auto"/>
              <w:bottom w:val="single" w:sz="8" w:space="0" w:color="auto"/>
              <w:right w:val="single" w:sz="8" w:space="0" w:color="auto"/>
            </w:tcBorders>
            <w:shd w:val="clear" w:color="000000" w:fill="244062"/>
            <w:vAlign w:val="center"/>
            <w:hideMark/>
          </w:tcPr>
          <w:p w14:paraId="32E0AF79"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096" w:type="dxa"/>
            <w:gridSpan w:val="3"/>
            <w:tcBorders>
              <w:top w:val="single" w:sz="8" w:space="0" w:color="auto"/>
              <w:left w:val="nil"/>
              <w:bottom w:val="single" w:sz="8" w:space="0" w:color="auto"/>
              <w:right w:val="single" w:sz="8" w:space="0" w:color="000000"/>
            </w:tcBorders>
            <w:shd w:val="clear" w:color="auto" w:fill="auto"/>
            <w:vAlign w:val="center"/>
            <w:hideMark/>
          </w:tcPr>
          <w:p w14:paraId="70B8879A" w14:textId="181368CB" w:rsidR="00854ADA" w:rsidRPr="00FF386D" w:rsidRDefault="00F56FED"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202</w:t>
            </w:r>
            <w:r>
              <w:rPr>
                <w:rFonts w:asciiTheme="majorHAnsi" w:eastAsia="Times New Roman" w:hAnsiTheme="majorHAnsi" w:cstheme="majorHAnsi"/>
                <w:color w:val="000000"/>
                <w:sz w:val="20"/>
                <w:szCs w:val="20"/>
                <w:lang w:eastAsia="en-GB"/>
              </w:rPr>
              <w:t>4</w:t>
            </w:r>
            <w:r w:rsidR="00854ADA" w:rsidRPr="00FF386D">
              <w:rPr>
                <w:rFonts w:asciiTheme="majorHAnsi" w:eastAsia="Times New Roman" w:hAnsiTheme="majorHAnsi" w:cstheme="majorHAnsi"/>
                <w:color w:val="000000"/>
                <w:sz w:val="20"/>
                <w:szCs w:val="20"/>
                <w:lang w:eastAsia="en-GB"/>
              </w:rPr>
              <w:t>-2030</w:t>
            </w:r>
          </w:p>
        </w:tc>
      </w:tr>
      <w:tr w:rsidR="00854ADA" w:rsidRPr="00FF386D" w14:paraId="2833E77A" w14:textId="77777777" w:rsidTr="006E0ED7">
        <w:trPr>
          <w:trHeight w:val="315"/>
        </w:trPr>
        <w:tc>
          <w:tcPr>
            <w:tcW w:w="3402" w:type="dxa"/>
            <w:tcBorders>
              <w:top w:val="nil"/>
              <w:left w:val="single" w:sz="8" w:space="0" w:color="auto"/>
              <w:bottom w:val="single" w:sz="8" w:space="0" w:color="auto"/>
              <w:right w:val="single" w:sz="8" w:space="0" w:color="auto"/>
            </w:tcBorders>
            <w:shd w:val="clear" w:color="000000" w:fill="244062"/>
            <w:vAlign w:val="center"/>
            <w:hideMark/>
          </w:tcPr>
          <w:p w14:paraId="43F591B1"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Тип мере</w:t>
            </w:r>
          </w:p>
        </w:tc>
        <w:tc>
          <w:tcPr>
            <w:tcW w:w="6096" w:type="dxa"/>
            <w:gridSpan w:val="3"/>
            <w:tcBorders>
              <w:top w:val="single" w:sz="8" w:space="0" w:color="auto"/>
              <w:left w:val="nil"/>
              <w:bottom w:val="single" w:sz="8" w:space="0" w:color="auto"/>
              <w:right w:val="single" w:sz="8" w:space="0" w:color="000000"/>
            </w:tcBorders>
            <w:shd w:val="clear" w:color="auto" w:fill="auto"/>
            <w:vAlign w:val="center"/>
            <w:hideMark/>
          </w:tcPr>
          <w:p w14:paraId="3EE311F0"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Реформа</w:t>
            </w:r>
          </w:p>
        </w:tc>
      </w:tr>
      <w:tr w:rsidR="00854ADA" w:rsidRPr="00FF386D" w14:paraId="10B15CB5" w14:textId="77777777" w:rsidTr="006E0ED7">
        <w:trPr>
          <w:trHeight w:val="315"/>
        </w:trPr>
        <w:tc>
          <w:tcPr>
            <w:tcW w:w="3402" w:type="dxa"/>
            <w:tcBorders>
              <w:top w:val="nil"/>
              <w:left w:val="single" w:sz="8" w:space="0" w:color="auto"/>
              <w:bottom w:val="single" w:sz="8" w:space="0" w:color="auto"/>
              <w:right w:val="single" w:sz="8" w:space="0" w:color="auto"/>
            </w:tcBorders>
            <w:shd w:val="clear" w:color="000000" w:fill="244062"/>
            <w:vAlign w:val="center"/>
            <w:hideMark/>
          </w:tcPr>
          <w:p w14:paraId="6A43EB24"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096" w:type="dxa"/>
            <w:gridSpan w:val="3"/>
            <w:tcBorders>
              <w:top w:val="single" w:sz="8" w:space="0" w:color="auto"/>
              <w:left w:val="nil"/>
              <w:bottom w:val="single" w:sz="8" w:space="0" w:color="auto"/>
              <w:right w:val="single" w:sz="8" w:space="0" w:color="000000"/>
            </w:tcBorders>
            <w:shd w:val="clear" w:color="auto" w:fill="auto"/>
            <w:vAlign w:val="center"/>
            <w:hideMark/>
          </w:tcPr>
          <w:p w14:paraId="4AA0AA48" w14:textId="077C7C4A"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Све области </w:t>
            </w:r>
            <w:r w:rsidR="008A1B30" w:rsidRPr="00FF386D">
              <w:rPr>
                <w:rFonts w:asciiTheme="majorHAnsi" w:eastAsia="Times New Roman" w:hAnsiTheme="majorHAnsi" w:cstheme="majorHAnsi"/>
                <w:color w:val="000000"/>
                <w:sz w:val="20"/>
                <w:szCs w:val="20"/>
                <w:lang w:eastAsia="en-GB"/>
              </w:rPr>
              <w:t>И</w:t>
            </w:r>
            <w:r w:rsidRPr="00FF386D">
              <w:rPr>
                <w:rFonts w:asciiTheme="majorHAnsi" w:eastAsia="Times New Roman" w:hAnsiTheme="majorHAnsi" w:cstheme="majorHAnsi"/>
                <w:color w:val="000000"/>
                <w:sz w:val="20"/>
                <w:szCs w:val="20"/>
                <w:lang w:eastAsia="en-GB"/>
              </w:rPr>
              <w:t>НЕКП-а</w:t>
            </w:r>
          </w:p>
        </w:tc>
      </w:tr>
      <w:tr w:rsidR="00854ADA" w:rsidRPr="00FF386D" w14:paraId="2D899884" w14:textId="77777777" w:rsidTr="006E0ED7">
        <w:trPr>
          <w:trHeight w:val="315"/>
        </w:trPr>
        <w:tc>
          <w:tcPr>
            <w:tcW w:w="3402" w:type="dxa"/>
            <w:tcBorders>
              <w:top w:val="nil"/>
              <w:left w:val="single" w:sz="8" w:space="0" w:color="auto"/>
              <w:bottom w:val="single" w:sz="8" w:space="0" w:color="auto"/>
              <w:right w:val="single" w:sz="8" w:space="0" w:color="auto"/>
            </w:tcBorders>
            <w:shd w:val="clear" w:color="000000" w:fill="244062"/>
            <w:vAlign w:val="center"/>
            <w:hideMark/>
          </w:tcPr>
          <w:p w14:paraId="7F3E4957"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Извршни орган</w:t>
            </w:r>
          </w:p>
        </w:tc>
        <w:tc>
          <w:tcPr>
            <w:tcW w:w="6096" w:type="dxa"/>
            <w:gridSpan w:val="3"/>
            <w:tcBorders>
              <w:top w:val="single" w:sz="8" w:space="0" w:color="auto"/>
              <w:left w:val="nil"/>
              <w:bottom w:val="single" w:sz="8" w:space="0" w:color="auto"/>
              <w:right w:val="single" w:sz="8" w:space="0" w:color="000000"/>
            </w:tcBorders>
            <w:shd w:val="clear" w:color="auto" w:fill="auto"/>
            <w:vAlign w:val="center"/>
            <w:hideMark/>
          </w:tcPr>
          <w:p w14:paraId="394E41CE" w14:textId="3E32E6D7" w:rsidR="00F56FED" w:rsidRPr="000A2AFE" w:rsidRDefault="00F56FED" w:rsidP="00C312D6">
            <w:pPr>
              <w:pStyle w:val="ListParagraph"/>
              <w:spacing w:after="0"/>
              <w:ind w:left="714"/>
              <w:rPr>
                <w:rFonts w:asciiTheme="majorHAnsi" w:eastAsia="Times New Roman" w:hAnsiTheme="majorHAnsi" w:cstheme="majorHAnsi"/>
                <w:color w:val="000000"/>
                <w:sz w:val="20"/>
                <w:szCs w:val="20"/>
                <w:lang w:eastAsia="en-GB"/>
              </w:rPr>
            </w:pPr>
          </w:p>
          <w:p w14:paraId="13909AA6" w14:textId="3BA80173" w:rsidR="00854ADA" w:rsidRPr="00FF386D" w:rsidRDefault="00854ADA" w:rsidP="00854ADA">
            <w:pPr>
              <w:numPr>
                <w:ilvl w:val="0"/>
                <w:numId w:val="207"/>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рударства и енергетике</w:t>
            </w:r>
          </w:p>
        </w:tc>
      </w:tr>
      <w:tr w:rsidR="00854ADA" w:rsidRPr="00FF386D" w14:paraId="7880513A" w14:textId="77777777" w:rsidTr="006E0ED7">
        <w:trPr>
          <w:trHeight w:val="315"/>
        </w:trPr>
        <w:tc>
          <w:tcPr>
            <w:tcW w:w="3402" w:type="dxa"/>
            <w:tcBorders>
              <w:top w:val="nil"/>
              <w:left w:val="single" w:sz="8" w:space="0" w:color="auto"/>
              <w:bottom w:val="single" w:sz="8" w:space="0" w:color="auto"/>
              <w:right w:val="nil"/>
            </w:tcBorders>
            <w:shd w:val="clear" w:color="000000" w:fill="244062"/>
            <w:vAlign w:val="center"/>
            <w:hideMark/>
          </w:tcPr>
          <w:p w14:paraId="12ACBB00"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Тело за праћење</w:t>
            </w:r>
          </w:p>
        </w:tc>
        <w:tc>
          <w:tcPr>
            <w:tcW w:w="6096" w:type="dxa"/>
            <w:gridSpan w:val="3"/>
            <w:tcBorders>
              <w:top w:val="single" w:sz="8" w:space="0" w:color="auto"/>
              <w:left w:val="nil"/>
              <w:bottom w:val="single" w:sz="8" w:space="0" w:color="auto"/>
              <w:right w:val="single" w:sz="8" w:space="0" w:color="000000"/>
            </w:tcBorders>
            <w:shd w:val="clear" w:color="auto" w:fill="auto"/>
            <w:vAlign w:val="center"/>
            <w:hideMark/>
          </w:tcPr>
          <w:p w14:paraId="078EA793" w14:textId="49B35A2F" w:rsidR="00854ADA" w:rsidRPr="00FF386D" w:rsidRDefault="008A1B30" w:rsidP="00854ADA">
            <w:pPr>
              <w:numPr>
                <w:ilvl w:val="0"/>
                <w:numId w:val="207"/>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w:t>
            </w:r>
            <w:r w:rsidR="00854ADA" w:rsidRPr="00FF386D">
              <w:rPr>
                <w:rFonts w:asciiTheme="majorHAnsi" w:eastAsia="Times New Roman" w:hAnsiTheme="majorHAnsi" w:cstheme="majorHAnsi"/>
                <w:color w:val="000000"/>
                <w:sz w:val="20"/>
                <w:szCs w:val="20"/>
                <w:lang w:eastAsia="en-GB"/>
              </w:rPr>
              <w:t xml:space="preserve"> заштите животне средине</w:t>
            </w:r>
          </w:p>
          <w:p w14:paraId="0F7DB0D2" w14:textId="77777777" w:rsidR="00854ADA" w:rsidRDefault="00854ADA" w:rsidP="00854ADA">
            <w:pPr>
              <w:numPr>
                <w:ilvl w:val="0"/>
                <w:numId w:val="207"/>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рударства и енергетике</w:t>
            </w:r>
          </w:p>
          <w:p w14:paraId="59544670" w14:textId="77777777" w:rsidR="00F56FED" w:rsidRPr="00F56FED" w:rsidRDefault="00F56FED" w:rsidP="00F56FED">
            <w:pPr>
              <w:numPr>
                <w:ilvl w:val="0"/>
                <w:numId w:val="207"/>
              </w:numPr>
              <w:spacing w:after="0" w:line="240" w:lineRule="auto"/>
              <w:contextualSpacing/>
              <w:rPr>
                <w:rFonts w:asciiTheme="majorHAnsi" w:eastAsia="Times New Roman" w:hAnsiTheme="majorHAnsi" w:cstheme="majorHAnsi"/>
                <w:color w:val="000000"/>
                <w:sz w:val="20"/>
                <w:szCs w:val="20"/>
                <w:lang w:eastAsia="en-GB"/>
              </w:rPr>
            </w:pPr>
            <w:r w:rsidRPr="00F56FED">
              <w:rPr>
                <w:rFonts w:asciiTheme="majorHAnsi" w:eastAsia="Times New Roman" w:hAnsiTheme="majorHAnsi" w:cstheme="majorHAnsi"/>
                <w:color w:val="000000"/>
                <w:sz w:val="20"/>
                <w:szCs w:val="20"/>
                <w:lang w:eastAsia="en-GB"/>
              </w:rPr>
              <w:lastRenderedPageBreak/>
              <w:t>Министарство за рад, запошљавање, борачка и социјална питања</w:t>
            </w:r>
          </w:p>
          <w:p w14:paraId="111F2955" w14:textId="77777777" w:rsidR="00F56FED" w:rsidRPr="00F56FED" w:rsidRDefault="00F56FED" w:rsidP="00F56FED">
            <w:pPr>
              <w:numPr>
                <w:ilvl w:val="0"/>
                <w:numId w:val="207"/>
              </w:numPr>
              <w:spacing w:after="0" w:line="240" w:lineRule="auto"/>
              <w:contextualSpacing/>
              <w:rPr>
                <w:rFonts w:asciiTheme="majorHAnsi" w:eastAsia="Times New Roman" w:hAnsiTheme="majorHAnsi" w:cstheme="majorHAnsi"/>
                <w:color w:val="000000"/>
                <w:sz w:val="20"/>
                <w:szCs w:val="20"/>
                <w:lang w:eastAsia="en-GB"/>
              </w:rPr>
            </w:pPr>
            <w:r w:rsidRPr="00F56FED">
              <w:rPr>
                <w:rFonts w:asciiTheme="majorHAnsi" w:eastAsia="Times New Roman" w:hAnsiTheme="majorHAnsi" w:cstheme="majorHAnsi"/>
                <w:color w:val="000000"/>
                <w:sz w:val="20"/>
                <w:szCs w:val="20"/>
                <w:lang w:eastAsia="en-GB"/>
              </w:rPr>
              <w:t>Министарство просвете, науке и технолошког развоја</w:t>
            </w:r>
          </w:p>
          <w:p w14:paraId="738151E8" w14:textId="77777777" w:rsidR="00F56FED" w:rsidRPr="00F56FED" w:rsidRDefault="00F56FED" w:rsidP="00F56FED">
            <w:pPr>
              <w:numPr>
                <w:ilvl w:val="0"/>
                <w:numId w:val="207"/>
              </w:numPr>
              <w:spacing w:after="0" w:line="240" w:lineRule="auto"/>
              <w:contextualSpacing/>
              <w:rPr>
                <w:rFonts w:asciiTheme="majorHAnsi" w:eastAsia="Times New Roman" w:hAnsiTheme="majorHAnsi" w:cstheme="majorHAnsi"/>
                <w:color w:val="000000"/>
                <w:sz w:val="20"/>
                <w:szCs w:val="20"/>
                <w:lang w:eastAsia="en-GB"/>
              </w:rPr>
            </w:pPr>
            <w:r w:rsidRPr="00F56FED">
              <w:rPr>
                <w:rFonts w:asciiTheme="majorHAnsi" w:eastAsia="Times New Roman" w:hAnsiTheme="majorHAnsi" w:cstheme="majorHAnsi"/>
                <w:color w:val="000000"/>
                <w:sz w:val="20"/>
                <w:szCs w:val="20"/>
                <w:lang w:eastAsia="en-GB"/>
              </w:rPr>
              <w:t>Министарство привреде</w:t>
            </w:r>
          </w:p>
          <w:p w14:paraId="43301BAE" w14:textId="77777777" w:rsidR="00F56FED" w:rsidRPr="00F56FED" w:rsidRDefault="00F56FED" w:rsidP="00F56FED">
            <w:pPr>
              <w:numPr>
                <w:ilvl w:val="0"/>
                <w:numId w:val="207"/>
              </w:numPr>
              <w:spacing w:after="0" w:line="240" w:lineRule="auto"/>
              <w:contextualSpacing/>
              <w:rPr>
                <w:rFonts w:asciiTheme="majorHAnsi" w:eastAsia="Times New Roman" w:hAnsiTheme="majorHAnsi" w:cstheme="majorHAnsi"/>
                <w:color w:val="000000"/>
                <w:sz w:val="20"/>
                <w:szCs w:val="20"/>
                <w:lang w:eastAsia="en-GB"/>
              </w:rPr>
            </w:pPr>
            <w:r w:rsidRPr="00F56FED">
              <w:rPr>
                <w:rFonts w:asciiTheme="majorHAnsi" w:eastAsia="Times New Roman" w:hAnsiTheme="majorHAnsi" w:cstheme="majorHAnsi"/>
                <w:color w:val="000000"/>
                <w:sz w:val="20"/>
                <w:szCs w:val="20"/>
                <w:lang w:eastAsia="en-GB"/>
              </w:rPr>
              <w:t>Привредна комора и регионална привредне коморе</w:t>
            </w:r>
          </w:p>
          <w:p w14:paraId="27A2B95B" w14:textId="77777777" w:rsidR="00F56FED" w:rsidRPr="00F56FED" w:rsidRDefault="00F56FED" w:rsidP="00F56FED">
            <w:pPr>
              <w:numPr>
                <w:ilvl w:val="0"/>
                <w:numId w:val="207"/>
              </w:numPr>
              <w:spacing w:after="0" w:line="240" w:lineRule="auto"/>
              <w:contextualSpacing/>
              <w:rPr>
                <w:rFonts w:asciiTheme="majorHAnsi" w:eastAsia="Times New Roman" w:hAnsiTheme="majorHAnsi" w:cstheme="majorHAnsi"/>
                <w:color w:val="000000"/>
                <w:sz w:val="20"/>
                <w:szCs w:val="20"/>
                <w:lang w:eastAsia="en-GB"/>
              </w:rPr>
            </w:pPr>
            <w:r w:rsidRPr="00F56FED">
              <w:rPr>
                <w:rFonts w:asciiTheme="majorHAnsi" w:eastAsia="Times New Roman" w:hAnsiTheme="majorHAnsi" w:cstheme="majorHAnsi"/>
                <w:color w:val="000000"/>
                <w:sz w:val="20"/>
                <w:szCs w:val="20"/>
                <w:lang w:eastAsia="en-GB"/>
              </w:rPr>
              <w:t>Јединице локалне самоуправе</w:t>
            </w:r>
          </w:p>
          <w:p w14:paraId="06BF6B34" w14:textId="28AD950D" w:rsidR="00F56FED" w:rsidRPr="00FF386D" w:rsidRDefault="00F56FED" w:rsidP="00F56FED">
            <w:pPr>
              <w:numPr>
                <w:ilvl w:val="0"/>
                <w:numId w:val="207"/>
              </w:numPr>
              <w:spacing w:after="0" w:line="240" w:lineRule="auto"/>
              <w:contextualSpacing/>
              <w:rPr>
                <w:rFonts w:asciiTheme="majorHAnsi" w:eastAsia="Times New Roman" w:hAnsiTheme="majorHAnsi" w:cstheme="majorHAnsi"/>
                <w:color w:val="000000"/>
                <w:sz w:val="20"/>
                <w:szCs w:val="20"/>
                <w:lang w:eastAsia="en-GB"/>
              </w:rPr>
            </w:pPr>
            <w:r w:rsidRPr="00F56FED">
              <w:rPr>
                <w:rFonts w:asciiTheme="majorHAnsi" w:eastAsia="Times New Roman" w:hAnsiTheme="majorHAnsi" w:cstheme="majorHAnsi"/>
                <w:color w:val="000000"/>
                <w:sz w:val="20"/>
                <w:szCs w:val="20"/>
                <w:lang w:eastAsia="en-GB"/>
              </w:rPr>
              <w:t>Економски и социјални савети</w:t>
            </w:r>
          </w:p>
        </w:tc>
      </w:tr>
      <w:tr w:rsidR="00854ADA" w:rsidRPr="00FF386D" w14:paraId="3FCFBDAA" w14:textId="77777777" w:rsidTr="006E0ED7">
        <w:trPr>
          <w:trHeight w:val="315"/>
        </w:trPr>
        <w:tc>
          <w:tcPr>
            <w:tcW w:w="3402" w:type="dxa"/>
            <w:tcBorders>
              <w:top w:val="nil"/>
              <w:left w:val="single" w:sz="8" w:space="0" w:color="auto"/>
              <w:bottom w:val="single" w:sz="8" w:space="0" w:color="auto"/>
              <w:right w:val="nil"/>
            </w:tcBorders>
            <w:shd w:val="clear" w:color="000000" w:fill="244062"/>
            <w:vAlign w:val="center"/>
            <w:hideMark/>
          </w:tcPr>
          <w:p w14:paraId="6DB905C5"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lastRenderedPageBreak/>
              <w:t>Индикатори напретка</w:t>
            </w:r>
          </w:p>
        </w:tc>
        <w:tc>
          <w:tcPr>
            <w:tcW w:w="6096" w:type="dxa"/>
            <w:gridSpan w:val="3"/>
            <w:tcBorders>
              <w:top w:val="single" w:sz="8" w:space="0" w:color="auto"/>
              <w:left w:val="nil"/>
              <w:bottom w:val="single" w:sz="8" w:space="0" w:color="auto"/>
              <w:right w:val="single" w:sz="8" w:space="0" w:color="000000"/>
            </w:tcBorders>
            <w:shd w:val="clear" w:color="auto" w:fill="auto"/>
            <w:vAlign w:val="center"/>
            <w:hideMark/>
          </w:tcPr>
          <w:p w14:paraId="5773A230" w14:textId="03285A1B" w:rsidR="00F56FED" w:rsidRDefault="00F56FED" w:rsidP="00F56FED">
            <w:pPr>
              <w:pStyle w:val="ListParagraph"/>
              <w:numPr>
                <w:ilvl w:val="0"/>
                <w:numId w:val="313"/>
              </w:numPr>
              <w:spacing w:after="0" w:line="240" w:lineRule="auto"/>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 xml:space="preserve">Емисије по глави становника </w:t>
            </w:r>
            <w:r w:rsidRPr="00552EC4">
              <w:rPr>
                <w:rFonts w:asciiTheme="majorHAnsi" w:eastAsia="Times New Roman" w:hAnsiTheme="majorHAnsi" w:cstheme="majorHAnsi"/>
                <w:color w:val="000000"/>
                <w:sz w:val="20"/>
                <w:szCs w:val="20"/>
                <w:lang w:val="en-GB" w:eastAsia="en-GB"/>
              </w:rPr>
              <w:t>tCO</w:t>
            </w:r>
            <w:r w:rsidRPr="00C312D6">
              <w:rPr>
                <w:rFonts w:asciiTheme="majorHAnsi" w:eastAsia="Times New Roman" w:hAnsiTheme="majorHAnsi" w:cstheme="majorHAnsi"/>
                <w:color w:val="000000"/>
                <w:sz w:val="20"/>
                <w:szCs w:val="20"/>
                <w:vertAlign w:val="subscript"/>
                <w:lang w:eastAsia="en-GB"/>
              </w:rPr>
              <w:t>2</w:t>
            </w:r>
            <w:r w:rsidRPr="00552EC4">
              <w:rPr>
                <w:rFonts w:asciiTheme="majorHAnsi" w:eastAsia="Times New Roman" w:hAnsiTheme="majorHAnsi" w:cstheme="majorHAnsi"/>
                <w:color w:val="000000"/>
                <w:sz w:val="20"/>
                <w:szCs w:val="20"/>
                <w:lang w:val="en-GB" w:eastAsia="en-GB"/>
              </w:rPr>
              <w:t>e</w:t>
            </w:r>
            <w:r w:rsidRPr="00C312D6">
              <w:rPr>
                <w:rFonts w:asciiTheme="majorHAnsi" w:eastAsia="Times New Roman" w:hAnsiTheme="majorHAnsi" w:cstheme="majorHAnsi"/>
                <w:color w:val="000000"/>
                <w:sz w:val="20"/>
                <w:szCs w:val="20"/>
                <w:lang w:eastAsia="en-GB"/>
              </w:rPr>
              <w:t>/</w:t>
            </w:r>
            <w:r>
              <w:rPr>
                <w:rFonts w:asciiTheme="majorHAnsi" w:eastAsia="Times New Roman" w:hAnsiTheme="majorHAnsi" w:cstheme="majorHAnsi"/>
                <w:color w:val="000000"/>
                <w:sz w:val="20"/>
                <w:szCs w:val="20"/>
                <w:lang w:eastAsia="en-GB"/>
              </w:rPr>
              <w:t>становник</w:t>
            </w:r>
          </w:p>
          <w:p w14:paraId="23E44EC0" w14:textId="77777777" w:rsidR="00F56FED" w:rsidRPr="000A2AFE" w:rsidRDefault="00F56FED" w:rsidP="00F56FED">
            <w:pPr>
              <w:pStyle w:val="ListParagraph"/>
              <w:numPr>
                <w:ilvl w:val="0"/>
                <w:numId w:val="313"/>
              </w:numPr>
              <w:spacing w:after="0" w:line="240" w:lineRule="auto"/>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 xml:space="preserve">Угљенични интензитет </w:t>
            </w:r>
            <w:r w:rsidRPr="00552EC4">
              <w:rPr>
                <w:rFonts w:asciiTheme="majorHAnsi" w:eastAsia="Times New Roman" w:hAnsiTheme="majorHAnsi" w:cstheme="majorHAnsi"/>
                <w:color w:val="000000"/>
                <w:sz w:val="20"/>
                <w:szCs w:val="20"/>
                <w:lang w:val="en-GB" w:eastAsia="en-GB"/>
              </w:rPr>
              <w:t>tCO</w:t>
            </w:r>
            <w:r w:rsidRPr="00C312D6">
              <w:rPr>
                <w:rFonts w:asciiTheme="majorHAnsi" w:eastAsia="Times New Roman" w:hAnsiTheme="majorHAnsi" w:cstheme="majorHAnsi"/>
                <w:color w:val="000000"/>
                <w:sz w:val="20"/>
                <w:szCs w:val="20"/>
                <w:vertAlign w:val="subscript"/>
                <w:lang w:eastAsia="en-GB"/>
              </w:rPr>
              <w:t>2</w:t>
            </w:r>
            <w:r w:rsidRPr="00552EC4">
              <w:rPr>
                <w:rFonts w:asciiTheme="majorHAnsi" w:eastAsia="Times New Roman" w:hAnsiTheme="majorHAnsi" w:cstheme="majorHAnsi"/>
                <w:color w:val="000000"/>
                <w:sz w:val="20"/>
                <w:szCs w:val="20"/>
                <w:lang w:val="en-GB" w:eastAsia="en-GB"/>
              </w:rPr>
              <w:t>e</w:t>
            </w:r>
            <w:r w:rsidRPr="00C312D6">
              <w:rPr>
                <w:rFonts w:asciiTheme="majorHAnsi" w:eastAsia="Times New Roman" w:hAnsiTheme="majorHAnsi" w:cstheme="majorHAnsi"/>
                <w:color w:val="000000"/>
                <w:sz w:val="20"/>
                <w:szCs w:val="20"/>
                <w:lang w:eastAsia="en-GB"/>
              </w:rPr>
              <w:t>/</w:t>
            </w:r>
            <w:r>
              <w:rPr>
                <w:rFonts w:asciiTheme="majorHAnsi" w:eastAsia="Times New Roman" w:hAnsiTheme="majorHAnsi" w:cstheme="majorHAnsi"/>
                <w:color w:val="000000"/>
                <w:sz w:val="20"/>
                <w:szCs w:val="20"/>
                <w:lang w:eastAsia="en-GB"/>
              </w:rPr>
              <w:t>БДП</w:t>
            </w:r>
            <w:r w:rsidRPr="00C312D6">
              <w:rPr>
                <w:rFonts w:asciiTheme="majorHAnsi" w:eastAsia="Times New Roman" w:hAnsiTheme="majorHAnsi" w:cstheme="majorHAnsi"/>
                <w:color w:val="000000"/>
                <w:sz w:val="20"/>
                <w:szCs w:val="20"/>
                <w:lang w:eastAsia="en-GB"/>
              </w:rPr>
              <w:t xml:space="preserve"> (</w:t>
            </w:r>
            <w:r w:rsidRPr="00552EC4">
              <w:rPr>
                <w:rFonts w:asciiTheme="majorHAnsi" w:eastAsia="Times New Roman" w:hAnsiTheme="majorHAnsi" w:cstheme="majorHAnsi"/>
                <w:color w:val="000000"/>
                <w:sz w:val="20"/>
                <w:szCs w:val="20"/>
                <w:lang w:val="en-GB" w:eastAsia="en-GB"/>
              </w:rPr>
              <w:t>MioEUR</w:t>
            </w:r>
            <w:r w:rsidRPr="00C312D6">
              <w:rPr>
                <w:rFonts w:asciiTheme="majorHAnsi" w:eastAsia="Times New Roman" w:hAnsiTheme="majorHAnsi" w:cstheme="majorHAnsi"/>
                <w:color w:val="000000"/>
                <w:sz w:val="20"/>
                <w:szCs w:val="20"/>
                <w:lang w:eastAsia="en-GB"/>
              </w:rPr>
              <w:t>’13)</w:t>
            </w:r>
          </w:p>
          <w:p w14:paraId="6E1F3F63" w14:textId="04D30504" w:rsidR="00854ADA" w:rsidRPr="000A2AFE" w:rsidRDefault="00F56FED" w:rsidP="000A2AFE">
            <w:pPr>
              <w:pStyle w:val="ListParagraph"/>
              <w:numPr>
                <w:ilvl w:val="0"/>
                <w:numId w:val="313"/>
              </w:numPr>
              <w:spacing w:after="0" w:line="240" w:lineRule="auto"/>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 xml:space="preserve">Интензитет </w:t>
            </w:r>
            <w:r w:rsidRPr="000A2AFE">
              <w:rPr>
                <w:rFonts w:asciiTheme="majorHAnsi" w:eastAsia="Times New Roman" w:hAnsiTheme="majorHAnsi" w:cstheme="majorHAnsi"/>
                <w:color w:val="000000"/>
                <w:sz w:val="20"/>
                <w:szCs w:val="20"/>
                <w:lang w:val="en-US" w:eastAsia="en-GB"/>
              </w:rPr>
              <w:t>CO</w:t>
            </w:r>
            <w:r w:rsidRPr="000A2AFE">
              <w:rPr>
                <w:rFonts w:asciiTheme="majorHAnsi" w:eastAsia="Times New Roman" w:hAnsiTheme="majorHAnsi" w:cstheme="majorHAnsi"/>
                <w:color w:val="000000"/>
                <w:sz w:val="20"/>
                <w:szCs w:val="20"/>
                <w:vertAlign w:val="subscript"/>
                <w:lang w:eastAsia="en-GB"/>
              </w:rPr>
              <w:t>2</w:t>
            </w:r>
            <w:r w:rsidRPr="000A2AFE">
              <w:rPr>
                <w:rFonts w:asciiTheme="majorHAnsi" w:eastAsia="Times New Roman" w:hAnsiTheme="majorHAnsi" w:cstheme="majorHAnsi"/>
                <w:color w:val="000000"/>
                <w:sz w:val="20"/>
                <w:szCs w:val="20"/>
                <w:lang w:eastAsia="en-GB"/>
              </w:rPr>
              <w:t xml:space="preserve"> БДП-а </w:t>
            </w:r>
            <w:r w:rsidRPr="000A2AFE">
              <w:rPr>
                <w:rFonts w:asciiTheme="majorHAnsi" w:eastAsia="Times New Roman" w:hAnsiTheme="majorHAnsi" w:cstheme="majorHAnsi"/>
                <w:color w:val="000000"/>
                <w:sz w:val="20"/>
                <w:szCs w:val="20"/>
                <w:lang w:val="en-GB" w:eastAsia="en-GB"/>
              </w:rPr>
              <w:t>tCO</w:t>
            </w:r>
            <w:r w:rsidRPr="00C312D6">
              <w:rPr>
                <w:rFonts w:asciiTheme="majorHAnsi" w:eastAsia="Times New Roman" w:hAnsiTheme="majorHAnsi" w:cstheme="majorHAnsi"/>
                <w:color w:val="000000"/>
                <w:sz w:val="20"/>
                <w:szCs w:val="20"/>
                <w:lang w:eastAsia="en-GB"/>
              </w:rPr>
              <w:t>2/</w:t>
            </w:r>
            <w:r w:rsidRPr="000A2AFE">
              <w:rPr>
                <w:rFonts w:asciiTheme="majorHAnsi" w:eastAsia="Times New Roman" w:hAnsiTheme="majorHAnsi" w:cstheme="majorHAnsi"/>
                <w:color w:val="000000"/>
                <w:sz w:val="20"/>
                <w:szCs w:val="20"/>
                <w:lang w:eastAsia="en-GB"/>
              </w:rPr>
              <w:t>БДП из енергије</w:t>
            </w:r>
          </w:p>
        </w:tc>
      </w:tr>
      <w:tr w:rsidR="00854ADA" w:rsidRPr="00FF386D" w14:paraId="347FA77F" w14:textId="77777777" w:rsidTr="006E0ED7">
        <w:trPr>
          <w:trHeight w:val="561"/>
        </w:trPr>
        <w:tc>
          <w:tcPr>
            <w:tcW w:w="3402" w:type="dxa"/>
            <w:tcBorders>
              <w:top w:val="nil"/>
              <w:left w:val="single" w:sz="8" w:space="0" w:color="auto"/>
              <w:bottom w:val="single" w:sz="8" w:space="0" w:color="auto"/>
              <w:right w:val="single" w:sz="8" w:space="0" w:color="auto"/>
            </w:tcBorders>
            <w:shd w:val="clear" w:color="000000" w:fill="244062"/>
            <w:vAlign w:val="center"/>
            <w:hideMark/>
          </w:tcPr>
          <w:p w14:paraId="1FABF09C"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096" w:type="dxa"/>
            <w:gridSpan w:val="3"/>
            <w:tcBorders>
              <w:top w:val="single" w:sz="8" w:space="0" w:color="auto"/>
              <w:left w:val="nil"/>
              <w:bottom w:val="single" w:sz="8" w:space="0" w:color="auto"/>
              <w:right w:val="single" w:sz="8" w:space="0" w:color="000000"/>
            </w:tcBorders>
            <w:shd w:val="clear" w:color="auto" w:fill="auto"/>
            <w:vAlign w:val="center"/>
          </w:tcPr>
          <w:p w14:paraId="223A5FF3"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p>
        </w:tc>
      </w:tr>
      <w:tr w:rsidR="00854ADA" w:rsidRPr="00FF386D" w14:paraId="147718FF" w14:textId="77777777" w:rsidTr="006E0ED7">
        <w:trPr>
          <w:trHeight w:val="450"/>
        </w:trPr>
        <w:tc>
          <w:tcPr>
            <w:tcW w:w="3402"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20499226"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p>
          <w:p w14:paraId="41787B92" w14:textId="307EA44D" w:rsidR="00854ADA" w:rsidRPr="00FF386D" w:rsidRDefault="004D35DC"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Политике Уније која су резултирале</w:t>
            </w:r>
            <w:r w:rsidR="008A1B30" w:rsidRPr="00FF386D">
              <w:rPr>
                <w:rFonts w:asciiTheme="majorHAnsi" w:hAnsiTheme="majorHAnsi" w:cstheme="majorHAnsi"/>
                <w:b/>
                <w:bCs/>
                <w:sz w:val="20"/>
                <w:szCs w:val="20"/>
              </w:rPr>
              <w:t xml:space="preserve"> </w:t>
            </w:r>
            <w:r w:rsidR="00854ADA" w:rsidRPr="00FF386D">
              <w:rPr>
                <w:rFonts w:asciiTheme="majorHAnsi" w:hAnsiTheme="majorHAnsi" w:cstheme="majorHAnsi"/>
                <w:b/>
                <w:bCs/>
                <w:sz w:val="20"/>
                <w:szCs w:val="20"/>
              </w:rPr>
              <w:t>имплементацијом ове МП</w:t>
            </w:r>
          </w:p>
          <w:p w14:paraId="4629599E"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p>
        </w:tc>
        <w:tc>
          <w:tcPr>
            <w:tcW w:w="6096"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69B30942" w14:textId="3E1582BE" w:rsidR="00854ADA" w:rsidRPr="00FF386D" w:rsidRDefault="00854ADA" w:rsidP="000A2AFE">
            <w:pPr>
              <w:numPr>
                <w:ilvl w:val="0"/>
                <w:numId w:val="171"/>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Уредба 2018/</w:t>
            </w:r>
            <w:r w:rsidR="00FC5509">
              <w:rPr>
                <w:rFonts w:asciiTheme="majorHAnsi" w:eastAsia="Times New Roman" w:hAnsiTheme="majorHAnsi" w:cstheme="majorHAnsi"/>
                <w:color w:val="000000"/>
                <w:sz w:val="20"/>
                <w:szCs w:val="20"/>
                <w:lang w:eastAsia="en-GB"/>
              </w:rPr>
              <w:t>1999</w:t>
            </w:r>
          </w:p>
        </w:tc>
      </w:tr>
      <w:tr w:rsidR="00854ADA" w:rsidRPr="00FF386D" w14:paraId="25334DB4" w14:textId="77777777" w:rsidTr="006E0ED7">
        <w:trPr>
          <w:trHeight w:val="450"/>
        </w:trPr>
        <w:tc>
          <w:tcPr>
            <w:tcW w:w="3402" w:type="dxa"/>
            <w:vMerge/>
            <w:tcBorders>
              <w:top w:val="nil"/>
              <w:left w:val="single" w:sz="8" w:space="0" w:color="auto"/>
              <w:bottom w:val="single" w:sz="8" w:space="0" w:color="000000"/>
              <w:right w:val="single" w:sz="8" w:space="0" w:color="auto"/>
            </w:tcBorders>
            <w:vAlign w:val="center"/>
            <w:hideMark/>
          </w:tcPr>
          <w:p w14:paraId="3806B751"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p>
        </w:tc>
        <w:tc>
          <w:tcPr>
            <w:tcW w:w="6096" w:type="dxa"/>
            <w:gridSpan w:val="3"/>
            <w:vMerge/>
            <w:tcBorders>
              <w:top w:val="single" w:sz="8" w:space="0" w:color="auto"/>
              <w:left w:val="single" w:sz="8" w:space="0" w:color="auto"/>
              <w:bottom w:val="single" w:sz="8" w:space="0" w:color="000000"/>
              <w:right w:val="single" w:sz="8" w:space="0" w:color="000000"/>
            </w:tcBorders>
            <w:vAlign w:val="center"/>
            <w:hideMark/>
          </w:tcPr>
          <w:p w14:paraId="74B37F9B" w14:textId="77777777" w:rsidR="00854ADA" w:rsidRPr="00FF386D" w:rsidRDefault="00854ADA" w:rsidP="00854ADA">
            <w:pPr>
              <w:numPr>
                <w:ilvl w:val="0"/>
                <w:numId w:val="102"/>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304F4C60" w14:textId="77777777" w:rsidTr="006E0ED7">
        <w:trPr>
          <w:trHeight w:val="450"/>
        </w:trPr>
        <w:tc>
          <w:tcPr>
            <w:tcW w:w="3402" w:type="dxa"/>
            <w:vMerge/>
            <w:tcBorders>
              <w:top w:val="nil"/>
              <w:left w:val="single" w:sz="8" w:space="0" w:color="auto"/>
              <w:bottom w:val="single" w:sz="8" w:space="0" w:color="000000"/>
              <w:right w:val="single" w:sz="8" w:space="0" w:color="auto"/>
            </w:tcBorders>
            <w:vAlign w:val="center"/>
            <w:hideMark/>
          </w:tcPr>
          <w:p w14:paraId="3C38B78D"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p>
        </w:tc>
        <w:tc>
          <w:tcPr>
            <w:tcW w:w="6096" w:type="dxa"/>
            <w:gridSpan w:val="3"/>
            <w:vMerge/>
            <w:tcBorders>
              <w:top w:val="single" w:sz="8" w:space="0" w:color="auto"/>
              <w:left w:val="single" w:sz="8" w:space="0" w:color="auto"/>
              <w:bottom w:val="single" w:sz="8" w:space="0" w:color="000000"/>
              <w:right w:val="single" w:sz="8" w:space="0" w:color="000000"/>
            </w:tcBorders>
            <w:vAlign w:val="center"/>
            <w:hideMark/>
          </w:tcPr>
          <w:p w14:paraId="66E668CC" w14:textId="77777777" w:rsidR="00854ADA" w:rsidRPr="00FF386D" w:rsidRDefault="00854ADA" w:rsidP="00854ADA">
            <w:pPr>
              <w:numPr>
                <w:ilvl w:val="0"/>
                <w:numId w:val="102"/>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10C63987" w14:textId="77777777" w:rsidTr="006E0ED7">
        <w:trPr>
          <w:trHeight w:val="297"/>
        </w:trPr>
        <w:tc>
          <w:tcPr>
            <w:tcW w:w="3402" w:type="dxa"/>
            <w:tcBorders>
              <w:top w:val="nil"/>
              <w:left w:val="single" w:sz="8" w:space="0" w:color="auto"/>
              <w:bottom w:val="single" w:sz="8" w:space="0" w:color="auto"/>
              <w:right w:val="single" w:sz="8" w:space="0" w:color="auto"/>
            </w:tcBorders>
            <w:shd w:val="clear" w:color="000000" w:fill="244062"/>
            <w:vAlign w:val="center"/>
            <w:hideMark/>
          </w:tcPr>
          <w:p w14:paraId="6D31D8C9" w14:textId="6A726DFE" w:rsidR="00854ADA" w:rsidRPr="00FF386D" w:rsidRDefault="007A0779"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eastAsia="Times New Roman" w:hAnsiTheme="majorHAnsi" w:cstheme="majorHAnsi"/>
                <w:b/>
                <w:bCs/>
                <w:color w:val="FFFFFF"/>
                <w:sz w:val="20"/>
                <w:szCs w:val="20"/>
                <w:lang w:eastAsia="en-GB"/>
              </w:rPr>
              <w:t>Релевантни национални плански документ (правни, регулаторни акти, итд)</w:t>
            </w:r>
          </w:p>
        </w:tc>
        <w:tc>
          <w:tcPr>
            <w:tcW w:w="6096" w:type="dxa"/>
            <w:gridSpan w:val="3"/>
            <w:tcBorders>
              <w:top w:val="single" w:sz="8" w:space="0" w:color="auto"/>
              <w:left w:val="nil"/>
              <w:bottom w:val="single" w:sz="8" w:space="0" w:color="auto"/>
              <w:right w:val="single" w:sz="8" w:space="0" w:color="000000"/>
            </w:tcBorders>
            <w:shd w:val="clear" w:color="auto" w:fill="auto"/>
            <w:vAlign w:val="center"/>
            <w:hideMark/>
          </w:tcPr>
          <w:p w14:paraId="2C569606" w14:textId="5CDF2BB4" w:rsidR="00854ADA" w:rsidRPr="00FF386D" w:rsidRDefault="00FC5509" w:rsidP="00854ADA">
            <w:pPr>
              <w:numPr>
                <w:ilvl w:val="0"/>
                <w:numId w:val="102"/>
              </w:numPr>
              <w:spacing w:after="0" w:line="240" w:lineRule="auto"/>
              <w:contextualSpacing/>
              <w:rPr>
                <w:rFonts w:asciiTheme="majorHAnsi" w:eastAsia="Times New Roman" w:hAnsiTheme="majorHAnsi" w:cstheme="majorHAnsi"/>
                <w:color w:val="000000"/>
                <w:sz w:val="20"/>
                <w:szCs w:val="20"/>
                <w:lang w:eastAsia="en-GB"/>
              </w:rPr>
            </w:pPr>
            <w:r w:rsidRPr="00FC5509">
              <w:rPr>
                <w:rFonts w:asciiTheme="majorHAnsi" w:eastAsia="Times New Roman" w:hAnsiTheme="majorHAnsi" w:cstheme="majorHAnsi"/>
                <w:color w:val="000000"/>
                <w:sz w:val="20"/>
                <w:szCs w:val="20"/>
                <w:lang w:eastAsia="en-GB"/>
              </w:rPr>
              <w:t>Стратегија нискоугљеничног развоја за период од 2023. до 2030. године са пројекцијама до 2050. године</w:t>
            </w:r>
          </w:p>
        </w:tc>
      </w:tr>
      <w:tr w:rsidR="007A0779" w:rsidRPr="00FF386D" w14:paraId="1EBC8D89" w14:textId="77777777" w:rsidTr="000A2AFE">
        <w:trPr>
          <w:trHeight w:val="315"/>
        </w:trPr>
        <w:tc>
          <w:tcPr>
            <w:tcW w:w="3402" w:type="dxa"/>
            <w:tcBorders>
              <w:top w:val="nil"/>
              <w:left w:val="single" w:sz="8" w:space="0" w:color="auto"/>
              <w:bottom w:val="single" w:sz="8" w:space="0" w:color="auto"/>
              <w:right w:val="single" w:sz="8" w:space="0" w:color="auto"/>
            </w:tcBorders>
            <w:shd w:val="clear" w:color="000000" w:fill="244062"/>
            <w:hideMark/>
          </w:tcPr>
          <w:p w14:paraId="1F999F40" w14:textId="1BAF2BAA" w:rsidR="007A0779" w:rsidRPr="00FF386D" w:rsidRDefault="007A0779" w:rsidP="007A0779">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 xml:space="preserve">Трошкови имплементације </w:t>
            </w:r>
          </w:p>
        </w:tc>
        <w:tc>
          <w:tcPr>
            <w:tcW w:w="6096" w:type="dxa"/>
            <w:gridSpan w:val="3"/>
            <w:tcBorders>
              <w:top w:val="single" w:sz="8" w:space="0" w:color="auto"/>
              <w:left w:val="nil"/>
              <w:bottom w:val="single" w:sz="8" w:space="0" w:color="auto"/>
              <w:right w:val="single" w:sz="8" w:space="0" w:color="000000"/>
            </w:tcBorders>
            <w:shd w:val="clear" w:color="auto" w:fill="auto"/>
            <w:vAlign w:val="center"/>
          </w:tcPr>
          <w:p w14:paraId="637F1E5C" w14:textId="789C8509" w:rsidR="007A0779" w:rsidRPr="00FF386D" w:rsidRDefault="007A0779" w:rsidP="007A0779">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2,0 милиона евра</w:t>
            </w:r>
          </w:p>
        </w:tc>
      </w:tr>
      <w:tr w:rsidR="007A0779" w:rsidRPr="00FF386D" w14:paraId="3D4F1D78" w14:textId="77777777" w:rsidTr="000A2AFE">
        <w:trPr>
          <w:trHeight w:val="315"/>
        </w:trPr>
        <w:tc>
          <w:tcPr>
            <w:tcW w:w="3402" w:type="dxa"/>
            <w:tcBorders>
              <w:top w:val="nil"/>
              <w:left w:val="single" w:sz="8" w:space="0" w:color="auto"/>
              <w:bottom w:val="single" w:sz="8" w:space="0" w:color="auto"/>
              <w:right w:val="single" w:sz="8" w:space="0" w:color="auto"/>
            </w:tcBorders>
            <w:shd w:val="clear" w:color="000000" w:fill="244062"/>
            <w:hideMark/>
          </w:tcPr>
          <w:p w14:paraId="428E79A4" w14:textId="2A2AD23B" w:rsidR="007A0779" w:rsidRPr="00FF386D" w:rsidRDefault="007A0779" w:rsidP="007A0779">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 xml:space="preserve">Извор(и) финансирања </w:t>
            </w:r>
          </w:p>
        </w:tc>
        <w:tc>
          <w:tcPr>
            <w:tcW w:w="6096" w:type="dxa"/>
            <w:gridSpan w:val="3"/>
            <w:tcBorders>
              <w:top w:val="single" w:sz="8" w:space="0" w:color="auto"/>
              <w:left w:val="nil"/>
              <w:bottom w:val="single" w:sz="8" w:space="0" w:color="auto"/>
              <w:right w:val="single" w:sz="8" w:space="0" w:color="000000"/>
            </w:tcBorders>
            <w:shd w:val="clear" w:color="auto" w:fill="auto"/>
            <w:vAlign w:val="center"/>
            <w:hideMark/>
          </w:tcPr>
          <w:p w14:paraId="6EDD5D3F" w14:textId="27A892A5" w:rsidR="007A0779" w:rsidRPr="00FF386D" w:rsidRDefault="007A0779" w:rsidP="007A0779">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EУ и други фондови, буџетска средства</w:t>
            </w:r>
          </w:p>
        </w:tc>
      </w:tr>
    </w:tbl>
    <w:p w14:paraId="1F2A4782" w14:textId="50F70B70" w:rsidR="00854ADA" w:rsidRPr="00FF386D" w:rsidRDefault="008A1B30" w:rsidP="00854ADA">
      <w:pPr>
        <w:spacing w:before="240"/>
        <w:jc w:val="both"/>
        <w:rPr>
          <w:rFonts w:asciiTheme="majorHAnsi" w:hAnsiTheme="majorHAnsi" w:cstheme="majorHAnsi"/>
          <w:b/>
          <w:bCs/>
          <w:color w:val="000000"/>
        </w:rPr>
      </w:pPr>
      <w:r w:rsidRPr="00FF386D">
        <w:rPr>
          <w:rFonts w:asciiTheme="majorHAnsi" w:hAnsiTheme="majorHAnsi" w:cstheme="majorHAnsi"/>
          <w:b/>
          <w:bCs/>
          <w:color w:val="000000"/>
        </w:rPr>
        <w:t>Енергетски</w:t>
      </w:r>
      <w:r w:rsidR="00854ADA" w:rsidRPr="00FF386D">
        <w:rPr>
          <w:rFonts w:asciiTheme="majorHAnsi" w:hAnsiTheme="majorHAnsi" w:cstheme="majorHAnsi"/>
          <w:b/>
          <w:bCs/>
          <w:color w:val="000000"/>
        </w:rPr>
        <w:t xml:space="preserve"> сектори</w:t>
      </w:r>
    </w:p>
    <w:p w14:paraId="34060192" w14:textId="7DF80CAF" w:rsidR="00854ADA" w:rsidRPr="00FF386D" w:rsidRDefault="00854ADA" w:rsidP="00854ADA">
      <w:pPr>
        <w:spacing w:before="240"/>
        <w:jc w:val="both"/>
        <w:rPr>
          <w:rFonts w:asciiTheme="majorHAnsi" w:hAnsiTheme="majorHAnsi" w:cstheme="majorHAnsi"/>
          <w:iCs/>
          <w:color w:val="000000"/>
        </w:rPr>
      </w:pPr>
      <w:r w:rsidRPr="00FF386D">
        <w:rPr>
          <w:rFonts w:asciiTheme="majorHAnsi" w:hAnsiTheme="majorHAnsi" w:cstheme="majorHAnsi"/>
          <w:iCs/>
          <w:color w:val="000000"/>
        </w:rPr>
        <w:t xml:space="preserve">Емисије </w:t>
      </w:r>
      <w:r w:rsidRPr="00FF386D">
        <w:rPr>
          <w:rFonts w:asciiTheme="majorHAnsi" w:hAnsiTheme="majorHAnsi" w:cstheme="majorHAnsi"/>
          <w:i/>
          <w:iCs/>
          <w:color w:val="000000"/>
        </w:rPr>
        <w:t xml:space="preserve">GHG </w:t>
      </w:r>
      <w:r w:rsidRPr="00FF386D">
        <w:rPr>
          <w:rFonts w:asciiTheme="majorHAnsi" w:hAnsiTheme="majorHAnsi" w:cstheme="majorHAnsi"/>
          <w:iCs/>
          <w:color w:val="000000"/>
        </w:rPr>
        <w:t xml:space="preserve">у енергетском сектору (производња електричне и топлотне енергије, прерада нафте, производња чврстих горива) одређене </w:t>
      </w:r>
      <w:r w:rsidR="00DA664E" w:rsidRPr="00FF386D">
        <w:rPr>
          <w:rFonts w:asciiTheme="majorHAnsi" w:hAnsiTheme="majorHAnsi" w:cstheme="majorHAnsi"/>
          <w:iCs/>
          <w:color w:val="000000"/>
        </w:rPr>
        <w:t xml:space="preserve">су </w:t>
      </w:r>
      <w:r w:rsidRPr="00FF386D">
        <w:rPr>
          <w:rFonts w:asciiTheme="majorHAnsi" w:hAnsiTheme="majorHAnsi" w:cstheme="majorHAnsi"/>
          <w:iCs/>
          <w:color w:val="000000"/>
        </w:rPr>
        <w:t xml:space="preserve">количином енергије </w:t>
      </w:r>
      <w:r w:rsidR="00184030" w:rsidRPr="00FF386D">
        <w:rPr>
          <w:rFonts w:asciiTheme="majorHAnsi" w:hAnsiTheme="majorHAnsi" w:cstheme="majorHAnsi"/>
          <w:iCs/>
          <w:color w:val="000000"/>
        </w:rPr>
        <w:t xml:space="preserve">која се користи </w:t>
      </w:r>
      <w:r w:rsidRPr="00FF386D">
        <w:rPr>
          <w:rFonts w:asciiTheme="majorHAnsi" w:hAnsiTheme="majorHAnsi" w:cstheme="majorHAnsi"/>
          <w:iCs/>
          <w:color w:val="000000"/>
        </w:rPr>
        <w:t xml:space="preserve">у процесима и </w:t>
      </w:r>
      <w:r w:rsidR="00184030" w:rsidRPr="00FF386D">
        <w:rPr>
          <w:rFonts w:asciiTheme="majorHAnsi" w:hAnsiTheme="majorHAnsi" w:cstheme="majorHAnsi"/>
          <w:iCs/>
          <w:color w:val="000000"/>
        </w:rPr>
        <w:t xml:space="preserve">јединичним </w:t>
      </w:r>
      <w:r w:rsidRPr="00FF386D">
        <w:rPr>
          <w:rFonts w:asciiTheme="majorHAnsi" w:hAnsiTheme="majorHAnsi" w:cstheme="majorHAnsi"/>
          <w:iCs/>
          <w:color w:val="000000"/>
        </w:rPr>
        <w:t xml:space="preserve">фактором </w:t>
      </w:r>
      <w:r w:rsidR="00184030" w:rsidRPr="00FF386D">
        <w:rPr>
          <w:rFonts w:asciiTheme="majorHAnsi" w:hAnsiTheme="majorHAnsi" w:cstheme="majorHAnsi"/>
          <w:iCs/>
          <w:color w:val="000000"/>
        </w:rPr>
        <w:t>емисија енергената</w:t>
      </w:r>
      <w:r w:rsidRPr="00FF386D">
        <w:rPr>
          <w:rFonts w:asciiTheme="majorHAnsi" w:hAnsiTheme="majorHAnsi" w:cstheme="majorHAnsi"/>
          <w:iCs/>
          <w:color w:val="000000"/>
        </w:rPr>
        <w:t xml:space="preserve">. Емисије </w:t>
      </w:r>
      <w:r w:rsidRPr="00FF386D">
        <w:rPr>
          <w:rFonts w:asciiTheme="majorHAnsi" w:hAnsiTheme="majorHAnsi" w:cstheme="majorHAnsi"/>
          <w:i/>
          <w:iCs/>
          <w:color w:val="000000"/>
        </w:rPr>
        <w:t xml:space="preserve">GHG </w:t>
      </w:r>
      <w:r w:rsidRPr="00FF386D">
        <w:rPr>
          <w:rFonts w:asciiTheme="majorHAnsi" w:hAnsiTheme="majorHAnsi" w:cstheme="majorHAnsi"/>
          <w:iCs/>
          <w:color w:val="000000"/>
        </w:rPr>
        <w:t xml:space="preserve">се могу </w:t>
      </w:r>
      <w:r w:rsidR="00184030" w:rsidRPr="00FF386D">
        <w:rPr>
          <w:rFonts w:asciiTheme="majorHAnsi" w:hAnsiTheme="majorHAnsi" w:cstheme="majorHAnsi"/>
          <w:iCs/>
          <w:color w:val="000000"/>
        </w:rPr>
        <w:t>ограничити смањењем</w:t>
      </w:r>
      <w:r w:rsidRPr="00FF386D">
        <w:rPr>
          <w:rFonts w:asciiTheme="majorHAnsi" w:hAnsiTheme="majorHAnsi" w:cstheme="majorHAnsi"/>
          <w:iCs/>
          <w:color w:val="000000"/>
        </w:rPr>
        <w:t xml:space="preserve"> </w:t>
      </w:r>
      <w:r w:rsidR="00184030" w:rsidRPr="00FF386D">
        <w:rPr>
          <w:rFonts w:asciiTheme="majorHAnsi" w:hAnsiTheme="majorHAnsi" w:cstheme="majorHAnsi"/>
          <w:iCs/>
          <w:color w:val="000000"/>
        </w:rPr>
        <w:t>потрошње</w:t>
      </w:r>
      <w:r w:rsidRPr="00FF386D">
        <w:rPr>
          <w:rFonts w:asciiTheme="majorHAnsi" w:hAnsiTheme="majorHAnsi" w:cstheme="majorHAnsi"/>
          <w:iCs/>
          <w:color w:val="000000"/>
        </w:rPr>
        <w:t xml:space="preserve"> енергије, повећањем коришћења обновљивих извора енергије и заменом фосилних горива.</w:t>
      </w:r>
    </w:p>
    <w:p w14:paraId="6577127B" w14:textId="304EF40C" w:rsidR="00854ADA" w:rsidRPr="00FF386D" w:rsidRDefault="00854ADA" w:rsidP="00854ADA">
      <w:pPr>
        <w:spacing w:before="240"/>
        <w:jc w:val="both"/>
        <w:rPr>
          <w:rFonts w:asciiTheme="majorHAnsi" w:hAnsiTheme="majorHAnsi" w:cstheme="majorHAnsi"/>
          <w:iCs/>
          <w:color w:val="000000"/>
        </w:rPr>
      </w:pPr>
      <w:r w:rsidRPr="00FF386D">
        <w:rPr>
          <w:rFonts w:asciiTheme="majorHAnsi" w:hAnsiTheme="majorHAnsi" w:cstheme="majorHAnsi"/>
          <w:iCs/>
          <w:color w:val="000000"/>
        </w:rPr>
        <w:t xml:space="preserve">Већина мера политике </w:t>
      </w:r>
      <w:r w:rsidR="005D706B" w:rsidRPr="00FF386D">
        <w:rPr>
          <w:rFonts w:asciiTheme="majorHAnsi" w:hAnsiTheme="majorHAnsi" w:cstheme="majorHAnsi"/>
          <w:iCs/>
          <w:color w:val="000000"/>
        </w:rPr>
        <w:t xml:space="preserve">које су намењене </w:t>
      </w:r>
      <w:r w:rsidRPr="00FF386D">
        <w:rPr>
          <w:rFonts w:asciiTheme="majorHAnsi" w:hAnsiTheme="majorHAnsi" w:cstheme="majorHAnsi"/>
          <w:iCs/>
          <w:color w:val="000000"/>
        </w:rPr>
        <w:t>декарбонизациј</w:t>
      </w:r>
      <w:r w:rsidR="005D706B" w:rsidRPr="00FF386D">
        <w:rPr>
          <w:rFonts w:asciiTheme="majorHAnsi" w:hAnsiTheme="majorHAnsi" w:cstheme="majorHAnsi"/>
          <w:iCs/>
          <w:color w:val="000000"/>
        </w:rPr>
        <w:t xml:space="preserve">и </w:t>
      </w:r>
      <w:r w:rsidRPr="00FF386D">
        <w:rPr>
          <w:rFonts w:asciiTheme="majorHAnsi" w:hAnsiTheme="majorHAnsi" w:cstheme="majorHAnsi"/>
          <w:iCs/>
          <w:color w:val="000000"/>
        </w:rPr>
        <w:t>енергетск</w:t>
      </w:r>
      <w:r w:rsidR="005D706B" w:rsidRPr="00FF386D">
        <w:rPr>
          <w:rFonts w:asciiTheme="majorHAnsi" w:hAnsiTheme="majorHAnsi" w:cstheme="majorHAnsi"/>
          <w:iCs/>
          <w:color w:val="000000"/>
        </w:rPr>
        <w:t>ог</w:t>
      </w:r>
      <w:r w:rsidRPr="00FF386D">
        <w:rPr>
          <w:rFonts w:asciiTheme="majorHAnsi" w:hAnsiTheme="majorHAnsi" w:cstheme="majorHAnsi"/>
          <w:iCs/>
          <w:color w:val="000000"/>
        </w:rPr>
        <w:t xml:space="preserve"> сектор</w:t>
      </w:r>
      <w:r w:rsidR="005D706B" w:rsidRPr="00FF386D">
        <w:rPr>
          <w:rFonts w:asciiTheme="majorHAnsi" w:hAnsiTheme="majorHAnsi" w:cstheme="majorHAnsi"/>
          <w:iCs/>
          <w:color w:val="000000"/>
        </w:rPr>
        <w:t>а</w:t>
      </w:r>
      <w:r w:rsidR="00DA65B2" w:rsidRPr="00FF386D">
        <w:rPr>
          <w:rFonts w:asciiTheme="majorHAnsi" w:hAnsiTheme="majorHAnsi" w:cstheme="majorHAnsi"/>
          <w:iCs/>
          <w:color w:val="000000"/>
        </w:rPr>
        <w:t xml:space="preserve">, </w:t>
      </w:r>
      <w:r w:rsidRPr="00FF386D">
        <w:rPr>
          <w:rFonts w:asciiTheme="majorHAnsi" w:hAnsiTheme="majorHAnsi" w:cstheme="majorHAnsi"/>
          <w:iCs/>
          <w:color w:val="000000"/>
        </w:rPr>
        <w:t>обухваћена је</w:t>
      </w:r>
      <w:r w:rsidR="00DA65B2" w:rsidRPr="00FF386D">
        <w:rPr>
          <w:rFonts w:asciiTheme="majorHAnsi" w:hAnsiTheme="majorHAnsi" w:cstheme="majorHAnsi"/>
          <w:iCs/>
          <w:color w:val="000000"/>
        </w:rPr>
        <w:t xml:space="preserve"> и</w:t>
      </w:r>
      <w:r w:rsidRPr="00FF386D">
        <w:rPr>
          <w:rFonts w:asciiTheme="majorHAnsi" w:hAnsiTheme="majorHAnsi" w:cstheme="majorHAnsi"/>
          <w:iCs/>
          <w:color w:val="000000"/>
        </w:rPr>
        <w:t xml:space="preserve"> у димензиј</w:t>
      </w:r>
      <w:r w:rsidR="005D706B" w:rsidRPr="00FF386D">
        <w:rPr>
          <w:rFonts w:asciiTheme="majorHAnsi" w:hAnsiTheme="majorHAnsi" w:cstheme="majorHAnsi"/>
          <w:iCs/>
          <w:color w:val="000000"/>
        </w:rPr>
        <w:t>ама</w:t>
      </w:r>
      <w:r w:rsidRPr="00FF386D">
        <w:rPr>
          <w:rFonts w:asciiTheme="majorHAnsi" w:hAnsiTheme="majorHAnsi" w:cstheme="majorHAnsi"/>
          <w:iCs/>
          <w:color w:val="000000"/>
        </w:rPr>
        <w:t xml:space="preserve"> обновљиви</w:t>
      </w:r>
      <w:r w:rsidR="005D706B" w:rsidRPr="00FF386D">
        <w:rPr>
          <w:rFonts w:asciiTheme="majorHAnsi" w:hAnsiTheme="majorHAnsi" w:cstheme="majorHAnsi"/>
          <w:iCs/>
          <w:color w:val="000000"/>
        </w:rPr>
        <w:t>х</w:t>
      </w:r>
      <w:r w:rsidRPr="00FF386D">
        <w:rPr>
          <w:rFonts w:asciiTheme="majorHAnsi" w:hAnsiTheme="majorHAnsi" w:cstheme="majorHAnsi"/>
          <w:iCs/>
          <w:color w:val="000000"/>
        </w:rPr>
        <w:t xml:space="preserve"> извор</w:t>
      </w:r>
      <w:r w:rsidR="005D706B" w:rsidRPr="00FF386D">
        <w:rPr>
          <w:rFonts w:asciiTheme="majorHAnsi" w:hAnsiTheme="majorHAnsi" w:cstheme="majorHAnsi"/>
          <w:iCs/>
          <w:color w:val="000000"/>
        </w:rPr>
        <w:t>а</w:t>
      </w:r>
      <w:r w:rsidRPr="00FF386D">
        <w:rPr>
          <w:rFonts w:asciiTheme="majorHAnsi" w:hAnsiTheme="majorHAnsi" w:cstheme="majorHAnsi"/>
          <w:iCs/>
          <w:color w:val="000000"/>
        </w:rPr>
        <w:t xml:space="preserve"> енергије, енергетск</w:t>
      </w:r>
      <w:r w:rsidR="005D706B" w:rsidRPr="00FF386D">
        <w:rPr>
          <w:rFonts w:asciiTheme="majorHAnsi" w:hAnsiTheme="majorHAnsi" w:cstheme="majorHAnsi"/>
          <w:iCs/>
          <w:color w:val="000000"/>
        </w:rPr>
        <w:t>е</w:t>
      </w:r>
      <w:r w:rsidRPr="00FF386D">
        <w:rPr>
          <w:rFonts w:asciiTheme="majorHAnsi" w:hAnsiTheme="majorHAnsi" w:cstheme="majorHAnsi"/>
          <w:iCs/>
          <w:color w:val="000000"/>
        </w:rPr>
        <w:t xml:space="preserve"> ефикасност</w:t>
      </w:r>
      <w:r w:rsidR="005D706B" w:rsidRPr="00FF386D">
        <w:rPr>
          <w:rFonts w:asciiTheme="majorHAnsi" w:hAnsiTheme="majorHAnsi" w:cstheme="majorHAnsi"/>
          <w:iCs/>
          <w:color w:val="000000"/>
        </w:rPr>
        <w:t>и</w:t>
      </w:r>
      <w:r w:rsidRPr="00FF386D">
        <w:rPr>
          <w:rFonts w:asciiTheme="majorHAnsi" w:hAnsiTheme="majorHAnsi" w:cstheme="majorHAnsi"/>
          <w:iCs/>
          <w:color w:val="000000"/>
        </w:rPr>
        <w:t>, унутрашње</w:t>
      </w:r>
      <w:r w:rsidR="005D706B" w:rsidRPr="00FF386D">
        <w:rPr>
          <w:rFonts w:asciiTheme="majorHAnsi" w:hAnsiTheme="majorHAnsi" w:cstheme="majorHAnsi"/>
          <w:iCs/>
          <w:color w:val="000000"/>
        </w:rPr>
        <w:t>г</w:t>
      </w:r>
      <w:r w:rsidRPr="00FF386D">
        <w:rPr>
          <w:rFonts w:asciiTheme="majorHAnsi" w:hAnsiTheme="majorHAnsi" w:cstheme="majorHAnsi"/>
          <w:iCs/>
          <w:color w:val="000000"/>
        </w:rPr>
        <w:t xml:space="preserve"> </w:t>
      </w:r>
      <w:r w:rsidR="00DA664E" w:rsidRPr="00FF386D">
        <w:rPr>
          <w:rFonts w:asciiTheme="majorHAnsi" w:hAnsiTheme="majorHAnsi" w:cstheme="majorHAnsi"/>
          <w:iCs/>
          <w:color w:val="000000"/>
        </w:rPr>
        <w:t>енергетско</w:t>
      </w:r>
      <w:r w:rsidR="005D706B" w:rsidRPr="00FF386D">
        <w:rPr>
          <w:rFonts w:asciiTheme="majorHAnsi" w:hAnsiTheme="majorHAnsi" w:cstheme="majorHAnsi"/>
          <w:iCs/>
          <w:color w:val="000000"/>
        </w:rPr>
        <w:t>г</w:t>
      </w:r>
      <w:r w:rsidR="00DA664E" w:rsidRPr="00FF386D">
        <w:rPr>
          <w:rFonts w:asciiTheme="majorHAnsi" w:hAnsiTheme="majorHAnsi" w:cstheme="majorHAnsi"/>
          <w:iCs/>
          <w:color w:val="000000"/>
        </w:rPr>
        <w:t xml:space="preserve"> </w:t>
      </w:r>
      <w:r w:rsidRPr="00FF386D">
        <w:rPr>
          <w:rFonts w:asciiTheme="majorHAnsi" w:hAnsiTheme="majorHAnsi" w:cstheme="majorHAnsi"/>
          <w:iCs/>
          <w:color w:val="000000"/>
        </w:rPr>
        <w:t>тржишт</w:t>
      </w:r>
      <w:r w:rsidR="005D706B" w:rsidRPr="00FF386D">
        <w:rPr>
          <w:rFonts w:asciiTheme="majorHAnsi" w:hAnsiTheme="majorHAnsi" w:cstheme="majorHAnsi"/>
          <w:iCs/>
          <w:color w:val="000000"/>
        </w:rPr>
        <w:t>а</w:t>
      </w:r>
      <w:r w:rsidRPr="00FF386D">
        <w:rPr>
          <w:rFonts w:asciiTheme="majorHAnsi" w:hAnsiTheme="majorHAnsi" w:cstheme="majorHAnsi"/>
          <w:iCs/>
          <w:color w:val="000000"/>
        </w:rPr>
        <w:t xml:space="preserve"> и енергетск</w:t>
      </w:r>
      <w:r w:rsidR="005D706B" w:rsidRPr="00FF386D">
        <w:rPr>
          <w:rFonts w:asciiTheme="majorHAnsi" w:hAnsiTheme="majorHAnsi" w:cstheme="majorHAnsi"/>
          <w:iCs/>
          <w:color w:val="000000"/>
        </w:rPr>
        <w:t>е</w:t>
      </w:r>
      <w:r w:rsidRPr="00FF386D">
        <w:rPr>
          <w:rFonts w:asciiTheme="majorHAnsi" w:hAnsiTheme="majorHAnsi" w:cstheme="majorHAnsi"/>
          <w:iCs/>
          <w:color w:val="000000"/>
        </w:rPr>
        <w:t xml:space="preserve"> сигурност</w:t>
      </w:r>
      <w:r w:rsidR="005D706B" w:rsidRPr="00FF386D">
        <w:rPr>
          <w:rFonts w:asciiTheme="majorHAnsi" w:hAnsiTheme="majorHAnsi" w:cstheme="majorHAnsi"/>
          <w:iCs/>
          <w:color w:val="000000"/>
        </w:rPr>
        <w:t>и</w:t>
      </w:r>
      <w:r w:rsidRPr="00FF386D">
        <w:rPr>
          <w:rFonts w:asciiTheme="majorHAnsi" w:hAnsiTheme="majorHAnsi" w:cstheme="majorHAnsi"/>
          <w:iCs/>
          <w:color w:val="000000"/>
        </w:rPr>
        <w:t xml:space="preserve">, </w:t>
      </w:r>
      <w:r w:rsidR="00712083" w:rsidRPr="00FF386D">
        <w:rPr>
          <w:rFonts w:asciiTheme="majorHAnsi" w:hAnsiTheme="majorHAnsi" w:cstheme="majorHAnsi"/>
          <w:iCs/>
          <w:color w:val="000000"/>
        </w:rPr>
        <w:t>с обзиром на то</w:t>
      </w:r>
      <w:r w:rsidRPr="00FF386D">
        <w:rPr>
          <w:rFonts w:asciiTheme="majorHAnsi" w:hAnsiTheme="majorHAnsi" w:cstheme="majorHAnsi"/>
          <w:iCs/>
          <w:color w:val="000000"/>
        </w:rPr>
        <w:t xml:space="preserve"> да промене у овим димензијама доводе до укупног смањења емисија </w:t>
      </w:r>
      <w:r w:rsidRPr="00FF386D">
        <w:rPr>
          <w:rFonts w:asciiTheme="majorHAnsi" w:hAnsiTheme="majorHAnsi" w:cstheme="majorHAnsi"/>
          <w:i/>
          <w:iCs/>
          <w:color w:val="000000"/>
        </w:rPr>
        <w:t>GHG.</w:t>
      </w:r>
    </w:p>
    <w:p w14:paraId="240CEDB9" w14:textId="77777777" w:rsidR="00854ADA" w:rsidRPr="00FF386D" w:rsidRDefault="00854ADA" w:rsidP="00854ADA">
      <w:pPr>
        <w:spacing w:before="240"/>
        <w:jc w:val="both"/>
        <w:rPr>
          <w:rFonts w:asciiTheme="majorHAnsi" w:hAnsiTheme="majorHAnsi" w:cstheme="majorHAnsi"/>
          <w:b/>
          <w:bCs/>
          <w:color w:val="000000"/>
        </w:rPr>
      </w:pPr>
      <w:r w:rsidRPr="00FF386D">
        <w:rPr>
          <w:rFonts w:asciiTheme="majorHAnsi" w:hAnsiTheme="majorHAnsi" w:cstheme="majorHAnsi"/>
          <w:b/>
          <w:bCs/>
          <w:color w:val="000000"/>
        </w:rPr>
        <w:t>Индустријски сектор</w:t>
      </w:r>
    </w:p>
    <w:p w14:paraId="1F08A169" w14:textId="02D2CD63" w:rsidR="00854ADA" w:rsidRPr="00FF386D" w:rsidRDefault="005D706B" w:rsidP="00854ADA">
      <w:pPr>
        <w:spacing w:before="240"/>
        <w:jc w:val="both"/>
        <w:rPr>
          <w:rFonts w:asciiTheme="majorHAnsi" w:hAnsiTheme="majorHAnsi" w:cstheme="majorHAnsi"/>
          <w:bCs/>
          <w:color w:val="000000"/>
        </w:rPr>
      </w:pPr>
      <w:r w:rsidRPr="00FF386D">
        <w:rPr>
          <w:rFonts w:asciiTheme="majorHAnsi" w:hAnsiTheme="majorHAnsi" w:cstheme="majorHAnsi"/>
          <w:bCs/>
          <w:color w:val="000000"/>
        </w:rPr>
        <w:t>Када је реч о</w:t>
      </w:r>
      <w:r w:rsidR="00854ADA" w:rsidRPr="00FF386D">
        <w:rPr>
          <w:rFonts w:asciiTheme="majorHAnsi" w:hAnsiTheme="majorHAnsi" w:cstheme="majorHAnsi"/>
          <w:bCs/>
          <w:color w:val="000000"/>
        </w:rPr>
        <w:t xml:space="preserve"> индустријско</w:t>
      </w:r>
      <w:r w:rsidRPr="00FF386D">
        <w:rPr>
          <w:rFonts w:asciiTheme="majorHAnsi" w:hAnsiTheme="majorHAnsi" w:cstheme="majorHAnsi"/>
          <w:bCs/>
          <w:color w:val="000000"/>
        </w:rPr>
        <w:t>м</w:t>
      </w:r>
      <w:r w:rsidR="00854ADA" w:rsidRPr="00FF386D">
        <w:rPr>
          <w:rFonts w:asciiTheme="majorHAnsi" w:hAnsiTheme="majorHAnsi" w:cstheme="majorHAnsi"/>
          <w:bCs/>
          <w:color w:val="000000"/>
        </w:rPr>
        <w:t xml:space="preserve"> загађењ</w:t>
      </w:r>
      <w:r w:rsidRPr="00FF386D">
        <w:rPr>
          <w:rFonts w:asciiTheme="majorHAnsi" w:hAnsiTheme="majorHAnsi" w:cstheme="majorHAnsi"/>
          <w:bCs/>
          <w:color w:val="000000"/>
        </w:rPr>
        <w:t>у</w:t>
      </w:r>
      <w:r w:rsidR="00854ADA" w:rsidRPr="00FF386D">
        <w:rPr>
          <w:rFonts w:asciiTheme="majorHAnsi" w:hAnsiTheme="majorHAnsi" w:cstheme="majorHAnsi"/>
          <w:bCs/>
          <w:color w:val="000000"/>
        </w:rPr>
        <w:t xml:space="preserve"> и управљањ</w:t>
      </w:r>
      <w:r w:rsidRPr="00FF386D">
        <w:rPr>
          <w:rFonts w:asciiTheme="majorHAnsi" w:hAnsiTheme="majorHAnsi" w:cstheme="majorHAnsi"/>
          <w:bCs/>
          <w:color w:val="000000"/>
        </w:rPr>
        <w:t>у</w:t>
      </w:r>
      <w:r w:rsidR="00854ADA" w:rsidRPr="00FF386D">
        <w:rPr>
          <w:rFonts w:asciiTheme="majorHAnsi" w:hAnsiTheme="majorHAnsi" w:cstheme="majorHAnsi"/>
          <w:bCs/>
          <w:color w:val="000000"/>
        </w:rPr>
        <w:t xml:space="preserve"> ризиком, </w:t>
      </w:r>
      <w:r w:rsidR="00C84EC5" w:rsidRPr="00C84EC5">
        <w:rPr>
          <w:rFonts w:ascii="Calibri Light" w:eastAsia="Calibri" w:hAnsi="Calibri Light" w:cs="Calibri Light"/>
          <w:bCs/>
          <w:color w:val="000000"/>
        </w:rPr>
        <w:t>с</w:t>
      </w:r>
      <w:r w:rsidR="00C84EC5" w:rsidRPr="00C312D6">
        <w:rPr>
          <w:rFonts w:ascii="Calibri Light" w:eastAsia="Calibri" w:hAnsi="Calibri Light" w:cs="Calibri Light"/>
          <w:bCs/>
          <w:color w:val="000000"/>
        </w:rPr>
        <w:t xml:space="preserve">истем интегрисаних дозвола утврђен је Законом о интегрисаном спречавању и контроли загађивања животне средине из 2004. године, уводећи у законодавство Републике Србије једну од кључних директива </w:t>
      </w:r>
      <w:r w:rsidR="00C84EC5">
        <w:rPr>
          <w:rFonts w:ascii="Calibri Light" w:eastAsia="Calibri" w:hAnsi="Calibri Light" w:cs="Calibri Light"/>
          <w:bCs/>
          <w:color w:val="000000"/>
        </w:rPr>
        <w:t xml:space="preserve">а то </w:t>
      </w:r>
      <w:r w:rsidR="00C84EC5" w:rsidRPr="00C312D6">
        <w:rPr>
          <w:rFonts w:ascii="Calibri Light" w:eastAsia="Calibri" w:hAnsi="Calibri Light" w:cs="Calibri Light"/>
          <w:bCs/>
          <w:color w:val="000000"/>
        </w:rPr>
        <w:t>је Директива Савета 96/61/ЕЗ од 24. септембра 1996. (</w:t>
      </w:r>
      <w:r w:rsidR="00C84EC5" w:rsidRPr="00C84EC5">
        <w:rPr>
          <w:rFonts w:ascii="Calibri Light" w:eastAsia="Calibri" w:hAnsi="Calibri Light" w:cs="Calibri Light"/>
          <w:bCs/>
          <w:color w:val="000000"/>
          <w:lang w:val="en-US"/>
        </w:rPr>
        <w:t>IPPC</w:t>
      </w:r>
      <w:r w:rsidR="00C84EC5" w:rsidRPr="00C312D6">
        <w:rPr>
          <w:rFonts w:ascii="Calibri Light" w:eastAsia="Calibri" w:hAnsi="Calibri Light" w:cs="Calibri Light"/>
          <w:bCs/>
          <w:color w:val="000000"/>
        </w:rPr>
        <w:t xml:space="preserve"> Директива). Закон се примењује на постројења и активности које су класификоване према нивоу загађивања и ризику који те активности могу имати по здравље људи и животну средину. Примена овог закона је током времена открила проблеме и неспремност како оператера да одговоре на захтеве које је овај закон донео (обимна документација коју је неопходно припремити или прибавити, за чије је прибављање потребно уложити велика средства, а пре тога и знатна материјална улагања у иновирање опреме и усклађивање примењених технологија са најбоље доступним техникама), тако и проблеме у исходовању потребних дозвола, решења, сагласности или одобрења код других државних институција. Такође, надлежни орган</w:t>
      </w:r>
      <w:r w:rsidR="00C84EC5" w:rsidRPr="00C84EC5">
        <w:rPr>
          <w:rFonts w:ascii="Calibri Light" w:eastAsia="Calibri" w:hAnsi="Calibri Light" w:cs="Calibri Light"/>
          <w:bCs/>
          <w:color w:val="000000"/>
        </w:rPr>
        <w:t>и су</w:t>
      </w:r>
      <w:r w:rsidR="00C84EC5" w:rsidRPr="00C312D6">
        <w:rPr>
          <w:rFonts w:ascii="Calibri Light" w:eastAsia="Calibri" w:hAnsi="Calibri Light" w:cs="Calibri Light"/>
          <w:bCs/>
          <w:color w:val="000000"/>
        </w:rPr>
        <w:t xml:space="preserve"> се суочи</w:t>
      </w:r>
      <w:r w:rsidR="00C84EC5" w:rsidRPr="00C84EC5">
        <w:rPr>
          <w:rFonts w:ascii="Calibri Light" w:eastAsia="Calibri" w:hAnsi="Calibri Light" w:cs="Calibri Light"/>
          <w:bCs/>
          <w:color w:val="000000"/>
        </w:rPr>
        <w:t>ли</w:t>
      </w:r>
      <w:r w:rsidR="00C84EC5" w:rsidRPr="00C312D6">
        <w:rPr>
          <w:rFonts w:ascii="Calibri Light" w:eastAsia="Calibri" w:hAnsi="Calibri Light" w:cs="Calibri Light"/>
          <w:bCs/>
          <w:color w:val="000000"/>
        </w:rPr>
        <w:t xml:space="preserve"> са недостатком потребних капацитета. Све ово је довело до тога да су захтеви за издавање дозвола често били непотпуни (захтеви су предавани само због рокова), што је заједно са дужином процедуре, чекања на потребна документа других органа и допуна захтева, разлог дугог трајања поступка и релативно малог број издатих дозвола у односу на број оператера и усаглашене рокове за њихово исходовање.</w:t>
      </w:r>
      <w:r w:rsidR="00C84EC5" w:rsidRPr="00C84EC5">
        <w:rPr>
          <w:rFonts w:ascii="Calibri Light" w:eastAsia="Calibri" w:hAnsi="Calibri Light" w:cs="Calibri Light"/>
          <w:bCs/>
          <w:color w:val="000000"/>
        </w:rPr>
        <w:t xml:space="preserve"> У </w:t>
      </w:r>
      <w:r w:rsidR="00C84EC5" w:rsidRPr="00C84EC5">
        <w:rPr>
          <w:rFonts w:ascii="Calibri Light" w:eastAsia="Calibri" w:hAnsi="Calibri Light" w:cs="Calibri Light"/>
          <w:bCs/>
          <w:color w:val="000000"/>
        </w:rPr>
        <w:lastRenderedPageBreak/>
        <w:t>међувремену је покренута процедура за израду новог закона о индустријским емисијама, као и пратећих подзаконских аката, а све ради усклађивања са Директивом о индустријским емисијама</w:t>
      </w:r>
      <w:r w:rsidR="00C65352">
        <w:rPr>
          <w:rFonts w:ascii="Calibri Light" w:eastAsia="Calibri" w:hAnsi="Calibri Light" w:cs="Calibri Light"/>
          <w:bCs/>
          <w:color w:val="000000"/>
          <w:lang w:val="en-US"/>
        </w:rPr>
        <w:t xml:space="preserve"> </w:t>
      </w:r>
      <w:r w:rsidR="00C84EC5" w:rsidRPr="00C84EC5">
        <w:rPr>
          <w:rFonts w:ascii="Calibri Light" w:eastAsia="Calibri" w:hAnsi="Calibri Light" w:cs="Calibri Light"/>
          <w:bCs/>
          <w:color w:val="000000"/>
        </w:rPr>
        <w:t>2010/75/ЕЗ, за који се очекује да ће бити спреман за процедуру доношења до краја 2024</w:t>
      </w:r>
      <w:r w:rsidR="00C84EC5" w:rsidRPr="00C312D6">
        <w:rPr>
          <w:rFonts w:ascii="Calibri Light" w:eastAsia="Calibri" w:hAnsi="Calibri Light" w:cs="Calibri Light"/>
          <w:bCs/>
          <w:color w:val="000000"/>
        </w:rPr>
        <w:t xml:space="preserve">. </w:t>
      </w:r>
      <w:r w:rsidR="00C84EC5">
        <w:rPr>
          <w:rFonts w:ascii="Calibri Light" w:eastAsia="Calibri" w:hAnsi="Calibri Light" w:cs="Calibri Light"/>
          <w:bCs/>
          <w:color w:val="000000"/>
        </w:rPr>
        <w:t xml:space="preserve">године. </w:t>
      </w:r>
      <w:r w:rsidR="00115944" w:rsidRPr="00FF386D">
        <w:rPr>
          <w:rFonts w:asciiTheme="majorHAnsi" w:hAnsiTheme="majorHAnsi" w:cstheme="majorHAnsi"/>
          <w:bCs/>
          <w:color w:val="000000"/>
        </w:rPr>
        <w:t>Неопходно је</w:t>
      </w:r>
      <w:r w:rsidR="00854ADA" w:rsidRPr="00FF386D">
        <w:rPr>
          <w:rFonts w:asciiTheme="majorHAnsi" w:hAnsiTheme="majorHAnsi" w:cstheme="majorHAnsi"/>
          <w:bCs/>
          <w:color w:val="000000"/>
        </w:rPr>
        <w:t xml:space="preserve"> да Републи</w:t>
      </w:r>
      <w:r w:rsidR="00115944" w:rsidRPr="00FF386D">
        <w:rPr>
          <w:rFonts w:asciiTheme="majorHAnsi" w:hAnsiTheme="majorHAnsi" w:cstheme="majorHAnsi"/>
          <w:bCs/>
          <w:color w:val="000000"/>
        </w:rPr>
        <w:t>ка</w:t>
      </w:r>
      <w:r w:rsidR="00854ADA" w:rsidRPr="00FF386D">
        <w:rPr>
          <w:rFonts w:asciiTheme="majorHAnsi" w:hAnsiTheme="majorHAnsi" w:cstheme="majorHAnsi"/>
          <w:bCs/>
          <w:color w:val="000000"/>
        </w:rPr>
        <w:t xml:space="preserve"> Србиј</w:t>
      </w:r>
      <w:r w:rsidR="00115944" w:rsidRPr="00FF386D">
        <w:rPr>
          <w:rFonts w:asciiTheme="majorHAnsi" w:hAnsiTheme="majorHAnsi" w:cstheme="majorHAnsi"/>
          <w:bCs/>
          <w:color w:val="000000"/>
        </w:rPr>
        <w:t>а</w:t>
      </w:r>
      <w:r w:rsidR="00854ADA" w:rsidRPr="00FF386D">
        <w:rPr>
          <w:rFonts w:asciiTheme="majorHAnsi" w:hAnsiTheme="majorHAnsi" w:cstheme="majorHAnsi"/>
          <w:bCs/>
          <w:color w:val="000000"/>
        </w:rPr>
        <w:t xml:space="preserve"> повећа капацитете за управљање</w:t>
      </w:r>
      <w:r w:rsidR="00115944" w:rsidRPr="00FF386D">
        <w:rPr>
          <w:rFonts w:asciiTheme="majorHAnsi" w:hAnsiTheme="majorHAnsi" w:cstheme="majorHAnsi"/>
          <w:bCs/>
          <w:color w:val="000000"/>
        </w:rPr>
        <w:t xml:space="preserve"> процесом</w:t>
      </w:r>
      <w:r w:rsidR="00854ADA" w:rsidRPr="00FF386D">
        <w:rPr>
          <w:rFonts w:asciiTheme="majorHAnsi" w:hAnsiTheme="majorHAnsi" w:cstheme="majorHAnsi"/>
          <w:bCs/>
          <w:color w:val="000000"/>
        </w:rPr>
        <w:t xml:space="preserve"> </w:t>
      </w:r>
      <w:r w:rsidR="00115944" w:rsidRPr="00FF386D">
        <w:rPr>
          <w:rFonts w:asciiTheme="majorHAnsi" w:hAnsiTheme="majorHAnsi" w:cstheme="majorHAnsi"/>
          <w:bCs/>
          <w:color w:val="000000"/>
        </w:rPr>
        <w:t>издавања интегрисаних</w:t>
      </w:r>
      <w:r w:rsidR="00854ADA" w:rsidRPr="00FF386D">
        <w:rPr>
          <w:rFonts w:asciiTheme="majorHAnsi" w:hAnsiTheme="majorHAnsi" w:cstheme="majorHAnsi"/>
          <w:bCs/>
          <w:color w:val="000000"/>
        </w:rPr>
        <w:t xml:space="preserve"> дозвола</w:t>
      </w:r>
      <w:r w:rsidR="00115944" w:rsidRPr="00FF386D">
        <w:rPr>
          <w:rFonts w:asciiTheme="majorHAnsi" w:hAnsiTheme="majorHAnsi" w:cstheme="majorHAnsi"/>
          <w:bCs/>
          <w:color w:val="000000"/>
        </w:rPr>
        <w:t>, као и да реши проблем</w:t>
      </w:r>
      <w:r w:rsidR="00854ADA" w:rsidRPr="00FF386D">
        <w:rPr>
          <w:rFonts w:asciiTheme="majorHAnsi" w:hAnsiTheme="majorHAnsi" w:cstheme="majorHAnsi"/>
          <w:bCs/>
          <w:color w:val="000000"/>
        </w:rPr>
        <w:t xml:space="preserve"> индустријског загађења </w:t>
      </w:r>
      <w:r w:rsidR="00115944" w:rsidRPr="00FF386D">
        <w:rPr>
          <w:rFonts w:asciiTheme="majorHAnsi" w:hAnsiTheme="majorHAnsi" w:cstheme="majorHAnsi"/>
          <w:bCs/>
          <w:color w:val="000000"/>
        </w:rPr>
        <w:t>тако што ће применити принцип</w:t>
      </w:r>
      <w:r w:rsidR="00854ADA" w:rsidRPr="00FF386D">
        <w:rPr>
          <w:rFonts w:asciiTheme="majorHAnsi" w:hAnsiTheme="majorHAnsi" w:cstheme="majorHAnsi"/>
          <w:bCs/>
          <w:color w:val="000000"/>
        </w:rPr>
        <w:t xml:space="preserve"> „загађивач плаћа”, </w:t>
      </w:r>
      <w:r w:rsidR="00115944" w:rsidRPr="00FF386D">
        <w:rPr>
          <w:rFonts w:asciiTheme="majorHAnsi" w:hAnsiTheme="majorHAnsi" w:cstheme="majorHAnsi"/>
          <w:bCs/>
          <w:color w:val="000000"/>
        </w:rPr>
        <w:t>и тиме подстаћи индустрију</w:t>
      </w:r>
      <w:r w:rsidR="00854ADA" w:rsidRPr="00FF386D">
        <w:rPr>
          <w:rFonts w:asciiTheme="majorHAnsi" w:hAnsiTheme="majorHAnsi" w:cstheme="majorHAnsi"/>
          <w:bCs/>
          <w:color w:val="000000"/>
        </w:rPr>
        <w:t xml:space="preserve"> да инвестира у зелена решења</w:t>
      </w:r>
      <w:r w:rsidR="00854ADA" w:rsidRPr="00FF386D">
        <w:rPr>
          <w:rFonts w:asciiTheme="majorHAnsi" w:hAnsiTheme="majorHAnsi" w:cstheme="majorHAnsi"/>
          <w:vertAlign w:val="superscript"/>
        </w:rPr>
        <w:footnoteReference w:id="93"/>
      </w:r>
      <w:r w:rsidR="00854ADA" w:rsidRPr="00FF386D">
        <w:rPr>
          <w:rFonts w:asciiTheme="majorHAnsi" w:hAnsiTheme="majorHAnsi" w:cstheme="majorHAnsi"/>
          <w:bCs/>
          <w:color w:val="000000"/>
        </w:rPr>
        <w:t>.</w:t>
      </w:r>
    </w:p>
    <w:p w14:paraId="088DC1D3" w14:textId="6C1DF5C6" w:rsidR="00854ADA" w:rsidRPr="00FF386D" w:rsidRDefault="00854ADA" w:rsidP="00854ADA">
      <w:pPr>
        <w:jc w:val="both"/>
        <w:rPr>
          <w:rFonts w:asciiTheme="majorHAnsi" w:hAnsiTheme="majorHAnsi" w:cstheme="majorHAnsi"/>
          <w:bCs/>
          <w:color w:val="000000"/>
        </w:rPr>
      </w:pPr>
      <w:r w:rsidRPr="00FF386D">
        <w:rPr>
          <w:rFonts w:asciiTheme="majorHAnsi" w:hAnsiTheme="majorHAnsi" w:cstheme="majorHAnsi"/>
          <w:bCs/>
          <w:color w:val="000000"/>
        </w:rPr>
        <w:t>Поред тога,</w:t>
      </w:r>
      <w:r w:rsidR="00F11B69" w:rsidRPr="00FF386D">
        <w:rPr>
          <w:rFonts w:asciiTheme="majorHAnsi" w:hAnsiTheme="majorHAnsi" w:cstheme="majorHAnsi"/>
          <w:bCs/>
          <w:color w:val="000000"/>
        </w:rPr>
        <w:t xml:space="preserve"> у погледу </w:t>
      </w:r>
      <w:r w:rsidRPr="00FF386D">
        <w:rPr>
          <w:rFonts w:asciiTheme="majorHAnsi" w:hAnsiTheme="majorHAnsi" w:cstheme="majorHAnsi"/>
          <w:bCs/>
          <w:color w:val="000000"/>
        </w:rPr>
        <w:t xml:space="preserve">зграда у индустријском сектору и сектору услуга, потребно </w:t>
      </w:r>
      <w:r w:rsidR="0068223F" w:rsidRPr="00FF386D">
        <w:rPr>
          <w:rFonts w:asciiTheme="majorHAnsi" w:hAnsiTheme="majorHAnsi" w:cstheme="majorHAnsi"/>
          <w:bCs/>
          <w:color w:val="000000"/>
        </w:rPr>
        <w:t xml:space="preserve">је </w:t>
      </w:r>
      <w:r w:rsidRPr="00FF386D">
        <w:rPr>
          <w:rFonts w:asciiTheme="majorHAnsi" w:hAnsiTheme="majorHAnsi" w:cstheme="majorHAnsi"/>
          <w:bCs/>
          <w:color w:val="000000"/>
        </w:rPr>
        <w:t xml:space="preserve">смањити потражњу за хлађењем током лета (термална рехабилитација и стандарди ефикасности у новим зградама). </w:t>
      </w:r>
      <w:r w:rsidR="00D13BE0" w:rsidRPr="00FF386D">
        <w:rPr>
          <w:rFonts w:asciiTheme="majorHAnsi" w:hAnsiTheme="majorHAnsi" w:cstheme="majorHAnsi"/>
          <w:bCs/>
          <w:color w:val="000000"/>
        </w:rPr>
        <w:t>У раној фази ће бити могућ</w:t>
      </w:r>
      <w:r w:rsidR="0068223F" w:rsidRPr="00FF386D">
        <w:rPr>
          <w:rFonts w:asciiTheme="majorHAnsi" w:hAnsiTheme="majorHAnsi" w:cstheme="majorHAnsi"/>
          <w:bCs/>
          <w:color w:val="000000"/>
        </w:rPr>
        <w:t>е</w:t>
      </w:r>
      <w:r w:rsidR="00D13BE0" w:rsidRPr="00FF386D">
        <w:rPr>
          <w:rFonts w:asciiTheme="majorHAnsi" w:hAnsiTheme="majorHAnsi" w:cstheme="majorHAnsi"/>
          <w:bCs/>
          <w:color w:val="000000"/>
        </w:rPr>
        <w:t xml:space="preserve"> да се</w:t>
      </w:r>
      <w:r w:rsidR="00F6064A" w:rsidRPr="00FF386D">
        <w:rPr>
          <w:rFonts w:asciiTheme="majorHAnsi" w:hAnsiTheme="majorHAnsi" w:cstheme="majorHAnsi"/>
          <w:bCs/>
          <w:color w:val="000000"/>
        </w:rPr>
        <w:t xml:space="preserve"> </w:t>
      </w:r>
      <w:r w:rsidR="00D13BE0" w:rsidRPr="00FF386D">
        <w:rPr>
          <w:rFonts w:asciiTheme="majorHAnsi" w:hAnsiTheme="majorHAnsi" w:cstheme="majorHAnsi"/>
          <w:bCs/>
          <w:color w:val="000000"/>
        </w:rPr>
        <w:t>добије подршка</w:t>
      </w:r>
      <w:r w:rsidR="00F6064A" w:rsidRPr="00FF386D">
        <w:rPr>
          <w:rFonts w:asciiTheme="majorHAnsi" w:hAnsiTheme="majorHAnsi" w:cstheme="majorHAnsi"/>
          <w:bCs/>
          <w:color w:val="000000"/>
        </w:rPr>
        <w:t xml:space="preserve"> </w:t>
      </w:r>
      <w:r w:rsidR="00D13BE0" w:rsidRPr="00FF386D">
        <w:rPr>
          <w:rFonts w:asciiTheme="majorHAnsi" w:hAnsiTheme="majorHAnsi" w:cstheme="majorHAnsi"/>
          <w:bCs/>
          <w:color w:val="000000"/>
        </w:rPr>
        <w:t xml:space="preserve">за постепено укидање флуорованих гасова са високим потенцијалом глобалног загревања </w:t>
      </w:r>
      <w:r w:rsidR="00D13BE0" w:rsidRPr="00FF386D">
        <w:rPr>
          <w:rFonts w:asciiTheme="majorHAnsi" w:hAnsiTheme="majorHAnsi" w:cstheme="majorHAnsi"/>
          <w:bCs/>
          <w:i/>
          <w:iCs/>
          <w:color w:val="000000"/>
        </w:rPr>
        <w:t>(GWP)</w:t>
      </w:r>
      <w:r w:rsidR="00D13BE0" w:rsidRPr="00FF386D">
        <w:rPr>
          <w:rFonts w:asciiTheme="majorHAnsi" w:hAnsiTheme="majorHAnsi" w:cstheme="majorHAnsi"/>
          <w:bCs/>
          <w:color w:val="000000"/>
        </w:rPr>
        <w:t xml:space="preserve"> (нпр. у</w:t>
      </w:r>
      <w:r w:rsidR="00890D9A" w:rsidRPr="000A2AFE">
        <w:rPr>
          <w:rFonts w:asciiTheme="majorHAnsi" w:hAnsiTheme="majorHAnsi" w:cstheme="majorHAnsi"/>
          <w:bCs/>
          <w:color w:val="000000"/>
        </w:rPr>
        <w:t xml:space="preserve"> </w:t>
      </w:r>
      <w:r w:rsidR="00890D9A" w:rsidRPr="00FF386D">
        <w:rPr>
          <w:rFonts w:asciiTheme="majorHAnsi" w:hAnsiTheme="majorHAnsi" w:cstheme="majorHAnsi"/>
          <w:bCs/>
          <w:color w:val="000000"/>
        </w:rPr>
        <w:t>расхладној и климатизационој опреми</w:t>
      </w:r>
      <w:r w:rsidR="00D13BE0" w:rsidRPr="00FF386D">
        <w:rPr>
          <w:rFonts w:asciiTheme="majorHAnsi" w:hAnsiTheme="majorHAnsi" w:cstheme="majorHAnsi"/>
          <w:bCs/>
          <w:color w:val="000000"/>
        </w:rPr>
        <w:t xml:space="preserve">). </w:t>
      </w:r>
      <w:r w:rsidRPr="00FF386D">
        <w:rPr>
          <w:rFonts w:asciiTheme="majorHAnsi" w:hAnsiTheme="majorHAnsi" w:cstheme="majorHAnsi"/>
          <w:bCs/>
          <w:color w:val="000000"/>
        </w:rPr>
        <w:t>Такође ће се обезбедити (нпр.</w:t>
      </w:r>
      <w:r w:rsidR="00DA65B2" w:rsidRPr="00FF386D">
        <w:rPr>
          <w:rFonts w:asciiTheme="majorHAnsi" w:hAnsiTheme="majorHAnsi" w:cstheme="majorHAnsi"/>
          <w:bCs/>
          <w:color w:val="000000"/>
        </w:rPr>
        <w:t xml:space="preserve"> </w:t>
      </w:r>
      <w:r w:rsidRPr="00FF386D">
        <w:rPr>
          <w:rFonts w:asciiTheme="majorHAnsi" w:hAnsiTheme="majorHAnsi" w:cstheme="majorHAnsi"/>
          <w:bCs/>
          <w:color w:val="000000"/>
        </w:rPr>
        <w:t>контакт</w:t>
      </w:r>
      <w:r w:rsidR="00DA65B2" w:rsidRPr="00FF386D">
        <w:rPr>
          <w:rFonts w:asciiTheme="majorHAnsi" w:hAnsiTheme="majorHAnsi" w:cstheme="majorHAnsi"/>
          <w:bCs/>
          <w:color w:val="000000"/>
        </w:rPr>
        <w:t>има</w:t>
      </w:r>
      <w:r w:rsidRPr="00FF386D">
        <w:rPr>
          <w:rFonts w:asciiTheme="majorHAnsi" w:hAnsiTheme="majorHAnsi" w:cstheme="majorHAnsi"/>
          <w:bCs/>
          <w:color w:val="000000"/>
        </w:rPr>
        <w:t xml:space="preserve"> са трговинским удружењима у индустрији </w:t>
      </w:r>
      <w:r w:rsidR="00890D9A" w:rsidRPr="00FF386D">
        <w:rPr>
          <w:rFonts w:asciiTheme="majorHAnsi" w:hAnsiTheme="majorHAnsi" w:cstheme="majorHAnsi"/>
          <w:bCs/>
          <w:color w:val="000000"/>
        </w:rPr>
        <w:t>расхладне и климатизационе опреме и</w:t>
      </w:r>
      <w:r w:rsidR="00743F09" w:rsidRPr="00FF386D">
        <w:rPr>
          <w:rFonts w:asciiTheme="majorHAnsi" w:hAnsiTheme="majorHAnsi" w:cstheme="majorHAnsi"/>
          <w:bCs/>
          <w:color w:val="000000"/>
        </w:rPr>
        <w:t xml:space="preserve"> </w:t>
      </w:r>
      <w:r w:rsidRPr="00FF386D">
        <w:rPr>
          <w:rFonts w:asciiTheme="majorHAnsi" w:hAnsiTheme="majorHAnsi" w:cstheme="majorHAnsi"/>
          <w:bCs/>
          <w:color w:val="000000"/>
        </w:rPr>
        <w:t>пружањем информација о новим расхладним</w:t>
      </w:r>
      <w:r w:rsidR="00743F09" w:rsidRPr="00FF386D">
        <w:rPr>
          <w:rFonts w:asciiTheme="majorHAnsi" w:hAnsiTheme="majorHAnsi" w:cstheme="majorHAnsi"/>
          <w:bCs/>
          <w:color w:val="000000"/>
        </w:rPr>
        <w:t xml:space="preserve"> </w:t>
      </w:r>
      <w:r w:rsidR="00890D9A" w:rsidRPr="00FF386D">
        <w:rPr>
          <w:rFonts w:asciiTheme="majorHAnsi" w:hAnsiTheme="majorHAnsi" w:cstheme="majorHAnsi"/>
          <w:bCs/>
          <w:color w:val="000000"/>
        </w:rPr>
        <w:t>супстанцама</w:t>
      </w:r>
      <w:r w:rsidRPr="00FF386D">
        <w:rPr>
          <w:rFonts w:asciiTheme="majorHAnsi" w:hAnsiTheme="majorHAnsi" w:cstheme="majorHAnsi"/>
          <w:bCs/>
          <w:color w:val="000000"/>
        </w:rPr>
        <w:t xml:space="preserve">) да </w:t>
      </w:r>
      <w:r w:rsidR="00DA65B2" w:rsidRPr="00FF386D">
        <w:rPr>
          <w:rFonts w:asciiTheme="majorHAnsi" w:hAnsiTheme="majorHAnsi" w:cstheme="majorHAnsi"/>
          <w:bCs/>
          <w:color w:val="000000"/>
        </w:rPr>
        <w:t>компаније</w:t>
      </w:r>
      <w:r w:rsidRPr="00FF386D">
        <w:rPr>
          <w:rFonts w:asciiTheme="majorHAnsi" w:hAnsiTheme="majorHAnsi" w:cstheme="majorHAnsi"/>
          <w:bCs/>
          <w:color w:val="000000"/>
        </w:rPr>
        <w:t xml:space="preserve"> у Србији или </w:t>
      </w:r>
      <w:r w:rsidR="00890D9A" w:rsidRPr="00FF386D">
        <w:rPr>
          <w:rFonts w:asciiTheme="majorHAnsi" w:hAnsiTheme="majorHAnsi" w:cstheme="majorHAnsi"/>
          <w:bCs/>
          <w:color w:val="000000"/>
        </w:rPr>
        <w:t>запослени</w:t>
      </w:r>
      <w:r w:rsidRPr="00FF386D">
        <w:rPr>
          <w:rFonts w:asciiTheme="majorHAnsi" w:hAnsiTheme="majorHAnsi" w:cstheme="majorHAnsi"/>
          <w:bCs/>
          <w:color w:val="000000"/>
        </w:rPr>
        <w:t xml:space="preserve"> </w:t>
      </w:r>
      <w:r w:rsidR="00890D9A" w:rsidRPr="00FF386D">
        <w:rPr>
          <w:rFonts w:asciiTheme="majorHAnsi" w:hAnsiTheme="majorHAnsi" w:cstheme="majorHAnsi"/>
          <w:bCs/>
          <w:color w:val="000000"/>
        </w:rPr>
        <w:t>код</w:t>
      </w:r>
      <w:r w:rsidRPr="00FF386D">
        <w:rPr>
          <w:rFonts w:asciiTheme="majorHAnsi" w:hAnsiTheme="majorHAnsi" w:cstheme="majorHAnsi"/>
          <w:bCs/>
          <w:color w:val="000000"/>
        </w:rPr>
        <w:t xml:space="preserve"> ти</w:t>
      </w:r>
      <w:r w:rsidR="00890D9A" w:rsidRPr="00FF386D">
        <w:rPr>
          <w:rFonts w:asciiTheme="majorHAnsi" w:hAnsiTheme="majorHAnsi" w:cstheme="majorHAnsi"/>
          <w:bCs/>
          <w:color w:val="000000"/>
        </w:rPr>
        <w:t>х</w:t>
      </w:r>
      <w:r w:rsidRPr="00FF386D">
        <w:rPr>
          <w:rFonts w:asciiTheme="majorHAnsi" w:hAnsiTheme="majorHAnsi" w:cstheme="majorHAnsi"/>
          <w:bCs/>
          <w:color w:val="000000"/>
        </w:rPr>
        <w:t xml:space="preserve"> </w:t>
      </w:r>
      <w:r w:rsidR="00DA65B2" w:rsidRPr="00FF386D">
        <w:rPr>
          <w:rFonts w:asciiTheme="majorHAnsi" w:hAnsiTheme="majorHAnsi" w:cstheme="majorHAnsi"/>
          <w:bCs/>
          <w:color w:val="000000"/>
        </w:rPr>
        <w:t xml:space="preserve">компанија </w:t>
      </w:r>
      <w:r w:rsidR="00890D9A" w:rsidRPr="00FF386D">
        <w:rPr>
          <w:rFonts w:asciiTheme="majorHAnsi" w:hAnsiTheme="majorHAnsi" w:cstheme="majorHAnsi"/>
          <w:bCs/>
          <w:color w:val="000000"/>
        </w:rPr>
        <w:t xml:space="preserve">поседују </w:t>
      </w:r>
      <w:r w:rsidRPr="00FF386D">
        <w:rPr>
          <w:rFonts w:asciiTheme="majorHAnsi" w:hAnsiTheme="majorHAnsi" w:cstheme="majorHAnsi"/>
          <w:bCs/>
          <w:color w:val="000000"/>
        </w:rPr>
        <w:t>неопходн</w:t>
      </w:r>
      <w:r w:rsidR="00DA65B2" w:rsidRPr="00FF386D">
        <w:rPr>
          <w:rFonts w:asciiTheme="majorHAnsi" w:hAnsiTheme="majorHAnsi" w:cstheme="majorHAnsi"/>
          <w:bCs/>
          <w:color w:val="000000"/>
        </w:rPr>
        <w:t>а</w:t>
      </w:r>
      <w:r w:rsidRPr="00FF386D">
        <w:rPr>
          <w:rFonts w:asciiTheme="majorHAnsi" w:hAnsiTheme="majorHAnsi" w:cstheme="majorHAnsi"/>
          <w:bCs/>
          <w:color w:val="000000"/>
        </w:rPr>
        <w:t xml:space="preserve"> знањ</w:t>
      </w:r>
      <w:r w:rsidR="00DA65B2" w:rsidRPr="00FF386D">
        <w:rPr>
          <w:rFonts w:asciiTheme="majorHAnsi" w:hAnsiTheme="majorHAnsi" w:cstheme="majorHAnsi"/>
          <w:bCs/>
          <w:color w:val="000000"/>
        </w:rPr>
        <w:t>а</w:t>
      </w:r>
      <w:r w:rsidRPr="00FF386D">
        <w:rPr>
          <w:rFonts w:asciiTheme="majorHAnsi" w:hAnsiTheme="majorHAnsi" w:cstheme="majorHAnsi"/>
          <w:bCs/>
          <w:color w:val="000000"/>
        </w:rPr>
        <w:t xml:space="preserve"> о </w:t>
      </w:r>
      <w:r w:rsidR="00FC5509" w:rsidRPr="00FF386D">
        <w:rPr>
          <w:rFonts w:asciiTheme="majorHAnsi" w:hAnsiTheme="majorHAnsi" w:cstheme="majorHAnsi"/>
          <w:bCs/>
          <w:color w:val="000000"/>
        </w:rPr>
        <w:t>алтернативн</w:t>
      </w:r>
      <w:r w:rsidR="00FC5509">
        <w:rPr>
          <w:rFonts w:asciiTheme="majorHAnsi" w:hAnsiTheme="majorHAnsi" w:cstheme="majorHAnsi"/>
          <w:bCs/>
          <w:color w:val="000000"/>
        </w:rPr>
        <w:t>ој</w:t>
      </w:r>
      <w:r w:rsidR="00FC5509" w:rsidRPr="00FF386D">
        <w:rPr>
          <w:rFonts w:asciiTheme="majorHAnsi" w:hAnsiTheme="majorHAnsi" w:cstheme="majorHAnsi"/>
          <w:bCs/>
          <w:color w:val="000000"/>
        </w:rPr>
        <w:t xml:space="preserve"> </w:t>
      </w:r>
      <w:r w:rsidRPr="00FF386D">
        <w:rPr>
          <w:rFonts w:asciiTheme="majorHAnsi" w:hAnsiTheme="majorHAnsi" w:cstheme="majorHAnsi"/>
          <w:bCs/>
          <w:color w:val="000000"/>
        </w:rPr>
        <w:t>расхладн</w:t>
      </w:r>
      <w:r w:rsidR="00890D9A" w:rsidRPr="00FF386D">
        <w:rPr>
          <w:rFonts w:asciiTheme="majorHAnsi" w:hAnsiTheme="majorHAnsi" w:cstheme="majorHAnsi"/>
          <w:bCs/>
          <w:color w:val="000000"/>
        </w:rPr>
        <w:t>ој опреми</w:t>
      </w:r>
      <w:r w:rsidRPr="00FF386D">
        <w:rPr>
          <w:rFonts w:asciiTheme="majorHAnsi" w:hAnsiTheme="majorHAnsi" w:cstheme="majorHAnsi"/>
          <w:bCs/>
          <w:color w:val="000000"/>
        </w:rPr>
        <w:t xml:space="preserve"> и </w:t>
      </w:r>
      <w:r w:rsidR="00890D9A" w:rsidRPr="00FF386D">
        <w:rPr>
          <w:rFonts w:asciiTheme="majorHAnsi" w:hAnsiTheme="majorHAnsi" w:cstheme="majorHAnsi"/>
          <w:bCs/>
          <w:color w:val="000000"/>
        </w:rPr>
        <w:t xml:space="preserve">вештине </w:t>
      </w:r>
      <w:r w:rsidRPr="00FF386D">
        <w:rPr>
          <w:rFonts w:asciiTheme="majorHAnsi" w:hAnsiTheme="majorHAnsi" w:cstheme="majorHAnsi"/>
          <w:bCs/>
          <w:color w:val="000000"/>
        </w:rPr>
        <w:t>за рад са т</w:t>
      </w:r>
      <w:r w:rsidR="00DA65B2" w:rsidRPr="00FF386D">
        <w:rPr>
          <w:rFonts w:asciiTheme="majorHAnsi" w:hAnsiTheme="majorHAnsi" w:cstheme="majorHAnsi"/>
          <w:bCs/>
          <w:color w:val="000000"/>
        </w:rPr>
        <w:t>ом</w:t>
      </w:r>
      <w:r w:rsidR="00890D9A" w:rsidRPr="00FF386D">
        <w:rPr>
          <w:rFonts w:asciiTheme="majorHAnsi" w:hAnsiTheme="majorHAnsi" w:cstheme="majorHAnsi"/>
          <w:bCs/>
          <w:color w:val="000000"/>
        </w:rPr>
        <w:t xml:space="preserve"> опремом</w:t>
      </w:r>
      <w:r w:rsidRPr="00FF386D">
        <w:rPr>
          <w:rFonts w:asciiTheme="majorHAnsi" w:hAnsiTheme="majorHAnsi" w:cstheme="majorHAnsi"/>
          <w:bCs/>
          <w:color w:val="000000"/>
        </w:rPr>
        <w:t>.</w:t>
      </w:r>
    </w:p>
    <w:tbl>
      <w:tblPr>
        <w:tblW w:w="9458" w:type="dxa"/>
        <w:tblLook w:val="04A0" w:firstRow="1" w:lastRow="0" w:firstColumn="1" w:lastColumn="0" w:noHBand="0" w:noVBand="1"/>
      </w:tblPr>
      <w:tblGrid>
        <w:gridCol w:w="3323"/>
        <w:gridCol w:w="954"/>
        <w:gridCol w:w="944"/>
        <w:gridCol w:w="4237"/>
      </w:tblGrid>
      <w:tr w:rsidR="00854ADA" w:rsidRPr="00FF386D" w14:paraId="620C134F" w14:textId="77777777" w:rsidTr="0057310C">
        <w:trPr>
          <w:trHeight w:val="780"/>
        </w:trPr>
        <w:tc>
          <w:tcPr>
            <w:tcW w:w="3323"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41517B0B"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54" w:type="dxa"/>
            <w:tcBorders>
              <w:top w:val="single" w:sz="8" w:space="0" w:color="auto"/>
              <w:left w:val="nil"/>
              <w:bottom w:val="single" w:sz="8" w:space="0" w:color="auto"/>
              <w:right w:val="single" w:sz="8" w:space="0" w:color="auto"/>
            </w:tcBorders>
            <w:shd w:val="clear" w:color="auto" w:fill="E7E6E6" w:themeFill="background2"/>
            <w:vAlign w:val="center"/>
            <w:hideMark/>
          </w:tcPr>
          <w:p w14:paraId="6DEA2218"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Theme="majorHAnsi" w:hAnsiTheme="majorHAnsi" w:cstheme="majorHAnsi"/>
                <w:b/>
                <w:bCs/>
                <w:sz w:val="20"/>
                <w:szCs w:val="20"/>
              </w:rPr>
              <w:t>МП_Д5</w:t>
            </w:r>
          </w:p>
        </w:tc>
        <w:tc>
          <w:tcPr>
            <w:tcW w:w="944" w:type="dxa"/>
            <w:tcBorders>
              <w:top w:val="single" w:sz="8" w:space="0" w:color="auto"/>
              <w:left w:val="nil"/>
              <w:bottom w:val="single" w:sz="8" w:space="0" w:color="auto"/>
              <w:right w:val="single" w:sz="8" w:space="0" w:color="auto"/>
            </w:tcBorders>
            <w:shd w:val="clear" w:color="000000" w:fill="244062"/>
            <w:vAlign w:val="center"/>
            <w:hideMark/>
          </w:tcPr>
          <w:p w14:paraId="4A2AEF6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sz w:val="20"/>
                <w:szCs w:val="20"/>
              </w:rPr>
              <w:t xml:space="preserve">Назив: </w:t>
            </w:r>
          </w:p>
        </w:tc>
        <w:tc>
          <w:tcPr>
            <w:tcW w:w="4237" w:type="dxa"/>
            <w:tcBorders>
              <w:top w:val="single" w:sz="8" w:space="0" w:color="auto"/>
              <w:left w:val="nil"/>
              <w:bottom w:val="single" w:sz="8" w:space="0" w:color="auto"/>
              <w:right w:val="single" w:sz="8" w:space="0" w:color="auto"/>
            </w:tcBorders>
            <w:shd w:val="clear" w:color="auto" w:fill="E7E6E6" w:themeFill="background2"/>
            <w:vAlign w:val="center"/>
            <w:hideMark/>
          </w:tcPr>
          <w:p w14:paraId="6C2EFF7B" w14:textId="546AB095" w:rsidR="00854ADA" w:rsidRPr="00FF386D" w:rsidRDefault="00743F09"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Theme="majorHAnsi" w:hAnsiTheme="majorHAnsi" w:cstheme="majorHAnsi"/>
                <w:b/>
                <w:bCs/>
                <w:sz w:val="20"/>
                <w:szCs w:val="20"/>
              </w:rPr>
              <w:t>Увођење</w:t>
            </w:r>
            <w:r w:rsidR="00854ADA" w:rsidRPr="00FF386D">
              <w:rPr>
                <w:rFonts w:asciiTheme="majorHAnsi" w:hAnsiTheme="majorHAnsi" w:cstheme="majorHAnsi"/>
                <w:b/>
                <w:bCs/>
                <w:sz w:val="20"/>
                <w:szCs w:val="20"/>
              </w:rPr>
              <w:t xml:space="preserve"> </w:t>
            </w:r>
            <w:r w:rsidR="00DD3654" w:rsidRPr="00DD3654">
              <w:rPr>
                <w:rFonts w:asciiTheme="majorHAnsi" w:hAnsiTheme="majorHAnsi" w:cstheme="majorHAnsi"/>
                <w:b/>
                <w:bCs/>
                <w:sz w:val="20"/>
                <w:szCs w:val="20"/>
              </w:rPr>
              <w:t>најбољих расположивих технологија</w:t>
            </w:r>
            <w:r w:rsidR="00DD3654">
              <w:rPr>
                <w:rFonts w:asciiTheme="majorHAnsi" w:hAnsiTheme="majorHAnsi" w:cstheme="majorHAnsi"/>
                <w:b/>
                <w:bCs/>
                <w:sz w:val="20"/>
                <w:szCs w:val="20"/>
              </w:rPr>
              <w:t xml:space="preserve"> </w:t>
            </w:r>
            <w:r w:rsidR="00854ADA" w:rsidRPr="00FF386D">
              <w:rPr>
                <w:rFonts w:asciiTheme="majorHAnsi" w:hAnsiTheme="majorHAnsi" w:cstheme="majorHAnsi"/>
                <w:b/>
                <w:bCs/>
                <w:sz w:val="20"/>
                <w:szCs w:val="20"/>
              </w:rPr>
              <w:t>у производне процесе у одређеним индустријама</w:t>
            </w:r>
          </w:p>
        </w:tc>
      </w:tr>
      <w:tr w:rsidR="00854ADA" w:rsidRPr="00FF386D" w14:paraId="2BB2B4AB" w14:textId="77777777" w:rsidTr="0057310C">
        <w:trPr>
          <w:trHeight w:val="339"/>
        </w:trPr>
        <w:tc>
          <w:tcPr>
            <w:tcW w:w="3323" w:type="dxa"/>
            <w:tcBorders>
              <w:top w:val="nil"/>
              <w:left w:val="single" w:sz="8" w:space="0" w:color="auto"/>
              <w:bottom w:val="single" w:sz="8" w:space="0" w:color="auto"/>
              <w:right w:val="nil"/>
            </w:tcBorders>
            <w:shd w:val="clear" w:color="000000" w:fill="244062"/>
            <w:vAlign w:val="center"/>
            <w:hideMark/>
          </w:tcPr>
          <w:p w14:paraId="044DA0D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35" w:type="dxa"/>
            <w:gridSpan w:val="3"/>
            <w:tcBorders>
              <w:top w:val="single" w:sz="8" w:space="0" w:color="auto"/>
              <w:left w:val="nil"/>
              <w:bottom w:val="single" w:sz="8" w:space="0" w:color="auto"/>
              <w:right w:val="single" w:sz="8" w:space="0" w:color="000000"/>
            </w:tcBorders>
            <w:shd w:val="clear" w:color="auto" w:fill="auto"/>
            <w:vAlign w:val="center"/>
            <w:hideMark/>
          </w:tcPr>
          <w:p w14:paraId="311FCAC5"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 xml:space="preserve">Смањење емисија </w:t>
            </w:r>
            <w:r w:rsidRPr="00FF386D">
              <w:rPr>
                <w:rFonts w:asciiTheme="majorHAnsi" w:hAnsiTheme="majorHAnsi" w:cstheme="majorHAnsi"/>
                <w:i/>
                <w:iCs/>
                <w:sz w:val="20"/>
                <w:szCs w:val="20"/>
              </w:rPr>
              <w:t>GHG</w:t>
            </w:r>
          </w:p>
        </w:tc>
      </w:tr>
      <w:tr w:rsidR="00854ADA" w:rsidRPr="00FF386D" w14:paraId="6FCF0029" w14:textId="77777777" w:rsidTr="0057310C">
        <w:trPr>
          <w:trHeight w:val="315"/>
        </w:trPr>
        <w:tc>
          <w:tcPr>
            <w:tcW w:w="3323" w:type="dxa"/>
            <w:tcBorders>
              <w:top w:val="nil"/>
              <w:left w:val="single" w:sz="8" w:space="0" w:color="auto"/>
              <w:bottom w:val="single" w:sz="8" w:space="0" w:color="auto"/>
              <w:right w:val="single" w:sz="8" w:space="0" w:color="auto"/>
            </w:tcBorders>
            <w:shd w:val="clear" w:color="000000" w:fill="244062"/>
            <w:vAlign w:val="center"/>
            <w:hideMark/>
          </w:tcPr>
          <w:p w14:paraId="01C9DA7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35" w:type="dxa"/>
            <w:gridSpan w:val="3"/>
            <w:tcBorders>
              <w:top w:val="single" w:sz="8" w:space="0" w:color="auto"/>
              <w:left w:val="nil"/>
              <w:bottom w:val="single" w:sz="8" w:space="0" w:color="auto"/>
              <w:right w:val="single" w:sz="8" w:space="0" w:color="000000"/>
            </w:tcBorders>
            <w:shd w:val="clear" w:color="auto" w:fill="auto"/>
            <w:vAlign w:val="center"/>
          </w:tcPr>
          <w:p w14:paraId="37CDDE1E" w14:textId="3DF87933" w:rsidR="00854ADA" w:rsidRPr="00FF386D" w:rsidRDefault="009F4D23" w:rsidP="00854ADA">
            <w:pPr>
              <w:spacing w:after="0" w:line="240" w:lineRule="auto"/>
              <w:jc w:val="both"/>
              <w:rPr>
                <w:rFonts w:asciiTheme="majorHAnsi" w:eastAsia="Times New Roman" w:hAnsiTheme="majorHAnsi" w:cstheme="majorHAnsi"/>
                <w:color w:val="000000"/>
                <w:sz w:val="20"/>
                <w:szCs w:val="20"/>
                <w:lang w:eastAsia="en-GB"/>
              </w:rPr>
            </w:pPr>
            <w:r w:rsidRPr="009F4D23">
              <w:rPr>
                <w:rFonts w:ascii="Calibri Light" w:eastAsia="Times New Roman" w:hAnsi="Calibri Light" w:cs="Calibri Light"/>
                <w:color w:val="000000"/>
                <w:sz w:val="20"/>
                <w:szCs w:val="20"/>
                <w:lang w:eastAsia="en-GB"/>
              </w:rPr>
              <w:t>Допринос циљу смањења емисија GHG за 33,3% (без LULUCF) до 2030. године у поређењу са нивоима из 1990. године</w:t>
            </w:r>
          </w:p>
        </w:tc>
      </w:tr>
      <w:tr w:rsidR="00854ADA" w:rsidRPr="00FF386D" w14:paraId="0B1DCDA8" w14:textId="77777777" w:rsidTr="0057310C">
        <w:trPr>
          <w:trHeight w:val="1044"/>
        </w:trPr>
        <w:tc>
          <w:tcPr>
            <w:tcW w:w="3323" w:type="dxa"/>
            <w:tcBorders>
              <w:top w:val="nil"/>
              <w:left w:val="single" w:sz="8" w:space="0" w:color="auto"/>
              <w:bottom w:val="single" w:sz="8" w:space="0" w:color="auto"/>
              <w:right w:val="single" w:sz="8" w:space="0" w:color="auto"/>
            </w:tcBorders>
            <w:shd w:val="clear" w:color="000000" w:fill="244062"/>
            <w:vAlign w:val="center"/>
            <w:hideMark/>
          </w:tcPr>
          <w:p w14:paraId="73461EE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35" w:type="dxa"/>
            <w:gridSpan w:val="3"/>
            <w:tcBorders>
              <w:top w:val="single" w:sz="8" w:space="0" w:color="auto"/>
              <w:left w:val="nil"/>
              <w:bottom w:val="single" w:sz="8" w:space="0" w:color="auto"/>
              <w:right w:val="single" w:sz="8" w:space="0" w:color="000000"/>
            </w:tcBorders>
            <w:shd w:val="clear" w:color="auto" w:fill="auto"/>
            <w:vAlign w:val="center"/>
            <w:hideMark/>
          </w:tcPr>
          <w:p w14:paraId="641B6C7C" w14:textId="498C8DD9"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 xml:space="preserve">МП_Д5 ће омогућити смањење емисија </w:t>
            </w:r>
            <w:r w:rsidRPr="00FF386D">
              <w:rPr>
                <w:rFonts w:asciiTheme="majorHAnsi" w:hAnsiTheme="majorHAnsi" w:cstheme="majorHAnsi"/>
                <w:i/>
                <w:iCs/>
                <w:sz w:val="20"/>
                <w:szCs w:val="20"/>
              </w:rPr>
              <w:t xml:space="preserve">GHG </w:t>
            </w:r>
            <w:r w:rsidRPr="00FF386D">
              <w:rPr>
                <w:rFonts w:asciiTheme="majorHAnsi" w:hAnsiTheme="majorHAnsi" w:cstheme="majorHAnsi"/>
                <w:sz w:val="20"/>
                <w:szCs w:val="20"/>
              </w:rPr>
              <w:t>из неенергетских</w:t>
            </w:r>
            <w:r w:rsidRPr="00FF386D">
              <w:rPr>
                <w:rFonts w:asciiTheme="majorHAnsi" w:hAnsiTheme="majorHAnsi" w:cstheme="majorHAnsi"/>
                <w:iCs/>
                <w:sz w:val="20"/>
                <w:szCs w:val="20"/>
              </w:rPr>
              <w:t xml:space="preserve"> </w:t>
            </w:r>
            <w:r w:rsidR="0068223F" w:rsidRPr="00FF386D">
              <w:rPr>
                <w:rFonts w:asciiTheme="majorHAnsi" w:hAnsiTheme="majorHAnsi" w:cstheme="majorHAnsi"/>
                <w:iCs/>
                <w:sz w:val="20"/>
                <w:szCs w:val="20"/>
              </w:rPr>
              <w:t>извора</w:t>
            </w:r>
            <w:r w:rsidRPr="00FF386D">
              <w:rPr>
                <w:rFonts w:asciiTheme="majorHAnsi" w:hAnsiTheme="majorHAnsi" w:cstheme="majorHAnsi"/>
                <w:i/>
                <w:iCs/>
                <w:sz w:val="20"/>
                <w:szCs w:val="20"/>
              </w:rPr>
              <w:t xml:space="preserve"> </w:t>
            </w:r>
            <w:r w:rsidR="005F27E5" w:rsidRPr="00FF386D">
              <w:rPr>
                <w:rFonts w:asciiTheme="majorHAnsi" w:hAnsiTheme="majorHAnsi" w:cstheme="majorHAnsi"/>
                <w:sz w:val="20"/>
                <w:szCs w:val="20"/>
              </w:rPr>
              <w:t xml:space="preserve">путем </w:t>
            </w:r>
            <w:r w:rsidRPr="00FF386D">
              <w:rPr>
                <w:rFonts w:asciiTheme="majorHAnsi" w:hAnsiTheme="majorHAnsi" w:cstheme="majorHAnsi"/>
                <w:sz w:val="20"/>
                <w:szCs w:val="20"/>
              </w:rPr>
              <w:t>модернизациј</w:t>
            </w:r>
            <w:r w:rsidR="0068223F" w:rsidRPr="00FF386D">
              <w:rPr>
                <w:rFonts w:asciiTheme="majorHAnsi" w:hAnsiTheme="majorHAnsi" w:cstheme="majorHAnsi"/>
                <w:sz w:val="20"/>
                <w:szCs w:val="20"/>
              </w:rPr>
              <w:t>е</w:t>
            </w:r>
            <w:r w:rsidRPr="00FF386D">
              <w:rPr>
                <w:rFonts w:asciiTheme="majorHAnsi" w:hAnsiTheme="majorHAnsi" w:cstheme="majorHAnsi"/>
                <w:sz w:val="20"/>
                <w:szCs w:val="20"/>
              </w:rPr>
              <w:t xml:space="preserve"> </w:t>
            </w:r>
            <w:r w:rsidR="00DD3654" w:rsidRPr="00FF386D">
              <w:rPr>
                <w:rFonts w:asciiTheme="majorHAnsi" w:hAnsiTheme="majorHAnsi" w:cstheme="majorHAnsi"/>
                <w:sz w:val="20"/>
                <w:szCs w:val="20"/>
              </w:rPr>
              <w:t>техноло</w:t>
            </w:r>
            <w:r w:rsidR="009F4D23">
              <w:rPr>
                <w:rFonts w:asciiTheme="majorHAnsi" w:hAnsiTheme="majorHAnsi" w:cstheme="majorHAnsi"/>
                <w:sz w:val="20"/>
                <w:szCs w:val="20"/>
              </w:rPr>
              <w:t>шких</w:t>
            </w:r>
            <w:r w:rsidR="00DD3654" w:rsidRPr="00FF386D">
              <w:rPr>
                <w:rFonts w:asciiTheme="majorHAnsi" w:hAnsiTheme="majorHAnsi" w:cstheme="majorHAnsi"/>
                <w:sz w:val="20"/>
                <w:szCs w:val="20"/>
              </w:rPr>
              <w:t xml:space="preserve"> </w:t>
            </w:r>
            <w:r w:rsidR="009F4D23">
              <w:rPr>
                <w:rFonts w:asciiTheme="majorHAnsi" w:hAnsiTheme="majorHAnsi" w:cstheme="majorHAnsi"/>
                <w:sz w:val="20"/>
                <w:szCs w:val="20"/>
              </w:rPr>
              <w:t xml:space="preserve">поступака </w:t>
            </w:r>
            <w:r w:rsidRPr="00FF386D">
              <w:rPr>
                <w:rFonts w:asciiTheme="majorHAnsi" w:hAnsiTheme="majorHAnsi" w:cstheme="majorHAnsi"/>
                <w:sz w:val="20"/>
                <w:szCs w:val="20"/>
              </w:rPr>
              <w:t>индустријских процеса и повећа</w:t>
            </w:r>
            <w:r w:rsidR="0068223F" w:rsidRPr="00FF386D">
              <w:rPr>
                <w:rFonts w:asciiTheme="majorHAnsi" w:hAnsiTheme="majorHAnsi" w:cstheme="majorHAnsi"/>
                <w:sz w:val="20"/>
                <w:szCs w:val="20"/>
              </w:rPr>
              <w:t>њ</w:t>
            </w:r>
            <w:r w:rsidR="005F27E5" w:rsidRPr="00FF386D">
              <w:rPr>
                <w:rFonts w:asciiTheme="majorHAnsi" w:hAnsiTheme="majorHAnsi" w:cstheme="majorHAnsi"/>
                <w:sz w:val="20"/>
                <w:szCs w:val="20"/>
              </w:rPr>
              <w:t>ем</w:t>
            </w:r>
            <w:r w:rsidRPr="00FF386D">
              <w:rPr>
                <w:rFonts w:asciiTheme="majorHAnsi" w:hAnsiTheme="majorHAnsi" w:cstheme="majorHAnsi"/>
                <w:sz w:val="20"/>
                <w:szCs w:val="20"/>
              </w:rPr>
              <w:t xml:space="preserve"> ефикасно</w:t>
            </w:r>
            <w:r w:rsidR="0068223F" w:rsidRPr="00FF386D">
              <w:rPr>
                <w:rFonts w:asciiTheme="majorHAnsi" w:hAnsiTheme="majorHAnsi" w:cstheme="majorHAnsi"/>
                <w:sz w:val="20"/>
                <w:szCs w:val="20"/>
              </w:rPr>
              <w:t>сти</w:t>
            </w:r>
            <w:r w:rsidRPr="00FF386D">
              <w:rPr>
                <w:rFonts w:asciiTheme="majorHAnsi" w:hAnsiTheme="majorHAnsi" w:cstheme="majorHAnsi"/>
                <w:sz w:val="20"/>
                <w:szCs w:val="20"/>
              </w:rPr>
              <w:t xml:space="preserve"> </w:t>
            </w:r>
            <w:r w:rsidR="009F4D23">
              <w:rPr>
                <w:rFonts w:asciiTheme="majorHAnsi" w:hAnsiTheme="majorHAnsi" w:cstheme="majorHAnsi"/>
                <w:sz w:val="20"/>
                <w:szCs w:val="20"/>
              </w:rPr>
              <w:t xml:space="preserve">у спречавању емисија загађујућих </w:t>
            </w:r>
            <w:r w:rsidRPr="00FF386D">
              <w:rPr>
                <w:rFonts w:asciiTheme="majorHAnsi" w:hAnsiTheme="majorHAnsi" w:cstheme="majorHAnsi"/>
                <w:sz w:val="20"/>
                <w:szCs w:val="20"/>
              </w:rPr>
              <w:t xml:space="preserve">материјала у </w:t>
            </w:r>
            <w:r w:rsidR="009F4D23">
              <w:rPr>
                <w:rFonts w:asciiTheme="majorHAnsi" w:hAnsiTheme="majorHAnsi" w:cstheme="majorHAnsi"/>
                <w:sz w:val="20"/>
                <w:szCs w:val="20"/>
              </w:rPr>
              <w:t xml:space="preserve">ваздух, воде, земљиште у </w:t>
            </w:r>
            <w:r w:rsidR="009F4D23" w:rsidRPr="009F4D23">
              <w:rPr>
                <w:rFonts w:ascii="Calibri Light" w:eastAsia="Calibri" w:hAnsi="Calibri Light" w:cs="Calibri Light"/>
                <w:sz w:val="20"/>
                <w:szCs w:val="20"/>
              </w:rPr>
              <w:t>производњи и преради метала, индустријских метала, хемијској индустрији, управљању отпадом, постројења за прераду хране и др,</w:t>
            </w:r>
            <w:r w:rsidR="009F4D23" w:rsidRPr="009F4D23">
              <w:rPr>
                <w:rFonts w:ascii="Calibri" w:eastAsia="Calibri" w:hAnsi="Calibri" w:cs="Times New Roman"/>
              </w:rPr>
              <w:t xml:space="preserve"> </w:t>
            </w:r>
            <w:r w:rsidR="009F4D23" w:rsidRPr="009F4D23">
              <w:rPr>
                <w:rFonts w:ascii="Calibri Light" w:eastAsia="Calibri" w:hAnsi="Calibri Light" w:cs="Calibri Light"/>
                <w:sz w:val="20"/>
                <w:szCs w:val="20"/>
              </w:rPr>
              <w:t>применом најбоље доступних техника (БАТ) све у складу са БРЕФ документима за одређене области индустријске производње</w:t>
            </w:r>
            <w:r w:rsidR="009F4D23">
              <w:rPr>
                <w:rFonts w:ascii="Calibri Light" w:eastAsia="Calibri" w:hAnsi="Calibri Light" w:cs="Calibri Light"/>
                <w:sz w:val="20"/>
                <w:szCs w:val="20"/>
              </w:rPr>
              <w:t>.</w:t>
            </w:r>
          </w:p>
        </w:tc>
      </w:tr>
      <w:tr w:rsidR="00854ADA" w:rsidRPr="00FF386D" w14:paraId="32AD481E" w14:textId="77777777" w:rsidTr="0057310C">
        <w:trPr>
          <w:trHeight w:val="315"/>
        </w:trPr>
        <w:tc>
          <w:tcPr>
            <w:tcW w:w="3323" w:type="dxa"/>
            <w:tcBorders>
              <w:top w:val="nil"/>
              <w:left w:val="single" w:sz="8" w:space="0" w:color="auto"/>
              <w:bottom w:val="single" w:sz="8" w:space="0" w:color="auto"/>
              <w:right w:val="single" w:sz="8" w:space="0" w:color="auto"/>
            </w:tcBorders>
            <w:shd w:val="clear" w:color="000000" w:fill="244062"/>
            <w:vAlign w:val="center"/>
            <w:hideMark/>
          </w:tcPr>
          <w:p w14:paraId="11675C2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35" w:type="dxa"/>
            <w:gridSpan w:val="3"/>
            <w:tcBorders>
              <w:top w:val="single" w:sz="8" w:space="0" w:color="auto"/>
              <w:left w:val="nil"/>
              <w:bottom w:val="single" w:sz="8" w:space="0" w:color="auto"/>
              <w:right w:val="single" w:sz="8" w:space="0" w:color="000000"/>
            </w:tcBorders>
            <w:shd w:val="clear" w:color="auto" w:fill="auto"/>
            <w:vAlign w:val="center"/>
            <w:hideMark/>
          </w:tcPr>
          <w:p w14:paraId="45463D5F" w14:textId="1E91E453" w:rsidR="00854ADA" w:rsidRPr="00FF386D" w:rsidRDefault="00DD3654"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202</w:t>
            </w:r>
            <w:r>
              <w:rPr>
                <w:rFonts w:asciiTheme="majorHAnsi" w:hAnsiTheme="majorHAnsi" w:cstheme="majorHAnsi"/>
                <w:sz w:val="20"/>
                <w:szCs w:val="20"/>
              </w:rPr>
              <w:t>4</w:t>
            </w:r>
            <w:r w:rsidR="00854ADA" w:rsidRPr="00FF386D">
              <w:rPr>
                <w:rFonts w:asciiTheme="majorHAnsi" w:hAnsiTheme="majorHAnsi" w:cstheme="majorHAnsi"/>
                <w:sz w:val="20"/>
                <w:szCs w:val="20"/>
              </w:rPr>
              <w:t>-2030.</w:t>
            </w:r>
          </w:p>
        </w:tc>
      </w:tr>
      <w:tr w:rsidR="00854ADA" w:rsidRPr="00FF386D" w14:paraId="1E1C7016" w14:textId="77777777" w:rsidTr="0057310C">
        <w:trPr>
          <w:trHeight w:val="315"/>
        </w:trPr>
        <w:tc>
          <w:tcPr>
            <w:tcW w:w="3323" w:type="dxa"/>
            <w:tcBorders>
              <w:top w:val="nil"/>
              <w:left w:val="single" w:sz="8" w:space="0" w:color="auto"/>
              <w:bottom w:val="single" w:sz="8" w:space="0" w:color="auto"/>
              <w:right w:val="single" w:sz="8" w:space="0" w:color="auto"/>
            </w:tcBorders>
            <w:shd w:val="clear" w:color="000000" w:fill="244062"/>
            <w:vAlign w:val="center"/>
            <w:hideMark/>
          </w:tcPr>
          <w:p w14:paraId="3CB4823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35" w:type="dxa"/>
            <w:gridSpan w:val="3"/>
            <w:tcBorders>
              <w:top w:val="single" w:sz="8" w:space="0" w:color="auto"/>
              <w:left w:val="nil"/>
              <w:bottom w:val="single" w:sz="8" w:space="0" w:color="auto"/>
              <w:right w:val="single" w:sz="8" w:space="0" w:color="000000"/>
            </w:tcBorders>
            <w:shd w:val="clear" w:color="auto" w:fill="auto"/>
            <w:vAlign w:val="center"/>
            <w:hideMark/>
          </w:tcPr>
          <w:p w14:paraId="73F521BE"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Инвестиције</w:t>
            </w:r>
          </w:p>
        </w:tc>
      </w:tr>
      <w:tr w:rsidR="00854ADA" w:rsidRPr="00FF386D" w14:paraId="32BB93FF" w14:textId="77777777" w:rsidTr="0057310C">
        <w:trPr>
          <w:trHeight w:val="315"/>
        </w:trPr>
        <w:tc>
          <w:tcPr>
            <w:tcW w:w="3323" w:type="dxa"/>
            <w:tcBorders>
              <w:top w:val="nil"/>
              <w:left w:val="single" w:sz="8" w:space="0" w:color="auto"/>
              <w:bottom w:val="single" w:sz="8" w:space="0" w:color="auto"/>
              <w:right w:val="single" w:sz="8" w:space="0" w:color="auto"/>
            </w:tcBorders>
            <w:shd w:val="clear" w:color="000000" w:fill="244062"/>
            <w:vAlign w:val="center"/>
            <w:hideMark/>
          </w:tcPr>
          <w:p w14:paraId="4404AB6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35" w:type="dxa"/>
            <w:gridSpan w:val="3"/>
            <w:tcBorders>
              <w:top w:val="single" w:sz="8" w:space="0" w:color="auto"/>
              <w:left w:val="nil"/>
              <w:bottom w:val="single" w:sz="8" w:space="0" w:color="auto"/>
              <w:right w:val="single" w:sz="8" w:space="0" w:color="000000"/>
            </w:tcBorders>
            <w:shd w:val="clear" w:color="auto" w:fill="auto"/>
            <w:vAlign w:val="center"/>
            <w:hideMark/>
          </w:tcPr>
          <w:p w14:paraId="02312741"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Индустрија</w:t>
            </w:r>
          </w:p>
        </w:tc>
      </w:tr>
      <w:tr w:rsidR="00854ADA" w:rsidRPr="00FF386D" w14:paraId="30421F0F" w14:textId="77777777" w:rsidTr="0057310C">
        <w:trPr>
          <w:trHeight w:val="315"/>
        </w:trPr>
        <w:tc>
          <w:tcPr>
            <w:tcW w:w="3323" w:type="dxa"/>
            <w:tcBorders>
              <w:top w:val="nil"/>
              <w:left w:val="single" w:sz="8" w:space="0" w:color="auto"/>
              <w:bottom w:val="single" w:sz="8" w:space="0" w:color="auto"/>
              <w:right w:val="single" w:sz="8" w:space="0" w:color="auto"/>
            </w:tcBorders>
            <w:shd w:val="clear" w:color="000000" w:fill="244062"/>
            <w:vAlign w:val="center"/>
            <w:hideMark/>
          </w:tcPr>
          <w:p w14:paraId="61297DF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35" w:type="dxa"/>
            <w:gridSpan w:val="3"/>
            <w:tcBorders>
              <w:top w:val="single" w:sz="8" w:space="0" w:color="auto"/>
              <w:left w:val="nil"/>
              <w:bottom w:val="single" w:sz="8" w:space="0" w:color="auto"/>
              <w:right w:val="single" w:sz="8" w:space="0" w:color="000000"/>
            </w:tcBorders>
            <w:shd w:val="clear" w:color="auto" w:fill="auto"/>
            <w:vAlign w:val="center"/>
            <w:hideMark/>
          </w:tcPr>
          <w:p w14:paraId="0FD380BF" w14:textId="77777777" w:rsidR="00854ADA" w:rsidRPr="00FF386D" w:rsidRDefault="00854ADA" w:rsidP="00854ADA">
            <w:pPr>
              <w:numPr>
                <w:ilvl w:val="0"/>
                <w:numId w:val="208"/>
              </w:numPr>
              <w:spacing w:after="0" w:line="240" w:lineRule="auto"/>
              <w:contextualSpacing/>
              <w:rPr>
                <w:rFonts w:asciiTheme="majorHAnsi" w:hAnsiTheme="majorHAnsi" w:cstheme="majorHAnsi"/>
                <w:sz w:val="20"/>
                <w:szCs w:val="20"/>
                <w:lang w:eastAsia="en-GB"/>
              </w:rPr>
            </w:pPr>
            <w:r w:rsidRPr="00FF386D">
              <w:rPr>
                <w:rFonts w:asciiTheme="majorHAnsi" w:hAnsiTheme="majorHAnsi" w:cstheme="majorHAnsi"/>
                <w:sz w:val="20"/>
                <w:szCs w:val="20"/>
              </w:rPr>
              <w:t>Министарство заштите животне средине</w:t>
            </w:r>
          </w:p>
          <w:p w14:paraId="3FFEE273" w14:textId="77777777" w:rsidR="00854ADA" w:rsidRPr="00FF386D" w:rsidRDefault="00854ADA" w:rsidP="00854ADA">
            <w:pPr>
              <w:numPr>
                <w:ilvl w:val="0"/>
                <w:numId w:val="208"/>
              </w:numPr>
              <w:spacing w:after="0" w:line="240" w:lineRule="auto"/>
              <w:contextualSpacing/>
              <w:rPr>
                <w:rFonts w:asciiTheme="majorHAnsi" w:hAnsiTheme="majorHAnsi" w:cstheme="majorHAnsi"/>
                <w:sz w:val="24"/>
                <w:szCs w:val="24"/>
                <w:lang w:eastAsia="en-GB"/>
              </w:rPr>
            </w:pPr>
            <w:r w:rsidRPr="00FF386D">
              <w:rPr>
                <w:rFonts w:asciiTheme="majorHAnsi" w:hAnsiTheme="majorHAnsi" w:cstheme="majorHAnsi"/>
                <w:sz w:val="20"/>
                <w:szCs w:val="20"/>
                <w:lang w:eastAsia="en-GB"/>
              </w:rPr>
              <w:t>Министарство финансија</w:t>
            </w:r>
          </w:p>
        </w:tc>
      </w:tr>
      <w:tr w:rsidR="00854ADA" w:rsidRPr="00FF386D" w14:paraId="016BD426" w14:textId="77777777" w:rsidTr="0057310C">
        <w:trPr>
          <w:trHeight w:val="315"/>
        </w:trPr>
        <w:tc>
          <w:tcPr>
            <w:tcW w:w="3323" w:type="dxa"/>
            <w:tcBorders>
              <w:top w:val="nil"/>
              <w:left w:val="single" w:sz="8" w:space="0" w:color="auto"/>
              <w:bottom w:val="single" w:sz="8" w:space="0" w:color="auto"/>
              <w:right w:val="nil"/>
            </w:tcBorders>
            <w:shd w:val="clear" w:color="000000" w:fill="244062"/>
            <w:vAlign w:val="center"/>
            <w:hideMark/>
          </w:tcPr>
          <w:p w14:paraId="73AE4EA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35" w:type="dxa"/>
            <w:gridSpan w:val="3"/>
            <w:tcBorders>
              <w:top w:val="single" w:sz="8" w:space="0" w:color="auto"/>
              <w:left w:val="nil"/>
              <w:bottom w:val="single" w:sz="8" w:space="0" w:color="auto"/>
              <w:right w:val="single" w:sz="8" w:space="0" w:color="000000"/>
            </w:tcBorders>
            <w:shd w:val="clear" w:color="auto" w:fill="auto"/>
            <w:vAlign w:val="center"/>
            <w:hideMark/>
          </w:tcPr>
          <w:p w14:paraId="010C2C19" w14:textId="77777777" w:rsidR="00854ADA" w:rsidRPr="00FF386D" w:rsidRDefault="00854ADA" w:rsidP="00854ADA">
            <w:pPr>
              <w:numPr>
                <w:ilvl w:val="0"/>
                <w:numId w:val="208"/>
              </w:numPr>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заштите животне средине</w:t>
            </w:r>
          </w:p>
          <w:p w14:paraId="1E833AE6" w14:textId="5DF1075D" w:rsidR="00DD3654" w:rsidRDefault="00854ADA" w:rsidP="00854ADA">
            <w:pPr>
              <w:numPr>
                <w:ilvl w:val="0"/>
                <w:numId w:val="208"/>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Министарство </w:t>
            </w:r>
            <w:r w:rsidR="00DD3654" w:rsidRPr="00DD3654">
              <w:rPr>
                <w:rFonts w:asciiTheme="majorHAnsi" w:eastAsia="Times New Roman" w:hAnsiTheme="majorHAnsi" w:cstheme="majorHAnsi"/>
                <w:color w:val="000000"/>
                <w:sz w:val="20"/>
                <w:szCs w:val="20"/>
                <w:lang w:eastAsia="en-GB"/>
              </w:rPr>
              <w:t>привреде</w:t>
            </w:r>
          </w:p>
          <w:p w14:paraId="4B045CE0" w14:textId="41100456" w:rsidR="00854ADA" w:rsidRPr="00FF386D" w:rsidRDefault="00DD3654" w:rsidP="00854ADA">
            <w:pPr>
              <w:numPr>
                <w:ilvl w:val="0"/>
                <w:numId w:val="208"/>
              </w:numPr>
              <w:spacing w:after="0" w:line="240" w:lineRule="auto"/>
              <w:contextualSpacing/>
              <w:rPr>
                <w:rFonts w:asciiTheme="majorHAnsi" w:eastAsia="Times New Roman" w:hAnsiTheme="majorHAnsi" w:cstheme="majorHAnsi"/>
                <w:color w:val="000000"/>
                <w:sz w:val="20"/>
                <w:szCs w:val="20"/>
                <w:lang w:eastAsia="en-GB"/>
              </w:rPr>
            </w:pPr>
            <w:r w:rsidRPr="00DD3654">
              <w:rPr>
                <w:rFonts w:asciiTheme="majorHAnsi" w:eastAsia="Times New Roman" w:hAnsiTheme="majorHAnsi" w:cstheme="majorHAnsi"/>
                <w:color w:val="000000"/>
                <w:sz w:val="20"/>
                <w:szCs w:val="20"/>
                <w:lang w:eastAsia="en-GB"/>
              </w:rPr>
              <w:t>Привредна комора</w:t>
            </w:r>
          </w:p>
        </w:tc>
      </w:tr>
      <w:tr w:rsidR="00854ADA" w:rsidRPr="00FF386D" w14:paraId="749CE422" w14:textId="77777777" w:rsidTr="0057310C">
        <w:trPr>
          <w:trHeight w:val="315"/>
        </w:trPr>
        <w:tc>
          <w:tcPr>
            <w:tcW w:w="3323" w:type="dxa"/>
            <w:tcBorders>
              <w:top w:val="nil"/>
              <w:left w:val="single" w:sz="8" w:space="0" w:color="auto"/>
              <w:bottom w:val="single" w:sz="8" w:space="0" w:color="auto"/>
              <w:right w:val="nil"/>
            </w:tcBorders>
            <w:shd w:val="clear" w:color="000000" w:fill="244062"/>
            <w:vAlign w:val="center"/>
            <w:hideMark/>
          </w:tcPr>
          <w:p w14:paraId="20B65B6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35" w:type="dxa"/>
            <w:gridSpan w:val="3"/>
            <w:tcBorders>
              <w:top w:val="single" w:sz="8" w:space="0" w:color="auto"/>
              <w:left w:val="nil"/>
              <w:bottom w:val="single" w:sz="8" w:space="0" w:color="auto"/>
              <w:right w:val="single" w:sz="8" w:space="0" w:color="000000"/>
            </w:tcBorders>
            <w:shd w:val="clear" w:color="auto" w:fill="auto"/>
            <w:vAlign w:val="center"/>
            <w:hideMark/>
          </w:tcPr>
          <w:p w14:paraId="0EDDF8C2" w14:textId="77777777" w:rsidR="00854ADA" w:rsidRPr="000A2AFE" w:rsidRDefault="00854ADA" w:rsidP="000A2AFE">
            <w:pPr>
              <w:pStyle w:val="ListParagraph"/>
              <w:numPr>
                <w:ilvl w:val="0"/>
                <w:numId w:val="354"/>
              </w:num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Годишње смањење емисија (Gg CO</w:t>
            </w:r>
            <w:r w:rsidRPr="000A2AFE">
              <w:rPr>
                <w:rFonts w:ascii="Calibri Light" w:eastAsia="Times New Roman" w:hAnsi="Calibri Light" w:cs="Calibri Light"/>
                <w:color w:val="000000"/>
                <w:sz w:val="20"/>
                <w:szCs w:val="20"/>
                <w:vertAlign w:val="subscript"/>
                <w:lang w:eastAsia="en-GB"/>
              </w:rPr>
              <w:t>2-eq</w:t>
            </w:r>
            <w:r w:rsidRPr="000A2AFE">
              <w:rPr>
                <w:rFonts w:ascii="Calibri Light" w:eastAsia="Times New Roman" w:hAnsi="Calibri Light" w:cs="Calibri Light"/>
                <w:color w:val="000000"/>
                <w:sz w:val="20"/>
                <w:szCs w:val="20"/>
                <w:lang w:eastAsia="en-GB"/>
              </w:rPr>
              <w:t>)</w:t>
            </w:r>
          </w:p>
        </w:tc>
      </w:tr>
      <w:tr w:rsidR="00854ADA" w:rsidRPr="00FF386D" w14:paraId="5ADC59E6" w14:textId="77777777" w:rsidTr="0057310C">
        <w:trPr>
          <w:trHeight w:val="495"/>
        </w:trPr>
        <w:tc>
          <w:tcPr>
            <w:tcW w:w="3323" w:type="dxa"/>
            <w:tcBorders>
              <w:top w:val="nil"/>
              <w:left w:val="single" w:sz="8" w:space="0" w:color="auto"/>
              <w:bottom w:val="single" w:sz="8" w:space="0" w:color="auto"/>
              <w:right w:val="single" w:sz="8" w:space="0" w:color="auto"/>
            </w:tcBorders>
            <w:shd w:val="clear" w:color="000000" w:fill="244062"/>
            <w:vAlign w:val="center"/>
            <w:hideMark/>
          </w:tcPr>
          <w:p w14:paraId="41E8D0A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35" w:type="dxa"/>
            <w:gridSpan w:val="3"/>
            <w:tcBorders>
              <w:top w:val="single" w:sz="8" w:space="0" w:color="auto"/>
              <w:left w:val="nil"/>
              <w:bottom w:val="single" w:sz="8" w:space="0" w:color="auto"/>
              <w:right w:val="single" w:sz="8" w:space="0" w:color="000000"/>
            </w:tcBorders>
            <w:shd w:val="clear" w:color="auto" w:fill="auto"/>
            <w:vAlign w:val="center"/>
          </w:tcPr>
          <w:p w14:paraId="1B99158C" w14:textId="77777777" w:rsidR="00854ADA" w:rsidRPr="00FF386D" w:rsidRDefault="00854ADA" w:rsidP="00854ADA">
            <w:pPr>
              <w:numPr>
                <w:ilvl w:val="0"/>
                <w:numId w:val="103"/>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Енергетска ефикасност</w:t>
            </w:r>
          </w:p>
        </w:tc>
      </w:tr>
      <w:tr w:rsidR="00854ADA" w:rsidRPr="00FF386D" w14:paraId="3E734D03" w14:textId="77777777" w:rsidTr="0057310C">
        <w:trPr>
          <w:trHeight w:val="450"/>
        </w:trPr>
        <w:tc>
          <w:tcPr>
            <w:tcW w:w="3323"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5271B5AE" w14:textId="34E23F5F" w:rsidR="00854ADA" w:rsidRPr="00FF386D" w:rsidRDefault="004D35DC"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Политике Уније која су резултирале</w:t>
            </w:r>
            <w:r w:rsidR="003F1C65" w:rsidRPr="00FF386D">
              <w:rPr>
                <w:rFonts w:asciiTheme="majorHAnsi" w:hAnsiTheme="majorHAnsi" w:cstheme="majorHAnsi"/>
                <w:b/>
                <w:bCs/>
                <w:sz w:val="20"/>
                <w:szCs w:val="20"/>
              </w:rPr>
              <w:t xml:space="preserve"> </w:t>
            </w:r>
            <w:r w:rsidR="00854ADA" w:rsidRPr="00FF386D">
              <w:rPr>
                <w:rFonts w:asciiTheme="majorHAnsi" w:hAnsiTheme="majorHAnsi" w:cstheme="majorHAnsi"/>
                <w:b/>
                <w:bCs/>
                <w:sz w:val="20"/>
                <w:szCs w:val="20"/>
              </w:rPr>
              <w:t>имплементацијом ове МП</w:t>
            </w:r>
          </w:p>
          <w:p w14:paraId="6F53A7F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5"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2F419154" w14:textId="02B45201" w:rsidR="00854ADA" w:rsidRPr="00C312D6" w:rsidRDefault="00854ADA" w:rsidP="00854ADA">
            <w:pPr>
              <w:numPr>
                <w:ilvl w:val="0"/>
                <w:numId w:val="103"/>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Уредба 2018/</w:t>
            </w:r>
            <w:r w:rsidR="00DD3654" w:rsidRPr="00DD3654">
              <w:rPr>
                <w:rFonts w:asciiTheme="majorHAnsi" w:hAnsiTheme="majorHAnsi" w:cstheme="majorHAnsi"/>
                <w:sz w:val="20"/>
                <w:szCs w:val="20"/>
              </w:rPr>
              <w:t>1999</w:t>
            </w:r>
          </w:p>
          <w:p w14:paraId="776024DE" w14:textId="4C065E05" w:rsidR="009F4D23" w:rsidRPr="00FF386D" w:rsidRDefault="009F4D23" w:rsidP="00854ADA">
            <w:pPr>
              <w:numPr>
                <w:ilvl w:val="0"/>
                <w:numId w:val="103"/>
              </w:numPr>
              <w:spacing w:after="0" w:line="240" w:lineRule="auto"/>
              <w:contextualSpacing/>
              <w:rPr>
                <w:rFonts w:asciiTheme="majorHAnsi" w:eastAsia="Times New Roman" w:hAnsiTheme="majorHAnsi" w:cstheme="majorHAnsi"/>
                <w:color w:val="000000"/>
                <w:sz w:val="20"/>
                <w:szCs w:val="20"/>
                <w:lang w:eastAsia="en-GB"/>
              </w:rPr>
            </w:pPr>
            <w:r w:rsidRPr="009F4D23">
              <w:rPr>
                <w:rFonts w:ascii="Calibri Light" w:eastAsia="Times New Roman" w:hAnsi="Calibri Light" w:cs="Calibri Light"/>
                <w:bCs/>
                <w:color w:val="000000"/>
                <w:sz w:val="20"/>
                <w:szCs w:val="20"/>
                <w:lang w:eastAsia="en-GB"/>
              </w:rPr>
              <w:t>Директив</w:t>
            </w:r>
            <w:r w:rsidRPr="009F4D23">
              <w:rPr>
                <w:rFonts w:ascii="Calibri Light" w:eastAsia="Times New Roman" w:hAnsi="Calibri Light" w:cs="Calibri Light"/>
                <w:bCs/>
                <w:color w:val="000000"/>
                <w:sz w:val="20"/>
                <w:szCs w:val="20"/>
                <w:lang w:val="sr-Latn-RS" w:eastAsia="en-GB"/>
              </w:rPr>
              <w:t>a</w:t>
            </w:r>
            <w:r w:rsidRPr="009F4D23">
              <w:rPr>
                <w:rFonts w:ascii="Calibri Light" w:eastAsia="Times New Roman" w:hAnsi="Calibri Light" w:cs="Calibri Light"/>
                <w:bCs/>
                <w:color w:val="000000"/>
                <w:sz w:val="20"/>
                <w:szCs w:val="20"/>
                <w:lang w:eastAsia="en-GB"/>
              </w:rPr>
              <w:t xml:space="preserve"> о индустријским емисијама2010/75/ЕЗ</w:t>
            </w:r>
          </w:p>
        </w:tc>
      </w:tr>
      <w:tr w:rsidR="00854ADA" w:rsidRPr="00FF386D" w14:paraId="04B331B7" w14:textId="77777777" w:rsidTr="0057310C">
        <w:trPr>
          <w:trHeight w:val="450"/>
        </w:trPr>
        <w:tc>
          <w:tcPr>
            <w:tcW w:w="3323" w:type="dxa"/>
            <w:vMerge/>
            <w:tcBorders>
              <w:top w:val="nil"/>
              <w:left w:val="single" w:sz="8" w:space="0" w:color="auto"/>
              <w:bottom w:val="single" w:sz="8" w:space="0" w:color="000000"/>
              <w:right w:val="single" w:sz="8" w:space="0" w:color="auto"/>
            </w:tcBorders>
            <w:vAlign w:val="center"/>
            <w:hideMark/>
          </w:tcPr>
          <w:p w14:paraId="685E496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5" w:type="dxa"/>
            <w:gridSpan w:val="3"/>
            <w:vMerge/>
            <w:tcBorders>
              <w:top w:val="single" w:sz="8" w:space="0" w:color="auto"/>
              <w:left w:val="single" w:sz="8" w:space="0" w:color="auto"/>
              <w:bottom w:val="single" w:sz="8" w:space="0" w:color="000000"/>
              <w:right w:val="single" w:sz="8" w:space="0" w:color="000000"/>
            </w:tcBorders>
            <w:vAlign w:val="center"/>
            <w:hideMark/>
          </w:tcPr>
          <w:p w14:paraId="0431C730" w14:textId="77777777" w:rsidR="00854ADA" w:rsidRPr="00FF386D" w:rsidRDefault="00854ADA" w:rsidP="00854ADA">
            <w:pPr>
              <w:numPr>
                <w:ilvl w:val="0"/>
                <w:numId w:val="103"/>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3021800A" w14:textId="77777777" w:rsidTr="0057310C">
        <w:trPr>
          <w:trHeight w:val="450"/>
        </w:trPr>
        <w:tc>
          <w:tcPr>
            <w:tcW w:w="3323" w:type="dxa"/>
            <w:vMerge/>
            <w:tcBorders>
              <w:top w:val="nil"/>
              <w:left w:val="single" w:sz="8" w:space="0" w:color="auto"/>
              <w:bottom w:val="single" w:sz="8" w:space="0" w:color="000000"/>
              <w:right w:val="single" w:sz="8" w:space="0" w:color="auto"/>
            </w:tcBorders>
            <w:vAlign w:val="center"/>
            <w:hideMark/>
          </w:tcPr>
          <w:p w14:paraId="6986F29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5" w:type="dxa"/>
            <w:gridSpan w:val="3"/>
            <w:vMerge/>
            <w:tcBorders>
              <w:top w:val="single" w:sz="8" w:space="0" w:color="auto"/>
              <w:left w:val="single" w:sz="8" w:space="0" w:color="auto"/>
              <w:bottom w:val="single" w:sz="8" w:space="0" w:color="000000"/>
              <w:right w:val="single" w:sz="8" w:space="0" w:color="000000"/>
            </w:tcBorders>
            <w:vAlign w:val="center"/>
            <w:hideMark/>
          </w:tcPr>
          <w:p w14:paraId="7914DAF9" w14:textId="77777777" w:rsidR="00854ADA" w:rsidRPr="00FF386D" w:rsidRDefault="00854ADA" w:rsidP="00854ADA">
            <w:pPr>
              <w:numPr>
                <w:ilvl w:val="0"/>
                <w:numId w:val="103"/>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1EC4D9CE" w14:textId="77777777" w:rsidTr="0057310C">
        <w:trPr>
          <w:trHeight w:val="287"/>
        </w:trPr>
        <w:tc>
          <w:tcPr>
            <w:tcW w:w="3323" w:type="dxa"/>
            <w:tcBorders>
              <w:top w:val="nil"/>
              <w:left w:val="single" w:sz="8" w:space="0" w:color="auto"/>
              <w:bottom w:val="single" w:sz="8" w:space="0" w:color="auto"/>
              <w:right w:val="single" w:sz="8" w:space="0" w:color="auto"/>
            </w:tcBorders>
            <w:shd w:val="clear" w:color="000000" w:fill="244062"/>
            <w:vAlign w:val="center"/>
            <w:hideMark/>
          </w:tcPr>
          <w:p w14:paraId="1039C39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35" w:type="dxa"/>
            <w:gridSpan w:val="3"/>
            <w:tcBorders>
              <w:top w:val="single" w:sz="8" w:space="0" w:color="auto"/>
              <w:left w:val="nil"/>
              <w:bottom w:val="single" w:sz="8" w:space="0" w:color="auto"/>
              <w:right w:val="single" w:sz="8" w:space="0" w:color="000000"/>
            </w:tcBorders>
            <w:shd w:val="clear" w:color="auto" w:fill="auto"/>
            <w:vAlign w:val="center"/>
            <w:hideMark/>
          </w:tcPr>
          <w:p w14:paraId="13116E65" w14:textId="124102A2" w:rsidR="00854ADA" w:rsidRPr="00FF386D" w:rsidRDefault="00DD3654" w:rsidP="00854ADA">
            <w:pPr>
              <w:numPr>
                <w:ilvl w:val="0"/>
                <w:numId w:val="103"/>
              </w:numPr>
              <w:spacing w:after="0" w:line="240" w:lineRule="auto"/>
              <w:contextualSpacing/>
              <w:rPr>
                <w:rFonts w:asciiTheme="majorHAnsi" w:eastAsia="Times New Roman" w:hAnsiTheme="majorHAnsi" w:cstheme="majorHAnsi"/>
                <w:color w:val="000000"/>
                <w:sz w:val="20"/>
                <w:szCs w:val="20"/>
                <w:lang w:eastAsia="en-GB"/>
              </w:rPr>
            </w:pPr>
            <w:r w:rsidRPr="00DD3654">
              <w:rPr>
                <w:rFonts w:asciiTheme="majorHAnsi" w:eastAsia="Times New Roman" w:hAnsiTheme="majorHAnsi" w:cstheme="majorHAnsi"/>
                <w:color w:val="000000"/>
                <w:sz w:val="20"/>
                <w:szCs w:val="20"/>
                <w:lang w:eastAsia="en-GB"/>
              </w:rPr>
              <w:t>Стратегија нискоугљеничног развоја за период од 2023. до 2030. године са пројекцијама до 2050. године</w:t>
            </w:r>
          </w:p>
        </w:tc>
      </w:tr>
      <w:tr w:rsidR="00854ADA" w:rsidRPr="00FF386D" w14:paraId="5338D558" w14:textId="77777777" w:rsidTr="0057310C">
        <w:trPr>
          <w:trHeight w:val="315"/>
        </w:trPr>
        <w:tc>
          <w:tcPr>
            <w:tcW w:w="3323" w:type="dxa"/>
            <w:tcBorders>
              <w:top w:val="nil"/>
              <w:left w:val="single" w:sz="8" w:space="0" w:color="auto"/>
              <w:bottom w:val="single" w:sz="8" w:space="0" w:color="auto"/>
              <w:right w:val="single" w:sz="8" w:space="0" w:color="auto"/>
            </w:tcBorders>
            <w:shd w:val="clear" w:color="000000" w:fill="244062"/>
            <w:vAlign w:val="center"/>
            <w:hideMark/>
          </w:tcPr>
          <w:p w14:paraId="00E487C3" w14:textId="77777777" w:rsidR="00854ADA" w:rsidRPr="00FF386D" w:rsidRDefault="00854ADA" w:rsidP="00854ADA">
            <w:pPr>
              <w:spacing w:after="0" w:line="240" w:lineRule="auto"/>
              <w:rPr>
                <w:rFonts w:ascii="Times New Roman" w:hAnsi="Times New Roman" w:cs="Times New Roman"/>
                <w:sz w:val="24"/>
                <w:szCs w:val="24"/>
                <w:lang w:eastAsia="en-GB"/>
              </w:rPr>
            </w:pPr>
            <w:r w:rsidRPr="00FF386D">
              <w:rPr>
                <w:rFonts w:asciiTheme="majorHAnsi" w:hAnsiTheme="majorHAnsi" w:cstheme="majorHAnsi"/>
                <w:b/>
                <w:bCs/>
                <w:sz w:val="20"/>
                <w:szCs w:val="20"/>
              </w:rPr>
              <w:t>Трошкови имплементације</w:t>
            </w:r>
          </w:p>
        </w:tc>
        <w:tc>
          <w:tcPr>
            <w:tcW w:w="6135" w:type="dxa"/>
            <w:gridSpan w:val="3"/>
            <w:tcBorders>
              <w:top w:val="single" w:sz="8" w:space="0" w:color="auto"/>
              <w:left w:val="nil"/>
              <w:bottom w:val="single" w:sz="8" w:space="0" w:color="auto"/>
              <w:right w:val="single" w:sz="8" w:space="0" w:color="000000"/>
            </w:tcBorders>
            <w:shd w:val="clear" w:color="auto" w:fill="auto"/>
            <w:vAlign w:val="center"/>
          </w:tcPr>
          <w:p w14:paraId="5A38E1BC"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29 милиона евра</w:t>
            </w:r>
          </w:p>
        </w:tc>
      </w:tr>
      <w:tr w:rsidR="00854ADA" w:rsidRPr="00FF386D" w14:paraId="521ACDD4" w14:textId="77777777" w:rsidTr="0057310C">
        <w:trPr>
          <w:trHeight w:val="315"/>
        </w:trPr>
        <w:tc>
          <w:tcPr>
            <w:tcW w:w="3323" w:type="dxa"/>
            <w:tcBorders>
              <w:top w:val="nil"/>
              <w:left w:val="single" w:sz="8" w:space="0" w:color="auto"/>
              <w:bottom w:val="single" w:sz="8" w:space="0" w:color="auto"/>
              <w:right w:val="single" w:sz="8" w:space="0" w:color="auto"/>
            </w:tcBorders>
            <w:shd w:val="clear" w:color="000000" w:fill="244062"/>
            <w:hideMark/>
          </w:tcPr>
          <w:p w14:paraId="465D736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lastRenderedPageBreak/>
              <w:t>Извор(и) финансирања</w:t>
            </w:r>
          </w:p>
        </w:tc>
        <w:tc>
          <w:tcPr>
            <w:tcW w:w="6135" w:type="dxa"/>
            <w:gridSpan w:val="3"/>
            <w:tcBorders>
              <w:top w:val="single" w:sz="8" w:space="0" w:color="auto"/>
              <w:left w:val="nil"/>
              <w:bottom w:val="single" w:sz="8" w:space="0" w:color="auto"/>
              <w:right w:val="single" w:sz="8" w:space="0" w:color="000000"/>
            </w:tcBorders>
            <w:shd w:val="clear" w:color="auto" w:fill="auto"/>
            <w:vAlign w:val="center"/>
          </w:tcPr>
          <w:p w14:paraId="0A21EA01" w14:textId="6255D8FA"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 xml:space="preserve">Фондови ЕУ и други фондови, </w:t>
            </w:r>
            <w:r w:rsidR="0068223F" w:rsidRPr="00FF386D">
              <w:rPr>
                <w:rFonts w:asciiTheme="majorHAnsi" w:hAnsiTheme="majorHAnsi" w:cstheme="majorHAnsi"/>
                <w:sz w:val="20"/>
                <w:szCs w:val="20"/>
              </w:rPr>
              <w:t>буџетска средства</w:t>
            </w:r>
          </w:p>
        </w:tc>
      </w:tr>
    </w:tbl>
    <w:p w14:paraId="695710F6"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680" w:type="dxa"/>
        <w:tblLook w:val="04A0" w:firstRow="1" w:lastRow="0" w:firstColumn="1" w:lastColumn="0" w:noHBand="0" w:noVBand="1"/>
      </w:tblPr>
      <w:tblGrid>
        <w:gridCol w:w="3315"/>
        <w:gridCol w:w="986"/>
        <w:gridCol w:w="944"/>
        <w:gridCol w:w="4213"/>
        <w:gridCol w:w="222"/>
      </w:tblGrid>
      <w:tr w:rsidR="00854ADA" w:rsidRPr="00FF386D" w14:paraId="259BD35C" w14:textId="77777777" w:rsidTr="0057310C">
        <w:trPr>
          <w:gridAfter w:val="1"/>
          <w:wAfter w:w="222" w:type="dxa"/>
          <w:trHeight w:val="780"/>
        </w:trPr>
        <w:tc>
          <w:tcPr>
            <w:tcW w:w="3327"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4C328A21"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54" w:type="dxa"/>
            <w:tcBorders>
              <w:top w:val="single" w:sz="8" w:space="0" w:color="auto"/>
              <w:left w:val="nil"/>
              <w:bottom w:val="single" w:sz="8" w:space="0" w:color="auto"/>
              <w:right w:val="single" w:sz="8" w:space="0" w:color="auto"/>
            </w:tcBorders>
            <w:shd w:val="clear" w:color="auto" w:fill="E7E6E6" w:themeFill="background2"/>
            <w:hideMark/>
          </w:tcPr>
          <w:p w14:paraId="2D1790E9" w14:textId="77777777" w:rsidR="00A01E3E" w:rsidRPr="00FF386D" w:rsidRDefault="00A01E3E" w:rsidP="00854ADA">
            <w:pPr>
              <w:spacing w:after="0" w:line="240" w:lineRule="auto"/>
              <w:jc w:val="both"/>
              <w:rPr>
                <w:rFonts w:asciiTheme="majorHAnsi" w:hAnsiTheme="majorHAnsi" w:cstheme="majorHAnsi"/>
                <w:b/>
                <w:bCs/>
                <w:sz w:val="20"/>
                <w:szCs w:val="20"/>
              </w:rPr>
            </w:pPr>
          </w:p>
          <w:p w14:paraId="49E9E8E2" w14:textId="630ECBB4"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Theme="majorHAnsi" w:hAnsiTheme="majorHAnsi" w:cstheme="majorHAnsi"/>
                <w:b/>
                <w:bCs/>
                <w:sz w:val="20"/>
                <w:szCs w:val="20"/>
              </w:rPr>
              <w:t>МП_Д</w:t>
            </w:r>
            <w:r w:rsidR="00DD3654" w:rsidRPr="00DD3654">
              <w:rPr>
                <w:rFonts w:asciiTheme="majorHAnsi" w:hAnsiTheme="majorHAnsi" w:cstheme="majorHAnsi"/>
                <w:b/>
                <w:bCs/>
                <w:sz w:val="20"/>
                <w:szCs w:val="20"/>
              </w:rPr>
              <w:t>5.1</w:t>
            </w:r>
          </w:p>
        </w:tc>
        <w:tc>
          <w:tcPr>
            <w:tcW w:w="945" w:type="dxa"/>
            <w:tcBorders>
              <w:top w:val="single" w:sz="8" w:space="0" w:color="auto"/>
              <w:left w:val="nil"/>
              <w:bottom w:val="single" w:sz="8" w:space="0" w:color="auto"/>
              <w:right w:val="single" w:sz="8" w:space="0" w:color="auto"/>
            </w:tcBorders>
            <w:shd w:val="clear" w:color="000000" w:fill="244062"/>
            <w:hideMark/>
          </w:tcPr>
          <w:p w14:paraId="488D3BDA" w14:textId="77777777" w:rsidR="005F27E5" w:rsidRPr="00FF386D" w:rsidRDefault="005F27E5" w:rsidP="00854ADA">
            <w:pPr>
              <w:spacing w:after="0" w:line="240" w:lineRule="auto"/>
              <w:rPr>
                <w:rFonts w:asciiTheme="majorHAnsi" w:hAnsiTheme="majorHAnsi" w:cstheme="majorHAnsi"/>
                <w:sz w:val="20"/>
                <w:szCs w:val="20"/>
              </w:rPr>
            </w:pPr>
          </w:p>
          <w:p w14:paraId="2D97F839" w14:textId="5F3327DD"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Назив: </w:t>
            </w:r>
          </w:p>
        </w:tc>
        <w:tc>
          <w:tcPr>
            <w:tcW w:w="4232" w:type="dxa"/>
            <w:tcBorders>
              <w:top w:val="single" w:sz="8" w:space="0" w:color="auto"/>
              <w:left w:val="nil"/>
              <w:bottom w:val="single" w:sz="8" w:space="0" w:color="auto"/>
              <w:right w:val="single" w:sz="8" w:space="0" w:color="auto"/>
            </w:tcBorders>
            <w:shd w:val="clear" w:color="auto" w:fill="E7E6E6" w:themeFill="background2"/>
            <w:hideMark/>
          </w:tcPr>
          <w:p w14:paraId="3A1A7F8B" w14:textId="58962081" w:rsidR="00854ADA" w:rsidRPr="00FF386D" w:rsidRDefault="00DD3654" w:rsidP="00854ADA">
            <w:pPr>
              <w:spacing w:after="0" w:line="240" w:lineRule="auto"/>
              <w:jc w:val="both"/>
              <w:rPr>
                <w:rFonts w:ascii="Calibri Light" w:eastAsia="Times New Roman" w:hAnsi="Calibri Light" w:cs="Calibri Light"/>
                <w:b/>
                <w:bCs/>
                <w:color w:val="000000"/>
                <w:sz w:val="20"/>
                <w:szCs w:val="20"/>
                <w:lang w:eastAsia="en-GB"/>
              </w:rPr>
            </w:pPr>
            <w:r w:rsidRPr="00DD3654">
              <w:rPr>
                <w:rFonts w:asciiTheme="majorHAnsi" w:hAnsiTheme="majorHAnsi" w:cstheme="majorHAnsi"/>
                <w:b/>
                <w:bCs/>
                <w:sz w:val="20"/>
                <w:szCs w:val="20"/>
              </w:rPr>
              <w:t>Мере за смањење емисија флуорованих гасова са ефектом стаклене баште у расхладној и климатизационој опреми</w:t>
            </w:r>
          </w:p>
        </w:tc>
      </w:tr>
      <w:tr w:rsidR="00854ADA" w:rsidRPr="00FF386D" w14:paraId="38B1F7C1" w14:textId="77777777" w:rsidTr="0057310C">
        <w:trPr>
          <w:gridAfter w:val="1"/>
          <w:wAfter w:w="222" w:type="dxa"/>
          <w:trHeight w:val="323"/>
        </w:trPr>
        <w:tc>
          <w:tcPr>
            <w:tcW w:w="3327" w:type="dxa"/>
            <w:tcBorders>
              <w:top w:val="nil"/>
              <w:left w:val="single" w:sz="8" w:space="0" w:color="auto"/>
              <w:bottom w:val="single" w:sz="8" w:space="0" w:color="auto"/>
              <w:right w:val="nil"/>
            </w:tcBorders>
            <w:shd w:val="clear" w:color="000000" w:fill="244062"/>
            <w:vAlign w:val="center"/>
            <w:hideMark/>
          </w:tcPr>
          <w:p w14:paraId="66083E6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31" w:type="dxa"/>
            <w:gridSpan w:val="3"/>
            <w:tcBorders>
              <w:top w:val="single" w:sz="8" w:space="0" w:color="auto"/>
              <w:left w:val="nil"/>
              <w:bottom w:val="single" w:sz="8" w:space="0" w:color="auto"/>
              <w:right w:val="single" w:sz="8" w:space="0" w:color="000000"/>
            </w:tcBorders>
            <w:shd w:val="clear" w:color="auto" w:fill="auto"/>
            <w:hideMark/>
          </w:tcPr>
          <w:p w14:paraId="654F9271" w14:textId="39BF09AE"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Смањење емисија флуорованих гасова</w:t>
            </w:r>
            <w:r w:rsidR="00DD3654">
              <w:t xml:space="preserve"> </w:t>
            </w:r>
            <w:r w:rsidR="00DD3654" w:rsidRPr="00DD3654">
              <w:rPr>
                <w:rFonts w:asciiTheme="majorHAnsi" w:hAnsiTheme="majorHAnsi" w:cstheme="majorHAnsi"/>
                <w:sz w:val="20"/>
                <w:szCs w:val="20"/>
              </w:rPr>
              <w:t>са ефектом стаклене баште</w:t>
            </w:r>
          </w:p>
        </w:tc>
      </w:tr>
      <w:tr w:rsidR="00854ADA" w:rsidRPr="00FF386D" w14:paraId="36FE9DD1" w14:textId="77777777" w:rsidTr="0057310C">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1E7A86E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31" w:type="dxa"/>
            <w:gridSpan w:val="3"/>
            <w:tcBorders>
              <w:top w:val="single" w:sz="8" w:space="0" w:color="auto"/>
              <w:left w:val="nil"/>
              <w:bottom w:val="single" w:sz="8" w:space="0" w:color="auto"/>
              <w:right w:val="single" w:sz="8" w:space="0" w:color="000000"/>
            </w:tcBorders>
            <w:shd w:val="clear" w:color="auto" w:fill="auto"/>
            <w:hideMark/>
          </w:tcPr>
          <w:p w14:paraId="5D94F818" w14:textId="0C1AE237" w:rsidR="00854ADA" w:rsidRPr="00FF386D" w:rsidRDefault="00DD3654" w:rsidP="00854ADA">
            <w:pPr>
              <w:spacing w:after="0" w:line="240" w:lineRule="auto"/>
              <w:jc w:val="both"/>
              <w:rPr>
                <w:rFonts w:asciiTheme="majorHAnsi" w:eastAsia="Times New Roman" w:hAnsiTheme="majorHAnsi" w:cstheme="majorHAnsi"/>
                <w:color w:val="000000"/>
                <w:sz w:val="20"/>
                <w:szCs w:val="20"/>
                <w:lang w:eastAsia="en-GB"/>
              </w:rPr>
            </w:pPr>
            <w:r w:rsidRPr="00DD3654">
              <w:rPr>
                <w:rFonts w:asciiTheme="majorHAnsi" w:hAnsiTheme="majorHAnsi" w:cstheme="majorHAnsi"/>
                <w:sz w:val="20"/>
                <w:szCs w:val="20"/>
              </w:rPr>
              <w:t xml:space="preserve">Допринос циљу смањења емисија </w:t>
            </w:r>
            <w:r w:rsidRPr="000A2AFE">
              <w:rPr>
                <w:rFonts w:asciiTheme="majorHAnsi" w:hAnsiTheme="majorHAnsi" w:cstheme="majorHAnsi"/>
                <w:i/>
                <w:iCs/>
                <w:sz w:val="20"/>
                <w:szCs w:val="20"/>
              </w:rPr>
              <w:t>GHG</w:t>
            </w:r>
            <w:r w:rsidRPr="00DD3654">
              <w:rPr>
                <w:rFonts w:asciiTheme="majorHAnsi" w:hAnsiTheme="majorHAnsi" w:cstheme="majorHAnsi"/>
                <w:sz w:val="20"/>
                <w:szCs w:val="20"/>
              </w:rPr>
              <w:t xml:space="preserve"> за 33,3% (без </w:t>
            </w:r>
            <w:r w:rsidRPr="000A2AFE">
              <w:rPr>
                <w:rFonts w:asciiTheme="majorHAnsi" w:hAnsiTheme="majorHAnsi" w:cstheme="majorHAnsi"/>
                <w:i/>
                <w:iCs/>
                <w:sz w:val="20"/>
                <w:szCs w:val="20"/>
              </w:rPr>
              <w:t>LULUCF</w:t>
            </w:r>
            <w:r w:rsidRPr="00DD3654">
              <w:rPr>
                <w:rFonts w:asciiTheme="majorHAnsi" w:hAnsiTheme="majorHAnsi" w:cstheme="majorHAnsi"/>
                <w:sz w:val="20"/>
                <w:szCs w:val="20"/>
              </w:rPr>
              <w:t>) до 2030. године у поређењу са нивоима из 1990. године</w:t>
            </w:r>
          </w:p>
        </w:tc>
      </w:tr>
      <w:tr w:rsidR="00854ADA" w:rsidRPr="00FF386D" w14:paraId="7CDF2C80" w14:textId="77777777" w:rsidTr="0057310C">
        <w:trPr>
          <w:gridAfter w:val="1"/>
          <w:wAfter w:w="222" w:type="dxa"/>
          <w:trHeight w:val="229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60F9206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31" w:type="dxa"/>
            <w:gridSpan w:val="3"/>
            <w:tcBorders>
              <w:top w:val="single" w:sz="8" w:space="0" w:color="auto"/>
              <w:left w:val="nil"/>
              <w:bottom w:val="single" w:sz="8" w:space="0" w:color="auto"/>
              <w:right w:val="single" w:sz="8" w:space="0" w:color="000000"/>
            </w:tcBorders>
            <w:shd w:val="clear" w:color="auto" w:fill="auto"/>
            <w:hideMark/>
          </w:tcPr>
          <w:p w14:paraId="7350401A" w14:textId="62452B5B" w:rsidR="00DD3654" w:rsidRPr="00DD3654" w:rsidRDefault="00DD3654" w:rsidP="000A2AFE">
            <w:pPr>
              <w:spacing w:after="0" w:line="240" w:lineRule="auto"/>
              <w:jc w:val="both"/>
              <w:rPr>
                <w:rFonts w:asciiTheme="majorHAnsi" w:hAnsiTheme="majorHAnsi" w:cstheme="majorHAnsi"/>
                <w:sz w:val="20"/>
                <w:szCs w:val="20"/>
              </w:rPr>
            </w:pPr>
            <w:r w:rsidRPr="00DD3654">
              <w:rPr>
                <w:rFonts w:asciiTheme="majorHAnsi" w:hAnsiTheme="majorHAnsi" w:cstheme="majorHAnsi"/>
                <w:sz w:val="20"/>
                <w:szCs w:val="20"/>
              </w:rPr>
              <w:t>МП_Д5.1 ће омогућити смањење флуорованих гасова превенцијом цурења и емисија, као и контролом коришћења флуорованих гасова. Оквирне мере обухватају:</w:t>
            </w:r>
          </w:p>
          <w:p w14:paraId="68B829EB" w14:textId="2F982E36" w:rsidR="00DD3654" w:rsidRPr="000A2AFE" w:rsidRDefault="00DD3654" w:rsidP="000A2AFE">
            <w:pPr>
              <w:pStyle w:val="ListParagraph"/>
              <w:numPr>
                <w:ilvl w:val="0"/>
                <w:numId w:val="314"/>
              </w:numPr>
              <w:spacing w:after="0" w:line="240" w:lineRule="auto"/>
              <w:jc w:val="both"/>
              <w:rPr>
                <w:rFonts w:asciiTheme="majorHAnsi" w:hAnsiTheme="majorHAnsi" w:cstheme="majorHAnsi"/>
                <w:sz w:val="20"/>
                <w:szCs w:val="20"/>
              </w:rPr>
            </w:pPr>
            <w:r w:rsidRPr="000A2AFE">
              <w:rPr>
                <w:rFonts w:asciiTheme="majorHAnsi" w:hAnsiTheme="majorHAnsi" w:cstheme="majorHAnsi"/>
                <w:sz w:val="20"/>
                <w:szCs w:val="20"/>
              </w:rPr>
              <w:t>Смањење потрошње флуорованих гасова са ефектом стаклене баште (</w:t>
            </w:r>
            <w:r w:rsidRPr="000A2AFE">
              <w:rPr>
                <w:rFonts w:asciiTheme="majorHAnsi" w:hAnsiTheme="majorHAnsi" w:cstheme="majorHAnsi"/>
                <w:i/>
                <w:iCs/>
                <w:sz w:val="20"/>
                <w:szCs w:val="20"/>
              </w:rPr>
              <w:t>HFC</w:t>
            </w:r>
            <w:r w:rsidRPr="000A2AFE">
              <w:rPr>
                <w:rFonts w:asciiTheme="majorHAnsi" w:hAnsiTheme="majorHAnsi" w:cstheme="majorHAnsi"/>
                <w:sz w:val="20"/>
                <w:szCs w:val="20"/>
              </w:rPr>
              <w:t>) у складу са утврђеним роковима и обавезама према потврђен</w:t>
            </w:r>
            <w:r w:rsidR="00A23425">
              <w:rPr>
                <w:rFonts w:asciiTheme="majorHAnsi" w:hAnsiTheme="majorHAnsi" w:cstheme="majorHAnsi"/>
                <w:sz w:val="20"/>
                <w:szCs w:val="20"/>
              </w:rPr>
              <w:t>ом</w:t>
            </w:r>
            <w:r w:rsidRPr="000A2AFE">
              <w:rPr>
                <w:rFonts w:asciiTheme="majorHAnsi" w:hAnsiTheme="majorHAnsi" w:cstheme="majorHAnsi"/>
                <w:sz w:val="20"/>
                <w:szCs w:val="20"/>
              </w:rPr>
              <w:t xml:space="preserve"> Кигали амандманом</w:t>
            </w:r>
          </w:p>
          <w:p w14:paraId="505C380D" w14:textId="14C0273C" w:rsidR="00854ADA" w:rsidRPr="000A2AFE" w:rsidRDefault="00DD3654" w:rsidP="000A2AFE">
            <w:pPr>
              <w:pStyle w:val="ListParagraph"/>
              <w:numPr>
                <w:ilvl w:val="0"/>
                <w:numId w:val="314"/>
              </w:numPr>
              <w:spacing w:after="0" w:line="240" w:lineRule="auto"/>
              <w:jc w:val="both"/>
              <w:rPr>
                <w:rFonts w:asciiTheme="majorHAnsi" w:eastAsia="Times New Roman" w:hAnsiTheme="majorHAnsi" w:cstheme="majorHAnsi"/>
                <w:color w:val="000000"/>
                <w:sz w:val="20"/>
                <w:szCs w:val="20"/>
                <w:lang w:eastAsia="en-GB"/>
              </w:rPr>
            </w:pPr>
            <w:r w:rsidRPr="000A2AFE">
              <w:rPr>
                <w:rFonts w:asciiTheme="majorHAnsi" w:hAnsiTheme="majorHAnsi" w:cstheme="majorHAnsi"/>
                <w:sz w:val="20"/>
                <w:szCs w:val="20"/>
              </w:rPr>
              <w:t>Спровођење и унапређење успостављеног система за обуку и сертификацију техничара за сервисирање расхладних уређаја и уређаја за климатизацију</w:t>
            </w:r>
          </w:p>
        </w:tc>
      </w:tr>
      <w:tr w:rsidR="00854ADA" w:rsidRPr="00FF386D" w14:paraId="5B62A7E8" w14:textId="77777777" w:rsidTr="0057310C">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18BB2C4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31" w:type="dxa"/>
            <w:gridSpan w:val="3"/>
            <w:tcBorders>
              <w:top w:val="single" w:sz="8" w:space="0" w:color="auto"/>
              <w:left w:val="nil"/>
              <w:bottom w:val="single" w:sz="8" w:space="0" w:color="auto"/>
              <w:right w:val="single" w:sz="8" w:space="0" w:color="000000"/>
            </w:tcBorders>
            <w:shd w:val="clear" w:color="auto" w:fill="auto"/>
            <w:hideMark/>
          </w:tcPr>
          <w:p w14:paraId="5F9E6A58" w14:textId="6986AB02" w:rsidR="00854ADA" w:rsidRPr="00FF386D" w:rsidRDefault="00DD3654"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202</w:t>
            </w:r>
            <w:r>
              <w:rPr>
                <w:rFonts w:asciiTheme="majorHAnsi" w:hAnsiTheme="majorHAnsi" w:cstheme="majorHAnsi"/>
                <w:sz w:val="20"/>
                <w:szCs w:val="20"/>
              </w:rPr>
              <w:t>4</w:t>
            </w:r>
            <w:r w:rsidR="00854ADA" w:rsidRPr="00FF386D">
              <w:rPr>
                <w:rFonts w:asciiTheme="majorHAnsi" w:hAnsiTheme="majorHAnsi" w:cstheme="majorHAnsi"/>
                <w:sz w:val="20"/>
                <w:szCs w:val="20"/>
              </w:rPr>
              <w:t>-2030.</w:t>
            </w:r>
          </w:p>
        </w:tc>
      </w:tr>
      <w:tr w:rsidR="00854ADA" w:rsidRPr="00FF386D" w14:paraId="60BA2AAE" w14:textId="77777777" w:rsidTr="0057310C">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72D0455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31" w:type="dxa"/>
            <w:gridSpan w:val="3"/>
            <w:tcBorders>
              <w:top w:val="single" w:sz="8" w:space="0" w:color="auto"/>
              <w:left w:val="nil"/>
              <w:bottom w:val="single" w:sz="8" w:space="0" w:color="auto"/>
              <w:right w:val="single" w:sz="8" w:space="0" w:color="000000"/>
            </w:tcBorders>
            <w:shd w:val="clear" w:color="auto" w:fill="auto"/>
            <w:hideMark/>
          </w:tcPr>
          <w:p w14:paraId="3B024267"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Инвестиције</w:t>
            </w:r>
          </w:p>
        </w:tc>
      </w:tr>
      <w:tr w:rsidR="00854ADA" w:rsidRPr="00FF386D" w14:paraId="0BFB5963" w14:textId="77777777" w:rsidTr="0057310C">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6104371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31" w:type="dxa"/>
            <w:gridSpan w:val="3"/>
            <w:tcBorders>
              <w:top w:val="single" w:sz="8" w:space="0" w:color="auto"/>
              <w:left w:val="nil"/>
              <w:bottom w:val="single" w:sz="8" w:space="0" w:color="auto"/>
              <w:right w:val="single" w:sz="8" w:space="0" w:color="000000"/>
            </w:tcBorders>
            <w:shd w:val="clear" w:color="auto" w:fill="auto"/>
            <w:hideMark/>
          </w:tcPr>
          <w:p w14:paraId="79C1698E"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Индустријски, услуге</w:t>
            </w:r>
          </w:p>
        </w:tc>
      </w:tr>
      <w:tr w:rsidR="00854ADA" w:rsidRPr="00FF386D" w14:paraId="4B5D0707" w14:textId="77777777" w:rsidTr="0057310C">
        <w:trPr>
          <w:gridAfter w:val="1"/>
          <w:wAfter w:w="222" w:type="dxa"/>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44A0D48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31" w:type="dxa"/>
            <w:gridSpan w:val="3"/>
            <w:tcBorders>
              <w:top w:val="single" w:sz="8" w:space="0" w:color="auto"/>
              <w:left w:val="nil"/>
              <w:bottom w:val="single" w:sz="8" w:space="0" w:color="auto"/>
              <w:right w:val="single" w:sz="8" w:space="0" w:color="000000"/>
            </w:tcBorders>
            <w:shd w:val="clear" w:color="auto" w:fill="auto"/>
            <w:hideMark/>
          </w:tcPr>
          <w:p w14:paraId="6906F7CB" w14:textId="77777777" w:rsidR="00854ADA" w:rsidRPr="00FF386D" w:rsidRDefault="00854ADA" w:rsidP="00854ADA">
            <w:pPr>
              <w:numPr>
                <w:ilvl w:val="0"/>
                <w:numId w:val="103"/>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Министарство заштите животне средине</w:t>
            </w:r>
          </w:p>
        </w:tc>
      </w:tr>
      <w:tr w:rsidR="00854ADA" w:rsidRPr="00FF386D" w14:paraId="3A467CE5" w14:textId="77777777" w:rsidTr="0057310C">
        <w:trPr>
          <w:gridAfter w:val="1"/>
          <w:wAfter w:w="222" w:type="dxa"/>
          <w:trHeight w:val="315"/>
        </w:trPr>
        <w:tc>
          <w:tcPr>
            <w:tcW w:w="3327" w:type="dxa"/>
            <w:tcBorders>
              <w:top w:val="nil"/>
              <w:left w:val="single" w:sz="8" w:space="0" w:color="auto"/>
              <w:bottom w:val="single" w:sz="8" w:space="0" w:color="auto"/>
              <w:right w:val="nil"/>
            </w:tcBorders>
            <w:shd w:val="clear" w:color="000000" w:fill="244062"/>
            <w:vAlign w:val="center"/>
            <w:hideMark/>
          </w:tcPr>
          <w:p w14:paraId="4AE3810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31" w:type="dxa"/>
            <w:gridSpan w:val="3"/>
            <w:tcBorders>
              <w:top w:val="single" w:sz="8" w:space="0" w:color="auto"/>
              <w:left w:val="nil"/>
              <w:bottom w:val="single" w:sz="8" w:space="0" w:color="auto"/>
              <w:right w:val="single" w:sz="8" w:space="0" w:color="000000"/>
            </w:tcBorders>
            <w:shd w:val="clear" w:color="auto" w:fill="auto"/>
            <w:hideMark/>
          </w:tcPr>
          <w:p w14:paraId="14DA533F" w14:textId="77777777" w:rsidR="00854ADA" w:rsidRPr="00FF386D" w:rsidRDefault="00854ADA" w:rsidP="00854ADA">
            <w:pPr>
              <w:numPr>
                <w:ilvl w:val="0"/>
                <w:numId w:val="103"/>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Министарство заштите животне средине</w:t>
            </w:r>
          </w:p>
          <w:p w14:paraId="16B85FF8" w14:textId="77777777" w:rsidR="00854ADA" w:rsidRPr="00FF386D" w:rsidRDefault="00854ADA" w:rsidP="00854ADA">
            <w:pPr>
              <w:numPr>
                <w:ilvl w:val="0"/>
                <w:numId w:val="103"/>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Агенција за заштиту животне средине</w:t>
            </w:r>
          </w:p>
        </w:tc>
      </w:tr>
      <w:tr w:rsidR="00854ADA" w:rsidRPr="00FF386D" w14:paraId="44039B19" w14:textId="77777777" w:rsidTr="0057310C">
        <w:trPr>
          <w:gridAfter w:val="1"/>
          <w:wAfter w:w="222" w:type="dxa"/>
          <w:trHeight w:val="315"/>
        </w:trPr>
        <w:tc>
          <w:tcPr>
            <w:tcW w:w="3327" w:type="dxa"/>
            <w:tcBorders>
              <w:top w:val="nil"/>
              <w:left w:val="single" w:sz="8" w:space="0" w:color="auto"/>
              <w:bottom w:val="single" w:sz="8" w:space="0" w:color="auto"/>
              <w:right w:val="nil"/>
            </w:tcBorders>
            <w:shd w:val="clear" w:color="000000" w:fill="244062"/>
            <w:vAlign w:val="center"/>
            <w:hideMark/>
          </w:tcPr>
          <w:p w14:paraId="3D3221D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31" w:type="dxa"/>
            <w:gridSpan w:val="3"/>
            <w:tcBorders>
              <w:top w:val="single" w:sz="8" w:space="0" w:color="auto"/>
              <w:left w:val="nil"/>
              <w:bottom w:val="single" w:sz="8" w:space="0" w:color="auto"/>
              <w:right w:val="single" w:sz="8" w:space="0" w:color="000000"/>
            </w:tcBorders>
            <w:shd w:val="clear" w:color="auto" w:fill="auto"/>
            <w:hideMark/>
          </w:tcPr>
          <w:p w14:paraId="4748842D" w14:textId="6E5B4D48" w:rsidR="00854ADA" w:rsidRPr="000A2AFE" w:rsidRDefault="00854ADA" w:rsidP="000A2AFE">
            <w:pPr>
              <w:pStyle w:val="ListParagraph"/>
              <w:numPr>
                <w:ilvl w:val="0"/>
                <w:numId w:val="353"/>
              </w:numPr>
              <w:spacing w:after="0" w:line="240" w:lineRule="auto"/>
              <w:rPr>
                <w:rFonts w:asciiTheme="majorHAnsi" w:eastAsia="Times New Roman" w:hAnsiTheme="majorHAnsi" w:cstheme="majorHAnsi"/>
                <w:color w:val="000000"/>
                <w:sz w:val="20"/>
                <w:szCs w:val="20"/>
                <w:lang w:eastAsia="en-GB"/>
              </w:rPr>
            </w:pPr>
            <w:r w:rsidRPr="000A2AFE">
              <w:rPr>
                <w:rFonts w:asciiTheme="majorHAnsi" w:hAnsiTheme="majorHAnsi" w:cstheme="majorHAnsi"/>
                <w:sz w:val="20"/>
                <w:szCs w:val="20"/>
              </w:rPr>
              <w:t xml:space="preserve">Годишње смањење </w:t>
            </w:r>
            <w:r w:rsidR="009F4D23">
              <w:rPr>
                <w:rFonts w:asciiTheme="majorHAnsi" w:hAnsiTheme="majorHAnsi" w:cstheme="majorHAnsi"/>
                <w:sz w:val="20"/>
                <w:szCs w:val="20"/>
              </w:rPr>
              <w:t>потрошње</w:t>
            </w:r>
            <w:r w:rsidRPr="000A2AFE">
              <w:rPr>
                <w:rFonts w:asciiTheme="majorHAnsi" w:hAnsiTheme="majorHAnsi" w:cstheme="majorHAnsi"/>
                <w:sz w:val="20"/>
                <w:szCs w:val="20"/>
              </w:rPr>
              <w:t xml:space="preserve"> </w:t>
            </w:r>
            <w:r w:rsidR="00DD3654" w:rsidRPr="000A2AFE">
              <w:rPr>
                <w:rFonts w:asciiTheme="majorHAnsi" w:hAnsiTheme="majorHAnsi" w:cstheme="majorHAnsi"/>
                <w:sz w:val="20"/>
                <w:szCs w:val="20"/>
              </w:rPr>
              <w:t>флуорованих</w:t>
            </w:r>
            <w:r w:rsidR="00DD3654" w:rsidRPr="000A2AFE" w:rsidDel="00DD3654">
              <w:rPr>
                <w:rFonts w:asciiTheme="majorHAnsi" w:hAnsiTheme="majorHAnsi" w:cstheme="majorHAnsi"/>
                <w:sz w:val="20"/>
                <w:szCs w:val="20"/>
              </w:rPr>
              <w:t xml:space="preserve"> </w:t>
            </w:r>
            <w:r w:rsidRPr="000A2AFE">
              <w:rPr>
                <w:rFonts w:asciiTheme="majorHAnsi" w:hAnsiTheme="majorHAnsi" w:cstheme="majorHAnsi"/>
                <w:sz w:val="20"/>
                <w:szCs w:val="20"/>
              </w:rPr>
              <w:t xml:space="preserve">гасова </w:t>
            </w:r>
            <w:r w:rsidR="00DD3654" w:rsidRPr="000A2AFE">
              <w:rPr>
                <w:rFonts w:asciiTheme="majorHAnsi" w:hAnsiTheme="majorHAnsi" w:cstheme="majorHAnsi"/>
                <w:sz w:val="20"/>
                <w:szCs w:val="20"/>
              </w:rPr>
              <w:t>са ефектом стаклене баште (</w:t>
            </w:r>
            <w:r w:rsidR="00DD3654" w:rsidRPr="000A2AFE">
              <w:rPr>
                <w:rFonts w:asciiTheme="majorHAnsi" w:hAnsiTheme="majorHAnsi" w:cstheme="majorHAnsi"/>
                <w:i/>
                <w:iCs/>
                <w:sz w:val="20"/>
                <w:szCs w:val="20"/>
                <w:lang w:val="en-US"/>
              </w:rPr>
              <w:t>HFC</w:t>
            </w:r>
            <w:r w:rsidR="00DD3654" w:rsidRPr="00C312D6">
              <w:rPr>
                <w:rFonts w:asciiTheme="majorHAnsi" w:hAnsiTheme="majorHAnsi" w:cstheme="majorHAnsi"/>
                <w:sz w:val="20"/>
                <w:szCs w:val="20"/>
              </w:rPr>
              <w:t>)</w:t>
            </w:r>
            <w:r w:rsidR="00DD3654" w:rsidRPr="000A2AFE">
              <w:rPr>
                <w:rFonts w:asciiTheme="majorHAnsi" w:hAnsiTheme="majorHAnsi" w:cstheme="majorHAnsi"/>
                <w:sz w:val="20"/>
                <w:szCs w:val="20"/>
              </w:rPr>
              <w:t xml:space="preserve"> </w:t>
            </w:r>
            <w:r w:rsidRPr="000A2AFE">
              <w:rPr>
                <w:rFonts w:asciiTheme="majorHAnsi" w:hAnsiTheme="majorHAnsi" w:cstheme="majorHAnsi"/>
                <w:sz w:val="20"/>
                <w:szCs w:val="20"/>
              </w:rPr>
              <w:t>(Gg CO2-eq)</w:t>
            </w:r>
          </w:p>
        </w:tc>
      </w:tr>
      <w:tr w:rsidR="00854ADA" w:rsidRPr="00FF386D" w14:paraId="4BA6D0E3" w14:textId="77777777" w:rsidTr="0057310C">
        <w:trPr>
          <w:gridAfter w:val="1"/>
          <w:wAfter w:w="222" w:type="dxa"/>
          <w:trHeight w:val="287"/>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5961E55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31" w:type="dxa"/>
            <w:gridSpan w:val="3"/>
            <w:tcBorders>
              <w:top w:val="single" w:sz="8" w:space="0" w:color="auto"/>
              <w:left w:val="nil"/>
              <w:bottom w:val="single" w:sz="8" w:space="0" w:color="auto"/>
              <w:right w:val="single" w:sz="8" w:space="0" w:color="000000"/>
            </w:tcBorders>
            <w:shd w:val="clear" w:color="auto" w:fill="auto"/>
          </w:tcPr>
          <w:p w14:paraId="1BA95ECE"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p>
        </w:tc>
      </w:tr>
      <w:tr w:rsidR="00854ADA" w:rsidRPr="00FF386D" w14:paraId="27ACE90B" w14:textId="77777777" w:rsidTr="0057310C">
        <w:trPr>
          <w:gridAfter w:val="1"/>
          <w:wAfter w:w="222" w:type="dxa"/>
          <w:trHeight w:val="450"/>
        </w:trPr>
        <w:tc>
          <w:tcPr>
            <w:tcW w:w="3327"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59A87C50" w14:textId="1E7A1FB3" w:rsidR="00854ADA" w:rsidRPr="00FF386D" w:rsidRDefault="004D35DC"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p w14:paraId="2FB5FFD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1"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5D6A3EC1" w14:textId="3FB0B007" w:rsidR="00854ADA" w:rsidRPr="000A2AFE" w:rsidRDefault="00854ADA" w:rsidP="00854ADA">
            <w:pPr>
              <w:numPr>
                <w:ilvl w:val="0"/>
                <w:numId w:val="104"/>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Уредба 2018/</w:t>
            </w:r>
            <w:r w:rsidR="00DD3654">
              <w:rPr>
                <w:rFonts w:asciiTheme="majorHAnsi" w:hAnsiTheme="majorHAnsi" w:cstheme="majorHAnsi"/>
                <w:sz w:val="20"/>
                <w:szCs w:val="20"/>
              </w:rPr>
              <w:t>1999</w:t>
            </w:r>
          </w:p>
          <w:p w14:paraId="742417AB" w14:textId="70C0AF2E" w:rsidR="00DD3654" w:rsidRPr="00FF386D" w:rsidRDefault="00DD3654" w:rsidP="00854ADA">
            <w:pPr>
              <w:numPr>
                <w:ilvl w:val="0"/>
                <w:numId w:val="104"/>
              </w:numPr>
              <w:spacing w:after="0" w:line="240" w:lineRule="auto"/>
              <w:contextualSpacing/>
              <w:rPr>
                <w:rFonts w:asciiTheme="majorHAnsi" w:eastAsia="Times New Roman" w:hAnsiTheme="majorHAnsi" w:cstheme="majorHAnsi"/>
                <w:color w:val="000000"/>
                <w:sz w:val="20"/>
                <w:szCs w:val="20"/>
                <w:lang w:eastAsia="en-GB"/>
              </w:rPr>
            </w:pPr>
            <w:r w:rsidRPr="00DD3654">
              <w:rPr>
                <w:rFonts w:asciiTheme="majorHAnsi" w:eastAsia="Times New Roman" w:hAnsiTheme="majorHAnsi" w:cstheme="majorHAnsi"/>
                <w:color w:val="000000"/>
                <w:sz w:val="20"/>
                <w:szCs w:val="20"/>
                <w:lang w:eastAsia="en-GB"/>
              </w:rPr>
              <w:t>Уредба 517/2014</w:t>
            </w:r>
          </w:p>
        </w:tc>
      </w:tr>
      <w:tr w:rsidR="00854ADA" w:rsidRPr="00FF386D" w14:paraId="2B8AECA1" w14:textId="77777777" w:rsidTr="0057310C">
        <w:trPr>
          <w:trHeight w:val="300"/>
        </w:trPr>
        <w:tc>
          <w:tcPr>
            <w:tcW w:w="3327" w:type="dxa"/>
            <w:vMerge/>
            <w:tcBorders>
              <w:top w:val="nil"/>
              <w:left w:val="single" w:sz="8" w:space="0" w:color="auto"/>
              <w:bottom w:val="single" w:sz="8" w:space="0" w:color="000000"/>
              <w:right w:val="single" w:sz="8" w:space="0" w:color="auto"/>
            </w:tcBorders>
            <w:vAlign w:val="center"/>
            <w:hideMark/>
          </w:tcPr>
          <w:p w14:paraId="2F75107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1" w:type="dxa"/>
            <w:gridSpan w:val="3"/>
            <w:vMerge/>
            <w:tcBorders>
              <w:top w:val="single" w:sz="8" w:space="0" w:color="auto"/>
              <w:left w:val="single" w:sz="8" w:space="0" w:color="auto"/>
              <w:bottom w:val="single" w:sz="8" w:space="0" w:color="000000"/>
              <w:right w:val="single" w:sz="8" w:space="0" w:color="000000"/>
            </w:tcBorders>
            <w:hideMark/>
          </w:tcPr>
          <w:p w14:paraId="39051A97" w14:textId="77777777" w:rsidR="00854ADA" w:rsidRPr="00FF386D" w:rsidRDefault="00854ADA" w:rsidP="00854ADA">
            <w:pPr>
              <w:numPr>
                <w:ilvl w:val="0"/>
                <w:numId w:val="104"/>
              </w:numPr>
              <w:spacing w:after="0" w:line="240" w:lineRule="auto"/>
              <w:contextualSpacing/>
              <w:rPr>
                <w:rFonts w:asciiTheme="majorHAnsi" w:eastAsia="Times New Roman" w:hAnsiTheme="majorHAnsi" w:cstheme="majorHAnsi"/>
                <w:color w:val="000000"/>
                <w:sz w:val="20"/>
                <w:szCs w:val="20"/>
                <w:lang w:eastAsia="en-GB"/>
              </w:rPr>
            </w:pPr>
          </w:p>
        </w:tc>
        <w:tc>
          <w:tcPr>
            <w:tcW w:w="222" w:type="dxa"/>
            <w:noWrap/>
            <w:hideMark/>
          </w:tcPr>
          <w:p w14:paraId="13D9F4A4"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p>
        </w:tc>
      </w:tr>
      <w:tr w:rsidR="00854ADA" w:rsidRPr="00FF386D" w14:paraId="554281E0" w14:textId="77777777" w:rsidTr="0057310C">
        <w:trPr>
          <w:trHeight w:val="60"/>
        </w:trPr>
        <w:tc>
          <w:tcPr>
            <w:tcW w:w="3327" w:type="dxa"/>
            <w:vMerge/>
            <w:tcBorders>
              <w:top w:val="nil"/>
              <w:left w:val="single" w:sz="8" w:space="0" w:color="auto"/>
              <w:bottom w:val="single" w:sz="8" w:space="0" w:color="000000"/>
              <w:right w:val="single" w:sz="8" w:space="0" w:color="auto"/>
            </w:tcBorders>
            <w:vAlign w:val="center"/>
            <w:hideMark/>
          </w:tcPr>
          <w:p w14:paraId="0BA4A70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1" w:type="dxa"/>
            <w:gridSpan w:val="3"/>
            <w:vMerge/>
            <w:tcBorders>
              <w:top w:val="single" w:sz="8" w:space="0" w:color="auto"/>
              <w:left w:val="single" w:sz="8" w:space="0" w:color="auto"/>
              <w:bottom w:val="single" w:sz="8" w:space="0" w:color="000000"/>
              <w:right w:val="single" w:sz="8" w:space="0" w:color="000000"/>
            </w:tcBorders>
            <w:hideMark/>
          </w:tcPr>
          <w:p w14:paraId="46A92092" w14:textId="77777777" w:rsidR="00854ADA" w:rsidRPr="00FF386D" w:rsidRDefault="00854ADA" w:rsidP="00854ADA">
            <w:pPr>
              <w:numPr>
                <w:ilvl w:val="0"/>
                <w:numId w:val="104"/>
              </w:numPr>
              <w:spacing w:after="0" w:line="240" w:lineRule="auto"/>
              <w:contextualSpacing/>
              <w:rPr>
                <w:rFonts w:asciiTheme="majorHAnsi" w:eastAsia="Times New Roman" w:hAnsiTheme="majorHAnsi" w:cstheme="majorHAnsi"/>
                <w:color w:val="000000"/>
                <w:sz w:val="20"/>
                <w:szCs w:val="20"/>
                <w:lang w:eastAsia="en-GB"/>
              </w:rPr>
            </w:pPr>
          </w:p>
        </w:tc>
        <w:tc>
          <w:tcPr>
            <w:tcW w:w="222" w:type="dxa"/>
            <w:noWrap/>
            <w:hideMark/>
          </w:tcPr>
          <w:p w14:paraId="61535721" w14:textId="77777777" w:rsidR="00854ADA" w:rsidRPr="00FF386D" w:rsidRDefault="00854ADA" w:rsidP="00854ADA">
            <w:pPr>
              <w:spacing w:after="0" w:line="240" w:lineRule="auto"/>
              <w:rPr>
                <w:rFonts w:ascii="Times New Roman" w:eastAsia="Times New Roman" w:hAnsi="Times New Roman" w:cs="Times New Roman"/>
                <w:sz w:val="20"/>
                <w:szCs w:val="20"/>
                <w:lang w:eastAsia="en-GB"/>
              </w:rPr>
            </w:pPr>
          </w:p>
        </w:tc>
      </w:tr>
      <w:tr w:rsidR="00854ADA" w:rsidRPr="00FF386D" w14:paraId="3C320447" w14:textId="77777777" w:rsidTr="0057310C">
        <w:trPr>
          <w:trHeight w:val="221"/>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737D55F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Релевантни национални плански документ (правни, регулаторни акти, итд)</w:t>
            </w:r>
          </w:p>
        </w:tc>
        <w:tc>
          <w:tcPr>
            <w:tcW w:w="6131" w:type="dxa"/>
            <w:gridSpan w:val="3"/>
            <w:tcBorders>
              <w:top w:val="single" w:sz="8" w:space="0" w:color="auto"/>
              <w:left w:val="nil"/>
              <w:bottom w:val="single" w:sz="8" w:space="0" w:color="auto"/>
              <w:right w:val="single" w:sz="8" w:space="0" w:color="000000"/>
            </w:tcBorders>
            <w:shd w:val="clear" w:color="auto" w:fill="auto"/>
            <w:hideMark/>
          </w:tcPr>
          <w:p w14:paraId="2E14D4B3" w14:textId="77777777" w:rsidR="00DD3654" w:rsidRPr="00DD3654" w:rsidRDefault="00DD3654" w:rsidP="00DD3654">
            <w:pPr>
              <w:numPr>
                <w:ilvl w:val="0"/>
                <w:numId w:val="104"/>
              </w:numPr>
              <w:spacing w:after="0" w:line="240" w:lineRule="auto"/>
              <w:contextualSpacing/>
              <w:rPr>
                <w:rFonts w:asciiTheme="majorHAnsi" w:hAnsiTheme="majorHAnsi" w:cstheme="majorHAnsi"/>
                <w:sz w:val="20"/>
                <w:szCs w:val="20"/>
              </w:rPr>
            </w:pPr>
            <w:r w:rsidRPr="00DD3654">
              <w:rPr>
                <w:rFonts w:asciiTheme="majorHAnsi" w:hAnsiTheme="majorHAnsi" w:cstheme="majorHAnsi"/>
                <w:sz w:val="20"/>
                <w:szCs w:val="20"/>
              </w:rPr>
              <w:t>Закон о заштити ваздуха</w:t>
            </w:r>
          </w:p>
          <w:p w14:paraId="7030A1BA" w14:textId="5791CAAF" w:rsidR="00DD3654" w:rsidRPr="00DD3654" w:rsidRDefault="00DD3654" w:rsidP="00DD3654">
            <w:pPr>
              <w:numPr>
                <w:ilvl w:val="0"/>
                <w:numId w:val="104"/>
              </w:numPr>
              <w:spacing w:after="0" w:line="240" w:lineRule="auto"/>
              <w:contextualSpacing/>
              <w:rPr>
                <w:rFonts w:asciiTheme="majorHAnsi" w:hAnsiTheme="majorHAnsi" w:cstheme="majorHAnsi"/>
                <w:sz w:val="20"/>
                <w:szCs w:val="20"/>
              </w:rPr>
            </w:pPr>
            <w:r w:rsidRPr="00DD3654">
              <w:rPr>
                <w:rFonts w:asciiTheme="majorHAnsi" w:hAnsiTheme="majorHAnsi" w:cstheme="majorHAnsi"/>
                <w:sz w:val="20"/>
                <w:szCs w:val="20"/>
              </w:rPr>
              <w:t>Програм заштите ваздуха у Републици Србији за период 2022-2030</w:t>
            </w:r>
            <w:r>
              <w:rPr>
                <w:rFonts w:asciiTheme="majorHAnsi" w:hAnsiTheme="majorHAnsi" w:cstheme="majorHAnsi"/>
                <w:sz w:val="20"/>
                <w:szCs w:val="20"/>
              </w:rPr>
              <w:t>.</w:t>
            </w:r>
            <w:r w:rsidRPr="00DD3654">
              <w:rPr>
                <w:rFonts w:asciiTheme="majorHAnsi" w:hAnsiTheme="majorHAnsi" w:cstheme="majorHAnsi"/>
                <w:sz w:val="20"/>
                <w:szCs w:val="20"/>
              </w:rPr>
              <w:t xml:space="preserve"> са Акционим планом</w:t>
            </w:r>
          </w:p>
          <w:p w14:paraId="14B96072" w14:textId="62744460" w:rsidR="00DD3654" w:rsidRPr="00DD3654" w:rsidRDefault="00DD3654" w:rsidP="00DD3654">
            <w:pPr>
              <w:numPr>
                <w:ilvl w:val="0"/>
                <w:numId w:val="104"/>
              </w:numPr>
              <w:spacing w:after="0" w:line="240" w:lineRule="auto"/>
              <w:contextualSpacing/>
              <w:rPr>
                <w:rFonts w:asciiTheme="majorHAnsi" w:hAnsiTheme="majorHAnsi" w:cstheme="majorHAnsi"/>
                <w:sz w:val="20"/>
                <w:szCs w:val="20"/>
              </w:rPr>
            </w:pPr>
            <w:r w:rsidRPr="00DD3654">
              <w:rPr>
                <w:rFonts w:asciiTheme="majorHAnsi" w:hAnsiTheme="majorHAnsi" w:cstheme="majorHAnsi"/>
                <w:sz w:val="20"/>
                <w:szCs w:val="20"/>
              </w:rPr>
              <w:t>Закон о потврђивању амандмана на Монтреалски протокол о супстанцама које оштећују озонски омо</w:t>
            </w:r>
            <w:r>
              <w:rPr>
                <w:rFonts w:asciiTheme="majorHAnsi" w:hAnsiTheme="majorHAnsi" w:cstheme="majorHAnsi"/>
                <w:sz w:val="20"/>
                <w:szCs w:val="20"/>
              </w:rPr>
              <w:t>т</w:t>
            </w:r>
            <w:r w:rsidRPr="00DD3654">
              <w:rPr>
                <w:rFonts w:asciiTheme="majorHAnsi" w:hAnsiTheme="majorHAnsi" w:cstheme="majorHAnsi"/>
                <w:sz w:val="20"/>
                <w:szCs w:val="20"/>
              </w:rPr>
              <w:t>ач (Кигали Амандман)</w:t>
            </w:r>
          </w:p>
          <w:p w14:paraId="3827F717" w14:textId="0F19774A" w:rsidR="00854ADA" w:rsidRPr="00FF386D" w:rsidRDefault="00854ADA" w:rsidP="00854ADA">
            <w:pPr>
              <w:numPr>
                <w:ilvl w:val="0"/>
                <w:numId w:val="104"/>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Стратегија нискоугљеничног развоја </w:t>
            </w:r>
            <w:r w:rsidR="00DD3654" w:rsidRPr="00DD3654">
              <w:rPr>
                <w:rFonts w:asciiTheme="majorHAnsi" w:eastAsia="Times New Roman" w:hAnsiTheme="majorHAnsi" w:cstheme="majorHAnsi"/>
                <w:color w:val="000000"/>
                <w:sz w:val="20"/>
                <w:szCs w:val="20"/>
                <w:lang w:eastAsia="en-GB"/>
              </w:rPr>
              <w:t>за период од 2023. до 2030. године са пројекцијама до 2050. године</w:t>
            </w:r>
          </w:p>
        </w:tc>
        <w:tc>
          <w:tcPr>
            <w:tcW w:w="222" w:type="dxa"/>
            <w:hideMark/>
          </w:tcPr>
          <w:p w14:paraId="703F01B9" w14:textId="77777777" w:rsidR="00854ADA" w:rsidRPr="00FF386D" w:rsidRDefault="00854ADA" w:rsidP="00854ADA">
            <w:pPr>
              <w:spacing w:after="0" w:line="240" w:lineRule="auto"/>
              <w:rPr>
                <w:rFonts w:ascii="Times New Roman" w:eastAsia="Times New Roman" w:hAnsi="Times New Roman" w:cs="Times New Roman"/>
                <w:sz w:val="20"/>
                <w:szCs w:val="20"/>
                <w:lang w:eastAsia="en-GB"/>
              </w:rPr>
            </w:pPr>
          </w:p>
        </w:tc>
      </w:tr>
      <w:tr w:rsidR="00854ADA" w:rsidRPr="00FF386D" w14:paraId="051D9255"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65DAEB3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31" w:type="dxa"/>
            <w:gridSpan w:val="3"/>
            <w:tcBorders>
              <w:top w:val="single" w:sz="8" w:space="0" w:color="auto"/>
              <w:left w:val="nil"/>
              <w:bottom w:val="single" w:sz="8" w:space="0" w:color="auto"/>
              <w:right w:val="single" w:sz="8" w:space="0" w:color="000000"/>
            </w:tcBorders>
            <w:shd w:val="clear" w:color="auto" w:fill="auto"/>
            <w:hideMark/>
          </w:tcPr>
          <w:p w14:paraId="1A7D70A6" w14:textId="302AA130" w:rsidR="00854ADA" w:rsidRPr="00FF386D" w:rsidRDefault="009F4D23" w:rsidP="00854ADA">
            <w:pPr>
              <w:spacing w:after="0" w:line="240" w:lineRule="auto"/>
              <w:rPr>
                <w:rFonts w:asciiTheme="majorHAnsi" w:eastAsia="Times New Roman" w:hAnsiTheme="majorHAnsi" w:cstheme="majorHAnsi"/>
                <w:color w:val="000000"/>
                <w:sz w:val="20"/>
                <w:szCs w:val="20"/>
                <w:lang w:eastAsia="en-GB"/>
              </w:rPr>
            </w:pPr>
            <w:r w:rsidRPr="009F4D23">
              <w:rPr>
                <w:rFonts w:ascii="Calibri Light" w:eastAsia="Times New Roman" w:hAnsi="Calibri Light" w:cs="Calibri Light"/>
                <w:color w:val="000000"/>
                <w:sz w:val="20"/>
                <w:szCs w:val="20"/>
                <w:lang w:eastAsia="en-GB"/>
              </w:rPr>
              <w:t>Није позната процена трошкова имплементације</w:t>
            </w:r>
          </w:p>
        </w:tc>
        <w:tc>
          <w:tcPr>
            <w:tcW w:w="222" w:type="dxa"/>
            <w:hideMark/>
          </w:tcPr>
          <w:p w14:paraId="59574C79" w14:textId="77777777" w:rsidR="00854ADA" w:rsidRPr="00FF386D" w:rsidRDefault="00854ADA" w:rsidP="00854ADA">
            <w:pPr>
              <w:spacing w:after="0" w:line="240" w:lineRule="auto"/>
              <w:rPr>
                <w:rFonts w:ascii="Times New Roman" w:eastAsia="Times New Roman" w:hAnsi="Times New Roman" w:cs="Times New Roman"/>
                <w:sz w:val="20"/>
                <w:szCs w:val="20"/>
                <w:lang w:eastAsia="en-GB"/>
              </w:rPr>
            </w:pPr>
          </w:p>
        </w:tc>
      </w:tr>
      <w:tr w:rsidR="00854ADA" w:rsidRPr="00FF386D" w14:paraId="5132E662"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hideMark/>
          </w:tcPr>
          <w:p w14:paraId="5A83683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31" w:type="dxa"/>
            <w:gridSpan w:val="3"/>
            <w:tcBorders>
              <w:top w:val="single" w:sz="8" w:space="0" w:color="auto"/>
              <w:left w:val="nil"/>
              <w:bottom w:val="single" w:sz="8" w:space="0" w:color="auto"/>
              <w:right w:val="single" w:sz="8" w:space="0" w:color="000000"/>
            </w:tcBorders>
            <w:shd w:val="clear" w:color="auto" w:fill="auto"/>
            <w:hideMark/>
          </w:tcPr>
          <w:p w14:paraId="7E422606" w14:textId="4940BB1F"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Фондови ЕУ и други фондови, буџет</w:t>
            </w:r>
            <w:r w:rsidR="00A01E3E" w:rsidRPr="00FF386D">
              <w:rPr>
                <w:rFonts w:asciiTheme="majorHAnsi" w:hAnsiTheme="majorHAnsi" w:cstheme="majorHAnsi"/>
                <w:sz w:val="20"/>
                <w:szCs w:val="20"/>
              </w:rPr>
              <w:t>ска средства</w:t>
            </w:r>
          </w:p>
        </w:tc>
        <w:tc>
          <w:tcPr>
            <w:tcW w:w="222" w:type="dxa"/>
            <w:hideMark/>
          </w:tcPr>
          <w:p w14:paraId="4AB9B3C8" w14:textId="77777777" w:rsidR="00854ADA" w:rsidRPr="00FF386D" w:rsidRDefault="00854ADA" w:rsidP="00854ADA">
            <w:pPr>
              <w:spacing w:after="0" w:line="240" w:lineRule="auto"/>
              <w:rPr>
                <w:rFonts w:ascii="Times New Roman" w:eastAsia="Times New Roman" w:hAnsi="Times New Roman" w:cs="Times New Roman"/>
                <w:sz w:val="20"/>
                <w:szCs w:val="20"/>
                <w:lang w:eastAsia="en-GB"/>
              </w:rPr>
            </w:pPr>
          </w:p>
        </w:tc>
      </w:tr>
    </w:tbl>
    <w:p w14:paraId="28BD1891" w14:textId="77777777" w:rsidR="00854ADA" w:rsidRPr="00FF386D" w:rsidRDefault="00854ADA" w:rsidP="00854ADA">
      <w:pPr>
        <w:spacing w:before="240"/>
        <w:jc w:val="both"/>
        <w:rPr>
          <w:rFonts w:asciiTheme="majorHAnsi" w:hAnsiTheme="majorHAnsi" w:cstheme="majorHAnsi"/>
          <w:b/>
          <w:bCs/>
          <w:color w:val="000000"/>
        </w:rPr>
      </w:pPr>
      <w:r w:rsidRPr="00FF386D">
        <w:rPr>
          <w:rFonts w:asciiTheme="majorHAnsi" w:hAnsiTheme="majorHAnsi" w:cstheme="majorHAnsi"/>
          <w:b/>
          <w:bCs/>
          <w:color w:val="000000"/>
        </w:rPr>
        <w:t>Сектор управљања отпадом</w:t>
      </w:r>
    </w:p>
    <w:p w14:paraId="796439C8" w14:textId="16392BBE" w:rsidR="00854ADA" w:rsidRPr="00FF386D" w:rsidRDefault="005F27E5" w:rsidP="00854ADA">
      <w:pPr>
        <w:spacing w:before="240"/>
        <w:jc w:val="both"/>
        <w:rPr>
          <w:rFonts w:asciiTheme="majorHAnsi" w:hAnsiTheme="majorHAnsi" w:cstheme="majorHAnsi"/>
          <w:bCs/>
          <w:color w:val="000000"/>
        </w:rPr>
      </w:pPr>
      <w:r w:rsidRPr="00FF386D">
        <w:rPr>
          <w:rFonts w:asciiTheme="majorHAnsi" w:hAnsiTheme="majorHAnsi" w:cstheme="majorHAnsi"/>
          <w:bCs/>
          <w:color w:val="000000"/>
        </w:rPr>
        <w:t>Године</w:t>
      </w:r>
      <w:r w:rsidR="00DA636C" w:rsidRPr="00FF386D">
        <w:rPr>
          <w:rFonts w:asciiTheme="majorHAnsi" w:hAnsiTheme="majorHAnsi" w:cstheme="majorHAnsi"/>
          <w:bCs/>
          <w:color w:val="000000"/>
        </w:rPr>
        <w:t xml:space="preserve"> </w:t>
      </w:r>
      <w:r w:rsidR="00854ADA" w:rsidRPr="00FF386D">
        <w:rPr>
          <w:rFonts w:asciiTheme="majorHAnsi" w:hAnsiTheme="majorHAnsi" w:cstheme="majorHAnsi"/>
          <w:bCs/>
          <w:color w:val="000000"/>
        </w:rPr>
        <w:t xml:space="preserve">2020, Министарство животне средине </w:t>
      </w:r>
      <w:r w:rsidRPr="00FF386D">
        <w:rPr>
          <w:rFonts w:asciiTheme="majorHAnsi" w:hAnsiTheme="majorHAnsi" w:cstheme="majorHAnsi"/>
          <w:bCs/>
          <w:color w:val="000000"/>
        </w:rPr>
        <w:t xml:space="preserve">је </w:t>
      </w:r>
      <w:r w:rsidR="00854ADA" w:rsidRPr="00FF386D">
        <w:rPr>
          <w:rFonts w:asciiTheme="majorHAnsi" w:hAnsiTheme="majorHAnsi" w:cstheme="majorHAnsi"/>
          <w:bCs/>
          <w:color w:val="000000"/>
        </w:rPr>
        <w:t>објавило</w:t>
      </w:r>
      <w:r w:rsidRPr="00FF386D">
        <w:rPr>
          <w:rFonts w:asciiTheme="majorHAnsi" w:hAnsiTheme="majorHAnsi" w:cstheme="majorHAnsi"/>
          <w:bCs/>
          <w:color w:val="000000"/>
        </w:rPr>
        <w:t xml:space="preserve"> </w:t>
      </w:r>
      <w:r w:rsidR="00854ADA" w:rsidRPr="00FF386D">
        <w:rPr>
          <w:rFonts w:asciiTheme="majorHAnsi" w:hAnsiTheme="majorHAnsi" w:cstheme="majorHAnsi"/>
          <w:bCs/>
          <w:color w:val="000000"/>
        </w:rPr>
        <w:t>Мапу пута за циркуларну економију у Србији</w:t>
      </w:r>
      <w:r w:rsidR="00854ADA" w:rsidRPr="00FF386D">
        <w:rPr>
          <w:rFonts w:asciiTheme="majorHAnsi" w:hAnsiTheme="majorHAnsi" w:cstheme="majorHAnsi"/>
          <w:bCs/>
          <w:color w:val="000000"/>
          <w:vertAlign w:val="superscript"/>
        </w:rPr>
        <w:t xml:space="preserve"> </w:t>
      </w:r>
      <w:r w:rsidR="00854ADA" w:rsidRPr="00FF386D">
        <w:rPr>
          <w:rFonts w:asciiTheme="majorHAnsi" w:hAnsiTheme="majorHAnsi" w:cstheme="majorHAnsi"/>
          <w:vertAlign w:val="superscript"/>
        </w:rPr>
        <w:footnoteReference w:id="94"/>
      </w:r>
      <w:r w:rsidR="00854ADA" w:rsidRPr="00FF386D">
        <w:rPr>
          <w:rFonts w:asciiTheme="majorHAnsi" w:hAnsiTheme="majorHAnsi" w:cstheme="majorHAnsi"/>
          <w:bCs/>
          <w:color w:val="000000"/>
        </w:rPr>
        <w:t xml:space="preserve"> кој</w:t>
      </w:r>
      <w:r w:rsidR="00405843" w:rsidRPr="00FF386D">
        <w:rPr>
          <w:rFonts w:asciiTheme="majorHAnsi" w:hAnsiTheme="majorHAnsi" w:cstheme="majorHAnsi"/>
          <w:bCs/>
          <w:color w:val="000000"/>
        </w:rPr>
        <w:t xml:space="preserve">ом се потврђује </w:t>
      </w:r>
      <w:r w:rsidR="00854ADA" w:rsidRPr="00FF386D">
        <w:rPr>
          <w:rFonts w:asciiTheme="majorHAnsi" w:hAnsiTheme="majorHAnsi" w:cstheme="majorHAnsi"/>
          <w:bCs/>
          <w:color w:val="000000"/>
        </w:rPr>
        <w:t>стратегиј</w:t>
      </w:r>
      <w:r w:rsidR="00405843" w:rsidRPr="00FF386D">
        <w:rPr>
          <w:rFonts w:asciiTheme="majorHAnsi" w:hAnsiTheme="majorHAnsi" w:cstheme="majorHAnsi"/>
          <w:bCs/>
          <w:color w:val="000000"/>
        </w:rPr>
        <w:t>а</w:t>
      </w:r>
      <w:r w:rsidR="00854ADA" w:rsidRPr="00FF386D">
        <w:rPr>
          <w:rFonts w:asciiTheme="majorHAnsi" w:hAnsiTheme="majorHAnsi" w:cstheme="majorHAnsi"/>
          <w:bCs/>
          <w:color w:val="000000"/>
        </w:rPr>
        <w:t xml:space="preserve"> </w:t>
      </w:r>
      <w:r w:rsidR="00405843" w:rsidRPr="00FF386D">
        <w:rPr>
          <w:rFonts w:asciiTheme="majorHAnsi" w:hAnsiTheme="majorHAnsi" w:cstheme="majorHAnsi"/>
          <w:bCs/>
          <w:color w:val="000000"/>
        </w:rPr>
        <w:t>усаглашавања</w:t>
      </w:r>
      <w:r w:rsidR="00854ADA" w:rsidRPr="00FF386D">
        <w:rPr>
          <w:rFonts w:asciiTheme="majorHAnsi" w:hAnsiTheme="majorHAnsi" w:cstheme="majorHAnsi"/>
          <w:bCs/>
          <w:color w:val="000000"/>
        </w:rPr>
        <w:t xml:space="preserve"> законодавства Србије и ЕУ у области отпада, посебно оквира за </w:t>
      </w:r>
      <w:r w:rsidR="00DD3654" w:rsidRPr="00DD3654">
        <w:rPr>
          <w:rFonts w:asciiTheme="majorHAnsi" w:hAnsiTheme="majorHAnsi" w:cstheme="majorHAnsi"/>
          <w:bCs/>
          <w:color w:val="000000"/>
        </w:rPr>
        <w:t xml:space="preserve">управљање </w:t>
      </w:r>
      <w:r w:rsidR="00854ADA" w:rsidRPr="00FF386D">
        <w:rPr>
          <w:rFonts w:asciiTheme="majorHAnsi" w:hAnsiTheme="majorHAnsi" w:cstheme="majorHAnsi"/>
          <w:bCs/>
          <w:color w:val="000000"/>
        </w:rPr>
        <w:t>отпад</w:t>
      </w:r>
      <w:r w:rsidR="00DD3654" w:rsidRPr="00DD3654">
        <w:rPr>
          <w:rFonts w:asciiTheme="majorHAnsi" w:hAnsiTheme="majorHAnsi" w:cstheme="majorHAnsi"/>
          <w:bCs/>
          <w:color w:val="000000"/>
        </w:rPr>
        <w:t>ом</w:t>
      </w:r>
      <w:r w:rsidR="00854ADA" w:rsidRPr="00FF386D">
        <w:rPr>
          <w:rFonts w:asciiTheme="majorHAnsi" w:hAnsiTheme="majorHAnsi" w:cstheme="majorHAnsi"/>
          <w:bCs/>
          <w:color w:val="000000"/>
        </w:rPr>
        <w:t xml:space="preserve">, </w:t>
      </w:r>
      <w:r w:rsidR="00DD3654" w:rsidRPr="00FF386D">
        <w:rPr>
          <w:rFonts w:asciiTheme="majorHAnsi" w:hAnsiTheme="majorHAnsi" w:cstheme="majorHAnsi"/>
          <w:bCs/>
          <w:color w:val="000000"/>
        </w:rPr>
        <w:t>депониј</w:t>
      </w:r>
      <w:r w:rsidR="00DD3654">
        <w:rPr>
          <w:rFonts w:asciiTheme="majorHAnsi" w:hAnsiTheme="majorHAnsi" w:cstheme="majorHAnsi"/>
          <w:bCs/>
          <w:color w:val="000000"/>
        </w:rPr>
        <w:t>е</w:t>
      </w:r>
      <w:r w:rsidR="00854ADA" w:rsidRPr="00FF386D">
        <w:rPr>
          <w:rFonts w:asciiTheme="majorHAnsi" w:hAnsiTheme="majorHAnsi" w:cstheme="majorHAnsi"/>
          <w:bCs/>
          <w:color w:val="000000"/>
        </w:rPr>
        <w:t>, амбалажу и пластику. Мапа пута садржи препоруке о одрживо</w:t>
      </w:r>
      <w:r w:rsidR="00405843" w:rsidRPr="00FF386D">
        <w:rPr>
          <w:rFonts w:asciiTheme="majorHAnsi" w:hAnsiTheme="majorHAnsi" w:cstheme="majorHAnsi"/>
          <w:bCs/>
          <w:color w:val="000000"/>
        </w:rPr>
        <w:t>м</w:t>
      </w:r>
      <w:r w:rsidR="00854ADA" w:rsidRPr="00FF386D">
        <w:rPr>
          <w:rFonts w:asciiTheme="majorHAnsi" w:hAnsiTheme="majorHAnsi" w:cstheme="majorHAnsi"/>
          <w:bCs/>
          <w:color w:val="000000"/>
        </w:rPr>
        <w:t xml:space="preserve"> </w:t>
      </w:r>
      <w:r w:rsidR="00405843" w:rsidRPr="00FF386D">
        <w:rPr>
          <w:rFonts w:asciiTheme="majorHAnsi" w:hAnsiTheme="majorHAnsi" w:cstheme="majorHAnsi"/>
          <w:bCs/>
          <w:color w:val="000000"/>
        </w:rPr>
        <w:t>коришћењу</w:t>
      </w:r>
      <w:r w:rsidR="00854ADA" w:rsidRPr="00FF386D">
        <w:rPr>
          <w:rFonts w:asciiTheme="majorHAnsi" w:hAnsiTheme="majorHAnsi" w:cstheme="majorHAnsi"/>
          <w:bCs/>
          <w:color w:val="000000"/>
        </w:rPr>
        <w:t xml:space="preserve"> ресурса, превенцији настанка отпада и циркуларном дизајну производа, као и конкретне мере за отпад из производње, пољопривреде, амбалаже и грађевинарства.</w:t>
      </w:r>
    </w:p>
    <w:p w14:paraId="150995F6" w14:textId="3D75DBAE" w:rsidR="00854ADA" w:rsidRPr="00FF386D" w:rsidRDefault="00FF0993" w:rsidP="00854ADA">
      <w:pPr>
        <w:spacing w:before="240"/>
        <w:jc w:val="both"/>
        <w:rPr>
          <w:rFonts w:asciiTheme="majorHAnsi" w:hAnsiTheme="majorHAnsi" w:cstheme="majorHAnsi"/>
          <w:bCs/>
          <w:color w:val="000000"/>
        </w:rPr>
      </w:pPr>
      <w:r w:rsidRPr="00FF0993">
        <w:rPr>
          <w:rFonts w:asciiTheme="majorHAnsi" w:hAnsiTheme="majorHAnsi" w:cstheme="majorHAnsi"/>
          <w:bCs/>
          <w:color w:val="000000"/>
        </w:rPr>
        <w:lastRenderedPageBreak/>
        <w:t>Поред тога, у фебруару 2022. године, усвојен је Програм управљања отпадом у Републици Србији за период 2022-2031. године</w:t>
      </w:r>
      <w:r w:rsidR="00854ADA" w:rsidRPr="00FF386D">
        <w:rPr>
          <w:rFonts w:asciiTheme="majorHAnsi" w:hAnsiTheme="majorHAnsi" w:cstheme="majorHAnsi"/>
          <w:vertAlign w:val="superscript"/>
        </w:rPr>
        <w:footnoteReference w:id="95"/>
      </w:r>
      <w:r w:rsidRPr="00FF0993">
        <w:rPr>
          <w:rFonts w:asciiTheme="majorHAnsi" w:hAnsiTheme="majorHAnsi" w:cstheme="majorHAnsi"/>
          <w:bCs/>
          <w:color w:val="000000"/>
        </w:rPr>
        <w:t>, а Акциони план за период 2022-2024. године за спровођење Програма управљања отпадом је донет у мају 2022. године.</w:t>
      </w:r>
    </w:p>
    <w:p w14:paraId="2BCAABDA" w14:textId="17E743F0" w:rsidR="00854ADA" w:rsidRPr="00FF386D" w:rsidRDefault="000030E5" w:rsidP="00854ADA">
      <w:pPr>
        <w:spacing w:before="240"/>
        <w:jc w:val="both"/>
        <w:rPr>
          <w:rFonts w:asciiTheme="majorHAnsi" w:hAnsiTheme="majorHAnsi" w:cstheme="majorHAnsi"/>
          <w:bCs/>
          <w:color w:val="000000"/>
        </w:rPr>
      </w:pPr>
      <w:r w:rsidRPr="00FF386D">
        <w:rPr>
          <w:rFonts w:asciiTheme="majorHAnsi" w:hAnsiTheme="majorHAnsi" w:cstheme="majorHAnsi"/>
          <w:bCs/>
          <w:color w:val="000000"/>
        </w:rPr>
        <w:t>Уопште</w:t>
      </w:r>
      <w:r w:rsidR="00854ADA" w:rsidRPr="00FF386D">
        <w:rPr>
          <w:rFonts w:asciiTheme="majorHAnsi" w:hAnsiTheme="majorHAnsi" w:cstheme="majorHAnsi"/>
          <w:bCs/>
          <w:color w:val="000000"/>
        </w:rPr>
        <w:t>, ниво усклађености Републик</w:t>
      </w:r>
      <w:r w:rsidRPr="00FF386D">
        <w:rPr>
          <w:rFonts w:asciiTheme="majorHAnsi" w:hAnsiTheme="majorHAnsi" w:cstheme="majorHAnsi"/>
          <w:bCs/>
          <w:color w:val="000000"/>
        </w:rPr>
        <w:t>е</w:t>
      </w:r>
      <w:r w:rsidR="00854ADA" w:rsidRPr="00FF386D">
        <w:rPr>
          <w:rFonts w:asciiTheme="majorHAnsi" w:hAnsiTheme="majorHAnsi" w:cstheme="majorHAnsi"/>
          <w:bCs/>
          <w:color w:val="000000"/>
        </w:rPr>
        <w:t xml:space="preserve"> Србије са правним тековинама ЕУ је добар</w:t>
      </w:r>
      <w:r w:rsidR="00DD5F82" w:rsidRPr="00FF386D">
        <w:rPr>
          <w:rFonts w:asciiTheme="majorHAnsi" w:hAnsiTheme="majorHAnsi" w:cstheme="majorHAnsi"/>
          <w:bCs/>
          <w:color w:val="000000"/>
        </w:rPr>
        <w:t>.</w:t>
      </w:r>
      <w:r w:rsidR="00854ADA" w:rsidRPr="00FF386D">
        <w:rPr>
          <w:rFonts w:asciiTheme="majorHAnsi" w:hAnsiTheme="majorHAnsi" w:cstheme="majorHAnsi"/>
          <w:bCs/>
          <w:color w:val="000000"/>
        </w:rPr>
        <w:t xml:space="preserve"> </w:t>
      </w:r>
      <w:r w:rsidR="007E3FF3">
        <w:rPr>
          <w:rFonts w:asciiTheme="majorHAnsi" w:hAnsiTheme="majorHAnsi" w:cstheme="majorHAnsi"/>
          <w:bCs/>
          <w:color w:val="000000"/>
        </w:rPr>
        <w:t>Тачније</w:t>
      </w:r>
      <w:r w:rsidR="00FF0993" w:rsidRPr="00FF0993">
        <w:rPr>
          <w:rFonts w:asciiTheme="majorHAnsi" w:hAnsiTheme="majorHAnsi" w:cstheme="majorHAnsi"/>
          <w:bCs/>
          <w:color w:val="000000"/>
        </w:rPr>
        <w:t>, Србија је израдила и усвојила Програм управљања отпадом у Републици Србији за период 2022-2031. године а у септембру 2023. године Програм управљања муљем у Републици Србији за период од 2023-2032</w:t>
      </w:r>
      <w:r w:rsidR="00FF0993">
        <w:rPr>
          <w:rStyle w:val="FootnoteReference"/>
          <w:rFonts w:asciiTheme="majorHAnsi" w:hAnsiTheme="majorHAnsi" w:cstheme="majorHAnsi"/>
          <w:bCs/>
          <w:color w:val="000000"/>
        </w:rPr>
        <w:footnoteReference w:id="96"/>
      </w:r>
      <w:r w:rsidR="00FF0993">
        <w:rPr>
          <w:rFonts w:asciiTheme="majorHAnsi" w:hAnsiTheme="majorHAnsi" w:cstheme="majorHAnsi"/>
          <w:bCs/>
          <w:color w:val="000000"/>
        </w:rPr>
        <w:t xml:space="preserve">. </w:t>
      </w:r>
      <w:r w:rsidR="00590AB2" w:rsidRPr="00FF386D">
        <w:rPr>
          <w:rFonts w:asciiTheme="majorHAnsi" w:hAnsiTheme="majorHAnsi" w:cstheme="majorHAnsi"/>
          <w:bCs/>
          <w:color w:val="000000"/>
        </w:rPr>
        <w:t>Правилник</w:t>
      </w:r>
      <w:r w:rsidR="00785163" w:rsidRPr="00FF386D">
        <w:rPr>
          <w:rFonts w:asciiTheme="majorHAnsi" w:hAnsiTheme="majorHAnsi" w:cstheme="majorHAnsi"/>
          <w:bCs/>
          <w:color w:val="000000"/>
        </w:rPr>
        <w:t>ом</w:t>
      </w:r>
      <w:r w:rsidR="00854ADA" w:rsidRPr="00FF386D">
        <w:rPr>
          <w:rFonts w:asciiTheme="majorHAnsi" w:hAnsiTheme="majorHAnsi" w:cstheme="majorHAnsi"/>
          <w:bCs/>
          <w:color w:val="000000"/>
        </w:rPr>
        <w:t xml:space="preserve"> о </w:t>
      </w:r>
      <w:r w:rsidR="00590AB2" w:rsidRPr="00FF386D">
        <w:rPr>
          <w:rFonts w:asciiTheme="majorHAnsi" w:hAnsiTheme="majorHAnsi" w:cstheme="majorHAnsi"/>
          <w:bCs/>
          <w:color w:val="000000"/>
        </w:rPr>
        <w:t>поступању са</w:t>
      </w:r>
      <w:r w:rsidR="00854ADA" w:rsidRPr="00FF386D">
        <w:rPr>
          <w:rFonts w:asciiTheme="majorHAnsi" w:hAnsiTheme="majorHAnsi" w:cstheme="majorHAnsi"/>
          <w:bCs/>
          <w:color w:val="000000"/>
        </w:rPr>
        <w:t xml:space="preserve"> </w:t>
      </w:r>
      <w:r w:rsidR="00590AB2" w:rsidRPr="00FF386D">
        <w:rPr>
          <w:rFonts w:asciiTheme="majorHAnsi" w:hAnsiTheme="majorHAnsi" w:cstheme="majorHAnsi"/>
          <w:bCs/>
          <w:color w:val="000000"/>
        </w:rPr>
        <w:t>уређајима</w:t>
      </w:r>
      <w:r w:rsidR="00854ADA" w:rsidRPr="00FF386D">
        <w:rPr>
          <w:rFonts w:asciiTheme="majorHAnsi" w:hAnsiTheme="majorHAnsi" w:cstheme="majorHAnsi"/>
          <w:bCs/>
          <w:color w:val="000000"/>
        </w:rPr>
        <w:t xml:space="preserve"> и отпад</w:t>
      </w:r>
      <w:r w:rsidR="00590AB2" w:rsidRPr="00FF386D">
        <w:rPr>
          <w:rFonts w:asciiTheme="majorHAnsi" w:hAnsiTheme="majorHAnsi" w:cstheme="majorHAnsi"/>
          <w:bCs/>
          <w:color w:val="000000"/>
        </w:rPr>
        <w:t>ом</w:t>
      </w:r>
      <w:r w:rsidR="00854ADA" w:rsidRPr="00FF386D">
        <w:rPr>
          <w:rFonts w:asciiTheme="majorHAnsi" w:hAnsiTheme="majorHAnsi" w:cstheme="majorHAnsi"/>
          <w:bCs/>
          <w:color w:val="000000"/>
        </w:rPr>
        <w:t xml:space="preserve"> који садрж</w:t>
      </w:r>
      <w:r w:rsidR="00590AB2" w:rsidRPr="00FF386D">
        <w:rPr>
          <w:rFonts w:asciiTheme="majorHAnsi" w:hAnsiTheme="majorHAnsi" w:cstheme="majorHAnsi"/>
          <w:bCs/>
          <w:color w:val="000000"/>
        </w:rPr>
        <w:t>е</w:t>
      </w:r>
      <w:r w:rsidR="00854ADA" w:rsidRPr="00FF386D">
        <w:rPr>
          <w:rFonts w:asciiTheme="majorHAnsi" w:hAnsiTheme="majorHAnsi" w:cstheme="majorHAnsi"/>
          <w:bCs/>
          <w:color w:val="000000"/>
        </w:rPr>
        <w:t xml:space="preserve"> полихлоровани</w:t>
      </w:r>
      <w:r w:rsidR="005F27E5" w:rsidRPr="00FF386D">
        <w:rPr>
          <w:rFonts w:asciiTheme="majorHAnsi" w:hAnsiTheme="majorHAnsi" w:cstheme="majorHAnsi"/>
          <w:bCs/>
          <w:color w:val="000000"/>
        </w:rPr>
        <w:t xml:space="preserve"> </w:t>
      </w:r>
      <w:r w:rsidR="00854ADA" w:rsidRPr="00FF386D">
        <w:rPr>
          <w:rFonts w:asciiTheme="majorHAnsi" w:hAnsiTheme="majorHAnsi" w:cstheme="majorHAnsi"/>
          <w:bCs/>
          <w:color w:val="000000"/>
        </w:rPr>
        <w:t xml:space="preserve">бифенил, </w:t>
      </w:r>
      <w:r w:rsidR="00590AB2" w:rsidRPr="00FF386D">
        <w:rPr>
          <w:rFonts w:asciiTheme="majorHAnsi" w:hAnsiTheme="majorHAnsi" w:cstheme="majorHAnsi"/>
          <w:bCs/>
          <w:color w:val="000000"/>
        </w:rPr>
        <w:t xml:space="preserve">који је </w:t>
      </w:r>
      <w:r w:rsidR="00854ADA" w:rsidRPr="00FF386D">
        <w:rPr>
          <w:rFonts w:asciiTheme="majorHAnsi" w:hAnsiTheme="majorHAnsi" w:cstheme="majorHAnsi"/>
          <w:bCs/>
          <w:color w:val="000000"/>
        </w:rPr>
        <w:t>тренутно</w:t>
      </w:r>
      <w:r w:rsidR="00590AB2" w:rsidRPr="00FF386D">
        <w:rPr>
          <w:rFonts w:asciiTheme="majorHAnsi" w:hAnsiTheme="majorHAnsi" w:cstheme="majorHAnsi"/>
          <w:bCs/>
          <w:color w:val="000000"/>
        </w:rPr>
        <w:t xml:space="preserve"> </w:t>
      </w:r>
      <w:r w:rsidR="00854ADA" w:rsidRPr="00FF386D">
        <w:rPr>
          <w:rFonts w:asciiTheme="majorHAnsi" w:hAnsiTheme="majorHAnsi" w:cstheme="majorHAnsi"/>
          <w:bCs/>
          <w:color w:val="000000"/>
        </w:rPr>
        <w:t xml:space="preserve">у поступку усвајања, у потпуности ће </w:t>
      </w:r>
      <w:r w:rsidR="00590AB2" w:rsidRPr="00FF386D">
        <w:rPr>
          <w:rFonts w:asciiTheme="majorHAnsi" w:hAnsiTheme="majorHAnsi" w:cstheme="majorHAnsi"/>
          <w:bCs/>
          <w:color w:val="000000"/>
        </w:rPr>
        <w:t xml:space="preserve">се </w:t>
      </w:r>
      <w:r w:rsidR="00854ADA" w:rsidRPr="00FF386D">
        <w:rPr>
          <w:rFonts w:asciiTheme="majorHAnsi" w:hAnsiTheme="majorHAnsi" w:cstheme="majorHAnsi"/>
          <w:bCs/>
          <w:color w:val="000000"/>
        </w:rPr>
        <w:t xml:space="preserve">транспоновати </w:t>
      </w:r>
      <w:r w:rsidR="00590AB2" w:rsidRPr="00FF386D">
        <w:rPr>
          <w:rFonts w:asciiTheme="majorHAnsi" w:hAnsiTheme="majorHAnsi" w:cstheme="majorHAnsi"/>
          <w:bCs/>
          <w:color w:val="000000"/>
        </w:rPr>
        <w:t>одговарајућа директива</w:t>
      </w:r>
      <w:r w:rsidR="00854ADA" w:rsidRPr="00FF386D">
        <w:rPr>
          <w:rFonts w:asciiTheme="majorHAnsi" w:hAnsiTheme="majorHAnsi" w:cstheme="majorHAnsi"/>
          <w:bCs/>
          <w:color w:val="000000"/>
        </w:rPr>
        <w:t xml:space="preserve"> ЕУ. Србија је започела трајно одлагање историјског опасног отпада. Потребно је развити додатне економске инструменте за посебне токове отпада. Удео рециклираног отпада у укупном управљању отпадом је још увек низак, </w:t>
      </w:r>
      <w:r w:rsidR="00590AB2" w:rsidRPr="00FF386D">
        <w:rPr>
          <w:rFonts w:asciiTheme="majorHAnsi" w:hAnsiTheme="majorHAnsi" w:cstheme="majorHAnsi"/>
          <w:bCs/>
          <w:color w:val="000000"/>
        </w:rPr>
        <w:t xml:space="preserve">и износи </w:t>
      </w:r>
      <w:r w:rsidR="00854ADA" w:rsidRPr="00FF386D">
        <w:rPr>
          <w:rFonts w:asciiTheme="majorHAnsi" w:hAnsiTheme="majorHAnsi" w:cstheme="majorHAnsi"/>
          <w:bCs/>
          <w:color w:val="000000"/>
        </w:rPr>
        <w:t>3% за комунални отпад, на основу података Европске комисије</w:t>
      </w:r>
      <w:r w:rsidR="00854ADA" w:rsidRPr="00FF386D">
        <w:rPr>
          <w:rFonts w:asciiTheme="majorHAnsi" w:hAnsiTheme="majorHAnsi" w:cstheme="majorHAnsi"/>
          <w:vertAlign w:val="superscript"/>
        </w:rPr>
        <w:footnoteReference w:id="97"/>
      </w:r>
      <w:r w:rsidR="00854ADA" w:rsidRPr="00FF386D">
        <w:rPr>
          <w:rFonts w:asciiTheme="majorHAnsi" w:hAnsiTheme="majorHAnsi" w:cstheme="majorHAnsi"/>
          <w:bCs/>
          <w:color w:val="000000"/>
        </w:rPr>
        <w:t xml:space="preserve">. Србија </w:t>
      </w:r>
      <w:r w:rsidR="00590AB2" w:rsidRPr="00FF386D">
        <w:rPr>
          <w:rFonts w:asciiTheme="majorHAnsi" w:hAnsiTheme="majorHAnsi" w:cstheme="majorHAnsi"/>
          <w:bCs/>
          <w:color w:val="000000"/>
        </w:rPr>
        <w:t xml:space="preserve">треба да </w:t>
      </w:r>
      <w:r w:rsidR="00854ADA" w:rsidRPr="00FF386D">
        <w:rPr>
          <w:rFonts w:asciiTheme="majorHAnsi" w:hAnsiTheme="majorHAnsi" w:cstheme="majorHAnsi"/>
          <w:bCs/>
          <w:color w:val="000000"/>
        </w:rPr>
        <w:t xml:space="preserve">удвостручи своје напоре </w:t>
      </w:r>
      <w:r w:rsidR="00590AB2" w:rsidRPr="00FF386D">
        <w:rPr>
          <w:rFonts w:asciiTheme="majorHAnsi" w:hAnsiTheme="majorHAnsi" w:cstheme="majorHAnsi"/>
          <w:bCs/>
          <w:color w:val="000000"/>
        </w:rPr>
        <w:t>за</w:t>
      </w:r>
      <w:r w:rsidR="00854ADA" w:rsidRPr="00FF386D">
        <w:rPr>
          <w:rFonts w:asciiTheme="majorHAnsi" w:hAnsiTheme="majorHAnsi" w:cstheme="majorHAnsi"/>
          <w:bCs/>
          <w:color w:val="000000"/>
        </w:rPr>
        <w:t xml:space="preserve"> затв</w:t>
      </w:r>
      <w:r w:rsidR="00590AB2" w:rsidRPr="00FF386D">
        <w:rPr>
          <w:rFonts w:asciiTheme="majorHAnsi" w:hAnsiTheme="majorHAnsi" w:cstheme="majorHAnsi"/>
          <w:bCs/>
          <w:color w:val="000000"/>
        </w:rPr>
        <w:t>арање</w:t>
      </w:r>
      <w:r w:rsidR="00854ADA" w:rsidRPr="00FF386D">
        <w:rPr>
          <w:rFonts w:asciiTheme="majorHAnsi" w:hAnsiTheme="majorHAnsi" w:cstheme="majorHAnsi"/>
          <w:bCs/>
          <w:color w:val="000000"/>
        </w:rPr>
        <w:t xml:space="preserve"> неуређен</w:t>
      </w:r>
      <w:r w:rsidR="00590AB2" w:rsidRPr="00FF386D">
        <w:rPr>
          <w:rFonts w:asciiTheme="majorHAnsi" w:hAnsiTheme="majorHAnsi" w:cstheme="majorHAnsi"/>
          <w:bCs/>
          <w:color w:val="000000"/>
        </w:rPr>
        <w:t>их</w:t>
      </w:r>
      <w:r w:rsidR="00854ADA" w:rsidRPr="00FF386D">
        <w:rPr>
          <w:rFonts w:asciiTheme="majorHAnsi" w:hAnsiTheme="majorHAnsi" w:cstheme="majorHAnsi"/>
          <w:bCs/>
          <w:color w:val="000000"/>
        </w:rPr>
        <w:t xml:space="preserve"> депониј</w:t>
      </w:r>
      <w:r w:rsidR="00590AB2" w:rsidRPr="00FF386D">
        <w:rPr>
          <w:rFonts w:asciiTheme="majorHAnsi" w:hAnsiTheme="majorHAnsi" w:cstheme="majorHAnsi"/>
          <w:bCs/>
          <w:color w:val="000000"/>
        </w:rPr>
        <w:t>а</w:t>
      </w:r>
      <w:r w:rsidR="00854ADA" w:rsidRPr="00FF386D">
        <w:rPr>
          <w:rFonts w:asciiTheme="majorHAnsi" w:hAnsiTheme="majorHAnsi" w:cstheme="majorHAnsi"/>
          <w:bCs/>
          <w:color w:val="000000"/>
        </w:rPr>
        <w:t xml:space="preserve"> и да </w:t>
      </w:r>
      <w:r w:rsidR="00590AB2" w:rsidRPr="00FF386D">
        <w:rPr>
          <w:rFonts w:asciiTheme="majorHAnsi" w:hAnsiTheme="majorHAnsi" w:cstheme="majorHAnsi"/>
          <w:bCs/>
          <w:color w:val="000000"/>
        </w:rPr>
        <w:t>улаже</w:t>
      </w:r>
      <w:r w:rsidR="00854ADA" w:rsidRPr="00FF386D">
        <w:rPr>
          <w:rFonts w:asciiTheme="majorHAnsi" w:hAnsiTheme="majorHAnsi" w:cstheme="majorHAnsi"/>
          <w:bCs/>
          <w:color w:val="000000"/>
        </w:rPr>
        <w:t xml:space="preserve"> у смањење, одвајање и рецикл</w:t>
      </w:r>
      <w:r w:rsidR="00B84AE0" w:rsidRPr="00FF386D">
        <w:rPr>
          <w:rFonts w:asciiTheme="majorHAnsi" w:hAnsiTheme="majorHAnsi" w:cstheme="majorHAnsi"/>
          <w:bCs/>
          <w:color w:val="000000"/>
        </w:rPr>
        <w:t>ажу</w:t>
      </w:r>
      <w:r w:rsidR="00854ADA" w:rsidRPr="00FF386D">
        <w:rPr>
          <w:rFonts w:asciiTheme="majorHAnsi" w:hAnsiTheme="majorHAnsi" w:cstheme="majorHAnsi"/>
          <w:bCs/>
          <w:color w:val="000000"/>
        </w:rPr>
        <w:t xml:space="preserve"> отпада. </w:t>
      </w:r>
      <w:r w:rsidR="00FF0993" w:rsidRPr="00FF0993">
        <w:rPr>
          <w:rFonts w:asciiTheme="majorHAnsi" w:hAnsiTheme="majorHAnsi" w:cstheme="majorHAnsi"/>
          <w:bCs/>
          <w:color w:val="000000"/>
        </w:rPr>
        <w:t>Нова санитарна депонија у Винчи је изграђена у другој фази одлагања комуналног отпада. Постројење за енергетско искоришћење комуналног отпада и депонијског гаса је изграђено и тренутно се налази у фази добијања дозволе.</w:t>
      </w:r>
    </w:p>
    <w:tbl>
      <w:tblPr>
        <w:tblW w:w="9458" w:type="dxa"/>
        <w:tblLook w:val="04A0" w:firstRow="1" w:lastRow="0" w:firstColumn="1" w:lastColumn="0" w:noHBand="0" w:noVBand="1"/>
      </w:tblPr>
      <w:tblGrid>
        <w:gridCol w:w="3270"/>
        <w:gridCol w:w="1114"/>
        <w:gridCol w:w="934"/>
        <w:gridCol w:w="4140"/>
      </w:tblGrid>
      <w:tr w:rsidR="00854ADA" w:rsidRPr="00FF386D" w14:paraId="5B785175" w14:textId="77777777" w:rsidTr="0057310C">
        <w:trPr>
          <w:trHeight w:val="780"/>
        </w:trPr>
        <w:tc>
          <w:tcPr>
            <w:tcW w:w="3270"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192F877D"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1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4F6D9037"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eastAsia="Times New Roman" w:hAnsi="Calibri Light" w:cs="Calibri Light"/>
                <w:b/>
                <w:bCs/>
                <w:color w:val="000000"/>
                <w:sz w:val="20"/>
                <w:szCs w:val="20"/>
                <w:lang w:eastAsia="en-GB"/>
              </w:rPr>
              <w:t>MП_Д14</w:t>
            </w:r>
          </w:p>
        </w:tc>
        <w:tc>
          <w:tcPr>
            <w:tcW w:w="934" w:type="dxa"/>
            <w:tcBorders>
              <w:top w:val="single" w:sz="8" w:space="0" w:color="auto"/>
              <w:left w:val="nil"/>
              <w:bottom w:val="single" w:sz="8" w:space="0" w:color="auto"/>
              <w:right w:val="single" w:sz="8" w:space="0" w:color="auto"/>
            </w:tcBorders>
            <w:shd w:val="clear" w:color="000000" w:fill="244062"/>
            <w:vAlign w:val="center"/>
            <w:hideMark/>
          </w:tcPr>
          <w:p w14:paraId="39426499" w14:textId="15B0A411" w:rsidR="00854ADA" w:rsidRPr="00FF386D" w:rsidRDefault="00785163"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eastAsia="Times New Roman" w:hAnsi="Calibri Light" w:cs="Calibri Light"/>
                <w:b/>
                <w:bCs/>
                <w:color w:val="FFFFFF"/>
                <w:sz w:val="20"/>
                <w:szCs w:val="20"/>
                <w:lang w:eastAsia="en-GB"/>
              </w:rPr>
              <w:t>Назив</w:t>
            </w:r>
            <w:r w:rsidR="00854ADA" w:rsidRPr="00FF386D">
              <w:rPr>
                <w:rFonts w:ascii="Calibri Light" w:eastAsia="Times New Roman" w:hAnsi="Calibri Light" w:cs="Calibri Light"/>
                <w:b/>
                <w:bCs/>
                <w:color w:val="FFFFFF"/>
                <w:sz w:val="20"/>
                <w:szCs w:val="20"/>
                <w:lang w:eastAsia="en-GB"/>
              </w:rPr>
              <w:t xml:space="preserve">: </w:t>
            </w:r>
          </w:p>
        </w:tc>
        <w:tc>
          <w:tcPr>
            <w:tcW w:w="4140" w:type="dxa"/>
            <w:tcBorders>
              <w:top w:val="single" w:sz="8" w:space="0" w:color="auto"/>
              <w:left w:val="nil"/>
              <w:bottom w:val="single" w:sz="8" w:space="0" w:color="auto"/>
              <w:right w:val="single" w:sz="8" w:space="0" w:color="auto"/>
            </w:tcBorders>
            <w:shd w:val="clear" w:color="auto" w:fill="E7E6E6" w:themeFill="background2"/>
            <w:vAlign w:val="center"/>
            <w:hideMark/>
          </w:tcPr>
          <w:p w14:paraId="431A1A86" w14:textId="1B687693"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eastAsia="Times New Roman" w:hAnsi="Calibri Light" w:cs="Calibri Light"/>
                <w:b/>
                <w:bCs/>
                <w:color w:val="000000"/>
                <w:sz w:val="20"/>
                <w:szCs w:val="20"/>
                <w:lang w:eastAsia="en-GB"/>
              </w:rPr>
              <w:t xml:space="preserve">Унапређење </w:t>
            </w:r>
            <w:r w:rsidR="00FF0993" w:rsidRPr="00FF0993">
              <w:rPr>
                <w:rFonts w:ascii="Calibri Light" w:eastAsia="Times New Roman" w:hAnsi="Calibri Light" w:cs="Calibri Light"/>
                <w:b/>
                <w:bCs/>
                <w:color w:val="000000"/>
                <w:sz w:val="20"/>
                <w:szCs w:val="20"/>
                <w:lang w:eastAsia="en-GB"/>
              </w:rPr>
              <w:t xml:space="preserve">система </w:t>
            </w:r>
            <w:r w:rsidRPr="00FF386D">
              <w:rPr>
                <w:rFonts w:ascii="Calibri Light" w:eastAsia="Times New Roman" w:hAnsi="Calibri Light" w:cs="Calibri Light"/>
                <w:b/>
                <w:bCs/>
                <w:color w:val="000000"/>
                <w:sz w:val="20"/>
                <w:szCs w:val="20"/>
                <w:lang w:eastAsia="en-GB"/>
              </w:rPr>
              <w:t>пре</w:t>
            </w:r>
            <w:r w:rsidR="00785163" w:rsidRPr="00FF386D">
              <w:rPr>
                <w:rFonts w:ascii="Calibri Light" w:eastAsia="Times New Roman" w:hAnsi="Calibri Light" w:cs="Calibri Light"/>
                <w:b/>
                <w:bCs/>
                <w:color w:val="000000"/>
                <w:sz w:val="20"/>
                <w:szCs w:val="20"/>
                <w:lang w:eastAsia="en-GB"/>
              </w:rPr>
              <w:t>чишћавања</w:t>
            </w:r>
            <w:r w:rsidRPr="00FF386D">
              <w:rPr>
                <w:rFonts w:ascii="Calibri Light" w:eastAsia="Times New Roman" w:hAnsi="Calibri Light" w:cs="Calibri Light"/>
                <w:b/>
                <w:bCs/>
                <w:color w:val="000000"/>
                <w:sz w:val="20"/>
                <w:szCs w:val="20"/>
                <w:lang w:eastAsia="en-GB"/>
              </w:rPr>
              <w:t xml:space="preserve"> и </w:t>
            </w:r>
            <w:r w:rsidR="00785163" w:rsidRPr="00FF386D">
              <w:rPr>
                <w:rFonts w:ascii="Calibri Light" w:eastAsia="Times New Roman" w:hAnsi="Calibri Light" w:cs="Calibri Light"/>
                <w:b/>
                <w:bCs/>
                <w:color w:val="000000"/>
                <w:sz w:val="20"/>
                <w:szCs w:val="20"/>
                <w:lang w:eastAsia="en-GB"/>
              </w:rPr>
              <w:t>ис</w:t>
            </w:r>
            <w:r w:rsidRPr="00FF386D">
              <w:rPr>
                <w:rFonts w:ascii="Calibri Light" w:eastAsia="Times New Roman" w:hAnsi="Calibri Light" w:cs="Calibri Light"/>
                <w:b/>
                <w:bCs/>
                <w:color w:val="000000"/>
                <w:sz w:val="20"/>
                <w:szCs w:val="20"/>
                <w:lang w:eastAsia="en-GB"/>
              </w:rPr>
              <w:t>пуштања отпадних вода</w:t>
            </w:r>
          </w:p>
        </w:tc>
      </w:tr>
      <w:tr w:rsidR="00854ADA" w:rsidRPr="00FF386D" w14:paraId="5DA30D71" w14:textId="77777777" w:rsidTr="0057310C">
        <w:trPr>
          <w:trHeight w:val="287"/>
        </w:trPr>
        <w:tc>
          <w:tcPr>
            <w:tcW w:w="3270" w:type="dxa"/>
            <w:tcBorders>
              <w:top w:val="nil"/>
              <w:left w:val="single" w:sz="8" w:space="0" w:color="auto"/>
              <w:bottom w:val="single" w:sz="8" w:space="0" w:color="auto"/>
              <w:right w:val="nil"/>
            </w:tcBorders>
            <w:shd w:val="clear" w:color="000000" w:fill="244062"/>
            <w:vAlign w:val="center"/>
            <w:hideMark/>
          </w:tcPr>
          <w:p w14:paraId="31D9D9F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0D8C6248"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Смањење емисија </w:t>
            </w:r>
            <w:r w:rsidRPr="00FF386D">
              <w:rPr>
                <w:rFonts w:asciiTheme="majorHAnsi" w:eastAsia="Times New Roman" w:hAnsiTheme="majorHAnsi" w:cstheme="majorHAnsi"/>
                <w:i/>
                <w:iCs/>
                <w:color w:val="000000"/>
                <w:sz w:val="20"/>
                <w:szCs w:val="20"/>
                <w:lang w:eastAsia="en-GB"/>
              </w:rPr>
              <w:t>GHG</w:t>
            </w:r>
          </w:p>
        </w:tc>
      </w:tr>
      <w:tr w:rsidR="00854ADA" w:rsidRPr="00FF386D" w14:paraId="66CEA630"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5347851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79CA73F0" w14:textId="51138735" w:rsidR="00854ADA" w:rsidRPr="00FF386D" w:rsidRDefault="009F4D23" w:rsidP="00854ADA">
            <w:pPr>
              <w:spacing w:after="0" w:line="240" w:lineRule="auto"/>
              <w:jc w:val="both"/>
              <w:rPr>
                <w:rFonts w:asciiTheme="majorHAnsi" w:eastAsia="Times New Roman" w:hAnsiTheme="majorHAnsi" w:cstheme="majorHAnsi"/>
                <w:color w:val="000000"/>
                <w:sz w:val="20"/>
                <w:szCs w:val="20"/>
                <w:lang w:eastAsia="en-GB"/>
              </w:rPr>
            </w:pPr>
            <w:r w:rsidRPr="009F4D23">
              <w:rPr>
                <w:rFonts w:ascii="Calibri Light" w:eastAsia="Times New Roman" w:hAnsi="Calibri Light" w:cs="Calibri Light"/>
                <w:color w:val="000000"/>
                <w:sz w:val="20"/>
                <w:szCs w:val="20"/>
                <w:lang w:eastAsia="en-GB"/>
              </w:rPr>
              <w:t>Допринос циљу смањења емисија GHG за 33,3% (без LULUCF) до 2030. године у поређењу са нивоима из 1990. године</w:t>
            </w:r>
          </w:p>
        </w:tc>
      </w:tr>
      <w:tr w:rsidR="00854ADA" w:rsidRPr="00FF386D" w14:paraId="5017E20F" w14:textId="77777777" w:rsidTr="0057310C">
        <w:trPr>
          <w:trHeight w:val="1062"/>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20CA5DC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0E7C42B5" w14:textId="287AFC22"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МП_Д14 ће омогућити активности, као што су изградња </w:t>
            </w:r>
            <w:r w:rsidR="00F73CA9" w:rsidRPr="00FF386D">
              <w:rPr>
                <w:rFonts w:asciiTheme="majorHAnsi" w:eastAsia="Times New Roman" w:hAnsiTheme="majorHAnsi" w:cstheme="majorHAnsi"/>
                <w:color w:val="000000"/>
                <w:sz w:val="20"/>
                <w:szCs w:val="20"/>
                <w:lang w:eastAsia="en-GB"/>
              </w:rPr>
              <w:t>постројења</w:t>
            </w:r>
            <w:r w:rsidRPr="00FF386D">
              <w:rPr>
                <w:rFonts w:asciiTheme="majorHAnsi" w:eastAsia="Times New Roman" w:hAnsiTheme="majorHAnsi" w:cstheme="majorHAnsi"/>
                <w:color w:val="000000"/>
                <w:sz w:val="20"/>
                <w:szCs w:val="20"/>
                <w:lang w:eastAsia="en-GB"/>
              </w:rPr>
              <w:t xml:space="preserve"> за пречишћавање отпадних вода, </w:t>
            </w:r>
            <w:r w:rsidR="00785163" w:rsidRPr="00FF386D">
              <w:rPr>
                <w:rFonts w:asciiTheme="majorHAnsi" w:eastAsia="Times New Roman" w:hAnsiTheme="majorHAnsi" w:cstheme="majorHAnsi"/>
                <w:color w:val="000000"/>
                <w:sz w:val="20"/>
                <w:szCs w:val="20"/>
                <w:lang w:eastAsia="en-GB"/>
              </w:rPr>
              <w:t>унапређење</w:t>
            </w:r>
            <w:r w:rsidRPr="00FF386D">
              <w:rPr>
                <w:rFonts w:asciiTheme="majorHAnsi" w:eastAsia="Times New Roman" w:hAnsiTheme="majorHAnsi" w:cstheme="majorHAnsi"/>
                <w:color w:val="000000"/>
                <w:sz w:val="20"/>
                <w:szCs w:val="20"/>
                <w:lang w:eastAsia="en-GB"/>
              </w:rPr>
              <w:t xml:space="preserve"> пречишћавања и </w:t>
            </w:r>
            <w:r w:rsidR="001656C0" w:rsidRPr="00FF386D">
              <w:rPr>
                <w:rFonts w:asciiTheme="majorHAnsi" w:eastAsia="Times New Roman" w:hAnsiTheme="majorHAnsi" w:cstheme="majorHAnsi"/>
                <w:color w:val="000000"/>
                <w:sz w:val="20"/>
                <w:szCs w:val="20"/>
                <w:lang w:eastAsia="en-GB"/>
              </w:rPr>
              <w:t xml:space="preserve">одлагања </w:t>
            </w:r>
            <w:r w:rsidRPr="00FF386D">
              <w:rPr>
                <w:rFonts w:asciiTheme="majorHAnsi" w:eastAsia="Times New Roman" w:hAnsiTheme="majorHAnsi" w:cstheme="majorHAnsi"/>
                <w:color w:val="000000"/>
                <w:sz w:val="20"/>
                <w:szCs w:val="20"/>
                <w:lang w:eastAsia="en-GB"/>
              </w:rPr>
              <w:t xml:space="preserve">отпадних вода, </w:t>
            </w:r>
            <w:r w:rsidR="00F73CA9" w:rsidRPr="00FF386D">
              <w:rPr>
                <w:rFonts w:asciiTheme="majorHAnsi" w:eastAsia="Times New Roman" w:hAnsiTheme="majorHAnsi" w:cstheme="majorHAnsi"/>
                <w:color w:val="000000"/>
                <w:sz w:val="20"/>
                <w:szCs w:val="20"/>
                <w:lang w:eastAsia="en-GB"/>
              </w:rPr>
              <w:t>зато што</w:t>
            </w:r>
            <w:r w:rsidRPr="00FF386D">
              <w:rPr>
                <w:rFonts w:asciiTheme="majorHAnsi" w:eastAsia="Times New Roman" w:hAnsiTheme="majorHAnsi" w:cstheme="majorHAnsi"/>
                <w:color w:val="000000"/>
                <w:sz w:val="20"/>
                <w:szCs w:val="20"/>
                <w:lang w:eastAsia="en-GB"/>
              </w:rPr>
              <w:t xml:space="preserve"> отпадне воде могу бити извор метана (CH</w:t>
            </w:r>
            <w:r w:rsidRPr="00FF386D">
              <w:rPr>
                <w:rFonts w:asciiTheme="majorHAnsi" w:eastAsia="Times New Roman" w:hAnsiTheme="majorHAnsi" w:cstheme="majorHAnsi"/>
                <w:color w:val="000000"/>
                <w:sz w:val="20"/>
                <w:szCs w:val="20"/>
                <w:vertAlign w:val="subscript"/>
                <w:lang w:eastAsia="en-GB"/>
              </w:rPr>
              <w:t>4</w:t>
            </w:r>
            <w:r w:rsidRPr="00FF386D">
              <w:rPr>
                <w:rFonts w:asciiTheme="majorHAnsi" w:eastAsia="Times New Roman" w:hAnsiTheme="majorHAnsi" w:cstheme="majorHAnsi"/>
                <w:color w:val="000000"/>
                <w:sz w:val="20"/>
                <w:szCs w:val="20"/>
                <w:lang w:eastAsia="en-GB"/>
              </w:rPr>
              <w:t xml:space="preserve">) када се пречишћавају или одлажу </w:t>
            </w:r>
            <w:r w:rsidR="00F73CA9" w:rsidRPr="00FF386D">
              <w:rPr>
                <w:rFonts w:asciiTheme="majorHAnsi" w:eastAsia="Times New Roman" w:hAnsiTheme="majorHAnsi" w:cstheme="majorHAnsi"/>
                <w:color w:val="000000"/>
                <w:sz w:val="20"/>
                <w:szCs w:val="20"/>
                <w:lang w:eastAsia="en-GB"/>
              </w:rPr>
              <w:t xml:space="preserve">применом </w:t>
            </w:r>
            <w:r w:rsidRPr="00FF386D">
              <w:rPr>
                <w:rFonts w:asciiTheme="majorHAnsi" w:eastAsia="Times New Roman" w:hAnsiTheme="majorHAnsi" w:cstheme="majorHAnsi"/>
                <w:color w:val="000000"/>
                <w:sz w:val="20"/>
                <w:szCs w:val="20"/>
                <w:lang w:eastAsia="en-GB"/>
              </w:rPr>
              <w:t>анаеробн</w:t>
            </w:r>
            <w:r w:rsidR="00F73CA9" w:rsidRPr="00FF386D">
              <w:rPr>
                <w:rFonts w:asciiTheme="majorHAnsi" w:eastAsia="Times New Roman" w:hAnsiTheme="majorHAnsi" w:cstheme="majorHAnsi"/>
                <w:color w:val="000000"/>
                <w:sz w:val="20"/>
                <w:szCs w:val="20"/>
                <w:lang w:eastAsia="en-GB"/>
              </w:rPr>
              <w:t>их метода</w:t>
            </w:r>
            <w:r w:rsidRPr="00FF386D">
              <w:rPr>
                <w:rFonts w:asciiTheme="majorHAnsi" w:eastAsia="Times New Roman" w:hAnsiTheme="majorHAnsi" w:cstheme="majorHAnsi"/>
                <w:color w:val="000000"/>
                <w:sz w:val="20"/>
                <w:szCs w:val="20"/>
                <w:lang w:eastAsia="en-GB"/>
              </w:rPr>
              <w:t xml:space="preserve"> </w:t>
            </w:r>
            <w:r w:rsidR="001656C0" w:rsidRPr="00FF386D">
              <w:rPr>
                <w:rFonts w:asciiTheme="majorHAnsi" w:eastAsia="Times New Roman" w:hAnsiTheme="majorHAnsi" w:cstheme="majorHAnsi"/>
                <w:color w:val="000000"/>
                <w:sz w:val="20"/>
                <w:szCs w:val="20"/>
                <w:lang w:eastAsia="en-GB"/>
              </w:rPr>
              <w:t>а</w:t>
            </w:r>
            <w:r w:rsidRPr="00FF386D">
              <w:rPr>
                <w:rFonts w:asciiTheme="majorHAnsi" w:eastAsia="Times New Roman" w:hAnsiTheme="majorHAnsi" w:cstheme="majorHAnsi"/>
                <w:color w:val="000000"/>
                <w:sz w:val="20"/>
                <w:szCs w:val="20"/>
                <w:lang w:eastAsia="en-GB"/>
              </w:rPr>
              <w:t>, када се CH</w:t>
            </w:r>
            <w:r w:rsidRPr="00FF386D">
              <w:rPr>
                <w:rFonts w:asciiTheme="majorHAnsi" w:eastAsia="Times New Roman" w:hAnsiTheme="majorHAnsi" w:cstheme="majorHAnsi"/>
                <w:color w:val="000000"/>
                <w:sz w:val="20"/>
                <w:szCs w:val="20"/>
                <w:vertAlign w:val="subscript"/>
                <w:lang w:eastAsia="en-GB"/>
              </w:rPr>
              <w:t>4</w:t>
            </w:r>
            <w:r w:rsidRPr="00FF386D">
              <w:rPr>
                <w:rFonts w:asciiTheme="majorHAnsi" w:eastAsia="Times New Roman" w:hAnsiTheme="majorHAnsi" w:cstheme="majorHAnsi"/>
                <w:color w:val="000000"/>
                <w:sz w:val="20"/>
                <w:szCs w:val="20"/>
                <w:lang w:eastAsia="en-GB"/>
              </w:rPr>
              <w:t xml:space="preserve"> </w:t>
            </w:r>
            <w:r w:rsidR="001656C0" w:rsidRPr="00FF386D">
              <w:rPr>
                <w:rFonts w:asciiTheme="majorHAnsi" w:eastAsia="Times New Roman" w:hAnsiTheme="majorHAnsi" w:cstheme="majorHAnsi"/>
                <w:color w:val="000000"/>
                <w:sz w:val="20"/>
                <w:szCs w:val="20"/>
                <w:lang w:eastAsia="en-GB"/>
              </w:rPr>
              <w:t>раств</w:t>
            </w:r>
            <w:r w:rsidR="00974C2A" w:rsidRPr="000A2AFE">
              <w:rPr>
                <w:rFonts w:asciiTheme="majorHAnsi" w:eastAsia="Times New Roman" w:hAnsiTheme="majorHAnsi" w:cstheme="majorHAnsi"/>
                <w:color w:val="000000"/>
                <w:sz w:val="20"/>
                <w:szCs w:val="20"/>
                <w:lang w:eastAsia="en-GB"/>
              </w:rPr>
              <w:t>a</w:t>
            </w:r>
            <w:r w:rsidR="001656C0" w:rsidRPr="00FF386D">
              <w:rPr>
                <w:rFonts w:asciiTheme="majorHAnsi" w:eastAsia="Times New Roman" w:hAnsiTheme="majorHAnsi" w:cstheme="majorHAnsi"/>
                <w:color w:val="000000"/>
                <w:sz w:val="20"/>
                <w:szCs w:val="20"/>
                <w:lang w:eastAsia="en-GB"/>
              </w:rPr>
              <w:t>р</w:t>
            </w:r>
            <w:r w:rsidR="001656C0" w:rsidRPr="000A2AFE">
              <w:rPr>
                <w:rFonts w:asciiTheme="majorHAnsi" w:eastAsia="Times New Roman" w:hAnsiTheme="majorHAnsi" w:cstheme="majorHAnsi"/>
                <w:color w:val="000000"/>
                <w:sz w:val="20"/>
                <w:szCs w:val="20"/>
                <w:lang w:eastAsia="en-GB"/>
              </w:rPr>
              <w:t>a</w:t>
            </w:r>
            <w:r w:rsidR="001656C0" w:rsidRPr="00FF386D">
              <w:rPr>
                <w:rFonts w:asciiTheme="majorHAnsi" w:eastAsia="Times New Roman" w:hAnsiTheme="majorHAnsi" w:cstheme="majorHAnsi"/>
                <w:color w:val="000000"/>
                <w:sz w:val="20"/>
                <w:szCs w:val="20"/>
                <w:lang w:eastAsia="en-GB"/>
              </w:rPr>
              <w:t xml:space="preserve"> </w:t>
            </w:r>
            <w:r w:rsidRPr="00FF386D">
              <w:rPr>
                <w:rFonts w:asciiTheme="majorHAnsi" w:eastAsia="Times New Roman" w:hAnsiTheme="majorHAnsi" w:cstheme="majorHAnsi"/>
                <w:color w:val="000000"/>
                <w:sz w:val="20"/>
                <w:szCs w:val="20"/>
                <w:lang w:eastAsia="en-GB"/>
              </w:rPr>
              <w:t>улаз</w:t>
            </w:r>
            <w:r w:rsidR="001656C0" w:rsidRPr="00FF386D">
              <w:rPr>
                <w:rFonts w:asciiTheme="majorHAnsi" w:eastAsia="Times New Roman" w:hAnsiTheme="majorHAnsi" w:cstheme="majorHAnsi"/>
                <w:color w:val="000000"/>
                <w:sz w:val="20"/>
                <w:szCs w:val="20"/>
                <w:lang w:eastAsia="en-GB"/>
              </w:rPr>
              <w:t xml:space="preserve">и </w:t>
            </w:r>
            <w:r w:rsidRPr="00FF386D">
              <w:rPr>
                <w:rFonts w:asciiTheme="majorHAnsi" w:eastAsia="Times New Roman" w:hAnsiTheme="majorHAnsi" w:cstheme="majorHAnsi"/>
                <w:color w:val="000000"/>
                <w:sz w:val="20"/>
                <w:szCs w:val="20"/>
                <w:lang w:eastAsia="en-GB"/>
              </w:rPr>
              <w:t>у системе за аерацију.</w:t>
            </w:r>
          </w:p>
        </w:tc>
      </w:tr>
      <w:tr w:rsidR="00854ADA" w:rsidRPr="00FF386D" w14:paraId="7F7A6E1E"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3F483E2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51853CCD" w14:textId="333DAE2E" w:rsidR="00854ADA" w:rsidRPr="00FF386D" w:rsidRDefault="00FF0993"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202</w:t>
            </w:r>
            <w:r>
              <w:rPr>
                <w:rFonts w:asciiTheme="majorHAnsi" w:eastAsia="Times New Roman" w:hAnsiTheme="majorHAnsi" w:cstheme="majorHAnsi"/>
                <w:color w:val="000000"/>
                <w:sz w:val="20"/>
                <w:szCs w:val="20"/>
                <w:lang w:eastAsia="en-GB"/>
              </w:rPr>
              <w:t>4</w:t>
            </w:r>
            <w:r w:rsidR="00854ADA" w:rsidRPr="00FF386D">
              <w:rPr>
                <w:rFonts w:asciiTheme="majorHAnsi" w:eastAsia="Times New Roman" w:hAnsiTheme="majorHAnsi" w:cstheme="majorHAnsi"/>
                <w:color w:val="000000"/>
                <w:sz w:val="20"/>
                <w:szCs w:val="20"/>
                <w:lang w:eastAsia="en-GB"/>
              </w:rPr>
              <w:t>-2030</w:t>
            </w:r>
          </w:p>
        </w:tc>
      </w:tr>
      <w:tr w:rsidR="00854ADA" w:rsidRPr="00FF386D" w14:paraId="21188DD2"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16DF797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1642F0B2"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Инвестиције</w:t>
            </w:r>
          </w:p>
        </w:tc>
      </w:tr>
      <w:tr w:rsidR="00854ADA" w:rsidRPr="00FF386D" w14:paraId="43B27605"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46056AC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58DD7A87"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Отпад</w:t>
            </w:r>
          </w:p>
        </w:tc>
      </w:tr>
      <w:tr w:rsidR="00854ADA" w:rsidRPr="00FF386D" w14:paraId="078716FA"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306663A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88" w:type="dxa"/>
            <w:gridSpan w:val="3"/>
            <w:tcBorders>
              <w:top w:val="single" w:sz="8" w:space="0" w:color="auto"/>
              <w:left w:val="nil"/>
              <w:bottom w:val="single" w:sz="8" w:space="0" w:color="auto"/>
              <w:right w:val="single" w:sz="8" w:space="0" w:color="000000"/>
            </w:tcBorders>
            <w:shd w:val="clear" w:color="auto" w:fill="auto"/>
            <w:hideMark/>
          </w:tcPr>
          <w:p w14:paraId="569D8967" w14:textId="77777777" w:rsidR="00854ADA" w:rsidRPr="000A2AFE" w:rsidRDefault="00854ADA" w:rsidP="00854ADA">
            <w:pPr>
              <w:numPr>
                <w:ilvl w:val="0"/>
                <w:numId w:val="215"/>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Министарство заштите животне средине</w:t>
            </w:r>
          </w:p>
          <w:p w14:paraId="5B40F64C" w14:textId="77777777" w:rsidR="00FF0993" w:rsidRPr="00FF0993" w:rsidRDefault="00FF0993" w:rsidP="00FF0993">
            <w:pPr>
              <w:numPr>
                <w:ilvl w:val="0"/>
                <w:numId w:val="215"/>
              </w:numPr>
              <w:spacing w:after="0" w:line="240" w:lineRule="auto"/>
              <w:contextualSpacing/>
              <w:jc w:val="both"/>
              <w:rPr>
                <w:rFonts w:asciiTheme="majorHAnsi" w:eastAsia="Times New Roman" w:hAnsiTheme="majorHAnsi" w:cstheme="majorHAnsi"/>
                <w:color w:val="000000"/>
                <w:sz w:val="20"/>
                <w:szCs w:val="20"/>
                <w:lang w:eastAsia="en-GB"/>
              </w:rPr>
            </w:pPr>
            <w:r w:rsidRPr="00FF0993">
              <w:rPr>
                <w:rFonts w:asciiTheme="majorHAnsi" w:eastAsia="Times New Roman" w:hAnsiTheme="majorHAnsi" w:cstheme="majorHAnsi"/>
                <w:color w:val="000000"/>
                <w:sz w:val="20"/>
                <w:szCs w:val="20"/>
                <w:lang w:eastAsia="en-GB"/>
              </w:rPr>
              <w:t>Министарство грађевинарства, саобраћаја и инфраструктуре</w:t>
            </w:r>
          </w:p>
          <w:p w14:paraId="6309BC3B" w14:textId="6635AF9A" w:rsidR="00FF0993" w:rsidRPr="00FF386D" w:rsidRDefault="00FF0993" w:rsidP="00FF0993">
            <w:pPr>
              <w:numPr>
                <w:ilvl w:val="0"/>
                <w:numId w:val="215"/>
              </w:numPr>
              <w:spacing w:after="0" w:line="240" w:lineRule="auto"/>
              <w:contextualSpacing/>
              <w:jc w:val="both"/>
              <w:rPr>
                <w:rFonts w:asciiTheme="majorHAnsi" w:eastAsia="Times New Roman" w:hAnsiTheme="majorHAnsi" w:cstheme="majorHAnsi"/>
                <w:color w:val="000000"/>
                <w:sz w:val="20"/>
                <w:szCs w:val="20"/>
                <w:lang w:eastAsia="en-GB"/>
              </w:rPr>
            </w:pPr>
            <w:r w:rsidRPr="00FF0993">
              <w:rPr>
                <w:rFonts w:asciiTheme="majorHAnsi" w:eastAsia="Times New Roman" w:hAnsiTheme="majorHAnsi" w:cstheme="majorHAnsi"/>
                <w:color w:val="000000"/>
                <w:sz w:val="20"/>
                <w:szCs w:val="20"/>
                <w:lang w:eastAsia="en-GB"/>
              </w:rPr>
              <w:t>Министарство пољопривреде, шумарства и водопривреде</w:t>
            </w:r>
          </w:p>
        </w:tc>
      </w:tr>
      <w:tr w:rsidR="00854ADA" w:rsidRPr="00FF386D" w14:paraId="65A05384" w14:textId="77777777" w:rsidTr="0057310C">
        <w:trPr>
          <w:trHeight w:val="315"/>
        </w:trPr>
        <w:tc>
          <w:tcPr>
            <w:tcW w:w="3270" w:type="dxa"/>
            <w:tcBorders>
              <w:top w:val="nil"/>
              <w:left w:val="single" w:sz="8" w:space="0" w:color="auto"/>
              <w:bottom w:val="single" w:sz="8" w:space="0" w:color="auto"/>
              <w:right w:val="nil"/>
            </w:tcBorders>
            <w:shd w:val="clear" w:color="000000" w:fill="244062"/>
            <w:vAlign w:val="center"/>
            <w:hideMark/>
          </w:tcPr>
          <w:p w14:paraId="64892BB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88" w:type="dxa"/>
            <w:gridSpan w:val="3"/>
            <w:tcBorders>
              <w:top w:val="single" w:sz="8" w:space="0" w:color="auto"/>
              <w:left w:val="nil"/>
              <w:bottom w:val="single" w:sz="8" w:space="0" w:color="auto"/>
              <w:right w:val="single" w:sz="8" w:space="0" w:color="000000"/>
            </w:tcBorders>
            <w:shd w:val="clear" w:color="auto" w:fill="auto"/>
            <w:hideMark/>
          </w:tcPr>
          <w:p w14:paraId="7F7EE959" w14:textId="77777777" w:rsidR="00854ADA" w:rsidRPr="000A2AFE" w:rsidRDefault="00854ADA" w:rsidP="00854ADA">
            <w:pPr>
              <w:numPr>
                <w:ilvl w:val="0"/>
                <w:numId w:val="215"/>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Министарство заштите животне средине</w:t>
            </w:r>
          </w:p>
          <w:p w14:paraId="6508AFB2" w14:textId="77777777" w:rsidR="00FF0993" w:rsidRPr="00FF0993" w:rsidRDefault="00FF0993" w:rsidP="00FF0993">
            <w:pPr>
              <w:numPr>
                <w:ilvl w:val="0"/>
                <w:numId w:val="215"/>
              </w:numPr>
              <w:spacing w:after="0" w:line="240" w:lineRule="auto"/>
              <w:contextualSpacing/>
              <w:rPr>
                <w:rFonts w:asciiTheme="majorHAnsi" w:eastAsia="Times New Roman" w:hAnsiTheme="majorHAnsi" w:cstheme="majorHAnsi"/>
                <w:color w:val="000000"/>
                <w:sz w:val="20"/>
                <w:szCs w:val="20"/>
                <w:lang w:eastAsia="en-GB"/>
              </w:rPr>
            </w:pPr>
            <w:r w:rsidRPr="00FF0993">
              <w:rPr>
                <w:rFonts w:asciiTheme="majorHAnsi" w:eastAsia="Times New Roman" w:hAnsiTheme="majorHAnsi" w:cstheme="majorHAnsi"/>
                <w:color w:val="000000"/>
                <w:sz w:val="20"/>
                <w:szCs w:val="20"/>
                <w:lang w:eastAsia="en-GB"/>
              </w:rPr>
              <w:t>Министарство грађевинарства, саобраћаја и инфраструктуре</w:t>
            </w:r>
          </w:p>
          <w:p w14:paraId="7D5FF754" w14:textId="194939A6" w:rsidR="00FF0993" w:rsidRPr="00FF386D" w:rsidRDefault="00FF0993" w:rsidP="00FF0993">
            <w:pPr>
              <w:numPr>
                <w:ilvl w:val="0"/>
                <w:numId w:val="215"/>
              </w:numPr>
              <w:spacing w:after="0" w:line="240" w:lineRule="auto"/>
              <w:contextualSpacing/>
              <w:rPr>
                <w:rFonts w:asciiTheme="majorHAnsi" w:eastAsia="Times New Roman" w:hAnsiTheme="majorHAnsi" w:cstheme="majorHAnsi"/>
                <w:color w:val="000000"/>
                <w:sz w:val="20"/>
                <w:szCs w:val="20"/>
                <w:lang w:eastAsia="en-GB"/>
              </w:rPr>
            </w:pPr>
            <w:r w:rsidRPr="00FF0993">
              <w:rPr>
                <w:rFonts w:asciiTheme="majorHAnsi" w:eastAsia="Times New Roman" w:hAnsiTheme="majorHAnsi" w:cstheme="majorHAnsi"/>
                <w:color w:val="000000"/>
                <w:sz w:val="20"/>
                <w:szCs w:val="20"/>
                <w:lang w:eastAsia="en-GB"/>
              </w:rPr>
              <w:t>Министарство пољопривреде, шумарства и водопривреде</w:t>
            </w:r>
          </w:p>
        </w:tc>
      </w:tr>
      <w:tr w:rsidR="00854ADA" w:rsidRPr="00FF386D" w14:paraId="4A3C82F3" w14:textId="77777777" w:rsidTr="0057310C">
        <w:trPr>
          <w:trHeight w:val="315"/>
        </w:trPr>
        <w:tc>
          <w:tcPr>
            <w:tcW w:w="3270" w:type="dxa"/>
            <w:tcBorders>
              <w:top w:val="nil"/>
              <w:left w:val="single" w:sz="8" w:space="0" w:color="auto"/>
              <w:bottom w:val="single" w:sz="8" w:space="0" w:color="auto"/>
              <w:right w:val="nil"/>
            </w:tcBorders>
            <w:shd w:val="clear" w:color="000000" w:fill="244062"/>
            <w:vAlign w:val="center"/>
            <w:hideMark/>
          </w:tcPr>
          <w:p w14:paraId="52B0CE7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63EE5B96" w14:textId="604FF140" w:rsidR="00854ADA" w:rsidRPr="000A2AFE" w:rsidRDefault="00854ADA" w:rsidP="000A2AFE">
            <w:pPr>
              <w:pStyle w:val="ListParagraph"/>
              <w:numPr>
                <w:ilvl w:val="0"/>
                <w:numId w:val="352"/>
              </w:numPr>
              <w:spacing w:after="0" w:line="240" w:lineRule="auto"/>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 xml:space="preserve">Годишње </w:t>
            </w:r>
            <w:r w:rsidR="0006359C" w:rsidRPr="000A2AFE">
              <w:rPr>
                <w:rFonts w:asciiTheme="majorHAnsi" w:eastAsia="Times New Roman" w:hAnsiTheme="majorHAnsi" w:cstheme="majorHAnsi"/>
                <w:color w:val="000000"/>
                <w:sz w:val="20"/>
                <w:szCs w:val="20"/>
                <w:lang w:eastAsia="en-GB"/>
              </w:rPr>
              <w:t>повећање постројења за пречишћавање отпадних вода</w:t>
            </w:r>
          </w:p>
        </w:tc>
      </w:tr>
      <w:tr w:rsidR="00854ADA" w:rsidRPr="00FF386D" w14:paraId="41D0C9D4" w14:textId="77777777" w:rsidTr="0057310C">
        <w:trPr>
          <w:trHeight w:val="60"/>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0E788EF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88" w:type="dxa"/>
            <w:gridSpan w:val="3"/>
            <w:tcBorders>
              <w:top w:val="single" w:sz="8" w:space="0" w:color="auto"/>
              <w:left w:val="nil"/>
              <w:bottom w:val="single" w:sz="8" w:space="0" w:color="auto"/>
              <w:right w:val="single" w:sz="8" w:space="0" w:color="000000"/>
            </w:tcBorders>
            <w:shd w:val="clear" w:color="auto" w:fill="auto"/>
            <w:vAlign w:val="center"/>
          </w:tcPr>
          <w:p w14:paraId="4211D979"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p>
        </w:tc>
      </w:tr>
      <w:tr w:rsidR="00854ADA" w:rsidRPr="00FF386D" w14:paraId="16E2B2EF" w14:textId="77777777" w:rsidTr="0057310C">
        <w:trPr>
          <w:trHeight w:val="450"/>
        </w:trPr>
        <w:tc>
          <w:tcPr>
            <w:tcW w:w="3270"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01DB9FD0" w14:textId="112D489F" w:rsidR="00854ADA" w:rsidRPr="00FF386D" w:rsidRDefault="004D35DC"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p w14:paraId="618EA13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88"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751B4D1E" w14:textId="75E71C95" w:rsidR="00854ADA" w:rsidRDefault="00854ADA" w:rsidP="00854ADA">
            <w:pPr>
              <w:numPr>
                <w:ilvl w:val="0"/>
                <w:numId w:val="111"/>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Уредба 2018/</w:t>
            </w:r>
            <w:r w:rsidR="00FF0993">
              <w:rPr>
                <w:rFonts w:asciiTheme="majorHAnsi" w:eastAsia="Times New Roman" w:hAnsiTheme="majorHAnsi" w:cstheme="majorHAnsi"/>
                <w:color w:val="000000"/>
                <w:sz w:val="20"/>
                <w:szCs w:val="20"/>
                <w:lang w:eastAsia="en-GB"/>
              </w:rPr>
              <w:t>1999</w:t>
            </w:r>
          </w:p>
          <w:p w14:paraId="37CB8CBB" w14:textId="42D23A8F" w:rsidR="00FF0993" w:rsidRPr="00FF386D" w:rsidRDefault="00FF0993" w:rsidP="00854ADA">
            <w:pPr>
              <w:numPr>
                <w:ilvl w:val="0"/>
                <w:numId w:val="111"/>
              </w:numPr>
              <w:spacing w:after="0" w:line="240" w:lineRule="auto"/>
              <w:contextualSpacing/>
              <w:rPr>
                <w:rFonts w:asciiTheme="majorHAnsi" w:eastAsia="Times New Roman" w:hAnsiTheme="majorHAnsi" w:cstheme="majorHAnsi"/>
                <w:color w:val="000000"/>
                <w:sz w:val="20"/>
                <w:szCs w:val="20"/>
                <w:lang w:eastAsia="en-GB"/>
              </w:rPr>
            </w:pPr>
            <w:r w:rsidRPr="00FF0993">
              <w:rPr>
                <w:rFonts w:asciiTheme="majorHAnsi" w:eastAsia="Times New Roman" w:hAnsiTheme="majorHAnsi" w:cstheme="majorHAnsi"/>
                <w:color w:val="000000"/>
                <w:sz w:val="20"/>
                <w:szCs w:val="20"/>
                <w:lang w:eastAsia="en-GB"/>
              </w:rPr>
              <w:t>Директива 91/271/EEC</w:t>
            </w:r>
          </w:p>
        </w:tc>
      </w:tr>
      <w:tr w:rsidR="00854ADA" w:rsidRPr="00FF386D" w14:paraId="72529E8A" w14:textId="77777777" w:rsidTr="0057310C">
        <w:trPr>
          <w:trHeight w:val="450"/>
        </w:trPr>
        <w:tc>
          <w:tcPr>
            <w:tcW w:w="3270" w:type="dxa"/>
            <w:vMerge/>
            <w:tcBorders>
              <w:top w:val="nil"/>
              <w:left w:val="single" w:sz="8" w:space="0" w:color="auto"/>
              <w:bottom w:val="single" w:sz="8" w:space="0" w:color="000000"/>
              <w:right w:val="single" w:sz="8" w:space="0" w:color="auto"/>
            </w:tcBorders>
            <w:vAlign w:val="center"/>
            <w:hideMark/>
          </w:tcPr>
          <w:p w14:paraId="11F73BD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88" w:type="dxa"/>
            <w:gridSpan w:val="3"/>
            <w:vMerge/>
            <w:tcBorders>
              <w:top w:val="single" w:sz="8" w:space="0" w:color="auto"/>
              <w:left w:val="single" w:sz="8" w:space="0" w:color="auto"/>
              <w:bottom w:val="single" w:sz="8" w:space="0" w:color="000000"/>
              <w:right w:val="single" w:sz="8" w:space="0" w:color="000000"/>
            </w:tcBorders>
            <w:vAlign w:val="center"/>
            <w:hideMark/>
          </w:tcPr>
          <w:p w14:paraId="54C05A3C" w14:textId="77777777" w:rsidR="00854ADA" w:rsidRPr="00FF386D" w:rsidRDefault="00854ADA" w:rsidP="00854ADA">
            <w:pPr>
              <w:numPr>
                <w:ilvl w:val="0"/>
                <w:numId w:val="111"/>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3AD88C3A" w14:textId="77777777" w:rsidTr="0057310C">
        <w:trPr>
          <w:trHeight w:val="450"/>
        </w:trPr>
        <w:tc>
          <w:tcPr>
            <w:tcW w:w="3270" w:type="dxa"/>
            <w:vMerge/>
            <w:tcBorders>
              <w:top w:val="nil"/>
              <w:left w:val="single" w:sz="8" w:space="0" w:color="auto"/>
              <w:bottom w:val="single" w:sz="8" w:space="0" w:color="000000"/>
              <w:right w:val="single" w:sz="8" w:space="0" w:color="auto"/>
            </w:tcBorders>
            <w:vAlign w:val="center"/>
            <w:hideMark/>
          </w:tcPr>
          <w:p w14:paraId="6698FFC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88" w:type="dxa"/>
            <w:gridSpan w:val="3"/>
            <w:vMerge/>
            <w:tcBorders>
              <w:top w:val="single" w:sz="8" w:space="0" w:color="auto"/>
              <w:left w:val="single" w:sz="8" w:space="0" w:color="auto"/>
              <w:bottom w:val="single" w:sz="8" w:space="0" w:color="000000"/>
              <w:right w:val="single" w:sz="8" w:space="0" w:color="000000"/>
            </w:tcBorders>
            <w:vAlign w:val="center"/>
            <w:hideMark/>
          </w:tcPr>
          <w:p w14:paraId="169A5C6D" w14:textId="77777777" w:rsidR="00854ADA" w:rsidRPr="00FF386D" w:rsidRDefault="00854ADA" w:rsidP="00854ADA">
            <w:pPr>
              <w:numPr>
                <w:ilvl w:val="0"/>
                <w:numId w:val="111"/>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75A42BA0" w14:textId="77777777" w:rsidTr="0057310C">
        <w:trPr>
          <w:trHeight w:val="413"/>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2088639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Релевантни национални плански документ (правни, регулаторни акти, итд)</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2812CCBD" w14:textId="4081D18C" w:rsidR="00854ADA" w:rsidRDefault="00FF0993" w:rsidP="00854ADA">
            <w:pPr>
              <w:numPr>
                <w:ilvl w:val="0"/>
                <w:numId w:val="111"/>
              </w:numPr>
              <w:spacing w:after="0" w:line="240" w:lineRule="auto"/>
              <w:contextualSpacing/>
              <w:rPr>
                <w:rFonts w:asciiTheme="majorHAnsi" w:eastAsia="Times New Roman" w:hAnsiTheme="majorHAnsi" w:cstheme="majorHAnsi"/>
                <w:color w:val="000000"/>
                <w:sz w:val="20"/>
                <w:szCs w:val="20"/>
                <w:lang w:eastAsia="en-GB"/>
              </w:rPr>
            </w:pPr>
            <w:r w:rsidRPr="00FF0993">
              <w:rPr>
                <w:rFonts w:asciiTheme="majorHAnsi" w:eastAsia="Times New Roman" w:hAnsiTheme="majorHAnsi" w:cstheme="majorHAnsi"/>
                <w:color w:val="000000"/>
                <w:sz w:val="20"/>
                <w:szCs w:val="20"/>
                <w:lang w:eastAsia="en-GB"/>
              </w:rPr>
              <w:t xml:space="preserve">Стратегија управљања </w:t>
            </w:r>
            <w:r w:rsidR="00F9667A">
              <w:rPr>
                <w:rFonts w:asciiTheme="majorHAnsi" w:eastAsia="Times New Roman" w:hAnsiTheme="majorHAnsi" w:cstheme="majorHAnsi"/>
                <w:color w:val="000000"/>
                <w:sz w:val="20"/>
                <w:szCs w:val="20"/>
                <w:lang w:eastAsia="en-GB"/>
              </w:rPr>
              <w:t>водама на територији</w:t>
            </w:r>
            <w:r w:rsidRPr="00FF0993">
              <w:rPr>
                <w:rFonts w:asciiTheme="majorHAnsi" w:eastAsia="Times New Roman" w:hAnsiTheme="majorHAnsi" w:cstheme="majorHAnsi"/>
                <w:color w:val="000000"/>
                <w:sz w:val="20"/>
                <w:szCs w:val="20"/>
                <w:lang w:eastAsia="en-GB"/>
              </w:rPr>
              <w:t xml:space="preserve"> Републи</w:t>
            </w:r>
            <w:r w:rsidR="00F9667A">
              <w:rPr>
                <w:rFonts w:asciiTheme="majorHAnsi" w:eastAsia="Times New Roman" w:hAnsiTheme="majorHAnsi" w:cstheme="majorHAnsi"/>
                <w:color w:val="000000"/>
                <w:sz w:val="20"/>
                <w:szCs w:val="20"/>
                <w:lang w:eastAsia="en-GB"/>
              </w:rPr>
              <w:t>ке</w:t>
            </w:r>
            <w:r w:rsidRPr="00FF0993">
              <w:rPr>
                <w:rFonts w:asciiTheme="majorHAnsi" w:eastAsia="Times New Roman" w:hAnsiTheme="majorHAnsi" w:cstheme="majorHAnsi"/>
                <w:color w:val="000000"/>
                <w:sz w:val="20"/>
                <w:szCs w:val="20"/>
                <w:lang w:eastAsia="en-GB"/>
              </w:rPr>
              <w:t xml:space="preserve"> Србиј</w:t>
            </w:r>
            <w:r w:rsidR="00F9667A">
              <w:rPr>
                <w:rFonts w:asciiTheme="majorHAnsi" w:eastAsia="Times New Roman" w:hAnsiTheme="majorHAnsi" w:cstheme="majorHAnsi"/>
                <w:color w:val="000000"/>
                <w:sz w:val="20"/>
                <w:szCs w:val="20"/>
                <w:lang w:eastAsia="en-GB"/>
              </w:rPr>
              <w:t>е</w:t>
            </w:r>
            <w:r w:rsidRPr="00FF0993">
              <w:rPr>
                <w:rFonts w:asciiTheme="majorHAnsi" w:eastAsia="Times New Roman" w:hAnsiTheme="majorHAnsi" w:cstheme="majorHAnsi"/>
                <w:color w:val="000000"/>
                <w:sz w:val="20"/>
                <w:szCs w:val="20"/>
                <w:lang w:eastAsia="en-GB"/>
              </w:rPr>
              <w:t xml:space="preserve"> до 2034. године</w:t>
            </w:r>
            <w:r>
              <w:rPr>
                <w:rStyle w:val="FootnoteReference"/>
                <w:rFonts w:asciiTheme="majorHAnsi" w:eastAsia="Times New Roman" w:hAnsiTheme="majorHAnsi" w:cstheme="majorHAnsi"/>
                <w:color w:val="000000"/>
                <w:sz w:val="20"/>
                <w:szCs w:val="20"/>
                <w:lang w:eastAsia="en-GB"/>
              </w:rPr>
              <w:footnoteReference w:id="98"/>
            </w:r>
          </w:p>
          <w:p w14:paraId="15B0FFC2" w14:textId="330F3969" w:rsidR="00FF0993" w:rsidRDefault="00F9667A" w:rsidP="00854ADA">
            <w:pPr>
              <w:numPr>
                <w:ilvl w:val="0"/>
                <w:numId w:val="111"/>
              </w:numPr>
              <w:spacing w:after="0" w:line="240" w:lineRule="auto"/>
              <w:contextualSpacing/>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Уредба о утврђивању плана</w:t>
            </w:r>
            <w:r w:rsidR="00FF0993" w:rsidRPr="00FF0993">
              <w:rPr>
                <w:rFonts w:asciiTheme="majorHAnsi" w:eastAsia="Times New Roman" w:hAnsiTheme="majorHAnsi" w:cstheme="majorHAnsi"/>
                <w:color w:val="000000"/>
                <w:sz w:val="20"/>
                <w:szCs w:val="20"/>
                <w:lang w:eastAsia="en-GB"/>
              </w:rPr>
              <w:t xml:space="preserve"> управљања </w:t>
            </w:r>
            <w:r w:rsidRPr="00F9667A">
              <w:rPr>
                <w:rFonts w:asciiTheme="majorHAnsi" w:eastAsia="Times New Roman" w:hAnsiTheme="majorHAnsi" w:cstheme="majorHAnsi"/>
                <w:color w:val="000000"/>
                <w:sz w:val="20"/>
                <w:szCs w:val="20"/>
                <w:lang w:eastAsia="en-GB"/>
              </w:rPr>
              <w:t>водама на територији Републике Србије</w:t>
            </w:r>
            <w:r w:rsidR="00FF0993" w:rsidRPr="00FF0993">
              <w:rPr>
                <w:rFonts w:asciiTheme="majorHAnsi" w:eastAsia="Times New Roman" w:hAnsiTheme="majorHAnsi" w:cstheme="majorHAnsi"/>
                <w:color w:val="000000"/>
                <w:sz w:val="20"/>
                <w:szCs w:val="20"/>
                <w:lang w:eastAsia="en-GB"/>
              </w:rPr>
              <w:t xml:space="preserve"> до 2027. године</w:t>
            </w:r>
            <w:r w:rsidR="00FF0993">
              <w:rPr>
                <w:rStyle w:val="FootnoteReference"/>
                <w:rFonts w:asciiTheme="majorHAnsi" w:eastAsia="Times New Roman" w:hAnsiTheme="majorHAnsi" w:cstheme="majorHAnsi"/>
                <w:color w:val="000000"/>
                <w:sz w:val="20"/>
                <w:szCs w:val="20"/>
                <w:lang w:eastAsia="en-GB"/>
              </w:rPr>
              <w:footnoteReference w:id="99"/>
            </w:r>
          </w:p>
          <w:p w14:paraId="2B625002" w14:textId="02AF5A9F" w:rsidR="00FF0993" w:rsidRPr="00FF386D" w:rsidRDefault="00FF0993" w:rsidP="00854ADA">
            <w:pPr>
              <w:numPr>
                <w:ilvl w:val="0"/>
                <w:numId w:val="111"/>
              </w:numPr>
              <w:spacing w:after="0" w:line="240" w:lineRule="auto"/>
              <w:contextualSpacing/>
              <w:rPr>
                <w:rFonts w:asciiTheme="majorHAnsi" w:eastAsia="Times New Roman" w:hAnsiTheme="majorHAnsi" w:cstheme="majorHAnsi"/>
                <w:color w:val="000000"/>
                <w:sz w:val="20"/>
                <w:szCs w:val="20"/>
                <w:lang w:eastAsia="en-GB"/>
              </w:rPr>
            </w:pPr>
            <w:r w:rsidRPr="00FF0993">
              <w:rPr>
                <w:rFonts w:asciiTheme="majorHAnsi" w:eastAsia="Times New Roman" w:hAnsiTheme="majorHAnsi" w:cstheme="majorHAnsi"/>
                <w:color w:val="000000"/>
                <w:sz w:val="20"/>
                <w:szCs w:val="20"/>
                <w:lang w:eastAsia="en-GB"/>
              </w:rPr>
              <w:t>Закон о водама</w:t>
            </w:r>
            <w:r>
              <w:rPr>
                <w:rStyle w:val="FootnoteReference"/>
                <w:rFonts w:asciiTheme="majorHAnsi" w:eastAsia="Times New Roman" w:hAnsiTheme="majorHAnsi" w:cstheme="majorHAnsi"/>
                <w:color w:val="000000"/>
                <w:sz w:val="20"/>
                <w:szCs w:val="20"/>
                <w:lang w:eastAsia="en-GB"/>
              </w:rPr>
              <w:footnoteReference w:id="100"/>
            </w:r>
          </w:p>
        </w:tc>
      </w:tr>
      <w:tr w:rsidR="00854ADA" w:rsidRPr="00FF386D" w14:paraId="5100D6D4"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362A7D3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88" w:type="dxa"/>
            <w:gridSpan w:val="3"/>
            <w:tcBorders>
              <w:top w:val="single" w:sz="8" w:space="0" w:color="auto"/>
              <w:left w:val="nil"/>
              <w:bottom w:val="single" w:sz="8" w:space="0" w:color="auto"/>
              <w:right w:val="single" w:sz="8" w:space="0" w:color="000000"/>
            </w:tcBorders>
            <w:shd w:val="clear" w:color="auto" w:fill="auto"/>
            <w:vAlign w:val="center"/>
          </w:tcPr>
          <w:p w14:paraId="17130DB0"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90 милиона евра</w:t>
            </w:r>
          </w:p>
        </w:tc>
      </w:tr>
      <w:tr w:rsidR="00854ADA" w:rsidRPr="00FF386D" w14:paraId="48B195DB"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283E5E3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88" w:type="dxa"/>
            <w:gridSpan w:val="3"/>
            <w:tcBorders>
              <w:top w:val="single" w:sz="8" w:space="0" w:color="auto"/>
              <w:left w:val="nil"/>
              <w:bottom w:val="single" w:sz="8" w:space="0" w:color="auto"/>
              <w:right w:val="single" w:sz="8" w:space="0" w:color="000000"/>
            </w:tcBorders>
            <w:shd w:val="clear" w:color="auto" w:fill="auto"/>
            <w:vAlign w:val="center"/>
          </w:tcPr>
          <w:p w14:paraId="7BB0CCE6" w14:textId="7E2B1A40"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Фондови ЕУ и други фондови, буџет</w:t>
            </w:r>
            <w:r w:rsidR="00785163" w:rsidRPr="00FF386D">
              <w:rPr>
                <w:rFonts w:asciiTheme="majorHAnsi" w:hAnsiTheme="majorHAnsi" w:cstheme="majorHAnsi"/>
                <w:sz w:val="20"/>
                <w:szCs w:val="20"/>
              </w:rPr>
              <w:t>ска средства</w:t>
            </w:r>
          </w:p>
        </w:tc>
      </w:tr>
    </w:tbl>
    <w:p w14:paraId="5FCEC79A"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268"/>
        <w:gridCol w:w="1114"/>
        <w:gridCol w:w="934"/>
        <w:gridCol w:w="4142"/>
      </w:tblGrid>
      <w:tr w:rsidR="00854ADA" w:rsidRPr="00FF386D" w14:paraId="27AD5D6D" w14:textId="77777777" w:rsidTr="0057310C">
        <w:trPr>
          <w:trHeight w:val="780"/>
        </w:trPr>
        <w:tc>
          <w:tcPr>
            <w:tcW w:w="3268"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1ACC3F02"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sz w:val="20"/>
                <w:szCs w:val="20"/>
              </w:rPr>
              <w:t>Шифра мере политике:</w:t>
            </w:r>
          </w:p>
        </w:tc>
        <w:tc>
          <w:tcPr>
            <w:tcW w:w="11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2899DDF6"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Theme="majorHAnsi" w:hAnsiTheme="majorHAnsi" w:cstheme="majorHAnsi"/>
                <w:b/>
                <w:bCs/>
                <w:sz w:val="20"/>
                <w:szCs w:val="20"/>
              </w:rPr>
              <w:t>МП_Д15</w:t>
            </w:r>
          </w:p>
        </w:tc>
        <w:tc>
          <w:tcPr>
            <w:tcW w:w="934" w:type="dxa"/>
            <w:tcBorders>
              <w:top w:val="single" w:sz="8" w:space="0" w:color="auto"/>
              <w:left w:val="nil"/>
              <w:bottom w:val="single" w:sz="8" w:space="0" w:color="auto"/>
              <w:right w:val="single" w:sz="8" w:space="0" w:color="auto"/>
            </w:tcBorders>
            <w:shd w:val="clear" w:color="000000" w:fill="244062"/>
            <w:vAlign w:val="center"/>
            <w:hideMark/>
          </w:tcPr>
          <w:p w14:paraId="31E4DC9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Назив: </w:t>
            </w:r>
          </w:p>
        </w:tc>
        <w:tc>
          <w:tcPr>
            <w:tcW w:w="4142" w:type="dxa"/>
            <w:tcBorders>
              <w:top w:val="single" w:sz="8" w:space="0" w:color="auto"/>
              <w:left w:val="nil"/>
              <w:bottom w:val="single" w:sz="8" w:space="0" w:color="auto"/>
              <w:right w:val="single" w:sz="8" w:space="0" w:color="auto"/>
            </w:tcBorders>
            <w:shd w:val="clear" w:color="auto" w:fill="E7E6E6" w:themeFill="background2"/>
            <w:vAlign w:val="center"/>
            <w:hideMark/>
          </w:tcPr>
          <w:p w14:paraId="33F0605B" w14:textId="6E7682BB" w:rsidR="00854ADA" w:rsidRPr="00FF386D" w:rsidRDefault="001656C0"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Theme="majorHAnsi" w:hAnsiTheme="majorHAnsi" w:cstheme="majorHAnsi"/>
                <w:b/>
                <w:bCs/>
                <w:sz w:val="20"/>
                <w:szCs w:val="20"/>
              </w:rPr>
              <w:t>Унапређење</w:t>
            </w:r>
            <w:r w:rsidR="00854ADA" w:rsidRPr="00FF386D">
              <w:rPr>
                <w:rFonts w:asciiTheme="majorHAnsi" w:hAnsiTheme="majorHAnsi" w:cstheme="majorHAnsi"/>
                <w:b/>
                <w:bCs/>
                <w:sz w:val="20"/>
                <w:szCs w:val="20"/>
              </w:rPr>
              <w:t xml:space="preserve"> </w:t>
            </w:r>
            <w:r w:rsidR="000170FF" w:rsidRPr="000170FF">
              <w:rPr>
                <w:rFonts w:asciiTheme="majorHAnsi" w:hAnsiTheme="majorHAnsi" w:cstheme="majorHAnsi"/>
                <w:b/>
                <w:bCs/>
                <w:sz w:val="20"/>
                <w:szCs w:val="20"/>
              </w:rPr>
              <w:t>система</w:t>
            </w:r>
            <w:r w:rsidR="00854ADA" w:rsidRPr="00FF386D">
              <w:rPr>
                <w:rFonts w:asciiTheme="majorHAnsi" w:hAnsiTheme="majorHAnsi" w:cstheme="majorHAnsi"/>
                <w:b/>
                <w:bCs/>
                <w:sz w:val="20"/>
                <w:szCs w:val="20"/>
              </w:rPr>
              <w:t xml:space="preserve"> управљања </w:t>
            </w:r>
            <w:r w:rsidR="000170FF" w:rsidRPr="000170FF">
              <w:rPr>
                <w:rFonts w:asciiTheme="majorHAnsi" w:hAnsiTheme="majorHAnsi" w:cstheme="majorHAnsi"/>
                <w:b/>
                <w:bCs/>
                <w:sz w:val="20"/>
                <w:szCs w:val="20"/>
              </w:rPr>
              <w:t xml:space="preserve">комуналним </w:t>
            </w:r>
            <w:r w:rsidR="00854ADA" w:rsidRPr="00FF386D">
              <w:rPr>
                <w:rFonts w:asciiTheme="majorHAnsi" w:hAnsiTheme="majorHAnsi" w:cstheme="majorHAnsi"/>
                <w:b/>
                <w:bCs/>
                <w:sz w:val="20"/>
                <w:szCs w:val="20"/>
              </w:rPr>
              <w:t xml:space="preserve">отпадом, </w:t>
            </w:r>
            <w:r w:rsidR="000170FF" w:rsidRPr="000170FF">
              <w:rPr>
                <w:rFonts w:asciiTheme="majorHAnsi" w:hAnsiTheme="majorHAnsi" w:cstheme="majorHAnsi"/>
                <w:b/>
                <w:bCs/>
                <w:sz w:val="20"/>
                <w:szCs w:val="20"/>
              </w:rPr>
              <w:t>кроз повећану стопу рециклаже, смањено одлагања биоразградивог отпада на депоније и несанитарне депоније</w:t>
            </w:r>
          </w:p>
        </w:tc>
      </w:tr>
      <w:tr w:rsidR="00854ADA" w:rsidRPr="00FF386D" w14:paraId="7DCBED82" w14:textId="77777777" w:rsidTr="0057310C">
        <w:trPr>
          <w:trHeight w:val="267"/>
        </w:trPr>
        <w:tc>
          <w:tcPr>
            <w:tcW w:w="3268" w:type="dxa"/>
            <w:tcBorders>
              <w:top w:val="nil"/>
              <w:left w:val="single" w:sz="8" w:space="0" w:color="auto"/>
              <w:bottom w:val="single" w:sz="8" w:space="0" w:color="auto"/>
              <w:right w:val="nil"/>
            </w:tcBorders>
            <w:shd w:val="clear" w:color="000000" w:fill="244062"/>
            <w:vAlign w:val="center"/>
            <w:hideMark/>
          </w:tcPr>
          <w:p w14:paraId="40E5D45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90" w:type="dxa"/>
            <w:gridSpan w:val="3"/>
            <w:tcBorders>
              <w:top w:val="single" w:sz="8" w:space="0" w:color="auto"/>
              <w:left w:val="nil"/>
              <w:bottom w:val="single" w:sz="8" w:space="0" w:color="auto"/>
              <w:right w:val="single" w:sz="8" w:space="0" w:color="000000"/>
            </w:tcBorders>
            <w:shd w:val="clear" w:color="auto" w:fill="auto"/>
            <w:vAlign w:val="center"/>
            <w:hideMark/>
          </w:tcPr>
          <w:p w14:paraId="4C0F30B2"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Смањење емисија </w:t>
            </w:r>
            <w:r w:rsidRPr="00FF386D">
              <w:rPr>
                <w:rFonts w:asciiTheme="majorHAnsi" w:eastAsia="Times New Roman" w:hAnsiTheme="majorHAnsi" w:cstheme="majorHAnsi"/>
                <w:i/>
                <w:iCs/>
                <w:color w:val="000000"/>
                <w:sz w:val="20"/>
                <w:szCs w:val="20"/>
                <w:lang w:eastAsia="en-GB"/>
              </w:rPr>
              <w:t>GHG</w:t>
            </w:r>
          </w:p>
        </w:tc>
      </w:tr>
      <w:tr w:rsidR="00854ADA" w:rsidRPr="00FF386D" w14:paraId="5050FB87" w14:textId="77777777" w:rsidTr="0057310C">
        <w:trPr>
          <w:trHeight w:val="315"/>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1363940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90" w:type="dxa"/>
            <w:gridSpan w:val="3"/>
            <w:tcBorders>
              <w:top w:val="single" w:sz="8" w:space="0" w:color="auto"/>
              <w:left w:val="nil"/>
              <w:bottom w:val="single" w:sz="8" w:space="0" w:color="auto"/>
              <w:right w:val="single" w:sz="8" w:space="0" w:color="000000"/>
            </w:tcBorders>
            <w:shd w:val="clear" w:color="auto" w:fill="auto"/>
            <w:vAlign w:val="center"/>
            <w:hideMark/>
          </w:tcPr>
          <w:p w14:paraId="6E33B26D" w14:textId="53822709"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 xml:space="preserve">Смањење емисија </w:t>
            </w:r>
            <w:r w:rsidRPr="00FF386D">
              <w:rPr>
                <w:rFonts w:asciiTheme="majorHAnsi" w:hAnsiTheme="majorHAnsi" w:cstheme="majorHAnsi"/>
                <w:i/>
                <w:iCs/>
                <w:sz w:val="20"/>
                <w:szCs w:val="20"/>
              </w:rPr>
              <w:t>GHG</w:t>
            </w:r>
            <w:r w:rsidRPr="00FF386D">
              <w:rPr>
                <w:rFonts w:asciiTheme="majorHAnsi" w:hAnsiTheme="majorHAnsi" w:cstheme="majorHAnsi"/>
                <w:sz w:val="20"/>
                <w:szCs w:val="20"/>
              </w:rPr>
              <w:t xml:space="preserve"> у сектору отпада за 13% до 2030. </w:t>
            </w:r>
            <w:r w:rsidR="001656C0" w:rsidRPr="00FF386D">
              <w:rPr>
                <w:rFonts w:asciiTheme="majorHAnsi" w:hAnsiTheme="majorHAnsi" w:cstheme="majorHAnsi"/>
                <w:sz w:val="20"/>
                <w:szCs w:val="20"/>
              </w:rPr>
              <w:t>године</w:t>
            </w:r>
            <w:r w:rsidR="00974C2A" w:rsidRPr="00FF386D">
              <w:rPr>
                <w:rFonts w:asciiTheme="majorHAnsi" w:hAnsiTheme="majorHAnsi" w:cstheme="majorHAnsi"/>
                <w:sz w:val="20"/>
                <w:szCs w:val="20"/>
              </w:rPr>
              <w:t xml:space="preserve"> </w:t>
            </w:r>
            <w:r w:rsidRPr="00FF386D">
              <w:rPr>
                <w:rFonts w:asciiTheme="majorHAnsi" w:hAnsiTheme="majorHAnsi" w:cstheme="majorHAnsi"/>
                <w:sz w:val="20"/>
                <w:szCs w:val="20"/>
              </w:rPr>
              <w:t xml:space="preserve">у односу на 2010. годину, </w:t>
            </w:r>
            <w:r w:rsidR="00B13368" w:rsidRPr="00B13368">
              <w:rPr>
                <w:rFonts w:asciiTheme="majorHAnsi" w:hAnsiTheme="majorHAnsi" w:cstheme="majorHAnsi"/>
                <w:sz w:val="20"/>
                <w:szCs w:val="20"/>
              </w:rPr>
              <w:t>смањење биоразградивог отпада на депонијама за 50% до 2032. године и за 35% до 2039. године</w:t>
            </w:r>
          </w:p>
        </w:tc>
      </w:tr>
      <w:tr w:rsidR="00854ADA" w:rsidRPr="00FF386D" w14:paraId="42205AD4" w14:textId="77777777" w:rsidTr="0057310C">
        <w:trPr>
          <w:trHeight w:val="2295"/>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4DCE54A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90" w:type="dxa"/>
            <w:gridSpan w:val="3"/>
            <w:tcBorders>
              <w:top w:val="single" w:sz="8" w:space="0" w:color="auto"/>
              <w:left w:val="nil"/>
              <w:bottom w:val="single" w:sz="8" w:space="0" w:color="auto"/>
              <w:right w:val="single" w:sz="8" w:space="0" w:color="000000"/>
            </w:tcBorders>
            <w:shd w:val="clear" w:color="auto" w:fill="auto"/>
            <w:vAlign w:val="center"/>
            <w:hideMark/>
          </w:tcPr>
          <w:p w14:paraId="7F92E9CD" w14:textId="4529D33D"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 xml:space="preserve">МП_Д15 ће </w:t>
            </w:r>
            <w:r w:rsidR="00B13368" w:rsidRPr="00B13368">
              <w:rPr>
                <w:rFonts w:asciiTheme="majorHAnsi" w:hAnsiTheme="majorHAnsi" w:cstheme="majorHAnsi"/>
                <w:sz w:val="20"/>
                <w:szCs w:val="20"/>
              </w:rPr>
              <w:t>подстицати</w:t>
            </w:r>
            <w:r w:rsidRPr="00FF386D">
              <w:rPr>
                <w:rFonts w:asciiTheme="majorHAnsi" w:hAnsiTheme="majorHAnsi" w:cstheme="majorHAnsi"/>
                <w:sz w:val="20"/>
                <w:szCs w:val="20"/>
              </w:rPr>
              <w:t xml:space="preserve"> активности које се </w:t>
            </w:r>
            <w:r w:rsidR="00974C2A" w:rsidRPr="00FF386D">
              <w:rPr>
                <w:rFonts w:asciiTheme="majorHAnsi" w:hAnsiTheme="majorHAnsi" w:cstheme="majorHAnsi"/>
                <w:sz w:val="20"/>
                <w:szCs w:val="20"/>
              </w:rPr>
              <w:t xml:space="preserve">односе на </w:t>
            </w:r>
            <w:r w:rsidRPr="00FF386D">
              <w:rPr>
                <w:rFonts w:asciiTheme="majorHAnsi" w:hAnsiTheme="majorHAnsi" w:cstheme="majorHAnsi"/>
                <w:sz w:val="20"/>
                <w:szCs w:val="20"/>
              </w:rPr>
              <w:t>интегрисано управљањ</w:t>
            </w:r>
            <w:r w:rsidR="00974C2A" w:rsidRPr="00FF386D">
              <w:rPr>
                <w:rFonts w:asciiTheme="majorHAnsi" w:hAnsiTheme="majorHAnsi" w:cstheme="majorHAnsi"/>
                <w:sz w:val="20"/>
                <w:szCs w:val="20"/>
              </w:rPr>
              <w:t>е</w:t>
            </w:r>
            <w:r w:rsidRPr="00FF386D">
              <w:rPr>
                <w:rFonts w:asciiTheme="majorHAnsi" w:hAnsiTheme="majorHAnsi" w:cstheme="majorHAnsi"/>
                <w:sz w:val="20"/>
                <w:szCs w:val="20"/>
              </w:rPr>
              <w:t xml:space="preserve"> органским отпадом, његово одвојено прикупљањ</w:t>
            </w:r>
            <w:r w:rsidR="00974C2A" w:rsidRPr="00FF386D">
              <w:rPr>
                <w:rFonts w:asciiTheme="majorHAnsi" w:hAnsiTheme="majorHAnsi" w:cstheme="majorHAnsi"/>
                <w:sz w:val="20"/>
                <w:szCs w:val="20"/>
              </w:rPr>
              <w:t>е</w:t>
            </w:r>
            <w:r w:rsidRPr="00FF386D">
              <w:rPr>
                <w:rFonts w:asciiTheme="majorHAnsi" w:hAnsiTheme="majorHAnsi" w:cstheme="majorHAnsi"/>
                <w:sz w:val="20"/>
                <w:szCs w:val="20"/>
              </w:rPr>
              <w:t xml:space="preserve"> и аеробн</w:t>
            </w:r>
            <w:r w:rsidR="004C236F" w:rsidRPr="00FF386D">
              <w:rPr>
                <w:rFonts w:asciiTheme="majorHAnsi" w:hAnsiTheme="majorHAnsi" w:cstheme="majorHAnsi"/>
                <w:sz w:val="20"/>
                <w:szCs w:val="20"/>
              </w:rPr>
              <w:t>и</w:t>
            </w:r>
            <w:r w:rsidRPr="00FF386D">
              <w:rPr>
                <w:rFonts w:asciiTheme="majorHAnsi" w:hAnsiTheme="majorHAnsi" w:cstheme="majorHAnsi"/>
                <w:sz w:val="20"/>
                <w:szCs w:val="20"/>
              </w:rPr>
              <w:t xml:space="preserve"> или анаеробн</w:t>
            </w:r>
            <w:r w:rsidR="004C236F" w:rsidRPr="00FF386D">
              <w:rPr>
                <w:rFonts w:asciiTheme="majorHAnsi" w:hAnsiTheme="majorHAnsi" w:cstheme="majorHAnsi"/>
                <w:sz w:val="20"/>
                <w:szCs w:val="20"/>
              </w:rPr>
              <w:t>и третман</w:t>
            </w:r>
            <w:r w:rsidRPr="00FF386D">
              <w:rPr>
                <w:rFonts w:asciiTheme="majorHAnsi" w:hAnsiTheme="majorHAnsi" w:cstheme="majorHAnsi"/>
                <w:sz w:val="20"/>
                <w:szCs w:val="20"/>
              </w:rPr>
              <w:t>, кој</w:t>
            </w:r>
            <w:r w:rsidR="004C236F" w:rsidRPr="00FF386D">
              <w:rPr>
                <w:rFonts w:asciiTheme="majorHAnsi" w:hAnsiTheme="majorHAnsi" w:cstheme="majorHAnsi"/>
                <w:sz w:val="20"/>
                <w:szCs w:val="20"/>
              </w:rPr>
              <w:t>и</w:t>
            </w:r>
            <w:r w:rsidRPr="00FF386D">
              <w:rPr>
                <w:rFonts w:asciiTheme="majorHAnsi" w:hAnsiTheme="majorHAnsi" w:cstheme="majorHAnsi"/>
                <w:sz w:val="20"/>
                <w:szCs w:val="20"/>
              </w:rPr>
              <w:t xml:space="preserve">м се може произвести компост, дигестија или други повраћај материјала и/или енергије. Осим тога, планирано је унапређење и модернизација рециклажне инфраструктуре </w:t>
            </w:r>
            <w:r w:rsidR="004C236F" w:rsidRPr="00FF386D">
              <w:rPr>
                <w:rFonts w:asciiTheme="majorHAnsi" w:hAnsiTheme="majorHAnsi" w:cstheme="majorHAnsi"/>
                <w:sz w:val="20"/>
                <w:szCs w:val="20"/>
              </w:rPr>
              <w:t>како</w:t>
            </w:r>
            <w:r w:rsidRPr="00FF386D">
              <w:rPr>
                <w:rFonts w:asciiTheme="majorHAnsi" w:hAnsiTheme="majorHAnsi" w:cstheme="majorHAnsi"/>
                <w:sz w:val="20"/>
                <w:szCs w:val="20"/>
              </w:rPr>
              <w:t xml:space="preserve"> би се у потпуности </w:t>
            </w:r>
            <w:r w:rsidR="00974C2A" w:rsidRPr="00FF386D">
              <w:rPr>
                <w:rFonts w:asciiTheme="majorHAnsi" w:hAnsiTheme="majorHAnsi" w:cstheme="majorHAnsi"/>
                <w:sz w:val="20"/>
                <w:szCs w:val="20"/>
              </w:rPr>
              <w:t>задовољиле</w:t>
            </w:r>
            <w:r w:rsidRPr="00FF386D">
              <w:rPr>
                <w:rFonts w:asciiTheme="majorHAnsi" w:hAnsiTheme="majorHAnsi" w:cstheme="majorHAnsi"/>
                <w:sz w:val="20"/>
                <w:szCs w:val="20"/>
              </w:rPr>
              <w:t xml:space="preserve"> потребе земље. Као део свеобухватног плана управљања отпадом, очекује се изградња </w:t>
            </w:r>
            <w:r w:rsidR="004C236F" w:rsidRPr="00FF386D">
              <w:rPr>
                <w:rFonts w:asciiTheme="majorHAnsi" w:hAnsiTheme="majorHAnsi" w:cstheme="majorHAnsi"/>
                <w:sz w:val="20"/>
                <w:szCs w:val="20"/>
              </w:rPr>
              <w:t>низа</w:t>
            </w:r>
            <w:r w:rsidRPr="00FF386D">
              <w:rPr>
                <w:rFonts w:asciiTheme="majorHAnsi" w:hAnsiTheme="majorHAnsi" w:cstheme="majorHAnsi"/>
                <w:sz w:val="20"/>
                <w:szCs w:val="20"/>
              </w:rPr>
              <w:t xml:space="preserve"> постројења за </w:t>
            </w:r>
            <w:r w:rsidR="004C236F" w:rsidRPr="00FF386D">
              <w:rPr>
                <w:rFonts w:asciiTheme="majorHAnsi" w:hAnsiTheme="majorHAnsi" w:cstheme="majorHAnsi"/>
                <w:sz w:val="20"/>
                <w:szCs w:val="20"/>
              </w:rPr>
              <w:t>третман</w:t>
            </w:r>
            <w:r w:rsidRPr="00FF386D">
              <w:rPr>
                <w:rFonts w:asciiTheme="majorHAnsi" w:hAnsiTheme="majorHAnsi" w:cstheme="majorHAnsi"/>
                <w:sz w:val="20"/>
                <w:szCs w:val="20"/>
              </w:rPr>
              <w:t xml:space="preserve"> отпада како би се смањили остаци из прераде, с циљем да се са </w:t>
            </w:r>
            <w:r w:rsidR="00B13368" w:rsidRPr="00FF386D">
              <w:rPr>
                <w:rFonts w:asciiTheme="majorHAnsi" w:hAnsiTheme="majorHAnsi" w:cstheme="majorHAnsi"/>
                <w:sz w:val="20"/>
                <w:szCs w:val="20"/>
              </w:rPr>
              <w:t>депониј</w:t>
            </w:r>
            <w:r w:rsidR="00B13368">
              <w:rPr>
                <w:rFonts w:asciiTheme="majorHAnsi" w:hAnsiTheme="majorHAnsi" w:cstheme="majorHAnsi"/>
                <w:sz w:val="20"/>
                <w:szCs w:val="20"/>
              </w:rPr>
              <w:t>а</w:t>
            </w:r>
            <w:r w:rsidR="00B13368" w:rsidRPr="00FF386D">
              <w:rPr>
                <w:rFonts w:asciiTheme="majorHAnsi" w:hAnsiTheme="majorHAnsi" w:cstheme="majorHAnsi"/>
                <w:sz w:val="20"/>
                <w:szCs w:val="20"/>
              </w:rPr>
              <w:t xml:space="preserve"> </w:t>
            </w:r>
            <w:r w:rsidRPr="00FF386D">
              <w:rPr>
                <w:rFonts w:asciiTheme="majorHAnsi" w:hAnsiTheme="majorHAnsi" w:cstheme="majorHAnsi"/>
                <w:sz w:val="20"/>
                <w:szCs w:val="20"/>
              </w:rPr>
              <w:t xml:space="preserve">преусмери </w:t>
            </w:r>
            <w:r w:rsidR="00B13368" w:rsidRPr="00B13368">
              <w:rPr>
                <w:rFonts w:asciiTheme="majorHAnsi" w:hAnsiTheme="majorHAnsi" w:cstheme="majorHAnsi"/>
                <w:sz w:val="20"/>
                <w:szCs w:val="20"/>
              </w:rPr>
              <w:t>најмање</w:t>
            </w:r>
            <w:r w:rsidR="00B13368" w:rsidRPr="00B13368" w:rsidDel="00B13368">
              <w:rPr>
                <w:rFonts w:asciiTheme="majorHAnsi" w:hAnsiTheme="majorHAnsi" w:cstheme="majorHAnsi"/>
                <w:sz w:val="20"/>
                <w:szCs w:val="20"/>
              </w:rPr>
              <w:t xml:space="preserve"> </w:t>
            </w:r>
            <w:r w:rsidRPr="00FF386D">
              <w:rPr>
                <w:rFonts w:asciiTheme="majorHAnsi" w:hAnsiTheme="majorHAnsi" w:cstheme="majorHAnsi"/>
                <w:sz w:val="20"/>
                <w:szCs w:val="20"/>
              </w:rPr>
              <w:t>90%</w:t>
            </w:r>
            <w:r w:rsidR="00B13368">
              <w:rPr>
                <w:rFonts w:asciiTheme="majorHAnsi" w:hAnsiTheme="majorHAnsi" w:cstheme="majorHAnsi"/>
                <w:sz w:val="20"/>
                <w:szCs w:val="20"/>
              </w:rPr>
              <w:t xml:space="preserve"> </w:t>
            </w:r>
            <w:r w:rsidR="00B13368" w:rsidRPr="00B13368">
              <w:rPr>
                <w:rFonts w:asciiTheme="majorHAnsi" w:hAnsiTheme="majorHAnsi" w:cstheme="majorHAnsi"/>
                <w:sz w:val="20"/>
                <w:szCs w:val="20"/>
              </w:rPr>
              <w:t>укупног комуналног отпада</w:t>
            </w:r>
            <w:r w:rsidRPr="00FF386D">
              <w:rPr>
                <w:rFonts w:asciiTheme="majorHAnsi" w:hAnsiTheme="majorHAnsi" w:cstheme="majorHAnsi"/>
                <w:sz w:val="20"/>
                <w:szCs w:val="20"/>
              </w:rPr>
              <w:t>.</w:t>
            </w:r>
          </w:p>
        </w:tc>
      </w:tr>
      <w:tr w:rsidR="00854ADA" w:rsidRPr="00FF386D" w14:paraId="2C87BA2B" w14:textId="77777777" w:rsidTr="0057310C">
        <w:trPr>
          <w:trHeight w:val="315"/>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6E494C8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90" w:type="dxa"/>
            <w:gridSpan w:val="3"/>
            <w:tcBorders>
              <w:top w:val="single" w:sz="8" w:space="0" w:color="auto"/>
              <w:left w:val="nil"/>
              <w:bottom w:val="single" w:sz="8" w:space="0" w:color="auto"/>
              <w:right w:val="single" w:sz="8" w:space="0" w:color="000000"/>
            </w:tcBorders>
            <w:shd w:val="clear" w:color="auto" w:fill="auto"/>
            <w:vAlign w:val="center"/>
            <w:hideMark/>
          </w:tcPr>
          <w:p w14:paraId="0D08FABC" w14:textId="53CB869B" w:rsidR="00854ADA" w:rsidRPr="00FF386D" w:rsidRDefault="00B13368"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202</w:t>
            </w:r>
            <w:r>
              <w:rPr>
                <w:rFonts w:asciiTheme="majorHAnsi" w:hAnsiTheme="majorHAnsi" w:cstheme="majorHAnsi"/>
                <w:sz w:val="20"/>
                <w:szCs w:val="20"/>
              </w:rPr>
              <w:t>4</w:t>
            </w:r>
            <w:r w:rsidR="00854ADA" w:rsidRPr="00FF386D">
              <w:rPr>
                <w:rFonts w:asciiTheme="majorHAnsi" w:hAnsiTheme="majorHAnsi" w:cstheme="majorHAnsi"/>
                <w:sz w:val="20"/>
                <w:szCs w:val="20"/>
              </w:rPr>
              <w:t>-2030.</w:t>
            </w:r>
          </w:p>
        </w:tc>
      </w:tr>
      <w:tr w:rsidR="00854ADA" w:rsidRPr="00FF386D" w14:paraId="774B7B40" w14:textId="77777777" w:rsidTr="0057310C">
        <w:trPr>
          <w:trHeight w:val="315"/>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6DFDBC1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90" w:type="dxa"/>
            <w:gridSpan w:val="3"/>
            <w:tcBorders>
              <w:top w:val="single" w:sz="8" w:space="0" w:color="auto"/>
              <w:left w:val="nil"/>
              <w:bottom w:val="single" w:sz="8" w:space="0" w:color="auto"/>
              <w:right w:val="single" w:sz="8" w:space="0" w:color="000000"/>
            </w:tcBorders>
            <w:shd w:val="clear" w:color="auto" w:fill="auto"/>
            <w:vAlign w:val="center"/>
            <w:hideMark/>
          </w:tcPr>
          <w:p w14:paraId="3A26A317"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Инвестиције</w:t>
            </w:r>
          </w:p>
        </w:tc>
      </w:tr>
      <w:tr w:rsidR="00854ADA" w:rsidRPr="00FF386D" w14:paraId="45C2A615" w14:textId="77777777" w:rsidTr="0057310C">
        <w:trPr>
          <w:trHeight w:val="315"/>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25C4348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90" w:type="dxa"/>
            <w:gridSpan w:val="3"/>
            <w:tcBorders>
              <w:top w:val="single" w:sz="8" w:space="0" w:color="auto"/>
              <w:left w:val="nil"/>
              <w:bottom w:val="single" w:sz="8" w:space="0" w:color="auto"/>
              <w:right w:val="single" w:sz="8" w:space="0" w:color="000000"/>
            </w:tcBorders>
            <w:shd w:val="clear" w:color="auto" w:fill="auto"/>
            <w:vAlign w:val="center"/>
            <w:hideMark/>
          </w:tcPr>
          <w:p w14:paraId="7320A0B8"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Отпад</w:t>
            </w:r>
          </w:p>
        </w:tc>
      </w:tr>
      <w:tr w:rsidR="00854ADA" w:rsidRPr="00FF386D" w14:paraId="13BABB8A" w14:textId="77777777" w:rsidTr="0057310C">
        <w:trPr>
          <w:trHeight w:val="315"/>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576A5B8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90" w:type="dxa"/>
            <w:gridSpan w:val="3"/>
            <w:tcBorders>
              <w:top w:val="single" w:sz="8" w:space="0" w:color="auto"/>
              <w:left w:val="nil"/>
              <w:bottom w:val="single" w:sz="8" w:space="0" w:color="auto"/>
              <w:right w:val="single" w:sz="8" w:space="0" w:color="000000"/>
            </w:tcBorders>
            <w:shd w:val="clear" w:color="auto" w:fill="auto"/>
            <w:vAlign w:val="center"/>
            <w:hideMark/>
          </w:tcPr>
          <w:p w14:paraId="26472DF4" w14:textId="77777777" w:rsidR="00854ADA" w:rsidRPr="00FF386D" w:rsidRDefault="00854ADA" w:rsidP="00854ADA">
            <w:pPr>
              <w:numPr>
                <w:ilvl w:val="0"/>
                <w:numId w:val="111"/>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Министарство заштите животне средине</w:t>
            </w:r>
          </w:p>
        </w:tc>
      </w:tr>
      <w:tr w:rsidR="00854ADA" w:rsidRPr="00FF386D" w14:paraId="2652EF96" w14:textId="77777777" w:rsidTr="0057310C">
        <w:trPr>
          <w:trHeight w:val="315"/>
        </w:trPr>
        <w:tc>
          <w:tcPr>
            <w:tcW w:w="3268" w:type="dxa"/>
            <w:tcBorders>
              <w:top w:val="nil"/>
              <w:left w:val="single" w:sz="8" w:space="0" w:color="auto"/>
              <w:bottom w:val="single" w:sz="8" w:space="0" w:color="auto"/>
              <w:right w:val="nil"/>
            </w:tcBorders>
            <w:shd w:val="clear" w:color="000000" w:fill="244062"/>
            <w:vAlign w:val="center"/>
            <w:hideMark/>
          </w:tcPr>
          <w:p w14:paraId="7DB9650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90" w:type="dxa"/>
            <w:gridSpan w:val="3"/>
            <w:tcBorders>
              <w:top w:val="single" w:sz="8" w:space="0" w:color="auto"/>
              <w:left w:val="nil"/>
              <w:bottom w:val="single" w:sz="8" w:space="0" w:color="auto"/>
              <w:right w:val="single" w:sz="8" w:space="0" w:color="000000"/>
            </w:tcBorders>
            <w:shd w:val="clear" w:color="auto" w:fill="auto"/>
            <w:vAlign w:val="center"/>
            <w:hideMark/>
          </w:tcPr>
          <w:p w14:paraId="4C66FF0A" w14:textId="77777777" w:rsidR="00854ADA" w:rsidRPr="00FF386D" w:rsidRDefault="00854ADA" w:rsidP="00854ADA">
            <w:pPr>
              <w:numPr>
                <w:ilvl w:val="0"/>
                <w:numId w:val="111"/>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Министарство заштите животне средине</w:t>
            </w:r>
          </w:p>
        </w:tc>
      </w:tr>
      <w:tr w:rsidR="00854ADA" w:rsidRPr="00FF386D" w14:paraId="777FCF16" w14:textId="77777777" w:rsidTr="0057310C">
        <w:trPr>
          <w:trHeight w:val="315"/>
        </w:trPr>
        <w:tc>
          <w:tcPr>
            <w:tcW w:w="3268" w:type="dxa"/>
            <w:tcBorders>
              <w:top w:val="nil"/>
              <w:left w:val="single" w:sz="8" w:space="0" w:color="auto"/>
              <w:bottom w:val="single" w:sz="8" w:space="0" w:color="auto"/>
              <w:right w:val="nil"/>
            </w:tcBorders>
            <w:shd w:val="clear" w:color="000000" w:fill="244062"/>
            <w:vAlign w:val="center"/>
            <w:hideMark/>
          </w:tcPr>
          <w:p w14:paraId="56BE15D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90" w:type="dxa"/>
            <w:gridSpan w:val="3"/>
            <w:tcBorders>
              <w:top w:val="single" w:sz="8" w:space="0" w:color="auto"/>
              <w:left w:val="nil"/>
              <w:bottom w:val="single" w:sz="8" w:space="0" w:color="auto"/>
              <w:right w:val="single" w:sz="8" w:space="0" w:color="000000"/>
            </w:tcBorders>
            <w:shd w:val="clear" w:color="auto" w:fill="auto"/>
            <w:vAlign w:val="center"/>
            <w:hideMark/>
          </w:tcPr>
          <w:p w14:paraId="5559F7AF" w14:textId="757C8A05" w:rsidR="00854ADA" w:rsidRPr="000A2AFE" w:rsidRDefault="00854ADA" w:rsidP="000A2AFE">
            <w:pPr>
              <w:pStyle w:val="ListParagraph"/>
              <w:numPr>
                <w:ilvl w:val="0"/>
                <w:numId w:val="111"/>
              </w:numPr>
              <w:spacing w:after="0" w:line="240" w:lineRule="auto"/>
              <w:jc w:val="both"/>
              <w:rPr>
                <w:rFonts w:asciiTheme="majorHAnsi" w:eastAsia="Times New Roman" w:hAnsiTheme="majorHAnsi" w:cstheme="majorHAnsi"/>
                <w:color w:val="000000"/>
                <w:sz w:val="20"/>
                <w:szCs w:val="20"/>
                <w:lang w:eastAsia="en-GB"/>
              </w:rPr>
            </w:pPr>
            <w:r w:rsidRPr="000A2AFE">
              <w:rPr>
                <w:rFonts w:asciiTheme="majorHAnsi" w:hAnsiTheme="majorHAnsi" w:cstheme="majorHAnsi"/>
                <w:sz w:val="20"/>
                <w:szCs w:val="20"/>
              </w:rPr>
              <w:t xml:space="preserve">Годишња количина смањења емисија </w:t>
            </w:r>
            <w:r w:rsidR="009A30BE" w:rsidRPr="000A2AFE">
              <w:rPr>
                <w:rFonts w:asciiTheme="majorHAnsi" w:hAnsiTheme="majorHAnsi" w:cstheme="majorHAnsi"/>
                <w:sz w:val="20"/>
                <w:szCs w:val="20"/>
              </w:rPr>
              <w:t>због унапређених</w:t>
            </w:r>
            <w:r w:rsidRPr="000A2AFE">
              <w:rPr>
                <w:rFonts w:asciiTheme="majorHAnsi" w:hAnsiTheme="majorHAnsi" w:cstheme="majorHAnsi"/>
                <w:sz w:val="20"/>
                <w:szCs w:val="20"/>
              </w:rPr>
              <w:t xml:space="preserve"> пракси управљања отпадом </w:t>
            </w:r>
            <w:r w:rsidRPr="000A2AFE">
              <w:rPr>
                <w:rFonts w:asciiTheme="majorHAnsi" w:eastAsia="Times New Roman" w:hAnsiTheme="majorHAnsi" w:cstheme="majorHAnsi"/>
                <w:color w:val="000000"/>
                <w:sz w:val="20"/>
                <w:szCs w:val="20"/>
                <w:lang w:eastAsia="en-GB"/>
              </w:rPr>
              <w:t>(Gg CO2-eq)</w:t>
            </w:r>
          </w:p>
        </w:tc>
      </w:tr>
      <w:tr w:rsidR="00854ADA" w:rsidRPr="00FF386D" w14:paraId="3BFEC571" w14:textId="77777777" w:rsidTr="0057310C">
        <w:trPr>
          <w:trHeight w:val="423"/>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7D38690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90" w:type="dxa"/>
            <w:gridSpan w:val="3"/>
            <w:tcBorders>
              <w:top w:val="single" w:sz="8" w:space="0" w:color="auto"/>
              <w:left w:val="nil"/>
              <w:bottom w:val="single" w:sz="8" w:space="0" w:color="auto"/>
              <w:right w:val="single" w:sz="8" w:space="0" w:color="000000"/>
            </w:tcBorders>
            <w:shd w:val="clear" w:color="auto" w:fill="auto"/>
            <w:vAlign w:val="center"/>
          </w:tcPr>
          <w:p w14:paraId="78219930"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p>
        </w:tc>
      </w:tr>
      <w:tr w:rsidR="00854ADA" w:rsidRPr="00FF386D" w14:paraId="3CFF50E3" w14:textId="77777777" w:rsidTr="0057310C">
        <w:trPr>
          <w:trHeight w:val="450"/>
        </w:trPr>
        <w:tc>
          <w:tcPr>
            <w:tcW w:w="3268"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37E95565" w14:textId="060389DF" w:rsidR="00854ADA" w:rsidRPr="00FF386D" w:rsidRDefault="004D35DC"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p w14:paraId="0D7DD94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90"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3004A373" w14:textId="77777777" w:rsidR="00854ADA" w:rsidRPr="00FF386D" w:rsidRDefault="00854ADA" w:rsidP="00854ADA">
            <w:pPr>
              <w:numPr>
                <w:ilvl w:val="0"/>
                <w:numId w:val="111"/>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Уредба 2018/842</w:t>
            </w:r>
          </w:p>
        </w:tc>
      </w:tr>
      <w:tr w:rsidR="00854ADA" w:rsidRPr="00FF386D" w14:paraId="453D063E" w14:textId="77777777" w:rsidTr="0057310C">
        <w:trPr>
          <w:trHeight w:val="450"/>
        </w:trPr>
        <w:tc>
          <w:tcPr>
            <w:tcW w:w="3268" w:type="dxa"/>
            <w:vMerge/>
            <w:tcBorders>
              <w:top w:val="nil"/>
              <w:left w:val="single" w:sz="8" w:space="0" w:color="auto"/>
              <w:bottom w:val="single" w:sz="8" w:space="0" w:color="000000"/>
              <w:right w:val="single" w:sz="8" w:space="0" w:color="auto"/>
            </w:tcBorders>
            <w:vAlign w:val="center"/>
            <w:hideMark/>
          </w:tcPr>
          <w:p w14:paraId="29CEF3B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90" w:type="dxa"/>
            <w:gridSpan w:val="3"/>
            <w:vMerge/>
            <w:tcBorders>
              <w:top w:val="single" w:sz="8" w:space="0" w:color="auto"/>
              <w:left w:val="single" w:sz="8" w:space="0" w:color="auto"/>
              <w:bottom w:val="single" w:sz="8" w:space="0" w:color="000000"/>
              <w:right w:val="single" w:sz="8" w:space="0" w:color="000000"/>
            </w:tcBorders>
            <w:vAlign w:val="center"/>
            <w:hideMark/>
          </w:tcPr>
          <w:p w14:paraId="0367EEB3" w14:textId="77777777" w:rsidR="00854ADA" w:rsidRPr="00FF386D" w:rsidRDefault="00854ADA" w:rsidP="00854ADA">
            <w:pPr>
              <w:numPr>
                <w:ilvl w:val="0"/>
                <w:numId w:val="111"/>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2CB6AC7B" w14:textId="77777777" w:rsidTr="0057310C">
        <w:trPr>
          <w:trHeight w:val="450"/>
        </w:trPr>
        <w:tc>
          <w:tcPr>
            <w:tcW w:w="3268" w:type="dxa"/>
            <w:vMerge/>
            <w:tcBorders>
              <w:top w:val="nil"/>
              <w:left w:val="single" w:sz="8" w:space="0" w:color="auto"/>
              <w:bottom w:val="single" w:sz="8" w:space="0" w:color="000000"/>
              <w:right w:val="single" w:sz="8" w:space="0" w:color="auto"/>
            </w:tcBorders>
            <w:vAlign w:val="center"/>
            <w:hideMark/>
          </w:tcPr>
          <w:p w14:paraId="512561B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90" w:type="dxa"/>
            <w:gridSpan w:val="3"/>
            <w:vMerge/>
            <w:tcBorders>
              <w:top w:val="single" w:sz="8" w:space="0" w:color="auto"/>
              <w:left w:val="single" w:sz="8" w:space="0" w:color="auto"/>
              <w:bottom w:val="single" w:sz="8" w:space="0" w:color="000000"/>
              <w:right w:val="single" w:sz="8" w:space="0" w:color="000000"/>
            </w:tcBorders>
            <w:vAlign w:val="center"/>
            <w:hideMark/>
          </w:tcPr>
          <w:p w14:paraId="2222D0F3" w14:textId="77777777" w:rsidR="00854ADA" w:rsidRPr="00FF386D" w:rsidRDefault="00854ADA" w:rsidP="00854ADA">
            <w:pPr>
              <w:numPr>
                <w:ilvl w:val="0"/>
                <w:numId w:val="111"/>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615282FD" w14:textId="77777777" w:rsidTr="0057310C">
        <w:trPr>
          <w:trHeight w:val="315"/>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7703B8F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90" w:type="dxa"/>
            <w:gridSpan w:val="3"/>
            <w:tcBorders>
              <w:top w:val="single" w:sz="8" w:space="0" w:color="auto"/>
              <w:left w:val="nil"/>
              <w:bottom w:val="single" w:sz="8" w:space="0" w:color="auto"/>
              <w:right w:val="single" w:sz="8" w:space="0" w:color="000000"/>
            </w:tcBorders>
            <w:shd w:val="clear" w:color="auto" w:fill="auto"/>
            <w:vAlign w:val="center"/>
            <w:hideMark/>
          </w:tcPr>
          <w:p w14:paraId="777F14EB" w14:textId="78C0BCE7" w:rsidR="00854ADA" w:rsidRPr="00FF386D" w:rsidRDefault="00B13368" w:rsidP="00854ADA">
            <w:pPr>
              <w:numPr>
                <w:ilvl w:val="0"/>
                <w:numId w:val="111"/>
              </w:numPr>
              <w:spacing w:after="0" w:line="240" w:lineRule="auto"/>
              <w:contextualSpacing/>
              <w:rPr>
                <w:rFonts w:asciiTheme="majorHAnsi" w:eastAsia="Times New Roman" w:hAnsiTheme="majorHAnsi" w:cstheme="majorHAnsi"/>
                <w:color w:val="000000"/>
                <w:sz w:val="20"/>
                <w:szCs w:val="20"/>
                <w:lang w:eastAsia="en-GB"/>
              </w:rPr>
            </w:pPr>
            <w:r w:rsidRPr="00B13368">
              <w:rPr>
                <w:rFonts w:asciiTheme="majorHAnsi" w:eastAsia="Times New Roman" w:hAnsiTheme="majorHAnsi" w:cstheme="majorHAnsi"/>
                <w:color w:val="000000"/>
                <w:sz w:val="20"/>
                <w:szCs w:val="20"/>
                <w:lang w:eastAsia="en-GB"/>
              </w:rPr>
              <w:t>Програм управљања отпадом у Републици Србији за период 2022-2031. године</w:t>
            </w:r>
          </w:p>
        </w:tc>
      </w:tr>
      <w:tr w:rsidR="00854ADA" w:rsidRPr="00FF386D" w14:paraId="0E8D5554" w14:textId="77777777" w:rsidTr="0057310C">
        <w:trPr>
          <w:trHeight w:val="315"/>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35781B6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90" w:type="dxa"/>
            <w:gridSpan w:val="3"/>
            <w:tcBorders>
              <w:top w:val="single" w:sz="8" w:space="0" w:color="auto"/>
              <w:left w:val="nil"/>
              <w:bottom w:val="single" w:sz="8" w:space="0" w:color="auto"/>
              <w:right w:val="single" w:sz="8" w:space="0" w:color="000000"/>
            </w:tcBorders>
            <w:shd w:val="clear" w:color="auto" w:fill="auto"/>
            <w:vAlign w:val="center"/>
            <w:hideMark/>
          </w:tcPr>
          <w:p w14:paraId="5BC0CD35" w14:textId="33E587F5"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80 </w:t>
            </w:r>
            <w:r w:rsidR="00974C2A" w:rsidRPr="00FF386D">
              <w:rPr>
                <w:rFonts w:asciiTheme="majorHAnsi" w:eastAsia="Times New Roman" w:hAnsiTheme="majorHAnsi" w:cstheme="majorHAnsi"/>
                <w:color w:val="000000"/>
                <w:sz w:val="20"/>
                <w:szCs w:val="20"/>
                <w:lang w:eastAsia="en-GB"/>
              </w:rPr>
              <w:t>милиона</w:t>
            </w:r>
            <w:r w:rsidRPr="00FF386D">
              <w:rPr>
                <w:rFonts w:asciiTheme="majorHAnsi" w:eastAsia="Times New Roman" w:hAnsiTheme="majorHAnsi" w:cstheme="majorHAnsi"/>
                <w:color w:val="000000"/>
                <w:sz w:val="20"/>
                <w:szCs w:val="20"/>
                <w:lang w:eastAsia="en-GB"/>
              </w:rPr>
              <w:t xml:space="preserve"> евра</w:t>
            </w:r>
          </w:p>
        </w:tc>
      </w:tr>
      <w:tr w:rsidR="00854ADA" w:rsidRPr="00FF386D" w14:paraId="327A5EB5" w14:textId="77777777" w:rsidTr="0057310C">
        <w:trPr>
          <w:trHeight w:val="315"/>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5F0F40A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90" w:type="dxa"/>
            <w:gridSpan w:val="3"/>
            <w:tcBorders>
              <w:top w:val="single" w:sz="8" w:space="0" w:color="auto"/>
              <w:left w:val="nil"/>
              <w:bottom w:val="single" w:sz="8" w:space="0" w:color="auto"/>
              <w:right w:val="single" w:sz="8" w:space="0" w:color="000000"/>
            </w:tcBorders>
            <w:shd w:val="clear" w:color="auto" w:fill="auto"/>
            <w:vAlign w:val="center"/>
            <w:hideMark/>
          </w:tcPr>
          <w:p w14:paraId="672FDE91" w14:textId="6D08861B"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Фондови ЕУ и други фондови, буџет</w:t>
            </w:r>
            <w:r w:rsidR="00974C2A" w:rsidRPr="00FF386D">
              <w:rPr>
                <w:rFonts w:asciiTheme="majorHAnsi" w:hAnsiTheme="majorHAnsi" w:cstheme="majorHAnsi"/>
                <w:sz w:val="20"/>
                <w:szCs w:val="20"/>
              </w:rPr>
              <w:t>ска средства</w:t>
            </w:r>
          </w:p>
        </w:tc>
      </w:tr>
    </w:tbl>
    <w:p w14:paraId="1B900D2A"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275"/>
        <w:gridCol w:w="1114"/>
        <w:gridCol w:w="935"/>
        <w:gridCol w:w="4134"/>
      </w:tblGrid>
      <w:tr w:rsidR="00854ADA" w:rsidRPr="00FF386D" w14:paraId="3A3070FC" w14:textId="77777777" w:rsidTr="0057310C">
        <w:trPr>
          <w:trHeight w:val="594"/>
        </w:trPr>
        <w:tc>
          <w:tcPr>
            <w:tcW w:w="3275"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0055BBB5"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Шифра мере политике:</w:t>
            </w:r>
          </w:p>
        </w:tc>
        <w:tc>
          <w:tcPr>
            <w:tcW w:w="11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740ED21D"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МП_Д16</w:t>
            </w:r>
          </w:p>
        </w:tc>
        <w:tc>
          <w:tcPr>
            <w:tcW w:w="935" w:type="dxa"/>
            <w:tcBorders>
              <w:top w:val="single" w:sz="8" w:space="0" w:color="auto"/>
              <w:left w:val="nil"/>
              <w:bottom w:val="single" w:sz="8" w:space="0" w:color="auto"/>
              <w:right w:val="single" w:sz="8" w:space="0" w:color="auto"/>
            </w:tcBorders>
            <w:shd w:val="clear" w:color="000000" w:fill="244062"/>
            <w:vAlign w:val="center"/>
            <w:hideMark/>
          </w:tcPr>
          <w:p w14:paraId="779F87B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34" w:type="dxa"/>
            <w:tcBorders>
              <w:top w:val="single" w:sz="8" w:space="0" w:color="auto"/>
              <w:left w:val="nil"/>
              <w:bottom w:val="single" w:sz="8" w:space="0" w:color="auto"/>
              <w:right w:val="single" w:sz="8" w:space="0" w:color="auto"/>
            </w:tcBorders>
            <w:shd w:val="clear" w:color="auto" w:fill="E7E6E6" w:themeFill="background2"/>
            <w:vAlign w:val="center"/>
            <w:hideMark/>
          </w:tcPr>
          <w:p w14:paraId="3E255B68"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Већи проценат комуналног отпада који се третира биолошким третманом</w:t>
            </w:r>
          </w:p>
        </w:tc>
      </w:tr>
      <w:tr w:rsidR="00854ADA" w:rsidRPr="00FF386D" w14:paraId="54D7E7E0" w14:textId="77777777" w:rsidTr="0057310C">
        <w:trPr>
          <w:trHeight w:val="405"/>
        </w:trPr>
        <w:tc>
          <w:tcPr>
            <w:tcW w:w="3275" w:type="dxa"/>
            <w:tcBorders>
              <w:top w:val="nil"/>
              <w:left w:val="single" w:sz="8" w:space="0" w:color="auto"/>
              <w:bottom w:val="single" w:sz="8" w:space="0" w:color="auto"/>
              <w:right w:val="nil"/>
            </w:tcBorders>
            <w:shd w:val="clear" w:color="000000" w:fill="244062"/>
            <w:vAlign w:val="center"/>
            <w:hideMark/>
          </w:tcPr>
          <w:p w14:paraId="6F6B42F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83" w:type="dxa"/>
            <w:gridSpan w:val="3"/>
            <w:tcBorders>
              <w:top w:val="single" w:sz="8" w:space="0" w:color="auto"/>
              <w:left w:val="nil"/>
              <w:bottom w:val="single" w:sz="8" w:space="0" w:color="auto"/>
              <w:right w:val="single" w:sz="8" w:space="0" w:color="000000"/>
            </w:tcBorders>
            <w:shd w:val="clear" w:color="auto" w:fill="auto"/>
            <w:vAlign w:val="center"/>
            <w:hideMark/>
          </w:tcPr>
          <w:p w14:paraId="00F5129E"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Смањење емисија </w:t>
            </w:r>
            <w:r w:rsidRPr="00FF386D">
              <w:rPr>
                <w:rFonts w:asciiTheme="majorHAnsi" w:eastAsia="Times New Roman" w:hAnsiTheme="majorHAnsi" w:cstheme="majorHAnsi"/>
                <w:i/>
                <w:iCs/>
                <w:color w:val="000000"/>
                <w:sz w:val="20"/>
                <w:szCs w:val="20"/>
                <w:lang w:eastAsia="en-GB"/>
              </w:rPr>
              <w:t>GHG</w:t>
            </w:r>
          </w:p>
        </w:tc>
      </w:tr>
      <w:tr w:rsidR="004C236F" w:rsidRPr="00FF386D" w14:paraId="424F163A" w14:textId="77777777" w:rsidTr="0057310C">
        <w:trPr>
          <w:trHeight w:val="315"/>
        </w:trPr>
        <w:tc>
          <w:tcPr>
            <w:tcW w:w="3275" w:type="dxa"/>
            <w:tcBorders>
              <w:top w:val="nil"/>
              <w:left w:val="single" w:sz="8" w:space="0" w:color="auto"/>
              <w:bottom w:val="single" w:sz="8" w:space="0" w:color="auto"/>
              <w:right w:val="single" w:sz="8" w:space="0" w:color="auto"/>
            </w:tcBorders>
            <w:shd w:val="clear" w:color="000000" w:fill="244062"/>
            <w:vAlign w:val="center"/>
            <w:hideMark/>
          </w:tcPr>
          <w:p w14:paraId="79E76A38" w14:textId="77777777" w:rsidR="004C236F" w:rsidRPr="00FF386D" w:rsidRDefault="004C236F" w:rsidP="004C236F">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83" w:type="dxa"/>
            <w:gridSpan w:val="3"/>
            <w:tcBorders>
              <w:top w:val="single" w:sz="8" w:space="0" w:color="auto"/>
              <w:left w:val="nil"/>
              <w:bottom w:val="single" w:sz="8" w:space="0" w:color="auto"/>
              <w:right w:val="single" w:sz="8" w:space="0" w:color="000000"/>
            </w:tcBorders>
            <w:shd w:val="clear" w:color="auto" w:fill="auto"/>
            <w:vAlign w:val="center"/>
            <w:hideMark/>
          </w:tcPr>
          <w:p w14:paraId="3DE2D696" w14:textId="68377300" w:rsidR="004C236F" w:rsidRPr="00FF386D" w:rsidRDefault="004C236F" w:rsidP="004C236F">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Смањење емисија </w:t>
            </w:r>
            <w:r w:rsidRPr="00FF386D">
              <w:rPr>
                <w:rFonts w:asciiTheme="majorHAnsi" w:eastAsia="Times New Roman" w:hAnsiTheme="majorHAnsi" w:cstheme="majorHAnsi"/>
                <w:i/>
                <w:iCs/>
                <w:color w:val="000000"/>
                <w:sz w:val="20"/>
                <w:szCs w:val="20"/>
                <w:lang w:eastAsia="en-GB"/>
              </w:rPr>
              <w:t xml:space="preserve">GHG </w:t>
            </w:r>
            <w:r w:rsidRPr="00FF386D">
              <w:rPr>
                <w:rFonts w:asciiTheme="majorHAnsi" w:eastAsia="Times New Roman" w:hAnsiTheme="majorHAnsi" w:cstheme="majorHAnsi"/>
                <w:color w:val="000000"/>
                <w:sz w:val="20"/>
                <w:szCs w:val="20"/>
                <w:lang w:eastAsia="en-GB"/>
              </w:rPr>
              <w:t>у сектору отпада за 13% до 2030. године у односу на ниво из 2010. године</w:t>
            </w:r>
          </w:p>
        </w:tc>
      </w:tr>
      <w:tr w:rsidR="004C236F" w:rsidRPr="00FF386D" w14:paraId="2B9A49E1" w14:textId="77777777" w:rsidTr="0057310C">
        <w:trPr>
          <w:trHeight w:val="1242"/>
        </w:trPr>
        <w:tc>
          <w:tcPr>
            <w:tcW w:w="3275" w:type="dxa"/>
            <w:tcBorders>
              <w:top w:val="nil"/>
              <w:left w:val="single" w:sz="8" w:space="0" w:color="auto"/>
              <w:bottom w:val="single" w:sz="8" w:space="0" w:color="auto"/>
              <w:right w:val="single" w:sz="8" w:space="0" w:color="auto"/>
            </w:tcBorders>
            <w:shd w:val="clear" w:color="000000" w:fill="244062"/>
            <w:vAlign w:val="center"/>
            <w:hideMark/>
          </w:tcPr>
          <w:p w14:paraId="6F1491D3" w14:textId="77777777" w:rsidR="004C236F" w:rsidRPr="00FF386D" w:rsidRDefault="004C236F" w:rsidP="004C236F">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83" w:type="dxa"/>
            <w:gridSpan w:val="3"/>
            <w:tcBorders>
              <w:top w:val="single" w:sz="8" w:space="0" w:color="auto"/>
              <w:left w:val="nil"/>
              <w:bottom w:val="single" w:sz="8" w:space="0" w:color="auto"/>
              <w:right w:val="single" w:sz="8" w:space="0" w:color="000000"/>
            </w:tcBorders>
            <w:shd w:val="clear" w:color="auto" w:fill="auto"/>
            <w:vAlign w:val="center"/>
            <w:hideMark/>
          </w:tcPr>
          <w:p w14:paraId="032B34EE" w14:textId="60B9F394" w:rsidR="004C236F" w:rsidRPr="00FF386D" w:rsidRDefault="004C236F" w:rsidP="004C236F">
            <w:pPr>
              <w:spacing w:after="0" w:line="240" w:lineRule="auto"/>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МП_Д16 ће промовисати биолошки третман комуналног отпада, и то компостирање и анаеробну дигестију органског отпада, попут отпада од хране, баштенског (дворишног) отпада и муља, и отпада и муља из паркова. Крајњи производи биолошког третмана, у зависности од квалитета, могу</w:t>
            </w:r>
            <w:r w:rsidR="009A30BE" w:rsidRPr="000A2AFE">
              <w:rPr>
                <w:rFonts w:ascii="Calibri Light" w:eastAsia="Times New Roman" w:hAnsi="Calibri Light" w:cs="Calibri Light"/>
                <w:color w:val="000000"/>
                <w:sz w:val="20"/>
                <w:szCs w:val="20"/>
                <w:lang w:eastAsia="en-GB"/>
              </w:rPr>
              <w:t xml:space="preserve"> се</w:t>
            </w:r>
            <w:r w:rsidRPr="000A2AFE">
              <w:rPr>
                <w:rFonts w:ascii="Calibri Light" w:eastAsia="Times New Roman" w:hAnsi="Calibri Light" w:cs="Calibri Light"/>
                <w:color w:val="000000"/>
                <w:sz w:val="20"/>
                <w:szCs w:val="20"/>
                <w:lang w:eastAsia="en-GB"/>
              </w:rPr>
              <w:t xml:space="preserve"> рециклира</w:t>
            </w:r>
            <w:r w:rsidR="009A30BE" w:rsidRPr="000A2AFE">
              <w:rPr>
                <w:rFonts w:ascii="Calibri Light" w:eastAsia="Times New Roman" w:hAnsi="Calibri Light" w:cs="Calibri Light"/>
                <w:color w:val="000000"/>
                <w:sz w:val="20"/>
                <w:szCs w:val="20"/>
                <w:lang w:eastAsia="en-GB"/>
              </w:rPr>
              <w:t>ти</w:t>
            </w:r>
            <w:r w:rsidRPr="000A2AFE">
              <w:rPr>
                <w:rFonts w:ascii="Calibri Light" w:eastAsia="Times New Roman" w:hAnsi="Calibri Light" w:cs="Calibri Light"/>
                <w:color w:val="000000"/>
                <w:sz w:val="20"/>
                <w:szCs w:val="20"/>
                <w:lang w:eastAsia="en-GB"/>
              </w:rPr>
              <w:t xml:space="preserve"> као ђубриво и додатак земљишту или </w:t>
            </w:r>
            <w:r w:rsidR="009A30BE" w:rsidRPr="000A2AFE">
              <w:rPr>
                <w:rFonts w:ascii="Calibri Light" w:eastAsia="Times New Roman" w:hAnsi="Calibri Light" w:cs="Calibri Light"/>
                <w:color w:val="000000"/>
                <w:sz w:val="20"/>
                <w:szCs w:val="20"/>
                <w:lang w:eastAsia="en-GB"/>
              </w:rPr>
              <w:t>се</w:t>
            </w:r>
            <w:r w:rsidR="00B13368">
              <w:t xml:space="preserve"> </w:t>
            </w:r>
            <w:r w:rsidR="00B13368" w:rsidRPr="00B13368">
              <w:rPr>
                <w:rFonts w:ascii="Calibri Light" w:eastAsia="Times New Roman" w:hAnsi="Calibri Light" w:cs="Calibri Light"/>
                <w:color w:val="000000"/>
                <w:sz w:val="20"/>
                <w:szCs w:val="20"/>
                <w:lang w:eastAsia="en-GB"/>
              </w:rPr>
              <w:t>могу користити као слој за рекултивацију тла</w:t>
            </w:r>
            <w:r w:rsidRPr="000A2AFE">
              <w:rPr>
                <w:rFonts w:ascii="Calibri Light" w:eastAsia="Times New Roman" w:hAnsi="Calibri Light" w:cs="Calibri Light"/>
                <w:color w:val="000000"/>
                <w:sz w:val="20"/>
                <w:szCs w:val="20"/>
                <w:lang w:eastAsia="en-GB"/>
              </w:rPr>
              <w:t>.</w:t>
            </w:r>
          </w:p>
        </w:tc>
      </w:tr>
      <w:tr w:rsidR="004C236F" w:rsidRPr="00FF386D" w14:paraId="2D8FB314" w14:textId="77777777" w:rsidTr="0057310C">
        <w:trPr>
          <w:trHeight w:val="315"/>
        </w:trPr>
        <w:tc>
          <w:tcPr>
            <w:tcW w:w="3275" w:type="dxa"/>
            <w:tcBorders>
              <w:top w:val="nil"/>
              <w:left w:val="single" w:sz="8" w:space="0" w:color="auto"/>
              <w:bottom w:val="single" w:sz="8" w:space="0" w:color="auto"/>
              <w:right w:val="single" w:sz="8" w:space="0" w:color="auto"/>
            </w:tcBorders>
            <w:shd w:val="clear" w:color="000000" w:fill="244062"/>
            <w:vAlign w:val="center"/>
            <w:hideMark/>
          </w:tcPr>
          <w:p w14:paraId="59111827" w14:textId="77777777" w:rsidR="004C236F" w:rsidRPr="00FF386D" w:rsidRDefault="004C236F" w:rsidP="004C236F">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83" w:type="dxa"/>
            <w:gridSpan w:val="3"/>
            <w:tcBorders>
              <w:top w:val="single" w:sz="8" w:space="0" w:color="auto"/>
              <w:left w:val="nil"/>
              <w:bottom w:val="single" w:sz="8" w:space="0" w:color="auto"/>
              <w:right w:val="single" w:sz="8" w:space="0" w:color="000000"/>
            </w:tcBorders>
            <w:shd w:val="clear" w:color="auto" w:fill="auto"/>
            <w:vAlign w:val="center"/>
            <w:hideMark/>
          </w:tcPr>
          <w:p w14:paraId="7FD871B9" w14:textId="58C24FA7" w:rsidR="004C236F" w:rsidRPr="00FF386D" w:rsidRDefault="00B13368" w:rsidP="004C236F">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202</w:t>
            </w:r>
            <w:r>
              <w:rPr>
                <w:rFonts w:ascii="Calibri Light" w:eastAsia="Times New Roman" w:hAnsi="Calibri Light" w:cs="Calibri Light"/>
                <w:color w:val="000000"/>
                <w:sz w:val="20"/>
                <w:szCs w:val="20"/>
                <w:lang w:eastAsia="en-GB"/>
              </w:rPr>
              <w:t>4</w:t>
            </w:r>
            <w:r w:rsidR="004C236F" w:rsidRPr="000A2AFE">
              <w:rPr>
                <w:rFonts w:ascii="Calibri Light" w:eastAsia="Times New Roman" w:hAnsi="Calibri Light" w:cs="Calibri Light"/>
                <w:color w:val="000000"/>
                <w:sz w:val="20"/>
                <w:szCs w:val="20"/>
                <w:lang w:eastAsia="en-GB"/>
              </w:rPr>
              <w:t>-2030.</w:t>
            </w:r>
          </w:p>
        </w:tc>
      </w:tr>
      <w:tr w:rsidR="004C236F" w:rsidRPr="00FF386D" w14:paraId="1CE6B93B" w14:textId="77777777" w:rsidTr="0057310C">
        <w:trPr>
          <w:trHeight w:val="315"/>
        </w:trPr>
        <w:tc>
          <w:tcPr>
            <w:tcW w:w="3275" w:type="dxa"/>
            <w:tcBorders>
              <w:top w:val="nil"/>
              <w:left w:val="single" w:sz="8" w:space="0" w:color="auto"/>
              <w:bottom w:val="single" w:sz="8" w:space="0" w:color="auto"/>
              <w:right w:val="single" w:sz="8" w:space="0" w:color="auto"/>
            </w:tcBorders>
            <w:shd w:val="clear" w:color="000000" w:fill="244062"/>
            <w:vAlign w:val="center"/>
            <w:hideMark/>
          </w:tcPr>
          <w:p w14:paraId="7CD5DD41" w14:textId="77777777" w:rsidR="004C236F" w:rsidRPr="00FF386D" w:rsidRDefault="004C236F" w:rsidP="004C236F">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83" w:type="dxa"/>
            <w:gridSpan w:val="3"/>
            <w:tcBorders>
              <w:top w:val="single" w:sz="8" w:space="0" w:color="auto"/>
              <w:left w:val="nil"/>
              <w:bottom w:val="single" w:sz="8" w:space="0" w:color="auto"/>
              <w:right w:val="single" w:sz="8" w:space="0" w:color="000000"/>
            </w:tcBorders>
            <w:shd w:val="clear" w:color="auto" w:fill="auto"/>
            <w:vAlign w:val="center"/>
            <w:hideMark/>
          </w:tcPr>
          <w:p w14:paraId="33960265" w14:textId="77777777" w:rsidR="004C236F" w:rsidRPr="00FF386D" w:rsidRDefault="004C236F" w:rsidP="004C236F">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Инвестиције</w:t>
            </w:r>
          </w:p>
        </w:tc>
      </w:tr>
      <w:tr w:rsidR="004C236F" w:rsidRPr="00FF386D" w14:paraId="6E1C538E" w14:textId="77777777" w:rsidTr="0057310C">
        <w:trPr>
          <w:trHeight w:val="315"/>
        </w:trPr>
        <w:tc>
          <w:tcPr>
            <w:tcW w:w="3275" w:type="dxa"/>
            <w:tcBorders>
              <w:top w:val="nil"/>
              <w:left w:val="single" w:sz="8" w:space="0" w:color="auto"/>
              <w:bottom w:val="single" w:sz="8" w:space="0" w:color="auto"/>
              <w:right w:val="single" w:sz="8" w:space="0" w:color="auto"/>
            </w:tcBorders>
            <w:shd w:val="clear" w:color="000000" w:fill="244062"/>
            <w:vAlign w:val="center"/>
            <w:hideMark/>
          </w:tcPr>
          <w:p w14:paraId="5A5CCC6C" w14:textId="77777777" w:rsidR="004C236F" w:rsidRPr="00FF386D" w:rsidRDefault="004C236F" w:rsidP="004C236F">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83" w:type="dxa"/>
            <w:gridSpan w:val="3"/>
            <w:tcBorders>
              <w:top w:val="single" w:sz="8" w:space="0" w:color="auto"/>
              <w:left w:val="nil"/>
              <w:bottom w:val="single" w:sz="8" w:space="0" w:color="auto"/>
              <w:right w:val="single" w:sz="8" w:space="0" w:color="000000"/>
            </w:tcBorders>
            <w:shd w:val="clear" w:color="auto" w:fill="auto"/>
            <w:vAlign w:val="center"/>
            <w:hideMark/>
          </w:tcPr>
          <w:p w14:paraId="351B29B8" w14:textId="77777777" w:rsidR="004C236F" w:rsidRPr="00FF386D" w:rsidRDefault="004C236F" w:rsidP="004C236F">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Отпад</w:t>
            </w:r>
          </w:p>
        </w:tc>
      </w:tr>
      <w:tr w:rsidR="004C236F" w:rsidRPr="00FF386D" w14:paraId="763F40F4" w14:textId="77777777" w:rsidTr="0057310C">
        <w:trPr>
          <w:trHeight w:val="315"/>
        </w:trPr>
        <w:tc>
          <w:tcPr>
            <w:tcW w:w="3275" w:type="dxa"/>
            <w:tcBorders>
              <w:top w:val="nil"/>
              <w:left w:val="single" w:sz="8" w:space="0" w:color="auto"/>
              <w:bottom w:val="single" w:sz="8" w:space="0" w:color="auto"/>
              <w:right w:val="single" w:sz="8" w:space="0" w:color="auto"/>
            </w:tcBorders>
            <w:shd w:val="clear" w:color="000000" w:fill="244062"/>
            <w:vAlign w:val="center"/>
            <w:hideMark/>
          </w:tcPr>
          <w:p w14:paraId="4FBE5503" w14:textId="77777777" w:rsidR="004C236F" w:rsidRPr="00FF386D" w:rsidRDefault="004C236F" w:rsidP="004C236F">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83" w:type="dxa"/>
            <w:gridSpan w:val="3"/>
            <w:tcBorders>
              <w:top w:val="single" w:sz="8" w:space="0" w:color="auto"/>
              <w:left w:val="nil"/>
              <w:bottom w:val="single" w:sz="8" w:space="0" w:color="auto"/>
              <w:right w:val="single" w:sz="8" w:space="0" w:color="000000"/>
            </w:tcBorders>
            <w:shd w:val="clear" w:color="auto" w:fill="auto"/>
            <w:vAlign w:val="center"/>
            <w:hideMark/>
          </w:tcPr>
          <w:p w14:paraId="53D0399E" w14:textId="77777777" w:rsidR="004C236F" w:rsidRPr="00FF386D" w:rsidRDefault="004C236F" w:rsidP="004C236F">
            <w:pPr>
              <w:numPr>
                <w:ilvl w:val="0"/>
                <w:numId w:val="216"/>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заштите животне средине</w:t>
            </w:r>
          </w:p>
        </w:tc>
      </w:tr>
      <w:tr w:rsidR="004C236F" w:rsidRPr="00FF386D" w14:paraId="5E8AAD83" w14:textId="77777777" w:rsidTr="0057310C">
        <w:trPr>
          <w:trHeight w:val="315"/>
        </w:trPr>
        <w:tc>
          <w:tcPr>
            <w:tcW w:w="3275" w:type="dxa"/>
            <w:tcBorders>
              <w:top w:val="nil"/>
              <w:left w:val="single" w:sz="8" w:space="0" w:color="auto"/>
              <w:bottom w:val="single" w:sz="8" w:space="0" w:color="auto"/>
              <w:right w:val="nil"/>
            </w:tcBorders>
            <w:shd w:val="clear" w:color="000000" w:fill="244062"/>
            <w:vAlign w:val="center"/>
            <w:hideMark/>
          </w:tcPr>
          <w:p w14:paraId="73ABD9AF" w14:textId="77777777" w:rsidR="004C236F" w:rsidRPr="00FF386D" w:rsidRDefault="004C236F" w:rsidP="004C236F">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83" w:type="dxa"/>
            <w:gridSpan w:val="3"/>
            <w:tcBorders>
              <w:top w:val="single" w:sz="8" w:space="0" w:color="auto"/>
              <w:left w:val="nil"/>
              <w:bottom w:val="single" w:sz="8" w:space="0" w:color="auto"/>
              <w:right w:val="single" w:sz="8" w:space="0" w:color="000000"/>
            </w:tcBorders>
            <w:shd w:val="clear" w:color="auto" w:fill="auto"/>
            <w:vAlign w:val="center"/>
          </w:tcPr>
          <w:p w14:paraId="22CAF0F5" w14:textId="77777777" w:rsidR="004C236F" w:rsidRPr="00FF386D" w:rsidRDefault="004C236F" w:rsidP="004C236F">
            <w:pPr>
              <w:numPr>
                <w:ilvl w:val="0"/>
                <w:numId w:val="216"/>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заштите животне средине</w:t>
            </w:r>
          </w:p>
        </w:tc>
      </w:tr>
      <w:tr w:rsidR="004C236F" w:rsidRPr="00FF386D" w14:paraId="54AAEB81" w14:textId="77777777" w:rsidTr="0057310C">
        <w:trPr>
          <w:trHeight w:val="315"/>
        </w:trPr>
        <w:tc>
          <w:tcPr>
            <w:tcW w:w="3275" w:type="dxa"/>
            <w:tcBorders>
              <w:top w:val="nil"/>
              <w:left w:val="single" w:sz="8" w:space="0" w:color="auto"/>
              <w:bottom w:val="single" w:sz="8" w:space="0" w:color="auto"/>
              <w:right w:val="nil"/>
            </w:tcBorders>
            <w:shd w:val="clear" w:color="000000" w:fill="244062"/>
            <w:vAlign w:val="center"/>
            <w:hideMark/>
          </w:tcPr>
          <w:p w14:paraId="092F5183" w14:textId="77777777" w:rsidR="004C236F" w:rsidRPr="00FF386D" w:rsidRDefault="004C236F" w:rsidP="004C236F">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83" w:type="dxa"/>
            <w:gridSpan w:val="3"/>
            <w:tcBorders>
              <w:top w:val="single" w:sz="8" w:space="0" w:color="auto"/>
              <w:left w:val="nil"/>
              <w:bottom w:val="single" w:sz="8" w:space="0" w:color="auto"/>
              <w:right w:val="single" w:sz="8" w:space="0" w:color="000000"/>
            </w:tcBorders>
            <w:shd w:val="clear" w:color="auto" w:fill="auto"/>
            <w:vAlign w:val="center"/>
            <w:hideMark/>
          </w:tcPr>
          <w:p w14:paraId="7756B6AC" w14:textId="6E68A668" w:rsidR="004C236F" w:rsidRPr="000A2AFE" w:rsidRDefault="004C236F" w:rsidP="000A2AFE">
            <w:pPr>
              <w:pStyle w:val="ListParagraph"/>
              <w:numPr>
                <w:ilvl w:val="0"/>
                <w:numId w:val="216"/>
              </w:numPr>
              <w:spacing w:after="0" w:line="240" w:lineRule="auto"/>
              <w:rPr>
                <w:rFonts w:asciiTheme="majorHAnsi" w:eastAsia="Times New Roman" w:hAnsiTheme="majorHAnsi" w:cstheme="majorHAnsi"/>
                <w:color w:val="000000"/>
                <w:sz w:val="20"/>
                <w:szCs w:val="20"/>
                <w:lang w:eastAsia="en-GB"/>
              </w:rPr>
            </w:pPr>
            <w:r w:rsidRPr="000A2AFE">
              <w:rPr>
                <w:rFonts w:asciiTheme="majorHAnsi" w:hAnsiTheme="majorHAnsi" w:cstheme="majorHAnsi"/>
                <w:sz w:val="20"/>
                <w:szCs w:val="20"/>
              </w:rPr>
              <w:t xml:space="preserve">Годишња количина смањења емисија </w:t>
            </w:r>
            <w:r w:rsidRPr="000A2AFE">
              <w:rPr>
                <w:rFonts w:asciiTheme="majorHAnsi" w:eastAsia="Times New Roman" w:hAnsiTheme="majorHAnsi" w:cstheme="majorHAnsi"/>
                <w:color w:val="000000"/>
                <w:sz w:val="20"/>
                <w:szCs w:val="20"/>
                <w:lang w:eastAsia="en-GB"/>
              </w:rPr>
              <w:t>(Gg CO2-eq)</w:t>
            </w:r>
            <w:r w:rsidR="0006359C" w:rsidRPr="000A2AFE">
              <w:rPr>
                <w:rFonts w:asciiTheme="majorHAnsi" w:eastAsia="Times New Roman" w:hAnsiTheme="majorHAnsi" w:cstheme="majorHAnsi"/>
                <w:color w:val="000000"/>
                <w:sz w:val="20"/>
                <w:szCs w:val="20"/>
                <w:lang w:eastAsia="en-GB"/>
              </w:rPr>
              <w:t xml:space="preserve"> и годишња количина ухваћеног</w:t>
            </w:r>
            <w:r w:rsidR="002C4227" w:rsidRPr="00C312D6">
              <w:rPr>
                <w:rFonts w:asciiTheme="majorHAnsi" w:eastAsia="Times New Roman" w:hAnsiTheme="majorHAnsi" w:cstheme="majorHAnsi"/>
                <w:color w:val="000000"/>
                <w:sz w:val="20"/>
                <w:szCs w:val="20"/>
                <w:lang w:eastAsia="en-GB"/>
              </w:rPr>
              <w:t xml:space="preserve"> </w:t>
            </w:r>
            <w:r w:rsidR="002C4227" w:rsidRPr="000A2AFE">
              <w:rPr>
                <w:rFonts w:asciiTheme="majorHAnsi" w:eastAsia="Times New Roman" w:hAnsiTheme="majorHAnsi" w:cstheme="majorHAnsi"/>
                <w:color w:val="000000"/>
                <w:sz w:val="20"/>
                <w:szCs w:val="20"/>
                <w:lang w:val="en-GB" w:eastAsia="en-GB"/>
              </w:rPr>
              <w:t>CH</w:t>
            </w:r>
            <w:r w:rsidR="002C4227" w:rsidRPr="00C312D6">
              <w:rPr>
                <w:rFonts w:asciiTheme="majorHAnsi" w:eastAsia="Times New Roman" w:hAnsiTheme="majorHAnsi" w:cstheme="majorHAnsi"/>
                <w:color w:val="000000"/>
                <w:sz w:val="20"/>
                <w:szCs w:val="20"/>
                <w:lang w:eastAsia="en-GB"/>
              </w:rPr>
              <w:t>4 (</w:t>
            </w:r>
            <w:r w:rsidR="002C4227" w:rsidRPr="000A2AFE">
              <w:rPr>
                <w:rFonts w:asciiTheme="majorHAnsi" w:eastAsia="Times New Roman" w:hAnsiTheme="majorHAnsi" w:cstheme="majorHAnsi"/>
                <w:color w:val="000000"/>
                <w:sz w:val="20"/>
                <w:szCs w:val="20"/>
                <w:lang w:val="en-GB" w:eastAsia="en-GB"/>
              </w:rPr>
              <w:t>Gg</w:t>
            </w:r>
            <w:r w:rsidR="002C4227" w:rsidRPr="00C312D6">
              <w:rPr>
                <w:rFonts w:asciiTheme="majorHAnsi" w:eastAsia="Times New Roman" w:hAnsiTheme="majorHAnsi" w:cstheme="majorHAnsi"/>
                <w:color w:val="000000"/>
                <w:sz w:val="20"/>
                <w:szCs w:val="20"/>
                <w:lang w:eastAsia="en-GB"/>
              </w:rPr>
              <w:t>)</w:t>
            </w:r>
          </w:p>
        </w:tc>
      </w:tr>
      <w:tr w:rsidR="004C236F" w:rsidRPr="00FF386D" w14:paraId="45EA8945" w14:textId="77777777" w:rsidTr="0057310C">
        <w:trPr>
          <w:trHeight w:val="493"/>
        </w:trPr>
        <w:tc>
          <w:tcPr>
            <w:tcW w:w="3275" w:type="dxa"/>
            <w:tcBorders>
              <w:top w:val="nil"/>
              <w:left w:val="single" w:sz="8" w:space="0" w:color="auto"/>
              <w:bottom w:val="single" w:sz="8" w:space="0" w:color="auto"/>
              <w:right w:val="single" w:sz="8" w:space="0" w:color="auto"/>
            </w:tcBorders>
            <w:shd w:val="clear" w:color="000000" w:fill="244062"/>
            <w:vAlign w:val="center"/>
            <w:hideMark/>
          </w:tcPr>
          <w:p w14:paraId="3C1999FE" w14:textId="77777777" w:rsidR="004C236F" w:rsidRPr="00FF386D" w:rsidRDefault="004C236F" w:rsidP="004C236F">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83" w:type="dxa"/>
            <w:gridSpan w:val="3"/>
            <w:tcBorders>
              <w:top w:val="single" w:sz="8" w:space="0" w:color="auto"/>
              <w:left w:val="nil"/>
              <w:bottom w:val="single" w:sz="8" w:space="0" w:color="auto"/>
              <w:right w:val="single" w:sz="8" w:space="0" w:color="000000"/>
            </w:tcBorders>
            <w:shd w:val="clear" w:color="auto" w:fill="auto"/>
            <w:vAlign w:val="center"/>
          </w:tcPr>
          <w:p w14:paraId="3D356EDB" w14:textId="77777777" w:rsidR="004C236F" w:rsidRPr="00FF386D" w:rsidRDefault="004C236F" w:rsidP="004C236F">
            <w:pPr>
              <w:spacing w:after="0" w:line="240" w:lineRule="auto"/>
              <w:rPr>
                <w:rFonts w:asciiTheme="majorHAnsi" w:eastAsia="Times New Roman" w:hAnsiTheme="majorHAnsi" w:cstheme="majorHAnsi"/>
                <w:color w:val="000000"/>
                <w:sz w:val="20"/>
                <w:szCs w:val="20"/>
                <w:lang w:eastAsia="en-GB"/>
              </w:rPr>
            </w:pPr>
          </w:p>
        </w:tc>
      </w:tr>
      <w:tr w:rsidR="004C236F" w:rsidRPr="00FF386D" w14:paraId="6ECE208F" w14:textId="77777777" w:rsidTr="0057310C">
        <w:trPr>
          <w:trHeight w:val="450"/>
        </w:trPr>
        <w:tc>
          <w:tcPr>
            <w:tcW w:w="3275"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51A1015E" w14:textId="5E5FCE2B" w:rsidR="004C236F" w:rsidRPr="00FF386D" w:rsidRDefault="004C236F" w:rsidP="004C236F">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Политике Уније која су резултирале имплементацијом ове МП</w:t>
            </w:r>
          </w:p>
          <w:p w14:paraId="28BE632B" w14:textId="77777777" w:rsidR="004C236F" w:rsidRPr="00FF386D" w:rsidRDefault="004C236F" w:rsidP="004C236F">
            <w:pPr>
              <w:spacing w:after="0" w:line="240" w:lineRule="auto"/>
              <w:rPr>
                <w:rFonts w:ascii="Calibri Light" w:eastAsia="Times New Roman" w:hAnsi="Calibri Light" w:cs="Calibri Light"/>
                <w:b/>
                <w:bCs/>
                <w:color w:val="FFFFFF"/>
                <w:sz w:val="20"/>
                <w:szCs w:val="20"/>
                <w:lang w:eastAsia="en-GB"/>
              </w:rPr>
            </w:pPr>
          </w:p>
        </w:tc>
        <w:tc>
          <w:tcPr>
            <w:tcW w:w="6183"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35433828" w14:textId="2EEB7E0B" w:rsidR="004C236F" w:rsidRPr="00B13368" w:rsidRDefault="004C236F" w:rsidP="000A2AFE">
            <w:pPr>
              <w:numPr>
                <w:ilvl w:val="0"/>
                <w:numId w:val="111"/>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Уредба 2018/</w:t>
            </w:r>
            <w:r w:rsidR="00B13368" w:rsidRPr="00B13368">
              <w:rPr>
                <w:rFonts w:asciiTheme="majorHAnsi" w:hAnsiTheme="majorHAnsi" w:cstheme="majorHAnsi"/>
                <w:sz w:val="20"/>
                <w:szCs w:val="20"/>
              </w:rPr>
              <w:t>1999</w:t>
            </w:r>
          </w:p>
        </w:tc>
      </w:tr>
      <w:tr w:rsidR="004C236F" w:rsidRPr="00FF386D" w14:paraId="30682A9E" w14:textId="77777777" w:rsidTr="0057310C">
        <w:trPr>
          <w:trHeight w:val="450"/>
        </w:trPr>
        <w:tc>
          <w:tcPr>
            <w:tcW w:w="3275" w:type="dxa"/>
            <w:vMerge/>
            <w:tcBorders>
              <w:top w:val="nil"/>
              <w:left w:val="single" w:sz="8" w:space="0" w:color="auto"/>
              <w:bottom w:val="single" w:sz="8" w:space="0" w:color="000000"/>
              <w:right w:val="single" w:sz="8" w:space="0" w:color="auto"/>
            </w:tcBorders>
            <w:vAlign w:val="center"/>
            <w:hideMark/>
          </w:tcPr>
          <w:p w14:paraId="74C3F978" w14:textId="77777777" w:rsidR="004C236F" w:rsidRPr="00FF386D" w:rsidRDefault="004C236F" w:rsidP="004C236F">
            <w:pPr>
              <w:spacing w:after="0" w:line="240" w:lineRule="auto"/>
              <w:rPr>
                <w:rFonts w:ascii="Calibri Light" w:eastAsia="Times New Roman" w:hAnsi="Calibri Light" w:cs="Calibri Light"/>
                <w:b/>
                <w:bCs/>
                <w:color w:val="FFFFFF"/>
                <w:sz w:val="20"/>
                <w:szCs w:val="20"/>
                <w:lang w:eastAsia="en-GB"/>
              </w:rPr>
            </w:pPr>
          </w:p>
        </w:tc>
        <w:tc>
          <w:tcPr>
            <w:tcW w:w="6183" w:type="dxa"/>
            <w:gridSpan w:val="3"/>
            <w:vMerge/>
            <w:tcBorders>
              <w:top w:val="single" w:sz="8" w:space="0" w:color="auto"/>
              <w:left w:val="single" w:sz="8" w:space="0" w:color="auto"/>
              <w:bottom w:val="single" w:sz="8" w:space="0" w:color="000000"/>
              <w:right w:val="single" w:sz="8" w:space="0" w:color="000000"/>
            </w:tcBorders>
            <w:vAlign w:val="center"/>
            <w:hideMark/>
          </w:tcPr>
          <w:p w14:paraId="1D46639C" w14:textId="77777777" w:rsidR="004C236F" w:rsidRPr="00FF386D" w:rsidRDefault="004C236F" w:rsidP="004C236F">
            <w:pPr>
              <w:numPr>
                <w:ilvl w:val="0"/>
                <w:numId w:val="112"/>
              </w:numPr>
              <w:spacing w:after="0" w:line="240" w:lineRule="auto"/>
              <w:contextualSpacing/>
              <w:rPr>
                <w:rFonts w:asciiTheme="majorHAnsi" w:eastAsia="Times New Roman" w:hAnsiTheme="majorHAnsi" w:cstheme="majorHAnsi"/>
                <w:color w:val="000000"/>
                <w:sz w:val="20"/>
                <w:szCs w:val="20"/>
                <w:lang w:eastAsia="en-GB"/>
              </w:rPr>
            </w:pPr>
          </w:p>
        </w:tc>
      </w:tr>
      <w:tr w:rsidR="004C236F" w:rsidRPr="00FF386D" w14:paraId="7270B880" w14:textId="77777777" w:rsidTr="0057310C">
        <w:trPr>
          <w:trHeight w:val="450"/>
        </w:trPr>
        <w:tc>
          <w:tcPr>
            <w:tcW w:w="3275" w:type="dxa"/>
            <w:vMerge/>
            <w:tcBorders>
              <w:top w:val="nil"/>
              <w:left w:val="single" w:sz="8" w:space="0" w:color="auto"/>
              <w:bottom w:val="single" w:sz="8" w:space="0" w:color="000000"/>
              <w:right w:val="single" w:sz="8" w:space="0" w:color="auto"/>
            </w:tcBorders>
            <w:vAlign w:val="center"/>
            <w:hideMark/>
          </w:tcPr>
          <w:p w14:paraId="2737CC29" w14:textId="77777777" w:rsidR="004C236F" w:rsidRPr="00FF386D" w:rsidRDefault="004C236F" w:rsidP="004C236F">
            <w:pPr>
              <w:spacing w:after="0" w:line="240" w:lineRule="auto"/>
              <w:rPr>
                <w:rFonts w:ascii="Calibri Light" w:eastAsia="Times New Roman" w:hAnsi="Calibri Light" w:cs="Calibri Light"/>
                <w:b/>
                <w:bCs/>
                <w:color w:val="FFFFFF"/>
                <w:sz w:val="20"/>
                <w:szCs w:val="20"/>
                <w:lang w:eastAsia="en-GB"/>
              </w:rPr>
            </w:pPr>
          </w:p>
        </w:tc>
        <w:tc>
          <w:tcPr>
            <w:tcW w:w="6183" w:type="dxa"/>
            <w:gridSpan w:val="3"/>
            <w:vMerge/>
            <w:tcBorders>
              <w:top w:val="single" w:sz="8" w:space="0" w:color="auto"/>
              <w:left w:val="single" w:sz="8" w:space="0" w:color="auto"/>
              <w:bottom w:val="single" w:sz="8" w:space="0" w:color="000000"/>
              <w:right w:val="single" w:sz="8" w:space="0" w:color="000000"/>
            </w:tcBorders>
            <w:vAlign w:val="center"/>
            <w:hideMark/>
          </w:tcPr>
          <w:p w14:paraId="22A015CA" w14:textId="77777777" w:rsidR="004C236F" w:rsidRPr="00FF386D" w:rsidRDefault="004C236F" w:rsidP="004C236F">
            <w:pPr>
              <w:numPr>
                <w:ilvl w:val="0"/>
                <w:numId w:val="112"/>
              </w:numPr>
              <w:spacing w:after="0" w:line="240" w:lineRule="auto"/>
              <w:contextualSpacing/>
              <w:rPr>
                <w:rFonts w:asciiTheme="majorHAnsi" w:eastAsia="Times New Roman" w:hAnsiTheme="majorHAnsi" w:cstheme="majorHAnsi"/>
                <w:color w:val="000000"/>
                <w:sz w:val="20"/>
                <w:szCs w:val="20"/>
                <w:lang w:eastAsia="en-GB"/>
              </w:rPr>
            </w:pPr>
          </w:p>
        </w:tc>
      </w:tr>
      <w:tr w:rsidR="004C236F" w:rsidRPr="00FF386D" w14:paraId="2AE7EF1E" w14:textId="77777777" w:rsidTr="0057310C">
        <w:trPr>
          <w:trHeight w:val="385"/>
        </w:trPr>
        <w:tc>
          <w:tcPr>
            <w:tcW w:w="3275" w:type="dxa"/>
            <w:tcBorders>
              <w:top w:val="nil"/>
              <w:left w:val="single" w:sz="8" w:space="0" w:color="auto"/>
              <w:bottom w:val="single" w:sz="8" w:space="0" w:color="auto"/>
              <w:right w:val="single" w:sz="8" w:space="0" w:color="auto"/>
            </w:tcBorders>
            <w:shd w:val="clear" w:color="000000" w:fill="244062"/>
            <w:vAlign w:val="center"/>
            <w:hideMark/>
          </w:tcPr>
          <w:p w14:paraId="696309B2" w14:textId="77777777" w:rsidR="004C236F" w:rsidRPr="00FF386D" w:rsidRDefault="004C236F" w:rsidP="004C236F">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83" w:type="dxa"/>
            <w:gridSpan w:val="3"/>
            <w:tcBorders>
              <w:top w:val="single" w:sz="8" w:space="0" w:color="auto"/>
              <w:left w:val="nil"/>
              <w:bottom w:val="single" w:sz="8" w:space="0" w:color="auto"/>
              <w:right w:val="single" w:sz="8" w:space="0" w:color="000000"/>
            </w:tcBorders>
            <w:shd w:val="clear" w:color="auto" w:fill="auto"/>
            <w:vAlign w:val="center"/>
            <w:hideMark/>
          </w:tcPr>
          <w:p w14:paraId="6FD71FB2" w14:textId="4C54278B" w:rsidR="004C236F" w:rsidRPr="00FF386D" w:rsidRDefault="00B13368" w:rsidP="004C236F">
            <w:pPr>
              <w:numPr>
                <w:ilvl w:val="0"/>
                <w:numId w:val="112"/>
              </w:numPr>
              <w:spacing w:after="0" w:line="240" w:lineRule="auto"/>
              <w:contextualSpacing/>
              <w:rPr>
                <w:rFonts w:asciiTheme="majorHAnsi" w:eastAsia="Times New Roman" w:hAnsiTheme="majorHAnsi" w:cstheme="majorHAnsi"/>
                <w:color w:val="000000"/>
                <w:sz w:val="20"/>
                <w:szCs w:val="20"/>
                <w:lang w:eastAsia="en-GB"/>
              </w:rPr>
            </w:pPr>
            <w:r w:rsidRPr="00B13368">
              <w:rPr>
                <w:rFonts w:asciiTheme="majorHAnsi" w:eastAsia="Times New Roman" w:hAnsiTheme="majorHAnsi" w:cstheme="majorHAnsi"/>
                <w:color w:val="000000"/>
                <w:sz w:val="20"/>
                <w:szCs w:val="20"/>
                <w:lang w:eastAsia="en-GB"/>
              </w:rPr>
              <w:t>Програм управљања отпадом у Републици Србији за период 2022-2031. године</w:t>
            </w:r>
          </w:p>
        </w:tc>
      </w:tr>
      <w:tr w:rsidR="004C236F" w:rsidRPr="00FF386D" w14:paraId="495FA2CD" w14:textId="77777777" w:rsidTr="0057310C">
        <w:trPr>
          <w:trHeight w:val="315"/>
        </w:trPr>
        <w:tc>
          <w:tcPr>
            <w:tcW w:w="3275" w:type="dxa"/>
            <w:tcBorders>
              <w:top w:val="nil"/>
              <w:left w:val="single" w:sz="8" w:space="0" w:color="auto"/>
              <w:bottom w:val="single" w:sz="8" w:space="0" w:color="auto"/>
              <w:right w:val="single" w:sz="8" w:space="0" w:color="auto"/>
            </w:tcBorders>
            <w:shd w:val="clear" w:color="000000" w:fill="244062"/>
            <w:vAlign w:val="center"/>
            <w:hideMark/>
          </w:tcPr>
          <w:p w14:paraId="1ECD2AB1" w14:textId="77777777" w:rsidR="004C236F" w:rsidRPr="00FF386D" w:rsidRDefault="004C236F" w:rsidP="004C236F">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83" w:type="dxa"/>
            <w:gridSpan w:val="3"/>
            <w:tcBorders>
              <w:top w:val="single" w:sz="8" w:space="0" w:color="auto"/>
              <w:left w:val="nil"/>
              <w:bottom w:val="single" w:sz="8" w:space="0" w:color="auto"/>
              <w:right w:val="single" w:sz="8" w:space="0" w:color="000000"/>
            </w:tcBorders>
            <w:shd w:val="clear" w:color="auto" w:fill="auto"/>
            <w:vAlign w:val="center"/>
          </w:tcPr>
          <w:p w14:paraId="3FEB8525" w14:textId="77777777" w:rsidR="004C236F" w:rsidRPr="00FF386D" w:rsidRDefault="004C236F" w:rsidP="004C236F">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85 милиона евра</w:t>
            </w:r>
          </w:p>
        </w:tc>
      </w:tr>
      <w:tr w:rsidR="004C236F" w:rsidRPr="00FF386D" w14:paraId="4F4A965D" w14:textId="77777777" w:rsidTr="0057310C">
        <w:trPr>
          <w:trHeight w:val="315"/>
        </w:trPr>
        <w:tc>
          <w:tcPr>
            <w:tcW w:w="3275" w:type="dxa"/>
            <w:tcBorders>
              <w:top w:val="nil"/>
              <w:left w:val="single" w:sz="8" w:space="0" w:color="auto"/>
              <w:bottom w:val="single" w:sz="8" w:space="0" w:color="auto"/>
              <w:right w:val="single" w:sz="8" w:space="0" w:color="auto"/>
            </w:tcBorders>
            <w:shd w:val="clear" w:color="000000" w:fill="244062"/>
            <w:vAlign w:val="center"/>
            <w:hideMark/>
          </w:tcPr>
          <w:p w14:paraId="74F55B73" w14:textId="77777777" w:rsidR="004C236F" w:rsidRPr="00FF386D" w:rsidRDefault="004C236F" w:rsidP="004C236F">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83" w:type="dxa"/>
            <w:gridSpan w:val="3"/>
            <w:tcBorders>
              <w:top w:val="single" w:sz="8" w:space="0" w:color="auto"/>
              <w:left w:val="nil"/>
              <w:bottom w:val="single" w:sz="8" w:space="0" w:color="auto"/>
              <w:right w:val="single" w:sz="8" w:space="0" w:color="000000"/>
            </w:tcBorders>
            <w:shd w:val="clear" w:color="auto" w:fill="auto"/>
            <w:vAlign w:val="center"/>
          </w:tcPr>
          <w:p w14:paraId="03C247D6" w14:textId="77777777" w:rsidR="004C236F" w:rsidRPr="00FF386D" w:rsidRDefault="004C236F" w:rsidP="004C236F">
            <w:pPr>
              <w:spacing w:after="0" w:line="240" w:lineRule="auto"/>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Фондови ЕУ и други фондови, јавни буџет</w:t>
            </w:r>
          </w:p>
        </w:tc>
      </w:tr>
    </w:tbl>
    <w:p w14:paraId="7B773B68"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100"/>
        <w:gridCol w:w="1094"/>
        <w:gridCol w:w="917"/>
        <w:gridCol w:w="4377"/>
      </w:tblGrid>
      <w:tr w:rsidR="00854ADA" w:rsidRPr="00FF386D" w14:paraId="7C527A94" w14:textId="77777777" w:rsidTr="006E0ED7">
        <w:trPr>
          <w:trHeight w:val="780"/>
        </w:trPr>
        <w:tc>
          <w:tcPr>
            <w:tcW w:w="3100"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282F0BE1"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94" w:type="dxa"/>
            <w:tcBorders>
              <w:top w:val="single" w:sz="8" w:space="0" w:color="auto"/>
              <w:left w:val="nil"/>
              <w:bottom w:val="single" w:sz="8" w:space="0" w:color="auto"/>
              <w:right w:val="single" w:sz="8" w:space="0" w:color="auto"/>
            </w:tcBorders>
            <w:shd w:val="clear" w:color="auto" w:fill="E7E6E6" w:themeFill="background2"/>
            <w:vAlign w:val="center"/>
            <w:hideMark/>
          </w:tcPr>
          <w:p w14:paraId="2FE77D66"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МП_Д17</w:t>
            </w:r>
          </w:p>
        </w:tc>
        <w:tc>
          <w:tcPr>
            <w:tcW w:w="917" w:type="dxa"/>
            <w:tcBorders>
              <w:top w:val="single" w:sz="8" w:space="0" w:color="auto"/>
              <w:left w:val="nil"/>
              <w:bottom w:val="single" w:sz="8" w:space="0" w:color="auto"/>
              <w:right w:val="single" w:sz="8" w:space="0" w:color="auto"/>
            </w:tcBorders>
            <w:shd w:val="clear" w:color="000000" w:fill="244062"/>
            <w:vAlign w:val="center"/>
            <w:hideMark/>
          </w:tcPr>
          <w:p w14:paraId="5EC2708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377" w:type="dxa"/>
            <w:tcBorders>
              <w:top w:val="single" w:sz="8" w:space="0" w:color="auto"/>
              <w:left w:val="nil"/>
              <w:bottom w:val="single" w:sz="8" w:space="0" w:color="auto"/>
              <w:right w:val="single" w:sz="8" w:space="0" w:color="auto"/>
            </w:tcBorders>
            <w:shd w:val="clear" w:color="auto" w:fill="E7E6E6" w:themeFill="background2"/>
            <w:vAlign w:val="center"/>
            <w:hideMark/>
          </w:tcPr>
          <w:p w14:paraId="64647111" w14:textId="537DEA1E" w:rsidR="00854ADA" w:rsidRPr="00FF386D" w:rsidRDefault="00640D3E"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Употреба</w:t>
            </w:r>
            <w:r w:rsidR="00854ADA" w:rsidRPr="000A2AFE">
              <w:rPr>
                <w:rFonts w:ascii="Calibri Light" w:eastAsia="Times New Roman" w:hAnsi="Calibri Light" w:cs="Calibri Light"/>
                <w:b/>
                <w:bCs/>
                <w:color w:val="000000"/>
                <w:sz w:val="20"/>
                <w:szCs w:val="20"/>
                <w:lang w:eastAsia="en-GB"/>
              </w:rPr>
              <w:t xml:space="preserve"> </w:t>
            </w:r>
            <w:r w:rsidR="009832C0">
              <w:rPr>
                <w:rFonts w:ascii="Calibri Light" w:eastAsia="Times New Roman" w:hAnsi="Calibri Light" w:cs="Calibri Light"/>
                <w:b/>
                <w:bCs/>
                <w:color w:val="000000"/>
                <w:sz w:val="20"/>
                <w:szCs w:val="20"/>
                <w:lang w:eastAsia="en-GB"/>
              </w:rPr>
              <w:t>укупне</w:t>
            </w:r>
            <w:r w:rsidR="00854ADA" w:rsidRPr="000A2AFE">
              <w:rPr>
                <w:rFonts w:ascii="Calibri Light" w:eastAsia="Times New Roman" w:hAnsi="Calibri Light" w:cs="Calibri Light"/>
                <w:b/>
                <w:bCs/>
                <w:color w:val="000000"/>
                <w:sz w:val="20"/>
                <w:szCs w:val="20"/>
                <w:lang w:eastAsia="en-GB"/>
              </w:rPr>
              <w:t xml:space="preserve"> количине метана (CH</w:t>
            </w:r>
            <w:r w:rsidR="00854ADA" w:rsidRPr="000A2AFE">
              <w:rPr>
                <w:rFonts w:ascii="Calibri Light" w:eastAsia="Times New Roman" w:hAnsi="Calibri Light" w:cs="Calibri Light"/>
                <w:b/>
                <w:bCs/>
                <w:color w:val="000000"/>
                <w:sz w:val="20"/>
                <w:szCs w:val="20"/>
                <w:vertAlign w:val="subscript"/>
                <w:lang w:eastAsia="en-GB"/>
              </w:rPr>
              <w:t>4</w:t>
            </w:r>
            <w:r w:rsidR="00854ADA" w:rsidRPr="000A2AFE">
              <w:rPr>
                <w:rFonts w:ascii="Calibri Light" w:eastAsia="Times New Roman" w:hAnsi="Calibri Light" w:cs="Calibri Light"/>
                <w:b/>
                <w:bCs/>
                <w:color w:val="000000"/>
                <w:sz w:val="20"/>
                <w:szCs w:val="20"/>
                <w:lang w:eastAsia="en-GB"/>
              </w:rPr>
              <w:t xml:space="preserve">) насталог из </w:t>
            </w:r>
            <w:r w:rsidRPr="000A2AFE">
              <w:rPr>
                <w:rFonts w:ascii="Calibri Light" w:eastAsia="Times New Roman" w:hAnsi="Calibri Light" w:cs="Calibri Light"/>
                <w:b/>
                <w:bCs/>
                <w:color w:val="000000"/>
                <w:sz w:val="20"/>
                <w:szCs w:val="20"/>
                <w:lang w:eastAsia="en-GB"/>
              </w:rPr>
              <w:t>укупног</w:t>
            </w:r>
            <w:r w:rsidR="00854ADA" w:rsidRPr="000A2AFE">
              <w:rPr>
                <w:rFonts w:ascii="Calibri Light" w:eastAsia="Times New Roman" w:hAnsi="Calibri Light" w:cs="Calibri Light"/>
                <w:b/>
                <w:bCs/>
                <w:color w:val="000000"/>
                <w:sz w:val="20"/>
                <w:szCs w:val="20"/>
                <w:lang w:eastAsia="en-GB"/>
              </w:rPr>
              <w:t xml:space="preserve"> одложеног отпада који заврши на санитарним депонијама</w:t>
            </w:r>
          </w:p>
        </w:tc>
      </w:tr>
      <w:tr w:rsidR="00854ADA" w:rsidRPr="00FF386D" w14:paraId="770F1F07" w14:textId="77777777" w:rsidTr="006E0ED7">
        <w:trPr>
          <w:trHeight w:val="435"/>
        </w:trPr>
        <w:tc>
          <w:tcPr>
            <w:tcW w:w="3100" w:type="dxa"/>
            <w:tcBorders>
              <w:top w:val="nil"/>
              <w:left w:val="single" w:sz="8" w:space="0" w:color="auto"/>
              <w:bottom w:val="single" w:sz="8" w:space="0" w:color="auto"/>
              <w:right w:val="nil"/>
            </w:tcBorders>
            <w:shd w:val="clear" w:color="000000" w:fill="244062"/>
            <w:vAlign w:val="center"/>
            <w:hideMark/>
          </w:tcPr>
          <w:p w14:paraId="0335851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388" w:type="dxa"/>
            <w:gridSpan w:val="3"/>
            <w:tcBorders>
              <w:top w:val="single" w:sz="8" w:space="0" w:color="auto"/>
              <w:left w:val="nil"/>
              <w:bottom w:val="single" w:sz="8" w:space="0" w:color="auto"/>
              <w:right w:val="single" w:sz="8" w:space="0" w:color="000000"/>
            </w:tcBorders>
            <w:shd w:val="clear" w:color="auto" w:fill="auto"/>
            <w:vAlign w:val="center"/>
            <w:hideMark/>
          </w:tcPr>
          <w:p w14:paraId="373E960C"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Смањење емисија CH</w:t>
            </w:r>
            <w:r w:rsidRPr="00FF386D">
              <w:rPr>
                <w:rFonts w:asciiTheme="majorHAnsi" w:eastAsia="Times New Roman" w:hAnsiTheme="majorHAnsi" w:cstheme="majorHAnsi"/>
                <w:color w:val="000000"/>
                <w:sz w:val="20"/>
                <w:szCs w:val="20"/>
                <w:vertAlign w:val="subscript"/>
                <w:lang w:eastAsia="en-GB"/>
              </w:rPr>
              <w:t>4</w:t>
            </w:r>
          </w:p>
        </w:tc>
      </w:tr>
      <w:tr w:rsidR="00854ADA" w:rsidRPr="00FF386D" w14:paraId="12A9270B" w14:textId="77777777" w:rsidTr="006E0ED7">
        <w:trPr>
          <w:trHeight w:val="315"/>
        </w:trPr>
        <w:tc>
          <w:tcPr>
            <w:tcW w:w="3100" w:type="dxa"/>
            <w:tcBorders>
              <w:top w:val="nil"/>
              <w:left w:val="single" w:sz="8" w:space="0" w:color="auto"/>
              <w:bottom w:val="single" w:sz="8" w:space="0" w:color="auto"/>
              <w:right w:val="single" w:sz="8" w:space="0" w:color="auto"/>
            </w:tcBorders>
            <w:shd w:val="clear" w:color="000000" w:fill="244062"/>
            <w:vAlign w:val="center"/>
            <w:hideMark/>
          </w:tcPr>
          <w:p w14:paraId="1A264A2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388" w:type="dxa"/>
            <w:gridSpan w:val="3"/>
            <w:tcBorders>
              <w:top w:val="single" w:sz="8" w:space="0" w:color="auto"/>
              <w:left w:val="nil"/>
              <w:bottom w:val="single" w:sz="8" w:space="0" w:color="auto"/>
              <w:right w:val="single" w:sz="8" w:space="0" w:color="000000"/>
            </w:tcBorders>
            <w:shd w:val="clear" w:color="auto" w:fill="auto"/>
            <w:vAlign w:val="center"/>
            <w:hideMark/>
          </w:tcPr>
          <w:p w14:paraId="49F68DC2" w14:textId="7C67DCA9" w:rsidR="00854ADA" w:rsidRPr="00FF386D" w:rsidRDefault="009F4D23" w:rsidP="00854ADA">
            <w:pPr>
              <w:spacing w:after="0" w:line="240" w:lineRule="auto"/>
              <w:jc w:val="both"/>
              <w:rPr>
                <w:rFonts w:asciiTheme="majorHAnsi" w:eastAsia="Times New Roman" w:hAnsiTheme="majorHAnsi" w:cstheme="majorHAnsi"/>
                <w:color w:val="000000"/>
                <w:sz w:val="20"/>
                <w:szCs w:val="20"/>
                <w:lang w:eastAsia="en-GB"/>
              </w:rPr>
            </w:pPr>
            <w:r w:rsidRPr="009F4D23">
              <w:rPr>
                <w:rFonts w:ascii="Calibri Light" w:eastAsia="Times New Roman" w:hAnsi="Calibri Light" w:cs="Calibri Light"/>
                <w:color w:val="000000"/>
                <w:sz w:val="20"/>
                <w:szCs w:val="20"/>
                <w:lang w:eastAsia="en-GB"/>
              </w:rPr>
              <w:t>Допринос циљу смањења емисија GHG за 33,3% (без LULUCF) до 2030. године у поређењу са нивоима из 1990. године</w:t>
            </w:r>
          </w:p>
        </w:tc>
      </w:tr>
      <w:tr w:rsidR="00854ADA" w:rsidRPr="00FF386D" w14:paraId="324072D9" w14:textId="77777777" w:rsidTr="006E0ED7">
        <w:trPr>
          <w:trHeight w:val="913"/>
        </w:trPr>
        <w:tc>
          <w:tcPr>
            <w:tcW w:w="3100" w:type="dxa"/>
            <w:tcBorders>
              <w:top w:val="nil"/>
              <w:left w:val="single" w:sz="8" w:space="0" w:color="auto"/>
              <w:bottom w:val="single" w:sz="8" w:space="0" w:color="auto"/>
              <w:right w:val="single" w:sz="8" w:space="0" w:color="auto"/>
            </w:tcBorders>
            <w:shd w:val="clear" w:color="000000" w:fill="244062"/>
            <w:vAlign w:val="center"/>
            <w:hideMark/>
          </w:tcPr>
          <w:p w14:paraId="7E4B831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388" w:type="dxa"/>
            <w:gridSpan w:val="3"/>
            <w:tcBorders>
              <w:top w:val="single" w:sz="8" w:space="0" w:color="auto"/>
              <w:left w:val="nil"/>
              <w:bottom w:val="single" w:sz="8" w:space="0" w:color="auto"/>
              <w:right w:val="single" w:sz="8" w:space="0" w:color="000000"/>
            </w:tcBorders>
            <w:shd w:val="clear" w:color="auto" w:fill="auto"/>
            <w:vAlign w:val="center"/>
            <w:hideMark/>
          </w:tcPr>
          <w:p w14:paraId="31F229F5" w14:textId="7767D80C"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МП_Д17 ће омогућити процес у ко</w:t>
            </w:r>
            <w:r w:rsidR="00250687" w:rsidRPr="000A2AFE">
              <w:rPr>
                <w:rFonts w:ascii="Calibri Light" w:eastAsia="Times New Roman" w:hAnsi="Calibri Light" w:cs="Calibri Light"/>
                <w:color w:val="000000"/>
                <w:sz w:val="20"/>
                <w:szCs w:val="20"/>
                <w:lang w:eastAsia="en-GB"/>
              </w:rPr>
              <w:t>ме</w:t>
            </w:r>
            <w:r w:rsidRPr="000A2AFE">
              <w:rPr>
                <w:rFonts w:ascii="Calibri Light" w:eastAsia="Times New Roman" w:hAnsi="Calibri Light" w:cs="Calibri Light"/>
                <w:color w:val="000000"/>
                <w:sz w:val="20"/>
                <w:szCs w:val="20"/>
                <w:lang w:eastAsia="en-GB"/>
              </w:rPr>
              <w:t xml:space="preserve"> се метан </w:t>
            </w:r>
            <w:r w:rsidR="009A30BE" w:rsidRPr="000A2AFE">
              <w:rPr>
                <w:rFonts w:ascii="Calibri Light" w:eastAsia="Times New Roman" w:hAnsi="Calibri Light" w:cs="Calibri Light"/>
                <w:color w:val="000000"/>
                <w:sz w:val="20"/>
                <w:szCs w:val="20"/>
                <w:lang w:eastAsia="en-GB"/>
              </w:rPr>
              <w:t xml:space="preserve">који се </w:t>
            </w:r>
            <w:r w:rsidRPr="000A2AFE">
              <w:rPr>
                <w:rFonts w:ascii="Calibri Light" w:eastAsia="Times New Roman" w:hAnsi="Calibri Light" w:cs="Calibri Light"/>
                <w:color w:val="000000"/>
                <w:sz w:val="20"/>
                <w:szCs w:val="20"/>
                <w:lang w:eastAsia="en-GB"/>
              </w:rPr>
              <w:t>произв</w:t>
            </w:r>
            <w:r w:rsidR="009A30BE" w:rsidRPr="000A2AFE">
              <w:rPr>
                <w:rFonts w:ascii="Calibri Light" w:eastAsia="Times New Roman" w:hAnsi="Calibri Light" w:cs="Calibri Light"/>
                <w:color w:val="000000"/>
                <w:sz w:val="20"/>
                <w:szCs w:val="20"/>
                <w:lang w:eastAsia="en-GB"/>
              </w:rPr>
              <w:t>оди</w:t>
            </w:r>
            <w:r w:rsidRPr="000A2AFE">
              <w:rPr>
                <w:rFonts w:ascii="Calibri Light" w:eastAsia="Times New Roman" w:hAnsi="Calibri Light" w:cs="Calibri Light"/>
                <w:color w:val="000000"/>
                <w:sz w:val="20"/>
                <w:szCs w:val="20"/>
                <w:lang w:eastAsia="en-GB"/>
              </w:rPr>
              <w:t xml:space="preserve"> на </w:t>
            </w:r>
            <w:r w:rsidR="00B13368" w:rsidRPr="00B13368">
              <w:rPr>
                <w:rFonts w:ascii="Calibri Light" w:eastAsia="Times New Roman" w:hAnsi="Calibri Light" w:cs="Calibri Light"/>
                <w:color w:val="000000"/>
                <w:sz w:val="20"/>
                <w:szCs w:val="20"/>
                <w:lang w:eastAsia="en-GB"/>
              </w:rPr>
              <w:t>депонијама</w:t>
            </w:r>
            <w:r w:rsidRPr="000A2AFE">
              <w:rPr>
                <w:rFonts w:ascii="Calibri Light" w:eastAsia="Times New Roman" w:hAnsi="Calibri Light" w:cs="Calibri Light"/>
                <w:color w:val="000000"/>
                <w:sz w:val="20"/>
                <w:szCs w:val="20"/>
                <w:lang w:eastAsia="en-GB"/>
              </w:rPr>
              <w:t xml:space="preserve"> отпада </w:t>
            </w:r>
            <w:r w:rsidR="00640D3E" w:rsidRPr="000A2AFE">
              <w:rPr>
                <w:rFonts w:ascii="Calibri Light" w:eastAsia="Times New Roman" w:hAnsi="Calibri Light" w:cs="Calibri Light"/>
                <w:color w:val="000000"/>
                <w:sz w:val="20"/>
                <w:szCs w:val="20"/>
                <w:lang w:eastAsia="en-GB"/>
              </w:rPr>
              <w:t xml:space="preserve">може </w:t>
            </w:r>
            <w:r w:rsidRPr="000A2AFE">
              <w:rPr>
                <w:rFonts w:ascii="Calibri Light" w:eastAsia="Times New Roman" w:hAnsi="Calibri Light" w:cs="Calibri Light"/>
                <w:color w:val="000000"/>
                <w:sz w:val="20"/>
                <w:szCs w:val="20"/>
                <w:lang w:eastAsia="en-GB"/>
              </w:rPr>
              <w:t>користити на одржив начин као извор енергије</w:t>
            </w:r>
            <w:r w:rsidR="00B13368">
              <w:rPr>
                <w:rFonts w:ascii="Calibri Light" w:eastAsia="Times New Roman" w:hAnsi="Calibri Light" w:cs="Calibri Light"/>
                <w:color w:val="000000"/>
                <w:sz w:val="20"/>
                <w:szCs w:val="20"/>
                <w:lang w:eastAsia="en-GB"/>
              </w:rPr>
              <w:t>.</w:t>
            </w:r>
          </w:p>
        </w:tc>
      </w:tr>
      <w:tr w:rsidR="00854ADA" w:rsidRPr="00FF386D" w14:paraId="6A9BC0C8" w14:textId="77777777" w:rsidTr="006E0ED7">
        <w:trPr>
          <w:trHeight w:val="315"/>
        </w:trPr>
        <w:tc>
          <w:tcPr>
            <w:tcW w:w="3100" w:type="dxa"/>
            <w:tcBorders>
              <w:top w:val="nil"/>
              <w:left w:val="single" w:sz="8" w:space="0" w:color="auto"/>
              <w:bottom w:val="single" w:sz="8" w:space="0" w:color="auto"/>
              <w:right w:val="single" w:sz="8" w:space="0" w:color="auto"/>
            </w:tcBorders>
            <w:shd w:val="clear" w:color="000000" w:fill="244062"/>
            <w:vAlign w:val="center"/>
            <w:hideMark/>
          </w:tcPr>
          <w:p w14:paraId="6D82B65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388" w:type="dxa"/>
            <w:gridSpan w:val="3"/>
            <w:tcBorders>
              <w:top w:val="single" w:sz="8" w:space="0" w:color="auto"/>
              <w:left w:val="nil"/>
              <w:bottom w:val="single" w:sz="8" w:space="0" w:color="auto"/>
              <w:right w:val="single" w:sz="8" w:space="0" w:color="000000"/>
            </w:tcBorders>
            <w:shd w:val="clear" w:color="auto" w:fill="auto"/>
            <w:vAlign w:val="center"/>
            <w:hideMark/>
          </w:tcPr>
          <w:p w14:paraId="4A98FFD7" w14:textId="087CA870"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202</w:t>
            </w:r>
            <w:r w:rsidR="009A30BE" w:rsidRPr="000A2AFE">
              <w:rPr>
                <w:rFonts w:ascii="Calibri Light" w:eastAsia="Times New Roman" w:hAnsi="Calibri Light" w:cs="Calibri Light"/>
                <w:color w:val="000000"/>
                <w:sz w:val="20"/>
                <w:szCs w:val="20"/>
                <w:lang w:eastAsia="en-GB"/>
              </w:rPr>
              <w:t>3</w:t>
            </w:r>
            <w:r w:rsidRPr="000A2AFE">
              <w:rPr>
                <w:rFonts w:ascii="Calibri Light" w:eastAsia="Times New Roman" w:hAnsi="Calibri Light" w:cs="Calibri Light"/>
                <w:color w:val="000000"/>
                <w:sz w:val="20"/>
                <w:szCs w:val="20"/>
                <w:lang w:eastAsia="en-GB"/>
              </w:rPr>
              <w:t>-2030.</w:t>
            </w:r>
          </w:p>
        </w:tc>
      </w:tr>
      <w:tr w:rsidR="00854ADA" w:rsidRPr="00FF386D" w14:paraId="15245471" w14:textId="77777777" w:rsidTr="006E0ED7">
        <w:trPr>
          <w:trHeight w:val="315"/>
        </w:trPr>
        <w:tc>
          <w:tcPr>
            <w:tcW w:w="3100" w:type="dxa"/>
            <w:tcBorders>
              <w:top w:val="nil"/>
              <w:left w:val="single" w:sz="8" w:space="0" w:color="auto"/>
              <w:bottom w:val="single" w:sz="8" w:space="0" w:color="auto"/>
              <w:right w:val="single" w:sz="8" w:space="0" w:color="auto"/>
            </w:tcBorders>
            <w:shd w:val="clear" w:color="000000" w:fill="244062"/>
            <w:vAlign w:val="center"/>
            <w:hideMark/>
          </w:tcPr>
          <w:p w14:paraId="743FA52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388" w:type="dxa"/>
            <w:gridSpan w:val="3"/>
            <w:tcBorders>
              <w:top w:val="single" w:sz="8" w:space="0" w:color="auto"/>
              <w:left w:val="nil"/>
              <w:bottom w:val="single" w:sz="8" w:space="0" w:color="auto"/>
              <w:right w:val="single" w:sz="8" w:space="0" w:color="000000"/>
            </w:tcBorders>
            <w:shd w:val="clear" w:color="auto" w:fill="auto"/>
            <w:vAlign w:val="center"/>
            <w:hideMark/>
          </w:tcPr>
          <w:p w14:paraId="48AFA39B"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Инвестиције</w:t>
            </w:r>
          </w:p>
        </w:tc>
      </w:tr>
      <w:tr w:rsidR="00854ADA" w:rsidRPr="00FF386D" w14:paraId="6BE13C7C" w14:textId="77777777" w:rsidTr="006E0ED7">
        <w:trPr>
          <w:trHeight w:val="315"/>
        </w:trPr>
        <w:tc>
          <w:tcPr>
            <w:tcW w:w="3100" w:type="dxa"/>
            <w:tcBorders>
              <w:top w:val="nil"/>
              <w:left w:val="single" w:sz="8" w:space="0" w:color="auto"/>
              <w:bottom w:val="single" w:sz="8" w:space="0" w:color="auto"/>
              <w:right w:val="single" w:sz="8" w:space="0" w:color="auto"/>
            </w:tcBorders>
            <w:shd w:val="clear" w:color="000000" w:fill="244062"/>
            <w:vAlign w:val="center"/>
            <w:hideMark/>
          </w:tcPr>
          <w:p w14:paraId="2DC8327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388" w:type="dxa"/>
            <w:gridSpan w:val="3"/>
            <w:tcBorders>
              <w:top w:val="single" w:sz="8" w:space="0" w:color="auto"/>
              <w:left w:val="nil"/>
              <w:bottom w:val="single" w:sz="8" w:space="0" w:color="auto"/>
              <w:right w:val="single" w:sz="8" w:space="0" w:color="000000"/>
            </w:tcBorders>
            <w:shd w:val="clear" w:color="auto" w:fill="auto"/>
            <w:vAlign w:val="center"/>
            <w:hideMark/>
          </w:tcPr>
          <w:p w14:paraId="7443E626"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Отпад</w:t>
            </w:r>
          </w:p>
        </w:tc>
      </w:tr>
      <w:tr w:rsidR="00854ADA" w:rsidRPr="00FF386D" w14:paraId="2A3B31FB" w14:textId="77777777" w:rsidTr="006E0ED7">
        <w:trPr>
          <w:trHeight w:val="315"/>
        </w:trPr>
        <w:tc>
          <w:tcPr>
            <w:tcW w:w="3100" w:type="dxa"/>
            <w:tcBorders>
              <w:top w:val="nil"/>
              <w:left w:val="single" w:sz="8" w:space="0" w:color="auto"/>
              <w:bottom w:val="single" w:sz="8" w:space="0" w:color="auto"/>
              <w:right w:val="single" w:sz="8" w:space="0" w:color="auto"/>
            </w:tcBorders>
            <w:shd w:val="clear" w:color="000000" w:fill="244062"/>
            <w:vAlign w:val="center"/>
            <w:hideMark/>
          </w:tcPr>
          <w:p w14:paraId="3ADA447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388" w:type="dxa"/>
            <w:gridSpan w:val="3"/>
            <w:tcBorders>
              <w:top w:val="single" w:sz="8" w:space="0" w:color="auto"/>
              <w:left w:val="nil"/>
              <w:bottom w:val="single" w:sz="8" w:space="0" w:color="auto"/>
              <w:right w:val="single" w:sz="8" w:space="0" w:color="000000"/>
            </w:tcBorders>
            <w:shd w:val="clear" w:color="auto" w:fill="auto"/>
            <w:vAlign w:val="center"/>
            <w:hideMark/>
          </w:tcPr>
          <w:p w14:paraId="6281D7A8" w14:textId="77777777" w:rsidR="00854ADA" w:rsidRPr="00FF386D" w:rsidRDefault="00854ADA" w:rsidP="00854ADA">
            <w:pPr>
              <w:numPr>
                <w:ilvl w:val="0"/>
                <w:numId w:val="217"/>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заштите животне средине</w:t>
            </w:r>
          </w:p>
        </w:tc>
      </w:tr>
      <w:tr w:rsidR="00854ADA" w:rsidRPr="00FF386D" w14:paraId="7FAF788C" w14:textId="77777777" w:rsidTr="006E0ED7">
        <w:trPr>
          <w:trHeight w:val="315"/>
        </w:trPr>
        <w:tc>
          <w:tcPr>
            <w:tcW w:w="3100" w:type="dxa"/>
            <w:tcBorders>
              <w:top w:val="nil"/>
              <w:left w:val="single" w:sz="8" w:space="0" w:color="auto"/>
              <w:bottom w:val="single" w:sz="8" w:space="0" w:color="auto"/>
              <w:right w:val="nil"/>
            </w:tcBorders>
            <w:shd w:val="clear" w:color="000000" w:fill="244062"/>
            <w:vAlign w:val="center"/>
            <w:hideMark/>
          </w:tcPr>
          <w:p w14:paraId="3BF93DE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388" w:type="dxa"/>
            <w:gridSpan w:val="3"/>
            <w:tcBorders>
              <w:top w:val="single" w:sz="8" w:space="0" w:color="auto"/>
              <w:left w:val="nil"/>
              <w:bottom w:val="single" w:sz="8" w:space="0" w:color="auto"/>
              <w:right w:val="single" w:sz="8" w:space="0" w:color="000000"/>
            </w:tcBorders>
            <w:shd w:val="clear" w:color="auto" w:fill="auto"/>
            <w:vAlign w:val="center"/>
          </w:tcPr>
          <w:p w14:paraId="63C7B674" w14:textId="77777777" w:rsidR="00854ADA" w:rsidRPr="00FF386D" w:rsidRDefault="00854ADA" w:rsidP="00854ADA">
            <w:pPr>
              <w:numPr>
                <w:ilvl w:val="0"/>
                <w:numId w:val="217"/>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заштите животне средине</w:t>
            </w:r>
          </w:p>
        </w:tc>
      </w:tr>
      <w:tr w:rsidR="00854ADA" w:rsidRPr="00FF386D" w14:paraId="026CA7FA" w14:textId="77777777" w:rsidTr="006E0ED7">
        <w:trPr>
          <w:trHeight w:val="315"/>
        </w:trPr>
        <w:tc>
          <w:tcPr>
            <w:tcW w:w="3100" w:type="dxa"/>
            <w:tcBorders>
              <w:top w:val="nil"/>
              <w:left w:val="single" w:sz="8" w:space="0" w:color="auto"/>
              <w:bottom w:val="single" w:sz="8" w:space="0" w:color="auto"/>
              <w:right w:val="nil"/>
            </w:tcBorders>
            <w:shd w:val="clear" w:color="000000" w:fill="244062"/>
            <w:vAlign w:val="center"/>
            <w:hideMark/>
          </w:tcPr>
          <w:p w14:paraId="09B08F1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388" w:type="dxa"/>
            <w:gridSpan w:val="3"/>
            <w:tcBorders>
              <w:top w:val="single" w:sz="8" w:space="0" w:color="auto"/>
              <w:left w:val="nil"/>
              <w:bottom w:val="single" w:sz="8" w:space="0" w:color="auto"/>
              <w:right w:val="single" w:sz="8" w:space="0" w:color="000000"/>
            </w:tcBorders>
            <w:shd w:val="clear" w:color="auto" w:fill="auto"/>
            <w:vAlign w:val="center"/>
            <w:hideMark/>
          </w:tcPr>
          <w:p w14:paraId="556E457D" w14:textId="403C7C43" w:rsidR="00854ADA" w:rsidRPr="000A2AFE" w:rsidRDefault="009F4D23" w:rsidP="000A2AFE">
            <w:pPr>
              <w:pStyle w:val="ListParagraph"/>
              <w:numPr>
                <w:ilvl w:val="0"/>
                <w:numId w:val="217"/>
              </w:numPr>
              <w:spacing w:after="0" w:line="240" w:lineRule="auto"/>
              <w:rPr>
                <w:rFonts w:asciiTheme="majorHAnsi" w:eastAsia="Times New Roman" w:hAnsiTheme="majorHAnsi" w:cstheme="majorHAnsi"/>
                <w:color w:val="000000"/>
                <w:sz w:val="20"/>
                <w:szCs w:val="20"/>
                <w:lang w:eastAsia="en-GB"/>
              </w:rPr>
            </w:pPr>
            <w:r>
              <w:rPr>
                <w:rFonts w:asciiTheme="majorHAnsi" w:eastAsia="Times New Roman" w:hAnsiTheme="majorHAnsi" w:cstheme="majorHAnsi"/>
                <w:bCs/>
                <w:color w:val="000000"/>
                <w:sz w:val="20"/>
                <w:szCs w:val="20"/>
                <w:lang w:eastAsia="en-GB"/>
              </w:rPr>
              <w:t>Смањење емисија</w:t>
            </w:r>
            <w:r w:rsidRPr="009F4D23">
              <w:rPr>
                <w:rFonts w:ascii="Calibri Light" w:eastAsia="Times New Roman" w:hAnsi="Calibri Light" w:cs="Calibri Light"/>
                <w:color w:val="000000"/>
                <w:sz w:val="20"/>
                <w:szCs w:val="20"/>
                <w:lang w:eastAsia="en-GB"/>
              </w:rPr>
              <w:t xml:space="preserve"> (Gg CO</w:t>
            </w:r>
            <w:r w:rsidRPr="009F4D23">
              <w:rPr>
                <w:rFonts w:ascii="Calibri Light" w:eastAsia="Times New Roman" w:hAnsi="Calibri Light" w:cs="Calibri Light"/>
                <w:color w:val="000000"/>
                <w:sz w:val="20"/>
                <w:szCs w:val="20"/>
                <w:vertAlign w:val="subscript"/>
                <w:lang w:eastAsia="en-GB"/>
              </w:rPr>
              <w:t>2</w:t>
            </w:r>
            <w:r w:rsidRPr="009F4D23">
              <w:rPr>
                <w:rFonts w:ascii="Calibri Light" w:eastAsia="Times New Roman" w:hAnsi="Calibri Light" w:cs="Calibri Light"/>
                <w:color w:val="000000"/>
                <w:sz w:val="20"/>
                <w:szCs w:val="20"/>
                <w:lang w:eastAsia="en-GB"/>
              </w:rPr>
              <w:t>-eq)</w:t>
            </w:r>
          </w:p>
        </w:tc>
      </w:tr>
      <w:tr w:rsidR="00854ADA" w:rsidRPr="00FF386D" w14:paraId="16C9C685" w14:textId="77777777" w:rsidTr="006E0ED7">
        <w:trPr>
          <w:trHeight w:val="466"/>
        </w:trPr>
        <w:tc>
          <w:tcPr>
            <w:tcW w:w="3100" w:type="dxa"/>
            <w:tcBorders>
              <w:top w:val="nil"/>
              <w:left w:val="single" w:sz="8" w:space="0" w:color="auto"/>
              <w:bottom w:val="single" w:sz="8" w:space="0" w:color="auto"/>
              <w:right w:val="single" w:sz="8" w:space="0" w:color="auto"/>
            </w:tcBorders>
            <w:shd w:val="clear" w:color="000000" w:fill="244062"/>
            <w:vAlign w:val="center"/>
            <w:hideMark/>
          </w:tcPr>
          <w:p w14:paraId="1D74D3F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Друге релевантне обухваћене димензије Енергетске уније</w:t>
            </w:r>
          </w:p>
        </w:tc>
        <w:tc>
          <w:tcPr>
            <w:tcW w:w="6388" w:type="dxa"/>
            <w:gridSpan w:val="3"/>
            <w:tcBorders>
              <w:top w:val="single" w:sz="8" w:space="0" w:color="auto"/>
              <w:left w:val="nil"/>
              <w:bottom w:val="single" w:sz="8" w:space="0" w:color="auto"/>
              <w:right w:val="single" w:sz="8" w:space="0" w:color="000000"/>
            </w:tcBorders>
            <w:shd w:val="clear" w:color="auto" w:fill="auto"/>
            <w:vAlign w:val="center"/>
          </w:tcPr>
          <w:p w14:paraId="25F3D89D" w14:textId="77777777" w:rsidR="00854ADA" w:rsidRPr="00FF386D" w:rsidRDefault="00854ADA" w:rsidP="009A30BE">
            <w:pPr>
              <w:spacing w:after="0" w:line="240" w:lineRule="auto"/>
              <w:rPr>
                <w:rFonts w:asciiTheme="majorHAnsi" w:eastAsia="Times New Roman" w:hAnsiTheme="majorHAnsi" w:cstheme="majorHAnsi"/>
                <w:color w:val="000000"/>
                <w:sz w:val="20"/>
                <w:szCs w:val="20"/>
                <w:lang w:eastAsia="en-GB"/>
              </w:rPr>
            </w:pPr>
          </w:p>
        </w:tc>
      </w:tr>
      <w:tr w:rsidR="00854ADA" w:rsidRPr="00FF386D" w14:paraId="2FE0344E" w14:textId="77777777" w:rsidTr="006E0ED7">
        <w:trPr>
          <w:trHeight w:val="450"/>
        </w:trPr>
        <w:tc>
          <w:tcPr>
            <w:tcW w:w="3100"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55D19ABB" w14:textId="56ADE53A"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p w14:paraId="6529DD8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388" w:type="dxa"/>
            <w:gridSpan w:val="3"/>
            <w:tcBorders>
              <w:top w:val="single" w:sz="8" w:space="0" w:color="auto"/>
              <w:left w:val="single" w:sz="8" w:space="0" w:color="auto"/>
              <w:bottom w:val="single" w:sz="8" w:space="0" w:color="000000"/>
              <w:right w:val="single" w:sz="8" w:space="0" w:color="000000"/>
            </w:tcBorders>
            <w:shd w:val="clear" w:color="auto" w:fill="auto"/>
            <w:vAlign w:val="center"/>
            <w:hideMark/>
          </w:tcPr>
          <w:p w14:paraId="2572602C" w14:textId="6B77DA73" w:rsidR="00854ADA" w:rsidRPr="00FF386D" w:rsidRDefault="009A30BE" w:rsidP="009A30BE">
            <w:pPr>
              <w:numPr>
                <w:ilvl w:val="0"/>
                <w:numId w:val="113"/>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Уредба 2018/</w:t>
            </w:r>
            <w:r w:rsidR="00B13368" w:rsidRPr="00B13368">
              <w:rPr>
                <w:rFonts w:asciiTheme="majorHAnsi" w:eastAsia="Times New Roman" w:hAnsiTheme="majorHAnsi" w:cstheme="majorHAnsi"/>
                <w:color w:val="000000"/>
                <w:sz w:val="20"/>
                <w:szCs w:val="20"/>
                <w:lang w:eastAsia="en-GB"/>
              </w:rPr>
              <w:t>1999</w:t>
            </w:r>
          </w:p>
        </w:tc>
      </w:tr>
      <w:tr w:rsidR="009A30BE" w:rsidRPr="00FF386D" w14:paraId="46F13CD5" w14:textId="77777777" w:rsidTr="006E0ED7">
        <w:trPr>
          <w:trHeight w:val="958"/>
        </w:trPr>
        <w:tc>
          <w:tcPr>
            <w:tcW w:w="3100" w:type="dxa"/>
            <w:vMerge/>
            <w:tcBorders>
              <w:top w:val="nil"/>
              <w:left w:val="single" w:sz="8" w:space="0" w:color="auto"/>
              <w:bottom w:val="single" w:sz="8" w:space="0" w:color="000000"/>
              <w:right w:val="single" w:sz="8" w:space="0" w:color="auto"/>
            </w:tcBorders>
            <w:vAlign w:val="center"/>
            <w:hideMark/>
          </w:tcPr>
          <w:p w14:paraId="47435047" w14:textId="77777777" w:rsidR="009A30BE" w:rsidRPr="00FF386D" w:rsidRDefault="009A30BE" w:rsidP="00854ADA">
            <w:pPr>
              <w:spacing w:after="0" w:line="240" w:lineRule="auto"/>
              <w:rPr>
                <w:rFonts w:ascii="Calibri Light" w:eastAsia="Times New Roman" w:hAnsi="Calibri Light" w:cs="Calibri Light"/>
                <w:b/>
                <w:bCs/>
                <w:color w:val="FFFFFF"/>
                <w:sz w:val="20"/>
                <w:szCs w:val="20"/>
                <w:lang w:eastAsia="en-GB"/>
              </w:rPr>
            </w:pPr>
          </w:p>
        </w:tc>
        <w:tc>
          <w:tcPr>
            <w:tcW w:w="6388" w:type="dxa"/>
            <w:gridSpan w:val="3"/>
            <w:tcBorders>
              <w:top w:val="single" w:sz="8" w:space="0" w:color="auto"/>
              <w:left w:val="single" w:sz="8" w:space="0" w:color="auto"/>
              <w:right w:val="single" w:sz="8" w:space="0" w:color="000000"/>
            </w:tcBorders>
            <w:shd w:val="clear" w:color="auto" w:fill="auto"/>
            <w:vAlign w:val="center"/>
            <w:hideMark/>
          </w:tcPr>
          <w:p w14:paraId="7C6B999E" w14:textId="04A001C6" w:rsidR="009A30BE" w:rsidRPr="00FF386D" w:rsidRDefault="00B13368" w:rsidP="00854ADA">
            <w:pPr>
              <w:numPr>
                <w:ilvl w:val="0"/>
                <w:numId w:val="113"/>
              </w:numPr>
              <w:spacing w:after="0" w:line="240" w:lineRule="auto"/>
              <w:contextualSpacing/>
              <w:rPr>
                <w:rFonts w:asciiTheme="majorHAnsi" w:eastAsia="Times New Roman" w:hAnsiTheme="majorHAnsi" w:cstheme="majorHAnsi"/>
                <w:color w:val="000000"/>
                <w:sz w:val="20"/>
                <w:szCs w:val="20"/>
                <w:lang w:eastAsia="en-GB"/>
              </w:rPr>
            </w:pPr>
            <w:r w:rsidRPr="00B13368">
              <w:rPr>
                <w:rFonts w:asciiTheme="majorHAnsi" w:eastAsia="Times New Roman" w:hAnsiTheme="majorHAnsi" w:cstheme="majorHAnsi"/>
                <w:color w:val="000000"/>
                <w:sz w:val="20"/>
                <w:szCs w:val="20"/>
                <w:lang w:eastAsia="en-GB"/>
              </w:rPr>
              <w:t>Програм управљања отпадом у Републици Србији за период 2022-2031. године</w:t>
            </w:r>
          </w:p>
        </w:tc>
      </w:tr>
      <w:tr w:rsidR="00854ADA" w:rsidRPr="00FF386D" w14:paraId="7D106333" w14:textId="77777777" w:rsidTr="006E0ED7">
        <w:trPr>
          <w:trHeight w:val="301"/>
        </w:trPr>
        <w:tc>
          <w:tcPr>
            <w:tcW w:w="3100" w:type="dxa"/>
            <w:tcBorders>
              <w:top w:val="nil"/>
              <w:left w:val="single" w:sz="8" w:space="0" w:color="auto"/>
              <w:bottom w:val="single" w:sz="8" w:space="0" w:color="auto"/>
              <w:right w:val="single" w:sz="8" w:space="0" w:color="auto"/>
            </w:tcBorders>
            <w:shd w:val="clear" w:color="000000" w:fill="244062"/>
            <w:vAlign w:val="center"/>
            <w:hideMark/>
          </w:tcPr>
          <w:p w14:paraId="358F7D6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388" w:type="dxa"/>
            <w:gridSpan w:val="3"/>
            <w:tcBorders>
              <w:top w:val="single" w:sz="8" w:space="0" w:color="auto"/>
              <w:left w:val="nil"/>
              <w:bottom w:val="single" w:sz="8" w:space="0" w:color="auto"/>
              <w:right w:val="single" w:sz="8" w:space="0" w:color="000000"/>
            </w:tcBorders>
            <w:shd w:val="clear" w:color="auto" w:fill="auto"/>
            <w:vAlign w:val="center"/>
            <w:hideMark/>
          </w:tcPr>
          <w:p w14:paraId="5CCB4484" w14:textId="0970CD31" w:rsidR="00854ADA" w:rsidRPr="00FF386D" w:rsidRDefault="00854ADA" w:rsidP="000A2AFE">
            <w:p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48</w:t>
            </w:r>
            <w:r w:rsidR="00B13368">
              <w:rPr>
                <w:rFonts w:asciiTheme="majorHAnsi" w:eastAsia="Times New Roman" w:hAnsiTheme="majorHAnsi" w:cstheme="majorHAnsi"/>
                <w:color w:val="000000"/>
                <w:sz w:val="20"/>
                <w:szCs w:val="20"/>
                <w:lang w:eastAsia="en-GB"/>
              </w:rPr>
              <w:t xml:space="preserve"> </w:t>
            </w:r>
            <w:r w:rsidRPr="00FF386D">
              <w:rPr>
                <w:rFonts w:asciiTheme="majorHAnsi" w:eastAsia="Times New Roman" w:hAnsiTheme="majorHAnsi" w:cstheme="majorHAnsi"/>
                <w:color w:val="000000"/>
                <w:sz w:val="20"/>
                <w:szCs w:val="20"/>
                <w:lang w:eastAsia="en-GB"/>
              </w:rPr>
              <w:t>милиона евра</w:t>
            </w:r>
          </w:p>
        </w:tc>
      </w:tr>
      <w:tr w:rsidR="00854ADA" w:rsidRPr="00FF386D" w14:paraId="133574CF" w14:textId="77777777" w:rsidTr="006E0ED7">
        <w:trPr>
          <w:trHeight w:val="315"/>
        </w:trPr>
        <w:tc>
          <w:tcPr>
            <w:tcW w:w="3100" w:type="dxa"/>
            <w:tcBorders>
              <w:top w:val="nil"/>
              <w:left w:val="single" w:sz="8" w:space="0" w:color="auto"/>
              <w:bottom w:val="single" w:sz="8" w:space="0" w:color="auto"/>
              <w:right w:val="single" w:sz="8" w:space="0" w:color="auto"/>
            </w:tcBorders>
            <w:shd w:val="clear" w:color="000000" w:fill="244062"/>
            <w:vAlign w:val="center"/>
            <w:hideMark/>
          </w:tcPr>
          <w:p w14:paraId="78BAA74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388" w:type="dxa"/>
            <w:gridSpan w:val="3"/>
            <w:tcBorders>
              <w:top w:val="single" w:sz="8" w:space="0" w:color="auto"/>
              <w:left w:val="nil"/>
              <w:bottom w:val="single" w:sz="8" w:space="0" w:color="auto"/>
              <w:right w:val="single" w:sz="8" w:space="0" w:color="000000"/>
            </w:tcBorders>
            <w:shd w:val="clear" w:color="auto" w:fill="auto"/>
            <w:vAlign w:val="center"/>
            <w:hideMark/>
          </w:tcPr>
          <w:p w14:paraId="2BAFD2C4" w14:textId="02834D02"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hAnsiTheme="majorHAnsi" w:cstheme="majorHAnsi"/>
                <w:sz w:val="20"/>
                <w:szCs w:val="20"/>
              </w:rPr>
              <w:t>Фондови ЕУ и други фондови, буџет</w:t>
            </w:r>
            <w:r w:rsidR="009A30BE" w:rsidRPr="00FF386D">
              <w:rPr>
                <w:rFonts w:asciiTheme="majorHAnsi" w:hAnsiTheme="majorHAnsi" w:cstheme="majorHAnsi"/>
                <w:sz w:val="20"/>
                <w:szCs w:val="20"/>
              </w:rPr>
              <w:t>ска средства</w:t>
            </w:r>
          </w:p>
        </w:tc>
      </w:tr>
    </w:tbl>
    <w:p w14:paraId="04CEE73E"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72"/>
        <w:gridCol w:w="1114"/>
        <w:gridCol w:w="935"/>
        <w:gridCol w:w="4167"/>
      </w:tblGrid>
      <w:tr w:rsidR="00854ADA" w:rsidRPr="00FF386D" w14:paraId="05D626FA" w14:textId="77777777" w:rsidTr="006E0ED7">
        <w:trPr>
          <w:trHeight w:val="780"/>
        </w:trPr>
        <w:tc>
          <w:tcPr>
            <w:tcW w:w="3272"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1089F84A"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1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1806DC4B"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МП_Д18</w:t>
            </w:r>
          </w:p>
        </w:tc>
        <w:tc>
          <w:tcPr>
            <w:tcW w:w="935" w:type="dxa"/>
            <w:tcBorders>
              <w:top w:val="single" w:sz="8" w:space="0" w:color="auto"/>
              <w:left w:val="nil"/>
              <w:bottom w:val="single" w:sz="8" w:space="0" w:color="auto"/>
              <w:right w:val="single" w:sz="8" w:space="0" w:color="auto"/>
            </w:tcBorders>
            <w:shd w:val="clear" w:color="000000" w:fill="244062"/>
            <w:vAlign w:val="center"/>
            <w:hideMark/>
          </w:tcPr>
          <w:p w14:paraId="5A3DDF9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67" w:type="dxa"/>
            <w:tcBorders>
              <w:top w:val="single" w:sz="8" w:space="0" w:color="auto"/>
              <w:left w:val="nil"/>
              <w:bottom w:val="single" w:sz="8" w:space="0" w:color="auto"/>
              <w:right w:val="single" w:sz="8" w:space="0" w:color="auto"/>
            </w:tcBorders>
            <w:shd w:val="clear" w:color="auto" w:fill="E7E6E6" w:themeFill="background2"/>
            <w:vAlign w:val="center"/>
            <w:hideMark/>
          </w:tcPr>
          <w:p w14:paraId="12B6B1F8" w14:textId="76051551" w:rsidR="00854ADA" w:rsidRPr="00FF386D" w:rsidRDefault="00854ADA" w:rsidP="00854ADA">
            <w:pPr>
              <w:spacing w:after="0" w:line="240" w:lineRule="auto"/>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П</w:t>
            </w:r>
            <w:r w:rsidR="00C04F8C" w:rsidRPr="000A2AFE">
              <w:rPr>
                <w:rFonts w:ascii="Calibri Light" w:eastAsia="Times New Roman" w:hAnsi="Calibri Light" w:cs="Calibri Light"/>
                <w:b/>
                <w:bCs/>
                <w:color w:val="000000"/>
                <w:sz w:val="20"/>
                <w:szCs w:val="20"/>
                <w:lang w:eastAsia="en-GB"/>
              </w:rPr>
              <w:t xml:space="preserve">одстицање </w:t>
            </w:r>
            <w:r w:rsidRPr="000A2AFE">
              <w:rPr>
                <w:rFonts w:ascii="Calibri Light" w:eastAsia="Times New Roman" w:hAnsi="Calibri Light" w:cs="Calibri Light"/>
                <w:b/>
                <w:bCs/>
                <w:color w:val="000000"/>
                <w:sz w:val="20"/>
                <w:szCs w:val="20"/>
                <w:lang w:eastAsia="en-GB"/>
              </w:rPr>
              <w:t>компостирања, како на централном нивоу тако и у домаћинствима</w:t>
            </w:r>
          </w:p>
        </w:tc>
      </w:tr>
      <w:tr w:rsidR="00854ADA" w:rsidRPr="00FF386D" w14:paraId="14A516B9" w14:textId="77777777" w:rsidTr="006E0ED7">
        <w:trPr>
          <w:trHeight w:val="351"/>
        </w:trPr>
        <w:tc>
          <w:tcPr>
            <w:tcW w:w="3272" w:type="dxa"/>
            <w:tcBorders>
              <w:top w:val="nil"/>
              <w:left w:val="single" w:sz="8" w:space="0" w:color="auto"/>
              <w:bottom w:val="single" w:sz="8" w:space="0" w:color="auto"/>
              <w:right w:val="nil"/>
            </w:tcBorders>
            <w:shd w:val="clear" w:color="000000" w:fill="244062"/>
            <w:vAlign w:val="center"/>
            <w:hideMark/>
          </w:tcPr>
          <w:p w14:paraId="03A1FAE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216" w:type="dxa"/>
            <w:gridSpan w:val="3"/>
            <w:tcBorders>
              <w:top w:val="single" w:sz="8" w:space="0" w:color="auto"/>
              <w:left w:val="nil"/>
              <w:bottom w:val="single" w:sz="8" w:space="0" w:color="auto"/>
              <w:right w:val="single" w:sz="8" w:space="0" w:color="000000"/>
            </w:tcBorders>
            <w:shd w:val="clear" w:color="auto" w:fill="auto"/>
            <w:vAlign w:val="center"/>
            <w:hideMark/>
          </w:tcPr>
          <w:p w14:paraId="7823E8C0"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Смањење емисија </w:t>
            </w:r>
            <w:r w:rsidRPr="00FF386D">
              <w:rPr>
                <w:rFonts w:asciiTheme="majorHAnsi" w:eastAsia="Times New Roman" w:hAnsiTheme="majorHAnsi" w:cstheme="majorHAnsi"/>
                <w:i/>
                <w:iCs/>
                <w:color w:val="000000"/>
                <w:sz w:val="20"/>
                <w:szCs w:val="20"/>
                <w:lang w:eastAsia="en-GB"/>
              </w:rPr>
              <w:t>GHG</w:t>
            </w:r>
          </w:p>
        </w:tc>
      </w:tr>
      <w:tr w:rsidR="00854ADA" w:rsidRPr="00FF386D" w14:paraId="2249C917" w14:textId="77777777" w:rsidTr="006E0ED7">
        <w:trPr>
          <w:trHeight w:val="315"/>
        </w:trPr>
        <w:tc>
          <w:tcPr>
            <w:tcW w:w="3272" w:type="dxa"/>
            <w:tcBorders>
              <w:top w:val="nil"/>
              <w:left w:val="single" w:sz="8" w:space="0" w:color="auto"/>
              <w:bottom w:val="single" w:sz="8" w:space="0" w:color="auto"/>
              <w:right w:val="single" w:sz="8" w:space="0" w:color="auto"/>
            </w:tcBorders>
            <w:shd w:val="clear" w:color="000000" w:fill="244062"/>
            <w:vAlign w:val="center"/>
            <w:hideMark/>
          </w:tcPr>
          <w:p w14:paraId="1C656C2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216" w:type="dxa"/>
            <w:gridSpan w:val="3"/>
            <w:tcBorders>
              <w:top w:val="single" w:sz="8" w:space="0" w:color="auto"/>
              <w:left w:val="nil"/>
              <w:bottom w:val="single" w:sz="8" w:space="0" w:color="auto"/>
              <w:right w:val="single" w:sz="8" w:space="0" w:color="000000"/>
            </w:tcBorders>
            <w:shd w:val="clear" w:color="auto" w:fill="auto"/>
            <w:vAlign w:val="center"/>
            <w:hideMark/>
          </w:tcPr>
          <w:p w14:paraId="79F40AA8" w14:textId="4D674805" w:rsidR="00854ADA" w:rsidRPr="00FF386D" w:rsidRDefault="00640D3E" w:rsidP="00854ADA">
            <w:pPr>
              <w:spacing w:after="0" w:line="240" w:lineRule="auto"/>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 xml:space="preserve">Смањење емисија </w:t>
            </w:r>
            <w:r w:rsidRPr="000A2AFE">
              <w:rPr>
                <w:rFonts w:asciiTheme="majorHAnsi" w:eastAsia="Times New Roman" w:hAnsiTheme="majorHAnsi" w:cstheme="majorHAnsi"/>
                <w:i/>
                <w:iCs/>
                <w:color w:val="000000"/>
                <w:sz w:val="20"/>
                <w:szCs w:val="20"/>
                <w:lang w:eastAsia="en-GB"/>
              </w:rPr>
              <w:t xml:space="preserve">GHG </w:t>
            </w:r>
            <w:r w:rsidRPr="000A2AFE">
              <w:rPr>
                <w:rFonts w:asciiTheme="majorHAnsi" w:eastAsia="Times New Roman" w:hAnsiTheme="majorHAnsi" w:cstheme="majorHAnsi"/>
                <w:color w:val="000000"/>
                <w:sz w:val="20"/>
                <w:szCs w:val="20"/>
                <w:lang w:eastAsia="en-GB"/>
              </w:rPr>
              <w:t>у сектору отпада за 13% до 2030. године у односу на ниво из 2010. године</w:t>
            </w:r>
          </w:p>
        </w:tc>
      </w:tr>
      <w:tr w:rsidR="00854ADA" w:rsidRPr="00FF386D" w14:paraId="29CDE10A" w14:textId="77777777" w:rsidTr="006E0ED7">
        <w:trPr>
          <w:trHeight w:val="1907"/>
        </w:trPr>
        <w:tc>
          <w:tcPr>
            <w:tcW w:w="3272" w:type="dxa"/>
            <w:tcBorders>
              <w:top w:val="nil"/>
              <w:left w:val="single" w:sz="8" w:space="0" w:color="auto"/>
              <w:bottom w:val="single" w:sz="8" w:space="0" w:color="auto"/>
              <w:right w:val="single" w:sz="8" w:space="0" w:color="auto"/>
            </w:tcBorders>
            <w:shd w:val="clear" w:color="000000" w:fill="244062"/>
            <w:vAlign w:val="center"/>
            <w:hideMark/>
          </w:tcPr>
          <w:p w14:paraId="03B44D2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216" w:type="dxa"/>
            <w:gridSpan w:val="3"/>
            <w:tcBorders>
              <w:top w:val="single" w:sz="8" w:space="0" w:color="auto"/>
              <w:left w:val="nil"/>
              <w:bottom w:val="single" w:sz="8" w:space="0" w:color="auto"/>
              <w:right w:val="single" w:sz="8" w:space="0" w:color="000000"/>
            </w:tcBorders>
            <w:shd w:val="clear" w:color="auto" w:fill="auto"/>
            <w:vAlign w:val="center"/>
            <w:hideMark/>
          </w:tcPr>
          <w:p w14:paraId="370083D2" w14:textId="7EE86A41"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МП_Д18 ће п</w:t>
            </w:r>
            <w:r w:rsidR="00C04F8C" w:rsidRPr="000A2AFE">
              <w:rPr>
                <w:rFonts w:ascii="Calibri Light" w:eastAsia="Times New Roman" w:hAnsi="Calibri Light" w:cs="Calibri Light"/>
                <w:color w:val="000000"/>
                <w:sz w:val="20"/>
                <w:szCs w:val="20"/>
                <w:lang w:eastAsia="en-GB"/>
              </w:rPr>
              <w:t>одстицати</w:t>
            </w:r>
            <w:r w:rsidRPr="000A2AFE">
              <w:rPr>
                <w:rFonts w:ascii="Calibri Light" w:eastAsia="Times New Roman" w:hAnsi="Calibri Light" w:cs="Calibri Light"/>
                <w:color w:val="000000"/>
                <w:sz w:val="20"/>
                <w:szCs w:val="20"/>
                <w:lang w:eastAsia="en-GB"/>
              </w:rPr>
              <w:t xml:space="preserve"> производњу компоста </w:t>
            </w:r>
            <w:r w:rsidR="00C04F8C" w:rsidRPr="000A2AFE">
              <w:rPr>
                <w:rFonts w:ascii="Calibri Light" w:eastAsia="Times New Roman" w:hAnsi="Calibri Light" w:cs="Calibri Light"/>
                <w:color w:val="000000"/>
                <w:sz w:val="20"/>
                <w:szCs w:val="20"/>
                <w:lang w:eastAsia="en-GB"/>
              </w:rPr>
              <w:t>с обзи</w:t>
            </w:r>
            <w:r w:rsidR="00B13368">
              <w:rPr>
                <w:rFonts w:ascii="Calibri Light" w:eastAsia="Times New Roman" w:hAnsi="Calibri Light" w:cs="Calibri Light"/>
                <w:color w:val="000000"/>
                <w:sz w:val="20"/>
                <w:szCs w:val="20"/>
                <w:lang w:eastAsia="en-GB"/>
              </w:rPr>
              <w:t>р</w:t>
            </w:r>
            <w:r w:rsidR="00C04F8C" w:rsidRPr="000A2AFE">
              <w:rPr>
                <w:rFonts w:ascii="Calibri Light" w:eastAsia="Times New Roman" w:hAnsi="Calibri Light" w:cs="Calibri Light"/>
                <w:color w:val="000000"/>
                <w:sz w:val="20"/>
                <w:szCs w:val="20"/>
                <w:lang w:eastAsia="en-GB"/>
              </w:rPr>
              <w:t xml:space="preserve">ом на то да </w:t>
            </w:r>
            <w:r w:rsidRPr="000A2AFE">
              <w:rPr>
                <w:rFonts w:ascii="Calibri Light" w:eastAsia="Times New Roman" w:hAnsi="Calibri Light" w:cs="Calibri Light"/>
                <w:color w:val="000000"/>
                <w:sz w:val="20"/>
                <w:szCs w:val="20"/>
                <w:lang w:eastAsia="en-GB"/>
              </w:rPr>
              <w:t xml:space="preserve">велики део отпада </w:t>
            </w:r>
            <w:r w:rsidR="008768C5" w:rsidRPr="000A2AFE">
              <w:rPr>
                <w:rFonts w:ascii="Calibri Light" w:eastAsia="Times New Roman" w:hAnsi="Calibri Light" w:cs="Calibri Light"/>
                <w:color w:val="000000"/>
                <w:sz w:val="20"/>
                <w:szCs w:val="20"/>
                <w:lang w:eastAsia="en-GB"/>
              </w:rPr>
              <w:t xml:space="preserve">представља </w:t>
            </w:r>
            <w:r w:rsidRPr="000A2AFE">
              <w:rPr>
                <w:rFonts w:ascii="Calibri Light" w:eastAsia="Times New Roman" w:hAnsi="Calibri Light" w:cs="Calibri Light"/>
                <w:color w:val="000000"/>
                <w:sz w:val="20"/>
                <w:szCs w:val="20"/>
                <w:lang w:eastAsia="en-GB"/>
              </w:rPr>
              <w:t xml:space="preserve">органски </w:t>
            </w:r>
            <w:r w:rsidR="008768C5" w:rsidRPr="000A2AFE">
              <w:rPr>
                <w:rFonts w:ascii="Calibri Light" w:eastAsia="Times New Roman" w:hAnsi="Calibri Light" w:cs="Calibri Light"/>
                <w:color w:val="000000"/>
                <w:sz w:val="20"/>
                <w:szCs w:val="20"/>
                <w:lang w:eastAsia="en-GB"/>
              </w:rPr>
              <w:t>отпад који је</w:t>
            </w:r>
            <w:r w:rsidRPr="000A2AFE">
              <w:rPr>
                <w:rFonts w:ascii="Calibri Light" w:eastAsia="Times New Roman" w:hAnsi="Calibri Light" w:cs="Calibri Light"/>
                <w:color w:val="000000"/>
                <w:sz w:val="20"/>
                <w:szCs w:val="20"/>
                <w:lang w:eastAsia="en-GB"/>
              </w:rPr>
              <w:t xml:space="preserve"> </w:t>
            </w:r>
            <w:r w:rsidR="008768C5" w:rsidRPr="000A2AFE">
              <w:rPr>
                <w:rFonts w:ascii="Calibri Light" w:eastAsia="Times New Roman" w:hAnsi="Calibri Light" w:cs="Calibri Light"/>
                <w:color w:val="000000"/>
                <w:sz w:val="20"/>
                <w:szCs w:val="20"/>
                <w:lang w:eastAsia="en-GB"/>
              </w:rPr>
              <w:t xml:space="preserve">погодан </w:t>
            </w:r>
            <w:r w:rsidRPr="000A2AFE">
              <w:rPr>
                <w:rFonts w:ascii="Calibri Light" w:eastAsia="Times New Roman" w:hAnsi="Calibri Light" w:cs="Calibri Light"/>
                <w:color w:val="000000"/>
                <w:sz w:val="20"/>
                <w:szCs w:val="20"/>
                <w:lang w:eastAsia="en-GB"/>
              </w:rPr>
              <w:t>за конверзију у компост. Добра пракса компостирања миним</w:t>
            </w:r>
            <w:r w:rsidR="00C04F8C" w:rsidRPr="000A2AFE">
              <w:rPr>
                <w:rFonts w:ascii="Calibri Light" w:eastAsia="Times New Roman" w:hAnsi="Calibri Light" w:cs="Calibri Light"/>
                <w:color w:val="000000"/>
                <w:sz w:val="20"/>
                <w:szCs w:val="20"/>
                <w:lang w:eastAsia="en-GB"/>
              </w:rPr>
              <w:t>ализује</w:t>
            </w:r>
            <w:r w:rsidRPr="000A2AFE">
              <w:rPr>
                <w:rFonts w:ascii="Calibri Light" w:eastAsia="Times New Roman" w:hAnsi="Calibri Light" w:cs="Calibri Light"/>
                <w:color w:val="000000"/>
                <w:sz w:val="20"/>
                <w:szCs w:val="20"/>
                <w:lang w:eastAsia="en-GB"/>
              </w:rPr>
              <w:t xml:space="preserve"> емисије гасова са ефектом стаклене баште. Употреб</w:t>
            </w:r>
            <w:r w:rsidR="008768C5" w:rsidRPr="000A2AFE">
              <w:rPr>
                <w:rFonts w:ascii="Calibri Light" w:eastAsia="Times New Roman" w:hAnsi="Calibri Light" w:cs="Calibri Light"/>
                <w:color w:val="000000"/>
                <w:sz w:val="20"/>
                <w:szCs w:val="20"/>
                <w:lang w:eastAsia="en-GB"/>
              </w:rPr>
              <w:t>ом</w:t>
            </w:r>
            <w:r w:rsidRPr="000A2AFE">
              <w:rPr>
                <w:rFonts w:ascii="Calibri Light" w:eastAsia="Times New Roman" w:hAnsi="Calibri Light" w:cs="Calibri Light"/>
                <w:color w:val="000000"/>
                <w:sz w:val="20"/>
                <w:szCs w:val="20"/>
                <w:lang w:eastAsia="en-GB"/>
              </w:rPr>
              <w:t xml:space="preserve"> компоста </w:t>
            </w:r>
            <w:r w:rsidR="008768C5" w:rsidRPr="000A2AFE">
              <w:rPr>
                <w:rFonts w:ascii="Calibri Light" w:eastAsia="Times New Roman" w:hAnsi="Calibri Light" w:cs="Calibri Light"/>
                <w:color w:val="000000"/>
                <w:sz w:val="20"/>
                <w:szCs w:val="20"/>
                <w:lang w:eastAsia="en-GB"/>
              </w:rPr>
              <w:t>се остварују бројне користи</w:t>
            </w:r>
            <w:r w:rsidRPr="000A2AFE">
              <w:rPr>
                <w:rFonts w:ascii="Calibri Light" w:eastAsia="Times New Roman" w:hAnsi="Calibri Light" w:cs="Calibri Light"/>
                <w:color w:val="000000"/>
                <w:sz w:val="20"/>
                <w:szCs w:val="20"/>
                <w:lang w:eastAsia="en-GB"/>
              </w:rPr>
              <w:t xml:space="preserve"> </w:t>
            </w:r>
            <w:r w:rsidR="008768C5" w:rsidRPr="000A2AFE">
              <w:rPr>
                <w:rFonts w:ascii="Calibri Light" w:eastAsia="Times New Roman" w:hAnsi="Calibri Light" w:cs="Calibri Light"/>
                <w:color w:val="000000"/>
                <w:sz w:val="20"/>
                <w:szCs w:val="20"/>
                <w:lang w:eastAsia="en-GB"/>
              </w:rPr>
              <w:t>у погледу смањења</w:t>
            </w:r>
            <w:r w:rsidRPr="000A2AFE">
              <w:rPr>
                <w:rFonts w:ascii="Calibri Light" w:eastAsia="Times New Roman" w:hAnsi="Calibri Light" w:cs="Calibri Light"/>
                <w:color w:val="000000"/>
                <w:sz w:val="20"/>
                <w:szCs w:val="20"/>
                <w:lang w:eastAsia="en-GB"/>
              </w:rPr>
              <w:t xml:space="preserve"> емисиј</w:t>
            </w:r>
            <w:r w:rsidR="008768C5"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гасова са ефектом стаклене баште, </w:t>
            </w:r>
            <w:r w:rsidR="008768C5" w:rsidRPr="000A2AFE">
              <w:rPr>
                <w:rFonts w:ascii="Calibri Light" w:eastAsia="Times New Roman" w:hAnsi="Calibri Light" w:cs="Calibri Light"/>
                <w:color w:val="000000"/>
                <w:sz w:val="20"/>
                <w:szCs w:val="20"/>
                <w:lang w:eastAsia="en-GB"/>
              </w:rPr>
              <w:t xml:space="preserve">било </w:t>
            </w:r>
            <w:r w:rsidRPr="000A2AFE">
              <w:rPr>
                <w:rFonts w:ascii="Calibri Light" w:eastAsia="Times New Roman" w:hAnsi="Calibri Light" w:cs="Calibri Light"/>
                <w:color w:val="000000"/>
                <w:sz w:val="20"/>
                <w:szCs w:val="20"/>
                <w:lang w:eastAsia="en-GB"/>
              </w:rPr>
              <w:t>директно кроз секвестрацију угљеника и</w:t>
            </w:r>
            <w:r w:rsidR="008768C5" w:rsidRPr="000A2AFE">
              <w:rPr>
                <w:rFonts w:ascii="Calibri Light" w:eastAsia="Times New Roman" w:hAnsi="Calibri Light" w:cs="Calibri Light"/>
                <w:color w:val="000000"/>
                <w:sz w:val="20"/>
                <w:szCs w:val="20"/>
                <w:lang w:eastAsia="en-GB"/>
              </w:rPr>
              <w:t>ли</w:t>
            </w:r>
            <w:r w:rsidRPr="000A2AFE">
              <w:rPr>
                <w:rFonts w:ascii="Calibri Light" w:eastAsia="Times New Roman" w:hAnsi="Calibri Light" w:cs="Calibri Light"/>
                <w:color w:val="000000"/>
                <w:sz w:val="20"/>
                <w:szCs w:val="20"/>
                <w:lang w:eastAsia="en-GB"/>
              </w:rPr>
              <w:t xml:space="preserve"> индиректно кроз </w:t>
            </w:r>
            <w:r w:rsidR="008768C5" w:rsidRPr="000A2AFE">
              <w:rPr>
                <w:rFonts w:ascii="Calibri Light" w:eastAsia="Times New Roman" w:hAnsi="Calibri Light" w:cs="Calibri Light"/>
                <w:color w:val="000000"/>
                <w:sz w:val="20"/>
                <w:szCs w:val="20"/>
                <w:lang w:eastAsia="en-GB"/>
              </w:rPr>
              <w:t>унапређено</w:t>
            </w:r>
            <w:r w:rsidRPr="000A2AFE">
              <w:rPr>
                <w:rFonts w:ascii="Calibri Light" w:eastAsia="Times New Roman" w:hAnsi="Calibri Light" w:cs="Calibri Light"/>
                <w:color w:val="000000"/>
                <w:sz w:val="20"/>
                <w:szCs w:val="20"/>
                <w:lang w:eastAsia="en-GB"/>
              </w:rPr>
              <w:t xml:space="preserve"> здравље </w:t>
            </w:r>
            <w:r w:rsidR="008768C5" w:rsidRPr="000A2AFE">
              <w:rPr>
                <w:rFonts w:ascii="Calibri Light" w:eastAsia="Times New Roman" w:hAnsi="Calibri Light" w:cs="Calibri Light"/>
                <w:color w:val="000000"/>
                <w:sz w:val="20"/>
                <w:szCs w:val="20"/>
                <w:lang w:eastAsia="en-GB"/>
              </w:rPr>
              <w:t xml:space="preserve">тла </w:t>
            </w:r>
            <w:r w:rsidR="00C04F8C" w:rsidRPr="000A2AFE">
              <w:rPr>
                <w:rFonts w:ascii="Calibri Light" w:eastAsia="Times New Roman" w:hAnsi="Calibri Light" w:cs="Calibri Light"/>
                <w:color w:val="000000"/>
                <w:sz w:val="20"/>
                <w:szCs w:val="20"/>
                <w:lang w:eastAsia="en-GB"/>
              </w:rPr>
              <w:t xml:space="preserve">и мањи губитак </w:t>
            </w:r>
            <w:r w:rsidRPr="000A2AFE">
              <w:rPr>
                <w:rFonts w:ascii="Calibri Light" w:eastAsia="Times New Roman" w:hAnsi="Calibri Light" w:cs="Calibri Light"/>
                <w:color w:val="000000"/>
                <w:sz w:val="20"/>
                <w:szCs w:val="20"/>
                <w:lang w:eastAsia="en-GB"/>
              </w:rPr>
              <w:t xml:space="preserve">земљишта, повећану инфилтрацију и </w:t>
            </w:r>
            <w:r w:rsidR="008768C5" w:rsidRPr="000A2AFE">
              <w:rPr>
                <w:rFonts w:ascii="Calibri Light" w:eastAsia="Times New Roman" w:hAnsi="Calibri Light" w:cs="Calibri Light"/>
                <w:color w:val="000000"/>
                <w:sz w:val="20"/>
                <w:szCs w:val="20"/>
                <w:lang w:eastAsia="en-GB"/>
              </w:rPr>
              <w:t>задржавање</w:t>
            </w:r>
            <w:r w:rsidRPr="000A2AFE">
              <w:rPr>
                <w:rFonts w:ascii="Calibri Light" w:eastAsia="Times New Roman" w:hAnsi="Calibri Light" w:cs="Calibri Light"/>
                <w:color w:val="000000"/>
                <w:sz w:val="20"/>
                <w:szCs w:val="20"/>
                <w:lang w:eastAsia="en-GB"/>
              </w:rPr>
              <w:t xml:space="preserve"> воде и смањење других уноса. </w:t>
            </w:r>
            <w:r w:rsidR="00B13368" w:rsidRPr="00B13368">
              <w:rPr>
                <w:rFonts w:ascii="Calibri Light" w:eastAsia="Times New Roman" w:hAnsi="Calibri Light" w:cs="Calibri Light"/>
                <w:color w:val="000000"/>
                <w:sz w:val="20"/>
                <w:szCs w:val="20"/>
                <w:lang w:eastAsia="en-GB"/>
              </w:rPr>
              <w:t>Кућно к</w:t>
            </w:r>
            <w:r w:rsidRPr="000A2AFE">
              <w:rPr>
                <w:rFonts w:ascii="Calibri Light" w:eastAsia="Times New Roman" w:hAnsi="Calibri Light" w:cs="Calibri Light"/>
                <w:color w:val="000000"/>
                <w:sz w:val="20"/>
                <w:szCs w:val="20"/>
                <w:lang w:eastAsia="en-GB"/>
              </w:rPr>
              <w:t xml:space="preserve">омпостирање се може подржати на основу броја дистрибуираних </w:t>
            </w:r>
            <w:r w:rsidR="00B13368" w:rsidRPr="00B13368">
              <w:rPr>
                <w:rFonts w:ascii="Calibri Light" w:eastAsia="Times New Roman" w:hAnsi="Calibri Light" w:cs="Calibri Light"/>
                <w:color w:val="000000"/>
                <w:sz w:val="20"/>
                <w:szCs w:val="20"/>
                <w:lang w:eastAsia="en-GB"/>
              </w:rPr>
              <w:t>контејнера</w:t>
            </w:r>
            <w:r w:rsidRPr="000A2AFE">
              <w:rPr>
                <w:rFonts w:ascii="Calibri Light" w:eastAsia="Times New Roman" w:hAnsi="Calibri Light" w:cs="Calibri Light"/>
                <w:color w:val="000000"/>
                <w:sz w:val="20"/>
                <w:szCs w:val="20"/>
                <w:lang w:eastAsia="en-GB"/>
              </w:rPr>
              <w:t xml:space="preserve"> за компостирање.</w:t>
            </w:r>
            <w:r w:rsidR="00B13368">
              <w:t xml:space="preserve"> </w:t>
            </w:r>
            <w:r w:rsidR="00B13368" w:rsidRPr="00B13368">
              <w:rPr>
                <w:rFonts w:ascii="Calibri Light" w:eastAsia="Times New Roman" w:hAnsi="Calibri Light" w:cs="Calibri Light"/>
                <w:color w:val="000000"/>
                <w:sz w:val="20"/>
                <w:szCs w:val="20"/>
                <w:lang w:eastAsia="en-GB"/>
              </w:rPr>
              <w:t>Програм управљања отпадом у Републици Србији за период 2022-2031. године предвиђа (а) на нивоу општина постављање мањих контејнера за компостирање, а на нивоу домаћинстава успостављање компостирања у сеоским и полу сеоским областима, (б) кућно компостирање ће бити успостављено у приградским/сеоским домаћинствима у свим општинама региона управљања отпадом до 2032. године.</w:t>
            </w:r>
          </w:p>
        </w:tc>
      </w:tr>
      <w:tr w:rsidR="00854ADA" w:rsidRPr="00FF386D" w14:paraId="5355BB58" w14:textId="77777777" w:rsidTr="006E0ED7">
        <w:trPr>
          <w:trHeight w:val="315"/>
        </w:trPr>
        <w:tc>
          <w:tcPr>
            <w:tcW w:w="3272" w:type="dxa"/>
            <w:tcBorders>
              <w:top w:val="nil"/>
              <w:left w:val="single" w:sz="8" w:space="0" w:color="auto"/>
              <w:bottom w:val="single" w:sz="8" w:space="0" w:color="auto"/>
              <w:right w:val="single" w:sz="8" w:space="0" w:color="auto"/>
            </w:tcBorders>
            <w:shd w:val="clear" w:color="000000" w:fill="244062"/>
            <w:vAlign w:val="center"/>
            <w:hideMark/>
          </w:tcPr>
          <w:p w14:paraId="5A3EF6A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216" w:type="dxa"/>
            <w:gridSpan w:val="3"/>
            <w:tcBorders>
              <w:top w:val="single" w:sz="8" w:space="0" w:color="auto"/>
              <w:left w:val="nil"/>
              <w:bottom w:val="single" w:sz="8" w:space="0" w:color="auto"/>
              <w:right w:val="single" w:sz="8" w:space="0" w:color="000000"/>
            </w:tcBorders>
            <w:shd w:val="clear" w:color="auto" w:fill="auto"/>
            <w:vAlign w:val="center"/>
            <w:hideMark/>
          </w:tcPr>
          <w:p w14:paraId="3C884898" w14:textId="7410C873" w:rsidR="00854ADA" w:rsidRPr="00FF386D" w:rsidRDefault="00B13368"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202</w:t>
            </w:r>
            <w:r>
              <w:rPr>
                <w:rFonts w:ascii="Calibri Light" w:eastAsia="Times New Roman" w:hAnsi="Calibri Light" w:cs="Calibri Light"/>
                <w:color w:val="000000"/>
                <w:sz w:val="20"/>
                <w:szCs w:val="20"/>
                <w:lang w:eastAsia="en-GB"/>
              </w:rPr>
              <w:t>4</w:t>
            </w:r>
            <w:r w:rsidR="00854ADA" w:rsidRPr="000A2AFE">
              <w:rPr>
                <w:rFonts w:ascii="Calibri Light" w:eastAsia="Times New Roman" w:hAnsi="Calibri Light" w:cs="Calibri Light"/>
                <w:color w:val="000000"/>
                <w:sz w:val="20"/>
                <w:szCs w:val="20"/>
                <w:lang w:eastAsia="en-GB"/>
              </w:rPr>
              <w:t>-</w:t>
            </w:r>
            <w:r w:rsidRPr="000A2AFE">
              <w:rPr>
                <w:rFonts w:ascii="Calibri Light" w:eastAsia="Times New Roman" w:hAnsi="Calibri Light" w:cs="Calibri Light"/>
                <w:color w:val="000000"/>
                <w:sz w:val="20"/>
                <w:szCs w:val="20"/>
                <w:lang w:eastAsia="en-GB"/>
              </w:rPr>
              <w:t>203</w:t>
            </w:r>
            <w:r>
              <w:rPr>
                <w:rFonts w:ascii="Calibri Light" w:eastAsia="Times New Roman" w:hAnsi="Calibri Light" w:cs="Calibri Light"/>
                <w:color w:val="000000"/>
                <w:sz w:val="20"/>
                <w:szCs w:val="20"/>
                <w:lang w:eastAsia="en-GB"/>
              </w:rPr>
              <w:t>1</w:t>
            </w:r>
            <w:r w:rsidR="00854ADA" w:rsidRPr="000A2AFE">
              <w:rPr>
                <w:rFonts w:ascii="Calibri Light" w:eastAsia="Times New Roman" w:hAnsi="Calibri Light" w:cs="Calibri Light"/>
                <w:color w:val="000000"/>
                <w:sz w:val="20"/>
                <w:szCs w:val="20"/>
                <w:lang w:eastAsia="en-GB"/>
              </w:rPr>
              <w:t>.</w:t>
            </w:r>
          </w:p>
        </w:tc>
      </w:tr>
      <w:tr w:rsidR="00854ADA" w:rsidRPr="00FF386D" w14:paraId="0BBD8BCA" w14:textId="77777777" w:rsidTr="006E0ED7">
        <w:trPr>
          <w:trHeight w:val="315"/>
        </w:trPr>
        <w:tc>
          <w:tcPr>
            <w:tcW w:w="3272" w:type="dxa"/>
            <w:tcBorders>
              <w:top w:val="nil"/>
              <w:left w:val="single" w:sz="8" w:space="0" w:color="auto"/>
              <w:bottom w:val="single" w:sz="8" w:space="0" w:color="auto"/>
              <w:right w:val="single" w:sz="8" w:space="0" w:color="auto"/>
            </w:tcBorders>
            <w:shd w:val="clear" w:color="000000" w:fill="244062"/>
            <w:vAlign w:val="center"/>
            <w:hideMark/>
          </w:tcPr>
          <w:p w14:paraId="1B010DC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216" w:type="dxa"/>
            <w:gridSpan w:val="3"/>
            <w:tcBorders>
              <w:top w:val="single" w:sz="8" w:space="0" w:color="auto"/>
              <w:left w:val="nil"/>
              <w:bottom w:val="single" w:sz="8" w:space="0" w:color="auto"/>
              <w:right w:val="single" w:sz="8" w:space="0" w:color="000000"/>
            </w:tcBorders>
            <w:shd w:val="clear" w:color="auto" w:fill="auto"/>
            <w:vAlign w:val="center"/>
            <w:hideMark/>
          </w:tcPr>
          <w:p w14:paraId="127ACAAA"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Инвестиције</w:t>
            </w:r>
          </w:p>
        </w:tc>
      </w:tr>
      <w:tr w:rsidR="00854ADA" w:rsidRPr="00FF386D" w14:paraId="6F857E71" w14:textId="77777777" w:rsidTr="006E0ED7">
        <w:trPr>
          <w:trHeight w:val="315"/>
        </w:trPr>
        <w:tc>
          <w:tcPr>
            <w:tcW w:w="3272" w:type="dxa"/>
            <w:tcBorders>
              <w:top w:val="nil"/>
              <w:left w:val="single" w:sz="8" w:space="0" w:color="auto"/>
              <w:bottom w:val="single" w:sz="8" w:space="0" w:color="auto"/>
              <w:right w:val="single" w:sz="8" w:space="0" w:color="auto"/>
            </w:tcBorders>
            <w:shd w:val="clear" w:color="000000" w:fill="244062"/>
            <w:vAlign w:val="center"/>
            <w:hideMark/>
          </w:tcPr>
          <w:p w14:paraId="01A8886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216" w:type="dxa"/>
            <w:gridSpan w:val="3"/>
            <w:tcBorders>
              <w:top w:val="single" w:sz="8" w:space="0" w:color="auto"/>
              <w:left w:val="nil"/>
              <w:bottom w:val="single" w:sz="8" w:space="0" w:color="auto"/>
              <w:right w:val="single" w:sz="8" w:space="0" w:color="000000"/>
            </w:tcBorders>
            <w:shd w:val="clear" w:color="auto" w:fill="auto"/>
            <w:vAlign w:val="center"/>
            <w:hideMark/>
          </w:tcPr>
          <w:p w14:paraId="39864803"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Отпад</w:t>
            </w:r>
          </w:p>
        </w:tc>
      </w:tr>
      <w:tr w:rsidR="00854ADA" w:rsidRPr="00FF386D" w14:paraId="5A434716" w14:textId="77777777" w:rsidTr="006E0ED7">
        <w:trPr>
          <w:trHeight w:val="315"/>
        </w:trPr>
        <w:tc>
          <w:tcPr>
            <w:tcW w:w="3272" w:type="dxa"/>
            <w:tcBorders>
              <w:top w:val="nil"/>
              <w:left w:val="single" w:sz="8" w:space="0" w:color="auto"/>
              <w:bottom w:val="single" w:sz="8" w:space="0" w:color="auto"/>
              <w:right w:val="single" w:sz="8" w:space="0" w:color="auto"/>
            </w:tcBorders>
            <w:shd w:val="clear" w:color="000000" w:fill="244062"/>
            <w:vAlign w:val="center"/>
            <w:hideMark/>
          </w:tcPr>
          <w:p w14:paraId="6F50BB2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216" w:type="dxa"/>
            <w:gridSpan w:val="3"/>
            <w:tcBorders>
              <w:top w:val="single" w:sz="8" w:space="0" w:color="auto"/>
              <w:left w:val="nil"/>
              <w:bottom w:val="single" w:sz="8" w:space="0" w:color="auto"/>
              <w:right w:val="single" w:sz="8" w:space="0" w:color="000000"/>
            </w:tcBorders>
            <w:shd w:val="clear" w:color="auto" w:fill="auto"/>
            <w:vAlign w:val="center"/>
            <w:hideMark/>
          </w:tcPr>
          <w:p w14:paraId="07296639" w14:textId="77777777" w:rsidR="00854ADA" w:rsidRPr="00FF386D" w:rsidRDefault="00854ADA" w:rsidP="00854ADA">
            <w:pPr>
              <w:numPr>
                <w:ilvl w:val="0"/>
                <w:numId w:val="113"/>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заштите животне средине</w:t>
            </w:r>
          </w:p>
        </w:tc>
      </w:tr>
      <w:tr w:rsidR="00854ADA" w:rsidRPr="00FF386D" w14:paraId="4B7A22BB" w14:textId="77777777" w:rsidTr="006E0ED7">
        <w:trPr>
          <w:trHeight w:val="315"/>
        </w:trPr>
        <w:tc>
          <w:tcPr>
            <w:tcW w:w="3272" w:type="dxa"/>
            <w:tcBorders>
              <w:top w:val="nil"/>
              <w:left w:val="single" w:sz="8" w:space="0" w:color="auto"/>
              <w:bottom w:val="single" w:sz="8" w:space="0" w:color="auto"/>
              <w:right w:val="nil"/>
            </w:tcBorders>
            <w:shd w:val="clear" w:color="000000" w:fill="244062"/>
            <w:vAlign w:val="center"/>
            <w:hideMark/>
          </w:tcPr>
          <w:p w14:paraId="620B018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216" w:type="dxa"/>
            <w:gridSpan w:val="3"/>
            <w:tcBorders>
              <w:top w:val="single" w:sz="8" w:space="0" w:color="auto"/>
              <w:left w:val="nil"/>
              <w:bottom w:val="single" w:sz="8" w:space="0" w:color="auto"/>
              <w:right w:val="single" w:sz="8" w:space="0" w:color="000000"/>
            </w:tcBorders>
            <w:shd w:val="clear" w:color="auto" w:fill="auto"/>
            <w:vAlign w:val="center"/>
            <w:hideMark/>
          </w:tcPr>
          <w:p w14:paraId="5B46F036" w14:textId="77777777" w:rsidR="00854ADA" w:rsidRPr="00FF386D" w:rsidRDefault="00854ADA" w:rsidP="00854ADA">
            <w:pPr>
              <w:numPr>
                <w:ilvl w:val="0"/>
                <w:numId w:val="113"/>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заштите животне средине</w:t>
            </w:r>
          </w:p>
        </w:tc>
      </w:tr>
      <w:tr w:rsidR="00854ADA" w:rsidRPr="00FF386D" w14:paraId="01339E56" w14:textId="77777777" w:rsidTr="006E0ED7">
        <w:trPr>
          <w:trHeight w:val="315"/>
        </w:trPr>
        <w:tc>
          <w:tcPr>
            <w:tcW w:w="3272" w:type="dxa"/>
            <w:tcBorders>
              <w:top w:val="nil"/>
              <w:left w:val="single" w:sz="8" w:space="0" w:color="auto"/>
              <w:bottom w:val="single" w:sz="8" w:space="0" w:color="auto"/>
              <w:right w:val="nil"/>
            </w:tcBorders>
            <w:shd w:val="clear" w:color="000000" w:fill="244062"/>
            <w:vAlign w:val="center"/>
            <w:hideMark/>
          </w:tcPr>
          <w:p w14:paraId="279334F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216" w:type="dxa"/>
            <w:gridSpan w:val="3"/>
            <w:tcBorders>
              <w:top w:val="single" w:sz="8" w:space="0" w:color="auto"/>
              <w:left w:val="nil"/>
              <w:bottom w:val="single" w:sz="8" w:space="0" w:color="auto"/>
              <w:right w:val="single" w:sz="8" w:space="0" w:color="000000"/>
            </w:tcBorders>
            <w:shd w:val="clear" w:color="auto" w:fill="auto"/>
            <w:vAlign w:val="center"/>
            <w:hideMark/>
          </w:tcPr>
          <w:p w14:paraId="55643AE1" w14:textId="42E6E853" w:rsidR="00854ADA" w:rsidRPr="000A2AFE" w:rsidRDefault="009F4D23" w:rsidP="000A2AFE">
            <w:pPr>
              <w:pStyle w:val="ListParagraph"/>
              <w:numPr>
                <w:ilvl w:val="0"/>
                <w:numId w:val="113"/>
              </w:numPr>
              <w:spacing w:after="0" w:line="240" w:lineRule="auto"/>
              <w:jc w:val="both"/>
              <w:rPr>
                <w:rFonts w:asciiTheme="majorHAnsi" w:eastAsia="Times New Roman" w:hAnsiTheme="majorHAnsi" w:cstheme="majorHAnsi"/>
                <w:color w:val="000000"/>
                <w:sz w:val="20"/>
                <w:szCs w:val="20"/>
                <w:lang w:eastAsia="en-GB"/>
              </w:rPr>
            </w:pPr>
            <w:r>
              <w:rPr>
                <w:rFonts w:ascii="Calibri Light" w:eastAsia="Times New Roman" w:hAnsi="Calibri Light" w:cs="Calibri Light"/>
                <w:color w:val="000000"/>
                <w:sz w:val="20"/>
                <w:szCs w:val="20"/>
                <w:lang w:eastAsia="en-GB"/>
              </w:rPr>
              <w:t>С</w:t>
            </w:r>
            <w:r w:rsidR="00854ADA" w:rsidRPr="000A2AFE">
              <w:rPr>
                <w:rFonts w:ascii="Calibri Light" w:eastAsia="Times New Roman" w:hAnsi="Calibri Light" w:cs="Calibri Light"/>
                <w:color w:val="000000"/>
                <w:sz w:val="20"/>
                <w:szCs w:val="20"/>
                <w:lang w:eastAsia="en-GB"/>
              </w:rPr>
              <w:t>мањење емисија</w:t>
            </w:r>
            <w:r>
              <w:rPr>
                <w:rFonts w:ascii="Calibri Light" w:eastAsia="Times New Roman" w:hAnsi="Calibri Light" w:cs="Calibri Light"/>
                <w:color w:val="000000"/>
                <w:sz w:val="20"/>
                <w:szCs w:val="20"/>
                <w:lang w:eastAsia="en-GB"/>
              </w:rPr>
              <w:t xml:space="preserve"> </w:t>
            </w:r>
            <w:r w:rsidR="00854ADA" w:rsidRPr="000A2AFE">
              <w:rPr>
                <w:rFonts w:ascii="Calibri Light" w:eastAsia="Times New Roman" w:hAnsi="Calibri Light" w:cs="Calibri Light"/>
                <w:color w:val="000000"/>
                <w:sz w:val="20"/>
                <w:szCs w:val="20"/>
                <w:lang w:eastAsia="en-GB"/>
              </w:rPr>
              <w:t>(Gg CO</w:t>
            </w:r>
            <w:r w:rsidR="00854ADA" w:rsidRPr="000A2AFE">
              <w:rPr>
                <w:rFonts w:ascii="Calibri Light" w:eastAsia="Times New Roman" w:hAnsi="Calibri Light" w:cs="Calibri Light"/>
                <w:color w:val="000000"/>
                <w:sz w:val="20"/>
                <w:szCs w:val="20"/>
                <w:vertAlign w:val="subscript"/>
                <w:lang w:eastAsia="en-GB"/>
              </w:rPr>
              <w:t>2</w:t>
            </w:r>
            <w:r w:rsidR="00854ADA" w:rsidRPr="000A2AFE">
              <w:rPr>
                <w:rFonts w:ascii="Calibri Light" w:eastAsia="Times New Roman" w:hAnsi="Calibri Light" w:cs="Calibri Light"/>
                <w:color w:val="000000"/>
                <w:sz w:val="20"/>
                <w:szCs w:val="20"/>
                <w:lang w:eastAsia="en-GB"/>
              </w:rPr>
              <w:t>-eq)</w:t>
            </w:r>
          </w:p>
        </w:tc>
      </w:tr>
      <w:tr w:rsidR="00854ADA" w:rsidRPr="00FF386D" w14:paraId="10192ACD" w14:textId="77777777" w:rsidTr="006E0ED7">
        <w:trPr>
          <w:trHeight w:val="307"/>
        </w:trPr>
        <w:tc>
          <w:tcPr>
            <w:tcW w:w="3272" w:type="dxa"/>
            <w:tcBorders>
              <w:top w:val="nil"/>
              <w:left w:val="single" w:sz="8" w:space="0" w:color="auto"/>
              <w:bottom w:val="single" w:sz="8" w:space="0" w:color="auto"/>
              <w:right w:val="single" w:sz="8" w:space="0" w:color="auto"/>
            </w:tcBorders>
            <w:shd w:val="clear" w:color="000000" w:fill="244062"/>
            <w:vAlign w:val="center"/>
            <w:hideMark/>
          </w:tcPr>
          <w:p w14:paraId="344DFF7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216" w:type="dxa"/>
            <w:gridSpan w:val="3"/>
            <w:tcBorders>
              <w:top w:val="single" w:sz="8" w:space="0" w:color="auto"/>
              <w:left w:val="nil"/>
              <w:bottom w:val="single" w:sz="8" w:space="0" w:color="auto"/>
              <w:right w:val="single" w:sz="8" w:space="0" w:color="000000"/>
            </w:tcBorders>
            <w:shd w:val="clear" w:color="auto" w:fill="auto"/>
            <w:vAlign w:val="center"/>
          </w:tcPr>
          <w:p w14:paraId="2F4F4BBC"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p>
        </w:tc>
      </w:tr>
      <w:tr w:rsidR="00854ADA" w:rsidRPr="00FF386D" w14:paraId="3D3FCE03" w14:textId="77777777" w:rsidTr="006E0ED7">
        <w:trPr>
          <w:trHeight w:val="450"/>
        </w:trPr>
        <w:tc>
          <w:tcPr>
            <w:tcW w:w="3272"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308BBED9" w14:textId="6EE7F906"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216"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7C2547C8" w14:textId="2F6B9E6E" w:rsidR="00854ADA" w:rsidRPr="00FF386D" w:rsidRDefault="00854ADA" w:rsidP="00854ADA">
            <w:pPr>
              <w:numPr>
                <w:ilvl w:val="0"/>
                <w:numId w:val="113"/>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Уредба 2018/</w:t>
            </w:r>
            <w:r w:rsidR="00B13368">
              <w:rPr>
                <w:rFonts w:ascii="Calibri Light" w:eastAsia="Times New Roman" w:hAnsi="Calibri Light" w:cs="Calibri Light"/>
                <w:color w:val="000000"/>
                <w:sz w:val="20"/>
                <w:szCs w:val="20"/>
                <w:lang w:eastAsia="en-GB"/>
              </w:rPr>
              <w:t>1999</w:t>
            </w:r>
          </w:p>
        </w:tc>
      </w:tr>
      <w:tr w:rsidR="00854ADA" w:rsidRPr="00FF386D" w14:paraId="3C120135" w14:textId="77777777" w:rsidTr="006E0ED7">
        <w:trPr>
          <w:trHeight w:val="450"/>
        </w:trPr>
        <w:tc>
          <w:tcPr>
            <w:tcW w:w="3272" w:type="dxa"/>
            <w:vMerge/>
            <w:tcBorders>
              <w:top w:val="nil"/>
              <w:left w:val="single" w:sz="8" w:space="0" w:color="auto"/>
              <w:bottom w:val="single" w:sz="8" w:space="0" w:color="000000"/>
              <w:right w:val="single" w:sz="8" w:space="0" w:color="auto"/>
            </w:tcBorders>
            <w:vAlign w:val="center"/>
            <w:hideMark/>
          </w:tcPr>
          <w:p w14:paraId="53CF1F2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216" w:type="dxa"/>
            <w:gridSpan w:val="3"/>
            <w:vMerge/>
            <w:tcBorders>
              <w:top w:val="single" w:sz="8" w:space="0" w:color="auto"/>
              <w:left w:val="single" w:sz="8" w:space="0" w:color="auto"/>
              <w:bottom w:val="single" w:sz="8" w:space="0" w:color="000000"/>
              <w:right w:val="single" w:sz="8" w:space="0" w:color="000000"/>
            </w:tcBorders>
            <w:vAlign w:val="center"/>
            <w:hideMark/>
          </w:tcPr>
          <w:p w14:paraId="4BEC1C99" w14:textId="77777777" w:rsidR="00854ADA" w:rsidRPr="00FF386D" w:rsidRDefault="00854ADA" w:rsidP="00854ADA">
            <w:pPr>
              <w:numPr>
                <w:ilvl w:val="0"/>
                <w:numId w:val="113"/>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19910205" w14:textId="77777777" w:rsidTr="006E0ED7">
        <w:trPr>
          <w:trHeight w:val="450"/>
        </w:trPr>
        <w:tc>
          <w:tcPr>
            <w:tcW w:w="3272" w:type="dxa"/>
            <w:vMerge/>
            <w:tcBorders>
              <w:top w:val="nil"/>
              <w:left w:val="single" w:sz="8" w:space="0" w:color="auto"/>
              <w:bottom w:val="single" w:sz="8" w:space="0" w:color="000000"/>
              <w:right w:val="single" w:sz="8" w:space="0" w:color="auto"/>
            </w:tcBorders>
            <w:vAlign w:val="center"/>
            <w:hideMark/>
          </w:tcPr>
          <w:p w14:paraId="19C5301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216" w:type="dxa"/>
            <w:gridSpan w:val="3"/>
            <w:vMerge/>
            <w:tcBorders>
              <w:top w:val="single" w:sz="8" w:space="0" w:color="auto"/>
              <w:left w:val="single" w:sz="8" w:space="0" w:color="auto"/>
              <w:bottom w:val="single" w:sz="8" w:space="0" w:color="000000"/>
              <w:right w:val="single" w:sz="8" w:space="0" w:color="000000"/>
            </w:tcBorders>
            <w:vAlign w:val="center"/>
            <w:hideMark/>
          </w:tcPr>
          <w:p w14:paraId="3CD3848E" w14:textId="77777777" w:rsidR="00854ADA" w:rsidRPr="00FF386D" w:rsidRDefault="00854ADA" w:rsidP="00854ADA">
            <w:pPr>
              <w:numPr>
                <w:ilvl w:val="0"/>
                <w:numId w:val="113"/>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46D182DC" w14:textId="77777777" w:rsidTr="006E0ED7">
        <w:trPr>
          <w:trHeight w:val="199"/>
        </w:trPr>
        <w:tc>
          <w:tcPr>
            <w:tcW w:w="3272" w:type="dxa"/>
            <w:tcBorders>
              <w:top w:val="nil"/>
              <w:left w:val="single" w:sz="8" w:space="0" w:color="auto"/>
              <w:bottom w:val="single" w:sz="8" w:space="0" w:color="auto"/>
              <w:right w:val="single" w:sz="8" w:space="0" w:color="auto"/>
            </w:tcBorders>
            <w:shd w:val="clear" w:color="000000" w:fill="244062"/>
            <w:vAlign w:val="center"/>
            <w:hideMark/>
          </w:tcPr>
          <w:p w14:paraId="6B0749C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16" w:type="dxa"/>
            <w:gridSpan w:val="3"/>
            <w:tcBorders>
              <w:top w:val="single" w:sz="8" w:space="0" w:color="auto"/>
              <w:left w:val="nil"/>
              <w:bottom w:val="single" w:sz="8" w:space="0" w:color="auto"/>
              <w:right w:val="single" w:sz="8" w:space="0" w:color="000000"/>
            </w:tcBorders>
            <w:shd w:val="clear" w:color="auto" w:fill="auto"/>
            <w:vAlign w:val="center"/>
            <w:hideMark/>
          </w:tcPr>
          <w:p w14:paraId="1D61AA5D" w14:textId="79EF5851" w:rsidR="00854ADA" w:rsidRPr="00FF386D" w:rsidRDefault="00B13368" w:rsidP="00854ADA">
            <w:pPr>
              <w:numPr>
                <w:ilvl w:val="0"/>
                <w:numId w:val="113"/>
              </w:numPr>
              <w:spacing w:after="0" w:line="240" w:lineRule="auto"/>
              <w:contextualSpacing/>
              <w:rPr>
                <w:rFonts w:asciiTheme="majorHAnsi" w:eastAsia="Times New Roman" w:hAnsiTheme="majorHAnsi" w:cstheme="majorHAnsi"/>
                <w:color w:val="000000"/>
                <w:sz w:val="20"/>
                <w:szCs w:val="20"/>
                <w:lang w:eastAsia="en-GB"/>
              </w:rPr>
            </w:pPr>
            <w:r w:rsidRPr="00B13368">
              <w:rPr>
                <w:rFonts w:ascii="Calibri Light" w:eastAsia="Times New Roman" w:hAnsi="Calibri Light" w:cs="Calibri Light"/>
                <w:color w:val="000000"/>
                <w:sz w:val="20"/>
                <w:szCs w:val="20"/>
                <w:lang w:eastAsia="en-GB"/>
              </w:rPr>
              <w:t>Програм управљања отпадом у Републици Србији за период 2022-2031. године</w:t>
            </w:r>
          </w:p>
        </w:tc>
      </w:tr>
      <w:tr w:rsidR="00854ADA" w:rsidRPr="00FF386D" w14:paraId="00594E01" w14:textId="77777777" w:rsidTr="006E0ED7">
        <w:trPr>
          <w:trHeight w:val="315"/>
        </w:trPr>
        <w:tc>
          <w:tcPr>
            <w:tcW w:w="3272" w:type="dxa"/>
            <w:tcBorders>
              <w:top w:val="nil"/>
              <w:left w:val="single" w:sz="8" w:space="0" w:color="auto"/>
              <w:bottom w:val="single" w:sz="8" w:space="0" w:color="auto"/>
              <w:right w:val="single" w:sz="8" w:space="0" w:color="auto"/>
            </w:tcBorders>
            <w:shd w:val="clear" w:color="000000" w:fill="244062"/>
            <w:vAlign w:val="center"/>
            <w:hideMark/>
          </w:tcPr>
          <w:p w14:paraId="6E95F9E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16" w:type="dxa"/>
            <w:gridSpan w:val="3"/>
            <w:tcBorders>
              <w:top w:val="single" w:sz="8" w:space="0" w:color="auto"/>
              <w:left w:val="nil"/>
              <w:bottom w:val="single" w:sz="8" w:space="0" w:color="auto"/>
              <w:right w:val="single" w:sz="8" w:space="0" w:color="000000"/>
            </w:tcBorders>
            <w:shd w:val="clear" w:color="auto" w:fill="auto"/>
            <w:vAlign w:val="center"/>
            <w:hideMark/>
          </w:tcPr>
          <w:p w14:paraId="0AA1E84B"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60 милиона евра</w:t>
            </w:r>
          </w:p>
        </w:tc>
      </w:tr>
      <w:tr w:rsidR="00854ADA" w:rsidRPr="00FF386D" w14:paraId="215FE743" w14:textId="77777777" w:rsidTr="006E0ED7">
        <w:trPr>
          <w:trHeight w:val="315"/>
        </w:trPr>
        <w:tc>
          <w:tcPr>
            <w:tcW w:w="3272" w:type="dxa"/>
            <w:tcBorders>
              <w:top w:val="nil"/>
              <w:left w:val="single" w:sz="8" w:space="0" w:color="auto"/>
              <w:bottom w:val="single" w:sz="8" w:space="0" w:color="auto"/>
              <w:right w:val="single" w:sz="8" w:space="0" w:color="auto"/>
            </w:tcBorders>
            <w:shd w:val="clear" w:color="000000" w:fill="244062"/>
            <w:vAlign w:val="center"/>
            <w:hideMark/>
          </w:tcPr>
          <w:p w14:paraId="7D123E2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16" w:type="dxa"/>
            <w:gridSpan w:val="3"/>
            <w:tcBorders>
              <w:top w:val="single" w:sz="8" w:space="0" w:color="auto"/>
              <w:left w:val="nil"/>
              <w:bottom w:val="single" w:sz="8" w:space="0" w:color="auto"/>
              <w:right w:val="single" w:sz="8" w:space="0" w:color="000000"/>
            </w:tcBorders>
            <w:shd w:val="clear" w:color="auto" w:fill="auto"/>
            <w:vAlign w:val="center"/>
          </w:tcPr>
          <w:p w14:paraId="3FE72414" w14:textId="569BDD4D"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Фондови ЕУ и други фондови, буџет</w:t>
            </w:r>
            <w:r w:rsidR="00640D3E" w:rsidRPr="000A2AFE">
              <w:rPr>
                <w:rFonts w:asciiTheme="majorHAnsi" w:eastAsia="Times New Roman" w:hAnsiTheme="majorHAnsi" w:cstheme="majorHAnsi"/>
                <w:color w:val="000000"/>
                <w:sz w:val="20"/>
                <w:szCs w:val="20"/>
                <w:lang w:eastAsia="en-GB"/>
              </w:rPr>
              <w:t>ска средства</w:t>
            </w:r>
          </w:p>
        </w:tc>
      </w:tr>
    </w:tbl>
    <w:p w14:paraId="7737C091" w14:textId="77777777" w:rsidR="00854ADA" w:rsidRPr="000A2AFE" w:rsidRDefault="00854ADA" w:rsidP="00854ADA">
      <w:pPr>
        <w:jc w:val="both"/>
        <w:rPr>
          <w:rFonts w:cstheme="minorHAnsi"/>
          <w:color w:val="000000"/>
          <w:u w:val="single"/>
        </w:rPr>
      </w:pPr>
    </w:p>
    <w:p w14:paraId="30E3629A" w14:textId="536DC77A" w:rsidR="00854ADA" w:rsidRPr="00FF386D" w:rsidRDefault="00854ADA" w:rsidP="00854ADA">
      <w:pPr>
        <w:spacing w:before="240"/>
        <w:jc w:val="both"/>
        <w:rPr>
          <w:rFonts w:asciiTheme="majorHAnsi" w:hAnsiTheme="majorHAnsi" w:cstheme="majorHAnsi"/>
          <w:b/>
          <w:bCs/>
          <w:color w:val="000000"/>
        </w:rPr>
      </w:pPr>
      <w:r w:rsidRPr="00FF386D">
        <w:rPr>
          <w:rFonts w:asciiTheme="majorHAnsi" w:hAnsiTheme="majorHAnsi" w:cstheme="majorHAnsi"/>
          <w:b/>
          <w:bCs/>
          <w:color w:val="000000"/>
        </w:rPr>
        <w:lastRenderedPageBreak/>
        <w:t>Пољопривреда</w:t>
      </w:r>
      <w:r w:rsidR="00475748">
        <w:rPr>
          <w:rFonts w:asciiTheme="majorHAnsi" w:hAnsiTheme="majorHAnsi" w:cstheme="majorHAnsi"/>
          <w:b/>
          <w:bCs/>
          <w:color w:val="000000"/>
          <w:lang w:val="sr-Latn-RS"/>
        </w:rPr>
        <w:t xml:space="preserve"> </w:t>
      </w:r>
      <w:r w:rsidR="00475748">
        <w:rPr>
          <w:rFonts w:asciiTheme="majorHAnsi" w:hAnsiTheme="majorHAnsi" w:cstheme="majorHAnsi"/>
          <w:b/>
          <w:bCs/>
          <w:color w:val="000000"/>
        </w:rPr>
        <w:t xml:space="preserve">и </w:t>
      </w:r>
      <w:r w:rsidR="00475748" w:rsidRPr="000A2AFE">
        <w:rPr>
          <w:rFonts w:asciiTheme="majorHAnsi" w:hAnsiTheme="majorHAnsi" w:cstheme="majorHAnsi"/>
          <w:b/>
          <w:bCs/>
          <w:i/>
          <w:iCs/>
          <w:color w:val="000000"/>
          <w:lang w:val="en-US"/>
        </w:rPr>
        <w:t>LULUCF</w:t>
      </w:r>
    </w:p>
    <w:p w14:paraId="1E4A8564" w14:textId="77777777" w:rsidR="00854ADA" w:rsidRPr="00FF386D" w:rsidRDefault="00854ADA" w:rsidP="00854ADA">
      <w:pPr>
        <w:numPr>
          <w:ilvl w:val="0"/>
          <w:numId w:val="218"/>
        </w:numPr>
        <w:spacing w:before="240" w:line="240" w:lineRule="auto"/>
        <w:contextualSpacing/>
        <w:jc w:val="both"/>
        <w:rPr>
          <w:rFonts w:asciiTheme="majorHAnsi" w:hAnsiTheme="majorHAnsi" w:cstheme="majorHAnsi"/>
          <w:b/>
          <w:bCs/>
          <w:i/>
          <w:iCs/>
          <w:color w:val="000000"/>
        </w:rPr>
      </w:pPr>
      <w:r w:rsidRPr="00FF386D">
        <w:rPr>
          <w:rFonts w:asciiTheme="majorHAnsi" w:hAnsiTheme="majorHAnsi" w:cstheme="majorHAnsi"/>
          <w:b/>
          <w:bCs/>
          <w:i/>
          <w:iCs/>
          <w:color w:val="000000"/>
        </w:rPr>
        <w:t>Пољопривреда</w:t>
      </w:r>
    </w:p>
    <w:p w14:paraId="2BEBFFD5" w14:textId="43205BB6" w:rsidR="00854ADA" w:rsidRPr="00FF386D" w:rsidRDefault="00854ADA" w:rsidP="00854ADA">
      <w:pPr>
        <w:spacing w:before="240"/>
        <w:jc w:val="both"/>
        <w:rPr>
          <w:rFonts w:asciiTheme="majorHAnsi" w:hAnsiTheme="majorHAnsi" w:cstheme="majorHAnsi"/>
          <w:bCs/>
          <w:color w:val="000000"/>
        </w:rPr>
      </w:pPr>
      <w:r w:rsidRPr="00FF386D">
        <w:rPr>
          <w:rFonts w:asciiTheme="majorHAnsi" w:hAnsiTheme="majorHAnsi" w:cstheme="majorHAnsi"/>
          <w:bCs/>
          <w:color w:val="000000"/>
        </w:rPr>
        <w:t>Метан (CH</w:t>
      </w:r>
      <w:r w:rsidRPr="00FF386D">
        <w:rPr>
          <w:rFonts w:asciiTheme="majorHAnsi" w:hAnsiTheme="majorHAnsi" w:cstheme="majorHAnsi"/>
          <w:bCs/>
          <w:color w:val="000000"/>
          <w:vertAlign w:val="subscript"/>
        </w:rPr>
        <w:t>4</w:t>
      </w:r>
      <w:r w:rsidRPr="00FF386D">
        <w:rPr>
          <w:rFonts w:asciiTheme="majorHAnsi" w:hAnsiTheme="majorHAnsi" w:cstheme="majorHAnsi"/>
          <w:bCs/>
          <w:color w:val="000000"/>
        </w:rPr>
        <w:t xml:space="preserve">) је </w:t>
      </w:r>
      <w:r w:rsidR="00284C0D" w:rsidRPr="00FF386D">
        <w:rPr>
          <w:rFonts w:asciiTheme="majorHAnsi" w:hAnsiTheme="majorHAnsi" w:cstheme="majorHAnsi"/>
          <w:bCs/>
          <w:color w:val="000000"/>
        </w:rPr>
        <w:t>најважнији</w:t>
      </w:r>
      <w:r w:rsidRPr="00FF386D">
        <w:rPr>
          <w:rFonts w:asciiTheme="majorHAnsi" w:hAnsiTheme="majorHAnsi" w:cstheme="majorHAnsi"/>
          <w:bCs/>
          <w:color w:val="000000"/>
        </w:rPr>
        <w:t xml:space="preserve"> гас са ефектом стаклене баште који се емитује у сектору пољопривреде из ентеричке ферментације и управљања стајским ђубривом. Веома мале количине N</w:t>
      </w:r>
      <w:r w:rsidRPr="00FF386D">
        <w:rPr>
          <w:rFonts w:asciiTheme="majorHAnsi" w:hAnsiTheme="majorHAnsi" w:cstheme="majorHAnsi"/>
          <w:bCs/>
          <w:color w:val="000000"/>
          <w:vertAlign w:val="subscript"/>
        </w:rPr>
        <w:t>2</w:t>
      </w:r>
      <w:r w:rsidRPr="00FF386D">
        <w:rPr>
          <w:rFonts w:asciiTheme="majorHAnsi" w:hAnsiTheme="majorHAnsi" w:cstheme="majorHAnsi"/>
          <w:bCs/>
          <w:color w:val="000000"/>
        </w:rPr>
        <w:t xml:space="preserve">О се такође емитују из управљања стајским ђубривом и употребе ђубрива. </w:t>
      </w:r>
      <w:r w:rsidR="00AB2E37" w:rsidRPr="00FF386D">
        <w:rPr>
          <w:rFonts w:asciiTheme="majorHAnsi" w:hAnsiTheme="majorHAnsi" w:cstheme="majorHAnsi"/>
          <w:bCs/>
          <w:color w:val="000000"/>
        </w:rPr>
        <w:t>Различите</w:t>
      </w:r>
      <w:r w:rsidRPr="00FF386D">
        <w:rPr>
          <w:rFonts w:asciiTheme="majorHAnsi" w:hAnsiTheme="majorHAnsi" w:cstheme="majorHAnsi"/>
          <w:bCs/>
          <w:color w:val="000000"/>
        </w:rPr>
        <w:t xml:space="preserve"> политике и мере </w:t>
      </w:r>
      <w:r w:rsidR="00AB2E37" w:rsidRPr="00FF386D">
        <w:rPr>
          <w:rFonts w:asciiTheme="majorHAnsi" w:hAnsiTheme="majorHAnsi" w:cstheme="majorHAnsi"/>
          <w:bCs/>
          <w:color w:val="000000"/>
        </w:rPr>
        <w:t>се примењују к</w:t>
      </w:r>
      <w:r w:rsidRPr="00FF386D">
        <w:rPr>
          <w:rFonts w:asciiTheme="majorHAnsi" w:hAnsiTheme="majorHAnsi" w:cstheme="majorHAnsi"/>
          <w:bCs/>
          <w:color w:val="000000"/>
        </w:rPr>
        <w:t xml:space="preserve">ао пољопривредне праксе које смањују профил емисија </w:t>
      </w:r>
      <w:r w:rsidRPr="00FF386D">
        <w:rPr>
          <w:rFonts w:asciiTheme="majorHAnsi" w:hAnsiTheme="majorHAnsi" w:cstheme="majorHAnsi"/>
          <w:bCs/>
          <w:i/>
          <w:iCs/>
          <w:color w:val="000000"/>
        </w:rPr>
        <w:t>GHG</w:t>
      </w:r>
      <w:r w:rsidRPr="00FF386D">
        <w:rPr>
          <w:rFonts w:asciiTheme="majorHAnsi" w:hAnsiTheme="majorHAnsi" w:cstheme="majorHAnsi"/>
          <w:bCs/>
          <w:color w:val="000000"/>
        </w:rPr>
        <w:t xml:space="preserve"> локалног пољопривредног сектора. Очекује се да ће се</w:t>
      </w:r>
      <w:r w:rsidR="00284C0D" w:rsidRPr="00FF386D">
        <w:rPr>
          <w:rFonts w:asciiTheme="majorHAnsi" w:hAnsiTheme="majorHAnsi" w:cstheme="majorHAnsi"/>
          <w:bCs/>
          <w:color w:val="000000"/>
        </w:rPr>
        <w:t xml:space="preserve"> </w:t>
      </w:r>
      <w:r w:rsidR="00826DCF" w:rsidRPr="00FF386D">
        <w:rPr>
          <w:rFonts w:asciiTheme="majorHAnsi" w:hAnsiTheme="majorHAnsi" w:cstheme="majorHAnsi"/>
          <w:bCs/>
          <w:color w:val="000000"/>
        </w:rPr>
        <w:t>емисије N</w:t>
      </w:r>
      <w:r w:rsidR="00826DCF" w:rsidRPr="00FF386D">
        <w:rPr>
          <w:rFonts w:asciiTheme="majorHAnsi" w:hAnsiTheme="majorHAnsi" w:cstheme="majorHAnsi"/>
          <w:bCs/>
          <w:color w:val="000000"/>
          <w:vertAlign w:val="subscript"/>
        </w:rPr>
        <w:t>2</w:t>
      </w:r>
      <w:r w:rsidR="00826DCF" w:rsidRPr="00FF386D">
        <w:rPr>
          <w:rFonts w:asciiTheme="majorHAnsi" w:hAnsiTheme="majorHAnsi" w:cstheme="majorHAnsi"/>
          <w:bCs/>
          <w:color w:val="000000"/>
        </w:rPr>
        <w:t>O из употребе ђубрива временом смањи</w:t>
      </w:r>
      <w:r w:rsidR="00AB2E37" w:rsidRPr="00FF386D">
        <w:rPr>
          <w:rFonts w:asciiTheme="majorHAnsi" w:hAnsiTheme="majorHAnsi" w:cstheme="majorHAnsi"/>
          <w:bCs/>
          <w:color w:val="000000"/>
        </w:rPr>
        <w:t>ти</w:t>
      </w:r>
      <w:r w:rsidR="00826DCF" w:rsidRPr="00FF386D">
        <w:rPr>
          <w:rFonts w:asciiTheme="majorHAnsi" w:hAnsiTheme="majorHAnsi" w:cstheme="majorHAnsi"/>
          <w:bCs/>
          <w:color w:val="000000"/>
        </w:rPr>
        <w:t xml:space="preserve"> </w:t>
      </w:r>
      <w:r w:rsidR="00284C0D" w:rsidRPr="00FF386D">
        <w:rPr>
          <w:rFonts w:asciiTheme="majorHAnsi" w:hAnsiTheme="majorHAnsi" w:cstheme="majorHAnsi"/>
          <w:bCs/>
          <w:color w:val="000000"/>
        </w:rPr>
        <w:t>усвајањем побољшаних пракси култивације земљишта</w:t>
      </w:r>
      <w:r w:rsidR="00826DCF" w:rsidRPr="00FF386D">
        <w:rPr>
          <w:rFonts w:asciiTheme="majorHAnsi" w:hAnsiTheme="majorHAnsi" w:cstheme="majorHAnsi"/>
          <w:bCs/>
          <w:color w:val="000000"/>
        </w:rPr>
        <w:t>.</w:t>
      </w:r>
    </w:p>
    <w:p w14:paraId="17C25231" w14:textId="2EB890C1" w:rsidR="00854ADA" w:rsidRPr="00FF386D" w:rsidRDefault="00826DCF" w:rsidP="00854ADA">
      <w:pPr>
        <w:spacing w:before="240"/>
        <w:jc w:val="both"/>
        <w:rPr>
          <w:rFonts w:asciiTheme="majorHAnsi" w:hAnsiTheme="majorHAnsi" w:cstheme="majorHAnsi"/>
          <w:bCs/>
          <w:color w:val="000000"/>
        </w:rPr>
      </w:pPr>
      <w:r w:rsidRPr="00FF386D">
        <w:rPr>
          <w:rFonts w:asciiTheme="majorHAnsi" w:hAnsiTheme="majorHAnsi" w:cstheme="majorHAnsi"/>
          <w:bCs/>
          <w:color w:val="000000"/>
        </w:rPr>
        <w:t>Пољопривредна политика у</w:t>
      </w:r>
      <w:r w:rsidR="00854ADA" w:rsidRPr="00FF386D">
        <w:rPr>
          <w:rFonts w:asciiTheme="majorHAnsi" w:hAnsiTheme="majorHAnsi" w:cstheme="majorHAnsi"/>
          <w:bCs/>
          <w:color w:val="000000"/>
        </w:rPr>
        <w:t xml:space="preserve"> Републици Србији</w:t>
      </w:r>
      <w:r w:rsidRPr="00FF386D">
        <w:rPr>
          <w:rFonts w:asciiTheme="majorHAnsi" w:hAnsiTheme="majorHAnsi" w:cstheme="majorHAnsi"/>
          <w:bCs/>
          <w:color w:val="000000"/>
        </w:rPr>
        <w:t xml:space="preserve"> се</w:t>
      </w:r>
      <w:r w:rsidR="00854ADA" w:rsidRPr="00FF386D">
        <w:rPr>
          <w:rFonts w:asciiTheme="majorHAnsi" w:hAnsiTheme="majorHAnsi" w:cstheme="majorHAnsi"/>
          <w:bCs/>
          <w:color w:val="000000"/>
        </w:rPr>
        <w:t xml:space="preserve"> заснива на Закону о пољопривреди и руралном развоју</w:t>
      </w:r>
      <w:r w:rsidR="00854ADA" w:rsidRPr="00FF386D">
        <w:rPr>
          <w:rFonts w:asciiTheme="majorHAnsi" w:hAnsiTheme="majorHAnsi" w:cstheme="majorHAnsi"/>
          <w:bCs/>
          <w:color w:val="000000"/>
          <w:vertAlign w:val="superscript"/>
        </w:rPr>
        <w:footnoteReference w:id="101"/>
      </w:r>
      <w:r w:rsidR="00854ADA" w:rsidRPr="00FF386D">
        <w:rPr>
          <w:rFonts w:asciiTheme="majorHAnsi" w:hAnsiTheme="majorHAnsi" w:cstheme="majorHAnsi"/>
          <w:bCs/>
          <w:color w:val="000000"/>
        </w:rPr>
        <w:t xml:space="preserve"> и Закону о подстицајима у пољопривреди и руралном развоју</w:t>
      </w:r>
      <w:r w:rsidR="00854ADA" w:rsidRPr="00FF386D">
        <w:rPr>
          <w:rFonts w:asciiTheme="majorHAnsi" w:hAnsiTheme="majorHAnsi" w:cstheme="majorHAnsi"/>
          <w:bCs/>
          <w:color w:val="000000"/>
          <w:vertAlign w:val="superscript"/>
        </w:rPr>
        <w:footnoteReference w:id="102"/>
      </w:r>
      <w:r w:rsidR="00854ADA" w:rsidRPr="00FF386D">
        <w:rPr>
          <w:rFonts w:asciiTheme="majorHAnsi" w:hAnsiTheme="majorHAnsi" w:cstheme="majorHAnsi"/>
          <w:bCs/>
          <w:color w:val="000000"/>
        </w:rPr>
        <w:t xml:space="preserve">. Међутим, ни један од ова два закона не </w:t>
      </w:r>
      <w:r w:rsidRPr="00FF386D">
        <w:rPr>
          <w:rFonts w:asciiTheme="majorHAnsi" w:hAnsiTheme="majorHAnsi" w:cstheme="majorHAnsi"/>
          <w:bCs/>
          <w:color w:val="000000"/>
        </w:rPr>
        <w:t>обезбеђује регулисање</w:t>
      </w:r>
      <w:r w:rsidR="00854ADA" w:rsidRPr="00FF386D">
        <w:rPr>
          <w:rFonts w:asciiTheme="majorHAnsi" w:hAnsiTheme="majorHAnsi" w:cstheme="majorHAnsi"/>
          <w:bCs/>
          <w:color w:val="000000"/>
        </w:rPr>
        <w:t xml:space="preserve"> тржишта пољопривредних производа и увођење нових тржишних механизама који су неопходни </w:t>
      </w:r>
      <w:r w:rsidRPr="00FF386D">
        <w:rPr>
          <w:rFonts w:asciiTheme="majorHAnsi" w:hAnsiTheme="majorHAnsi" w:cstheme="majorHAnsi"/>
          <w:bCs/>
          <w:color w:val="000000"/>
        </w:rPr>
        <w:t xml:space="preserve">за одржавање стабилног развоја </w:t>
      </w:r>
      <w:r w:rsidR="00854ADA" w:rsidRPr="00FF386D">
        <w:rPr>
          <w:rFonts w:asciiTheme="majorHAnsi" w:hAnsiTheme="majorHAnsi" w:cstheme="majorHAnsi"/>
          <w:bCs/>
          <w:color w:val="000000"/>
        </w:rPr>
        <w:t>пољопривред</w:t>
      </w:r>
      <w:r w:rsidRPr="00FF386D">
        <w:rPr>
          <w:rFonts w:asciiTheme="majorHAnsi" w:hAnsiTheme="majorHAnsi" w:cstheme="majorHAnsi"/>
          <w:bCs/>
          <w:color w:val="000000"/>
        </w:rPr>
        <w:t xml:space="preserve">е у </w:t>
      </w:r>
      <w:r w:rsidR="00854ADA" w:rsidRPr="00FF386D">
        <w:rPr>
          <w:rFonts w:asciiTheme="majorHAnsi" w:hAnsiTheme="majorHAnsi" w:cstheme="majorHAnsi"/>
          <w:bCs/>
          <w:color w:val="000000"/>
        </w:rPr>
        <w:t>Србиј</w:t>
      </w:r>
      <w:r w:rsidRPr="00FF386D">
        <w:rPr>
          <w:rFonts w:asciiTheme="majorHAnsi" w:hAnsiTheme="majorHAnsi" w:cstheme="majorHAnsi"/>
          <w:bCs/>
          <w:color w:val="000000"/>
        </w:rPr>
        <w:t>и.</w:t>
      </w:r>
      <w:r w:rsidR="00854ADA" w:rsidRPr="00FF386D">
        <w:rPr>
          <w:rFonts w:asciiTheme="majorHAnsi" w:hAnsiTheme="majorHAnsi" w:cstheme="majorHAnsi"/>
          <w:bCs/>
          <w:color w:val="000000"/>
        </w:rPr>
        <w:t xml:space="preserve"> Тржишни механизми у Републици Србији нису у складу са заједничком организацијом тржишта ЕУ. Србији недостаје сличан јединствен законодавни оквир </w:t>
      </w:r>
      <w:r w:rsidRPr="00FF386D">
        <w:rPr>
          <w:rFonts w:asciiTheme="majorHAnsi" w:hAnsiTheme="majorHAnsi" w:cstheme="majorHAnsi"/>
          <w:bCs/>
          <w:color w:val="000000"/>
        </w:rPr>
        <w:t>како би се применила</w:t>
      </w:r>
      <w:r w:rsidR="00854ADA" w:rsidRPr="00FF386D">
        <w:rPr>
          <w:rFonts w:asciiTheme="majorHAnsi" w:hAnsiTheme="majorHAnsi" w:cstheme="majorHAnsi"/>
          <w:bCs/>
          <w:color w:val="000000"/>
        </w:rPr>
        <w:t xml:space="preserve"> већин</w:t>
      </w:r>
      <w:r w:rsidRPr="00FF386D">
        <w:rPr>
          <w:rFonts w:asciiTheme="majorHAnsi" w:hAnsiTheme="majorHAnsi" w:cstheme="majorHAnsi"/>
          <w:bCs/>
          <w:color w:val="000000"/>
        </w:rPr>
        <w:t>а</w:t>
      </w:r>
      <w:r w:rsidR="00854ADA" w:rsidRPr="00FF386D">
        <w:rPr>
          <w:rFonts w:asciiTheme="majorHAnsi" w:hAnsiTheme="majorHAnsi" w:cstheme="majorHAnsi"/>
          <w:bCs/>
          <w:color w:val="000000"/>
        </w:rPr>
        <w:t xml:space="preserve"> мера за регулисање тржишта.</w:t>
      </w:r>
    </w:p>
    <w:p w14:paraId="14D7E40A" w14:textId="358A6E82" w:rsidR="00854ADA" w:rsidRPr="00FF386D" w:rsidRDefault="00854ADA" w:rsidP="00854ADA">
      <w:pPr>
        <w:spacing w:before="240"/>
        <w:jc w:val="both"/>
        <w:rPr>
          <w:rFonts w:asciiTheme="majorHAnsi" w:hAnsiTheme="majorHAnsi" w:cstheme="majorHAnsi"/>
          <w:bCs/>
        </w:rPr>
      </w:pPr>
      <w:r w:rsidRPr="00FF386D">
        <w:rPr>
          <w:rFonts w:asciiTheme="majorHAnsi" w:hAnsiTheme="majorHAnsi" w:cstheme="majorHAnsi"/>
          <w:bCs/>
        </w:rPr>
        <w:t>С циљем додатног усклађивања са механизмима ЕУ, Народн</w:t>
      </w:r>
      <w:r w:rsidR="00201464" w:rsidRPr="00FF386D">
        <w:rPr>
          <w:rFonts w:asciiTheme="majorHAnsi" w:hAnsiTheme="majorHAnsi" w:cstheme="majorHAnsi"/>
          <w:bCs/>
        </w:rPr>
        <w:t>а</w:t>
      </w:r>
      <w:r w:rsidRPr="00FF386D">
        <w:rPr>
          <w:rFonts w:asciiTheme="majorHAnsi" w:hAnsiTheme="majorHAnsi" w:cstheme="majorHAnsi"/>
          <w:bCs/>
        </w:rPr>
        <w:t xml:space="preserve"> </w:t>
      </w:r>
      <w:r w:rsidR="00201464" w:rsidRPr="00FF386D">
        <w:rPr>
          <w:rFonts w:asciiTheme="majorHAnsi" w:hAnsiTheme="majorHAnsi" w:cstheme="majorHAnsi"/>
          <w:bCs/>
        </w:rPr>
        <w:t xml:space="preserve">скупштина Републике </w:t>
      </w:r>
      <w:r w:rsidRPr="00FF386D">
        <w:rPr>
          <w:rFonts w:asciiTheme="majorHAnsi" w:hAnsiTheme="majorHAnsi" w:cstheme="majorHAnsi"/>
          <w:bCs/>
        </w:rPr>
        <w:t xml:space="preserve">Србије </w:t>
      </w:r>
      <w:r w:rsidR="008A4017" w:rsidRPr="00FF386D">
        <w:rPr>
          <w:rFonts w:asciiTheme="majorHAnsi" w:hAnsiTheme="majorHAnsi" w:cstheme="majorHAnsi"/>
          <w:bCs/>
        </w:rPr>
        <w:t>донела</w:t>
      </w:r>
      <w:r w:rsidRPr="00FF386D">
        <w:rPr>
          <w:rFonts w:asciiTheme="majorHAnsi" w:hAnsiTheme="majorHAnsi" w:cstheme="majorHAnsi"/>
          <w:bCs/>
        </w:rPr>
        <w:t xml:space="preserve"> је Закон о уређењу тржишта пољопривредних производа</w:t>
      </w:r>
      <w:r w:rsidR="00156BDA" w:rsidRPr="000A2AFE">
        <w:rPr>
          <w:rStyle w:val="FootnoteReference"/>
          <w:rFonts w:asciiTheme="majorHAnsi" w:hAnsiTheme="majorHAnsi" w:cstheme="majorHAnsi"/>
          <w:bCs/>
          <w:lang w:val="sr-Cyrl-RS"/>
        </w:rPr>
        <w:footnoteReference w:id="103"/>
      </w:r>
      <w:r w:rsidRPr="00FF386D">
        <w:rPr>
          <w:rFonts w:asciiTheme="majorHAnsi" w:hAnsiTheme="majorHAnsi" w:cstheme="majorHAnsi"/>
          <w:bCs/>
        </w:rPr>
        <w:t xml:space="preserve">. Закон прописује </w:t>
      </w:r>
      <w:r w:rsidR="00826DCF" w:rsidRPr="00FF386D">
        <w:rPr>
          <w:rFonts w:asciiTheme="majorHAnsi" w:hAnsiTheme="majorHAnsi" w:cstheme="majorHAnsi"/>
          <w:bCs/>
        </w:rPr>
        <w:t>услове</w:t>
      </w:r>
      <w:r w:rsidRPr="00FF386D">
        <w:rPr>
          <w:rFonts w:asciiTheme="majorHAnsi" w:hAnsiTheme="majorHAnsi" w:cstheme="majorHAnsi"/>
          <w:bCs/>
        </w:rPr>
        <w:t xml:space="preserve"> и мере за </w:t>
      </w:r>
      <w:r w:rsidR="00AB2E37" w:rsidRPr="00FF386D">
        <w:rPr>
          <w:rFonts w:asciiTheme="majorHAnsi" w:hAnsiTheme="majorHAnsi" w:cstheme="majorHAnsi"/>
          <w:bCs/>
        </w:rPr>
        <w:t>уређење</w:t>
      </w:r>
      <w:r w:rsidRPr="00FF386D">
        <w:rPr>
          <w:rFonts w:asciiTheme="majorHAnsi" w:hAnsiTheme="majorHAnsi" w:cstheme="majorHAnsi"/>
          <w:bCs/>
        </w:rPr>
        <w:t xml:space="preserve"> тржишта пољопривредних производа.</w:t>
      </w:r>
    </w:p>
    <w:p w14:paraId="39541CFD" w14:textId="7171F3A2" w:rsidR="00854ADA" w:rsidRPr="00FF386D" w:rsidRDefault="00445281" w:rsidP="00854ADA">
      <w:pPr>
        <w:spacing w:before="240"/>
        <w:jc w:val="both"/>
        <w:rPr>
          <w:rFonts w:asciiTheme="majorHAnsi" w:hAnsiTheme="majorHAnsi" w:cstheme="majorHAnsi"/>
          <w:bCs/>
        </w:rPr>
      </w:pPr>
      <w:r w:rsidRPr="00FF386D">
        <w:rPr>
          <w:rFonts w:asciiTheme="majorHAnsi" w:hAnsiTheme="majorHAnsi" w:cstheme="majorHAnsi"/>
          <w:bCs/>
        </w:rPr>
        <w:t>Осим тога</w:t>
      </w:r>
      <w:r w:rsidR="00854ADA" w:rsidRPr="00FF386D">
        <w:rPr>
          <w:rFonts w:asciiTheme="majorHAnsi" w:hAnsiTheme="majorHAnsi" w:cstheme="majorHAnsi"/>
          <w:bCs/>
        </w:rPr>
        <w:t xml:space="preserve">, </w:t>
      </w:r>
      <w:r w:rsidR="004F295D" w:rsidRPr="00FF386D">
        <w:rPr>
          <w:rFonts w:asciiTheme="majorHAnsi" w:hAnsiTheme="majorHAnsi" w:cstheme="majorHAnsi"/>
          <w:bCs/>
        </w:rPr>
        <w:t>а</w:t>
      </w:r>
      <w:r w:rsidR="00826DCF" w:rsidRPr="00FF386D">
        <w:rPr>
          <w:rFonts w:asciiTheme="majorHAnsi" w:hAnsiTheme="majorHAnsi" w:cstheme="majorHAnsi"/>
          <w:bCs/>
        </w:rPr>
        <w:t xml:space="preserve"> </w:t>
      </w:r>
      <w:r w:rsidR="00854ADA" w:rsidRPr="00FF386D">
        <w:rPr>
          <w:rFonts w:asciiTheme="majorHAnsi" w:hAnsiTheme="majorHAnsi" w:cstheme="majorHAnsi"/>
          <w:bCs/>
        </w:rPr>
        <w:t xml:space="preserve">посебно </w:t>
      </w:r>
      <w:r w:rsidR="00826DCF" w:rsidRPr="00FF386D">
        <w:rPr>
          <w:rFonts w:asciiTheme="majorHAnsi" w:hAnsiTheme="majorHAnsi" w:cstheme="majorHAnsi"/>
          <w:bCs/>
        </w:rPr>
        <w:t xml:space="preserve">у погледу </w:t>
      </w:r>
      <w:r w:rsidR="00854ADA" w:rsidRPr="00FF386D">
        <w:rPr>
          <w:rFonts w:asciiTheme="majorHAnsi" w:hAnsiTheme="majorHAnsi" w:cstheme="majorHAnsi"/>
          <w:bCs/>
        </w:rPr>
        <w:t xml:space="preserve">емисија </w:t>
      </w:r>
      <w:r w:rsidR="00854ADA" w:rsidRPr="00FF386D">
        <w:rPr>
          <w:rFonts w:asciiTheme="majorHAnsi" w:hAnsiTheme="majorHAnsi" w:cstheme="majorHAnsi"/>
          <w:bCs/>
          <w:i/>
          <w:iCs/>
        </w:rPr>
        <w:t>GHG</w:t>
      </w:r>
      <w:r w:rsidR="00854ADA" w:rsidRPr="00FF386D">
        <w:rPr>
          <w:rFonts w:asciiTheme="majorHAnsi" w:hAnsiTheme="majorHAnsi" w:cstheme="majorHAnsi"/>
          <w:bCs/>
        </w:rPr>
        <w:t xml:space="preserve">, потребно је </w:t>
      </w:r>
      <w:r w:rsidR="004F295D" w:rsidRPr="00FF386D">
        <w:rPr>
          <w:rFonts w:asciiTheme="majorHAnsi" w:hAnsiTheme="majorHAnsi" w:cstheme="majorHAnsi"/>
          <w:bCs/>
        </w:rPr>
        <w:t>да се унапреди</w:t>
      </w:r>
      <w:r w:rsidR="00854ADA" w:rsidRPr="00FF386D">
        <w:rPr>
          <w:rFonts w:asciiTheme="majorHAnsi" w:hAnsiTheme="majorHAnsi" w:cstheme="majorHAnsi"/>
          <w:bCs/>
        </w:rPr>
        <w:t xml:space="preserve"> управљање стајским ђубривом</w:t>
      </w:r>
      <w:r w:rsidR="004F295D" w:rsidRPr="00FF386D">
        <w:rPr>
          <w:rFonts w:asciiTheme="majorHAnsi" w:hAnsiTheme="majorHAnsi" w:cstheme="majorHAnsi"/>
          <w:bCs/>
        </w:rPr>
        <w:t xml:space="preserve"> спровођење</w:t>
      </w:r>
      <w:r w:rsidRPr="00FF386D">
        <w:rPr>
          <w:rFonts w:asciiTheme="majorHAnsi" w:hAnsiTheme="majorHAnsi" w:cstheme="majorHAnsi"/>
          <w:bCs/>
        </w:rPr>
        <w:t>м</w:t>
      </w:r>
      <w:r w:rsidR="00854ADA" w:rsidRPr="00FF386D">
        <w:rPr>
          <w:rFonts w:asciiTheme="majorHAnsi" w:hAnsiTheme="majorHAnsi" w:cstheme="majorHAnsi"/>
          <w:bCs/>
        </w:rPr>
        <w:t xml:space="preserve"> предложене мере политике </w:t>
      </w:r>
      <w:r w:rsidR="00854ADA" w:rsidRPr="00FF386D">
        <w:rPr>
          <w:rFonts w:asciiTheme="majorHAnsi" w:hAnsiTheme="majorHAnsi" w:cstheme="majorHAnsi"/>
          <w:b/>
          <w:bCs/>
        </w:rPr>
        <w:t>МП_Д11</w:t>
      </w:r>
      <w:r w:rsidR="004F295D" w:rsidRPr="00FF386D">
        <w:rPr>
          <w:rFonts w:asciiTheme="majorHAnsi" w:hAnsiTheme="majorHAnsi" w:cstheme="majorHAnsi"/>
          <w:bCs/>
        </w:rPr>
        <w:t>, што</w:t>
      </w:r>
      <w:r w:rsidR="00854ADA" w:rsidRPr="00FF386D">
        <w:rPr>
          <w:rFonts w:asciiTheme="majorHAnsi" w:hAnsiTheme="majorHAnsi" w:cstheme="majorHAnsi"/>
          <w:bCs/>
        </w:rPr>
        <w:t xml:space="preserve"> захтева како инвестиције у нову инфраструктуру тако и промену </w:t>
      </w:r>
      <w:r w:rsidR="004F295D" w:rsidRPr="00FF386D">
        <w:rPr>
          <w:rFonts w:asciiTheme="majorHAnsi" w:hAnsiTheme="majorHAnsi" w:cstheme="majorHAnsi"/>
          <w:bCs/>
        </w:rPr>
        <w:t>постојеће</w:t>
      </w:r>
      <w:r w:rsidR="00854ADA" w:rsidRPr="00FF386D">
        <w:rPr>
          <w:rFonts w:asciiTheme="majorHAnsi" w:hAnsiTheme="majorHAnsi" w:cstheme="majorHAnsi"/>
          <w:bCs/>
        </w:rPr>
        <w:t xml:space="preserve"> праксе.</w:t>
      </w:r>
    </w:p>
    <w:p w14:paraId="6AE8E914" w14:textId="462EAC5E" w:rsidR="00854ADA" w:rsidRPr="00FF386D" w:rsidRDefault="0025022C" w:rsidP="00854ADA">
      <w:pPr>
        <w:numPr>
          <w:ilvl w:val="0"/>
          <w:numId w:val="218"/>
        </w:numPr>
        <w:spacing w:before="240" w:line="240" w:lineRule="auto"/>
        <w:contextualSpacing/>
        <w:jc w:val="both"/>
        <w:rPr>
          <w:rFonts w:asciiTheme="majorHAnsi" w:hAnsiTheme="majorHAnsi" w:cstheme="majorHAnsi"/>
          <w:b/>
          <w:bCs/>
          <w:i/>
          <w:iCs/>
          <w:color w:val="000000"/>
        </w:rPr>
      </w:pPr>
      <w:r w:rsidRPr="00FF386D">
        <w:rPr>
          <w:rFonts w:asciiTheme="majorHAnsi" w:hAnsiTheme="majorHAnsi" w:cstheme="majorHAnsi"/>
          <w:b/>
          <w:bCs/>
          <w:i/>
          <w:iCs/>
          <w:color w:val="000000"/>
        </w:rPr>
        <w:t>Употреба</w:t>
      </w:r>
      <w:r w:rsidR="00854ADA" w:rsidRPr="00FF386D">
        <w:rPr>
          <w:rFonts w:asciiTheme="majorHAnsi" w:hAnsiTheme="majorHAnsi" w:cstheme="majorHAnsi"/>
          <w:b/>
          <w:bCs/>
          <w:i/>
          <w:iCs/>
          <w:color w:val="000000"/>
        </w:rPr>
        <w:t xml:space="preserve"> земљишта, промена </w:t>
      </w:r>
      <w:r w:rsidRPr="00FF386D">
        <w:rPr>
          <w:rFonts w:asciiTheme="majorHAnsi" w:hAnsiTheme="majorHAnsi" w:cstheme="majorHAnsi"/>
          <w:b/>
          <w:bCs/>
          <w:i/>
          <w:iCs/>
          <w:color w:val="000000"/>
        </w:rPr>
        <w:t>намене</w:t>
      </w:r>
      <w:r w:rsidR="00854ADA" w:rsidRPr="00FF386D">
        <w:rPr>
          <w:rFonts w:asciiTheme="majorHAnsi" w:hAnsiTheme="majorHAnsi" w:cstheme="majorHAnsi"/>
          <w:b/>
          <w:bCs/>
          <w:i/>
          <w:iCs/>
          <w:color w:val="000000"/>
        </w:rPr>
        <w:t xml:space="preserve"> земљишта и шумарство</w:t>
      </w:r>
    </w:p>
    <w:p w14:paraId="044295F0" w14:textId="4B6B2DFB" w:rsidR="00854ADA" w:rsidRPr="00FF386D" w:rsidRDefault="00854ADA" w:rsidP="00854ADA">
      <w:pPr>
        <w:spacing w:before="240"/>
        <w:jc w:val="both"/>
        <w:rPr>
          <w:rFonts w:asciiTheme="majorHAnsi" w:hAnsiTheme="majorHAnsi" w:cstheme="majorHAnsi"/>
          <w:bCs/>
          <w:color w:val="000000"/>
        </w:rPr>
      </w:pPr>
      <w:r w:rsidRPr="00FF386D">
        <w:rPr>
          <w:rFonts w:asciiTheme="majorHAnsi" w:hAnsiTheme="majorHAnsi" w:cstheme="majorHAnsi"/>
          <w:bCs/>
          <w:color w:val="000000"/>
        </w:rPr>
        <w:t>У складу са</w:t>
      </w:r>
      <w:r w:rsidR="002C4227">
        <w:rPr>
          <w:rFonts w:asciiTheme="majorHAnsi" w:hAnsiTheme="majorHAnsi" w:cstheme="majorHAnsi"/>
          <w:bCs/>
          <w:color w:val="000000"/>
        </w:rPr>
        <w:t xml:space="preserve"> Републичким заводом за статистику</w:t>
      </w:r>
      <w:r w:rsidRPr="00FF386D">
        <w:rPr>
          <w:rFonts w:asciiTheme="majorHAnsi" w:hAnsiTheme="majorHAnsi" w:cstheme="majorHAnsi"/>
          <w:bCs/>
          <w:color w:val="000000"/>
          <w:vertAlign w:val="superscript"/>
        </w:rPr>
        <w:footnoteReference w:id="104"/>
      </w:r>
      <w:r w:rsidRPr="00FF386D">
        <w:rPr>
          <w:rFonts w:asciiTheme="majorHAnsi" w:hAnsiTheme="majorHAnsi" w:cstheme="majorHAnsi"/>
          <w:bCs/>
          <w:color w:val="000000"/>
        </w:rPr>
        <w:t>, Србија има 2.2</w:t>
      </w:r>
      <w:r w:rsidR="002C4227">
        <w:rPr>
          <w:rFonts w:asciiTheme="majorHAnsi" w:hAnsiTheme="majorHAnsi" w:cstheme="majorHAnsi"/>
          <w:bCs/>
          <w:color w:val="000000"/>
        </w:rPr>
        <w:t>61</w:t>
      </w:r>
      <w:r w:rsidRPr="00FF386D">
        <w:rPr>
          <w:rFonts w:asciiTheme="majorHAnsi" w:hAnsiTheme="majorHAnsi" w:cstheme="majorHAnsi"/>
          <w:bCs/>
          <w:color w:val="000000"/>
        </w:rPr>
        <w:t>.</w:t>
      </w:r>
      <w:r w:rsidR="002C4227">
        <w:rPr>
          <w:rFonts w:asciiTheme="majorHAnsi" w:hAnsiTheme="majorHAnsi" w:cstheme="majorHAnsi"/>
          <w:bCs/>
          <w:color w:val="000000"/>
        </w:rPr>
        <w:t>386</w:t>
      </w:r>
      <w:r w:rsidRPr="00FF386D">
        <w:rPr>
          <w:rFonts w:asciiTheme="majorHAnsi" w:hAnsiTheme="majorHAnsi" w:cstheme="majorHAnsi"/>
          <w:bCs/>
          <w:color w:val="000000"/>
        </w:rPr>
        <w:t xml:space="preserve"> </w:t>
      </w:r>
      <w:r w:rsidR="00B45D26" w:rsidRPr="00FF386D">
        <w:rPr>
          <w:rFonts w:asciiTheme="majorHAnsi" w:hAnsiTheme="majorHAnsi" w:cstheme="majorHAnsi"/>
          <w:bCs/>
          <w:color w:val="000000"/>
        </w:rPr>
        <w:t>хектара</w:t>
      </w:r>
      <w:r w:rsidRPr="00FF386D">
        <w:rPr>
          <w:rFonts w:asciiTheme="majorHAnsi" w:hAnsiTheme="majorHAnsi" w:cstheme="majorHAnsi"/>
          <w:bCs/>
          <w:color w:val="000000"/>
        </w:rPr>
        <w:t xml:space="preserve"> </w:t>
      </w:r>
      <w:r w:rsidR="00177366">
        <w:rPr>
          <w:rFonts w:asciiTheme="majorHAnsi" w:hAnsiTheme="majorHAnsi" w:cstheme="majorHAnsi"/>
          <w:bCs/>
          <w:color w:val="000000"/>
        </w:rPr>
        <w:t xml:space="preserve">територије </w:t>
      </w:r>
      <w:r w:rsidR="00AA77F1" w:rsidRPr="00FF386D">
        <w:rPr>
          <w:rFonts w:asciiTheme="majorHAnsi" w:hAnsiTheme="majorHAnsi" w:cstheme="majorHAnsi"/>
          <w:bCs/>
          <w:color w:val="000000"/>
        </w:rPr>
        <w:t xml:space="preserve">под </w:t>
      </w:r>
      <w:r w:rsidRPr="00FF386D">
        <w:rPr>
          <w:rFonts w:asciiTheme="majorHAnsi" w:hAnsiTheme="majorHAnsi" w:cstheme="majorHAnsi"/>
          <w:bCs/>
          <w:color w:val="000000"/>
        </w:rPr>
        <w:t>шум</w:t>
      </w:r>
      <w:r w:rsidR="00AA77F1" w:rsidRPr="00FF386D">
        <w:rPr>
          <w:rFonts w:asciiTheme="majorHAnsi" w:hAnsiTheme="majorHAnsi" w:cstheme="majorHAnsi"/>
          <w:bCs/>
          <w:color w:val="000000"/>
        </w:rPr>
        <w:t>ом</w:t>
      </w:r>
      <w:r w:rsidRPr="00FF386D">
        <w:rPr>
          <w:rFonts w:asciiTheme="majorHAnsi" w:hAnsiTheme="majorHAnsi" w:cstheme="majorHAnsi"/>
          <w:bCs/>
          <w:color w:val="000000"/>
        </w:rPr>
        <w:t xml:space="preserve">, </w:t>
      </w:r>
      <w:r w:rsidR="00177366">
        <w:rPr>
          <w:rFonts w:asciiTheme="majorHAnsi" w:hAnsiTheme="majorHAnsi" w:cstheme="majorHAnsi"/>
          <w:bCs/>
          <w:color w:val="000000"/>
        </w:rPr>
        <w:t xml:space="preserve">при чему је у </w:t>
      </w:r>
      <w:r w:rsidR="002C4227">
        <w:rPr>
          <w:rFonts w:asciiTheme="majorHAnsi" w:hAnsiTheme="majorHAnsi" w:cstheme="majorHAnsi"/>
          <w:bCs/>
          <w:color w:val="000000"/>
        </w:rPr>
        <w:t>2020. години 43% било</w:t>
      </w:r>
      <w:r w:rsidR="00177366">
        <w:rPr>
          <w:rFonts w:asciiTheme="majorHAnsi" w:hAnsiTheme="majorHAnsi" w:cstheme="majorHAnsi"/>
          <w:bCs/>
          <w:color w:val="000000"/>
        </w:rPr>
        <w:t xml:space="preserve"> у</w:t>
      </w:r>
      <w:r w:rsidR="002C4227">
        <w:rPr>
          <w:rFonts w:asciiTheme="majorHAnsi" w:hAnsiTheme="majorHAnsi" w:cstheme="majorHAnsi"/>
          <w:bCs/>
          <w:color w:val="000000"/>
        </w:rPr>
        <w:t xml:space="preserve"> држав</w:t>
      </w:r>
      <w:r w:rsidR="00177366">
        <w:rPr>
          <w:rFonts w:asciiTheme="majorHAnsi" w:hAnsiTheme="majorHAnsi" w:cstheme="majorHAnsi"/>
          <w:bCs/>
          <w:color w:val="000000"/>
        </w:rPr>
        <w:t>ној својини</w:t>
      </w:r>
      <w:r w:rsidR="002C4227">
        <w:rPr>
          <w:rFonts w:asciiTheme="majorHAnsi" w:hAnsiTheme="majorHAnsi" w:cstheme="majorHAnsi"/>
          <w:bCs/>
          <w:color w:val="000000"/>
        </w:rPr>
        <w:t>, док је 57% бил</w:t>
      </w:r>
      <w:r w:rsidR="00177366">
        <w:rPr>
          <w:rFonts w:asciiTheme="majorHAnsi" w:hAnsiTheme="majorHAnsi" w:cstheme="majorHAnsi"/>
          <w:bCs/>
          <w:color w:val="000000"/>
        </w:rPr>
        <w:t>о</w:t>
      </w:r>
      <w:r w:rsidR="002C4227">
        <w:rPr>
          <w:rFonts w:asciiTheme="majorHAnsi" w:hAnsiTheme="majorHAnsi" w:cstheme="majorHAnsi"/>
          <w:bCs/>
          <w:color w:val="000000"/>
        </w:rPr>
        <w:t xml:space="preserve"> у приватно</w:t>
      </w:r>
      <w:r w:rsidR="00177366">
        <w:rPr>
          <w:rFonts w:asciiTheme="majorHAnsi" w:hAnsiTheme="majorHAnsi" w:cstheme="majorHAnsi"/>
          <w:bCs/>
          <w:color w:val="000000"/>
        </w:rPr>
        <w:t>ј својини</w:t>
      </w:r>
      <w:r w:rsidR="002C4227">
        <w:rPr>
          <w:rFonts w:asciiTheme="majorHAnsi" w:hAnsiTheme="majorHAnsi" w:cstheme="majorHAnsi"/>
          <w:bCs/>
          <w:color w:val="000000"/>
        </w:rPr>
        <w:t>.</w:t>
      </w:r>
    </w:p>
    <w:p w14:paraId="097EBA6F" w14:textId="69CFE05B" w:rsidR="00854ADA" w:rsidRPr="00FF386D" w:rsidRDefault="00854ADA" w:rsidP="00854ADA">
      <w:pPr>
        <w:spacing w:before="240"/>
        <w:jc w:val="both"/>
        <w:rPr>
          <w:rFonts w:asciiTheme="majorHAnsi" w:hAnsiTheme="majorHAnsi" w:cstheme="majorHAnsi"/>
          <w:bCs/>
          <w:color w:val="000000"/>
        </w:rPr>
      </w:pPr>
      <w:r w:rsidRPr="00FF386D">
        <w:rPr>
          <w:rFonts w:asciiTheme="majorHAnsi" w:hAnsiTheme="majorHAnsi" w:cstheme="majorHAnsi"/>
          <w:bCs/>
          <w:color w:val="000000"/>
        </w:rPr>
        <w:t>Члан 3. Закона о шумама</w:t>
      </w:r>
      <w:r w:rsidRPr="00FF386D">
        <w:rPr>
          <w:rFonts w:asciiTheme="majorHAnsi" w:hAnsiTheme="majorHAnsi" w:cstheme="majorHAnsi"/>
          <w:bCs/>
          <w:color w:val="000000"/>
          <w:vertAlign w:val="superscript"/>
        </w:rPr>
        <w:t xml:space="preserve"> </w:t>
      </w:r>
      <w:r w:rsidRPr="00FF386D">
        <w:rPr>
          <w:rFonts w:asciiTheme="majorHAnsi" w:hAnsiTheme="majorHAnsi" w:cstheme="majorHAnsi"/>
          <w:bCs/>
          <w:color w:val="000000"/>
          <w:vertAlign w:val="superscript"/>
        </w:rPr>
        <w:footnoteReference w:id="105"/>
      </w:r>
      <w:r w:rsidRPr="00FF386D">
        <w:rPr>
          <w:rFonts w:asciiTheme="majorHAnsi" w:hAnsiTheme="majorHAnsi" w:cstheme="majorHAnsi"/>
          <w:bCs/>
          <w:color w:val="000000"/>
        </w:rPr>
        <w:t xml:space="preserve"> дефинише циљеве </w:t>
      </w:r>
      <w:r w:rsidR="00B2233C" w:rsidRPr="00FF386D">
        <w:rPr>
          <w:rFonts w:asciiTheme="majorHAnsi" w:hAnsiTheme="majorHAnsi" w:cstheme="majorHAnsi"/>
          <w:bCs/>
          <w:color w:val="000000"/>
        </w:rPr>
        <w:t xml:space="preserve">обнове </w:t>
      </w:r>
      <w:r w:rsidRPr="00FF386D">
        <w:rPr>
          <w:rFonts w:asciiTheme="majorHAnsi" w:hAnsiTheme="majorHAnsi" w:cstheme="majorHAnsi"/>
          <w:bCs/>
          <w:color w:val="000000"/>
        </w:rPr>
        <w:t xml:space="preserve">шумских </w:t>
      </w:r>
      <w:r w:rsidR="00B2233C" w:rsidRPr="00FF386D">
        <w:rPr>
          <w:rFonts w:asciiTheme="majorHAnsi" w:hAnsiTheme="majorHAnsi" w:cstheme="majorHAnsi"/>
          <w:bCs/>
          <w:color w:val="000000"/>
        </w:rPr>
        <w:t>области</w:t>
      </w:r>
      <w:r w:rsidRPr="00FF386D">
        <w:rPr>
          <w:rFonts w:asciiTheme="majorHAnsi" w:hAnsiTheme="majorHAnsi" w:cstheme="majorHAnsi"/>
          <w:bCs/>
          <w:color w:val="000000"/>
        </w:rPr>
        <w:t xml:space="preserve"> на следећи начин: „Овим законом обезбеђују се услови за одрживо газдовање шумама и шумским земљиштем као добром од општег интереса, на начин и у обиму којим се трајно одржава и унапређује њихова производна способност, биолошка разноврсност, способност обнављања и виталност и унапређује њихов потенцијал за ублажавање климатских промена, као и њихова економска, еколошка и социјална функција, а да се при томе не причињава штета околним екосистемима”.</w:t>
      </w:r>
    </w:p>
    <w:p w14:paraId="5DC2E82C" w14:textId="66DEEBA8" w:rsidR="00854ADA" w:rsidRPr="00FF386D" w:rsidRDefault="00854ADA" w:rsidP="00854ADA">
      <w:pPr>
        <w:spacing w:before="240"/>
        <w:jc w:val="both"/>
        <w:rPr>
          <w:rFonts w:asciiTheme="majorHAnsi" w:hAnsiTheme="majorHAnsi" w:cstheme="majorHAnsi"/>
          <w:bCs/>
          <w:color w:val="000000"/>
        </w:rPr>
      </w:pPr>
      <w:r w:rsidRPr="00FF386D">
        <w:rPr>
          <w:rFonts w:asciiTheme="majorHAnsi" w:hAnsiTheme="majorHAnsi" w:cstheme="majorHAnsi"/>
          <w:bCs/>
          <w:color w:val="000000"/>
        </w:rPr>
        <w:t xml:space="preserve">Сматра се да је опште стање државних шума незадовољавајуће, јер одражава низак обим производње, низак ниво пошумљености, неповољну старосну структуру и лоше здравље. У </w:t>
      </w:r>
      <w:r w:rsidR="00E10DDB" w:rsidRPr="00FF386D">
        <w:rPr>
          <w:rFonts w:asciiTheme="majorHAnsi" w:hAnsiTheme="majorHAnsi" w:cstheme="majorHAnsi"/>
          <w:bCs/>
          <w:color w:val="000000"/>
        </w:rPr>
        <w:t>Стратегији развоја шумарства</w:t>
      </w:r>
      <w:r w:rsidRPr="00FF386D">
        <w:rPr>
          <w:rFonts w:asciiTheme="majorHAnsi" w:hAnsiTheme="majorHAnsi" w:cstheme="majorHAnsi"/>
          <w:bCs/>
          <w:color w:val="000000"/>
        </w:rPr>
        <w:t>, основни принцип шум</w:t>
      </w:r>
      <w:r w:rsidR="00E10DDB" w:rsidRPr="00FF386D">
        <w:rPr>
          <w:rFonts w:asciiTheme="majorHAnsi" w:hAnsiTheme="majorHAnsi" w:cstheme="majorHAnsi"/>
          <w:bCs/>
          <w:color w:val="000000"/>
        </w:rPr>
        <w:t>арског</w:t>
      </w:r>
      <w:r w:rsidRPr="00FF386D">
        <w:rPr>
          <w:rFonts w:asciiTheme="majorHAnsi" w:hAnsiTheme="majorHAnsi" w:cstheme="majorHAnsi"/>
          <w:bCs/>
          <w:color w:val="000000"/>
        </w:rPr>
        <w:t xml:space="preserve"> сектора 3.9 предлаже спречавање деградације шума пре свега коришћењем механизама процене утицаја на животну средину и унапређењем међусекторске сарадње у решавању оваквих конфликата. У истом документу се наводи да треба уложити напоре за повећање површине под шумама кроз мелиорациј</w:t>
      </w:r>
      <w:r w:rsidR="00E10DDB" w:rsidRPr="000A2AFE">
        <w:rPr>
          <w:rFonts w:asciiTheme="majorHAnsi" w:hAnsiTheme="majorHAnsi" w:cstheme="majorHAnsi"/>
          <w:bCs/>
          <w:color w:val="000000"/>
        </w:rPr>
        <w:t>e</w:t>
      </w:r>
      <w:r w:rsidRPr="00FF386D">
        <w:rPr>
          <w:rFonts w:asciiTheme="majorHAnsi" w:hAnsiTheme="majorHAnsi" w:cstheme="majorHAnsi"/>
          <w:bCs/>
          <w:color w:val="000000"/>
        </w:rPr>
        <w:t xml:space="preserve">, пошумљавање и гајење шума на напуштеним, деградираним и обешумљеним земљиштима и </w:t>
      </w:r>
      <w:r w:rsidR="000B218D" w:rsidRPr="00FF386D">
        <w:rPr>
          <w:rFonts w:asciiTheme="majorHAnsi" w:hAnsiTheme="majorHAnsi" w:cstheme="majorHAnsi"/>
          <w:bCs/>
          <w:color w:val="000000"/>
        </w:rPr>
        <w:t>промовише</w:t>
      </w:r>
      <w:r w:rsidRPr="00FF386D">
        <w:rPr>
          <w:rFonts w:asciiTheme="majorHAnsi" w:hAnsiTheme="majorHAnsi" w:cstheme="majorHAnsi"/>
          <w:bCs/>
          <w:color w:val="000000"/>
        </w:rPr>
        <w:t xml:space="preserve"> се међусекторска сарадња како би се спречила даља деградација шума</w:t>
      </w:r>
      <w:r w:rsidRPr="00FF386D">
        <w:rPr>
          <w:rFonts w:asciiTheme="majorHAnsi" w:hAnsiTheme="majorHAnsi" w:cstheme="majorHAnsi"/>
          <w:bCs/>
          <w:color w:val="000000"/>
          <w:vertAlign w:val="superscript"/>
        </w:rPr>
        <w:footnoteReference w:id="106"/>
      </w:r>
      <w:r w:rsidRPr="00FF386D">
        <w:rPr>
          <w:rFonts w:asciiTheme="majorHAnsi" w:hAnsiTheme="majorHAnsi" w:cstheme="majorHAnsi"/>
          <w:bCs/>
          <w:color w:val="000000"/>
        </w:rPr>
        <w:t>.</w:t>
      </w:r>
    </w:p>
    <w:p w14:paraId="1951D480" w14:textId="11037BC1" w:rsidR="00854ADA" w:rsidRPr="00FF386D" w:rsidRDefault="00854ADA" w:rsidP="00854ADA">
      <w:pPr>
        <w:spacing w:before="240"/>
        <w:jc w:val="both"/>
        <w:rPr>
          <w:rFonts w:asciiTheme="majorHAnsi" w:hAnsiTheme="majorHAnsi" w:cstheme="majorHAnsi"/>
          <w:bCs/>
          <w:color w:val="000000"/>
        </w:rPr>
      </w:pPr>
      <w:r w:rsidRPr="00FF386D">
        <w:rPr>
          <w:rFonts w:asciiTheme="majorHAnsi" w:hAnsiTheme="majorHAnsi" w:cstheme="majorHAnsi"/>
          <w:bCs/>
          <w:color w:val="000000"/>
        </w:rPr>
        <w:lastRenderedPageBreak/>
        <w:t>Закон о шумама и други плански документи се фокусирају на</w:t>
      </w:r>
      <w:r w:rsidR="00B73F73" w:rsidRPr="00FF386D">
        <w:rPr>
          <w:rFonts w:asciiTheme="majorHAnsi" w:hAnsiTheme="majorHAnsi" w:cstheme="majorHAnsi"/>
          <w:bCs/>
          <w:color w:val="000000"/>
        </w:rPr>
        <w:t xml:space="preserve"> обнову</w:t>
      </w:r>
      <w:r w:rsidRPr="00FF386D">
        <w:rPr>
          <w:rFonts w:asciiTheme="majorHAnsi" w:hAnsiTheme="majorHAnsi" w:cstheme="majorHAnsi"/>
          <w:bCs/>
          <w:color w:val="000000"/>
        </w:rPr>
        <w:t xml:space="preserve"> </w:t>
      </w:r>
      <w:r w:rsidR="00B2233C" w:rsidRPr="00FF386D">
        <w:rPr>
          <w:rFonts w:asciiTheme="majorHAnsi" w:hAnsiTheme="majorHAnsi" w:cstheme="majorHAnsi"/>
          <w:bCs/>
          <w:color w:val="000000"/>
        </w:rPr>
        <w:t xml:space="preserve">на нивоу </w:t>
      </w:r>
      <w:r w:rsidRPr="00FF386D">
        <w:rPr>
          <w:rFonts w:asciiTheme="majorHAnsi" w:hAnsiTheme="majorHAnsi" w:cstheme="majorHAnsi"/>
          <w:bCs/>
          <w:color w:val="000000"/>
        </w:rPr>
        <w:t xml:space="preserve">шума и </w:t>
      </w:r>
      <w:r w:rsidR="00D7232F" w:rsidRPr="00FF386D">
        <w:rPr>
          <w:rFonts w:asciiTheme="majorHAnsi" w:hAnsiTheme="majorHAnsi" w:cstheme="majorHAnsi"/>
          <w:bCs/>
          <w:color w:val="000000"/>
        </w:rPr>
        <w:t>шумског земљишта</w:t>
      </w:r>
      <w:r w:rsidRPr="00FF386D">
        <w:rPr>
          <w:rFonts w:asciiTheme="majorHAnsi" w:hAnsiTheme="majorHAnsi" w:cstheme="majorHAnsi"/>
          <w:bCs/>
          <w:color w:val="000000"/>
        </w:rPr>
        <w:t>. Ниједан плански документ се н</w:t>
      </w:r>
      <w:r w:rsidR="001D5EAB" w:rsidRPr="000A2AFE">
        <w:rPr>
          <w:rFonts w:asciiTheme="majorHAnsi" w:hAnsiTheme="majorHAnsi" w:cstheme="majorHAnsi"/>
          <w:bCs/>
          <w:color w:val="000000"/>
        </w:rPr>
        <w:t>e</w:t>
      </w:r>
      <w:r w:rsidR="001D5EAB" w:rsidRPr="00FF386D">
        <w:rPr>
          <w:rFonts w:asciiTheme="majorHAnsi" w:hAnsiTheme="majorHAnsi" w:cstheme="majorHAnsi"/>
          <w:bCs/>
          <w:color w:val="000000"/>
        </w:rPr>
        <w:t xml:space="preserve"> </w:t>
      </w:r>
      <w:r w:rsidR="00CD3B53" w:rsidRPr="00FF386D">
        <w:rPr>
          <w:rFonts w:asciiTheme="majorHAnsi" w:hAnsiTheme="majorHAnsi" w:cstheme="majorHAnsi"/>
          <w:bCs/>
          <w:color w:val="000000"/>
        </w:rPr>
        <w:t xml:space="preserve">примењује </w:t>
      </w:r>
      <w:r w:rsidR="00E962E9" w:rsidRPr="00FF386D">
        <w:rPr>
          <w:rFonts w:asciiTheme="majorHAnsi" w:hAnsiTheme="majorHAnsi" w:cstheme="majorHAnsi"/>
          <w:bCs/>
          <w:color w:val="000000"/>
        </w:rPr>
        <w:t>на ниво</w:t>
      </w:r>
      <w:r w:rsidR="00CD3B53" w:rsidRPr="00FF386D">
        <w:rPr>
          <w:rFonts w:asciiTheme="majorHAnsi" w:hAnsiTheme="majorHAnsi" w:cstheme="majorHAnsi"/>
          <w:bCs/>
          <w:color w:val="000000"/>
        </w:rPr>
        <w:t>у</w:t>
      </w:r>
      <w:r w:rsidR="00E962E9" w:rsidRPr="00FF386D">
        <w:rPr>
          <w:rFonts w:asciiTheme="majorHAnsi" w:hAnsiTheme="majorHAnsi" w:cstheme="majorHAnsi"/>
          <w:bCs/>
          <w:color w:val="000000"/>
        </w:rPr>
        <w:t xml:space="preserve"> </w:t>
      </w:r>
      <w:r w:rsidRPr="00FF386D">
        <w:rPr>
          <w:rFonts w:asciiTheme="majorHAnsi" w:hAnsiTheme="majorHAnsi" w:cstheme="majorHAnsi"/>
          <w:bCs/>
          <w:color w:val="000000"/>
        </w:rPr>
        <w:t>шумс</w:t>
      </w:r>
      <w:r w:rsidR="00B2233C" w:rsidRPr="00FF386D">
        <w:rPr>
          <w:rFonts w:asciiTheme="majorHAnsi" w:hAnsiTheme="majorHAnsi" w:cstheme="majorHAnsi"/>
          <w:bCs/>
          <w:color w:val="000000"/>
        </w:rPr>
        <w:t>ке</w:t>
      </w:r>
      <w:r w:rsidRPr="00FF386D">
        <w:rPr>
          <w:rFonts w:asciiTheme="majorHAnsi" w:hAnsiTheme="majorHAnsi" w:cstheme="majorHAnsi"/>
          <w:bCs/>
          <w:color w:val="000000"/>
        </w:rPr>
        <w:t xml:space="preserve"> </w:t>
      </w:r>
      <w:r w:rsidR="00B2233C" w:rsidRPr="00FF386D">
        <w:rPr>
          <w:rFonts w:asciiTheme="majorHAnsi" w:hAnsiTheme="majorHAnsi" w:cstheme="majorHAnsi"/>
          <w:bCs/>
          <w:color w:val="000000"/>
        </w:rPr>
        <w:t>области</w:t>
      </w:r>
      <w:r w:rsidRPr="00FF386D">
        <w:rPr>
          <w:rFonts w:asciiTheme="majorHAnsi" w:hAnsiTheme="majorHAnsi" w:cstheme="majorHAnsi"/>
          <w:bCs/>
          <w:color w:val="000000"/>
        </w:rPr>
        <w:t xml:space="preserve">, чиме је отежано </w:t>
      </w:r>
      <w:r w:rsidR="00B45D26" w:rsidRPr="00FF386D">
        <w:rPr>
          <w:rFonts w:asciiTheme="majorHAnsi" w:hAnsiTheme="majorHAnsi" w:cstheme="majorHAnsi"/>
          <w:bCs/>
          <w:color w:val="000000"/>
        </w:rPr>
        <w:t>дефинисање</w:t>
      </w:r>
      <w:r w:rsidRPr="00FF386D">
        <w:rPr>
          <w:rFonts w:asciiTheme="majorHAnsi" w:hAnsiTheme="majorHAnsi" w:cstheme="majorHAnsi"/>
          <w:bCs/>
          <w:color w:val="000000"/>
        </w:rPr>
        <w:t xml:space="preserve"> и примена </w:t>
      </w:r>
      <w:r w:rsidR="00B2233C" w:rsidRPr="00FF386D">
        <w:rPr>
          <w:rFonts w:asciiTheme="majorHAnsi" w:hAnsiTheme="majorHAnsi" w:cstheme="majorHAnsi"/>
          <w:bCs/>
          <w:color w:val="000000"/>
        </w:rPr>
        <w:t>о</w:t>
      </w:r>
      <w:r w:rsidR="001D5EAB" w:rsidRPr="00FF386D">
        <w:rPr>
          <w:rFonts w:asciiTheme="majorHAnsi" w:hAnsiTheme="majorHAnsi" w:cstheme="majorHAnsi"/>
          <w:bCs/>
          <w:color w:val="000000"/>
        </w:rPr>
        <w:t>бнове</w:t>
      </w:r>
      <w:r w:rsidRPr="00FF386D">
        <w:rPr>
          <w:rFonts w:asciiTheme="majorHAnsi" w:hAnsiTheme="majorHAnsi" w:cstheme="majorHAnsi"/>
          <w:bCs/>
          <w:color w:val="000000"/>
        </w:rPr>
        <w:t xml:space="preserve"> шумск</w:t>
      </w:r>
      <w:r w:rsidR="00B2233C" w:rsidRPr="00FF386D">
        <w:rPr>
          <w:rFonts w:asciiTheme="majorHAnsi" w:hAnsiTheme="majorHAnsi" w:cstheme="majorHAnsi"/>
          <w:bCs/>
          <w:color w:val="000000"/>
        </w:rPr>
        <w:t>е</w:t>
      </w:r>
      <w:r w:rsidRPr="00FF386D">
        <w:rPr>
          <w:rFonts w:asciiTheme="majorHAnsi" w:hAnsiTheme="majorHAnsi" w:cstheme="majorHAnsi"/>
          <w:bCs/>
          <w:color w:val="000000"/>
        </w:rPr>
        <w:t xml:space="preserve"> </w:t>
      </w:r>
      <w:r w:rsidR="00B2233C" w:rsidRPr="00FF386D">
        <w:rPr>
          <w:rFonts w:asciiTheme="majorHAnsi" w:hAnsiTheme="majorHAnsi" w:cstheme="majorHAnsi"/>
          <w:bCs/>
          <w:color w:val="000000"/>
        </w:rPr>
        <w:t>области</w:t>
      </w:r>
      <w:r w:rsidRPr="00FF386D">
        <w:rPr>
          <w:rFonts w:asciiTheme="majorHAnsi" w:hAnsiTheme="majorHAnsi" w:cstheme="majorHAnsi"/>
          <w:bCs/>
          <w:color w:val="000000"/>
        </w:rPr>
        <w:t xml:space="preserve">. Постоји циљ да се површина под шумама повећа на 41.4% до 2050. године, пре свега стварањем 1.000.000 </w:t>
      </w:r>
      <w:r w:rsidR="00B45D26" w:rsidRPr="00FF386D">
        <w:rPr>
          <w:rFonts w:asciiTheme="majorHAnsi" w:hAnsiTheme="majorHAnsi" w:cstheme="majorHAnsi"/>
          <w:bCs/>
          <w:color w:val="000000"/>
        </w:rPr>
        <w:t>хектара</w:t>
      </w:r>
      <w:r w:rsidRPr="00FF386D">
        <w:rPr>
          <w:rFonts w:asciiTheme="majorHAnsi" w:hAnsiTheme="majorHAnsi" w:cstheme="majorHAnsi"/>
          <w:bCs/>
          <w:color w:val="000000"/>
        </w:rPr>
        <w:t xml:space="preserve"> нових</w:t>
      </w:r>
      <w:r w:rsidR="00B45D26" w:rsidRPr="00FF386D">
        <w:rPr>
          <w:rFonts w:asciiTheme="majorHAnsi" w:hAnsiTheme="majorHAnsi" w:cstheme="majorHAnsi"/>
          <w:bCs/>
          <w:color w:val="000000"/>
        </w:rPr>
        <w:t xml:space="preserve"> засада</w:t>
      </w:r>
      <w:r w:rsidRPr="00FF386D">
        <w:rPr>
          <w:rFonts w:asciiTheme="majorHAnsi" w:hAnsiTheme="majorHAnsi" w:cstheme="majorHAnsi"/>
          <w:vertAlign w:val="superscript"/>
        </w:rPr>
        <w:footnoteReference w:id="107"/>
      </w:r>
      <w:r w:rsidRPr="00FF386D">
        <w:rPr>
          <w:rFonts w:asciiTheme="majorHAnsi" w:hAnsiTheme="majorHAnsi" w:cstheme="majorHAnsi"/>
          <w:bCs/>
          <w:color w:val="000000"/>
        </w:rPr>
        <w:t>.</w:t>
      </w:r>
    </w:p>
    <w:p w14:paraId="7351F748" w14:textId="416D46A0" w:rsidR="00854ADA" w:rsidRPr="00FF386D" w:rsidRDefault="00854ADA" w:rsidP="00854ADA">
      <w:pPr>
        <w:spacing w:before="240"/>
        <w:jc w:val="both"/>
        <w:rPr>
          <w:rFonts w:asciiTheme="majorHAnsi" w:hAnsiTheme="majorHAnsi" w:cstheme="majorHAnsi"/>
          <w:bCs/>
          <w:color w:val="000000"/>
        </w:rPr>
      </w:pPr>
      <w:r w:rsidRPr="00FF386D">
        <w:rPr>
          <w:rFonts w:asciiTheme="majorHAnsi" w:hAnsiTheme="majorHAnsi" w:cstheme="majorHAnsi"/>
          <w:bCs/>
          <w:color w:val="000000"/>
        </w:rPr>
        <w:t xml:space="preserve">Република Србија улаже напоре </w:t>
      </w:r>
      <w:r w:rsidR="00CD2F75" w:rsidRPr="00FF386D">
        <w:rPr>
          <w:rFonts w:asciiTheme="majorHAnsi" w:hAnsiTheme="majorHAnsi" w:cstheme="majorHAnsi"/>
          <w:bCs/>
          <w:color w:val="000000"/>
        </w:rPr>
        <w:t>за</w:t>
      </w:r>
      <w:r w:rsidRPr="00FF386D">
        <w:rPr>
          <w:rFonts w:asciiTheme="majorHAnsi" w:hAnsiTheme="majorHAnsi" w:cstheme="majorHAnsi"/>
          <w:bCs/>
          <w:color w:val="000000"/>
        </w:rPr>
        <w:t xml:space="preserve"> унапре</w:t>
      </w:r>
      <w:r w:rsidR="00CD2F75" w:rsidRPr="00FF386D">
        <w:rPr>
          <w:rFonts w:asciiTheme="majorHAnsi" w:hAnsiTheme="majorHAnsi" w:cstheme="majorHAnsi"/>
          <w:bCs/>
          <w:color w:val="000000"/>
        </w:rPr>
        <w:t>ђење</w:t>
      </w:r>
      <w:r w:rsidRPr="00FF386D">
        <w:rPr>
          <w:rFonts w:asciiTheme="majorHAnsi" w:hAnsiTheme="majorHAnsi" w:cstheme="majorHAnsi"/>
          <w:bCs/>
          <w:color w:val="000000"/>
        </w:rPr>
        <w:t xml:space="preserve"> уклањањ</w:t>
      </w:r>
      <w:r w:rsidR="00CD2F75" w:rsidRPr="00FF386D">
        <w:rPr>
          <w:rFonts w:asciiTheme="majorHAnsi" w:hAnsiTheme="majorHAnsi" w:cstheme="majorHAnsi"/>
          <w:bCs/>
          <w:color w:val="000000"/>
        </w:rPr>
        <w:t>а</w:t>
      </w:r>
      <w:r w:rsidRPr="00FF386D">
        <w:rPr>
          <w:rFonts w:asciiTheme="majorHAnsi" w:hAnsiTheme="majorHAnsi" w:cstheme="majorHAnsi"/>
          <w:bCs/>
          <w:color w:val="000000"/>
        </w:rPr>
        <w:t xml:space="preserve"> </w:t>
      </w:r>
      <w:r w:rsidR="00CD2F75" w:rsidRPr="00FF386D">
        <w:rPr>
          <w:rFonts w:asciiTheme="majorHAnsi" w:hAnsiTheme="majorHAnsi" w:cstheme="majorHAnsi"/>
          <w:bCs/>
          <w:color w:val="000000"/>
        </w:rPr>
        <w:t xml:space="preserve">или </w:t>
      </w:r>
      <w:r w:rsidRPr="00FF386D">
        <w:rPr>
          <w:rFonts w:asciiTheme="majorHAnsi" w:hAnsiTheme="majorHAnsi" w:cstheme="majorHAnsi"/>
          <w:bCs/>
          <w:color w:val="000000"/>
        </w:rPr>
        <w:t>смањ</w:t>
      </w:r>
      <w:r w:rsidR="00CD2F75" w:rsidRPr="00FF386D">
        <w:rPr>
          <w:rFonts w:asciiTheme="majorHAnsi" w:hAnsiTheme="majorHAnsi" w:cstheme="majorHAnsi"/>
          <w:bCs/>
          <w:color w:val="000000"/>
        </w:rPr>
        <w:t>ења</w:t>
      </w:r>
      <w:r w:rsidRPr="00FF386D">
        <w:rPr>
          <w:rFonts w:asciiTheme="majorHAnsi" w:hAnsiTheme="majorHAnsi" w:cstheme="majorHAnsi"/>
          <w:bCs/>
          <w:color w:val="000000"/>
        </w:rPr>
        <w:t xml:space="preserve"> емисиј</w:t>
      </w:r>
      <w:r w:rsidR="00CD2F75" w:rsidRPr="00FF386D">
        <w:rPr>
          <w:rFonts w:asciiTheme="majorHAnsi" w:hAnsiTheme="majorHAnsi" w:cstheme="majorHAnsi"/>
          <w:bCs/>
          <w:color w:val="000000"/>
        </w:rPr>
        <w:t>а</w:t>
      </w:r>
      <w:r w:rsidRPr="00FF386D">
        <w:rPr>
          <w:rFonts w:asciiTheme="majorHAnsi" w:hAnsiTheme="majorHAnsi" w:cstheme="majorHAnsi"/>
          <w:bCs/>
          <w:color w:val="000000"/>
        </w:rPr>
        <w:t xml:space="preserve"> у сектору </w:t>
      </w:r>
      <w:r w:rsidRPr="00FF386D">
        <w:rPr>
          <w:rFonts w:asciiTheme="majorHAnsi" w:hAnsiTheme="majorHAnsi" w:cstheme="majorHAnsi"/>
          <w:bCs/>
          <w:i/>
          <w:iCs/>
          <w:color w:val="000000"/>
        </w:rPr>
        <w:t>LULUCF</w:t>
      </w:r>
      <w:r w:rsidRPr="00FF386D">
        <w:rPr>
          <w:rFonts w:asciiTheme="majorHAnsi" w:hAnsiTheme="majorHAnsi" w:cstheme="majorHAnsi"/>
          <w:bCs/>
          <w:color w:val="000000"/>
        </w:rPr>
        <w:t>. У т</w:t>
      </w:r>
      <w:r w:rsidR="00445281" w:rsidRPr="00FF386D">
        <w:rPr>
          <w:rFonts w:asciiTheme="majorHAnsi" w:hAnsiTheme="majorHAnsi" w:cstheme="majorHAnsi"/>
          <w:bCs/>
          <w:color w:val="000000"/>
        </w:rPr>
        <w:t>у сврху</w:t>
      </w:r>
      <w:r w:rsidRPr="00FF386D">
        <w:rPr>
          <w:rFonts w:asciiTheme="majorHAnsi" w:hAnsiTheme="majorHAnsi" w:cstheme="majorHAnsi"/>
          <w:bCs/>
          <w:color w:val="000000"/>
        </w:rPr>
        <w:t>, последњих година су спровођени пројекти пошумљавања, који су имали утицај на подручја трајно покривена вегетацијом, посебно дрвећем. Међутим, није процењен ниво уклањања CO</w:t>
      </w:r>
      <w:r w:rsidRPr="00FF386D">
        <w:rPr>
          <w:rFonts w:asciiTheme="majorHAnsi" w:hAnsiTheme="majorHAnsi" w:cstheme="majorHAnsi"/>
          <w:bCs/>
          <w:color w:val="000000"/>
          <w:vertAlign w:val="subscript"/>
        </w:rPr>
        <w:t xml:space="preserve">2 </w:t>
      </w:r>
      <w:r w:rsidRPr="00FF386D">
        <w:rPr>
          <w:rFonts w:asciiTheme="majorHAnsi" w:hAnsiTheme="majorHAnsi" w:cstheme="majorHAnsi"/>
          <w:bCs/>
          <w:color w:val="000000"/>
        </w:rPr>
        <w:t xml:space="preserve">као </w:t>
      </w:r>
      <w:r w:rsidR="00445281" w:rsidRPr="00FF386D">
        <w:rPr>
          <w:rFonts w:asciiTheme="majorHAnsi" w:hAnsiTheme="majorHAnsi" w:cstheme="majorHAnsi"/>
          <w:bCs/>
          <w:color w:val="000000"/>
        </w:rPr>
        <w:t>резултата тих</w:t>
      </w:r>
      <w:r w:rsidR="00CD2F75" w:rsidRPr="00FF386D">
        <w:rPr>
          <w:rFonts w:asciiTheme="majorHAnsi" w:hAnsiTheme="majorHAnsi" w:cstheme="majorHAnsi"/>
          <w:bCs/>
          <w:color w:val="000000"/>
        </w:rPr>
        <w:t xml:space="preserve"> активности</w:t>
      </w:r>
      <w:r w:rsidRPr="00FF386D">
        <w:rPr>
          <w:rFonts w:asciiTheme="majorHAnsi" w:hAnsiTheme="majorHAnsi" w:cstheme="majorHAnsi"/>
          <w:bCs/>
          <w:color w:val="000000"/>
        </w:rPr>
        <w:t xml:space="preserve"> политике, с обзиром на то да је обим пројеката и </w:t>
      </w:r>
      <w:r w:rsidR="00445281" w:rsidRPr="00FF386D">
        <w:rPr>
          <w:rFonts w:asciiTheme="majorHAnsi" w:hAnsiTheme="majorHAnsi" w:cstheme="majorHAnsi"/>
          <w:bCs/>
          <w:color w:val="000000"/>
        </w:rPr>
        <w:t>с</w:t>
      </w:r>
      <w:r w:rsidR="00CD2F75" w:rsidRPr="00FF386D">
        <w:rPr>
          <w:rFonts w:asciiTheme="majorHAnsi" w:hAnsiTheme="majorHAnsi" w:cstheme="majorHAnsi"/>
          <w:bCs/>
          <w:color w:val="000000"/>
        </w:rPr>
        <w:t>мањења емисија</w:t>
      </w:r>
      <w:r w:rsidRPr="00FF386D">
        <w:rPr>
          <w:rFonts w:asciiTheme="majorHAnsi" w:hAnsiTheme="majorHAnsi" w:cstheme="majorHAnsi"/>
          <w:bCs/>
          <w:color w:val="000000"/>
        </w:rPr>
        <w:t xml:space="preserve"> био врло ограничен.</w:t>
      </w:r>
    </w:p>
    <w:tbl>
      <w:tblPr>
        <w:tblW w:w="9458" w:type="dxa"/>
        <w:tblLook w:val="04A0" w:firstRow="1" w:lastRow="0" w:firstColumn="1" w:lastColumn="0" w:noHBand="0" w:noVBand="1"/>
      </w:tblPr>
      <w:tblGrid>
        <w:gridCol w:w="3326"/>
        <w:gridCol w:w="954"/>
        <w:gridCol w:w="945"/>
        <w:gridCol w:w="4233"/>
      </w:tblGrid>
      <w:tr w:rsidR="00854ADA" w:rsidRPr="00FF386D" w14:paraId="6690250A" w14:textId="77777777" w:rsidTr="0057310C">
        <w:trPr>
          <w:trHeight w:val="780"/>
        </w:trPr>
        <w:tc>
          <w:tcPr>
            <w:tcW w:w="3326"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2A887B9F"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54" w:type="dxa"/>
            <w:tcBorders>
              <w:top w:val="single" w:sz="8" w:space="0" w:color="auto"/>
              <w:left w:val="nil"/>
              <w:bottom w:val="single" w:sz="8" w:space="0" w:color="auto"/>
              <w:right w:val="single" w:sz="8" w:space="0" w:color="auto"/>
            </w:tcBorders>
            <w:shd w:val="clear" w:color="auto" w:fill="E7E6E6" w:themeFill="background2"/>
            <w:vAlign w:val="center"/>
            <w:hideMark/>
          </w:tcPr>
          <w:p w14:paraId="50FB3CFB"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МП_Д7</w:t>
            </w:r>
          </w:p>
        </w:tc>
        <w:tc>
          <w:tcPr>
            <w:tcW w:w="945" w:type="dxa"/>
            <w:tcBorders>
              <w:top w:val="single" w:sz="8" w:space="0" w:color="auto"/>
              <w:left w:val="nil"/>
              <w:bottom w:val="single" w:sz="8" w:space="0" w:color="auto"/>
              <w:right w:val="single" w:sz="8" w:space="0" w:color="auto"/>
            </w:tcBorders>
            <w:shd w:val="clear" w:color="000000" w:fill="244062"/>
            <w:vAlign w:val="center"/>
            <w:hideMark/>
          </w:tcPr>
          <w:p w14:paraId="515F483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33" w:type="dxa"/>
            <w:tcBorders>
              <w:top w:val="single" w:sz="8" w:space="0" w:color="auto"/>
              <w:left w:val="nil"/>
              <w:bottom w:val="single" w:sz="8" w:space="0" w:color="auto"/>
              <w:right w:val="single" w:sz="8" w:space="0" w:color="auto"/>
            </w:tcBorders>
            <w:shd w:val="clear" w:color="auto" w:fill="E7E6E6" w:themeFill="background2"/>
            <w:vAlign w:val="center"/>
            <w:hideMark/>
          </w:tcPr>
          <w:p w14:paraId="4F6165ED"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Одрживо газдовање шумама (шумско земљиште, преостало шумско земљиште)</w:t>
            </w:r>
          </w:p>
        </w:tc>
      </w:tr>
      <w:tr w:rsidR="00854ADA" w:rsidRPr="00FF386D" w14:paraId="3F69721B" w14:textId="77777777" w:rsidTr="0057310C">
        <w:trPr>
          <w:trHeight w:val="413"/>
        </w:trPr>
        <w:tc>
          <w:tcPr>
            <w:tcW w:w="3326" w:type="dxa"/>
            <w:tcBorders>
              <w:top w:val="nil"/>
              <w:left w:val="single" w:sz="8" w:space="0" w:color="auto"/>
              <w:bottom w:val="single" w:sz="8" w:space="0" w:color="auto"/>
              <w:right w:val="nil"/>
            </w:tcBorders>
            <w:shd w:val="clear" w:color="000000" w:fill="244062"/>
            <w:vAlign w:val="center"/>
            <w:hideMark/>
          </w:tcPr>
          <w:p w14:paraId="42E9D8B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202B7D0F"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Смањење емисија угљеника</w:t>
            </w:r>
          </w:p>
        </w:tc>
      </w:tr>
      <w:tr w:rsidR="00854ADA" w:rsidRPr="00FF386D" w14:paraId="13A0EB40" w14:textId="77777777" w:rsidTr="0057310C">
        <w:trPr>
          <w:trHeight w:val="315"/>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4B4B3E7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20A92298" w14:textId="65F67827" w:rsidR="00854ADA" w:rsidRPr="00FF386D" w:rsidRDefault="009F4D23" w:rsidP="00854ADA">
            <w:pPr>
              <w:spacing w:after="0" w:line="240" w:lineRule="auto"/>
              <w:jc w:val="both"/>
              <w:rPr>
                <w:rFonts w:asciiTheme="majorHAnsi" w:eastAsia="Times New Roman" w:hAnsiTheme="majorHAnsi" w:cstheme="majorHAnsi"/>
                <w:color w:val="000000"/>
                <w:sz w:val="20"/>
                <w:szCs w:val="20"/>
                <w:lang w:eastAsia="en-GB"/>
              </w:rPr>
            </w:pPr>
            <w:r w:rsidRPr="009F4D23">
              <w:rPr>
                <w:rFonts w:ascii="Calibri Light" w:eastAsia="Times New Roman" w:hAnsi="Calibri Light" w:cs="Calibri Light"/>
                <w:color w:val="000000"/>
                <w:sz w:val="20"/>
                <w:szCs w:val="20"/>
                <w:lang w:eastAsia="en-GB"/>
              </w:rPr>
              <w:t xml:space="preserve"> Допринос циљу смањења емисија GHG за 40,3% (укључује</w:t>
            </w:r>
            <w:r w:rsidRPr="00C312D6">
              <w:rPr>
                <w:rFonts w:ascii="Calibri Light" w:eastAsia="Times New Roman" w:hAnsi="Calibri Light" w:cs="Calibri Light"/>
                <w:i/>
                <w:iCs/>
                <w:color w:val="000000"/>
                <w:sz w:val="20"/>
                <w:szCs w:val="20"/>
                <w:lang w:eastAsia="en-GB"/>
              </w:rPr>
              <w:t xml:space="preserve"> LULUC</w:t>
            </w:r>
            <w:r w:rsidRPr="00C312D6">
              <w:rPr>
                <w:rFonts w:ascii="Calibri Light" w:eastAsia="Times New Roman" w:hAnsi="Calibri Light" w:cs="Calibri Light"/>
                <w:i/>
                <w:iCs/>
                <w:color w:val="000000"/>
                <w:sz w:val="20"/>
                <w:szCs w:val="20"/>
                <w:lang w:val="en-US" w:eastAsia="en-GB"/>
              </w:rPr>
              <w:t>F</w:t>
            </w:r>
            <w:r w:rsidRPr="009F4D23">
              <w:rPr>
                <w:rFonts w:ascii="Calibri Light" w:eastAsia="Times New Roman" w:hAnsi="Calibri Light" w:cs="Calibri Light"/>
                <w:color w:val="000000"/>
                <w:sz w:val="20"/>
                <w:szCs w:val="20"/>
                <w:lang w:eastAsia="en-GB"/>
              </w:rPr>
              <w:t>) до 2030. године у поређењу са нивоима из 1990. године</w:t>
            </w:r>
          </w:p>
        </w:tc>
      </w:tr>
      <w:tr w:rsidR="00854ADA" w:rsidRPr="00FF386D" w14:paraId="65ECC01B" w14:textId="77777777" w:rsidTr="0057310C">
        <w:trPr>
          <w:trHeight w:val="764"/>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1F6DBB6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4FBB77B8" w14:textId="3B6C4A75"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 xml:space="preserve">МП_Д7 </w:t>
            </w:r>
            <w:r w:rsidR="00715E30" w:rsidRPr="000A2AFE">
              <w:rPr>
                <w:rFonts w:ascii="Calibri Light" w:eastAsia="Times New Roman" w:hAnsi="Calibri Light" w:cs="Calibri Light"/>
                <w:color w:val="000000"/>
                <w:sz w:val="20"/>
                <w:szCs w:val="20"/>
                <w:lang w:eastAsia="en-GB"/>
              </w:rPr>
              <w:t>има за циљ</w:t>
            </w:r>
            <w:r w:rsidRPr="000A2AFE">
              <w:rPr>
                <w:rFonts w:ascii="Calibri Light" w:eastAsia="Times New Roman" w:hAnsi="Calibri Light" w:cs="Calibri Light"/>
                <w:color w:val="000000"/>
                <w:sz w:val="20"/>
                <w:szCs w:val="20"/>
                <w:lang w:eastAsia="en-GB"/>
              </w:rPr>
              <w:t xml:space="preserve"> да надокнади губитак шумског покривача путем одрживог управљања шумама, укључујући </w:t>
            </w:r>
            <w:r w:rsidR="00B13368" w:rsidRPr="00B13368">
              <w:rPr>
                <w:rFonts w:ascii="Calibri Light" w:eastAsia="Times New Roman" w:hAnsi="Calibri Light" w:cs="Calibri Light"/>
                <w:color w:val="000000"/>
                <w:sz w:val="20"/>
                <w:szCs w:val="20"/>
                <w:lang w:eastAsia="en-GB"/>
              </w:rPr>
              <w:t>забрану сече шума у свим заштићеним природним добрима, заштиту, обнову, пошумљавање и поновно пошумљавање и повећане напоре за спречавање деградације шума, конверзију изданачких шума у високе шуме, контролу инвазивних врста и пошумљавање аутохтоним врстама, обнову влажних станишта равничарских шума и проширење обалне зоне дуж водотока.</w:t>
            </w:r>
          </w:p>
        </w:tc>
      </w:tr>
      <w:tr w:rsidR="00854ADA" w:rsidRPr="00FF386D" w14:paraId="53385C1E" w14:textId="77777777" w:rsidTr="0057310C">
        <w:trPr>
          <w:trHeight w:val="315"/>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4692CC1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08AC40A3" w14:textId="44713F9F" w:rsidR="00854ADA" w:rsidRPr="00FF386D" w:rsidRDefault="00B13368"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202</w:t>
            </w:r>
            <w:r>
              <w:rPr>
                <w:rFonts w:ascii="Calibri Light" w:eastAsia="Times New Roman" w:hAnsi="Calibri Light" w:cs="Calibri Light"/>
                <w:color w:val="000000"/>
                <w:sz w:val="20"/>
                <w:szCs w:val="20"/>
                <w:lang w:eastAsia="en-GB"/>
              </w:rPr>
              <w:t>4</w:t>
            </w:r>
            <w:r w:rsidR="00854ADA" w:rsidRPr="000A2AFE">
              <w:rPr>
                <w:rFonts w:ascii="Calibri Light" w:eastAsia="Times New Roman" w:hAnsi="Calibri Light" w:cs="Calibri Light"/>
                <w:color w:val="000000"/>
                <w:sz w:val="20"/>
                <w:szCs w:val="20"/>
                <w:lang w:eastAsia="en-GB"/>
              </w:rPr>
              <w:t>-2030.</w:t>
            </w:r>
          </w:p>
        </w:tc>
      </w:tr>
      <w:tr w:rsidR="00854ADA" w:rsidRPr="00FF386D" w14:paraId="36854AB0" w14:textId="77777777" w:rsidTr="0057310C">
        <w:trPr>
          <w:trHeight w:val="315"/>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3432DFD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1EC2E985"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Инвестиције</w:t>
            </w:r>
          </w:p>
        </w:tc>
      </w:tr>
      <w:tr w:rsidR="00854ADA" w:rsidRPr="00FF386D" w14:paraId="0EE7801D" w14:textId="77777777" w:rsidTr="0057310C">
        <w:trPr>
          <w:trHeight w:val="315"/>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328F24B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387F8393" w14:textId="68B7824B"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Пољопривреда</w:t>
            </w:r>
            <w:r w:rsidR="00B13368">
              <w:t xml:space="preserve"> </w:t>
            </w:r>
            <w:r w:rsidR="00B13368" w:rsidRPr="00B13368">
              <w:rPr>
                <w:rFonts w:ascii="Calibri Light" w:eastAsia="Times New Roman" w:hAnsi="Calibri Light" w:cs="Calibri Light"/>
                <w:color w:val="000000"/>
                <w:sz w:val="20"/>
                <w:szCs w:val="20"/>
                <w:lang w:eastAsia="en-GB"/>
              </w:rPr>
              <w:t xml:space="preserve">и </w:t>
            </w:r>
            <w:r w:rsidR="00B13368" w:rsidRPr="000A2AFE">
              <w:rPr>
                <w:rFonts w:ascii="Calibri Light" w:eastAsia="Times New Roman" w:hAnsi="Calibri Light" w:cs="Calibri Light"/>
                <w:i/>
                <w:iCs/>
                <w:color w:val="000000"/>
                <w:sz w:val="20"/>
                <w:szCs w:val="20"/>
                <w:lang w:eastAsia="en-GB"/>
              </w:rPr>
              <w:t>LULUCF</w:t>
            </w:r>
          </w:p>
        </w:tc>
      </w:tr>
      <w:tr w:rsidR="00854ADA" w:rsidRPr="00FF386D" w14:paraId="5409EA1A" w14:textId="77777777" w:rsidTr="0057310C">
        <w:trPr>
          <w:trHeight w:val="315"/>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622A869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5143CF37" w14:textId="77777777" w:rsidR="00854ADA" w:rsidRPr="000A2AFE" w:rsidRDefault="00854ADA" w:rsidP="00854ADA">
            <w:pPr>
              <w:numPr>
                <w:ilvl w:val="0"/>
                <w:numId w:val="209"/>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пољопривреде, шумарства и водопривреде</w:t>
            </w:r>
          </w:p>
          <w:p w14:paraId="147B2A13" w14:textId="377D1FEB" w:rsidR="00B13368" w:rsidRPr="00FF386D" w:rsidRDefault="00B13368" w:rsidP="00854ADA">
            <w:pPr>
              <w:numPr>
                <w:ilvl w:val="0"/>
                <w:numId w:val="209"/>
              </w:numPr>
              <w:spacing w:after="0" w:line="240" w:lineRule="auto"/>
              <w:contextualSpacing/>
              <w:jc w:val="both"/>
              <w:rPr>
                <w:rFonts w:asciiTheme="majorHAnsi" w:eastAsia="Times New Roman" w:hAnsiTheme="majorHAnsi" w:cstheme="majorHAnsi"/>
                <w:color w:val="000000"/>
                <w:sz w:val="20"/>
                <w:szCs w:val="20"/>
                <w:lang w:eastAsia="en-GB"/>
              </w:rPr>
            </w:pPr>
            <w:r w:rsidRPr="00B13368">
              <w:rPr>
                <w:rFonts w:asciiTheme="majorHAnsi" w:eastAsia="Times New Roman" w:hAnsiTheme="majorHAnsi" w:cstheme="majorHAnsi"/>
                <w:color w:val="000000"/>
                <w:sz w:val="20"/>
                <w:szCs w:val="20"/>
                <w:lang w:eastAsia="en-GB"/>
              </w:rPr>
              <w:t>Истраживачки институти, организације надлежне за управљање шумама, приватни поседници шума</w:t>
            </w:r>
          </w:p>
        </w:tc>
      </w:tr>
      <w:tr w:rsidR="00854ADA" w:rsidRPr="00FF386D" w14:paraId="5776196B" w14:textId="77777777" w:rsidTr="0057310C">
        <w:trPr>
          <w:trHeight w:val="315"/>
        </w:trPr>
        <w:tc>
          <w:tcPr>
            <w:tcW w:w="3326" w:type="dxa"/>
            <w:tcBorders>
              <w:top w:val="nil"/>
              <w:left w:val="single" w:sz="8" w:space="0" w:color="auto"/>
              <w:bottom w:val="single" w:sz="8" w:space="0" w:color="auto"/>
              <w:right w:val="nil"/>
            </w:tcBorders>
            <w:shd w:val="clear" w:color="000000" w:fill="244062"/>
            <w:vAlign w:val="center"/>
            <w:hideMark/>
          </w:tcPr>
          <w:p w14:paraId="1B66C11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50093F94" w14:textId="77777777" w:rsidR="00854ADA" w:rsidRPr="00FF386D" w:rsidRDefault="00854ADA" w:rsidP="00854ADA">
            <w:pPr>
              <w:numPr>
                <w:ilvl w:val="0"/>
                <w:numId w:val="209"/>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заштите животне средине</w:t>
            </w:r>
          </w:p>
          <w:p w14:paraId="0DD8F686" w14:textId="77777777" w:rsidR="00854ADA" w:rsidRPr="00FF386D" w:rsidRDefault="00854ADA" w:rsidP="00854ADA">
            <w:pPr>
              <w:numPr>
                <w:ilvl w:val="0"/>
                <w:numId w:val="209"/>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пољопривреде, шумарства и водопривреде</w:t>
            </w:r>
          </w:p>
        </w:tc>
      </w:tr>
      <w:tr w:rsidR="00854ADA" w:rsidRPr="00FF386D" w14:paraId="7B95F7E8" w14:textId="77777777" w:rsidTr="0057310C">
        <w:trPr>
          <w:trHeight w:val="315"/>
        </w:trPr>
        <w:tc>
          <w:tcPr>
            <w:tcW w:w="3326" w:type="dxa"/>
            <w:tcBorders>
              <w:top w:val="nil"/>
              <w:left w:val="single" w:sz="8" w:space="0" w:color="auto"/>
              <w:bottom w:val="single" w:sz="8" w:space="0" w:color="auto"/>
              <w:right w:val="nil"/>
            </w:tcBorders>
            <w:shd w:val="clear" w:color="000000" w:fill="244062"/>
            <w:vAlign w:val="center"/>
            <w:hideMark/>
          </w:tcPr>
          <w:p w14:paraId="68B9F43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40D9B8DE" w14:textId="1F8716A2" w:rsidR="00854ADA" w:rsidRPr="000A2AFE" w:rsidRDefault="00854ADA" w:rsidP="000A2AFE">
            <w:pPr>
              <w:pStyle w:val="ListParagraph"/>
              <w:numPr>
                <w:ilvl w:val="0"/>
                <w:numId w:val="351"/>
              </w:numPr>
              <w:spacing w:after="0" w:line="240" w:lineRule="auto"/>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 xml:space="preserve">Површина под шумама (ha), </w:t>
            </w:r>
            <w:r w:rsidR="00231AFE" w:rsidRPr="000A2AFE">
              <w:rPr>
                <w:rFonts w:ascii="Calibri Light" w:eastAsia="Times New Roman" w:hAnsi="Calibri Light" w:cs="Calibri Light"/>
                <w:color w:val="000000"/>
                <w:sz w:val="20"/>
                <w:szCs w:val="20"/>
                <w:lang w:eastAsia="en-GB"/>
              </w:rPr>
              <w:t>површина</w:t>
            </w:r>
            <w:r w:rsidRPr="000A2AFE">
              <w:rPr>
                <w:rFonts w:ascii="Calibri Light" w:eastAsia="Times New Roman" w:hAnsi="Calibri Light" w:cs="Calibri Light"/>
                <w:color w:val="000000"/>
                <w:sz w:val="20"/>
                <w:szCs w:val="20"/>
                <w:lang w:eastAsia="en-GB"/>
              </w:rPr>
              <w:t xml:space="preserve"> шума</w:t>
            </w:r>
            <w:r w:rsidR="00231AFE"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п</w:t>
            </w:r>
            <w:r w:rsidR="00231AFE" w:rsidRPr="000A2AFE">
              <w:rPr>
                <w:rFonts w:ascii="Calibri Light" w:eastAsia="Times New Roman" w:hAnsi="Calibri Light" w:cs="Calibri Light"/>
                <w:color w:val="000000"/>
                <w:sz w:val="20"/>
                <w:szCs w:val="20"/>
                <w:lang w:eastAsia="en-GB"/>
              </w:rPr>
              <w:t>окривена</w:t>
            </w:r>
            <w:r w:rsidRPr="000A2AFE">
              <w:rPr>
                <w:rFonts w:ascii="Calibri Light" w:eastAsia="Times New Roman" w:hAnsi="Calibri Light" w:cs="Calibri Light"/>
                <w:color w:val="000000"/>
                <w:sz w:val="20"/>
                <w:szCs w:val="20"/>
                <w:lang w:eastAsia="en-GB"/>
              </w:rPr>
              <w:t xml:space="preserve"> новим садницама (ha) и број засађених и живих садница</w:t>
            </w:r>
          </w:p>
        </w:tc>
      </w:tr>
      <w:tr w:rsidR="00854ADA" w:rsidRPr="00FF386D" w14:paraId="2C6087C4" w14:textId="77777777" w:rsidTr="0057310C">
        <w:trPr>
          <w:trHeight w:val="535"/>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435488A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32" w:type="dxa"/>
            <w:gridSpan w:val="3"/>
            <w:tcBorders>
              <w:top w:val="single" w:sz="8" w:space="0" w:color="auto"/>
              <w:left w:val="nil"/>
              <w:bottom w:val="single" w:sz="8" w:space="0" w:color="auto"/>
              <w:right w:val="single" w:sz="8" w:space="0" w:color="000000"/>
            </w:tcBorders>
            <w:shd w:val="clear" w:color="auto" w:fill="auto"/>
            <w:vAlign w:val="center"/>
          </w:tcPr>
          <w:p w14:paraId="1D0A3A05"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p>
        </w:tc>
      </w:tr>
      <w:tr w:rsidR="00854ADA" w:rsidRPr="00FF386D" w14:paraId="69D9C4C1" w14:textId="77777777" w:rsidTr="0057310C">
        <w:trPr>
          <w:trHeight w:val="450"/>
        </w:trPr>
        <w:tc>
          <w:tcPr>
            <w:tcW w:w="3326"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0E453BA7" w14:textId="19ABB9BC"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32"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110E3A28" w14:textId="630E635E" w:rsidR="00854ADA" w:rsidRPr="00FF386D" w:rsidRDefault="00854ADA" w:rsidP="00854ADA">
            <w:pPr>
              <w:numPr>
                <w:ilvl w:val="0"/>
                <w:numId w:val="105"/>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Уредба 2018/</w:t>
            </w:r>
            <w:r w:rsidR="00B13368" w:rsidRPr="00B13368">
              <w:rPr>
                <w:rFonts w:ascii="Calibri Light" w:eastAsia="Times New Roman" w:hAnsi="Calibri Light" w:cs="Calibri Light"/>
                <w:color w:val="000000"/>
                <w:sz w:val="20"/>
                <w:szCs w:val="20"/>
                <w:lang w:eastAsia="en-GB"/>
              </w:rPr>
              <w:t>1999</w:t>
            </w:r>
          </w:p>
        </w:tc>
      </w:tr>
      <w:tr w:rsidR="00854ADA" w:rsidRPr="00FF386D" w14:paraId="4F30C1AB" w14:textId="77777777" w:rsidTr="0057310C">
        <w:trPr>
          <w:trHeight w:val="450"/>
        </w:trPr>
        <w:tc>
          <w:tcPr>
            <w:tcW w:w="3326" w:type="dxa"/>
            <w:vMerge/>
            <w:tcBorders>
              <w:top w:val="nil"/>
              <w:left w:val="single" w:sz="8" w:space="0" w:color="auto"/>
              <w:bottom w:val="single" w:sz="8" w:space="0" w:color="000000"/>
              <w:right w:val="single" w:sz="8" w:space="0" w:color="auto"/>
            </w:tcBorders>
            <w:vAlign w:val="center"/>
            <w:hideMark/>
          </w:tcPr>
          <w:p w14:paraId="625E111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2" w:type="dxa"/>
            <w:gridSpan w:val="3"/>
            <w:vMerge/>
            <w:tcBorders>
              <w:top w:val="single" w:sz="8" w:space="0" w:color="auto"/>
              <w:left w:val="single" w:sz="8" w:space="0" w:color="auto"/>
              <w:bottom w:val="single" w:sz="8" w:space="0" w:color="000000"/>
              <w:right w:val="single" w:sz="8" w:space="0" w:color="000000"/>
            </w:tcBorders>
            <w:vAlign w:val="center"/>
            <w:hideMark/>
          </w:tcPr>
          <w:p w14:paraId="4DC30F5A" w14:textId="77777777" w:rsidR="00854ADA" w:rsidRPr="00FF386D" w:rsidRDefault="00854ADA" w:rsidP="00854ADA">
            <w:pPr>
              <w:numPr>
                <w:ilvl w:val="0"/>
                <w:numId w:val="105"/>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2D324DFD" w14:textId="77777777" w:rsidTr="0057310C">
        <w:trPr>
          <w:trHeight w:val="450"/>
        </w:trPr>
        <w:tc>
          <w:tcPr>
            <w:tcW w:w="3326" w:type="dxa"/>
            <w:vMerge/>
            <w:tcBorders>
              <w:top w:val="nil"/>
              <w:left w:val="single" w:sz="8" w:space="0" w:color="auto"/>
              <w:bottom w:val="single" w:sz="8" w:space="0" w:color="000000"/>
              <w:right w:val="single" w:sz="8" w:space="0" w:color="auto"/>
            </w:tcBorders>
            <w:vAlign w:val="center"/>
            <w:hideMark/>
          </w:tcPr>
          <w:p w14:paraId="1C828C0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2" w:type="dxa"/>
            <w:gridSpan w:val="3"/>
            <w:vMerge/>
            <w:tcBorders>
              <w:top w:val="single" w:sz="8" w:space="0" w:color="auto"/>
              <w:left w:val="single" w:sz="8" w:space="0" w:color="auto"/>
              <w:bottom w:val="single" w:sz="8" w:space="0" w:color="000000"/>
              <w:right w:val="single" w:sz="8" w:space="0" w:color="000000"/>
            </w:tcBorders>
            <w:vAlign w:val="center"/>
            <w:hideMark/>
          </w:tcPr>
          <w:p w14:paraId="57427FEB" w14:textId="77777777" w:rsidR="00854ADA" w:rsidRPr="00FF386D" w:rsidRDefault="00854ADA" w:rsidP="00854ADA">
            <w:pPr>
              <w:numPr>
                <w:ilvl w:val="0"/>
                <w:numId w:val="105"/>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5336EF97" w14:textId="77777777" w:rsidTr="0057310C">
        <w:trPr>
          <w:trHeight w:val="427"/>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7DE6A0C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7000367B" w14:textId="4994F39E" w:rsidR="00854ADA" w:rsidRPr="00FF386D" w:rsidRDefault="00854ADA" w:rsidP="00854ADA">
            <w:pPr>
              <w:numPr>
                <w:ilvl w:val="0"/>
                <w:numId w:val="105"/>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Стратегија нискоугљеничног развоја </w:t>
            </w:r>
            <w:r w:rsidR="00B13368" w:rsidRPr="00B13368">
              <w:rPr>
                <w:rFonts w:asciiTheme="majorHAnsi" w:eastAsia="Times New Roman" w:hAnsiTheme="majorHAnsi" w:cstheme="majorHAnsi"/>
                <w:color w:val="000000"/>
                <w:sz w:val="20"/>
                <w:szCs w:val="20"/>
                <w:lang w:eastAsia="en-GB"/>
              </w:rPr>
              <w:t>за период од 2023. до 2030. године са пројекцијама до 2050. године</w:t>
            </w:r>
          </w:p>
        </w:tc>
      </w:tr>
      <w:tr w:rsidR="00854ADA" w:rsidRPr="00FF386D" w14:paraId="31DC54E7" w14:textId="77777777" w:rsidTr="0057310C">
        <w:trPr>
          <w:trHeight w:val="315"/>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7D9244B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6F6286DA"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354 милиона евра</w:t>
            </w:r>
          </w:p>
        </w:tc>
      </w:tr>
      <w:tr w:rsidR="00854ADA" w:rsidRPr="00FF386D" w14:paraId="14C84878" w14:textId="77777777" w:rsidTr="0057310C">
        <w:trPr>
          <w:trHeight w:val="315"/>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6CB1F78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02731A65"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Фондови ЕУ и други фондови, јавни буџет</w:t>
            </w:r>
          </w:p>
        </w:tc>
      </w:tr>
    </w:tbl>
    <w:p w14:paraId="6290EAC7"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08"/>
        <w:gridCol w:w="1013"/>
        <w:gridCol w:w="942"/>
        <w:gridCol w:w="4195"/>
      </w:tblGrid>
      <w:tr w:rsidR="00854ADA" w:rsidRPr="00FF386D" w14:paraId="7DD7B53B" w14:textId="77777777" w:rsidTr="0057310C">
        <w:trPr>
          <w:trHeight w:val="608"/>
        </w:trPr>
        <w:tc>
          <w:tcPr>
            <w:tcW w:w="3308"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6C8BB433"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Шифра мере политике:</w:t>
            </w:r>
          </w:p>
        </w:tc>
        <w:tc>
          <w:tcPr>
            <w:tcW w:w="1013" w:type="dxa"/>
            <w:tcBorders>
              <w:top w:val="single" w:sz="8" w:space="0" w:color="auto"/>
              <w:left w:val="nil"/>
              <w:bottom w:val="single" w:sz="8" w:space="0" w:color="auto"/>
              <w:right w:val="single" w:sz="8" w:space="0" w:color="auto"/>
            </w:tcBorders>
            <w:shd w:val="clear" w:color="auto" w:fill="E7E6E6" w:themeFill="background2"/>
            <w:vAlign w:val="center"/>
            <w:hideMark/>
          </w:tcPr>
          <w:p w14:paraId="468CF58C"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МП_Д8</w:t>
            </w:r>
          </w:p>
        </w:tc>
        <w:tc>
          <w:tcPr>
            <w:tcW w:w="942" w:type="dxa"/>
            <w:tcBorders>
              <w:top w:val="single" w:sz="8" w:space="0" w:color="auto"/>
              <w:left w:val="nil"/>
              <w:bottom w:val="single" w:sz="8" w:space="0" w:color="auto"/>
              <w:right w:val="single" w:sz="8" w:space="0" w:color="auto"/>
            </w:tcBorders>
            <w:shd w:val="clear" w:color="000000" w:fill="244062"/>
            <w:vAlign w:val="center"/>
            <w:hideMark/>
          </w:tcPr>
          <w:p w14:paraId="28B4E0C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95" w:type="dxa"/>
            <w:tcBorders>
              <w:top w:val="single" w:sz="8" w:space="0" w:color="auto"/>
              <w:left w:val="nil"/>
              <w:bottom w:val="single" w:sz="8" w:space="0" w:color="auto"/>
              <w:right w:val="single" w:sz="8" w:space="0" w:color="auto"/>
            </w:tcBorders>
            <w:shd w:val="clear" w:color="auto" w:fill="E7E6E6" w:themeFill="background2"/>
            <w:vAlign w:val="center"/>
            <w:hideMark/>
          </w:tcPr>
          <w:p w14:paraId="3E20728F" w14:textId="2ED7EDC6"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Конверзија</w:t>
            </w:r>
            <w:r w:rsidR="00187763">
              <w:rPr>
                <w:rFonts w:ascii="Calibri Light" w:eastAsia="Times New Roman" w:hAnsi="Calibri Light" w:cs="Calibri Light"/>
                <w:b/>
                <w:bCs/>
                <w:color w:val="000000"/>
                <w:sz w:val="20"/>
                <w:szCs w:val="20"/>
                <w:lang w:eastAsia="en-GB"/>
              </w:rPr>
              <w:t xml:space="preserve"> необрадивог</w:t>
            </w:r>
            <w:r w:rsidRPr="000A2AFE">
              <w:rPr>
                <w:rFonts w:ascii="Calibri Light" w:eastAsia="Times New Roman" w:hAnsi="Calibri Light" w:cs="Calibri Light"/>
                <w:b/>
                <w:bCs/>
                <w:color w:val="000000"/>
                <w:sz w:val="20"/>
                <w:szCs w:val="20"/>
                <w:lang w:eastAsia="en-GB"/>
              </w:rPr>
              <w:t xml:space="preserve"> земљишта у обрадиво земљиште</w:t>
            </w:r>
          </w:p>
        </w:tc>
      </w:tr>
      <w:tr w:rsidR="00854ADA" w:rsidRPr="00FF386D" w14:paraId="677DEDDF" w14:textId="77777777" w:rsidTr="0057310C">
        <w:trPr>
          <w:trHeight w:val="405"/>
        </w:trPr>
        <w:tc>
          <w:tcPr>
            <w:tcW w:w="3308" w:type="dxa"/>
            <w:tcBorders>
              <w:top w:val="nil"/>
              <w:left w:val="single" w:sz="8" w:space="0" w:color="auto"/>
              <w:bottom w:val="single" w:sz="8" w:space="0" w:color="auto"/>
              <w:right w:val="nil"/>
            </w:tcBorders>
            <w:shd w:val="clear" w:color="000000" w:fill="244062"/>
            <w:vAlign w:val="center"/>
            <w:hideMark/>
          </w:tcPr>
          <w:p w14:paraId="57509E1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4ACE4D72"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Смањење емисија угљеника</w:t>
            </w:r>
          </w:p>
        </w:tc>
      </w:tr>
      <w:tr w:rsidR="00854ADA" w:rsidRPr="00FF386D" w14:paraId="2A040C14"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651B6D9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6847EAB5" w14:textId="64F3AA35" w:rsidR="00854ADA" w:rsidRPr="00FF386D" w:rsidRDefault="009F4D23" w:rsidP="00854ADA">
            <w:pPr>
              <w:spacing w:after="0" w:line="240" w:lineRule="auto"/>
              <w:jc w:val="both"/>
              <w:rPr>
                <w:rFonts w:asciiTheme="majorHAnsi" w:eastAsia="Times New Roman" w:hAnsiTheme="majorHAnsi" w:cstheme="majorHAnsi"/>
                <w:color w:val="000000"/>
                <w:sz w:val="20"/>
                <w:szCs w:val="20"/>
                <w:lang w:eastAsia="en-GB"/>
              </w:rPr>
            </w:pPr>
            <w:r w:rsidRPr="009F4D23">
              <w:rPr>
                <w:rFonts w:ascii="Calibri Light" w:eastAsia="Times New Roman" w:hAnsi="Calibri Light" w:cs="Calibri Light"/>
                <w:color w:val="000000"/>
                <w:sz w:val="20"/>
                <w:szCs w:val="20"/>
                <w:lang w:eastAsia="en-GB"/>
              </w:rPr>
              <w:t xml:space="preserve">Допринос циљу смањења емисија GHG за 40,3% (укључује </w:t>
            </w:r>
            <w:r w:rsidRPr="00C312D6">
              <w:rPr>
                <w:rFonts w:ascii="Calibri Light" w:eastAsia="Times New Roman" w:hAnsi="Calibri Light" w:cs="Calibri Light"/>
                <w:i/>
                <w:iCs/>
                <w:color w:val="000000"/>
                <w:sz w:val="20"/>
                <w:szCs w:val="20"/>
                <w:lang w:eastAsia="en-GB"/>
              </w:rPr>
              <w:t>LULUCF</w:t>
            </w:r>
            <w:r w:rsidRPr="009F4D23">
              <w:rPr>
                <w:rFonts w:ascii="Calibri Light" w:eastAsia="Times New Roman" w:hAnsi="Calibri Light" w:cs="Calibri Light"/>
                <w:color w:val="000000"/>
                <w:sz w:val="20"/>
                <w:szCs w:val="20"/>
                <w:lang w:eastAsia="en-GB"/>
              </w:rPr>
              <w:t>) до 2030. године у поређењу са нивоима из 1990. године</w:t>
            </w:r>
          </w:p>
        </w:tc>
      </w:tr>
      <w:tr w:rsidR="00854ADA" w:rsidRPr="00FF386D" w14:paraId="18ACD241" w14:textId="77777777" w:rsidTr="0057310C">
        <w:trPr>
          <w:trHeight w:val="1951"/>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78502B7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369F4F2A" w14:textId="32B11375" w:rsidR="00854ADA" w:rsidRPr="00C312D6"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 xml:space="preserve">МП_Д8 ће омогућити конверзију </w:t>
            </w:r>
            <w:r w:rsidR="0032070E">
              <w:rPr>
                <w:rFonts w:ascii="Calibri Light" w:eastAsia="Times New Roman" w:hAnsi="Calibri Light" w:cs="Calibri Light"/>
                <w:color w:val="000000"/>
                <w:sz w:val="20"/>
                <w:szCs w:val="20"/>
                <w:lang w:eastAsia="en-GB"/>
              </w:rPr>
              <w:t xml:space="preserve">ненаводњаваног </w:t>
            </w:r>
            <w:r w:rsidRPr="000A2AFE">
              <w:rPr>
                <w:rFonts w:ascii="Calibri Light" w:eastAsia="Times New Roman" w:hAnsi="Calibri Light" w:cs="Calibri Light"/>
                <w:color w:val="000000"/>
                <w:sz w:val="20"/>
                <w:szCs w:val="20"/>
                <w:lang w:eastAsia="en-GB"/>
              </w:rPr>
              <w:t xml:space="preserve">земљишта </w:t>
            </w:r>
            <w:r w:rsidR="0032070E">
              <w:rPr>
                <w:rFonts w:ascii="Calibri Light" w:eastAsia="Times New Roman" w:hAnsi="Calibri Light" w:cs="Calibri Light"/>
                <w:color w:val="000000"/>
                <w:sz w:val="20"/>
                <w:szCs w:val="20"/>
                <w:lang w:eastAsia="en-GB"/>
              </w:rPr>
              <w:t xml:space="preserve">(вресишта) </w:t>
            </w:r>
            <w:r w:rsidRPr="000A2AFE">
              <w:rPr>
                <w:rFonts w:ascii="Calibri Light" w:eastAsia="Times New Roman" w:hAnsi="Calibri Light" w:cs="Calibri Light"/>
                <w:color w:val="000000"/>
                <w:sz w:val="20"/>
                <w:szCs w:val="20"/>
                <w:lang w:eastAsia="en-GB"/>
              </w:rPr>
              <w:t xml:space="preserve">на косим теренима у вишегодишње травњаке (пашњаке, ливаде), што ће значајно смањити интензитет исцрпљивања органских материја у тлу и емисију угљеника из тла, </w:t>
            </w:r>
            <w:r w:rsidR="00445281" w:rsidRPr="000A2AFE">
              <w:rPr>
                <w:rFonts w:ascii="Calibri Light" w:eastAsia="Times New Roman" w:hAnsi="Calibri Light" w:cs="Calibri Light"/>
                <w:color w:val="000000"/>
                <w:sz w:val="20"/>
                <w:szCs w:val="20"/>
                <w:lang w:eastAsia="en-GB"/>
              </w:rPr>
              <w:t>и тако</w:t>
            </w:r>
            <w:r w:rsidRPr="000A2AFE">
              <w:rPr>
                <w:rFonts w:ascii="Calibri Light" w:eastAsia="Times New Roman" w:hAnsi="Calibri Light" w:cs="Calibri Light"/>
                <w:color w:val="000000"/>
                <w:sz w:val="20"/>
                <w:szCs w:val="20"/>
                <w:lang w:eastAsia="en-GB"/>
              </w:rPr>
              <w:t xml:space="preserve"> довести до понора угљеника. </w:t>
            </w:r>
            <w:r w:rsidR="00187763">
              <w:rPr>
                <w:rFonts w:ascii="Calibri Light" w:eastAsia="Times New Roman" w:hAnsi="Calibri Light" w:cs="Calibri Light"/>
                <w:color w:val="000000"/>
                <w:sz w:val="20"/>
                <w:szCs w:val="20"/>
                <w:lang w:eastAsia="en-GB"/>
              </w:rPr>
              <w:t>Спровођење ове мере је једноставно, с обзиром на то да не захтева посебне техничке капацитете и знање. Међутим, потребно је подржати њено спровођење средствима подстицаја, нарочито у првој години конверзије, како би се пољопривредницима омогућило да изврше конверзију необрадивог земљишта (вресишта) у обрадиво земљиште.</w:t>
            </w:r>
          </w:p>
        </w:tc>
      </w:tr>
      <w:tr w:rsidR="00854ADA" w:rsidRPr="00FF386D" w14:paraId="21BB8C46"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390AD2D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6F476A07" w14:textId="56B278BC"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202</w:t>
            </w:r>
            <w:r w:rsidR="00715E30" w:rsidRPr="000A2AFE">
              <w:rPr>
                <w:rFonts w:ascii="Calibri Light" w:eastAsia="Times New Roman" w:hAnsi="Calibri Light" w:cs="Calibri Light"/>
                <w:color w:val="000000"/>
                <w:sz w:val="20"/>
                <w:szCs w:val="20"/>
                <w:lang w:eastAsia="en-GB"/>
              </w:rPr>
              <w:t>3</w:t>
            </w:r>
            <w:r w:rsidRPr="000A2AFE">
              <w:rPr>
                <w:rFonts w:ascii="Calibri Light" w:eastAsia="Times New Roman" w:hAnsi="Calibri Light" w:cs="Calibri Light"/>
                <w:color w:val="000000"/>
                <w:sz w:val="20"/>
                <w:szCs w:val="20"/>
                <w:lang w:eastAsia="en-GB"/>
              </w:rPr>
              <w:t>-2030.</w:t>
            </w:r>
          </w:p>
        </w:tc>
      </w:tr>
      <w:tr w:rsidR="00854ADA" w:rsidRPr="00FF386D" w14:paraId="117FBA6C"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33012B7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4EEDBD30"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Инвестиције</w:t>
            </w:r>
          </w:p>
        </w:tc>
      </w:tr>
      <w:tr w:rsidR="00854ADA" w:rsidRPr="00FF386D" w14:paraId="6B79E9B0"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6C1F8ED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11B86EA8" w14:textId="46961ADF"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Пољопривреда</w:t>
            </w:r>
            <w:r w:rsidR="00B13368">
              <w:rPr>
                <w:rFonts w:ascii="Calibri Light" w:eastAsia="Times New Roman" w:hAnsi="Calibri Light" w:cs="Calibri Light"/>
                <w:color w:val="000000"/>
                <w:sz w:val="20"/>
                <w:szCs w:val="20"/>
                <w:lang w:eastAsia="en-GB"/>
              </w:rPr>
              <w:t xml:space="preserve"> и </w:t>
            </w:r>
            <w:r w:rsidR="00B13368" w:rsidRPr="006171AE">
              <w:rPr>
                <w:rFonts w:ascii="Calibri Light" w:eastAsia="Times New Roman" w:hAnsi="Calibri Light" w:cs="Calibri Light"/>
                <w:i/>
                <w:iCs/>
                <w:color w:val="000000"/>
                <w:sz w:val="20"/>
                <w:szCs w:val="20"/>
                <w:lang w:val="en-US" w:eastAsia="en-GB"/>
              </w:rPr>
              <w:t>LULUCF</w:t>
            </w:r>
          </w:p>
        </w:tc>
      </w:tr>
      <w:tr w:rsidR="00854ADA" w:rsidRPr="00FF386D" w14:paraId="509FEFCA"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3F06E9C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0743D71C" w14:textId="77777777" w:rsidR="00854ADA" w:rsidRPr="00FF386D" w:rsidRDefault="00854ADA" w:rsidP="00854ADA">
            <w:pPr>
              <w:numPr>
                <w:ilvl w:val="0"/>
                <w:numId w:val="210"/>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пољопривреде, шумарства и водопривреде</w:t>
            </w:r>
          </w:p>
        </w:tc>
      </w:tr>
      <w:tr w:rsidR="00854ADA" w:rsidRPr="00FF386D" w14:paraId="779A5632" w14:textId="77777777" w:rsidTr="0057310C">
        <w:trPr>
          <w:trHeight w:val="315"/>
        </w:trPr>
        <w:tc>
          <w:tcPr>
            <w:tcW w:w="3308" w:type="dxa"/>
            <w:tcBorders>
              <w:top w:val="nil"/>
              <w:left w:val="single" w:sz="8" w:space="0" w:color="auto"/>
              <w:bottom w:val="single" w:sz="8" w:space="0" w:color="auto"/>
              <w:right w:val="nil"/>
            </w:tcBorders>
            <w:shd w:val="clear" w:color="000000" w:fill="244062"/>
            <w:vAlign w:val="center"/>
            <w:hideMark/>
          </w:tcPr>
          <w:p w14:paraId="22BEEF1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11E68BD0" w14:textId="77777777" w:rsidR="00854ADA" w:rsidRPr="00FF386D" w:rsidRDefault="00854ADA" w:rsidP="00854ADA">
            <w:pPr>
              <w:numPr>
                <w:ilvl w:val="0"/>
                <w:numId w:val="210"/>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заштите животне средине</w:t>
            </w:r>
          </w:p>
          <w:p w14:paraId="548E7138" w14:textId="3FA3319C" w:rsidR="00854ADA" w:rsidRPr="00FF386D" w:rsidRDefault="00854ADA" w:rsidP="00854ADA">
            <w:pPr>
              <w:numPr>
                <w:ilvl w:val="0"/>
                <w:numId w:val="210"/>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w:t>
            </w:r>
            <w:r w:rsidR="000D06CD" w:rsidRPr="00FF386D">
              <w:rPr>
                <w:rFonts w:asciiTheme="majorHAnsi" w:eastAsia="Times New Roman" w:hAnsiTheme="majorHAnsi" w:cstheme="majorHAnsi"/>
                <w:color w:val="000000"/>
                <w:sz w:val="20"/>
                <w:szCs w:val="20"/>
                <w:lang w:eastAsia="en-GB"/>
              </w:rPr>
              <w:t xml:space="preserve"> </w:t>
            </w:r>
            <w:r w:rsidRPr="00FF386D">
              <w:rPr>
                <w:rFonts w:asciiTheme="majorHAnsi" w:eastAsia="Times New Roman" w:hAnsiTheme="majorHAnsi" w:cstheme="majorHAnsi"/>
                <w:color w:val="000000"/>
                <w:sz w:val="20"/>
                <w:szCs w:val="20"/>
                <w:lang w:eastAsia="en-GB"/>
              </w:rPr>
              <w:t>пољопривреде, шумарства и водопривреде</w:t>
            </w:r>
          </w:p>
        </w:tc>
      </w:tr>
      <w:tr w:rsidR="00854ADA" w:rsidRPr="00FF386D" w14:paraId="477F5945" w14:textId="77777777" w:rsidTr="0057310C">
        <w:trPr>
          <w:trHeight w:val="315"/>
        </w:trPr>
        <w:tc>
          <w:tcPr>
            <w:tcW w:w="3308" w:type="dxa"/>
            <w:tcBorders>
              <w:top w:val="nil"/>
              <w:left w:val="single" w:sz="8" w:space="0" w:color="auto"/>
              <w:bottom w:val="single" w:sz="8" w:space="0" w:color="auto"/>
              <w:right w:val="nil"/>
            </w:tcBorders>
            <w:shd w:val="clear" w:color="000000" w:fill="244062"/>
            <w:vAlign w:val="center"/>
            <w:hideMark/>
          </w:tcPr>
          <w:p w14:paraId="76E9A8B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7CFB15C6" w14:textId="0158196F" w:rsidR="00854ADA" w:rsidRPr="000A2AFE" w:rsidRDefault="00715E30" w:rsidP="000A2AFE">
            <w:pPr>
              <w:pStyle w:val="ListParagraph"/>
              <w:numPr>
                <w:ilvl w:val="0"/>
                <w:numId w:val="350"/>
              </w:numPr>
              <w:spacing w:after="0" w:line="240" w:lineRule="auto"/>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Конвертована п</w:t>
            </w:r>
            <w:r w:rsidR="00854ADA" w:rsidRPr="000A2AFE">
              <w:rPr>
                <w:rFonts w:ascii="Calibri Light" w:eastAsia="Times New Roman" w:hAnsi="Calibri Light" w:cs="Calibri Light"/>
                <w:color w:val="000000"/>
                <w:sz w:val="20"/>
                <w:szCs w:val="20"/>
                <w:lang w:eastAsia="en-GB"/>
              </w:rPr>
              <w:t>овршина на годишњем нивоу (ha/години), проценат повећања органске материје земљишта и повећање понора угљеника по ha</w:t>
            </w:r>
          </w:p>
        </w:tc>
      </w:tr>
      <w:tr w:rsidR="00854ADA" w:rsidRPr="00FF386D" w14:paraId="5F837800" w14:textId="77777777" w:rsidTr="0057310C">
        <w:trPr>
          <w:trHeight w:val="556"/>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7B908E2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50" w:type="dxa"/>
            <w:gridSpan w:val="3"/>
            <w:tcBorders>
              <w:top w:val="single" w:sz="8" w:space="0" w:color="auto"/>
              <w:left w:val="nil"/>
              <w:bottom w:val="single" w:sz="8" w:space="0" w:color="auto"/>
              <w:right w:val="single" w:sz="8" w:space="0" w:color="000000"/>
            </w:tcBorders>
            <w:shd w:val="clear" w:color="auto" w:fill="auto"/>
            <w:vAlign w:val="center"/>
          </w:tcPr>
          <w:p w14:paraId="73AA18B9"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p>
        </w:tc>
      </w:tr>
      <w:tr w:rsidR="00854ADA" w:rsidRPr="00FF386D" w14:paraId="5A657662" w14:textId="77777777" w:rsidTr="0057310C">
        <w:trPr>
          <w:trHeight w:val="450"/>
        </w:trPr>
        <w:tc>
          <w:tcPr>
            <w:tcW w:w="3308"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519F8F83" w14:textId="03A8BD86"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50"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71516390" w14:textId="0791BB33" w:rsidR="00854ADA" w:rsidRPr="00FF386D" w:rsidRDefault="00854ADA" w:rsidP="00854ADA">
            <w:pPr>
              <w:numPr>
                <w:ilvl w:val="0"/>
                <w:numId w:val="106"/>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Уредба 2018/</w:t>
            </w:r>
            <w:r w:rsidR="00B13368" w:rsidRPr="00B13368">
              <w:rPr>
                <w:rFonts w:ascii="Calibri Light" w:eastAsia="Times New Roman" w:hAnsi="Calibri Light" w:cs="Calibri Light"/>
                <w:color w:val="000000"/>
                <w:sz w:val="20"/>
                <w:szCs w:val="20"/>
                <w:lang w:eastAsia="en-GB"/>
              </w:rPr>
              <w:t>1999</w:t>
            </w:r>
          </w:p>
        </w:tc>
      </w:tr>
      <w:tr w:rsidR="00854ADA" w:rsidRPr="00FF386D" w14:paraId="692A25E3" w14:textId="77777777" w:rsidTr="0057310C">
        <w:trPr>
          <w:trHeight w:val="450"/>
        </w:trPr>
        <w:tc>
          <w:tcPr>
            <w:tcW w:w="3308" w:type="dxa"/>
            <w:vMerge/>
            <w:tcBorders>
              <w:top w:val="nil"/>
              <w:left w:val="single" w:sz="8" w:space="0" w:color="auto"/>
              <w:bottom w:val="single" w:sz="8" w:space="0" w:color="000000"/>
              <w:right w:val="single" w:sz="8" w:space="0" w:color="auto"/>
            </w:tcBorders>
            <w:vAlign w:val="center"/>
            <w:hideMark/>
          </w:tcPr>
          <w:p w14:paraId="017B7D2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0" w:type="dxa"/>
            <w:gridSpan w:val="3"/>
            <w:vMerge/>
            <w:tcBorders>
              <w:top w:val="single" w:sz="8" w:space="0" w:color="auto"/>
              <w:left w:val="single" w:sz="8" w:space="0" w:color="auto"/>
              <w:bottom w:val="single" w:sz="8" w:space="0" w:color="000000"/>
              <w:right w:val="single" w:sz="8" w:space="0" w:color="000000"/>
            </w:tcBorders>
            <w:vAlign w:val="center"/>
            <w:hideMark/>
          </w:tcPr>
          <w:p w14:paraId="797DC637" w14:textId="77777777" w:rsidR="00854ADA" w:rsidRPr="00FF386D" w:rsidRDefault="00854ADA" w:rsidP="00854ADA">
            <w:pPr>
              <w:numPr>
                <w:ilvl w:val="0"/>
                <w:numId w:val="106"/>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24D99C8A" w14:textId="77777777" w:rsidTr="0057310C">
        <w:trPr>
          <w:trHeight w:val="450"/>
        </w:trPr>
        <w:tc>
          <w:tcPr>
            <w:tcW w:w="3308" w:type="dxa"/>
            <w:vMerge/>
            <w:tcBorders>
              <w:top w:val="nil"/>
              <w:left w:val="single" w:sz="8" w:space="0" w:color="auto"/>
              <w:bottom w:val="single" w:sz="8" w:space="0" w:color="000000"/>
              <w:right w:val="single" w:sz="8" w:space="0" w:color="auto"/>
            </w:tcBorders>
            <w:vAlign w:val="center"/>
            <w:hideMark/>
          </w:tcPr>
          <w:p w14:paraId="10FC6F3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0" w:type="dxa"/>
            <w:gridSpan w:val="3"/>
            <w:vMerge/>
            <w:tcBorders>
              <w:top w:val="single" w:sz="8" w:space="0" w:color="auto"/>
              <w:left w:val="single" w:sz="8" w:space="0" w:color="auto"/>
              <w:bottom w:val="single" w:sz="8" w:space="0" w:color="000000"/>
              <w:right w:val="single" w:sz="8" w:space="0" w:color="000000"/>
            </w:tcBorders>
            <w:vAlign w:val="center"/>
            <w:hideMark/>
          </w:tcPr>
          <w:p w14:paraId="3F43BDEA" w14:textId="77777777" w:rsidR="00854ADA" w:rsidRPr="00FF386D" w:rsidRDefault="00854ADA" w:rsidP="00854ADA">
            <w:pPr>
              <w:numPr>
                <w:ilvl w:val="0"/>
                <w:numId w:val="106"/>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00F3E8AA" w14:textId="77777777" w:rsidTr="0057310C">
        <w:trPr>
          <w:trHeight w:val="487"/>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4B572E8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105DFE5D" w14:textId="5927E770" w:rsidR="00854ADA" w:rsidRPr="00FF386D" w:rsidRDefault="00854ADA" w:rsidP="00854ADA">
            <w:pPr>
              <w:numPr>
                <w:ilvl w:val="0"/>
                <w:numId w:val="106"/>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Стратегија нискоугљеничног развоја </w:t>
            </w:r>
            <w:r w:rsidR="00B13368" w:rsidRPr="00B13368">
              <w:rPr>
                <w:rFonts w:asciiTheme="majorHAnsi" w:eastAsia="Times New Roman" w:hAnsiTheme="majorHAnsi" w:cstheme="majorHAnsi"/>
                <w:color w:val="000000"/>
                <w:sz w:val="20"/>
                <w:szCs w:val="20"/>
                <w:lang w:eastAsia="en-GB"/>
              </w:rPr>
              <w:t>за период од 2023. до 2030. године са пројекцијама до 2050. године</w:t>
            </w:r>
          </w:p>
        </w:tc>
      </w:tr>
      <w:tr w:rsidR="00854ADA" w:rsidRPr="00FF386D" w14:paraId="3503ABCA"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2831820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0E56DA5C"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8,5 милиона евра</w:t>
            </w:r>
          </w:p>
        </w:tc>
      </w:tr>
      <w:tr w:rsidR="00854ADA" w:rsidRPr="00FF386D" w14:paraId="669655A3"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68E2349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50" w:type="dxa"/>
            <w:gridSpan w:val="3"/>
            <w:tcBorders>
              <w:top w:val="single" w:sz="8" w:space="0" w:color="auto"/>
              <w:left w:val="nil"/>
              <w:bottom w:val="single" w:sz="8" w:space="0" w:color="auto"/>
              <w:right w:val="single" w:sz="8" w:space="0" w:color="000000"/>
            </w:tcBorders>
            <w:shd w:val="clear" w:color="auto" w:fill="auto"/>
            <w:vAlign w:val="center"/>
          </w:tcPr>
          <w:p w14:paraId="490882FF" w14:textId="61532BC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715E30" w:rsidRPr="00FF386D">
              <w:rPr>
                <w:rFonts w:asciiTheme="majorHAnsi" w:eastAsia="Times New Roman" w:hAnsiTheme="majorHAnsi" w:cstheme="majorHAnsi"/>
                <w:color w:val="000000"/>
                <w:sz w:val="20"/>
                <w:szCs w:val="20"/>
                <w:lang w:eastAsia="en-GB"/>
              </w:rPr>
              <w:t>ска средства</w:t>
            </w:r>
          </w:p>
        </w:tc>
      </w:tr>
    </w:tbl>
    <w:p w14:paraId="306048B9"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280"/>
        <w:gridCol w:w="1114"/>
        <w:gridCol w:w="936"/>
        <w:gridCol w:w="4128"/>
      </w:tblGrid>
      <w:tr w:rsidR="00854ADA" w:rsidRPr="00FF386D" w14:paraId="47BFAF10" w14:textId="77777777" w:rsidTr="0057310C">
        <w:trPr>
          <w:trHeight w:val="780"/>
        </w:trPr>
        <w:tc>
          <w:tcPr>
            <w:tcW w:w="3280"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78D2BA5E"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1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4744AE32"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МП_Д9</w:t>
            </w:r>
          </w:p>
        </w:tc>
        <w:tc>
          <w:tcPr>
            <w:tcW w:w="936" w:type="dxa"/>
            <w:tcBorders>
              <w:top w:val="single" w:sz="8" w:space="0" w:color="auto"/>
              <w:left w:val="nil"/>
              <w:bottom w:val="single" w:sz="8" w:space="0" w:color="auto"/>
              <w:right w:val="single" w:sz="8" w:space="0" w:color="auto"/>
            </w:tcBorders>
            <w:shd w:val="clear" w:color="000000" w:fill="244062"/>
            <w:vAlign w:val="center"/>
            <w:hideMark/>
          </w:tcPr>
          <w:p w14:paraId="30DB8C5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28" w:type="dxa"/>
            <w:tcBorders>
              <w:top w:val="single" w:sz="8" w:space="0" w:color="auto"/>
              <w:left w:val="nil"/>
              <w:bottom w:val="single" w:sz="8" w:space="0" w:color="auto"/>
              <w:right w:val="single" w:sz="8" w:space="0" w:color="auto"/>
            </w:tcBorders>
            <w:shd w:val="clear" w:color="auto" w:fill="E7E6E6" w:themeFill="background2"/>
            <w:vAlign w:val="center"/>
            <w:hideMark/>
          </w:tcPr>
          <w:p w14:paraId="71A450E1" w14:textId="6AE69C6F"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Повећање површин</w:t>
            </w:r>
            <w:r w:rsidR="00445281" w:rsidRPr="000A2AFE">
              <w:rPr>
                <w:rFonts w:ascii="Calibri Light" w:eastAsia="Times New Roman" w:hAnsi="Calibri Light" w:cs="Calibri Light"/>
                <w:b/>
                <w:bCs/>
                <w:color w:val="000000"/>
                <w:sz w:val="20"/>
                <w:szCs w:val="20"/>
                <w:lang w:eastAsia="en-GB"/>
              </w:rPr>
              <w:t>е</w:t>
            </w:r>
            <w:r w:rsidR="007A3CF2" w:rsidRPr="000A2AFE">
              <w:rPr>
                <w:rFonts w:ascii="Calibri Light" w:eastAsia="Times New Roman" w:hAnsi="Calibri Light" w:cs="Calibri Light"/>
                <w:b/>
                <w:bCs/>
                <w:color w:val="000000"/>
                <w:sz w:val="20"/>
                <w:szCs w:val="20"/>
                <w:lang w:eastAsia="en-GB"/>
              </w:rPr>
              <w:t xml:space="preserve"> са засађеним</w:t>
            </w:r>
            <w:r w:rsidRPr="000A2AFE">
              <w:rPr>
                <w:rFonts w:ascii="Calibri Light" w:eastAsia="Times New Roman" w:hAnsi="Calibri Light" w:cs="Calibri Light"/>
                <w:b/>
                <w:bCs/>
                <w:color w:val="000000"/>
                <w:sz w:val="20"/>
                <w:szCs w:val="20"/>
                <w:lang w:eastAsia="en-GB"/>
              </w:rPr>
              <w:t xml:space="preserve"> дрвећем (</w:t>
            </w:r>
            <w:r w:rsidR="00B13368">
              <w:rPr>
                <w:rFonts w:ascii="Calibri Light" w:eastAsia="Times New Roman" w:hAnsi="Calibri Light" w:cs="Calibri Light"/>
                <w:b/>
                <w:bCs/>
                <w:color w:val="000000"/>
                <w:sz w:val="20"/>
                <w:szCs w:val="20"/>
                <w:lang w:eastAsia="en-GB"/>
              </w:rPr>
              <w:t xml:space="preserve"> </w:t>
            </w:r>
            <w:r w:rsidR="00EB578C">
              <w:rPr>
                <w:rFonts w:ascii="Calibri Light" w:eastAsia="Times New Roman" w:hAnsi="Calibri Light" w:cs="Calibri Light"/>
                <w:b/>
                <w:bCs/>
                <w:color w:val="000000"/>
                <w:sz w:val="20"/>
                <w:szCs w:val="20"/>
                <w:lang w:eastAsia="en-GB"/>
              </w:rPr>
              <w:t>мање шумске површине</w:t>
            </w:r>
            <w:r w:rsidRPr="000A2AFE">
              <w:rPr>
                <w:rFonts w:ascii="Calibri Light" w:eastAsia="Times New Roman" w:hAnsi="Calibri Light" w:cs="Calibri Light"/>
                <w:b/>
                <w:bCs/>
                <w:color w:val="000000"/>
                <w:sz w:val="20"/>
                <w:szCs w:val="20"/>
                <w:lang w:eastAsia="en-GB"/>
              </w:rPr>
              <w:t>/ паркови / зелени кровови</w:t>
            </w:r>
            <w:r w:rsidR="003162C1">
              <w:rPr>
                <w:rFonts w:ascii="Calibri Light" w:eastAsia="Times New Roman" w:hAnsi="Calibri Light" w:cs="Calibri Light"/>
                <w:b/>
                <w:bCs/>
                <w:color w:val="000000"/>
                <w:sz w:val="20"/>
                <w:szCs w:val="20"/>
                <w:lang w:eastAsia="en-GB"/>
              </w:rPr>
              <w:t xml:space="preserve">, санитарне заштитне зоне око рудника и индустријских објеката, </w:t>
            </w:r>
            <w:r w:rsidR="00DC7CC8">
              <w:rPr>
                <w:rFonts w:ascii="Calibri Light" w:eastAsia="Times New Roman" w:hAnsi="Calibri Light" w:cs="Calibri Light"/>
                <w:b/>
                <w:bCs/>
                <w:color w:val="000000"/>
                <w:sz w:val="20"/>
                <w:szCs w:val="20"/>
                <w:lang w:eastAsia="en-GB"/>
              </w:rPr>
              <w:t>појасеви за заштиту од ветра и зелене зоне дуж аутопутева</w:t>
            </w:r>
            <w:r w:rsidRPr="000A2AFE">
              <w:rPr>
                <w:rFonts w:ascii="Calibri Light" w:eastAsia="Times New Roman" w:hAnsi="Calibri Light" w:cs="Calibri Light"/>
                <w:b/>
                <w:bCs/>
                <w:color w:val="000000"/>
                <w:sz w:val="20"/>
                <w:szCs w:val="20"/>
                <w:lang w:eastAsia="en-GB"/>
              </w:rPr>
              <w:t>)</w:t>
            </w:r>
          </w:p>
        </w:tc>
      </w:tr>
      <w:tr w:rsidR="00854ADA" w:rsidRPr="00FF386D" w14:paraId="5011D1E1" w14:textId="77777777" w:rsidTr="0057310C">
        <w:trPr>
          <w:trHeight w:val="395"/>
        </w:trPr>
        <w:tc>
          <w:tcPr>
            <w:tcW w:w="3280" w:type="dxa"/>
            <w:tcBorders>
              <w:top w:val="nil"/>
              <w:left w:val="single" w:sz="8" w:space="0" w:color="auto"/>
              <w:bottom w:val="single" w:sz="8" w:space="0" w:color="auto"/>
              <w:right w:val="nil"/>
            </w:tcBorders>
            <w:shd w:val="clear" w:color="000000" w:fill="244062"/>
            <w:vAlign w:val="center"/>
            <w:hideMark/>
          </w:tcPr>
          <w:p w14:paraId="1FABE53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78" w:type="dxa"/>
            <w:gridSpan w:val="3"/>
            <w:tcBorders>
              <w:top w:val="single" w:sz="8" w:space="0" w:color="auto"/>
              <w:left w:val="nil"/>
              <w:bottom w:val="single" w:sz="8" w:space="0" w:color="auto"/>
              <w:right w:val="single" w:sz="8" w:space="0" w:color="000000"/>
            </w:tcBorders>
            <w:shd w:val="clear" w:color="auto" w:fill="auto"/>
            <w:vAlign w:val="center"/>
            <w:hideMark/>
          </w:tcPr>
          <w:p w14:paraId="20860245"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Смањење емисија угљеника</w:t>
            </w:r>
          </w:p>
        </w:tc>
      </w:tr>
      <w:tr w:rsidR="00854ADA" w:rsidRPr="00FF386D" w14:paraId="15B36E69" w14:textId="77777777" w:rsidTr="0057310C">
        <w:trPr>
          <w:trHeight w:val="315"/>
        </w:trPr>
        <w:tc>
          <w:tcPr>
            <w:tcW w:w="3280" w:type="dxa"/>
            <w:tcBorders>
              <w:top w:val="nil"/>
              <w:left w:val="single" w:sz="8" w:space="0" w:color="auto"/>
              <w:bottom w:val="single" w:sz="8" w:space="0" w:color="auto"/>
              <w:right w:val="single" w:sz="8" w:space="0" w:color="auto"/>
            </w:tcBorders>
            <w:shd w:val="clear" w:color="000000" w:fill="244062"/>
            <w:vAlign w:val="center"/>
            <w:hideMark/>
          </w:tcPr>
          <w:p w14:paraId="56AD832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78" w:type="dxa"/>
            <w:gridSpan w:val="3"/>
            <w:tcBorders>
              <w:top w:val="single" w:sz="8" w:space="0" w:color="auto"/>
              <w:left w:val="nil"/>
              <w:bottom w:val="single" w:sz="8" w:space="0" w:color="auto"/>
              <w:right w:val="single" w:sz="8" w:space="0" w:color="000000"/>
            </w:tcBorders>
            <w:shd w:val="clear" w:color="auto" w:fill="auto"/>
            <w:vAlign w:val="center"/>
            <w:hideMark/>
          </w:tcPr>
          <w:p w14:paraId="598D1D8C" w14:textId="68487191"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p>
        </w:tc>
      </w:tr>
      <w:tr w:rsidR="00854ADA" w:rsidRPr="00FF386D" w14:paraId="61E4C550" w14:textId="77777777" w:rsidTr="0057310C">
        <w:trPr>
          <w:trHeight w:val="916"/>
        </w:trPr>
        <w:tc>
          <w:tcPr>
            <w:tcW w:w="3280" w:type="dxa"/>
            <w:tcBorders>
              <w:top w:val="nil"/>
              <w:left w:val="single" w:sz="8" w:space="0" w:color="auto"/>
              <w:bottom w:val="single" w:sz="8" w:space="0" w:color="auto"/>
              <w:right w:val="single" w:sz="8" w:space="0" w:color="auto"/>
            </w:tcBorders>
            <w:shd w:val="clear" w:color="000000" w:fill="244062"/>
            <w:vAlign w:val="center"/>
            <w:hideMark/>
          </w:tcPr>
          <w:p w14:paraId="1F9F70D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78" w:type="dxa"/>
            <w:gridSpan w:val="3"/>
            <w:tcBorders>
              <w:top w:val="single" w:sz="8" w:space="0" w:color="auto"/>
              <w:left w:val="nil"/>
              <w:bottom w:val="single" w:sz="8" w:space="0" w:color="auto"/>
              <w:right w:val="single" w:sz="8" w:space="0" w:color="000000"/>
            </w:tcBorders>
            <w:shd w:val="clear" w:color="auto" w:fill="auto"/>
            <w:vAlign w:val="center"/>
            <w:hideMark/>
          </w:tcPr>
          <w:p w14:paraId="42B98309" w14:textId="489C2115" w:rsidR="00854ADA" w:rsidRPr="000A2AFE"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МП_Д9 ће промовисати повећање површин</w:t>
            </w:r>
            <w:r w:rsidR="00534E3D"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w:t>
            </w:r>
            <w:r w:rsidR="007A3CF2" w:rsidRPr="000A2AFE">
              <w:rPr>
                <w:rFonts w:ascii="Calibri Light" w:eastAsia="Times New Roman" w:hAnsi="Calibri Light" w:cs="Calibri Light"/>
                <w:color w:val="000000"/>
                <w:sz w:val="20"/>
                <w:szCs w:val="20"/>
                <w:lang w:eastAsia="en-GB"/>
              </w:rPr>
              <w:t>са засађеним</w:t>
            </w:r>
            <w:r w:rsidRPr="000A2AFE">
              <w:rPr>
                <w:rFonts w:ascii="Calibri Light" w:eastAsia="Times New Roman" w:hAnsi="Calibri Light" w:cs="Calibri Light"/>
                <w:color w:val="000000"/>
                <w:sz w:val="20"/>
                <w:szCs w:val="20"/>
                <w:lang w:eastAsia="en-GB"/>
              </w:rPr>
              <w:t xml:space="preserve"> дрвећем у земљи, укључујући </w:t>
            </w:r>
            <w:r w:rsidR="00EB578C">
              <w:rPr>
                <w:rFonts w:ascii="Calibri Light" w:eastAsia="Times New Roman" w:hAnsi="Calibri Light" w:cs="Calibri Light"/>
                <w:color w:val="000000"/>
                <w:sz w:val="20"/>
                <w:szCs w:val="20"/>
                <w:lang w:eastAsia="en-GB"/>
              </w:rPr>
              <w:t>мање шумске површине</w:t>
            </w:r>
            <w:r w:rsidRPr="000A2AFE">
              <w:rPr>
                <w:rFonts w:ascii="Calibri Light" w:eastAsia="Times New Roman" w:hAnsi="Calibri Light" w:cs="Calibri Light"/>
                <w:color w:val="000000"/>
                <w:sz w:val="20"/>
                <w:szCs w:val="20"/>
                <w:lang w:eastAsia="en-GB"/>
              </w:rPr>
              <w:t>, паркове</w:t>
            </w:r>
            <w:r w:rsidR="00EB578C">
              <w:rPr>
                <w:rFonts w:ascii="Calibri Light" w:eastAsia="Times New Roman" w:hAnsi="Calibri Light" w:cs="Calibri Light"/>
                <w:color w:val="000000"/>
                <w:sz w:val="20"/>
                <w:szCs w:val="20"/>
                <w:lang w:eastAsia="en-GB"/>
              </w:rPr>
              <w:t>,</w:t>
            </w:r>
            <w:r w:rsidRPr="000A2AFE">
              <w:rPr>
                <w:rFonts w:ascii="Calibri Light" w:eastAsia="Times New Roman" w:hAnsi="Calibri Light" w:cs="Calibri Light"/>
                <w:color w:val="000000"/>
                <w:sz w:val="20"/>
                <w:szCs w:val="20"/>
                <w:lang w:eastAsia="en-GB"/>
              </w:rPr>
              <w:t xml:space="preserve"> зелене кровове</w:t>
            </w:r>
            <w:r w:rsidR="00EB578C">
              <w:rPr>
                <w:rFonts w:ascii="Calibri Light" w:eastAsia="Times New Roman" w:hAnsi="Calibri Light" w:cs="Calibri Light"/>
                <w:color w:val="000000"/>
                <w:sz w:val="20"/>
                <w:szCs w:val="20"/>
                <w:lang w:eastAsia="en-GB"/>
              </w:rPr>
              <w:t>, санитарне заштитне зоне око рудника и индустријских објеката, појасеве за заштиту од ветра и зелене зоне дуж аутопутева</w:t>
            </w:r>
            <w:r w:rsidRPr="000A2AFE">
              <w:rPr>
                <w:rFonts w:ascii="Calibri Light" w:eastAsia="Times New Roman" w:hAnsi="Calibri Light" w:cs="Calibri Light"/>
                <w:color w:val="000000"/>
                <w:sz w:val="20"/>
                <w:szCs w:val="20"/>
                <w:lang w:eastAsia="en-GB"/>
              </w:rPr>
              <w:t>. Ов</w:t>
            </w:r>
            <w:r w:rsidR="007A3CF2" w:rsidRPr="000A2AFE">
              <w:rPr>
                <w:rFonts w:ascii="Calibri Light" w:eastAsia="Times New Roman" w:hAnsi="Calibri Light" w:cs="Calibri Light"/>
                <w:color w:val="000000"/>
                <w:sz w:val="20"/>
                <w:szCs w:val="20"/>
                <w:lang w:eastAsia="en-GB"/>
              </w:rPr>
              <w:t>а мера</w:t>
            </w:r>
            <w:r w:rsidRPr="000A2AFE">
              <w:rPr>
                <w:rFonts w:ascii="Calibri Light" w:eastAsia="Times New Roman" w:hAnsi="Calibri Light" w:cs="Calibri Light"/>
                <w:color w:val="000000"/>
                <w:sz w:val="20"/>
                <w:szCs w:val="20"/>
                <w:lang w:eastAsia="en-GB"/>
              </w:rPr>
              <w:t xml:space="preserve"> се може спровести по</w:t>
            </w:r>
            <w:r w:rsidR="00534E3D" w:rsidRPr="000A2AFE">
              <w:rPr>
                <w:rFonts w:ascii="Calibri Light" w:eastAsia="Times New Roman" w:hAnsi="Calibri Light" w:cs="Calibri Light"/>
                <w:color w:val="000000"/>
                <w:sz w:val="20"/>
                <w:szCs w:val="20"/>
                <w:lang w:eastAsia="en-GB"/>
              </w:rPr>
              <w:t>кретањем</w:t>
            </w:r>
            <w:r w:rsidRPr="000A2AFE">
              <w:rPr>
                <w:rFonts w:ascii="Calibri Light" w:eastAsia="Times New Roman" w:hAnsi="Calibri Light" w:cs="Calibri Light"/>
                <w:color w:val="000000"/>
                <w:sz w:val="20"/>
                <w:szCs w:val="20"/>
                <w:lang w:eastAsia="en-GB"/>
              </w:rPr>
              <w:t xml:space="preserve"> </w:t>
            </w:r>
            <w:r w:rsidR="007A3CF2" w:rsidRPr="000A2AFE">
              <w:rPr>
                <w:rFonts w:ascii="Calibri Light" w:eastAsia="Times New Roman" w:hAnsi="Calibri Light" w:cs="Calibri Light"/>
                <w:color w:val="000000"/>
                <w:sz w:val="20"/>
                <w:szCs w:val="20"/>
                <w:lang w:eastAsia="en-GB"/>
              </w:rPr>
              <w:t>низа</w:t>
            </w:r>
            <w:r w:rsidR="00534E3D" w:rsidRPr="000A2AFE">
              <w:rPr>
                <w:rFonts w:ascii="Calibri Light" w:eastAsia="Times New Roman" w:hAnsi="Calibri Light" w:cs="Calibri Light"/>
                <w:color w:val="000000"/>
                <w:sz w:val="20"/>
                <w:szCs w:val="20"/>
                <w:lang w:eastAsia="en-GB"/>
              </w:rPr>
              <w:t xml:space="preserve"> одговарајућих</w:t>
            </w:r>
            <w:r w:rsidRPr="000A2AFE">
              <w:rPr>
                <w:rFonts w:ascii="Calibri Light" w:eastAsia="Times New Roman" w:hAnsi="Calibri Light" w:cs="Calibri Light"/>
                <w:color w:val="000000"/>
                <w:sz w:val="20"/>
                <w:szCs w:val="20"/>
                <w:lang w:eastAsia="en-GB"/>
              </w:rPr>
              <w:t xml:space="preserve"> иницијатива и кампања </w:t>
            </w:r>
            <w:r w:rsidR="005D349F" w:rsidRPr="000A2AFE">
              <w:rPr>
                <w:rFonts w:ascii="Calibri Light" w:eastAsia="Times New Roman" w:hAnsi="Calibri Light" w:cs="Calibri Light"/>
                <w:color w:val="000000"/>
                <w:sz w:val="20"/>
                <w:szCs w:val="20"/>
                <w:lang w:eastAsia="en-GB"/>
              </w:rPr>
              <w:t xml:space="preserve">за </w:t>
            </w:r>
            <w:r w:rsidR="00534E3D" w:rsidRPr="000A2AFE">
              <w:rPr>
                <w:rFonts w:ascii="Calibri Light" w:eastAsia="Times New Roman" w:hAnsi="Calibri Light" w:cs="Calibri Light"/>
                <w:color w:val="000000"/>
                <w:sz w:val="20"/>
                <w:szCs w:val="20"/>
                <w:lang w:eastAsia="en-GB"/>
              </w:rPr>
              <w:t>информи</w:t>
            </w:r>
            <w:r w:rsidR="007A3CF2" w:rsidRPr="000A2AFE">
              <w:rPr>
                <w:rFonts w:ascii="Calibri Light" w:eastAsia="Times New Roman" w:hAnsi="Calibri Light" w:cs="Calibri Light"/>
                <w:color w:val="000000"/>
                <w:sz w:val="20"/>
                <w:szCs w:val="20"/>
                <w:lang w:eastAsia="en-GB"/>
              </w:rPr>
              <w:t>са</w:t>
            </w:r>
            <w:r w:rsidR="005D349F" w:rsidRPr="000A2AFE">
              <w:rPr>
                <w:rFonts w:ascii="Calibri Light" w:eastAsia="Times New Roman" w:hAnsi="Calibri Light" w:cs="Calibri Light"/>
                <w:color w:val="000000"/>
                <w:sz w:val="20"/>
                <w:szCs w:val="20"/>
                <w:lang w:eastAsia="en-GB"/>
              </w:rPr>
              <w:t>ње јавности</w:t>
            </w:r>
            <w:r w:rsidR="00534E3D" w:rsidRPr="000A2AFE">
              <w:rPr>
                <w:rFonts w:ascii="Calibri Light" w:eastAsia="Times New Roman" w:hAnsi="Calibri Light" w:cs="Calibri Light"/>
                <w:color w:val="000000"/>
                <w:sz w:val="20"/>
                <w:szCs w:val="20"/>
                <w:lang w:eastAsia="en-GB"/>
              </w:rPr>
              <w:t xml:space="preserve"> о </w:t>
            </w:r>
            <w:r w:rsidR="005D349F" w:rsidRPr="000A2AFE">
              <w:rPr>
                <w:rFonts w:ascii="Calibri Light" w:eastAsia="Times New Roman" w:hAnsi="Calibri Light" w:cs="Calibri Light"/>
                <w:color w:val="000000"/>
                <w:sz w:val="20"/>
                <w:szCs w:val="20"/>
                <w:lang w:eastAsia="en-GB"/>
              </w:rPr>
              <w:t>користима</w:t>
            </w:r>
            <w:r w:rsidR="00534E3D" w:rsidRPr="000A2AFE">
              <w:rPr>
                <w:rFonts w:ascii="Calibri Light" w:eastAsia="Times New Roman" w:hAnsi="Calibri Light" w:cs="Calibri Light"/>
                <w:color w:val="000000"/>
                <w:sz w:val="20"/>
                <w:szCs w:val="20"/>
                <w:lang w:eastAsia="en-GB"/>
              </w:rPr>
              <w:t xml:space="preserve"> </w:t>
            </w:r>
            <w:r w:rsidR="007A3CF2" w:rsidRPr="000A2AFE">
              <w:rPr>
                <w:rFonts w:ascii="Calibri Light" w:eastAsia="Times New Roman" w:hAnsi="Calibri Light" w:cs="Calibri Light"/>
                <w:color w:val="000000"/>
                <w:sz w:val="20"/>
                <w:szCs w:val="20"/>
                <w:lang w:eastAsia="en-GB"/>
              </w:rPr>
              <w:t xml:space="preserve">од смањења емисија </w:t>
            </w:r>
            <w:r w:rsidR="007A3CF2" w:rsidRPr="000A2AFE">
              <w:rPr>
                <w:rFonts w:ascii="Calibri Light" w:eastAsia="Times New Roman" w:hAnsi="Calibri Light" w:cs="Calibri Light"/>
                <w:color w:val="000000"/>
                <w:sz w:val="20"/>
                <w:szCs w:val="20"/>
                <w:lang w:eastAsia="en-GB"/>
              </w:rPr>
              <w:lastRenderedPageBreak/>
              <w:t>CO</w:t>
            </w:r>
            <w:r w:rsidR="007A3CF2" w:rsidRPr="000A2AFE">
              <w:rPr>
                <w:rFonts w:ascii="Calibri Light" w:eastAsia="Times New Roman" w:hAnsi="Calibri Light" w:cs="Calibri Light"/>
                <w:color w:val="000000"/>
                <w:sz w:val="20"/>
                <w:szCs w:val="20"/>
                <w:vertAlign w:val="subscript"/>
                <w:lang w:eastAsia="en-GB"/>
              </w:rPr>
              <w:t xml:space="preserve">2 </w:t>
            </w:r>
            <w:r w:rsidR="00534E3D" w:rsidRPr="000A2AFE">
              <w:rPr>
                <w:rFonts w:ascii="Calibri Light" w:eastAsia="Times New Roman" w:hAnsi="Calibri Light" w:cs="Calibri Light"/>
                <w:color w:val="000000"/>
                <w:sz w:val="20"/>
                <w:szCs w:val="20"/>
                <w:lang w:eastAsia="en-GB"/>
              </w:rPr>
              <w:t>по</w:t>
            </w:r>
            <w:r w:rsidRPr="000A2AFE">
              <w:rPr>
                <w:rFonts w:ascii="Calibri Light" w:eastAsia="Times New Roman" w:hAnsi="Calibri Light" w:cs="Calibri Light"/>
                <w:color w:val="000000"/>
                <w:sz w:val="20"/>
                <w:szCs w:val="20"/>
                <w:lang w:eastAsia="en-GB"/>
              </w:rPr>
              <w:t xml:space="preserve"> животну средину, као и пр</w:t>
            </w:r>
            <w:r w:rsidR="00534E3D" w:rsidRPr="000A2AFE">
              <w:rPr>
                <w:rFonts w:ascii="Calibri Light" w:eastAsia="Times New Roman" w:hAnsi="Calibri Light" w:cs="Calibri Light"/>
                <w:color w:val="000000"/>
                <w:sz w:val="20"/>
                <w:szCs w:val="20"/>
                <w:lang w:eastAsia="en-GB"/>
              </w:rPr>
              <w:t>именом</w:t>
            </w:r>
            <w:r w:rsidRPr="000A2AFE">
              <w:rPr>
                <w:rFonts w:ascii="Calibri Light" w:eastAsia="Times New Roman" w:hAnsi="Calibri Light" w:cs="Calibri Light"/>
                <w:color w:val="000000"/>
                <w:sz w:val="20"/>
                <w:szCs w:val="20"/>
                <w:lang w:eastAsia="en-GB"/>
              </w:rPr>
              <w:t xml:space="preserve"> финансијских подстицаја. </w:t>
            </w:r>
            <w:r w:rsidR="002C7475">
              <w:rPr>
                <w:rFonts w:ascii="Calibri Light" w:eastAsia="Times New Roman" w:hAnsi="Calibri Light" w:cs="Calibri Light"/>
                <w:color w:val="000000"/>
                <w:sz w:val="20"/>
                <w:szCs w:val="20"/>
                <w:lang w:eastAsia="en-GB"/>
              </w:rPr>
              <w:t>Биће размотрено п</w:t>
            </w:r>
            <w:r w:rsidR="00EB578C">
              <w:rPr>
                <w:rFonts w:ascii="Calibri Light" w:eastAsia="Times New Roman" w:hAnsi="Calibri Light" w:cs="Calibri Light"/>
                <w:color w:val="000000"/>
                <w:sz w:val="20"/>
                <w:szCs w:val="20"/>
                <w:lang w:eastAsia="en-GB"/>
              </w:rPr>
              <w:t xml:space="preserve">отенцијално увођење законске обавезе за инвеститоре </w:t>
            </w:r>
            <w:r w:rsidR="002C7475">
              <w:rPr>
                <w:rFonts w:ascii="Calibri Light" w:eastAsia="Times New Roman" w:hAnsi="Calibri Light" w:cs="Calibri Light"/>
                <w:color w:val="000000"/>
                <w:sz w:val="20"/>
                <w:szCs w:val="20"/>
                <w:lang w:eastAsia="en-GB"/>
              </w:rPr>
              <w:t>с циљем да се регенеришу</w:t>
            </w:r>
            <w:r w:rsidR="00EB578C">
              <w:rPr>
                <w:rFonts w:ascii="Calibri Light" w:eastAsia="Times New Roman" w:hAnsi="Calibri Light" w:cs="Calibri Light"/>
                <w:color w:val="000000"/>
                <w:sz w:val="20"/>
                <w:szCs w:val="20"/>
                <w:lang w:eastAsia="en-GB"/>
              </w:rPr>
              <w:t xml:space="preserve"> зелене области. </w:t>
            </w:r>
            <w:r w:rsidR="002C7475">
              <w:rPr>
                <w:rFonts w:ascii="Calibri Light" w:eastAsia="Times New Roman" w:hAnsi="Calibri Light" w:cs="Calibri Light"/>
                <w:color w:val="000000"/>
                <w:sz w:val="20"/>
                <w:szCs w:val="20"/>
                <w:lang w:eastAsia="en-GB"/>
              </w:rPr>
              <w:t>И</w:t>
            </w:r>
            <w:r w:rsidR="00EB578C">
              <w:rPr>
                <w:rFonts w:ascii="Calibri Light" w:eastAsia="Times New Roman" w:hAnsi="Calibri Light" w:cs="Calibri Light"/>
                <w:color w:val="000000"/>
                <w:sz w:val="20"/>
                <w:szCs w:val="20"/>
                <w:lang w:eastAsia="en-GB"/>
              </w:rPr>
              <w:t>зградња санитарних зона и појасева за заштиту од ветра око рудника</w:t>
            </w:r>
            <w:r w:rsidR="002C7475">
              <w:rPr>
                <w:rFonts w:ascii="Calibri Light" w:eastAsia="Times New Roman" w:hAnsi="Calibri Light" w:cs="Calibri Light"/>
                <w:color w:val="000000"/>
                <w:sz w:val="20"/>
                <w:szCs w:val="20"/>
                <w:lang w:eastAsia="en-GB"/>
              </w:rPr>
              <w:t xml:space="preserve">, </w:t>
            </w:r>
            <w:r w:rsidR="00EB578C">
              <w:rPr>
                <w:rFonts w:ascii="Calibri Light" w:eastAsia="Times New Roman" w:hAnsi="Calibri Light" w:cs="Calibri Light"/>
                <w:color w:val="000000"/>
                <w:sz w:val="20"/>
                <w:szCs w:val="20"/>
                <w:lang w:eastAsia="en-GB"/>
              </w:rPr>
              <w:t xml:space="preserve">индустријских објеката који спадају у значајне емитере </w:t>
            </w:r>
            <w:r w:rsidR="002C7475">
              <w:rPr>
                <w:rFonts w:ascii="Calibri Light" w:eastAsia="Times New Roman" w:hAnsi="Calibri Light" w:cs="Calibri Light"/>
                <w:color w:val="000000"/>
                <w:sz w:val="20"/>
                <w:szCs w:val="20"/>
                <w:lang w:eastAsia="en-GB"/>
              </w:rPr>
              <w:t xml:space="preserve">отпадних гасова и дуж аутопутева и саобраћајница, од великог је значаја за </w:t>
            </w:r>
            <w:r w:rsidR="002C7475" w:rsidRPr="002C7475">
              <w:rPr>
                <w:rFonts w:ascii="Calibri Light" w:eastAsia="Times New Roman" w:hAnsi="Calibri Light" w:cs="Calibri Light"/>
                <w:color w:val="000000"/>
                <w:sz w:val="20"/>
                <w:szCs w:val="20"/>
                <w:lang w:eastAsia="en-GB"/>
              </w:rPr>
              <w:t>прилагођавање на промене климе</w:t>
            </w:r>
            <w:r w:rsidR="002C7475">
              <w:rPr>
                <w:rFonts w:ascii="Calibri Light" w:eastAsia="Times New Roman" w:hAnsi="Calibri Light" w:cs="Calibri Light"/>
                <w:color w:val="000000"/>
                <w:sz w:val="20"/>
                <w:szCs w:val="20"/>
                <w:lang w:eastAsia="en-GB"/>
              </w:rPr>
              <w:t>.</w:t>
            </w:r>
          </w:p>
        </w:tc>
      </w:tr>
      <w:tr w:rsidR="00854ADA" w:rsidRPr="00FF386D" w14:paraId="0F8B012C" w14:textId="77777777" w:rsidTr="0057310C">
        <w:trPr>
          <w:trHeight w:val="315"/>
        </w:trPr>
        <w:tc>
          <w:tcPr>
            <w:tcW w:w="3280" w:type="dxa"/>
            <w:tcBorders>
              <w:top w:val="nil"/>
              <w:left w:val="single" w:sz="8" w:space="0" w:color="auto"/>
              <w:bottom w:val="single" w:sz="8" w:space="0" w:color="auto"/>
              <w:right w:val="single" w:sz="8" w:space="0" w:color="auto"/>
            </w:tcBorders>
            <w:shd w:val="clear" w:color="000000" w:fill="244062"/>
            <w:vAlign w:val="center"/>
            <w:hideMark/>
          </w:tcPr>
          <w:p w14:paraId="20726E1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Временски оквир имплементације</w:t>
            </w:r>
          </w:p>
        </w:tc>
        <w:tc>
          <w:tcPr>
            <w:tcW w:w="6178" w:type="dxa"/>
            <w:gridSpan w:val="3"/>
            <w:tcBorders>
              <w:top w:val="single" w:sz="8" w:space="0" w:color="auto"/>
              <w:left w:val="nil"/>
              <w:bottom w:val="single" w:sz="8" w:space="0" w:color="auto"/>
              <w:right w:val="single" w:sz="8" w:space="0" w:color="000000"/>
            </w:tcBorders>
            <w:shd w:val="clear" w:color="auto" w:fill="auto"/>
            <w:vAlign w:val="center"/>
            <w:hideMark/>
          </w:tcPr>
          <w:p w14:paraId="60F76FDB" w14:textId="42DF7710"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202</w:t>
            </w:r>
            <w:r w:rsidR="00534E3D" w:rsidRPr="000A2AFE">
              <w:rPr>
                <w:rFonts w:ascii="Calibri Light" w:eastAsia="Times New Roman" w:hAnsi="Calibri Light" w:cs="Calibri Light"/>
                <w:color w:val="000000"/>
                <w:sz w:val="20"/>
                <w:szCs w:val="20"/>
                <w:lang w:eastAsia="en-GB"/>
              </w:rPr>
              <w:t>3</w:t>
            </w:r>
            <w:r w:rsidRPr="000A2AFE">
              <w:rPr>
                <w:rFonts w:ascii="Calibri Light" w:eastAsia="Times New Roman" w:hAnsi="Calibri Light" w:cs="Calibri Light"/>
                <w:color w:val="000000"/>
                <w:sz w:val="20"/>
                <w:szCs w:val="20"/>
                <w:lang w:eastAsia="en-GB"/>
              </w:rPr>
              <w:t>-2030.</w:t>
            </w:r>
          </w:p>
        </w:tc>
      </w:tr>
      <w:tr w:rsidR="00854ADA" w:rsidRPr="00FF386D" w14:paraId="2ABD7B19" w14:textId="77777777" w:rsidTr="0057310C">
        <w:trPr>
          <w:trHeight w:val="315"/>
        </w:trPr>
        <w:tc>
          <w:tcPr>
            <w:tcW w:w="3280" w:type="dxa"/>
            <w:tcBorders>
              <w:top w:val="nil"/>
              <w:left w:val="single" w:sz="8" w:space="0" w:color="auto"/>
              <w:bottom w:val="single" w:sz="8" w:space="0" w:color="auto"/>
              <w:right w:val="single" w:sz="8" w:space="0" w:color="auto"/>
            </w:tcBorders>
            <w:shd w:val="clear" w:color="000000" w:fill="244062"/>
            <w:vAlign w:val="center"/>
            <w:hideMark/>
          </w:tcPr>
          <w:p w14:paraId="62B8BBF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78" w:type="dxa"/>
            <w:gridSpan w:val="3"/>
            <w:tcBorders>
              <w:top w:val="single" w:sz="8" w:space="0" w:color="auto"/>
              <w:left w:val="nil"/>
              <w:bottom w:val="single" w:sz="8" w:space="0" w:color="auto"/>
              <w:right w:val="single" w:sz="8" w:space="0" w:color="000000"/>
            </w:tcBorders>
            <w:shd w:val="clear" w:color="auto" w:fill="auto"/>
            <w:vAlign w:val="center"/>
            <w:hideMark/>
          </w:tcPr>
          <w:p w14:paraId="640EE6EA" w14:textId="24BDA2CC"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Инвестиције</w:t>
            </w:r>
            <w:r w:rsidR="002C7475">
              <w:rPr>
                <w:rFonts w:asciiTheme="majorHAnsi" w:eastAsia="Times New Roman" w:hAnsiTheme="majorHAnsi" w:cstheme="majorHAnsi"/>
                <w:color w:val="000000"/>
                <w:sz w:val="20"/>
                <w:szCs w:val="20"/>
                <w:lang w:eastAsia="en-GB"/>
              </w:rPr>
              <w:t xml:space="preserve"> и реформа</w:t>
            </w:r>
          </w:p>
        </w:tc>
      </w:tr>
      <w:tr w:rsidR="00854ADA" w:rsidRPr="00FF386D" w14:paraId="5C1685EC" w14:textId="77777777" w:rsidTr="0057310C">
        <w:trPr>
          <w:trHeight w:val="315"/>
        </w:trPr>
        <w:tc>
          <w:tcPr>
            <w:tcW w:w="3280" w:type="dxa"/>
            <w:tcBorders>
              <w:top w:val="nil"/>
              <w:left w:val="single" w:sz="8" w:space="0" w:color="auto"/>
              <w:bottom w:val="single" w:sz="8" w:space="0" w:color="auto"/>
              <w:right w:val="single" w:sz="8" w:space="0" w:color="auto"/>
            </w:tcBorders>
            <w:shd w:val="clear" w:color="000000" w:fill="244062"/>
            <w:vAlign w:val="center"/>
            <w:hideMark/>
          </w:tcPr>
          <w:p w14:paraId="42282AA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78" w:type="dxa"/>
            <w:gridSpan w:val="3"/>
            <w:tcBorders>
              <w:top w:val="single" w:sz="8" w:space="0" w:color="auto"/>
              <w:left w:val="nil"/>
              <w:bottom w:val="single" w:sz="8" w:space="0" w:color="auto"/>
              <w:right w:val="single" w:sz="8" w:space="0" w:color="000000"/>
            </w:tcBorders>
            <w:shd w:val="clear" w:color="auto" w:fill="auto"/>
            <w:vAlign w:val="center"/>
            <w:hideMark/>
          </w:tcPr>
          <w:p w14:paraId="19F80CFA" w14:textId="2C6B9F7A"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Пољопривреда</w:t>
            </w:r>
            <w:r w:rsidR="004D4036">
              <w:rPr>
                <w:rFonts w:ascii="Calibri Light" w:eastAsia="Times New Roman" w:hAnsi="Calibri Light" w:cs="Calibri Light"/>
                <w:color w:val="000000"/>
                <w:sz w:val="20"/>
                <w:szCs w:val="20"/>
                <w:lang w:eastAsia="en-GB"/>
              </w:rPr>
              <w:t xml:space="preserve"> и </w:t>
            </w:r>
            <w:r w:rsidR="004D4036" w:rsidRPr="006171AE">
              <w:rPr>
                <w:rFonts w:ascii="Calibri Light" w:eastAsia="Times New Roman" w:hAnsi="Calibri Light" w:cs="Calibri Light"/>
                <w:i/>
                <w:iCs/>
                <w:color w:val="000000"/>
                <w:sz w:val="20"/>
                <w:szCs w:val="20"/>
                <w:lang w:val="en-US" w:eastAsia="en-GB"/>
              </w:rPr>
              <w:t>LULUCF</w:t>
            </w:r>
          </w:p>
        </w:tc>
      </w:tr>
      <w:tr w:rsidR="00854ADA" w:rsidRPr="00FF386D" w14:paraId="4D1C51E6" w14:textId="77777777" w:rsidTr="0057310C">
        <w:trPr>
          <w:trHeight w:val="315"/>
        </w:trPr>
        <w:tc>
          <w:tcPr>
            <w:tcW w:w="3280" w:type="dxa"/>
            <w:tcBorders>
              <w:top w:val="nil"/>
              <w:left w:val="single" w:sz="8" w:space="0" w:color="auto"/>
              <w:bottom w:val="single" w:sz="8" w:space="0" w:color="auto"/>
              <w:right w:val="single" w:sz="8" w:space="0" w:color="auto"/>
            </w:tcBorders>
            <w:shd w:val="clear" w:color="000000" w:fill="244062"/>
            <w:vAlign w:val="center"/>
            <w:hideMark/>
          </w:tcPr>
          <w:p w14:paraId="671C83E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78" w:type="dxa"/>
            <w:gridSpan w:val="3"/>
            <w:tcBorders>
              <w:top w:val="single" w:sz="8" w:space="0" w:color="auto"/>
              <w:left w:val="nil"/>
              <w:bottom w:val="single" w:sz="8" w:space="0" w:color="auto"/>
              <w:right w:val="single" w:sz="8" w:space="0" w:color="000000"/>
            </w:tcBorders>
            <w:shd w:val="clear" w:color="auto" w:fill="auto"/>
            <w:vAlign w:val="center"/>
            <w:hideMark/>
          </w:tcPr>
          <w:p w14:paraId="4BFE0918" w14:textId="77777777" w:rsidR="00854ADA" w:rsidRDefault="00854ADA" w:rsidP="00854ADA">
            <w:pPr>
              <w:numPr>
                <w:ilvl w:val="0"/>
                <w:numId w:val="211"/>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заштите животне средине</w:t>
            </w:r>
          </w:p>
          <w:p w14:paraId="3F304949" w14:textId="77777777" w:rsidR="009F4D23" w:rsidRPr="00FF386D" w:rsidRDefault="009F4D23" w:rsidP="009F4D23">
            <w:pPr>
              <w:numPr>
                <w:ilvl w:val="0"/>
                <w:numId w:val="211"/>
              </w:numPr>
              <w:spacing w:after="0" w:line="240" w:lineRule="auto"/>
              <w:contextualSpacing/>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Министарство пољопривреде, шумарства и водопривреде</w:t>
            </w:r>
          </w:p>
          <w:p w14:paraId="6BAFAA11" w14:textId="77777777" w:rsidR="00854ADA" w:rsidRPr="00FF386D" w:rsidRDefault="00854ADA" w:rsidP="00854ADA">
            <w:pPr>
              <w:numPr>
                <w:ilvl w:val="0"/>
                <w:numId w:val="211"/>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грађевинарства, саобраћаја и инфраструктуре</w:t>
            </w:r>
          </w:p>
        </w:tc>
      </w:tr>
      <w:tr w:rsidR="00854ADA" w:rsidRPr="00FF386D" w14:paraId="4AB97DA3" w14:textId="77777777" w:rsidTr="0057310C">
        <w:trPr>
          <w:trHeight w:val="315"/>
        </w:trPr>
        <w:tc>
          <w:tcPr>
            <w:tcW w:w="3280" w:type="dxa"/>
            <w:tcBorders>
              <w:top w:val="nil"/>
              <w:left w:val="single" w:sz="8" w:space="0" w:color="auto"/>
              <w:bottom w:val="single" w:sz="8" w:space="0" w:color="auto"/>
              <w:right w:val="nil"/>
            </w:tcBorders>
            <w:shd w:val="clear" w:color="000000" w:fill="244062"/>
            <w:vAlign w:val="center"/>
            <w:hideMark/>
          </w:tcPr>
          <w:p w14:paraId="527ECAF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78" w:type="dxa"/>
            <w:gridSpan w:val="3"/>
            <w:tcBorders>
              <w:top w:val="single" w:sz="8" w:space="0" w:color="auto"/>
              <w:left w:val="nil"/>
              <w:bottom w:val="single" w:sz="8" w:space="0" w:color="auto"/>
              <w:right w:val="single" w:sz="8" w:space="0" w:color="000000"/>
            </w:tcBorders>
            <w:shd w:val="clear" w:color="auto" w:fill="auto"/>
            <w:vAlign w:val="center"/>
            <w:hideMark/>
          </w:tcPr>
          <w:p w14:paraId="653DE4A2" w14:textId="77777777" w:rsidR="00854ADA" w:rsidRPr="00FF386D" w:rsidRDefault="00854ADA" w:rsidP="00854ADA">
            <w:pPr>
              <w:numPr>
                <w:ilvl w:val="0"/>
                <w:numId w:val="211"/>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заштите животне средине</w:t>
            </w:r>
          </w:p>
          <w:p w14:paraId="127918CF" w14:textId="77777777" w:rsidR="00854ADA" w:rsidRPr="00FF386D" w:rsidRDefault="00854ADA" w:rsidP="00057006">
            <w:pPr>
              <w:spacing w:after="0" w:line="240" w:lineRule="auto"/>
              <w:ind w:left="720"/>
              <w:contextualSpacing/>
              <w:rPr>
                <w:rFonts w:asciiTheme="majorHAnsi" w:eastAsia="Times New Roman" w:hAnsiTheme="majorHAnsi" w:cstheme="majorHAnsi"/>
                <w:color w:val="000000"/>
                <w:sz w:val="20"/>
                <w:szCs w:val="20"/>
                <w:lang w:eastAsia="en-GB"/>
              </w:rPr>
            </w:pPr>
          </w:p>
        </w:tc>
      </w:tr>
      <w:tr w:rsidR="00854ADA" w:rsidRPr="00FF386D" w14:paraId="60FCCA0E" w14:textId="77777777" w:rsidTr="0057310C">
        <w:trPr>
          <w:trHeight w:val="315"/>
        </w:trPr>
        <w:tc>
          <w:tcPr>
            <w:tcW w:w="3280" w:type="dxa"/>
            <w:tcBorders>
              <w:top w:val="nil"/>
              <w:left w:val="single" w:sz="8" w:space="0" w:color="auto"/>
              <w:bottom w:val="single" w:sz="8" w:space="0" w:color="auto"/>
              <w:right w:val="nil"/>
            </w:tcBorders>
            <w:shd w:val="clear" w:color="000000" w:fill="244062"/>
            <w:vAlign w:val="center"/>
            <w:hideMark/>
          </w:tcPr>
          <w:p w14:paraId="4915B82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78" w:type="dxa"/>
            <w:gridSpan w:val="3"/>
            <w:tcBorders>
              <w:top w:val="single" w:sz="8" w:space="0" w:color="auto"/>
              <w:left w:val="nil"/>
              <w:bottom w:val="single" w:sz="8" w:space="0" w:color="auto"/>
              <w:right w:val="single" w:sz="8" w:space="0" w:color="000000"/>
            </w:tcBorders>
            <w:shd w:val="clear" w:color="auto" w:fill="auto"/>
            <w:vAlign w:val="center"/>
            <w:hideMark/>
          </w:tcPr>
          <w:p w14:paraId="61464CCA" w14:textId="37D1CE15" w:rsidR="00854ADA" w:rsidRPr="000A2AFE" w:rsidRDefault="00854ADA" w:rsidP="000A2AFE">
            <w:pPr>
              <w:pStyle w:val="ListParagraph"/>
              <w:numPr>
                <w:ilvl w:val="0"/>
                <w:numId w:val="211"/>
              </w:numPr>
              <w:spacing w:after="0" w:line="240" w:lineRule="auto"/>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Број</w:t>
            </w:r>
            <w:r w:rsidR="000D57E3" w:rsidRPr="000A2AFE">
              <w:rPr>
                <w:rFonts w:ascii="Calibri Light" w:eastAsia="Times New Roman" w:hAnsi="Calibri Light" w:cs="Calibri Light"/>
                <w:color w:val="000000"/>
                <w:sz w:val="20"/>
                <w:szCs w:val="20"/>
                <w:lang w:eastAsia="en-GB"/>
              </w:rPr>
              <w:t xml:space="preserve"> мањих шумских површина</w:t>
            </w:r>
            <w:r w:rsidR="004D4036"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 xml:space="preserve">/ паркова / зелених кровова </w:t>
            </w:r>
            <w:r w:rsidR="00534E3D" w:rsidRPr="000A2AFE">
              <w:rPr>
                <w:rFonts w:ascii="Calibri Light" w:eastAsia="Times New Roman" w:hAnsi="Calibri Light" w:cs="Calibri Light"/>
                <w:color w:val="000000"/>
                <w:sz w:val="20"/>
                <w:szCs w:val="20"/>
                <w:lang w:eastAsia="en-GB"/>
              </w:rPr>
              <w:t xml:space="preserve">који се додају </w:t>
            </w:r>
            <w:r w:rsidRPr="000A2AFE">
              <w:rPr>
                <w:rFonts w:ascii="Calibri Light" w:eastAsia="Times New Roman" w:hAnsi="Calibri Light" w:cs="Calibri Light"/>
                <w:color w:val="000000"/>
                <w:sz w:val="20"/>
                <w:szCs w:val="20"/>
                <w:lang w:eastAsia="en-GB"/>
              </w:rPr>
              <w:t>на годишњој основи, смањење емисија(Gg CO2-eq)</w:t>
            </w:r>
          </w:p>
        </w:tc>
      </w:tr>
      <w:tr w:rsidR="00854ADA" w:rsidRPr="00FF386D" w14:paraId="366273DD" w14:textId="77777777" w:rsidTr="0057310C">
        <w:trPr>
          <w:trHeight w:val="301"/>
        </w:trPr>
        <w:tc>
          <w:tcPr>
            <w:tcW w:w="3280" w:type="dxa"/>
            <w:tcBorders>
              <w:top w:val="nil"/>
              <w:left w:val="single" w:sz="8" w:space="0" w:color="auto"/>
              <w:bottom w:val="single" w:sz="8" w:space="0" w:color="auto"/>
              <w:right w:val="single" w:sz="8" w:space="0" w:color="auto"/>
            </w:tcBorders>
            <w:shd w:val="clear" w:color="000000" w:fill="244062"/>
            <w:vAlign w:val="center"/>
            <w:hideMark/>
          </w:tcPr>
          <w:p w14:paraId="5CE071C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78" w:type="dxa"/>
            <w:gridSpan w:val="3"/>
            <w:tcBorders>
              <w:top w:val="single" w:sz="8" w:space="0" w:color="auto"/>
              <w:left w:val="nil"/>
              <w:bottom w:val="single" w:sz="8" w:space="0" w:color="auto"/>
              <w:right w:val="single" w:sz="8" w:space="0" w:color="000000"/>
            </w:tcBorders>
            <w:shd w:val="clear" w:color="auto" w:fill="auto"/>
            <w:vAlign w:val="center"/>
          </w:tcPr>
          <w:p w14:paraId="297987FB"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p>
        </w:tc>
      </w:tr>
      <w:tr w:rsidR="00854ADA" w:rsidRPr="00FF386D" w14:paraId="5F493F65" w14:textId="77777777" w:rsidTr="0057310C">
        <w:trPr>
          <w:trHeight w:val="450"/>
        </w:trPr>
        <w:tc>
          <w:tcPr>
            <w:tcW w:w="3280"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7A03AA4A" w14:textId="49CD9BE9"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78"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79A8E43F" w14:textId="06DBCF67" w:rsidR="00854ADA" w:rsidRPr="00FF386D" w:rsidRDefault="00854ADA" w:rsidP="00854ADA">
            <w:pPr>
              <w:numPr>
                <w:ilvl w:val="0"/>
                <w:numId w:val="107"/>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Уредба 2018/</w:t>
            </w:r>
            <w:r w:rsidR="004D4036" w:rsidRPr="004D4036">
              <w:rPr>
                <w:rFonts w:ascii="Calibri Light" w:eastAsia="Times New Roman" w:hAnsi="Calibri Light" w:cs="Calibri Light"/>
                <w:color w:val="000000"/>
                <w:sz w:val="20"/>
                <w:szCs w:val="20"/>
                <w:lang w:eastAsia="en-GB"/>
              </w:rPr>
              <w:t>1999</w:t>
            </w:r>
          </w:p>
        </w:tc>
      </w:tr>
      <w:tr w:rsidR="00854ADA" w:rsidRPr="00FF386D" w14:paraId="6A292787" w14:textId="77777777" w:rsidTr="0057310C">
        <w:trPr>
          <w:trHeight w:val="450"/>
        </w:trPr>
        <w:tc>
          <w:tcPr>
            <w:tcW w:w="3280" w:type="dxa"/>
            <w:vMerge/>
            <w:tcBorders>
              <w:top w:val="nil"/>
              <w:left w:val="single" w:sz="8" w:space="0" w:color="auto"/>
              <w:bottom w:val="single" w:sz="8" w:space="0" w:color="000000"/>
              <w:right w:val="single" w:sz="8" w:space="0" w:color="auto"/>
            </w:tcBorders>
            <w:vAlign w:val="center"/>
            <w:hideMark/>
          </w:tcPr>
          <w:p w14:paraId="1811DEE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78" w:type="dxa"/>
            <w:gridSpan w:val="3"/>
            <w:vMerge/>
            <w:tcBorders>
              <w:top w:val="single" w:sz="8" w:space="0" w:color="auto"/>
              <w:left w:val="single" w:sz="8" w:space="0" w:color="auto"/>
              <w:bottom w:val="single" w:sz="8" w:space="0" w:color="000000"/>
              <w:right w:val="single" w:sz="8" w:space="0" w:color="000000"/>
            </w:tcBorders>
            <w:vAlign w:val="center"/>
            <w:hideMark/>
          </w:tcPr>
          <w:p w14:paraId="00A2371E" w14:textId="77777777" w:rsidR="00854ADA" w:rsidRPr="00FF386D" w:rsidRDefault="00854ADA" w:rsidP="00854ADA">
            <w:pPr>
              <w:numPr>
                <w:ilvl w:val="0"/>
                <w:numId w:val="107"/>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7B057ADF" w14:textId="77777777" w:rsidTr="0057310C">
        <w:trPr>
          <w:trHeight w:val="450"/>
        </w:trPr>
        <w:tc>
          <w:tcPr>
            <w:tcW w:w="3280" w:type="dxa"/>
            <w:vMerge/>
            <w:tcBorders>
              <w:top w:val="nil"/>
              <w:left w:val="single" w:sz="8" w:space="0" w:color="auto"/>
              <w:bottom w:val="single" w:sz="8" w:space="0" w:color="000000"/>
              <w:right w:val="single" w:sz="8" w:space="0" w:color="auto"/>
            </w:tcBorders>
            <w:vAlign w:val="center"/>
            <w:hideMark/>
          </w:tcPr>
          <w:p w14:paraId="47DE57A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78" w:type="dxa"/>
            <w:gridSpan w:val="3"/>
            <w:vMerge/>
            <w:tcBorders>
              <w:top w:val="single" w:sz="8" w:space="0" w:color="auto"/>
              <w:left w:val="single" w:sz="8" w:space="0" w:color="auto"/>
              <w:bottom w:val="single" w:sz="8" w:space="0" w:color="000000"/>
              <w:right w:val="single" w:sz="8" w:space="0" w:color="000000"/>
            </w:tcBorders>
            <w:vAlign w:val="center"/>
            <w:hideMark/>
          </w:tcPr>
          <w:p w14:paraId="37D4D53E" w14:textId="77777777" w:rsidR="00854ADA" w:rsidRPr="00FF386D" w:rsidRDefault="00854ADA" w:rsidP="00854ADA">
            <w:pPr>
              <w:numPr>
                <w:ilvl w:val="0"/>
                <w:numId w:val="107"/>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076A61C6" w14:textId="77777777" w:rsidTr="0057310C">
        <w:trPr>
          <w:trHeight w:val="495"/>
        </w:trPr>
        <w:tc>
          <w:tcPr>
            <w:tcW w:w="3280" w:type="dxa"/>
            <w:tcBorders>
              <w:top w:val="nil"/>
              <w:left w:val="single" w:sz="8" w:space="0" w:color="auto"/>
              <w:bottom w:val="single" w:sz="8" w:space="0" w:color="auto"/>
              <w:right w:val="single" w:sz="8" w:space="0" w:color="auto"/>
            </w:tcBorders>
            <w:shd w:val="clear" w:color="000000" w:fill="244062"/>
            <w:vAlign w:val="center"/>
            <w:hideMark/>
          </w:tcPr>
          <w:p w14:paraId="1C47A49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78" w:type="dxa"/>
            <w:gridSpan w:val="3"/>
            <w:tcBorders>
              <w:top w:val="single" w:sz="8" w:space="0" w:color="auto"/>
              <w:left w:val="nil"/>
              <w:bottom w:val="single" w:sz="8" w:space="0" w:color="auto"/>
              <w:right w:val="single" w:sz="8" w:space="0" w:color="000000"/>
            </w:tcBorders>
            <w:shd w:val="clear" w:color="auto" w:fill="auto"/>
            <w:vAlign w:val="center"/>
            <w:hideMark/>
          </w:tcPr>
          <w:p w14:paraId="0381035B" w14:textId="3ECCB8C7" w:rsidR="00854ADA" w:rsidRPr="00FF386D" w:rsidRDefault="00DF7C5E" w:rsidP="00854ADA">
            <w:pPr>
              <w:numPr>
                <w:ilvl w:val="0"/>
                <w:numId w:val="168"/>
              </w:numPr>
              <w:spacing w:after="0" w:line="240" w:lineRule="auto"/>
              <w:contextualSpacing/>
              <w:jc w:val="both"/>
              <w:rPr>
                <w:rFonts w:asciiTheme="majorHAnsi" w:eastAsia="Times New Roman" w:hAnsiTheme="majorHAnsi" w:cstheme="majorHAnsi"/>
                <w:color w:val="000000"/>
                <w:sz w:val="20"/>
                <w:szCs w:val="20"/>
                <w:lang w:eastAsia="en-GB"/>
              </w:rPr>
            </w:pPr>
            <w:r w:rsidRPr="00DF7C5E">
              <w:rPr>
                <w:rFonts w:asciiTheme="majorHAnsi" w:eastAsia="Times New Roman" w:hAnsiTheme="majorHAnsi" w:cstheme="majorHAnsi"/>
                <w:color w:val="000000"/>
                <w:sz w:val="20"/>
                <w:szCs w:val="20"/>
                <w:lang w:eastAsia="en-GB"/>
              </w:rPr>
              <w:t>Стратегиј</w:t>
            </w:r>
            <w:r>
              <w:rPr>
                <w:rFonts w:asciiTheme="majorHAnsi" w:eastAsia="Times New Roman" w:hAnsiTheme="majorHAnsi" w:cstheme="majorHAnsi"/>
                <w:color w:val="000000"/>
                <w:sz w:val="20"/>
                <w:szCs w:val="20"/>
                <w:lang w:eastAsia="en-GB"/>
              </w:rPr>
              <w:t>а</w:t>
            </w:r>
            <w:r w:rsidRPr="00DF7C5E">
              <w:rPr>
                <w:rFonts w:asciiTheme="majorHAnsi" w:eastAsia="Times New Roman" w:hAnsiTheme="majorHAnsi" w:cstheme="majorHAnsi"/>
                <w:color w:val="000000"/>
                <w:sz w:val="20"/>
                <w:szCs w:val="20"/>
                <w:lang w:eastAsia="en-GB"/>
              </w:rPr>
              <w:t xml:space="preserve"> одрживог урбаног развоја Републике Србије до 2030. године</w:t>
            </w:r>
          </w:p>
        </w:tc>
      </w:tr>
      <w:tr w:rsidR="00854ADA" w:rsidRPr="00FF386D" w14:paraId="4EF23771" w14:textId="77777777" w:rsidTr="0057310C">
        <w:trPr>
          <w:trHeight w:val="315"/>
        </w:trPr>
        <w:tc>
          <w:tcPr>
            <w:tcW w:w="3280" w:type="dxa"/>
            <w:tcBorders>
              <w:top w:val="nil"/>
              <w:left w:val="single" w:sz="8" w:space="0" w:color="auto"/>
              <w:bottom w:val="single" w:sz="8" w:space="0" w:color="auto"/>
              <w:right w:val="single" w:sz="8" w:space="0" w:color="auto"/>
            </w:tcBorders>
            <w:shd w:val="clear" w:color="000000" w:fill="244062"/>
            <w:vAlign w:val="center"/>
            <w:hideMark/>
          </w:tcPr>
          <w:p w14:paraId="1735A6C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78" w:type="dxa"/>
            <w:gridSpan w:val="3"/>
            <w:tcBorders>
              <w:top w:val="single" w:sz="8" w:space="0" w:color="auto"/>
              <w:left w:val="nil"/>
              <w:bottom w:val="single" w:sz="8" w:space="0" w:color="auto"/>
              <w:right w:val="single" w:sz="8" w:space="0" w:color="000000"/>
            </w:tcBorders>
            <w:shd w:val="clear" w:color="auto" w:fill="auto"/>
            <w:vAlign w:val="center"/>
          </w:tcPr>
          <w:p w14:paraId="004AC19C"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6,5 милиона евра</w:t>
            </w:r>
          </w:p>
        </w:tc>
      </w:tr>
      <w:tr w:rsidR="00854ADA" w:rsidRPr="00FF386D" w14:paraId="78D2198A" w14:textId="77777777" w:rsidTr="0057310C">
        <w:trPr>
          <w:trHeight w:val="315"/>
        </w:trPr>
        <w:tc>
          <w:tcPr>
            <w:tcW w:w="3280" w:type="dxa"/>
            <w:tcBorders>
              <w:top w:val="nil"/>
              <w:left w:val="single" w:sz="8" w:space="0" w:color="auto"/>
              <w:bottom w:val="single" w:sz="8" w:space="0" w:color="auto"/>
              <w:right w:val="single" w:sz="8" w:space="0" w:color="auto"/>
            </w:tcBorders>
            <w:shd w:val="clear" w:color="000000" w:fill="244062"/>
            <w:vAlign w:val="center"/>
            <w:hideMark/>
          </w:tcPr>
          <w:p w14:paraId="3D45C59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78" w:type="dxa"/>
            <w:gridSpan w:val="3"/>
            <w:tcBorders>
              <w:top w:val="single" w:sz="8" w:space="0" w:color="auto"/>
              <w:left w:val="nil"/>
              <w:bottom w:val="single" w:sz="8" w:space="0" w:color="auto"/>
              <w:right w:val="single" w:sz="8" w:space="0" w:color="000000"/>
            </w:tcBorders>
            <w:shd w:val="clear" w:color="auto" w:fill="auto"/>
            <w:vAlign w:val="center"/>
          </w:tcPr>
          <w:p w14:paraId="38BAFEEA" w14:textId="677937FB"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534E3D" w:rsidRPr="00FF386D">
              <w:rPr>
                <w:rFonts w:asciiTheme="majorHAnsi" w:eastAsia="Times New Roman" w:hAnsiTheme="majorHAnsi" w:cstheme="majorHAnsi"/>
                <w:color w:val="000000"/>
                <w:sz w:val="20"/>
                <w:szCs w:val="20"/>
                <w:lang w:eastAsia="en-GB"/>
              </w:rPr>
              <w:t>ска средства</w:t>
            </w:r>
          </w:p>
        </w:tc>
      </w:tr>
    </w:tbl>
    <w:p w14:paraId="2F2ACEBA"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270"/>
        <w:gridCol w:w="1114"/>
        <w:gridCol w:w="935"/>
        <w:gridCol w:w="4139"/>
      </w:tblGrid>
      <w:tr w:rsidR="00854ADA" w:rsidRPr="00FF386D" w14:paraId="0D3284C6" w14:textId="77777777" w:rsidTr="0057310C">
        <w:trPr>
          <w:trHeight w:val="780"/>
        </w:trPr>
        <w:tc>
          <w:tcPr>
            <w:tcW w:w="3270"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18497856"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1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559A28A6"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МП_Д10</w:t>
            </w:r>
          </w:p>
        </w:tc>
        <w:tc>
          <w:tcPr>
            <w:tcW w:w="935" w:type="dxa"/>
            <w:tcBorders>
              <w:top w:val="single" w:sz="8" w:space="0" w:color="auto"/>
              <w:left w:val="nil"/>
              <w:bottom w:val="single" w:sz="8" w:space="0" w:color="auto"/>
              <w:right w:val="single" w:sz="8" w:space="0" w:color="auto"/>
            </w:tcBorders>
            <w:shd w:val="clear" w:color="000000" w:fill="244062"/>
            <w:vAlign w:val="center"/>
            <w:hideMark/>
          </w:tcPr>
          <w:p w14:paraId="161644F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39" w:type="dxa"/>
            <w:tcBorders>
              <w:top w:val="single" w:sz="8" w:space="0" w:color="auto"/>
              <w:left w:val="nil"/>
              <w:bottom w:val="single" w:sz="8" w:space="0" w:color="auto"/>
              <w:right w:val="single" w:sz="8" w:space="0" w:color="auto"/>
            </w:tcBorders>
            <w:shd w:val="clear" w:color="auto" w:fill="E7E6E6" w:themeFill="background2"/>
            <w:vAlign w:val="center"/>
            <w:hideMark/>
          </w:tcPr>
          <w:p w14:paraId="6F619232"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eastAsia="Times New Roman" w:hAnsi="Calibri Light" w:cs="Calibri Light"/>
                <w:b/>
                <w:bCs/>
                <w:color w:val="000000"/>
                <w:sz w:val="20"/>
                <w:szCs w:val="20"/>
                <w:lang w:eastAsia="en-GB"/>
              </w:rPr>
              <w:t>Мере за смањење емисија CH</w:t>
            </w:r>
            <w:r w:rsidRPr="00FF386D">
              <w:rPr>
                <w:rFonts w:ascii="Calibri Light" w:eastAsia="Times New Roman" w:hAnsi="Calibri Light" w:cs="Calibri Light"/>
                <w:b/>
                <w:bCs/>
                <w:color w:val="000000"/>
                <w:sz w:val="20"/>
                <w:szCs w:val="20"/>
                <w:vertAlign w:val="subscript"/>
                <w:lang w:eastAsia="en-GB"/>
              </w:rPr>
              <w:t>4</w:t>
            </w:r>
            <w:r w:rsidRPr="00FF386D">
              <w:rPr>
                <w:rFonts w:ascii="Calibri Light" w:eastAsia="Times New Roman" w:hAnsi="Calibri Light" w:cs="Calibri Light"/>
                <w:b/>
                <w:bCs/>
                <w:color w:val="000000"/>
                <w:sz w:val="20"/>
                <w:szCs w:val="20"/>
                <w:lang w:eastAsia="en-GB"/>
              </w:rPr>
              <w:t xml:space="preserve"> из ентеричке ферментације животиња</w:t>
            </w:r>
          </w:p>
        </w:tc>
      </w:tr>
      <w:tr w:rsidR="00854ADA" w:rsidRPr="00FF386D" w14:paraId="3024B598" w14:textId="77777777" w:rsidTr="0057310C">
        <w:trPr>
          <w:trHeight w:val="389"/>
        </w:trPr>
        <w:tc>
          <w:tcPr>
            <w:tcW w:w="3270" w:type="dxa"/>
            <w:tcBorders>
              <w:top w:val="nil"/>
              <w:left w:val="single" w:sz="8" w:space="0" w:color="auto"/>
              <w:bottom w:val="single" w:sz="8" w:space="0" w:color="auto"/>
              <w:right w:val="nil"/>
            </w:tcBorders>
            <w:shd w:val="clear" w:color="000000" w:fill="244062"/>
            <w:vAlign w:val="center"/>
            <w:hideMark/>
          </w:tcPr>
          <w:p w14:paraId="661C561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682009CC"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Смањење емисија CH</w:t>
            </w:r>
            <w:r w:rsidRPr="00FF386D">
              <w:rPr>
                <w:rFonts w:asciiTheme="majorHAnsi" w:eastAsia="Times New Roman" w:hAnsiTheme="majorHAnsi" w:cstheme="majorHAnsi"/>
                <w:color w:val="000000"/>
                <w:sz w:val="20"/>
                <w:szCs w:val="20"/>
                <w:vertAlign w:val="subscript"/>
                <w:lang w:eastAsia="en-GB"/>
              </w:rPr>
              <w:t>4</w:t>
            </w:r>
          </w:p>
        </w:tc>
      </w:tr>
      <w:tr w:rsidR="00854ADA" w:rsidRPr="00FF386D" w14:paraId="79E6F4EA"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0B5763E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32A187E4" w14:textId="4DAF47EB" w:rsidR="00854ADA" w:rsidRPr="00FF386D" w:rsidRDefault="009F4D23" w:rsidP="00854ADA">
            <w:pPr>
              <w:spacing w:after="0" w:line="240" w:lineRule="auto"/>
              <w:jc w:val="both"/>
              <w:rPr>
                <w:rFonts w:asciiTheme="majorHAnsi" w:eastAsia="Times New Roman" w:hAnsiTheme="majorHAnsi" w:cstheme="majorHAnsi"/>
                <w:color w:val="000000"/>
                <w:sz w:val="20"/>
                <w:szCs w:val="20"/>
                <w:lang w:eastAsia="en-GB"/>
              </w:rPr>
            </w:pPr>
            <w:r w:rsidRPr="009F4D23">
              <w:rPr>
                <w:rFonts w:ascii="Calibri Light" w:eastAsia="Times New Roman" w:hAnsi="Calibri Light" w:cs="Calibri Light"/>
                <w:color w:val="000000"/>
                <w:sz w:val="20"/>
                <w:szCs w:val="20"/>
                <w:lang w:eastAsia="en-GB"/>
              </w:rPr>
              <w:t>Допринос циљу смањења емисија GHG за 40,3% (укључује LULUCF) до 2030. године у поређењу са нивоима из 1990. године</w:t>
            </w:r>
            <w:r>
              <w:rPr>
                <w:rFonts w:ascii="Calibri Light" w:eastAsia="Times New Roman" w:hAnsi="Calibri Light" w:cs="Calibri Light"/>
                <w:color w:val="000000"/>
                <w:sz w:val="20"/>
                <w:szCs w:val="20"/>
                <w:lang w:eastAsia="en-GB"/>
              </w:rPr>
              <w:t>.</w:t>
            </w:r>
          </w:p>
        </w:tc>
      </w:tr>
      <w:tr w:rsidR="00854ADA" w:rsidRPr="00FF386D" w14:paraId="1076296D" w14:textId="77777777" w:rsidTr="0057310C">
        <w:trPr>
          <w:trHeight w:val="924"/>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2C4EB2F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62346E3E" w14:textId="5866F409"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МП_Д10 ће омогућити смањење емисија CH</w:t>
            </w:r>
            <w:r w:rsidRPr="000A2AFE">
              <w:rPr>
                <w:rFonts w:ascii="Calibri Light" w:eastAsia="Times New Roman" w:hAnsi="Calibri Light" w:cs="Calibri Light"/>
                <w:color w:val="000000"/>
                <w:sz w:val="20"/>
                <w:szCs w:val="20"/>
                <w:vertAlign w:val="subscript"/>
                <w:lang w:eastAsia="en-GB"/>
              </w:rPr>
              <w:t>4</w:t>
            </w:r>
            <w:r w:rsidRPr="000A2AFE">
              <w:rPr>
                <w:rFonts w:ascii="Calibri Light" w:eastAsia="Times New Roman" w:hAnsi="Calibri Light" w:cs="Calibri Light"/>
                <w:color w:val="000000"/>
                <w:sz w:val="20"/>
                <w:szCs w:val="20"/>
                <w:lang w:eastAsia="en-GB"/>
              </w:rPr>
              <w:t xml:space="preserve"> </w:t>
            </w:r>
            <w:r w:rsidR="0054768C" w:rsidRPr="000A2AFE">
              <w:rPr>
                <w:rFonts w:ascii="Calibri Light" w:eastAsia="Times New Roman" w:hAnsi="Calibri Light" w:cs="Calibri Light"/>
                <w:color w:val="000000"/>
                <w:sz w:val="20"/>
                <w:szCs w:val="20"/>
                <w:lang w:eastAsia="en-GB"/>
              </w:rPr>
              <w:t xml:space="preserve">помоћу </w:t>
            </w:r>
            <w:r w:rsidR="005D349F" w:rsidRPr="000A2AFE">
              <w:rPr>
                <w:rFonts w:ascii="Calibri Light" w:eastAsia="Times New Roman" w:hAnsi="Calibri Light" w:cs="Calibri Light"/>
                <w:color w:val="000000"/>
                <w:sz w:val="20"/>
                <w:szCs w:val="20"/>
                <w:lang w:eastAsia="en-GB"/>
              </w:rPr>
              <w:t>измен</w:t>
            </w:r>
            <w:r w:rsidR="0054768C" w:rsidRPr="000A2AFE">
              <w:rPr>
                <w:rFonts w:ascii="Calibri Light" w:eastAsia="Times New Roman" w:hAnsi="Calibri Light" w:cs="Calibri Light"/>
                <w:color w:val="000000"/>
                <w:sz w:val="20"/>
                <w:szCs w:val="20"/>
                <w:lang w:eastAsia="en-GB"/>
              </w:rPr>
              <w:t>е</w:t>
            </w:r>
            <w:r w:rsidRPr="000A2AFE">
              <w:rPr>
                <w:rFonts w:ascii="Calibri Light" w:eastAsia="Times New Roman" w:hAnsi="Calibri Light" w:cs="Calibri Light"/>
                <w:color w:val="000000"/>
                <w:sz w:val="20"/>
                <w:szCs w:val="20"/>
                <w:lang w:eastAsia="en-GB"/>
              </w:rPr>
              <w:t xml:space="preserve"> састава хране и праксе исхране стоке. Ов</w:t>
            </w:r>
            <w:r w:rsidR="005D349F" w:rsidRPr="000A2AFE">
              <w:rPr>
                <w:rFonts w:ascii="Calibri Light" w:eastAsia="Times New Roman" w:hAnsi="Calibri Light" w:cs="Calibri Light"/>
                <w:color w:val="000000"/>
                <w:sz w:val="20"/>
                <w:szCs w:val="20"/>
                <w:lang w:eastAsia="en-GB"/>
              </w:rPr>
              <w:t xml:space="preserve">а мера је </w:t>
            </w:r>
            <w:r w:rsidRPr="000A2AFE">
              <w:rPr>
                <w:rFonts w:ascii="Calibri Light" w:eastAsia="Times New Roman" w:hAnsi="Calibri Light" w:cs="Calibri Light"/>
                <w:color w:val="000000"/>
                <w:sz w:val="20"/>
                <w:szCs w:val="20"/>
                <w:lang w:eastAsia="en-GB"/>
              </w:rPr>
              <w:t>економич</w:t>
            </w:r>
            <w:r w:rsidR="005D349F" w:rsidRPr="000A2AFE">
              <w:rPr>
                <w:rFonts w:ascii="Calibri Light" w:eastAsia="Times New Roman" w:hAnsi="Calibri Light" w:cs="Calibri Light"/>
                <w:color w:val="000000"/>
                <w:sz w:val="20"/>
                <w:szCs w:val="20"/>
                <w:lang w:eastAsia="en-GB"/>
              </w:rPr>
              <w:t>на</w:t>
            </w:r>
            <w:r w:rsidRPr="000A2AFE">
              <w:rPr>
                <w:rFonts w:ascii="Calibri Light" w:eastAsia="Times New Roman" w:hAnsi="Calibri Light" w:cs="Calibri Light"/>
                <w:color w:val="000000"/>
                <w:sz w:val="20"/>
                <w:szCs w:val="20"/>
                <w:lang w:eastAsia="en-GB"/>
              </w:rPr>
              <w:t xml:space="preserve"> јер не захтева субвенције или подстицаје. </w:t>
            </w:r>
            <w:r w:rsidR="003B597F" w:rsidRPr="000A2AFE">
              <w:rPr>
                <w:rFonts w:ascii="Calibri Light" w:eastAsia="Times New Roman" w:hAnsi="Calibri Light" w:cs="Calibri Light"/>
                <w:color w:val="000000"/>
                <w:sz w:val="20"/>
                <w:szCs w:val="20"/>
                <w:lang w:eastAsia="en-GB"/>
              </w:rPr>
              <w:t>Биће довољно да се пољопривредницима обезбеди п</w:t>
            </w:r>
            <w:r w:rsidRPr="000A2AFE">
              <w:rPr>
                <w:rFonts w:ascii="Calibri Light" w:eastAsia="Times New Roman" w:hAnsi="Calibri Light" w:cs="Calibri Light"/>
                <w:color w:val="000000"/>
                <w:sz w:val="20"/>
                <w:szCs w:val="20"/>
                <w:lang w:eastAsia="en-GB"/>
              </w:rPr>
              <w:t>рактична обука и демонстр</w:t>
            </w:r>
            <w:r w:rsidR="003B597F" w:rsidRPr="000A2AFE">
              <w:rPr>
                <w:rFonts w:ascii="Calibri Light" w:eastAsia="Times New Roman" w:hAnsi="Calibri Light" w:cs="Calibri Light"/>
                <w:color w:val="000000"/>
                <w:sz w:val="20"/>
                <w:szCs w:val="20"/>
                <w:lang w:eastAsia="en-GB"/>
              </w:rPr>
              <w:t>ира</w:t>
            </w:r>
            <w:r w:rsidR="00057006" w:rsidRPr="000A2AFE">
              <w:rPr>
                <w:rFonts w:ascii="Calibri Light" w:eastAsia="Times New Roman" w:hAnsi="Calibri Light" w:cs="Calibri Light"/>
                <w:color w:val="000000"/>
                <w:sz w:val="20"/>
                <w:szCs w:val="20"/>
                <w:lang w:eastAsia="en-GB"/>
              </w:rPr>
              <w:t>ње</w:t>
            </w:r>
            <w:r w:rsidR="003B597F" w:rsidRPr="000A2AFE">
              <w:rPr>
                <w:rFonts w:ascii="Calibri Light" w:eastAsia="Times New Roman" w:hAnsi="Calibri Light" w:cs="Calibri Light"/>
                <w:color w:val="000000"/>
                <w:sz w:val="20"/>
                <w:szCs w:val="20"/>
                <w:lang w:eastAsia="en-GB"/>
              </w:rPr>
              <w:t xml:space="preserve"> примене.</w:t>
            </w:r>
          </w:p>
        </w:tc>
      </w:tr>
      <w:tr w:rsidR="00854ADA" w:rsidRPr="00FF386D" w14:paraId="1AA6602D"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201FF97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05B20CEC" w14:textId="2DAF1EFD" w:rsidR="00854ADA" w:rsidRPr="00FF386D" w:rsidRDefault="007C2E31"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202</w:t>
            </w:r>
            <w:r>
              <w:rPr>
                <w:rFonts w:ascii="Calibri Light" w:eastAsia="Times New Roman" w:hAnsi="Calibri Light" w:cs="Calibri Light"/>
                <w:color w:val="000000"/>
                <w:sz w:val="20"/>
                <w:szCs w:val="20"/>
                <w:lang w:eastAsia="en-GB"/>
              </w:rPr>
              <w:t>4</w:t>
            </w:r>
            <w:r w:rsidR="00854ADA" w:rsidRPr="000A2AFE">
              <w:rPr>
                <w:rFonts w:ascii="Calibri Light" w:eastAsia="Times New Roman" w:hAnsi="Calibri Light" w:cs="Calibri Light"/>
                <w:color w:val="000000"/>
                <w:sz w:val="20"/>
                <w:szCs w:val="20"/>
                <w:lang w:eastAsia="en-GB"/>
              </w:rPr>
              <w:t>-2030.</w:t>
            </w:r>
          </w:p>
        </w:tc>
      </w:tr>
      <w:tr w:rsidR="00854ADA" w:rsidRPr="00FF386D" w14:paraId="2E630A73"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7BC458C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368F314C"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Реформа</w:t>
            </w:r>
          </w:p>
        </w:tc>
      </w:tr>
      <w:tr w:rsidR="00854ADA" w:rsidRPr="00FF386D" w14:paraId="1F0F47D9"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2894AF7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6B1BA82A" w14:textId="51E784F5"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Пољопривреда</w:t>
            </w:r>
            <w:r w:rsidR="007C2E31">
              <w:rPr>
                <w:rFonts w:ascii="Calibri Light" w:eastAsia="Times New Roman" w:hAnsi="Calibri Light" w:cs="Calibri Light"/>
                <w:color w:val="000000"/>
                <w:sz w:val="20"/>
                <w:szCs w:val="20"/>
                <w:lang w:eastAsia="en-GB"/>
              </w:rPr>
              <w:t xml:space="preserve"> и</w:t>
            </w:r>
            <w:r w:rsidR="007C2E31">
              <w:rPr>
                <w:rFonts w:ascii="Calibri Light" w:eastAsia="Times New Roman" w:hAnsi="Calibri Light" w:cs="Calibri Light"/>
                <w:color w:val="000000"/>
                <w:sz w:val="20"/>
                <w:szCs w:val="20"/>
                <w:lang w:val="en-US" w:eastAsia="en-GB"/>
              </w:rPr>
              <w:t xml:space="preserve"> </w:t>
            </w:r>
            <w:r w:rsidR="007C2E31" w:rsidRPr="006171AE">
              <w:rPr>
                <w:rFonts w:ascii="Calibri Light" w:eastAsia="Times New Roman" w:hAnsi="Calibri Light" w:cs="Calibri Light"/>
                <w:i/>
                <w:iCs/>
                <w:color w:val="000000"/>
                <w:sz w:val="20"/>
                <w:szCs w:val="20"/>
                <w:lang w:val="en-US" w:eastAsia="en-GB"/>
              </w:rPr>
              <w:t>LULUCF</w:t>
            </w:r>
          </w:p>
        </w:tc>
      </w:tr>
      <w:tr w:rsidR="00854ADA" w:rsidRPr="00FF386D" w14:paraId="3DBB7D7A"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28441B9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43AAB10B" w14:textId="77777777" w:rsidR="00854ADA" w:rsidRPr="000A2AFE" w:rsidRDefault="00854ADA" w:rsidP="00854ADA">
            <w:pPr>
              <w:numPr>
                <w:ilvl w:val="0"/>
                <w:numId w:val="168"/>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пољопривреде, шумарства и водопривреде</w:t>
            </w:r>
          </w:p>
          <w:p w14:paraId="055002C3" w14:textId="77777777" w:rsidR="007C2E31" w:rsidRDefault="007C2E31" w:rsidP="007C2E31">
            <w:pPr>
              <w:numPr>
                <w:ilvl w:val="0"/>
                <w:numId w:val="168"/>
              </w:numPr>
              <w:spacing w:after="0" w:line="240" w:lineRule="auto"/>
              <w:contextualSpacing/>
              <w:jc w:val="both"/>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Управа за аграрна плаћања</w:t>
            </w:r>
          </w:p>
          <w:p w14:paraId="6986A7BD" w14:textId="77777777" w:rsidR="007C2E31" w:rsidRDefault="007C2E31" w:rsidP="007C2E31">
            <w:pPr>
              <w:numPr>
                <w:ilvl w:val="0"/>
                <w:numId w:val="168"/>
              </w:numPr>
              <w:spacing w:after="0" w:line="240" w:lineRule="auto"/>
              <w:contextualSpacing/>
              <w:jc w:val="both"/>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Управа за ветерину</w:t>
            </w:r>
          </w:p>
          <w:p w14:paraId="6DDDE0A3" w14:textId="00ACEC2B" w:rsidR="007C2E31" w:rsidRDefault="007C2E31" w:rsidP="007C2E31">
            <w:pPr>
              <w:numPr>
                <w:ilvl w:val="0"/>
                <w:numId w:val="168"/>
              </w:numPr>
              <w:spacing w:after="0" w:line="240" w:lineRule="auto"/>
              <w:contextualSpacing/>
              <w:jc w:val="both"/>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Привредна комора</w:t>
            </w:r>
          </w:p>
          <w:p w14:paraId="57E31578" w14:textId="73FFCB64" w:rsidR="007C2E31" w:rsidRPr="00FF386D" w:rsidRDefault="007C2E31" w:rsidP="007C2E31">
            <w:pPr>
              <w:numPr>
                <w:ilvl w:val="0"/>
                <w:numId w:val="168"/>
              </w:numPr>
              <w:spacing w:after="0" w:line="240" w:lineRule="auto"/>
              <w:contextualSpacing/>
              <w:jc w:val="both"/>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Истраживачки институти</w:t>
            </w:r>
          </w:p>
        </w:tc>
      </w:tr>
      <w:tr w:rsidR="00854ADA" w:rsidRPr="00FF386D" w14:paraId="4F75BD01" w14:textId="77777777" w:rsidTr="0057310C">
        <w:trPr>
          <w:trHeight w:val="315"/>
        </w:trPr>
        <w:tc>
          <w:tcPr>
            <w:tcW w:w="3270" w:type="dxa"/>
            <w:tcBorders>
              <w:top w:val="nil"/>
              <w:left w:val="single" w:sz="8" w:space="0" w:color="auto"/>
              <w:bottom w:val="single" w:sz="8" w:space="0" w:color="auto"/>
              <w:right w:val="nil"/>
            </w:tcBorders>
            <w:shd w:val="clear" w:color="000000" w:fill="244062"/>
            <w:vAlign w:val="center"/>
            <w:hideMark/>
          </w:tcPr>
          <w:p w14:paraId="5CC985D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3A205EC0" w14:textId="77777777" w:rsidR="00854ADA" w:rsidRPr="00FF386D" w:rsidRDefault="00854ADA" w:rsidP="00854ADA">
            <w:pPr>
              <w:numPr>
                <w:ilvl w:val="0"/>
                <w:numId w:val="168"/>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заштите животне средине</w:t>
            </w:r>
          </w:p>
          <w:p w14:paraId="06DFB6D5" w14:textId="77777777" w:rsidR="00854ADA" w:rsidRPr="00FF386D" w:rsidRDefault="00854ADA" w:rsidP="00854ADA">
            <w:pPr>
              <w:numPr>
                <w:ilvl w:val="0"/>
                <w:numId w:val="168"/>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пољопривреде, шумарства и водопривреде</w:t>
            </w:r>
          </w:p>
        </w:tc>
      </w:tr>
      <w:tr w:rsidR="00854ADA" w:rsidRPr="00FF386D" w14:paraId="521EA45B" w14:textId="77777777" w:rsidTr="0057310C">
        <w:trPr>
          <w:trHeight w:val="315"/>
        </w:trPr>
        <w:tc>
          <w:tcPr>
            <w:tcW w:w="3270" w:type="dxa"/>
            <w:tcBorders>
              <w:top w:val="nil"/>
              <w:left w:val="single" w:sz="8" w:space="0" w:color="auto"/>
              <w:bottom w:val="single" w:sz="8" w:space="0" w:color="auto"/>
              <w:right w:val="nil"/>
            </w:tcBorders>
            <w:shd w:val="clear" w:color="000000" w:fill="244062"/>
            <w:vAlign w:val="center"/>
            <w:hideMark/>
          </w:tcPr>
          <w:p w14:paraId="72E0AEF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30A5579B" w14:textId="21391D64" w:rsidR="00854ADA" w:rsidRPr="000A2AFE" w:rsidRDefault="00854ADA" w:rsidP="000A2AFE">
            <w:pPr>
              <w:pStyle w:val="ListParagraph"/>
              <w:numPr>
                <w:ilvl w:val="0"/>
                <w:numId w:val="349"/>
              </w:numPr>
              <w:spacing w:after="0" w:line="240" w:lineRule="auto"/>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 xml:space="preserve">Број фарми (краве музаре и друге животиње као проценат укупне популације) за чију исхрану је коришћена </w:t>
            </w:r>
            <w:r w:rsidRPr="000A2AFE">
              <w:rPr>
                <w:rFonts w:ascii="Calibri Light" w:eastAsia="Times New Roman" w:hAnsi="Calibri Light" w:cs="Calibri Light"/>
                <w:color w:val="000000"/>
                <w:sz w:val="20"/>
                <w:szCs w:val="20"/>
                <w:lang w:eastAsia="en-GB"/>
              </w:rPr>
              <w:lastRenderedPageBreak/>
              <w:t xml:space="preserve">модификована храна (total mixed ration – </w:t>
            </w:r>
            <w:r w:rsidRPr="000A2AFE">
              <w:rPr>
                <w:rFonts w:ascii="Calibri Light" w:eastAsia="Times New Roman" w:hAnsi="Calibri Light" w:cs="Calibri Light"/>
                <w:i/>
                <w:iCs/>
                <w:color w:val="000000"/>
                <w:sz w:val="20"/>
                <w:szCs w:val="20"/>
                <w:lang w:eastAsia="en-GB"/>
              </w:rPr>
              <w:t xml:space="preserve">TMR) </w:t>
            </w:r>
            <w:r w:rsidRPr="000A2AFE">
              <w:rPr>
                <w:rFonts w:ascii="Calibri Light" w:eastAsia="Times New Roman" w:hAnsi="Calibri Light" w:cs="Calibri Light"/>
                <w:color w:val="000000"/>
                <w:sz w:val="20"/>
                <w:szCs w:val="20"/>
                <w:lang w:eastAsia="en-GB"/>
              </w:rPr>
              <w:t xml:space="preserve">и </w:t>
            </w:r>
            <w:r w:rsidR="005D349F" w:rsidRPr="000A2AFE">
              <w:rPr>
                <w:rFonts w:ascii="Calibri Light" w:eastAsia="Times New Roman" w:hAnsi="Calibri Light" w:cs="Calibri Light"/>
                <w:color w:val="000000"/>
                <w:sz w:val="20"/>
                <w:szCs w:val="20"/>
                <w:lang w:eastAsia="en-GB"/>
              </w:rPr>
              <w:t>спровођено</w:t>
            </w:r>
            <w:r w:rsidRPr="000A2AFE">
              <w:rPr>
                <w:rFonts w:ascii="Calibri Light" w:eastAsia="Times New Roman" w:hAnsi="Calibri Light" w:cs="Calibri Light"/>
                <w:color w:val="000000"/>
                <w:sz w:val="20"/>
                <w:szCs w:val="20"/>
                <w:lang w:eastAsia="en-GB"/>
              </w:rPr>
              <w:t xml:space="preserve"> управљање исхраном на двогодишњој основи, смањење емисија CH</w:t>
            </w:r>
            <w:r w:rsidRPr="000A2AFE">
              <w:rPr>
                <w:rFonts w:ascii="Calibri Light" w:eastAsia="Times New Roman" w:hAnsi="Calibri Light" w:cs="Calibri Light"/>
                <w:color w:val="000000"/>
                <w:sz w:val="20"/>
                <w:szCs w:val="20"/>
                <w:vertAlign w:val="subscript"/>
                <w:lang w:eastAsia="en-GB"/>
              </w:rPr>
              <w:t xml:space="preserve">4 </w:t>
            </w:r>
            <w:r w:rsidRPr="000A2AFE">
              <w:rPr>
                <w:rFonts w:ascii="Calibri Light" w:eastAsia="Times New Roman" w:hAnsi="Calibri Light" w:cs="Calibri Light"/>
                <w:color w:val="000000"/>
                <w:sz w:val="20"/>
                <w:szCs w:val="20"/>
                <w:lang w:eastAsia="en-GB"/>
              </w:rPr>
              <w:t>(Gg CO2-eq)</w:t>
            </w:r>
          </w:p>
        </w:tc>
      </w:tr>
      <w:tr w:rsidR="00854ADA" w:rsidRPr="00FF386D" w14:paraId="33013A38" w14:textId="77777777" w:rsidTr="0057310C">
        <w:trPr>
          <w:trHeight w:val="470"/>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7C94291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Друге релевантне обухваћене димензије Енергетске уније</w:t>
            </w:r>
          </w:p>
        </w:tc>
        <w:tc>
          <w:tcPr>
            <w:tcW w:w="6188" w:type="dxa"/>
            <w:gridSpan w:val="3"/>
            <w:tcBorders>
              <w:top w:val="single" w:sz="8" w:space="0" w:color="auto"/>
              <w:left w:val="nil"/>
              <w:bottom w:val="single" w:sz="8" w:space="0" w:color="auto"/>
              <w:right w:val="single" w:sz="8" w:space="0" w:color="000000"/>
            </w:tcBorders>
            <w:shd w:val="clear" w:color="auto" w:fill="auto"/>
            <w:vAlign w:val="center"/>
          </w:tcPr>
          <w:p w14:paraId="5AF98F74"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p>
        </w:tc>
      </w:tr>
      <w:tr w:rsidR="00854ADA" w:rsidRPr="00FF386D" w14:paraId="2D7F3CEB" w14:textId="77777777" w:rsidTr="0057310C">
        <w:trPr>
          <w:trHeight w:val="450"/>
        </w:trPr>
        <w:tc>
          <w:tcPr>
            <w:tcW w:w="3270"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51235175" w14:textId="74F0D368"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88"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52F8CA8C" w14:textId="39E48C69" w:rsidR="00854ADA" w:rsidRPr="00FF386D" w:rsidRDefault="00854ADA" w:rsidP="00854ADA">
            <w:pPr>
              <w:numPr>
                <w:ilvl w:val="0"/>
                <w:numId w:val="107"/>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Уредба 2018/</w:t>
            </w:r>
            <w:r w:rsidR="007C2E31" w:rsidRPr="007C2E31">
              <w:rPr>
                <w:rFonts w:ascii="Calibri Light" w:eastAsia="Times New Roman" w:hAnsi="Calibri Light" w:cs="Calibri Light"/>
                <w:color w:val="000000"/>
                <w:sz w:val="20"/>
                <w:szCs w:val="20"/>
                <w:lang w:eastAsia="en-GB"/>
              </w:rPr>
              <w:t>1999</w:t>
            </w:r>
          </w:p>
        </w:tc>
      </w:tr>
      <w:tr w:rsidR="00854ADA" w:rsidRPr="00FF386D" w14:paraId="27AC25ED" w14:textId="77777777" w:rsidTr="0057310C">
        <w:trPr>
          <w:trHeight w:val="450"/>
        </w:trPr>
        <w:tc>
          <w:tcPr>
            <w:tcW w:w="3270" w:type="dxa"/>
            <w:vMerge/>
            <w:tcBorders>
              <w:top w:val="nil"/>
              <w:left w:val="single" w:sz="8" w:space="0" w:color="auto"/>
              <w:bottom w:val="single" w:sz="8" w:space="0" w:color="000000"/>
              <w:right w:val="single" w:sz="8" w:space="0" w:color="auto"/>
            </w:tcBorders>
            <w:vAlign w:val="center"/>
            <w:hideMark/>
          </w:tcPr>
          <w:p w14:paraId="0550D7F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88" w:type="dxa"/>
            <w:gridSpan w:val="3"/>
            <w:vMerge/>
            <w:tcBorders>
              <w:top w:val="single" w:sz="8" w:space="0" w:color="auto"/>
              <w:left w:val="single" w:sz="8" w:space="0" w:color="auto"/>
              <w:bottom w:val="single" w:sz="8" w:space="0" w:color="000000"/>
              <w:right w:val="single" w:sz="8" w:space="0" w:color="000000"/>
            </w:tcBorders>
            <w:vAlign w:val="center"/>
            <w:hideMark/>
          </w:tcPr>
          <w:p w14:paraId="0979FB58" w14:textId="77777777" w:rsidR="00854ADA" w:rsidRPr="00FF386D" w:rsidRDefault="00854ADA" w:rsidP="00854ADA">
            <w:pPr>
              <w:numPr>
                <w:ilvl w:val="0"/>
                <w:numId w:val="107"/>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706A1C8B" w14:textId="77777777" w:rsidTr="0057310C">
        <w:trPr>
          <w:trHeight w:val="450"/>
        </w:trPr>
        <w:tc>
          <w:tcPr>
            <w:tcW w:w="3270" w:type="dxa"/>
            <w:vMerge/>
            <w:tcBorders>
              <w:top w:val="nil"/>
              <w:left w:val="single" w:sz="8" w:space="0" w:color="auto"/>
              <w:bottom w:val="single" w:sz="8" w:space="0" w:color="000000"/>
              <w:right w:val="single" w:sz="8" w:space="0" w:color="auto"/>
            </w:tcBorders>
            <w:vAlign w:val="center"/>
            <w:hideMark/>
          </w:tcPr>
          <w:p w14:paraId="1237CF7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88" w:type="dxa"/>
            <w:gridSpan w:val="3"/>
            <w:vMerge/>
            <w:tcBorders>
              <w:top w:val="single" w:sz="8" w:space="0" w:color="auto"/>
              <w:left w:val="single" w:sz="8" w:space="0" w:color="auto"/>
              <w:bottom w:val="single" w:sz="8" w:space="0" w:color="000000"/>
              <w:right w:val="single" w:sz="8" w:space="0" w:color="000000"/>
            </w:tcBorders>
            <w:vAlign w:val="center"/>
            <w:hideMark/>
          </w:tcPr>
          <w:p w14:paraId="021EBDF5" w14:textId="77777777" w:rsidR="00854ADA" w:rsidRPr="00FF386D" w:rsidRDefault="00854ADA" w:rsidP="00854ADA">
            <w:pPr>
              <w:numPr>
                <w:ilvl w:val="0"/>
                <w:numId w:val="107"/>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2A1B7B33" w14:textId="77777777" w:rsidTr="0057310C">
        <w:trPr>
          <w:trHeight w:val="253"/>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31D5F7B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4C5D15D5" w14:textId="3FDCF482" w:rsidR="00854ADA" w:rsidRPr="00FF386D" w:rsidRDefault="00854ADA" w:rsidP="00854ADA">
            <w:pPr>
              <w:numPr>
                <w:ilvl w:val="0"/>
                <w:numId w:val="107"/>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Стратегија нискоугљеничног развоја </w:t>
            </w:r>
            <w:r w:rsidR="007C2E31" w:rsidRPr="007C2E31">
              <w:rPr>
                <w:rFonts w:asciiTheme="majorHAnsi" w:eastAsia="Times New Roman" w:hAnsiTheme="majorHAnsi" w:cstheme="majorHAnsi"/>
                <w:color w:val="000000"/>
                <w:sz w:val="20"/>
                <w:szCs w:val="20"/>
                <w:lang w:eastAsia="en-GB"/>
              </w:rPr>
              <w:t>за период од 2023. до 2030. године са пројекцијама до 2050. године</w:t>
            </w:r>
          </w:p>
        </w:tc>
      </w:tr>
      <w:tr w:rsidR="00854ADA" w:rsidRPr="00FF386D" w14:paraId="0C31B38C"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7B521FC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189AF83B"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0,5 милиона евра</w:t>
            </w:r>
          </w:p>
        </w:tc>
      </w:tr>
      <w:tr w:rsidR="00854ADA" w:rsidRPr="00FF386D" w14:paraId="68A3FF2A"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69C1B99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47FA4E8B" w14:textId="137EB820"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5D349F" w:rsidRPr="00FF386D">
              <w:rPr>
                <w:rFonts w:asciiTheme="majorHAnsi" w:eastAsia="Times New Roman" w:hAnsiTheme="majorHAnsi" w:cstheme="majorHAnsi"/>
                <w:color w:val="000000"/>
                <w:sz w:val="20"/>
                <w:szCs w:val="20"/>
                <w:lang w:eastAsia="en-GB"/>
              </w:rPr>
              <w:t>ска средства</w:t>
            </w:r>
          </w:p>
        </w:tc>
      </w:tr>
    </w:tbl>
    <w:p w14:paraId="7680D1D6"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270"/>
        <w:gridCol w:w="1114"/>
        <w:gridCol w:w="934"/>
        <w:gridCol w:w="4140"/>
      </w:tblGrid>
      <w:tr w:rsidR="00854ADA" w:rsidRPr="00FF386D" w14:paraId="437389FD" w14:textId="77777777" w:rsidTr="0057310C">
        <w:trPr>
          <w:trHeight w:val="780"/>
        </w:trPr>
        <w:tc>
          <w:tcPr>
            <w:tcW w:w="3270"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46FEE7F1"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1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3C14E34A"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МП_Д11</w:t>
            </w:r>
          </w:p>
        </w:tc>
        <w:tc>
          <w:tcPr>
            <w:tcW w:w="934" w:type="dxa"/>
            <w:tcBorders>
              <w:top w:val="single" w:sz="8" w:space="0" w:color="auto"/>
              <w:left w:val="nil"/>
              <w:bottom w:val="single" w:sz="8" w:space="0" w:color="auto"/>
              <w:right w:val="single" w:sz="8" w:space="0" w:color="auto"/>
            </w:tcBorders>
            <w:shd w:val="clear" w:color="000000" w:fill="244062"/>
            <w:vAlign w:val="center"/>
            <w:hideMark/>
          </w:tcPr>
          <w:p w14:paraId="0860667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40" w:type="dxa"/>
            <w:tcBorders>
              <w:top w:val="single" w:sz="8" w:space="0" w:color="auto"/>
              <w:left w:val="nil"/>
              <w:bottom w:val="single" w:sz="8" w:space="0" w:color="auto"/>
              <w:right w:val="single" w:sz="8" w:space="0" w:color="auto"/>
            </w:tcBorders>
            <w:shd w:val="clear" w:color="auto" w:fill="E7E6E6" w:themeFill="background2"/>
            <w:vAlign w:val="center"/>
            <w:hideMark/>
          </w:tcPr>
          <w:p w14:paraId="75471813" w14:textId="23237617" w:rsidR="00854ADA" w:rsidRPr="00FF386D" w:rsidRDefault="003B597F"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Унапређење</w:t>
            </w:r>
            <w:r w:rsidR="00854ADA" w:rsidRPr="000A2AFE">
              <w:rPr>
                <w:rFonts w:ascii="Calibri Light" w:eastAsia="Times New Roman" w:hAnsi="Calibri Light" w:cs="Calibri Light"/>
                <w:b/>
                <w:bCs/>
                <w:color w:val="000000"/>
                <w:sz w:val="20"/>
                <w:szCs w:val="20"/>
                <w:lang w:eastAsia="en-GB"/>
              </w:rPr>
              <w:t xml:space="preserve"> управљања стај</w:t>
            </w:r>
            <w:r w:rsidRPr="000A2AFE">
              <w:rPr>
                <w:rFonts w:ascii="Calibri Light" w:eastAsia="Times New Roman" w:hAnsi="Calibri Light" w:cs="Calibri Light"/>
                <w:b/>
                <w:bCs/>
                <w:color w:val="000000"/>
                <w:sz w:val="20"/>
                <w:szCs w:val="20"/>
                <w:lang w:eastAsia="en-GB"/>
              </w:rPr>
              <w:t>њаком</w:t>
            </w:r>
            <w:r w:rsidR="00854ADA" w:rsidRPr="000A2AFE">
              <w:rPr>
                <w:rFonts w:ascii="Calibri Light" w:eastAsia="Times New Roman" w:hAnsi="Calibri Light" w:cs="Calibri Light"/>
                <w:b/>
                <w:bCs/>
                <w:color w:val="000000"/>
                <w:sz w:val="20"/>
                <w:szCs w:val="20"/>
                <w:lang w:eastAsia="en-GB"/>
              </w:rPr>
              <w:t xml:space="preserve"> </w:t>
            </w:r>
            <w:r w:rsidRPr="000A2AFE">
              <w:rPr>
                <w:rFonts w:ascii="Calibri Light" w:eastAsia="Times New Roman" w:hAnsi="Calibri Light" w:cs="Calibri Light"/>
                <w:b/>
                <w:bCs/>
                <w:color w:val="000000"/>
                <w:sz w:val="20"/>
                <w:szCs w:val="20"/>
                <w:lang w:eastAsia="en-GB"/>
              </w:rPr>
              <w:t>у циљу</w:t>
            </w:r>
            <w:r w:rsidR="00854ADA" w:rsidRPr="000A2AFE">
              <w:rPr>
                <w:rFonts w:ascii="Calibri Light" w:eastAsia="Times New Roman" w:hAnsi="Calibri Light" w:cs="Calibri Light"/>
                <w:b/>
                <w:bCs/>
                <w:color w:val="000000"/>
                <w:sz w:val="20"/>
                <w:szCs w:val="20"/>
                <w:lang w:eastAsia="en-GB"/>
              </w:rPr>
              <w:t xml:space="preserve"> смањења емисије CH</w:t>
            </w:r>
            <w:r w:rsidR="00854ADA" w:rsidRPr="000A2AFE">
              <w:rPr>
                <w:rFonts w:ascii="Calibri Light" w:eastAsia="Times New Roman" w:hAnsi="Calibri Light" w:cs="Calibri Light"/>
                <w:b/>
                <w:bCs/>
                <w:color w:val="000000"/>
                <w:sz w:val="20"/>
                <w:szCs w:val="20"/>
                <w:vertAlign w:val="subscript"/>
                <w:lang w:eastAsia="en-GB"/>
              </w:rPr>
              <w:t>4</w:t>
            </w:r>
            <w:r w:rsidR="00854ADA" w:rsidRPr="000A2AFE">
              <w:rPr>
                <w:rFonts w:ascii="Calibri Light" w:eastAsia="Times New Roman" w:hAnsi="Calibri Light" w:cs="Calibri Light"/>
                <w:b/>
                <w:bCs/>
                <w:color w:val="000000"/>
                <w:sz w:val="20"/>
                <w:szCs w:val="20"/>
                <w:lang w:eastAsia="en-GB"/>
              </w:rPr>
              <w:t xml:space="preserve"> и N</w:t>
            </w:r>
            <w:r w:rsidR="00854ADA" w:rsidRPr="000A2AFE">
              <w:rPr>
                <w:rFonts w:ascii="Calibri Light" w:eastAsia="Times New Roman" w:hAnsi="Calibri Light" w:cs="Calibri Light"/>
                <w:b/>
                <w:bCs/>
                <w:color w:val="000000"/>
                <w:sz w:val="20"/>
                <w:szCs w:val="20"/>
                <w:vertAlign w:val="subscript"/>
                <w:lang w:eastAsia="en-GB"/>
              </w:rPr>
              <w:t>2</w:t>
            </w:r>
            <w:r w:rsidR="00854ADA" w:rsidRPr="000A2AFE">
              <w:rPr>
                <w:rFonts w:ascii="Calibri Light" w:eastAsia="Times New Roman" w:hAnsi="Calibri Light" w:cs="Calibri Light"/>
                <w:b/>
                <w:bCs/>
                <w:color w:val="000000"/>
                <w:sz w:val="20"/>
                <w:szCs w:val="20"/>
                <w:lang w:eastAsia="en-GB"/>
              </w:rPr>
              <w:t>O</w:t>
            </w:r>
          </w:p>
        </w:tc>
      </w:tr>
      <w:tr w:rsidR="00854ADA" w:rsidRPr="00FF386D" w14:paraId="14BB65DE" w14:textId="77777777" w:rsidTr="0057310C">
        <w:trPr>
          <w:trHeight w:val="271"/>
        </w:trPr>
        <w:tc>
          <w:tcPr>
            <w:tcW w:w="3270" w:type="dxa"/>
            <w:tcBorders>
              <w:top w:val="nil"/>
              <w:left w:val="single" w:sz="8" w:space="0" w:color="auto"/>
              <w:bottom w:val="single" w:sz="8" w:space="0" w:color="auto"/>
              <w:right w:val="nil"/>
            </w:tcBorders>
            <w:shd w:val="clear" w:color="000000" w:fill="244062"/>
            <w:vAlign w:val="center"/>
            <w:hideMark/>
          </w:tcPr>
          <w:p w14:paraId="428176C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7BB61E75" w14:textId="548A3F74"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Смањење емисија CH</w:t>
            </w:r>
            <w:r w:rsidRPr="000A2AFE">
              <w:rPr>
                <w:rFonts w:ascii="Calibri Light" w:eastAsia="Times New Roman" w:hAnsi="Calibri Light" w:cs="Calibri Light"/>
                <w:color w:val="000000"/>
                <w:sz w:val="20"/>
                <w:szCs w:val="20"/>
                <w:vertAlign w:val="subscript"/>
                <w:lang w:eastAsia="en-GB"/>
              </w:rPr>
              <w:t>4</w:t>
            </w:r>
            <w:r w:rsidR="00CC2BD9" w:rsidRPr="000A2AFE">
              <w:rPr>
                <w:rFonts w:ascii="Calibri Light" w:eastAsia="Times New Roman" w:hAnsi="Calibri Light" w:cs="Calibri Light"/>
                <w:color w:val="000000"/>
                <w:sz w:val="20"/>
                <w:szCs w:val="20"/>
                <w:vertAlign w:val="subscript"/>
                <w:lang w:eastAsia="en-GB"/>
              </w:rPr>
              <w:t xml:space="preserve"> </w:t>
            </w:r>
            <w:r w:rsidRPr="000A2AFE">
              <w:rPr>
                <w:rFonts w:ascii="Calibri Light" w:eastAsia="Times New Roman" w:hAnsi="Calibri Light" w:cs="Calibri Light"/>
                <w:color w:val="000000"/>
                <w:sz w:val="20"/>
                <w:szCs w:val="20"/>
                <w:lang w:eastAsia="en-GB"/>
              </w:rPr>
              <w:t>и N</w:t>
            </w:r>
            <w:r w:rsidRPr="000A2AFE">
              <w:rPr>
                <w:rFonts w:ascii="Calibri Light" w:eastAsia="Times New Roman" w:hAnsi="Calibri Light" w:cs="Calibri Light"/>
                <w:color w:val="000000"/>
                <w:sz w:val="20"/>
                <w:szCs w:val="20"/>
                <w:vertAlign w:val="subscript"/>
                <w:lang w:eastAsia="en-GB"/>
              </w:rPr>
              <w:t>2</w:t>
            </w:r>
            <w:r w:rsidRPr="000A2AFE">
              <w:rPr>
                <w:rFonts w:ascii="Calibri Light" w:eastAsia="Times New Roman" w:hAnsi="Calibri Light" w:cs="Calibri Light"/>
                <w:color w:val="000000"/>
                <w:sz w:val="20"/>
                <w:szCs w:val="20"/>
                <w:lang w:eastAsia="en-GB"/>
              </w:rPr>
              <w:t>O</w:t>
            </w:r>
          </w:p>
        </w:tc>
      </w:tr>
      <w:tr w:rsidR="00854ADA" w:rsidRPr="00FF386D" w14:paraId="509C3F19"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743FB6C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4B532AC2" w14:textId="15B755C1" w:rsidR="00854ADA" w:rsidRPr="00FF386D" w:rsidRDefault="009F4D23" w:rsidP="00854ADA">
            <w:pPr>
              <w:spacing w:after="0" w:line="240" w:lineRule="auto"/>
              <w:rPr>
                <w:rFonts w:asciiTheme="majorHAnsi" w:eastAsia="Times New Roman" w:hAnsiTheme="majorHAnsi" w:cstheme="majorHAnsi"/>
                <w:color w:val="000000"/>
                <w:sz w:val="20"/>
                <w:szCs w:val="20"/>
                <w:lang w:eastAsia="en-GB"/>
              </w:rPr>
            </w:pPr>
            <w:r w:rsidRPr="009F4D23">
              <w:rPr>
                <w:rFonts w:ascii="Calibri Light" w:eastAsia="Times New Roman" w:hAnsi="Calibri Light" w:cs="Calibri Light"/>
                <w:color w:val="000000"/>
                <w:sz w:val="20"/>
                <w:szCs w:val="20"/>
                <w:lang w:eastAsia="en-GB"/>
              </w:rPr>
              <w:t xml:space="preserve">Допринос циљу смањења емисија GHG за 40,3% (укључује </w:t>
            </w:r>
            <w:r w:rsidRPr="00C312D6">
              <w:rPr>
                <w:rFonts w:ascii="Calibri Light" w:eastAsia="Times New Roman" w:hAnsi="Calibri Light" w:cs="Calibri Light"/>
                <w:i/>
                <w:iCs/>
                <w:color w:val="000000"/>
                <w:sz w:val="20"/>
                <w:szCs w:val="20"/>
                <w:lang w:eastAsia="en-GB"/>
              </w:rPr>
              <w:t>LULUCF</w:t>
            </w:r>
            <w:r w:rsidRPr="009F4D23">
              <w:rPr>
                <w:rFonts w:ascii="Calibri Light" w:eastAsia="Times New Roman" w:hAnsi="Calibri Light" w:cs="Calibri Light"/>
                <w:color w:val="000000"/>
                <w:sz w:val="20"/>
                <w:szCs w:val="20"/>
                <w:lang w:eastAsia="en-GB"/>
              </w:rPr>
              <w:t>) до 2030. године у поређењу са нивоима из 1990. године</w:t>
            </w:r>
          </w:p>
        </w:tc>
      </w:tr>
      <w:tr w:rsidR="00854ADA" w:rsidRPr="00FF386D" w14:paraId="48F2989A" w14:textId="77777777" w:rsidTr="0057310C">
        <w:trPr>
          <w:trHeight w:val="443"/>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152D8E2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0FB25EFC" w14:textId="7C3B0941"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МП_Д11 ће омогућити смањење емисија CH</w:t>
            </w:r>
            <w:r w:rsidRPr="000A2AFE">
              <w:rPr>
                <w:rFonts w:ascii="Calibri Light" w:eastAsia="Times New Roman" w:hAnsi="Calibri Light" w:cs="Calibri Light"/>
                <w:color w:val="000000"/>
                <w:sz w:val="20"/>
                <w:szCs w:val="20"/>
                <w:vertAlign w:val="subscript"/>
                <w:lang w:eastAsia="en-GB"/>
              </w:rPr>
              <w:t>4</w:t>
            </w:r>
            <w:r w:rsidRPr="000A2AFE">
              <w:rPr>
                <w:rFonts w:ascii="Calibri Light" w:eastAsia="Times New Roman" w:hAnsi="Calibri Light" w:cs="Calibri Light"/>
                <w:color w:val="000000"/>
                <w:sz w:val="20"/>
                <w:szCs w:val="20"/>
                <w:lang w:eastAsia="en-GB"/>
              </w:rPr>
              <w:t xml:space="preserve"> и индиректн</w:t>
            </w:r>
            <w:r w:rsidR="00CC2BD9" w:rsidRPr="000A2AFE">
              <w:rPr>
                <w:rFonts w:ascii="Calibri Light" w:eastAsia="Times New Roman" w:hAnsi="Calibri Light" w:cs="Calibri Light"/>
                <w:color w:val="000000"/>
                <w:sz w:val="20"/>
                <w:szCs w:val="20"/>
                <w:lang w:eastAsia="en-GB"/>
              </w:rPr>
              <w:t>их</w:t>
            </w:r>
            <w:r w:rsidRPr="000A2AFE">
              <w:rPr>
                <w:rFonts w:ascii="Calibri Light" w:eastAsia="Times New Roman" w:hAnsi="Calibri Light" w:cs="Calibri Light"/>
                <w:color w:val="000000"/>
                <w:sz w:val="20"/>
                <w:szCs w:val="20"/>
                <w:lang w:eastAsia="en-GB"/>
              </w:rPr>
              <w:t xml:space="preserve"> емисиј</w:t>
            </w:r>
            <w:r w:rsidR="00CC2BD9"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азот субоксида (N</w:t>
            </w:r>
            <w:r w:rsidRPr="000A2AFE">
              <w:rPr>
                <w:rFonts w:ascii="Calibri Light" w:eastAsia="Times New Roman" w:hAnsi="Calibri Light" w:cs="Calibri Light"/>
                <w:color w:val="000000"/>
                <w:sz w:val="20"/>
                <w:szCs w:val="20"/>
                <w:vertAlign w:val="subscript"/>
                <w:lang w:eastAsia="en-GB"/>
              </w:rPr>
              <w:t>2</w:t>
            </w:r>
            <w:r w:rsidRPr="000A2AFE">
              <w:rPr>
                <w:rFonts w:ascii="Calibri Light" w:eastAsia="Times New Roman" w:hAnsi="Calibri Light" w:cs="Calibri Light"/>
                <w:color w:val="000000"/>
                <w:sz w:val="20"/>
                <w:szCs w:val="20"/>
                <w:lang w:eastAsia="en-GB"/>
              </w:rPr>
              <w:t xml:space="preserve">O) </w:t>
            </w:r>
            <w:r w:rsidR="00CC2BD9" w:rsidRPr="000A2AFE">
              <w:rPr>
                <w:rFonts w:ascii="Calibri Light" w:eastAsia="Times New Roman" w:hAnsi="Calibri Light" w:cs="Calibri Light"/>
                <w:color w:val="000000"/>
                <w:sz w:val="20"/>
                <w:szCs w:val="20"/>
                <w:lang w:eastAsia="en-GB"/>
              </w:rPr>
              <w:t xml:space="preserve">унапређењем </w:t>
            </w:r>
            <w:r w:rsidRPr="000A2AFE">
              <w:rPr>
                <w:rFonts w:ascii="Calibri Light" w:eastAsia="Times New Roman" w:hAnsi="Calibri Light" w:cs="Calibri Light"/>
                <w:color w:val="000000"/>
                <w:sz w:val="20"/>
                <w:szCs w:val="20"/>
                <w:lang w:eastAsia="en-GB"/>
              </w:rPr>
              <w:t>управљања стај</w:t>
            </w:r>
            <w:r w:rsidR="00CC2BD9" w:rsidRPr="000A2AFE">
              <w:rPr>
                <w:rFonts w:ascii="Calibri Light" w:eastAsia="Times New Roman" w:hAnsi="Calibri Light" w:cs="Calibri Light"/>
                <w:color w:val="000000"/>
                <w:sz w:val="20"/>
                <w:szCs w:val="20"/>
                <w:lang w:eastAsia="en-GB"/>
              </w:rPr>
              <w:t xml:space="preserve">њаком </w:t>
            </w:r>
            <w:r w:rsidRPr="000A2AFE">
              <w:rPr>
                <w:rFonts w:ascii="Calibri Light" w:eastAsia="Times New Roman" w:hAnsi="Calibri Light" w:cs="Calibri Light"/>
                <w:color w:val="000000"/>
                <w:sz w:val="20"/>
                <w:szCs w:val="20"/>
                <w:lang w:eastAsia="en-GB"/>
              </w:rPr>
              <w:t>путем анаеробне дигестије.</w:t>
            </w:r>
          </w:p>
        </w:tc>
      </w:tr>
      <w:tr w:rsidR="00854ADA" w:rsidRPr="00FF386D" w14:paraId="3EF280C1"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1DD5287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157EDD0A" w14:textId="419D08B5" w:rsidR="00854ADA" w:rsidRPr="00FF386D" w:rsidRDefault="007715B3"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202</w:t>
            </w:r>
            <w:r>
              <w:rPr>
                <w:rFonts w:ascii="Calibri Light" w:eastAsia="Times New Roman" w:hAnsi="Calibri Light" w:cs="Calibri Light"/>
                <w:color w:val="000000"/>
                <w:sz w:val="20"/>
                <w:szCs w:val="20"/>
                <w:lang w:eastAsia="en-GB"/>
              </w:rPr>
              <w:t>4</w:t>
            </w:r>
            <w:r w:rsidR="00854ADA" w:rsidRPr="000A2AFE">
              <w:rPr>
                <w:rFonts w:ascii="Calibri Light" w:eastAsia="Times New Roman" w:hAnsi="Calibri Light" w:cs="Calibri Light"/>
                <w:color w:val="000000"/>
                <w:sz w:val="20"/>
                <w:szCs w:val="20"/>
                <w:lang w:eastAsia="en-GB"/>
              </w:rPr>
              <w:t>-2030.</w:t>
            </w:r>
          </w:p>
        </w:tc>
      </w:tr>
      <w:tr w:rsidR="00854ADA" w:rsidRPr="00FF386D" w14:paraId="696EF4CB"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784247D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21CA5015"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Инвестиције </w:t>
            </w:r>
          </w:p>
        </w:tc>
      </w:tr>
      <w:tr w:rsidR="00854ADA" w:rsidRPr="00FF386D" w14:paraId="7336C0C2"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60B1EE4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25100905" w14:textId="449C7D73"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Пољопривреда</w:t>
            </w:r>
            <w:r w:rsidR="007715B3">
              <w:rPr>
                <w:rFonts w:ascii="Calibri Light" w:eastAsia="Times New Roman" w:hAnsi="Calibri Light" w:cs="Calibri Light"/>
                <w:color w:val="000000"/>
                <w:sz w:val="20"/>
                <w:szCs w:val="20"/>
                <w:lang w:eastAsia="en-GB"/>
              </w:rPr>
              <w:t xml:space="preserve"> и</w:t>
            </w:r>
            <w:r w:rsidR="007715B3" w:rsidRPr="006171AE">
              <w:rPr>
                <w:rFonts w:ascii="Calibri Light" w:eastAsia="Times New Roman" w:hAnsi="Calibri Light" w:cs="Calibri Light"/>
                <w:i/>
                <w:iCs/>
                <w:color w:val="000000"/>
                <w:sz w:val="20"/>
                <w:szCs w:val="20"/>
                <w:lang w:eastAsia="en-GB"/>
              </w:rPr>
              <w:t xml:space="preserve"> </w:t>
            </w:r>
            <w:r w:rsidR="007715B3" w:rsidRPr="006171AE">
              <w:rPr>
                <w:rFonts w:ascii="Calibri Light" w:eastAsia="Times New Roman" w:hAnsi="Calibri Light" w:cs="Calibri Light"/>
                <w:i/>
                <w:iCs/>
                <w:color w:val="000000"/>
                <w:sz w:val="20"/>
                <w:szCs w:val="20"/>
                <w:lang w:val="en-US" w:eastAsia="en-GB"/>
              </w:rPr>
              <w:t>LULUCF</w:t>
            </w:r>
          </w:p>
        </w:tc>
      </w:tr>
      <w:tr w:rsidR="00854ADA" w:rsidRPr="00FF386D" w14:paraId="34BCB3D9"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168DB84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42696B59" w14:textId="77777777" w:rsidR="00854ADA" w:rsidRPr="000A2AFE" w:rsidRDefault="00854ADA" w:rsidP="007715B3">
            <w:pPr>
              <w:numPr>
                <w:ilvl w:val="0"/>
                <w:numId w:val="212"/>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пољопривреде, шумарства и водопривреде</w:t>
            </w:r>
          </w:p>
          <w:p w14:paraId="4996E725" w14:textId="77777777" w:rsidR="007715B3" w:rsidRDefault="007715B3" w:rsidP="007715B3">
            <w:pPr>
              <w:numPr>
                <w:ilvl w:val="0"/>
                <w:numId w:val="212"/>
              </w:numPr>
              <w:spacing w:after="0" w:line="240" w:lineRule="auto"/>
              <w:contextualSpacing/>
              <w:jc w:val="both"/>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Управа за аграрна плаћања</w:t>
            </w:r>
          </w:p>
          <w:p w14:paraId="3D2E42B8" w14:textId="77777777" w:rsidR="007715B3" w:rsidRDefault="007715B3" w:rsidP="007715B3">
            <w:pPr>
              <w:numPr>
                <w:ilvl w:val="0"/>
                <w:numId w:val="212"/>
              </w:numPr>
              <w:spacing w:after="0" w:line="240" w:lineRule="auto"/>
              <w:contextualSpacing/>
              <w:jc w:val="both"/>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Управа за ветерину</w:t>
            </w:r>
          </w:p>
          <w:p w14:paraId="32C2633D" w14:textId="04ECDA82" w:rsidR="007715B3" w:rsidRDefault="007715B3" w:rsidP="007715B3">
            <w:pPr>
              <w:numPr>
                <w:ilvl w:val="0"/>
                <w:numId w:val="212"/>
              </w:numPr>
              <w:spacing w:after="0" w:line="240" w:lineRule="auto"/>
              <w:contextualSpacing/>
              <w:jc w:val="both"/>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Привредна комора</w:t>
            </w:r>
          </w:p>
          <w:p w14:paraId="55E45C7B" w14:textId="6665DF31" w:rsidR="007715B3" w:rsidRPr="00FF386D" w:rsidRDefault="007715B3" w:rsidP="007715B3">
            <w:pPr>
              <w:numPr>
                <w:ilvl w:val="0"/>
                <w:numId w:val="212"/>
              </w:numPr>
              <w:spacing w:after="0" w:line="240" w:lineRule="auto"/>
              <w:contextualSpacing/>
              <w:jc w:val="both"/>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Истраживачки институти</w:t>
            </w:r>
          </w:p>
        </w:tc>
      </w:tr>
      <w:tr w:rsidR="00854ADA" w:rsidRPr="00FF386D" w14:paraId="431E07DA" w14:textId="77777777" w:rsidTr="0057310C">
        <w:trPr>
          <w:trHeight w:val="315"/>
        </w:trPr>
        <w:tc>
          <w:tcPr>
            <w:tcW w:w="3270" w:type="dxa"/>
            <w:tcBorders>
              <w:top w:val="nil"/>
              <w:left w:val="single" w:sz="8" w:space="0" w:color="auto"/>
              <w:bottom w:val="single" w:sz="8" w:space="0" w:color="auto"/>
              <w:right w:val="nil"/>
            </w:tcBorders>
            <w:shd w:val="clear" w:color="000000" w:fill="244062"/>
            <w:vAlign w:val="center"/>
            <w:hideMark/>
          </w:tcPr>
          <w:p w14:paraId="464C6B8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88" w:type="dxa"/>
            <w:gridSpan w:val="3"/>
            <w:tcBorders>
              <w:top w:val="single" w:sz="8" w:space="0" w:color="auto"/>
              <w:left w:val="nil"/>
              <w:bottom w:val="single" w:sz="8" w:space="0" w:color="auto"/>
              <w:right w:val="single" w:sz="8" w:space="0" w:color="000000"/>
            </w:tcBorders>
            <w:shd w:val="clear" w:color="auto" w:fill="auto"/>
            <w:vAlign w:val="center"/>
          </w:tcPr>
          <w:p w14:paraId="7CC57F11" w14:textId="77777777" w:rsidR="00854ADA" w:rsidRPr="00FF386D" w:rsidRDefault="00854ADA" w:rsidP="00854ADA">
            <w:pPr>
              <w:numPr>
                <w:ilvl w:val="0"/>
                <w:numId w:val="212"/>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заштите животне средине</w:t>
            </w:r>
          </w:p>
          <w:p w14:paraId="3FA8A065" w14:textId="77777777" w:rsidR="00854ADA" w:rsidRPr="00FF386D" w:rsidRDefault="00854ADA" w:rsidP="00854ADA">
            <w:pPr>
              <w:numPr>
                <w:ilvl w:val="0"/>
                <w:numId w:val="212"/>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пољопривреде, шумарства и водопривреде</w:t>
            </w:r>
          </w:p>
        </w:tc>
      </w:tr>
      <w:tr w:rsidR="00854ADA" w:rsidRPr="00FF386D" w14:paraId="01DF925F" w14:textId="77777777" w:rsidTr="0057310C">
        <w:trPr>
          <w:trHeight w:val="315"/>
        </w:trPr>
        <w:tc>
          <w:tcPr>
            <w:tcW w:w="3270" w:type="dxa"/>
            <w:tcBorders>
              <w:top w:val="nil"/>
              <w:left w:val="single" w:sz="8" w:space="0" w:color="auto"/>
              <w:bottom w:val="single" w:sz="8" w:space="0" w:color="auto"/>
              <w:right w:val="nil"/>
            </w:tcBorders>
            <w:shd w:val="clear" w:color="000000" w:fill="244062"/>
            <w:vAlign w:val="center"/>
            <w:hideMark/>
          </w:tcPr>
          <w:p w14:paraId="722002C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511731D5" w14:textId="2827150F" w:rsidR="00854ADA" w:rsidRPr="000A2AFE" w:rsidRDefault="00854ADA" w:rsidP="000A2AFE">
            <w:pPr>
              <w:pStyle w:val="ListParagraph"/>
              <w:numPr>
                <w:ilvl w:val="0"/>
                <w:numId w:val="348"/>
              </w:numPr>
              <w:spacing w:after="0" w:line="240" w:lineRule="auto"/>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 xml:space="preserve">Број фарми (краве музаре и друге животиње као проценат укупне популације) на којима је </w:t>
            </w:r>
            <w:r w:rsidR="00CC2BD9" w:rsidRPr="000A2AFE">
              <w:rPr>
                <w:rFonts w:ascii="Calibri Light" w:eastAsia="Times New Roman" w:hAnsi="Calibri Light" w:cs="Calibri Light"/>
                <w:color w:val="000000"/>
                <w:sz w:val="20"/>
                <w:szCs w:val="20"/>
                <w:lang w:eastAsia="en-GB"/>
              </w:rPr>
              <w:t>спровођено</w:t>
            </w:r>
            <w:r w:rsidRPr="000A2AFE">
              <w:rPr>
                <w:rFonts w:ascii="Calibri Light" w:eastAsia="Times New Roman" w:hAnsi="Calibri Light" w:cs="Calibri Light"/>
                <w:color w:val="000000"/>
                <w:sz w:val="20"/>
                <w:szCs w:val="20"/>
                <w:lang w:eastAsia="en-GB"/>
              </w:rPr>
              <w:t xml:space="preserve"> модификовано управљање стајским ђубривом, током периода од 2-5 године, смањење емисија CH</w:t>
            </w:r>
            <w:r w:rsidRPr="000A2AFE">
              <w:rPr>
                <w:rFonts w:ascii="Calibri Light" w:eastAsia="Times New Roman" w:hAnsi="Calibri Light" w:cs="Calibri Light"/>
                <w:color w:val="000000"/>
                <w:sz w:val="20"/>
                <w:szCs w:val="20"/>
                <w:vertAlign w:val="subscript"/>
                <w:lang w:eastAsia="en-GB"/>
              </w:rPr>
              <w:t>4</w:t>
            </w:r>
            <w:r w:rsidRPr="000A2AFE">
              <w:rPr>
                <w:rFonts w:ascii="Calibri Light" w:eastAsia="Times New Roman" w:hAnsi="Calibri Light" w:cs="Calibri Light"/>
                <w:color w:val="000000"/>
                <w:sz w:val="20"/>
                <w:szCs w:val="20"/>
                <w:lang w:eastAsia="en-GB"/>
              </w:rPr>
              <w:t>и N</w:t>
            </w:r>
            <w:r w:rsidRPr="000A2AFE">
              <w:rPr>
                <w:rFonts w:ascii="Calibri Light" w:eastAsia="Times New Roman" w:hAnsi="Calibri Light" w:cs="Calibri Light"/>
                <w:color w:val="000000"/>
                <w:sz w:val="20"/>
                <w:szCs w:val="20"/>
                <w:vertAlign w:val="subscript"/>
                <w:lang w:eastAsia="en-GB"/>
              </w:rPr>
              <w:t>2</w:t>
            </w:r>
            <w:r w:rsidRPr="000A2AFE">
              <w:rPr>
                <w:rFonts w:ascii="Calibri Light" w:eastAsia="Times New Roman" w:hAnsi="Calibri Light" w:cs="Calibri Light"/>
                <w:color w:val="000000"/>
                <w:sz w:val="20"/>
                <w:szCs w:val="20"/>
                <w:lang w:eastAsia="en-GB"/>
              </w:rPr>
              <w:t>O (Gg CO2-eq)</w:t>
            </w:r>
          </w:p>
        </w:tc>
      </w:tr>
      <w:tr w:rsidR="00854ADA" w:rsidRPr="00FF386D" w14:paraId="34878E1A" w14:textId="77777777" w:rsidTr="0057310C">
        <w:trPr>
          <w:trHeight w:val="391"/>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78FEFFC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88" w:type="dxa"/>
            <w:gridSpan w:val="3"/>
            <w:tcBorders>
              <w:top w:val="single" w:sz="8" w:space="0" w:color="auto"/>
              <w:left w:val="nil"/>
              <w:bottom w:val="single" w:sz="8" w:space="0" w:color="auto"/>
              <w:right w:val="single" w:sz="8" w:space="0" w:color="000000"/>
            </w:tcBorders>
            <w:shd w:val="clear" w:color="auto" w:fill="auto"/>
            <w:vAlign w:val="center"/>
          </w:tcPr>
          <w:p w14:paraId="69A686A0"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p>
        </w:tc>
      </w:tr>
      <w:tr w:rsidR="00854ADA" w:rsidRPr="00FF386D" w14:paraId="033B7E47" w14:textId="77777777" w:rsidTr="0057310C">
        <w:trPr>
          <w:trHeight w:val="450"/>
        </w:trPr>
        <w:tc>
          <w:tcPr>
            <w:tcW w:w="3270"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4F635D73" w14:textId="3AF173EB"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88"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3204F519" w14:textId="42857A6C" w:rsidR="00854ADA" w:rsidRPr="00FF386D" w:rsidRDefault="00854ADA" w:rsidP="00854ADA">
            <w:pPr>
              <w:numPr>
                <w:ilvl w:val="0"/>
                <w:numId w:val="108"/>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Уредба 2018/</w:t>
            </w:r>
            <w:r w:rsidR="007715B3">
              <w:rPr>
                <w:rFonts w:ascii="Calibri Light" w:eastAsia="Times New Roman" w:hAnsi="Calibri Light" w:cs="Calibri Light"/>
                <w:color w:val="000000"/>
                <w:sz w:val="20"/>
                <w:szCs w:val="20"/>
                <w:lang w:eastAsia="en-GB"/>
              </w:rPr>
              <w:t>1999</w:t>
            </w:r>
          </w:p>
        </w:tc>
      </w:tr>
      <w:tr w:rsidR="00854ADA" w:rsidRPr="00FF386D" w14:paraId="231C1965" w14:textId="77777777" w:rsidTr="0057310C">
        <w:trPr>
          <w:trHeight w:val="450"/>
        </w:trPr>
        <w:tc>
          <w:tcPr>
            <w:tcW w:w="3270" w:type="dxa"/>
            <w:vMerge/>
            <w:tcBorders>
              <w:top w:val="nil"/>
              <w:left w:val="single" w:sz="8" w:space="0" w:color="auto"/>
              <w:bottom w:val="single" w:sz="8" w:space="0" w:color="000000"/>
              <w:right w:val="single" w:sz="8" w:space="0" w:color="auto"/>
            </w:tcBorders>
            <w:vAlign w:val="center"/>
            <w:hideMark/>
          </w:tcPr>
          <w:p w14:paraId="1C68142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88" w:type="dxa"/>
            <w:gridSpan w:val="3"/>
            <w:vMerge/>
            <w:tcBorders>
              <w:top w:val="single" w:sz="8" w:space="0" w:color="auto"/>
              <w:left w:val="single" w:sz="8" w:space="0" w:color="auto"/>
              <w:bottom w:val="single" w:sz="8" w:space="0" w:color="000000"/>
              <w:right w:val="single" w:sz="8" w:space="0" w:color="000000"/>
            </w:tcBorders>
            <w:vAlign w:val="center"/>
            <w:hideMark/>
          </w:tcPr>
          <w:p w14:paraId="5FD90184" w14:textId="77777777" w:rsidR="00854ADA" w:rsidRPr="00FF386D" w:rsidRDefault="00854ADA" w:rsidP="00854ADA">
            <w:pPr>
              <w:numPr>
                <w:ilvl w:val="0"/>
                <w:numId w:val="108"/>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7CEC058B" w14:textId="77777777" w:rsidTr="0057310C">
        <w:trPr>
          <w:trHeight w:val="450"/>
        </w:trPr>
        <w:tc>
          <w:tcPr>
            <w:tcW w:w="3270" w:type="dxa"/>
            <w:vMerge/>
            <w:tcBorders>
              <w:top w:val="nil"/>
              <w:left w:val="single" w:sz="8" w:space="0" w:color="auto"/>
              <w:bottom w:val="single" w:sz="8" w:space="0" w:color="000000"/>
              <w:right w:val="single" w:sz="8" w:space="0" w:color="auto"/>
            </w:tcBorders>
            <w:vAlign w:val="center"/>
            <w:hideMark/>
          </w:tcPr>
          <w:p w14:paraId="0806F58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88" w:type="dxa"/>
            <w:gridSpan w:val="3"/>
            <w:vMerge/>
            <w:tcBorders>
              <w:top w:val="single" w:sz="8" w:space="0" w:color="auto"/>
              <w:left w:val="single" w:sz="8" w:space="0" w:color="auto"/>
              <w:bottom w:val="single" w:sz="8" w:space="0" w:color="000000"/>
              <w:right w:val="single" w:sz="8" w:space="0" w:color="000000"/>
            </w:tcBorders>
            <w:vAlign w:val="center"/>
            <w:hideMark/>
          </w:tcPr>
          <w:p w14:paraId="0E055073" w14:textId="77777777" w:rsidR="00854ADA" w:rsidRPr="00FF386D" w:rsidRDefault="00854ADA" w:rsidP="00854ADA">
            <w:pPr>
              <w:numPr>
                <w:ilvl w:val="0"/>
                <w:numId w:val="108"/>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3AA6588B" w14:textId="77777777" w:rsidTr="0057310C">
        <w:trPr>
          <w:trHeight w:val="283"/>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059DA76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29D710A5" w14:textId="52F39297" w:rsidR="00854ADA" w:rsidRPr="00FF386D" w:rsidRDefault="00854ADA" w:rsidP="00854ADA">
            <w:pPr>
              <w:numPr>
                <w:ilvl w:val="0"/>
                <w:numId w:val="108"/>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Стратегија нискоугљеничног развоја </w:t>
            </w:r>
            <w:r w:rsidR="007715B3" w:rsidRPr="007715B3">
              <w:rPr>
                <w:rFonts w:asciiTheme="majorHAnsi" w:eastAsia="Times New Roman" w:hAnsiTheme="majorHAnsi" w:cstheme="majorHAnsi"/>
                <w:color w:val="000000"/>
                <w:sz w:val="20"/>
                <w:szCs w:val="20"/>
                <w:lang w:eastAsia="en-GB"/>
              </w:rPr>
              <w:t>за период од 2023. до 2030. године са пројекцијама до 2050. године</w:t>
            </w:r>
          </w:p>
        </w:tc>
      </w:tr>
      <w:tr w:rsidR="00854ADA" w:rsidRPr="00FF386D" w14:paraId="28827018"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1A9F94B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7719814D"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9 милиона евра</w:t>
            </w:r>
          </w:p>
        </w:tc>
      </w:tr>
      <w:tr w:rsidR="00854ADA" w:rsidRPr="00FF386D" w14:paraId="0C718365"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2F130BC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88" w:type="dxa"/>
            <w:gridSpan w:val="3"/>
            <w:tcBorders>
              <w:top w:val="single" w:sz="8" w:space="0" w:color="auto"/>
              <w:left w:val="nil"/>
              <w:bottom w:val="single" w:sz="8" w:space="0" w:color="auto"/>
              <w:right w:val="single" w:sz="8" w:space="0" w:color="000000"/>
            </w:tcBorders>
            <w:shd w:val="clear" w:color="auto" w:fill="auto"/>
            <w:vAlign w:val="center"/>
          </w:tcPr>
          <w:p w14:paraId="08B7C0F1" w14:textId="6423987F"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CC2BD9" w:rsidRPr="00FF386D">
              <w:rPr>
                <w:rFonts w:asciiTheme="majorHAnsi" w:eastAsia="Times New Roman" w:hAnsiTheme="majorHAnsi" w:cstheme="majorHAnsi"/>
                <w:color w:val="000000"/>
                <w:sz w:val="20"/>
                <w:szCs w:val="20"/>
                <w:lang w:eastAsia="en-GB"/>
              </w:rPr>
              <w:t>ска средства</w:t>
            </w:r>
          </w:p>
        </w:tc>
      </w:tr>
    </w:tbl>
    <w:p w14:paraId="79CA62C0"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277"/>
        <w:gridCol w:w="1114"/>
        <w:gridCol w:w="936"/>
        <w:gridCol w:w="4131"/>
      </w:tblGrid>
      <w:tr w:rsidR="00854ADA" w:rsidRPr="00FF386D" w14:paraId="17EE9606" w14:textId="77777777" w:rsidTr="0057310C">
        <w:trPr>
          <w:trHeight w:val="780"/>
        </w:trPr>
        <w:tc>
          <w:tcPr>
            <w:tcW w:w="3277"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643B4E44"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1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523683E8"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МП_Д12</w:t>
            </w:r>
          </w:p>
        </w:tc>
        <w:tc>
          <w:tcPr>
            <w:tcW w:w="936" w:type="dxa"/>
            <w:tcBorders>
              <w:top w:val="single" w:sz="8" w:space="0" w:color="auto"/>
              <w:left w:val="nil"/>
              <w:bottom w:val="single" w:sz="8" w:space="0" w:color="auto"/>
              <w:right w:val="single" w:sz="8" w:space="0" w:color="auto"/>
            </w:tcBorders>
            <w:shd w:val="clear" w:color="000000" w:fill="244062"/>
            <w:vAlign w:val="center"/>
            <w:hideMark/>
          </w:tcPr>
          <w:p w14:paraId="106F492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31" w:type="dxa"/>
            <w:tcBorders>
              <w:top w:val="single" w:sz="8" w:space="0" w:color="auto"/>
              <w:left w:val="nil"/>
              <w:bottom w:val="single" w:sz="8" w:space="0" w:color="auto"/>
              <w:right w:val="single" w:sz="8" w:space="0" w:color="auto"/>
            </w:tcBorders>
            <w:shd w:val="clear" w:color="auto" w:fill="E7E6E6" w:themeFill="background2"/>
            <w:vAlign w:val="center"/>
            <w:hideMark/>
          </w:tcPr>
          <w:p w14:paraId="18553568" w14:textId="77777777" w:rsidR="00854ADA" w:rsidRPr="00FF386D" w:rsidRDefault="00854ADA" w:rsidP="00854ADA">
            <w:pPr>
              <w:spacing w:after="0" w:line="240" w:lineRule="auto"/>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Мере за смањење директних и индиректних емисија N</w:t>
            </w:r>
            <w:r w:rsidRPr="000A2AFE">
              <w:rPr>
                <w:rFonts w:ascii="Calibri Light" w:eastAsia="Times New Roman" w:hAnsi="Calibri Light" w:cs="Calibri Light"/>
                <w:b/>
                <w:bCs/>
                <w:color w:val="000000"/>
                <w:sz w:val="20"/>
                <w:szCs w:val="20"/>
                <w:vertAlign w:val="subscript"/>
                <w:lang w:eastAsia="en-GB"/>
              </w:rPr>
              <w:t>2</w:t>
            </w:r>
            <w:r w:rsidRPr="000A2AFE">
              <w:rPr>
                <w:rFonts w:ascii="Calibri Light" w:eastAsia="Times New Roman" w:hAnsi="Calibri Light" w:cs="Calibri Light"/>
                <w:b/>
                <w:bCs/>
                <w:color w:val="000000"/>
                <w:sz w:val="20"/>
                <w:szCs w:val="20"/>
                <w:lang w:eastAsia="en-GB"/>
              </w:rPr>
              <w:t>O из земљишта којим се управља</w:t>
            </w:r>
          </w:p>
        </w:tc>
      </w:tr>
      <w:tr w:rsidR="00854ADA" w:rsidRPr="00FF386D" w14:paraId="3C0CAEB9" w14:textId="77777777" w:rsidTr="0057310C">
        <w:trPr>
          <w:trHeight w:val="332"/>
        </w:trPr>
        <w:tc>
          <w:tcPr>
            <w:tcW w:w="3277" w:type="dxa"/>
            <w:tcBorders>
              <w:top w:val="nil"/>
              <w:left w:val="single" w:sz="8" w:space="0" w:color="auto"/>
              <w:bottom w:val="single" w:sz="8" w:space="0" w:color="auto"/>
              <w:right w:val="nil"/>
            </w:tcBorders>
            <w:shd w:val="clear" w:color="000000" w:fill="244062"/>
            <w:vAlign w:val="center"/>
            <w:hideMark/>
          </w:tcPr>
          <w:p w14:paraId="36FE235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4E9EC587"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Смањење емисија N</w:t>
            </w:r>
            <w:r w:rsidRPr="000A2AFE">
              <w:rPr>
                <w:rFonts w:ascii="Calibri Light" w:eastAsia="Times New Roman" w:hAnsi="Calibri Light" w:cs="Calibri Light"/>
                <w:color w:val="000000"/>
                <w:sz w:val="20"/>
                <w:szCs w:val="20"/>
                <w:vertAlign w:val="subscript"/>
                <w:lang w:eastAsia="en-GB"/>
              </w:rPr>
              <w:t>2</w:t>
            </w:r>
            <w:r w:rsidRPr="000A2AFE">
              <w:rPr>
                <w:rFonts w:ascii="Calibri Light" w:eastAsia="Times New Roman" w:hAnsi="Calibri Light" w:cs="Calibri Light"/>
                <w:color w:val="000000"/>
                <w:sz w:val="20"/>
                <w:szCs w:val="20"/>
                <w:lang w:eastAsia="en-GB"/>
              </w:rPr>
              <w:t>O</w:t>
            </w:r>
          </w:p>
        </w:tc>
      </w:tr>
      <w:tr w:rsidR="00854ADA" w:rsidRPr="00FF386D" w14:paraId="3A7800F1"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4D97D18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544D746B" w14:textId="55BAF093" w:rsidR="00854ADA" w:rsidRPr="00FF386D" w:rsidRDefault="009F4D23" w:rsidP="00854ADA">
            <w:pPr>
              <w:spacing w:after="0" w:line="240" w:lineRule="auto"/>
              <w:rPr>
                <w:rFonts w:asciiTheme="majorHAnsi" w:eastAsia="Times New Roman" w:hAnsiTheme="majorHAnsi" w:cstheme="majorHAnsi"/>
                <w:color w:val="000000"/>
                <w:sz w:val="20"/>
                <w:szCs w:val="20"/>
                <w:lang w:eastAsia="en-GB"/>
              </w:rPr>
            </w:pPr>
            <w:r w:rsidRPr="009F4D23">
              <w:rPr>
                <w:rFonts w:ascii="Calibri Light" w:eastAsia="Times New Roman" w:hAnsi="Calibri Light" w:cs="Calibri Light"/>
                <w:color w:val="000000"/>
                <w:sz w:val="20"/>
                <w:szCs w:val="20"/>
                <w:lang w:eastAsia="en-GB"/>
              </w:rPr>
              <w:t>Допринос циљу смањења емисија GHG за 40,3% (укључује</w:t>
            </w:r>
            <w:r w:rsidRPr="00C312D6">
              <w:rPr>
                <w:rFonts w:ascii="Calibri Light" w:eastAsia="Times New Roman" w:hAnsi="Calibri Light" w:cs="Calibri Light"/>
                <w:i/>
                <w:iCs/>
                <w:color w:val="000000"/>
                <w:sz w:val="20"/>
                <w:szCs w:val="20"/>
                <w:lang w:eastAsia="en-GB"/>
              </w:rPr>
              <w:t xml:space="preserve"> LULUCF</w:t>
            </w:r>
            <w:r w:rsidRPr="009F4D23">
              <w:rPr>
                <w:rFonts w:ascii="Calibri Light" w:eastAsia="Times New Roman" w:hAnsi="Calibri Light" w:cs="Calibri Light"/>
                <w:color w:val="000000"/>
                <w:sz w:val="20"/>
                <w:szCs w:val="20"/>
                <w:lang w:eastAsia="en-GB"/>
              </w:rPr>
              <w:t>) до 2030. године у поређењу са нивоима из 1990. године</w:t>
            </w:r>
          </w:p>
        </w:tc>
      </w:tr>
      <w:tr w:rsidR="00854ADA" w:rsidRPr="00FF386D" w14:paraId="0DEB2AF1" w14:textId="77777777" w:rsidTr="0057310C">
        <w:trPr>
          <w:trHeight w:val="229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28C8EFC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3FA25631" w14:textId="0D875924" w:rsidR="00854ADA" w:rsidRPr="000A2AFE"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МП_Д12 ће омогућити смањење емисија N</w:t>
            </w:r>
            <w:r w:rsidRPr="000A2AFE">
              <w:rPr>
                <w:rFonts w:ascii="Calibri Light" w:eastAsia="Times New Roman" w:hAnsi="Calibri Light" w:cs="Calibri Light"/>
                <w:color w:val="000000"/>
                <w:sz w:val="20"/>
                <w:szCs w:val="20"/>
                <w:vertAlign w:val="subscript"/>
                <w:lang w:eastAsia="en-GB"/>
              </w:rPr>
              <w:t>2</w:t>
            </w:r>
            <w:r w:rsidRPr="000A2AFE">
              <w:rPr>
                <w:rFonts w:ascii="Calibri Light" w:eastAsia="Times New Roman" w:hAnsi="Calibri Light" w:cs="Calibri Light"/>
                <w:color w:val="000000"/>
                <w:sz w:val="20"/>
                <w:szCs w:val="20"/>
                <w:lang w:eastAsia="en-GB"/>
              </w:rPr>
              <w:t xml:space="preserve">O из </w:t>
            </w:r>
            <w:r w:rsidR="00B04CBD" w:rsidRPr="000A2AFE">
              <w:rPr>
                <w:rFonts w:ascii="Calibri Light" w:eastAsia="Times New Roman" w:hAnsi="Calibri Light" w:cs="Calibri Light"/>
                <w:color w:val="000000"/>
                <w:sz w:val="20"/>
                <w:szCs w:val="20"/>
                <w:lang w:eastAsia="en-GB"/>
              </w:rPr>
              <w:t xml:space="preserve">управљаног </w:t>
            </w:r>
            <w:r w:rsidRPr="000A2AFE">
              <w:rPr>
                <w:rFonts w:ascii="Calibri Light" w:eastAsia="Times New Roman" w:hAnsi="Calibri Light" w:cs="Calibri Light"/>
                <w:color w:val="000000"/>
                <w:sz w:val="20"/>
                <w:szCs w:val="20"/>
                <w:lang w:eastAsia="en-GB"/>
              </w:rPr>
              <w:t xml:space="preserve">земљишта </w:t>
            </w:r>
            <w:r w:rsidR="00B04CBD" w:rsidRPr="000A2AFE">
              <w:rPr>
                <w:rFonts w:ascii="Calibri Light" w:eastAsia="Times New Roman" w:hAnsi="Calibri Light" w:cs="Calibri Light"/>
                <w:color w:val="000000"/>
                <w:sz w:val="20"/>
                <w:szCs w:val="20"/>
                <w:lang w:eastAsia="en-GB"/>
              </w:rPr>
              <w:t xml:space="preserve">оквирно </w:t>
            </w:r>
            <w:r w:rsidRPr="000A2AFE">
              <w:rPr>
                <w:rFonts w:ascii="Calibri Light" w:eastAsia="Times New Roman" w:hAnsi="Calibri Light" w:cs="Calibri Light"/>
                <w:color w:val="000000"/>
                <w:sz w:val="20"/>
                <w:szCs w:val="20"/>
                <w:lang w:eastAsia="en-GB"/>
              </w:rPr>
              <w:t>на следеће начине:</w:t>
            </w:r>
          </w:p>
          <w:p w14:paraId="51D16D8B" w14:textId="1C7363A0" w:rsidR="00854ADA" w:rsidRPr="000A2AFE" w:rsidRDefault="00854ADA" w:rsidP="00854ADA">
            <w:pPr>
              <w:numPr>
                <w:ilvl w:val="0"/>
                <w:numId w:val="7"/>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Коришћењем мање количине азотних ђубрива.</w:t>
            </w:r>
          </w:p>
          <w:p w14:paraId="6A643BDE" w14:textId="11C1A569" w:rsidR="00854ADA" w:rsidRPr="000A2AFE" w:rsidRDefault="00854ADA" w:rsidP="00854ADA">
            <w:pPr>
              <w:numPr>
                <w:ilvl w:val="0"/>
                <w:numId w:val="7"/>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Коришћењем </w:t>
            </w:r>
            <w:r w:rsidR="006A4689" w:rsidRPr="000A2AFE">
              <w:rPr>
                <w:rFonts w:ascii="Calibri Light" w:eastAsia="Times New Roman" w:hAnsi="Calibri Light" w:cs="Calibri Light"/>
                <w:color w:val="000000"/>
                <w:sz w:val="20"/>
                <w:szCs w:val="20"/>
                <w:lang w:eastAsia="en-GB"/>
              </w:rPr>
              <w:t>сплит апликације</w:t>
            </w:r>
            <w:r w:rsidRPr="000A2AFE">
              <w:rPr>
                <w:rFonts w:ascii="Calibri Light" w:eastAsia="Times New Roman" w:hAnsi="Calibri Light" w:cs="Calibri Light"/>
                <w:color w:val="000000"/>
                <w:sz w:val="20"/>
                <w:szCs w:val="20"/>
                <w:lang w:eastAsia="en-GB"/>
              </w:rPr>
              <w:t xml:space="preserve"> азотних ђубрива.</w:t>
            </w:r>
          </w:p>
          <w:p w14:paraId="2259B3B4" w14:textId="4CF3603F" w:rsidR="00854ADA" w:rsidRPr="000A2AFE" w:rsidRDefault="00854ADA" w:rsidP="00854ADA">
            <w:pPr>
              <w:numPr>
                <w:ilvl w:val="0"/>
                <w:numId w:val="7"/>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Коришћењем усева легуминозе или пашњака уместо азотног ђубрива у плодореду.</w:t>
            </w:r>
          </w:p>
          <w:p w14:paraId="664FC420" w14:textId="2FC02615" w:rsidR="00854ADA" w:rsidRPr="000A2AFE" w:rsidRDefault="00854ADA" w:rsidP="00854ADA">
            <w:pPr>
              <w:numPr>
                <w:ilvl w:val="0"/>
                <w:numId w:val="7"/>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Минималном обрадом тла приликом сетве.</w:t>
            </w:r>
          </w:p>
          <w:p w14:paraId="1D23E142" w14:textId="7981BB42" w:rsidR="00854ADA" w:rsidRPr="000A2AFE" w:rsidRDefault="00854ADA" w:rsidP="00854ADA">
            <w:pPr>
              <w:numPr>
                <w:ilvl w:val="0"/>
                <w:numId w:val="7"/>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Спречавањем натапања.</w:t>
            </w:r>
          </w:p>
          <w:p w14:paraId="04856E75" w14:textId="00F9C5B2" w:rsidR="00854ADA" w:rsidRPr="00FF386D" w:rsidRDefault="00854ADA" w:rsidP="00854ADA">
            <w:pPr>
              <w:numPr>
                <w:ilvl w:val="0"/>
                <w:numId w:val="7"/>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Коришћењем инхибитора нитрификације.</w:t>
            </w:r>
          </w:p>
        </w:tc>
      </w:tr>
      <w:tr w:rsidR="00854ADA" w:rsidRPr="00FF386D" w14:paraId="1AACDA72"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11DB080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1ACF383A" w14:textId="06DC2C2C" w:rsidR="00854ADA" w:rsidRPr="00FF386D" w:rsidRDefault="001B3BD5"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202</w:t>
            </w:r>
            <w:r>
              <w:rPr>
                <w:rFonts w:ascii="Calibri Light" w:eastAsia="Times New Roman" w:hAnsi="Calibri Light" w:cs="Calibri Light"/>
                <w:color w:val="000000"/>
                <w:sz w:val="20"/>
                <w:szCs w:val="20"/>
                <w:lang w:val="sr-Latn-RS" w:eastAsia="en-GB"/>
              </w:rPr>
              <w:t>4</w:t>
            </w:r>
            <w:r w:rsidR="00854ADA" w:rsidRPr="000A2AFE">
              <w:rPr>
                <w:rFonts w:ascii="Calibri Light" w:eastAsia="Times New Roman" w:hAnsi="Calibri Light" w:cs="Calibri Light"/>
                <w:color w:val="000000"/>
                <w:sz w:val="20"/>
                <w:szCs w:val="20"/>
                <w:lang w:eastAsia="en-GB"/>
              </w:rPr>
              <w:t>-2030.</w:t>
            </w:r>
          </w:p>
        </w:tc>
      </w:tr>
      <w:tr w:rsidR="00854ADA" w:rsidRPr="00FF386D" w14:paraId="6A2F4B3C"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744504E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16DAFD2C"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Инвестиције</w:t>
            </w:r>
          </w:p>
        </w:tc>
      </w:tr>
      <w:tr w:rsidR="00854ADA" w:rsidRPr="00FF386D" w14:paraId="79F6AF8B"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33663D3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74479A48" w14:textId="6491C0C1"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Пољопривреда</w:t>
            </w:r>
            <w:r w:rsidR="001B3BD5">
              <w:rPr>
                <w:rFonts w:ascii="Calibri Light" w:eastAsia="Times New Roman" w:hAnsi="Calibri Light" w:cs="Calibri Light"/>
                <w:color w:val="000000"/>
                <w:sz w:val="20"/>
                <w:szCs w:val="20"/>
                <w:lang w:eastAsia="en-GB"/>
              </w:rPr>
              <w:t xml:space="preserve"> и</w:t>
            </w:r>
            <w:r w:rsidR="001B3BD5" w:rsidRPr="006171AE">
              <w:rPr>
                <w:rFonts w:ascii="Calibri Light" w:eastAsia="Times New Roman" w:hAnsi="Calibri Light" w:cs="Calibri Light"/>
                <w:i/>
                <w:iCs/>
                <w:color w:val="000000"/>
                <w:sz w:val="20"/>
                <w:szCs w:val="20"/>
                <w:lang w:eastAsia="en-GB"/>
              </w:rPr>
              <w:t xml:space="preserve"> </w:t>
            </w:r>
            <w:r w:rsidR="001B3BD5" w:rsidRPr="006171AE">
              <w:rPr>
                <w:rFonts w:ascii="Calibri Light" w:eastAsia="Times New Roman" w:hAnsi="Calibri Light" w:cs="Calibri Light"/>
                <w:i/>
                <w:iCs/>
                <w:color w:val="000000"/>
                <w:sz w:val="20"/>
                <w:szCs w:val="20"/>
                <w:lang w:val="en-US" w:eastAsia="en-GB"/>
              </w:rPr>
              <w:t>LULUCF</w:t>
            </w:r>
          </w:p>
        </w:tc>
      </w:tr>
      <w:tr w:rsidR="00854ADA" w:rsidRPr="00FF386D" w14:paraId="57041698"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07B95D3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6923514C" w14:textId="77777777" w:rsidR="00854ADA" w:rsidRPr="000A2AFE" w:rsidRDefault="00854ADA" w:rsidP="00854ADA">
            <w:pPr>
              <w:numPr>
                <w:ilvl w:val="0"/>
                <w:numId w:val="213"/>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пољопривреде, шумарства и водопривреде</w:t>
            </w:r>
          </w:p>
          <w:p w14:paraId="1EB62034" w14:textId="77777777" w:rsidR="001B3BD5" w:rsidRPr="001B3BD5" w:rsidRDefault="001B3BD5" w:rsidP="001B3BD5">
            <w:pPr>
              <w:numPr>
                <w:ilvl w:val="0"/>
                <w:numId w:val="213"/>
              </w:numPr>
              <w:spacing w:after="0" w:line="240" w:lineRule="auto"/>
              <w:contextualSpacing/>
              <w:jc w:val="both"/>
              <w:rPr>
                <w:rFonts w:asciiTheme="majorHAnsi" w:eastAsia="Times New Roman" w:hAnsiTheme="majorHAnsi" w:cstheme="majorHAnsi"/>
                <w:color w:val="000000"/>
                <w:sz w:val="20"/>
                <w:szCs w:val="20"/>
                <w:lang w:eastAsia="en-GB"/>
              </w:rPr>
            </w:pPr>
            <w:r w:rsidRPr="001B3BD5">
              <w:rPr>
                <w:rFonts w:asciiTheme="majorHAnsi" w:eastAsia="Times New Roman" w:hAnsiTheme="majorHAnsi" w:cstheme="majorHAnsi"/>
                <w:color w:val="000000"/>
                <w:sz w:val="20"/>
                <w:szCs w:val="20"/>
                <w:lang w:eastAsia="en-GB"/>
              </w:rPr>
              <w:t>Управа за аграрна плаћања</w:t>
            </w:r>
          </w:p>
          <w:p w14:paraId="4BFE2E1A" w14:textId="77777777" w:rsidR="001B3BD5" w:rsidRPr="001B3BD5" w:rsidRDefault="001B3BD5" w:rsidP="001B3BD5">
            <w:pPr>
              <w:numPr>
                <w:ilvl w:val="0"/>
                <w:numId w:val="213"/>
              </w:numPr>
              <w:spacing w:after="0" w:line="240" w:lineRule="auto"/>
              <w:contextualSpacing/>
              <w:jc w:val="both"/>
              <w:rPr>
                <w:rFonts w:asciiTheme="majorHAnsi" w:eastAsia="Times New Roman" w:hAnsiTheme="majorHAnsi" w:cstheme="majorHAnsi"/>
                <w:color w:val="000000"/>
                <w:sz w:val="20"/>
                <w:szCs w:val="20"/>
                <w:lang w:eastAsia="en-GB"/>
              </w:rPr>
            </w:pPr>
            <w:r w:rsidRPr="001B3BD5">
              <w:rPr>
                <w:rFonts w:asciiTheme="majorHAnsi" w:eastAsia="Times New Roman" w:hAnsiTheme="majorHAnsi" w:cstheme="majorHAnsi"/>
                <w:color w:val="000000"/>
                <w:sz w:val="20"/>
                <w:szCs w:val="20"/>
                <w:lang w:eastAsia="en-GB"/>
              </w:rPr>
              <w:t>Управа за пољопривредно земљиште</w:t>
            </w:r>
          </w:p>
          <w:p w14:paraId="713B72A9" w14:textId="77777777" w:rsidR="001B3BD5" w:rsidRPr="001B3BD5" w:rsidRDefault="001B3BD5" w:rsidP="001B3BD5">
            <w:pPr>
              <w:numPr>
                <w:ilvl w:val="0"/>
                <w:numId w:val="213"/>
              </w:numPr>
              <w:spacing w:after="0" w:line="240" w:lineRule="auto"/>
              <w:contextualSpacing/>
              <w:jc w:val="both"/>
              <w:rPr>
                <w:rFonts w:asciiTheme="majorHAnsi" w:eastAsia="Times New Roman" w:hAnsiTheme="majorHAnsi" w:cstheme="majorHAnsi"/>
                <w:color w:val="000000"/>
                <w:sz w:val="20"/>
                <w:szCs w:val="20"/>
                <w:lang w:eastAsia="en-GB"/>
              </w:rPr>
            </w:pPr>
            <w:r w:rsidRPr="001B3BD5">
              <w:rPr>
                <w:rFonts w:asciiTheme="majorHAnsi" w:eastAsia="Times New Roman" w:hAnsiTheme="majorHAnsi" w:cstheme="majorHAnsi"/>
                <w:color w:val="000000"/>
                <w:sz w:val="20"/>
                <w:szCs w:val="20"/>
                <w:lang w:eastAsia="en-GB"/>
              </w:rPr>
              <w:t>Пољопривредници</w:t>
            </w:r>
          </w:p>
          <w:p w14:paraId="6D39A1E1" w14:textId="10AAA7B9" w:rsidR="001B3BD5" w:rsidRPr="00FF386D" w:rsidRDefault="001B3BD5" w:rsidP="001B3BD5">
            <w:pPr>
              <w:numPr>
                <w:ilvl w:val="0"/>
                <w:numId w:val="213"/>
              </w:numPr>
              <w:spacing w:after="0" w:line="240" w:lineRule="auto"/>
              <w:contextualSpacing/>
              <w:jc w:val="both"/>
              <w:rPr>
                <w:rFonts w:asciiTheme="majorHAnsi" w:eastAsia="Times New Roman" w:hAnsiTheme="majorHAnsi" w:cstheme="majorHAnsi"/>
                <w:color w:val="000000"/>
                <w:sz w:val="20"/>
                <w:szCs w:val="20"/>
                <w:lang w:eastAsia="en-GB"/>
              </w:rPr>
            </w:pPr>
            <w:r w:rsidRPr="001B3BD5">
              <w:rPr>
                <w:rFonts w:asciiTheme="majorHAnsi" w:eastAsia="Times New Roman" w:hAnsiTheme="majorHAnsi" w:cstheme="majorHAnsi"/>
                <w:color w:val="000000"/>
                <w:sz w:val="20"/>
                <w:szCs w:val="20"/>
                <w:lang w:eastAsia="en-GB"/>
              </w:rPr>
              <w:t>Истраживачки институти</w:t>
            </w:r>
          </w:p>
        </w:tc>
      </w:tr>
      <w:tr w:rsidR="00854ADA" w:rsidRPr="00FF386D" w14:paraId="14D4666B" w14:textId="77777777" w:rsidTr="0057310C">
        <w:trPr>
          <w:trHeight w:val="315"/>
        </w:trPr>
        <w:tc>
          <w:tcPr>
            <w:tcW w:w="3277" w:type="dxa"/>
            <w:tcBorders>
              <w:top w:val="nil"/>
              <w:left w:val="single" w:sz="8" w:space="0" w:color="auto"/>
              <w:bottom w:val="single" w:sz="8" w:space="0" w:color="auto"/>
              <w:right w:val="nil"/>
            </w:tcBorders>
            <w:shd w:val="clear" w:color="000000" w:fill="244062"/>
            <w:vAlign w:val="center"/>
            <w:hideMark/>
          </w:tcPr>
          <w:p w14:paraId="52E3A7C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81" w:type="dxa"/>
            <w:gridSpan w:val="3"/>
            <w:tcBorders>
              <w:top w:val="single" w:sz="8" w:space="0" w:color="auto"/>
              <w:left w:val="nil"/>
              <w:bottom w:val="single" w:sz="8" w:space="0" w:color="auto"/>
              <w:right w:val="single" w:sz="8" w:space="0" w:color="000000"/>
            </w:tcBorders>
            <w:shd w:val="clear" w:color="auto" w:fill="auto"/>
            <w:vAlign w:val="center"/>
          </w:tcPr>
          <w:p w14:paraId="02A74520" w14:textId="77777777" w:rsidR="00854ADA" w:rsidRPr="00FF386D" w:rsidRDefault="00854ADA" w:rsidP="00854ADA">
            <w:pPr>
              <w:numPr>
                <w:ilvl w:val="0"/>
                <w:numId w:val="212"/>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заштите животне средине</w:t>
            </w:r>
          </w:p>
          <w:p w14:paraId="66137DF7" w14:textId="3742D376" w:rsidR="00854ADA" w:rsidRPr="00FF386D" w:rsidRDefault="00732182" w:rsidP="00854ADA">
            <w:pPr>
              <w:numPr>
                <w:ilvl w:val="0"/>
                <w:numId w:val="213"/>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w:t>
            </w:r>
            <w:r w:rsidR="00854ADA" w:rsidRPr="00FF386D">
              <w:rPr>
                <w:rFonts w:asciiTheme="majorHAnsi" w:eastAsia="Times New Roman" w:hAnsiTheme="majorHAnsi" w:cstheme="majorHAnsi"/>
                <w:color w:val="000000"/>
                <w:sz w:val="20"/>
                <w:szCs w:val="20"/>
                <w:lang w:eastAsia="en-GB"/>
              </w:rPr>
              <w:t xml:space="preserve"> пољопривреде, шумарства и водопривреде</w:t>
            </w:r>
          </w:p>
        </w:tc>
      </w:tr>
      <w:tr w:rsidR="00854ADA" w:rsidRPr="00FF386D" w14:paraId="4FECCF0F" w14:textId="77777777" w:rsidTr="0057310C">
        <w:trPr>
          <w:trHeight w:val="315"/>
        </w:trPr>
        <w:tc>
          <w:tcPr>
            <w:tcW w:w="3277" w:type="dxa"/>
            <w:tcBorders>
              <w:top w:val="nil"/>
              <w:left w:val="single" w:sz="8" w:space="0" w:color="auto"/>
              <w:bottom w:val="single" w:sz="8" w:space="0" w:color="auto"/>
              <w:right w:val="nil"/>
            </w:tcBorders>
            <w:shd w:val="clear" w:color="000000" w:fill="244062"/>
            <w:vAlign w:val="center"/>
            <w:hideMark/>
          </w:tcPr>
          <w:p w14:paraId="3369E0C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7FE00355" w14:textId="77777777" w:rsidR="00854ADA" w:rsidRPr="000A2AFE" w:rsidRDefault="00854ADA" w:rsidP="000A2AFE">
            <w:pPr>
              <w:pStyle w:val="ListParagraph"/>
              <w:numPr>
                <w:ilvl w:val="0"/>
                <w:numId w:val="213"/>
              </w:num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Годишње смањење емисија N</w:t>
            </w:r>
            <w:r w:rsidRPr="000A2AFE">
              <w:rPr>
                <w:rFonts w:ascii="Calibri Light" w:eastAsia="Times New Roman" w:hAnsi="Calibri Light" w:cs="Calibri Light"/>
                <w:color w:val="000000"/>
                <w:sz w:val="20"/>
                <w:szCs w:val="20"/>
                <w:vertAlign w:val="subscript"/>
                <w:lang w:eastAsia="en-GB"/>
              </w:rPr>
              <w:t>2</w:t>
            </w:r>
            <w:r w:rsidRPr="000A2AFE">
              <w:rPr>
                <w:rFonts w:ascii="Calibri Light" w:eastAsia="Times New Roman" w:hAnsi="Calibri Light" w:cs="Calibri Light"/>
                <w:color w:val="000000"/>
                <w:sz w:val="20"/>
                <w:szCs w:val="20"/>
                <w:lang w:eastAsia="en-GB"/>
              </w:rPr>
              <w:t>O (Gg CO2-eq)</w:t>
            </w:r>
          </w:p>
        </w:tc>
      </w:tr>
      <w:tr w:rsidR="00854ADA" w:rsidRPr="00FF386D" w14:paraId="57D3CA6C" w14:textId="77777777" w:rsidTr="0057310C">
        <w:trPr>
          <w:trHeight w:val="574"/>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4AD063F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81" w:type="dxa"/>
            <w:gridSpan w:val="3"/>
            <w:tcBorders>
              <w:top w:val="single" w:sz="8" w:space="0" w:color="auto"/>
              <w:left w:val="nil"/>
              <w:bottom w:val="single" w:sz="8" w:space="0" w:color="auto"/>
              <w:right w:val="single" w:sz="8" w:space="0" w:color="000000"/>
            </w:tcBorders>
            <w:shd w:val="clear" w:color="auto" w:fill="auto"/>
            <w:vAlign w:val="center"/>
          </w:tcPr>
          <w:p w14:paraId="3797DBB0"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p>
        </w:tc>
      </w:tr>
      <w:tr w:rsidR="00854ADA" w:rsidRPr="00FF386D" w14:paraId="1ABF8406" w14:textId="77777777" w:rsidTr="0057310C">
        <w:trPr>
          <w:trHeight w:val="450"/>
        </w:trPr>
        <w:tc>
          <w:tcPr>
            <w:tcW w:w="3277"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7309891E" w14:textId="72779936"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81"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tcPr>
          <w:p w14:paraId="4FDE35B7" w14:textId="469CAB1E" w:rsidR="00854ADA" w:rsidRPr="00FF386D" w:rsidRDefault="00854ADA" w:rsidP="00854ADA">
            <w:pPr>
              <w:numPr>
                <w:ilvl w:val="0"/>
                <w:numId w:val="109"/>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Уредба 2018/</w:t>
            </w:r>
            <w:r w:rsidR="001B3BD5" w:rsidRPr="001B3BD5">
              <w:rPr>
                <w:rFonts w:ascii="Calibri Light" w:eastAsia="Times New Roman" w:hAnsi="Calibri Light" w:cs="Calibri Light"/>
                <w:color w:val="000000"/>
                <w:sz w:val="20"/>
                <w:szCs w:val="20"/>
                <w:lang w:eastAsia="en-GB"/>
              </w:rPr>
              <w:t>1999</w:t>
            </w:r>
          </w:p>
        </w:tc>
      </w:tr>
      <w:tr w:rsidR="00854ADA" w:rsidRPr="00FF386D" w14:paraId="4D1B2748" w14:textId="77777777" w:rsidTr="0057310C">
        <w:trPr>
          <w:trHeight w:val="450"/>
        </w:trPr>
        <w:tc>
          <w:tcPr>
            <w:tcW w:w="3277" w:type="dxa"/>
            <w:vMerge/>
            <w:tcBorders>
              <w:top w:val="nil"/>
              <w:left w:val="single" w:sz="8" w:space="0" w:color="auto"/>
              <w:bottom w:val="single" w:sz="8" w:space="0" w:color="000000"/>
              <w:right w:val="single" w:sz="8" w:space="0" w:color="auto"/>
            </w:tcBorders>
            <w:vAlign w:val="center"/>
            <w:hideMark/>
          </w:tcPr>
          <w:p w14:paraId="4038AC2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81" w:type="dxa"/>
            <w:gridSpan w:val="3"/>
            <w:vMerge/>
            <w:tcBorders>
              <w:top w:val="single" w:sz="8" w:space="0" w:color="auto"/>
              <w:left w:val="single" w:sz="8" w:space="0" w:color="auto"/>
              <w:bottom w:val="single" w:sz="8" w:space="0" w:color="000000"/>
              <w:right w:val="single" w:sz="8" w:space="0" w:color="000000"/>
            </w:tcBorders>
            <w:vAlign w:val="center"/>
            <w:hideMark/>
          </w:tcPr>
          <w:p w14:paraId="59312311" w14:textId="77777777" w:rsidR="00854ADA" w:rsidRPr="00FF386D" w:rsidRDefault="00854ADA" w:rsidP="00854ADA">
            <w:pPr>
              <w:numPr>
                <w:ilvl w:val="0"/>
                <w:numId w:val="109"/>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6482D875" w14:textId="77777777" w:rsidTr="0057310C">
        <w:trPr>
          <w:trHeight w:val="450"/>
        </w:trPr>
        <w:tc>
          <w:tcPr>
            <w:tcW w:w="3277" w:type="dxa"/>
            <w:vMerge/>
            <w:tcBorders>
              <w:top w:val="nil"/>
              <w:left w:val="single" w:sz="8" w:space="0" w:color="auto"/>
              <w:bottom w:val="single" w:sz="8" w:space="0" w:color="000000"/>
              <w:right w:val="single" w:sz="8" w:space="0" w:color="auto"/>
            </w:tcBorders>
            <w:vAlign w:val="center"/>
            <w:hideMark/>
          </w:tcPr>
          <w:p w14:paraId="25BEC26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81" w:type="dxa"/>
            <w:gridSpan w:val="3"/>
            <w:vMerge/>
            <w:tcBorders>
              <w:top w:val="single" w:sz="8" w:space="0" w:color="auto"/>
              <w:left w:val="single" w:sz="8" w:space="0" w:color="auto"/>
              <w:bottom w:val="single" w:sz="8" w:space="0" w:color="000000"/>
              <w:right w:val="single" w:sz="8" w:space="0" w:color="000000"/>
            </w:tcBorders>
            <w:vAlign w:val="center"/>
            <w:hideMark/>
          </w:tcPr>
          <w:p w14:paraId="2234F40A" w14:textId="77777777" w:rsidR="00854ADA" w:rsidRPr="00FF386D" w:rsidRDefault="00854ADA" w:rsidP="00854ADA">
            <w:pPr>
              <w:numPr>
                <w:ilvl w:val="0"/>
                <w:numId w:val="109"/>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5C815533" w14:textId="77777777" w:rsidTr="0057310C">
        <w:trPr>
          <w:trHeight w:val="401"/>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0AB6DC8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5C3AF2CC" w14:textId="24A84C2D" w:rsidR="00854ADA" w:rsidRPr="00FF386D" w:rsidRDefault="00854ADA" w:rsidP="00854ADA">
            <w:pPr>
              <w:numPr>
                <w:ilvl w:val="0"/>
                <w:numId w:val="109"/>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Стратегија нискоугљеничног развоја </w:t>
            </w:r>
            <w:r w:rsidR="001B3BD5" w:rsidRPr="001B3BD5">
              <w:rPr>
                <w:rFonts w:asciiTheme="majorHAnsi" w:eastAsia="Times New Roman" w:hAnsiTheme="majorHAnsi" w:cstheme="majorHAnsi"/>
                <w:color w:val="000000"/>
                <w:sz w:val="20"/>
                <w:szCs w:val="20"/>
                <w:lang w:eastAsia="en-GB"/>
              </w:rPr>
              <w:t>за период од 2023. до 2030. године са пројекцијама до 2050. године</w:t>
            </w:r>
          </w:p>
        </w:tc>
      </w:tr>
      <w:tr w:rsidR="00854ADA" w:rsidRPr="00FF386D" w14:paraId="4A279F51"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68AE5E3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81" w:type="dxa"/>
            <w:gridSpan w:val="3"/>
            <w:tcBorders>
              <w:top w:val="single" w:sz="8" w:space="0" w:color="auto"/>
              <w:left w:val="nil"/>
              <w:bottom w:val="single" w:sz="8" w:space="0" w:color="auto"/>
              <w:right w:val="single" w:sz="8" w:space="0" w:color="000000"/>
            </w:tcBorders>
            <w:shd w:val="clear" w:color="auto" w:fill="auto"/>
            <w:vAlign w:val="center"/>
          </w:tcPr>
          <w:p w14:paraId="04624CC4"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6 милиона евра</w:t>
            </w:r>
          </w:p>
        </w:tc>
      </w:tr>
      <w:tr w:rsidR="00854ADA" w:rsidRPr="00FF386D" w14:paraId="46B95B6E"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6D17D56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81" w:type="dxa"/>
            <w:gridSpan w:val="3"/>
            <w:tcBorders>
              <w:top w:val="single" w:sz="8" w:space="0" w:color="auto"/>
              <w:left w:val="nil"/>
              <w:bottom w:val="single" w:sz="8" w:space="0" w:color="auto"/>
              <w:right w:val="single" w:sz="8" w:space="0" w:color="000000"/>
            </w:tcBorders>
            <w:shd w:val="clear" w:color="auto" w:fill="auto"/>
            <w:vAlign w:val="center"/>
          </w:tcPr>
          <w:p w14:paraId="46625DE8" w14:textId="1E85A62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CC2BD9" w:rsidRPr="00FF386D">
              <w:rPr>
                <w:rFonts w:asciiTheme="majorHAnsi" w:eastAsia="Times New Roman" w:hAnsiTheme="majorHAnsi" w:cstheme="majorHAnsi"/>
                <w:color w:val="000000"/>
                <w:sz w:val="20"/>
                <w:szCs w:val="20"/>
                <w:lang w:eastAsia="en-GB"/>
              </w:rPr>
              <w:t>ска средства</w:t>
            </w:r>
          </w:p>
        </w:tc>
      </w:tr>
    </w:tbl>
    <w:p w14:paraId="4FF5761C"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277"/>
        <w:gridCol w:w="1114"/>
        <w:gridCol w:w="936"/>
        <w:gridCol w:w="4131"/>
      </w:tblGrid>
      <w:tr w:rsidR="00854ADA" w:rsidRPr="00FF386D" w14:paraId="7E2D408F" w14:textId="77777777" w:rsidTr="0057310C">
        <w:trPr>
          <w:trHeight w:val="780"/>
        </w:trPr>
        <w:tc>
          <w:tcPr>
            <w:tcW w:w="3277"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16C0E046"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1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00689794"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МП_Д13</w:t>
            </w:r>
          </w:p>
        </w:tc>
        <w:tc>
          <w:tcPr>
            <w:tcW w:w="936" w:type="dxa"/>
            <w:tcBorders>
              <w:top w:val="single" w:sz="8" w:space="0" w:color="auto"/>
              <w:left w:val="nil"/>
              <w:bottom w:val="single" w:sz="8" w:space="0" w:color="auto"/>
              <w:right w:val="single" w:sz="8" w:space="0" w:color="auto"/>
            </w:tcBorders>
            <w:shd w:val="clear" w:color="000000" w:fill="244062"/>
            <w:vAlign w:val="center"/>
            <w:hideMark/>
          </w:tcPr>
          <w:p w14:paraId="478BBA7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31" w:type="dxa"/>
            <w:tcBorders>
              <w:top w:val="single" w:sz="8" w:space="0" w:color="auto"/>
              <w:left w:val="nil"/>
              <w:bottom w:val="single" w:sz="8" w:space="0" w:color="auto"/>
              <w:right w:val="single" w:sz="8" w:space="0" w:color="auto"/>
            </w:tcBorders>
            <w:shd w:val="clear" w:color="auto" w:fill="E7E6E6" w:themeFill="background2"/>
            <w:vAlign w:val="center"/>
            <w:hideMark/>
          </w:tcPr>
          <w:p w14:paraId="567C6B4D"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Мере за смањење емисија из употребе ђубрива</w:t>
            </w:r>
          </w:p>
        </w:tc>
      </w:tr>
      <w:tr w:rsidR="00854ADA" w:rsidRPr="00FF386D" w14:paraId="17C0A395" w14:textId="77777777" w:rsidTr="0057310C">
        <w:trPr>
          <w:trHeight w:val="301"/>
        </w:trPr>
        <w:tc>
          <w:tcPr>
            <w:tcW w:w="3277" w:type="dxa"/>
            <w:tcBorders>
              <w:top w:val="nil"/>
              <w:left w:val="single" w:sz="8" w:space="0" w:color="auto"/>
              <w:bottom w:val="single" w:sz="8" w:space="0" w:color="auto"/>
              <w:right w:val="nil"/>
            </w:tcBorders>
            <w:shd w:val="clear" w:color="000000" w:fill="244062"/>
            <w:vAlign w:val="center"/>
            <w:hideMark/>
          </w:tcPr>
          <w:p w14:paraId="2912BB1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4EA12977" w14:textId="677F0FEB"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 xml:space="preserve">Смањење емисија </w:t>
            </w:r>
            <w:r w:rsidR="001B3BD5">
              <w:rPr>
                <w:rFonts w:ascii="Calibri Light" w:eastAsia="Times New Roman" w:hAnsi="Calibri Light" w:cs="Calibri Light"/>
                <w:color w:val="000000"/>
                <w:sz w:val="20"/>
                <w:szCs w:val="20"/>
                <w:lang w:val="en-US" w:eastAsia="en-GB"/>
              </w:rPr>
              <w:t>NO</w:t>
            </w:r>
            <w:r w:rsidR="001B3BD5" w:rsidRPr="006171AE">
              <w:rPr>
                <w:rFonts w:ascii="Calibri Light" w:eastAsia="Times New Roman" w:hAnsi="Calibri Light" w:cs="Calibri Light"/>
                <w:color w:val="000000"/>
                <w:sz w:val="20"/>
                <w:szCs w:val="20"/>
                <w:vertAlign w:val="subscript"/>
                <w:lang w:val="en-US" w:eastAsia="en-GB"/>
              </w:rPr>
              <w:t>2</w:t>
            </w:r>
          </w:p>
        </w:tc>
      </w:tr>
      <w:tr w:rsidR="00854ADA" w:rsidRPr="00FF386D" w14:paraId="4E2909EC"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54504D7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27B7B860" w14:textId="4B5AD62D" w:rsidR="00854ADA" w:rsidRPr="00FF386D" w:rsidRDefault="009F4D23" w:rsidP="00854ADA">
            <w:pPr>
              <w:spacing w:after="0" w:line="240" w:lineRule="auto"/>
              <w:rPr>
                <w:rFonts w:asciiTheme="majorHAnsi" w:eastAsia="Times New Roman" w:hAnsiTheme="majorHAnsi" w:cstheme="majorHAnsi"/>
                <w:color w:val="000000"/>
                <w:sz w:val="20"/>
                <w:szCs w:val="20"/>
                <w:lang w:eastAsia="en-GB"/>
              </w:rPr>
            </w:pPr>
            <w:r w:rsidRPr="009F4D23">
              <w:rPr>
                <w:rFonts w:ascii="Calibri Light" w:eastAsia="Times New Roman" w:hAnsi="Calibri Light" w:cs="Calibri Light"/>
                <w:color w:val="000000"/>
                <w:sz w:val="20"/>
                <w:szCs w:val="20"/>
                <w:lang w:eastAsia="en-GB"/>
              </w:rPr>
              <w:t xml:space="preserve">Допринос циљу смањења емисија GHG за 40,3% (укључује </w:t>
            </w:r>
            <w:r w:rsidRPr="00C312D6">
              <w:rPr>
                <w:rFonts w:ascii="Calibri Light" w:eastAsia="Times New Roman" w:hAnsi="Calibri Light" w:cs="Calibri Light"/>
                <w:i/>
                <w:iCs/>
                <w:color w:val="000000"/>
                <w:sz w:val="20"/>
                <w:szCs w:val="20"/>
                <w:lang w:eastAsia="en-GB"/>
              </w:rPr>
              <w:t>LULUCF</w:t>
            </w:r>
            <w:r w:rsidRPr="009F4D23">
              <w:rPr>
                <w:rFonts w:ascii="Calibri Light" w:eastAsia="Times New Roman" w:hAnsi="Calibri Light" w:cs="Calibri Light"/>
                <w:color w:val="000000"/>
                <w:sz w:val="20"/>
                <w:szCs w:val="20"/>
                <w:lang w:eastAsia="en-GB"/>
              </w:rPr>
              <w:t>) до 2030. године у поређењу са нивоима из 1990.</w:t>
            </w:r>
            <w:r>
              <w:rPr>
                <w:rFonts w:ascii="Calibri Light" w:eastAsia="Times New Roman" w:hAnsi="Calibri Light" w:cs="Calibri Light"/>
                <w:color w:val="000000"/>
                <w:sz w:val="20"/>
                <w:szCs w:val="20"/>
                <w:lang w:eastAsia="en-GB"/>
              </w:rPr>
              <w:t xml:space="preserve"> године</w:t>
            </w:r>
          </w:p>
        </w:tc>
      </w:tr>
      <w:tr w:rsidR="00854ADA" w:rsidRPr="00FF386D" w14:paraId="67B8F0A0" w14:textId="77777777" w:rsidTr="0057310C">
        <w:trPr>
          <w:trHeight w:val="229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176E94C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Опис:</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084E5B4E" w14:textId="0921F4BD" w:rsidR="00854ADA" w:rsidRPr="000A2AFE"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МП_Д13 ће омогућити смањење емисија амонијака и азот-субоксида насталог употребом ђубрива, примен</w:t>
            </w:r>
            <w:r w:rsidR="00057006" w:rsidRPr="000A2AFE">
              <w:rPr>
                <w:rFonts w:ascii="Calibri Light" w:eastAsia="Times New Roman" w:hAnsi="Calibri Light" w:cs="Calibri Light"/>
                <w:color w:val="000000"/>
                <w:sz w:val="20"/>
                <w:szCs w:val="20"/>
                <w:lang w:eastAsia="en-GB"/>
              </w:rPr>
              <w:t>ом</w:t>
            </w:r>
            <w:r w:rsidR="00505524"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 xml:space="preserve">нових технологија, </w:t>
            </w:r>
            <w:r w:rsidR="008D4AEF" w:rsidRPr="000A2AFE">
              <w:rPr>
                <w:rFonts w:ascii="Calibri Light" w:eastAsia="Times New Roman" w:hAnsi="Calibri Light" w:cs="Calibri Light"/>
                <w:color w:val="000000"/>
                <w:sz w:val="20"/>
                <w:szCs w:val="20"/>
                <w:lang w:eastAsia="en-GB"/>
              </w:rPr>
              <w:t>као што су</w:t>
            </w:r>
            <w:r w:rsidRPr="000A2AFE">
              <w:rPr>
                <w:rFonts w:ascii="Calibri Light" w:eastAsia="Times New Roman" w:hAnsi="Calibri Light" w:cs="Calibri Light"/>
                <w:color w:val="000000"/>
                <w:sz w:val="20"/>
                <w:szCs w:val="20"/>
                <w:lang w:eastAsia="en-GB"/>
              </w:rPr>
              <w:t>:</w:t>
            </w:r>
          </w:p>
          <w:p w14:paraId="41117DFA" w14:textId="77777777" w:rsidR="00854ADA" w:rsidRPr="000A2AFE" w:rsidRDefault="00854ADA" w:rsidP="00854ADA">
            <w:pPr>
              <w:numPr>
                <w:ilvl w:val="0"/>
                <w:numId w:val="8"/>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фолијарне примене;</w:t>
            </w:r>
          </w:p>
          <w:p w14:paraId="571AB3F7" w14:textId="0DC17765" w:rsidR="00854ADA" w:rsidRPr="000A2AFE" w:rsidRDefault="00854ADA" w:rsidP="00854ADA">
            <w:pPr>
              <w:numPr>
                <w:ilvl w:val="0"/>
                <w:numId w:val="8"/>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обложен</w:t>
            </w:r>
            <w:r w:rsidR="008D4AEF" w:rsidRPr="000A2AFE">
              <w:rPr>
                <w:rFonts w:ascii="Calibri Light" w:eastAsia="Times New Roman" w:hAnsi="Calibri Light" w:cs="Calibri Light"/>
                <w:color w:val="000000"/>
                <w:sz w:val="20"/>
                <w:szCs w:val="20"/>
                <w:lang w:eastAsia="en-GB"/>
              </w:rPr>
              <w:t>е</w:t>
            </w:r>
            <w:r w:rsidRPr="000A2AFE">
              <w:rPr>
                <w:rFonts w:ascii="Calibri Light" w:eastAsia="Times New Roman" w:hAnsi="Calibri Light" w:cs="Calibri Light"/>
                <w:color w:val="000000"/>
                <w:sz w:val="20"/>
                <w:szCs w:val="20"/>
                <w:lang w:eastAsia="en-GB"/>
              </w:rPr>
              <w:t xml:space="preserve"> растворљив</w:t>
            </w:r>
            <w:r w:rsidR="008D4AEF" w:rsidRPr="000A2AFE">
              <w:rPr>
                <w:rFonts w:ascii="Calibri Light" w:eastAsia="Times New Roman" w:hAnsi="Calibri Light" w:cs="Calibri Light"/>
                <w:color w:val="000000"/>
                <w:sz w:val="20"/>
                <w:szCs w:val="20"/>
                <w:lang w:eastAsia="en-GB"/>
              </w:rPr>
              <w:t>е</w:t>
            </w:r>
            <w:r w:rsidRPr="000A2AFE">
              <w:rPr>
                <w:rFonts w:ascii="Calibri Light" w:eastAsia="Times New Roman" w:hAnsi="Calibri Light" w:cs="Calibri Light"/>
                <w:color w:val="000000"/>
                <w:sz w:val="20"/>
                <w:szCs w:val="20"/>
                <w:lang w:eastAsia="en-GB"/>
              </w:rPr>
              <w:t xml:space="preserve"> гранул</w:t>
            </w:r>
            <w:r w:rsidR="008D4AEF" w:rsidRPr="000A2AFE">
              <w:rPr>
                <w:rFonts w:ascii="Calibri Light" w:eastAsia="Times New Roman" w:hAnsi="Calibri Light" w:cs="Calibri Light"/>
                <w:color w:val="000000"/>
                <w:sz w:val="20"/>
                <w:szCs w:val="20"/>
                <w:lang w:eastAsia="en-GB"/>
              </w:rPr>
              <w:t>е</w:t>
            </w:r>
            <w:r w:rsidRPr="000A2AFE">
              <w:rPr>
                <w:rFonts w:ascii="Calibri Light" w:eastAsia="Times New Roman" w:hAnsi="Calibri Light" w:cs="Calibri Light"/>
                <w:color w:val="000000"/>
                <w:sz w:val="20"/>
                <w:szCs w:val="20"/>
                <w:lang w:eastAsia="en-GB"/>
              </w:rPr>
              <w:t xml:space="preserve"> које омогућавају контролисано ослобађање хранљивих материја у зони корена;</w:t>
            </w:r>
          </w:p>
          <w:p w14:paraId="3676E3E5" w14:textId="170A2711" w:rsidR="00854ADA" w:rsidRPr="000A2AFE" w:rsidRDefault="00854ADA" w:rsidP="00854ADA">
            <w:pPr>
              <w:numPr>
                <w:ilvl w:val="0"/>
                <w:numId w:val="8"/>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систем</w:t>
            </w:r>
            <w:r w:rsidR="008D4AEF" w:rsidRPr="000A2AFE">
              <w:rPr>
                <w:rFonts w:ascii="Calibri Light" w:eastAsia="Times New Roman" w:hAnsi="Calibri Light" w:cs="Calibri Light"/>
                <w:color w:val="000000"/>
                <w:sz w:val="20"/>
                <w:szCs w:val="20"/>
                <w:lang w:eastAsia="en-GB"/>
              </w:rPr>
              <w:t>и</w:t>
            </w:r>
            <w:r w:rsidRPr="000A2AFE">
              <w:rPr>
                <w:rFonts w:ascii="Calibri Light" w:eastAsia="Times New Roman" w:hAnsi="Calibri Light" w:cs="Calibri Light"/>
                <w:color w:val="000000"/>
                <w:sz w:val="20"/>
                <w:szCs w:val="20"/>
                <w:lang w:eastAsia="en-GB"/>
              </w:rPr>
              <w:t xml:space="preserve"> ђубрења који подразумева</w:t>
            </w:r>
            <w:r w:rsidR="00057006" w:rsidRPr="000A2AFE">
              <w:rPr>
                <w:rFonts w:ascii="Calibri Light" w:eastAsia="Times New Roman" w:hAnsi="Calibri Light" w:cs="Calibri Light"/>
                <w:color w:val="000000"/>
                <w:sz w:val="20"/>
                <w:szCs w:val="20"/>
                <w:lang w:eastAsia="en-GB"/>
              </w:rPr>
              <w:t>ју</w:t>
            </w:r>
            <w:r w:rsidRPr="000A2AFE">
              <w:rPr>
                <w:rFonts w:ascii="Calibri Light" w:eastAsia="Times New Roman" w:hAnsi="Calibri Light" w:cs="Calibri Light"/>
                <w:color w:val="000000"/>
                <w:sz w:val="20"/>
                <w:szCs w:val="20"/>
                <w:lang w:eastAsia="en-GB"/>
              </w:rPr>
              <w:t xml:space="preserve"> дубоко постављање урее;</w:t>
            </w:r>
          </w:p>
          <w:p w14:paraId="0A11A7E1" w14:textId="77777777" w:rsidR="00854ADA" w:rsidRPr="000A2AFE" w:rsidRDefault="00854ADA" w:rsidP="00854ADA">
            <w:pPr>
              <w:numPr>
                <w:ilvl w:val="0"/>
                <w:numId w:val="8"/>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додавања инхибитора за успоравање претварања ђубрива урее у амонијак;</w:t>
            </w:r>
          </w:p>
          <w:p w14:paraId="6262147D" w14:textId="77777777" w:rsidR="00854ADA" w:rsidRPr="00FF386D" w:rsidRDefault="00854ADA" w:rsidP="00854ADA">
            <w:pPr>
              <w:numPr>
                <w:ilvl w:val="0"/>
                <w:numId w:val="8"/>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додавања растворљивог ђубрива у воду за наводњавање ради прецизније и благовременије испоруке хранљивих материја у зону корена.</w:t>
            </w:r>
          </w:p>
        </w:tc>
      </w:tr>
      <w:tr w:rsidR="00854ADA" w:rsidRPr="00FF386D" w14:paraId="5B45391D"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3CF4159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7AEC6E02" w14:textId="3E20A077" w:rsidR="00854ADA" w:rsidRPr="00FF386D" w:rsidRDefault="00F41590"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202</w:t>
            </w:r>
            <w:r>
              <w:rPr>
                <w:rFonts w:ascii="Calibri Light" w:eastAsia="Times New Roman" w:hAnsi="Calibri Light" w:cs="Calibri Light"/>
                <w:color w:val="000000"/>
                <w:sz w:val="20"/>
                <w:szCs w:val="20"/>
                <w:lang w:val="sr-Latn-RS" w:eastAsia="en-GB"/>
              </w:rPr>
              <w:t>4</w:t>
            </w:r>
            <w:r w:rsidR="00854ADA" w:rsidRPr="000A2AFE">
              <w:rPr>
                <w:rFonts w:ascii="Calibri Light" w:eastAsia="Times New Roman" w:hAnsi="Calibri Light" w:cs="Calibri Light"/>
                <w:color w:val="000000"/>
                <w:sz w:val="20"/>
                <w:szCs w:val="20"/>
                <w:lang w:eastAsia="en-GB"/>
              </w:rPr>
              <w:t>-2030.</w:t>
            </w:r>
          </w:p>
        </w:tc>
      </w:tr>
      <w:tr w:rsidR="00854ADA" w:rsidRPr="00FF386D" w14:paraId="5CEE6FAF"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09ACE71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4929A010"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Инвестиција</w:t>
            </w:r>
          </w:p>
        </w:tc>
      </w:tr>
      <w:tr w:rsidR="00854ADA" w:rsidRPr="00FF386D" w14:paraId="4DFF9D41"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423F7FA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19117699" w14:textId="37ED9E2E" w:rsidR="00854ADA" w:rsidRPr="000A2AFE" w:rsidRDefault="00854ADA" w:rsidP="00854ADA">
            <w:pPr>
              <w:spacing w:after="0" w:line="240" w:lineRule="auto"/>
              <w:rPr>
                <w:rFonts w:asciiTheme="majorHAnsi" w:eastAsia="Times New Roman" w:hAnsiTheme="majorHAnsi" w:cstheme="majorHAnsi"/>
                <w:color w:val="000000"/>
                <w:sz w:val="20"/>
                <w:szCs w:val="20"/>
                <w:lang w:val="sr-Latn-RS" w:eastAsia="en-GB"/>
              </w:rPr>
            </w:pPr>
            <w:r w:rsidRPr="000A2AFE">
              <w:rPr>
                <w:rFonts w:ascii="Calibri Light" w:eastAsia="Times New Roman" w:hAnsi="Calibri Light" w:cs="Calibri Light"/>
                <w:color w:val="000000"/>
                <w:sz w:val="20"/>
                <w:szCs w:val="20"/>
                <w:lang w:eastAsia="en-GB"/>
              </w:rPr>
              <w:t>Пољопривреда</w:t>
            </w:r>
            <w:r w:rsidR="00F41590">
              <w:rPr>
                <w:rFonts w:ascii="Calibri Light" w:eastAsia="Times New Roman" w:hAnsi="Calibri Light" w:cs="Calibri Light"/>
                <w:color w:val="000000"/>
                <w:sz w:val="20"/>
                <w:szCs w:val="20"/>
                <w:lang w:val="sr-Latn-RS" w:eastAsia="en-GB"/>
              </w:rPr>
              <w:t xml:space="preserve"> </w:t>
            </w:r>
            <w:r w:rsidR="00F41590">
              <w:rPr>
                <w:rFonts w:ascii="Calibri Light" w:eastAsia="Times New Roman" w:hAnsi="Calibri Light" w:cs="Calibri Light"/>
                <w:color w:val="000000"/>
                <w:sz w:val="20"/>
                <w:szCs w:val="20"/>
                <w:lang w:eastAsia="en-GB"/>
              </w:rPr>
              <w:t xml:space="preserve">и </w:t>
            </w:r>
            <w:r w:rsidR="00F41590" w:rsidRPr="006171AE">
              <w:rPr>
                <w:rFonts w:ascii="Calibri Light" w:eastAsia="Times New Roman" w:hAnsi="Calibri Light" w:cs="Calibri Light"/>
                <w:i/>
                <w:iCs/>
                <w:color w:val="000000"/>
                <w:sz w:val="20"/>
                <w:szCs w:val="20"/>
                <w:lang w:val="en-US" w:eastAsia="en-GB"/>
              </w:rPr>
              <w:t>LULUCF</w:t>
            </w:r>
          </w:p>
        </w:tc>
      </w:tr>
      <w:tr w:rsidR="00854ADA" w:rsidRPr="00FF386D" w14:paraId="15EDB09C"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6240A00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1185AD8B" w14:textId="77777777" w:rsidR="00854ADA" w:rsidRPr="000A2AFE" w:rsidRDefault="00854ADA" w:rsidP="00854ADA">
            <w:pPr>
              <w:numPr>
                <w:ilvl w:val="0"/>
                <w:numId w:val="214"/>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пољопривреде, шумарства и водопривреде</w:t>
            </w:r>
          </w:p>
          <w:p w14:paraId="66E95FAB" w14:textId="77777777" w:rsidR="00F41590" w:rsidRPr="00F41590" w:rsidRDefault="00F41590" w:rsidP="00F41590">
            <w:pPr>
              <w:numPr>
                <w:ilvl w:val="0"/>
                <w:numId w:val="214"/>
              </w:numPr>
              <w:spacing w:after="0" w:line="240" w:lineRule="auto"/>
              <w:contextualSpacing/>
              <w:jc w:val="both"/>
              <w:rPr>
                <w:rFonts w:asciiTheme="majorHAnsi" w:eastAsia="Times New Roman" w:hAnsiTheme="majorHAnsi" w:cstheme="majorHAnsi"/>
                <w:color w:val="000000"/>
                <w:sz w:val="20"/>
                <w:szCs w:val="20"/>
                <w:lang w:eastAsia="en-GB"/>
              </w:rPr>
            </w:pPr>
            <w:r w:rsidRPr="00F41590">
              <w:rPr>
                <w:rFonts w:asciiTheme="majorHAnsi" w:eastAsia="Times New Roman" w:hAnsiTheme="majorHAnsi" w:cstheme="majorHAnsi"/>
                <w:color w:val="000000"/>
                <w:sz w:val="20"/>
                <w:szCs w:val="20"/>
                <w:lang w:eastAsia="en-GB"/>
              </w:rPr>
              <w:t>Пољопривредна саветодавна служба</w:t>
            </w:r>
          </w:p>
          <w:p w14:paraId="22080069" w14:textId="77777777" w:rsidR="00F41590" w:rsidRPr="00F41590" w:rsidRDefault="00F41590" w:rsidP="00F41590">
            <w:pPr>
              <w:numPr>
                <w:ilvl w:val="0"/>
                <w:numId w:val="214"/>
              </w:numPr>
              <w:spacing w:after="0" w:line="240" w:lineRule="auto"/>
              <w:contextualSpacing/>
              <w:jc w:val="both"/>
              <w:rPr>
                <w:rFonts w:asciiTheme="majorHAnsi" w:eastAsia="Times New Roman" w:hAnsiTheme="majorHAnsi" w:cstheme="majorHAnsi"/>
                <w:color w:val="000000"/>
                <w:sz w:val="20"/>
                <w:szCs w:val="20"/>
                <w:lang w:eastAsia="en-GB"/>
              </w:rPr>
            </w:pPr>
            <w:r w:rsidRPr="00F41590">
              <w:rPr>
                <w:rFonts w:asciiTheme="majorHAnsi" w:eastAsia="Times New Roman" w:hAnsiTheme="majorHAnsi" w:cstheme="majorHAnsi"/>
                <w:color w:val="000000"/>
                <w:sz w:val="20"/>
                <w:szCs w:val="20"/>
                <w:lang w:eastAsia="en-GB"/>
              </w:rPr>
              <w:t>Управа за пољопривредна плаћања</w:t>
            </w:r>
          </w:p>
          <w:p w14:paraId="28047518" w14:textId="77777777" w:rsidR="00F41590" w:rsidRPr="00F41590" w:rsidRDefault="00F41590" w:rsidP="00F41590">
            <w:pPr>
              <w:numPr>
                <w:ilvl w:val="0"/>
                <w:numId w:val="214"/>
              </w:numPr>
              <w:spacing w:after="0" w:line="240" w:lineRule="auto"/>
              <w:contextualSpacing/>
              <w:jc w:val="both"/>
              <w:rPr>
                <w:rFonts w:asciiTheme="majorHAnsi" w:eastAsia="Times New Roman" w:hAnsiTheme="majorHAnsi" w:cstheme="majorHAnsi"/>
                <w:color w:val="000000"/>
                <w:sz w:val="20"/>
                <w:szCs w:val="20"/>
                <w:lang w:eastAsia="en-GB"/>
              </w:rPr>
            </w:pPr>
            <w:r w:rsidRPr="00F41590">
              <w:rPr>
                <w:rFonts w:asciiTheme="majorHAnsi" w:eastAsia="Times New Roman" w:hAnsiTheme="majorHAnsi" w:cstheme="majorHAnsi"/>
                <w:color w:val="000000"/>
                <w:sz w:val="20"/>
                <w:szCs w:val="20"/>
                <w:lang w:eastAsia="en-GB"/>
              </w:rPr>
              <w:t>Управа за пољопривредно земљиште</w:t>
            </w:r>
          </w:p>
          <w:p w14:paraId="4E0CCEFE" w14:textId="77777777" w:rsidR="00F41590" w:rsidRPr="00F41590" w:rsidRDefault="00F41590" w:rsidP="00F41590">
            <w:pPr>
              <w:numPr>
                <w:ilvl w:val="0"/>
                <w:numId w:val="214"/>
              </w:numPr>
              <w:spacing w:after="0" w:line="240" w:lineRule="auto"/>
              <w:contextualSpacing/>
              <w:jc w:val="both"/>
              <w:rPr>
                <w:rFonts w:asciiTheme="majorHAnsi" w:eastAsia="Times New Roman" w:hAnsiTheme="majorHAnsi" w:cstheme="majorHAnsi"/>
                <w:color w:val="000000"/>
                <w:sz w:val="20"/>
                <w:szCs w:val="20"/>
                <w:lang w:eastAsia="en-GB"/>
              </w:rPr>
            </w:pPr>
            <w:r w:rsidRPr="00F41590">
              <w:rPr>
                <w:rFonts w:asciiTheme="majorHAnsi" w:eastAsia="Times New Roman" w:hAnsiTheme="majorHAnsi" w:cstheme="majorHAnsi"/>
                <w:color w:val="000000"/>
                <w:sz w:val="20"/>
                <w:szCs w:val="20"/>
                <w:lang w:eastAsia="en-GB"/>
              </w:rPr>
              <w:t>Привредна комора</w:t>
            </w:r>
          </w:p>
          <w:p w14:paraId="64471496" w14:textId="5C6DC5BB" w:rsidR="00F41590" w:rsidRPr="00FF386D" w:rsidRDefault="00F41590" w:rsidP="00F41590">
            <w:pPr>
              <w:numPr>
                <w:ilvl w:val="0"/>
                <w:numId w:val="214"/>
              </w:numPr>
              <w:spacing w:after="0" w:line="240" w:lineRule="auto"/>
              <w:contextualSpacing/>
              <w:jc w:val="both"/>
              <w:rPr>
                <w:rFonts w:asciiTheme="majorHAnsi" w:eastAsia="Times New Roman" w:hAnsiTheme="majorHAnsi" w:cstheme="majorHAnsi"/>
                <w:color w:val="000000"/>
                <w:sz w:val="20"/>
                <w:szCs w:val="20"/>
                <w:lang w:eastAsia="en-GB"/>
              </w:rPr>
            </w:pPr>
            <w:r w:rsidRPr="00F41590">
              <w:rPr>
                <w:rFonts w:asciiTheme="majorHAnsi" w:eastAsia="Times New Roman" w:hAnsiTheme="majorHAnsi" w:cstheme="majorHAnsi"/>
                <w:color w:val="000000"/>
                <w:sz w:val="20"/>
                <w:szCs w:val="20"/>
                <w:lang w:eastAsia="en-GB"/>
              </w:rPr>
              <w:t>Пољопривредници</w:t>
            </w:r>
          </w:p>
        </w:tc>
      </w:tr>
      <w:tr w:rsidR="00854ADA" w:rsidRPr="00FF386D" w14:paraId="304872A6" w14:textId="77777777" w:rsidTr="0057310C">
        <w:trPr>
          <w:trHeight w:val="315"/>
        </w:trPr>
        <w:tc>
          <w:tcPr>
            <w:tcW w:w="3277" w:type="dxa"/>
            <w:tcBorders>
              <w:top w:val="nil"/>
              <w:left w:val="single" w:sz="8" w:space="0" w:color="auto"/>
              <w:bottom w:val="single" w:sz="8" w:space="0" w:color="auto"/>
              <w:right w:val="nil"/>
            </w:tcBorders>
            <w:shd w:val="clear" w:color="000000" w:fill="244062"/>
            <w:vAlign w:val="center"/>
            <w:hideMark/>
          </w:tcPr>
          <w:p w14:paraId="5A9D1CA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5860ED30" w14:textId="77777777" w:rsidR="00854ADA" w:rsidRPr="00FF386D" w:rsidRDefault="00854ADA" w:rsidP="00854ADA">
            <w:pPr>
              <w:numPr>
                <w:ilvl w:val="0"/>
                <w:numId w:val="212"/>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заштите животне средине</w:t>
            </w:r>
          </w:p>
          <w:p w14:paraId="19781EF6" w14:textId="77777777" w:rsidR="00854ADA" w:rsidRPr="00FF386D" w:rsidRDefault="00854ADA" w:rsidP="00854ADA">
            <w:pPr>
              <w:numPr>
                <w:ilvl w:val="0"/>
                <w:numId w:val="214"/>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пољопривреде, шумарства и водопривреде</w:t>
            </w:r>
          </w:p>
        </w:tc>
      </w:tr>
      <w:tr w:rsidR="00854ADA" w:rsidRPr="00FF386D" w14:paraId="3FC6C277" w14:textId="77777777" w:rsidTr="0057310C">
        <w:trPr>
          <w:trHeight w:val="315"/>
        </w:trPr>
        <w:tc>
          <w:tcPr>
            <w:tcW w:w="3277" w:type="dxa"/>
            <w:tcBorders>
              <w:top w:val="nil"/>
              <w:left w:val="single" w:sz="8" w:space="0" w:color="auto"/>
              <w:bottom w:val="single" w:sz="8" w:space="0" w:color="auto"/>
              <w:right w:val="nil"/>
            </w:tcBorders>
            <w:shd w:val="clear" w:color="000000" w:fill="244062"/>
            <w:vAlign w:val="center"/>
            <w:hideMark/>
          </w:tcPr>
          <w:p w14:paraId="6663156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02382A98" w14:textId="5B08D4A8" w:rsidR="00854ADA" w:rsidRPr="000A2AFE" w:rsidRDefault="000D4EB7" w:rsidP="000A2AFE">
            <w:pPr>
              <w:pStyle w:val="ListParagraph"/>
              <w:numPr>
                <w:ilvl w:val="0"/>
                <w:numId w:val="214"/>
              </w:num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К</w:t>
            </w:r>
            <w:r w:rsidR="00854ADA" w:rsidRPr="000A2AFE">
              <w:rPr>
                <w:rFonts w:ascii="Calibri Light" w:eastAsia="Times New Roman" w:hAnsi="Calibri Light" w:cs="Calibri Light"/>
                <w:color w:val="000000"/>
                <w:sz w:val="20"/>
                <w:szCs w:val="20"/>
                <w:lang w:eastAsia="en-GB"/>
              </w:rPr>
              <w:t>оличина смањења емисија из употребе ђубрива (Gg CO2-eq)</w:t>
            </w:r>
            <w:r w:rsidRPr="000A2AFE">
              <w:rPr>
                <w:rFonts w:ascii="Calibri Light" w:eastAsia="Times New Roman" w:hAnsi="Calibri Light" w:cs="Calibri Light"/>
                <w:color w:val="000000"/>
                <w:sz w:val="20"/>
                <w:szCs w:val="20"/>
                <w:lang w:eastAsia="en-GB"/>
              </w:rPr>
              <w:t xml:space="preserve"> на годишњем нивоу</w:t>
            </w:r>
          </w:p>
        </w:tc>
      </w:tr>
      <w:tr w:rsidR="00854ADA" w:rsidRPr="00FF386D" w14:paraId="389692FD" w14:textId="77777777" w:rsidTr="0057310C">
        <w:trPr>
          <w:trHeight w:val="34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471F206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81" w:type="dxa"/>
            <w:gridSpan w:val="3"/>
            <w:tcBorders>
              <w:top w:val="single" w:sz="8" w:space="0" w:color="auto"/>
              <w:left w:val="nil"/>
              <w:bottom w:val="single" w:sz="8" w:space="0" w:color="auto"/>
              <w:right w:val="single" w:sz="8" w:space="0" w:color="000000"/>
            </w:tcBorders>
            <w:shd w:val="clear" w:color="auto" w:fill="auto"/>
            <w:vAlign w:val="center"/>
          </w:tcPr>
          <w:p w14:paraId="102A0F38"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p>
        </w:tc>
      </w:tr>
      <w:tr w:rsidR="00854ADA" w:rsidRPr="00FF386D" w14:paraId="382627CE" w14:textId="77777777" w:rsidTr="0057310C">
        <w:trPr>
          <w:trHeight w:val="450"/>
        </w:trPr>
        <w:tc>
          <w:tcPr>
            <w:tcW w:w="3277"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0391BDDE" w14:textId="654FAF24"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81"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092DABD8" w14:textId="31DA0B13" w:rsidR="00854ADA" w:rsidRPr="00FF386D" w:rsidRDefault="00854ADA" w:rsidP="00854ADA">
            <w:pPr>
              <w:numPr>
                <w:ilvl w:val="0"/>
                <w:numId w:val="110"/>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Уредба 2018/</w:t>
            </w:r>
            <w:r w:rsidR="00F41590" w:rsidRPr="00F41590">
              <w:rPr>
                <w:rFonts w:ascii="Calibri Light" w:eastAsia="Times New Roman" w:hAnsi="Calibri Light" w:cs="Calibri Light"/>
                <w:color w:val="000000"/>
                <w:sz w:val="20"/>
                <w:szCs w:val="20"/>
                <w:lang w:eastAsia="en-GB"/>
              </w:rPr>
              <w:t>1999</w:t>
            </w:r>
          </w:p>
        </w:tc>
      </w:tr>
      <w:tr w:rsidR="00854ADA" w:rsidRPr="00FF386D" w14:paraId="62410796" w14:textId="77777777" w:rsidTr="0057310C">
        <w:trPr>
          <w:trHeight w:val="450"/>
        </w:trPr>
        <w:tc>
          <w:tcPr>
            <w:tcW w:w="3277" w:type="dxa"/>
            <w:vMerge/>
            <w:tcBorders>
              <w:top w:val="nil"/>
              <w:left w:val="single" w:sz="8" w:space="0" w:color="auto"/>
              <w:bottom w:val="single" w:sz="8" w:space="0" w:color="000000"/>
              <w:right w:val="single" w:sz="8" w:space="0" w:color="auto"/>
            </w:tcBorders>
            <w:vAlign w:val="center"/>
            <w:hideMark/>
          </w:tcPr>
          <w:p w14:paraId="2AD1D55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81" w:type="dxa"/>
            <w:gridSpan w:val="3"/>
            <w:vMerge/>
            <w:tcBorders>
              <w:top w:val="single" w:sz="8" w:space="0" w:color="auto"/>
              <w:left w:val="single" w:sz="8" w:space="0" w:color="auto"/>
              <w:bottom w:val="single" w:sz="8" w:space="0" w:color="000000"/>
              <w:right w:val="single" w:sz="8" w:space="0" w:color="000000"/>
            </w:tcBorders>
            <w:vAlign w:val="center"/>
            <w:hideMark/>
          </w:tcPr>
          <w:p w14:paraId="4EF32E38" w14:textId="77777777" w:rsidR="00854ADA" w:rsidRPr="00FF386D" w:rsidRDefault="00854ADA" w:rsidP="00854ADA">
            <w:pPr>
              <w:numPr>
                <w:ilvl w:val="0"/>
                <w:numId w:val="110"/>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4D28DD09" w14:textId="77777777" w:rsidTr="0057310C">
        <w:trPr>
          <w:trHeight w:val="450"/>
        </w:trPr>
        <w:tc>
          <w:tcPr>
            <w:tcW w:w="3277" w:type="dxa"/>
            <w:vMerge/>
            <w:tcBorders>
              <w:top w:val="nil"/>
              <w:left w:val="single" w:sz="8" w:space="0" w:color="auto"/>
              <w:bottom w:val="single" w:sz="8" w:space="0" w:color="000000"/>
              <w:right w:val="single" w:sz="8" w:space="0" w:color="auto"/>
            </w:tcBorders>
            <w:vAlign w:val="center"/>
            <w:hideMark/>
          </w:tcPr>
          <w:p w14:paraId="73CCFF3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81" w:type="dxa"/>
            <w:gridSpan w:val="3"/>
            <w:vMerge/>
            <w:tcBorders>
              <w:top w:val="single" w:sz="8" w:space="0" w:color="auto"/>
              <w:left w:val="single" w:sz="8" w:space="0" w:color="auto"/>
              <w:bottom w:val="single" w:sz="8" w:space="0" w:color="000000"/>
              <w:right w:val="single" w:sz="8" w:space="0" w:color="000000"/>
            </w:tcBorders>
            <w:vAlign w:val="center"/>
            <w:hideMark/>
          </w:tcPr>
          <w:p w14:paraId="1A691A76" w14:textId="77777777" w:rsidR="00854ADA" w:rsidRPr="00FF386D" w:rsidRDefault="00854ADA" w:rsidP="00854ADA">
            <w:pPr>
              <w:numPr>
                <w:ilvl w:val="0"/>
                <w:numId w:val="110"/>
              </w:numPr>
              <w:spacing w:after="0" w:line="240" w:lineRule="auto"/>
              <w:contextualSpacing/>
              <w:rPr>
                <w:rFonts w:asciiTheme="majorHAnsi" w:eastAsia="Times New Roman" w:hAnsiTheme="majorHAnsi" w:cstheme="majorHAnsi"/>
                <w:color w:val="000000"/>
                <w:sz w:val="20"/>
                <w:szCs w:val="20"/>
                <w:lang w:eastAsia="en-GB"/>
              </w:rPr>
            </w:pPr>
          </w:p>
        </w:tc>
      </w:tr>
      <w:tr w:rsidR="00854ADA" w:rsidRPr="00FF386D" w14:paraId="03FAA959" w14:textId="77777777" w:rsidTr="0057310C">
        <w:trPr>
          <w:trHeight w:val="378"/>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33B476A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60FA78D7" w14:textId="5AA2D75A" w:rsidR="00854ADA" w:rsidRPr="00FF386D" w:rsidRDefault="00854ADA" w:rsidP="00854ADA">
            <w:pPr>
              <w:numPr>
                <w:ilvl w:val="0"/>
                <w:numId w:val="110"/>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Стратегија нискоугљеничног развоја </w:t>
            </w:r>
            <w:r w:rsidR="00F41590" w:rsidRPr="00F41590">
              <w:rPr>
                <w:rFonts w:asciiTheme="majorHAnsi" w:eastAsia="Times New Roman" w:hAnsiTheme="majorHAnsi" w:cstheme="majorHAnsi"/>
                <w:color w:val="000000"/>
                <w:sz w:val="20"/>
                <w:szCs w:val="20"/>
                <w:lang w:eastAsia="en-GB"/>
              </w:rPr>
              <w:t>за период од 2023. до 2030. године са пројекцијама до 2050. године</w:t>
            </w:r>
          </w:p>
        </w:tc>
      </w:tr>
      <w:tr w:rsidR="00854ADA" w:rsidRPr="00FF386D" w14:paraId="0EEB1BB5"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423F7B9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81" w:type="dxa"/>
            <w:gridSpan w:val="3"/>
            <w:tcBorders>
              <w:top w:val="single" w:sz="8" w:space="0" w:color="auto"/>
              <w:left w:val="nil"/>
              <w:bottom w:val="single" w:sz="8" w:space="0" w:color="auto"/>
              <w:right w:val="single" w:sz="8" w:space="0" w:color="000000"/>
            </w:tcBorders>
            <w:shd w:val="clear" w:color="auto" w:fill="auto"/>
            <w:vAlign w:val="center"/>
          </w:tcPr>
          <w:p w14:paraId="187656C2"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28 милиона евра</w:t>
            </w:r>
          </w:p>
        </w:tc>
      </w:tr>
      <w:tr w:rsidR="00854ADA" w:rsidRPr="00FF386D" w14:paraId="03763FCC"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6C92B05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81" w:type="dxa"/>
            <w:gridSpan w:val="3"/>
            <w:tcBorders>
              <w:top w:val="single" w:sz="8" w:space="0" w:color="auto"/>
              <w:left w:val="nil"/>
              <w:bottom w:val="single" w:sz="8" w:space="0" w:color="auto"/>
              <w:right w:val="single" w:sz="8" w:space="0" w:color="000000"/>
            </w:tcBorders>
            <w:shd w:val="clear" w:color="auto" w:fill="auto"/>
            <w:vAlign w:val="center"/>
          </w:tcPr>
          <w:p w14:paraId="5282EACB" w14:textId="5F94B09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8D4AEF" w:rsidRPr="00FF386D">
              <w:rPr>
                <w:rFonts w:asciiTheme="majorHAnsi" w:eastAsia="Times New Roman" w:hAnsiTheme="majorHAnsi" w:cstheme="majorHAnsi"/>
                <w:color w:val="000000"/>
                <w:sz w:val="20"/>
                <w:szCs w:val="20"/>
                <w:lang w:eastAsia="en-GB"/>
              </w:rPr>
              <w:t>ска средства</w:t>
            </w:r>
          </w:p>
        </w:tc>
      </w:tr>
    </w:tbl>
    <w:p w14:paraId="6A7A249D" w14:textId="77777777" w:rsidR="00854ADA" w:rsidRPr="00FF386D" w:rsidRDefault="00854ADA" w:rsidP="00854ADA">
      <w:pPr>
        <w:spacing w:before="240" w:after="240" w:line="240" w:lineRule="auto"/>
        <w:ind w:left="1080"/>
        <w:contextualSpacing/>
        <w:jc w:val="both"/>
        <w:rPr>
          <w:rFonts w:cstheme="minorHAnsi"/>
          <w:b/>
          <w:bCs/>
          <w:color w:val="000000"/>
        </w:rPr>
      </w:pPr>
    </w:p>
    <w:p w14:paraId="6ADB7B04" w14:textId="77777777" w:rsidR="00854ADA" w:rsidRPr="00FF386D" w:rsidRDefault="00854ADA" w:rsidP="00B04CBD">
      <w:pPr>
        <w:pStyle w:val="ListParagraph"/>
        <w:keepNext/>
        <w:keepLines/>
        <w:numPr>
          <w:ilvl w:val="0"/>
          <w:numId w:val="4"/>
        </w:numPr>
        <w:spacing w:before="200" w:after="0" w:line="240" w:lineRule="auto"/>
        <w:outlineLvl w:val="3"/>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t>Регионална сарадња у овој области</w:t>
      </w:r>
    </w:p>
    <w:p w14:paraId="010B3C72" w14:textId="77777777" w:rsidR="00854ADA" w:rsidRPr="00FF386D" w:rsidRDefault="00854ADA" w:rsidP="00854ADA">
      <w:pPr>
        <w:spacing w:before="240" w:after="240"/>
        <w:jc w:val="both"/>
        <w:rPr>
          <w:rFonts w:asciiTheme="majorHAnsi" w:hAnsiTheme="majorHAnsi" w:cstheme="majorHAnsi"/>
          <w:b/>
          <w:i/>
          <w:color w:val="000000"/>
        </w:rPr>
      </w:pPr>
      <w:r w:rsidRPr="00FF386D">
        <w:rPr>
          <w:rFonts w:asciiTheme="majorHAnsi" w:hAnsiTheme="majorHAnsi" w:cstheme="majorHAnsi"/>
          <w:b/>
          <w:i/>
          <w:color w:val="000000"/>
        </w:rPr>
        <w:t>Пројекат Зелени фонд Западног Балкана</w:t>
      </w:r>
    </w:p>
    <w:p w14:paraId="271A9BC9" w14:textId="299E0CAC" w:rsidR="00854ADA" w:rsidRPr="00FF386D" w:rsidRDefault="00854ADA" w:rsidP="00854ADA">
      <w:pPr>
        <w:spacing w:before="240" w:after="240"/>
        <w:jc w:val="both"/>
        <w:rPr>
          <w:rFonts w:asciiTheme="majorHAnsi" w:hAnsiTheme="majorHAnsi" w:cstheme="majorHAnsi"/>
          <w:color w:val="000000"/>
        </w:rPr>
      </w:pPr>
      <w:r w:rsidRPr="00FF386D">
        <w:rPr>
          <w:rFonts w:asciiTheme="majorHAnsi" w:hAnsiTheme="majorHAnsi" w:cstheme="majorHAnsi"/>
          <w:color w:val="000000"/>
        </w:rPr>
        <w:t>Пројекат „Зелени фонд Западног Балкана” пружа прилику Републи</w:t>
      </w:r>
      <w:r w:rsidR="00B04CBD" w:rsidRPr="00FF386D">
        <w:rPr>
          <w:rFonts w:asciiTheme="majorHAnsi" w:hAnsiTheme="majorHAnsi" w:cstheme="majorHAnsi"/>
          <w:color w:val="000000"/>
        </w:rPr>
        <w:t>ци</w:t>
      </w:r>
      <w:r w:rsidRPr="00FF386D">
        <w:rPr>
          <w:rFonts w:asciiTheme="majorHAnsi" w:hAnsiTheme="majorHAnsi" w:cstheme="majorHAnsi"/>
          <w:color w:val="000000"/>
        </w:rPr>
        <w:t xml:space="preserve"> Србиј</w:t>
      </w:r>
      <w:r w:rsidR="00B04CBD" w:rsidRPr="00FF386D">
        <w:rPr>
          <w:rFonts w:asciiTheme="majorHAnsi" w:hAnsiTheme="majorHAnsi" w:cstheme="majorHAnsi"/>
          <w:color w:val="000000"/>
        </w:rPr>
        <w:t>и</w:t>
      </w:r>
      <w:r w:rsidRPr="00FF386D">
        <w:rPr>
          <w:rFonts w:asciiTheme="majorHAnsi" w:hAnsiTheme="majorHAnsi" w:cstheme="majorHAnsi"/>
          <w:color w:val="000000"/>
        </w:rPr>
        <w:t xml:space="preserve"> да преузме водећу улогу у развоју пројеката </w:t>
      </w:r>
      <w:r w:rsidR="00DD5F82" w:rsidRPr="00FF386D">
        <w:rPr>
          <w:rFonts w:asciiTheme="majorHAnsi" w:hAnsiTheme="majorHAnsi" w:cstheme="majorHAnsi"/>
          <w:color w:val="000000"/>
        </w:rPr>
        <w:t>региона</w:t>
      </w:r>
      <w:r w:rsidRPr="00FF386D">
        <w:rPr>
          <w:rFonts w:asciiTheme="majorHAnsi" w:hAnsiTheme="majorHAnsi" w:cstheme="majorHAnsi"/>
          <w:color w:val="000000"/>
        </w:rPr>
        <w:t xml:space="preserve"> Западног Балкана</w:t>
      </w:r>
      <w:r w:rsidRPr="00FF386D">
        <w:rPr>
          <w:rFonts w:asciiTheme="majorHAnsi" w:hAnsiTheme="majorHAnsi" w:cstheme="majorHAnsi"/>
          <w:vertAlign w:val="superscript"/>
        </w:rPr>
        <w:footnoteReference w:id="108"/>
      </w:r>
      <w:r w:rsidRPr="00FF386D">
        <w:rPr>
          <w:rFonts w:asciiTheme="majorHAnsi" w:hAnsiTheme="majorHAnsi" w:cstheme="majorHAnsi"/>
          <w:color w:val="000000"/>
        </w:rPr>
        <w:t xml:space="preserve"> који се односе на Национално утврђене обавезе и циљеве за </w:t>
      </w:r>
      <w:r w:rsidR="00B04CBD" w:rsidRPr="00FF386D">
        <w:rPr>
          <w:rFonts w:asciiTheme="majorHAnsi" w:hAnsiTheme="majorHAnsi" w:cstheme="majorHAnsi"/>
          <w:color w:val="000000"/>
        </w:rPr>
        <w:t>прилагођавање</w:t>
      </w:r>
      <w:r w:rsidRPr="00FF386D">
        <w:rPr>
          <w:rFonts w:asciiTheme="majorHAnsi" w:hAnsiTheme="majorHAnsi" w:cstheme="majorHAnsi"/>
          <w:color w:val="000000"/>
        </w:rPr>
        <w:t xml:space="preserve"> на </w:t>
      </w:r>
      <w:r w:rsidR="00B04CBD" w:rsidRPr="00FF386D">
        <w:rPr>
          <w:rFonts w:asciiTheme="majorHAnsi" w:hAnsiTheme="majorHAnsi" w:cstheme="majorHAnsi"/>
          <w:color w:val="000000"/>
        </w:rPr>
        <w:t xml:space="preserve">измењене </w:t>
      </w:r>
      <w:r w:rsidRPr="00FF386D">
        <w:rPr>
          <w:rFonts w:asciiTheme="majorHAnsi" w:hAnsiTheme="majorHAnsi" w:cstheme="majorHAnsi"/>
          <w:color w:val="000000"/>
        </w:rPr>
        <w:t xml:space="preserve">климатске </w:t>
      </w:r>
      <w:r w:rsidR="00B04CBD" w:rsidRPr="00FF386D">
        <w:rPr>
          <w:rFonts w:asciiTheme="majorHAnsi" w:hAnsiTheme="majorHAnsi" w:cstheme="majorHAnsi"/>
          <w:color w:val="000000"/>
        </w:rPr>
        <w:t>услове</w:t>
      </w:r>
      <w:r w:rsidRPr="00FF386D">
        <w:rPr>
          <w:rFonts w:asciiTheme="majorHAnsi" w:hAnsiTheme="majorHAnsi" w:cstheme="majorHAnsi"/>
          <w:color w:val="000000"/>
        </w:rPr>
        <w:t xml:space="preserve"> и омогућава предузећима у Србији приступ већем броју тендера у региону.</w:t>
      </w:r>
    </w:p>
    <w:p w14:paraId="42D7349A" w14:textId="57D2C058" w:rsidR="00854ADA" w:rsidRPr="00FF386D" w:rsidRDefault="00854ADA" w:rsidP="00854ADA">
      <w:pPr>
        <w:spacing w:before="240" w:after="240"/>
        <w:jc w:val="both"/>
        <w:rPr>
          <w:rFonts w:asciiTheme="majorHAnsi" w:hAnsiTheme="majorHAnsi" w:cstheme="majorHAnsi"/>
          <w:color w:val="000000"/>
        </w:rPr>
      </w:pPr>
      <w:r w:rsidRPr="00FF386D">
        <w:rPr>
          <w:rFonts w:asciiTheme="majorHAnsi" w:hAnsiTheme="majorHAnsi" w:cstheme="majorHAnsi"/>
          <w:color w:val="000000"/>
        </w:rPr>
        <w:lastRenderedPageBreak/>
        <w:t xml:space="preserve">Западни Балкан представља регион </w:t>
      </w:r>
      <w:r w:rsidR="00DB469E" w:rsidRPr="00FF386D">
        <w:rPr>
          <w:rFonts w:asciiTheme="majorHAnsi" w:hAnsiTheme="majorHAnsi" w:cstheme="majorHAnsi"/>
          <w:color w:val="000000"/>
        </w:rPr>
        <w:t>у развоју на територији Југоисточне Европе</w:t>
      </w:r>
      <w:r w:rsidRPr="00FF386D">
        <w:rPr>
          <w:rFonts w:asciiTheme="majorHAnsi" w:hAnsiTheme="majorHAnsi" w:cstheme="majorHAnsi"/>
          <w:color w:val="000000"/>
        </w:rPr>
        <w:t xml:space="preserve">, где неки од изазова и ризика још увек вуку корене из екстремних климатских </w:t>
      </w:r>
      <w:r w:rsidR="00965FBA" w:rsidRPr="00FF386D">
        <w:rPr>
          <w:rFonts w:asciiTheme="majorHAnsi" w:hAnsiTheme="majorHAnsi" w:cstheme="majorHAnsi"/>
          <w:color w:val="000000"/>
        </w:rPr>
        <w:t>догађаја</w:t>
      </w:r>
      <w:r w:rsidRPr="00FF386D">
        <w:rPr>
          <w:rFonts w:asciiTheme="majorHAnsi" w:hAnsiTheme="majorHAnsi" w:cstheme="majorHAnsi"/>
          <w:color w:val="000000"/>
        </w:rPr>
        <w:t xml:space="preserve"> и загађења животне средине. </w:t>
      </w:r>
      <w:r w:rsidR="00DB469E" w:rsidRPr="00FF386D">
        <w:rPr>
          <w:rFonts w:asciiTheme="majorHAnsi" w:hAnsiTheme="majorHAnsi" w:cstheme="majorHAnsi"/>
          <w:color w:val="000000"/>
        </w:rPr>
        <w:t>Међутим, т</w:t>
      </w:r>
      <w:r w:rsidRPr="00FF386D">
        <w:rPr>
          <w:rFonts w:asciiTheme="majorHAnsi" w:hAnsiTheme="majorHAnsi" w:cstheme="majorHAnsi"/>
          <w:color w:val="000000"/>
        </w:rPr>
        <w:t xml:space="preserve">акви ризици могу да подстакну </w:t>
      </w:r>
      <w:r w:rsidR="006C0916" w:rsidRPr="00FF386D">
        <w:rPr>
          <w:rFonts w:asciiTheme="majorHAnsi" w:hAnsiTheme="majorHAnsi" w:cstheme="majorHAnsi"/>
          <w:color w:val="000000"/>
        </w:rPr>
        <w:t xml:space="preserve">такође </w:t>
      </w:r>
      <w:r w:rsidRPr="00FF386D">
        <w:rPr>
          <w:rFonts w:asciiTheme="majorHAnsi" w:hAnsiTheme="majorHAnsi" w:cstheme="majorHAnsi"/>
          <w:color w:val="000000"/>
        </w:rPr>
        <w:t>и увођење нових, ефикаснијих технологија и метода за о</w:t>
      </w:r>
      <w:r w:rsidR="006C0916" w:rsidRPr="00FF386D">
        <w:rPr>
          <w:rFonts w:asciiTheme="majorHAnsi" w:hAnsiTheme="majorHAnsi" w:cstheme="majorHAnsi"/>
          <w:color w:val="000000"/>
        </w:rPr>
        <w:t>безбеђење</w:t>
      </w:r>
      <w:r w:rsidR="00DB469E" w:rsidRPr="00FF386D">
        <w:rPr>
          <w:rFonts w:asciiTheme="majorHAnsi" w:hAnsiTheme="majorHAnsi" w:cstheme="majorHAnsi"/>
          <w:color w:val="000000"/>
        </w:rPr>
        <w:t xml:space="preserve"> </w:t>
      </w:r>
      <w:r w:rsidRPr="00FF386D">
        <w:rPr>
          <w:rFonts w:asciiTheme="majorHAnsi" w:hAnsiTheme="majorHAnsi" w:cstheme="majorHAnsi"/>
          <w:color w:val="000000"/>
        </w:rPr>
        <w:t xml:space="preserve">зеленије и одрживије будућност региона Западног Балкана. </w:t>
      </w:r>
      <w:r w:rsidR="00DB469E" w:rsidRPr="00FF386D">
        <w:rPr>
          <w:rFonts w:asciiTheme="majorHAnsi" w:hAnsiTheme="majorHAnsi" w:cstheme="majorHAnsi"/>
          <w:color w:val="000000"/>
        </w:rPr>
        <w:t>Ов</w:t>
      </w:r>
      <w:r w:rsidR="006C0916" w:rsidRPr="00FF386D">
        <w:rPr>
          <w:rFonts w:asciiTheme="majorHAnsi" w:hAnsiTheme="majorHAnsi" w:cstheme="majorHAnsi"/>
          <w:color w:val="000000"/>
        </w:rPr>
        <w:t>ај</w:t>
      </w:r>
      <w:r w:rsidR="00DB469E" w:rsidRPr="00FF386D">
        <w:rPr>
          <w:rFonts w:asciiTheme="majorHAnsi" w:hAnsiTheme="majorHAnsi" w:cstheme="majorHAnsi"/>
          <w:color w:val="000000"/>
        </w:rPr>
        <w:t xml:space="preserve"> п</w:t>
      </w:r>
      <w:r w:rsidRPr="00FF386D">
        <w:rPr>
          <w:rFonts w:asciiTheme="majorHAnsi" w:hAnsiTheme="majorHAnsi" w:cstheme="majorHAnsi"/>
          <w:color w:val="000000"/>
        </w:rPr>
        <w:t>ројек</w:t>
      </w:r>
      <w:r w:rsidR="006C0916" w:rsidRPr="00FF386D">
        <w:rPr>
          <w:rFonts w:asciiTheme="majorHAnsi" w:hAnsiTheme="majorHAnsi" w:cstheme="majorHAnsi"/>
          <w:color w:val="000000"/>
        </w:rPr>
        <w:t>ат подржава</w:t>
      </w:r>
      <w:r w:rsidRPr="00FF386D">
        <w:rPr>
          <w:rFonts w:asciiTheme="majorHAnsi" w:hAnsiTheme="majorHAnsi" w:cstheme="majorHAnsi"/>
          <w:color w:val="000000"/>
        </w:rPr>
        <w:t xml:space="preserve"> процес трансформације </w:t>
      </w:r>
      <w:r w:rsidR="00EF0218" w:rsidRPr="00FF386D">
        <w:rPr>
          <w:rFonts w:asciiTheme="majorHAnsi" w:hAnsiTheme="majorHAnsi" w:cstheme="majorHAnsi"/>
          <w:color w:val="000000"/>
        </w:rPr>
        <w:t>који обухвата и</w:t>
      </w:r>
      <w:r w:rsidRPr="00FF386D">
        <w:rPr>
          <w:rFonts w:asciiTheme="majorHAnsi" w:hAnsiTheme="majorHAnsi" w:cstheme="majorHAnsi"/>
          <w:color w:val="000000"/>
        </w:rPr>
        <w:t xml:space="preserve"> предузећа у Србији, </w:t>
      </w:r>
      <w:r w:rsidR="003A39F9" w:rsidRPr="00FF386D">
        <w:rPr>
          <w:rFonts w:asciiTheme="majorHAnsi" w:hAnsiTheme="majorHAnsi" w:cstheme="majorHAnsi"/>
          <w:color w:val="000000"/>
        </w:rPr>
        <w:t xml:space="preserve">а </w:t>
      </w:r>
      <w:r w:rsidR="006C0916" w:rsidRPr="00FF386D">
        <w:rPr>
          <w:rFonts w:asciiTheme="majorHAnsi" w:hAnsiTheme="majorHAnsi" w:cstheme="majorHAnsi"/>
          <w:color w:val="000000"/>
        </w:rPr>
        <w:t>поред тога што доприноси унапређеном пружању услуга са већом додатом вредношћу и трговини робом,</w:t>
      </w:r>
      <w:r w:rsidRPr="00FF386D">
        <w:rPr>
          <w:rFonts w:asciiTheme="majorHAnsi" w:hAnsiTheme="majorHAnsi" w:cstheme="majorHAnsi"/>
          <w:color w:val="000000"/>
        </w:rPr>
        <w:t xml:space="preserve"> може да пружи подршку </w:t>
      </w:r>
      <w:r w:rsidR="006C0916" w:rsidRPr="00FF386D">
        <w:rPr>
          <w:rFonts w:asciiTheme="majorHAnsi" w:hAnsiTheme="majorHAnsi" w:cstheme="majorHAnsi"/>
          <w:color w:val="000000"/>
        </w:rPr>
        <w:t xml:space="preserve">и </w:t>
      </w:r>
      <w:r w:rsidR="00DB469E" w:rsidRPr="00FF386D">
        <w:rPr>
          <w:rFonts w:asciiTheme="majorHAnsi" w:hAnsiTheme="majorHAnsi" w:cstheme="majorHAnsi"/>
          <w:color w:val="000000"/>
        </w:rPr>
        <w:t>државама</w:t>
      </w:r>
      <w:r w:rsidRPr="00FF386D">
        <w:rPr>
          <w:rFonts w:asciiTheme="majorHAnsi" w:hAnsiTheme="majorHAnsi" w:cstheme="majorHAnsi"/>
          <w:color w:val="000000"/>
        </w:rPr>
        <w:t xml:space="preserve"> региона Западног Балкана у испуњењ</w:t>
      </w:r>
      <w:r w:rsidR="00EF0218" w:rsidRPr="00FF386D">
        <w:rPr>
          <w:rFonts w:asciiTheme="majorHAnsi" w:hAnsiTheme="majorHAnsi" w:cstheme="majorHAnsi"/>
          <w:color w:val="000000"/>
        </w:rPr>
        <w:t>у</w:t>
      </w:r>
      <w:r w:rsidRPr="00FF386D">
        <w:rPr>
          <w:rFonts w:asciiTheme="majorHAnsi" w:hAnsiTheme="majorHAnsi" w:cstheme="majorHAnsi"/>
          <w:color w:val="000000"/>
        </w:rPr>
        <w:t xml:space="preserve"> обавеза у приступном процесу ЕУ</w:t>
      </w:r>
      <w:r w:rsidR="006C0916" w:rsidRPr="00FF386D">
        <w:rPr>
          <w:rFonts w:asciiTheme="majorHAnsi" w:hAnsiTheme="majorHAnsi" w:cstheme="majorHAnsi"/>
          <w:color w:val="000000"/>
        </w:rPr>
        <w:t>.</w:t>
      </w:r>
    </w:p>
    <w:p w14:paraId="5509E155" w14:textId="057C0F2A" w:rsidR="00854ADA" w:rsidRPr="00FF386D" w:rsidRDefault="00FA58BB" w:rsidP="00DB469E">
      <w:pPr>
        <w:pStyle w:val="ListParagraph"/>
        <w:keepNext/>
        <w:keepLines/>
        <w:numPr>
          <w:ilvl w:val="0"/>
          <w:numId w:val="4"/>
        </w:numPr>
        <w:spacing w:before="200" w:line="240" w:lineRule="auto"/>
        <w:jc w:val="both"/>
        <w:outlineLvl w:val="3"/>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t>Не доводећи у питање</w:t>
      </w:r>
      <w:r w:rsidR="00854ADA" w:rsidRPr="00FF386D">
        <w:rPr>
          <w:rFonts w:asciiTheme="majorHAnsi" w:eastAsiaTheme="majorEastAsia" w:hAnsiTheme="majorHAnsi" w:cstheme="majorBidi"/>
          <w:b/>
          <w:bCs/>
          <w:iCs/>
          <w:color w:val="01406B"/>
          <w:szCs w:val="24"/>
        </w:rPr>
        <w:t xml:space="preserve"> примењивост пр</w:t>
      </w:r>
      <w:r w:rsidR="00AF14FA" w:rsidRPr="00FF386D">
        <w:rPr>
          <w:rFonts w:asciiTheme="majorHAnsi" w:eastAsiaTheme="majorEastAsia" w:hAnsiTheme="majorHAnsi" w:cstheme="majorBidi"/>
          <w:b/>
          <w:bCs/>
          <w:iCs/>
          <w:color w:val="01406B"/>
          <w:szCs w:val="24"/>
        </w:rPr>
        <w:t>описа</w:t>
      </w:r>
      <w:r w:rsidR="00854ADA" w:rsidRPr="00FF386D">
        <w:rPr>
          <w:rFonts w:asciiTheme="majorHAnsi" w:eastAsiaTheme="majorEastAsia" w:hAnsiTheme="majorHAnsi" w:cstheme="majorBidi"/>
          <w:b/>
          <w:bCs/>
          <w:iCs/>
          <w:color w:val="01406B"/>
          <w:szCs w:val="24"/>
        </w:rPr>
        <w:t xml:space="preserve"> за доделу </w:t>
      </w:r>
      <w:r w:rsidRPr="00FF386D">
        <w:rPr>
          <w:rFonts w:asciiTheme="majorHAnsi" w:eastAsiaTheme="majorEastAsia" w:hAnsiTheme="majorHAnsi" w:cstheme="majorBidi"/>
          <w:b/>
          <w:bCs/>
          <w:iCs/>
          <w:color w:val="01406B"/>
          <w:szCs w:val="24"/>
        </w:rPr>
        <w:t xml:space="preserve">државне </w:t>
      </w:r>
      <w:r w:rsidR="00854ADA" w:rsidRPr="00FF386D">
        <w:rPr>
          <w:rFonts w:asciiTheme="majorHAnsi" w:eastAsiaTheme="majorEastAsia" w:hAnsiTheme="majorHAnsi" w:cstheme="majorBidi"/>
          <w:b/>
          <w:bCs/>
          <w:iCs/>
          <w:color w:val="01406B"/>
          <w:szCs w:val="24"/>
        </w:rPr>
        <w:t>помоћи, финансијск</w:t>
      </w:r>
      <w:r w:rsidR="00AF14FA" w:rsidRPr="00FF386D">
        <w:rPr>
          <w:rFonts w:asciiTheme="majorHAnsi" w:eastAsiaTheme="majorEastAsia" w:hAnsiTheme="majorHAnsi" w:cstheme="majorBidi"/>
          <w:b/>
          <w:bCs/>
          <w:iCs/>
          <w:color w:val="01406B"/>
          <w:szCs w:val="24"/>
        </w:rPr>
        <w:t>е</w:t>
      </w:r>
      <w:r w:rsidR="00854ADA" w:rsidRPr="00FF386D">
        <w:rPr>
          <w:rFonts w:asciiTheme="majorHAnsi" w:eastAsiaTheme="majorEastAsia" w:hAnsiTheme="majorHAnsi" w:cstheme="majorBidi"/>
          <w:b/>
          <w:bCs/>
          <w:iCs/>
          <w:color w:val="01406B"/>
          <w:szCs w:val="24"/>
        </w:rPr>
        <w:t xml:space="preserve"> мер</w:t>
      </w:r>
      <w:r w:rsidR="00AF14FA" w:rsidRPr="00FF386D">
        <w:rPr>
          <w:rFonts w:asciiTheme="majorHAnsi" w:eastAsiaTheme="majorEastAsia" w:hAnsiTheme="majorHAnsi" w:cstheme="majorBidi"/>
          <w:b/>
          <w:bCs/>
          <w:iCs/>
          <w:color w:val="01406B"/>
          <w:szCs w:val="24"/>
        </w:rPr>
        <w:t>е</w:t>
      </w:r>
      <w:r w:rsidR="00854ADA" w:rsidRPr="00FF386D">
        <w:rPr>
          <w:rFonts w:asciiTheme="majorHAnsi" w:eastAsiaTheme="majorEastAsia" w:hAnsiTheme="majorHAnsi" w:cstheme="majorBidi"/>
          <w:b/>
          <w:bCs/>
          <w:iCs/>
          <w:color w:val="01406B"/>
          <w:szCs w:val="24"/>
        </w:rPr>
        <w:t>, укључујући подршку ЕУ и коришћење фондова ЕУ</w:t>
      </w:r>
      <w:r w:rsidRPr="00FF386D">
        <w:rPr>
          <w:rFonts w:asciiTheme="majorHAnsi" w:eastAsiaTheme="majorEastAsia" w:hAnsiTheme="majorHAnsi" w:cstheme="majorBidi"/>
          <w:b/>
          <w:bCs/>
          <w:iCs/>
          <w:color w:val="01406B"/>
          <w:szCs w:val="24"/>
        </w:rPr>
        <w:t xml:space="preserve"> </w:t>
      </w:r>
      <w:r w:rsidR="00854ADA" w:rsidRPr="00FF386D">
        <w:rPr>
          <w:rFonts w:asciiTheme="majorHAnsi" w:eastAsiaTheme="majorEastAsia" w:hAnsiTheme="majorHAnsi" w:cstheme="majorBidi"/>
          <w:b/>
          <w:bCs/>
          <w:iCs/>
          <w:color w:val="01406B"/>
          <w:szCs w:val="24"/>
        </w:rPr>
        <w:t>у овој области на републичком нивоу, уколико је примењиво</w:t>
      </w:r>
    </w:p>
    <w:p w14:paraId="771652E4" w14:textId="76B6BD8A" w:rsidR="00854ADA" w:rsidRPr="00FF386D" w:rsidRDefault="00854ADA" w:rsidP="00854ADA">
      <w:pPr>
        <w:jc w:val="both"/>
        <w:rPr>
          <w:rFonts w:asciiTheme="majorHAnsi" w:hAnsiTheme="majorHAnsi" w:cstheme="majorHAnsi"/>
        </w:rPr>
      </w:pPr>
      <w:r w:rsidRPr="00FF386D">
        <w:rPr>
          <w:rFonts w:asciiTheme="majorHAnsi" w:hAnsiTheme="majorHAnsi" w:cstheme="majorHAnsi"/>
          <w:color w:val="000000"/>
        </w:rPr>
        <w:t>Очекује се да ће значајан део средстава за спровођење поменутих предложених мера политике, посебно у области отпада, руралног развоја и шумарства доћи из фондова ЕУ.</w:t>
      </w:r>
    </w:p>
    <w:p w14:paraId="2E76ECF1" w14:textId="77777777" w:rsidR="00854ADA" w:rsidRPr="00565B02" w:rsidRDefault="00854ADA" w:rsidP="00B1080B">
      <w:pPr>
        <w:pStyle w:val="Heading3"/>
        <w:rPr>
          <w:lang w:val="sr-Cyrl-RS"/>
        </w:rPr>
      </w:pPr>
      <w:r w:rsidRPr="00565B02">
        <w:rPr>
          <w:lang w:val="sr-Cyrl-RS"/>
        </w:rPr>
        <w:t>Обновљива енергија</w:t>
      </w:r>
    </w:p>
    <w:p w14:paraId="236C939F" w14:textId="342C7B5A" w:rsidR="00854ADA" w:rsidRPr="00FF386D" w:rsidRDefault="00854ADA">
      <w:pPr>
        <w:keepNext/>
        <w:keepLines/>
        <w:numPr>
          <w:ilvl w:val="0"/>
          <w:numId w:val="281"/>
        </w:numPr>
        <w:spacing w:before="200" w:line="240" w:lineRule="auto"/>
        <w:jc w:val="both"/>
        <w:outlineLvl w:val="3"/>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t xml:space="preserve">Политике и мере за </w:t>
      </w:r>
      <w:r w:rsidR="00965FBA" w:rsidRPr="00FF386D">
        <w:rPr>
          <w:rFonts w:asciiTheme="majorHAnsi" w:eastAsiaTheme="majorEastAsia" w:hAnsiTheme="majorHAnsi" w:cstheme="majorBidi"/>
          <w:b/>
          <w:bCs/>
          <w:iCs/>
          <w:color w:val="01406B"/>
          <w:szCs w:val="24"/>
        </w:rPr>
        <w:t>остварење</w:t>
      </w:r>
      <w:r w:rsidRPr="00FF386D">
        <w:rPr>
          <w:rFonts w:asciiTheme="majorHAnsi" w:eastAsiaTheme="majorEastAsia" w:hAnsiTheme="majorHAnsi" w:cstheme="majorBidi"/>
          <w:b/>
          <w:bCs/>
          <w:iCs/>
          <w:color w:val="01406B"/>
          <w:szCs w:val="24"/>
        </w:rPr>
        <w:t xml:space="preserve"> националног доприноса обавезујућем циљу </w:t>
      </w:r>
      <w:r w:rsidR="00965FBA" w:rsidRPr="00FF386D">
        <w:rPr>
          <w:rFonts w:asciiTheme="majorHAnsi" w:eastAsiaTheme="majorEastAsia" w:hAnsiTheme="majorHAnsi" w:cstheme="majorBidi"/>
          <w:b/>
          <w:bCs/>
          <w:iCs/>
          <w:color w:val="01406B"/>
          <w:szCs w:val="24"/>
        </w:rPr>
        <w:t xml:space="preserve">за 2030. годину </w:t>
      </w:r>
      <w:r w:rsidRPr="00FF386D">
        <w:rPr>
          <w:rFonts w:asciiTheme="majorHAnsi" w:eastAsiaTheme="majorEastAsia" w:hAnsiTheme="majorHAnsi" w:cstheme="majorBidi"/>
          <w:b/>
          <w:bCs/>
          <w:iCs/>
          <w:color w:val="01406B"/>
          <w:szCs w:val="24"/>
        </w:rPr>
        <w:t xml:space="preserve">на нивоу ЕУ за обновљиве изворе енергије, како </w:t>
      </w:r>
      <w:r w:rsidR="00965FBA" w:rsidRPr="00FF386D">
        <w:rPr>
          <w:rFonts w:asciiTheme="majorHAnsi" w:eastAsiaTheme="majorEastAsia" w:hAnsiTheme="majorHAnsi" w:cstheme="majorBidi"/>
          <w:b/>
          <w:bCs/>
          <w:iCs/>
          <w:color w:val="01406B"/>
          <w:szCs w:val="24"/>
        </w:rPr>
        <w:t xml:space="preserve">је наведено </w:t>
      </w:r>
      <w:r w:rsidRPr="00FF386D">
        <w:rPr>
          <w:rFonts w:asciiTheme="majorHAnsi" w:eastAsiaTheme="majorEastAsia" w:hAnsiTheme="majorHAnsi" w:cstheme="majorBidi"/>
          <w:b/>
          <w:bCs/>
          <w:iCs/>
          <w:color w:val="01406B"/>
          <w:szCs w:val="24"/>
        </w:rPr>
        <w:t xml:space="preserve">у одељку 2.2 укључујући </w:t>
      </w:r>
      <w:r w:rsidR="00335522" w:rsidRPr="00FF386D">
        <w:rPr>
          <w:rFonts w:asciiTheme="majorHAnsi" w:eastAsiaTheme="majorEastAsia" w:hAnsiTheme="majorHAnsi" w:cstheme="majorBidi"/>
          <w:b/>
          <w:bCs/>
          <w:iCs/>
          <w:color w:val="01406B"/>
          <w:szCs w:val="24"/>
        </w:rPr>
        <w:t xml:space="preserve">посебне </w:t>
      </w:r>
      <w:r w:rsidRPr="00FF386D">
        <w:rPr>
          <w:rFonts w:asciiTheme="majorHAnsi" w:eastAsiaTheme="majorEastAsia" w:hAnsiTheme="majorHAnsi" w:cstheme="majorBidi"/>
          <w:b/>
          <w:bCs/>
          <w:iCs/>
          <w:color w:val="01406B"/>
          <w:szCs w:val="24"/>
        </w:rPr>
        <w:t xml:space="preserve">мере </w:t>
      </w:r>
      <w:r w:rsidR="00335522" w:rsidRPr="00FF386D">
        <w:rPr>
          <w:rFonts w:asciiTheme="majorHAnsi" w:eastAsiaTheme="majorEastAsia" w:hAnsiTheme="majorHAnsi" w:cstheme="majorBidi"/>
          <w:b/>
          <w:bCs/>
          <w:iCs/>
          <w:color w:val="01406B"/>
          <w:szCs w:val="24"/>
        </w:rPr>
        <w:t xml:space="preserve">за </w:t>
      </w:r>
      <w:r w:rsidRPr="00FF386D">
        <w:rPr>
          <w:rFonts w:asciiTheme="majorHAnsi" w:eastAsiaTheme="majorEastAsia" w:hAnsiTheme="majorHAnsi" w:cstheme="majorBidi"/>
          <w:b/>
          <w:bCs/>
          <w:iCs/>
          <w:color w:val="01406B"/>
          <w:szCs w:val="24"/>
        </w:rPr>
        <w:t>секторе и технологије</w:t>
      </w:r>
    </w:p>
    <w:p w14:paraId="17680BD6" w14:textId="77777777" w:rsidR="00854ADA" w:rsidRPr="000A2AFE" w:rsidRDefault="00854ADA" w:rsidP="00854ADA">
      <w:pPr>
        <w:spacing w:before="240" w:after="240"/>
        <w:jc w:val="both"/>
        <w:rPr>
          <w:rFonts w:asciiTheme="majorHAnsi" w:hAnsiTheme="majorHAnsi" w:cstheme="majorHAnsi"/>
          <w:b/>
          <w:bCs/>
          <w:color w:val="000000"/>
          <w:lang w:val="sr-Latn-RS"/>
        </w:rPr>
      </w:pPr>
      <w:r w:rsidRPr="00FF386D">
        <w:rPr>
          <w:rFonts w:asciiTheme="majorHAnsi" w:hAnsiTheme="majorHAnsi" w:cstheme="majorHAnsi"/>
          <w:b/>
          <w:bCs/>
          <w:color w:val="000000"/>
        </w:rPr>
        <w:t>Електрична енергија</w:t>
      </w:r>
    </w:p>
    <w:p w14:paraId="0D9AD8C0" w14:textId="5B925C64" w:rsidR="00854ADA" w:rsidRPr="00FF386D" w:rsidRDefault="00965FBA" w:rsidP="00854ADA">
      <w:pPr>
        <w:spacing w:before="240" w:after="240"/>
        <w:jc w:val="both"/>
        <w:rPr>
          <w:rFonts w:asciiTheme="majorHAnsi" w:hAnsiTheme="majorHAnsi" w:cstheme="majorHAnsi"/>
          <w:color w:val="000000"/>
        </w:rPr>
      </w:pPr>
      <w:r w:rsidRPr="00FF386D">
        <w:rPr>
          <w:rFonts w:asciiTheme="majorHAnsi" w:hAnsiTheme="majorHAnsi" w:cstheme="majorHAnsi"/>
          <w:color w:val="000000"/>
        </w:rPr>
        <w:t xml:space="preserve">Наставиће се </w:t>
      </w:r>
      <w:r w:rsidR="00F27B15" w:rsidRPr="00FF386D">
        <w:rPr>
          <w:rFonts w:asciiTheme="majorHAnsi" w:hAnsiTheme="majorHAnsi" w:cstheme="majorHAnsi"/>
          <w:color w:val="000000"/>
        </w:rPr>
        <w:t>примена шеме</w:t>
      </w:r>
      <w:r w:rsidR="00FE3A2F" w:rsidRPr="00FF386D">
        <w:rPr>
          <w:rFonts w:asciiTheme="majorHAnsi" w:hAnsiTheme="majorHAnsi" w:cstheme="majorHAnsi"/>
          <w:color w:val="000000"/>
        </w:rPr>
        <w:t xml:space="preserve"> </w:t>
      </w:r>
      <w:r w:rsidR="00F27B15" w:rsidRPr="00FF386D">
        <w:rPr>
          <w:rFonts w:asciiTheme="majorHAnsi" w:hAnsiTheme="majorHAnsi" w:cstheme="majorHAnsi"/>
          <w:color w:val="000000"/>
        </w:rPr>
        <w:t>подршке</w:t>
      </w:r>
      <w:r w:rsidR="00854ADA" w:rsidRPr="00FF386D">
        <w:rPr>
          <w:rFonts w:asciiTheme="majorHAnsi" w:hAnsiTheme="majorHAnsi" w:cstheme="majorHAnsi"/>
          <w:color w:val="000000"/>
        </w:rPr>
        <w:t xml:space="preserve"> </w:t>
      </w:r>
      <w:r w:rsidRPr="00FF386D">
        <w:rPr>
          <w:rFonts w:asciiTheme="majorHAnsi" w:hAnsiTheme="majorHAnsi" w:cstheme="majorHAnsi"/>
          <w:color w:val="000000"/>
        </w:rPr>
        <w:t>кој</w:t>
      </w:r>
      <w:r w:rsidR="00F27B15" w:rsidRPr="00FF386D">
        <w:rPr>
          <w:rFonts w:asciiTheme="majorHAnsi" w:hAnsiTheme="majorHAnsi" w:cstheme="majorHAnsi"/>
          <w:color w:val="000000"/>
        </w:rPr>
        <w:t>а</w:t>
      </w:r>
      <w:r w:rsidRPr="00FF386D">
        <w:rPr>
          <w:rFonts w:asciiTheme="majorHAnsi" w:hAnsiTheme="majorHAnsi" w:cstheme="majorHAnsi"/>
          <w:color w:val="000000"/>
        </w:rPr>
        <w:t xml:space="preserve"> је пре</w:t>
      </w:r>
      <w:r w:rsidR="00201464" w:rsidRPr="00FF386D">
        <w:rPr>
          <w:rFonts w:asciiTheme="majorHAnsi" w:hAnsiTheme="majorHAnsi" w:cstheme="majorHAnsi"/>
          <w:color w:val="000000"/>
        </w:rPr>
        <w:t>д</w:t>
      </w:r>
      <w:r w:rsidRPr="00FF386D">
        <w:rPr>
          <w:rFonts w:asciiTheme="majorHAnsi" w:hAnsiTheme="majorHAnsi" w:cstheme="majorHAnsi"/>
          <w:color w:val="000000"/>
        </w:rPr>
        <w:t>виђен</w:t>
      </w:r>
      <w:r w:rsidR="003A39F9" w:rsidRPr="00FF386D">
        <w:rPr>
          <w:rFonts w:asciiTheme="majorHAnsi" w:hAnsiTheme="majorHAnsi" w:cstheme="majorHAnsi"/>
          <w:color w:val="000000"/>
        </w:rPr>
        <w:t>а</w:t>
      </w:r>
      <w:r w:rsidR="00FE3A2F" w:rsidRPr="00FF386D">
        <w:rPr>
          <w:rFonts w:asciiTheme="majorHAnsi" w:hAnsiTheme="majorHAnsi" w:cstheme="majorHAnsi"/>
          <w:color w:val="000000"/>
        </w:rPr>
        <w:t xml:space="preserve"> </w:t>
      </w:r>
      <w:r w:rsidRPr="00FF386D">
        <w:rPr>
          <w:rFonts w:asciiTheme="majorHAnsi" w:hAnsiTheme="majorHAnsi" w:cstheme="majorHAnsi"/>
          <w:color w:val="000000"/>
        </w:rPr>
        <w:t>Законом о коришћењу обновљивих извора енергије</w:t>
      </w:r>
      <w:r w:rsidR="00854ADA" w:rsidRPr="00FF386D">
        <w:rPr>
          <w:rFonts w:asciiTheme="majorHAnsi" w:hAnsiTheme="majorHAnsi" w:cstheme="majorHAnsi"/>
          <w:color w:val="000000"/>
        </w:rPr>
        <w:t xml:space="preserve"> за произведену електричну енергију из технологија обновљиве енергије. </w:t>
      </w:r>
      <w:r w:rsidR="00F27B15" w:rsidRPr="00FF386D">
        <w:rPr>
          <w:rFonts w:asciiTheme="majorHAnsi" w:hAnsiTheme="majorHAnsi" w:cstheme="majorHAnsi"/>
          <w:color w:val="000000"/>
        </w:rPr>
        <w:t>Биће обезбеђена о</w:t>
      </w:r>
      <w:r w:rsidR="00854ADA" w:rsidRPr="00FF386D">
        <w:rPr>
          <w:rFonts w:asciiTheme="majorHAnsi" w:hAnsiTheme="majorHAnsi" w:cstheme="majorHAnsi"/>
          <w:color w:val="000000"/>
        </w:rPr>
        <w:t xml:space="preserve">перативна помоћ </w:t>
      </w:r>
      <w:r w:rsidR="00FE3A2F" w:rsidRPr="00FF386D">
        <w:rPr>
          <w:rFonts w:asciiTheme="majorHAnsi" w:hAnsiTheme="majorHAnsi" w:cstheme="majorHAnsi"/>
          <w:color w:val="000000"/>
        </w:rPr>
        <w:t>у виду тржишне</w:t>
      </w:r>
      <w:r w:rsidR="00854ADA" w:rsidRPr="00FF386D">
        <w:rPr>
          <w:rFonts w:asciiTheme="majorHAnsi" w:hAnsiTheme="majorHAnsi" w:cstheme="majorHAnsi"/>
          <w:color w:val="000000"/>
        </w:rPr>
        <w:t xml:space="preserve"> </w:t>
      </w:r>
      <w:r w:rsidR="00FE3A2F" w:rsidRPr="00FF386D">
        <w:rPr>
          <w:rFonts w:asciiTheme="majorHAnsi" w:hAnsiTheme="majorHAnsi" w:cstheme="majorHAnsi"/>
          <w:color w:val="000000"/>
        </w:rPr>
        <w:t xml:space="preserve">премије </w:t>
      </w:r>
      <w:r w:rsidR="00854ADA" w:rsidRPr="00FF386D">
        <w:rPr>
          <w:rFonts w:asciiTheme="majorHAnsi" w:hAnsiTheme="majorHAnsi" w:cstheme="majorHAnsi"/>
          <w:color w:val="000000"/>
        </w:rPr>
        <w:t xml:space="preserve">за пројекте обновљиве енергије, </w:t>
      </w:r>
      <w:r w:rsidR="00FE3A2F" w:rsidRPr="00FF386D">
        <w:rPr>
          <w:rFonts w:asciiTheme="majorHAnsi" w:hAnsiTheme="majorHAnsi" w:cstheme="majorHAnsi"/>
          <w:color w:val="000000"/>
        </w:rPr>
        <w:t xml:space="preserve">а </w:t>
      </w:r>
      <w:r w:rsidR="00854ADA" w:rsidRPr="00FF386D">
        <w:rPr>
          <w:rFonts w:asciiTheme="majorHAnsi" w:hAnsiTheme="majorHAnsi" w:cstheme="majorHAnsi"/>
          <w:color w:val="000000"/>
        </w:rPr>
        <w:t xml:space="preserve">спровођење аукција </w:t>
      </w:r>
      <w:r w:rsidR="00FE3A2F" w:rsidRPr="00FF386D">
        <w:rPr>
          <w:rFonts w:asciiTheme="majorHAnsi" w:hAnsiTheme="majorHAnsi" w:cstheme="majorHAnsi"/>
          <w:color w:val="000000"/>
        </w:rPr>
        <w:t>ће</w:t>
      </w:r>
      <w:r w:rsidR="00B96EAB" w:rsidRPr="00B96EAB">
        <w:rPr>
          <w:rFonts w:asciiTheme="majorHAnsi" w:hAnsiTheme="majorHAnsi" w:cstheme="majorHAnsi"/>
          <w:color w:val="000000"/>
        </w:rPr>
        <w:t>, поред стратешких партнерстава</w:t>
      </w:r>
      <w:r w:rsidR="00B96EAB">
        <w:rPr>
          <w:rFonts w:asciiTheme="majorHAnsi" w:hAnsiTheme="majorHAnsi" w:cstheme="majorHAnsi"/>
          <w:color w:val="000000"/>
          <w:lang w:val="sr-Latn-RS"/>
        </w:rPr>
        <w:t>,</w:t>
      </w:r>
      <w:r w:rsidR="00B96EAB" w:rsidRPr="00B96EAB">
        <w:rPr>
          <w:rFonts w:asciiTheme="majorHAnsi" w:hAnsiTheme="majorHAnsi" w:cstheme="majorHAnsi"/>
          <w:color w:val="000000"/>
        </w:rPr>
        <w:t xml:space="preserve"> </w:t>
      </w:r>
      <w:r w:rsidR="00F27B15" w:rsidRPr="00FF386D">
        <w:rPr>
          <w:rFonts w:asciiTheme="majorHAnsi" w:hAnsiTheme="majorHAnsi" w:cstheme="majorHAnsi"/>
          <w:color w:val="000000"/>
        </w:rPr>
        <w:t>осигурати</w:t>
      </w:r>
      <w:r w:rsidR="00854ADA" w:rsidRPr="00FF386D">
        <w:rPr>
          <w:rFonts w:asciiTheme="majorHAnsi" w:hAnsiTheme="majorHAnsi" w:cstheme="majorHAnsi"/>
          <w:color w:val="000000"/>
        </w:rPr>
        <w:t xml:space="preserve"> да се оперативна помоћ </w:t>
      </w:r>
      <w:r w:rsidR="00FE3A2F" w:rsidRPr="00FF386D">
        <w:rPr>
          <w:rFonts w:asciiTheme="majorHAnsi" w:hAnsiTheme="majorHAnsi" w:cstheme="majorHAnsi"/>
          <w:color w:val="000000"/>
        </w:rPr>
        <w:t>додељује</w:t>
      </w:r>
      <w:r w:rsidR="00854ADA" w:rsidRPr="00FF386D">
        <w:rPr>
          <w:rFonts w:asciiTheme="majorHAnsi" w:hAnsiTheme="majorHAnsi" w:cstheme="majorHAnsi"/>
          <w:color w:val="000000"/>
        </w:rPr>
        <w:t xml:space="preserve"> на отворен, транспарентан, конкурентан, недискриминаторан и </w:t>
      </w:r>
      <w:r w:rsidR="00FE3A2F" w:rsidRPr="00FF386D">
        <w:rPr>
          <w:rFonts w:asciiTheme="majorHAnsi" w:hAnsiTheme="majorHAnsi" w:cstheme="majorHAnsi"/>
          <w:color w:val="000000"/>
        </w:rPr>
        <w:t>економичан</w:t>
      </w:r>
      <w:r w:rsidR="00854ADA" w:rsidRPr="00FF386D">
        <w:rPr>
          <w:rFonts w:asciiTheme="majorHAnsi" w:hAnsiTheme="majorHAnsi" w:cstheme="majorHAnsi"/>
          <w:color w:val="000000"/>
        </w:rPr>
        <w:t xml:space="preserve"> начин, </w:t>
      </w:r>
      <w:r w:rsidR="00346E7F" w:rsidRPr="00FF386D">
        <w:rPr>
          <w:rFonts w:asciiTheme="majorHAnsi" w:hAnsiTheme="majorHAnsi" w:cstheme="majorHAnsi"/>
          <w:color w:val="000000"/>
        </w:rPr>
        <w:t>како</w:t>
      </w:r>
      <w:r w:rsidR="00FE3A2F" w:rsidRPr="00FF386D">
        <w:rPr>
          <w:rFonts w:asciiTheme="majorHAnsi" w:hAnsiTheme="majorHAnsi" w:cstheme="majorHAnsi"/>
          <w:color w:val="000000"/>
        </w:rPr>
        <w:t xml:space="preserve"> би се избегли </w:t>
      </w:r>
      <w:r w:rsidR="00854ADA" w:rsidRPr="00FF386D">
        <w:rPr>
          <w:rFonts w:asciiTheme="majorHAnsi" w:hAnsiTheme="majorHAnsi" w:cstheme="majorHAnsi"/>
          <w:color w:val="000000"/>
        </w:rPr>
        <w:t>непотребн</w:t>
      </w:r>
      <w:r w:rsidR="00FE3A2F" w:rsidRPr="00FF386D">
        <w:rPr>
          <w:rFonts w:asciiTheme="majorHAnsi" w:hAnsiTheme="majorHAnsi" w:cstheme="majorHAnsi"/>
          <w:color w:val="000000"/>
        </w:rPr>
        <w:t>и</w:t>
      </w:r>
      <w:r w:rsidR="00854ADA" w:rsidRPr="00FF386D">
        <w:rPr>
          <w:rFonts w:asciiTheme="majorHAnsi" w:hAnsiTheme="majorHAnsi" w:cstheme="majorHAnsi"/>
          <w:color w:val="000000"/>
        </w:rPr>
        <w:t xml:space="preserve"> поремећај</w:t>
      </w:r>
      <w:r w:rsidR="00FE3A2F" w:rsidRPr="00FF386D">
        <w:rPr>
          <w:rFonts w:asciiTheme="majorHAnsi" w:hAnsiTheme="majorHAnsi" w:cstheme="majorHAnsi"/>
          <w:color w:val="000000"/>
        </w:rPr>
        <w:t>и</w:t>
      </w:r>
      <w:r w:rsidR="00854ADA" w:rsidRPr="00FF386D">
        <w:rPr>
          <w:rFonts w:asciiTheme="majorHAnsi" w:hAnsiTheme="majorHAnsi" w:cstheme="majorHAnsi"/>
          <w:color w:val="000000"/>
        </w:rPr>
        <w:t xml:space="preserve"> </w:t>
      </w:r>
      <w:r w:rsidR="00FE3A2F" w:rsidRPr="00FF386D">
        <w:rPr>
          <w:rFonts w:asciiTheme="majorHAnsi" w:hAnsiTheme="majorHAnsi" w:cstheme="majorHAnsi"/>
          <w:color w:val="000000"/>
        </w:rPr>
        <w:t xml:space="preserve">на </w:t>
      </w:r>
      <w:r w:rsidR="00854ADA" w:rsidRPr="00FF386D">
        <w:rPr>
          <w:rFonts w:asciiTheme="majorHAnsi" w:hAnsiTheme="majorHAnsi" w:cstheme="majorHAnsi"/>
          <w:color w:val="000000"/>
        </w:rPr>
        <w:t>тржишт</w:t>
      </w:r>
      <w:r w:rsidR="00FE3A2F" w:rsidRPr="00FF386D">
        <w:rPr>
          <w:rFonts w:asciiTheme="majorHAnsi" w:hAnsiTheme="majorHAnsi" w:cstheme="majorHAnsi"/>
          <w:color w:val="000000"/>
        </w:rPr>
        <w:t>у</w:t>
      </w:r>
      <w:r w:rsidR="00854ADA" w:rsidRPr="00FF386D">
        <w:rPr>
          <w:rFonts w:asciiTheme="majorHAnsi" w:hAnsiTheme="majorHAnsi" w:cstheme="majorHAnsi"/>
          <w:color w:val="000000"/>
        </w:rPr>
        <w:t xml:space="preserve"> електричне енергије, </w:t>
      </w:r>
      <w:r w:rsidR="003D3A5B" w:rsidRPr="00FF386D">
        <w:rPr>
          <w:rFonts w:asciiTheme="majorHAnsi" w:hAnsiTheme="majorHAnsi" w:cstheme="majorHAnsi"/>
          <w:color w:val="000000"/>
        </w:rPr>
        <w:t>уз узимање у</w:t>
      </w:r>
      <w:r w:rsidR="00854ADA" w:rsidRPr="00FF386D">
        <w:rPr>
          <w:rFonts w:asciiTheme="majorHAnsi" w:hAnsiTheme="majorHAnsi" w:cstheme="majorHAnsi"/>
          <w:color w:val="000000"/>
        </w:rPr>
        <w:t xml:space="preserve"> обзир могућ</w:t>
      </w:r>
      <w:r w:rsidR="003D3A5B" w:rsidRPr="00FF386D">
        <w:rPr>
          <w:rFonts w:asciiTheme="majorHAnsi" w:hAnsiTheme="majorHAnsi" w:cstheme="majorHAnsi"/>
          <w:color w:val="000000"/>
        </w:rPr>
        <w:t>их</w:t>
      </w:r>
      <w:r w:rsidR="00854ADA" w:rsidRPr="00FF386D">
        <w:rPr>
          <w:rFonts w:asciiTheme="majorHAnsi" w:hAnsiTheme="majorHAnsi" w:cstheme="majorHAnsi"/>
          <w:color w:val="000000"/>
        </w:rPr>
        <w:t xml:space="preserve"> трошков</w:t>
      </w:r>
      <w:r w:rsidR="003D3A5B" w:rsidRPr="00FF386D">
        <w:rPr>
          <w:rFonts w:asciiTheme="majorHAnsi" w:hAnsiTheme="majorHAnsi" w:cstheme="majorHAnsi"/>
          <w:color w:val="000000"/>
        </w:rPr>
        <w:t>а</w:t>
      </w:r>
      <w:r w:rsidR="00854ADA" w:rsidRPr="00FF386D">
        <w:rPr>
          <w:rFonts w:asciiTheme="majorHAnsi" w:hAnsiTheme="majorHAnsi" w:cstheme="majorHAnsi"/>
          <w:color w:val="000000"/>
        </w:rPr>
        <w:t xml:space="preserve"> интеграције </w:t>
      </w:r>
      <w:r w:rsidR="003D3A5B" w:rsidRPr="00FF386D">
        <w:rPr>
          <w:rFonts w:asciiTheme="majorHAnsi" w:hAnsiTheme="majorHAnsi" w:cstheme="majorHAnsi"/>
          <w:color w:val="000000"/>
        </w:rPr>
        <w:t xml:space="preserve">у </w:t>
      </w:r>
      <w:r w:rsidR="00854ADA" w:rsidRPr="00FF386D">
        <w:rPr>
          <w:rFonts w:asciiTheme="majorHAnsi" w:hAnsiTheme="majorHAnsi" w:cstheme="majorHAnsi"/>
          <w:color w:val="000000"/>
        </w:rPr>
        <w:t>систем и потребн</w:t>
      </w:r>
      <w:r w:rsidR="007D20BA" w:rsidRPr="00FF386D">
        <w:rPr>
          <w:rFonts w:asciiTheme="majorHAnsi" w:hAnsiTheme="majorHAnsi" w:cstheme="majorHAnsi"/>
          <w:color w:val="000000"/>
        </w:rPr>
        <w:t>у</w:t>
      </w:r>
      <w:r w:rsidR="00854ADA" w:rsidRPr="00FF386D">
        <w:rPr>
          <w:rFonts w:asciiTheme="majorHAnsi" w:hAnsiTheme="majorHAnsi" w:cstheme="majorHAnsi"/>
          <w:color w:val="000000"/>
        </w:rPr>
        <w:t xml:space="preserve"> стабилност мреже. Истовремено, електран</w:t>
      </w:r>
      <w:r w:rsidR="00B96EAB">
        <w:rPr>
          <w:rFonts w:asciiTheme="majorHAnsi" w:hAnsiTheme="majorHAnsi" w:cstheme="majorHAnsi"/>
          <w:color w:val="000000"/>
          <w:lang w:val="sr-Latn-RS"/>
        </w:rPr>
        <w:t>e</w:t>
      </w:r>
      <w:r w:rsidR="00854ADA" w:rsidRPr="00FF386D">
        <w:rPr>
          <w:rFonts w:asciiTheme="majorHAnsi" w:hAnsiTheme="majorHAnsi" w:cstheme="majorHAnsi"/>
          <w:color w:val="000000"/>
        </w:rPr>
        <w:t xml:space="preserve"> које користе обновљиве изворе енергије </w:t>
      </w:r>
      <w:r w:rsidR="00B96EAB" w:rsidRPr="00B96EAB">
        <w:rPr>
          <w:rFonts w:asciiTheme="majorHAnsi" w:hAnsiTheme="majorHAnsi" w:cstheme="majorHAnsi"/>
          <w:color w:val="000000"/>
        </w:rPr>
        <w:t xml:space="preserve">би требало да имају посебне обавезе у погледу њиховог учешћа </w:t>
      </w:r>
      <w:r w:rsidR="00854ADA" w:rsidRPr="00FF386D">
        <w:rPr>
          <w:rFonts w:asciiTheme="majorHAnsi" w:hAnsiTheme="majorHAnsi" w:cstheme="majorHAnsi"/>
          <w:color w:val="000000"/>
        </w:rPr>
        <w:t>на тржишту електричне енергије</w:t>
      </w:r>
      <w:r w:rsidR="00DA4CA9" w:rsidRPr="00FF386D">
        <w:rPr>
          <w:rFonts w:asciiTheme="majorHAnsi" w:hAnsiTheme="majorHAnsi" w:cstheme="majorHAnsi"/>
          <w:color w:val="000000"/>
        </w:rPr>
        <w:t xml:space="preserve">, сходно </w:t>
      </w:r>
      <w:r w:rsidR="00854ADA" w:rsidRPr="00FF386D">
        <w:rPr>
          <w:rFonts w:asciiTheme="majorHAnsi" w:hAnsiTheme="majorHAnsi" w:cstheme="majorHAnsi"/>
          <w:color w:val="000000"/>
        </w:rPr>
        <w:t>законск</w:t>
      </w:r>
      <w:r w:rsidR="00DA4CA9" w:rsidRPr="00FF386D">
        <w:rPr>
          <w:rFonts w:asciiTheme="majorHAnsi" w:hAnsiTheme="majorHAnsi" w:cstheme="majorHAnsi"/>
          <w:color w:val="000000"/>
        </w:rPr>
        <w:t>ом</w:t>
      </w:r>
      <w:r w:rsidR="00854ADA" w:rsidRPr="00FF386D">
        <w:rPr>
          <w:rFonts w:asciiTheme="majorHAnsi" w:hAnsiTheme="majorHAnsi" w:cstheme="majorHAnsi"/>
          <w:color w:val="000000"/>
        </w:rPr>
        <w:t xml:space="preserve"> оквир</w:t>
      </w:r>
      <w:r w:rsidR="00DA4CA9" w:rsidRPr="00FF386D">
        <w:rPr>
          <w:rFonts w:asciiTheme="majorHAnsi" w:hAnsiTheme="majorHAnsi" w:cstheme="majorHAnsi"/>
          <w:color w:val="000000"/>
        </w:rPr>
        <w:t>у</w:t>
      </w:r>
      <w:r w:rsidR="00854ADA" w:rsidRPr="00FF386D">
        <w:rPr>
          <w:rFonts w:asciiTheme="majorHAnsi" w:hAnsiTheme="majorHAnsi" w:cstheme="majorHAnsi"/>
          <w:color w:val="000000"/>
        </w:rPr>
        <w:t xml:space="preserve"> који ће бити </w:t>
      </w:r>
      <w:r w:rsidR="00B96EAB" w:rsidRPr="00B96EAB">
        <w:rPr>
          <w:rFonts w:asciiTheme="majorHAnsi" w:hAnsiTheme="majorHAnsi" w:cstheme="majorHAnsi"/>
          <w:color w:val="000000"/>
        </w:rPr>
        <w:t>измењен</w:t>
      </w:r>
      <w:r w:rsidR="00B96EAB">
        <w:rPr>
          <w:rFonts w:asciiTheme="majorHAnsi" w:hAnsiTheme="majorHAnsi" w:cstheme="majorHAnsi"/>
          <w:color w:val="000000"/>
          <w:lang w:val="sr-Latn-RS"/>
        </w:rPr>
        <w:t xml:space="preserve"> </w:t>
      </w:r>
      <w:r w:rsidR="00B96EAB" w:rsidRPr="00B96EAB">
        <w:rPr>
          <w:rFonts w:asciiTheme="majorHAnsi" w:hAnsiTheme="majorHAnsi" w:cstheme="majorHAnsi"/>
          <w:color w:val="000000"/>
          <w:lang w:val="sr-Latn-RS"/>
        </w:rPr>
        <w:t>тако да буде у потпуности усклађен</w:t>
      </w:r>
      <w:r w:rsidR="00854ADA" w:rsidRPr="00FF386D">
        <w:rPr>
          <w:rFonts w:asciiTheme="majorHAnsi" w:hAnsiTheme="majorHAnsi" w:cstheme="majorHAnsi"/>
          <w:color w:val="000000"/>
        </w:rPr>
        <w:t xml:space="preserve"> са одредбама Директиве </w:t>
      </w:r>
      <w:r w:rsidR="00DA4CA9" w:rsidRPr="00FF386D">
        <w:rPr>
          <w:rFonts w:asciiTheme="majorHAnsi" w:hAnsiTheme="majorHAnsi" w:cstheme="majorHAnsi"/>
          <w:color w:val="000000"/>
        </w:rPr>
        <w:t xml:space="preserve">(ЕУ) </w:t>
      </w:r>
      <w:r w:rsidR="00854ADA" w:rsidRPr="00FF386D">
        <w:rPr>
          <w:rFonts w:asciiTheme="majorHAnsi" w:hAnsiTheme="majorHAnsi" w:cstheme="majorHAnsi"/>
          <w:color w:val="000000"/>
        </w:rPr>
        <w:t>2019/944 о заједничким правилима за рад унутрашњег тржишта електричне енергије и Уредбе</w:t>
      </w:r>
      <w:r w:rsidR="00DA4CA9" w:rsidRPr="00FF386D">
        <w:rPr>
          <w:rFonts w:asciiTheme="majorHAnsi" w:hAnsiTheme="majorHAnsi" w:cstheme="majorHAnsi"/>
          <w:color w:val="000000"/>
        </w:rPr>
        <w:t xml:space="preserve"> (ЕУ)</w:t>
      </w:r>
      <w:r w:rsidR="00854ADA" w:rsidRPr="00FF386D">
        <w:rPr>
          <w:rFonts w:asciiTheme="majorHAnsi" w:hAnsiTheme="majorHAnsi" w:cstheme="majorHAnsi"/>
          <w:color w:val="000000"/>
        </w:rPr>
        <w:t xml:space="preserve"> </w:t>
      </w:r>
      <w:r w:rsidR="00DA4CA9" w:rsidRPr="00FF386D">
        <w:rPr>
          <w:rFonts w:asciiTheme="majorHAnsi" w:hAnsiTheme="majorHAnsi" w:cstheme="majorHAnsi"/>
          <w:color w:val="000000"/>
        </w:rPr>
        <w:t>2019/</w:t>
      </w:r>
      <w:r w:rsidR="00854ADA" w:rsidRPr="00FF386D">
        <w:rPr>
          <w:rFonts w:asciiTheme="majorHAnsi" w:hAnsiTheme="majorHAnsi" w:cstheme="majorHAnsi"/>
          <w:color w:val="000000"/>
        </w:rPr>
        <w:t xml:space="preserve">943 </w:t>
      </w:r>
      <w:r w:rsidR="008563F1" w:rsidRPr="00FF386D">
        <w:rPr>
          <w:rFonts w:asciiTheme="majorHAnsi" w:hAnsiTheme="majorHAnsi" w:cstheme="majorHAnsi"/>
          <w:color w:val="000000"/>
        </w:rPr>
        <w:t>за</w:t>
      </w:r>
      <w:r w:rsidR="00854ADA" w:rsidRPr="00FF386D">
        <w:rPr>
          <w:rFonts w:asciiTheme="majorHAnsi" w:hAnsiTheme="majorHAnsi" w:cstheme="majorHAnsi"/>
          <w:color w:val="000000"/>
        </w:rPr>
        <w:t xml:space="preserve"> </w:t>
      </w:r>
      <w:r w:rsidR="008563F1" w:rsidRPr="00FF386D">
        <w:rPr>
          <w:rFonts w:asciiTheme="majorHAnsi" w:hAnsiTheme="majorHAnsi" w:cstheme="majorHAnsi"/>
          <w:color w:val="000000"/>
        </w:rPr>
        <w:t>утврђивање</w:t>
      </w:r>
      <w:r w:rsidR="00854ADA" w:rsidRPr="00FF386D">
        <w:rPr>
          <w:rFonts w:asciiTheme="majorHAnsi" w:hAnsiTheme="majorHAnsi" w:cstheme="majorHAnsi"/>
          <w:color w:val="000000"/>
        </w:rPr>
        <w:t xml:space="preserve"> балансне одговорности учесника</w:t>
      </w:r>
      <w:r w:rsidR="00DA4CA9" w:rsidRPr="00FF386D">
        <w:rPr>
          <w:rFonts w:asciiTheme="majorHAnsi" w:hAnsiTheme="majorHAnsi" w:cstheme="majorHAnsi"/>
          <w:color w:val="000000"/>
        </w:rPr>
        <w:t xml:space="preserve">. </w:t>
      </w:r>
      <w:r w:rsidR="005E68CB" w:rsidRPr="00FF386D">
        <w:rPr>
          <w:rFonts w:asciiTheme="majorHAnsi" w:hAnsiTheme="majorHAnsi" w:cstheme="majorHAnsi"/>
          <w:color w:val="000000"/>
        </w:rPr>
        <w:t>Биће предвиђено увођење п</w:t>
      </w:r>
      <w:r w:rsidR="00854ADA" w:rsidRPr="00FF386D">
        <w:rPr>
          <w:rFonts w:asciiTheme="majorHAnsi" w:hAnsiTheme="majorHAnsi" w:cstheme="majorHAnsi"/>
          <w:color w:val="000000"/>
        </w:rPr>
        <w:t>остепен</w:t>
      </w:r>
      <w:r w:rsidR="005E68CB" w:rsidRPr="00FF386D">
        <w:rPr>
          <w:rFonts w:asciiTheme="majorHAnsi" w:hAnsiTheme="majorHAnsi" w:cstheme="majorHAnsi"/>
          <w:color w:val="000000"/>
        </w:rPr>
        <w:t>е</w:t>
      </w:r>
      <w:r w:rsidR="00854ADA" w:rsidRPr="00FF386D">
        <w:rPr>
          <w:rFonts w:asciiTheme="majorHAnsi" w:hAnsiTheme="majorHAnsi" w:cstheme="majorHAnsi"/>
          <w:color w:val="000000"/>
        </w:rPr>
        <w:t xml:space="preserve"> обавез</w:t>
      </w:r>
      <w:r w:rsidR="005E68CB" w:rsidRPr="00FF386D">
        <w:rPr>
          <w:rFonts w:asciiTheme="majorHAnsi" w:hAnsiTheme="majorHAnsi" w:cstheme="majorHAnsi"/>
          <w:color w:val="000000"/>
        </w:rPr>
        <w:t>е</w:t>
      </w:r>
      <w:r w:rsidR="00B96EAB" w:rsidRPr="00B96EAB">
        <w:t xml:space="preserve"> </w:t>
      </w:r>
      <w:r w:rsidR="00B96EAB" w:rsidRPr="00B96EAB">
        <w:rPr>
          <w:rFonts w:asciiTheme="majorHAnsi" w:hAnsiTheme="majorHAnsi" w:cstheme="majorHAnsi"/>
          <w:color w:val="000000"/>
        </w:rPr>
        <w:t>електрана на обновљиве изворе енергије</w:t>
      </w:r>
      <w:r w:rsidR="005E68CB" w:rsidRPr="00FF386D">
        <w:rPr>
          <w:rFonts w:asciiTheme="majorHAnsi" w:hAnsiTheme="majorHAnsi" w:cstheme="majorHAnsi"/>
          <w:color w:val="000000"/>
        </w:rPr>
        <w:t>,</w:t>
      </w:r>
      <w:r w:rsidR="00854ADA" w:rsidRPr="00FF386D">
        <w:rPr>
          <w:rFonts w:asciiTheme="majorHAnsi" w:hAnsiTheme="majorHAnsi" w:cstheme="majorHAnsi"/>
          <w:color w:val="000000"/>
        </w:rPr>
        <w:t xml:space="preserve"> у складу са инсталисаним капацитетом и техничком зрелошћу постројења, </w:t>
      </w:r>
      <w:r w:rsidR="005E68CB" w:rsidRPr="00FF386D">
        <w:rPr>
          <w:rFonts w:asciiTheme="majorHAnsi" w:hAnsiTheme="majorHAnsi" w:cstheme="majorHAnsi"/>
          <w:color w:val="000000"/>
        </w:rPr>
        <w:t>при чему</w:t>
      </w:r>
      <w:r w:rsidR="00854ADA" w:rsidRPr="00FF386D">
        <w:rPr>
          <w:rFonts w:asciiTheme="majorHAnsi" w:hAnsiTheme="majorHAnsi" w:cstheme="majorHAnsi"/>
          <w:color w:val="000000"/>
        </w:rPr>
        <w:t xml:space="preserve"> ће рад агрегат</w:t>
      </w:r>
      <w:r w:rsidR="003E328C" w:rsidRPr="00FF386D">
        <w:rPr>
          <w:rFonts w:asciiTheme="majorHAnsi" w:hAnsiTheme="majorHAnsi" w:cstheme="majorHAnsi"/>
          <w:color w:val="000000"/>
        </w:rPr>
        <w:t>ора</w:t>
      </w:r>
      <w:r w:rsidR="00854ADA" w:rsidRPr="00FF386D">
        <w:rPr>
          <w:rFonts w:asciiTheme="majorHAnsi" w:hAnsiTheme="majorHAnsi" w:cstheme="majorHAnsi"/>
          <w:color w:val="000000"/>
        </w:rPr>
        <w:t xml:space="preserve"> бити </w:t>
      </w:r>
      <w:r w:rsidR="00B96EAB" w:rsidRPr="00B96EAB">
        <w:rPr>
          <w:rFonts w:asciiTheme="majorHAnsi" w:hAnsiTheme="majorHAnsi" w:cstheme="majorHAnsi"/>
          <w:color w:val="000000"/>
        </w:rPr>
        <w:t>испитан</w:t>
      </w:r>
      <w:r w:rsidR="00B96EAB">
        <w:rPr>
          <w:rFonts w:asciiTheme="majorHAnsi" w:hAnsiTheme="majorHAnsi" w:cstheme="majorHAnsi"/>
          <w:color w:val="000000"/>
          <w:lang w:val="sr-Latn-RS"/>
        </w:rPr>
        <w:t xml:space="preserve"> </w:t>
      </w:r>
      <w:r w:rsidR="00854ADA" w:rsidRPr="00FF386D">
        <w:rPr>
          <w:rFonts w:asciiTheme="majorHAnsi" w:hAnsiTheme="majorHAnsi" w:cstheme="majorHAnsi"/>
          <w:color w:val="000000"/>
        </w:rPr>
        <w:t xml:space="preserve">и као алтернативна опција за испуњење </w:t>
      </w:r>
      <w:r w:rsidR="00DA4CA9" w:rsidRPr="00FF386D">
        <w:rPr>
          <w:rFonts w:asciiTheme="majorHAnsi" w:hAnsiTheme="majorHAnsi" w:cstheme="majorHAnsi"/>
          <w:color w:val="000000"/>
        </w:rPr>
        <w:t>обавезе</w:t>
      </w:r>
      <w:r w:rsidR="005E68CB" w:rsidRPr="00FF386D">
        <w:rPr>
          <w:rFonts w:asciiTheme="majorHAnsi" w:hAnsiTheme="majorHAnsi" w:cstheme="majorHAnsi"/>
          <w:color w:val="000000"/>
        </w:rPr>
        <w:t xml:space="preserve"> </w:t>
      </w:r>
      <w:r w:rsidR="00DA4CA9" w:rsidRPr="00FF386D">
        <w:rPr>
          <w:rFonts w:asciiTheme="majorHAnsi" w:hAnsiTheme="majorHAnsi" w:cstheme="majorHAnsi"/>
          <w:color w:val="000000"/>
        </w:rPr>
        <w:t xml:space="preserve">балансне одговорности. Уопште, </w:t>
      </w:r>
      <w:r w:rsidR="005E68CB" w:rsidRPr="00FF386D">
        <w:rPr>
          <w:rFonts w:asciiTheme="majorHAnsi" w:hAnsiTheme="majorHAnsi" w:cstheme="majorHAnsi"/>
          <w:color w:val="000000"/>
        </w:rPr>
        <w:t xml:space="preserve">биће потребно да се посвети пажња значајним изазовима у погледу </w:t>
      </w:r>
      <w:r w:rsidR="00C763D9" w:rsidRPr="00FF386D">
        <w:rPr>
          <w:rFonts w:asciiTheme="majorHAnsi" w:hAnsiTheme="majorHAnsi" w:cstheme="majorHAnsi"/>
          <w:color w:val="000000"/>
        </w:rPr>
        <w:t xml:space="preserve">доношења </w:t>
      </w:r>
      <w:r w:rsidR="005E68CB" w:rsidRPr="00FF386D">
        <w:rPr>
          <w:rFonts w:asciiTheme="majorHAnsi" w:hAnsiTheme="majorHAnsi" w:cstheme="majorHAnsi"/>
          <w:color w:val="000000"/>
        </w:rPr>
        <w:t xml:space="preserve">законских прописа и њихове примене </w:t>
      </w:r>
      <w:r w:rsidR="00C14E92" w:rsidRPr="00FF386D">
        <w:rPr>
          <w:rFonts w:asciiTheme="majorHAnsi" w:hAnsiTheme="majorHAnsi" w:cstheme="majorHAnsi"/>
          <w:color w:val="000000"/>
        </w:rPr>
        <w:t xml:space="preserve">да би се постигло </w:t>
      </w:r>
      <w:r w:rsidR="005E68CB" w:rsidRPr="00FF386D">
        <w:rPr>
          <w:rFonts w:asciiTheme="majorHAnsi" w:hAnsiTheme="majorHAnsi" w:cstheme="majorHAnsi"/>
          <w:color w:val="000000"/>
        </w:rPr>
        <w:t>усаглашавањ</w:t>
      </w:r>
      <w:r w:rsidR="00C14E92" w:rsidRPr="00FF386D">
        <w:rPr>
          <w:rFonts w:asciiTheme="majorHAnsi" w:hAnsiTheme="majorHAnsi" w:cstheme="majorHAnsi"/>
          <w:color w:val="000000"/>
        </w:rPr>
        <w:t>е</w:t>
      </w:r>
      <w:r w:rsidR="005E68CB" w:rsidRPr="00FF386D">
        <w:rPr>
          <w:rFonts w:asciiTheme="majorHAnsi" w:hAnsiTheme="majorHAnsi" w:cstheme="majorHAnsi"/>
          <w:color w:val="000000"/>
        </w:rPr>
        <w:t xml:space="preserve"> са </w:t>
      </w:r>
      <w:r w:rsidR="00C14E92" w:rsidRPr="00FF386D">
        <w:rPr>
          <w:rFonts w:asciiTheme="majorHAnsi" w:hAnsiTheme="majorHAnsi" w:cstheme="majorHAnsi"/>
          <w:color w:val="000000"/>
        </w:rPr>
        <w:t>обавезом балансне одговорности</w:t>
      </w:r>
      <w:r w:rsidR="001B51B5" w:rsidRPr="00FF386D">
        <w:rPr>
          <w:rFonts w:asciiTheme="majorHAnsi" w:hAnsiTheme="majorHAnsi" w:cstheme="majorHAnsi"/>
          <w:color w:val="000000"/>
        </w:rPr>
        <w:t xml:space="preserve">, </w:t>
      </w:r>
      <w:r w:rsidR="003D3A5B" w:rsidRPr="00FF386D">
        <w:rPr>
          <w:rFonts w:asciiTheme="majorHAnsi" w:hAnsiTheme="majorHAnsi" w:cstheme="majorHAnsi"/>
          <w:color w:val="000000"/>
        </w:rPr>
        <w:t xml:space="preserve">уз </w:t>
      </w:r>
      <w:r w:rsidR="005E68CB" w:rsidRPr="00FF386D">
        <w:rPr>
          <w:rFonts w:asciiTheme="majorHAnsi" w:hAnsiTheme="majorHAnsi" w:cstheme="majorHAnsi"/>
          <w:color w:val="000000"/>
        </w:rPr>
        <w:t>осигурава</w:t>
      </w:r>
      <w:r w:rsidR="003D3A5B" w:rsidRPr="00FF386D">
        <w:rPr>
          <w:rFonts w:asciiTheme="majorHAnsi" w:hAnsiTheme="majorHAnsi" w:cstheme="majorHAnsi"/>
          <w:color w:val="000000"/>
        </w:rPr>
        <w:t>ње</w:t>
      </w:r>
      <w:r w:rsidR="005E68CB" w:rsidRPr="00FF386D">
        <w:rPr>
          <w:rFonts w:asciiTheme="majorHAnsi" w:hAnsiTheme="majorHAnsi" w:cstheme="majorHAnsi"/>
          <w:color w:val="000000"/>
        </w:rPr>
        <w:t xml:space="preserve"> несметано</w:t>
      </w:r>
      <w:r w:rsidR="003D3A5B" w:rsidRPr="00FF386D">
        <w:rPr>
          <w:rFonts w:asciiTheme="majorHAnsi" w:hAnsiTheme="majorHAnsi" w:cstheme="majorHAnsi"/>
          <w:color w:val="000000"/>
        </w:rPr>
        <w:t>г</w:t>
      </w:r>
      <w:r w:rsidR="005E68CB" w:rsidRPr="00FF386D">
        <w:rPr>
          <w:rFonts w:asciiTheme="majorHAnsi" w:hAnsiTheme="majorHAnsi" w:cstheme="majorHAnsi"/>
          <w:color w:val="000000"/>
        </w:rPr>
        <w:t xml:space="preserve"> увођењ</w:t>
      </w:r>
      <w:r w:rsidR="003D3A5B" w:rsidRPr="00FF386D">
        <w:rPr>
          <w:rFonts w:asciiTheme="majorHAnsi" w:hAnsiTheme="majorHAnsi" w:cstheme="majorHAnsi"/>
          <w:color w:val="000000"/>
        </w:rPr>
        <w:t>а</w:t>
      </w:r>
      <w:r w:rsidR="005E68CB" w:rsidRPr="00FF386D">
        <w:rPr>
          <w:rFonts w:asciiTheme="majorHAnsi" w:hAnsiTheme="majorHAnsi" w:cstheme="majorHAnsi"/>
          <w:color w:val="000000"/>
        </w:rPr>
        <w:t xml:space="preserve"> технологија обновљиве енергије за производњу електричне енергије.</w:t>
      </w:r>
    </w:p>
    <w:p w14:paraId="4C5B4AE2" w14:textId="18EF574D" w:rsidR="00854ADA" w:rsidRPr="00FF386D" w:rsidRDefault="00854ADA" w:rsidP="00854ADA">
      <w:pPr>
        <w:spacing w:before="240" w:after="240"/>
        <w:jc w:val="both"/>
        <w:rPr>
          <w:rFonts w:asciiTheme="majorHAnsi" w:hAnsiTheme="majorHAnsi" w:cstheme="majorHAnsi"/>
          <w:color w:val="000000"/>
        </w:rPr>
      </w:pPr>
      <w:r w:rsidRPr="00FF386D">
        <w:rPr>
          <w:rFonts w:asciiTheme="majorHAnsi" w:hAnsiTheme="majorHAnsi" w:cstheme="majorHAnsi"/>
          <w:color w:val="000000"/>
        </w:rPr>
        <w:t xml:space="preserve">Додатни финансијски и фискални подстицаји </w:t>
      </w:r>
      <w:r w:rsidR="003A39F9" w:rsidRPr="00FF386D">
        <w:rPr>
          <w:rFonts w:asciiTheme="majorHAnsi" w:hAnsiTheme="majorHAnsi" w:cstheme="majorHAnsi"/>
          <w:color w:val="000000"/>
        </w:rPr>
        <w:t>ће бити</w:t>
      </w:r>
      <w:r w:rsidRPr="00FF386D">
        <w:rPr>
          <w:rFonts w:asciiTheme="majorHAnsi" w:hAnsiTheme="majorHAnsi" w:cstheme="majorHAnsi"/>
          <w:color w:val="000000"/>
        </w:rPr>
        <w:t xml:space="preserve"> обезбеђени за иновативне и демонстрационе пројекте производњ</w:t>
      </w:r>
      <w:r w:rsidR="001B51B5" w:rsidRPr="00FF386D">
        <w:rPr>
          <w:rFonts w:asciiTheme="majorHAnsi" w:hAnsiTheme="majorHAnsi" w:cstheme="majorHAnsi"/>
          <w:color w:val="000000"/>
        </w:rPr>
        <w:t>е</w:t>
      </w:r>
      <w:r w:rsidRPr="00FF386D">
        <w:rPr>
          <w:rFonts w:asciiTheme="majorHAnsi" w:hAnsiTheme="majorHAnsi" w:cstheme="majorHAnsi"/>
          <w:color w:val="000000"/>
        </w:rPr>
        <w:t xml:space="preserve"> електричне енергије, под условом да </w:t>
      </w:r>
      <w:r w:rsidR="00ED20AA" w:rsidRPr="00FF386D">
        <w:rPr>
          <w:rFonts w:asciiTheme="majorHAnsi" w:hAnsiTheme="majorHAnsi" w:cstheme="majorHAnsi"/>
          <w:color w:val="000000"/>
        </w:rPr>
        <w:t>ти пројекти</w:t>
      </w:r>
      <w:r w:rsidR="008441BE" w:rsidRPr="00FF386D">
        <w:rPr>
          <w:rFonts w:asciiTheme="majorHAnsi" w:hAnsiTheme="majorHAnsi" w:cstheme="majorHAnsi"/>
          <w:color w:val="000000"/>
        </w:rPr>
        <w:t xml:space="preserve"> </w:t>
      </w:r>
      <w:r w:rsidRPr="00FF386D">
        <w:rPr>
          <w:rFonts w:asciiTheme="majorHAnsi" w:hAnsiTheme="majorHAnsi" w:cstheme="majorHAnsi"/>
          <w:color w:val="000000"/>
        </w:rPr>
        <w:t>могу</w:t>
      </w:r>
      <w:r w:rsidR="008441BE" w:rsidRPr="00FF386D">
        <w:rPr>
          <w:rFonts w:asciiTheme="majorHAnsi" w:hAnsiTheme="majorHAnsi" w:cstheme="majorHAnsi"/>
          <w:color w:val="000000"/>
        </w:rPr>
        <w:t xml:space="preserve"> да </w:t>
      </w:r>
      <w:r w:rsidR="00ED20AA" w:rsidRPr="00FF386D">
        <w:rPr>
          <w:rFonts w:asciiTheme="majorHAnsi" w:hAnsiTheme="majorHAnsi" w:cstheme="majorHAnsi"/>
          <w:color w:val="000000"/>
        </w:rPr>
        <w:t xml:space="preserve">допринесу </w:t>
      </w:r>
      <w:r w:rsidRPr="00FF386D">
        <w:rPr>
          <w:rFonts w:asciiTheme="majorHAnsi" w:hAnsiTheme="majorHAnsi" w:cstheme="majorHAnsi"/>
          <w:color w:val="000000"/>
        </w:rPr>
        <w:t>повећањ</w:t>
      </w:r>
      <w:r w:rsidR="001B51B5" w:rsidRPr="00FF386D">
        <w:rPr>
          <w:rFonts w:asciiTheme="majorHAnsi" w:hAnsiTheme="majorHAnsi" w:cstheme="majorHAnsi"/>
          <w:color w:val="000000"/>
        </w:rPr>
        <w:t>у</w:t>
      </w:r>
      <w:r w:rsidRPr="00FF386D">
        <w:rPr>
          <w:rFonts w:asciiTheme="majorHAnsi" w:hAnsiTheme="majorHAnsi" w:cstheme="majorHAnsi"/>
          <w:color w:val="000000"/>
        </w:rPr>
        <w:t xml:space="preserve"> додате вредности на републичком нивоу и задовоље </w:t>
      </w:r>
      <w:r w:rsidR="001B51B5" w:rsidRPr="00FF386D">
        <w:rPr>
          <w:rFonts w:asciiTheme="majorHAnsi" w:hAnsiTheme="majorHAnsi" w:cstheme="majorHAnsi"/>
          <w:color w:val="000000"/>
        </w:rPr>
        <w:t>велике</w:t>
      </w:r>
      <w:r w:rsidRPr="00FF386D">
        <w:rPr>
          <w:rFonts w:asciiTheme="majorHAnsi" w:hAnsiTheme="majorHAnsi" w:cstheme="majorHAnsi"/>
          <w:color w:val="000000"/>
        </w:rPr>
        <w:t xml:space="preserve"> потребе за енергијом</w:t>
      </w:r>
      <w:r w:rsidR="008441BE" w:rsidRPr="00FF386D">
        <w:rPr>
          <w:rFonts w:asciiTheme="majorHAnsi" w:hAnsiTheme="majorHAnsi" w:cstheme="majorHAnsi"/>
          <w:color w:val="000000"/>
        </w:rPr>
        <w:t xml:space="preserve"> на локалном нивоу</w:t>
      </w:r>
      <w:r w:rsidRPr="00FF386D">
        <w:rPr>
          <w:rFonts w:asciiTheme="majorHAnsi" w:hAnsiTheme="majorHAnsi" w:cstheme="majorHAnsi"/>
          <w:color w:val="000000"/>
        </w:rPr>
        <w:t xml:space="preserve">. Подршка малим децентрализованим системима обновљиве енергије такође </w:t>
      </w:r>
      <w:r w:rsidR="001B51B5" w:rsidRPr="00FF386D">
        <w:rPr>
          <w:rFonts w:asciiTheme="majorHAnsi" w:hAnsiTheme="majorHAnsi" w:cstheme="majorHAnsi"/>
          <w:color w:val="000000"/>
        </w:rPr>
        <w:t xml:space="preserve">ће бити </w:t>
      </w:r>
      <w:r w:rsidRPr="00FF386D">
        <w:rPr>
          <w:rFonts w:asciiTheme="majorHAnsi" w:hAnsiTheme="majorHAnsi" w:cstheme="majorHAnsi"/>
          <w:color w:val="000000"/>
        </w:rPr>
        <w:t>разматрана</w:t>
      </w:r>
      <w:r w:rsidR="001B51B5" w:rsidRPr="00FF386D">
        <w:rPr>
          <w:rFonts w:asciiTheme="majorHAnsi" w:hAnsiTheme="majorHAnsi" w:cstheme="majorHAnsi"/>
          <w:color w:val="000000"/>
        </w:rPr>
        <w:t>,</w:t>
      </w:r>
      <w:r w:rsidRPr="00FF386D">
        <w:rPr>
          <w:rFonts w:asciiTheme="majorHAnsi" w:hAnsiTheme="majorHAnsi" w:cstheme="majorHAnsi"/>
          <w:color w:val="000000"/>
        </w:rPr>
        <w:t xml:space="preserve"> у оквиру успостављених механизама </w:t>
      </w:r>
      <w:r w:rsidR="001B51B5" w:rsidRPr="00FF386D">
        <w:rPr>
          <w:rFonts w:asciiTheme="majorHAnsi" w:hAnsiTheme="majorHAnsi" w:cstheme="majorHAnsi"/>
          <w:color w:val="000000"/>
        </w:rPr>
        <w:t xml:space="preserve">за </w:t>
      </w:r>
      <w:r w:rsidRPr="00FF386D">
        <w:rPr>
          <w:rFonts w:asciiTheme="majorHAnsi" w:hAnsiTheme="majorHAnsi" w:cstheme="majorHAnsi"/>
          <w:color w:val="000000"/>
        </w:rPr>
        <w:t>праћењ</w:t>
      </w:r>
      <w:r w:rsidR="008462D1" w:rsidRPr="00FF386D">
        <w:rPr>
          <w:rFonts w:asciiTheme="majorHAnsi" w:hAnsiTheme="majorHAnsi" w:cstheme="majorHAnsi"/>
          <w:color w:val="000000"/>
        </w:rPr>
        <w:t>е</w:t>
      </w:r>
      <w:r w:rsidRPr="00FF386D">
        <w:rPr>
          <w:rFonts w:asciiTheme="majorHAnsi" w:hAnsiTheme="majorHAnsi" w:cstheme="majorHAnsi"/>
          <w:color w:val="000000"/>
        </w:rPr>
        <w:t xml:space="preserve"> најмањ</w:t>
      </w:r>
      <w:r w:rsidR="001B51B5" w:rsidRPr="00FF386D">
        <w:rPr>
          <w:rFonts w:asciiTheme="majorHAnsi" w:hAnsiTheme="majorHAnsi" w:cstheme="majorHAnsi"/>
          <w:color w:val="000000"/>
        </w:rPr>
        <w:t xml:space="preserve">е </w:t>
      </w:r>
      <w:r w:rsidR="003A39F9" w:rsidRPr="00FF386D">
        <w:rPr>
          <w:rFonts w:asciiTheme="majorHAnsi" w:hAnsiTheme="majorHAnsi" w:cstheme="majorHAnsi"/>
          <w:color w:val="000000"/>
        </w:rPr>
        <w:t>једном</w:t>
      </w:r>
      <w:r w:rsidR="001B51B5" w:rsidRPr="00FF386D">
        <w:rPr>
          <w:rFonts w:asciiTheme="majorHAnsi" w:hAnsiTheme="majorHAnsi" w:cstheme="majorHAnsi"/>
          <w:color w:val="000000"/>
        </w:rPr>
        <w:t xml:space="preserve"> годишњ</w:t>
      </w:r>
      <w:r w:rsidR="003A39F9" w:rsidRPr="00FF386D">
        <w:rPr>
          <w:rFonts w:asciiTheme="majorHAnsi" w:hAnsiTheme="majorHAnsi" w:cstheme="majorHAnsi"/>
          <w:color w:val="000000"/>
        </w:rPr>
        <w:t>е</w:t>
      </w:r>
      <w:r w:rsidRPr="00FF386D">
        <w:rPr>
          <w:rFonts w:asciiTheme="majorHAnsi" w:hAnsiTheme="majorHAnsi" w:cstheme="majorHAnsi"/>
          <w:color w:val="000000"/>
        </w:rPr>
        <w:t xml:space="preserve">, узимајући у обзир потенцијалне користи за </w:t>
      </w:r>
      <w:r w:rsidR="00C8663C" w:rsidRPr="00FF386D">
        <w:rPr>
          <w:rFonts w:asciiTheme="majorHAnsi" w:hAnsiTheme="majorHAnsi" w:cstheme="majorHAnsi"/>
          <w:color w:val="000000"/>
        </w:rPr>
        <w:t xml:space="preserve">електроенергетске </w:t>
      </w:r>
      <w:r w:rsidRPr="00FF386D">
        <w:rPr>
          <w:rFonts w:asciiTheme="majorHAnsi" w:hAnsiTheme="majorHAnsi" w:cstheme="majorHAnsi"/>
          <w:color w:val="000000"/>
        </w:rPr>
        <w:t>мреж</w:t>
      </w:r>
      <w:r w:rsidR="00C8663C" w:rsidRPr="00FF386D">
        <w:rPr>
          <w:rFonts w:asciiTheme="majorHAnsi" w:hAnsiTheme="majorHAnsi" w:cstheme="majorHAnsi"/>
          <w:color w:val="000000"/>
        </w:rPr>
        <w:t>е</w:t>
      </w:r>
      <w:r w:rsidR="008462D1" w:rsidRPr="00FF386D">
        <w:rPr>
          <w:rFonts w:asciiTheme="majorHAnsi" w:hAnsiTheme="majorHAnsi" w:cstheme="majorHAnsi"/>
          <w:color w:val="000000"/>
        </w:rPr>
        <w:t xml:space="preserve">, </w:t>
      </w:r>
      <w:r w:rsidR="009C445C" w:rsidRPr="00FF386D">
        <w:rPr>
          <w:rFonts w:asciiTheme="majorHAnsi" w:hAnsiTheme="majorHAnsi" w:cstheme="majorHAnsi"/>
          <w:color w:val="000000"/>
        </w:rPr>
        <w:t>због избегнутих</w:t>
      </w:r>
      <w:r w:rsidR="008462D1" w:rsidRPr="00FF386D">
        <w:rPr>
          <w:rFonts w:asciiTheme="majorHAnsi" w:hAnsiTheme="majorHAnsi" w:cstheme="majorHAnsi"/>
          <w:color w:val="000000"/>
        </w:rPr>
        <w:t xml:space="preserve"> улагања у адаптацију, унапређење и проширење мреже.</w:t>
      </w:r>
    </w:p>
    <w:p w14:paraId="6554A840" w14:textId="52291B92" w:rsidR="00854ADA" w:rsidRPr="00FF386D" w:rsidRDefault="00854ADA" w:rsidP="00854ADA">
      <w:pPr>
        <w:spacing w:before="240" w:after="240"/>
        <w:jc w:val="both"/>
        <w:rPr>
          <w:rFonts w:asciiTheme="majorHAnsi" w:hAnsiTheme="majorHAnsi" w:cstheme="majorHAnsi"/>
          <w:color w:val="000000"/>
        </w:rPr>
      </w:pPr>
      <w:r w:rsidRPr="00FF386D">
        <w:rPr>
          <w:rFonts w:asciiTheme="majorHAnsi" w:hAnsiTheme="majorHAnsi" w:cstheme="majorHAnsi"/>
          <w:color w:val="000000"/>
        </w:rPr>
        <w:t xml:space="preserve">Шема гаранција порекла ће </w:t>
      </w:r>
      <w:r w:rsidR="0086740D" w:rsidRPr="00FF386D">
        <w:rPr>
          <w:rFonts w:asciiTheme="majorHAnsi" w:hAnsiTheme="majorHAnsi" w:cstheme="majorHAnsi"/>
          <w:color w:val="000000"/>
        </w:rPr>
        <w:t>подстицати</w:t>
      </w:r>
      <w:r w:rsidRPr="00FF386D">
        <w:rPr>
          <w:rFonts w:asciiTheme="majorHAnsi" w:hAnsiTheme="majorHAnsi" w:cstheme="majorHAnsi"/>
          <w:color w:val="000000"/>
        </w:rPr>
        <w:t xml:space="preserve"> даљу примену технологија обновљивих извора енергије као додатног еколошког механизма који</w:t>
      </w:r>
      <w:r w:rsidR="0086740D" w:rsidRPr="00FF386D">
        <w:rPr>
          <w:rFonts w:asciiTheme="majorHAnsi" w:hAnsiTheme="majorHAnsi" w:cstheme="majorHAnsi"/>
          <w:color w:val="000000"/>
        </w:rPr>
        <w:t xml:space="preserve">м се </w:t>
      </w:r>
      <w:r w:rsidR="008E43FB" w:rsidRPr="00FF386D">
        <w:rPr>
          <w:rFonts w:asciiTheme="majorHAnsi" w:hAnsiTheme="majorHAnsi" w:cstheme="majorHAnsi"/>
          <w:color w:val="000000"/>
        </w:rPr>
        <w:t xml:space="preserve">крајњим </w:t>
      </w:r>
      <w:r w:rsidR="00844710">
        <w:rPr>
          <w:rFonts w:asciiTheme="majorHAnsi" w:hAnsiTheme="majorHAnsi" w:cstheme="majorHAnsi"/>
          <w:color w:val="000000"/>
        </w:rPr>
        <w:t>купц</w:t>
      </w:r>
      <w:r w:rsidR="00844710" w:rsidRPr="00FF386D">
        <w:rPr>
          <w:rFonts w:asciiTheme="majorHAnsi" w:hAnsiTheme="majorHAnsi" w:cstheme="majorHAnsi"/>
          <w:color w:val="000000"/>
        </w:rPr>
        <w:t xml:space="preserve">има </w:t>
      </w:r>
      <w:r w:rsidR="008E43FB" w:rsidRPr="00FF386D">
        <w:rPr>
          <w:rFonts w:asciiTheme="majorHAnsi" w:hAnsiTheme="majorHAnsi" w:cstheme="majorHAnsi"/>
          <w:color w:val="000000"/>
        </w:rPr>
        <w:t>чине доступне информације</w:t>
      </w:r>
      <w:r w:rsidRPr="00FF386D">
        <w:rPr>
          <w:rFonts w:asciiTheme="majorHAnsi" w:hAnsiTheme="majorHAnsi" w:cstheme="majorHAnsi"/>
          <w:color w:val="000000"/>
        </w:rPr>
        <w:t xml:space="preserve"> о уделу или количини енергије из обновљивих извора у енергетском миксу снабдевача енергиј</w:t>
      </w:r>
      <w:r w:rsidR="00BD0876" w:rsidRPr="00FF386D">
        <w:rPr>
          <w:rFonts w:asciiTheme="majorHAnsi" w:hAnsiTheme="majorHAnsi" w:cstheme="majorHAnsi"/>
          <w:color w:val="000000"/>
        </w:rPr>
        <w:t>е</w:t>
      </w:r>
      <w:r w:rsidRPr="00FF386D">
        <w:rPr>
          <w:rFonts w:asciiTheme="majorHAnsi" w:hAnsiTheme="majorHAnsi" w:cstheme="majorHAnsi"/>
          <w:color w:val="000000"/>
        </w:rPr>
        <w:t xml:space="preserve"> и енергији која </w:t>
      </w:r>
      <w:r w:rsidR="00C16776" w:rsidRPr="00FF386D">
        <w:rPr>
          <w:rFonts w:asciiTheme="majorHAnsi" w:hAnsiTheme="majorHAnsi" w:cstheme="majorHAnsi"/>
          <w:color w:val="000000"/>
        </w:rPr>
        <w:t>се</w:t>
      </w:r>
      <w:r w:rsidRPr="00FF386D">
        <w:rPr>
          <w:rFonts w:asciiTheme="majorHAnsi" w:hAnsiTheme="majorHAnsi" w:cstheme="majorHAnsi"/>
          <w:color w:val="000000"/>
        </w:rPr>
        <w:t xml:space="preserve"> </w:t>
      </w:r>
      <w:r w:rsidRPr="00FF386D">
        <w:rPr>
          <w:rFonts w:asciiTheme="majorHAnsi" w:hAnsiTheme="majorHAnsi" w:cstheme="majorHAnsi"/>
          <w:color w:val="000000"/>
        </w:rPr>
        <w:lastRenderedPageBreak/>
        <w:t>испоруч</w:t>
      </w:r>
      <w:r w:rsidR="00C16776" w:rsidRPr="00FF386D">
        <w:rPr>
          <w:rFonts w:asciiTheme="majorHAnsi" w:hAnsiTheme="majorHAnsi" w:cstheme="majorHAnsi"/>
          <w:color w:val="000000"/>
        </w:rPr>
        <w:t>ује</w:t>
      </w:r>
      <w:r w:rsidRPr="00FF386D">
        <w:rPr>
          <w:rFonts w:asciiTheme="majorHAnsi" w:hAnsiTheme="majorHAnsi" w:cstheme="majorHAnsi"/>
          <w:color w:val="000000"/>
        </w:rPr>
        <w:t xml:space="preserve"> </w:t>
      </w:r>
      <w:r w:rsidR="00844710">
        <w:rPr>
          <w:rFonts w:asciiTheme="majorHAnsi" w:hAnsiTheme="majorHAnsi" w:cstheme="majorHAnsi"/>
          <w:color w:val="000000"/>
        </w:rPr>
        <w:t>купц</w:t>
      </w:r>
      <w:r w:rsidR="00844710" w:rsidRPr="00FF386D">
        <w:rPr>
          <w:rFonts w:asciiTheme="majorHAnsi" w:hAnsiTheme="majorHAnsi" w:cstheme="majorHAnsi"/>
          <w:color w:val="000000"/>
        </w:rPr>
        <w:t xml:space="preserve">има </w:t>
      </w:r>
      <w:r w:rsidR="00C16776" w:rsidRPr="00FF386D">
        <w:rPr>
          <w:rFonts w:asciiTheme="majorHAnsi" w:hAnsiTheme="majorHAnsi" w:cstheme="majorHAnsi"/>
          <w:color w:val="000000"/>
        </w:rPr>
        <w:t>сходно</w:t>
      </w:r>
      <w:r w:rsidRPr="00FF386D">
        <w:rPr>
          <w:rFonts w:asciiTheme="majorHAnsi" w:hAnsiTheme="majorHAnsi" w:cstheme="majorHAnsi"/>
          <w:color w:val="000000"/>
        </w:rPr>
        <w:t xml:space="preserve"> уговорима који се пласирају </w:t>
      </w:r>
      <w:r w:rsidR="00C16776" w:rsidRPr="00FF386D">
        <w:rPr>
          <w:rFonts w:asciiTheme="majorHAnsi" w:hAnsiTheme="majorHAnsi" w:cstheme="majorHAnsi"/>
          <w:color w:val="000000"/>
        </w:rPr>
        <w:t xml:space="preserve">навођењем </w:t>
      </w:r>
      <w:r w:rsidRPr="00FF386D">
        <w:rPr>
          <w:rFonts w:asciiTheme="majorHAnsi" w:hAnsiTheme="majorHAnsi" w:cstheme="majorHAnsi"/>
          <w:color w:val="000000"/>
        </w:rPr>
        <w:t>потрошњ</w:t>
      </w:r>
      <w:r w:rsidR="00C16776" w:rsidRPr="00FF386D">
        <w:rPr>
          <w:rFonts w:asciiTheme="majorHAnsi" w:hAnsiTheme="majorHAnsi" w:cstheme="majorHAnsi"/>
          <w:color w:val="000000"/>
        </w:rPr>
        <w:t>е</w:t>
      </w:r>
      <w:r w:rsidRPr="00FF386D">
        <w:rPr>
          <w:rFonts w:asciiTheme="majorHAnsi" w:hAnsiTheme="majorHAnsi" w:cstheme="majorHAnsi"/>
          <w:color w:val="000000"/>
        </w:rPr>
        <w:t xml:space="preserve"> енергије из обновљивих извора</w:t>
      </w:r>
      <w:r w:rsidR="00735842" w:rsidRPr="00FF386D">
        <w:rPr>
          <w:rFonts w:asciiTheme="majorHAnsi" w:hAnsiTheme="majorHAnsi" w:cstheme="majorHAnsi"/>
          <w:color w:val="000000"/>
        </w:rPr>
        <w:t>,</w:t>
      </w:r>
      <w:r w:rsidRPr="00FF386D">
        <w:rPr>
          <w:rFonts w:asciiTheme="majorHAnsi" w:hAnsiTheme="majorHAnsi" w:cstheme="majorHAnsi"/>
          <w:color w:val="000000"/>
        </w:rPr>
        <w:t xml:space="preserve"> </w:t>
      </w:r>
      <w:r w:rsidR="00C16776" w:rsidRPr="00FF386D">
        <w:rPr>
          <w:rFonts w:asciiTheme="majorHAnsi" w:hAnsiTheme="majorHAnsi" w:cstheme="majorHAnsi"/>
          <w:color w:val="000000"/>
        </w:rPr>
        <w:t>на</w:t>
      </w:r>
      <w:r w:rsidRPr="00FF386D">
        <w:rPr>
          <w:rFonts w:asciiTheme="majorHAnsi" w:hAnsiTheme="majorHAnsi" w:cstheme="majorHAnsi"/>
          <w:color w:val="000000"/>
        </w:rPr>
        <w:t xml:space="preserve"> објектив</w:t>
      </w:r>
      <w:r w:rsidR="00C16776" w:rsidRPr="00FF386D">
        <w:rPr>
          <w:rFonts w:asciiTheme="majorHAnsi" w:hAnsiTheme="majorHAnsi" w:cstheme="majorHAnsi"/>
          <w:color w:val="000000"/>
        </w:rPr>
        <w:t>ан</w:t>
      </w:r>
      <w:r w:rsidRPr="00FF386D">
        <w:rPr>
          <w:rFonts w:asciiTheme="majorHAnsi" w:hAnsiTheme="majorHAnsi" w:cstheme="majorHAnsi"/>
          <w:color w:val="000000"/>
        </w:rPr>
        <w:t>,</w:t>
      </w:r>
      <w:r w:rsidR="008E43FB" w:rsidRPr="00FF386D">
        <w:rPr>
          <w:rFonts w:asciiTheme="majorHAnsi" w:hAnsiTheme="majorHAnsi" w:cstheme="majorHAnsi"/>
          <w:color w:val="000000"/>
        </w:rPr>
        <w:t xml:space="preserve"> </w:t>
      </w:r>
      <w:r w:rsidRPr="00FF386D">
        <w:rPr>
          <w:rFonts w:asciiTheme="majorHAnsi" w:hAnsiTheme="majorHAnsi" w:cstheme="majorHAnsi"/>
          <w:color w:val="000000"/>
        </w:rPr>
        <w:t>транспарент</w:t>
      </w:r>
      <w:r w:rsidR="008E43FB" w:rsidRPr="00FF386D">
        <w:rPr>
          <w:rFonts w:asciiTheme="majorHAnsi" w:hAnsiTheme="majorHAnsi" w:cstheme="majorHAnsi"/>
          <w:color w:val="000000"/>
        </w:rPr>
        <w:t>ан</w:t>
      </w:r>
      <w:r w:rsidRPr="00FF386D">
        <w:rPr>
          <w:rFonts w:asciiTheme="majorHAnsi" w:hAnsiTheme="majorHAnsi" w:cstheme="majorHAnsi"/>
          <w:color w:val="000000"/>
        </w:rPr>
        <w:t xml:space="preserve"> и недискриминатор</w:t>
      </w:r>
      <w:r w:rsidR="008E43FB" w:rsidRPr="00FF386D">
        <w:rPr>
          <w:rFonts w:asciiTheme="majorHAnsi" w:hAnsiTheme="majorHAnsi" w:cstheme="majorHAnsi"/>
          <w:color w:val="000000"/>
        </w:rPr>
        <w:t>ан начин.</w:t>
      </w:r>
    </w:p>
    <w:p w14:paraId="48659E7C" w14:textId="1F0079EA" w:rsidR="0086740D" w:rsidRPr="00FF386D" w:rsidRDefault="00854ADA" w:rsidP="00854ADA">
      <w:pPr>
        <w:spacing w:before="240" w:after="240"/>
        <w:jc w:val="both"/>
        <w:rPr>
          <w:rFonts w:asciiTheme="majorHAnsi" w:hAnsiTheme="majorHAnsi" w:cstheme="majorHAnsi"/>
          <w:color w:val="000000"/>
        </w:rPr>
      </w:pPr>
      <w:r w:rsidRPr="00FF386D">
        <w:rPr>
          <w:rFonts w:asciiTheme="majorHAnsi" w:hAnsiTheme="majorHAnsi" w:cstheme="majorHAnsi"/>
          <w:color w:val="000000"/>
        </w:rPr>
        <w:t>Коначно, биће омогућени адаптација, унапређење и проширење мрежа електричне енергије како би се избегла загушења и омогући</w:t>
      </w:r>
      <w:r w:rsidR="00201464" w:rsidRPr="00FF386D">
        <w:rPr>
          <w:rFonts w:asciiTheme="majorHAnsi" w:hAnsiTheme="majorHAnsi" w:cstheme="majorHAnsi"/>
          <w:color w:val="000000"/>
        </w:rPr>
        <w:t>л</w:t>
      </w:r>
      <w:r w:rsidRPr="00FF386D">
        <w:rPr>
          <w:rFonts w:asciiTheme="majorHAnsi" w:hAnsiTheme="majorHAnsi" w:cstheme="majorHAnsi"/>
          <w:color w:val="000000"/>
        </w:rPr>
        <w:t>о оптимал</w:t>
      </w:r>
      <w:r w:rsidR="00D56FD9" w:rsidRPr="00FF386D">
        <w:rPr>
          <w:rFonts w:asciiTheme="majorHAnsi" w:hAnsiTheme="majorHAnsi" w:cstheme="majorHAnsi"/>
          <w:color w:val="000000"/>
        </w:rPr>
        <w:t>но учешће</w:t>
      </w:r>
      <w:r w:rsidRPr="00FF386D">
        <w:rPr>
          <w:rFonts w:asciiTheme="majorHAnsi" w:hAnsiTheme="majorHAnsi" w:cstheme="majorHAnsi"/>
          <w:color w:val="000000"/>
        </w:rPr>
        <w:t xml:space="preserve"> планираних по</w:t>
      </w:r>
      <w:r w:rsidR="0086740D" w:rsidRPr="00FF386D">
        <w:rPr>
          <w:rFonts w:asciiTheme="majorHAnsi" w:hAnsiTheme="majorHAnsi" w:cstheme="majorHAnsi"/>
          <w:color w:val="000000"/>
        </w:rPr>
        <w:t>стројења</w:t>
      </w:r>
      <w:r w:rsidRPr="00FF386D">
        <w:rPr>
          <w:rFonts w:asciiTheme="majorHAnsi" w:hAnsiTheme="majorHAnsi" w:cstheme="majorHAnsi"/>
          <w:color w:val="000000"/>
        </w:rPr>
        <w:t xml:space="preserve"> обновљиве енергије. У складу с тим биће ревидирана правила о раду система за дистрибуцију и пренос, </w:t>
      </w:r>
      <w:r w:rsidR="00D56FD9" w:rsidRPr="00FF386D">
        <w:rPr>
          <w:rFonts w:asciiTheme="majorHAnsi" w:hAnsiTheme="majorHAnsi" w:cstheme="majorHAnsi"/>
          <w:color w:val="000000"/>
        </w:rPr>
        <w:t>и</w:t>
      </w:r>
      <w:r w:rsidR="00E27933" w:rsidRPr="00FF386D">
        <w:rPr>
          <w:rFonts w:asciiTheme="majorHAnsi" w:hAnsiTheme="majorHAnsi" w:cstheme="majorHAnsi"/>
          <w:color w:val="000000"/>
        </w:rPr>
        <w:t xml:space="preserve"> настав</w:t>
      </w:r>
      <w:r w:rsidR="007D20BA" w:rsidRPr="00FF386D">
        <w:rPr>
          <w:rFonts w:asciiTheme="majorHAnsi" w:hAnsiTheme="majorHAnsi" w:cstheme="majorHAnsi"/>
          <w:color w:val="000000"/>
        </w:rPr>
        <w:t>и</w:t>
      </w:r>
      <w:r w:rsidR="00D56FD9" w:rsidRPr="00FF386D">
        <w:rPr>
          <w:rFonts w:asciiTheme="majorHAnsi" w:hAnsiTheme="majorHAnsi" w:cstheme="majorHAnsi"/>
          <w:color w:val="000000"/>
        </w:rPr>
        <w:t>ће се</w:t>
      </w:r>
      <w:r w:rsidR="0086740D" w:rsidRPr="00FF386D">
        <w:rPr>
          <w:rFonts w:asciiTheme="majorHAnsi" w:hAnsiTheme="majorHAnsi" w:cstheme="majorHAnsi"/>
          <w:color w:val="000000"/>
        </w:rPr>
        <w:t xml:space="preserve"> </w:t>
      </w:r>
      <w:r w:rsidR="007D20BA" w:rsidRPr="00FF386D">
        <w:rPr>
          <w:rFonts w:asciiTheme="majorHAnsi" w:hAnsiTheme="majorHAnsi" w:cstheme="majorHAnsi"/>
          <w:color w:val="000000"/>
        </w:rPr>
        <w:t xml:space="preserve">спровођење плана потребних </w:t>
      </w:r>
      <w:r w:rsidR="00E27933" w:rsidRPr="00FF386D">
        <w:rPr>
          <w:rFonts w:asciiTheme="majorHAnsi" w:hAnsiTheme="majorHAnsi" w:cstheme="majorHAnsi"/>
          <w:color w:val="000000"/>
        </w:rPr>
        <w:t>улагањ</w:t>
      </w:r>
      <w:r w:rsidR="007D20BA" w:rsidRPr="00FF386D">
        <w:rPr>
          <w:rFonts w:asciiTheme="majorHAnsi" w:hAnsiTheme="majorHAnsi" w:cstheme="majorHAnsi"/>
          <w:color w:val="000000"/>
        </w:rPr>
        <w:t>а</w:t>
      </w:r>
      <w:r w:rsidR="0086740D" w:rsidRPr="00FF386D">
        <w:rPr>
          <w:rFonts w:asciiTheme="majorHAnsi" w:hAnsiTheme="majorHAnsi" w:cstheme="majorHAnsi"/>
          <w:color w:val="000000"/>
        </w:rPr>
        <w:t xml:space="preserve"> у мреже електричне енергије, узимајући у обзир интеграцију нових постројења </w:t>
      </w:r>
      <w:r w:rsidR="007D20BA" w:rsidRPr="00FF386D">
        <w:rPr>
          <w:rFonts w:asciiTheme="majorHAnsi" w:hAnsiTheme="majorHAnsi" w:cstheme="majorHAnsi"/>
          <w:color w:val="000000"/>
        </w:rPr>
        <w:t xml:space="preserve">на </w:t>
      </w:r>
      <w:r w:rsidR="0086740D" w:rsidRPr="00FF386D">
        <w:rPr>
          <w:rFonts w:asciiTheme="majorHAnsi" w:hAnsiTheme="majorHAnsi" w:cstheme="majorHAnsi"/>
          <w:color w:val="000000"/>
        </w:rPr>
        <w:t>обновљив</w:t>
      </w:r>
      <w:r w:rsidR="007D20BA" w:rsidRPr="00FF386D">
        <w:rPr>
          <w:rFonts w:asciiTheme="majorHAnsi" w:hAnsiTheme="majorHAnsi" w:cstheme="majorHAnsi"/>
          <w:color w:val="000000"/>
        </w:rPr>
        <w:t>е</w:t>
      </w:r>
      <w:r w:rsidR="0086740D" w:rsidRPr="00FF386D">
        <w:rPr>
          <w:rFonts w:asciiTheme="majorHAnsi" w:hAnsiTheme="majorHAnsi" w:cstheme="majorHAnsi"/>
          <w:color w:val="000000"/>
        </w:rPr>
        <w:t xml:space="preserve"> извор</w:t>
      </w:r>
      <w:r w:rsidR="007D20BA" w:rsidRPr="00FF386D">
        <w:rPr>
          <w:rFonts w:asciiTheme="majorHAnsi" w:hAnsiTheme="majorHAnsi" w:cstheme="majorHAnsi"/>
          <w:color w:val="000000"/>
        </w:rPr>
        <w:t>е</w:t>
      </w:r>
      <w:r w:rsidR="0086740D" w:rsidRPr="00FF386D">
        <w:rPr>
          <w:rFonts w:asciiTheme="majorHAnsi" w:hAnsiTheme="majorHAnsi" w:cstheme="majorHAnsi"/>
          <w:color w:val="000000"/>
        </w:rPr>
        <w:t xml:space="preserve"> енергије.</w:t>
      </w:r>
    </w:p>
    <w:tbl>
      <w:tblPr>
        <w:tblW w:w="9458" w:type="dxa"/>
        <w:tblLook w:val="04A0" w:firstRow="1" w:lastRow="0" w:firstColumn="1" w:lastColumn="0" w:noHBand="0" w:noVBand="1"/>
      </w:tblPr>
      <w:tblGrid>
        <w:gridCol w:w="3330"/>
        <w:gridCol w:w="940"/>
        <w:gridCol w:w="946"/>
        <w:gridCol w:w="4242"/>
      </w:tblGrid>
      <w:tr w:rsidR="00854ADA" w:rsidRPr="00FF386D" w14:paraId="28DA3E49" w14:textId="77777777" w:rsidTr="0057310C">
        <w:trPr>
          <w:trHeight w:val="780"/>
        </w:trPr>
        <w:tc>
          <w:tcPr>
            <w:tcW w:w="3330"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31405937"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40" w:type="dxa"/>
            <w:tcBorders>
              <w:top w:val="single" w:sz="8" w:space="0" w:color="auto"/>
              <w:left w:val="nil"/>
              <w:bottom w:val="single" w:sz="8" w:space="0" w:color="auto"/>
              <w:right w:val="single" w:sz="8" w:space="0" w:color="auto"/>
            </w:tcBorders>
            <w:shd w:val="clear" w:color="auto" w:fill="E7E6E6" w:themeFill="background2"/>
            <w:vAlign w:val="center"/>
            <w:hideMark/>
          </w:tcPr>
          <w:p w14:paraId="0CAB5C0A"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МП_Д19</w:t>
            </w:r>
          </w:p>
        </w:tc>
        <w:tc>
          <w:tcPr>
            <w:tcW w:w="946" w:type="dxa"/>
            <w:tcBorders>
              <w:top w:val="single" w:sz="8" w:space="0" w:color="auto"/>
              <w:left w:val="nil"/>
              <w:bottom w:val="single" w:sz="8" w:space="0" w:color="auto"/>
              <w:right w:val="single" w:sz="8" w:space="0" w:color="auto"/>
            </w:tcBorders>
            <w:shd w:val="clear" w:color="000000" w:fill="244062"/>
            <w:vAlign w:val="center"/>
            <w:hideMark/>
          </w:tcPr>
          <w:p w14:paraId="24F6A2E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42" w:type="dxa"/>
            <w:tcBorders>
              <w:top w:val="single" w:sz="8" w:space="0" w:color="auto"/>
              <w:left w:val="nil"/>
              <w:bottom w:val="single" w:sz="8" w:space="0" w:color="auto"/>
              <w:right w:val="single" w:sz="8" w:space="0" w:color="auto"/>
            </w:tcBorders>
            <w:shd w:val="clear" w:color="auto" w:fill="E7E6E6" w:themeFill="background2"/>
            <w:vAlign w:val="center"/>
            <w:hideMark/>
          </w:tcPr>
          <w:p w14:paraId="24D56040" w14:textId="3C2EE4CE" w:rsidR="00854ADA" w:rsidRPr="00FF386D" w:rsidRDefault="0081747B" w:rsidP="00854ADA">
            <w:pPr>
              <w:spacing w:after="0" w:line="240" w:lineRule="auto"/>
              <w:jc w:val="both"/>
              <w:rPr>
                <w:rFonts w:ascii="Calibri Light" w:eastAsia="Times New Roman" w:hAnsi="Calibri Light" w:cs="Calibri Light"/>
                <w:b/>
                <w:bCs/>
                <w:color w:val="000000"/>
                <w:sz w:val="20"/>
                <w:szCs w:val="20"/>
                <w:lang w:eastAsia="en-GB"/>
              </w:rPr>
            </w:pPr>
            <w:r w:rsidRPr="0081747B">
              <w:rPr>
                <w:rFonts w:ascii="Calibri Light" w:eastAsia="Times New Roman" w:hAnsi="Calibri Light" w:cs="Calibri Light"/>
                <w:b/>
                <w:bCs/>
                <w:color w:val="000000"/>
                <w:sz w:val="20"/>
                <w:szCs w:val="20"/>
                <w:lang w:eastAsia="en-GB"/>
              </w:rPr>
              <w:t>Пружање оперативне помоћи за производњу електричне енергије у електранама које користе обновљиве изворе енергије на основу аукција</w:t>
            </w:r>
            <w:r w:rsidR="00E2018C">
              <w:rPr>
                <w:rFonts w:ascii="Calibri Light" w:eastAsia="Times New Roman" w:hAnsi="Calibri Light" w:cs="Calibri Light"/>
                <w:b/>
                <w:bCs/>
                <w:color w:val="000000"/>
                <w:sz w:val="20"/>
                <w:szCs w:val="20"/>
                <w:lang w:eastAsia="en-GB"/>
              </w:rPr>
              <w:t xml:space="preserve"> и стратешких партнерстава</w:t>
            </w:r>
          </w:p>
        </w:tc>
      </w:tr>
      <w:tr w:rsidR="00854ADA" w:rsidRPr="00FF386D" w14:paraId="5FED2627" w14:textId="77777777" w:rsidTr="0057310C">
        <w:trPr>
          <w:trHeight w:val="291"/>
        </w:trPr>
        <w:tc>
          <w:tcPr>
            <w:tcW w:w="3330" w:type="dxa"/>
            <w:tcBorders>
              <w:top w:val="nil"/>
              <w:left w:val="single" w:sz="8" w:space="0" w:color="auto"/>
              <w:bottom w:val="single" w:sz="8" w:space="0" w:color="auto"/>
              <w:right w:val="nil"/>
            </w:tcBorders>
            <w:shd w:val="clear" w:color="000000" w:fill="244062"/>
            <w:vAlign w:val="center"/>
            <w:hideMark/>
          </w:tcPr>
          <w:p w14:paraId="5794317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6B3B6060"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Повећање удела ОИЕ у производњи електричне енергије</w:t>
            </w:r>
          </w:p>
        </w:tc>
      </w:tr>
      <w:tr w:rsidR="00854ADA" w:rsidRPr="00FF386D" w14:paraId="40E8A69D"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27DD99E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7B6731A6" w14:textId="6E0C779E" w:rsidR="00854ADA" w:rsidRPr="00FF386D" w:rsidRDefault="00183D0F" w:rsidP="00854ADA">
            <w:p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барем</w:t>
            </w:r>
            <w:r w:rsidRPr="00FF386D">
              <w:rPr>
                <w:rFonts w:ascii="Calibri Light" w:eastAsia="Times New Roman" w:hAnsi="Calibri Light" w:cs="Calibri Light"/>
                <w:color w:val="000000"/>
                <w:sz w:val="20"/>
                <w:szCs w:val="20"/>
                <w:lang w:eastAsia="en-GB"/>
              </w:rPr>
              <w:t xml:space="preserve"> </w:t>
            </w:r>
            <w:r w:rsidR="00E2018C">
              <w:rPr>
                <w:rFonts w:ascii="Calibri Light" w:eastAsia="Times New Roman" w:hAnsi="Calibri Light" w:cs="Calibri Light"/>
                <w:color w:val="000000"/>
                <w:sz w:val="20"/>
                <w:szCs w:val="20"/>
                <w:lang w:eastAsia="en-GB"/>
              </w:rPr>
              <w:t>3,1</w:t>
            </w:r>
            <w:r w:rsidR="00335522" w:rsidRPr="00FF386D">
              <w:rPr>
                <w:rFonts w:ascii="Calibri Light" w:eastAsia="Times New Roman" w:hAnsi="Calibri Light" w:cs="Calibri Light"/>
                <w:color w:val="000000"/>
                <w:sz w:val="20"/>
                <w:szCs w:val="20"/>
                <w:lang w:eastAsia="en-GB"/>
              </w:rPr>
              <w:t xml:space="preserve"> </w:t>
            </w:r>
            <w:r w:rsidR="00854ADA" w:rsidRPr="00FF386D">
              <w:rPr>
                <w:rFonts w:ascii="Calibri Light" w:eastAsia="Times New Roman" w:hAnsi="Calibri Light" w:cs="Calibri Light"/>
                <w:color w:val="000000"/>
                <w:sz w:val="20"/>
                <w:szCs w:val="20"/>
                <w:lang w:eastAsia="en-GB"/>
              </w:rPr>
              <w:t xml:space="preserve">GW </w:t>
            </w:r>
            <w:r w:rsidR="0086740D" w:rsidRPr="00FF386D">
              <w:rPr>
                <w:rFonts w:ascii="Calibri Light" w:eastAsia="Times New Roman" w:hAnsi="Calibri Light" w:cs="Calibri Light"/>
                <w:color w:val="000000"/>
                <w:sz w:val="20"/>
                <w:szCs w:val="20"/>
                <w:lang w:eastAsia="en-GB"/>
              </w:rPr>
              <w:t xml:space="preserve">снага </w:t>
            </w:r>
            <w:r w:rsidR="00854ADA" w:rsidRPr="00FF386D">
              <w:rPr>
                <w:rFonts w:ascii="Calibri Light" w:eastAsia="Times New Roman" w:hAnsi="Calibri Light" w:cs="Calibri Light"/>
                <w:color w:val="000000"/>
                <w:sz w:val="20"/>
                <w:szCs w:val="20"/>
                <w:lang w:eastAsia="en-GB"/>
              </w:rPr>
              <w:t>ветропаркова и фотонапонск</w:t>
            </w:r>
            <w:r w:rsidR="003E328C" w:rsidRPr="00FF386D">
              <w:rPr>
                <w:rFonts w:ascii="Calibri Light" w:eastAsia="Times New Roman" w:hAnsi="Calibri Light" w:cs="Calibri Light"/>
                <w:color w:val="000000"/>
                <w:sz w:val="20"/>
                <w:szCs w:val="20"/>
                <w:lang w:eastAsia="en-GB"/>
              </w:rPr>
              <w:t xml:space="preserve">их </w:t>
            </w:r>
            <w:r w:rsidR="00335522" w:rsidRPr="00FF386D">
              <w:rPr>
                <w:rFonts w:ascii="Calibri Light" w:eastAsia="Times New Roman" w:hAnsi="Calibri Light" w:cs="Calibri Light"/>
                <w:color w:val="000000"/>
                <w:sz w:val="20"/>
                <w:szCs w:val="20"/>
                <w:lang w:eastAsia="en-GB"/>
              </w:rPr>
              <w:t>електрана</w:t>
            </w:r>
          </w:p>
        </w:tc>
      </w:tr>
      <w:tr w:rsidR="00854ADA" w:rsidRPr="00FF386D" w14:paraId="3B45C660" w14:textId="77777777" w:rsidTr="0057310C">
        <w:trPr>
          <w:trHeight w:val="58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384CB1D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50F21E06" w14:textId="6F55DEDC" w:rsidR="00854ADA" w:rsidRDefault="00854ADA" w:rsidP="00346E7F">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МП_Д19 </w:t>
            </w:r>
            <w:r w:rsidR="008441BE" w:rsidRPr="000A2AFE">
              <w:rPr>
                <w:rFonts w:ascii="Calibri Light" w:eastAsia="Times New Roman" w:hAnsi="Calibri Light" w:cs="Calibri Light"/>
                <w:color w:val="000000"/>
                <w:sz w:val="20"/>
                <w:szCs w:val="20"/>
                <w:lang w:eastAsia="en-GB"/>
              </w:rPr>
              <w:t>наставља примену</w:t>
            </w:r>
            <w:r w:rsidRPr="000A2AFE">
              <w:rPr>
                <w:rFonts w:ascii="Calibri Light" w:eastAsia="Times New Roman" w:hAnsi="Calibri Light" w:cs="Calibri Light"/>
                <w:color w:val="000000"/>
                <w:sz w:val="20"/>
                <w:szCs w:val="20"/>
                <w:lang w:eastAsia="en-GB"/>
              </w:rPr>
              <w:t xml:space="preserve"> шем</w:t>
            </w:r>
            <w:r w:rsidR="008441BE" w:rsidRPr="000A2AFE">
              <w:rPr>
                <w:rFonts w:ascii="Calibri Light" w:eastAsia="Times New Roman" w:hAnsi="Calibri Light" w:cs="Calibri Light"/>
                <w:color w:val="000000"/>
                <w:sz w:val="20"/>
                <w:szCs w:val="20"/>
                <w:lang w:eastAsia="en-GB"/>
              </w:rPr>
              <w:t>е</w:t>
            </w:r>
            <w:r w:rsidRPr="000A2AFE">
              <w:rPr>
                <w:rFonts w:ascii="Calibri Light" w:eastAsia="Times New Roman" w:hAnsi="Calibri Light" w:cs="Calibri Light"/>
                <w:color w:val="000000"/>
                <w:sz w:val="20"/>
                <w:szCs w:val="20"/>
                <w:lang w:eastAsia="en-GB"/>
              </w:rPr>
              <w:t xml:space="preserve"> подршке за производњу електричне енергије из обновљивих извора енергије</w:t>
            </w:r>
            <w:r w:rsidR="008441BE" w:rsidRPr="000A2AFE">
              <w:rPr>
                <w:rFonts w:ascii="Calibri Light" w:eastAsia="Times New Roman" w:hAnsi="Calibri Light" w:cs="Calibri Light"/>
                <w:color w:val="000000"/>
                <w:sz w:val="20"/>
                <w:szCs w:val="20"/>
                <w:lang w:eastAsia="en-GB"/>
              </w:rPr>
              <w:t>, у складу са Законом о коришћењу обновљивих извора енергије.</w:t>
            </w:r>
            <w:r w:rsidR="000370A3" w:rsidRPr="000A2AFE">
              <w:rPr>
                <w:rFonts w:ascii="Calibri Light" w:eastAsia="Times New Roman" w:hAnsi="Calibri Light" w:cs="Calibri Light"/>
                <w:color w:val="000000"/>
                <w:sz w:val="20"/>
                <w:szCs w:val="20"/>
                <w:lang w:eastAsia="en-GB"/>
              </w:rPr>
              <w:t xml:space="preserve"> Оперативна помоћ ће бити обезбеђена преко </w:t>
            </w:r>
            <w:r w:rsidR="007D20BA" w:rsidRPr="000A2AFE">
              <w:rPr>
                <w:rFonts w:ascii="Calibri Light" w:eastAsia="Times New Roman" w:hAnsi="Calibri Light" w:cs="Calibri Light"/>
                <w:color w:val="000000"/>
                <w:sz w:val="20"/>
                <w:szCs w:val="20"/>
                <w:lang w:eastAsia="en-GB"/>
              </w:rPr>
              <w:t>израђене</w:t>
            </w:r>
            <w:r w:rsidR="000370A3" w:rsidRPr="000A2AFE">
              <w:rPr>
                <w:rFonts w:ascii="Calibri Light" w:eastAsia="Times New Roman" w:hAnsi="Calibri Light" w:cs="Calibri Light"/>
                <w:color w:val="000000"/>
                <w:sz w:val="20"/>
                <w:szCs w:val="20"/>
                <w:lang w:eastAsia="en-GB"/>
              </w:rPr>
              <w:t xml:space="preserve"> шеме подршке у виду тржишне премије, </w:t>
            </w:r>
            <w:r w:rsidR="00346E7F" w:rsidRPr="000A2AFE">
              <w:rPr>
                <w:rFonts w:ascii="Calibri Light" w:eastAsia="Times New Roman" w:hAnsi="Calibri Light" w:cs="Calibri Light"/>
                <w:color w:val="000000"/>
                <w:sz w:val="20"/>
                <w:szCs w:val="20"/>
                <w:lang w:eastAsia="en-GB"/>
              </w:rPr>
              <w:t>како</w:t>
            </w:r>
            <w:r w:rsidR="000370A3" w:rsidRPr="000A2AFE">
              <w:rPr>
                <w:rFonts w:ascii="Calibri Light" w:eastAsia="Times New Roman" w:hAnsi="Calibri Light" w:cs="Calibri Light"/>
                <w:color w:val="000000"/>
                <w:sz w:val="20"/>
                <w:szCs w:val="20"/>
                <w:lang w:eastAsia="en-GB"/>
              </w:rPr>
              <w:t xml:space="preserve"> би се </w:t>
            </w:r>
            <w:r w:rsidR="00346E7F" w:rsidRPr="000A2AFE">
              <w:rPr>
                <w:rFonts w:ascii="Calibri Light" w:eastAsia="Times New Roman" w:hAnsi="Calibri Light" w:cs="Calibri Light"/>
                <w:color w:val="000000"/>
                <w:sz w:val="20"/>
                <w:szCs w:val="20"/>
                <w:lang w:eastAsia="en-GB"/>
              </w:rPr>
              <w:t xml:space="preserve">подржала производња електричне енергије из технологија обновљиве енергије. </w:t>
            </w:r>
            <w:r w:rsidR="0081747B" w:rsidRPr="0081747B">
              <w:rPr>
                <w:rFonts w:ascii="Calibri Light" w:eastAsia="Times New Roman" w:hAnsi="Calibri Light" w:cs="Calibri Light"/>
                <w:color w:val="000000"/>
                <w:sz w:val="20"/>
                <w:szCs w:val="20"/>
                <w:lang w:eastAsia="en-GB"/>
              </w:rPr>
              <w:t>Предвиђено је</w:t>
            </w:r>
            <w:r w:rsidR="00E2018C">
              <w:rPr>
                <w:rFonts w:ascii="Calibri Light" w:eastAsia="Times New Roman" w:hAnsi="Calibri Light" w:cs="Calibri Light"/>
                <w:color w:val="000000"/>
                <w:sz w:val="20"/>
                <w:szCs w:val="20"/>
                <w:lang w:eastAsia="en-GB"/>
              </w:rPr>
              <w:t xml:space="preserve"> до</w:t>
            </w:r>
            <w:r w:rsidR="0081747B" w:rsidRPr="0081747B">
              <w:rPr>
                <w:rFonts w:ascii="Calibri Light" w:eastAsia="Times New Roman" w:hAnsi="Calibri Light" w:cs="Calibri Light"/>
                <w:color w:val="000000"/>
                <w:sz w:val="20"/>
                <w:szCs w:val="20"/>
                <w:lang w:eastAsia="en-GB"/>
              </w:rPr>
              <w:t xml:space="preserve"> 1,3 GW у трогодишњем плану аукција до 2025. године</w:t>
            </w:r>
            <w:r w:rsidR="00E2018C">
              <w:rPr>
                <w:rFonts w:ascii="Calibri Light" w:eastAsia="Times New Roman" w:hAnsi="Calibri Light" w:cs="Calibri Light"/>
                <w:color w:val="000000"/>
                <w:sz w:val="20"/>
                <w:szCs w:val="20"/>
                <w:lang w:eastAsia="en-GB"/>
              </w:rPr>
              <w:t xml:space="preserve"> и до 2</w:t>
            </w:r>
            <w:r w:rsidR="00E2018C">
              <w:rPr>
                <w:rFonts w:ascii="Calibri Light" w:eastAsia="Times New Roman" w:hAnsi="Calibri Light" w:cs="Calibri Light"/>
                <w:color w:val="000000"/>
                <w:sz w:val="20"/>
                <w:szCs w:val="20"/>
                <w:lang w:val="en-US" w:eastAsia="en-GB"/>
              </w:rPr>
              <w:t xml:space="preserve">GW </w:t>
            </w:r>
            <w:r w:rsidR="00E2018C">
              <w:rPr>
                <w:rFonts w:ascii="Calibri Light" w:eastAsia="Times New Roman" w:hAnsi="Calibri Light" w:cs="Calibri Light"/>
                <w:color w:val="000000"/>
                <w:sz w:val="20"/>
                <w:szCs w:val="20"/>
                <w:lang w:eastAsia="en-GB"/>
              </w:rPr>
              <w:t>на основу стратешких партнерстава</w:t>
            </w:r>
            <w:r w:rsidR="0081747B" w:rsidRPr="0081747B">
              <w:rPr>
                <w:rFonts w:ascii="Calibri Light" w:eastAsia="Times New Roman" w:hAnsi="Calibri Light" w:cs="Calibri Light"/>
                <w:color w:val="000000"/>
                <w:sz w:val="20"/>
                <w:szCs w:val="20"/>
                <w:lang w:eastAsia="en-GB"/>
              </w:rPr>
              <w:t xml:space="preserve">. </w:t>
            </w:r>
            <w:r w:rsidR="00346E7F" w:rsidRPr="000A2AFE">
              <w:rPr>
                <w:rFonts w:ascii="Calibri Light" w:eastAsia="Times New Roman" w:hAnsi="Calibri Light" w:cs="Calibri Light"/>
                <w:color w:val="000000"/>
                <w:sz w:val="20"/>
                <w:szCs w:val="20"/>
                <w:lang w:eastAsia="en-GB"/>
              </w:rPr>
              <w:t>Спровођење аукција</w:t>
            </w:r>
            <w:r w:rsidR="0081747B" w:rsidRPr="0081747B">
              <w:rPr>
                <w:rFonts w:ascii="Calibri Light" w:eastAsia="Times New Roman" w:hAnsi="Calibri Light" w:cs="Calibri Light"/>
                <w:color w:val="000000"/>
                <w:sz w:val="20"/>
                <w:szCs w:val="20"/>
                <w:lang w:eastAsia="en-GB"/>
              </w:rPr>
              <w:t>, заједно са стратешким партнерствима,</w:t>
            </w:r>
            <w:r w:rsidR="00346E7F" w:rsidRPr="000A2AFE">
              <w:rPr>
                <w:rFonts w:ascii="Calibri Light" w:eastAsia="Times New Roman" w:hAnsi="Calibri Light" w:cs="Calibri Light"/>
                <w:color w:val="000000"/>
                <w:sz w:val="20"/>
                <w:szCs w:val="20"/>
                <w:lang w:eastAsia="en-GB"/>
              </w:rPr>
              <w:t xml:space="preserve"> обезбеди</w:t>
            </w:r>
            <w:r w:rsidR="0081747B">
              <w:rPr>
                <w:rFonts w:ascii="Calibri Light" w:eastAsia="Times New Roman" w:hAnsi="Calibri Light" w:cs="Calibri Light"/>
                <w:color w:val="000000"/>
                <w:sz w:val="20"/>
                <w:szCs w:val="20"/>
                <w:lang w:eastAsia="en-GB"/>
              </w:rPr>
              <w:t>ће</w:t>
            </w:r>
            <w:r w:rsidR="00346E7F" w:rsidRPr="000A2AFE">
              <w:rPr>
                <w:rFonts w:ascii="Calibri Light" w:eastAsia="Times New Roman" w:hAnsi="Calibri Light" w:cs="Calibri Light"/>
                <w:color w:val="000000"/>
                <w:sz w:val="20"/>
                <w:szCs w:val="20"/>
                <w:lang w:eastAsia="en-GB"/>
              </w:rPr>
              <w:t xml:space="preserve"> да се оперативна помоћ додељује на отворен, транспарентан, конкурентан, недискриминаторан и економичан начин, како би се избегли непотребни поремећаји на тржишту електричне енергије, </w:t>
            </w:r>
            <w:r w:rsidR="0081747B" w:rsidRPr="000A2AFE">
              <w:rPr>
                <w:rFonts w:ascii="Calibri Light" w:eastAsia="Times New Roman" w:hAnsi="Calibri Light" w:cs="Calibri Light"/>
                <w:color w:val="000000"/>
                <w:sz w:val="20"/>
                <w:szCs w:val="20"/>
                <w:lang w:eastAsia="en-GB"/>
              </w:rPr>
              <w:t>узима</w:t>
            </w:r>
            <w:r w:rsidR="0081747B">
              <w:rPr>
                <w:rFonts w:ascii="Calibri Light" w:eastAsia="Times New Roman" w:hAnsi="Calibri Light" w:cs="Calibri Light"/>
                <w:color w:val="000000"/>
                <w:sz w:val="20"/>
                <w:szCs w:val="20"/>
                <w:lang w:eastAsia="en-GB"/>
              </w:rPr>
              <w:t>јући</w:t>
            </w:r>
            <w:r w:rsidR="0081747B" w:rsidRPr="000A2AFE">
              <w:rPr>
                <w:rFonts w:ascii="Calibri Light" w:eastAsia="Times New Roman" w:hAnsi="Calibri Light" w:cs="Calibri Light"/>
                <w:color w:val="000000"/>
                <w:sz w:val="20"/>
                <w:szCs w:val="20"/>
                <w:lang w:eastAsia="en-GB"/>
              </w:rPr>
              <w:t xml:space="preserve"> </w:t>
            </w:r>
            <w:r w:rsidR="007D20BA" w:rsidRPr="000A2AFE">
              <w:rPr>
                <w:rFonts w:ascii="Calibri Light" w:eastAsia="Times New Roman" w:hAnsi="Calibri Light" w:cs="Calibri Light"/>
                <w:color w:val="000000"/>
                <w:sz w:val="20"/>
                <w:szCs w:val="20"/>
                <w:lang w:eastAsia="en-GB"/>
              </w:rPr>
              <w:t>у обзир</w:t>
            </w:r>
            <w:r w:rsidR="00346E7F" w:rsidRPr="000A2AFE">
              <w:rPr>
                <w:rFonts w:ascii="Calibri Light" w:eastAsia="Times New Roman" w:hAnsi="Calibri Light" w:cs="Calibri Light"/>
                <w:color w:val="000000"/>
                <w:sz w:val="20"/>
                <w:szCs w:val="20"/>
                <w:lang w:eastAsia="en-GB"/>
              </w:rPr>
              <w:t xml:space="preserve"> могућ</w:t>
            </w:r>
            <w:r w:rsidR="0081747B">
              <w:rPr>
                <w:rFonts w:ascii="Calibri Light" w:eastAsia="Times New Roman" w:hAnsi="Calibri Light" w:cs="Calibri Light"/>
                <w:color w:val="000000"/>
                <w:sz w:val="20"/>
                <w:szCs w:val="20"/>
                <w:lang w:eastAsia="en-GB"/>
              </w:rPr>
              <w:t>е</w:t>
            </w:r>
            <w:r w:rsidR="00346E7F" w:rsidRPr="000A2AFE">
              <w:rPr>
                <w:rFonts w:ascii="Calibri Light" w:eastAsia="Times New Roman" w:hAnsi="Calibri Light" w:cs="Calibri Light"/>
                <w:color w:val="000000"/>
                <w:sz w:val="20"/>
                <w:szCs w:val="20"/>
                <w:lang w:eastAsia="en-GB"/>
              </w:rPr>
              <w:t xml:space="preserve"> трошков</w:t>
            </w:r>
            <w:r w:rsidR="0081747B">
              <w:rPr>
                <w:rFonts w:ascii="Calibri Light" w:eastAsia="Times New Roman" w:hAnsi="Calibri Light" w:cs="Calibri Light"/>
                <w:color w:val="000000"/>
                <w:sz w:val="20"/>
                <w:szCs w:val="20"/>
                <w:lang w:eastAsia="en-GB"/>
              </w:rPr>
              <w:t>е</w:t>
            </w:r>
            <w:r w:rsidR="00346E7F" w:rsidRPr="000A2AFE">
              <w:rPr>
                <w:rFonts w:ascii="Calibri Light" w:eastAsia="Times New Roman" w:hAnsi="Calibri Light" w:cs="Calibri Light"/>
                <w:color w:val="000000"/>
                <w:sz w:val="20"/>
                <w:szCs w:val="20"/>
                <w:lang w:eastAsia="en-GB"/>
              </w:rPr>
              <w:t xml:space="preserve"> интеграције </w:t>
            </w:r>
            <w:r w:rsidR="007D20BA" w:rsidRPr="000A2AFE">
              <w:rPr>
                <w:rFonts w:ascii="Calibri Light" w:eastAsia="Times New Roman" w:hAnsi="Calibri Light" w:cs="Calibri Light"/>
                <w:color w:val="000000"/>
                <w:sz w:val="20"/>
                <w:szCs w:val="20"/>
                <w:lang w:eastAsia="en-GB"/>
              </w:rPr>
              <w:t xml:space="preserve">у </w:t>
            </w:r>
            <w:r w:rsidR="00346E7F" w:rsidRPr="000A2AFE">
              <w:rPr>
                <w:rFonts w:ascii="Calibri Light" w:eastAsia="Times New Roman" w:hAnsi="Calibri Light" w:cs="Calibri Light"/>
                <w:color w:val="000000"/>
                <w:sz w:val="20"/>
                <w:szCs w:val="20"/>
                <w:lang w:eastAsia="en-GB"/>
              </w:rPr>
              <w:t>систем и потребн</w:t>
            </w:r>
            <w:r w:rsidR="007D20BA" w:rsidRPr="000A2AFE">
              <w:rPr>
                <w:rFonts w:ascii="Calibri Light" w:eastAsia="Times New Roman" w:hAnsi="Calibri Light" w:cs="Calibri Light"/>
                <w:color w:val="000000"/>
                <w:sz w:val="20"/>
                <w:szCs w:val="20"/>
                <w:lang w:eastAsia="en-GB"/>
              </w:rPr>
              <w:t>у</w:t>
            </w:r>
            <w:r w:rsidR="00346E7F" w:rsidRPr="000A2AFE">
              <w:rPr>
                <w:rFonts w:ascii="Calibri Light" w:eastAsia="Times New Roman" w:hAnsi="Calibri Light" w:cs="Calibri Light"/>
                <w:color w:val="000000"/>
                <w:sz w:val="20"/>
                <w:szCs w:val="20"/>
                <w:lang w:eastAsia="en-GB"/>
              </w:rPr>
              <w:t xml:space="preserve"> стабилност мреже. Поред тога</w:t>
            </w:r>
            <w:r w:rsidRPr="000A2AFE">
              <w:rPr>
                <w:rFonts w:ascii="Calibri Light" w:eastAsia="Times New Roman" w:hAnsi="Calibri Light" w:cs="Calibri Light"/>
                <w:color w:val="000000"/>
                <w:sz w:val="20"/>
                <w:szCs w:val="20"/>
                <w:lang w:eastAsia="en-GB"/>
              </w:rPr>
              <w:t>,</w:t>
            </w:r>
            <w:r w:rsidR="00346E7F" w:rsidRPr="000A2AFE">
              <w:rPr>
                <w:rFonts w:ascii="Calibri Light" w:eastAsia="Times New Roman" w:hAnsi="Calibri Light" w:cs="Calibri Light"/>
                <w:color w:val="000000"/>
                <w:sz w:val="20"/>
                <w:szCs w:val="20"/>
                <w:lang w:eastAsia="en-GB"/>
              </w:rPr>
              <w:t xml:space="preserve"> осигураће се</w:t>
            </w:r>
            <w:r w:rsidRPr="000A2AFE">
              <w:rPr>
                <w:rFonts w:ascii="Calibri Light" w:eastAsia="Times New Roman" w:hAnsi="Calibri Light" w:cs="Calibri Light"/>
                <w:color w:val="000000"/>
                <w:sz w:val="20"/>
                <w:szCs w:val="20"/>
                <w:lang w:eastAsia="en-GB"/>
              </w:rPr>
              <w:t xml:space="preserve"> одрживост финансијске подршке, </w:t>
            </w:r>
            <w:r w:rsidR="00F27B15" w:rsidRPr="000A2AFE">
              <w:rPr>
                <w:rFonts w:ascii="Calibri Light" w:eastAsia="Times New Roman" w:hAnsi="Calibri Light" w:cs="Calibri Light"/>
                <w:color w:val="000000"/>
                <w:sz w:val="20"/>
                <w:szCs w:val="20"/>
                <w:lang w:eastAsia="en-GB"/>
              </w:rPr>
              <w:t xml:space="preserve">а </w:t>
            </w:r>
            <w:r w:rsidRPr="000A2AFE">
              <w:rPr>
                <w:rFonts w:ascii="Calibri Light" w:eastAsia="Times New Roman" w:hAnsi="Calibri Light" w:cs="Calibri Light"/>
                <w:color w:val="000000"/>
                <w:sz w:val="20"/>
                <w:szCs w:val="20"/>
                <w:lang w:eastAsia="en-GB"/>
              </w:rPr>
              <w:t xml:space="preserve">објављивање дугорочног распореда аукција и квота </w:t>
            </w:r>
            <w:r w:rsidR="00F27B15" w:rsidRPr="000A2AFE">
              <w:rPr>
                <w:rFonts w:ascii="Calibri Light" w:eastAsia="Times New Roman" w:hAnsi="Calibri Light" w:cs="Calibri Light"/>
                <w:color w:val="000000"/>
                <w:sz w:val="20"/>
                <w:szCs w:val="20"/>
                <w:lang w:eastAsia="en-GB"/>
              </w:rPr>
              <w:t xml:space="preserve">ће </w:t>
            </w:r>
            <w:r w:rsidRPr="000A2AFE">
              <w:rPr>
                <w:rFonts w:ascii="Calibri Light" w:eastAsia="Times New Roman" w:hAnsi="Calibri Light" w:cs="Calibri Light"/>
                <w:color w:val="000000"/>
                <w:sz w:val="20"/>
                <w:szCs w:val="20"/>
                <w:lang w:eastAsia="en-GB"/>
              </w:rPr>
              <w:t>обезбедити потребну стабилност за инвеститоре који желе да учествују у планираним аукцијама.</w:t>
            </w:r>
          </w:p>
          <w:p w14:paraId="715093DF" w14:textId="3C43335D" w:rsidR="00E2018C" w:rsidRPr="008D752D" w:rsidRDefault="00E2018C" w:rsidP="00346E7F">
            <w:pPr>
              <w:spacing w:after="0" w:line="240" w:lineRule="auto"/>
              <w:jc w:val="both"/>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 xml:space="preserve">Треба навести да ће трогодишњи план подстицаја предвиђен чланом 13 Закона о рационалној употреби енергије бити </w:t>
            </w:r>
            <w:r w:rsidR="008D752D">
              <w:rPr>
                <w:rFonts w:ascii="Calibri Light" w:eastAsia="Times New Roman" w:hAnsi="Calibri Light" w:cs="Calibri Light"/>
                <w:color w:val="000000"/>
                <w:sz w:val="20"/>
                <w:szCs w:val="20"/>
                <w:lang w:eastAsia="en-GB"/>
              </w:rPr>
              <w:t>израђен</w:t>
            </w:r>
            <w:r>
              <w:rPr>
                <w:rFonts w:ascii="Calibri Light" w:eastAsia="Times New Roman" w:hAnsi="Calibri Light" w:cs="Calibri Light"/>
                <w:color w:val="000000"/>
                <w:sz w:val="20"/>
                <w:szCs w:val="20"/>
                <w:lang w:eastAsia="en-GB"/>
              </w:rPr>
              <w:t xml:space="preserve"> узимајући у обзир планиране инвестиције у ОИЕ укључујући детаљне информације о процењеном </w:t>
            </w:r>
            <w:r w:rsidR="008D752D">
              <w:rPr>
                <w:rFonts w:ascii="Calibri Light" w:eastAsia="Times New Roman" w:hAnsi="Calibri Light" w:cs="Calibri Light"/>
                <w:color w:val="000000"/>
                <w:sz w:val="20"/>
                <w:szCs w:val="20"/>
                <w:lang w:eastAsia="en-GB"/>
              </w:rPr>
              <w:t>времену инсталисања и очекиваних капацитета.</w:t>
            </w:r>
          </w:p>
        </w:tc>
      </w:tr>
      <w:tr w:rsidR="00854ADA" w:rsidRPr="00FF386D" w14:paraId="47473887"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7ED82E2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466FBA34" w14:textId="37D56408" w:rsidR="00854ADA" w:rsidRPr="00FF386D" w:rsidRDefault="0081747B"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Pr>
                <w:rFonts w:ascii="Calibri Light" w:eastAsia="Times New Roman" w:hAnsi="Calibri Light" w:cs="Calibri Light"/>
                <w:color w:val="000000"/>
                <w:sz w:val="20"/>
                <w:szCs w:val="20"/>
                <w:lang w:eastAsia="en-GB"/>
              </w:rPr>
              <w:t>3</w:t>
            </w:r>
            <w:r w:rsidR="00854ADA" w:rsidRPr="000A2AFE">
              <w:rPr>
                <w:rFonts w:ascii="Calibri Light" w:eastAsia="Times New Roman" w:hAnsi="Calibri Light" w:cs="Calibri Light"/>
                <w:color w:val="000000"/>
                <w:sz w:val="20"/>
                <w:szCs w:val="20"/>
                <w:lang w:eastAsia="en-GB"/>
              </w:rPr>
              <w:t>-2030.</w:t>
            </w:r>
          </w:p>
        </w:tc>
      </w:tr>
      <w:tr w:rsidR="00854ADA" w:rsidRPr="00FF386D" w14:paraId="0C9BEA1F"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1250728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33458213"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Инвестиције</w:t>
            </w:r>
          </w:p>
        </w:tc>
      </w:tr>
      <w:tr w:rsidR="00854ADA" w:rsidRPr="00FF386D" w14:paraId="7B585436"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54716B3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1E2B39E2"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Електроенергетика</w:t>
            </w:r>
          </w:p>
        </w:tc>
      </w:tr>
      <w:tr w:rsidR="00854ADA" w:rsidRPr="00FF386D" w14:paraId="2A474165"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06A395E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4CBA832D"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0C6EC8D0" w14:textId="77777777" w:rsidTr="0057310C">
        <w:trPr>
          <w:trHeight w:val="315"/>
        </w:trPr>
        <w:tc>
          <w:tcPr>
            <w:tcW w:w="3330" w:type="dxa"/>
            <w:tcBorders>
              <w:top w:val="nil"/>
              <w:left w:val="single" w:sz="8" w:space="0" w:color="auto"/>
              <w:bottom w:val="single" w:sz="8" w:space="0" w:color="auto"/>
              <w:right w:val="nil"/>
            </w:tcBorders>
            <w:shd w:val="clear" w:color="000000" w:fill="244062"/>
            <w:vAlign w:val="center"/>
            <w:hideMark/>
          </w:tcPr>
          <w:p w14:paraId="0AA496B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67358CFE" w14:textId="5D07FCB3" w:rsidR="00854ADA" w:rsidRPr="000A2AFE" w:rsidRDefault="000D57E3"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D57E3">
              <w:rPr>
                <w:rFonts w:ascii="Calibri Light" w:eastAsia="Times New Roman" w:hAnsi="Calibri Light" w:cs="Calibri Light"/>
                <w:color w:val="000000"/>
                <w:sz w:val="20"/>
                <w:szCs w:val="20"/>
                <w:lang w:eastAsia="en-GB"/>
              </w:rPr>
              <w:t>Влада Републике Србије</w:t>
            </w:r>
          </w:p>
        </w:tc>
      </w:tr>
      <w:tr w:rsidR="00854ADA" w:rsidRPr="00FF386D" w14:paraId="3BC00977" w14:textId="77777777" w:rsidTr="0057310C">
        <w:trPr>
          <w:trHeight w:val="315"/>
        </w:trPr>
        <w:tc>
          <w:tcPr>
            <w:tcW w:w="3330" w:type="dxa"/>
            <w:tcBorders>
              <w:top w:val="nil"/>
              <w:left w:val="single" w:sz="8" w:space="0" w:color="auto"/>
              <w:bottom w:val="single" w:sz="8" w:space="0" w:color="auto"/>
              <w:right w:val="nil"/>
            </w:tcBorders>
            <w:shd w:val="clear" w:color="000000" w:fill="244062"/>
            <w:vAlign w:val="center"/>
            <w:hideMark/>
          </w:tcPr>
          <w:p w14:paraId="111A938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439B66B5" w14:textId="77777777" w:rsidR="00854ADA" w:rsidRPr="000A2AFE" w:rsidRDefault="00854ADA"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Инсталисани капацитет и произведена електрична енергије из ОИЕ</w:t>
            </w:r>
          </w:p>
        </w:tc>
      </w:tr>
      <w:tr w:rsidR="00854ADA" w:rsidRPr="00FF386D" w14:paraId="3B97F6A3" w14:textId="77777777" w:rsidTr="0057310C">
        <w:trPr>
          <w:trHeight w:val="287"/>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513800A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tcPr>
          <w:p w14:paraId="3161CE09" w14:textId="2E0956CB" w:rsidR="00854ADA" w:rsidRDefault="000D57E3" w:rsidP="000D57E3">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 xml:space="preserve">Енергетска ефикасност (промовисане технологије ОИЕ ће довести </w:t>
            </w:r>
            <w:r w:rsidR="0054226A">
              <w:rPr>
                <w:rFonts w:ascii="Calibri Light" w:eastAsia="Times New Roman" w:hAnsi="Calibri Light" w:cs="Calibri Light"/>
                <w:color w:val="000000"/>
                <w:sz w:val="20"/>
                <w:szCs w:val="20"/>
                <w:lang w:eastAsia="en-GB"/>
              </w:rPr>
              <w:t>и</w:t>
            </w:r>
            <w:r>
              <w:rPr>
                <w:rFonts w:ascii="Calibri Light" w:eastAsia="Times New Roman" w:hAnsi="Calibri Light" w:cs="Calibri Light"/>
                <w:color w:val="000000"/>
                <w:sz w:val="20"/>
                <w:szCs w:val="20"/>
                <w:lang w:eastAsia="en-GB"/>
              </w:rPr>
              <w:t xml:space="preserve"> до уштеде примарне енергије </w:t>
            </w:r>
            <w:r w:rsidR="00F159C2">
              <w:rPr>
                <w:rFonts w:ascii="Calibri Light" w:eastAsia="Times New Roman" w:hAnsi="Calibri Light" w:cs="Calibri Light"/>
                <w:color w:val="000000"/>
                <w:sz w:val="20"/>
                <w:szCs w:val="20"/>
                <w:lang w:eastAsia="en-GB"/>
              </w:rPr>
              <w:t>доприносећи постизању релевантних циљева)</w:t>
            </w:r>
          </w:p>
          <w:p w14:paraId="6C7E127B" w14:textId="635033FE" w:rsidR="00F159C2" w:rsidRPr="000A2AFE" w:rsidRDefault="00F159C2"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Енергетска сигурност (примен</w:t>
            </w:r>
            <w:r w:rsidR="001F4636">
              <w:rPr>
                <w:rFonts w:ascii="Calibri Light" w:eastAsia="Times New Roman" w:hAnsi="Calibri Light" w:cs="Calibri Light"/>
                <w:color w:val="000000"/>
                <w:sz w:val="20"/>
                <w:szCs w:val="20"/>
                <w:lang w:eastAsia="en-GB"/>
              </w:rPr>
              <w:t>а</w:t>
            </w:r>
            <w:r>
              <w:rPr>
                <w:rFonts w:ascii="Calibri Light" w:eastAsia="Times New Roman" w:hAnsi="Calibri Light" w:cs="Calibri Light"/>
                <w:color w:val="000000"/>
                <w:sz w:val="20"/>
                <w:szCs w:val="20"/>
                <w:lang w:eastAsia="en-GB"/>
              </w:rPr>
              <w:t xml:space="preserve"> технологија ОИЕ </w:t>
            </w:r>
            <w:r w:rsidR="001F4636">
              <w:rPr>
                <w:rFonts w:ascii="Calibri Light" w:eastAsia="Times New Roman" w:hAnsi="Calibri Light" w:cs="Calibri Light"/>
                <w:color w:val="000000"/>
                <w:sz w:val="20"/>
                <w:szCs w:val="20"/>
                <w:lang w:eastAsia="en-GB"/>
              </w:rPr>
              <w:t xml:space="preserve">ће </w:t>
            </w:r>
            <w:r>
              <w:rPr>
                <w:rFonts w:ascii="Calibri Light" w:eastAsia="Times New Roman" w:hAnsi="Calibri Light" w:cs="Calibri Light"/>
                <w:color w:val="000000"/>
                <w:sz w:val="20"/>
                <w:szCs w:val="20"/>
                <w:lang w:eastAsia="en-GB"/>
              </w:rPr>
              <w:t>смањи</w:t>
            </w:r>
            <w:r w:rsidR="001F4636">
              <w:rPr>
                <w:rFonts w:ascii="Calibri Light" w:eastAsia="Times New Roman" w:hAnsi="Calibri Light" w:cs="Calibri Light"/>
                <w:color w:val="000000"/>
                <w:sz w:val="20"/>
                <w:szCs w:val="20"/>
                <w:lang w:eastAsia="en-GB"/>
              </w:rPr>
              <w:t>ти</w:t>
            </w:r>
            <w:r>
              <w:rPr>
                <w:rFonts w:ascii="Calibri Light" w:eastAsia="Times New Roman" w:hAnsi="Calibri Light" w:cs="Calibri Light"/>
                <w:color w:val="000000"/>
                <w:sz w:val="20"/>
                <w:szCs w:val="20"/>
                <w:lang w:eastAsia="en-GB"/>
              </w:rPr>
              <w:t xml:space="preserve"> зависност од увоза енергије из трећи</w:t>
            </w:r>
            <w:r w:rsidR="008C6B65">
              <w:rPr>
                <w:rFonts w:ascii="Calibri Light" w:eastAsia="Times New Roman" w:hAnsi="Calibri Light" w:cs="Calibri Light"/>
                <w:color w:val="000000"/>
                <w:sz w:val="20"/>
                <w:szCs w:val="20"/>
                <w:lang w:eastAsia="en-GB"/>
              </w:rPr>
              <w:t>х</w:t>
            </w:r>
            <w:r>
              <w:rPr>
                <w:rFonts w:ascii="Calibri Light" w:eastAsia="Times New Roman" w:hAnsi="Calibri Light" w:cs="Calibri Light"/>
                <w:color w:val="000000"/>
                <w:sz w:val="20"/>
                <w:szCs w:val="20"/>
                <w:lang w:eastAsia="en-GB"/>
              </w:rPr>
              <w:t xml:space="preserve"> земаља и повећаће коришћење домаћих извора енергије)</w:t>
            </w:r>
          </w:p>
        </w:tc>
      </w:tr>
      <w:tr w:rsidR="00854ADA" w:rsidRPr="00FF386D" w14:paraId="0D0473D8" w14:textId="77777777" w:rsidTr="0057310C">
        <w:trPr>
          <w:trHeight w:val="450"/>
        </w:trPr>
        <w:tc>
          <w:tcPr>
            <w:tcW w:w="3330"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4FDDB217" w14:textId="1A544D2E"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28"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07060542"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2018/2001/ЕУ</w:t>
            </w:r>
          </w:p>
        </w:tc>
      </w:tr>
      <w:tr w:rsidR="00854ADA" w:rsidRPr="00FF386D" w14:paraId="05C984C4" w14:textId="77777777" w:rsidTr="0057310C">
        <w:trPr>
          <w:trHeight w:val="450"/>
        </w:trPr>
        <w:tc>
          <w:tcPr>
            <w:tcW w:w="3330" w:type="dxa"/>
            <w:vMerge/>
            <w:tcBorders>
              <w:top w:val="nil"/>
              <w:left w:val="single" w:sz="8" w:space="0" w:color="auto"/>
              <w:bottom w:val="single" w:sz="8" w:space="0" w:color="000000"/>
              <w:right w:val="single" w:sz="8" w:space="0" w:color="auto"/>
            </w:tcBorders>
            <w:vAlign w:val="center"/>
            <w:hideMark/>
          </w:tcPr>
          <w:p w14:paraId="7EDCE82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8" w:type="dxa"/>
            <w:gridSpan w:val="3"/>
            <w:vMerge/>
            <w:tcBorders>
              <w:top w:val="single" w:sz="8" w:space="0" w:color="auto"/>
              <w:left w:val="single" w:sz="8" w:space="0" w:color="auto"/>
              <w:bottom w:val="single" w:sz="8" w:space="0" w:color="000000"/>
              <w:right w:val="single" w:sz="8" w:space="0" w:color="000000"/>
            </w:tcBorders>
            <w:vAlign w:val="center"/>
            <w:hideMark/>
          </w:tcPr>
          <w:p w14:paraId="7BC31354"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40484D25" w14:textId="77777777" w:rsidTr="0057310C">
        <w:trPr>
          <w:trHeight w:val="450"/>
        </w:trPr>
        <w:tc>
          <w:tcPr>
            <w:tcW w:w="3330" w:type="dxa"/>
            <w:vMerge/>
            <w:tcBorders>
              <w:top w:val="nil"/>
              <w:left w:val="single" w:sz="8" w:space="0" w:color="auto"/>
              <w:bottom w:val="single" w:sz="8" w:space="0" w:color="000000"/>
              <w:right w:val="single" w:sz="8" w:space="0" w:color="auto"/>
            </w:tcBorders>
            <w:vAlign w:val="center"/>
            <w:hideMark/>
          </w:tcPr>
          <w:p w14:paraId="1EF7017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8" w:type="dxa"/>
            <w:gridSpan w:val="3"/>
            <w:vMerge/>
            <w:tcBorders>
              <w:top w:val="single" w:sz="8" w:space="0" w:color="auto"/>
              <w:left w:val="single" w:sz="8" w:space="0" w:color="auto"/>
              <w:bottom w:val="single" w:sz="8" w:space="0" w:color="000000"/>
              <w:right w:val="single" w:sz="8" w:space="0" w:color="000000"/>
            </w:tcBorders>
            <w:vAlign w:val="center"/>
            <w:hideMark/>
          </w:tcPr>
          <w:p w14:paraId="04FEDBF1"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5D42A0A3" w14:textId="77777777" w:rsidTr="0057310C">
        <w:trPr>
          <w:trHeight w:val="33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30C45EC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Релевантни национални плански документ (правни, регулаторни акти, итд)</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7875E0EB" w14:textId="77777777" w:rsidR="00854ADA" w:rsidRPr="00FF386D" w:rsidRDefault="00854ADA" w:rsidP="00854ADA">
            <w:pPr>
              <w:numPr>
                <w:ilvl w:val="0"/>
                <w:numId w:val="169"/>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коришћењу обновљивих извора енергије</w:t>
            </w:r>
          </w:p>
        </w:tc>
      </w:tr>
      <w:tr w:rsidR="00854ADA" w:rsidRPr="00FF386D" w14:paraId="101FF202"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6019846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4DFA2310" w14:textId="4C537E81" w:rsidR="00854ADA" w:rsidRPr="00FF386D" w:rsidRDefault="008D752D" w:rsidP="00854ADA">
            <w:pPr>
              <w:spacing w:after="0" w:line="240" w:lineRule="auto"/>
              <w:rPr>
                <w:rFonts w:ascii="Calibri" w:eastAsia="Times New Roman" w:hAnsi="Calibri" w:cs="Calibri"/>
                <w:color w:val="000000"/>
                <w:sz w:val="20"/>
                <w:szCs w:val="20"/>
                <w:lang w:eastAsia="en-GB"/>
              </w:rPr>
            </w:pPr>
            <w:r>
              <w:rPr>
                <w:rFonts w:ascii="Calibri Light" w:eastAsia="Times New Roman" w:hAnsi="Calibri Light" w:cs="Calibri Light"/>
                <w:color w:val="000000"/>
                <w:sz w:val="20"/>
                <w:szCs w:val="20"/>
                <w:lang w:eastAsia="en-GB"/>
              </w:rPr>
              <w:t>3,0</w:t>
            </w:r>
            <w:r w:rsidR="00335522" w:rsidRPr="00FF386D">
              <w:rPr>
                <w:rFonts w:ascii="Calibri Light" w:eastAsia="Times New Roman" w:hAnsi="Calibri Light" w:cs="Calibri Light"/>
                <w:color w:val="000000"/>
                <w:sz w:val="20"/>
                <w:szCs w:val="20"/>
                <w:lang w:eastAsia="en-GB"/>
              </w:rPr>
              <w:t xml:space="preserve"> </w:t>
            </w:r>
            <w:r w:rsidR="00854ADA" w:rsidRPr="00FF386D">
              <w:rPr>
                <w:rFonts w:ascii="Calibri Light" w:eastAsia="Times New Roman" w:hAnsi="Calibri Light" w:cs="Calibri Light"/>
                <w:color w:val="000000"/>
                <w:sz w:val="20"/>
                <w:szCs w:val="20"/>
                <w:lang w:eastAsia="en-GB"/>
              </w:rPr>
              <w:t>милијарде евра</w:t>
            </w:r>
          </w:p>
        </w:tc>
      </w:tr>
      <w:tr w:rsidR="00854ADA" w:rsidRPr="00FF386D" w14:paraId="72A9184A"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3493FE5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2C91DBC6" w14:textId="17A7D3E1" w:rsidR="00854ADA" w:rsidRPr="00FF386D" w:rsidRDefault="00854ADA" w:rsidP="00854ADA">
            <w:pPr>
              <w:spacing w:after="0" w:line="240" w:lineRule="auto"/>
              <w:rPr>
                <w:rFonts w:ascii="Calibri" w:eastAsia="Times New Roman" w:hAnsi="Calibri" w:cs="Calibri"/>
                <w:color w:val="000000"/>
                <w:sz w:val="20"/>
                <w:szCs w:val="20"/>
                <w:lang w:eastAsia="en-GB"/>
              </w:rPr>
            </w:pPr>
            <w:r w:rsidRPr="00FF386D">
              <w:rPr>
                <w:rFonts w:asciiTheme="majorHAnsi" w:eastAsia="Times New Roman" w:hAnsiTheme="majorHAnsi" w:cstheme="majorHAnsi"/>
                <w:color w:val="000000"/>
                <w:sz w:val="20"/>
                <w:szCs w:val="20"/>
                <w:lang w:eastAsia="en-GB"/>
              </w:rPr>
              <w:t>Сопствена средства</w:t>
            </w:r>
            <w:r w:rsidR="00335522" w:rsidRPr="00FF386D">
              <w:rPr>
                <w:rFonts w:asciiTheme="majorHAnsi" w:eastAsia="Times New Roman" w:hAnsiTheme="majorHAnsi" w:cstheme="majorHAnsi"/>
                <w:color w:val="000000"/>
                <w:sz w:val="20"/>
                <w:szCs w:val="20"/>
                <w:lang w:eastAsia="en-GB"/>
              </w:rPr>
              <w:t xml:space="preserve"> која ће бити надокнађена путем оперативне помоћи</w:t>
            </w:r>
          </w:p>
        </w:tc>
      </w:tr>
    </w:tbl>
    <w:p w14:paraId="5C15B529"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29"/>
        <w:gridCol w:w="941"/>
        <w:gridCol w:w="946"/>
        <w:gridCol w:w="4242"/>
      </w:tblGrid>
      <w:tr w:rsidR="00854ADA" w:rsidRPr="00FF386D" w14:paraId="24FF3E1D" w14:textId="77777777" w:rsidTr="0057310C">
        <w:trPr>
          <w:trHeight w:val="780"/>
        </w:trPr>
        <w:tc>
          <w:tcPr>
            <w:tcW w:w="3329"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47D3BD7C"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41" w:type="dxa"/>
            <w:tcBorders>
              <w:top w:val="single" w:sz="8" w:space="0" w:color="auto"/>
              <w:left w:val="nil"/>
              <w:bottom w:val="single" w:sz="8" w:space="0" w:color="auto"/>
              <w:right w:val="single" w:sz="8" w:space="0" w:color="auto"/>
            </w:tcBorders>
            <w:shd w:val="clear" w:color="auto" w:fill="E7E6E6" w:themeFill="background2"/>
            <w:vAlign w:val="center"/>
            <w:hideMark/>
          </w:tcPr>
          <w:p w14:paraId="211924DA"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МП_Д20</w:t>
            </w:r>
          </w:p>
        </w:tc>
        <w:tc>
          <w:tcPr>
            <w:tcW w:w="946" w:type="dxa"/>
            <w:tcBorders>
              <w:top w:val="single" w:sz="8" w:space="0" w:color="auto"/>
              <w:left w:val="nil"/>
              <w:bottom w:val="single" w:sz="8" w:space="0" w:color="auto"/>
              <w:right w:val="single" w:sz="8" w:space="0" w:color="auto"/>
            </w:tcBorders>
            <w:shd w:val="clear" w:color="000000" w:fill="244062"/>
            <w:vAlign w:val="center"/>
            <w:hideMark/>
          </w:tcPr>
          <w:p w14:paraId="5CA77AC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42" w:type="dxa"/>
            <w:tcBorders>
              <w:top w:val="single" w:sz="8" w:space="0" w:color="auto"/>
              <w:left w:val="nil"/>
              <w:bottom w:val="single" w:sz="8" w:space="0" w:color="auto"/>
              <w:right w:val="single" w:sz="8" w:space="0" w:color="auto"/>
            </w:tcBorders>
            <w:shd w:val="clear" w:color="auto" w:fill="E7E6E6" w:themeFill="background2"/>
            <w:vAlign w:val="center"/>
            <w:hideMark/>
          </w:tcPr>
          <w:p w14:paraId="201D7431" w14:textId="106B66AB" w:rsidR="00854ADA" w:rsidRPr="00FF386D" w:rsidRDefault="0081747B" w:rsidP="00854ADA">
            <w:pPr>
              <w:spacing w:after="0" w:line="240" w:lineRule="auto"/>
              <w:jc w:val="both"/>
              <w:rPr>
                <w:rFonts w:ascii="Calibri Light" w:eastAsia="Times New Roman" w:hAnsi="Calibri Light" w:cs="Calibri Light"/>
                <w:b/>
                <w:bCs/>
                <w:color w:val="000000"/>
                <w:sz w:val="20"/>
                <w:szCs w:val="20"/>
                <w:lang w:eastAsia="en-GB"/>
              </w:rPr>
            </w:pPr>
            <w:r w:rsidRPr="0081747B">
              <w:rPr>
                <w:rFonts w:ascii="Calibri Light" w:eastAsia="Times New Roman" w:hAnsi="Calibri Light" w:cs="Calibri Light"/>
                <w:b/>
                <w:bCs/>
                <w:color w:val="000000"/>
                <w:sz w:val="20"/>
                <w:szCs w:val="20"/>
                <w:lang w:eastAsia="en-GB"/>
              </w:rPr>
              <w:t>Израда</w:t>
            </w:r>
            <w:r w:rsidR="00854ADA" w:rsidRPr="000A2AFE">
              <w:rPr>
                <w:rFonts w:ascii="Calibri Light" w:eastAsia="Times New Roman" w:hAnsi="Calibri Light" w:cs="Calibri Light"/>
                <w:b/>
                <w:bCs/>
                <w:color w:val="000000"/>
                <w:sz w:val="20"/>
                <w:szCs w:val="20"/>
                <w:lang w:eastAsia="en-GB"/>
              </w:rPr>
              <w:t xml:space="preserve"> закон</w:t>
            </w:r>
            <w:r w:rsidR="00540100" w:rsidRPr="000A2AFE">
              <w:rPr>
                <w:rFonts w:ascii="Calibri Light" w:eastAsia="Times New Roman" w:hAnsi="Calibri Light" w:cs="Calibri Light"/>
                <w:b/>
                <w:bCs/>
                <w:color w:val="000000"/>
                <w:sz w:val="20"/>
                <w:szCs w:val="20"/>
                <w:lang w:eastAsia="en-GB"/>
              </w:rPr>
              <w:t xml:space="preserve">ске регулативе </w:t>
            </w:r>
            <w:r w:rsidR="00854ADA" w:rsidRPr="000A2AFE">
              <w:rPr>
                <w:rFonts w:ascii="Calibri Light" w:eastAsia="Times New Roman" w:hAnsi="Calibri Light" w:cs="Calibri Light"/>
                <w:b/>
                <w:bCs/>
                <w:color w:val="000000"/>
                <w:sz w:val="20"/>
                <w:szCs w:val="20"/>
                <w:lang w:eastAsia="en-GB"/>
              </w:rPr>
              <w:t>за учешће произвођача из ОИЕ на тржишту електричне енергије</w:t>
            </w:r>
          </w:p>
        </w:tc>
      </w:tr>
      <w:tr w:rsidR="00854ADA" w:rsidRPr="00FF386D" w14:paraId="44A3A836" w14:textId="77777777" w:rsidTr="0057310C">
        <w:trPr>
          <w:trHeight w:val="371"/>
        </w:trPr>
        <w:tc>
          <w:tcPr>
            <w:tcW w:w="3329" w:type="dxa"/>
            <w:tcBorders>
              <w:top w:val="nil"/>
              <w:left w:val="single" w:sz="8" w:space="0" w:color="auto"/>
              <w:bottom w:val="single" w:sz="8" w:space="0" w:color="auto"/>
              <w:right w:val="nil"/>
            </w:tcBorders>
            <w:shd w:val="clear" w:color="000000" w:fill="244062"/>
            <w:vAlign w:val="center"/>
            <w:hideMark/>
          </w:tcPr>
          <w:p w14:paraId="6EFEAED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3B86FCF9"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Повећање удела ОИЕ у производњи електричнe енергијe</w:t>
            </w:r>
          </w:p>
        </w:tc>
      </w:tr>
      <w:tr w:rsidR="00854ADA" w:rsidRPr="00FF386D" w14:paraId="786444F6"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5578EB9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1AF3071B" w14:textId="3A28F9F3" w:rsidR="00854ADA" w:rsidRPr="00FF386D" w:rsidRDefault="0081747B" w:rsidP="00854ADA">
            <w:pPr>
              <w:spacing w:after="0" w:line="240" w:lineRule="auto"/>
              <w:rPr>
                <w:rFonts w:asciiTheme="majorHAnsi" w:eastAsia="Times New Roman" w:hAnsiTheme="majorHAnsi" w:cstheme="majorHAnsi"/>
                <w:color w:val="000000"/>
                <w:sz w:val="20"/>
                <w:szCs w:val="20"/>
                <w:lang w:eastAsia="en-GB"/>
              </w:rPr>
            </w:pPr>
            <w:r w:rsidRPr="0081747B">
              <w:rPr>
                <w:rFonts w:asciiTheme="majorHAnsi" w:eastAsia="Times New Roman" w:hAnsiTheme="majorHAnsi" w:cstheme="majorHAnsi"/>
                <w:color w:val="000000"/>
                <w:sz w:val="20"/>
                <w:szCs w:val="20"/>
                <w:lang w:eastAsia="en-GB"/>
              </w:rPr>
              <w:t>Усклађивање балансног капацитета и потражње и смањење одговарајућих трошкова</w:t>
            </w:r>
          </w:p>
        </w:tc>
      </w:tr>
      <w:tr w:rsidR="00854ADA" w:rsidRPr="00FF386D" w14:paraId="462F5880" w14:textId="77777777" w:rsidTr="0057310C">
        <w:trPr>
          <w:trHeight w:val="1771"/>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39B68D6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2B5A6708" w14:textId="5109A602"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МП_Д20 ће </w:t>
            </w:r>
            <w:r w:rsidR="00AF1DE4" w:rsidRPr="00AF1DE4">
              <w:rPr>
                <w:rFonts w:ascii="Calibri Light" w:eastAsia="Times New Roman" w:hAnsi="Calibri Light" w:cs="Calibri Light"/>
                <w:color w:val="000000"/>
                <w:sz w:val="20"/>
                <w:szCs w:val="20"/>
                <w:lang w:eastAsia="en-GB"/>
              </w:rPr>
              <w:t>подстицати</w:t>
            </w:r>
            <w:r w:rsidR="000370A3" w:rsidRPr="000A2AFE">
              <w:rPr>
                <w:rFonts w:ascii="Calibri Light" w:eastAsia="Times New Roman" w:hAnsi="Calibri Light" w:cs="Calibri Light"/>
                <w:color w:val="000000"/>
                <w:sz w:val="20"/>
                <w:szCs w:val="20"/>
                <w:lang w:eastAsia="en-GB"/>
              </w:rPr>
              <w:t xml:space="preserve"> </w:t>
            </w:r>
            <w:r w:rsidR="00AF1DE4" w:rsidRPr="00AF1DE4">
              <w:rPr>
                <w:rFonts w:ascii="Calibri Light" w:eastAsia="Times New Roman" w:hAnsi="Calibri Light" w:cs="Calibri Light"/>
                <w:color w:val="000000"/>
                <w:sz w:val="20"/>
                <w:szCs w:val="20"/>
                <w:lang w:eastAsia="en-GB"/>
              </w:rPr>
              <w:t>увођење балансне</w:t>
            </w:r>
            <w:r w:rsidR="00AF1DE4">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обавез</w:t>
            </w:r>
            <w:r w:rsidR="000370A3" w:rsidRPr="000A2AFE">
              <w:rPr>
                <w:rFonts w:ascii="Calibri Light" w:eastAsia="Times New Roman" w:hAnsi="Calibri Light" w:cs="Calibri Light"/>
                <w:color w:val="000000"/>
                <w:sz w:val="20"/>
                <w:szCs w:val="20"/>
                <w:lang w:eastAsia="en-GB"/>
              </w:rPr>
              <w:t xml:space="preserve">е </w:t>
            </w:r>
            <w:r w:rsidR="00AF1DE4">
              <w:rPr>
                <w:rFonts w:ascii="Calibri Light" w:eastAsia="Times New Roman" w:hAnsi="Calibri Light" w:cs="Calibri Light"/>
                <w:color w:val="000000"/>
                <w:sz w:val="20"/>
                <w:szCs w:val="20"/>
                <w:lang w:eastAsia="en-GB"/>
              </w:rPr>
              <w:t xml:space="preserve">за </w:t>
            </w:r>
            <w:r w:rsidR="003F54E6" w:rsidRPr="003F54E6">
              <w:rPr>
                <w:rFonts w:ascii="Calibri Light" w:eastAsia="Times New Roman" w:hAnsi="Calibri Light" w:cs="Calibri Light"/>
                <w:color w:val="000000"/>
                <w:sz w:val="20"/>
                <w:szCs w:val="20"/>
                <w:lang w:eastAsia="en-GB"/>
              </w:rPr>
              <w:t>учешће</w:t>
            </w:r>
            <w:r w:rsidR="003F54E6" w:rsidRPr="003F54E6" w:rsidDel="00AF1DE4">
              <w:rPr>
                <w:rFonts w:ascii="Calibri Light" w:eastAsia="Times New Roman" w:hAnsi="Calibri Light" w:cs="Calibri Light"/>
                <w:color w:val="000000"/>
                <w:sz w:val="20"/>
                <w:szCs w:val="20"/>
                <w:lang w:eastAsia="en-GB"/>
              </w:rPr>
              <w:t xml:space="preserve"> </w:t>
            </w:r>
            <w:r w:rsidR="00346E7F" w:rsidRPr="000A2AFE">
              <w:rPr>
                <w:rFonts w:ascii="Calibri Light" w:eastAsia="Times New Roman" w:hAnsi="Calibri Light" w:cs="Calibri Light"/>
                <w:color w:val="000000"/>
                <w:sz w:val="20"/>
                <w:szCs w:val="20"/>
                <w:lang w:eastAsia="en-GB"/>
              </w:rPr>
              <w:t xml:space="preserve">постројења </w:t>
            </w:r>
            <w:r w:rsidR="003F54E6" w:rsidRPr="003F54E6">
              <w:rPr>
                <w:rFonts w:ascii="Calibri Light" w:eastAsia="Times New Roman" w:hAnsi="Calibri Light" w:cs="Calibri Light"/>
                <w:color w:val="000000"/>
                <w:sz w:val="20"/>
                <w:szCs w:val="20"/>
                <w:lang w:eastAsia="en-GB"/>
              </w:rPr>
              <w:t>која користе</w:t>
            </w:r>
            <w:r w:rsidR="009B4553" w:rsidRPr="000A2AFE">
              <w:rPr>
                <w:rFonts w:ascii="Calibri Light" w:eastAsia="Times New Roman" w:hAnsi="Calibri Light" w:cs="Calibri Light"/>
                <w:color w:val="000000"/>
                <w:sz w:val="20"/>
                <w:szCs w:val="20"/>
                <w:lang w:eastAsia="en-GB"/>
              </w:rPr>
              <w:t xml:space="preserve"> обновљиве изворе енергије</w:t>
            </w:r>
            <w:r w:rsidRPr="000A2AFE">
              <w:rPr>
                <w:rFonts w:ascii="Calibri Light" w:eastAsia="Times New Roman" w:hAnsi="Calibri Light" w:cs="Calibri Light"/>
                <w:color w:val="000000"/>
                <w:sz w:val="20"/>
                <w:szCs w:val="20"/>
                <w:lang w:eastAsia="en-GB"/>
              </w:rPr>
              <w:t xml:space="preserve"> на тржишту електричне енергије</w:t>
            </w:r>
            <w:r w:rsidR="00346E7F" w:rsidRPr="000A2AFE">
              <w:rPr>
                <w:rFonts w:ascii="Calibri Light" w:eastAsia="Times New Roman" w:hAnsi="Calibri Light" w:cs="Calibri Light"/>
                <w:color w:val="000000"/>
                <w:sz w:val="20"/>
                <w:szCs w:val="20"/>
                <w:lang w:eastAsia="en-GB"/>
              </w:rPr>
              <w:t xml:space="preserve">. </w:t>
            </w:r>
            <w:r w:rsidR="003F54E6">
              <w:rPr>
                <w:rFonts w:ascii="Calibri Light" w:eastAsia="Times New Roman" w:hAnsi="Calibri Light" w:cs="Calibri Light"/>
                <w:color w:val="000000"/>
                <w:sz w:val="20"/>
                <w:szCs w:val="20"/>
                <w:lang w:eastAsia="en-GB"/>
              </w:rPr>
              <w:t>З</w:t>
            </w:r>
            <w:r w:rsidR="00540100" w:rsidRPr="000A2AFE">
              <w:rPr>
                <w:rFonts w:ascii="Calibri Light" w:eastAsia="Times New Roman" w:hAnsi="Calibri Light" w:cs="Calibri Light"/>
                <w:color w:val="000000"/>
                <w:sz w:val="20"/>
                <w:szCs w:val="20"/>
                <w:lang w:eastAsia="en-GB"/>
              </w:rPr>
              <w:t>аконска регулатива</w:t>
            </w:r>
            <w:r w:rsidR="002D4AFF"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за учешће произвођача из обновљивих извора енергије на тржишту електричне енергије</w:t>
            </w:r>
            <w:r w:rsidR="003F54E6">
              <w:t xml:space="preserve"> </w:t>
            </w:r>
            <w:r w:rsidR="003F54E6" w:rsidRPr="003F54E6">
              <w:rPr>
                <w:rFonts w:ascii="Calibri Light" w:eastAsia="Times New Roman" w:hAnsi="Calibri Light" w:cs="Calibri Light"/>
                <w:color w:val="000000"/>
                <w:sz w:val="20"/>
                <w:szCs w:val="20"/>
                <w:lang w:eastAsia="en-GB"/>
              </w:rPr>
              <w:t>ће бити ефикасно прилагођена</w:t>
            </w:r>
            <w:r w:rsidRPr="000A2AFE">
              <w:rPr>
                <w:rFonts w:ascii="Calibri Light" w:eastAsia="Times New Roman" w:hAnsi="Calibri Light" w:cs="Calibri Light"/>
                <w:color w:val="000000"/>
                <w:sz w:val="20"/>
                <w:szCs w:val="20"/>
                <w:lang w:eastAsia="en-GB"/>
              </w:rPr>
              <w:t xml:space="preserve">, </w:t>
            </w:r>
            <w:r w:rsidR="000D2B15" w:rsidRPr="000A2AFE">
              <w:rPr>
                <w:rFonts w:ascii="Calibri Light" w:eastAsia="Times New Roman" w:hAnsi="Calibri Light" w:cs="Calibri Light"/>
                <w:color w:val="000000"/>
                <w:sz w:val="20"/>
                <w:szCs w:val="20"/>
                <w:lang w:eastAsia="en-GB"/>
              </w:rPr>
              <w:t>уз анализу</w:t>
            </w:r>
            <w:r w:rsidR="009B4553" w:rsidRPr="000A2AFE">
              <w:rPr>
                <w:rFonts w:ascii="Calibri Light" w:eastAsia="Times New Roman" w:hAnsi="Calibri Light" w:cs="Calibri Light"/>
                <w:color w:val="000000"/>
                <w:sz w:val="20"/>
                <w:szCs w:val="20"/>
                <w:lang w:eastAsia="en-GB"/>
              </w:rPr>
              <w:t xml:space="preserve"> утицај</w:t>
            </w:r>
            <w:r w:rsidR="000D2B15" w:rsidRPr="000A2AFE">
              <w:rPr>
                <w:rFonts w:ascii="Calibri Light" w:eastAsia="Times New Roman" w:hAnsi="Calibri Light" w:cs="Calibri Light"/>
                <w:color w:val="000000"/>
                <w:sz w:val="20"/>
                <w:szCs w:val="20"/>
                <w:lang w:eastAsia="en-GB"/>
              </w:rPr>
              <w:t>а</w:t>
            </w:r>
            <w:r w:rsidR="009B4553" w:rsidRPr="000A2AFE">
              <w:rPr>
                <w:rFonts w:ascii="Calibri Light" w:eastAsia="Times New Roman" w:hAnsi="Calibri Light" w:cs="Calibri Light"/>
                <w:color w:val="000000"/>
                <w:sz w:val="20"/>
                <w:szCs w:val="20"/>
                <w:lang w:eastAsia="en-GB"/>
              </w:rPr>
              <w:t xml:space="preserve"> преузимања балансне одговорности различитих врста пост</w:t>
            </w:r>
            <w:r w:rsidR="00157C37" w:rsidRPr="000A2AFE">
              <w:rPr>
                <w:rFonts w:ascii="Calibri Light" w:eastAsia="Times New Roman" w:hAnsi="Calibri Light" w:cs="Calibri Light"/>
                <w:color w:val="000000"/>
                <w:sz w:val="20"/>
                <w:szCs w:val="20"/>
                <w:lang w:eastAsia="en-GB"/>
              </w:rPr>
              <w:t>ројења</w:t>
            </w:r>
            <w:r w:rsidR="009B4553" w:rsidRPr="000A2AFE">
              <w:rPr>
                <w:rFonts w:ascii="Calibri Light" w:eastAsia="Times New Roman" w:hAnsi="Calibri Light" w:cs="Calibri Light"/>
                <w:color w:val="000000"/>
                <w:sz w:val="20"/>
                <w:szCs w:val="20"/>
                <w:lang w:eastAsia="en-GB"/>
              </w:rPr>
              <w:t xml:space="preserve"> </w:t>
            </w:r>
            <w:r w:rsidR="003F54E6" w:rsidRPr="003F54E6">
              <w:rPr>
                <w:rFonts w:ascii="Calibri Light" w:eastAsia="Times New Roman" w:hAnsi="Calibri Light" w:cs="Calibri Light"/>
                <w:color w:val="000000"/>
                <w:sz w:val="20"/>
                <w:szCs w:val="20"/>
                <w:lang w:eastAsia="en-GB"/>
              </w:rPr>
              <w:t>која користе</w:t>
            </w:r>
            <w:r w:rsidR="009B4553" w:rsidRPr="000A2AFE">
              <w:rPr>
                <w:rFonts w:ascii="Calibri Light" w:eastAsia="Times New Roman" w:hAnsi="Calibri Light" w:cs="Calibri Light"/>
                <w:color w:val="000000"/>
                <w:sz w:val="20"/>
                <w:szCs w:val="20"/>
                <w:lang w:eastAsia="en-GB"/>
              </w:rPr>
              <w:t xml:space="preserve"> обновљиве изворе енергије, узимајући у обзир </w:t>
            </w:r>
            <w:r w:rsidRPr="000A2AFE">
              <w:rPr>
                <w:rFonts w:ascii="Calibri Light" w:eastAsia="Times New Roman" w:hAnsi="Calibri Light" w:cs="Calibri Light"/>
                <w:color w:val="000000"/>
                <w:sz w:val="20"/>
                <w:szCs w:val="20"/>
                <w:lang w:eastAsia="en-GB"/>
              </w:rPr>
              <w:t>њихов</w:t>
            </w:r>
            <w:r w:rsidR="009B4553" w:rsidRPr="000A2AFE">
              <w:rPr>
                <w:rFonts w:ascii="Calibri Light" w:eastAsia="Times New Roman" w:hAnsi="Calibri Light" w:cs="Calibri Light"/>
                <w:color w:val="000000"/>
                <w:sz w:val="20"/>
                <w:szCs w:val="20"/>
                <w:lang w:eastAsia="en-GB"/>
              </w:rPr>
              <w:t xml:space="preserve"> инсталисани</w:t>
            </w:r>
            <w:r w:rsidRPr="000A2AFE">
              <w:rPr>
                <w:rFonts w:ascii="Calibri Light" w:eastAsia="Times New Roman" w:hAnsi="Calibri Light" w:cs="Calibri Light"/>
                <w:color w:val="000000"/>
                <w:sz w:val="20"/>
                <w:szCs w:val="20"/>
                <w:lang w:eastAsia="en-GB"/>
              </w:rPr>
              <w:t xml:space="preserve"> капацитет и техничк</w:t>
            </w:r>
            <w:r w:rsidR="009B4553" w:rsidRPr="000A2AFE">
              <w:rPr>
                <w:rFonts w:ascii="Calibri Light" w:eastAsia="Times New Roman" w:hAnsi="Calibri Light" w:cs="Calibri Light"/>
                <w:color w:val="000000"/>
                <w:sz w:val="20"/>
                <w:szCs w:val="20"/>
                <w:lang w:eastAsia="en-GB"/>
              </w:rPr>
              <w:t>у</w:t>
            </w:r>
            <w:r w:rsidRPr="000A2AFE">
              <w:rPr>
                <w:rFonts w:ascii="Calibri Light" w:eastAsia="Times New Roman" w:hAnsi="Calibri Light" w:cs="Calibri Light"/>
                <w:color w:val="000000"/>
                <w:sz w:val="20"/>
                <w:szCs w:val="20"/>
                <w:lang w:eastAsia="en-GB"/>
              </w:rPr>
              <w:t xml:space="preserve"> зрело</w:t>
            </w:r>
            <w:r w:rsidR="009B4553" w:rsidRPr="000A2AFE">
              <w:rPr>
                <w:rFonts w:ascii="Calibri Light" w:eastAsia="Times New Roman" w:hAnsi="Calibri Light" w:cs="Calibri Light"/>
                <w:color w:val="000000"/>
                <w:sz w:val="20"/>
                <w:szCs w:val="20"/>
                <w:lang w:eastAsia="en-GB"/>
              </w:rPr>
              <w:t>ст</w:t>
            </w:r>
            <w:r w:rsidRPr="000A2AFE">
              <w:rPr>
                <w:rFonts w:ascii="Calibri Light" w:eastAsia="Times New Roman" w:hAnsi="Calibri Light" w:cs="Calibri Light"/>
                <w:color w:val="000000"/>
                <w:sz w:val="20"/>
                <w:szCs w:val="20"/>
                <w:lang w:eastAsia="en-GB"/>
              </w:rPr>
              <w:t xml:space="preserve">. </w:t>
            </w:r>
            <w:r w:rsidR="009B4553" w:rsidRPr="000A2AFE">
              <w:rPr>
                <w:rFonts w:ascii="Calibri Light" w:eastAsia="Times New Roman" w:hAnsi="Calibri Light" w:cs="Calibri Light"/>
                <w:color w:val="000000"/>
                <w:sz w:val="20"/>
                <w:szCs w:val="20"/>
                <w:lang w:eastAsia="en-GB"/>
              </w:rPr>
              <w:t>Поред тога</w:t>
            </w:r>
            <w:r w:rsidRPr="000A2AFE">
              <w:rPr>
                <w:rFonts w:ascii="Calibri Light" w:eastAsia="Times New Roman" w:hAnsi="Calibri Light" w:cs="Calibri Light"/>
                <w:color w:val="000000"/>
                <w:sz w:val="20"/>
                <w:szCs w:val="20"/>
                <w:lang w:eastAsia="en-GB"/>
              </w:rPr>
              <w:t xml:space="preserve">, </w:t>
            </w:r>
            <w:r w:rsidR="009B4553" w:rsidRPr="000A2AFE">
              <w:rPr>
                <w:rFonts w:ascii="Calibri Light" w:eastAsia="Times New Roman" w:hAnsi="Calibri Light" w:cs="Calibri Light"/>
                <w:color w:val="000000"/>
                <w:sz w:val="20"/>
                <w:szCs w:val="20"/>
                <w:lang w:eastAsia="en-GB"/>
              </w:rPr>
              <w:t xml:space="preserve">биће </w:t>
            </w:r>
            <w:r w:rsidR="003F54E6" w:rsidRPr="003F54E6">
              <w:rPr>
                <w:rFonts w:ascii="Calibri Light" w:eastAsia="Times New Roman" w:hAnsi="Calibri Light" w:cs="Calibri Light"/>
                <w:color w:val="000000"/>
                <w:sz w:val="20"/>
                <w:szCs w:val="20"/>
                <w:lang w:eastAsia="en-GB"/>
              </w:rPr>
              <w:t>испитан</w:t>
            </w:r>
            <w:r w:rsidR="00540100" w:rsidRPr="000A2AFE">
              <w:rPr>
                <w:rFonts w:ascii="Calibri Light" w:eastAsia="Times New Roman" w:hAnsi="Calibri Light" w:cs="Calibri Light"/>
                <w:color w:val="000000"/>
                <w:sz w:val="20"/>
                <w:szCs w:val="20"/>
                <w:lang w:eastAsia="en-GB"/>
              </w:rPr>
              <w:t xml:space="preserve"> капацитет агрегатора за</w:t>
            </w:r>
            <w:r w:rsidR="009B4553" w:rsidRPr="000A2AFE">
              <w:rPr>
                <w:rFonts w:ascii="Calibri Light" w:eastAsia="Times New Roman" w:hAnsi="Calibri Light" w:cs="Calibri Light"/>
                <w:color w:val="000000"/>
                <w:sz w:val="20"/>
                <w:szCs w:val="20"/>
                <w:lang w:eastAsia="en-GB"/>
              </w:rPr>
              <w:t xml:space="preserve"> </w:t>
            </w:r>
            <w:r w:rsidR="00540100" w:rsidRPr="000A2AFE">
              <w:rPr>
                <w:rFonts w:ascii="Calibri Light" w:eastAsia="Times New Roman" w:hAnsi="Calibri Light" w:cs="Calibri Light"/>
                <w:color w:val="000000"/>
                <w:sz w:val="20"/>
                <w:szCs w:val="20"/>
                <w:lang w:eastAsia="en-GB"/>
              </w:rPr>
              <w:t>испуњавање обавезе, уз фокус на</w:t>
            </w:r>
            <w:r w:rsidR="00B00240" w:rsidRPr="000A2AFE">
              <w:rPr>
                <w:rFonts w:ascii="Calibri Light" w:eastAsia="Times New Roman" w:hAnsi="Calibri Light" w:cs="Calibri Light"/>
                <w:color w:val="000000"/>
                <w:sz w:val="20"/>
                <w:szCs w:val="20"/>
                <w:lang w:eastAsia="en-GB"/>
              </w:rPr>
              <w:t xml:space="preserve"> све оперативне аспекте, </w:t>
            </w:r>
            <w:r w:rsidR="002D4AFF" w:rsidRPr="000A2AFE">
              <w:rPr>
                <w:rFonts w:ascii="Calibri Light" w:eastAsia="Times New Roman" w:hAnsi="Calibri Light" w:cs="Calibri Light"/>
                <w:color w:val="000000"/>
                <w:sz w:val="20"/>
                <w:szCs w:val="20"/>
                <w:lang w:eastAsia="en-GB"/>
              </w:rPr>
              <w:t xml:space="preserve">како </w:t>
            </w:r>
            <w:r w:rsidR="00B00240" w:rsidRPr="000A2AFE">
              <w:rPr>
                <w:rFonts w:ascii="Calibri Light" w:eastAsia="Times New Roman" w:hAnsi="Calibri Light" w:cs="Calibri Light"/>
                <w:color w:val="000000"/>
                <w:sz w:val="20"/>
                <w:szCs w:val="20"/>
                <w:lang w:eastAsia="en-GB"/>
              </w:rPr>
              <w:t xml:space="preserve">би се </w:t>
            </w:r>
            <w:r w:rsidR="002D4AFF" w:rsidRPr="000A2AFE">
              <w:rPr>
                <w:rFonts w:ascii="Calibri Light" w:eastAsia="Times New Roman" w:hAnsi="Calibri Light" w:cs="Calibri Light"/>
                <w:color w:val="000000"/>
                <w:sz w:val="20"/>
                <w:szCs w:val="20"/>
                <w:lang w:eastAsia="en-GB"/>
              </w:rPr>
              <w:t xml:space="preserve">обезбедила </w:t>
            </w:r>
            <w:r w:rsidR="00540100" w:rsidRPr="000A2AFE">
              <w:rPr>
                <w:rFonts w:ascii="Calibri Light" w:eastAsia="Times New Roman" w:hAnsi="Calibri Light" w:cs="Calibri Light"/>
                <w:color w:val="000000"/>
                <w:sz w:val="20"/>
                <w:szCs w:val="20"/>
                <w:lang w:eastAsia="en-GB"/>
              </w:rPr>
              <w:t>прецизна</w:t>
            </w:r>
            <w:r w:rsidR="002D4AFF" w:rsidRPr="000A2AFE">
              <w:rPr>
                <w:rFonts w:ascii="Calibri Light" w:eastAsia="Times New Roman" w:hAnsi="Calibri Light" w:cs="Calibri Light"/>
                <w:color w:val="000000"/>
                <w:sz w:val="20"/>
                <w:szCs w:val="20"/>
                <w:lang w:eastAsia="en-GB"/>
              </w:rPr>
              <w:t xml:space="preserve"> и транспарентна примена.</w:t>
            </w:r>
          </w:p>
        </w:tc>
      </w:tr>
      <w:tr w:rsidR="00854ADA" w:rsidRPr="00FF386D" w14:paraId="11C625C8"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216301F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6E50186E" w14:textId="25E28B64" w:rsidR="00854ADA" w:rsidRPr="00FF386D" w:rsidRDefault="00213839"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Pr>
                <w:rFonts w:ascii="Calibri Light" w:eastAsia="Times New Roman" w:hAnsi="Calibri Light" w:cs="Calibri Light"/>
                <w:color w:val="000000"/>
                <w:sz w:val="20"/>
                <w:szCs w:val="20"/>
                <w:lang w:eastAsia="en-GB"/>
              </w:rPr>
              <w:t>3</w:t>
            </w:r>
            <w:r w:rsidR="00854ADA" w:rsidRPr="000A2AFE">
              <w:rPr>
                <w:rFonts w:ascii="Calibri Light" w:eastAsia="Times New Roman" w:hAnsi="Calibri Light" w:cs="Calibri Light"/>
                <w:color w:val="000000"/>
                <w:sz w:val="20"/>
                <w:szCs w:val="20"/>
                <w:lang w:eastAsia="en-GB"/>
              </w:rPr>
              <w:t>-</w:t>
            </w:r>
            <w:r w:rsidR="00F44287" w:rsidRPr="000A2AFE">
              <w:rPr>
                <w:rFonts w:ascii="Calibri Light" w:eastAsia="Times New Roman" w:hAnsi="Calibri Light" w:cs="Calibri Light"/>
                <w:color w:val="000000"/>
                <w:sz w:val="20"/>
                <w:szCs w:val="20"/>
                <w:lang w:eastAsia="en-GB"/>
              </w:rPr>
              <w:t>20</w:t>
            </w:r>
            <w:r w:rsidR="00F44287">
              <w:rPr>
                <w:rFonts w:ascii="Calibri Light" w:eastAsia="Times New Roman" w:hAnsi="Calibri Light" w:cs="Calibri Light"/>
                <w:color w:val="000000"/>
                <w:sz w:val="20"/>
                <w:szCs w:val="20"/>
                <w:lang w:eastAsia="en-GB"/>
              </w:rPr>
              <w:t>26</w:t>
            </w:r>
            <w:r w:rsidR="00854ADA" w:rsidRPr="000A2AFE">
              <w:rPr>
                <w:rFonts w:ascii="Calibri Light" w:eastAsia="Times New Roman" w:hAnsi="Calibri Light" w:cs="Calibri Light"/>
                <w:color w:val="000000"/>
                <w:sz w:val="20"/>
                <w:szCs w:val="20"/>
                <w:lang w:eastAsia="en-GB"/>
              </w:rPr>
              <w:t>.</w:t>
            </w:r>
          </w:p>
        </w:tc>
      </w:tr>
      <w:tr w:rsidR="00854ADA" w:rsidRPr="00FF386D" w14:paraId="73755387"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79A419D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277FF8B7"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Регулаторна</w:t>
            </w:r>
          </w:p>
        </w:tc>
      </w:tr>
      <w:tr w:rsidR="00854ADA" w:rsidRPr="00FF386D" w14:paraId="03D6C5D3"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7712541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15309527"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Електроенергетика</w:t>
            </w:r>
          </w:p>
        </w:tc>
      </w:tr>
      <w:tr w:rsidR="00854ADA" w:rsidRPr="00FF386D" w14:paraId="7C67C6F3"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616FDC2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1B5DE6B1"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31080821" w14:textId="77777777" w:rsidTr="0057310C">
        <w:trPr>
          <w:trHeight w:val="315"/>
        </w:trPr>
        <w:tc>
          <w:tcPr>
            <w:tcW w:w="3329" w:type="dxa"/>
            <w:tcBorders>
              <w:top w:val="nil"/>
              <w:left w:val="single" w:sz="8" w:space="0" w:color="auto"/>
              <w:bottom w:val="single" w:sz="8" w:space="0" w:color="auto"/>
              <w:right w:val="nil"/>
            </w:tcBorders>
            <w:shd w:val="clear" w:color="000000" w:fill="244062"/>
            <w:vAlign w:val="center"/>
            <w:hideMark/>
          </w:tcPr>
          <w:p w14:paraId="3448506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5540C666" w14:textId="7F0A408F" w:rsidR="00854ADA" w:rsidRPr="000A2AFE" w:rsidRDefault="0054226A"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Влада Републике Србије</w:t>
            </w:r>
          </w:p>
        </w:tc>
      </w:tr>
      <w:tr w:rsidR="00854ADA" w:rsidRPr="00FF386D" w14:paraId="3F66D059" w14:textId="77777777" w:rsidTr="0057310C">
        <w:trPr>
          <w:trHeight w:val="315"/>
        </w:trPr>
        <w:tc>
          <w:tcPr>
            <w:tcW w:w="3329" w:type="dxa"/>
            <w:tcBorders>
              <w:top w:val="nil"/>
              <w:left w:val="single" w:sz="8" w:space="0" w:color="auto"/>
              <w:bottom w:val="single" w:sz="8" w:space="0" w:color="auto"/>
              <w:right w:val="nil"/>
            </w:tcBorders>
            <w:shd w:val="clear" w:color="000000" w:fill="244062"/>
            <w:vAlign w:val="center"/>
            <w:hideMark/>
          </w:tcPr>
          <w:p w14:paraId="1C2CA1F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774F7C77" w14:textId="77777777" w:rsidR="00854ADA" w:rsidRPr="000A2AFE" w:rsidRDefault="00854ADA"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Развој законодавства и регулаторног оквира</w:t>
            </w:r>
          </w:p>
        </w:tc>
      </w:tr>
      <w:tr w:rsidR="00854ADA" w:rsidRPr="00FF386D" w14:paraId="741A566D" w14:textId="77777777" w:rsidTr="0057310C">
        <w:trPr>
          <w:trHeight w:val="159"/>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6653CE8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3EC777B2" w14:textId="77777777" w:rsidR="0054226A" w:rsidRPr="0054226A" w:rsidRDefault="0054226A" w:rsidP="0054226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54226A">
              <w:rPr>
                <w:rFonts w:ascii="Calibri Light" w:eastAsia="Times New Roman" w:hAnsi="Calibri Light" w:cs="Calibri Light"/>
                <w:color w:val="000000"/>
                <w:sz w:val="20"/>
                <w:szCs w:val="20"/>
                <w:lang w:eastAsia="en-GB"/>
              </w:rPr>
              <w:t>Енергетска ефикасност (промовисане технологије ОИЕ ће довести и до уштеде примарне енергије доприносећи постизању релевантних циљева)</w:t>
            </w:r>
          </w:p>
          <w:p w14:paraId="6B932534" w14:textId="2C24E4A9" w:rsidR="0054226A" w:rsidRDefault="0054226A" w:rsidP="0054226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54226A">
              <w:rPr>
                <w:rFonts w:ascii="Calibri Light" w:eastAsia="Times New Roman" w:hAnsi="Calibri Light" w:cs="Calibri Light"/>
                <w:color w:val="000000"/>
                <w:sz w:val="20"/>
                <w:szCs w:val="20"/>
                <w:lang w:eastAsia="en-GB"/>
              </w:rPr>
              <w:t>Енергетска сигурност (примен</w:t>
            </w:r>
            <w:r w:rsidR="00364548">
              <w:rPr>
                <w:rFonts w:ascii="Calibri Light" w:eastAsia="Times New Roman" w:hAnsi="Calibri Light" w:cs="Calibri Light"/>
                <w:color w:val="000000"/>
                <w:sz w:val="20"/>
                <w:szCs w:val="20"/>
                <w:lang w:eastAsia="en-GB"/>
              </w:rPr>
              <w:t xml:space="preserve">а </w:t>
            </w:r>
            <w:r w:rsidRPr="0054226A">
              <w:rPr>
                <w:rFonts w:ascii="Calibri Light" w:eastAsia="Times New Roman" w:hAnsi="Calibri Light" w:cs="Calibri Light"/>
                <w:color w:val="000000"/>
                <w:sz w:val="20"/>
                <w:szCs w:val="20"/>
                <w:lang w:eastAsia="en-GB"/>
              </w:rPr>
              <w:t xml:space="preserve">технологија ОИЕ </w:t>
            </w:r>
            <w:r w:rsidR="00364548">
              <w:rPr>
                <w:rFonts w:ascii="Calibri Light" w:eastAsia="Times New Roman" w:hAnsi="Calibri Light" w:cs="Calibri Light"/>
                <w:color w:val="000000"/>
                <w:sz w:val="20"/>
                <w:szCs w:val="20"/>
                <w:lang w:eastAsia="en-GB"/>
              </w:rPr>
              <w:t>ће смањити</w:t>
            </w:r>
            <w:r w:rsidRPr="0054226A">
              <w:rPr>
                <w:rFonts w:ascii="Calibri Light" w:eastAsia="Times New Roman" w:hAnsi="Calibri Light" w:cs="Calibri Light"/>
                <w:color w:val="000000"/>
                <w:sz w:val="20"/>
                <w:szCs w:val="20"/>
                <w:lang w:eastAsia="en-GB"/>
              </w:rPr>
              <w:t xml:space="preserve"> зависност од увоза енергије из трећих земаља и повећаће коришћење домаћих извора енергије)</w:t>
            </w:r>
          </w:p>
          <w:p w14:paraId="382810D4" w14:textId="0D3EFB76"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Унутрашње енергетско тржиште</w:t>
            </w:r>
            <w:r w:rsidR="0054226A">
              <w:rPr>
                <w:rFonts w:ascii="Calibri Light" w:eastAsia="Times New Roman" w:hAnsi="Calibri Light" w:cs="Calibri Light"/>
                <w:color w:val="000000"/>
                <w:sz w:val="20"/>
                <w:szCs w:val="20"/>
                <w:lang w:eastAsia="en-GB"/>
              </w:rPr>
              <w:t xml:space="preserve"> (примена технологија ОИЕ ће ојачати интеграцију и спајање тржишта и обезбедиће адекватност електроенергетског система и флексибилност</w:t>
            </w:r>
            <w:r w:rsidR="00364548">
              <w:rPr>
                <w:rFonts w:ascii="Calibri Light" w:eastAsia="Times New Roman" w:hAnsi="Calibri Light" w:cs="Calibri Light"/>
                <w:color w:val="000000"/>
                <w:sz w:val="20"/>
                <w:szCs w:val="20"/>
                <w:lang w:eastAsia="en-GB"/>
              </w:rPr>
              <w:t>)</w:t>
            </w:r>
          </w:p>
        </w:tc>
      </w:tr>
      <w:tr w:rsidR="00854ADA" w:rsidRPr="00FF386D" w14:paraId="309F5BC7" w14:textId="77777777" w:rsidTr="0057310C">
        <w:trPr>
          <w:trHeight w:val="450"/>
        </w:trPr>
        <w:tc>
          <w:tcPr>
            <w:tcW w:w="3329"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31728364" w14:textId="360AED44"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29"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11276D78"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2018/2001/ЕУ</w:t>
            </w:r>
          </w:p>
        </w:tc>
      </w:tr>
      <w:tr w:rsidR="00854ADA" w:rsidRPr="00FF386D" w14:paraId="5BD41947" w14:textId="77777777" w:rsidTr="0057310C">
        <w:trPr>
          <w:trHeight w:val="450"/>
        </w:trPr>
        <w:tc>
          <w:tcPr>
            <w:tcW w:w="3329" w:type="dxa"/>
            <w:vMerge/>
            <w:tcBorders>
              <w:top w:val="nil"/>
              <w:left w:val="single" w:sz="8" w:space="0" w:color="auto"/>
              <w:bottom w:val="single" w:sz="8" w:space="0" w:color="000000"/>
              <w:right w:val="single" w:sz="8" w:space="0" w:color="auto"/>
            </w:tcBorders>
            <w:vAlign w:val="center"/>
            <w:hideMark/>
          </w:tcPr>
          <w:p w14:paraId="6C90AA3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9" w:type="dxa"/>
            <w:gridSpan w:val="3"/>
            <w:vMerge/>
            <w:tcBorders>
              <w:top w:val="single" w:sz="8" w:space="0" w:color="auto"/>
              <w:left w:val="single" w:sz="8" w:space="0" w:color="auto"/>
              <w:bottom w:val="single" w:sz="8" w:space="0" w:color="000000"/>
              <w:right w:val="single" w:sz="8" w:space="0" w:color="000000"/>
            </w:tcBorders>
            <w:vAlign w:val="center"/>
            <w:hideMark/>
          </w:tcPr>
          <w:p w14:paraId="04DE3641"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119B1AB4" w14:textId="77777777" w:rsidTr="0057310C">
        <w:trPr>
          <w:trHeight w:val="450"/>
        </w:trPr>
        <w:tc>
          <w:tcPr>
            <w:tcW w:w="3329" w:type="dxa"/>
            <w:vMerge/>
            <w:tcBorders>
              <w:top w:val="nil"/>
              <w:left w:val="single" w:sz="8" w:space="0" w:color="auto"/>
              <w:bottom w:val="single" w:sz="8" w:space="0" w:color="000000"/>
              <w:right w:val="single" w:sz="8" w:space="0" w:color="auto"/>
            </w:tcBorders>
            <w:vAlign w:val="center"/>
            <w:hideMark/>
          </w:tcPr>
          <w:p w14:paraId="72DAA57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9" w:type="dxa"/>
            <w:gridSpan w:val="3"/>
            <w:vMerge/>
            <w:tcBorders>
              <w:top w:val="single" w:sz="8" w:space="0" w:color="auto"/>
              <w:left w:val="single" w:sz="8" w:space="0" w:color="auto"/>
              <w:bottom w:val="single" w:sz="8" w:space="0" w:color="000000"/>
              <w:right w:val="single" w:sz="8" w:space="0" w:color="000000"/>
            </w:tcBorders>
            <w:vAlign w:val="center"/>
            <w:hideMark/>
          </w:tcPr>
          <w:p w14:paraId="4909A210"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011096B4" w14:textId="77777777" w:rsidTr="0057310C">
        <w:trPr>
          <w:trHeight w:val="391"/>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065C2B8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0B4B4255" w14:textId="723183EC" w:rsidR="009B4553" w:rsidRPr="00FF386D" w:rsidRDefault="00854ADA" w:rsidP="009B4553">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Закон </w:t>
            </w:r>
            <w:r w:rsidR="009B4553" w:rsidRPr="00FF386D">
              <w:rPr>
                <w:rFonts w:ascii="Calibri Light" w:eastAsia="Times New Roman" w:hAnsi="Calibri Light" w:cs="Calibri Light"/>
                <w:color w:val="000000"/>
                <w:sz w:val="20"/>
                <w:szCs w:val="20"/>
                <w:lang w:eastAsia="en-GB"/>
              </w:rPr>
              <w:t>о енергетици</w:t>
            </w:r>
          </w:p>
          <w:p w14:paraId="18FEC678" w14:textId="35367943" w:rsidR="009B4553" w:rsidRPr="00FF386D" w:rsidRDefault="009B4553" w:rsidP="009B4553">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коришћењу обновљивих извора енергије</w:t>
            </w:r>
          </w:p>
        </w:tc>
      </w:tr>
      <w:tr w:rsidR="00854ADA" w:rsidRPr="00FF386D" w14:paraId="0BB5C742"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7472383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5CE3014D"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0,2 милиона евра</w:t>
            </w:r>
          </w:p>
        </w:tc>
      </w:tr>
      <w:tr w:rsidR="00854ADA" w:rsidRPr="00FF386D" w14:paraId="566F7119"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57A9F21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2DBA12C9" w14:textId="292A034E" w:rsidR="00854ADA" w:rsidRPr="00FF386D" w:rsidRDefault="00854ADA" w:rsidP="00854ADA">
            <w:pPr>
              <w:spacing w:after="0" w:line="240" w:lineRule="auto"/>
              <w:rPr>
                <w:rFonts w:ascii="Calibri" w:eastAsia="Times New Roman" w:hAnsi="Calibri" w:cs="Calibri"/>
                <w:color w:val="000000"/>
                <w:sz w:val="20"/>
                <w:szCs w:val="20"/>
                <w:highlight w:val="yellow"/>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9B4553" w:rsidRPr="00FF386D">
              <w:rPr>
                <w:rFonts w:asciiTheme="majorHAnsi" w:eastAsia="Times New Roman" w:hAnsiTheme="majorHAnsi" w:cstheme="majorHAnsi"/>
                <w:color w:val="000000"/>
                <w:sz w:val="20"/>
                <w:szCs w:val="20"/>
                <w:lang w:eastAsia="en-GB"/>
              </w:rPr>
              <w:t>ска средства</w:t>
            </w:r>
          </w:p>
        </w:tc>
      </w:tr>
    </w:tbl>
    <w:p w14:paraId="0C52C23F"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30"/>
        <w:gridCol w:w="940"/>
        <w:gridCol w:w="946"/>
        <w:gridCol w:w="4242"/>
      </w:tblGrid>
      <w:tr w:rsidR="00854ADA" w:rsidRPr="00FF386D" w14:paraId="06F4B6AE" w14:textId="77777777" w:rsidTr="0057310C">
        <w:trPr>
          <w:trHeight w:val="780"/>
        </w:trPr>
        <w:tc>
          <w:tcPr>
            <w:tcW w:w="3330"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5DF2AF85"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Шифра мере политике:</w:t>
            </w:r>
          </w:p>
        </w:tc>
        <w:tc>
          <w:tcPr>
            <w:tcW w:w="940" w:type="dxa"/>
            <w:tcBorders>
              <w:top w:val="single" w:sz="8" w:space="0" w:color="auto"/>
              <w:left w:val="nil"/>
              <w:bottom w:val="single" w:sz="8" w:space="0" w:color="auto"/>
              <w:right w:val="single" w:sz="8" w:space="0" w:color="auto"/>
            </w:tcBorders>
            <w:shd w:val="clear" w:color="auto" w:fill="E7E6E6" w:themeFill="background2"/>
            <w:vAlign w:val="center"/>
            <w:hideMark/>
          </w:tcPr>
          <w:p w14:paraId="424469D7"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МП_Д21</w:t>
            </w:r>
          </w:p>
        </w:tc>
        <w:tc>
          <w:tcPr>
            <w:tcW w:w="946" w:type="dxa"/>
            <w:tcBorders>
              <w:top w:val="single" w:sz="8" w:space="0" w:color="auto"/>
              <w:left w:val="nil"/>
              <w:bottom w:val="single" w:sz="8" w:space="0" w:color="auto"/>
              <w:right w:val="single" w:sz="8" w:space="0" w:color="auto"/>
            </w:tcBorders>
            <w:shd w:val="clear" w:color="000000" w:fill="244062"/>
            <w:vAlign w:val="center"/>
            <w:hideMark/>
          </w:tcPr>
          <w:p w14:paraId="559D45D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42" w:type="dxa"/>
            <w:tcBorders>
              <w:top w:val="single" w:sz="8" w:space="0" w:color="auto"/>
              <w:left w:val="nil"/>
              <w:bottom w:val="single" w:sz="8" w:space="0" w:color="auto"/>
              <w:right w:val="single" w:sz="8" w:space="0" w:color="auto"/>
            </w:tcBorders>
            <w:shd w:val="clear" w:color="auto" w:fill="E7E6E6" w:themeFill="background2"/>
            <w:vAlign w:val="center"/>
            <w:hideMark/>
          </w:tcPr>
          <w:p w14:paraId="111FAB20" w14:textId="70A6AE65" w:rsidR="00854ADA" w:rsidRPr="000A2AFE" w:rsidRDefault="00540100"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По</w:t>
            </w:r>
            <w:r w:rsidR="00854ADA" w:rsidRPr="000A2AFE">
              <w:rPr>
                <w:rFonts w:ascii="Calibri Light" w:eastAsia="Times New Roman" w:hAnsi="Calibri Light" w:cs="Calibri Light"/>
                <w:b/>
                <w:bCs/>
                <w:color w:val="000000"/>
                <w:sz w:val="20"/>
                <w:szCs w:val="20"/>
                <w:lang w:eastAsia="en-GB"/>
              </w:rPr>
              <w:t>дршк</w:t>
            </w:r>
            <w:r w:rsidRPr="000A2AFE">
              <w:rPr>
                <w:rFonts w:ascii="Calibri Light" w:eastAsia="Times New Roman" w:hAnsi="Calibri Light" w:cs="Calibri Light"/>
                <w:b/>
                <w:bCs/>
                <w:color w:val="000000"/>
                <w:sz w:val="20"/>
                <w:szCs w:val="20"/>
                <w:lang w:eastAsia="en-GB"/>
              </w:rPr>
              <w:t>а</w:t>
            </w:r>
            <w:r w:rsidR="00854ADA" w:rsidRPr="000A2AFE">
              <w:rPr>
                <w:rFonts w:ascii="Calibri Light" w:eastAsia="Times New Roman" w:hAnsi="Calibri Light" w:cs="Calibri Light"/>
                <w:b/>
                <w:bCs/>
                <w:color w:val="000000"/>
                <w:sz w:val="20"/>
                <w:szCs w:val="20"/>
                <w:lang w:eastAsia="en-GB"/>
              </w:rPr>
              <w:t xml:space="preserve"> </w:t>
            </w:r>
            <w:r w:rsidR="003F54E6" w:rsidRPr="003F54E6">
              <w:rPr>
                <w:rFonts w:ascii="Calibri Light" w:eastAsia="Times New Roman" w:hAnsi="Calibri Light" w:cs="Calibri Light"/>
                <w:b/>
                <w:bCs/>
                <w:color w:val="000000"/>
                <w:sz w:val="20"/>
                <w:szCs w:val="20"/>
                <w:lang w:eastAsia="en-GB"/>
              </w:rPr>
              <w:t>производњи електричне енергије</w:t>
            </w:r>
            <w:r w:rsidR="00C92FA8" w:rsidRPr="00C312D6">
              <w:rPr>
                <w:rFonts w:ascii="Calibri Light" w:eastAsia="Times New Roman" w:hAnsi="Calibri Light" w:cs="Calibri Light"/>
                <w:b/>
                <w:bCs/>
                <w:color w:val="000000"/>
                <w:sz w:val="20"/>
                <w:szCs w:val="20"/>
                <w:lang w:eastAsia="en-GB"/>
              </w:rPr>
              <w:t xml:space="preserve"> </w:t>
            </w:r>
            <w:r w:rsidR="00C92FA8">
              <w:rPr>
                <w:rFonts w:ascii="Calibri Light" w:eastAsia="Times New Roman" w:hAnsi="Calibri Light" w:cs="Calibri Light"/>
                <w:b/>
                <w:bCs/>
                <w:color w:val="000000"/>
                <w:sz w:val="20"/>
                <w:szCs w:val="20"/>
                <w:lang w:eastAsia="en-GB"/>
              </w:rPr>
              <w:t>из</w:t>
            </w:r>
            <w:r w:rsidR="003F54E6" w:rsidRPr="003F54E6">
              <w:rPr>
                <w:rFonts w:ascii="Calibri Light" w:eastAsia="Times New Roman" w:hAnsi="Calibri Light" w:cs="Calibri Light"/>
                <w:b/>
                <w:bCs/>
                <w:color w:val="000000"/>
                <w:sz w:val="20"/>
                <w:szCs w:val="20"/>
                <w:lang w:eastAsia="en-GB"/>
              </w:rPr>
              <w:t xml:space="preserve"> обновљивих извора енергије у електранама</w:t>
            </w:r>
            <w:r w:rsidR="00854ADA" w:rsidRPr="000A2AFE">
              <w:rPr>
                <w:rFonts w:ascii="Calibri Light" w:eastAsia="Times New Roman" w:hAnsi="Calibri Light" w:cs="Calibri Light"/>
                <w:b/>
                <w:bCs/>
                <w:color w:val="000000"/>
                <w:sz w:val="20"/>
                <w:szCs w:val="20"/>
                <w:lang w:eastAsia="en-GB"/>
              </w:rPr>
              <w:t xml:space="preserve"> које неће учествовати </w:t>
            </w:r>
            <w:r w:rsidR="003F54E6" w:rsidRPr="003F54E6">
              <w:rPr>
                <w:rFonts w:ascii="Calibri Light" w:eastAsia="Times New Roman" w:hAnsi="Calibri Light" w:cs="Calibri Light"/>
                <w:b/>
                <w:bCs/>
                <w:color w:val="000000"/>
                <w:sz w:val="20"/>
                <w:szCs w:val="20"/>
                <w:lang w:eastAsia="en-GB"/>
              </w:rPr>
              <w:t>на аукцијама</w:t>
            </w:r>
            <w:r w:rsidR="008D752D">
              <w:rPr>
                <w:rFonts w:ascii="Calibri Light" w:eastAsia="Times New Roman" w:hAnsi="Calibri Light" w:cs="Calibri Light"/>
                <w:b/>
                <w:bCs/>
                <w:color w:val="000000"/>
                <w:sz w:val="20"/>
                <w:szCs w:val="20"/>
                <w:lang w:eastAsia="en-GB"/>
              </w:rPr>
              <w:t xml:space="preserve"> укључујући примену уговора за откуп електричне енергије из обновљивих извора</w:t>
            </w:r>
          </w:p>
        </w:tc>
      </w:tr>
      <w:tr w:rsidR="00854ADA" w:rsidRPr="00FF386D" w14:paraId="55AD64B0" w14:textId="77777777" w:rsidTr="0057310C">
        <w:trPr>
          <w:trHeight w:val="385"/>
        </w:trPr>
        <w:tc>
          <w:tcPr>
            <w:tcW w:w="3330" w:type="dxa"/>
            <w:tcBorders>
              <w:top w:val="nil"/>
              <w:left w:val="single" w:sz="8" w:space="0" w:color="auto"/>
              <w:bottom w:val="single" w:sz="8" w:space="0" w:color="auto"/>
              <w:right w:val="nil"/>
            </w:tcBorders>
            <w:shd w:val="clear" w:color="000000" w:fill="244062"/>
            <w:vAlign w:val="center"/>
            <w:hideMark/>
          </w:tcPr>
          <w:p w14:paraId="7510F2B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263B8D6D"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Повећање удела ОИЕ у производњи електричнe енергијe</w:t>
            </w:r>
          </w:p>
        </w:tc>
      </w:tr>
      <w:tr w:rsidR="00854ADA" w:rsidRPr="00FF386D" w14:paraId="2B901BBA"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77FCA8D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32E58E48" w14:textId="1520EFFD" w:rsidR="00854ADA" w:rsidRPr="00FF386D" w:rsidRDefault="00854ADA" w:rsidP="00854ADA">
            <w:pPr>
              <w:spacing w:after="0" w:line="240" w:lineRule="auto"/>
              <w:rPr>
                <w:rFonts w:ascii="Calibri" w:eastAsia="Times New Roman" w:hAnsi="Calibri" w:cs="Calibri"/>
                <w:color w:val="000000"/>
                <w:sz w:val="20"/>
                <w:szCs w:val="20"/>
                <w:lang w:eastAsia="en-GB"/>
              </w:rPr>
            </w:pPr>
            <w:r w:rsidRPr="00FF386D">
              <w:rPr>
                <w:rFonts w:ascii="Calibri" w:eastAsia="Times New Roman" w:hAnsi="Calibri" w:cs="Calibri"/>
                <w:color w:val="000000"/>
                <w:sz w:val="20"/>
                <w:szCs w:val="20"/>
                <w:lang w:eastAsia="en-GB"/>
              </w:rPr>
              <w:t>≈</w:t>
            </w:r>
            <w:r w:rsidRPr="00FF386D">
              <w:rPr>
                <w:rFonts w:asciiTheme="majorHAnsi" w:eastAsia="Times New Roman" w:hAnsiTheme="majorHAnsi" w:cstheme="majorHAnsi"/>
                <w:color w:val="000000"/>
                <w:sz w:val="20"/>
                <w:szCs w:val="20"/>
                <w:lang w:eastAsia="en-GB"/>
              </w:rPr>
              <w:t>0,5 GW фотонапонск</w:t>
            </w:r>
            <w:r w:rsidR="009C445C" w:rsidRPr="00FF386D">
              <w:rPr>
                <w:rFonts w:asciiTheme="majorHAnsi" w:eastAsia="Times New Roman" w:hAnsiTheme="majorHAnsi" w:cstheme="majorHAnsi"/>
                <w:color w:val="000000"/>
                <w:sz w:val="20"/>
                <w:szCs w:val="20"/>
                <w:lang w:eastAsia="en-GB"/>
              </w:rPr>
              <w:t>их система</w:t>
            </w:r>
            <w:r w:rsidRPr="00FF386D">
              <w:rPr>
                <w:rFonts w:asciiTheme="majorHAnsi" w:eastAsia="Times New Roman" w:hAnsiTheme="majorHAnsi" w:cstheme="majorHAnsi"/>
                <w:color w:val="000000"/>
                <w:sz w:val="20"/>
                <w:szCs w:val="20"/>
                <w:lang w:eastAsia="en-GB"/>
              </w:rPr>
              <w:t xml:space="preserve"> ће бити подржан</w:t>
            </w:r>
            <w:r w:rsidR="009C445C" w:rsidRPr="00FF386D">
              <w:rPr>
                <w:rFonts w:asciiTheme="majorHAnsi" w:eastAsia="Times New Roman" w:hAnsiTheme="majorHAnsi" w:cstheme="majorHAnsi"/>
                <w:color w:val="000000"/>
                <w:sz w:val="20"/>
                <w:szCs w:val="20"/>
                <w:lang w:eastAsia="en-GB"/>
              </w:rPr>
              <w:t>о</w:t>
            </w:r>
            <w:r w:rsidRPr="00FF386D">
              <w:rPr>
                <w:rFonts w:asciiTheme="majorHAnsi" w:eastAsia="Times New Roman" w:hAnsiTheme="majorHAnsi" w:cstheme="majorHAnsi"/>
                <w:color w:val="000000"/>
                <w:sz w:val="20"/>
                <w:szCs w:val="20"/>
                <w:lang w:eastAsia="en-GB"/>
              </w:rPr>
              <w:t xml:space="preserve"> МП_Д21 у комбинацији са МП_Д2</w:t>
            </w:r>
            <w:r w:rsidR="003F54E6">
              <w:rPr>
                <w:rFonts w:asciiTheme="majorHAnsi" w:eastAsia="Times New Roman" w:hAnsiTheme="majorHAnsi" w:cstheme="majorHAnsi"/>
                <w:color w:val="000000"/>
                <w:sz w:val="20"/>
                <w:szCs w:val="20"/>
                <w:lang w:eastAsia="en-GB"/>
              </w:rPr>
              <w:t>6</w:t>
            </w:r>
          </w:p>
        </w:tc>
      </w:tr>
      <w:tr w:rsidR="00854ADA" w:rsidRPr="00FF386D" w14:paraId="6A0C03A9" w14:textId="77777777" w:rsidTr="0057310C">
        <w:trPr>
          <w:trHeight w:val="712"/>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5284718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11CFCD5F" w14:textId="7F60914E" w:rsidR="003F54E6" w:rsidRDefault="00854ADA" w:rsidP="00735842">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МП_Д21 </w:t>
            </w:r>
            <w:r w:rsidR="009C445C" w:rsidRPr="000A2AFE">
              <w:rPr>
                <w:rFonts w:ascii="Calibri Light" w:eastAsia="Times New Roman" w:hAnsi="Calibri Light" w:cs="Calibri Light"/>
                <w:color w:val="000000"/>
                <w:sz w:val="20"/>
                <w:szCs w:val="20"/>
                <w:lang w:eastAsia="en-GB"/>
              </w:rPr>
              <w:t>предвиђа</w:t>
            </w:r>
            <w:r w:rsidRPr="000A2AFE">
              <w:rPr>
                <w:rFonts w:ascii="Calibri Light" w:eastAsia="Times New Roman" w:hAnsi="Calibri Light" w:cs="Calibri Light"/>
                <w:color w:val="000000"/>
                <w:sz w:val="20"/>
                <w:szCs w:val="20"/>
                <w:lang w:eastAsia="en-GB"/>
              </w:rPr>
              <w:t xml:space="preserve"> </w:t>
            </w:r>
            <w:r w:rsidR="009C445C" w:rsidRPr="000A2AFE">
              <w:rPr>
                <w:rFonts w:ascii="Calibri Light" w:eastAsia="Times New Roman" w:hAnsi="Calibri Light" w:cs="Calibri Light"/>
                <w:color w:val="000000"/>
                <w:sz w:val="20"/>
                <w:szCs w:val="20"/>
                <w:lang w:eastAsia="en-GB"/>
              </w:rPr>
              <w:t xml:space="preserve">потенцијално </w:t>
            </w:r>
            <w:r w:rsidRPr="000A2AFE">
              <w:rPr>
                <w:rFonts w:ascii="Calibri Light" w:eastAsia="Times New Roman" w:hAnsi="Calibri Light" w:cs="Calibri Light"/>
                <w:color w:val="000000"/>
                <w:sz w:val="20"/>
                <w:szCs w:val="20"/>
                <w:lang w:eastAsia="en-GB"/>
              </w:rPr>
              <w:t xml:space="preserve">пружање </w:t>
            </w:r>
            <w:r w:rsidR="003F54E6" w:rsidRPr="003F54E6">
              <w:rPr>
                <w:rFonts w:ascii="Calibri Light" w:eastAsia="Times New Roman" w:hAnsi="Calibri Light" w:cs="Calibri Light"/>
                <w:color w:val="000000"/>
                <w:sz w:val="20"/>
                <w:szCs w:val="20"/>
                <w:lang w:eastAsia="en-GB"/>
              </w:rPr>
              <w:t>оперативне</w:t>
            </w:r>
            <w:r w:rsidRPr="000A2AFE">
              <w:rPr>
                <w:rFonts w:ascii="Calibri Light" w:eastAsia="Times New Roman" w:hAnsi="Calibri Light" w:cs="Calibri Light"/>
                <w:color w:val="000000"/>
                <w:sz w:val="20"/>
                <w:szCs w:val="20"/>
                <w:lang w:eastAsia="en-GB"/>
              </w:rPr>
              <w:t xml:space="preserve"> помоћи технологијама обновљивих извора енергије које неће учествовати на планираним аукцијама у оквиру МП</w:t>
            </w:r>
            <w:r w:rsidR="009C445C" w:rsidRPr="000A2AFE">
              <w:rPr>
                <w:rFonts w:ascii="Calibri Light" w:eastAsia="Times New Roman" w:hAnsi="Calibri Light" w:cs="Calibri Light"/>
                <w:color w:val="000000"/>
                <w:sz w:val="20"/>
                <w:szCs w:val="20"/>
                <w:lang w:eastAsia="en-GB"/>
              </w:rPr>
              <w:t>_19</w:t>
            </w:r>
            <w:r w:rsidRPr="000A2AFE">
              <w:rPr>
                <w:rFonts w:ascii="Calibri Light" w:eastAsia="Times New Roman" w:hAnsi="Calibri Light" w:cs="Calibri Light"/>
                <w:color w:val="000000"/>
                <w:sz w:val="20"/>
                <w:szCs w:val="20"/>
                <w:lang w:eastAsia="en-GB"/>
              </w:rPr>
              <w:t xml:space="preserve">, </w:t>
            </w:r>
            <w:r w:rsidR="009C445C" w:rsidRPr="000A2AFE">
              <w:rPr>
                <w:rFonts w:ascii="Calibri Light" w:eastAsia="Times New Roman" w:hAnsi="Calibri Light" w:cs="Calibri Light"/>
                <w:color w:val="000000"/>
                <w:sz w:val="20"/>
                <w:szCs w:val="20"/>
                <w:lang w:eastAsia="en-GB"/>
              </w:rPr>
              <w:t xml:space="preserve">и то </w:t>
            </w:r>
            <w:r w:rsidRPr="000A2AFE">
              <w:rPr>
                <w:rFonts w:ascii="Calibri Light" w:eastAsia="Times New Roman" w:hAnsi="Calibri Light" w:cs="Calibri Light"/>
                <w:color w:val="000000"/>
                <w:sz w:val="20"/>
                <w:szCs w:val="20"/>
                <w:lang w:eastAsia="en-GB"/>
              </w:rPr>
              <w:t>првенствено мал</w:t>
            </w:r>
            <w:r w:rsidR="009C445C" w:rsidRPr="000A2AFE">
              <w:rPr>
                <w:rFonts w:ascii="Calibri Light" w:eastAsia="Times New Roman" w:hAnsi="Calibri Light" w:cs="Calibri Light"/>
                <w:color w:val="000000"/>
                <w:sz w:val="20"/>
                <w:szCs w:val="20"/>
                <w:lang w:eastAsia="en-GB"/>
              </w:rPr>
              <w:t>им</w:t>
            </w:r>
            <w:r w:rsidRPr="000A2AFE">
              <w:rPr>
                <w:rFonts w:ascii="Calibri Light" w:eastAsia="Times New Roman" w:hAnsi="Calibri Light" w:cs="Calibri Light"/>
                <w:color w:val="000000"/>
                <w:sz w:val="20"/>
                <w:szCs w:val="20"/>
                <w:lang w:eastAsia="en-GB"/>
              </w:rPr>
              <w:t>, децентрализован</w:t>
            </w:r>
            <w:r w:rsidR="009C445C" w:rsidRPr="000A2AFE">
              <w:rPr>
                <w:rFonts w:ascii="Calibri Light" w:eastAsia="Times New Roman" w:hAnsi="Calibri Light" w:cs="Calibri Light"/>
                <w:color w:val="000000"/>
                <w:sz w:val="20"/>
                <w:szCs w:val="20"/>
                <w:lang w:eastAsia="en-GB"/>
              </w:rPr>
              <w:t>им</w:t>
            </w:r>
            <w:r w:rsidRPr="000A2AFE">
              <w:rPr>
                <w:rFonts w:ascii="Calibri Light" w:eastAsia="Times New Roman" w:hAnsi="Calibri Light" w:cs="Calibri Light"/>
                <w:color w:val="000000"/>
                <w:sz w:val="20"/>
                <w:szCs w:val="20"/>
                <w:lang w:eastAsia="en-GB"/>
              </w:rPr>
              <w:t xml:space="preserve"> систем</w:t>
            </w:r>
            <w:r w:rsidR="009C445C" w:rsidRPr="000A2AFE">
              <w:rPr>
                <w:rFonts w:ascii="Calibri Light" w:eastAsia="Times New Roman" w:hAnsi="Calibri Light" w:cs="Calibri Light"/>
                <w:color w:val="000000"/>
                <w:sz w:val="20"/>
                <w:szCs w:val="20"/>
                <w:lang w:eastAsia="en-GB"/>
              </w:rPr>
              <w:t>има</w:t>
            </w:r>
            <w:r w:rsidRPr="000A2AFE">
              <w:rPr>
                <w:rFonts w:ascii="Calibri Light" w:eastAsia="Times New Roman" w:hAnsi="Calibri Light" w:cs="Calibri Light"/>
                <w:color w:val="000000"/>
                <w:sz w:val="20"/>
                <w:szCs w:val="20"/>
                <w:lang w:eastAsia="en-GB"/>
              </w:rPr>
              <w:t xml:space="preserve"> ОИЕ</w:t>
            </w:r>
            <w:r w:rsidR="003F54E6">
              <w:t xml:space="preserve"> </w:t>
            </w:r>
            <w:r w:rsidR="003F54E6" w:rsidRPr="003F54E6">
              <w:rPr>
                <w:rFonts w:ascii="Calibri Light" w:eastAsia="Times New Roman" w:hAnsi="Calibri Light" w:cs="Calibri Light"/>
                <w:color w:val="000000"/>
                <w:sz w:val="20"/>
                <w:szCs w:val="20"/>
                <w:lang w:eastAsia="en-GB"/>
              </w:rPr>
              <w:t>у потпуности у складу са поступцима јавних набавки</w:t>
            </w:r>
            <w:r w:rsidRPr="000A2AFE">
              <w:rPr>
                <w:rFonts w:ascii="Calibri Light" w:eastAsia="Times New Roman" w:hAnsi="Calibri Light" w:cs="Calibri Light"/>
                <w:color w:val="000000"/>
                <w:sz w:val="20"/>
                <w:szCs w:val="20"/>
                <w:lang w:eastAsia="en-GB"/>
              </w:rPr>
              <w:t>.</w:t>
            </w:r>
            <w:r w:rsidR="009C445C" w:rsidRPr="000A2AFE">
              <w:rPr>
                <w:rFonts w:ascii="Calibri Light" w:eastAsia="Times New Roman" w:hAnsi="Calibri Light" w:cs="Calibri Light"/>
                <w:color w:val="000000"/>
                <w:sz w:val="20"/>
                <w:szCs w:val="20"/>
                <w:lang w:eastAsia="en-GB"/>
              </w:rPr>
              <w:t xml:space="preserve"> </w:t>
            </w:r>
            <w:r w:rsidR="001D4D20" w:rsidRPr="000A2AFE">
              <w:rPr>
                <w:rFonts w:ascii="Calibri Light" w:eastAsia="Times New Roman" w:hAnsi="Calibri Light" w:cs="Calibri Light"/>
                <w:color w:val="000000"/>
                <w:sz w:val="20"/>
                <w:szCs w:val="20"/>
                <w:lang w:eastAsia="en-GB"/>
              </w:rPr>
              <w:t>Економска помоћ која ће се пружати биће различита</w:t>
            </w:r>
            <w:r w:rsidR="009C445C"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за сваки обновљиви извор енергије</w:t>
            </w:r>
            <w:r w:rsidR="009C445C" w:rsidRPr="000A2AFE">
              <w:rPr>
                <w:rFonts w:ascii="Calibri Light" w:eastAsia="Times New Roman" w:hAnsi="Calibri Light" w:cs="Calibri Light"/>
                <w:color w:val="000000"/>
                <w:sz w:val="20"/>
                <w:szCs w:val="20"/>
                <w:lang w:eastAsia="en-GB"/>
              </w:rPr>
              <w:t xml:space="preserve"> посебно</w:t>
            </w:r>
            <w:r w:rsidRPr="000A2AFE">
              <w:rPr>
                <w:rFonts w:ascii="Calibri Light" w:eastAsia="Times New Roman" w:hAnsi="Calibri Light" w:cs="Calibri Light"/>
                <w:color w:val="000000"/>
                <w:sz w:val="20"/>
                <w:szCs w:val="20"/>
                <w:lang w:eastAsia="en-GB"/>
              </w:rPr>
              <w:t xml:space="preserve">, </w:t>
            </w:r>
            <w:r w:rsidR="009C445C" w:rsidRPr="000A2AFE">
              <w:rPr>
                <w:rFonts w:ascii="Calibri Light" w:eastAsia="Times New Roman" w:hAnsi="Calibri Light" w:cs="Calibri Light"/>
                <w:color w:val="000000"/>
                <w:sz w:val="20"/>
                <w:szCs w:val="20"/>
                <w:lang w:eastAsia="en-GB"/>
              </w:rPr>
              <w:t>у складу са</w:t>
            </w:r>
            <w:r w:rsidRPr="000A2AFE">
              <w:rPr>
                <w:rFonts w:ascii="Calibri Light" w:eastAsia="Times New Roman" w:hAnsi="Calibri Light" w:cs="Calibri Light"/>
                <w:color w:val="000000"/>
                <w:sz w:val="20"/>
                <w:szCs w:val="20"/>
                <w:lang w:eastAsia="en-GB"/>
              </w:rPr>
              <w:t xml:space="preserve"> њиховим оперативним карактеристикама, како би се обезбедил</w:t>
            </w:r>
            <w:r w:rsidR="009C445C" w:rsidRPr="000A2AFE">
              <w:rPr>
                <w:rFonts w:ascii="Calibri Light" w:eastAsia="Times New Roman" w:hAnsi="Calibri Light" w:cs="Calibri Light"/>
                <w:color w:val="000000"/>
                <w:sz w:val="20"/>
                <w:szCs w:val="20"/>
                <w:lang w:eastAsia="en-GB"/>
              </w:rPr>
              <w:t>и</w:t>
            </w:r>
            <w:r w:rsidRPr="000A2AFE">
              <w:rPr>
                <w:rFonts w:ascii="Calibri Light" w:eastAsia="Times New Roman" w:hAnsi="Calibri Light" w:cs="Calibri Light"/>
                <w:color w:val="000000"/>
                <w:sz w:val="20"/>
                <w:szCs w:val="20"/>
                <w:lang w:eastAsia="en-GB"/>
              </w:rPr>
              <w:t xml:space="preserve"> прав</w:t>
            </w:r>
            <w:r w:rsidR="009C445C" w:rsidRPr="000A2AFE">
              <w:rPr>
                <w:rFonts w:ascii="Calibri Light" w:eastAsia="Times New Roman" w:hAnsi="Calibri Light" w:cs="Calibri Light"/>
                <w:color w:val="000000"/>
                <w:sz w:val="20"/>
                <w:szCs w:val="20"/>
                <w:lang w:eastAsia="en-GB"/>
              </w:rPr>
              <w:t>едни</w:t>
            </w:r>
            <w:r w:rsidRPr="000A2AFE">
              <w:rPr>
                <w:rFonts w:ascii="Calibri Light" w:eastAsia="Times New Roman" w:hAnsi="Calibri Light" w:cs="Calibri Light"/>
                <w:color w:val="000000"/>
                <w:sz w:val="20"/>
                <w:szCs w:val="20"/>
                <w:lang w:eastAsia="en-GB"/>
              </w:rPr>
              <w:t xml:space="preserve"> и транспарентн</w:t>
            </w:r>
            <w:r w:rsidR="009C445C" w:rsidRPr="000A2AFE">
              <w:rPr>
                <w:rFonts w:ascii="Calibri Light" w:eastAsia="Times New Roman" w:hAnsi="Calibri Light" w:cs="Calibri Light"/>
                <w:color w:val="000000"/>
                <w:sz w:val="20"/>
                <w:szCs w:val="20"/>
                <w:lang w:eastAsia="en-GB"/>
              </w:rPr>
              <w:t>и услови у погледу</w:t>
            </w:r>
            <w:r w:rsidRPr="000A2AFE">
              <w:rPr>
                <w:rFonts w:ascii="Calibri Light" w:eastAsia="Times New Roman" w:hAnsi="Calibri Light" w:cs="Calibri Light"/>
                <w:color w:val="000000"/>
                <w:sz w:val="20"/>
                <w:szCs w:val="20"/>
                <w:lang w:eastAsia="en-GB"/>
              </w:rPr>
              <w:t xml:space="preserve"> </w:t>
            </w:r>
            <w:r w:rsidR="009C445C" w:rsidRPr="000A2AFE">
              <w:rPr>
                <w:rFonts w:ascii="Calibri Light" w:eastAsia="Times New Roman" w:hAnsi="Calibri Light" w:cs="Calibri Light"/>
                <w:color w:val="000000"/>
                <w:sz w:val="20"/>
                <w:szCs w:val="20"/>
                <w:lang w:eastAsia="en-GB"/>
              </w:rPr>
              <w:t xml:space="preserve">исплативости </w:t>
            </w:r>
            <w:r w:rsidRPr="000A2AFE">
              <w:rPr>
                <w:rFonts w:ascii="Calibri Light" w:eastAsia="Times New Roman" w:hAnsi="Calibri Light" w:cs="Calibri Light"/>
                <w:color w:val="000000"/>
                <w:sz w:val="20"/>
                <w:szCs w:val="20"/>
                <w:lang w:eastAsia="en-GB"/>
              </w:rPr>
              <w:t>за инвеститоре.</w:t>
            </w:r>
            <w:r w:rsidR="00ED20AA" w:rsidRPr="000A2AFE">
              <w:rPr>
                <w:rFonts w:ascii="Calibri Light" w:eastAsia="Times New Roman" w:hAnsi="Calibri Light" w:cs="Calibri Light"/>
                <w:color w:val="000000"/>
                <w:sz w:val="20"/>
                <w:szCs w:val="20"/>
                <w:lang w:eastAsia="en-GB"/>
              </w:rPr>
              <w:t xml:space="preserve"> </w:t>
            </w:r>
            <w:r w:rsidR="00C8663C" w:rsidRPr="000A2AFE">
              <w:rPr>
                <w:rFonts w:ascii="Calibri Light" w:eastAsia="Times New Roman" w:hAnsi="Calibri Light" w:cs="Calibri Light"/>
                <w:color w:val="000000"/>
                <w:sz w:val="20"/>
                <w:szCs w:val="20"/>
                <w:lang w:eastAsia="en-GB"/>
              </w:rPr>
              <w:t>Примењиваће</w:t>
            </w:r>
            <w:r w:rsidR="009C445C" w:rsidRPr="000A2AFE">
              <w:rPr>
                <w:rFonts w:ascii="Calibri Light" w:eastAsia="Times New Roman" w:hAnsi="Calibri Light" w:cs="Calibri Light"/>
                <w:color w:val="000000"/>
                <w:sz w:val="20"/>
                <w:szCs w:val="20"/>
                <w:lang w:eastAsia="en-GB"/>
              </w:rPr>
              <w:t xml:space="preserve"> се</w:t>
            </w:r>
            <w:r w:rsidRPr="000A2AFE">
              <w:rPr>
                <w:rFonts w:ascii="Calibri Light" w:eastAsia="Times New Roman" w:hAnsi="Calibri Light" w:cs="Calibri Light"/>
                <w:color w:val="000000"/>
                <w:sz w:val="20"/>
                <w:szCs w:val="20"/>
                <w:lang w:eastAsia="en-GB"/>
              </w:rPr>
              <w:t xml:space="preserve"> механизам праћења за</w:t>
            </w:r>
            <w:r w:rsidR="00C8663C" w:rsidRPr="000A2AFE">
              <w:rPr>
                <w:rFonts w:ascii="Calibri Light" w:eastAsia="Times New Roman" w:hAnsi="Calibri Light" w:cs="Calibri Light"/>
                <w:color w:val="000000"/>
                <w:sz w:val="20"/>
                <w:szCs w:val="20"/>
                <w:lang w:eastAsia="en-GB"/>
              </w:rPr>
              <w:t xml:space="preserve"> процену</w:t>
            </w:r>
            <w:r w:rsidRPr="000A2AFE">
              <w:rPr>
                <w:rFonts w:ascii="Calibri Light" w:eastAsia="Times New Roman" w:hAnsi="Calibri Light" w:cs="Calibri Light"/>
                <w:color w:val="000000"/>
                <w:sz w:val="20"/>
                <w:szCs w:val="20"/>
                <w:lang w:eastAsia="en-GB"/>
              </w:rPr>
              <w:t xml:space="preserve"> </w:t>
            </w:r>
            <w:r w:rsidR="009C445C" w:rsidRPr="000A2AFE">
              <w:rPr>
                <w:rFonts w:ascii="Calibri Light" w:eastAsia="Times New Roman" w:hAnsi="Calibri Light" w:cs="Calibri Light"/>
                <w:color w:val="000000"/>
                <w:sz w:val="20"/>
                <w:szCs w:val="20"/>
                <w:lang w:eastAsia="en-GB"/>
              </w:rPr>
              <w:t>пружене помоћи</w:t>
            </w:r>
            <w:r w:rsidRPr="000A2AFE">
              <w:rPr>
                <w:rFonts w:ascii="Calibri Light" w:eastAsia="Times New Roman" w:hAnsi="Calibri Light" w:cs="Calibri Light"/>
                <w:color w:val="000000"/>
                <w:sz w:val="20"/>
                <w:szCs w:val="20"/>
                <w:lang w:eastAsia="en-GB"/>
              </w:rPr>
              <w:t xml:space="preserve"> за сваку технологију обновљиве енергије, према развоју њихових трошкова и технолошким унапређењима, као и за </w:t>
            </w:r>
            <w:r w:rsidR="00C8663C" w:rsidRPr="000A2AFE">
              <w:rPr>
                <w:rFonts w:ascii="Calibri Light" w:eastAsia="Times New Roman" w:hAnsi="Calibri Light" w:cs="Calibri Light"/>
                <w:color w:val="000000"/>
                <w:sz w:val="20"/>
                <w:szCs w:val="20"/>
                <w:lang w:eastAsia="en-GB"/>
              </w:rPr>
              <w:t>оцењивање</w:t>
            </w:r>
            <w:r w:rsidRPr="000A2AFE">
              <w:rPr>
                <w:rFonts w:ascii="Calibri Light" w:eastAsia="Times New Roman" w:hAnsi="Calibri Light" w:cs="Calibri Light"/>
                <w:color w:val="000000"/>
                <w:sz w:val="20"/>
                <w:szCs w:val="20"/>
                <w:lang w:eastAsia="en-GB"/>
              </w:rPr>
              <w:t xml:space="preserve"> ефикасности предвиђених подстицаја. Подршка малим децентрализованим системима обновљиве енергије биће </w:t>
            </w:r>
            <w:r w:rsidR="009C445C" w:rsidRPr="000A2AFE">
              <w:rPr>
                <w:rFonts w:ascii="Calibri Light" w:eastAsia="Times New Roman" w:hAnsi="Calibri Light" w:cs="Calibri Light"/>
                <w:color w:val="000000"/>
                <w:sz w:val="20"/>
                <w:szCs w:val="20"/>
                <w:lang w:eastAsia="en-GB"/>
              </w:rPr>
              <w:t>осмишљена</w:t>
            </w:r>
            <w:r w:rsidRPr="000A2AFE">
              <w:rPr>
                <w:rFonts w:ascii="Calibri Light" w:eastAsia="Times New Roman" w:hAnsi="Calibri Light" w:cs="Calibri Light"/>
                <w:color w:val="000000"/>
                <w:sz w:val="20"/>
                <w:szCs w:val="20"/>
                <w:lang w:eastAsia="en-GB"/>
              </w:rPr>
              <w:t xml:space="preserve"> узима</w:t>
            </w:r>
            <w:r w:rsidR="00735842" w:rsidRPr="000A2AFE">
              <w:rPr>
                <w:rFonts w:ascii="Calibri Light" w:eastAsia="Times New Roman" w:hAnsi="Calibri Light" w:cs="Calibri Light"/>
                <w:color w:val="000000"/>
                <w:sz w:val="20"/>
                <w:szCs w:val="20"/>
                <w:lang w:eastAsia="en-GB"/>
              </w:rPr>
              <w:t>јући</w:t>
            </w:r>
            <w:r w:rsidRPr="000A2AFE">
              <w:rPr>
                <w:rFonts w:ascii="Calibri Light" w:eastAsia="Times New Roman" w:hAnsi="Calibri Light" w:cs="Calibri Light"/>
                <w:color w:val="000000"/>
                <w:sz w:val="20"/>
                <w:szCs w:val="20"/>
                <w:lang w:eastAsia="en-GB"/>
              </w:rPr>
              <w:t xml:space="preserve"> у обзир потенцијалне користи за електр</w:t>
            </w:r>
            <w:r w:rsidR="00C8663C" w:rsidRPr="000A2AFE">
              <w:rPr>
                <w:rFonts w:ascii="Calibri Light" w:eastAsia="Times New Roman" w:hAnsi="Calibri Light" w:cs="Calibri Light"/>
                <w:color w:val="000000"/>
                <w:sz w:val="20"/>
                <w:szCs w:val="20"/>
                <w:lang w:eastAsia="en-GB"/>
              </w:rPr>
              <w:t>оенергетске</w:t>
            </w:r>
            <w:r w:rsidRPr="000A2AFE">
              <w:rPr>
                <w:rFonts w:ascii="Calibri Light" w:eastAsia="Times New Roman" w:hAnsi="Calibri Light" w:cs="Calibri Light"/>
                <w:color w:val="000000"/>
                <w:sz w:val="20"/>
                <w:szCs w:val="20"/>
                <w:lang w:eastAsia="en-GB"/>
              </w:rPr>
              <w:t xml:space="preserve"> мреже</w:t>
            </w:r>
            <w:r w:rsidR="00D15869" w:rsidRPr="000A2AFE">
              <w:rPr>
                <w:rFonts w:ascii="Calibri Light" w:eastAsia="Times New Roman" w:hAnsi="Calibri Light" w:cs="Calibri Light"/>
                <w:color w:val="000000"/>
                <w:sz w:val="20"/>
                <w:szCs w:val="20"/>
                <w:lang w:eastAsia="en-GB"/>
              </w:rPr>
              <w:t>,</w:t>
            </w:r>
            <w:r w:rsidRPr="000A2AFE">
              <w:rPr>
                <w:rFonts w:ascii="Calibri Light" w:eastAsia="Times New Roman" w:hAnsi="Calibri Light" w:cs="Calibri Light"/>
                <w:color w:val="000000"/>
                <w:sz w:val="20"/>
                <w:szCs w:val="20"/>
                <w:lang w:eastAsia="en-GB"/>
              </w:rPr>
              <w:t xml:space="preserve"> </w:t>
            </w:r>
            <w:r w:rsidR="00D15869" w:rsidRPr="000A2AFE">
              <w:rPr>
                <w:rFonts w:ascii="Calibri Light" w:eastAsia="Times New Roman" w:hAnsi="Calibri Light" w:cs="Calibri Light"/>
                <w:color w:val="000000"/>
                <w:sz w:val="20"/>
                <w:szCs w:val="20"/>
                <w:lang w:eastAsia="en-GB"/>
              </w:rPr>
              <w:t>због</w:t>
            </w:r>
            <w:r w:rsidR="009C445C" w:rsidRPr="000A2AFE">
              <w:rPr>
                <w:rFonts w:ascii="Calibri Light" w:eastAsia="Times New Roman" w:hAnsi="Calibri Light" w:cs="Calibri Light"/>
                <w:color w:val="000000"/>
                <w:sz w:val="20"/>
                <w:szCs w:val="20"/>
                <w:lang w:eastAsia="en-GB"/>
              </w:rPr>
              <w:t xml:space="preserve"> избегнутих улагања у адаптацију, унапређење и проширење мреже</w:t>
            </w:r>
            <w:r w:rsidR="001D4D20" w:rsidRPr="000A2AFE">
              <w:rPr>
                <w:rFonts w:ascii="Calibri Light" w:eastAsia="Times New Roman" w:hAnsi="Calibri Light" w:cs="Calibri Light"/>
                <w:color w:val="000000"/>
                <w:sz w:val="20"/>
                <w:szCs w:val="20"/>
                <w:lang w:eastAsia="en-GB"/>
              </w:rPr>
              <w:t>, а подржаваће се и</w:t>
            </w:r>
            <w:r w:rsidRPr="000A2AFE">
              <w:rPr>
                <w:rFonts w:ascii="Calibri Light" w:eastAsia="Times New Roman" w:hAnsi="Calibri Light" w:cs="Calibri Light"/>
                <w:color w:val="000000"/>
                <w:sz w:val="20"/>
                <w:szCs w:val="20"/>
                <w:lang w:eastAsia="en-GB"/>
              </w:rPr>
              <w:t xml:space="preserve"> домаћинства као микроинвеститор</w:t>
            </w:r>
            <w:r w:rsidR="001D4D20" w:rsidRPr="000A2AFE">
              <w:rPr>
                <w:rFonts w:ascii="Calibri Light" w:eastAsia="Times New Roman" w:hAnsi="Calibri Light" w:cs="Calibri Light"/>
                <w:color w:val="000000"/>
                <w:sz w:val="20"/>
                <w:szCs w:val="20"/>
                <w:lang w:eastAsia="en-GB"/>
              </w:rPr>
              <w:t>и.</w:t>
            </w:r>
          </w:p>
          <w:p w14:paraId="5B45A1F0" w14:textId="77777777" w:rsidR="00854ADA" w:rsidRDefault="001D4D20" w:rsidP="00735842">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На крају, законодавни оквир </w:t>
            </w:r>
            <w:r w:rsidR="007661B8" w:rsidRPr="000A2AFE">
              <w:rPr>
                <w:rFonts w:ascii="Calibri Light" w:eastAsia="Times New Roman" w:hAnsi="Calibri Light" w:cs="Calibri Light"/>
                <w:color w:val="000000"/>
                <w:sz w:val="20"/>
                <w:szCs w:val="20"/>
                <w:lang w:eastAsia="en-GB"/>
              </w:rPr>
              <w:t>који се односи на</w:t>
            </w:r>
            <w:r w:rsidRPr="000A2AFE">
              <w:rPr>
                <w:rFonts w:ascii="Calibri Light" w:eastAsia="Times New Roman" w:hAnsi="Calibri Light" w:cs="Calibri Light"/>
                <w:color w:val="000000"/>
                <w:sz w:val="20"/>
                <w:szCs w:val="20"/>
                <w:lang w:eastAsia="en-GB"/>
              </w:rPr>
              <w:t xml:space="preserve"> закључење билатералних уговора </w:t>
            </w:r>
            <w:r w:rsidR="007661B8" w:rsidRPr="000A2AFE">
              <w:rPr>
                <w:rFonts w:ascii="Calibri Light" w:eastAsia="Times New Roman" w:hAnsi="Calibri Light" w:cs="Calibri Light"/>
                <w:color w:val="000000"/>
                <w:sz w:val="20"/>
                <w:szCs w:val="20"/>
                <w:lang w:eastAsia="en-GB"/>
              </w:rPr>
              <w:t>за</w:t>
            </w:r>
            <w:r w:rsidRPr="000A2AFE">
              <w:rPr>
                <w:rFonts w:ascii="Calibri Light" w:eastAsia="Times New Roman" w:hAnsi="Calibri Light" w:cs="Calibri Light"/>
                <w:color w:val="000000"/>
                <w:sz w:val="20"/>
                <w:szCs w:val="20"/>
                <w:lang w:eastAsia="en-GB"/>
              </w:rPr>
              <w:t xml:space="preserve"> </w:t>
            </w:r>
            <w:r w:rsidR="007661B8" w:rsidRPr="000A2AFE">
              <w:rPr>
                <w:rFonts w:ascii="Calibri Light" w:eastAsia="Times New Roman" w:hAnsi="Calibri Light" w:cs="Calibri Light"/>
                <w:color w:val="000000"/>
                <w:sz w:val="20"/>
                <w:szCs w:val="20"/>
                <w:lang w:eastAsia="en-GB"/>
              </w:rPr>
              <w:t xml:space="preserve">откуп електричне енергије из ОИЕ између снабдевача електричне енергије из ОИЕ и потрошача финалне енергије </w:t>
            </w:r>
            <w:r w:rsidR="003F54E6" w:rsidRPr="003F54E6">
              <w:rPr>
                <w:rFonts w:ascii="Calibri Light" w:eastAsia="Times New Roman" w:hAnsi="Calibri Light" w:cs="Calibri Light"/>
                <w:color w:val="000000"/>
                <w:sz w:val="20"/>
                <w:szCs w:val="20"/>
                <w:lang w:eastAsia="en-GB"/>
              </w:rPr>
              <w:t xml:space="preserve">ће бити завршен </w:t>
            </w:r>
            <w:r w:rsidR="007661B8" w:rsidRPr="000A2AFE">
              <w:rPr>
                <w:rFonts w:ascii="Calibri Light" w:eastAsia="Times New Roman" w:hAnsi="Calibri Light" w:cs="Calibri Light"/>
                <w:color w:val="000000"/>
                <w:sz w:val="20"/>
                <w:szCs w:val="20"/>
                <w:lang w:eastAsia="en-GB"/>
              </w:rPr>
              <w:t>у циљу да се произведена електрична енергија прода у унапред дефинисаном периоду, омогућ</w:t>
            </w:r>
            <w:r w:rsidR="003F54E6" w:rsidRPr="003F54E6">
              <w:rPr>
                <w:rFonts w:ascii="Calibri Light" w:eastAsia="Times New Roman" w:hAnsi="Calibri Light" w:cs="Calibri Light"/>
                <w:color w:val="000000"/>
                <w:sz w:val="20"/>
                <w:szCs w:val="20"/>
                <w:lang w:eastAsia="en-GB"/>
              </w:rPr>
              <w:t>авајући</w:t>
            </w:r>
            <w:r w:rsidR="007661B8" w:rsidRPr="000A2AFE">
              <w:rPr>
                <w:rFonts w:ascii="Calibri Light" w:eastAsia="Times New Roman" w:hAnsi="Calibri Light" w:cs="Calibri Light"/>
                <w:color w:val="000000"/>
                <w:sz w:val="20"/>
                <w:szCs w:val="20"/>
                <w:lang w:eastAsia="en-GB"/>
              </w:rPr>
              <w:t xml:space="preserve"> додатн</w:t>
            </w:r>
            <w:r w:rsidR="003F54E6">
              <w:rPr>
                <w:rFonts w:ascii="Calibri Light" w:eastAsia="Times New Roman" w:hAnsi="Calibri Light" w:cs="Calibri Light"/>
                <w:color w:val="000000"/>
                <w:sz w:val="20"/>
                <w:szCs w:val="20"/>
                <w:lang w:val="sr-Latn-RS" w:eastAsia="en-GB"/>
              </w:rPr>
              <w:t>o</w:t>
            </w:r>
            <w:r w:rsidR="007661B8" w:rsidRPr="000A2AFE">
              <w:rPr>
                <w:rFonts w:ascii="Calibri Light" w:eastAsia="Times New Roman" w:hAnsi="Calibri Light" w:cs="Calibri Light"/>
                <w:color w:val="000000"/>
                <w:sz w:val="20"/>
                <w:szCs w:val="20"/>
                <w:lang w:eastAsia="en-GB"/>
              </w:rPr>
              <w:t xml:space="preserve"> </w:t>
            </w:r>
            <w:r w:rsidR="003F54E6" w:rsidRPr="003F54E6">
              <w:rPr>
                <w:rFonts w:ascii="Calibri Light" w:eastAsia="Times New Roman" w:hAnsi="Calibri Light" w:cs="Calibri Light"/>
                <w:color w:val="000000"/>
                <w:sz w:val="20"/>
                <w:szCs w:val="20"/>
                <w:lang w:eastAsia="en-GB"/>
              </w:rPr>
              <w:t>коришћење</w:t>
            </w:r>
            <w:r w:rsidR="007661B8" w:rsidRPr="000A2AFE">
              <w:rPr>
                <w:rFonts w:ascii="Calibri Light" w:eastAsia="Times New Roman" w:hAnsi="Calibri Light" w:cs="Calibri Light"/>
                <w:color w:val="000000"/>
                <w:sz w:val="20"/>
                <w:szCs w:val="20"/>
                <w:lang w:eastAsia="en-GB"/>
              </w:rPr>
              <w:t xml:space="preserve"> енергије из обновљивих извора. </w:t>
            </w:r>
            <w:r w:rsidR="003F54E6" w:rsidRPr="003F54E6">
              <w:rPr>
                <w:rFonts w:ascii="Calibri Light" w:eastAsia="Times New Roman" w:hAnsi="Calibri Light" w:cs="Calibri Light"/>
                <w:color w:val="000000"/>
                <w:sz w:val="20"/>
                <w:szCs w:val="20"/>
                <w:lang w:eastAsia="en-GB"/>
              </w:rPr>
              <w:t>У том правцу, такође ће бити размотрени и циљани економски подстицаји за закључење уговора за откуп електричне енергије.</w:t>
            </w:r>
          </w:p>
          <w:p w14:paraId="07A110CF" w14:textId="36B365A2" w:rsidR="002A2F3E" w:rsidRDefault="00166AE0" w:rsidP="002A2F3E">
            <w:pPr>
              <w:spacing w:after="0" w:line="240" w:lineRule="auto"/>
              <w:jc w:val="both"/>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Поред тога</w:t>
            </w:r>
            <w:r w:rsidRPr="00166AE0">
              <w:rPr>
                <w:rFonts w:ascii="Calibri Light" w:eastAsia="Times New Roman" w:hAnsi="Calibri Light" w:cs="Calibri Light"/>
                <w:color w:val="000000"/>
                <w:sz w:val="20"/>
                <w:szCs w:val="20"/>
                <w:lang w:val="en-GB" w:eastAsia="en-GB"/>
              </w:rPr>
              <w:t xml:space="preserve">, </w:t>
            </w:r>
            <w:r>
              <w:rPr>
                <w:rFonts w:ascii="Calibri Light" w:eastAsia="Times New Roman" w:hAnsi="Calibri Light" w:cs="Calibri Light"/>
                <w:color w:val="000000"/>
                <w:sz w:val="20"/>
                <w:szCs w:val="20"/>
                <w:lang w:eastAsia="en-GB"/>
              </w:rPr>
              <w:t xml:space="preserve">биће развијени додатни алати како би се </w:t>
            </w:r>
            <w:r w:rsidR="00FC1C11">
              <w:rPr>
                <w:rFonts w:ascii="Calibri Light" w:eastAsia="Times New Roman" w:hAnsi="Calibri Light" w:cs="Calibri Light"/>
                <w:color w:val="000000"/>
                <w:sz w:val="20"/>
                <w:szCs w:val="20"/>
                <w:lang w:eastAsia="en-GB"/>
              </w:rPr>
              <w:t>омогућило закључивање уговора о откупу електричне енергије (нпр. платформе за уређење и праћење уговора, шаблони уговора, смернице, итд)</w:t>
            </w:r>
            <w:r w:rsidR="002A2F3E">
              <w:rPr>
                <w:rFonts w:ascii="Calibri Light" w:eastAsia="Times New Roman" w:hAnsi="Calibri Light" w:cs="Calibri Light"/>
                <w:color w:val="000000"/>
                <w:sz w:val="20"/>
                <w:szCs w:val="20"/>
                <w:lang w:eastAsia="en-GB"/>
              </w:rPr>
              <w:t xml:space="preserve"> и биће проширене </w:t>
            </w:r>
            <w:r w:rsidR="008C5CA0">
              <w:rPr>
                <w:rFonts w:ascii="Calibri Light" w:eastAsia="Times New Roman" w:hAnsi="Calibri Light" w:cs="Calibri Light"/>
                <w:color w:val="000000"/>
                <w:sz w:val="20"/>
                <w:szCs w:val="20"/>
                <w:lang w:eastAsia="en-GB"/>
              </w:rPr>
              <w:t xml:space="preserve">шеме гаранције </w:t>
            </w:r>
            <w:r w:rsidR="002A2F3E">
              <w:rPr>
                <w:rFonts w:ascii="Calibri Light" w:eastAsia="Times New Roman" w:hAnsi="Calibri Light" w:cs="Calibri Light"/>
                <w:color w:val="000000"/>
                <w:sz w:val="20"/>
                <w:szCs w:val="20"/>
                <w:lang w:eastAsia="en-GB"/>
              </w:rPr>
              <w:t>порекла с циљем обухватања ових уговора и</w:t>
            </w:r>
            <w:r w:rsidR="008C5CA0">
              <w:rPr>
                <w:rFonts w:ascii="Calibri Light" w:eastAsia="Times New Roman" w:hAnsi="Calibri Light" w:cs="Calibri Light"/>
                <w:color w:val="000000"/>
                <w:sz w:val="20"/>
                <w:szCs w:val="20"/>
                <w:lang w:eastAsia="en-GB"/>
              </w:rPr>
              <w:t xml:space="preserve"> </w:t>
            </w:r>
            <w:r w:rsidR="002A2F3E">
              <w:rPr>
                <w:rFonts w:ascii="Calibri Light" w:eastAsia="Times New Roman" w:hAnsi="Calibri Light" w:cs="Calibri Light"/>
                <w:color w:val="000000"/>
                <w:sz w:val="20"/>
                <w:szCs w:val="20"/>
                <w:lang w:eastAsia="en-GB"/>
              </w:rPr>
              <w:t>обезбеђивања додатног профита.</w:t>
            </w:r>
          </w:p>
          <w:p w14:paraId="3E053D43" w14:textId="1B4EBAEA" w:rsidR="00237354" w:rsidRPr="00FF386D" w:rsidRDefault="00166AE0" w:rsidP="002A2F3E">
            <w:pPr>
              <w:spacing w:after="0" w:line="240" w:lineRule="auto"/>
              <w:jc w:val="both"/>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На крају</w:t>
            </w:r>
            <w:r w:rsidR="00237354">
              <w:rPr>
                <w:rFonts w:ascii="Calibri Light" w:eastAsia="Times New Roman" w:hAnsi="Calibri Light" w:cs="Calibri Light"/>
                <w:color w:val="000000"/>
                <w:sz w:val="20"/>
                <w:szCs w:val="20"/>
                <w:lang w:eastAsia="en-GB"/>
              </w:rPr>
              <w:t xml:space="preserve">, потенцијалне регулаторне и административне препреке ће бити процењене како би се уклониле </w:t>
            </w:r>
            <w:r w:rsidR="003C21B6">
              <w:rPr>
                <w:rFonts w:ascii="Calibri Light" w:eastAsia="Times New Roman" w:hAnsi="Calibri Light" w:cs="Calibri Light"/>
                <w:color w:val="000000"/>
                <w:sz w:val="20"/>
                <w:szCs w:val="20"/>
                <w:lang w:eastAsia="en-GB"/>
              </w:rPr>
              <w:t>неоправдане препреке и унапредила несметана примена. На крају, али не и најмање важно, обезбедиће се да уговори за откуп електричне енергије из обновљивих извора не буду предмет диспропорционалних или дискриминаторних процедура или измена.</w:t>
            </w:r>
          </w:p>
        </w:tc>
      </w:tr>
      <w:tr w:rsidR="00854ADA" w:rsidRPr="00FF386D" w14:paraId="34C3A3C0"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69F55FC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056953E1" w14:textId="6B011EF3"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9C445C"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-2030.</w:t>
            </w:r>
          </w:p>
        </w:tc>
      </w:tr>
      <w:tr w:rsidR="00854ADA" w:rsidRPr="00FF386D" w14:paraId="43505E1F"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506DBB6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1CBABF7A" w14:textId="0F1EF8E4"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Инвестиције</w:t>
            </w:r>
            <w:r w:rsidR="009C445C" w:rsidRPr="00FF386D">
              <w:rPr>
                <w:rFonts w:ascii="Calibri Light" w:eastAsia="Times New Roman" w:hAnsi="Calibri Light" w:cs="Calibri Light"/>
                <w:color w:val="000000"/>
                <w:sz w:val="20"/>
                <w:szCs w:val="20"/>
                <w:lang w:eastAsia="en-GB"/>
              </w:rPr>
              <w:t>, регулаторна</w:t>
            </w:r>
          </w:p>
        </w:tc>
      </w:tr>
      <w:tr w:rsidR="00854ADA" w:rsidRPr="00FF386D" w14:paraId="0543A3C3"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7D37AAF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5BA5DE07"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Електроенергетика</w:t>
            </w:r>
          </w:p>
        </w:tc>
      </w:tr>
      <w:tr w:rsidR="00854ADA" w:rsidRPr="00FF386D" w14:paraId="07F348C8"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0EEE34E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63712DB4"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19AF8E02" w14:textId="77777777" w:rsidTr="0057310C">
        <w:trPr>
          <w:trHeight w:val="315"/>
        </w:trPr>
        <w:tc>
          <w:tcPr>
            <w:tcW w:w="3330" w:type="dxa"/>
            <w:tcBorders>
              <w:top w:val="nil"/>
              <w:left w:val="single" w:sz="8" w:space="0" w:color="auto"/>
              <w:bottom w:val="single" w:sz="8" w:space="0" w:color="auto"/>
              <w:right w:val="nil"/>
            </w:tcBorders>
            <w:shd w:val="clear" w:color="000000" w:fill="244062"/>
            <w:vAlign w:val="center"/>
            <w:hideMark/>
          </w:tcPr>
          <w:p w14:paraId="1B3BD3D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613A6E8A" w14:textId="77060094" w:rsidR="00854ADA" w:rsidRPr="000A2AFE" w:rsidRDefault="00364548"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330B44EE" w14:textId="77777777" w:rsidTr="0057310C">
        <w:trPr>
          <w:trHeight w:val="315"/>
        </w:trPr>
        <w:tc>
          <w:tcPr>
            <w:tcW w:w="3330" w:type="dxa"/>
            <w:tcBorders>
              <w:top w:val="nil"/>
              <w:left w:val="single" w:sz="8" w:space="0" w:color="auto"/>
              <w:bottom w:val="single" w:sz="8" w:space="0" w:color="auto"/>
              <w:right w:val="nil"/>
            </w:tcBorders>
            <w:shd w:val="clear" w:color="000000" w:fill="244062"/>
            <w:vAlign w:val="center"/>
            <w:hideMark/>
          </w:tcPr>
          <w:p w14:paraId="7EE7AF7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1942CEFB" w14:textId="77777777" w:rsidR="00854ADA" w:rsidRPr="000A2AFE" w:rsidRDefault="00854ADA"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Инсталисани капацитет и произведена електрична енергија из ОИЕ</w:t>
            </w:r>
          </w:p>
        </w:tc>
      </w:tr>
      <w:tr w:rsidR="00854ADA" w:rsidRPr="00FF386D" w14:paraId="095296D2" w14:textId="77777777" w:rsidTr="0057310C">
        <w:trPr>
          <w:trHeight w:val="417"/>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52603ED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tcPr>
          <w:p w14:paraId="65C94CC6" w14:textId="77777777" w:rsidR="00364548" w:rsidRDefault="00364548" w:rsidP="00364548">
            <w:pPr>
              <w:numPr>
                <w:ilvl w:val="0"/>
                <w:numId w:val="114"/>
              </w:numPr>
              <w:spacing w:after="0" w:line="240" w:lineRule="auto"/>
              <w:rPr>
                <w:rFonts w:ascii="Calibri Light" w:eastAsia="Times New Roman" w:hAnsi="Calibri Light" w:cs="Calibri Light"/>
                <w:color w:val="000000"/>
                <w:sz w:val="20"/>
                <w:szCs w:val="20"/>
                <w:lang w:eastAsia="en-GB"/>
              </w:rPr>
            </w:pPr>
            <w:r w:rsidRPr="00364548">
              <w:rPr>
                <w:rFonts w:ascii="Calibri Light" w:eastAsia="Times New Roman" w:hAnsi="Calibri Light" w:cs="Calibri Light"/>
                <w:color w:val="000000"/>
                <w:sz w:val="20"/>
                <w:szCs w:val="20"/>
                <w:lang w:eastAsia="en-GB"/>
              </w:rPr>
              <w:t>Енергетска ефикасност (промовисане технологије ОИЕ ће довести и до уштеде примарне енергије доприносећи постизању релевантних циљева)</w:t>
            </w:r>
          </w:p>
          <w:p w14:paraId="5156C864" w14:textId="784E717D" w:rsidR="00854ADA" w:rsidRPr="00FF386D" w:rsidRDefault="00364548" w:rsidP="000A2AFE">
            <w:pPr>
              <w:numPr>
                <w:ilvl w:val="0"/>
                <w:numId w:val="114"/>
              </w:numPr>
              <w:spacing w:after="0" w:line="240" w:lineRule="auto"/>
              <w:rPr>
                <w:rFonts w:ascii="Calibri Light" w:eastAsia="Times New Roman" w:hAnsi="Calibri Light" w:cs="Calibri Light"/>
                <w:color w:val="000000"/>
                <w:sz w:val="20"/>
                <w:szCs w:val="20"/>
                <w:lang w:eastAsia="en-GB"/>
              </w:rPr>
            </w:pPr>
            <w:r w:rsidRPr="00364548">
              <w:rPr>
                <w:rFonts w:ascii="Calibri Light" w:eastAsia="Times New Roman" w:hAnsi="Calibri Light" w:cs="Calibri Light"/>
                <w:color w:val="000000"/>
                <w:sz w:val="20"/>
                <w:szCs w:val="20"/>
                <w:lang w:eastAsia="en-GB"/>
              </w:rPr>
              <w:lastRenderedPageBreak/>
              <w:t>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854ADA" w:rsidRPr="00FF386D" w14:paraId="35DF5D27" w14:textId="77777777" w:rsidTr="0057310C">
        <w:trPr>
          <w:trHeight w:val="450"/>
        </w:trPr>
        <w:tc>
          <w:tcPr>
            <w:tcW w:w="3330"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4070BEBF" w14:textId="2E617600"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28"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405271AA"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2018/2001/ЕУ</w:t>
            </w:r>
          </w:p>
        </w:tc>
      </w:tr>
      <w:tr w:rsidR="00854ADA" w:rsidRPr="00FF386D" w14:paraId="19663D44" w14:textId="77777777" w:rsidTr="0057310C">
        <w:trPr>
          <w:trHeight w:val="450"/>
        </w:trPr>
        <w:tc>
          <w:tcPr>
            <w:tcW w:w="3330" w:type="dxa"/>
            <w:vMerge/>
            <w:tcBorders>
              <w:top w:val="nil"/>
              <w:left w:val="single" w:sz="8" w:space="0" w:color="auto"/>
              <w:bottom w:val="single" w:sz="8" w:space="0" w:color="000000"/>
              <w:right w:val="single" w:sz="8" w:space="0" w:color="auto"/>
            </w:tcBorders>
            <w:vAlign w:val="center"/>
            <w:hideMark/>
          </w:tcPr>
          <w:p w14:paraId="5505653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8" w:type="dxa"/>
            <w:gridSpan w:val="3"/>
            <w:vMerge/>
            <w:tcBorders>
              <w:top w:val="single" w:sz="8" w:space="0" w:color="auto"/>
              <w:left w:val="single" w:sz="8" w:space="0" w:color="auto"/>
              <w:bottom w:val="single" w:sz="8" w:space="0" w:color="000000"/>
              <w:right w:val="single" w:sz="8" w:space="0" w:color="000000"/>
            </w:tcBorders>
            <w:vAlign w:val="center"/>
            <w:hideMark/>
          </w:tcPr>
          <w:p w14:paraId="4B085308"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6AE24015" w14:textId="77777777" w:rsidTr="0057310C">
        <w:trPr>
          <w:trHeight w:val="450"/>
        </w:trPr>
        <w:tc>
          <w:tcPr>
            <w:tcW w:w="3330" w:type="dxa"/>
            <w:vMerge/>
            <w:tcBorders>
              <w:top w:val="nil"/>
              <w:left w:val="single" w:sz="8" w:space="0" w:color="auto"/>
              <w:bottom w:val="single" w:sz="8" w:space="0" w:color="000000"/>
              <w:right w:val="single" w:sz="8" w:space="0" w:color="auto"/>
            </w:tcBorders>
            <w:vAlign w:val="center"/>
            <w:hideMark/>
          </w:tcPr>
          <w:p w14:paraId="024907A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8" w:type="dxa"/>
            <w:gridSpan w:val="3"/>
            <w:vMerge/>
            <w:tcBorders>
              <w:top w:val="single" w:sz="8" w:space="0" w:color="auto"/>
              <w:left w:val="single" w:sz="8" w:space="0" w:color="auto"/>
              <w:bottom w:val="single" w:sz="8" w:space="0" w:color="000000"/>
              <w:right w:val="single" w:sz="8" w:space="0" w:color="000000"/>
            </w:tcBorders>
            <w:vAlign w:val="center"/>
            <w:hideMark/>
          </w:tcPr>
          <w:p w14:paraId="46B6B8F4"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14D375D2" w14:textId="77777777" w:rsidTr="0057310C">
        <w:trPr>
          <w:trHeight w:val="323"/>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04C1558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32AD14D5" w14:textId="1492F74C"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Закон о </w:t>
            </w:r>
            <w:r w:rsidR="009C445C" w:rsidRPr="00FF386D">
              <w:rPr>
                <w:rFonts w:ascii="Calibri Light" w:eastAsia="Times New Roman" w:hAnsi="Calibri Light" w:cs="Calibri Light"/>
                <w:color w:val="000000"/>
                <w:sz w:val="20"/>
                <w:szCs w:val="20"/>
                <w:lang w:eastAsia="en-GB"/>
              </w:rPr>
              <w:t>енергетици</w:t>
            </w:r>
          </w:p>
          <w:p w14:paraId="07F9CA53" w14:textId="1D8B2AB5" w:rsidR="009C445C" w:rsidRPr="00FF386D" w:rsidRDefault="009C445C"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коришћењу обновљивих извора енергије</w:t>
            </w:r>
          </w:p>
        </w:tc>
      </w:tr>
      <w:tr w:rsidR="00854ADA" w:rsidRPr="00FF386D" w14:paraId="768184F5"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0F5BBE7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4DA60E5B" w14:textId="5EE6534E" w:rsidR="00854ADA" w:rsidRPr="00FF386D" w:rsidRDefault="009C445C" w:rsidP="00854ADA">
            <w:pPr>
              <w:spacing w:after="0" w:line="240" w:lineRule="auto"/>
              <w:rPr>
                <w:rFonts w:ascii="Calibri" w:eastAsia="Times New Roman" w:hAnsi="Calibri" w:cs="Calibri"/>
                <w:color w:val="000000"/>
                <w:sz w:val="20"/>
                <w:szCs w:val="20"/>
                <w:lang w:eastAsia="en-GB"/>
              </w:rPr>
            </w:pPr>
            <w:r w:rsidRPr="00FF386D">
              <w:rPr>
                <w:rFonts w:ascii="Calibri Light" w:eastAsia="Times New Roman" w:hAnsi="Calibri Light" w:cs="Calibri Light"/>
                <w:color w:val="000000"/>
                <w:sz w:val="20"/>
                <w:szCs w:val="20"/>
                <w:lang w:eastAsia="en-GB"/>
              </w:rPr>
              <w:t xml:space="preserve">0,7 </w:t>
            </w:r>
            <w:r w:rsidR="00854ADA" w:rsidRPr="00FF386D">
              <w:rPr>
                <w:rFonts w:ascii="Calibri Light" w:eastAsia="Times New Roman" w:hAnsi="Calibri Light" w:cs="Calibri Light"/>
                <w:color w:val="000000"/>
                <w:sz w:val="20"/>
                <w:szCs w:val="20"/>
                <w:lang w:eastAsia="en-GB"/>
              </w:rPr>
              <w:t>милијарди евра</w:t>
            </w:r>
          </w:p>
        </w:tc>
      </w:tr>
      <w:tr w:rsidR="00854ADA" w:rsidRPr="00FF386D" w14:paraId="57988460"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61D6AB4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0375C1CD" w14:textId="4BDC525C" w:rsidR="00854ADA" w:rsidRPr="00FF386D" w:rsidRDefault="00854ADA" w:rsidP="00854ADA">
            <w:pPr>
              <w:spacing w:after="0" w:line="240" w:lineRule="auto"/>
              <w:rPr>
                <w:rFonts w:ascii="Calibri" w:eastAsia="Times New Roman" w:hAnsi="Calibri" w:cs="Calibri"/>
                <w:color w:val="000000"/>
                <w:sz w:val="20"/>
                <w:szCs w:val="2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9C445C" w:rsidRPr="00FF386D">
              <w:rPr>
                <w:rFonts w:asciiTheme="majorHAnsi" w:eastAsia="Times New Roman" w:hAnsiTheme="majorHAnsi" w:cstheme="majorHAnsi"/>
                <w:color w:val="000000"/>
                <w:sz w:val="20"/>
                <w:szCs w:val="20"/>
                <w:lang w:eastAsia="en-GB"/>
              </w:rPr>
              <w:t xml:space="preserve">ска </w:t>
            </w:r>
            <w:r w:rsidRPr="00FF386D">
              <w:rPr>
                <w:rFonts w:asciiTheme="majorHAnsi" w:eastAsia="Times New Roman" w:hAnsiTheme="majorHAnsi" w:cstheme="majorHAnsi"/>
                <w:color w:val="000000"/>
                <w:sz w:val="20"/>
                <w:szCs w:val="20"/>
                <w:lang w:eastAsia="en-GB"/>
              </w:rPr>
              <w:t>и сопствена средства</w:t>
            </w:r>
          </w:p>
        </w:tc>
      </w:tr>
    </w:tbl>
    <w:p w14:paraId="111B4BD7"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29"/>
        <w:gridCol w:w="940"/>
        <w:gridCol w:w="946"/>
        <w:gridCol w:w="4243"/>
      </w:tblGrid>
      <w:tr w:rsidR="00854ADA" w:rsidRPr="00FF386D" w14:paraId="1F4B0E8E" w14:textId="77777777" w:rsidTr="0057310C">
        <w:trPr>
          <w:trHeight w:val="780"/>
        </w:trPr>
        <w:tc>
          <w:tcPr>
            <w:tcW w:w="3329"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5F393F56"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40" w:type="dxa"/>
            <w:tcBorders>
              <w:top w:val="single" w:sz="8" w:space="0" w:color="auto"/>
              <w:left w:val="nil"/>
              <w:bottom w:val="single" w:sz="8" w:space="0" w:color="auto"/>
              <w:right w:val="single" w:sz="8" w:space="0" w:color="auto"/>
            </w:tcBorders>
            <w:shd w:val="clear" w:color="auto" w:fill="E7E6E6" w:themeFill="background2"/>
            <w:vAlign w:val="center"/>
            <w:hideMark/>
          </w:tcPr>
          <w:p w14:paraId="323FA3FB"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МП_Д22</w:t>
            </w:r>
          </w:p>
        </w:tc>
        <w:tc>
          <w:tcPr>
            <w:tcW w:w="946" w:type="dxa"/>
            <w:tcBorders>
              <w:top w:val="single" w:sz="8" w:space="0" w:color="auto"/>
              <w:left w:val="nil"/>
              <w:bottom w:val="single" w:sz="8" w:space="0" w:color="auto"/>
              <w:right w:val="single" w:sz="8" w:space="0" w:color="auto"/>
            </w:tcBorders>
            <w:shd w:val="clear" w:color="000000" w:fill="244062"/>
            <w:vAlign w:val="center"/>
            <w:hideMark/>
          </w:tcPr>
          <w:p w14:paraId="4E82909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43" w:type="dxa"/>
            <w:tcBorders>
              <w:top w:val="single" w:sz="8" w:space="0" w:color="auto"/>
              <w:left w:val="nil"/>
              <w:bottom w:val="single" w:sz="8" w:space="0" w:color="auto"/>
              <w:right w:val="single" w:sz="8" w:space="0" w:color="auto"/>
            </w:tcBorders>
            <w:shd w:val="clear" w:color="auto" w:fill="E7E6E6" w:themeFill="background2"/>
            <w:vAlign w:val="center"/>
            <w:hideMark/>
          </w:tcPr>
          <w:p w14:paraId="01F140AE"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Пружање економске подршке иновативним и демонстрационим пилот пројектима ОИЕ</w:t>
            </w:r>
          </w:p>
        </w:tc>
      </w:tr>
      <w:tr w:rsidR="00854ADA" w:rsidRPr="00FF386D" w14:paraId="30AD3AA0" w14:textId="77777777" w:rsidTr="0057310C">
        <w:trPr>
          <w:trHeight w:val="357"/>
        </w:trPr>
        <w:tc>
          <w:tcPr>
            <w:tcW w:w="3329" w:type="dxa"/>
            <w:tcBorders>
              <w:top w:val="nil"/>
              <w:left w:val="single" w:sz="8" w:space="0" w:color="auto"/>
              <w:bottom w:val="single" w:sz="8" w:space="0" w:color="auto"/>
              <w:right w:val="nil"/>
            </w:tcBorders>
            <w:shd w:val="clear" w:color="000000" w:fill="244062"/>
            <w:vAlign w:val="center"/>
            <w:hideMark/>
          </w:tcPr>
          <w:p w14:paraId="1D7A320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73DE4295"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Повећање удела ОИЕ у производњи електричне енергије</w:t>
            </w:r>
          </w:p>
        </w:tc>
      </w:tr>
      <w:tr w:rsidR="00854ADA" w:rsidRPr="00FF386D" w14:paraId="576AC5EF"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00AEE69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50D0055E" w14:textId="77777777" w:rsidR="00854ADA" w:rsidRPr="00FF386D" w:rsidRDefault="00854ADA" w:rsidP="00854ADA">
            <w:pPr>
              <w:spacing w:after="0" w:line="240" w:lineRule="auto"/>
              <w:rPr>
                <w:rFonts w:ascii="Calibri" w:eastAsia="Times New Roman" w:hAnsi="Calibri" w:cs="Calibri"/>
                <w:color w:val="000000"/>
                <w:sz w:val="20"/>
                <w:szCs w:val="20"/>
                <w:lang w:eastAsia="en-GB"/>
              </w:rPr>
            </w:pPr>
            <w:r w:rsidRPr="00FF386D">
              <w:rPr>
                <w:rFonts w:asciiTheme="majorHAnsi" w:eastAsia="Times New Roman" w:hAnsiTheme="majorHAnsi" w:cstheme="majorHAnsi"/>
                <w:color w:val="000000"/>
                <w:sz w:val="20"/>
                <w:szCs w:val="20"/>
                <w:lang w:eastAsia="en-GB"/>
              </w:rPr>
              <w:t>Допринос мери МП_Д21</w:t>
            </w:r>
          </w:p>
        </w:tc>
      </w:tr>
      <w:tr w:rsidR="00854ADA" w:rsidRPr="00FF386D" w14:paraId="20519F33" w14:textId="77777777" w:rsidTr="0057310C">
        <w:trPr>
          <w:trHeight w:val="1594"/>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36383E8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26C2F584" w14:textId="1DD64031" w:rsidR="00854ADA" w:rsidRPr="00FF386D" w:rsidRDefault="00854ADA" w:rsidP="00ED20A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МП_Д22 ће о</w:t>
            </w:r>
            <w:r w:rsidR="002502F4" w:rsidRPr="000A2AFE">
              <w:rPr>
                <w:rFonts w:ascii="Calibri Light" w:eastAsia="Times New Roman" w:hAnsi="Calibri Light" w:cs="Calibri Light"/>
                <w:color w:val="000000"/>
                <w:sz w:val="20"/>
                <w:szCs w:val="20"/>
                <w:lang w:eastAsia="en-GB"/>
              </w:rPr>
              <w:t>безбедити</w:t>
            </w:r>
            <w:r w:rsidRPr="000A2AFE">
              <w:rPr>
                <w:rFonts w:ascii="Calibri Light" w:eastAsia="Times New Roman" w:hAnsi="Calibri Light" w:cs="Calibri Light"/>
                <w:color w:val="000000"/>
                <w:sz w:val="20"/>
                <w:szCs w:val="20"/>
                <w:lang w:eastAsia="en-GB"/>
              </w:rPr>
              <w:t xml:space="preserve"> финансијске и фискалне подстицаје, као што су по</w:t>
            </w:r>
            <w:r w:rsidR="002502F4" w:rsidRPr="000A2AFE">
              <w:rPr>
                <w:rFonts w:ascii="Calibri Light" w:eastAsia="Times New Roman" w:hAnsi="Calibri Light" w:cs="Calibri Light"/>
                <w:color w:val="000000"/>
                <w:sz w:val="20"/>
                <w:szCs w:val="20"/>
                <w:lang w:eastAsia="en-GB"/>
              </w:rPr>
              <w:t>д</w:t>
            </w:r>
            <w:r w:rsidR="00760B1E" w:rsidRPr="000A2AFE">
              <w:rPr>
                <w:rFonts w:ascii="Calibri Light" w:eastAsia="Times New Roman" w:hAnsi="Calibri Light" w:cs="Calibri Light"/>
                <w:color w:val="000000"/>
                <w:sz w:val="20"/>
                <w:szCs w:val="20"/>
                <w:lang w:eastAsia="en-GB"/>
              </w:rPr>
              <w:t>стицаји</w:t>
            </w:r>
            <w:r w:rsidR="002502F4" w:rsidRPr="000A2AFE">
              <w:rPr>
                <w:rFonts w:ascii="Calibri Light" w:eastAsia="Times New Roman" w:hAnsi="Calibri Light" w:cs="Calibri Light"/>
                <w:color w:val="000000"/>
                <w:sz w:val="20"/>
                <w:szCs w:val="20"/>
                <w:lang w:eastAsia="en-GB"/>
              </w:rPr>
              <w:t xml:space="preserve"> за</w:t>
            </w:r>
            <w:r w:rsidRPr="000A2AFE">
              <w:rPr>
                <w:rFonts w:ascii="Calibri Light" w:eastAsia="Times New Roman" w:hAnsi="Calibri Light" w:cs="Calibri Light"/>
                <w:color w:val="000000"/>
                <w:sz w:val="20"/>
                <w:szCs w:val="20"/>
                <w:lang w:eastAsia="en-GB"/>
              </w:rPr>
              <w:t xml:space="preserve"> инвестициј</w:t>
            </w:r>
            <w:r w:rsidR="002502F4" w:rsidRPr="000A2AFE">
              <w:rPr>
                <w:rFonts w:ascii="Calibri Light" w:eastAsia="Times New Roman" w:hAnsi="Calibri Light" w:cs="Calibri Light"/>
                <w:color w:val="000000"/>
                <w:sz w:val="20"/>
                <w:szCs w:val="20"/>
                <w:lang w:eastAsia="en-GB"/>
              </w:rPr>
              <w:t>е</w:t>
            </w:r>
            <w:r w:rsidRPr="000A2AFE">
              <w:rPr>
                <w:rFonts w:ascii="Calibri Light" w:eastAsia="Times New Roman" w:hAnsi="Calibri Light" w:cs="Calibri Light"/>
                <w:color w:val="000000"/>
                <w:sz w:val="20"/>
                <w:szCs w:val="20"/>
                <w:lang w:eastAsia="en-GB"/>
              </w:rPr>
              <w:t>, пореске олакшице или умањења</w:t>
            </w:r>
            <w:r w:rsidR="002502F4" w:rsidRPr="000A2AFE">
              <w:rPr>
                <w:rFonts w:ascii="Calibri Light" w:eastAsia="Times New Roman" w:hAnsi="Calibri Light" w:cs="Calibri Light"/>
                <w:color w:val="000000"/>
                <w:sz w:val="20"/>
                <w:szCs w:val="20"/>
                <w:lang w:eastAsia="en-GB"/>
              </w:rPr>
              <w:t xml:space="preserve"> и</w:t>
            </w:r>
            <w:r w:rsidRPr="000A2AFE">
              <w:rPr>
                <w:rFonts w:ascii="Calibri Light" w:eastAsia="Times New Roman" w:hAnsi="Calibri Light" w:cs="Calibri Light"/>
                <w:color w:val="000000"/>
                <w:sz w:val="20"/>
                <w:szCs w:val="20"/>
                <w:lang w:eastAsia="en-GB"/>
              </w:rPr>
              <w:t xml:space="preserve"> повраћај пореза </w:t>
            </w:r>
            <w:r w:rsidR="002502F4" w:rsidRPr="000A2AFE">
              <w:rPr>
                <w:rFonts w:ascii="Calibri Light" w:eastAsia="Times New Roman" w:hAnsi="Calibri Light" w:cs="Calibri Light"/>
                <w:color w:val="000000"/>
                <w:sz w:val="20"/>
                <w:szCs w:val="20"/>
                <w:lang w:eastAsia="en-GB"/>
              </w:rPr>
              <w:t>за</w:t>
            </w:r>
            <w:r w:rsidRPr="000A2AFE">
              <w:rPr>
                <w:rFonts w:ascii="Calibri Light" w:eastAsia="Times New Roman" w:hAnsi="Calibri Light" w:cs="Calibri Light"/>
                <w:color w:val="000000"/>
                <w:sz w:val="20"/>
                <w:szCs w:val="20"/>
                <w:lang w:eastAsia="en-GB"/>
              </w:rPr>
              <w:t xml:space="preserve"> иновативне и демонстрационе пројекте, </w:t>
            </w:r>
            <w:r w:rsidR="002502F4" w:rsidRPr="000A2AFE">
              <w:rPr>
                <w:rFonts w:ascii="Calibri Light" w:eastAsia="Times New Roman" w:hAnsi="Calibri Light" w:cs="Calibri Light"/>
                <w:color w:val="000000"/>
                <w:sz w:val="20"/>
                <w:szCs w:val="20"/>
                <w:lang w:eastAsia="en-GB"/>
              </w:rPr>
              <w:t xml:space="preserve">под условом да </w:t>
            </w:r>
            <w:r w:rsidR="00760B1E" w:rsidRPr="000A2AFE">
              <w:rPr>
                <w:rFonts w:ascii="Calibri Light" w:eastAsia="Times New Roman" w:hAnsi="Calibri Light" w:cs="Calibri Light"/>
                <w:color w:val="000000"/>
                <w:sz w:val="20"/>
                <w:szCs w:val="20"/>
                <w:lang w:eastAsia="en-GB"/>
              </w:rPr>
              <w:t xml:space="preserve">ти пројекти </w:t>
            </w:r>
            <w:r w:rsidR="002502F4" w:rsidRPr="000A2AFE">
              <w:rPr>
                <w:rFonts w:ascii="Calibri Light" w:eastAsia="Times New Roman" w:hAnsi="Calibri Light" w:cs="Calibri Light"/>
                <w:color w:val="000000"/>
                <w:sz w:val="20"/>
                <w:szCs w:val="20"/>
                <w:lang w:eastAsia="en-GB"/>
              </w:rPr>
              <w:t>могу да до</w:t>
            </w:r>
            <w:r w:rsidR="00ED20AA" w:rsidRPr="000A2AFE">
              <w:rPr>
                <w:rFonts w:ascii="Calibri Light" w:eastAsia="Times New Roman" w:hAnsi="Calibri Light" w:cs="Calibri Light"/>
                <w:color w:val="000000"/>
                <w:sz w:val="20"/>
                <w:szCs w:val="20"/>
                <w:lang w:eastAsia="en-GB"/>
              </w:rPr>
              <w:t>принесу значајном</w:t>
            </w:r>
            <w:r w:rsidR="002502F4" w:rsidRPr="000A2AFE">
              <w:rPr>
                <w:rFonts w:ascii="Calibri Light" w:eastAsia="Times New Roman" w:hAnsi="Calibri Light" w:cs="Calibri Light"/>
                <w:color w:val="000000"/>
                <w:sz w:val="20"/>
                <w:szCs w:val="20"/>
                <w:lang w:eastAsia="en-GB"/>
              </w:rPr>
              <w:t xml:space="preserve"> повећањ</w:t>
            </w:r>
            <w:r w:rsidR="00ED20AA" w:rsidRPr="000A2AFE">
              <w:rPr>
                <w:rFonts w:ascii="Calibri Light" w:eastAsia="Times New Roman" w:hAnsi="Calibri Light" w:cs="Calibri Light"/>
                <w:color w:val="000000"/>
                <w:sz w:val="20"/>
                <w:szCs w:val="20"/>
                <w:lang w:eastAsia="en-GB"/>
              </w:rPr>
              <w:t>у</w:t>
            </w:r>
            <w:r w:rsidR="002502F4" w:rsidRPr="000A2AFE">
              <w:rPr>
                <w:rFonts w:ascii="Calibri Light" w:eastAsia="Times New Roman" w:hAnsi="Calibri Light" w:cs="Calibri Light"/>
                <w:color w:val="000000"/>
                <w:sz w:val="20"/>
                <w:szCs w:val="20"/>
                <w:lang w:eastAsia="en-GB"/>
              </w:rPr>
              <w:t xml:space="preserve"> додате вредности на републичком нивоу и задовоље велике потребе за енергијом на локалном нивоу</w:t>
            </w:r>
            <w:r w:rsidR="00ED20AA" w:rsidRPr="000A2AFE">
              <w:rPr>
                <w:rFonts w:ascii="Calibri Light" w:eastAsia="Times New Roman" w:hAnsi="Calibri Light" w:cs="Calibri Light"/>
                <w:color w:val="000000"/>
                <w:sz w:val="20"/>
                <w:szCs w:val="20"/>
                <w:lang w:eastAsia="en-GB"/>
              </w:rPr>
              <w:t xml:space="preserve">. Инсталација плутајућих фотонапонских електрана и вертикалних ветротурбина, подстицање малих ветротурбина, изградња концентрисаних соларних електрана и развој унапређених геотермалних система </w:t>
            </w:r>
            <w:r w:rsidR="00760B1E" w:rsidRPr="000A2AFE">
              <w:rPr>
                <w:rFonts w:ascii="Calibri Light" w:eastAsia="Times New Roman" w:hAnsi="Calibri Light" w:cs="Calibri Light"/>
                <w:color w:val="000000"/>
                <w:sz w:val="20"/>
                <w:szCs w:val="20"/>
                <w:lang w:eastAsia="en-GB"/>
              </w:rPr>
              <w:t>чине</w:t>
            </w:r>
            <w:r w:rsidR="00ED20AA" w:rsidRPr="000A2AFE">
              <w:rPr>
                <w:rFonts w:ascii="Calibri Light" w:eastAsia="Times New Roman" w:hAnsi="Calibri Light" w:cs="Calibri Light"/>
                <w:color w:val="000000"/>
                <w:sz w:val="20"/>
                <w:szCs w:val="20"/>
                <w:lang w:eastAsia="en-GB"/>
              </w:rPr>
              <w:t xml:space="preserve"> оквирну листу иновативних и демонстрационих пилот пројеката које треба размотрити. </w:t>
            </w:r>
            <w:r w:rsidRPr="000A2AFE">
              <w:rPr>
                <w:rFonts w:ascii="Calibri Light" w:eastAsia="Times New Roman" w:hAnsi="Calibri Light" w:cs="Calibri Light"/>
                <w:color w:val="000000"/>
                <w:sz w:val="20"/>
                <w:szCs w:val="20"/>
                <w:lang w:eastAsia="en-GB"/>
              </w:rPr>
              <w:t>Подршка малим децентрализованим системима обновљиве енергије ће такође бити разматрана узимајући у обзир потенцијалне користи за електр</w:t>
            </w:r>
            <w:r w:rsidR="00760B1E" w:rsidRPr="000A2AFE">
              <w:rPr>
                <w:rFonts w:ascii="Calibri Light" w:eastAsia="Times New Roman" w:hAnsi="Calibri Light" w:cs="Calibri Light"/>
                <w:color w:val="000000"/>
                <w:sz w:val="20"/>
                <w:szCs w:val="20"/>
                <w:lang w:eastAsia="en-GB"/>
              </w:rPr>
              <w:t>оенергетске</w:t>
            </w:r>
            <w:r w:rsidRPr="000A2AFE">
              <w:rPr>
                <w:rFonts w:ascii="Calibri Light" w:eastAsia="Times New Roman" w:hAnsi="Calibri Light" w:cs="Calibri Light"/>
                <w:color w:val="000000"/>
                <w:sz w:val="20"/>
                <w:szCs w:val="20"/>
                <w:lang w:eastAsia="en-GB"/>
              </w:rPr>
              <w:t xml:space="preserve"> мреже.</w:t>
            </w:r>
          </w:p>
        </w:tc>
      </w:tr>
      <w:tr w:rsidR="00854ADA" w:rsidRPr="00FF386D" w14:paraId="51F5F7E8"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76551D9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3A5E6282" w14:textId="6EBAEF53"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C8663C"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-2030.</w:t>
            </w:r>
          </w:p>
        </w:tc>
      </w:tr>
      <w:tr w:rsidR="00854ADA" w:rsidRPr="00FF386D" w14:paraId="6EF026DB"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6434619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48909D52"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Инвестиције</w:t>
            </w:r>
          </w:p>
        </w:tc>
      </w:tr>
      <w:tr w:rsidR="00854ADA" w:rsidRPr="00FF386D" w14:paraId="7A7DA300"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0E0F981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074B9AC8"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Електроенергетика</w:t>
            </w:r>
          </w:p>
        </w:tc>
      </w:tr>
      <w:tr w:rsidR="00854ADA" w:rsidRPr="00FF386D" w14:paraId="4DDF2F55"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40E3279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6573B289"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рударства и енергетике</w:t>
            </w:r>
          </w:p>
          <w:p w14:paraId="7DD4CFF1"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финансија</w:t>
            </w:r>
          </w:p>
          <w:p w14:paraId="22951F51" w14:textId="316A73C9" w:rsidR="00C8663C" w:rsidRPr="00FF386D" w:rsidRDefault="00C8663C"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науке технолошког развоја и иновација</w:t>
            </w:r>
          </w:p>
        </w:tc>
      </w:tr>
      <w:tr w:rsidR="00854ADA" w:rsidRPr="00FF386D" w14:paraId="046BCF1B" w14:textId="77777777" w:rsidTr="0057310C">
        <w:trPr>
          <w:trHeight w:val="315"/>
        </w:trPr>
        <w:tc>
          <w:tcPr>
            <w:tcW w:w="3329" w:type="dxa"/>
            <w:tcBorders>
              <w:top w:val="nil"/>
              <w:left w:val="single" w:sz="8" w:space="0" w:color="auto"/>
              <w:bottom w:val="single" w:sz="8" w:space="0" w:color="auto"/>
              <w:right w:val="nil"/>
            </w:tcBorders>
            <w:shd w:val="clear" w:color="000000" w:fill="244062"/>
            <w:vAlign w:val="center"/>
            <w:hideMark/>
          </w:tcPr>
          <w:p w14:paraId="06279F9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3922BAFA" w14:textId="32631E58" w:rsidR="00854ADA" w:rsidRPr="000A2AFE" w:rsidRDefault="00364548" w:rsidP="000A2AFE">
            <w:pPr>
              <w:pStyle w:val="ListParagraph"/>
              <w:numPr>
                <w:ilvl w:val="0"/>
                <w:numId w:val="323"/>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15D9EBFB" w14:textId="77777777" w:rsidTr="0057310C">
        <w:trPr>
          <w:trHeight w:val="315"/>
        </w:trPr>
        <w:tc>
          <w:tcPr>
            <w:tcW w:w="3329" w:type="dxa"/>
            <w:tcBorders>
              <w:top w:val="nil"/>
              <w:left w:val="single" w:sz="8" w:space="0" w:color="auto"/>
              <w:bottom w:val="single" w:sz="8" w:space="0" w:color="auto"/>
              <w:right w:val="nil"/>
            </w:tcBorders>
            <w:shd w:val="clear" w:color="000000" w:fill="244062"/>
            <w:vAlign w:val="center"/>
            <w:hideMark/>
          </w:tcPr>
          <w:p w14:paraId="36F500D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702D5319" w14:textId="77777777" w:rsidR="00854ADA" w:rsidRPr="000A2AFE" w:rsidRDefault="00854ADA" w:rsidP="000A2AFE">
            <w:pPr>
              <w:pStyle w:val="ListParagraph"/>
              <w:numPr>
                <w:ilvl w:val="0"/>
                <w:numId w:val="323"/>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Инсталисани капацитет и произведена електрична енергија из ОИЕ</w:t>
            </w:r>
          </w:p>
        </w:tc>
      </w:tr>
      <w:tr w:rsidR="00854ADA" w:rsidRPr="00FF386D" w14:paraId="2270FC54" w14:textId="77777777" w:rsidTr="0057310C">
        <w:trPr>
          <w:trHeight w:val="291"/>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643EC67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tcPr>
          <w:p w14:paraId="465B3D8B" w14:textId="77777777" w:rsidR="00364548" w:rsidRPr="00364548" w:rsidRDefault="00364548" w:rsidP="00364548">
            <w:pPr>
              <w:numPr>
                <w:ilvl w:val="0"/>
                <w:numId w:val="114"/>
              </w:numPr>
              <w:spacing w:after="0" w:line="240" w:lineRule="auto"/>
              <w:rPr>
                <w:rFonts w:ascii="Calibri Light" w:eastAsia="Times New Roman" w:hAnsi="Calibri Light" w:cs="Calibri Light"/>
                <w:color w:val="000000"/>
                <w:sz w:val="20"/>
                <w:szCs w:val="20"/>
                <w:lang w:eastAsia="en-GB"/>
              </w:rPr>
            </w:pPr>
            <w:r w:rsidRPr="00364548">
              <w:rPr>
                <w:rFonts w:ascii="Calibri Light" w:eastAsia="Times New Roman" w:hAnsi="Calibri Light" w:cs="Calibri Light"/>
                <w:color w:val="000000"/>
                <w:sz w:val="20"/>
                <w:szCs w:val="20"/>
                <w:lang w:eastAsia="en-GB"/>
              </w:rPr>
              <w:t>Енергетска ефикасност (промовисане технологије ОИЕ ће довести и до уштеде примарне енергије доприносећи постизању релевантних циљева)</w:t>
            </w:r>
          </w:p>
          <w:p w14:paraId="574F90C0" w14:textId="558CF59F" w:rsidR="00854ADA" w:rsidRPr="000A2AFE" w:rsidRDefault="00364548"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854ADA" w:rsidRPr="00FF386D" w14:paraId="7BB22404" w14:textId="77777777" w:rsidTr="0057310C">
        <w:trPr>
          <w:trHeight w:val="450"/>
        </w:trPr>
        <w:tc>
          <w:tcPr>
            <w:tcW w:w="3329"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638CEF8A" w14:textId="3D785E62"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29"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30CE76D9"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2018/2001/ЕУ</w:t>
            </w:r>
          </w:p>
        </w:tc>
      </w:tr>
      <w:tr w:rsidR="00854ADA" w:rsidRPr="00FF386D" w14:paraId="54C29832" w14:textId="77777777" w:rsidTr="0057310C">
        <w:trPr>
          <w:trHeight w:val="450"/>
        </w:trPr>
        <w:tc>
          <w:tcPr>
            <w:tcW w:w="3329" w:type="dxa"/>
            <w:vMerge/>
            <w:tcBorders>
              <w:top w:val="nil"/>
              <w:left w:val="single" w:sz="8" w:space="0" w:color="auto"/>
              <w:bottom w:val="single" w:sz="8" w:space="0" w:color="000000"/>
              <w:right w:val="single" w:sz="8" w:space="0" w:color="auto"/>
            </w:tcBorders>
            <w:vAlign w:val="center"/>
            <w:hideMark/>
          </w:tcPr>
          <w:p w14:paraId="7C1CAEB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9" w:type="dxa"/>
            <w:gridSpan w:val="3"/>
            <w:vMerge/>
            <w:tcBorders>
              <w:top w:val="single" w:sz="8" w:space="0" w:color="auto"/>
              <w:left w:val="single" w:sz="8" w:space="0" w:color="auto"/>
              <w:bottom w:val="single" w:sz="8" w:space="0" w:color="000000"/>
              <w:right w:val="single" w:sz="8" w:space="0" w:color="000000"/>
            </w:tcBorders>
            <w:vAlign w:val="center"/>
            <w:hideMark/>
          </w:tcPr>
          <w:p w14:paraId="736715F7"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716B53B0" w14:textId="77777777" w:rsidTr="0057310C">
        <w:trPr>
          <w:trHeight w:val="450"/>
        </w:trPr>
        <w:tc>
          <w:tcPr>
            <w:tcW w:w="3329" w:type="dxa"/>
            <w:vMerge/>
            <w:tcBorders>
              <w:top w:val="nil"/>
              <w:left w:val="single" w:sz="8" w:space="0" w:color="auto"/>
              <w:bottom w:val="single" w:sz="8" w:space="0" w:color="000000"/>
              <w:right w:val="single" w:sz="8" w:space="0" w:color="auto"/>
            </w:tcBorders>
            <w:vAlign w:val="center"/>
            <w:hideMark/>
          </w:tcPr>
          <w:p w14:paraId="48558C8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9" w:type="dxa"/>
            <w:gridSpan w:val="3"/>
            <w:vMerge/>
            <w:tcBorders>
              <w:top w:val="single" w:sz="8" w:space="0" w:color="auto"/>
              <w:left w:val="single" w:sz="8" w:space="0" w:color="auto"/>
              <w:bottom w:val="single" w:sz="8" w:space="0" w:color="000000"/>
              <w:right w:val="single" w:sz="8" w:space="0" w:color="000000"/>
            </w:tcBorders>
            <w:vAlign w:val="center"/>
            <w:hideMark/>
          </w:tcPr>
          <w:p w14:paraId="14FE0DFD"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49A6BBFA" w14:textId="77777777" w:rsidTr="0057310C">
        <w:trPr>
          <w:trHeight w:val="271"/>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3D766A4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Релевантни национални плански документ (правни, регулаторни акти, итд)</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02D893B2"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коришћењу обновљивих извора енергије</w:t>
            </w:r>
          </w:p>
        </w:tc>
      </w:tr>
      <w:tr w:rsidR="00854ADA" w:rsidRPr="00FF386D" w14:paraId="7CB70962"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1C86350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63ACF16F"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Биће обухваћени у МП_Д21</w:t>
            </w:r>
          </w:p>
        </w:tc>
      </w:tr>
      <w:tr w:rsidR="00854ADA" w:rsidRPr="00FF386D" w14:paraId="546F09E6"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14F0018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5677FE99" w14:textId="25172AF3"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C8663C" w:rsidRPr="00FF386D">
              <w:rPr>
                <w:rFonts w:ascii="Calibri Light" w:eastAsia="Times New Roman" w:hAnsi="Calibri Light" w:cs="Calibri Light"/>
                <w:color w:val="000000"/>
                <w:sz w:val="20"/>
                <w:szCs w:val="20"/>
                <w:lang w:eastAsia="en-GB"/>
              </w:rPr>
              <w:t>ска средства</w:t>
            </w:r>
          </w:p>
        </w:tc>
      </w:tr>
    </w:tbl>
    <w:p w14:paraId="42DB9FFC"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33"/>
        <w:gridCol w:w="941"/>
        <w:gridCol w:w="946"/>
        <w:gridCol w:w="4238"/>
      </w:tblGrid>
      <w:tr w:rsidR="00854ADA" w:rsidRPr="00FF386D" w14:paraId="04263A6D" w14:textId="77777777" w:rsidTr="0057310C">
        <w:trPr>
          <w:trHeight w:val="780"/>
        </w:trPr>
        <w:tc>
          <w:tcPr>
            <w:tcW w:w="3333"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7E9561CE"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41" w:type="dxa"/>
            <w:tcBorders>
              <w:top w:val="single" w:sz="8" w:space="0" w:color="auto"/>
              <w:left w:val="nil"/>
              <w:bottom w:val="single" w:sz="8" w:space="0" w:color="auto"/>
              <w:right w:val="single" w:sz="8" w:space="0" w:color="auto"/>
            </w:tcBorders>
            <w:shd w:val="clear" w:color="auto" w:fill="E7E6E6" w:themeFill="background2"/>
            <w:vAlign w:val="center"/>
            <w:hideMark/>
          </w:tcPr>
          <w:p w14:paraId="43D6252E"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МП_Д23</w:t>
            </w:r>
          </w:p>
        </w:tc>
        <w:tc>
          <w:tcPr>
            <w:tcW w:w="946" w:type="dxa"/>
            <w:tcBorders>
              <w:top w:val="single" w:sz="8" w:space="0" w:color="auto"/>
              <w:left w:val="nil"/>
              <w:bottom w:val="single" w:sz="8" w:space="0" w:color="auto"/>
              <w:right w:val="single" w:sz="8" w:space="0" w:color="auto"/>
            </w:tcBorders>
            <w:shd w:val="clear" w:color="000000" w:fill="244062"/>
            <w:vAlign w:val="center"/>
            <w:hideMark/>
          </w:tcPr>
          <w:p w14:paraId="095D2D9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38" w:type="dxa"/>
            <w:tcBorders>
              <w:top w:val="single" w:sz="8" w:space="0" w:color="auto"/>
              <w:left w:val="nil"/>
              <w:bottom w:val="single" w:sz="8" w:space="0" w:color="auto"/>
              <w:right w:val="single" w:sz="8" w:space="0" w:color="auto"/>
            </w:tcBorders>
            <w:shd w:val="clear" w:color="auto" w:fill="E7E6E6" w:themeFill="background2"/>
            <w:vAlign w:val="center"/>
            <w:hideMark/>
          </w:tcPr>
          <w:p w14:paraId="56AB4942" w14:textId="24CABDCD"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Подстицање д</w:t>
            </w:r>
            <w:r w:rsidR="00760B1E" w:rsidRPr="000A2AFE">
              <w:rPr>
                <w:rFonts w:ascii="Calibri Light" w:eastAsia="Times New Roman" w:hAnsi="Calibri Light" w:cs="Calibri Light"/>
                <w:b/>
                <w:bCs/>
                <w:color w:val="000000"/>
                <w:sz w:val="20"/>
                <w:szCs w:val="20"/>
                <w:lang w:eastAsia="en-GB"/>
              </w:rPr>
              <w:t>одатног</w:t>
            </w:r>
            <w:r w:rsidRPr="000A2AFE">
              <w:rPr>
                <w:rFonts w:ascii="Calibri Light" w:eastAsia="Times New Roman" w:hAnsi="Calibri Light" w:cs="Calibri Light"/>
                <w:b/>
                <w:bCs/>
                <w:color w:val="000000"/>
                <w:sz w:val="20"/>
                <w:szCs w:val="20"/>
                <w:lang w:eastAsia="en-GB"/>
              </w:rPr>
              <w:t xml:space="preserve"> коришћења гаранција порекла за енергију из ОИЕ</w:t>
            </w:r>
            <w:r w:rsidR="004A14F3" w:rsidRPr="004A14F3">
              <w:rPr>
                <w:rFonts w:ascii="Calibri Light" w:eastAsia="Times New Roman" w:hAnsi="Calibri Light" w:cs="Calibri Light"/>
                <w:b/>
                <w:bCs/>
                <w:color w:val="000000"/>
                <w:sz w:val="20"/>
                <w:szCs w:val="20"/>
                <w:lang w:eastAsia="en-GB"/>
              </w:rPr>
              <w:t xml:space="preserve"> у свим облицима финалне потрошње</w:t>
            </w:r>
          </w:p>
        </w:tc>
      </w:tr>
      <w:tr w:rsidR="00854ADA" w:rsidRPr="00FF386D" w14:paraId="3BFFBAF9" w14:textId="77777777" w:rsidTr="0057310C">
        <w:trPr>
          <w:trHeight w:val="321"/>
        </w:trPr>
        <w:tc>
          <w:tcPr>
            <w:tcW w:w="3333" w:type="dxa"/>
            <w:tcBorders>
              <w:top w:val="nil"/>
              <w:left w:val="single" w:sz="8" w:space="0" w:color="auto"/>
              <w:bottom w:val="single" w:sz="8" w:space="0" w:color="auto"/>
              <w:right w:val="nil"/>
            </w:tcBorders>
            <w:shd w:val="clear" w:color="000000" w:fill="244062"/>
            <w:vAlign w:val="center"/>
            <w:hideMark/>
          </w:tcPr>
          <w:p w14:paraId="499C2C1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25" w:type="dxa"/>
            <w:gridSpan w:val="3"/>
            <w:tcBorders>
              <w:top w:val="single" w:sz="8" w:space="0" w:color="auto"/>
              <w:left w:val="nil"/>
              <w:bottom w:val="single" w:sz="8" w:space="0" w:color="auto"/>
              <w:right w:val="single" w:sz="8" w:space="0" w:color="000000"/>
            </w:tcBorders>
            <w:shd w:val="clear" w:color="auto" w:fill="auto"/>
            <w:vAlign w:val="center"/>
            <w:hideMark/>
          </w:tcPr>
          <w:p w14:paraId="0753FC39" w14:textId="6ED316AC"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Повећање удела ОИЕ у електричној енергији, грејању и хлађењу и у саобраћају</w:t>
            </w:r>
          </w:p>
        </w:tc>
      </w:tr>
      <w:tr w:rsidR="00854ADA" w:rsidRPr="00FF386D" w14:paraId="135A4D5C" w14:textId="77777777" w:rsidTr="0057310C">
        <w:trPr>
          <w:trHeight w:val="315"/>
        </w:trPr>
        <w:tc>
          <w:tcPr>
            <w:tcW w:w="3333" w:type="dxa"/>
            <w:tcBorders>
              <w:top w:val="nil"/>
              <w:left w:val="single" w:sz="8" w:space="0" w:color="auto"/>
              <w:bottom w:val="single" w:sz="8" w:space="0" w:color="auto"/>
              <w:right w:val="single" w:sz="8" w:space="0" w:color="auto"/>
            </w:tcBorders>
            <w:shd w:val="clear" w:color="000000" w:fill="244062"/>
            <w:vAlign w:val="center"/>
            <w:hideMark/>
          </w:tcPr>
          <w:p w14:paraId="5CB4B8F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25" w:type="dxa"/>
            <w:gridSpan w:val="3"/>
            <w:tcBorders>
              <w:top w:val="single" w:sz="8" w:space="0" w:color="auto"/>
              <w:left w:val="nil"/>
              <w:bottom w:val="single" w:sz="8" w:space="0" w:color="auto"/>
              <w:right w:val="single" w:sz="8" w:space="0" w:color="000000"/>
            </w:tcBorders>
            <w:shd w:val="clear" w:color="auto" w:fill="auto"/>
            <w:vAlign w:val="center"/>
            <w:hideMark/>
          </w:tcPr>
          <w:p w14:paraId="1C2A06F9" w14:textId="3319B63A" w:rsidR="00854ADA" w:rsidRPr="00FF386D" w:rsidRDefault="004A14F3" w:rsidP="00854ADA">
            <w:pPr>
              <w:spacing w:after="0" w:line="240" w:lineRule="auto"/>
              <w:rPr>
                <w:rFonts w:ascii="Calibri" w:eastAsia="Times New Roman" w:hAnsi="Calibri" w:cs="Calibri"/>
                <w:color w:val="000000"/>
                <w:sz w:val="20"/>
                <w:szCs w:val="20"/>
                <w:lang w:eastAsia="en-GB"/>
              </w:rPr>
            </w:pPr>
            <w:r w:rsidRPr="004A14F3">
              <w:rPr>
                <w:rFonts w:asciiTheme="majorHAnsi" w:eastAsia="Times New Roman" w:hAnsiTheme="majorHAnsi" w:cstheme="majorHAnsi"/>
                <w:color w:val="000000"/>
                <w:sz w:val="20"/>
                <w:szCs w:val="20"/>
                <w:lang w:eastAsia="en-GB"/>
              </w:rPr>
              <w:t>Допринос очекиваном учешћу ОИЕ у производњи електричне енергије, грејању и хлађењу и саобраћају.</w:t>
            </w:r>
          </w:p>
        </w:tc>
      </w:tr>
      <w:tr w:rsidR="00854ADA" w:rsidRPr="00FF386D" w14:paraId="410A977B" w14:textId="77777777" w:rsidTr="0057310C">
        <w:trPr>
          <w:trHeight w:val="1337"/>
        </w:trPr>
        <w:tc>
          <w:tcPr>
            <w:tcW w:w="3333" w:type="dxa"/>
            <w:tcBorders>
              <w:top w:val="nil"/>
              <w:left w:val="single" w:sz="8" w:space="0" w:color="auto"/>
              <w:bottom w:val="single" w:sz="8" w:space="0" w:color="auto"/>
              <w:right w:val="single" w:sz="8" w:space="0" w:color="auto"/>
            </w:tcBorders>
            <w:shd w:val="clear" w:color="000000" w:fill="244062"/>
            <w:vAlign w:val="center"/>
            <w:hideMark/>
          </w:tcPr>
          <w:p w14:paraId="0A56802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25" w:type="dxa"/>
            <w:gridSpan w:val="3"/>
            <w:tcBorders>
              <w:top w:val="single" w:sz="8" w:space="0" w:color="auto"/>
              <w:left w:val="nil"/>
              <w:bottom w:val="single" w:sz="8" w:space="0" w:color="auto"/>
              <w:right w:val="single" w:sz="8" w:space="0" w:color="000000"/>
            </w:tcBorders>
            <w:shd w:val="clear" w:color="auto" w:fill="auto"/>
            <w:vAlign w:val="center"/>
            <w:hideMark/>
          </w:tcPr>
          <w:p w14:paraId="337F9883" w14:textId="36656C4A" w:rsidR="00854ADA" w:rsidRPr="00FF386D" w:rsidRDefault="00201464" w:rsidP="00F23C6F">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МП_Д</w:t>
            </w:r>
            <w:r w:rsidR="00854ADA" w:rsidRPr="000A2AFE">
              <w:rPr>
                <w:rFonts w:ascii="Calibri Light" w:eastAsia="Times New Roman" w:hAnsi="Calibri Light" w:cs="Calibri Light"/>
                <w:color w:val="000000"/>
                <w:sz w:val="20"/>
                <w:szCs w:val="20"/>
                <w:lang w:eastAsia="en-GB"/>
              </w:rPr>
              <w:t>23 ће унапредити шему гаранција порекла</w:t>
            </w:r>
            <w:r w:rsidR="00BD0876" w:rsidRPr="000A2AFE">
              <w:rPr>
                <w:rFonts w:ascii="Calibri Light" w:eastAsia="Times New Roman" w:hAnsi="Calibri Light" w:cs="Calibri Light"/>
                <w:color w:val="000000"/>
                <w:sz w:val="20"/>
                <w:szCs w:val="20"/>
                <w:lang w:eastAsia="en-GB"/>
              </w:rPr>
              <w:t xml:space="preserve">, која је предвиђена Законом о коришћењу обновљивих извора енергије, </w:t>
            </w:r>
            <w:r w:rsidR="00854ADA" w:rsidRPr="000A2AFE">
              <w:rPr>
                <w:rFonts w:ascii="Calibri Light" w:eastAsia="Times New Roman" w:hAnsi="Calibri Light" w:cs="Calibri Light"/>
                <w:color w:val="000000"/>
                <w:sz w:val="20"/>
                <w:szCs w:val="20"/>
                <w:lang w:eastAsia="en-GB"/>
              </w:rPr>
              <w:t>као додатног механизам</w:t>
            </w:r>
            <w:r w:rsidRPr="00FF386D">
              <w:rPr>
                <w:rFonts w:ascii="Calibri Light" w:eastAsia="Times New Roman" w:hAnsi="Calibri Light" w:cs="Calibri Light"/>
                <w:color w:val="000000"/>
                <w:sz w:val="20"/>
                <w:szCs w:val="20"/>
                <w:lang w:eastAsia="en-GB"/>
              </w:rPr>
              <w:t>а</w:t>
            </w:r>
            <w:r w:rsidR="00854ADA" w:rsidRPr="000A2AFE">
              <w:rPr>
                <w:rFonts w:ascii="Calibri Light" w:eastAsia="Times New Roman" w:hAnsi="Calibri Light" w:cs="Calibri Light"/>
                <w:color w:val="000000"/>
                <w:sz w:val="20"/>
                <w:szCs w:val="20"/>
                <w:lang w:eastAsia="en-GB"/>
              </w:rPr>
              <w:t xml:space="preserve"> за заштиту животне средине</w:t>
            </w:r>
            <w:r w:rsidR="00D56FD9" w:rsidRPr="000A2AFE">
              <w:rPr>
                <w:rFonts w:ascii="Calibri Light" w:eastAsia="Times New Roman" w:hAnsi="Calibri Light" w:cs="Calibri Light"/>
                <w:color w:val="000000"/>
                <w:sz w:val="20"/>
                <w:szCs w:val="20"/>
                <w:lang w:eastAsia="en-GB"/>
              </w:rPr>
              <w:t>,</w:t>
            </w:r>
            <w:r w:rsidR="00854ADA" w:rsidRPr="000A2AFE">
              <w:rPr>
                <w:rFonts w:ascii="Calibri Light" w:eastAsia="Times New Roman" w:hAnsi="Calibri Light" w:cs="Calibri Light"/>
                <w:color w:val="000000"/>
                <w:sz w:val="20"/>
                <w:szCs w:val="20"/>
                <w:lang w:eastAsia="en-GB"/>
              </w:rPr>
              <w:t xml:space="preserve"> који</w:t>
            </w:r>
            <w:r w:rsidR="00BD0876" w:rsidRPr="000A2AFE">
              <w:rPr>
                <w:rFonts w:ascii="Calibri Light" w:eastAsia="Times New Roman" w:hAnsi="Calibri Light" w:cs="Calibri Light"/>
                <w:color w:val="000000"/>
                <w:sz w:val="20"/>
                <w:szCs w:val="20"/>
                <w:lang w:eastAsia="en-GB"/>
              </w:rPr>
              <w:t>м</w:t>
            </w:r>
            <w:r w:rsidR="00854ADA" w:rsidRPr="000A2AFE">
              <w:rPr>
                <w:rFonts w:ascii="Calibri Light" w:eastAsia="Times New Roman" w:hAnsi="Calibri Light" w:cs="Calibri Light"/>
                <w:color w:val="000000"/>
                <w:sz w:val="20"/>
                <w:szCs w:val="20"/>
                <w:lang w:eastAsia="en-GB"/>
              </w:rPr>
              <w:t xml:space="preserve"> </w:t>
            </w:r>
            <w:r w:rsidR="00BD0876" w:rsidRPr="000A2AFE">
              <w:rPr>
                <w:rFonts w:ascii="Calibri Light" w:eastAsia="Times New Roman" w:hAnsi="Calibri Light" w:cs="Calibri Light"/>
                <w:color w:val="000000"/>
                <w:sz w:val="20"/>
                <w:szCs w:val="20"/>
                <w:lang w:eastAsia="en-GB"/>
              </w:rPr>
              <w:t>се</w:t>
            </w:r>
            <w:r w:rsidR="00854ADA" w:rsidRPr="000A2AFE">
              <w:rPr>
                <w:rFonts w:ascii="Calibri Light" w:eastAsia="Times New Roman" w:hAnsi="Calibri Light" w:cs="Calibri Light"/>
                <w:color w:val="000000"/>
                <w:sz w:val="20"/>
                <w:szCs w:val="20"/>
                <w:lang w:eastAsia="en-GB"/>
              </w:rPr>
              <w:t xml:space="preserve"> </w:t>
            </w:r>
            <w:r w:rsidR="00BB6610" w:rsidRPr="000A2AFE">
              <w:rPr>
                <w:rFonts w:ascii="Calibri Light" w:eastAsia="Times New Roman" w:hAnsi="Calibri Light" w:cs="Calibri Light"/>
                <w:color w:val="000000"/>
                <w:sz w:val="20"/>
                <w:szCs w:val="20"/>
                <w:lang w:eastAsia="en-GB"/>
              </w:rPr>
              <w:t xml:space="preserve">крајњим </w:t>
            </w:r>
            <w:r w:rsidR="00844710">
              <w:rPr>
                <w:rFonts w:ascii="Calibri Light" w:eastAsia="Times New Roman" w:hAnsi="Calibri Light" w:cs="Calibri Light"/>
                <w:color w:val="000000"/>
                <w:sz w:val="20"/>
                <w:szCs w:val="20"/>
                <w:lang w:eastAsia="en-GB"/>
              </w:rPr>
              <w:t>купц</w:t>
            </w:r>
            <w:r w:rsidR="00844710" w:rsidRPr="000A2AFE">
              <w:rPr>
                <w:rFonts w:ascii="Calibri Light" w:eastAsia="Times New Roman" w:hAnsi="Calibri Light" w:cs="Calibri Light"/>
                <w:color w:val="000000"/>
                <w:sz w:val="20"/>
                <w:szCs w:val="20"/>
                <w:lang w:eastAsia="en-GB"/>
              </w:rPr>
              <w:t xml:space="preserve">има </w:t>
            </w:r>
            <w:r w:rsidR="00BB6610" w:rsidRPr="000A2AFE">
              <w:rPr>
                <w:rFonts w:ascii="Calibri Light" w:eastAsia="Times New Roman" w:hAnsi="Calibri Light" w:cs="Calibri Light"/>
                <w:color w:val="000000"/>
                <w:sz w:val="20"/>
                <w:szCs w:val="20"/>
                <w:lang w:eastAsia="en-GB"/>
              </w:rPr>
              <w:t xml:space="preserve">чине доступне информације </w:t>
            </w:r>
            <w:r w:rsidR="00854ADA" w:rsidRPr="000A2AFE">
              <w:rPr>
                <w:rFonts w:ascii="Calibri Light" w:eastAsia="Times New Roman" w:hAnsi="Calibri Light" w:cs="Calibri Light"/>
                <w:color w:val="000000"/>
                <w:sz w:val="20"/>
                <w:szCs w:val="20"/>
                <w:lang w:eastAsia="en-GB"/>
              </w:rPr>
              <w:t>о уделу или количини енергије из обновљивих извора у енергетском миксу</w:t>
            </w:r>
            <w:r w:rsidR="00BD0876" w:rsidRPr="000A2AFE">
              <w:rPr>
                <w:rFonts w:ascii="Calibri Light" w:eastAsia="Times New Roman" w:hAnsi="Calibri Light" w:cs="Calibri Light"/>
                <w:color w:val="000000"/>
                <w:sz w:val="20"/>
                <w:szCs w:val="20"/>
                <w:lang w:eastAsia="en-GB"/>
              </w:rPr>
              <w:t xml:space="preserve"> </w:t>
            </w:r>
            <w:r w:rsidR="00636581" w:rsidRPr="000A2AFE">
              <w:rPr>
                <w:rFonts w:ascii="Calibri Light" w:eastAsia="Times New Roman" w:hAnsi="Calibri Light" w:cs="Calibri Light"/>
                <w:color w:val="000000"/>
                <w:sz w:val="20"/>
                <w:szCs w:val="20"/>
                <w:lang w:eastAsia="en-GB"/>
              </w:rPr>
              <w:t xml:space="preserve">снабдевача и енергији </w:t>
            </w:r>
            <w:r w:rsidR="00BD0876" w:rsidRPr="000A2AFE">
              <w:rPr>
                <w:rFonts w:ascii="Calibri Light" w:eastAsia="Times New Roman" w:hAnsi="Calibri Light" w:cs="Calibri Light"/>
                <w:color w:val="000000"/>
                <w:sz w:val="20"/>
                <w:szCs w:val="20"/>
                <w:lang w:eastAsia="en-GB"/>
              </w:rPr>
              <w:t xml:space="preserve">која </w:t>
            </w:r>
            <w:r w:rsidR="00C16776" w:rsidRPr="000A2AFE">
              <w:rPr>
                <w:rFonts w:ascii="Calibri Light" w:eastAsia="Times New Roman" w:hAnsi="Calibri Light" w:cs="Calibri Light"/>
                <w:color w:val="000000"/>
                <w:sz w:val="20"/>
                <w:szCs w:val="20"/>
                <w:lang w:eastAsia="en-GB"/>
              </w:rPr>
              <w:t>се</w:t>
            </w:r>
            <w:r w:rsidR="00636581" w:rsidRPr="000A2AFE">
              <w:rPr>
                <w:rFonts w:ascii="Calibri Light" w:eastAsia="Times New Roman" w:hAnsi="Calibri Light" w:cs="Calibri Light"/>
                <w:color w:val="000000"/>
                <w:sz w:val="20"/>
                <w:szCs w:val="20"/>
                <w:lang w:eastAsia="en-GB"/>
              </w:rPr>
              <w:t xml:space="preserve"> </w:t>
            </w:r>
            <w:r w:rsidR="00BD0876" w:rsidRPr="000A2AFE">
              <w:rPr>
                <w:rFonts w:ascii="Calibri Light" w:eastAsia="Times New Roman" w:hAnsi="Calibri Light" w:cs="Calibri Light"/>
                <w:color w:val="000000"/>
                <w:sz w:val="20"/>
                <w:szCs w:val="20"/>
                <w:lang w:eastAsia="en-GB"/>
              </w:rPr>
              <w:t>испоруч</w:t>
            </w:r>
            <w:r w:rsidR="00C51E23" w:rsidRPr="000A2AFE">
              <w:rPr>
                <w:rFonts w:ascii="Calibri Light" w:eastAsia="Times New Roman" w:hAnsi="Calibri Light" w:cs="Calibri Light"/>
                <w:color w:val="000000"/>
                <w:sz w:val="20"/>
                <w:szCs w:val="20"/>
                <w:lang w:eastAsia="en-GB"/>
              </w:rPr>
              <w:t>ује</w:t>
            </w:r>
            <w:r w:rsidR="00BD0876" w:rsidRPr="000A2AFE">
              <w:rPr>
                <w:rFonts w:ascii="Calibri Light" w:eastAsia="Times New Roman" w:hAnsi="Calibri Light" w:cs="Calibri Light"/>
                <w:color w:val="000000"/>
                <w:sz w:val="20"/>
                <w:szCs w:val="20"/>
                <w:lang w:eastAsia="en-GB"/>
              </w:rPr>
              <w:t xml:space="preserve"> </w:t>
            </w:r>
            <w:r w:rsidR="00BB6610" w:rsidRPr="000A2AFE">
              <w:rPr>
                <w:rFonts w:ascii="Calibri Light" w:eastAsia="Times New Roman" w:hAnsi="Calibri Light" w:cs="Calibri Light"/>
                <w:color w:val="000000"/>
                <w:sz w:val="20"/>
                <w:szCs w:val="20"/>
                <w:lang w:eastAsia="en-GB"/>
              </w:rPr>
              <w:t>потрошачима</w:t>
            </w:r>
            <w:r w:rsidR="00854ADA" w:rsidRPr="000A2AFE">
              <w:rPr>
                <w:rFonts w:ascii="Calibri Light" w:eastAsia="Times New Roman" w:hAnsi="Calibri Light" w:cs="Calibri Light"/>
                <w:color w:val="000000"/>
                <w:sz w:val="20"/>
                <w:szCs w:val="20"/>
                <w:lang w:eastAsia="en-GB"/>
              </w:rPr>
              <w:t xml:space="preserve"> </w:t>
            </w:r>
            <w:r w:rsidR="00C51E23" w:rsidRPr="000A2AFE">
              <w:rPr>
                <w:rFonts w:ascii="Calibri Light" w:eastAsia="Times New Roman" w:hAnsi="Calibri Light" w:cs="Calibri Light"/>
                <w:color w:val="000000"/>
                <w:sz w:val="20"/>
                <w:szCs w:val="20"/>
                <w:lang w:eastAsia="en-GB"/>
              </w:rPr>
              <w:t>сходно</w:t>
            </w:r>
            <w:r w:rsidR="00854ADA" w:rsidRPr="000A2AFE">
              <w:rPr>
                <w:rFonts w:ascii="Calibri Light" w:eastAsia="Times New Roman" w:hAnsi="Calibri Light" w:cs="Calibri Light"/>
                <w:color w:val="000000"/>
                <w:sz w:val="20"/>
                <w:szCs w:val="20"/>
                <w:lang w:eastAsia="en-GB"/>
              </w:rPr>
              <w:t xml:space="preserve"> уговорима који се пласирају </w:t>
            </w:r>
            <w:r w:rsidR="00C51E23" w:rsidRPr="000A2AFE">
              <w:rPr>
                <w:rFonts w:ascii="Calibri Light" w:eastAsia="Times New Roman" w:hAnsi="Calibri Light" w:cs="Calibri Light"/>
                <w:color w:val="000000"/>
                <w:sz w:val="20"/>
                <w:szCs w:val="20"/>
                <w:lang w:eastAsia="en-GB"/>
              </w:rPr>
              <w:t xml:space="preserve">навођењем </w:t>
            </w:r>
            <w:r w:rsidR="00854ADA" w:rsidRPr="000A2AFE">
              <w:rPr>
                <w:rFonts w:ascii="Calibri Light" w:eastAsia="Times New Roman" w:hAnsi="Calibri Light" w:cs="Calibri Light"/>
                <w:color w:val="000000"/>
                <w:sz w:val="20"/>
                <w:szCs w:val="20"/>
                <w:lang w:eastAsia="en-GB"/>
              </w:rPr>
              <w:t>потрошњ</w:t>
            </w:r>
            <w:r w:rsidR="00C51E23" w:rsidRPr="000A2AFE">
              <w:rPr>
                <w:rFonts w:ascii="Calibri Light" w:eastAsia="Times New Roman" w:hAnsi="Calibri Light" w:cs="Calibri Light"/>
                <w:color w:val="000000"/>
                <w:sz w:val="20"/>
                <w:szCs w:val="20"/>
                <w:lang w:eastAsia="en-GB"/>
              </w:rPr>
              <w:t>е</w:t>
            </w:r>
            <w:r w:rsidR="00854ADA" w:rsidRPr="000A2AFE">
              <w:rPr>
                <w:rFonts w:ascii="Calibri Light" w:eastAsia="Times New Roman" w:hAnsi="Calibri Light" w:cs="Calibri Light"/>
                <w:color w:val="000000"/>
                <w:sz w:val="20"/>
                <w:szCs w:val="20"/>
                <w:lang w:eastAsia="en-GB"/>
              </w:rPr>
              <w:t xml:space="preserve"> енергије из обновљивих извора, </w:t>
            </w:r>
            <w:r w:rsidR="00C51E23" w:rsidRPr="000A2AFE">
              <w:rPr>
                <w:rFonts w:ascii="Calibri Light" w:eastAsia="Times New Roman" w:hAnsi="Calibri Light" w:cs="Calibri Light"/>
                <w:color w:val="000000"/>
                <w:sz w:val="20"/>
                <w:szCs w:val="20"/>
                <w:lang w:eastAsia="en-GB"/>
              </w:rPr>
              <w:t>на</w:t>
            </w:r>
            <w:r w:rsidR="00854ADA" w:rsidRPr="000A2AFE">
              <w:rPr>
                <w:rFonts w:ascii="Calibri Light" w:eastAsia="Times New Roman" w:hAnsi="Calibri Light" w:cs="Calibri Light"/>
                <w:color w:val="000000"/>
                <w:sz w:val="20"/>
                <w:szCs w:val="20"/>
                <w:lang w:eastAsia="en-GB"/>
              </w:rPr>
              <w:t xml:space="preserve"> објектив</w:t>
            </w:r>
            <w:r w:rsidR="00C51E23" w:rsidRPr="000A2AFE">
              <w:rPr>
                <w:rFonts w:ascii="Calibri Light" w:eastAsia="Times New Roman" w:hAnsi="Calibri Light" w:cs="Calibri Light"/>
                <w:color w:val="000000"/>
                <w:sz w:val="20"/>
                <w:szCs w:val="20"/>
                <w:lang w:eastAsia="en-GB"/>
              </w:rPr>
              <w:t>ан</w:t>
            </w:r>
            <w:r w:rsidR="00854ADA" w:rsidRPr="000A2AFE">
              <w:rPr>
                <w:rFonts w:ascii="Calibri Light" w:eastAsia="Times New Roman" w:hAnsi="Calibri Light" w:cs="Calibri Light"/>
                <w:color w:val="000000"/>
                <w:sz w:val="20"/>
                <w:szCs w:val="20"/>
                <w:lang w:eastAsia="en-GB"/>
              </w:rPr>
              <w:t>, транспарент</w:t>
            </w:r>
            <w:r w:rsidR="00C51E23" w:rsidRPr="000A2AFE">
              <w:rPr>
                <w:rFonts w:ascii="Calibri Light" w:eastAsia="Times New Roman" w:hAnsi="Calibri Light" w:cs="Calibri Light"/>
                <w:color w:val="000000"/>
                <w:sz w:val="20"/>
                <w:szCs w:val="20"/>
                <w:lang w:eastAsia="en-GB"/>
              </w:rPr>
              <w:t>ан</w:t>
            </w:r>
            <w:r w:rsidR="00854ADA" w:rsidRPr="000A2AFE">
              <w:rPr>
                <w:rFonts w:ascii="Calibri Light" w:eastAsia="Times New Roman" w:hAnsi="Calibri Light" w:cs="Calibri Light"/>
                <w:color w:val="000000"/>
                <w:sz w:val="20"/>
                <w:szCs w:val="20"/>
                <w:lang w:eastAsia="en-GB"/>
              </w:rPr>
              <w:t xml:space="preserve"> и недискриминатор</w:t>
            </w:r>
            <w:r w:rsidR="00C51E23" w:rsidRPr="000A2AFE">
              <w:rPr>
                <w:rFonts w:ascii="Calibri Light" w:eastAsia="Times New Roman" w:hAnsi="Calibri Light" w:cs="Calibri Light"/>
                <w:color w:val="000000"/>
                <w:sz w:val="20"/>
                <w:szCs w:val="20"/>
                <w:lang w:eastAsia="en-GB"/>
              </w:rPr>
              <w:t>ан начин.</w:t>
            </w:r>
            <w:r w:rsidR="00854ADA" w:rsidRPr="000A2AFE">
              <w:rPr>
                <w:rFonts w:ascii="Calibri Light" w:eastAsia="Times New Roman" w:hAnsi="Calibri Light" w:cs="Calibri Light"/>
                <w:color w:val="000000"/>
                <w:sz w:val="20"/>
                <w:szCs w:val="20"/>
                <w:lang w:eastAsia="en-GB"/>
              </w:rPr>
              <w:t xml:space="preserve"> </w:t>
            </w:r>
            <w:r w:rsidR="00F23C6F" w:rsidRPr="000A2AFE">
              <w:rPr>
                <w:rFonts w:ascii="Calibri Light" w:eastAsia="Times New Roman" w:hAnsi="Calibri Light" w:cs="Calibri Light"/>
                <w:color w:val="000000"/>
                <w:sz w:val="20"/>
                <w:szCs w:val="20"/>
                <w:lang w:eastAsia="en-GB"/>
              </w:rPr>
              <w:t>Постојећа законска регулатива ће бити проширена како би се обухватила не само електрична енергије произведена из постројења на ОИЕ, већ и коришћени ОИЕ у грејању, хлађењу и саобраћају. Биће унапређен р</w:t>
            </w:r>
            <w:r w:rsidR="00854ADA" w:rsidRPr="000A2AFE">
              <w:rPr>
                <w:rFonts w:ascii="Calibri Light" w:eastAsia="Times New Roman" w:hAnsi="Calibri Light" w:cs="Calibri Light"/>
                <w:color w:val="000000"/>
                <w:sz w:val="20"/>
                <w:szCs w:val="20"/>
                <w:lang w:eastAsia="en-GB"/>
              </w:rPr>
              <w:t>ад регистра гаранција порекла</w:t>
            </w:r>
            <w:r w:rsidR="00F23C6F" w:rsidRPr="000A2AFE">
              <w:rPr>
                <w:rFonts w:ascii="Calibri Light" w:eastAsia="Times New Roman" w:hAnsi="Calibri Light" w:cs="Calibri Light"/>
                <w:color w:val="000000"/>
                <w:sz w:val="20"/>
                <w:szCs w:val="20"/>
                <w:lang w:eastAsia="en-GB"/>
              </w:rPr>
              <w:t>, чиме</w:t>
            </w:r>
            <w:r w:rsidR="00854ADA" w:rsidRPr="000A2AFE">
              <w:rPr>
                <w:rFonts w:ascii="Calibri Light" w:eastAsia="Times New Roman" w:hAnsi="Calibri Light" w:cs="Calibri Light"/>
                <w:color w:val="000000"/>
                <w:sz w:val="20"/>
                <w:szCs w:val="20"/>
                <w:lang w:eastAsia="en-GB"/>
              </w:rPr>
              <w:t xml:space="preserve"> ће </w:t>
            </w:r>
            <w:r w:rsidR="00F23C6F" w:rsidRPr="000A2AFE">
              <w:rPr>
                <w:rFonts w:ascii="Calibri Light" w:eastAsia="Times New Roman" w:hAnsi="Calibri Light" w:cs="Calibri Light"/>
                <w:color w:val="000000"/>
                <w:sz w:val="20"/>
                <w:szCs w:val="20"/>
                <w:lang w:eastAsia="en-GB"/>
              </w:rPr>
              <w:t xml:space="preserve">се </w:t>
            </w:r>
            <w:r w:rsidR="00854ADA" w:rsidRPr="000A2AFE">
              <w:rPr>
                <w:rFonts w:ascii="Calibri Light" w:eastAsia="Times New Roman" w:hAnsi="Calibri Light" w:cs="Calibri Light"/>
                <w:color w:val="000000"/>
                <w:sz w:val="20"/>
                <w:szCs w:val="20"/>
                <w:lang w:eastAsia="en-GB"/>
              </w:rPr>
              <w:t>олакшати пружање информација свим грађанима.</w:t>
            </w:r>
            <w:r w:rsidR="00F23C6F" w:rsidRPr="000A2AFE">
              <w:rPr>
                <w:rFonts w:ascii="Calibri Light" w:eastAsia="Times New Roman" w:hAnsi="Calibri Light" w:cs="Calibri Light"/>
                <w:color w:val="000000"/>
                <w:sz w:val="20"/>
                <w:szCs w:val="20"/>
                <w:lang w:eastAsia="en-GB"/>
              </w:rPr>
              <w:t xml:space="preserve"> Поред тога, биће покренута шема аукција преко које ће заинтересована предузећа моћи да купе гаранције порекла.</w:t>
            </w:r>
          </w:p>
        </w:tc>
      </w:tr>
      <w:tr w:rsidR="00854ADA" w:rsidRPr="00FF386D" w14:paraId="3509D11E" w14:textId="77777777" w:rsidTr="0057310C">
        <w:trPr>
          <w:trHeight w:val="315"/>
        </w:trPr>
        <w:tc>
          <w:tcPr>
            <w:tcW w:w="3333" w:type="dxa"/>
            <w:tcBorders>
              <w:top w:val="nil"/>
              <w:left w:val="single" w:sz="8" w:space="0" w:color="auto"/>
              <w:bottom w:val="single" w:sz="8" w:space="0" w:color="auto"/>
              <w:right w:val="single" w:sz="8" w:space="0" w:color="auto"/>
            </w:tcBorders>
            <w:shd w:val="clear" w:color="000000" w:fill="244062"/>
            <w:vAlign w:val="center"/>
            <w:hideMark/>
          </w:tcPr>
          <w:p w14:paraId="4E6224D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25" w:type="dxa"/>
            <w:gridSpan w:val="3"/>
            <w:tcBorders>
              <w:top w:val="single" w:sz="8" w:space="0" w:color="auto"/>
              <w:left w:val="nil"/>
              <w:bottom w:val="single" w:sz="8" w:space="0" w:color="auto"/>
              <w:right w:val="single" w:sz="8" w:space="0" w:color="000000"/>
            </w:tcBorders>
            <w:shd w:val="clear" w:color="auto" w:fill="auto"/>
            <w:vAlign w:val="center"/>
            <w:hideMark/>
          </w:tcPr>
          <w:p w14:paraId="262D5B07" w14:textId="2BDCB451"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760B1E"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w:t>
            </w:r>
            <w:r w:rsidR="00364548">
              <w:rPr>
                <w:rFonts w:ascii="Calibri Light" w:eastAsia="Times New Roman" w:hAnsi="Calibri Light" w:cs="Calibri Light"/>
                <w:color w:val="000000"/>
                <w:sz w:val="20"/>
                <w:szCs w:val="20"/>
                <w:lang w:eastAsia="en-GB"/>
              </w:rPr>
              <w:t>28.</w:t>
            </w:r>
          </w:p>
        </w:tc>
      </w:tr>
      <w:tr w:rsidR="00854ADA" w:rsidRPr="00FF386D" w14:paraId="4291F460" w14:textId="77777777" w:rsidTr="0057310C">
        <w:trPr>
          <w:trHeight w:val="315"/>
        </w:trPr>
        <w:tc>
          <w:tcPr>
            <w:tcW w:w="3333" w:type="dxa"/>
            <w:tcBorders>
              <w:top w:val="nil"/>
              <w:left w:val="single" w:sz="8" w:space="0" w:color="auto"/>
              <w:bottom w:val="single" w:sz="8" w:space="0" w:color="auto"/>
              <w:right w:val="single" w:sz="8" w:space="0" w:color="auto"/>
            </w:tcBorders>
            <w:shd w:val="clear" w:color="000000" w:fill="244062"/>
            <w:vAlign w:val="center"/>
            <w:hideMark/>
          </w:tcPr>
          <w:p w14:paraId="54A840D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25" w:type="dxa"/>
            <w:gridSpan w:val="3"/>
            <w:tcBorders>
              <w:top w:val="single" w:sz="8" w:space="0" w:color="auto"/>
              <w:left w:val="nil"/>
              <w:bottom w:val="single" w:sz="8" w:space="0" w:color="auto"/>
              <w:right w:val="single" w:sz="8" w:space="0" w:color="000000"/>
            </w:tcBorders>
            <w:shd w:val="clear" w:color="auto" w:fill="auto"/>
            <w:vAlign w:val="center"/>
            <w:hideMark/>
          </w:tcPr>
          <w:p w14:paraId="55CD5DBD"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Реформа</w:t>
            </w:r>
          </w:p>
        </w:tc>
      </w:tr>
      <w:tr w:rsidR="00854ADA" w:rsidRPr="00FF386D" w14:paraId="51DA5435" w14:textId="77777777" w:rsidTr="0057310C">
        <w:trPr>
          <w:trHeight w:val="315"/>
        </w:trPr>
        <w:tc>
          <w:tcPr>
            <w:tcW w:w="3333" w:type="dxa"/>
            <w:tcBorders>
              <w:top w:val="nil"/>
              <w:left w:val="single" w:sz="8" w:space="0" w:color="auto"/>
              <w:bottom w:val="single" w:sz="8" w:space="0" w:color="auto"/>
              <w:right w:val="single" w:sz="8" w:space="0" w:color="auto"/>
            </w:tcBorders>
            <w:shd w:val="clear" w:color="000000" w:fill="244062"/>
            <w:vAlign w:val="center"/>
            <w:hideMark/>
          </w:tcPr>
          <w:p w14:paraId="7458E31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25" w:type="dxa"/>
            <w:gridSpan w:val="3"/>
            <w:tcBorders>
              <w:top w:val="single" w:sz="8" w:space="0" w:color="auto"/>
              <w:left w:val="nil"/>
              <w:bottom w:val="single" w:sz="8" w:space="0" w:color="auto"/>
              <w:right w:val="single" w:sz="8" w:space="0" w:color="000000"/>
            </w:tcBorders>
            <w:shd w:val="clear" w:color="auto" w:fill="auto"/>
            <w:vAlign w:val="center"/>
            <w:hideMark/>
          </w:tcPr>
          <w:p w14:paraId="110D9A04" w14:textId="4CFE5D85" w:rsidR="00854ADA" w:rsidRPr="00FF386D" w:rsidRDefault="004A14F3" w:rsidP="00854ADA">
            <w:pPr>
              <w:spacing w:after="0" w:line="240" w:lineRule="auto"/>
              <w:rPr>
                <w:rFonts w:ascii="Calibri Light" w:eastAsia="Times New Roman" w:hAnsi="Calibri Light" w:cs="Calibri Light"/>
                <w:color w:val="000000"/>
                <w:sz w:val="20"/>
                <w:szCs w:val="20"/>
                <w:lang w:eastAsia="en-GB"/>
              </w:rPr>
            </w:pPr>
            <w:r w:rsidRPr="004A14F3">
              <w:rPr>
                <w:rFonts w:ascii="Calibri Light" w:eastAsia="Times New Roman" w:hAnsi="Calibri Light" w:cs="Calibri Light"/>
                <w:color w:val="000000"/>
                <w:sz w:val="20"/>
                <w:szCs w:val="20"/>
                <w:lang w:eastAsia="en-GB"/>
              </w:rPr>
              <w:t>Сви сектори финалне потрошње</w:t>
            </w:r>
          </w:p>
        </w:tc>
      </w:tr>
      <w:tr w:rsidR="00854ADA" w:rsidRPr="00FF386D" w14:paraId="1F6D5FD6" w14:textId="77777777" w:rsidTr="0057310C">
        <w:trPr>
          <w:trHeight w:val="315"/>
        </w:trPr>
        <w:tc>
          <w:tcPr>
            <w:tcW w:w="3333" w:type="dxa"/>
            <w:tcBorders>
              <w:top w:val="nil"/>
              <w:left w:val="single" w:sz="8" w:space="0" w:color="auto"/>
              <w:bottom w:val="single" w:sz="8" w:space="0" w:color="auto"/>
              <w:right w:val="single" w:sz="8" w:space="0" w:color="auto"/>
            </w:tcBorders>
            <w:shd w:val="clear" w:color="000000" w:fill="244062"/>
            <w:vAlign w:val="center"/>
            <w:hideMark/>
          </w:tcPr>
          <w:p w14:paraId="3FDD5D6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25" w:type="dxa"/>
            <w:gridSpan w:val="3"/>
            <w:tcBorders>
              <w:top w:val="single" w:sz="8" w:space="0" w:color="auto"/>
              <w:left w:val="nil"/>
              <w:bottom w:val="single" w:sz="8" w:space="0" w:color="auto"/>
              <w:right w:val="single" w:sz="8" w:space="0" w:color="000000"/>
            </w:tcBorders>
            <w:shd w:val="clear" w:color="auto" w:fill="auto"/>
            <w:vAlign w:val="center"/>
            <w:hideMark/>
          </w:tcPr>
          <w:p w14:paraId="2A5524B1"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61EFB95A" w14:textId="77777777" w:rsidTr="0057310C">
        <w:trPr>
          <w:trHeight w:val="315"/>
        </w:trPr>
        <w:tc>
          <w:tcPr>
            <w:tcW w:w="3333" w:type="dxa"/>
            <w:tcBorders>
              <w:top w:val="nil"/>
              <w:left w:val="single" w:sz="8" w:space="0" w:color="auto"/>
              <w:bottom w:val="single" w:sz="8" w:space="0" w:color="auto"/>
              <w:right w:val="nil"/>
            </w:tcBorders>
            <w:shd w:val="clear" w:color="000000" w:fill="244062"/>
            <w:vAlign w:val="center"/>
            <w:hideMark/>
          </w:tcPr>
          <w:p w14:paraId="42025DC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25" w:type="dxa"/>
            <w:gridSpan w:val="3"/>
            <w:tcBorders>
              <w:top w:val="single" w:sz="8" w:space="0" w:color="auto"/>
              <w:left w:val="nil"/>
              <w:bottom w:val="single" w:sz="8" w:space="0" w:color="auto"/>
              <w:right w:val="single" w:sz="8" w:space="0" w:color="000000"/>
            </w:tcBorders>
            <w:shd w:val="clear" w:color="auto" w:fill="auto"/>
            <w:vAlign w:val="center"/>
            <w:hideMark/>
          </w:tcPr>
          <w:p w14:paraId="6FD538C4" w14:textId="0056774D" w:rsidR="00854ADA" w:rsidRPr="000A2AFE" w:rsidRDefault="00364548"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55E39FCB" w14:textId="77777777" w:rsidTr="0057310C">
        <w:trPr>
          <w:trHeight w:val="315"/>
        </w:trPr>
        <w:tc>
          <w:tcPr>
            <w:tcW w:w="3333" w:type="dxa"/>
            <w:tcBorders>
              <w:top w:val="nil"/>
              <w:left w:val="single" w:sz="8" w:space="0" w:color="auto"/>
              <w:bottom w:val="single" w:sz="8" w:space="0" w:color="auto"/>
              <w:right w:val="nil"/>
            </w:tcBorders>
            <w:shd w:val="clear" w:color="000000" w:fill="244062"/>
            <w:vAlign w:val="center"/>
            <w:hideMark/>
          </w:tcPr>
          <w:p w14:paraId="44A69F2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25" w:type="dxa"/>
            <w:gridSpan w:val="3"/>
            <w:tcBorders>
              <w:top w:val="single" w:sz="8" w:space="0" w:color="auto"/>
              <w:left w:val="nil"/>
              <w:bottom w:val="single" w:sz="8" w:space="0" w:color="auto"/>
              <w:right w:val="single" w:sz="8" w:space="0" w:color="000000"/>
            </w:tcBorders>
            <w:shd w:val="clear" w:color="auto" w:fill="auto"/>
            <w:vAlign w:val="center"/>
            <w:hideMark/>
          </w:tcPr>
          <w:p w14:paraId="4734F68F" w14:textId="77777777" w:rsidR="00854ADA" w:rsidRPr="000A2AFE" w:rsidRDefault="00854ADA"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Издате гаранције порекла</w:t>
            </w:r>
          </w:p>
        </w:tc>
      </w:tr>
      <w:tr w:rsidR="00364548" w:rsidRPr="00FF386D" w14:paraId="72CA3852" w14:textId="77777777" w:rsidTr="0057310C">
        <w:trPr>
          <w:trHeight w:val="487"/>
        </w:trPr>
        <w:tc>
          <w:tcPr>
            <w:tcW w:w="3333" w:type="dxa"/>
            <w:tcBorders>
              <w:top w:val="nil"/>
              <w:left w:val="single" w:sz="8" w:space="0" w:color="auto"/>
              <w:bottom w:val="single" w:sz="8" w:space="0" w:color="auto"/>
              <w:right w:val="single" w:sz="8" w:space="0" w:color="auto"/>
            </w:tcBorders>
            <w:shd w:val="clear" w:color="000000" w:fill="244062"/>
            <w:vAlign w:val="center"/>
            <w:hideMark/>
          </w:tcPr>
          <w:p w14:paraId="18761267" w14:textId="77777777" w:rsidR="00364548" w:rsidRPr="00FF386D" w:rsidRDefault="00364548" w:rsidP="00364548">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25" w:type="dxa"/>
            <w:gridSpan w:val="3"/>
            <w:tcBorders>
              <w:top w:val="single" w:sz="8" w:space="0" w:color="auto"/>
              <w:left w:val="nil"/>
              <w:bottom w:val="single" w:sz="8" w:space="0" w:color="auto"/>
              <w:right w:val="single" w:sz="8" w:space="0" w:color="000000"/>
            </w:tcBorders>
            <w:shd w:val="clear" w:color="auto" w:fill="auto"/>
            <w:vAlign w:val="center"/>
          </w:tcPr>
          <w:p w14:paraId="53C80728" w14:textId="77777777" w:rsidR="00364548" w:rsidRPr="00364548" w:rsidRDefault="00364548" w:rsidP="00364548">
            <w:pPr>
              <w:numPr>
                <w:ilvl w:val="0"/>
                <w:numId w:val="114"/>
              </w:numPr>
              <w:spacing w:after="0" w:line="240" w:lineRule="auto"/>
              <w:rPr>
                <w:rFonts w:ascii="Calibri Light" w:eastAsia="Times New Roman" w:hAnsi="Calibri Light" w:cs="Calibri Light"/>
                <w:color w:val="000000"/>
                <w:sz w:val="20"/>
                <w:szCs w:val="20"/>
                <w:lang w:eastAsia="en-GB"/>
              </w:rPr>
            </w:pPr>
            <w:r w:rsidRPr="00364548">
              <w:rPr>
                <w:rFonts w:ascii="Calibri Light" w:eastAsia="Times New Roman" w:hAnsi="Calibri Light" w:cs="Calibri Light"/>
                <w:color w:val="000000"/>
                <w:sz w:val="20"/>
                <w:szCs w:val="20"/>
                <w:lang w:eastAsia="en-GB"/>
              </w:rPr>
              <w:t>Енергетска ефикасност (промовисане технологије ОИЕ ће довести и до уштеде примарне енергије доприносећи постизању релевантних циљева)</w:t>
            </w:r>
          </w:p>
          <w:p w14:paraId="0F8938BA" w14:textId="661B6704" w:rsidR="00364548" w:rsidRDefault="00364548" w:rsidP="00364548">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CA503E">
              <w:rPr>
                <w:rFonts w:ascii="Calibri Light" w:eastAsia="Times New Roman" w:hAnsi="Calibri Light" w:cs="Calibri Light"/>
                <w:color w:val="000000"/>
                <w:sz w:val="20"/>
                <w:szCs w:val="20"/>
                <w:lang w:eastAsia="en-GB"/>
              </w:rPr>
              <w:t>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p w14:paraId="04ACC33A" w14:textId="77B4467F" w:rsidR="00364548" w:rsidRPr="00FF386D" w:rsidRDefault="00364548" w:rsidP="00364548">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364548">
              <w:rPr>
                <w:rFonts w:ascii="Calibri Light" w:eastAsia="Times New Roman" w:hAnsi="Calibri Light" w:cs="Calibri Light"/>
                <w:color w:val="000000"/>
                <w:sz w:val="20"/>
                <w:szCs w:val="20"/>
                <w:lang w:eastAsia="en-GB"/>
              </w:rPr>
              <w:t>Унутрашње енергетско тржиште (примена технологија ОИЕ ће ојачати интеграцију и спајање тржишта и обезбедиће адекватност електроенергетског система и флексибилност)</w:t>
            </w:r>
          </w:p>
        </w:tc>
      </w:tr>
      <w:tr w:rsidR="00364548" w:rsidRPr="00FF386D" w14:paraId="293B2C7D" w14:textId="77777777" w:rsidTr="0057310C">
        <w:trPr>
          <w:trHeight w:val="450"/>
        </w:trPr>
        <w:tc>
          <w:tcPr>
            <w:tcW w:w="3333"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52DFA117" w14:textId="4ED7C2A7" w:rsidR="00364548" w:rsidRPr="00FF386D" w:rsidRDefault="00364548" w:rsidP="00364548">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Политике Уније која су резултирале имплементацијом ове МП</w:t>
            </w:r>
          </w:p>
        </w:tc>
        <w:tc>
          <w:tcPr>
            <w:tcW w:w="6125"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6833E092" w14:textId="77777777" w:rsidR="00364548" w:rsidRPr="00FF386D" w:rsidRDefault="00364548" w:rsidP="00364548">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2018/2001/ЕУ</w:t>
            </w:r>
          </w:p>
        </w:tc>
      </w:tr>
      <w:tr w:rsidR="00364548" w:rsidRPr="00FF386D" w14:paraId="0BD529A6" w14:textId="77777777" w:rsidTr="0057310C">
        <w:trPr>
          <w:trHeight w:val="450"/>
        </w:trPr>
        <w:tc>
          <w:tcPr>
            <w:tcW w:w="3333" w:type="dxa"/>
            <w:vMerge/>
            <w:tcBorders>
              <w:top w:val="nil"/>
              <w:left w:val="single" w:sz="8" w:space="0" w:color="auto"/>
              <w:bottom w:val="single" w:sz="8" w:space="0" w:color="000000"/>
              <w:right w:val="single" w:sz="8" w:space="0" w:color="auto"/>
            </w:tcBorders>
            <w:vAlign w:val="center"/>
            <w:hideMark/>
          </w:tcPr>
          <w:p w14:paraId="5E267D04" w14:textId="77777777" w:rsidR="00364548" w:rsidRPr="00FF386D" w:rsidRDefault="00364548" w:rsidP="00364548">
            <w:pPr>
              <w:spacing w:after="0" w:line="240" w:lineRule="auto"/>
              <w:rPr>
                <w:rFonts w:ascii="Calibri Light" w:eastAsia="Times New Roman" w:hAnsi="Calibri Light" w:cs="Calibri Light"/>
                <w:b/>
                <w:bCs/>
                <w:color w:val="FFFFFF"/>
                <w:sz w:val="20"/>
                <w:szCs w:val="20"/>
                <w:lang w:eastAsia="en-GB"/>
              </w:rPr>
            </w:pPr>
          </w:p>
        </w:tc>
        <w:tc>
          <w:tcPr>
            <w:tcW w:w="6125" w:type="dxa"/>
            <w:gridSpan w:val="3"/>
            <w:vMerge/>
            <w:tcBorders>
              <w:top w:val="single" w:sz="8" w:space="0" w:color="auto"/>
              <w:left w:val="single" w:sz="8" w:space="0" w:color="auto"/>
              <w:bottom w:val="single" w:sz="8" w:space="0" w:color="000000"/>
              <w:right w:val="single" w:sz="8" w:space="0" w:color="000000"/>
            </w:tcBorders>
            <w:vAlign w:val="center"/>
            <w:hideMark/>
          </w:tcPr>
          <w:p w14:paraId="0596F8D8" w14:textId="77777777" w:rsidR="00364548" w:rsidRPr="00FF386D" w:rsidRDefault="00364548" w:rsidP="00364548">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364548" w:rsidRPr="00FF386D" w14:paraId="7760DC83" w14:textId="77777777" w:rsidTr="0057310C">
        <w:trPr>
          <w:trHeight w:val="450"/>
        </w:trPr>
        <w:tc>
          <w:tcPr>
            <w:tcW w:w="3333" w:type="dxa"/>
            <w:vMerge/>
            <w:tcBorders>
              <w:top w:val="nil"/>
              <w:left w:val="single" w:sz="8" w:space="0" w:color="auto"/>
              <w:bottom w:val="single" w:sz="8" w:space="0" w:color="000000"/>
              <w:right w:val="single" w:sz="8" w:space="0" w:color="auto"/>
            </w:tcBorders>
            <w:vAlign w:val="center"/>
            <w:hideMark/>
          </w:tcPr>
          <w:p w14:paraId="0BAB7B1B" w14:textId="77777777" w:rsidR="00364548" w:rsidRPr="00FF386D" w:rsidRDefault="00364548" w:rsidP="00364548">
            <w:pPr>
              <w:spacing w:after="0" w:line="240" w:lineRule="auto"/>
              <w:rPr>
                <w:rFonts w:ascii="Calibri Light" w:eastAsia="Times New Roman" w:hAnsi="Calibri Light" w:cs="Calibri Light"/>
                <w:b/>
                <w:bCs/>
                <w:color w:val="FFFFFF"/>
                <w:sz w:val="20"/>
                <w:szCs w:val="20"/>
                <w:lang w:eastAsia="en-GB"/>
              </w:rPr>
            </w:pPr>
          </w:p>
        </w:tc>
        <w:tc>
          <w:tcPr>
            <w:tcW w:w="6125" w:type="dxa"/>
            <w:gridSpan w:val="3"/>
            <w:vMerge/>
            <w:tcBorders>
              <w:top w:val="single" w:sz="8" w:space="0" w:color="auto"/>
              <w:left w:val="single" w:sz="8" w:space="0" w:color="auto"/>
              <w:bottom w:val="single" w:sz="8" w:space="0" w:color="000000"/>
              <w:right w:val="single" w:sz="8" w:space="0" w:color="000000"/>
            </w:tcBorders>
            <w:vAlign w:val="center"/>
            <w:hideMark/>
          </w:tcPr>
          <w:p w14:paraId="4C9E7E52" w14:textId="77777777" w:rsidR="00364548" w:rsidRPr="00FF386D" w:rsidRDefault="00364548" w:rsidP="00364548">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364548" w:rsidRPr="00FF386D" w14:paraId="3C22A022" w14:textId="77777777" w:rsidTr="0057310C">
        <w:trPr>
          <w:trHeight w:val="434"/>
        </w:trPr>
        <w:tc>
          <w:tcPr>
            <w:tcW w:w="3333" w:type="dxa"/>
            <w:tcBorders>
              <w:top w:val="nil"/>
              <w:left w:val="single" w:sz="8" w:space="0" w:color="auto"/>
              <w:bottom w:val="single" w:sz="8" w:space="0" w:color="auto"/>
              <w:right w:val="single" w:sz="8" w:space="0" w:color="auto"/>
            </w:tcBorders>
            <w:shd w:val="clear" w:color="000000" w:fill="244062"/>
            <w:vAlign w:val="center"/>
            <w:hideMark/>
          </w:tcPr>
          <w:p w14:paraId="59F88DCA" w14:textId="77777777" w:rsidR="00364548" w:rsidRPr="00FF386D" w:rsidRDefault="00364548" w:rsidP="00364548">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25" w:type="dxa"/>
            <w:gridSpan w:val="3"/>
            <w:tcBorders>
              <w:top w:val="single" w:sz="8" w:space="0" w:color="auto"/>
              <w:left w:val="nil"/>
              <w:bottom w:val="single" w:sz="8" w:space="0" w:color="auto"/>
              <w:right w:val="single" w:sz="8" w:space="0" w:color="000000"/>
            </w:tcBorders>
            <w:shd w:val="clear" w:color="auto" w:fill="auto"/>
            <w:vAlign w:val="center"/>
            <w:hideMark/>
          </w:tcPr>
          <w:p w14:paraId="2F64767F" w14:textId="77777777" w:rsidR="00364548" w:rsidRPr="00FF386D" w:rsidRDefault="00364548" w:rsidP="00364548">
            <w:pPr>
              <w:pStyle w:val="ListParagraph"/>
              <w:numPr>
                <w:ilvl w:val="0"/>
                <w:numId w:val="278"/>
              </w:num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коришћењу обновљивих извора енергије</w:t>
            </w:r>
          </w:p>
        </w:tc>
      </w:tr>
      <w:tr w:rsidR="00364548" w:rsidRPr="00FF386D" w14:paraId="2233254F" w14:textId="77777777" w:rsidTr="0057310C">
        <w:trPr>
          <w:trHeight w:val="315"/>
        </w:trPr>
        <w:tc>
          <w:tcPr>
            <w:tcW w:w="3333" w:type="dxa"/>
            <w:tcBorders>
              <w:top w:val="nil"/>
              <w:left w:val="single" w:sz="8" w:space="0" w:color="auto"/>
              <w:bottom w:val="single" w:sz="8" w:space="0" w:color="auto"/>
              <w:right w:val="single" w:sz="8" w:space="0" w:color="auto"/>
            </w:tcBorders>
            <w:shd w:val="clear" w:color="000000" w:fill="244062"/>
            <w:vAlign w:val="center"/>
            <w:hideMark/>
          </w:tcPr>
          <w:p w14:paraId="17660275" w14:textId="77777777" w:rsidR="00364548" w:rsidRPr="00FF386D" w:rsidRDefault="00364548" w:rsidP="00364548">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25" w:type="dxa"/>
            <w:gridSpan w:val="3"/>
            <w:tcBorders>
              <w:top w:val="single" w:sz="8" w:space="0" w:color="auto"/>
              <w:left w:val="nil"/>
              <w:bottom w:val="single" w:sz="8" w:space="0" w:color="auto"/>
              <w:right w:val="single" w:sz="8" w:space="0" w:color="000000"/>
            </w:tcBorders>
            <w:shd w:val="clear" w:color="auto" w:fill="auto"/>
            <w:vAlign w:val="center"/>
            <w:hideMark/>
          </w:tcPr>
          <w:p w14:paraId="3F790EA2" w14:textId="77777777" w:rsidR="00364548" w:rsidRPr="00FF386D" w:rsidRDefault="00364548" w:rsidP="00364548">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0,1 милион евра</w:t>
            </w:r>
          </w:p>
        </w:tc>
      </w:tr>
      <w:tr w:rsidR="00364548" w:rsidRPr="00FF386D" w14:paraId="66A1E603" w14:textId="77777777" w:rsidTr="0057310C">
        <w:trPr>
          <w:trHeight w:val="315"/>
        </w:trPr>
        <w:tc>
          <w:tcPr>
            <w:tcW w:w="3333" w:type="dxa"/>
            <w:tcBorders>
              <w:top w:val="nil"/>
              <w:left w:val="single" w:sz="8" w:space="0" w:color="auto"/>
              <w:bottom w:val="single" w:sz="8" w:space="0" w:color="auto"/>
              <w:right w:val="single" w:sz="8" w:space="0" w:color="auto"/>
            </w:tcBorders>
            <w:shd w:val="clear" w:color="000000" w:fill="244062"/>
            <w:vAlign w:val="center"/>
            <w:hideMark/>
          </w:tcPr>
          <w:p w14:paraId="1F2B13FB" w14:textId="77777777" w:rsidR="00364548" w:rsidRPr="00FF386D" w:rsidRDefault="00364548" w:rsidP="00364548">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lastRenderedPageBreak/>
              <w:t>Извор(и) финансирања</w:t>
            </w:r>
          </w:p>
        </w:tc>
        <w:tc>
          <w:tcPr>
            <w:tcW w:w="6125" w:type="dxa"/>
            <w:gridSpan w:val="3"/>
            <w:tcBorders>
              <w:top w:val="single" w:sz="8" w:space="0" w:color="auto"/>
              <w:left w:val="nil"/>
              <w:bottom w:val="single" w:sz="8" w:space="0" w:color="auto"/>
              <w:right w:val="single" w:sz="8" w:space="0" w:color="000000"/>
            </w:tcBorders>
            <w:shd w:val="clear" w:color="auto" w:fill="auto"/>
            <w:vAlign w:val="center"/>
            <w:hideMark/>
          </w:tcPr>
          <w:p w14:paraId="52AA3436" w14:textId="2EAA7043" w:rsidR="00364548" w:rsidRPr="00FF386D" w:rsidRDefault="00364548" w:rsidP="00364548">
            <w:pPr>
              <w:spacing w:after="0" w:line="240" w:lineRule="auto"/>
              <w:rPr>
                <w:rFonts w:ascii="Calibri" w:eastAsia="Times New Roman" w:hAnsi="Calibri" w:cs="Calibri"/>
                <w:color w:val="000000"/>
                <w:sz w:val="20"/>
                <w:szCs w:val="20"/>
                <w:highlight w:val="yellow"/>
                <w:lang w:eastAsia="en-GB"/>
              </w:rPr>
            </w:pPr>
            <w:r w:rsidRPr="00FF386D">
              <w:rPr>
                <w:rFonts w:asciiTheme="majorHAnsi" w:eastAsia="Times New Roman" w:hAnsiTheme="majorHAnsi" w:cstheme="majorHAnsi"/>
                <w:color w:val="000000"/>
                <w:sz w:val="20"/>
                <w:szCs w:val="20"/>
                <w:lang w:eastAsia="en-GB"/>
              </w:rPr>
              <w:t>Фондови ЕУ и други фондови и буџетска средства</w:t>
            </w:r>
          </w:p>
        </w:tc>
      </w:tr>
    </w:tbl>
    <w:p w14:paraId="6C01FE98" w14:textId="77777777" w:rsidR="00854ADA" w:rsidRPr="00FF386D" w:rsidRDefault="00854ADA" w:rsidP="00565B02">
      <w:pPr>
        <w:spacing w:before="120" w:after="120"/>
        <w:jc w:val="both"/>
        <w:rPr>
          <w:rFonts w:cstheme="minorHAnsi"/>
          <w:color w:val="000000"/>
        </w:rPr>
      </w:pPr>
    </w:p>
    <w:tbl>
      <w:tblPr>
        <w:tblW w:w="9458" w:type="dxa"/>
        <w:tblLook w:val="04A0" w:firstRow="1" w:lastRow="0" w:firstColumn="1" w:lastColumn="0" w:noHBand="0" w:noVBand="1"/>
      </w:tblPr>
      <w:tblGrid>
        <w:gridCol w:w="3274"/>
        <w:gridCol w:w="1097"/>
        <w:gridCol w:w="936"/>
        <w:gridCol w:w="4151"/>
      </w:tblGrid>
      <w:tr w:rsidR="00854ADA" w:rsidRPr="00FF386D" w14:paraId="185B7337" w14:textId="77777777" w:rsidTr="0057310C">
        <w:trPr>
          <w:trHeight w:val="780"/>
        </w:trPr>
        <w:tc>
          <w:tcPr>
            <w:tcW w:w="3274"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2390F093"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97" w:type="dxa"/>
            <w:tcBorders>
              <w:top w:val="single" w:sz="8" w:space="0" w:color="auto"/>
              <w:left w:val="nil"/>
              <w:bottom w:val="single" w:sz="8" w:space="0" w:color="auto"/>
              <w:right w:val="single" w:sz="8" w:space="0" w:color="auto"/>
            </w:tcBorders>
            <w:shd w:val="clear" w:color="auto" w:fill="E7E6E6" w:themeFill="background2"/>
            <w:vAlign w:val="center"/>
            <w:hideMark/>
          </w:tcPr>
          <w:p w14:paraId="0A6A0BDA" w14:textId="555685D7" w:rsidR="00854ADA" w:rsidRPr="000A2AFE" w:rsidRDefault="00854ADA" w:rsidP="00854ADA">
            <w:pPr>
              <w:spacing w:after="0" w:line="240" w:lineRule="auto"/>
              <w:jc w:val="both"/>
              <w:rPr>
                <w:rFonts w:ascii="Calibri Light" w:eastAsia="Times New Roman" w:hAnsi="Calibri Light" w:cs="Calibri Light"/>
                <w:b/>
                <w:bCs/>
                <w:color w:val="000000"/>
                <w:sz w:val="20"/>
                <w:szCs w:val="20"/>
                <w:lang w:val="sr-Latn-RS" w:eastAsia="en-GB"/>
              </w:rPr>
            </w:pPr>
            <w:r w:rsidRPr="000A2AFE">
              <w:rPr>
                <w:rFonts w:ascii="Calibri Light" w:eastAsia="Times New Roman" w:hAnsi="Calibri Light" w:cs="Calibri Light"/>
                <w:b/>
                <w:bCs/>
                <w:color w:val="000000"/>
                <w:sz w:val="20"/>
                <w:szCs w:val="20"/>
                <w:lang w:eastAsia="en-GB"/>
              </w:rPr>
              <w:t>МП_</w:t>
            </w:r>
            <w:r w:rsidR="004A14F3" w:rsidRPr="000A2AFE">
              <w:rPr>
                <w:rFonts w:ascii="Calibri Light" w:eastAsia="Times New Roman" w:hAnsi="Calibri Light" w:cs="Calibri Light"/>
                <w:b/>
                <w:bCs/>
                <w:color w:val="000000"/>
                <w:sz w:val="20"/>
                <w:szCs w:val="20"/>
                <w:lang w:eastAsia="en-GB"/>
              </w:rPr>
              <w:t>Д2</w:t>
            </w:r>
            <w:r w:rsidR="004A14F3">
              <w:rPr>
                <w:rFonts w:ascii="Calibri Light" w:eastAsia="Times New Roman" w:hAnsi="Calibri Light" w:cs="Calibri Light"/>
                <w:b/>
                <w:bCs/>
                <w:color w:val="000000"/>
                <w:sz w:val="20"/>
                <w:szCs w:val="20"/>
                <w:lang w:val="sr-Latn-RS" w:eastAsia="en-GB"/>
              </w:rPr>
              <w:t>8</w:t>
            </w:r>
          </w:p>
        </w:tc>
        <w:tc>
          <w:tcPr>
            <w:tcW w:w="936" w:type="dxa"/>
            <w:tcBorders>
              <w:top w:val="single" w:sz="8" w:space="0" w:color="auto"/>
              <w:left w:val="nil"/>
              <w:bottom w:val="single" w:sz="8" w:space="0" w:color="auto"/>
              <w:right w:val="single" w:sz="8" w:space="0" w:color="auto"/>
            </w:tcBorders>
            <w:shd w:val="clear" w:color="000000" w:fill="244062"/>
            <w:vAlign w:val="center"/>
            <w:hideMark/>
          </w:tcPr>
          <w:p w14:paraId="2155528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51" w:type="dxa"/>
            <w:tcBorders>
              <w:top w:val="single" w:sz="8" w:space="0" w:color="auto"/>
              <w:left w:val="nil"/>
              <w:bottom w:val="single" w:sz="8" w:space="0" w:color="auto"/>
              <w:right w:val="single" w:sz="8" w:space="0" w:color="auto"/>
            </w:tcBorders>
            <w:shd w:val="clear" w:color="auto" w:fill="E7E6E6" w:themeFill="background2"/>
            <w:vAlign w:val="center"/>
            <w:hideMark/>
          </w:tcPr>
          <w:p w14:paraId="614B146D" w14:textId="1D18606C"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 xml:space="preserve">Адаптација, </w:t>
            </w:r>
            <w:r w:rsidR="00EA6366" w:rsidRPr="000A2AFE">
              <w:rPr>
                <w:rFonts w:ascii="Calibri Light" w:eastAsia="Times New Roman" w:hAnsi="Calibri Light" w:cs="Calibri Light"/>
                <w:b/>
                <w:bCs/>
                <w:color w:val="000000"/>
                <w:sz w:val="20"/>
                <w:szCs w:val="20"/>
                <w:lang w:eastAsia="en-GB"/>
              </w:rPr>
              <w:t>унапређење</w:t>
            </w:r>
            <w:r w:rsidRPr="000A2AFE">
              <w:rPr>
                <w:rFonts w:ascii="Calibri Light" w:eastAsia="Times New Roman" w:hAnsi="Calibri Light" w:cs="Calibri Light"/>
                <w:b/>
                <w:bCs/>
                <w:color w:val="000000"/>
                <w:sz w:val="20"/>
                <w:szCs w:val="20"/>
                <w:lang w:eastAsia="en-GB"/>
              </w:rPr>
              <w:t xml:space="preserve"> и проширење мрежа </w:t>
            </w:r>
            <w:r w:rsidR="00EA6366" w:rsidRPr="000A2AFE">
              <w:rPr>
                <w:rFonts w:ascii="Calibri Light" w:eastAsia="Times New Roman" w:hAnsi="Calibri Light" w:cs="Calibri Light"/>
                <w:b/>
                <w:bCs/>
                <w:color w:val="000000"/>
                <w:sz w:val="20"/>
                <w:szCs w:val="20"/>
                <w:lang w:eastAsia="en-GB"/>
              </w:rPr>
              <w:t>како би се избегла</w:t>
            </w:r>
            <w:r w:rsidRPr="000A2AFE">
              <w:rPr>
                <w:rFonts w:ascii="Calibri Light" w:eastAsia="Times New Roman" w:hAnsi="Calibri Light" w:cs="Calibri Light"/>
                <w:b/>
                <w:bCs/>
                <w:color w:val="000000"/>
                <w:sz w:val="20"/>
                <w:szCs w:val="20"/>
                <w:lang w:eastAsia="en-GB"/>
              </w:rPr>
              <w:t xml:space="preserve"> загушењ</w:t>
            </w:r>
            <w:r w:rsidR="00EA6366" w:rsidRPr="000A2AFE">
              <w:rPr>
                <w:rFonts w:ascii="Calibri Light" w:eastAsia="Times New Roman" w:hAnsi="Calibri Light" w:cs="Calibri Light"/>
                <w:b/>
                <w:bCs/>
                <w:color w:val="000000"/>
                <w:sz w:val="20"/>
                <w:szCs w:val="20"/>
                <w:lang w:eastAsia="en-GB"/>
              </w:rPr>
              <w:t xml:space="preserve">а </w:t>
            </w:r>
            <w:r w:rsidRPr="000A2AFE">
              <w:rPr>
                <w:rFonts w:ascii="Calibri Light" w:eastAsia="Times New Roman" w:hAnsi="Calibri Light" w:cs="Calibri Light"/>
                <w:b/>
                <w:bCs/>
                <w:color w:val="000000"/>
                <w:sz w:val="20"/>
                <w:szCs w:val="20"/>
                <w:lang w:eastAsia="en-GB"/>
              </w:rPr>
              <w:t>и омогућ</w:t>
            </w:r>
            <w:r w:rsidR="00EA6366" w:rsidRPr="000A2AFE">
              <w:rPr>
                <w:rFonts w:ascii="Calibri Light" w:eastAsia="Times New Roman" w:hAnsi="Calibri Light" w:cs="Calibri Light"/>
                <w:b/>
                <w:bCs/>
                <w:color w:val="000000"/>
                <w:sz w:val="20"/>
                <w:szCs w:val="20"/>
                <w:lang w:eastAsia="en-GB"/>
              </w:rPr>
              <w:t>ило</w:t>
            </w:r>
            <w:r w:rsidRPr="000A2AFE">
              <w:rPr>
                <w:rFonts w:ascii="Calibri Light" w:eastAsia="Times New Roman" w:hAnsi="Calibri Light" w:cs="Calibri Light"/>
                <w:b/>
                <w:bCs/>
                <w:color w:val="000000"/>
                <w:sz w:val="20"/>
                <w:szCs w:val="20"/>
                <w:lang w:eastAsia="en-GB"/>
              </w:rPr>
              <w:t xml:space="preserve"> оптимално</w:t>
            </w:r>
            <w:r w:rsidR="00EA6366" w:rsidRPr="000A2AFE">
              <w:rPr>
                <w:rFonts w:ascii="Calibri Light" w:eastAsia="Times New Roman" w:hAnsi="Calibri Light" w:cs="Calibri Light"/>
                <w:b/>
                <w:bCs/>
                <w:color w:val="000000"/>
                <w:sz w:val="20"/>
                <w:szCs w:val="20"/>
                <w:lang w:eastAsia="en-GB"/>
              </w:rPr>
              <w:t xml:space="preserve"> </w:t>
            </w:r>
            <w:r w:rsidRPr="000A2AFE">
              <w:rPr>
                <w:rFonts w:ascii="Calibri Light" w:eastAsia="Times New Roman" w:hAnsi="Calibri Light" w:cs="Calibri Light"/>
                <w:b/>
                <w:bCs/>
                <w:color w:val="000000"/>
                <w:sz w:val="20"/>
                <w:szCs w:val="20"/>
                <w:lang w:eastAsia="en-GB"/>
              </w:rPr>
              <w:t>у</w:t>
            </w:r>
            <w:r w:rsidR="00EA6366" w:rsidRPr="000A2AFE">
              <w:rPr>
                <w:rFonts w:ascii="Calibri Light" w:eastAsia="Times New Roman" w:hAnsi="Calibri Light" w:cs="Calibri Light"/>
                <w:b/>
                <w:bCs/>
                <w:color w:val="000000"/>
                <w:sz w:val="20"/>
                <w:szCs w:val="20"/>
                <w:lang w:eastAsia="en-GB"/>
              </w:rPr>
              <w:t xml:space="preserve">чешће </w:t>
            </w:r>
            <w:r w:rsidRPr="000A2AFE">
              <w:rPr>
                <w:rFonts w:ascii="Calibri Light" w:eastAsia="Times New Roman" w:hAnsi="Calibri Light" w:cs="Calibri Light"/>
                <w:b/>
                <w:bCs/>
                <w:color w:val="000000"/>
                <w:sz w:val="20"/>
                <w:szCs w:val="20"/>
                <w:lang w:eastAsia="en-GB"/>
              </w:rPr>
              <w:t>ОИЕ</w:t>
            </w:r>
          </w:p>
        </w:tc>
      </w:tr>
      <w:tr w:rsidR="00854ADA" w:rsidRPr="00FF386D" w14:paraId="1D910C2F" w14:textId="77777777" w:rsidTr="0057310C">
        <w:trPr>
          <w:trHeight w:val="393"/>
        </w:trPr>
        <w:tc>
          <w:tcPr>
            <w:tcW w:w="3274" w:type="dxa"/>
            <w:tcBorders>
              <w:top w:val="nil"/>
              <w:left w:val="single" w:sz="8" w:space="0" w:color="auto"/>
              <w:bottom w:val="single" w:sz="8" w:space="0" w:color="auto"/>
              <w:right w:val="nil"/>
            </w:tcBorders>
            <w:shd w:val="clear" w:color="000000" w:fill="244062"/>
            <w:vAlign w:val="center"/>
            <w:hideMark/>
          </w:tcPr>
          <w:p w14:paraId="075FC1C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84" w:type="dxa"/>
            <w:gridSpan w:val="3"/>
            <w:tcBorders>
              <w:top w:val="single" w:sz="8" w:space="0" w:color="auto"/>
              <w:left w:val="nil"/>
              <w:bottom w:val="single" w:sz="8" w:space="0" w:color="auto"/>
              <w:right w:val="single" w:sz="8" w:space="0" w:color="000000"/>
            </w:tcBorders>
            <w:shd w:val="clear" w:color="auto" w:fill="auto"/>
            <w:vAlign w:val="center"/>
            <w:hideMark/>
          </w:tcPr>
          <w:p w14:paraId="7F98A223"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Повећање удела ОИЕ у производњи електричне </w:t>
            </w:r>
            <w:r w:rsidRPr="00FF386D">
              <w:rPr>
                <w:rFonts w:ascii="Calibri Light" w:hAnsi="Calibri Light"/>
                <w:sz w:val="20"/>
                <w:szCs w:val="20"/>
              </w:rPr>
              <w:t>енергиј</w:t>
            </w:r>
            <w:r w:rsidRPr="00FF386D">
              <w:t xml:space="preserve">е </w:t>
            </w:r>
          </w:p>
        </w:tc>
      </w:tr>
      <w:tr w:rsidR="00854ADA" w:rsidRPr="00FF386D" w14:paraId="10C4779D" w14:textId="77777777" w:rsidTr="0057310C">
        <w:trPr>
          <w:trHeight w:val="315"/>
        </w:trPr>
        <w:tc>
          <w:tcPr>
            <w:tcW w:w="3274" w:type="dxa"/>
            <w:tcBorders>
              <w:top w:val="nil"/>
              <w:left w:val="single" w:sz="8" w:space="0" w:color="auto"/>
              <w:bottom w:val="single" w:sz="8" w:space="0" w:color="auto"/>
              <w:right w:val="single" w:sz="8" w:space="0" w:color="auto"/>
            </w:tcBorders>
            <w:shd w:val="clear" w:color="000000" w:fill="244062"/>
            <w:vAlign w:val="center"/>
            <w:hideMark/>
          </w:tcPr>
          <w:p w14:paraId="608D171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84" w:type="dxa"/>
            <w:gridSpan w:val="3"/>
            <w:tcBorders>
              <w:top w:val="single" w:sz="8" w:space="0" w:color="auto"/>
              <w:left w:val="nil"/>
              <w:bottom w:val="single" w:sz="8" w:space="0" w:color="auto"/>
              <w:right w:val="single" w:sz="8" w:space="0" w:color="000000"/>
            </w:tcBorders>
            <w:shd w:val="clear" w:color="auto" w:fill="auto"/>
            <w:vAlign w:val="center"/>
            <w:hideMark/>
          </w:tcPr>
          <w:p w14:paraId="1FBC2AD9" w14:textId="77777777" w:rsidR="00854ADA" w:rsidRPr="00FF386D" w:rsidRDefault="00854ADA" w:rsidP="00854ADA">
            <w:pPr>
              <w:spacing w:after="0" w:line="240" w:lineRule="auto"/>
              <w:rPr>
                <w:rFonts w:ascii="Calibri" w:eastAsia="Times New Roman" w:hAnsi="Calibri" w:cs="Calibri"/>
                <w:color w:val="000000"/>
                <w:sz w:val="20"/>
                <w:szCs w:val="20"/>
                <w:lang w:eastAsia="en-GB"/>
              </w:rPr>
            </w:pPr>
            <w:r w:rsidRPr="00FF386D">
              <w:rPr>
                <w:rFonts w:asciiTheme="majorHAnsi" w:eastAsia="Times New Roman" w:hAnsiTheme="majorHAnsi" w:cstheme="majorHAnsi"/>
                <w:color w:val="000000"/>
                <w:sz w:val="20"/>
                <w:szCs w:val="20"/>
                <w:lang w:eastAsia="en-GB"/>
              </w:rPr>
              <w:t>Допринос неометаном и ефикасном раду</w:t>
            </w:r>
          </w:p>
        </w:tc>
      </w:tr>
      <w:tr w:rsidR="00854ADA" w:rsidRPr="00FF386D" w14:paraId="35F30FD8" w14:textId="77777777" w:rsidTr="0057310C">
        <w:trPr>
          <w:trHeight w:val="2295"/>
        </w:trPr>
        <w:tc>
          <w:tcPr>
            <w:tcW w:w="3274" w:type="dxa"/>
            <w:tcBorders>
              <w:top w:val="nil"/>
              <w:left w:val="single" w:sz="8" w:space="0" w:color="auto"/>
              <w:bottom w:val="single" w:sz="8" w:space="0" w:color="auto"/>
              <w:right w:val="single" w:sz="8" w:space="0" w:color="auto"/>
            </w:tcBorders>
            <w:shd w:val="clear" w:color="000000" w:fill="244062"/>
            <w:vAlign w:val="center"/>
            <w:hideMark/>
          </w:tcPr>
          <w:p w14:paraId="5C2D7F0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84" w:type="dxa"/>
            <w:gridSpan w:val="3"/>
            <w:tcBorders>
              <w:top w:val="single" w:sz="8" w:space="0" w:color="auto"/>
              <w:left w:val="nil"/>
              <w:bottom w:val="single" w:sz="8" w:space="0" w:color="auto"/>
              <w:right w:val="single" w:sz="8" w:space="0" w:color="000000"/>
            </w:tcBorders>
            <w:shd w:val="clear" w:color="auto" w:fill="auto"/>
            <w:vAlign w:val="center"/>
            <w:hideMark/>
          </w:tcPr>
          <w:p w14:paraId="586F03D6" w14:textId="343A02EA" w:rsidR="00854ADA" w:rsidRPr="00FF386D" w:rsidRDefault="00854ADA" w:rsidP="00B61D65">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МП_</w:t>
            </w:r>
            <w:r w:rsidR="000911C7" w:rsidRPr="000A2AFE">
              <w:rPr>
                <w:rFonts w:ascii="Calibri Light" w:eastAsia="Times New Roman" w:hAnsi="Calibri Light" w:cs="Calibri Light"/>
                <w:color w:val="000000"/>
                <w:sz w:val="20"/>
                <w:szCs w:val="20"/>
                <w:lang w:eastAsia="en-GB"/>
              </w:rPr>
              <w:t>Д2</w:t>
            </w:r>
            <w:r w:rsidR="000911C7">
              <w:rPr>
                <w:rFonts w:ascii="Calibri Light" w:eastAsia="Times New Roman" w:hAnsi="Calibri Light" w:cs="Calibri Light"/>
                <w:color w:val="000000"/>
                <w:sz w:val="20"/>
                <w:szCs w:val="20"/>
                <w:lang w:val="sr-Latn-RS" w:eastAsia="en-GB"/>
              </w:rPr>
              <w:t>8</w:t>
            </w:r>
            <w:r w:rsidR="000911C7"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 xml:space="preserve">ће омогућити адаптацију, </w:t>
            </w:r>
            <w:r w:rsidR="00F3410B" w:rsidRPr="000A2AFE">
              <w:rPr>
                <w:rFonts w:ascii="Calibri Light" w:eastAsia="Times New Roman" w:hAnsi="Calibri Light" w:cs="Calibri Light"/>
                <w:color w:val="000000"/>
                <w:sz w:val="20"/>
                <w:szCs w:val="20"/>
                <w:lang w:eastAsia="en-GB"/>
              </w:rPr>
              <w:t>унапређење</w:t>
            </w:r>
            <w:r w:rsidRPr="000A2AFE">
              <w:rPr>
                <w:rFonts w:ascii="Calibri Light" w:eastAsia="Times New Roman" w:hAnsi="Calibri Light" w:cs="Calibri Light"/>
                <w:color w:val="000000"/>
                <w:sz w:val="20"/>
                <w:szCs w:val="20"/>
                <w:lang w:eastAsia="en-GB"/>
              </w:rPr>
              <w:t xml:space="preserve"> и проширење мрежа како би се избегла загушења и омогући</w:t>
            </w:r>
            <w:r w:rsidR="00B61D65" w:rsidRPr="000A2AFE">
              <w:rPr>
                <w:rFonts w:ascii="Calibri Light" w:eastAsia="Times New Roman" w:hAnsi="Calibri Light" w:cs="Calibri Light"/>
                <w:color w:val="000000"/>
                <w:sz w:val="20"/>
                <w:szCs w:val="20"/>
                <w:lang w:eastAsia="en-GB"/>
              </w:rPr>
              <w:t>ло</w:t>
            </w:r>
            <w:r w:rsidRPr="000A2AFE">
              <w:rPr>
                <w:rFonts w:ascii="Calibri Light" w:eastAsia="Times New Roman" w:hAnsi="Calibri Light" w:cs="Calibri Light"/>
                <w:color w:val="000000"/>
                <w:sz w:val="20"/>
                <w:szCs w:val="20"/>
                <w:lang w:eastAsia="en-GB"/>
              </w:rPr>
              <w:t xml:space="preserve"> оптимал</w:t>
            </w:r>
            <w:r w:rsidR="00F3410B" w:rsidRPr="000A2AFE">
              <w:rPr>
                <w:rFonts w:ascii="Calibri Light" w:eastAsia="Times New Roman" w:hAnsi="Calibri Light" w:cs="Calibri Light"/>
                <w:color w:val="000000"/>
                <w:sz w:val="20"/>
                <w:szCs w:val="20"/>
                <w:lang w:eastAsia="en-GB"/>
              </w:rPr>
              <w:t>но учешће</w:t>
            </w:r>
            <w:r w:rsidRPr="000A2AFE">
              <w:rPr>
                <w:rFonts w:ascii="Calibri Light" w:eastAsia="Times New Roman" w:hAnsi="Calibri Light" w:cs="Calibri Light"/>
                <w:color w:val="000000"/>
                <w:sz w:val="20"/>
                <w:szCs w:val="20"/>
                <w:lang w:eastAsia="en-GB"/>
              </w:rPr>
              <w:t xml:space="preserve"> планираних постројења </w:t>
            </w:r>
            <w:r w:rsidR="004A14F3" w:rsidRPr="004A14F3">
              <w:rPr>
                <w:rFonts w:ascii="Calibri Light" w:eastAsia="Times New Roman" w:hAnsi="Calibri Light" w:cs="Calibri Light"/>
                <w:color w:val="000000"/>
                <w:sz w:val="20"/>
                <w:szCs w:val="20"/>
                <w:lang w:eastAsia="en-GB"/>
              </w:rPr>
              <w:t>која користе</w:t>
            </w:r>
            <w:r w:rsidR="00F3410B"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ΟИЕ, узимајући у обзир њихову варијабилност</w:t>
            </w:r>
            <w:r w:rsidR="00B61D65" w:rsidRPr="000A2AFE">
              <w:rPr>
                <w:rFonts w:ascii="Calibri Light" w:eastAsia="Times New Roman" w:hAnsi="Calibri Light" w:cs="Calibri Light"/>
                <w:color w:val="000000"/>
                <w:sz w:val="20"/>
                <w:szCs w:val="20"/>
                <w:lang w:eastAsia="en-GB"/>
              </w:rPr>
              <w:t>,</w:t>
            </w:r>
            <w:r w:rsidRPr="000A2AFE">
              <w:rPr>
                <w:rFonts w:ascii="Calibri Light" w:eastAsia="Times New Roman" w:hAnsi="Calibri Light" w:cs="Calibri Light"/>
                <w:color w:val="000000"/>
                <w:sz w:val="20"/>
                <w:szCs w:val="20"/>
                <w:lang w:eastAsia="en-GB"/>
              </w:rPr>
              <w:t xml:space="preserve"> </w:t>
            </w:r>
            <w:r w:rsidR="00AD5870" w:rsidRPr="000A2AFE">
              <w:rPr>
                <w:rFonts w:ascii="Calibri Light" w:eastAsia="Times New Roman" w:hAnsi="Calibri Light" w:cs="Calibri Light"/>
                <w:color w:val="000000"/>
                <w:sz w:val="20"/>
                <w:szCs w:val="20"/>
                <w:lang w:eastAsia="en-GB"/>
              </w:rPr>
              <w:t>у складу са</w:t>
            </w:r>
            <w:r w:rsidRPr="000A2AFE">
              <w:rPr>
                <w:rFonts w:ascii="Calibri Light" w:eastAsia="Times New Roman" w:hAnsi="Calibri Light" w:cs="Calibri Light"/>
                <w:color w:val="000000"/>
                <w:sz w:val="20"/>
                <w:szCs w:val="20"/>
                <w:lang w:eastAsia="en-GB"/>
              </w:rPr>
              <w:t xml:space="preserve"> одговарајућим прогнозама. Поред тога, </w:t>
            </w:r>
            <w:r w:rsidR="00B61D65" w:rsidRPr="000A2AFE">
              <w:rPr>
                <w:rFonts w:ascii="Calibri Light" w:eastAsia="Times New Roman" w:hAnsi="Calibri Light" w:cs="Calibri Light"/>
                <w:color w:val="000000"/>
                <w:sz w:val="20"/>
                <w:szCs w:val="20"/>
                <w:lang w:eastAsia="en-GB"/>
              </w:rPr>
              <w:t xml:space="preserve">приликом доношења одлука за адаптацију, унапређење и проширење електричних мрежа, </w:t>
            </w:r>
            <w:r w:rsidR="00AD5870" w:rsidRPr="000A2AFE">
              <w:rPr>
                <w:rFonts w:ascii="Calibri Light" w:eastAsia="Times New Roman" w:hAnsi="Calibri Light" w:cs="Calibri Light"/>
                <w:color w:val="000000"/>
                <w:sz w:val="20"/>
                <w:szCs w:val="20"/>
                <w:lang w:eastAsia="en-GB"/>
              </w:rPr>
              <w:t>оператори електр</w:t>
            </w:r>
            <w:r w:rsidR="00B61D65" w:rsidRPr="000A2AFE">
              <w:rPr>
                <w:rFonts w:ascii="Calibri Light" w:eastAsia="Times New Roman" w:hAnsi="Calibri Light" w:cs="Calibri Light"/>
                <w:color w:val="000000"/>
                <w:sz w:val="20"/>
                <w:szCs w:val="20"/>
                <w:lang w:eastAsia="en-GB"/>
              </w:rPr>
              <w:t>ичне мреже</w:t>
            </w:r>
            <w:r w:rsidR="00AD5870" w:rsidRPr="000A2AFE">
              <w:rPr>
                <w:rFonts w:ascii="Calibri Light" w:eastAsia="Times New Roman" w:hAnsi="Calibri Light" w:cs="Calibri Light"/>
                <w:color w:val="000000"/>
                <w:sz w:val="20"/>
                <w:szCs w:val="20"/>
                <w:lang w:eastAsia="en-GB"/>
              </w:rPr>
              <w:t xml:space="preserve"> ће </w:t>
            </w:r>
            <w:r w:rsidR="004414A7" w:rsidRPr="000A2AFE">
              <w:rPr>
                <w:rFonts w:ascii="Calibri Light" w:eastAsia="Times New Roman" w:hAnsi="Calibri Light" w:cs="Calibri Light"/>
                <w:color w:val="000000"/>
                <w:sz w:val="20"/>
                <w:szCs w:val="20"/>
                <w:lang w:eastAsia="en-GB"/>
              </w:rPr>
              <w:t>наставити да</w:t>
            </w:r>
            <w:r w:rsidR="002E38D9" w:rsidRPr="000A2AFE">
              <w:rPr>
                <w:rFonts w:ascii="Calibri Light" w:eastAsia="Times New Roman" w:hAnsi="Calibri Light" w:cs="Calibri Light"/>
                <w:color w:val="000000"/>
                <w:sz w:val="20"/>
                <w:szCs w:val="20"/>
                <w:lang w:eastAsia="en-GB"/>
              </w:rPr>
              <w:t xml:space="preserve"> узима</w:t>
            </w:r>
            <w:r w:rsidR="004414A7" w:rsidRPr="000A2AFE">
              <w:rPr>
                <w:rFonts w:ascii="Calibri Light" w:eastAsia="Times New Roman" w:hAnsi="Calibri Light" w:cs="Calibri Light"/>
                <w:color w:val="000000"/>
                <w:sz w:val="20"/>
                <w:szCs w:val="20"/>
                <w:lang w:eastAsia="en-GB"/>
              </w:rPr>
              <w:t>ју у</w:t>
            </w:r>
            <w:r w:rsidR="002E38D9" w:rsidRPr="000A2AFE">
              <w:rPr>
                <w:rFonts w:ascii="Calibri Light" w:eastAsia="Times New Roman" w:hAnsi="Calibri Light" w:cs="Calibri Light"/>
                <w:color w:val="000000"/>
                <w:sz w:val="20"/>
                <w:szCs w:val="20"/>
                <w:lang w:eastAsia="en-GB"/>
              </w:rPr>
              <w:t xml:space="preserve"> </w:t>
            </w:r>
            <w:r w:rsidR="004A14F3">
              <w:rPr>
                <w:rFonts w:ascii="Calibri Light" w:eastAsia="Times New Roman" w:hAnsi="Calibri Light" w:cs="Calibri Light"/>
                <w:color w:val="000000"/>
                <w:sz w:val="20"/>
                <w:szCs w:val="20"/>
                <w:lang w:val="sr-Latn-RS" w:eastAsia="en-GB"/>
              </w:rPr>
              <w:t>o</w:t>
            </w:r>
            <w:r w:rsidR="004A14F3" w:rsidRPr="000A2AFE">
              <w:rPr>
                <w:rFonts w:ascii="Calibri Light" w:eastAsia="Times New Roman" w:hAnsi="Calibri Light" w:cs="Calibri Light"/>
                <w:color w:val="000000"/>
                <w:sz w:val="20"/>
                <w:szCs w:val="20"/>
                <w:lang w:eastAsia="en-GB"/>
              </w:rPr>
              <w:t xml:space="preserve">бзир </w:t>
            </w:r>
            <w:r w:rsidR="005E1BFD" w:rsidRPr="000A2AFE">
              <w:rPr>
                <w:rFonts w:ascii="Calibri Light" w:eastAsia="Times New Roman" w:hAnsi="Calibri Light" w:cs="Calibri Light"/>
                <w:color w:val="000000"/>
                <w:sz w:val="20"/>
                <w:szCs w:val="20"/>
                <w:lang w:eastAsia="en-GB"/>
              </w:rPr>
              <w:t xml:space="preserve">планирану интеграцију постројења на обновљиве изворе енергије, при чему ће трошкови потребних инвестиција бити повраћени </w:t>
            </w:r>
            <w:r w:rsidR="00B61D65" w:rsidRPr="000A2AFE">
              <w:rPr>
                <w:rFonts w:ascii="Calibri Light" w:eastAsia="Times New Roman" w:hAnsi="Calibri Light" w:cs="Calibri Light"/>
                <w:color w:val="000000"/>
                <w:sz w:val="20"/>
                <w:szCs w:val="20"/>
                <w:lang w:eastAsia="en-GB"/>
              </w:rPr>
              <w:t xml:space="preserve">кроз </w:t>
            </w:r>
            <w:r w:rsidR="005E1BFD" w:rsidRPr="000A2AFE">
              <w:rPr>
                <w:rFonts w:ascii="Calibri Light" w:eastAsia="Times New Roman" w:hAnsi="Calibri Light" w:cs="Calibri Light"/>
                <w:color w:val="000000"/>
                <w:sz w:val="20"/>
                <w:szCs w:val="20"/>
                <w:lang w:eastAsia="en-GB"/>
              </w:rPr>
              <w:t>тариф</w:t>
            </w:r>
            <w:r w:rsidR="00B61D65" w:rsidRPr="000A2AFE">
              <w:rPr>
                <w:rFonts w:ascii="Calibri Light" w:eastAsia="Times New Roman" w:hAnsi="Calibri Light" w:cs="Calibri Light"/>
                <w:color w:val="000000"/>
                <w:sz w:val="20"/>
                <w:szCs w:val="20"/>
                <w:lang w:eastAsia="en-GB"/>
              </w:rPr>
              <w:t xml:space="preserve">е за </w:t>
            </w:r>
            <w:r w:rsidR="005E1BFD" w:rsidRPr="000A2AFE">
              <w:rPr>
                <w:rFonts w:ascii="Calibri Light" w:eastAsia="Times New Roman" w:hAnsi="Calibri Light" w:cs="Calibri Light"/>
                <w:color w:val="000000"/>
                <w:sz w:val="20"/>
                <w:szCs w:val="20"/>
                <w:lang w:eastAsia="en-GB"/>
              </w:rPr>
              <w:t>електричн</w:t>
            </w:r>
            <w:r w:rsidR="00B61D65" w:rsidRPr="000A2AFE">
              <w:rPr>
                <w:rFonts w:ascii="Calibri Light" w:eastAsia="Times New Roman" w:hAnsi="Calibri Light" w:cs="Calibri Light"/>
                <w:color w:val="000000"/>
                <w:sz w:val="20"/>
                <w:szCs w:val="20"/>
                <w:lang w:eastAsia="en-GB"/>
              </w:rPr>
              <w:t>у</w:t>
            </w:r>
            <w:r w:rsidR="005E1BFD" w:rsidRPr="000A2AFE">
              <w:rPr>
                <w:rFonts w:ascii="Calibri Light" w:eastAsia="Times New Roman" w:hAnsi="Calibri Light" w:cs="Calibri Light"/>
                <w:color w:val="000000"/>
                <w:sz w:val="20"/>
                <w:szCs w:val="20"/>
                <w:lang w:eastAsia="en-GB"/>
              </w:rPr>
              <w:t xml:space="preserve"> енергиј</w:t>
            </w:r>
            <w:r w:rsidR="00B61D65" w:rsidRPr="000A2AFE">
              <w:rPr>
                <w:rFonts w:ascii="Calibri Light" w:eastAsia="Times New Roman" w:hAnsi="Calibri Light" w:cs="Calibri Light"/>
                <w:color w:val="000000"/>
                <w:sz w:val="20"/>
                <w:szCs w:val="20"/>
                <w:lang w:eastAsia="en-GB"/>
              </w:rPr>
              <w:t>у</w:t>
            </w:r>
            <w:r w:rsidR="005E1BFD" w:rsidRPr="000A2AFE">
              <w:rPr>
                <w:rFonts w:ascii="Calibri Light" w:eastAsia="Times New Roman" w:hAnsi="Calibri Light" w:cs="Calibri Light"/>
                <w:color w:val="000000"/>
                <w:sz w:val="20"/>
                <w:szCs w:val="20"/>
                <w:lang w:eastAsia="en-GB"/>
              </w:rPr>
              <w:t>.</w:t>
            </w:r>
            <w:r w:rsidR="004A14F3" w:rsidRPr="004A14F3">
              <w:rPr>
                <w:rFonts w:ascii="Calibri Light" w:eastAsia="Times New Roman" w:hAnsi="Calibri Light" w:cs="Calibri Light"/>
                <w:color w:val="000000"/>
                <w:sz w:val="20"/>
                <w:szCs w:val="20"/>
                <w:lang w:eastAsia="en-GB"/>
              </w:rPr>
              <w:t xml:space="preserve"> На крају, контрола реактивне снаге и друге услуге ће бити подстицане такође и због чињенице да су постале све значајније за обезбеђење стабилности система имајући у виду повлачење фосилних горива и повећано коришћење обновљивих извора енергије.</w:t>
            </w:r>
          </w:p>
        </w:tc>
      </w:tr>
      <w:tr w:rsidR="00854ADA" w:rsidRPr="00FF386D" w14:paraId="22832467" w14:textId="77777777" w:rsidTr="0057310C">
        <w:trPr>
          <w:trHeight w:val="315"/>
        </w:trPr>
        <w:tc>
          <w:tcPr>
            <w:tcW w:w="3274" w:type="dxa"/>
            <w:tcBorders>
              <w:top w:val="nil"/>
              <w:left w:val="single" w:sz="8" w:space="0" w:color="auto"/>
              <w:bottom w:val="single" w:sz="8" w:space="0" w:color="auto"/>
              <w:right w:val="single" w:sz="8" w:space="0" w:color="auto"/>
            </w:tcBorders>
            <w:shd w:val="clear" w:color="000000" w:fill="244062"/>
            <w:vAlign w:val="center"/>
            <w:hideMark/>
          </w:tcPr>
          <w:p w14:paraId="48B3A8E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84" w:type="dxa"/>
            <w:gridSpan w:val="3"/>
            <w:tcBorders>
              <w:top w:val="single" w:sz="8" w:space="0" w:color="auto"/>
              <w:left w:val="nil"/>
              <w:bottom w:val="single" w:sz="8" w:space="0" w:color="auto"/>
              <w:right w:val="single" w:sz="8" w:space="0" w:color="000000"/>
            </w:tcBorders>
            <w:shd w:val="clear" w:color="auto" w:fill="auto"/>
            <w:vAlign w:val="center"/>
            <w:hideMark/>
          </w:tcPr>
          <w:p w14:paraId="2F63CB83" w14:textId="5183B3A9"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EA6366"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-2030.</w:t>
            </w:r>
          </w:p>
        </w:tc>
      </w:tr>
      <w:tr w:rsidR="00854ADA" w:rsidRPr="00FF386D" w14:paraId="0F693423" w14:textId="77777777" w:rsidTr="0057310C">
        <w:trPr>
          <w:trHeight w:val="315"/>
        </w:trPr>
        <w:tc>
          <w:tcPr>
            <w:tcW w:w="3274" w:type="dxa"/>
            <w:tcBorders>
              <w:top w:val="nil"/>
              <w:left w:val="single" w:sz="8" w:space="0" w:color="auto"/>
              <w:bottom w:val="single" w:sz="8" w:space="0" w:color="auto"/>
              <w:right w:val="single" w:sz="8" w:space="0" w:color="auto"/>
            </w:tcBorders>
            <w:shd w:val="clear" w:color="000000" w:fill="244062"/>
            <w:vAlign w:val="center"/>
            <w:hideMark/>
          </w:tcPr>
          <w:p w14:paraId="1C1845A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84" w:type="dxa"/>
            <w:gridSpan w:val="3"/>
            <w:tcBorders>
              <w:top w:val="single" w:sz="8" w:space="0" w:color="auto"/>
              <w:left w:val="nil"/>
              <w:bottom w:val="single" w:sz="8" w:space="0" w:color="auto"/>
              <w:right w:val="single" w:sz="8" w:space="0" w:color="000000"/>
            </w:tcBorders>
            <w:shd w:val="clear" w:color="auto" w:fill="auto"/>
            <w:vAlign w:val="center"/>
            <w:hideMark/>
          </w:tcPr>
          <w:p w14:paraId="6A350762"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Реформа</w:t>
            </w:r>
          </w:p>
        </w:tc>
      </w:tr>
      <w:tr w:rsidR="00854ADA" w:rsidRPr="00FF386D" w14:paraId="536E6F94" w14:textId="77777777" w:rsidTr="0057310C">
        <w:trPr>
          <w:trHeight w:val="315"/>
        </w:trPr>
        <w:tc>
          <w:tcPr>
            <w:tcW w:w="3274" w:type="dxa"/>
            <w:tcBorders>
              <w:top w:val="nil"/>
              <w:left w:val="single" w:sz="8" w:space="0" w:color="auto"/>
              <w:bottom w:val="single" w:sz="8" w:space="0" w:color="auto"/>
              <w:right w:val="single" w:sz="8" w:space="0" w:color="auto"/>
            </w:tcBorders>
            <w:shd w:val="clear" w:color="000000" w:fill="244062"/>
            <w:vAlign w:val="center"/>
            <w:hideMark/>
          </w:tcPr>
          <w:p w14:paraId="5201EE0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84" w:type="dxa"/>
            <w:gridSpan w:val="3"/>
            <w:tcBorders>
              <w:top w:val="single" w:sz="8" w:space="0" w:color="auto"/>
              <w:left w:val="nil"/>
              <w:bottom w:val="single" w:sz="8" w:space="0" w:color="auto"/>
              <w:right w:val="single" w:sz="8" w:space="0" w:color="000000"/>
            </w:tcBorders>
            <w:shd w:val="clear" w:color="auto" w:fill="auto"/>
            <w:vAlign w:val="center"/>
            <w:hideMark/>
          </w:tcPr>
          <w:p w14:paraId="2F14FE59"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Електроенергетика</w:t>
            </w:r>
          </w:p>
        </w:tc>
      </w:tr>
      <w:tr w:rsidR="00854ADA" w:rsidRPr="00FF386D" w14:paraId="63447425" w14:textId="77777777" w:rsidTr="0057310C">
        <w:trPr>
          <w:trHeight w:val="315"/>
        </w:trPr>
        <w:tc>
          <w:tcPr>
            <w:tcW w:w="3274" w:type="dxa"/>
            <w:tcBorders>
              <w:top w:val="nil"/>
              <w:left w:val="single" w:sz="8" w:space="0" w:color="auto"/>
              <w:bottom w:val="single" w:sz="8" w:space="0" w:color="auto"/>
              <w:right w:val="single" w:sz="8" w:space="0" w:color="auto"/>
            </w:tcBorders>
            <w:shd w:val="clear" w:color="000000" w:fill="244062"/>
            <w:vAlign w:val="center"/>
            <w:hideMark/>
          </w:tcPr>
          <w:p w14:paraId="4EBB530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84" w:type="dxa"/>
            <w:gridSpan w:val="3"/>
            <w:tcBorders>
              <w:top w:val="single" w:sz="8" w:space="0" w:color="auto"/>
              <w:left w:val="nil"/>
              <w:bottom w:val="single" w:sz="8" w:space="0" w:color="auto"/>
              <w:right w:val="single" w:sz="8" w:space="0" w:color="000000"/>
            </w:tcBorders>
            <w:shd w:val="clear" w:color="auto" w:fill="auto"/>
            <w:vAlign w:val="center"/>
            <w:hideMark/>
          </w:tcPr>
          <w:p w14:paraId="036D6B0C" w14:textId="308E9F61"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Електродис</w:t>
            </w:r>
            <w:r w:rsidR="00201464" w:rsidRPr="00FF386D">
              <w:rPr>
                <w:rFonts w:ascii="Calibri Light" w:eastAsia="Times New Roman" w:hAnsi="Calibri Light" w:cs="Calibri Light"/>
                <w:color w:val="000000"/>
                <w:sz w:val="20"/>
                <w:szCs w:val="20"/>
                <w:lang w:eastAsia="en-GB"/>
              </w:rPr>
              <w:t>т</w:t>
            </w:r>
            <w:r w:rsidRPr="000A2AFE">
              <w:rPr>
                <w:rFonts w:ascii="Calibri Light" w:eastAsia="Times New Roman" w:hAnsi="Calibri Light" w:cs="Calibri Light"/>
                <w:color w:val="000000"/>
                <w:sz w:val="20"/>
                <w:szCs w:val="20"/>
                <w:lang w:eastAsia="en-GB"/>
              </w:rPr>
              <w:t>рибуција Србије</w:t>
            </w:r>
            <w:r w:rsidR="00F3410B" w:rsidRPr="000A2AFE">
              <w:rPr>
                <w:rFonts w:ascii="Calibri Light" w:eastAsia="Times New Roman" w:hAnsi="Calibri Light" w:cs="Calibri Light"/>
                <w:color w:val="000000"/>
                <w:sz w:val="20"/>
                <w:szCs w:val="20"/>
                <w:lang w:eastAsia="en-GB"/>
              </w:rPr>
              <w:t xml:space="preserve"> д.о.о. Београд</w:t>
            </w:r>
          </w:p>
          <w:p w14:paraId="17B0589E"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Акционарско друштво ЕМС</w:t>
            </w:r>
          </w:p>
        </w:tc>
      </w:tr>
      <w:tr w:rsidR="00854ADA" w:rsidRPr="00FF386D" w14:paraId="1D1401C9" w14:textId="77777777" w:rsidTr="0057310C">
        <w:trPr>
          <w:trHeight w:val="315"/>
        </w:trPr>
        <w:tc>
          <w:tcPr>
            <w:tcW w:w="3274" w:type="dxa"/>
            <w:tcBorders>
              <w:top w:val="nil"/>
              <w:left w:val="single" w:sz="8" w:space="0" w:color="auto"/>
              <w:bottom w:val="single" w:sz="8" w:space="0" w:color="auto"/>
              <w:right w:val="nil"/>
            </w:tcBorders>
            <w:shd w:val="clear" w:color="000000" w:fill="244062"/>
            <w:vAlign w:val="center"/>
            <w:hideMark/>
          </w:tcPr>
          <w:p w14:paraId="5428ABF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84" w:type="dxa"/>
            <w:gridSpan w:val="3"/>
            <w:tcBorders>
              <w:top w:val="single" w:sz="8" w:space="0" w:color="auto"/>
              <w:left w:val="nil"/>
              <w:bottom w:val="single" w:sz="8" w:space="0" w:color="auto"/>
              <w:right w:val="single" w:sz="8" w:space="0" w:color="000000"/>
            </w:tcBorders>
            <w:shd w:val="clear" w:color="auto" w:fill="auto"/>
            <w:vAlign w:val="center"/>
            <w:hideMark/>
          </w:tcPr>
          <w:p w14:paraId="375A44F3" w14:textId="3C92BDD7" w:rsidR="00854ADA" w:rsidRPr="000A2AFE" w:rsidRDefault="00364548" w:rsidP="000A2AFE">
            <w:pPr>
              <w:pStyle w:val="ListParagraph"/>
              <w:numPr>
                <w:ilvl w:val="0"/>
                <w:numId w:val="324"/>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204277CB" w14:textId="77777777" w:rsidTr="0057310C">
        <w:trPr>
          <w:trHeight w:val="315"/>
        </w:trPr>
        <w:tc>
          <w:tcPr>
            <w:tcW w:w="3274" w:type="dxa"/>
            <w:tcBorders>
              <w:top w:val="nil"/>
              <w:left w:val="single" w:sz="8" w:space="0" w:color="auto"/>
              <w:bottom w:val="single" w:sz="8" w:space="0" w:color="auto"/>
              <w:right w:val="nil"/>
            </w:tcBorders>
            <w:shd w:val="clear" w:color="000000" w:fill="244062"/>
            <w:vAlign w:val="center"/>
            <w:hideMark/>
          </w:tcPr>
          <w:p w14:paraId="239537E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84" w:type="dxa"/>
            <w:gridSpan w:val="3"/>
            <w:tcBorders>
              <w:top w:val="single" w:sz="8" w:space="0" w:color="auto"/>
              <w:left w:val="nil"/>
              <w:bottom w:val="single" w:sz="8" w:space="0" w:color="auto"/>
              <w:right w:val="single" w:sz="8" w:space="0" w:color="000000"/>
            </w:tcBorders>
            <w:shd w:val="clear" w:color="auto" w:fill="auto"/>
            <w:vAlign w:val="center"/>
            <w:hideMark/>
          </w:tcPr>
          <w:p w14:paraId="2E8DDE53" w14:textId="77777777" w:rsidR="00854ADA" w:rsidRPr="000A2AFE" w:rsidRDefault="00854ADA" w:rsidP="000A2AFE">
            <w:pPr>
              <w:pStyle w:val="ListParagraph"/>
              <w:numPr>
                <w:ilvl w:val="0"/>
                <w:numId w:val="32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Адаптиране, унапређене и проширене мреже</w:t>
            </w:r>
          </w:p>
          <w:p w14:paraId="1396EE59" w14:textId="77777777" w:rsidR="00854ADA" w:rsidRPr="000A2AFE" w:rsidRDefault="00854ADA" w:rsidP="000A2AFE">
            <w:pPr>
              <w:pStyle w:val="ListParagraph"/>
              <w:numPr>
                <w:ilvl w:val="0"/>
                <w:numId w:val="32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Развијен законодавни и регулаторни оквир</w:t>
            </w:r>
          </w:p>
        </w:tc>
      </w:tr>
      <w:tr w:rsidR="00854ADA" w:rsidRPr="00FF386D" w14:paraId="160AECF3" w14:textId="77777777" w:rsidTr="0057310C">
        <w:trPr>
          <w:trHeight w:val="377"/>
        </w:trPr>
        <w:tc>
          <w:tcPr>
            <w:tcW w:w="3274" w:type="dxa"/>
            <w:tcBorders>
              <w:top w:val="nil"/>
              <w:left w:val="single" w:sz="8" w:space="0" w:color="auto"/>
              <w:bottom w:val="single" w:sz="8" w:space="0" w:color="auto"/>
              <w:right w:val="single" w:sz="8" w:space="0" w:color="auto"/>
            </w:tcBorders>
            <w:shd w:val="clear" w:color="000000" w:fill="244062"/>
            <w:vAlign w:val="center"/>
            <w:hideMark/>
          </w:tcPr>
          <w:p w14:paraId="30FA67B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84" w:type="dxa"/>
            <w:gridSpan w:val="3"/>
            <w:tcBorders>
              <w:top w:val="single" w:sz="8" w:space="0" w:color="auto"/>
              <w:left w:val="nil"/>
              <w:bottom w:val="single" w:sz="8" w:space="0" w:color="auto"/>
              <w:right w:val="single" w:sz="8" w:space="0" w:color="000000"/>
            </w:tcBorders>
            <w:shd w:val="clear" w:color="auto" w:fill="auto"/>
            <w:vAlign w:val="center"/>
          </w:tcPr>
          <w:p w14:paraId="0CEA0A4E" w14:textId="77777777" w:rsidR="00364548" w:rsidRPr="00364548" w:rsidRDefault="00364548" w:rsidP="00364548">
            <w:pPr>
              <w:numPr>
                <w:ilvl w:val="0"/>
                <w:numId w:val="114"/>
              </w:numPr>
              <w:spacing w:after="0" w:line="240" w:lineRule="auto"/>
              <w:rPr>
                <w:rFonts w:ascii="Calibri Light" w:eastAsia="Times New Roman" w:hAnsi="Calibri Light" w:cs="Calibri Light"/>
                <w:color w:val="000000"/>
                <w:sz w:val="20"/>
                <w:szCs w:val="20"/>
                <w:lang w:eastAsia="en-GB"/>
              </w:rPr>
            </w:pPr>
            <w:r w:rsidRPr="00364548">
              <w:rPr>
                <w:rFonts w:ascii="Calibri Light" w:eastAsia="Times New Roman" w:hAnsi="Calibri Light" w:cs="Calibri Light"/>
                <w:color w:val="000000"/>
                <w:sz w:val="20"/>
                <w:szCs w:val="20"/>
                <w:lang w:eastAsia="en-GB"/>
              </w:rPr>
              <w:t>Енергетска ефикасност (промовисане технологије ОИЕ ће довести и до уштеде примарне енергије доприносећи постизању релевантних циљева)</w:t>
            </w:r>
          </w:p>
          <w:p w14:paraId="099A0B5C" w14:textId="623B3D9E" w:rsidR="00364548" w:rsidRPr="00364548" w:rsidRDefault="00364548" w:rsidP="00364548">
            <w:pPr>
              <w:numPr>
                <w:ilvl w:val="0"/>
                <w:numId w:val="114"/>
              </w:numPr>
              <w:spacing w:after="0" w:line="240" w:lineRule="auto"/>
              <w:rPr>
                <w:rFonts w:ascii="Calibri Light" w:eastAsia="Times New Roman" w:hAnsi="Calibri Light" w:cs="Calibri Light"/>
                <w:color w:val="000000"/>
                <w:sz w:val="20"/>
                <w:szCs w:val="20"/>
                <w:lang w:eastAsia="en-GB"/>
              </w:rPr>
            </w:pPr>
            <w:r w:rsidRPr="00364548">
              <w:rPr>
                <w:rFonts w:ascii="Calibri Light" w:eastAsia="Times New Roman" w:hAnsi="Calibri Light" w:cs="Calibri Light"/>
                <w:color w:val="000000"/>
                <w:sz w:val="20"/>
                <w:szCs w:val="20"/>
                <w:lang w:eastAsia="en-GB"/>
              </w:rPr>
              <w:t>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p w14:paraId="1169771A" w14:textId="7E69806E" w:rsidR="00854ADA" w:rsidRPr="000A2AFE" w:rsidRDefault="00364548"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Унутрашње енергетско тржиште (примена технологија ОИЕ ће ојачати интеграцију и спајање </w:t>
            </w:r>
            <w:r>
              <w:rPr>
                <w:rFonts w:ascii="Calibri Light" w:eastAsia="Times New Roman" w:hAnsi="Calibri Light" w:cs="Calibri Light"/>
                <w:color w:val="000000"/>
                <w:sz w:val="20"/>
                <w:szCs w:val="20"/>
                <w:lang w:eastAsia="en-GB"/>
              </w:rPr>
              <w:t>тржишта</w:t>
            </w:r>
            <w:r w:rsidRPr="000A2AFE">
              <w:rPr>
                <w:rFonts w:ascii="Calibri Light" w:eastAsia="Times New Roman" w:hAnsi="Calibri Light" w:cs="Calibri Light"/>
                <w:color w:val="000000"/>
                <w:sz w:val="20"/>
                <w:szCs w:val="20"/>
                <w:lang w:eastAsia="en-GB"/>
              </w:rPr>
              <w:t>)</w:t>
            </w:r>
          </w:p>
        </w:tc>
      </w:tr>
      <w:tr w:rsidR="00854ADA" w:rsidRPr="00FF386D" w14:paraId="430862EF" w14:textId="77777777" w:rsidTr="0057310C">
        <w:trPr>
          <w:trHeight w:val="450"/>
        </w:trPr>
        <w:tc>
          <w:tcPr>
            <w:tcW w:w="3274"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3C30EB36" w14:textId="05AA4B94"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84"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3BBC54A7"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2018/2001/ЕУ</w:t>
            </w:r>
          </w:p>
        </w:tc>
      </w:tr>
      <w:tr w:rsidR="00854ADA" w:rsidRPr="00FF386D" w14:paraId="5DC02DE1" w14:textId="77777777" w:rsidTr="0057310C">
        <w:trPr>
          <w:trHeight w:val="450"/>
        </w:trPr>
        <w:tc>
          <w:tcPr>
            <w:tcW w:w="3274" w:type="dxa"/>
            <w:vMerge/>
            <w:tcBorders>
              <w:top w:val="nil"/>
              <w:left w:val="single" w:sz="8" w:space="0" w:color="auto"/>
              <w:bottom w:val="single" w:sz="8" w:space="0" w:color="000000"/>
              <w:right w:val="single" w:sz="8" w:space="0" w:color="auto"/>
            </w:tcBorders>
            <w:vAlign w:val="center"/>
            <w:hideMark/>
          </w:tcPr>
          <w:p w14:paraId="33C8439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84" w:type="dxa"/>
            <w:gridSpan w:val="3"/>
            <w:vMerge/>
            <w:tcBorders>
              <w:top w:val="single" w:sz="8" w:space="0" w:color="auto"/>
              <w:left w:val="single" w:sz="8" w:space="0" w:color="auto"/>
              <w:bottom w:val="single" w:sz="8" w:space="0" w:color="000000"/>
              <w:right w:val="single" w:sz="8" w:space="0" w:color="000000"/>
            </w:tcBorders>
            <w:vAlign w:val="center"/>
            <w:hideMark/>
          </w:tcPr>
          <w:p w14:paraId="24D6C13E"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4024B5B3" w14:textId="77777777" w:rsidTr="0057310C">
        <w:trPr>
          <w:trHeight w:val="450"/>
        </w:trPr>
        <w:tc>
          <w:tcPr>
            <w:tcW w:w="3274" w:type="dxa"/>
            <w:vMerge/>
            <w:tcBorders>
              <w:top w:val="nil"/>
              <w:left w:val="single" w:sz="8" w:space="0" w:color="auto"/>
              <w:bottom w:val="single" w:sz="8" w:space="0" w:color="000000"/>
              <w:right w:val="single" w:sz="8" w:space="0" w:color="auto"/>
            </w:tcBorders>
            <w:vAlign w:val="center"/>
            <w:hideMark/>
          </w:tcPr>
          <w:p w14:paraId="30AD001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84" w:type="dxa"/>
            <w:gridSpan w:val="3"/>
            <w:vMerge/>
            <w:tcBorders>
              <w:top w:val="single" w:sz="8" w:space="0" w:color="auto"/>
              <w:left w:val="single" w:sz="8" w:space="0" w:color="auto"/>
              <w:bottom w:val="single" w:sz="8" w:space="0" w:color="000000"/>
              <w:right w:val="single" w:sz="8" w:space="0" w:color="000000"/>
            </w:tcBorders>
            <w:vAlign w:val="center"/>
            <w:hideMark/>
          </w:tcPr>
          <w:p w14:paraId="77E8FC51"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18F2D22C" w14:textId="77777777" w:rsidTr="0057310C">
        <w:trPr>
          <w:trHeight w:val="283"/>
        </w:trPr>
        <w:tc>
          <w:tcPr>
            <w:tcW w:w="3274" w:type="dxa"/>
            <w:tcBorders>
              <w:top w:val="nil"/>
              <w:left w:val="single" w:sz="8" w:space="0" w:color="auto"/>
              <w:bottom w:val="single" w:sz="8" w:space="0" w:color="auto"/>
              <w:right w:val="single" w:sz="8" w:space="0" w:color="auto"/>
            </w:tcBorders>
            <w:shd w:val="clear" w:color="000000" w:fill="244062"/>
            <w:vAlign w:val="center"/>
            <w:hideMark/>
          </w:tcPr>
          <w:p w14:paraId="5B5B5AA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84" w:type="dxa"/>
            <w:gridSpan w:val="3"/>
            <w:tcBorders>
              <w:top w:val="single" w:sz="8" w:space="0" w:color="auto"/>
              <w:left w:val="nil"/>
              <w:bottom w:val="single" w:sz="8" w:space="0" w:color="auto"/>
              <w:right w:val="single" w:sz="8" w:space="0" w:color="000000"/>
            </w:tcBorders>
            <w:shd w:val="clear" w:color="auto" w:fill="auto"/>
            <w:vAlign w:val="center"/>
            <w:hideMark/>
          </w:tcPr>
          <w:p w14:paraId="1D8405CC" w14:textId="77777777" w:rsidR="00854ADA" w:rsidRDefault="00FF6647" w:rsidP="00FF6647">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6647">
              <w:rPr>
                <w:rFonts w:ascii="Calibri Light" w:eastAsia="Times New Roman" w:hAnsi="Calibri Light" w:cs="Calibri Light"/>
                <w:color w:val="000000"/>
                <w:sz w:val="20"/>
                <w:szCs w:val="20"/>
                <w:lang w:eastAsia="en-GB"/>
              </w:rPr>
              <w:t>Закон о енергетици</w:t>
            </w:r>
          </w:p>
          <w:p w14:paraId="5AB2D06D" w14:textId="2B788EA6" w:rsidR="00FF6647" w:rsidRPr="00FF386D" w:rsidRDefault="00FF6647" w:rsidP="000A2AFE">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6647">
              <w:rPr>
                <w:rFonts w:ascii="Calibri Light" w:eastAsia="Times New Roman" w:hAnsi="Calibri Light" w:cs="Calibri Light"/>
                <w:color w:val="000000"/>
                <w:sz w:val="20"/>
                <w:szCs w:val="20"/>
                <w:lang w:eastAsia="en-GB"/>
              </w:rPr>
              <w:t>Закон о планирању и изградњи</w:t>
            </w:r>
          </w:p>
        </w:tc>
      </w:tr>
      <w:tr w:rsidR="00854ADA" w:rsidRPr="00FF386D" w14:paraId="3A50CB7B" w14:textId="77777777" w:rsidTr="0057310C">
        <w:trPr>
          <w:trHeight w:val="315"/>
        </w:trPr>
        <w:tc>
          <w:tcPr>
            <w:tcW w:w="3274" w:type="dxa"/>
            <w:tcBorders>
              <w:top w:val="nil"/>
              <w:left w:val="single" w:sz="8" w:space="0" w:color="auto"/>
              <w:bottom w:val="single" w:sz="8" w:space="0" w:color="auto"/>
              <w:right w:val="single" w:sz="8" w:space="0" w:color="auto"/>
            </w:tcBorders>
            <w:shd w:val="clear" w:color="000000" w:fill="244062"/>
            <w:vAlign w:val="center"/>
            <w:hideMark/>
          </w:tcPr>
          <w:p w14:paraId="36759D0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84" w:type="dxa"/>
            <w:gridSpan w:val="3"/>
            <w:tcBorders>
              <w:top w:val="single" w:sz="8" w:space="0" w:color="auto"/>
              <w:left w:val="nil"/>
              <w:bottom w:val="single" w:sz="8" w:space="0" w:color="auto"/>
              <w:right w:val="single" w:sz="8" w:space="0" w:color="000000"/>
            </w:tcBorders>
            <w:shd w:val="clear" w:color="auto" w:fill="auto"/>
            <w:vAlign w:val="center"/>
            <w:hideMark/>
          </w:tcPr>
          <w:p w14:paraId="5915F47A" w14:textId="1C05B23A" w:rsidR="00854ADA" w:rsidRPr="00FF386D" w:rsidRDefault="00E05505"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Потребно је размотрити</w:t>
            </w:r>
          </w:p>
        </w:tc>
      </w:tr>
      <w:tr w:rsidR="00854ADA" w:rsidRPr="00FF386D" w14:paraId="3E8660CC" w14:textId="77777777" w:rsidTr="0057310C">
        <w:trPr>
          <w:trHeight w:val="315"/>
        </w:trPr>
        <w:tc>
          <w:tcPr>
            <w:tcW w:w="3274" w:type="dxa"/>
            <w:tcBorders>
              <w:top w:val="nil"/>
              <w:left w:val="single" w:sz="8" w:space="0" w:color="auto"/>
              <w:bottom w:val="nil"/>
              <w:right w:val="single" w:sz="8" w:space="0" w:color="auto"/>
            </w:tcBorders>
            <w:shd w:val="clear" w:color="000000" w:fill="244062"/>
            <w:vAlign w:val="center"/>
            <w:hideMark/>
          </w:tcPr>
          <w:p w14:paraId="489AFB6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84" w:type="dxa"/>
            <w:gridSpan w:val="3"/>
            <w:tcBorders>
              <w:top w:val="single" w:sz="8" w:space="0" w:color="auto"/>
              <w:left w:val="nil"/>
              <w:bottom w:val="single" w:sz="8" w:space="0" w:color="auto"/>
              <w:right w:val="single" w:sz="8" w:space="0" w:color="000000"/>
            </w:tcBorders>
            <w:shd w:val="clear" w:color="auto" w:fill="auto"/>
            <w:vAlign w:val="center"/>
            <w:hideMark/>
          </w:tcPr>
          <w:p w14:paraId="7CAAC64D" w14:textId="256D76D2" w:rsidR="00854ADA" w:rsidRPr="00FF386D" w:rsidRDefault="00E05505" w:rsidP="00854ADA">
            <w:pPr>
              <w:spacing w:after="0" w:line="240" w:lineRule="auto"/>
              <w:rPr>
                <w:rFonts w:ascii="Calibri" w:eastAsia="Times New Roman" w:hAnsi="Calibri" w:cs="Calibri"/>
                <w:color w:val="000000"/>
                <w:sz w:val="20"/>
                <w:szCs w:val="20"/>
                <w:lang w:eastAsia="en-GB"/>
              </w:rPr>
            </w:pPr>
            <w:r w:rsidRPr="00FF386D">
              <w:rPr>
                <w:rFonts w:asciiTheme="majorHAnsi" w:eastAsia="Times New Roman" w:hAnsiTheme="majorHAnsi" w:cstheme="majorHAnsi"/>
                <w:color w:val="000000"/>
                <w:sz w:val="20"/>
                <w:szCs w:val="20"/>
                <w:lang w:eastAsia="en-GB"/>
              </w:rPr>
              <w:t>Потребно је размотрити</w:t>
            </w:r>
          </w:p>
        </w:tc>
      </w:tr>
    </w:tbl>
    <w:p w14:paraId="2B75B3DB" w14:textId="77777777" w:rsidR="00364548" w:rsidRDefault="00364548" w:rsidP="00854ADA">
      <w:pPr>
        <w:spacing w:before="160"/>
        <w:jc w:val="both"/>
        <w:rPr>
          <w:rFonts w:asciiTheme="majorHAnsi" w:hAnsiTheme="majorHAnsi" w:cstheme="majorHAnsi"/>
          <w:b/>
          <w:bCs/>
          <w:color w:val="000000"/>
        </w:rPr>
      </w:pPr>
    </w:p>
    <w:tbl>
      <w:tblPr>
        <w:tblW w:w="9680" w:type="dxa"/>
        <w:tblLook w:val="04A0" w:firstRow="1" w:lastRow="0" w:firstColumn="1" w:lastColumn="0" w:noHBand="0" w:noVBand="1"/>
      </w:tblPr>
      <w:tblGrid>
        <w:gridCol w:w="3276"/>
        <w:gridCol w:w="1114"/>
        <w:gridCol w:w="935"/>
        <w:gridCol w:w="4133"/>
        <w:gridCol w:w="222"/>
      </w:tblGrid>
      <w:tr w:rsidR="00364548" w:rsidRPr="007925BF" w14:paraId="2E71D5A6" w14:textId="77777777" w:rsidTr="00364548">
        <w:trPr>
          <w:gridAfter w:val="1"/>
          <w:wAfter w:w="222" w:type="dxa"/>
          <w:trHeight w:val="780"/>
        </w:trPr>
        <w:tc>
          <w:tcPr>
            <w:tcW w:w="3276" w:type="dxa"/>
            <w:tcBorders>
              <w:top w:val="single" w:sz="8" w:space="0" w:color="auto"/>
              <w:left w:val="single" w:sz="8" w:space="0" w:color="auto"/>
              <w:bottom w:val="single" w:sz="8" w:space="0" w:color="auto"/>
              <w:right w:val="single" w:sz="8" w:space="0" w:color="auto"/>
            </w:tcBorders>
            <w:shd w:val="clear" w:color="000000" w:fill="244062"/>
            <w:vAlign w:val="center"/>
          </w:tcPr>
          <w:p w14:paraId="641A90FC" w14:textId="5455DBBE" w:rsidR="00364548" w:rsidRPr="00CA503E" w:rsidRDefault="00364548" w:rsidP="00364548">
            <w:pPr>
              <w:spacing w:after="0" w:line="240" w:lineRule="auto"/>
              <w:jc w:val="both"/>
              <w:rPr>
                <w:rFonts w:ascii="Calibri Light" w:eastAsia="Times New Roman" w:hAnsi="Calibri Light" w:cs="Calibri Light"/>
                <w:b/>
                <w:bCs/>
                <w:color w:val="FFFFFF" w:themeColor="background1"/>
                <w:sz w:val="20"/>
                <w:szCs w:val="20"/>
                <w:lang w:eastAsia="en-GB"/>
              </w:rPr>
            </w:pPr>
            <w:r w:rsidRPr="00FF386D">
              <w:rPr>
                <w:rFonts w:asciiTheme="majorHAnsi" w:hAnsiTheme="majorHAnsi" w:cstheme="majorHAnsi"/>
                <w:b/>
                <w:bCs/>
                <w:sz w:val="20"/>
                <w:szCs w:val="20"/>
              </w:rPr>
              <w:t>Шифра мере политике:</w:t>
            </w:r>
          </w:p>
        </w:tc>
        <w:tc>
          <w:tcPr>
            <w:tcW w:w="11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65248AD0" w14:textId="3FD0FD33" w:rsidR="00364548" w:rsidRPr="00CA503E" w:rsidRDefault="00364548" w:rsidP="00364548">
            <w:pPr>
              <w:spacing w:after="0" w:line="240" w:lineRule="auto"/>
              <w:jc w:val="both"/>
              <w:rPr>
                <w:rFonts w:ascii="Calibri Light" w:eastAsia="Times New Roman" w:hAnsi="Calibri Light" w:cs="Calibri Light"/>
                <w:b/>
                <w:bCs/>
                <w:color w:val="000000" w:themeColor="text1"/>
                <w:sz w:val="20"/>
                <w:szCs w:val="20"/>
                <w:lang w:eastAsia="en-GB"/>
              </w:rPr>
            </w:pPr>
            <w:r>
              <w:rPr>
                <w:rFonts w:ascii="Calibri Light" w:eastAsia="Times New Roman" w:hAnsi="Calibri Light" w:cs="Calibri Light"/>
                <w:b/>
                <w:bCs/>
                <w:color w:val="000000" w:themeColor="text1"/>
                <w:sz w:val="20"/>
                <w:szCs w:val="20"/>
                <w:lang w:eastAsia="en-GB"/>
              </w:rPr>
              <w:t>МП</w:t>
            </w:r>
            <w:r w:rsidRPr="00CA503E">
              <w:rPr>
                <w:rFonts w:ascii="Calibri Light" w:eastAsia="Times New Roman" w:hAnsi="Calibri Light" w:cs="Calibri Light"/>
                <w:b/>
                <w:bCs/>
                <w:color w:val="000000" w:themeColor="text1"/>
                <w:sz w:val="20"/>
                <w:szCs w:val="20"/>
                <w:lang w:eastAsia="en-GB"/>
              </w:rPr>
              <w:t>_</w:t>
            </w:r>
            <w:r>
              <w:rPr>
                <w:rFonts w:ascii="Calibri Light" w:eastAsia="Times New Roman" w:hAnsi="Calibri Light" w:cs="Calibri Light"/>
                <w:b/>
                <w:bCs/>
                <w:color w:val="000000" w:themeColor="text1"/>
                <w:sz w:val="20"/>
                <w:szCs w:val="20"/>
                <w:lang w:eastAsia="en-GB"/>
              </w:rPr>
              <w:t>Д</w:t>
            </w:r>
            <w:r w:rsidRPr="00CA503E">
              <w:rPr>
                <w:rFonts w:ascii="Calibri Light" w:eastAsia="Times New Roman" w:hAnsi="Calibri Light" w:cs="Calibri Light"/>
                <w:b/>
                <w:bCs/>
                <w:color w:val="000000" w:themeColor="text1"/>
                <w:sz w:val="20"/>
                <w:szCs w:val="20"/>
                <w:lang w:eastAsia="en-GB"/>
              </w:rPr>
              <w:t>45</w:t>
            </w:r>
          </w:p>
        </w:tc>
        <w:tc>
          <w:tcPr>
            <w:tcW w:w="935" w:type="dxa"/>
            <w:tcBorders>
              <w:top w:val="single" w:sz="8" w:space="0" w:color="auto"/>
              <w:left w:val="nil"/>
              <w:bottom w:val="single" w:sz="8" w:space="0" w:color="auto"/>
              <w:right w:val="single" w:sz="8" w:space="0" w:color="auto"/>
            </w:tcBorders>
            <w:shd w:val="clear" w:color="000000" w:fill="244062"/>
            <w:vAlign w:val="center"/>
            <w:hideMark/>
          </w:tcPr>
          <w:p w14:paraId="45EE3AA8" w14:textId="635162A0" w:rsidR="00364548" w:rsidRPr="00CA503E" w:rsidRDefault="001D74FC" w:rsidP="00364548">
            <w:pPr>
              <w:spacing w:after="0" w:line="240" w:lineRule="auto"/>
              <w:rPr>
                <w:rFonts w:ascii="Calibri Light" w:eastAsia="Times New Roman" w:hAnsi="Calibri Light" w:cs="Calibri Light"/>
                <w:b/>
                <w:bCs/>
                <w:color w:val="000000" w:themeColor="text1"/>
                <w:sz w:val="20"/>
                <w:szCs w:val="20"/>
                <w:lang w:eastAsia="en-GB"/>
              </w:rPr>
            </w:pPr>
            <w:r>
              <w:rPr>
                <w:rFonts w:ascii="Calibri Light" w:eastAsia="Times New Roman" w:hAnsi="Calibri Light" w:cs="Calibri Light"/>
                <w:b/>
                <w:bCs/>
                <w:color w:val="FFFFFF" w:themeColor="background1"/>
                <w:sz w:val="20"/>
                <w:szCs w:val="20"/>
                <w:lang w:eastAsia="en-GB"/>
              </w:rPr>
              <w:t>Назив</w:t>
            </w:r>
            <w:r w:rsidR="00364548" w:rsidRPr="00CA503E">
              <w:rPr>
                <w:rFonts w:ascii="Calibri Light" w:eastAsia="Times New Roman" w:hAnsi="Calibri Light" w:cs="Calibri Light"/>
                <w:b/>
                <w:bCs/>
                <w:color w:val="FFFFFF" w:themeColor="background1"/>
                <w:sz w:val="20"/>
                <w:szCs w:val="20"/>
                <w:lang w:eastAsia="en-GB"/>
              </w:rPr>
              <w:t xml:space="preserve">: </w:t>
            </w:r>
          </w:p>
        </w:tc>
        <w:tc>
          <w:tcPr>
            <w:tcW w:w="4133" w:type="dxa"/>
            <w:tcBorders>
              <w:top w:val="single" w:sz="8" w:space="0" w:color="auto"/>
              <w:left w:val="nil"/>
              <w:bottom w:val="single" w:sz="8" w:space="0" w:color="auto"/>
              <w:right w:val="single" w:sz="8" w:space="0" w:color="auto"/>
            </w:tcBorders>
            <w:shd w:val="clear" w:color="auto" w:fill="E7E6E6" w:themeFill="background2"/>
            <w:vAlign w:val="center"/>
            <w:hideMark/>
          </w:tcPr>
          <w:p w14:paraId="5F4D2ADA" w14:textId="2394E7E3" w:rsidR="00364548" w:rsidRPr="00CA503E" w:rsidRDefault="001D74FC" w:rsidP="00364548">
            <w:pPr>
              <w:spacing w:after="0" w:line="240" w:lineRule="auto"/>
              <w:jc w:val="both"/>
              <w:rPr>
                <w:rFonts w:ascii="Calibri Light" w:eastAsia="Times New Roman" w:hAnsi="Calibri Light" w:cs="Calibri Light"/>
                <w:b/>
                <w:bCs/>
                <w:color w:val="000000" w:themeColor="text1"/>
                <w:sz w:val="20"/>
                <w:szCs w:val="20"/>
                <w:lang w:eastAsia="en-GB"/>
              </w:rPr>
            </w:pPr>
            <w:r>
              <w:rPr>
                <w:rFonts w:ascii="Calibri Light" w:eastAsia="Times New Roman" w:hAnsi="Calibri Light" w:cs="Calibri Light"/>
                <w:b/>
                <w:bCs/>
                <w:color w:val="000000" w:themeColor="text1"/>
                <w:sz w:val="20"/>
                <w:szCs w:val="20"/>
                <w:lang w:eastAsia="en-GB"/>
              </w:rPr>
              <w:t xml:space="preserve">Ажурирање и оптимизација оквира за </w:t>
            </w:r>
            <w:r w:rsidR="001223E8">
              <w:rPr>
                <w:rFonts w:ascii="Calibri Light" w:eastAsia="Times New Roman" w:hAnsi="Calibri Light" w:cs="Calibri Light"/>
                <w:b/>
                <w:bCs/>
                <w:color w:val="000000" w:themeColor="text1"/>
                <w:sz w:val="20"/>
                <w:szCs w:val="20"/>
                <w:lang w:eastAsia="en-GB"/>
              </w:rPr>
              <w:t>просторно</w:t>
            </w:r>
            <w:r>
              <w:rPr>
                <w:rFonts w:ascii="Calibri Light" w:eastAsia="Times New Roman" w:hAnsi="Calibri Light" w:cs="Calibri Light"/>
                <w:b/>
                <w:bCs/>
                <w:color w:val="000000" w:themeColor="text1"/>
                <w:sz w:val="20"/>
                <w:szCs w:val="20"/>
                <w:lang w:eastAsia="en-GB"/>
              </w:rPr>
              <w:t xml:space="preserve"> планирање</w:t>
            </w:r>
          </w:p>
        </w:tc>
      </w:tr>
      <w:tr w:rsidR="00364548" w:rsidRPr="007925BF" w14:paraId="1D713E51" w14:textId="77777777" w:rsidTr="00364548">
        <w:trPr>
          <w:gridAfter w:val="1"/>
          <w:wAfter w:w="222" w:type="dxa"/>
          <w:trHeight w:val="462"/>
        </w:trPr>
        <w:tc>
          <w:tcPr>
            <w:tcW w:w="3276" w:type="dxa"/>
            <w:tcBorders>
              <w:top w:val="nil"/>
              <w:left w:val="single" w:sz="8" w:space="0" w:color="auto"/>
              <w:bottom w:val="single" w:sz="8" w:space="0" w:color="auto"/>
              <w:right w:val="nil"/>
            </w:tcBorders>
            <w:shd w:val="clear" w:color="000000" w:fill="244062"/>
            <w:vAlign w:val="center"/>
          </w:tcPr>
          <w:p w14:paraId="2919910C" w14:textId="7CDBDF63" w:rsidR="00364548" w:rsidRPr="00CA503E" w:rsidRDefault="00364548" w:rsidP="00364548">
            <w:pPr>
              <w:spacing w:after="0" w:line="240" w:lineRule="auto"/>
              <w:rPr>
                <w:rFonts w:ascii="Calibri Light" w:eastAsia="Times New Roman" w:hAnsi="Calibri Light" w:cs="Calibri Light"/>
                <w:b/>
                <w:bCs/>
                <w:color w:val="FFFFFF" w:themeColor="background1"/>
                <w:sz w:val="20"/>
                <w:szCs w:val="20"/>
                <w:lang w:eastAsia="en-GB"/>
              </w:rPr>
            </w:pPr>
            <w:r w:rsidRPr="00FF386D">
              <w:rPr>
                <w:rFonts w:asciiTheme="majorHAnsi" w:hAnsiTheme="majorHAnsi" w:cstheme="majorHAnsi"/>
                <w:b/>
                <w:bCs/>
                <w:sz w:val="20"/>
                <w:szCs w:val="20"/>
              </w:rPr>
              <w:lastRenderedPageBreak/>
              <w:t>Главни циљ:</w:t>
            </w:r>
          </w:p>
        </w:tc>
        <w:tc>
          <w:tcPr>
            <w:tcW w:w="6182" w:type="dxa"/>
            <w:gridSpan w:val="3"/>
            <w:tcBorders>
              <w:top w:val="single" w:sz="8" w:space="0" w:color="auto"/>
              <w:left w:val="nil"/>
              <w:bottom w:val="single" w:sz="8" w:space="0" w:color="auto"/>
              <w:right w:val="single" w:sz="8" w:space="0" w:color="000000"/>
            </w:tcBorders>
            <w:shd w:val="clear" w:color="auto" w:fill="auto"/>
            <w:vAlign w:val="center"/>
            <w:hideMark/>
          </w:tcPr>
          <w:p w14:paraId="7975209E" w14:textId="2563BBFC" w:rsidR="00364548" w:rsidRPr="00CA503E" w:rsidRDefault="001D74FC" w:rsidP="00364548">
            <w:p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Повећан удео ОИЕ у електричној енергији</w:t>
            </w:r>
            <w:r w:rsidR="00364548" w:rsidRPr="00CA503E">
              <w:rPr>
                <w:rFonts w:ascii="Calibri Light" w:eastAsia="Times New Roman" w:hAnsi="Calibri Light" w:cs="Calibri Light"/>
                <w:color w:val="000000"/>
                <w:sz w:val="20"/>
                <w:szCs w:val="20"/>
                <w:lang w:eastAsia="en-GB"/>
              </w:rPr>
              <w:t xml:space="preserve"> </w:t>
            </w:r>
          </w:p>
        </w:tc>
      </w:tr>
      <w:tr w:rsidR="00364548" w:rsidRPr="007925BF" w14:paraId="69689022" w14:textId="77777777" w:rsidTr="00364548">
        <w:trPr>
          <w:gridAfter w:val="1"/>
          <w:wAfter w:w="222" w:type="dxa"/>
          <w:trHeight w:val="315"/>
        </w:trPr>
        <w:tc>
          <w:tcPr>
            <w:tcW w:w="3276" w:type="dxa"/>
            <w:tcBorders>
              <w:top w:val="nil"/>
              <w:left w:val="single" w:sz="8" w:space="0" w:color="auto"/>
              <w:bottom w:val="single" w:sz="8" w:space="0" w:color="auto"/>
              <w:right w:val="single" w:sz="8" w:space="0" w:color="auto"/>
            </w:tcBorders>
            <w:shd w:val="clear" w:color="000000" w:fill="244062"/>
            <w:vAlign w:val="center"/>
          </w:tcPr>
          <w:p w14:paraId="6D0B8126" w14:textId="1A15D13A" w:rsidR="00364548" w:rsidRPr="00CA503E" w:rsidRDefault="00364548" w:rsidP="00364548">
            <w:pPr>
              <w:spacing w:after="0" w:line="240" w:lineRule="auto"/>
              <w:rPr>
                <w:rFonts w:ascii="Calibri Light" w:eastAsia="Times New Roman" w:hAnsi="Calibri Light" w:cs="Calibri Light"/>
                <w:b/>
                <w:bCs/>
                <w:color w:val="FFFFFF" w:themeColor="background1"/>
                <w:sz w:val="20"/>
                <w:szCs w:val="20"/>
                <w:lang w:eastAsia="en-GB"/>
              </w:rPr>
            </w:pPr>
            <w:r w:rsidRPr="00FF386D">
              <w:rPr>
                <w:rFonts w:asciiTheme="majorHAnsi" w:hAnsiTheme="majorHAnsi" w:cstheme="majorHAnsi"/>
                <w:b/>
                <w:bCs/>
                <w:sz w:val="20"/>
                <w:szCs w:val="20"/>
              </w:rPr>
              <w:t>Квантификовани циљ:</w:t>
            </w:r>
          </w:p>
        </w:tc>
        <w:tc>
          <w:tcPr>
            <w:tcW w:w="6182" w:type="dxa"/>
            <w:gridSpan w:val="3"/>
            <w:tcBorders>
              <w:top w:val="single" w:sz="8" w:space="0" w:color="auto"/>
              <w:left w:val="nil"/>
              <w:bottom w:val="single" w:sz="8" w:space="0" w:color="auto"/>
              <w:right w:val="single" w:sz="8" w:space="0" w:color="000000"/>
            </w:tcBorders>
            <w:shd w:val="clear" w:color="auto" w:fill="auto"/>
            <w:vAlign w:val="center"/>
            <w:hideMark/>
          </w:tcPr>
          <w:p w14:paraId="21E1AAF7" w14:textId="0426F2FC" w:rsidR="00364548" w:rsidRPr="00CA503E" w:rsidRDefault="001D74FC" w:rsidP="00364548">
            <w:p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Допринос неометаном и ефикасном раду</w:t>
            </w:r>
          </w:p>
        </w:tc>
      </w:tr>
      <w:tr w:rsidR="00364548" w:rsidRPr="007925BF" w14:paraId="57CFDFC1" w14:textId="77777777" w:rsidTr="00364548">
        <w:trPr>
          <w:gridAfter w:val="1"/>
          <w:wAfter w:w="222" w:type="dxa"/>
          <w:trHeight w:val="429"/>
        </w:trPr>
        <w:tc>
          <w:tcPr>
            <w:tcW w:w="3276" w:type="dxa"/>
            <w:tcBorders>
              <w:top w:val="nil"/>
              <w:left w:val="single" w:sz="8" w:space="0" w:color="auto"/>
              <w:bottom w:val="single" w:sz="8" w:space="0" w:color="auto"/>
              <w:right w:val="single" w:sz="8" w:space="0" w:color="auto"/>
            </w:tcBorders>
            <w:shd w:val="clear" w:color="000000" w:fill="244062"/>
            <w:vAlign w:val="center"/>
          </w:tcPr>
          <w:p w14:paraId="11AE9B4E" w14:textId="52086613" w:rsidR="00364548" w:rsidRPr="00CA503E" w:rsidRDefault="00364548" w:rsidP="00364548">
            <w:pPr>
              <w:spacing w:after="0" w:line="240" w:lineRule="auto"/>
              <w:rPr>
                <w:rFonts w:ascii="Calibri Light" w:eastAsia="Times New Roman" w:hAnsi="Calibri Light" w:cs="Calibri Light"/>
                <w:b/>
                <w:bCs/>
                <w:color w:val="FFFFFF" w:themeColor="background1"/>
                <w:sz w:val="20"/>
                <w:szCs w:val="20"/>
                <w:lang w:eastAsia="en-GB"/>
              </w:rPr>
            </w:pPr>
            <w:r w:rsidRPr="00FF386D">
              <w:rPr>
                <w:rFonts w:asciiTheme="majorHAnsi" w:hAnsiTheme="majorHAnsi" w:cstheme="majorHAnsi"/>
                <w:b/>
                <w:bCs/>
                <w:sz w:val="20"/>
                <w:szCs w:val="20"/>
              </w:rPr>
              <w:t>Опис:</w:t>
            </w:r>
          </w:p>
        </w:tc>
        <w:tc>
          <w:tcPr>
            <w:tcW w:w="6182" w:type="dxa"/>
            <w:gridSpan w:val="3"/>
            <w:tcBorders>
              <w:top w:val="single" w:sz="8" w:space="0" w:color="auto"/>
              <w:left w:val="nil"/>
              <w:bottom w:val="single" w:sz="8" w:space="0" w:color="auto"/>
              <w:right w:val="single" w:sz="8" w:space="0" w:color="000000"/>
            </w:tcBorders>
            <w:shd w:val="clear" w:color="auto" w:fill="auto"/>
            <w:vAlign w:val="center"/>
            <w:hideMark/>
          </w:tcPr>
          <w:p w14:paraId="020D6B09" w14:textId="6BF81F15" w:rsidR="00364548" w:rsidRPr="00CA503E" w:rsidRDefault="00364548" w:rsidP="00364548">
            <w:pPr>
              <w:spacing w:after="0" w:line="240" w:lineRule="auto"/>
              <w:jc w:val="both"/>
              <w:rPr>
                <w:rFonts w:ascii="Calibri Light" w:eastAsia="Times New Roman" w:hAnsi="Calibri Light" w:cs="Calibri Light"/>
                <w:color w:val="000000"/>
                <w:sz w:val="20"/>
                <w:szCs w:val="20"/>
                <w:lang w:eastAsia="en-GB"/>
              </w:rPr>
            </w:pPr>
            <w:r w:rsidRPr="00CA503E">
              <w:rPr>
                <w:rFonts w:ascii="Calibri Light" w:eastAsia="Times New Roman" w:hAnsi="Calibri Light" w:cs="Calibri Light"/>
                <w:color w:val="000000"/>
                <w:sz w:val="20"/>
                <w:szCs w:val="20"/>
                <w:lang w:eastAsia="en-GB"/>
              </w:rPr>
              <w:t>M</w:t>
            </w:r>
            <w:r w:rsidR="001D74FC">
              <w:rPr>
                <w:rFonts w:ascii="Calibri Light" w:eastAsia="Times New Roman" w:hAnsi="Calibri Light" w:cs="Calibri Light"/>
                <w:color w:val="000000"/>
                <w:sz w:val="20"/>
                <w:szCs w:val="20"/>
                <w:lang w:eastAsia="en-GB"/>
              </w:rPr>
              <w:t>П</w:t>
            </w:r>
            <w:r w:rsidRPr="00CA503E">
              <w:rPr>
                <w:rFonts w:ascii="Calibri Light" w:eastAsia="Times New Roman" w:hAnsi="Calibri Light" w:cs="Calibri Light"/>
                <w:color w:val="000000"/>
                <w:sz w:val="20"/>
                <w:szCs w:val="20"/>
                <w:lang w:eastAsia="en-GB"/>
              </w:rPr>
              <w:t>_</w:t>
            </w:r>
            <w:r w:rsidR="001D74FC">
              <w:rPr>
                <w:rFonts w:ascii="Calibri Light" w:eastAsia="Times New Roman" w:hAnsi="Calibri Light" w:cs="Calibri Light"/>
                <w:color w:val="000000"/>
                <w:sz w:val="20"/>
                <w:szCs w:val="20"/>
                <w:lang w:eastAsia="en-GB"/>
              </w:rPr>
              <w:t>Д</w:t>
            </w:r>
            <w:r w:rsidRPr="00CA503E">
              <w:rPr>
                <w:rFonts w:ascii="Calibri Light" w:eastAsia="Times New Roman" w:hAnsi="Calibri Light" w:cs="Calibri Light"/>
                <w:color w:val="000000"/>
                <w:sz w:val="20"/>
                <w:szCs w:val="20"/>
                <w:lang w:eastAsia="en-GB"/>
              </w:rPr>
              <w:t xml:space="preserve">45 </w:t>
            </w:r>
            <w:r w:rsidR="001223E8">
              <w:rPr>
                <w:rFonts w:ascii="Calibri Light" w:eastAsia="Times New Roman" w:hAnsi="Calibri Light" w:cs="Calibri Light"/>
                <w:color w:val="000000"/>
                <w:sz w:val="20"/>
                <w:szCs w:val="20"/>
                <w:lang w:eastAsia="en-GB"/>
              </w:rPr>
              <w:t>ће сагледати ажурирање, поједностављење и оптимизацију постојећег оквир за просторно планирање доношењем одговарајућих закона</w:t>
            </w:r>
            <w:r w:rsidR="00E253E5">
              <w:rPr>
                <w:rFonts w:ascii="Calibri Light" w:eastAsia="Times New Roman" w:hAnsi="Calibri Light" w:cs="Calibri Light"/>
                <w:color w:val="000000"/>
                <w:sz w:val="20"/>
                <w:szCs w:val="20"/>
                <w:lang w:eastAsia="en-GB"/>
              </w:rPr>
              <w:t>,</w:t>
            </w:r>
            <w:r w:rsidR="001223E8">
              <w:rPr>
                <w:rFonts w:ascii="Calibri Light" w:eastAsia="Times New Roman" w:hAnsi="Calibri Light" w:cs="Calibri Light"/>
                <w:color w:val="000000"/>
                <w:sz w:val="20"/>
                <w:szCs w:val="20"/>
                <w:lang w:eastAsia="en-GB"/>
              </w:rPr>
              <w:t xml:space="preserve"> </w:t>
            </w:r>
            <w:r w:rsidR="00BD6135">
              <w:rPr>
                <w:rFonts w:ascii="Calibri Light" w:eastAsia="Times New Roman" w:hAnsi="Calibri Light" w:cs="Calibri Light"/>
                <w:color w:val="000000"/>
                <w:sz w:val="20"/>
                <w:szCs w:val="20"/>
                <w:lang w:eastAsia="en-GB"/>
              </w:rPr>
              <w:t>с циљем да оквир постане</w:t>
            </w:r>
            <w:r w:rsidR="001223E8">
              <w:rPr>
                <w:rFonts w:ascii="Calibri Light" w:eastAsia="Times New Roman" w:hAnsi="Calibri Light" w:cs="Calibri Light"/>
                <w:color w:val="000000"/>
                <w:sz w:val="20"/>
                <w:szCs w:val="20"/>
                <w:lang w:eastAsia="en-GB"/>
              </w:rPr>
              <w:t xml:space="preserve"> транспарентнији и ефикасни</w:t>
            </w:r>
            <w:r w:rsidR="00BD6135">
              <w:rPr>
                <w:rFonts w:ascii="Calibri Light" w:eastAsia="Times New Roman" w:hAnsi="Calibri Light" w:cs="Calibri Light"/>
                <w:color w:val="000000"/>
                <w:sz w:val="20"/>
                <w:szCs w:val="20"/>
                <w:lang w:eastAsia="en-GB"/>
              </w:rPr>
              <w:t xml:space="preserve">ји и да се избегне субјективност у погледу изабраних критеријума током </w:t>
            </w:r>
            <w:r w:rsidR="00E253E5">
              <w:rPr>
                <w:rFonts w:ascii="Calibri Light" w:eastAsia="Times New Roman" w:hAnsi="Calibri Light" w:cs="Calibri Light"/>
                <w:color w:val="000000"/>
                <w:sz w:val="20"/>
                <w:szCs w:val="20"/>
                <w:lang w:eastAsia="en-GB"/>
              </w:rPr>
              <w:t>вршења</w:t>
            </w:r>
            <w:r w:rsidR="00BD6135">
              <w:rPr>
                <w:rFonts w:ascii="Calibri Light" w:eastAsia="Times New Roman" w:hAnsi="Calibri Light" w:cs="Calibri Light"/>
                <w:color w:val="000000"/>
                <w:sz w:val="20"/>
                <w:szCs w:val="20"/>
                <w:lang w:eastAsia="en-GB"/>
              </w:rPr>
              <w:t xml:space="preserve"> просторног планирања. Посебно, различите категорије подручја у којима ће инсталација пројеката обновљиве енергије бити у потпуности или делимично и</w:t>
            </w:r>
            <w:r w:rsidR="003A780B">
              <w:rPr>
                <w:rFonts w:ascii="Calibri Light" w:eastAsia="Times New Roman" w:hAnsi="Calibri Light" w:cs="Calibri Light"/>
                <w:color w:val="000000"/>
                <w:sz w:val="20"/>
                <w:szCs w:val="20"/>
                <w:lang w:eastAsia="en-GB"/>
              </w:rPr>
              <w:t>скључена</w:t>
            </w:r>
            <w:r w:rsidR="00BD6135">
              <w:rPr>
                <w:rFonts w:ascii="Calibri Light" w:eastAsia="Times New Roman" w:hAnsi="Calibri Light" w:cs="Calibri Light"/>
                <w:color w:val="000000"/>
                <w:sz w:val="20"/>
                <w:szCs w:val="20"/>
                <w:lang w:eastAsia="en-GB"/>
              </w:rPr>
              <w:t xml:space="preserve"> </w:t>
            </w:r>
            <w:r w:rsidR="003A780B">
              <w:rPr>
                <w:rFonts w:ascii="Calibri Light" w:eastAsia="Times New Roman" w:hAnsi="Calibri Light" w:cs="Calibri Light"/>
                <w:color w:val="000000"/>
                <w:sz w:val="20"/>
                <w:szCs w:val="20"/>
                <w:lang w:eastAsia="en-GB"/>
              </w:rPr>
              <w:t xml:space="preserve">морају бити унапред познате у </w:t>
            </w:r>
            <w:r w:rsidR="00E253E5">
              <w:rPr>
                <w:rFonts w:ascii="Calibri Light" w:eastAsia="Times New Roman" w:hAnsi="Calibri Light" w:cs="Calibri Light"/>
                <w:color w:val="000000"/>
                <w:sz w:val="20"/>
                <w:szCs w:val="20"/>
                <w:lang w:eastAsia="en-GB"/>
              </w:rPr>
              <w:t>једном т</w:t>
            </w:r>
            <w:r w:rsidR="003A780B">
              <w:rPr>
                <w:rFonts w:ascii="Calibri Light" w:eastAsia="Times New Roman" w:hAnsi="Calibri Light" w:cs="Calibri Light"/>
                <w:color w:val="000000"/>
                <w:sz w:val="20"/>
                <w:szCs w:val="20"/>
                <w:lang w:eastAsia="en-GB"/>
              </w:rPr>
              <w:t>ранспарентном оквиру</w:t>
            </w:r>
            <w:r w:rsidRPr="00CA503E">
              <w:rPr>
                <w:rFonts w:ascii="Calibri Light" w:eastAsia="Times New Roman" w:hAnsi="Calibri Light" w:cs="Calibri Light"/>
                <w:color w:val="000000"/>
                <w:sz w:val="20"/>
                <w:szCs w:val="20"/>
                <w:lang w:eastAsia="en-GB"/>
              </w:rPr>
              <w:t>.</w:t>
            </w:r>
            <w:r w:rsidR="003A780B">
              <w:rPr>
                <w:rFonts w:ascii="Calibri Light" w:eastAsia="Times New Roman" w:hAnsi="Calibri Light" w:cs="Calibri Light"/>
                <w:color w:val="000000"/>
                <w:sz w:val="20"/>
                <w:szCs w:val="20"/>
                <w:lang w:eastAsia="en-GB"/>
              </w:rPr>
              <w:t xml:space="preserve"> Поред тога, предуслови за потенцијалну инсталацију пројеката обновљиве енергије </w:t>
            </w:r>
            <w:r w:rsidR="00E253E5">
              <w:rPr>
                <w:rFonts w:ascii="Calibri Light" w:eastAsia="Times New Roman" w:hAnsi="Calibri Light" w:cs="Calibri Light"/>
                <w:color w:val="000000"/>
                <w:sz w:val="20"/>
                <w:szCs w:val="20"/>
                <w:lang w:eastAsia="en-GB"/>
              </w:rPr>
              <w:t>биће</w:t>
            </w:r>
            <w:r w:rsidR="003A780B">
              <w:rPr>
                <w:rFonts w:ascii="Calibri Light" w:eastAsia="Times New Roman" w:hAnsi="Calibri Light" w:cs="Calibri Light"/>
                <w:color w:val="000000"/>
                <w:sz w:val="20"/>
                <w:szCs w:val="20"/>
                <w:lang w:eastAsia="en-GB"/>
              </w:rPr>
              <w:t xml:space="preserve"> утврђени узимајући у обзир различите критеријуме за одређивање адекватних области, као што су физиогномија, заштита животне средине, стварни технички и економски потенцијал за коришћење обновљивих извора енергије и антропогене активности за сваку област инсталације посебно. Треба напоменути да ће усвојени законодавни оквир бити у складу са принципом „не чинити штету”, а биће успостављен механизам за разматрање и решавање потенцијалних спорова.</w:t>
            </w:r>
          </w:p>
        </w:tc>
      </w:tr>
      <w:tr w:rsidR="00364548" w:rsidRPr="007925BF" w14:paraId="33976630" w14:textId="77777777" w:rsidTr="00364548">
        <w:trPr>
          <w:gridAfter w:val="1"/>
          <w:wAfter w:w="222" w:type="dxa"/>
          <w:trHeight w:val="315"/>
        </w:trPr>
        <w:tc>
          <w:tcPr>
            <w:tcW w:w="3276" w:type="dxa"/>
            <w:tcBorders>
              <w:top w:val="nil"/>
              <w:left w:val="single" w:sz="8" w:space="0" w:color="auto"/>
              <w:bottom w:val="single" w:sz="8" w:space="0" w:color="auto"/>
              <w:right w:val="single" w:sz="8" w:space="0" w:color="auto"/>
            </w:tcBorders>
            <w:shd w:val="clear" w:color="000000" w:fill="244062"/>
            <w:vAlign w:val="center"/>
          </w:tcPr>
          <w:p w14:paraId="032F10FF" w14:textId="2740D619" w:rsidR="00364548" w:rsidRPr="00CA503E" w:rsidRDefault="00364548" w:rsidP="00364548">
            <w:pPr>
              <w:spacing w:after="0" w:line="240" w:lineRule="auto"/>
              <w:rPr>
                <w:rFonts w:ascii="Calibri Light" w:eastAsia="Times New Roman" w:hAnsi="Calibri Light" w:cs="Calibri Light"/>
                <w:b/>
                <w:bCs/>
                <w:color w:val="FFFFFF" w:themeColor="background1"/>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82" w:type="dxa"/>
            <w:gridSpan w:val="3"/>
            <w:tcBorders>
              <w:top w:val="single" w:sz="8" w:space="0" w:color="auto"/>
              <w:left w:val="nil"/>
              <w:bottom w:val="single" w:sz="8" w:space="0" w:color="auto"/>
              <w:right w:val="single" w:sz="8" w:space="0" w:color="000000"/>
            </w:tcBorders>
            <w:shd w:val="clear" w:color="auto" w:fill="auto"/>
            <w:vAlign w:val="center"/>
            <w:hideMark/>
          </w:tcPr>
          <w:p w14:paraId="7B9F9155" w14:textId="77777777" w:rsidR="00364548" w:rsidRPr="00CA503E" w:rsidRDefault="00364548" w:rsidP="00364548">
            <w:pPr>
              <w:spacing w:after="0" w:line="240" w:lineRule="auto"/>
              <w:rPr>
                <w:rFonts w:ascii="Calibri Light" w:eastAsia="Times New Roman" w:hAnsi="Calibri Light" w:cs="Calibri Light"/>
                <w:color w:val="000000" w:themeColor="text1"/>
                <w:sz w:val="20"/>
                <w:szCs w:val="20"/>
                <w:lang w:eastAsia="en-GB"/>
              </w:rPr>
            </w:pPr>
            <w:r w:rsidRPr="00CA503E">
              <w:rPr>
                <w:rFonts w:ascii="Calibri Light" w:eastAsia="Times New Roman" w:hAnsi="Calibri Light" w:cs="Calibri Light"/>
                <w:color w:val="000000" w:themeColor="text1"/>
                <w:sz w:val="20"/>
                <w:szCs w:val="20"/>
                <w:lang w:eastAsia="en-GB"/>
              </w:rPr>
              <w:t>2025</w:t>
            </w:r>
          </w:p>
        </w:tc>
      </w:tr>
      <w:tr w:rsidR="00364548" w:rsidRPr="007925BF" w14:paraId="5117D55B" w14:textId="77777777" w:rsidTr="00364548">
        <w:trPr>
          <w:gridAfter w:val="1"/>
          <w:wAfter w:w="222" w:type="dxa"/>
          <w:trHeight w:val="315"/>
        </w:trPr>
        <w:tc>
          <w:tcPr>
            <w:tcW w:w="3276" w:type="dxa"/>
            <w:tcBorders>
              <w:top w:val="nil"/>
              <w:left w:val="single" w:sz="8" w:space="0" w:color="auto"/>
              <w:bottom w:val="single" w:sz="8" w:space="0" w:color="auto"/>
              <w:right w:val="single" w:sz="8" w:space="0" w:color="auto"/>
            </w:tcBorders>
            <w:shd w:val="clear" w:color="000000" w:fill="244062"/>
            <w:vAlign w:val="center"/>
          </w:tcPr>
          <w:p w14:paraId="3746DC48" w14:textId="7D6245D5" w:rsidR="00364548" w:rsidRPr="00CA503E" w:rsidRDefault="00364548" w:rsidP="00364548">
            <w:pPr>
              <w:spacing w:after="0" w:line="240" w:lineRule="auto"/>
              <w:rPr>
                <w:rFonts w:ascii="Calibri Light" w:eastAsia="Times New Roman" w:hAnsi="Calibri Light" w:cs="Calibri Light"/>
                <w:b/>
                <w:bCs/>
                <w:color w:val="FFFFFF" w:themeColor="background1"/>
                <w:sz w:val="20"/>
                <w:szCs w:val="20"/>
                <w:lang w:eastAsia="en-GB"/>
              </w:rPr>
            </w:pPr>
            <w:r w:rsidRPr="00FF386D">
              <w:rPr>
                <w:rFonts w:asciiTheme="majorHAnsi" w:hAnsiTheme="majorHAnsi" w:cstheme="majorHAnsi"/>
                <w:b/>
                <w:bCs/>
                <w:sz w:val="20"/>
                <w:szCs w:val="20"/>
              </w:rPr>
              <w:t>Тип мере</w:t>
            </w:r>
          </w:p>
        </w:tc>
        <w:tc>
          <w:tcPr>
            <w:tcW w:w="6182" w:type="dxa"/>
            <w:gridSpan w:val="3"/>
            <w:tcBorders>
              <w:top w:val="single" w:sz="8" w:space="0" w:color="auto"/>
              <w:left w:val="nil"/>
              <w:bottom w:val="single" w:sz="8" w:space="0" w:color="auto"/>
              <w:right w:val="single" w:sz="8" w:space="0" w:color="000000"/>
            </w:tcBorders>
            <w:shd w:val="clear" w:color="auto" w:fill="auto"/>
            <w:vAlign w:val="center"/>
            <w:hideMark/>
          </w:tcPr>
          <w:p w14:paraId="4968B5EB" w14:textId="2E9D5557" w:rsidR="00364548" w:rsidRPr="00CA503E" w:rsidRDefault="001D74FC" w:rsidP="00364548">
            <w:pPr>
              <w:spacing w:after="0" w:line="240" w:lineRule="auto"/>
              <w:rPr>
                <w:rFonts w:ascii="Calibri Light" w:eastAsia="Times New Roman" w:hAnsi="Calibri Light" w:cs="Calibri Light"/>
                <w:color w:val="000000" w:themeColor="text1"/>
                <w:sz w:val="20"/>
                <w:szCs w:val="20"/>
                <w:lang w:eastAsia="en-GB"/>
              </w:rPr>
            </w:pPr>
            <w:r>
              <w:rPr>
                <w:rFonts w:ascii="Calibri Light" w:eastAsia="Times New Roman" w:hAnsi="Calibri Light" w:cs="Calibri Light"/>
                <w:color w:val="000000" w:themeColor="text1"/>
                <w:sz w:val="20"/>
                <w:szCs w:val="20"/>
                <w:lang w:eastAsia="en-GB"/>
              </w:rPr>
              <w:t>Реформа</w:t>
            </w:r>
          </w:p>
        </w:tc>
      </w:tr>
      <w:tr w:rsidR="00364548" w:rsidRPr="007925BF" w14:paraId="5CE5AF2B" w14:textId="77777777" w:rsidTr="00364548">
        <w:trPr>
          <w:gridAfter w:val="1"/>
          <w:wAfter w:w="222" w:type="dxa"/>
          <w:trHeight w:val="315"/>
        </w:trPr>
        <w:tc>
          <w:tcPr>
            <w:tcW w:w="3276" w:type="dxa"/>
            <w:tcBorders>
              <w:top w:val="nil"/>
              <w:left w:val="single" w:sz="8" w:space="0" w:color="auto"/>
              <w:bottom w:val="single" w:sz="8" w:space="0" w:color="auto"/>
              <w:right w:val="single" w:sz="8" w:space="0" w:color="auto"/>
            </w:tcBorders>
            <w:shd w:val="clear" w:color="000000" w:fill="244062"/>
            <w:vAlign w:val="center"/>
          </w:tcPr>
          <w:p w14:paraId="515A4C2D" w14:textId="3E1E0AE5" w:rsidR="00364548" w:rsidRPr="00CA503E" w:rsidRDefault="00364548" w:rsidP="00364548">
            <w:pPr>
              <w:spacing w:after="0" w:line="240" w:lineRule="auto"/>
              <w:rPr>
                <w:rFonts w:ascii="Calibri Light" w:eastAsia="Times New Roman" w:hAnsi="Calibri Light" w:cs="Calibri Light"/>
                <w:b/>
                <w:bCs/>
                <w:color w:val="FFFFFF" w:themeColor="background1"/>
                <w:sz w:val="20"/>
                <w:szCs w:val="20"/>
                <w:lang w:eastAsia="en-GB"/>
              </w:rPr>
            </w:pPr>
            <w:r w:rsidRPr="00FF386D">
              <w:rPr>
                <w:rFonts w:asciiTheme="majorHAnsi" w:hAnsiTheme="majorHAnsi" w:cstheme="majorHAnsi"/>
                <w:b/>
                <w:bCs/>
                <w:sz w:val="20"/>
                <w:szCs w:val="20"/>
              </w:rPr>
              <w:t>Покривени/ обухваћени сектори</w:t>
            </w:r>
          </w:p>
        </w:tc>
        <w:tc>
          <w:tcPr>
            <w:tcW w:w="6182" w:type="dxa"/>
            <w:gridSpan w:val="3"/>
            <w:tcBorders>
              <w:top w:val="single" w:sz="8" w:space="0" w:color="auto"/>
              <w:left w:val="nil"/>
              <w:bottom w:val="single" w:sz="8" w:space="0" w:color="auto"/>
              <w:right w:val="single" w:sz="8" w:space="0" w:color="000000"/>
            </w:tcBorders>
            <w:shd w:val="clear" w:color="auto" w:fill="auto"/>
            <w:vAlign w:val="center"/>
            <w:hideMark/>
          </w:tcPr>
          <w:p w14:paraId="1391D6AF" w14:textId="717E7DC6" w:rsidR="00364548" w:rsidRPr="00CA503E" w:rsidRDefault="001D74FC" w:rsidP="00364548">
            <w:pPr>
              <w:spacing w:after="0" w:line="240" w:lineRule="auto"/>
              <w:rPr>
                <w:rFonts w:ascii="Calibri Light" w:eastAsia="Times New Roman" w:hAnsi="Calibri Light" w:cs="Calibri Light"/>
                <w:color w:val="000000" w:themeColor="text1"/>
                <w:sz w:val="20"/>
                <w:szCs w:val="20"/>
                <w:lang w:eastAsia="en-GB"/>
              </w:rPr>
            </w:pPr>
            <w:r>
              <w:rPr>
                <w:rFonts w:ascii="Calibri Light" w:eastAsia="Times New Roman" w:hAnsi="Calibri Light" w:cs="Calibri Light"/>
                <w:color w:val="000000" w:themeColor="text1"/>
                <w:sz w:val="20"/>
                <w:szCs w:val="20"/>
                <w:lang w:eastAsia="en-GB"/>
              </w:rPr>
              <w:t>Електроенергетски</w:t>
            </w:r>
          </w:p>
        </w:tc>
      </w:tr>
      <w:tr w:rsidR="00364548" w:rsidRPr="007925BF" w14:paraId="6167F601" w14:textId="77777777" w:rsidTr="00364548">
        <w:trPr>
          <w:gridAfter w:val="1"/>
          <w:wAfter w:w="222" w:type="dxa"/>
          <w:trHeight w:val="315"/>
        </w:trPr>
        <w:tc>
          <w:tcPr>
            <w:tcW w:w="3276" w:type="dxa"/>
            <w:tcBorders>
              <w:top w:val="nil"/>
              <w:left w:val="single" w:sz="8" w:space="0" w:color="auto"/>
              <w:bottom w:val="single" w:sz="8" w:space="0" w:color="auto"/>
              <w:right w:val="single" w:sz="8" w:space="0" w:color="auto"/>
            </w:tcBorders>
            <w:shd w:val="clear" w:color="000000" w:fill="244062"/>
            <w:vAlign w:val="center"/>
          </w:tcPr>
          <w:p w14:paraId="1A2DEB4F" w14:textId="2194B940" w:rsidR="00364548" w:rsidRPr="00CA503E" w:rsidRDefault="00364548" w:rsidP="00364548">
            <w:pPr>
              <w:spacing w:after="0" w:line="240" w:lineRule="auto"/>
              <w:rPr>
                <w:rFonts w:ascii="Calibri Light" w:eastAsia="Times New Roman" w:hAnsi="Calibri Light" w:cs="Calibri Light"/>
                <w:b/>
                <w:bCs/>
                <w:color w:val="FFFFFF" w:themeColor="background1"/>
                <w:sz w:val="20"/>
                <w:szCs w:val="20"/>
                <w:lang w:eastAsia="en-GB"/>
              </w:rPr>
            </w:pPr>
            <w:r w:rsidRPr="00FF386D">
              <w:rPr>
                <w:rFonts w:asciiTheme="majorHAnsi" w:hAnsiTheme="majorHAnsi" w:cstheme="majorHAnsi"/>
                <w:b/>
                <w:bCs/>
                <w:sz w:val="20"/>
                <w:szCs w:val="20"/>
              </w:rPr>
              <w:t>Извршни орган</w:t>
            </w:r>
          </w:p>
        </w:tc>
        <w:tc>
          <w:tcPr>
            <w:tcW w:w="6182" w:type="dxa"/>
            <w:gridSpan w:val="3"/>
            <w:tcBorders>
              <w:top w:val="single" w:sz="8" w:space="0" w:color="auto"/>
              <w:left w:val="nil"/>
              <w:bottom w:val="single" w:sz="8" w:space="0" w:color="auto"/>
              <w:right w:val="single" w:sz="8" w:space="0" w:color="000000"/>
            </w:tcBorders>
            <w:shd w:val="clear" w:color="auto" w:fill="auto"/>
            <w:vAlign w:val="center"/>
            <w:hideMark/>
          </w:tcPr>
          <w:p w14:paraId="66443311" w14:textId="3D7593DB" w:rsidR="00364548" w:rsidRPr="00CA503E" w:rsidRDefault="00E042FD" w:rsidP="00364548">
            <w:pPr>
              <w:pStyle w:val="ListParagraph"/>
              <w:numPr>
                <w:ilvl w:val="0"/>
                <w:numId w:val="117"/>
              </w:numPr>
              <w:spacing w:after="0" w:line="240" w:lineRule="auto"/>
              <w:rPr>
                <w:rFonts w:ascii="Calibri Light" w:eastAsia="Times New Roman" w:hAnsi="Calibri Light" w:cs="Calibri Light"/>
                <w:color w:val="000000" w:themeColor="text1"/>
                <w:sz w:val="20"/>
                <w:szCs w:val="20"/>
                <w:lang w:eastAsia="en-GB"/>
              </w:rPr>
            </w:pPr>
            <w:r w:rsidRPr="00CA503E">
              <w:rPr>
                <w:rFonts w:ascii="Calibri Light" w:eastAsia="Times New Roman" w:hAnsi="Calibri Light" w:cs="Calibri Light"/>
                <w:color w:val="000000" w:themeColor="text1"/>
                <w:sz w:val="20"/>
                <w:szCs w:val="20"/>
                <w:lang w:eastAsia="en-GB"/>
              </w:rPr>
              <w:t>М</w:t>
            </w:r>
            <w:r>
              <w:rPr>
                <w:rFonts w:ascii="Calibri Light" w:eastAsia="Times New Roman" w:hAnsi="Calibri Light" w:cs="Calibri Light"/>
                <w:color w:val="000000" w:themeColor="text1"/>
                <w:sz w:val="20"/>
                <w:szCs w:val="20"/>
                <w:lang w:eastAsia="en-GB"/>
              </w:rPr>
              <w:t>инистарство грађевинарства, саобраћаја и инфраструктуре</w:t>
            </w:r>
          </w:p>
        </w:tc>
      </w:tr>
      <w:tr w:rsidR="00364548" w:rsidRPr="007925BF" w14:paraId="04719517" w14:textId="77777777" w:rsidTr="00364548">
        <w:trPr>
          <w:gridAfter w:val="1"/>
          <w:wAfter w:w="222" w:type="dxa"/>
          <w:trHeight w:val="315"/>
        </w:trPr>
        <w:tc>
          <w:tcPr>
            <w:tcW w:w="3276" w:type="dxa"/>
            <w:tcBorders>
              <w:top w:val="nil"/>
              <w:left w:val="single" w:sz="8" w:space="0" w:color="auto"/>
              <w:bottom w:val="single" w:sz="8" w:space="0" w:color="auto"/>
              <w:right w:val="nil"/>
            </w:tcBorders>
            <w:shd w:val="clear" w:color="000000" w:fill="244062"/>
            <w:vAlign w:val="center"/>
          </w:tcPr>
          <w:p w14:paraId="60681C21" w14:textId="61939FB8" w:rsidR="00364548" w:rsidRPr="00CA503E" w:rsidRDefault="00364548" w:rsidP="00364548">
            <w:pPr>
              <w:spacing w:after="0" w:line="240" w:lineRule="auto"/>
              <w:rPr>
                <w:rFonts w:ascii="Calibri Light" w:eastAsia="Times New Roman" w:hAnsi="Calibri Light" w:cs="Calibri Light"/>
                <w:b/>
                <w:bCs/>
                <w:color w:val="FFFFFF" w:themeColor="background1"/>
                <w:sz w:val="20"/>
                <w:szCs w:val="20"/>
                <w:lang w:eastAsia="en-GB"/>
              </w:rPr>
            </w:pPr>
            <w:r w:rsidRPr="00FF386D">
              <w:rPr>
                <w:rFonts w:asciiTheme="majorHAnsi" w:hAnsiTheme="majorHAnsi" w:cstheme="majorHAnsi"/>
                <w:b/>
                <w:bCs/>
                <w:sz w:val="20"/>
                <w:szCs w:val="20"/>
              </w:rPr>
              <w:t>Тело за праћење</w:t>
            </w:r>
          </w:p>
        </w:tc>
        <w:tc>
          <w:tcPr>
            <w:tcW w:w="6182" w:type="dxa"/>
            <w:gridSpan w:val="3"/>
            <w:tcBorders>
              <w:top w:val="single" w:sz="8" w:space="0" w:color="auto"/>
              <w:left w:val="nil"/>
              <w:bottom w:val="single" w:sz="8" w:space="0" w:color="auto"/>
              <w:right w:val="single" w:sz="8" w:space="0" w:color="000000"/>
            </w:tcBorders>
            <w:shd w:val="clear" w:color="auto" w:fill="auto"/>
            <w:vAlign w:val="center"/>
            <w:hideMark/>
          </w:tcPr>
          <w:p w14:paraId="25673BE5" w14:textId="0917FC45" w:rsidR="00364548" w:rsidRPr="00CA503E" w:rsidRDefault="001D74FC" w:rsidP="00364548">
            <w:pPr>
              <w:pStyle w:val="ListParagraph"/>
              <w:numPr>
                <w:ilvl w:val="0"/>
                <w:numId w:val="117"/>
              </w:numPr>
              <w:spacing w:after="0" w:line="240" w:lineRule="auto"/>
              <w:rPr>
                <w:rFonts w:ascii="Calibri Light" w:eastAsia="Times New Roman" w:hAnsi="Calibri Light" w:cs="Calibri Light"/>
                <w:color w:val="000000" w:themeColor="text1"/>
                <w:sz w:val="20"/>
                <w:szCs w:val="20"/>
                <w:lang w:eastAsia="en-GB"/>
              </w:rPr>
            </w:pPr>
            <w:r>
              <w:rPr>
                <w:rFonts w:ascii="Calibri Light" w:eastAsia="Times New Roman" w:hAnsi="Calibri Light" w:cs="Calibri Light"/>
                <w:color w:val="000000" w:themeColor="text1"/>
                <w:sz w:val="20"/>
                <w:szCs w:val="20"/>
                <w:lang w:eastAsia="en-GB"/>
              </w:rPr>
              <w:t>Влада Републике Србије</w:t>
            </w:r>
          </w:p>
        </w:tc>
      </w:tr>
      <w:tr w:rsidR="00364548" w:rsidRPr="007925BF" w14:paraId="27A6D060" w14:textId="77777777" w:rsidTr="00364548">
        <w:trPr>
          <w:gridAfter w:val="1"/>
          <w:wAfter w:w="222" w:type="dxa"/>
          <w:trHeight w:val="315"/>
        </w:trPr>
        <w:tc>
          <w:tcPr>
            <w:tcW w:w="3276" w:type="dxa"/>
            <w:tcBorders>
              <w:top w:val="nil"/>
              <w:left w:val="single" w:sz="8" w:space="0" w:color="auto"/>
              <w:bottom w:val="single" w:sz="8" w:space="0" w:color="auto"/>
              <w:right w:val="nil"/>
            </w:tcBorders>
            <w:shd w:val="clear" w:color="000000" w:fill="244062"/>
            <w:vAlign w:val="center"/>
          </w:tcPr>
          <w:p w14:paraId="0C599633" w14:textId="77633D04" w:rsidR="00364548" w:rsidRPr="00CA503E" w:rsidRDefault="00364548" w:rsidP="00364548">
            <w:pPr>
              <w:spacing w:after="0" w:line="240" w:lineRule="auto"/>
              <w:rPr>
                <w:rFonts w:ascii="Calibri Light" w:eastAsia="Times New Roman" w:hAnsi="Calibri Light" w:cs="Calibri Light"/>
                <w:b/>
                <w:bCs/>
                <w:color w:val="FFFFFF" w:themeColor="background1"/>
                <w:sz w:val="20"/>
                <w:szCs w:val="20"/>
                <w:lang w:eastAsia="en-GB"/>
              </w:rPr>
            </w:pPr>
            <w:r w:rsidRPr="00FF386D">
              <w:rPr>
                <w:rFonts w:asciiTheme="majorHAnsi" w:hAnsiTheme="majorHAnsi" w:cstheme="majorHAnsi"/>
                <w:b/>
                <w:bCs/>
                <w:sz w:val="20"/>
                <w:szCs w:val="20"/>
              </w:rPr>
              <w:t>Индикатори напретка</w:t>
            </w:r>
          </w:p>
        </w:tc>
        <w:tc>
          <w:tcPr>
            <w:tcW w:w="6182" w:type="dxa"/>
            <w:gridSpan w:val="3"/>
            <w:tcBorders>
              <w:top w:val="single" w:sz="8" w:space="0" w:color="auto"/>
              <w:left w:val="nil"/>
              <w:bottom w:val="single" w:sz="8" w:space="0" w:color="auto"/>
              <w:right w:val="single" w:sz="8" w:space="0" w:color="000000"/>
            </w:tcBorders>
            <w:shd w:val="clear" w:color="auto" w:fill="auto"/>
            <w:vAlign w:val="center"/>
            <w:hideMark/>
          </w:tcPr>
          <w:p w14:paraId="578F185F" w14:textId="41415EE1" w:rsidR="00364548" w:rsidRPr="00CA503E" w:rsidRDefault="00E042FD" w:rsidP="00364548">
            <w:pPr>
              <w:pStyle w:val="ListParagraph"/>
              <w:numPr>
                <w:ilvl w:val="0"/>
                <w:numId w:val="117"/>
              </w:numPr>
              <w:spacing w:after="0" w:line="240" w:lineRule="auto"/>
              <w:rPr>
                <w:rFonts w:ascii="Calibri Light" w:eastAsia="Times New Roman" w:hAnsi="Calibri Light" w:cs="Calibri Light"/>
                <w:color w:val="000000" w:themeColor="text1"/>
                <w:sz w:val="20"/>
                <w:szCs w:val="20"/>
                <w:lang w:eastAsia="en-GB"/>
              </w:rPr>
            </w:pPr>
            <w:r>
              <w:rPr>
                <w:rFonts w:ascii="Calibri Light" w:eastAsia="Times New Roman" w:hAnsi="Calibri Light" w:cs="Calibri Light"/>
                <w:color w:val="000000" w:themeColor="text1"/>
                <w:sz w:val="20"/>
                <w:szCs w:val="20"/>
                <w:lang w:eastAsia="en-GB"/>
              </w:rPr>
              <w:t>Развијен законодавни и регулаторни оквир</w:t>
            </w:r>
          </w:p>
        </w:tc>
      </w:tr>
      <w:tr w:rsidR="00364548" w:rsidRPr="007925BF" w14:paraId="37BFB337" w14:textId="77777777" w:rsidTr="00364548">
        <w:trPr>
          <w:gridAfter w:val="1"/>
          <w:wAfter w:w="222" w:type="dxa"/>
          <w:trHeight w:val="464"/>
        </w:trPr>
        <w:tc>
          <w:tcPr>
            <w:tcW w:w="3276" w:type="dxa"/>
            <w:tcBorders>
              <w:top w:val="nil"/>
              <w:left w:val="single" w:sz="8" w:space="0" w:color="auto"/>
              <w:bottom w:val="single" w:sz="8" w:space="0" w:color="auto"/>
              <w:right w:val="single" w:sz="8" w:space="0" w:color="auto"/>
            </w:tcBorders>
            <w:shd w:val="clear" w:color="000000" w:fill="244062"/>
            <w:vAlign w:val="center"/>
          </w:tcPr>
          <w:p w14:paraId="39E2D004" w14:textId="3528C73A" w:rsidR="00364548" w:rsidRPr="00CA503E" w:rsidRDefault="00364548" w:rsidP="00364548">
            <w:pPr>
              <w:spacing w:after="0" w:line="240" w:lineRule="auto"/>
              <w:rPr>
                <w:rFonts w:ascii="Calibri Light" w:eastAsia="Times New Roman" w:hAnsi="Calibri Light" w:cs="Calibri Light"/>
                <w:b/>
                <w:bCs/>
                <w:color w:val="FFFFFF" w:themeColor="background1"/>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82" w:type="dxa"/>
            <w:gridSpan w:val="3"/>
            <w:tcBorders>
              <w:top w:val="single" w:sz="8" w:space="0" w:color="auto"/>
              <w:left w:val="nil"/>
              <w:bottom w:val="single" w:sz="8" w:space="0" w:color="auto"/>
              <w:right w:val="single" w:sz="8" w:space="0" w:color="000000"/>
            </w:tcBorders>
            <w:shd w:val="clear" w:color="auto" w:fill="auto"/>
            <w:vAlign w:val="center"/>
          </w:tcPr>
          <w:p w14:paraId="7BAF7900" w14:textId="77777777" w:rsidR="001F4636" w:rsidRPr="00364548" w:rsidRDefault="001F4636" w:rsidP="001F4636">
            <w:pPr>
              <w:numPr>
                <w:ilvl w:val="0"/>
                <w:numId w:val="114"/>
              </w:numPr>
              <w:spacing w:after="0" w:line="240" w:lineRule="auto"/>
              <w:rPr>
                <w:rFonts w:ascii="Calibri Light" w:eastAsia="Times New Roman" w:hAnsi="Calibri Light" w:cs="Calibri Light"/>
                <w:color w:val="000000"/>
                <w:sz w:val="20"/>
                <w:szCs w:val="20"/>
                <w:lang w:eastAsia="en-GB"/>
              </w:rPr>
            </w:pPr>
            <w:r w:rsidRPr="00364548">
              <w:rPr>
                <w:rFonts w:ascii="Calibri Light" w:eastAsia="Times New Roman" w:hAnsi="Calibri Light" w:cs="Calibri Light"/>
                <w:color w:val="000000"/>
                <w:sz w:val="20"/>
                <w:szCs w:val="20"/>
                <w:lang w:eastAsia="en-GB"/>
              </w:rPr>
              <w:t>Енергетска ефикасност (промовисане технологије ОИЕ ће довести и до уштеде примарне енергије доприносећи постизању релевантних циљева)</w:t>
            </w:r>
          </w:p>
          <w:p w14:paraId="12E008D6" w14:textId="30CD90BB" w:rsidR="00364548" w:rsidRPr="00CA503E" w:rsidRDefault="001F4636" w:rsidP="000A2AFE">
            <w:pPr>
              <w:numPr>
                <w:ilvl w:val="0"/>
                <w:numId w:val="114"/>
              </w:numPr>
              <w:spacing w:after="0" w:line="240" w:lineRule="auto"/>
              <w:rPr>
                <w:rFonts w:ascii="Calibri Light" w:eastAsia="Times New Roman" w:hAnsi="Calibri Light" w:cs="Calibri Light"/>
                <w:color w:val="000000" w:themeColor="text1"/>
                <w:sz w:val="20"/>
                <w:szCs w:val="20"/>
                <w:lang w:eastAsia="en-GB"/>
              </w:rPr>
            </w:pPr>
            <w:r w:rsidRPr="00364548">
              <w:rPr>
                <w:rFonts w:ascii="Calibri Light" w:eastAsia="Times New Roman" w:hAnsi="Calibri Light" w:cs="Calibri Light"/>
                <w:color w:val="000000"/>
                <w:sz w:val="20"/>
                <w:szCs w:val="20"/>
                <w:lang w:eastAsia="en-GB"/>
              </w:rPr>
              <w:t>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F62532" w:rsidRPr="007925BF" w14:paraId="19406DEB" w14:textId="77777777" w:rsidTr="001C3B8E">
        <w:trPr>
          <w:gridAfter w:val="1"/>
          <w:wAfter w:w="222" w:type="dxa"/>
          <w:trHeight w:val="450"/>
        </w:trPr>
        <w:tc>
          <w:tcPr>
            <w:tcW w:w="3276" w:type="dxa"/>
            <w:vMerge w:val="restart"/>
            <w:tcBorders>
              <w:top w:val="nil"/>
              <w:left w:val="single" w:sz="8" w:space="0" w:color="auto"/>
              <w:right w:val="single" w:sz="8" w:space="0" w:color="auto"/>
            </w:tcBorders>
            <w:shd w:val="clear" w:color="000000" w:fill="244062"/>
            <w:vAlign w:val="center"/>
          </w:tcPr>
          <w:p w14:paraId="01484D3D" w14:textId="786FD0D0" w:rsidR="00F62532" w:rsidRPr="00CA503E" w:rsidRDefault="00F62532" w:rsidP="00364548">
            <w:pPr>
              <w:spacing w:after="0" w:line="240" w:lineRule="auto"/>
              <w:rPr>
                <w:rFonts w:ascii="Calibri Light" w:eastAsia="Times New Roman" w:hAnsi="Calibri Light" w:cs="Calibri Light"/>
                <w:b/>
                <w:bCs/>
                <w:color w:val="FFFFFF" w:themeColor="background1"/>
                <w:sz w:val="20"/>
                <w:szCs w:val="20"/>
                <w:lang w:eastAsia="en-GB"/>
              </w:rPr>
            </w:pPr>
            <w:r w:rsidRPr="00FF386D">
              <w:rPr>
                <w:rFonts w:asciiTheme="majorHAnsi" w:hAnsiTheme="majorHAnsi" w:cstheme="majorHAnsi"/>
                <w:b/>
                <w:bCs/>
                <w:sz w:val="20"/>
                <w:szCs w:val="20"/>
              </w:rPr>
              <w:t>Политике Уније која су резултирале имплементацијом ове МП</w:t>
            </w:r>
          </w:p>
        </w:tc>
        <w:tc>
          <w:tcPr>
            <w:tcW w:w="6182"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68FEFD18" w14:textId="2B5B4491" w:rsidR="00F62532" w:rsidRPr="00CA503E" w:rsidRDefault="00F62532" w:rsidP="00364548">
            <w:pPr>
              <w:pStyle w:val="ListParagraph"/>
              <w:numPr>
                <w:ilvl w:val="0"/>
                <w:numId w:val="114"/>
              </w:numPr>
              <w:spacing w:after="0" w:line="240" w:lineRule="auto"/>
              <w:rPr>
                <w:rFonts w:ascii="Calibri Light" w:eastAsia="Times New Roman" w:hAnsi="Calibri Light" w:cs="Calibri Light"/>
                <w:color w:val="000000" w:themeColor="text1"/>
                <w:sz w:val="20"/>
                <w:szCs w:val="20"/>
                <w:lang w:eastAsia="en-GB"/>
              </w:rPr>
            </w:pPr>
            <w:r>
              <w:rPr>
                <w:rFonts w:ascii="Calibri Light" w:eastAsia="Times New Roman" w:hAnsi="Calibri Light" w:cs="Calibri Light"/>
                <w:color w:val="000000" w:themeColor="text1"/>
                <w:sz w:val="20"/>
                <w:szCs w:val="20"/>
                <w:lang w:eastAsia="en-GB"/>
              </w:rPr>
              <w:t>Директива</w:t>
            </w:r>
            <w:r w:rsidRPr="00CA503E">
              <w:rPr>
                <w:rFonts w:ascii="Calibri Light" w:eastAsia="Times New Roman" w:hAnsi="Calibri Light" w:cs="Calibri Light"/>
                <w:color w:val="000000" w:themeColor="text1"/>
                <w:sz w:val="20"/>
                <w:szCs w:val="20"/>
                <w:lang w:eastAsia="en-GB"/>
              </w:rPr>
              <w:t xml:space="preserve"> 2018/2001/ΕU</w:t>
            </w:r>
          </w:p>
        </w:tc>
      </w:tr>
      <w:tr w:rsidR="00F62532" w:rsidRPr="007925BF" w14:paraId="1C03B4DA" w14:textId="77777777" w:rsidTr="001C3B8E">
        <w:trPr>
          <w:trHeight w:val="300"/>
        </w:trPr>
        <w:tc>
          <w:tcPr>
            <w:tcW w:w="3276" w:type="dxa"/>
            <w:vMerge/>
            <w:tcBorders>
              <w:left w:val="single" w:sz="8" w:space="0" w:color="auto"/>
              <w:right w:val="single" w:sz="8" w:space="0" w:color="auto"/>
            </w:tcBorders>
            <w:vAlign w:val="center"/>
          </w:tcPr>
          <w:p w14:paraId="0390A66E" w14:textId="77777777" w:rsidR="00F62532" w:rsidRPr="00CA503E" w:rsidRDefault="00F62532" w:rsidP="00364548">
            <w:pPr>
              <w:spacing w:after="0" w:line="240" w:lineRule="auto"/>
              <w:rPr>
                <w:rFonts w:ascii="Calibri Light" w:eastAsia="Times New Roman" w:hAnsi="Calibri Light" w:cs="Calibri Light"/>
                <w:b/>
                <w:bCs/>
                <w:color w:val="FFFFFF" w:themeColor="background1"/>
                <w:sz w:val="20"/>
                <w:szCs w:val="20"/>
                <w:lang w:eastAsia="en-GB"/>
              </w:rPr>
            </w:pPr>
          </w:p>
        </w:tc>
        <w:tc>
          <w:tcPr>
            <w:tcW w:w="6182" w:type="dxa"/>
            <w:gridSpan w:val="3"/>
            <w:vMerge/>
            <w:tcBorders>
              <w:top w:val="single" w:sz="8" w:space="0" w:color="auto"/>
              <w:left w:val="single" w:sz="8" w:space="0" w:color="auto"/>
              <w:bottom w:val="single" w:sz="8" w:space="0" w:color="000000"/>
              <w:right w:val="single" w:sz="8" w:space="0" w:color="000000"/>
            </w:tcBorders>
            <w:vAlign w:val="center"/>
            <w:hideMark/>
          </w:tcPr>
          <w:p w14:paraId="51095A5D" w14:textId="77777777" w:rsidR="00F62532" w:rsidRPr="00CA503E" w:rsidRDefault="00F62532" w:rsidP="00364548">
            <w:pPr>
              <w:pStyle w:val="ListParagraph"/>
              <w:numPr>
                <w:ilvl w:val="0"/>
                <w:numId w:val="114"/>
              </w:numPr>
              <w:spacing w:after="0" w:line="240" w:lineRule="auto"/>
              <w:rPr>
                <w:rFonts w:ascii="Calibri Light" w:eastAsia="Times New Roman" w:hAnsi="Calibri Light" w:cs="Calibri Light"/>
                <w:color w:val="000000" w:themeColor="text1"/>
                <w:sz w:val="20"/>
                <w:szCs w:val="20"/>
                <w:lang w:eastAsia="en-GB"/>
              </w:rPr>
            </w:pPr>
          </w:p>
        </w:tc>
        <w:tc>
          <w:tcPr>
            <w:tcW w:w="222" w:type="dxa"/>
            <w:tcBorders>
              <w:top w:val="nil"/>
              <w:left w:val="nil"/>
              <w:bottom w:val="nil"/>
              <w:right w:val="nil"/>
            </w:tcBorders>
            <w:shd w:val="clear" w:color="auto" w:fill="auto"/>
            <w:noWrap/>
            <w:vAlign w:val="bottom"/>
            <w:hideMark/>
          </w:tcPr>
          <w:p w14:paraId="6EDC7F11" w14:textId="77777777" w:rsidR="00F62532" w:rsidRPr="00407B38" w:rsidRDefault="00F62532" w:rsidP="00364548">
            <w:pPr>
              <w:spacing w:after="0" w:line="240" w:lineRule="auto"/>
              <w:rPr>
                <w:rFonts w:ascii="Calibri Light" w:eastAsia="Times New Roman" w:hAnsi="Calibri Light" w:cs="Calibri Light"/>
                <w:color w:val="FF0000"/>
                <w:sz w:val="20"/>
                <w:szCs w:val="20"/>
                <w:lang w:eastAsia="en-GB"/>
              </w:rPr>
            </w:pPr>
          </w:p>
        </w:tc>
      </w:tr>
      <w:tr w:rsidR="00F62532" w:rsidRPr="007925BF" w14:paraId="1363EDD4" w14:textId="77777777" w:rsidTr="001C3B8E">
        <w:trPr>
          <w:trHeight w:val="60"/>
        </w:trPr>
        <w:tc>
          <w:tcPr>
            <w:tcW w:w="3276" w:type="dxa"/>
            <w:vMerge/>
            <w:tcBorders>
              <w:left w:val="single" w:sz="8" w:space="0" w:color="auto"/>
              <w:bottom w:val="single" w:sz="8" w:space="0" w:color="000000"/>
              <w:right w:val="single" w:sz="8" w:space="0" w:color="auto"/>
            </w:tcBorders>
            <w:vAlign w:val="center"/>
          </w:tcPr>
          <w:p w14:paraId="39E36E18" w14:textId="77777777" w:rsidR="00F62532" w:rsidRPr="00CA503E" w:rsidRDefault="00F62532" w:rsidP="00364548">
            <w:pPr>
              <w:spacing w:after="0" w:line="240" w:lineRule="auto"/>
              <w:rPr>
                <w:rFonts w:ascii="Calibri Light" w:eastAsia="Times New Roman" w:hAnsi="Calibri Light" w:cs="Calibri Light"/>
                <w:b/>
                <w:bCs/>
                <w:color w:val="FFFFFF" w:themeColor="background1"/>
                <w:sz w:val="20"/>
                <w:szCs w:val="20"/>
                <w:lang w:eastAsia="en-GB"/>
              </w:rPr>
            </w:pPr>
          </w:p>
        </w:tc>
        <w:tc>
          <w:tcPr>
            <w:tcW w:w="6182" w:type="dxa"/>
            <w:gridSpan w:val="3"/>
            <w:vMerge/>
            <w:tcBorders>
              <w:top w:val="single" w:sz="8" w:space="0" w:color="auto"/>
              <w:left w:val="single" w:sz="8" w:space="0" w:color="auto"/>
              <w:bottom w:val="single" w:sz="8" w:space="0" w:color="000000"/>
              <w:right w:val="single" w:sz="8" w:space="0" w:color="000000"/>
            </w:tcBorders>
            <w:vAlign w:val="center"/>
            <w:hideMark/>
          </w:tcPr>
          <w:p w14:paraId="3DA70F0E" w14:textId="77777777" w:rsidR="00F62532" w:rsidRPr="00CA503E" w:rsidRDefault="00F62532" w:rsidP="00364548">
            <w:pPr>
              <w:pStyle w:val="ListParagraph"/>
              <w:numPr>
                <w:ilvl w:val="0"/>
                <w:numId w:val="114"/>
              </w:numPr>
              <w:spacing w:after="0" w:line="240" w:lineRule="auto"/>
              <w:rPr>
                <w:rFonts w:ascii="Calibri Light" w:eastAsia="Times New Roman" w:hAnsi="Calibri Light" w:cs="Calibri Light"/>
                <w:color w:val="000000" w:themeColor="text1"/>
                <w:sz w:val="20"/>
                <w:szCs w:val="20"/>
                <w:lang w:eastAsia="en-GB"/>
              </w:rPr>
            </w:pPr>
          </w:p>
        </w:tc>
        <w:tc>
          <w:tcPr>
            <w:tcW w:w="222" w:type="dxa"/>
            <w:tcBorders>
              <w:top w:val="nil"/>
              <w:left w:val="nil"/>
              <w:bottom w:val="nil"/>
              <w:right w:val="nil"/>
            </w:tcBorders>
            <w:shd w:val="clear" w:color="auto" w:fill="auto"/>
            <w:noWrap/>
            <w:vAlign w:val="bottom"/>
            <w:hideMark/>
          </w:tcPr>
          <w:p w14:paraId="4CF94F4C" w14:textId="77777777" w:rsidR="00F62532" w:rsidRPr="00407B38" w:rsidRDefault="00F62532" w:rsidP="00364548">
            <w:pPr>
              <w:spacing w:after="0" w:line="240" w:lineRule="auto"/>
              <w:rPr>
                <w:rFonts w:ascii="Times New Roman" w:eastAsia="Times New Roman" w:hAnsi="Times New Roman" w:cs="Times New Roman"/>
                <w:color w:val="FF0000"/>
                <w:sz w:val="20"/>
                <w:szCs w:val="20"/>
                <w:lang w:eastAsia="en-GB"/>
              </w:rPr>
            </w:pPr>
          </w:p>
        </w:tc>
      </w:tr>
      <w:tr w:rsidR="00364548" w:rsidRPr="007925BF" w14:paraId="52922F69" w14:textId="77777777" w:rsidTr="00364548">
        <w:trPr>
          <w:trHeight w:val="371"/>
        </w:trPr>
        <w:tc>
          <w:tcPr>
            <w:tcW w:w="3276" w:type="dxa"/>
            <w:tcBorders>
              <w:top w:val="nil"/>
              <w:left w:val="single" w:sz="8" w:space="0" w:color="auto"/>
              <w:bottom w:val="single" w:sz="8" w:space="0" w:color="auto"/>
              <w:right w:val="single" w:sz="8" w:space="0" w:color="auto"/>
            </w:tcBorders>
            <w:shd w:val="clear" w:color="000000" w:fill="244062"/>
            <w:vAlign w:val="center"/>
          </w:tcPr>
          <w:p w14:paraId="4E422DF5" w14:textId="74AAA61C" w:rsidR="00364548" w:rsidRPr="00CA503E" w:rsidRDefault="00364548" w:rsidP="00364548">
            <w:pPr>
              <w:spacing w:after="0" w:line="240" w:lineRule="auto"/>
              <w:rPr>
                <w:rFonts w:ascii="Calibri Light" w:eastAsia="Times New Roman" w:hAnsi="Calibri Light" w:cs="Calibri Light"/>
                <w:b/>
                <w:bCs/>
                <w:color w:val="FFFFFF" w:themeColor="background1"/>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82" w:type="dxa"/>
            <w:gridSpan w:val="3"/>
            <w:tcBorders>
              <w:top w:val="single" w:sz="8" w:space="0" w:color="auto"/>
              <w:left w:val="nil"/>
              <w:bottom w:val="single" w:sz="8" w:space="0" w:color="auto"/>
              <w:right w:val="single" w:sz="8" w:space="0" w:color="000000"/>
            </w:tcBorders>
            <w:shd w:val="clear" w:color="auto" w:fill="auto"/>
            <w:vAlign w:val="center"/>
            <w:hideMark/>
          </w:tcPr>
          <w:p w14:paraId="68FDC3FE" w14:textId="77777777" w:rsidR="00364548" w:rsidRPr="00CA503E" w:rsidRDefault="00364548" w:rsidP="00364548">
            <w:pPr>
              <w:spacing w:after="0" w:line="240" w:lineRule="auto"/>
              <w:rPr>
                <w:rFonts w:ascii="Calibri Light" w:eastAsia="Times New Roman" w:hAnsi="Calibri Light" w:cs="Calibri Light"/>
                <w:color w:val="000000" w:themeColor="text1"/>
                <w:sz w:val="20"/>
                <w:szCs w:val="20"/>
                <w:lang w:eastAsia="en-GB"/>
              </w:rPr>
            </w:pPr>
          </w:p>
        </w:tc>
        <w:tc>
          <w:tcPr>
            <w:tcW w:w="222" w:type="dxa"/>
            <w:vAlign w:val="center"/>
            <w:hideMark/>
          </w:tcPr>
          <w:p w14:paraId="6A54CEE6" w14:textId="77777777" w:rsidR="00364548" w:rsidRPr="00407B38" w:rsidRDefault="00364548" w:rsidP="00364548">
            <w:pPr>
              <w:spacing w:after="0" w:line="240" w:lineRule="auto"/>
              <w:rPr>
                <w:rFonts w:ascii="Times New Roman" w:eastAsia="Times New Roman" w:hAnsi="Times New Roman" w:cs="Times New Roman"/>
                <w:color w:val="FF0000"/>
                <w:sz w:val="20"/>
                <w:szCs w:val="20"/>
                <w:lang w:eastAsia="en-GB"/>
              </w:rPr>
            </w:pPr>
          </w:p>
        </w:tc>
      </w:tr>
      <w:tr w:rsidR="00364548" w:rsidRPr="007925BF" w14:paraId="33DA1FA3" w14:textId="77777777" w:rsidTr="00364548">
        <w:trPr>
          <w:trHeight w:val="315"/>
        </w:trPr>
        <w:tc>
          <w:tcPr>
            <w:tcW w:w="3276" w:type="dxa"/>
            <w:tcBorders>
              <w:top w:val="nil"/>
              <w:left w:val="single" w:sz="8" w:space="0" w:color="auto"/>
              <w:bottom w:val="single" w:sz="8" w:space="0" w:color="auto"/>
              <w:right w:val="single" w:sz="8" w:space="0" w:color="auto"/>
            </w:tcBorders>
            <w:shd w:val="clear" w:color="000000" w:fill="244062"/>
            <w:vAlign w:val="center"/>
          </w:tcPr>
          <w:p w14:paraId="392FA475" w14:textId="51B36566" w:rsidR="00364548" w:rsidRPr="00CA503E" w:rsidRDefault="00364548" w:rsidP="00364548">
            <w:pPr>
              <w:spacing w:after="0" w:line="240" w:lineRule="auto"/>
              <w:rPr>
                <w:rFonts w:ascii="Calibri Light" w:eastAsia="Times New Roman" w:hAnsi="Calibri Light" w:cs="Calibri Light"/>
                <w:b/>
                <w:bCs/>
                <w:color w:val="FFFFFF" w:themeColor="background1"/>
                <w:sz w:val="20"/>
                <w:szCs w:val="20"/>
                <w:lang w:eastAsia="en-GB"/>
              </w:rPr>
            </w:pPr>
            <w:r w:rsidRPr="00FF386D">
              <w:rPr>
                <w:rFonts w:asciiTheme="majorHAnsi" w:hAnsiTheme="majorHAnsi" w:cstheme="majorHAnsi"/>
                <w:b/>
                <w:bCs/>
                <w:sz w:val="20"/>
                <w:szCs w:val="20"/>
              </w:rPr>
              <w:t>Трошкови имплементације</w:t>
            </w:r>
          </w:p>
        </w:tc>
        <w:tc>
          <w:tcPr>
            <w:tcW w:w="6182" w:type="dxa"/>
            <w:gridSpan w:val="3"/>
            <w:tcBorders>
              <w:top w:val="single" w:sz="8" w:space="0" w:color="auto"/>
              <w:left w:val="nil"/>
              <w:bottom w:val="single" w:sz="8" w:space="0" w:color="auto"/>
              <w:right w:val="single" w:sz="8" w:space="0" w:color="000000"/>
            </w:tcBorders>
            <w:shd w:val="clear" w:color="auto" w:fill="auto"/>
            <w:vAlign w:val="center"/>
            <w:hideMark/>
          </w:tcPr>
          <w:p w14:paraId="06744E7B" w14:textId="77777777" w:rsidR="00364548" w:rsidRPr="00CA503E" w:rsidRDefault="00364548" w:rsidP="00364548">
            <w:pPr>
              <w:spacing w:after="0" w:line="240" w:lineRule="auto"/>
              <w:rPr>
                <w:rFonts w:ascii="Calibri" w:eastAsia="Times New Roman" w:hAnsi="Calibri" w:cs="Calibri"/>
                <w:color w:val="000000" w:themeColor="text1"/>
                <w:sz w:val="20"/>
                <w:szCs w:val="20"/>
                <w:lang w:eastAsia="en-GB"/>
              </w:rPr>
            </w:pPr>
            <w:r w:rsidRPr="00CA503E">
              <w:rPr>
                <w:rFonts w:asciiTheme="majorHAnsi" w:eastAsia="Times New Roman" w:hAnsiTheme="majorHAnsi" w:cstheme="majorHAnsi"/>
                <w:color w:val="000000" w:themeColor="text1"/>
                <w:sz w:val="20"/>
                <w:szCs w:val="20"/>
                <w:lang w:eastAsia="en-GB"/>
              </w:rPr>
              <w:t>0.1 M€</w:t>
            </w:r>
          </w:p>
        </w:tc>
        <w:tc>
          <w:tcPr>
            <w:tcW w:w="222" w:type="dxa"/>
            <w:vAlign w:val="center"/>
            <w:hideMark/>
          </w:tcPr>
          <w:p w14:paraId="36F36E45" w14:textId="77777777" w:rsidR="00364548" w:rsidRPr="00407B38" w:rsidRDefault="00364548" w:rsidP="00364548">
            <w:pPr>
              <w:spacing w:after="0" w:line="240" w:lineRule="auto"/>
              <w:rPr>
                <w:rFonts w:ascii="Times New Roman" w:eastAsia="Times New Roman" w:hAnsi="Times New Roman" w:cs="Times New Roman"/>
                <w:color w:val="FF0000"/>
                <w:sz w:val="20"/>
                <w:szCs w:val="20"/>
                <w:lang w:eastAsia="en-GB"/>
              </w:rPr>
            </w:pPr>
          </w:p>
        </w:tc>
      </w:tr>
      <w:tr w:rsidR="00364548" w:rsidRPr="007925BF" w14:paraId="4923CF50" w14:textId="77777777" w:rsidTr="00364548">
        <w:trPr>
          <w:trHeight w:val="315"/>
        </w:trPr>
        <w:tc>
          <w:tcPr>
            <w:tcW w:w="3276" w:type="dxa"/>
            <w:tcBorders>
              <w:top w:val="nil"/>
              <w:left w:val="single" w:sz="8" w:space="0" w:color="auto"/>
              <w:bottom w:val="single" w:sz="8" w:space="0" w:color="auto"/>
              <w:right w:val="single" w:sz="8" w:space="0" w:color="auto"/>
            </w:tcBorders>
            <w:shd w:val="clear" w:color="000000" w:fill="244062"/>
            <w:vAlign w:val="center"/>
          </w:tcPr>
          <w:p w14:paraId="66EBF6F9" w14:textId="6A45E32D" w:rsidR="00364548" w:rsidRPr="00CA503E" w:rsidRDefault="00364548" w:rsidP="00364548">
            <w:pPr>
              <w:spacing w:after="0" w:line="240" w:lineRule="auto"/>
              <w:rPr>
                <w:rFonts w:ascii="Calibri Light" w:eastAsia="Times New Roman" w:hAnsi="Calibri Light" w:cs="Calibri Light"/>
                <w:b/>
                <w:bCs/>
                <w:color w:val="FFFFFF" w:themeColor="background1"/>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82" w:type="dxa"/>
            <w:gridSpan w:val="3"/>
            <w:tcBorders>
              <w:top w:val="single" w:sz="8" w:space="0" w:color="auto"/>
              <w:left w:val="nil"/>
              <w:bottom w:val="single" w:sz="8" w:space="0" w:color="auto"/>
              <w:right w:val="single" w:sz="8" w:space="0" w:color="000000"/>
            </w:tcBorders>
            <w:shd w:val="clear" w:color="auto" w:fill="auto"/>
            <w:vAlign w:val="center"/>
            <w:hideMark/>
          </w:tcPr>
          <w:p w14:paraId="614041A2" w14:textId="2DF54A98" w:rsidR="00364548" w:rsidRPr="00CA503E" w:rsidRDefault="001D74FC" w:rsidP="00364548">
            <w:pPr>
              <w:spacing w:after="0" w:line="240" w:lineRule="auto"/>
              <w:rPr>
                <w:rFonts w:ascii="Calibri" w:eastAsia="Times New Roman" w:hAnsi="Calibri" w:cs="Calibri"/>
                <w:color w:val="000000" w:themeColor="text1"/>
                <w:sz w:val="20"/>
                <w:szCs w:val="20"/>
                <w:lang w:eastAsia="en-GB"/>
              </w:rPr>
            </w:pPr>
            <w:r>
              <w:rPr>
                <w:rFonts w:asciiTheme="majorHAnsi" w:eastAsia="Times New Roman" w:hAnsiTheme="majorHAnsi" w:cstheme="majorHAnsi"/>
                <w:color w:val="000000" w:themeColor="text1"/>
                <w:sz w:val="20"/>
                <w:szCs w:val="20"/>
                <w:lang w:eastAsia="en-GB"/>
              </w:rPr>
              <w:t xml:space="preserve">Фондови </w:t>
            </w:r>
            <w:r w:rsidR="00364548" w:rsidRPr="00CA503E">
              <w:rPr>
                <w:rFonts w:asciiTheme="majorHAnsi" w:eastAsia="Times New Roman" w:hAnsiTheme="majorHAnsi" w:cstheme="majorHAnsi"/>
                <w:color w:val="000000" w:themeColor="text1"/>
                <w:sz w:val="20"/>
                <w:szCs w:val="20"/>
                <w:lang w:eastAsia="en-GB"/>
              </w:rPr>
              <w:t>E</w:t>
            </w:r>
            <w:r>
              <w:rPr>
                <w:rFonts w:asciiTheme="majorHAnsi" w:eastAsia="Times New Roman" w:hAnsiTheme="majorHAnsi" w:cstheme="majorHAnsi"/>
                <w:color w:val="000000" w:themeColor="text1"/>
                <w:sz w:val="20"/>
                <w:szCs w:val="20"/>
                <w:lang w:eastAsia="en-GB"/>
              </w:rPr>
              <w:t>У и други фондови, буџетска средства</w:t>
            </w:r>
          </w:p>
        </w:tc>
        <w:tc>
          <w:tcPr>
            <w:tcW w:w="222" w:type="dxa"/>
            <w:vAlign w:val="center"/>
            <w:hideMark/>
          </w:tcPr>
          <w:p w14:paraId="7922DA76" w14:textId="77777777" w:rsidR="00364548" w:rsidRPr="00407B38" w:rsidRDefault="00364548" w:rsidP="00364548">
            <w:pPr>
              <w:spacing w:after="0" w:line="240" w:lineRule="auto"/>
              <w:rPr>
                <w:rFonts w:ascii="Times New Roman" w:eastAsia="Times New Roman" w:hAnsi="Times New Roman" w:cs="Times New Roman"/>
                <w:color w:val="FF0000"/>
                <w:sz w:val="20"/>
                <w:szCs w:val="20"/>
                <w:lang w:eastAsia="en-GB"/>
              </w:rPr>
            </w:pPr>
          </w:p>
        </w:tc>
      </w:tr>
    </w:tbl>
    <w:p w14:paraId="443C5072" w14:textId="7DBBDF62" w:rsidR="00854ADA" w:rsidRPr="00FF386D" w:rsidRDefault="00854ADA" w:rsidP="00854ADA">
      <w:pPr>
        <w:spacing w:before="160"/>
        <w:jc w:val="both"/>
        <w:rPr>
          <w:rFonts w:asciiTheme="majorHAnsi" w:hAnsiTheme="majorHAnsi" w:cstheme="majorHAnsi"/>
          <w:b/>
          <w:bCs/>
          <w:color w:val="000000"/>
        </w:rPr>
      </w:pPr>
      <w:r w:rsidRPr="00FF386D">
        <w:rPr>
          <w:rFonts w:asciiTheme="majorHAnsi" w:hAnsiTheme="majorHAnsi" w:cstheme="majorHAnsi"/>
          <w:b/>
          <w:bCs/>
          <w:color w:val="000000"/>
        </w:rPr>
        <w:t>Грејање и хлађење</w:t>
      </w:r>
    </w:p>
    <w:p w14:paraId="58E6F330" w14:textId="20617958"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Технологије обновљиве енергије </w:t>
      </w:r>
      <w:r w:rsidR="00BB6610" w:rsidRPr="00FF386D">
        <w:rPr>
          <w:rFonts w:asciiTheme="majorHAnsi" w:hAnsiTheme="majorHAnsi" w:cstheme="majorHAnsi"/>
          <w:color w:val="000000"/>
        </w:rPr>
        <w:t>у области</w:t>
      </w:r>
      <w:r w:rsidRPr="00FF386D">
        <w:rPr>
          <w:rFonts w:asciiTheme="majorHAnsi" w:hAnsiTheme="majorHAnsi" w:cstheme="majorHAnsi"/>
          <w:color w:val="000000"/>
        </w:rPr>
        <w:t xml:space="preserve"> грејањ</w:t>
      </w:r>
      <w:r w:rsidR="00BB6610" w:rsidRPr="00FF386D">
        <w:rPr>
          <w:rFonts w:asciiTheme="majorHAnsi" w:hAnsiTheme="majorHAnsi" w:cstheme="majorHAnsi"/>
          <w:color w:val="000000"/>
        </w:rPr>
        <w:t>а</w:t>
      </w:r>
      <w:r w:rsidRPr="00FF386D">
        <w:rPr>
          <w:rFonts w:asciiTheme="majorHAnsi" w:hAnsiTheme="majorHAnsi" w:cstheme="majorHAnsi"/>
          <w:color w:val="000000"/>
        </w:rPr>
        <w:t xml:space="preserve"> и хлађењ</w:t>
      </w:r>
      <w:r w:rsidR="00BB6610" w:rsidRPr="00FF386D">
        <w:rPr>
          <w:rFonts w:asciiTheme="majorHAnsi" w:hAnsiTheme="majorHAnsi" w:cstheme="majorHAnsi"/>
          <w:color w:val="000000"/>
        </w:rPr>
        <w:t>а</w:t>
      </w:r>
      <w:r w:rsidRPr="00FF386D">
        <w:rPr>
          <w:rFonts w:asciiTheme="majorHAnsi" w:hAnsiTheme="majorHAnsi" w:cstheme="majorHAnsi"/>
          <w:color w:val="000000"/>
        </w:rPr>
        <w:t xml:space="preserve"> </w:t>
      </w:r>
      <w:r w:rsidR="001A18A8" w:rsidRPr="00FF386D">
        <w:rPr>
          <w:rFonts w:asciiTheme="majorHAnsi" w:hAnsiTheme="majorHAnsi" w:cstheme="majorHAnsi"/>
          <w:color w:val="000000"/>
        </w:rPr>
        <w:t>биће</w:t>
      </w:r>
      <w:r w:rsidRPr="00FF386D">
        <w:rPr>
          <w:rFonts w:asciiTheme="majorHAnsi" w:hAnsiTheme="majorHAnsi" w:cstheme="majorHAnsi"/>
          <w:color w:val="000000"/>
        </w:rPr>
        <w:t xml:space="preserve"> </w:t>
      </w:r>
      <w:r w:rsidR="004414A7" w:rsidRPr="00FF386D">
        <w:rPr>
          <w:rFonts w:asciiTheme="majorHAnsi" w:hAnsiTheme="majorHAnsi" w:cstheme="majorHAnsi"/>
          <w:color w:val="000000"/>
        </w:rPr>
        <w:t>примењиване</w:t>
      </w:r>
      <w:r w:rsidR="002E38D9" w:rsidRPr="00FF386D">
        <w:rPr>
          <w:rFonts w:asciiTheme="majorHAnsi" w:hAnsiTheme="majorHAnsi" w:cstheme="majorHAnsi"/>
          <w:color w:val="000000"/>
        </w:rPr>
        <w:t xml:space="preserve"> </w:t>
      </w:r>
      <w:r w:rsidRPr="00FF386D">
        <w:rPr>
          <w:rFonts w:asciiTheme="majorHAnsi" w:hAnsiTheme="majorHAnsi" w:cstheme="majorHAnsi"/>
          <w:color w:val="000000"/>
        </w:rPr>
        <w:t>увођењем</w:t>
      </w:r>
      <w:r w:rsidR="002E38D9" w:rsidRPr="00FF386D">
        <w:rPr>
          <w:rFonts w:asciiTheme="majorHAnsi" w:hAnsiTheme="majorHAnsi" w:cstheme="majorHAnsi"/>
          <w:color w:val="000000"/>
        </w:rPr>
        <w:t xml:space="preserve"> </w:t>
      </w:r>
      <w:r w:rsidRPr="00FF386D">
        <w:rPr>
          <w:rFonts w:asciiTheme="majorHAnsi" w:hAnsiTheme="majorHAnsi" w:cstheme="majorHAnsi"/>
          <w:color w:val="000000"/>
        </w:rPr>
        <w:t xml:space="preserve">посебних одредби и захтева у Правилник о енергетској ефикасности зграда, </w:t>
      </w:r>
      <w:r w:rsidR="003F21E5" w:rsidRPr="00FF386D">
        <w:rPr>
          <w:rFonts w:asciiTheme="majorHAnsi" w:hAnsiTheme="majorHAnsi" w:cstheme="majorHAnsi"/>
          <w:color w:val="000000"/>
        </w:rPr>
        <w:t>чиме</w:t>
      </w:r>
      <w:r w:rsidRPr="00FF386D">
        <w:rPr>
          <w:rFonts w:asciiTheme="majorHAnsi" w:hAnsiTheme="majorHAnsi" w:cstheme="majorHAnsi"/>
          <w:color w:val="000000"/>
        </w:rPr>
        <w:t xml:space="preserve"> </w:t>
      </w:r>
      <w:r w:rsidR="001A18A8" w:rsidRPr="00FF386D">
        <w:rPr>
          <w:rFonts w:asciiTheme="majorHAnsi" w:hAnsiTheme="majorHAnsi" w:cstheme="majorHAnsi"/>
          <w:color w:val="000000"/>
        </w:rPr>
        <w:t>се</w:t>
      </w:r>
      <w:r w:rsidRPr="00FF386D">
        <w:rPr>
          <w:rFonts w:asciiTheme="majorHAnsi" w:hAnsiTheme="majorHAnsi" w:cstheme="majorHAnsi"/>
          <w:color w:val="000000"/>
        </w:rPr>
        <w:t xml:space="preserve"> подсти</w:t>
      </w:r>
      <w:r w:rsidR="001A18A8" w:rsidRPr="00FF386D">
        <w:rPr>
          <w:rFonts w:asciiTheme="majorHAnsi" w:hAnsiTheme="majorHAnsi" w:cstheme="majorHAnsi"/>
          <w:color w:val="000000"/>
        </w:rPr>
        <w:t>че</w:t>
      </w:r>
      <w:r w:rsidRPr="00FF386D">
        <w:rPr>
          <w:rFonts w:asciiTheme="majorHAnsi" w:hAnsiTheme="majorHAnsi" w:cstheme="majorHAnsi"/>
          <w:color w:val="000000"/>
        </w:rPr>
        <w:t xml:space="preserve"> повећање броја зграда </w:t>
      </w:r>
      <w:r w:rsidR="002E38D9" w:rsidRPr="00FF386D">
        <w:rPr>
          <w:rFonts w:asciiTheme="majorHAnsi" w:hAnsiTheme="majorHAnsi" w:cstheme="majorHAnsi"/>
          <w:color w:val="000000"/>
        </w:rPr>
        <w:t>скоро</w:t>
      </w:r>
      <w:r w:rsidRPr="00FF386D">
        <w:rPr>
          <w:rFonts w:asciiTheme="majorHAnsi" w:hAnsiTheme="majorHAnsi" w:cstheme="majorHAnsi"/>
          <w:color w:val="000000"/>
        </w:rPr>
        <w:t xml:space="preserve"> нулт</w:t>
      </w:r>
      <w:r w:rsidR="002E38D9" w:rsidRPr="00FF386D">
        <w:rPr>
          <w:rFonts w:asciiTheme="majorHAnsi" w:hAnsiTheme="majorHAnsi" w:cstheme="majorHAnsi"/>
          <w:color w:val="000000"/>
        </w:rPr>
        <w:t xml:space="preserve">е </w:t>
      </w:r>
      <w:r w:rsidRPr="00FF386D">
        <w:rPr>
          <w:rFonts w:asciiTheme="majorHAnsi" w:hAnsiTheme="majorHAnsi" w:cstheme="majorHAnsi"/>
          <w:color w:val="000000"/>
        </w:rPr>
        <w:t xml:space="preserve">енергије </w:t>
      </w:r>
      <w:r w:rsidR="003F21E5" w:rsidRPr="00FF386D">
        <w:rPr>
          <w:rFonts w:asciiTheme="majorHAnsi" w:hAnsiTheme="majorHAnsi" w:cstheme="majorHAnsi"/>
          <w:color w:val="000000"/>
        </w:rPr>
        <w:t xml:space="preserve">кроз </w:t>
      </w:r>
      <w:r w:rsidRPr="00FF386D">
        <w:rPr>
          <w:rFonts w:asciiTheme="majorHAnsi" w:hAnsiTheme="majorHAnsi" w:cstheme="majorHAnsi"/>
          <w:color w:val="000000"/>
        </w:rPr>
        <w:t>примен</w:t>
      </w:r>
      <w:r w:rsidR="003F21E5" w:rsidRPr="00FF386D">
        <w:rPr>
          <w:rFonts w:asciiTheme="majorHAnsi" w:hAnsiTheme="majorHAnsi" w:cstheme="majorHAnsi"/>
          <w:color w:val="000000"/>
        </w:rPr>
        <w:t>у</w:t>
      </w:r>
      <w:r w:rsidRPr="00FF386D">
        <w:rPr>
          <w:rFonts w:asciiTheme="majorHAnsi" w:hAnsiTheme="majorHAnsi" w:cstheme="majorHAnsi"/>
          <w:color w:val="000000"/>
        </w:rPr>
        <w:t xml:space="preserve"> трошковно</w:t>
      </w:r>
      <w:r w:rsidR="002E38D9" w:rsidRPr="00FF386D">
        <w:rPr>
          <w:rFonts w:asciiTheme="majorHAnsi" w:hAnsiTheme="majorHAnsi" w:cstheme="majorHAnsi"/>
          <w:color w:val="000000"/>
        </w:rPr>
        <w:t xml:space="preserve"> е</w:t>
      </w:r>
      <w:r w:rsidRPr="00FF386D">
        <w:rPr>
          <w:rFonts w:asciiTheme="majorHAnsi" w:hAnsiTheme="majorHAnsi" w:cstheme="majorHAnsi"/>
          <w:color w:val="000000"/>
        </w:rPr>
        <w:t>ф</w:t>
      </w:r>
      <w:r w:rsidR="004414A7" w:rsidRPr="00FF386D">
        <w:rPr>
          <w:rFonts w:asciiTheme="majorHAnsi" w:hAnsiTheme="majorHAnsi" w:cstheme="majorHAnsi"/>
          <w:color w:val="000000"/>
        </w:rPr>
        <w:t>икасних</w:t>
      </w:r>
      <w:r w:rsidRPr="00FF386D">
        <w:rPr>
          <w:rFonts w:asciiTheme="majorHAnsi" w:hAnsiTheme="majorHAnsi" w:cstheme="majorHAnsi"/>
          <w:color w:val="000000"/>
        </w:rPr>
        <w:t xml:space="preserve"> пакета мера. </w:t>
      </w:r>
      <w:r w:rsidR="003F21E5" w:rsidRPr="00FF386D">
        <w:rPr>
          <w:rFonts w:asciiTheme="majorHAnsi" w:hAnsiTheme="majorHAnsi" w:cstheme="majorHAnsi"/>
          <w:color w:val="000000"/>
        </w:rPr>
        <w:t>Размотриће се увођење о</w:t>
      </w:r>
      <w:r w:rsidRPr="00FF386D">
        <w:rPr>
          <w:rFonts w:asciiTheme="majorHAnsi" w:hAnsiTheme="majorHAnsi" w:cstheme="majorHAnsi"/>
          <w:color w:val="000000"/>
        </w:rPr>
        <w:t>бавезн</w:t>
      </w:r>
      <w:r w:rsidR="003F21E5" w:rsidRPr="00FF386D">
        <w:rPr>
          <w:rFonts w:asciiTheme="majorHAnsi" w:hAnsiTheme="majorHAnsi" w:cstheme="majorHAnsi"/>
          <w:color w:val="000000"/>
        </w:rPr>
        <w:t>е</w:t>
      </w:r>
      <w:r w:rsidRPr="00FF386D">
        <w:rPr>
          <w:rFonts w:asciiTheme="majorHAnsi" w:hAnsiTheme="majorHAnsi" w:cstheme="majorHAnsi"/>
          <w:color w:val="000000"/>
        </w:rPr>
        <w:t xml:space="preserve"> уградњ</w:t>
      </w:r>
      <w:r w:rsidR="003F21E5" w:rsidRPr="00FF386D">
        <w:rPr>
          <w:rFonts w:asciiTheme="majorHAnsi" w:hAnsiTheme="majorHAnsi" w:cstheme="majorHAnsi"/>
          <w:color w:val="000000"/>
        </w:rPr>
        <w:t>е</w:t>
      </w:r>
      <w:r w:rsidRPr="00FF386D">
        <w:rPr>
          <w:rFonts w:asciiTheme="majorHAnsi" w:hAnsiTheme="majorHAnsi" w:cstheme="majorHAnsi"/>
          <w:color w:val="000000"/>
        </w:rPr>
        <w:t xml:space="preserve"> технологија обновљивих извора енергије</w:t>
      </w:r>
      <w:r w:rsidR="004414A7" w:rsidRPr="00FF386D">
        <w:rPr>
          <w:rFonts w:asciiTheme="majorHAnsi" w:hAnsiTheme="majorHAnsi" w:cstheme="majorHAnsi"/>
          <w:color w:val="000000"/>
        </w:rPr>
        <w:t>,</w:t>
      </w:r>
      <w:r w:rsidR="003F21E5" w:rsidRPr="00FF386D">
        <w:rPr>
          <w:rFonts w:asciiTheme="majorHAnsi" w:hAnsiTheme="majorHAnsi" w:cstheme="majorHAnsi"/>
          <w:color w:val="000000"/>
        </w:rPr>
        <w:t xml:space="preserve"> </w:t>
      </w:r>
      <w:r w:rsidRPr="00FF386D">
        <w:rPr>
          <w:rFonts w:asciiTheme="majorHAnsi" w:hAnsiTheme="majorHAnsi" w:cstheme="majorHAnsi"/>
          <w:color w:val="000000"/>
        </w:rPr>
        <w:t xml:space="preserve">како </w:t>
      </w:r>
      <w:r w:rsidR="003F21E5" w:rsidRPr="00FF386D">
        <w:rPr>
          <w:rFonts w:asciiTheme="majorHAnsi" w:hAnsiTheme="majorHAnsi" w:cstheme="majorHAnsi"/>
          <w:color w:val="000000"/>
        </w:rPr>
        <w:t xml:space="preserve">у </w:t>
      </w:r>
      <w:r w:rsidRPr="00FF386D">
        <w:rPr>
          <w:rFonts w:asciiTheme="majorHAnsi" w:hAnsiTheme="majorHAnsi" w:cstheme="majorHAnsi"/>
          <w:color w:val="000000"/>
        </w:rPr>
        <w:t xml:space="preserve">нове тако и </w:t>
      </w:r>
      <w:r w:rsidR="003F21E5" w:rsidRPr="00FF386D">
        <w:rPr>
          <w:rFonts w:asciiTheme="majorHAnsi" w:hAnsiTheme="majorHAnsi" w:cstheme="majorHAnsi"/>
          <w:color w:val="000000"/>
        </w:rPr>
        <w:t>у обновљене</w:t>
      </w:r>
      <w:r w:rsidRPr="00FF386D">
        <w:rPr>
          <w:rFonts w:asciiTheme="majorHAnsi" w:hAnsiTheme="majorHAnsi" w:cstheme="majorHAnsi"/>
          <w:color w:val="000000"/>
        </w:rPr>
        <w:t xml:space="preserve"> зграде, </w:t>
      </w:r>
      <w:r w:rsidR="003F21E5" w:rsidRPr="00FF386D">
        <w:rPr>
          <w:rFonts w:asciiTheme="majorHAnsi" w:hAnsiTheme="majorHAnsi" w:cstheme="majorHAnsi"/>
          <w:color w:val="000000"/>
        </w:rPr>
        <w:t>а</w:t>
      </w:r>
      <w:r w:rsidRPr="00FF386D">
        <w:rPr>
          <w:rFonts w:asciiTheme="majorHAnsi" w:hAnsiTheme="majorHAnsi" w:cstheme="majorHAnsi"/>
          <w:color w:val="000000"/>
        </w:rPr>
        <w:t xml:space="preserve"> </w:t>
      </w:r>
      <w:r w:rsidR="001A18A8" w:rsidRPr="00FF386D">
        <w:rPr>
          <w:rFonts w:asciiTheme="majorHAnsi" w:hAnsiTheme="majorHAnsi" w:cstheme="majorHAnsi"/>
          <w:color w:val="000000"/>
        </w:rPr>
        <w:t xml:space="preserve">биће разматрано </w:t>
      </w:r>
      <w:r w:rsidRPr="00FF386D">
        <w:rPr>
          <w:rFonts w:asciiTheme="majorHAnsi" w:hAnsiTheme="majorHAnsi" w:cstheme="majorHAnsi"/>
          <w:color w:val="000000"/>
        </w:rPr>
        <w:t xml:space="preserve">потенцијално </w:t>
      </w:r>
      <w:r w:rsidR="001A18A8" w:rsidRPr="00FF386D">
        <w:rPr>
          <w:rFonts w:asciiTheme="majorHAnsi" w:hAnsiTheme="majorHAnsi" w:cstheme="majorHAnsi"/>
          <w:color w:val="000000"/>
        </w:rPr>
        <w:t>утврђивање</w:t>
      </w:r>
      <w:r w:rsidRPr="00FF386D">
        <w:rPr>
          <w:rFonts w:asciiTheme="majorHAnsi" w:hAnsiTheme="majorHAnsi" w:cstheme="majorHAnsi"/>
          <w:color w:val="000000"/>
        </w:rPr>
        <w:t xml:space="preserve"> минималног учешћа обновљиве енергије у свим зградама</w:t>
      </w:r>
      <w:r w:rsidR="003F21E5" w:rsidRPr="00FF386D">
        <w:rPr>
          <w:rFonts w:asciiTheme="majorHAnsi" w:hAnsiTheme="majorHAnsi" w:cstheme="majorHAnsi"/>
          <w:color w:val="000000"/>
        </w:rPr>
        <w:t>,</w:t>
      </w:r>
      <w:r w:rsidRPr="00FF386D">
        <w:rPr>
          <w:rFonts w:asciiTheme="majorHAnsi" w:hAnsiTheme="majorHAnsi" w:cstheme="majorHAnsi"/>
          <w:color w:val="000000"/>
        </w:rPr>
        <w:t xml:space="preserve"> узимајући у обзир економску исплативост технологија обновљиве енергије</w:t>
      </w:r>
      <w:r w:rsidR="006F0F58" w:rsidRPr="00FF386D">
        <w:rPr>
          <w:rFonts w:asciiTheme="majorHAnsi" w:hAnsiTheme="majorHAnsi" w:cstheme="majorHAnsi"/>
          <w:color w:val="000000"/>
        </w:rPr>
        <w:t xml:space="preserve"> </w:t>
      </w:r>
      <w:r w:rsidRPr="00FF386D">
        <w:rPr>
          <w:rFonts w:asciiTheme="majorHAnsi" w:hAnsiTheme="majorHAnsi" w:cstheme="majorHAnsi"/>
          <w:color w:val="000000"/>
        </w:rPr>
        <w:t>и постигнуте уштеде енергије. Поред тога, биће обезбеђени</w:t>
      </w:r>
      <w:r w:rsidR="003F21E5" w:rsidRPr="00FF386D">
        <w:rPr>
          <w:rFonts w:asciiTheme="majorHAnsi" w:hAnsiTheme="majorHAnsi" w:cstheme="majorHAnsi"/>
          <w:color w:val="000000"/>
        </w:rPr>
        <w:t xml:space="preserve"> усмерени</w:t>
      </w:r>
      <w:r w:rsidRPr="00FF386D">
        <w:rPr>
          <w:rFonts w:asciiTheme="majorHAnsi" w:hAnsiTheme="majorHAnsi" w:cstheme="majorHAnsi"/>
          <w:color w:val="000000"/>
        </w:rPr>
        <w:t xml:space="preserve"> фискални и економски подстицаји за уградњу нај</w:t>
      </w:r>
      <w:r w:rsidR="003F21E5" w:rsidRPr="00FF386D">
        <w:rPr>
          <w:rFonts w:asciiTheme="majorHAnsi" w:hAnsiTheme="majorHAnsi" w:cstheme="majorHAnsi"/>
          <w:color w:val="000000"/>
        </w:rPr>
        <w:t>економичнијих</w:t>
      </w:r>
      <w:r w:rsidRPr="00FF386D">
        <w:rPr>
          <w:rFonts w:asciiTheme="majorHAnsi" w:hAnsiTheme="majorHAnsi" w:cstheme="majorHAnsi"/>
          <w:color w:val="000000"/>
        </w:rPr>
        <w:t xml:space="preserve"> технологија обновљивих извора енергије </w:t>
      </w:r>
      <w:r w:rsidR="00BB6610" w:rsidRPr="00FF386D">
        <w:rPr>
          <w:rFonts w:asciiTheme="majorHAnsi" w:hAnsiTheme="majorHAnsi" w:cstheme="majorHAnsi"/>
          <w:color w:val="000000"/>
        </w:rPr>
        <w:t>у област</w:t>
      </w:r>
      <w:r w:rsidRPr="00FF386D">
        <w:rPr>
          <w:rFonts w:asciiTheme="majorHAnsi" w:hAnsiTheme="majorHAnsi" w:cstheme="majorHAnsi"/>
          <w:color w:val="000000"/>
        </w:rPr>
        <w:t xml:space="preserve"> грејањ</w:t>
      </w:r>
      <w:r w:rsidR="00BB6610" w:rsidRPr="00FF386D">
        <w:rPr>
          <w:rFonts w:asciiTheme="majorHAnsi" w:hAnsiTheme="majorHAnsi" w:cstheme="majorHAnsi"/>
          <w:color w:val="000000"/>
        </w:rPr>
        <w:t>а</w:t>
      </w:r>
      <w:r w:rsidRPr="00FF386D">
        <w:rPr>
          <w:rFonts w:asciiTheme="majorHAnsi" w:hAnsiTheme="majorHAnsi" w:cstheme="majorHAnsi"/>
          <w:color w:val="000000"/>
        </w:rPr>
        <w:t xml:space="preserve"> и хлађењ</w:t>
      </w:r>
      <w:r w:rsidR="00BB6610" w:rsidRPr="00FF386D">
        <w:rPr>
          <w:rFonts w:asciiTheme="majorHAnsi" w:hAnsiTheme="majorHAnsi" w:cstheme="majorHAnsi"/>
          <w:color w:val="000000"/>
        </w:rPr>
        <w:t>а</w:t>
      </w:r>
      <w:r w:rsidRPr="00FF386D">
        <w:rPr>
          <w:rFonts w:asciiTheme="majorHAnsi" w:hAnsiTheme="majorHAnsi" w:cstheme="majorHAnsi"/>
          <w:color w:val="000000"/>
        </w:rPr>
        <w:t>.</w:t>
      </w:r>
    </w:p>
    <w:p w14:paraId="2F0C671C" w14:textId="107CD59B"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Ове мере политик</w:t>
      </w:r>
      <w:r w:rsidR="003F21E5" w:rsidRPr="00FF386D">
        <w:rPr>
          <w:rFonts w:asciiTheme="majorHAnsi" w:hAnsiTheme="majorHAnsi" w:cstheme="majorHAnsi"/>
          <w:color w:val="000000"/>
        </w:rPr>
        <w:t>е</w:t>
      </w:r>
      <w:r w:rsidRPr="00FF386D">
        <w:rPr>
          <w:rFonts w:asciiTheme="majorHAnsi" w:hAnsiTheme="majorHAnsi" w:cstheme="majorHAnsi"/>
          <w:color w:val="000000"/>
        </w:rPr>
        <w:t xml:space="preserve"> ће бити осмишљене тако да</w:t>
      </w:r>
      <w:r w:rsidR="003F21E5" w:rsidRPr="00FF386D">
        <w:rPr>
          <w:rFonts w:asciiTheme="majorHAnsi" w:hAnsiTheme="majorHAnsi" w:cstheme="majorHAnsi"/>
          <w:color w:val="000000"/>
        </w:rPr>
        <w:t xml:space="preserve"> </w:t>
      </w:r>
      <w:r w:rsidR="004414A7" w:rsidRPr="00FF386D">
        <w:rPr>
          <w:rFonts w:asciiTheme="majorHAnsi" w:hAnsiTheme="majorHAnsi" w:cstheme="majorHAnsi"/>
          <w:color w:val="000000"/>
        </w:rPr>
        <w:t>максимизирају</w:t>
      </w:r>
      <w:r w:rsidRPr="00FF386D">
        <w:rPr>
          <w:rFonts w:asciiTheme="majorHAnsi" w:hAnsiTheme="majorHAnsi" w:cstheme="majorHAnsi"/>
          <w:color w:val="000000"/>
        </w:rPr>
        <w:t xml:space="preserve"> синергиј</w:t>
      </w:r>
      <w:r w:rsidR="003F21E5" w:rsidRPr="00FF386D">
        <w:rPr>
          <w:rFonts w:asciiTheme="majorHAnsi" w:hAnsiTheme="majorHAnsi" w:cstheme="majorHAnsi"/>
          <w:color w:val="000000"/>
        </w:rPr>
        <w:t>е</w:t>
      </w:r>
      <w:r w:rsidRPr="00FF386D">
        <w:rPr>
          <w:rFonts w:asciiTheme="majorHAnsi" w:hAnsiTheme="majorHAnsi" w:cstheme="majorHAnsi"/>
          <w:color w:val="000000"/>
        </w:rPr>
        <w:t xml:space="preserve"> са одговарајућим мерама у оквиру димензије енергетске ефикасности.</w:t>
      </w:r>
    </w:p>
    <w:tbl>
      <w:tblPr>
        <w:tblW w:w="9458" w:type="dxa"/>
        <w:tblLook w:val="04A0" w:firstRow="1" w:lastRow="0" w:firstColumn="1" w:lastColumn="0" w:noHBand="0" w:noVBand="1"/>
      </w:tblPr>
      <w:tblGrid>
        <w:gridCol w:w="3332"/>
        <w:gridCol w:w="945"/>
        <w:gridCol w:w="946"/>
        <w:gridCol w:w="4235"/>
      </w:tblGrid>
      <w:tr w:rsidR="00854ADA" w:rsidRPr="00FF386D" w14:paraId="424C6C1E" w14:textId="77777777" w:rsidTr="0057310C">
        <w:trPr>
          <w:trHeight w:val="780"/>
        </w:trPr>
        <w:tc>
          <w:tcPr>
            <w:tcW w:w="3332"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65AF8F39"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Шифра мере политике:</w:t>
            </w:r>
          </w:p>
        </w:tc>
        <w:tc>
          <w:tcPr>
            <w:tcW w:w="945" w:type="dxa"/>
            <w:tcBorders>
              <w:top w:val="single" w:sz="8" w:space="0" w:color="auto"/>
              <w:left w:val="nil"/>
              <w:bottom w:val="single" w:sz="8" w:space="0" w:color="auto"/>
              <w:right w:val="single" w:sz="8" w:space="0" w:color="auto"/>
            </w:tcBorders>
            <w:shd w:val="clear" w:color="auto" w:fill="E7E6E6" w:themeFill="background2"/>
            <w:vAlign w:val="center"/>
            <w:hideMark/>
          </w:tcPr>
          <w:p w14:paraId="1B16675C" w14:textId="6A8513F1"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МП_Д</w:t>
            </w:r>
            <w:r w:rsidR="005E4832">
              <w:rPr>
                <w:rFonts w:ascii="Calibri Light" w:eastAsia="Times New Roman" w:hAnsi="Calibri Light" w:cs="Calibri Light"/>
                <w:b/>
                <w:bCs/>
                <w:color w:val="000000"/>
                <w:sz w:val="20"/>
                <w:szCs w:val="20"/>
                <w:lang w:val="sr-Latn-RS" w:eastAsia="en-GB"/>
              </w:rPr>
              <w:t>29</w:t>
            </w:r>
          </w:p>
        </w:tc>
        <w:tc>
          <w:tcPr>
            <w:tcW w:w="946" w:type="dxa"/>
            <w:tcBorders>
              <w:top w:val="single" w:sz="8" w:space="0" w:color="auto"/>
              <w:left w:val="nil"/>
              <w:bottom w:val="single" w:sz="8" w:space="0" w:color="auto"/>
              <w:right w:val="single" w:sz="8" w:space="0" w:color="auto"/>
            </w:tcBorders>
            <w:shd w:val="clear" w:color="000000" w:fill="244062"/>
            <w:vAlign w:val="center"/>
            <w:hideMark/>
          </w:tcPr>
          <w:p w14:paraId="4587EC3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35" w:type="dxa"/>
            <w:tcBorders>
              <w:top w:val="single" w:sz="8" w:space="0" w:color="auto"/>
              <w:left w:val="nil"/>
              <w:bottom w:val="single" w:sz="8" w:space="0" w:color="auto"/>
              <w:right w:val="single" w:sz="8" w:space="0" w:color="auto"/>
            </w:tcBorders>
            <w:shd w:val="clear" w:color="auto" w:fill="E7E6E6" w:themeFill="background2"/>
            <w:vAlign w:val="center"/>
            <w:hideMark/>
          </w:tcPr>
          <w:p w14:paraId="0A7EECBB" w14:textId="0E5AFE3D"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П</w:t>
            </w:r>
            <w:r w:rsidR="001A18A8" w:rsidRPr="000A2AFE">
              <w:rPr>
                <w:rFonts w:ascii="Calibri Light" w:eastAsia="Times New Roman" w:hAnsi="Calibri Light" w:cs="Calibri Light"/>
                <w:b/>
                <w:bCs/>
                <w:color w:val="000000"/>
                <w:sz w:val="20"/>
                <w:szCs w:val="20"/>
                <w:lang w:eastAsia="en-GB"/>
              </w:rPr>
              <w:t>одстицање</w:t>
            </w:r>
            <w:r w:rsidRPr="000A2AFE">
              <w:rPr>
                <w:rFonts w:ascii="Calibri Light" w:eastAsia="Times New Roman" w:hAnsi="Calibri Light" w:cs="Calibri Light"/>
                <w:b/>
                <w:bCs/>
                <w:color w:val="000000"/>
                <w:sz w:val="20"/>
                <w:szCs w:val="20"/>
                <w:lang w:eastAsia="en-GB"/>
              </w:rPr>
              <w:t xml:space="preserve"> ОИЕ за грејање и хлађење у новим и </w:t>
            </w:r>
            <w:r w:rsidR="00891E38">
              <w:rPr>
                <w:rFonts w:ascii="Calibri Light" w:eastAsia="Times New Roman" w:hAnsi="Calibri Light" w:cs="Calibri Light"/>
                <w:b/>
                <w:bCs/>
                <w:color w:val="000000"/>
                <w:sz w:val="20"/>
                <w:szCs w:val="20"/>
                <w:lang w:eastAsia="en-GB"/>
              </w:rPr>
              <w:t>санираним</w:t>
            </w:r>
            <w:r w:rsidR="001A18A8" w:rsidRPr="000A2AFE">
              <w:rPr>
                <w:rFonts w:ascii="Calibri Light" w:eastAsia="Times New Roman" w:hAnsi="Calibri Light" w:cs="Calibri Light"/>
                <w:b/>
                <w:bCs/>
                <w:color w:val="000000"/>
                <w:sz w:val="20"/>
                <w:szCs w:val="20"/>
                <w:lang w:eastAsia="en-GB"/>
              </w:rPr>
              <w:t xml:space="preserve"> </w:t>
            </w:r>
            <w:r w:rsidRPr="000A2AFE">
              <w:rPr>
                <w:rFonts w:ascii="Calibri Light" w:eastAsia="Times New Roman" w:hAnsi="Calibri Light" w:cs="Calibri Light"/>
                <w:b/>
                <w:bCs/>
                <w:color w:val="000000"/>
                <w:sz w:val="20"/>
                <w:szCs w:val="20"/>
                <w:lang w:eastAsia="en-GB"/>
              </w:rPr>
              <w:t>зградама</w:t>
            </w:r>
          </w:p>
        </w:tc>
      </w:tr>
      <w:tr w:rsidR="00854ADA" w:rsidRPr="00FF386D" w14:paraId="75F9B581" w14:textId="77777777" w:rsidTr="0057310C">
        <w:trPr>
          <w:trHeight w:val="333"/>
        </w:trPr>
        <w:tc>
          <w:tcPr>
            <w:tcW w:w="3332" w:type="dxa"/>
            <w:tcBorders>
              <w:top w:val="nil"/>
              <w:left w:val="single" w:sz="8" w:space="0" w:color="auto"/>
              <w:bottom w:val="single" w:sz="8" w:space="0" w:color="auto"/>
              <w:right w:val="nil"/>
            </w:tcBorders>
            <w:shd w:val="clear" w:color="000000" w:fill="244062"/>
            <w:vAlign w:val="center"/>
            <w:hideMark/>
          </w:tcPr>
          <w:p w14:paraId="08DC9ED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26" w:type="dxa"/>
            <w:gridSpan w:val="3"/>
            <w:tcBorders>
              <w:top w:val="single" w:sz="8" w:space="0" w:color="auto"/>
              <w:left w:val="nil"/>
              <w:bottom w:val="single" w:sz="8" w:space="0" w:color="auto"/>
              <w:right w:val="single" w:sz="8" w:space="0" w:color="000000"/>
            </w:tcBorders>
            <w:shd w:val="clear" w:color="auto" w:fill="auto"/>
            <w:vAlign w:val="center"/>
            <w:hideMark/>
          </w:tcPr>
          <w:p w14:paraId="12C6F6E0" w14:textId="759A7FA6"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Повећање удела ОИЕ у </w:t>
            </w:r>
            <w:r w:rsidR="00BB6610" w:rsidRPr="000A2AFE">
              <w:rPr>
                <w:rFonts w:ascii="Calibri Light" w:eastAsia="Times New Roman" w:hAnsi="Calibri Light" w:cs="Calibri Light"/>
                <w:color w:val="000000"/>
                <w:sz w:val="20"/>
                <w:szCs w:val="20"/>
                <w:lang w:eastAsia="en-GB"/>
              </w:rPr>
              <w:t>области г</w:t>
            </w:r>
            <w:r w:rsidRPr="000A2AFE">
              <w:rPr>
                <w:rFonts w:ascii="Calibri Light" w:eastAsia="Times New Roman" w:hAnsi="Calibri Light" w:cs="Calibri Light"/>
                <w:color w:val="000000"/>
                <w:sz w:val="20"/>
                <w:szCs w:val="20"/>
                <w:lang w:eastAsia="en-GB"/>
              </w:rPr>
              <w:t>рејањ</w:t>
            </w:r>
            <w:r w:rsidR="00BB6610"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и хлађењ</w:t>
            </w:r>
            <w:r w:rsidR="00BB6610" w:rsidRPr="000A2AFE">
              <w:rPr>
                <w:rFonts w:ascii="Calibri Light" w:eastAsia="Times New Roman" w:hAnsi="Calibri Light" w:cs="Calibri Light"/>
                <w:color w:val="000000"/>
                <w:sz w:val="20"/>
                <w:szCs w:val="20"/>
                <w:lang w:eastAsia="en-GB"/>
              </w:rPr>
              <w:t>а</w:t>
            </w:r>
          </w:p>
        </w:tc>
      </w:tr>
      <w:tr w:rsidR="00854ADA" w:rsidRPr="00FF386D" w14:paraId="7A9FDD71" w14:textId="77777777" w:rsidTr="0057310C">
        <w:trPr>
          <w:trHeight w:val="315"/>
        </w:trPr>
        <w:tc>
          <w:tcPr>
            <w:tcW w:w="3332" w:type="dxa"/>
            <w:tcBorders>
              <w:top w:val="nil"/>
              <w:left w:val="single" w:sz="8" w:space="0" w:color="auto"/>
              <w:bottom w:val="single" w:sz="8" w:space="0" w:color="auto"/>
              <w:right w:val="single" w:sz="8" w:space="0" w:color="auto"/>
            </w:tcBorders>
            <w:shd w:val="clear" w:color="000000" w:fill="244062"/>
            <w:vAlign w:val="center"/>
            <w:hideMark/>
          </w:tcPr>
          <w:p w14:paraId="07B516A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26" w:type="dxa"/>
            <w:gridSpan w:val="3"/>
            <w:tcBorders>
              <w:top w:val="single" w:sz="8" w:space="0" w:color="auto"/>
              <w:left w:val="nil"/>
              <w:bottom w:val="single" w:sz="8" w:space="0" w:color="auto"/>
              <w:right w:val="single" w:sz="8" w:space="0" w:color="000000"/>
            </w:tcBorders>
            <w:shd w:val="clear" w:color="auto" w:fill="auto"/>
            <w:vAlign w:val="center"/>
            <w:hideMark/>
          </w:tcPr>
          <w:p w14:paraId="52329C37" w14:textId="76CB01A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Допринос квантификованом циљу МП_</w:t>
            </w:r>
            <w:r w:rsidR="00485E55" w:rsidRPr="00FF386D">
              <w:rPr>
                <w:rFonts w:ascii="Calibri Light" w:eastAsia="Times New Roman" w:hAnsi="Calibri Light" w:cs="Calibri Light"/>
                <w:color w:val="000000"/>
                <w:sz w:val="20"/>
                <w:szCs w:val="20"/>
                <w:lang w:eastAsia="en-GB"/>
              </w:rPr>
              <w:t>Д3</w:t>
            </w:r>
            <w:r w:rsidR="00485E55">
              <w:rPr>
                <w:rFonts w:ascii="Calibri Light" w:eastAsia="Times New Roman" w:hAnsi="Calibri Light" w:cs="Calibri Light"/>
                <w:color w:val="000000"/>
                <w:sz w:val="20"/>
                <w:szCs w:val="20"/>
                <w:lang w:eastAsia="en-GB"/>
              </w:rPr>
              <w:t>0</w:t>
            </w:r>
          </w:p>
        </w:tc>
      </w:tr>
      <w:tr w:rsidR="00854ADA" w:rsidRPr="00FF386D" w14:paraId="3251440D" w14:textId="77777777" w:rsidTr="0057310C">
        <w:trPr>
          <w:trHeight w:val="2295"/>
        </w:trPr>
        <w:tc>
          <w:tcPr>
            <w:tcW w:w="3332" w:type="dxa"/>
            <w:tcBorders>
              <w:top w:val="nil"/>
              <w:left w:val="single" w:sz="8" w:space="0" w:color="auto"/>
              <w:bottom w:val="single" w:sz="8" w:space="0" w:color="auto"/>
              <w:right w:val="single" w:sz="8" w:space="0" w:color="auto"/>
            </w:tcBorders>
            <w:shd w:val="clear" w:color="000000" w:fill="244062"/>
            <w:vAlign w:val="center"/>
            <w:hideMark/>
          </w:tcPr>
          <w:p w14:paraId="61FF34B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26" w:type="dxa"/>
            <w:gridSpan w:val="3"/>
            <w:tcBorders>
              <w:top w:val="single" w:sz="8" w:space="0" w:color="auto"/>
              <w:left w:val="nil"/>
              <w:bottom w:val="single" w:sz="8" w:space="0" w:color="auto"/>
              <w:right w:val="single" w:sz="8" w:space="0" w:color="000000"/>
            </w:tcBorders>
            <w:shd w:val="clear" w:color="auto" w:fill="auto"/>
            <w:vAlign w:val="center"/>
            <w:hideMark/>
          </w:tcPr>
          <w:p w14:paraId="1696CD5E" w14:textId="650B5BED"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МП_</w:t>
            </w:r>
            <w:r w:rsidR="005E4832" w:rsidRPr="000A2AFE">
              <w:rPr>
                <w:rFonts w:ascii="Calibri Light" w:eastAsia="Times New Roman" w:hAnsi="Calibri Light" w:cs="Calibri Light"/>
                <w:color w:val="000000"/>
                <w:sz w:val="20"/>
                <w:szCs w:val="20"/>
                <w:lang w:eastAsia="en-GB"/>
              </w:rPr>
              <w:t>Д</w:t>
            </w:r>
            <w:r w:rsidR="005E4832">
              <w:rPr>
                <w:rFonts w:ascii="Calibri Light" w:eastAsia="Times New Roman" w:hAnsi="Calibri Light" w:cs="Calibri Light"/>
                <w:color w:val="000000"/>
                <w:sz w:val="20"/>
                <w:szCs w:val="20"/>
                <w:lang w:val="sr-Latn-RS" w:eastAsia="en-GB"/>
              </w:rPr>
              <w:t>29</w:t>
            </w:r>
            <w:r w:rsidR="005E4832"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 xml:space="preserve">ће омогућити </w:t>
            </w:r>
            <w:r w:rsidR="006A36E9" w:rsidRPr="000A2AFE">
              <w:rPr>
                <w:rFonts w:ascii="Calibri Light" w:eastAsia="Times New Roman" w:hAnsi="Calibri Light" w:cs="Calibri Light"/>
                <w:color w:val="000000"/>
                <w:sz w:val="20"/>
                <w:szCs w:val="20"/>
                <w:lang w:eastAsia="en-GB"/>
              </w:rPr>
              <w:t>примену</w:t>
            </w:r>
            <w:r w:rsidRPr="000A2AFE">
              <w:rPr>
                <w:rFonts w:ascii="Calibri Light" w:eastAsia="Times New Roman" w:hAnsi="Calibri Light" w:cs="Calibri Light"/>
                <w:color w:val="000000"/>
                <w:sz w:val="20"/>
                <w:szCs w:val="20"/>
                <w:lang w:eastAsia="en-GB"/>
              </w:rPr>
              <w:t xml:space="preserve"> технологиј</w:t>
            </w:r>
            <w:r w:rsidR="00A452E2"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обновљивих извора енергије </w:t>
            </w:r>
            <w:r w:rsidR="00BB6610" w:rsidRPr="000A2AFE">
              <w:rPr>
                <w:rFonts w:ascii="Calibri Light" w:eastAsia="Times New Roman" w:hAnsi="Calibri Light" w:cs="Calibri Light"/>
                <w:color w:val="000000"/>
                <w:sz w:val="20"/>
                <w:szCs w:val="20"/>
                <w:lang w:eastAsia="en-GB"/>
              </w:rPr>
              <w:t>у области</w:t>
            </w:r>
            <w:r w:rsidRPr="000A2AFE">
              <w:rPr>
                <w:rFonts w:ascii="Calibri Light" w:eastAsia="Times New Roman" w:hAnsi="Calibri Light" w:cs="Calibri Light"/>
                <w:color w:val="000000"/>
                <w:sz w:val="20"/>
                <w:szCs w:val="20"/>
                <w:lang w:eastAsia="en-GB"/>
              </w:rPr>
              <w:t xml:space="preserve"> грејањ</w:t>
            </w:r>
            <w:r w:rsidR="00BB6610"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и хлађењ</w:t>
            </w:r>
            <w:r w:rsidR="00BB6610"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увођењем</w:t>
            </w:r>
            <w:r w:rsidR="00A452E2"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 xml:space="preserve">посебних одредби и захтева у </w:t>
            </w:r>
            <w:r w:rsidR="00A452E2" w:rsidRPr="000A2AFE">
              <w:rPr>
                <w:rFonts w:ascii="Calibri Light" w:eastAsia="Times New Roman" w:hAnsi="Calibri Light" w:cs="Calibri Light"/>
                <w:color w:val="000000"/>
                <w:sz w:val="20"/>
                <w:szCs w:val="20"/>
                <w:lang w:eastAsia="en-GB"/>
              </w:rPr>
              <w:t>Правилник</w:t>
            </w:r>
            <w:r w:rsidRPr="000A2AFE">
              <w:rPr>
                <w:rFonts w:ascii="Calibri Light" w:eastAsia="Times New Roman" w:hAnsi="Calibri Light" w:cs="Calibri Light"/>
                <w:color w:val="000000"/>
                <w:sz w:val="20"/>
                <w:szCs w:val="20"/>
                <w:lang w:eastAsia="en-GB"/>
              </w:rPr>
              <w:t xml:space="preserve"> о енергетској ефикасности зграда, како би се омогућило најекономичније </w:t>
            </w:r>
            <w:r w:rsidR="006F0F58" w:rsidRPr="000A2AFE">
              <w:rPr>
                <w:rFonts w:ascii="Calibri Light" w:eastAsia="Times New Roman" w:hAnsi="Calibri Light" w:cs="Calibri Light"/>
                <w:color w:val="000000"/>
                <w:sz w:val="20"/>
                <w:szCs w:val="20"/>
                <w:lang w:eastAsia="en-GB"/>
              </w:rPr>
              <w:t>повећање броја</w:t>
            </w:r>
            <w:r w:rsidRPr="000A2AFE">
              <w:rPr>
                <w:rFonts w:ascii="Calibri Light" w:eastAsia="Times New Roman" w:hAnsi="Calibri Light" w:cs="Calibri Light"/>
                <w:color w:val="000000"/>
                <w:sz w:val="20"/>
                <w:szCs w:val="20"/>
                <w:lang w:eastAsia="en-GB"/>
              </w:rPr>
              <w:t xml:space="preserve"> зграда </w:t>
            </w:r>
            <w:r w:rsidR="00A452E2" w:rsidRPr="000A2AFE">
              <w:rPr>
                <w:rFonts w:ascii="Calibri Light" w:eastAsia="Times New Roman" w:hAnsi="Calibri Light" w:cs="Calibri Light"/>
                <w:color w:val="000000"/>
                <w:sz w:val="20"/>
                <w:szCs w:val="20"/>
                <w:lang w:eastAsia="en-GB"/>
              </w:rPr>
              <w:t xml:space="preserve">скоро </w:t>
            </w:r>
            <w:r w:rsidRPr="000A2AFE">
              <w:rPr>
                <w:rFonts w:ascii="Calibri Light" w:eastAsia="Times New Roman" w:hAnsi="Calibri Light" w:cs="Calibri Light"/>
                <w:color w:val="000000"/>
                <w:sz w:val="20"/>
                <w:szCs w:val="20"/>
                <w:lang w:eastAsia="en-GB"/>
              </w:rPr>
              <w:t>нулт</w:t>
            </w:r>
            <w:r w:rsidR="00A452E2" w:rsidRPr="000A2AFE">
              <w:rPr>
                <w:rFonts w:ascii="Calibri Light" w:eastAsia="Times New Roman" w:hAnsi="Calibri Light" w:cs="Calibri Light"/>
                <w:color w:val="000000"/>
                <w:sz w:val="20"/>
                <w:szCs w:val="20"/>
                <w:lang w:eastAsia="en-GB"/>
              </w:rPr>
              <w:t>е</w:t>
            </w:r>
            <w:r w:rsidRPr="000A2AFE">
              <w:rPr>
                <w:rFonts w:ascii="Calibri Light" w:eastAsia="Times New Roman" w:hAnsi="Calibri Light" w:cs="Calibri Light"/>
                <w:color w:val="000000"/>
                <w:sz w:val="20"/>
                <w:szCs w:val="20"/>
                <w:lang w:eastAsia="en-GB"/>
              </w:rPr>
              <w:t xml:space="preserve"> енергиј</w:t>
            </w:r>
            <w:r w:rsidR="00A452E2" w:rsidRPr="000A2AFE">
              <w:rPr>
                <w:rFonts w:ascii="Calibri Light" w:eastAsia="Times New Roman" w:hAnsi="Calibri Light" w:cs="Calibri Light"/>
                <w:color w:val="000000"/>
                <w:sz w:val="20"/>
                <w:szCs w:val="20"/>
                <w:lang w:eastAsia="en-GB"/>
              </w:rPr>
              <w:t>е</w:t>
            </w:r>
            <w:r w:rsidRPr="000A2AFE">
              <w:rPr>
                <w:rFonts w:ascii="Calibri Light" w:eastAsia="Times New Roman" w:hAnsi="Calibri Light" w:cs="Calibri Light"/>
                <w:color w:val="000000"/>
                <w:sz w:val="20"/>
                <w:szCs w:val="20"/>
                <w:lang w:eastAsia="en-GB"/>
              </w:rPr>
              <w:t xml:space="preserve">. </w:t>
            </w:r>
            <w:r w:rsidR="00A452E2" w:rsidRPr="000A2AFE">
              <w:rPr>
                <w:rFonts w:ascii="Calibri Light" w:eastAsia="Times New Roman" w:hAnsi="Calibri Light" w:cs="Calibri Light"/>
                <w:color w:val="000000"/>
                <w:sz w:val="20"/>
                <w:szCs w:val="20"/>
                <w:lang w:eastAsia="en-GB"/>
              </w:rPr>
              <w:t>Размотриће се увођење обавезне уградње технологија обновљивих извора енергије</w:t>
            </w:r>
            <w:r w:rsidR="005B42A9" w:rsidRPr="000A2AFE">
              <w:rPr>
                <w:rFonts w:ascii="Calibri Light" w:eastAsia="Times New Roman" w:hAnsi="Calibri Light" w:cs="Calibri Light"/>
                <w:color w:val="000000"/>
                <w:sz w:val="20"/>
                <w:szCs w:val="20"/>
                <w:lang w:eastAsia="en-GB"/>
              </w:rPr>
              <w:t xml:space="preserve">, </w:t>
            </w:r>
            <w:r w:rsidR="00A452E2" w:rsidRPr="000A2AFE">
              <w:rPr>
                <w:rFonts w:ascii="Calibri Light" w:eastAsia="Times New Roman" w:hAnsi="Calibri Light" w:cs="Calibri Light"/>
                <w:color w:val="000000"/>
                <w:sz w:val="20"/>
                <w:szCs w:val="20"/>
                <w:lang w:eastAsia="en-GB"/>
              </w:rPr>
              <w:t>како у нове</w:t>
            </w:r>
            <w:r w:rsidR="005B42A9" w:rsidRPr="000A2AFE">
              <w:rPr>
                <w:rFonts w:ascii="Calibri Light" w:eastAsia="Times New Roman" w:hAnsi="Calibri Light" w:cs="Calibri Light"/>
                <w:color w:val="000000"/>
                <w:sz w:val="20"/>
                <w:szCs w:val="20"/>
                <w:lang w:eastAsia="en-GB"/>
              </w:rPr>
              <w:t xml:space="preserve"> </w:t>
            </w:r>
            <w:r w:rsidR="00A452E2" w:rsidRPr="000A2AFE">
              <w:rPr>
                <w:rFonts w:ascii="Calibri Light" w:eastAsia="Times New Roman" w:hAnsi="Calibri Light" w:cs="Calibri Light"/>
                <w:color w:val="000000"/>
                <w:sz w:val="20"/>
                <w:szCs w:val="20"/>
                <w:lang w:eastAsia="en-GB"/>
              </w:rPr>
              <w:t xml:space="preserve">тако и у обновљене зграде, а биће разматрано </w:t>
            </w:r>
            <w:r w:rsidR="00BB6610" w:rsidRPr="000A2AFE">
              <w:rPr>
                <w:rFonts w:ascii="Calibri Light" w:eastAsia="Times New Roman" w:hAnsi="Calibri Light" w:cs="Calibri Light"/>
                <w:color w:val="000000"/>
                <w:sz w:val="20"/>
                <w:szCs w:val="20"/>
                <w:lang w:eastAsia="en-GB"/>
              </w:rPr>
              <w:t xml:space="preserve">и </w:t>
            </w:r>
            <w:r w:rsidR="00A452E2" w:rsidRPr="000A2AFE">
              <w:rPr>
                <w:rFonts w:ascii="Calibri Light" w:eastAsia="Times New Roman" w:hAnsi="Calibri Light" w:cs="Calibri Light"/>
                <w:color w:val="000000"/>
                <w:sz w:val="20"/>
                <w:szCs w:val="20"/>
                <w:lang w:eastAsia="en-GB"/>
              </w:rPr>
              <w:t>потенцијално утврђивање минималног учешћа обновљиве енергије у свим зградама, узимајући у обзир економску исплативост технологија обновљиве енергије и постигнуте уштеде енергије.</w:t>
            </w:r>
          </w:p>
        </w:tc>
      </w:tr>
      <w:tr w:rsidR="00854ADA" w:rsidRPr="00FF386D" w14:paraId="765A7C93" w14:textId="77777777" w:rsidTr="0057310C">
        <w:trPr>
          <w:trHeight w:val="315"/>
        </w:trPr>
        <w:tc>
          <w:tcPr>
            <w:tcW w:w="3332" w:type="dxa"/>
            <w:tcBorders>
              <w:top w:val="nil"/>
              <w:left w:val="single" w:sz="8" w:space="0" w:color="auto"/>
              <w:bottom w:val="single" w:sz="8" w:space="0" w:color="auto"/>
              <w:right w:val="single" w:sz="8" w:space="0" w:color="auto"/>
            </w:tcBorders>
            <w:shd w:val="clear" w:color="000000" w:fill="244062"/>
            <w:vAlign w:val="center"/>
            <w:hideMark/>
          </w:tcPr>
          <w:p w14:paraId="72AC635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26" w:type="dxa"/>
            <w:gridSpan w:val="3"/>
            <w:tcBorders>
              <w:top w:val="single" w:sz="8" w:space="0" w:color="auto"/>
              <w:left w:val="nil"/>
              <w:bottom w:val="single" w:sz="8" w:space="0" w:color="auto"/>
              <w:right w:val="single" w:sz="8" w:space="0" w:color="000000"/>
            </w:tcBorders>
            <w:shd w:val="clear" w:color="auto" w:fill="auto"/>
            <w:vAlign w:val="center"/>
            <w:hideMark/>
          </w:tcPr>
          <w:p w14:paraId="5A6BD86C" w14:textId="7FD281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1A18A8"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w:t>
            </w:r>
            <w:r w:rsidR="00500D90">
              <w:rPr>
                <w:rFonts w:ascii="Calibri Light" w:eastAsia="Times New Roman" w:hAnsi="Calibri Light" w:cs="Calibri Light"/>
                <w:color w:val="000000"/>
                <w:sz w:val="20"/>
                <w:szCs w:val="20"/>
                <w:lang w:eastAsia="en-GB"/>
              </w:rPr>
              <w:t>27</w:t>
            </w:r>
            <w:r w:rsidRPr="000A2AFE">
              <w:rPr>
                <w:rFonts w:ascii="Calibri Light" w:eastAsia="Times New Roman" w:hAnsi="Calibri Light" w:cs="Calibri Light"/>
                <w:color w:val="000000"/>
                <w:sz w:val="20"/>
                <w:szCs w:val="20"/>
                <w:lang w:eastAsia="en-GB"/>
              </w:rPr>
              <w:t>.</w:t>
            </w:r>
          </w:p>
        </w:tc>
      </w:tr>
      <w:tr w:rsidR="00854ADA" w:rsidRPr="00FF386D" w14:paraId="5B948C8C" w14:textId="77777777" w:rsidTr="0057310C">
        <w:trPr>
          <w:trHeight w:val="315"/>
        </w:trPr>
        <w:tc>
          <w:tcPr>
            <w:tcW w:w="3332" w:type="dxa"/>
            <w:tcBorders>
              <w:top w:val="nil"/>
              <w:left w:val="single" w:sz="8" w:space="0" w:color="auto"/>
              <w:bottom w:val="single" w:sz="8" w:space="0" w:color="auto"/>
              <w:right w:val="single" w:sz="8" w:space="0" w:color="auto"/>
            </w:tcBorders>
            <w:shd w:val="clear" w:color="000000" w:fill="244062"/>
            <w:vAlign w:val="center"/>
            <w:hideMark/>
          </w:tcPr>
          <w:p w14:paraId="086A0F5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26" w:type="dxa"/>
            <w:gridSpan w:val="3"/>
            <w:tcBorders>
              <w:top w:val="single" w:sz="8" w:space="0" w:color="auto"/>
              <w:left w:val="nil"/>
              <w:bottom w:val="single" w:sz="8" w:space="0" w:color="auto"/>
              <w:right w:val="single" w:sz="8" w:space="0" w:color="000000"/>
            </w:tcBorders>
            <w:shd w:val="clear" w:color="auto" w:fill="auto"/>
            <w:vAlign w:val="center"/>
            <w:hideMark/>
          </w:tcPr>
          <w:p w14:paraId="67DB1A80" w14:textId="212B4547" w:rsidR="00854ADA" w:rsidRPr="00FF386D" w:rsidRDefault="001A18A8"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Регулаторна</w:t>
            </w:r>
          </w:p>
        </w:tc>
      </w:tr>
      <w:tr w:rsidR="00854ADA" w:rsidRPr="00FF386D" w14:paraId="2ACCB893" w14:textId="77777777" w:rsidTr="0057310C">
        <w:trPr>
          <w:trHeight w:val="315"/>
        </w:trPr>
        <w:tc>
          <w:tcPr>
            <w:tcW w:w="3332" w:type="dxa"/>
            <w:tcBorders>
              <w:top w:val="nil"/>
              <w:left w:val="single" w:sz="8" w:space="0" w:color="auto"/>
              <w:bottom w:val="single" w:sz="8" w:space="0" w:color="auto"/>
              <w:right w:val="single" w:sz="8" w:space="0" w:color="auto"/>
            </w:tcBorders>
            <w:shd w:val="clear" w:color="000000" w:fill="244062"/>
            <w:vAlign w:val="center"/>
            <w:hideMark/>
          </w:tcPr>
          <w:p w14:paraId="6CE0ADD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26" w:type="dxa"/>
            <w:gridSpan w:val="3"/>
            <w:tcBorders>
              <w:top w:val="single" w:sz="8" w:space="0" w:color="auto"/>
              <w:left w:val="nil"/>
              <w:bottom w:val="single" w:sz="8" w:space="0" w:color="auto"/>
              <w:right w:val="single" w:sz="8" w:space="0" w:color="000000"/>
            </w:tcBorders>
            <w:shd w:val="clear" w:color="auto" w:fill="auto"/>
            <w:vAlign w:val="center"/>
            <w:hideMark/>
          </w:tcPr>
          <w:p w14:paraId="027A599E"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Грејање и хлађење</w:t>
            </w:r>
          </w:p>
        </w:tc>
      </w:tr>
      <w:tr w:rsidR="00854ADA" w:rsidRPr="00FF386D" w14:paraId="7C118891" w14:textId="77777777" w:rsidTr="0057310C">
        <w:trPr>
          <w:trHeight w:val="315"/>
        </w:trPr>
        <w:tc>
          <w:tcPr>
            <w:tcW w:w="3332" w:type="dxa"/>
            <w:tcBorders>
              <w:top w:val="nil"/>
              <w:left w:val="single" w:sz="8" w:space="0" w:color="auto"/>
              <w:bottom w:val="single" w:sz="8" w:space="0" w:color="auto"/>
              <w:right w:val="single" w:sz="8" w:space="0" w:color="auto"/>
            </w:tcBorders>
            <w:shd w:val="clear" w:color="000000" w:fill="244062"/>
            <w:vAlign w:val="center"/>
            <w:hideMark/>
          </w:tcPr>
          <w:p w14:paraId="0AD19F6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26" w:type="dxa"/>
            <w:gridSpan w:val="3"/>
            <w:tcBorders>
              <w:top w:val="single" w:sz="8" w:space="0" w:color="auto"/>
              <w:left w:val="nil"/>
              <w:bottom w:val="single" w:sz="8" w:space="0" w:color="auto"/>
              <w:right w:val="single" w:sz="8" w:space="0" w:color="000000"/>
            </w:tcBorders>
            <w:shd w:val="clear" w:color="auto" w:fill="auto"/>
            <w:vAlign w:val="center"/>
            <w:hideMark/>
          </w:tcPr>
          <w:p w14:paraId="26DCB4D1" w14:textId="2C30D528"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Министарство </w:t>
            </w:r>
            <w:r w:rsidR="001A18A8" w:rsidRPr="00FF386D">
              <w:rPr>
                <w:rFonts w:ascii="Calibri Light" w:eastAsia="Times New Roman" w:hAnsi="Calibri Light" w:cs="Calibri Light"/>
                <w:color w:val="000000"/>
                <w:sz w:val="20"/>
                <w:szCs w:val="20"/>
                <w:lang w:eastAsia="en-GB"/>
              </w:rPr>
              <w:t>грађевинарства, саобраћаја и инфраструктуре</w:t>
            </w:r>
          </w:p>
        </w:tc>
      </w:tr>
      <w:tr w:rsidR="00854ADA" w:rsidRPr="00FF386D" w14:paraId="6CC9D6B4" w14:textId="77777777" w:rsidTr="0057310C">
        <w:trPr>
          <w:trHeight w:val="315"/>
        </w:trPr>
        <w:tc>
          <w:tcPr>
            <w:tcW w:w="3332" w:type="dxa"/>
            <w:tcBorders>
              <w:top w:val="nil"/>
              <w:left w:val="single" w:sz="8" w:space="0" w:color="auto"/>
              <w:bottom w:val="single" w:sz="8" w:space="0" w:color="auto"/>
              <w:right w:val="nil"/>
            </w:tcBorders>
            <w:shd w:val="clear" w:color="000000" w:fill="244062"/>
            <w:vAlign w:val="center"/>
            <w:hideMark/>
          </w:tcPr>
          <w:p w14:paraId="47B1304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26" w:type="dxa"/>
            <w:gridSpan w:val="3"/>
            <w:tcBorders>
              <w:top w:val="single" w:sz="8" w:space="0" w:color="auto"/>
              <w:left w:val="nil"/>
              <w:bottom w:val="single" w:sz="8" w:space="0" w:color="auto"/>
              <w:right w:val="single" w:sz="8" w:space="0" w:color="000000"/>
            </w:tcBorders>
            <w:shd w:val="clear" w:color="auto" w:fill="auto"/>
            <w:vAlign w:val="center"/>
            <w:hideMark/>
          </w:tcPr>
          <w:p w14:paraId="73966C68" w14:textId="0AC2E179" w:rsidR="00854ADA" w:rsidRPr="000A2AFE" w:rsidRDefault="0061320E"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3136A5F3" w14:textId="77777777" w:rsidTr="0057310C">
        <w:trPr>
          <w:trHeight w:val="315"/>
        </w:trPr>
        <w:tc>
          <w:tcPr>
            <w:tcW w:w="3332" w:type="dxa"/>
            <w:tcBorders>
              <w:top w:val="nil"/>
              <w:left w:val="single" w:sz="8" w:space="0" w:color="auto"/>
              <w:bottom w:val="single" w:sz="8" w:space="0" w:color="auto"/>
              <w:right w:val="nil"/>
            </w:tcBorders>
            <w:shd w:val="clear" w:color="000000" w:fill="244062"/>
            <w:vAlign w:val="center"/>
            <w:hideMark/>
          </w:tcPr>
          <w:p w14:paraId="163E9A3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26" w:type="dxa"/>
            <w:gridSpan w:val="3"/>
            <w:tcBorders>
              <w:top w:val="single" w:sz="8" w:space="0" w:color="auto"/>
              <w:left w:val="nil"/>
              <w:bottom w:val="single" w:sz="8" w:space="0" w:color="auto"/>
              <w:right w:val="single" w:sz="8" w:space="0" w:color="000000"/>
            </w:tcBorders>
            <w:shd w:val="clear" w:color="auto" w:fill="auto"/>
            <w:vAlign w:val="center"/>
            <w:hideMark/>
          </w:tcPr>
          <w:p w14:paraId="7AAF46A8" w14:textId="04CDFDDC" w:rsidR="00854ADA" w:rsidRPr="000A2AFE" w:rsidRDefault="00854ADA"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Произведена енергија </w:t>
            </w:r>
            <w:r w:rsidR="009E1DE7" w:rsidRPr="000A2AFE">
              <w:rPr>
                <w:rFonts w:ascii="Calibri Light" w:eastAsia="Times New Roman" w:hAnsi="Calibri Light" w:cs="Calibri Light"/>
                <w:color w:val="000000"/>
                <w:sz w:val="20"/>
                <w:szCs w:val="20"/>
                <w:lang w:eastAsia="en-GB"/>
              </w:rPr>
              <w:t xml:space="preserve">из ОИЕ за </w:t>
            </w:r>
            <w:r w:rsidRPr="000A2AFE">
              <w:rPr>
                <w:rFonts w:ascii="Calibri Light" w:eastAsia="Times New Roman" w:hAnsi="Calibri Light" w:cs="Calibri Light"/>
                <w:color w:val="000000"/>
                <w:sz w:val="20"/>
                <w:szCs w:val="20"/>
                <w:lang w:eastAsia="en-GB"/>
              </w:rPr>
              <w:t>грејањ</w:t>
            </w:r>
            <w:r w:rsidR="009E1DE7" w:rsidRPr="000A2AFE">
              <w:rPr>
                <w:rFonts w:ascii="Calibri Light" w:eastAsia="Times New Roman" w:hAnsi="Calibri Light" w:cs="Calibri Light"/>
                <w:color w:val="000000"/>
                <w:sz w:val="20"/>
                <w:szCs w:val="20"/>
                <w:lang w:eastAsia="en-GB"/>
              </w:rPr>
              <w:t>е</w:t>
            </w:r>
            <w:r w:rsidRPr="000A2AFE">
              <w:rPr>
                <w:rFonts w:ascii="Calibri Light" w:eastAsia="Times New Roman" w:hAnsi="Calibri Light" w:cs="Calibri Light"/>
                <w:color w:val="000000"/>
                <w:sz w:val="20"/>
                <w:szCs w:val="20"/>
                <w:lang w:eastAsia="en-GB"/>
              </w:rPr>
              <w:t xml:space="preserve"> и хлађењ</w:t>
            </w:r>
            <w:r w:rsidR="009E1DE7" w:rsidRPr="000A2AFE">
              <w:rPr>
                <w:rFonts w:ascii="Calibri Light" w:eastAsia="Times New Roman" w:hAnsi="Calibri Light" w:cs="Calibri Light"/>
                <w:color w:val="000000"/>
                <w:sz w:val="20"/>
                <w:szCs w:val="20"/>
                <w:lang w:eastAsia="en-GB"/>
              </w:rPr>
              <w:t>е</w:t>
            </w:r>
          </w:p>
        </w:tc>
      </w:tr>
      <w:tr w:rsidR="00854ADA" w:rsidRPr="00FF386D" w14:paraId="6C26C48C" w14:textId="77777777" w:rsidTr="0057310C">
        <w:trPr>
          <w:trHeight w:val="407"/>
        </w:trPr>
        <w:tc>
          <w:tcPr>
            <w:tcW w:w="3332" w:type="dxa"/>
            <w:tcBorders>
              <w:top w:val="nil"/>
              <w:left w:val="single" w:sz="8" w:space="0" w:color="auto"/>
              <w:bottom w:val="single" w:sz="8" w:space="0" w:color="auto"/>
              <w:right w:val="single" w:sz="8" w:space="0" w:color="auto"/>
            </w:tcBorders>
            <w:shd w:val="clear" w:color="000000" w:fill="244062"/>
            <w:vAlign w:val="center"/>
            <w:hideMark/>
          </w:tcPr>
          <w:p w14:paraId="18892C2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26" w:type="dxa"/>
            <w:gridSpan w:val="3"/>
            <w:tcBorders>
              <w:top w:val="single" w:sz="8" w:space="0" w:color="auto"/>
              <w:left w:val="nil"/>
              <w:bottom w:val="single" w:sz="8" w:space="0" w:color="auto"/>
              <w:right w:val="single" w:sz="8" w:space="0" w:color="000000"/>
            </w:tcBorders>
            <w:shd w:val="clear" w:color="auto" w:fill="auto"/>
            <w:vAlign w:val="center"/>
            <w:hideMark/>
          </w:tcPr>
          <w:p w14:paraId="13E0A7BE" w14:textId="362DABA1" w:rsidR="00500D90" w:rsidRPr="00364548" w:rsidRDefault="00500D90" w:rsidP="00500D90">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364548">
              <w:rPr>
                <w:rFonts w:ascii="Calibri Light" w:eastAsia="Times New Roman" w:hAnsi="Calibri Light" w:cs="Calibri Light"/>
                <w:color w:val="000000"/>
                <w:sz w:val="20"/>
                <w:szCs w:val="20"/>
                <w:lang w:eastAsia="en-GB"/>
              </w:rPr>
              <w:t xml:space="preserve">Енергетска ефикасност (промовисане технологије ОИЕ ће довести и до уштеде </w:t>
            </w:r>
            <w:r>
              <w:rPr>
                <w:rFonts w:ascii="Calibri Light" w:eastAsia="Times New Roman" w:hAnsi="Calibri Light" w:cs="Calibri Light"/>
                <w:color w:val="000000"/>
                <w:sz w:val="20"/>
                <w:szCs w:val="20"/>
                <w:lang w:eastAsia="en-GB"/>
              </w:rPr>
              <w:t xml:space="preserve">финалне и </w:t>
            </w:r>
            <w:r w:rsidRPr="00364548">
              <w:rPr>
                <w:rFonts w:ascii="Calibri Light" w:eastAsia="Times New Roman" w:hAnsi="Calibri Light" w:cs="Calibri Light"/>
                <w:color w:val="000000"/>
                <w:sz w:val="20"/>
                <w:szCs w:val="20"/>
                <w:lang w:eastAsia="en-GB"/>
              </w:rPr>
              <w:t>примарне енергије доприносећи постизању релевантних циљева)</w:t>
            </w:r>
          </w:p>
          <w:p w14:paraId="2C8FCD4F" w14:textId="77777777" w:rsidR="00500D90" w:rsidRPr="00500D90" w:rsidRDefault="00500D90" w:rsidP="00500D90">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500D90">
              <w:rPr>
                <w:rFonts w:ascii="Calibri Light" w:eastAsia="Times New Roman" w:hAnsi="Calibri Light" w:cs="Calibri Light"/>
                <w:color w:val="000000"/>
                <w:sz w:val="20"/>
                <w:szCs w:val="20"/>
                <w:lang w:eastAsia="en-GB"/>
              </w:rPr>
              <w:t>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p w14:paraId="616EA116" w14:textId="23C42CC3" w:rsidR="00854ADA" w:rsidRPr="00FF386D" w:rsidRDefault="00500D90" w:rsidP="00500D90">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500D90">
              <w:rPr>
                <w:rFonts w:ascii="Calibri Light" w:eastAsia="Times New Roman" w:hAnsi="Calibri Light" w:cs="Calibri Light"/>
                <w:color w:val="000000"/>
                <w:sz w:val="20"/>
                <w:szCs w:val="20"/>
                <w:lang w:eastAsia="en-GB"/>
              </w:rPr>
              <w:t>Унутрашње енергетско тржиште (примена технологија ОИЕ ће ојачати интеграцију и спајање тржишта)</w:t>
            </w:r>
          </w:p>
        </w:tc>
      </w:tr>
      <w:tr w:rsidR="00854ADA" w:rsidRPr="00FF386D" w14:paraId="1FD8CD02" w14:textId="77777777" w:rsidTr="0057310C">
        <w:trPr>
          <w:trHeight w:val="450"/>
        </w:trPr>
        <w:tc>
          <w:tcPr>
            <w:tcW w:w="3332"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264F1CDB" w14:textId="4272DC45"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26"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4412C9E9"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2018/2001/ЕУ</w:t>
            </w:r>
          </w:p>
        </w:tc>
      </w:tr>
      <w:tr w:rsidR="00854ADA" w:rsidRPr="00FF386D" w14:paraId="4F08C48D" w14:textId="77777777" w:rsidTr="0057310C">
        <w:trPr>
          <w:trHeight w:val="450"/>
        </w:trPr>
        <w:tc>
          <w:tcPr>
            <w:tcW w:w="3332" w:type="dxa"/>
            <w:vMerge/>
            <w:tcBorders>
              <w:top w:val="nil"/>
              <w:left w:val="single" w:sz="8" w:space="0" w:color="auto"/>
              <w:bottom w:val="single" w:sz="8" w:space="0" w:color="000000"/>
              <w:right w:val="single" w:sz="8" w:space="0" w:color="auto"/>
            </w:tcBorders>
            <w:vAlign w:val="center"/>
            <w:hideMark/>
          </w:tcPr>
          <w:p w14:paraId="5B3D85A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6" w:type="dxa"/>
            <w:gridSpan w:val="3"/>
            <w:vMerge/>
            <w:tcBorders>
              <w:top w:val="single" w:sz="8" w:space="0" w:color="auto"/>
              <w:left w:val="single" w:sz="8" w:space="0" w:color="auto"/>
              <w:bottom w:val="single" w:sz="8" w:space="0" w:color="000000"/>
              <w:right w:val="single" w:sz="8" w:space="0" w:color="000000"/>
            </w:tcBorders>
            <w:vAlign w:val="center"/>
            <w:hideMark/>
          </w:tcPr>
          <w:p w14:paraId="623CBC18"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01EEBC9E" w14:textId="77777777" w:rsidTr="0057310C">
        <w:trPr>
          <w:trHeight w:val="450"/>
        </w:trPr>
        <w:tc>
          <w:tcPr>
            <w:tcW w:w="3332" w:type="dxa"/>
            <w:vMerge/>
            <w:tcBorders>
              <w:top w:val="nil"/>
              <w:left w:val="single" w:sz="8" w:space="0" w:color="auto"/>
              <w:bottom w:val="single" w:sz="8" w:space="0" w:color="000000"/>
              <w:right w:val="single" w:sz="8" w:space="0" w:color="auto"/>
            </w:tcBorders>
            <w:vAlign w:val="center"/>
            <w:hideMark/>
          </w:tcPr>
          <w:p w14:paraId="1E693B4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6" w:type="dxa"/>
            <w:gridSpan w:val="3"/>
            <w:vMerge/>
            <w:tcBorders>
              <w:top w:val="single" w:sz="8" w:space="0" w:color="auto"/>
              <w:left w:val="single" w:sz="8" w:space="0" w:color="auto"/>
              <w:bottom w:val="single" w:sz="8" w:space="0" w:color="000000"/>
              <w:right w:val="single" w:sz="8" w:space="0" w:color="000000"/>
            </w:tcBorders>
            <w:vAlign w:val="center"/>
            <w:hideMark/>
          </w:tcPr>
          <w:p w14:paraId="4613D567"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6948F791" w14:textId="77777777" w:rsidTr="0057310C">
        <w:trPr>
          <w:trHeight w:val="441"/>
        </w:trPr>
        <w:tc>
          <w:tcPr>
            <w:tcW w:w="3332" w:type="dxa"/>
            <w:tcBorders>
              <w:top w:val="nil"/>
              <w:left w:val="single" w:sz="8" w:space="0" w:color="auto"/>
              <w:bottom w:val="single" w:sz="8" w:space="0" w:color="auto"/>
              <w:right w:val="single" w:sz="8" w:space="0" w:color="auto"/>
            </w:tcBorders>
            <w:shd w:val="clear" w:color="000000" w:fill="244062"/>
            <w:vAlign w:val="center"/>
            <w:hideMark/>
          </w:tcPr>
          <w:p w14:paraId="3EC6B7F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26" w:type="dxa"/>
            <w:gridSpan w:val="3"/>
            <w:tcBorders>
              <w:top w:val="single" w:sz="8" w:space="0" w:color="auto"/>
              <w:left w:val="nil"/>
              <w:bottom w:val="single" w:sz="8" w:space="0" w:color="auto"/>
              <w:right w:val="single" w:sz="8" w:space="0" w:color="000000"/>
            </w:tcBorders>
            <w:shd w:val="clear" w:color="auto" w:fill="auto"/>
            <w:vAlign w:val="center"/>
            <w:hideMark/>
          </w:tcPr>
          <w:p w14:paraId="560D1215" w14:textId="77777777" w:rsidR="00854ADA"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коришћењу обновљивих извора енергије</w:t>
            </w:r>
          </w:p>
          <w:p w14:paraId="688C4BE8" w14:textId="7F1D6D2B" w:rsidR="005E4832" w:rsidRPr="00FF386D" w:rsidRDefault="005E4832"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5E4832">
              <w:rPr>
                <w:rFonts w:ascii="Calibri Light" w:eastAsia="Times New Roman" w:hAnsi="Calibri Light" w:cs="Calibri Light"/>
                <w:color w:val="000000"/>
                <w:sz w:val="20"/>
                <w:szCs w:val="20"/>
                <w:lang w:eastAsia="en-GB"/>
              </w:rPr>
              <w:t>Правилник о енергетској ефикасности зграда</w:t>
            </w:r>
          </w:p>
        </w:tc>
      </w:tr>
      <w:tr w:rsidR="00854ADA" w:rsidRPr="00FF386D" w14:paraId="12215CC9" w14:textId="77777777" w:rsidTr="0057310C">
        <w:trPr>
          <w:trHeight w:val="315"/>
        </w:trPr>
        <w:tc>
          <w:tcPr>
            <w:tcW w:w="3332" w:type="dxa"/>
            <w:tcBorders>
              <w:top w:val="nil"/>
              <w:left w:val="single" w:sz="8" w:space="0" w:color="auto"/>
              <w:bottom w:val="single" w:sz="8" w:space="0" w:color="auto"/>
              <w:right w:val="single" w:sz="8" w:space="0" w:color="auto"/>
            </w:tcBorders>
            <w:shd w:val="clear" w:color="000000" w:fill="244062"/>
            <w:vAlign w:val="center"/>
            <w:hideMark/>
          </w:tcPr>
          <w:p w14:paraId="2F4E724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26" w:type="dxa"/>
            <w:gridSpan w:val="3"/>
            <w:tcBorders>
              <w:top w:val="single" w:sz="4" w:space="0" w:color="auto"/>
              <w:left w:val="single" w:sz="4" w:space="0" w:color="auto"/>
              <w:bottom w:val="single" w:sz="4" w:space="0" w:color="000000"/>
              <w:right w:val="single" w:sz="4" w:space="0" w:color="auto"/>
            </w:tcBorders>
            <w:shd w:val="clear" w:color="auto" w:fill="auto"/>
            <w:vAlign w:val="center"/>
            <w:hideMark/>
          </w:tcPr>
          <w:p w14:paraId="6F83109D" w14:textId="3613B9E1"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Буџет обухваћен у мерама димензије енергетска ефикасност </w:t>
            </w:r>
            <w:r w:rsidR="001A18A8" w:rsidRPr="00FF386D">
              <w:rPr>
                <w:rFonts w:ascii="Calibri Light" w:eastAsia="Times New Roman" w:hAnsi="Calibri Light" w:cs="Calibri Light"/>
                <w:color w:val="000000"/>
                <w:sz w:val="20"/>
                <w:szCs w:val="20"/>
                <w:lang w:eastAsia="en-GB"/>
              </w:rPr>
              <w:t>(МП_ЕЕ</w:t>
            </w:r>
            <w:r w:rsidR="005E4DBE">
              <w:rPr>
                <w:rFonts w:ascii="Calibri Light" w:eastAsia="Times New Roman" w:hAnsi="Calibri Light" w:cs="Calibri Light"/>
                <w:color w:val="000000"/>
                <w:sz w:val="20"/>
                <w:szCs w:val="20"/>
                <w:lang w:eastAsia="en-GB"/>
              </w:rPr>
              <w:t>1</w:t>
            </w:r>
            <w:r w:rsidR="001A18A8" w:rsidRPr="00FF386D">
              <w:rPr>
                <w:rFonts w:ascii="Calibri Light" w:eastAsia="Times New Roman" w:hAnsi="Calibri Light" w:cs="Calibri Light"/>
                <w:color w:val="000000"/>
                <w:sz w:val="20"/>
                <w:szCs w:val="20"/>
                <w:lang w:eastAsia="en-GB"/>
              </w:rPr>
              <w:t>4-МП_ЕЕ8</w:t>
            </w:r>
            <w:r w:rsidR="001A18A8" w:rsidRPr="001938A1">
              <w:rPr>
                <w:rFonts w:ascii="Calibri Light" w:eastAsia="Times New Roman" w:hAnsi="Calibri Light" w:cs="Calibri Light"/>
                <w:color w:val="000000"/>
                <w:sz w:val="20"/>
                <w:szCs w:val="20"/>
                <w:lang w:eastAsia="en-GB"/>
              </w:rPr>
              <w:t>)</w:t>
            </w:r>
            <w:r w:rsidR="001938A1" w:rsidRPr="00565B02">
              <w:rPr>
                <w:rFonts w:ascii="Calibri Light" w:eastAsia="Times New Roman" w:hAnsi="Calibri Light" w:cs="Calibri Light"/>
                <w:color w:val="000000"/>
                <w:sz w:val="20"/>
                <w:szCs w:val="20"/>
                <w:lang w:val="en-GB" w:eastAsia="en-GB"/>
              </w:rPr>
              <w:t xml:space="preserve"> </w:t>
            </w:r>
            <w:r w:rsidR="001938A1" w:rsidRPr="001938A1">
              <w:rPr>
                <w:rFonts w:ascii="Calibri Light" w:eastAsia="Times New Roman" w:hAnsi="Calibri Light" w:cs="Calibri Light"/>
                <w:color w:val="000000"/>
                <w:sz w:val="20"/>
                <w:szCs w:val="20"/>
                <w:lang w:val="en-GB" w:eastAsia="en-GB"/>
              </w:rPr>
              <w:t xml:space="preserve">2518 </w:t>
            </w:r>
            <w:r w:rsidR="001938A1">
              <w:rPr>
                <w:rFonts w:ascii="Calibri Light" w:eastAsia="Times New Roman" w:hAnsi="Calibri Light" w:cs="Calibri Light"/>
                <w:color w:val="000000"/>
                <w:sz w:val="20"/>
                <w:szCs w:val="20"/>
                <w:lang w:eastAsia="en-GB"/>
              </w:rPr>
              <w:t xml:space="preserve">милиона евра за топлотне пумпе и </w:t>
            </w:r>
            <w:r w:rsidR="001938A1" w:rsidRPr="001938A1">
              <w:rPr>
                <w:rFonts w:ascii="Calibri Light" w:eastAsia="Times New Roman" w:hAnsi="Calibri Light" w:cs="Calibri Light"/>
                <w:color w:val="000000"/>
                <w:sz w:val="20"/>
                <w:szCs w:val="20"/>
                <w:lang w:val="en-GB" w:eastAsia="en-GB"/>
              </w:rPr>
              <w:t xml:space="preserve">637 </w:t>
            </w:r>
            <w:r w:rsidR="001938A1">
              <w:rPr>
                <w:rFonts w:ascii="Calibri Light" w:eastAsia="Times New Roman" w:hAnsi="Calibri Light" w:cs="Calibri Light"/>
                <w:color w:val="000000"/>
                <w:sz w:val="20"/>
                <w:szCs w:val="20"/>
                <w:lang w:eastAsia="en-GB"/>
              </w:rPr>
              <w:t>милиона евра за соларне тополтне система</w:t>
            </w:r>
          </w:p>
        </w:tc>
      </w:tr>
      <w:tr w:rsidR="00854ADA" w:rsidRPr="00FF386D" w14:paraId="629830AF" w14:textId="77777777" w:rsidTr="0057310C">
        <w:trPr>
          <w:trHeight w:val="315"/>
        </w:trPr>
        <w:tc>
          <w:tcPr>
            <w:tcW w:w="3332" w:type="dxa"/>
            <w:tcBorders>
              <w:top w:val="nil"/>
              <w:left w:val="single" w:sz="8" w:space="0" w:color="auto"/>
              <w:bottom w:val="single" w:sz="8" w:space="0" w:color="auto"/>
              <w:right w:val="single" w:sz="8" w:space="0" w:color="auto"/>
            </w:tcBorders>
            <w:shd w:val="clear" w:color="000000" w:fill="244062"/>
            <w:vAlign w:val="center"/>
            <w:hideMark/>
          </w:tcPr>
          <w:p w14:paraId="24F1475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26" w:type="dxa"/>
            <w:gridSpan w:val="3"/>
            <w:tcBorders>
              <w:top w:val="single" w:sz="8" w:space="0" w:color="auto"/>
              <w:left w:val="nil"/>
              <w:bottom w:val="single" w:sz="8" w:space="0" w:color="auto"/>
              <w:right w:val="single" w:sz="8" w:space="0" w:color="000000"/>
            </w:tcBorders>
            <w:shd w:val="clear" w:color="auto" w:fill="auto"/>
            <w:vAlign w:val="center"/>
            <w:hideMark/>
          </w:tcPr>
          <w:p w14:paraId="574A908C" w14:textId="5057CED1"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1A18A8" w:rsidRPr="00FF386D">
              <w:rPr>
                <w:rFonts w:asciiTheme="majorHAnsi" w:eastAsia="Times New Roman" w:hAnsiTheme="majorHAnsi" w:cstheme="majorHAnsi"/>
                <w:color w:val="000000"/>
                <w:sz w:val="20"/>
                <w:szCs w:val="20"/>
                <w:lang w:eastAsia="en-GB"/>
              </w:rPr>
              <w:t>ска</w:t>
            </w:r>
            <w:r w:rsidRPr="00FF386D">
              <w:rPr>
                <w:rFonts w:asciiTheme="majorHAnsi" w:eastAsia="Times New Roman" w:hAnsiTheme="majorHAnsi" w:cstheme="majorHAnsi"/>
                <w:color w:val="000000"/>
                <w:sz w:val="20"/>
                <w:szCs w:val="20"/>
                <w:lang w:eastAsia="en-GB"/>
              </w:rPr>
              <w:t xml:space="preserve"> и сопствена средства</w:t>
            </w:r>
          </w:p>
        </w:tc>
      </w:tr>
    </w:tbl>
    <w:p w14:paraId="0390A403"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32"/>
        <w:gridCol w:w="945"/>
        <w:gridCol w:w="946"/>
        <w:gridCol w:w="4235"/>
      </w:tblGrid>
      <w:tr w:rsidR="00854ADA" w:rsidRPr="00FF386D" w14:paraId="0C772671" w14:textId="77777777" w:rsidTr="0057310C">
        <w:trPr>
          <w:trHeight w:val="780"/>
        </w:trPr>
        <w:tc>
          <w:tcPr>
            <w:tcW w:w="3332"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5EF0B2EC"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45" w:type="dxa"/>
            <w:tcBorders>
              <w:top w:val="single" w:sz="8" w:space="0" w:color="auto"/>
              <w:left w:val="nil"/>
              <w:bottom w:val="single" w:sz="8" w:space="0" w:color="auto"/>
              <w:right w:val="single" w:sz="8" w:space="0" w:color="auto"/>
            </w:tcBorders>
            <w:shd w:val="clear" w:color="auto" w:fill="E7E6E6" w:themeFill="background2"/>
            <w:vAlign w:val="center"/>
            <w:hideMark/>
          </w:tcPr>
          <w:p w14:paraId="530CEB8A" w14:textId="49BDA16C"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w:t>
            </w:r>
            <w:r w:rsidRPr="000A2AFE">
              <w:rPr>
                <w:rFonts w:ascii="Calibri Light" w:eastAsia="Times New Roman" w:hAnsi="Calibri Light" w:cs="Calibri Light"/>
                <w:b/>
                <w:bCs/>
                <w:color w:val="000000"/>
                <w:sz w:val="20"/>
                <w:szCs w:val="20"/>
                <w:shd w:val="clear" w:color="auto" w:fill="E7E6E6" w:themeFill="background2"/>
                <w:lang w:eastAsia="en-GB"/>
              </w:rPr>
              <w:t>Д3</w:t>
            </w:r>
            <w:r w:rsidR="00C926B5">
              <w:rPr>
                <w:rFonts w:ascii="Calibri Light" w:eastAsia="Times New Roman" w:hAnsi="Calibri Light" w:cs="Calibri Light"/>
                <w:b/>
                <w:bCs/>
                <w:color w:val="000000"/>
                <w:sz w:val="20"/>
                <w:szCs w:val="20"/>
                <w:shd w:val="clear" w:color="auto" w:fill="E7E6E6" w:themeFill="background2"/>
                <w:lang w:val="sr-Latn-RS" w:eastAsia="en-GB"/>
              </w:rPr>
              <w:t>0</w:t>
            </w:r>
          </w:p>
        </w:tc>
        <w:tc>
          <w:tcPr>
            <w:tcW w:w="946" w:type="dxa"/>
            <w:tcBorders>
              <w:top w:val="single" w:sz="8" w:space="0" w:color="auto"/>
              <w:left w:val="nil"/>
              <w:bottom w:val="single" w:sz="8" w:space="0" w:color="auto"/>
              <w:right w:val="single" w:sz="8" w:space="0" w:color="auto"/>
            </w:tcBorders>
            <w:shd w:val="clear" w:color="000000" w:fill="244062"/>
            <w:vAlign w:val="center"/>
            <w:hideMark/>
          </w:tcPr>
          <w:p w14:paraId="31B4E4E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35" w:type="dxa"/>
            <w:tcBorders>
              <w:top w:val="single" w:sz="8" w:space="0" w:color="auto"/>
              <w:left w:val="nil"/>
              <w:bottom w:val="single" w:sz="8" w:space="0" w:color="auto"/>
              <w:right w:val="single" w:sz="8" w:space="0" w:color="auto"/>
            </w:tcBorders>
            <w:shd w:val="clear" w:color="auto" w:fill="E7E6E6" w:themeFill="background2"/>
            <w:vAlign w:val="center"/>
            <w:hideMark/>
          </w:tcPr>
          <w:p w14:paraId="03BD33C1" w14:textId="27D6FA77" w:rsidR="00854ADA" w:rsidRPr="00FF386D" w:rsidRDefault="002F7EFE"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Пружање</w:t>
            </w:r>
            <w:r w:rsidR="00854ADA" w:rsidRPr="000A2AFE">
              <w:rPr>
                <w:rFonts w:ascii="Calibri Light" w:eastAsia="Times New Roman" w:hAnsi="Calibri Light" w:cs="Calibri Light"/>
                <w:b/>
                <w:bCs/>
                <w:color w:val="000000"/>
                <w:sz w:val="20"/>
                <w:szCs w:val="20"/>
                <w:lang w:eastAsia="en-GB"/>
              </w:rPr>
              <w:t xml:space="preserve"> фискалних и економских подстицаја за стимулисање ОИЕ у грејању и хлађењу</w:t>
            </w:r>
          </w:p>
        </w:tc>
      </w:tr>
      <w:tr w:rsidR="00854ADA" w:rsidRPr="00FF386D" w14:paraId="06835426" w14:textId="77777777" w:rsidTr="0057310C">
        <w:trPr>
          <w:trHeight w:val="340"/>
        </w:trPr>
        <w:tc>
          <w:tcPr>
            <w:tcW w:w="3332" w:type="dxa"/>
            <w:tcBorders>
              <w:top w:val="nil"/>
              <w:left w:val="single" w:sz="8" w:space="0" w:color="auto"/>
              <w:bottom w:val="single" w:sz="8" w:space="0" w:color="auto"/>
              <w:right w:val="nil"/>
            </w:tcBorders>
            <w:shd w:val="clear" w:color="000000" w:fill="244062"/>
            <w:vAlign w:val="center"/>
            <w:hideMark/>
          </w:tcPr>
          <w:p w14:paraId="520A80C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26" w:type="dxa"/>
            <w:gridSpan w:val="3"/>
            <w:tcBorders>
              <w:top w:val="single" w:sz="8" w:space="0" w:color="auto"/>
              <w:left w:val="nil"/>
              <w:bottom w:val="single" w:sz="8" w:space="0" w:color="auto"/>
              <w:right w:val="single" w:sz="8" w:space="0" w:color="000000"/>
            </w:tcBorders>
            <w:shd w:val="clear" w:color="auto" w:fill="auto"/>
            <w:vAlign w:val="center"/>
            <w:hideMark/>
          </w:tcPr>
          <w:p w14:paraId="77FB80A6" w14:textId="59B99496"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Повећање удела ОИЕ у </w:t>
            </w:r>
            <w:r w:rsidR="00BB6610" w:rsidRPr="000A2AFE">
              <w:rPr>
                <w:rFonts w:ascii="Calibri Light" w:eastAsia="Times New Roman" w:hAnsi="Calibri Light" w:cs="Calibri Light"/>
                <w:color w:val="000000"/>
                <w:sz w:val="20"/>
                <w:szCs w:val="20"/>
                <w:lang w:eastAsia="en-GB"/>
              </w:rPr>
              <w:t xml:space="preserve">области </w:t>
            </w:r>
            <w:r w:rsidRPr="000A2AFE">
              <w:rPr>
                <w:rFonts w:ascii="Calibri Light" w:eastAsia="Times New Roman" w:hAnsi="Calibri Light" w:cs="Calibri Light"/>
                <w:color w:val="000000"/>
                <w:sz w:val="20"/>
                <w:szCs w:val="20"/>
                <w:lang w:eastAsia="en-GB"/>
              </w:rPr>
              <w:t>грејањ</w:t>
            </w:r>
            <w:r w:rsidR="00BB6610"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и хлађењ</w:t>
            </w:r>
            <w:r w:rsidR="00BB6610" w:rsidRPr="000A2AFE">
              <w:rPr>
                <w:rFonts w:ascii="Calibri Light" w:eastAsia="Times New Roman" w:hAnsi="Calibri Light" w:cs="Calibri Light"/>
                <w:color w:val="000000"/>
                <w:sz w:val="20"/>
                <w:szCs w:val="20"/>
                <w:lang w:eastAsia="en-GB"/>
              </w:rPr>
              <w:t>а</w:t>
            </w:r>
          </w:p>
        </w:tc>
      </w:tr>
      <w:tr w:rsidR="00854ADA" w:rsidRPr="00FF386D" w14:paraId="0F9DF719" w14:textId="77777777" w:rsidTr="0057310C">
        <w:trPr>
          <w:trHeight w:val="315"/>
        </w:trPr>
        <w:tc>
          <w:tcPr>
            <w:tcW w:w="3332" w:type="dxa"/>
            <w:tcBorders>
              <w:top w:val="nil"/>
              <w:left w:val="single" w:sz="8" w:space="0" w:color="auto"/>
              <w:bottom w:val="single" w:sz="8" w:space="0" w:color="auto"/>
              <w:right w:val="single" w:sz="8" w:space="0" w:color="auto"/>
            </w:tcBorders>
            <w:shd w:val="clear" w:color="000000" w:fill="244062"/>
            <w:vAlign w:val="center"/>
            <w:hideMark/>
          </w:tcPr>
          <w:p w14:paraId="773FE26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26" w:type="dxa"/>
            <w:gridSpan w:val="3"/>
            <w:tcBorders>
              <w:top w:val="single" w:sz="8" w:space="0" w:color="auto"/>
              <w:left w:val="nil"/>
              <w:bottom w:val="single" w:sz="8" w:space="0" w:color="auto"/>
              <w:right w:val="single" w:sz="8" w:space="0" w:color="000000"/>
            </w:tcBorders>
            <w:shd w:val="clear" w:color="auto" w:fill="auto"/>
            <w:vAlign w:val="center"/>
            <w:hideMark/>
          </w:tcPr>
          <w:p w14:paraId="79A6D09C" w14:textId="34C85601" w:rsidR="00854ADA" w:rsidRPr="00FF386D" w:rsidRDefault="00854ADA" w:rsidP="00854ADA">
            <w:pPr>
              <w:spacing w:after="0" w:line="240" w:lineRule="auto"/>
              <w:jc w:val="both"/>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14</w:t>
            </w:r>
            <w:r w:rsidR="002F7EFE" w:rsidRPr="00FF386D">
              <w:rPr>
                <w:rFonts w:asciiTheme="majorHAnsi" w:eastAsia="Times New Roman" w:hAnsiTheme="majorHAnsi" w:cstheme="majorHAnsi"/>
                <w:color w:val="000000"/>
                <w:sz w:val="20"/>
                <w:szCs w:val="20"/>
                <w:lang w:eastAsia="en-GB"/>
              </w:rPr>
              <w:t>76</w:t>
            </w:r>
            <w:r w:rsidRPr="00FF386D">
              <w:rPr>
                <w:rFonts w:asciiTheme="majorHAnsi" w:eastAsia="Times New Roman" w:hAnsiTheme="majorHAnsi" w:cstheme="majorHAnsi"/>
                <w:color w:val="000000"/>
                <w:sz w:val="20"/>
                <w:szCs w:val="20"/>
                <w:lang w:eastAsia="en-GB"/>
              </w:rPr>
              <w:t xml:space="preserve"> ktoe биомасе, </w:t>
            </w:r>
            <w:r w:rsidR="002F7EFE" w:rsidRPr="00FF386D">
              <w:rPr>
                <w:rFonts w:asciiTheme="majorHAnsi" w:eastAsia="Times New Roman" w:hAnsiTheme="majorHAnsi" w:cstheme="majorHAnsi"/>
                <w:color w:val="000000"/>
                <w:sz w:val="20"/>
                <w:szCs w:val="20"/>
                <w:lang w:eastAsia="en-GB"/>
              </w:rPr>
              <w:t>4</w:t>
            </w:r>
            <w:r w:rsidRPr="00FF386D">
              <w:rPr>
                <w:rFonts w:asciiTheme="majorHAnsi" w:eastAsia="Times New Roman" w:hAnsiTheme="majorHAnsi" w:cstheme="majorHAnsi"/>
                <w:color w:val="000000"/>
                <w:sz w:val="20"/>
                <w:szCs w:val="20"/>
                <w:lang w:eastAsia="en-GB"/>
              </w:rPr>
              <w:t xml:space="preserve"> ktoe геотермалне енергије, 25 ktoe соларне т</w:t>
            </w:r>
            <w:r w:rsidR="005B42A9" w:rsidRPr="00FF386D">
              <w:rPr>
                <w:rFonts w:asciiTheme="majorHAnsi" w:eastAsia="Times New Roman" w:hAnsiTheme="majorHAnsi" w:cstheme="majorHAnsi"/>
                <w:color w:val="000000"/>
                <w:sz w:val="20"/>
                <w:szCs w:val="20"/>
                <w:lang w:eastAsia="en-GB"/>
              </w:rPr>
              <w:t>оплотне</w:t>
            </w:r>
            <w:r w:rsidRPr="00FF386D">
              <w:rPr>
                <w:rFonts w:asciiTheme="majorHAnsi" w:eastAsia="Times New Roman" w:hAnsiTheme="majorHAnsi" w:cstheme="majorHAnsi"/>
                <w:color w:val="000000"/>
                <w:sz w:val="20"/>
                <w:szCs w:val="20"/>
                <w:lang w:eastAsia="en-GB"/>
              </w:rPr>
              <w:t xml:space="preserve"> енергије и 1</w:t>
            </w:r>
            <w:r w:rsidR="002F7EFE" w:rsidRPr="00FF386D">
              <w:rPr>
                <w:rFonts w:asciiTheme="majorHAnsi" w:eastAsia="Times New Roman" w:hAnsiTheme="majorHAnsi" w:cstheme="majorHAnsi"/>
                <w:color w:val="000000"/>
                <w:sz w:val="20"/>
                <w:szCs w:val="20"/>
                <w:lang w:eastAsia="en-GB"/>
              </w:rPr>
              <w:t>45</w:t>
            </w:r>
            <w:r w:rsidRPr="00FF386D">
              <w:rPr>
                <w:rFonts w:asciiTheme="majorHAnsi" w:eastAsia="Times New Roman" w:hAnsiTheme="majorHAnsi" w:cstheme="majorHAnsi"/>
                <w:color w:val="000000"/>
                <w:sz w:val="20"/>
                <w:szCs w:val="20"/>
                <w:lang w:eastAsia="en-GB"/>
              </w:rPr>
              <w:t xml:space="preserve"> ktoe амбијенталне топлоте</w:t>
            </w:r>
          </w:p>
        </w:tc>
      </w:tr>
      <w:tr w:rsidR="00854ADA" w:rsidRPr="00FF386D" w14:paraId="7F5CC495" w14:textId="77777777" w:rsidTr="0057310C">
        <w:trPr>
          <w:trHeight w:val="301"/>
        </w:trPr>
        <w:tc>
          <w:tcPr>
            <w:tcW w:w="3332" w:type="dxa"/>
            <w:tcBorders>
              <w:top w:val="nil"/>
              <w:left w:val="single" w:sz="8" w:space="0" w:color="auto"/>
              <w:bottom w:val="single" w:sz="8" w:space="0" w:color="auto"/>
              <w:right w:val="single" w:sz="8" w:space="0" w:color="auto"/>
            </w:tcBorders>
            <w:shd w:val="clear" w:color="000000" w:fill="244062"/>
            <w:vAlign w:val="center"/>
            <w:hideMark/>
          </w:tcPr>
          <w:p w14:paraId="3A1D287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26" w:type="dxa"/>
            <w:gridSpan w:val="3"/>
            <w:tcBorders>
              <w:top w:val="single" w:sz="8" w:space="0" w:color="auto"/>
              <w:left w:val="nil"/>
              <w:bottom w:val="single" w:sz="8" w:space="0" w:color="auto"/>
              <w:right w:val="single" w:sz="8" w:space="0" w:color="000000"/>
            </w:tcBorders>
            <w:shd w:val="clear" w:color="auto" w:fill="auto"/>
            <w:vAlign w:val="center"/>
            <w:hideMark/>
          </w:tcPr>
          <w:p w14:paraId="0BA6216B" w14:textId="28CD5E6B" w:rsidR="00854ADA" w:rsidRPr="000A2AFE" w:rsidRDefault="00854ADA" w:rsidP="006F0F58">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МП_</w:t>
            </w:r>
            <w:r w:rsidR="00C926B5" w:rsidRPr="000A2AFE">
              <w:rPr>
                <w:rFonts w:ascii="Calibri Light" w:eastAsia="Times New Roman" w:hAnsi="Calibri Light" w:cs="Calibri Light"/>
                <w:color w:val="000000"/>
                <w:sz w:val="20"/>
                <w:szCs w:val="20"/>
                <w:lang w:eastAsia="en-GB"/>
              </w:rPr>
              <w:t>Д3</w:t>
            </w:r>
            <w:r w:rsidR="00C926B5">
              <w:rPr>
                <w:rFonts w:ascii="Calibri Light" w:eastAsia="Times New Roman" w:hAnsi="Calibri Light" w:cs="Calibri Light"/>
                <w:color w:val="000000"/>
                <w:sz w:val="20"/>
                <w:szCs w:val="20"/>
                <w:lang w:val="sr-Latn-RS" w:eastAsia="en-GB"/>
              </w:rPr>
              <w:t>0</w:t>
            </w:r>
            <w:r w:rsidR="00C926B5"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 xml:space="preserve">ће обезбедити фискалне и економске подстицаје за </w:t>
            </w:r>
            <w:r w:rsidR="0078722D" w:rsidRPr="000A2AFE">
              <w:rPr>
                <w:rFonts w:ascii="Calibri Light" w:eastAsia="Times New Roman" w:hAnsi="Calibri Light" w:cs="Calibri Light"/>
                <w:color w:val="000000"/>
                <w:sz w:val="20"/>
                <w:szCs w:val="20"/>
                <w:lang w:eastAsia="en-GB"/>
              </w:rPr>
              <w:t>давање</w:t>
            </w:r>
            <w:r w:rsidRPr="000A2AFE">
              <w:rPr>
                <w:rFonts w:ascii="Calibri Light" w:eastAsia="Times New Roman" w:hAnsi="Calibri Light" w:cs="Calibri Light"/>
                <w:color w:val="000000"/>
                <w:sz w:val="20"/>
                <w:szCs w:val="20"/>
                <w:lang w:eastAsia="en-GB"/>
              </w:rPr>
              <w:t xml:space="preserve"> подршк</w:t>
            </w:r>
            <w:r w:rsidR="0078722D" w:rsidRPr="000A2AFE">
              <w:rPr>
                <w:rFonts w:ascii="Calibri Light" w:eastAsia="Times New Roman" w:hAnsi="Calibri Light" w:cs="Calibri Light"/>
                <w:color w:val="000000"/>
                <w:sz w:val="20"/>
                <w:szCs w:val="20"/>
                <w:lang w:eastAsia="en-GB"/>
              </w:rPr>
              <w:t>е</w:t>
            </w:r>
            <w:r w:rsidRPr="000A2AFE">
              <w:rPr>
                <w:rFonts w:ascii="Calibri Light" w:eastAsia="Times New Roman" w:hAnsi="Calibri Light" w:cs="Calibri Light"/>
                <w:color w:val="000000"/>
                <w:sz w:val="20"/>
                <w:szCs w:val="20"/>
                <w:lang w:eastAsia="en-GB"/>
              </w:rPr>
              <w:t xml:space="preserve"> технологијама обновљиве енергије</w:t>
            </w:r>
            <w:r w:rsidR="00BB6610" w:rsidRPr="000A2AFE">
              <w:rPr>
                <w:rFonts w:ascii="Calibri Light" w:eastAsia="Times New Roman" w:hAnsi="Calibri Light" w:cs="Calibri Light"/>
                <w:color w:val="000000"/>
                <w:sz w:val="20"/>
                <w:szCs w:val="20"/>
                <w:lang w:eastAsia="en-GB"/>
              </w:rPr>
              <w:t xml:space="preserve"> у области</w:t>
            </w:r>
            <w:r w:rsidRPr="000A2AFE">
              <w:rPr>
                <w:rFonts w:ascii="Calibri Light" w:eastAsia="Times New Roman" w:hAnsi="Calibri Light" w:cs="Calibri Light"/>
                <w:color w:val="000000"/>
                <w:sz w:val="20"/>
                <w:szCs w:val="20"/>
                <w:lang w:eastAsia="en-GB"/>
              </w:rPr>
              <w:t xml:space="preserve"> грејањ</w:t>
            </w:r>
            <w:r w:rsidR="00BB6610" w:rsidRPr="000A2AFE">
              <w:rPr>
                <w:rFonts w:ascii="Calibri Light" w:eastAsia="Times New Roman" w:hAnsi="Calibri Light" w:cs="Calibri Light"/>
                <w:color w:val="000000"/>
                <w:sz w:val="20"/>
                <w:szCs w:val="20"/>
                <w:lang w:eastAsia="en-GB"/>
              </w:rPr>
              <w:t xml:space="preserve">а </w:t>
            </w:r>
            <w:r w:rsidRPr="000A2AFE">
              <w:rPr>
                <w:rFonts w:ascii="Calibri Light" w:eastAsia="Times New Roman" w:hAnsi="Calibri Light" w:cs="Calibri Light"/>
                <w:color w:val="000000"/>
                <w:sz w:val="20"/>
                <w:szCs w:val="20"/>
                <w:lang w:eastAsia="en-GB"/>
              </w:rPr>
              <w:t>и хлађењ</w:t>
            </w:r>
            <w:r w:rsidR="00BB6610" w:rsidRPr="000A2AFE">
              <w:rPr>
                <w:rFonts w:ascii="Calibri Light" w:eastAsia="Times New Roman" w:hAnsi="Calibri Light" w:cs="Calibri Light"/>
                <w:color w:val="000000"/>
                <w:sz w:val="20"/>
                <w:szCs w:val="20"/>
                <w:lang w:eastAsia="en-GB"/>
              </w:rPr>
              <w:t>а</w:t>
            </w:r>
            <w:r w:rsidR="0078722D" w:rsidRPr="000A2AFE">
              <w:rPr>
                <w:rFonts w:ascii="Calibri Light" w:eastAsia="Times New Roman" w:hAnsi="Calibri Light" w:cs="Calibri Light"/>
                <w:color w:val="000000"/>
                <w:sz w:val="20"/>
                <w:szCs w:val="20"/>
                <w:lang w:eastAsia="en-GB"/>
              </w:rPr>
              <w:t xml:space="preserve"> на трошковно еф</w:t>
            </w:r>
            <w:r w:rsidR="005B42A9" w:rsidRPr="000A2AFE">
              <w:rPr>
                <w:rFonts w:ascii="Calibri Light" w:eastAsia="Times New Roman" w:hAnsi="Calibri Light" w:cs="Calibri Light"/>
                <w:color w:val="000000"/>
                <w:sz w:val="20"/>
                <w:szCs w:val="20"/>
                <w:lang w:eastAsia="en-GB"/>
              </w:rPr>
              <w:t>икасан</w:t>
            </w:r>
            <w:r w:rsidR="0078722D" w:rsidRPr="000A2AFE">
              <w:rPr>
                <w:rFonts w:ascii="Calibri Light" w:eastAsia="Times New Roman" w:hAnsi="Calibri Light" w:cs="Calibri Light"/>
                <w:color w:val="000000"/>
                <w:sz w:val="20"/>
                <w:szCs w:val="20"/>
                <w:lang w:eastAsia="en-GB"/>
              </w:rPr>
              <w:t xml:space="preserve"> начин</w:t>
            </w:r>
            <w:r w:rsidR="006F0F58" w:rsidRPr="000A2AFE">
              <w:rPr>
                <w:rFonts w:ascii="Calibri Light" w:eastAsia="Times New Roman" w:hAnsi="Calibri Light" w:cs="Calibri Light"/>
                <w:color w:val="000000"/>
                <w:sz w:val="20"/>
                <w:szCs w:val="20"/>
                <w:lang w:eastAsia="en-GB"/>
              </w:rPr>
              <w:t>, у складу са одредбама чл</w:t>
            </w:r>
            <w:r w:rsidR="005B42A9" w:rsidRPr="000A2AFE">
              <w:rPr>
                <w:rFonts w:ascii="Calibri Light" w:eastAsia="Times New Roman" w:hAnsi="Calibri Light" w:cs="Calibri Light"/>
                <w:color w:val="000000"/>
                <w:sz w:val="20"/>
                <w:szCs w:val="20"/>
                <w:lang w:eastAsia="en-GB"/>
              </w:rPr>
              <w:t>.</w:t>
            </w:r>
            <w:r w:rsidR="006F0F58" w:rsidRPr="000A2AFE">
              <w:rPr>
                <w:rFonts w:ascii="Calibri Light" w:eastAsia="Times New Roman" w:hAnsi="Calibri Light" w:cs="Calibri Light"/>
                <w:color w:val="000000"/>
                <w:sz w:val="20"/>
                <w:szCs w:val="20"/>
                <w:lang w:eastAsia="en-GB"/>
              </w:rPr>
              <w:t xml:space="preserve"> 71. и 74. Закона о коришћењу обновљивих извора енергије. </w:t>
            </w:r>
            <w:r w:rsidRPr="000A2AFE">
              <w:rPr>
                <w:rFonts w:ascii="Calibri Light" w:eastAsia="Times New Roman" w:hAnsi="Calibri Light" w:cs="Calibri Light"/>
                <w:color w:val="000000"/>
                <w:sz w:val="20"/>
                <w:szCs w:val="20"/>
                <w:lang w:eastAsia="en-GB"/>
              </w:rPr>
              <w:t xml:space="preserve">Избор </w:t>
            </w:r>
            <w:r w:rsidRPr="000A2AFE">
              <w:rPr>
                <w:rFonts w:ascii="Calibri Light" w:eastAsia="Times New Roman" w:hAnsi="Calibri Light" w:cs="Calibri Light"/>
                <w:color w:val="000000"/>
                <w:sz w:val="20"/>
                <w:szCs w:val="20"/>
                <w:lang w:eastAsia="en-GB"/>
              </w:rPr>
              <w:lastRenderedPageBreak/>
              <w:t>најефикаснијих технологија ће се вршити узимајући у обзир расположиви технички и економски потенцијал и техничке карактеристике сваког сектора</w:t>
            </w:r>
            <w:r w:rsidR="006F0F58" w:rsidRPr="000A2AFE">
              <w:rPr>
                <w:rFonts w:ascii="Calibri Light" w:eastAsia="Times New Roman" w:hAnsi="Calibri Light" w:cs="Calibri Light"/>
                <w:color w:val="000000"/>
                <w:sz w:val="20"/>
                <w:szCs w:val="20"/>
                <w:lang w:eastAsia="en-GB"/>
              </w:rPr>
              <w:t xml:space="preserve"> финалне</w:t>
            </w:r>
            <w:r w:rsidRPr="000A2AFE">
              <w:rPr>
                <w:rFonts w:ascii="Calibri Light" w:eastAsia="Times New Roman" w:hAnsi="Calibri Light" w:cs="Calibri Light"/>
                <w:color w:val="000000"/>
                <w:sz w:val="20"/>
                <w:szCs w:val="20"/>
                <w:lang w:eastAsia="en-GB"/>
              </w:rPr>
              <w:t xml:space="preserve"> потрошње посебно.</w:t>
            </w:r>
            <w:r w:rsidR="006F0F58" w:rsidRPr="000A2AFE">
              <w:rPr>
                <w:rFonts w:ascii="Calibri Light" w:eastAsia="Times New Roman" w:hAnsi="Calibri Light" w:cs="Calibri Light"/>
                <w:color w:val="000000"/>
                <w:sz w:val="20"/>
                <w:szCs w:val="20"/>
                <w:lang w:eastAsia="en-GB"/>
              </w:rPr>
              <w:t xml:space="preserve"> Биће омогућена </w:t>
            </w:r>
            <w:r w:rsidR="0078722D" w:rsidRPr="000A2AFE">
              <w:rPr>
                <w:rFonts w:ascii="Calibri Light" w:eastAsia="Times New Roman" w:hAnsi="Calibri Light" w:cs="Calibri Light"/>
                <w:color w:val="000000"/>
                <w:sz w:val="20"/>
                <w:szCs w:val="20"/>
                <w:lang w:eastAsia="en-GB"/>
              </w:rPr>
              <w:t xml:space="preserve">активна </w:t>
            </w:r>
            <w:r w:rsidR="006F0F58" w:rsidRPr="000A2AFE">
              <w:rPr>
                <w:rFonts w:ascii="Calibri Light" w:eastAsia="Times New Roman" w:hAnsi="Calibri Light" w:cs="Calibri Light"/>
                <w:color w:val="000000"/>
                <w:sz w:val="20"/>
                <w:szCs w:val="20"/>
                <w:lang w:eastAsia="en-GB"/>
              </w:rPr>
              <w:t>улога јединица локалне самоуправе, које су такође надлежне за примену мера подстицаја.</w:t>
            </w:r>
          </w:p>
        </w:tc>
      </w:tr>
      <w:tr w:rsidR="00854ADA" w:rsidRPr="00FF386D" w14:paraId="22DC60C1" w14:textId="77777777" w:rsidTr="0057310C">
        <w:trPr>
          <w:trHeight w:val="315"/>
        </w:trPr>
        <w:tc>
          <w:tcPr>
            <w:tcW w:w="3332" w:type="dxa"/>
            <w:tcBorders>
              <w:top w:val="nil"/>
              <w:left w:val="single" w:sz="8" w:space="0" w:color="auto"/>
              <w:bottom w:val="single" w:sz="8" w:space="0" w:color="auto"/>
              <w:right w:val="single" w:sz="8" w:space="0" w:color="auto"/>
            </w:tcBorders>
            <w:shd w:val="clear" w:color="000000" w:fill="244062"/>
            <w:vAlign w:val="center"/>
            <w:hideMark/>
          </w:tcPr>
          <w:p w14:paraId="24EE899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Временски оквир имплементације</w:t>
            </w:r>
          </w:p>
        </w:tc>
        <w:tc>
          <w:tcPr>
            <w:tcW w:w="6126" w:type="dxa"/>
            <w:gridSpan w:val="3"/>
            <w:tcBorders>
              <w:top w:val="single" w:sz="8" w:space="0" w:color="auto"/>
              <w:left w:val="nil"/>
              <w:bottom w:val="single" w:sz="8" w:space="0" w:color="auto"/>
              <w:right w:val="single" w:sz="8" w:space="0" w:color="000000"/>
            </w:tcBorders>
            <w:shd w:val="clear" w:color="auto" w:fill="auto"/>
            <w:vAlign w:val="center"/>
            <w:hideMark/>
          </w:tcPr>
          <w:p w14:paraId="6E21D45A" w14:textId="257EC06B"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2F7EFE"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-2030.</w:t>
            </w:r>
          </w:p>
        </w:tc>
      </w:tr>
      <w:tr w:rsidR="00854ADA" w:rsidRPr="00FF386D" w14:paraId="246BDD0A" w14:textId="77777777" w:rsidTr="0057310C">
        <w:trPr>
          <w:trHeight w:val="315"/>
        </w:trPr>
        <w:tc>
          <w:tcPr>
            <w:tcW w:w="3332" w:type="dxa"/>
            <w:tcBorders>
              <w:top w:val="nil"/>
              <w:left w:val="single" w:sz="8" w:space="0" w:color="auto"/>
              <w:bottom w:val="single" w:sz="8" w:space="0" w:color="auto"/>
              <w:right w:val="single" w:sz="8" w:space="0" w:color="auto"/>
            </w:tcBorders>
            <w:shd w:val="clear" w:color="000000" w:fill="244062"/>
            <w:vAlign w:val="center"/>
            <w:hideMark/>
          </w:tcPr>
          <w:p w14:paraId="7B78A0D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26" w:type="dxa"/>
            <w:gridSpan w:val="3"/>
            <w:tcBorders>
              <w:top w:val="single" w:sz="8" w:space="0" w:color="auto"/>
              <w:left w:val="nil"/>
              <w:bottom w:val="single" w:sz="8" w:space="0" w:color="auto"/>
              <w:right w:val="single" w:sz="8" w:space="0" w:color="000000"/>
            </w:tcBorders>
            <w:shd w:val="clear" w:color="auto" w:fill="auto"/>
            <w:vAlign w:val="center"/>
            <w:hideMark/>
          </w:tcPr>
          <w:p w14:paraId="5DBFDC1B"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Инвестиције</w:t>
            </w:r>
          </w:p>
        </w:tc>
      </w:tr>
      <w:tr w:rsidR="00854ADA" w:rsidRPr="00FF386D" w14:paraId="5133A2A9" w14:textId="77777777" w:rsidTr="0057310C">
        <w:trPr>
          <w:trHeight w:val="315"/>
        </w:trPr>
        <w:tc>
          <w:tcPr>
            <w:tcW w:w="3332" w:type="dxa"/>
            <w:tcBorders>
              <w:top w:val="nil"/>
              <w:left w:val="single" w:sz="8" w:space="0" w:color="auto"/>
              <w:bottom w:val="single" w:sz="8" w:space="0" w:color="auto"/>
              <w:right w:val="single" w:sz="8" w:space="0" w:color="auto"/>
            </w:tcBorders>
            <w:shd w:val="clear" w:color="000000" w:fill="244062"/>
            <w:vAlign w:val="center"/>
            <w:hideMark/>
          </w:tcPr>
          <w:p w14:paraId="590B8B5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26" w:type="dxa"/>
            <w:gridSpan w:val="3"/>
            <w:tcBorders>
              <w:top w:val="single" w:sz="8" w:space="0" w:color="auto"/>
              <w:left w:val="nil"/>
              <w:bottom w:val="single" w:sz="8" w:space="0" w:color="auto"/>
              <w:right w:val="single" w:sz="8" w:space="0" w:color="000000"/>
            </w:tcBorders>
            <w:shd w:val="clear" w:color="auto" w:fill="auto"/>
            <w:vAlign w:val="center"/>
            <w:hideMark/>
          </w:tcPr>
          <w:p w14:paraId="2AEC9598"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Грејање и хлађење</w:t>
            </w:r>
          </w:p>
        </w:tc>
      </w:tr>
      <w:tr w:rsidR="00854ADA" w:rsidRPr="00FF386D" w14:paraId="1C4178F0" w14:textId="77777777" w:rsidTr="0057310C">
        <w:trPr>
          <w:trHeight w:val="315"/>
        </w:trPr>
        <w:tc>
          <w:tcPr>
            <w:tcW w:w="3332" w:type="dxa"/>
            <w:tcBorders>
              <w:top w:val="nil"/>
              <w:left w:val="single" w:sz="8" w:space="0" w:color="auto"/>
              <w:bottom w:val="single" w:sz="8" w:space="0" w:color="auto"/>
              <w:right w:val="single" w:sz="8" w:space="0" w:color="auto"/>
            </w:tcBorders>
            <w:shd w:val="clear" w:color="000000" w:fill="244062"/>
            <w:vAlign w:val="center"/>
            <w:hideMark/>
          </w:tcPr>
          <w:p w14:paraId="44F4214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26" w:type="dxa"/>
            <w:gridSpan w:val="3"/>
            <w:tcBorders>
              <w:top w:val="single" w:sz="8" w:space="0" w:color="auto"/>
              <w:left w:val="nil"/>
              <w:bottom w:val="single" w:sz="8" w:space="0" w:color="auto"/>
              <w:right w:val="single" w:sz="8" w:space="0" w:color="000000"/>
            </w:tcBorders>
            <w:shd w:val="clear" w:color="auto" w:fill="auto"/>
            <w:vAlign w:val="center"/>
            <w:hideMark/>
          </w:tcPr>
          <w:p w14:paraId="64AEAD76"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7A61AAFD" w14:textId="77777777" w:rsidTr="0057310C">
        <w:trPr>
          <w:trHeight w:val="315"/>
        </w:trPr>
        <w:tc>
          <w:tcPr>
            <w:tcW w:w="3332" w:type="dxa"/>
            <w:tcBorders>
              <w:top w:val="nil"/>
              <w:left w:val="single" w:sz="8" w:space="0" w:color="auto"/>
              <w:bottom w:val="single" w:sz="8" w:space="0" w:color="auto"/>
              <w:right w:val="nil"/>
            </w:tcBorders>
            <w:shd w:val="clear" w:color="000000" w:fill="244062"/>
            <w:vAlign w:val="center"/>
            <w:hideMark/>
          </w:tcPr>
          <w:p w14:paraId="16C9465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26" w:type="dxa"/>
            <w:gridSpan w:val="3"/>
            <w:tcBorders>
              <w:top w:val="single" w:sz="8" w:space="0" w:color="auto"/>
              <w:left w:val="nil"/>
              <w:bottom w:val="single" w:sz="8" w:space="0" w:color="auto"/>
              <w:right w:val="single" w:sz="8" w:space="0" w:color="000000"/>
            </w:tcBorders>
            <w:shd w:val="clear" w:color="auto" w:fill="auto"/>
            <w:vAlign w:val="center"/>
            <w:hideMark/>
          </w:tcPr>
          <w:p w14:paraId="429C1F18" w14:textId="36845CFD" w:rsidR="00854ADA" w:rsidRPr="000A2AFE" w:rsidRDefault="00D77559"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17C532AD" w14:textId="77777777" w:rsidTr="0057310C">
        <w:trPr>
          <w:trHeight w:val="315"/>
        </w:trPr>
        <w:tc>
          <w:tcPr>
            <w:tcW w:w="3332" w:type="dxa"/>
            <w:tcBorders>
              <w:top w:val="nil"/>
              <w:left w:val="single" w:sz="8" w:space="0" w:color="auto"/>
              <w:bottom w:val="single" w:sz="8" w:space="0" w:color="auto"/>
              <w:right w:val="nil"/>
            </w:tcBorders>
            <w:shd w:val="clear" w:color="000000" w:fill="244062"/>
            <w:vAlign w:val="center"/>
            <w:hideMark/>
          </w:tcPr>
          <w:p w14:paraId="0FE9B2D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26" w:type="dxa"/>
            <w:gridSpan w:val="3"/>
            <w:tcBorders>
              <w:top w:val="single" w:sz="8" w:space="0" w:color="auto"/>
              <w:left w:val="nil"/>
              <w:bottom w:val="single" w:sz="8" w:space="0" w:color="auto"/>
              <w:right w:val="single" w:sz="8" w:space="0" w:color="000000"/>
            </w:tcBorders>
            <w:shd w:val="clear" w:color="auto" w:fill="auto"/>
            <w:vAlign w:val="center"/>
            <w:hideMark/>
          </w:tcPr>
          <w:p w14:paraId="137F5AA5" w14:textId="06ECD201" w:rsidR="00854ADA" w:rsidRPr="000A2AFE" w:rsidRDefault="002F7EFE"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Произведена енергија из ОИЕ за грејање и хлађење </w:t>
            </w:r>
          </w:p>
        </w:tc>
      </w:tr>
      <w:tr w:rsidR="00854ADA" w:rsidRPr="00FF386D" w14:paraId="065FF4CF" w14:textId="77777777" w:rsidTr="0057310C">
        <w:trPr>
          <w:trHeight w:val="369"/>
        </w:trPr>
        <w:tc>
          <w:tcPr>
            <w:tcW w:w="3332" w:type="dxa"/>
            <w:tcBorders>
              <w:top w:val="nil"/>
              <w:left w:val="single" w:sz="8" w:space="0" w:color="auto"/>
              <w:bottom w:val="single" w:sz="8" w:space="0" w:color="auto"/>
              <w:right w:val="single" w:sz="8" w:space="0" w:color="auto"/>
            </w:tcBorders>
            <w:shd w:val="clear" w:color="000000" w:fill="244062"/>
            <w:vAlign w:val="center"/>
            <w:hideMark/>
          </w:tcPr>
          <w:p w14:paraId="0335DC4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26" w:type="dxa"/>
            <w:gridSpan w:val="3"/>
            <w:tcBorders>
              <w:top w:val="single" w:sz="8" w:space="0" w:color="auto"/>
              <w:left w:val="nil"/>
              <w:bottom w:val="single" w:sz="8" w:space="0" w:color="auto"/>
              <w:right w:val="single" w:sz="8" w:space="0" w:color="000000"/>
            </w:tcBorders>
            <w:shd w:val="clear" w:color="auto" w:fill="auto"/>
            <w:vAlign w:val="center"/>
            <w:hideMark/>
          </w:tcPr>
          <w:p w14:paraId="43C05173" w14:textId="215BB0AA" w:rsidR="00D77559" w:rsidRPr="00D77559" w:rsidRDefault="00D77559" w:rsidP="00D77559">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D77559">
              <w:rPr>
                <w:rFonts w:ascii="Calibri Light" w:eastAsia="Times New Roman" w:hAnsi="Calibri Light" w:cs="Calibri Light"/>
                <w:color w:val="000000"/>
                <w:sz w:val="20"/>
                <w:szCs w:val="20"/>
                <w:lang w:eastAsia="en-GB"/>
              </w:rPr>
              <w:t>Енергетска ефикасност (промовисане технологије ОИЕ ће довести и до уштеде финалне и примарне енергије доприносећи постизању релевантних циљева)</w:t>
            </w:r>
          </w:p>
          <w:p w14:paraId="445184C9" w14:textId="35921A88" w:rsidR="00854ADA" w:rsidRPr="00FF386D" w:rsidRDefault="00D77559" w:rsidP="00D77559">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D77559">
              <w:rPr>
                <w:rFonts w:ascii="Calibri Light" w:eastAsia="Times New Roman" w:hAnsi="Calibri Light" w:cs="Calibri Light"/>
                <w:color w:val="000000"/>
                <w:sz w:val="20"/>
                <w:szCs w:val="20"/>
                <w:lang w:eastAsia="en-GB"/>
              </w:rPr>
              <w:t>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854ADA" w:rsidRPr="00FF386D" w14:paraId="0C76EDD4" w14:textId="77777777" w:rsidTr="0057310C">
        <w:trPr>
          <w:trHeight w:val="450"/>
        </w:trPr>
        <w:tc>
          <w:tcPr>
            <w:tcW w:w="3332"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2A3F4EE4" w14:textId="7E3A5A43"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26"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59C24250"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2018/2001/ЕУ</w:t>
            </w:r>
          </w:p>
        </w:tc>
      </w:tr>
      <w:tr w:rsidR="00854ADA" w:rsidRPr="00FF386D" w14:paraId="6329B661" w14:textId="77777777" w:rsidTr="0057310C">
        <w:trPr>
          <w:trHeight w:val="450"/>
        </w:trPr>
        <w:tc>
          <w:tcPr>
            <w:tcW w:w="3332" w:type="dxa"/>
            <w:vMerge/>
            <w:tcBorders>
              <w:top w:val="nil"/>
              <w:left w:val="single" w:sz="8" w:space="0" w:color="auto"/>
              <w:bottom w:val="single" w:sz="8" w:space="0" w:color="000000"/>
              <w:right w:val="single" w:sz="8" w:space="0" w:color="auto"/>
            </w:tcBorders>
            <w:vAlign w:val="center"/>
            <w:hideMark/>
          </w:tcPr>
          <w:p w14:paraId="498E8DA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6" w:type="dxa"/>
            <w:gridSpan w:val="3"/>
            <w:vMerge/>
            <w:tcBorders>
              <w:top w:val="single" w:sz="8" w:space="0" w:color="auto"/>
              <w:left w:val="single" w:sz="8" w:space="0" w:color="auto"/>
              <w:bottom w:val="single" w:sz="8" w:space="0" w:color="000000"/>
              <w:right w:val="single" w:sz="8" w:space="0" w:color="000000"/>
            </w:tcBorders>
            <w:vAlign w:val="center"/>
            <w:hideMark/>
          </w:tcPr>
          <w:p w14:paraId="7CDDC70A"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7B02AE34" w14:textId="77777777" w:rsidTr="0057310C">
        <w:trPr>
          <w:trHeight w:val="450"/>
        </w:trPr>
        <w:tc>
          <w:tcPr>
            <w:tcW w:w="3332" w:type="dxa"/>
            <w:vMerge/>
            <w:tcBorders>
              <w:top w:val="nil"/>
              <w:left w:val="single" w:sz="8" w:space="0" w:color="auto"/>
              <w:bottom w:val="single" w:sz="8" w:space="0" w:color="000000"/>
              <w:right w:val="single" w:sz="8" w:space="0" w:color="auto"/>
            </w:tcBorders>
            <w:vAlign w:val="center"/>
            <w:hideMark/>
          </w:tcPr>
          <w:p w14:paraId="524688D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6" w:type="dxa"/>
            <w:gridSpan w:val="3"/>
            <w:vMerge/>
            <w:tcBorders>
              <w:top w:val="single" w:sz="8" w:space="0" w:color="auto"/>
              <w:left w:val="single" w:sz="8" w:space="0" w:color="auto"/>
              <w:bottom w:val="single" w:sz="8" w:space="0" w:color="000000"/>
              <w:right w:val="single" w:sz="8" w:space="0" w:color="000000"/>
            </w:tcBorders>
            <w:vAlign w:val="center"/>
            <w:hideMark/>
          </w:tcPr>
          <w:p w14:paraId="76FDA07C"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6EFAAD5A" w14:textId="77777777" w:rsidTr="0057310C">
        <w:trPr>
          <w:trHeight w:val="317"/>
        </w:trPr>
        <w:tc>
          <w:tcPr>
            <w:tcW w:w="3332" w:type="dxa"/>
            <w:tcBorders>
              <w:top w:val="nil"/>
              <w:left w:val="single" w:sz="8" w:space="0" w:color="auto"/>
              <w:bottom w:val="single" w:sz="8" w:space="0" w:color="auto"/>
              <w:right w:val="single" w:sz="8" w:space="0" w:color="auto"/>
            </w:tcBorders>
            <w:shd w:val="clear" w:color="000000" w:fill="244062"/>
            <w:vAlign w:val="center"/>
            <w:hideMark/>
          </w:tcPr>
          <w:p w14:paraId="30E1F62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26" w:type="dxa"/>
            <w:gridSpan w:val="3"/>
            <w:tcBorders>
              <w:top w:val="single" w:sz="8" w:space="0" w:color="auto"/>
              <w:left w:val="nil"/>
              <w:bottom w:val="single" w:sz="8" w:space="0" w:color="auto"/>
              <w:right w:val="single" w:sz="8" w:space="0" w:color="000000"/>
            </w:tcBorders>
            <w:shd w:val="clear" w:color="auto" w:fill="auto"/>
            <w:vAlign w:val="center"/>
            <w:hideMark/>
          </w:tcPr>
          <w:p w14:paraId="67AD1A58" w14:textId="77777777" w:rsidR="00854ADA" w:rsidRPr="00FF386D" w:rsidRDefault="00854ADA" w:rsidP="00854ADA">
            <w:pPr>
              <w:numPr>
                <w:ilvl w:val="0"/>
                <w:numId w:val="114"/>
              </w:numPr>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коришћењу обновљивих извора енергије</w:t>
            </w:r>
          </w:p>
          <w:p w14:paraId="3C69DEBE" w14:textId="77777777" w:rsidR="00854ADA"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енергетској ефикасности и рационалној употреби енергије</w:t>
            </w:r>
          </w:p>
          <w:p w14:paraId="76D89C8C" w14:textId="1AE10F75" w:rsidR="00C926B5" w:rsidRPr="00FF386D" w:rsidRDefault="00C926B5"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C926B5">
              <w:rPr>
                <w:rFonts w:ascii="Calibri Light" w:eastAsia="Times New Roman" w:hAnsi="Calibri Light" w:cs="Calibri Light"/>
                <w:color w:val="000000"/>
                <w:sz w:val="20"/>
                <w:szCs w:val="20"/>
                <w:lang w:eastAsia="en-GB"/>
              </w:rPr>
              <w:t>Правилник о енергетској ефикасности зграда</w:t>
            </w:r>
          </w:p>
        </w:tc>
      </w:tr>
      <w:tr w:rsidR="00854ADA" w:rsidRPr="00FF386D" w14:paraId="491A99B5" w14:textId="77777777" w:rsidTr="0057310C">
        <w:trPr>
          <w:trHeight w:val="315"/>
        </w:trPr>
        <w:tc>
          <w:tcPr>
            <w:tcW w:w="3332" w:type="dxa"/>
            <w:tcBorders>
              <w:top w:val="nil"/>
              <w:left w:val="single" w:sz="8" w:space="0" w:color="auto"/>
              <w:bottom w:val="single" w:sz="8" w:space="0" w:color="auto"/>
              <w:right w:val="single" w:sz="8" w:space="0" w:color="auto"/>
            </w:tcBorders>
            <w:shd w:val="clear" w:color="000000" w:fill="244062"/>
            <w:vAlign w:val="center"/>
            <w:hideMark/>
          </w:tcPr>
          <w:p w14:paraId="21D957B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26" w:type="dxa"/>
            <w:gridSpan w:val="3"/>
            <w:tcBorders>
              <w:top w:val="single" w:sz="4" w:space="0" w:color="auto"/>
              <w:left w:val="single" w:sz="4" w:space="0" w:color="auto"/>
              <w:bottom w:val="single" w:sz="4" w:space="0" w:color="000000"/>
              <w:right w:val="single" w:sz="4" w:space="0" w:color="auto"/>
            </w:tcBorders>
            <w:shd w:val="clear" w:color="auto" w:fill="auto"/>
            <w:vAlign w:val="center"/>
            <w:hideMark/>
          </w:tcPr>
          <w:p w14:paraId="1C8FEA6E" w14:textId="69ABF706"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Буџет интегрисан у мере димензије енергетска ефикасност</w:t>
            </w:r>
          </w:p>
          <w:p w14:paraId="2A062733" w14:textId="05309E50" w:rsidR="002F7EFE" w:rsidRPr="00FF386D" w:rsidRDefault="002F7EFE"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(МП_ЕЕ1</w:t>
            </w:r>
            <w:r w:rsidR="005E4DBE">
              <w:rPr>
                <w:rFonts w:ascii="Calibri Light" w:eastAsia="Times New Roman" w:hAnsi="Calibri Light" w:cs="Calibri Light"/>
                <w:color w:val="000000"/>
                <w:sz w:val="20"/>
                <w:szCs w:val="20"/>
                <w:lang w:eastAsia="en-GB"/>
              </w:rPr>
              <w:t>,</w:t>
            </w:r>
            <w:r w:rsidRPr="00FF386D">
              <w:rPr>
                <w:rFonts w:ascii="Calibri Light" w:eastAsia="Times New Roman" w:hAnsi="Calibri Light" w:cs="Calibri Light"/>
                <w:color w:val="000000"/>
                <w:sz w:val="20"/>
                <w:szCs w:val="20"/>
                <w:lang w:eastAsia="en-GB"/>
              </w:rPr>
              <w:t>МП_ЕЕ8)</w:t>
            </w:r>
          </w:p>
        </w:tc>
      </w:tr>
      <w:tr w:rsidR="00854ADA" w:rsidRPr="00FF386D" w14:paraId="6730800E" w14:textId="77777777" w:rsidTr="0057310C">
        <w:trPr>
          <w:trHeight w:val="315"/>
        </w:trPr>
        <w:tc>
          <w:tcPr>
            <w:tcW w:w="3332" w:type="dxa"/>
            <w:tcBorders>
              <w:top w:val="nil"/>
              <w:left w:val="single" w:sz="8" w:space="0" w:color="auto"/>
              <w:bottom w:val="single" w:sz="8" w:space="0" w:color="auto"/>
              <w:right w:val="single" w:sz="8" w:space="0" w:color="auto"/>
            </w:tcBorders>
            <w:shd w:val="clear" w:color="000000" w:fill="244062"/>
            <w:vAlign w:val="center"/>
            <w:hideMark/>
          </w:tcPr>
          <w:p w14:paraId="1C8787D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26" w:type="dxa"/>
            <w:gridSpan w:val="3"/>
            <w:tcBorders>
              <w:top w:val="single" w:sz="8" w:space="0" w:color="auto"/>
              <w:left w:val="nil"/>
              <w:bottom w:val="single" w:sz="8" w:space="0" w:color="auto"/>
              <w:right w:val="single" w:sz="8" w:space="0" w:color="000000"/>
            </w:tcBorders>
            <w:shd w:val="clear" w:color="auto" w:fill="auto"/>
            <w:vAlign w:val="center"/>
            <w:hideMark/>
          </w:tcPr>
          <w:p w14:paraId="16737A88" w14:textId="1DE4A64A"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2F7EFE" w:rsidRPr="00FF386D">
              <w:rPr>
                <w:rFonts w:asciiTheme="majorHAnsi" w:eastAsia="Times New Roman" w:hAnsiTheme="majorHAnsi" w:cstheme="majorHAnsi"/>
                <w:color w:val="000000"/>
                <w:sz w:val="20"/>
                <w:szCs w:val="20"/>
                <w:lang w:eastAsia="en-GB"/>
              </w:rPr>
              <w:t xml:space="preserve">ска </w:t>
            </w:r>
            <w:r w:rsidRPr="00FF386D">
              <w:rPr>
                <w:rFonts w:asciiTheme="majorHAnsi" w:eastAsia="Times New Roman" w:hAnsiTheme="majorHAnsi" w:cstheme="majorHAnsi"/>
                <w:color w:val="000000"/>
                <w:sz w:val="20"/>
                <w:szCs w:val="20"/>
                <w:lang w:eastAsia="en-GB"/>
              </w:rPr>
              <w:t>и сопствена средства</w:t>
            </w:r>
          </w:p>
        </w:tc>
      </w:tr>
    </w:tbl>
    <w:p w14:paraId="4AAD9252" w14:textId="77777777" w:rsidR="00854ADA" w:rsidRPr="00FF386D" w:rsidRDefault="00854ADA" w:rsidP="00854ADA">
      <w:pPr>
        <w:spacing w:before="160"/>
        <w:jc w:val="both"/>
        <w:rPr>
          <w:rFonts w:asciiTheme="majorHAnsi" w:hAnsiTheme="majorHAnsi" w:cstheme="majorHAnsi"/>
          <w:b/>
          <w:bCs/>
          <w:color w:val="000000"/>
        </w:rPr>
      </w:pPr>
      <w:r w:rsidRPr="00FF386D">
        <w:rPr>
          <w:rFonts w:asciiTheme="majorHAnsi" w:hAnsiTheme="majorHAnsi" w:cstheme="majorHAnsi"/>
          <w:b/>
          <w:bCs/>
          <w:color w:val="000000"/>
        </w:rPr>
        <w:t>Саобраћај</w:t>
      </w:r>
    </w:p>
    <w:p w14:paraId="7FD32994" w14:textId="29CC68E3"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Производња домаћих биогорива (углавном напредних) </w:t>
      </w:r>
      <w:r w:rsidR="00666B92" w:rsidRPr="00FF386D">
        <w:rPr>
          <w:rFonts w:asciiTheme="majorHAnsi" w:hAnsiTheme="majorHAnsi" w:cstheme="majorHAnsi"/>
          <w:color w:val="000000"/>
        </w:rPr>
        <w:t>биће</w:t>
      </w:r>
      <w:r w:rsidRPr="00FF386D">
        <w:rPr>
          <w:rFonts w:asciiTheme="majorHAnsi" w:hAnsiTheme="majorHAnsi" w:cstheme="majorHAnsi"/>
          <w:color w:val="000000"/>
        </w:rPr>
        <w:t xml:space="preserve"> промовисана давањем субвенција и фискалних подстицаја. Увешће се обавезна квота за снабдеваче биодизела и биобензина како би се подстакла даља потрошња биогорива.</w:t>
      </w:r>
    </w:p>
    <w:p w14:paraId="62EF1224" w14:textId="38B10079" w:rsidR="00854ADA" w:rsidRPr="00FF386D" w:rsidRDefault="002E56D6" w:rsidP="00854ADA">
      <w:pPr>
        <w:spacing w:before="160"/>
        <w:jc w:val="both"/>
        <w:rPr>
          <w:rFonts w:asciiTheme="majorHAnsi" w:hAnsiTheme="majorHAnsi" w:cstheme="majorHAnsi"/>
          <w:color w:val="000000"/>
        </w:rPr>
      </w:pPr>
      <w:r w:rsidRPr="00FF386D">
        <w:rPr>
          <w:rFonts w:asciiTheme="majorHAnsi" w:hAnsiTheme="majorHAnsi" w:cstheme="majorHAnsi"/>
          <w:color w:val="000000"/>
        </w:rPr>
        <w:t>Поред тога</w:t>
      </w:r>
      <w:r w:rsidR="00854ADA" w:rsidRPr="00FF386D">
        <w:rPr>
          <w:rFonts w:asciiTheme="majorHAnsi" w:hAnsiTheme="majorHAnsi" w:cstheme="majorHAnsi"/>
          <w:color w:val="000000"/>
        </w:rPr>
        <w:t xml:space="preserve">, посебан </w:t>
      </w:r>
      <w:r w:rsidRPr="00FF386D">
        <w:rPr>
          <w:rFonts w:asciiTheme="majorHAnsi" w:hAnsiTheme="majorHAnsi" w:cstheme="majorHAnsi"/>
          <w:color w:val="000000"/>
        </w:rPr>
        <w:t>нагласак</w:t>
      </w:r>
      <w:r w:rsidR="00854ADA" w:rsidRPr="00FF386D">
        <w:rPr>
          <w:rFonts w:asciiTheme="majorHAnsi" w:hAnsiTheme="majorHAnsi" w:cstheme="majorHAnsi"/>
          <w:color w:val="000000"/>
        </w:rPr>
        <w:t xml:space="preserve"> ће бити стављен на п</w:t>
      </w:r>
      <w:r w:rsidR="005B42A9" w:rsidRPr="00FF386D">
        <w:rPr>
          <w:rFonts w:asciiTheme="majorHAnsi" w:hAnsiTheme="majorHAnsi" w:cstheme="majorHAnsi"/>
          <w:color w:val="000000"/>
        </w:rPr>
        <w:t>одстицање</w:t>
      </w:r>
      <w:r w:rsidR="00854ADA" w:rsidRPr="00FF386D">
        <w:rPr>
          <w:rFonts w:asciiTheme="majorHAnsi" w:hAnsiTheme="majorHAnsi" w:cstheme="majorHAnsi"/>
          <w:color w:val="000000"/>
        </w:rPr>
        <w:t xml:space="preserve"> електромобилности. Конкретно, биће донет потребан законски оквир</w:t>
      </w:r>
      <w:r w:rsidRPr="00FF386D">
        <w:rPr>
          <w:rFonts w:asciiTheme="majorHAnsi" w:hAnsiTheme="majorHAnsi" w:cstheme="majorHAnsi"/>
          <w:color w:val="000000"/>
        </w:rPr>
        <w:t xml:space="preserve"> и </w:t>
      </w:r>
      <w:r w:rsidR="00854ADA" w:rsidRPr="00FF386D">
        <w:rPr>
          <w:rFonts w:asciiTheme="majorHAnsi" w:hAnsiTheme="majorHAnsi" w:cstheme="majorHAnsi"/>
          <w:color w:val="000000"/>
        </w:rPr>
        <w:t xml:space="preserve">обезбеђено пројектовање и </w:t>
      </w:r>
      <w:r w:rsidRPr="00FF386D">
        <w:rPr>
          <w:rFonts w:asciiTheme="majorHAnsi" w:hAnsiTheme="majorHAnsi" w:cstheme="majorHAnsi"/>
          <w:color w:val="000000"/>
        </w:rPr>
        <w:t>инсталација</w:t>
      </w:r>
      <w:r w:rsidR="00854ADA" w:rsidRPr="00FF386D">
        <w:rPr>
          <w:rFonts w:asciiTheme="majorHAnsi" w:hAnsiTheme="majorHAnsi" w:cstheme="majorHAnsi"/>
          <w:color w:val="000000"/>
        </w:rPr>
        <w:t xml:space="preserve"> потребне инфраструктуре за пуњење електричних возила. Коначно, користиће се комбинација финансијских и фискалних подстицаја за д</w:t>
      </w:r>
      <w:r w:rsidR="005B42A9" w:rsidRPr="00FF386D">
        <w:rPr>
          <w:rFonts w:asciiTheme="majorHAnsi" w:hAnsiTheme="majorHAnsi" w:cstheme="majorHAnsi"/>
          <w:color w:val="000000"/>
        </w:rPr>
        <w:t>одатно</w:t>
      </w:r>
      <w:r w:rsidR="00854ADA" w:rsidRPr="00FF386D">
        <w:rPr>
          <w:rFonts w:asciiTheme="majorHAnsi" w:hAnsiTheme="majorHAnsi" w:cstheme="majorHAnsi"/>
          <w:color w:val="000000"/>
        </w:rPr>
        <w:t xml:space="preserve"> коришћење електричних возила, као допуна регулаторним и инфраструктурним мерама са фокусом на енергетски интензивне категорије, као што су таксији, лака теретна возила, итд. На крају али не и најмање важно, биометан и зелени </w:t>
      </w:r>
      <w:r w:rsidR="004B1FD9" w:rsidRPr="00FF386D">
        <w:rPr>
          <w:rFonts w:asciiTheme="majorHAnsi" w:hAnsiTheme="majorHAnsi" w:cstheme="majorHAnsi"/>
          <w:color w:val="000000"/>
        </w:rPr>
        <w:t>водоник</w:t>
      </w:r>
      <w:r w:rsidR="00854ADA" w:rsidRPr="00FF386D">
        <w:rPr>
          <w:rFonts w:asciiTheme="majorHAnsi" w:hAnsiTheme="majorHAnsi" w:cstheme="majorHAnsi"/>
          <w:color w:val="000000"/>
        </w:rPr>
        <w:t xml:space="preserve"> представљају алтернативне опције за додатно коришћење ОИЕ у саобраћају, углавном спровођењ</w:t>
      </w:r>
      <w:r w:rsidRPr="00FF386D">
        <w:rPr>
          <w:rFonts w:asciiTheme="majorHAnsi" w:hAnsiTheme="majorHAnsi" w:cstheme="majorHAnsi"/>
          <w:color w:val="000000"/>
        </w:rPr>
        <w:t>ем</w:t>
      </w:r>
      <w:r w:rsidR="00854ADA" w:rsidRPr="00FF386D">
        <w:rPr>
          <w:rFonts w:asciiTheme="majorHAnsi" w:hAnsiTheme="majorHAnsi" w:cstheme="majorHAnsi"/>
          <w:color w:val="000000"/>
        </w:rPr>
        <w:t xml:space="preserve"> демонстр</w:t>
      </w:r>
      <w:r w:rsidR="00732182" w:rsidRPr="00FF386D">
        <w:rPr>
          <w:rFonts w:asciiTheme="majorHAnsi" w:hAnsiTheme="majorHAnsi" w:cstheme="majorHAnsi"/>
          <w:color w:val="000000"/>
        </w:rPr>
        <w:t>а</w:t>
      </w:r>
      <w:r w:rsidR="00854ADA" w:rsidRPr="00FF386D">
        <w:rPr>
          <w:rFonts w:asciiTheme="majorHAnsi" w:hAnsiTheme="majorHAnsi" w:cstheme="majorHAnsi"/>
          <w:color w:val="000000"/>
        </w:rPr>
        <w:t>ционих пројеката.</w:t>
      </w:r>
    </w:p>
    <w:tbl>
      <w:tblPr>
        <w:tblW w:w="9458" w:type="dxa"/>
        <w:tblLook w:val="04A0" w:firstRow="1" w:lastRow="0" w:firstColumn="1" w:lastColumn="0" w:noHBand="0" w:noVBand="1"/>
      </w:tblPr>
      <w:tblGrid>
        <w:gridCol w:w="3331"/>
        <w:gridCol w:w="945"/>
        <w:gridCol w:w="946"/>
        <w:gridCol w:w="4236"/>
      </w:tblGrid>
      <w:tr w:rsidR="00854ADA" w:rsidRPr="00FF386D" w14:paraId="458920C4" w14:textId="77777777" w:rsidTr="0057310C">
        <w:trPr>
          <w:trHeight w:val="780"/>
        </w:trPr>
        <w:tc>
          <w:tcPr>
            <w:tcW w:w="3331"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468CFCCC"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45" w:type="dxa"/>
            <w:tcBorders>
              <w:top w:val="single" w:sz="8" w:space="0" w:color="auto"/>
              <w:left w:val="nil"/>
              <w:bottom w:val="single" w:sz="8" w:space="0" w:color="auto"/>
              <w:right w:val="single" w:sz="8" w:space="0" w:color="auto"/>
            </w:tcBorders>
            <w:shd w:val="clear" w:color="auto" w:fill="E7E6E6" w:themeFill="background2"/>
            <w:vAlign w:val="center"/>
            <w:hideMark/>
          </w:tcPr>
          <w:p w14:paraId="29CAE837" w14:textId="6029BBF7" w:rsidR="00854ADA" w:rsidRPr="000A2AFE" w:rsidRDefault="00854ADA" w:rsidP="00854ADA">
            <w:pPr>
              <w:spacing w:after="0" w:line="240" w:lineRule="auto"/>
              <w:jc w:val="both"/>
              <w:rPr>
                <w:rFonts w:ascii="Calibri Light" w:eastAsia="Times New Roman" w:hAnsi="Calibri Light" w:cs="Calibri Light"/>
                <w:b/>
                <w:bCs/>
                <w:color w:val="000000"/>
                <w:sz w:val="20"/>
                <w:szCs w:val="20"/>
                <w:lang w:val="sr-Latn-RS" w:eastAsia="en-GB"/>
              </w:rPr>
            </w:pPr>
            <w:r w:rsidRPr="000A2AFE">
              <w:rPr>
                <w:rFonts w:ascii="Calibri Light" w:eastAsia="Times New Roman" w:hAnsi="Calibri Light" w:cs="Calibri Light"/>
                <w:b/>
                <w:bCs/>
                <w:color w:val="000000"/>
                <w:sz w:val="20"/>
                <w:szCs w:val="20"/>
                <w:lang w:eastAsia="en-GB"/>
              </w:rPr>
              <w:t>МП_</w:t>
            </w:r>
            <w:r w:rsidR="00C926B5" w:rsidRPr="000A2AFE">
              <w:rPr>
                <w:rFonts w:ascii="Calibri Light" w:eastAsia="Times New Roman" w:hAnsi="Calibri Light" w:cs="Calibri Light"/>
                <w:b/>
                <w:bCs/>
                <w:color w:val="000000"/>
                <w:sz w:val="20"/>
                <w:szCs w:val="20"/>
                <w:lang w:eastAsia="en-GB"/>
              </w:rPr>
              <w:t>Д3</w:t>
            </w:r>
            <w:r w:rsidR="00C926B5">
              <w:rPr>
                <w:rFonts w:ascii="Calibri Light" w:eastAsia="Times New Roman" w:hAnsi="Calibri Light" w:cs="Calibri Light"/>
                <w:b/>
                <w:bCs/>
                <w:color w:val="000000"/>
                <w:sz w:val="20"/>
                <w:szCs w:val="20"/>
                <w:lang w:val="sr-Latn-RS" w:eastAsia="en-GB"/>
              </w:rPr>
              <w:t>2</w:t>
            </w:r>
          </w:p>
        </w:tc>
        <w:tc>
          <w:tcPr>
            <w:tcW w:w="946" w:type="dxa"/>
            <w:tcBorders>
              <w:top w:val="single" w:sz="8" w:space="0" w:color="auto"/>
              <w:left w:val="nil"/>
              <w:bottom w:val="single" w:sz="8" w:space="0" w:color="auto"/>
              <w:right w:val="single" w:sz="8" w:space="0" w:color="auto"/>
            </w:tcBorders>
            <w:shd w:val="clear" w:color="000000" w:fill="244062"/>
            <w:vAlign w:val="center"/>
            <w:hideMark/>
          </w:tcPr>
          <w:p w14:paraId="683B521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36" w:type="dxa"/>
            <w:tcBorders>
              <w:top w:val="single" w:sz="8" w:space="0" w:color="auto"/>
              <w:left w:val="nil"/>
              <w:bottom w:val="single" w:sz="8" w:space="0" w:color="auto"/>
              <w:right w:val="single" w:sz="8" w:space="0" w:color="auto"/>
            </w:tcBorders>
            <w:shd w:val="clear" w:color="auto" w:fill="E7E6E6" w:themeFill="background2"/>
            <w:vAlign w:val="center"/>
            <w:hideMark/>
          </w:tcPr>
          <w:p w14:paraId="46C9C4A1" w14:textId="691A6ACB"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 xml:space="preserve">Подстицање производње </w:t>
            </w:r>
            <w:r w:rsidR="00C926B5" w:rsidRPr="00C926B5">
              <w:rPr>
                <w:rFonts w:ascii="Calibri Light" w:eastAsia="Times New Roman" w:hAnsi="Calibri Light" w:cs="Calibri Light"/>
                <w:b/>
                <w:bCs/>
                <w:color w:val="000000"/>
                <w:sz w:val="20"/>
                <w:szCs w:val="20"/>
                <w:lang w:eastAsia="en-GB"/>
              </w:rPr>
              <w:t xml:space="preserve">напредних </w:t>
            </w:r>
            <w:r w:rsidRPr="000A2AFE">
              <w:rPr>
                <w:rFonts w:ascii="Calibri Light" w:eastAsia="Times New Roman" w:hAnsi="Calibri Light" w:cs="Calibri Light"/>
                <w:b/>
                <w:bCs/>
                <w:color w:val="000000"/>
                <w:sz w:val="20"/>
                <w:szCs w:val="20"/>
                <w:lang w:eastAsia="en-GB"/>
              </w:rPr>
              <w:t xml:space="preserve">биогорива </w:t>
            </w:r>
            <w:r w:rsidR="005B42A9" w:rsidRPr="000A2AFE">
              <w:rPr>
                <w:rFonts w:ascii="Calibri Light" w:eastAsia="Times New Roman" w:hAnsi="Calibri Light" w:cs="Calibri Light"/>
                <w:b/>
                <w:bCs/>
                <w:color w:val="000000"/>
                <w:sz w:val="20"/>
                <w:szCs w:val="20"/>
                <w:lang w:eastAsia="en-GB"/>
              </w:rPr>
              <w:t>кој</w:t>
            </w:r>
            <w:r w:rsidR="0003589D" w:rsidRPr="000A2AFE">
              <w:rPr>
                <w:rFonts w:ascii="Calibri Light" w:eastAsia="Times New Roman" w:hAnsi="Calibri Light" w:cs="Calibri Light"/>
                <w:b/>
                <w:bCs/>
                <w:color w:val="000000"/>
                <w:sz w:val="20"/>
                <w:szCs w:val="20"/>
                <w:lang w:eastAsia="en-GB"/>
              </w:rPr>
              <w:t>а</w:t>
            </w:r>
            <w:r w:rsidR="005B42A9" w:rsidRPr="000A2AFE">
              <w:rPr>
                <w:rFonts w:ascii="Calibri Light" w:eastAsia="Times New Roman" w:hAnsi="Calibri Light" w:cs="Calibri Light"/>
                <w:b/>
                <w:bCs/>
                <w:color w:val="000000"/>
                <w:sz w:val="20"/>
                <w:szCs w:val="20"/>
                <w:lang w:eastAsia="en-GB"/>
              </w:rPr>
              <w:t xml:space="preserve"> ће се користити</w:t>
            </w:r>
            <w:r w:rsidRPr="000A2AFE">
              <w:rPr>
                <w:rFonts w:ascii="Calibri Light" w:eastAsia="Times New Roman" w:hAnsi="Calibri Light" w:cs="Calibri Light"/>
                <w:b/>
                <w:bCs/>
                <w:color w:val="000000"/>
                <w:sz w:val="20"/>
                <w:szCs w:val="20"/>
                <w:lang w:eastAsia="en-GB"/>
              </w:rPr>
              <w:t xml:space="preserve"> у сектору саобраћаја</w:t>
            </w:r>
          </w:p>
        </w:tc>
      </w:tr>
      <w:tr w:rsidR="00854ADA" w:rsidRPr="00FF386D" w14:paraId="28540E8B" w14:textId="77777777" w:rsidTr="0057310C">
        <w:trPr>
          <w:trHeight w:val="179"/>
        </w:trPr>
        <w:tc>
          <w:tcPr>
            <w:tcW w:w="3331" w:type="dxa"/>
            <w:tcBorders>
              <w:top w:val="nil"/>
              <w:left w:val="single" w:sz="8" w:space="0" w:color="auto"/>
              <w:bottom w:val="single" w:sz="8" w:space="0" w:color="auto"/>
              <w:right w:val="nil"/>
            </w:tcBorders>
            <w:shd w:val="clear" w:color="000000" w:fill="244062"/>
            <w:vAlign w:val="center"/>
            <w:hideMark/>
          </w:tcPr>
          <w:p w14:paraId="38BAD59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27" w:type="dxa"/>
            <w:gridSpan w:val="3"/>
            <w:tcBorders>
              <w:top w:val="single" w:sz="8" w:space="0" w:color="auto"/>
              <w:left w:val="nil"/>
              <w:bottom w:val="single" w:sz="8" w:space="0" w:color="auto"/>
              <w:right w:val="single" w:sz="8" w:space="0" w:color="000000"/>
            </w:tcBorders>
            <w:shd w:val="clear" w:color="auto" w:fill="auto"/>
            <w:vAlign w:val="center"/>
            <w:hideMark/>
          </w:tcPr>
          <w:p w14:paraId="72A1129D"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Повећање удела ОИЕ у саобраћају</w:t>
            </w:r>
          </w:p>
        </w:tc>
      </w:tr>
      <w:tr w:rsidR="00854ADA" w:rsidRPr="00FF386D" w14:paraId="561B5C62" w14:textId="77777777" w:rsidTr="0057310C">
        <w:trPr>
          <w:trHeight w:val="315"/>
        </w:trPr>
        <w:tc>
          <w:tcPr>
            <w:tcW w:w="3331" w:type="dxa"/>
            <w:tcBorders>
              <w:top w:val="nil"/>
              <w:left w:val="single" w:sz="8" w:space="0" w:color="auto"/>
              <w:bottom w:val="single" w:sz="8" w:space="0" w:color="auto"/>
              <w:right w:val="single" w:sz="8" w:space="0" w:color="auto"/>
            </w:tcBorders>
            <w:shd w:val="clear" w:color="000000" w:fill="244062"/>
            <w:vAlign w:val="center"/>
            <w:hideMark/>
          </w:tcPr>
          <w:p w14:paraId="3BBEA79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27" w:type="dxa"/>
            <w:gridSpan w:val="3"/>
            <w:tcBorders>
              <w:top w:val="single" w:sz="8" w:space="0" w:color="auto"/>
              <w:left w:val="nil"/>
              <w:bottom w:val="single" w:sz="8" w:space="0" w:color="auto"/>
              <w:right w:val="single" w:sz="8" w:space="0" w:color="000000"/>
            </w:tcBorders>
            <w:shd w:val="clear" w:color="auto" w:fill="auto"/>
            <w:vAlign w:val="center"/>
            <w:hideMark/>
          </w:tcPr>
          <w:p w14:paraId="1C2F1A94" w14:textId="6EAC9C9B" w:rsidR="00854ADA" w:rsidRPr="00565B02" w:rsidRDefault="002E56D6" w:rsidP="00854ADA">
            <w:pPr>
              <w:spacing w:after="0"/>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49 </w:t>
            </w:r>
            <w:r w:rsidR="00854ADA" w:rsidRPr="00FF386D">
              <w:rPr>
                <w:rFonts w:ascii="Calibri Light" w:eastAsia="Times New Roman" w:hAnsi="Calibri Light" w:cs="Calibri Light"/>
                <w:color w:val="000000"/>
                <w:sz w:val="20"/>
                <w:szCs w:val="20"/>
                <w:lang w:eastAsia="en-GB"/>
              </w:rPr>
              <w:t>ktoe биогорива</w:t>
            </w:r>
            <w:r w:rsidR="00C926B5">
              <w:rPr>
                <w:rFonts w:ascii="Calibri Light" w:eastAsia="Times New Roman" w:hAnsi="Calibri Light" w:cs="Calibri Light"/>
                <w:color w:val="000000"/>
                <w:sz w:val="20"/>
                <w:szCs w:val="20"/>
                <w:lang w:val="sr-Latn-RS" w:eastAsia="en-GB"/>
              </w:rPr>
              <w:t xml:space="preserve"> </w:t>
            </w:r>
            <w:r w:rsidR="00C926B5" w:rsidRPr="00C926B5">
              <w:rPr>
                <w:rFonts w:ascii="Calibri Light" w:eastAsia="Times New Roman" w:hAnsi="Calibri Light" w:cs="Calibri Light"/>
                <w:color w:val="000000"/>
                <w:sz w:val="20"/>
                <w:szCs w:val="20"/>
                <w:lang w:val="sr-Latn-RS" w:eastAsia="en-GB"/>
              </w:rPr>
              <w:t>без ефекта мултипликатора (58 милион литара биогорива)</w:t>
            </w:r>
            <w:r w:rsidR="005E4DBE">
              <w:rPr>
                <w:rFonts w:ascii="Calibri Light" w:eastAsia="Times New Roman" w:hAnsi="Calibri Light" w:cs="Calibri Light"/>
                <w:color w:val="000000"/>
                <w:sz w:val="20"/>
                <w:szCs w:val="20"/>
                <w:lang w:eastAsia="en-GB"/>
              </w:rPr>
              <w:t xml:space="preserve">. Предвиђена биогорива обухватају како биодизел из увоза и биоетанол, тако и </w:t>
            </w:r>
            <w:r w:rsidR="00154DF3">
              <w:rPr>
                <w:rFonts w:ascii="Calibri Light" w:eastAsia="Times New Roman" w:hAnsi="Calibri Light" w:cs="Calibri Light"/>
                <w:color w:val="000000"/>
                <w:sz w:val="20"/>
                <w:szCs w:val="20"/>
                <w:lang w:eastAsia="en-GB"/>
              </w:rPr>
              <w:t>биодизел и биоетанол из домаће производње.</w:t>
            </w:r>
          </w:p>
        </w:tc>
      </w:tr>
      <w:tr w:rsidR="00854ADA" w:rsidRPr="00FF386D" w14:paraId="7436849F" w14:textId="77777777" w:rsidTr="0057310C">
        <w:trPr>
          <w:trHeight w:val="571"/>
        </w:trPr>
        <w:tc>
          <w:tcPr>
            <w:tcW w:w="3331" w:type="dxa"/>
            <w:tcBorders>
              <w:top w:val="nil"/>
              <w:left w:val="single" w:sz="8" w:space="0" w:color="auto"/>
              <w:bottom w:val="single" w:sz="8" w:space="0" w:color="auto"/>
              <w:right w:val="single" w:sz="8" w:space="0" w:color="auto"/>
            </w:tcBorders>
            <w:shd w:val="clear" w:color="000000" w:fill="244062"/>
            <w:vAlign w:val="center"/>
            <w:hideMark/>
          </w:tcPr>
          <w:p w14:paraId="72B3F36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Опис:</w:t>
            </w:r>
          </w:p>
        </w:tc>
        <w:tc>
          <w:tcPr>
            <w:tcW w:w="6127" w:type="dxa"/>
            <w:gridSpan w:val="3"/>
            <w:tcBorders>
              <w:top w:val="single" w:sz="8" w:space="0" w:color="auto"/>
              <w:left w:val="nil"/>
              <w:bottom w:val="single" w:sz="8" w:space="0" w:color="auto"/>
              <w:right w:val="single" w:sz="8" w:space="0" w:color="000000"/>
            </w:tcBorders>
            <w:shd w:val="clear" w:color="auto" w:fill="auto"/>
            <w:vAlign w:val="center"/>
            <w:hideMark/>
          </w:tcPr>
          <w:p w14:paraId="7C8E2536" w14:textId="3430EAF9"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МП_</w:t>
            </w:r>
            <w:r w:rsidR="00C926B5" w:rsidRPr="000A2AFE">
              <w:rPr>
                <w:rFonts w:ascii="Calibri Light" w:eastAsia="Times New Roman" w:hAnsi="Calibri Light" w:cs="Calibri Light"/>
                <w:color w:val="000000"/>
                <w:sz w:val="20"/>
                <w:szCs w:val="20"/>
                <w:lang w:eastAsia="en-GB"/>
              </w:rPr>
              <w:t>Д3</w:t>
            </w:r>
            <w:r w:rsidR="00C926B5">
              <w:rPr>
                <w:rFonts w:ascii="Calibri Light" w:eastAsia="Times New Roman" w:hAnsi="Calibri Light" w:cs="Calibri Light"/>
                <w:color w:val="000000"/>
                <w:sz w:val="20"/>
                <w:szCs w:val="20"/>
                <w:lang w:val="sr-Latn-RS" w:eastAsia="en-GB"/>
              </w:rPr>
              <w:t>2</w:t>
            </w:r>
            <w:r w:rsidR="00C926B5"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 xml:space="preserve">ће подстицати производњу домаћих биогорива </w:t>
            </w:r>
            <w:r w:rsidR="00C926B5" w:rsidRPr="00C926B5">
              <w:rPr>
                <w:rFonts w:ascii="Calibri Light" w:eastAsia="Times New Roman" w:hAnsi="Calibri Light" w:cs="Calibri Light"/>
                <w:color w:val="000000"/>
                <w:sz w:val="20"/>
                <w:szCs w:val="20"/>
                <w:lang w:eastAsia="en-GB"/>
              </w:rPr>
              <w:t>у складу са захтевима Директиве 2018/2001/</w:t>
            </w:r>
            <w:r w:rsidR="00C926B5">
              <w:rPr>
                <w:rFonts w:ascii="Calibri Light" w:eastAsia="Times New Roman" w:hAnsi="Calibri Light" w:cs="Calibri Light"/>
                <w:color w:val="000000"/>
                <w:sz w:val="20"/>
                <w:szCs w:val="20"/>
                <w:lang w:eastAsia="en-GB"/>
              </w:rPr>
              <w:t>ЕУ</w:t>
            </w:r>
            <w:r w:rsidRPr="000A2AFE">
              <w:rPr>
                <w:rFonts w:ascii="Calibri Light" w:eastAsia="Times New Roman" w:hAnsi="Calibri Light" w:cs="Calibri Light"/>
                <w:color w:val="000000"/>
                <w:sz w:val="20"/>
                <w:szCs w:val="20"/>
                <w:lang w:eastAsia="en-GB"/>
              </w:rPr>
              <w:t xml:space="preserve"> пружање</w:t>
            </w:r>
            <w:r w:rsidR="0036316E" w:rsidRPr="000A2AFE">
              <w:rPr>
                <w:rFonts w:ascii="Calibri Light" w:eastAsia="Times New Roman" w:hAnsi="Calibri Light" w:cs="Calibri Light"/>
                <w:color w:val="000000"/>
                <w:sz w:val="20"/>
                <w:szCs w:val="20"/>
                <w:lang w:eastAsia="en-GB"/>
              </w:rPr>
              <w:t>м</w:t>
            </w:r>
            <w:r w:rsidRPr="000A2AFE">
              <w:rPr>
                <w:rFonts w:ascii="Calibri Light" w:eastAsia="Times New Roman" w:hAnsi="Calibri Light" w:cs="Calibri Light"/>
                <w:color w:val="000000"/>
                <w:sz w:val="20"/>
                <w:szCs w:val="20"/>
                <w:lang w:eastAsia="en-GB"/>
              </w:rPr>
              <w:t xml:space="preserve"> субвенција и фискалних подстицаја.</w:t>
            </w:r>
          </w:p>
        </w:tc>
      </w:tr>
      <w:tr w:rsidR="00854ADA" w:rsidRPr="00FF386D" w14:paraId="08CFB61D" w14:textId="77777777" w:rsidTr="0057310C">
        <w:trPr>
          <w:trHeight w:val="315"/>
        </w:trPr>
        <w:tc>
          <w:tcPr>
            <w:tcW w:w="3331" w:type="dxa"/>
            <w:tcBorders>
              <w:top w:val="nil"/>
              <w:left w:val="single" w:sz="8" w:space="0" w:color="auto"/>
              <w:bottom w:val="single" w:sz="8" w:space="0" w:color="auto"/>
              <w:right w:val="single" w:sz="8" w:space="0" w:color="auto"/>
            </w:tcBorders>
            <w:shd w:val="clear" w:color="000000" w:fill="244062"/>
            <w:vAlign w:val="center"/>
            <w:hideMark/>
          </w:tcPr>
          <w:p w14:paraId="6A8AB94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27" w:type="dxa"/>
            <w:gridSpan w:val="3"/>
            <w:tcBorders>
              <w:top w:val="single" w:sz="8" w:space="0" w:color="auto"/>
              <w:left w:val="nil"/>
              <w:bottom w:val="single" w:sz="8" w:space="0" w:color="auto"/>
              <w:right w:val="single" w:sz="8" w:space="0" w:color="000000"/>
            </w:tcBorders>
            <w:shd w:val="clear" w:color="auto" w:fill="auto"/>
            <w:vAlign w:val="center"/>
            <w:hideMark/>
          </w:tcPr>
          <w:p w14:paraId="66F2B9D3" w14:textId="3577A12B"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36316E"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-2030.</w:t>
            </w:r>
          </w:p>
        </w:tc>
      </w:tr>
      <w:tr w:rsidR="00854ADA" w:rsidRPr="00FF386D" w14:paraId="23E81662" w14:textId="77777777" w:rsidTr="0057310C">
        <w:trPr>
          <w:trHeight w:val="315"/>
        </w:trPr>
        <w:tc>
          <w:tcPr>
            <w:tcW w:w="3331" w:type="dxa"/>
            <w:tcBorders>
              <w:top w:val="nil"/>
              <w:left w:val="single" w:sz="8" w:space="0" w:color="auto"/>
              <w:bottom w:val="single" w:sz="8" w:space="0" w:color="auto"/>
              <w:right w:val="single" w:sz="8" w:space="0" w:color="auto"/>
            </w:tcBorders>
            <w:shd w:val="clear" w:color="000000" w:fill="244062"/>
            <w:vAlign w:val="center"/>
            <w:hideMark/>
          </w:tcPr>
          <w:p w14:paraId="238A1D9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27" w:type="dxa"/>
            <w:gridSpan w:val="3"/>
            <w:tcBorders>
              <w:top w:val="single" w:sz="8" w:space="0" w:color="auto"/>
              <w:left w:val="nil"/>
              <w:bottom w:val="single" w:sz="8" w:space="0" w:color="auto"/>
              <w:right w:val="single" w:sz="8" w:space="0" w:color="000000"/>
            </w:tcBorders>
            <w:shd w:val="clear" w:color="auto" w:fill="auto"/>
            <w:vAlign w:val="center"/>
            <w:hideMark/>
          </w:tcPr>
          <w:p w14:paraId="049D5C3C"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Инвестиције</w:t>
            </w:r>
          </w:p>
        </w:tc>
      </w:tr>
      <w:tr w:rsidR="00854ADA" w:rsidRPr="00FF386D" w14:paraId="19D9AB51" w14:textId="77777777" w:rsidTr="0057310C">
        <w:trPr>
          <w:trHeight w:val="315"/>
        </w:trPr>
        <w:tc>
          <w:tcPr>
            <w:tcW w:w="3331" w:type="dxa"/>
            <w:tcBorders>
              <w:top w:val="nil"/>
              <w:left w:val="single" w:sz="8" w:space="0" w:color="auto"/>
              <w:bottom w:val="single" w:sz="8" w:space="0" w:color="auto"/>
              <w:right w:val="single" w:sz="8" w:space="0" w:color="auto"/>
            </w:tcBorders>
            <w:shd w:val="clear" w:color="000000" w:fill="244062"/>
            <w:vAlign w:val="center"/>
            <w:hideMark/>
          </w:tcPr>
          <w:p w14:paraId="19AF640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27" w:type="dxa"/>
            <w:gridSpan w:val="3"/>
            <w:tcBorders>
              <w:top w:val="single" w:sz="8" w:space="0" w:color="auto"/>
              <w:left w:val="nil"/>
              <w:bottom w:val="single" w:sz="8" w:space="0" w:color="auto"/>
              <w:right w:val="single" w:sz="8" w:space="0" w:color="000000"/>
            </w:tcBorders>
            <w:shd w:val="clear" w:color="auto" w:fill="auto"/>
            <w:vAlign w:val="center"/>
            <w:hideMark/>
          </w:tcPr>
          <w:p w14:paraId="789C28E4"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Саобраћај</w:t>
            </w:r>
          </w:p>
        </w:tc>
      </w:tr>
      <w:tr w:rsidR="00854ADA" w:rsidRPr="00FF386D" w14:paraId="072FB5E0" w14:textId="77777777" w:rsidTr="0057310C">
        <w:trPr>
          <w:trHeight w:val="315"/>
        </w:trPr>
        <w:tc>
          <w:tcPr>
            <w:tcW w:w="3331" w:type="dxa"/>
            <w:tcBorders>
              <w:top w:val="nil"/>
              <w:left w:val="single" w:sz="8" w:space="0" w:color="auto"/>
              <w:bottom w:val="single" w:sz="8" w:space="0" w:color="auto"/>
              <w:right w:val="single" w:sz="8" w:space="0" w:color="auto"/>
            </w:tcBorders>
            <w:shd w:val="clear" w:color="000000" w:fill="244062"/>
            <w:vAlign w:val="center"/>
            <w:hideMark/>
          </w:tcPr>
          <w:p w14:paraId="4E8DF8E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27" w:type="dxa"/>
            <w:gridSpan w:val="3"/>
            <w:tcBorders>
              <w:top w:val="single" w:sz="8" w:space="0" w:color="auto"/>
              <w:left w:val="nil"/>
              <w:bottom w:val="single" w:sz="8" w:space="0" w:color="auto"/>
              <w:right w:val="single" w:sz="8" w:space="0" w:color="000000"/>
            </w:tcBorders>
            <w:shd w:val="clear" w:color="auto" w:fill="auto"/>
            <w:vAlign w:val="center"/>
            <w:hideMark/>
          </w:tcPr>
          <w:p w14:paraId="37926B6B"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715AB41D" w14:textId="77777777" w:rsidTr="0057310C">
        <w:trPr>
          <w:trHeight w:val="315"/>
        </w:trPr>
        <w:tc>
          <w:tcPr>
            <w:tcW w:w="3331" w:type="dxa"/>
            <w:tcBorders>
              <w:top w:val="nil"/>
              <w:left w:val="single" w:sz="8" w:space="0" w:color="auto"/>
              <w:bottom w:val="single" w:sz="8" w:space="0" w:color="auto"/>
              <w:right w:val="nil"/>
            </w:tcBorders>
            <w:shd w:val="clear" w:color="000000" w:fill="244062"/>
            <w:vAlign w:val="center"/>
            <w:hideMark/>
          </w:tcPr>
          <w:p w14:paraId="4C61093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27" w:type="dxa"/>
            <w:gridSpan w:val="3"/>
            <w:tcBorders>
              <w:top w:val="single" w:sz="8" w:space="0" w:color="auto"/>
              <w:left w:val="nil"/>
              <w:bottom w:val="single" w:sz="8" w:space="0" w:color="auto"/>
              <w:right w:val="single" w:sz="8" w:space="0" w:color="000000"/>
            </w:tcBorders>
            <w:shd w:val="clear" w:color="auto" w:fill="auto"/>
            <w:vAlign w:val="center"/>
            <w:hideMark/>
          </w:tcPr>
          <w:p w14:paraId="41ABA80C" w14:textId="53B30F5F" w:rsidR="00854ADA" w:rsidRPr="000A2AFE" w:rsidRDefault="00D77559"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61A31A7C" w14:textId="77777777" w:rsidTr="0057310C">
        <w:trPr>
          <w:trHeight w:val="315"/>
        </w:trPr>
        <w:tc>
          <w:tcPr>
            <w:tcW w:w="3331" w:type="dxa"/>
            <w:tcBorders>
              <w:top w:val="nil"/>
              <w:left w:val="single" w:sz="8" w:space="0" w:color="auto"/>
              <w:bottom w:val="single" w:sz="8" w:space="0" w:color="auto"/>
              <w:right w:val="nil"/>
            </w:tcBorders>
            <w:shd w:val="clear" w:color="000000" w:fill="244062"/>
            <w:vAlign w:val="center"/>
            <w:hideMark/>
          </w:tcPr>
          <w:p w14:paraId="3FBCC1F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27" w:type="dxa"/>
            <w:gridSpan w:val="3"/>
            <w:tcBorders>
              <w:top w:val="single" w:sz="8" w:space="0" w:color="auto"/>
              <w:left w:val="nil"/>
              <w:bottom w:val="single" w:sz="8" w:space="0" w:color="auto"/>
              <w:right w:val="single" w:sz="8" w:space="0" w:color="000000"/>
            </w:tcBorders>
            <w:shd w:val="clear" w:color="auto" w:fill="auto"/>
            <w:vAlign w:val="center"/>
            <w:hideMark/>
          </w:tcPr>
          <w:p w14:paraId="476AA75B" w14:textId="77777777" w:rsidR="00854ADA" w:rsidRPr="000A2AFE" w:rsidRDefault="00854ADA"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Произведена биогорива</w:t>
            </w:r>
          </w:p>
        </w:tc>
      </w:tr>
      <w:tr w:rsidR="00854ADA" w:rsidRPr="00FF386D" w14:paraId="11BE9ECD" w14:textId="77777777" w:rsidTr="0057310C">
        <w:trPr>
          <w:trHeight w:val="381"/>
        </w:trPr>
        <w:tc>
          <w:tcPr>
            <w:tcW w:w="3331" w:type="dxa"/>
            <w:tcBorders>
              <w:top w:val="nil"/>
              <w:left w:val="single" w:sz="8" w:space="0" w:color="auto"/>
              <w:bottom w:val="single" w:sz="8" w:space="0" w:color="auto"/>
              <w:right w:val="single" w:sz="8" w:space="0" w:color="auto"/>
            </w:tcBorders>
            <w:shd w:val="clear" w:color="000000" w:fill="244062"/>
            <w:vAlign w:val="center"/>
            <w:hideMark/>
          </w:tcPr>
          <w:p w14:paraId="493BEB6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27" w:type="dxa"/>
            <w:gridSpan w:val="3"/>
            <w:tcBorders>
              <w:top w:val="single" w:sz="8" w:space="0" w:color="auto"/>
              <w:left w:val="nil"/>
              <w:bottom w:val="single" w:sz="8" w:space="0" w:color="auto"/>
              <w:right w:val="single" w:sz="8" w:space="0" w:color="000000"/>
            </w:tcBorders>
            <w:shd w:val="clear" w:color="auto" w:fill="auto"/>
            <w:vAlign w:val="center"/>
          </w:tcPr>
          <w:p w14:paraId="1AC1A409" w14:textId="16417BCD" w:rsidR="00854ADA" w:rsidRPr="000A2AFE" w:rsidRDefault="00D77559"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854ADA" w:rsidRPr="00FF386D" w14:paraId="3828720F" w14:textId="77777777" w:rsidTr="0057310C">
        <w:trPr>
          <w:trHeight w:val="450"/>
        </w:trPr>
        <w:tc>
          <w:tcPr>
            <w:tcW w:w="3331"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58DED46B" w14:textId="354D2616"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27"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778804AE"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2018/2001/ЕУ</w:t>
            </w:r>
          </w:p>
        </w:tc>
      </w:tr>
      <w:tr w:rsidR="00854ADA" w:rsidRPr="00FF386D" w14:paraId="5DB83AAA" w14:textId="77777777" w:rsidTr="0057310C">
        <w:trPr>
          <w:trHeight w:val="450"/>
        </w:trPr>
        <w:tc>
          <w:tcPr>
            <w:tcW w:w="3331" w:type="dxa"/>
            <w:vMerge/>
            <w:tcBorders>
              <w:top w:val="nil"/>
              <w:left w:val="single" w:sz="8" w:space="0" w:color="auto"/>
              <w:bottom w:val="single" w:sz="8" w:space="0" w:color="000000"/>
              <w:right w:val="single" w:sz="8" w:space="0" w:color="auto"/>
            </w:tcBorders>
            <w:vAlign w:val="center"/>
            <w:hideMark/>
          </w:tcPr>
          <w:p w14:paraId="02AC843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7" w:type="dxa"/>
            <w:gridSpan w:val="3"/>
            <w:vMerge/>
            <w:tcBorders>
              <w:top w:val="single" w:sz="8" w:space="0" w:color="auto"/>
              <w:left w:val="single" w:sz="8" w:space="0" w:color="auto"/>
              <w:bottom w:val="single" w:sz="8" w:space="0" w:color="000000"/>
              <w:right w:val="single" w:sz="8" w:space="0" w:color="000000"/>
            </w:tcBorders>
            <w:vAlign w:val="center"/>
            <w:hideMark/>
          </w:tcPr>
          <w:p w14:paraId="2F57FE01"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3103F7F9" w14:textId="77777777" w:rsidTr="0057310C">
        <w:trPr>
          <w:trHeight w:val="450"/>
        </w:trPr>
        <w:tc>
          <w:tcPr>
            <w:tcW w:w="3331" w:type="dxa"/>
            <w:vMerge/>
            <w:tcBorders>
              <w:top w:val="nil"/>
              <w:left w:val="single" w:sz="8" w:space="0" w:color="auto"/>
              <w:bottom w:val="single" w:sz="8" w:space="0" w:color="000000"/>
              <w:right w:val="single" w:sz="8" w:space="0" w:color="auto"/>
            </w:tcBorders>
            <w:vAlign w:val="center"/>
            <w:hideMark/>
          </w:tcPr>
          <w:p w14:paraId="7FAF757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7" w:type="dxa"/>
            <w:gridSpan w:val="3"/>
            <w:vMerge/>
            <w:tcBorders>
              <w:top w:val="single" w:sz="8" w:space="0" w:color="auto"/>
              <w:left w:val="single" w:sz="8" w:space="0" w:color="auto"/>
              <w:bottom w:val="single" w:sz="8" w:space="0" w:color="000000"/>
              <w:right w:val="single" w:sz="8" w:space="0" w:color="000000"/>
            </w:tcBorders>
            <w:vAlign w:val="center"/>
            <w:hideMark/>
          </w:tcPr>
          <w:p w14:paraId="093AD4D7"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439F6839" w14:textId="77777777" w:rsidTr="0057310C">
        <w:trPr>
          <w:trHeight w:val="287"/>
        </w:trPr>
        <w:tc>
          <w:tcPr>
            <w:tcW w:w="3331" w:type="dxa"/>
            <w:tcBorders>
              <w:top w:val="nil"/>
              <w:left w:val="single" w:sz="8" w:space="0" w:color="auto"/>
              <w:bottom w:val="single" w:sz="8" w:space="0" w:color="auto"/>
              <w:right w:val="single" w:sz="8" w:space="0" w:color="auto"/>
            </w:tcBorders>
            <w:shd w:val="clear" w:color="000000" w:fill="244062"/>
            <w:vAlign w:val="center"/>
            <w:hideMark/>
          </w:tcPr>
          <w:p w14:paraId="004CEA5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27" w:type="dxa"/>
            <w:gridSpan w:val="3"/>
            <w:tcBorders>
              <w:top w:val="single" w:sz="8" w:space="0" w:color="auto"/>
              <w:left w:val="nil"/>
              <w:bottom w:val="single" w:sz="8" w:space="0" w:color="auto"/>
              <w:right w:val="single" w:sz="8" w:space="0" w:color="000000"/>
            </w:tcBorders>
            <w:shd w:val="clear" w:color="auto" w:fill="auto"/>
            <w:vAlign w:val="center"/>
            <w:hideMark/>
          </w:tcPr>
          <w:p w14:paraId="21C5FD9E"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коришћењу обновљивих извора енергије</w:t>
            </w:r>
          </w:p>
        </w:tc>
      </w:tr>
      <w:tr w:rsidR="00854ADA" w:rsidRPr="00FF386D" w14:paraId="6A2AFA1A" w14:textId="77777777" w:rsidTr="0057310C">
        <w:trPr>
          <w:trHeight w:val="315"/>
        </w:trPr>
        <w:tc>
          <w:tcPr>
            <w:tcW w:w="3331" w:type="dxa"/>
            <w:tcBorders>
              <w:top w:val="nil"/>
              <w:left w:val="single" w:sz="8" w:space="0" w:color="auto"/>
              <w:bottom w:val="single" w:sz="8" w:space="0" w:color="auto"/>
              <w:right w:val="single" w:sz="8" w:space="0" w:color="auto"/>
            </w:tcBorders>
            <w:shd w:val="clear" w:color="000000" w:fill="244062"/>
            <w:vAlign w:val="center"/>
            <w:hideMark/>
          </w:tcPr>
          <w:p w14:paraId="556E220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27" w:type="dxa"/>
            <w:gridSpan w:val="3"/>
            <w:tcBorders>
              <w:top w:val="single" w:sz="8" w:space="0" w:color="auto"/>
              <w:left w:val="nil"/>
              <w:bottom w:val="single" w:sz="8" w:space="0" w:color="auto"/>
              <w:right w:val="single" w:sz="8" w:space="0" w:color="000000"/>
            </w:tcBorders>
            <w:shd w:val="clear" w:color="auto" w:fill="auto"/>
            <w:vAlign w:val="center"/>
            <w:hideMark/>
          </w:tcPr>
          <w:p w14:paraId="7D1D5AA2" w14:textId="35362394" w:rsidR="00854ADA" w:rsidRPr="00FF386D" w:rsidRDefault="00154DF3" w:rsidP="00854ADA">
            <w:pPr>
              <w:spacing w:after="0" w:line="240" w:lineRule="auto"/>
              <w:rPr>
                <w:rFonts w:ascii="Calibri" w:eastAsia="Times New Roman" w:hAnsi="Calibri" w:cs="Calibri"/>
                <w:color w:val="000000"/>
                <w:lang w:eastAsia="en-GB"/>
              </w:rPr>
            </w:pPr>
            <w:r>
              <w:rPr>
                <w:rFonts w:ascii="Calibri Light" w:eastAsia="Times New Roman" w:hAnsi="Calibri Light" w:cs="Calibri Light"/>
                <w:color w:val="000000"/>
                <w:sz w:val="20"/>
                <w:szCs w:val="20"/>
                <w:lang w:eastAsia="en-GB"/>
              </w:rPr>
              <w:t>10</w:t>
            </w:r>
            <w:r w:rsidR="0036316E" w:rsidRPr="00FF386D">
              <w:rPr>
                <w:rFonts w:ascii="Calibri Light" w:eastAsia="Times New Roman" w:hAnsi="Calibri Light" w:cs="Calibri Light"/>
                <w:color w:val="000000"/>
                <w:sz w:val="20"/>
                <w:szCs w:val="20"/>
                <w:lang w:eastAsia="en-GB"/>
              </w:rPr>
              <w:t xml:space="preserve">0 </w:t>
            </w:r>
            <w:r w:rsidR="00854ADA" w:rsidRPr="00FF386D">
              <w:rPr>
                <w:rFonts w:ascii="Calibri Light" w:eastAsia="Times New Roman" w:hAnsi="Calibri Light" w:cs="Calibri Light"/>
                <w:color w:val="000000"/>
                <w:sz w:val="20"/>
                <w:szCs w:val="20"/>
                <w:lang w:eastAsia="en-GB"/>
              </w:rPr>
              <w:t>милион</w:t>
            </w:r>
            <w:r w:rsidR="00201464" w:rsidRPr="00FF386D">
              <w:rPr>
                <w:rFonts w:ascii="Calibri Light" w:eastAsia="Times New Roman" w:hAnsi="Calibri Light" w:cs="Calibri Light"/>
                <w:color w:val="000000"/>
                <w:sz w:val="20"/>
                <w:szCs w:val="20"/>
                <w:lang w:eastAsia="en-GB"/>
              </w:rPr>
              <w:t>а</w:t>
            </w:r>
            <w:r w:rsidR="00854ADA" w:rsidRPr="00FF386D">
              <w:rPr>
                <w:rFonts w:ascii="Calibri Light" w:eastAsia="Times New Roman" w:hAnsi="Calibri Light" w:cs="Calibri Light"/>
                <w:color w:val="000000"/>
                <w:sz w:val="20"/>
                <w:szCs w:val="20"/>
                <w:lang w:eastAsia="en-GB"/>
              </w:rPr>
              <w:t xml:space="preserve"> евра</w:t>
            </w:r>
          </w:p>
        </w:tc>
      </w:tr>
      <w:tr w:rsidR="00854ADA" w:rsidRPr="00FF386D" w14:paraId="0693D59B" w14:textId="77777777" w:rsidTr="0057310C">
        <w:trPr>
          <w:trHeight w:val="315"/>
        </w:trPr>
        <w:tc>
          <w:tcPr>
            <w:tcW w:w="3331" w:type="dxa"/>
            <w:tcBorders>
              <w:top w:val="nil"/>
              <w:left w:val="single" w:sz="8" w:space="0" w:color="auto"/>
              <w:bottom w:val="single" w:sz="8" w:space="0" w:color="auto"/>
              <w:right w:val="single" w:sz="8" w:space="0" w:color="auto"/>
            </w:tcBorders>
            <w:shd w:val="clear" w:color="000000" w:fill="244062"/>
            <w:vAlign w:val="center"/>
            <w:hideMark/>
          </w:tcPr>
          <w:p w14:paraId="0DC99E0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27" w:type="dxa"/>
            <w:gridSpan w:val="3"/>
            <w:tcBorders>
              <w:top w:val="single" w:sz="8" w:space="0" w:color="auto"/>
              <w:left w:val="nil"/>
              <w:bottom w:val="single" w:sz="8" w:space="0" w:color="auto"/>
              <w:right w:val="single" w:sz="8" w:space="0" w:color="000000"/>
            </w:tcBorders>
            <w:shd w:val="clear" w:color="auto" w:fill="auto"/>
            <w:vAlign w:val="center"/>
            <w:hideMark/>
          </w:tcPr>
          <w:p w14:paraId="0AC01936" w14:textId="14EF9910"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36316E" w:rsidRPr="00FF386D">
              <w:rPr>
                <w:rFonts w:asciiTheme="majorHAnsi" w:eastAsia="Times New Roman" w:hAnsiTheme="majorHAnsi" w:cstheme="majorHAnsi"/>
                <w:color w:val="000000"/>
                <w:sz w:val="20"/>
                <w:szCs w:val="20"/>
                <w:lang w:eastAsia="en-GB"/>
              </w:rPr>
              <w:t>ска</w:t>
            </w:r>
            <w:r w:rsidRPr="00FF386D">
              <w:rPr>
                <w:rFonts w:asciiTheme="majorHAnsi" w:eastAsia="Times New Roman" w:hAnsiTheme="majorHAnsi" w:cstheme="majorHAnsi"/>
                <w:color w:val="000000"/>
                <w:sz w:val="20"/>
                <w:szCs w:val="20"/>
                <w:lang w:eastAsia="en-GB"/>
              </w:rPr>
              <w:t xml:space="preserve"> и сопствена средства</w:t>
            </w:r>
          </w:p>
        </w:tc>
      </w:tr>
    </w:tbl>
    <w:p w14:paraId="70765C7E"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29"/>
        <w:gridCol w:w="945"/>
        <w:gridCol w:w="946"/>
        <w:gridCol w:w="4238"/>
      </w:tblGrid>
      <w:tr w:rsidR="00854ADA" w:rsidRPr="00FF386D" w14:paraId="36C2A52B" w14:textId="77777777" w:rsidTr="0057310C">
        <w:trPr>
          <w:trHeight w:val="708"/>
        </w:trPr>
        <w:tc>
          <w:tcPr>
            <w:tcW w:w="3329"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07C74F07"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45" w:type="dxa"/>
            <w:tcBorders>
              <w:top w:val="single" w:sz="8" w:space="0" w:color="auto"/>
              <w:left w:val="nil"/>
              <w:bottom w:val="single" w:sz="8" w:space="0" w:color="auto"/>
              <w:right w:val="single" w:sz="8" w:space="0" w:color="auto"/>
            </w:tcBorders>
            <w:shd w:val="clear" w:color="auto" w:fill="E7E6E6" w:themeFill="background2"/>
            <w:vAlign w:val="center"/>
            <w:hideMark/>
          </w:tcPr>
          <w:p w14:paraId="042F7FC3" w14:textId="20934985"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w:t>
            </w:r>
            <w:r w:rsidR="00F232C6" w:rsidRPr="000A2AFE">
              <w:rPr>
                <w:rFonts w:ascii="Calibri Light" w:eastAsia="Times New Roman" w:hAnsi="Calibri Light" w:cs="Calibri Light"/>
                <w:b/>
                <w:bCs/>
                <w:color w:val="000000"/>
                <w:sz w:val="20"/>
                <w:szCs w:val="20"/>
                <w:lang w:eastAsia="en-GB"/>
              </w:rPr>
              <w:t>Д3</w:t>
            </w:r>
            <w:r w:rsidR="00F232C6">
              <w:rPr>
                <w:rFonts w:ascii="Calibri Light" w:eastAsia="Times New Roman" w:hAnsi="Calibri Light" w:cs="Calibri Light"/>
                <w:b/>
                <w:bCs/>
                <w:color w:val="000000"/>
                <w:sz w:val="20"/>
                <w:szCs w:val="20"/>
                <w:lang w:eastAsia="en-GB"/>
              </w:rPr>
              <w:t>3</w:t>
            </w:r>
          </w:p>
        </w:tc>
        <w:tc>
          <w:tcPr>
            <w:tcW w:w="946" w:type="dxa"/>
            <w:tcBorders>
              <w:top w:val="single" w:sz="8" w:space="0" w:color="auto"/>
              <w:left w:val="nil"/>
              <w:bottom w:val="single" w:sz="8" w:space="0" w:color="auto"/>
              <w:right w:val="single" w:sz="8" w:space="0" w:color="auto"/>
            </w:tcBorders>
            <w:shd w:val="clear" w:color="000000" w:fill="244062"/>
            <w:vAlign w:val="center"/>
            <w:hideMark/>
          </w:tcPr>
          <w:p w14:paraId="2D45028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38" w:type="dxa"/>
            <w:tcBorders>
              <w:top w:val="single" w:sz="8" w:space="0" w:color="auto"/>
              <w:left w:val="nil"/>
              <w:bottom w:val="single" w:sz="8" w:space="0" w:color="auto"/>
              <w:right w:val="single" w:sz="8" w:space="0" w:color="auto"/>
            </w:tcBorders>
            <w:shd w:val="clear" w:color="auto" w:fill="E7E6E6" w:themeFill="background2"/>
            <w:vAlign w:val="center"/>
            <w:hideMark/>
          </w:tcPr>
          <w:p w14:paraId="4B7DDE36"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Подстицање потрошње биогорива у сектору саобраћаја</w:t>
            </w:r>
          </w:p>
        </w:tc>
      </w:tr>
      <w:tr w:rsidR="00854ADA" w:rsidRPr="00FF386D" w14:paraId="1B49EDFE" w14:textId="77777777" w:rsidTr="0057310C">
        <w:trPr>
          <w:trHeight w:val="54"/>
        </w:trPr>
        <w:tc>
          <w:tcPr>
            <w:tcW w:w="3329" w:type="dxa"/>
            <w:tcBorders>
              <w:top w:val="nil"/>
              <w:left w:val="single" w:sz="8" w:space="0" w:color="auto"/>
              <w:bottom w:val="single" w:sz="8" w:space="0" w:color="auto"/>
              <w:right w:val="nil"/>
            </w:tcBorders>
            <w:shd w:val="clear" w:color="000000" w:fill="244062"/>
            <w:vAlign w:val="center"/>
            <w:hideMark/>
          </w:tcPr>
          <w:p w14:paraId="64473D8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1C0F8ABB"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Повећање удела ОИЕ у саобраћају</w:t>
            </w:r>
          </w:p>
        </w:tc>
      </w:tr>
      <w:tr w:rsidR="00854ADA" w:rsidRPr="00FF386D" w14:paraId="045B31CE"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7E3BFCB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07813F04" w14:textId="186069CC"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Допринос квантификованом циљу МП_</w:t>
            </w:r>
            <w:r w:rsidR="00565900" w:rsidRPr="00FF386D">
              <w:rPr>
                <w:rFonts w:ascii="Calibri Light" w:eastAsia="Times New Roman" w:hAnsi="Calibri Light" w:cs="Calibri Light"/>
                <w:color w:val="000000"/>
                <w:sz w:val="20"/>
                <w:szCs w:val="20"/>
                <w:lang w:eastAsia="en-GB"/>
              </w:rPr>
              <w:t>Д3</w:t>
            </w:r>
            <w:r w:rsidR="00565900">
              <w:rPr>
                <w:rFonts w:ascii="Calibri Light" w:eastAsia="Times New Roman" w:hAnsi="Calibri Light" w:cs="Calibri Light"/>
                <w:color w:val="000000"/>
                <w:sz w:val="20"/>
                <w:szCs w:val="20"/>
                <w:lang w:eastAsia="en-GB"/>
              </w:rPr>
              <w:t>2</w:t>
            </w:r>
          </w:p>
        </w:tc>
      </w:tr>
      <w:tr w:rsidR="00854ADA" w:rsidRPr="00FF386D" w14:paraId="2504F052" w14:textId="77777777" w:rsidTr="0057310C">
        <w:trPr>
          <w:trHeight w:val="1081"/>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39926BE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41423C02" w14:textId="45C76CD5"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МП_</w:t>
            </w:r>
            <w:r w:rsidR="00F232C6" w:rsidRPr="000A2AFE">
              <w:rPr>
                <w:rFonts w:ascii="Calibri Light" w:eastAsia="Times New Roman" w:hAnsi="Calibri Light" w:cs="Calibri Light"/>
                <w:color w:val="000000"/>
                <w:sz w:val="20"/>
                <w:szCs w:val="20"/>
                <w:lang w:eastAsia="en-GB"/>
              </w:rPr>
              <w:t>Д3</w:t>
            </w:r>
            <w:r w:rsidR="00F232C6">
              <w:rPr>
                <w:rFonts w:ascii="Calibri Light" w:eastAsia="Times New Roman" w:hAnsi="Calibri Light" w:cs="Calibri Light"/>
                <w:color w:val="000000"/>
                <w:sz w:val="20"/>
                <w:szCs w:val="20"/>
                <w:lang w:eastAsia="en-GB"/>
              </w:rPr>
              <w:t>3</w:t>
            </w:r>
            <w:r w:rsidR="00F232C6"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ће п</w:t>
            </w:r>
            <w:r w:rsidR="0036316E" w:rsidRPr="000A2AFE">
              <w:rPr>
                <w:rFonts w:ascii="Calibri Light" w:eastAsia="Times New Roman" w:hAnsi="Calibri Light" w:cs="Calibri Light"/>
                <w:color w:val="000000"/>
                <w:sz w:val="20"/>
                <w:szCs w:val="20"/>
                <w:lang w:eastAsia="en-GB"/>
              </w:rPr>
              <w:t>одстицати додатну</w:t>
            </w:r>
            <w:r w:rsidRPr="000A2AFE">
              <w:rPr>
                <w:rFonts w:ascii="Calibri Light" w:eastAsia="Times New Roman" w:hAnsi="Calibri Light" w:cs="Calibri Light"/>
                <w:color w:val="000000"/>
                <w:sz w:val="20"/>
                <w:szCs w:val="20"/>
                <w:lang w:eastAsia="en-GB"/>
              </w:rPr>
              <w:t xml:space="preserve"> потрошњу биогорива увођењ</w:t>
            </w:r>
            <w:r w:rsidR="0036316E" w:rsidRPr="000A2AFE">
              <w:rPr>
                <w:rFonts w:ascii="Calibri Light" w:eastAsia="Times New Roman" w:hAnsi="Calibri Light" w:cs="Calibri Light"/>
                <w:color w:val="000000"/>
                <w:sz w:val="20"/>
                <w:szCs w:val="20"/>
                <w:lang w:eastAsia="en-GB"/>
              </w:rPr>
              <w:t>ем</w:t>
            </w:r>
            <w:r w:rsidRPr="000A2AFE">
              <w:rPr>
                <w:rFonts w:ascii="Calibri Light" w:eastAsia="Times New Roman" w:hAnsi="Calibri Light" w:cs="Calibri Light"/>
                <w:color w:val="000000"/>
                <w:sz w:val="20"/>
                <w:szCs w:val="20"/>
                <w:lang w:eastAsia="en-GB"/>
              </w:rPr>
              <w:t xml:space="preserve"> обавезних квота за снабдеваче и прагова намешавања у случају биодизела и биобензина, узимајући у обзир минимална техничка ограничења која се могу сматрати прихватљивим за тренутни број возила.</w:t>
            </w:r>
            <w:r w:rsidR="00D77559">
              <w:rPr>
                <w:rFonts w:ascii="Calibri Light" w:eastAsia="Times New Roman" w:hAnsi="Calibri Light" w:cs="Calibri Light"/>
                <w:color w:val="000000"/>
                <w:sz w:val="20"/>
                <w:szCs w:val="20"/>
                <w:lang w:eastAsia="en-GB"/>
              </w:rPr>
              <w:t xml:space="preserve"> Биће размотрена култивација брзорастућих енергетских биљака за производњу биогорива, које се може користити у сектору саобраћаја.</w:t>
            </w:r>
          </w:p>
        </w:tc>
      </w:tr>
      <w:tr w:rsidR="00854ADA" w:rsidRPr="00FF386D" w14:paraId="4358DA59"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49843A3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70BAA500" w14:textId="2B5ABC28"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36316E"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-2030.</w:t>
            </w:r>
          </w:p>
        </w:tc>
      </w:tr>
      <w:tr w:rsidR="00854ADA" w:rsidRPr="00FF386D" w14:paraId="4FD7D78D"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42BD712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78AAE9CA"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Реформа</w:t>
            </w:r>
          </w:p>
        </w:tc>
      </w:tr>
      <w:tr w:rsidR="00854ADA" w:rsidRPr="00FF386D" w14:paraId="1EDAD6EC"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26752F1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789C4A49"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Саобраћај</w:t>
            </w:r>
          </w:p>
        </w:tc>
      </w:tr>
      <w:tr w:rsidR="00854ADA" w:rsidRPr="00FF386D" w14:paraId="6686D675"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4C73CDB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11A79EE1"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157537DF" w14:textId="77777777" w:rsidTr="0057310C">
        <w:trPr>
          <w:trHeight w:val="315"/>
        </w:trPr>
        <w:tc>
          <w:tcPr>
            <w:tcW w:w="3329" w:type="dxa"/>
            <w:tcBorders>
              <w:top w:val="nil"/>
              <w:left w:val="single" w:sz="8" w:space="0" w:color="auto"/>
              <w:bottom w:val="single" w:sz="8" w:space="0" w:color="auto"/>
              <w:right w:val="nil"/>
            </w:tcBorders>
            <w:shd w:val="clear" w:color="000000" w:fill="244062"/>
            <w:vAlign w:val="center"/>
            <w:hideMark/>
          </w:tcPr>
          <w:p w14:paraId="5DDE339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306E6068" w14:textId="4B120C6D" w:rsidR="00854ADA" w:rsidRPr="000A2AFE" w:rsidRDefault="00D77559"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6639B16D" w14:textId="77777777" w:rsidTr="0057310C">
        <w:trPr>
          <w:trHeight w:val="315"/>
        </w:trPr>
        <w:tc>
          <w:tcPr>
            <w:tcW w:w="3329" w:type="dxa"/>
            <w:tcBorders>
              <w:top w:val="nil"/>
              <w:left w:val="single" w:sz="8" w:space="0" w:color="auto"/>
              <w:bottom w:val="single" w:sz="8" w:space="0" w:color="auto"/>
              <w:right w:val="nil"/>
            </w:tcBorders>
            <w:shd w:val="clear" w:color="000000" w:fill="244062"/>
            <w:vAlign w:val="center"/>
            <w:hideMark/>
          </w:tcPr>
          <w:p w14:paraId="4CED216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40285460" w14:textId="77777777" w:rsidR="00854ADA" w:rsidRPr="000A2AFE" w:rsidRDefault="00854ADA"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Утрошено биогориво</w:t>
            </w:r>
          </w:p>
        </w:tc>
      </w:tr>
      <w:tr w:rsidR="00854ADA" w:rsidRPr="00FF386D" w14:paraId="3DE20DCF" w14:textId="77777777" w:rsidTr="0057310C">
        <w:trPr>
          <w:trHeight w:val="543"/>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4E58988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tcPr>
          <w:p w14:paraId="37E095DD" w14:textId="5282DDFE" w:rsidR="00854ADA" w:rsidRPr="000A2AFE" w:rsidRDefault="00D77559"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854ADA" w:rsidRPr="00FF386D" w14:paraId="72956A9B" w14:textId="77777777" w:rsidTr="0057310C">
        <w:trPr>
          <w:trHeight w:val="450"/>
        </w:trPr>
        <w:tc>
          <w:tcPr>
            <w:tcW w:w="3329"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2438A5D4" w14:textId="7E935F43"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29"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2C3E7183"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2018/2001/ЕУ</w:t>
            </w:r>
          </w:p>
        </w:tc>
      </w:tr>
      <w:tr w:rsidR="00854ADA" w:rsidRPr="00FF386D" w14:paraId="5FB4250C" w14:textId="77777777" w:rsidTr="0057310C">
        <w:trPr>
          <w:trHeight w:val="450"/>
        </w:trPr>
        <w:tc>
          <w:tcPr>
            <w:tcW w:w="3329" w:type="dxa"/>
            <w:vMerge/>
            <w:tcBorders>
              <w:top w:val="nil"/>
              <w:left w:val="single" w:sz="8" w:space="0" w:color="auto"/>
              <w:bottom w:val="single" w:sz="8" w:space="0" w:color="000000"/>
              <w:right w:val="single" w:sz="8" w:space="0" w:color="auto"/>
            </w:tcBorders>
            <w:vAlign w:val="center"/>
            <w:hideMark/>
          </w:tcPr>
          <w:p w14:paraId="6927A91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9" w:type="dxa"/>
            <w:gridSpan w:val="3"/>
            <w:vMerge/>
            <w:tcBorders>
              <w:top w:val="single" w:sz="8" w:space="0" w:color="auto"/>
              <w:left w:val="single" w:sz="8" w:space="0" w:color="auto"/>
              <w:bottom w:val="single" w:sz="8" w:space="0" w:color="000000"/>
              <w:right w:val="single" w:sz="8" w:space="0" w:color="000000"/>
            </w:tcBorders>
            <w:vAlign w:val="center"/>
            <w:hideMark/>
          </w:tcPr>
          <w:p w14:paraId="318F40C2"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0A29FD84" w14:textId="77777777" w:rsidTr="0057310C">
        <w:trPr>
          <w:trHeight w:val="450"/>
        </w:trPr>
        <w:tc>
          <w:tcPr>
            <w:tcW w:w="3329" w:type="dxa"/>
            <w:vMerge/>
            <w:tcBorders>
              <w:top w:val="nil"/>
              <w:left w:val="single" w:sz="8" w:space="0" w:color="auto"/>
              <w:bottom w:val="single" w:sz="8" w:space="0" w:color="000000"/>
              <w:right w:val="single" w:sz="8" w:space="0" w:color="auto"/>
            </w:tcBorders>
            <w:vAlign w:val="center"/>
            <w:hideMark/>
          </w:tcPr>
          <w:p w14:paraId="1CFE1DA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9" w:type="dxa"/>
            <w:gridSpan w:val="3"/>
            <w:vMerge/>
            <w:tcBorders>
              <w:top w:val="single" w:sz="8" w:space="0" w:color="auto"/>
              <w:left w:val="single" w:sz="8" w:space="0" w:color="auto"/>
              <w:bottom w:val="single" w:sz="8" w:space="0" w:color="000000"/>
              <w:right w:val="single" w:sz="8" w:space="0" w:color="000000"/>
            </w:tcBorders>
            <w:vAlign w:val="center"/>
            <w:hideMark/>
          </w:tcPr>
          <w:p w14:paraId="5BC40613"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57A55D2C" w14:textId="77777777" w:rsidTr="0057310C">
        <w:trPr>
          <w:trHeight w:val="393"/>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07EF790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Релевантни национални плански документ (правни, регулаторни акти, итд)</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09031E12"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коришћењу обновљивих извора енергије</w:t>
            </w:r>
          </w:p>
        </w:tc>
      </w:tr>
      <w:tr w:rsidR="00854ADA" w:rsidRPr="00FF386D" w14:paraId="7A5A9642"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7DF4498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1FB4E8FB" w14:textId="148A2DE1"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0,5 милиона евра</w:t>
            </w:r>
            <w:r w:rsidR="00154DF3">
              <w:rPr>
                <w:rFonts w:asciiTheme="majorHAnsi" w:eastAsia="Times New Roman" w:hAnsiTheme="majorHAnsi" w:cstheme="majorHAnsi"/>
                <w:color w:val="000000"/>
                <w:sz w:val="20"/>
                <w:szCs w:val="20"/>
                <w:lang w:eastAsia="en-GB"/>
              </w:rPr>
              <w:t xml:space="preserve"> за израду потребног законодавног оквира</w:t>
            </w:r>
          </w:p>
        </w:tc>
      </w:tr>
      <w:tr w:rsidR="00854ADA" w:rsidRPr="00FF386D" w14:paraId="56FCF827"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0043613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33F4F237" w14:textId="278C80D3"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36316E" w:rsidRPr="00FF386D">
              <w:rPr>
                <w:rFonts w:asciiTheme="majorHAnsi" w:eastAsia="Times New Roman" w:hAnsiTheme="majorHAnsi" w:cstheme="majorHAnsi"/>
                <w:color w:val="000000"/>
                <w:sz w:val="20"/>
                <w:szCs w:val="20"/>
                <w:lang w:eastAsia="en-GB"/>
              </w:rPr>
              <w:t>ска</w:t>
            </w:r>
          </w:p>
        </w:tc>
      </w:tr>
    </w:tbl>
    <w:p w14:paraId="41C8E608"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27"/>
        <w:gridCol w:w="945"/>
        <w:gridCol w:w="946"/>
        <w:gridCol w:w="4240"/>
      </w:tblGrid>
      <w:tr w:rsidR="00854ADA" w:rsidRPr="00FF386D" w14:paraId="4D5A2FDD" w14:textId="77777777" w:rsidTr="0057310C">
        <w:trPr>
          <w:trHeight w:val="780"/>
        </w:trPr>
        <w:tc>
          <w:tcPr>
            <w:tcW w:w="3327"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532D9008"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45" w:type="dxa"/>
            <w:tcBorders>
              <w:top w:val="single" w:sz="8" w:space="0" w:color="auto"/>
              <w:left w:val="nil"/>
              <w:bottom w:val="single" w:sz="8" w:space="0" w:color="auto"/>
              <w:right w:val="single" w:sz="8" w:space="0" w:color="auto"/>
            </w:tcBorders>
            <w:shd w:val="clear" w:color="auto" w:fill="E7E6E6" w:themeFill="background2"/>
            <w:vAlign w:val="center"/>
            <w:hideMark/>
          </w:tcPr>
          <w:p w14:paraId="15FB558E" w14:textId="083BFD22"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w:t>
            </w:r>
            <w:r w:rsidR="00F232C6" w:rsidRPr="000A2AFE">
              <w:rPr>
                <w:rFonts w:ascii="Calibri Light" w:eastAsia="Times New Roman" w:hAnsi="Calibri Light" w:cs="Calibri Light"/>
                <w:b/>
                <w:bCs/>
                <w:color w:val="000000"/>
                <w:sz w:val="20"/>
                <w:szCs w:val="20"/>
                <w:lang w:eastAsia="en-GB"/>
              </w:rPr>
              <w:t>Д3</w:t>
            </w:r>
            <w:r w:rsidR="00F232C6">
              <w:rPr>
                <w:rFonts w:ascii="Calibri Light" w:eastAsia="Times New Roman" w:hAnsi="Calibri Light" w:cs="Calibri Light"/>
                <w:b/>
                <w:bCs/>
                <w:color w:val="000000"/>
                <w:sz w:val="20"/>
                <w:szCs w:val="20"/>
                <w:lang w:eastAsia="en-GB"/>
              </w:rPr>
              <w:t>4</w:t>
            </w:r>
          </w:p>
        </w:tc>
        <w:tc>
          <w:tcPr>
            <w:tcW w:w="946" w:type="dxa"/>
            <w:tcBorders>
              <w:top w:val="single" w:sz="8" w:space="0" w:color="auto"/>
              <w:left w:val="nil"/>
              <w:bottom w:val="single" w:sz="8" w:space="0" w:color="auto"/>
              <w:right w:val="single" w:sz="8" w:space="0" w:color="auto"/>
            </w:tcBorders>
            <w:shd w:val="clear" w:color="000000" w:fill="244062"/>
            <w:vAlign w:val="center"/>
            <w:hideMark/>
          </w:tcPr>
          <w:p w14:paraId="660DE97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40" w:type="dxa"/>
            <w:tcBorders>
              <w:top w:val="single" w:sz="8" w:space="0" w:color="auto"/>
              <w:left w:val="nil"/>
              <w:bottom w:val="single" w:sz="8" w:space="0" w:color="auto"/>
              <w:right w:val="single" w:sz="8" w:space="0" w:color="auto"/>
            </w:tcBorders>
            <w:shd w:val="clear" w:color="auto" w:fill="E7E6E6" w:themeFill="background2"/>
            <w:vAlign w:val="center"/>
            <w:hideMark/>
          </w:tcPr>
          <w:p w14:paraId="3EC2AC56" w14:textId="5769007E"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 xml:space="preserve">Развој </w:t>
            </w:r>
            <w:r w:rsidR="00E6658B" w:rsidRPr="000A2AFE">
              <w:rPr>
                <w:rFonts w:ascii="Calibri Light" w:eastAsia="Times New Roman" w:hAnsi="Calibri Light" w:cs="Calibri Light"/>
                <w:b/>
                <w:bCs/>
                <w:color w:val="000000"/>
                <w:sz w:val="20"/>
                <w:szCs w:val="20"/>
                <w:lang w:eastAsia="en-GB"/>
              </w:rPr>
              <w:t>неопходне</w:t>
            </w:r>
            <w:r w:rsidRPr="000A2AFE">
              <w:rPr>
                <w:rFonts w:ascii="Calibri Light" w:eastAsia="Times New Roman" w:hAnsi="Calibri Light" w:cs="Calibri Light"/>
                <w:b/>
                <w:bCs/>
                <w:color w:val="000000"/>
                <w:sz w:val="20"/>
                <w:szCs w:val="20"/>
                <w:lang w:eastAsia="en-GB"/>
              </w:rPr>
              <w:t xml:space="preserve"> инфраструктуре за пуњење електричних возила</w:t>
            </w:r>
          </w:p>
        </w:tc>
      </w:tr>
      <w:tr w:rsidR="00854ADA" w:rsidRPr="00FF386D" w14:paraId="482D3812" w14:textId="77777777" w:rsidTr="0057310C">
        <w:trPr>
          <w:trHeight w:val="301"/>
        </w:trPr>
        <w:tc>
          <w:tcPr>
            <w:tcW w:w="3327" w:type="dxa"/>
            <w:tcBorders>
              <w:top w:val="nil"/>
              <w:left w:val="single" w:sz="8" w:space="0" w:color="auto"/>
              <w:bottom w:val="single" w:sz="8" w:space="0" w:color="auto"/>
              <w:right w:val="nil"/>
            </w:tcBorders>
            <w:shd w:val="clear" w:color="000000" w:fill="244062"/>
            <w:vAlign w:val="center"/>
            <w:hideMark/>
          </w:tcPr>
          <w:p w14:paraId="17EB1C3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31A5FED0"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Повећан удео ОИЕ у саобраћају</w:t>
            </w:r>
          </w:p>
        </w:tc>
      </w:tr>
      <w:tr w:rsidR="00854ADA" w:rsidRPr="00FF386D" w14:paraId="60EC4196"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09CCE17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48F4584C" w14:textId="4069B512" w:rsidR="00854ADA" w:rsidRPr="00FF386D" w:rsidRDefault="00F232C6" w:rsidP="00854ADA">
            <w:pPr>
              <w:spacing w:after="0" w:line="240" w:lineRule="auto"/>
              <w:rPr>
                <w:rFonts w:ascii="Calibri Light" w:eastAsia="Times New Roman" w:hAnsi="Calibri Light" w:cs="Calibri Light"/>
                <w:color w:val="000000"/>
                <w:sz w:val="20"/>
                <w:szCs w:val="20"/>
                <w:lang w:eastAsia="en-GB"/>
              </w:rPr>
            </w:pPr>
            <w:r w:rsidRPr="00F232C6">
              <w:rPr>
                <w:rFonts w:ascii="Calibri Light" w:eastAsia="Times New Roman" w:hAnsi="Calibri Light" w:cs="Calibri Light"/>
                <w:color w:val="000000"/>
                <w:sz w:val="20"/>
                <w:szCs w:val="20"/>
                <w:lang w:eastAsia="en-GB"/>
              </w:rPr>
              <w:t>6,8 хиљада инсталисаних јавних пуњача</w:t>
            </w:r>
            <w:r w:rsidRPr="00F232C6" w:rsidDel="00F232C6">
              <w:rPr>
                <w:rFonts w:ascii="Calibri Light" w:eastAsia="Times New Roman" w:hAnsi="Calibri Light" w:cs="Calibri Light"/>
                <w:color w:val="000000"/>
                <w:sz w:val="20"/>
                <w:szCs w:val="20"/>
                <w:lang w:eastAsia="en-GB"/>
              </w:rPr>
              <w:t xml:space="preserve"> </w:t>
            </w:r>
          </w:p>
        </w:tc>
      </w:tr>
      <w:tr w:rsidR="00854ADA" w:rsidRPr="00FF386D" w14:paraId="4C9FDFB2" w14:textId="77777777" w:rsidTr="000A2AFE">
        <w:trPr>
          <w:trHeight w:val="689"/>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629CF97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3B1C6D74" w14:textId="02C21A34" w:rsidR="00854ADA" w:rsidRPr="00FA2224"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МП_Д35 ће омогућити доношење законодавног оквира за промовисање електромобилности. </w:t>
            </w:r>
            <w:r w:rsidRPr="00FF386D">
              <w:rPr>
                <w:rFonts w:ascii="Calibri Light" w:eastAsia="Times New Roman" w:hAnsi="Calibri Light" w:cs="Calibri Light"/>
                <w:color w:val="000000"/>
                <w:sz w:val="20"/>
                <w:szCs w:val="20"/>
                <w:lang w:eastAsia="en-GB"/>
              </w:rPr>
              <w:t>Поред тога</w:t>
            </w:r>
            <w:r w:rsidRPr="000A2AFE">
              <w:rPr>
                <w:rFonts w:ascii="Calibri Light" w:eastAsia="Times New Roman" w:hAnsi="Calibri Light" w:cs="Calibri Light"/>
                <w:color w:val="000000"/>
                <w:sz w:val="20"/>
                <w:szCs w:val="20"/>
                <w:lang w:eastAsia="en-GB"/>
              </w:rPr>
              <w:t xml:space="preserve">, </w:t>
            </w:r>
            <w:r w:rsidR="00F232C6" w:rsidRPr="00F232C6">
              <w:rPr>
                <w:rFonts w:ascii="Calibri Light" w:eastAsia="Times New Roman" w:hAnsi="Calibri Light" w:cs="Calibri Light"/>
                <w:color w:val="000000"/>
                <w:sz w:val="20"/>
                <w:szCs w:val="20"/>
                <w:lang w:eastAsia="en-GB"/>
              </w:rPr>
              <w:t xml:space="preserve">биће </w:t>
            </w:r>
            <w:r w:rsidR="004A4124">
              <w:rPr>
                <w:rFonts w:ascii="Calibri Light" w:eastAsia="Times New Roman" w:hAnsi="Calibri Light" w:cs="Calibri Light"/>
                <w:color w:val="000000"/>
                <w:sz w:val="20"/>
                <w:szCs w:val="20"/>
                <w:lang w:eastAsia="en-GB"/>
              </w:rPr>
              <w:t>израђена</w:t>
            </w:r>
            <w:r w:rsidR="00F232C6" w:rsidRPr="00F232C6">
              <w:rPr>
                <w:rFonts w:ascii="Calibri Light" w:eastAsia="Times New Roman" w:hAnsi="Calibri Light" w:cs="Calibri Light"/>
                <w:color w:val="000000"/>
                <w:sz w:val="20"/>
                <w:szCs w:val="20"/>
                <w:lang w:eastAsia="en-GB"/>
              </w:rPr>
              <w:t xml:space="preserve"> и инсталисана</w:t>
            </w:r>
            <w:r w:rsidRPr="000A2AFE">
              <w:rPr>
                <w:rFonts w:ascii="Calibri Light" w:eastAsia="Times New Roman" w:hAnsi="Calibri Light" w:cs="Calibri Light"/>
                <w:color w:val="000000"/>
                <w:sz w:val="20"/>
                <w:szCs w:val="20"/>
                <w:lang w:eastAsia="en-GB"/>
              </w:rPr>
              <w:t xml:space="preserve"> </w:t>
            </w:r>
            <w:r w:rsidR="00F232C6" w:rsidRPr="000A2AFE">
              <w:rPr>
                <w:rFonts w:ascii="Calibri Light" w:eastAsia="Times New Roman" w:hAnsi="Calibri Light" w:cs="Calibri Light"/>
                <w:color w:val="000000"/>
                <w:sz w:val="20"/>
                <w:szCs w:val="20"/>
                <w:lang w:eastAsia="en-GB"/>
              </w:rPr>
              <w:t>потребн</w:t>
            </w:r>
            <w:r w:rsidR="00F232C6">
              <w:rPr>
                <w:rFonts w:ascii="Calibri Light" w:eastAsia="Times New Roman" w:hAnsi="Calibri Light" w:cs="Calibri Light"/>
                <w:color w:val="000000"/>
                <w:sz w:val="20"/>
                <w:szCs w:val="20"/>
                <w:lang w:eastAsia="en-GB"/>
              </w:rPr>
              <w:t>а</w:t>
            </w:r>
            <w:r w:rsidR="00F232C6" w:rsidRPr="000A2AFE">
              <w:rPr>
                <w:rFonts w:ascii="Calibri Light" w:eastAsia="Times New Roman" w:hAnsi="Calibri Light" w:cs="Calibri Light"/>
                <w:color w:val="000000"/>
                <w:sz w:val="20"/>
                <w:szCs w:val="20"/>
                <w:lang w:eastAsia="en-GB"/>
              </w:rPr>
              <w:t xml:space="preserve"> инфраструктур</w:t>
            </w:r>
            <w:r w:rsidR="00F232C6">
              <w:rPr>
                <w:rFonts w:ascii="Calibri Light" w:eastAsia="Times New Roman" w:hAnsi="Calibri Light" w:cs="Calibri Light"/>
                <w:color w:val="000000"/>
                <w:sz w:val="20"/>
                <w:szCs w:val="20"/>
                <w:lang w:eastAsia="en-GB"/>
              </w:rPr>
              <w:t>а</w:t>
            </w:r>
            <w:r w:rsidR="00F232C6"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за пуњење електричних возила</w:t>
            </w:r>
            <w:r w:rsidR="00F232C6">
              <w:t xml:space="preserve"> </w:t>
            </w:r>
            <w:r w:rsidR="00F232C6" w:rsidRPr="00F232C6">
              <w:rPr>
                <w:rFonts w:ascii="Calibri Light" w:eastAsia="Times New Roman" w:hAnsi="Calibri Light" w:cs="Calibri Light"/>
                <w:color w:val="000000"/>
                <w:sz w:val="20"/>
                <w:szCs w:val="20"/>
                <w:lang w:eastAsia="en-GB"/>
              </w:rPr>
              <w:t xml:space="preserve">уз </w:t>
            </w:r>
            <w:r w:rsidR="004A4124">
              <w:rPr>
                <w:rFonts w:ascii="Calibri Light" w:eastAsia="Times New Roman" w:hAnsi="Calibri Light" w:cs="Calibri Light"/>
                <w:color w:val="000000"/>
                <w:sz w:val="20"/>
                <w:szCs w:val="20"/>
                <w:lang w:eastAsia="en-GB"/>
              </w:rPr>
              <w:t xml:space="preserve">доделу </w:t>
            </w:r>
            <w:r w:rsidR="00F232C6" w:rsidRPr="00F232C6">
              <w:rPr>
                <w:rFonts w:ascii="Calibri Light" w:eastAsia="Times New Roman" w:hAnsi="Calibri Light" w:cs="Calibri Light"/>
                <w:color w:val="000000"/>
                <w:sz w:val="20"/>
                <w:szCs w:val="20"/>
                <w:lang w:eastAsia="en-GB"/>
              </w:rPr>
              <w:t>економск</w:t>
            </w:r>
            <w:r w:rsidR="004A4124">
              <w:rPr>
                <w:rFonts w:ascii="Calibri Light" w:eastAsia="Times New Roman" w:hAnsi="Calibri Light" w:cs="Calibri Light"/>
                <w:color w:val="000000"/>
                <w:sz w:val="20"/>
                <w:szCs w:val="20"/>
                <w:lang w:eastAsia="en-GB"/>
              </w:rPr>
              <w:t>е</w:t>
            </w:r>
            <w:r w:rsidR="00F232C6" w:rsidRPr="00F232C6">
              <w:rPr>
                <w:rFonts w:ascii="Calibri Light" w:eastAsia="Times New Roman" w:hAnsi="Calibri Light" w:cs="Calibri Light"/>
                <w:color w:val="000000"/>
                <w:sz w:val="20"/>
                <w:szCs w:val="20"/>
                <w:lang w:eastAsia="en-GB"/>
              </w:rPr>
              <w:t xml:space="preserve"> подршк</w:t>
            </w:r>
            <w:r w:rsidR="004A4124">
              <w:rPr>
                <w:rFonts w:ascii="Calibri Light" w:eastAsia="Times New Roman" w:hAnsi="Calibri Light" w:cs="Calibri Light"/>
                <w:color w:val="000000"/>
                <w:sz w:val="20"/>
                <w:szCs w:val="20"/>
                <w:lang w:eastAsia="en-GB"/>
              </w:rPr>
              <w:t>е</w:t>
            </w:r>
            <w:r w:rsidR="00F232C6" w:rsidRPr="00F232C6">
              <w:rPr>
                <w:rFonts w:ascii="Calibri Light" w:eastAsia="Times New Roman" w:hAnsi="Calibri Light" w:cs="Calibri Light"/>
                <w:color w:val="000000"/>
                <w:sz w:val="20"/>
                <w:szCs w:val="20"/>
                <w:lang w:eastAsia="en-GB"/>
              </w:rPr>
              <w:t xml:space="preserve"> за инсталацију јавних пуњача</w:t>
            </w:r>
            <w:r w:rsidR="00C97E71" w:rsidRPr="000A2AFE">
              <w:rPr>
                <w:rFonts w:ascii="Calibri Light" w:eastAsia="Times New Roman" w:hAnsi="Calibri Light" w:cs="Calibri Light"/>
                <w:color w:val="000000"/>
                <w:sz w:val="20"/>
                <w:szCs w:val="20"/>
                <w:lang w:eastAsia="en-GB"/>
              </w:rPr>
              <w:t>.</w:t>
            </w:r>
            <w:r w:rsidR="00D77559">
              <w:rPr>
                <w:rFonts w:ascii="Calibri Light" w:eastAsia="Times New Roman" w:hAnsi="Calibri Light" w:cs="Calibri Light"/>
                <w:color w:val="000000"/>
                <w:sz w:val="20"/>
                <w:szCs w:val="20"/>
                <w:lang w:eastAsia="en-GB"/>
              </w:rPr>
              <w:t xml:space="preserve"> Биће размотрени потенцијални подстицаји за промовисање потрошње ОИЕ у електромобилности током </w:t>
            </w:r>
            <w:r w:rsidR="004A4124">
              <w:rPr>
                <w:rFonts w:ascii="Calibri Light" w:eastAsia="Times New Roman" w:hAnsi="Calibri Light" w:cs="Calibri Light"/>
                <w:color w:val="000000"/>
                <w:sz w:val="20"/>
                <w:szCs w:val="20"/>
                <w:lang w:eastAsia="en-GB"/>
              </w:rPr>
              <w:t xml:space="preserve">коришћења потребне </w:t>
            </w:r>
            <w:r w:rsidR="003B5E05">
              <w:rPr>
                <w:rFonts w:ascii="Calibri Light" w:eastAsia="Times New Roman" w:hAnsi="Calibri Light" w:cs="Calibri Light"/>
                <w:color w:val="000000"/>
                <w:sz w:val="20"/>
                <w:szCs w:val="20"/>
                <w:lang w:eastAsia="en-GB"/>
              </w:rPr>
              <w:t>инфраструктуре</w:t>
            </w:r>
            <w:r w:rsidR="004A4124">
              <w:rPr>
                <w:rFonts w:ascii="Calibri Light" w:eastAsia="Times New Roman" w:hAnsi="Calibri Light" w:cs="Calibri Light"/>
                <w:color w:val="000000"/>
                <w:sz w:val="20"/>
                <w:szCs w:val="20"/>
                <w:lang w:eastAsia="en-GB"/>
              </w:rPr>
              <w:t xml:space="preserve"> за пуњење.</w:t>
            </w:r>
            <w:r w:rsidR="00154DF3">
              <w:rPr>
                <w:rFonts w:ascii="Calibri Light" w:eastAsia="Times New Roman" w:hAnsi="Calibri Light" w:cs="Calibri Light"/>
                <w:color w:val="000000"/>
                <w:sz w:val="20"/>
                <w:szCs w:val="20"/>
                <w:lang w:eastAsia="en-GB"/>
              </w:rPr>
              <w:t xml:space="preserve"> </w:t>
            </w:r>
            <w:r w:rsidR="003B5E05">
              <w:rPr>
                <w:rFonts w:ascii="Calibri Light" w:eastAsia="Times New Roman" w:hAnsi="Calibri Light" w:cs="Calibri Light"/>
                <w:color w:val="000000"/>
                <w:sz w:val="20"/>
                <w:szCs w:val="20"/>
                <w:lang w:eastAsia="en-GB"/>
              </w:rPr>
              <w:t>Трошкови ове мере обухватају само инсталирање пуњача</w:t>
            </w:r>
            <w:r w:rsidR="00C756F2">
              <w:rPr>
                <w:rFonts w:ascii="Calibri Light" w:eastAsia="Times New Roman" w:hAnsi="Calibri Light" w:cs="Calibri Light"/>
                <w:color w:val="000000"/>
                <w:sz w:val="20"/>
                <w:szCs w:val="20"/>
                <w:lang w:eastAsia="en-GB"/>
              </w:rPr>
              <w:t xml:space="preserve"> а не могуће захтеве у погледу унапређења дистрибутивне мреже </w:t>
            </w:r>
            <w:r w:rsidR="00FA2224">
              <w:rPr>
                <w:rFonts w:ascii="Calibri Light" w:eastAsia="Times New Roman" w:hAnsi="Calibri Light" w:cs="Calibri Light"/>
                <w:color w:val="000000"/>
                <w:sz w:val="20"/>
                <w:szCs w:val="20"/>
                <w:lang w:eastAsia="en-GB"/>
              </w:rPr>
              <w:t>за прихватање ових пуњача. Ово захтева дет</w:t>
            </w:r>
            <w:r w:rsidR="00B076AF">
              <w:rPr>
                <w:rFonts w:ascii="Calibri Light" w:eastAsia="Times New Roman" w:hAnsi="Calibri Light" w:cs="Calibri Light"/>
                <w:color w:val="000000"/>
                <w:sz w:val="20"/>
                <w:szCs w:val="20"/>
                <w:lang w:eastAsia="en-GB"/>
              </w:rPr>
              <w:t>а</w:t>
            </w:r>
            <w:r w:rsidR="00FA2224">
              <w:rPr>
                <w:rFonts w:ascii="Calibri Light" w:eastAsia="Times New Roman" w:hAnsi="Calibri Light" w:cs="Calibri Light"/>
                <w:color w:val="000000"/>
                <w:sz w:val="20"/>
                <w:szCs w:val="20"/>
                <w:lang w:eastAsia="en-GB"/>
              </w:rPr>
              <w:t xml:space="preserve">љне студије за дистрибутивну мрежу како би се </w:t>
            </w:r>
            <w:r w:rsidR="00200856">
              <w:rPr>
                <w:rFonts w:ascii="Calibri Light" w:eastAsia="Times New Roman" w:hAnsi="Calibri Light" w:cs="Calibri Light"/>
                <w:color w:val="000000"/>
                <w:sz w:val="20"/>
                <w:szCs w:val="20"/>
                <w:lang w:eastAsia="en-GB"/>
              </w:rPr>
              <w:t>проценила</w:t>
            </w:r>
            <w:r w:rsidR="00FA2224">
              <w:rPr>
                <w:rFonts w:ascii="Calibri Light" w:eastAsia="Times New Roman" w:hAnsi="Calibri Light" w:cs="Calibri Light"/>
                <w:color w:val="000000"/>
                <w:sz w:val="20"/>
                <w:szCs w:val="20"/>
                <w:lang w:eastAsia="en-GB"/>
              </w:rPr>
              <w:t xml:space="preserve"> неопходна унапређења, уколико су потребна.</w:t>
            </w:r>
          </w:p>
        </w:tc>
      </w:tr>
      <w:tr w:rsidR="00854ADA" w:rsidRPr="00FF386D" w14:paraId="5A32497F"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2C55805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672A3B50" w14:textId="4831371A"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36316E"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-2030.</w:t>
            </w:r>
          </w:p>
        </w:tc>
      </w:tr>
      <w:tr w:rsidR="00854ADA" w:rsidRPr="00FF386D" w14:paraId="6F791AD8"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563A7A6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1C75D500"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Инвестиција и регулаторна</w:t>
            </w:r>
          </w:p>
        </w:tc>
      </w:tr>
      <w:tr w:rsidR="00854ADA" w:rsidRPr="00FF386D" w14:paraId="4C717317"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1407B30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066ADB73"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Саобраћај</w:t>
            </w:r>
          </w:p>
        </w:tc>
      </w:tr>
      <w:tr w:rsidR="00854ADA" w:rsidRPr="00FF386D" w14:paraId="57CB2EDC"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3759088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6DAA0933" w14:textId="77777777" w:rsidR="00854ADA" w:rsidRPr="00FF386D" w:rsidRDefault="00854ADA" w:rsidP="00854ADA">
            <w:pPr>
              <w:numPr>
                <w:ilvl w:val="0"/>
                <w:numId w:val="117"/>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грађевинарства, саобраћаја и инфраструктуре</w:t>
            </w:r>
          </w:p>
          <w:p w14:paraId="2F2FCCA9" w14:textId="77777777" w:rsidR="00854ADA" w:rsidRPr="00FF386D" w:rsidRDefault="00854ADA" w:rsidP="00854ADA">
            <w:pPr>
              <w:numPr>
                <w:ilvl w:val="0"/>
                <w:numId w:val="11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ОДС</w:t>
            </w:r>
          </w:p>
        </w:tc>
      </w:tr>
      <w:tr w:rsidR="00854ADA" w:rsidRPr="00FF386D" w14:paraId="01E24267" w14:textId="77777777" w:rsidTr="0057310C">
        <w:trPr>
          <w:trHeight w:val="315"/>
        </w:trPr>
        <w:tc>
          <w:tcPr>
            <w:tcW w:w="3327" w:type="dxa"/>
            <w:tcBorders>
              <w:top w:val="nil"/>
              <w:left w:val="single" w:sz="8" w:space="0" w:color="auto"/>
              <w:bottom w:val="single" w:sz="8" w:space="0" w:color="auto"/>
              <w:right w:val="nil"/>
            </w:tcBorders>
            <w:shd w:val="clear" w:color="000000" w:fill="244062"/>
            <w:vAlign w:val="center"/>
            <w:hideMark/>
          </w:tcPr>
          <w:p w14:paraId="28D181F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0874BF79" w14:textId="7F93B71C" w:rsidR="00854ADA" w:rsidRPr="000A2AFE" w:rsidRDefault="004A4124" w:rsidP="000A2AFE">
            <w:pPr>
              <w:pStyle w:val="ListParagraph"/>
              <w:numPr>
                <w:ilvl w:val="0"/>
                <w:numId w:val="325"/>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511B66B1" w14:textId="77777777" w:rsidTr="0057310C">
        <w:trPr>
          <w:trHeight w:val="315"/>
        </w:trPr>
        <w:tc>
          <w:tcPr>
            <w:tcW w:w="3327" w:type="dxa"/>
            <w:tcBorders>
              <w:top w:val="nil"/>
              <w:left w:val="single" w:sz="8" w:space="0" w:color="auto"/>
              <w:bottom w:val="single" w:sz="8" w:space="0" w:color="auto"/>
              <w:right w:val="nil"/>
            </w:tcBorders>
            <w:shd w:val="clear" w:color="000000" w:fill="244062"/>
            <w:vAlign w:val="center"/>
            <w:hideMark/>
          </w:tcPr>
          <w:p w14:paraId="601A1AC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6482D27C" w14:textId="77777777" w:rsidR="00854ADA" w:rsidRPr="000A2AFE" w:rsidRDefault="00854ADA" w:rsidP="000A2AFE">
            <w:pPr>
              <w:pStyle w:val="ListParagraph"/>
              <w:numPr>
                <w:ilvl w:val="0"/>
                <w:numId w:val="325"/>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Утрошена електрична енергија у сектору саобраћаја</w:t>
            </w:r>
          </w:p>
          <w:p w14:paraId="09D1CFBE" w14:textId="77777777" w:rsidR="00854ADA" w:rsidRPr="000A2AFE" w:rsidRDefault="00854ADA" w:rsidP="000A2AFE">
            <w:pPr>
              <w:pStyle w:val="ListParagraph"/>
              <w:numPr>
                <w:ilvl w:val="0"/>
                <w:numId w:val="325"/>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Број електричних возила и електричних ЛТВ</w:t>
            </w:r>
          </w:p>
        </w:tc>
      </w:tr>
      <w:tr w:rsidR="00854ADA" w:rsidRPr="00FF386D" w14:paraId="41702C91" w14:textId="77777777" w:rsidTr="0057310C">
        <w:trPr>
          <w:trHeight w:val="36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233F76C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22A5A4F1" w14:textId="19BBF364" w:rsidR="004A4124" w:rsidRPr="004A4124" w:rsidRDefault="004A4124" w:rsidP="004A4124">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4A4124">
              <w:rPr>
                <w:rFonts w:ascii="Calibri Light" w:eastAsia="Times New Roman" w:hAnsi="Calibri Light" w:cs="Calibri Light"/>
                <w:color w:val="000000"/>
                <w:sz w:val="20"/>
                <w:szCs w:val="20"/>
                <w:lang w:eastAsia="en-GB"/>
              </w:rPr>
              <w:t>Енергетска ефикасност (промовисан</w:t>
            </w:r>
            <w:r>
              <w:rPr>
                <w:rFonts w:ascii="Calibri Light" w:eastAsia="Times New Roman" w:hAnsi="Calibri Light" w:cs="Calibri Light"/>
                <w:color w:val="000000"/>
                <w:sz w:val="20"/>
                <w:szCs w:val="20"/>
                <w:lang w:eastAsia="en-GB"/>
              </w:rPr>
              <w:t>а електрична возила</w:t>
            </w:r>
            <w:r w:rsidRPr="004A4124">
              <w:rPr>
                <w:rFonts w:ascii="Calibri Light" w:eastAsia="Times New Roman" w:hAnsi="Calibri Light" w:cs="Calibri Light"/>
                <w:color w:val="000000"/>
                <w:sz w:val="20"/>
                <w:szCs w:val="20"/>
                <w:lang w:eastAsia="en-GB"/>
              </w:rPr>
              <w:t xml:space="preserve"> ће довести и до уштеде финалне и примарне енергије доприносећи постизању релевантних циљева)</w:t>
            </w:r>
          </w:p>
          <w:p w14:paraId="54BBBDE0" w14:textId="66F0D3AA" w:rsidR="00854ADA" w:rsidRPr="00FF386D" w:rsidRDefault="004A4124" w:rsidP="004A4124">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4A4124">
              <w:rPr>
                <w:rFonts w:ascii="Calibri Light" w:eastAsia="Times New Roman" w:hAnsi="Calibri Light" w:cs="Calibri Light"/>
                <w:color w:val="000000"/>
                <w:sz w:val="20"/>
                <w:szCs w:val="20"/>
                <w:lang w:eastAsia="en-GB"/>
              </w:rPr>
              <w:t>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854ADA" w:rsidRPr="00FF386D" w14:paraId="1A5F6A93" w14:textId="77777777" w:rsidTr="0057310C">
        <w:trPr>
          <w:trHeight w:val="450"/>
        </w:trPr>
        <w:tc>
          <w:tcPr>
            <w:tcW w:w="3327"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076A89A0" w14:textId="6DEBDE35"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31"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1D2E7587" w14:textId="6B73FFA6" w:rsidR="00F25D9B" w:rsidRPr="00F62532" w:rsidRDefault="00854ADA" w:rsidP="00565B02">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2018/2001/ЕУ</w:t>
            </w:r>
          </w:p>
        </w:tc>
      </w:tr>
      <w:tr w:rsidR="00854ADA" w:rsidRPr="00FF386D" w14:paraId="361CA3D1" w14:textId="77777777" w:rsidTr="0057310C">
        <w:trPr>
          <w:trHeight w:val="450"/>
        </w:trPr>
        <w:tc>
          <w:tcPr>
            <w:tcW w:w="3327" w:type="dxa"/>
            <w:vMerge/>
            <w:tcBorders>
              <w:top w:val="nil"/>
              <w:left w:val="single" w:sz="8" w:space="0" w:color="auto"/>
              <w:bottom w:val="single" w:sz="8" w:space="0" w:color="000000"/>
              <w:right w:val="single" w:sz="8" w:space="0" w:color="auto"/>
            </w:tcBorders>
            <w:vAlign w:val="center"/>
            <w:hideMark/>
          </w:tcPr>
          <w:p w14:paraId="59885B8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1" w:type="dxa"/>
            <w:gridSpan w:val="3"/>
            <w:vMerge/>
            <w:tcBorders>
              <w:top w:val="single" w:sz="8" w:space="0" w:color="auto"/>
              <w:left w:val="single" w:sz="8" w:space="0" w:color="auto"/>
              <w:bottom w:val="single" w:sz="8" w:space="0" w:color="000000"/>
              <w:right w:val="single" w:sz="8" w:space="0" w:color="000000"/>
            </w:tcBorders>
            <w:vAlign w:val="center"/>
            <w:hideMark/>
          </w:tcPr>
          <w:p w14:paraId="5F2C0084"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7A807209" w14:textId="77777777" w:rsidTr="0057310C">
        <w:trPr>
          <w:trHeight w:val="450"/>
        </w:trPr>
        <w:tc>
          <w:tcPr>
            <w:tcW w:w="3327" w:type="dxa"/>
            <w:vMerge/>
            <w:tcBorders>
              <w:top w:val="nil"/>
              <w:left w:val="single" w:sz="8" w:space="0" w:color="auto"/>
              <w:bottom w:val="single" w:sz="8" w:space="0" w:color="000000"/>
              <w:right w:val="single" w:sz="8" w:space="0" w:color="auto"/>
            </w:tcBorders>
            <w:vAlign w:val="center"/>
            <w:hideMark/>
          </w:tcPr>
          <w:p w14:paraId="03C556E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1" w:type="dxa"/>
            <w:gridSpan w:val="3"/>
            <w:vMerge/>
            <w:tcBorders>
              <w:top w:val="single" w:sz="8" w:space="0" w:color="auto"/>
              <w:left w:val="single" w:sz="8" w:space="0" w:color="auto"/>
              <w:bottom w:val="single" w:sz="8" w:space="0" w:color="000000"/>
              <w:right w:val="single" w:sz="8" w:space="0" w:color="000000"/>
            </w:tcBorders>
            <w:vAlign w:val="center"/>
            <w:hideMark/>
          </w:tcPr>
          <w:p w14:paraId="44A49F4F"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05C0C8FC" w14:textId="77777777" w:rsidTr="0057310C">
        <w:trPr>
          <w:trHeight w:val="271"/>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2CA3C96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2271E090" w14:textId="4CD0B40E" w:rsidR="00854ADA" w:rsidRPr="000A2AFE" w:rsidRDefault="004A4124" w:rsidP="000A2AFE">
            <w:pPr>
              <w:pStyle w:val="ListParagraph"/>
              <w:numPr>
                <w:ilvl w:val="0"/>
                <w:numId w:val="326"/>
              </w:numPr>
              <w:spacing w:after="0" w:line="240" w:lineRule="auto"/>
              <w:rPr>
                <w:rFonts w:ascii="Calibri Light" w:eastAsia="Times New Roman" w:hAnsi="Calibri Light" w:cs="Calibri Light"/>
                <w:color w:val="000000"/>
                <w:sz w:val="20"/>
                <w:szCs w:val="20"/>
                <w:lang w:eastAsia="en-GB"/>
              </w:rPr>
            </w:pPr>
            <w:r w:rsidRPr="004A4124">
              <w:rPr>
                <w:rFonts w:ascii="Calibri Light" w:eastAsia="Times New Roman" w:hAnsi="Calibri Light" w:cs="Calibri Light"/>
                <w:color w:val="000000"/>
                <w:sz w:val="20"/>
                <w:szCs w:val="20"/>
                <w:lang w:eastAsia="en-GB"/>
              </w:rPr>
              <w:t>Закон о коришћењу обновљивих извора енергије</w:t>
            </w:r>
          </w:p>
        </w:tc>
      </w:tr>
      <w:tr w:rsidR="00854ADA" w:rsidRPr="00FF386D" w14:paraId="6E931C5E"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4FEB28C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31" w:type="dxa"/>
            <w:gridSpan w:val="3"/>
            <w:tcBorders>
              <w:top w:val="single" w:sz="4" w:space="0" w:color="auto"/>
              <w:left w:val="single" w:sz="4" w:space="0" w:color="auto"/>
              <w:bottom w:val="single" w:sz="4" w:space="0" w:color="000000"/>
              <w:right w:val="single" w:sz="4" w:space="0" w:color="auto"/>
            </w:tcBorders>
            <w:shd w:val="clear" w:color="auto" w:fill="auto"/>
            <w:vAlign w:val="center"/>
            <w:hideMark/>
          </w:tcPr>
          <w:p w14:paraId="0B87AA0B" w14:textId="719868E0" w:rsidR="0036316E" w:rsidRPr="00FF386D" w:rsidRDefault="005F68DF" w:rsidP="00854ADA">
            <w:pPr>
              <w:spacing w:after="0" w:line="240" w:lineRule="auto"/>
              <w:rPr>
                <w:rFonts w:asciiTheme="majorHAnsi" w:eastAsia="Times New Roman" w:hAnsiTheme="majorHAnsi" w:cstheme="majorHAnsi"/>
                <w:color w:val="000000"/>
                <w:lang w:eastAsia="en-GB"/>
              </w:rPr>
            </w:pPr>
            <w:r w:rsidRPr="005F68DF">
              <w:rPr>
                <w:rFonts w:ascii="Calibri Light" w:eastAsia="Times New Roman" w:hAnsi="Calibri Light" w:cs="Calibri Light"/>
                <w:color w:val="000000"/>
                <w:sz w:val="20"/>
                <w:szCs w:val="20"/>
                <w:lang w:eastAsia="en-GB"/>
              </w:rPr>
              <w:t>85 милиона евра</w:t>
            </w:r>
          </w:p>
        </w:tc>
      </w:tr>
      <w:tr w:rsidR="00854ADA" w:rsidRPr="00FF386D" w14:paraId="64D7CF23"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1CB4411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4A316AB7" w14:textId="5C36FC2C"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36316E" w:rsidRPr="00FF386D">
              <w:rPr>
                <w:rFonts w:asciiTheme="majorHAnsi" w:eastAsia="Times New Roman" w:hAnsiTheme="majorHAnsi" w:cstheme="majorHAnsi"/>
                <w:color w:val="000000"/>
                <w:sz w:val="20"/>
                <w:szCs w:val="20"/>
                <w:lang w:eastAsia="en-GB"/>
              </w:rPr>
              <w:t>ска</w:t>
            </w:r>
            <w:r w:rsidRPr="00FF386D">
              <w:rPr>
                <w:rFonts w:asciiTheme="majorHAnsi" w:eastAsia="Times New Roman" w:hAnsiTheme="majorHAnsi" w:cstheme="majorHAnsi"/>
                <w:color w:val="000000"/>
                <w:sz w:val="20"/>
                <w:szCs w:val="20"/>
                <w:lang w:eastAsia="en-GB"/>
              </w:rPr>
              <w:t xml:space="preserve"> и сопствена средства</w:t>
            </w:r>
          </w:p>
        </w:tc>
      </w:tr>
    </w:tbl>
    <w:p w14:paraId="463257B1"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30"/>
        <w:gridCol w:w="945"/>
        <w:gridCol w:w="946"/>
        <w:gridCol w:w="4237"/>
      </w:tblGrid>
      <w:tr w:rsidR="00854ADA" w:rsidRPr="00FF386D" w14:paraId="02A29D4F" w14:textId="77777777" w:rsidTr="0057310C">
        <w:trPr>
          <w:trHeight w:val="780"/>
        </w:trPr>
        <w:tc>
          <w:tcPr>
            <w:tcW w:w="3330"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145B034F"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45" w:type="dxa"/>
            <w:tcBorders>
              <w:top w:val="single" w:sz="8" w:space="0" w:color="auto"/>
              <w:left w:val="nil"/>
              <w:bottom w:val="single" w:sz="8" w:space="0" w:color="auto"/>
              <w:right w:val="single" w:sz="8" w:space="0" w:color="auto"/>
            </w:tcBorders>
            <w:shd w:val="clear" w:color="auto" w:fill="E7E6E6" w:themeFill="background2"/>
            <w:vAlign w:val="center"/>
            <w:hideMark/>
          </w:tcPr>
          <w:p w14:paraId="029AB7A8" w14:textId="41C4DD3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w:t>
            </w:r>
            <w:r w:rsidR="00CC6B33" w:rsidRPr="000A2AFE">
              <w:rPr>
                <w:rFonts w:ascii="Calibri Light" w:eastAsia="Times New Roman" w:hAnsi="Calibri Light" w:cs="Calibri Light"/>
                <w:b/>
                <w:bCs/>
                <w:color w:val="000000"/>
                <w:sz w:val="20"/>
                <w:szCs w:val="20"/>
                <w:lang w:eastAsia="en-GB"/>
              </w:rPr>
              <w:t>Д3</w:t>
            </w:r>
            <w:r w:rsidR="00CC6B33">
              <w:rPr>
                <w:rFonts w:ascii="Calibri Light" w:eastAsia="Times New Roman" w:hAnsi="Calibri Light" w:cs="Calibri Light"/>
                <w:b/>
                <w:bCs/>
                <w:color w:val="000000"/>
                <w:sz w:val="20"/>
                <w:szCs w:val="20"/>
                <w:lang w:eastAsia="en-GB"/>
              </w:rPr>
              <w:t>5</w:t>
            </w:r>
          </w:p>
        </w:tc>
        <w:tc>
          <w:tcPr>
            <w:tcW w:w="946" w:type="dxa"/>
            <w:tcBorders>
              <w:top w:val="single" w:sz="8" w:space="0" w:color="auto"/>
              <w:left w:val="nil"/>
              <w:bottom w:val="single" w:sz="8" w:space="0" w:color="auto"/>
              <w:right w:val="single" w:sz="8" w:space="0" w:color="auto"/>
            </w:tcBorders>
            <w:shd w:val="clear" w:color="000000" w:fill="244062"/>
            <w:vAlign w:val="center"/>
            <w:hideMark/>
          </w:tcPr>
          <w:p w14:paraId="0484663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37" w:type="dxa"/>
            <w:tcBorders>
              <w:top w:val="single" w:sz="8" w:space="0" w:color="auto"/>
              <w:left w:val="nil"/>
              <w:bottom w:val="single" w:sz="8" w:space="0" w:color="auto"/>
              <w:right w:val="single" w:sz="8" w:space="0" w:color="auto"/>
            </w:tcBorders>
            <w:shd w:val="clear" w:color="auto" w:fill="E7E6E6" w:themeFill="background2"/>
            <w:vAlign w:val="center"/>
            <w:hideMark/>
          </w:tcPr>
          <w:p w14:paraId="66526968" w14:textId="0731DD35"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 xml:space="preserve">Пружање фискалних и економских подстицаја за </w:t>
            </w:r>
            <w:r w:rsidR="00E6658B" w:rsidRPr="000A2AFE">
              <w:rPr>
                <w:rFonts w:ascii="Calibri Light" w:eastAsia="Times New Roman" w:hAnsi="Calibri Light" w:cs="Calibri Light"/>
                <w:b/>
                <w:bCs/>
                <w:color w:val="000000"/>
                <w:sz w:val="20"/>
                <w:szCs w:val="20"/>
                <w:lang w:eastAsia="en-GB"/>
              </w:rPr>
              <w:t xml:space="preserve">подршку </w:t>
            </w:r>
            <w:r w:rsidRPr="000A2AFE">
              <w:rPr>
                <w:rFonts w:ascii="Calibri Light" w:eastAsia="Times New Roman" w:hAnsi="Calibri Light" w:cs="Calibri Light"/>
                <w:b/>
                <w:bCs/>
                <w:color w:val="000000"/>
                <w:sz w:val="20"/>
                <w:szCs w:val="20"/>
                <w:lang w:eastAsia="en-GB"/>
              </w:rPr>
              <w:t>д</w:t>
            </w:r>
            <w:r w:rsidR="00E6658B" w:rsidRPr="000A2AFE">
              <w:rPr>
                <w:rFonts w:ascii="Calibri Light" w:eastAsia="Times New Roman" w:hAnsi="Calibri Light" w:cs="Calibri Light"/>
                <w:b/>
                <w:bCs/>
                <w:color w:val="000000"/>
                <w:sz w:val="20"/>
                <w:szCs w:val="20"/>
                <w:lang w:eastAsia="en-GB"/>
              </w:rPr>
              <w:t>одатној</w:t>
            </w:r>
            <w:r w:rsidRPr="000A2AFE">
              <w:rPr>
                <w:rFonts w:ascii="Calibri Light" w:eastAsia="Times New Roman" w:hAnsi="Calibri Light" w:cs="Calibri Light"/>
                <w:b/>
                <w:bCs/>
                <w:color w:val="000000"/>
                <w:sz w:val="20"/>
                <w:szCs w:val="20"/>
                <w:lang w:eastAsia="en-GB"/>
              </w:rPr>
              <w:t xml:space="preserve"> употреби електричних возила</w:t>
            </w:r>
          </w:p>
        </w:tc>
      </w:tr>
      <w:tr w:rsidR="00854ADA" w:rsidRPr="00FF386D" w14:paraId="5F53D77E" w14:textId="77777777" w:rsidTr="0057310C">
        <w:trPr>
          <w:trHeight w:val="287"/>
        </w:trPr>
        <w:tc>
          <w:tcPr>
            <w:tcW w:w="3330" w:type="dxa"/>
            <w:tcBorders>
              <w:top w:val="nil"/>
              <w:left w:val="single" w:sz="8" w:space="0" w:color="auto"/>
              <w:bottom w:val="single" w:sz="8" w:space="0" w:color="auto"/>
              <w:right w:val="nil"/>
            </w:tcBorders>
            <w:shd w:val="clear" w:color="000000" w:fill="244062"/>
            <w:vAlign w:val="center"/>
            <w:hideMark/>
          </w:tcPr>
          <w:p w14:paraId="33797E6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56F3BAD8"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Повећан удео ОИЕ у саобраћају</w:t>
            </w:r>
          </w:p>
        </w:tc>
      </w:tr>
      <w:tr w:rsidR="00854ADA" w:rsidRPr="00FF386D" w14:paraId="60720AD4"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2E7EF39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Квантификовани циљ:</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2C62C9AD" w14:textId="38676F22" w:rsidR="00854ADA" w:rsidRDefault="00CC6B33" w:rsidP="00854ADA">
            <w:pPr>
              <w:spacing w:after="0" w:line="240" w:lineRule="auto"/>
              <w:rPr>
                <w:rFonts w:ascii="Calibri Light" w:eastAsia="Times New Roman" w:hAnsi="Calibri Light" w:cs="Calibri Light"/>
                <w:color w:val="000000"/>
                <w:sz w:val="20"/>
                <w:szCs w:val="20"/>
                <w:lang w:eastAsia="en-GB"/>
              </w:rPr>
            </w:pPr>
            <w:r w:rsidRPr="00CC6B33">
              <w:rPr>
                <w:rFonts w:ascii="Calibri Light" w:eastAsia="Times New Roman" w:hAnsi="Calibri Light" w:cs="Calibri Light"/>
                <w:color w:val="000000"/>
                <w:sz w:val="20"/>
                <w:szCs w:val="20"/>
                <w:lang w:eastAsia="en-GB"/>
              </w:rPr>
              <w:t>20,5 хиљада електричних возила, 18,9 хиљада електричних лаких теретних возила и 2,4 хиљаде електричних аутобуса</w:t>
            </w:r>
          </w:p>
          <w:p w14:paraId="575484A8" w14:textId="7EFC57C7" w:rsidR="00CC6B33" w:rsidRPr="00FF386D" w:rsidRDefault="00CC6B33" w:rsidP="00854ADA">
            <w:pPr>
              <w:spacing w:after="0" w:line="240" w:lineRule="auto"/>
              <w:rPr>
                <w:rFonts w:ascii="Calibri Light" w:eastAsia="Times New Roman" w:hAnsi="Calibri Light" w:cs="Calibri Light"/>
                <w:color w:val="000000"/>
                <w:sz w:val="20"/>
                <w:szCs w:val="20"/>
                <w:lang w:eastAsia="en-GB"/>
              </w:rPr>
            </w:pPr>
            <w:r w:rsidRPr="00CC6B33">
              <w:rPr>
                <w:rFonts w:ascii="Calibri Light" w:eastAsia="Times New Roman" w:hAnsi="Calibri Light" w:cs="Calibri Light"/>
                <w:color w:val="000000"/>
                <w:sz w:val="20"/>
                <w:szCs w:val="20"/>
                <w:lang w:eastAsia="en-GB"/>
              </w:rPr>
              <w:t>88 ktoe електричне енергије</w:t>
            </w:r>
          </w:p>
        </w:tc>
      </w:tr>
      <w:tr w:rsidR="00854ADA" w:rsidRPr="00FF386D" w14:paraId="3CB11525" w14:textId="77777777" w:rsidTr="0057310C">
        <w:trPr>
          <w:trHeight w:val="229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1216532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7D8043AC" w14:textId="5B346062"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МП_</w:t>
            </w:r>
            <w:r w:rsidR="00CC6B33" w:rsidRPr="000A2AFE">
              <w:rPr>
                <w:rFonts w:ascii="Calibri Light" w:eastAsia="Times New Roman" w:hAnsi="Calibri Light" w:cs="Calibri Light"/>
                <w:color w:val="000000"/>
                <w:sz w:val="20"/>
                <w:szCs w:val="20"/>
                <w:lang w:eastAsia="en-GB"/>
              </w:rPr>
              <w:t>Д3</w:t>
            </w:r>
            <w:r w:rsidR="00CC6B33">
              <w:rPr>
                <w:rFonts w:ascii="Calibri Light" w:eastAsia="Times New Roman" w:hAnsi="Calibri Light" w:cs="Calibri Light"/>
                <w:color w:val="000000"/>
                <w:sz w:val="20"/>
                <w:szCs w:val="20"/>
                <w:lang w:eastAsia="en-GB"/>
              </w:rPr>
              <w:t>5</w:t>
            </w:r>
            <w:r w:rsidR="00CC6B33" w:rsidRPr="000A2AFE">
              <w:rPr>
                <w:rFonts w:ascii="Calibri Light" w:eastAsia="Times New Roman" w:hAnsi="Calibri Light" w:cs="Calibri Light"/>
                <w:color w:val="000000"/>
                <w:sz w:val="20"/>
                <w:szCs w:val="20"/>
                <w:lang w:eastAsia="en-GB"/>
              </w:rPr>
              <w:t xml:space="preserve"> </w:t>
            </w:r>
            <w:r w:rsidR="00CC6B33" w:rsidRPr="00CC6B33">
              <w:rPr>
                <w:rFonts w:ascii="Calibri Light" w:eastAsia="Times New Roman" w:hAnsi="Calibri Light" w:cs="Calibri Light"/>
                <w:color w:val="000000"/>
                <w:sz w:val="20"/>
                <w:szCs w:val="20"/>
                <w:lang w:eastAsia="en-GB"/>
              </w:rPr>
              <w:t>предвиђа</w:t>
            </w:r>
            <w:r w:rsidR="00CC6B33">
              <w:rPr>
                <w:rFonts w:ascii="Calibri Light" w:eastAsia="Times New Roman" w:hAnsi="Calibri Light" w:cs="Calibri Light"/>
                <w:color w:val="000000"/>
                <w:sz w:val="20"/>
                <w:szCs w:val="20"/>
                <w:lang w:eastAsia="en-GB"/>
              </w:rPr>
              <w:t xml:space="preserve"> </w:t>
            </w:r>
            <w:r w:rsidR="00CC6B33" w:rsidRPr="00CC6B33">
              <w:rPr>
                <w:rFonts w:ascii="Calibri Light" w:eastAsia="Times New Roman" w:hAnsi="Calibri Light" w:cs="Calibri Light"/>
                <w:color w:val="000000"/>
                <w:sz w:val="20"/>
                <w:szCs w:val="20"/>
                <w:lang w:eastAsia="en-GB"/>
              </w:rPr>
              <w:t>пружање</w:t>
            </w:r>
            <w:r w:rsidRPr="000A2AFE">
              <w:rPr>
                <w:rFonts w:ascii="Calibri Light" w:eastAsia="Times New Roman" w:hAnsi="Calibri Light" w:cs="Calibri Light"/>
                <w:color w:val="000000"/>
                <w:sz w:val="20"/>
                <w:szCs w:val="20"/>
                <w:lang w:eastAsia="en-GB"/>
              </w:rPr>
              <w:t xml:space="preserve"> </w:t>
            </w:r>
            <w:r w:rsidR="00CC6B33" w:rsidRPr="000A2AFE">
              <w:rPr>
                <w:rFonts w:ascii="Calibri Light" w:eastAsia="Times New Roman" w:hAnsi="Calibri Light" w:cs="Calibri Light"/>
                <w:color w:val="000000"/>
                <w:sz w:val="20"/>
                <w:szCs w:val="20"/>
                <w:lang w:eastAsia="en-GB"/>
              </w:rPr>
              <w:t>субвенциј</w:t>
            </w:r>
            <w:r w:rsidR="00CC6B33">
              <w:rPr>
                <w:rFonts w:ascii="Calibri Light" w:eastAsia="Times New Roman" w:hAnsi="Calibri Light" w:cs="Calibri Light"/>
                <w:color w:val="000000"/>
                <w:sz w:val="20"/>
                <w:szCs w:val="20"/>
                <w:lang w:eastAsia="en-GB"/>
              </w:rPr>
              <w:t>а</w:t>
            </w:r>
            <w:r w:rsidR="00CC6B33"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 xml:space="preserve">и </w:t>
            </w:r>
            <w:r w:rsidR="00CC6B33" w:rsidRPr="000A2AFE">
              <w:rPr>
                <w:rFonts w:ascii="Calibri Light" w:eastAsia="Times New Roman" w:hAnsi="Calibri Light" w:cs="Calibri Light"/>
                <w:color w:val="000000"/>
                <w:sz w:val="20"/>
                <w:szCs w:val="20"/>
                <w:lang w:eastAsia="en-GB"/>
              </w:rPr>
              <w:t>фискалн</w:t>
            </w:r>
            <w:r w:rsidR="00CC6B33">
              <w:rPr>
                <w:rFonts w:ascii="Calibri Light" w:eastAsia="Times New Roman" w:hAnsi="Calibri Light" w:cs="Calibri Light"/>
                <w:color w:val="000000"/>
                <w:sz w:val="20"/>
                <w:szCs w:val="20"/>
                <w:lang w:eastAsia="en-GB"/>
              </w:rPr>
              <w:t>их</w:t>
            </w:r>
            <w:r w:rsidR="00CC6B33"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подстицај</w:t>
            </w:r>
            <w:r w:rsidR="00CC6B33">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за д</w:t>
            </w:r>
            <w:r w:rsidR="00D8136E" w:rsidRPr="000A2AFE">
              <w:rPr>
                <w:rFonts w:ascii="Calibri Light" w:eastAsia="Times New Roman" w:hAnsi="Calibri Light" w:cs="Calibri Light"/>
                <w:color w:val="000000"/>
                <w:sz w:val="20"/>
                <w:szCs w:val="20"/>
                <w:lang w:eastAsia="en-GB"/>
              </w:rPr>
              <w:t>одатну</w:t>
            </w:r>
            <w:r w:rsidRPr="000A2AFE">
              <w:rPr>
                <w:rFonts w:ascii="Calibri Light" w:eastAsia="Times New Roman" w:hAnsi="Calibri Light" w:cs="Calibri Light"/>
                <w:color w:val="000000"/>
                <w:sz w:val="20"/>
                <w:szCs w:val="20"/>
                <w:lang w:eastAsia="en-GB"/>
              </w:rPr>
              <w:t xml:space="preserve"> употребу електричних возила фокусирајући се на енергетски интензивне категорије, као што су таксији, лака теретна возила итд. </w:t>
            </w:r>
            <w:r w:rsidR="00CC6B33" w:rsidRPr="00CC6B33">
              <w:rPr>
                <w:rFonts w:ascii="Calibri Light" w:eastAsia="Times New Roman" w:hAnsi="Calibri Light" w:cs="Calibri Light"/>
                <w:color w:val="000000"/>
                <w:sz w:val="20"/>
                <w:szCs w:val="20"/>
                <w:lang w:eastAsia="en-GB"/>
              </w:rPr>
              <w:t xml:space="preserve">Постојеће субвенције ће бити унапређене тако да ефикасно доприносе постизању циљева. </w:t>
            </w:r>
            <w:r w:rsidRPr="000A2AFE">
              <w:rPr>
                <w:rFonts w:ascii="Calibri Light" w:eastAsia="Times New Roman" w:hAnsi="Calibri Light" w:cs="Calibri Light"/>
                <w:color w:val="000000"/>
                <w:sz w:val="20"/>
                <w:szCs w:val="20"/>
                <w:lang w:eastAsia="en-GB"/>
              </w:rPr>
              <w:t>Биће предвиђени различити подстицаји за набавку и коришћење електричних возила. Индикативне мере обухватају давање бесповратних средстава на тржишну цену, смањење трошкова регистрације и коришћења преко пореских олакшица и умањења</w:t>
            </w:r>
            <w:r w:rsidR="00D8136E" w:rsidRPr="000A2AFE">
              <w:rPr>
                <w:rFonts w:ascii="Calibri Light" w:eastAsia="Times New Roman" w:hAnsi="Calibri Light" w:cs="Calibri Light"/>
                <w:color w:val="000000"/>
                <w:sz w:val="20"/>
                <w:szCs w:val="20"/>
                <w:lang w:eastAsia="en-GB"/>
              </w:rPr>
              <w:t xml:space="preserve"> пореза</w:t>
            </w:r>
            <w:r w:rsidRPr="000A2AFE">
              <w:rPr>
                <w:rFonts w:ascii="Calibri Light" w:eastAsia="Times New Roman" w:hAnsi="Calibri Light" w:cs="Calibri Light"/>
                <w:color w:val="000000"/>
                <w:sz w:val="20"/>
                <w:szCs w:val="20"/>
                <w:lang w:eastAsia="en-GB"/>
              </w:rPr>
              <w:t xml:space="preserve">, </w:t>
            </w:r>
            <w:r w:rsidR="00D8136E" w:rsidRPr="000A2AFE">
              <w:rPr>
                <w:rFonts w:ascii="Calibri Light" w:eastAsia="Times New Roman" w:hAnsi="Calibri Light" w:cs="Calibri Light"/>
                <w:color w:val="000000"/>
                <w:sz w:val="20"/>
                <w:szCs w:val="20"/>
                <w:lang w:eastAsia="en-GB"/>
              </w:rPr>
              <w:t>покретање</w:t>
            </w:r>
            <w:r w:rsidRPr="000A2AFE">
              <w:rPr>
                <w:rFonts w:ascii="Calibri Light" w:eastAsia="Times New Roman" w:hAnsi="Calibri Light" w:cs="Calibri Light"/>
                <w:color w:val="000000"/>
                <w:sz w:val="20"/>
                <w:szCs w:val="20"/>
                <w:lang w:eastAsia="en-GB"/>
              </w:rPr>
              <w:t xml:space="preserve"> посебне политике цена у програмима осигурања, смањене путарине, бесплатн</w:t>
            </w:r>
            <w:r w:rsidR="00D8136E" w:rsidRPr="000A2AFE">
              <w:rPr>
                <w:rFonts w:ascii="Calibri Light" w:eastAsia="Times New Roman" w:hAnsi="Calibri Light" w:cs="Calibri Light"/>
                <w:color w:val="000000"/>
                <w:sz w:val="20"/>
                <w:szCs w:val="20"/>
                <w:lang w:eastAsia="en-GB"/>
              </w:rPr>
              <w:t>и</w:t>
            </w:r>
            <w:r w:rsidRPr="000A2AFE">
              <w:rPr>
                <w:rFonts w:ascii="Calibri Light" w:eastAsia="Times New Roman" w:hAnsi="Calibri Light" w:cs="Calibri Light"/>
                <w:color w:val="000000"/>
                <w:sz w:val="20"/>
                <w:szCs w:val="20"/>
                <w:lang w:eastAsia="en-GB"/>
              </w:rPr>
              <w:t xml:space="preserve"> улаз у центар града и </w:t>
            </w:r>
            <w:r w:rsidR="00D8136E" w:rsidRPr="000A2AFE">
              <w:rPr>
                <w:rFonts w:ascii="Calibri Light" w:eastAsia="Times New Roman" w:hAnsi="Calibri Light" w:cs="Calibri Light"/>
                <w:color w:val="000000"/>
                <w:sz w:val="20"/>
                <w:szCs w:val="20"/>
                <w:lang w:eastAsia="en-GB"/>
              </w:rPr>
              <w:t xml:space="preserve">бесплатно </w:t>
            </w:r>
            <w:r w:rsidR="001A65C9" w:rsidRPr="000A2AFE">
              <w:rPr>
                <w:rFonts w:ascii="Calibri Light" w:eastAsia="Times New Roman" w:hAnsi="Calibri Light" w:cs="Calibri Light"/>
                <w:color w:val="000000"/>
                <w:sz w:val="20"/>
                <w:szCs w:val="20"/>
                <w:lang w:eastAsia="en-GB"/>
              </w:rPr>
              <w:t>паркирањ</w:t>
            </w:r>
            <w:r w:rsidR="001A65C9" w:rsidRPr="00FF386D">
              <w:rPr>
                <w:rFonts w:ascii="Calibri Light" w:eastAsia="Times New Roman" w:hAnsi="Calibri Light" w:cs="Calibri Light"/>
                <w:color w:val="000000"/>
                <w:sz w:val="20"/>
                <w:szCs w:val="20"/>
                <w:lang w:eastAsia="en-GB"/>
              </w:rPr>
              <w:t>е</w:t>
            </w:r>
            <w:r w:rsidR="001A65C9"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и права коришћења одређених места за паркирање.</w:t>
            </w:r>
          </w:p>
        </w:tc>
      </w:tr>
      <w:tr w:rsidR="00854ADA" w:rsidRPr="00FF386D" w14:paraId="132F02D1"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7085096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3AC78466" w14:textId="5D91B69C"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E6658B"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-2030.</w:t>
            </w:r>
          </w:p>
        </w:tc>
      </w:tr>
      <w:tr w:rsidR="00854ADA" w:rsidRPr="00FF386D" w14:paraId="26D69FBC"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0D8BC38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45D8BCFA"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Реформа</w:t>
            </w:r>
          </w:p>
        </w:tc>
      </w:tr>
      <w:tr w:rsidR="00854ADA" w:rsidRPr="00FF386D" w14:paraId="55462B37"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12BAABC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1E5C4816"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Саобраћај</w:t>
            </w:r>
          </w:p>
        </w:tc>
      </w:tr>
      <w:tr w:rsidR="00854ADA" w:rsidRPr="00FF386D" w14:paraId="1C316B29"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7FF4B1C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2EF2F103" w14:textId="76D08C26" w:rsidR="00854ADA" w:rsidRPr="00FF386D" w:rsidRDefault="00854ADA" w:rsidP="00854ADA">
            <w:pPr>
              <w:numPr>
                <w:ilvl w:val="0"/>
                <w:numId w:val="117"/>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Министарство </w:t>
            </w:r>
            <w:r w:rsidR="00E6658B" w:rsidRPr="000A2AFE">
              <w:rPr>
                <w:rFonts w:ascii="Calibri Light" w:eastAsia="Times New Roman" w:hAnsi="Calibri Light" w:cs="Calibri Light"/>
                <w:color w:val="000000"/>
                <w:sz w:val="20"/>
                <w:szCs w:val="20"/>
                <w:lang w:eastAsia="en-GB"/>
              </w:rPr>
              <w:t>за рударство и енергетику</w:t>
            </w:r>
          </w:p>
          <w:p w14:paraId="6955D0A0" w14:textId="180AF071" w:rsidR="00E6658B" w:rsidRPr="00FF386D" w:rsidRDefault="00E6658B" w:rsidP="00854ADA">
            <w:pPr>
              <w:numPr>
                <w:ilvl w:val="0"/>
                <w:numId w:val="11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грађевинарства, саобраћаја и инфраструктуре</w:t>
            </w:r>
          </w:p>
        </w:tc>
      </w:tr>
      <w:tr w:rsidR="00854ADA" w:rsidRPr="00FF386D" w14:paraId="2E703AE4" w14:textId="77777777" w:rsidTr="0057310C">
        <w:trPr>
          <w:trHeight w:val="315"/>
        </w:trPr>
        <w:tc>
          <w:tcPr>
            <w:tcW w:w="3330" w:type="dxa"/>
            <w:tcBorders>
              <w:top w:val="nil"/>
              <w:left w:val="single" w:sz="8" w:space="0" w:color="auto"/>
              <w:bottom w:val="single" w:sz="8" w:space="0" w:color="auto"/>
              <w:right w:val="nil"/>
            </w:tcBorders>
            <w:shd w:val="clear" w:color="000000" w:fill="244062"/>
            <w:vAlign w:val="center"/>
            <w:hideMark/>
          </w:tcPr>
          <w:p w14:paraId="2EE8BFF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321A1A50" w14:textId="38DECDD5" w:rsidR="00854ADA" w:rsidRPr="000A2AFE" w:rsidRDefault="004A4124" w:rsidP="000A2AFE">
            <w:pPr>
              <w:pStyle w:val="ListParagraph"/>
              <w:numPr>
                <w:ilvl w:val="0"/>
                <w:numId w:val="327"/>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1837724A" w14:textId="77777777" w:rsidTr="0057310C">
        <w:trPr>
          <w:trHeight w:val="315"/>
        </w:trPr>
        <w:tc>
          <w:tcPr>
            <w:tcW w:w="3330" w:type="dxa"/>
            <w:tcBorders>
              <w:top w:val="nil"/>
              <w:left w:val="single" w:sz="8" w:space="0" w:color="auto"/>
              <w:bottom w:val="single" w:sz="8" w:space="0" w:color="auto"/>
              <w:right w:val="nil"/>
            </w:tcBorders>
            <w:shd w:val="clear" w:color="000000" w:fill="244062"/>
            <w:vAlign w:val="center"/>
            <w:hideMark/>
          </w:tcPr>
          <w:p w14:paraId="22900FC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0BB9FBB2" w14:textId="036285C4" w:rsidR="00854ADA" w:rsidRPr="000A2AFE" w:rsidRDefault="00854ADA" w:rsidP="000A2AFE">
            <w:pPr>
              <w:pStyle w:val="ListParagraph"/>
              <w:numPr>
                <w:ilvl w:val="0"/>
                <w:numId w:val="327"/>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Утрошена </w:t>
            </w:r>
            <w:r w:rsidR="001A65C9" w:rsidRPr="000A2AFE">
              <w:rPr>
                <w:rFonts w:ascii="Calibri Light" w:eastAsia="Times New Roman" w:hAnsi="Calibri Light" w:cs="Calibri Light"/>
                <w:color w:val="000000"/>
                <w:sz w:val="20"/>
                <w:szCs w:val="20"/>
                <w:lang w:eastAsia="en-GB"/>
              </w:rPr>
              <w:t xml:space="preserve">електрична </w:t>
            </w:r>
            <w:r w:rsidRPr="000A2AFE">
              <w:rPr>
                <w:rFonts w:ascii="Calibri Light" w:eastAsia="Times New Roman" w:hAnsi="Calibri Light" w:cs="Calibri Light"/>
                <w:color w:val="000000"/>
                <w:sz w:val="20"/>
                <w:szCs w:val="20"/>
                <w:lang w:eastAsia="en-GB"/>
              </w:rPr>
              <w:t>енергија у сектору саобраћаја</w:t>
            </w:r>
          </w:p>
          <w:p w14:paraId="78F98A31" w14:textId="55D521D8" w:rsidR="00854ADA" w:rsidRPr="000A2AFE" w:rsidRDefault="00854ADA" w:rsidP="000A2AFE">
            <w:pPr>
              <w:pStyle w:val="ListParagraph"/>
              <w:numPr>
                <w:ilvl w:val="0"/>
                <w:numId w:val="327"/>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w:t>
            </w:r>
            <w:r w:rsidR="00E6658B" w:rsidRPr="000A2AFE">
              <w:rPr>
                <w:rFonts w:ascii="Calibri Light" w:eastAsia="Times New Roman" w:hAnsi="Calibri Light" w:cs="Calibri Light"/>
                <w:color w:val="000000"/>
                <w:sz w:val="20"/>
                <w:szCs w:val="20"/>
                <w:lang w:eastAsia="en-GB"/>
              </w:rPr>
              <w:t>одржана</w:t>
            </w:r>
            <w:r w:rsidRPr="000A2AFE">
              <w:rPr>
                <w:rFonts w:ascii="Calibri Light" w:eastAsia="Times New Roman" w:hAnsi="Calibri Light" w:cs="Calibri Light"/>
                <w:color w:val="000000"/>
                <w:sz w:val="20"/>
                <w:szCs w:val="20"/>
                <w:lang w:eastAsia="en-GB"/>
              </w:rPr>
              <w:t xml:space="preserve"> електрична возила</w:t>
            </w:r>
          </w:p>
        </w:tc>
      </w:tr>
      <w:tr w:rsidR="00854ADA" w:rsidRPr="00FF386D" w14:paraId="6DB220BB" w14:textId="77777777" w:rsidTr="0057310C">
        <w:trPr>
          <w:trHeight w:val="311"/>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2228375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7006341F" w14:textId="79F67EE1" w:rsidR="004A4124" w:rsidRPr="004A4124" w:rsidRDefault="004A4124" w:rsidP="004A4124">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4A4124">
              <w:rPr>
                <w:rFonts w:ascii="Calibri Light" w:eastAsia="Times New Roman" w:hAnsi="Calibri Light" w:cs="Calibri Light"/>
                <w:color w:val="000000"/>
                <w:sz w:val="20"/>
                <w:szCs w:val="20"/>
                <w:lang w:eastAsia="en-GB"/>
              </w:rPr>
              <w:t>Енергетска ефикасност (промовисан</w:t>
            </w:r>
            <w:r>
              <w:rPr>
                <w:rFonts w:ascii="Calibri Light" w:eastAsia="Times New Roman" w:hAnsi="Calibri Light" w:cs="Calibri Light"/>
                <w:color w:val="000000"/>
                <w:sz w:val="20"/>
                <w:szCs w:val="20"/>
                <w:lang w:eastAsia="en-GB"/>
              </w:rPr>
              <w:t>а</w:t>
            </w:r>
            <w:r w:rsidRPr="004A4124">
              <w:rPr>
                <w:rFonts w:ascii="Calibri Light" w:eastAsia="Times New Roman" w:hAnsi="Calibri Light" w:cs="Calibri Light"/>
                <w:color w:val="000000"/>
                <w:sz w:val="20"/>
                <w:szCs w:val="20"/>
                <w:lang w:eastAsia="en-GB"/>
              </w:rPr>
              <w:t xml:space="preserve"> </w:t>
            </w:r>
            <w:r>
              <w:rPr>
                <w:rFonts w:ascii="Calibri Light" w:eastAsia="Times New Roman" w:hAnsi="Calibri Light" w:cs="Calibri Light"/>
                <w:color w:val="000000"/>
                <w:sz w:val="20"/>
                <w:szCs w:val="20"/>
                <w:lang w:eastAsia="en-GB"/>
              </w:rPr>
              <w:t>електрична возила</w:t>
            </w:r>
            <w:r w:rsidRPr="004A4124">
              <w:rPr>
                <w:rFonts w:ascii="Calibri Light" w:eastAsia="Times New Roman" w:hAnsi="Calibri Light" w:cs="Calibri Light"/>
                <w:color w:val="000000"/>
                <w:sz w:val="20"/>
                <w:szCs w:val="20"/>
                <w:lang w:eastAsia="en-GB"/>
              </w:rPr>
              <w:t xml:space="preserve"> ће довести и до уштеде финалне и примарне енергије доприносећи постизању релевантних циљева)</w:t>
            </w:r>
          </w:p>
          <w:p w14:paraId="7BE079EB" w14:textId="390A6C05" w:rsidR="00854ADA" w:rsidRPr="00FF386D" w:rsidRDefault="004A4124" w:rsidP="004A4124">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4A4124">
              <w:rPr>
                <w:rFonts w:ascii="Calibri Light" w:eastAsia="Times New Roman" w:hAnsi="Calibri Light" w:cs="Calibri Light"/>
                <w:color w:val="000000"/>
                <w:sz w:val="20"/>
                <w:szCs w:val="20"/>
                <w:lang w:eastAsia="en-GB"/>
              </w:rPr>
              <w:t>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854ADA" w:rsidRPr="00FF386D" w14:paraId="33D3BC32" w14:textId="77777777" w:rsidTr="0057310C">
        <w:trPr>
          <w:trHeight w:val="450"/>
        </w:trPr>
        <w:tc>
          <w:tcPr>
            <w:tcW w:w="3330"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659EA995" w14:textId="1CA362C7"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28"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12DC9884"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2018/2001/ЕУ</w:t>
            </w:r>
          </w:p>
        </w:tc>
      </w:tr>
      <w:tr w:rsidR="00854ADA" w:rsidRPr="00FF386D" w14:paraId="4B085479" w14:textId="77777777" w:rsidTr="0057310C">
        <w:trPr>
          <w:trHeight w:val="450"/>
        </w:trPr>
        <w:tc>
          <w:tcPr>
            <w:tcW w:w="3330" w:type="dxa"/>
            <w:vMerge/>
            <w:tcBorders>
              <w:top w:val="nil"/>
              <w:left w:val="single" w:sz="8" w:space="0" w:color="auto"/>
              <w:bottom w:val="single" w:sz="8" w:space="0" w:color="000000"/>
              <w:right w:val="single" w:sz="8" w:space="0" w:color="auto"/>
            </w:tcBorders>
            <w:vAlign w:val="center"/>
            <w:hideMark/>
          </w:tcPr>
          <w:p w14:paraId="5CE7A58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8" w:type="dxa"/>
            <w:gridSpan w:val="3"/>
            <w:vMerge/>
            <w:tcBorders>
              <w:top w:val="single" w:sz="8" w:space="0" w:color="auto"/>
              <w:left w:val="single" w:sz="8" w:space="0" w:color="auto"/>
              <w:bottom w:val="single" w:sz="8" w:space="0" w:color="000000"/>
              <w:right w:val="single" w:sz="8" w:space="0" w:color="000000"/>
            </w:tcBorders>
            <w:vAlign w:val="center"/>
            <w:hideMark/>
          </w:tcPr>
          <w:p w14:paraId="3DC50973"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5DEAC00F" w14:textId="77777777" w:rsidTr="0057310C">
        <w:trPr>
          <w:trHeight w:val="450"/>
        </w:trPr>
        <w:tc>
          <w:tcPr>
            <w:tcW w:w="3330" w:type="dxa"/>
            <w:vMerge/>
            <w:tcBorders>
              <w:top w:val="nil"/>
              <w:left w:val="single" w:sz="8" w:space="0" w:color="auto"/>
              <w:bottom w:val="single" w:sz="8" w:space="0" w:color="000000"/>
              <w:right w:val="single" w:sz="8" w:space="0" w:color="auto"/>
            </w:tcBorders>
            <w:vAlign w:val="center"/>
            <w:hideMark/>
          </w:tcPr>
          <w:p w14:paraId="199D7BA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8" w:type="dxa"/>
            <w:gridSpan w:val="3"/>
            <w:vMerge/>
            <w:tcBorders>
              <w:top w:val="single" w:sz="8" w:space="0" w:color="auto"/>
              <w:left w:val="single" w:sz="8" w:space="0" w:color="auto"/>
              <w:bottom w:val="single" w:sz="8" w:space="0" w:color="000000"/>
              <w:right w:val="single" w:sz="8" w:space="0" w:color="000000"/>
            </w:tcBorders>
            <w:vAlign w:val="center"/>
            <w:hideMark/>
          </w:tcPr>
          <w:p w14:paraId="499E6DE5"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58B4B502" w14:textId="77777777" w:rsidTr="0057310C">
        <w:trPr>
          <w:trHeight w:val="203"/>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11D6DF6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7B4672F2" w14:textId="75B274D6" w:rsidR="00854ADA" w:rsidRPr="00FF386D" w:rsidRDefault="00CC6B33"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CC6B33">
              <w:rPr>
                <w:rFonts w:ascii="Calibri Light" w:eastAsia="Times New Roman" w:hAnsi="Calibri Light" w:cs="Calibri Light"/>
                <w:color w:val="000000"/>
                <w:sz w:val="20"/>
                <w:szCs w:val="20"/>
                <w:lang w:eastAsia="en-GB"/>
              </w:rPr>
              <w:t>Закон о порезима на употребу, држање и ношење добара</w:t>
            </w:r>
            <w:r>
              <w:rPr>
                <w:rStyle w:val="FootnoteReference"/>
                <w:rFonts w:ascii="Calibri Light" w:eastAsia="Times New Roman" w:hAnsi="Calibri Light" w:cs="Calibri Light"/>
                <w:color w:val="000000"/>
                <w:sz w:val="20"/>
                <w:szCs w:val="20"/>
                <w:lang w:eastAsia="en-GB"/>
              </w:rPr>
              <w:footnoteReference w:id="109"/>
            </w:r>
          </w:p>
        </w:tc>
      </w:tr>
      <w:tr w:rsidR="00854ADA" w:rsidRPr="00FF386D" w14:paraId="42294EBB"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2790FAC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28" w:type="dxa"/>
            <w:gridSpan w:val="3"/>
            <w:tcBorders>
              <w:top w:val="single" w:sz="4" w:space="0" w:color="auto"/>
              <w:left w:val="single" w:sz="4" w:space="0" w:color="auto"/>
              <w:bottom w:val="single" w:sz="4" w:space="0" w:color="000000"/>
              <w:right w:val="single" w:sz="4" w:space="0" w:color="auto"/>
            </w:tcBorders>
            <w:shd w:val="clear" w:color="auto" w:fill="auto"/>
            <w:vAlign w:val="center"/>
            <w:hideMark/>
          </w:tcPr>
          <w:p w14:paraId="105C34E9" w14:textId="5C237D70"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Буџет обухваћен у мерама димензије енергетска ефикасност</w:t>
            </w:r>
          </w:p>
          <w:p w14:paraId="7FF0563D" w14:textId="33C477FD" w:rsidR="00E6658B" w:rsidRPr="00FF386D" w:rsidRDefault="00E6658B" w:rsidP="00854ADA">
            <w:pPr>
              <w:spacing w:after="0" w:line="240" w:lineRule="auto"/>
              <w:rPr>
                <w:rFonts w:asciiTheme="majorHAnsi" w:eastAsia="Times New Roman" w:hAnsiTheme="majorHAnsi" w:cstheme="majorHAnsi"/>
                <w:color w:val="000000"/>
                <w:lang w:eastAsia="en-GB"/>
              </w:rPr>
            </w:pPr>
            <w:bookmarkStart w:id="110" w:name="_Hlk135854044"/>
            <w:r w:rsidRPr="00FF386D">
              <w:rPr>
                <w:rFonts w:asciiTheme="majorHAnsi" w:eastAsia="Times New Roman" w:hAnsiTheme="majorHAnsi" w:cstheme="majorHAnsi"/>
                <w:color w:val="000000"/>
                <w:lang w:eastAsia="en-GB"/>
              </w:rPr>
              <w:t>(МП_</w:t>
            </w:r>
            <w:r w:rsidRPr="000A2AFE">
              <w:rPr>
                <w:rFonts w:asciiTheme="majorHAnsi" w:eastAsia="Times New Roman" w:hAnsiTheme="majorHAnsi" w:cstheme="majorHAnsi"/>
                <w:color w:val="000000"/>
                <w:lang w:eastAsia="en-GB"/>
              </w:rPr>
              <w:t>EE</w:t>
            </w:r>
            <w:r w:rsidRPr="00FF386D">
              <w:rPr>
                <w:rFonts w:asciiTheme="majorHAnsi" w:eastAsia="Times New Roman" w:hAnsiTheme="majorHAnsi" w:cstheme="majorHAnsi"/>
                <w:color w:val="000000"/>
                <w:lang w:eastAsia="en-GB"/>
              </w:rPr>
              <w:t xml:space="preserve">12, </w:t>
            </w:r>
            <w:r w:rsidRPr="000A2AFE">
              <w:rPr>
                <w:rFonts w:asciiTheme="majorHAnsi" w:eastAsia="Times New Roman" w:hAnsiTheme="majorHAnsi" w:cstheme="majorHAnsi"/>
                <w:color w:val="000000"/>
                <w:lang w:eastAsia="en-GB"/>
              </w:rPr>
              <w:t>M</w:t>
            </w:r>
            <w:r w:rsidRPr="00FF386D">
              <w:rPr>
                <w:rFonts w:asciiTheme="majorHAnsi" w:eastAsia="Times New Roman" w:hAnsiTheme="majorHAnsi" w:cstheme="majorHAnsi"/>
                <w:color w:val="000000"/>
                <w:lang w:eastAsia="en-GB"/>
              </w:rPr>
              <w:t>П_</w:t>
            </w:r>
            <w:r w:rsidRPr="000A2AFE">
              <w:rPr>
                <w:rFonts w:asciiTheme="majorHAnsi" w:eastAsia="Times New Roman" w:hAnsiTheme="majorHAnsi" w:cstheme="majorHAnsi"/>
                <w:color w:val="000000"/>
                <w:lang w:eastAsia="en-GB"/>
              </w:rPr>
              <w:t>EE</w:t>
            </w:r>
            <w:r w:rsidRPr="00FF386D">
              <w:rPr>
                <w:rFonts w:asciiTheme="majorHAnsi" w:eastAsia="Times New Roman" w:hAnsiTheme="majorHAnsi" w:cstheme="majorHAnsi"/>
                <w:color w:val="000000"/>
                <w:lang w:eastAsia="en-GB"/>
              </w:rPr>
              <w:t xml:space="preserve">14, </w:t>
            </w:r>
            <w:r w:rsidRPr="000A2AFE">
              <w:rPr>
                <w:rFonts w:asciiTheme="majorHAnsi" w:eastAsia="Times New Roman" w:hAnsiTheme="majorHAnsi" w:cstheme="majorHAnsi"/>
                <w:color w:val="000000"/>
                <w:lang w:eastAsia="en-GB"/>
              </w:rPr>
              <w:t>M</w:t>
            </w:r>
            <w:r w:rsidRPr="00FF386D">
              <w:rPr>
                <w:rFonts w:asciiTheme="majorHAnsi" w:eastAsia="Times New Roman" w:hAnsiTheme="majorHAnsi" w:cstheme="majorHAnsi"/>
                <w:color w:val="000000"/>
                <w:lang w:eastAsia="en-GB"/>
              </w:rPr>
              <w:t>П_</w:t>
            </w:r>
            <w:r w:rsidRPr="000A2AFE">
              <w:rPr>
                <w:rFonts w:asciiTheme="majorHAnsi" w:eastAsia="Times New Roman" w:hAnsiTheme="majorHAnsi" w:cstheme="majorHAnsi"/>
                <w:color w:val="000000"/>
                <w:lang w:eastAsia="en-GB"/>
              </w:rPr>
              <w:t>EE</w:t>
            </w:r>
            <w:r w:rsidRPr="00FF386D">
              <w:rPr>
                <w:rFonts w:asciiTheme="majorHAnsi" w:eastAsia="Times New Roman" w:hAnsiTheme="majorHAnsi" w:cstheme="majorHAnsi"/>
                <w:color w:val="000000"/>
                <w:lang w:eastAsia="en-GB"/>
              </w:rPr>
              <w:t>18</w:t>
            </w:r>
            <w:bookmarkEnd w:id="110"/>
            <w:r w:rsidRPr="00FF386D">
              <w:rPr>
                <w:rFonts w:asciiTheme="majorHAnsi" w:eastAsia="Times New Roman" w:hAnsiTheme="majorHAnsi" w:cstheme="majorHAnsi"/>
                <w:color w:val="000000"/>
                <w:lang w:eastAsia="en-GB"/>
              </w:rPr>
              <w:t>)</w:t>
            </w:r>
            <w:r w:rsidR="00200856">
              <w:rPr>
                <w:rFonts w:asciiTheme="majorHAnsi" w:eastAsia="Times New Roman" w:hAnsiTheme="majorHAnsi" w:cstheme="majorHAnsi"/>
                <w:color w:val="000000"/>
                <w:lang w:eastAsia="en-GB"/>
              </w:rPr>
              <w:t xml:space="preserve"> 570 милиона евра за електрична возила, 1596 милиона евра за </w:t>
            </w:r>
            <w:r w:rsidR="00D56936">
              <w:rPr>
                <w:rFonts w:asciiTheme="majorHAnsi" w:eastAsia="Times New Roman" w:hAnsiTheme="majorHAnsi" w:cstheme="majorHAnsi"/>
                <w:color w:val="000000"/>
                <w:lang w:eastAsia="en-GB"/>
              </w:rPr>
              <w:t>лако теретна возила и 505 милиона евра за електричне аутобусе</w:t>
            </w:r>
          </w:p>
        </w:tc>
      </w:tr>
      <w:tr w:rsidR="00854ADA" w:rsidRPr="00FF386D" w14:paraId="72A8242E"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45BE3D6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2E46F169" w14:textId="446D957A"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E6658B" w:rsidRPr="00FF386D">
              <w:rPr>
                <w:rFonts w:asciiTheme="majorHAnsi" w:eastAsia="Times New Roman" w:hAnsiTheme="majorHAnsi" w:cstheme="majorHAnsi"/>
                <w:color w:val="000000"/>
                <w:sz w:val="20"/>
                <w:szCs w:val="20"/>
                <w:lang w:eastAsia="en-GB"/>
              </w:rPr>
              <w:t>ска</w:t>
            </w:r>
            <w:r w:rsidRPr="00FF386D">
              <w:rPr>
                <w:rFonts w:asciiTheme="majorHAnsi" w:eastAsia="Times New Roman" w:hAnsiTheme="majorHAnsi" w:cstheme="majorHAnsi"/>
                <w:color w:val="000000"/>
                <w:sz w:val="20"/>
                <w:szCs w:val="20"/>
                <w:lang w:eastAsia="en-GB"/>
              </w:rPr>
              <w:t xml:space="preserve"> и сопствена средства</w:t>
            </w:r>
          </w:p>
        </w:tc>
      </w:tr>
    </w:tbl>
    <w:p w14:paraId="3780ED26" w14:textId="77777777" w:rsidR="00854ADA" w:rsidRPr="00FF386D" w:rsidRDefault="00854ADA" w:rsidP="00854ADA">
      <w:pPr>
        <w:spacing w:before="160"/>
        <w:jc w:val="both"/>
        <w:rPr>
          <w:rFonts w:asciiTheme="majorHAnsi" w:hAnsiTheme="majorHAnsi" w:cstheme="majorHAnsi"/>
          <w:b/>
          <w:bCs/>
          <w:color w:val="000000"/>
        </w:rPr>
      </w:pPr>
      <w:r w:rsidRPr="00FF386D">
        <w:rPr>
          <w:rFonts w:asciiTheme="majorHAnsi" w:hAnsiTheme="majorHAnsi" w:cstheme="majorHAnsi"/>
          <w:b/>
          <w:bCs/>
          <w:color w:val="000000"/>
        </w:rPr>
        <w:t>Мултидисциплинарна питања</w:t>
      </w:r>
    </w:p>
    <w:p w14:paraId="6816AF22" w14:textId="74FA7F37"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Додељиваће се подстицаји за промовисање технологија складиштења енергије. Конкретно, биће </w:t>
      </w:r>
      <w:r w:rsidR="00D8136E" w:rsidRPr="00FF386D">
        <w:rPr>
          <w:rFonts w:asciiTheme="majorHAnsi" w:hAnsiTheme="majorHAnsi" w:cstheme="majorHAnsi"/>
          <w:color w:val="000000"/>
        </w:rPr>
        <w:t>усвојен правни оквир</w:t>
      </w:r>
      <w:r w:rsidRPr="00FF386D">
        <w:rPr>
          <w:rFonts w:asciiTheme="majorHAnsi" w:hAnsiTheme="majorHAnsi" w:cstheme="majorHAnsi"/>
          <w:color w:val="000000"/>
        </w:rPr>
        <w:t xml:space="preserve"> за </w:t>
      </w:r>
      <w:r w:rsidR="00D8136E" w:rsidRPr="00FF386D">
        <w:rPr>
          <w:rFonts w:asciiTheme="majorHAnsi" w:hAnsiTheme="majorHAnsi" w:cstheme="majorHAnsi"/>
          <w:color w:val="000000"/>
        </w:rPr>
        <w:t xml:space="preserve">инсталацију </w:t>
      </w:r>
      <w:r w:rsidRPr="00FF386D">
        <w:rPr>
          <w:rFonts w:asciiTheme="majorHAnsi" w:hAnsiTheme="majorHAnsi" w:cstheme="majorHAnsi"/>
          <w:color w:val="000000"/>
        </w:rPr>
        <w:t xml:space="preserve">постројења </w:t>
      </w:r>
      <w:r w:rsidR="00D8136E" w:rsidRPr="00FF386D">
        <w:rPr>
          <w:rFonts w:asciiTheme="majorHAnsi" w:hAnsiTheme="majorHAnsi" w:cstheme="majorHAnsi"/>
          <w:color w:val="000000"/>
        </w:rPr>
        <w:t xml:space="preserve">за </w:t>
      </w:r>
      <w:r w:rsidRPr="00FF386D">
        <w:rPr>
          <w:rFonts w:asciiTheme="majorHAnsi" w:hAnsiTheme="majorHAnsi" w:cstheme="majorHAnsi"/>
          <w:color w:val="000000"/>
        </w:rPr>
        <w:t xml:space="preserve">складиштења енергије, </w:t>
      </w:r>
      <w:r w:rsidR="0003589D" w:rsidRPr="00FF386D">
        <w:rPr>
          <w:rFonts w:asciiTheme="majorHAnsi" w:hAnsiTheme="majorHAnsi" w:cstheme="majorHAnsi"/>
          <w:color w:val="000000"/>
        </w:rPr>
        <w:t>а у случају</w:t>
      </w:r>
      <w:r w:rsidRPr="00FF386D">
        <w:rPr>
          <w:rFonts w:asciiTheme="majorHAnsi" w:hAnsiTheme="majorHAnsi" w:cstheme="majorHAnsi"/>
          <w:color w:val="000000"/>
        </w:rPr>
        <w:t xml:space="preserve"> децентрализованих постројења за складиштење енергије разматра</w:t>
      </w:r>
      <w:r w:rsidR="0003589D" w:rsidRPr="00FF386D">
        <w:rPr>
          <w:rFonts w:asciiTheme="majorHAnsi" w:hAnsiTheme="majorHAnsi" w:cstheme="majorHAnsi"/>
          <w:color w:val="000000"/>
        </w:rPr>
        <w:t>ће се</w:t>
      </w:r>
      <w:r w:rsidRPr="00FF386D">
        <w:rPr>
          <w:rFonts w:asciiTheme="majorHAnsi" w:hAnsiTheme="majorHAnsi" w:cstheme="majorHAnsi"/>
          <w:color w:val="000000"/>
        </w:rPr>
        <w:t xml:space="preserve"> различити инструменти подршке под условом да се максимално повећа </w:t>
      </w:r>
      <w:r w:rsidR="00D8136E" w:rsidRPr="00FF386D">
        <w:rPr>
          <w:rFonts w:asciiTheme="majorHAnsi" w:hAnsiTheme="majorHAnsi" w:cstheme="majorHAnsi"/>
          <w:color w:val="000000"/>
        </w:rPr>
        <w:t xml:space="preserve">ниво производње електричне енергије из ОИЕ за </w:t>
      </w:r>
      <w:r w:rsidRPr="00FF386D">
        <w:rPr>
          <w:rFonts w:asciiTheme="majorHAnsi" w:hAnsiTheme="majorHAnsi" w:cstheme="majorHAnsi"/>
          <w:color w:val="000000"/>
        </w:rPr>
        <w:t>сопствен</w:t>
      </w:r>
      <w:r w:rsidR="00D8136E" w:rsidRPr="00FF386D">
        <w:rPr>
          <w:rFonts w:asciiTheme="majorHAnsi" w:hAnsiTheme="majorHAnsi" w:cstheme="majorHAnsi"/>
          <w:color w:val="000000"/>
        </w:rPr>
        <w:t>у</w:t>
      </w:r>
      <w:r w:rsidRPr="00FF386D">
        <w:rPr>
          <w:rFonts w:asciiTheme="majorHAnsi" w:hAnsiTheme="majorHAnsi" w:cstheme="majorHAnsi"/>
          <w:color w:val="000000"/>
        </w:rPr>
        <w:t xml:space="preserve"> потрошњ</w:t>
      </w:r>
      <w:r w:rsidR="00D8136E" w:rsidRPr="00FF386D">
        <w:rPr>
          <w:rFonts w:asciiTheme="majorHAnsi" w:hAnsiTheme="majorHAnsi" w:cstheme="majorHAnsi"/>
          <w:color w:val="000000"/>
        </w:rPr>
        <w:t>у</w:t>
      </w:r>
      <w:r w:rsidR="004D3ACC" w:rsidRPr="00FF386D">
        <w:rPr>
          <w:rFonts w:asciiTheme="majorHAnsi" w:hAnsiTheme="majorHAnsi" w:cstheme="majorHAnsi"/>
          <w:color w:val="000000"/>
        </w:rPr>
        <w:t xml:space="preserve"> и</w:t>
      </w:r>
      <w:r w:rsidRPr="00FF386D">
        <w:rPr>
          <w:rFonts w:asciiTheme="majorHAnsi" w:hAnsiTheme="majorHAnsi" w:cstheme="majorHAnsi"/>
          <w:color w:val="000000"/>
        </w:rPr>
        <w:t xml:space="preserve"> промови</w:t>
      </w:r>
      <w:r w:rsidR="004D3ACC" w:rsidRPr="00FF386D">
        <w:rPr>
          <w:rFonts w:asciiTheme="majorHAnsi" w:hAnsiTheme="majorHAnsi" w:cstheme="majorHAnsi"/>
          <w:color w:val="000000"/>
        </w:rPr>
        <w:t xml:space="preserve">ше </w:t>
      </w:r>
      <w:r w:rsidRPr="00FF386D">
        <w:rPr>
          <w:rFonts w:asciiTheme="majorHAnsi" w:hAnsiTheme="majorHAnsi" w:cstheme="majorHAnsi"/>
          <w:color w:val="000000"/>
        </w:rPr>
        <w:t>енергетска ефикасност.</w:t>
      </w:r>
    </w:p>
    <w:p w14:paraId="49498D82" w14:textId="5A391E44"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Осим тога, производња и коришћење биометана и обновљивог водоника ће бити подстицана развојем и реализацијом демонстрационих пројеката</w:t>
      </w:r>
      <w:r w:rsidR="00D8136E" w:rsidRPr="00FF386D">
        <w:rPr>
          <w:rFonts w:asciiTheme="majorHAnsi" w:hAnsiTheme="majorHAnsi" w:cstheme="majorHAnsi"/>
          <w:color w:val="000000"/>
        </w:rPr>
        <w:t xml:space="preserve">, с циљем да се </w:t>
      </w:r>
      <w:r w:rsidRPr="00FF386D">
        <w:rPr>
          <w:rFonts w:asciiTheme="majorHAnsi" w:hAnsiTheme="majorHAnsi" w:cstheme="majorHAnsi"/>
          <w:color w:val="000000"/>
        </w:rPr>
        <w:t>значајно смање трошков</w:t>
      </w:r>
      <w:r w:rsidR="00D8136E" w:rsidRPr="00FF386D">
        <w:rPr>
          <w:rFonts w:asciiTheme="majorHAnsi" w:hAnsiTheme="majorHAnsi" w:cstheme="majorHAnsi"/>
          <w:color w:val="000000"/>
        </w:rPr>
        <w:t>и</w:t>
      </w:r>
      <w:r w:rsidRPr="00FF386D">
        <w:rPr>
          <w:rFonts w:asciiTheme="majorHAnsi" w:hAnsiTheme="majorHAnsi" w:cstheme="majorHAnsi"/>
          <w:color w:val="000000"/>
        </w:rPr>
        <w:t xml:space="preserve"> њихове </w:t>
      </w:r>
      <w:r w:rsidRPr="00FF386D">
        <w:rPr>
          <w:rFonts w:asciiTheme="majorHAnsi" w:hAnsiTheme="majorHAnsi" w:cstheme="majorHAnsi"/>
          <w:color w:val="000000"/>
        </w:rPr>
        <w:lastRenderedPageBreak/>
        <w:t xml:space="preserve">производње и </w:t>
      </w:r>
      <w:r w:rsidR="00D8136E" w:rsidRPr="00FF386D">
        <w:rPr>
          <w:rFonts w:asciiTheme="majorHAnsi" w:hAnsiTheme="majorHAnsi" w:cstheme="majorHAnsi"/>
          <w:color w:val="000000"/>
        </w:rPr>
        <w:t>унапреди</w:t>
      </w:r>
      <w:r w:rsidRPr="00FF386D">
        <w:rPr>
          <w:rFonts w:asciiTheme="majorHAnsi" w:hAnsiTheme="majorHAnsi" w:cstheme="majorHAnsi"/>
          <w:color w:val="000000"/>
        </w:rPr>
        <w:t xml:space="preserve"> њихов</w:t>
      </w:r>
      <w:r w:rsidR="00D8136E" w:rsidRPr="00FF386D">
        <w:rPr>
          <w:rFonts w:asciiTheme="majorHAnsi" w:hAnsiTheme="majorHAnsi" w:cstheme="majorHAnsi"/>
          <w:color w:val="000000"/>
        </w:rPr>
        <w:t>а</w:t>
      </w:r>
      <w:r w:rsidRPr="00FF386D">
        <w:rPr>
          <w:rFonts w:asciiTheme="majorHAnsi" w:hAnsiTheme="majorHAnsi" w:cstheme="majorHAnsi"/>
          <w:color w:val="000000"/>
        </w:rPr>
        <w:t xml:space="preserve"> техничк</w:t>
      </w:r>
      <w:r w:rsidR="00D8136E" w:rsidRPr="00FF386D">
        <w:rPr>
          <w:rFonts w:asciiTheme="majorHAnsi" w:hAnsiTheme="majorHAnsi" w:cstheme="majorHAnsi"/>
          <w:color w:val="000000"/>
        </w:rPr>
        <w:t>а</w:t>
      </w:r>
      <w:r w:rsidRPr="00FF386D">
        <w:rPr>
          <w:rFonts w:asciiTheme="majorHAnsi" w:hAnsiTheme="majorHAnsi" w:cstheme="majorHAnsi"/>
          <w:color w:val="000000"/>
        </w:rPr>
        <w:t xml:space="preserve"> изводљивост у погледу транспорта постојећим системом природног гаса. Истовремено, биће донет одговарајући законски оквир за развој потребне инфраструктуре </w:t>
      </w:r>
      <w:r w:rsidR="00BE7364" w:rsidRPr="00FF386D">
        <w:rPr>
          <w:rFonts w:asciiTheme="majorHAnsi" w:hAnsiTheme="majorHAnsi" w:cstheme="majorHAnsi"/>
          <w:color w:val="000000"/>
        </w:rPr>
        <w:t>што ће допринети додатном повећању</w:t>
      </w:r>
      <w:r w:rsidRPr="00FF386D">
        <w:rPr>
          <w:rFonts w:asciiTheme="majorHAnsi" w:hAnsiTheme="majorHAnsi" w:cstheme="majorHAnsi"/>
          <w:color w:val="000000"/>
        </w:rPr>
        <w:t xml:space="preserve"> потрошњ</w:t>
      </w:r>
      <w:r w:rsidR="0003589D" w:rsidRPr="00FF386D">
        <w:rPr>
          <w:rFonts w:asciiTheme="majorHAnsi" w:hAnsiTheme="majorHAnsi" w:cstheme="majorHAnsi"/>
          <w:color w:val="000000"/>
        </w:rPr>
        <w:t>е</w:t>
      </w:r>
      <w:r w:rsidRPr="00FF386D">
        <w:rPr>
          <w:rFonts w:asciiTheme="majorHAnsi" w:hAnsiTheme="majorHAnsi" w:cstheme="majorHAnsi"/>
          <w:color w:val="000000"/>
        </w:rPr>
        <w:t xml:space="preserve"> биометана и обновљивог водоника у свим секторима </w:t>
      </w:r>
      <w:r w:rsidR="00BE7364" w:rsidRPr="00FF386D">
        <w:rPr>
          <w:rFonts w:asciiTheme="majorHAnsi" w:hAnsiTheme="majorHAnsi" w:cstheme="majorHAnsi"/>
          <w:color w:val="000000"/>
        </w:rPr>
        <w:t>финалне</w:t>
      </w:r>
      <w:r w:rsidRPr="00FF386D">
        <w:rPr>
          <w:rFonts w:asciiTheme="majorHAnsi" w:hAnsiTheme="majorHAnsi" w:cstheme="majorHAnsi"/>
          <w:color w:val="000000"/>
        </w:rPr>
        <w:t xml:space="preserve"> потрошње. Разматраће се могућности изградње наменске инфраструктуре великог обима за складиштење и транспорт чистог водоника, која не би била ограничена само на цевоводе од тачке до тачке унутар индустријских кластера.</w:t>
      </w:r>
    </w:p>
    <w:p w14:paraId="25C68C1F" w14:textId="2CF99EF8"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На крају, </w:t>
      </w:r>
      <w:r w:rsidR="002C00B3" w:rsidRPr="00FF386D">
        <w:rPr>
          <w:rFonts w:asciiTheme="majorHAnsi" w:hAnsiTheme="majorHAnsi" w:cstheme="majorHAnsi"/>
          <w:color w:val="000000"/>
        </w:rPr>
        <w:t xml:space="preserve">биће унапређени </w:t>
      </w:r>
      <w:r w:rsidR="00BE7364" w:rsidRPr="00FF386D">
        <w:rPr>
          <w:rFonts w:asciiTheme="majorHAnsi" w:hAnsiTheme="majorHAnsi" w:cstheme="majorHAnsi"/>
          <w:color w:val="000000"/>
        </w:rPr>
        <w:t>постојећи поступци</w:t>
      </w:r>
      <w:r w:rsidRPr="00FF386D">
        <w:rPr>
          <w:rFonts w:asciiTheme="majorHAnsi" w:hAnsiTheme="majorHAnsi" w:cstheme="majorHAnsi"/>
          <w:color w:val="000000"/>
        </w:rPr>
        <w:t xml:space="preserve"> јавних набавки</w:t>
      </w:r>
      <w:r w:rsidR="002C00B3" w:rsidRPr="00FF386D">
        <w:rPr>
          <w:rFonts w:asciiTheme="majorHAnsi" w:hAnsiTheme="majorHAnsi" w:cstheme="majorHAnsi"/>
          <w:color w:val="000000"/>
        </w:rPr>
        <w:t>,</w:t>
      </w:r>
      <w:r w:rsidR="00BE7364" w:rsidRPr="00FF386D">
        <w:rPr>
          <w:rFonts w:asciiTheme="majorHAnsi" w:hAnsiTheme="majorHAnsi" w:cstheme="majorHAnsi"/>
          <w:color w:val="000000"/>
        </w:rPr>
        <w:t xml:space="preserve"> како би се омогућило додатно</w:t>
      </w:r>
      <w:r w:rsidRPr="00FF386D">
        <w:rPr>
          <w:rFonts w:asciiTheme="majorHAnsi" w:hAnsiTheme="majorHAnsi" w:cstheme="majorHAnsi"/>
          <w:color w:val="000000"/>
        </w:rPr>
        <w:t xml:space="preserve"> коришћење обновљивих извора енергије</w:t>
      </w:r>
      <w:r w:rsidR="00D96CA0" w:rsidRPr="00FF386D">
        <w:rPr>
          <w:rFonts w:asciiTheme="majorHAnsi" w:hAnsiTheme="majorHAnsi" w:cstheme="majorHAnsi"/>
          <w:color w:val="000000"/>
        </w:rPr>
        <w:t xml:space="preserve"> </w:t>
      </w:r>
      <w:r w:rsidR="00BE7364" w:rsidRPr="00FF386D">
        <w:rPr>
          <w:rFonts w:asciiTheme="majorHAnsi" w:hAnsiTheme="majorHAnsi" w:cstheme="majorHAnsi"/>
          <w:color w:val="000000"/>
        </w:rPr>
        <w:t>утврђивањем</w:t>
      </w:r>
      <w:r w:rsidRPr="00FF386D">
        <w:rPr>
          <w:rFonts w:asciiTheme="majorHAnsi" w:hAnsiTheme="majorHAnsi" w:cstheme="majorHAnsi"/>
          <w:color w:val="000000"/>
        </w:rPr>
        <w:t xml:space="preserve"> обавезн</w:t>
      </w:r>
      <w:r w:rsidR="00BE7364" w:rsidRPr="00FF386D">
        <w:rPr>
          <w:rFonts w:asciiTheme="majorHAnsi" w:hAnsiTheme="majorHAnsi" w:cstheme="majorHAnsi"/>
          <w:color w:val="000000"/>
        </w:rPr>
        <w:t>их</w:t>
      </w:r>
      <w:r w:rsidRPr="00FF386D">
        <w:rPr>
          <w:rFonts w:asciiTheme="majorHAnsi" w:hAnsiTheme="majorHAnsi" w:cstheme="majorHAnsi"/>
          <w:color w:val="000000"/>
        </w:rPr>
        <w:t xml:space="preserve"> квот</w:t>
      </w:r>
      <w:r w:rsidR="00BE7364" w:rsidRPr="00FF386D">
        <w:rPr>
          <w:rFonts w:asciiTheme="majorHAnsi" w:hAnsiTheme="majorHAnsi" w:cstheme="majorHAnsi"/>
          <w:color w:val="000000"/>
        </w:rPr>
        <w:t>а</w:t>
      </w:r>
      <w:r w:rsidRPr="00FF386D">
        <w:rPr>
          <w:rFonts w:asciiTheme="majorHAnsi" w:hAnsiTheme="majorHAnsi" w:cstheme="majorHAnsi"/>
          <w:color w:val="000000"/>
        </w:rPr>
        <w:t xml:space="preserve"> за </w:t>
      </w:r>
      <w:r w:rsidR="00BE7364" w:rsidRPr="00FF386D">
        <w:rPr>
          <w:rFonts w:asciiTheme="majorHAnsi" w:hAnsiTheme="majorHAnsi" w:cstheme="majorHAnsi"/>
          <w:color w:val="000000"/>
        </w:rPr>
        <w:t>посебне</w:t>
      </w:r>
      <w:r w:rsidRPr="00FF386D">
        <w:rPr>
          <w:rFonts w:asciiTheme="majorHAnsi" w:hAnsiTheme="majorHAnsi" w:cstheme="majorHAnsi"/>
          <w:color w:val="000000"/>
        </w:rPr>
        <w:t xml:space="preserve"> технологије обновљиве енергије</w:t>
      </w:r>
      <w:r w:rsidR="00BE7364" w:rsidRPr="00FF386D">
        <w:rPr>
          <w:rFonts w:asciiTheme="majorHAnsi" w:hAnsiTheme="majorHAnsi" w:cstheme="majorHAnsi"/>
          <w:color w:val="000000"/>
        </w:rPr>
        <w:t xml:space="preserve">, </w:t>
      </w:r>
      <w:r w:rsidR="00D96CA0" w:rsidRPr="00FF386D">
        <w:rPr>
          <w:rFonts w:asciiTheme="majorHAnsi" w:hAnsiTheme="majorHAnsi" w:cstheme="majorHAnsi"/>
          <w:color w:val="000000"/>
        </w:rPr>
        <w:t xml:space="preserve">чиме ће се обезбедити да </w:t>
      </w:r>
      <w:r w:rsidR="002C00B3" w:rsidRPr="00FF386D">
        <w:rPr>
          <w:rFonts w:asciiTheme="majorHAnsi" w:hAnsiTheme="majorHAnsi" w:cstheme="majorHAnsi"/>
          <w:color w:val="000000"/>
        </w:rPr>
        <w:t>одређени број технологија обновљивих извора енергије буде искоришћен.</w:t>
      </w:r>
    </w:p>
    <w:p w14:paraId="4CFA3736" w14:textId="3A691121"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У</w:t>
      </w:r>
      <w:r w:rsidR="0003589D" w:rsidRPr="00FF386D">
        <w:rPr>
          <w:rFonts w:asciiTheme="majorHAnsi" w:hAnsiTheme="majorHAnsi" w:cstheme="majorHAnsi"/>
          <w:color w:val="000000"/>
        </w:rPr>
        <w:t>опште</w:t>
      </w:r>
      <w:r w:rsidRPr="00FF386D">
        <w:rPr>
          <w:rFonts w:asciiTheme="majorHAnsi" w:hAnsiTheme="majorHAnsi" w:cstheme="majorHAnsi"/>
          <w:color w:val="000000"/>
        </w:rPr>
        <w:t xml:space="preserve">, претходно </w:t>
      </w:r>
      <w:r w:rsidR="0003589D" w:rsidRPr="00FF386D">
        <w:rPr>
          <w:rFonts w:asciiTheme="majorHAnsi" w:hAnsiTheme="majorHAnsi" w:cstheme="majorHAnsi"/>
          <w:color w:val="000000"/>
        </w:rPr>
        <w:t>наведене</w:t>
      </w:r>
      <w:r w:rsidRPr="00FF386D">
        <w:rPr>
          <w:rFonts w:asciiTheme="majorHAnsi" w:hAnsiTheme="majorHAnsi" w:cstheme="majorHAnsi"/>
          <w:color w:val="000000"/>
        </w:rPr>
        <w:t xml:space="preserve"> мере политике ће убрзати транзицију ка интегрисанијем енергетском систему. Употреба обновљивих горива и горива са ниским садржајем угљеника, укључујући водоник, у финалној потрошњи, представља императив у случају када директно грејање или електрификација нису изводљиви.</w:t>
      </w:r>
    </w:p>
    <w:tbl>
      <w:tblPr>
        <w:tblW w:w="9458" w:type="dxa"/>
        <w:tblLook w:val="04A0" w:firstRow="1" w:lastRow="0" w:firstColumn="1" w:lastColumn="0" w:noHBand="0" w:noVBand="1"/>
      </w:tblPr>
      <w:tblGrid>
        <w:gridCol w:w="3328"/>
        <w:gridCol w:w="945"/>
        <w:gridCol w:w="946"/>
        <w:gridCol w:w="4239"/>
      </w:tblGrid>
      <w:tr w:rsidR="00854ADA" w:rsidRPr="00FF386D" w14:paraId="0A5E33E5" w14:textId="77777777" w:rsidTr="0057310C">
        <w:trPr>
          <w:trHeight w:val="780"/>
        </w:trPr>
        <w:tc>
          <w:tcPr>
            <w:tcW w:w="3328"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3624E411"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45" w:type="dxa"/>
            <w:tcBorders>
              <w:top w:val="single" w:sz="8" w:space="0" w:color="auto"/>
              <w:left w:val="nil"/>
              <w:bottom w:val="single" w:sz="8" w:space="0" w:color="auto"/>
              <w:right w:val="single" w:sz="8" w:space="0" w:color="auto"/>
            </w:tcBorders>
            <w:shd w:val="clear" w:color="auto" w:fill="E7E6E6" w:themeFill="background2"/>
            <w:vAlign w:val="center"/>
            <w:hideMark/>
          </w:tcPr>
          <w:p w14:paraId="404E24A9" w14:textId="5C4AFF87" w:rsidR="00854ADA" w:rsidRPr="000A2AFE" w:rsidRDefault="00854ADA" w:rsidP="00854ADA">
            <w:pPr>
              <w:spacing w:after="0" w:line="240" w:lineRule="auto"/>
              <w:jc w:val="both"/>
              <w:rPr>
                <w:rFonts w:ascii="Calibri Light" w:eastAsia="Times New Roman" w:hAnsi="Calibri Light" w:cs="Calibri Light"/>
                <w:b/>
                <w:bCs/>
                <w:color w:val="000000"/>
                <w:sz w:val="20"/>
                <w:szCs w:val="20"/>
                <w:lang w:val="sr-Latn-RS" w:eastAsia="en-GB"/>
              </w:rPr>
            </w:pPr>
            <w:r w:rsidRPr="000A2AFE">
              <w:rPr>
                <w:rFonts w:ascii="Calibri Light" w:eastAsia="Times New Roman" w:hAnsi="Calibri Light" w:cs="Calibri Light"/>
                <w:b/>
                <w:bCs/>
                <w:color w:val="000000"/>
                <w:sz w:val="20"/>
                <w:szCs w:val="20"/>
                <w:lang w:eastAsia="en-GB"/>
              </w:rPr>
              <w:t>МП_</w:t>
            </w:r>
            <w:r w:rsidR="00CC6B33" w:rsidRPr="000A2AFE">
              <w:rPr>
                <w:rFonts w:ascii="Calibri Light" w:eastAsia="Times New Roman" w:hAnsi="Calibri Light" w:cs="Calibri Light"/>
                <w:b/>
                <w:bCs/>
                <w:color w:val="000000"/>
                <w:sz w:val="20"/>
                <w:szCs w:val="20"/>
                <w:lang w:eastAsia="en-GB"/>
              </w:rPr>
              <w:t>Д3</w:t>
            </w:r>
            <w:r w:rsidR="00CC6B33">
              <w:rPr>
                <w:rFonts w:ascii="Calibri Light" w:eastAsia="Times New Roman" w:hAnsi="Calibri Light" w:cs="Calibri Light"/>
                <w:b/>
                <w:bCs/>
                <w:color w:val="000000"/>
                <w:sz w:val="20"/>
                <w:szCs w:val="20"/>
                <w:lang w:val="sr-Latn-RS" w:eastAsia="en-GB"/>
              </w:rPr>
              <w:t>7</w:t>
            </w:r>
          </w:p>
        </w:tc>
        <w:tc>
          <w:tcPr>
            <w:tcW w:w="946" w:type="dxa"/>
            <w:tcBorders>
              <w:top w:val="single" w:sz="8" w:space="0" w:color="auto"/>
              <w:left w:val="nil"/>
              <w:bottom w:val="single" w:sz="8" w:space="0" w:color="auto"/>
              <w:right w:val="single" w:sz="8" w:space="0" w:color="auto"/>
            </w:tcBorders>
            <w:shd w:val="clear" w:color="000000" w:fill="244062"/>
            <w:vAlign w:val="center"/>
            <w:hideMark/>
          </w:tcPr>
          <w:p w14:paraId="10E141F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39" w:type="dxa"/>
            <w:tcBorders>
              <w:top w:val="single" w:sz="8" w:space="0" w:color="auto"/>
              <w:left w:val="nil"/>
              <w:bottom w:val="single" w:sz="8" w:space="0" w:color="auto"/>
              <w:right w:val="single" w:sz="8" w:space="0" w:color="auto"/>
            </w:tcBorders>
            <w:shd w:val="clear" w:color="auto" w:fill="E7E6E6" w:themeFill="background2"/>
            <w:vAlign w:val="center"/>
            <w:hideMark/>
          </w:tcPr>
          <w:p w14:paraId="2CAD2B2D" w14:textId="346A9EEB"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Развој законодавног оквира за промовисање технологија складиштења енергије</w:t>
            </w:r>
          </w:p>
        </w:tc>
      </w:tr>
      <w:tr w:rsidR="00854ADA" w:rsidRPr="00FF386D" w14:paraId="5094069D" w14:textId="77777777" w:rsidTr="0057310C">
        <w:trPr>
          <w:trHeight w:val="321"/>
        </w:trPr>
        <w:tc>
          <w:tcPr>
            <w:tcW w:w="3328" w:type="dxa"/>
            <w:tcBorders>
              <w:top w:val="nil"/>
              <w:left w:val="single" w:sz="8" w:space="0" w:color="auto"/>
              <w:bottom w:val="single" w:sz="8" w:space="0" w:color="auto"/>
              <w:right w:val="nil"/>
            </w:tcBorders>
            <w:shd w:val="clear" w:color="000000" w:fill="244062"/>
            <w:vAlign w:val="center"/>
            <w:hideMark/>
          </w:tcPr>
          <w:p w14:paraId="5AF983C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31421E60"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Повећан удео ОИЕ у електричној енергији, повећан удео ОИЕ у грејању и хлађењу</w:t>
            </w:r>
          </w:p>
        </w:tc>
      </w:tr>
      <w:tr w:rsidR="00854ADA" w:rsidRPr="00FF386D" w14:paraId="003C6524" w14:textId="77777777" w:rsidTr="002C00B3">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59CEA8A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30" w:type="dxa"/>
            <w:gridSpan w:val="3"/>
            <w:tcBorders>
              <w:top w:val="single" w:sz="8" w:space="0" w:color="auto"/>
              <w:left w:val="nil"/>
              <w:bottom w:val="single" w:sz="8" w:space="0" w:color="auto"/>
              <w:right w:val="single" w:sz="8" w:space="0" w:color="000000"/>
            </w:tcBorders>
            <w:shd w:val="clear" w:color="auto" w:fill="auto"/>
            <w:vAlign w:val="center"/>
          </w:tcPr>
          <w:p w14:paraId="6828CC8E" w14:textId="2F9B386F" w:rsidR="00854ADA" w:rsidRPr="00FF386D" w:rsidRDefault="00CC6B33" w:rsidP="00854ADA">
            <w:pPr>
              <w:spacing w:after="0" w:line="240" w:lineRule="auto"/>
              <w:rPr>
                <w:rFonts w:ascii="Calibri Light" w:eastAsia="Times New Roman" w:hAnsi="Calibri Light" w:cs="Calibri Light"/>
                <w:color w:val="000000"/>
                <w:sz w:val="20"/>
                <w:szCs w:val="20"/>
                <w:lang w:eastAsia="en-GB"/>
              </w:rPr>
            </w:pPr>
            <w:r w:rsidRPr="00CC6B33">
              <w:rPr>
                <w:rFonts w:ascii="Calibri Light" w:eastAsia="Times New Roman" w:hAnsi="Calibri Light" w:cs="Calibri Light"/>
                <w:color w:val="000000"/>
                <w:sz w:val="20"/>
                <w:szCs w:val="20"/>
                <w:lang w:eastAsia="en-GB"/>
              </w:rPr>
              <w:t>Допринос очекиваном уделу ОИЕ у производњи електричне енергије</w:t>
            </w:r>
          </w:p>
        </w:tc>
      </w:tr>
      <w:tr w:rsidR="00854ADA" w:rsidRPr="00FF386D" w14:paraId="782CB094" w14:textId="77777777" w:rsidTr="0057310C">
        <w:trPr>
          <w:trHeight w:val="58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2800CBB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41947A82" w14:textId="7F546309" w:rsidR="00854ADA" w:rsidRPr="00FF386D" w:rsidRDefault="00854ADA" w:rsidP="006A4700">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МП_</w:t>
            </w:r>
            <w:r w:rsidR="00CC6B33" w:rsidRPr="000A2AFE">
              <w:rPr>
                <w:rFonts w:ascii="Calibri Light" w:eastAsia="Times New Roman" w:hAnsi="Calibri Light" w:cs="Calibri Light"/>
                <w:color w:val="000000"/>
                <w:sz w:val="20"/>
                <w:szCs w:val="20"/>
                <w:lang w:eastAsia="en-GB"/>
              </w:rPr>
              <w:t>Д3</w:t>
            </w:r>
            <w:r w:rsidR="00CC6B33">
              <w:rPr>
                <w:rFonts w:ascii="Calibri Light" w:eastAsia="Times New Roman" w:hAnsi="Calibri Light" w:cs="Calibri Light"/>
                <w:color w:val="000000"/>
                <w:sz w:val="20"/>
                <w:szCs w:val="20"/>
                <w:lang w:val="sr-Latn-RS" w:eastAsia="en-GB"/>
              </w:rPr>
              <w:t>7</w:t>
            </w:r>
            <w:r w:rsidR="00CC6B33"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 xml:space="preserve">ће </w:t>
            </w:r>
            <w:r w:rsidR="006A4700" w:rsidRPr="000A2AFE">
              <w:rPr>
                <w:rFonts w:ascii="Calibri Light" w:eastAsia="Times New Roman" w:hAnsi="Calibri Light" w:cs="Calibri Light"/>
                <w:color w:val="000000"/>
                <w:sz w:val="20"/>
                <w:szCs w:val="20"/>
                <w:lang w:eastAsia="en-GB"/>
              </w:rPr>
              <w:t xml:space="preserve">омогућити развој законског оквира за </w:t>
            </w:r>
            <w:r w:rsidRPr="000A2AFE">
              <w:rPr>
                <w:rFonts w:ascii="Calibri Light" w:eastAsia="Times New Roman" w:hAnsi="Calibri Light" w:cs="Calibri Light"/>
                <w:color w:val="000000"/>
                <w:sz w:val="20"/>
                <w:szCs w:val="20"/>
                <w:lang w:eastAsia="en-GB"/>
              </w:rPr>
              <w:t xml:space="preserve">различите врсте технологија складиштења енергије. </w:t>
            </w:r>
            <w:r w:rsidR="00702656" w:rsidRPr="000A2AFE">
              <w:rPr>
                <w:rFonts w:ascii="Calibri Light" w:eastAsia="Times New Roman" w:hAnsi="Calibri Light" w:cs="Calibri Light"/>
                <w:color w:val="000000"/>
                <w:sz w:val="20"/>
                <w:szCs w:val="20"/>
                <w:lang w:eastAsia="en-GB"/>
              </w:rPr>
              <w:t xml:space="preserve">Биће обезбеђени подстицаји за </w:t>
            </w:r>
            <w:r w:rsidRPr="000A2AFE">
              <w:rPr>
                <w:rFonts w:ascii="Calibri Light" w:eastAsia="Times New Roman" w:hAnsi="Calibri Light" w:cs="Calibri Light"/>
                <w:color w:val="000000"/>
                <w:sz w:val="20"/>
                <w:szCs w:val="20"/>
                <w:lang w:eastAsia="en-GB"/>
              </w:rPr>
              <w:t xml:space="preserve">инвестиције </w:t>
            </w:r>
            <w:r w:rsidR="00702656" w:rsidRPr="000A2AFE">
              <w:rPr>
                <w:rFonts w:ascii="Calibri Light" w:eastAsia="Times New Roman" w:hAnsi="Calibri Light" w:cs="Calibri Light"/>
                <w:color w:val="000000"/>
                <w:sz w:val="20"/>
                <w:szCs w:val="20"/>
                <w:lang w:eastAsia="en-GB"/>
              </w:rPr>
              <w:t>у</w:t>
            </w:r>
            <w:r w:rsidRPr="000A2AFE">
              <w:rPr>
                <w:rFonts w:ascii="Calibri Light" w:eastAsia="Times New Roman" w:hAnsi="Calibri Light" w:cs="Calibri Light"/>
                <w:color w:val="000000"/>
                <w:sz w:val="20"/>
                <w:szCs w:val="20"/>
                <w:lang w:eastAsia="en-GB"/>
              </w:rPr>
              <w:t xml:space="preserve"> централна постројења за складиштење енергије, </w:t>
            </w:r>
            <w:r w:rsidR="00FF5C56" w:rsidRPr="000A2AFE">
              <w:rPr>
                <w:rFonts w:ascii="Calibri Light" w:eastAsia="Times New Roman" w:hAnsi="Calibri Light" w:cs="Calibri Light"/>
                <w:color w:val="000000"/>
                <w:sz w:val="20"/>
                <w:szCs w:val="20"/>
                <w:lang w:eastAsia="en-GB"/>
              </w:rPr>
              <w:t xml:space="preserve">при чему фокус неће бити само на доношењу потребних поступака за издавање дозвола, него </w:t>
            </w:r>
            <w:r w:rsidR="00702656" w:rsidRPr="000A2AFE">
              <w:rPr>
                <w:rFonts w:ascii="Calibri Light" w:eastAsia="Times New Roman" w:hAnsi="Calibri Light" w:cs="Calibri Light"/>
                <w:color w:val="000000"/>
                <w:sz w:val="20"/>
                <w:szCs w:val="20"/>
                <w:lang w:eastAsia="en-GB"/>
              </w:rPr>
              <w:t xml:space="preserve">и </w:t>
            </w:r>
            <w:r w:rsidR="00FF5C56" w:rsidRPr="000A2AFE">
              <w:rPr>
                <w:rFonts w:ascii="Calibri Light" w:eastAsia="Times New Roman" w:hAnsi="Calibri Light" w:cs="Calibri Light"/>
                <w:color w:val="000000"/>
                <w:sz w:val="20"/>
                <w:szCs w:val="20"/>
                <w:lang w:eastAsia="en-GB"/>
              </w:rPr>
              <w:t>на</w:t>
            </w:r>
            <w:r w:rsidRPr="000A2AFE">
              <w:rPr>
                <w:rFonts w:ascii="Calibri Light" w:eastAsia="Times New Roman" w:hAnsi="Calibri Light" w:cs="Calibri Light"/>
                <w:color w:val="000000"/>
                <w:sz w:val="20"/>
                <w:szCs w:val="20"/>
                <w:lang w:eastAsia="en-GB"/>
              </w:rPr>
              <w:t xml:space="preserve"> </w:t>
            </w:r>
            <w:r w:rsidR="00CC6B33" w:rsidRPr="000A2AFE">
              <w:rPr>
                <w:rFonts w:ascii="Calibri Light" w:eastAsia="Times New Roman" w:hAnsi="Calibri Light" w:cs="Calibri Light"/>
                <w:color w:val="000000"/>
                <w:sz w:val="20"/>
                <w:szCs w:val="20"/>
                <w:lang w:eastAsia="en-GB"/>
              </w:rPr>
              <w:t>ев</w:t>
            </w:r>
            <w:r w:rsidR="00CC6B33">
              <w:rPr>
                <w:rFonts w:ascii="Calibri Light" w:eastAsia="Times New Roman" w:hAnsi="Calibri Light" w:cs="Calibri Light"/>
                <w:color w:val="000000"/>
                <w:sz w:val="20"/>
                <w:szCs w:val="20"/>
                <w:lang w:val="sr-Latn-RS" w:eastAsia="en-GB"/>
              </w:rPr>
              <w:t>e</w:t>
            </w:r>
            <w:r w:rsidR="00CC6B33" w:rsidRPr="000A2AFE">
              <w:rPr>
                <w:rFonts w:ascii="Calibri Light" w:eastAsia="Times New Roman" w:hAnsi="Calibri Light" w:cs="Calibri Light"/>
                <w:color w:val="000000"/>
                <w:sz w:val="20"/>
                <w:szCs w:val="20"/>
                <w:lang w:eastAsia="en-GB"/>
              </w:rPr>
              <w:t xml:space="preserve">нтуалном </w:t>
            </w:r>
            <w:r w:rsidRPr="000A2AFE">
              <w:rPr>
                <w:rFonts w:ascii="Calibri Light" w:eastAsia="Times New Roman" w:hAnsi="Calibri Light" w:cs="Calibri Light"/>
                <w:color w:val="000000"/>
                <w:sz w:val="20"/>
                <w:szCs w:val="20"/>
                <w:lang w:eastAsia="en-GB"/>
              </w:rPr>
              <w:t>пружањ</w:t>
            </w:r>
            <w:r w:rsidR="00FF5C56" w:rsidRPr="000A2AFE">
              <w:rPr>
                <w:rFonts w:ascii="Calibri Light" w:eastAsia="Times New Roman" w:hAnsi="Calibri Light" w:cs="Calibri Light"/>
                <w:color w:val="000000"/>
                <w:sz w:val="20"/>
                <w:szCs w:val="20"/>
                <w:lang w:eastAsia="en-GB"/>
              </w:rPr>
              <w:t>у</w:t>
            </w:r>
            <w:r w:rsidRPr="000A2AFE">
              <w:rPr>
                <w:rFonts w:ascii="Calibri Light" w:eastAsia="Times New Roman" w:hAnsi="Calibri Light" w:cs="Calibri Light"/>
                <w:color w:val="000000"/>
                <w:sz w:val="20"/>
                <w:szCs w:val="20"/>
                <w:lang w:eastAsia="en-GB"/>
              </w:rPr>
              <w:t xml:space="preserve"> оперативне помоћи </w:t>
            </w:r>
            <w:r w:rsidR="00702656" w:rsidRPr="000A2AFE">
              <w:rPr>
                <w:rFonts w:ascii="Calibri Light" w:eastAsia="Times New Roman" w:hAnsi="Calibri Light" w:cs="Calibri Light"/>
                <w:color w:val="000000"/>
                <w:sz w:val="20"/>
                <w:szCs w:val="20"/>
                <w:lang w:eastAsia="en-GB"/>
              </w:rPr>
              <w:t>у виду економских подстицаја</w:t>
            </w:r>
            <w:r w:rsidRPr="000A2AFE">
              <w:rPr>
                <w:rFonts w:ascii="Calibri Light" w:eastAsia="Times New Roman" w:hAnsi="Calibri Light" w:cs="Calibri Light"/>
                <w:color w:val="000000"/>
                <w:sz w:val="20"/>
                <w:szCs w:val="20"/>
                <w:lang w:eastAsia="en-GB"/>
              </w:rPr>
              <w:t xml:space="preserve">. У случају децентрализованих постројења за складиштење енергије, </w:t>
            </w:r>
            <w:r w:rsidR="00702656" w:rsidRPr="000A2AFE">
              <w:rPr>
                <w:rFonts w:ascii="Calibri Light" w:eastAsia="Times New Roman" w:hAnsi="Calibri Light" w:cs="Calibri Light"/>
                <w:color w:val="000000"/>
                <w:sz w:val="20"/>
                <w:szCs w:val="20"/>
                <w:lang w:eastAsia="en-GB"/>
              </w:rPr>
              <w:t>разматраће се</w:t>
            </w:r>
            <w:r w:rsidRPr="000A2AFE">
              <w:rPr>
                <w:rFonts w:ascii="Calibri Light" w:eastAsia="Times New Roman" w:hAnsi="Calibri Light" w:cs="Calibri Light"/>
                <w:color w:val="000000"/>
                <w:sz w:val="20"/>
                <w:szCs w:val="20"/>
                <w:lang w:eastAsia="en-GB"/>
              </w:rPr>
              <w:t xml:space="preserve"> посебне субвенције и фискални подстицаји, под условом да се </w:t>
            </w:r>
            <w:r w:rsidR="00702656" w:rsidRPr="000A2AFE">
              <w:rPr>
                <w:rFonts w:ascii="Calibri Light" w:eastAsia="Times New Roman" w:hAnsi="Calibri Light" w:cs="Calibri Light"/>
                <w:color w:val="000000"/>
                <w:sz w:val="20"/>
                <w:szCs w:val="20"/>
                <w:lang w:eastAsia="en-GB"/>
              </w:rPr>
              <w:t xml:space="preserve">максимално повећа ниво производње електричне енергије из ОИЕ за сопствену потрошњу </w:t>
            </w:r>
            <w:r w:rsidRPr="000A2AFE">
              <w:rPr>
                <w:rFonts w:ascii="Calibri Light" w:eastAsia="Times New Roman" w:hAnsi="Calibri Light" w:cs="Calibri Light"/>
                <w:color w:val="000000"/>
                <w:sz w:val="20"/>
                <w:szCs w:val="20"/>
                <w:lang w:eastAsia="en-GB"/>
              </w:rPr>
              <w:t>и промовише енергетска ефикасност.</w:t>
            </w:r>
          </w:p>
        </w:tc>
      </w:tr>
      <w:tr w:rsidR="00854ADA" w:rsidRPr="00FF386D" w14:paraId="3373708E"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657F186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57D8CE69" w14:textId="2C4C1EA1"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2C00B3"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-2030.</w:t>
            </w:r>
          </w:p>
        </w:tc>
      </w:tr>
      <w:tr w:rsidR="00854ADA" w:rsidRPr="00FF386D" w14:paraId="1DAE540B"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6EB1CC5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35F89D11" w14:textId="63685364" w:rsidR="00854ADA" w:rsidRPr="00FF386D" w:rsidRDefault="00CC6B33" w:rsidP="00854ADA">
            <w:pPr>
              <w:spacing w:after="0" w:line="240" w:lineRule="auto"/>
              <w:rPr>
                <w:rFonts w:ascii="Calibri Light" w:eastAsia="Times New Roman" w:hAnsi="Calibri Light" w:cs="Calibri Light"/>
                <w:color w:val="000000"/>
                <w:sz w:val="20"/>
                <w:szCs w:val="20"/>
                <w:lang w:eastAsia="en-GB"/>
              </w:rPr>
            </w:pPr>
            <w:r w:rsidRPr="00CC6B33">
              <w:rPr>
                <w:rFonts w:ascii="Calibri Light" w:eastAsia="Times New Roman" w:hAnsi="Calibri Light" w:cs="Calibri Light"/>
                <w:color w:val="000000"/>
                <w:sz w:val="20"/>
                <w:szCs w:val="20"/>
                <w:lang w:eastAsia="en-GB"/>
              </w:rPr>
              <w:t>Реформе</w:t>
            </w:r>
          </w:p>
        </w:tc>
      </w:tr>
      <w:tr w:rsidR="00854ADA" w:rsidRPr="00FF386D" w14:paraId="3E4BBDAF"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43DAECA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40B6C260"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Електроенергетика, грејање и хлађење</w:t>
            </w:r>
          </w:p>
        </w:tc>
      </w:tr>
      <w:tr w:rsidR="00854ADA" w:rsidRPr="00FF386D" w14:paraId="13F4E82F"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7AB8B01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1A499564"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43E1FEE3" w14:textId="77777777" w:rsidTr="0057310C">
        <w:trPr>
          <w:trHeight w:val="315"/>
        </w:trPr>
        <w:tc>
          <w:tcPr>
            <w:tcW w:w="3328" w:type="dxa"/>
            <w:tcBorders>
              <w:top w:val="nil"/>
              <w:left w:val="single" w:sz="8" w:space="0" w:color="auto"/>
              <w:bottom w:val="single" w:sz="8" w:space="0" w:color="auto"/>
              <w:right w:val="nil"/>
            </w:tcBorders>
            <w:shd w:val="clear" w:color="000000" w:fill="244062"/>
            <w:vAlign w:val="center"/>
            <w:hideMark/>
          </w:tcPr>
          <w:p w14:paraId="357C182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74B7A280" w14:textId="5E0F9939" w:rsidR="00854ADA" w:rsidRPr="000A2AFE" w:rsidRDefault="009E1DA2"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698FA04F" w14:textId="77777777" w:rsidTr="0057310C">
        <w:trPr>
          <w:trHeight w:val="315"/>
        </w:trPr>
        <w:tc>
          <w:tcPr>
            <w:tcW w:w="3328" w:type="dxa"/>
            <w:tcBorders>
              <w:top w:val="nil"/>
              <w:left w:val="single" w:sz="8" w:space="0" w:color="auto"/>
              <w:bottom w:val="single" w:sz="8" w:space="0" w:color="auto"/>
              <w:right w:val="nil"/>
            </w:tcBorders>
            <w:shd w:val="clear" w:color="000000" w:fill="244062"/>
            <w:vAlign w:val="center"/>
            <w:hideMark/>
          </w:tcPr>
          <w:p w14:paraId="4FFC240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16FE1687" w14:textId="77777777" w:rsidR="00854ADA" w:rsidRPr="000A2AFE" w:rsidRDefault="00854ADA"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Инсталисани капацитет</w:t>
            </w:r>
          </w:p>
          <w:p w14:paraId="2CB2FC8E" w14:textId="77777777" w:rsidR="00854ADA" w:rsidRPr="000A2AFE" w:rsidRDefault="00854ADA"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Развијено законодавство и регулаторни оквир</w:t>
            </w:r>
          </w:p>
        </w:tc>
      </w:tr>
      <w:tr w:rsidR="00854ADA" w:rsidRPr="00FF386D" w14:paraId="7124F33E" w14:textId="77777777" w:rsidTr="0057310C">
        <w:trPr>
          <w:trHeight w:val="437"/>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4605F6E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286D9882" w14:textId="16C052BE" w:rsidR="009E1DA2" w:rsidRPr="009E1DA2" w:rsidRDefault="009E1DA2" w:rsidP="009E1DA2">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9E1DA2">
              <w:rPr>
                <w:rFonts w:ascii="Calibri Light" w:eastAsia="Times New Roman" w:hAnsi="Calibri Light" w:cs="Calibri Light"/>
                <w:color w:val="000000"/>
                <w:sz w:val="20"/>
                <w:szCs w:val="20"/>
                <w:lang w:eastAsia="en-GB"/>
              </w:rPr>
              <w:t>Енергетска ефикасност (промовисане технологије ОИЕ ће довести и до уштеде примарне енергије доприносећи постизању релевантних циљева)</w:t>
            </w:r>
          </w:p>
          <w:p w14:paraId="0F8087F9" w14:textId="77777777" w:rsidR="009E1DA2" w:rsidRPr="009E1DA2" w:rsidRDefault="009E1DA2" w:rsidP="009E1DA2">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9E1DA2">
              <w:rPr>
                <w:rFonts w:ascii="Calibri Light" w:eastAsia="Times New Roman" w:hAnsi="Calibri Light" w:cs="Calibri Light"/>
                <w:color w:val="000000"/>
                <w:sz w:val="20"/>
                <w:szCs w:val="20"/>
                <w:lang w:eastAsia="en-GB"/>
              </w:rPr>
              <w:t>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p w14:paraId="6DDDCD96" w14:textId="1022ADBA" w:rsidR="00854ADA" w:rsidRPr="00FF386D" w:rsidRDefault="009E1DA2" w:rsidP="009E1DA2">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9E1DA2">
              <w:rPr>
                <w:rFonts w:ascii="Calibri Light" w:eastAsia="Times New Roman" w:hAnsi="Calibri Light" w:cs="Calibri Light"/>
                <w:color w:val="000000"/>
                <w:sz w:val="20"/>
                <w:szCs w:val="20"/>
                <w:lang w:eastAsia="en-GB"/>
              </w:rPr>
              <w:t xml:space="preserve">Унутрашње енергетско тржиште (примена технологија </w:t>
            </w:r>
            <w:r>
              <w:rPr>
                <w:rFonts w:ascii="Calibri Light" w:eastAsia="Times New Roman" w:hAnsi="Calibri Light" w:cs="Calibri Light"/>
                <w:color w:val="000000"/>
                <w:sz w:val="20"/>
                <w:szCs w:val="20"/>
                <w:lang w:eastAsia="en-GB"/>
              </w:rPr>
              <w:t>за складиштење ће обезбедити адекватност и флексибилност електроенергетског система</w:t>
            </w:r>
            <w:r w:rsidRPr="009E1DA2">
              <w:rPr>
                <w:rFonts w:ascii="Calibri Light" w:eastAsia="Times New Roman" w:hAnsi="Calibri Light" w:cs="Calibri Light"/>
                <w:color w:val="000000"/>
                <w:sz w:val="20"/>
                <w:szCs w:val="20"/>
                <w:lang w:eastAsia="en-GB"/>
              </w:rPr>
              <w:t>)</w:t>
            </w:r>
          </w:p>
        </w:tc>
      </w:tr>
      <w:tr w:rsidR="00854ADA" w:rsidRPr="00FF386D" w14:paraId="787E769E" w14:textId="77777777" w:rsidTr="0057310C">
        <w:trPr>
          <w:trHeight w:val="450"/>
        </w:trPr>
        <w:tc>
          <w:tcPr>
            <w:tcW w:w="3328"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31948630" w14:textId="02E2BB68"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30"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29ECB23C"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2018/2001/ЕУ</w:t>
            </w:r>
          </w:p>
        </w:tc>
      </w:tr>
      <w:tr w:rsidR="00854ADA" w:rsidRPr="00FF386D" w14:paraId="1E76EDDA" w14:textId="77777777" w:rsidTr="0057310C">
        <w:trPr>
          <w:trHeight w:val="450"/>
        </w:trPr>
        <w:tc>
          <w:tcPr>
            <w:tcW w:w="3328" w:type="dxa"/>
            <w:vMerge/>
            <w:tcBorders>
              <w:top w:val="nil"/>
              <w:left w:val="single" w:sz="8" w:space="0" w:color="auto"/>
              <w:bottom w:val="single" w:sz="8" w:space="0" w:color="000000"/>
              <w:right w:val="single" w:sz="8" w:space="0" w:color="auto"/>
            </w:tcBorders>
            <w:vAlign w:val="center"/>
            <w:hideMark/>
          </w:tcPr>
          <w:p w14:paraId="26998EE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0" w:type="dxa"/>
            <w:gridSpan w:val="3"/>
            <w:vMerge/>
            <w:tcBorders>
              <w:top w:val="single" w:sz="8" w:space="0" w:color="auto"/>
              <w:left w:val="single" w:sz="8" w:space="0" w:color="auto"/>
              <w:bottom w:val="single" w:sz="8" w:space="0" w:color="000000"/>
              <w:right w:val="single" w:sz="8" w:space="0" w:color="000000"/>
            </w:tcBorders>
            <w:vAlign w:val="center"/>
            <w:hideMark/>
          </w:tcPr>
          <w:p w14:paraId="6C0BDF00"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2D74759C" w14:textId="77777777" w:rsidTr="0057310C">
        <w:trPr>
          <w:trHeight w:val="450"/>
        </w:trPr>
        <w:tc>
          <w:tcPr>
            <w:tcW w:w="3328" w:type="dxa"/>
            <w:vMerge/>
            <w:tcBorders>
              <w:top w:val="nil"/>
              <w:left w:val="single" w:sz="8" w:space="0" w:color="auto"/>
              <w:bottom w:val="single" w:sz="8" w:space="0" w:color="000000"/>
              <w:right w:val="single" w:sz="8" w:space="0" w:color="auto"/>
            </w:tcBorders>
            <w:vAlign w:val="center"/>
            <w:hideMark/>
          </w:tcPr>
          <w:p w14:paraId="538F789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0" w:type="dxa"/>
            <w:gridSpan w:val="3"/>
            <w:vMerge/>
            <w:tcBorders>
              <w:top w:val="single" w:sz="8" w:space="0" w:color="auto"/>
              <w:left w:val="single" w:sz="8" w:space="0" w:color="auto"/>
              <w:bottom w:val="single" w:sz="8" w:space="0" w:color="000000"/>
              <w:right w:val="single" w:sz="8" w:space="0" w:color="000000"/>
            </w:tcBorders>
            <w:vAlign w:val="center"/>
            <w:hideMark/>
          </w:tcPr>
          <w:p w14:paraId="4211519B"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7CC3321D" w14:textId="77777777" w:rsidTr="0057310C">
        <w:trPr>
          <w:trHeight w:val="187"/>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67D0B46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Релевантни национални плански документ (правни, регулаторни акти, итд)</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69447126" w14:textId="77777777" w:rsidR="00854ADA" w:rsidRPr="00FF386D" w:rsidRDefault="002C00B3">
            <w:pPr>
              <w:pStyle w:val="ListParagraph"/>
              <w:numPr>
                <w:ilvl w:val="0"/>
                <w:numId w:val="279"/>
              </w:num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енергетици</w:t>
            </w:r>
          </w:p>
          <w:p w14:paraId="4CA54E8C" w14:textId="4D164CB1" w:rsidR="002C00B3" w:rsidRPr="00FF386D" w:rsidRDefault="002C00B3">
            <w:pPr>
              <w:pStyle w:val="ListParagraph"/>
              <w:numPr>
                <w:ilvl w:val="0"/>
                <w:numId w:val="279"/>
              </w:num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Закон о </w:t>
            </w:r>
            <w:r w:rsidR="00DA05DD" w:rsidRPr="00FF386D">
              <w:rPr>
                <w:rFonts w:ascii="Calibri Light" w:eastAsia="Times New Roman" w:hAnsi="Calibri Light" w:cs="Calibri Light"/>
                <w:color w:val="000000"/>
                <w:sz w:val="20"/>
                <w:szCs w:val="20"/>
                <w:lang w:eastAsia="en-GB"/>
              </w:rPr>
              <w:t>кор</w:t>
            </w:r>
            <w:r w:rsidRPr="00FF386D">
              <w:rPr>
                <w:rFonts w:ascii="Calibri Light" w:eastAsia="Times New Roman" w:hAnsi="Calibri Light" w:cs="Calibri Light"/>
                <w:color w:val="000000"/>
                <w:sz w:val="20"/>
                <w:szCs w:val="20"/>
                <w:lang w:eastAsia="en-GB"/>
              </w:rPr>
              <w:t>ишћењу обновљивих извора енергије</w:t>
            </w:r>
          </w:p>
        </w:tc>
      </w:tr>
      <w:tr w:rsidR="00854ADA" w:rsidRPr="00FF386D" w14:paraId="1B67CD0B"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676679E5"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Theme="majorHAnsi" w:hAnsiTheme="majorHAnsi" w:cstheme="majorHAnsi"/>
                <w:b/>
                <w:bCs/>
                <w:sz w:val="20"/>
                <w:szCs w:val="20"/>
              </w:rPr>
              <w:t>Трошкови имплементације</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615F2DAA" w14:textId="7B9F5685" w:rsidR="00854ADA" w:rsidRPr="00FF386D" w:rsidRDefault="00DA05DD"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1</w:t>
            </w:r>
            <w:r w:rsidR="00854ADA" w:rsidRPr="00FF386D">
              <w:rPr>
                <w:rFonts w:ascii="Calibri Light" w:eastAsia="Times New Roman" w:hAnsi="Calibri Light" w:cs="Calibri Light"/>
                <w:color w:val="000000"/>
                <w:sz w:val="20"/>
                <w:szCs w:val="20"/>
                <w:lang w:eastAsia="en-GB"/>
              </w:rPr>
              <w:t xml:space="preserve"> милион евра</w:t>
            </w:r>
          </w:p>
        </w:tc>
      </w:tr>
      <w:tr w:rsidR="00854ADA" w:rsidRPr="00FF386D" w14:paraId="6039CA89"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7831E34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2CE820A9" w14:textId="77777777" w:rsidR="00854ADA" w:rsidRPr="00FF386D" w:rsidRDefault="00854ADA" w:rsidP="00854ADA">
            <w:pPr>
              <w:spacing w:after="0" w:line="240" w:lineRule="auto"/>
              <w:rPr>
                <w:rFonts w:ascii="Calibri" w:eastAsia="Times New Roman" w:hAnsi="Calibri" w:cs="Calibri"/>
                <w:color w:val="000000"/>
                <w:sz w:val="20"/>
                <w:szCs w:val="20"/>
                <w:lang w:eastAsia="en-GB"/>
              </w:rPr>
            </w:pPr>
            <w:r w:rsidRPr="00FF386D">
              <w:rPr>
                <w:rFonts w:asciiTheme="majorHAnsi" w:eastAsia="Times New Roman" w:hAnsiTheme="majorHAnsi" w:cstheme="majorHAnsi"/>
                <w:color w:val="000000"/>
                <w:sz w:val="20"/>
                <w:szCs w:val="20"/>
                <w:lang w:eastAsia="en-GB"/>
              </w:rPr>
              <w:t>Сопствена средства</w:t>
            </w:r>
          </w:p>
        </w:tc>
      </w:tr>
    </w:tbl>
    <w:p w14:paraId="241BCD20"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28"/>
        <w:gridCol w:w="944"/>
        <w:gridCol w:w="945"/>
        <w:gridCol w:w="4241"/>
      </w:tblGrid>
      <w:tr w:rsidR="00854ADA" w:rsidRPr="00FF386D" w14:paraId="2979CD8C" w14:textId="77777777" w:rsidTr="0057310C">
        <w:trPr>
          <w:trHeight w:val="780"/>
        </w:trPr>
        <w:tc>
          <w:tcPr>
            <w:tcW w:w="3328"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599918EB"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Calibri Light" w:eastAsia="Times New Roman" w:hAnsi="Calibri Light" w:cs="Calibri Light"/>
                <w:b/>
                <w:bCs/>
                <w:color w:val="FFFFFF"/>
                <w:sz w:val="20"/>
                <w:szCs w:val="20"/>
                <w:lang w:eastAsia="en-GB"/>
              </w:rPr>
              <w:t>Шифра мере политике:</w:t>
            </w:r>
          </w:p>
        </w:tc>
        <w:tc>
          <w:tcPr>
            <w:tcW w:w="944" w:type="dxa"/>
            <w:tcBorders>
              <w:top w:val="single" w:sz="8" w:space="0" w:color="auto"/>
              <w:left w:val="nil"/>
              <w:bottom w:val="single" w:sz="8" w:space="0" w:color="auto"/>
              <w:right w:val="single" w:sz="8" w:space="0" w:color="auto"/>
            </w:tcBorders>
            <w:shd w:val="clear" w:color="auto" w:fill="E7E6E6" w:themeFill="background2"/>
            <w:vAlign w:val="center"/>
            <w:hideMark/>
          </w:tcPr>
          <w:p w14:paraId="615DD679" w14:textId="2CD2DEFB"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eastAsia="Times New Roman" w:hAnsi="Calibri Light" w:cs="Calibri Light"/>
                <w:b/>
                <w:bCs/>
                <w:color w:val="000000"/>
                <w:sz w:val="20"/>
                <w:szCs w:val="20"/>
                <w:lang w:eastAsia="en-GB"/>
              </w:rPr>
              <w:t>МП_</w:t>
            </w:r>
            <w:r w:rsidR="00CC6B33" w:rsidRPr="00FF386D">
              <w:rPr>
                <w:rFonts w:ascii="Calibri Light" w:eastAsia="Times New Roman" w:hAnsi="Calibri Light" w:cs="Calibri Light"/>
                <w:b/>
                <w:bCs/>
                <w:color w:val="000000"/>
                <w:sz w:val="20"/>
                <w:szCs w:val="20"/>
                <w:lang w:eastAsia="en-GB"/>
              </w:rPr>
              <w:t>Д3</w:t>
            </w:r>
            <w:r w:rsidR="00CC6B33">
              <w:rPr>
                <w:rFonts w:ascii="Calibri Light" w:eastAsia="Times New Roman" w:hAnsi="Calibri Light" w:cs="Calibri Light"/>
                <w:b/>
                <w:bCs/>
                <w:color w:val="000000"/>
                <w:sz w:val="20"/>
                <w:szCs w:val="20"/>
                <w:lang w:eastAsia="en-GB"/>
              </w:rPr>
              <w:t>8</w:t>
            </w:r>
          </w:p>
        </w:tc>
        <w:tc>
          <w:tcPr>
            <w:tcW w:w="945" w:type="dxa"/>
            <w:tcBorders>
              <w:top w:val="single" w:sz="8" w:space="0" w:color="auto"/>
              <w:left w:val="nil"/>
              <w:bottom w:val="single" w:sz="8" w:space="0" w:color="auto"/>
              <w:right w:val="single" w:sz="8" w:space="0" w:color="auto"/>
            </w:tcBorders>
            <w:shd w:val="clear" w:color="000000" w:fill="244062"/>
            <w:vAlign w:val="center"/>
            <w:hideMark/>
          </w:tcPr>
          <w:p w14:paraId="67F9B76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eastAsia="Times New Roman" w:hAnsi="Calibri Light" w:cs="Calibri Light"/>
                <w:b/>
                <w:bCs/>
                <w:color w:val="FFFFFF"/>
                <w:sz w:val="20"/>
                <w:szCs w:val="20"/>
                <w:lang w:eastAsia="en-GB"/>
              </w:rPr>
              <w:t xml:space="preserve">Назив: </w:t>
            </w:r>
          </w:p>
        </w:tc>
        <w:tc>
          <w:tcPr>
            <w:tcW w:w="4241" w:type="dxa"/>
            <w:tcBorders>
              <w:top w:val="single" w:sz="8" w:space="0" w:color="auto"/>
              <w:left w:val="nil"/>
              <w:bottom w:val="single" w:sz="8" w:space="0" w:color="auto"/>
              <w:right w:val="single" w:sz="8" w:space="0" w:color="auto"/>
            </w:tcBorders>
            <w:shd w:val="clear" w:color="auto" w:fill="E7E6E6" w:themeFill="background2"/>
            <w:vAlign w:val="center"/>
            <w:hideMark/>
          </w:tcPr>
          <w:p w14:paraId="71FD9CEB" w14:textId="78DF843C"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eastAsia="Times New Roman" w:hAnsi="Calibri Light" w:cs="Calibri Light"/>
                <w:b/>
                <w:bCs/>
                <w:color w:val="000000"/>
                <w:sz w:val="20"/>
                <w:szCs w:val="20"/>
                <w:lang w:eastAsia="en-GB"/>
              </w:rPr>
              <w:t>Подршка демонстрационим пројектима за пром</w:t>
            </w:r>
            <w:r w:rsidR="00A10057" w:rsidRPr="00FF386D">
              <w:rPr>
                <w:rFonts w:ascii="Calibri Light" w:eastAsia="Times New Roman" w:hAnsi="Calibri Light" w:cs="Calibri Light"/>
                <w:b/>
                <w:bCs/>
                <w:color w:val="000000"/>
                <w:sz w:val="20"/>
                <w:szCs w:val="20"/>
                <w:lang w:eastAsia="en-GB"/>
              </w:rPr>
              <w:t>овисање</w:t>
            </w:r>
            <w:r w:rsidRPr="00FF386D">
              <w:rPr>
                <w:rFonts w:ascii="Calibri Light" w:eastAsia="Times New Roman" w:hAnsi="Calibri Light" w:cs="Calibri Light"/>
                <w:b/>
                <w:bCs/>
                <w:color w:val="000000"/>
                <w:sz w:val="20"/>
                <w:szCs w:val="20"/>
                <w:lang w:eastAsia="en-GB"/>
              </w:rPr>
              <w:t xml:space="preserve"> биометана и обновљивог водоника</w:t>
            </w:r>
          </w:p>
        </w:tc>
      </w:tr>
      <w:tr w:rsidR="00854ADA" w:rsidRPr="00FF386D" w14:paraId="7A24D3BF" w14:textId="77777777" w:rsidTr="0057310C">
        <w:trPr>
          <w:trHeight w:val="287"/>
        </w:trPr>
        <w:tc>
          <w:tcPr>
            <w:tcW w:w="3328" w:type="dxa"/>
            <w:tcBorders>
              <w:top w:val="nil"/>
              <w:left w:val="single" w:sz="8" w:space="0" w:color="auto"/>
              <w:bottom w:val="single" w:sz="8" w:space="0" w:color="auto"/>
              <w:right w:val="nil"/>
            </w:tcBorders>
            <w:shd w:val="clear" w:color="000000" w:fill="244062"/>
            <w:vAlign w:val="center"/>
            <w:hideMark/>
          </w:tcPr>
          <w:p w14:paraId="40CF362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685E064E"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Повећани удео ОИЕ у електричној енергији, повећани удео ОИЕ у грејању и хлађењу и повећани удео ОИЕ у саобраћају</w:t>
            </w:r>
          </w:p>
        </w:tc>
      </w:tr>
      <w:tr w:rsidR="00854ADA" w:rsidRPr="00FF386D" w14:paraId="564E11E1"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71DC386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0F9806EB" w14:textId="029DD75A" w:rsidR="00854ADA" w:rsidRPr="00FF386D" w:rsidRDefault="00A10057" w:rsidP="00CC6B33">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87</w:t>
            </w:r>
            <w:r w:rsidR="00854ADA" w:rsidRPr="00FF386D">
              <w:rPr>
                <w:rFonts w:ascii="Calibri Light" w:eastAsia="Times New Roman" w:hAnsi="Calibri Light" w:cs="Calibri Light"/>
                <w:color w:val="000000"/>
                <w:sz w:val="20"/>
                <w:szCs w:val="20"/>
                <w:lang w:eastAsia="en-GB"/>
              </w:rPr>
              <w:t xml:space="preserve"> ктое </w:t>
            </w:r>
            <w:r w:rsidRPr="00FF386D">
              <w:rPr>
                <w:rFonts w:ascii="Calibri Light" w:eastAsia="Times New Roman" w:hAnsi="Calibri Light" w:cs="Calibri Light"/>
                <w:color w:val="000000"/>
                <w:sz w:val="20"/>
                <w:szCs w:val="20"/>
                <w:lang w:eastAsia="en-GB"/>
              </w:rPr>
              <w:t>биометана</w:t>
            </w:r>
          </w:p>
        </w:tc>
      </w:tr>
      <w:tr w:rsidR="00854ADA" w:rsidRPr="00FF386D" w14:paraId="7D3F1CFA" w14:textId="77777777" w:rsidTr="0057310C">
        <w:trPr>
          <w:trHeight w:val="1203"/>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0C10BA8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78D0CC6B" w14:textId="34541EBC"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МП_</w:t>
            </w:r>
            <w:r w:rsidR="00CC6B33" w:rsidRPr="000A2AFE">
              <w:rPr>
                <w:rFonts w:ascii="Calibri Light" w:eastAsia="Times New Roman" w:hAnsi="Calibri Light" w:cs="Calibri Light"/>
                <w:color w:val="000000"/>
                <w:sz w:val="20"/>
                <w:szCs w:val="20"/>
                <w:lang w:eastAsia="en-GB"/>
              </w:rPr>
              <w:t>Д3</w:t>
            </w:r>
            <w:r w:rsidR="00CC6B33">
              <w:rPr>
                <w:rFonts w:ascii="Calibri Light" w:eastAsia="Times New Roman" w:hAnsi="Calibri Light" w:cs="Calibri Light"/>
                <w:color w:val="000000"/>
                <w:sz w:val="20"/>
                <w:szCs w:val="20"/>
                <w:lang w:eastAsia="en-GB"/>
              </w:rPr>
              <w:t>8</w:t>
            </w:r>
            <w:r w:rsidR="00CC6B33"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 xml:space="preserve">ће финансирати развој и </w:t>
            </w:r>
            <w:r w:rsidR="00A10057" w:rsidRPr="000A2AFE">
              <w:rPr>
                <w:rFonts w:ascii="Calibri Light" w:eastAsia="Times New Roman" w:hAnsi="Calibri Light" w:cs="Calibri Light"/>
                <w:color w:val="000000"/>
                <w:sz w:val="20"/>
                <w:szCs w:val="20"/>
                <w:lang w:eastAsia="en-GB"/>
              </w:rPr>
              <w:t>имплементацију</w:t>
            </w:r>
            <w:r w:rsidRPr="000A2AFE">
              <w:rPr>
                <w:rFonts w:ascii="Calibri Light" w:eastAsia="Times New Roman" w:hAnsi="Calibri Light" w:cs="Calibri Light"/>
                <w:color w:val="000000"/>
                <w:sz w:val="20"/>
                <w:szCs w:val="20"/>
                <w:lang w:eastAsia="en-GB"/>
              </w:rPr>
              <w:t xml:space="preserve"> демонстрационих пројеката за производњу и </w:t>
            </w:r>
            <w:r w:rsidR="00D96CA0" w:rsidRPr="000A2AFE">
              <w:rPr>
                <w:rFonts w:ascii="Calibri Light" w:eastAsia="Times New Roman" w:hAnsi="Calibri Light" w:cs="Calibri Light"/>
                <w:color w:val="000000"/>
                <w:sz w:val="20"/>
                <w:szCs w:val="20"/>
                <w:lang w:eastAsia="en-GB"/>
              </w:rPr>
              <w:t>коришћење</w:t>
            </w:r>
            <w:r w:rsidRPr="000A2AFE">
              <w:rPr>
                <w:rFonts w:ascii="Calibri Light" w:eastAsia="Times New Roman" w:hAnsi="Calibri Light" w:cs="Calibri Light"/>
                <w:color w:val="000000"/>
                <w:sz w:val="20"/>
                <w:szCs w:val="20"/>
                <w:lang w:eastAsia="en-GB"/>
              </w:rPr>
              <w:t xml:space="preserve"> биометана и обновљивог водоника у свим секторима финалне потрошње, доприносећи значајном смањењу њихових производних трошкова и побољшању њихове техничке изводљивости у погледу транспорта водоника и биометана постојећим системом природног гаса.</w:t>
            </w:r>
          </w:p>
        </w:tc>
      </w:tr>
      <w:tr w:rsidR="00854ADA" w:rsidRPr="00FF386D" w14:paraId="1A2040E9"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7947A99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4D42E38C" w14:textId="53C1BB48"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A10057"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-2030.</w:t>
            </w:r>
          </w:p>
        </w:tc>
      </w:tr>
      <w:tr w:rsidR="00854ADA" w:rsidRPr="00FF386D" w14:paraId="018E70E7"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6266F65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2304932A"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Инвестиције</w:t>
            </w:r>
          </w:p>
        </w:tc>
      </w:tr>
      <w:tr w:rsidR="00854ADA" w:rsidRPr="00FF386D" w14:paraId="32CED1F3"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508DFBB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71FDDB31" w14:textId="77777777" w:rsidR="00854ADA" w:rsidRPr="000A2AFE" w:rsidRDefault="00854ADA" w:rsidP="000A2AFE">
            <w:pPr>
              <w:pStyle w:val="ListParagraph"/>
              <w:numPr>
                <w:ilvl w:val="0"/>
                <w:numId w:val="347"/>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Електроенергетика, грејање и хлађење, саобраћај</w:t>
            </w:r>
          </w:p>
        </w:tc>
      </w:tr>
      <w:tr w:rsidR="00854ADA" w:rsidRPr="00FF386D" w14:paraId="284C516D"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4359278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4E4E2E20"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044301C2" w14:textId="77777777" w:rsidTr="0057310C">
        <w:trPr>
          <w:trHeight w:val="315"/>
        </w:trPr>
        <w:tc>
          <w:tcPr>
            <w:tcW w:w="3328" w:type="dxa"/>
            <w:tcBorders>
              <w:top w:val="nil"/>
              <w:left w:val="single" w:sz="8" w:space="0" w:color="auto"/>
              <w:bottom w:val="single" w:sz="8" w:space="0" w:color="auto"/>
              <w:right w:val="nil"/>
            </w:tcBorders>
            <w:shd w:val="clear" w:color="000000" w:fill="244062"/>
            <w:vAlign w:val="center"/>
            <w:hideMark/>
          </w:tcPr>
          <w:p w14:paraId="12DC873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313CCAF6" w14:textId="72790FA0" w:rsidR="00854ADA" w:rsidRPr="000A2AFE" w:rsidRDefault="00835718"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118F122C" w14:textId="77777777" w:rsidTr="0057310C">
        <w:trPr>
          <w:trHeight w:val="315"/>
        </w:trPr>
        <w:tc>
          <w:tcPr>
            <w:tcW w:w="3328" w:type="dxa"/>
            <w:tcBorders>
              <w:top w:val="nil"/>
              <w:left w:val="single" w:sz="8" w:space="0" w:color="auto"/>
              <w:bottom w:val="single" w:sz="8" w:space="0" w:color="auto"/>
              <w:right w:val="nil"/>
            </w:tcBorders>
            <w:shd w:val="clear" w:color="000000" w:fill="244062"/>
            <w:vAlign w:val="center"/>
            <w:hideMark/>
          </w:tcPr>
          <w:p w14:paraId="19A7206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3B9300B6" w14:textId="77777777" w:rsidR="00854ADA" w:rsidRPr="000A2AFE" w:rsidRDefault="00854ADA"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Утрошен биометан и обновљиви водоник</w:t>
            </w:r>
          </w:p>
        </w:tc>
      </w:tr>
      <w:tr w:rsidR="00854ADA" w:rsidRPr="00FF386D" w14:paraId="73059E13" w14:textId="77777777" w:rsidTr="0057310C">
        <w:trPr>
          <w:trHeight w:val="261"/>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38B8E37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30" w:type="dxa"/>
            <w:gridSpan w:val="3"/>
            <w:tcBorders>
              <w:top w:val="single" w:sz="8" w:space="0" w:color="auto"/>
              <w:left w:val="nil"/>
              <w:bottom w:val="single" w:sz="8" w:space="0" w:color="auto"/>
              <w:right w:val="single" w:sz="8" w:space="0" w:color="000000"/>
            </w:tcBorders>
            <w:shd w:val="clear" w:color="auto" w:fill="auto"/>
            <w:vAlign w:val="center"/>
          </w:tcPr>
          <w:p w14:paraId="27FB695B" w14:textId="6B408009" w:rsidR="00854ADA" w:rsidRPr="00FF386D" w:rsidRDefault="00835718" w:rsidP="000A2AFE">
            <w:pPr>
              <w:numPr>
                <w:ilvl w:val="0"/>
                <w:numId w:val="114"/>
              </w:numPr>
              <w:spacing w:after="0" w:line="240" w:lineRule="auto"/>
              <w:rPr>
                <w:rFonts w:ascii="Calibri Light" w:eastAsia="Times New Roman" w:hAnsi="Calibri Light" w:cs="Calibri Light"/>
                <w:color w:val="000000"/>
                <w:sz w:val="20"/>
                <w:szCs w:val="20"/>
                <w:lang w:eastAsia="en-GB"/>
              </w:rPr>
            </w:pPr>
            <w:r w:rsidRPr="00835718">
              <w:rPr>
                <w:rFonts w:ascii="Calibri Light" w:eastAsia="Times New Roman" w:hAnsi="Calibri Light" w:cs="Calibri Light"/>
                <w:color w:val="000000"/>
                <w:sz w:val="20"/>
                <w:szCs w:val="20"/>
                <w:lang w:eastAsia="en-GB"/>
              </w:rPr>
              <w:t>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854ADA" w:rsidRPr="00FF386D" w14:paraId="0C25FAA0" w14:textId="77777777" w:rsidTr="0057310C">
        <w:trPr>
          <w:trHeight w:val="450"/>
        </w:trPr>
        <w:tc>
          <w:tcPr>
            <w:tcW w:w="3328"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398E2CD3" w14:textId="5404F0A0"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30"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1E5A601D"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2018/2001/ЕУ</w:t>
            </w:r>
          </w:p>
        </w:tc>
      </w:tr>
      <w:tr w:rsidR="00854ADA" w:rsidRPr="00FF386D" w14:paraId="60E74732" w14:textId="77777777" w:rsidTr="0057310C">
        <w:trPr>
          <w:trHeight w:val="450"/>
        </w:trPr>
        <w:tc>
          <w:tcPr>
            <w:tcW w:w="3328" w:type="dxa"/>
            <w:vMerge/>
            <w:tcBorders>
              <w:top w:val="nil"/>
              <w:left w:val="single" w:sz="8" w:space="0" w:color="auto"/>
              <w:bottom w:val="single" w:sz="8" w:space="0" w:color="000000"/>
              <w:right w:val="single" w:sz="8" w:space="0" w:color="auto"/>
            </w:tcBorders>
            <w:vAlign w:val="center"/>
            <w:hideMark/>
          </w:tcPr>
          <w:p w14:paraId="280C878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0" w:type="dxa"/>
            <w:gridSpan w:val="3"/>
            <w:vMerge/>
            <w:tcBorders>
              <w:top w:val="single" w:sz="8" w:space="0" w:color="auto"/>
              <w:left w:val="single" w:sz="8" w:space="0" w:color="auto"/>
              <w:bottom w:val="single" w:sz="8" w:space="0" w:color="000000"/>
              <w:right w:val="single" w:sz="8" w:space="0" w:color="000000"/>
            </w:tcBorders>
            <w:vAlign w:val="center"/>
            <w:hideMark/>
          </w:tcPr>
          <w:p w14:paraId="03B8BAEA"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6DA6E2A8" w14:textId="77777777" w:rsidTr="0057310C">
        <w:trPr>
          <w:trHeight w:val="450"/>
        </w:trPr>
        <w:tc>
          <w:tcPr>
            <w:tcW w:w="3328" w:type="dxa"/>
            <w:vMerge/>
            <w:tcBorders>
              <w:top w:val="nil"/>
              <w:left w:val="single" w:sz="8" w:space="0" w:color="auto"/>
              <w:bottom w:val="single" w:sz="8" w:space="0" w:color="000000"/>
              <w:right w:val="single" w:sz="8" w:space="0" w:color="auto"/>
            </w:tcBorders>
            <w:vAlign w:val="center"/>
            <w:hideMark/>
          </w:tcPr>
          <w:p w14:paraId="23A33F1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0" w:type="dxa"/>
            <w:gridSpan w:val="3"/>
            <w:vMerge/>
            <w:tcBorders>
              <w:top w:val="single" w:sz="8" w:space="0" w:color="auto"/>
              <w:left w:val="single" w:sz="8" w:space="0" w:color="auto"/>
              <w:bottom w:val="single" w:sz="8" w:space="0" w:color="000000"/>
              <w:right w:val="single" w:sz="8" w:space="0" w:color="000000"/>
            </w:tcBorders>
            <w:vAlign w:val="center"/>
            <w:hideMark/>
          </w:tcPr>
          <w:p w14:paraId="48B89E8A"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4294FAB7" w14:textId="77777777" w:rsidTr="0057310C">
        <w:trPr>
          <w:trHeight w:val="54"/>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36522EA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09D4C4F7"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p>
        </w:tc>
      </w:tr>
      <w:tr w:rsidR="00854ADA" w:rsidRPr="00FF386D" w14:paraId="7E3B159B"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6863272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3EE1F9DB" w14:textId="5984271A" w:rsidR="00854ADA" w:rsidRPr="00FF386D" w:rsidRDefault="00A10057"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35</w:t>
            </w:r>
            <w:r w:rsidR="00854ADA" w:rsidRPr="00FF386D">
              <w:rPr>
                <w:rFonts w:ascii="Calibri Light" w:eastAsia="Times New Roman" w:hAnsi="Calibri Light" w:cs="Calibri Light"/>
                <w:color w:val="000000"/>
                <w:sz w:val="20"/>
                <w:szCs w:val="20"/>
                <w:lang w:eastAsia="en-GB"/>
              </w:rPr>
              <w:t xml:space="preserve"> милиона евра</w:t>
            </w:r>
          </w:p>
        </w:tc>
      </w:tr>
      <w:tr w:rsidR="00854ADA" w:rsidRPr="00FF386D" w14:paraId="1FCF3023"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3BB8CD5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3BAABADB" w14:textId="0F58623E"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A10057" w:rsidRPr="00FF386D">
              <w:rPr>
                <w:rFonts w:asciiTheme="majorHAnsi" w:eastAsia="Times New Roman" w:hAnsiTheme="majorHAnsi" w:cstheme="majorHAnsi"/>
                <w:color w:val="000000"/>
                <w:sz w:val="20"/>
                <w:szCs w:val="20"/>
                <w:lang w:eastAsia="en-GB"/>
              </w:rPr>
              <w:t>ска</w:t>
            </w:r>
            <w:r w:rsidRPr="00FF386D">
              <w:rPr>
                <w:rFonts w:asciiTheme="majorHAnsi" w:eastAsia="Times New Roman" w:hAnsiTheme="majorHAnsi" w:cstheme="majorHAnsi"/>
                <w:color w:val="000000"/>
                <w:sz w:val="20"/>
                <w:szCs w:val="20"/>
                <w:lang w:eastAsia="en-GB"/>
              </w:rPr>
              <w:t xml:space="preserve"> и сопствена средства</w:t>
            </w:r>
          </w:p>
        </w:tc>
      </w:tr>
    </w:tbl>
    <w:p w14:paraId="6A767A9D"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27"/>
        <w:gridCol w:w="945"/>
        <w:gridCol w:w="946"/>
        <w:gridCol w:w="4240"/>
      </w:tblGrid>
      <w:tr w:rsidR="00854ADA" w:rsidRPr="00FF386D" w14:paraId="3D9DCB9C" w14:textId="77777777" w:rsidTr="0057310C">
        <w:trPr>
          <w:trHeight w:val="780"/>
        </w:trPr>
        <w:tc>
          <w:tcPr>
            <w:tcW w:w="3327"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5E4AD950"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45" w:type="dxa"/>
            <w:tcBorders>
              <w:top w:val="single" w:sz="8" w:space="0" w:color="auto"/>
              <w:left w:val="nil"/>
              <w:bottom w:val="single" w:sz="8" w:space="0" w:color="auto"/>
              <w:right w:val="single" w:sz="8" w:space="0" w:color="auto"/>
            </w:tcBorders>
            <w:shd w:val="clear" w:color="auto" w:fill="E7E6E6" w:themeFill="background2"/>
            <w:vAlign w:val="center"/>
            <w:hideMark/>
          </w:tcPr>
          <w:p w14:paraId="787FAAB3" w14:textId="29596E14"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w:t>
            </w:r>
            <w:r w:rsidR="00CC6B33" w:rsidRPr="000A2AFE">
              <w:rPr>
                <w:rFonts w:ascii="Calibri Light" w:eastAsia="Times New Roman" w:hAnsi="Calibri Light" w:cs="Calibri Light"/>
                <w:b/>
                <w:bCs/>
                <w:color w:val="000000"/>
                <w:sz w:val="20"/>
                <w:szCs w:val="20"/>
                <w:lang w:eastAsia="en-GB"/>
              </w:rPr>
              <w:t>Д</w:t>
            </w:r>
            <w:r w:rsidR="00CC6B33">
              <w:rPr>
                <w:rFonts w:ascii="Calibri Light" w:eastAsia="Times New Roman" w:hAnsi="Calibri Light" w:cs="Calibri Light"/>
                <w:b/>
                <w:bCs/>
                <w:color w:val="000000"/>
                <w:sz w:val="20"/>
                <w:szCs w:val="20"/>
                <w:lang w:eastAsia="en-GB"/>
              </w:rPr>
              <w:t>39</w:t>
            </w:r>
          </w:p>
        </w:tc>
        <w:tc>
          <w:tcPr>
            <w:tcW w:w="946" w:type="dxa"/>
            <w:tcBorders>
              <w:top w:val="single" w:sz="8" w:space="0" w:color="auto"/>
              <w:left w:val="nil"/>
              <w:bottom w:val="single" w:sz="8" w:space="0" w:color="auto"/>
              <w:right w:val="single" w:sz="8" w:space="0" w:color="auto"/>
            </w:tcBorders>
            <w:shd w:val="clear" w:color="000000" w:fill="244062"/>
            <w:vAlign w:val="center"/>
            <w:hideMark/>
          </w:tcPr>
          <w:p w14:paraId="54C490A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40" w:type="dxa"/>
            <w:tcBorders>
              <w:top w:val="single" w:sz="8" w:space="0" w:color="auto"/>
              <w:left w:val="nil"/>
              <w:bottom w:val="single" w:sz="8" w:space="0" w:color="auto"/>
              <w:right w:val="single" w:sz="8" w:space="0" w:color="auto"/>
            </w:tcBorders>
            <w:shd w:val="clear" w:color="auto" w:fill="E7E6E6" w:themeFill="background2"/>
            <w:vAlign w:val="center"/>
            <w:hideMark/>
          </w:tcPr>
          <w:p w14:paraId="13EE7226" w14:textId="3F9EC55F"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Развој потребн</w:t>
            </w:r>
            <w:r w:rsidR="00204D52" w:rsidRPr="000A2AFE">
              <w:rPr>
                <w:rFonts w:ascii="Calibri Light" w:eastAsia="Times New Roman" w:hAnsi="Calibri Light" w:cs="Calibri Light"/>
                <w:b/>
                <w:bCs/>
                <w:color w:val="000000"/>
                <w:sz w:val="20"/>
                <w:szCs w:val="20"/>
                <w:lang w:eastAsia="en-GB"/>
              </w:rPr>
              <w:t>е законске регулативе</w:t>
            </w:r>
            <w:r w:rsidRPr="000A2AFE">
              <w:rPr>
                <w:rFonts w:ascii="Calibri Light" w:eastAsia="Times New Roman" w:hAnsi="Calibri Light" w:cs="Calibri Light"/>
                <w:b/>
                <w:bCs/>
                <w:color w:val="000000"/>
                <w:sz w:val="20"/>
                <w:szCs w:val="20"/>
                <w:lang w:eastAsia="en-GB"/>
              </w:rPr>
              <w:t xml:space="preserve"> и инфраструктуре за </w:t>
            </w:r>
            <w:r w:rsidR="00D96CA0" w:rsidRPr="000A2AFE">
              <w:rPr>
                <w:rFonts w:ascii="Calibri Light" w:eastAsia="Times New Roman" w:hAnsi="Calibri Light" w:cs="Calibri Light"/>
                <w:b/>
                <w:bCs/>
                <w:color w:val="000000"/>
                <w:sz w:val="20"/>
                <w:szCs w:val="20"/>
                <w:lang w:eastAsia="en-GB"/>
              </w:rPr>
              <w:t>коришћење</w:t>
            </w:r>
            <w:r w:rsidRPr="000A2AFE">
              <w:rPr>
                <w:rFonts w:ascii="Calibri Light" w:eastAsia="Times New Roman" w:hAnsi="Calibri Light" w:cs="Calibri Light"/>
                <w:b/>
                <w:bCs/>
                <w:color w:val="000000"/>
                <w:sz w:val="20"/>
                <w:szCs w:val="20"/>
                <w:lang w:eastAsia="en-GB"/>
              </w:rPr>
              <w:t xml:space="preserve"> биометана и обновљивог водоника</w:t>
            </w:r>
          </w:p>
        </w:tc>
      </w:tr>
      <w:tr w:rsidR="00854ADA" w:rsidRPr="00FF386D" w14:paraId="6AEF2E12" w14:textId="77777777" w:rsidTr="0057310C">
        <w:trPr>
          <w:trHeight w:val="305"/>
        </w:trPr>
        <w:tc>
          <w:tcPr>
            <w:tcW w:w="3327" w:type="dxa"/>
            <w:tcBorders>
              <w:top w:val="nil"/>
              <w:left w:val="single" w:sz="8" w:space="0" w:color="auto"/>
              <w:bottom w:val="single" w:sz="8" w:space="0" w:color="auto"/>
              <w:right w:val="nil"/>
            </w:tcBorders>
            <w:shd w:val="clear" w:color="000000" w:fill="244062"/>
            <w:vAlign w:val="center"/>
            <w:hideMark/>
          </w:tcPr>
          <w:p w14:paraId="6998F52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2C022FC4"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Повећан удео ОИЕ у електричној енергији, повећан удео ОИЕ у грејању и хлађењу и повећан удео ОИЕ у саобраћају</w:t>
            </w:r>
          </w:p>
        </w:tc>
      </w:tr>
      <w:tr w:rsidR="00854ADA" w:rsidRPr="00FF386D" w14:paraId="456900BB"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74C7476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6A1BBE86" w14:textId="57316A9A" w:rsidR="00854ADA" w:rsidRPr="00FF386D" w:rsidRDefault="00854ADA" w:rsidP="00854ADA">
            <w:pPr>
              <w:spacing w:after="0" w:line="240" w:lineRule="auto"/>
              <w:rPr>
                <w:rFonts w:asciiTheme="majorHAnsi" w:eastAsia="Times New Roman" w:hAnsiTheme="majorHAnsi" w:cstheme="majorHAnsi"/>
                <w:color w:val="000000"/>
                <w:lang w:eastAsia="en-GB"/>
              </w:rPr>
            </w:pPr>
            <w:r w:rsidRPr="000A2AFE">
              <w:rPr>
                <w:rFonts w:asciiTheme="majorHAnsi" w:eastAsia="Times New Roman" w:hAnsiTheme="majorHAnsi" w:cstheme="majorHAnsi"/>
                <w:color w:val="000000"/>
                <w:sz w:val="20"/>
                <w:szCs w:val="20"/>
                <w:lang w:eastAsia="en-GB"/>
              </w:rPr>
              <w:t>Допринос квантификованом циљу МП_</w:t>
            </w:r>
            <w:r w:rsidR="00CC6B33" w:rsidRPr="000A2AFE">
              <w:rPr>
                <w:rFonts w:asciiTheme="majorHAnsi" w:eastAsia="Times New Roman" w:hAnsiTheme="majorHAnsi" w:cstheme="majorHAnsi"/>
                <w:color w:val="000000"/>
                <w:sz w:val="20"/>
                <w:szCs w:val="20"/>
                <w:lang w:eastAsia="en-GB"/>
              </w:rPr>
              <w:t>Д38</w:t>
            </w:r>
          </w:p>
        </w:tc>
      </w:tr>
      <w:tr w:rsidR="00854ADA" w:rsidRPr="00FF386D" w14:paraId="0F77FB41" w14:textId="77777777" w:rsidTr="0057310C">
        <w:trPr>
          <w:trHeight w:val="910"/>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684DEEE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46CDBD53" w14:textId="1DD38A29" w:rsidR="00A10057" w:rsidRPr="000A2AFE" w:rsidRDefault="00854ADA" w:rsidP="00A10057">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МП_Д</w:t>
            </w:r>
            <w:r w:rsidR="00CC6B33">
              <w:rPr>
                <w:rFonts w:ascii="Calibri Light" w:eastAsia="Times New Roman" w:hAnsi="Calibri Light" w:cs="Calibri Light"/>
                <w:color w:val="000000"/>
                <w:sz w:val="20"/>
                <w:szCs w:val="20"/>
                <w:lang w:eastAsia="en-GB"/>
              </w:rPr>
              <w:t>39</w:t>
            </w:r>
            <w:r w:rsidRPr="000A2AFE">
              <w:rPr>
                <w:rFonts w:ascii="Calibri Light" w:eastAsia="Times New Roman" w:hAnsi="Calibri Light" w:cs="Calibri Light"/>
                <w:color w:val="000000"/>
                <w:sz w:val="20"/>
                <w:szCs w:val="20"/>
                <w:lang w:eastAsia="en-GB"/>
              </w:rPr>
              <w:t xml:space="preserve"> ће </w:t>
            </w:r>
            <w:r w:rsidR="00204D52" w:rsidRPr="000A2AFE">
              <w:rPr>
                <w:rFonts w:ascii="Calibri Light" w:eastAsia="Times New Roman" w:hAnsi="Calibri Light" w:cs="Calibri Light"/>
                <w:color w:val="000000"/>
                <w:sz w:val="20"/>
                <w:szCs w:val="20"/>
                <w:lang w:eastAsia="en-GB"/>
              </w:rPr>
              <w:t>донети</w:t>
            </w:r>
            <w:r w:rsidRPr="000A2AFE">
              <w:rPr>
                <w:rFonts w:ascii="Calibri Light" w:eastAsia="Times New Roman" w:hAnsi="Calibri Light" w:cs="Calibri Light"/>
                <w:color w:val="000000"/>
                <w:sz w:val="20"/>
                <w:szCs w:val="20"/>
                <w:lang w:eastAsia="en-GB"/>
              </w:rPr>
              <w:t xml:space="preserve"> закон</w:t>
            </w:r>
            <w:r w:rsidR="00204D52" w:rsidRPr="000A2AFE">
              <w:rPr>
                <w:rFonts w:ascii="Calibri Light" w:eastAsia="Times New Roman" w:hAnsi="Calibri Light" w:cs="Calibri Light"/>
                <w:color w:val="000000"/>
                <w:sz w:val="20"/>
                <w:szCs w:val="20"/>
                <w:lang w:eastAsia="en-GB"/>
              </w:rPr>
              <w:t xml:space="preserve">ску регулативу </w:t>
            </w:r>
            <w:r w:rsidRPr="000A2AFE">
              <w:rPr>
                <w:rFonts w:ascii="Calibri Light" w:eastAsia="Times New Roman" w:hAnsi="Calibri Light" w:cs="Calibri Light"/>
                <w:color w:val="000000"/>
                <w:sz w:val="20"/>
                <w:szCs w:val="20"/>
                <w:lang w:eastAsia="en-GB"/>
              </w:rPr>
              <w:t xml:space="preserve">(нпр. </w:t>
            </w:r>
            <w:r w:rsidR="00204D52" w:rsidRPr="000A2AFE">
              <w:rPr>
                <w:rFonts w:ascii="Calibri Light" w:eastAsia="Times New Roman" w:hAnsi="Calibri Light" w:cs="Calibri Light"/>
                <w:color w:val="000000"/>
                <w:sz w:val="20"/>
                <w:szCs w:val="20"/>
                <w:lang w:eastAsia="en-GB"/>
              </w:rPr>
              <w:t xml:space="preserve">поступци за </w:t>
            </w:r>
            <w:r w:rsidRPr="000A2AFE">
              <w:rPr>
                <w:rFonts w:ascii="Calibri Light" w:eastAsia="Times New Roman" w:hAnsi="Calibri Light" w:cs="Calibri Light"/>
                <w:color w:val="000000"/>
                <w:sz w:val="20"/>
                <w:szCs w:val="20"/>
                <w:lang w:eastAsia="en-GB"/>
              </w:rPr>
              <w:t>издавање дозвола, техничке смернице) и о</w:t>
            </w:r>
            <w:r w:rsidR="00204D52" w:rsidRPr="000A2AFE">
              <w:rPr>
                <w:rFonts w:ascii="Calibri Light" w:eastAsia="Times New Roman" w:hAnsi="Calibri Light" w:cs="Calibri Light"/>
                <w:color w:val="000000"/>
                <w:sz w:val="20"/>
                <w:szCs w:val="20"/>
                <w:lang w:eastAsia="en-GB"/>
              </w:rPr>
              <w:t>могућиће</w:t>
            </w:r>
            <w:r w:rsidRPr="000A2AFE">
              <w:rPr>
                <w:rFonts w:ascii="Calibri Light" w:eastAsia="Times New Roman" w:hAnsi="Calibri Light" w:cs="Calibri Light"/>
                <w:color w:val="000000"/>
                <w:sz w:val="20"/>
                <w:szCs w:val="20"/>
                <w:lang w:eastAsia="en-GB"/>
              </w:rPr>
              <w:t xml:space="preserve"> изградњу потребне инфраструктуре за употреб</w:t>
            </w:r>
            <w:r w:rsidR="00204D52" w:rsidRPr="000A2AFE">
              <w:rPr>
                <w:rFonts w:ascii="Calibri Light" w:eastAsia="Times New Roman" w:hAnsi="Calibri Light" w:cs="Calibri Light"/>
                <w:color w:val="000000"/>
                <w:sz w:val="20"/>
                <w:szCs w:val="20"/>
                <w:lang w:eastAsia="en-GB"/>
              </w:rPr>
              <w:t>у</w:t>
            </w:r>
            <w:r w:rsidRPr="000A2AFE">
              <w:rPr>
                <w:rFonts w:ascii="Calibri Light" w:eastAsia="Times New Roman" w:hAnsi="Calibri Light" w:cs="Calibri Light"/>
                <w:color w:val="000000"/>
                <w:sz w:val="20"/>
                <w:szCs w:val="20"/>
                <w:lang w:eastAsia="en-GB"/>
              </w:rPr>
              <w:t xml:space="preserve"> и потрошњ</w:t>
            </w:r>
            <w:r w:rsidR="00204D52" w:rsidRPr="000A2AFE">
              <w:rPr>
                <w:rFonts w:ascii="Calibri Light" w:eastAsia="Times New Roman" w:hAnsi="Calibri Light" w:cs="Calibri Light"/>
                <w:color w:val="000000"/>
                <w:sz w:val="20"/>
                <w:szCs w:val="20"/>
                <w:lang w:eastAsia="en-GB"/>
              </w:rPr>
              <w:t>у</w:t>
            </w:r>
            <w:r w:rsidRPr="000A2AFE">
              <w:rPr>
                <w:rFonts w:ascii="Calibri Light" w:eastAsia="Times New Roman" w:hAnsi="Calibri Light" w:cs="Calibri Light"/>
                <w:color w:val="000000"/>
                <w:sz w:val="20"/>
                <w:szCs w:val="20"/>
                <w:lang w:eastAsia="en-GB"/>
              </w:rPr>
              <w:t xml:space="preserve"> биометана и обновљивог водоника у секторима финалне потрошње. </w:t>
            </w:r>
            <w:r w:rsidR="001D0482" w:rsidRPr="000A2AFE">
              <w:rPr>
                <w:rFonts w:ascii="Calibri Light" w:eastAsia="Times New Roman" w:hAnsi="Calibri Light" w:cs="Calibri Light"/>
                <w:color w:val="000000"/>
                <w:sz w:val="20"/>
                <w:szCs w:val="20"/>
                <w:lang w:eastAsia="en-GB"/>
              </w:rPr>
              <w:t xml:space="preserve">Разматраће се </w:t>
            </w:r>
            <w:r w:rsidR="007843D2" w:rsidRPr="000A2AFE">
              <w:rPr>
                <w:rFonts w:ascii="Calibri Light" w:eastAsia="Times New Roman" w:hAnsi="Calibri Light" w:cs="Calibri Light"/>
                <w:color w:val="000000"/>
                <w:sz w:val="20"/>
                <w:szCs w:val="20"/>
                <w:lang w:eastAsia="en-GB"/>
              </w:rPr>
              <w:t xml:space="preserve">индикативно </w:t>
            </w:r>
            <w:r w:rsidR="00204D52" w:rsidRPr="000A2AFE">
              <w:rPr>
                <w:rFonts w:ascii="Calibri Light" w:eastAsia="Times New Roman" w:hAnsi="Calibri Light" w:cs="Calibri Light"/>
                <w:color w:val="000000"/>
                <w:sz w:val="20"/>
                <w:szCs w:val="20"/>
                <w:lang w:eastAsia="en-GB"/>
              </w:rPr>
              <w:t>следећи оквирни аспекти:</w:t>
            </w:r>
          </w:p>
          <w:p w14:paraId="5DE4E4C1" w14:textId="5768162B" w:rsidR="00A10057" w:rsidRPr="000A2AFE" w:rsidRDefault="001D0482">
            <w:pPr>
              <w:numPr>
                <w:ilvl w:val="0"/>
                <w:numId w:val="280"/>
              </w:num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lastRenderedPageBreak/>
              <w:t>Утврђивање најадекватнијег пословног модела за додатну екс</w:t>
            </w:r>
            <w:r w:rsidR="00795B2C">
              <w:rPr>
                <w:rFonts w:ascii="Calibri Light" w:eastAsia="Times New Roman" w:hAnsi="Calibri Light" w:cs="Calibri Light"/>
                <w:color w:val="000000"/>
                <w:sz w:val="20"/>
                <w:szCs w:val="20"/>
                <w:lang w:eastAsia="en-GB"/>
              </w:rPr>
              <w:t>п</w:t>
            </w:r>
            <w:r w:rsidRPr="000A2AFE">
              <w:rPr>
                <w:rFonts w:ascii="Calibri Light" w:eastAsia="Times New Roman" w:hAnsi="Calibri Light" w:cs="Calibri Light"/>
                <w:color w:val="000000"/>
                <w:sz w:val="20"/>
                <w:szCs w:val="20"/>
                <w:lang w:eastAsia="en-GB"/>
              </w:rPr>
              <w:t>лоатацију водоника и биомасе</w:t>
            </w:r>
            <w:r w:rsidR="00A10057" w:rsidRPr="000A2AFE">
              <w:rPr>
                <w:rFonts w:ascii="Calibri Light" w:eastAsia="Times New Roman" w:hAnsi="Calibri Light" w:cs="Calibri Light"/>
                <w:color w:val="000000"/>
                <w:sz w:val="20"/>
                <w:szCs w:val="20"/>
                <w:lang w:eastAsia="en-GB"/>
              </w:rPr>
              <w:t>.</w:t>
            </w:r>
          </w:p>
          <w:p w14:paraId="3128A485" w14:textId="4F275034" w:rsidR="00A10057" w:rsidRPr="000A2AFE" w:rsidRDefault="001D0482">
            <w:pPr>
              <w:numPr>
                <w:ilvl w:val="0"/>
                <w:numId w:val="280"/>
              </w:num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Успостављање поступка издавања дозвола и одобрења за постројења за пр</w:t>
            </w:r>
            <w:r w:rsidR="007843D2" w:rsidRPr="000A2AFE">
              <w:rPr>
                <w:rFonts w:ascii="Calibri Light" w:eastAsia="Times New Roman" w:hAnsi="Calibri Light" w:cs="Calibri Light"/>
                <w:color w:val="000000"/>
                <w:sz w:val="20"/>
                <w:szCs w:val="20"/>
                <w:lang w:eastAsia="en-GB"/>
              </w:rPr>
              <w:t>о</w:t>
            </w:r>
            <w:r w:rsidRPr="000A2AFE">
              <w:rPr>
                <w:rFonts w:ascii="Calibri Light" w:eastAsia="Times New Roman" w:hAnsi="Calibri Light" w:cs="Calibri Light"/>
                <w:color w:val="000000"/>
                <w:sz w:val="20"/>
                <w:szCs w:val="20"/>
                <w:lang w:eastAsia="en-GB"/>
              </w:rPr>
              <w:t>изводњу обновљивог водоника и биометана, укључујући прописе у области</w:t>
            </w:r>
            <w:r w:rsidR="000773A2">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планирањ</w:t>
            </w:r>
            <w:r w:rsidR="007843D2" w:rsidRPr="000A2AFE">
              <w:rPr>
                <w:rFonts w:ascii="Calibri Light" w:eastAsia="Times New Roman" w:hAnsi="Calibri Light" w:cs="Calibri Light"/>
                <w:color w:val="000000"/>
                <w:sz w:val="20"/>
                <w:szCs w:val="20"/>
                <w:lang w:eastAsia="en-GB"/>
              </w:rPr>
              <w:t>а</w:t>
            </w:r>
            <w:r w:rsidR="00655D0D">
              <w:rPr>
                <w:rFonts w:ascii="Calibri Light" w:eastAsia="Times New Roman" w:hAnsi="Calibri Light" w:cs="Calibri Light"/>
                <w:color w:val="000000"/>
                <w:sz w:val="20"/>
                <w:szCs w:val="20"/>
                <w:lang w:eastAsia="en-GB"/>
              </w:rPr>
              <w:t xml:space="preserve"> и изградње</w:t>
            </w:r>
            <w:r w:rsidR="00A10057" w:rsidRPr="000A2AFE">
              <w:rPr>
                <w:rFonts w:ascii="Calibri Light" w:eastAsia="Times New Roman" w:hAnsi="Calibri Light" w:cs="Calibri Light"/>
                <w:color w:val="000000"/>
                <w:sz w:val="20"/>
                <w:szCs w:val="20"/>
                <w:lang w:eastAsia="en-GB"/>
              </w:rPr>
              <w:t>.</w:t>
            </w:r>
          </w:p>
          <w:p w14:paraId="7F3C4513" w14:textId="61DE8ADE" w:rsidR="00A10057" w:rsidRPr="000A2AFE" w:rsidRDefault="006264F1">
            <w:pPr>
              <w:numPr>
                <w:ilvl w:val="0"/>
                <w:numId w:val="280"/>
              </w:num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Промовисање одрживости и издавање сертификата за произведени обновљиви водоник и биометан</w:t>
            </w:r>
            <w:r w:rsidR="00A10057" w:rsidRPr="000A2AFE">
              <w:rPr>
                <w:rFonts w:ascii="Calibri Light" w:eastAsia="Times New Roman" w:hAnsi="Calibri Light" w:cs="Calibri Light"/>
                <w:color w:val="000000"/>
                <w:sz w:val="20"/>
                <w:szCs w:val="20"/>
                <w:lang w:eastAsia="en-GB"/>
              </w:rPr>
              <w:t>.</w:t>
            </w:r>
          </w:p>
          <w:p w14:paraId="4632E409" w14:textId="1A2BF25C" w:rsidR="00A10057" w:rsidRPr="000A2AFE" w:rsidRDefault="003C6454">
            <w:pPr>
              <w:numPr>
                <w:ilvl w:val="0"/>
                <w:numId w:val="280"/>
              </w:num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Одређивање</w:t>
            </w:r>
            <w:r w:rsidR="006264F1" w:rsidRPr="000A2AFE">
              <w:rPr>
                <w:rFonts w:ascii="Calibri Light" w:eastAsia="Times New Roman" w:hAnsi="Calibri Light" w:cs="Calibri Light"/>
                <w:color w:val="000000"/>
                <w:sz w:val="20"/>
                <w:szCs w:val="20"/>
                <w:lang w:eastAsia="en-GB"/>
              </w:rPr>
              <w:t xml:space="preserve"> техничких карактеристика за пренос, складиштење и упумпавање обновљивог водоника и биометана у инфраструктуру природног гаса</w:t>
            </w:r>
            <w:r w:rsidR="00F62532">
              <w:rPr>
                <w:rFonts w:ascii="Calibri Light" w:eastAsia="Times New Roman" w:hAnsi="Calibri Light" w:cs="Calibri Light"/>
                <w:color w:val="000000"/>
                <w:sz w:val="20"/>
                <w:szCs w:val="20"/>
                <w:lang w:eastAsia="en-GB"/>
              </w:rPr>
              <w:t>.</w:t>
            </w:r>
          </w:p>
          <w:p w14:paraId="29630A1B" w14:textId="05441F50" w:rsidR="00A10057" w:rsidRPr="000A2AFE" w:rsidRDefault="006264F1">
            <w:pPr>
              <w:numPr>
                <w:ilvl w:val="0"/>
                <w:numId w:val="280"/>
              </w:num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Утврђивање услова за приступ треће стране инфраструктури природног гаса</w:t>
            </w:r>
            <w:r w:rsidR="00A10057" w:rsidRPr="000A2AFE">
              <w:rPr>
                <w:rFonts w:ascii="Calibri Light" w:eastAsia="Times New Roman" w:hAnsi="Calibri Light" w:cs="Calibri Light"/>
                <w:color w:val="000000"/>
                <w:sz w:val="20"/>
                <w:szCs w:val="20"/>
                <w:lang w:eastAsia="en-GB"/>
              </w:rPr>
              <w:t>.</w:t>
            </w:r>
          </w:p>
          <w:p w14:paraId="578789AB" w14:textId="0AE8ECBE" w:rsidR="00A10057" w:rsidRPr="000A2AFE" w:rsidRDefault="003C6454">
            <w:pPr>
              <w:numPr>
                <w:ilvl w:val="0"/>
                <w:numId w:val="280"/>
              </w:num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Утврђивање дужности и </w:t>
            </w:r>
            <w:r w:rsidR="007843D2" w:rsidRPr="000A2AFE">
              <w:rPr>
                <w:rFonts w:ascii="Calibri Light" w:eastAsia="Times New Roman" w:hAnsi="Calibri Light" w:cs="Calibri Light"/>
                <w:color w:val="000000"/>
                <w:sz w:val="20"/>
                <w:szCs w:val="20"/>
                <w:lang w:eastAsia="en-GB"/>
              </w:rPr>
              <w:t>обавеза</w:t>
            </w:r>
            <w:r w:rsidRPr="000A2AFE">
              <w:rPr>
                <w:rFonts w:ascii="Calibri Light" w:eastAsia="Times New Roman" w:hAnsi="Calibri Light" w:cs="Calibri Light"/>
                <w:color w:val="000000"/>
                <w:sz w:val="20"/>
                <w:szCs w:val="20"/>
                <w:lang w:eastAsia="en-GB"/>
              </w:rPr>
              <w:t xml:space="preserve"> оператера дистрибутивне мреже природног гаса</w:t>
            </w:r>
            <w:r w:rsidR="00A10057" w:rsidRPr="000A2AFE">
              <w:rPr>
                <w:rFonts w:ascii="Calibri Light" w:eastAsia="Times New Roman" w:hAnsi="Calibri Light" w:cs="Calibri Light"/>
                <w:color w:val="000000"/>
                <w:sz w:val="20"/>
                <w:szCs w:val="20"/>
                <w:lang w:eastAsia="en-GB"/>
              </w:rPr>
              <w:t>.</w:t>
            </w:r>
          </w:p>
          <w:p w14:paraId="05B9597D" w14:textId="1AA61D21" w:rsidR="00A10057" w:rsidRPr="000A2AFE" w:rsidRDefault="006264F1">
            <w:pPr>
              <w:numPr>
                <w:ilvl w:val="0"/>
                <w:numId w:val="280"/>
              </w:num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Експлоатација расположивог потенцијала у постројењима за биолошки третман и </w:t>
            </w:r>
            <w:r w:rsidR="007843D2" w:rsidRPr="000A2AFE">
              <w:rPr>
                <w:rFonts w:ascii="Calibri Light" w:eastAsia="Times New Roman" w:hAnsi="Calibri Light" w:cs="Calibri Light"/>
                <w:color w:val="000000"/>
                <w:sz w:val="20"/>
                <w:szCs w:val="20"/>
                <w:lang w:eastAsia="en-GB"/>
              </w:rPr>
              <w:t xml:space="preserve">потенцијала </w:t>
            </w:r>
            <w:r w:rsidRPr="000A2AFE">
              <w:rPr>
                <w:rFonts w:ascii="Calibri Light" w:eastAsia="Times New Roman" w:hAnsi="Calibri Light" w:cs="Calibri Light"/>
                <w:color w:val="000000"/>
                <w:sz w:val="20"/>
                <w:szCs w:val="20"/>
                <w:lang w:eastAsia="en-GB"/>
              </w:rPr>
              <w:t>органски</w:t>
            </w:r>
            <w:r w:rsidR="007843D2" w:rsidRPr="000A2AFE">
              <w:rPr>
                <w:rFonts w:ascii="Calibri Light" w:eastAsia="Times New Roman" w:hAnsi="Calibri Light" w:cs="Calibri Light"/>
                <w:color w:val="000000"/>
                <w:sz w:val="20"/>
                <w:szCs w:val="20"/>
                <w:lang w:eastAsia="en-GB"/>
              </w:rPr>
              <w:t>х</w:t>
            </w:r>
            <w:r w:rsidRPr="000A2AFE">
              <w:rPr>
                <w:rFonts w:ascii="Calibri Light" w:eastAsia="Times New Roman" w:hAnsi="Calibri Light" w:cs="Calibri Light"/>
                <w:color w:val="000000"/>
                <w:sz w:val="20"/>
                <w:szCs w:val="20"/>
                <w:lang w:eastAsia="en-GB"/>
              </w:rPr>
              <w:t xml:space="preserve"> оста</w:t>
            </w:r>
            <w:r w:rsidR="007843D2" w:rsidRPr="000A2AFE">
              <w:rPr>
                <w:rFonts w:ascii="Calibri Light" w:eastAsia="Times New Roman" w:hAnsi="Calibri Light" w:cs="Calibri Light"/>
                <w:color w:val="000000"/>
                <w:sz w:val="20"/>
                <w:szCs w:val="20"/>
                <w:lang w:eastAsia="en-GB"/>
              </w:rPr>
              <w:t>така</w:t>
            </w:r>
            <w:r w:rsidRPr="000A2AFE">
              <w:rPr>
                <w:rFonts w:ascii="Calibri Light" w:eastAsia="Times New Roman" w:hAnsi="Calibri Light" w:cs="Calibri Light"/>
                <w:color w:val="000000"/>
                <w:sz w:val="20"/>
                <w:szCs w:val="20"/>
                <w:lang w:eastAsia="en-GB"/>
              </w:rPr>
              <w:t xml:space="preserve"> комуналног отпада</w:t>
            </w:r>
            <w:r w:rsidR="00A10057" w:rsidRPr="000A2AFE">
              <w:rPr>
                <w:rFonts w:ascii="Calibri Light" w:eastAsia="Times New Roman" w:hAnsi="Calibri Light" w:cs="Calibri Light"/>
                <w:color w:val="000000"/>
                <w:sz w:val="20"/>
                <w:szCs w:val="20"/>
                <w:lang w:eastAsia="en-GB"/>
              </w:rPr>
              <w:t>.</w:t>
            </w:r>
          </w:p>
          <w:p w14:paraId="10D3267B" w14:textId="601826E8" w:rsidR="00854ADA" w:rsidRPr="00FF386D" w:rsidRDefault="00854ADA" w:rsidP="00854ADA">
            <w:pPr>
              <w:spacing w:after="0" w:line="240" w:lineRule="auto"/>
              <w:jc w:val="both"/>
              <w:rPr>
                <w:rFonts w:ascii="Calibri Light" w:hAnsi="Calibri Light" w:cstheme="majorHAnsi"/>
                <w:color w:val="000000"/>
                <w:sz w:val="20"/>
                <w:szCs w:val="20"/>
              </w:rPr>
            </w:pPr>
            <w:r w:rsidRPr="000A2AFE">
              <w:rPr>
                <w:rFonts w:ascii="Calibri Light" w:eastAsia="Times New Roman" w:hAnsi="Calibri Light" w:cs="Calibri Light"/>
                <w:color w:val="000000"/>
                <w:sz w:val="20"/>
                <w:szCs w:val="20"/>
                <w:lang w:eastAsia="en-GB"/>
              </w:rPr>
              <w:t>Размотриће</w:t>
            </w:r>
            <w:r w:rsidRPr="00FF386D">
              <w:rPr>
                <w:rFonts w:ascii="Calibri Light" w:hAnsi="Calibri Light" w:cstheme="majorHAnsi"/>
                <w:color w:val="000000"/>
                <w:sz w:val="20"/>
                <w:szCs w:val="20"/>
              </w:rPr>
              <w:t xml:space="preserve"> се могућности изградња наменске инфраструктуре за складиштење</w:t>
            </w:r>
            <w:r w:rsidR="003C6454" w:rsidRPr="00FF386D">
              <w:rPr>
                <w:rFonts w:ascii="Calibri Light" w:hAnsi="Calibri Light" w:cstheme="majorHAnsi"/>
                <w:color w:val="000000"/>
                <w:sz w:val="20"/>
                <w:szCs w:val="20"/>
              </w:rPr>
              <w:t xml:space="preserve"> </w:t>
            </w:r>
            <w:r w:rsidRPr="00FF386D">
              <w:rPr>
                <w:rFonts w:ascii="Calibri Light" w:hAnsi="Calibri Light" w:cstheme="majorHAnsi"/>
                <w:color w:val="000000"/>
                <w:sz w:val="20"/>
                <w:szCs w:val="20"/>
              </w:rPr>
              <w:t xml:space="preserve">и транспорт </w:t>
            </w:r>
            <w:r w:rsidR="007843D2" w:rsidRPr="00FF386D">
              <w:rPr>
                <w:rFonts w:ascii="Calibri Light" w:hAnsi="Calibri Light" w:cstheme="majorHAnsi"/>
                <w:color w:val="000000"/>
                <w:sz w:val="20"/>
                <w:szCs w:val="20"/>
              </w:rPr>
              <w:t xml:space="preserve">велике количине </w:t>
            </w:r>
            <w:r w:rsidRPr="00FF386D">
              <w:rPr>
                <w:rFonts w:ascii="Calibri Light" w:hAnsi="Calibri Light" w:cstheme="majorHAnsi"/>
                <w:color w:val="000000"/>
                <w:sz w:val="20"/>
                <w:szCs w:val="20"/>
              </w:rPr>
              <w:t>чистог водоника,</w:t>
            </w:r>
            <w:r w:rsidRPr="00FF386D">
              <w:rPr>
                <w:rFonts w:asciiTheme="majorHAnsi" w:hAnsiTheme="majorHAnsi" w:cstheme="majorHAnsi"/>
                <w:color w:val="000000"/>
              </w:rPr>
              <w:t xml:space="preserve"> </w:t>
            </w:r>
            <w:r w:rsidRPr="00FF386D">
              <w:rPr>
                <w:rFonts w:ascii="Calibri Light" w:hAnsi="Calibri Light" w:cstheme="majorHAnsi"/>
                <w:color w:val="000000"/>
                <w:sz w:val="20"/>
                <w:szCs w:val="20"/>
              </w:rPr>
              <w:t>која не би била ограничена само на ц</w:t>
            </w:r>
            <w:r w:rsidR="003C6454" w:rsidRPr="00FF386D">
              <w:rPr>
                <w:rFonts w:ascii="Calibri Light" w:hAnsi="Calibri Light" w:cstheme="majorHAnsi"/>
                <w:color w:val="000000"/>
                <w:sz w:val="20"/>
                <w:szCs w:val="20"/>
              </w:rPr>
              <w:t>евоводе</w:t>
            </w:r>
            <w:r w:rsidRPr="00FF386D">
              <w:rPr>
                <w:rFonts w:ascii="Calibri Light" w:hAnsi="Calibri Light" w:cstheme="majorHAnsi"/>
                <w:color w:val="000000"/>
                <w:sz w:val="20"/>
                <w:szCs w:val="20"/>
              </w:rPr>
              <w:t xml:space="preserve"> од тачке до тачке у</w:t>
            </w:r>
            <w:r w:rsidR="003C6454" w:rsidRPr="00FF386D">
              <w:rPr>
                <w:rFonts w:ascii="Calibri Light" w:hAnsi="Calibri Light" w:cstheme="majorHAnsi"/>
                <w:color w:val="000000"/>
                <w:sz w:val="20"/>
                <w:szCs w:val="20"/>
              </w:rPr>
              <w:t xml:space="preserve"> оквиру</w:t>
            </w:r>
            <w:r w:rsidRPr="00FF386D">
              <w:rPr>
                <w:rFonts w:ascii="Calibri Light" w:hAnsi="Calibri Light" w:cstheme="majorHAnsi"/>
                <w:color w:val="000000"/>
                <w:sz w:val="20"/>
                <w:szCs w:val="20"/>
              </w:rPr>
              <w:t xml:space="preserve"> индустријских кластера.</w:t>
            </w:r>
          </w:p>
        </w:tc>
      </w:tr>
      <w:tr w:rsidR="00854ADA" w:rsidRPr="00FF386D" w14:paraId="1D0E526A"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08EE936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Временски оквир имплементације</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439A99E2" w14:textId="1D7D01CA"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A10057"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-2030.</w:t>
            </w:r>
          </w:p>
        </w:tc>
      </w:tr>
      <w:tr w:rsidR="00854ADA" w:rsidRPr="00FF386D" w14:paraId="3AF6E31C"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497C61C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43C0151D"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Реформа</w:t>
            </w:r>
          </w:p>
        </w:tc>
      </w:tr>
      <w:tr w:rsidR="00854ADA" w:rsidRPr="00FF386D" w14:paraId="3EDC270E"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2C73806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66114049"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Електроенергетика, грејање и хлађење, транспорт</w:t>
            </w:r>
          </w:p>
        </w:tc>
      </w:tr>
      <w:tr w:rsidR="00854ADA" w:rsidRPr="00FF386D" w14:paraId="41914D0F"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1ED32B9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263B073C"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6D924676" w14:textId="77777777" w:rsidTr="0057310C">
        <w:trPr>
          <w:trHeight w:val="315"/>
        </w:trPr>
        <w:tc>
          <w:tcPr>
            <w:tcW w:w="3327" w:type="dxa"/>
            <w:tcBorders>
              <w:top w:val="nil"/>
              <w:left w:val="single" w:sz="8" w:space="0" w:color="auto"/>
              <w:bottom w:val="single" w:sz="8" w:space="0" w:color="auto"/>
              <w:right w:val="nil"/>
            </w:tcBorders>
            <w:shd w:val="clear" w:color="000000" w:fill="244062"/>
            <w:vAlign w:val="center"/>
            <w:hideMark/>
          </w:tcPr>
          <w:p w14:paraId="7E45FE2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5E333558" w14:textId="4682CDE9" w:rsidR="00854ADA" w:rsidRPr="000A2AFE" w:rsidRDefault="00EB4721"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61CD3DE2" w14:textId="77777777" w:rsidTr="0057310C">
        <w:trPr>
          <w:trHeight w:val="315"/>
        </w:trPr>
        <w:tc>
          <w:tcPr>
            <w:tcW w:w="3327" w:type="dxa"/>
            <w:tcBorders>
              <w:top w:val="nil"/>
              <w:left w:val="single" w:sz="8" w:space="0" w:color="auto"/>
              <w:bottom w:val="single" w:sz="8" w:space="0" w:color="auto"/>
              <w:right w:val="nil"/>
            </w:tcBorders>
            <w:shd w:val="clear" w:color="000000" w:fill="244062"/>
            <w:vAlign w:val="center"/>
            <w:hideMark/>
          </w:tcPr>
          <w:p w14:paraId="1FA6006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3E691EBE" w14:textId="77777777" w:rsidR="00854ADA" w:rsidRPr="000A2AFE" w:rsidRDefault="00854ADA"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Развијено законодавство и регулаторни оквир</w:t>
            </w:r>
          </w:p>
        </w:tc>
      </w:tr>
      <w:tr w:rsidR="00854ADA" w:rsidRPr="00FF386D" w14:paraId="2ABBFD81" w14:textId="77777777" w:rsidTr="0057310C">
        <w:trPr>
          <w:trHeight w:val="173"/>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19CBDF4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31" w:type="dxa"/>
            <w:gridSpan w:val="3"/>
            <w:tcBorders>
              <w:top w:val="single" w:sz="8" w:space="0" w:color="auto"/>
              <w:left w:val="nil"/>
              <w:bottom w:val="single" w:sz="8" w:space="0" w:color="auto"/>
              <w:right w:val="single" w:sz="8" w:space="0" w:color="000000"/>
            </w:tcBorders>
            <w:shd w:val="clear" w:color="auto" w:fill="auto"/>
            <w:vAlign w:val="center"/>
          </w:tcPr>
          <w:p w14:paraId="3D421211" w14:textId="419D3DE3" w:rsidR="00854ADA" w:rsidRPr="000A2AFE" w:rsidRDefault="00EB4721"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854ADA" w:rsidRPr="00FF386D" w14:paraId="5450702D" w14:textId="77777777" w:rsidTr="0057310C">
        <w:trPr>
          <w:trHeight w:val="450"/>
        </w:trPr>
        <w:tc>
          <w:tcPr>
            <w:tcW w:w="3327"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08F903DA" w14:textId="1C4B2886"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31"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54156855"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2018/2001/ЕУ</w:t>
            </w:r>
          </w:p>
        </w:tc>
      </w:tr>
      <w:tr w:rsidR="00854ADA" w:rsidRPr="00FF386D" w14:paraId="77DBD46F" w14:textId="77777777" w:rsidTr="0057310C">
        <w:trPr>
          <w:trHeight w:val="450"/>
        </w:trPr>
        <w:tc>
          <w:tcPr>
            <w:tcW w:w="3327" w:type="dxa"/>
            <w:vMerge/>
            <w:tcBorders>
              <w:top w:val="nil"/>
              <w:left w:val="single" w:sz="8" w:space="0" w:color="auto"/>
              <w:bottom w:val="single" w:sz="8" w:space="0" w:color="000000"/>
              <w:right w:val="single" w:sz="8" w:space="0" w:color="auto"/>
            </w:tcBorders>
            <w:vAlign w:val="center"/>
            <w:hideMark/>
          </w:tcPr>
          <w:p w14:paraId="2CEC4C6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1" w:type="dxa"/>
            <w:gridSpan w:val="3"/>
            <w:vMerge/>
            <w:tcBorders>
              <w:top w:val="single" w:sz="8" w:space="0" w:color="auto"/>
              <w:left w:val="single" w:sz="8" w:space="0" w:color="auto"/>
              <w:bottom w:val="single" w:sz="8" w:space="0" w:color="000000"/>
              <w:right w:val="single" w:sz="8" w:space="0" w:color="000000"/>
            </w:tcBorders>
            <w:vAlign w:val="center"/>
            <w:hideMark/>
          </w:tcPr>
          <w:p w14:paraId="003B23DF"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12449360" w14:textId="77777777" w:rsidTr="0057310C">
        <w:trPr>
          <w:trHeight w:val="450"/>
        </w:trPr>
        <w:tc>
          <w:tcPr>
            <w:tcW w:w="3327" w:type="dxa"/>
            <w:vMerge/>
            <w:tcBorders>
              <w:top w:val="nil"/>
              <w:left w:val="single" w:sz="8" w:space="0" w:color="auto"/>
              <w:bottom w:val="single" w:sz="8" w:space="0" w:color="000000"/>
              <w:right w:val="single" w:sz="8" w:space="0" w:color="auto"/>
            </w:tcBorders>
            <w:vAlign w:val="center"/>
            <w:hideMark/>
          </w:tcPr>
          <w:p w14:paraId="4771AFE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1" w:type="dxa"/>
            <w:gridSpan w:val="3"/>
            <w:vMerge/>
            <w:tcBorders>
              <w:top w:val="single" w:sz="8" w:space="0" w:color="auto"/>
              <w:left w:val="single" w:sz="8" w:space="0" w:color="auto"/>
              <w:bottom w:val="single" w:sz="8" w:space="0" w:color="000000"/>
              <w:right w:val="single" w:sz="8" w:space="0" w:color="000000"/>
            </w:tcBorders>
            <w:vAlign w:val="center"/>
            <w:hideMark/>
          </w:tcPr>
          <w:p w14:paraId="6F75B8EF"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1DBD4A12" w14:textId="77777777" w:rsidTr="0057310C">
        <w:trPr>
          <w:trHeight w:val="14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6BD688B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2048A3B6" w14:textId="4112505E" w:rsidR="00854ADA" w:rsidRPr="000A2AFE" w:rsidRDefault="00AE18CB" w:rsidP="000A2AFE">
            <w:pPr>
              <w:pStyle w:val="ListParagraph"/>
              <w:numPr>
                <w:ilvl w:val="0"/>
                <w:numId w:val="315"/>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Закон о планирању и изградњи</w:t>
            </w:r>
          </w:p>
        </w:tc>
      </w:tr>
      <w:tr w:rsidR="00854ADA" w:rsidRPr="00FF386D" w14:paraId="47787383"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01CF5CE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0B2C8F0C"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0,8 милиона евра</w:t>
            </w:r>
          </w:p>
        </w:tc>
      </w:tr>
      <w:tr w:rsidR="00854ADA" w:rsidRPr="00FF386D" w14:paraId="51F696ED"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72F4433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1FC48A33"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и сопствена средства</w:t>
            </w:r>
          </w:p>
        </w:tc>
      </w:tr>
    </w:tbl>
    <w:p w14:paraId="7C08D81D"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27"/>
        <w:gridCol w:w="944"/>
        <w:gridCol w:w="946"/>
        <w:gridCol w:w="4241"/>
      </w:tblGrid>
      <w:tr w:rsidR="00854ADA" w:rsidRPr="00FF386D" w14:paraId="2567380F" w14:textId="77777777" w:rsidTr="0057310C">
        <w:trPr>
          <w:trHeight w:val="780"/>
        </w:trPr>
        <w:tc>
          <w:tcPr>
            <w:tcW w:w="3327"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7A57BE74"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44" w:type="dxa"/>
            <w:tcBorders>
              <w:top w:val="single" w:sz="8" w:space="0" w:color="auto"/>
              <w:left w:val="nil"/>
              <w:bottom w:val="single" w:sz="8" w:space="0" w:color="auto"/>
              <w:right w:val="single" w:sz="8" w:space="0" w:color="auto"/>
            </w:tcBorders>
            <w:shd w:val="clear" w:color="auto" w:fill="E7E6E6" w:themeFill="background2"/>
            <w:vAlign w:val="center"/>
            <w:hideMark/>
          </w:tcPr>
          <w:p w14:paraId="133253F7" w14:textId="323CB9E7" w:rsidR="00854ADA" w:rsidRPr="000A2AFE" w:rsidRDefault="00854ADA" w:rsidP="00854ADA">
            <w:pPr>
              <w:spacing w:after="0" w:line="240" w:lineRule="auto"/>
              <w:jc w:val="both"/>
              <w:rPr>
                <w:rFonts w:ascii="Calibri Light" w:eastAsia="Times New Roman" w:hAnsi="Calibri Light" w:cs="Calibri Light"/>
                <w:b/>
                <w:bCs/>
                <w:color w:val="000000"/>
                <w:sz w:val="20"/>
                <w:szCs w:val="20"/>
                <w:lang w:val="sr-Latn-RS" w:eastAsia="en-GB"/>
              </w:rPr>
            </w:pPr>
            <w:r w:rsidRPr="000A2AFE">
              <w:rPr>
                <w:rFonts w:ascii="Calibri Light" w:eastAsia="Times New Roman" w:hAnsi="Calibri Light" w:cs="Calibri Light"/>
                <w:b/>
                <w:bCs/>
                <w:sz w:val="20"/>
                <w:szCs w:val="20"/>
                <w:lang w:eastAsia="en-GB"/>
              </w:rPr>
              <w:t>МП_</w:t>
            </w:r>
            <w:r w:rsidR="00FB33C5" w:rsidRPr="000A2AFE">
              <w:rPr>
                <w:rFonts w:ascii="Calibri Light" w:eastAsia="Times New Roman" w:hAnsi="Calibri Light" w:cs="Calibri Light"/>
                <w:b/>
                <w:bCs/>
                <w:sz w:val="20"/>
                <w:szCs w:val="20"/>
                <w:lang w:eastAsia="en-GB"/>
              </w:rPr>
              <w:t>Д4</w:t>
            </w:r>
            <w:r w:rsidR="00FB33C5">
              <w:rPr>
                <w:rFonts w:ascii="Calibri Light" w:eastAsia="Times New Roman" w:hAnsi="Calibri Light" w:cs="Calibri Light"/>
                <w:b/>
                <w:bCs/>
                <w:sz w:val="20"/>
                <w:szCs w:val="20"/>
                <w:lang w:val="sr-Latn-RS" w:eastAsia="en-GB"/>
              </w:rPr>
              <w:t>3</w:t>
            </w:r>
          </w:p>
        </w:tc>
        <w:tc>
          <w:tcPr>
            <w:tcW w:w="946" w:type="dxa"/>
            <w:tcBorders>
              <w:top w:val="single" w:sz="8" w:space="0" w:color="auto"/>
              <w:left w:val="nil"/>
              <w:bottom w:val="single" w:sz="8" w:space="0" w:color="auto"/>
              <w:right w:val="single" w:sz="8" w:space="0" w:color="auto"/>
            </w:tcBorders>
            <w:shd w:val="clear" w:color="000000" w:fill="244062"/>
            <w:vAlign w:val="center"/>
            <w:hideMark/>
          </w:tcPr>
          <w:p w14:paraId="0CCBECE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41" w:type="dxa"/>
            <w:tcBorders>
              <w:top w:val="single" w:sz="8" w:space="0" w:color="auto"/>
              <w:left w:val="nil"/>
              <w:bottom w:val="single" w:sz="8" w:space="0" w:color="auto"/>
              <w:right w:val="single" w:sz="8" w:space="0" w:color="auto"/>
            </w:tcBorders>
            <w:shd w:val="clear" w:color="auto" w:fill="E7E6E6" w:themeFill="background2"/>
            <w:vAlign w:val="center"/>
            <w:hideMark/>
          </w:tcPr>
          <w:p w14:paraId="064BCF95" w14:textId="14863565"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П</w:t>
            </w:r>
            <w:r w:rsidR="005833AC" w:rsidRPr="000A2AFE">
              <w:rPr>
                <w:rFonts w:ascii="Calibri Light" w:eastAsia="Times New Roman" w:hAnsi="Calibri Light" w:cs="Calibri Light"/>
                <w:b/>
                <w:bCs/>
                <w:color w:val="000000"/>
                <w:sz w:val="20"/>
                <w:szCs w:val="20"/>
                <w:lang w:eastAsia="en-GB"/>
              </w:rPr>
              <w:t>одстицање</w:t>
            </w:r>
            <w:r w:rsidRPr="000A2AFE">
              <w:rPr>
                <w:rFonts w:ascii="Calibri Light" w:eastAsia="Times New Roman" w:hAnsi="Calibri Light" w:cs="Calibri Light"/>
                <w:b/>
                <w:bCs/>
                <w:color w:val="000000"/>
                <w:sz w:val="20"/>
                <w:szCs w:val="20"/>
                <w:lang w:eastAsia="en-GB"/>
              </w:rPr>
              <w:t xml:space="preserve"> ОИЕ </w:t>
            </w:r>
            <w:r w:rsidR="005833AC" w:rsidRPr="000A2AFE">
              <w:rPr>
                <w:rFonts w:ascii="Calibri Light" w:eastAsia="Times New Roman" w:hAnsi="Calibri Light" w:cs="Calibri Light"/>
                <w:b/>
                <w:bCs/>
                <w:color w:val="000000"/>
                <w:sz w:val="20"/>
                <w:szCs w:val="20"/>
                <w:lang w:eastAsia="en-GB"/>
              </w:rPr>
              <w:t>кроз</w:t>
            </w:r>
            <w:r w:rsidRPr="000A2AFE">
              <w:rPr>
                <w:rFonts w:ascii="Calibri Light" w:eastAsia="Times New Roman" w:hAnsi="Calibri Light" w:cs="Calibri Light"/>
                <w:b/>
                <w:bCs/>
                <w:color w:val="000000"/>
                <w:sz w:val="20"/>
                <w:szCs w:val="20"/>
                <w:lang w:eastAsia="en-GB"/>
              </w:rPr>
              <w:t xml:space="preserve"> </w:t>
            </w:r>
            <w:r w:rsidR="007843D2" w:rsidRPr="000A2AFE">
              <w:rPr>
                <w:rFonts w:ascii="Calibri Light" w:eastAsia="Times New Roman" w:hAnsi="Calibri Light" w:cs="Calibri Light"/>
                <w:b/>
                <w:bCs/>
                <w:color w:val="000000"/>
                <w:sz w:val="20"/>
                <w:szCs w:val="20"/>
                <w:lang w:eastAsia="en-GB"/>
              </w:rPr>
              <w:t>поступ</w:t>
            </w:r>
            <w:r w:rsidR="005833AC" w:rsidRPr="000A2AFE">
              <w:rPr>
                <w:rFonts w:ascii="Calibri Light" w:eastAsia="Times New Roman" w:hAnsi="Calibri Light" w:cs="Calibri Light"/>
                <w:b/>
                <w:bCs/>
                <w:color w:val="000000"/>
                <w:sz w:val="20"/>
                <w:szCs w:val="20"/>
                <w:lang w:eastAsia="en-GB"/>
              </w:rPr>
              <w:t>ке</w:t>
            </w:r>
            <w:r w:rsidRPr="000A2AFE">
              <w:rPr>
                <w:rFonts w:ascii="Calibri Light" w:eastAsia="Times New Roman" w:hAnsi="Calibri Light" w:cs="Calibri Light"/>
                <w:b/>
                <w:bCs/>
                <w:color w:val="000000"/>
                <w:sz w:val="20"/>
                <w:szCs w:val="20"/>
                <w:lang w:eastAsia="en-GB"/>
              </w:rPr>
              <w:t xml:space="preserve"> јавних набавки</w:t>
            </w:r>
          </w:p>
        </w:tc>
      </w:tr>
      <w:tr w:rsidR="00854ADA" w:rsidRPr="00FF386D" w14:paraId="5898D1BB" w14:textId="77777777" w:rsidTr="0057310C">
        <w:trPr>
          <w:trHeight w:val="327"/>
        </w:trPr>
        <w:tc>
          <w:tcPr>
            <w:tcW w:w="3327" w:type="dxa"/>
            <w:tcBorders>
              <w:top w:val="nil"/>
              <w:left w:val="single" w:sz="8" w:space="0" w:color="auto"/>
              <w:bottom w:val="single" w:sz="8" w:space="0" w:color="auto"/>
              <w:right w:val="nil"/>
            </w:tcBorders>
            <w:shd w:val="clear" w:color="000000" w:fill="244062"/>
            <w:vAlign w:val="center"/>
            <w:hideMark/>
          </w:tcPr>
          <w:p w14:paraId="03DE626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0570EF4B"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Повећан удео ОИЕ у електричној енергији, повећан удео ОИЕ у грејању и хлађењу и повећан удео ОИЕ у саобраћају</w:t>
            </w:r>
          </w:p>
        </w:tc>
      </w:tr>
      <w:tr w:rsidR="00854ADA" w:rsidRPr="00FF386D" w14:paraId="504B2C21"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79B2E9B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5FBC27AE" w14:textId="22FD61A8" w:rsidR="00854ADA" w:rsidRPr="00FF386D" w:rsidRDefault="00FB33C5" w:rsidP="00854ADA">
            <w:pPr>
              <w:spacing w:after="0" w:line="240" w:lineRule="auto"/>
              <w:rPr>
                <w:rFonts w:ascii="Calibri Light" w:eastAsia="Times New Roman" w:hAnsi="Calibri Light" w:cs="Calibri Light"/>
                <w:color w:val="000000"/>
                <w:sz w:val="20"/>
                <w:szCs w:val="20"/>
                <w:lang w:eastAsia="en-GB"/>
              </w:rPr>
            </w:pPr>
            <w:r w:rsidRPr="00FB33C5">
              <w:rPr>
                <w:rFonts w:ascii="Calibri Light" w:eastAsia="Times New Roman" w:hAnsi="Calibri Light" w:cs="Calibri Light"/>
                <w:color w:val="000000"/>
                <w:sz w:val="20"/>
                <w:szCs w:val="20"/>
                <w:lang w:eastAsia="en-GB"/>
              </w:rPr>
              <w:t>Допринос очекиваном уделу ОИЕ у производњи електричне енергије</w:t>
            </w:r>
          </w:p>
        </w:tc>
      </w:tr>
      <w:tr w:rsidR="00854ADA" w:rsidRPr="00FF386D" w14:paraId="7509D244" w14:textId="77777777" w:rsidTr="0057310C">
        <w:trPr>
          <w:trHeight w:val="1267"/>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6EE8D9B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Опис:</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75F5E2C7" w14:textId="6D98204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МП_</w:t>
            </w:r>
            <w:r w:rsidR="00FB33C5" w:rsidRPr="000A2AFE">
              <w:rPr>
                <w:rFonts w:ascii="Calibri Light" w:eastAsia="Times New Roman" w:hAnsi="Calibri Light" w:cs="Calibri Light"/>
                <w:color w:val="000000"/>
                <w:sz w:val="20"/>
                <w:szCs w:val="20"/>
                <w:lang w:eastAsia="en-GB"/>
              </w:rPr>
              <w:t>Д4</w:t>
            </w:r>
            <w:r w:rsidR="00FB33C5">
              <w:rPr>
                <w:rFonts w:ascii="Calibri Light" w:eastAsia="Times New Roman" w:hAnsi="Calibri Light" w:cs="Calibri Light"/>
                <w:color w:val="000000"/>
                <w:sz w:val="20"/>
                <w:szCs w:val="20"/>
                <w:lang w:val="sr-Latn-RS" w:eastAsia="en-GB"/>
              </w:rPr>
              <w:t>3</w:t>
            </w:r>
            <w:r w:rsidR="00FB33C5"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 xml:space="preserve">ће </w:t>
            </w:r>
            <w:r w:rsidR="004329EB" w:rsidRPr="000A2AFE">
              <w:rPr>
                <w:rFonts w:ascii="Calibri Light" w:eastAsia="Times New Roman" w:hAnsi="Calibri Light" w:cs="Calibri Light"/>
                <w:color w:val="000000"/>
                <w:sz w:val="20"/>
                <w:szCs w:val="20"/>
                <w:lang w:eastAsia="en-GB"/>
              </w:rPr>
              <w:t>омогућити</w:t>
            </w:r>
            <w:r w:rsidRPr="000A2AFE">
              <w:rPr>
                <w:rFonts w:ascii="Calibri Light" w:eastAsia="Times New Roman" w:hAnsi="Calibri Light" w:cs="Calibri Light"/>
                <w:color w:val="000000"/>
                <w:sz w:val="20"/>
                <w:szCs w:val="20"/>
                <w:lang w:eastAsia="en-GB"/>
              </w:rPr>
              <w:t xml:space="preserve"> додатно коришћење обновљивих извора енергије </w:t>
            </w:r>
            <w:r w:rsidR="005833AC" w:rsidRPr="000A2AFE">
              <w:rPr>
                <w:rFonts w:ascii="Calibri Light" w:eastAsia="Times New Roman" w:hAnsi="Calibri Light" w:cs="Calibri Light"/>
                <w:color w:val="000000"/>
                <w:sz w:val="20"/>
                <w:szCs w:val="20"/>
                <w:lang w:eastAsia="en-GB"/>
              </w:rPr>
              <w:t>кроз</w:t>
            </w:r>
            <w:r w:rsidRPr="000A2AFE">
              <w:rPr>
                <w:rFonts w:ascii="Calibri Light" w:eastAsia="Times New Roman" w:hAnsi="Calibri Light" w:cs="Calibri Light"/>
                <w:color w:val="000000"/>
                <w:sz w:val="20"/>
                <w:szCs w:val="20"/>
                <w:lang w:eastAsia="en-GB"/>
              </w:rPr>
              <w:t xml:space="preserve"> </w:t>
            </w:r>
            <w:r w:rsidR="004329EB" w:rsidRPr="000A2AFE">
              <w:rPr>
                <w:rFonts w:ascii="Calibri Light" w:eastAsia="Times New Roman" w:hAnsi="Calibri Light" w:cs="Calibri Light"/>
                <w:color w:val="000000"/>
                <w:sz w:val="20"/>
                <w:szCs w:val="20"/>
                <w:lang w:eastAsia="en-GB"/>
              </w:rPr>
              <w:t>постојећ</w:t>
            </w:r>
            <w:r w:rsidR="005833AC" w:rsidRPr="000A2AFE">
              <w:rPr>
                <w:rFonts w:ascii="Calibri Light" w:eastAsia="Times New Roman" w:hAnsi="Calibri Light" w:cs="Calibri Light"/>
                <w:color w:val="000000"/>
                <w:sz w:val="20"/>
                <w:szCs w:val="20"/>
                <w:lang w:eastAsia="en-GB"/>
              </w:rPr>
              <w:t>е</w:t>
            </w:r>
            <w:r w:rsidRPr="000A2AFE">
              <w:rPr>
                <w:rFonts w:ascii="Calibri Light" w:eastAsia="Times New Roman" w:hAnsi="Calibri Light" w:cs="Calibri Light"/>
                <w:color w:val="000000"/>
                <w:sz w:val="20"/>
                <w:szCs w:val="20"/>
                <w:lang w:eastAsia="en-GB"/>
              </w:rPr>
              <w:t xml:space="preserve"> п</w:t>
            </w:r>
            <w:r w:rsidR="004329EB" w:rsidRPr="000A2AFE">
              <w:rPr>
                <w:rFonts w:ascii="Calibri Light" w:eastAsia="Times New Roman" w:hAnsi="Calibri Light" w:cs="Calibri Light"/>
                <w:color w:val="000000"/>
                <w:sz w:val="20"/>
                <w:szCs w:val="20"/>
                <w:lang w:eastAsia="en-GB"/>
              </w:rPr>
              <w:t>оступ</w:t>
            </w:r>
            <w:r w:rsidR="005833AC" w:rsidRPr="000A2AFE">
              <w:rPr>
                <w:rFonts w:ascii="Calibri Light" w:eastAsia="Times New Roman" w:hAnsi="Calibri Light" w:cs="Calibri Light"/>
                <w:color w:val="000000"/>
                <w:sz w:val="20"/>
                <w:szCs w:val="20"/>
                <w:lang w:eastAsia="en-GB"/>
              </w:rPr>
              <w:t>ке</w:t>
            </w:r>
            <w:r w:rsidR="00E821CB"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јавних набавки</w:t>
            </w:r>
            <w:r w:rsidR="004329EB" w:rsidRPr="000A2AFE">
              <w:rPr>
                <w:rFonts w:ascii="Calibri Light" w:eastAsia="Times New Roman" w:hAnsi="Calibri Light" w:cs="Calibri Light"/>
                <w:color w:val="000000"/>
                <w:sz w:val="20"/>
                <w:szCs w:val="20"/>
                <w:lang w:eastAsia="en-GB"/>
              </w:rPr>
              <w:t xml:space="preserve">, </w:t>
            </w:r>
            <w:r w:rsidR="006E0ED7" w:rsidRPr="000A2AFE">
              <w:rPr>
                <w:rFonts w:ascii="Calibri Light" w:eastAsia="Times New Roman" w:hAnsi="Calibri Light" w:cs="Calibri Light"/>
                <w:color w:val="000000"/>
                <w:sz w:val="20"/>
                <w:szCs w:val="20"/>
                <w:lang w:eastAsia="en-GB"/>
              </w:rPr>
              <w:t xml:space="preserve">уз </w:t>
            </w:r>
            <w:r w:rsidR="00E821CB" w:rsidRPr="000A2AFE">
              <w:rPr>
                <w:rFonts w:ascii="Calibri Light" w:eastAsia="Times New Roman" w:hAnsi="Calibri Light" w:cs="Calibri Light"/>
                <w:color w:val="000000"/>
                <w:sz w:val="20"/>
                <w:szCs w:val="20"/>
                <w:lang w:eastAsia="en-GB"/>
              </w:rPr>
              <w:t xml:space="preserve">истовремено </w:t>
            </w:r>
            <w:r w:rsidR="004329EB" w:rsidRPr="000A2AFE">
              <w:rPr>
                <w:rFonts w:ascii="Calibri Light" w:eastAsia="Times New Roman" w:hAnsi="Calibri Light" w:cs="Calibri Light"/>
                <w:color w:val="000000"/>
                <w:sz w:val="20"/>
                <w:szCs w:val="20"/>
                <w:lang w:eastAsia="en-GB"/>
              </w:rPr>
              <w:t>наглашава</w:t>
            </w:r>
            <w:r w:rsidR="006E0ED7" w:rsidRPr="000A2AFE">
              <w:rPr>
                <w:rFonts w:ascii="Calibri Light" w:eastAsia="Times New Roman" w:hAnsi="Calibri Light" w:cs="Calibri Light"/>
                <w:color w:val="000000"/>
                <w:sz w:val="20"/>
                <w:szCs w:val="20"/>
                <w:lang w:eastAsia="en-GB"/>
              </w:rPr>
              <w:t>ње</w:t>
            </w:r>
            <w:r w:rsidR="00E821CB" w:rsidRPr="000A2AFE">
              <w:rPr>
                <w:rFonts w:ascii="Calibri Light" w:eastAsia="Times New Roman" w:hAnsi="Calibri Light" w:cs="Calibri Light"/>
                <w:color w:val="000000"/>
                <w:sz w:val="20"/>
                <w:szCs w:val="20"/>
                <w:lang w:eastAsia="en-GB"/>
              </w:rPr>
              <w:t xml:space="preserve"> </w:t>
            </w:r>
            <w:r w:rsidR="006E0ED7" w:rsidRPr="000A2AFE">
              <w:rPr>
                <w:rFonts w:ascii="Calibri Light" w:eastAsia="Times New Roman" w:hAnsi="Calibri Light" w:cs="Calibri Light"/>
                <w:color w:val="000000"/>
                <w:sz w:val="20"/>
                <w:szCs w:val="20"/>
                <w:lang w:eastAsia="en-GB"/>
              </w:rPr>
              <w:t xml:space="preserve">водеће </w:t>
            </w:r>
            <w:r w:rsidR="004329EB" w:rsidRPr="000A2AFE">
              <w:rPr>
                <w:rFonts w:ascii="Calibri Light" w:eastAsia="Times New Roman" w:hAnsi="Calibri Light" w:cs="Calibri Light"/>
                <w:color w:val="000000"/>
                <w:sz w:val="20"/>
                <w:szCs w:val="20"/>
                <w:lang w:eastAsia="en-GB"/>
              </w:rPr>
              <w:t>улог</w:t>
            </w:r>
            <w:r w:rsidR="006E0ED7" w:rsidRPr="000A2AFE">
              <w:rPr>
                <w:rFonts w:ascii="Calibri Light" w:eastAsia="Times New Roman" w:hAnsi="Calibri Light" w:cs="Calibri Light"/>
                <w:color w:val="000000"/>
                <w:sz w:val="20"/>
                <w:szCs w:val="20"/>
                <w:lang w:eastAsia="en-GB"/>
              </w:rPr>
              <w:t>е</w:t>
            </w:r>
            <w:r w:rsidR="004329EB" w:rsidRPr="000A2AFE">
              <w:rPr>
                <w:rFonts w:ascii="Calibri Light" w:eastAsia="Times New Roman" w:hAnsi="Calibri Light" w:cs="Calibri Light"/>
                <w:color w:val="000000"/>
                <w:sz w:val="20"/>
                <w:szCs w:val="20"/>
                <w:lang w:eastAsia="en-GB"/>
              </w:rPr>
              <w:t xml:space="preserve"> јавног сектора</w:t>
            </w:r>
            <w:r w:rsidR="002C1EE6" w:rsidRPr="000A2AFE">
              <w:rPr>
                <w:rFonts w:ascii="Calibri Light" w:eastAsia="Times New Roman" w:hAnsi="Calibri Light" w:cs="Calibri Light"/>
                <w:color w:val="000000"/>
                <w:sz w:val="20"/>
                <w:szCs w:val="20"/>
                <w:lang w:eastAsia="en-GB"/>
              </w:rPr>
              <w:t>.</w:t>
            </w:r>
            <w:r w:rsidR="004329EB" w:rsidRPr="000A2AFE">
              <w:rPr>
                <w:rFonts w:ascii="Calibri Light" w:eastAsia="Times New Roman" w:hAnsi="Calibri Light" w:cs="Calibri Light"/>
                <w:color w:val="000000"/>
                <w:sz w:val="20"/>
                <w:szCs w:val="20"/>
                <w:lang w:eastAsia="en-GB"/>
              </w:rPr>
              <w:t xml:space="preserve"> </w:t>
            </w:r>
            <w:r w:rsidR="002C1EE6" w:rsidRPr="000A2AFE">
              <w:rPr>
                <w:rFonts w:ascii="Calibri Light" w:eastAsia="Times New Roman" w:hAnsi="Calibri Light" w:cs="Calibri Light"/>
                <w:color w:val="000000"/>
                <w:sz w:val="20"/>
                <w:szCs w:val="20"/>
                <w:lang w:eastAsia="en-GB"/>
              </w:rPr>
              <w:t>Биће у</w:t>
            </w:r>
            <w:r w:rsidR="00834A80" w:rsidRPr="000A2AFE">
              <w:rPr>
                <w:rFonts w:ascii="Calibri Light" w:eastAsia="Times New Roman" w:hAnsi="Calibri Light" w:cs="Calibri Light"/>
                <w:color w:val="000000"/>
                <w:sz w:val="20"/>
                <w:szCs w:val="20"/>
                <w:lang w:eastAsia="en-GB"/>
              </w:rPr>
              <w:t>напре</w:t>
            </w:r>
            <w:r w:rsidR="002C1EE6" w:rsidRPr="000A2AFE">
              <w:rPr>
                <w:rFonts w:ascii="Calibri Light" w:eastAsia="Times New Roman" w:hAnsi="Calibri Light" w:cs="Calibri Light"/>
                <w:color w:val="000000"/>
                <w:sz w:val="20"/>
                <w:szCs w:val="20"/>
                <w:lang w:eastAsia="en-GB"/>
              </w:rPr>
              <w:t>ђен</w:t>
            </w:r>
            <w:r w:rsidR="00834A80" w:rsidRPr="000A2AFE">
              <w:rPr>
                <w:rFonts w:ascii="Calibri Light" w:eastAsia="Times New Roman" w:hAnsi="Calibri Light" w:cs="Calibri Light"/>
                <w:color w:val="000000"/>
                <w:sz w:val="20"/>
                <w:szCs w:val="20"/>
                <w:lang w:eastAsia="en-GB"/>
              </w:rPr>
              <w:t xml:space="preserve"> о</w:t>
            </w:r>
            <w:r w:rsidRPr="000A2AFE">
              <w:rPr>
                <w:rFonts w:ascii="Calibri Light" w:eastAsia="Times New Roman" w:hAnsi="Calibri Light" w:cs="Calibri Light"/>
                <w:color w:val="000000"/>
                <w:sz w:val="20"/>
                <w:szCs w:val="20"/>
                <w:lang w:eastAsia="en-GB"/>
              </w:rPr>
              <w:t>дгов</w:t>
            </w:r>
            <w:r w:rsidR="004329EB" w:rsidRPr="000A2AFE">
              <w:rPr>
                <w:rFonts w:ascii="Calibri Light" w:eastAsia="Times New Roman" w:hAnsi="Calibri Light" w:cs="Calibri Light"/>
                <w:color w:val="000000"/>
                <w:sz w:val="20"/>
                <w:szCs w:val="20"/>
                <w:lang w:eastAsia="en-GB"/>
              </w:rPr>
              <w:t>арајући</w:t>
            </w:r>
            <w:r w:rsidRPr="000A2AFE">
              <w:rPr>
                <w:rFonts w:ascii="Calibri Light" w:eastAsia="Times New Roman" w:hAnsi="Calibri Light" w:cs="Calibri Light"/>
                <w:color w:val="000000"/>
                <w:sz w:val="20"/>
                <w:szCs w:val="20"/>
                <w:lang w:eastAsia="en-GB"/>
              </w:rPr>
              <w:t xml:space="preserve"> законодавни оквир</w:t>
            </w:r>
            <w:r w:rsidR="002C1EE6" w:rsidRPr="000A2AFE">
              <w:rPr>
                <w:rFonts w:ascii="Calibri Light" w:eastAsia="Times New Roman" w:hAnsi="Calibri Light" w:cs="Calibri Light"/>
                <w:color w:val="000000"/>
                <w:sz w:val="20"/>
                <w:szCs w:val="20"/>
                <w:lang w:eastAsia="en-GB"/>
              </w:rPr>
              <w:t xml:space="preserve"> који ће обезбедити промовисање технологија обновљивих извора </w:t>
            </w:r>
            <w:r w:rsidR="00790B05" w:rsidRPr="000A2AFE">
              <w:rPr>
                <w:rFonts w:ascii="Calibri Light" w:eastAsia="Times New Roman" w:hAnsi="Calibri Light" w:cs="Calibri Light"/>
                <w:color w:val="000000"/>
                <w:sz w:val="20"/>
                <w:szCs w:val="20"/>
                <w:lang w:eastAsia="en-GB"/>
              </w:rPr>
              <w:t>кроз</w:t>
            </w:r>
            <w:r w:rsidR="002C1EE6" w:rsidRPr="000A2AFE">
              <w:rPr>
                <w:rFonts w:ascii="Calibri Light" w:eastAsia="Times New Roman" w:hAnsi="Calibri Light" w:cs="Calibri Light"/>
                <w:color w:val="000000"/>
                <w:sz w:val="20"/>
                <w:szCs w:val="20"/>
                <w:lang w:eastAsia="en-GB"/>
              </w:rPr>
              <w:t xml:space="preserve"> поступ</w:t>
            </w:r>
            <w:r w:rsidR="00790B05" w:rsidRPr="000A2AFE">
              <w:rPr>
                <w:rFonts w:ascii="Calibri Light" w:eastAsia="Times New Roman" w:hAnsi="Calibri Light" w:cs="Calibri Light"/>
                <w:color w:val="000000"/>
                <w:sz w:val="20"/>
                <w:szCs w:val="20"/>
                <w:lang w:eastAsia="en-GB"/>
              </w:rPr>
              <w:t>ке</w:t>
            </w:r>
            <w:r w:rsidR="002C1EE6" w:rsidRPr="000A2AFE">
              <w:rPr>
                <w:rFonts w:ascii="Calibri Light" w:eastAsia="Times New Roman" w:hAnsi="Calibri Light" w:cs="Calibri Light"/>
                <w:color w:val="000000"/>
                <w:sz w:val="20"/>
                <w:szCs w:val="20"/>
                <w:lang w:eastAsia="en-GB"/>
              </w:rPr>
              <w:t xml:space="preserve"> јавних набавки.</w:t>
            </w:r>
            <w:r w:rsidRPr="000A2AFE">
              <w:rPr>
                <w:rFonts w:ascii="Calibri Light" w:eastAsia="Times New Roman" w:hAnsi="Calibri Light" w:cs="Calibri Light"/>
                <w:color w:val="000000"/>
                <w:sz w:val="20"/>
                <w:szCs w:val="20"/>
                <w:lang w:eastAsia="en-GB"/>
              </w:rPr>
              <w:t xml:space="preserve"> </w:t>
            </w:r>
            <w:r w:rsidR="00834A80" w:rsidRPr="000A2AFE">
              <w:rPr>
                <w:rFonts w:ascii="Calibri Light" w:eastAsia="Times New Roman" w:hAnsi="Calibri Light" w:cs="Calibri Light"/>
                <w:color w:val="000000"/>
                <w:sz w:val="20"/>
                <w:szCs w:val="20"/>
                <w:lang w:eastAsia="en-GB"/>
              </w:rPr>
              <w:t>Осим тога</w:t>
            </w:r>
            <w:r w:rsidRPr="000A2AFE">
              <w:rPr>
                <w:rFonts w:ascii="Calibri Light" w:eastAsia="Times New Roman" w:hAnsi="Calibri Light" w:cs="Calibri Light"/>
                <w:color w:val="000000"/>
                <w:sz w:val="20"/>
                <w:szCs w:val="20"/>
                <w:lang w:eastAsia="en-GB"/>
              </w:rPr>
              <w:t xml:space="preserve">, </w:t>
            </w:r>
            <w:r w:rsidR="00834A80" w:rsidRPr="000A2AFE">
              <w:rPr>
                <w:rFonts w:ascii="Calibri Light" w:eastAsia="Times New Roman" w:hAnsi="Calibri Light" w:cs="Calibri Light"/>
                <w:color w:val="000000"/>
                <w:sz w:val="20"/>
                <w:szCs w:val="20"/>
                <w:lang w:eastAsia="en-GB"/>
              </w:rPr>
              <w:t>биће уведене посебне обавезе за органе јавне управе у в</w:t>
            </w:r>
            <w:r w:rsidRPr="000A2AFE">
              <w:rPr>
                <w:rFonts w:ascii="Calibri Light" w:eastAsia="Times New Roman" w:hAnsi="Calibri Light" w:cs="Calibri Light"/>
                <w:color w:val="000000"/>
                <w:sz w:val="20"/>
                <w:szCs w:val="20"/>
                <w:lang w:eastAsia="en-GB"/>
              </w:rPr>
              <w:t>иду обавезних квота за промо</w:t>
            </w:r>
            <w:r w:rsidR="00834A80" w:rsidRPr="000A2AFE">
              <w:rPr>
                <w:rFonts w:ascii="Calibri Light" w:eastAsia="Times New Roman" w:hAnsi="Calibri Light" w:cs="Calibri Light"/>
                <w:color w:val="000000"/>
                <w:sz w:val="20"/>
                <w:szCs w:val="20"/>
                <w:lang w:eastAsia="en-GB"/>
              </w:rPr>
              <w:t xml:space="preserve">висање </w:t>
            </w:r>
            <w:r w:rsidR="005833AC" w:rsidRPr="000A2AFE">
              <w:rPr>
                <w:rFonts w:ascii="Calibri Light" w:eastAsia="Times New Roman" w:hAnsi="Calibri Light" w:cs="Calibri Light"/>
                <w:color w:val="000000"/>
                <w:sz w:val="20"/>
                <w:szCs w:val="20"/>
                <w:lang w:eastAsia="en-GB"/>
              </w:rPr>
              <w:t>одређених</w:t>
            </w:r>
            <w:r w:rsidRPr="000A2AFE">
              <w:rPr>
                <w:rFonts w:ascii="Calibri Light" w:eastAsia="Times New Roman" w:hAnsi="Calibri Light" w:cs="Calibri Light"/>
                <w:color w:val="000000"/>
                <w:sz w:val="20"/>
                <w:szCs w:val="20"/>
                <w:lang w:eastAsia="en-GB"/>
              </w:rPr>
              <w:t xml:space="preserve"> технологија обновљивих извора енергије </w:t>
            </w:r>
            <w:r w:rsidR="00834A80" w:rsidRPr="000A2AFE">
              <w:rPr>
                <w:rFonts w:ascii="Calibri Light" w:eastAsia="Times New Roman" w:hAnsi="Calibri Light" w:cs="Calibri Light"/>
                <w:color w:val="000000"/>
                <w:sz w:val="20"/>
                <w:szCs w:val="20"/>
                <w:lang w:eastAsia="en-GB"/>
              </w:rPr>
              <w:t xml:space="preserve">у </w:t>
            </w:r>
            <w:r w:rsidRPr="000A2AFE">
              <w:rPr>
                <w:rFonts w:ascii="Calibri Light" w:eastAsia="Times New Roman" w:hAnsi="Calibri Light" w:cs="Calibri Light"/>
                <w:color w:val="000000"/>
                <w:sz w:val="20"/>
                <w:szCs w:val="20"/>
                <w:lang w:eastAsia="en-GB"/>
              </w:rPr>
              <w:t>св</w:t>
            </w:r>
            <w:r w:rsidR="00834A80" w:rsidRPr="000A2AFE">
              <w:rPr>
                <w:rFonts w:ascii="Calibri Light" w:eastAsia="Times New Roman" w:hAnsi="Calibri Light" w:cs="Calibri Light"/>
                <w:color w:val="000000"/>
                <w:sz w:val="20"/>
                <w:szCs w:val="20"/>
                <w:lang w:eastAsia="en-GB"/>
              </w:rPr>
              <w:t>им</w:t>
            </w:r>
            <w:r w:rsidRPr="000A2AFE">
              <w:rPr>
                <w:rFonts w:ascii="Calibri Light" w:eastAsia="Times New Roman" w:hAnsi="Calibri Light" w:cs="Calibri Light"/>
                <w:color w:val="000000"/>
                <w:sz w:val="20"/>
                <w:szCs w:val="20"/>
                <w:lang w:eastAsia="en-GB"/>
              </w:rPr>
              <w:t xml:space="preserve"> сектор</w:t>
            </w:r>
            <w:r w:rsidR="00834A80" w:rsidRPr="000A2AFE">
              <w:rPr>
                <w:rFonts w:ascii="Calibri Light" w:eastAsia="Times New Roman" w:hAnsi="Calibri Light" w:cs="Calibri Light"/>
                <w:color w:val="000000"/>
                <w:sz w:val="20"/>
                <w:szCs w:val="20"/>
                <w:lang w:eastAsia="en-GB"/>
              </w:rPr>
              <w:t>има</w:t>
            </w:r>
            <w:r w:rsidRPr="000A2AFE">
              <w:rPr>
                <w:rFonts w:ascii="Calibri Light" w:eastAsia="Times New Roman" w:hAnsi="Calibri Light" w:cs="Calibri Light"/>
                <w:color w:val="000000"/>
                <w:sz w:val="20"/>
                <w:szCs w:val="20"/>
                <w:lang w:eastAsia="en-GB"/>
              </w:rPr>
              <w:t xml:space="preserve"> финалне потрошње енергије.</w:t>
            </w:r>
          </w:p>
        </w:tc>
      </w:tr>
      <w:tr w:rsidR="00854ADA" w:rsidRPr="00FF386D" w14:paraId="2CC2B4E0"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14D4832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37B819CE" w14:textId="43D63408"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3C6454"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-2030.</w:t>
            </w:r>
          </w:p>
        </w:tc>
      </w:tr>
      <w:tr w:rsidR="00854ADA" w:rsidRPr="00FF386D" w14:paraId="4495B4DD"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44A1C25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0CA8D8E6" w14:textId="56D524D3" w:rsidR="00854ADA" w:rsidRPr="00FF386D" w:rsidRDefault="00FB33C5"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Инвестициј</w:t>
            </w:r>
            <w:r>
              <w:rPr>
                <w:rFonts w:ascii="Calibri Light" w:eastAsia="Times New Roman" w:hAnsi="Calibri Light" w:cs="Calibri Light"/>
                <w:color w:val="000000"/>
                <w:sz w:val="20"/>
                <w:szCs w:val="20"/>
                <w:lang w:val="sr-Latn-RS" w:eastAsia="en-GB"/>
              </w:rPr>
              <w:t>e</w:t>
            </w:r>
            <w:r w:rsidRPr="000A2AFE">
              <w:rPr>
                <w:rFonts w:ascii="Calibri Light" w:eastAsia="Times New Roman" w:hAnsi="Calibri Light" w:cs="Calibri Light"/>
                <w:color w:val="000000"/>
                <w:sz w:val="20"/>
                <w:szCs w:val="20"/>
                <w:lang w:eastAsia="en-GB"/>
              </w:rPr>
              <w:t xml:space="preserve"> </w:t>
            </w:r>
            <w:r w:rsidR="00854ADA" w:rsidRPr="000A2AFE">
              <w:rPr>
                <w:rFonts w:ascii="Calibri Light" w:eastAsia="Times New Roman" w:hAnsi="Calibri Light" w:cs="Calibri Light"/>
                <w:color w:val="000000"/>
                <w:sz w:val="20"/>
                <w:szCs w:val="20"/>
                <w:lang w:eastAsia="en-GB"/>
              </w:rPr>
              <w:t xml:space="preserve">и </w:t>
            </w:r>
            <w:r w:rsidRPr="00FB33C5">
              <w:rPr>
                <w:rFonts w:ascii="Calibri Light" w:eastAsia="Times New Roman" w:hAnsi="Calibri Light" w:cs="Calibri Light"/>
                <w:color w:val="000000"/>
                <w:sz w:val="20"/>
                <w:szCs w:val="20"/>
                <w:lang w:eastAsia="en-GB"/>
              </w:rPr>
              <w:t>реформе</w:t>
            </w:r>
          </w:p>
        </w:tc>
      </w:tr>
      <w:tr w:rsidR="00854ADA" w:rsidRPr="00FF386D" w14:paraId="65023B03"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3E485CC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791CE821"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Електроенергетика, грејање и хлађење, саобраћај</w:t>
            </w:r>
          </w:p>
        </w:tc>
      </w:tr>
      <w:tr w:rsidR="00854ADA" w:rsidRPr="00FF386D" w14:paraId="4FE5EC91"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219EDA3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35A7C334" w14:textId="3F320111"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Министарство </w:t>
            </w:r>
            <w:r w:rsidR="003C6454" w:rsidRPr="00FF386D">
              <w:rPr>
                <w:rFonts w:ascii="Calibri Light" w:eastAsia="Times New Roman" w:hAnsi="Calibri Light" w:cs="Calibri Light"/>
                <w:color w:val="000000"/>
                <w:sz w:val="20"/>
                <w:szCs w:val="20"/>
                <w:lang w:eastAsia="en-GB"/>
              </w:rPr>
              <w:t>финансија</w:t>
            </w:r>
          </w:p>
          <w:p w14:paraId="6625B6E2" w14:textId="2EEAB3C6" w:rsidR="003C6454" w:rsidRPr="00FF386D" w:rsidRDefault="003C6454"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7A784E8A" w14:textId="77777777" w:rsidTr="0057310C">
        <w:trPr>
          <w:trHeight w:val="315"/>
        </w:trPr>
        <w:tc>
          <w:tcPr>
            <w:tcW w:w="3327" w:type="dxa"/>
            <w:tcBorders>
              <w:top w:val="nil"/>
              <w:left w:val="single" w:sz="8" w:space="0" w:color="auto"/>
              <w:bottom w:val="single" w:sz="8" w:space="0" w:color="auto"/>
              <w:right w:val="nil"/>
            </w:tcBorders>
            <w:shd w:val="clear" w:color="000000" w:fill="244062"/>
            <w:vAlign w:val="center"/>
            <w:hideMark/>
          </w:tcPr>
          <w:p w14:paraId="42B1692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2B1C5F14" w14:textId="58914096" w:rsidR="00854ADA" w:rsidRPr="000A2AFE" w:rsidRDefault="00EB4721" w:rsidP="000A2AFE">
            <w:pPr>
              <w:pStyle w:val="ListParagraph"/>
              <w:numPr>
                <w:ilvl w:val="0"/>
                <w:numId w:val="328"/>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1BCB4B60" w14:textId="77777777" w:rsidTr="0057310C">
        <w:trPr>
          <w:trHeight w:val="315"/>
        </w:trPr>
        <w:tc>
          <w:tcPr>
            <w:tcW w:w="3327" w:type="dxa"/>
            <w:tcBorders>
              <w:top w:val="nil"/>
              <w:left w:val="single" w:sz="8" w:space="0" w:color="auto"/>
              <w:bottom w:val="single" w:sz="8" w:space="0" w:color="auto"/>
              <w:right w:val="nil"/>
            </w:tcBorders>
            <w:shd w:val="clear" w:color="000000" w:fill="244062"/>
            <w:vAlign w:val="center"/>
            <w:hideMark/>
          </w:tcPr>
          <w:p w14:paraId="746A00E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21B0EEF1" w14:textId="2F699E79" w:rsidR="003C6454" w:rsidRPr="00FF386D" w:rsidRDefault="00FB33C5"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Удео ОИЕ у укупној енергији купљеној преко поступка јавних набавки</w:t>
            </w:r>
          </w:p>
        </w:tc>
      </w:tr>
      <w:tr w:rsidR="00854ADA" w:rsidRPr="00FF386D" w14:paraId="4EB2427F" w14:textId="77777777" w:rsidTr="0057310C">
        <w:trPr>
          <w:trHeight w:val="259"/>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611761B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1BF469E2" w14:textId="36DCF13C" w:rsidR="00EB4721" w:rsidRPr="00EB4721" w:rsidRDefault="00EB4721" w:rsidP="00EB4721">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EB4721">
              <w:rPr>
                <w:rFonts w:ascii="Calibri Light" w:eastAsia="Times New Roman" w:hAnsi="Calibri Light" w:cs="Calibri Light"/>
                <w:color w:val="000000"/>
                <w:sz w:val="20"/>
                <w:szCs w:val="20"/>
                <w:lang w:eastAsia="en-GB"/>
              </w:rPr>
              <w:t xml:space="preserve">Енергетска ефикасност (промовисане технологије ОИЕ ће довести и до уштеде </w:t>
            </w:r>
            <w:r>
              <w:rPr>
                <w:rFonts w:ascii="Calibri Light" w:eastAsia="Times New Roman" w:hAnsi="Calibri Light" w:cs="Calibri Light"/>
                <w:color w:val="000000"/>
                <w:sz w:val="20"/>
                <w:szCs w:val="20"/>
                <w:lang w:eastAsia="en-GB"/>
              </w:rPr>
              <w:t xml:space="preserve">финалне и </w:t>
            </w:r>
            <w:r w:rsidRPr="00EB4721">
              <w:rPr>
                <w:rFonts w:ascii="Calibri Light" w:eastAsia="Times New Roman" w:hAnsi="Calibri Light" w:cs="Calibri Light"/>
                <w:color w:val="000000"/>
                <w:sz w:val="20"/>
                <w:szCs w:val="20"/>
                <w:lang w:eastAsia="en-GB"/>
              </w:rPr>
              <w:t>примарне енергије доприносећи постизању релевантних циљева)</w:t>
            </w:r>
          </w:p>
          <w:p w14:paraId="590C7A07" w14:textId="43E778C1" w:rsidR="00854ADA" w:rsidRPr="00FF386D" w:rsidRDefault="00EB4721" w:rsidP="00EB4721">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EB4721">
              <w:rPr>
                <w:rFonts w:ascii="Calibri Light" w:eastAsia="Times New Roman" w:hAnsi="Calibri Light" w:cs="Calibri Light"/>
                <w:color w:val="000000"/>
                <w:sz w:val="20"/>
                <w:szCs w:val="20"/>
                <w:lang w:eastAsia="en-GB"/>
              </w:rPr>
              <w:t>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854ADA" w:rsidRPr="00FF386D" w14:paraId="69B930E3" w14:textId="77777777" w:rsidTr="0057310C">
        <w:trPr>
          <w:trHeight w:val="450"/>
        </w:trPr>
        <w:tc>
          <w:tcPr>
            <w:tcW w:w="3327"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27ADE7D1" w14:textId="639CAD81"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31"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55A3030F"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2018/2001/ЕУ</w:t>
            </w:r>
          </w:p>
        </w:tc>
      </w:tr>
      <w:tr w:rsidR="00854ADA" w:rsidRPr="00FF386D" w14:paraId="73E57EAA" w14:textId="77777777" w:rsidTr="0057310C">
        <w:trPr>
          <w:trHeight w:val="450"/>
        </w:trPr>
        <w:tc>
          <w:tcPr>
            <w:tcW w:w="3327" w:type="dxa"/>
            <w:vMerge/>
            <w:tcBorders>
              <w:top w:val="nil"/>
              <w:left w:val="single" w:sz="8" w:space="0" w:color="auto"/>
              <w:bottom w:val="single" w:sz="8" w:space="0" w:color="000000"/>
              <w:right w:val="single" w:sz="8" w:space="0" w:color="auto"/>
            </w:tcBorders>
            <w:vAlign w:val="center"/>
            <w:hideMark/>
          </w:tcPr>
          <w:p w14:paraId="0095578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1" w:type="dxa"/>
            <w:gridSpan w:val="3"/>
            <w:vMerge/>
            <w:tcBorders>
              <w:top w:val="single" w:sz="8" w:space="0" w:color="auto"/>
              <w:left w:val="single" w:sz="8" w:space="0" w:color="auto"/>
              <w:bottom w:val="single" w:sz="8" w:space="0" w:color="000000"/>
              <w:right w:val="single" w:sz="8" w:space="0" w:color="000000"/>
            </w:tcBorders>
            <w:vAlign w:val="center"/>
            <w:hideMark/>
          </w:tcPr>
          <w:p w14:paraId="7C4B6819"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339B73BE" w14:textId="77777777" w:rsidTr="0057310C">
        <w:trPr>
          <w:trHeight w:val="450"/>
        </w:trPr>
        <w:tc>
          <w:tcPr>
            <w:tcW w:w="3327" w:type="dxa"/>
            <w:vMerge/>
            <w:tcBorders>
              <w:top w:val="nil"/>
              <w:left w:val="single" w:sz="8" w:space="0" w:color="auto"/>
              <w:bottom w:val="single" w:sz="8" w:space="0" w:color="000000"/>
              <w:right w:val="single" w:sz="8" w:space="0" w:color="auto"/>
            </w:tcBorders>
            <w:vAlign w:val="center"/>
            <w:hideMark/>
          </w:tcPr>
          <w:p w14:paraId="4639479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1" w:type="dxa"/>
            <w:gridSpan w:val="3"/>
            <w:vMerge/>
            <w:tcBorders>
              <w:top w:val="single" w:sz="8" w:space="0" w:color="auto"/>
              <w:left w:val="single" w:sz="8" w:space="0" w:color="auto"/>
              <w:bottom w:val="single" w:sz="8" w:space="0" w:color="000000"/>
              <w:right w:val="single" w:sz="8" w:space="0" w:color="000000"/>
            </w:tcBorders>
            <w:vAlign w:val="center"/>
            <w:hideMark/>
          </w:tcPr>
          <w:p w14:paraId="1E7CC4ED"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39E853B9" w14:textId="77777777" w:rsidTr="0057310C">
        <w:trPr>
          <w:trHeight w:val="307"/>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6DB409F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2EEFA060"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p>
        </w:tc>
      </w:tr>
      <w:tr w:rsidR="00854ADA" w:rsidRPr="00FF386D" w14:paraId="73356AD7"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20E0B9A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31" w:type="dxa"/>
            <w:gridSpan w:val="3"/>
            <w:tcBorders>
              <w:top w:val="single" w:sz="4" w:space="0" w:color="auto"/>
              <w:left w:val="single" w:sz="4" w:space="0" w:color="auto"/>
              <w:bottom w:val="single" w:sz="4" w:space="0" w:color="000000"/>
              <w:right w:val="single" w:sz="4" w:space="0" w:color="auto"/>
            </w:tcBorders>
            <w:shd w:val="clear" w:color="auto" w:fill="auto"/>
            <w:vAlign w:val="center"/>
            <w:hideMark/>
          </w:tcPr>
          <w:p w14:paraId="007BA423" w14:textId="001B311E"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Буџет </w:t>
            </w:r>
            <w:r w:rsidR="003C6454" w:rsidRPr="00FF386D">
              <w:rPr>
                <w:rFonts w:ascii="Calibri Light" w:eastAsia="Times New Roman" w:hAnsi="Calibri Light" w:cs="Calibri Light"/>
                <w:color w:val="000000"/>
                <w:sz w:val="20"/>
                <w:szCs w:val="20"/>
                <w:lang w:eastAsia="en-GB"/>
              </w:rPr>
              <w:t xml:space="preserve">обухваћен </w:t>
            </w:r>
            <w:r w:rsidRPr="00FF386D">
              <w:rPr>
                <w:rFonts w:ascii="Calibri Light" w:eastAsia="Times New Roman" w:hAnsi="Calibri Light" w:cs="Calibri Light"/>
                <w:color w:val="000000"/>
                <w:sz w:val="20"/>
                <w:szCs w:val="20"/>
                <w:lang w:eastAsia="en-GB"/>
              </w:rPr>
              <w:t>у мерама димензије енергетска ефикасност</w:t>
            </w:r>
          </w:p>
          <w:p w14:paraId="683FD0AD" w14:textId="31B062A7" w:rsidR="003C6454" w:rsidRPr="00FF386D" w:rsidRDefault="003C6454" w:rsidP="00854ADA">
            <w:pPr>
              <w:spacing w:after="0" w:line="240" w:lineRule="auto"/>
              <w:rPr>
                <w:rFonts w:asciiTheme="majorHAnsi" w:eastAsia="Times New Roman" w:hAnsiTheme="majorHAnsi" w:cstheme="majorHAnsi"/>
                <w:color w:val="000000"/>
                <w:lang w:eastAsia="en-GB"/>
              </w:rPr>
            </w:pPr>
            <w:r w:rsidRPr="00FF386D">
              <w:rPr>
                <w:rFonts w:asciiTheme="majorHAnsi" w:eastAsia="Times New Roman" w:hAnsiTheme="majorHAnsi" w:cstheme="majorHAnsi"/>
                <w:color w:val="000000"/>
                <w:lang w:eastAsia="en-GB"/>
              </w:rPr>
              <w:t>(МПЕ_ЕЕ33)</w:t>
            </w:r>
          </w:p>
        </w:tc>
      </w:tr>
      <w:tr w:rsidR="00854ADA" w:rsidRPr="00FF386D" w14:paraId="6C349373"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6350ACD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2902D1BA" w14:textId="77FDB5FC"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3C6454" w:rsidRPr="00FF386D">
              <w:rPr>
                <w:rFonts w:asciiTheme="majorHAnsi" w:eastAsia="Times New Roman" w:hAnsiTheme="majorHAnsi" w:cstheme="majorHAnsi"/>
                <w:color w:val="000000"/>
                <w:sz w:val="20"/>
                <w:szCs w:val="20"/>
                <w:lang w:eastAsia="en-GB"/>
              </w:rPr>
              <w:t>ска</w:t>
            </w:r>
            <w:r w:rsidRPr="00FF386D">
              <w:rPr>
                <w:rFonts w:asciiTheme="majorHAnsi" w:eastAsia="Times New Roman" w:hAnsiTheme="majorHAnsi" w:cstheme="majorHAnsi"/>
                <w:color w:val="000000"/>
                <w:sz w:val="20"/>
                <w:szCs w:val="20"/>
                <w:lang w:eastAsia="en-GB"/>
              </w:rPr>
              <w:t xml:space="preserve"> и сопствена средства</w:t>
            </w:r>
          </w:p>
        </w:tc>
      </w:tr>
    </w:tbl>
    <w:p w14:paraId="38099C89" w14:textId="77777777" w:rsidR="00854ADA" w:rsidRPr="00FF386D" w:rsidRDefault="00854ADA" w:rsidP="00854ADA"/>
    <w:p w14:paraId="6EE95115" w14:textId="6BE1319A" w:rsidR="00854ADA" w:rsidRPr="00C312D6" w:rsidRDefault="00854ADA" w:rsidP="000A2AFE">
      <w:pPr>
        <w:pStyle w:val="Heading4"/>
        <w:rPr>
          <w:lang w:val="sr-Cyrl-RS"/>
        </w:rPr>
      </w:pPr>
      <w:r w:rsidRPr="00C312D6">
        <w:rPr>
          <w:lang w:val="sr-Cyrl-RS"/>
        </w:rPr>
        <w:t xml:space="preserve">Посебне мере </w:t>
      </w:r>
      <w:r w:rsidR="00790B05" w:rsidRPr="00C312D6">
        <w:rPr>
          <w:lang w:val="sr-Cyrl-RS"/>
        </w:rPr>
        <w:t xml:space="preserve">за </w:t>
      </w:r>
      <w:r w:rsidRPr="00C312D6">
        <w:rPr>
          <w:lang w:val="sr-Cyrl-RS"/>
        </w:rPr>
        <w:t>финансијск</w:t>
      </w:r>
      <w:r w:rsidR="00790B05" w:rsidRPr="00C312D6">
        <w:rPr>
          <w:lang w:val="sr-Cyrl-RS"/>
        </w:rPr>
        <w:t>у</w:t>
      </w:r>
      <w:r w:rsidRPr="00C312D6">
        <w:rPr>
          <w:lang w:val="sr-Cyrl-RS"/>
        </w:rPr>
        <w:t xml:space="preserve"> подршк</w:t>
      </w:r>
      <w:r w:rsidR="00790B05" w:rsidRPr="00C312D6">
        <w:rPr>
          <w:lang w:val="sr-Cyrl-RS"/>
        </w:rPr>
        <w:t>у</w:t>
      </w:r>
      <w:r w:rsidRPr="00C312D6">
        <w:rPr>
          <w:lang w:val="sr-Cyrl-RS"/>
        </w:rPr>
        <w:t>, укључујући подршку ЕУ и коришћење фондова ЕУ за п</w:t>
      </w:r>
      <w:r w:rsidR="00790B05" w:rsidRPr="00C312D6">
        <w:rPr>
          <w:lang w:val="sr-Cyrl-RS"/>
        </w:rPr>
        <w:t>одстицање коришћења</w:t>
      </w:r>
      <w:r w:rsidRPr="00C312D6">
        <w:rPr>
          <w:lang w:val="sr-Cyrl-RS"/>
        </w:rPr>
        <w:t xml:space="preserve"> обновљивих извора енергије у производњи електричне енергије, грејању и хлађењу и саобраћају</w:t>
      </w:r>
    </w:p>
    <w:p w14:paraId="07D888CB" w14:textId="1B537B6D" w:rsidR="00854ADA" w:rsidRPr="00FF386D" w:rsidRDefault="00854ADA" w:rsidP="00854ADA">
      <w:pPr>
        <w:spacing w:before="240" w:after="240"/>
        <w:jc w:val="both"/>
        <w:rPr>
          <w:rFonts w:asciiTheme="majorHAnsi" w:hAnsiTheme="majorHAnsi" w:cstheme="majorHAnsi"/>
          <w:color w:val="000000"/>
        </w:rPr>
      </w:pPr>
      <w:r w:rsidRPr="00FF386D">
        <w:rPr>
          <w:rFonts w:asciiTheme="majorHAnsi" w:hAnsiTheme="majorHAnsi" w:cstheme="majorHAnsi"/>
          <w:color w:val="000000"/>
        </w:rPr>
        <w:t xml:space="preserve">Биће покренуте циљане финансијске мере и шема подршке за </w:t>
      </w:r>
      <w:r w:rsidR="00790B05" w:rsidRPr="00FF386D">
        <w:rPr>
          <w:rFonts w:asciiTheme="majorHAnsi" w:hAnsiTheme="majorHAnsi" w:cstheme="majorHAnsi"/>
          <w:color w:val="000000"/>
        </w:rPr>
        <w:t xml:space="preserve">коришћење </w:t>
      </w:r>
      <w:r w:rsidRPr="00FF386D">
        <w:rPr>
          <w:rFonts w:asciiTheme="majorHAnsi" w:hAnsiTheme="majorHAnsi" w:cstheme="majorHAnsi"/>
          <w:color w:val="000000"/>
        </w:rPr>
        <w:t>обновљивих извора енергије у производњи електричне енергије, грејању и хлађењу и саобраћају. Кључни финансијски инструменти који ће се користити за финансирање предвиђених инвестиција у области обновљивих извора енергије обухватају:</w:t>
      </w:r>
    </w:p>
    <w:p w14:paraId="19049875" w14:textId="66C9FF91" w:rsidR="00854ADA" w:rsidRPr="00FF386D" w:rsidRDefault="00790B05" w:rsidP="00854ADA">
      <w:pPr>
        <w:numPr>
          <w:ilvl w:val="0"/>
          <w:numId w:val="220"/>
        </w:numPr>
        <w:spacing w:before="160" w:line="260" w:lineRule="exact"/>
        <w:ind w:left="1077"/>
        <w:jc w:val="both"/>
        <w:rPr>
          <w:rFonts w:asciiTheme="majorHAnsi" w:hAnsiTheme="majorHAnsi" w:cstheme="majorHAnsi"/>
          <w:color w:val="000000"/>
        </w:rPr>
      </w:pPr>
      <w:r w:rsidRPr="00FF386D">
        <w:rPr>
          <w:rFonts w:asciiTheme="majorHAnsi" w:hAnsiTheme="majorHAnsi" w:cstheme="majorHAnsi"/>
          <w:color w:val="000000"/>
        </w:rPr>
        <w:t>Национална</w:t>
      </w:r>
      <w:r w:rsidR="00854ADA" w:rsidRPr="00FF386D">
        <w:rPr>
          <w:rFonts w:asciiTheme="majorHAnsi" w:hAnsiTheme="majorHAnsi" w:cstheme="majorHAnsi"/>
          <w:color w:val="000000"/>
        </w:rPr>
        <w:t xml:space="preserve"> и </w:t>
      </w:r>
      <w:r w:rsidR="00200595" w:rsidRPr="00FF386D">
        <w:rPr>
          <w:rFonts w:asciiTheme="majorHAnsi" w:hAnsiTheme="majorHAnsi" w:cstheme="majorHAnsi"/>
          <w:color w:val="000000"/>
        </w:rPr>
        <w:t>међународна</w:t>
      </w:r>
      <w:r w:rsidR="00854ADA" w:rsidRPr="00FF386D">
        <w:rPr>
          <w:rFonts w:asciiTheme="majorHAnsi" w:hAnsiTheme="majorHAnsi" w:cstheme="majorHAnsi"/>
          <w:color w:val="000000"/>
        </w:rPr>
        <w:t xml:space="preserve"> финансијска средства</w:t>
      </w:r>
      <w:r w:rsidR="00FB33C5">
        <w:rPr>
          <w:rFonts w:asciiTheme="majorHAnsi" w:hAnsiTheme="majorHAnsi" w:cstheme="majorHAnsi"/>
          <w:color w:val="000000"/>
          <w:lang w:val="sr-Latn-RS"/>
        </w:rPr>
        <w:t xml:space="preserve"> </w:t>
      </w:r>
      <w:r w:rsidR="00FB33C5" w:rsidRPr="00FB33C5">
        <w:rPr>
          <w:rFonts w:asciiTheme="majorHAnsi" w:hAnsiTheme="majorHAnsi" w:cstheme="majorHAnsi"/>
          <w:color w:val="000000"/>
        </w:rPr>
        <w:t>(оквирна листа дата у Од</w:t>
      </w:r>
      <w:r w:rsidR="00E260B0">
        <w:rPr>
          <w:rFonts w:asciiTheme="majorHAnsi" w:hAnsiTheme="majorHAnsi" w:cstheme="majorHAnsi"/>
          <w:color w:val="000000"/>
        </w:rPr>
        <w:t>е</w:t>
      </w:r>
      <w:r w:rsidR="00FB33C5" w:rsidRPr="00FB33C5">
        <w:rPr>
          <w:rFonts w:asciiTheme="majorHAnsi" w:hAnsiTheme="majorHAnsi" w:cstheme="majorHAnsi"/>
          <w:color w:val="000000"/>
        </w:rPr>
        <w:t>љку 5.4)</w:t>
      </w:r>
      <w:r w:rsidR="00854ADA" w:rsidRPr="00FF386D">
        <w:rPr>
          <w:rFonts w:asciiTheme="majorHAnsi" w:hAnsiTheme="majorHAnsi" w:cstheme="majorHAnsi"/>
          <w:color w:val="000000"/>
        </w:rPr>
        <w:t>.</w:t>
      </w:r>
    </w:p>
    <w:p w14:paraId="605989A2" w14:textId="6CE29903" w:rsidR="00854ADA" w:rsidRPr="00FF386D" w:rsidRDefault="00854ADA" w:rsidP="00854ADA">
      <w:pPr>
        <w:numPr>
          <w:ilvl w:val="0"/>
          <w:numId w:val="220"/>
        </w:numPr>
        <w:spacing w:before="160" w:line="260" w:lineRule="exact"/>
        <w:ind w:left="1077"/>
        <w:jc w:val="both"/>
        <w:rPr>
          <w:rFonts w:asciiTheme="majorHAnsi" w:hAnsiTheme="majorHAnsi" w:cstheme="majorHAnsi"/>
          <w:color w:val="000000"/>
        </w:rPr>
      </w:pPr>
      <w:r w:rsidRPr="00FF386D">
        <w:rPr>
          <w:rFonts w:asciiTheme="majorHAnsi" w:hAnsiTheme="majorHAnsi" w:cstheme="majorHAnsi"/>
          <w:color w:val="000000"/>
        </w:rPr>
        <w:t xml:space="preserve">Специјалан рачун ОИЕ са посебним изворима финансијских прихода за </w:t>
      </w:r>
      <w:r w:rsidR="00790B05" w:rsidRPr="00FF386D">
        <w:rPr>
          <w:rFonts w:asciiTheme="majorHAnsi" w:hAnsiTheme="majorHAnsi" w:cstheme="majorHAnsi"/>
          <w:color w:val="000000"/>
        </w:rPr>
        <w:t>обезбеђивање</w:t>
      </w:r>
      <w:r w:rsidRPr="00FF386D">
        <w:rPr>
          <w:rFonts w:asciiTheme="majorHAnsi" w:hAnsiTheme="majorHAnsi" w:cstheme="majorHAnsi"/>
          <w:color w:val="000000"/>
        </w:rPr>
        <w:t xml:space="preserve"> на</w:t>
      </w:r>
      <w:r w:rsidR="003E328C" w:rsidRPr="00FF386D">
        <w:rPr>
          <w:rFonts w:asciiTheme="majorHAnsi" w:hAnsiTheme="majorHAnsi" w:cstheme="majorHAnsi"/>
          <w:color w:val="000000"/>
        </w:rPr>
        <w:t>кнада</w:t>
      </w:r>
      <w:r w:rsidRPr="00FF386D">
        <w:rPr>
          <w:rFonts w:asciiTheme="majorHAnsi" w:hAnsiTheme="majorHAnsi" w:cstheme="majorHAnsi"/>
          <w:color w:val="000000"/>
        </w:rPr>
        <w:t xml:space="preserve"> за произведену енергију из обновљивих извора у оквиру </w:t>
      </w:r>
      <w:r w:rsidR="00790B05" w:rsidRPr="00FF386D">
        <w:rPr>
          <w:rFonts w:asciiTheme="majorHAnsi" w:hAnsiTheme="majorHAnsi" w:cstheme="majorHAnsi"/>
          <w:color w:val="000000"/>
        </w:rPr>
        <w:t>развијене</w:t>
      </w:r>
      <w:r w:rsidRPr="00FF386D">
        <w:rPr>
          <w:rFonts w:asciiTheme="majorHAnsi" w:hAnsiTheme="majorHAnsi" w:cstheme="majorHAnsi"/>
          <w:color w:val="000000"/>
        </w:rPr>
        <w:t xml:space="preserve"> шеме подршке.</w:t>
      </w:r>
    </w:p>
    <w:p w14:paraId="6601F07A" w14:textId="6BEE1A4C" w:rsidR="00854ADA" w:rsidRPr="00FF386D" w:rsidRDefault="00854ADA" w:rsidP="00854ADA">
      <w:pPr>
        <w:numPr>
          <w:ilvl w:val="0"/>
          <w:numId w:val="220"/>
        </w:numPr>
        <w:spacing w:before="160" w:line="260" w:lineRule="exact"/>
        <w:ind w:left="1077"/>
        <w:jc w:val="both"/>
        <w:rPr>
          <w:rFonts w:asciiTheme="majorHAnsi" w:hAnsiTheme="majorHAnsi" w:cstheme="majorHAnsi"/>
          <w:color w:val="000000"/>
        </w:rPr>
      </w:pPr>
      <w:r w:rsidRPr="00FF386D">
        <w:rPr>
          <w:rFonts w:asciiTheme="majorHAnsi" w:hAnsiTheme="majorHAnsi" w:cstheme="majorHAnsi"/>
          <w:color w:val="000000"/>
        </w:rPr>
        <w:t>Национални оперативни програми за период 2021-2027.</w:t>
      </w:r>
      <w:r w:rsidR="00790B05" w:rsidRPr="00FF386D">
        <w:rPr>
          <w:rFonts w:asciiTheme="majorHAnsi" w:hAnsiTheme="majorHAnsi" w:cstheme="majorHAnsi"/>
          <w:color w:val="000000"/>
        </w:rPr>
        <w:t xml:space="preserve"> године</w:t>
      </w:r>
      <w:r w:rsidR="00F62532">
        <w:rPr>
          <w:rFonts w:asciiTheme="majorHAnsi" w:hAnsiTheme="majorHAnsi" w:cstheme="majorHAnsi"/>
          <w:color w:val="000000"/>
        </w:rPr>
        <w:t>.</w:t>
      </w:r>
    </w:p>
    <w:p w14:paraId="73737659" w14:textId="1BA6DA5D" w:rsidR="00854ADA" w:rsidRPr="00FF386D" w:rsidRDefault="00854ADA" w:rsidP="00854ADA">
      <w:pPr>
        <w:numPr>
          <w:ilvl w:val="0"/>
          <w:numId w:val="220"/>
        </w:numPr>
        <w:spacing w:before="160" w:line="260" w:lineRule="exact"/>
        <w:ind w:left="1077"/>
        <w:jc w:val="both"/>
        <w:rPr>
          <w:rFonts w:asciiTheme="majorHAnsi" w:hAnsiTheme="majorHAnsi" w:cstheme="majorHAnsi"/>
          <w:color w:val="000000"/>
        </w:rPr>
      </w:pPr>
      <w:r w:rsidRPr="00FF386D">
        <w:rPr>
          <w:rFonts w:asciiTheme="majorHAnsi" w:hAnsiTheme="majorHAnsi" w:cstheme="majorHAnsi"/>
          <w:color w:val="000000"/>
        </w:rPr>
        <w:t xml:space="preserve">Средства из националних и </w:t>
      </w:r>
      <w:r w:rsidR="00790B05" w:rsidRPr="00FF386D">
        <w:rPr>
          <w:rFonts w:asciiTheme="majorHAnsi" w:hAnsiTheme="majorHAnsi" w:cstheme="majorHAnsi"/>
          <w:color w:val="000000"/>
        </w:rPr>
        <w:t xml:space="preserve">европских </w:t>
      </w:r>
      <w:r w:rsidRPr="00FF386D">
        <w:rPr>
          <w:rFonts w:asciiTheme="majorHAnsi" w:hAnsiTheme="majorHAnsi" w:cstheme="majorHAnsi"/>
          <w:color w:val="000000"/>
        </w:rPr>
        <w:t>истраживачких програма, као и средства за реализацију иновативних и пилот апликација у контексту међународних сарадњи.</w:t>
      </w:r>
    </w:p>
    <w:p w14:paraId="2F90221A" w14:textId="0C13BDA9" w:rsidR="00854ADA" w:rsidRPr="00FF386D" w:rsidRDefault="00854ADA">
      <w:pPr>
        <w:pStyle w:val="ListParagraph"/>
        <w:keepNext/>
        <w:keepLines/>
        <w:numPr>
          <w:ilvl w:val="0"/>
          <w:numId w:val="284"/>
        </w:numPr>
        <w:spacing w:before="200" w:after="0" w:line="240" w:lineRule="auto"/>
        <w:jc w:val="both"/>
        <w:outlineLvl w:val="3"/>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lastRenderedPageBreak/>
        <w:t xml:space="preserve">Посебне мере за увођење </w:t>
      </w:r>
      <w:r w:rsidR="00AB056A" w:rsidRPr="00FF386D">
        <w:rPr>
          <w:rFonts w:asciiTheme="majorHAnsi" w:eastAsiaTheme="majorEastAsia" w:hAnsiTheme="majorHAnsi" w:cstheme="majorBidi"/>
          <w:b/>
          <w:bCs/>
          <w:iCs/>
          <w:color w:val="01406B"/>
          <w:szCs w:val="24"/>
        </w:rPr>
        <w:t xml:space="preserve">једношалтерског система </w:t>
      </w:r>
      <w:r w:rsidRPr="00FF386D">
        <w:rPr>
          <w:rFonts w:asciiTheme="majorHAnsi" w:eastAsiaTheme="majorEastAsia" w:hAnsiTheme="majorHAnsi" w:cstheme="majorBidi"/>
          <w:b/>
          <w:bCs/>
          <w:iCs/>
          <w:color w:val="01406B"/>
          <w:szCs w:val="24"/>
        </w:rPr>
        <w:t>(</w:t>
      </w:r>
      <w:r w:rsidR="00AB056A" w:rsidRPr="00FF386D">
        <w:rPr>
          <w:rFonts w:asciiTheme="majorHAnsi" w:eastAsiaTheme="majorEastAsia" w:hAnsiTheme="majorHAnsi" w:cstheme="majorBidi"/>
          <w:b/>
          <w:bCs/>
          <w:iCs/>
          <w:color w:val="01406B"/>
          <w:szCs w:val="24"/>
        </w:rPr>
        <w:t xml:space="preserve">енг. </w:t>
      </w:r>
      <w:r w:rsidRPr="00FF386D">
        <w:rPr>
          <w:rFonts w:asciiTheme="majorHAnsi" w:eastAsiaTheme="majorEastAsia" w:hAnsiTheme="majorHAnsi" w:cstheme="majorBidi"/>
          <w:b/>
          <w:bCs/>
          <w:i/>
          <w:color w:val="01406B"/>
          <w:szCs w:val="24"/>
        </w:rPr>
        <w:t>one-stop-shop</w:t>
      </w:r>
      <w:r w:rsidRPr="00FF386D">
        <w:rPr>
          <w:rFonts w:asciiTheme="majorHAnsi" w:eastAsiaTheme="majorEastAsia" w:hAnsiTheme="majorHAnsi" w:cstheme="majorBidi"/>
          <w:b/>
          <w:bCs/>
          <w:iCs/>
          <w:color w:val="01406B"/>
          <w:szCs w:val="24"/>
        </w:rPr>
        <w:t>), поједностављене административне процедуре, пружање информација и спровођење обуке</w:t>
      </w:r>
      <w:r w:rsidR="00094B57" w:rsidRPr="00FF386D">
        <w:rPr>
          <w:rFonts w:asciiTheme="majorHAnsi" w:eastAsiaTheme="majorEastAsia" w:hAnsiTheme="majorHAnsi" w:cstheme="majorBidi"/>
          <w:b/>
          <w:bCs/>
          <w:iCs/>
          <w:color w:val="01406B"/>
          <w:szCs w:val="24"/>
        </w:rPr>
        <w:t>, као</w:t>
      </w:r>
      <w:r w:rsidR="00790B05" w:rsidRPr="00FF386D">
        <w:rPr>
          <w:rFonts w:asciiTheme="majorHAnsi" w:eastAsiaTheme="majorEastAsia" w:hAnsiTheme="majorHAnsi" w:cstheme="majorBidi"/>
          <w:b/>
          <w:bCs/>
          <w:iCs/>
          <w:color w:val="01406B"/>
          <w:szCs w:val="24"/>
        </w:rPr>
        <w:t xml:space="preserve"> и</w:t>
      </w:r>
      <w:r w:rsidRPr="00FF386D">
        <w:rPr>
          <w:rFonts w:asciiTheme="majorHAnsi" w:eastAsiaTheme="majorEastAsia" w:hAnsiTheme="majorHAnsi" w:cstheme="majorBidi"/>
          <w:b/>
          <w:bCs/>
          <w:iCs/>
          <w:color w:val="01406B"/>
          <w:szCs w:val="24"/>
        </w:rPr>
        <w:t xml:space="preserve"> </w:t>
      </w:r>
      <w:r w:rsidR="00790B05" w:rsidRPr="00FF386D">
        <w:rPr>
          <w:rFonts w:asciiTheme="majorHAnsi" w:eastAsiaTheme="majorEastAsia" w:hAnsiTheme="majorHAnsi" w:cstheme="majorBidi"/>
          <w:b/>
          <w:bCs/>
          <w:iCs/>
          <w:color w:val="01406B"/>
          <w:szCs w:val="24"/>
        </w:rPr>
        <w:t>јачање</w:t>
      </w:r>
      <w:r w:rsidRPr="00FF386D">
        <w:rPr>
          <w:rFonts w:asciiTheme="majorHAnsi" w:eastAsiaTheme="majorEastAsia" w:hAnsiTheme="majorHAnsi" w:cstheme="majorBidi"/>
          <w:b/>
          <w:bCs/>
          <w:iCs/>
          <w:color w:val="01406B"/>
          <w:szCs w:val="24"/>
        </w:rPr>
        <w:t xml:space="preserve"> </w:t>
      </w:r>
      <w:r w:rsidR="00790B05" w:rsidRPr="00FF386D">
        <w:rPr>
          <w:rFonts w:asciiTheme="majorHAnsi" w:eastAsiaTheme="majorEastAsia" w:hAnsiTheme="majorHAnsi" w:cstheme="majorBidi"/>
          <w:b/>
          <w:bCs/>
          <w:iCs/>
          <w:color w:val="01406B"/>
          <w:szCs w:val="24"/>
        </w:rPr>
        <w:t>производње електричне енергије из ОИЕ за сопствену потрошњу и</w:t>
      </w:r>
      <w:r w:rsidRPr="00FF386D">
        <w:rPr>
          <w:rFonts w:asciiTheme="majorHAnsi" w:eastAsiaTheme="majorEastAsia" w:hAnsiTheme="majorHAnsi" w:cstheme="majorBidi"/>
          <w:b/>
          <w:bCs/>
          <w:iCs/>
          <w:color w:val="01406B"/>
          <w:szCs w:val="24"/>
        </w:rPr>
        <w:t xml:space="preserve"> заједниц</w:t>
      </w:r>
      <w:r w:rsidR="00E5646D" w:rsidRPr="00FF386D">
        <w:rPr>
          <w:rFonts w:asciiTheme="majorHAnsi" w:eastAsiaTheme="majorEastAsia" w:hAnsiTheme="majorHAnsi" w:cstheme="majorBidi"/>
          <w:b/>
          <w:bCs/>
          <w:iCs/>
          <w:color w:val="01406B"/>
          <w:szCs w:val="24"/>
        </w:rPr>
        <w:t xml:space="preserve">а </w:t>
      </w:r>
      <w:r w:rsidRPr="00FF386D">
        <w:rPr>
          <w:rFonts w:asciiTheme="majorHAnsi" w:eastAsiaTheme="majorEastAsia" w:hAnsiTheme="majorHAnsi" w:cstheme="majorBidi"/>
          <w:b/>
          <w:bCs/>
          <w:iCs/>
          <w:color w:val="01406B"/>
          <w:szCs w:val="24"/>
        </w:rPr>
        <w:t>ОИЕ</w:t>
      </w:r>
    </w:p>
    <w:p w14:paraId="47791D55" w14:textId="41A404A9" w:rsidR="00854ADA" w:rsidRPr="00FF386D" w:rsidRDefault="00AB056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Биће размотрени п</w:t>
      </w:r>
      <w:r w:rsidR="00854ADA" w:rsidRPr="00FF386D">
        <w:rPr>
          <w:rFonts w:asciiTheme="majorHAnsi" w:hAnsiTheme="majorHAnsi" w:cstheme="majorHAnsi"/>
          <w:color w:val="000000"/>
        </w:rPr>
        <w:t xml:space="preserve">остојећи поступци </w:t>
      </w:r>
      <w:r w:rsidR="00E5646D" w:rsidRPr="00FF386D">
        <w:rPr>
          <w:rFonts w:asciiTheme="majorHAnsi" w:hAnsiTheme="majorHAnsi" w:cstheme="majorHAnsi"/>
          <w:color w:val="000000"/>
        </w:rPr>
        <w:t>издавања одобрења, сертификата,</w:t>
      </w:r>
      <w:r w:rsidR="00854ADA" w:rsidRPr="00FF386D">
        <w:rPr>
          <w:rFonts w:asciiTheme="majorHAnsi" w:hAnsiTheme="majorHAnsi" w:cstheme="majorHAnsi"/>
          <w:color w:val="000000"/>
        </w:rPr>
        <w:t xml:space="preserve"> дозвола и лиценц</w:t>
      </w:r>
      <w:r w:rsidR="00094B57" w:rsidRPr="00FF386D">
        <w:rPr>
          <w:rFonts w:asciiTheme="majorHAnsi" w:hAnsiTheme="majorHAnsi" w:cstheme="majorHAnsi"/>
          <w:color w:val="000000"/>
        </w:rPr>
        <w:t>и</w:t>
      </w:r>
      <w:r w:rsidR="00854ADA" w:rsidRPr="00FF386D">
        <w:rPr>
          <w:rFonts w:asciiTheme="majorHAnsi" w:hAnsiTheme="majorHAnsi" w:cstheme="majorHAnsi"/>
          <w:color w:val="000000"/>
        </w:rPr>
        <w:t xml:space="preserve"> </w:t>
      </w:r>
      <w:r w:rsidR="002C1EE6" w:rsidRPr="00FF386D">
        <w:rPr>
          <w:rFonts w:asciiTheme="majorHAnsi" w:hAnsiTheme="majorHAnsi" w:cstheme="majorHAnsi"/>
          <w:color w:val="000000"/>
        </w:rPr>
        <w:t xml:space="preserve">с циљем да се ажурирају, </w:t>
      </w:r>
      <w:r w:rsidR="00854ADA" w:rsidRPr="00FF386D">
        <w:rPr>
          <w:rFonts w:asciiTheme="majorHAnsi" w:hAnsiTheme="majorHAnsi" w:cstheme="majorHAnsi"/>
          <w:color w:val="000000"/>
        </w:rPr>
        <w:t>поједностав</w:t>
      </w:r>
      <w:r w:rsidR="002C1EE6" w:rsidRPr="00FF386D">
        <w:rPr>
          <w:rFonts w:asciiTheme="majorHAnsi" w:hAnsiTheme="majorHAnsi" w:cstheme="majorHAnsi"/>
          <w:color w:val="000000"/>
        </w:rPr>
        <w:t>е и</w:t>
      </w:r>
      <w:r w:rsidR="00854ADA" w:rsidRPr="00FF386D">
        <w:rPr>
          <w:rFonts w:asciiTheme="majorHAnsi" w:hAnsiTheme="majorHAnsi" w:cstheme="majorHAnsi"/>
          <w:color w:val="000000"/>
        </w:rPr>
        <w:t xml:space="preserve"> оптимиз</w:t>
      </w:r>
      <w:r w:rsidR="002C1EE6" w:rsidRPr="00FF386D">
        <w:rPr>
          <w:rFonts w:asciiTheme="majorHAnsi" w:hAnsiTheme="majorHAnsi" w:cstheme="majorHAnsi"/>
          <w:color w:val="000000"/>
        </w:rPr>
        <w:t>ују</w:t>
      </w:r>
      <w:r w:rsidR="00854ADA" w:rsidRPr="00FF386D">
        <w:rPr>
          <w:rFonts w:asciiTheme="majorHAnsi" w:hAnsiTheme="majorHAnsi" w:cstheme="majorHAnsi"/>
          <w:color w:val="000000"/>
        </w:rPr>
        <w:t>, како би постали оперативнији и транспарентнији,</w:t>
      </w:r>
      <w:r w:rsidR="002C1EE6" w:rsidRPr="00FF386D">
        <w:rPr>
          <w:rFonts w:asciiTheme="majorHAnsi" w:hAnsiTheme="majorHAnsi" w:cstheme="majorHAnsi"/>
          <w:color w:val="000000"/>
        </w:rPr>
        <w:t xml:space="preserve"> и</w:t>
      </w:r>
      <w:r w:rsidRPr="00FF386D">
        <w:rPr>
          <w:rFonts w:asciiTheme="majorHAnsi" w:hAnsiTheme="majorHAnsi" w:cstheme="majorHAnsi"/>
          <w:color w:val="000000"/>
        </w:rPr>
        <w:t xml:space="preserve"> т</w:t>
      </w:r>
      <w:r w:rsidR="00940D1E" w:rsidRPr="00FF386D">
        <w:rPr>
          <w:rFonts w:asciiTheme="majorHAnsi" w:hAnsiTheme="majorHAnsi" w:cstheme="majorHAnsi"/>
          <w:color w:val="000000"/>
        </w:rPr>
        <w:t>име омогућили</w:t>
      </w:r>
      <w:r w:rsidR="002C1EE6" w:rsidRPr="00FF386D">
        <w:rPr>
          <w:rFonts w:asciiTheme="majorHAnsi" w:hAnsiTheme="majorHAnsi" w:cstheme="majorHAnsi"/>
          <w:color w:val="000000"/>
        </w:rPr>
        <w:t xml:space="preserve"> додатно</w:t>
      </w:r>
      <w:r w:rsidR="00854ADA" w:rsidRPr="00FF386D">
        <w:rPr>
          <w:rFonts w:asciiTheme="majorHAnsi" w:hAnsiTheme="majorHAnsi" w:cstheme="majorHAnsi"/>
          <w:color w:val="000000"/>
        </w:rPr>
        <w:t xml:space="preserve"> коришћење обновљивих извора енергије.</w:t>
      </w:r>
    </w:p>
    <w:p w14:paraId="68E5A249" w14:textId="72CA25EA"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Поред тога, биће побољшане и поједностављене процедуре прикључ</w:t>
      </w:r>
      <w:r w:rsidR="00E5646D" w:rsidRPr="00FF386D">
        <w:rPr>
          <w:rFonts w:asciiTheme="majorHAnsi" w:hAnsiTheme="majorHAnsi" w:cstheme="majorHAnsi"/>
          <w:color w:val="000000"/>
        </w:rPr>
        <w:t>ења</w:t>
      </w:r>
      <w:r w:rsidRPr="00FF386D">
        <w:rPr>
          <w:rFonts w:asciiTheme="majorHAnsi" w:hAnsiTheme="majorHAnsi" w:cstheme="majorHAnsi"/>
          <w:color w:val="000000"/>
        </w:rPr>
        <w:t xml:space="preserve"> на мрежу за посебне категорије пројеката обновљиве енергије. </w:t>
      </w:r>
      <w:r w:rsidR="00AB056A" w:rsidRPr="00FF386D">
        <w:rPr>
          <w:rFonts w:asciiTheme="majorHAnsi" w:hAnsiTheme="majorHAnsi" w:cstheme="majorHAnsi"/>
          <w:color w:val="000000"/>
        </w:rPr>
        <w:t>Постојећа</w:t>
      </w:r>
      <w:r w:rsidRPr="00FF386D">
        <w:rPr>
          <w:rFonts w:asciiTheme="majorHAnsi" w:hAnsiTheme="majorHAnsi" w:cstheme="majorHAnsi"/>
          <w:color w:val="000000"/>
        </w:rPr>
        <w:t xml:space="preserve"> методологија и посебна правила </w:t>
      </w:r>
      <w:r w:rsidR="00AB056A" w:rsidRPr="00FF386D">
        <w:rPr>
          <w:rFonts w:asciiTheme="majorHAnsi" w:hAnsiTheme="majorHAnsi" w:cstheme="majorHAnsi"/>
          <w:color w:val="000000"/>
        </w:rPr>
        <w:t xml:space="preserve">за </w:t>
      </w:r>
      <w:r w:rsidRPr="00FF386D">
        <w:rPr>
          <w:rFonts w:asciiTheme="majorHAnsi" w:hAnsiTheme="majorHAnsi" w:cstheme="majorHAnsi"/>
          <w:color w:val="000000"/>
        </w:rPr>
        <w:t>расподел</w:t>
      </w:r>
      <w:r w:rsidR="00AB056A" w:rsidRPr="00FF386D">
        <w:rPr>
          <w:rFonts w:asciiTheme="majorHAnsi" w:hAnsiTheme="majorHAnsi" w:cstheme="majorHAnsi"/>
          <w:color w:val="000000"/>
        </w:rPr>
        <w:t>у</w:t>
      </w:r>
      <w:r w:rsidRPr="00FF386D">
        <w:rPr>
          <w:rFonts w:asciiTheme="majorHAnsi" w:hAnsiTheme="majorHAnsi" w:cstheme="majorHAnsi"/>
          <w:color w:val="000000"/>
        </w:rPr>
        <w:t xml:space="preserve"> предвиђен</w:t>
      </w:r>
      <w:r w:rsidR="00AB056A" w:rsidRPr="00FF386D">
        <w:rPr>
          <w:rFonts w:asciiTheme="majorHAnsi" w:hAnsiTheme="majorHAnsi" w:cstheme="majorHAnsi"/>
          <w:color w:val="000000"/>
        </w:rPr>
        <w:t>их</w:t>
      </w:r>
      <w:r w:rsidRPr="00FF386D">
        <w:rPr>
          <w:rFonts w:asciiTheme="majorHAnsi" w:hAnsiTheme="majorHAnsi" w:cstheme="majorHAnsi"/>
          <w:color w:val="000000"/>
        </w:rPr>
        <w:t xml:space="preserve"> трошков</w:t>
      </w:r>
      <w:r w:rsidR="00AB056A" w:rsidRPr="00FF386D">
        <w:rPr>
          <w:rFonts w:asciiTheme="majorHAnsi" w:hAnsiTheme="majorHAnsi" w:cstheme="majorHAnsi"/>
          <w:color w:val="000000"/>
        </w:rPr>
        <w:t>а</w:t>
      </w:r>
      <w:r w:rsidRPr="00FF386D">
        <w:rPr>
          <w:rFonts w:asciiTheme="majorHAnsi" w:hAnsiTheme="majorHAnsi" w:cstheme="majorHAnsi"/>
          <w:color w:val="000000"/>
        </w:rPr>
        <w:t xml:space="preserve"> прикључ</w:t>
      </w:r>
      <w:r w:rsidR="00E5646D" w:rsidRPr="00FF386D">
        <w:rPr>
          <w:rFonts w:asciiTheme="majorHAnsi" w:hAnsiTheme="majorHAnsi" w:cstheme="majorHAnsi"/>
          <w:color w:val="000000"/>
        </w:rPr>
        <w:t>ења</w:t>
      </w:r>
      <w:r w:rsidRPr="00FF386D">
        <w:rPr>
          <w:rFonts w:asciiTheme="majorHAnsi" w:hAnsiTheme="majorHAnsi" w:cstheme="majorHAnsi"/>
          <w:color w:val="000000"/>
        </w:rPr>
        <w:t xml:space="preserve"> на мреж</w:t>
      </w:r>
      <w:r w:rsidR="00E5646D" w:rsidRPr="00FF386D">
        <w:rPr>
          <w:rFonts w:asciiTheme="majorHAnsi" w:hAnsiTheme="majorHAnsi" w:cstheme="majorHAnsi"/>
          <w:color w:val="000000"/>
        </w:rPr>
        <w:t>у</w:t>
      </w:r>
      <w:r w:rsidR="00AB056A" w:rsidRPr="00FF386D">
        <w:rPr>
          <w:rFonts w:asciiTheme="majorHAnsi" w:hAnsiTheme="majorHAnsi" w:cstheme="majorHAnsi"/>
          <w:color w:val="000000"/>
        </w:rPr>
        <w:t xml:space="preserve"> </w:t>
      </w:r>
      <w:r w:rsidR="00E5646D" w:rsidRPr="00FF386D">
        <w:rPr>
          <w:rFonts w:asciiTheme="majorHAnsi" w:hAnsiTheme="majorHAnsi" w:cstheme="majorHAnsi"/>
          <w:color w:val="000000"/>
        </w:rPr>
        <w:t>ће се и</w:t>
      </w:r>
      <w:r w:rsidR="00AB056A" w:rsidRPr="00FF386D">
        <w:rPr>
          <w:rFonts w:asciiTheme="majorHAnsi" w:hAnsiTheme="majorHAnsi" w:cstheme="majorHAnsi"/>
          <w:color w:val="000000"/>
        </w:rPr>
        <w:t xml:space="preserve"> даље</w:t>
      </w:r>
      <w:r w:rsidR="00E5646D" w:rsidRPr="00FF386D">
        <w:rPr>
          <w:rFonts w:asciiTheme="majorHAnsi" w:hAnsiTheme="majorHAnsi" w:cstheme="majorHAnsi"/>
          <w:color w:val="000000"/>
        </w:rPr>
        <w:t xml:space="preserve"> </w:t>
      </w:r>
      <w:r w:rsidR="00AB056A" w:rsidRPr="00FF386D">
        <w:rPr>
          <w:rFonts w:asciiTheme="majorHAnsi" w:hAnsiTheme="majorHAnsi" w:cstheme="majorHAnsi"/>
          <w:color w:val="000000"/>
        </w:rPr>
        <w:t>примењивати</w:t>
      </w:r>
      <w:r w:rsidRPr="00FF386D">
        <w:rPr>
          <w:rFonts w:asciiTheme="majorHAnsi" w:hAnsiTheme="majorHAnsi" w:cstheme="majorHAnsi"/>
          <w:color w:val="000000"/>
        </w:rPr>
        <w:t>,</w:t>
      </w:r>
      <w:r w:rsidR="00AB056A" w:rsidRPr="00FF386D">
        <w:rPr>
          <w:rFonts w:asciiTheme="majorHAnsi" w:hAnsiTheme="majorHAnsi" w:cstheme="majorHAnsi"/>
          <w:color w:val="000000"/>
        </w:rPr>
        <w:t xml:space="preserve"> осигуравајући</w:t>
      </w:r>
      <w:r w:rsidRPr="00FF386D">
        <w:rPr>
          <w:rFonts w:asciiTheme="majorHAnsi" w:hAnsiTheme="majorHAnsi" w:cstheme="majorHAnsi"/>
          <w:color w:val="000000"/>
        </w:rPr>
        <w:t xml:space="preserve"> транспарентност за потенцијалне инвеститоре.</w:t>
      </w:r>
    </w:p>
    <w:p w14:paraId="4C8FACFA" w14:textId="0EE2AEE8"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Размотриће се успостављање </w:t>
      </w:r>
      <w:r w:rsidR="00E5646D" w:rsidRPr="00FF386D">
        <w:rPr>
          <w:rFonts w:asciiTheme="majorHAnsi" w:hAnsiTheme="majorHAnsi" w:cstheme="majorHAnsi"/>
          <w:color w:val="000000"/>
        </w:rPr>
        <w:t>једношалтерског система</w:t>
      </w:r>
      <w:r w:rsidRPr="00FF386D">
        <w:rPr>
          <w:rFonts w:asciiTheme="majorHAnsi" w:hAnsiTheme="majorHAnsi" w:cstheme="majorHAnsi"/>
          <w:color w:val="000000"/>
        </w:rPr>
        <w:t xml:space="preserve"> (</w:t>
      </w:r>
      <w:r w:rsidRPr="00FF386D">
        <w:rPr>
          <w:rFonts w:asciiTheme="majorHAnsi" w:hAnsiTheme="majorHAnsi" w:cstheme="majorHAnsi"/>
          <w:i/>
          <w:iCs/>
          <w:color w:val="000000"/>
        </w:rPr>
        <w:t>one-stop-shop</w:t>
      </w:r>
      <w:r w:rsidRPr="00FF386D">
        <w:rPr>
          <w:rFonts w:asciiTheme="majorHAnsi" w:hAnsiTheme="majorHAnsi" w:cstheme="majorHAnsi"/>
          <w:color w:val="000000"/>
        </w:rPr>
        <w:t>), како би се заинтересованим инвеститорима пружиле потребне информације и техничке смернице за реализацију планираних инвестиција.</w:t>
      </w:r>
    </w:p>
    <w:p w14:paraId="3EEBC039" w14:textId="72C46430"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П</w:t>
      </w:r>
      <w:r w:rsidR="00E17C29" w:rsidRPr="00FF386D">
        <w:rPr>
          <w:rFonts w:asciiTheme="majorHAnsi" w:hAnsiTheme="majorHAnsi" w:cstheme="majorHAnsi"/>
          <w:color w:val="000000"/>
        </w:rPr>
        <w:t>роизвођачи електричне енергије за</w:t>
      </w:r>
      <w:r w:rsidRPr="00FF386D">
        <w:rPr>
          <w:rFonts w:asciiTheme="majorHAnsi" w:hAnsiTheme="majorHAnsi" w:cstheme="majorHAnsi"/>
          <w:color w:val="000000"/>
        </w:rPr>
        <w:t xml:space="preserve"> сопствене п</w:t>
      </w:r>
      <w:r w:rsidR="00E17C29" w:rsidRPr="00FF386D">
        <w:rPr>
          <w:rFonts w:asciiTheme="majorHAnsi" w:hAnsiTheme="majorHAnsi" w:cstheme="majorHAnsi"/>
          <w:color w:val="000000"/>
        </w:rPr>
        <w:t>отребе из</w:t>
      </w:r>
      <w:r w:rsidRPr="00FF386D">
        <w:rPr>
          <w:rFonts w:asciiTheme="majorHAnsi" w:hAnsiTheme="majorHAnsi" w:cstheme="majorHAnsi"/>
          <w:color w:val="000000"/>
        </w:rPr>
        <w:t xml:space="preserve"> обновљивих извора енергије </w:t>
      </w:r>
      <w:r w:rsidR="003D178D" w:rsidRPr="00FF386D">
        <w:rPr>
          <w:rFonts w:asciiTheme="majorHAnsi" w:hAnsiTheme="majorHAnsi" w:cstheme="majorHAnsi"/>
          <w:color w:val="000000"/>
        </w:rPr>
        <w:t>биће</w:t>
      </w:r>
      <w:r w:rsidRPr="00FF386D">
        <w:rPr>
          <w:rFonts w:asciiTheme="majorHAnsi" w:hAnsiTheme="majorHAnsi" w:cstheme="majorHAnsi"/>
          <w:color w:val="000000"/>
        </w:rPr>
        <w:t xml:space="preserve"> подржани кроз посебну шему подршке која ће обухватити циљане финансијске и фискалне подстицаје. Предвиђене таксе и накнаде ће бити недискриминаторне и пропорционалне, </w:t>
      </w:r>
      <w:r w:rsidR="00E17C29" w:rsidRPr="00FF386D">
        <w:rPr>
          <w:rFonts w:asciiTheme="majorHAnsi" w:hAnsiTheme="majorHAnsi" w:cstheme="majorHAnsi"/>
          <w:color w:val="000000"/>
        </w:rPr>
        <w:t>а</w:t>
      </w:r>
      <w:r w:rsidRPr="00FF386D">
        <w:rPr>
          <w:rFonts w:asciiTheme="majorHAnsi" w:hAnsiTheme="majorHAnsi" w:cstheme="majorHAnsi"/>
          <w:color w:val="000000"/>
        </w:rPr>
        <w:t xml:space="preserve"> потенцијалне друге препреке </w:t>
      </w:r>
      <w:r w:rsidR="00E17C29" w:rsidRPr="00FF386D">
        <w:rPr>
          <w:rFonts w:asciiTheme="majorHAnsi" w:hAnsiTheme="majorHAnsi" w:cstheme="majorHAnsi"/>
          <w:color w:val="000000"/>
        </w:rPr>
        <w:t xml:space="preserve">ће </w:t>
      </w:r>
      <w:r w:rsidRPr="00FF386D">
        <w:rPr>
          <w:rFonts w:asciiTheme="majorHAnsi" w:hAnsiTheme="majorHAnsi" w:cstheme="majorHAnsi"/>
          <w:color w:val="000000"/>
        </w:rPr>
        <w:t xml:space="preserve">бити ефикасно отклоњене. </w:t>
      </w:r>
      <w:r w:rsidR="00E17C29" w:rsidRPr="00FF386D">
        <w:rPr>
          <w:rFonts w:asciiTheme="majorHAnsi" w:hAnsiTheme="majorHAnsi" w:cstheme="majorHAnsi"/>
          <w:color w:val="000000"/>
        </w:rPr>
        <w:t>Поред тога</w:t>
      </w:r>
      <w:r w:rsidRPr="00FF386D">
        <w:rPr>
          <w:rFonts w:asciiTheme="majorHAnsi" w:hAnsiTheme="majorHAnsi" w:cstheme="majorHAnsi"/>
          <w:color w:val="000000"/>
        </w:rPr>
        <w:t xml:space="preserve">, покретањем циљаних фискалних и економских подстицаја </w:t>
      </w:r>
      <w:r w:rsidR="00E17C29" w:rsidRPr="00FF386D">
        <w:rPr>
          <w:rFonts w:asciiTheme="majorHAnsi" w:hAnsiTheme="majorHAnsi" w:cstheme="majorHAnsi"/>
          <w:color w:val="000000"/>
        </w:rPr>
        <w:t>биће</w:t>
      </w:r>
      <w:r w:rsidRPr="00FF386D">
        <w:rPr>
          <w:rFonts w:asciiTheme="majorHAnsi" w:hAnsiTheme="majorHAnsi" w:cstheme="majorHAnsi"/>
          <w:color w:val="000000"/>
        </w:rPr>
        <w:t xml:space="preserve"> </w:t>
      </w:r>
      <w:r w:rsidR="00E17C29" w:rsidRPr="00FF386D">
        <w:rPr>
          <w:rFonts w:asciiTheme="majorHAnsi" w:hAnsiTheme="majorHAnsi" w:cstheme="majorHAnsi"/>
          <w:color w:val="000000"/>
        </w:rPr>
        <w:t>оснажене</w:t>
      </w:r>
      <w:r w:rsidRPr="00FF386D">
        <w:rPr>
          <w:rFonts w:asciiTheme="majorHAnsi" w:hAnsiTheme="majorHAnsi" w:cstheme="majorHAnsi"/>
          <w:color w:val="000000"/>
        </w:rPr>
        <w:t xml:space="preserve"> улога и рад</w:t>
      </w:r>
      <w:r w:rsidR="003D178D" w:rsidRPr="00FF386D">
        <w:rPr>
          <w:rFonts w:asciiTheme="majorHAnsi" w:hAnsiTheme="majorHAnsi" w:cstheme="majorHAnsi"/>
          <w:color w:val="000000"/>
        </w:rPr>
        <w:t>,</w:t>
      </w:r>
      <w:r w:rsidRPr="00FF386D">
        <w:rPr>
          <w:rFonts w:asciiTheme="majorHAnsi" w:hAnsiTheme="majorHAnsi" w:cstheme="majorHAnsi"/>
          <w:color w:val="000000"/>
        </w:rPr>
        <w:t xml:space="preserve"> како заједница обновљивих извора енергије</w:t>
      </w:r>
      <w:r w:rsidR="003D178D" w:rsidRPr="00FF386D">
        <w:rPr>
          <w:rFonts w:asciiTheme="majorHAnsi" w:hAnsiTheme="majorHAnsi" w:cstheme="majorHAnsi"/>
          <w:color w:val="000000"/>
        </w:rPr>
        <w:t xml:space="preserve"> </w:t>
      </w:r>
      <w:r w:rsidRPr="00FF386D">
        <w:rPr>
          <w:rFonts w:asciiTheme="majorHAnsi" w:hAnsiTheme="majorHAnsi" w:cstheme="majorHAnsi"/>
          <w:color w:val="000000"/>
        </w:rPr>
        <w:t>тако и енергетских заједница грађана.</w:t>
      </w:r>
    </w:p>
    <w:p w14:paraId="753A1688" w14:textId="77777777"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Биће формиран регистар, с циљем да се свим грађанима пруже информације о нето користима, трошковима и енергетској ефикасности инсталираних постројења која користе обновљиве изворе енергије за производњу електричне енергије. Осим тога, регистар гаранција порекла ће служити као додатни информативни пункт за све грађане.</w:t>
      </w:r>
    </w:p>
    <w:p w14:paraId="507F58B7" w14:textId="772AFEC0"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Коначно, биће спроведени програми информисања, подизања </w:t>
      </w:r>
      <w:r w:rsidR="009A2580" w:rsidRPr="00FF386D">
        <w:rPr>
          <w:rFonts w:asciiTheme="majorHAnsi" w:hAnsiTheme="majorHAnsi" w:cstheme="majorHAnsi"/>
          <w:color w:val="000000"/>
        </w:rPr>
        <w:t xml:space="preserve">нивоа </w:t>
      </w:r>
      <w:r w:rsidRPr="00FF386D">
        <w:rPr>
          <w:rFonts w:asciiTheme="majorHAnsi" w:hAnsiTheme="majorHAnsi" w:cstheme="majorHAnsi"/>
          <w:color w:val="000000"/>
        </w:rPr>
        <w:t xml:space="preserve">свести, </w:t>
      </w:r>
      <w:r w:rsidR="00C611EF" w:rsidRPr="00FF386D">
        <w:rPr>
          <w:rFonts w:asciiTheme="majorHAnsi" w:hAnsiTheme="majorHAnsi" w:cstheme="majorHAnsi"/>
          <w:color w:val="000000"/>
        </w:rPr>
        <w:t>давања смерница</w:t>
      </w:r>
      <w:r w:rsidRPr="00FF386D">
        <w:rPr>
          <w:rFonts w:asciiTheme="majorHAnsi" w:hAnsiTheme="majorHAnsi" w:cstheme="majorHAnsi"/>
          <w:color w:val="000000"/>
        </w:rPr>
        <w:t xml:space="preserve"> или </w:t>
      </w:r>
      <w:r w:rsidR="00C611EF" w:rsidRPr="00FF386D">
        <w:rPr>
          <w:rFonts w:asciiTheme="majorHAnsi" w:hAnsiTheme="majorHAnsi" w:cstheme="majorHAnsi"/>
          <w:color w:val="000000"/>
        </w:rPr>
        <w:t xml:space="preserve">реализовања </w:t>
      </w:r>
      <w:r w:rsidRPr="00FF386D">
        <w:rPr>
          <w:rFonts w:asciiTheme="majorHAnsi" w:hAnsiTheme="majorHAnsi" w:cstheme="majorHAnsi"/>
          <w:color w:val="000000"/>
        </w:rPr>
        <w:t xml:space="preserve">обуке </w:t>
      </w:r>
      <w:r w:rsidR="009A2580" w:rsidRPr="00FF386D">
        <w:rPr>
          <w:rFonts w:asciiTheme="majorHAnsi" w:hAnsiTheme="majorHAnsi" w:cstheme="majorHAnsi"/>
          <w:color w:val="000000"/>
        </w:rPr>
        <w:t xml:space="preserve">с циљем </w:t>
      </w:r>
      <w:r w:rsidRPr="00FF386D">
        <w:rPr>
          <w:rFonts w:asciiTheme="majorHAnsi" w:hAnsiTheme="majorHAnsi" w:cstheme="majorHAnsi"/>
          <w:color w:val="000000"/>
        </w:rPr>
        <w:t>да се грађани информи</w:t>
      </w:r>
      <w:r w:rsidR="009A2580" w:rsidRPr="00FF386D">
        <w:rPr>
          <w:rFonts w:asciiTheme="majorHAnsi" w:hAnsiTheme="majorHAnsi" w:cstheme="majorHAnsi"/>
          <w:color w:val="000000"/>
        </w:rPr>
        <w:t xml:space="preserve">шу </w:t>
      </w:r>
      <w:r w:rsidRPr="00FF386D">
        <w:rPr>
          <w:rFonts w:asciiTheme="majorHAnsi" w:hAnsiTheme="majorHAnsi" w:cstheme="majorHAnsi"/>
          <w:color w:val="000000"/>
        </w:rPr>
        <w:t xml:space="preserve">о томе како да остварују своја права као активни корисници, као и о предностима и практичним питањима, укључујући техничке и финансијске аспекте. Пружање јасних и лако доступних информација од суштинског </w:t>
      </w:r>
      <w:r w:rsidR="009A2580" w:rsidRPr="00FF386D">
        <w:rPr>
          <w:rFonts w:asciiTheme="majorHAnsi" w:hAnsiTheme="majorHAnsi" w:cstheme="majorHAnsi"/>
          <w:color w:val="000000"/>
        </w:rPr>
        <w:t xml:space="preserve">је </w:t>
      </w:r>
      <w:r w:rsidRPr="00FF386D">
        <w:rPr>
          <w:rFonts w:asciiTheme="majorHAnsi" w:hAnsiTheme="majorHAnsi" w:cstheme="majorHAnsi"/>
          <w:color w:val="000000"/>
        </w:rPr>
        <w:t>значаја како би се грађанима омогућило да промене обрасце потрошње енергије и пређу на решења која подржавају интегрисани енергетски систем.</w:t>
      </w:r>
    </w:p>
    <w:tbl>
      <w:tblPr>
        <w:tblW w:w="9458" w:type="dxa"/>
        <w:tblLook w:val="04A0" w:firstRow="1" w:lastRow="0" w:firstColumn="1" w:lastColumn="0" w:noHBand="0" w:noVBand="1"/>
      </w:tblPr>
      <w:tblGrid>
        <w:gridCol w:w="3330"/>
        <w:gridCol w:w="940"/>
        <w:gridCol w:w="946"/>
        <w:gridCol w:w="4242"/>
      </w:tblGrid>
      <w:tr w:rsidR="00854ADA" w:rsidRPr="00FF386D" w14:paraId="0766D468" w14:textId="77777777" w:rsidTr="0057310C">
        <w:trPr>
          <w:trHeight w:val="780"/>
        </w:trPr>
        <w:tc>
          <w:tcPr>
            <w:tcW w:w="3330"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407B4151"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40" w:type="dxa"/>
            <w:tcBorders>
              <w:top w:val="single" w:sz="8" w:space="0" w:color="auto"/>
              <w:left w:val="nil"/>
              <w:bottom w:val="single" w:sz="8" w:space="0" w:color="auto"/>
              <w:right w:val="single" w:sz="8" w:space="0" w:color="auto"/>
            </w:tcBorders>
            <w:shd w:val="clear" w:color="auto" w:fill="E7E6E6" w:themeFill="background2"/>
            <w:vAlign w:val="center"/>
            <w:hideMark/>
          </w:tcPr>
          <w:p w14:paraId="53859C49"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МП_Д24</w:t>
            </w:r>
          </w:p>
        </w:tc>
        <w:tc>
          <w:tcPr>
            <w:tcW w:w="946" w:type="dxa"/>
            <w:tcBorders>
              <w:top w:val="single" w:sz="8" w:space="0" w:color="auto"/>
              <w:left w:val="nil"/>
              <w:bottom w:val="single" w:sz="8" w:space="0" w:color="auto"/>
              <w:right w:val="single" w:sz="8" w:space="0" w:color="auto"/>
            </w:tcBorders>
            <w:shd w:val="clear" w:color="000000" w:fill="244062"/>
            <w:vAlign w:val="center"/>
            <w:hideMark/>
          </w:tcPr>
          <w:p w14:paraId="47C990E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42" w:type="dxa"/>
            <w:tcBorders>
              <w:top w:val="single" w:sz="8" w:space="0" w:color="auto"/>
              <w:left w:val="nil"/>
              <w:bottom w:val="single" w:sz="8" w:space="0" w:color="auto"/>
              <w:right w:val="single" w:sz="8" w:space="0" w:color="auto"/>
            </w:tcBorders>
            <w:shd w:val="clear" w:color="auto" w:fill="E7E6E6" w:themeFill="background2"/>
            <w:vAlign w:val="center"/>
            <w:hideMark/>
          </w:tcPr>
          <w:p w14:paraId="1AC80B51" w14:textId="07BF96C8"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 xml:space="preserve">Ажурирање, поједностављивање и оптимизација поступака </w:t>
            </w:r>
            <w:r w:rsidR="00E5646D" w:rsidRPr="000A2AFE">
              <w:rPr>
                <w:rFonts w:ascii="Calibri Light" w:eastAsia="Times New Roman" w:hAnsi="Calibri Light" w:cs="Calibri Light"/>
                <w:b/>
                <w:bCs/>
                <w:color w:val="000000"/>
                <w:sz w:val="20"/>
                <w:szCs w:val="20"/>
                <w:lang w:eastAsia="en-GB"/>
              </w:rPr>
              <w:t xml:space="preserve">издавања </w:t>
            </w:r>
            <w:r w:rsidR="00AB056A" w:rsidRPr="000A2AFE">
              <w:rPr>
                <w:rFonts w:ascii="Calibri Light" w:eastAsia="Times New Roman" w:hAnsi="Calibri Light" w:cs="Calibri Light"/>
                <w:b/>
                <w:bCs/>
                <w:color w:val="000000"/>
                <w:sz w:val="20"/>
                <w:szCs w:val="20"/>
                <w:lang w:eastAsia="en-GB"/>
              </w:rPr>
              <w:t>одобрења</w:t>
            </w:r>
            <w:r w:rsidRPr="000A2AFE">
              <w:rPr>
                <w:rFonts w:ascii="Calibri Light" w:eastAsia="Times New Roman" w:hAnsi="Calibri Light" w:cs="Calibri Light"/>
                <w:b/>
                <w:bCs/>
                <w:color w:val="000000"/>
                <w:sz w:val="20"/>
                <w:szCs w:val="20"/>
                <w:lang w:eastAsia="en-GB"/>
              </w:rPr>
              <w:t>, сертифика</w:t>
            </w:r>
            <w:r w:rsidR="00E5646D" w:rsidRPr="000A2AFE">
              <w:rPr>
                <w:rFonts w:ascii="Calibri Light" w:eastAsia="Times New Roman" w:hAnsi="Calibri Light" w:cs="Calibri Light"/>
                <w:b/>
                <w:bCs/>
                <w:color w:val="000000"/>
                <w:sz w:val="20"/>
                <w:szCs w:val="20"/>
                <w:lang w:eastAsia="en-GB"/>
              </w:rPr>
              <w:t>та</w:t>
            </w:r>
            <w:r w:rsidRPr="000A2AFE">
              <w:rPr>
                <w:rFonts w:ascii="Calibri Light" w:eastAsia="Times New Roman" w:hAnsi="Calibri Light" w:cs="Calibri Light"/>
                <w:b/>
                <w:bCs/>
                <w:color w:val="000000"/>
                <w:sz w:val="20"/>
                <w:szCs w:val="20"/>
                <w:lang w:eastAsia="en-GB"/>
              </w:rPr>
              <w:t xml:space="preserve">, дозвола и лиценци – </w:t>
            </w:r>
            <w:r w:rsidR="00AB056A" w:rsidRPr="000A2AFE">
              <w:rPr>
                <w:rFonts w:ascii="Calibri Light" w:eastAsia="Times New Roman" w:hAnsi="Calibri Light" w:cs="Calibri Light"/>
                <w:b/>
                <w:bCs/>
                <w:color w:val="000000"/>
                <w:sz w:val="20"/>
                <w:szCs w:val="20"/>
                <w:lang w:eastAsia="en-GB"/>
              </w:rPr>
              <w:t>у</w:t>
            </w:r>
            <w:r w:rsidRPr="000A2AFE">
              <w:rPr>
                <w:rFonts w:ascii="Calibri Light" w:eastAsia="Times New Roman" w:hAnsi="Calibri Light" w:cs="Calibri Light"/>
                <w:b/>
                <w:bCs/>
                <w:color w:val="000000"/>
                <w:sz w:val="20"/>
                <w:szCs w:val="20"/>
                <w:lang w:eastAsia="en-GB"/>
              </w:rPr>
              <w:t>спостављање</w:t>
            </w:r>
            <w:r w:rsidR="00AB056A" w:rsidRPr="000A2AFE">
              <w:rPr>
                <w:rFonts w:ascii="Calibri Light" w:eastAsia="Times New Roman" w:hAnsi="Calibri Light" w:cs="Calibri Light"/>
                <w:b/>
                <w:bCs/>
                <w:color w:val="000000"/>
                <w:sz w:val="20"/>
                <w:szCs w:val="20"/>
                <w:lang w:eastAsia="en-GB"/>
              </w:rPr>
              <w:t xml:space="preserve">м једношалтерског </w:t>
            </w:r>
            <w:r w:rsidRPr="000A2AFE">
              <w:rPr>
                <w:rFonts w:ascii="Calibri Light" w:eastAsia="Times New Roman" w:hAnsi="Calibri Light" w:cs="Calibri Light"/>
                <w:b/>
                <w:bCs/>
                <w:color w:val="000000"/>
                <w:sz w:val="20"/>
                <w:szCs w:val="20"/>
                <w:lang w:eastAsia="en-GB"/>
              </w:rPr>
              <w:t>система (one-stop-shop)</w:t>
            </w:r>
          </w:p>
        </w:tc>
      </w:tr>
      <w:tr w:rsidR="00854ADA" w:rsidRPr="00FF386D" w14:paraId="31BA9D0F" w14:textId="77777777" w:rsidTr="0057310C">
        <w:trPr>
          <w:trHeight w:val="247"/>
        </w:trPr>
        <w:tc>
          <w:tcPr>
            <w:tcW w:w="3330" w:type="dxa"/>
            <w:tcBorders>
              <w:top w:val="nil"/>
              <w:left w:val="single" w:sz="8" w:space="0" w:color="auto"/>
              <w:bottom w:val="single" w:sz="8" w:space="0" w:color="auto"/>
              <w:right w:val="nil"/>
            </w:tcBorders>
            <w:shd w:val="clear" w:color="000000" w:fill="244062"/>
            <w:vAlign w:val="center"/>
            <w:hideMark/>
          </w:tcPr>
          <w:p w14:paraId="0EEF532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0E56C46F"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Повећање удела ОИЕ у производњи електричне енергије</w:t>
            </w:r>
          </w:p>
        </w:tc>
      </w:tr>
      <w:tr w:rsidR="00854ADA" w:rsidRPr="00FF386D" w14:paraId="0A0D98B8"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5F280DE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1EAA65BC" w14:textId="62387AFF" w:rsidR="00854ADA" w:rsidRPr="00FF386D" w:rsidRDefault="00854ADA" w:rsidP="00854ADA">
            <w:pPr>
              <w:spacing w:after="0" w:line="240" w:lineRule="auto"/>
              <w:rPr>
                <w:rFonts w:ascii="Calibri" w:eastAsia="Times New Roman" w:hAnsi="Calibri" w:cs="Calibr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Допринос </w:t>
            </w:r>
            <w:r w:rsidR="00FB33C5" w:rsidRPr="00FB33C5">
              <w:rPr>
                <w:rFonts w:asciiTheme="majorHAnsi" w:eastAsia="Times New Roman" w:hAnsiTheme="majorHAnsi" w:cstheme="majorHAnsi"/>
                <w:color w:val="000000"/>
                <w:sz w:val="20"/>
                <w:szCs w:val="20"/>
                <w:lang w:eastAsia="en-GB"/>
              </w:rPr>
              <w:t>очекиваном уделу ОИЕ у производњи електричне енергије</w:t>
            </w:r>
          </w:p>
        </w:tc>
      </w:tr>
      <w:tr w:rsidR="00854ADA" w:rsidRPr="00FF386D" w14:paraId="1A56F4F7" w14:textId="77777777" w:rsidTr="00565B02">
        <w:trPr>
          <w:trHeight w:val="1112"/>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46A87FE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493F3EBF" w14:textId="6BBA02D9"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МП_Д24 ће </w:t>
            </w:r>
            <w:r w:rsidR="00940D1E" w:rsidRPr="000A2AFE">
              <w:rPr>
                <w:rFonts w:ascii="Calibri Light" w:eastAsia="Times New Roman" w:hAnsi="Calibri Light" w:cs="Calibri Light"/>
                <w:color w:val="000000"/>
                <w:sz w:val="20"/>
                <w:szCs w:val="20"/>
                <w:lang w:eastAsia="en-GB"/>
              </w:rPr>
              <w:t>разм</w:t>
            </w:r>
            <w:r w:rsidR="00383179" w:rsidRPr="000A2AFE">
              <w:rPr>
                <w:rFonts w:ascii="Calibri Light" w:eastAsia="Times New Roman" w:hAnsi="Calibri Light" w:cs="Calibri Light"/>
                <w:color w:val="000000"/>
                <w:sz w:val="20"/>
                <w:szCs w:val="20"/>
                <w:lang w:eastAsia="en-GB"/>
              </w:rPr>
              <w:t>отрити</w:t>
            </w:r>
            <w:r w:rsidR="00940D1E"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ажурира</w:t>
            </w:r>
            <w:r w:rsidR="00940D1E" w:rsidRPr="000A2AFE">
              <w:rPr>
                <w:rFonts w:ascii="Calibri Light" w:eastAsia="Times New Roman" w:hAnsi="Calibri Light" w:cs="Calibri Light"/>
                <w:color w:val="000000"/>
                <w:sz w:val="20"/>
                <w:szCs w:val="20"/>
                <w:lang w:eastAsia="en-GB"/>
              </w:rPr>
              <w:t>ње</w:t>
            </w:r>
            <w:r w:rsidRPr="000A2AFE">
              <w:rPr>
                <w:rFonts w:ascii="Calibri Light" w:eastAsia="Times New Roman" w:hAnsi="Calibri Light" w:cs="Calibri Light"/>
                <w:color w:val="000000"/>
                <w:sz w:val="20"/>
                <w:szCs w:val="20"/>
                <w:lang w:eastAsia="en-GB"/>
              </w:rPr>
              <w:t>, поједностав</w:t>
            </w:r>
            <w:r w:rsidR="00940D1E" w:rsidRPr="000A2AFE">
              <w:rPr>
                <w:rFonts w:ascii="Calibri Light" w:eastAsia="Times New Roman" w:hAnsi="Calibri Light" w:cs="Calibri Light"/>
                <w:color w:val="000000"/>
                <w:sz w:val="20"/>
                <w:szCs w:val="20"/>
                <w:lang w:eastAsia="en-GB"/>
              </w:rPr>
              <w:t>љивање</w:t>
            </w:r>
            <w:r w:rsidRPr="000A2AFE">
              <w:rPr>
                <w:rFonts w:ascii="Calibri Light" w:eastAsia="Times New Roman" w:hAnsi="Calibri Light" w:cs="Calibri Light"/>
                <w:color w:val="000000"/>
                <w:sz w:val="20"/>
                <w:szCs w:val="20"/>
                <w:lang w:eastAsia="en-GB"/>
              </w:rPr>
              <w:t xml:space="preserve"> и оптимиз</w:t>
            </w:r>
            <w:r w:rsidR="00940D1E" w:rsidRPr="000A2AFE">
              <w:rPr>
                <w:rFonts w:ascii="Calibri Light" w:eastAsia="Times New Roman" w:hAnsi="Calibri Light" w:cs="Calibri Light"/>
                <w:color w:val="000000"/>
                <w:sz w:val="20"/>
                <w:szCs w:val="20"/>
                <w:lang w:eastAsia="en-GB"/>
              </w:rPr>
              <w:t>ацију</w:t>
            </w:r>
            <w:r w:rsidRPr="000A2AFE">
              <w:rPr>
                <w:rFonts w:ascii="Calibri Light" w:eastAsia="Times New Roman" w:hAnsi="Calibri Light" w:cs="Calibri Light"/>
                <w:color w:val="000000"/>
                <w:sz w:val="20"/>
                <w:szCs w:val="20"/>
                <w:lang w:eastAsia="en-GB"/>
              </w:rPr>
              <w:t xml:space="preserve"> постојећ</w:t>
            </w:r>
            <w:r w:rsidR="00940D1E" w:rsidRPr="000A2AFE">
              <w:rPr>
                <w:rFonts w:ascii="Calibri Light" w:eastAsia="Times New Roman" w:hAnsi="Calibri Light" w:cs="Calibri Light"/>
                <w:color w:val="000000"/>
                <w:sz w:val="20"/>
                <w:szCs w:val="20"/>
                <w:lang w:eastAsia="en-GB"/>
              </w:rPr>
              <w:t>их</w:t>
            </w:r>
            <w:r w:rsidRPr="000A2AFE">
              <w:rPr>
                <w:rFonts w:ascii="Calibri Light" w:eastAsia="Times New Roman" w:hAnsi="Calibri Light" w:cs="Calibri Light"/>
                <w:color w:val="000000"/>
                <w:sz w:val="20"/>
                <w:szCs w:val="20"/>
                <w:lang w:eastAsia="en-GB"/>
              </w:rPr>
              <w:t xml:space="preserve"> поступ</w:t>
            </w:r>
            <w:r w:rsidR="00940D1E" w:rsidRPr="000A2AFE">
              <w:rPr>
                <w:rFonts w:ascii="Calibri Light" w:eastAsia="Times New Roman" w:hAnsi="Calibri Light" w:cs="Calibri Light"/>
                <w:color w:val="000000"/>
                <w:sz w:val="20"/>
                <w:szCs w:val="20"/>
                <w:lang w:eastAsia="en-GB"/>
              </w:rPr>
              <w:t xml:space="preserve">ака </w:t>
            </w:r>
            <w:r w:rsidR="00C611EF" w:rsidRPr="000A2AFE">
              <w:rPr>
                <w:rFonts w:ascii="Calibri Light" w:eastAsia="Times New Roman" w:hAnsi="Calibri Light" w:cs="Calibri Light"/>
                <w:color w:val="000000"/>
                <w:sz w:val="20"/>
                <w:szCs w:val="20"/>
                <w:lang w:eastAsia="en-GB"/>
              </w:rPr>
              <w:t xml:space="preserve">издавања </w:t>
            </w:r>
            <w:r w:rsidR="00940D1E" w:rsidRPr="000A2AFE">
              <w:rPr>
                <w:rFonts w:ascii="Calibri Light" w:eastAsia="Times New Roman" w:hAnsi="Calibri Light" w:cs="Calibri Light"/>
                <w:color w:val="000000"/>
                <w:sz w:val="20"/>
                <w:szCs w:val="20"/>
                <w:lang w:eastAsia="en-GB"/>
              </w:rPr>
              <w:t>одобрења,</w:t>
            </w:r>
            <w:r w:rsidRPr="000A2AFE">
              <w:rPr>
                <w:rFonts w:ascii="Calibri Light" w:eastAsia="Times New Roman" w:hAnsi="Calibri Light" w:cs="Calibri Light"/>
                <w:color w:val="000000"/>
                <w:sz w:val="20"/>
                <w:szCs w:val="20"/>
                <w:lang w:eastAsia="en-GB"/>
              </w:rPr>
              <w:t xml:space="preserve"> сертифика</w:t>
            </w:r>
            <w:r w:rsidR="00C611EF" w:rsidRPr="000A2AFE">
              <w:rPr>
                <w:rFonts w:ascii="Calibri Light" w:eastAsia="Times New Roman" w:hAnsi="Calibri Light" w:cs="Calibri Light"/>
                <w:color w:val="000000"/>
                <w:sz w:val="20"/>
                <w:szCs w:val="20"/>
                <w:lang w:eastAsia="en-GB"/>
              </w:rPr>
              <w:t>та,</w:t>
            </w:r>
            <w:r w:rsidRPr="000A2AFE">
              <w:rPr>
                <w:rFonts w:ascii="Calibri Light" w:eastAsia="Times New Roman" w:hAnsi="Calibri Light" w:cs="Calibri Light"/>
                <w:color w:val="000000"/>
                <w:sz w:val="20"/>
                <w:szCs w:val="20"/>
                <w:lang w:eastAsia="en-GB"/>
              </w:rPr>
              <w:t xml:space="preserve"> дозвола и лиценц</w:t>
            </w:r>
            <w:r w:rsidR="00940D1E" w:rsidRPr="000A2AFE">
              <w:rPr>
                <w:rFonts w:ascii="Calibri Light" w:eastAsia="Times New Roman" w:hAnsi="Calibri Light" w:cs="Calibri Light"/>
                <w:color w:val="000000"/>
                <w:sz w:val="20"/>
                <w:szCs w:val="20"/>
                <w:lang w:eastAsia="en-GB"/>
              </w:rPr>
              <w:t>и</w:t>
            </w:r>
            <w:r w:rsidR="00506688" w:rsidRPr="000A2AFE">
              <w:rPr>
                <w:rFonts w:ascii="Calibri Light" w:eastAsia="Times New Roman" w:hAnsi="Calibri Light" w:cs="Calibri Light"/>
                <w:color w:val="000000"/>
                <w:sz w:val="20"/>
                <w:szCs w:val="20"/>
                <w:lang w:eastAsia="en-GB"/>
              </w:rPr>
              <w:t xml:space="preserve">, </w:t>
            </w:r>
            <w:r w:rsidR="00C611EF" w:rsidRPr="000A2AFE">
              <w:rPr>
                <w:rFonts w:ascii="Calibri Light" w:eastAsia="Times New Roman" w:hAnsi="Calibri Light" w:cs="Calibri Light"/>
                <w:color w:val="000000"/>
                <w:sz w:val="20"/>
                <w:szCs w:val="20"/>
                <w:lang w:eastAsia="en-GB"/>
              </w:rPr>
              <w:t xml:space="preserve">како би </w:t>
            </w:r>
            <w:r w:rsidR="00383179" w:rsidRPr="000A2AFE">
              <w:rPr>
                <w:rFonts w:ascii="Calibri Light" w:eastAsia="Times New Roman" w:hAnsi="Calibri Light" w:cs="Calibri Light"/>
                <w:color w:val="000000"/>
                <w:sz w:val="20"/>
                <w:szCs w:val="20"/>
                <w:lang w:eastAsia="en-GB"/>
              </w:rPr>
              <w:t>се</w:t>
            </w:r>
            <w:r w:rsidR="00C611EF" w:rsidRPr="000A2AFE">
              <w:rPr>
                <w:rFonts w:ascii="Calibri Light" w:eastAsia="Times New Roman" w:hAnsi="Calibri Light" w:cs="Calibri Light"/>
                <w:color w:val="000000"/>
                <w:sz w:val="20"/>
                <w:szCs w:val="20"/>
                <w:lang w:eastAsia="en-GB"/>
              </w:rPr>
              <w:t xml:space="preserve"> </w:t>
            </w:r>
            <w:r w:rsidR="00506688" w:rsidRPr="000A2AFE">
              <w:rPr>
                <w:rFonts w:ascii="Calibri Light" w:eastAsia="Times New Roman" w:hAnsi="Calibri Light" w:cs="Calibri Light"/>
                <w:color w:val="000000"/>
                <w:sz w:val="20"/>
                <w:szCs w:val="20"/>
                <w:lang w:eastAsia="en-GB"/>
              </w:rPr>
              <w:t>учинили</w:t>
            </w:r>
            <w:r w:rsidRPr="000A2AFE">
              <w:rPr>
                <w:rFonts w:ascii="Calibri Light" w:eastAsia="Times New Roman" w:hAnsi="Calibri Light" w:cs="Calibri Light"/>
                <w:color w:val="000000"/>
                <w:sz w:val="20"/>
                <w:szCs w:val="20"/>
                <w:lang w:eastAsia="en-GB"/>
              </w:rPr>
              <w:t xml:space="preserve"> оперативнији</w:t>
            </w:r>
            <w:r w:rsidR="00506688" w:rsidRPr="000A2AFE">
              <w:rPr>
                <w:rFonts w:ascii="Calibri Light" w:eastAsia="Times New Roman" w:hAnsi="Calibri Light" w:cs="Calibri Light"/>
                <w:color w:val="000000"/>
                <w:sz w:val="20"/>
                <w:szCs w:val="20"/>
                <w:lang w:eastAsia="en-GB"/>
              </w:rPr>
              <w:t>м, што би</w:t>
            </w:r>
            <w:r w:rsidRPr="000A2AFE">
              <w:rPr>
                <w:rFonts w:ascii="Calibri Light" w:eastAsia="Times New Roman" w:hAnsi="Calibri Light" w:cs="Calibri Light"/>
                <w:color w:val="000000"/>
                <w:sz w:val="20"/>
                <w:szCs w:val="20"/>
                <w:lang w:eastAsia="en-GB"/>
              </w:rPr>
              <w:t xml:space="preserve"> довел</w:t>
            </w:r>
            <w:r w:rsidR="004A1D4C" w:rsidRPr="000A2AFE">
              <w:rPr>
                <w:rFonts w:ascii="Calibri Light" w:eastAsia="Times New Roman" w:hAnsi="Calibri Light" w:cs="Calibri Light"/>
                <w:color w:val="000000"/>
                <w:sz w:val="20"/>
                <w:szCs w:val="20"/>
                <w:lang w:eastAsia="en-GB"/>
              </w:rPr>
              <w:t>о</w:t>
            </w:r>
            <w:r w:rsidRPr="000A2AFE">
              <w:rPr>
                <w:rFonts w:ascii="Calibri Light" w:eastAsia="Times New Roman" w:hAnsi="Calibri Light" w:cs="Calibri Light"/>
                <w:color w:val="000000"/>
                <w:sz w:val="20"/>
                <w:szCs w:val="20"/>
                <w:lang w:eastAsia="en-GB"/>
              </w:rPr>
              <w:t xml:space="preserve"> до </w:t>
            </w:r>
            <w:r w:rsidR="00506688" w:rsidRPr="000A2AFE">
              <w:rPr>
                <w:rFonts w:ascii="Calibri Light" w:eastAsia="Times New Roman" w:hAnsi="Calibri Light" w:cs="Calibri Light"/>
                <w:color w:val="000000"/>
                <w:sz w:val="20"/>
                <w:szCs w:val="20"/>
                <w:lang w:eastAsia="en-GB"/>
              </w:rPr>
              <w:t>имплементације потребних</w:t>
            </w:r>
            <w:r w:rsidRPr="000A2AFE">
              <w:rPr>
                <w:rFonts w:ascii="Calibri Light" w:eastAsia="Times New Roman" w:hAnsi="Calibri Light" w:cs="Calibri Light"/>
                <w:color w:val="000000"/>
                <w:sz w:val="20"/>
                <w:szCs w:val="20"/>
                <w:lang w:eastAsia="en-GB"/>
              </w:rPr>
              <w:t xml:space="preserve"> постројења </w:t>
            </w:r>
            <w:r w:rsidR="00940D1E" w:rsidRPr="000A2AFE">
              <w:rPr>
                <w:rFonts w:ascii="Calibri Light" w:eastAsia="Times New Roman" w:hAnsi="Calibri Light" w:cs="Calibri Light"/>
                <w:color w:val="000000"/>
                <w:sz w:val="20"/>
                <w:szCs w:val="20"/>
                <w:lang w:eastAsia="en-GB"/>
              </w:rPr>
              <w:t xml:space="preserve">за </w:t>
            </w:r>
            <w:r w:rsidRPr="000A2AFE">
              <w:rPr>
                <w:rFonts w:ascii="Calibri Light" w:eastAsia="Times New Roman" w:hAnsi="Calibri Light" w:cs="Calibri Light"/>
                <w:color w:val="000000"/>
                <w:sz w:val="20"/>
                <w:szCs w:val="20"/>
                <w:lang w:eastAsia="en-GB"/>
              </w:rPr>
              <w:t xml:space="preserve">обновљиве изворе енергије </w:t>
            </w:r>
            <w:r w:rsidR="00940D1E" w:rsidRPr="000A2AFE">
              <w:rPr>
                <w:rFonts w:ascii="Calibri Light" w:eastAsia="Times New Roman" w:hAnsi="Calibri Light" w:cs="Calibri Light"/>
                <w:color w:val="000000"/>
                <w:sz w:val="20"/>
                <w:szCs w:val="20"/>
                <w:lang w:eastAsia="en-GB"/>
              </w:rPr>
              <w:t>и</w:t>
            </w:r>
            <w:r w:rsidRPr="000A2AFE">
              <w:rPr>
                <w:rFonts w:ascii="Calibri Light" w:eastAsia="Times New Roman" w:hAnsi="Calibri Light" w:cs="Calibri Light"/>
                <w:color w:val="000000"/>
                <w:sz w:val="20"/>
                <w:szCs w:val="20"/>
                <w:lang w:eastAsia="en-GB"/>
              </w:rPr>
              <w:t xml:space="preserve"> остварења националног циља</w:t>
            </w:r>
            <w:r w:rsidR="00FB33C5" w:rsidRPr="00FB33C5">
              <w:rPr>
                <w:rFonts w:ascii="Calibri Light" w:eastAsia="Times New Roman" w:hAnsi="Calibri Light" w:cs="Calibri Light"/>
                <w:color w:val="000000"/>
                <w:sz w:val="20"/>
                <w:szCs w:val="20"/>
                <w:lang w:eastAsia="en-GB"/>
              </w:rPr>
              <w:t>, активног учешћа јавности, ефикасне заштите јавних интереса, несметане интеграције у мреже и веће друштвене прихватљивости</w:t>
            </w:r>
            <w:r w:rsidRPr="000A2AFE">
              <w:rPr>
                <w:rFonts w:ascii="Calibri Light" w:eastAsia="Times New Roman" w:hAnsi="Calibri Light" w:cs="Calibri Light"/>
                <w:color w:val="000000"/>
                <w:sz w:val="20"/>
                <w:szCs w:val="20"/>
                <w:lang w:eastAsia="en-GB"/>
              </w:rPr>
              <w:t xml:space="preserve">. </w:t>
            </w:r>
            <w:r w:rsidR="00C611EF" w:rsidRPr="000A2AFE">
              <w:rPr>
                <w:rFonts w:ascii="Calibri Light" w:eastAsia="Times New Roman" w:hAnsi="Calibri Light" w:cs="Calibri Light"/>
                <w:color w:val="000000"/>
                <w:sz w:val="20"/>
                <w:szCs w:val="20"/>
                <w:lang w:eastAsia="en-GB"/>
              </w:rPr>
              <w:t>Поред</w:t>
            </w:r>
            <w:r w:rsidRPr="000A2AFE">
              <w:rPr>
                <w:rFonts w:ascii="Calibri Light" w:eastAsia="Times New Roman" w:hAnsi="Calibri Light" w:cs="Calibri Light"/>
                <w:color w:val="000000"/>
                <w:sz w:val="20"/>
                <w:szCs w:val="20"/>
                <w:lang w:eastAsia="en-GB"/>
              </w:rPr>
              <w:t xml:space="preserve"> тога, различити пословни, еколошки и друштвени параметри ће бити комбиновани и интегрисани у прав</w:t>
            </w:r>
            <w:r w:rsidR="00940D1E" w:rsidRPr="000A2AFE">
              <w:rPr>
                <w:rFonts w:ascii="Calibri Light" w:eastAsia="Times New Roman" w:hAnsi="Calibri Light" w:cs="Calibri Light"/>
                <w:color w:val="000000"/>
                <w:sz w:val="20"/>
                <w:szCs w:val="20"/>
                <w:lang w:eastAsia="en-GB"/>
              </w:rPr>
              <w:t>едан</w:t>
            </w:r>
            <w:r w:rsidRPr="000A2AFE">
              <w:rPr>
                <w:rFonts w:ascii="Calibri Light" w:eastAsia="Times New Roman" w:hAnsi="Calibri Light" w:cs="Calibri Light"/>
                <w:color w:val="000000"/>
                <w:sz w:val="20"/>
                <w:szCs w:val="20"/>
                <w:lang w:eastAsia="en-GB"/>
              </w:rPr>
              <w:t xml:space="preserve"> и транспарентан оквир. Главни циљ мере јесте да се убрза завршетак и комерцијализација планираних инвестиција и створе поуздани услови за потенцијалне инвеститоре </w:t>
            </w:r>
            <w:r w:rsidR="00C611EF" w:rsidRPr="000A2AFE">
              <w:rPr>
                <w:rFonts w:ascii="Calibri Light" w:eastAsia="Times New Roman" w:hAnsi="Calibri Light" w:cs="Calibri Light"/>
                <w:color w:val="000000"/>
                <w:sz w:val="20"/>
                <w:szCs w:val="20"/>
                <w:lang w:eastAsia="en-GB"/>
              </w:rPr>
              <w:t>у циљу</w:t>
            </w:r>
            <w:r w:rsidRPr="000A2AFE">
              <w:rPr>
                <w:rFonts w:ascii="Calibri Light" w:eastAsia="Times New Roman" w:hAnsi="Calibri Light" w:cs="Calibri Light"/>
                <w:color w:val="000000"/>
                <w:sz w:val="20"/>
                <w:szCs w:val="20"/>
                <w:lang w:eastAsia="en-GB"/>
              </w:rPr>
              <w:t xml:space="preserve"> мобили</w:t>
            </w:r>
            <w:r w:rsidR="00C611EF" w:rsidRPr="000A2AFE">
              <w:rPr>
                <w:rFonts w:ascii="Calibri Light" w:eastAsia="Times New Roman" w:hAnsi="Calibri Light" w:cs="Calibri Light"/>
                <w:color w:val="000000"/>
                <w:sz w:val="20"/>
                <w:szCs w:val="20"/>
                <w:lang w:eastAsia="en-GB"/>
              </w:rPr>
              <w:t>зације</w:t>
            </w:r>
            <w:r w:rsidRPr="000A2AFE">
              <w:rPr>
                <w:rFonts w:ascii="Calibri Light" w:eastAsia="Times New Roman" w:hAnsi="Calibri Light" w:cs="Calibri Light"/>
                <w:color w:val="000000"/>
                <w:sz w:val="20"/>
                <w:szCs w:val="20"/>
                <w:lang w:eastAsia="en-GB"/>
              </w:rPr>
              <w:t xml:space="preserve"> нових улагања. Коначно, размотриће се потенцијално успостављање </w:t>
            </w:r>
            <w:r w:rsidR="00940D1E" w:rsidRPr="000A2AFE">
              <w:rPr>
                <w:rFonts w:ascii="Calibri Light" w:eastAsia="Times New Roman" w:hAnsi="Calibri Light" w:cs="Calibri Light"/>
                <w:color w:val="000000"/>
                <w:sz w:val="20"/>
                <w:szCs w:val="20"/>
                <w:lang w:eastAsia="en-GB"/>
              </w:rPr>
              <w:t>једношалтерског система</w:t>
            </w:r>
            <w:r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lastRenderedPageBreak/>
              <w:t>(</w:t>
            </w:r>
            <w:r w:rsidR="00940D1E" w:rsidRPr="000A2AFE">
              <w:rPr>
                <w:rFonts w:ascii="Calibri Light" w:eastAsia="Times New Roman" w:hAnsi="Calibri Light" w:cs="Calibri Light"/>
                <w:color w:val="000000"/>
                <w:sz w:val="20"/>
                <w:szCs w:val="20"/>
                <w:lang w:eastAsia="en-GB"/>
              </w:rPr>
              <w:t xml:space="preserve">енг. </w:t>
            </w:r>
            <w:r w:rsidRPr="000A2AFE">
              <w:rPr>
                <w:rFonts w:ascii="Calibri Light" w:eastAsia="Times New Roman" w:hAnsi="Calibri Light" w:cs="Calibri Light"/>
                <w:color w:val="000000"/>
                <w:sz w:val="20"/>
                <w:szCs w:val="20"/>
                <w:lang w:eastAsia="en-GB"/>
              </w:rPr>
              <w:t xml:space="preserve">one-stop-shop) како би се заинтересованим инвеститорима пружиле потребне информације и техничке смернице, </w:t>
            </w:r>
            <w:r w:rsidR="00940D1E" w:rsidRPr="000A2AFE">
              <w:rPr>
                <w:rFonts w:ascii="Calibri Light" w:eastAsia="Times New Roman" w:hAnsi="Calibri Light" w:cs="Calibri Light"/>
                <w:color w:val="000000"/>
                <w:sz w:val="20"/>
                <w:szCs w:val="20"/>
                <w:lang w:eastAsia="en-GB"/>
              </w:rPr>
              <w:t xml:space="preserve">и тако </w:t>
            </w:r>
            <w:r w:rsidRPr="000A2AFE">
              <w:rPr>
                <w:rFonts w:ascii="Calibri Light" w:eastAsia="Times New Roman" w:hAnsi="Calibri Light" w:cs="Calibri Light"/>
                <w:color w:val="000000"/>
                <w:sz w:val="20"/>
                <w:szCs w:val="20"/>
                <w:lang w:eastAsia="en-GB"/>
              </w:rPr>
              <w:t>олакшала реализација планираних инвестиција</w:t>
            </w:r>
            <w:r w:rsidR="00FB33C5">
              <w:rPr>
                <w:rFonts w:ascii="Calibri Light" w:eastAsia="Times New Roman" w:hAnsi="Calibri Light" w:cs="Calibri Light"/>
                <w:color w:val="000000"/>
                <w:sz w:val="20"/>
                <w:szCs w:val="20"/>
                <w:lang w:val="sr-Latn-RS" w:eastAsia="en-GB"/>
              </w:rPr>
              <w:t xml:space="preserve"> </w:t>
            </w:r>
            <w:r w:rsidR="00FB33C5" w:rsidRPr="00FB33C5">
              <w:rPr>
                <w:rFonts w:ascii="Calibri Light" w:eastAsia="Times New Roman" w:hAnsi="Calibri Light" w:cs="Calibri Light"/>
                <w:color w:val="000000"/>
                <w:sz w:val="20"/>
                <w:szCs w:val="20"/>
                <w:lang w:eastAsia="en-GB"/>
              </w:rPr>
              <w:t xml:space="preserve">(сходно члану 16 или </w:t>
            </w:r>
            <w:r w:rsidR="00FB33C5" w:rsidRPr="000A2AFE">
              <w:rPr>
                <w:rFonts w:ascii="Calibri Light" w:eastAsia="Times New Roman" w:hAnsi="Calibri Light" w:cs="Calibri Light"/>
                <w:i/>
                <w:iCs/>
                <w:color w:val="000000"/>
                <w:sz w:val="20"/>
                <w:szCs w:val="20"/>
                <w:lang w:eastAsia="en-GB"/>
              </w:rPr>
              <w:t>RED II</w:t>
            </w:r>
            <w:r w:rsidR="00FB33C5" w:rsidRPr="00FB33C5">
              <w:rPr>
                <w:rFonts w:ascii="Calibri Light" w:eastAsia="Times New Roman" w:hAnsi="Calibri Light" w:cs="Calibri Light"/>
                <w:color w:val="000000"/>
                <w:sz w:val="20"/>
                <w:szCs w:val="20"/>
                <w:lang w:eastAsia="en-GB"/>
              </w:rPr>
              <w:t>)</w:t>
            </w:r>
            <w:r w:rsidRPr="000A2AFE">
              <w:rPr>
                <w:rFonts w:ascii="Calibri Light" w:eastAsia="Times New Roman" w:hAnsi="Calibri Light" w:cs="Calibri Light"/>
                <w:color w:val="000000"/>
                <w:sz w:val="20"/>
                <w:szCs w:val="20"/>
                <w:lang w:eastAsia="en-GB"/>
              </w:rPr>
              <w:t>.</w:t>
            </w:r>
          </w:p>
        </w:tc>
      </w:tr>
      <w:tr w:rsidR="00854ADA" w:rsidRPr="00FF386D" w14:paraId="223C9BF5"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1500577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Временски оквир имплементације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49281864" w14:textId="5A0C1F1D"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AB056A"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w:t>
            </w:r>
            <w:r w:rsidR="00EB4721">
              <w:rPr>
                <w:rFonts w:ascii="Calibri Light" w:eastAsia="Times New Roman" w:hAnsi="Calibri Light" w:cs="Calibri Light"/>
                <w:color w:val="000000"/>
                <w:sz w:val="20"/>
                <w:szCs w:val="20"/>
                <w:lang w:eastAsia="en-GB"/>
              </w:rPr>
              <w:t>26</w:t>
            </w:r>
            <w:r w:rsidRPr="000A2AFE">
              <w:rPr>
                <w:rFonts w:ascii="Calibri Light" w:eastAsia="Times New Roman" w:hAnsi="Calibri Light" w:cs="Calibri Light"/>
                <w:color w:val="000000"/>
                <w:sz w:val="20"/>
                <w:szCs w:val="20"/>
                <w:lang w:eastAsia="en-GB"/>
              </w:rPr>
              <w:t>.</w:t>
            </w:r>
          </w:p>
        </w:tc>
      </w:tr>
      <w:tr w:rsidR="00854ADA" w:rsidRPr="00FF386D" w14:paraId="60B83FBF"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0A37C18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18070785"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Реформа</w:t>
            </w:r>
          </w:p>
        </w:tc>
      </w:tr>
      <w:tr w:rsidR="00854ADA" w:rsidRPr="00FF386D" w14:paraId="4E80F6DD"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177278B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1D8D3D9A"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Електроенергетика</w:t>
            </w:r>
          </w:p>
        </w:tc>
      </w:tr>
      <w:tr w:rsidR="00854ADA" w:rsidRPr="00FF386D" w14:paraId="6F2D3F25"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448B65C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647AEB4A"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рударства и енергетике</w:t>
            </w:r>
          </w:p>
          <w:p w14:paraId="32CCA045" w14:textId="33A06B1D" w:rsidR="00AB056A" w:rsidRPr="00FF386D" w:rsidRDefault="00AB056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грађевинарства, саобраћаја и инфраструктуре</w:t>
            </w:r>
          </w:p>
        </w:tc>
      </w:tr>
      <w:tr w:rsidR="00854ADA" w:rsidRPr="00FF386D" w14:paraId="6AD9AFF2" w14:textId="77777777" w:rsidTr="0057310C">
        <w:trPr>
          <w:trHeight w:val="315"/>
        </w:trPr>
        <w:tc>
          <w:tcPr>
            <w:tcW w:w="3330" w:type="dxa"/>
            <w:tcBorders>
              <w:top w:val="nil"/>
              <w:left w:val="single" w:sz="8" w:space="0" w:color="auto"/>
              <w:bottom w:val="single" w:sz="8" w:space="0" w:color="auto"/>
              <w:right w:val="nil"/>
            </w:tcBorders>
            <w:shd w:val="clear" w:color="000000" w:fill="244062"/>
            <w:vAlign w:val="center"/>
            <w:hideMark/>
          </w:tcPr>
          <w:p w14:paraId="35DC649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630C5304" w14:textId="0FC04E92" w:rsidR="00854ADA" w:rsidRPr="000A2AFE" w:rsidRDefault="00EB4721" w:rsidP="000A2AFE">
            <w:pPr>
              <w:pStyle w:val="ListParagraph"/>
              <w:numPr>
                <w:ilvl w:val="0"/>
                <w:numId w:val="329"/>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55F24189" w14:textId="77777777" w:rsidTr="0057310C">
        <w:trPr>
          <w:trHeight w:val="315"/>
        </w:trPr>
        <w:tc>
          <w:tcPr>
            <w:tcW w:w="3330" w:type="dxa"/>
            <w:tcBorders>
              <w:top w:val="nil"/>
              <w:left w:val="single" w:sz="8" w:space="0" w:color="auto"/>
              <w:bottom w:val="single" w:sz="8" w:space="0" w:color="auto"/>
              <w:right w:val="nil"/>
            </w:tcBorders>
            <w:shd w:val="clear" w:color="000000" w:fill="244062"/>
            <w:vAlign w:val="center"/>
            <w:hideMark/>
          </w:tcPr>
          <w:p w14:paraId="3C3FBB8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740A9B3C" w14:textId="77777777" w:rsidR="00854ADA" w:rsidRPr="000A2AFE" w:rsidRDefault="00854ADA" w:rsidP="000A2AFE">
            <w:pPr>
              <w:pStyle w:val="ListParagraph"/>
              <w:numPr>
                <w:ilvl w:val="0"/>
                <w:numId w:val="329"/>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Развијен законодавни и регулативни оквир</w:t>
            </w:r>
          </w:p>
        </w:tc>
      </w:tr>
      <w:tr w:rsidR="00854ADA" w:rsidRPr="00FF386D" w14:paraId="2B01A15C" w14:textId="77777777" w:rsidTr="0057310C">
        <w:trPr>
          <w:trHeight w:val="433"/>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49C8FE9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tcPr>
          <w:p w14:paraId="26660F2A" w14:textId="24F94179" w:rsidR="00EB4721" w:rsidRPr="00EB4721" w:rsidRDefault="00EB4721" w:rsidP="00EB4721">
            <w:pPr>
              <w:numPr>
                <w:ilvl w:val="0"/>
                <w:numId w:val="114"/>
              </w:numPr>
              <w:spacing w:after="0" w:line="240" w:lineRule="auto"/>
              <w:rPr>
                <w:rFonts w:ascii="Calibri Light" w:eastAsia="Times New Roman" w:hAnsi="Calibri Light" w:cs="Calibri Light"/>
                <w:color w:val="000000"/>
                <w:sz w:val="20"/>
                <w:szCs w:val="20"/>
                <w:lang w:eastAsia="en-GB"/>
              </w:rPr>
            </w:pPr>
            <w:r w:rsidRPr="00EB4721">
              <w:rPr>
                <w:rFonts w:ascii="Calibri Light" w:eastAsia="Times New Roman" w:hAnsi="Calibri Light" w:cs="Calibri Light"/>
                <w:color w:val="000000"/>
                <w:sz w:val="20"/>
                <w:szCs w:val="20"/>
                <w:lang w:eastAsia="en-GB"/>
              </w:rPr>
              <w:t>Енергетска ефикасност (промовисане технологије ОИЕ ће довести и до уштеде примарне енергије доприносећи постизању релевантних циљева)</w:t>
            </w:r>
          </w:p>
          <w:p w14:paraId="3EDC7858" w14:textId="3460963A" w:rsidR="00854ADA" w:rsidRPr="000A2AFE" w:rsidRDefault="00EB4721"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854ADA" w:rsidRPr="00FF386D" w14:paraId="71723B80" w14:textId="77777777" w:rsidTr="0057310C">
        <w:trPr>
          <w:trHeight w:val="450"/>
        </w:trPr>
        <w:tc>
          <w:tcPr>
            <w:tcW w:w="3330"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789814A5" w14:textId="3676DBDE"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28"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7D5CF00E"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2018/2001/ЕУ</w:t>
            </w:r>
          </w:p>
        </w:tc>
      </w:tr>
      <w:tr w:rsidR="00854ADA" w:rsidRPr="00FF386D" w14:paraId="46181E7F" w14:textId="77777777" w:rsidTr="0057310C">
        <w:trPr>
          <w:trHeight w:val="450"/>
        </w:trPr>
        <w:tc>
          <w:tcPr>
            <w:tcW w:w="3330" w:type="dxa"/>
            <w:vMerge/>
            <w:tcBorders>
              <w:top w:val="nil"/>
              <w:left w:val="single" w:sz="8" w:space="0" w:color="auto"/>
              <w:bottom w:val="single" w:sz="8" w:space="0" w:color="000000"/>
              <w:right w:val="single" w:sz="8" w:space="0" w:color="auto"/>
            </w:tcBorders>
            <w:vAlign w:val="center"/>
            <w:hideMark/>
          </w:tcPr>
          <w:p w14:paraId="4661856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8" w:type="dxa"/>
            <w:gridSpan w:val="3"/>
            <w:vMerge/>
            <w:tcBorders>
              <w:top w:val="single" w:sz="8" w:space="0" w:color="auto"/>
              <w:left w:val="single" w:sz="8" w:space="0" w:color="auto"/>
              <w:bottom w:val="single" w:sz="8" w:space="0" w:color="000000"/>
              <w:right w:val="single" w:sz="8" w:space="0" w:color="000000"/>
            </w:tcBorders>
            <w:vAlign w:val="center"/>
            <w:hideMark/>
          </w:tcPr>
          <w:p w14:paraId="26487E0A"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7F174E53" w14:textId="77777777" w:rsidTr="0057310C">
        <w:trPr>
          <w:trHeight w:val="450"/>
        </w:trPr>
        <w:tc>
          <w:tcPr>
            <w:tcW w:w="3330" w:type="dxa"/>
            <w:vMerge/>
            <w:tcBorders>
              <w:top w:val="nil"/>
              <w:left w:val="single" w:sz="8" w:space="0" w:color="auto"/>
              <w:bottom w:val="single" w:sz="8" w:space="0" w:color="000000"/>
              <w:right w:val="single" w:sz="8" w:space="0" w:color="auto"/>
            </w:tcBorders>
            <w:vAlign w:val="center"/>
            <w:hideMark/>
          </w:tcPr>
          <w:p w14:paraId="2656D85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8" w:type="dxa"/>
            <w:gridSpan w:val="3"/>
            <w:vMerge/>
            <w:tcBorders>
              <w:top w:val="single" w:sz="8" w:space="0" w:color="auto"/>
              <w:left w:val="single" w:sz="8" w:space="0" w:color="auto"/>
              <w:bottom w:val="single" w:sz="8" w:space="0" w:color="000000"/>
              <w:right w:val="single" w:sz="8" w:space="0" w:color="000000"/>
            </w:tcBorders>
            <w:vAlign w:val="center"/>
            <w:hideMark/>
          </w:tcPr>
          <w:p w14:paraId="6CB5374C"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11D8F2D2" w14:textId="77777777" w:rsidTr="0057310C">
        <w:trPr>
          <w:trHeight w:val="32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3C24BFC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50D52C06" w14:textId="77777777" w:rsidR="00854ADA" w:rsidRDefault="00AB056A">
            <w:pPr>
              <w:pStyle w:val="ListParagraph"/>
              <w:numPr>
                <w:ilvl w:val="0"/>
                <w:numId w:val="285"/>
              </w:num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енергетици</w:t>
            </w:r>
          </w:p>
          <w:p w14:paraId="68DD6E2F" w14:textId="3958CC41" w:rsidR="00FB33C5" w:rsidRPr="00FF386D" w:rsidRDefault="00FB33C5">
            <w:pPr>
              <w:pStyle w:val="ListParagraph"/>
              <w:numPr>
                <w:ilvl w:val="0"/>
                <w:numId w:val="285"/>
              </w:numPr>
              <w:spacing w:after="0" w:line="240" w:lineRule="auto"/>
              <w:rPr>
                <w:rFonts w:ascii="Calibri Light" w:eastAsia="Times New Roman" w:hAnsi="Calibri Light" w:cs="Calibri Light"/>
                <w:color w:val="000000"/>
                <w:sz w:val="20"/>
                <w:szCs w:val="20"/>
                <w:lang w:eastAsia="en-GB"/>
              </w:rPr>
            </w:pPr>
            <w:r w:rsidRPr="00FB33C5">
              <w:rPr>
                <w:rFonts w:ascii="Calibri Light" w:eastAsia="Times New Roman" w:hAnsi="Calibri Light" w:cs="Calibri Light"/>
                <w:color w:val="000000"/>
                <w:sz w:val="20"/>
                <w:szCs w:val="20"/>
                <w:lang w:eastAsia="en-GB"/>
              </w:rPr>
              <w:t>Закон о планирању и изградњи</w:t>
            </w:r>
          </w:p>
        </w:tc>
      </w:tr>
      <w:tr w:rsidR="00854ADA" w:rsidRPr="00FF386D" w14:paraId="1D6642DB"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4AE80B6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430B23B9" w14:textId="77777777" w:rsidR="00854ADA" w:rsidRPr="00FF386D" w:rsidRDefault="00854ADA" w:rsidP="00854ADA">
            <w:pPr>
              <w:spacing w:after="0" w:line="240" w:lineRule="auto"/>
              <w:rPr>
                <w:rFonts w:ascii="Calibri" w:eastAsia="Times New Roman" w:hAnsi="Calibri" w:cs="Calibri"/>
                <w:color w:val="000000"/>
                <w:sz w:val="20"/>
                <w:szCs w:val="20"/>
                <w:lang w:eastAsia="en-GB"/>
              </w:rPr>
            </w:pPr>
            <w:r w:rsidRPr="00FF386D">
              <w:rPr>
                <w:rFonts w:asciiTheme="majorHAnsi" w:eastAsia="Times New Roman" w:hAnsiTheme="majorHAnsi" w:cstheme="majorHAnsi"/>
                <w:color w:val="000000"/>
                <w:sz w:val="20"/>
                <w:szCs w:val="20"/>
                <w:lang w:eastAsia="en-GB"/>
              </w:rPr>
              <w:t>0,2 милиона евра</w:t>
            </w:r>
          </w:p>
        </w:tc>
      </w:tr>
      <w:tr w:rsidR="00854ADA" w:rsidRPr="00FF386D" w14:paraId="2E4BFA72"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771F8C7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105BD6CC" w14:textId="68B3B38B" w:rsidR="00854ADA" w:rsidRPr="00FF386D" w:rsidRDefault="00854ADA" w:rsidP="00854ADA">
            <w:pPr>
              <w:spacing w:after="0" w:line="240" w:lineRule="auto"/>
              <w:rPr>
                <w:rFonts w:ascii="Calibri" w:eastAsia="Times New Roman" w:hAnsi="Calibri" w:cs="Calibri"/>
                <w:color w:val="000000"/>
                <w:sz w:val="20"/>
                <w:szCs w:val="20"/>
                <w:highlight w:val="yellow"/>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AB056A" w:rsidRPr="00FF386D">
              <w:rPr>
                <w:rFonts w:asciiTheme="majorHAnsi" w:eastAsia="Times New Roman" w:hAnsiTheme="majorHAnsi" w:cstheme="majorHAnsi"/>
                <w:color w:val="000000"/>
                <w:sz w:val="20"/>
                <w:szCs w:val="20"/>
                <w:lang w:eastAsia="en-GB"/>
              </w:rPr>
              <w:t>ска средства</w:t>
            </w:r>
          </w:p>
        </w:tc>
      </w:tr>
    </w:tbl>
    <w:p w14:paraId="600DBFF3"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270"/>
        <w:gridCol w:w="1114"/>
        <w:gridCol w:w="935"/>
        <w:gridCol w:w="4139"/>
      </w:tblGrid>
      <w:tr w:rsidR="00854ADA" w:rsidRPr="00FF386D" w14:paraId="3C7E975B" w14:textId="77777777" w:rsidTr="0057310C">
        <w:trPr>
          <w:trHeight w:val="780"/>
        </w:trPr>
        <w:tc>
          <w:tcPr>
            <w:tcW w:w="3270"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0A89A82B"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1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5E0539C2" w14:textId="02643C4A" w:rsidR="00854ADA" w:rsidRPr="000A2AFE" w:rsidRDefault="00854ADA" w:rsidP="00854ADA">
            <w:pPr>
              <w:spacing w:after="0" w:line="240" w:lineRule="auto"/>
              <w:jc w:val="both"/>
              <w:rPr>
                <w:rFonts w:ascii="Calibri Light" w:eastAsia="Times New Roman" w:hAnsi="Calibri Light" w:cs="Calibri Light"/>
                <w:b/>
                <w:bCs/>
                <w:color w:val="000000"/>
                <w:sz w:val="20"/>
                <w:szCs w:val="20"/>
                <w:lang w:val="sr-Latn-RS" w:eastAsia="en-GB"/>
              </w:rPr>
            </w:pPr>
            <w:r w:rsidRPr="000A2AFE">
              <w:rPr>
                <w:rFonts w:ascii="Calibri Light" w:eastAsia="Times New Roman" w:hAnsi="Calibri Light" w:cs="Calibri Light"/>
                <w:b/>
                <w:bCs/>
                <w:color w:val="000000"/>
                <w:sz w:val="20"/>
                <w:szCs w:val="20"/>
                <w:lang w:eastAsia="en-GB"/>
              </w:rPr>
              <w:t>МП_</w:t>
            </w:r>
            <w:r w:rsidR="00977577" w:rsidRPr="000A2AFE">
              <w:rPr>
                <w:rFonts w:ascii="Calibri Light" w:eastAsia="Times New Roman" w:hAnsi="Calibri Light" w:cs="Calibri Light"/>
                <w:b/>
                <w:bCs/>
                <w:color w:val="000000"/>
                <w:sz w:val="20"/>
                <w:szCs w:val="20"/>
                <w:lang w:eastAsia="en-GB"/>
              </w:rPr>
              <w:t>Д2</w:t>
            </w:r>
            <w:r w:rsidR="00977577">
              <w:rPr>
                <w:rFonts w:ascii="Calibri Light" w:eastAsia="Times New Roman" w:hAnsi="Calibri Light" w:cs="Calibri Light"/>
                <w:b/>
                <w:bCs/>
                <w:color w:val="000000"/>
                <w:sz w:val="20"/>
                <w:szCs w:val="20"/>
                <w:lang w:val="sr-Latn-RS" w:eastAsia="en-GB"/>
              </w:rPr>
              <w:t>5</w:t>
            </w:r>
          </w:p>
        </w:tc>
        <w:tc>
          <w:tcPr>
            <w:tcW w:w="935" w:type="dxa"/>
            <w:tcBorders>
              <w:top w:val="single" w:sz="8" w:space="0" w:color="auto"/>
              <w:left w:val="nil"/>
              <w:bottom w:val="single" w:sz="8" w:space="0" w:color="auto"/>
              <w:right w:val="single" w:sz="8" w:space="0" w:color="auto"/>
            </w:tcBorders>
            <w:shd w:val="clear" w:color="000000" w:fill="244062"/>
            <w:vAlign w:val="center"/>
            <w:hideMark/>
          </w:tcPr>
          <w:p w14:paraId="0985B3E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39" w:type="dxa"/>
            <w:tcBorders>
              <w:top w:val="single" w:sz="8" w:space="0" w:color="auto"/>
              <w:left w:val="nil"/>
              <w:bottom w:val="single" w:sz="8" w:space="0" w:color="auto"/>
              <w:right w:val="single" w:sz="8" w:space="0" w:color="auto"/>
            </w:tcBorders>
            <w:shd w:val="clear" w:color="auto" w:fill="E7E6E6" w:themeFill="background2"/>
            <w:vAlign w:val="center"/>
            <w:hideMark/>
          </w:tcPr>
          <w:p w14:paraId="69535206" w14:textId="4DCDC0F9"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Ажурирање, поједностављивање и оптимизација поступака прикључења на мрежу и у</w:t>
            </w:r>
            <w:r w:rsidR="00506688" w:rsidRPr="000A2AFE">
              <w:rPr>
                <w:rFonts w:ascii="Calibri Light" w:eastAsia="Times New Roman" w:hAnsi="Calibri Light" w:cs="Calibri Light"/>
                <w:b/>
                <w:bCs/>
                <w:color w:val="000000"/>
                <w:sz w:val="20"/>
                <w:szCs w:val="20"/>
                <w:lang w:eastAsia="en-GB"/>
              </w:rPr>
              <w:t>тврђивање</w:t>
            </w:r>
            <w:r w:rsidRPr="000A2AFE">
              <w:rPr>
                <w:rFonts w:ascii="Calibri Light" w:eastAsia="Times New Roman" w:hAnsi="Calibri Light" w:cs="Calibri Light"/>
                <w:b/>
                <w:bCs/>
                <w:color w:val="000000"/>
                <w:sz w:val="20"/>
                <w:szCs w:val="20"/>
                <w:lang w:eastAsia="en-GB"/>
              </w:rPr>
              <w:t xml:space="preserve"> детаљне методологије и правила </w:t>
            </w:r>
            <w:r w:rsidR="00506688" w:rsidRPr="000A2AFE">
              <w:rPr>
                <w:rFonts w:ascii="Calibri Light" w:eastAsia="Times New Roman" w:hAnsi="Calibri Light" w:cs="Calibri Light"/>
                <w:b/>
                <w:bCs/>
                <w:color w:val="000000"/>
                <w:sz w:val="20"/>
                <w:szCs w:val="20"/>
                <w:lang w:eastAsia="en-GB"/>
              </w:rPr>
              <w:t>расподеле</w:t>
            </w:r>
            <w:r w:rsidRPr="000A2AFE">
              <w:rPr>
                <w:rFonts w:ascii="Calibri Light" w:eastAsia="Times New Roman" w:hAnsi="Calibri Light" w:cs="Calibri Light"/>
                <w:b/>
                <w:bCs/>
                <w:color w:val="000000"/>
                <w:sz w:val="20"/>
                <w:szCs w:val="20"/>
                <w:lang w:eastAsia="en-GB"/>
              </w:rPr>
              <w:t xml:space="preserve"> трошкова прикључења ОИЕ на мрежу</w:t>
            </w:r>
          </w:p>
        </w:tc>
      </w:tr>
      <w:tr w:rsidR="00854ADA" w:rsidRPr="00FF386D" w14:paraId="29A899CB" w14:textId="77777777" w:rsidTr="0057310C">
        <w:trPr>
          <w:trHeight w:val="367"/>
        </w:trPr>
        <w:tc>
          <w:tcPr>
            <w:tcW w:w="3270" w:type="dxa"/>
            <w:tcBorders>
              <w:top w:val="nil"/>
              <w:left w:val="single" w:sz="8" w:space="0" w:color="auto"/>
              <w:bottom w:val="single" w:sz="8" w:space="0" w:color="auto"/>
              <w:right w:val="nil"/>
            </w:tcBorders>
            <w:shd w:val="clear" w:color="000000" w:fill="244062"/>
            <w:vAlign w:val="center"/>
            <w:hideMark/>
          </w:tcPr>
          <w:p w14:paraId="5F815C7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00C53C58"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Повећање удела ОИЕ у производњи електричне енергије</w:t>
            </w:r>
          </w:p>
        </w:tc>
      </w:tr>
      <w:tr w:rsidR="00854ADA" w:rsidRPr="00FF386D" w14:paraId="2B126A57"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4420BF7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375DF87B" w14:textId="6285C614"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 xml:space="preserve">Допринос </w:t>
            </w:r>
            <w:r w:rsidR="00977577" w:rsidRPr="00977577">
              <w:rPr>
                <w:rFonts w:asciiTheme="majorHAnsi" w:eastAsia="Times New Roman" w:hAnsiTheme="majorHAnsi" w:cstheme="majorHAnsi"/>
                <w:color w:val="000000"/>
                <w:sz w:val="20"/>
                <w:szCs w:val="20"/>
                <w:lang w:eastAsia="en-GB"/>
              </w:rPr>
              <w:t>очекиваном уделу ОИЕ у производњи електричне енергије</w:t>
            </w:r>
          </w:p>
        </w:tc>
      </w:tr>
      <w:tr w:rsidR="00854ADA" w:rsidRPr="00FF386D" w14:paraId="0F70D8C8" w14:textId="77777777" w:rsidTr="0057310C">
        <w:trPr>
          <w:trHeight w:val="443"/>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7C86556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488773C3" w14:textId="410CE633"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МП_Д2</w:t>
            </w:r>
            <w:r w:rsidR="00795B2C">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 xml:space="preserve"> ће </w:t>
            </w:r>
            <w:r w:rsidR="00506688" w:rsidRPr="000A2AFE">
              <w:rPr>
                <w:rFonts w:ascii="Calibri Light" w:eastAsia="Times New Roman" w:hAnsi="Calibri Light" w:cs="Calibri Light"/>
                <w:color w:val="000000"/>
                <w:sz w:val="20"/>
                <w:szCs w:val="20"/>
                <w:lang w:eastAsia="en-GB"/>
              </w:rPr>
              <w:t xml:space="preserve">додатно </w:t>
            </w:r>
            <w:r w:rsidRPr="000A2AFE">
              <w:rPr>
                <w:rFonts w:ascii="Calibri Light" w:eastAsia="Times New Roman" w:hAnsi="Calibri Light" w:cs="Calibri Light"/>
                <w:color w:val="000000"/>
                <w:sz w:val="20"/>
                <w:szCs w:val="20"/>
                <w:lang w:eastAsia="en-GB"/>
              </w:rPr>
              <w:t>ажурирати, поједноставити и оптимизовати поступак прикључења на мрежу постројења која користе обновљиву енергију. Биће размотрен једноставан поступак обавештавања за инсталације или електрана за произво</w:t>
            </w:r>
            <w:r w:rsidR="00D82935" w:rsidRPr="000A2AFE">
              <w:rPr>
                <w:rFonts w:ascii="Calibri Light" w:eastAsia="Times New Roman" w:hAnsi="Calibri Light" w:cs="Calibri Light"/>
                <w:color w:val="000000"/>
                <w:sz w:val="20"/>
                <w:szCs w:val="20"/>
                <w:lang w:eastAsia="en-GB"/>
              </w:rPr>
              <w:t>д</w:t>
            </w:r>
            <w:r w:rsidRPr="000A2AFE">
              <w:rPr>
                <w:rFonts w:ascii="Calibri Light" w:eastAsia="Times New Roman" w:hAnsi="Calibri Light" w:cs="Calibri Light"/>
                <w:color w:val="000000"/>
                <w:sz w:val="20"/>
                <w:szCs w:val="20"/>
                <w:lang w:eastAsia="en-GB"/>
              </w:rPr>
              <w:t>њу електричне енергиј</w:t>
            </w:r>
            <w:r w:rsidR="00D82935" w:rsidRPr="000A2AFE">
              <w:rPr>
                <w:rFonts w:ascii="Calibri Light" w:eastAsia="Times New Roman" w:hAnsi="Calibri Light" w:cs="Calibri Light"/>
                <w:color w:val="000000"/>
                <w:sz w:val="20"/>
                <w:szCs w:val="20"/>
                <w:lang w:eastAsia="en-GB"/>
              </w:rPr>
              <w:t>е</w:t>
            </w:r>
            <w:r w:rsidRPr="000A2AFE">
              <w:rPr>
                <w:rFonts w:ascii="Calibri Light" w:eastAsia="Times New Roman" w:hAnsi="Calibri Light" w:cs="Calibri Light"/>
                <w:color w:val="000000"/>
                <w:sz w:val="20"/>
                <w:szCs w:val="20"/>
                <w:lang w:eastAsia="en-GB"/>
              </w:rPr>
              <w:t xml:space="preserve">, под условом да се одржи стабилност, поузданост и сигурност мреже. </w:t>
            </w:r>
            <w:r w:rsidR="00D82935" w:rsidRPr="000A2AFE">
              <w:rPr>
                <w:rFonts w:ascii="Calibri Light" w:eastAsia="Times New Roman" w:hAnsi="Calibri Light" w:cs="Calibri Light"/>
                <w:color w:val="000000"/>
                <w:sz w:val="20"/>
                <w:szCs w:val="20"/>
                <w:lang w:eastAsia="en-GB"/>
              </w:rPr>
              <w:t>На крају</w:t>
            </w:r>
            <w:r w:rsidRPr="000A2AFE">
              <w:rPr>
                <w:rFonts w:ascii="Calibri Light" w:eastAsia="Times New Roman" w:hAnsi="Calibri Light" w:cs="Calibri Light"/>
                <w:color w:val="000000"/>
                <w:sz w:val="20"/>
                <w:szCs w:val="20"/>
                <w:lang w:eastAsia="en-GB"/>
              </w:rPr>
              <w:t xml:space="preserve">, </w:t>
            </w:r>
            <w:r w:rsidR="009D4444" w:rsidRPr="000A2AFE">
              <w:rPr>
                <w:rFonts w:ascii="Calibri Light" w:eastAsia="Times New Roman" w:hAnsi="Calibri Light" w:cs="Calibri Light"/>
                <w:color w:val="000000"/>
                <w:sz w:val="20"/>
                <w:szCs w:val="20"/>
                <w:lang w:eastAsia="en-GB"/>
              </w:rPr>
              <w:t>наставиће се</w:t>
            </w:r>
            <w:r w:rsidR="00D82935" w:rsidRPr="000A2AFE">
              <w:rPr>
                <w:rFonts w:ascii="Calibri Light" w:eastAsia="Times New Roman" w:hAnsi="Calibri Light" w:cs="Calibri Light"/>
                <w:color w:val="000000"/>
                <w:sz w:val="20"/>
                <w:szCs w:val="20"/>
                <w:lang w:eastAsia="en-GB"/>
              </w:rPr>
              <w:t xml:space="preserve"> примена постојеће</w:t>
            </w:r>
            <w:r w:rsidRPr="000A2AFE">
              <w:rPr>
                <w:rFonts w:ascii="Calibri Light" w:eastAsia="Times New Roman" w:hAnsi="Calibri Light" w:cs="Calibri Light"/>
                <w:color w:val="000000"/>
                <w:sz w:val="20"/>
                <w:szCs w:val="20"/>
                <w:lang w:eastAsia="en-GB"/>
              </w:rPr>
              <w:t xml:space="preserve"> методологиј</w:t>
            </w:r>
            <w:r w:rsidR="00D82935" w:rsidRPr="000A2AFE">
              <w:rPr>
                <w:rFonts w:ascii="Calibri Light" w:eastAsia="Times New Roman" w:hAnsi="Calibri Light" w:cs="Calibri Light"/>
                <w:color w:val="000000"/>
                <w:sz w:val="20"/>
                <w:szCs w:val="20"/>
                <w:lang w:eastAsia="en-GB"/>
              </w:rPr>
              <w:t>е</w:t>
            </w:r>
            <w:r w:rsidRPr="000A2AFE">
              <w:rPr>
                <w:rFonts w:ascii="Calibri Light" w:eastAsia="Times New Roman" w:hAnsi="Calibri Light" w:cs="Calibri Light"/>
                <w:color w:val="000000"/>
                <w:sz w:val="20"/>
                <w:szCs w:val="20"/>
                <w:lang w:eastAsia="en-GB"/>
              </w:rPr>
              <w:t xml:space="preserve"> и правила </w:t>
            </w:r>
            <w:r w:rsidR="00D82935" w:rsidRPr="000A2AFE">
              <w:rPr>
                <w:rFonts w:ascii="Calibri Light" w:eastAsia="Times New Roman" w:hAnsi="Calibri Light" w:cs="Calibri Light"/>
                <w:color w:val="000000"/>
                <w:sz w:val="20"/>
                <w:szCs w:val="20"/>
                <w:lang w:eastAsia="en-GB"/>
              </w:rPr>
              <w:t>расподеле</w:t>
            </w:r>
            <w:r w:rsidRPr="000A2AFE">
              <w:rPr>
                <w:rFonts w:ascii="Calibri Light" w:eastAsia="Times New Roman" w:hAnsi="Calibri Light" w:cs="Calibri Light"/>
                <w:color w:val="000000"/>
                <w:sz w:val="20"/>
                <w:szCs w:val="20"/>
                <w:lang w:eastAsia="en-GB"/>
              </w:rPr>
              <w:t xml:space="preserve"> предвиђених трошкова прикључења на мрежу, </w:t>
            </w:r>
            <w:r w:rsidR="00F10FFD" w:rsidRPr="000A2AFE">
              <w:rPr>
                <w:rFonts w:ascii="Calibri Light" w:eastAsia="Times New Roman" w:hAnsi="Calibri Light" w:cs="Calibri Light"/>
                <w:color w:val="000000"/>
                <w:sz w:val="20"/>
                <w:szCs w:val="20"/>
                <w:lang w:eastAsia="en-GB"/>
              </w:rPr>
              <w:t>обезбеђујући</w:t>
            </w:r>
            <w:r w:rsidRPr="000A2AFE">
              <w:rPr>
                <w:rFonts w:ascii="Calibri Light" w:eastAsia="Times New Roman" w:hAnsi="Calibri Light" w:cs="Calibri Light"/>
                <w:color w:val="000000"/>
                <w:sz w:val="20"/>
                <w:szCs w:val="20"/>
                <w:lang w:eastAsia="en-GB"/>
              </w:rPr>
              <w:t xml:space="preserve"> транспарентност за потенцијалне инвеститоре</w:t>
            </w:r>
            <w:r w:rsidR="009D4444" w:rsidRPr="000A2AFE">
              <w:rPr>
                <w:rFonts w:ascii="Calibri Light" w:eastAsia="Times New Roman" w:hAnsi="Calibri Light" w:cs="Calibri Light"/>
                <w:color w:val="000000"/>
                <w:sz w:val="20"/>
                <w:szCs w:val="20"/>
                <w:lang w:eastAsia="en-GB"/>
              </w:rPr>
              <w:t>, с обзиром на то да с</w:t>
            </w:r>
            <w:r w:rsidR="00F10FFD" w:rsidRPr="000A2AFE">
              <w:rPr>
                <w:rFonts w:ascii="Calibri Light" w:eastAsia="Times New Roman" w:hAnsi="Calibri Light" w:cs="Calibri Light"/>
                <w:color w:val="000000"/>
                <w:sz w:val="20"/>
                <w:szCs w:val="20"/>
                <w:lang w:eastAsia="en-GB"/>
              </w:rPr>
              <w:t>е</w:t>
            </w:r>
            <w:r w:rsidR="009D4444" w:rsidRPr="000A2AFE">
              <w:rPr>
                <w:rFonts w:ascii="Calibri Light" w:eastAsia="Times New Roman" w:hAnsi="Calibri Light" w:cs="Calibri Light"/>
                <w:color w:val="000000"/>
                <w:sz w:val="20"/>
                <w:szCs w:val="20"/>
                <w:lang w:eastAsia="en-GB"/>
              </w:rPr>
              <w:t xml:space="preserve"> приликом прикључења система обновљиве енергије на преносне и дистрибутивне мреже</w:t>
            </w:r>
            <w:r w:rsidR="00DF25FF" w:rsidRPr="000A2AFE">
              <w:rPr>
                <w:rFonts w:ascii="Calibri Light" w:eastAsia="Times New Roman" w:hAnsi="Calibri Light" w:cs="Calibri Light"/>
                <w:color w:val="000000"/>
                <w:sz w:val="20"/>
                <w:szCs w:val="20"/>
                <w:lang w:eastAsia="en-GB"/>
              </w:rPr>
              <w:t xml:space="preserve"> узимају у обзир различите карактеристике</w:t>
            </w:r>
            <w:r w:rsidR="009D4444" w:rsidRPr="000A2AFE">
              <w:rPr>
                <w:rFonts w:ascii="Calibri Light" w:eastAsia="Times New Roman" w:hAnsi="Calibri Light" w:cs="Calibri Light"/>
                <w:color w:val="000000"/>
                <w:sz w:val="20"/>
                <w:szCs w:val="20"/>
                <w:lang w:eastAsia="en-GB"/>
              </w:rPr>
              <w:t>.</w:t>
            </w:r>
          </w:p>
        </w:tc>
      </w:tr>
      <w:tr w:rsidR="00854ADA" w:rsidRPr="00FF386D" w14:paraId="3847A9A4"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77393B6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69A9F5CD" w14:textId="26E812D0"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506688"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w:t>
            </w:r>
            <w:r w:rsidR="005C75DE">
              <w:rPr>
                <w:rFonts w:ascii="Calibri Light" w:eastAsia="Times New Roman" w:hAnsi="Calibri Light" w:cs="Calibri Light"/>
                <w:color w:val="000000"/>
                <w:sz w:val="20"/>
                <w:szCs w:val="20"/>
                <w:lang w:eastAsia="en-GB"/>
              </w:rPr>
              <w:t>27</w:t>
            </w:r>
            <w:r w:rsidRPr="000A2AFE">
              <w:rPr>
                <w:rFonts w:ascii="Calibri Light" w:eastAsia="Times New Roman" w:hAnsi="Calibri Light" w:cs="Calibri Light"/>
                <w:color w:val="000000"/>
                <w:sz w:val="20"/>
                <w:szCs w:val="20"/>
                <w:lang w:eastAsia="en-GB"/>
              </w:rPr>
              <w:t>.</w:t>
            </w:r>
          </w:p>
        </w:tc>
      </w:tr>
      <w:tr w:rsidR="00854ADA" w:rsidRPr="00FF386D" w14:paraId="5C6EF896"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3043CF3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34708A1B"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Реформа</w:t>
            </w:r>
          </w:p>
        </w:tc>
      </w:tr>
      <w:tr w:rsidR="00854ADA" w:rsidRPr="00FF386D" w14:paraId="61391916"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284376F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3F37F830"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Електроенергетика</w:t>
            </w:r>
          </w:p>
        </w:tc>
      </w:tr>
      <w:tr w:rsidR="00854ADA" w:rsidRPr="00FF386D" w14:paraId="06D4C86A"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66843E0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226C4A66" w14:textId="77777777" w:rsidR="00854ADA" w:rsidRPr="00FF386D" w:rsidRDefault="00506688"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Агенција за енергетику Републике Србије</w:t>
            </w:r>
          </w:p>
          <w:p w14:paraId="7A4D697D" w14:textId="607E03C0" w:rsidR="00506688" w:rsidRPr="00FF386D" w:rsidRDefault="00506688"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ОДС</w:t>
            </w:r>
          </w:p>
        </w:tc>
      </w:tr>
      <w:tr w:rsidR="00854ADA" w:rsidRPr="00FF386D" w14:paraId="1BEE152D" w14:textId="77777777" w:rsidTr="0057310C">
        <w:trPr>
          <w:trHeight w:val="315"/>
        </w:trPr>
        <w:tc>
          <w:tcPr>
            <w:tcW w:w="3270" w:type="dxa"/>
            <w:tcBorders>
              <w:top w:val="nil"/>
              <w:left w:val="single" w:sz="8" w:space="0" w:color="auto"/>
              <w:bottom w:val="single" w:sz="8" w:space="0" w:color="auto"/>
              <w:right w:val="nil"/>
            </w:tcBorders>
            <w:shd w:val="clear" w:color="000000" w:fill="244062"/>
            <w:vAlign w:val="center"/>
            <w:hideMark/>
          </w:tcPr>
          <w:p w14:paraId="2C19427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Тело за праћење</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60183675" w14:textId="3980B7F7" w:rsidR="00854ADA" w:rsidRPr="000A2AFE" w:rsidRDefault="00994ABA" w:rsidP="000A2AFE">
            <w:pPr>
              <w:pStyle w:val="ListParagraph"/>
              <w:numPr>
                <w:ilvl w:val="0"/>
                <w:numId w:val="330"/>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4F7F15B0" w14:textId="77777777" w:rsidTr="0057310C">
        <w:trPr>
          <w:trHeight w:val="315"/>
        </w:trPr>
        <w:tc>
          <w:tcPr>
            <w:tcW w:w="3270" w:type="dxa"/>
            <w:tcBorders>
              <w:top w:val="nil"/>
              <w:left w:val="single" w:sz="8" w:space="0" w:color="auto"/>
              <w:bottom w:val="single" w:sz="8" w:space="0" w:color="auto"/>
              <w:right w:val="nil"/>
            </w:tcBorders>
            <w:shd w:val="clear" w:color="000000" w:fill="244062"/>
            <w:vAlign w:val="center"/>
            <w:hideMark/>
          </w:tcPr>
          <w:p w14:paraId="17AF1DB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3412C793" w14:textId="77777777" w:rsidR="00854ADA" w:rsidRPr="000A2AFE" w:rsidRDefault="00854ADA" w:rsidP="000A2AFE">
            <w:pPr>
              <w:pStyle w:val="ListParagraph"/>
              <w:numPr>
                <w:ilvl w:val="0"/>
                <w:numId w:val="330"/>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Развијен законодавни и регулаторни оквир</w:t>
            </w:r>
          </w:p>
        </w:tc>
      </w:tr>
      <w:tr w:rsidR="00854ADA" w:rsidRPr="00FF386D" w14:paraId="3C993BC7" w14:textId="77777777" w:rsidTr="0057310C">
        <w:trPr>
          <w:trHeight w:val="323"/>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596FDF1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88" w:type="dxa"/>
            <w:gridSpan w:val="3"/>
            <w:tcBorders>
              <w:top w:val="single" w:sz="8" w:space="0" w:color="auto"/>
              <w:left w:val="nil"/>
              <w:bottom w:val="single" w:sz="8" w:space="0" w:color="auto"/>
              <w:right w:val="single" w:sz="8" w:space="0" w:color="000000"/>
            </w:tcBorders>
            <w:shd w:val="clear" w:color="auto" w:fill="auto"/>
            <w:vAlign w:val="center"/>
          </w:tcPr>
          <w:p w14:paraId="28033197" w14:textId="77777777" w:rsidR="00994ABA" w:rsidRPr="00994ABA" w:rsidRDefault="00994ABA" w:rsidP="00994ABA">
            <w:pPr>
              <w:numPr>
                <w:ilvl w:val="0"/>
                <w:numId w:val="114"/>
              </w:numPr>
              <w:spacing w:after="0" w:line="240" w:lineRule="auto"/>
              <w:rPr>
                <w:rFonts w:ascii="Calibri Light" w:eastAsia="Times New Roman" w:hAnsi="Calibri Light" w:cs="Calibri Light"/>
                <w:color w:val="000000"/>
                <w:sz w:val="20"/>
                <w:szCs w:val="20"/>
                <w:lang w:eastAsia="en-GB"/>
              </w:rPr>
            </w:pPr>
            <w:r w:rsidRPr="00994ABA">
              <w:rPr>
                <w:rFonts w:ascii="Calibri Light" w:eastAsia="Times New Roman" w:hAnsi="Calibri Light" w:cs="Calibri Light"/>
                <w:color w:val="000000"/>
                <w:sz w:val="20"/>
                <w:szCs w:val="20"/>
                <w:lang w:eastAsia="en-GB"/>
              </w:rPr>
              <w:t>Енергетска ефикасност (промовисане технологије ОИЕ ће довести и до уштеде примарне енергије доприносећи постизању релевантних циљева)</w:t>
            </w:r>
          </w:p>
          <w:p w14:paraId="33CF8E77" w14:textId="1D92320B" w:rsidR="00854ADA" w:rsidRPr="000A2AFE" w:rsidRDefault="00994ABA"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854ADA" w:rsidRPr="00FF386D" w14:paraId="7000CBCE" w14:textId="77777777" w:rsidTr="0057310C">
        <w:trPr>
          <w:trHeight w:val="450"/>
        </w:trPr>
        <w:tc>
          <w:tcPr>
            <w:tcW w:w="3270"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5D97253F" w14:textId="3A69E28B"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eastAsia="Times New Roman" w:hAnsi="Calibri Light" w:cs="Calibri Light"/>
                <w:b/>
                <w:bCs/>
                <w:color w:val="FFFFFF"/>
                <w:sz w:val="20"/>
                <w:szCs w:val="20"/>
                <w:lang w:eastAsia="en-GB"/>
              </w:rPr>
              <w:t xml:space="preserve">Политике Уније која су </w:t>
            </w:r>
            <w:r w:rsidR="003F1C65" w:rsidRPr="00FF386D">
              <w:rPr>
                <w:rFonts w:ascii="Calibri Light" w:eastAsia="Times New Roman" w:hAnsi="Calibri Light" w:cs="Calibri Light"/>
                <w:b/>
                <w:bCs/>
                <w:color w:val="FFFFFF"/>
                <w:sz w:val="20"/>
                <w:szCs w:val="20"/>
                <w:lang w:eastAsia="en-GB"/>
              </w:rPr>
              <w:t>резултирале имплементацијом</w:t>
            </w:r>
            <w:r w:rsidR="00854ADA" w:rsidRPr="00FF386D">
              <w:rPr>
                <w:rFonts w:ascii="Calibri Light" w:eastAsia="Times New Roman" w:hAnsi="Calibri Light" w:cs="Calibri Light"/>
                <w:b/>
                <w:bCs/>
                <w:color w:val="FFFFFF"/>
                <w:sz w:val="20"/>
                <w:szCs w:val="20"/>
                <w:lang w:eastAsia="en-GB"/>
              </w:rPr>
              <w:t xml:space="preserve"> ове МП</w:t>
            </w:r>
          </w:p>
        </w:tc>
        <w:tc>
          <w:tcPr>
            <w:tcW w:w="6188"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0A7CC791"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2018/2001/ΕU</w:t>
            </w:r>
          </w:p>
        </w:tc>
      </w:tr>
      <w:tr w:rsidR="00854ADA" w:rsidRPr="00FF386D" w14:paraId="3B3933B9" w14:textId="77777777" w:rsidTr="0057310C">
        <w:trPr>
          <w:trHeight w:val="450"/>
        </w:trPr>
        <w:tc>
          <w:tcPr>
            <w:tcW w:w="3270" w:type="dxa"/>
            <w:vMerge/>
            <w:tcBorders>
              <w:top w:val="nil"/>
              <w:left w:val="single" w:sz="8" w:space="0" w:color="auto"/>
              <w:bottom w:val="single" w:sz="8" w:space="0" w:color="000000"/>
              <w:right w:val="single" w:sz="8" w:space="0" w:color="auto"/>
            </w:tcBorders>
            <w:vAlign w:val="center"/>
            <w:hideMark/>
          </w:tcPr>
          <w:p w14:paraId="69979EA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88" w:type="dxa"/>
            <w:gridSpan w:val="3"/>
            <w:vMerge/>
            <w:tcBorders>
              <w:top w:val="single" w:sz="8" w:space="0" w:color="auto"/>
              <w:left w:val="single" w:sz="8" w:space="0" w:color="auto"/>
              <w:bottom w:val="single" w:sz="8" w:space="0" w:color="000000"/>
              <w:right w:val="single" w:sz="8" w:space="0" w:color="000000"/>
            </w:tcBorders>
            <w:vAlign w:val="center"/>
            <w:hideMark/>
          </w:tcPr>
          <w:p w14:paraId="78ADB658"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11F45EAB" w14:textId="77777777" w:rsidTr="0057310C">
        <w:trPr>
          <w:trHeight w:val="450"/>
        </w:trPr>
        <w:tc>
          <w:tcPr>
            <w:tcW w:w="3270" w:type="dxa"/>
            <w:vMerge/>
            <w:tcBorders>
              <w:top w:val="nil"/>
              <w:left w:val="single" w:sz="8" w:space="0" w:color="auto"/>
              <w:bottom w:val="single" w:sz="8" w:space="0" w:color="000000"/>
              <w:right w:val="single" w:sz="8" w:space="0" w:color="auto"/>
            </w:tcBorders>
            <w:vAlign w:val="center"/>
            <w:hideMark/>
          </w:tcPr>
          <w:p w14:paraId="1C820D7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88" w:type="dxa"/>
            <w:gridSpan w:val="3"/>
            <w:vMerge/>
            <w:tcBorders>
              <w:top w:val="single" w:sz="8" w:space="0" w:color="auto"/>
              <w:left w:val="single" w:sz="8" w:space="0" w:color="auto"/>
              <w:bottom w:val="single" w:sz="8" w:space="0" w:color="000000"/>
              <w:right w:val="single" w:sz="8" w:space="0" w:color="000000"/>
            </w:tcBorders>
            <w:vAlign w:val="center"/>
            <w:hideMark/>
          </w:tcPr>
          <w:p w14:paraId="444B25C2"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09FAF9D6" w14:textId="77777777" w:rsidTr="0057310C">
        <w:trPr>
          <w:trHeight w:val="229"/>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66E07BC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4CF91081"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коришћењу обновљивих извора енергије</w:t>
            </w:r>
          </w:p>
        </w:tc>
      </w:tr>
      <w:tr w:rsidR="00854ADA" w:rsidRPr="00FF386D" w14:paraId="270C77F0"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7C4F397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065C8950"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0,1 милион евра</w:t>
            </w:r>
          </w:p>
        </w:tc>
      </w:tr>
      <w:tr w:rsidR="00854ADA" w:rsidRPr="00FF386D" w14:paraId="17875DC9" w14:textId="77777777" w:rsidTr="0057310C">
        <w:trPr>
          <w:trHeight w:val="315"/>
        </w:trPr>
        <w:tc>
          <w:tcPr>
            <w:tcW w:w="3270" w:type="dxa"/>
            <w:tcBorders>
              <w:top w:val="nil"/>
              <w:left w:val="single" w:sz="8" w:space="0" w:color="auto"/>
              <w:bottom w:val="single" w:sz="8" w:space="0" w:color="auto"/>
              <w:right w:val="single" w:sz="8" w:space="0" w:color="auto"/>
            </w:tcBorders>
            <w:shd w:val="clear" w:color="000000" w:fill="244062"/>
            <w:vAlign w:val="center"/>
            <w:hideMark/>
          </w:tcPr>
          <w:p w14:paraId="2461FCA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88" w:type="dxa"/>
            <w:gridSpan w:val="3"/>
            <w:tcBorders>
              <w:top w:val="single" w:sz="8" w:space="0" w:color="auto"/>
              <w:left w:val="nil"/>
              <w:bottom w:val="single" w:sz="8" w:space="0" w:color="auto"/>
              <w:right w:val="single" w:sz="8" w:space="0" w:color="000000"/>
            </w:tcBorders>
            <w:shd w:val="clear" w:color="auto" w:fill="auto"/>
            <w:vAlign w:val="center"/>
            <w:hideMark/>
          </w:tcPr>
          <w:p w14:paraId="5E26F4BA" w14:textId="0C71D1AA"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506688" w:rsidRPr="00FF386D">
              <w:rPr>
                <w:rFonts w:asciiTheme="majorHAnsi" w:eastAsia="Times New Roman" w:hAnsiTheme="majorHAnsi" w:cstheme="majorHAnsi"/>
                <w:color w:val="000000"/>
                <w:sz w:val="20"/>
                <w:szCs w:val="20"/>
                <w:lang w:eastAsia="en-GB"/>
              </w:rPr>
              <w:t>ска средства</w:t>
            </w:r>
          </w:p>
        </w:tc>
      </w:tr>
    </w:tbl>
    <w:p w14:paraId="3F25B62C"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30"/>
        <w:gridCol w:w="941"/>
        <w:gridCol w:w="946"/>
        <w:gridCol w:w="4241"/>
      </w:tblGrid>
      <w:tr w:rsidR="00854ADA" w:rsidRPr="00FF386D" w14:paraId="0EE53846" w14:textId="77777777" w:rsidTr="0057310C">
        <w:trPr>
          <w:trHeight w:val="780"/>
        </w:trPr>
        <w:tc>
          <w:tcPr>
            <w:tcW w:w="3330"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24CA7AC5"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41" w:type="dxa"/>
            <w:tcBorders>
              <w:top w:val="single" w:sz="8" w:space="0" w:color="auto"/>
              <w:left w:val="nil"/>
              <w:bottom w:val="single" w:sz="8" w:space="0" w:color="auto"/>
              <w:right w:val="single" w:sz="8" w:space="0" w:color="auto"/>
            </w:tcBorders>
            <w:shd w:val="clear" w:color="auto" w:fill="E7E6E6" w:themeFill="background2"/>
            <w:vAlign w:val="center"/>
            <w:hideMark/>
          </w:tcPr>
          <w:p w14:paraId="06D4A7AB" w14:textId="302678B3" w:rsidR="00854ADA" w:rsidRPr="000A2AFE" w:rsidRDefault="00854ADA" w:rsidP="00854ADA">
            <w:pPr>
              <w:spacing w:after="0" w:line="240" w:lineRule="auto"/>
              <w:jc w:val="both"/>
              <w:rPr>
                <w:rFonts w:ascii="Calibri Light" w:eastAsia="Times New Roman" w:hAnsi="Calibri Light" w:cs="Calibri Light"/>
                <w:b/>
                <w:bCs/>
                <w:color w:val="000000"/>
                <w:sz w:val="20"/>
                <w:szCs w:val="20"/>
                <w:lang w:val="sr-Latn-RS" w:eastAsia="en-GB"/>
              </w:rPr>
            </w:pPr>
            <w:r w:rsidRPr="000A2AFE">
              <w:rPr>
                <w:rFonts w:ascii="Calibri Light" w:eastAsia="Times New Roman" w:hAnsi="Calibri Light" w:cs="Calibri Light"/>
                <w:b/>
                <w:bCs/>
                <w:color w:val="000000"/>
                <w:sz w:val="20"/>
                <w:szCs w:val="20"/>
                <w:lang w:eastAsia="en-GB"/>
              </w:rPr>
              <w:t>МП_</w:t>
            </w:r>
            <w:r w:rsidR="00977577" w:rsidRPr="000A2AFE">
              <w:rPr>
                <w:rFonts w:ascii="Calibri Light" w:eastAsia="Times New Roman" w:hAnsi="Calibri Light" w:cs="Calibri Light"/>
                <w:b/>
                <w:bCs/>
                <w:color w:val="000000"/>
                <w:sz w:val="20"/>
                <w:szCs w:val="20"/>
                <w:lang w:eastAsia="en-GB"/>
              </w:rPr>
              <w:t>Д2</w:t>
            </w:r>
            <w:r w:rsidR="00977577">
              <w:rPr>
                <w:rFonts w:ascii="Calibri Light" w:eastAsia="Times New Roman" w:hAnsi="Calibri Light" w:cs="Calibri Light"/>
                <w:b/>
                <w:bCs/>
                <w:color w:val="000000"/>
                <w:sz w:val="20"/>
                <w:szCs w:val="20"/>
                <w:lang w:val="sr-Latn-RS" w:eastAsia="en-GB"/>
              </w:rPr>
              <w:t>6</w:t>
            </w:r>
          </w:p>
        </w:tc>
        <w:tc>
          <w:tcPr>
            <w:tcW w:w="946" w:type="dxa"/>
            <w:tcBorders>
              <w:top w:val="single" w:sz="8" w:space="0" w:color="auto"/>
              <w:left w:val="nil"/>
              <w:bottom w:val="single" w:sz="8" w:space="0" w:color="auto"/>
              <w:right w:val="single" w:sz="8" w:space="0" w:color="auto"/>
            </w:tcBorders>
            <w:shd w:val="clear" w:color="000000" w:fill="244062"/>
            <w:vAlign w:val="center"/>
            <w:hideMark/>
          </w:tcPr>
          <w:p w14:paraId="2731054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41" w:type="dxa"/>
            <w:tcBorders>
              <w:top w:val="single" w:sz="8" w:space="0" w:color="auto"/>
              <w:left w:val="nil"/>
              <w:bottom w:val="single" w:sz="8" w:space="0" w:color="auto"/>
              <w:right w:val="single" w:sz="8" w:space="0" w:color="auto"/>
            </w:tcBorders>
            <w:shd w:val="clear" w:color="auto" w:fill="E7E6E6" w:themeFill="background2"/>
            <w:vAlign w:val="center"/>
            <w:hideMark/>
          </w:tcPr>
          <w:p w14:paraId="1EA3D9BF" w14:textId="4F72D424"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 xml:space="preserve">Подстицање </w:t>
            </w:r>
            <w:r w:rsidR="00041F95" w:rsidRPr="000A2AFE">
              <w:rPr>
                <w:rFonts w:ascii="Calibri Light" w:eastAsia="Times New Roman" w:hAnsi="Calibri Light" w:cs="Calibri Light"/>
                <w:b/>
                <w:bCs/>
                <w:color w:val="000000"/>
                <w:sz w:val="20"/>
                <w:szCs w:val="20"/>
                <w:lang w:eastAsia="en-GB"/>
              </w:rPr>
              <w:t>производње електричне енергије за сопствене потребе</w:t>
            </w:r>
          </w:p>
        </w:tc>
      </w:tr>
      <w:tr w:rsidR="00854ADA" w:rsidRPr="00FF386D" w14:paraId="313B4753" w14:textId="77777777" w:rsidTr="0057310C">
        <w:trPr>
          <w:trHeight w:val="329"/>
        </w:trPr>
        <w:tc>
          <w:tcPr>
            <w:tcW w:w="3330" w:type="dxa"/>
            <w:tcBorders>
              <w:top w:val="nil"/>
              <w:left w:val="single" w:sz="8" w:space="0" w:color="auto"/>
              <w:bottom w:val="single" w:sz="8" w:space="0" w:color="auto"/>
              <w:right w:val="nil"/>
            </w:tcBorders>
            <w:shd w:val="clear" w:color="000000" w:fill="244062"/>
            <w:vAlign w:val="center"/>
            <w:hideMark/>
          </w:tcPr>
          <w:p w14:paraId="0AAC9EA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1B4E9873" w14:textId="592970B4"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Повећање удела ОИЕ у електричној енергији</w:t>
            </w:r>
          </w:p>
        </w:tc>
      </w:tr>
      <w:tr w:rsidR="00854ADA" w:rsidRPr="00FF386D" w14:paraId="6D28DEA7"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4A2C02E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1579651E" w14:textId="77777777" w:rsidR="00854ADA" w:rsidRPr="00FF386D" w:rsidRDefault="00854ADA" w:rsidP="00854ADA">
            <w:pPr>
              <w:spacing w:after="0" w:line="240" w:lineRule="auto"/>
              <w:rPr>
                <w:rFonts w:ascii="Calibri" w:eastAsia="Times New Roman" w:hAnsi="Calibri" w:cs="Calibri"/>
                <w:color w:val="000000"/>
                <w:sz w:val="20"/>
                <w:szCs w:val="20"/>
                <w:lang w:eastAsia="en-GB"/>
              </w:rPr>
            </w:pPr>
            <w:r w:rsidRPr="00FF386D">
              <w:rPr>
                <w:rFonts w:asciiTheme="majorHAnsi" w:eastAsia="Times New Roman" w:hAnsiTheme="majorHAnsi" w:cstheme="majorHAnsi"/>
                <w:color w:val="000000"/>
                <w:sz w:val="20"/>
                <w:szCs w:val="20"/>
                <w:lang w:eastAsia="en-GB"/>
              </w:rPr>
              <w:t>Допринос мери МП_Д21</w:t>
            </w:r>
          </w:p>
        </w:tc>
      </w:tr>
      <w:tr w:rsidR="00854ADA" w:rsidRPr="00FF386D" w14:paraId="01F7CF93" w14:textId="77777777" w:rsidTr="0057310C">
        <w:trPr>
          <w:trHeight w:val="2196"/>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53F293B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1C18E437" w14:textId="3AFC603E" w:rsidR="00854ADA" w:rsidRPr="000A2AFE" w:rsidRDefault="00854ADA" w:rsidP="0013237E">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МП_</w:t>
            </w:r>
            <w:r w:rsidR="00977577" w:rsidRPr="000A2AFE">
              <w:rPr>
                <w:rFonts w:ascii="Calibri Light" w:eastAsia="Times New Roman" w:hAnsi="Calibri Light" w:cs="Calibri Light"/>
                <w:color w:val="000000"/>
                <w:sz w:val="20"/>
                <w:szCs w:val="20"/>
                <w:lang w:eastAsia="en-GB"/>
              </w:rPr>
              <w:t>Д2</w:t>
            </w:r>
            <w:r w:rsidR="00977577">
              <w:rPr>
                <w:rFonts w:ascii="Calibri Light" w:eastAsia="Times New Roman" w:hAnsi="Calibri Light" w:cs="Calibri Light"/>
                <w:color w:val="000000"/>
                <w:sz w:val="20"/>
                <w:szCs w:val="20"/>
                <w:lang w:val="sr-Latn-RS" w:eastAsia="en-GB"/>
              </w:rPr>
              <w:t>6</w:t>
            </w:r>
            <w:r w:rsidR="00977577"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ће п</w:t>
            </w:r>
            <w:r w:rsidR="0013237E" w:rsidRPr="000A2AFE">
              <w:rPr>
                <w:rFonts w:ascii="Calibri Light" w:eastAsia="Times New Roman" w:hAnsi="Calibri Light" w:cs="Calibri Light"/>
                <w:color w:val="000000"/>
                <w:sz w:val="20"/>
                <w:szCs w:val="20"/>
                <w:lang w:eastAsia="en-GB"/>
              </w:rPr>
              <w:t xml:space="preserve">одржати </w:t>
            </w:r>
            <w:r w:rsidR="00041F95" w:rsidRPr="000A2AFE">
              <w:rPr>
                <w:rFonts w:ascii="Calibri Light" w:eastAsia="Times New Roman" w:hAnsi="Calibri Light" w:cs="Calibri Light"/>
                <w:color w:val="000000"/>
                <w:sz w:val="20"/>
                <w:szCs w:val="20"/>
                <w:lang w:eastAsia="en-GB"/>
              </w:rPr>
              <w:t xml:space="preserve">производњу </w:t>
            </w:r>
            <w:r w:rsidRPr="000A2AFE">
              <w:rPr>
                <w:rFonts w:ascii="Calibri Light" w:eastAsia="Times New Roman" w:hAnsi="Calibri Light" w:cs="Calibri Light"/>
                <w:color w:val="000000"/>
                <w:sz w:val="20"/>
                <w:szCs w:val="20"/>
                <w:lang w:eastAsia="en-GB"/>
              </w:rPr>
              <w:t xml:space="preserve">електричне енергије за сопствене потребе </w:t>
            </w:r>
            <w:r w:rsidR="00977577" w:rsidRPr="00977577">
              <w:rPr>
                <w:rFonts w:ascii="Calibri Light" w:eastAsia="Times New Roman" w:hAnsi="Calibri Light" w:cs="Calibri Light"/>
                <w:color w:val="000000"/>
                <w:sz w:val="20"/>
                <w:szCs w:val="20"/>
                <w:lang w:eastAsia="en-GB"/>
              </w:rPr>
              <w:t xml:space="preserve">(купац-произвођач) </w:t>
            </w:r>
            <w:r w:rsidR="00041F95" w:rsidRPr="000A2AFE">
              <w:rPr>
                <w:rFonts w:ascii="Calibri Light" w:eastAsia="Times New Roman" w:hAnsi="Calibri Light" w:cs="Calibri Light"/>
                <w:color w:val="000000"/>
                <w:sz w:val="20"/>
                <w:szCs w:val="20"/>
                <w:lang w:eastAsia="en-GB"/>
              </w:rPr>
              <w:t>за инсталацију</w:t>
            </w:r>
            <w:r w:rsidR="0013237E" w:rsidRPr="000A2AFE">
              <w:rPr>
                <w:rFonts w:ascii="Calibri Light" w:eastAsia="Times New Roman" w:hAnsi="Calibri Light" w:cs="Calibri Light"/>
                <w:color w:val="000000"/>
                <w:sz w:val="20"/>
                <w:szCs w:val="20"/>
                <w:lang w:eastAsia="en-GB"/>
              </w:rPr>
              <w:t xml:space="preserve"> децентрализованих система обновљиве енергије кроз</w:t>
            </w:r>
            <w:r w:rsidRPr="000A2AFE">
              <w:rPr>
                <w:rFonts w:ascii="Calibri Light" w:eastAsia="Times New Roman" w:hAnsi="Calibri Light" w:cs="Calibri Light"/>
                <w:color w:val="000000"/>
                <w:sz w:val="20"/>
                <w:szCs w:val="20"/>
                <w:lang w:eastAsia="en-GB"/>
              </w:rPr>
              <w:t xml:space="preserve"> покретањ</w:t>
            </w:r>
            <w:r w:rsidR="0013237E" w:rsidRPr="000A2AFE">
              <w:rPr>
                <w:rFonts w:ascii="Calibri Light" w:eastAsia="Times New Roman" w:hAnsi="Calibri Light" w:cs="Calibri Light"/>
                <w:color w:val="000000"/>
                <w:sz w:val="20"/>
                <w:szCs w:val="20"/>
                <w:lang w:eastAsia="en-GB"/>
              </w:rPr>
              <w:t>е</w:t>
            </w:r>
            <w:r w:rsidRPr="000A2AFE">
              <w:rPr>
                <w:rFonts w:ascii="Calibri Light" w:eastAsia="Times New Roman" w:hAnsi="Calibri Light" w:cs="Calibri Light"/>
                <w:color w:val="000000"/>
                <w:sz w:val="20"/>
                <w:szCs w:val="20"/>
                <w:lang w:eastAsia="en-GB"/>
              </w:rPr>
              <w:t xml:space="preserve"> </w:t>
            </w:r>
            <w:r w:rsidR="0013237E" w:rsidRPr="000A2AFE">
              <w:rPr>
                <w:rFonts w:ascii="Calibri Light" w:eastAsia="Times New Roman" w:hAnsi="Calibri Light" w:cs="Calibri Light"/>
                <w:color w:val="000000"/>
                <w:sz w:val="20"/>
                <w:szCs w:val="20"/>
                <w:lang w:eastAsia="en-GB"/>
              </w:rPr>
              <w:t>усмерене</w:t>
            </w:r>
            <w:r w:rsidRPr="000A2AFE">
              <w:rPr>
                <w:rFonts w:ascii="Calibri Light" w:eastAsia="Times New Roman" w:hAnsi="Calibri Light" w:cs="Calibri Light"/>
                <w:color w:val="000000"/>
                <w:sz w:val="20"/>
                <w:szCs w:val="20"/>
                <w:lang w:eastAsia="en-GB"/>
              </w:rPr>
              <w:t xml:space="preserve"> шеме подршке, укључујући обезбеђивање финансијских и фискалних подстицаја. </w:t>
            </w:r>
            <w:r w:rsidR="00D56936">
              <w:rPr>
                <w:rFonts w:ascii="Calibri Light" w:eastAsia="Times New Roman" w:hAnsi="Calibri Light" w:cs="Calibri Light"/>
                <w:color w:val="000000"/>
                <w:sz w:val="20"/>
                <w:szCs w:val="20"/>
                <w:lang w:eastAsia="en-GB"/>
              </w:rPr>
              <w:t xml:space="preserve">Имплементација мера ће узети у обзир одредбе релевантног законодавства. </w:t>
            </w:r>
            <w:r w:rsidR="0013237E" w:rsidRPr="000A2AFE">
              <w:rPr>
                <w:rFonts w:ascii="Calibri Light" w:eastAsia="Times New Roman" w:hAnsi="Calibri Light" w:cs="Calibri Light"/>
                <w:color w:val="000000"/>
                <w:sz w:val="20"/>
                <w:szCs w:val="20"/>
                <w:lang w:eastAsia="en-GB"/>
              </w:rPr>
              <w:t xml:space="preserve">Шема подршке ће бити </w:t>
            </w:r>
            <w:r w:rsidR="00041F95" w:rsidRPr="000A2AFE">
              <w:rPr>
                <w:rFonts w:ascii="Calibri Light" w:eastAsia="Times New Roman" w:hAnsi="Calibri Light" w:cs="Calibri Light"/>
                <w:color w:val="000000"/>
                <w:sz w:val="20"/>
                <w:szCs w:val="20"/>
                <w:lang w:eastAsia="en-GB"/>
              </w:rPr>
              <w:t>развијена</w:t>
            </w:r>
            <w:r w:rsidR="0013237E" w:rsidRPr="000A2AFE">
              <w:rPr>
                <w:rFonts w:ascii="Calibri Light" w:eastAsia="Times New Roman" w:hAnsi="Calibri Light" w:cs="Calibri Light"/>
                <w:color w:val="000000"/>
                <w:sz w:val="20"/>
                <w:szCs w:val="20"/>
                <w:lang w:eastAsia="en-GB"/>
              </w:rPr>
              <w:t xml:space="preserve"> узимајући у обзир </w:t>
            </w:r>
            <w:r w:rsidR="003B6BD6" w:rsidRPr="000A2AFE">
              <w:rPr>
                <w:rFonts w:ascii="Calibri Light" w:eastAsia="Times New Roman" w:hAnsi="Calibri Light" w:cs="Calibri Light"/>
                <w:color w:val="000000"/>
                <w:sz w:val="20"/>
                <w:szCs w:val="20"/>
                <w:lang w:eastAsia="en-GB"/>
              </w:rPr>
              <w:t xml:space="preserve">остварене </w:t>
            </w:r>
            <w:r w:rsidR="0013237E" w:rsidRPr="000A2AFE">
              <w:rPr>
                <w:rFonts w:ascii="Calibri Light" w:eastAsia="Times New Roman" w:hAnsi="Calibri Light" w:cs="Calibri Light"/>
                <w:color w:val="000000"/>
                <w:sz w:val="20"/>
                <w:szCs w:val="20"/>
                <w:lang w:eastAsia="en-GB"/>
              </w:rPr>
              <w:t>користи од</w:t>
            </w:r>
            <w:r w:rsidR="00041F95" w:rsidRPr="000A2AFE">
              <w:rPr>
                <w:rFonts w:ascii="Calibri Light" w:eastAsia="Times New Roman" w:hAnsi="Calibri Light" w:cs="Calibri Light"/>
                <w:color w:val="000000"/>
                <w:sz w:val="20"/>
                <w:szCs w:val="20"/>
                <w:lang w:eastAsia="en-GB"/>
              </w:rPr>
              <w:t xml:space="preserve"> коришћења</w:t>
            </w:r>
            <w:r w:rsidR="0013237E" w:rsidRPr="000A2AFE">
              <w:rPr>
                <w:rFonts w:ascii="Calibri Light" w:eastAsia="Times New Roman" w:hAnsi="Calibri Light" w:cs="Calibri Light"/>
                <w:color w:val="000000"/>
                <w:sz w:val="20"/>
                <w:szCs w:val="20"/>
                <w:lang w:eastAsia="en-GB"/>
              </w:rPr>
              <w:t xml:space="preserve"> децентрализованих система обновљиве енергије и повећања нивоа производње електричне енергије за сопствене потребе. </w:t>
            </w:r>
            <w:r w:rsidRPr="000A2AFE">
              <w:rPr>
                <w:rFonts w:ascii="Calibri Light" w:eastAsia="Times New Roman" w:hAnsi="Calibri Light" w:cs="Calibri Light"/>
                <w:color w:val="000000"/>
                <w:sz w:val="20"/>
                <w:szCs w:val="20"/>
                <w:lang w:eastAsia="en-GB"/>
              </w:rPr>
              <w:t xml:space="preserve">Поред тога, недискриминаторне и пропорционалне таксе и накнаде ће се примењивати </w:t>
            </w:r>
            <w:r w:rsidR="00041F95" w:rsidRPr="000A2AFE">
              <w:rPr>
                <w:rFonts w:ascii="Calibri Light" w:eastAsia="Times New Roman" w:hAnsi="Calibri Light" w:cs="Calibri Light"/>
                <w:color w:val="000000"/>
                <w:sz w:val="20"/>
                <w:szCs w:val="20"/>
                <w:lang w:eastAsia="en-GB"/>
              </w:rPr>
              <w:t>за производњу електричне енергије из обновљивих извора за</w:t>
            </w:r>
            <w:r w:rsidRPr="000A2AFE">
              <w:rPr>
                <w:rFonts w:ascii="Calibri Light" w:eastAsia="Times New Roman" w:hAnsi="Calibri Light" w:cs="Calibri Light"/>
                <w:color w:val="000000"/>
                <w:sz w:val="20"/>
                <w:szCs w:val="20"/>
                <w:lang w:eastAsia="en-GB"/>
              </w:rPr>
              <w:t xml:space="preserve"> сопствене </w:t>
            </w:r>
            <w:r w:rsidR="00041F95" w:rsidRPr="000A2AFE">
              <w:rPr>
                <w:rFonts w:ascii="Calibri Light" w:eastAsia="Times New Roman" w:hAnsi="Calibri Light" w:cs="Calibri Light"/>
                <w:color w:val="000000"/>
                <w:sz w:val="20"/>
                <w:szCs w:val="20"/>
                <w:lang w:eastAsia="en-GB"/>
              </w:rPr>
              <w:t>потребе</w:t>
            </w:r>
            <w:r w:rsidRPr="000A2AFE">
              <w:rPr>
                <w:rFonts w:ascii="Calibri Light" w:eastAsia="Times New Roman" w:hAnsi="Calibri Light" w:cs="Calibri Light"/>
                <w:color w:val="000000"/>
                <w:sz w:val="20"/>
                <w:szCs w:val="20"/>
                <w:lang w:eastAsia="en-GB"/>
              </w:rPr>
              <w:t xml:space="preserve">, а транспарентна и фер правила </w:t>
            </w:r>
            <w:r w:rsidR="00AF27D8" w:rsidRPr="000A2AFE">
              <w:rPr>
                <w:rFonts w:ascii="Calibri Light" w:eastAsia="Times New Roman" w:hAnsi="Calibri Light" w:cs="Calibri Light"/>
                <w:color w:val="000000"/>
                <w:sz w:val="20"/>
                <w:szCs w:val="20"/>
                <w:lang w:eastAsia="en-GB"/>
              </w:rPr>
              <w:t>расподеле</w:t>
            </w:r>
            <w:r w:rsidRPr="000A2AFE">
              <w:rPr>
                <w:rFonts w:ascii="Calibri Light" w:eastAsia="Times New Roman" w:hAnsi="Calibri Light" w:cs="Calibri Light"/>
                <w:color w:val="000000"/>
                <w:sz w:val="20"/>
                <w:szCs w:val="20"/>
                <w:lang w:eastAsia="en-GB"/>
              </w:rPr>
              <w:t xml:space="preserve"> ће бити дефинисана у случају да се </w:t>
            </w:r>
            <w:r w:rsidR="00041F95" w:rsidRPr="000A2AFE">
              <w:rPr>
                <w:rFonts w:ascii="Calibri Light" w:eastAsia="Times New Roman" w:hAnsi="Calibri Light" w:cs="Calibri Light"/>
                <w:color w:val="000000"/>
                <w:sz w:val="20"/>
                <w:szCs w:val="20"/>
                <w:lang w:eastAsia="en-GB"/>
              </w:rPr>
              <w:t>произвођачи електричне енергије из обновљивих извора за</w:t>
            </w:r>
            <w:r w:rsidRPr="000A2AFE">
              <w:rPr>
                <w:rFonts w:ascii="Calibri Light" w:eastAsia="Times New Roman" w:hAnsi="Calibri Light" w:cs="Calibri Light"/>
                <w:color w:val="000000"/>
                <w:sz w:val="20"/>
                <w:szCs w:val="20"/>
                <w:lang w:eastAsia="en-GB"/>
              </w:rPr>
              <w:t xml:space="preserve"> сопствене п</w:t>
            </w:r>
            <w:r w:rsidR="00041F95" w:rsidRPr="000A2AFE">
              <w:rPr>
                <w:rFonts w:ascii="Calibri Light" w:eastAsia="Times New Roman" w:hAnsi="Calibri Light" w:cs="Calibri Light"/>
                <w:color w:val="000000"/>
                <w:sz w:val="20"/>
                <w:szCs w:val="20"/>
                <w:lang w:eastAsia="en-GB"/>
              </w:rPr>
              <w:t xml:space="preserve">отребе </w:t>
            </w:r>
            <w:r w:rsidRPr="000A2AFE">
              <w:rPr>
                <w:rFonts w:ascii="Calibri Light" w:eastAsia="Times New Roman" w:hAnsi="Calibri Light" w:cs="Calibri Light"/>
                <w:color w:val="000000"/>
                <w:sz w:val="20"/>
                <w:szCs w:val="20"/>
                <w:lang w:eastAsia="en-GB"/>
              </w:rPr>
              <w:t xml:space="preserve">налазе у истој згради. На крају, биће спроведена анализа </w:t>
            </w:r>
            <w:r w:rsidR="002F3C29" w:rsidRPr="000A2AFE">
              <w:rPr>
                <w:rFonts w:ascii="Calibri Light" w:eastAsia="Times New Roman" w:hAnsi="Calibri Light" w:cs="Calibri Light"/>
                <w:color w:val="000000"/>
                <w:sz w:val="20"/>
                <w:szCs w:val="20"/>
                <w:lang w:eastAsia="en-GB"/>
              </w:rPr>
              <w:t>с циљем да се</w:t>
            </w:r>
            <w:r w:rsidRPr="000A2AFE">
              <w:rPr>
                <w:rFonts w:ascii="Calibri Light" w:eastAsia="Times New Roman" w:hAnsi="Calibri Light" w:cs="Calibri Light"/>
                <w:color w:val="000000"/>
                <w:sz w:val="20"/>
                <w:szCs w:val="20"/>
                <w:lang w:eastAsia="en-GB"/>
              </w:rPr>
              <w:t xml:space="preserve"> идентифик</w:t>
            </w:r>
            <w:r w:rsidR="002F3C29" w:rsidRPr="000A2AFE">
              <w:rPr>
                <w:rFonts w:ascii="Calibri Light" w:eastAsia="Times New Roman" w:hAnsi="Calibri Light" w:cs="Calibri Light"/>
                <w:color w:val="000000"/>
                <w:sz w:val="20"/>
                <w:szCs w:val="20"/>
                <w:lang w:eastAsia="en-GB"/>
              </w:rPr>
              <w:t>ују</w:t>
            </w:r>
            <w:r w:rsidRPr="000A2AFE">
              <w:rPr>
                <w:rFonts w:ascii="Calibri Light" w:eastAsia="Times New Roman" w:hAnsi="Calibri Light" w:cs="Calibri Light"/>
                <w:color w:val="000000"/>
                <w:sz w:val="20"/>
                <w:szCs w:val="20"/>
                <w:lang w:eastAsia="en-GB"/>
              </w:rPr>
              <w:t xml:space="preserve"> потенцијалне препреке и </w:t>
            </w:r>
            <w:r w:rsidR="002F3C29" w:rsidRPr="000A2AFE">
              <w:rPr>
                <w:rFonts w:ascii="Calibri Light" w:eastAsia="Times New Roman" w:hAnsi="Calibri Light" w:cs="Calibri Light"/>
                <w:color w:val="000000"/>
                <w:sz w:val="20"/>
                <w:szCs w:val="20"/>
                <w:lang w:eastAsia="en-GB"/>
              </w:rPr>
              <w:t>установе</w:t>
            </w:r>
            <w:r w:rsidRPr="000A2AFE">
              <w:rPr>
                <w:rFonts w:ascii="Calibri Light" w:eastAsia="Times New Roman" w:hAnsi="Calibri Light" w:cs="Calibri Light"/>
                <w:color w:val="000000"/>
                <w:sz w:val="20"/>
                <w:szCs w:val="20"/>
                <w:lang w:eastAsia="en-GB"/>
              </w:rPr>
              <w:t xml:space="preserve"> посебне политике и мере за превазилажење</w:t>
            </w:r>
            <w:r w:rsidR="002F3C29" w:rsidRPr="000A2AFE">
              <w:rPr>
                <w:rFonts w:ascii="Calibri Light" w:eastAsia="Times New Roman" w:hAnsi="Calibri Light" w:cs="Calibri Light"/>
                <w:color w:val="000000"/>
                <w:sz w:val="20"/>
                <w:szCs w:val="20"/>
                <w:lang w:eastAsia="en-GB"/>
              </w:rPr>
              <w:t xml:space="preserve"> тих препрека,</w:t>
            </w:r>
            <w:r w:rsidRPr="000A2AFE">
              <w:rPr>
                <w:rFonts w:ascii="Calibri Light" w:eastAsia="Times New Roman" w:hAnsi="Calibri Light" w:cs="Calibri Light"/>
                <w:color w:val="000000"/>
                <w:sz w:val="20"/>
                <w:szCs w:val="20"/>
                <w:lang w:eastAsia="en-GB"/>
              </w:rPr>
              <w:t xml:space="preserve"> </w:t>
            </w:r>
            <w:r w:rsidR="002F3C29" w:rsidRPr="000A2AFE">
              <w:rPr>
                <w:rFonts w:ascii="Calibri Light" w:eastAsia="Times New Roman" w:hAnsi="Calibri Light" w:cs="Calibri Light"/>
                <w:color w:val="000000"/>
                <w:sz w:val="20"/>
                <w:szCs w:val="20"/>
                <w:lang w:eastAsia="en-GB"/>
              </w:rPr>
              <w:t>у случају да је</w:t>
            </w:r>
            <w:r w:rsidRPr="000A2AFE">
              <w:rPr>
                <w:rFonts w:ascii="Calibri Light" w:eastAsia="Times New Roman" w:hAnsi="Calibri Light" w:cs="Calibri Light"/>
                <w:color w:val="000000"/>
                <w:sz w:val="20"/>
                <w:szCs w:val="20"/>
                <w:lang w:eastAsia="en-GB"/>
              </w:rPr>
              <w:t xml:space="preserve"> њихово постојање оправдано</w:t>
            </w:r>
            <w:r w:rsidR="00977577">
              <w:rPr>
                <w:rFonts w:ascii="Calibri Light" w:eastAsia="Times New Roman" w:hAnsi="Calibri Light" w:cs="Calibri Light"/>
                <w:color w:val="000000"/>
                <w:sz w:val="20"/>
                <w:szCs w:val="20"/>
                <w:lang w:val="sr-Latn-RS" w:eastAsia="en-GB"/>
              </w:rPr>
              <w:t xml:space="preserve">, </w:t>
            </w:r>
            <w:r w:rsidR="00977577" w:rsidRPr="00977577">
              <w:rPr>
                <w:rFonts w:ascii="Calibri Light" w:eastAsia="Times New Roman" w:hAnsi="Calibri Light" w:cs="Calibri Light"/>
                <w:color w:val="000000"/>
                <w:sz w:val="20"/>
                <w:szCs w:val="20"/>
                <w:lang w:val="sr-Latn-RS" w:eastAsia="en-GB"/>
              </w:rPr>
              <w:t>осигуравајући истовремено да произвођачи електричне енергије за сопствене потребе доприносе на адекватан и балансиран начин укупној подели трошкова система када се електрична енергија предаје у мрежу.</w:t>
            </w:r>
          </w:p>
        </w:tc>
      </w:tr>
      <w:tr w:rsidR="00854ADA" w:rsidRPr="00FF386D" w14:paraId="6AF4E142"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1AE2F9B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1092CDFB" w14:textId="1DE75228"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375CE3"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-2030.</w:t>
            </w:r>
          </w:p>
        </w:tc>
      </w:tr>
      <w:tr w:rsidR="00854ADA" w:rsidRPr="00FF386D" w14:paraId="5BB5C3A4"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4F72A15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7BA3F332"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Инвестиција</w:t>
            </w:r>
          </w:p>
        </w:tc>
      </w:tr>
      <w:tr w:rsidR="00854ADA" w:rsidRPr="00FF386D" w14:paraId="6B8A51C5"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671F5BC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39116632"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Електроенергетика</w:t>
            </w:r>
          </w:p>
        </w:tc>
      </w:tr>
      <w:tr w:rsidR="00854ADA" w:rsidRPr="00FF386D" w14:paraId="33E86AE0"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346FE8F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4448B22E"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19DA24A4" w14:textId="77777777" w:rsidTr="0057310C">
        <w:trPr>
          <w:trHeight w:val="315"/>
        </w:trPr>
        <w:tc>
          <w:tcPr>
            <w:tcW w:w="3330" w:type="dxa"/>
            <w:tcBorders>
              <w:top w:val="nil"/>
              <w:left w:val="single" w:sz="8" w:space="0" w:color="auto"/>
              <w:bottom w:val="single" w:sz="8" w:space="0" w:color="auto"/>
              <w:right w:val="nil"/>
            </w:tcBorders>
            <w:shd w:val="clear" w:color="000000" w:fill="244062"/>
            <w:vAlign w:val="center"/>
            <w:hideMark/>
          </w:tcPr>
          <w:p w14:paraId="7658D6E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49388F31" w14:textId="6382E9FB" w:rsidR="00854ADA" w:rsidRPr="000A2AFE" w:rsidRDefault="00994ABA"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273C12CE" w14:textId="77777777" w:rsidTr="0057310C">
        <w:trPr>
          <w:trHeight w:val="315"/>
        </w:trPr>
        <w:tc>
          <w:tcPr>
            <w:tcW w:w="3330" w:type="dxa"/>
            <w:tcBorders>
              <w:top w:val="nil"/>
              <w:left w:val="single" w:sz="8" w:space="0" w:color="auto"/>
              <w:bottom w:val="single" w:sz="8" w:space="0" w:color="auto"/>
              <w:right w:val="nil"/>
            </w:tcBorders>
            <w:shd w:val="clear" w:color="000000" w:fill="244062"/>
            <w:vAlign w:val="center"/>
            <w:hideMark/>
          </w:tcPr>
          <w:p w14:paraId="60BC794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398465A4" w14:textId="30572AB6" w:rsidR="00854ADA" w:rsidRPr="000A2AFE" w:rsidRDefault="00854ADA"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Инсталисани капацитет и електрична енергија произведена из ОИЕ</w:t>
            </w:r>
          </w:p>
        </w:tc>
      </w:tr>
      <w:tr w:rsidR="00854ADA" w:rsidRPr="00FF386D" w14:paraId="2919DC43" w14:textId="77777777" w:rsidTr="0057310C">
        <w:trPr>
          <w:trHeight w:val="449"/>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46AA349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Друге релевантне обухваћене димензије Енергетске уније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tcPr>
          <w:p w14:paraId="51F1E2E9" w14:textId="77777777" w:rsidR="00994ABA" w:rsidRPr="00994ABA" w:rsidRDefault="00994ABA" w:rsidP="00994ABA">
            <w:pPr>
              <w:numPr>
                <w:ilvl w:val="0"/>
                <w:numId w:val="114"/>
              </w:numPr>
              <w:spacing w:after="0" w:line="240" w:lineRule="auto"/>
              <w:rPr>
                <w:rFonts w:ascii="Calibri Light" w:eastAsia="Times New Roman" w:hAnsi="Calibri Light" w:cs="Calibri Light"/>
                <w:color w:val="000000"/>
                <w:sz w:val="20"/>
                <w:szCs w:val="20"/>
                <w:lang w:eastAsia="en-GB"/>
              </w:rPr>
            </w:pPr>
            <w:r w:rsidRPr="00994ABA">
              <w:rPr>
                <w:rFonts w:ascii="Calibri Light" w:eastAsia="Times New Roman" w:hAnsi="Calibri Light" w:cs="Calibri Light"/>
                <w:color w:val="000000"/>
                <w:sz w:val="20"/>
                <w:szCs w:val="20"/>
                <w:lang w:eastAsia="en-GB"/>
              </w:rPr>
              <w:t>Енергетска ефикасност (промовисане технологије ОИЕ ће довести и до уштеде примарне енергије доприносећи постизању релевантних циљева)</w:t>
            </w:r>
          </w:p>
          <w:p w14:paraId="0AB050D6" w14:textId="479AD771" w:rsidR="00854ADA" w:rsidRPr="000A2AFE" w:rsidRDefault="00994ABA"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854ADA" w:rsidRPr="00FF386D" w14:paraId="656F98C1" w14:textId="77777777" w:rsidTr="0057310C">
        <w:trPr>
          <w:trHeight w:val="450"/>
        </w:trPr>
        <w:tc>
          <w:tcPr>
            <w:tcW w:w="3330"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6023CADB" w14:textId="1E0C5292"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28"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582A2F90"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2018/2001/ЕУ</w:t>
            </w:r>
          </w:p>
        </w:tc>
      </w:tr>
      <w:tr w:rsidR="00854ADA" w:rsidRPr="00FF386D" w14:paraId="444CE93C" w14:textId="77777777" w:rsidTr="0057310C">
        <w:trPr>
          <w:trHeight w:val="450"/>
        </w:trPr>
        <w:tc>
          <w:tcPr>
            <w:tcW w:w="3330" w:type="dxa"/>
            <w:vMerge/>
            <w:tcBorders>
              <w:top w:val="nil"/>
              <w:left w:val="single" w:sz="8" w:space="0" w:color="auto"/>
              <w:bottom w:val="single" w:sz="8" w:space="0" w:color="000000"/>
              <w:right w:val="single" w:sz="8" w:space="0" w:color="auto"/>
            </w:tcBorders>
            <w:vAlign w:val="center"/>
            <w:hideMark/>
          </w:tcPr>
          <w:p w14:paraId="0543FE1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8" w:type="dxa"/>
            <w:gridSpan w:val="3"/>
            <w:vMerge/>
            <w:tcBorders>
              <w:top w:val="single" w:sz="8" w:space="0" w:color="auto"/>
              <w:left w:val="single" w:sz="8" w:space="0" w:color="auto"/>
              <w:bottom w:val="single" w:sz="8" w:space="0" w:color="000000"/>
              <w:right w:val="single" w:sz="8" w:space="0" w:color="000000"/>
            </w:tcBorders>
            <w:vAlign w:val="center"/>
            <w:hideMark/>
          </w:tcPr>
          <w:p w14:paraId="1C780B0E"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4C71C5B5" w14:textId="77777777" w:rsidTr="0057310C">
        <w:trPr>
          <w:trHeight w:val="450"/>
        </w:trPr>
        <w:tc>
          <w:tcPr>
            <w:tcW w:w="3330" w:type="dxa"/>
            <w:vMerge/>
            <w:tcBorders>
              <w:top w:val="nil"/>
              <w:left w:val="single" w:sz="8" w:space="0" w:color="auto"/>
              <w:bottom w:val="single" w:sz="8" w:space="0" w:color="000000"/>
              <w:right w:val="single" w:sz="8" w:space="0" w:color="auto"/>
            </w:tcBorders>
            <w:vAlign w:val="center"/>
            <w:hideMark/>
          </w:tcPr>
          <w:p w14:paraId="559C71C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8" w:type="dxa"/>
            <w:gridSpan w:val="3"/>
            <w:vMerge/>
            <w:tcBorders>
              <w:top w:val="single" w:sz="8" w:space="0" w:color="auto"/>
              <w:left w:val="single" w:sz="8" w:space="0" w:color="auto"/>
              <w:bottom w:val="single" w:sz="8" w:space="0" w:color="000000"/>
              <w:right w:val="single" w:sz="8" w:space="0" w:color="000000"/>
            </w:tcBorders>
            <w:vAlign w:val="center"/>
            <w:hideMark/>
          </w:tcPr>
          <w:p w14:paraId="6DC57DA3"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22A1267A" w14:textId="77777777" w:rsidTr="0057310C">
        <w:trPr>
          <w:trHeight w:val="443"/>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43BA956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2DC4F630" w14:textId="77777777" w:rsidR="00854ADA"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коришћењу обновљивих извора енергије</w:t>
            </w:r>
          </w:p>
          <w:p w14:paraId="6801A844" w14:textId="20F51B9A" w:rsidR="006E6B66" w:rsidRPr="00FF386D" w:rsidRDefault="006E6B66"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Закон о енергетској ефикасности и рационалној употреби енергије</w:t>
            </w:r>
          </w:p>
        </w:tc>
      </w:tr>
      <w:tr w:rsidR="00854ADA" w:rsidRPr="00FF386D" w14:paraId="13AB8641"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1B4DCDC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12DBC1EE" w14:textId="5493EDAF"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Биће </w:t>
            </w:r>
            <w:r w:rsidR="00375CE3" w:rsidRPr="00FF386D">
              <w:rPr>
                <w:rFonts w:ascii="Calibri Light" w:eastAsia="Times New Roman" w:hAnsi="Calibri Light" w:cs="Calibri Light"/>
                <w:color w:val="000000"/>
                <w:sz w:val="20"/>
                <w:szCs w:val="20"/>
                <w:lang w:eastAsia="en-GB"/>
              </w:rPr>
              <w:t>обухваћен</w:t>
            </w:r>
            <w:r w:rsidR="00041F95" w:rsidRPr="00FF386D">
              <w:rPr>
                <w:rFonts w:ascii="Calibri Light" w:eastAsia="Times New Roman" w:hAnsi="Calibri Light" w:cs="Calibri Light"/>
                <w:color w:val="000000"/>
                <w:sz w:val="20"/>
                <w:szCs w:val="20"/>
                <w:lang w:eastAsia="en-GB"/>
              </w:rPr>
              <w:t>и</w:t>
            </w:r>
            <w:r w:rsidRPr="00FF386D">
              <w:rPr>
                <w:rFonts w:ascii="Calibri Light" w:eastAsia="Times New Roman" w:hAnsi="Calibri Light" w:cs="Calibri Light"/>
                <w:color w:val="000000"/>
                <w:sz w:val="20"/>
                <w:szCs w:val="20"/>
                <w:lang w:eastAsia="en-GB"/>
              </w:rPr>
              <w:t xml:space="preserve"> у МП_Д21</w:t>
            </w:r>
          </w:p>
        </w:tc>
      </w:tr>
      <w:tr w:rsidR="00854ADA" w:rsidRPr="00FF386D" w14:paraId="366570E8"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364A275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55D3B8CD" w14:textId="7482E361"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375CE3" w:rsidRPr="00FF386D">
              <w:rPr>
                <w:rFonts w:asciiTheme="majorHAnsi" w:eastAsia="Times New Roman" w:hAnsiTheme="majorHAnsi" w:cstheme="majorHAnsi"/>
                <w:color w:val="000000"/>
                <w:sz w:val="20"/>
                <w:szCs w:val="20"/>
                <w:lang w:eastAsia="en-GB"/>
              </w:rPr>
              <w:t>ска средства</w:t>
            </w:r>
          </w:p>
        </w:tc>
      </w:tr>
    </w:tbl>
    <w:p w14:paraId="6CA9455A"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30"/>
        <w:gridCol w:w="945"/>
        <w:gridCol w:w="946"/>
        <w:gridCol w:w="4237"/>
      </w:tblGrid>
      <w:tr w:rsidR="00854ADA" w:rsidRPr="00FF386D" w14:paraId="3019C7DB" w14:textId="77777777" w:rsidTr="0057310C">
        <w:trPr>
          <w:trHeight w:val="780"/>
        </w:trPr>
        <w:tc>
          <w:tcPr>
            <w:tcW w:w="3330"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34D67C11"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45" w:type="dxa"/>
            <w:tcBorders>
              <w:top w:val="single" w:sz="8" w:space="0" w:color="auto"/>
              <w:left w:val="nil"/>
              <w:bottom w:val="single" w:sz="8" w:space="0" w:color="auto"/>
              <w:right w:val="single" w:sz="8" w:space="0" w:color="auto"/>
            </w:tcBorders>
            <w:shd w:val="clear" w:color="auto" w:fill="E7E6E6" w:themeFill="background2"/>
            <w:vAlign w:val="center"/>
            <w:hideMark/>
          </w:tcPr>
          <w:p w14:paraId="23626115" w14:textId="1B0E4A82" w:rsidR="00854ADA" w:rsidRPr="000A2AFE" w:rsidRDefault="00854ADA" w:rsidP="00854ADA">
            <w:pPr>
              <w:spacing w:after="0" w:line="240" w:lineRule="auto"/>
              <w:jc w:val="both"/>
              <w:rPr>
                <w:rFonts w:ascii="Calibri Light" w:eastAsia="Times New Roman" w:hAnsi="Calibri Light" w:cs="Calibri Light"/>
                <w:b/>
                <w:bCs/>
                <w:color w:val="000000"/>
                <w:sz w:val="20"/>
                <w:szCs w:val="20"/>
                <w:lang w:val="sr-Latn-RS" w:eastAsia="en-GB"/>
              </w:rPr>
            </w:pPr>
            <w:r w:rsidRPr="000A2AFE">
              <w:rPr>
                <w:rFonts w:ascii="Calibri Light" w:eastAsia="Times New Roman" w:hAnsi="Calibri Light" w:cs="Calibri Light"/>
                <w:b/>
                <w:bCs/>
                <w:color w:val="000000"/>
                <w:sz w:val="20"/>
                <w:szCs w:val="20"/>
                <w:lang w:eastAsia="en-GB"/>
              </w:rPr>
              <w:t>МП_</w:t>
            </w:r>
            <w:r w:rsidR="003123AE" w:rsidRPr="000A2AFE">
              <w:rPr>
                <w:rFonts w:ascii="Calibri Light" w:eastAsia="Times New Roman" w:hAnsi="Calibri Light" w:cs="Calibri Light"/>
                <w:b/>
                <w:bCs/>
                <w:color w:val="000000"/>
                <w:sz w:val="20"/>
                <w:szCs w:val="20"/>
                <w:lang w:eastAsia="en-GB"/>
              </w:rPr>
              <w:t>Д2</w:t>
            </w:r>
            <w:r w:rsidR="003123AE">
              <w:rPr>
                <w:rFonts w:ascii="Calibri Light" w:eastAsia="Times New Roman" w:hAnsi="Calibri Light" w:cs="Calibri Light"/>
                <w:b/>
                <w:bCs/>
                <w:color w:val="000000"/>
                <w:sz w:val="20"/>
                <w:szCs w:val="20"/>
                <w:lang w:val="sr-Latn-RS" w:eastAsia="en-GB"/>
              </w:rPr>
              <w:t>7</w:t>
            </w:r>
          </w:p>
        </w:tc>
        <w:tc>
          <w:tcPr>
            <w:tcW w:w="946" w:type="dxa"/>
            <w:tcBorders>
              <w:top w:val="single" w:sz="8" w:space="0" w:color="auto"/>
              <w:left w:val="nil"/>
              <w:bottom w:val="single" w:sz="8" w:space="0" w:color="auto"/>
              <w:right w:val="single" w:sz="8" w:space="0" w:color="auto"/>
            </w:tcBorders>
            <w:shd w:val="clear" w:color="000000" w:fill="244062"/>
            <w:vAlign w:val="center"/>
            <w:hideMark/>
          </w:tcPr>
          <w:p w14:paraId="1033325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37" w:type="dxa"/>
            <w:tcBorders>
              <w:top w:val="single" w:sz="8" w:space="0" w:color="auto"/>
              <w:left w:val="nil"/>
              <w:bottom w:val="single" w:sz="8" w:space="0" w:color="auto"/>
              <w:right w:val="single" w:sz="8" w:space="0" w:color="auto"/>
            </w:tcBorders>
            <w:shd w:val="clear" w:color="auto" w:fill="E7E6E6" w:themeFill="background2"/>
            <w:vAlign w:val="center"/>
            <w:hideMark/>
          </w:tcPr>
          <w:p w14:paraId="171F8ABA" w14:textId="0E4D0E28" w:rsidR="00854ADA" w:rsidRPr="00FF386D" w:rsidRDefault="003123AE" w:rsidP="00854ADA">
            <w:pPr>
              <w:spacing w:after="0" w:line="240" w:lineRule="auto"/>
              <w:jc w:val="both"/>
              <w:rPr>
                <w:rFonts w:ascii="Calibri Light" w:eastAsia="Times New Roman" w:hAnsi="Calibri Light" w:cs="Calibri Light"/>
                <w:b/>
                <w:bCs/>
                <w:color w:val="000000"/>
                <w:sz w:val="20"/>
                <w:szCs w:val="20"/>
                <w:lang w:eastAsia="en-GB"/>
              </w:rPr>
            </w:pPr>
            <w:r w:rsidRPr="003123AE">
              <w:rPr>
                <w:rFonts w:ascii="Calibri Light" w:eastAsia="Times New Roman" w:hAnsi="Calibri Light" w:cs="Calibri Light"/>
                <w:b/>
                <w:bCs/>
                <w:color w:val="000000"/>
                <w:sz w:val="20"/>
                <w:szCs w:val="20"/>
                <w:lang w:eastAsia="en-GB"/>
              </w:rPr>
              <w:t>Вођење</w:t>
            </w:r>
            <w:r w:rsidR="00854ADA" w:rsidRPr="000A2AFE">
              <w:rPr>
                <w:rFonts w:ascii="Calibri Light" w:eastAsia="Times New Roman" w:hAnsi="Calibri Light" w:cs="Calibri Light"/>
                <w:b/>
                <w:bCs/>
                <w:color w:val="000000"/>
                <w:sz w:val="20"/>
                <w:szCs w:val="20"/>
                <w:lang w:eastAsia="en-GB"/>
              </w:rPr>
              <w:t xml:space="preserve"> јавно доступног регистра за произвођаче електричне енергије из ОИЕ</w:t>
            </w:r>
          </w:p>
        </w:tc>
      </w:tr>
      <w:tr w:rsidR="00854ADA" w:rsidRPr="00FF386D" w14:paraId="60D5C7BA" w14:textId="77777777" w:rsidTr="0057310C">
        <w:trPr>
          <w:trHeight w:val="341"/>
        </w:trPr>
        <w:tc>
          <w:tcPr>
            <w:tcW w:w="3330" w:type="dxa"/>
            <w:tcBorders>
              <w:top w:val="nil"/>
              <w:left w:val="single" w:sz="8" w:space="0" w:color="auto"/>
              <w:bottom w:val="single" w:sz="8" w:space="0" w:color="auto"/>
              <w:right w:val="nil"/>
            </w:tcBorders>
            <w:shd w:val="clear" w:color="000000" w:fill="244062"/>
            <w:vAlign w:val="center"/>
            <w:hideMark/>
          </w:tcPr>
          <w:p w14:paraId="6814DE9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03AB61DB"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Повећан удео ОИЕ у производњи електричне енергије</w:t>
            </w:r>
          </w:p>
        </w:tc>
      </w:tr>
      <w:tr w:rsidR="00854ADA" w:rsidRPr="00FF386D" w14:paraId="0E03DD31"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045C1B1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5C88FAA1" w14:textId="16F48839"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Допринос </w:t>
            </w:r>
            <w:r w:rsidR="003123AE" w:rsidRPr="003123AE">
              <w:rPr>
                <w:rFonts w:asciiTheme="majorHAnsi" w:eastAsia="Times New Roman" w:hAnsiTheme="majorHAnsi" w:cstheme="majorHAnsi"/>
                <w:color w:val="000000"/>
                <w:sz w:val="20"/>
                <w:szCs w:val="20"/>
                <w:lang w:eastAsia="en-GB"/>
              </w:rPr>
              <w:t>очекиваном уделу ОИЕ у производњи електричне енергије</w:t>
            </w:r>
          </w:p>
        </w:tc>
      </w:tr>
      <w:tr w:rsidR="00854ADA" w:rsidRPr="00FF386D" w14:paraId="533056DD" w14:textId="77777777" w:rsidTr="0057310C">
        <w:trPr>
          <w:trHeight w:val="918"/>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4549471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2739103A" w14:textId="045520CA"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МП_</w:t>
            </w:r>
            <w:r w:rsidR="003123AE" w:rsidRPr="000A2AFE">
              <w:rPr>
                <w:rFonts w:ascii="Calibri Light" w:eastAsia="Times New Roman" w:hAnsi="Calibri Light" w:cs="Calibri Light"/>
                <w:color w:val="000000"/>
                <w:sz w:val="20"/>
                <w:szCs w:val="20"/>
                <w:lang w:eastAsia="en-GB"/>
              </w:rPr>
              <w:t>Д2</w:t>
            </w:r>
            <w:r w:rsidR="003123AE">
              <w:rPr>
                <w:rFonts w:ascii="Calibri Light" w:eastAsia="Times New Roman" w:hAnsi="Calibri Light" w:cs="Calibri Light"/>
                <w:color w:val="000000"/>
                <w:sz w:val="20"/>
                <w:szCs w:val="20"/>
                <w:lang w:val="sr-Latn-RS" w:eastAsia="en-GB"/>
              </w:rPr>
              <w:t>7</w:t>
            </w:r>
            <w:r w:rsidR="003123AE"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 xml:space="preserve">ће предвидети </w:t>
            </w:r>
            <w:r w:rsidR="003123AE" w:rsidRPr="003123AE">
              <w:rPr>
                <w:rFonts w:ascii="Calibri Light" w:eastAsia="Times New Roman" w:hAnsi="Calibri Light" w:cs="Calibri Light"/>
                <w:color w:val="000000"/>
                <w:sz w:val="20"/>
                <w:szCs w:val="20"/>
                <w:lang w:eastAsia="en-GB"/>
              </w:rPr>
              <w:t>унапређење</w:t>
            </w:r>
            <w:r w:rsidRPr="000A2AFE">
              <w:rPr>
                <w:rFonts w:ascii="Calibri Light" w:eastAsia="Times New Roman" w:hAnsi="Calibri Light" w:cs="Calibri Light"/>
                <w:color w:val="000000"/>
                <w:sz w:val="20"/>
                <w:szCs w:val="20"/>
                <w:lang w:eastAsia="en-GB"/>
              </w:rPr>
              <w:t xml:space="preserve"> </w:t>
            </w:r>
            <w:r w:rsidR="003123AE" w:rsidRPr="003123AE">
              <w:rPr>
                <w:rFonts w:ascii="Calibri Light" w:eastAsia="Times New Roman" w:hAnsi="Calibri Light" w:cs="Calibri Light"/>
                <w:color w:val="000000"/>
                <w:sz w:val="20"/>
                <w:szCs w:val="20"/>
                <w:lang w:eastAsia="en-GB"/>
              </w:rPr>
              <w:t xml:space="preserve">постојећих </w:t>
            </w:r>
            <w:r w:rsidRPr="000A2AFE">
              <w:rPr>
                <w:rFonts w:ascii="Calibri Light" w:eastAsia="Times New Roman" w:hAnsi="Calibri Light" w:cs="Calibri Light"/>
                <w:color w:val="000000"/>
                <w:sz w:val="20"/>
                <w:szCs w:val="20"/>
                <w:lang w:eastAsia="en-GB"/>
              </w:rPr>
              <w:t>регист</w:t>
            </w:r>
            <w:r w:rsidR="003123A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ра од стране </w:t>
            </w:r>
            <w:r w:rsidR="003123AE" w:rsidRPr="000A2AFE">
              <w:rPr>
                <w:rFonts w:ascii="Calibri Light" w:eastAsia="Times New Roman" w:hAnsi="Calibri Light" w:cs="Calibri Light"/>
                <w:color w:val="000000"/>
                <w:sz w:val="20"/>
                <w:szCs w:val="20"/>
                <w:lang w:eastAsia="en-GB"/>
              </w:rPr>
              <w:t>надлежн</w:t>
            </w:r>
            <w:r w:rsidR="003123AE">
              <w:rPr>
                <w:rFonts w:ascii="Calibri Light" w:eastAsia="Times New Roman" w:hAnsi="Calibri Light" w:cs="Calibri Light"/>
                <w:color w:val="000000"/>
                <w:sz w:val="20"/>
                <w:szCs w:val="20"/>
                <w:lang w:eastAsia="en-GB"/>
              </w:rPr>
              <w:t>их</w:t>
            </w:r>
            <w:r w:rsidR="003123AE"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 xml:space="preserve">органа, </w:t>
            </w:r>
            <w:r w:rsidR="003123AE" w:rsidRPr="003123AE">
              <w:rPr>
                <w:rFonts w:ascii="Calibri Light" w:eastAsia="Times New Roman" w:hAnsi="Calibri Light" w:cs="Calibri Light"/>
                <w:color w:val="000000"/>
                <w:sz w:val="20"/>
                <w:szCs w:val="20"/>
                <w:lang w:eastAsia="en-GB"/>
              </w:rPr>
              <w:t>како је предвиђено одговарајућим законодавством,</w:t>
            </w:r>
            <w:r w:rsidR="003123A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за пружање информација свим грађанима о нето користима, трошковима и енергетској ефикасности инсталираних постројења за производњу електричне енергије из обновљивих извора енергије.</w:t>
            </w:r>
          </w:p>
        </w:tc>
      </w:tr>
      <w:tr w:rsidR="00854ADA" w:rsidRPr="00FF386D" w14:paraId="65171F33"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0081354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77E69CB7" w14:textId="50D7A0A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3B6BD6"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w:t>
            </w:r>
            <w:r w:rsidR="00994ABA">
              <w:rPr>
                <w:rFonts w:ascii="Calibri Light" w:eastAsia="Times New Roman" w:hAnsi="Calibri Light" w:cs="Calibri Light"/>
                <w:color w:val="000000"/>
                <w:sz w:val="20"/>
                <w:szCs w:val="20"/>
                <w:lang w:eastAsia="en-GB"/>
              </w:rPr>
              <w:t>26</w:t>
            </w:r>
            <w:r w:rsidRPr="000A2AFE">
              <w:rPr>
                <w:rFonts w:ascii="Calibri Light" w:eastAsia="Times New Roman" w:hAnsi="Calibri Light" w:cs="Calibri Light"/>
                <w:color w:val="000000"/>
                <w:sz w:val="20"/>
                <w:szCs w:val="20"/>
                <w:lang w:eastAsia="en-GB"/>
              </w:rPr>
              <w:t>.</w:t>
            </w:r>
          </w:p>
        </w:tc>
      </w:tr>
      <w:tr w:rsidR="00854ADA" w:rsidRPr="00FF386D" w14:paraId="5C7163D2"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4314E38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1369C9DA"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Реформа</w:t>
            </w:r>
          </w:p>
        </w:tc>
      </w:tr>
      <w:tr w:rsidR="00854ADA" w:rsidRPr="00FF386D" w14:paraId="779F2E5D"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050F4EE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37529EB4"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Електроенергетика</w:t>
            </w:r>
          </w:p>
        </w:tc>
      </w:tr>
      <w:tr w:rsidR="00854ADA" w:rsidRPr="00FF386D" w14:paraId="2269E439"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30C290D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333C1121"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48668FFB" w14:textId="77777777" w:rsidTr="0057310C">
        <w:trPr>
          <w:trHeight w:val="315"/>
        </w:trPr>
        <w:tc>
          <w:tcPr>
            <w:tcW w:w="3330" w:type="dxa"/>
            <w:tcBorders>
              <w:top w:val="nil"/>
              <w:left w:val="single" w:sz="8" w:space="0" w:color="auto"/>
              <w:bottom w:val="single" w:sz="8" w:space="0" w:color="auto"/>
              <w:right w:val="nil"/>
            </w:tcBorders>
            <w:shd w:val="clear" w:color="000000" w:fill="244062"/>
            <w:vAlign w:val="center"/>
            <w:hideMark/>
          </w:tcPr>
          <w:p w14:paraId="5365324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6C45AF64" w14:textId="7FC7D59D" w:rsidR="00854ADA" w:rsidRPr="000A2AFE" w:rsidRDefault="00994ABA"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0F78945E" w14:textId="77777777" w:rsidTr="0057310C">
        <w:trPr>
          <w:trHeight w:val="315"/>
        </w:trPr>
        <w:tc>
          <w:tcPr>
            <w:tcW w:w="3330" w:type="dxa"/>
            <w:tcBorders>
              <w:top w:val="nil"/>
              <w:left w:val="single" w:sz="8" w:space="0" w:color="auto"/>
              <w:bottom w:val="single" w:sz="8" w:space="0" w:color="auto"/>
              <w:right w:val="nil"/>
            </w:tcBorders>
            <w:shd w:val="clear" w:color="000000" w:fill="244062"/>
            <w:vAlign w:val="center"/>
            <w:hideMark/>
          </w:tcPr>
          <w:p w14:paraId="21AE656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3A7401DF" w14:textId="2E37FFFA" w:rsidR="00854ADA" w:rsidRPr="000A2AFE" w:rsidRDefault="00854ADA"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Формиран регистар</w:t>
            </w:r>
          </w:p>
        </w:tc>
      </w:tr>
      <w:tr w:rsidR="00854ADA" w:rsidRPr="00FF386D" w14:paraId="2F00505D" w14:textId="77777777" w:rsidTr="0057310C">
        <w:trPr>
          <w:trHeight w:val="323"/>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1FE0912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tcPr>
          <w:p w14:paraId="173169AD" w14:textId="77777777" w:rsidR="00994ABA" w:rsidRPr="00994ABA" w:rsidRDefault="00994ABA" w:rsidP="00994ABA">
            <w:pPr>
              <w:numPr>
                <w:ilvl w:val="0"/>
                <w:numId w:val="114"/>
              </w:numPr>
              <w:spacing w:after="0" w:line="240" w:lineRule="auto"/>
              <w:rPr>
                <w:rFonts w:ascii="Calibri Light" w:eastAsia="Times New Roman" w:hAnsi="Calibri Light" w:cs="Calibri Light"/>
                <w:color w:val="000000"/>
                <w:sz w:val="20"/>
                <w:szCs w:val="20"/>
                <w:lang w:eastAsia="en-GB"/>
              </w:rPr>
            </w:pPr>
            <w:r w:rsidRPr="00994ABA">
              <w:rPr>
                <w:rFonts w:ascii="Calibri Light" w:eastAsia="Times New Roman" w:hAnsi="Calibri Light" w:cs="Calibri Light"/>
                <w:color w:val="000000"/>
                <w:sz w:val="20"/>
                <w:szCs w:val="20"/>
                <w:lang w:eastAsia="en-GB"/>
              </w:rPr>
              <w:t>Енергетска ефикасност (промовисане технологије ОИЕ ће довести и до уштеде примарне енергије доприносећи постизању релевантних циљева)</w:t>
            </w:r>
          </w:p>
          <w:p w14:paraId="052D1EB9" w14:textId="5DAFDEF3" w:rsidR="00854ADA" w:rsidRPr="000A2AFE" w:rsidRDefault="00994ABA"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854ADA" w:rsidRPr="00FF386D" w14:paraId="75C6DABB" w14:textId="77777777" w:rsidTr="0057310C">
        <w:trPr>
          <w:trHeight w:val="450"/>
        </w:trPr>
        <w:tc>
          <w:tcPr>
            <w:tcW w:w="3330"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3A17B941" w14:textId="7923657F"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28"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3B2AD8AB"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2018/2001/ЕУ</w:t>
            </w:r>
          </w:p>
        </w:tc>
      </w:tr>
      <w:tr w:rsidR="00854ADA" w:rsidRPr="00FF386D" w14:paraId="0771068D" w14:textId="77777777" w:rsidTr="0057310C">
        <w:trPr>
          <w:trHeight w:val="450"/>
        </w:trPr>
        <w:tc>
          <w:tcPr>
            <w:tcW w:w="3330" w:type="dxa"/>
            <w:vMerge/>
            <w:tcBorders>
              <w:top w:val="nil"/>
              <w:left w:val="single" w:sz="8" w:space="0" w:color="auto"/>
              <w:bottom w:val="single" w:sz="8" w:space="0" w:color="000000"/>
              <w:right w:val="single" w:sz="8" w:space="0" w:color="auto"/>
            </w:tcBorders>
            <w:vAlign w:val="center"/>
            <w:hideMark/>
          </w:tcPr>
          <w:p w14:paraId="68C2242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8" w:type="dxa"/>
            <w:gridSpan w:val="3"/>
            <w:vMerge/>
            <w:tcBorders>
              <w:top w:val="single" w:sz="8" w:space="0" w:color="auto"/>
              <w:left w:val="single" w:sz="8" w:space="0" w:color="auto"/>
              <w:bottom w:val="single" w:sz="8" w:space="0" w:color="000000"/>
              <w:right w:val="single" w:sz="8" w:space="0" w:color="000000"/>
            </w:tcBorders>
            <w:vAlign w:val="center"/>
            <w:hideMark/>
          </w:tcPr>
          <w:p w14:paraId="7AF0EAEA"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5F12AD2B" w14:textId="77777777" w:rsidTr="0057310C">
        <w:trPr>
          <w:trHeight w:val="450"/>
        </w:trPr>
        <w:tc>
          <w:tcPr>
            <w:tcW w:w="3330" w:type="dxa"/>
            <w:vMerge/>
            <w:tcBorders>
              <w:top w:val="nil"/>
              <w:left w:val="single" w:sz="8" w:space="0" w:color="auto"/>
              <w:bottom w:val="single" w:sz="8" w:space="0" w:color="000000"/>
              <w:right w:val="single" w:sz="8" w:space="0" w:color="auto"/>
            </w:tcBorders>
            <w:vAlign w:val="center"/>
            <w:hideMark/>
          </w:tcPr>
          <w:p w14:paraId="1615064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8" w:type="dxa"/>
            <w:gridSpan w:val="3"/>
            <w:vMerge/>
            <w:tcBorders>
              <w:top w:val="single" w:sz="8" w:space="0" w:color="auto"/>
              <w:left w:val="single" w:sz="8" w:space="0" w:color="auto"/>
              <w:bottom w:val="single" w:sz="8" w:space="0" w:color="000000"/>
              <w:right w:val="single" w:sz="8" w:space="0" w:color="000000"/>
            </w:tcBorders>
            <w:vAlign w:val="center"/>
            <w:hideMark/>
          </w:tcPr>
          <w:p w14:paraId="3F9F587E"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18A1743B" w14:textId="77777777" w:rsidTr="0057310C">
        <w:trPr>
          <w:trHeight w:val="512"/>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6A8A2AD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5199E98C"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коришћењу обновљивих извора енергије</w:t>
            </w:r>
          </w:p>
        </w:tc>
      </w:tr>
      <w:tr w:rsidR="00854ADA" w:rsidRPr="00FF386D" w14:paraId="3A2E954C"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04F4C32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3CEF0F66"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0,5 милиона евра</w:t>
            </w:r>
          </w:p>
        </w:tc>
      </w:tr>
      <w:tr w:rsidR="00854ADA" w:rsidRPr="00FF386D" w14:paraId="0B8D8F74" w14:textId="77777777" w:rsidTr="0057310C">
        <w:trPr>
          <w:trHeight w:val="315"/>
        </w:trPr>
        <w:tc>
          <w:tcPr>
            <w:tcW w:w="3330" w:type="dxa"/>
            <w:tcBorders>
              <w:top w:val="nil"/>
              <w:left w:val="single" w:sz="8" w:space="0" w:color="auto"/>
              <w:bottom w:val="single" w:sz="8" w:space="0" w:color="auto"/>
              <w:right w:val="single" w:sz="8" w:space="0" w:color="auto"/>
            </w:tcBorders>
            <w:shd w:val="clear" w:color="000000" w:fill="244062"/>
            <w:vAlign w:val="center"/>
            <w:hideMark/>
          </w:tcPr>
          <w:p w14:paraId="282244E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28" w:type="dxa"/>
            <w:gridSpan w:val="3"/>
            <w:tcBorders>
              <w:top w:val="single" w:sz="8" w:space="0" w:color="auto"/>
              <w:left w:val="nil"/>
              <w:bottom w:val="single" w:sz="8" w:space="0" w:color="auto"/>
              <w:right w:val="single" w:sz="8" w:space="0" w:color="000000"/>
            </w:tcBorders>
            <w:shd w:val="clear" w:color="auto" w:fill="auto"/>
            <w:vAlign w:val="center"/>
            <w:hideMark/>
          </w:tcPr>
          <w:p w14:paraId="45B9FF8D" w14:textId="3FC733B1"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3B6BD6" w:rsidRPr="00FF386D">
              <w:rPr>
                <w:rFonts w:asciiTheme="majorHAnsi" w:eastAsia="Times New Roman" w:hAnsiTheme="majorHAnsi" w:cstheme="majorHAnsi"/>
                <w:color w:val="000000"/>
                <w:sz w:val="20"/>
                <w:szCs w:val="20"/>
                <w:lang w:eastAsia="en-GB"/>
              </w:rPr>
              <w:t>ска средства</w:t>
            </w:r>
          </w:p>
        </w:tc>
      </w:tr>
    </w:tbl>
    <w:p w14:paraId="50C516B4" w14:textId="77777777" w:rsidR="00854ADA" w:rsidRPr="00FF386D" w:rsidRDefault="00854ADA" w:rsidP="00854ADA">
      <w:pPr>
        <w:spacing w:before="240" w:after="240" w:line="260" w:lineRule="exact"/>
        <w:jc w:val="both"/>
        <w:rPr>
          <w:rFonts w:cstheme="minorHAnsi"/>
          <w:b/>
          <w:bCs/>
          <w:color w:val="000000"/>
        </w:rPr>
      </w:pPr>
    </w:p>
    <w:tbl>
      <w:tblPr>
        <w:tblW w:w="9458" w:type="dxa"/>
        <w:tblLook w:val="04A0" w:firstRow="1" w:lastRow="0" w:firstColumn="1" w:lastColumn="0" w:noHBand="0" w:noVBand="1"/>
      </w:tblPr>
      <w:tblGrid>
        <w:gridCol w:w="3277"/>
        <w:gridCol w:w="1097"/>
        <w:gridCol w:w="936"/>
        <w:gridCol w:w="4148"/>
      </w:tblGrid>
      <w:tr w:rsidR="00854ADA" w:rsidRPr="00FF386D" w14:paraId="7A9619B0" w14:textId="77777777" w:rsidTr="0057310C">
        <w:trPr>
          <w:trHeight w:val="780"/>
        </w:trPr>
        <w:tc>
          <w:tcPr>
            <w:tcW w:w="3277"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3404CEC2"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97" w:type="dxa"/>
            <w:tcBorders>
              <w:top w:val="single" w:sz="8" w:space="0" w:color="auto"/>
              <w:left w:val="nil"/>
              <w:bottom w:val="single" w:sz="8" w:space="0" w:color="auto"/>
              <w:right w:val="single" w:sz="8" w:space="0" w:color="auto"/>
            </w:tcBorders>
            <w:shd w:val="clear" w:color="auto" w:fill="E7E6E6" w:themeFill="background2"/>
            <w:vAlign w:val="center"/>
            <w:hideMark/>
          </w:tcPr>
          <w:p w14:paraId="377CBA60" w14:textId="7B3AF424"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w:t>
            </w:r>
            <w:r w:rsidR="003123AE" w:rsidRPr="000A2AFE">
              <w:rPr>
                <w:rFonts w:ascii="Calibri Light" w:eastAsia="Times New Roman" w:hAnsi="Calibri Light" w:cs="Calibri Light"/>
                <w:b/>
                <w:bCs/>
                <w:color w:val="000000"/>
                <w:sz w:val="20"/>
                <w:szCs w:val="20"/>
                <w:lang w:eastAsia="en-GB"/>
              </w:rPr>
              <w:t>Д3</w:t>
            </w:r>
            <w:r w:rsidR="003123AE">
              <w:rPr>
                <w:rFonts w:ascii="Calibri Light" w:eastAsia="Times New Roman" w:hAnsi="Calibri Light" w:cs="Calibri Light"/>
                <w:b/>
                <w:bCs/>
                <w:color w:val="000000"/>
                <w:sz w:val="20"/>
                <w:szCs w:val="20"/>
                <w:lang w:eastAsia="en-GB"/>
              </w:rPr>
              <w:t>6</w:t>
            </w:r>
          </w:p>
        </w:tc>
        <w:tc>
          <w:tcPr>
            <w:tcW w:w="936" w:type="dxa"/>
            <w:tcBorders>
              <w:top w:val="single" w:sz="8" w:space="0" w:color="auto"/>
              <w:left w:val="nil"/>
              <w:bottom w:val="single" w:sz="8" w:space="0" w:color="auto"/>
              <w:right w:val="single" w:sz="8" w:space="0" w:color="auto"/>
            </w:tcBorders>
            <w:shd w:val="clear" w:color="000000" w:fill="244062"/>
            <w:vAlign w:val="center"/>
            <w:hideMark/>
          </w:tcPr>
          <w:p w14:paraId="4706BCC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48" w:type="dxa"/>
            <w:tcBorders>
              <w:top w:val="single" w:sz="8" w:space="0" w:color="auto"/>
              <w:left w:val="nil"/>
              <w:bottom w:val="single" w:sz="8" w:space="0" w:color="auto"/>
              <w:right w:val="single" w:sz="8" w:space="0" w:color="auto"/>
            </w:tcBorders>
            <w:shd w:val="clear" w:color="auto" w:fill="E7E6E6" w:themeFill="background2"/>
            <w:vAlign w:val="center"/>
            <w:hideMark/>
          </w:tcPr>
          <w:p w14:paraId="6886130F" w14:textId="6358A34B"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П</w:t>
            </w:r>
            <w:r w:rsidR="00D050A3" w:rsidRPr="000A2AFE">
              <w:rPr>
                <w:rFonts w:ascii="Calibri Light" w:eastAsia="Times New Roman" w:hAnsi="Calibri Light" w:cs="Calibri Light"/>
                <w:b/>
                <w:bCs/>
                <w:color w:val="000000"/>
                <w:sz w:val="20"/>
                <w:szCs w:val="20"/>
                <w:lang w:eastAsia="en-GB"/>
              </w:rPr>
              <w:t>одстицање</w:t>
            </w:r>
            <w:r w:rsidRPr="000A2AFE">
              <w:rPr>
                <w:rFonts w:ascii="Calibri Light" w:eastAsia="Times New Roman" w:hAnsi="Calibri Light" w:cs="Calibri Light"/>
                <w:b/>
                <w:bCs/>
                <w:color w:val="000000"/>
                <w:sz w:val="20"/>
                <w:szCs w:val="20"/>
                <w:lang w:eastAsia="en-GB"/>
              </w:rPr>
              <w:t xml:space="preserve"> заједница обновљивих извора енергије</w:t>
            </w:r>
          </w:p>
        </w:tc>
      </w:tr>
      <w:tr w:rsidR="00854ADA" w:rsidRPr="00FF386D" w14:paraId="7E6421BA" w14:textId="77777777" w:rsidTr="0057310C">
        <w:trPr>
          <w:trHeight w:val="409"/>
        </w:trPr>
        <w:tc>
          <w:tcPr>
            <w:tcW w:w="3277" w:type="dxa"/>
            <w:tcBorders>
              <w:top w:val="nil"/>
              <w:left w:val="single" w:sz="8" w:space="0" w:color="auto"/>
              <w:bottom w:val="single" w:sz="8" w:space="0" w:color="auto"/>
              <w:right w:val="nil"/>
            </w:tcBorders>
            <w:shd w:val="clear" w:color="000000" w:fill="244062"/>
            <w:vAlign w:val="center"/>
            <w:hideMark/>
          </w:tcPr>
          <w:p w14:paraId="6B645CB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0445A1FD"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Повећање удела ОИЕ у електричној енергији и повећање удела ОИЕ у грејању и хлађењу</w:t>
            </w:r>
          </w:p>
        </w:tc>
      </w:tr>
      <w:tr w:rsidR="00854ADA" w:rsidRPr="00FF386D" w14:paraId="298ECB68"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626ECCF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4FB9E4E3"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Допринос мери МП_Д21</w:t>
            </w:r>
          </w:p>
        </w:tc>
      </w:tr>
      <w:tr w:rsidR="00854ADA" w:rsidRPr="00FF386D" w14:paraId="106A9B0E" w14:textId="77777777" w:rsidTr="0057310C">
        <w:trPr>
          <w:trHeight w:val="1624"/>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661E20A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2CD8B37D" w14:textId="7E23AD0E"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МП_</w:t>
            </w:r>
            <w:r w:rsidR="003123AE" w:rsidRPr="000A2AFE">
              <w:rPr>
                <w:rFonts w:ascii="Calibri Light" w:eastAsia="Times New Roman" w:hAnsi="Calibri Light" w:cs="Calibri Light"/>
                <w:color w:val="000000"/>
                <w:sz w:val="20"/>
                <w:szCs w:val="20"/>
                <w:lang w:eastAsia="en-GB"/>
              </w:rPr>
              <w:t>Д3</w:t>
            </w:r>
            <w:r w:rsidR="003123AE">
              <w:rPr>
                <w:rFonts w:ascii="Calibri Light" w:eastAsia="Times New Roman" w:hAnsi="Calibri Light" w:cs="Calibri Light"/>
                <w:color w:val="000000"/>
                <w:sz w:val="20"/>
                <w:szCs w:val="20"/>
                <w:lang w:eastAsia="en-GB"/>
              </w:rPr>
              <w:t>6</w:t>
            </w:r>
            <w:r w:rsidR="003123AE"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ће ојачати улогу и рад</w:t>
            </w:r>
            <w:r w:rsidR="002F3C29" w:rsidRPr="000A2AFE">
              <w:rPr>
                <w:rFonts w:ascii="Calibri Light" w:eastAsia="Times New Roman" w:hAnsi="Calibri Light" w:cs="Calibri Light"/>
                <w:color w:val="000000"/>
                <w:sz w:val="20"/>
                <w:szCs w:val="20"/>
                <w:lang w:eastAsia="en-GB"/>
              </w:rPr>
              <w:t xml:space="preserve">, како </w:t>
            </w:r>
            <w:r w:rsidRPr="000A2AFE">
              <w:rPr>
                <w:rFonts w:ascii="Calibri Light" w:eastAsia="Times New Roman" w:hAnsi="Calibri Light" w:cs="Calibri Light"/>
                <w:color w:val="000000"/>
                <w:sz w:val="20"/>
                <w:szCs w:val="20"/>
                <w:lang w:eastAsia="en-GB"/>
              </w:rPr>
              <w:t xml:space="preserve">заједница обновљивих извора енергије </w:t>
            </w:r>
            <w:r w:rsidR="002F3C29" w:rsidRPr="000A2AFE">
              <w:rPr>
                <w:rFonts w:ascii="Calibri Light" w:eastAsia="Times New Roman" w:hAnsi="Calibri Light" w:cs="Calibri Light"/>
                <w:color w:val="000000"/>
                <w:sz w:val="20"/>
                <w:szCs w:val="20"/>
                <w:lang w:eastAsia="en-GB"/>
              </w:rPr>
              <w:t xml:space="preserve">тако </w:t>
            </w:r>
            <w:r w:rsidRPr="000A2AFE">
              <w:rPr>
                <w:rFonts w:ascii="Calibri Light" w:eastAsia="Times New Roman" w:hAnsi="Calibri Light" w:cs="Calibri Light"/>
                <w:color w:val="000000"/>
                <w:sz w:val="20"/>
                <w:szCs w:val="20"/>
                <w:lang w:eastAsia="en-GB"/>
              </w:rPr>
              <w:t>и енергетских заједница грађана</w:t>
            </w:r>
            <w:r w:rsidR="002F3C29" w:rsidRPr="000A2AFE">
              <w:rPr>
                <w:rFonts w:ascii="Calibri Light" w:eastAsia="Times New Roman" w:hAnsi="Calibri Light" w:cs="Calibri Light"/>
                <w:color w:val="000000"/>
                <w:sz w:val="20"/>
                <w:szCs w:val="20"/>
                <w:lang w:eastAsia="en-GB"/>
              </w:rPr>
              <w:t>,</w:t>
            </w:r>
            <w:r w:rsidRPr="000A2AFE">
              <w:rPr>
                <w:rFonts w:ascii="Calibri Light" w:eastAsia="Times New Roman" w:hAnsi="Calibri Light" w:cs="Calibri Light"/>
                <w:color w:val="000000"/>
                <w:sz w:val="20"/>
                <w:szCs w:val="20"/>
                <w:lang w:eastAsia="en-GB"/>
              </w:rPr>
              <w:t xml:space="preserve"> </w:t>
            </w:r>
            <w:r w:rsidR="00E93296" w:rsidRPr="000A2AFE">
              <w:rPr>
                <w:rFonts w:ascii="Calibri Light" w:eastAsia="Times New Roman" w:hAnsi="Calibri Light" w:cs="Calibri Light"/>
                <w:color w:val="000000"/>
                <w:sz w:val="20"/>
                <w:szCs w:val="20"/>
                <w:lang w:eastAsia="en-GB"/>
              </w:rPr>
              <w:t>путем</w:t>
            </w:r>
            <w:r w:rsidR="00D050A3" w:rsidRPr="000A2AFE">
              <w:rPr>
                <w:rFonts w:ascii="Calibri Light" w:eastAsia="Times New Roman" w:hAnsi="Calibri Light" w:cs="Calibri Light"/>
                <w:color w:val="000000"/>
                <w:sz w:val="20"/>
                <w:szCs w:val="20"/>
                <w:lang w:eastAsia="en-GB"/>
              </w:rPr>
              <w:t xml:space="preserve"> израде</w:t>
            </w:r>
            <w:r w:rsidRPr="000A2AFE">
              <w:rPr>
                <w:rFonts w:ascii="Calibri Light" w:eastAsia="Times New Roman" w:hAnsi="Calibri Light" w:cs="Calibri Light"/>
                <w:color w:val="000000"/>
                <w:sz w:val="20"/>
                <w:szCs w:val="20"/>
                <w:lang w:eastAsia="en-GB"/>
              </w:rPr>
              <w:t xml:space="preserve"> и имплементациј</w:t>
            </w:r>
            <w:r w:rsidR="002F3C29" w:rsidRPr="000A2AFE">
              <w:rPr>
                <w:rFonts w:ascii="Calibri Light" w:eastAsia="Times New Roman" w:hAnsi="Calibri Light" w:cs="Calibri Light"/>
                <w:color w:val="000000"/>
                <w:sz w:val="20"/>
                <w:szCs w:val="20"/>
                <w:lang w:eastAsia="en-GB"/>
              </w:rPr>
              <w:t>е</w:t>
            </w:r>
            <w:r w:rsidRPr="000A2AFE">
              <w:rPr>
                <w:rFonts w:ascii="Calibri Light" w:eastAsia="Times New Roman" w:hAnsi="Calibri Light" w:cs="Calibri Light"/>
                <w:color w:val="000000"/>
                <w:sz w:val="20"/>
                <w:szCs w:val="20"/>
                <w:lang w:eastAsia="en-GB"/>
              </w:rPr>
              <w:t xml:space="preserve"> специјализованих финансијских инструмената. Конкретно, биће обезбеђени наменски фискални и економски подстицаји </w:t>
            </w:r>
            <w:r w:rsidR="00E93296" w:rsidRPr="000A2AFE">
              <w:rPr>
                <w:rFonts w:ascii="Calibri Light" w:eastAsia="Times New Roman" w:hAnsi="Calibri Light" w:cs="Calibri Light"/>
                <w:color w:val="000000"/>
                <w:sz w:val="20"/>
                <w:szCs w:val="20"/>
                <w:lang w:eastAsia="en-GB"/>
              </w:rPr>
              <w:t>којима ће се подржати</w:t>
            </w:r>
            <w:r w:rsidR="00D050A3" w:rsidRPr="000A2AFE">
              <w:rPr>
                <w:rFonts w:ascii="Calibri Light" w:eastAsia="Times New Roman" w:hAnsi="Calibri Light" w:cs="Calibri Light"/>
                <w:color w:val="000000"/>
                <w:sz w:val="20"/>
                <w:szCs w:val="20"/>
                <w:lang w:eastAsia="en-GB"/>
              </w:rPr>
              <w:t xml:space="preserve"> додатно </w:t>
            </w:r>
            <w:r w:rsidRPr="000A2AFE">
              <w:rPr>
                <w:rFonts w:ascii="Calibri Light" w:eastAsia="Times New Roman" w:hAnsi="Calibri Light" w:cs="Calibri Light"/>
                <w:color w:val="000000"/>
                <w:sz w:val="20"/>
                <w:szCs w:val="20"/>
                <w:lang w:eastAsia="en-GB"/>
              </w:rPr>
              <w:t>коришћење обновљивих извора енергије</w:t>
            </w:r>
            <w:r w:rsidR="00E93296" w:rsidRPr="000A2AFE">
              <w:rPr>
                <w:rFonts w:ascii="Calibri Light" w:eastAsia="Times New Roman" w:hAnsi="Calibri Light" w:cs="Calibri Light"/>
                <w:color w:val="000000"/>
                <w:sz w:val="20"/>
                <w:szCs w:val="20"/>
                <w:lang w:eastAsia="en-GB"/>
              </w:rPr>
              <w:t>, као што су ветропаркови и фотонапонске електране</w:t>
            </w:r>
            <w:r w:rsidRPr="000A2AFE">
              <w:rPr>
                <w:rFonts w:ascii="Calibri Light" w:eastAsia="Times New Roman" w:hAnsi="Calibri Light" w:cs="Calibri Light"/>
                <w:color w:val="000000"/>
                <w:sz w:val="20"/>
                <w:szCs w:val="20"/>
                <w:lang w:eastAsia="en-GB"/>
              </w:rPr>
              <w:t xml:space="preserve">. </w:t>
            </w:r>
            <w:r w:rsidR="00E93296" w:rsidRPr="000A2AFE">
              <w:rPr>
                <w:rFonts w:ascii="Calibri Light" w:eastAsia="Times New Roman" w:hAnsi="Calibri Light" w:cs="Calibri Light"/>
                <w:color w:val="000000"/>
                <w:sz w:val="20"/>
                <w:szCs w:val="20"/>
                <w:lang w:eastAsia="en-GB"/>
              </w:rPr>
              <w:t>Поред</w:t>
            </w:r>
            <w:r w:rsidR="00D050A3" w:rsidRPr="000A2AFE">
              <w:rPr>
                <w:rFonts w:ascii="Calibri Light" w:eastAsia="Times New Roman" w:hAnsi="Calibri Light" w:cs="Calibri Light"/>
                <w:color w:val="000000"/>
                <w:sz w:val="20"/>
                <w:szCs w:val="20"/>
                <w:lang w:eastAsia="en-GB"/>
              </w:rPr>
              <w:t xml:space="preserve"> тога</w:t>
            </w:r>
            <w:r w:rsidRPr="000A2AFE">
              <w:rPr>
                <w:rFonts w:ascii="Calibri Light" w:eastAsia="Times New Roman" w:hAnsi="Calibri Light" w:cs="Calibri Light"/>
                <w:color w:val="000000"/>
                <w:sz w:val="20"/>
                <w:szCs w:val="20"/>
                <w:lang w:eastAsia="en-GB"/>
              </w:rPr>
              <w:t>, МП_</w:t>
            </w:r>
            <w:r w:rsidR="003123AE" w:rsidRPr="000A2AFE">
              <w:rPr>
                <w:rFonts w:ascii="Calibri Light" w:eastAsia="Times New Roman" w:hAnsi="Calibri Light" w:cs="Calibri Light"/>
                <w:color w:val="000000"/>
                <w:sz w:val="20"/>
                <w:szCs w:val="20"/>
                <w:lang w:eastAsia="en-GB"/>
              </w:rPr>
              <w:t>Д3</w:t>
            </w:r>
            <w:r w:rsidR="003123AE">
              <w:rPr>
                <w:rFonts w:ascii="Calibri Light" w:eastAsia="Times New Roman" w:hAnsi="Calibri Light" w:cs="Calibri Light"/>
                <w:color w:val="000000"/>
                <w:sz w:val="20"/>
                <w:szCs w:val="20"/>
                <w:lang w:eastAsia="en-GB"/>
              </w:rPr>
              <w:t>6</w:t>
            </w:r>
            <w:r w:rsidR="003123AE"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 xml:space="preserve">може </w:t>
            </w:r>
            <w:r w:rsidR="00E93296" w:rsidRPr="000A2AFE">
              <w:rPr>
                <w:rFonts w:ascii="Calibri Light" w:eastAsia="Times New Roman" w:hAnsi="Calibri Light" w:cs="Calibri Light"/>
                <w:color w:val="000000"/>
                <w:sz w:val="20"/>
                <w:szCs w:val="20"/>
                <w:lang w:eastAsia="en-GB"/>
              </w:rPr>
              <w:t xml:space="preserve">такође да </w:t>
            </w:r>
            <w:r w:rsidRPr="000A2AFE">
              <w:rPr>
                <w:rFonts w:ascii="Calibri Light" w:eastAsia="Times New Roman" w:hAnsi="Calibri Light" w:cs="Calibri Light"/>
                <w:color w:val="000000"/>
                <w:sz w:val="20"/>
                <w:szCs w:val="20"/>
                <w:lang w:eastAsia="en-GB"/>
              </w:rPr>
              <w:t>доприне</w:t>
            </w:r>
            <w:r w:rsidR="00E93296" w:rsidRPr="000A2AFE">
              <w:rPr>
                <w:rFonts w:ascii="Calibri Light" w:eastAsia="Times New Roman" w:hAnsi="Calibri Light" w:cs="Calibri Light"/>
                <w:color w:val="000000"/>
                <w:sz w:val="20"/>
                <w:szCs w:val="20"/>
                <w:lang w:eastAsia="en-GB"/>
              </w:rPr>
              <w:t>се</w:t>
            </w:r>
            <w:r w:rsidRPr="000A2AFE">
              <w:rPr>
                <w:rFonts w:ascii="Calibri Light" w:eastAsia="Times New Roman" w:hAnsi="Calibri Light" w:cs="Calibri Light"/>
                <w:color w:val="000000"/>
                <w:sz w:val="20"/>
                <w:szCs w:val="20"/>
                <w:lang w:eastAsia="en-GB"/>
              </w:rPr>
              <w:t xml:space="preserve"> пром</w:t>
            </w:r>
            <w:r w:rsidR="00E93296" w:rsidRPr="000A2AFE">
              <w:rPr>
                <w:rFonts w:ascii="Calibri Light" w:eastAsia="Times New Roman" w:hAnsi="Calibri Light" w:cs="Calibri Light"/>
                <w:color w:val="000000"/>
                <w:sz w:val="20"/>
                <w:szCs w:val="20"/>
                <w:lang w:eastAsia="en-GB"/>
              </w:rPr>
              <w:t>овисању</w:t>
            </w:r>
            <w:r w:rsidRPr="000A2AFE">
              <w:rPr>
                <w:rFonts w:ascii="Calibri Light" w:eastAsia="Times New Roman" w:hAnsi="Calibri Light" w:cs="Calibri Light"/>
                <w:color w:val="000000"/>
                <w:sz w:val="20"/>
                <w:szCs w:val="20"/>
                <w:lang w:eastAsia="en-GB"/>
              </w:rPr>
              <w:t xml:space="preserve"> децентрализованих система обновљивих извора енергије, поред МП_Д2</w:t>
            </w:r>
            <w:r w:rsidR="00D050A3" w:rsidRPr="000A2AFE">
              <w:rPr>
                <w:rFonts w:ascii="Calibri Light" w:eastAsia="Times New Roman" w:hAnsi="Calibri Light" w:cs="Calibri Light"/>
                <w:color w:val="000000"/>
                <w:sz w:val="20"/>
                <w:szCs w:val="20"/>
                <w:lang w:eastAsia="en-GB"/>
              </w:rPr>
              <w:t>1</w:t>
            </w:r>
            <w:r w:rsidRPr="000A2AFE">
              <w:rPr>
                <w:rFonts w:ascii="Calibri Light" w:eastAsia="Times New Roman" w:hAnsi="Calibri Light" w:cs="Calibri Light"/>
                <w:color w:val="000000"/>
                <w:sz w:val="20"/>
                <w:szCs w:val="20"/>
                <w:lang w:eastAsia="en-GB"/>
              </w:rPr>
              <w:t>.</w:t>
            </w:r>
          </w:p>
        </w:tc>
      </w:tr>
      <w:tr w:rsidR="00854ADA" w:rsidRPr="00FF386D" w14:paraId="064F459C"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64CB16F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5E3DDCDF" w14:textId="71139412"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D050A3"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-2030.</w:t>
            </w:r>
          </w:p>
        </w:tc>
      </w:tr>
      <w:tr w:rsidR="00854ADA" w:rsidRPr="00FF386D" w14:paraId="61244806"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2A2E290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47E96DC0"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Инвестиције</w:t>
            </w:r>
          </w:p>
        </w:tc>
      </w:tr>
      <w:tr w:rsidR="00854ADA" w:rsidRPr="00FF386D" w14:paraId="67F5D851"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47EBEFE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415EABE9"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Електроенергетика, грејање и хлађење</w:t>
            </w:r>
          </w:p>
        </w:tc>
      </w:tr>
      <w:tr w:rsidR="00854ADA" w:rsidRPr="00FF386D" w14:paraId="5B7CDECF"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5D7890F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755F1385" w14:textId="3576B28F" w:rsidR="00854ADA" w:rsidRPr="00FF386D" w:rsidRDefault="00D050A3" w:rsidP="00D050A3">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6649923B" w14:textId="77777777" w:rsidTr="0057310C">
        <w:trPr>
          <w:trHeight w:val="315"/>
        </w:trPr>
        <w:tc>
          <w:tcPr>
            <w:tcW w:w="3277" w:type="dxa"/>
            <w:tcBorders>
              <w:top w:val="nil"/>
              <w:left w:val="single" w:sz="8" w:space="0" w:color="auto"/>
              <w:bottom w:val="single" w:sz="8" w:space="0" w:color="auto"/>
              <w:right w:val="nil"/>
            </w:tcBorders>
            <w:shd w:val="clear" w:color="000000" w:fill="244062"/>
            <w:vAlign w:val="center"/>
            <w:hideMark/>
          </w:tcPr>
          <w:p w14:paraId="607C910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25D48D9D" w14:textId="39B2FC8E" w:rsidR="00854ADA" w:rsidRPr="000A2AFE" w:rsidRDefault="00994ABA"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590C484B" w14:textId="77777777" w:rsidTr="0057310C">
        <w:trPr>
          <w:trHeight w:val="315"/>
        </w:trPr>
        <w:tc>
          <w:tcPr>
            <w:tcW w:w="3277" w:type="dxa"/>
            <w:tcBorders>
              <w:top w:val="nil"/>
              <w:left w:val="single" w:sz="8" w:space="0" w:color="auto"/>
              <w:bottom w:val="single" w:sz="8" w:space="0" w:color="auto"/>
              <w:right w:val="nil"/>
            </w:tcBorders>
            <w:shd w:val="clear" w:color="000000" w:fill="244062"/>
            <w:vAlign w:val="center"/>
            <w:hideMark/>
          </w:tcPr>
          <w:p w14:paraId="2F7BC53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3A4A8CE7" w14:textId="77777777" w:rsidR="00854ADA" w:rsidRPr="000A2AFE" w:rsidRDefault="00854ADA"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Инсталисани капацитет и произведена електрична енергија из ОИЕ и грејање и хлађење из ОИЕ</w:t>
            </w:r>
          </w:p>
        </w:tc>
      </w:tr>
      <w:tr w:rsidR="00854ADA" w:rsidRPr="00FF386D" w14:paraId="5D247F5D" w14:textId="77777777" w:rsidTr="0057310C">
        <w:trPr>
          <w:trHeight w:val="571"/>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473E3EE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2F228958" w14:textId="4C2E39D5" w:rsidR="00994ABA" w:rsidRPr="00994ABA" w:rsidRDefault="00994ABA" w:rsidP="00994AB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994ABA">
              <w:rPr>
                <w:rFonts w:ascii="Calibri Light" w:eastAsia="Times New Roman" w:hAnsi="Calibri Light" w:cs="Calibri Light"/>
                <w:color w:val="000000"/>
                <w:sz w:val="20"/>
                <w:szCs w:val="20"/>
                <w:lang w:eastAsia="en-GB"/>
              </w:rPr>
              <w:t xml:space="preserve">Енергетска ефикасност (промовисане технологије ОИЕ ће довести и до уштеде </w:t>
            </w:r>
            <w:r>
              <w:rPr>
                <w:rFonts w:ascii="Calibri Light" w:eastAsia="Times New Roman" w:hAnsi="Calibri Light" w:cs="Calibri Light"/>
                <w:color w:val="000000"/>
                <w:sz w:val="20"/>
                <w:szCs w:val="20"/>
                <w:lang w:eastAsia="en-GB"/>
              </w:rPr>
              <w:t xml:space="preserve">финалне и </w:t>
            </w:r>
            <w:r w:rsidRPr="00994ABA">
              <w:rPr>
                <w:rFonts w:ascii="Calibri Light" w:eastAsia="Times New Roman" w:hAnsi="Calibri Light" w:cs="Calibri Light"/>
                <w:color w:val="000000"/>
                <w:sz w:val="20"/>
                <w:szCs w:val="20"/>
                <w:lang w:eastAsia="en-GB"/>
              </w:rPr>
              <w:t>примарне енергије доприносећи постизању релевантних циљева)</w:t>
            </w:r>
          </w:p>
          <w:p w14:paraId="5AFBC836" w14:textId="77777777" w:rsidR="00994ABA" w:rsidRPr="00994ABA" w:rsidRDefault="00994ABA" w:rsidP="00994AB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994ABA">
              <w:rPr>
                <w:rFonts w:ascii="Calibri Light" w:eastAsia="Times New Roman" w:hAnsi="Calibri Light" w:cs="Calibri Light"/>
                <w:color w:val="000000"/>
                <w:sz w:val="20"/>
                <w:szCs w:val="20"/>
                <w:lang w:eastAsia="en-GB"/>
              </w:rPr>
              <w:t>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p w14:paraId="3A0140EC" w14:textId="083CB841" w:rsidR="00854ADA" w:rsidRPr="00FF386D" w:rsidRDefault="00994ABA" w:rsidP="00994AB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994ABA">
              <w:rPr>
                <w:rFonts w:ascii="Calibri Light" w:eastAsia="Times New Roman" w:hAnsi="Calibri Light" w:cs="Calibri Light"/>
                <w:color w:val="000000"/>
                <w:sz w:val="20"/>
                <w:szCs w:val="20"/>
                <w:lang w:eastAsia="en-GB"/>
              </w:rPr>
              <w:t>Унутрашње енергетско тржиште (примена технологија за складиштење ће обезбедити адекватност и флексибилност електроенергетског система)</w:t>
            </w:r>
          </w:p>
        </w:tc>
      </w:tr>
      <w:tr w:rsidR="00854ADA" w:rsidRPr="00FF386D" w14:paraId="6E77FE8E" w14:textId="77777777" w:rsidTr="0057310C">
        <w:trPr>
          <w:trHeight w:val="450"/>
        </w:trPr>
        <w:tc>
          <w:tcPr>
            <w:tcW w:w="3277"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5C37069F" w14:textId="51F17D36"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81"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4605FAEC"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2018/2001/ЕУ</w:t>
            </w:r>
          </w:p>
        </w:tc>
      </w:tr>
      <w:tr w:rsidR="00854ADA" w:rsidRPr="00FF386D" w14:paraId="295A1589" w14:textId="77777777" w:rsidTr="0057310C">
        <w:trPr>
          <w:trHeight w:val="450"/>
        </w:trPr>
        <w:tc>
          <w:tcPr>
            <w:tcW w:w="3277" w:type="dxa"/>
            <w:vMerge/>
            <w:tcBorders>
              <w:top w:val="nil"/>
              <w:left w:val="single" w:sz="8" w:space="0" w:color="auto"/>
              <w:bottom w:val="single" w:sz="8" w:space="0" w:color="000000"/>
              <w:right w:val="single" w:sz="8" w:space="0" w:color="auto"/>
            </w:tcBorders>
            <w:vAlign w:val="center"/>
            <w:hideMark/>
          </w:tcPr>
          <w:p w14:paraId="0C6D911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81" w:type="dxa"/>
            <w:gridSpan w:val="3"/>
            <w:vMerge/>
            <w:tcBorders>
              <w:top w:val="single" w:sz="8" w:space="0" w:color="auto"/>
              <w:left w:val="single" w:sz="8" w:space="0" w:color="auto"/>
              <w:bottom w:val="single" w:sz="8" w:space="0" w:color="000000"/>
              <w:right w:val="single" w:sz="8" w:space="0" w:color="000000"/>
            </w:tcBorders>
            <w:vAlign w:val="center"/>
            <w:hideMark/>
          </w:tcPr>
          <w:p w14:paraId="6263CA70"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7468E843" w14:textId="77777777" w:rsidTr="0057310C">
        <w:trPr>
          <w:trHeight w:val="450"/>
        </w:trPr>
        <w:tc>
          <w:tcPr>
            <w:tcW w:w="3277" w:type="dxa"/>
            <w:vMerge/>
            <w:tcBorders>
              <w:top w:val="nil"/>
              <w:left w:val="single" w:sz="8" w:space="0" w:color="auto"/>
              <w:bottom w:val="single" w:sz="8" w:space="0" w:color="000000"/>
              <w:right w:val="single" w:sz="8" w:space="0" w:color="auto"/>
            </w:tcBorders>
            <w:vAlign w:val="center"/>
            <w:hideMark/>
          </w:tcPr>
          <w:p w14:paraId="7FF9035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81" w:type="dxa"/>
            <w:gridSpan w:val="3"/>
            <w:vMerge/>
            <w:tcBorders>
              <w:top w:val="single" w:sz="8" w:space="0" w:color="auto"/>
              <w:left w:val="single" w:sz="8" w:space="0" w:color="auto"/>
              <w:bottom w:val="single" w:sz="8" w:space="0" w:color="000000"/>
              <w:right w:val="single" w:sz="8" w:space="0" w:color="000000"/>
            </w:tcBorders>
            <w:vAlign w:val="center"/>
            <w:hideMark/>
          </w:tcPr>
          <w:p w14:paraId="0F02AB0E"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6ADA4C4E" w14:textId="77777777" w:rsidTr="0057310C">
        <w:trPr>
          <w:trHeight w:val="271"/>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77A34AA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4E749DE5"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коришћењу обновљивих извора енергије</w:t>
            </w:r>
          </w:p>
        </w:tc>
      </w:tr>
      <w:tr w:rsidR="00854ADA" w:rsidRPr="00FF386D" w14:paraId="5449C131"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53AE3EA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5EA753E1" w14:textId="09A2AD1A"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 xml:space="preserve">Биће </w:t>
            </w:r>
            <w:r w:rsidR="00D050A3" w:rsidRPr="00FF386D">
              <w:rPr>
                <w:rFonts w:ascii="Calibri Light" w:eastAsia="Times New Roman" w:hAnsi="Calibri Light" w:cs="Calibri Light"/>
                <w:color w:val="000000"/>
                <w:sz w:val="20"/>
                <w:szCs w:val="20"/>
                <w:lang w:eastAsia="en-GB"/>
              </w:rPr>
              <w:t>обухваћен</w:t>
            </w:r>
            <w:r w:rsidR="00E93296" w:rsidRPr="00FF386D">
              <w:rPr>
                <w:rFonts w:ascii="Calibri Light" w:eastAsia="Times New Roman" w:hAnsi="Calibri Light" w:cs="Calibri Light"/>
                <w:color w:val="000000"/>
                <w:sz w:val="20"/>
                <w:szCs w:val="20"/>
                <w:lang w:eastAsia="en-GB"/>
              </w:rPr>
              <w:t>и</w:t>
            </w:r>
            <w:r w:rsidR="00D050A3" w:rsidRPr="00FF386D">
              <w:rPr>
                <w:rFonts w:ascii="Calibri Light" w:eastAsia="Times New Roman" w:hAnsi="Calibri Light" w:cs="Calibri Light"/>
                <w:color w:val="000000"/>
                <w:sz w:val="20"/>
                <w:szCs w:val="20"/>
                <w:lang w:eastAsia="en-GB"/>
              </w:rPr>
              <w:t xml:space="preserve"> </w:t>
            </w:r>
            <w:r w:rsidRPr="00FF386D">
              <w:rPr>
                <w:rFonts w:ascii="Calibri Light" w:eastAsia="Times New Roman" w:hAnsi="Calibri Light" w:cs="Calibri Light"/>
                <w:color w:val="000000"/>
                <w:sz w:val="20"/>
                <w:szCs w:val="20"/>
                <w:lang w:eastAsia="en-GB"/>
              </w:rPr>
              <w:t>у МП_Д21</w:t>
            </w:r>
          </w:p>
        </w:tc>
      </w:tr>
      <w:tr w:rsidR="00854ADA" w:rsidRPr="00FF386D" w14:paraId="21157DD0"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2C85689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81" w:type="dxa"/>
            <w:gridSpan w:val="3"/>
            <w:tcBorders>
              <w:top w:val="single" w:sz="8" w:space="0" w:color="auto"/>
              <w:left w:val="nil"/>
              <w:bottom w:val="single" w:sz="8" w:space="0" w:color="auto"/>
              <w:right w:val="single" w:sz="8" w:space="0" w:color="000000"/>
            </w:tcBorders>
            <w:shd w:val="clear" w:color="auto" w:fill="auto"/>
            <w:vAlign w:val="center"/>
            <w:hideMark/>
          </w:tcPr>
          <w:p w14:paraId="15094E82" w14:textId="3563D684"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D050A3" w:rsidRPr="00FF386D">
              <w:rPr>
                <w:rFonts w:asciiTheme="majorHAnsi" w:eastAsia="Times New Roman" w:hAnsiTheme="majorHAnsi" w:cstheme="majorHAnsi"/>
                <w:color w:val="000000"/>
                <w:sz w:val="20"/>
                <w:szCs w:val="20"/>
                <w:lang w:eastAsia="en-GB"/>
              </w:rPr>
              <w:t xml:space="preserve">ска </w:t>
            </w:r>
            <w:r w:rsidR="00546277" w:rsidRPr="00FF386D">
              <w:rPr>
                <w:rFonts w:asciiTheme="majorHAnsi" w:eastAsia="Times New Roman" w:hAnsiTheme="majorHAnsi" w:cstheme="majorHAnsi"/>
                <w:color w:val="000000"/>
                <w:sz w:val="20"/>
                <w:szCs w:val="20"/>
                <w:lang w:eastAsia="en-GB"/>
              </w:rPr>
              <w:t>средства</w:t>
            </w:r>
          </w:p>
        </w:tc>
      </w:tr>
    </w:tbl>
    <w:p w14:paraId="50884AF6"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28"/>
        <w:gridCol w:w="945"/>
        <w:gridCol w:w="946"/>
        <w:gridCol w:w="4239"/>
      </w:tblGrid>
      <w:tr w:rsidR="00854ADA" w:rsidRPr="00FF386D" w14:paraId="08D10F7D" w14:textId="77777777" w:rsidTr="0057310C">
        <w:trPr>
          <w:trHeight w:val="780"/>
        </w:trPr>
        <w:tc>
          <w:tcPr>
            <w:tcW w:w="3328"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17B09444"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45" w:type="dxa"/>
            <w:tcBorders>
              <w:top w:val="single" w:sz="8" w:space="0" w:color="auto"/>
              <w:left w:val="nil"/>
              <w:bottom w:val="single" w:sz="8" w:space="0" w:color="auto"/>
              <w:right w:val="single" w:sz="8" w:space="0" w:color="auto"/>
            </w:tcBorders>
            <w:shd w:val="clear" w:color="auto" w:fill="E7E6E6" w:themeFill="background2"/>
            <w:vAlign w:val="center"/>
            <w:hideMark/>
          </w:tcPr>
          <w:p w14:paraId="6C34A075" w14:textId="228FA0D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w:t>
            </w:r>
            <w:r w:rsidR="003123AE" w:rsidRPr="000A2AFE">
              <w:rPr>
                <w:rFonts w:ascii="Calibri Light" w:eastAsia="Times New Roman" w:hAnsi="Calibri Light" w:cs="Calibri Light"/>
                <w:b/>
                <w:bCs/>
                <w:color w:val="000000"/>
                <w:sz w:val="20"/>
                <w:szCs w:val="20"/>
                <w:lang w:eastAsia="en-GB"/>
              </w:rPr>
              <w:t>Д4</w:t>
            </w:r>
            <w:r w:rsidR="003123AE">
              <w:rPr>
                <w:rFonts w:ascii="Calibri Light" w:eastAsia="Times New Roman" w:hAnsi="Calibri Light" w:cs="Calibri Light"/>
                <w:b/>
                <w:bCs/>
                <w:color w:val="000000"/>
                <w:sz w:val="20"/>
                <w:szCs w:val="20"/>
                <w:lang w:eastAsia="en-GB"/>
              </w:rPr>
              <w:t>2</w:t>
            </w:r>
          </w:p>
        </w:tc>
        <w:tc>
          <w:tcPr>
            <w:tcW w:w="946" w:type="dxa"/>
            <w:tcBorders>
              <w:top w:val="single" w:sz="8" w:space="0" w:color="auto"/>
              <w:left w:val="nil"/>
              <w:bottom w:val="single" w:sz="8" w:space="0" w:color="auto"/>
              <w:right w:val="single" w:sz="8" w:space="0" w:color="auto"/>
            </w:tcBorders>
            <w:shd w:val="clear" w:color="000000" w:fill="244062"/>
            <w:vAlign w:val="center"/>
            <w:hideMark/>
          </w:tcPr>
          <w:p w14:paraId="39FCABB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39" w:type="dxa"/>
            <w:tcBorders>
              <w:top w:val="single" w:sz="8" w:space="0" w:color="auto"/>
              <w:left w:val="nil"/>
              <w:bottom w:val="single" w:sz="8" w:space="0" w:color="auto"/>
              <w:right w:val="single" w:sz="8" w:space="0" w:color="auto"/>
            </w:tcBorders>
            <w:shd w:val="clear" w:color="auto" w:fill="E7E6E6" w:themeFill="background2"/>
            <w:vAlign w:val="center"/>
            <w:hideMark/>
          </w:tcPr>
          <w:p w14:paraId="2D53F454" w14:textId="57FC1086"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Спровођење активности</w:t>
            </w:r>
            <w:r w:rsidR="00D050A3" w:rsidRPr="000A2AFE">
              <w:rPr>
                <w:rFonts w:ascii="Calibri Light" w:eastAsia="Times New Roman" w:hAnsi="Calibri Light" w:cs="Calibri Light"/>
                <w:b/>
                <w:bCs/>
                <w:color w:val="000000"/>
                <w:sz w:val="20"/>
                <w:szCs w:val="20"/>
                <w:lang w:eastAsia="en-GB"/>
              </w:rPr>
              <w:t xml:space="preserve"> </w:t>
            </w:r>
            <w:r w:rsidRPr="000A2AFE">
              <w:rPr>
                <w:rFonts w:ascii="Calibri Light" w:eastAsia="Times New Roman" w:hAnsi="Calibri Light" w:cs="Calibri Light"/>
                <w:b/>
                <w:bCs/>
                <w:color w:val="000000"/>
                <w:sz w:val="20"/>
                <w:szCs w:val="20"/>
                <w:lang w:eastAsia="en-GB"/>
              </w:rPr>
              <w:t xml:space="preserve">информисања и обуке </w:t>
            </w:r>
            <w:r w:rsidR="00D050A3" w:rsidRPr="000A2AFE">
              <w:rPr>
                <w:rFonts w:ascii="Calibri Light" w:eastAsia="Times New Roman" w:hAnsi="Calibri Light" w:cs="Calibri Light"/>
                <w:b/>
                <w:bCs/>
                <w:color w:val="000000"/>
                <w:sz w:val="20"/>
                <w:szCs w:val="20"/>
                <w:lang w:eastAsia="en-GB"/>
              </w:rPr>
              <w:t>свих</w:t>
            </w:r>
            <w:r w:rsidRPr="000A2AFE">
              <w:rPr>
                <w:rFonts w:ascii="Calibri Light" w:eastAsia="Times New Roman" w:hAnsi="Calibri Light" w:cs="Calibri Light"/>
                <w:b/>
                <w:bCs/>
                <w:color w:val="000000"/>
                <w:sz w:val="20"/>
                <w:szCs w:val="20"/>
                <w:lang w:eastAsia="en-GB"/>
              </w:rPr>
              <w:t xml:space="preserve"> релевантн</w:t>
            </w:r>
            <w:r w:rsidR="00891E38">
              <w:rPr>
                <w:rFonts w:ascii="Calibri Light" w:eastAsia="Times New Roman" w:hAnsi="Calibri Light" w:cs="Calibri Light"/>
                <w:b/>
                <w:bCs/>
                <w:color w:val="000000"/>
                <w:sz w:val="20"/>
                <w:szCs w:val="20"/>
                <w:lang w:eastAsia="en-GB"/>
              </w:rPr>
              <w:t>их</w:t>
            </w:r>
            <w:r w:rsidRPr="000A2AFE">
              <w:rPr>
                <w:rFonts w:ascii="Calibri Light" w:eastAsia="Times New Roman" w:hAnsi="Calibri Light" w:cs="Calibri Light"/>
                <w:b/>
                <w:bCs/>
                <w:color w:val="000000"/>
                <w:sz w:val="20"/>
                <w:szCs w:val="20"/>
                <w:lang w:eastAsia="en-GB"/>
              </w:rPr>
              <w:t xml:space="preserve"> </w:t>
            </w:r>
            <w:r w:rsidR="00D050A3" w:rsidRPr="000A2AFE">
              <w:rPr>
                <w:rFonts w:ascii="Calibri Light" w:eastAsia="Times New Roman" w:hAnsi="Calibri Light" w:cs="Calibri Light"/>
                <w:b/>
                <w:bCs/>
                <w:color w:val="000000"/>
                <w:sz w:val="20"/>
                <w:szCs w:val="20"/>
                <w:lang w:eastAsia="en-GB"/>
              </w:rPr>
              <w:t>заинтересованих страна</w:t>
            </w:r>
            <w:r w:rsidR="003123AE">
              <w:rPr>
                <w:rFonts w:ascii="Calibri Light" w:eastAsia="Times New Roman" w:hAnsi="Calibri Light" w:cs="Calibri Light"/>
                <w:b/>
                <w:bCs/>
                <w:color w:val="000000"/>
                <w:sz w:val="20"/>
                <w:szCs w:val="20"/>
                <w:lang w:eastAsia="en-GB"/>
              </w:rPr>
              <w:t xml:space="preserve"> за</w:t>
            </w:r>
            <w:r w:rsidR="00D050A3" w:rsidRPr="000A2AFE">
              <w:rPr>
                <w:rFonts w:ascii="Calibri Light" w:eastAsia="Times New Roman" w:hAnsi="Calibri Light" w:cs="Calibri Light"/>
                <w:b/>
                <w:bCs/>
                <w:color w:val="000000"/>
                <w:sz w:val="20"/>
                <w:szCs w:val="20"/>
                <w:lang w:eastAsia="en-GB"/>
              </w:rPr>
              <w:t xml:space="preserve"> коришћењ</w:t>
            </w:r>
            <w:r w:rsidR="003123AE">
              <w:rPr>
                <w:rFonts w:ascii="Calibri Light" w:eastAsia="Times New Roman" w:hAnsi="Calibri Light" w:cs="Calibri Light"/>
                <w:b/>
                <w:bCs/>
                <w:color w:val="000000"/>
                <w:sz w:val="20"/>
                <w:szCs w:val="20"/>
                <w:lang w:eastAsia="en-GB"/>
              </w:rPr>
              <w:t>е</w:t>
            </w:r>
            <w:r w:rsidRPr="000A2AFE">
              <w:rPr>
                <w:rFonts w:ascii="Calibri Light" w:eastAsia="Times New Roman" w:hAnsi="Calibri Light" w:cs="Calibri Light"/>
                <w:b/>
                <w:bCs/>
                <w:color w:val="000000"/>
                <w:sz w:val="20"/>
                <w:szCs w:val="20"/>
                <w:lang w:eastAsia="en-GB"/>
              </w:rPr>
              <w:t xml:space="preserve"> ОИЕ</w:t>
            </w:r>
          </w:p>
        </w:tc>
      </w:tr>
      <w:tr w:rsidR="00854ADA" w:rsidRPr="00FF386D" w14:paraId="0ECA5C33" w14:textId="77777777" w:rsidTr="0057310C">
        <w:trPr>
          <w:trHeight w:val="265"/>
        </w:trPr>
        <w:tc>
          <w:tcPr>
            <w:tcW w:w="3328" w:type="dxa"/>
            <w:tcBorders>
              <w:top w:val="nil"/>
              <w:left w:val="single" w:sz="8" w:space="0" w:color="auto"/>
              <w:bottom w:val="single" w:sz="8" w:space="0" w:color="auto"/>
              <w:right w:val="nil"/>
            </w:tcBorders>
            <w:shd w:val="clear" w:color="000000" w:fill="244062"/>
            <w:vAlign w:val="center"/>
            <w:hideMark/>
          </w:tcPr>
          <w:p w14:paraId="574BE12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1508D46F"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Повећање удела ОИЕ у електричној енергији, повећање удела ОИЕ у грејању и хлађењу и повећање удела ОИЕ у саобраћају</w:t>
            </w:r>
          </w:p>
        </w:tc>
      </w:tr>
      <w:tr w:rsidR="00854ADA" w:rsidRPr="00FF386D" w14:paraId="3FCA2B18"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043FDB0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20C1A456" w14:textId="7C12BE24" w:rsidR="00854ADA" w:rsidRPr="00FF386D" w:rsidRDefault="003123AE" w:rsidP="00854ADA">
            <w:pPr>
              <w:spacing w:after="0" w:line="240" w:lineRule="auto"/>
              <w:rPr>
                <w:rFonts w:ascii="Calibri Light" w:eastAsia="Times New Roman" w:hAnsi="Calibri Light" w:cs="Calibri Light"/>
                <w:color w:val="000000"/>
                <w:sz w:val="20"/>
                <w:szCs w:val="20"/>
                <w:lang w:eastAsia="en-GB"/>
              </w:rPr>
            </w:pPr>
            <w:r w:rsidRPr="003123AE">
              <w:rPr>
                <w:rFonts w:ascii="Calibri Light" w:eastAsia="Times New Roman" w:hAnsi="Calibri Light" w:cs="Calibri Light"/>
                <w:color w:val="000000"/>
                <w:sz w:val="20"/>
                <w:szCs w:val="20"/>
                <w:lang w:eastAsia="en-GB"/>
              </w:rPr>
              <w:t>Допринос очекиваном уделу ОИЕ у производњи електричне енергије</w:t>
            </w:r>
          </w:p>
        </w:tc>
      </w:tr>
      <w:tr w:rsidR="00854ADA" w:rsidRPr="00FF386D" w14:paraId="6CA56235" w14:textId="77777777" w:rsidTr="0057310C">
        <w:trPr>
          <w:trHeight w:val="996"/>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49E405D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Опис:</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4BC200CC" w14:textId="3D88479E"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МП_</w:t>
            </w:r>
            <w:r w:rsidR="003123AE" w:rsidRPr="000A2AFE">
              <w:rPr>
                <w:rFonts w:ascii="Calibri Light" w:eastAsia="Times New Roman" w:hAnsi="Calibri Light" w:cs="Calibri Light"/>
                <w:color w:val="000000"/>
                <w:sz w:val="20"/>
                <w:szCs w:val="20"/>
                <w:lang w:eastAsia="en-GB"/>
              </w:rPr>
              <w:t>Д4</w:t>
            </w:r>
            <w:r w:rsidR="003123AE">
              <w:rPr>
                <w:rFonts w:ascii="Calibri Light" w:eastAsia="Times New Roman" w:hAnsi="Calibri Light" w:cs="Calibri Light"/>
                <w:color w:val="000000"/>
                <w:sz w:val="20"/>
                <w:szCs w:val="20"/>
                <w:lang w:eastAsia="en-GB"/>
              </w:rPr>
              <w:t>2</w:t>
            </w:r>
            <w:r w:rsidR="003123AE"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ће промовисати спровођење програма</w:t>
            </w:r>
            <w:r w:rsidRPr="00FF386D">
              <w:rPr>
                <w:rFonts w:asciiTheme="majorHAnsi" w:hAnsiTheme="majorHAnsi" w:cstheme="majorHAnsi"/>
                <w:color w:val="000000"/>
              </w:rPr>
              <w:t xml:space="preserve"> </w:t>
            </w:r>
            <w:r w:rsidRPr="000A2AFE">
              <w:rPr>
                <w:rFonts w:ascii="Calibri Light" w:eastAsia="Times New Roman" w:hAnsi="Calibri Light" w:cs="Calibri Light"/>
                <w:color w:val="000000"/>
                <w:sz w:val="20"/>
                <w:szCs w:val="20"/>
                <w:lang w:eastAsia="en-GB"/>
              </w:rPr>
              <w:t xml:space="preserve">информисања, подизања </w:t>
            </w:r>
            <w:r w:rsidR="00D87A7D" w:rsidRPr="000A2AFE">
              <w:rPr>
                <w:rFonts w:ascii="Calibri Light" w:eastAsia="Times New Roman" w:hAnsi="Calibri Light" w:cs="Calibri Light"/>
                <w:color w:val="000000"/>
                <w:sz w:val="20"/>
                <w:szCs w:val="20"/>
                <w:lang w:eastAsia="en-GB"/>
              </w:rPr>
              <w:t xml:space="preserve">нивоа </w:t>
            </w:r>
            <w:r w:rsidRPr="000A2AFE">
              <w:rPr>
                <w:rFonts w:ascii="Calibri Light" w:eastAsia="Times New Roman" w:hAnsi="Calibri Light" w:cs="Calibri Light"/>
                <w:color w:val="000000"/>
                <w:sz w:val="20"/>
                <w:szCs w:val="20"/>
                <w:lang w:eastAsia="en-GB"/>
              </w:rPr>
              <w:t xml:space="preserve">свести, </w:t>
            </w:r>
            <w:r w:rsidR="006D26AB" w:rsidRPr="000A2AFE">
              <w:rPr>
                <w:rFonts w:ascii="Calibri Light" w:eastAsia="Times New Roman" w:hAnsi="Calibri Light" w:cs="Calibri Light"/>
                <w:color w:val="000000"/>
                <w:sz w:val="20"/>
                <w:szCs w:val="20"/>
                <w:lang w:eastAsia="en-GB"/>
              </w:rPr>
              <w:t>саветовања</w:t>
            </w:r>
            <w:r w:rsidRPr="000A2AFE">
              <w:rPr>
                <w:rFonts w:ascii="Calibri Light" w:eastAsia="Times New Roman" w:hAnsi="Calibri Light" w:cs="Calibri Light"/>
                <w:color w:val="000000"/>
                <w:sz w:val="20"/>
                <w:szCs w:val="20"/>
                <w:lang w:eastAsia="en-GB"/>
              </w:rPr>
              <w:t xml:space="preserve"> или обуке </w:t>
            </w:r>
            <w:r w:rsidR="00E13283" w:rsidRPr="000A2AFE">
              <w:rPr>
                <w:rFonts w:ascii="Calibri Light" w:eastAsia="Times New Roman" w:hAnsi="Calibri Light" w:cs="Calibri Light"/>
                <w:color w:val="000000"/>
                <w:sz w:val="20"/>
                <w:szCs w:val="20"/>
                <w:lang w:eastAsia="en-GB"/>
              </w:rPr>
              <w:t xml:space="preserve">с </w:t>
            </w:r>
            <w:r w:rsidR="00D87A7D" w:rsidRPr="000A2AFE">
              <w:rPr>
                <w:rFonts w:ascii="Calibri Light" w:eastAsia="Times New Roman" w:hAnsi="Calibri Light" w:cs="Calibri Light"/>
                <w:color w:val="000000"/>
                <w:sz w:val="20"/>
                <w:szCs w:val="20"/>
                <w:lang w:eastAsia="en-GB"/>
              </w:rPr>
              <w:t>циљ</w:t>
            </w:r>
            <w:r w:rsidR="00E13283" w:rsidRPr="000A2AFE">
              <w:rPr>
                <w:rFonts w:ascii="Calibri Light" w:eastAsia="Times New Roman" w:hAnsi="Calibri Light" w:cs="Calibri Light"/>
                <w:color w:val="000000"/>
                <w:sz w:val="20"/>
                <w:szCs w:val="20"/>
                <w:lang w:eastAsia="en-GB"/>
              </w:rPr>
              <w:t>ем да се</w:t>
            </w:r>
            <w:r w:rsidRPr="000A2AFE">
              <w:rPr>
                <w:rFonts w:ascii="Calibri Light" w:eastAsia="Times New Roman" w:hAnsi="Calibri Light" w:cs="Calibri Light"/>
                <w:color w:val="000000"/>
                <w:sz w:val="20"/>
                <w:szCs w:val="20"/>
                <w:lang w:eastAsia="en-GB"/>
              </w:rPr>
              <w:t xml:space="preserve"> грађан</w:t>
            </w:r>
            <w:r w:rsidR="004B6011" w:rsidRPr="00FF386D">
              <w:rPr>
                <w:rFonts w:ascii="Calibri Light" w:eastAsia="Times New Roman" w:hAnsi="Calibri Light" w:cs="Calibri Light"/>
                <w:color w:val="000000"/>
                <w:sz w:val="20"/>
                <w:szCs w:val="20"/>
                <w:lang w:eastAsia="en-GB"/>
              </w:rPr>
              <w:t>и</w:t>
            </w:r>
            <w:r w:rsidR="00E13283" w:rsidRPr="000A2AFE">
              <w:rPr>
                <w:rFonts w:ascii="Calibri Light" w:eastAsia="Times New Roman" w:hAnsi="Calibri Light" w:cs="Calibri Light"/>
                <w:color w:val="000000"/>
                <w:sz w:val="20"/>
                <w:szCs w:val="20"/>
                <w:lang w:eastAsia="en-GB"/>
              </w:rPr>
              <w:t xml:space="preserve"> обавесте</w:t>
            </w:r>
            <w:r w:rsidR="00D87A7D" w:rsidRPr="000A2AFE">
              <w:rPr>
                <w:rFonts w:ascii="Calibri Light" w:eastAsia="Times New Roman" w:hAnsi="Calibri Light" w:cs="Calibri Light"/>
                <w:color w:val="000000"/>
                <w:sz w:val="20"/>
                <w:szCs w:val="20"/>
                <w:lang w:eastAsia="en-GB"/>
              </w:rPr>
              <w:t xml:space="preserve"> како да</w:t>
            </w:r>
            <w:r w:rsidR="006D26AB" w:rsidRPr="000A2AFE">
              <w:rPr>
                <w:rFonts w:ascii="Calibri Light" w:eastAsia="Times New Roman" w:hAnsi="Calibri Light" w:cs="Calibri Light"/>
                <w:color w:val="000000"/>
                <w:sz w:val="20"/>
                <w:szCs w:val="20"/>
                <w:lang w:eastAsia="en-GB"/>
              </w:rPr>
              <w:t xml:space="preserve"> оствар</w:t>
            </w:r>
            <w:r w:rsidR="00D87A7D" w:rsidRPr="000A2AFE">
              <w:rPr>
                <w:rFonts w:ascii="Calibri Light" w:eastAsia="Times New Roman" w:hAnsi="Calibri Light" w:cs="Calibri Light"/>
                <w:color w:val="000000"/>
                <w:sz w:val="20"/>
                <w:szCs w:val="20"/>
                <w:lang w:eastAsia="en-GB"/>
              </w:rPr>
              <w:t>е</w:t>
            </w:r>
            <w:r w:rsidR="006D26AB" w:rsidRPr="000A2AFE">
              <w:rPr>
                <w:rFonts w:ascii="Calibri Light" w:eastAsia="Times New Roman" w:hAnsi="Calibri Light" w:cs="Calibri Light"/>
                <w:color w:val="000000"/>
                <w:sz w:val="20"/>
                <w:szCs w:val="20"/>
                <w:lang w:eastAsia="en-GB"/>
              </w:rPr>
              <w:t xml:space="preserve"> сво</w:t>
            </w:r>
            <w:r w:rsidR="00D87A7D" w:rsidRPr="000A2AFE">
              <w:rPr>
                <w:rFonts w:ascii="Calibri Light" w:eastAsia="Times New Roman" w:hAnsi="Calibri Light" w:cs="Calibri Light"/>
                <w:color w:val="000000"/>
                <w:sz w:val="20"/>
                <w:szCs w:val="20"/>
                <w:lang w:eastAsia="en-GB"/>
              </w:rPr>
              <w:t>ја</w:t>
            </w:r>
            <w:r w:rsidRPr="000A2AFE">
              <w:rPr>
                <w:rFonts w:ascii="Calibri Light" w:eastAsia="Times New Roman" w:hAnsi="Calibri Light" w:cs="Calibri Light"/>
                <w:color w:val="000000"/>
                <w:sz w:val="20"/>
                <w:szCs w:val="20"/>
                <w:lang w:eastAsia="en-GB"/>
              </w:rPr>
              <w:t xml:space="preserve"> права као активни </w:t>
            </w:r>
            <w:r w:rsidR="006D26AB" w:rsidRPr="000A2AFE">
              <w:rPr>
                <w:rFonts w:ascii="Calibri Light" w:eastAsia="Times New Roman" w:hAnsi="Calibri Light" w:cs="Calibri Light"/>
                <w:color w:val="000000"/>
                <w:sz w:val="20"/>
                <w:szCs w:val="20"/>
                <w:lang w:eastAsia="en-GB"/>
              </w:rPr>
              <w:t>потрошач</w:t>
            </w:r>
            <w:r w:rsidR="00D87A7D" w:rsidRPr="000A2AFE">
              <w:rPr>
                <w:rFonts w:ascii="Calibri Light" w:eastAsia="Times New Roman" w:hAnsi="Calibri Light" w:cs="Calibri Light"/>
                <w:color w:val="000000"/>
                <w:sz w:val="20"/>
                <w:szCs w:val="20"/>
                <w:lang w:eastAsia="en-GB"/>
              </w:rPr>
              <w:t>и</w:t>
            </w:r>
            <w:r w:rsidRPr="000A2AFE">
              <w:rPr>
                <w:rFonts w:ascii="Calibri Light" w:eastAsia="Times New Roman" w:hAnsi="Calibri Light" w:cs="Calibri Light"/>
                <w:color w:val="000000"/>
                <w:sz w:val="20"/>
                <w:szCs w:val="20"/>
                <w:lang w:eastAsia="en-GB"/>
              </w:rPr>
              <w:t xml:space="preserve">, као и о </w:t>
            </w:r>
            <w:r w:rsidR="00E13283" w:rsidRPr="000A2AFE">
              <w:rPr>
                <w:rFonts w:ascii="Calibri Light" w:eastAsia="Times New Roman" w:hAnsi="Calibri Light" w:cs="Calibri Light"/>
                <w:color w:val="000000"/>
                <w:sz w:val="20"/>
                <w:szCs w:val="20"/>
                <w:lang w:eastAsia="en-GB"/>
              </w:rPr>
              <w:t>користима</w:t>
            </w:r>
            <w:r w:rsidRPr="000A2AFE">
              <w:rPr>
                <w:rFonts w:ascii="Calibri Light" w:eastAsia="Times New Roman" w:hAnsi="Calibri Light" w:cs="Calibri Light"/>
                <w:color w:val="000000"/>
                <w:sz w:val="20"/>
                <w:szCs w:val="20"/>
                <w:lang w:eastAsia="en-GB"/>
              </w:rPr>
              <w:t xml:space="preserve"> и практичним питањима, обухватајући техничке и финансијске аспекте развоја и коришћења енергије из обновљивих извора</w:t>
            </w:r>
            <w:r w:rsidR="00D87A7D"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укључујући п</w:t>
            </w:r>
            <w:r w:rsidR="00D87A7D" w:rsidRPr="000A2AFE">
              <w:rPr>
                <w:rFonts w:ascii="Calibri Light" w:eastAsia="Times New Roman" w:hAnsi="Calibri Light" w:cs="Calibri Light"/>
                <w:color w:val="000000"/>
                <w:sz w:val="20"/>
                <w:szCs w:val="20"/>
                <w:lang w:eastAsia="en-GB"/>
              </w:rPr>
              <w:t>роизводњу електричне енергије из обновљивих извора енергије за</w:t>
            </w:r>
            <w:r w:rsidR="006D26AB" w:rsidRPr="000A2AFE">
              <w:rPr>
                <w:rFonts w:ascii="Calibri Light" w:eastAsia="Times New Roman" w:hAnsi="Calibri Light" w:cs="Calibri Light"/>
                <w:color w:val="000000"/>
                <w:sz w:val="20"/>
                <w:szCs w:val="20"/>
                <w:lang w:eastAsia="en-GB"/>
              </w:rPr>
              <w:t xml:space="preserve"> сопств</w:t>
            </w:r>
            <w:r w:rsidR="004B6011" w:rsidRPr="00FF386D">
              <w:rPr>
                <w:rFonts w:ascii="Calibri Light" w:eastAsia="Times New Roman" w:hAnsi="Calibri Light" w:cs="Calibri Light"/>
                <w:color w:val="000000"/>
                <w:sz w:val="20"/>
                <w:szCs w:val="20"/>
                <w:lang w:eastAsia="en-GB"/>
              </w:rPr>
              <w:t>е</w:t>
            </w:r>
            <w:r w:rsidR="006D26AB" w:rsidRPr="000A2AFE">
              <w:rPr>
                <w:rFonts w:ascii="Calibri Light" w:eastAsia="Times New Roman" w:hAnsi="Calibri Light" w:cs="Calibri Light"/>
                <w:color w:val="000000"/>
                <w:sz w:val="20"/>
                <w:szCs w:val="20"/>
                <w:lang w:eastAsia="en-GB"/>
              </w:rPr>
              <w:t>не п</w:t>
            </w:r>
            <w:r w:rsidR="00D87A7D" w:rsidRPr="000A2AFE">
              <w:rPr>
                <w:rFonts w:ascii="Calibri Light" w:eastAsia="Times New Roman" w:hAnsi="Calibri Light" w:cs="Calibri Light"/>
                <w:color w:val="000000"/>
                <w:sz w:val="20"/>
                <w:szCs w:val="20"/>
                <w:lang w:eastAsia="en-GB"/>
              </w:rPr>
              <w:t>отребе</w:t>
            </w:r>
            <w:r w:rsidR="006D26AB"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 xml:space="preserve">или у оквиру заједница обновљивих извора енергије. Смернице ће бити доступне свим релевантним заинтересованим странама, </w:t>
            </w:r>
            <w:r w:rsidR="00E13283" w:rsidRPr="000A2AFE">
              <w:rPr>
                <w:rFonts w:ascii="Calibri Light" w:eastAsia="Times New Roman" w:hAnsi="Calibri Light" w:cs="Calibri Light"/>
                <w:color w:val="000000"/>
                <w:sz w:val="20"/>
                <w:szCs w:val="20"/>
                <w:lang w:eastAsia="en-GB"/>
              </w:rPr>
              <w:t>уз посебан фокус</w:t>
            </w:r>
            <w:r w:rsidRPr="000A2AFE">
              <w:rPr>
                <w:rFonts w:ascii="Calibri Light" w:eastAsia="Times New Roman" w:hAnsi="Calibri Light" w:cs="Calibri Light"/>
                <w:color w:val="000000"/>
                <w:sz w:val="20"/>
                <w:szCs w:val="20"/>
                <w:lang w:eastAsia="en-GB"/>
              </w:rPr>
              <w:t xml:space="preserve"> на </w:t>
            </w:r>
            <w:r w:rsidR="003123AE" w:rsidRPr="000A2AFE">
              <w:rPr>
                <w:rFonts w:ascii="Calibri Light" w:eastAsia="Times New Roman" w:hAnsi="Calibri Light" w:cs="Calibri Light"/>
                <w:color w:val="000000"/>
                <w:sz w:val="20"/>
                <w:szCs w:val="20"/>
                <w:lang w:eastAsia="en-GB"/>
              </w:rPr>
              <w:t>пројектант</w:t>
            </w:r>
            <w:r w:rsidR="003123AE">
              <w:rPr>
                <w:rFonts w:ascii="Calibri Light" w:eastAsia="Times New Roman" w:hAnsi="Calibri Light" w:cs="Calibri Light"/>
                <w:color w:val="000000"/>
                <w:sz w:val="20"/>
                <w:szCs w:val="20"/>
                <w:lang w:eastAsia="en-GB"/>
              </w:rPr>
              <w:t>е</w:t>
            </w:r>
            <w:r w:rsidR="003123AE"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 xml:space="preserve">и </w:t>
            </w:r>
            <w:r w:rsidR="003123AE" w:rsidRPr="000A2AFE">
              <w:rPr>
                <w:rFonts w:ascii="Calibri Light" w:eastAsia="Times New Roman" w:hAnsi="Calibri Light" w:cs="Calibri Light"/>
                <w:color w:val="000000"/>
                <w:sz w:val="20"/>
                <w:szCs w:val="20"/>
                <w:lang w:eastAsia="en-GB"/>
              </w:rPr>
              <w:t>архитект</w:t>
            </w:r>
            <w:r w:rsidR="003123AE">
              <w:rPr>
                <w:rFonts w:ascii="Calibri Light" w:eastAsia="Times New Roman" w:hAnsi="Calibri Light" w:cs="Calibri Light"/>
                <w:color w:val="000000"/>
                <w:sz w:val="20"/>
                <w:szCs w:val="20"/>
                <w:lang w:eastAsia="en-GB"/>
              </w:rPr>
              <w:t>е</w:t>
            </w:r>
            <w:r w:rsidR="003123AE"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како би се узела у обзир оптимална комбинација енергије из обновљивих извора при планирању, пројектовању, изградњи и реконструкцији индустријских, комерцијалних или стамбених области. Нагласак ће бити на побољшањ</w:t>
            </w:r>
            <w:r w:rsidR="006D26AB" w:rsidRPr="000A2AFE">
              <w:rPr>
                <w:rFonts w:ascii="Calibri Light" w:eastAsia="Times New Roman" w:hAnsi="Calibri Light" w:cs="Calibri Light"/>
                <w:color w:val="000000"/>
                <w:sz w:val="20"/>
                <w:szCs w:val="20"/>
                <w:lang w:eastAsia="en-GB"/>
              </w:rPr>
              <w:t>у</w:t>
            </w:r>
            <w:r w:rsidRPr="000A2AFE">
              <w:rPr>
                <w:rFonts w:ascii="Calibri Light" w:eastAsia="Times New Roman" w:hAnsi="Calibri Light" w:cs="Calibri Light"/>
                <w:color w:val="000000"/>
                <w:sz w:val="20"/>
                <w:szCs w:val="20"/>
                <w:lang w:eastAsia="en-GB"/>
              </w:rPr>
              <w:t xml:space="preserve"> друштвен</w:t>
            </w:r>
            <w:r w:rsidR="00D87A7D" w:rsidRPr="000A2AFE">
              <w:rPr>
                <w:rFonts w:ascii="Calibri Light" w:eastAsia="Times New Roman" w:hAnsi="Calibri Light" w:cs="Calibri Light"/>
                <w:color w:val="000000"/>
                <w:sz w:val="20"/>
                <w:szCs w:val="20"/>
                <w:lang w:eastAsia="en-GB"/>
              </w:rPr>
              <w:t>е прихваћености</w:t>
            </w:r>
            <w:r w:rsidRPr="000A2AFE">
              <w:rPr>
                <w:rFonts w:ascii="Calibri Light" w:eastAsia="Times New Roman" w:hAnsi="Calibri Light" w:cs="Calibri Light"/>
                <w:color w:val="000000"/>
                <w:sz w:val="20"/>
                <w:szCs w:val="20"/>
                <w:lang w:eastAsia="en-GB"/>
              </w:rPr>
              <w:t xml:space="preserve"> </w:t>
            </w:r>
            <w:r w:rsidR="00D87A7D" w:rsidRPr="000A2AFE">
              <w:rPr>
                <w:rFonts w:ascii="Calibri Light" w:eastAsia="Times New Roman" w:hAnsi="Calibri Light" w:cs="Calibri Light"/>
                <w:color w:val="000000"/>
                <w:sz w:val="20"/>
                <w:szCs w:val="20"/>
                <w:lang w:eastAsia="en-GB"/>
              </w:rPr>
              <w:t xml:space="preserve">коришћења </w:t>
            </w:r>
            <w:r w:rsidRPr="000A2AFE">
              <w:rPr>
                <w:rFonts w:ascii="Calibri Light" w:eastAsia="Times New Roman" w:hAnsi="Calibri Light" w:cs="Calibri Light"/>
                <w:color w:val="000000"/>
                <w:sz w:val="20"/>
                <w:szCs w:val="20"/>
                <w:lang w:eastAsia="en-GB"/>
              </w:rPr>
              <w:t>обновљивих извора за производњу електричне енергије.</w:t>
            </w:r>
          </w:p>
        </w:tc>
      </w:tr>
      <w:tr w:rsidR="00854ADA" w:rsidRPr="00FF386D" w14:paraId="624674FC"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1FB56BC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0DF3EFE2" w14:textId="634B7E54"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D050A3"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-2030.</w:t>
            </w:r>
          </w:p>
        </w:tc>
      </w:tr>
      <w:tr w:rsidR="00854ADA" w:rsidRPr="00FF386D" w14:paraId="68656EE5"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4402D71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3C035F22" w14:textId="30304607" w:rsidR="00854ADA" w:rsidRPr="00FF386D" w:rsidRDefault="00981876" w:rsidP="00854ADA">
            <w:p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Реформа</w:t>
            </w:r>
          </w:p>
        </w:tc>
      </w:tr>
      <w:tr w:rsidR="00854ADA" w:rsidRPr="00FF386D" w14:paraId="720F7C86"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165C355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6A76FE87"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Електроенергетика, грејање и хлађење, саобраћај</w:t>
            </w:r>
          </w:p>
        </w:tc>
      </w:tr>
      <w:tr w:rsidR="00854ADA" w:rsidRPr="00FF386D" w14:paraId="589C1CED"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572907B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5C197B4D"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7E9A6508" w14:textId="77777777" w:rsidTr="0057310C">
        <w:trPr>
          <w:trHeight w:val="315"/>
        </w:trPr>
        <w:tc>
          <w:tcPr>
            <w:tcW w:w="3328" w:type="dxa"/>
            <w:tcBorders>
              <w:top w:val="nil"/>
              <w:left w:val="single" w:sz="8" w:space="0" w:color="auto"/>
              <w:bottom w:val="single" w:sz="8" w:space="0" w:color="auto"/>
              <w:right w:val="nil"/>
            </w:tcBorders>
            <w:shd w:val="clear" w:color="000000" w:fill="244062"/>
            <w:vAlign w:val="center"/>
            <w:hideMark/>
          </w:tcPr>
          <w:p w14:paraId="780E95C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6294B96D" w14:textId="46FB34E9" w:rsidR="00854ADA" w:rsidRPr="000A2AFE" w:rsidRDefault="00903D02"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1060F328" w14:textId="77777777" w:rsidTr="0057310C">
        <w:trPr>
          <w:trHeight w:val="315"/>
        </w:trPr>
        <w:tc>
          <w:tcPr>
            <w:tcW w:w="3328" w:type="dxa"/>
            <w:tcBorders>
              <w:top w:val="nil"/>
              <w:left w:val="single" w:sz="8" w:space="0" w:color="auto"/>
              <w:bottom w:val="single" w:sz="8" w:space="0" w:color="auto"/>
              <w:right w:val="nil"/>
            </w:tcBorders>
            <w:shd w:val="clear" w:color="000000" w:fill="244062"/>
            <w:vAlign w:val="center"/>
            <w:hideMark/>
          </w:tcPr>
          <w:p w14:paraId="0422ED5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4AF76816" w14:textId="00240D58" w:rsidR="00854ADA" w:rsidRPr="000A2AFE" w:rsidRDefault="00854ADA"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Обухваћен</w:t>
            </w:r>
            <w:r w:rsidR="00D050A3" w:rsidRPr="000A2AFE">
              <w:rPr>
                <w:rFonts w:ascii="Calibri Light" w:eastAsia="Times New Roman" w:hAnsi="Calibri Light" w:cs="Calibri Light"/>
                <w:color w:val="000000"/>
                <w:sz w:val="20"/>
                <w:szCs w:val="20"/>
                <w:lang w:eastAsia="en-GB"/>
              </w:rPr>
              <w:t>е заинтересоване стране</w:t>
            </w:r>
          </w:p>
        </w:tc>
      </w:tr>
      <w:tr w:rsidR="00854ADA" w:rsidRPr="00FF386D" w14:paraId="4E998728" w14:textId="77777777" w:rsidTr="0057310C">
        <w:trPr>
          <w:trHeight w:val="153"/>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725CECD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30" w:type="dxa"/>
            <w:gridSpan w:val="3"/>
            <w:tcBorders>
              <w:top w:val="single" w:sz="8" w:space="0" w:color="auto"/>
              <w:left w:val="nil"/>
              <w:bottom w:val="single" w:sz="8" w:space="0" w:color="auto"/>
              <w:right w:val="single" w:sz="8" w:space="0" w:color="000000"/>
            </w:tcBorders>
            <w:shd w:val="clear" w:color="auto" w:fill="auto"/>
            <w:vAlign w:val="center"/>
          </w:tcPr>
          <w:p w14:paraId="3F7D758C" w14:textId="77777777" w:rsidR="00903D02" w:rsidRPr="00903D02" w:rsidRDefault="00903D02" w:rsidP="00903D02">
            <w:pPr>
              <w:numPr>
                <w:ilvl w:val="0"/>
                <w:numId w:val="114"/>
              </w:numPr>
              <w:spacing w:after="0" w:line="240" w:lineRule="auto"/>
              <w:rPr>
                <w:rFonts w:ascii="Calibri Light" w:eastAsia="Times New Roman" w:hAnsi="Calibri Light" w:cs="Calibri Light"/>
                <w:color w:val="000000"/>
                <w:sz w:val="20"/>
                <w:szCs w:val="20"/>
                <w:lang w:eastAsia="en-GB"/>
              </w:rPr>
            </w:pPr>
            <w:r w:rsidRPr="00903D02">
              <w:rPr>
                <w:rFonts w:ascii="Calibri Light" w:eastAsia="Times New Roman" w:hAnsi="Calibri Light" w:cs="Calibri Light"/>
                <w:color w:val="000000"/>
                <w:sz w:val="20"/>
                <w:szCs w:val="20"/>
                <w:lang w:eastAsia="en-GB"/>
              </w:rPr>
              <w:t>Енергетска ефикасност (промовисане технологије ОИЕ ће довести и до уштеде финалне и примарне енергије доприносећи постизању релевантних циљева)</w:t>
            </w:r>
          </w:p>
          <w:p w14:paraId="71F7E859" w14:textId="029B7294" w:rsidR="00854ADA" w:rsidRPr="00FF386D" w:rsidRDefault="00903D02" w:rsidP="000A2AFE">
            <w:pPr>
              <w:numPr>
                <w:ilvl w:val="0"/>
                <w:numId w:val="114"/>
              </w:numPr>
              <w:spacing w:after="0" w:line="240" w:lineRule="auto"/>
              <w:rPr>
                <w:rFonts w:ascii="Calibri Light" w:eastAsia="Times New Roman" w:hAnsi="Calibri Light" w:cs="Calibri Light"/>
                <w:color w:val="000000"/>
                <w:sz w:val="20"/>
                <w:szCs w:val="20"/>
                <w:lang w:eastAsia="en-GB"/>
              </w:rPr>
            </w:pPr>
            <w:r w:rsidRPr="00903D02">
              <w:rPr>
                <w:rFonts w:ascii="Calibri Light" w:eastAsia="Times New Roman" w:hAnsi="Calibri Light" w:cs="Calibri Light"/>
                <w:color w:val="000000"/>
                <w:sz w:val="20"/>
                <w:szCs w:val="20"/>
                <w:lang w:eastAsia="en-GB"/>
              </w:rPr>
              <w:t>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854ADA" w:rsidRPr="00FF386D" w14:paraId="6338070D" w14:textId="77777777" w:rsidTr="0057310C">
        <w:trPr>
          <w:trHeight w:val="450"/>
        </w:trPr>
        <w:tc>
          <w:tcPr>
            <w:tcW w:w="3328"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72E2E7DD" w14:textId="71F39A32"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30"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05E5FD6E"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2018/2001/ЕУ</w:t>
            </w:r>
          </w:p>
        </w:tc>
      </w:tr>
      <w:tr w:rsidR="00854ADA" w:rsidRPr="00FF386D" w14:paraId="008486D3" w14:textId="77777777" w:rsidTr="0057310C">
        <w:trPr>
          <w:trHeight w:val="450"/>
        </w:trPr>
        <w:tc>
          <w:tcPr>
            <w:tcW w:w="3328" w:type="dxa"/>
            <w:vMerge/>
            <w:tcBorders>
              <w:top w:val="nil"/>
              <w:left w:val="single" w:sz="8" w:space="0" w:color="auto"/>
              <w:bottom w:val="single" w:sz="8" w:space="0" w:color="000000"/>
              <w:right w:val="single" w:sz="8" w:space="0" w:color="auto"/>
            </w:tcBorders>
            <w:vAlign w:val="center"/>
            <w:hideMark/>
          </w:tcPr>
          <w:p w14:paraId="7773705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0" w:type="dxa"/>
            <w:gridSpan w:val="3"/>
            <w:vMerge/>
            <w:tcBorders>
              <w:top w:val="single" w:sz="8" w:space="0" w:color="auto"/>
              <w:left w:val="single" w:sz="8" w:space="0" w:color="auto"/>
              <w:bottom w:val="single" w:sz="8" w:space="0" w:color="000000"/>
              <w:right w:val="single" w:sz="8" w:space="0" w:color="000000"/>
            </w:tcBorders>
            <w:vAlign w:val="center"/>
            <w:hideMark/>
          </w:tcPr>
          <w:p w14:paraId="22AA762E"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5AD6A32A" w14:textId="77777777" w:rsidTr="0057310C">
        <w:trPr>
          <w:trHeight w:val="450"/>
        </w:trPr>
        <w:tc>
          <w:tcPr>
            <w:tcW w:w="3328" w:type="dxa"/>
            <w:vMerge/>
            <w:tcBorders>
              <w:top w:val="nil"/>
              <w:left w:val="single" w:sz="8" w:space="0" w:color="auto"/>
              <w:bottom w:val="single" w:sz="8" w:space="0" w:color="000000"/>
              <w:right w:val="single" w:sz="8" w:space="0" w:color="auto"/>
            </w:tcBorders>
            <w:vAlign w:val="center"/>
            <w:hideMark/>
          </w:tcPr>
          <w:p w14:paraId="7735046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0" w:type="dxa"/>
            <w:gridSpan w:val="3"/>
            <w:vMerge/>
            <w:tcBorders>
              <w:top w:val="single" w:sz="8" w:space="0" w:color="auto"/>
              <w:left w:val="single" w:sz="8" w:space="0" w:color="auto"/>
              <w:bottom w:val="single" w:sz="8" w:space="0" w:color="000000"/>
              <w:right w:val="single" w:sz="8" w:space="0" w:color="000000"/>
            </w:tcBorders>
            <w:vAlign w:val="center"/>
            <w:hideMark/>
          </w:tcPr>
          <w:p w14:paraId="47F69C4A"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3AECC4BA" w14:textId="77777777" w:rsidTr="0057310C">
        <w:trPr>
          <w:trHeight w:val="307"/>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773E6BC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30B8C1BA"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p>
        </w:tc>
      </w:tr>
      <w:tr w:rsidR="00854ADA" w:rsidRPr="00FF386D" w14:paraId="1E8083CD"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2843EA5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5081CC1E"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0,2 милиона евра</w:t>
            </w:r>
          </w:p>
        </w:tc>
      </w:tr>
      <w:tr w:rsidR="00854ADA" w:rsidRPr="00FF386D" w14:paraId="7495240B"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434D0E5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7E2BE24A" w14:textId="24E4AACE"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D050A3" w:rsidRPr="00FF386D">
              <w:rPr>
                <w:rFonts w:asciiTheme="majorHAnsi" w:eastAsia="Times New Roman" w:hAnsiTheme="majorHAnsi" w:cstheme="majorHAnsi"/>
                <w:color w:val="000000"/>
                <w:sz w:val="20"/>
                <w:szCs w:val="20"/>
                <w:lang w:eastAsia="en-GB"/>
              </w:rPr>
              <w:t>ска средства</w:t>
            </w:r>
          </w:p>
        </w:tc>
      </w:tr>
    </w:tbl>
    <w:p w14:paraId="1894C13F" w14:textId="77777777" w:rsidR="00854ADA" w:rsidRDefault="00854ADA" w:rsidP="00854ADA">
      <w:pPr>
        <w:widowControl w:val="0"/>
        <w:spacing w:after="120" w:line="240" w:lineRule="auto"/>
        <w:jc w:val="both"/>
        <w:rPr>
          <w:rFonts w:ascii="Calibri Light" w:eastAsia="Times New Roman" w:hAnsi="Calibri Light" w:cs="Calibri Light"/>
          <w:szCs w:val="20"/>
          <w:lang w:eastAsia="el-GR"/>
        </w:rPr>
      </w:pPr>
    </w:p>
    <w:tbl>
      <w:tblPr>
        <w:tblW w:w="9680" w:type="dxa"/>
        <w:tblLook w:val="04A0" w:firstRow="1" w:lastRow="0" w:firstColumn="1" w:lastColumn="0" w:noHBand="0" w:noVBand="1"/>
      </w:tblPr>
      <w:tblGrid>
        <w:gridCol w:w="3306"/>
        <w:gridCol w:w="1009"/>
        <w:gridCol w:w="944"/>
        <w:gridCol w:w="4199"/>
        <w:gridCol w:w="222"/>
      </w:tblGrid>
      <w:tr w:rsidR="003123AE" w:rsidRPr="00814A81" w14:paraId="50FC9DF6" w14:textId="77777777" w:rsidTr="0057310C">
        <w:trPr>
          <w:gridAfter w:val="1"/>
          <w:wAfter w:w="222" w:type="dxa"/>
          <w:trHeight w:val="780"/>
        </w:trPr>
        <w:tc>
          <w:tcPr>
            <w:tcW w:w="3306"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0CD6947B" w14:textId="77777777" w:rsidR="003123AE" w:rsidRPr="000A2AFE" w:rsidRDefault="003123AE" w:rsidP="000A2AFE">
            <w:pPr>
              <w:widowControl w:val="0"/>
              <w:spacing w:after="0" w:line="240" w:lineRule="auto"/>
              <w:jc w:val="both"/>
              <w:rPr>
                <w:rFonts w:asciiTheme="majorHAnsi" w:eastAsia="Times New Roman" w:hAnsiTheme="majorHAnsi" w:cstheme="majorHAnsi"/>
                <w:b/>
                <w:bCs/>
                <w:sz w:val="20"/>
                <w:szCs w:val="20"/>
                <w:lang w:val="en-GB" w:eastAsia="el-GR"/>
              </w:rPr>
            </w:pPr>
            <w:r w:rsidRPr="000A2AFE">
              <w:rPr>
                <w:rFonts w:asciiTheme="majorHAnsi" w:eastAsia="Times New Roman" w:hAnsiTheme="majorHAnsi" w:cstheme="majorHAnsi"/>
                <w:b/>
                <w:bCs/>
                <w:sz w:val="20"/>
                <w:szCs w:val="20"/>
                <w:lang w:eastAsia="el-GR"/>
              </w:rPr>
              <w:t>Шифра мере политике</w:t>
            </w:r>
            <w:r w:rsidRPr="000A2AFE">
              <w:rPr>
                <w:rFonts w:asciiTheme="majorHAnsi" w:eastAsia="Times New Roman" w:hAnsiTheme="majorHAnsi" w:cstheme="majorHAnsi"/>
                <w:b/>
                <w:bCs/>
                <w:sz w:val="20"/>
                <w:szCs w:val="20"/>
                <w:lang w:val="en-GB" w:eastAsia="el-GR"/>
              </w:rPr>
              <w:t xml:space="preserve">: </w:t>
            </w:r>
          </w:p>
        </w:tc>
        <w:tc>
          <w:tcPr>
            <w:tcW w:w="1009" w:type="dxa"/>
            <w:tcBorders>
              <w:top w:val="single" w:sz="8" w:space="0" w:color="auto"/>
              <w:left w:val="nil"/>
              <w:bottom w:val="single" w:sz="8" w:space="0" w:color="auto"/>
              <w:right w:val="single" w:sz="8" w:space="0" w:color="auto"/>
            </w:tcBorders>
            <w:shd w:val="clear" w:color="auto" w:fill="E7E6E6" w:themeFill="background2"/>
            <w:vAlign w:val="center"/>
            <w:hideMark/>
          </w:tcPr>
          <w:p w14:paraId="1F0AEA6F" w14:textId="77777777" w:rsidR="003123AE" w:rsidRPr="000A2AFE" w:rsidRDefault="003123AE" w:rsidP="000A2AFE">
            <w:pPr>
              <w:widowControl w:val="0"/>
              <w:spacing w:after="0" w:line="240" w:lineRule="auto"/>
              <w:jc w:val="both"/>
              <w:rPr>
                <w:rFonts w:asciiTheme="majorHAnsi" w:eastAsia="Times New Roman" w:hAnsiTheme="majorHAnsi" w:cstheme="majorHAnsi"/>
                <w:b/>
                <w:bCs/>
                <w:sz w:val="20"/>
                <w:szCs w:val="20"/>
                <w:lang w:val="en-GB" w:eastAsia="el-GR"/>
              </w:rPr>
            </w:pPr>
            <w:r w:rsidRPr="000A2AFE">
              <w:rPr>
                <w:rFonts w:asciiTheme="majorHAnsi" w:eastAsia="Times New Roman" w:hAnsiTheme="majorHAnsi" w:cstheme="majorHAnsi"/>
                <w:b/>
                <w:bCs/>
                <w:sz w:val="20"/>
                <w:szCs w:val="20"/>
                <w:lang w:val="en-GB" w:eastAsia="el-GR"/>
              </w:rPr>
              <w:t>M</w:t>
            </w:r>
            <w:r w:rsidRPr="000A2AFE">
              <w:rPr>
                <w:rFonts w:asciiTheme="majorHAnsi" w:eastAsia="Times New Roman" w:hAnsiTheme="majorHAnsi" w:cstheme="majorHAnsi"/>
                <w:b/>
                <w:bCs/>
                <w:sz w:val="20"/>
                <w:szCs w:val="20"/>
                <w:lang w:eastAsia="el-GR"/>
              </w:rPr>
              <w:t>П</w:t>
            </w:r>
            <w:r w:rsidRPr="000A2AFE">
              <w:rPr>
                <w:rFonts w:asciiTheme="majorHAnsi" w:eastAsia="Times New Roman" w:hAnsiTheme="majorHAnsi" w:cstheme="majorHAnsi"/>
                <w:b/>
                <w:bCs/>
                <w:sz w:val="20"/>
                <w:szCs w:val="20"/>
                <w:lang w:val="en-GB" w:eastAsia="el-GR"/>
              </w:rPr>
              <w:t>_</w:t>
            </w:r>
            <w:r w:rsidRPr="000A2AFE">
              <w:rPr>
                <w:rFonts w:asciiTheme="majorHAnsi" w:eastAsia="Times New Roman" w:hAnsiTheme="majorHAnsi" w:cstheme="majorHAnsi"/>
                <w:b/>
                <w:bCs/>
                <w:sz w:val="20"/>
                <w:szCs w:val="20"/>
                <w:lang w:eastAsia="el-GR"/>
              </w:rPr>
              <w:t>Д</w:t>
            </w:r>
            <w:r w:rsidRPr="000A2AFE">
              <w:rPr>
                <w:rFonts w:asciiTheme="majorHAnsi" w:eastAsia="Times New Roman" w:hAnsiTheme="majorHAnsi" w:cstheme="majorHAnsi"/>
                <w:b/>
                <w:bCs/>
                <w:sz w:val="20"/>
                <w:szCs w:val="20"/>
                <w:lang w:val="en-GB" w:eastAsia="el-GR"/>
              </w:rPr>
              <w:t>44</w:t>
            </w:r>
          </w:p>
        </w:tc>
        <w:tc>
          <w:tcPr>
            <w:tcW w:w="944" w:type="dxa"/>
            <w:tcBorders>
              <w:top w:val="single" w:sz="8" w:space="0" w:color="auto"/>
              <w:left w:val="nil"/>
              <w:bottom w:val="single" w:sz="8" w:space="0" w:color="auto"/>
              <w:right w:val="single" w:sz="8" w:space="0" w:color="auto"/>
            </w:tcBorders>
            <w:shd w:val="clear" w:color="000000" w:fill="244062"/>
            <w:vAlign w:val="center"/>
            <w:hideMark/>
          </w:tcPr>
          <w:p w14:paraId="00D05D33" w14:textId="77777777" w:rsidR="003123AE" w:rsidRPr="000A2AFE" w:rsidRDefault="003123AE" w:rsidP="000A2AFE">
            <w:pPr>
              <w:widowControl w:val="0"/>
              <w:spacing w:after="0" w:line="240" w:lineRule="auto"/>
              <w:jc w:val="both"/>
              <w:rPr>
                <w:rFonts w:asciiTheme="majorHAnsi" w:eastAsia="Times New Roman" w:hAnsiTheme="majorHAnsi" w:cstheme="majorHAnsi"/>
                <w:b/>
                <w:bCs/>
                <w:sz w:val="20"/>
                <w:szCs w:val="20"/>
                <w:lang w:val="en-GB" w:eastAsia="el-GR"/>
              </w:rPr>
            </w:pPr>
            <w:r w:rsidRPr="000A2AFE">
              <w:rPr>
                <w:rFonts w:asciiTheme="majorHAnsi" w:eastAsia="Times New Roman" w:hAnsiTheme="majorHAnsi" w:cstheme="majorHAnsi"/>
                <w:b/>
                <w:bCs/>
                <w:sz w:val="20"/>
                <w:szCs w:val="20"/>
                <w:lang w:eastAsia="el-GR"/>
              </w:rPr>
              <w:t>Назив</w:t>
            </w:r>
            <w:r w:rsidRPr="000A2AFE">
              <w:rPr>
                <w:rFonts w:asciiTheme="majorHAnsi" w:eastAsia="Times New Roman" w:hAnsiTheme="majorHAnsi" w:cstheme="majorHAnsi"/>
                <w:b/>
                <w:bCs/>
                <w:sz w:val="20"/>
                <w:szCs w:val="20"/>
                <w:lang w:val="en-GB" w:eastAsia="el-GR"/>
              </w:rPr>
              <w:t xml:space="preserve">: </w:t>
            </w:r>
          </w:p>
        </w:tc>
        <w:tc>
          <w:tcPr>
            <w:tcW w:w="4199" w:type="dxa"/>
            <w:tcBorders>
              <w:top w:val="single" w:sz="8" w:space="0" w:color="auto"/>
              <w:left w:val="nil"/>
              <w:bottom w:val="single" w:sz="8" w:space="0" w:color="auto"/>
              <w:right w:val="single" w:sz="8" w:space="0" w:color="auto"/>
            </w:tcBorders>
            <w:shd w:val="clear" w:color="auto" w:fill="E7E6E6" w:themeFill="background2"/>
            <w:vAlign w:val="center"/>
            <w:hideMark/>
          </w:tcPr>
          <w:p w14:paraId="54941BD5" w14:textId="77777777" w:rsidR="003123AE" w:rsidRPr="000A2AFE" w:rsidRDefault="003123AE" w:rsidP="000A2AFE">
            <w:pPr>
              <w:widowControl w:val="0"/>
              <w:spacing w:after="0" w:line="240" w:lineRule="auto"/>
              <w:jc w:val="both"/>
              <w:rPr>
                <w:rFonts w:asciiTheme="majorHAnsi" w:eastAsia="Times New Roman" w:hAnsiTheme="majorHAnsi" w:cstheme="majorHAnsi"/>
                <w:b/>
                <w:bCs/>
                <w:sz w:val="20"/>
                <w:szCs w:val="20"/>
                <w:lang w:val="en-GB" w:eastAsia="el-GR"/>
              </w:rPr>
            </w:pPr>
            <w:r w:rsidRPr="000A2AFE">
              <w:rPr>
                <w:rFonts w:asciiTheme="majorHAnsi" w:eastAsia="Times New Roman" w:hAnsiTheme="majorHAnsi" w:cstheme="majorHAnsi"/>
                <w:b/>
                <w:bCs/>
                <w:sz w:val="20"/>
                <w:szCs w:val="20"/>
                <w:lang w:eastAsia="el-GR"/>
              </w:rPr>
              <w:t>Развој шеме за квалификацију, акредитацију и сертификацију</w:t>
            </w:r>
            <w:r w:rsidRPr="000A2AFE">
              <w:rPr>
                <w:rFonts w:asciiTheme="majorHAnsi" w:eastAsia="Times New Roman" w:hAnsiTheme="majorHAnsi" w:cstheme="majorHAnsi"/>
                <w:b/>
                <w:bCs/>
                <w:sz w:val="20"/>
                <w:szCs w:val="20"/>
                <w:lang w:val="en-US" w:eastAsia="el-GR"/>
              </w:rPr>
              <w:t xml:space="preserve"> </w:t>
            </w:r>
            <w:r w:rsidRPr="000A2AFE">
              <w:rPr>
                <w:rFonts w:asciiTheme="majorHAnsi" w:eastAsia="Times New Roman" w:hAnsiTheme="majorHAnsi" w:cstheme="majorHAnsi"/>
                <w:b/>
                <w:bCs/>
                <w:sz w:val="20"/>
                <w:szCs w:val="20"/>
                <w:lang w:eastAsia="el-GR"/>
              </w:rPr>
              <w:t>стручњака у области ОИЕ</w:t>
            </w:r>
          </w:p>
        </w:tc>
      </w:tr>
      <w:tr w:rsidR="003123AE" w:rsidRPr="00814A81" w14:paraId="1DE5E454" w14:textId="77777777" w:rsidTr="0057310C">
        <w:trPr>
          <w:gridAfter w:val="1"/>
          <w:wAfter w:w="222" w:type="dxa"/>
          <w:trHeight w:val="265"/>
        </w:trPr>
        <w:tc>
          <w:tcPr>
            <w:tcW w:w="3306" w:type="dxa"/>
            <w:tcBorders>
              <w:top w:val="single" w:sz="8" w:space="0" w:color="auto"/>
              <w:left w:val="single" w:sz="8" w:space="0" w:color="auto"/>
              <w:bottom w:val="single" w:sz="8" w:space="0" w:color="auto"/>
              <w:right w:val="single" w:sz="4" w:space="0" w:color="auto"/>
            </w:tcBorders>
            <w:shd w:val="clear" w:color="000000" w:fill="244062"/>
            <w:vAlign w:val="center"/>
            <w:hideMark/>
          </w:tcPr>
          <w:p w14:paraId="0644B4AC" w14:textId="77777777" w:rsidR="003123AE" w:rsidRPr="000A2AFE" w:rsidRDefault="003123AE" w:rsidP="000A2AFE">
            <w:pPr>
              <w:widowControl w:val="0"/>
              <w:spacing w:after="0" w:line="240" w:lineRule="auto"/>
              <w:jc w:val="both"/>
              <w:rPr>
                <w:rFonts w:asciiTheme="majorHAnsi" w:eastAsia="Times New Roman" w:hAnsiTheme="majorHAnsi" w:cstheme="majorHAnsi"/>
                <w:b/>
                <w:bCs/>
                <w:sz w:val="20"/>
                <w:szCs w:val="20"/>
                <w:lang w:val="en-GB" w:eastAsia="el-GR"/>
              </w:rPr>
            </w:pPr>
            <w:r w:rsidRPr="000A2AFE">
              <w:rPr>
                <w:rFonts w:asciiTheme="majorHAnsi" w:eastAsia="Times New Roman" w:hAnsiTheme="majorHAnsi" w:cstheme="majorHAnsi"/>
                <w:b/>
                <w:bCs/>
                <w:sz w:val="20"/>
                <w:szCs w:val="20"/>
                <w:lang w:eastAsia="el-GR"/>
              </w:rPr>
              <w:t>Главни циљ</w:t>
            </w:r>
            <w:r w:rsidRPr="000A2AFE">
              <w:rPr>
                <w:rFonts w:asciiTheme="majorHAnsi" w:eastAsia="Times New Roman" w:hAnsiTheme="majorHAnsi" w:cstheme="majorHAnsi"/>
                <w:b/>
                <w:bCs/>
                <w:sz w:val="20"/>
                <w:szCs w:val="20"/>
                <w:lang w:val="en-GB" w:eastAsia="el-GR"/>
              </w:rPr>
              <w:t xml:space="preserve">: </w:t>
            </w:r>
          </w:p>
        </w:tc>
        <w:tc>
          <w:tcPr>
            <w:tcW w:w="6152" w:type="dxa"/>
            <w:gridSpan w:val="3"/>
            <w:tcBorders>
              <w:top w:val="single" w:sz="8" w:space="0" w:color="auto"/>
              <w:left w:val="single" w:sz="4" w:space="0" w:color="auto"/>
              <w:bottom w:val="single" w:sz="8" w:space="0" w:color="auto"/>
              <w:right w:val="single" w:sz="8" w:space="0" w:color="000000"/>
            </w:tcBorders>
            <w:shd w:val="clear" w:color="auto" w:fill="auto"/>
            <w:vAlign w:val="center"/>
            <w:hideMark/>
          </w:tcPr>
          <w:p w14:paraId="14D3D6D8" w14:textId="77777777" w:rsidR="003123AE" w:rsidRPr="000A2AFE" w:rsidRDefault="003123AE" w:rsidP="000A2AFE">
            <w:pPr>
              <w:widowControl w:val="0"/>
              <w:spacing w:after="0" w:line="240" w:lineRule="auto"/>
              <w:jc w:val="both"/>
              <w:rPr>
                <w:rFonts w:asciiTheme="majorHAnsi" w:eastAsia="Times New Roman" w:hAnsiTheme="majorHAnsi" w:cstheme="majorHAnsi"/>
                <w:sz w:val="20"/>
                <w:szCs w:val="20"/>
                <w:lang w:val="en-GB" w:eastAsia="el-GR"/>
              </w:rPr>
            </w:pPr>
            <w:r w:rsidRPr="000A2AFE">
              <w:rPr>
                <w:rFonts w:asciiTheme="majorHAnsi" w:eastAsia="Times New Roman" w:hAnsiTheme="majorHAnsi" w:cstheme="majorHAnsi"/>
                <w:sz w:val="20"/>
                <w:szCs w:val="20"/>
                <w:lang w:eastAsia="el-GR"/>
              </w:rPr>
              <w:t>Повећани удео ОИЕ у електричној енергији, грејању и хлађењу и у саобраћају</w:t>
            </w:r>
          </w:p>
        </w:tc>
      </w:tr>
      <w:tr w:rsidR="003123AE" w:rsidRPr="00814A81" w14:paraId="33AA927B" w14:textId="77777777" w:rsidTr="0057310C">
        <w:trPr>
          <w:gridAfter w:val="1"/>
          <w:wAfter w:w="222" w:type="dxa"/>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17752569" w14:textId="77777777" w:rsidR="003123AE" w:rsidRPr="000A2AFE" w:rsidRDefault="003123AE" w:rsidP="000A2AFE">
            <w:pPr>
              <w:widowControl w:val="0"/>
              <w:spacing w:after="0" w:line="240" w:lineRule="auto"/>
              <w:jc w:val="both"/>
              <w:rPr>
                <w:rFonts w:asciiTheme="majorHAnsi" w:eastAsia="Times New Roman" w:hAnsiTheme="majorHAnsi" w:cstheme="majorHAnsi"/>
                <w:b/>
                <w:bCs/>
                <w:sz w:val="20"/>
                <w:szCs w:val="20"/>
                <w:lang w:val="en-GB" w:eastAsia="el-GR"/>
              </w:rPr>
            </w:pPr>
            <w:r w:rsidRPr="000A2AFE">
              <w:rPr>
                <w:rFonts w:asciiTheme="majorHAnsi" w:eastAsia="Times New Roman" w:hAnsiTheme="majorHAnsi" w:cstheme="majorHAnsi"/>
                <w:b/>
                <w:bCs/>
                <w:sz w:val="20"/>
                <w:szCs w:val="20"/>
                <w:lang w:eastAsia="el-GR"/>
              </w:rPr>
              <w:t>Квантификовани циљ</w:t>
            </w:r>
            <w:r w:rsidRPr="000A2AFE">
              <w:rPr>
                <w:rFonts w:asciiTheme="majorHAnsi" w:eastAsia="Times New Roman" w:hAnsiTheme="majorHAnsi" w:cstheme="majorHAnsi"/>
                <w:b/>
                <w:bCs/>
                <w:sz w:val="20"/>
                <w:szCs w:val="20"/>
                <w:lang w:val="en-GB" w:eastAsia="el-GR"/>
              </w:rPr>
              <w:t xml:space="preserve">: </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0428FE25" w14:textId="77777777" w:rsidR="003123AE" w:rsidRPr="000A2AFE" w:rsidRDefault="003123AE" w:rsidP="000A2AFE">
            <w:pPr>
              <w:widowControl w:val="0"/>
              <w:spacing w:after="0" w:line="240" w:lineRule="auto"/>
              <w:jc w:val="both"/>
              <w:rPr>
                <w:rFonts w:asciiTheme="majorHAnsi" w:eastAsia="Times New Roman" w:hAnsiTheme="majorHAnsi" w:cstheme="majorHAnsi"/>
                <w:sz w:val="20"/>
                <w:szCs w:val="20"/>
                <w:lang w:val="en-GB" w:eastAsia="el-GR"/>
              </w:rPr>
            </w:pPr>
            <w:r w:rsidRPr="000A2AFE">
              <w:rPr>
                <w:rFonts w:asciiTheme="majorHAnsi" w:eastAsia="Times New Roman" w:hAnsiTheme="majorHAnsi" w:cstheme="majorHAnsi"/>
                <w:sz w:val="20"/>
                <w:szCs w:val="20"/>
                <w:lang w:eastAsia="el-GR"/>
              </w:rPr>
              <w:t>Допринос очекиваном уделу ОИЕ у производњи електричне енергије</w:t>
            </w:r>
          </w:p>
        </w:tc>
      </w:tr>
      <w:tr w:rsidR="003123AE" w:rsidRPr="00814A81" w14:paraId="349DA558" w14:textId="77777777" w:rsidTr="0057310C">
        <w:trPr>
          <w:gridAfter w:val="1"/>
          <w:wAfter w:w="222" w:type="dxa"/>
          <w:trHeight w:val="726"/>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31C245A3" w14:textId="77777777" w:rsidR="003123AE" w:rsidRPr="000A2AFE" w:rsidRDefault="003123AE" w:rsidP="000A2AFE">
            <w:pPr>
              <w:widowControl w:val="0"/>
              <w:spacing w:after="0" w:line="240" w:lineRule="auto"/>
              <w:jc w:val="both"/>
              <w:rPr>
                <w:rFonts w:asciiTheme="majorHAnsi" w:eastAsia="Times New Roman" w:hAnsiTheme="majorHAnsi" w:cstheme="majorHAnsi"/>
                <w:b/>
                <w:bCs/>
                <w:sz w:val="20"/>
                <w:szCs w:val="20"/>
                <w:lang w:val="en-GB" w:eastAsia="el-GR"/>
              </w:rPr>
            </w:pPr>
            <w:r w:rsidRPr="000A2AFE">
              <w:rPr>
                <w:rFonts w:asciiTheme="majorHAnsi" w:eastAsia="Times New Roman" w:hAnsiTheme="majorHAnsi" w:cstheme="majorHAnsi"/>
                <w:b/>
                <w:bCs/>
                <w:sz w:val="20"/>
                <w:szCs w:val="20"/>
                <w:lang w:eastAsia="el-GR"/>
              </w:rPr>
              <w:t>Опис</w:t>
            </w:r>
            <w:r w:rsidRPr="000A2AFE">
              <w:rPr>
                <w:rFonts w:asciiTheme="majorHAnsi" w:eastAsia="Times New Roman" w:hAnsiTheme="majorHAnsi" w:cstheme="majorHAnsi"/>
                <w:b/>
                <w:bCs/>
                <w:sz w:val="20"/>
                <w:szCs w:val="20"/>
                <w:lang w:val="en-GB" w:eastAsia="el-GR"/>
              </w:rPr>
              <w:t>:</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04F64699" w14:textId="52294CC2" w:rsidR="003123AE" w:rsidRPr="000A2AFE" w:rsidRDefault="003123AE" w:rsidP="000A2AFE">
            <w:pPr>
              <w:widowControl w:val="0"/>
              <w:spacing w:after="0" w:line="240" w:lineRule="auto"/>
              <w:jc w:val="both"/>
              <w:rPr>
                <w:rFonts w:asciiTheme="majorHAnsi" w:eastAsia="Times New Roman" w:hAnsiTheme="majorHAnsi" w:cstheme="majorHAnsi"/>
                <w:sz w:val="20"/>
                <w:szCs w:val="20"/>
                <w:lang w:val="en-GB" w:eastAsia="el-GR"/>
              </w:rPr>
            </w:pPr>
            <w:r w:rsidRPr="000A2AFE">
              <w:rPr>
                <w:rFonts w:asciiTheme="majorHAnsi" w:eastAsia="Times New Roman" w:hAnsiTheme="majorHAnsi" w:cstheme="majorHAnsi"/>
                <w:sz w:val="20"/>
                <w:szCs w:val="20"/>
                <w:lang w:val="en-GB" w:eastAsia="el-GR"/>
              </w:rPr>
              <w:t>M</w:t>
            </w:r>
            <w:r w:rsidRPr="000A2AFE">
              <w:rPr>
                <w:rFonts w:asciiTheme="majorHAnsi" w:eastAsia="Times New Roman" w:hAnsiTheme="majorHAnsi" w:cstheme="majorHAnsi"/>
                <w:sz w:val="20"/>
                <w:szCs w:val="20"/>
                <w:lang w:eastAsia="el-GR"/>
              </w:rPr>
              <w:t>П</w:t>
            </w:r>
            <w:r w:rsidRPr="000A2AFE">
              <w:rPr>
                <w:rFonts w:asciiTheme="majorHAnsi" w:eastAsia="Times New Roman" w:hAnsiTheme="majorHAnsi" w:cstheme="majorHAnsi"/>
                <w:sz w:val="20"/>
                <w:szCs w:val="20"/>
                <w:lang w:val="en-GB" w:eastAsia="el-GR"/>
              </w:rPr>
              <w:t>_</w:t>
            </w:r>
            <w:r w:rsidRPr="000A2AFE">
              <w:rPr>
                <w:rFonts w:asciiTheme="majorHAnsi" w:eastAsia="Times New Roman" w:hAnsiTheme="majorHAnsi" w:cstheme="majorHAnsi"/>
                <w:sz w:val="20"/>
                <w:szCs w:val="20"/>
                <w:lang w:eastAsia="el-GR"/>
              </w:rPr>
              <w:t>Д</w:t>
            </w:r>
            <w:r w:rsidRPr="000A2AFE">
              <w:rPr>
                <w:rFonts w:asciiTheme="majorHAnsi" w:eastAsia="Times New Roman" w:hAnsiTheme="majorHAnsi" w:cstheme="majorHAnsi"/>
                <w:sz w:val="20"/>
                <w:szCs w:val="20"/>
                <w:lang w:val="en-GB" w:eastAsia="el-GR"/>
              </w:rPr>
              <w:t xml:space="preserve">44 </w:t>
            </w:r>
            <w:r w:rsidRPr="000A2AFE">
              <w:rPr>
                <w:rFonts w:asciiTheme="majorHAnsi" w:eastAsia="Times New Roman" w:hAnsiTheme="majorHAnsi" w:cstheme="majorHAnsi"/>
                <w:sz w:val="20"/>
                <w:szCs w:val="20"/>
                <w:lang w:eastAsia="el-GR"/>
              </w:rPr>
              <w:t>ће омогућити успостављање нове шеме за квалификацију, акредитацију и сертификацију за све стручњаке у области ОИЕ.</w:t>
            </w:r>
            <w:r w:rsidRPr="000A2AFE">
              <w:rPr>
                <w:rFonts w:asciiTheme="majorHAnsi" w:eastAsia="Times New Roman" w:hAnsiTheme="majorHAnsi" w:cstheme="majorHAnsi"/>
                <w:sz w:val="20"/>
                <w:szCs w:val="20"/>
                <w:lang w:val="en-GB" w:eastAsia="el-GR"/>
              </w:rPr>
              <w:t xml:space="preserve"> </w:t>
            </w:r>
            <w:r w:rsidRPr="000A2AFE">
              <w:rPr>
                <w:rFonts w:asciiTheme="majorHAnsi" w:eastAsia="Times New Roman" w:hAnsiTheme="majorHAnsi" w:cstheme="majorHAnsi"/>
                <w:sz w:val="20"/>
                <w:szCs w:val="20"/>
                <w:lang w:eastAsia="el-GR"/>
              </w:rPr>
              <w:t>Биће организовани посебни програми обуке, развијени алати и пружена техничка помоћ у оквиру ове мере.</w:t>
            </w:r>
          </w:p>
          <w:p w14:paraId="76FF20E3" w14:textId="1572A145" w:rsidR="003123AE" w:rsidRPr="000A2AFE" w:rsidRDefault="003123AE" w:rsidP="000A2AFE">
            <w:pPr>
              <w:widowControl w:val="0"/>
              <w:spacing w:after="0" w:line="240" w:lineRule="auto"/>
              <w:jc w:val="both"/>
              <w:rPr>
                <w:rFonts w:asciiTheme="majorHAnsi" w:eastAsia="Times New Roman" w:hAnsiTheme="majorHAnsi" w:cstheme="majorHAnsi"/>
                <w:sz w:val="20"/>
                <w:szCs w:val="20"/>
                <w:lang w:val="en-GB" w:eastAsia="el-GR"/>
              </w:rPr>
            </w:pPr>
            <w:r w:rsidRPr="000A2AFE">
              <w:rPr>
                <w:rFonts w:asciiTheme="majorHAnsi" w:eastAsia="Times New Roman" w:hAnsiTheme="majorHAnsi" w:cstheme="majorHAnsi"/>
                <w:sz w:val="20"/>
                <w:szCs w:val="20"/>
                <w:lang w:eastAsia="el-GR"/>
              </w:rPr>
              <w:t>Пружање јасних и лако доступних информација о сертификацији инсталатера ОИЕ је од суштинске важности за будућу примену система ОИЕ и унапређења друштвеног прихватања технологија ОИЕ.</w:t>
            </w:r>
          </w:p>
        </w:tc>
      </w:tr>
      <w:tr w:rsidR="003123AE" w:rsidRPr="00814A81" w14:paraId="6086DCC3" w14:textId="77777777" w:rsidTr="0057310C">
        <w:trPr>
          <w:gridAfter w:val="1"/>
          <w:wAfter w:w="222" w:type="dxa"/>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1EDCE4A2" w14:textId="77777777" w:rsidR="003123AE" w:rsidRPr="000A2AFE" w:rsidRDefault="003123AE" w:rsidP="000A2AFE">
            <w:pPr>
              <w:widowControl w:val="0"/>
              <w:spacing w:after="0" w:line="240" w:lineRule="auto"/>
              <w:rPr>
                <w:rFonts w:asciiTheme="majorHAnsi" w:eastAsia="Times New Roman" w:hAnsiTheme="majorHAnsi" w:cstheme="majorHAnsi"/>
                <w:b/>
                <w:bCs/>
                <w:sz w:val="20"/>
                <w:szCs w:val="20"/>
                <w:lang w:eastAsia="el-GR"/>
              </w:rPr>
            </w:pPr>
            <w:r w:rsidRPr="000A2AFE">
              <w:rPr>
                <w:rFonts w:asciiTheme="majorHAnsi" w:eastAsia="Times New Roman" w:hAnsiTheme="majorHAnsi" w:cstheme="majorHAnsi"/>
                <w:b/>
                <w:bCs/>
                <w:sz w:val="20"/>
                <w:szCs w:val="20"/>
                <w:lang w:eastAsia="el-GR"/>
              </w:rPr>
              <w:t>Временски оквир имплементације</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1B3BCF27" w14:textId="5A193611" w:rsidR="003123AE" w:rsidRPr="000A2AFE" w:rsidRDefault="003123AE" w:rsidP="000A2AFE">
            <w:pPr>
              <w:widowControl w:val="0"/>
              <w:spacing w:after="0" w:line="240" w:lineRule="auto"/>
              <w:jc w:val="both"/>
              <w:rPr>
                <w:rFonts w:asciiTheme="majorHAnsi" w:eastAsia="Times New Roman" w:hAnsiTheme="majorHAnsi" w:cstheme="majorHAnsi"/>
                <w:sz w:val="20"/>
                <w:szCs w:val="20"/>
                <w:lang w:val="en-GB" w:eastAsia="el-GR"/>
              </w:rPr>
            </w:pPr>
            <w:r w:rsidRPr="000A2AFE">
              <w:rPr>
                <w:rFonts w:asciiTheme="majorHAnsi" w:eastAsia="Times New Roman" w:hAnsiTheme="majorHAnsi" w:cstheme="majorHAnsi"/>
                <w:sz w:val="20"/>
                <w:szCs w:val="20"/>
                <w:lang w:val="en-GB" w:eastAsia="el-GR"/>
              </w:rPr>
              <w:t>2025-20</w:t>
            </w:r>
            <w:r w:rsidR="00903D02" w:rsidRPr="000A2AFE">
              <w:rPr>
                <w:rFonts w:asciiTheme="majorHAnsi" w:eastAsia="Times New Roman" w:hAnsiTheme="majorHAnsi" w:cstheme="majorHAnsi"/>
                <w:sz w:val="20"/>
                <w:szCs w:val="20"/>
                <w:lang w:val="en-GB" w:eastAsia="el-GR"/>
              </w:rPr>
              <w:t>28</w:t>
            </w:r>
            <w:r w:rsidR="00C82DAB" w:rsidRPr="000A2AFE">
              <w:rPr>
                <w:rFonts w:asciiTheme="majorHAnsi" w:eastAsia="Times New Roman" w:hAnsiTheme="majorHAnsi" w:cstheme="majorHAnsi"/>
                <w:sz w:val="20"/>
                <w:szCs w:val="20"/>
                <w:lang w:eastAsia="el-GR"/>
              </w:rPr>
              <w:t>.</w:t>
            </w:r>
          </w:p>
        </w:tc>
      </w:tr>
      <w:tr w:rsidR="003123AE" w:rsidRPr="00814A81" w14:paraId="0994CE57" w14:textId="77777777" w:rsidTr="0057310C">
        <w:trPr>
          <w:gridAfter w:val="1"/>
          <w:wAfter w:w="222" w:type="dxa"/>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30D01DA0" w14:textId="77777777" w:rsidR="003123AE" w:rsidRPr="000A2AFE" w:rsidRDefault="003123AE" w:rsidP="000A2AFE">
            <w:pPr>
              <w:widowControl w:val="0"/>
              <w:spacing w:after="0" w:line="240" w:lineRule="auto"/>
              <w:jc w:val="both"/>
              <w:rPr>
                <w:rFonts w:asciiTheme="majorHAnsi" w:eastAsia="Times New Roman" w:hAnsiTheme="majorHAnsi" w:cstheme="majorHAnsi"/>
                <w:b/>
                <w:bCs/>
                <w:sz w:val="20"/>
                <w:szCs w:val="20"/>
                <w:lang w:eastAsia="el-GR"/>
              </w:rPr>
            </w:pPr>
            <w:r w:rsidRPr="000A2AFE">
              <w:rPr>
                <w:rFonts w:asciiTheme="majorHAnsi" w:eastAsia="Times New Roman" w:hAnsiTheme="majorHAnsi" w:cstheme="majorHAnsi"/>
                <w:b/>
                <w:bCs/>
                <w:sz w:val="20"/>
                <w:szCs w:val="20"/>
                <w:lang w:val="en-GB" w:eastAsia="el-GR"/>
              </w:rPr>
              <w:lastRenderedPageBreak/>
              <w:t>T</w:t>
            </w:r>
            <w:r w:rsidRPr="000A2AFE">
              <w:rPr>
                <w:rFonts w:asciiTheme="majorHAnsi" w:eastAsia="Times New Roman" w:hAnsiTheme="majorHAnsi" w:cstheme="majorHAnsi"/>
                <w:b/>
                <w:bCs/>
                <w:sz w:val="20"/>
                <w:szCs w:val="20"/>
                <w:lang w:eastAsia="el-GR"/>
              </w:rPr>
              <w:t>ип мере</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3B0D5579" w14:textId="143BFDB9" w:rsidR="003123AE" w:rsidRPr="000A2AFE" w:rsidRDefault="00981876" w:rsidP="000A2AFE">
            <w:pPr>
              <w:widowControl w:val="0"/>
              <w:spacing w:after="0" w:line="240" w:lineRule="auto"/>
              <w:jc w:val="both"/>
              <w:rPr>
                <w:rFonts w:asciiTheme="majorHAnsi" w:eastAsia="Times New Roman" w:hAnsiTheme="majorHAnsi" w:cstheme="majorHAnsi"/>
                <w:sz w:val="20"/>
                <w:szCs w:val="20"/>
                <w:lang w:eastAsia="el-GR"/>
              </w:rPr>
            </w:pPr>
            <w:r w:rsidRPr="000A2AFE">
              <w:rPr>
                <w:rFonts w:asciiTheme="majorHAnsi" w:eastAsia="Times New Roman" w:hAnsiTheme="majorHAnsi" w:cstheme="majorHAnsi"/>
                <w:sz w:val="20"/>
                <w:szCs w:val="20"/>
                <w:lang w:eastAsia="el-GR"/>
              </w:rPr>
              <w:t>Реформа</w:t>
            </w:r>
          </w:p>
        </w:tc>
      </w:tr>
      <w:tr w:rsidR="003123AE" w:rsidRPr="00814A81" w14:paraId="62307473" w14:textId="77777777" w:rsidTr="0057310C">
        <w:trPr>
          <w:gridAfter w:val="1"/>
          <w:wAfter w:w="222" w:type="dxa"/>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2CBC88BE" w14:textId="77777777" w:rsidR="003123AE" w:rsidRPr="000A2AFE" w:rsidRDefault="003123AE" w:rsidP="000A2AFE">
            <w:pPr>
              <w:widowControl w:val="0"/>
              <w:spacing w:after="0" w:line="240" w:lineRule="auto"/>
              <w:jc w:val="both"/>
              <w:rPr>
                <w:rFonts w:asciiTheme="majorHAnsi" w:eastAsia="Times New Roman" w:hAnsiTheme="majorHAnsi" w:cstheme="majorHAnsi"/>
                <w:b/>
                <w:bCs/>
                <w:sz w:val="20"/>
                <w:szCs w:val="20"/>
                <w:lang w:eastAsia="el-GR"/>
              </w:rPr>
            </w:pPr>
            <w:r w:rsidRPr="000A2AFE">
              <w:rPr>
                <w:rFonts w:asciiTheme="majorHAnsi" w:eastAsia="Times New Roman" w:hAnsiTheme="majorHAnsi" w:cstheme="majorHAnsi"/>
                <w:b/>
                <w:bCs/>
                <w:sz w:val="20"/>
                <w:szCs w:val="20"/>
                <w:lang w:eastAsia="el-GR"/>
              </w:rPr>
              <w:t>Покривени</w:t>
            </w:r>
            <w:r w:rsidRPr="000A2AFE">
              <w:rPr>
                <w:rFonts w:asciiTheme="majorHAnsi" w:eastAsia="Times New Roman" w:hAnsiTheme="majorHAnsi" w:cstheme="majorHAnsi"/>
                <w:b/>
                <w:bCs/>
                <w:sz w:val="20"/>
                <w:szCs w:val="20"/>
                <w:lang w:val="en-GB" w:eastAsia="el-GR"/>
              </w:rPr>
              <w:t>/</w:t>
            </w:r>
            <w:r w:rsidRPr="000A2AFE">
              <w:rPr>
                <w:rFonts w:asciiTheme="majorHAnsi" w:eastAsia="Times New Roman" w:hAnsiTheme="majorHAnsi" w:cstheme="majorHAnsi"/>
                <w:b/>
                <w:bCs/>
                <w:sz w:val="20"/>
                <w:szCs w:val="20"/>
                <w:lang w:eastAsia="el-GR"/>
              </w:rPr>
              <w:t>обухваћени сектори</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57D6B026" w14:textId="77777777" w:rsidR="003123AE" w:rsidRPr="00C312D6" w:rsidRDefault="003123AE" w:rsidP="000A2AFE">
            <w:pPr>
              <w:widowControl w:val="0"/>
              <w:spacing w:after="0" w:line="240" w:lineRule="auto"/>
              <w:jc w:val="both"/>
              <w:rPr>
                <w:rFonts w:asciiTheme="majorHAnsi" w:eastAsia="Times New Roman" w:hAnsiTheme="majorHAnsi" w:cstheme="majorHAnsi"/>
                <w:sz w:val="20"/>
                <w:szCs w:val="20"/>
                <w:lang w:eastAsia="el-GR"/>
              </w:rPr>
            </w:pPr>
            <w:r w:rsidRPr="000A2AFE">
              <w:rPr>
                <w:rFonts w:asciiTheme="majorHAnsi" w:eastAsia="Times New Roman" w:hAnsiTheme="majorHAnsi" w:cstheme="majorHAnsi"/>
                <w:sz w:val="20"/>
                <w:szCs w:val="20"/>
                <w:lang w:eastAsia="el-GR"/>
              </w:rPr>
              <w:t>Електроенергетика, грејање и хлађење, саобраћај</w:t>
            </w:r>
          </w:p>
        </w:tc>
      </w:tr>
      <w:tr w:rsidR="003123AE" w:rsidRPr="00814A81" w14:paraId="0A197A70" w14:textId="77777777" w:rsidTr="0057310C">
        <w:trPr>
          <w:gridAfter w:val="1"/>
          <w:wAfter w:w="222" w:type="dxa"/>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77F04707" w14:textId="77777777" w:rsidR="003123AE" w:rsidRPr="000A2AFE" w:rsidRDefault="003123AE" w:rsidP="000A2AFE">
            <w:pPr>
              <w:widowControl w:val="0"/>
              <w:spacing w:after="0" w:line="240" w:lineRule="auto"/>
              <w:jc w:val="both"/>
              <w:rPr>
                <w:rFonts w:asciiTheme="majorHAnsi" w:eastAsia="Times New Roman" w:hAnsiTheme="majorHAnsi" w:cstheme="majorHAnsi"/>
                <w:b/>
                <w:bCs/>
                <w:sz w:val="20"/>
                <w:szCs w:val="20"/>
                <w:lang w:eastAsia="el-GR"/>
              </w:rPr>
            </w:pPr>
            <w:r w:rsidRPr="000A2AFE">
              <w:rPr>
                <w:rFonts w:asciiTheme="majorHAnsi" w:eastAsia="Times New Roman" w:hAnsiTheme="majorHAnsi" w:cstheme="majorHAnsi"/>
                <w:b/>
                <w:bCs/>
                <w:sz w:val="20"/>
                <w:szCs w:val="20"/>
                <w:lang w:eastAsia="el-GR"/>
              </w:rPr>
              <w:t>Извршни орган</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57E1BCEB" w14:textId="77777777" w:rsidR="003123AE" w:rsidRPr="000A2AFE" w:rsidRDefault="003123AE" w:rsidP="000A2AFE">
            <w:pPr>
              <w:widowControl w:val="0"/>
              <w:numPr>
                <w:ilvl w:val="0"/>
                <w:numId w:val="114"/>
              </w:numPr>
              <w:spacing w:after="0" w:line="240" w:lineRule="auto"/>
              <w:jc w:val="both"/>
              <w:rPr>
                <w:rFonts w:asciiTheme="majorHAnsi" w:eastAsia="Times New Roman" w:hAnsiTheme="majorHAnsi" w:cstheme="majorHAnsi"/>
                <w:sz w:val="20"/>
                <w:szCs w:val="20"/>
                <w:lang w:val="en-GB" w:eastAsia="el-GR"/>
              </w:rPr>
            </w:pPr>
            <w:r w:rsidRPr="000A2AFE">
              <w:rPr>
                <w:rFonts w:asciiTheme="majorHAnsi" w:eastAsia="Times New Roman" w:hAnsiTheme="majorHAnsi" w:cstheme="majorHAnsi"/>
                <w:sz w:val="20"/>
                <w:szCs w:val="20"/>
                <w:lang w:eastAsia="el-GR"/>
              </w:rPr>
              <w:t>Министарство рударства и енергетике</w:t>
            </w:r>
          </w:p>
        </w:tc>
      </w:tr>
      <w:tr w:rsidR="003123AE" w:rsidRPr="00814A81" w14:paraId="3B426CBC" w14:textId="77777777" w:rsidTr="0057310C">
        <w:trPr>
          <w:gridAfter w:val="1"/>
          <w:wAfter w:w="222" w:type="dxa"/>
          <w:trHeight w:val="315"/>
        </w:trPr>
        <w:tc>
          <w:tcPr>
            <w:tcW w:w="3306" w:type="dxa"/>
            <w:tcBorders>
              <w:top w:val="single" w:sz="8" w:space="0" w:color="auto"/>
              <w:left w:val="single" w:sz="8" w:space="0" w:color="auto"/>
              <w:bottom w:val="single" w:sz="8" w:space="0" w:color="auto"/>
              <w:right w:val="single" w:sz="4" w:space="0" w:color="auto"/>
            </w:tcBorders>
            <w:shd w:val="clear" w:color="000000" w:fill="244062"/>
            <w:vAlign w:val="center"/>
            <w:hideMark/>
          </w:tcPr>
          <w:p w14:paraId="0E7ABFDB" w14:textId="77777777" w:rsidR="003123AE" w:rsidRPr="000A2AFE" w:rsidRDefault="003123AE" w:rsidP="000A2AFE">
            <w:pPr>
              <w:widowControl w:val="0"/>
              <w:spacing w:after="0" w:line="240" w:lineRule="auto"/>
              <w:jc w:val="both"/>
              <w:rPr>
                <w:rFonts w:asciiTheme="majorHAnsi" w:eastAsia="Times New Roman" w:hAnsiTheme="majorHAnsi" w:cstheme="majorHAnsi"/>
                <w:b/>
                <w:bCs/>
                <w:sz w:val="20"/>
                <w:szCs w:val="20"/>
                <w:lang w:eastAsia="el-GR"/>
              </w:rPr>
            </w:pPr>
            <w:r w:rsidRPr="000A2AFE">
              <w:rPr>
                <w:rFonts w:asciiTheme="majorHAnsi" w:eastAsia="Times New Roman" w:hAnsiTheme="majorHAnsi" w:cstheme="majorHAnsi"/>
                <w:b/>
                <w:bCs/>
                <w:sz w:val="20"/>
                <w:szCs w:val="20"/>
                <w:lang w:eastAsia="el-GR"/>
              </w:rPr>
              <w:t>Тело за праћење</w:t>
            </w:r>
          </w:p>
        </w:tc>
        <w:tc>
          <w:tcPr>
            <w:tcW w:w="6152" w:type="dxa"/>
            <w:gridSpan w:val="3"/>
            <w:tcBorders>
              <w:top w:val="single" w:sz="8" w:space="0" w:color="auto"/>
              <w:left w:val="single" w:sz="4" w:space="0" w:color="auto"/>
              <w:bottom w:val="single" w:sz="8" w:space="0" w:color="auto"/>
              <w:right w:val="single" w:sz="8" w:space="0" w:color="000000"/>
            </w:tcBorders>
            <w:shd w:val="clear" w:color="auto" w:fill="auto"/>
            <w:vAlign w:val="center"/>
            <w:hideMark/>
          </w:tcPr>
          <w:p w14:paraId="161EEBA2" w14:textId="5C8169FD" w:rsidR="003123AE" w:rsidRPr="000A2AFE" w:rsidRDefault="00903D02" w:rsidP="000A2AFE">
            <w:pPr>
              <w:pStyle w:val="ListParagraph"/>
              <w:widowControl w:val="0"/>
              <w:numPr>
                <w:ilvl w:val="0"/>
                <w:numId w:val="114"/>
              </w:numPr>
              <w:spacing w:after="0" w:line="240" w:lineRule="auto"/>
              <w:jc w:val="both"/>
              <w:rPr>
                <w:rFonts w:asciiTheme="majorHAnsi" w:eastAsia="Times New Roman" w:hAnsiTheme="majorHAnsi" w:cstheme="majorHAnsi"/>
                <w:sz w:val="20"/>
                <w:szCs w:val="20"/>
                <w:lang w:val="en-GB" w:eastAsia="el-GR"/>
              </w:rPr>
            </w:pPr>
            <w:r w:rsidRPr="000A2AFE">
              <w:rPr>
                <w:rFonts w:asciiTheme="majorHAnsi" w:eastAsia="Times New Roman" w:hAnsiTheme="majorHAnsi" w:cstheme="majorHAnsi"/>
                <w:sz w:val="20"/>
                <w:szCs w:val="20"/>
                <w:lang w:eastAsia="el-GR"/>
              </w:rPr>
              <w:t>Влада Републике Србије</w:t>
            </w:r>
          </w:p>
        </w:tc>
      </w:tr>
      <w:tr w:rsidR="003123AE" w:rsidRPr="00814A81" w14:paraId="3AB3BEC2" w14:textId="77777777" w:rsidTr="0057310C">
        <w:trPr>
          <w:gridAfter w:val="1"/>
          <w:wAfter w:w="222" w:type="dxa"/>
          <w:trHeight w:val="315"/>
        </w:trPr>
        <w:tc>
          <w:tcPr>
            <w:tcW w:w="3306" w:type="dxa"/>
            <w:tcBorders>
              <w:top w:val="single" w:sz="8" w:space="0" w:color="auto"/>
              <w:left w:val="single" w:sz="8" w:space="0" w:color="auto"/>
              <w:bottom w:val="single" w:sz="8" w:space="0" w:color="auto"/>
              <w:right w:val="single" w:sz="4" w:space="0" w:color="auto"/>
            </w:tcBorders>
            <w:shd w:val="clear" w:color="000000" w:fill="244062"/>
            <w:vAlign w:val="center"/>
            <w:hideMark/>
          </w:tcPr>
          <w:p w14:paraId="7E523BB0" w14:textId="77777777" w:rsidR="003123AE" w:rsidRPr="000A2AFE" w:rsidRDefault="003123AE" w:rsidP="000A2AFE">
            <w:pPr>
              <w:widowControl w:val="0"/>
              <w:spacing w:after="0" w:line="240" w:lineRule="auto"/>
              <w:jc w:val="both"/>
              <w:rPr>
                <w:rFonts w:asciiTheme="majorHAnsi" w:eastAsia="Times New Roman" w:hAnsiTheme="majorHAnsi" w:cstheme="majorHAnsi"/>
                <w:b/>
                <w:bCs/>
                <w:sz w:val="20"/>
                <w:szCs w:val="20"/>
                <w:lang w:eastAsia="el-GR"/>
              </w:rPr>
            </w:pPr>
            <w:r w:rsidRPr="000A2AFE">
              <w:rPr>
                <w:rFonts w:asciiTheme="majorHAnsi" w:eastAsia="Times New Roman" w:hAnsiTheme="majorHAnsi" w:cstheme="majorHAnsi"/>
                <w:b/>
                <w:bCs/>
                <w:sz w:val="20"/>
                <w:szCs w:val="20"/>
                <w:lang w:eastAsia="el-GR"/>
              </w:rPr>
              <w:t>Индикатори напретка</w:t>
            </w:r>
          </w:p>
        </w:tc>
        <w:tc>
          <w:tcPr>
            <w:tcW w:w="6152" w:type="dxa"/>
            <w:gridSpan w:val="3"/>
            <w:tcBorders>
              <w:top w:val="single" w:sz="8" w:space="0" w:color="auto"/>
              <w:left w:val="single" w:sz="4" w:space="0" w:color="auto"/>
              <w:bottom w:val="single" w:sz="8" w:space="0" w:color="auto"/>
              <w:right w:val="single" w:sz="8" w:space="0" w:color="000000"/>
            </w:tcBorders>
            <w:shd w:val="clear" w:color="auto" w:fill="auto"/>
            <w:vAlign w:val="center"/>
            <w:hideMark/>
          </w:tcPr>
          <w:p w14:paraId="33C8D583" w14:textId="77777777" w:rsidR="003123AE" w:rsidRPr="000A2AFE" w:rsidRDefault="003123AE" w:rsidP="000A2AFE">
            <w:pPr>
              <w:pStyle w:val="ListParagraph"/>
              <w:widowControl w:val="0"/>
              <w:numPr>
                <w:ilvl w:val="0"/>
                <w:numId w:val="114"/>
              </w:numPr>
              <w:spacing w:after="0" w:line="240" w:lineRule="auto"/>
              <w:jc w:val="both"/>
              <w:rPr>
                <w:rFonts w:asciiTheme="majorHAnsi" w:eastAsia="Times New Roman" w:hAnsiTheme="majorHAnsi" w:cstheme="majorHAnsi"/>
                <w:sz w:val="20"/>
                <w:szCs w:val="20"/>
                <w:lang w:eastAsia="el-GR"/>
              </w:rPr>
            </w:pPr>
            <w:r w:rsidRPr="000A2AFE">
              <w:rPr>
                <w:rFonts w:asciiTheme="majorHAnsi" w:eastAsia="Times New Roman" w:hAnsiTheme="majorHAnsi" w:cstheme="majorHAnsi"/>
                <w:sz w:val="20"/>
                <w:szCs w:val="20"/>
                <w:lang w:eastAsia="el-GR"/>
              </w:rPr>
              <w:t>Обухваћене заинтересоване стране</w:t>
            </w:r>
          </w:p>
        </w:tc>
      </w:tr>
      <w:tr w:rsidR="003123AE" w:rsidRPr="00814A81" w14:paraId="3C846974" w14:textId="77777777" w:rsidTr="0057310C">
        <w:trPr>
          <w:gridAfter w:val="1"/>
          <w:wAfter w:w="222" w:type="dxa"/>
          <w:trHeight w:val="153"/>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1CA9ECD9" w14:textId="77777777" w:rsidR="003123AE" w:rsidRPr="00C312D6" w:rsidRDefault="003123AE" w:rsidP="000A2AFE">
            <w:pPr>
              <w:widowControl w:val="0"/>
              <w:spacing w:after="0" w:line="240" w:lineRule="auto"/>
              <w:jc w:val="both"/>
              <w:rPr>
                <w:rFonts w:asciiTheme="majorHAnsi" w:eastAsia="Times New Roman" w:hAnsiTheme="majorHAnsi" w:cstheme="majorHAnsi"/>
                <w:b/>
                <w:bCs/>
                <w:sz w:val="20"/>
                <w:szCs w:val="20"/>
                <w:lang w:eastAsia="el-GR"/>
              </w:rPr>
            </w:pPr>
            <w:r w:rsidRPr="000A2AFE">
              <w:rPr>
                <w:rFonts w:asciiTheme="majorHAnsi" w:eastAsia="Times New Roman" w:hAnsiTheme="majorHAnsi" w:cstheme="majorHAnsi"/>
                <w:b/>
                <w:bCs/>
                <w:sz w:val="20"/>
                <w:szCs w:val="20"/>
                <w:lang w:eastAsia="el-GR"/>
              </w:rPr>
              <w:t>Друге релевантне обухваћене димензије Енергетске уније</w:t>
            </w:r>
          </w:p>
        </w:tc>
        <w:tc>
          <w:tcPr>
            <w:tcW w:w="6152" w:type="dxa"/>
            <w:gridSpan w:val="3"/>
            <w:tcBorders>
              <w:top w:val="single" w:sz="8" w:space="0" w:color="auto"/>
              <w:left w:val="nil"/>
              <w:bottom w:val="single" w:sz="8" w:space="0" w:color="auto"/>
              <w:right w:val="single" w:sz="8" w:space="0" w:color="000000"/>
            </w:tcBorders>
            <w:shd w:val="clear" w:color="auto" w:fill="auto"/>
            <w:vAlign w:val="center"/>
          </w:tcPr>
          <w:p w14:paraId="3DBF2B92" w14:textId="77777777" w:rsidR="00C82DAB" w:rsidRPr="000A2AFE" w:rsidRDefault="00C82DAB" w:rsidP="000A2AFE">
            <w:pPr>
              <w:widowControl w:val="0"/>
              <w:numPr>
                <w:ilvl w:val="0"/>
                <w:numId w:val="114"/>
              </w:numPr>
              <w:spacing w:after="0" w:line="240" w:lineRule="auto"/>
              <w:jc w:val="both"/>
              <w:rPr>
                <w:rFonts w:asciiTheme="majorHAnsi" w:eastAsia="Times New Roman" w:hAnsiTheme="majorHAnsi" w:cstheme="majorHAnsi"/>
                <w:sz w:val="20"/>
                <w:szCs w:val="20"/>
                <w:lang w:eastAsia="el-GR"/>
              </w:rPr>
            </w:pPr>
            <w:r w:rsidRPr="000A2AFE">
              <w:rPr>
                <w:rFonts w:asciiTheme="majorHAnsi" w:eastAsia="Times New Roman" w:hAnsiTheme="majorHAnsi" w:cstheme="majorHAnsi"/>
                <w:sz w:val="20"/>
                <w:szCs w:val="20"/>
                <w:lang w:eastAsia="el-GR"/>
              </w:rPr>
              <w:t>Енергетска ефикасност (промовисане технологије ОИЕ ће довести и до уштеде финалне и примарне енергије доприносећи постизању релевантних циљева)</w:t>
            </w:r>
          </w:p>
          <w:p w14:paraId="3DF0088A" w14:textId="69F7487E" w:rsidR="003123AE" w:rsidRPr="00C312D6" w:rsidRDefault="00C82DAB" w:rsidP="000A2AFE">
            <w:pPr>
              <w:pStyle w:val="ListParagraph"/>
              <w:widowControl w:val="0"/>
              <w:numPr>
                <w:ilvl w:val="0"/>
                <w:numId w:val="114"/>
              </w:numPr>
              <w:spacing w:after="0" w:line="240" w:lineRule="auto"/>
              <w:jc w:val="both"/>
              <w:rPr>
                <w:rFonts w:asciiTheme="majorHAnsi" w:eastAsia="Times New Roman" w:hAnsiTheme="majorHAnsi" w:cstheme="majorHAnsi"/>
                <w:sz w:val="20"/>
                <w:szCs w:val="20"/>
                <w:lang w:eastAsia="el-GR"/>
              </w:rPr>
            </w:pPr>
            <w:r w:rsidRPr="000A2AFE">
              <w:rPr>
                <w:rFonts w:asciiTheme="majorHAnsi" w:eastAsia="Times New Roman" w:hAnsiTheme="majorHAnsi" w:cstheme="majorHAnsi"/>
                <w:sz w:val="20"/>
                <w:szCs w:val="20"/>
                <w:lang w:eastAsia="el-GR"/>
              </w:rPr>
              <w:t>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3123AE" w:rsidRPr="00814A81" w14:paraId="5389B1D2" w14:textId="77777777" w:rsidTr="0057310C">
        <w:trPr>
          <w:gridAfter w:val="1"/>
          <w:wAfter w:w="222" w:type="dxa"/>
          <w:trHeight w:val="450"/>
        </w:trPr>
        <w:tc>
          <w:tcPr>
            <w:tcW w:w="3306"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3ECE6061" w14:textId="77777777" w:rsidR="003123AE" w:rsidRPr="00C312D6" w:rsidRDefault="003123AE" w:rsidP="000A2AFE">
            <w:pPr>
              <w:widowControl w:val="0"/>
              <w:spacing w:after="0" w:line="240" w:lineRule="auto"/>
              <w:jc w:val="both"/>
              <w:rPr>
                <w:rFonts w:asciiTheme="majorHAnsi" w:eastAsia="Times New Roman" w:hAnsiTheme="majorHAnsi" w:cstheme="majorHAnsi"/>
                <w:b/>
                <w:bCs/>
                <w:sz w:val="20"/>
                <w:szCs w:val="20"/>
                <w:lang w:eastAsia="el-GR"/>
              </w:rPr>
            </w:pPr>
            <w:r w:rsidRPr="000A2AFE">
              <w:rPr>
                <w:rFonts w:asciiTheme="majorHAnsi" w:eastAsia="Times New Roman" w:hAnsiTheme="majorHAnsi" w:cstheme="majorHAnsi"/>
                <w:b/>
                <w:bCs/>
                <w:sz w:val="20"/>
                <w:szCs w:val="20"/>
                <w:lang w:eastAsia="el-GR"/>
              </w:rPr>
              <w:t>Политике Уније која су резултирале имплементацијом ове МП</w:t>
            </w:r>
          </w:p>
        </w:tc>
        <w:tc>
          <w:tcPr>
            <w:tcW w:w="6152"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0E544FE5" w14:textId="77777777" w:rsidR="003123AE" w:rsidRPr="000A2AFE" w:rsidRDefault="003123AE" w:rsidP="000A2AFE">
            <w:pPr>
              <w:widowControl w:val="0"/>
              <w:numPr>
                <w:ilvl w:val="0"/>
                <w:numId w:val="114"/>
              </w:numPr>
              <w:spacing w:after="0" w:line="240" w:lineRule="auto"/>
              <w:jc w:val="both"/>
              <w:rPr>
                <w:rFonts w:asciiTheme="majorHAnsi" w:eastAsia="Times New Roman" w:hAnsiTheme="majorHAnsi" w:cstheme="majorHAnsi"/>
                <w:sz w:val="20"/>
                <w:szCs w:val="20"/>
                <w:lang w:val="en-GB" w:eastAsia="el-GR"/>
              </w:rPr>
            </w:pPr>
            <w:r w:rsidRPr="000A2AFE">
              <w:rPr>
                <w:rFonts w:asciiTheme="majorHAnsi" w:eastAsia="Times New Roman" w:hAnsiTheme="majorHAnsi" w:cstheme="majorHAnsi"/>
                <w:sz w:val="20"/>
                <w:szCs w:val="20"/>
                <w:lang w:eastAsia="el-GR"/>
              </w:rPr>
              <w:t>Директива</w:t>
            </w:r>
            <w:r w:rsidRPr="000A2AFE">
              <w:rPr>
                <w:rFonts w:asciiTheme="majorHAnsi" w:eastAsia="Times New Roman" w:hAnsiTheme="majorHAnsi" w:cstheme="majorHAnsi"/>
                <w:sz w:val="20"/>
                <w:szCs w:val="20"/>
                <w:lang w:val="en-GB" w:eastAsia="el-GR"/>
              </w:rPr>
              <w:t xml:space="preserve"> 2018/2001/Ε</w:t>
            </w:r>
            <w:r w:rsidRPr="000A2AFE">
              <w:rPr>
                <w:rFonts w:asciiTheme="majorHAnsi" w:eastAsia="Times New Roman" w:hAnsiTheme="majorHAnsi" w:cstheme="majorHAnsi"/>
                <w:sz w:val="20"/>
                <w:szCs w:val="20"/>
                <w:lang w:eastAsia="el-GR"/>
              </w:rPr>
              <w:t>У</w:t>
            </w:r>
          </w:p>
        </w:tc>
      </w:tr>
      <w:tr w:rsidR="003123AE" w:rsidRPr="00814A81" w14:paraId="0A876F86" w14:textId="77777777" w:rsidTr="0057310C">
        <w:trPr>
          <w:trHeight w:val="300"/>
        </w:trPr>
        <w:tc>
          <w:tcPr>
            <w:tcW w:w="3306" w:type="dxa"/>
            <w:vMerge/>
            <w:tcBorders>
              <w:top w:val="nil"/>
              <w:left w:val="single" w:sz="8" w:space="0" w:color="auto"/>
              <w:bottom w:val="single" w:sz="8" w:space="0" w:color="000000"/>
              <w:right w:val="single" w:sz="8" w:space="0" w:color="auto"/>
            </w:tcBorders>
            <w:vAlign w:val="center"/>
            <w:hideMark/>
          </w:tcPr>
          <w:p w14:paraId="6477B6E1" w14:textId="77777777" w:rsidR="003123AE" w:rsidRPr="000A2AFE" w:rsidRDefault="003123AE" w:rsidP="000A2AFE">
            <w:pPr>
              <w:widowControl w:val="0"/>
              <w:spacing w:after="0" w:line="240" w:lineRule="auto"/>
              <w:jc w:val="both"/>
              <w:rPr>
                <w:rFonts w:asciiTheme="majorHAnsi" w:eastAsia="Times New Roman" w:hAnsiTheme="majorHAnsi" w:cstheme="majorHAnsi"/>
                <w:b/>
                <w:bCs/>
                <w:sz w:val="20"/>
                <w:szCs w:val="20"/>
                <w:lang w:val="en-GB" w:eastAsia="el-GR"/>
              </w:rPr>
            </w:pPr>
          </w:p>
        </w:tc>
        <w:tc>
          <w:tcPr>
            <w:tcW w:w="6152" w:type="dxa"/>
            <w:gridSpan w:val="3"/>
            <w:vMerge/>
            <w:tcBorders>
              <w:top w:val="single" w:sz="8" w:space="0" w:color="auto"/>
              <w:left w:val="single" w:sz="8" w:space="0" w:color="auto"/>
              <w:bottom w:val="single" w:sz="8" w:space="0" w:color="000000"/>
              <w:right w:val="single" w:sz="8" w:space="0" w:color="000000"/>
            </w:tcBorders>
            <w:vAlign w:val="center"/>
            <w:hideMark/>
          </w:tcPr>
          <w:p w14:paraId="5FAFBDAA" w14:textId="77777777" w:rsidR="003123AE" w:rsidRPr="000A2AFE" w:rsidRDefault="003123AE" w:rsidP="000A2AFE">
            <w:pPr>
              <w:widowControl w:val="0"/>
              <w:numPr>
                <w:ilvl w:val="0"/>
                <w:numId w:val="114"/>
              </w:numPr>
              <w:spacing w:after="0" w:line="240" w:lineRule="auto"/>
              <w:jc w:val="both"/>
              <w:rPr>
                <w:rFonts w:asciiTheme="majorHAnsi" w:eastAsia="Times New Roman" w:hAnsiTheme="majorHAnsi" w:cstheme="majorHAnsi"/>
                <w:sz w:val="20"/>
                <w:szCs w:val="20"/>
                <w:lang w:val="en-GB" w:eastAsia="el-GR"/>
              </w:rPr>
            </w:pPr>
          </w:p>
        </w:tc>
        <w:tc>
          <w:tcPr>
            <w:tcW w:w="222" w:type="dxa"/>
            <w:tcBorders>
              <w:top w:val="nil"/>
              <w:left w:val="nil"/>
              <w:bottom w:val="nil"/>
              <w:right w:val="nil"/>
            </w:tcBorders>
            <w:shd w:val="clear" w:color="auto" w:fill="auto"/>
            <w:noWrap/>
            <w:vAlign w:val="bottom"/>
            <w:hideMark/>
          </w:tcPr>
          <w:p w14:paraId="740BFA1F" w14:textId="77777777" w:rsidR="003123AE" w:rsidRPr="000A2AFE" w:rsidRDefault="003123AE" w:rsidP="000A2AFE">
            <w:pPr>
              <w:widowControl w:val="0"/>
              <w:spacing w:after="0" w:line="240" w:lineRule="auto"/>
              <w:jc w:val="both"/>
              <w:rPr>
                <w:rFonts w:asciiTheme="majorHAnsi" w:eastAsia="Times New Roman" w:hAnsiTheme="majorHAnsi" w:cstheme="majorHAnsi"/>
                <w:sz w:val="20"/>
                <w:szCs w:val="20"/>
                <w:lang w:val="en-GB" w:eastAsia="el-GR"/>
              </w:rPr>
            </w:pPr>
          </w:p>
        </w:tc>
      </w:tr>
      <w:tr w:rsidR="003123AE" w:rsidRPr="00814A81" w14:paraId="5110DAF0" w14:textId="77777777" w:rsidTr="0057310C">
        <w:trPr>
          <w:trHeight w:val="60"/>
        </w:trPr>
        <w:tc>
          <w:tcPr>
            <w:tcW w:w="3306" w:type="dxa"/>
            <w:vMerge/>
            <w:tcBorders>
              <w:top w:val="nil"/>
              <w:left w:val="single" w:sz="8" w:space="0" w:color="auto"/>
              <w:bottom w:val="single" w:sz="8" w:space="0" w:color="000000"/>
              <w:right w:val="single" w:sz="8" w:space="0" w:color="auto"/>
            </w:tcBorders>
            <w:vAlign w:val="center"/>
            <w:hideMark/>
          </w:tcPr>
          <w:p w14:paraId="08CE2FB1" w14:textId="77777777" w:rsidR="003123AE" w:rsidRPr="000A2AFE" w:rsidRDefault="003123AE" w:rsidP="000A2AFE">
            <w:pPr>
              <w:widowControl w:val="0"/>
              <w:spacing w:after="0" w:line="240" w:lineRule="auto"/>
              <w:jc w:val="both"/>
              <w:rPr>
                <w:rFonts w:asciiTheme="majorHAnsi" w:eastAsia="Times New Roman" w:hAnsiTheme="majorHAnsi" w:cstheme="majorHAnsi"/>
                <w:b/>
                <w:bCs/>
                <w:sz w:val="20"/>
                <w:szCs w:val="20"/>
                <w:lang w:val="en-GB" w:eastAsia="el-GR"/>
              </w:rPr>
            </w:pPr>
          </w:p>
        </w:tc>
        <w:tc>
          <w:tcPr>
            <w:tcW w:w="6152" w:type="dxa"/>
            <w:gridSpan w:val="3"/>
            <w:vMerge/>
            <w:tcBorders>
              <w:top w:val="single" w:sz="8" w:space="0" w:color="auto"/>
              <w:left w:val="single" w:sz="8" w:space="0" w:color="auto"/>
              <w:bottom w:val="single" w:sz="8" w:space="0" w:color="000000"/>
              <w:right w:val="single" w:sz="8" w:space="0" w:color="000000"/>
            </w:tcBorders>
            <w:vAlign w:val="center"/>
            <w:hideMark/>
          </w:tcPr>
          <w:p w14:paraId="69083BC4" w14:textId="77777777" w:rsidR="003123AE" w:rsidRPr="000A2AFE" w:rsidRDefault="003123AE" w:rsidP="000A2AFE">
            <w:pPr>
              <w:widowControl w:val="0"/>
              <w:numPr>
                <w:ilvl w:val="0"/>
                <w:numId w:val="114"/>
              </w:numPr>
              <w:spacing w:after="0" w:line="240" w:lineRule="auto"/>
              <w:jc w:val="both"/>
              <w:rPr>
                <w:rFonts w:asciiTheme="majorHAnsi" w:eastAsia="Times New Roman" w:hAnsiTheme="majorHAnsi" w:cstheme="majorHAnsi"/>
                <w:sz w:val="20"/>
                <w:szCs w:val="20"/>
                <w:lang w:val="en-GB" w:eastAsia="el-GR"/>
              </w:rPr>
            </w:pPr>
          </w:p>
        </w:tc>
        <w:tc>
          <w:tcPr>
            <w:tcW w:w="222" w:type="dxa"/>
            <w:tcBorders>
              <w:top w:val="nil"/>
              <w:left w:val="nil"/>
              <w:bottom w:val="nil"/>
              <w:right w:val="nil"/>
            </w:tcBorders>
            <w:shd w:val="clear" w:color="auto" w:fill="auto"/>
            <w:noWrap/>
            <w:vAlign w:val="bottom"/>
            <w:hideMark/>
          </w:tcPr>
          <w:p w14:paraId="7BE9BD52" w14:textId="77777777" w:rsidR="003123AE" w:rsidRPr="000A2AFE" w:rsidRDefault="003123AE" w:rsidP="000A2AFE">
            <w:pPr>
              <w:widowControl w:val="0"/>
              <w:spacing w:after="0" w:line="240" w:lineRule="auto"/>
              <w:jc w:val="both"/>
              <w:rPr>
                <w:rFonts w:asciiTheme="majorHAnsi" w:eastAsia="Times New Roman" w:hAnsiTheme="majorHAnsi" w:cstheme="majorHAnsi"/>
                <w:sz w:val="20"/>
                <w:szCs w:val="20"/>
                <w:lang w:val="en-GB" w:eastAsia="el-GR"/>
              </w:rPr>
            </w:pPr>
          </w:p>
        </w:tc>
      </w:tr>
      <w:tr w:rsidR="003123AE" w:rsidRPr="00814A81" w14:paraId="0699751A" w14:textId="77777777" w:rsidTr="0057310C">
        <w:trPr>
          <w:trHeight w:val="307"/>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0EAC159D" w14:textId="77777777" w:rsidR="003123AE" w:rsidRPr="00C312D6" w:rsidRDefault="003123AE" w:rsidP="000A2AFE">
            <w:pPr>
              <w:widowControl w:val="0"/>
              <w:spacing w:after="0" w:line="240" w:lineRule="auto"/>
              <w:jc w:val="both"/>
              <w:rPr>
                <w:rFonts w:asciiTheme="majorHAnsi" w:eastAsia="Times New Roman" w:hAnsiTheme="majorHAnsi" w:cstheme="majorHAnsi"/>
                <w:b/>
                <w:bCs/>
                <w:sz w:val="20"/>
                <w:szCs w:val="20"/>
                <w:lang w:eastAsia="el-GR"/>
              </w:rPr>
            </w:pPr>
            <w:r w:rsidRPr="000A2AFE">
              <w:rPr>
                <w:rFonts w:asciiTheme="majorHAnsi" w:eastAsia="Times New Roman" w:hAnsiTheme="majorHAnsi" w:cstheme="majorHAnsi"/>
                <w:b/>
                <w:bCs/>
                <w:sz w:val="20"/>
                <w:szCs w:val="20"/>
                <w:lang w:eastAsia="el-GR"/>
              </w:rPr>
              <w:t>Релевантни национални плански документ (правни, регулаторни акти, итд)</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7AC5D524" w14:textId="77777777" w:rsidR="003123AE" w:rsidRPr="00C312D6" w:rsidRDefault="003123AE" w:rsidP="000A2AFE">
            <w:pPr>
              <w:widowControl w:val="0"/>
              <w:spacing w:after="0" w:line="240" w:lineRule="auto"/>
              <w:jc w:val="both"/>
              <w:rPr>
                <w:rFonts w:asciiTheme="majorHAnsi" w:eastAsia="Times New Roman" w:hAnsiTheme="majorHAnsi" w:cstheme="majorHAnsi"/>
                <w:sz w:val="20"/>
                <w:szCs w:val="20"/>
                <w:lang w:eastAsia="el-GR"/>
              </w:rPr>
            </w:pPr>
          </w:p>
        </w:tc>
        <w:tc>
          <w:tcPr>
            <w:tcW w:w="222" w:type="dxa"/>
            <w:vAlign w:val="center"/>
            <w:hideMark/>
          </w:tcPr>
          <w:p w14:paraId="128EAD42" w14:textId="77777777" w:rsidR="003123AE" w:rsidRPr="00C312D6" w:rsidRDefault="003123AE" w:rsidP="000A2AFE">
            <w:pPr>
              <w:widowControl w:val="0"/>
              <w:spacing w:after="0" w:line="240" w:lineRule="auto"/>
              <w:jc w:val="both"/>
              <w:rPr>
                <w:rFonts w:asciiTheme="majorHAnsi" w:eastAsia="Times New Roman" w:hAnsiTheme="majorHAnsi" w:cstheme="majorHAnsi"/>
                <w:sz w:val="20"/>
                <w:szCs w:val="20"/>
                <w:lang w:eastAsia="el-GR"/>
              </w:rPr>
            </w:pPr>
          </w:p>
        </w:tc>
      </w:tr>
      <w:tr w:rsidR="003123AE" w:rsidRPr="00814A81" w14:paraId="034BF248" w14:textId="77777777" w:rsidTr="0057310C">
        <w:trPr>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482E1BCB" w14:textId="77777777" w:rsidR="003123AE" w:rsidRPr="000A2AFE" w:rsidRDefault="003123AE" w:rsidP="000A2AFE">
            <w:pPr>
              <w:widowControl w:val="0"/>
              <w:spacing w:after="0" w:line="240" w:lineRule="auto"/>
              <w:jc w:val="both"/>
              <w:rPr>
                <w:rFonts w:asciiTheme="majorHAnsi" w:eastAsia="Times New Roman" w:hAnsiTheme="majorHAnsi" w:cstheme="majorHAnsi"/>
                <w:b/>
                <w:bCs/>
                <w:sz w:val="20"/>
                <w:szCs w:val="20"/>
                <w:lang w:eastAsia="el-GR"/>
              </w:rPr>
            </w:pPr>
            <w:r w:rsidRPr="000A2AFE">
              <w:rPr>
                <w:rFonts w:asciiTheme="majorHAnsi" w:eastAsia="Times New Roman" w:hAnsiTheme="majorHAnsi" w:cstheme="majorHAnsi"/>
                <w:b/>
                <w:bCs/>
                <w:sz w:val="20"/>
                <w:szCs w:val="20"/>
                <w:lang w:eastAsia="el-GR"/>
              </w:rPr>
              <w:t>Трошкови имплементације</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2BED212D" w14:textId="77777777" w:rsidR="003123AE" w:rsidRPr="000A2AFE" w:rsidRDefault="003123AE" w:rsidP="000A2AFE">
            <w:pPr>
              <w:widowControl w:val="0"/>
              <w:spacing w:after="0" w:line="240" w:lineRule="auto"/>
              <w:jc w:val="both"/>
              <w:rPr>
                <w:rFonts w:asciiTheme="majorHAnsi" w:eastAsia="Times New Roman" w:hAnsiTheme="majorHAnsi" w:cstheme="majorHAnsi"/>
                <w:sz w:val="20"/>
                <w:szCs w:val="20"/>
                <w:lang w:eastAsia="el-GR"/>
              </w:rPr>
            </w:pPr>
            <w:r w:rsidRPr="000A2AFE">
              <w:rPr>
                <w:rFonts w:asciiTheme="majorHAnsi" w:eastAsia="Times New Roman" w:hAnsiTheme="majorHAnsi" w:cstheme="majorHAnsi"/>
                <w:sz w:val="20"/>
                <w:szCs w:val="20"/>
                <w:lang w:eastAsia="el-GR"/>
              </w:rPr>
              <w:t>0,2 милиона евра</w:t>
            </w:r>
          </w:p>
        </w:tc>
        <w:tc>
          <w:tcPr>
            <w:tcW w:w="222" w:type="dxa"/>
            <w:vAlign w:val="center"/>
            <w:hideMark/>
          </w:tcPr>
          <w:p w14:paraId="431E7A70" w14:textId="77777777" w:rsidR="003123AE" w:rsidRPr="000A2AFE" w:rsidRDefault="003123AE" w:rsidP="000A2AFE">
            <w:pPr>
              <w:widowControl w:val="0"/>
              <w:spacing w:after="0" w:line="240" w:lineRule="auto"/>
              <w:jc w:val="both"/>
              <w:rPr>
                <w:rFonts w:asciiTheme="majorHAnsi" w:eastAsia="Times New Roman" w:hAnsiTheme="majorHAnsi" w:cstheme="majorHAnsi"/>
                <w:sz w:val="20"/>
                <w:szCs w:val="20"/>
                <w:lang w:val="en-GB" w:eastAsia="el-GR"/>
              </w:rPr>
            </w:pPr>
          </w:p>
        </w:tc>
      </w:tr>
      <w:tr w:rsidR="003123AE" w:rsidRPr="00814A81" w14:paraId="19B27D24" w14:textId="77777777" w:rsidTr="0057310C">
        <w:trPr>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139A7499" w14:textId="77777777" w:rsidR="003123AE" w:rsidRPr="000A2AFE" w:rsidRDefault="003123AE" w:rsidP="000A2AFE">
            <w:pPr>
              <w:widowControl w:val="0"/>
              <w:spacing w:after="0" w:line="240" w:lineRule="auto"/>
              <w:jc w:val="both"/>
              <w:rPr>
                <w:rFonts w:asciiTheme="majorHAnsi" w:eastAsia="Times New Roman" w:hAnsiTheme="majorHAnsi" w:cstheme="majorHAnsi"/>
                <w:b/>
                <w:bCs/>
                <w:sz w:val="20"/>
                <w:szCs w:val="20"/>
                <w:lang w:val="en-GB" w:eastAsia="el-GR"/>
              </w:rPr>
            </w:pPr>
            <w:r w:rsidRPr="000A2AFE">
              <w:rPr>
                <w:rFonts w:asciiTheme="majorHAnsi" w:eastAsia="Times New Roman" w:hAnsiTheme="majorHAnsi" w:cstheme="majorHAnsi"/>
                <w:b/>
                <w:bCs/>
                <w:sz w:val="20"/>
                <w:szCs w:val="20"/>
                <w:lang w:eastAsia="el-GR"/>
              </w:rPr>
              <w:t>Извор(и) финансирања</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2777CD27" w14:textId="77777777" w:rsidR="003123AE" w:rsidRPr="000A2AFE" w:rsidRDefault="003123AE" w:rsidP="000A2AFE">
            <w:pPr>
              <w:widowControl w:val="0"/>
              <w:spacing w:after="0" w:line="240" w:lineRule="auto"/>
              <w:jc w:val="both"/>
              <w:rPr>
                <w:rFonts w:asciiTheme="majorHAnsi" w:eastAsia="Times New Roman" w:hAnsiTheme="majorHAnsi" w:cstheme="majorHAnsi"/>
                <w:sz w:val="20"/>
                <w:szCs w:val="20"/>
                <w:lang w:val="en-GB" w:eastAsia="el-GR"/>
              </w:rPr>
            </w:pPr>
            <w:r w:rsidRPr="000A2AFE">
              <w:rPr>
                <w:rFonts w:asciiTheme="majorHAnsi" w:eastAsia="Times New Roman" w:hAnsiTheme="majorHAnsi" w:cstheme="majorHAnsi"/>
                <w:sz w:val="20"/>
                <w:szCs w:val="20"/>
                <w:lang w:eastAsia="el-GR"/>
              </w:rPr>
              <w:t>Фондови ЕУ и други фондови, буџетска средства</w:t>
            </w:r>
          </w:p>
        </w:tc>
        <w:tc>
          <w:tcPr>
            <w:tcW w:w="222" w:type="dxa"/>
            <w:vAlign w:val="center"/>
            <w:hideMark/>
          </w:tcPr>
          <w:p w14:paraId="3A062B28" w14:textId="77777777" w:rsidR="003123AE" w:rsidRPr="000A2AFE" w:rsidRDefault="003123AE" w:rsidP="000A2AFE">
            <w:pPr>
              <w:widowControl w:val="0"/>
              <w:spacing w:after="0" w:line="240" w:lineRule="auto"/>
              <w:jc w:val="both"/>
              <w:rPr>
                <w:rFonts w:asciiTheme="majorHAnsi" w:eastAsia="Times New Roman" w:hAnsiTheme="majorHAnsi" w:cstheme="majorHAnsi"/>
                <w:sz w:val="20"/>
                <w:szCs w:val="20"/>
                <w:lang w:val="en-GB" w:eastAsia="el-GR"/>
              </w:rPr>
            </w:pPr>
          </w:p>
        </w:tc>
      </w:tr>
    </w:tbl>
    <w:p w14:paraId="21A9E294" w14:textId="77777777" w:rsidR="003123AE" w:rsidRPr="00FF386D" w:rsidRDefault="003123AE" w:rsidP="00854ADA">
      <w:pPr>
        <w:widowControl w:val="0"/>
        <w:spacing w:after="120" w:line="240" w:lineRule="auto"/>
        <w:jc w:val="both"/>
        <w:rPr>
          <w:rFonts w:ascii="Calibri Light" w:eastAsia="Times New Roman" w:hAnsi="Calibri Light" w:cs="Calibri Light"/>
          <w:szCs w:val="20"/>
          <w:lang w:eastAsia="el-GR"/>
        </w:rPr>
      </w:pPr>
    </w:p>
    <w:p w14:paraId="1DC63C1F" w14:textId="423C6557" w:rsidR="00854ADA" w:rsidRPr="00FF386D" w:rsidRDefault="00854ADA">
      <w:pPr>
        <w:pStyle w:val="ListParagraph"/>
        <w:keepNext/>
        <w:keepLines/>
        <w:numPr>
          <w:ilvl w:val="0"/>
          <w:numId w:val="286"/>
        </w:numPr>
        <w:spacing w:before="200" w:after="0" w:line="240" w:lineRule="auto"/>
        <w:jc w:val="both"/>
        <w:outlineLvl w:val="3"/>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t xml:space="preserve">Процена потребе </w:t>
      </w:r>
      <w:r w:rsidR="006D26AB" w:rsidRPr="00FF386D">
        <w:rPr>
          <w:rFonts w:asciiTheme="majorHAnsi" w:eastAsiaTheme="majorEastAsia" w:hAnsiTheme="majorHAnsi" w:cstheme="majorBidi"/>
          <w:b/>
          <w:bCs/>
          <w:iCs/>
          <w:color w:val="01406B"/>
          <w:szCs w:val="24"/>
        </w:rPr>
        <w:t>за изградњом</w:t>
      </w:r>
      <w:r w:rsidRPr="00FF386D">
        <w:rPr>
          <w:rFonts w:asciiTheme="majorHAnsi" w:eastAsiaTheme="majorEastAsia" w:hAnsiTheme="majorHAnsi" w:cstheme="majorBidi"/>
          <w:b/>
          <w:bCs/>
          <w:iCs/>
          <w:color w:val="01406B"/>
          <w:szCs w:val="24"/>
        </w:rPr>
        <w:t xml:space="preserve"> нов</w:t>
      </w:r>
      <w:r w:rsidR="006D26AB" w:rsidRPr="00FF386D">
        <w:rPr>
          <w:rFonts w:asciiTheme="majorHAnsi" w:eastAsiaTheme="majorEastAsia" w:hAnsiTheme="majorHAnsi" w:cstheme="majorBidi"/>
          <w:b/>
          <w:bCs/>
          <w:iCs/>
          <w:color w:val="01406B"/>
          <w:szCs w:val="24"/>
        </w:rPr>
        <w:t>е</w:t>
      </w:r>
      <w:r w:rsidRPr="00FF386D">
        <w:rPr>
          <w:rFonts w:asciiTheme="majorHAnsi" w:eastAsiaTheme="majorEastAsia" w:hAnsiTheme="majorHAnsi" w:cstheme="majorBidi"/>
          <w:b/>
          <w:bCs/>
          <w:iCs/>
          <w:color w:val="01406B"/>
          <w:szCs w:val="24"/>
        </w:rPr>
        <w:t xml:space="preserve"> инфраструктур</w:t>
      </w:r>
      <w:r w:rsidR="006D26AB" w:rsidRPr="00FF386D">
        <w:rPr>
          <w:rFonts w:asciiTheme="majorHAnsi" w:eastAsiaTheme="majorEastAsia" w:hAnsiTheme="majorHAnsi" w:cstheme="majorBidi"/>
          <w:b/>
          <w:bCs/>
          <w:iCs/>
          <w:color w:val="01406B"/>
          <w:szCs w:val="24"/>
        </w:rPr>
        <w:t>е</w:t>
      </w:r>
      <w:r w:rsidRPr="00FF386D">
        <w:rPr>
          <w:rFonts w:asciiTheme="majorHAnsi" w:eastAsiaTheme="majorEastAsia" w:hAnsiTheme="majorHAnsi" w:cstheme="majorBidi"/>
          <w:b/>
          <w:bCs/>
          <w:iCs/>
          <w:color w:val="01406B"/>
          <w:szCs w:val="24"/>
        </w:rPr>
        <w:t xml:space="preserve"> за даљинско грејање и хлађење из обновљивих извора енергије</w:t>
      </w:r>
    </w:p>
    <w:p w14:paraId="58FD2782" w14:textId="4D35F7AD" w:rsidR="00854ADA" w:rsidRPr="00FF386D" w:rsidRDefault="00854ADA" w:rsidP="00854ADA">
      <w:pPr>
        <w:spacing w:before="240" w:after="240"/>
        <w:jc w:val="both"/>
        <w:rPr>
          <w:rFonts w:asciiTheme="majorHAnsi" w:hAnsiTheme="majorHAnsi" w:cstheme="majorHAnsi"/>
          <w:i/>
          <w:iCs/>
          <w:color w:val="000000"/>
          <w:u w:val="single"/>
        </w:rPr>
      </w:pPr>
      <w:r w:rsidRPr="00FF386D">
        <w:rPr>
          <w:rFonts w:asciiTheme="majorHAnsi" w:hAnsiTheme="majorHAnsi" w:cstheme="majorHAnsi"/>
          <w:color w:val="000000"/>
        </w:rPr>
        <w:t xml:space="preserve">Додатно учешће технологија обновљивих извора енергије у постојећим и планираним системима даљинског грејања </w:t>
      </w:r>
      <w:r w:rsidR="00E13283" w:rsidRPr="00FF386D">
        <w:rPr>
          <w:rFonts w:asciiTheme="majorHAnsi" w:hAnsiTheme="majorHAnsi" w:cstheme="majorHAnsi"/>
          <w:color w:val="000000"/>
        </w:rPr>
        <w:t xml:space="preserve">ће бити </w:t>
      </w:r>
      <w:r w:rsidRPr="00FF386D">
        <w:rPr>
          <w:rFonts w:asciiTheme="majorHAnsi" w:hAnsiTheme="majorHAnsi" w:cstheme="majorHAnsi"/>
          <w:color w:val="000000"/>
        </w:rPr>
        <w:t xml:space="preserve">подржано </w:t>
      </w:r>
      <w:r w:rsidR="00E13283" w:rsidRPr="00FF386D">
        <w:rPr>
          <w:rFonts w:asciiTheme="majorHAnsi" w:hAnsiTheme="majorHAnsi" w:cstheme="majorHAnsi"/>
          <w:color w:val="000000"/>
        </w:rPr>
        <w:t xml:space="preserve">пружањем </w:t>
      </w:r>
      <w:r w:rsidRPr="00FF386D">
        <w:rPr>
          <w:rFonts w:asciiTheme="majorHAnsi" w:hAnsiTheme="majorHAnsi" w:cstheme="majorHAnsi"/>
          <w:color w:val="000000"/>
        </w:rPr>
        <w:t xml:space="preserve">посебне финансијске помоћи за </w:t>
      </w:r>
      <w:r w:rsidR="00E13283" w:rsidRPr="00FF386D">
        <w:rPr>
          <w:rFonts w:asciiTheme="majorHAnsi" w:hAnsiTheme="majorHAnsi" w:cstheme="majorHAnsi"/>
          <w:color w:val="000000"/>
        </w:rPr>
        <w:t xml:space="preserve">потребне </w:t>
      </w:r>
      <w:r w:rsidRPr="00FF386D">
        <w:rPr>
          <w:rFonts w:asciiTheme="majorHAnsi" w:hAnsiTheme="majorHAnsi" w:cstheme="majorHAnsi"/>
          <w:color w:val="000000"/>
        </w:rPr>
        <w:t xml:space="preserve">инвестиционе трошкове. </w:t>
      </w:r>
      <w:r w:rsidR="00BB42F2" w:rsidRPr="00FF386D">
        <w:rPr>
          <w:rFonts w:asciiTheme="majorHAnsi" w:hAnsiTheme="majorHAnsi" w:cstheme="majorHAnsi"/>
          <w:color w:val="000000"/>
        </w:rPr>
        <w:t>Поред тога</w:t>
      </w:r>
      <w:r w:rsidRPr="00FF386D">
        <w:rPr>
          <w:rFonts w:asciiTheme="majorHAnsi" w:hAnsiTheme="majorHAnsi" w:cstheme="majorHAnsi"/>
          <w:color w:val="000000"/>
        </w:rPr>
        <w:t>, разматраће се потенцијално увођење обавезне квоте за коришћење обновљивих извора енергије као горива у системима даљинског грејања. На крају, биће разматрано покретање модерних нискотемпературних система даљинског грејања</w:t>
      </w:r>
      <w:r w:rsidR="00320B4E" w:rsidRPr="00FF386D">
        <w:rPr>
          <w:rFonts w:asciiTheme="majorHAnsi" w:hAnsiTheme="majorHAnsi" w:cstheme="majorHAnsi"/>
          <w:color w:val="000000"/>
        </w:rPr>
        <w:t xml:space="preserve">, који ће </w:t>
      </w:r>
      <w:r w:rsidR="00E13283" w:rsidRPr="00FF386D">
        <w:rPr>
          <w:rFonts w:asciiTheme="majorHAnsi" w:hAnsiTheme="majorHAnsi" w:cstheme="majorHAnsi"/>
          <w:color w:val="000000"/>
        </w:rPr>
        <w:t>повезива</w:t>
      </w:r>
      <w:r w:rsidR="00320B4E" w:rsidRPr="00FF386D">
        <w:rPr>
          <w:rFonts w:asciiTheme="majorHAnsi" w:hAnsiTheme="majorHAnsi" w:cstheme="majorHAnsi"/>
          <w:color w:val="000000"/>
        </w:rPr>
        <w:t>ти</w:t>
      </w:r>
      <w:r w:rsidRPr="00FF386D">
        <w:rPr>
          <w:rFonts w:asciiTheme="majorHAnsi" w:hAnsiTheme="majorHAnsi" w:cstheme="majorHAnsi"/>
          <w:color w:val="000000"/>
        </w:rPr>
        <w:t xml:space="preserve"> локалн</w:t>
      </w:r>
      <w:r w:rsidR="00E13283" w:rsidRPr="00FF386D">
        <w:rPr>
          <w:rFonts w:asciiTheme="majorHAnsi" w:hAnsiTheme="majorHAnsi" w:cstheme="majorHAnsi"/>
          <w:color w:val="000000"/>
        </w:rPr>
        <w:t>е</w:t>
      </w:r>
      <w:r w:rsidRPr="00FF386D">
        <w:rPr>
          <w:rFonts w:asciiTheme="majorHAnsi" w:hAnsiTheme="majorHAnsi" w:cstheme="majorHAnsi"/>
          <w:color w:val="000000"/>
        </w:rPr>
        <w:t xml:space="preserve"> потражњ</w:t>
      </w:r>
      <w:r w:rsidR="00E13283" w:rsidRPr="00FF386D">
        <w:rPr>
          <w:rFonts w:asciiTheme="majorHAnsi" w:hAnsiTheme="majorHAnsi" w:cstheme="majorHAnsi"/>
          <w:color w:val="000000"/>
        </w:rPr>
        <w:t xml:space="preserve">е </w:t>
      </w:r>
      <w:r w:rsidR="00766BD0" w:rsidRPr="00FF386D">
        <w:rPr>
          <w:rFonts w:asciiTheme="majorHAnsi" w:hAnsiTheme="majorHAnsi" w:cstheme="majorHAnsi"/>
          <w:color w:val="000000"/>
        </w:rPr>
        <w:t xml:space="preserve">са енергијом из </w:t>
      </w:r>
      <w:r w:rsidRPr="00FF386D">
        <w:rPr>
          <w:rFonts w:asciiTheme="majorHAnsi" w:hAnsiTheme="majorHAnsi" w:cstheme="majorHAnsi"/>
          <w:color w:val="000000"/>
        </w:rPr>
        <w:t>обновљиви</w:t>
      </w:r>
      <w:r w:rsidR="00E13283" w:rsidRPr="00FF386D">
        <w:rPr>
          <w:rFonts w:asciiTheme="majorHAnsi" w:hAnsiTheme="majorHAnsi" w:cstheme="majorHAnsi"/>
          <w:color w:val="000000"/>
        </w:rPr>
        <w:t>х</w:t>
      </w:r>
      <w:r w:rsidRPr="00FF386D">
        <w:rPr>
          <w:rFonts w:asciiTheme="majorHAnsi" w:hAnsiTheme="majorHAnsi" w:cstheme="majorHAnsi"/>
          <w:color w:val="000000"/>
        </w:rPr>
        <w:t xml:space="preserve"> извор</w:t>
      </w:r>
      <w:r w:rsidR="00766BD0" w:rsidRPr="00FF386D">
        <w:rPr>
          <w:rFonts w:asciiTheme="majorHAnsi" w:hAnsiTheme="majorHAnsi" w:cstheme="majorHAnsi"/>
          <w:color w:val="000000"/>
        </w:rPr>
        <w:t>а и отпада</w:t>
      </w:r>
      <w:r w:rsidRPr="00FF386D">
        <w:rPr>
          <w:rFonts w:asciiTheme="majorHAnsi" w:hAnsiTheme="majorHAnsi" w:cstheme="majorHAnsi"/>
          <w:color w:val="000000"/>
        </w:rPr>
        <w:t>, као и шир</w:t>
      </w:r>
      <w:r w:rsidR="00766BD0" w:rsidRPr="00FF386D">
        <w:rPr>
          <w:rFonts w:asciiTheme="majorHAnsi" w:hAnsiTheme="majorHAnsi" w:cstheme="majorHAnsi"/>
          <w:color w:val="000000"/>
        </w:rPr>
        <w:t>ом</w:t>
      </w:r>
      <w:r w:rsidRPr="00FF386D">
        <w:rPr>
          <w:rFonts w:asciiTheme="majorHAnsi" w:hAnsiTheme="majorHAnsi" w:cstheme="majorHAnsi"/>
          <w:color w:val="000000"/>
        </w:rPr>
        <w:t xml:space="preserve"> мреж</w:t>
      </w:r>
      <w:r w:rsidR="00766BD0" w:rsidRPr="00FF386D">
        <w:rPr>
          <w:rFonts w:asciiTheme="majorHAnsi" w:hAnsiTheme="majorHAnsi" w:cstheme="majorHAnsi"/>
          <w:color w:val="000000"/>
        </w:rPr>
        <w:t>ом</w:t>
      </w:r>
      <w:r w:rsidRPr="00FF386D">
        <w:rPr>
          <w:rFonts w:asciiTheme="majorHAnsi" w:hAnsiTheme="majorHAnsi" w:cstheme="majorHAnsi"/>
          <w:color w:val="000000"/>
        </w:rPr>
        <w:t xml:space="preserve"> електричне енергије и гаса доприносећи оптимизацији понуде и потражње за св</w:t>
      </w:r>
      <w:r w:rsidR="00766BD0" w:rsidRPr="00FF386D">
        <w:rPr>
          <w:rFonts w:asciiTheme="majorHAnsi" w:hAnsiTheme="majorHAnsi" w:cstheme="majorHAnsi"/>
          <w:color w:val="000000"/>
        </w:rPr>
        <w:t>е</w:t>
      </w:r>
      <w:r w:rsidRPr="00FF386D">
        <w:rPr>
          <w:rFonts w:asciiTheme="majorHAnsi" w:hAnsiTheme="majorHAnsi" w:cstheme="majorHAnsi"/>
          <w:color w:val="000000"/>
        </w:rPr>
        <w:t xml:space="preserve"> енергент</w:t>
      </w:r>
      <w:r w:rsidR="00766BD0" w:rsidRPr="00FF386D">
        <w:rPr>
          <w:rFonts w:asciiTheme="majorHAnsi" w:hAnsiTheme="majorHAnsi" w:cstheme="majorHAnsi"/>
          <w:color w:val="000000"/>
        </w:rPr>
        <w:t>е.</w:t>
      </w:r>
    </w:p>
    <w:tbl>
      <w:tblPr>
        <w:tblW w:w="9458" w:type="dxa"/>
        <w:tblLook w:val="04A0" w:firstRow="1" w:lastRow="0" w:firstColumn="1" w:lastColumn="0" w:noHBand="0" w:noVBand="1"/>
      </w:tblPr>
      <w:tblGrid>
        <w:gridCol w:w="3279"/>
        <w:gridCol w:w="1097"/>
        <w:gridCol w:w="936"/>
        <w:gridCol w:w="4146"/>
      </w:tblGrid>
      <w:tr w:rsidR="00854ADA" w:rsidRPr="00FF386D" w14:paraId="1661E7E4" w14:textId="77777777" w:rsidTr="0057310C">
        <w:trPr>
          <w:trHeight w:val="780"/>
        </w:trPr>
        <w:tc>
          <w:tcPr>
            <w:tcW w:w="3279"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02E1938D"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97" w:type="dxa"/>
            <w:tcBorders>
              <w:top w:val="single" w:sz="8" w:space="0" w:color="auto"/>
              <w:left w:val="nil"/>
              <w:bottom w:val="single" w:sz="8" w:space="0" w:color="auto"/>
              <w:right w:val="single" w:sz="8" w:space="0" w:color="auto"/>
            </w:tcBorders>
            <w:shd w:val="clear" w:color="auto" w:fill="E7E6E6" w:themeFill="background2"/>
            <w:vAlign w:val="center"/>
            <w:hideMark/>
          </w:tcPr>
          <w:p w14:paraId="22E63C3A" w14:textId="2E29BB9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w:t>
            </w:r>
            <w:r w:rsidR="003123AE" w:rsidRPr="000A2AFE">
              <w:rPr>
                <w:rFonts w:ascii="Calibri Light" w:eastAsia="Times New Roman" w:hAnsi="Calibri Light" w:cs="Calibri Light"/>
                <w:b/>
                <w:bCs/>
                <w:color w:val="000000"/>
                <w:sz w:val="20"/>
                <w:szCs w:val="20"/>
                <w:lang w:eastAsia="en-GB"/>
              </w:rPr>
              <w:t>Д3</w:t>
            </w:r>
            <w:r w:rsidR="003123AE">
              <w:rPr>
                <w:rFonts w:ascii="Calibri Light" w:eastAsia="Times New Roman" w:hAnsi="Calibri Light" w:cs="Calibri Light"/>
                <w:b/>
                <w:bCs/>
                <w:color w:val="000000"/>
                <w:sz w:val="20"/>
                <w:szCs w:val="20"/>
                <w:lang w:eastAsia="en-GB"/>
              </w:rPr>
              <w:t>1</w:t>
            </w:r>
          </w:p>
        </w:tc>
        <w:tc>
          <w:tcPr>
            <w:tcW w:w="936" w:type="dxa"/>
            <w:tcBorders>
              <w:top w:val="single" w:sz="8" w:space="0" w:color="auto"/>
              <w:left w:val="nil"/>
              <w:bottom w:val="single" w:sz="8" w:space="0" w:color="auto"/>
              <w:right w:val="single" w:sz="8" w:space="0" w:color="auto"/>
            </w:tcBorders>
            <w:shd w:val="clear" w:color="000000" w:fill="244062"/>
            <w:vAlign w:val="center"/>
            <w:hideMark/>
          </w:tcPr>
          <w:p w14:paraId="75A132C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46" w:type="dxa"/>
            <w:tcBorders>
              <w:top w:val="single" w:sz="8" w:space="0" w:color="auto"/>
              <w:left w:val="nil"/>
              <w:bottom w:val="single" w:sz="8" w:space="0" w:color="auto"/>
              <w:right w:val="single" w:sz="8" w:space="0" w:color="auto"/>
            </w:tcBorders>
            <w:shd w:val="clear" w:color="auto" w:fill="E7E6E6" w:themeFill="background2"/>
            <w:vAlign w:val="center"/>
            <w:hideMark/>
          </w:tcPr>
          <w:p w14:paraId="44268FA8" w14:textId="53BCB3BA"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 xml:space="preserve">Омогућавање увођења ОИЕ у </w:t>
            </w:r>
            <w:r w:rsidR="006D26AB" w:rsidRPr="000A2AFE">
              <w:rPr>
                <w:rFonts w:ascii="Calibri Light" w:eastAsia="Times New Roman" w:hAnsi="Calibri Light" w:cs="Calibri Light"/>
                <w:b/>
                <w:bCs/>
                <w:color w:val="000000"/>
                <w:sz w:val="20"/>
                <w:szCs w:val="20"/>
                <w:lang w:eastAsia="en-GB"/>
              </w:rPr>
              <w:t>системе</w:t>
            </w:r>
            <w:r w:rsidRPr="000A2AFE">
              <w:rPr>
                <w:rFonts w:ascii="Calibri Light" w:eastAsia="Times New Roman" w:hAnsi="Calibri Light" w:cs="Calibri Light"/>
                <w:b/>
                <w:bCs/>
                <w:color w:val="000000"/>
                <w:sz w:val="20"/>
                <w:szCs w:val="20"/>
                <w:lang w:eastAsia="en-GB"/>
              </w:rPr>
              <w:t xml:space="preserve"> даљинског грејања</w:t>
            </w:r>
          </w:p>
        </w:tc>
      </w:tr>
      <w:tr w:rsidR="00854ADA" w:rsidRPr="00FF386D" w14:paraId="208F244B" w14:textId="77777777" w:rsidTr="0057310C">
        <w:trPr>
          <w:trHeight w:val="311"/>
        </w:trPr>
        <w:tc>
          <w:tcPr>
            <w:tcW w:w="3279" w:type="dxa"/>
            <w:tcBorders>
              <w:top w:val="nil"/>
              <w:left w:val="single" w:sz="8" w:space="0" w:color="auto"/>
              <w:bottom w:val="single" w:sz="8" w:space="0" w:color="auto"/>
              <w:right w:val="nil"/>
            </w:tcBorders>
            <w:shd w:val="clear" w:color="000000" w:fill="244062"/>
            <w:vAlign w:val="center"/>
            <w:hideMark/>
          </w:tcPr>
          <w:p w14:paraId="4509D0B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79" w:type="dxa"/>
            <w:gridSpan w:val="3"/>
            <w:tcBorders>
              <w:top w:val="single" w:sz="8" w:space="0" w:color="auto"/>
              <w:left w:val="nil"/>
              <w:bottom w:val="single" w:sz="8" w:space="0" w:color="auto"/>
              <w:right w:val="single" w:sz="8" w:space="0" w:color="000000"/>
            </w:tcBorders>
            <w:shd w:val="clear" w:color="auto" w:fill="auto"/>
            <w:vAlign w:val="center"/>
            <w:hideMark/>
          </w:tcPr>
          <w:p w14:paraId="24991A35"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Повећање удела ОИЕ у грејању и хлађењу</w:t>
            </w:r>
          </w:p>
        </w:tc>
      </w:tr>
      <w:tr w:rsidR="00854ADA" w:rsidRPr="00FF386D" w14:paraId="33E36028" w14:textId="77777777" w:rsidTr="0057310C">
        <w:trPr>
          <w:trHeight w:val="315"/>
        </w:trPr>
        <w:tc>
          <w:tcPr>
            <w:tcW w:w="3279" w:type="dxa"/>
            <w:tcBorders>
              <w:top w:val="nil"/>
              <w:left w:val="single" w:sz="8" w:space="0" w:color="auto"/>
              <w:bottom w:val="single" w:sz="8" w:space="0" w:color="auto"/>
              <w:right w:val="single" w:sz="8" w:space="0" w:color="auto"/>
            </w:tcBorders>
            <w:shd w:val="clear" w:color="000000" w:fill="244062"/>
            <w:vAlign w:val="center"/>
            <w:hideMark/>
          </w:tcPr>
          <w:p w14:paraId="2E701E3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79" w:type="dxa"/>
            <w:gridSpan w:val="3"/>
            <w:tcBorders>
              <w:top w:val="single" w:sz="8" w:space="0" w:color="auto"/>
              <w:left w:val="nil"/>
              <w:bottom w:val="single" w:sz="8" w:space="0" w:color="auto"/>
              <w:right w:val="single" w:sz="8" w:space="0" w:color="000000"/>
            </w:tcBorders>
            <w:shd w:val="clear" w:color="auto" w:fill="auto"/>
            <w:vAlign w:val="center"/>
            <w:hideMark/>
          </w:tcPr>
          <w:p w14:paraId="37CD44F0" w14:textId="77777777" w:rsidR="00854ADA" w:rsidRDefault="006D26AB"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2,65</w:t>
            </w:r>
            <w:r w:rsidR="00854ADA" w:rsidRPr="00FF386D">
              <w:rPr>
                <w:rFonts w:asciiTheme="majorHAnsi" w:eastAsia="Times New Roman" w:hAnsiTheme="majorHAnsi" w:cstheme="majorHAnsi"/>
                <w:color w:val="000000"/>
                <w:sz w:val="20"/>
                <w:szCs w:val="20"/>
                <w:lang w:eastAsia="en-GB"/>
              </w:rPr>
              <w:t xml:space="preserve"> ktoe биомасе</w:t>
            </w:r>
          </w:p>
          <w:p w14:paraId="17D079F5" w14:textId="083A0670" w:rsidR="006E6B66" w:rsidRPr="006E6B66" w:rsidRDefault="006E6B66" w:rsidP="00854ADA">
            <w:pPr>
              <w:spacing w:after="0" w:line="240" w:lineRule="auto"/>
              <w:rPr>
                <w:rFonts w:ascii="Calibri" w:eastAsia="Times New Roman" w:hAnsi="Calibri" w:cs="Calibri"/>
                <w:color w:val="000000"/>
                <w:lang w:eastAsia="en-GB"/>
              </w:rPr>
            </w:pPr>
            <w:r>
              <w:rPr>
                <w:rFonts w:asciiTheme="majorHAnsi" w:eastAsia="Times New Roman" w:hAnsiTheme="majorHAnsi" w:cstheme="majorHAnsi"/>
                <w:color w:val="000000"/>
                <w:lang w:eastAsia="en-GB"/>
              </w:rPr>
              <w:t xml:space="preserve">19,06 </w:t>
            </w:r>
            <w:r>
              <w:rPr>
                <w:rFonts w:asciiTheme="majorHAnsi" w:eastAsia="Times New Roman" w:hAnsiTheme="majorHAnsi" w:cstheme="majorHAnsi"/>
                <w:color w:val="000000"/>
                <w:lang w:val="en-US" w:eastAsia="en-GB"/>
              </w:rPr>
              <w:t xml:space="preserve">ktoe </w:t>
            </w:r>
            <w:r>
              <w:rPr>
                <w:rFonts w:asciiTheme="majorHAnsi" w:eastAsia="Times New Roman" w:hAnsiTheme="majorHAnsi" w:cstheme="majorHAnsi"/>
                <w:color w:val="000000"/>
                <w:lang w:eastAsia="en-GB"/>
              </w:rPr>
              <w:t>соларне енергије</w:t>
            </w:r>
          </w:p>
        </w:tc>
      </w:tr>
      <w:tr w:rsidR="00854ADA" w:rsidRPr="00FF386D" w14:paraId="104602D5" w14:textId="77777777" w:rsidTr="0057310C">
        <w:trPr>
          <w:trHeight w:val="1341"/>
        </w:trPr>
        <w:tc>
          <w:tcPr>
            <w:tcW w:w="3279" w:type="dxa"/>
            <w:tcBorders>
              <w:top w:val="nil"/>
              <w:left w:val="single" w:sz="8" w:space="0" w:color="auto"/>
              <w:bottom w:val="single" w:sz="8" w:space="0" w:color="auto"/>
              <w:right w:val="single" w:sz="8" w:space="0" w:color="auto"/>
            </w:tcBorders>
            <w:shd w:val="clear" w:color="000000" w:fill="244062"/>
            <w:vAlign w:val="center"/>
            <w:hideMark/>
          </w:tcPr>
          <w:p w14:paraId="34ECA23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79" w:type="dxa"/>
            <w:gridSpan w:val="3"/>
            <w:tcBorders>
              <w:top w:val="single" w:sz="8" w:space="0" w:color="auto"/>
              <w:left w:val="nil"/>
              <w:bottom w:val="single" w:sz="8" w:space="0" w:color="auto"/>
              <w:right w:val="single" w:sz="8" w:space="0" w:color="000000"/>
            </w:tcBorders>
            <w:shd w:val="clear" w:color="auto" w:fill="auto"/>
            <w:vAlign w:val="center"/>
            <w:hideMark/>
          </w:tcPr>
          <w:p w14:paraId="75170C76" w14:textId="3FD649BA" w:rsidR="00854ADA" w:rsidRPr="000A2AFE" w:rsidRDefault="00854ADA" w:rsidP="000A2AFE">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МП_</w:t>
            </w:r>
            <w:r w:rsidR="003123AE" w:rsidRPr="000A2AFE">
              <w:rPr>
                <w:rFonts w:ascii="Calibri Light" w:eastAsia="Times New Roman" w:hAnsi="Calibri Light" w:cs="Calibri Light"/>
                <w:color w:val="000000"/>
                <w:sz w:val="20"/>
                <w:szCs w:val="20"/>
                <w:lang w:eastAsia="en-GB"/>
              </w:rPr>
              <w:t xml:space="preserve">Д31 </w:t>
            </w:r>
            <w:r w:rsidRPr="000A2AFE">
              <w:rPr>
                <w:rFonts w:ascii="Calibri Light" w:eastAsia="Times New Roman" w:hAnsi="Calibri Light" w:cs="Calibri Light"/>
                <w:color w:val="000000"/>
                <w:sz w:val="20"/>
                <w:szCs w:val="20"/>
                <w:lang w:eastAsia="en-GB"/>
              </w:rPr>
              <w:t>ће подржати д</w:t>
            </w:r>
            <w:r w:rsidR="006B67C4" w:rsidRPr="000A2AFE">
              <w:rPr>
                <w:rFonts w:ascii="Calibri Light" w:eastAsia="Times New Roman" w:hAnsi="Calibri Light" w:cs="Calibri Light"/>
                <w:color w:val="000000"/>
                <w:sz w:val="20"/>
                <w:szCs w:val="20"/>
                <w:lang w:eastAsia="en-GB"/>
              </w:rPr>
              <w:t>одатно</w:t>
            </w:r>
            <w:r w:rsidRPr="000A2AFE">
              <w:rPr>
                <w:rFonts w:ascii="Calibri Light" w:eastAsia="Times New Roman" w:hAnsi="Calibri Light" w:cs="Calibri Light"/>
                <w:color w:val="000000"/>
                <w:sz w:val="20"/>
                <w:szCs w:val="20"/>
                <w:lang w:eastAsia="en-GB"/>
              </w:rPr>
              <w:t xml:space="preserve"> увођење технологија обновљиве енергије у постојеће и планиране </w:t>
            </w:r>
            <w:r w:rsidR="006B67C4" w:rsidRPr="000A2AFE">
              <w:rPr>
                <w:rFonts w:ascii="Calibri Light" w:eastAsia="Times New Roman" w:hAnsi="Calibri Light" w:cs="Calibri Light"/>
                <w:color w:val="000000"/>
                <w:sz w:val="20"/>
                <w:szCs w:val="20"/>
                <w:lang w:eastAsia="en-GB"/>
              </w:rPr>
              <w:t xml:space="preserve">системе </w:t>
            </w:r>
            <w:r w:rsidRPr="000A2AFE">
              <w:rPr>
                <w:rFonts w:ascii="Calibri Light" w:eastAsia="Times New Roman" w:hAnsi="Calibri Light" w:cs="Calibri Light"/>
                <w:color w:val="000000"/>
                <w:sz w:val="20"/>
                <w:szCs w:val="20"/>
                <w:lang w:eastAsia="en-GB"/>
              </w:rPr>
              <w:t>даљинског грејања пружањем посебних</w:t>
            </w:r>
            <w:r w:rsidR="006B67C4" w:rsidRPr="000A2AFE">
              <w:rPr>
                <w:rFonts w:ascii="Calibri Light" w:eastAsia="Times New Roman" w:hAnsi="Calibri Light" w:cs="Calibri Light"/>
                <w:color w:val="000000"/>
                <w:sz w:val="20"/>
                <w:szCs w:val="20"/>
                <w:lang w:eastAsia="en-GB"/>
              </w:rPr>
              <w:t xml:space="preserve"> економских</w:t>
            </w:r>
            <w:r w:rsidR="00320B4E" w:rsidRPr="000A2AFE">
              <w:rPr>
                <w:rFonts w:ascii="Calibri Light" w:eastAsia="Times New Roman" w:hAnsi="Calibri Light" w:cs="Calibri Light"/>
                <w:color w:val="000000"/>
                <w:sz w:val="20"/>
                <w:szCs w:val="20"/>
                <w:lang w:eastAsia="en-GB"/>
              </w:rPr>
              <w:t xml:space="preserve"> подстицаја</w:t>
            </w:r>
            <w:r w:rsidRPr="000A2AFE">
              <w:rPr>
                <w:rFonts w:ascii="Calibri Light" w:eastAsia="Times New Roman" w:hAnsi="Calibri Light" w:cs="Calibri Light"/>
                <w:color w:val="000000"/>
                <w:sz w:val="20"/>
                <w:szCs w:val="20"/>
                <w:lang w:eastAsia="en-GB"/>
              </w:rPr>
              <w:t xml:space="preserve">. </w:t>
            </w:r>
            <w:r w:rsidR="006B67C4" w:rsidRPr="000A2AFE">
              <w:rPr>
                <w:rFonts w:ascii="Calibri Light" w:eastAsia="Times New Roman" w:hAnsi="Calibri Light" w:cs="Calibri Light"/>
                <w:color w:val="000000"/>
                <w:sz w:val="20"/>
                <w:szCs w:val="20"/>
                <w:lang w:eastAsia="en-GB"/>
              </w:rPr>
              <w:t>Осим тога</w:t>
            </w:r>
            <w:r w:rsidRPr="000A2AFE">
              <w:rPr>
                <w:rFonts w:ascii="Calibri Light" w:eastAsia="Times New Roman" w:hAnsi="Calibri Light" w:cs="Calibri Light"/>
                <w:color w:val="000000"/>
                <w:sz w:val="20"/>
                <w:szCs w:val="20"/>
                <w:lang w:eastAsia="en-GB"/>
              </w:rPr>
              <w:t xml:space="preserve">, размотриће се потенцијално увођење обавезне квоте за коришћење обновљивих извора енергије као горива у мрежама даљинског грејања. На крају, биће </w:t>
            </w:r>
            <w:r w:rsidR="00320B4E" w:rsidRPr="000A2AFE">
              <w:rPr>
                <w:rFonts w:ascii="Calibri Light" w:eastAsia="Times New Roman" w:hAnsi="Calibri Light" w:cs="Calibri Light"/>
                <w:color w:val="000000"/>
                <w:sz w:val="20"/>
                <w:szCs w:val="20"/>
                <w:lang w:eastAsia="en-GB"/>
              </w:rPr>
              <w:t>разматрано</w:t>
            </w:r>
            <w:r w:rsidRPr="000A2AFE">
              <w:rPr>
                <w:rFonts w:ascii="Calibri Light" w:eastAsia="Times New Roman" w:hAnsi="Calibri Light" w:cs="Calibri Light"/>
                <w:color w:val="000000"/>
                <w:sz w:val="20"/>
                <w:szCs w:val="20"/>
                <w:lang w:eastAsia="en-GB"/>
              </w:rPr>
              <w:t xml:space="preserve"> покретање модерних нискотемпературних система даљинског грејања</w:t>
            </w:r>
            <w:r w:rsidR="00320B4E" w:rsidRPr="000A2AFE">
              <w:rPr>
                <w:rFonts w:ascii="Calibri Light" w:eastAsia="Times New Roman" w:hAnsi="Calibri Light" w:cs="Calibri Light"/>
                <w:color w:val="000000"/>
                <w:sz w:val="20"/>
                <w:szCs w:val="20"/>
                <w:lang w:eastAsia="en-GB"/>
              </w:rPr>
              <w:t>,</w:t>
            </w:r>
            <w:r w:rsidRPr="000A2AFE">
              <w:rPr>
                <w:rFonts w:ascii="Calibri Light" w:eastAsia="Times New Roman" w:hAnsi="Calibri Light" w:cs="Calibri Light"/>
                <w:color w:val="000000"/>
                <w:sz w:val="20"/>
                <w:szCs w:val="20"/>
                <w:lang w:eastAsia="en-GB"/>
              </w:rPr>
              <w:t xml:space="preserve"> који ће повезивати локалну потражњу </w:t>
            </w:r>
            <w:r w:rsidR="00320B4E" w:rsidRPr="000A2AFE">
              <w:rPr>
                <w:rFonts w:ascii="Calibri Light" w:eastAsia="Times New Roman" w:hAnsi="Calibri Light" w:cs="Calibri Light"/>
                <w:color w:val="000000"/>
                <w:sz w:val="20"/>
                <w:szCs w:val="20"/>
                <w:lang w:eastAsia="en-GB"/>
              </w:rPr>
              <w:t xml:space="preserve">са </w:t>
            </w:r>
            <w:r w:rsidR="003123AE" w:rsidRPr="000A2AFE">
              <w:rPr>
                <w:rFonts w:ascii="Calibri Light" w:eastAsia="Times New Roman" w:hAnsi="Calibri Light" w:cs="Calibri Light"/>
                <w:color w:val="000000"/>
                <w:sz w:val="20"/>
                <w:szCs w:val="20"/>
                <w:lang w:eastAsia="en-GB"/>
              </w:rPr>
              <w:t xml:space="preserve">целокупном </w:t>
            </w:r>
            <w:r w:rsidR="00320B4E" w:rsidRPr="000A2AFE">
              <w:rPr>
                <w:rFonts w:ascii="Calibri Light" w:eastAsia="Times New Roman" w:hAnsi="Calibri Light" w:cs="Calibri Light"/>
                <w:color w:val="000000"/>
                <w:sz w:val="20"/>
                <w:szCs w:val="20"/>
                <w:lang w:eastAsia="en-GB"/>
              </w:rPr>
              <w:t>енергијом из обновљивих извора и отпада</w:t>
            </w:r>
            <w:r w:rsidRPr="000A2AFE">
              <w:rPr>
                <w:rFonts w:ascii="Calibri Light" w:eastAsia="Times New Roman" w:hAnsi="Calibri Light" w:cs="Calibri Light"/>
                <w:color w:val="000000"/>
                <w:sz w:val="20"/>
                <w:szCs w:val="20"/>
                <w:lang w:eastAsia="en-GB"/>
              </w:rPr>
              <w:t>, као и шир</w:t>
            </w:r>
            <w:r w:rsidR="00320B4E" w:rsidRPr="000A2AFE">
              <w:rPr>
                <w:rFonts w:ascii="Calibri Light" w:eastAsia="Times New Roman" w:hAnsi="Calibri Light" w:cs="Calibri Light"/>
                <w:color w:val="000000"/>
                <w:sz w:val="20"/>
                <w:szCs w:val="20"/>
                <w:lang w:eastAsia="en-GB"/>
              </w:rPr>
              <w:t>ом</w:t>
            </w:r>
            <w:r w:rsidRPr="000A2AFE">
              <w:rPr>
                <w:rFonts w:ascii="Calibri Light" w:eastAsia="Times New Roman" w:hAnsi="Calibri Light" w:cs="Calibri Light"/>
                <w:color w:val="000000"/>
                <w:sz w:val="20"/>
                <w:szCs w:val="20"/>
                <w:lang w:eastAsia="en-GB"/>
              </w:rPr>
              <w:t xml:space="preserve"> мреж</w:t>
            </w:r>
            <w:r w:rsidR="00320B4E" w:rsidRPr="000A2AFE">
              <w:rPr>
                <w:rFonts w:ascii="Calibri Light" w:eastAsia="Times New Roman" w:hAnsi="Calibri Light" w:cs="Calibri Light"/>
                <w:color w:val="000000"/>
                <w:sz w:val="20"/>
                <w:szCs w:val="20"/>
                <w:lang w:eastAsia="en-GB"/>
              </w:rPr>
              <w:t>ом</w:t>
            </w:r>
            <w:r w:rsidRPr="000A2AFE">
              <w:rPr>
                <w:rFonts w:ascii="Calibri Light" w:eastAsia="Times New Roman" w:hAnsi="Calibri Light" w:cs="Calibri Light"/>
                <w:color w:val="000000"/>
                <w:sz w:val="20"/>
                <w:szCs w:val="20"/>
                <w:lang w:eastAsia="en-GB"/>
              </w:rPr>
              <w:t xml:space="preserve"> електричне енергије и гаса доприносећи оптимизацији понуде и потражње за св</w:t>
            </w:r>
            <w:r w:rsidR="00320B4E" w:rsidRPr="000A2AFE">
              <w:rPr>
                <w:rFonts w:ascii="Calibri Light" w:eastAsia="Times New Roman" w:hAnsi="Calibri Light" w:cs="Calibri Light"/>
                <w:color w:val="000000"/>
                <w:sz w:val="20"/>
                <w:szCs w:val="20"/>
                <w:lang w:eastAsia="en-GB"/>
              </w:rPr>
              <w:t>е</w:t>
            </w:r>
            <w:r w:rsidRPr="000A2AFE">
              <w:rPr>
                <w:rFonts w:ascii="Calibri Light" w:eastAsia="Times New Roman" w:hAnsi="Calibri Light" w:cs="Calibri Light"/>
                <w:color w:val="000000"/>
                <w:sz w:val="20"/>
                <w:szCs w:val="20"/>
                <w:lang w:eastAsia="en-GB"/>
              </w:rPr>
              <w:t xml:space="preserve"> енергент</w:t>
            </w:r>
            <w:r w:rsidR="00320B4E" w:rsidRPr="000A2AFE">
              <w:rPr>
                <w:rFonts w:ascii="Calibri Light" w:eastAsia="Times New Roman" w:hAnsi="Calibri Light" w:cs="Calibri Light"/>
                <w:color w:val="000000"/>
                <w:sz w:val="20"/>
                <w:szCs w:val="20"/>
                <w:lang w:eastAsia="en-GB"/>
              </w:rPr>
              <w:t>е</w:t>
            </w:r>
            <w:r w:rsidRPr="000A2AFE">
              <w:rPr>
                <w:rFonts w:ascii="Calibri Light" w:eastAsia="Times New Roman" w:hAnsi="Calibri Light" w:cs="Calibri Light"/>
                <w:color w:val="000000"/>
                <w:sz w:val="20"/>
                <w:szCs w:val="20"/>
                <w:lang w:eastAsia="en-GB"/>
              </w:rPr>
              <w:t>.</w:t>
            </w:r>
            <w:r w:rsidR="00320B4E" w:rsidRPr="000A2AFE">
              <w:rPr>
                <w:rFonts w:ascii="Calibri Light" w:eastAsia="Times New Roman" w:hAnsi="Calibri Light" w:cs="Calibri Light"/>
                <w:color w:val="000000"/>
                <w:sz w:val="20"/>
                <w:szCs w:val="20"/>
                <w:lang w:eastAsia="en-GB"/>
              </w:rPr>
              <w:t xml:space="preserve"> </w:t>
            </w:r>
            <w:r w:rsidR="003123AE" w:rsidRPr="000A2AFE">
              <w:rPr>
                <w:rFonts w:ascii="Calibri Light" w:eastAsia="Times New Roman" w:hAnsi="Calibri Light" w:cs="Calibri Light"/>
                <w:color w:val="000000"/>
                <w:sz w:val="20"/>
                <w:szCs w:val="20"/>
                <w:lang w:eastAsia="en-GB"/>
              </w:rPr>
              <w:t>Коришћење централизованих топлотних пумпи као пилот пројекат ће бити такође разматрано, под условом да њихови трошкови инвестиција буду смањени.</w:t>
            </w:r>
          </w:p>
        </w:tc>
      </w:tr>
      <w:tr w:rsidR="00854ADA" w:rsidRPr="00FF386D" w14:paraId="5B837689" w14:textId="77777777" w:rsidTr="0057310C">
        <w:trPr>
          <w:trHeight w:val="315"/>
        </w:trPr>
        <w:tc>
          <w:tcPr>
            <w:tcW w:w="3279" w:type="dxa"/>
            <w:tcBorders>
              <w:top w:val="nil"/>
              <w:left w:val="single" w:sz="8" w:space="0" w:color="auto"/>
              <w:bottom w:val="single" w:sz="8" w:space="0" w:color="auto"/>
              <w:right w:val="single" w:sz="8" w:space="0" w:color="auto"/>
            </w:tcBorders>
            <w:shd w:val="clear" w:color="000000" w:fill="244062"/>
            <w:vAlign w:val="center"/>
            <w:hideMark/>
          </w:tcPr>
          <w:p w14:paraId="68E7518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79" w:type="dxa"/>
            <w:gridSpan w:val="3"/>
            <w:tcBorders>
              <w:top w:val="single" w:sz="8" w:space="0" w:color="auto"/>
              <w:left w:val="nil"/>
              <w:bottom w:val="single" w:sz="8" w:space="0" w:color="auto"/>
              <w:right w:val="single" w:sz="8" w:space="0" w:color="000000"/>
            </w:tcBorders>
            <w:shd w:val="clear" w:color="auto" w:fill="auto"/>
            <w:vAlign w:val="center"/>
            <w:hideMark/>
          </w:tcPr>
          <w:p w14:paraId="0D2EE7E8" w14:textId="4D376AF8"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6D26AB"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-2030.</w:t>
            </w:r>
          </w:p>
        </w:tc>
      </w:tr>
      <w:tr w:rsidR="00854ADA" w:rsidRPr="00FF386D" w14:paraId="297E6EEC" w14:textId="77777777" w:rsidTr="0057310C">
        <w:trPr>
          <w:trHeight w:val="315"/>
        </w:trPr>
        <w:tc>
          <w:tcPr>
            <w:tcW w:w="3279" w:type="dxa"/>
            <w:tcBorders>
              <w:top w:val="nil"/>
              <w:left w:val="single" w:sz="8" w:space="0" w:color="auto"/>
              <w:bottom w:val="single" w:sz="8" w:space="0" w:color="auto"/>
              <w:right w:val="single" w:sz="8" w:space="0" w:color="auto"/>
            </w:tcBorders>
            <w:shd w:val="clear" w:color="000000" w:fill="244062"/>
            <w:vAlign w:val="center"/>
            <w:hideMark/>
          </w:tcPr>
          <w:p w14:paraId="5D675C0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79" w:type="dxa"/>
            <w:gridSpan w:val="3"/>
            <w:tcBorders>
              <w:top w:val="single" w:sz="8" w:space="0" w:color="auto"/>
              <w:left w:val="nil"/>
              <w:bottom w:val="single" w:sz="8" w:space="0" w:color="auto"/>
              <w:right w:val="single" w:sz="8" w:space="0" w:color="000000"/>
            </w:tcBorders>
            <w:shd w:val="clear" w:color="auto" w:fill="auto"/>
            <w:vAlign w:val="center"/>
            <w:hideMark/>
          </w:tcPr>
          <w:p w14:paraId="61418454"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Инвестиције</w:t>
            </w:r>
          </w:p>
        </w:tc>
      </w:tr>
      <w:tr w:rsidR="00854ADA" w:rsidRPr="00FF386D" w14:paraId="3015761E" w14:textId="77777777" w:rsidTr="0057310C">
        <w:trPr>
          <w:trHeight w:val="315"/>
        </w:trPr>
        <w:tc>
          <w:tcPr>
            <w:tcW w:w="3279" w:type="dxa"/>
            <w:tcBorders>
              <w:top w:val="nil"/>
              <w:left w:val="single" w:sz="8" w:space="0" w:color="auto"/>
              <w:bottom w:val="single" w:sz="8" w:space="0" w:color="auto"/>
              <w:right w:val="single" w:sz="8" w:space="0" w:color="auto"/>
            </w:tcBorders>
            <w:shd w:val="clear" w:color="000000" w:fill="244062"/>
            <w:vAlign w:val="center"/>
            <w:hideMark/>
          </w:tcPr>
          <w:p w14:paraId="7272167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Покривени/ обухваћени сектори</w:t>
            </w:r>
          </w:p>
        </w:tc>
        <w:tc>
          <w:tcPr>
            <w:tcW w:w="6179" w:type="dxa"/>
            <w:gridSpan w:val="3"/>
            <w:tcBorders>
              <w:top w:val="single" w:sz="8" w:space="0" w:color="auto"/>
              <w:left w:val="nil"/>
              <w:bottom w:val="single" w:sz="8" w:space="0" w:color="auto"/>
              <w:right w:val="single" w:sz="8" w:space="0" w:color="000000"/>
            </w:tcBorders>
            <w:shd w:val="clear" w:color="auto" w:fill="auto"/>
            <w:vAlign w:val="center"/>
            <w:hideMark/>
          </w:tcPr>
          <w:p w14:paraId="1DD5D9E9"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Грејање и хлађење</w:t>
            </w:r>
          </w:p>
        </w:tc>
      </w:tr>
      <w:tr w:rsidR="00854ADA" w:rsidRPr="00FF386D" w14:paraId="63023B50" w14:textId="77777777" w:rsidTr="0057310C">
        <w:trPr>
          <w:trHeight w:val="315"/>
        </w:trPr>
        <w:tc>
          <w:tcPr>
            <w:tcW w:w="3279" w:type="dxa"/>
            <w:tcBorders>
              <w:top w:val="nil"/>
              <w:left w:val="single" w:sz="8" w:space="0" w:color="auto"/>
              <w:bottom w:val="single" w:sz="8" w:space="0" w:color="auto"/>
              <w:right w:val="single" w:sz="8" w:space="0" w:color="auto"/>
            </w:tcBorders>
            <w:shd w:val="clear" w:color="000000" w:fill="244062"/>
            <w:vAlign w:val="center"/>
            <w:hideMark/>
          </w:tcPr>
          <w:p w14:paraId="426138C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79" w:type="dxa"/>
            <w:gridSpan w:val="3"/>
            <w:tcBorders>
              <w:top w:val="single" w:sz="8" w:space="0" w:color="auto"/>
              <w:left w:val="nil"/>
              <w:bottom w:val="single" w:sz="8" w:space="0" w:color="auto"/>
              <w:right w:val="single" w:sz="8" w:space="0" w:color="000000"/>
            </w:tcBorders>
            <w:shd w:val="clear" w:color="auto" w:fill="auto"/>
            <w:vAlign w:val="center"/>
            <w:hideMark/>
          </w:tcPr>
          <w:p w14:paraId="068C8AC7" w14:textId="1AD7470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Министарс</w:t>
            </w:r>
            <w:r w:rsidR="003123AE">
              <w:rPr>
                <w:rFonts w:ascii="Calibri Light" w:eastAsia="Times New Roman" w:hAnsi="Calibri Light" w:cs="Calibri Light"/>
                <w:color w:val="000000"/>
                <w:sz w:val="20"/>
                <w:szCs w:val="20"/>
                <w:lang w:eastAsia="en-GB"/>
              </w:rPr>
              <w:t>т</w:t>
            </w:r>
            <w:r w:rsidRPr="000A2AFE">
              <w:rPr>
                <w:rFonts w:ascii="Calibri Light" w:eastAsia="Times New Roman" w:hAnsi="Calibri Light" w:cs="Calibri Light"/>
                <w:color w:val="000000"/>
                <w:sz w:val="20"/>
                <w:szCs w:val="20"/>
                <w:lang w:eastAsia="en-GB"/>
              </w:rPr>
              <w:t>во рударства и енергетике</w:t>
            </w:r>
          </w:p>
          <w:p w14:paraId="26CB5ED8" w14:textId="3D731BC5" w:rsidR="006D26AB" w:rsidRPr="00FF386D" w:rsidRDefault="006D26AB"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Јединице локалне самоуправе</w:t>
            </w:r>
          </w:p>
        </w:tc>
      </w:tr>
      <w:tr w:rsidR="00854ADA" w:rsidRPr="00FF386D" w14:paraId="09CD7C74" w14:textId="77777777" w:rsidTr="0057310C">
        <w:trPr>
          <w:trHeight w:val="315"/>
        </w:trPr>
        <w:tc>
          <w:tcPr>
            <w:tcW w:w="3279" w:type="dxa"/>
            <w:tcBorders>
              <w:top w:val="nil"/>
              <w:left w:val="single" w:sz="8" w:space="0" w:color="auto"/>
              <w:bottom w:val="single" w:sz="8" w:space="0" w:color="auto"/>
              <w:right w:val="nil"/>
            </w:tcBorders>
            <w:shd w:val="clear" w:color="000000" w:fill="244062"/>
            <w:vAlign w:val="center"/>
            <w:hideMark/>
          </w:tcPr>
          <w:p w14:paraId="67AA6AC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79" w:type="dxa"/>
            <w:gridSpan w:val="3"/>
            <w:tcBorders>
              <w:top w:val="single" w:sz="8" w:space="0" w:color="auto"/>
              <w:left w:val="nil"/>
              <w:bottom w:val="single" w:sz="8" w:space="0" w:color="auto"/>
              <w:right w:val="single" w:sz="8" w:space="0" w:color="000000"/>
            </w:tcBorders>
            <w:shd w:val="clear" w:color="auto" w:fill="auto"/>
            <w:vAlign w:val="center"/>
            <w:hideMark/>
          </w:tcPr>
          <w:p w14:paraId="0FCEC0F7" w14:textId="158C4CEE" w:rsidR="00854ADA" w:rsidRPr="000A2AFE" w:rsidRDefault="001D7C50" w:rsidP="000A2AFE">
            <w:pPr>
              <w:pStyle w:val="ListParagraph"/>
              <w:numPr>
                <w:ilvl w:val="0"/>
                <w:numId w:val="331"/>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2FDEE5D5" w14:textId="77777777" w:rsidTr="0057310C">
        <w:trPr>
          <w:trHeight w:val="315"/>
        </w:trPr>
        <w:tc>
          <w:tcPr>
            <w:tcW w:w="3279" w:type="dxa"/>
            <w:tcBorders>
              <w:top w:val="nil"/>
              <w:left w:val="single" w:sz="8" w:space="0" w:color="auto"/>
              <w:bottom w:val="single" w:sz="8" w:space="0" w:color="auto"/>
              <w:right w:val="nil"/>
            </w:tcBorders>
            <w:shd w:val="clear" w:color="000000" w:fill="244062"/>
            <w:vAlign w:val="center"/>
            <w:hideMark/>
          </w:tcPr>
          <w:p w14:paraId="2B2C34E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79" w:type="dxa"/>
            <w:gridSpan w:val="3"/>
            <w:tcBorders>
              <w:top w:val="single" w:sz="8" w:space="0" w:color="auto"/>
              <w:left w:val="nil"/>
              <w:bottom w:val="single" w:sz="8" w:space="0" w:color="auto"/>
              <w:right w:val="single" w:sz="8" w:space="0" w:color="000000"/>
            </w:tcBorders>
            <w:shd w:val="clear" w:color="auto" w:fill="auto"/>
            <w:vAlign w:val="center"/>
            <w:hideMark/>
          </w:tcPr>
          <w:p w14:paraId="59F53AD5" w14:textId="77777777" w:rsidR="00854ADA" w:rsidRPr="000A2AFE" w:rsidRDefault="00854ADA" w:rsidP="000A2AFE">
            <w:pPr>
              <w:pStyle w:val="ListParagraph"/>
              <w:numPr>
                <w:ilvl w:val="0"/>
                <w:numId w:val="331"/>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Грејање и хлађење из ОИЕ</w:t>
            </w:r>
          </w:p>
        </w:tc>
      </w:tr>
      <w:tr w:rsidR="00854ADA" w:rsidRPr="00FF386D" w14:paraId="63F4473B" w14:textId="77777777" w:rsidTr="0057310C">
        <w:trPr>
          <w:trHeight w:val="287"/>
        </w:trPr>
        <w:tc>
          <w:tcPr>
            <w:tcW w:w="3279" w:type="dxa"/>
            <w:tcBorders>
              <w:top w:val="nil"/>
              <w:left w:val="single" w:sz="8" w:space="0" w:color="auto"/>
              <w:bottom w:val="single" w:sz="8" w:space="0" w:color="auto"/>
              <w:right w:val="single" w:sz="8" w:space="0" w:color="auto"/>
            </w:tcBorders>
            <w:shd w:val="clear" w:color="000000" w:fill="244062"/>
            <w:vAlign w:val="center"/>
            <w:hideMark/>
          </w:tcPr>
          <w:p w14:paraId="1523D7C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79" w:type="dxa"/>
            <w:gridSpan w:val="3"/>
            <w:tcBorders>
              <w:top w:val="single" w:sz="8" w:space="0" w:color="auto"/>
              <w:left w:val="nil"/>
              <w:bottom w:val="single" w:sz="8" w:space="0" w:color="auto"/>
              <w:right w:val="single" w:sz="8" w:space="0" w:color="000000"/>
            </w:tcBorders>
            <w:shd w:val="clear" w:color="auto" w:fill="auto"/>
            <w:vAlign w:val="center"/>
            <w:hideMark/>
          </w:tcPr>
          <w:p w14:paraId="2C479B04" w14:textId="0CF50BB3" w:rsidR="0024624B" w:rsidRPr="00903D02" w:rsidRDefault="0024624B" w:rsidP="0024624B">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903D02">
              <w:rPr>
                <w:rFonts w:ascii="Calibri Light" w:eastAsia="Times New Roman" w:hAnsi="Calibri Light" w:cs="Calibri Light"/>
                <w:color w:val="000000"/>
                <w:sz w:val="20"/>
                <w:szCs w:val="20"/>
                <w:lang w:eastAsia="en-GB"/>
              </w:rPr>
              <w:t>Енергетска ефикасност (промовисане технологије ОИЕ ће довести и до уштеде</w:t>
            </w:r>
            <w:r>
              <w:rPr>
                <w:rFonts w:ascii="Calibri Light" w:eastAsia="Times New Roman" w:hAnsi="Calibri Light" w:cs="Calibri Light"/>
                <w:color w:val="000000"/>
                <w:sz w:val="20"/>
                <w:szCs w:val="20"/>
                <w:lang w:eastAsia="en-GB"/>
              </w:rPr>
              <w:t xml:space="preserve"> </w:t>
            </w:r>
            <w:r w:rsidRPr="00903D02">
              <w:rPr>
                <w:rFonts w:ascii="Calibri Light" w:eastAsia="Times New Roman" w:hAnsi="Calibri Light" w:cs="Calibri Light"/>
                <w:color w:val="000000"/>
                <w:sz w:val="20"/>
                <w:szCs w:val="20"/>
                <w:lang w:eastAsia="en-GB"/>
              </w:rPr>
              <w:t>примарне енергије доприносећи постизању релевантних циљева)</w:t>
            </w:r>
          </w:p>
          <w:p w14:paraId="1B1A8886" w14:textId="5212A871" w:rsidR="00854ADA" w:rsidRPr="00FF386D" w:rsidRDefault="0024624B" w:rsidP="0024624B">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903D02">
              <w:rPr>
                <w:rFonts w:ascii="Calibri Light" w:eastAsia="Times New Roman" w:hAnsi="Calibri Light" w:cs="Calibri Light"/>
                <w:color w:val="000000"/>
                <w:sz w:val="20"/>
                <w:szCs w:val="20"/>
                <w:lang w:eastAsia="en-GB"/>
              </w:rPr>
              <w:t>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854ADA" w:rsidRPr="00FF386D" w14:paraId="1859EAD6" w14:textId="77777777" w:rsidTr="0057310C">
        <w:trPr>
          <w:trHeight w:val="450"/>
        </w:trPr>
        <w:tc>
          <w:tcPr>
            <w:tcW w:w="3279"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2D5D985F" w14:textId="3389F412"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79"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7AAB4A9A"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2018/2001/ЕУ</w:t>
            </w:r>
          </w:p>
        </w:tc>
      </w:tr>
      <w:tr w:rsidR="00854ADA" w:rsidRPr="00FF386D" w14:paraId="4F8B6BB9" w14:textId="77777777" w:rsidTr="0057310C">
        <w:trPr>
          <w:trHeight w:val="450"/>
        </w:trPr>
        <w:tc>
          <w:tcPr>
            <w:tcW w:w="3279" w:type="dxa"/>
            <w:vMerge/>
            <w:tcBorders>
              <w:top w:val="nil"/>
              <w:left w:val="single" w:sz="8" w:space="0" w:color="auto"/>
              <w:bottom w:val="single" w:sz="8" w:space="0" w:color="000000"/>
              <w:right w:val="single" w:sz="8" w:space="0" w:color="auto"/>
            </w:tcBorders>
            <w:vAlign w:val="center"/>
            <w:hideMark/>
          </w:tcPr>
          <w:p w14:paraId="4C92D50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79" w:type="dxa"/>
            <w:gridSpan w:val="3"/>
            <w:vMerge/>
            <w:tcBorders>
              <w:top w:val="single" w:sz="8" w:space="0" w:color="auto"/>
              <w:left w:val="single" w:sz="8" w:space="0" w:color="auto"/>
              <w:bottom w:val="single" w:sz="8" w:space="0" w:color="000000"/>
              <w:right w:val="single" w:sz="8" w:space="0" w:color="000000"/>
            </w:tcBorders>
            <w:vAlign w:val="center"/>
            <w:hideMark/>
          </w:tcPr>
          <w:p w14:paraId="38026938"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351B9AA2" w14:textId="77777777" w:rsidTr="0057310C">
        <w:trPr>
          <w:trHeight w:val="450"/>
        </w:trPr>
        <w:tc>
          <w:tcPr>
            <w:tcW w:w="3279" w:type="dxa"/>
            <w:vMerge/>
            <w:tcBorders>
              <w:top w:val="nil"/>
              <w:left w:val="single" w:sz="8" w:space="0" w:color="auto"/>
              <w:bottom w:val="single" w:sz="8" w:space="0" w:color="000000"/>
              <w:right w:val="single" w:sz="8" w:space="0" w:color="auto"/>
            </w:tcBorders>
            <w:vAlign w:val="center"/>
            <w:hideMark/>
          </w:tcPr>
          <w:p w14:paraId="32B0850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79" w:type="dxa"/>
            <w:gridSpan w:val="3"/>
            <w:vMerge/>
            <w:tcBorders>
              <w:top w:val="single" w:sz="8" w:space="0" w:color="auto"/>
              <w:left w:val="single" w:sz="8" w:space="0" w:color="auto"/>
              <w:bottom w:val="single" w:sz="8" w:space="0" w:color="000000"/>
              <w:right w:val="single" w:sz="8" w:space="0" w:color="000000"/>
            </w:tcBorders>
            <w:vAlign w:val="center"/>
            <w:hideMark/>
          </w:tcPr>
          <w:p w14:paraId="38EB4750"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7BAE7971" w14:textId="77777777" w:rsidTr="0057310C">
        <w:trPr>
          <w:trHeight w:val="271"/>
        </w:trPr>
        <w:tc>
          <w:tcPr>
            <w:tcW w:w="3279" w:type="dxa"/>
            <w:tcBorders>
              <w:top w:val="nil"/>
              <w:left w:val="single" w:sz="8" w:space="0" w:color="auto"/>
              <w:bottom w:val="single" w:sz="8" w:space="0" w:color="auto"/>
              <w:right w:val="single" w:sz="8" w:space="0" w:color="auto"/>
            </w:tcBorders>
            <w:shd w:val="clear" w:color="000000" w:fill="244062"/>
            <w:vAlign w:val="center"/>
            <w:hideMark/>
          </w:tcPr>
          <w:p w14:paraId="7F08192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79" w:type="dxa"/>
            <w:gridSpan w:val="3"/>
            <w:tcBorders>
              <w:top w:val="single" w:sz="8" w:space="0" w:color="auto"/>
              <w:left w:val="nil"/>
              <w:bottom w:val="single" w:sz="8" w:space="0" w:color="auto"/>
              <w:right w:val="single" w:sz="8" w:space="0" w:color="000000"/>
            </w:tcBorders>
            <w:shd w:val="clear" w:color="auto" w:fill="auto"/>
            <w:vAlign w:val="center"/>
            <w:hideMark/>
          </w:tcPr>
          <w:p w14:paraId="74B916D9" w14:textId="77777777" w:rsidR="00854ADA" w:rsidRPr="00FF386D" w:rsidRDefault="00854ADA" w:rsidP="00854ADA">
            <w:pPr>
              <w:numPr>
                <w:ilvl w:val="0"/>
                <w:numId w:val="114"/>
              </w:numPr>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коришћењу обновљивих извора енергије</w:t>
            </w:r>
          </w:p>
        </w:tc>
      </w:tr>
      <w:tr w:rsidR="00854ADA" w:rsidRPr="00FF386D" w14:paraId="4B8102A8" w14:textId="77777777" w:rsidTr="0057310C">
        <w:trPr>
          <w:trHeight w:val="315"/>
        </w:trPr>
        <w:tc>
          <w:tcPr>
            <w:tcW w:w="3279" w:type="dxa"/>
            <w:tcBorders>
              <w:top w:val="nil"/>
              <w:left w:val="single" w:sz="8" w:space="0" w:color="auto"/>
              <w:bottom w:val="single" w:sz="8" w:space="0" w:color="auto"/>
              <w:right w:val="single" w:sz="8" w:space="0" w:color="auto"/>
            </w:tcBorders>
            <w:shd w:val="clear" w:color="000000" w:fill="244062"/>
            <w:vAlign w:val="center"/>
            <w:hideMark/>
          </w:tcPr>
          <w:p w14:paraId="6F75D29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79" w:type="dxa"/>
            <w:gridSpan w:val="3"/>
            <w:tcBorders>
              <w:top w:val="single" w:sz="8" w:space="0" w:color="auto"/>
              <w:left w:val="nil"/>
              <w:bottom w:val="single" w:sz="8" w:space="0" w:color="auto"/>
              <w:right w:val="single" w:sz="8" w:space="0" w:color="000000"/>
            </w:tcBorders>
            <w:shd w:val="clear" w:color="auto" w:fill="auto"/>
            <w:vAlign w:val="center"/>
            <w:hideMark/>
          </w:tcPr>
          <w:p w14:paraId="5AC00DC3" w14:textId="77777777" w:rsidR="00854ADA" w:rsidRDefault="006D26AB"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8</w:t>
            </w:r>
            <w:r w:rsidR="00854ADA" w:rsidRPr="00FF386D">
              <w:rPr>
                <w:rFonts w:ascii="Calibri Light" w:eastAsia="Times New Roman" w:hAnsi="Calibri Light" w:cs="Calibri Light"/>
                <w:color w:val="000000"/>
                <w:sz w:val="20"/>
                <w:szCs w:val="20"/>
                <w:lang w:eastAsia="en-GB"/>
              </w:rPr>
              <w:t xml:space="preserve"> милиона евра</w:t>
            </w:r>
            <w:r w:rsidR="006E6B66">
              <w:rPr>
                <w:rFonts w:ascii="Calibri Light" w:eastAsia="Times New Roman" w:hAnsi="Calibri Light" w:cs="Calibri Light"/>
                <w:color w:val="000000"/>
                <w:sz w:val="20"/>
                <w:szCs w:val="20"/>
                <w:lang w:eastAsia="en-GB"/>
              </w:rPr>
              <w:t xml:space="preserve"> за биомасу</w:t>
            </w:r>
          </w:p>
          <w:p w14:paraId="161C01E2" w14:textId="4BB7065B" w:rsidR="006E6B66" w:rsidRPr="00FF386D" w:rsidRDefault="006E6B66" w:rsidP="00854ADA">
            <w:p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44 милиона за соларну енергију</w:t>
            </w:r>
          </w:p>
        </w:tc>
      </w:tr>
      <w:tr w:rsidR="00854ADA" w:rsidRPr="00FF386D" w14:paraId="11F57AD6" w14:textId="77777777" w:rsidTr="0057310C">
        <w:trPr>
          <w:trHeight w:val="315"/>
        </w:trPr>
        <w:tc>
          <w:tcPr>
            <w:tcW w:w="3279" w:type="dxa"/>
            <w:tcBorders>
              <w:top w:val="nil"/>
              <w:left w:val="single" w:sz="8" w:space="0" w:color="auto"/>
              <w:bottom w:val="single" w:sz="8" w:space="0" w:color="auto"/>
              <w:right w:val="single" w:sz="8" w:space="0" w:color="auto"/>
            </w:tcBorders>
            <w:shd w:val="clear" w:color="000000" w:fill="244062"/>
            <w:vAlign w:val="center"/>
            <w:hideMark/>
          </w:tcPr>
          <w:p w14:paraId="2F4FD2C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79" w:type="dxa"/>
            <w:gridSpan w:val="3"/>
            <w:tcBorders>
              <w:top w:val="single" w:sz="8" w:space="0" w:color="auto"/>
              <w:left w:val="nil"/>
              <w:bottom w:val="single" w:sz="8" w:space="0" w:color="auto"/>
              <w:right w:val="single" w:sz="8" w:space="0" w:color="000000"/>
            </w:tcBorders>
            <w:shd w:val="clear" w:color="auto" w:fill="auto"/>
            <w:vAlign w:val="center"/>
            <w:hideMark/>
          </w:tcPr>
          <w:p w14:paraId="2455FDC7" w14:textId="3E7C8271"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6D26AB" w:rsidRPr="00FF386D">
              <w:rPr>
                <w:rFonts w:asciiTheme="majorHAnsi" w:eastAsia="Times New Roman" w:hAnsiTheme="majorHAnsi" w:cstheme="majorHAnsi"/>
                <w:color w:val="000000"/>
                <w:sz w:val="20"/>
                <w:szCs w:val="20"/>
                <w:lang w:eastAsia="en-GB"/>
              </w:rPr>
              <w:t>ска</w:t>
            </w:r>
            <w:r w:rsidRPr="00FF386D">
              <w:rPr>
                <w:rFonts w:asciiTheme="majorHAnsi" w:eastAsia="Times New Roman" w:hAnsiTheme="majorHAnsi" w:cstheme="majorHAnsi"/>
                <w:color w:val="000000"/>
                <w:sz w:val="20"/>
                <w:szCs w:val="20"/>
                <w:lang w:eastAsia="en-GB"/>
              </w:rPr>
              <w:t xml:space="preserve"> и сопствена средства</w:t>
            </w:r>
          </w:p>
        </w:tc>
      </w:tr>
    </w:tbl>
    <w:p w14:paraId="1176186C" w14:textId="77777777" w:rsidR="00854ADA" w:rsidRPr="00FF386D" w:rsidRDefault="00854ADA" w:rsidP="00854ADA">
      <w:pPr>
        <w:spacing w:before="240" w:after="240" w:line="260" w:lineRule="exact"/>
        <w:jc w:val="both"/>
        <w:rPr>
          <w:rFonts w:cstheme="minorHAnsi"/>
          <w:b/>
          <w:bCs/>
          <w:color w:val="000000"/>
        </w:rPr>
      </w:pPr>
    </w:p>
    <w:p w14:paraId="7A938EF1" w14:textId="77777777" w:rsidR="00854ADA" w:rsidRPr="00FF386D" w:rsidRDefault="00854ADA">
      <w:pPr>
        <w:pStyle w:val="ListParagraph"/>
        <w:keepNext/>
        <w:keepLines/>
        <w:numPr>
          <w:ilvl w:val="0"/>
          <w:numId w:val="287"/>
        </w:numPr>
        <w:spacing w:before="200" w:after="0" w:line="240" w:lineRule="auto"/>
        <w:outlineLvl w:val="3"/>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t>Посебне мере за промовисање коришћења енергије из биомасе, посебно за мобилизацију нове биомасе</w:t>
      </w:r>
    </w:p>
    <w:p w14:paraId="09DFBE19" w14:textId="69A19208"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Биће осмишљени и спроведени специјализовани програми подршке усмерени на развој ефикасних ланаца снабдевања остацима биомасе и биоразградивим материјалом, што </w:t>
      </w:r>
      <w:r w:rsidR="00320B4E" w:rsidRPr="00FF386D">
        <w:rPr>
          <w:rFonts w:asciiTheme="majorHAnsi" w:hAnsiTheme="majorHAnsi" w:cstheme="majorHAnsi"/>
          <w:color w:val="000000"/>
        </w:rPr>
        <w:t>је</w:t>
      </w:r>
      <w:r w:rsidRPr="00FF386D">
        <w:rPr>
          <w:rFonts w:asciiTheme="majorHAnsi" w:hAnsiTheme="majorHAnsi" w:cstheme="majorHAnsi"/>
          <w:color w:val="000000"/>
        </w:rPr>
        <w:t xml:space="preserve"> неопходно за остваривање наведених циљева. Размотриће се додатне мере како би се повећал</w:t>
      </w:r>
      <w:r w:rsidR="00320B4E" w:rsidRPr="00FF386D">
        <w:rPr>
          <w:rFonts w:asciiTheme="majorHAnsi" w:hAnsiTheme="majorHAnsi" w:cstheme="majorHAnsi"/>
          <w:color w:val="000000"/>
        </w:rPr>
        <w:t>а</w:t>
      </w:r>
      <w:r w:rsidRPr="00FF386D">
        <w:rPr>
          <w:rFonts w:asciiTheme="majorHAnsi" w:hAnsiTheme="majorHAnsi" w:cstheme="majorHAnsi"/>
          <w:color w:val="000000"/>
        </w:rPr>
        <w:t xml:space="preserve"> количин</w:t>
      </w:r>
      <w:r w:rsidR="00320B4E" w:rsidRPr="00FF386D">
        <w:rPr>
          <w:rFonts w:asciiTheme="majorHAnsi" w:hAnsiTheme="majorHAnsi" w:cstheme="majorHAnsi"/>
          <w:color w:val="000000"/>
        </w:rPr>
        <w:t>а</w:t>
      </w:r>
      <w:r w:rsidRPr="00FF386D">
        <w:rPr>
          <w:rFonts w:asciiTheme="majorHAnsi" w:hAnsiTheme="majorHAnsi" w:cstheme="majorHAnsi"/>
          <w:color w:val="000000"/>
        </w:rPr>
        <w:t xml:space="preserve"> биомасе која ће </w:t>
      </w:r>
      <w:r w:rsidR="00320B4E" w:rsidRPr="00FF386D">
        <w:rPr>
          <w:rFonts w:asciiTheme="majorHAnsi" w:hAnsiTheme="majorHAnsi" w:cstheme="majorHAnsi"/>
          <w:color w:val="000000"/>
        </w:rPr>
        <w:t>бити искоришћена</w:t>
      </w:r>
      <w:r w:rsidRPr="00FF386D">
        <w:rPr>
          <w:rFonts w:asciiTheme="majorHAnsi" w:hAnsiTheme="majorHAnsi" w:cstheme="majorHAnsi"/>
          <w:color w:val="000000"/>
        </w:rPr>
        <w:t xml:space="preserve"> за производњу енергије, као што је потенцијално увођење на</w:t>
      </w:r>
      <w:r w:rsidR="002856E4" w:rsidRPr="00FF386D">
        <w:rPr>
          <w:rFonts w:asciiTheme="majorHAnsi" w:hAnsiTheme="majorHAnsi" w:cstheme="majorHAnsi"/>
          <w:color w:val="000000"/>
        </w:rPr>
        <w:t>кнада</w:t>
      </w:r>
      <w:r w:rsidRPr="00FF386D">
        <w:rPr>
          <w:rFonts w:asciiTheme="majorHAnsi" w:hAnsiTheme="majorHAnsi" w:cstheme="majorHAnsi"/>
          <w:color w:val="000000"/>
        </w:rPr>
        <w:t xml:space="preserve"> за третман отпада (gate fee).</w:t>
      </w:r>
    </w:p>
    <w:p w14:paraId="678C7303" w14:textId="0E115317"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На крају, биће успостављен </w:t>
      </w:r>
      <w:r w:rsidR="00320B4E" w:rsidRPr="00FF386D">
        <w:rPr>
          <w:rFonts w:asciiTheme="majorHAnsi" w:hAnsiTheme="majorHAnsi" w:cstheme="majorHAnsi"/>
          <w:color w:val="000000"/>
        </w:rPr>
        <w:t>свеобухватан</w:t>
      </w:r>
      <w:r w:rsidRPr="00FF386D">
        <w:rPr>
          <w:rFonts w:asciiTheme="majorHAnsi" w:hAnsiTheme="majorHAnsi" w:cstheme="majorHAnsi"/>
          <w:color w:val="000000"/>
        </w:rPr>
        <w:t xml:space="preserve"> оквир за испуњавање критеријума одрживости и уштеде емисија гасова са ефектом стаклене баште за различите врсте биомасе, у складу са одредбама Директиве 2018/2001/ЕУ, укључујући успостављање и рад механизма за праћење, контролу и верификацију, којим се обезбеђује и оправдава испуњење дефинисаних критеријума.</w:t>
      </w:r>
    </w:p>
    <w:p w14:paraId="12252132" w14:textId="77777777" w:rsidR="00854ADA" w:rsidRPr="00FF386D" w:rsidRDefault="00854ADA" w:rsidP="00854ADA">
      <w:pPr>
        <w:spacing w:before="160"/>
        <w:jc w:val="both"/>
        <w:rPr>
          <w:rFonts w:asciiTheme="majorHAnsi" w:hAnsiTheme="majorHAnsi" w:cstheme="majorHAnsi"/>
        </w:rPr>
      </w:pPr>
    </w:p>
    <w:tbl>
      <w:tblPr>
        <w:tblW w:w="9458" w:type="dxa"/>
        <w:tblLook w:val="04A0" w:firstRow="1" w:lastRow="0" w:firstColumn="1" w:lastColumn="0" w:noHBand="0" w:noVBand="1"/>
      </w:tblPr>
      <w:tblGrid>
        <w:gridCol w:w="3328"/>
        <w:gridCol w:w="945"/>
        <w:gridCol w:w="946"/>
        <w:gridCol w:w="4239"/>
      </w:tblGrid>
      <w:tr w:rsidR="00854ADA" w:rsidRPr="00FF386D" w14:paraId="6CCA72C7" w14:textId="77777777" w:rsidTr="0057310C">
        <w:trPr>
          <w:trHeight w:val="780"/>
        </w:trPr>
        <w:tc>
          <w:tcPr>
            <w:tcW w:w="3328"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35772C3E"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45" w:type="dxa"/>
            <w:tcBorders>
              <w:top w:val="single" w:sz="8" w:space="0" w:color="auto"/>
              <w:left w:val="nil"/>
              <w:bottom w:val="single" w:sz="8" w:space="0" w:color="auto"/>
              <w:right w:val="single" w:sz="8" w:space="0" w:color="auto"/>
            </w:tcBorders>
            <w:shd w:val="clear" w:color="auto" w:fill="E7E6E6" w:themeFill="background2"/>
            <w:vAlign w:val="center"/>
            <w:hideMark/>
          </w:tcPr>
          <w:p w14:paraId="37E91F64" w14:textId="4FCCA4F1"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w:t>
            </w:r>
            <w:r w:rsidR="003123AE" w:rsidRPr="000A2AFE">
              <w:rPr>
                <w:rFonts w:ascii="Calibri Light" w:eastAsia="Times New Roman" w:hAnsi="Calibri Light" w:cs="Calibri Light"/>
                <w:b/>
                <w:bCs/>
                <w:color w:val="000000"/>
                <w:sz w:val="20"/>
                <w:szCs w:val="20"/>
                <w:lang w:eastAsia="en-GB"/>
              </w:rPr>
              <w:t>Д4</w:t>
            </w:r>
            <w:r w:rsidR="003123AE">
              <w:rPr>
                <w:rFonts w:ascii="Calibri Light" w:eastAsia="Times New Roman" w:hAnsi="Calibri Light" w:cs="Calibri Light"/>
                <w:b/>
                <w:bCs/>
                <w:color w:val="000000"/>
                <w:sz w:val="20"/>
                <w:szCs w:val="20"/>
                <w:lang w:eastAsia="en-GB"/>
              </w:rPr>
              <w:t>0</w:t>
            </w:r>
          </w:p>
        </w:tc>
        <w:tc>
          <w:tcPr>
            <w:tcW w:w="946" w:type="dxa"/>
            <w:tcBorders>
              <w:top w:val="single" w:sz="8" w:space="0" w:color="auto"/>
              <w:left w:val="nil"/>
              <w:bottom w:val="single" w:sz="8" w:space="0" w:color="auto"/>
              <w:right w:val="single" w:sz="8" w:space="0" w:color="auto"/>
            </w:tcBorders>
            <w:shd w:val="clear" w:color="000000" w:fill="244062"/>
            <w:vAlign w:val="center"/>
            <w:hideMark/>
          </w:tcPr>
          <w:p w14:paraId="0566032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39" w:type="dxa"/>
            <w:tcBorders>
              <w:top w:val="single" w:sz="8" w:space="0" w:color="auto"/>
              <w:left w:val="nil"/>
              <w:bottom w:val="single" w:sz="8" w:space="0" w:color="auto"/>
              <w:right w:val="single" w:sz="8" w:space="0" w:color="auto"/>
            </w:tcBorders>
            <w:shd w:val="clear" w:color="auto" w:fill="E7E6E6" w:themeFill="background2"/>
            <w:vAlign w:val="center"/>
            <w:hideMark/>
          </w:tcPr>
          <w:p w14:paraId="35933E51" w14:textId="75FD27E2"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 xml:space="preserve">Развој ефикасних ланаца снабдевања </w:t>
            </w:r>
            <w:r w:rsidR="006B67C4" w:rsidRPr="000A2AFE">
              <w:rPr>
                <w:rFonts w:ascii="Calibri Light" w:eastAsia="Times New Roman" w:hAnsi="Calibri Light" w:cs="Calibri Light"/>
                <w:b/>
                <w:bCs/>
                <w:color w:val="000000"/>
                <w:sz w:val="20"/>
                <w:szCs w:val="20"/>
                <w:lang w:eastAsia="en-GB"/>
              </w:rPr>
              <w:t xml:space="preserve">за експлоатацију </w:t>
            </w:r>
            <w:r w:rsidRPr="000A2AFE">
              <w:rPr>
                <w:rFonts w:ascii="Calibri Light" w:eastAsia="Times New Roman" w:hAnsi="Calibri Light" w:cs="Calibri Light"/>
                <w:b/>
                <w:bCs/>
                <w:color w:val="000000"/>
                <w:sz w:val="20"/>
                <w:szCs w:val="20"/>
                <w:lang w:eastAsia="en-GB"/>
              </w:rPr>
              <w:t>расположивог потенцијала биогорива, биотечности и биомасе</w:t>
            </w:r>
          </w:p>
        </w:tc>
      </w:tr>
      <w:tr w:rsidR="00854ADA" w:rsidRPr="00FF386D" w14:paraId="382BBF10" w14:textId="77777777" w:rsidTr="0057310C">
        <w:trPr>
          <w:trHeight w:val="337"/>
        </w:trPr>
        <w:tc>
          <w:tcPr>
            <w:tcW w:w="3328" w:type="dxa"/>
            <w:tcBorders>
              <w:top w:val="nil"/>
              <w:left w:val="single" w:sz="8" w:space="0" w:color="auto"/>
              <w:bottom w:val="single" w:sz="8" w:space="0" w:color="auto"/>
              <w:right w:val="nil"/>
            </w:tcBorders>
            <w:shd w:val="clear" w:color="000000" w:fill="244062"/>
            <w:vAlign w:val="center"/>
            <w:hideMark/>
          </w:tcPr>
          <w:p w14:paraId="2DA235D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42F7D178"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Повећање удела ОИЕ у електричној енергији, повећање удела ОИЕ у грејању и хлађењу и повећање удела ОИЕ у саобраћају</w:t>
            </w:r>
          </w:p>
        </w:tc>
      </w:tr>
      <w:tr w:rsidR="00854ADA" w:rsidRPr="00FF386D" w14:paraId="0001A6A6"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014D93D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182C8BF3" w14:textId="78E0A3BD" w:rsidR="00854ADA" w:rsidRPr="00FF386D" w:rsidRDefault="003123AE" w:rsidP="00854ADA">
            <w:pPr>
              <w:spacing w:after="0" w:line="240" w:lineRule="auto"/>
              <w:rPr>
                <w:rFonts w:ascii="Calibri" w:eastAsia="Times New Roman" w:hAnsi="Calibri" w:cs="Calibri"/>
                <w:color w:val="000000"/>
                <w:lang w:eastAsia="en-GB"/>
              </w:rPr>
            </w:pPr>
            <w:r w:rsidRPr="003123AE">
              <w:rPr>
                <w:rFonts w:ascii="Calibri Light" w:eastAsia="Times New Roman" w:hAnsi="Calibri Light" w:cs="Calibri"/>
                <w:color w:val="000000"/>
                <w:sz w:val="20"/>
                <w:szCs w:val="20"/>
                <w:lang w:eastAsia="en-GB"/>
              </w:rPr>
              <w:t>Допринос очекиваном учешћу биогорива, биотечности и биомасе</w:t>
            </w:r>
          </w:p>
        </w:tc>
      </w:tr>
      <w:tr w:rsidR="00854ADA" w:rsidRPr="00FF386D" w14:paraId="2A50FA2D" w14:textId="77777777" w:rsidTr="0057310C">
        <w:trPr>
          <w:trHeight w:val="1433"/>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5A62E43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1ED9F321" w14:textId="780B40ED"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МП_</w:t>
            </w:r>
            <w:r w:rsidR="003123AE" w:rsidRPr="000A2AFE">
              <w:rPr>
                <w:rFonts w:ascii="Calibri Light" w:eastAsia="Times New Roman" w:hAnsi="Calibri Light" w:cs="Calibri Light"/>
                <w:color w:val="000000"/>
                <w:sz w:val="20"/>
                <w:szCs w:val="20"/>
                <w:lang w:eastAsia="en-GB"/>
              </w:rPr>
              <w:t>Д4</w:t>
            </w:r>
            <w:r w:rsidR="003123AE">
              <w:rPr>
                <w:rFonts w:ascii="Calibri Light" w:eastAsia="Times New Roman" w:hAnsi="Calibri Light" w:cs="Calibri Light"/>
                <w:color w:val="000000"/>
                <w:sz w:val="20"/>
                <w:szCs w:val="20"/>
                <w:lang w:eastAsia="en-GB"/>
              </w:rPr>
              <w:t>0</w:t>
            </w:r>
            <w:r w:rsidR="003123AE"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ће увести специјализоване програме подршке</w:t>
            </w:r>
            <w:r w:rsidR="002856E4" w:rsidRPr="000A2AFE">
              <w:rPr>
                <w:rFonts w:ascii="Calibri Light" w:eastAsia="Times New Roman" w:hAnsi="Calibri Light" w:cs="Calibri Light"/>
                <w:color w:val="000000"/>
                <w:sz w:val="20"/>
                <w:szCs w:val="20"/>
                <w:lang w:eastAsia="en-GB"/>
              </w:rPr>
              <w:t>,</w:t>
            </w:r>
            <w:r w:rsidRPr="000A2AFE">
              <w:rPr>
                <w:rFonts w:ascii="Calibri Light" w:eastAsia="Times New Roman" w:hAnsi="Calibri Light" w:cs="Calibri Light"/>
                <w:color w:val="000000"/>
                <w:sz w:val="20"/>
                <w:szCs w:val="20"/>
                <w:lang w:eastAsia="en-GB"/>
              </w:rPr>
              <w:t xml:space="preserve"> како за развој ефикасних ланаца снабдевања биомасом и биоразградивим материјалом тако и за по</w:t>
            </w:r>
            <w:r w:rsidR="002856E4" w:rsidRPr="000A2AFE">
              <w:rPr>
                <w:rFonts w:ascii="Calibri Light" w:eastAsia="Times New Roman" w:hAnsi="Calibri Light" w:cs="Calibri Light"/>
                <w:color w:val="000000"/>
                <w:sz w:val="20"/>
                <w:szCs w:val="20"/>
                <w:lang w:eastAsia="en-GB"/>
              </w:rPr>
              <w:t>дстицање</w:t>
            </w:r>
            <w:r w:rsidRPr="000A2AFE">
              <w:rPr>
                <w:rFonts w:ascii="Calibri Light" w:eastAsia="Times New Roman" w:hAnsi="Calibri Light" w:cs="Calibri Light"/>
                <w:color w:val="000000"/>
                <w:sz w:val="20"/>
                <w:szCs w:val="20"/>
                <w:lang w:eastAsia="en-GB"/>
              </w:rPr>
              <w:t xml:space="preserve"> најефикаснији</w:t>
            </w:r>
            <w:r w:rsidR="002856E4" w:rsidRPr="000A2AFE">
              <w:rPr>
                <w:rFonts w:ascii="Calibri Light" w:eastAsia="Times New Roman" w:hAnsi="Calibri Light" w:cs="Calibri Light"/>
                <w:color w:val="000000"/>
                <w:sz w:val="20"/>
                <w:szCs w:val="20"/>
                <w:lang w:eastAsia="en-GB"/>
              </w:rPr>
              <w:t>х</w:t>
            </w:r>
            <w:r w:rsidRPr="000A2AFE">
              <w:rPr>
                <w:rFonts w:ascii="Calibri Light" w:eastAsia="Times New Roman" w:hAnsi="Calibri Light" w:cs="Calibri Light"/>
                <w:color w:val="000000"/>
                <w:sz w:val="20"/>
                <w:szCs w:val="20"/>
                <w:lang w:eastAsia="en-GB"/>
              </w:rPr>
              <w:t xml:space="preserve"> и </w:t>
            </w:r>
            <w:r w:rsidR="002856E4" w:rsidRPr="000A2AFE">
              <w:rPr>
                <w:rFonts w:ascii="Calibri Light" w:eastAsia="Times New Roman" w:hAnsi="Calibri Light" w:cs="Calibri Light"/>
                <w:color w:val="000000"/>
                <w:sz w:val="20"/>
                <w:szCs w:val="20"/>
                <w:lang w:eastAsia="en-GB"/>
              </w:rPr>
              <w:t xml:space="preserve">најприхватљивијих </w:t>
            </w:r>
            <w:r w:rsidRPr="000A2AFE">
              <w:rPr>
                <w:rFonts w:ascii="Calibri Light" w:eastAsia="Times New Roman" w:hAnsi="Calibri Light" w:cs="Calibri Light"/>
                <w:color w:val="000000"/>
                <w:sz w:val="20"/>
                <w:szCs w:val="20"/>
                <w:lang w:eastAsia="en-GB"/>
              </w:rPr>
              <w:t>примена биоенергије</w:t>
            </w:r>
            <w:r w:rsidR="002856E4" w:rsidRPr="000A2AFE">
              <w:rPr>
                <w:rFonts w:ascii="Calibri Light" w:eastAsia="Times New Roman" w:hAnsi="Calibri Light" w:cs="Calibri Light"/>
                <w:color w:val="000000"/>
                <w:sz w:val="20"/>
                <w:szCs w:val="20"/>
                <w:lang w:eastAsia="en-GB"/>
              </w:rPr>
              <w:t xml:space="preserve"> по животну средину</w:t>
            </w:r>
            <w:r w:rsidRPr="000A2AFE">
              <w:rPr>
                <w:rFonts w:ascii="Calibri Light" w:eastAsia="Times New Roman" w:hAnsi="Calibri Light" w:cs="Calibri Light"/>
                <w:color w:val="000000"/>
                <w:sz w:val="20"/>
                <w:szCs w:val="20"/>
                <w:lang w:eastAsia="en-GB"/>
              </w:rPr>
              <w:t xml:space="preserve">. </w:t>
            </w:r>
            <w:r w:rsidR="006B67C4" w:rsidRPr="000A2AFE">
              <w:rPr>
                <w:rFonts w:ascii="Calibri Light" w:eastAsia="Times New Roman" w:hAnsi="Calibri Light" w:cs="Calibri Light"/>
                <w:color w:val="000000"/>
                <w:sz w:val="20"/>
                <w:szCs w:val="20"/>
                <w:lang w:eastAsia="en-GB"/>
              </w:rPr>
              <w:t>Тачније, биће обезбеђена економска подршка за потребну опрему и инфраструктуру у различитим фазама ланца снабдевања, као што су прoизводња сировина, сеча стабала/обрада, транспорт, прикупља</w:t>
            </w:r>
            <w:r w:rsidR="0056683F" w:rsidRPr="000A2AFE">
              <w:rPr>
                <w:rFonts w:ascii="Calibri Light" w:eastAsia="Times New Roman" w:hAnsi="Calibri Light" w:cs="Calibri Light"/>
                <w:color w:val="000000"/>
                <w:sz w:val="20"/>
                <w:szCs w:val="20"/>
                <w:lang w:eastAsia="en-GB"/>
              </w:rPr>
              <w:t>ње</w:t>
            </w:r>
            <w:r w:rsidR="006B67C4" w:rsidRPr="000A2AFE">
              <w:rPr>
                <w:rFonts w:ascii="Calibri Light" w:eastAsia="Times New Roman" w:hAnsi="Calibri Light" w:cs="Calibri Light"/>
                <w:color w:val="000000"/>
                <w:sz w:val="20"/>
                <w:szCs w:val="20"/>
                <w:lang w:eastAsia="en-GB"/>
              </w:rPr>
              <w:t xml:space="preserve"> и складиштење прикупљених остатака биомасе. Поред тога</w:t>
            </w:r>
            <w:r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lastRenderedPageBreak/>
              <w:t>размотриће се потенцијално увођење на</w:t>
            </w:r>
            <w:r w:rsidR="002856E4" w:rsidRPr="000A2AFE">
              <w:rPr>
                <w:rFonts w:ascii="Calibri Light" w:eastAsia="Times New Roman" w:hAnsi="Calibri Light" w:cs="Calibri Light"/>
                <w:color w:val="000000"/>
                <w:sz w:val="20"/>
                <w:szCs w:val="20"/>
                <w:lang w:eastAsia="en-GB"/>
              </w:rPr>
              <w:t>кнада</w:t>
            </w:r>
            <w:r w:rsidRPr="000A2AFE">
              <w:rPr>
                <w:rFonts w:ascii="Calibri Light" w:eastAsia="Times New Roman" w:hAnsi="Calibri Light" w:cs="Calibri Light"/>
                <w:color w:val="000000"/>
                <w:sz w:val="20"/>
                <w:szCs w:val="20"/>
                <w:lang w:eastAsia="en-GB"/>
              </w:rPr>
              <w:t xml:space="preserve"> за третман отпада (gate fee) приликом прикупљања биомасе, како би се повећале количине биомасе које ће се користити за производњу енергије.</w:t>
            </w:r>
            <w:r w:rsidR="003123AE">
              <w:t xml:space="preserve"> </w:t>
            </w:r>
            <w:r w:rsidR="003123AE" w:rsidRPr="003123AE">
              <w:rPr>
                <w:rFonts w:ascii="Calibri Light" w:eastAsia="Times New Roman" w:hAnsi="Calibri Light" w:cs="Calibri Light"/>
                <w:color w:val="000000"/>
                <w:sz w:val="20"/>
                <w:szCs w:val="20"/>
                <w:lang w:eastAsia="en-GB"/>
              </w:rPr>
              <w:t>У сваком случају, подршка ће бити обезбеђена за биогорива, биотечности и горива из биомасе који испуњавају критеријум одрживости и уштеде емисија гасова са ефектом стаклене баште, како је предвиђено Директивом 2018/2001/ЕУ.</w:t>
            </w:r>
          </w:p>
        </w:tc>
      </w:tr>
      <w:tr w:rsidR="00854ADA" w:rsidRPr="00FF386D" w14:paraId="38212708"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7F9A6B3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Временски оквир имплементације</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6210C34C" w14:textId="61C779B0"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6B67C4"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-2030.</w:t>
            </w:r>
          </w:p>
        </w:tc>
      </w:tr>
      <w:tr w:rsidR="00854ADA" w:rsidRPr="00FF386D" w14:paraId="37832C35"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6AE3316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28EA170E"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Инвестиција</w:t>
            </w:r>
          </w:p>
        </w:tc>
      </w:tr>
      <w:tr w:rsidR="00854ADA" w:rsidRPr="00FF386D" w14:paraId="0AD0EDFD"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3E43C8F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49819228"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Електроенергетика, грејање и хлађење, саобраћај</w:t>
            </w:r>
          </w:p>
        </w:tc>
      </w:tr>
      <w:tr w:rsidR="00854ADA" w:rsidRPr="00FF386D" w14:paraId="449D6EE2"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0C46B42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2ED09305" w14:textId="76DD6E78" w:rsidR="003123AE" w:rsidRDefault="003123AE" w:rsidP="003123AE">
            <w:pPr>
              <w:numPr>
                <w:ilvl w:val="0"/>
                <w:numId w:val="114"/>
              </w:numPr>
              <w:spacing w:after="0" w:line="240" w:lineRule="auto"/>
              <w:rPr>
                <w:rFonts w:ascii="Calibri Light" w:eastAsia="Times New Roman" w:hAnsi="Calibri Light" w:cs="Calibri Light"/>
                <w:color w:val="000000"/>
                <w:sz w:val="20"/>
                <w:szCs w:val="20"/>
                <w:lang w:val="en-GB" w:eastAsia="en-GB"/>
              </w:rPr>
            </w:pPr>
            <w:r w:rsidRPr="00400421">
              <w:rPr>
                <w:rFonts w:ascii="Calibri Light" w:eastAsia="Times New Roman" w:hAnsi="Calibri Light" w:cs="Calibri Light"/>
                <w:color w:val="000000"/>
                <w:sz w:val="20"/>
                <w:szCs w:val="20"/>
                <w:lang w:val="en-GB" w:eastAsia="en-GB"/>
              </w:rPr>
              <w:t>M</w:t>
            </w:r>
            <w:r>
              <w:rPr>
                <w:rFonts w:ascii="Calibri Light" w:eastAsia="Times New Roman" w:hAnsi="Calibri Light" w:cs="Calibri Light"/>
                <w:color w:val="000000"/>
                <w:sz w:val="20"/>
                <w:szCs w:val="20"/>
                <w:lang w:eastAsia="en-GB"/>
              </w:rPr>
              <w:t>инистарство рударства и енергетике</w:t>
            </w:r>
          </w:p>
          <w:p w14:paraId="0F798985" w14:textId="1AE3C385" w:rsidR="00854ADA" w:rsidRPr="000A2AFE" w:rsidRDefault="003123AE" w:rsidP="000A2AFE">
            <w:pPr>
              <w:numPr>
                <w:ilvl w:val="0"/>
                <w:numId w:val="114"/>
              </w:numPr>
              <w:spacing w:after="0" w:line="240" w:lineRule="auto"/>
              <w:rPr>
                <w:rFonts w:ascii="Calibri Light" w:eastAsia="Times New Roman" w:hAnsi="Calibri Light" w:cs="Calibri Light"/>
                <w:color w:val="000000"/>
                <w:sz w:val="20"/>
                <w:szCs w:val="20"/>
                <w:lang w:val="en-GB" w:eastAsia="en-GB"/>
              </w:rPr>
            </w:pPr>
            <w:r w:rsidRPr="003123AE">
              <w:rPr>
                <w:rFonts w:ascii="Calibri Light" w:eastAsia="Times New Roman" w:hAnsi="Calibri Light" w:cs="Calibri Light"/>
                <w:color w:val="000000"/>
                <w:sz w:val="20"/>
                <w:szCs w:val="20"/>
                <w:lang w:eastAsia="en-GB"/>
              </w:rPr>
              <w:t>Министарство пољопривреде, шумарства и водопривреде</w:t>
            </w:r>
          </w:p>
        </w:tc>
      </w:tr>
      <w:tr w:rsidR="00854ADA" w:rsidRPr="00FF386D" w14:paraId="4711AB77" w14:textId="77777777" w:rsidTr="0057310C">
        <w:trPr>
          <w:trHeight w:val="315"/>
        </w:trPr>
        <w:tc>
          <w:tcPr>
            <w:tcW w:w="3328" w:type="dxa"/>
            <w:tcBorders>
              <w:top w:val="nil"/>
              <w:left w:val="single" w:sz="8" w:space="0" w:color="auto"/>
              <w:bottom w:val="single" w:sz="8" w:space="0" w:color="auto"/>
              <w:right w:val="nil"/>
            </w:tcBorders>
            <w:shd w:val="clear" w:color="000000" w:fill="244062"/>
            <w:vAlign w:val="center"/>
            <w:hideMark/>
          </w:tcPr>
          <w:p w14:paraId="66B3BD7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1877CD74" w14:textId="0BE59862" w:rsidR="00854ADA" w:rsidRPr="000A2AFE" w:rsidRDefault="006E6FC3" w:rsidP="000A2AFE">
            <w:pPr>
              <w:pStyle w:val="ListParagraph"/>
              <w:numPr>
                <w:ilvl w:val="0"/>
                <w:numId w:val="333"/>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5AEF12C0" w14:textId="77777777" w:rsidTr="0057310C">
        <w:trPr>
          <w:trHeight w:val="315"/>
        </w:trPr>
        <w:tc>
          <w:tcPr>
            <w:tcW w:w="3328" w:type="dxa"/>
            <w:tcBorders>
              <w:top w:val="nil"/>
              <w:left w:val="single" w:sz="8" w:space="0" w:color="auto"/>
              <w:bottom w:val="single" w:sz="8" w:space="0" w:color="auto"/>
              <w:right w:val="nil"/>
            </w:tcBorders>
            <w:shd w:val="clear" w:color="000000" w:fill="244062"/>
            <w:vAlign w:val="center"/>
            <w:hideMark/>
          </w:tcPr>
          <w:p w14:paraId="0BEBC34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6EAF6CD5" w14:textId="77777777" w:rsidR="00854ADA" w:rsidRPr="000A2AFE" w:rsidRDefault="00854ADA" w:rsidP="000A2AFE">
            <w:pPr>
              <w:pStyle w:val="ListParagraph"/>
              <w:numPr>
                <w:ilvl w:val="0"/>
                <w:numId w:val="333"/>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Промовисана биогорива, биотечности и биомаса</w:t>
            </w:r>
          </w:p>
        </w:tc>
      </w:tr>
      <w:tr w:rsidR="00854ADA" w:rsidRPr="00FF386D" w14:paraId="68FBBB08" w14:textId="77777777" w:rsidTr="0057310C">
        <w:trPr>
          <w:trHeight w:val="411"/>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20AF34D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30" w:type="dxa"/>
            <w:gridSpan w:val="3"/>
            <w:tcBorders>
              <w:top w:val="single" w:sz="8" w:space="0" w:color="auto"/>
              <w:left w:val="nil"/>
              <w:bottom w:val="single" w:sz="8" w:space="0" w:color="auto"/>
              <w:right w:val="single" w:sz="8" w:space="0" w:color="000000"/>
            </w:tcBorders>
            <w:shd w:val="clear" w:color="auto" w:fill="auto"/>
            <w:vAlign w:val="center"/>
          </w:tcPr>
          <w:p w14:paraId="53DFC4F2" w14:textId="77777777" w:rsidR="006E6FC3" w:rsidRPr="006E6FC3" w:rsidRDefault="006E6FC3" w:rsidP="006E6FC3">
            <w:pPr>
              <w:numPr>
                <w:ilvl w:val="0"/>
                <w:numId w:val="114"/>
              </w:numPr>
              <w:spacing w:after="0" w:line="240" w:lineRule="auto"/>
              <w:rPr>
                <w:rFonts w:ascii="Calibri Light" w:eastAsia="Times New Roman" w:hAnsi="Calibri Light" w:cs="Calibri Light"/>
                <w:color w:val="000000"/>
                <w:sz w:val="20"/>
                <w:szCs w:val="20"/>
                <w:lang w:eastAsia="en-GB"/>
              </w:rPr>
            </w:pPr>
            <w:r w:rsidRPr="006E6FC3">
              <w:rPr>
                <w:rFonts w:ascii="Calibri Light" w:eastAsia="Times New Roman" w:hAnsi="Calibri Light" w:cs="Calibri Light"/>
                <w:color w:val="000000"/>
                <w:sz w:val="20"/>
                <w:szCs w:val="20"/>
                <w:lang w:eastAsia="en-GB"/>
              </w:rPr>
              <w:t>Енергетска ефикасност (промовисане технологије ОИЕ ће довести и до уштеде примарне енергије доприносећи постизању релевантних циљева)</w:t>
            </w:r>
          </w:p>
          <w:p w14:paraId="7C8A8420" w14:textId="4A935187" w:rsidR="00854ADA" w:rsidRPr="000A2AFE" w:rsidRDefault="006E6FC3"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854ADA" w:rsidRPr="00FF386D" w14:paraId="37E3F7A8" w14:textId="77777777" w:rsidTr="0057310C">
        <w:trPr>
          <w:trHeight w:val="450"/>
        </w:trPr>
        <w:tc>
          <w:tcPr>
            <w:tcW w:w="3328"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1C43020B" w14:textId="1A42F352"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30"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51B21532"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2018/2001/ЕУ</w:t>
            </w:r>
          </w:p>
        </w:tc>
      </w:tr>
      <w:tr w:rsidR="00854ADA" w:rsidRPr="00FF386D" w14:paraId="149F3CF9" w14:textId="77777777" w:rsidTr="0057310C">
        <w:trPr>
          <w:trHeight w:val="450"/>
        </w:trPr>
        <w:tc>
          <w:tcPr>
            <w:tcW w:w="3328" w:type="dxa"/>
            <w:vMerge/>
            <w:tcBorders>
              <w:top w:val="nil"/>
              <w:left w:val="single" w:sz="8" w:space="0" w:color="auto"/>
              <w:bottom w:val="single" w:sz="8" w:space="0" w:color="000000"/>
              <w:right w:val="single" w:sz="8" w:space="0" w:color="auto"/>
            </w:tcBorders>
            <w:vAlign w:val="center"/>
            <w:hideMark/>
          </w:tcPr>
          <w:p w14:paraId="3FA0AF5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0" w:type="dxa"/>
            <w:gridSpan w:val="3"/>
            <w:vMerge/>
            <w:tcBorders>
              <w:top w:val="single" w:sz="8" w:space="0" w:color="auto"/>
              <w:left w:val="single" w:sz="8" w:space="0" w:color="auto"/>
              <w:bottom w:val="single" w:sz="8" w:space="0" w:color="000000"/>
              <w:right w:val="single" w:sz="8" w:space="0" w:color="000000"/>
            </w:tcBorders>
            <w:vAlign w:val="center"/>
            <w:hideMark/>
          </w:tcPr>
          <w:p w14:paraId="127459A1"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5D76A690" w14:textId="77777777" w:rsidTr="0057310C">
        <w:trPr>
          <w:trHeight w:val="450"/>
        </w:trPr>
        <w:tc>
          <w:tcPr>
            <w:tcW w:w="3328" w:type="dxa"/>
            <w:vMerge/>
            <w:tcBorders>
              <w:top w:val="nil"/>
              <w:left w:val="single" w:sz="8" w:space="0" w:color="auto"/>
              <w:bottom w:val="single" w:sz="8" w:space="0" w:color="000000"/>
              <w:right w:val="single" w:sz="8" w:space="0" w:color="auto"/>
            </w:tcBorders>
            <w:vAlign w:val="center"/>
            <w:hideMark/>
          </w:tcPr>
          <w:p w14:paraId="3BF2DAD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0" w:type="dxa"/>
            <w:gridSpan w:val="3"/>
            <w:vMerge/>
            <w:tcBorders>
              <w:top w:val="single" w:sz="8" w:space="0" w:color="auto"/>
              <w:left w:val="single" w:sz="8" w:space="0" w:color="auto"/>
              <w:bottom w:val="single" w:sz="8" w:space="0" w:color="000000"/>
              <w:right w:val="single" w:sz="8" w:space="0" w:color="000000"/>
            </w:tcBorders>
            <w:vAlign w:val="center"/>
            <w:hideMark/>
          </w:tcPr>
          <w:p w14:paraId="6EC3829D"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69E48B7F" w14:textId="77777777" w:rsidTr="0057310C">
        <w:trPr>
          <w:trHeight w:val="482"/>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2BE0C0F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6856ED90"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p>
        </w:tc>
      </w:tr>
      <w:tr w:rsidR="00854ADA" w:rsidRPr="00FF386D" w14:paraId="69A98332"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7FC86D5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30" w:type="dxa"/>
            <w:gridSpan w:val="3"/>
            <w:tcBorders>
              <w:top w:val="single" w:sz="4" w:space="0" w:color="auto"/>
              <w:left w:val="single" w:sz="4" w:space="0" w:color="auto"/>
              <w:bottom w:val="single" w:sz="4" w:space="0" w:color="000000"/>
              <w:right w:val="single" w:sz="4" w:space="0" w:color="000000"/>
            </w:tcBorders>
            <w:shd w:val="clear" w:color="auto" w:fill="auto"/>
            <w:vAlign w:val="center"/>
            <w:hideMark/>
          </w:tcPr>
          <w:p w14:paraId="47177327" w14:textId="7EB32C4D"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 xml:space="preserve">Биће </w:t>
            </w:r>
            <w:r w:rsidR="006B67C4" w:rsidRPr="00FF386D">
              <w:rPr>
                <w:rFonts w:ascii="Calibri Light" w:eastAsia="Times New Roman" w:hAnsi="Calibri Light" w:cs="Calibri Light"/>
                <w:color w:val="000000"/>
                <w:sz w:val="20"/>
                <w:szCs w:val="20"/>
                <w:lang w:eastAsia="en-GB"/>
              </w:rPr>
              <w:t>обухваћени</w:t>
            </w:r>
            <w:r w:rsidRPr="00FF386D">
              <w:rPr>
                <w:rFonts w:ascii="Calibri Light" w:eastAsia="Times New Roman" w:hAnsi="Calibri Light" w:cs="Calibri Light"/>
                <w:color w:val="000000"/>
                <w:sz w:val="20"/>
                <w:szCs w:val="20"/>
                <w:lang w:eastAsia="en-GB"/>
              </w:rPr>
              <w:t xml:space="preserve"> у МП_</w:t>
            </w:r>
            <w:r w:rsidR="003123AE" w:rsidRPr="00FF386D">
              <w:rPr>
                <w:rFonts w:ascii="Calibri Light" w:eastAsia="Times New Roman" w:hAnsi="Calibri Light" w:cs="Calibri Light"/>
                <w:color w:val="000000"/>
                <w:sz w:val="20"/>
                <w:szCs w:val="20"/>
                <w:lang w:eastAsia="en-GB"/>
              </w:rPr>
              <w:t>Д</w:t>
            </w:r>
            <w:r w:rsidR="003123AE">
              <w:rPr>
                <w:rFonts w:ascii="Calibri Light" w:eastAsia="Times New Roman" w:hAnsi="Calibri Light" w:cs="Calibri Light"/>
                <w:color w:val="000000"/>
                <w:sz w:val="20"/>
                <w:szCs w:val="20"/>
                <w:lang w:eastAsia="en-GB"/>
              </w:rPr>
              <w:t>29</w:t>
            </w:r>
            <w:r w:rsidR="003123AE" w:rsidRPr="00FF386D">
              <w:rPr>
                <w:rFonts w:ascii="Calibri Light" w:eastAsia="Times New Roman" w:hAnsi="Calibri Light" w:cs="Calibri Light"/>
                <w:color w:val="000000"/>
                <w:sz w:val="20"/>
                <w:szCs w:val="20"/>
                <w:lang w:eastAsia="en-GB"/>
              </w:rPr>
              <w:t xml:space="preserve"> </w:t>
            </w:r>
            <w:r w:rsidRPr="00FF386D">
              <w:rPr>
                <w:rFonts w:ascii="Calibri Light" w:eastAsia="Times New Roman" w:hAnsi="Calibri Light" w:cs="Calibri Light"/>
                <w:color w:val="000000"/>
                <w:sz w:val="20"/>
                <w:szCs w:val="20"/>
                <w:lang w:eastAsia="en-GB"/>
              </w:rPr>
              <w:t>и МП_Д3</w:t>
            </w:r>
            <w:r w:rsidR="003123AE">
              <w:rPr>
                <w:rFonts w:ascii="Calibri Light" w:eastAsia="Times New Roman" w:hAnsi="Calibri Light" w:cs="Calibri Light"/>
                <w:color w:val="000000"/>
                <w:sz w:val="20"/>
                <w:szCs w:val="20"/>
                <w:lang w:eastAsia="en-GB"/>
              </w:rPr>
              <w:t>3</w:t>
            </w:r>
          </w:p>
        </w:tc>
      </w:tr>
      <w:tr w:rsidR="00854ADA" w:rsidRPr="00FF386D" w14:paraId="6236C437"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271B01D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30" w:type="dxa"/>
            <w:gridSpan w:val="3"/>
            <w:tcBorders>
              <w:top w:val="single" w:sz="4" w:space="0" w:color="auto"/>
              <w:left w:val="single" w:sz="4" w:space="0" w:color="auto"/>
              <w:bottom w:val="single" w:sz="4" w:space="0" w:color="000000"/>
              <w:right w:val="single" w:sz="4" w:space="0" w:color="000000"/>
            </w:tcBorders>
            <w:vAlign w:val="center"/>
            <w:hideMark/>
          </w:tcPr>
          <w:p w14:paraId="52214A93" w14:textId="20FA0B6B"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6B67C4" w:rsidRPr="00FF386D">
              <w:rPr>
                <w:rFonts w:asciiTheme="majorHAnsi" w:eastAsia="Times New Roman" w:hAnsiTheme="majorHAnsi" w:cstheme="majorHAnsi"/>
                <w:color w:val="000000"/>
                <w:sz w:val="20"/>
                <w:szCs w:val="20"/>
                <w:lang w:eastAsia="en-GB"/>
              </w:rPr>
              <w:t>ска</w:t>
            </w:r>
            <w:r w:rsidRPr="00FF386D">
              <w:rPr>
                <w:rFonts w:asciiTheme="majorHAnsi" w:eastAsia="Times New Roman" w:hAnsiTheme="majorHAnsi" w:cstheme="majorHAnsi"/>
                <w:color w:val="000000"/>
                <w:sz w:val="20"/>
                <w:szCs w:val="20"/>
                <w:lang w:eastAsia="en-GB"/>
              </w:rPr>
              <w:t xml:space="preserve"> и сопствена средства</w:t>
            </w:r>
          </w:p>
        </w:tc>
      </w:tr>
    </w:tbl>
    <w:p w14:paraId="6A125183"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29"/>
        <w:gridCol w:w="945"/>
        <w:gridCol w:w="946"/>
        <w:gridCol w:w="4238"/>
      </w:tblGrid>
      <w:tr w:rsidR="00854ADA" w:rsidRPr="00FF386D" w14:paraId="59123B4F" w14:textId="77777777" w:rsidTr="0057310C">
        <w:trPr>
          <w:trHeight w:val="780"/>
        </w:trPr>
        <w:tc>
          <w:tcPr>
            <w:tcW w:w="3329"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5BCDFF21"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bookmarkStart w:id="111" w:name="_Hlk126229640"/>
            <w:r w:rsidRPr="00FF386D">
              <w:rPr>
                <w:rFonts w:asciiTheme="majorHAnsi" w:hAnsiTheme="majorHAnsi" w:cstheme="majorHAnsi"/>
                <w:b/>
                <w:bCs/>
                <w:sz w:val="20"/>
                <w:szCs w:val="20"/>
              </w:rPr>
              <w:t>Шифра мере политике:</w:t>
            </w:r>
          </w:p>
        </w:tc>
        <w:tc>
          <w:tcPr>
            <w:tcW w:w="945" w:type="dxa"/>
            <w:tcBorders>
              <w:top w:val="single" w:sz="8" w:space="0" w:color="auto"/>
              <w:left w:val="nil"/>
              <w:bottom w:val="single" w:sz="8" w:space="0" w:color="auto"/>
              <w:right w:val="single" w:sz="8" w:space="0" w:color="auto"/>
            </w:tcBorders>
            <w:shd w:val="clear" w:color="auto" w:fill="E7E6E6" w:themeFill="background2"/>
            <w:vAlign w:val="center"/>
            <w:hideMark/>
          </w:tcPr>
          <w:p w14:paraId="08C18E73" w14:textId="32911692"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w:t>
            </w:r>
            <w:r w:rsidR="003123AE" w:rsidRPr="000A2AFE">
              <w:rPr>
                <w:rFonts w:ascii="Calibri Light" w:eastAsia="Times New Roman" w:hAnsi="Calibri Light" w:cs="Calibri Light"/>
                <w:b/>
                <w:bCs/>
                <w:color w:val="000000"/>
                <w:sz w:val="20"/>
                <w:szCs w:val="20"/>
                <w:lang w:eastAsia="en-GB"/>
              </w:rPr>
              <w:t>Д4</w:t>
            </w:r>
            <w:r w:rsidR="003123AE">
              <w:rPr>
                <w:rFonts w:ascii="Calibri Light" w:eastAsia="Times New Roman" w:hAnsi="Calibri Light" w:cs="Calibri Light"/>
                <w:b/>
                <w:bCs/>
                <w:color w:val="000000"/>
                <w:sz w:val="20"/>
                <w:szCs w:val="20"/>
                <w:lang w:eastAsia="en-GB"/>
              </w:rPr>
              <w:t>1</w:t>
            </w:r>
          </w:p>
        </w:tc>
        <w:tc>
          <w:tcPr>
            <w:tcW w:w="946" w:type="dxa"/>
            <w:tcBorders>
              <w:top w:val="single" w:sz="8" w:space="0" w:color="auto"/>
              <w:left w:val="nil"/>
              <w:bottom w:val="single" w:sz="8" w:space="0" w:color="auto"/>
              <w:right w:val="single" w:sz="8" w:space="0" w:color="auto"/>
            </w:tcBorders>
            <w:shd w:val="clear" w:color="000000" w:fill="244062"/>
            <w:vAlign w:val="center"/>
            <w:hideMark/>
          </w:tcPr>
          <w:p w14:paraId="0482961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38" w:type="dxa"/>
            <w:tcBorders>
              <w:top w:val="single" w:sz="8" w:space="0" w:color="auto"/>
              <w:left w:val="nil"/>
              <w:bottom w:val="single" w:sz="8" w:space="0" w:color="auto"/>
              <w:right w:val="single" w:sz="8" w:space="0" w:color="auto"/>
            </w:tcBorders>
            <w:shd w:val="clear" w:color="auto" w:fill="E7E6E6" w:themeFill="background2"/>
            <w:vAlign w:val="center"/>
            <w:hideMark/>
          </w:tcPr>
          <w:p w14:paraId="20C5A330" w14:textId="031BA09B" w:rsidR="00854ADA" w:rsidRPr="00FF386D" w:rsidRDefault="0056683F"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Утврђивање</w:t>
            </w:r>
            <w:r w:rsidR="00854ADA" w:rsidRPr="000A2AFE">
              <w:rPr>
                <w:rFonts w:ascii="Calibri Light" w:eastAsia="Times New Roman" w:hAnsi="Calibri Light" w:cs="Calibri Light"/>
                <w:b/>
                <w:bCs/>
                <w:color w:val="000000"/>
                <w:sz w:val="20"/>
                <w:szCs w:val="20"/>
                <w:lang w:eastAsia="en-GB"/>
              </w:rPr>
              <w:t xml:space="preserve"> критеријума одрживости и уштеде емисија гасова са ефектом стаклене баште за биогорива, биотечности и горива </w:t>
            </w:r>
            <w:r w:rsidR="00CB740C" w:rsidRPr="000A2AFE">
              <w:rPr>
                <w:rFonts w:ascii="Calibri Light" w:eastAsia="Times New Roman" w:hAnsi="Calibri Light" w:cs="Calibri Light"/>
                <w:b/>
                <w:bCs/>
                <w:color w:val="000000"/>
                <w:sz w:val="20"/>
                <w:szCs w:val="20"/>
                <w:lang w:eastAsia="en-GB"/>
              </w:rPr>
              <w:t>из</w:t>
            </w:r>
            <w:r w:rsidR="00854ADA" w:rsidRPr="000A2AFE">
              <w:rPr>
                <w:rFonts w:ascii="Calibri Light" w:eastAsia="Times New Roman" w:hAnsi="Calibri Light" w:cs="Calibri Light"/>
                <w:b/>
                <w:bCs/>
                <w:color w:val="000000"/>
                <w:sz w:val="20"/>
                <w:szCs w:val="20"/>
                <w:lang w:eastAsia="en-GB"/>
              </w:rPr>
              <w:t xml:space="preserve"> биомасе, укључујући потребне активности праћења и </w:t>
            </w:r>
            <w:r w:rsidR="003123AE" w:rsidRPr="003123AE">
              <w:rPr>
                <w:rFonts w:ascii="Calibri Light" w:eastAsia="Times New Roman" w:hAnsi="Calibri Light" w:cs="Calibri Light"/>
                <w:b/>
                <w:bCs/>
                <w:color w:val="000000"/>
                <w:sz w:val="20"/>
                <w:szCs w:val="20"/>
                <w:lang w:eastAsia="en-GB"/>
              </w:rPr>
              <w:t>верификације</w:t>
            </w:r>
          </w:p>
        </w:tc>
      </w:tr>
      <w:tr w:rsidR="00854ADA" w:rsidRPr="00FF386D" w14:paraId="191BDC22" w14:textId="77777777" w:rsidTr="0057310C">
        <w:trPr>
          <w:trHeight w:val="441"/>
        </w:trPr>
        <w:tc>
          <w:tcPr>
            <w:tcW w:w="3329" w:type="dxa"/>
            <w:tcBorders>
              <w:top w:val="nil"/>
              <w:left w:val="single" w:sz="8" w:space="0" w:color="auto"/>
              <w:bottom w:val="single" w:sz="8" w:space="0" w:color="auto"/>
              <w:right w:val="nil"/>
            </w:tcBorders>
            <w:shd w:val="clear" w:color="000000" w:fill="244062"/>
            <w:vAlign w:val="center"/>
            <w:hideMark/>
          </w:tcPr>
          <w:p w14:paraId="2B7A1B7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067D89CB"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Повећање удела ОИЕ у електричној енергији, повећање удела ОИЕ у грејању и хлађењу и повећање удела ОИЕ у саобраћају</w:t>
            </w:r>
          </w:p>
        </w:tc>
      </w:tr>
      <w:tr w:rsidR="00854ADA" w:rsidRPr="00FF386D" w14:paraId="00CE62D2"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5CD8BE5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020B2671" w14:textId="2A7B8283"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Допринос </w:t>
            </w:r>
            <w:r w:rsidR="003123AE" w:rsidRPr="003123AE">
              <w:rPr>
                <w:rFonts w:ascii="Calibri Light" w:eastAsia="Times New Roman" w:hAnsi="Calibri Light" w:cs="Calibri Light"/>
                <w:color w:val="000000"/>
                <w:sz w:val="20"/>
                <w:szCs w:val="20"/>
                <w:lang w:eastAsia="en-GB"/>
              </w:rPr>
              <w:t>очекиваном учешћу биогорива, биотечности и биомасе</w:t>
            </w:r>
          </w:p>
        </w:tc>
      </w:tr>
      <w:tr w:rsidR="00854ADA" w:rsidRPr="00FF386D" w14:paraId="5D48CFF0" w14:textId="77777777" w:rsidTr="0057310C">
        <w:trPr>
          <w:trHeight w:val="1279"/>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08B1B46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2461F6E1" w14:textId="5F4AA3AB"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МП_Д4</w:t>
            </w:r>
            <w:r w:rsidR="00795B2C">
              <w:rPr>
                <w:rFonts w:ascii="Calibri Light" w:eastAsia="Times New Roman" w:hAnsi="Calibri Light" w:cs="Calibri Light"/>
                <w:color w:val="000000"/>
                <w:sz w:val="20"/>
                <w:szCs w:val="20"/>
                <w:lang w:eastAsia="en-GB"/>
              </w:rPr>
              <w:t>1</w:t>
            </w:r>
            <w:r w:rsidRPr="000A2AFE">
              <w:rPr>
                <w:rFonts w:ascii="Calibri Light" w:eastAsia="Times New Roman" w:hAnsi="Calibri Light" w:cs="Calibri Light"/>
                <w:color w:val="000000"/>
                <w:sz w:val="20"/>
                <w:szCs w:val="20"/>
                <w:lang w:eastAsia="en-GB"/>
              </w:rPr>
              <w:t xml:space="preserve"> ће развити </w:t>
            </w:r>
            <w:r w:rsidR="002C2039" w:rsidRPr="000A2AFE">
              <w:rPr>
                <w:rFonts w:ascii="Calibri Light" w:eastAsia="Times New Roman" w:hAnsi="Calibri Light" w:cs="Calibri Light"/>
                <w:color w:val="000000"/>
                <w:sz w:val="20"/>
                <w:szCs w:val="20"/>
                <w:lang w:eastAsia="en-GB"/>
              </w:rPr>
              <w:t xml:space="preserve">свеобухватан </w:t>
            </w:r>
            <w:r w:rsidRPr="000A2AFE">
              <w:rPr>
                <w:rFonts w:ascii="Calibri Light" w:eastAsia="Times New Roman" w:hAnsi="Calibri Light" w:cs="Calibri Light"/>
                <w:color w:val="000000"/>
                <w:sz w:val="20"/>
                <w:szCs w:val="20"/>
                <w:lang w:eastAsia="en-GB"/>
              </w:rPr>
              <w:t>оквир за испуњавање критеријума одрживости и уштеде емисија гасова са ефектом стаклене баште за различите врсте биомасе, према одредби Директиве 2018/2001/ЕУ. Осим тога, биће успостављен механизам праћења, контроле и верификације, којим се обезбеђује и оправдава испуњење дефинисаних критеријума.</w:t>
            </w:r>
          </w:p>
        </w:tc>
      </w:tr>
      <w:tr w:rsidR="00854ADA" w:rsidRPr="00FF386D" w14:paraId="15B3DA59"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4D5E111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2CC17BB7" w14:textId="4D75CD48"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56683F" w:rsidRPr="000A2AFE">
              <w:rPr>
                <w:rFonts w:ascii="Calibri Light" w:eastAsia="Times New Roman" w:hAnsi="Calibri Light" w:cs="Calibri Light"/>
                <w:color w:val="000000"/>
                <w:sz w:val="20"/>
                <w:szCs w:val="20"/>
                <w:lang w:eastAsia="en-GB"/>
              </w:rPr>
              <w:t>5</w:t>
            </w:r>
            <w:r w:rsidR="006E6FC3">
              <w:rPr>
                <w:rFonts w:ascii="Calibri Light" w:eastAsia="Times New Roman" w:hAnsi="Calibri Light" w:cs="Calibri Light"/>
                <w:color w:val="000000"/>
                <w:sz w:val="20"/>
                <w:szCs w:val="20"/>
                <w:lang w:eastAsia="en-GB"/>
              </w:rPr>
              <w:t>.</w:t>
            </w:r>
          </w:p>
        </w:tc>
      </w:tr>
      <w:tr w:rsidR="00854ADA" w:rsidRPr="00FF386D" w14:paraId="419E4D35"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2FCC4B0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4B66CB9E"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Реформа</w:t>
            </w:r>
          </w:p>
        </w:tc>
      </w:tr>
      <w:tr w:rsidR="00854ADA" w:rsidRPr="00FF386D" w14:paraId="382465CD"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7104B7C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5D0C3399"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Електроенергетика, грејање и хлађење, саобраћај</w:t>
            </w:r>
          </w:p>
        </w:tc>
      </w:tr>
      <w:tr w:rsidR="00854ADA" w:rsidRPr="00FF386D" w14:paraId="042CE2FA"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67622E8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3CA0E98F" w14:textId="0EDA95E8" w:rsidR="00854ADA" w:rsidRPr="00FF386D" w:rsidRDefault="0056683F">
            <w:pPr>
              <w:pStyle w:val="ListParagraph"/>
              <w:numPr>
                <w:ilvl w:val="0"/>
                <w:numId w:val="288"/>
              </w:num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767CA0FB" w14:textId="77777777" w:rsidTr="0057310C">
        <w:trPr>
          <w:trHeight w:val="315"/>
        </w:trPr>
        <w:tc>
          <w:tcPr>
            <w:tcW w:w="3329" w:type="dxa"/>
            <w:tcBorders>
              <w:top w:val="nil"/>
              <w:left w:val="single" w:sz="8" w:space="0" w:color="auto"/>
              <w:bottom w:val="single" w:sz="8" w:space="0" w:color="auto"/>
              <w:right w:val="nil"/>
            </w:tcBorders>
            <w:shd w:val="clear" w:color="000000" w:fill="244062"/>
            <w:vAlign w:val="center"/>
            <w:hideMark/>
          </w:tcPr>
          <w:p w14:paraId="490C43F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769969CC" w14:textId="69DA98F2" w:rsidR="00854ADA" w:rsidRPr="000A2AFE" w:rsidRDefault="006E6FC3" w:rsidP="000A2AFE">
            <w:pPr>
              <w:pStyle w:val="ListParagraph"/>
              <w:numPr>
                <w:ilvl w:val="0"/>
                <w:numId w:val="288"/>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04373D81" w14:textId="77777777" w:rsidTr="0057310C">
        <w:trPr>
          <w:trHeight w:val="315"/>
        </w:trPr>
        <w:tc>
          <w:tcPr>
            <w:tcW w:w="3329" w:type="dxa"/>
            <w:tcBorders>
              <w:top w:val="nil"/>
              <w:left w:val="single" w:sz="8" w:space="0" w:color="auto"/>
              <w:bottom w:val="single" w:sz="8" w:space="0" w:color="auto"/>
              <w:right w:val="nil"/>
            </w:tcBorders>
            <w:shd w:val="clear" w:color="000000" w:fill="244062"/>
            <w:vAlign w:val="center"/>
            <w:hideMark/>
          </w:tcPr>
          <w:p w14:paraId="2638B05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67D22736" w14:textId="77777777" w:rsidR="00854ADA" w:rsidRPr="000A2AFE" w:rsidRDefault="00854ADA" w:rsidP="000A2AFE">
            <w:pPr>
              <w:pStyle w:val="ListParagraph"/>
              <w:numPr>
                <w:ilvl w:val="0"/>
                <w:numId w:val="288"/>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Развијен законодавни и регулаторни оквир</w:t>
            </w:r>
          </w:p>
        </w:tc>
      </w:tr>
      <w:tr w:rsidR="00854ADA" w:rsidRPr="00FF386D" w14:paraId="18615B4F" w14:textId="77777777" w:rsidTr="0057310C">
        <w:trPr>
          <w:trHeight w:val="362"/>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563F2D2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Друге релевантне обухваћене димензије Енергетске уније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tcPr>
          <w:p w14:paraId="098ACAEB" w14:textId="77777777" w:rsidR="006E6FC3" w:rsidRPr="006E6FC3" w:rsidRDefault="006E6FC3" w:rsidP="006E6FC3">
            <w:pPr>
              <w:numPr>
                <w:ilvl w:val="0"/>
                <w:numId w:val="114"/>
              </w:numPr>
              <w:spacing w:after="0" w:line="240" w:lineRule="auto"/>
              <w:rPr>
                <w:rFonts w:ascii="Calibri Light" w:eastAsia="Times New Roman" w:hAnsi="Calibri Light" w:cs="Calibri Light"/>
                <w:color w:val="000000"/>
                <w:sz w:val="20"/>
                <w:szCs w:val="20"/>
                <w:lang w:eastAsia="en-GB"/>
              </w:rPr>
            </w:pPr>
            <w:r w:rsidRPr="006E6FC3">
              <w:rPr>
                <w:rFonts w:ascii="Calibri Light" w:eastAsia="Times New Roman" w:hAnsi="Calibri Light" w:cs="Calibri Light"/>
                <w:color w:val="000000"/>
                <w:sz w:val="20"/>
                <w:szCs w:val="20"/>
                <w:lang w:eastAsia="en-GB"/>
              </w:rPr>
              <w:t>Енергетска ефикасност (промовисане технологије ОИЕ ће довести и до уштеде примарне енергије доприносећи постизању релевантних циљева)</w:t>
            </w:r>
          </w:p>
          <w:p w14:paraId="50B3AF85" w14:textId="2C9760C7" w:rsidR="00854ADA" w:rsidRPr="000A2AFE" w:rsidRDefault="006E6FC3" w:rsidP="000A2AFE">
            <w:pPr>
              <w:pStyle w:val="ListParagraph"/>
              <w:numPr>
                <w:ilvl w:val="0"/>
                <w:numId w:val="11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854ADA" w:rsidRPr="00FF386D" w14:paraId="67DBE3C9" w14:textId="77777777" w:rsidTr="0057310C">
        <w:trPr>
          <w:trHeight w:val="450"/>
        </w:trPr>
        <w:tc>
          <w:tcPr>
            <w:tcW w:w="3329"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69F89EF1" w14:textId="01859852"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29"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01F67B11"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2018/2001/ЕУ</w:t>
            </w:r>
          </w:p>
        </w:tc>
      </w:tr>
      <w:tr w:rsidR="00854ADA" w:rsidRPr="00FF386D" w14:paraId="5CC967D5" w14:textId="77777777" w:rsidTr="0057310C">
        <w:trPr>
          <w:trHeight w:val="450"/>
        </w:trPr>
        <w:tc>
          <w:tcPr>
            <w:tcW w:w="3329" w:type="dxa"/>
            <w:vMerge/>
            <w:tcBorders>
              <w:top w:val="nil"/>
              <w:left w:val="single" w:sz="8" w:space="0" w:color="auto"/>
              <w:bottom w:val="single" w:sz="8" w:space="0" w:color="000000"/>
              <w:right w:val="single" w:sz="8" w:space="0" w:color="auto"/>
            </w:tcBorders>
            <w:vAlign w:val="center"/>
            <w:hideMark/>
          </w:tcPr>
          <w:p w14:paraId="79BE811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9" w:type="dxa"/>
            <w:gridSpan w:val="3"/>
            <w:vMerge/>
            <w:tcBorders>
              <w:top w:val="single" w:sz="8" w:space="0" w:color="auto"/>
              <w:left w:val="single" w:sz="8" w:space="0" w:color="auto"/>
              <w:bottom w:val="single" w:sz="8" w:space="0" w:color="000000"/>
              <w:right w:val="single" w:sz="8" w:space="0" w:color="000000"/>
            </w:tcBorders>
            <w:vAlign w:val="center"/>
            <w:hideMark/>
          </w:tcPr>
          <w:p w14:paraId="1C6B55DB"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5265C6A4" w14:textId="77777777" w:rsidTr="0057310C">
        <w:trPr>
          <w:trHeight w:val="450"/>
        </w:trPr>
        <w:tc>
          <w:tcPr>
            <w:tcW w:w="3329" w:type="dxa"/>
            <w:vMerge/>
            <w:tcBorders>
              <w:top w:val="nil"/>
              <w:left w:val="single" w:sz="8" w:space="0" w:color="auto"/>
              <w:bottom w:val="single" w:sz="8" w:space="0" w:color="000000"/>
              <w:right w:val="single" w:sz="8" w:space="0" w:color="auto"/>
            </w:tcBorders>
            <w:vAlign w:val="center"/>
            <w:hideMark/>
          </w:tcPr>
          <w:p w14:paraId="35A135D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9" w:type="dxa"/>
            <w:gridSpan w:val="3"/>
            <w:vMerge/>
            <w:tcBorders>
              <w:top w:val="single" w:sz="8" w:space="0" w:color="auto"/>
              <w:left w:val="single" w:sz="8" w:space="0" w:color="auto"/>
              <w:bottom w:val="single" w:sz="8" w:space="0" w:color="000000"/>
              <w:right w:val="single" w:sz="8" w:space="0" w:color="000000"/>
            </w:tcBorders>
            <w:vAlign w:val="center"/>
            <w:hideMark/>
          </w:tcPr>
          <w:p w14:paraId="049B3C52"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170452D6" w14:textId="77777777" w:rsidTr="0057310C">
        <w:trPr>
          <w:trHeight w:val="269"/>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25826BE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17724D18" w14:textId="77777777" w:rsidR="00854ADA" w:rsidRPr="00FF386D" w:rsidRDefault="00854ADA" w:rsidP="00854ADA">
            <w:pPr>
              <w:numPr>
                <w:ilvl w:val="0"/>
                <w:numId w:val="1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коришћењу обновљивих извора енергије</w:t>
            </w:r>
          </w:p>
        </w:tc>
      </w:tr>
      <w:tr w:rsidR="00854ADA" w:rsidRPr="00FF386D" w14:paraId="57C8AA7B"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1BEA894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29" w:type="dxa"/>
            <w:gridSpan w:val="3"/>
            <w:tcBorders>
              <w:top w:val="single" w:sz="4" w:space="0" w:color="auto"/>
              <w:left w:val="single" w:sz="4" w:space="0" w:color="auto"/>
              <w:bottom w:val="single" w:sz="4" w:space="0" w:color="000000"/>
              <w:right w:val="single" w:sz="4" w:space="0" w:color="000000"/>
            </w:tcBorders>
            <w:shd w:val="clear" w:color="auto" w:fill="auto"/>
            <w:vAlign w:val="center"/>
            <w:hideMark/>
          </w:tcPr>
          <w:p w14:paraId="0FA2133C"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0,2 милиона евра</w:t>
            </w:r>
          </w:p>
        </w:tc>
      </w:tr>
      <w:tr w:rsidR="00854ADA" w:rsidRPr="00FF386D" w14:paraId="2F31063E"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484107A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01D04D45" w14:textId="1EBB93DD"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2C2039" w:rsidRPr="00FF386D">
              <w:rPr>
                <w:rFonts w:asciiTheme="majorHAnsi" w:eastAsia="Times New Roman" w:hAnsiTheme="majorHAnsi" w:cstheme="majorHAnsi"/>
                <w:color w:val="000000"/>
                <w:sz w:val="20"/>
                <w:szCs w:val="20"/>
                <w:lang w:eastAsia="en-GB"/>
              </w:rPr>
              <w:t>ска средства</w:t>
            </w:r>
          </w:p>
        </w:tc>
      </w:tr>
      <w:bookmarkEnd w:id="111"/>
    </w:tbl>
    <w:p w14:paraId="06C93885" w14:textId="77777777" w:rsidR="00854ADA" w:rsidRPr="00FF386D" w:rsidRDefault="00854ADA" w:rsidP="00854ADA">
      <w:pPr>
        <w:spacing w:before="120" w:after="120" w:line="240" w:lineRule="auto"/>
        <w:jc w:val="both"/>
        <w:rPr>
          <w:rFonts w:ascii="Calibri" w:eastAsia="Times New Roman" w:hAnsi="Calibri" w:cs="Arial"/>
          <w:lang w:eastAsia="el-GR"/>
        </w:rPr>
      </w:pPr>
    </w:p>
    <w:p w14:paraId="57535DEA" w14:textId="43ACAAF1" w:rsidR="00854ADA" w:rsidRPr="00FF386D" w:rsidRDefault="00854ADA" w:rsidP="00854ADA">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Осим мера које су п</w:t>
      </w:r>
      <w:r w:rsidR="00CB740C" w:rsidRPr="00FF386D">
        <w:rPr>
          <w:rFonts w:asciiTheme="majorHAnsi" w:eastAsia="Times New Roman" w:hAnsiTheme="majorHAnsi" w:cstheme="majorHAnsi"/>
          <w:lang w:eastAsia="el-GR"/>
        </w:rPr>
        <w:t>риказане</w:t>
      </w:r>
      <w:r w:rsidRPr="00FF386D">
        <w:rPr>
          <w:rFonts w:asciiTheme="majorHAnsi" w:eastAsia="Times New Roman" w:hAnsiTheme="majorHAnsi" w:cstheme="majorHAnsi"/>
          <w:lang w:eastAsia="el-GR"/>
        </w:rPr>
        <w:t xml:space="preserve"> у претходним табелама, мере </w:t>
      </w:r>
      <w:r w:rsidR="00CB740C" w:rsidRPr="00FF386D">
        <w:rPr>
          <w:rFonts w:asciiTheme="majorHAnsi" w:eastAsia="Times New Roman" w:hAnsiTheme="majorHAnsi" w:cstheme="majorHAnsi"/>
          <w:lang w:eastAsia="el-GR"/>
        </w:rPr>
        <w:t>повезане са другим</w:t>
      </w:r>
      <w:r w:rsidRPr="00FF386D">
        <w:rPr>
          <w:rFonts w:asciiTheme="majorHAnsi" w:eastAsia="Times New Roman" w:hAnsiTheme="majorHAnsi" w:cstheme="majorHAnsi"/>
          <w:lang w:eastAsia="el-GR"/>
        </w:rPr>
        <w:t xml:space="preserve"> димензија</w:t>
      </w:r>
      <w:r w:rsidR="00CB740C" w:rsidRPr="00FF386D">
        <w:rPr>
          <w:rFonts w:asciiTheme="majorHAnsi" w:eastAsia="Times New Roman" w:hAnsiTheme="majorHAnsi" w:cstheme="majorHAnsi"/>
          <w:lang w:eastAsia="el-GR"/>
        </w:rPr>
        <w:t>ма</w:t>
      </w:r>
      <w:r w:rsidR="00F179C9" w:rsidRPr="00FF386D">
        <w:rPr>
          <w:rFonts w:asciiTheme="majorHAnsi" w:eastAsia="Times New Roman" w:hAnsiTheme="majorHAnsi" w:cstheme="majorHAnsi"/>
          <w:lang w:eastAsia="el-GR"/>
        </w:rPr>
        <w:t>,</w:t>
      </w:r>
      <w:r w:rsidRPr="00FF386D">
        <w:rPr>
          <w:rFonts w:asciiTheme="majorHAnsi" w:eastAsia="Times New Roman" w:hAnsiTheme="majorHAnsi" w:cstheme="majorHAnsi"/>
          <w:lang w:eastAsia="el-GR"/>
        </w:rPr>
        <w:t xml:space="preserve"> које такође утичу на димензију декарбонизације и доприносе постизању циљева декарбонизације јесу следеће:</w:t>
      </w:r>
    </w:p>
    <w:p w14:paraId="17B07A88" w14:textId="3B512E28" w:rsidR="00854ADA" w:rsidRPr="006E6FC3" w:rsidRDefault="00854ADA" w:rsidP="006E6FC3">
      <w:pPr>
        <w:numPr>
          <w:ilvl w:val="0"/>
          <w:numId w:val="5"/>
        </w:numPr>
        <w:spacing w:before="120" w:after="120" w:line="240" w:lineRule="auto"/>
        <w:jc w:val="both"/>
        <w:rPr>
          <w:rFonts w:asciiTheme="majorHAnsi" w:eastAsia="Times New Roman" w:hAnsiTheme="majorHAnsi" w:cstheme="majorHAnsi"/>
          <w:lang w:eastAsia="el-GR"/>
        </w:rPr>
      </w:pPr>
      <w:r w:rsidRPr="006E6FC3">
        <w:rPr>
          <w:rFonts w:asciiTheme="majorHAnsi" w:eastAsia="Times New Roman" w:hAnsiTheme="majorHAnsi" w:cstheme="majorHAnsi"/>
          <w:lang w:eastAsia="el-GR"/>
        </w:rPr>
        <w:t xml:space="preserve">Димензија енергетска ефикасност: </w:t>
      </w:r>
      <w:r w:rsidRPr="006E6FC3">
        <w:rPr>
          <w:rFonts w:asciiTheme="majorHAnsi" w:eastAsia="Times New Roman" w:hAnsiTheme="majorHAnsi" w:cstheme="majorHAnsi"/>
          <w:b/>
          <w:bCs/>
          <w:lang w:eastAsia="el-GR"/>
        </w:rPr>
        <w:t>MП_EE1– MП_EE4</w:t>
      </w:r>
      <w:r w:rsidR="006E6FC3">
        <w:rPr>
          <w:rFonts w:asciiTheme="majorHAnsi" w:eastAsia="Times New Roman" w:hAnsiTheme="majorHAnsi" w:cstheme="majorHAnsi"/>
          <w:b/>
          <w:bCs/>
          <w:lang w:eastAsia="el-GR"/>
        </w:rPr>
        <w:t>6</w:t>
      </w:r>
      <w:r w:rsidRPr="006E6FC3">
        <w:rPr>
          <w:rFonts w:asciiTheme="majorHAnsi" w:eastAsia="Times New Roman" w:hAnsiTheme="majorHAnsi" w:cstheme="majorHAnsi"/>
          <w:lang w:eastAsia="el-GR"/>
        </w:rPr>
        <w:t xml:space="preserve">Димензија енергетска сигурност: </w:t>
      </w:r>
      <w:r w:rsidRPr="006E6FC3">
        <w:rPr>
          <w:rFonts w:asciiTheme="majorHAnsi" w:eastAsia="Times New Roman" w:hAnsiTheme="majorHAnsi" w:cstheme="majorHAnsi"/>
          <w:b/>
          <w:bCs/>
          <w:lang w:eastAsia="el-GR"/>
        </w:rPr>
        <w:t>MП_EС2</w:t>
      </w:r>
      <w:r w:rsidRPr="006E6FC3">
        <w:rPr>
          <w:rFonts w:asciiTheme="majorHAnsi" w:eastAsia="Times New Roman" w:hAnsiTheme="majorHAnsi" w:cstheme="majorHAnsi"/>
          <w:lang w:eastAsia="el-GR"/>
        </w:rPr>
        <w:t xml:space="preserve">, </w:t>
      </w:r>
      <w:r w:rsidRPr="006E6FC3">
        <w:rPr>
          <w:rFonts w:asciiTheme="majorHAnsi" w:eastAsia="Times New Roman" w:hAnsiTheme="majorHAnsi" w:cstheme="majorHAnsi"/>
          <w:b/>
          <w:bCs/>
          <w:lang w:eastAsia="el-GR"/>
        </w:rPr>
        <w:t>MП_EС3</w:t>
      </w:r>
      <w:r w:rsidRPr="006E6FC3">
        <w:rPr>
          <w:rFonts w:asciiTheme="majorHAnsi" w:eastAsia="Times New Roman" w:hAnsiTheme="majorHAnsi" w:cstheme="majorHAnsi"/>
          <w:lang w:eastAsia="el-GR"/>
        </w:rPr>
        <w:t xml:space="preserve">, </w:t>
      </w:r>
      <w:r w:rsidRPr="006E6FC3">
        <w:rPr>
          <w:rFonts w:asciiTheme="majorHAnsi" w:eastAsia="Times New Roman" w:hAnsiTheme="majorHAnsi" w:cstheme="majorHAnsi"/>
          <w:b/>
          <w:bCs/>
          <w:lang w:eastAsia="el-GR"/>
        </w:rPr>
        <w:t>MП_EС3.1</w:t>
      </w:r>
      <w:r w:rsidR="007644B7">
        <w:rPr>
          <w:rFonts w:asciiTheme="majorHAnsi" w:eastAsia="Times New Roman" w:hAnsiTheme="majorHAnsi" w:cstheme="majorHAnsi"/>
          <w:b/>
          <w:bCs/>
          <w:lang w:val="sr-Latn-RS" w:eastAsia="el-GR"/>
        </w:rPr>
        <w:t xml:space="preserve"> </w:t>
      </w:r>
      <w:r w:rsidRPr="006E6FC3">
        <w:rPr>
          <w:rFonts w:asciiTheme="majorHAnsi" w:eastAsia="Times New Roman" w:hAnsiTheme="majorHAnsi" w:cstheme="majorHAnsi"/>
          <w:lang w:eastAsia="el-GR"/>
        </w:rPr>
        <w:t>и</w:t>
      </w:r>
      <w:r w:rsidR="007644B7">
        <w:rPr>
          <w:rFonts w:asciiTheme="majorHAnsi" w:eastAsia="Times New Roman" w:hAnsiTheme="majorHAnsi" w:cstheme="majorHAnsi"/>
          <w:lang w:val="sr-Latn-RS" w:eastAsia="el-GR"/>
        </w:rPr>
        <w:t xml:space="preserve"> </w:t>
      </w:r>
      <w:r w:rsidRPr="006E6FC3">
        <w:rPr>
          <w:rFonts w:asciiTheme="majorHAnsi" w:eastAsia="Times New Roman" w:hAnsiTheme="majorHAnsi" w:cstheme="majorHAnsi"/>
          <w:b/>
          <w:bCs/>
          <w:lang w:eastAsia="el-GR"/>
        </w:rPr>
        <w:t>PM_EС8</w:t>
      </w:r>
    </w:p>
    <w:p w14:paraId="68597ABC" w14:textId="25E080E5" w:rsidR="00854ADA" w:rsidRPr="00FF386D" w:rsidRDefault="00854ADA" w:rsidP="00854ADA">
      <w:pPr>
        <w:numPr>
          <w:ilvl w:val="0"/>
          <w:numId w:val="5"/>
        </w:num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Димензија унутрашње енергетско тржиште: </w:t>
      </w:r>
      <w:r w:rsidRPr="00FF386D">
        <w:rPr>
          <w:rFonts w:asciiTheme="majorHAnsi" w:eastAsia="Times New Roman" w:hAnsiTheme="majorHAnsi" w:cstheme="majorHAnsi"/>
          <w:b/>
          <w:bCs/>
          <w:lang w:eastAsia="el-GR"/>
        </w:rPr>
        <w:t>MП_УЕТ8 (MП_УЕТ8.1 – MП_УЕТ8.8)</w:t>
      </w:r>
      <w:r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b/>
          <w:bCs/>
          <w:lang w:eastAsia="el-GR"/>
        </w:rPr>
        <w:t>MП_УЕТ17</w:t>
      </w:r>
      <w:r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b/>
          <w:bCs/>
          <w:lang w:eastAsia="el-GR"/>
        </w:rPr>
        <w:t>MП_УЕТ20</w:t>
      </w:r>
      <w:r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b/>
          <w:bCs/>
          <w:lang w:eastAsia="el-GR"/>
        </w:rPr>
        <w:t>MП_</w:t>
      </w:r>
      <w:r w:rsidR="001F5DEB" w:rsidRPr="00FF386D">
        <w:rPr>
          <w:rFonts w:asciiTheme="majorHAnsi" w:eastAsia="Times New Roman" w:hAnsiTheme="majorHAnsi" w:cstheme="majorHAnsi"/>
          <w:b/>
          <w:bCs/>
          <w:lang w:eastAsia="el-GR"/>
        </w:rPr>
        <w:t>УЕТ</w:t>
      </w:r>
      <w:r w:rsidR="001F5DEB">
        <w:rPr>
          <w:rFonts w:asciiTheme="majorHAnsi" w:eastAsia="Times New Roman" w:hAnsiTheme="majorHAnsi" w:cstheme="majorHAnsi"/>
          <w:b/>
          <w:bCs/>
          <w:lang w:val="sr-Latn-RS" w:eastAsia="el-GR"/>
        </w:rPr>
        <w:t>29</w:t>
      </w:r>
      <w:r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b/>
          <w:bCs/>
          <w:lang w:eastAsia="el-GR"/>
        </w:rPr>
        <w:t>MП_УЕТ3</w:t>
      </w:r>
      <w:r w:rsidR="001F5DEB">
        <w:rPr>
          <w:rFonts w:asciiTheme="majorHAnsi" w:eastAsia="Times New Roman" w:hAnsiTheme="majorHAnsi" w:cstheme="majorHAnsi"/>
          <w:b/>
          <w:bCs/>
          <w:lang w:val="sr-Latn-RS" w:eastAsia="el-GR"/>
        </w:rPr>
        <w:t>0</w:t>
      </w:r>
      <w:r w:rsidRPr="00FF386D">
        <w:rPr>
          <w:rFonts w:asciiTheme="majorHAnsi" w:eastAsia="Times New Roman" w:hAnsiTheme="majorHAnsi" w:cstheme="majorHAnsi"/>
          <w:b/>
          <w:bCs/>
          <w:lang w:eastAsia="el-GR"/>
        </w:rPr>
        <w:t xml:space="preserve"> </w:t>
      </w:r>
      <w:r w:rsidRPr="00FF386D">
        <w:rPr>
          <w:rFonts w:asciiTheme="majorHAnsi" w:eastAsia="Times New Roman" w:hAnsiTheme="majorHAnsi" w:cstheme="majorHAnsi"/>
          <w:lang w:eastAsia="el-GR"/>
        </w:rPr>
        <w:t xml:space="preserve">и </w:t>
      </w:r>
      <w:r w:rsidRPr="00FF386D">
        <w:rPr>
          <w:rFonts w:asciiTheme="majorHAnsi" w:eastAsia="Times New Roman" w:hAnsiTheme="majorHAnsi" w:cstheme="majorHAnsi"/>
          <w:b/>
          <w:bCs/>
          <w:lang w:eastAsia="el-GR"/>
        </w:rPr>
        <w:t>MП_УЕТ3</w:t>
      </w:r>
      <w:r w:rsidR="001F5DEB">
        <w:rPr>
          <w:rFonts w:asciiTheme="majorHAnsi" w:eastAsia="Times New Roman" w:hAnsiTheme="majorHAnsi" w:cstheme="majorHAnsi"/>
          <w:b/>
          <w:bCs/>
          <w:lang w:val="sr-Latn-RS" w:eastAsia="el-GR"/>
        </w:rPr>
        <w:t>6</w:t>
      </w:r>
    </w:p>
    <w:p w14:paraId="4BC67B80" w14:textId="77777777" w:rsidR="00854ADA" w:rsidRPr="00FF386D" w:rsidRDefault="00854ADA" w:rsidP="00854ADA">
      <w:pPr>
        <w:spacing w:before="120" w:after="120" w:line="240" w:lineRule="auto"/>
        <w:jc w:val="both"/>
        <w:rPr>
          <w:rFonts w:ascii="Calibri" w:eastAsia="Times New Roman" w:hAnsi="Calibri" w:cs="Arial"/>
          <w:lang w:eastAsia="el-GR"/>
        </w:rPr>
      </w:pPr>
    </w:p>
    <w:p w14:paraId="187CCB59" w14:textId="77777777" w:rsidR="00854ADA" w:rsidRPr="00565B02" w:rsidRDefault="00854ADA" w:rsidP="00B1080B">
      <w:pPr>
        <w:pStyle w:val="Heading2"/>
        <w:rPr>
          <w:lang w:val="sr-Cyrl-RS"/>
        </w:rPr>
      </w:pPr>
      <w:bookmarkStart w:id="112" w:name="_Toc115351870"/>
      <w:bookmarkStart w:id="113" w:name="_Toc137457024"/>
      <w:bookmarkStart w:id="114" w:name="_Toc153901543"/>
      <w:r w:rsidRPr="00565B02">
        <w:rPr>
          <w:lang w:val="sr-Cyrl-RS"/>
        </w:rPr>
        <w:t>Димензија енергетска ефикасност</w:t>
      </w:r>
      <w:bookmarkEnd w:id="112"/>
      <w:bookmarkEnd w:id="113"/>
      <w:bookmarkEnd w:id="114"/>
    </w:p>
    <w:p w14:paraId="0691D3C0" w14:textId="561538C4" w:rsidR="00854ADA" w:rsidRPr="00FF386D" w:rsidRDefault="00854ADA">
      <w:pPr>
        <w:keepNext/>
        <w:keepLines/>
        <w:numPr>
          <w:ilvl w:val="0"/>
          <w:numId w:val="270"/>
        </w:numPr>
        <w:spacing w:before="200" w:after="0" w:line="240" w:lineRule="auto"/>
        <w:outlineLvl w:val="3"/>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t>Обавезујуће шеме енергетск</w:t>
      </w:r>
      <w:r w:rsidR="002C2039" w:rsidRPr="00FF386D">
        <w:rPr>
          <w:rFonts w:asciiTheme="majorHAnsi" w:eastAsiaTheme="majorEastAsia" w:hAnsiTheme="majorHAnsi" w:cstheme="majorBidi"/>
          <w:b/>
          <w:bCs/>
          <w:iCs/>
          <w:color w:val="01406B"/>
          <w:szCs w:val="24"/>
        </w:rPr>
        <w:t>е</w:t>
      </w:r>
      <w:r w:rsidRPr="00FF386D">
        <w:rPr>
          <w:rFonts w:asciiTheme="majorHAnsi" w:eastAsiaTheme="majorEastAsia" w:hAnsiTheme="majorHAnsi" w:cstheme="majorBidi"/>
          <w:b/>
          <w:bCs/>
          <w:iCs/>
          <w:color w:val="01406B"/>
          <w:szCs w:val="24"/>
        </w:rPr>
        <w:t xml:space="preserve"> ефикасност</w:t>
      </w:r>
      <w:r w:rsidR="002C2039" w:rsidRPr="00FF386D">
        <w:rPr>
          <w:rFonts w:asciiTheme="majorHAnsi" w:eastAsiaTheme="majorEastAsia" w:hAnsiTheme="majorHAnsi" w:cstheme="majorBidi"/>
          <w:b/>
          <w:bCs/>
          <w:iCs/>
          <w:color w:val="01406B"/>
          <w:szCs w:val="24"/>
        </w:rPr>
        <w:t>и</w:t>
      </w:r>
      <w:r w:rsidRPr="00FF386D">
        <w:rPr>
          <w:rFonts w:asciiTheme="majorHAnsi" w:eastAsiaTheme="majorEastAsia" w:hAnsiTheme="majorHAnsi" w:cstheme="majorBidi"/>
          <w:b/>
          <w:bCs/>
          <w:iCs/>
          <w:color w:val="01406B"/>
          <w:szCs w:val="24"/>
        </w:rPr>
        <w:t xml:space="preserve"> и алтернативн</w:t>
      </w:r>
      <w:r w:rsidR="002C2039" w:rsidRPr="00FF386D">
        <w:rPr>
          <w:rFonts w:asciiTheme="majorHAnsi" w:eastAsiaTheme="majorEastAsia" w:hAnsiTheme="majorHAnsi" w:cstheme="majorBidi"/>
          <w:b/>
          <w:bCs/>
          <w:iCs/>
          <w:color w:val="01406B"/>
          <w:szCs w:val="24"/>
        </w:rPr>
        <w:t>их</w:t>
      </w:r>
      <w:r w:rsidRPr="00FF386D">
        <w:rPr>
          <w:rFonts w:asciiTheme="majorHAnsi" w:eastAsiaTheme="majorEastAsia" w:hAnsiTheme="majorHAnsi" w:cstheme="majorBidi"/>
          <w:b/>
          <w:bCs/>
          <w:iCs/>
          <w:color w:val="01406B"/>
          <w:szCs w:val="24"/>
        </w:rPr>
        <w:t xml:space="preserve"> мер</w:t>
      </w:r>
      <w:r w:rsidR="002C2039" w:rsidRPr="00FF386D">
        <w:rPr>
          <w:rFonts w:asciiTheme="majorHAnsi" w:eastAsiaTheme="majorEastAsia" w:hAnsiTheme="majorHAnsi" w:cstheme="majorBidi"/>
          <w:b/>
          <w:bCs/>
          <w:iCs/>
          <w:color w:val="01406B"/>
          <w:szCs w:val="24"/>
        </w:rPr>
        <w:t>а</w:t>
      </w:r>
      <w:r w:rsidRPr="00FF386D">
        <w:rPr>
          <w:rFonts w:asciiTheme="majorHAnsi" w:eastAsiaTheme="majorEastAsia" w:hAnsiTheme="majorHAnsi" w:cstheme="majorBidi"/>
          <w:b/>
          <w:bCs/>
          <w:iCs/>
          <w:color w:val="01406B"/>
          <w:szCs w:val="24"/>
        </w:rPr>
        <w:t>, у складу са чланом 7. Директиве 2012/27/ЕУ</w:t>
      </w:r>
    </w:p>
    <w:p w14:paraId="23752BFE" w14:textId="79966BEE"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Циљ предвиђен чланом 7. Директиве</w:t>
      </w:r>
      <w:r w:rsidR="001E1DD1" w:rsidRPr="00FF386D">
        <w:rPr>
          <w:rFonts w:asciiTheme="majorHAnsi" w:hAnsiTheme="majorHAnsi" w:cstheme="majorHAnsi"/>
          <w:color w:val="000000"/>
        </w:rPr>
        <w:t xml:space="preserve"> (ЕУ)</w:t>
      </w:r>
      <w:r w:rsidRPr="00FF386D">
        <w:rPr>
          <w:rFonts w:asciiTheme="majorHAnsi" w:hAnsiTheme="majorHAnsi" w:cstheme="majorHAnsi"/>
          <w:color w:val="000000"/>
        </w:rPr>
        <w:t xml:space="preserve"> 2012/27, која је измењена и допуњена Директивом </w:t>
      </w:r>
      <w:r w:rsidR="001E1DD1" w:rsidRPr="00FF386D">
        <w:rPr>
          <w:rFonts w:asciiTheme="majorHAnsi" w:hAnsiTheme="majorHAnsi" w:cstheme="majorHAnsi"/>
          <w:color w:val="000000"/>
        </w:rPr>
        <w:t xml:space="preserve">(ЕУ) </w:t>
      </w:r>
      <w:r w:rsidRPr="00FF386D">
        <w:rPr>
          <w:rFonts w:asciiTheme="majorHAnsi" w:hAnsiTheme="majorHAnsi" w:cstheme="majorHAnsi"/>
          <w:color w:val="000000"/>
        </w:rPr>
        <w:t>2018/20</w:t>
      </w:r>
      <w:r w:rsidR="001E1DD1" w:rsidRPr="00FF386D">
        <w:rPr>
          <w:rFonts w:asciiTheme="majorHAnsi" w:hAnsiTheme="majorHAnsi" w:cstheme="majorHAnsi"/>
          <w:color w:val="000000"/>
        </w:rPr>
        <w:t>02</w:t>
      </w:r>
      <w:r w:rsidRPr="00FF386D">
        <w:rPr>
          <w:rFonts w:asciiTheme="majorHAnsi" w:hAnsiTheme="majorHAnsi" w:cstheme="majorHAnsi"/>
          <w:color w:val="000000"/>
        </w:rPr>
        <w:t>, биће постигнут применом алтернативних мера политике. Планиране алтернативне мере треба да доведу до 2023 ktoe кумулативне уштеде финалне енергије у периоду 2024-2030</w:t>
      </w:r>
      <w:r w:rsidR="00F179C9" w:rsidRPr="00FF386D">
        <w:rPr>
          <w:rFonts w:asciiTheme="majorHAnsi" w:hAnsiTheme="majorHAnsi" w:cstheme="majorHAnsi"/>
          <w:color w:val="000000"/>
        </w:rPr>
        <w:t>. године</w:t>
      </w:r>
      <w:r w:rsidRPr="00FF386D">
        <w:rPr>
          <w:rFonts w:asciiTheme="majorHAnsi" w:hAnsiTheme="majorHAnsi" w:cstheme="majorHAnsi"/>
          <w:color w:val="000000"/>
        </w:rPr>
        <w:t>, што одговара 506 ktoe нове уштеде финалне енергије у разматраном периоду.</w:t>
      </w:r>
      <w:r w:rsidR="001E1DD1" w:rsidRPr="00FF386D">
        <w:rPr>
          <w:rFonts w:asciiTheme="majorHAnsi" w:hAnsiTheme="majorHAnsi" w:cstheme="majorHAnsi"/>
          <w:color w:val="000000"/>
        </w:rPr>
        <w:t xml:space="preserve"> </w:t>
      </w:r>
      <w:r w:rsidR="0003727C" w:rsidRPr="00FF386D">
        <w:rPr>
          <w:rFonts w:asciiTheme="majorHAnsi" w:hAnsiTheme="majorHAnsi" w:cstheme="majorHAnsi"/>
          <w:color w:val="000000"/>
        </w:rPr>
        <w:t xml:space="preserve">Прорачун циља уштеде енергије је урађен узимајући у обзир просечну финалну потрошњу енергије у периоду 2018-2020. године (9.031 </w:t>
      </w:r>
      <w:r w:rsidR="0003727C" w:rsidRPr="000A2AFE">
        <w:rPr>
          <w:rFonts w:asciiTheme="majorHAnsi" w:hAnsiTheme="majorHAnsi" w:cstheme="majorHAnsi"/>
          <w:color w:val="000000"/>
        </w:rPr>
        <w:t>ktoe</w:t>
      </w:r>
      <w:r w:rsidR="0003727C" w:rsidRPr="00FF386D">
        <w:rPr>
          <w:rFonts w:asciiTheme="majorHAnsi" w:hAnsiTheme="majorHAnsi" w:cstheme="majorHAnsi"/>
          <w:color w:val="000000"/>
        </w:rPr>
        <w:t xml:space="preserve"> на основу података ЕВРОСТАТ-а), уз претпоставку фактора уштеде енергије од 0,8% у периоду 2024-2030. године.</w:t>
      </w:r>
    </w:p>
    <w:p w14:paraId="61256E70" w14:textId="0B4651D2"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Кретање потребне нове и кумулативне уштеде финалне енергије </w:t>
      </w:r>
      <w:r w:rsidR="00F179C9" w:rsidRPr="00FF386D">
        <w:rPr>
          <w:rFonts w:asciiTheme="majorHAnsi" w:hAnsiTheme="majorHAnsi" w:cstheme="majorHAnsi"/>
          <w:color w:val="000000"/>
        </w:rPr>
        <w:t xml:space="preserve">на годишњем нивоу </w:t>
      </w:r>
      <w:r w:rsidRPr="00FF386D">
        <w:rPr>
          <w:rFonts w:asciiTheme="majorHAnsi" w:hAnsiTheme="majorHAnsi" w:cstheme="majorHAnsi"/>
          <w:color w:val="000000"/>
        </w:rPr>
        <w:t>је приказано у</w:t>
      </w:r>
      <w:r w:rsidR="00FA3824">
        <w:rPr>
          <w:rFonts w:asciiTheme="majorHAnsi" w:hAnsiTheme="majorHAnsi" w:cstheme="majorHAnsi"/>
          <w:color w:val="000000"/>
        </w:rPr>
        <w:t xml:space="preserve"> </w:t>
      </w:r>
      <w:r w:rsidR="00FA3824">
        <w:rPr>
          <w:rFonts w:asciiTheme="majorHAnsi" w:hAnsiTheme="majorHAnsi" w:cstheme="majorHAnsi"/>
          <w:color w:val="000000"/>
        </w:rPr>
        <w:fldChar w:fldCharType="begin"/>
      </w:r>
      <w:r w:rsidR="00FA3824">
        <w:rPr>
          <w:rFonts w:asciiTheme="majorHAnsi" w:hAnsiTheme="majorHAnsi" w:cstheme="majorHAnsi"/>
          <w:color w:val="000000"/>
        </w:rPr>
        <w:instrText xml:space="preserve"> REF _Ref153554234 \h  \* MERGEFORMAT </w:instrText>
      </w:r>
      <w:r w:rsidR="00FA3824">
        <w:rPr>
          <w:rFonts w:asciiTheme="majorHAnsi" w:hAnsiTheme="majorHAnsi" w:cstheme="majorHAnsi"/>
          <w:color w:val="000000"/>
        </w:rPr>
      </w:r>
      <w:r w:rsidR="00FA3824">
        <w:rPr>
          <w:rFonts w:asciiTheme="majorHAnsi" w:hAnsiTheme="majorHAnsi" w:cstheme="majorHAnsi"/>
          <w:color w:val="000000"/>
        </w:rPr>
        <w:fldChar w:fldCharType="separate"/>
      </w:r>
      <w:r w:rsidR="00FA3824" w:rsidRPr="00565B02">
        <w:rPr>
          <w:rFonts w:asciiTheme="majorHAnsi" w:hAnsiTheme="majorHAnsi" w:cstheme="majorHAnsi"/>
          <w:color w:val="000000"/>
        </w:rPr>
        <w:t>табели 3.1</w:t>
      </w:r>
      <w:r w:rsidR="00FA3824">
        <w:rPr>
          <w:rFonts w:asciiTheme="majorHAnsi" w:hAnsiTheme="majorHAnsi" w:cstheme="majorHAnsi"/>
          <w:color w:val="000000"/>
        </w:rPr>
        <w:fldChar w:fldCharType="end"/>
      </w:r>
      <w:r w:rsidR="00F179C9" w:rsidRPr="00FF386D">
        <w:rPr>
          <w:rFonts w:asciiTheme="majorHAnsi" w:hAnsiTheme="majorHAnsi" w:cstheme="majorHAnsi"/>
          <w:color w:val="000000"/>
        </w:rPr>
        <w:t>.</w:t>
      </w:r>
    </w:p>
    <w:p w14:paraId="5B76FB9E" w14:textId="40DCD645" w:rsidR="00FA3824" w:rsidRDefault="00FA3824" w:rsidP="00565B02">
      <w:pPr>
        <w:pStyle w:val="Caption"/>
        <w:keepNext/>
      </w:pPr>
      <w:bookmarkStart w:id="115" w:name="_Ref153554234"/>
      <w:bookmarkStart w:id="116" w:name="_Toc153901471"/>
      <w:r>
        <w:t xml:space="preserve">Табела </w:t>
      </w:r>
      <w:r w:rsidR="00873C40">
        <w:fldChar w:fldCharType="begin"/>
      </w:r>
      <w:r w:rsidR="00873C40">
        <w:instrText xml:space="preserve"> STYLEREF 1 \s </w:instrText>
      </w:r>
      <w:r w:rsidR="00873C40">
        <w:fldChar w:fldCharType="separate"/>
      </w:r>
      <w:r w:rsidR="00873C40">
        <w:rPr>
          <w:noProof/>
        </w:rPr>
        <w:t>3</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1</w:t>
      </w:r>
      <w:r w:rsidR="00873C40">
        <w:fldChar w:fldCharType="end"/>
      </w:r>
      <w:bookmarkEnd w:id="115"/>
      <w:r w:rsidRPr="00FA3824">
        <w:t>: Нова и кумулативна уштеда финалне енергије у периоду 2024-2030.године</w:t>
      </w:r>
      <w:bookmarkEnd w:id="116"/>
    </w:p>
    <w:tbl>
      <w:tblPr>
        <w:tblW w:w="0" w:type="auto"/>
        <w:jc w:val="center"/>
        <w:tblLook w:val="04A0" w:firstRow="1" w:lastRow="0" w:firstColumn="1" w:lastColumn="0" w:noHBand="0" w:noVBand="1"/>
      </w:tblPr>
      <w:tblGrid>
        <w:gridCol w:w="1472"/>
        <w:gridCol w:w="581"/>
        <w:gridCol w:w="581"/>
        <w:gridCol w:w="581"/>
        <w:gridCol w:w="628"/>
        <w:gridCol w:w="719"/>
        <w:gridCol w:w="719"/>
        <w:gridCol w:w="719"/>
        <w:gridCol w:w="719"/>
        <w:gridCol w:w="719"/>
        <w:gridCol w:w="719"/>
        <w:gridCol w:w="1471"/>
      </w:tblGrid>
      <w:tr w:rsidR="001F5DEB" w:rsidRPr="00FF386D" w14:paraId="2B544D06" w14:textId="77777777" w:rsidTr="000A2AFE">
        <w:trPr>
          <w:trHeight w:val="289"/>
          <w:jc w:val="center"/>
        </w:trPr>
        <w:tc>
          <w:tcPr>
            <w:tcW w:w="0" w:type="auto"/>
            <w:tcBorders>
              <w:top w:val="single" w:sz="4" w:space="0" w:color="auto"/>
              <w:left w:val="single" w:sz="4" w:space="0" w:color="auto"/>
              <w:bottom w:val="single" w:sz="4" w:space="0" w:color="auto"/>
              <w:right w:val="single" w:sz="4" w:space="0" w:color="auto"/>
            </w:tcBorders>
            <w:shd w:val="clear" w:color="auto" w:fill="002060"/>
            <w:noWrap/>
            <w:hideMark/>
          </w:tcPr>
          <w:p w14:paraId="563F5C91" w14:textId="77777777" w:rsidR="00854ADA" w:rsidRPr="000A2AFE" w:rsidRDefault="00854ADA" w:rsidP="00854ADA">
            <w:pPr>
              <w:spacing w:after="0" w:line="240" w:lineRule="auto"/>
              <w:jc w:val="center"/>
              <w:rPr>
                <w:rFonts w:ascii="Calibri" w:hAnsi="Calibri" w:cs="Calibri"/>
                <w:b/>
                <w:bCs/>
                <w:sz w:val="18"/>
                <w:szCs w:val="18"/>
              </w:rPr>
            </w:pPr>
            <w:r w:rsidRPr="000A2AFE">
              <w:rPr>
                <w:sz w:val="18"/>
                <w:szCs w:val="18"/>
              </w:rPr>
              <w:t>Година</w:t>
            </w:r>
          </w:p>
        </w:tc>
        <w:tc>
          <w:tcPr>
            <w:tcW w:w="0" w:type="auto"/>
            <w:tcBorders>
              <w:top w:val="single" w:sz="4" w:space="0" w:color="auto"/>
              <w:left w:val="nil"/>
              <w:bottom w:val="single" w:sz="4" w:space="0" w:color="auto"/>
              <w:right w:val="single" w:sz="4" w:space="0" w:color="auto"/>
            </w:tcBorders>
            <w:shd w:val="clear" w:color="auto" w:fill="002060"/>
            <w:noWrap/>
            <w:vAlign w:val="bottom"/>
            <w:hideMark/>
          </w:tcPr>
          <w:p w14:paraId="57CF090E" w14:textId="77777777" w:rsidR="00854ADA" w:rsidRPr="000A2AFE" w:rsidRDefault="00854ADA" w:rsidP="00854ADA">
            <w:pPr>
              <w:spacing w:after="0" w:line="240" w:lineRule="auto"/>
              <w:jc w:val="center"/>
              <w:rPr>
                <w:rFonts w:ascii="Calibri" w:hAnsi="Calibri" w:cs="Calibri"/>
                <w:b/>
                <w:bCs/>
                <w:sz w:val="18"/>
                <w:szCs w:val="18"/>
              </w:rPr>
            </w:pPr>
            <w:r w:rsidRPr="000A2AFE">
              <w:rPr>
                <w:rFonts w:ascii="Calibri" w:hAnsi="Calibri" w:cs="Calibri"/>
                <w:b/>
                <w:bCs/>
                <w:sz w:val="18"/>
                <w:szCs w:val="18"/>
              </w:rPr>
              <w:t>2021</w:t>
            </w:r>
          </w:p>
        </w:tc>
        <w:tc>
          <w:tcPr>
            <w:tcW w:w="0" w:type="auto"/>
            <w:tcBorders>
              <w:top w:val="single" w:sz="4" w:space="0" w:color="auto"/>
              <w:left w:val="nil"/>
              <w:bottom w:val="single" w:sz="4" w:space="0" w:color="auto"/>
              <w:right w:val="single" w:sz="4" w:space="0" w:color="auto"/>
            </w:tcBorders>
            <w:shd w:val="clear" w:color="auto" w:fill="002060"/>
            <w:noWrap/>
            <w:vAlign w:val="bottom"/>
            <w:hideMark/>
          </w:tcPr>
          <w:p w14:paraId="3C9B4AE2" w14:textId="77777777" w:rsidR="00854ADA" w:rsidRPr="000A2AFE" w:rsidRDefault="00854ADA" w:rsidP="00854ADA">
            <w:pPr>
              <w:spacing w:after="0" w:line="240" w:lineRule="auto"/>
              <w:jc w:val="center"/>
              <w:rPr>
                <w:rFonts w:ascii="Calibri" w:hAnsi="Calibri" w:cs="Calibri"/>
                <w:b/>
                <w:bCs/>
                <w:sz w:val="18"/>
                <w:szCs w:val="18"/>
              </w:rPr>
            </w:pPr>
            <w:r w:rsidRPr="000A2AFE">
              <w:rPr>
                <w:rFonts w:ascii="Calibri" w:hAnsi="Calibri" w:cs="Calibri"/>
                <w:b/>
                <w:bCs/>
                <w:sz w:val="18"/>
                <w:szCs w:val="18"/>
              </w:rPr>
              <w:t>2022</w:t>
            </w:r>
          </w:p>
        </w:tc>
        <w:tc>
          <w:tcPr>
            <w:tcW w:w="0" w:type="auto"/>
            <w:tcBorders>
              <w:top w:val="single" w:sz="4" w:space="0" w:color="auto"/>
              <w:left w:val="nil"/>
              <w:bottom w:val="single" w:sz="4" w:space="0" w:color="auto"/>
              <w:right w:val="single" w:sz="4" w:space="0" w:color="auto"/>
            </w:tcBorders>
            <w:shd w:val="clear" w:color="auto" w:fill="002060"/>
            <w:noWrap/>
            <w:vAlign w:val="bottom"/>
            <w:hideMark/>
          </w:tcPr>
          <w:p w14:paraId="2C94900D" w14:textId="77777777" w:rsidR="00854ADA" w:rsidRPr="000A2AFE" w:rsidRDefault="00854ADA" w:rsidP="00854ADA">
            <w:pPr>
              <w:spacing w:after="0" w:line="240" w:lineRule="auto"/>
              <w:jc w:val="center"/>
              <w:rPr>
                <w:rFonts w:ascii="Calibri" w:hAnsi="Calibri" w:cs="Calibri"/>
                <w:b/>
                <w:bCs/>
                <w:sz w:val="18"/>
                <w:szCs w:val="18"/>
              </w:rPr>
            </w:pPr>
            <w:r w:rsidRPr="000A2AFE">
              <w:rPr>
                <w:rFonts w:ascii="Calibri" w:hAnsi="Calibri" w:cs="Calibri"/>
                <w:b/>
                <w:bCs/>
                <w:sz w:val="18"/>
                <w:szCs w:val="18"/>
              </w:rPr>
              <w:t>2023</w:t>
            </w:r>
          </w:p>
        </w:tc>
        <w:tc>
          <w:tcPr>
            <w:tcW w:w="0" w:type="auto"/>
            <w:tcBorders>
              <w:top w:val="single" w:sz="4" w:space="0" w:color="auto"/>
              <w:left w:val="nil"/>
              <w:bottom w:val="single" w:sz="4" w:space="0" w:color="auto"/>
              <w:right w:val="single" w:sz="4" w:space="0" w:color="auto"/>
            </w:tcBorders>
            <w:shd w:val="clear" w:color="auto" w:fill="002060"/>
            <w:noWrap/>
            <w:vAlign w:val="bottom"/>
            <w:hideMark/>
          </w:tcPr>
          <w:p w14:paraId="5A67154B" w14:textId="77777777" w:rsidR="00854ADA" w:rsidRPr="000A2AFE" w:rsidRDefault="00854ADA" w:rsidP="00854ADA">
            <w:pPr>
              <w:spacing w:after="0" w:line="240" w:lineRule="auto"/>
              <w:jc w:val="center"/>
              <w:rPr>
                <w:rFonts w:ascii="Calibri" w:hAnsi="Calibri" w:cs="Calibri"/>
                <w:b/>
                <w:bCs/>
                <w:sz w:val="18"/>
                <w:szCs w:val="18"/>
              </w:rPr>
            </w:pPr>
            <w:r w:rsidRPr="000A2AFE">
              <w:rPr>
                <w:rFonts w:ascii="Calibri" w:hAnsi="Calibri" w:cs="Calibri"/>
                <w:b/>
                <w:bCs/>
                <w:sz w:val="18"/>
                <w:szCs w:val="18"/>
              </w:rPr>
              <w:t>2024</w:t>
            </w:r>
          </w:p>
        </w:tc>
        <w:tc>
          <w:tcPr>
            <w:tcW w:w="0" w:type="auto"/>
            <w:tcBorders>
              <w:top w:val="single" w:sz="4" w:space="0" w:color="auto"/>
              <w:left w:val="nil"/>
              <w:bottom w:val="single" w:sz="4" w:space="0" w:color="auto"/>
              <w:right w:val="single" w:sz="4" w:space="0" w:color="auto"/>
            </w:tcBorders>
            <w:shd w:val="clear" w:color="auto" w:fill="002060"/>
            <w:noWrap/>
            <w:vAlign w:val="bottom"/>
            <w:hideMark/>
          </w:tcPr>
          <w:p w14:paraId="3FA8BE87" w14:textId="77777777" w:rsidR="00854ADA" w:rsidRPr="000A2AFE" w:rsidRDefault="00854ADA" w:rsidP="00854ADA">
            <w:pPr>
              <w:spacing w:after="0" w:line="240" w:lineRule="auto"/>
              <w:jc w:val="center"/>
              <w:rPr>
                <w:rFonts w:ascii="Calibri" w:hAnsi="Calibri" w:cs="Calibri"/>
                <w:b/>
                <w:bCs/>
                <w:sz w:val="18"/>
                <w:szCs w:val="18"/>
              </w:rPr>
            </w:pPr>
            <w:r w:rsidRPr="000A2AFE">
              <w:rPr>
                <w:rFonts w:ascii="Calibri" w:hAnsi="Calibri" w:cs="Calibri"/>
                <w:b/>
                <w:bCs/>
                <w:sz w:val="18"/>
                <w:szCs w:val="18"/>
              </w:rPr>
              <w:t>2025</w:t>
            </w:r>
          </w:p>
        </w:tc>
        <w:tc>
          <w:tcPr>
            <w:tcW w:w="0" w:type="auto"/>
            <w:tcBorders>
              <w:top w:val="single" w:sz="4" w:space="0" w:color="auto"/>
              <w:left w:val="nil"/>
              <w:bottom w:val="single" w:sz="4" w:space="0" w:color="auto"/>
              <w:right w:val="single" w:sz="4" w:space="0" w:color="auto"/>
            </w:tcBorders>
            <w:shd w:val="clear" w:color="auto" w:fill="002060"/>
            <w:noWrap/>
            <w:vAlign w:val="bottom"/>
            <w:hideMark/>
          </w:tcPr>
          <w:p w14:paraId="47A22A8B" w14:textId="77777777" w:rsidR="00854ADA" w:rsidRPr="000A2AFE" w:rsidRDefault="00854ADA" w:rsidP="00854ADA">
            <w:pPr>
              <w:spacing w:after="0" w:line="240" w:lineRule="auto"/>
              <w:jc w:val="center"/>
              <w:rPr>
                <w:rFonts w:ascii="Calibri" w:hAnsi="Calibri" w:cs="Calibri"/>
                <w:b/>
                <w:bCs/>
                <w:sz w:val="18"/>
                <w:szCs w:val="18"/>
              </w:rPr>
            </w:pPr>
            <w:r w:rsidRPr="000A2AFE">
              <w:rPr>
                <w:rFonts w:ascii="Calibri" w:hAnsi="Calibri" w:cs="Calibri"/>
                <w:b/>
                <w:bCs/>
                <w:sz w:val="18"/>
                <w:szCs w:val="18"/>
              </w:rPr>
              <w:t>2026</w:t>
            </w:r>
          </w:p>
        </w:tc>
        <w:tc>
          <w:tcPr>
            <w:tcW w:w="0" w:type="auto"/>
            <w:tcBorders>
              <w:top w:val="single" w:sz="4" w:space="0" w:color="auto"/>
              <w:left w:val="nil"/>
              <w:bottom w:val="single" w:sz="4" w:space="0" w:color="auto"/>
              <w:right w:val="single" w:sz="4" w:space="0" w:color="auto"/>
            </w:tcBorders>
            <w:shd w:val="clear" w:color="auto" w:fill="002060"/>
            <w:noWrap/>
            <w:vAlign w:val="bottom"/>
            <w:hideMark/>
          </w:tcPr>
          <w:p w14:paraId="3346E6BF" w14:textId="77777777" w:rsidR="00854ADA" w:rsidRPr="000A2AFE" w:rsidRDefault="00854ADA" w:rsidP="00854ADA">
            <w:pPr>
              <w:spacing w:after="0" w:line="240" w:lineRule="auto"/>
              <w:jc w:val="center"/>
              <w:rPr>
                <w:rFonts w:ascii="Calibri" w:hAnsi="Calibri" w:cs="Calibri"/>
                <w:b/>
                <w:bCs/>
                <w:sz w:val="18"/>
                <w:szCs w:val="18"/>
              </w:rPr>
            </w:pPr>
            <w:r w:rsidRPr="000A2AFE">
              <w:rPr>
                <w:rFonts w:ascii="Calibri" w:hAnsi="Calibri" w:cs="Calibri"/>
                <w:b/>
                <w:bCs/>
                <w:sz w:val="18"/>
                <w:szCs w:val="18"/>
              </w:rPr>
              <w:t>2027</w:t>
            </w:r>
          </w:p>
        </w:tc>
        <w:tc>
          <w:tcPr>
            <w:tcW w:w="0" w:type="auto"/>
            <w:tcBorders>
              <w:top w:val="single" w:sz="4" w:space="0" w:color="auto"/>
              <w:left w:val="nil"/>
              <w:bottom w:val="single" w:sz="4" w:space="0" w:color="auto"/>
              <w:right w:val="single" w:sz="4" w:space="0" w:color="auto"/>
            </w:tcBorders>
            <w:shd w:val="clear" w:color="auto" w:fill="002060"/>
            <w:noWrap/>
            <w:vAlign w:val="bottom"/>
            <w:hideMark/>
          </w:tcPr>
          <w:p w14:paraId="420EF578" w14:textId="77777777" w:rsidR="00854ADA" w:rsidRPr="000A2AFE" w:rsidRDefault="00854ADA" w:rsidP="00854ADA">
            <w:pPr>
              <w:spacing w:after="0" w:line="240" w:lineRule="auto"/>
              <w:jc w:val="center"/>
              <w:rPr>
                <w:rFonts w:ascii="Calibri" w:hAnsi="Calibri" w:cs="Calibri"/>
                <w:b/>
                <w:bCs/>
                <w:sz w:val="18"/>
                <w:szCs w:val="18"/>
              </w:rPr>
            </w:pPr>
            <w:r w:rsidRPr="000A2AFE">
              <w:rPr>
                <w:rFonts w:ascii="Calibri" w:hAnsi="Calibri" w:cs="Calibri"/>
                <w:b/>
                <w:bCs/>
                <w:sz w:val="18"/>
                <w:szCs w:val="18"/>
              </w:rPr>
              <w:t>2028</w:t>
            </w:r>
          </w:p>
        </w:tc>
        <w:tc>
          <w:tcPr>
            <w:tcW w:w="0" w:type="auto"/>
            <w:tcBorders>
              <w:top w:val="single" w:sz="4" w:space="0" w:color="auto"/>
              <w:left w:val="nil"/>
              <w:bottom w:val="single" w:sz="4" w:space="0" w:color="auto"/>
              <w:right w:val="single" w:sz="4" w:space="0" w:color="auto"/>
            </w:tcBorders>
            <w:shd w:val="clear" w:color="auto" w:fill="002060"/>
            <w:noWrap/>
            <w:vAlign w:val="bottom"/>
            <w:hideMark/>
          </w:tcPr>
          <w:p w14:paraId="52EBCC64" w14:textId="77777777" w:rsidR="00854ADA" w:rsidRPr="000A2AFE" w:rsidRDefault="00854ADA" w:rsidP="00854ADA">
            <w:pPr>
              <w:spacing w:after="0" w:line="240" w:lineRule="auto"/>
              <w:jc w:val="center"/>
              <w:rPr>
                <w:rFonts w:ascii="Calibri" w:hAnsi="Calibri" w:cs="Calibri"/>
                <w:b/>
                <w:bCs/>
                <w:sz w:val="18"/>
                <w:szCs w:val="18"/>
              </w:rPr>
            </w:pPr>
            <w:r w:rsidRPr="000A2AFE">
              <w:rPr>
                <w:rFonts w:ascii="Calibri" w:hAnsi="Calibri" w:cs="Calibri"/>
                <w:b/>
                <w:bCs/>
                <w:sz w:val="18"/>
                <w:szCs w:val="18"/>
              </w:rPr>
              <w:t>2029</w:t>
            </w:r>
          </w:p>
        </w:tc>
        <w:tc>
          <w:tcPr>
            <w:tcW w:w="0" w:type="auto"/>
            <w:tcBorders>
              <w:top w:val="single" w:sz="4" w:space="0" w:color="auto"/>
              <w:left w:val="nil"/>
              <w:bottom w:val="single" w:sz="4" w:space="0" w:color="auto"/>
              <w:right w:val="single" w:sz="4" w:space="0" w:color="auto"/>
            </w:tcBorders>
            <w:shd w:val="clear" w:color="auto" w:fill="002060"/>
            <w:noWrap/>
            <w:vAlign w:val="bottom"/>
            <w:hideMark/>
          </w:tcPr>
          <w:p w14:paraId="3B0D0354" w14:textId="77777777" w:rsidR="00854ADA" w:rsidRPr="000A2AFE" w:rsidRDefault="00854ADA" w:rsidP="00854ADA">
            <w:pPr>
              <w:spacing w:after="0" w:line="240" w:lineRule="auto"/>
              <w:jc w:val="center"/>
              <w:rPr>
                <w:rFonts w:ascii="Calibri" w:hAnsi="Calibri" w:cs="Calibri"/>
                <w:b/>
                <w:bCs/>
                <w:sz w:val="18"/>
                <w:szCs w:val="18"/>
              </w:rPr>
            </w:pPr>
            <w:r w:rsidRPr="000A2AFE">
              <w:rPr>
                <w:rFonts w:ascii="Calibri" w:hAnsi="Calibri" w:cs="Calibri"/>
                <w:b/>
                <w:bCs/>
                <w:sz w:val="18"/>
                <w:szCs w:val="18"/>
              </w:rPr>
              <w:t>2030</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D456FAD" w14:textId="77777777" w:rsidR="00854ADA" w:rsidRPr="000A2AFE" w:rsidRDefault="00854ADA" w:rsidP="00854ADA">
            <w:pPr>
              <w:spacing w:after="0" w:line="240" w:lineRule="auto"/>
              <w:jc w:val="center"/>
              <w:rPr>
                <w:rFonts w:ascii="Calibri" w:hAnsi="Calibri" w:cs="Calibri"/>
                <w:b/>
                <w:bCs/>
                <w:color w:val="000000"/>
                <w:sz w:val="18"/>
                <w:szCs w:val="18"/>
              </w:rPr>
            </w:pPr>
            <w:r w:rsidRPr="000A2AFE">
              <w:rPr>
                <w:rFonts w:ascii="Calibri" w:hAnsi="Calibri" w:cs="Calibri"/>
                <w:b/>
                <w:bCs/>
                <w:color w:val="000000"/>
                <w:sz w:val="18"/>
                <w:szCs w:val="18"/>
              </w:rPr>
              <w:t>Уштеда енергије у финалној потрошњи (ktoe)</w:t>
            </w:r>
          </w:p>
          <w:p w14:paraId="6BDA2898" w14:textId="77777777" w:rsidR="00854ADA" w:rsidRPr="000A2AFE" w:rsidRDefault="00854ADA" w:rsidP="00854ADA">
            <w:pPr>
              <w:spacing w:after="0" w:line="240" w:lineRule="auto"/>
              <w:rPr>
                <w:rFonts w:ascii="Calibri" w:hAnsi="Calibri" w:cs="Calibri"/>
                <w:b/>
                <w:bCs/>
                <w:color w:val="000000"/>
                <w:sz w:val="18"/>
                <w:szCs w:val="18"/>
              </w:rPr>
            </w:pPr>
          </w:p>
        </w:tc>
      </w:tr>
      <w:tr w:rsidR="001F5DEB" w:rsidRPr="00FF386D" w14:paraId="07158FF8" w14:textId="77777777" w:rsidTr="000A2AFE">
        <w:trPr>
          <w:trHeight w:val="65"/>
          <w:jc w:val="center"/>
        </w:trPr>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C1BB81E" w14:textId="77777777" w:rsidR="00854ADA" w:rsidRPr="000A2AFE" w:rsidRDefault="00854ADA" w:rsidP="00854ADA">
            <w:pPr>
              <w:spacing w:after="0" w:line="240" w:lineRule="auto"/>
              <w:jc w:val="center"/>
              <w:rPr>
                <w:rFonts w:ascii="Calibri" w:hAnsi="Calibri" w:cs="Calibri"/>
                <w:b/>
                <w:bCs/>
                <w:color w:val="000000"/>
                <w:sz w:val="18"/>
                <w:szCs w:val="18"/>
              </w:rPr>
            </w:pPr>
            <w:r w:rsidRPr="000A2AFE">
              <w:rPr>
                <w:b/>
                <w:bCs/>
                <w:sz w:val="18"/>
                <w:szCs w:val="18"/>
              </w:rPr>
              <w:t>Уштеда енергије у финалној потрошњи (ktoe)</w:t>
            </w:r>
          </w:p>
          <w:p w14:paraId="2E73480B" w14:textId="77777777" w:rsidR="00854ADA" w:rsidRPr="000A2AFE" w:rsidRDefault="00854ADA" w:rsidP="00854ADA">
            <w:pPr>
              <w:spacing w:after="0" w:line="240" w:lineRule="auto"/>
              <w:jc w:val="center"/>
              <w:rPr>
                <w:rFonts w:ascii="Calibri" w:hAnsi="Calibri" w:cs="Calibri"/>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hideMark/>
          </w:tcPr>
          <w:p w14:paraId="179F8C1D"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5ECEFE43"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45FD465A"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2080C7C2"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077C27E2"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4112CABD"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08F89300"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432C0E6A"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0C31C0D1"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000000" w:fill="538DD5"/>
            <w:noWrap/>
            <w:vAlign w:val="bottom"/>
            <w:hideMark/>
          </w:tcPr>
          <w:p w14:paraId="6BBED044" w14:textId="315D9397" w:rsidR="00854ADA" w:rsidRPr="000A2AFE" w:rsidRDefault="001F5DEB" w:rsidP="00854ADA">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2489F57" w14:textId="77777777" w:rsidR="00854ADA" w:rsidRPr="000A2AFE" w:rsidRDefault="00854ADA" w:rsidP="00854ADA">
            <w:pPr>
              <w:spacing w:after="0" w:line="240" w:lineRule="auto"/>
              <w:rPr>
                <w:rFonts w:ascii="Calibri" w:hAnsi="Calibri" w:cs="Calibri"/>
                <w:b/>
                <w:bCs/>
                <w:color w:val="000000"/>
                <w:sz w:val="18"/>
                <w:szCs w:val="18"/>
              </w:rPr>
            </w:pPr>
          </w:p>
        </w:tc>
      </w:tr>
      <w:tr w:rsidR="001F5DEB" w:rsidRPr="00FF386D" w14:paraId="5A605815" w14:textId="77777777" w:rsidTr="000A2AFE">
        <w:trPr>
          <w:trHeight w:val="65"/>
          <w:jc w:val="center"/>
        </w:trPr>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140DBE2" w14:textId="77777777" w:rsidR="001F5DEB" w:rsidRPr="000A2AFE" w:rsidRDefault="001F5DEB" w:rsidP="001F5DEB">
            <w:pPr>
              <w:spacing w:after="0" w:line="240" w:lineRule="auto"/>
              <w:rPr>
                <w:rFonts w:ascii="Calibri" w:hAnsi="Calibri" w:cs="Calibri"/>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hideMark/>
          </w:tcPr>
          <w:p w14:paraId="10404F30"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0E2A8F00"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11BCAD13"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0E485C9D"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0915BB0C"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21B55DD4"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45DD56C5"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5756ABB7"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000000" w:fill="538DD5"/>
            <w:noWrap/>
            <w:vAlign w:val="bottom"/>
            <w:hideMark/>
          </w:tcPr>
          <w:p w14:paraId="330677C1" w14:textId="403D3A4D"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tcBorders>
              <w:top w:val="nil"/>
              <w:left w:val="nil"/>
              <w:bottom w:val="single" w:sz="4" w:space="0" w:color="auto"/>
              <w:right w:val="single" w:sz="4" w:space="0" w:color="auto"/>
            </w:tcBorders>
            <w:shd w:val="clear" w:color="000000" w:fill="C5D9F1"/>
            <w:noWrap/>
            <w:vAlign w:val="bottom"/>
            <w:hideMark/>
          </w:tcPr>
          <w:p w14:paraId="1A2CECA6" w14:textId="7C61F570"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7F655C" w14:textId="77777777" w:rsidR="001F5DEB" w:rsidRPr="000A2AFE" w:rsidRDefault="001F5DEB" w:rsidP="001F5DEB">
            <w:pPr>
              <w:spacing w:after="0" w:line="240" w:lineRule="auto"/>
              <w:rPr>
                <w:rFonts w:ascii="Calibri" w:hAnsi="Calibri" w:cs="Calibri"/>
                <w:b/>
                <w:bCs/>
                <w:color w:val="000000"/>
                <w:sz w:val="18"/>
                <w:szCs w:val="18"/>
              </w:rPr>
            </w:pPr>
          </w:p>
        </w:tc>
      </w:tr>
      <w:tr w:rsidR="001F5DEB" w:rsidRPr="00FF386D" w14:paraId="31D7D802" w14:textId="77777777" w:rsidTr="000A2AFE">
        <w:trPr>
          <w:trHeight w:val="65"/>
          <w:jc w:val="center"/>
        </w:trPr>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D1FF96B" w14:textId="77777777" w:rsidR="001F5DEB" w:rsidRPr="000A2AFE" w:rsidRDefault="001F5DEB" w:rsidP="001F5DEB">
            <w:pPr>
              <w:spacing w:after="0" w:line="240" w:lineRule="auto"/>
              <w:rPr>
                <w:rFonts w:ascii="Calibri" w:hAnsi="Calibri" w:cs="Calibri"/>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hideMark/>
          </w:tcPr>
          <w:p w14:paraId="0EB044E8"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1B503341"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6ECAF637"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7B547F42"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73A2FABD"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4E7A16ED"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3CCE5C16"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000000" w:fill="538DD5"/>
            <w:noWrap/>
            <w:vAlign w:val="bottom"/>
            <w:hideMark/>
          </w:tcPr>
          <w:p w14:paraId="53AF979A" w14:textId="24A9568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tcBorders>
              <w:top w:val="nil"/>
              <w:left w:val="nil"/>
              <w:bottom w:val="single" w:sz="4" w:space="0" w:color="auto"/>
              <w:right w:val="single" w:sz="4" w:space="0" w:color="auto"/>
            </w:tcBorders>
            <w:shd w:val="clear" w:color="000000" w:fill="C5D9F1"/>
            <w:noWrap/>
            <w:vAlign w:val="bottom"/>
            <w:hideMark/>
          </w:tcPr>
          <w:p w14:paraId="1257C019" w14:textId="5427F618"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tcBorders>
              <w:top w:val="nil"/>
              <w:left w:val="nil"/>
              <w:bottom w:val="single" w:sz="4" w:space="0" w:color="auto"/>
              <w:right w:val="single" w:sz="4" w:space="0" w:color="auto"/>
            </w:tcBorders>
            <w:shd w:val="clear" w:color="000000" w:fill="C5D9F1"/>
            <w:noWrap/>
            <w:vAlign w:val="bottom"/>
            <w:hideMark/>
          </w:tcPr>
          <w:p w14:paraId="4B7127B1" w14:textId="01F9CD9D"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F0C9C5F" w14:textId="77777777" w:rsidR="001F5DEB" w:rsidRPr="000A2AFE" w:rsidRDefault="001F5DEB" w:rsidP="001F5DEB">
            <w:pPr>
              <w:spacing w:after="0" w:line="240" w:lineRule="auto"/>
              <w:rPr>
                <w:rFonts w:ascii="Calibri" w:hAnsi="Calibri" w:cs="Calibri"/>
                <w:b/>
                <w:bCs/>
                <w:color w:val="000000"/>
                <w:sz w:val="18"/>
                <w:szCs w:val="18"/>
              </w:rPr>
            </w:pPr>
          </w:p>
        </w:tc>
      </w:tr>
      <w:tr w:rsidR="001F5DEB" w:rsidRPr="00FF386D" w14:paraId="1E4A0B74" w14:textId="77777777" w:rsidTr="000A2AFE">
        <w:trPr>
          <w:trHeight w:val="65"/>
          <w:jc w:val="center"/>
        </w:trPr>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08682FE" w14:textId="77777777" w:rsidR="001F5DEB" w:rsidRPr="000A2AFE" w:rsidRDefault="001F5DEB" w:rsidP="001F5DEB">
            <w:pPr>
              <w:spacing w:after="0" w:line="240" w:lineRule="auto"/>
              <w:rPr>
                <w:rFonts w:ascii="Calibri" w:hAnsi="Calibri" w:cs="Calibri"/>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hideMark/>
          </w:tcPr>
          <w:p w14:paraId="035C21F2"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008EE1F6"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047F51D1"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2372824A"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7AFD1B2B"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5B0829B5"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000000" w:fill="538DD5"/>
            <w:noWrap/>
            <w:vAlign w:val="bottom"/>
            <w:hideMark/>
          </w:tcPr>
          <w:p w14:paraId="6334E855" w14:textId="42DC6BB9"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tcBorders>
              <w:top w:val="nil"/>
              <w:left w:val="nil"/>
              <w:bottom w:val="single" w:sz="4" w:space="0" w:color="auto"/>
              <w:right w:val="single" w:sz="4" w:space="0" w:color="auto"/>
            </w:tcBorders>
            <w:shd w:val="clear" w:color="000000" w:fill="C5D9F1"/>
            <w:noWrap/>
            <w:vAlign w:val="bottom"/>
            <w:hideMark/>
          </w:tcPr>
          <w:p w14:paraId="7FC1EE13" w14:textId="0E314216"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tcBorders>
              <w:top w:val="nil"/>
              <w:left w:val="nil"/>
              <w:bottom w:val="single" w:sz="4" w:space="0" w:color="auto"/>
              <w:right w:val="single" w:sz="4" w:space="0" w:color="auto"/>
            </w:tcBorders>
            <w:shd w:val="clear" w:color="000000" w:fill="C5D9F1"/>
            <w:noWrap/>
            <w:vAlign w:val="bottom"/>
            <w:hideMark/>
          </w:tcPr>
          <w:p w14:paraId="4DD75001" w14:textId="10743F2A"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tcBorders>
              <w:top w:val="nil"/>
              <w:left w:val="nil"/>
              <w:bottom w:val="single" w:sz="4" w:space="0" w:color="auto"/>
              <w:right w:val="single" w:sz="4" w:space="0" w:color="auto"/>
            </w:tcBorders>
            <w:shd w:val="clear" w:color="000000" w:fill="C5D9F1"/>
            <w:noWrap/>
            <w:vAlign w:val="bottom"/>
            <w:hideMark/>
          </w:tcPr>
          <w:p w14:paraId="58250F01" w14:textId="03E75FD0"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0BD6EA2" w14:textId="77777777" w:rsidR="001F5DEB" w:rsidRPr="000A2AFE" w:rsidRDefault="001F5DEB" w:rsidP="001F5DEB">
            <w:pPr>
              <w:spacing w:after="0" w:line="240" w:lineRule="auto"/>
              <w:rPr>
                <w:rFonts w:ascii="Calibri" w:hAnsi="Calibri" w:cs="Calibri"/>
                <w:b/>
                <w:bCs/>
                <w:color w:val="000000"/>
                <w:sz w:val="18"/>
                <w:szCs w:val="18"/>
              </w:rPr>
            </w:pPr>
          </w:p>
        </w:tc>
      </w:tr>
      <w:tr w:rsidR="001F5DEB" w:rsidRPr="00FF386D" w14:paraId="6987B9DB" w14:textId="77777777" w:rsidTr="000A2AFE">
        <w:trPr>
          <w:trHeight w:val="151"/>
          <w:jc w:val="center"/>
        </w:trPr>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9A62960" w14:textId="77777777" w:rsidR="001F5DEB" w:rsidRPr="000A2AFE" w:rsidRDefault="001F5DEB" w:rsidP="001F5DEB">
            <w:pPr>
              <w:spacing w:after="0" w:line="240" w:lineRule="auto"/>
              <w:rPr>
                <w:rFonts w:ascii="Calibri" w:hAnsi="Calibri" w:cs="Calibri"/>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hideMark/>
          </w:tcPr>
          <w:p w14:paraId="168DFF40"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6085F6A4"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0E53DADB"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41FFBEE7"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0B4B785E"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000000" w:fill="538DD5"/>
            <w:noWrap/>
            <w:vAlign w:val="bottom"/>
            <w:hideMark/>
          </w:tcPr>
          <w:p w14:paraId="69555675" w14:textId="425D4EDA"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tcBorders>
              <w:top w:val="nil"/>
              <w:left w:val="nil"/>
              <w:bottom w:val="single" w:sz="4" w:space="0" w:color="auto"/>
              <w:right w:val="single" w:sz="4" w:space="0" w:color="auto"/>
            </w:tcBorders>
            <w:shd w:val="clear" w:color="000000" w:fill="C5D9F1"/>
            <w:noWrap/>
            <w:vAlign w:val="bottom"/>
            <w:hideMark/>
          </w:tcPr>
          <w:p w14:paraId="09E2BC12" w14:textId="6E38E26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tcBorders>
              <w:top w:val="nil"/>
              <w:left w:val="nil"/>
              <w:bottom w:val="single" w:sz="4" w:space="0" w:color="auto"/>
              <w:right w:val="single" w:sz="4" w:space="0" w:color="auto"/>
            </w:tcBorders>
            <w:shd w:val="clear" w:color="000000" w:fill="C5D9F1"/>
            <w:noWrap/>
            <w:vAlign w:val="bottom"/>
            <w:hideMark/>
          </w:tcPr>
          <w:p w14:paraId="5A55B1CA" w14:textId="513A8FC1"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tcBorders>
              <w:top w:val="nil"/>
              <w:left w:val="nil"/>
              <w:bottom w:val="single" w:sz="4" w:space="0" w:color="auto"/>
              <w:right w:val="single" w:sz="4" w:space="0" w:color="auto"/>
            </w:tcBorders>
            <w:shd w:val="clear" w:color="000000" w:fill="C5D9F1"/>
            <w:noWrap/>
            <w:vAlign w:val="bottom"/>
            <w:hideMark/>
          </w:tcPr>
          <w:p w14:paraId="24927584" w14:textId="60C75333"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tcBorders>
              <w:top w:val="nil"/>
              <w:left w:val="nil"/>
              <w:bottom w:val="single" w:sz="4" w:space="0" w:color="auto"/>
              <w:right w:val="single" w:sz="4" w:space="0" w:color="auto"/>
            </w:tcBorders>
            <w:shd w:val="clear" w:color="000000" w:fill="C5D9F1"/>
            <w:noWrap/>
            <w:vAlign w:val="bottom"/>
            <w:hideMark/>
          </w:tcPr>
          <w:p w14:paraId="21B30858" w14:textId="0E7DB385"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C53E511" w14:textId="77777777" w:rsidR="001F5DEB" w:rsidRPr="000A2AFE" w:rsidRDefault="001F5DEB" w:rsidP="001F5DEB">
            <w:pPr>
              <w:spacing w:after="0" w:line="240" w:lineRule="auto"/>
              <w:rPr>
                <w:rFonts w:ascii="Calibri" w:hAnsi="Calibri" w:cs="Calibri"/>
                <w:b/>
                <w:bCs/>
                <w:color w:val="000000"/>
                <w:sz w:val="18"/>
                <w:szCs w:val="18"/>
              </w:rPr>
            </w:pPr>
          </w:p>
        </w:tc>
      </w:tr>
      <w:tr w:rsidR="001F5DEB" w:rsidRPr="00FF386D" w14:paraId="1FDABA39" w14:textId="77777777" w:rsidTr="000A2AFE">
        <w:trPr>
          <w:trHeight w:val="65"/>
          <w:jc w:val="center"/>
        </w:trPr>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6F1E9FE" w14:textId="77777777" w:rsidR="001F5DEB" w:rsidRPr="000A2AFE" w:rsidRDefault="001F5DEB" w:rsidP="001F5DEB">
            <w:pPr>
              <w:spacing w:after="0" w:line="240" w:lineRule="auto"/>
              <w:rPr>
                <w:rFonts w:ascii="Calibri" w:hAnsi="Calibri" w:cs="Calibri"/>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hideMark/>
          </w:tcPr>
          <w:p w14:paraId="59AA6A2C"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79B7FCF6"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2270678C"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4D413B34"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000000" w:fill="538DD5"/>
            <w:noWrap/>
            <w:vAlign w:val="bottom"/>
            <w:hideMark/>
          </w:tcPr>
          <w:p w14:paraId="5A890F75" w14:textId="0C1FBEC1"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tcBorders>
              <w:top w:val="nil"/>
              <w:left w:val="nil"/>
              <w:bottom w:val="single" w:sz="4" w:space="0" w:color="auto"/>
              <w:right w:val="single" w:sz="4" w:space="0" w:color="auto"/>
            </w:tcBorders>
            <w:shd w:val="clear" w:color="000000" w:fill="C5D9F1"/>
            <w:noWrap/>
            <w:vAlign w:val="bottom"/>
            <w:hideMark/>
          </w:tcPr>
          <w:p w14:paraId="5722E5FA" w14:textId="5C4DCC31"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tcBorders>
              <w:top w:val="nil"/>
              <w:left w:val="nil"/>
              <w:bottom w:val="single" w:sz="4" w:space="0" w:color="auto"/>
              <w:right w:val="single" w:sz="4" w:space="0" w:color="auto"/>
            </w:tcBorders>
            <w:shd w:val="clear" w:color="000000" w:fill="C5D9F1"/>
            <w:noWrap/>
            <w:vAlign w:val="bottom"/>
            <w:hideMark/>
          </w:tcPr>
          <w:p w14:paraId="70DD85ED" w14:textId="0E8371F8"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tcBorders>
              <w:top w:val="nil"/>
              <w:left w:val="nil"/>
              <w:bottom w:val="single" w:sz="4" w:space="0" w:color="auto"/>
              <w:right w:val="single" w:sz="4" w:space="0" w:color="auto"/>
            </w:tcBorders>
            <w:shd w:val="clear" w:color="000000" w:fill="C5D9F1"/>
            <w:noWrap/>
            <w:vAlign w:val="bottom"/>
            <w:hideMark/>
          </w:tcPr>
          <w:p w14:paraId="7D67DAB1" w14:textId="206FA311"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tcBorders>
              <w:top w:val="nil"/>
              <w:left w:val="nil"/>
              <w:bottom w:val="single" w:sz="4" w:space="0" w:color="auto"/>
              <w:right w:val="single" w:sz="4" w:space="0" w:color="auto"/>
            </w:tcBorders>
            <w:shd w:val="clear" w:color="000000" w:fill="C5D9F1"/>
            <w:noWrap/>
            <w:vAlign w:val="bottom"/>
            <w:hideMark/>
          </w:tcPr>
          <w:p w14:paraId="143DB369" w14:textId="384619F2"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tcBorders>
              <w:top w:val="nil"/>
              <w:left w:val="nil"/>
              <w:bottom w:val="single" w:sz="4" w:space="0" w:color="auto"/>
              <w:right w:val="single" w:sz="4" w:space="0" w:color="auto"/>
            </w:tcBorders>
            <w:shd w:val="clear" w:color="000000" w:fill="C5D9F1"/>
            <w:noWrap/>
            <w:vAlign w:val="bottom"/>
            <w:hideMark/>
          </w:tcPr>
          <w:p w14:paraId="1E188768" w14:textId="5BCB336C"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E0F6677" w14:textId="77777777" w:rsidR="001F5DEB" w:rsidRPr="000A2AFE" w:rsidRDefault="001F5DEB" w:rsidP="001F5DEB">
            <w:pPr>
              <w:spacing w:after="0" w:line="240" w:lineRule="auto"/>
              <w:rPr>
                <w:rFonts w:ascii="Calibri" w:hAnsi="Calibri" w:cs="Calibri"/>
                <w:b/>
                <w:bCs/>
                <w:color w:val="000000"/>
                <w:sz w:val="18"/>
                <w:szCs w:val="18"/>
              </w:rPr>
            </w:pPr>
          </w:p>
        </w:tc>
      </w:tr>
      <w:tr w:rsidR="001F5DEB" w:rsidRPr="00FF386D" w14:paraId="533363F9" w14:textId="77777777" w:rsidTr="000A2AFE">
        <w:trPr>
          <w:trHeight w:val="65"/>
          <w:jc w:val="center"/>
        </w:trPr>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526F221" w14:textId="77777777" w:rsidR="001F5DEB" w:rsidRPr="000A2AFE" w:rsidRDefault="001F5DEB" w:rsidP="001F5DEB">
            <w:pPr>
              <w:spacing w:after="0" w:line="240" w:lineRule="auto"/>
              <w:rPr>
                <w:rFonts w:ascii="Calibri" w:hAnsi="Calibri" w:cs="Calibri"/>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hideMark/>
          </w:tcPr>
          <w:p w14:paraId="62239229"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09AB1540"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035AF060" w14:textId="77777777"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000000" w:fill="538DD5"/>
            <w:noWrap/>
            <w:vAlign w:val="bottom"/>
            <w:hideMark/>
          </w:tcPr>
          <w:p w14:paraId="52C44839" w14:textId="6BE9CF1E"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tcBorders>
              <w:top w:val="nil"/>
              <w:left w:val="nil"/>
              <w:bottom w:val="single" w:sz="4" w:space="0" w:color="auto"/>
              <w:right w:val="single" w:sz="4" w:space="0" w:color="auto"/>
            </w:tcBorders>
            <w:shd w:val="clear" w:color="000000" w:fill="C5D9F1"/>
            <w:noWrap/>
            <w:vAlign w:val="bottom"/>
            <w:hideMark/>
          </w:tcPr>
          <w:p w14:paraId="4F139922" w14:textId="5211282D"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tcBorders>
              <w:top w:val="nil"/>
              <w:left w:val="nil"/>
              <w:bottom w:val="single" w:sz="4" w:space="0" w:color="auto"/>
              <w:right w:val="single" w:sz="4" w:space="0" w:color="auto"/>
            </w:tcBorders>
            <w:shd w:val="clear" w:color="000000" w:fill="C5D9F1"/>
            <w:noWrap/>
            <w:vAlign w:val="bottom"/>
            <w:hideMark/>
          </w:tcPr>
          <w:p w14:paraId="3DE692CE" w14:textId="4B97850D"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tcBorders>
              <w:top w:val="nil"/>
              <w:left w:val="nil"/>
              <w:bottom w:val="single" w:sz="4" w:space="0" w:color="auto"/>
              <w:right w:val="single" w:sz="4" w:space="0" w:color="auto"/>
            </w:tcBorders>
            <w:shd w:val="clear" w:color="000000" w:fill="C5D9F1"/>
            <w:noWrap/>
            <w:vAlign w:val="bottom"/>
            <w:hideMark/>
          </w:tcPr>
          <w:p w14:paraId="519AC06D" w14:textId="11A8895F"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tcBorders>
              <w:top w:val="nil"/>
              <w:left w:val="nil"/>
              <w:bottom w:val="single" w:sz="4" w:space="0" w:color="auto"/>
              <w:right w:val="single" w:sz="4" w:space="0" w:color="auto"/>
            </w:tcBorders>
            <w:shd w:val="clear" w:color="000000" w:fill="C5D9F1"/>
            <w:noWrap/>
            <w:vAlign w:val="bottom"/>
            <w:hideMark/>
          </w:tcPr>
          <w:p w14:paraId="38D4FC66" w14:textId="745E660C"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tcBorders>
              <w:top w:val="nil"/>
              <w:left w:val="nil"/>
              <w:bottom w:val="single" w:sz="4" w:space="0" w:color="auto"/>
              <w:right w:val="single" w:sz="4" w:space="0" w:color="auto"/>
            </w:tcBorders>
            <w:shd w:val="clear" w:color="000000" w:fill="C5D9F1"/>
            <w:noWrap/>
            <w:vAlign w:val="bottom"/>
            <w:hideMark/>
          </w:tcPr>
          <w:p w14:paraId="5DE3B6FC" w14:textId="4787C27A"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tcBorders>
              <w:top w:val="nil"/>
              <w:left w:val="nil"/>
              <w:bottom w:val="single" w:sz="4" w:space="0" w:color="auto"/>
              <w:right w:val="single" w:sz="4" w:space="0" w:color="auto"/>
            </w:tcBorders>
            <w:shd w:val="clear" w:color="000000" w:fill="C5D9F1"/>
            <w:noWrap/>
            <w:vAlign w:val="bottom"/>
            <w:hideMark/>
          </w:tcPr>
          <w:p w14:paraId="03EFCAE6" w14:textId="3892A7CC" w:rsidR="001F5DEB" w:rsidRPr="000A2AFE" w:rsidRDefault="001F5DEB" w:rsidP="001F5DEB">
            <w:pPr>
              <w:spacing w:after="0" w:line="240" w:lineRule="auto"/>
              <w:jc w:val="center"/>
              <w:rPr>
                <w:rFonts w:cstheme="minorHAnsi"/>
                <w:color w:val="000000"/>
                <w:sz w:val="18"/>
                <w:szCs w:val="18"/>
              </w:rPr>
            </w:pPr>
            <w:r w:rsidRPr="000A2AFE">
              <w:rPr>
                <w:rFonts w:cstheme="minorHAnsi"/>
                <w:color w:val="000000"/>
                <w:sz w:val="18"/>
                <w:szCs w:val="18"/>
              </w:rPr>
              <w:t>72</w:t>
            </w:r>
            <w:r w:rsidR="00DC5EAC">
              <w:rPr>
                <w:rFonts w:cstheme="minorHAnsi"/>
                <w:color w:val="000000"/>
                <w:sz w:val="18"/>
                <w:szCs w:val="18"/>
              </w:rPr>
              <w:t>,</w:t>
            </w:r>
            <w:r w:rsidRPr="000A2AFE">
              <w:rPr>
                <w:rFonts w:cstheme="minorHAnsi"/>
                <w:color w:val="000000"/>
                <w:sz w:val="18"/>
                <w:szCs w:val="18"/>
              </w:rPr>
              <w:t>25</w:t>
            </w: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1479BDE" w14:textId="77777777" w:rsidR="001F5DEB" w:rsidRPr="000A2AFE" w:rsidRDefault="001F5DEB" w:rsidP="001F5DEB">
            <w:pPr>
              <w:spacing w:after="0" w:line="240" w:lineRule="auto"/>
              <w:rPr>
                <w:rFonts w:ascii="Calibri" w:hAnsi="Calibri" w:cs="Calibri"/>
                <w:b/>
                <w:bCs/>
                <w:color w:val="000000"/>
                <w:sz w:val="18"/>
                <w:szCs w:val="18"/>
              </w:rPr>
            </w:pPr>
          </w:p>
        </w:tc>
      </w:tr>
      <w:tr w:rsidR="001F5DEB" w:rsidRPr="00FF386D" w14:paraId="52DF70DB" w14:textId="77777777" w:rsidTr="000A2AFE">
        <w:trPr>
          <w:trHeight w:val="65"/>
          <w:jc w:val="center"/>
        </w:trPr>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58F1681" w14:textId="77777777" w:rsidR="00854ADA" w:rsidRPr="000A2AFE" w:rsidRDefault="00854ADA" w:rsidP="00854ADA">
            <w:pPr>
              <w:spacing w:after="0" w:line="240" w:lineRule="auto"/>
              <w:rPr>
                <w:rFonts w:ascii="Calibri" w:hAnsi="Calibri" w:cs="Calibri"/>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hideMark/>
          </w:tcPr>
          <w:p w14:paraId="0D5F44E8"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1AE33D71"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000000" w:fill="538DD5"/>
            <w:noWrap/>
            <w:vAlign w:val="bottom"/>
            <w:hideMark/>
          </w:tcPr>
          <w:p w14:paraId="1AB8E4A1"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0</w:t>
            </w:r>
          </w:p>
        </w:tc>
        <w:tc>
          <w:tcPr>
            <w:tcW w:w="0" w:type="auto"/>
            <w:tcBorders>
              <w:top w:val="nil"/>
              <w:left w:val="nil"/>
              <w:bottom w:val="single" w:sz="4" w:space="0" w:color="auto"/>
              <w:right w:val="single" w:sz="4" w:space="0" w:color="auto"/>
            </w:tcBorders>
            <w:shd w:val="clear" w:color="000000" w:fill="C5D9F1"/>
            <w:noWrap/>
            <w:vAlign w:val="bottom"/>
            <w:hideMark/>
          </w:tcPr>
          <w:p w14:paraId="4227C064"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0</w:t>
            </w:r>
          </w:p>
        </w:tc>
        <w:tc>
          <w:tcPr>
            <w:tcW w:w="0" w:type="auto"/>
            <w:tcBorders>
              <w:top w:val="nil"/>
              <w:left w:val="nil"/>
              <w:bottom w:val="single" w:sz="4" w:space="0" w:color="auto"/>
              <w:right w:val="single" w:sz="4" w:space="0" w:color="auto"/>
            </w:tcBorders>
            <w:shd w:val="clear" w:color="000000" w:fill="C5D9F1"/>
            <w:noWrap/>
            <w:vAlign w:val="bottom"/>
            <w:hideMark/>
          </w:tcPr>
          <w:p w14:paraId="0A0C963F"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0</w:t>
            </w:r>
          </w:p>
        </w:tc>
        <w:tc>
          <w:tcPr>
            <w:tcW w:w="0" w:type="auto"/>
            <w:tcBorders>
              <w:top w:val="nil"/>
              <w:left w:val="nil"/>
              <w:bottom w:val="single" w:sz="4" w:space="0" w:color="auto"/>
              <w:right w:val="single" w:sz="4" w:space="0" w:color="auto"/>
            </w:tcBorders>
            <w:shd w:val="clear" w:color="000000" w:fill="C5D9F1"/>
            <w:noWrap/>
            <w:vAlign w:val="bottom"/>
            <w:hideMark/>
          </w:tcPr>
          <w:p w14:paraId="1FECA12A"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0</w:t>
            </w:r>
          </w:p>
        </w:tc>
        <w:tc>
          <w:tcPr>
            <w:tcW w:w="0" w:type="auto"/>
            <w:tcBorders>
              <w:top w:val="nil"/>
              <w:left w:val="nil"/>
              <w:bottom w:val="single" w:sz="4" w:space="0" w:color="auto"/>
              <w:right w:val="single" w:sz="4" w:space="0" w:color="auto"/>
            </w:tcBorders>
            <w:shd w:val="clear" w:color="000000" w:fill="C5D9F1"/>
            <w:noWrap/>
            <w:vAlign w:val="bottom"/>
            <w:hideMark/>
          </w:tcPr>
          <w:p w14:paraId="53EF9D86"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0</w:t>
            </w:r>
          </w:p>
        </w:tc>
        <w:tc>
          <w:tcPr>
            <w:tcW w:w="0" w:type="auto"/>
            <w:tcBorders>
              <w:top w:val="nil"/>
              <w:left w:val="nil"/>
              <w:bottom w:val="single" w:sz="4" w:space="0" w:color="auto"/>
              <w:right w:val="single" w:sz="4" w:space="0" w:color="auto"/>
            </w:tcBorders>
            <w:shd w:val="clear" w:color="000000" w:fill="C5D9F1"/>
            <w:noWrap/>
            <w:vAlign w:val="bottom"/>
            <w:hideMark/>
          </w:tcPr>
          <w:p w14:paraId="2A7B12A5"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0</w:t>
            </w:r>
          </w:p>
        </w:tc>
        <w:tc>
          <w:tcPr>
            <w:tcW w:w="0" w:type="auto"/>
            <w:tcBorders>
              <w:top w:val="nil"/>
              <w:left w:val="nil"/>
              <w:bottom w:val="single" w:sz="4" w:space="0" w:color="auto"/>
              <w:right w:val="single" w:sz="4" w:space="0" w:color="auto"/>
            </w:tcBorders>
            <w:shd w:val="clear" w:color="000000" w:fill="C5D9F1"/>
            <w:noWrap/>
            <w:vAlign w:val="bottom"/>
            <w:hideMark/>
          </w:tcPr>
          <w:p w14:paraId="4E870C2C"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0</w:t>
            </w:r>
          </w:p>
        </w:tc>
        <w:tc>
          <w:tcPr>
            <w:tcW w:w="0" w:type="auto"/>
            <w:tcBorders>
              <w:top w:val="nil"/>
              <w:left w:val="nil"/>
              <w:bottom w:val="single" w:sz="4" w:space="0" w:color="auto"/>
              <w:right w:val="single" w:sz="4" w:space="0" w:color="auto"/>
            </w:tcBorders>
            <w:shd w:val="clear" w:color="000000" w:fill="C5D9F1"/>
            <w:noWrap/>
            <w:vAlign w:val="bottom"/>
            <w:hideMark/>
          </w:tcPr>
          <w:p w14:paraId="2DEAD1B9"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0</w:t>
            </w: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47C629A" w14:textId="77777777" w:rsidR="00854ADA" w:rsidRPr="000A2AFE" w:rsidRDefault="00854ADA" w:rsidP="00854ADA">
            <w:pPr>
              <w:spacing w:after="0" w:line="240" w:lineRule="auto"/>
              <w:rPr>
                <w:rFonts w:ascii="Calibri" w:hAnsi="Calibri" w:cs="Calibri"/>
                <w:b/>
                <w:bCs/>
                <w:color w:val="000000"/>
                <w:sz w:val="18"/>
                <w:szCs w:val="18"/>
              </w:rPr>
            </w:pPr>
          </w:p>
        </w:tc>
      </w:tr>
      <w:tr w:rsidR="001F5DEB" w:rsidRPr="00FF386D" w14:paraId="0B228FE4" w14:textId="77777777" w:rsidTr="000A2AFE">
        <w:trPr>
          <w:trHeight w:val="65"/>
          <w:jc w:val="center"/>
        </w:trPr>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0F96343" w14:textId="77777777" w:rsidR="00854ADA" w:rsidRPr="000A2AFE" w:rsidRDefault="00854ADA" w:rsidP="00854ADA">
            <w:pPr>
              <w:spacing w:after="0" w:line="240" w:lineRule="auto"/>
              <w:rPr>
                <w:rFonts w:ascii="Calibri" w:hAnsi="Calibri" w:cs="Calibri"/>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hideMark/>
          </w:tcPr>
          <w:p w14:paraId="5A61FC25"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 </w:t>
            </w:r>
          </w:p>
        </w:tc>
        <w:tc>
          <w:tcPr>
            <w:tcW w:w="0" w:type="auto"/>
            <w:tcBorders>
              <w:top w:val="nil"/>
              <w:left w:val="nil"/>
              <w:bottom w:val="single" w:sz="4" w:space="0" w:color="auto"/>
              <w:right w:val="single" w:sz="4" w:space="0" w:color="auto"/>
            </w:tcBorders>
            <w:shd w:val="clear" w:color="000000" w:fill="538DD5"/>
            <w:noWrap/>
            <w:vAlign w:val="bottom"/>
            <w:hideMark/>
          </w:tcPr>
          <w:p w14:paraId="7C130C7A"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0</w:t>
            </w:r>
          </w:p>
        </w:tc>
        <w:tc>
          <w:tcPr>
            <w:tcW w:w="0" w:type="auto"/>
            <w:tcBorders>
              <w:top w:val="nil"/>
              <w:left w:val="nil"/>
              <w:bottom w:val="single" w:sz="4" w:space="0" w:color="auto"/>
              <w:right w:val="single" w:sz="4" w:space="0" w:color="auto"/>
            </w:tcBorders>
            <w:shd w:val="clear" w:color="000000" w:fill="C5D9F1"/>
            <w:noWrap/>
            <w:vAlign w:val="bottom"/>
            <w:hideMark/>
          </w:tcPr>
          <w:p w14:paraId="01D299E3"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0</w:t>
            </w:r>
          </w:p>
        </w:tc>
        <w:tc>
          <w:tcPr>
            <w:tcW w:w="0" w:type="auto"/>
            <w:tcBorders>
              <w:top w:val="nil"/>
              <w:left w:val="nil"/>
              <w:bottom w:val="single" w:sz="4" w:space="0" w:color="auto"/>
              <w:right w:val="single" w:sz="4" w:space="0" w:color="auto"/>
            </w:tcBorders>
            <w:shd w:val="clear" w:color="000000" w:fill="C5D9F1"/>
            <w:noWrap/>
            <w:vAlign w:val="bottom"/>
            <w:hideMark/>
          </w:tcPr>
          <w:p w14:paraId="07664CCB"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0</w:t>
            </w:r>
          </w:p>
        </w:tc>
        <w:tc>
          <w:tcPr>
            <w:tcW w:w="0" w:type="auto"/>
            <w:tcBorders>
              <w:top w:val="nil"/>
              <w:left w:val="nil"/>
              <w:bottom w:val="single" w:sz="4" w:space="0" w:color="auto"/>
              <w:right w:val="single" w:sz="4" w:space="0" w:color="auto"/>
            </w:tcBorders>
            <w:shd w:val="clear" w:color="000000" w:fill="C5D9F1"/>
            <w:noWrap/>
            <w:vAlign w:val="bottom"/>
            <w:hideMark/>
          </w:tcPr>
          <w:p w14:paraId="7A9CCB7B"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0</w:t>
            </w:r>
          </w:p>
        </w:tc>
        <w:tc>
          <w:tcPr>
            <w:tcW w:w="0" w:type="auto"/>
            <w:tcBorders>
              <w:top w:val="nil"/>
              <w:left w:val="nil"/>
              <w:bottom w:val="single" w:sz="4" w:space="0" w:color="auto"/>
              <w:right w:val="single" w:sz="4" w:space="0" w:color="auto"/>
            </w:tcBorders>
            <w:shd w:val="clear" w:color="000000" w:fill="C5D9F1"/>
            <w:noWrap/>
            <w:vAlign w:val="bottom"/>
            <w:hideMark/>
          </w:tcPr>
          <w:p w14:paraId="6C37264E"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0</w:t>
            </w:r>
          </w:p>
        </w:tc>
        <w:tc>
          <w:tcPr>
            <w:tcW w:w="0" w:type="auto"/>
            <w:tcBorders>
              <w:top w:val="nil"/>
              <w:left w:val="nil"/>
              <w:bottom w:val="single" w:sz="4" w:space="0" w:color="auto"/>
              <w:right w:val="single" w:sz="4" w:space="0" w:color="auto"/>
            </w:tcBorders>
            <w:shd w:val="clear" w:color="000000" w:fill="C5D9F1"/>
            <w:noWrap/>
            <w:vAlign w:val="bottom"/>
            <w:hideMark/>
          </w:tcPr>
          <w:p w14:paraId="1AC58057"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0</w:t>
            </w:r>
          </w:p>
        </w:tc>
        <w:tc>
          <w:tcPr>
            <w:tcW w:w="0" w:type="auto"/>
            <w:tcBorders>
              <w:top w:val="nil"/>
              <w:left w:val="nil"/>
              <w:bottom w:val="single" w:sz="4" w:space="0" w:color="auto"/>
              <w:right w:val="single" w:sz="4" w:space="0" w:color="auto"/>
            </w:tcBorders>
            <w:shd w:val="clear" w:color="000000" w:fill="C5D9F1"/>
            <w:noWrap/>
            <w:vAlign w:val="bottom"/>
            <w:hideMark/>
          </w:tcPr>
          <w:p w14:paraId="25D942C7"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0</w:t>
            </w:r>
          </w:p>
        </w:tc>
        <w:tc>
          <w:tcPr>
            <w:tcW w:w="0" w:type="auto"/>
            <w:tcBorders>
              <w:top w:val="nil"/>
              <w:left w:val="nil"/>
              <w:bottom w:val="single" w:sz="4" w:space="0" w:color="auto"/>
              <w:right w:val="single" w:sz="4" w:space="0" w:color="auto"/>
            </w:tcBorders>
            <w:shd w:val="clear" w:color="000000" w:fill="C5D9F1"/>
            <w:noWrap/>
            <w:vAlign w:val="bottom"/>
            <w:hideMark/>
          </w:tcPr>
          <w:p w14:paraId="1AE39679"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0</w:t>
            </w:r>
          </w:p>
        </w:tc>
        <w:tc>
          <w:tcPr>
            <w:tcW w:w="0" w:type="auto"/>
            <w:tcBorders>
              <w:top w:val="nil"/>
              <w:left w:val="nil"/>
              <w:bottom w:val="single" w:sz="4" w:space="0" w:color="auto"/>
              <w:right w:val="single" w:sz="4" w:space="0" w:color="auto"/>
            </w:tcBorders>
            <w:shd w:val="clear" w:color="000000" w:fill="C5D9F1"/>
            <w:noWrap/>
            <w:vAlign w:val="bottom"/>
            <w:hideMark/>
          </w:tcPr>
          <w:p w14:paraId="2810730E"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0</w:t>
            </w: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1AA46C" w14:textId="77777777" w:rsidR="00854ADA" w:rsidRPr="000A2AFE" w:rsidRDefault="00854ADA" w:rsidP="00854ADA">
            <w:pPr>
              <w:spacing w:after="0" w:line="240" w:lineRule="auto"/>
              <w:rPr>
                <w:rFonts w:ascii="Calibri" w:hAnsi="Calibri" w:cs="Calibri"/>
                <w:b/>
                <w:bCs/>
                <w:color w:val="000000"/>
                <w:sz w:val="18"/>
                <w:szCs w:val="18"/>
              </w:rPr>
            </w:pPr>
          </w:p>
        </w:tc>
      </w:tr>
      <w:tr w:rsidR="00DC5EAC" w:rsidRPr="00FF386D" w14:paraId="2DED2F89" w14:textId="77777777" w:rsidTr="00C24FEB">
        <w:trPr>
          <w:trHeight w:val="65"/>
          <w:jc w:val="center"/>
        </w:trPr>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7F6CA56" w14:textId="77777777" w:rsidR="00854ADA" w:rsidRPr="000A2AFE" w:rsidRDefault="00854ADA" w:rsidP="00854ADA">
            <w:pPr>
              <w:spacing w:after="0" w:line="240" w:lineRule="auto"/>
              <w:rPr>
                <w:rFonts w:ascii="Calibri" w:hAnsi="Calibri" w:cs="Calibri"/>
                <w:b/>
                <w:bCs/>
                <w:color w:val="000000"/>
                <w:sz w:val="18"/>
                <w:szCs w:val="18"/>
              </w:rPr>
            </w:pPr>
          </w:p>
        </w:tc>
        <w:tc>
          <w:tcPr>
            <w:tcW w:w="0" w:type="auto"/>
            <w:tcBorders>
              <w:top w:val="nil"/>
              <w:left w:val="nil"/>
              <w:bottom w:val="single" w:sz="4" w:space="0" w:color="auto"/>
              <w:right w:val="single" w:sz="4" w:space="0" w:color="auto"/>
            </w:tcBorders>
            <w:shd w:val="clear" w:color="000000" w:fill="538DD5"/>
            <w:noWrap/>
            <w:vAlign w:val="bottom"/>
            <w:hideMark/>
          </w:tcPr>
          <w:p w14:paraId="61BD1B09"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0</w:t>
            </w:r>
          </w:p>
        </w:tc>
        <w:tc>
          <w:tcPr>
            <w:tcW w:w="0" w:type="auto"/>
            <w:tcBorders>
              <w:top w:val="nil"/>
              <w:left w:val="nil"/>
              <w:bottom w:val="single" w:sz="4" w:space="0" w:color="auto"/>
              <w:right w:val="single" w:sz="4" w:space="0" w:color="auto"/>
            </w:tcBorders>
            <w:shd w:val="clear" w:color="000000" w:fill="C5D9F1"/>
            <w:noWrap/>
            <w:vAlign w:val="bottom"/>
            <w:hideMark/>
          </w:tcPr>
          <w:p w14:paraId="2EC30149"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0</w:t>
            </w:r>
          </w:p>
        </w:tc>
        <w:tc>
          <w:tcPr>
            <w:tcW w:w="0" w:type="auto"/>
            <w:tcBorders>
              <w:top w:val="nil"/>
              <w:left w:val="nil"/>
              <w:bottom w:val="single" w:sz="4" w:space="0" w:color="auto"/>
              <w:right w:val="single" w:sz="4" w:space="0" w:color="auto"/>
            </w:tcBorders>
            <w:shd w:val="clear" w:color="000000" w:fill="C5D9F1"/>
            <w:noWrap/>
            <w:vAlign w:val="bottom"/>
            <w:hideMark/>
          </w:tcPr>
          <w:p w14:paraId="0A151F45"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0</w:t>
            </w:r>
          </w:p>
        </w:tc>
        <w:tc>
          <w:tcPr>
            <w:tcW w:w="0" w:type="auto"/>
            <w:tcBorders>
              <w:top w:val="nil"/>
              <w:left w:val="nil"/>
              <w:bottom w:val="single" w:sz="4" w:space="0" w:color="auto"/>
              <w:right w:val="single" w:sz="4" w:space="0" w:color="auto"/>
            </w:tcBorders>
            <w:shd w:val="clear" w:color="000000" w:fill="C5D9F1"/>
            <w:noWrap/>
            <w:vAlign w:val="bottom"/>
            <w:hideMark/>
          </w:tcPr>
          <w:p w14:paraId="675D540F"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0</w:t>
            </w:r>
          </w:p>
        </w:tc>
        <w:tc>
          <w:tcPr>
            <w:tcW w:w="0" w:type="auto"/>
            <w:tcBorders>
              <w:top w:val="nil"/>
              <w:left w:val="nil"/>
              <w:bottom w:val="single" w:sz="4" w:space="0" w:color="auto"/>
              <w:right w:val="single" w:sz="4" w:space="0" w:color="auto"/>
            </w:tcBorders>
            <w:shd w:val="clear" w:color="000000" w:fill="C5D9F1"/>
            <w:noWrap/>
            <w:vAlign w:val="bottom"/>
            <w:hideMark/>
          </w:tcPr>
          <w:p w14:paraId="026EB3EC"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0</w:t>
            </w:r>
          </w:p>
        </w:tc>
        <w:tc>
          <w:tcPr>
            <w:tcW w:w="0" w:type="auto"/>
            <w:tcBorders>
              <w:top w:val="nil"/>
              <w:left w:val="nil"/>
              <w:bottom w:val="single" w:sz="4" w:space="0" w:color="auto"/>
              <w:right w:val="single" w:sz="4" w:space="0" w:color="auto"/>
            </w:tcBorders>
            <w:shd w:val="clear" w:color="000000" w:fill="C5D9F1"/>
            <w:noWrap/>
            <w:vAlign w:val="bottom"/>
            <w:hideMark/>
          </w:tcPr>
          <w:p w14:paraId="6BF90A7F"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0</w:t>
            </w:r>
          </w:p>
        </w:tc>
        <w:tc>
          <w:tcPr>
            <w:tcW w:w="0" w:type="auto"/>
            <w:tcBorders>
              <w:top w:val="nil"/>
              <w:left w:val="nil"/>
              <w:bottom w:val="single" w:sz="4" w:space="0" w:color="auto"/>
              <w:right w:val="single" w:sz="4" w:space="0" w:color="auto"/>
            </w:tcBorders>
            <w:shd w:val="clear" w:color="000000" w:fill="C5D9F1"/>
            <w:noWrap/>
            <w:vAlign w:val="bottom"/>
            <w:hideMark/>
          </w:tcPr>
          <w:p w14:paraId="4C1498F5"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0</w:t>
            </w:r>
          </w:p>
        </w:tc>
        <w:tc>
          <w:tcPr>
            <w:tcW w:w="0" w:type="auto"/>
            <w:tcBorders>
              <w:top w:val="nil"/>
              <w:left w:val="nil"/>
              <w:bottom w:val="single" w:sz="4" w:space="0" w:color="auto"/>
              <w:right w:val="single" w:sz="4" w:space="0" w:color="auto"/>
            </w:tcBorders>
            <w:shd w:val="clear" w:color="000000" w:fill="C5D9F1"/>
            <w:noWrap/>
            <w:vAlign w:val="bottom"/>
            <w:hideMark/>
          </w:tcPr>
          <w:p w14:paraId="4D3CD249"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0</w:t>
            </w:r>
          </w:p>
        </w:tc>
        <w:tc>
          <w:tcPr>
            <w:tcW w:w="0" w:type="auto"/>
            <w:tcBorders>
              <w:top w:val="nil"/>
              <w:left w:val="nil"/>
              <w:bottom w:val="single" w:sz="4" w:space="0" w:color="auto"/>
              <w:right w:val="single" w:sz="4" w:space="0" w:color="auto"/>
            </w:tcBorders>
            <w:shd w:val="clear" w:color="000000" w:fill="C5D9F1"/>
            <w:noWrap/>
            <w:vAlign w:val="bottom"/>
            <w:hideMark/>
          </w:tcPr>
          <w:p w14:paraId="315C07D9"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0</w:t>
            </w:r>
          </w:p>
        </w:tc>
        <w:tc>
          <w:tcPr>
            <w:tcW w:w="0" w:type="auto"/>
            <w:tcBorders>
              <w:top w:val="nil"/>
              <w:left w:val="nil"/>
              <w:bottom w:val="single" w:sz="4" w:space="0" w:color="auto"/>
              <w:right w:val="single" w:sz="4" w:space="0" w:color="auto"/>
            </w:tcBorders>
            <w:shd w:val="clear" w:color="000000" w:fill="C5D9F1"/>
            <w:noWrap/>
            <w:vAlign w:val="bottom"/>
            <w:hideMark/>
          </w:tcPr>
          <w:p w14:paraId="32A5D4B1" w14:textId="77777777" w:rsidR="00854ADA" w:rsidRPr="000A2AFE" w:rsidRDefault="00854ADA" w:rsidP="00854ADA">
            <w:pPr>
              <w:spacing w:after="0" w:line="240" w:lineRule="auto"/>
              <w:jc w:val="center"/>
              <w:rPr>
                <w:rFonts w:cstheme="minorHAnsi"/>
                <w:color w:val="000000"/>
                <w:sz w:val="18"/>
                <w:szCs w:val="18"/>
              </w:rPr>
            </w:pPr>
            <w:r w:rsidRPr="000A2AFE">
              <w:rPr>
                <w:rFonts w:cstheme="minorHAnsi"/>
                <w:color w:val="000000"/>
                <w:sz w:val="18"/>
                <w:szCs w:val="18"/>
              </w:rPr>
              <w:t>0</w:t>
            </w: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EDD615F" w14:textId="77777777" w:rsidR="00854ADA" w:rsidRPr="000A2AFE" w:rsidRDefault="00854ADA" w:rsidP="00854ADA">
            <w:pPr>
              <w:spacing w:after="0" w:line="240" w:lineRule="auto"/>
              <w:rPr>
                <w:rFonts w:ascii="Calibri" w:hAnsi="Calibri" w:cs="Calibri"/>
                <w:b/>
                <w:bCs/>
                <w:color w:val="000000"/>
                <w:sz w:val="18"/>
                <w:szCs w:val="18"/>
              </w:rPr>
            </w:pPr>
          </w:p>
        </w:tc>
      </w:tr>
      <w:tr w:rsidR="001F5DEB" w:rsidRPr="00FF386D" w14:paraId="7E3C65E5" w14:textId="77777777" w:rsidTr="000A2AFE">
        <w:trPr>
          <w:trHeight w:val="65"/>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F45732E" w14:textId="77777777" w:rsidR="00854ADA" w:rsidRPr="000A2AFE" w:rsidRDefault="00854ADA" w:rsidP="00854ADA">
            <w:pPr>
              <w:spacing w:after="0" w:line="240" w:lineRule="auto"/>
              <w:jc w:val="center"/>
              <w:rPr>
                <w:rFonts w:ascii="Calibri" w:hAnsi="Calibri" w:cs="Calibri"/>
                <w:b/>
                <w:bCs/>
                <w:color w:val="000000"/>
                <w:sz w:val="18"/>
                <w:szCs w:val="18"/>
              </w:rPr>
            </w:pPr>
            <w:r w:rsidRPr="000A2AFE">
              <w:rPr>
                <w:b/>
                <w:bCs/>
                <w:sz w:val="18"/>
                <w:szCs w:val="18"/>
              </w:rPr>
              <w:t>Укупно</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14:paraId="2660B8CE" w14:textId="77777777" w:rsidR="00854ADA" w:rsidRPr="000A2AFE" w:rsidRDefault="00854ADA" w:rsidP="00854ADA">
            <w:pPr>
              <w:spacing w:after="0" w:line="240" w:lineRule="auto"/>
              <w:jc w:val="center"/>
              <w:rPr>
                <w:rFonts w:cstheme="minorHAnsi"/>
                <w:b/>
                <w:bCs/>
                <w:color w:val="000000"/>
                <w:sz w:val="18"/>
                <w:szCs w:val="18"/>
              </w:rPr>
            </w:pPr>
            <w:r w:rsidRPr="000A2AFE">
              <w:rPr>
                <w:rFonts w:cstheme="minorHAnsi"/>
                <w:b/>
                <w:bCs/>
                <w:color w:val="000000"/>
                <w:sz w:val="18"/>
                <w:szCs w:val="18"/>
              </w:rPr>
              <w:t>0</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14:paraId="679E6B82" w14:textId="77777777" w:rsidR="00854ADA" w:rsidRPr="000A2AFE" w:rsidRDefault="00854ADA" w:rsidP="00854ADA">
            <w:pPr>
              <w:spacing w:after="0" w:line="240" w:lineRule="auto"/>
              <w:jc w:val="center"/>
              <w:rPr>
                <w:rFonts w:cstheme="minorHAnsi"/>
                <w:b/>
                <w:bCs/>
                <w:color w:val="000000"/>
                <w:sz w:val="18"/>
                <w:szCs w:val="18"/>
              </w:rPr>
            </w:pPr>
            <w:r w:rsidRPr="000A2AFE">
              <w:rPr>
                <w:rFonts w:cstheme="minorHAnsi"/>
                <w:b/>
                <w:bCs/>
                <w:color w:val="000000"/>
                <w:sz w:val="18"/>
                <w:szCs w:val="18"/>
              </w:rPr>
              <w:t>0</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14:paraId="438F4EAA" w14:textId="77777777" w:rsidR="00854ADA" w:rsidRPr="000A2AFE" w:rsidRDefault="00854ADA" w:rsidP="00854ADA">
            <w:pPr>
              <w:spacing w:after="0" w:line="240" w:lineRule="auto"/>
              <w:jc w:val="center"/>
              <w:rPr>
                <w:rFonts w:cstheme="minorHAnsi"/>
                <w:b/>
                <w:bCs/>
                <w:color w:val="000000"/>
                <w:sz w:val="18"/>
                <w:szCs w:val="18"/>
              </w:rPr>
            </w:pPr>
            <w:r w:rsidRPr="000A2AFE">
              <w:rPr>
                <w:rFonts w:cstheme="minorHAnsi"/>
                <w:b/>
                <w:bCs/>
                <w:color w:val="000000"/>
                <w:sz w:val="18"/>
                <w:szCs w:val="18"/>
              </w:rPr>
              <w:t>0</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14:paraId="6BC9B3EF" w14:textId="6D3C0D6E" w:rsidR="00854ADA" w:rsidRPr="000A2AFE" w:rsidRDefault="00854ADA" w:rsidP="00854ADA">
            <w:pPr>
              <w:spacing w:after="0" w:line="240" w:lineRule="auto"/>
              <w:jc w:val="center"/>
              <w:rPr>
                <w:rFonts w:cstheme="minorHAnsi"/>
                <w:b/>
                <w:bCs/>
                <w:color w:val="000000"/>
                <w:sz w:val="18"/>
                <w:szCs w:val="18"/>
              </w:rPr>
            </w:pPr>
            <w:r w:rsidRPr="000A2AFE">
              <w:rPr>
                <w:rFonts w:cstheme="minorHAnsi"/>
                <w:b/>
                <w:bCs/>
                <w:color w:val="000000"/>
                <w:sz w:val="18"/>
                <w:szCs w:val="18"/>
              </w:rPr>
              <w:t>72</w:t>
            </w:r>
            <w:r w:rsidR="00DC5EAC">
              <w:rPr>
                <w:rFonts w:cstheme="minorHAnsi"/>
                <w:b/>
                <w:bCs/>
                <w:color w:val="000000"/>
                <w:sz w:val="18"/>
                <w:szCs w:val="18"/>
              </w:rPr>
              <w:t>,</w:t>
            </w:r>
            <w:r w:rsidR="001F5DEB" w:rsidRPr="000A2AFE">
              <w:rPr>
                <w:rFonts w:cstheme="minorHAnsi"/>
                <w:b/>
                <w:bCs/>
                <w:color w:val="000000"/>
                <w:sz w:val="18"/>
                <w:szCs w:val="18"/>
              </w:rPr>
              <w:t>25</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14:paraId="3408D268" w14:textId="33DC2A60" w:rsidR="00854ADA" w:rsidRPr="000A2AFE" w:rsidRDefault="00854ADA" w:rsidP="00854ADA">
            <w:pPr>
              <w:spacing w:after="0" w:line="240" w:lineRule="auto"/>
              <w:jc w:val="center"/>
              <w:rPr>
                <w:rFonts w:cstheme="minorHAnsi"/>
                <w:b/>
                <w:bCs/>
                <w:color w:val="000000"/>
                <w:sz w:val="18"/>
                <w:szCs w:val="18"/>
              </w:rPr>
            </w:pPr>
            <w:r w:rsidRPr="000A2AFE">
              <w:rPr>
                <w:rFonts w:cstheme="minorHAnsi"/>
                <w:b/>
                <w:bCs/>
                <w:color w:val="000000"/>
                <w:sz w:val="18"/>
                <w:szCs w:val="18"/>
              </w:rPr>
              <w:t>144</w:t>
            </w:r>
            <w:r w:rsidR="00DC5EAC">
              <w:rPr>
                <w:rFonts w:cstheme="minorHAnsi"/>
                <w:b/>
                <w:bCs/>
                <w:color w:val="000000"/>
                <w:sz w:val="18"/>
                <w:szCs w:val="18"/>
              </w:rPr>
              <w:t>,</w:t>
            </w:r>
            <w:r w:rsidR="001F5DEB" w:rsidRPr="000A2AFE">
              <w:rPr>
                <w:rFonts w:cstheme="minorHAnsi"/>
                <w:b/>
                <w:bCs/>
                <w:color w:val="000000"/>
                <w:sz w:val="18"/>
                <w:szCs w:val="18"/>
              </w:rPr>
              <w:t>50</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14:paraId="517CBFEA" w14:textId="205270A1" w:rsidR="00854ADA" w:rsidRPr="000A2AFE" w:rsidRDefault="00854ADA" w:rsidP="00854ADA">
            <w:pPr>
              <w:spacing w:after="0" w:line="240" w:lineRule="auto"/>
              <w:jc w:val="center"/>
              <w:rPr>
                <w:rFonts w:cstheme="minorHAnsi"/>
                <w:b/>
                <w:bCs/>
                <w:color w:val="000000"/>
                <w:sz w:val="18"/>
                <w:szCs w:val="18"/>
              </w:rPr>
            </w:pPr>
            <w:r w:rsidRPr="000A2AFE">
              <w:rPr>
                <w:rFonts w:cstheme="minorHAnsi"/>
                <w:b/>
                <w:bCs/>
                <w:color w:val="000000"/>
                <w:sz w:val="18"/>
                <w:szCs w:val="18"/>
              </w:rPr>
              <w:t>217</w:t>
            </w:r>
            <w:r w:rsidR="00DC5EAC">
              <w:rPr>
                <w:rFonts w:cstheme="minorHAnsi"/>
                <w:b/>
                <w:bCs/>
                <w:color w:val="000000"/>
                <w:sz w:val="18"/>
                <w:szCs w:val="18"/>
              </w:rPr>
              <w:t>,</w:t>
            </w:r>
            <w:r w:rsidR="001F5DEB" w:rsidRPr="000A2AFE">
              <w:rPr>
                <w:rFonts w:cstheme="minorHAnsi"/>
                <w:b/>
                <w:bCs/>
                <w:color w:val="000000"/>
                <w:sz w:val="18"/>
                <w:szCs w:val="18"/>
              </w:rPr>
              <w:t>75</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14:paraId="39DB4F92" w14:textId="15B79C78" w:rsidR="00854ADA" w:rsidRPr="000A2AFE" w:rsidRDefault="00854ADA" w:rsidP="00854ADA">
            <w:pPr>
              <w:spacing w:after="0" w:line="240" w:lineRule="auto"/>
              <w:jc w:val="center"/>
              <w:rPr>
                <w:rFonts w:cstheme="minorHAnsi"/>
                <w:b/>
                <w:bCs/>
                <w:color w:val="000000"/>
                <w:sz w:val="18"/>
                <w:szCs w:val="18"/>
              </w:rPr>
            </w:pPr>
            <w:r w:rsidRPr="000A2AFE">
              <w:rPr>
                <w:rFonts w:cstheme="minorHAnsi"/>
                <w:b/>
                <w:bCs/>
                <w:color w:val="000000"/>
                <w:sz w:val="18"/>
                <w:szCs w:val="18"/>
              </w:rPr>
              <w:t>289</w:t>
            </w:r>
            <w:r w:rsidR="00DC5EAC">
              <w:rPr>
                <w:rFonts w:cstheme="minorHAnsi"/>
                <w:b/>
                <w:bCs/>
                <w:color w:val="000000"/>
                <w:sz w:val="18"/>
                <w:szCs w:val="18"/>
              </w:rPr>
              <w:t>,</w:t>
            </w:r>
            <w:r w:rsidR="001F5DEB" w:rsidRPr="000A2AFE">
              <w:rPr>
                <w:rFonts w:cstheme="minorHAnsi"/>
                <w:b/>
                <w:bCs/>
                <w:color w:val="000000"/>
                <w:sz w:val="18"/>
                <w:szCs w:val="18"/>
              </w:rPr>
              <w:t>00</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14:paraId="2D886C88" w14:textId="3FFA621D" w:rsidR="00854ADA" w:rsidRPr="000A2AFE" w:rsidRDefault="00854ADA" w:rsidP="00854ADA">
            <w:pPr>
              <w:spacing w:after="0" w:line="240" w:lineRule="auto"/>
              <w:jc w:val="center"/>
              <w:rPr>
                <w:rFonts w:cstheme="minorHAnsi"/>
                <w:b/>
                <w:bCs/>
                <w:color w:val="000000"/>
                <w:sz w:val="18"/>
                <w:szCs w:val="18"/>
              </w:rPr>
            </w:pPr>
            <w:r w:rsidRPr="000A2AFE">
              <w:rPr>
                <w:rFonts w:cstheme="minorHAnsi"/>
                <w:b/>
                <w:bCs/>
                <w:color w:val="000000"/>
                <w:sz w:val="18"/>
                <w:szCs w:val="18"/>
              </w:rPr>
              <w:t>361</w:t>
            </w:r>
            <w:r w:rsidR="00DC5EAC">
              <w:rPr>
                <w:rFonts w:cstheme="minorHAnsi"/>
                <w:b/>
                <w:bCs/>
                <w:color w:val="000000"/>
                <w:sz w:val="18"/>
                <w:szCs w:val="18"/>
              </w:rPr>
              <w:t>,</w:t>
            </w:r>
            <w:r w:rsidR="001F5DEB" w:rsidRPr="000A2AFE">
              <w:rPr>
                <w:rFonts w:cstheme="minorHAnsi"/>
                <w:b/>
                <w:bCs/>
                <w:color w:val="000000"/>
                <w:sz w:val="18"/>
                <w:szCs w:val="18"/>
              </w:rPr>
              <w:t>25</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14:paraId="65B864BC" w14:textId="0392C70F" w:rsidR="00854ADA" w:rsidRPr="000A2AFE" w:rsidRDefault="00854ADA" w:rsidP="00854ADA">
            <w:pPr>
              <w:spacing w:after="0" w:line="240" w:lineRule="auto"/>
              <w:jc w:val="center"/>
              <w:rPr>
                <w:rFonts w:cstheme="minorHAnsi"/>
                <w:b/>
                <w:bCs/>
                <w:color w:val="000000"/>
                <w:sz w:val="18"/>
                <w:szCs w:val="18"/>
              </w:rPr>
            </w:pPr>
            <w:r w:rsidRPr="000A2AFE">
              <w:rPr>
                <w:rFonts w:cstheme="minorHAnsi"/>
                <w:b/>
                <w:bCs/>
                <w:color w:val="000000"/>
                <w:sz w:val="18"/>
                <w:szCs w:val="18"/>
              </w:rPr>
              <w:t>433</w:t>
            </w:r>
            <w:r w:rsidR="00DC5EAC">
              <w:rPr>
                <w:rFonts w:cstheme="minorHAnsi"/>
                <w:b/>
                <w:bCs/>
                <w:color w:val="000000"/>
                <w:sz w:val="18"/>
                <w:szCs w:val="18"/>
              </w:rPr>
              <w:t>,</w:t>
            </w:r>
            <w:r w:rsidR="001F5DEB" w:rsidRPr="000A2AFE">
              <w:rPr>
                <w:rFonts w:cstheme="minorHAnsi"/>
                <w:b/>
                <w:bCs/>
                <w:color w:val="000000"/>
                <w:sz w:val="18"/>
                <w:szCs w:val="18"/>
              </w:rPr>
              <w:t>50</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14:paraId="6DFD7D80" w14:textId="30EB39BB" w:rsidR="00854ADA" w:rsidRPr="000A2AFE" w:rsidRDefault="00854ADA" w:rsidP="00854ADA">
            <w:pPr>
              <w:spacing w:after="0" w:line="240" w:lineRule="auto"/>
              <w:jc w:val="center"/>
              <w:rPr>
                <w:rFonts w:cstheme="minorHAnsi"/>
                <w:b/>
                <w:bCs/>
                <w:color w:val="000000"/>
                <w:sz w:val="18"/>
                <w:szCs w:val="18"/>
              </w:rPr>
            </w:pPr>
            <w:r w:rsidRPr="000A2AFE">
              <w:rPr>
                <w:rFonts w:cstheme="minorHAnsi"/>
                <w:b/>
                <w:bCs/>
                <w:color w:val="000000"/>
                <w:sz w:val="18"/>
                <w:szCs w:val="18"/>
              </w:rPr>
              <w:t>506</w:t>
            </w:r>
            <w:r w:rsidR="00DC5EAC">
              <w:rPr>
                <w:rFonts w:cstheme="minorHAnsi"/>
                <w:b/>
                <w:bCs/>
                <w:color w:val="000000"/>
                <w:sz w:val="18"/>
                <w:szCs w:val="18"/>
              </w:rPr>
              <w:t>,</w:t>
            </w:r>
            <w:r w:rsidR="001F5DEB" w:rsidRPr="000A2AFE">
              <w:rPr>
                <w:rFonts w:cstheme="minorHAnsi"/>
                <w:b/>
                <w:bCs/>
                <w:color w:val="000000"/>
                <w:sz w:val="18"/>
                <w:szCs w:val="18"/>
              </w:rPr>
              <w:t>75</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14:paraId="30C48559" w14:textId="77777777" w:rsidR="00854ADA" w:rsidRPr="000A2AFE" w:rsidRDefault="00854ADA" w:rsidP="00854ADA">
            <w:pPr>
              <w:spacing w:after="0" w:line="240" w:lineRule="auto"/>
              <w:jc w:val="center"/>
              <w:rPr>
                <w:rFonts w:ascii="Calibri" w:hAnsi="Calibri" w:cs="Calibri"/>
                <w:b/>
                <w:bCs/>
                <w:color w:val="000000"/>
                <w:sz w:val="18"/>
                <w:szCs w:val="18"/>
              </w:rPr>
            </w:pPr>
            <w:r w:rsidRPr="000A2AFE">
              <w:rPr>
                <w:rFonts w:ascii="Calibri" w:hAnsi="Calibri" w:cs="Calibri"/>
                <w:b/>
                <w:bCs/>
                <w:color w:val="000000"/>
                <w:sz w:val="18"/>
                <w:szCs w:val="18"/>
              </w:rPr>
              <w:t>2023</w:t>
            </w:r>
          </w:p>
        </w:tc>
      </w:tr>
    </w:tbl>
    <w:p w14:paraId="0E68E45F" w14:textId="43617F82" w:rsidR="00854ADA" w:rsidRPr="00FF386D" w:rsidRDefault="00854ADA" w:rsidP="00565B02">
      <w:pPr>
        <w:keepNext/>
        <w:spacing w:before="240" w:after="240" w:line="240" w:lineRule="auto"/>
        <w:jc w:val="both"/>
        <w:rPr>
          <w:rFonts w:asciiTheme="majorHAnsi" w:hAnsiTheme="majorHAnsi" w:cstheme="majorHAnsi"/>
          <w:bCs/>
          <w:color w:val="000000"/>
        </w:rPr>
      </w:pPr>
      <w:r w:rsidRPr="00FF386D">
        <w:rPr>
          <w:rFonts w:asciiTheme="majorHAnsi" w:hAnsiTheme="majorHAnsi" w:cstheme="majorHAnsi"/>
          <w:bCs/>
          <w:color w:val="000000"/>
        </w:rPr>
        <w:t xml:space="preserve">Алтернативне мере, које ће допринети </w:t>
      </w:r>
      <w:r w:rsidR="0003727C" w:rsidRPr="00FF386D">
        <w:rPr>
          <w:rFonts w:asciiTheme="majorHAnsi" w:hAnsiTheme="majorHAnsi" w:cstheme="majorHAnsi"/>
          <w:bCs/>
          <w:color w:val="000000"/>
        </w:rPr>
        <w:t>остваривањ</w:t>
      </w:r>
      <w:r w:rsidR="00F179C9" w:rsidRPr="00FF386D">
        <w:rPr>
          <w:rFonts w:asciiTheme="majorHAnsi" w:hAnsiTheme="majorHAnsi" w:cstheme="majorHAnsi"/>
          <w:bCs/>
          <w:color w:val="000000"/>
        </w:rPr>
        <w:t xml:space="preserve">у </w:t>
      </w:r>
      <w:r w:rsidRPr="00FF386D">
        <w:rPr>
          <w:rFonts w:asciiTheme="majorHAnsi" w:hAnsiTheme="majorHAnsi" w:cstheme="majorHAnsi"/>
          <w:bCs/>
          <w:color w:val="000000"/>
        </w:rPr>
        <w:t>циља из члана 7 у периоду 2024-2030</w:t>
      </w:r>
      <w:r w:rsidR="00F179C9" w:rsidRPr="00FF386D">
        <w:rPr>
          <w:rFonts w:asciiTheme="majorHAnsi" w:hAnsiTheme="majorHAnsi" w:cstheme="majorHAnsi"/>
          <w:bCs/>
          <w:color w:val="000000"/>
        </w:rPr>
        <w:t>. године</w:t>
      </w:r>
      <w:r w:rsidRPr="00FF386D">
        <w:rPr>
          <w:rFonts w:asciiTheme="majorHAnsi" w:hAnsiTheme="majorHAnsi" w:cstheme="majorHAnsi"/>
          <w:bCs/>
          <w:color w:val="000000"/>
        </w:rPr>
        <w:t>, приказане су у</w:t>
      </w:r>
      <w:r w:rsidR="00A85D38">
        <w:rPr>
          <w:rFonts w:asciiTheme="majorHAnsi" w:hAnsiTheme="majorHAnsi" w:cstheme="majorHAnsi"/>
          <w:bCs/>
          <w:color w:val="000000"/>
        </w:rPr>
        <w:t xml:space="preserve"> </w:t>
      </w:r>
      <w:r w:rsidR="00A85D38">
        <w:rPr>
          <w:rFonts w:asciiTheme="majorHAnsi" w:hAnsiTheme="majorHAnsi" w:cstheme="majorHAnsi"/>
          <w:bCs/>
          <w:color w:val="000000"/>
        </w:rPr>
        <w:fldChar w:fldCharType="begin"/>
      </w:r>
      <w:r w:rsidR="00A85D38">
        <w:rPr>
          <w:rFonts w:asciiTheme="majorHAnsi" w:hAnsiTheme="majorHAnsi" w:cstheme="majorHAnsi"/>
          <w:bCs/>
          <w:color w:val="000000"/>
        </w:rPr>
        <w:instrText xml:space="preserve"> REF _Ref153554344 \h  \* MERGEFORMAT </w:instrText>
      </w:r>
      <w:r w:rsidR="00A85D38">
        <w:rPr>
          <w:rFonts w:asciiTheme="majorHAnsi" w:hAnsiTheme="majorHAnsi" w:cstheme="majorHAnsi"/>
          <w:bCs/>
          <w:color w:val="000000"/>
        </w:rPr>
      </w:r>
      <w:r w:rsidR="00A85D38">
        <w:rPr>
          <w:rFonts w:asciiTheme="majorHAnsi" w:hAnsiTheme="majorHAnsi" w:cstheme="majorHAnsi"/>
          <w:bCs/>
          <w:color w:val="000000"/>
        </w:rPr>
        <w:fldChar w:fldCharType="separate"/>
      </w:r>
      <w:r w:rsidR="00A85D38" w:rsidRPr="00565B02">
        <w:rPr>
          <w:rFonts w:asciiTheme="majorHAnsi" w:hAnsiTheme="majorHAnsi" w:cstheme="majorHAnsi"/>
          <w:bCs/>
          <w:color w:val="000000"/>
        </w:rPr>
        <w:t>табели 3.2</w:t>
      </w:r>
      <w:r w:rsidR="00A85D38">
        <w:rPr>
          <w:rFonts w:asciiTheme="majorHAnsi" w:hAnsiTheme="majorHAnsi" w:cstheme="majorHAnsi"/>
          <w:bCs/>
          <w:color w:val="000000"/>
        </w:rPr>
        <w:fldChar w:fldCharType="end"/>
      </w:r>
      <w:r w:rsidRPr="00FF386D">
        <w:rPr>
          <w:rFonts w:asciiTheme="majorHAnsi" w:hAnsiTheme="majorHAnsi" w:cstheme="majorHAnsi"/>
          <w:bCs/>
          <w:color w:val="000000"/>
        </w:rPr>
        <w:t xml:space="preserve">. </w:t>
      </w:r>
      <w:r w:rsidR="0003727C" w:rsidRPr="00FF386D">
        <w:rPr>
          <w:rFonts w:asciiTheme="majorHAnsi" w:hAnsiTheme="majorHAnsi" w:cstheme="majorHAnsi"/>
          <w:bCs/>
          <w:color w:val="000000"/>
        </w:rPr>
        <w:t>узимајући у обзир доприносе сваке мере, к</w:t>
      </w:r>
      <w:r w:rsidR="00F179C9" w:rsidRPr="00FF386D">
        <w:rPr>
          <w:rFonts w:asciiTheme="majorHAnsi" w:hAnsiTheme="majorHAnsi" w:cstheme="majorHAnsi"/>
          <w:bCs/>
          <w:color w:val="000000"/>
        </w:rPr>
        <w:t>ао што је приказано у</w:t>
      </w:r>
      <w:r w:rsidR="0003727C" w:rsidRPr="00FF386D">
        <w:rPr>
          <w:rFonts w:asciiTheme="majorHAnsi" w:hAnsiTheme="majorHAnsi" w:cstheme="majorHAnsi"/>
          <w:bCs/>
          <w:color w:val="000000"/>
        </w:rPr>
        <w:t xml:space="preserve"> наредним одељцима ИНЕКП-а. </w:t>
      </w:r>
      <w:r w:rsidRPr="00FF386D">
        <w:rPr>
          <w:rFonts w:asciiTheme="majorHAnsi" w:hAnsiTheme="majorHAnsi" w:cstheme="majorHAnsi"/>
          <w:bCs/>
          <w:color w:val="000000"/>
        </w:rPr>
        <w:t xml:space="preserve">Треба напоменути да су за </w:t>
      </w:r>
      <w:r w:rsidR="0003727C" w:rsidRPr="00FF386D">
        <w:rPr>
          <w:rFonts w:asciiTheme="majorHAnsi" w:hAnsiTheme="majorHAnsi" w:cstheme="majorHAnsi"/>
          <w:bCs/>
          <w:color w:val="000000"/>
        </w:rPr>
        <w:t>прорачун</w:t>
      </w:r>
      <w:r w:rsidRPr="00FF386D">
        <w:rPr>
          <w:rFonts w:asciiTheme="majorHAnsi" w:hAnsiTheme="majorHAnsi" w:cstheme="majorHAnsi"/>
          <w:bCs/>
          <w:color w:val="000000"/>
        </w:rPr>
        <w:t xml:space="preserve"> доприноса </w:t>
      </w:r>
      <w:r w:rsidR="00F179C9" w:rsidRPr="00FF386D">
        <w:rPr>
          <w:rFonts w:asciiTheme="majorHAnsi" w:hAnsiTheme="majorHAnsi" w:cstheme="majorHAnsi"/>
          <w:bCs/>
          <w:color w:val="000000"/>
        </w:rPr>
        <w:t xml:space="preserve">ових мера </w:t>
      </w:r>
      <w:r w:rsidRPr="00FF386D">
        <w:rPr>
          <w:rFonts w:asciiTheme="majorHAnsi" w:hAnsiTheme="majorHAnsi" w:cstheme="majorHAnsi"/>
          <w:bCs/>
          <w:color w:val="000000"/>
        </w:rPr>
        <w:t xml:space="preserve">узете у обзир само интервенције енергетске ефикасности које ће бити спроведене након 2024. године, </w:t>
      </w:r>
      <w:bookmarkStart w:id="117" w:name="_Hlk116749037"/>
      <w:r w:rsidRPr="00FF386D">
        <w:rPr>
          <w:rFonts w:asciiTheme="majorHAnsi" w:hAnsiTheme="majorHAnsi" w:cstheme="majorHAnsi"/>
          <w:bCs/>
          <w:color w:val="000000"/>
        </w:rPr>
        <w:t xml:space="preserve">при чему треба имати у виду да се у складу са Одлуком Министарског савета Енергетске заједнице број D/2021/14/MC-EnC за </w:t>
      </w:r>
      <w:r w:rsidR="00F179C9" w:rsidRPr="00FF386D">
        <w:rPr>
          <w:rFonts w:asciiTheme="majorHAnsi" w:hAnsiTheme="majorHAnsi" w:cstheme="majorHAnsi"/>
          <w:bCs/>
          <w:color w:val="000000"/>
        </w:rPr>
        <w:t>остварење</w:t>
      </w:r>
      <w:r w:rsidRPr="00FF386D">
        <w:rPr>
          <w:rFonts w:asciiTheme="majorHAnsi" w:hAnsiTheme="majorHAnsi" w:cstheme="majorHAnsi"/>
          <w:bCs/>
          <w:color w:val="000000"/>
        </w:rPr>
        <w:t xml:space="preserve"> циљева </w:t>
      </w:r>
      <w:r w:rsidR="00F179C9" w:rsidRPr="00FF386D">
        <w:rPr>
          <w:rFonts w:asciiTheme="majorHAnsi" w:hAnsiTheme="majorHAnsi" w:cstheme="majorHAnsi"/>
          <w:bCs/>
          <w:color w:val="000000"/>
        </w:rPr>
        <w:t>на</w:t>
      </w:r>
      <w:r w:rsidRPr="00FF386D">
        <w:rPr>
          <w:rFonts w:asciiTheme="majorHAnsi" w:hAnsiTheme="majorHAnsi" w:cstheme="majorHAnsi"/>
          <w:bCs/>
          <w:color w:val="000000"/>
        </w:rPr>
        <w:t xml:space="preserve"> основу члана 7 могу узети у обзир и уштеде настале у наведеном периоду а које су резултат мера реализованих у периоду од 2021. до 2024. године.</w:t>
      </w:r>
    </w:p>
    <w:p w14:paraId="185A850A" w14:textId="315C20F3" w:rsidR="00FA3824" w:rsidRDefault="00FA3824" w:rsidP="00565B02">
      <w:pPr>
        <w:pStyle w:val="Caption"/>
        <w:keepNext/>
      </w:pPr>
      <w:bookmarkStart w:id="118" w:name="_Ref153554344"/>
      <w:bookmarkStart w:id="119" w:name="_Toc153901472"/>
      <w:bookmarkEnd w:id="117"/>
      <w:r>
        <w:t xml:space="preserve">Табела </w:t>
      </w:r>
      <w:r w:rsidR="00873C40">
        <w:fldChar w:fldCharType="begin"/>
      </w:r>
      <w:r w:rsidR="00873C40">
        <w:instrText xml:space="preserve"> STYLEREF 1 \s </w:instrText>
      </w:r>
      <w:r w:rsidR="00873C40">
        <w:fldChar w:fldCharType="separate"/>
      </w:r>
      <w:r w:rsidR="00873C40">
        <w:rPr>
          <w:noProof/>
        </w:rPr>
        <w:t>3</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2</w:t>
      </w:r>
      <w:r w:rsidR="00873C40">
        <w:fldChar w:fldCharType="end"/>
      </w:r>
      <w:bookmarkEnd w:id="118"/>
      <w:r w:rsidRPr="00FA3824">
        <w:t>: Одабране алтернативне мере за постизање циља из члана 7 у периоду 2024-2030. године</w:t>
      </w:r>
      <w:bookmarkEnd w:id="119"/>
    </w:p>
    <w:tbl>
      <w:tblPr>
        <w:tblW w:w="9299" w:type="dxa"/>
        <w:jc w:val="center"/>
        <w:tblLook w:val="04A0" w:firstRow="1" w:lastRow="0" w:firstColumn="1" w:lastColumn="0" w:noHBand="0" w:noVBand="1"/>
      </w:tblPr>
      <w:tblGrid>
        <w:gridCol w:w="7031"/>
        <w:gridCol w:w="2268"/>
      </w:tblGrid>
      <w:tr w:rsidR="00854ADA" w:rsidRPr="00FF386D" w14:paraId="63982C42" w14:textId="77777777" w:rsidTr="00565B02">
        <w:trPr>
          <w:trHeight w:val="288"/>
          <w:jc w:val="center"/>
        </w:trPr>
        <w:tc>
          <w:tcPr>
            <w:tcW w:w="703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30FF0F5" w14:textId="77777777" w:rsidR="00854ADA" w:rsidRPr="00FF386D" w:rsidRDefault="00854ADA" w:rsidP="00FA3824">
            <w:pPr>
              <w:spacing w:after="0"/>
              <w:jc w:val="center"/>
              <w:rPr>
                <w:rFonts w:ascii="Calibri" w:hAnsi="Calibri" w:cs="Calibri"/>
                <w:b/>
                <w:bCs/>
                <w:color w:val="FFFFFF" w:themeColor="background1"/>
                <w:sz w:val="20"/>
                <w:szCs w:val="20"/>
              </w:rPr>
            </w:pPr>
            <w:r w:rsidRPr="00FF386D">
              <w:rPr>
                <w:rFonts w:ascii="Calibri" w:hAnsi="Calibri" w:cs="Calibri"/>
                <w:b/>
                <w:bCs/>
                <w:color w:val="FFFFFF" w:themeColor="background1"/>
                <w:sz w:val="20"/>
                <w:szCs w:val="20"/>
              </w:rPr>
              <w:t>Алтернативне мере</w:t>
            </w:r>
          </w:p>
        </w:tc>
        <w:tc>
          <w:tcPr>
            <w:tcW w:w="2268" w:type="dxa"/>
            <w:tcBorders>
              <w:top w:val="single" w:sz="4" w:space="0" w:color="auto"/>
              <w:left w:val="nil"/>
              <w:bottom w:val="single" w:sz="4" w:space="0" w:color="auto"/>
              <w:right w:val="single" w:sz="4" w:space="0" w:color="auto"/>
            </w:tcBorders>
            <w:shd w:val="clear" w:color="auto" w:fill="002060"/>
            <w:noWrap/>
            <w:vAlign w:val="center"/>
            <w:hideMark/>
          </w:tcPr>
          <w:p w14:paraId="259BC318" w14:textId="77777777" w:rsidR="00854ADA" w:rsidRPr="00FF386D" w:rsidRDefault="00854ADA" w:rsidP="00FA3824">
            <w:pPr>
              <w:spacing w:after="0"/>
              <w:jc w:val="center"/>
              <w:rPr>
                <w:rFonts w:ascii="Calibri" w:hAnsi="Calibri" w:cs="Calibri"/>
                <w:b/>
                <w:bCs/>
                <w:color w:val="FFFFFF" w:themeColor="background1"/>
                <w:sz w:val="20"/>
                <w:szCs w:val="20"/>
              </w:rPr>
            </w:pPr>
            <w:r w:rsidRPr="00FF386D">
              <w:rPr>
                <w:rFonts w:ascii="Calibri" w:hAnsi="Calibri" w:cs="Calibri"/>
                <w:b/>
                <w:bCs/>
                <w:color w:val="FFFFFF" w:themeColor="background1"/>
                <w:sz w:val="20"/>
                <w:szCs w:val="20"/>
              </w:rPr>
              <w:t>Годишње уштеде (ktoe)</w:t>
            </w:r>
          </w:p>
        </w:tc>
      </w:tr>
      <w:tr w:rsidR="00854ADA" w:rsidRPr="00FF386D" w14:paraId="0CECE41D" w14:textId="77777777" w:rsidTr="00565B02">
        <w:trPr>
          <w:trHeight w:val="288"/>
          <w:jc w:val="center"/>
        </w:trPr>
        <w:tc>
          <w:tcPr>
            <w:tcW w:w="7031"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FE6D730" w14:textId="249F83E7" w:rsidR="00854ADA" w:rsidRPr="00FF386D" w:rsidRDefault="00854ADA" w:rsidP="00FA3824">
            <w:pPr>
              <w:spacing w:after="0"/>
              <w:rPr>
                <w:rFonts w:ascii="Calibri" w:hAnsi="Calibri" w:cs="Calibri"/>
                <w:b/>
                <w:bCs/>
                <w:color w:val="000000"/>
                <w:sz w:val="20"/>
                <w:szCs w:val="20"/>
              </w:rPr>
            </w:pPr>
            <w:r w:rsidRPr="00FF386D">
              <w:rPr>
                <w:rFonts w:ascii="Calibri" w:hAnsi="Calibri" w:cs="Calibri"/>
                <w:b/>
                <w:bCs/>
                <w:color w:val="000000"/>
                <w:sz w:val="20"/>
                <w:szCs w:val="20"/>
              </w:rPr>
              <w:t>Пром</w:t>
            </w:r>
            <w:r w:rsidR="00F179C9" w:rsidRPr="00FF386D">
              <w:rPr>
                <w:rFonts w:ascii="Calibri" w:hAnsi="Calibri" w:cs="Calibri"/>
                <w:b/>
                <w:bCs/>
                <w:color w:val="000000"/>
                <w:sz w:val="20"/>
                <w:szCs w:val="20"/>
              </w:rPr>
              <w:t>овисање</w:t>
            </w:r>
            <w:r w:rsidRPr="00FF386D">
              <w:rPr>
                <w:rFonts w:ascii="Calibri" w:hAnsi="Calibri" w:cs="Calibri"/>
                <w:b/>
                <w:bCs/>
                <w:color w:val="000000"/>
                <w:sz w:val="20"/>
                <w:szCs w:val="20"/>
              </w:rPr>
              <w:t xml:space="preserve"> мера ЕЕ у сектору индустрије (MП_EE21, MП_EE22 и MП_EE23)</w:t>
            </w:r>
          </w:p>
        </w:tc>
        <w:tc>
          <w:tcPr>
            <w:tcW w:w="2268" w:type="dxa"/>
            <w:tcBorders>
              <w:top w:val="nil"/>
              <w:left w:val="nil"/>
              <w:bottom w:val="single" w:sz="4" w:space="0" w:color="auto"/>
              <w:right w:val="single" w:sz="4" w:space="0" w:color="auto"/>
            </w:tcBorders>
            <w:shd w:val="clear" w:color="000000" w:fill="FFFFFF"/>
            <w:noWrap/>
            <w:vAlign w:val="center"/>
          </w:tcPr>
          <w:p w14:paraId="35DA25E7" w14:textId="77CAE49F" w:rsidR="00854ADA" w:rsidRPr="00FF386D" w:rsidRDefault="0003727C" w:rsidP="00FA3824">
            <w:pPr>
              <w:spacing w:after="0"/>
              <w:jc w:val="center"/>
              <w:rPr>
                <w:rFonts w:ascii="Calibri" w:hAnsi="Calibri" w:cs="Calibri"/>
                <w:color w:val="000000"/>
                <w:sz w:val="20"/>
                <w:szCs w:val="20"/>
              </w:rPr>
            </w:pPr>
            <w:r w:rsidRPr="00FF386D">
              <w:rPr>
                <w:rFonts w:ascii="Calibri" w:hAnsi="Calibri" w:cs="Calibri"/>
                <w:color w:val="000000"/>
                <w:sz w:val="20"/>
                <w:szCs w:val="20"/>
              </w:rPr>
              <w:t>273</w:t>
            </w:r>
          </w:p>
        </w:tc>
      </w:tr>
      <w:tr w:rsidR="00854ADA" w:rsidRPr="00FF386D" w14:paraId="500FEAE4" w14:textId="77777777" w:rsidTr="00565B02">
        <w:trPr>
          <w:trHeight w:val="288"/>
          <w:jc w:val="center"/>
        </w:trPr>
        <w:tc>
          <w:tcPr>
            <w:tcW w:w="7031"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6F7F42A" w14:textId="04292515" w:rsidR="00854ADA" w:rsidRPr="00FF386D" w:rsidRDefault="00854ADA" w:rsidP="00FA3824">
            <w:pPr>
              <w:spacing w:after="0"/>
              <w:rPr>
                <w:rFonts w:ascii="Calibri" w:hAnsi="Calibri" w:cs="Calibri"/>
                <w:b/>
                <w:bCs/>
                <w:color w:val="000000"/>
                <w:sz w:val="20"/>
                <w:szCs w:val="20"/>
              </w:rPr>
            </w:pPr>
            <w:r w:rsidRPr="00FF386D">
              <w:rPr>
                <w:rFonts w:ascii="Calibri" w:hAnsi="Calibri" w:cs="Calibri"/>
                <w:b/>
                <w:bCs/>
                <w:color w:val="000000"/>
                <w:sz w:val="20"/>
                <w:szCs w:val="20"/>
              </w:rPr>
              <w:t>Промо</w:t>
            </w:r>
            <w:r w:rsidR="00F179C9" w:rsidRPr="00FF386D">
              <w:rPr>
                <w:rFonts w:ascii="Calibri" w:hAnsi="Calibri" w:cs="Calibri"/>
                <w:b/>
                <w:bCs/>
                <w:color w:val="000000"/>
                <w:sz w:val="20"/>
                <w:szCs w:val="20"/>
              </w:rPr>
              <w:t>висање</w:t>
            </w:r>
            <w:r w:rsidRPr="00FF386D">
              <w:rPr>
                <w:rFonts w:ascii="Calibri" w:hAnsi="Calibri" w:cs="Calibri"/>
                <w:b/>
                <w:bCs/>
                <w:color w:val="000000"/>
                <w:sz w:val="20"/>
                <w:szCs w:val="20"/>
              </w:rPr>
              <w:t xml:space="preserve"> електричних путничких возила (MП_EE13)</w:t>
            </w:r>
          </w:p>
        </w:tc>
        <w:tc>
          <w:tcPr>
            <w:tcW w:w="2268" w:type="dxa"/>
            <w:tcBorders>
              <w:top w:val="nil"/>
              <w:left w:val="nil"/>
              <w:bottom w:val="single" w:sz="4" w:space="0" w:color="auto"/>
              <w:right w:val="single" w:sz="4" w:space="0" w:color="auto"/>
            </w:tcBorders>
            <w:shd w:val="clear" w:color="000000" w:fill="FFFFFF"/>
            <w:noWrap/>
            <w:vAlign w:val="center"/>
          </w:tcPr>
          <w:p w14:paraId="215EE1FA" w14:textId="3DB19349" w:rsidR="00854ADA" w:rsidRPr="00FF386D" w:rsidRDefault="0003727C" w:rsidP="00FA3824">
            <w:pPr>
              <w:spacing w:after="0"/>
              <w:jc w:val="center"/>
              <w:rPr>
                <w:rFonts w:ascii="Calibri" w:hAnsi="Calibri" w:cs="Calibri"/>
                <w:color w:val="000000"/>
                <w:sz w:val="20"/>
                <w:szCs w:val="20"/>
              </w:rPr>
            </w:pPr>
            <w:r w:rsidRPr="00FF386D">
              <w:rPr>
                <w:rFonts w:ascii="Calibri" w:hAnsi="Calibri" w:cs="Calibri"/>
                <w:color w:val="000000"/>
                <w:sz w:val="20"/>
                <w:szCs w:val="20"/>
              </w:rPr>
              <w:t>4</w:t>
            </w:r>
          </w:p>
        </w:tc>
      </w:tr>
      <w:tr w:rsidR="00854ADA" w:rsidRPr="00FF386D" w14:paraId="252329D2" w14:textId="77777777" w:rsidTr="00565B02">
        <w:trPr>
          <w:trHeight w:val="288"/>
          <w:jc w:val="center"/>
        </w:trPr>
        <w:tc>
          <w:tcPr>
            <w:tcW w:w="7031"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DB31A14" w14:textId="5E4A6A98" w:rsidR="00854ADA" w:rsidRPr="00FF386D" w:rsidRDefault="00854ADA" w:rsidP="00FA3824">
            <w:pPr>
              <w:spacing w:after="0"/>
              <w:rPr>
                <w:rFonts w:ascii="Calibri" w:hAnsi="Calibri" w:cs="Calibri"/>
                <w:b/>
                <w:bCs/>
                <w:color w:val="000000"/>
                <w:sz w:val="20"/>
                <w:szCs w:val="20"/>
              </w:rPr>
            </w:pPr>
            <w:r w:rsidRPr="00FF386D">
              <w:rPr>
                <w:rFonts w:ascii="Calibri" w:hAnsi="Calibri" w:cs="Calibri"/>
                <w:b/>
                <w:bCs/>
                <w:color w:val="000000"/>
                <w:sz w:val="20"/>
                <w:szCs w:val="20"/>
              </w:rPr>
              <w:t>Промо</w:t>
            </w:r>
            <w:r w:rsidR="00F179C9" w:rsidRPr="00FF386D">
              <w:rPr>
                <w:rFonts w:ascii="Calibri" w:hAnsi="Calibri" w:cs="Calibri"/>
                <w:b/>
                <w:bCs/>
                <w:color w:val="000000"/>
                <w:sz w:val="20"/>
                <w:szCs w:val="20"/>
              </w:rPr>
              <w:t>висање</w:t>
            </w:r>
            <w:r w:rsidRPr="00FF386D">
              <w:rPr>
                <w:rFonts w:ascii="Calibri" w:hAnsi="Calibri" w:cs="Calibri"/>
                <w:b/>
                <w:bCs/>
                <w:color w:val="000000"/>
                <w:sz w:val="20"/>
                <w:szCs w:val="20"/>
              </w:rPr>
              <w:t xml:space="preserve"> електричних лако теретних возила (MП_EE14)</w:t>
            </w:r>
          </w:p>
        </w:tc>
        <w:tc>
          <w:tcPr>
            <w:tcW w:w="2268" w:type="dxa"/>
            <w:tcBorders>
              <w:top w:val="nil"/>
              <w:left w:val="nil"/>
              <w:bottom w:val="single" w:sz="4" w:space="0" w:color="auto"/>
              <w:right w:val="single" w:sz="4" w:space="0" w:color="auto"/>
            </w:tcBorders>
            <w:shd w:val="clear" w:color="000000" w:fill="FFFFFF"/>
            <w:noWrap/>
            <w:vAlign w:val="center"/>
          </w:tcPr>
          <w:p w14:paraId="2AFC1E4D" w14:textId="2FB47EDB" w:rsidR="00854ADA" w:rsidRPr="00FF386D" w:rsidRDefault="0003727C" w:rsidP="00FA3824">
            <w:pPr>
              <w:spacing w:after="0"/>
              <w:jc w:val="center"/>
              <w:rPr>
                <w:rFonts w:ascii="Calibri" w:hAnsi="Calibri" w:cs="Calibri"/>
                <w:color w:val="000000"/>
                <w:sz w:val="20"/>
                <w:szCs w:val="20"/>
              </w:rPr>
            </w:pPr>
            <w:r w:rsidRPr="00FF386D">
              <w:rPr>
                <w:rFonts w:ascii="Calibri" w:hAnsi="Calibri" w:cs="Calibri"/>
                <w:color w:val="000000"/>
                <w:sz w:val="20"/>
                <w:szCs w:val="20"/>
              </w:rPr>
              <w:t>12</w:t>
            </w:r>
          </w:p>
        </w:tc>
      </w:tr>
      <w:tr w:rsidR="00854ADA" w:rsidRPr="00FF386D" w14:paraId="37AE6615" w14:textId="77777777" w:rsidTr="00565B02">
        <w:trPr>
          <w:trHeight w:val="288"/>
          <w:jc w:val="center"/>
        </w:trPr>
        <w:tc>
          <w:tcPr>
            <w:tcW w:w="7031"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1081975" w14:textId="0DB00887" w:rsidR="00854ADA" w:rsidRPr="00FF386D" w:rsidRDefault="00854ADA" w:rsidP="00FA3824">
            <w:pPr>
              <w:spacing w:after="0"/>
              <w:rPr>
                <w:rFonts w:ascii="Calibri" w:hAnsi="Calibri" w:cs="Calibri"/>
                <w:b/>
                <w:bCs/>
                <w:color w:val="000000"/>
                <w:sz w:val="20"/>
                <w:szCs w:val="20"/>
              </w:rPr>
            </w:pPr>
            <w:r w:rsidRPr="00FF386D">
              <w:rPr>
                <w:rFonts w:ascii="Calibri" w:hAnsi="Calibri" w:cs="Calibri"/>
                <w:b/>
                <w:bCs/>
                <w:color w:val="000000"/>
                <w:sz w:val="20"/>
                <w:szCs w:val="20"/>
              </w:rPr>
              <w:t>Промо</w:t>
            </w:r>
            <w:r w:rsidR="00F179C9" w:rsidRPr="00FF386D">
              <w:rPr>
                <w:rFonts w:ascii="Calibri" w:hAnsi="Calibri" w:cs="Calibri"/>
                <w:b/>
                <w:bCs/>
                <w:color w:val="000000"/>
                <w:sz w:val="20"/>
                <w:szCs w:val="20"/>
              </w:rPr>
              <w:t>висање</w:t>
            </w:r>
            <w:r w:rsidRPr="00FF386D">
              <w:rPr>
                <w:rFonts w:ascii="Calibri" w:hAnsi="Calibri" w:cs="Calibri"/>
                <w:b/>
                <w:bCs/>
                <w:color w:val="000000"/>
                <w:sz w:val="20"/>
                <w:szCs w:val="20"/>
              </w:rPr>
              <w:t xml:space="preserve"> електричних аутобуса (MП_EE18)</w:t>
            </w:r>
          </w:p>
        </w:tc>
        <w:tc>
          <w:tcPr>
            <w:tcW w:w="2268" w:type="dxa"/>
            <w:tcBorders>
              <w:top w:val="nil"/>
              <w:left w:val="nil"/>
              <w:bottom w:val="single" w:sz="4" w:space="0" w:color="auto"/>
              <w:right w:val="single" w:sz="4" w:space="0" w:color="auto"/>
            </w:tcBorders>
            <w:shd w:val="clear" w:color="000000" w:fill="FFFFFF"/>
            <w:noWrap/>
            <w:vAlign w:val="center"/>
          </w:tcPr>
          <w:p w14:paraId="3EC571E0" w14:textId="7936EEB5" w:rsidR="00854ADA" w:rsidRPr="00FF386D" w:rsidRDefault="0003727C" w:rsidP="00FA3824">
            <w:pPr>
              <w:spacing w:after="0"/>
              <w:jc w:val="center"/>
              <w:rPr>
                <w:rFonts w:ascii="Calibri" w:hAnsi="Calibri" w:cs="Calibri"/>
                <w:color w:val="000000"/>
                <w:sz w:val="20"/>
                <w:szCs w:val="20"/>
              </w:rPr>
            </w:pPr>
            <w:r w:rsidRPr="00FF386D">
              <w:rPr>
                <w:rFonts w:ascii="Calibri" w:hAnsi="Calibri" w:cs="Calibri"/>
                <w:color w:val="000000"/>
                <w:sz w:val="20"/>
                <w:szCs w:val="20"/>
              </w:rPr>
              <w:t>17</w:t>
            </w:r>
          </w:p>
        </w:tc>
      </w:tr>
      <w:tr w:rsidR="00854ADA" w:rsidRPr="00FF386D" w14:paraId="45B1BB9B" w14:textId="77777777" w:rsidTr="00565B02">
        <w:trPr>
          <w:trHeight w:val="288"/>
          <w:jc w:val="center"/>
        </w:trPr>
        <w:tc>
          <w:tcPr>
            <w:tcW w:w="7031"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88F06F3" w14:textId="3A1634E1" w:rsidR="00854ADA" w:rsidRPr="00FF386D" w:rsidRDefault="00F179C9" w:rsidP="00FA3824">
            <w:pPr>
              <w:spacing w:after="0"/>
              <w:rPr>
                <w:rFonts w:ascii="Calibri" w:hAnsi="Calibri" w:cs="Calibri"/>
                <w:b/>
                <w:bCs/>
                <w:color w:val="000000"/>
                <w:sz w:val="20"/>
                <w:szCs w:val="20"/>
              </w:rPr>
            </w:pPr>
            <w:r w:rsidRPr="00FF386D">
              <w:rPr>
                <w:rFonts w:ascii="Calibri" w:hAnsi="Calibri" w:cs="Calibri"/>
                <w:b/>
                <w:bCs/>
                <w:color w:val="000000"/>
                <w:sz w:val="20"/>
                <w:szCs w:val="20"/>
              </w:rPr>
              <w:t>Унапређење</w:t>
            </w:r>
            <w:r w:rsidR="00854ADA" w:rsidRPr="00FF386D">
              <w:rPr>
                <w:rFonts w:ascii="Calibri" w:hAnsi="Calibri" w:cs="Calibri"/>
                <w:b/>
                <w:bCs/>
                <w:color w:val="000000"/>
                <w:sz w:val="20"/>
                <w:szCs w:val="20"/>
              </w:rPr>
              <w:t xml:space="preserve"> омотача зграда у стамбеном сектору (MП_EE1)</w:t>
            </w:r>
          </w:p>
        </w:tc>
        <w:tc>
          <w:tcPr>
            <w:tcW w:w="2268" w:type="dxa"/>
            <w:tcBorders>
              <w:top w:val="nil"/>
              <w:left w:val="nil"/>
              <w:bottom w:val="single" w:sz="4" w:space="0" w:color="auto"/>
              <w:right w:val="single" w:sz="4" w:space="0" w:color="auto"/>
            </w:tcBorders>
            <w:shd w:val="clear" w:color="000000" w:fill="FFFFFF"/>
            <w:noWrap/>
            <w:vAlign w:val="center"/>
          </w:tcPr>
          <w:p w14:paraId="620A7184" w14:textId="37FF37B8" w:rsidR="00854ADA" w:rsidRPr="00FF386D" w:rsidRDefault="0003727C" w:rsidP="00FA3824">
            <w:pPr>
              <w:spacing w:after="0"/>
              <w:jc w:val="center"/>
              <w:rPr>
                <w:rFonts w:ascii="Calibri" w:hAnsi="Calibri" w:cs="Calibri"/>
                <w:color w:val="000000"/>
                <w:sz w:val="20"/>
                <w:szCs w:val="20"/>
              </w:rPr>
            </w:pPr>
            <w:r w:rsidRPr="00FF386D">
              <w:rPr>
                <w:rFonts w:ascii="Calibri" w:hAnsi="Calibri" w:cs="Calibri"/>
                <w:color w:val="000000"/>
                <w:sz w:val="20"/>
                <w:szCs w:val="20"/>
              </w:rPr>
              <w:t>35</w:t>
            </w:r>
          </w:p>
        </w:tc>
      </w:tr>
      <w:tr w:rsidR="00854ADA" w:rsidRPr="00FF386D" w14:paraId="4C7ED03D" w14:textId="77777777" w:rsidTr="00565B02">
        <w:trPr>
          <w:trHeight w:val="288"/>
          <w:jc w:val="center"/>
        </w:trPr>
        <w:tc>
          <w:tcPr>
            <w:tcW w:w="7031"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E76FD4D" w14:textId="4EAFBD02" w:rsidR="00854ADA" w:rsidRPr="00FF386D" w:rsidRDefault="00F179C9" w:rsidP="00FA3824">
            <w:pPr>
              <w:spacing w:after="0"/>
              <w:rPr>
                <w:rFonts w:ascii="Calibri" w:hAnsi="Calibri" w:cs="Calibri"/>
                <w:b/>
                <w:bCs/>
                <w:color w:val="000000"/>
                <w:sz w:val="20"/>
                <w:szCs w:val="20"/>
              </w:rPr>
            </w:pPr>
            <w:r w:rsidRPr="00FF386D">
              <w:rPr>
                <w:rFonts w:ascii="Calibri" w:hAnsi="Calibri" w:cs="Calibri"/>
                <w:b/>
                <w:bCs/>
                <w:color w:val="000000"/>
                <w:sz w:val="20"/>
                <w:szCs w:val="20"/>
              </w:rPr>
              <w:t>Унапређење</w:t>
            </w:r>
            <w:r w:rsidR="00854ADA" w:rsidRPr="00FF386D">
              <w:rPr>
                <w:rFonts w:ascii="Calibri" w:hAnsi="Calibri" w:cs="Calibri"/>
                <w:b/>
                <w:bCs/>
                <w:color w:val="000000"/>
                <w:sz w:val="20"/>
                <w:szCs w:val="20"/>
              </w:rPr>
              <w:t xml:space="preserve"> омотача зграда у терцијарном сектору (MП_EE2 и MП_EE3)</w:t>
            </w:r>
          </w:p>
        </w:tc>
        <w:tc>
          <w:tcPr>
            <w:tcW w:w="2268" w:type="dxa"/>
            <w:tcBorders>
              <w:top w:val="nil"/>
              <w:left w:val="nil"/>
              <w:bottom w:val="single" w:sz="4" w:space="0" w:color="auto"/>
              <w:right w:val="single" w:sz="4" w:space="0" w:color="auto"/>
            </w:tcBorders>
            <w:shd w:val="clear" w:color="000000" w:fill="FFFFFF"/>
            <w:noWrap/>
            <w:vAlign w:val="center"/>
          </w:tcPr>
          <w:p w14:paraId="45E06490" w14:textId="638B2560" w:rsidR="00854ADA" w:rsidRPr="00FF386D" w:rsidRDefault="0003727C" w:rsidP="00FA3824">
            <w:pPr>
              <w:spacing w:after="0"/>
              <w:jc w:val="center"/>
              <w:rPr>
                <w:rFonts w:ascii="Calibri" w:hAnsi="Calibri" w:cs="Calibri"/>
                <w:color w:val="000000"/>
                <w:sz w:val="20"/>
                <w:szCs w:val="20"/>
              </w:rPr>
            </w:pPr>
            <w:r w:rsidRPr="00FF386D">
              <w:rPr>
                <w:rFonts w:ascii="Calibri" w:hAnsi="Calibri" w:cs="Calibri"/>
                <w:color w:val="000000"/>
                <w:sz w:val="20"/>
                <w:szCs w:val="20"/>
              </w:rPr>
              <w:t>37</w:t>
            </w:r>
          </w:p>
        </w:tc>
      </w:tr>
      <w:tr w:rsidR="00854ADA" w:rsidRPr="00FF386D" w14:paraId="2285647C" w14:textId="77777777" w:rsidTr="00565B02">
        <w:trPr>
          <w:trHeight w:val="288"/>
          <w:jc w:val="center"/>
        </w:trPr>
        <w:tc>
          <w:tcPr>
            <w:tcW w:w="7031"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8078B87" w14:textId="77777777" w:rsidR="00854ADA" w:rsidRPr="00FF386D" w:rsidRDefault="00854ADA" w:rsidP="00FA3824">
            <w:pPr>
              <w:spacing w:after="0"/>
              <w:rPr>
                <w:rFonts w:ascii="Calibri" w:hAnsi="Calibri" w:cs="Calibri"/>
                <w:b/>
                <w:bCs/>
                <w:color w:val="000000"/>
                <w:sz w:val="20"/>
                <w:szCs w:val="20"/>
              </w:rPr>
            </w:pPr>
            <w:r w:rsidRPr="00FF386D">
              <w:rPr>
                <w:rFonts w:ascii="Calibri" w:hAnsi="Calibri" w:cs="Calibri"/>
                <w:b/>
                <w:bCs/>
                <w:color w:val="000000"/>
                <w:sz w:val="20"/>
                <w:szCs w:val="20"/>
              </w:rPr>
              <w:t>Инсталација топлотних пумпи (MП_EE1, MП_EE2 и MП_EE3)</w:t>
            </w:r>
          </w:p>
        </w:tc>
        <w:tc>
          <w:tcPr>
            <w:tcW w:w="2268" w:type="dxa"/>
            <w:tcBorders>
              <w:top w:val="nil"/>
              <w:left w:val="nil"/>
              <w:bottom w:val="single" w:sz="4" w:space="0" w:color="auto"/>
              <w:right w:val="single" w:sz="4" w:space="0" w:color="auto"/>
            </w:tcBorders>
            <w:shd w:val="clear" w:color="000000" w:fill="FFFFFF"/>
            <w:noWrap/>
            <w:vAlign w:val="center"/>
          </w:tcPr>
          <w:p w14:paraId="14808BF1" w14:textId="7FB9524A" w:rsidR="00854ADA" w:rsidRPr="00FF386D" w:rsidRDefault="0003727C" w:rsidP="00FA3824">
            <w:pPr>
              <w:spacing w:after="0"/>
              <w:jc w:val="center"/>
              <w:rPr>
                <w:rFonts w:ascii="Calibri" w:hAnsi="Calibri" w:cs="Calibri"/>
                <w:color w:val="000000"/>
                <w:sz w:val="20"/>
                <w:szCs w:val="20"/>
              </w:rPr>
            </w:pPr>
            <w:r w:rsidRPr="00FF386D">
              <w:rPr>
                <w:rFonts w:ascii="Calibri" w:hAnsi="Calibri" w:cs="Calibri"/>
                <w:color w:val="000000"/>
                <w:sz w:val="20"/>
                <w:szCs w:val="20"/>
              </w:rPr>
              <w:t>86</w:t>
            </w:r>
          </w:p>
        </w:tc>
      </w:tr>
      <w:tr w:rsidR="00854ADA" w:rsidRPr="00FF386D" w14:paraId="7773CB3D" w14:textId="77777777" w:rsidTr="00565B02">
        <w:trPr>
          <w:trHeight w:val="288"/>
          <w:jc w:val="center"/>
        </w:trPr>
        <w:tc>
          <w:tcPr>
            <w:tcW w:w="7031"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26CAAE8" w14:textId="77777777" w:rsidR="00854ADA" w:rsidRPr="00FF386D" w:rsidRDefault="00854ADA" w:rsidP="00FA3824">
            <w:pPr>
              <w:spacing w:after="0"/>
              <w:rPr>
                <w:rFonts w:ascii="Calibri" w:hAnsi="Calibri" w:cs="Calibri"/>
                <w:b/>
                <w:bCs/>
                <w:color w:val="000000"/>
                <w:sz w:val="20"/>
                <w:szCs w:val="20"/>
              </w:rPr>
            </w:pPr>
            <w:r w:rsidRPr="00FF386D">
              <w:rPr>
                <w:rFonts w:ascii="Calibri" w:hAnsi="Calibri" w:cs="Calibri"/>
                <w:b/>
                <w:bCs/>
                <w:color w:val="000000"/>
                <w:sz w:val="20"/>
                <w:szCs w:val="20"/>
              </w:rPr>
              <w:t>Енергетско унапређење уличне расвете (MП_EE30)</w:t>
            </w:r>
          </w:p>
        </w:tc>
        <w:tc>
          <w:tcPr>
            <w:tcW w:w="2268" w:type="dxa"/>
            <w:tcBorders>
              <w:top w:val="nil"/>
              <w:left w:val="nil"/>
              <w:bottom w:val="single" w:sz="4" w:space="0" w:color="auto"/>
              <w:right w:val="single" w:sz="4" w:space="0" w:color="auto"/>
            </w:tcBorders>
            <w:shd w:val="clear" w:color="000000" w:fill="FFFFFF"/>
            <w:noWrap/>
            <w:vAlign w:val="center"/>
          </w:tcPr>
          <w:p w14:paraId="4DE57985" w14:textId="506DC1E8" w:rsidR="00854ADA" w:rsidRPr="00FF386D" w:rsidRDefault="0003727C" w:rsidP="00FA3824">
            <w:pPr>
              <w:spacing w:after="0"/>
              <w:jc w:val="center"/>
              <w:rPr>
                <w:rFonts w:ascii="Calibri" w:hAnsi="Calibri" w:cs="Calibri"/>
                <w:color w:val="000000"/>
                <w:sz w:val="20"/>
                <w:szCs w:val="20"/>
              </w:rPr>
            </w:pPr>
            <w:r w:rsidRPr="00FF386D">
              <w:rPr>
                <w:rFonts w:ascii="Calibri" w:hAnsi="Calibri" w:cs="Calibri"/>
                <w:color w:val="000000"/>
                <w:sz w:val="20"/>
                <w:szCs w:val="20"/>
              </w:rPr>
              <w:t>17</w:t>
            </w:r>
          </w:p>
        </w:tc>
      </w:tr>
      <w:tr w:rsidR="00854ADA" w:rsidRPr="00FF386D" w14:paraId="4B3FD33E" w14:textId="77777777" w:rsidTr="00565B02">
        <w:trPr>
          <w:trHeight w:val="288"/>
          <w:jc w:val="center"/>
        </w:trPr>
        <w:tc>
          <w:tcPr>
            <w:tcW w:w="7031"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048E0E4" w14:textId="7AB5C9F9" w:rsidR="00854ADA" w:rsidRPr="00FF386D" w:rsidRDefault="00854ADA" w:rsidP="00FA3824">
            <w:pPr>
              <w:spacing w:after="0"/>
              <w:rPr>
                <w:rFonts w:ascii="Calibri" w:hAnsi="Calibri" w:cs="Calibri"/>
                <w:b/>
                <w:bCs/>
                <w:color w:val="000000"/>
                <w:sz w:val="20"/>
                <w:szCs w:val="20"/>
              </w:rPr>
            </w:pPr>
            <w:r w:rsidRPr="00FF386D">
              <w:rPr>
                <w:rFonts w:ascii="Calibri" w:hAnsi="Calibri" w:cs="Calibri"/>
                <w:b/>
                <w:bCs/>
                <w:color w:val="000000"/>
                <w:sz w:val="20"/>
                <w:szCs w:val="20"/>
              </w:rPr>
              <w:t>Промо</w:t>
            </w:r>
            <w:r w:rsidR="00F179C9" w:rsidRPr="00FF386D">
              <w:rPr>
                <w:rFonts w:ascii="Calibri" w:hAnsi="Calibri" w:cs="Calibri"/>
                <w:b/>
                <w:bCs/>
                <w:color w:val="000000"/>
                <w:sz w:val="20"/>
                <w:szCs w:val="20"/>
              </w:rPr>
              <w:t>висање</w:t>
            </w:r>
            <w:r w:rsidRPr="00FF386D">
              <w:rPr>
                <w:rFonts w:ascii="Calibri" w:hAnsi="Calibri" w:cs="Calibri"/>
                <w:b/>
                <w:bCs/>
                <w:color w:val="000000"/>
                <w:sz w:val="20"/>
                <w:szCs w:val="20"/>
              </w:rPr>
              <w:t xml:space="preserve"> енергетски ефикасног осветљења и кућних апарата (MП_EE9)</w:t>
            </w:r>
          </w:p>
        </w:tc>
        <w:tc>
          <w:tcPr>
            <w:tcW w:w="2268" w:type="dxa"/>
            <w:tcBorders>
              <w:top w:val="nil"/>
              <w:left w:val="nil"/>
              <w:bottom w:val="single" w:sz="4" w:space="0" w:color="auto"/>
              <w:right w:val="single" w:sz="4" w:space="0" w:color="auto"/>
            </w:tcBorders>
            <w:shd w:val="clear" w:color="000000" w:fill="FFFFFF"/>
            <w:noWrap/>
            <w:vAlign w:val="center"/>
          </w:tcPr>
          <w:p w14:paraId="76E85CDF" w14:textId="3C9D61DA" w:rsidR="00854ADA" w:rsidRPr="00FF386D" w:rsidRDefault="0003727C" w:rsidP="00FA3824">
            <w:pPr>
              <w:spacing w:after="0"/>
              <w:jc w:val="center"/>
              <w:rPr>
                <w:rFonts w:ascii="Calibri" w:hAnsi="Calibri" w:cs="Calibri"/>
                <w:color w:val="000000"/>
                <w:sz w:val="20"/>
                <w:szCs w:val="20"/>
              </w:rPr>
            </w:pPr>
            <w:r w:rsidRPr="00FF386D">
              <w:rPr>
                <w:rFonts w:ascii="Calibri" w:hAnsi="Calibri" w:cs="Calibri"/>
                <w:color w:val="000000"/>
                <w:sz w:val="20"/>
                <w:szCs w:val="20"/>
              </w:rPr>
              <w:t>18</w:t>
            </w:r>
          </w:p>
        </w:tc>
      </w:tr>
      <w:tr w:rsidR="00854ADA" w:rsidRPr="00FF386D" w14:paraId="52A4A0B5" w14:textId="77777777" w:rsidTr="00565B02">
        <w:trPr>
          <w:trHeight w:val="288"/>
          <w:jc w:val="center"/>
        </w:trPr>
        <w:tc>
          <w:tcPr>
            <w:tcW w:w="7031"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6A97D1A7" w14:textId="0E7961F9" w:rsidR="00854ADA" w:rsidRPr="00FF386D" w:rsidRDefault="00854ADA" w:rsidP="00FA3824">
            <w:pPr>
              <w:spacing w:after="0"/>
              <w:rPr>
                <w:rFonts w:ascii="Calibri" w:hAnsi="Calibri" w:cs="Calibri"/>
                <w:b/>
                <w:bCs/>
                <w:color w:val="000000"/>
                <w:sz w:val="20"/>
                <w:szCs w:val="20"/>
              </w:rPr>
            </w:pPr>
            <w:r w:rsidRPr="00FF386D">
              <w:rPr>
                <w:rFonts w:ascii="Calibri" w:hAnsi="Calibri" w:cs="Calibri"/>
                <w:b/>
                <w:bCs/>
                <w:color w:val="000000"/>
                <w:sz w:val="20"/>
                <w:szCs w:val="20"/>
              </w:rPr>
              <w:t>Промо</w:t>
            </w:r>
            <w:r w:rsidR="00F179C9" w:rsidRPr="00FF386D">
              <w:rPr>
                <w:rFonts w:ascii="Calibri" w:hAnsi="Calibri" w:cs="Calibri"/>
                <w:b/>
                <w:bCs/>
                <w:color w:val="000000"/>
                <w:sz w:val="20"/>
                <w:szCs w:val="20"/>
              </w:rPr>
              <w:t>висање</w:t>
            </w:r>
            <w:r w:rsidRPr="00FF386D">
              <w:rPr>
                <w:rFonts w:ascii="Calibri" w:hAnsi="Calibri" w:cs="Calibri"/>
                <w:b/>
                <w:bCs/>
                <w:color w:val="000000"/>
                <w:sz w:val="20"/>
                <w:szCs w:val="20"/>
              </w:rPr>
              <w:t xml:space="preserve"> енергетске ефикасности у сектору пољопривреде (МП_ЕЕ24 и МП_ЕЕ25)</w:t>
            </w:r>
          </w:p>
        </w:tc>
        <w:tc>
          <w:tcPr>
            <w:tcW w:w="2268" w:type="dxa"/>
            <w:tcBorders>
              <w:top w:val="nil"/>
              <w:left w:val="nil"/>
              <w:bottom w:val="single" w:sz="4" w:space="0" w:color="auto"/>
              <w:right w:val="single" w:sz="4" w:space="0" w:color="auto"/>
            </w:tcBorders>
            <w:shd w:val="clear" w:color="000000" w:fill="FFFFFF"/>
            <w:noWrap/>
            <w:vAlign w:val="center"/>
          </w:tcPr>
          <w:p w14:paraId="5D52F598" w14:textId="7CBFC2B5" w:rsidR="00854ADA" w:rsidRPr="00FF386D" w:rsidRDefault="0003727C" w:rsidP="00FA3824">
            <w:pPr>
              <w:spacing w:after="0"/>
              <w:jc w:val="center"/>
              <w:rPr>
                <w:rFonts w:ascii="Calibri" w:hAnsi="Calibri" w:cs="Calibri"/>
                <w:color w:val="000000"/>
                <w:sz w:val="20"/>
                <w:szCs w:val="20"/>
              </w:rPr>
            </w:pPr>
            <w:r w:rsidRPr="00FF386D">
              <w:rPr>
                <w:rFonts w:ascii="Calibri" w:hAnsi="Calibri" w:cs="Calibri"/>
                <w:color w:val="000000"/>
                <w:sz w:val="20"/>
                <w:szCs w:val="20"/>
              </w:rPr>
              <w:t>8</w:t>
            </w:r>
          </w:p>
        </w:tc>
      </w:tr>
      <w:tr w:rsidR="00854ADA" w:rsidRPr="00FF386D" w14:paraId="1CFF7A3F" w14:textId="77777777" w:rsidTr="00565B02">
        <w:trPr>
          <w:trHeight w:val="288"/>
          <w:jc w:val="center"/>
        </w:trPr>
        <w:tc>
          <w:tcPr>
            <w:tcW w:w="7031"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0B62D74" w14:textId="77777777" w:rsidR="00854ADA" w:rsidRPr="00FF386D" w:rsidRDefault="00854ADA" w:rsidP="00FA3824">
            <w:pPr>
              <w:spacing w:after="0"/>
              <w:jc w:val="center"/>
              <w:rPr>
                <w:rFonts w:ascii="Calibri" w:hAnsi="Calibri" w:cs="Calibri"/>
                <w:b/>
                <w:bCs/>
                <w:color w:val="000000"/>
                <w:sz w:val="20"/>
                <w:szCs w:val="20"/>
              </w:rPr>
            </w:pPr>
            <w:r w:rsidRPr="00FF386D">
              <w:rPr>
                <w:rFonts w:ascii="Calibri" w:hAnsi="Calibri" w:cs="Calibri"/>
                <w:b/>
                <w:bCs/>
                <w:color w:val="000000"/>
                <w:sz w:val="20"/>
                <w:szCs w:val="20"/>
              </w:rPr>
              <w:t>Укупно</w:t>
            </w:r>
          </w:p>
        </w:tc>
        <w:tc>
          <w:tcPr>
            <w:tcW w:w="2268" w:type="dxa"/>
            <w:tcBorders>
              <w:top w:val="nil"/>
              <w:left w:val="nil"/>
              <w:bottom w:val="single" w:sz="4" w:space="0" w:color="auto"/>
              <w:right w:val="single" w:sz="4" w:space="0" w:color="auto"/>
            </w:tcBorders>
            <w:shd w:val="clear" w:color="auto" w:fill="D9D9D9" w:themeFill="background1" w:themeFillShade="D9"/>
            <w:noWrap/>
            <w:vAlign w:val="center"/>
          </w:tcPr>
          <w:p w14:paraId="37FA6B9F" w14:textId="0C9FBF7A" w:rsidR="00854ADA" w:rsidRPr="00FF386D" w:rsidRDefault="0003727C" w:rsidP="00FA3824">
            <w:pPr>
              <w:spacing w:after="0"/>
              <w:jc w:val="center"/>
              <w:rPr>
                <w:rFonts w:ascii="Calibri" w:hAnsi="Calibri" w:cs="Calibri"/>
                <w:b/>
                <w:bCs/>
                <w:color w:val="000000"/>
                <w:sz w:val="20"/>
                <w:szCs w:val="20"/>
              </w:rPr>
            </w:pPr>
            <w:r w:rsidRPr="00FF386D">
              <w:rPr>
                <w:rFonts w:ascii="Calibri" w:hAnsi="Calibri" w:cs="Calibri"/>
                <w:b/>
                <w:bCs/>
                <w:color w:val="000000"/>
                <w:sz w:val="20"/>
                <w:szCs w:val="20"/>
              </w:rPr>
              <w:t>506</w:t>
            </w:r>
          </w:p>
        </w:tc>
      </w:tr>
    </w:tbl>
    <w:p w14:paraId="5C8A35E1" w14:textId="00CD9405" w:rsidR="00C24FEB" w:rsidRPr="000A2AFE" w:rsidRDefault="00C24FEB" w:rsidP="00C24FEB">
      <w:pPr>
        <w:spacing w:before="240" w:after="240" w:line="260" w:lineRule="exact"/>
        <w:jc w:val="both"/>
        <w:rPr>
          <w:rFonts w:asciiTheme="majorHAnsi" w:hAnsiTheme="majorHAnsi" w:cstheme="majorHAnsi"/>
          <w:color w:val="000000"/>
        </w:rPr>
      </w:pPr>
      <w:r w:rsidRPr="000A2AFE">
        <w:rPr>
          <w:rFonts w:asciiTheme="majorHAnsi" w:hAnsiTheme="majorHAnsi" w:cstheme="majorHAnsi"/>
          <w:color w:val="000000"/>
        </w:rPr>
        <w:t>Треба напоменути да су остварене уштеде енергије од мера енергетске ефикасности у периоду 2021-2024. године прихватљиве и биће узете у обзир за постизање наведеног циља на основу активности праћења, контроле и верификације током испуњења услова извештавања.</w:t>
      </w:r>
    </w:p>
    <w:p w14:paraId="24CA4C94" w14:textId="227AEC6F" w:rsidR="00854ADA" w:rsidRPr="00FF386D" w:rsidRDefault="00854ADA">
      <w:pPr>
        <w:pStyle w:val="ListParagraph"/>
        <w:keepNext/>
        <w:keepLines/>
        <w:numPr>
          <w:ilvl w:val="0"/>
          <w:numId w:val="281"/>
        </w:numPr>
        <w:spacing w:before="200" w:after="0" w:line="240" w:lineRule="auto"/>
        <w:jc w:val="both"/>
        <w:outlineLvl w:val="3"/>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t xml:space="preserve">Дугорочна стратегија за подстицање улагања у обнову националног фонда зграда у РС до 2050. године укључујући политике и мере подстицаја за економичну </w:t>
      </w:r>
      <w:r w:rsidR="00592D4E" w:rsidRPr="00FF386D">
        <w:rPr>
          <w:rFonts w:asciiTheme="majorHAnsi" w:eastAsiaTheme="majorEastAsia" w:hAnsiTheme="majorHAnsi" w:cstheme="majorBidi"/>
          <w:b/>
          <w:bCs/>
          <w:iCs/>
          <w:color w:val="01406B"/>
          <w:szCs w:val="24"/>
        </w:rPr>
        <w:t>обимнију</w:t>
      </w:r>
      <w:r w:rsidRPr="00FF386D">
        <w:rPr>
          <w:rFonts w:asciiTheme="majorHAnsi" w:eastAsiaTheme="majorEastAsia" w:hAnsiTheme="majorHAnsi" w:cstheme="majorBidi"/>
          <w:b/>
          <w:bCs/>
          <w:iCs/>
          <w:color w:val="01406B"/>
          <w:szCs w:val="24"/>
        </w:rPr>
        <w:t xml:space="preserve"> обнову и </w:t>
      </w:r>
      <w:r w:rsidR="00592D4E" w:rsidRPr="00FF386D">
        <w:rPr>
          <w:rFonts w:asciiTheme="majorHAnsi" w:eastAsiaTheme="majorEastAsia" w:hAnsiTheme="majorHAnsi" w:cstheme="majorBidi"/>
          <w:b/>
          <w:bCs/>
          <w:iCs/>
          <w:color w:val="01406B"/>
          <w:szCs w:val="24"/>
        </w:rPr>
        <w:t>обимнију</w:t>
      </w:r>
      <w:r w:rsidRPr="00FF386D">
        <w:rPr>
          <w:rFonts w:asciiTheme="majorHAnsi" w:eastAsiaTheme="majorEastAsia" w:hAnsiTheme="majorHAnsi" w:cstheme="majorBidi"/>
          <w:b/>
          <w:bCs/>
          <w:iCs/>
          <w:color w:val="01406B"/>
          <w:szCs w:val="24"/>
        </w:rPr>
        <w:t xml:space="preserve"> обнову у </w:t>
      </w:r>
      <w:r w:rsidR="00592D4E" w:rsidRPr="00FF386D">
        <w:rPr>
          <w:rFonts w:asciiTheme="majorHAnsi" w:eastAsiaTheme="majorEastAsia" w:hAnsiTheme="majorHAnsi" w:cstheme="majorBidi"/>
          <w:b/>
          <w:bCs/>
          <w:iCs/>
          <w:color w:val="01406B"/>
          <w:szCs w:val="24"/>
        </w:rPr>
        <w:t>фазама</w:t>
      </w:r>
    </w:p>
    <w:p w14:paraId="7FE888ED" w14:textId="30BD9BBF"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Биће спроведена добро избалансирана комбинација мера политике и финансијских, фискалних и регулаторних мера, како би се подржала енергетска санација зграда и </w:t>
      </w:r>
      <w:r w:rsidR="00592D4E" w:rsidRPr="00FF386D">
        <w:rPr>
          <w:rFonts w:asciiTheme="majorHAnsi" w:hAnsiTheme="majorHAnsi" w:cstheme="majorHAnsi"/>
          <w:color w:val="000000"/>
        </w:rPr>
        <w:t>постигла</w:t>
      </w:r>
      <w:r w:rsidRPr="00FF386D">
        <w:rPr>
          <w:rFonts w:asciiTheme="majorHAnsi" w:hAnsiTheme="majorHAnsi" w:cstheme="majorHAnsi"/>
          <w:color w:val="000000"/>
        </w:rPr>
        <w:t xml:space="preserve"> одређена стопа обнове. Све планиране мере су систематизоване у Дугорочној стратегији за подстицање улагања у обнову националног фонда зграда Републике Србије до 2050. године</w:t>
      </w:r>
      <w:r w:rsidR="0003727C" w:rsidRPr="000A2AFE">
        <w:rPr>
          <w:rFonts w:asciiTheme="majorHAnsi" w:hAnsiTheme="majorHAnsi" w:cstheme="majorHAnsi"/>
          <w:color w:val="000000"/>
          <w:vertAlign w:val="superscript"/>
        </w:rPr>
        <w:footnoteReference w:id="110"/>
      </w:r>
      <w:r w:rsidR="0003727C" w:rsidRPr="00FF386D">
        <w:rPr>
          <w:rFonts w:asciiTheme="majorHAnsi" w:hAnsiTheme="majorHAnsi" w:cstheme="majorHAnsi"/>
          <w:color w:val="000000"/>
        </w:rPr>
        <w:t>,</w:t>
      </w:r>
      <w:r w:rsidRPr="00FF386D">
        <w:rPr>
          <w:rFonts w:asciiTheme="majorHAnsi" w:hAnsiTheme="majorHAnsi" w:cstheme="majorHAnsi"/>
          <w:color w:val="000000"/>
        </w:rPr>
        <w:t xml:space="preserve"> и намењене су стамбеним и нестамбеним зградама</w:t>
      </w:r>
      <w:r w:rsidR="00592D4E" w:rsidRPr="00FF386D">
        <w:rPr>
          <w:rFonts w:asciiTheme="majorHAnsi" w:hAnsiTheme="majorHAnsi" w:cstheme="majorHAnsi"/>
          <w:color w:val="000000"/>
        </w:rPr>
        <w:t xml:space="preserve">, </w:t>
      </w:r>
      <w:r w:rsidRPr="00FF386D">
        <w:rPr>
          <w:rFonts w:asciiTheme="majorHAnsi" w:hAnsiTheme="majorHAnsi" w:cstheme="majorHAnsi"/>
          <w:color w:val="000000"/>
        </w:rPr>
        <w:t>како јавним тако и приватним.</w:t>
      </w:r>
    </w:p>
    <w:p w14:paraId="16D9F106" w14:textId="750CBDF5"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Биће обезбеђена финансијска подршка за подстицање унапређења енергетских својстава и енергетске модернизације стамбених и нестамбених зграда. Осмишљавање и додела наменских финансијских подстицаја ће олакшати </w:t>
      </w:r>
      <w:r w:rsidR="00592D4E" w:rsidRPr="00FF386D">
        <w:rPr>
          <w:rFonts w:asciiTheme="majorHAnsi" w:hAnsiTheme="majorHAnsi" w:cstheme="majorHAnsi"/>
          <w:color w:val="000000"/>
        </w:rPr>
        <w:t>обимнију</w:t>
      </w:r>
      <w:r w:rsidRPr="00FF386D">
        <w:rPr>
          <w:rFonts w:asciiTheme="majorHAnsi" w:hAnsiTheme="majorHAnsi" w:cstheme="majorHAnsi"/>
          <w:color w:val="000000"/>
        </w:rPr>
        <w:t xml:space="preserve"> енергетску </w:t>
      </w:r>
      <w:r w:rsidR="00592D4E" w:rsidRPr="00FF386D">
        <w:rPr>
          <w:rFonts w:asciiTheme="majorHAnsi" w:hAnsiTheme="majorHAnsi" w:cstheme="majorHAnsi"/>
          <w:color w:val="000000"/>
        </w:rPr>
        <w:t>санацију</w:t>
      </w:r>
      <w:r w:rsidRPr="00FF386D">
        <w:rPr>
          <w:rFonts w:asciiTheme="majorHAnsi" w:hAnsiTheme="majorHAnsi" w:cstheme="majorHAnsi"/>
          <w:color w:val="000000"/>
        </w:rPr>
        <w:t xml:space="preserve"> стамбених зграда, при чему ће се постићи оптимал</w:t>
      </w:r>
      <w:r w:rsidR="00592D4E" w:rsidRPr="00FF386D">
        <w:rPr>
          <w:rFonts w:asciiTheme="majorHAnsi" w:hAnsiTheme="majorHAnsi" w:cstheme="majorHAnsi"/>
          <w:color w:val="000000"/>
        </w:rPr>
        <w:t xml:space="preserve">ан однос трошкова и </w:t>
      </w:r>
      <w:r w:rsidR="0024016C" w:rsidRPr="00FF386D">
        <w:rPr>
          <w:rFonts w:asciiTheme="majorHAnsi" w:hAnsiTheme="majorHAnsi" w:cstheme="majorHAnsi"/>
          <w:color w:val="000000"/>
        </w:rPr>
        <w:t>резултата</w:t>
      </w:r>
      <w:r w:rsidRPr="00FF386D">
        <w:rPr>
          <w:rFonts w:asciiTheme="majorHAnsi" w:hAnsiTheme="majorHAnsi" w:cstheme="majorHAnsi"/>
          <w:color w:val="000000"/>
        </w:rPr>
        <w:t xml:space="preserve"> и повећа</w:t>
      </w:r>
      <w:r w:rsidR="0024016C" w:rsidRPr="00FF386D">
        <w:rPr>
          <w:rFonts w:asciiTheme="majorHAnsi" w:hAnsiTheme="majorHAnsi" w:cstheme="majorHAnsi"/>
          <w:color w:val="000000"/>
        </w:rPr>
        <w:t>ти</w:t>
      </w:r>
      <w:r w:rsidRPr="00FF386D">
        <w:rPr>
          <w:rFonts w:asciiTheme="majorHAnsi" w:hAnsiTheme="majorHAnsi" w:cstheme="majorHAnsi"/>
          <w:color w:val="000000"/>
        </w:rPr>
        <w:t xml:space="preserve"> ниво </w:t>
      </w:r>
      <w:r w:rsidR="0024016C" w:rsidRPr="00FF386D">
        <w:rPr>
          <w:rFonts w:asciiTheme="majorHAnsi" w:hAnsiTheme="majorHAnsi" w:cstheme="majorHAnsi"/>
          <w:color w:val="000000"/>
        </w:rPr>
        <w:t>користи</w:t>
      </w:r>
      <w:r w:rsidRPr="00FF386D">
        <w:rPr>
          <w:rFonts w:asciiTheme="majorHAnsi" w:hAnsiTheme="majorHAnsi" w:cstheme="majorHAnsi"/>
          <w:color w:val="000000"/>
        </w:rPr>
        <w:t>. Поре</w:t>
      </w:r>
      <w:r w:rsidR="0098147A" w:rsidRPr="00FF386D">
        <w:rPr>
          <w:rFonts w:asciiTheme="majorHAnsi" w:hAnsiTheme="majorHAnsi" w:cstheme="majorHAnsi"/>
          <w:color w:val="000000"/>
        </w:rPr>
        <w:t>д</w:t>
      </w:r>
      <w:r w:rsidRPr="00FF386D">
        <w:rPr>
          <w:rFonts w:asciiTheme="majorHAnsi" w:hAnsiTheme="majorHAnsi" w:cstheme="majorHAnsi"/>
          <w:color w:val="000000"/>
        </w:rPr>
        <w:t xml:space="preserve"> тога, </w:t>
      </w:r>
      <w:r w:rsidR="00BF2405" w:rsidRPr="00FF386D">
        <w:rPr>
          <w:rFonts w:asciiTheme="majorHAnsi" w:hAnsiTheme="majorHAnsi" w:cstheme="majorHAnsi"/>
          <w:color w:val="000000"/>
        </w:rPr>
        <w:t xml:space="preserve">путем специјализованих инструмената </w:t>
      </w:r>
      <w:r w:rsidRPr="00FF386D">
        <w:rPr>
          <w:rFonts w:asciiTheme="majorHAnsi" w:hAnsiTheme="majorHAnsi" w:cstheme="majorHAnsi"/>
          <w:color w:val="000000"/>
        </w:rPr>
        <w:t xml:space="preserve">биће подстицане најекономичније индивидуалне технологије грејања и хлађења. </w:t>
      </w:r>
      <w:r w:rsidR="00BF2405" w:rsidRPr="00FF386D">
        <w:rPr>
          <w:rFonts w:asciiTheme="majorHAnsi" w:hAnsiTheme="majorHAnsi" w:cstheme="majorHAnsi"/>
          <w:color w:val="000000"/>
        </w:rPr>
        <w:t>Б</w:t>
      </w:r>
      <w:r w:rsidRPr="00FF386D">
        <w:rPr>
          <w:rFonts w:asciiTheme="majorHAnsi" w:hAnsiTheme="majorHAnsi" w:cstheme="majorHAnsi"/>
          <w:color w:val="000000"/>
        </w:rPr>
        <w:t xml:space="preserve">иће уведене додатне финансијске и фискалне мере, као што су </w:t>
      </w:r>
      <w:r w:rsidR="00BF2405" w:rsidRPr="00FF386D">
        <w:rPr>
          <w:rFonts w:asciiTheme="majorHAnsi" w:hAnsiTheme="majorHAnsi" w:cstheme="majorHAnsi"/>
          <w:color w:val="000000"/>
        </w:rPr>
        <w:t>увођење</w:t>
      </w:r>
      <w:r w:rsidRPr="00FF386D">
        <w:rPr>
          <w:rFonts w:asciiTheme="majorHAnsi" w:hAnsiTheme="majorHAnsi" w:cstheme="majorHAnsi"/>
          <w:color w:val="000000"/>
        </w:rPr>
        <w:t xml:space="preserve"> циљаних пореских олакшица, кредитне линије и кредити са ниском каматом, у случају да допринос планираних субвенција не буде </w:t>
      </w:r>
      <w:r w:rsidRPr="00FF386D">
        <w:rPr>
          <w:rFonts w:asciiTheme="majorHAnsi" w:hAnsiTheme="majorHAnsi" w:cstheme="majorHAnsi"/>
          <w:color w:val="000000"/>
        </w:rPr>
        <w:lastRenderedPageBreak/>
        <w:t>довољан. У случају нестамбених зграда, планирани програми ће се фокусирати на циљану финалну потрошњу сектора узимајући у обзир њихов потенцијал за уштеду енергије. Акценат ће бити стављен на мере за д</w:t>
      </w:r>
      <w:r w:rsidR="00BF2405" w:rsidRPr="00FF386D">
        <w:rPr>
          <w:rFonts w:asciiTheme="majorHAnsi" w:hAnsiTheme="majorHAnsi" w:cstheme="majorHAnsi"/>
          <w:color w:val="000000"/>
        </w:rPr>
        <w:t xml:space="preserve">одатно </w:t>
      </w:r>
      <w:r w:rsidRPr="00FF386D">
        <w:rPr>
          <w:rFonts w:asciiTheme="majorHAnsi" w:hAnsiTheme="majorHAnsi" w:cstheme="majorHAnsi"/>
          <w:color w:val="000000"/>
        </w:rPr>
        <w:t>увођење</w:t>
      </w:r>
      <w:r w:rsidR="00D047EA" w:rsidRPr="00FF386D">
        <w:rPr>
          <w:rFonts w:asciiTheme="majorHAnsi" w:hAnsiTheme="majorHAnsi" w:cstheme="majorHAnsi"/>
          <w:color w:val="000000"/>
        </w:rPr>
        <w:t xml:space="preserve"> соларних топлотних система, </w:t>
      </w:r>
      <w:r w:rsidRPr="00FF386D">
        <w:rPr>
          <w:rFonts w:asciiTheme="majorHAnsi" w:hAnsiTheme="majorHAnsi" w:cstheme="majorHAnsi"/>
          <w:color w:val="000000"/>
        </w:rPr>
        <w:t xml:space="preserve">као што је обавезна уградња у нове зграде и зграде које се обимније </w:t>
      </w:r>
      <w:r w:rsidR="00BF2405" w:rsidRPr="00FF386D">
        <w:rPr>
          <w:rFonts w:asciiTheme="majorHAnsi" w:hAnsiTheme="majorHAnsi" w:cstheme="majorHAnsi"/>
          <w:color w:val="000000"/>
        </w:rPr>
        <w:t>обнављају</w:t>
      </w:r>
      <w:r w:rsidR="00C24FEB" w:rsidRPr="00C24FEB">
        <w:rPr>
          <w:rFonts w:asciiTheme="majorHAnsi" w:hAnsiTheme="majorHAnsi" w:cstheme="majorHAnsi"/>
          <w:color w:val="000000"/>
        </w:rPr>
        <w:t>, како је дефинисано у Директиви 2010/31/ЕУ</w:t>
      </w:r>
      <w:r w:rsidR="00BF2405" w:rsidRPr="00FF386D">
        <w:rPr>
          <w:rFonts w:asciiTheme="majorHAnsi" w:hAnsiTheme="majorHAnsi" w:cstheme="majorHAnsi"/>
          <w:color w:val="000000"/>
        </w:rPr>
        <w:t>.</w:t>
      </w:r>
    </w:p>
    <w:p w14:paraId="42002FA6" w14:textId="556F4710"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Поред тога, обезбедиће се </w:t>
      </w:r>
      <w:r w:rsidR="00BF2405" w:rsidRPr="00FF386D">
        <w:rPr>
          <w:rFonts w:asciiTheme="majorHAnsi" w:hAnsiTheme="majorHAnsi" w:cstheme="majorHAnsi"/>
          <w:color w:val="000000"/>
        </w:rPr>
        <w:t>доследност</w:t>
      </w:r>
      <w:r w:rsidRPr="00FF386D">
        <w:rPr>
          <w:rFonts w:asciiTheme="majorHAnsi" w:hAnsiTheme="majorHAnsi" w:cstheme="majorHAnsi"/>
          <w:color w:val="000000"/>
        </w:rPr>
        <w:t xml:space="preserve"> и усклађеност законодавног оквира са одредбама Директиве 2018/844/ЕУ, односно ЕПБД 2010/31/ЕУ</w:t>
      </w:r>
      <w:r w:rsidR="00BF2405" w:rsidRPr="00FF386D">
        <w:rPr>
          <w:rFonts w:asciiTheme="majorHAnsi" w:hAnsiTheme="majorHAnsi" w:cstheme="majorHAnsi"/>
          <w:color w:val="000000"/>
        </w:rPr>
        <w:t xml:space="preserve">, </w:t>
      </w:r>
      <w:r w:rsidRPr="00FF386D">
        <w:rPr>
          <w:rFonts w:asciiTheme="majorHAnsi" w:hAnsiTheme="majorHAnsi" w:cstheme="majorHAnsi"/>
          <w:color w:val="000000"/>
        </w:rPr>
        <w:t xml:space="preserve">при чему ће предвиђени минимални захтеви бити интегрисани у Правилник о енергетској ефикасности зграда како би се повећао број зграда </w:t>
      </w:r>
      <w:r w:rsidR="00BF2405" w:rsidRPr="00FF386D">
        <w:rPr>
          <w:rFonts w:asciiTheme="majorHAnsi" w:hAnsiTheme="majorHAnsi" w:cstheme="majorHAnsi"/>
          <w:color w:val="000000"/>
        </w:rPr>
        <w:t>скоро</w:t>
      </w:r>
      <w:r w:rsidRPr="00FF386D">
        <w:rPr>
          <w:rFonts w:asciiTheme="majorHAnsi" w:hAnsiTheme="majorHAnsi" w:cstheme="majorHAnsi"/>
          <w:color w:val="000000"/>
        </w:rPr>
        <w:t xml:space="preserve"> нулте енергије. Преглед система грејања и климатизације ће се спроводити у складу са одговарајућим </w:t>
      </w:r>
      <w:r w:rsidR="00BF2405" w:rsidRPr="00FF386D">
        <w:rPr>
          <w:rFonts w:asciiTheme="majorHAnsi" w:hAnsiTheme="majorHAnsi" w:cstheme="majorHAnsi"/>
          <w:color w:val="000000"/>
        </w:rPr>
        <w:t>прописима</w:t>
      </w:r>
      <w:r w:rsidRPr="00FF386D">
        <w:rPr>
          <w:rFonts w:asciiTheme="majorHAnsi" w:hAnsiTheme="majorHAnsi" w:cstheme="majorHAnsi"/>
          <w:color w:val="000000"/>
        </w:rPr>
        <w:t>. Разматраћ</w:t>
      </w:r>
      <w:r w:rsidR="003E328C" w:rsidRPr="00FF386D">
        <w:rPr>
          <w:rFonts w:asciiTheme="majorHAnsi" w:hAnsiTheme="majorHAnsi" w:cstheme="majorHAnsi"/>
          <w:color w:val="000000"/>
        </w:rPr>
        <w:t>е</w:t>
      </w:r>
      <w:r w:rsidRPr="00FF386D">
        <w:rPr>
          <w:rFonts w:asciiTheme="majorHAnsi" w:hAnsiTheme="majorHAnsi" w:cstheme="majorHAnsi"/>
          <w:color w:val="000000"/>
        </w:rPr>
        <w:t xml:space="preserve"> се доношење конкретних регулаторних мера испитивањем различитих алтернатива. Спроводиће се посебни програми за остварење захтева енергетске ефикасности који </w:t>
      </w:r>
      <w:r w:rsidR="00BF2405" w:rsidRPr="00FF386D">
        <w:rPr>
          <w:rFonts w:asciiTheme="majorHAnsi" w:hAnsiTheme="majorHAnsi" w:cstheme="majorHAnsi"/>
          <w:color w:val="000000"/>
        </w:rPr>
        <w:t>превазилазе</w:t>
      </w:r>
      <w:r w:rsidRPr="00FF386D">
        <w:rPr>
          <w:rFonts w:asciiTheme="majorHAnsi" w:hAnsiTheme="majorHAnsi" w:cstheme="majorHAnsi"/>
          <w:color w:val="000000"/>
        </w:rPr>
        <w:t xml:space="preserve"> минималн</w:t>
      </w:r>
      <w:r w:rsidR="00BF2405" w:rsidRPr="00FF386D">
        <w:rPr>
          <w:rFonts w:asciiTheme="majorHAnsi" w:hAnsiTheme="majorHAnsi" w:cstheme="majorHAnsi"/>
          <w:color w:val="000000"/>
        </w:rPr>
        <w:t>е</w:t>
      </w:r>
      <w:r w:rsidRPr="00FF386D">
        <w:rPr>
          <w:rFonts w:asciiTheme="majorHAnsi" w:hAnsiTheme="majorHAnsi" w:cstheme="majorHAnsi"/>
          <w:color w:val="000000"/>
        </w:rPr>
        <w:t>, увођењем регулаторних и додатних фискалних и финансијских мера.</w:t>
      </w:r>
    </w:p>
    <w:p w14:paraId="1C30BD30" w14:textId="1D98F73B" w:rsidR="00854ADA" w:rsidRPr="00FF386D" w:rsidRDefault="0003727C" w:rsidP="00854ADA">
      <w:pPr>
        <w:spacing w:before="160"/>
        <w:jc w:val="both"/>
        <w:rPr>
          <w:rFonts w:asciiTheme="majorHAnsi" w:hAnsiTheme="majorHAnsi" w:cstheme="majorHAnsi"/>
          <w:color w:val="000000"/>
        </w:rPr>
      </w:pPr>
      <w:r w:rsidRPr="00FF386D">
        <w:rPr>
          <w:rFonts w:asciiTheme="majorHAnsi" w:hAnsiTheme="majorHAnsi" w:cstheme="majorHAnsi"/>
          <w:color w:val="000000"/>
        </w:rPr>
        <w:t>На крају, у</w:t>
      </w:r>
      <w:r w:rsidR="00854ADA" w:rsidRPr="00FF386D">
        <w:rPr>
          <w:rFonts w:asciiTheme="majorHAnsi" w:hAnsiTheme="majorHAnsi" w:cstheme="majorHAnsi"/>
          <w:color w:val="000000"/>
        </w:rPr>
        <w:t xml:space="preserve">лога сертификата о енергетским својствима зграда ће бити </w:t>
      </w:r>
      <w:r w:rsidR="001835E3" w:rsidRPr="00FF386D">
        <w:rPr>
          <w:rFonts w:asciiTheme="majorHAnsi" w:hAnsiTheme="majorHAnsi" w:cstheme="majorHAnsi"/>
          <w:color w:val="000000"/>
        </w:rPr>
        <w:t>унапређена</w:t>
      </w:r>
      <w:r w:rsidR="00854ADA" w:rsidRPr="00FF386D">
        <w:rPr>
          <w:rFonts w:asciiTheme="majorHAnsi" w:hAnsiTheme="majorHAnsi" w:cstheme="majorHAnsi"/>
          <w:color w:val="000000"/>
        </w:rPr>
        <w:t xml:space="preserve"> </w:t>
      </w:r>
      <w:r w:rsidR="006E0ED7" w:rsidRPr="00FF386D">
        <w:rPr>
          <w:rFonts w:asciiTheme="majorHAnsi" w:hAnsiTheme="majorHAnsi" w:cstheme="majorHAnsi"/>
          <w:color w:val="000000"/>
        </w:rPr>
        <w:t xml:space="preserve">тако што ће се трансформисати </w:t>
      </w:r>
      <w:r w:rsidR="00854ADA" w:rsidRPr="00FF386D">
        <w:rPr>
          <w:rFonts w:asciiTheme="majorHAnsi" w:hAnsiTheme="majorHAnsi" w:cstheme="majorHAnsi"/>
          <w:color w:val="000000"/>
        </w:rPr>
        <w:t>у пасоше</w:t>
      </w:r>
      <w:r w:rsidR="00AE5BE7" w:rsidRPr="00FF386D">
        <w:rPr>
          <w:rFonts w:asciiTheme="majorHAnsi" w:hAnsiTheme="majorHAnsi" w:cstheme="majorHAnsi"/>
          <w:color w:val="000000"/>
        </w:rPr>
        <w:t xml:space="preserve"> санације</w:t>
      </w:r>
      <w:r w:rsidR="00854ADA" w:rsidRPr="00FF386D">
        <w:rPr>
          <w:rFonts w:asciiTheme="majorHAnsi" w:hAnsiTheme="majorHAnsi" w:cstheme="majorHAnsi"/>
          <w:color w:val="000000"/>
        </w:rPr>
        <w:t xml:space="preserve"> </w:t>
      </w:r>
      <w:r w:rsidR="003F4D0F" w:rsidRPr="00FF386D">
        <w:rPr>
          <w:rFonts w:asciiTheme="majorHAnsi" w:hAnsiTheme="majorHAnsi" w:cstheme="majorHAnsi"/>
          <w:color w:val="000000"/>
        </w:rPr>
        <w:t xml:space="preserve">како би се </w:t>
      </w:r>
      <w:r w:rsidR="00C24FEB" w:rsidRPr="00C24FEB">
        <w:rPr>
          <w:rFonts w:asciiTheme="majorHAnsi" w:hAnsiTheme="majorHAnsi" w:cstheme="majorHAnsi"/>
          <w:color w:val="000000"/>
        </w:rPr>
        <w:t xml:space="preserve">у потпуности ускладили са одредбама ревидиране Директиве 2018/844/ЕУ и </w:t>
      </w:r>
      <w:r w:rsidR="003F4D0F" w:rsidRPr="00FF386D">
        <w:rPr>
          <w:rFonts w:asciiTheme="majorHAnsi" w:hAnsiTheme="majorHAnsi" w:cstheme="majorHAnsi"/>
          <w:color w:val="000000"/>
        </w:rPr>
        <w:t>омогућило спровођење најекономичнијих интервенција.</w:t>
      </w:r>
      <w:r w:rsidR="00BF2405" w:rsidRPr="00FF386D">
        <w:rPr>
          <w:rFonts w:asciiTheme="majorHAnsi" w:hAnsiTheme="majorHAnsi" w:cstheme="majorHAnsi"/>
          <w:color w:val="000000"/>
        </w:rPr>
        <w:t xml:space="preserve"> Поред тога, улога система енергетског менаџмента </w:t>
      </w:r>
      <w:r w:rsidR="000866BF" w:rsidRPr="00FF386D">
        <w:rPr>
          <w:rFonts w:asciiTheme="majorHAnsi" w:hAnsiTheme="majorHAnsi" w:cstheme="majorHAnsi"/>
          <w:color w:val="000000"/>
        </w:rPr>
        <w:t xml:space="preserve">такође </w:t>
      </w:r>
      <w:r w:rsidR="00BF2405" w:rsidRPr="00FF386D">
        <w:rPr>
          <w:rFonts w:asciiTheme="majorHAnsi" w:hAnsiTheme="majorHAnsi" w:cstheme="majorHAnsi"/>
          <w:color w:val="000000"/>
        </w:rPr>
        <w:t xml:space="preserve">може да буде кључна за остварење циљева енергетске ефикасности. </w:t>
      </w:r>
      <w:r w:rsidR="00C24FEB" w:rsidRPr="00C24FEB">
        <w:rPr>
          <w:rFonts w:asciiTheme="majorHAnsi" w:hAnsiTheme="majorHAnsi" w:cstheme="majorHAnsi"/>
          <w:color w:val="000000"/>
        </w:rPr>
        <w:t>Наравно, сви претходно поменути приоритети ће бити узети у обзир током ажурирања законодавног оквира на националном нивоу (нпр. Правилник о енергетској ефикасности зграда) како би се осигурало постизање посебних циљева.</w:t>
      </w:r>
    </w:p>
    <w:tbl>
      <w:tblPr>
        <w:tblW w:w="9458" w:type="dxa"/>
        <w:tblLook w:val="04A0" w:firstRow="1" w:lastRow="0" w:firstColumn="1" w:lastColumn="0" w:noHBand="0" w:noVBand="1"/>
      </w:tblPr>
      <w:tblGrid>
        <w:gridCol w:w="3329"/>
        <w:gridCol w:w="954"/>
        <w:gridCol w:w="945"/>
        <w:gridCol w:w="4230"/>
      </w:tblGrid>
      <w:tr w:rsidR="00854ADA" w:rsidRPr="00FF386D" w14:paraId="44B76BB1" w14:textId="77777777" w:rsidTr="0057310C">
        <w:trPr>
          <w:trHeight w:val="780"/>
        </w:trPr>
        <w:tc>
          <w:tcPr>
            <w:tcW w:w="3329"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16666A23"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54" w:type="dxa"/>
            <w:tcBorders>
              <w:top w:val="single" w:sz="8" w:space="0" w:color="auto"/>
              <w:left w:val="nil"/>
              <w:bottom w:val="single" w:sz="8" w:space="0" w:color="auto"/>
              <w:right w:val="single" w:sz="8" w:space="0" w:color="auto"/>
            </w:tcBorders>
            <w:shd w:val="clear" w:color="auto" w:fill="E7E6E6" w:themeFill="background2"/>
            <w:vAlign w:val="center"/>
            <w:hideMark/>
          </w:tcPr>
          <w:p w14:paraId="72027B4E"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МП_ЕЕ1</w:t>
            </w:r>
          </w:p>
        </w:tc>
        <w:tc>
          <w:tcPr>
            <w:tcW w:w="945" w:type="dxa"/>
            <w:tcBorders>
              <w:top w:val="single" w:sz="8" w:space="0" w:color="auto"/>
              <w:left w:val="nil"/>
              <w:bottom w:val="single" w:sz="8" w:space="0" w:color="auto"/>
              <w:right w:val="single" w:sz="8" w:space="0" w:color="auto"/>
            </w:tcBorders>
            <w:shd w:val="clear" w:color="000000" w:fill="244062"/>
            <w:vAlign w:val="center"/>
            <w:hideMark/>
          </w:tcPr>
          <w:p w14:paraId="6441612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30" w:type="dxa"/>
            <w:tcBorders>
              <w:top w:val="single" w:sz="8" w:space="0" w:color="auto"/>
              <w:left w:val="nil"/>
              <w:bottom w:val="single" w:sz="8" w:space="0" w:color="auto"/>
              <w:right w:val="single" w:sz="8" w:space="0" w:color="auto"/>
            </w:tcBorders>
            <w:shd w:val="clear" w:color="auto" w:fill="E7E6E6" w:themeFill="background2"/>
            <w:vAlign w:val="center"/>
            <w:hideMark/>
          </w:tcPr>
          <w:p w14:paraId="3B3A4009" w14:textId="69B446CD" w:rsidR="00854ADA" w:rsidRPr="00FF386D" w:rsidRDefault="00B36155"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Финансијска</w:t>
            </w:r>
            <w:r w:rsidR="00854ADA" w:rsidRPr="00FF386D">
              <w:rPr>
                <w:rFonts w:ascii="Calibri Light" w:hAnsi="Calibri Light"/>
                <w:b/>
                <w:sz w:val="20"/>
              </w:rPr>
              <w:t xml:space="preserve"> подршка</w:t>
            </w:r>
            <w:r w:rsidR="0003727C" w:rsidRPr="00FF386D">
              <w:rPr>
                <w:rFonts w:ascii="Calibri Light" w:hAnsi="Calibri Light"/>
                <w:b/>
                <w:sz w:val="20"/>
              </w:rPr>
              <w:t xml:space="preserve"> за енергетску </w:t>
            </w:r>
            <w:r w:rsidR="008F2AC0" w:rsidRPr="00FF386D">
              <w:rPr>
                <w:rFonts w:ascii="Calibri Light" w:hAnsi="Calibri Light"/>
                <w:b/>
                <w:sz w:val="20"/>
              </w:rPr>
              <w:t xml:space="preserve">санацију стамбених </w:t>
            </w:r>
            <w:r w:rsidR="00854ADA" w:rsidRPr="00FF386D">
              <w:rPr>
                <w:rFonts w:ascii="Calibri Light" w:hAnsi="Calibri Light"/>
                <w:b/>
                <w:sz w:val="20"/>
              </w:rPr>
              <w:t>зграда.</w:t>
            </w:r>
          </w:p>
        </w:tc>
      </w:tr>
      <w:tr w:rsidR="00854ADA" w:rsidRPr="00FF386D" w14:paraId="773C2EFC" w14:textId="77777777" w:rsidTr="0057310C">
        <w:trPr>
          <w:trHeight w:val="960"/>
        </w:trPr>
        <w:tc>
          <w:tcPr>
            <w:tcW w:w="3329" w:type="dxa"/>
            <w:tcBorders>
              <w:top w:val="nil"/>
              <w:left w:val="single" w:sz="8" w:space="0" w:color="auto"/>
              <w:bottom w:val="single" w:sz="8" w:space="0" w:color="auto"/>
              <w:right w:val="nil"/>
            </w:tcBorders>
            <w:shd w:val="clear" w:color="000000" w:fill="244062"/>
            <w:vAlign w:val="center"/>
            <w:hideMark/>
          </w:tcPr>
          <w:p w14:paraId="4BAB37A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0282A6B0" w14:textId="43107841" w:rsidR="00854ADA" w:rsidRPr="000A2AFE" w:rsidRDefault="003E328C"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Примена</w:t>
            </w:r>
            <w:r w:rsidR="00854ADA" w:rsidRPr="00FF386D">
              <w:rPr>
                <w:rFonts w:ascii="Calibri Light" w:hAnsi="Calibri Light"/>
                <w:sz w:val="20"/>
              </w:rPr>
              <w:t xml:space="preserve"> чланова Директиве </w:t>
            </w:r>
            <w:r w:rsidR="008F2AC0" w:rsidRPr="00FF386D">
              <w:rPr>
                <w:rFonts w:ascii="Calibri Light" w:hAnsi="Calibri Light"/>
                <w:sz w:val="20"/>
              </w:rPr>
              <w:t xml:space="preserve">(ЕУ) </w:t>
            </w:r>
            <w:r w:rsidR="00854ADA" w:rsidRPr="00FF386D">
              <w:rPr>
                <w:rFonts w:ascii="Calibri Light" w:hAnsi="Calibri Light"/>
                <w:sz w:val="20"/>
              </w:rPr>
              <w:t>2012/27</w:t>
            </w:r>
            <w:r w:rsidR="008F2AC0" w:rsidRPr="00FF386D">
              <w:rPr>
                <w:rFonts w:ascii="Calibri Light" w:hAnsi="Calibri Light"/>
                <w:sz w:val="20"/>
              </w:rPr>
              <w:t>,</w:t>
            </w:r>
            <w:r w:rsidR="00854ADA" w:rsidRPr="00FF386D">
              <w:rPr>
                <w:rFonts w:ascii="Calibri Light" w:hAnsi="Calibri Light"/>
                <w:sz w:val="20"/>
              </w:rPr>
              <w:t xml:space="preserve"> која је измењена и допуњена Директивом </w:t>
            </w:r>
            <w:r w:rsidR="008F2AC0" w:rsidRPr="00FF386D">
              <w:rPr>
                <w:rFonts w:ascii="Calibri Light" w:hAnsi="Calibri Light"/>
                <w:sz w:val="20"/>
              </w:rPr>
              <w:t xml:space="preserve">(ЕУ) </w:t>
            </w:r>
            <w:r w:rsidR="00854ADA" w:rsidRPr="00FF386D">
              <w:rPr>
                <w:rFonts w:ascii="Calibri Light" w:hAnsi="Calibri Light"/>
                <w:sz w:val="20"/>
              </w:rPr>
              <w:t>2018/2002</w:t>
            </w:r>
            <w:r w:rsidR="00B070FD" w:rsidRPr="00FF386D">
              <w:rPr>
                <w:rFonts w:ascii="Calibri Light" w:hAnsi="Calibri Light"/>
                <w:sz w:val="20"/>
              </w:rPr>
              <w:t>, и то</w:t>
            </w:r>
            <w:r w:rsidR="008F2AC0" w:rsidRPr="00FF386D">
              <w:rPr>
                <w:rFonts w:ascii="Calibri Light" w:hAnsi="Calibri Light"/>
                <w:sz w:val="20"/>
              </w:rPr>
              <w:t>:</w:t>
            </w:r>
          </w:p>
          <w:p w14:paraId="69415712" w14:textId="0E9018FD" w:rsidR="00854ADA" w:rsidRPr="000A2AFE" w:rsidRDefault="00854ADA" w:rsidP="00854ADA">
            <w:pPr>
              <w:numPr>
                <w:ilvl w:val="0"/>
                <w:numId w:val="170"/>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3F4D0F"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3</w:t>
            </w:r>
          </w:p>
          <w:p w14:paraId="0AB64308" w14:textId="491B675E" w:rsidR="00854ADA" w:rsidRPr="000A2AFE" w:rsidRDefault="00854ADA" w:rsidP="00854ADA">
            <w:pPr>
              <w:numPr>
                <w:ilvl w:val="0"/>
                <w:numId w:val="170"/>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3F4D0F"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4</w:t>
            </w:r>
          </w:p>
          <w:p w14:paraId="0D364D32" w14:textId="3B596999" w:rsidR="00854ADA" w:rsidRPr="00FF386D" w:rsidRDefault="00854ADA" w:rsidP="00854ADA">
            <w:pPr>
              <w:numPr>
                <w:ilvl w:val="0"/>
                <w:numId w:val="170"/>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3F4D0F"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7</w:t>
            </w:r>
          </w:p>
        </w:tc>
      </w:tr>
      <w:tr w:rsidR="00854ADA" w:rsidRPr="00FF386D" w14:paraId="348BE5FE"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5AE35FB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5FDD194C" w14:textId="29C696E3" w:rsidR="00854ADA" w:rsidRDefault="00854ADA" w:rsidP="00854ADA">
            <w:pPr>
              <w:numPr>
                <w:ilvl w:val="0"/>
                <w:numId w:val="17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1</w:t>
            </w:r>
            <w:r w:rsidR="008F2AC0" w:rsidRPr="00FF386D">
              <w:rPr>
                <w:rFonts w:ascii="Calibri Light" w:eastAsia="Times New Roman" w:hAnsi="Calibri Light" w:cs="Calibri Light"/>
                <w:color w:val="000000"/>
                <w:sz w:val="20"/>
                <w:szCs w:val="20"/>
                <w:lang w:eastAsia="en-GB"/>
              </w:rPr>
              <w:t>31</w:t>
            </w:r>
            <w:r w:rsidRPr="00FF386D">
              <w:rPr>
                <w:rFonts w:ascii="Calibri Light" w:eastAsia="Times New Roman" w:hAnsi="Calibri Light" w:cs="Calibri Light"/>
                <w:color w:val="000000"/>
                <w:sz w:val="20"/>
                <w:szCs w:val="20"/>
                <w:lang w:eastAsia="en-GB"/>
              </w:rPr>
              <w:t xml:space="preserve"> хиљада</w:t>
            </w:r>
            <w:r w:rsidR="00C24FEB">
              <w:t xml:space="preserve"> </w:t>
            </w:r>
            <w:r w:rsidR="00C24FEB" w:rsidRPr="00C24FEB">
              <w:rPr>
                <w:rFonts w:ascii="Calibri Light" w:eastAsia="Times New Roman" w:hAnsi="Calibri Light" w:cs="Calibri Light"/>
                <w:color w:val="000000"/>
                <w:sz w:val="20"/>
                <w:szCs w:val="20"/>
                <w:lang w:eastAsia="en-GB"/>
              </w:rPr>
              <w:t>енергетски</w:t>
            </w:r>
            <w:r w:rsidRPr="00FF386D">
              <w:rPr>
                <w:rFonts w:ascii="Calibri Light" w:eastAsia="Times New Roman" w:hAnsi="Calibri Light" w:cs="Calibri Light"/>
                <w:color w:val="000000"/>
                <w:sz w:val="20"/>
                <w:szCs w:val="20"/>
                <w:lang w:eastAsia="en-GB"/>
              </w:rPr>
              <w:t xml:space="preserve"> </w:t>
            </w:r>
            <w:r w:rsidR="008F2AC0" w:rsidRPr="00FF386D">
              <w:rPr>
                <w:rFonts w:ascii="Calibri Light" w:eastAsia="Times New Roman" w:hAnsi="Calibri Light" w:cs="Calibri Light"/>
                <w:color w:val="000000"/>
                <w:sz w:val="20"/>
                <w:szCs w:val="20"/>
                <w:lang w:eastAsia="en-GB"/>
              </w:rPr>
              <w:t xml:space="preserve">санираних стамбених </w:t>
            </w:r>
            <w:r w:rsidRPr="00FF386D">
              <w:rPr>
                <w:rFonts w:ascii="Calibri Light" w:eastAsia="Times New Roman" w:hAnsi="Calibri Light" w:cs="Calibri Light"/>
                <w:color w:val="000000"/>
                <w:sz w:val="20"/>
                <w:szCs w:val="20"/>
                <w:lang w:eastAsia="en-GB"/>
              </w:rPr>
              <w:t xml:space="preserve">зграда (уштеде финалне енергије </w:t>
            </w:r>
            <w:r w:rsidR="008F2AC0" w:rsidRPr="00FF386D">
              <w:rPr>
                <w:rFonts w:ascii="Calibri Light" w:eastAsia="Times New Roman" w:hAnsi="Calibri Light" w:cs="Calibri Light"/>
                <w:color w:val="000000"/>
                <w:sz w:val="20"/>
                <w:szCs w:val="20"/>
                <w:lang w:eastAsia="en-GB"/>
              </w:rPr>
              <w:t>35</w:t>
            </w:r>
            <w:r w:rsidRPr="00FF386D">
              <w:rPr>
                <w:rFonts w:ascii="Calibri Light" w:eastAsia="Times New Roman" w:hAnsi="Calibri Light" w:cs="Calibri Light"/>
                <w:color w:val="000000"/>
                <w:sz w:val="20"/>
                <w:szCs w:val="20"/>
                <w:lang w:eastAsia="en-GB"/>
              </w:rPr>
              <w:t xml:space="preserve"> ktoe</w:t>
            </w:r>
            <w:r w:rsidR="00C24FEB">
              <w:t xml:space="preserve"> </w:t>
            </w:r>
            <w:r w:rsidR="00C24FEB" w:rsidRPr="00C24FEB">
              <w:rPr>
                <w:rFonts w:ascii="Calibri Light" w:eastAsia="Times New Roman" w:hAnsi="Calibri Light" w:cs="Calibri Light"/>
                <w:color w:val="000000"/>
                <w:sz w:val="20"/>
                <w:szCs w:val="20"/>
                <w:lang w:eastAsia="en-GB"/>
              </w:rPr>
              <w:t>остварене интервенцијама на омотачу зграда</w:t>
            </w:r>
            <w:r w:rsidRPr="00FF386D">
              <w:rPr>
                <w:rFonts w:ascii="Calibri Light" w:eastAsia="Times New Roman" w:hAnsi="Calibri Light" w:cs="Calibri Light"/>
                <w:color w:val="000000"/>
                <w:sz w:val="20"/>
                <w:szCs w:val="20"/>
                <w:lang w:eastAsia="en-GB"/>
              </w:rPr>
              <w:t>)</w:t>
            </w:r>
          </w:p>
          <w:p w14:paraId="2EBA88CA" w14:textId="1D347AA9" w:rsidR="00C24FEB" w:rsidRPr="00C24FEB" w:rsidRDefault="00C24FEB" w:rsidP="00C24FEB">
            <w:pPr>
              <w:numPr>
                <w:ilvl w:val="0"/>
                <w:numId w:val="170"/>
              </w:numPr>
              <w:spacing w:after="0" w:line="240" w:lineRule="auto"/>
              <w:contextualSpacing/>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 xml:space="preserve">14,3 милиона </w:t>
            </w:r>
            <w:r>
              <w:rPr>
                <w:rFonts w:ascii="Calibri Light" w:eastAsia="Times New Roman" w:hAnsi="Calibri Light" w:cs="Calibri Light"/>
                <w:color w:val="000000"/>
                <w:sz w:val="20"/>
                <w:szCs w:val="20"/>
                <w:lang w:val="en-US" w:eastAsia="en-GB"/>
              </w:rPr>
              <w:t>m</w:t>
            </w:r>
            <w:r w:rsidRPr="00C312D6">
              <w:rPr>
                <w:rFonts w:ascii="Calibri Light" w:eastAsia="Times New Roman" w:hAnsi="Calibri Light" w:cs="Calibri Light"/>
                <w:color w:val="000000"/>
                <w:sz w:val="20"/>
                <w:szCs w:val="20"/>
                <w:vertAlign w:val="superscript"/>
                <w:lang w:eastAsia="en-GB"/>
              </w:rPr>
              <w:t>2</w:t>
            </w:r>
            <w:r w:rsidRPr="00C312D6">
              <w:rPr>
                <w:rFonts w:ascii="Calibri Light" w:eastAsia="Times New Roman" w:hAnsi="Calibri Light" w:cs="Calibri Light"/>
                <w:color w:val="000000"/>
                <w:sz w:val="20"/>
                <w:szCs w:val="20"/>
                <w:lang w:eastAsia="en-GB"/>
              </w:rPr>
              <w:t xml:space="preserve"> </w:t>
            </w:r>
            <w:r w:rsidRPr="00212740">
              <w:rPr>
                <w:rFonts w:ascii="Calibri Light" w:eastAsia="Times New Roman" w:hAnsi="Calibri Light" w:cs="Calibri Light"/>
                <w:color w:val="000000"/>
                <w:sz w:val="20"/>
                <w:szCs w:val="20"/>
                <w:lang w:eastAsia="en-GB"/>
              </w:rPr>
              <w:t>енергетски санираних стамбених зграда</w:t>
            </w:r>
          </w:p>
          <w:p w14:paraId="40205C90" w14:textId="04E05C77" w:rsidR="00854ADA" w:rsidRPr="00FF386D" w:rsidRDefault="008F2AC0" w:rsidP="00854ADA">
            <w:pPr>
              <w:numPr>
                <w:ilvl w:val="0"/>
                <w:numId w:val="17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2 </w:t>
            </w:r>
            <w:r w:rsidR="00854ADA" w:rsidRPr="00FF386D">
              <w:rPr>
                <w:rFonts w:ascii="Calibri Light" w:eastAsia="Times New Roman" w:hAnsi="Calibri Light" w:cs="Calibri Light"/>
                <w:color w:val="000000"/>
                <w:sz w:val="20"/>
                <w:szCs w:val="20"/>
                <w:lang w:eastAsia="en-GB"/>
              </w:rPr>
              <w:t>GW</w:t>
            </w:r>
            <w:r w:rsidR="00C24FEB" w:rsidRPr="00C24FEB">
              <w:rPr>
                <w:rFonts w:ascii="Calibri Light" w:eastAsia="Times New Roman" w:hAnsi="Calibri Light" w:cs="Calibri Light"/>
                <w:color w:val="000000"/>
                <w:sz w:val="20"/>
                <w:szCs w:val="20"/>
                <w:lang w:eastAsia="en-GB"/>
              </w:rPr>
              <w:t>th</w:t>
            </w:r>
            <w:r w:rsidR="00854ADA" w:rsidRPr="00FF386D">
              <w:rPr>
                <w:rFonts w:ascii="Calibri Light" w:eastAsia="Times New Roman" w:hAnsi="Calibri Light" w:cs="Calibri Light"/>
                <w:color w:val="000000"/>
                <w:sz w:val="20"/>
                <w:szCs w:val="20"/>
                <w:lang w:eastAsia="en-GB"/>
              </w:rPr>
              <w:t xml:space="preserve"> </w:t>
            </w:r>
            <w:r w:rsidRPr="00FF386D">
              <w:rPr>
                <w:rFonts w:ascii="Calibri Light" w:eastAsia="Times New Roman" w:hAnsi="Calibri Light" w:cs="Calibri Light"/>
                <w:color w:val="000000"/>
                <w:sz w:val="20"/>
                <w:szCs w:val="20"/>
                <w:lang w:eastAsia="en-GB"/>
              </w:rPr>
              <w:t xml:space="preserve">новог </w:t>
            </w:r>
            <w:r w:rsidR="00854ADA" w:rsidRPr="00FF386D">
              <w:rPr>
                <w:rFonts w:ascii="Calibri Light" w:eastAsia="Times New Roman" w:hAnsi="Calibri Light" w:cs="Calibri Light"/>
                <w:color w:val="000000"/>
                <w:sz w:val="20"/>
                <w:szCs w:val="20"/>
                <w:lang w:eastAsia="en-GB"/>
              </w:rPr>
              <w:t>капацитет</w:t>
            </w:r>
            <w:r w:rsidRPr="00FF386D">
              <w:rPr>
                <w:rFonts w:ascii="Calibri Light" w:eastAsia="Times New Roman" w:hAnsi="Calibri Light" w:cs="Calibri Light"/>
                <w:color w:val="000000"/>
                <w:sz w:val="20"/>
                <w:szCs w:val="20"/>
                <w:lang w:eastAsia="en-GB"/>
              </w:rPr>
              <w:t>а</w:t>
            </w:r>
            <w:r w:rsidR="00854ADA" w:rsidRPr="00FF386D">
              <w:rPr>
                <w:rFonts w:ascii="Calibri Light" w:eastAsia="Times New Roman" w:hAnsi="Calibri Light" w:cs="Calibri Light"/>
                <w:color w:val="000000"/>
                <w:sz w:val="20"/>
                <w:szCs w:val="20"/>
                <w:lang w:eastAsia="en-GB"/>
              </w:rPr>
              <w:t xml:space="preserve"> топлотних пумпи (уштеда финалне енергије 3</w:t>
            </w:r>
            <w:r w:rsidRPr="00FF386D">
              <w:rPr>
                <w:rFonts w:ascii="Calibri Light" w:eastAsia="Times New Roman" w:hAnsi="Calibri Light" w:cs="Calibri Light"/>
                <w:color w:val="000000"/>
                <w:sz w:val="20"/>
                <w:szCs w:val="20"/>
                <w:lang w:eastAsia="en-GB"/>
              </w:rPr>
              <w:t>4</w:t>
            </w:r>
            <w:r w:rsidR="00854ADA" w:rsidRPr="00FF386D">
              <w:rPr>
                <w:rFonts w:ascii="Calibri Light" w:eastAsia="Times New Roman" w:hAnsi="Calibri Light" w:cs="Calibri Light"/>
                <w:color w:val="000000"/>
                <w:sz w:val="20"/>
                <w:szCs w:val="20"/>
                <w:lang w:eastAsia="en-GB"/>
              </w:rPr>
              <w:t xml:space="preserve"> ktoe)</w:t>
            </w:r>
          </w:p>
        </w:tc>
      </w:tr>
      <w:tr w:rsidR="00854ADA" w:rsidRPr="00FF386D" w14:paraId="4A957679" w14:textId="77777777" w:rsidTr="0057310C">
        <w:trPr>
          <w:trHeight w:val="229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7603076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6D3FFB38" w14:textId="69C9389A"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МП_ЕЕ1 ће обезбедити субвенције за енергетску санацију</w:t>
            </w:r>
            <w:r w:rsidR="00B070FD" w:rsidRPr="00FF386D">
              <w:rPr>
                <w:rFonts w:ascii="Calibri Light" w:hAnsi="Calibri Light"/>
                <w:sz w:val="20"/>
              </w:rPr>
              <w:t xml:space="preserve"> постојећих</w:t>
            </w:r>
            <w:r w:rsidRPr="00FF386D">
              <w:rPr>
                <w:rFonts w:ascii="Calibri Light" w:hAnsi="Calibri Light"/>
                <w:sz w:val="20"/>
              </w:rPr>
              <w:t xml:space="preserve"> стамбених зграда. </w:t>
            </w:r>
            <w:r w:rsidR="00B070FD" w:rsidRPr="00FF386D">
              <w:rPr>
                <w:rFonts w:ascii="Calibri Light" w:hAnsi="Calibri Light"/>
                <w:sz w:val="20"/>
              </w:rPr>
              <w:t xml:space="preserve">Израда </w:t>
            </w:r>
            <w:r w:rsidRPr="00FF386D">
              <w:rPr>
                <w:rFonts w:ascii="Calibri Light" w:hAnsi="Calibri Light"/>
                <w:sz w:val="20"/>
              </w:rPr>
              <w:t>и додела наменских финансијских подстицаја ће омогућити</w:t>
            </w:r>
            <w:r w:rsidR="00B070FD" w:rsidRPr="00FF386D">
              <w:rPr>
                <w:rFonts w:ascii="Calibri Light" w:hAnsi="Calibri Light"/>
                <w:sz w:val="20"/>
              </w:rPr>
              <w:t xml:space="preserve"> </w:t>
            </w:r>
            <w:r w:rsidR="00732182" w:rsidRPr="00FF386D">
              <w:rPr>
                <w:rFonts w:ascii="Calibri Light" w:hAnsi="Calibri Light"/>
                <w:sz w:val="20"/>
              </w:rPr>
              <w:t xml:space="preserve">обимну </w:t>
            </w:r>
            <w:r w:rsidRPr="00FF386D">
              <w:rPr>
                <w:rFonts w:ascii="Calibri Light" w:hAnsi="Calibri Light"/>
                <w:sz w:val="20"/>
              </w:rPr>
              <w:t xml:space="preserve">енергетску </w:t>
            </w:r>
            <w:r w:rsidR="00200595" w:rsidRPr="00FF386D">
              <w:rPr>
                <w:rFonts w:ascii="Calibri Light" w:hAnsi="Calibri Light"/>
                <w:sz w:val="20"/>
              </w:rPr>
              <w:t xml:space="preserve">санацију </w:t>
            </w:r>
            <w:r w:rsidRPr="00FF386D">
              <w:rPr>
                <w:rFonts w:ascii="Calibri Light" w:hAnsi="Calibri Light"/>
                <w:sz w:val="20"/>
              </w:rPr>
              <w:t xml:space="preserve">стамбених зграда кроз унапређење енергетског омотача стамбених зграда </w:t>
            </w:r>
            <w:r w:rsidR="00C24FEB" w:rsidRPr="00C24FEB">
              <w:rPr>
                <w:rFonts w:ascii="Calibri Light" w:hAnsi="Calibri Light"/>
                <w:sz w:val="20"/>
              </w:rPr>
              <w:t>и техничких система при чему ће се постићи оптимални однос трошкова и користи и повећати удео сопствених средстава који ће бити коришћени.</w:t>
            </w:r>
            <w:r w:rsidRPr="00FF386D">
              <w:rPr>
                <w:rFonts w:ascii="Calibri Light" w:hAnsi="Calibri Light"/>
                <w:sz w:val="20"/>
              </w:rPr>
              <w:t xml:space="preserve"> </w:t>
            </w:r>
            <w:r w:rsidR="00C24FEB" w:rsidRPr="00C24FEB">
              <w:rPr>
                <w:rFonts w:ascii="Calibri Light" w:hAnsi="Calibri Light"/>
                <w:sz w:val="20"/>
              </w:rPr>
              <w:t xml:space="preserve">Нагласак ће бити на подстицању </w:t>
            </w:r>
            <w:r w:rsidRPr="00FF386D">
              <w:rPr>
                <w:rFonts w:ascii="Calibri Light" w:hAnsi="Calibri Light"/>
                <w:sz w:val="20"/>
              </w:rPr>
              <w:t>топлотн</w:t>
            </w:r>
            <w:r w:rsidR="0024016C" w:rsidRPr="00FF386D">
              <w:rPr>
                <w:rFonts w:ascii="Calibri Light" w:hAnsi="Calibri Light"/>
                <w:sz w:val="20"/>
              </w:rPr>
              <w:t>их</w:t>
            </w:r>
            <w:r w:rsidRPr="00FF386D">
              <w:rPr>
                <w:rFonts w:ascii="Calibri Light" w:hAnsi="Calibri Light"/>
                <w:sz w:val="20"/>
              </w:rPr>
              <w:t xml:space="preserve"> пумп</w:t>
            </w:r>
            <w:r w:rsidR="0024016C" w:rsidRPr="00FF386D">
              <w:rPr>
                <w:rFonts w:ascii="Calibri Light" w:hAnsi="Calibri Light"/>
                <w:sz w:val="20"/>
              </w:rPr>
              <w:t>и</w:t>
            </w:r>
            <w:r w:rsidRPr="00FF386D">
              <w:rPr>
                <w:rFonts w:ascii="Calibri Light" w:hAnsi="Calibri Light"/>
                <w:sz w:val="20"/>
              </w:rPr>
              <w:t xml:space="preserve"> путем специјализованих инструмената. </w:t>
            </w:r>
            <w:r w:rsidR="0024016C" w:rsidRPr="00FF386D">
              <w:rPr>
                <w:rFonts w:ascii="Calibri Light" w:hAnsi="Calibri Light"/>
                <w:sz w:val="20"/>
              </w:rPr>
              <w:t>Биће уведене д</w:t>
            </w:r>
            <w:r w:rsidRPr="00FF386D">
              <w:rPr>
                <w:rFonts w:ascii="Calibri Light" w:hAnsi="Calibri Light"/>
                <w:sz w:val="20"/>
              </w:rPr>
              <w:t xml:space="preserve">одатне </w:t>
            </w:r>
            <w:r w:rsidR="00B070FD" w:rsidRPr="00FF386D">
              <w:rPr>
                <w:rFonts w:ascii="Calibri Light" w:hAnsi="Calibri Light"/>
                <w:sz w:val="20"/>
              </w:rPr>
              <w:t>финансијске</w:t>
            </w:r>
            <w:r w:rsidRPr="00FF386D">
              <w:rPr>
                <w:rFonts w:ascii="Calibri Light" w:hAnsi="Calibri Light"/>
                <w:sz w:val="20"/>
              </w:rPr>
              <w:t xml:space="preserve"> и фискалне</w:t>
            </w:r>
            <w:r w:rsidR="0024016C" w:rsidRPr="00FF386D">
              <w:rPr>
                <w:rFonts w:ascii="Calibri Light" w:hAnsi="Calibri Light"/>
                <w:sz w:val="20"/>
              </w:rPr>
              <w:t xml:space="preserve"> мере</w:t>
            </w:r>
            <w:r w:rsidRPr="00FF386D">
              <w:rPr>
                <w:rFonts w:ascii="Calibri Light" w:hAnsi="Calibri Light"/>
                <w:sz w:val="20"/>
              </w:rPr>
              <w:t xml:space="preserve">, као што је доношење циљаних пореских олакшица, кредитних линија и кредити са ниском каматом, у случају да допринос планираних субвенција не буде довољан. </w:t>
            </w:r>
            <w:r w:rsidR="00C24FEB" w:rsidRPr="00C24FEB">
              <w:rPr>
                <w:rFonts w:ascii="Calibri Light" w:hAnsi="Calibri Light"/>
                <w:sz w:val="20"/>
              </w:rPr>
              <w:t>Посебан фокус ће бити на енергетској санацији зграда у областима Праведне транзиције. Планиране мере ће се примењивати и за борбу против енергетског сиромаштва.</w:t>
            </w:r>
          </w:p>
        </w:tc>
      </w:tr>
      <w:tr w:rsidR="00854ADA" w:rsidRPr="00FF386D" w14:paraId="415F588D"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62EEE5C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01F22418" w14:textId="50A962C0"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8F2AC0"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-2030.</w:t>
            </w:r>
          </w:p>
        </w:tc>
      </w:tr>
      <w:tr w:rsidR="00854ADA" w:rsidRPr="00FF386D" w14:paraId="7471B031"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01D4FD0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62FBE449"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Инвестиције</w:t>
            </w:r>
          </w:p>
        </w:tc>
      </w:tr>
      <w:tr w:rsidR="00854ADA" w:rsidRPr="00FF386D" w14:paraId="05579FF7"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4881395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2080B976"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Стамбени</w:t>
            </w:r>
          </w:p>
        </w:tc>
      </w:tr>
      <w:tr w:rsidR="00854ADA" w:rsidRPr="00FF386D" w14:paraId="5E57BFB6"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0DA06DC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298A0CA1" w14:textId="7C94115E" w:rsidR="008F2AC0" w:rsidRPr="00FF386D" w:rsidRDefault="008F2AC0" w:rsidP="00854ADA">
            <w:pPr>
              <w:numPr>
                <w:ilvl w:val="0"/>
                <w:numId w:val="115"/>
              </w:numPr>
              <w:spacing w:after="0"/>
              <w:ind w:left="714" w:hanging="357"/>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МФИ</w:t>
            </w:r>
          </w:p>
          <w:p w14:paraId="095380B2" w14:textId="678D66C0" w:rsidR="008F2AC0" w:rsidRDefault="008F2AC0" w:rsidP="008F2AC0">
            <w:pPr>
              <w:numPr>
                <w:ilvl w:val="0"/>
                <w:numId w:val="115"/>
              </w:numPr>
              <w:spacing w:after="0"/>
              <w:ind w:left="714" w:hanging="357"/>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енергетике и рударства</w:t>
            </w:r>
          </w:p>
          <w:p w14:paraId="060BE863" w14:textId="52201CB6" w:rsidR="00DC5EAC" w:rsidRPr="00FF386D" w:rsidRDefault="00DC5EAC" w:rsidP="008F2AC0">
            <w:pPr>
              <w:numPr>
                <w:ilvl w:val="0"/>
                <w:numId w:val="115"/>
              </w:numPr>
              <w:spacing w:after="0"/>
              <w:ind w:left="714" w:hanging="357"/>
              <w:contextualSpacing/>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Министарство грађевинарства, саобраћаја и инфраструктуре</w:t>
            </w:r>
          </w:p>
          <w:p w14:paraId="0BFC04FB" w14:textId="77777777" w:rsidR="00854ADA" w:rsidRPr="00FF386D" w:rsidRDefault="00854ADA" w:rsidP="00854ADA">
            <w:pPr>
              <w:numPr>
                <w:ilvl w:val="0"/>
                <w:numId w:val="115"/>
              </w:numPr>
              <w:spacing w:after="0"/>
              <w:ind w:left="714" w:hanging="357"/>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lastRenderedPageBreak/>
              <w:t>Донатори</w:t>
            </w:r>
          </w:p>
        </w:tc>
      </w:tr>
      <w:tr w:rsidR="00854ADA" w:rsidRPr="00FF386D" w14:paraId="69266D84" w14:textId="77777777" w:rsidTr="0057310C">
        <w:trPr>
          <w:trHeight w:val="315"/>
        </w:trPr>
        <w:tc>
          <w:tcPr>
            <w:tcW w:w="3329" w:type="dxa"/>
            <w:tcBorders>
              <w:top w:val="nil"/>
              <w:left w:val="single" w:sz="8" w:space="0" w:color="auto"/>
              <w:bottom w:val="single" w:sz="8" w:space="0" w:color="auto"/>
              <w:right w:val="nil"/>
            </w:tcBorders>
            <w:shd w:val="clear" w:color="000000" w:fill="244062"/>
            <w:vAlign w:val="center"/>
            <w:hideMark/>
          </w:tcPr>
          <w:p w14:paraId="6762A19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Тело за праћење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4DDE6DC8" w14:textId="39230CD3" w:rsidR="00854ADA" w:rsidRPr="000A2AFE" w:rsidRDefault="00DC5EAC" w:rsidP="000A2AFE">
            <w:pPr>
              <w:pStyle w:val="ListParagraph"/>
              <w:numPr>
                <w:ilvl w:val="0"/>
                <w:numId w:val="334"/>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3848F859" w14:textId="77777777" w:rsidTr="0057310C">
        <w:trPr>
          <w:trHeight w:val="315"/>
        </w:trPr>
        <w:tc>
          <w:tcPr>
            <w:tcW w:w="3329" w:type="dxa"/>
            <w:tcBorders>
              <w:top w:val="nil"/>
              <w:left w:val="single" w:sz="8" w:space="0" w:color="auto"/>
              <w:bottom w:val="single" w:sz="8" w:space="0" w:color="auto"/>
              <w:right w:val="nil"/>
            </w:tcBorders>
            <w:shd w:val="clear" w:color="000000" w:fill="244062"/>
            <w:vAlign w:val="center"/>
            <w:hideMark/>
          </w:tcPr>
          <w:p w14:paraId="0244555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1289E1A4" w14:textId="36ABC8CA" w:rsidR="00854ADA" w:rsidRDefault="004B6011" w:rsidP="00854ADA">
            <w:pPr>
              <w:numPr>
                <w:ilvl w:val="0"/>
                <w:numId w:val="115"/>
              </w:numPr>
              <w:spacing w:after="0"/>
              <w:ind w:left="714" w:hanging="357"/>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Енергетски саниране </w:t>
            </w:r>
            <w:r w:rsidR="008F2AC0" w:rsidRPr="00FF386D">
              <w:rPr>
                <w:rFonts w:ascii="Calibri Light" w:eastAsia="Times New Roman" w:hAnsi="Calibri Light" w:cs="Calibri Light"/>
                <w:color w:val="000000"/>
                <w:sz w:val="20"/>
                <w:szCs w:val="20"/>
                <w:lang w:eastAsia="en-GB"/>
              </w:rPr>
              <w:t>зграде</w:t>
            </w:r>
          </w:p>
          <w:p w14:paraId="6A983FDD" w14:textId="1C43B18D" w:rsidR="00C24FEB" w:rsidRPr="000A2AFE" w:rsidRDefault="00C24FEB" w:rsidP="000A2AFE">
            <w:pPr>
              <w:pStyle w:val="ListParagraph"/>
              <w:numPr>
                <w:ilvl w:val="0"/>
                <w:numId w:val="115"/>
              </w:numPr>
              <w:spacing w:after="0"/>
              <w:ind w:left="714" w:hanging="357"/>
              <w:rPr>
                <w:rFonts w:ascii="Calibri Light" w:eastAsia="Times New Roman" w:hAnsi="Calibri Light" w:cs="Calibri Light"/>
                <w:color w:val="000000"/>
                <w:sz w:val="20"/>
                <w:szCs w:val="20"/>
                <w:lang w:eastAsia="en-GB"/>
              </w:rPr>
            </w:pPr>
            <w:r w:rsidRPr="00C24FEB">
              <w:rPr>
                <w:rFonts w:ascii="Calibri Light" w:eastAsia="Times New Roman" w:hAnsi="Calibri Light" w:cs="Calibri Light"/>
                <w:color w:val="000000"/>
                <w:sz w:val="20"/>
                <w:szCs w:val="20"/>
                <w:lang w:eastAsia="en-GB"/>
              </w:rPr>
              <w:t>Укупна површина енергетски санираних стамбених зграда</w:t>
            </w:r>
          </w:p>
          <w:p w14:paraId="4EA2028F" w14:textId="77777777" w:rsidR="00854ADA" w:rsidRPr="00FF386D" w:rsidRDefault="00854ADA" w:rsidP="00854ADA">
            <w:pPr>
              <w:numPr>
                <w:ilvl w:val="0"/>
                <w:numId w:val="115"/>
              </w:numPr>
              <w:spacing w:after="0"/>
              <w:ind w:left="714" w:hanging="357"/>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Инсталисан капацитет топлотних пумпи</w:t>
            </w:r>
          </w:p>
        </w:tc>
      </w:tr>
      <w:tr w:rsidR="00854ADA" w:rsidRPr="00FF386D" w14:paraId="4AEE9AFF" w14:textId="77777777" w:rsidTr="0057310C">
        <w:trPr>
          <w:trHeight w:val="429"/>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626C445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1598F861" w14:textId="7742BC94" w:rsidR="00854ADA" w:rsidRDefault="00854ADA" w:rsidP="00854ADA">
            <w:pPr>
              <w:numPr>
                <w:ilvl w:val="0"/>
                <w:numId w:val="115"/>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Декарбонизација</w:t>
            </w:r>
            <w:r w:rsidR="00DC5EAC">
              <w:rPr>
                <w:rFonts w:ascii="Calibri Light" w:eastAsia="Times New Roman" w:hAnsi="Calibri Light" w:cs="Calibri Light"/>
                <w:color w:val="000000"/>
                <w:sz w:val="20"/>
                <w:szCs w:val="20"/>
                <w:lang w:eastAsia="en-GB"/>
              </w:rPr>
              <w:t xml:space="preserve"> (</w:t>
            </w:r>
            <w:r w:rsidR="00AB19F4">
              <w:rPr>
                <w:rFonts w:ascii="Calibri Light" w:eastAsia="Times New Roman" w:hAnsi="Calibri Light" w:cs="Calibri Light"/>
                <w:color w:val="000000"/>
                <w:sz w:val="20"/>
                <w:szCs w:val="20"/>
                <w:lang w:eastAsia="en-GB"/>
              </w:rPr>
              <w:t>п</w:t>
            </w:r>
            <w:r w:rsidR="00E21355">
              <w:rPr>
                <w:rFonts w:ascii="Calibri Light" w:eastAsia="Times New Roman" w:hAnsi="Calibri Light" w:cs="Calibri Light"/>
                <w:color w:val="000000"/>
                <w:sz w:val="20"/>
                <w:szCs w:val="20"/>
                <w:lang w:eastAsia="en-GB"/>
              </w:rPr>
              <w:t>остигнут</w:t>
            </w:r>
            <w:r w:rsidR="00AB19F4">
              <w:rPr>
                <w:rFonts w:ascii="Calibri Light" w:eastAsia="Times New Roman" w:hAnsi="Calibri Light" w:cs="Calibri Light"/>
                <w:color w:val="000000"/>
                <w:sz w:val="20"/>
                <w:szCs w:val="20"/>
                <w:lang w:eastAsia="en-GB"/>
              </w:rPr>
              <w:t>ом</w:t>
            </w:r>
            <w:r w:rsidR="00E21355">
              <w:rPr>
                <w:rFonts w:ascii="Calibri Light" w:eastAsia="Times New Roman" w:hAnsi="Calibri Light" w:cs="Calibri Light"/>
                <w:color w:val="000000"/>
                <w:sz w:val="20"/>
                <w:szCs w:val="20"/>
                <w:lang w:eastAsia="en-GB"/>
              </w:rPr>
              <w:t xml:space="preserve"> уштед</w:t>
            </w:r>
            <w:r w:rsidR="00AB19F4">
              <w:rPr>
                <w:rFonts w:ascii="Calibri Light" w:eastAsia="Times New Roman" w:hAnsi="Calibri Light" w:cs="Calibri Light"/>
                <w:color w:val="000000"/>
                <w:sz w:val="20"/>
                <w:szCs w:val="20"/>
                <w:lang w:eastAsia="en-GB"/>
              </w:rPr>
              <w:t>ом</w:t>
            </w:r>
            <w:r w:rsidR="00E21355">
              <w:rPr>
                <w:rFonts w:ascii="Calibri Light" w:eastAsia="Times New Roman" w:hAnsi="Calibri Light" w:cs="Calibri Light"/>
                <w:color w:val="000000"/>
                <w:sz w:val="20"/>
                <w:szCs w:val="20"/>
                <w:lang w:eastAsia="en-GB"/>
              </w:rPr>
              <w:t xml:space="preserve"> енергије смањиће се потрошњ</w:t>
            </w:r>
            <w:r w:rsidR="00E811DB">
              <w:rPr>
                <w:rFonts w:ascii="Calibri Light" w:eastAsia="Times New Roman" w:hAnsi="Calibri Light" w:cs="Calibri Light"/>
                <w:color w:val="000000"/>
                <w:sz w:val="20"/>
                <w:szCs w:val="20"/>
                <w:lang w:eastAsia="en-GB"/>
              </w:rPr>
              <w:t>а</w:t>
            </w:r>
            <w:r w:rsidR="00E21355">
              <w:rPr>
                <w:rFonts w:ascii="Calibri Light" w:eastAsia="Times New Roman" w:hAnsi="Calibri Light" w:cs="Calibri Light"/>
                <w:color w:val="000000"/>
                <w:sz w:val="20"/>
                <w:szCs w:val="20"/>
                <w:lang w:eastAsia="en-GB"/>
              </w:rPr>
              <w:t xml:space="preserve"> фосилних горива што ће довести до смањења емисија </w:t>
            </w:r>
            <w:r w:rsidR="00E21355" w:rsidRPr="000A2AFE">
              <w:rPr>
                <w:rFonts w:ascii="Calibri Light" w:eastAsia="Times New Roman" w:hAnsi="Calibri Light" w:cs="Calibri Light"/>
                <w:i/>
                <w:iCs/>
                <w:color w:val="000000"/>
                <w:sz w:val="20"/>
                <w:szCs w:val="20"/>
                <w:lang w:val="en-US" w:eastAsia="en-GB"/>
              </w:rPr>
              <w:t>GHG</w:t>
            </w:r>
            <w:r w:rsidR="00AB19F4">
              <w:rPr>
                <w:rFonts w:ascii="Calibri Light" w:eastAsia="Times New Roman" w:hAnsi="Calibri Light" w:cs="Calibri Light"/>
                <w:i/>
                <w:iCs/>
                <w:color w:val="000000"/>
                <w:sz w:val="20"/>
                <w:szCs w:val="20"/>
                <w:lang w:eastAsia="en-GB"/>
              </w:rPr>
              <w:t>,</w:t>
            </w:r>
            <w:r w:rsidR="00E21355">
              <w:rPr>
                <w:rFonts w:ascii="Calibri Light" w:eastAsia="Times New Roman" w:hAnsi="Calibri Light" w:cs="Calibri Light"/>
                <w:color w:val="000000"/>
                <w:sz w:val="20"/>
                <w:szCs w:val="20"/>
                <w:lang w:eastAsia="en-GB"/>
              </w:rPr>
              <w:t xml:space="preserve"> а коришћење технологија ОИЕ ће повећати удео ОИЕ у грејању и хлађењу)</w:t>
            </w:r>
          </w:p>
          <w:p w14:paraId="0B924E3C" w14:textId="1C35358B" w:rsidR="00E21355" w:rsidRDefault="00E21355" w:rsidP="00854ADA">
            <w:pPr>
              <w:numPr>
                <w:ilvl w:val="0"/>
                <w:numId w:val="115"/>
              </w:numPr>
              <w:spacing w:after="0" w:line="240" w:lineRule="auto"/>
              <w:contextualSpacing/>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Енергетска сигурност (</w:t>
            </w:r>
            <w:r w:rsidR="00AB19F4">
              <w:rPr>
                <w:rFonts w:ascii="Calibri Light" w:eastAsia="Times New Roman" w:hAnsi="Calibri Light" w:cs="Calibri Light"/>
                <w:color w:val="000000"/>
                <w:sz w:val="20"/>
                <w:szCs w:val="20"/>
                <w:lang w:eastAsia="en-GB"/>
              </w:rPr>
              <w:t>постигнутом</w:t>
            </w:r>
            <w:r w:rsidRPr="00E21355">
              <w:rPr>
                <w:rFonts w:ascii="Calibri Light" w:eastAsia="Times New Roman" w:hAnsi="Calibri Light" w:cs="Calibri Light"/>
                <w:color w:val="000000"/>
                <w:sz w:val="20"/>
                <w:szCs w:val="20"/>
                <w:lang w:eastAsia="en-GB"/>
              </w:rPr>
              <w:t xml:space="preserve"> уштед</w:t>
            </w:r>
            <w:r w:rsidR="00AB19F4">
              <w:rPr>
                <w:rFonts w:ascii="Calibri Light" w:eastAsia="Times New Roman" w:hAnsi="Calibri Light" w:cs="Calibri Light"/>
                <w:color w:val="000000"/>
                <w:sz w:val="20"/>
                <w:szCs w:val="20"/>
                <w:lang w:eastAsia="en-GB"/>
              </w:rPr>
              <w:t>ом</w:t>
            </w:r>
            <w:r w:rsidRPr="00E21355">
              <w:rPr>
                <w:rFonts w:ascii="Calibri Light" w:eastAsia="Times New Roman" w:hAnsi="Calibri Light" w:cs="Calibri Light"/>
                <w:color w:val="000000"/>
                <w:sz w:val="20"/>
                <w:szCs w:val="20"/>
                <w:lang w:eastAsia="en-GB"/>
              </w:rPr>
              <w:t xml:space="preserve"> енергије смањиће се потрошњ</w:t>
            </w:r>
            <w:r w:rsidR="00054666">
              <w:rPr>
                <w:rFonts w:ascii="Calibri Light" w:eastAsia="Times New Roman" w:hAnsi="Calibri Light" w:cs="Calibri Light"/>
                <w:color w:val="000000"/>
                <w:sz w:val="20"/>
                <w:szCs w:val="20"/>
                <w:lang w:eastAsia="en-GB"/>
              </w:rPr>
              <w:t>а</w:t>
            </w:r>
            <w:r w:rsidRPr="00E21355">
              <w:rPr>
                <w:rFonts w:ascii="Calibri Light" w:eastAsia="Times New Roman" w:hAnsi="Calibri Light" w:cs="Calibri Light"/>
                <w:color w:val="000000"/>
                <w:sz w:val="20"/>
                <w:szCs w:val="20"/>
                <w:lang w:eastAsia="en-GB"/>
              </w:rPr>
              <w:t xml:space="preserve"> </w:t>
            </w:r>
            <w:r w:rsidR="00054666">
              <w:rPr>
                <w:rFonts w:ascii="Calibri Light" w:eastAsia="Times New Roman" w:hAnsi="Calibri Light" w:cs="Calibri Light"/>
                <w:color w:val="000000"/>
                <w:sz w:val="20"/>
                <w:szCs w:val="20"/>
                <w:lang w:eastAsia="en-GB"/>
              </w:rPr>
              <w:t xml:space="preserve">увезених </w:t>
            </w:r>
            <w:r w:rsidRPr="00E21355">
              <w:rPr>
                <w:rFonts w:ascii="Calibri Light" w:eastAsia="Times New Roman" w:hAnsi="Calibri Light" w:cs="Calibri Light"/>
                <w:color w:val="000000"/>
                <w:sz w:val="20"/>
                <w:szCs w:val="20"/>
                <w:lang w:eastAsia="en-GB"/>
              </w:rPr>
              <w:t>фосилних горива што ће довести до смањења</w:t>
            </w:r>
            <w:r>
              <w:rPr>
                <w:rFonts w:ascii="Calibri Light" w:eastAsia="Times New Roman" w:hAnsi="Calibri Light" w:cs="Calibri Light"/>
                <w:color w:val="000000"/>
                <w:sz w:val="20"/>
                <w:szCs w:val="20"/>
                <w:lang w:eastAsia="en-GB"/>
              </w:rPr>
              <w:t xml:space="preserve"> зависности од увоза енергије из трећих земаља)</w:t>
            </w:r>
          </w:p>
          <w:p w14:paraId="6E86F840" w14:textId="738ACBAA" w:rsidR="00E21355" w:rsidRPr="00FF386D" w:rsidRDefault="00E21355" w:rsidP="00854ADA">
            <w:pPr>
              <w:numPr>
                <w:ilvl w:val="0"/>
                <w:numId w:val="115"/>
              </w:numPr>
              <w:spacing w:after="0" w:line="240" w:lineRule="auto"/>
              <w:contextualSpacing/>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Унутрашње енергетско тржиште (промовисане технологије енергетске ефикасности ће допринети ублажавањ</w:t>
            </w:r>
            <w:r w:rsidR="00AB19F4">
              <w:rPr>
                <w:rFonts w:ascii="Calibri Light" w:eastAsia="Times New Roman" w:hAnsi="Calibri Light" w:cs="Calibri Light"/>
                <w:color w:val="000000"/>
                <w:sz w:val="20"/>
                <w:szCs w:val="20"/>
                <w:lang w:eastAsia="en-GB"/>
              </w:rPr>
              <w:t>у</w:t>
            </w:r>
            <w:r>
              <w:rPr>
                <w:rFonts w:ascii="Calibri Light" w:eastAsia="Times New Roman" w:hAnsi="Calibri Light" w:cs="Calibri Light"/>
                <w:color w:val="000000"/>
                <w:sz w:val="20"/>
                <w:szCs w:val="20"/>
                <w:lang w:eastAsia="en-GB"/>
              </w:rPr>
              <w:t xml:space="preserve"> енергетског сиромаштва)</w:t>
            </w:r>
          </w:p>
        </w:tc>
      </w:tr>
      <w:tr w:rsidR="00854ADA" w:rsidRPr="00FF386D" w14:paraId="40E6701C" w14:textId="77777777" w:rsidTr="0057310C">
        <w:trPr>
          <w:trHeight w:val="450"/>
        </w:trPr>
        <w:tc>
          <w:tcPr>
            <w:tcW w:w="3329"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3EBD0A45" w14:textId="0EDC8E68"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29"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753FC68A" w14:textId="4C40E38B" w:rsidR="00854ADA" w:rsidRPr="000A2AFE" w:rsidRDefault="00854ADA">
            <w:pPr>
              <w:numPr>
                <w:ilvl w:val="0"/>
                <w:numId w:val="232"/>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Директива </w:t>
            </w:r>
            <w:r w:rsidR="008F2AC0" w:rsidRPr="000A2AFE">
              <w:rPr>
                <w:rFonts w:ascii="Calibri Light" w:eastAsia="Times New Roman" w:hAnsi="Calibri Light" w:cs="Calibri Light"/>
                <w:color w:val="000000"/>
                <w:sz w:val="20"/>
                <w:szCs w:val="20"/>
                <w:lang w:eastAsia="en-GB"/>
              </w:rPr>
              <w:t xml:space="preserve">(ЕУ) </w:t>
            </w:r>
            <w:r w:rsidRPr="000A2AFE">
              <w:rPr>
                <w:rFonts w:ascii="Calibri Light" w:eastAsia="Times New Roman" w:hAnsi="Calibri Light" w:cs="Calibri Light"/>
                <w:color w:val="000000"/>
                <w:sz w:val="20"/>
                <w:szCs w:val="20"/>
                <w:lang w:eastAsia="en-GB"/>
              </w:rPr>
              <w:t>2010/31</w:t>
            </w:r>
          </w:p>
          <w:p w14:paraId="2AB0954B" w14:textId="5A572281" w:rsidR="00854ADA" w:rsidRPr="000A2AFE" w:rsidRDefault="00854ADA">
            <w:pPr>
              <w:numPr>
                <w:ilvl w:val="0"/>
                <w:numId w:val="232"/>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Директива </w:t>
            </w:r>
            <w:r w:rsidR="008F2AC0" w:rsidRPr="000A2AFE">
              <w:rPr>
                <w:rFonts w:ascii="Calibri Light" w:eastAsia="Times New Roman" w:hAnsi="Calibri Light" w:cs="Calibri Light"/>
                <w:color w:val="000000"/>
                <w:sz w:val="20"/>
                <w:szCs w:val="20"/>
                <w:lang w:eastAsia="en-GB"/>
              </w:rPr>
              <w:t xml:space="preserve">(ЕУ) </w:t>
            </w:r>
            <w:r w:rsidRPr="000A2AFE">
              <w:rPr>
                <w:rFonts w:ascii="Calibri Light" w:eastAsia="Times New Roman" w:hAnsi="Calibri Light" w:cs="Calibri Light"/>
                <w:color w:val="000000"/>
                <w:sz w:val="20"/>
                <w:szCs w:val="20"/>
                <w:lang w:eastAsia="en-GB"/>
              </w:rPr>
              <w:t>2012/27</w:t>
            </w:r>
          </w:p>
          <w:p w14:paraId="535C2D25" w14:textId="57E49FAD" w:rsidR="00854ADA" w:rsidRPr="000A2AFE" w:rsidRDefault="00854ADA">
            <w:pPr>
              <w:numPr>
                <w:ilvl w:val="0"/>
                <w:numId w:val="232"/>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Директива </w:t>
            </w:r>
            <w:r w:rsidR="008F2AC0" w:rsidRPr="000A2AFE">
              <w:rPr>
                <w:rFonts w:ascii="Calibri Light" w:eastAsia="Times New Roman" w:hAnsi="Calibri Light" w:cs="Calibri Light"/>
                <w:color w:val="000000"/>
                <w:sz w:val="20"/>
                <w:szCs w:val="20"/>
                <w:lang w:eastAsia="en-GB"/>
              </w:rPr>
              <w:t xml:space="preserve">(ЕУ) </w:t>
            </w:r>
            <w:r w:rsidRPr="000A2AFE">
              <w:rPr>
                <w:rFonts w:ascii="Calibri Light" w:eastAsia="Times New Roman" w:hAnsi="Calibri Light" w:cs="Calibri Light"/>
                <w:color w:val="000000"/>
                <w:sz w:val="20"/>
                <w:szCs w:val="20"/>
                <w:lang w:eastAsia="en-GB"/>
              </w:rPr>
              <w:t>2018/2002</w:t>
            </w:r>
          </w:p>
          <w:p w14:paraId="123CC88C" w14:textId="790A7F50" w:rsidR="00854ADA" w:rsidRPr="00FF386D" w:rsidRDefault="00854ADA" w:rsidP="00854ADA">
            <w:pPr>
              <w:numPr>
                <w:ilvl w:val="0"/>
                <w:numId w:val="115"/>
              </w:numPr>
              <w:spacing w:after="0" w:line="240" w:lineRule="auto"/>
              <w:ind w:left="714" w:hanging="357"/>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Директива </w:t>
            </w:r>
            <w:r w:rsidR="008F2AC0" w:rsidRPr="000A2AFE">
              <w:rPr>
                <w:rFonts w:ascii="Calibri Light" w:eastAsia="Times New Roman" w:hAnsi="Calibri Light" w:cs="Calibri Light"/>
                <w:color w:val="000000"/>
                <w:sz w:val="20"/>
                <w:szCs w:val="20"/>
                <w:lang w:eastAsia="en-GB"/>
              </w:rPr>
              <w:t xml:space="preserve">(ЕУ) </w:t>
            </w:r>
            <w:r w:rsidRPr="000A2AFE">
              <w:rPr>
                <w:rFonts w:ascii="Calibri Light" w:eastAsia="Times New Roman" w:hAnsi="Calibri Light" w:cs="Calibri Light"/>
                <w:color w:val="000000"/>
                <w:sz w:val="20"/>
                <w:szCs w:val="20"/>
                <w:lang w:eastAsia="en-GB"/>
              </w:rPr>
              <w:t>2018/844</w:t>
            </w:r>
          </w:p>
        </w:tc>
      </w:tr>
      <w:tr w:rsidR="00854ADA" w:rsidRPr="00FF386D" w14:paraId="2D8DE108" w14:textId="77777777" w:rsidTr="0057310C">
        <w:trPr>
          <w:trHeight w:val="450"/>
        </w:trPr>
        <w:tc>
          <w:tcPr>
            <w:tcW w:w="3329" w:type="dxa"/>
            <w:vMerge/>
            <w:tcBorders>
              <w:top w:val="nil"/>
              <w:left w:val="single" w:sz="8" w:space="0" w:color="auto"/>
              <w:bottom w:val="single" w:sz="8" w:space="0" w:color="000000"/>
              <w:right w:val="single" w:sz="8" w:space="0" w:color="auto"/>
            </w:tcBorders>
            <w:vAlign w:val="center"/>
            <w:hideMark/>
          </w:tcPr>
          <w:p w14:paraId="6367C66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9" w:type="dxa"/>
            <w:gridSpan w:val="3"/>
            <w:vMerge/>
            <w:tcBorders>
              <w:top w:val="single" w:sz="8" w:space="0" w:color="auto"/>
              <w:left w:val="single" w:sz="8" w:space="0" w:color="auto"/>
              <w:bottom w:val="single" w:sz="8" w:space="0" w:color="000000"/>
              <w:right w:val="single" w:sz="8" w:space="0" w:color="000000"/>
            </w:tcBorders>
            <w:vAlign w:val="center"/>
            <w:hideMark/>
          </w:tcPr>
          <w:p w14:paraId="1F341ECA" w14:textId="77777777" w:rsidR="00854ADA" w:rsidRPr="00FF386D" w:rsidRDefault="00854ADA" w:rsidP="00854ADA">
            <w:pPr>
              <w:numPr>
                <w:ilvl w:val="0"/>
                <w:numId w:val="115"/>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6F078BC6" w14:textId="77777777" w:rsidTr="0057310C">
        <w:trPr>
          <w:trHeight w:val="450"/>
        </w:trPr>
        <w:tc>
          <w:tcPr>
            <w:tcW w:w="3329" w:type="dxa"/>
            <w:vMerge/>
            <w:tcBorders>
              <w:top w:val="nil"/>
              <w:left w:val="single" w:sz="8" w:space="0" w:color="auto"/>
              <w:bottom w:val="single" w:sz="8" w:space="0" w:color="000000"/>
              <w:right w:val="single" w:sz="8" w:space="0" w:color="auto"/>
            </w:tcBorders>
            <w:vAlign w:val="center"/>
            <w:hideMark/>
          </w:tcPr>
          <w:p w14:paraId="36FECBD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9" w:type="dxa"/>
            <w:gridSpan w:val="3"/>
            <w:vMerge/>
            <w:tcBorders>
              <w:top w:val="single" w:sz="8" w:space="0" w:color="auto"/>
              <w:left w:val="single" w:sz="8" w:space="0" w:color="auto"/>
              <w:bottom w:val="single" w:sz="8" w:space="0" w:color="000000"/>
              <w:right w:val="single" w:sz="8" w:space="0" w:color="000000"/>
            </w:tcBorders>
            <w:vAlign w:val="center"/>
            <w:hideMark/>
          </w:tcPr>
          <w:p w14:paraId="67DEF26F" w14:textId="77777777" w:rsidR="00854ADA" w:rsidRPr="00FF386D" w:rsidRDefault="00854ADA" w:rsidP="00854ADA">
            <w:pPr>
              <w:numPr>
                <w:ilvl w:val="0"/>
                <w:numId w:val="115"/>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294F94FF" w14:textId="77777777" w:rsidTr="0057310C">
        <w:trPr>
          <w:trHeight w:val="780"/>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0F8A2A0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427A6AF7" w14:textId="77777777" w:rsidR="00854ADA" w:rsidRPr="00FF386D" w:rsidRDefault="00854ADA" w:rsidP="00854ADA">
            <w:pPr>
              <w:numPr>
                <w:ilvl w:val="0"/>
                <w:numId w:val="11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енергетској ефикасности и рационалној употреби енергије</w:t>
            </w:r>
          </w:p>
          <w:p w14:paraId="6D665035" w14:textId="440D0F26" w:rsidR="00854ADA" w:rsidRPr="00FF386D" w:rsidRDefault="00854ADA" w:rsidP="00854ADA">
            <w:pPr>
              <w:numPr>
                <w:ilvl w:val="0"/>
                <w:numId w:val="11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4. НАПЕЕ</w:t>
            </w:r>
          </w:p>
          <w:p w14:paraId="091FF03A" w14:textId="77777777" w:rsidR="00854ADA" w:rsidRPr="00FF386D" w:rsidRDefault="00854ADA" w:rsidP="00854ADA">
            <w:pPr>
              <w:numPr>
                <w:ilvl w:val="0"/>
                <w:numId w:val="11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Дугорочна стратегија за подстицање улагања у обнову националног фонда зграда</w:t>
            </w:r>
          </w:p>
        </w:tc>
      </w:tr>
      <w:tr w:rsidR="00854ADA" w:rsidRPr="00FF386D" w14:paraId="63F663A0"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6D13CFC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2C160624" w14:textId="48494556" w:rsidR="00854ADA" w:rsidRPr="00FF386D" w:rsidRDefault="008F2AC0" w:rsidP="00854ADA">
            <w:pPr>
              <w:spacing w:after="0"/>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1.</w:t>
            </w:r>
            <w:r w:rsidR="00E0116B">
              <w:rPr>
                <w:rFonts w:ascii="Calibri Light" w:eastAsia="Times New Roman" w:hAnsi="Calibri Light" w:cs="Calibri Light"/>
                <w:color w:val="000000"/>
                <w:sz w:val="20"/>
                <w:szCs w:val="20"/>
                <w:lang w:val="sr-Latn-RS" w:eastAsia="en-GB"/>
              </w:rPr>
              <w:t>7</w:t>
            </w:r>
            <w:r w:rsidR="00E0116B" w:rsidRPr="00FF386D">
              <w:rPr>
                <w:rFonts w:ascii="Calibri Light" w:eastAsia="Times New Roman" w:hAnsi="Calibri Light" w:cs="Calibri Light"/>
                <w:color w:val="000000"/>
                <w:sz w:val="20"/>
                <w:szCs w:val="20"/>
                <w:lang w:eastAsia="en-GB"/>
              </w:rPr>
              <w:t xml:space="preserve">11 </w:t>
            </w:r>
            <w:r w:rsidR="0065102B" w:rsidRPr="00FF386D">
              <w:rPr>
                <w:rFonts w:ascii="Calibri Light" w:eastAsia="Times New Roman" w:hAnsi="Calibri Light" w:cs="Calibri Light"/>
                <w:color w:val="000000"/>
                <w:sz w:val="20"/>
                <w:szCs w:val="20"/>
                <w:lang w:eastAsia="en-GB"/>
              </w:rPr>
              <w:t>мили</w:t>
            </w:r>
            <w:r w:rsidR="0065102B">
              <w:rPr>
                <w:rFonts w:ascii="Calibri Light" w:eastAsia="Times New Roman" w:hAnsi="Calibri Light" w:cs="Calibri Light"/>
                <w:color w:val="000000"/>
                <w:sz w:val="20"/>
                <w:szCs w:val="20"/>
                <w:lang w:eastAsia="en-GB"/>
              </w:rPr>
              <w:t>она</w:t>
            </w:r>
            <w:r w:rsidR="0065102B" w:rsidRPr="00FF386D">
              <w:rPr>
                <w:rFonts w:ascii="Calibri Light" w:eastAsia="Times New Roman" w:hAnsi="Calibri Light" w:cs="Calibri Light"/>
                <w:color w:val="000000"/>
                <w:sz w:val="20"/>
                <w:szCs w:val="20"/>
                <w:lang w:eastAsia="en-GB"/>
              </w:rPr>
              <w:t xml:space="preserve"> </w:t>
            </w:r>
            <w:r w:rsidR="00854ADA" w:rsidRPr="00FF386D">
              <w:rPr>
                <w:rFonts w:ascii="Calibri Light" w:eastAsia="Times New Roman" w:hAnsi="Calibri Light" w:cs="Calibri Light"/>
                <w:color w:val="000000"/>
                <w:sz w:val="20"/>
                <w:szCs w:val="20"/>
                <w:lang w:eastAsia="en-GB"/>
              </w:rPr>
              <w:t>евра</w:t>
            </w:r>
            <w:r w:rsidR="00DB3FE0">
              <w:rPr>
                <w:rFonts w:ascii="Calibri Light" w:eastAsia="Times New Roman" w:hAnsi="Calibri Light" w:cs="Calibri Light"/>
                <w:color w:val="000000"/>
                <w:sz w:val="20"/>
                <w:szCs w:val="20"/>
                <w:lang w:eastAsia="en-GB"/>
              </w:rPr>
              <w:t xml:space="preserve"> (801 милиона евра за интервенције на омотачу зграде и 910 милиона евра за топлотне пумпе)</w:t>
            </w:r>
          </w:p>
        </w:tc>
      </w:tr>
      <w:tr w:rsidR="00854ADA" w:rsidRPr="00FF386D" w14:paraId="7FCF1B1E"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7E58D51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30F345F2" w14:textId="54182D58"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w:t>
            </w:r>
            <w:r w:rsidR="0024016C" w:rsidRPr="00FF386D">
              <w:rPr>
                <w:rFonts w:asciiTheme="majorHAnsi" w:eastAsia="Times New Roman" w:hAnsiTheme="majorHAnsi" w:cstheme="majorHAnsi"/>
                <w:color w:val="000000"/>
                <w:sz w:val="20"/>
                <w:szCs w:val="20"/>
                <w:lang w:eastAsia="en-GB"/>
              </w:rPr>
              <w:t>,</w:t>
            </w:r>
            <w:r w:rsidRPr="00FF386D">
              <w:rPr>
                <w:rFonts w:asciiTheme="majorHAnsi" w:eastAsia="Times New Roman" w:hAnsiTheme="majorHAnsi" w:cstheme="majorHAnsi"/>
                <w:color w:val="000000"/>
                <w:sz w:val="20"/>
                <w:szCs w:val="20"/>
                <w:lang w:eastAsia="en-GB"/>
              </w:rPr>
              <w:t xml:space="preserve"> бесповратн</w:t>
            </w:r>
            <w:r w:rsidR="0024016C" w:rsidRPr="00FF386D">
              <w:rPr>
                <w:rFonts w:asciiTheme="majorHAnsi" w:eastAsia="Times New Roman" w:hAnsiTheme="majorHAnsi" w:cstheme="majorHAnsi"/>
                <w:color w:val="000000"/>
                <w:sz w:val="20"/>
                <w:szCs w:val="20"/>
                <w:lang w:eastAsia="en-GB"/>
              </w:rPr>
              <w:t xml:space="preserve">а </w:t>
            </w:r>
            <w:r w:rsidRPr="00FF386D">
              <w:rPr>
                <w:rFonts w:asciiTheme="majorHAnsi" w:eastAsia="Times New Roman" w:hAnsiTheme="majorHAnsi" w:cstheme="majorHAnsi"/>
                <w:color w:val="000000"/>
                <w:sz w:val="20"/>
                <w:szCs w:val="20"/>
                <w:lang w:eastAsia="en-GB"/>
              </w:rPr>
              <w:t xml:space="preserve">средстава, </w:t>
            </w:r>
            <w:r w:rsidR="0024016C" w:rsidRPr="00FF386D">
              <w:rPr>
                <w:rFonts w:asciiTheme="majorHAnsi" w:eastAsia="Times New Roman" w:hAnsiTheme="majorHAnsi" w:cstheme="majorHAnsi"/>
                <w:color w:val="000000"/>
                <w:sz w:val="20"/>
                <w:szCs w:val="20"/>
                <w:lang w:eastAsia="en-GB"/>
              </w:rPr>
              <w:t>б</w:t>
            </w:r>
            <w:r w:rsidRPr="00FF386D">
              <w:rPr>
                <w:rFonts w:asciiTheme="majorHAnsi" w:eastAsia="Times New Roman" w:hAnsiTheme="majorHAnsi" w:cstheme="majorHAnsi"/>
                <w:color w:val="000000"/>
                <w:sz w:val="20"/>
                <w:szCs w:val="20"/>
                <w:lang w:eastAsia="en-GB"/>
              </w:rPr>
              <w:t>уџет</w:t>
            </w:r>
            <w:r w:rsidR="0024016C" w:rsidRPr="00FF386D">
              <w:rPr>
                <w:rFonts w:asciiTheme="majorHAnsi" w:eastAsia="Times New Roman" w:hAnsiTheme="majorHAnsi" w:cstheme="majorHAnsi"/>
                <w:color w:val="000000"/>
                <w:sz w:val="20"/>
                <w:szCs w:val="20"/>
                <w:lang w:eastAsia="en-GB"/>
              </w:rPr>
              <w:t xml:space="preserve">ска и </w:t>
            </w:r>
            <w:r w:rsidRPr="00FF386D">
              <w:rPr>
                <w:rFonts w:asciiTheme="majorHAnsi" w:eastAsia="Times New Roman" w:hAnsiTheme="majorHAnsi" w:cstheme="majorHAnsi"/>
                <w:color w:val="000000"/>
                <w:sz w:val="20"/>
                <w:szCs w:val="20"/>
                <w:lang w:eastAsia="en-GB"/>
              </w:rPr>
              <w:t xml:space="preserve">сопствена средства, </w:t>
            </w:r>
            <w:r w:rsidR="0024016C" w:rsidRPr="00FF386D">
              <w:rPr>
                <w:rFonts w:asciiTheme="majorHAnsi" w:eastAsia="Times New Roman" w:hAnsiTheme="majorHAnsi" w:cstheme="majorHAnsi"/>
                <w:color w:val="000000"/>
                <w:sz w:val="20"/>
                <w:szCs w:val="20"/>
                <w:lang w:eastAsia="en-GB"/>
              </w:rPr>
              <w:t xml:space="preserve">средства </w:t>
            </w:r>
            <w:r w:rsidRPr="00FF386D">
              <w:rPr>
                <w:rFonts w:asciiTheme="majorHAnsi" w:eastAsia="Times New Roman" w:hAnsiTheme="majorHAnsi" w:cstheme="majorHAnsi"/>
                <w:color w:val="000000"/>
                <w:sz w:val="20"/>
                <w:szCs w:val="20"/>
                <w:lang w:eastAsia="en-GB"/>
              </w:rPr>
              <w:t>међународних финансијских институција.</w:t>
            </w:r>
          </w:p>
        </w:tc>
      </w:tr>
    </w:tbl>
    <w:p w14:paraId="475055AB"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393"/>
        <w:gridCol w:w="984"/>
        <w:gridCol w:w="965"/>
        <w:gridCol w:w="4116"/>
        <w:gridCol w:w="30"/>
      </w:tblGrid>
      <w:tr w:rsidR="00854ADA" w:rsidRPr="00FF386D" w14:paraId="78A09467" w14:textId="77777777" w:rsidTr="0057310C">
        <w:trPr>
          <w:trHeight w:val="780"/>
        </w:trPr>
        <w:tc>
          <w:tcPr>
            <w:tcW w:w="3404"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6FF3600D" w14:textId="77777777" w:rsidR="00854ADA" w:rsidRPr="00FF386D" w:rsidRDefault="00854ADA" w:rsidP="00854ADA">
            <w:pPr>
              <w:spacing w:after="0" w:line="240" w:lineRule="auto"/>
              <w:jc w:val="both"/>
              <w:rPr>
                <w:rFonts w:ascii="Calibri" w:eastAsia="Times New Roman" w:hAnsi="Calibri" w:cs="Arial"/>
                <w:b/>
                <w:bCs/>
                <w:sz w:val="20"/>
                <w:szCs w:val="20"/>
                <w:lang w:eastAsia="el-GR"/>
              </w:rPr>
            </w:pPr>
            <w:r w:rsidRPr="00FF386D">
              <w:rPr>
                <w:rFonts w:asciiTheme="majorHAnsi" w:eastAsia="Times New Roman" w:hAnsiTheme="majorHAnsi" w:cstheme="majorHAnsi"/>
                <w:b/>
                <w:bCs/>
                <w:sz w:val="20"/>
                <w:szCs w:val="20"/>
                <w:lang w:eastAsia="el-GR"/>
              </w:rPr>
              <w:t>Шифра мере политике:</w:t>
            </w:r>
          </w:p>
        </w:tc>
        <w:tc>
          <w:tcPr>
            <w:tcW w:w="984" w:type="dxa"/>
            <w:tcBorders>
              <w:top w:val="single" w:sz="8" w:space="0" w:color="auto"/>
              <w:left w:val="nil"/>
              <w:bottom w:val="single" w:sz="8" w:space="0" w:color="auto"/>
              <w:right w:val="single" w:sz="8" w:space="0" w:color="auto"/>
            </w:tcBorders>
            <w:shd w:val="clear" w:color="auto" w:fill="E7E6E6" w:themeFill="background2"/>
            <w:vAlign w:val="center"/>
            <w:hideMark/>
          </w:tcPr>
          <w:p w14:paraId="66B8D83E" w14:textId="77777777" w:rsidR="00854ADA" w:rsidRPr="00FF386D" w:rsidRDefault="00854ADA" w:rsidP="00854ADA">
            <w:pPr>
              <w:spacing w:after="0" w:line="240" w:lineRule="auto"/>
              <w:jc w:val="both"/>
              <w:rPr>
                <w:rFonts w:asciiTheme="majorHAnsi" w:eastAsia="Times New Roman" w:hAnsiTheme="majorHAnsi" w:cstheme="majorHAnsi"/>
                <w:b/>
                <w:bCs/>
                <w:sz w:val="20"/>
                <w:szCs w:val="20"/>
                <w:lang w:eastAsia="el-GR"/>
              </w:rPr>
            </w:pPr>
            <w:r w:rsidRPr="00FF386D">
              <w:rPr>
                <w:rFonts w:asciiTheme="majorHAnsi" w:eastAsia="Times New Roman" w:hAnsiTheme="majorHAnsi" w:cstheme="majorHAnsi"/>
                <w:b/>
                <w:bCs/>
                <w:sz w:val="20"/>
                <w:szCs w:val="20"/>
                <w:lang w:eastAsia="el-GR"/>
              </w:rPr>
              <w:t>MП_EE2</w:t>
            </w:r>
          </w:p>
        </w:tc>
        <w:tc>
          <w:tcPr>
            <w:tcW w:w="966" w:type="dxa"/>
            <w:tcBorders>
              <w:top w:val="single" w:sz="8" w:space="0" w:color="auto"/>
              <w:left w:val="nil"/>
              <w:bottom w:val="single" w:sz="8" w:space="0" w:color="auto"/>
              <w:right w:val="single" w:sz="8" w:space="0" w:color="auto"/>
            </w:tcBorders>
            <w:shd w:val="clear" w:color="000000" w:fill="244062"/>
            <w:vAlign w:val="center"/>
            <w:hideMark/>
          </w:tcPr>
          <w:p w14:paraId="5C4CB6BC" w14:textId="77777777" w:rsidR="00854ADA" w:rsidRPr="00FF386D" w:rsidRDefault="00854ADA" w:rsidP="00854ADA">
            <w:pPr>
              <w:spacing w:after="0" w:line="240" w:lineRule="auto"/>
              <w:jc w:val="both"/>
              <w:rPr>
                <w:rFonts w:asciiTheme="majorHAnsi" w:eastAsia="Times New Roman" w:hAnsiTheme="majorHAnsi" w:cstheme="majorHAnsi"/>
                <w:b/>
                <w:bCs/>
                <w:sz w:val="20"/>
                <w:szCs w:val="20"/>
                <w:lang w:eastAsia="el-GR"/>
              </w:rPr>
            </w:pPr>
            <w:r w:rsidRPr="00FF386D">
              <w:rPr>
                <w:rFonts w:asciiTheme="majorHAnsi" w:eastAsia="Times New Roman" w:hAnsiTheme="majorHAnsi" w:cstheme="majorHAnsi"/>
                <w:b/>
                <w:bCs/>
                <w:sz w:val="20"/>
                <w:szCs w:val="20"/>
                <w:lang w:eastAsia="el-GR"/>
              </w:rPr>
              <w:t xml:space="preserve">Назив: </w:t>
            </w:r>
          </w:p>
        </w:tc>
        <w:tc>
          <w:tcPr>
            <w:tcW w:w="4134" w:type="dxa"/>
            <w:gridSpan w:val="2"/>
            <w:tcBorders>
              <w:top w:val="single" w:sz="8" w:space="0" w:color="auto"/>
              <w:left w:val="nil"/>
              <w:bottom w:val="single" w:sz="8" w:space="0" w:color="auto"/>
              <w:right w:val="single" w:sz="8" w:space="0" w:color="auto"/>
            </w:tcBorders>
            <w:shd w:val="clear" w:color="auto" w:fill="E7E6E6" w:themeFill="background2"/>
            <w:vAlign w:val="center"/>
            <w:hideMark/>
          </w:tcPr>
          <w:p w14:paraId="060B3FF0" w14:textId="6BB3121F" w:rsidR="00854ADA" w:rsidRPr="00FF386D" w:rsidRDefault="00B070FD" w:rsidP="00854ADA">
            <w:pPr>
              <w:spacing w:after="0" w:line="240" w:lineRule="auto"/>
              <w:jc w:val="both"/>
              <w:rPr>
                <w:rFonts w:asciiTheme="majorHAnsi" w:eastAsia="Times New Roman" w:hAnsiTheme="majorHAnsi" w:cstheme="majorHAnsi"/>
                <w:b/>
                <w:bCs/>
                <w:sz w:val="20"/>
                <w:szCs w:val="20"/>
                <w:lang w:eastAsia="el-GR"/>
              </w:rPr>
            </w:pPr>
            <w:r w:rsidRPr="00FF386D">
              <w:rPr>
                <w:rFonts w:asciiTheme="majorHAnsi" w:eastAsia="Times New Roman" w:hAnsiTheme="majorHAnsi" w:cstheme="majorHAnsi"/>
                <w:b/>
                <w:bCs/>
                <w:sz w:val="20"/>
                <w:szCs w:val="20"/>
                <w:lang w:eastAsia="el-GR"/>
              </w:rPr>
              <w:t>Финансијска</w:t>
            </w:r>
            <w:r w:rsidR="00854ADA" w:rsidRPr="00FF386D">
              <w:rPr>
                <w:rFonts w:asciiTheme="majorHAnsi" w:eastAsia="Times New Roman" w:hAnsiTheme="majorHAnsi" w:cstheme="majorHAnsi"/>
                <w:b/>
                <w:bCs/>
                <w:sz w:val="20"/>
                <w:szCs w:val="20"/>
                <w:lang w:eastAsia="el-GR"/>
              </w:rPr>
              <w:t xml:space="preserve"> </w:t>
            </w:r>
            <w:r w:rsidRPr="00FF386D">
              <w:rPr>
                <w:rFonts w:asciiTheme="majorHAnsi" w:eastAsia="Times New Roman" w:hAnsiTheme="majorHAnsi" w:cstheme="majorHAnsi"/>
                <w:b/>
                <w:bCs/>
                <w:sz w:val="20"/>
                <w:szCs w:val="20"/>
                <w:lang w:eastAsia="el-GR"/>
              </w:rPr>
              <w:t>подршка</w:t>
            </w:r>
            <w:r w:rsidR="00854ADA" w:rsidRPr="00FF386D">
              <w:rPr>
                <w:rFonts w:asciiTheme="majorHAnsi" w:eastAsia="Times New Roman" w:hAnsiTheme="majorHAnsi" w:cstheme="majorHAnsi"/>
                <w:b/>
                <w:bCs/>
                <w:sz w:val="20"/>
                <w:szCs w:val="20"/>
                <w:lang w:eastAsia="el-GR"/>
              </w:rPr>
              <w:t xml:space="preserve"> </w:t>
            </w:r>
            <w:r w:rsidR="00B23CD5" w:rsidRPr="00FF386D">
              <w:rPr>
                <w:rFonts w:asciiTheme="majorHAnsi" w:eastAsia="Times New Roman" w:hAnsiTheme="majorHAnsi" w:cstheme="majorHAnsi"/>
                <w:b/>
                <w:bCs/>
                <w:sz w:val="20"/>
                <w:szCs w:val="20"/>
                <w:lang w:eastAsia="el-GR"/>
              </w:rPr>
              <w:t>енергетској</w:t>
            </w:r>
            <w:r w:rsidR="00854ADA" w:rsidRPr="00FF386D">
              <w:rPr>
                <w:rFonts w:asciiTheme="majorHAnsi" w:eastAsia="Times New Roman" w:hAnsiTheme="majorHAnsi" w:cstheme="majorHAnsi"/>
                <w:b/>
                <w:bCs/>
                <w:sz w:val="20"/>
                <w:szCs w:val="20"/>
                <w:lang w:eastAsia="el-GR"/>
              </w:rPr>
              <w:t xml:space="preserve"> </w:t>
            </w:r>
            <w:r w:rsidRPr="00FF386D">
              <w:rPr>
                <w:rFonts w:asciiTheme="majorHAnsi" w:eastAsia="Times New Roman" w:hAnsiTheme="majorHAnsi" w:cstheme="majorHAnsi"/>
                <w:b/>
                <w:bCs/>
                <w:sz w:val="20"/>
                <w:szCs w:val="20"/>
                <w:lang w:eastAsia="el-GR"/>
              </w:rPr>
              <w:t xml:space="preserve">санацији </w:t>
            </w:r>
            <w:r w:rsidR="00854ADA" w:rsidRPr="00FF386D">
              <w:rPr>
                <w:rFonts w:asciiTheme="majorHAnsi" w:eastAsia="Times New Roman" w:hAnsiTheme="majorHAnsi" w:cstheme="majorHAnsi"/>
                <w:b/>
                <w:bCs/>
                <w:sz w:val="20"/>
                <w:szCs w:val="20"/>
                <w:lang w:eastAsia="el-GR"/>
              </w:rPr>
              <w:t>јавних зграда</w:t>
            </w:r>
          </w:p>
        </w:tc>
      </w:tr>
      <w:tr w:rsidR="00854ADA" w:rsidRPr="00FF386D" w14:paraId="3D56246F" w14:textId="77777777" w:rsidTr="0057310C">
        <w:trPr>
          <w:trHeight w:val="960"/>
        </w:trPr>
        <w:tc>
          <w:tcPr>
            <w:tcW w:w="3404" w:type="dxa"/>
            <w:tcBorders>
              <w:top w:val="nil"/>
              <w:left w:val="single" w:sz="8" w:space="0" w:color="auto"/>
              <w:bottom w:val="single" w:sz="8" w:space="0" w:color="auto"/>
              <w:right w:val="nil"/>
            </w:tcBorders>
            <w:shd w:val="clear" w:color="000000" w:fill="244062"/>
            <w:vAlign w:val="center"/>
            <w:hideMark/>
          </w:tcPr>
          <w:p w14:paraId="436A38CA" w14:textId="77777777" w:rsidR="00854ADA" w:rsidRPr="00FF386D" w:rsidRDefault="00854ADA" w:rsidP="00854ADA">
            <w:pPr>
              <w:spacing w:after="0" w:line="240" w:lineRule="auto"/>
              <w:jc w:val="both"/>
              <w:rPr>
                <w:rFonts w:ascii="Calibri" w:eastAsia="Times New Roman" w:hAnsi="Calibri" w:cs="Arial"/>
                <w:b/>
                <w:bCs/>
                <w:sz w:val="20"/>
                <w:szCs w:val="20"/>
                <w:lang w:eastAsia="el-GR"/>
              </w:rPr>
            </w:pPr>
            <w:r w:rsidRPr="00FF386D">
              <w:rPr>
                <w:rFonts w:asciiTheme="majorHAnsi" w:eastAsia="Times New Roman" w:hAnsiTheme="majorHAnsi" w:cstheme="majorHAnsi"/>
                <w:b/>
                <w:bCs/>
                <w:sz w:val="20"/>
                <w:szCs w:val="20"/>
                <w:lang w:eastAsia="el-GR"/>
              </w:rPr>
              <w:t>Главни циљ:</w:t>
            </w:r>
          </w:p>
        </w:tc>
        <w:tc>
          <w:tcPr>
            <w:tcW w:w="6084" w:type="dxa"/>
            <w:gridSpan w:val="4"/>
            <w:tcBorders>
              <w:top w:val="single" w:sz="8" w:space="0" w:color="auto"/>
              <w:left w:val="nil"/>
              <w:bottom w:val="single" w:sz="8" w:space="0" w:color="auto"/>
              <w:right w:val="single" w:sz="8" w:space="0" w:color="000000"/>
            </w:tcBorders>
            <w:shd w:val="clear" w:color="auto" w:fill="auto"/>
            <w:vAlign w:val="center"/>
            <w:hideMark/>
          </w:tcPr>
          <w:p w14:paraId="5D118382" w14:textId="440B0098" w:rsidR="00854ADA" w:rsidRPr="00FF386D" w:rsidRDefault="00B070FD" w:rsidP="00854ADA">
            <w:pPr>
              <w:spacing w:after="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Примена</w:t>
            </w:r>
            <w:r w:rsidR="00854ADA" w:rsidRPr="00FF386D">
              <w:rPr>
                <w:rFonts w:asciiTheme="majorHAnsi" w:eastAsia="Times New Roman" w:hAnsiTheme="majorHAnsi" w:cstheme="majorHAnsi"/>
                <w:sz w:val="20"/>
                <w:szCs w:val="20"/>
                <w:lang w:eastAsia="el-GR"/>
              </w:rPr>
              <w:t xml:space="preserve"> чланова Директиве </w:t>
            </w:r>
            <w:r w:rsidRPr="00FF386D">
              <w:rPr>
                <w:rFonts w:asciiTheme="majorHAnsi" w:eastAsia="Times New Roman" w:hAnsiTheme="majorHAnsi" w:cstheme="majorHAnsi"/>
                <w:sz w:val="20"/>
                <w:szCs w:val="20"/>
                <w:lang w:eastAsia="el-GR"/>
              </w:rPr>
              <w:t xml:space="preserve">(ЕУ) </w:t>
            </w:r>
            <w:r w:rsidR="00854ADA" w:rsidRPr="00FF386D">
              <w:rPr>
                <w:rFonts w:asciiTheme="majorHAnsi" w:eastAsia="Times New Roman" w:hAnsiTheme="majorHAnsi" w:cstheme="majorHAnsi"/>
                <w:sz w:val="20"/>
                <w:szCs w:val="20"/>
                <w:lang w:eastAsia="el-GR"/>
              </w:rPr>
              <w:t xml:space="preserve">2012/27, која је </w:t>
            </w:r>
            <w:r w:rsidR="00B23CD5" w:rsidRPr="00FF386D">
              <w:rPr>
                <w:rFonts w:asciiTheme="majorHAnsi" w:eastAsia="Times New Roman" w:hAnsiTheme="majorHAnsi" w:cstheme="majorHAnsi"/>
                <w:sz w:val="20"/>
                <w:szCs w:val="20"/>
                <w:lang w:eastAsia="el-GR"/>
              </w:rPr>
              <w:t>измењена</w:t>
            </w:r>
            <w:r w:rsidR="00854ADA" w:rsidRPr="00FF386D">
              <w:rPr>
                <w:rFonts w:asciiTheme="majorHAnsi" w:eastAsia="Times New Roman" w:hAnsiTheme="majorHAnsi" w:cstheme="majorHAnsi"/>
                <w:sz w:val="20"/>
                <w:szCs w:val="20"/>
                <w:lang w:eastAsia="el-GR"/>
              </w:rPr>
              <w:t xml:space="preserve"> и допуњена Директивом </w:t>
            </w:r>
            <w:r w:rsidRPr="00FF386D">
              <w:rPr>
                <w:rFonts w:asciiTheme="majorHAnsi" w:eastAsia="Times New Roman" w:hAnsiTheme="majorHAnsi" w:cstheme="majorHAnsi"/>
                <w:sz w:val="20"/>
                <w:szCs w:val="20"/>
                <w:lang w:eastAsia="el-GR"/>
              </w:rPr>
              <w:t xml:space="preserve">(ЕУ) </w:t>
            </w:r>
            <w:r w:rsidR="00854ADA" w:rsidRPr="00FF386D">
              <w:rPr>
                <w:rFonts w:asciiTheme="majorHAnsi" w:eastAsia="Times New Roman" w:hAnsiTheme="majorHAnsi" w:cstheme="majorHAnsi"/>
                <w:sz w:val="20"/>
                <w:szCs w:val="20"/>
                <w:lang w:eastAsia="el-GR"/>
              </w:rPr>
              <w:t>2018/2002</w:t>
            </w:r>
            <w:r w:rsidRPr="00FF386D">
              <w:rPr>
                <w:rFonts w:asciiTheme="majorHAnsi" w:eastAsia="Times New Roman" w:hAnsiTheme="majorHAnsi" w:cstheme="majorHAnsi"/>
                <w:sz w:val="20"/>
                <w:szCs w:val="20"/>
                <w:lang w:eastAsia="el-GR"/>
              </w:rPr>
              <w:t>, и то</w:t>
            </w:r>
            <w:r w:rsidR="00854ADA" w:rsidRPr="00FF386D">
              <w:rPr>
                <w:rFonts w:asciiTheme="majorHAnsi" w:eastAsia="Times New Roman" w:hAnsiTheme="majorHAnsi" w:cstheme="majorHAnsi"/>
                <w:sz w:val="20"/>
                <w:szCs w:val="20"/>
                <w:lang w:eastAsia="el-GR"/>
              </w:rPr>
              <w:t>:</w:t>
            </w:r>
          </w:p>
          <w:p w14:paraId="03EF022C" w14:textId="0EA84514" w:rsidR="00854ADA" w:rsidRPr="00FF386D" w:rsidRDefault="00854ADA" w:rsidP="00854ADA">
            <w:pPr>
              <w:numPr>
                <w:ilvl w:val="0"/>
                <w:numId w:val="9"/>
              </w:numPr>
              <w:spacing w:after="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Члан</w:t>
            </w:r>
            <w:r w:rsidR="0024016C" w:rsidRPr="00FF386D">
              <w:rPr>
                <w:rFonts w:asciiTheme="majorHAnsi" w:eastAsia="Times New Roman" w:hAnsiTheme="majorHAnsi" w:cstheme="majorHAnsi"/>
                <w:sz w:val="20"/>
                <w:szCs w:val="20"/>
                <w:lang w:eastAsia="el-GR"/>
              </w:rPr>
              <w:t>а</w:t>
            </w:r>
            <w:r w:rsidRPr="00FF386D">
              <w:rPr>
                <w:rFonts w:asciiTheme="majorHAnsi" w:eastAsia="Times New Roman" w:hAnsiTheme="majorHAnsi" w:cstheme="majorHAnsi"/>
                <w:sz w:val="20"/>
                <w:szCs w:val="20"/>
                <w:lang w:eastAsia="el-GR"/>
              </w:rPr>
              <w:t xml:space="preserve"> 3</w:t>
            </w:r>
          </w:p>
          <w:p w14:paraId="033313B3" w14:textId="686ED69F" w:rsidR="00854ADA" w:rsidRPr="00FF386D" w:rsidRDefault="00854ADA" w:rsidP="00854ADA">
            <w:pPr>
              <w:numPr>
                <w:ilvl w:val="0"/>
                <w:numId w:val="9"/>
              </w:numPr>
              <w:spacing w:after="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Члан</w:t>
            </w:r>
            <w:r w:rsidR="0024016C" w:rsidRPr="00FF386D">
              <w:rPr>
                <w:rFonts w:asciiTheme="majorHAnsi" w:eastAsia="Times New Roman" w:hAnsiTheme="majorHAnsi" w:cstheme="majorHAnsi"/>
                <w:sz w:val="20"/>
                <w:szCs w:val="20"/>
                <w:lang w:eastAsia="el-GR"/>
              </w:rPr>
              <w:t>а</w:t>
            </w:r>
            <w:r w:rsidRPr="00FF386D">
              <w:rPr>
                <w:rFonts w:asciiTheme="majorHAnsi" w:eastAsia="Times New Roman" w:hAnsiTheme="majorHAnsi" w:cstheme="majorHAnsi"/>
                <w:sz w:val="20"/>
                <w:szCs w:val="20"/>
                <w:lang w:eastAsia="el-GR"/>
              </w:rPr>
              <w:t xml:space="preserve"> 4</w:t>
            </w:r>
          </w:p>
          <w:p w14:paraId="598778F7" w14:textId="7F2C811A" w:rsidR="00854ADA" w:rsidRPr="00FF386D" w:rsidRDefault="00854ADA" w:rsidP="00854ADA">
            <w:pPr>
              <w:numPr>
                <w:ilvl w:val="0"/>
                <w:numId w:val="9"/>
              </w:numPr>
              <w:spacing w:after="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Члан</w:t>
            </w:r>
            <w:r w:rsidR="0024016C" w:rsidRPr="00FF386D">
              <w:rPr>
                <w:rFonts w:asciiTheme="majorHAnsi" w:eastAsia="Times New Roman" w:hAnsiTheme="majorHAnsi" w:cstheme="majorHAnsi"/>
                <w:sz w:val="20"/>
                <w:szCs w:val="20"/>
                <w:lang w:eastAsia="el-GR"/>
              </w:rPr>
              <w:t>а</w:t>
            </w:r>
            <w:r w:rsidRPr="00FF386D">
              <w:rPr>
                <w:rFonts w:asciiTheme="majorHAnsi" w:eastAsia="Times New Roman" w:hAnsiTheme="majorHAnsi" w:cstheme="majorHAnsi"/>
                <w:sz w:val="20"/>
                <w:szCs w:val="20"/>
                <w:lang w:eastAsia="el-GR"/>
              </w:rPr>
              <w:t xml:space="preserve"> 5</w:t>
            </w:r>
          </w:p>
          <w:p w14:paraId="3D388BC0" w14:textId="6961BF80" w:rsidR="00854ADA" w:rsidRPr="00FF386D" w:rsidRDefault="00854ADA" w:rsidP="00854ADA">
            <w:pPr>
              <w:numPr>
                <w:ilvl w:val="0"/>
                <w:numId w:val="9"/>
              </w:numPr>
              <w:spacing w:after="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Члан</w:t>
            </w:r>
            <w:r w:rsidR="0024016C" w:rsidRPr="00FF386D">
              <w:rPr>
                <w:rFonts w:asciiTheme="majorHAnsi" w:eastAsia="Times New Roman" w:hAnsiTheme="majorHAnsi" w:cstheme="majorHAnsi"/>
                <w:sz w:val="20"/>
                <w:szCs w:val="20"/>
                <w:lang w:eastAsia="el-GR"/>
              </w:rPr>
              <w:t>а</w:t>
            </w:r>
            <w:r w:rsidRPr="00FF386D">
              <w:rPr>
                <w:rFonts w:asciiTheme="majorHAnsi" w:eastAsia="Times New Roman" w:hAnsiTheme="majorHAnsi" w:cstheme="majorHAnsi"/>
                <w:sz w:val="20"/>
                <w:szCs w:val="20"/>
                <w:lang w:eastAsia="el-GR"/>
              </w:rPr>
              <w:t xml:space="preserve"> 7</w:t>
            </w:r>
          </w:p>
        </w:tc>
      </w:tr>
      <w:tr w:rsidR="00854ADA" w:rsidRPr="00FF386D" w14:paraId="1C773C5E" w14:textId="77777777" w:rsidTr="007255E9">
        <w:trPr>
          <w:trHeight w:val="533"/>
        </w:trPr>
        <w:tc>
          <w:tcPr>
            <w:tcW w:w="3404" w:type="dxa"/>
            <w:tcBorders>
              <w:top w:val="nil"/>
              <w:left w:val="single" w:sz="8" w:space="0" w:color="auto"/>
              <w:bottom w:val="single" w:sz="8" w:space="0" w:color="auto"/>
              <w:right w:val="single" w:sz="8" w:space="0" w:color="auto"/>
            </w:tcBorders>
            <w:shd w:val="clear" w:color="000000" w:fill="244062"/>
            <w:vAlign w:val="center"/>
            <w:hideMark/>
          </w:tcPr>
          <w:p w14:paraId="2CC08E71" w14:textId="77777777" w:rsidR="00854ADA" w:rsidRPr="00FF386D" w:rsidRDefault="00854ADA" w:rsidP="00854ADA">
            <w:pPr>
              <w:spacing w:after="0" w:line="240" w:lineRule="auto"/>
              <w:jc w:val="both"/>
              <w:rPr>
                <w:rFonts w:ascii="Calibri" w:eastAsia="Times New Roman" w:hAnsi="Calibri" w:cs="Arial"/>
                <w:b/>
                <w:bCs/>
                <w:sz w:val="20"/>
                <w:szCs w:val="20"/>
                <w:lang w:eastAsia="el-GR"/>
              </w:rPr>
            </w:pPr>
            <w:r w:rsidRPr="00FF386D">
              <w:rPr>
                <w:rFonts w:asciiTheme="majorHAnsi" w:eastAsia="Times New Roman" w:hAnsiTheme="majorHAnsi" w:cstheme="majorHAnsi"/>
                <w:b/>
                <w:bCs/>
                <w:sz w:val="20"/>
                <w:szCs w:val="20"/>
                <w:lang w:eastAsia="el-GR"/>
              </w:rPr>
              <w:t>Квантификовани циљ:</w:t>
            </w:r>
          </w:p>
        </w:tc>
        <w:tc>
          <w:tcPr>
            <w:tcW w:w="6084" w:type="dxa"/>
            <w:gridSpan w:val="4"/>
            <w:tcBorders>
              <w:top w:val="single" w:sz="8" w:space="0" w:color="auto"/>
              <w:left w:val="nil"/>
              <w:bottom w:val="single" w:sz="8" w:space="0" w:color="auto"/>
              <w:right w:val="single" w:sz="8" w:space="0" w:color="000000"/>
            </w:tcBorders>
            <w:shd w:val="clear" w:color="auto" w:fill="auto"/>
            <w:vAlign w:val="center"/>
            <w:hideMark/>
          </w:tcPr>
          <w:p w14:paraId="015CCC47" w14:textId="77777777" w:rsidR="00854ADA" w:rsidRDefault="00854ADA" w:rsidP="00E0116B">
            <w:pPr>
              <w:pStyle w:val="ListParagraph"/>
              <w:numPr>
                <w:ilvl w:val="0"/>
                <w:numId w:val="315"/>
              </w:numPr>
              <w:spacing w:after="0" w:line="240" w:lineRule="auto"/>
              <w:jc w:val="both"/>
              <w:rPr>
                <w:rFonts w:asciiTheme="majorHAnsi" w:eastAsia="Times New Roman" w:hAnsiTheme="majorHAnsi" w:cstheme="majorHAnsi"/>
                <w:sz w:val="20"/>
                <w:szCs w:val="20"/>
                <w:lang w:eastAsia="el-GR"/>
              </w:rPr>
            </w:pPr>
            <w:r w:rsidRPr="000A2AFE">
              <w:rPr>
                <w:rFonts w:asciiTheme="majorHAnsi" w:eastAsia="Times New Roman" w:hAnsiTheme="majorHAnsi" w:cstheme="majorHAnsi"/>
                <w:sz w:val="20"/>
                <w:szCs w:val="20"/>
                <w:lang w:eastAsia="el-GR"/>
              </w:rPr>
              <w:t>1</w:t>
            </w:r>
            <w:r w:rsidR="0024016C" w:rsidRPr="000A2AFE">
              <w:rPr>
                <w:rFonts w:asciiTheme="majorHAnsi" w:eastAsia="Times New Roman" w:hAnsiTheme="majorHAnsi" w:cstheme="majorHAnsi"/>
                <w:sz w:val="20"/>
                <w:szCs w:val="20"/>
                <w:lang w:eastAsia="el-GR"/>
              </w:rPr>
              <w:t>.</w:t>
            </w:r>
            <w:r w:rsidR="00B070FD" w:rsidRPr="000A2AFE">
              <w:rPr>
                <w:rFonts w:asciiTheme="majorHAnsi" w:eastAsia="Times New Roman" w:hAnsiTheme="majorHAnsi" w:cstheme="majorHAnsi"/>
                <w:sz w:val="20"/>
                <w:szCs w:val="20"/>
                <w:lang w:eastAsia="el-GR"/>
              </w:rPr>
              <w:t>026</w:t>
            </w:r>
            <w:r w:rsidRPr="000A2AFE">
              <w:rPr>
                <w:rFonts w:asciiTheme="majorHAnsi" w:eastAsia="Times New Roman" w:hAnsiTheme="majorHAnsi" w:cstheme="majorHAnsi"/>
                <w:sz w:val="20"/>
                <w:szCs w:val="20"/>
                <w:lang w:eastAsia="el-GR"/>
              </w:rPr>
              <w:t xml:space="preserve"> хиљада m</w:t>
            </w:r>
            <w:r w:rsidRPr="000A2AFE">
              <w:rPr>
                <w:rFonts w:asciiTheme="majorHAnsi" w:eastAsia="Times New Roman" w:hAnsiTheme="majorHAnsi" w:cstheme="majorHAnsi"/>
                <w:sz w:val="20"/>
                <w:szCs w:val="20"/>
                <w:vertAlign w:val="superscript"/>
                <w:lang w:eastAsia="el-GR"/>
              </w:rPr>
              <w:t>2</w:t>
            </w:r>
            <w:r w:rsidRPr="000A2AFE">
              <w:rPr>
                <w:rFonts w:asciiTheme="majorHAnsi" w:eastAsia="Times New Roman" w:hAnsiTheme="majorHAnsi" w:cstheme="majorHAnsi"/>
                <w:sz w:val="20"/>
                <w:szCs w:val="20"/>
                <w:lang w:eastAsia="el-GR"/>
              </w:rPr>
              <w:t xml:space="preserve"> </w:t>
            </w:r>
            <w:r w:rsidR="00E0116B" w:rsidRPr="000A2AFE">
              <w:rPr>
                <w:rFonts w:asciiTheme="majorHAnsi" w:eastAsia="Times New Roman" w:hAnsiTheme="majorHAnsi" w:cstheme="majorHAnsi"/>
                <w:sz w:val="20"/>
                <w:szCs w:val="20"/>
                <w:lang w:eastAsia="el-GR"/>
              </w:rPr>
              <w:t xml:space="preserve">енергетски </w:t>
            </w:r>
            <w:r w:rsidR="00B070FD" w:rsidRPr="000A2AFE">
              <w:rPr>
                <w:rFonts w:asciiTheme="majorHAnsi" w:eastAsia="Times New Roman" w:hAnsiTheme="majorHAnsi" w:cstheme="majorHAnsi"/>
                <w:sz w:val="20"/>
                <w:szCs w:val="20"/>
                <w:lang w:eastAsia="el-GR"/>
              </w:rPr>
              <w:t xml:space="preserve">санираних </w:t>
            </w:r>
            <w:r w:rsidRPr="000A2AFE">
              <w:rPr>
                <w:rFonts w:asciiTheme="majorHAnsi" w:eastAsia="Times New Roman" w:hAnsiTheme="majorHAnsi" w:cstheme="majorHAnsi"/>
                <w:sz w:val="20"/>
                <w:szCs w:val="20"/>
                <w:lang w:eastAsia="el-GR"/>
              </w:rPr>
              <w:t>зград</w:t>
            </w:r>
            <w:r w:rsidR="00B070FD" w:rsidRPr="000A2AFE">
              <w:rPr>
                <w:rFonts w:asciiTheme="majorHAnsi" w:eastAsia="Times New Roman" w:hAnsiTheme="majorHAnsi" w:cstheme="majorHAnsi"/>
                <w:sz w:val="20"/>
                <w:szCs w:val="20"/>
                <w:lang w:eastAsia="el-GR"/>
              </w:rPr>
              <w:t>а</w:t>
            </w:r>
            <w:r w:rsidRPr="000A2AFE">
              <w:rPr>
                <w:rFonts w:asciiTheme="majorHAnsi" w:eastAsia="Times New Roman" w:hAnsiTheme="majorHAnsi" w:cstheme="majorHAnsi"/>
                <w:sz w:val="20"/>
                <w:szCs w:val="20"/>
                <w:lang w:eastAsia="el-GR"/>
              </w:rPr>
              <w:t xml:space="preserve"> (уштеда финалне енергије 5 ktoe</w:t>
            </w:r>
            <w:r w:rsidR="00E0116B">
              <w:t xml:space="preserve"> </w:t>
            </w:r>
            <w:r w:rsidR="00E0116B" w:rsidRPr="000A2AFE">
              <w:rPr>
                <w:rFonts w:asciiTheme="majorHAnsi" w:eastAsia="Times New Roman" w:hAnsiTheme="majorHAnsi" w:cstheme="majorHAnsi"/>
                <w:sz w:val="20"/>
                <w:szCs w:val="20"/>
                <w:lang w:eastAsia="el-GR"/>
              </w:rPr>
              <w:t>од интервенција на омотачу зграда</w:t>
            </w:r>
            <w:r w:rsidRPr="000A2AFE">
              <w:rPr>
                <w:rFonts w:asciiTheme="majorHAnsi" w:eastAsia="Times New Roman" w:hAnsiTheme="majorHAnsi" w:cstheme="majorHAnsi"/>
                <w:sz w:val="20"/>
                <w:szCs w:val="20"/>
                <w:lang w:eastAsia="el-GR"/>
              </w:rPr>
              <w:t>)</w:t>
            </w:r>
          </w:p>
          <w:p w14:paraId="72254FE7" w14:textId="3C100328" w:rsidR="00E0116B" w:rsidRPr="000A2AFE" w:rsidRDefault="00E0116B" w:rsidP="000A2AFE">
            <w:pPr>
              <w:pStyle w:val="ListParagraph"/>
              <w:numPr>
                <w:ilvl w:val="0"/>
                <w:numId w:val="315"/>
              </w:numPr>
              <w:spacing w:after="0" w:line="240" w:lineRule="auto"/>
              <w:jc w:val="both"/>
              <w:rPr>
                <w:rFonts w:asciiTheme="majorHAnsi" w:eastAsia="Times New Roman" w:hAnsiTheme="majorHAnsi" w:cstheme="majorHAnsi"/>
                <w:sz w:val="20"/>
                <w:szCs w:val="20"/>
                <w:lang w:eastAsia="el-GR"/>
              </w:rPr>
            </w:pPr>
            <w:r w:rsidRPr="00E0116B">
              <w:rPr>
                <w:rFonts w:asciiTheme="majorHAnsi" w:eastAsia="Times New Roman" w:hAnsiTheme="majorHAnsi" w:cstheme="majorHAnsi"/>
                <w:sz w:val="20"/>
                <w:szCs w:val="20"/>
                <w:lang w:eastAsia="el-GR"/>
              </w:rPr>
              <w:t>1,3 GW нови капацитет топлотних пумпи (уштеда финалне енергије 27 ktoe)</w:t>
            </w:r>
          </w:p>
        </w:tc>
      </w:tr>
      <w:tr w:rsidR="00854ADA" w:rsidRPr="00FF386D" w14:paraId="376914D2" w14:textId="77777777" w:rsidTr="007255E9">
        <w:trPr>
          <w:trHeight w:val="2809"/>
        </w:trPr>
        <w:tc>
          <w:tcPr>
            <w:tcW w:w="3404" w:type="dxa"/>
            <w:tcBorders>
              <w:top w:val="nil"/>
              <w:left w:val="single" w:sz="8" w:space="0" w:color="auto"/>
              <w:bottom w:val="single" w:sz="8" w:space="0" w:color="auto"/>
              <w:right w:val="single" w:sz="8" w:space="0" w:color="auto"/>
            </w:tcBorders>
            <w:shd w:val="clear" w:color="000000" w:fill="244062"/>
            <w:vAlign w:val="center"/>
            <w:hideMark/>
          </w:tcPr>
          <w:p w14:paraId="2553A7E9" w14:textId="77777777" w:rsidR="00854ADA" w:rsidRPr="00FF386D" w:rsidRDefault="00854ADA" w:rsidP="00854ADA">
            <w:pPr>
              <w:spacing w:after="0" w:line="240" w:lineRule="auto"/>
              <w:jc w:val="both"/>
              <w:rPr>
                <w:rFonts w:ascii="Calibri" w:eastAsia="Times New Roman" w:hAnsi="Calibri" w:cs="Arial"/>
                <w:b/>
                <w:bCs/>
                <w:sz w:val="20"/>
                <w:szCs w:val="20"/>
                <w:lang w:eastAsia="el-GR"/>
              </w:rPr>
            </w:pPr>
            <w:r w:rsidRPr="00FF386D">
              <w:rPr>
                <w:rFonts w:asciiTheme="majorHAnsi" w:eastAsia="Times New Roman" w:hAnsiTheme="majorHAnsi" w:cstheme="majorHAnsi"/>
                <w:b/>
                <w:bCs/>
                <w:sz w:val="20"/>
                <w:szCs w:val="20"/>
                <w:lang w:eastAsia="el-GR"/>
              </w:rPr>
              <w:lastRenderedPageBreak/>
              <w:t>Опис:</w:t>
            </w:r>
          </w:p>
        </w:tc>
        <w:tc>
          <w:tcPr>
            <w:tcW w:w="6084" w:type="dxa"/>
            <w:gridSpan w:val="4"/>
            <w:tcBorders>
              <w:top w:val="single" w:sz="8" w:space="0" w:color="auto"/>
              <w:left w:val="nil"/>
              <w:bottom w:val="single" w:sz="8" w:space="0" w:color="auto"/>
              <w:right w:val="single" w:sz="8" w:space="0" w:color="000000"/>
            </w:tcBorders>
            <w:shd w:val="clear" w:color="auto" w:fill="auto"/>
            <w:hideMark/>
          </w:tcPr>
          <w:p w14:paraId="155D4D3F" w14:textId="6D6BAFFA" w:rsidR="00854ADA" w:rsidRPr="00FF386D" w:rsidRDefault="007255E9" w:rsidP="000A2AFE">
            <w:pPr>
              <w:spacing w:after="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М</w:t>
            </w:r>
            <w:r w:rsidR="00854ADA" w:rsidRPr="00FF386D">
              <w:rPr>
                <w:rFonts w:asciiTheme="majorHAnsi" w:eastAsia="Times New Roman" w:hAnsiTheme="majorHAnsi" w:cstheme="majorHAnsi"/>
                <w:sz w:val="20"/>
                <w:szCs w:val="20"/>
                <w:lang w:eastAsia="el-GR"/>
              </w:rPr>
              <w:t xml:space="preserve">П_EE2 ће подстицати енергетску </w:t>
            </w:r>
            <w:r w:rsidR="00081E96" w:rsidRPr="00FF386D">
              <w:rPr>
                <w:rFonts w:asciiTheme="majorHAnsi" w:eastAsia="Times New Roman" w:hAnsiTheme="majorHAnsi" w:cstheme="majorHAnsi"/>
                <w:sz w:val="20"/>
                <w:szCs w:val="20"/>
                <w:lang w:eastAsia="el-GR"/>
              </w:rPr>
              <w:t>санацију</w:t>
            </w:r>
            <w:r w:rsidR="00854ADA" w:rsidRPr="00FF386D">
              <w:rPr>
                <w:rFonts w:asciiTheme="majorHAnsi" w:eastAsia="Times New Roman" w:hAnsiTheme="majorHAnsi" w:cstheme="majorHAnsi"/>
                <w:sz w:val="20"/>
                <w:szCs w:val="20"/>
                <w:lang w:eastAsia="el-GR"/>
              </w:rPr>
              <w:t xml:space="preserve"> јавних зграда</w:t>
            </w:r>
            <w:r w:rsidR="00081E96" w:rsidRPr="00FF386D">
              <w:rPr>
                <w:rFonts w:asciiTheme="majorHAnsi" w:eastAsia="Times New Roman" w:hAnsiTheme="majorHAnsi" w:cstheme="majorHAnsi"/>
                <w:sz w:val="20"/>
                <w:szCs w:val="20"/>
                <w:lang w:eastAsia="el-GR"/>
              </w:rPr>
              <w:t xml:space="preserve">, </w:t>
            </w:r>
            <w:r w:rsidR="006E0ED7" w:rsidRPr="00FF386D">
              <w:rPr>
                <w:rFonts w:asciiTheme="majorHAnsi" w:eastAsia="Times New Roman" w:hAnsiTheme="majorHAnsi" w:cstheme="majorHAnsi"/>
                <w:sz w:val="20"/>
                <w:szCs w:val="20"/>
                <w:lang w:eastAsia="el-GR"/>
              </w:rPr>
              <w:t>уз наглашавање водеће улоге</w:t>
            </w:r>
            <w:r w:rsidR="00081E96" w:rsidRPr="00FF386D">
              <w:rPr>
                <w:rFonts w:asciiTheme="majorHAnsi" w:eastAsia="Times New Roman" w:hAnsiTheme="majorHAnsi" w:cstheme="majorHAnsi"/>
                <w:sz w:val="20"/>
                <w:szCs w:val="20"/>
                <w:lang w:eastAsia="el-GR"/>
              </w:rPr>
              <w:t xml:space="preserve"> јавног сектора</w:t>
            </w:r>
            <w:r w:rsidR="00854ADA" w:rsidRPr="00FF386D">
              <w:rPr>
                <w:rFonts w:asciiTheme="majorHAnsi" w:eastAsia="Times New Roman" w:hAnsiTheme="majorHAnsi" w:cstheme="majorHAnsi"/>
                <w:sz w:val="20"/>
                <w:szCs w:val="20"/>
                <w:lang w:eastAsia="el-GR"/>
              </w:rPr>
              <w:t>.</w:t>
            </w:r>
            <w:r w:rsidR="00E00800" w:rsidRPr="00FF386D">
              <w:rPr>
                <w:rFonts w:asciiTheme="majorHAnsi" w:eastAsia="Times New Roman" w:hAnsiTheme="majorHAnsi" w:cstheme="majorHAnsi"/>
                <w:sz w:val="20"/>
                <w:szCs w:val="20"/>
                <w:lang w:eastAsia="el-GR"/>
              </w:rPr>
              <w:t xml:space="preserve"> </w:t>
            </w:r>
            <w:r w:rsidR="00E0116B" w:rsidRPr="00E0116B">
              <w:rPr>
                <w:rFonts w:asciiTheme="majorHAnsi" w:eastAsia="Times New Roman" w:hAnsiTheme="majorHAnsi" w:cstheme="majorHAnsi"/>
                <w:sz w:val="20"/>
                <w:szCs w:val="20"/>
                <w:lang w:eastAsia="el-GR"/>
              </w:rPr>
              <w:t>Биће подржане н</w:t>
            </w:r>
            <w:r w:rsidR="00081E96" w:rsidRPr="00FF386D">
              <w:rPr>
                <w:rFonts w:asciiTheme="majorHAnsi" w:eastAsia="Times New Roman" w:hAnsiTheme="majorHAnsi" w:cstheme="majorHAnsi"/>
                <w:sz w:val="20"/>
                <w:szCs w:val="20"/>
                <w:lang w:eastAsia="el-GR"/>
              </w:rPr>
              <w:t>ајекономичније</w:t>
            </w:r>
            <w:r w:rsidR="00854ADA" w:rsidRPr="00FF386D">
              <w:rPr>
                <w:rFonts w:asciiTheme="majorHAnsi" w:eastAsia="Times New Roman" w:hAnsiTheme="majorHAnsi" w:cstheme="majorHAnsi"/>
                <w:sz w:val="20"/>
                <w:szCs w:val="20"/>
                <w:lang w:eastAsia="el-GR"/>
              </w:rPr>
              <w:t xml:space="preserve"> интервенције </w:t>
            </w:r>
            <w:r w:rsidR="00E0116B" w:rsidRPr="00E0116B">
              <w:rPr>
                <w:rFonts w:asciiTheme="majorHAnsi" w:eastAsia="Times New Roman" w:hAnsiTheme="majorHAnsi" w:cstheme="majorHAnsi"/>
                <w:sz w:val="20"/>
                <w:szCs w:val="20"/>
                <w:lang w:eastAsia="el-GR"/>
              </w:rPr>
              <w:t>за санацију омотача зграде и техничких система који остварују најоптималнији однос трошкова и користи</w:t>
            </w:r>
            <w:r w:rsidR="00E0116B" w:rsidRPr="00E0116B" w:rsidDel="00E0116B">
              <w:rPr>
                <w:rFonts w:asciiTheme="majorHAnsi" w:eastAsia="Times New Roman" w:hAnsiTheme="majorHAnsi" w:cstheme="majorHAnsi"/>
                <w:sz w:val="20"/>
                <w:szCs w:val="20"/>
                <w:lang w:eastAsia="el-GR"/>
              </w:rPr>
              <w:t xml:space="preserve"> </w:t>
            </w:r>
            <w:r w:rsidR="00854ADA" w:rsidRPr="00FF386D">
              <w:rPr>
                <w:rFonts w:asciiTheme="majorHAnsi" w:eastAsia="Times New Roman" w:hAnsiTheme="majorHAnsi" w:cstheme="majorHAnsi"/>
                <w:sz w:val="20"/>
                <w:szCs w:val="20"/>
                <w:lang w:eastAsia="el-GR"/>
              </w:rPr>
              <w:t xml:space="preserve">као </w:t>
            </w:r>
            <w:r w:rsidR="00E0116B" w:rsidRPr="00FF386D">
              <w:rPr>
                <w:rFonts w:asciiTheme="majorHAnsi" w:eastAsia="Times New Roman" w:hAnsiTheme="majorHAnsi" w:cstheme="majorHAnsi"/>
                <w:sz w:val="20"/>
                <w:szCs w:val="20"/>
                <w:lang w:eastAsia="el-GR"/>
              </w:rPr>
              <w:t>приоритетн</w:t>
            </w:r>
            <w:r w:rsidR="00E0116B">
              <w:rPr>
                <w:rFonts w:asciiTheme="majorHAnsi" w:eastAsia="Times New Roman" w:hAnsiTheme="majorHAnsi" w:cstheme="majorHAnsi"/>
                <w:sz w:val="20"/>
                <w:szCs w:val="20"/>
                <w:lang w:eastAsia="el-GR"/>
              </w:rPr>
              <w:t>их</w:t>
            </w:r>
            <w:r w:rsidR="00E0116B" w:rsidRPr="00FF386D">
              <w:rPr>
                <w:rFonts w:asciiTheme="majorHAnsi" w:eastAsia="Times New Roman" w:hAnsiTheme="majorHAnsi" w:cstheme="majorHAnsi"/>
                <w:sz w:val="20"/>
                <w:szCs w:val="20"/>
                <w:lang w:eastAsia="el-GR"/>
              </w:rPr>
              <w:t xml:space="preserve"> </w:t>
            </w:r>
            <w:r w:rsidR="00854ADA" w:rsidRPr="00FF386D">
              <w:rPr>
                <w:rFonts w:asciiTheme="majorHAnsi" w:eastAsia="Times New Roman" w:hAnsiTheme="majorHAnsi" w:cstheme="majorHAnsi"/>
                <w:sz w:val="20"/>
                <w:szCs w:val="20"/>
                <w:lang w:eastAsia="el-GR"/>
              </w:rPr>
              <w:t>у оквиру система енерг</w:t>
            </w:r>
            <w:r w:rsidR="00AF2D42" w:rsidRPr="00FF386D">
              <w:rPr>
                <w:rFonts w:asciiTheme="majorHAnsi" w:eastAsia="Times New Roman" w:hAnsiTheme="majorHAnsi" w:cstheme="majorHAnsi"/>
                <w:sz w:val="20"/>
                <w:szCs w:val="20"/>
                <w:lang w:eastAsia="el-GR"/>
              </w:rPr>
              <w:t>етског менаџмента</w:t>
            </w:r>
            <w:r w:rsidR="00854ADA" w:rsidRPr="00FF386D">
              <w:rPr>
                <w:rFonts w:asciiTheme="majorHAnsi" w:eastAsia="Times New Roman" w:hAnsiTheme="majorHAnsi" w:cstheme="majorHAnsi"/>
                <w:sz w:val="20"/>
                <w:szCs w:val="20"/>
                <w:lang w:eastAsia="el-GR"/>
              </w:rPr>
              <w:t xml:space="preserve">, који ће бити формиран од стране </w:t>
            </w:r>
            <w:r w:rsidR="00081E96" w:rsidRPr="00FF386D">
              <w:rPr>
                <w:rFonts w:asciiTheme="majorHAnsi" w:eastAsia="Times New Roman" w:hAnsiTheme="majorHAnsi" w:cstheme="majorHAnsi"/>
                <w:sz w:val="20"/>
                <w:szCs w:val="20"/>
                <w:lang w:eastAsia="el-GR"/>
              </w:rPr>
              <w:t>надлежних</w:t>
            </w:r>
            <w:r w:rsidR="00854ADA" w:rsidRPr="00FF386D">
              <w:rPr>
                <w:rFonts w:asciiTheme="majorHAnsi" w:eastAsia="Times New Roman" w:hAnsiTheme="majorHAnsi" w:cstheme="majorHAnsi"/>
                <w:sz w:val="20"/>
                <w:szCs w:val="20"/>
                <w:lang w:eastAsia="el-GR"/>
              </w:rPr>
              <w:t xml:space="preserve"> ор</w:t>
            </w:r>
            <w:r w:rsidR="00E00800" w:rsidRPr="00FF386D">
              <w:rPr>
                <w:rFonts w:asciiTheme="majorHAnsi" w:eastAsia="Times New Roman" w:hAnsiTheme="majorHAnsi" w:cstheme="majorHAnsi"/>
                <w:sz w:val="20"/>
                <w:szCs w:val="20"/>
                <w:lang w:eastAsia="el-GR"/>
              </w:rPr>
              <w:t>г</w:t>
            </w:r>
            <w:r w:rsidR="00854ADA" w:rsidRPr="00FF386D">
              <w:rPr>
                <w:rFonts w:asciiTheme="majorHAnsi" w:eastAsia="Times New Roman" w:hAnsiTheme="majorHAnsi" w:cstheme="majorHAnsi"/>
                <w:sz w:val="20"/>
                <w:szCs w:val="20"/>
                <w:lang w:eastAsia="el-GR"/>
              </w:rPr>
              <w:t>ана</w:t>
            </w:r>
            <w:r w:rsidR="00E00800" w:rsidRPr="00FF386D">
              <w:rPr>
                <w:rFonts w:asciiTheme="majorHAnsi" w:eastAsia="Times New Roman" w:hAnsiTheme="majorHAnsi" w:cstheme="majorHAnsi"/>
                <w:sz w:val="20"/>
                <w:szCs w:val="20"/>
                <w:lang w:eastAsia="el-GR"/>
              </w:rPr>
              <w:t xml:space="preserve"> у складу са Законом </w:t>
            </w:r>
            <w:r w:rsidR="00081E96" w:rsidRPr="00FF386D">
              <w:rPr>
                <w:rFonts w:asciiTheme="majorHAnsi" w:eastAsia="Times New Roman" w:hAnsiTheme="majorHAnsi" w:cstheme="majorHAnsi"/>
                <w:sz w:val="20"/>
                <w:szCs w:val="20"/>
                <w:lang w:eastAsia="el-GR"/>
              </w:rPr>
              <w:t xml:space="preserve">о </w:t>
            </w:r>
            <w:r w:rsidR="00E00800" w:rsidRPr="00FF386D">
              <w:rPr>
                <w:rFonts w:asciiTheme="majorHAnsi" w:eastAsia="Times New Roman" w:hAnsiTheme="majorHAnsi" w:cstheme="majorHAnsi"/>
                <w:sz w:val="20"/>
                <w:szCs w:val="20"/>
                <w:lang w:eastAsia="el-GR"/>
              </w:rPr>
              <w:t>енергетској ефикасности и рационалној употреби енергије</w:t>
            </w:r>
            <w:r w:rsidR="00854ADA" w:rsidRPr="00FF386D">
              <w:rPr>
                <w:rFonts w:asciiTheme="majorHAnsi" w:eastAsia="Times New Roman" w:hAnsiTheme="majorHAnsi" w:cstheme="majorHAnsi"/>
                <w:sz w:val="20"/>
                <w:szCs w:val="20"/>
                <w:lang w:eastAsia="el-GR"/>
              </w:rPr>
              <w:t xml:space="preserve">. </w:t>
            </w:r>
            <w:r w:rsidR="00081E96" w:rsidRPr="00FF386D">
              <w:rPr>
                <w:rFonts w:asciiTheme="majorHAnsi" w:eastAsia="Times New Roman" w:hAnsiTheme="majorHAnsi" w:cstheme="majorHAnsi"/>
                <w:sz w:val="20"/>
                <w:szCs w:val="20"/>
                <w:lang w:eastAsia="el-GR"/>
              </w:rPr>
              <w:t>Остварење</w:t>
            </w:r>
            <w:r w:rsidR="00854ADA" w:rsidRPr="00FF386D">
              <w:rPr>
                <w:rFonts w:asciiTheme="majorHAnsi" w:eastAsia="Times New Roman" w:hAnsiTheme="majorHAnsi" w:cstheme="majorHAnsi"/>
                <w:sz w:val="20"/>
                <w:szCs w:val="20"/>
                <w:lang w:eastAsia="el-GR"/>
              </w:rPr>
              <w:t xml:space="preserve"> циљ</w:t>
            </w:r>
            <w:r w:rsidR="00081E96" w:rsidRPr="00FF386D">
              <w:rPr>
                <w:rFonts w:asciiTheme="majorHAnsi" w:eastAsia="Times New Roman" w:hAnsiTheme="majorHAnsi" w:cstheme="majorHAnsi"/>
                <w:sz w:val="20"/>
                <w:szCs w:val="20"/>
                <w:lang w:eastAsia="el-GR"/>
              </w:rPr>
              <w:t>а</w:t>
            </w:r>
            <w:r w:rsidR="00854ADA" w:rsidRPr="00FF386D">
              <w:rPr>
                <w:rFonts w:asciiTheme="majorHAnsi" w:eastAsia="Times New Roman" w:hAnsiTheme="majorHAnsi" w:cstheme="majorHAnsi"/>
                <w:sz w:val="20"/>
                <w:szCs w:val="20"/>
                <w:lang w:eastAsia="el-GR"/>
              </w:rPr>
              <w:t xml:space="preserve"> за енергетску </w:t>
            </w:r>
            <w:r w:rsidR="00081E96" w:rsidRPr="00FF386D">
              <w:rPr>
                <w:rFonts w:asciiTheme="majorHAnsi" w:eastAsia="Times New Roman" w:hAnsiTheme="majorHAnsi" w:cstheme="majorHAnsi"/>
                <w:sz w:val="20"/>
                <w:szCs w:val="20"/>
                <w:lang w:eastAsia="el-GR"/>
              </w:rPr>
              <w:t>санацију</w:t>
            </w:r>
            <w:r w:rsidR="00854ADA" w:rsidRPr="00FF386D">
              <w:rPr>
                <w:rFonts w:asciiTheme="majorHAnsi" w:eastAsia="Times New Roman" w:hAnsiTheme="majorHAnsi" w:cstheme="majorHAnsi"/>
                <w:sz w:val="20"/>
                <w:szCs w:val="20"/>
                <w:lang w:eastAsia="el-GR"/>
              </w:rPr>
              <w:t xml:space="preserve"> зграда </w:t>
            </w:r>
            <w:r w:rsidR="00081E96" w:rsidRPr="00FF386D">
              <w:rPr>
                <w:rFonts w:asciiTheme="majorHAnsi" w:eastAsia="Times New Roman" w:hAnsiTheme="majorHAnsi" w:cstheme="majorHAnsi"/>
                <w:sz w:val="20"/>
                <w:szCs w:val="20"/>
                <w:lang w:eastAsia="el-GR"/>
              </w:rPr>
              <w:t xml:space="preserve">у јавној својини </w:t>
            </w:r>
            <w:r w:rsidR="00AF2D42" w:rsidRPr="00FF386D">
              <w:rPr>
                <w:rFonts w:asciiTheme="majorHAnsi" w:eastAsia="Times New Roman" w:hAnsiTheme="majorHAnsi" w:cstheme="majorHAnsi"/>
                <w:sz w:val="20"/>
                <w:szCs w:val="20"/>
                <w:lang w:eastAsia="el-GR"/>
              </w:rPr>
              <w:t>које користе органи државне управе</w:t>
            </w:r>
            <w:r w:rsidR="00081E96" w:rsidRPr="00FF386D">
              <w:rPr>
                <w:rFonts w:asciiTheme="majorHAnsi" w:eastAsia="Times New Roman" w:hAnsiTheme="majorHAnsi" w:cstheme="majorHAnsi"/>
                <w:sz w:val="20"/>
                <w:szCs w:val="20"/>
                <w:lang w:eastAsia="el-GR"/>
              </w:rPr>
              <w:t xml:space="preserve"> (зграде централне власти – ЗЦВ) </w:t>
            </w:r>
            <w:r w:rsidR="00E00800" w:rsidRPr="00FF386D">
              <w:rPr>
                <w:rFonts w:asciiTheme="majorHAnsi" w:eastAsia="Times New Roman" w:hAnsiTheme="majorHAnsi" w:cstheme="majorHAnsi"/>
                <w:sz w:val="20"/>
                <w:szCs w:val="20"/>
                <w:lang w:eastAsia="el-GR"/>
              </w:rPr>
              <w:t>од 3% годишње</w:t>
            </w:r>
            <w:r w:rsidR="00854ADA" w:rsidRPr="00FF386D">
              <w:rPr>
                <w:rFonts w:asciiTheme="majorHAnsi" w:eastAsia="Times New Roman" w:hAnsiTheme="majorHAnsi" w:cstheme="majorHAnsi"/>
                <w:sz w:val="20"/>
                <w:szCs w:val="20"/>
                <w:lang w:eastAsia="el-GR"/>
              </w:rPr>
              <w:t xml:space="preserve"> </w:t>
            </w:r>
            <w:r w:rsidR="00081E96" w:rsidRPr="00FF386D">
              <w:rPr>
                <w:rFonts w:asciiTheme="majorHAnsi" w:eastAsia="Times New Roman" w:hAnsiTheme="majorHAnsi" w:cstheme="majorHAnsi"/>
                <w:sz w:val="20"/>
                <w:szCs w:val="20"/>
                <w:lang w:eastAsia="el-GR"/>
              </w:rPr>
              <w:t>биће</w:t>
            </w:r>
            <w:r w:rsidR="00854ADA" w:rsidRPr="00FF386D">
              <w:rPr>
                <w:rFonts w:asciiTheme="majorHAnsi" w:eastAsia="Times New Roman" w:hAnsiTheme="majorHAnsi" w:cstheme="majorHAnsi"/>
                <w:sz w:val="20"/>
                <w:szCs w:val="20"/>
                <w:lang w:eastAsia="el-GR"/>
              </w:rPr>
              <w:t xml:space="preserve"> постигнут</w:t>
            </w:r>
            <w:r w:rsidR="00081E96" w:rsidRPr="00FF386D">
              <w:rPr>
                <w:rFonts w:asciiTheme="majorHAnsi" w:eastAsia="Times New Roman" w:hAnsiTheme="majorHAnsi" w:cstheme="majorHAnsi"/>
                <w:sz w:val="20"/>
                <w:szCs w:val="20"/>
                <w:lang w:eastAsia="el-GR"/>
              </w:rPr>
              <w:t xml:space="preserve">о најекономичнијим приступом, </w:t>
            </w:r>
            <w:r w:rsidR="00E97111" w:rsidRPr="00FF386D">
              <w:rPr>
                <w:rFonts w:asciiTheme="majorHAnsi" w:eastAsia="Times New Roman" w:hAnsiTheme="majorHAnsi" w:cstheme="majorHAnsi"/>
                <w:sz w:val="20"/>
                <w:szCs w:val="20"/>
                <w:lang w:eastAsia="el-GR"/>
              </w:rPr>
              <w:t>а биће разматрани</w:t>
            </w:r>
            <w:r w:rsidR="00854ADA" w:rsidRPr="00FF386D">
              <w:rPr>
                <w:rFonts w:asciiTheme="majorHAnsi" w:eastAsia="Times New Roman" w:hAnsiTheme="majorHAnsi" w:cstheme="majorHAnsi"/>
                <w:sz w:val="20"/>
                <w:szCs w:val="20"/>
                <w:lang w:eastAsia="el-GR"/>
              </w:rPr>
              <w:t xml:space="preserve"> потенцијално амбициознији циљеви </w:t>
            </w:r>
            <w:r w:rsidR="00E00800" w:rsidRPr="00FF386D">
              <w:rPr>
                <w:rFonts w:asciiTheme="majorHAnsi" w:eastAsia="Times New Roman" w:hAnsiTheme="majorHAnsi" w:cstheme="majorHAnsi"/>
                <w:sz w:val="20"/>
                <w:szCs w:val="20"/>
                <w:lang w:eastAsia="el-GR"/>
              </w:rPr>
              <w:t xml:space="preserve">који се односе на </w:t>
            </w:r>
            <w:r w:rsidR="00E97111" w:rsidRPr="00FF386D">
              <w:rPr>
                <w:rFonts w:asciiTheme="majorHAnsi" w:eastAsia="Times New Roman" w:hAnsiTheme="majorHAnsi" w:cstheme="majorHAnsi"/>
                <w:sz w:val="20"/>
                <w:szCs w:val="20"/>
                <w:lang w:eastAsia="el-GR"/>
              </w:rPr>
              <w:t xml:space="preserve">санацију </w:t>
            </w:r>
            <w:r w:rsidR="00E00800" w:rsidRPr="00FF386D">
              <w:rPr>
                <w:rFonts w:asciiTheme="majorHAnsi" w:eastAsia="Times New Roman" w:hAnsiTheme="majorHAnsi" w:cstheme="majorHAnsi"/>
                <w:sz w:val="20"/>
                <w:szCs w:val="20"/>
                <w:lang w:eastAsia="el-GR"/>
              </w:rPr>
              <w:t>одређеног процента</w:t>
            </w:r>
            <w:r w:rsidR="00854ADA" w:rsidRPr="00FF386D">
              <w:rPr>
                <w:rFonts w:asciiTheme="majorHAnsi" w:eastAsia="Times New Roman" w:hAnsiTheme="majorHAnsi" w:cstheme="majorHAnsi"/>
                <w:sz w:val="20"/>
                <w:szCs w:val="20"/>
                <w:lang w:eastAsia="el-GR"/>
              </w:rPr>
              <w:t xml:space="preserve"> загреваних и хлађених зграда </w:t>
            </w:r>
            <w:r w:rsidR="00E97111" w:rsidRPr="00FF386D">
              <w:rPr>
                <w:rFonts w:asciiTheme="majorHAnsi" w:eastAsia="Times New Roman" w:hAnsiTheme="majorHAnsi" w:cstheme="majorHAnsi"/>
                <w:sz w:val="20"/>
                <w:szCs w:val="20"/>
                <w:lang w:eastAsia="el-GR"/>
              </w:rPr>
              <w:t>у јавној својини</w:t>
            </w:r>
            <w:r w:rsidR="00AF2D42" w:rsidRPr="00FF386D">
              <w:rPr>
                <w:rFonts w:asciiTheme="majorHAnsi" w:eastAsia="Times New Roman" w:hAnsiTheme="majorHAnsi" w:cstheme="majorHAnsi"/>
                <w:sz w:val="20"/>
                <w:szCs w:val="20"/>
                <w:lang w:eastAsia="el-GR"/>
              </w:rPr>
              <w:t xml:space="preserve"> које користи органи државне управе.</w:t>
            </w:r>
            <w:r w:rsidR="00E0116B">
              <w:rPr>
                <w:rFonts w:asciiTheme="majorHAnsi" w:eastAsia="Times New Roman" w:hAnsiTheme="majorHAnsi" w:cstheme="majorHAnsi"/>
                <w:sz w:val="20"/>
                <w:szCs w:val="20"/>
                <w:lang w:eastAsia="el-GR"/>
              </w:rPr>
              <w:t xml:space="preserve"> </w:t>
            </w:r>
            <w:r w:rsidR="00E0116B" w:rsidRPr="00E0116B">
              <w:rPr>
                <w:rFonts w:asciiTheme="majorHAnsi" w:eastAsia="Times New Roman" w:hAnsiTheme="majorHAnsi" w:cstheme="majorHAnsi"/>
                <w:sz w:val="20"/>
                <w:szCs w:val="20"/>
                <w:lang w:eastAsia="el-GR"/>
              </w:rPr>
              <w:t>Посебан фокус ће бити на енергетској санацији зграда у областима Праведне транзиције.</w:t>
            </w:r>
          </w:p>
        </w:tc>
      </w:tr>
      <w:tr w:rsidR="00854ADA" w:rsidRPr="00FF386D" w14:paraId="21D6BF4E" w14:textId="77777777" w:rsidTr="0057310C">
        <w:trPr>
          <w:trHeight w:val="315"/>
        </w:trPr>
        <w:tc>
          <w:tcPr>
            <w:tcW w:w="3404" w:type="dxa"/>
            <w:tcBorders>
              <w:top w:val="nil"/>
              <w:left w:val="single" w:sz="8" w:space="0" w:color="auto"/>
              <w:bottom w:val="single" w:sz="8" w:space="0" w:color="auto"/>
              <w:right w:val="single" w:sz="8" w:space="0" w:color="auto"/>
            </w:tcBorders>
            <w:shd w:val="clear" w:color="000000" w:fill="244062"/>
            <w:vAlign w:val="center"/>
            <w:hideMark/>
          </w:tcPr>
          <w:p w14:paraId="55509933" w14:textId="574B0800" w:rsidR="00854ADA" w:rsidRPr="00FF386D" w:rsidRDefault="00836176" w:rsidP="00854ADA">
            <w:pPr>
              <w:spacing w:after="0" w:line="240" w:lineRule="auto"/>
              <w:jc w:val="both"/>
              <w:rPr>
                <w:rFonts w:ascii="Calibri" w:eastAsia="Times New Roman" w:hAnsi="Calibri" w:cs="Arial"/>
                <w:b/>
                <w:bCs/>
                <w:sz w:val="20"/>
                <w:szCs w:val="20"/>
                <w:lang w:eastAsia="el-GR"/>
              </w:rPr>
            </w:pPr>
            <w:r w:rsidRPr="00836176">
              <w:rPr>
                <w:rFonts w:asciiTheme="majorHAnsi" w:eastAsia="Times New Roman" w:hAnsiTheme="majorHAnsi" w:cstheme="majorHAnsi"/>
                <w:b/>
                <w:bCs/>
                <w:sz w:val="20"/>
                <w:szCs w:val="20"/>
                <w:lang w:eastAsia="el-GR"/>
              </w:rPr>
              <w:t>Временски оквир имплементације</w:t>
            </w:r>
          </w:p>
        </w:tc>
        <w:tc>
          <w:tcPr>
            <w:tcW w:w="6084" w:type="dxa"/>
            <w:gridSpan w:val="4"/>
            <w:tcBorders>
              <w:top w:val="single" w:sz="8" w:space="0" w:color="auto"/>
              <w:left w:val="nil"/>
              <w:bottom w:val="single" w:sz="8" w:space="0" w:color="auto"/>
              <w:right w:val="single" w:sz="8" w:space="0" w:color="000000"/>
            </w:tcBorders>
            <w:shd w:val="clear" w:color="auto" w:fill="auto"/>
            <w:vAlign w:val="center"/>
            <w:hideMark/>
          </w:tcPr>
          <w:p w14:paraId="10121C5C" w14:textId="1567F015" w:rsidR="00854ADA" w:rsidRPr="00FF386D" w:rsidRDefault="00854ADA" w:rsidP="00854ADA">
            <w:pPr>
              <w:spacing w:after="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202</w:t>
            </w:r>
            <w:r w:rsidR="00BE3E47" w:rsidRPr="00FF386D">
              <w:rPr>
                <w:rFonts w:asciiTheme="majorHAnsi" w:eastAsia="Times New Roman" w:hAnsiTheme="majorHAnsi" w:cstheme="majorHAnsi"/>
                <w:sz w:val="20"/>
                <w:szCs w:val="20"/>
                <w:lang w:eastAsia="el-GR"/>
              </w:rPr>
              <w:t>5</w:t>
            </w:r>
            <w:r w:rsidRPr="00FF386D">
              <w:rPr>
                <w:rFonts w:asciiTheme="majorHAnsi" w:eastAsia="Times New Roman" w:hAnsiTheme="majorHAnsi" w:cstheme="majorHAnsi"/>
                <w:sz w:val="20"/>
                <w:szCs w:val="20"/>
                <w:lang w:eastAsia="el-GR"/>
              </w:rPr>
              <w:t>-2030</w:t>
            </w:r>
          </w:p>
        </w:tc>
      </w:tr>
      <w:tr w:rsidR="00854ADA" w:rsidRPr="00FF386D" w14:paraId="0B05E4B9" w14:textId="77777777" w:rsidTr="0057310C">
        <w:trPr>
          <w:trHeight w:val="315"/>
        </w:trPr>
        <w:tc>
          <w:tcPr>
            <w:tcW w:w="3404" w:type="dxa"/>
            <w:tcBorders>
              <w:top w:val="nil"/>
              <w:left w:val="single" w:sz="8" w:space="0" w:color="auto"/>
              <w:bottom w:val="single" w:sz="8" w:space="0" w:color="auto"/>
              <w:right w:val="single" w:sz="8" w:space="0" w:color="auto"/>
            </w:tcBorders>
            <w:shd w:val="clear" w:color="000000" w:fill="244062"/>
            <w:vAlign w:val="center"/>
            <w:hideMark/>
          </w:tcPr>
          <w:p w14:paraId="4675CA8F" w14:textId="77777777" w:rsidR="00854ADA" w:rsidRPr="00FF386D" w:rsidRDefault="00854ADA" w:rsidP="00854ADA">
            <w:pPr>
              <w:spacing w:after="0" w:line="240" w:lineRule="auto"/>
              <w:jc w:val="both"/>
              <w:rPr>
                <w:rFonts w:ascii="Calibri" w:eastAsia="Times New Roman" w:hAnsi="Calibri" w:cs="Arial"/>
                <w:b/>
                <w:bCs/>
                <w:sz w:val="20"/>
                <w:szCs w:val="20"/>
                <w:lang w:eastAsia="el-GR"/>
              </w:rPr>
            </w:pPr>
            <w:r w:rsidRPr="00FF386D">
              <w:rPr>
                <w:rFonts w:asciiTheme="majorHAnsi" w:eastAsia="Times New Roman" w:hAnsiTheme="majorHAnsi" w:cstheme="majorHAnsi"/>
                <w:b/>
                <w:bCs/>
                <w:sz w:val="20"/>
                <w:szCs w:val="20"/>
                <w:lang w:eastAsia="el-GR"/>
              </w:rPr>
              <w:t>Тип мере</w:t>
            </w:r>
          </w:p>
        </w:tc>
        <w:tc>
          <w:tcPr>
            <w:tcW w:w="6084" w:type="dxa"/>
            <w:gridSpan w:val="4"/>
            <w:tcBorders>
              <w:top w:val="single" w:sz="8" w:space="0" w:color="auto"/>
              <w:left w:val="nil"/>
              <w:bottom w:val="single" w:sz="8" w:space="0" w:color="auto"/>
              <w:right w:val="single" w:sz="8" w:space="0" w:color="000000"/>
            </w:tcBorders>
            <w:shd w:val="clear" w:color="auto" w:fill="auto"/>
            <w:vAlign w:val="center"/>
            <w:hideMark/>
          </w:tcPr>
          <w:p w14:paraId="2FE8A4C5" w14:textId="77777777" w:rsidR="00854ADA" w:rsidRPr="00FF386D" w:rsidRDefault="00854ADA" w:rsidP="00854ADA">
            <w:pPr>
              <w:spacing w:after="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Инвестиција</w:t>
            </w:r>
          </w:p>
        </w:tc>
      </w:tr>
      <w:tr w:rsidR="00854ADA" w:rsidRPr="00FF386D" w14:paraId="2BBED4F7" w14:textId="77777777" w:rsidTr="0057310C">
        <w:trPr>
          <w:trHeight w:val="315"/>
        </w:trPr>
        <w:tc>
          <w:tcPr>
            <w:tcW w:w="3404" w:type="dxa"/>
            <w:tcBorders>
              <w:top w:val="nil"/>
              <w:left w:val="single" w:sz="8" w:space="0" w:color="auto"/>
              <w:bottom w:val="single" w:sz="8" w:space="0" w:color="auto"/>
              <w:right w:val="single" w:sz="8" w:space="0" w:color="auto"/>
            </w:tcBorders>
            <w:shd w:val="clear" w:color="000000" w:fill="244062"/>
            <w:vAlign w:val="center"/>
            <w:hideMark/>
          </w:tcPr>
          <w:p w14:paraId="7C2447CC" w14:textId="77777777" w:rsidR="00854ADA" w:rsidRPr="00FF386D" w:rsidRDefault="00854ADA" w:rsidP="00854ADA">
            <w:pPr>
              <w:spacing w:after="0" w:line="240" w:lineRule="auto"/>
              <w:jc w:val="both"/>
              <w:rPr>
                <w:rFonts w:ascii="Calibri" w:eastAsia="Times New Roman" w:hAnsi="Calibri" w:cs="Arial"/>
                <w:b/>
                <w:bCs/>
                <w:sz w:val="20"/>
                <w:szCs w:val="20"/>
                <w:lang w:eastAsia="el-GR"/>
              </w:rPr>
            </w:pPr>
            <w:r w:rsidRPr="00FF386D">
              <w:rPr>
                <w:rFonts w:asciiTheme="majorHAnsi" w:eastAsia="Times New Roman" w:hAnsiTheme="majorHAnsi" w:cstheme="majorHAnsi"/>
                <w:b/>
                <w:bCs/>
                <w:sz w:val="20"/>
                <w:szCs w:val="20"/>
                <w:lang w:eastAsia="el-GR"/>
              </w:rPr>
              <w:t>Покривени/ обухваћени сектори</w:t>
            </w:r>
          </w:p>
        </w:tc>
        <w:tc>
          <w:tcPr>
            <w:tcW w:w="6084" w:type="dxa"/>
            <w:gridSpan w:val="4"/>
            <w:tcBorders>
              <w:top w:val="single" w:sz="8" w:space="0" w:color="auto"/>
              <w:left w:val="nil"/>
              <w:bottom w:val="single" w:sz="8" w:space="0" w:color="auto"/>
              <w:right w:val="single" w:sz="8" w:space="0" w:color="000000"/>
            </w:tcBorders>
            <w:shd w:val="clear" w:color="auto" w:fill="auto"/>
            <w:vAlign w:val="center"/>
            <w:hideMark/>
          </w:tcPr>
          <w:p w14:paraId="16E35EF7" w14:textId="77777777" w:rsidR="00854ADA" w:rsidRPr="00FF386D" w:rsidRDefault="00854ADA" w:rsidP="00854ADA">
            <w:pPr>
              <w:spacing w:after="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Јавни</w:t>
            </w:r>
          </w:p>
        </w:tc>
      </w:tr>
      <w:tr w:rsidR="00854ADA" w:rsidRPr="00FF386D" w14:paraId="022AAF62" w14:textId="77777777" w:rsidTr="0057310C">
        <w:trPr>
          <w:trHeight w:val="315"/>
        </w:trPr>
        <w:tc>
          <w:tcPr>
            <w:tcW w:w="3404" w:type="dxa"/>
            <w:tcBorders>
              <w:top w:val="nil"/>
              <w:left w:val="single" w:sz="8" w:space="0" w:color="auto"/>
              <w:bottom w:val="single" w:sz="8" w:space="0" w:color="auto"/>
              <w:right w:val="single" w:sz="8" w:space="0" w:color="auto"/>
            </w:tcBorders>
            <w:shd w:val="clear" w:color="000000" w:fill="244062"/>
            <w:vAlign w:val="center"/>
            <w:hideMark/>
          </w:tcPr>
          <w:p w14:paraId="52FCDA27" w14:textId="77777777" w:rsidR="00854ADA" w:rsidRPr="00FF386D" w:rsidRDefault="00854ADA" w:rsidP="00854ADA">
            <w:pPr>
              <w:spacing w:after="0" w:line="240" w:lineRule="auto"/>
              <w:jc w:val="both"/>
              <w:rPr>
                <w:rFonts w:ascii="Calibri" w:eastAsia="Times New Roman" w:hAnsi="Calibri" w:cs="Arial"/>
                <w:b/>
                <w:bCs/>
                <w:sz w:val="20"/>
                <w:szCs w:val="20"/>
                <w:lang w:eastAsia="el-GR"/>
              </w:rPr>
            </w:pPr>
            <w:r w:rsidRPr="00FF386D">
              <w:rPr>
                <w:rFonts w:asciiTheme="majorHAnsi" w:eastAsia="Times New Roman" w:hAnsiTheme="majorHAnsi" w:cstheme="majorHAnsi"/>
                <w:b/>
                <w:bCs/>
                <w:sz w:val="20"/>
                <w:szCs w:val="20"/>
                <w:lang w:eastAsia="el-GR"/>
              </w:rPr>
              <w:t>Извршни орган</w:t>
            </w:r>
          </w:p>
        </w:tc>
        <w:tc>
          <w:tcPr>
            <w:tcW w:w="6084" w:type="dxa"/>
            <w:gridSpan w:val="4"/>
            <w:tcBorders>
              <w:top w:val="single" w:sz="8" w:space="0" w:color="auto"/>
              <w:left w:val="nil"/>
              <w:bottom w:val="single" w:sz="8" w:space="0" w:color="auto"/>
              <w:right w:val="single" w:sz="8" w:space="0" w:color="000000"/>
            </w:tcBorders>
            <w:shd w:val="clear" w:color="auto" w:fill="auto"/>
            <w:vAlign w:val="center"/>
            <w:hideMark/>
          </w:tcPr>
          <w:p w14:paraId="4949DC84" w14:textId="5C5EA864" w:rsidR="00854ADA" w:rsidRDefault="00854ADA" w:rsidP="00854ADA">
            <w:pPr>
              <w:numPr>
                <w:ilvl w:val="0"/>
                <w:numId w:val="115"/>
              </w:numPr>
              <w:spacing w:after="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Министарство рударства и енергетике</w:t>
            </w:r>
          </w:p>
          <w:p w14:paraId="7A4A8145" w14:textId="472B439B" w:rsidR="00E0116B" w:rsidRPr="000A2AFE" w:rsidRDefault="00E0116B" w:rsidP="000A2AFE">
            <w:pPr>
              <w:pStyle w:val="ListParagraph"/>
              <w:numPr>
                <w:ilvl w:val="0"/>
                <w:numId w:val="115"/>
              </w:numPr>
              <w:spacing w:after="0"/>
              <w:ind w:left="714" w:hanging="357"/>
              <w:rPr>
                <w:rFonts w:asciiTheme="majorHAnsi" w:eastAsia="Times New Roman" w:hAnsiTheme="majorHAnsi" w:cstheme="majorHAnsi"/>
                <w:sz w:val="20"/>
                <w:szCs w:val="20"/>
                <w:lang w:eastAsia="el-GR"/>
              </w:rPr>
            </w:pPr>
            <w:r w:rsidRPr="00E0116B">
              <w:rPr>
                <w:rFonts w:asciiTheme="majorHAnsi" w:eastAsia="Times New Roman" w:hAnsiTheme="majorHAnsi" w:cstheme="majorHAnsi"/>
                <w:sz w:val="20"/>
                <w:szCs w:val="20"/>
                <w:lang w:eastAsia="el-GR"/>
              </w:rPr>
              <w:t>Министарство финансија</w:t>
            </w:r>
          </w:p>
          <w:p w14:paraId="531D2414" w14:textId="77777777" w:rsidR="00854ADA" w:rsidRDefault="00854ADA" w:rsidP="00854ADA">
            <w:pPr>
              <w:numPr>
                <w:ilvl w:val="0"/>
                <w:numId w:val="115"/>
              </w:numPr>
              <w:spacing w:after="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Покрајински секретаријат Војводине</w:t>
            </w:r>
          </w:p>
          <w:p w14:paraId="7363D0FE" w14:textId="77777777" w:rsidR="00E811DB" w:rsidRPr="00E811DB" w:rsidRDefault="00E811DB" w:rsidP="00E811DB">
            <w:pPr>
              <w:numPr>
                <w:ilvl w:val="0"/>
                <w:numId w:val="115"/>
              </w:numPr>
              <w:spacing w:after="0" w:line="240" w:lineRule="auto"/>
              <w:jc w:val="both"/>
              <w:rPr>
                <w:rFonts w:asciiTheme="majorHAnsi" w:eastAsia="Times New Roman" w:hAnsiTheme="majorHAnsi" w:cstheme="majorHAnsi"/>
                <w:sz w:val="20"/>
                <w:szCs w:val="20"/>
                <w:lang w:eastAsia="el-GR"/>
              </w:rPr>
            </w:pPr>
            <w:r w:rsidRPr="00E811DB">
              <w:rPr>
                <w:rFonts w:asciiTheme="majorHAnsi" w:eastAsia="Times New Roman" w:hAnsiTheme="majorHAnsi" w:cstheme="majorHAnsi"/>
                <w:sz w:val="20"/>
                <w:szCs w:val="20"/>
                <w:lang w:eastAsia="el-GR"/>
              </w:rPr>
              <w:t>Министарство грађевинарства, саобраћаја и инфраструктуре</w:t>
            </w:r>
          </w:p>
          <w:p w14:paraId="319D7F55" w14:textId="77777777" w:rsidR="00E811DB" w:rsidRPr="00FF386D" w:rsidRDefault="00E811DB" w:rsidP="000A2AFE">
            <w:pPr>
              <w:spacing w:after="0" w:line="240" w:lineRule="auto"/>
              <w:ind w:left="720"/>
              <w:jc w:val="both"/>
              <w:rPr>
                <w:rFonts w:asciiTheme="majorHAnsi" w:eastAsia="Times New Roman" w:hAnsiTheme="majorHAnsi" w:cstheme="majorHAnsi"/>
                <w:sz w:val="20"/>
                <w:szCs w:val="20"/>
                <w:lang w:eastAsia="el-GR"/>
              </w:rPr>
            </w:pPr>
          </w:p>
        </w:tc>
      </w:tr>
      <w:tr w:rsidR="00854ADA" w:rsidRPr="00FF386D" w14:paraId="2D9F7737" w14:textId="77777777" w:rsidTr="0057310C">
        <w:trPr>
          <w:trHeight w:val="315"/>
        </w:trPr>
        <w:tc>
          <w:tcPr>
            <w:tcW w:w="3404" w:type="dxa"/>
            <w:tcBorders>
              <w:top w:val="nil"/>
              <w:left w:val="single" w:sz="8" w:space="0" w:color="auto"/>
              <w:bottom w:val="single" w:sz="8" w:space="0" w:color="auto"/>
              <w:right w:val="nil"/>
            </w:tcBorders>
            <w:shd w:val="clear" w:color="000000" w:fill="244062"/>
            <w:vAlign w:val="center"/>
            <w:hideMark/>
          </w:tcPr>
          <w:p w14:paraId="3A96EB5D" w14:textId="77777777" w:rsidR="00854ADA" w:rsidRPr="00FF386D" w:rsidRDefault="00854ADA" w:rsidP="00854ADA">
            <w:pPr>
              <w:spacing w:after="0" w:line="240" w:lineRule="auto"/>
              <w:jc w:val="both"/>
              <w:rPr>
                <w:rFonts w:ascii="Calibri" w:eastAsia="Times New Roman" w:hAnsi="Calibri" w:cs="Arial"/>
                <w:b/>
                <w:bCs/>
                <w:sz w:val="20"/>
                <w:szCs w:val="20"/>
                <w:lang w:eastAsia="el-GR"/>
              </w:rPr>
            </w:pPr>
            <w:r w:rsidRPr="00FF386D">
              <w:rPr>
                <w:rFonts w:asciiTheme="majorHAnsi" w:eastAsia="Times New Roman" w:hAnsiTheme="majorHAnsi" w:cstheme="majorHAnsi"/>
                <w:b/>
                <w:bCs/>
                <w:sz w:val="20"/>
                <w:szCs w:val="20"/>
                <w:lang w:eastAsia="el-GR"/>
              </w:rPr>
              <w:t>Тело за праћење</w:t>
            </w:r>
          </w:p>
        </w:tc>
        <w:tc>
          <w:tcPr>
            <w:tcW w:w="6084" w:type="dxa"/>
            <w:gridSpan w:val="4"/>
            <w:tcBorders>
              <w:top w:val="single" w:sz="8" w:space="0" w:color="auto"/>
              <w:left w:val="nil"/>
              <w:bottom w:val="single" w:sz="8" w:space="0" w:color="auto"/>
              <w:right w:val="single" w:sz="8" w:space="0" w:color="000000"/>
            </w:tcBorders>
            <w:shd w:val="clear" w:color="auto" w:fill="auto"/>
            <w:vAlign w:val="center"/>
            <w:hideMark/>
          </w:tcPr>
          <w:p w14:paraId="4AD0216F" w14:textId="2C0C001D" w:rsidR="00854ADA" w:rsidRPr="000A2AFE" w:rsidRDefault="00E811DB" w:rsidP="000A2AFE">
            <w:pPr>
              <w:pStyle w:val="ListParagraph"/>
              <w:numPr>
                <w:ilvl w:val="0"/>
                <w:numId w:val="335"/>
              </w:numPr>
              <w:spacing w:after="0" w:line="240" w:lineRule="auto"/>
              <w:jc w:val="both"/>
              <w:rPr>
                <w:rFonts w:asciiTheme="majorHAnsi" w:eastAsia="Times New Roman" w:hAnsiTheme="majorHAnsi" w:cstheme="majorHAnsi"/>
                <w:sz w:val="20"/>
                <w:szCs w:val="20"/>
                <w:lang w:eastAsia="el-GR"/>
              </w:rPr>
            </w:pPr>
            <w:r>
              <w:rPr>
                <w:rFonts w:asciiTheme="majorHAnsi" w:eastAsia="Times New Roman" w:hAnsiTheme="majorHAnsi" w:cstheme="majorHAnsi"/>
                <w:sz w:val="20"/>
                <w:szCs w:val="20"/>
                <w:lang w:eastAsia="el-GR"/>
              </w:rPr>
              <w:t>Влада Републике Србије</w:t>
            </w:r>
          </w:p>
        </w:tc>
      </w:tr>
      <w:tr w:rsidR="00854ADA" w:rsidRPr="00FF386D" w14:paraId="50D14426" w14:textId="77777777" w:rsidTr="0057310C">
        <w:trPr>
          <w:trHeight w:val="315"/>
        </w:trPr>
        <w:tc>
          <w:tcPr>
            <w:tcW w:w="3404" w:type="dxa"/>
            <w:tcBorders>
              <w:top w:val="nil"/>
              <w:left w:val="single" w:sz="8" w:space="0" w:color="auto"/>
              <w:bottom w:val="single" w:sz="8" w:space="0" w:color="auto"/>
              <w:right w:val="nil"/>
            </w:tcBorders>
            <w:shd w:val="clear" w:color="000000" w:fill="244062"/>
            <w:vAlign w:val="center"/>
            <w:hideMark/>
          </w:tcPr>
          <w:p w14:paraId="59AD554A" w14:textId="77777777" w:rsidR="00854ADA" w:rsidRPr="00FF386D" w:rsidRDefault="00854ADA" w:rsidP="00854ADA">
            <w:pPr>
              <w:spacing w:after="0" w:line="240" w:lineRule="auto"/>
              <w:jc w:val="both"/>
              <w:rPr>
                <w:rFonts w:ascii="Calibri" w:eastAsia="Times New Roman" w:hAnsi="Calibri" w:cs="Arial"/>
                <w:b/>
                <w:bCs/>
                <w:sz w:val="20"/>
                <w:szCs w:val="20"/>
                <w:lang w:eastAsia="el-GR"/>
              </w:rPr>
            </w:pPr>
            <w:r w:rsidRPr="00FF386D">
              <w:rPr>
                <w:rFonts w:asciiTheme="majorHAnsi" w:eastAsia="Times New Roman" w:hAnsiTheme="majorHAnsi" w:cstheme="majorHAnsi"/>
                <w:b/>
                <w:bCs/>
                <w:sz w:val="20"/>
                <w:szCs w:val="20"/>
                <w:lang w:eastAsia="el-GR"/>
              </w:rPr>
              <w:t>Индикатори напретка</w:t>
            </w:r>
          </w:p>
        </w:tc>
        <w:tc>
          <w:tcPr>
            <w:tcW w:w="6084" w:type="dxa"/>
            <w:gridSpan w:val="4"/>
            <w:tcBorders>
              <w:top w:val="single" w:sz="8" w:space="0" w:color="auto"/>
              <w:left w:val="nil"/>
              <w:bottom w:val="single" w:sz="8" w:space="0" w:color="auto"/>
              <w:right w:val="single" w:sz="8" w:space="0" w:color="000000"/>
            </w:tcBorders>
            <w:shd w:val="clear" w:color="auto" w:fill="auto"/>
            <w:vAlign w:val="center"/>
            <w:hideMark/>
          </w:tcPr>
          <w:p w14:paraId="62DFC181" w14:textId="366EF060" w:rsidR="00854ADA" w:rsidRDefault="00E0116B" w:rsidP="00854ADA">
            <w:pPr>
              <w:numPr>
                <w:ilvl w:val="0"/>
                <w:numId w:val="115"/>
              </w:numPr>
              <w:spacing w:after="0" w:line="240" w:lineRule="auto"/>
              <w:jc w:val="both"/>
              <w:rPr>
                <w:rFonts w:asciiTheme="majorHAnsi" w:eastAsia="Times New Roman" w:hAnsiTheme="majorHAnsi" w:cstheme="majorHAnsi"/>
                <w:sz w:val="20"/>
                <w:szCs w:val="20"/>
                <w:lang w:eastAsia="el-GR"/>
              </w:rPr>
            </w:pPr>
            <w:r w:rsidRPr="00E0116B">
              <w:rPr>
                <w:rFonts w:asciiTheme="majorHAnsi" w:eastAsia="Times New Roman" w:hAnsiTheme="majorHAnsi" w:cstheme="majorHAnsi"/>
                <w:sz w:val="20"/>
                <w:szCs w:val="20"/>
                <w:lang w:eastAsia="el-GR"/>
              </w:rPr>
              <w:t xml:space="preserve">Укупна површина енергетски </w:t>
            </w:r>
            <w:r>
              <w:rPr>
                <w:rFonts w:asciiTheme="majorHAnsi" w:eastAsia="Times New Roman" w:hAnsiTheme="majorHAnsi" w:cstheme="majorHAnsi"/>
                <w:sz w:val="20"/>
                <w:szCs w:val="20"/>
                <w:lang w:eastAsia="el-GR"/>
              </w:rPr>
              <w:t>с</w:t>
            </w:r>
            <w:r w:rsidR="00BE3E47" w:rsidRPr="00FF386D">
              <w:rPr>
                <w:rFonts w:asciiTheme="majorHAnsi" w:eastAsia="Times New Roman" w:hAnsiTheme="majorHAnsi" w:cstheme="majorHAnsi"/>
                <w:sz w:val="20"/>
                <w:szCs w:val="20"/>
                <w:lang w:eastAsia="el-GR"/>
              </w:rPr>
              <w:t>анирани</w:t>
            </w:r>
            <w:r>
              <w:rPr>
                <w:rFonts w:asciiTheme="majorHAnsi" w:eastAsia="Times New Roman" w:hAnsiTheme="majorHAnsi" w:cstheme="majorHAnsi"/>
                <w:sz w:val="20"/>
                <w:szCs w:val="20"/>
                <w:lang w:eastAsia="el-GR"/>
              </w:rPr>
              <w:t>х</w:t>
            </w:r>
            <w:r w:rsidR="00854ADA" w:rsidRPr="00FF386D">
              <w:rPr>
                <w:rFonts w:asciiTheme="majorHAnsi" w:eastAsia="Times New Roman" w:hAnsiTheme="majorHAnsi" w:cstheme="majorHAnsi"/>
                <w:sz w:val="20"/>
                <w:szCs w:val="20"/>
                <w:lang w:eastAsia="el-GR"/>
              </w:rPr>
              <w:t xml:space="preserve"> m</w:t>
            </w:r>
            <w:r w:rsidR="00854ADA" w:rsidRPr="00FF386D">
              <w:rPr>
                <w:rFonts w:asciiTheme="majorHAnsi" w:eastAsia="Times New Roman" w:hAnsiTheme="majorHAnsi" w:cstheme="majorHAnsi"/>
                <w:sz w:val="20"/>
                <w:szCs w:val="20"/>
                <w:vertAlign w:val="superscript"/>
                <w:lang w:eastAsia="el-GR"/>
              </w:rPr>
              <w:t xml:space="preserve">2 </w:t>
            </w:r>
            <w:r w:rsidR="00BE3E47" w:rsidRPr="00FF386D">
              <w:rPr>
                <w:rFonts w:asciiTheme="majorHAnsi" w:eastAsia="Times New Roman" w:hAnsiTheme="majorHAnsi" w:cstheme="majorHAnsi"/>
                <w:sz w:val="20"/>
                <w:szCs w:val="20"/>
                <w:lang w:eastAsia="el-GR"/>
              </w:rPr>
              <w:t xml:space="preserve">јавних </w:t>
            </w:r>
            <w:r w:rsidR="00854ADA" w:rsidRPr="00FF386D">
              <w:rPr>
                <w:rFonts w:asciiTheme="majorHAnsi" w:eastAsia="Times New Roman" w:hAnsiTheme="majorHAnsi" w:cstheme="majorHAnsi"/>
                <w:sz w:val="20"/>
                <w:szCs w:val="20"/>
                <w:lang w:eastAsia="el-GR"/>
              </w:rPr>
              <w:t>зграда</w:t>
            </w:r>
          </w:p>
          <w:p w14:paraId="69ADEFB1" w14:textId="1978B9AC" w:rsidR="00E0116B" w:rsidRPr="00FF386D" w:rsidRDefault="00E0116B" w:rsidP="00854ADA">
            <w:pPr>
              <w:numPr>
                <w:ilvl w:val="0"/>
                <w:numId w:val="115"/>
              </w:numPr>
              <w:spacing w:after="0" w:line="240" w:lineRule="auto"/>
              <w:jc w:val="both"/>
              <w:rPr>
                <w:rFonts w:asciiTheme="majorHAnsi" w:eastAsia="Times New Roman" w:hAnsiTheme="majorHAnsi" w:cstheme="majorHAnsi"/>
                <w:sz w:val="20"/>
                <w:szCs w:val="20"/>
                <w:lang w:eastAsia="el-GR"/>
              </w:rPr>
            </w:pPr>
            <w:r w:rsidRPr="00E0116B">
              <w:rPr>
                <w:rFonts w:asciiTheme="majorHAnsi" w:eastAsia="Times New Roman" w:hAnsiTheme="majorHAnsi" w:cstheme="majorHAnsi"/>
                <w:sz w:val="20"/>
                <w:szCs w:val="20"/>
                <w:lang w:eastAsia="el-GR"/>
              </w:rPr>
              <w:t>Инсталисани капацитет топлотних пумпи</w:t>
            </w:r>
          </w:p>
        </w:tc>
      </w:tr>
      <w:tr w:rsidR="00854ADA" w:rsidRPr="00FF386D" w14:paraId="1D8E7955" w14:textId="77777777" w:rsidTr="0057310C">
        <w:trPr>
          <w:trHeight w:val="379"/>
        </w:trPr>
        <w:tc>
          <w:tcPr>
            <w:tcW w:w="3404" w:type="dxa"/>
            <w:tcBorders>
              <w:top w:val="nil"/>
              <w:left w:val="single" w:sz="8" w:space="0" w:color="auto"/>
              <w:bottom w:val="single" w:sz="8" w:space="0" w:color="auto"/>
              <w:right w:val="single" w:sz="8" w:space="0" w:color="auto"/>
            </w:tcBorders>
            <w:shd w:val="clear" w:color="000000" w:fill="244062"/>
            <w:vAlign w:val="center"/>
            <w:hideMark/>
          </w:tcPr>
          <w:p w14:paraId="07304066" w14:textId="77777777" w:rsidR="00854ADA" w:rsidRPr="00FF386D" w:rsidRDefault="00854ADA" w:rsidP="00854ADA">
            <w:pPr>
              <w:spacing w:after="0" w:line="240" w:lineRule="auto"/>
              <w:jc w:val="both"/>
              <w:rPr>
                <w:rFonts w:ascii="Calibri" w:eastAsia="Times New Roman" w:hAnsi="Calibri" w:cs="Arial"/>
                <w:b/>
                <w:bCs/>
                <w:sz w:val="20"/>
                <w:szCs w:val="20"/>
                <w:lang w:eastAsia="el-GR"/>
              </w:rPr>
            </w:pPr>
            <w:r w:rsidRPr="00FF386D">
              <w:rPr>
                <w:rFonts w:asciiTheme="majorHAnsi" w:eastAsia="Times New Roman" w:hAnsiTheme="majorHAnsi" w:cstheme="majorHAnsi"/>
                <w:b/>
                <w:bCs/>
                <w:sz w:val="20"/>
                <w:szCs w:val="20"/>
                <w:lang w:eastAsia="el-GR"/>
              </w:rPr>
              <w:t>Друге релевантне обухваћене димензије Енергетске уније</w:t>
            </w:r>
          </w:p>
        </w:tc>
        <w:tc>
          <w:tcPr>
            <w:tcW w:w="6084" w:type="dxa"/>
            <w:gridSpan w:val="4"/>
            <w:tcBorders>
              <w:top w:val="single" w:sz="8" w:space="0" w:color="auto"/>
              <w:left w:val="nil"/>
              <w:bottom w:val="single" w:sz="8" w:space="0" w:color="auto"/>
              <w:right w:val="single" w:sz="8" w:space="0" w:color="000000"/>
            </w:tcBorders>
            <w:shd w:val="clear" w:color="auto" w:fill="auto"/>
            <w:vAlign w:val="center"/>
            <w:hideMark/>
          </w:tcPr>
          <w:p w14:paraId="572706E5" w14:textId="590869DE" w:rsidR="00E811DB" w:rsidRPr="00E811DB" w:rsidRDefault="00854ADA" w:rsidP="00E811DB">
            <w:pPr>
              <w:numPr>
                <w:ilvl w:val="0"/>
                <w:numId w:val="116"/>
              </w:numPr>
              <w:spacing w:after="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Декарбонизација</w:t>
            </w:r>
            <w:r w:rsidR="00E811DB">
              <w:rPr>
                <w:rFonts w:asciiTheme="majorHAnsi" w:eastAsia="Times New Roman" w:hAnsiTheme="majorHAnsi" w:cstheme="majorHAnsi"/>
                <w:sz w:val="20"/>
                <w:szCs w:val="20"/>
                <w:lang w:eastAsia="el-GR"/>
              </w:rPr>
              <w:t xml:space="preserve"> </w:t>
            </w:r>
            <w:r w:rsidR="00E811DB" w:rsidRPr="00E811DB">
              <w:rPr>
                <w:rFonts w:asciiTheme="majorHAnsi" w:eastAsia="Times New Roman" w:hAnsiTheme="majorHAnsi" w:cstheme="majorHAnsi"/>
                <w:sz w:val="20"/>
                <w:szCs w:val="20"/>
                <w:lang w:eastAsia="el-GR"/>
              </w:rPr>
              <w:t>(постигнутом уштедом енергије смањиће се потрошњ</w:t>
            </w:r>
            <w:r w:rsidR="00E811DB">
              <w:rPr>
                <w:rFonts w:asciiTheme="majorHAnsi" w:eastAsia="Times New Roman" w:hAnsiTheme="majorHAnsi" w:cstheme="majorHAnsi"/>
                <w:sz w:val="20"/>
                <w:szCs w:val="20"/>
                <w:lang w:eastAsia="el-GR"/>
              </w:rPr>
              <w:t>а</w:t>
            </w:r>
            <w:r w:rsidR="00E811DB" w:rsidRPr="00E811DB">
              <w:rPr>
                <w:rFonts w:asciiTheme="majorHAnsi" w:eastAsia="Times New Roman" w:hAnsiTheme="majorHAnsi" w:cstheme="majorHAnsi"/>
                <w:sz w:val="20"/>
                <w:szCs w:val="20"/>
                <w:lang w:eastAsia="el-GR"/>
              </w:rPr>
              <w:t xml:space="preserve"> фосилних горива што ће довести до смањења емисија </w:t>
            </w:r>
            <w:r w:rsidR="00E811DB" w:rsidRPr="00E811DB">
              <w:rPr>
                <w:rFonts w:asciiTheme="majorHAnsi" w:eastAsia="Times New Roman" w:hAnsiTheme="majorHAnsi" w:cstheme="majorHAnsi"/>
                <w:i/>
                <w:iCs/>
                <w:sz w:val="20"/>
                <w:szCs w:val="20"/>
                <w:lang w:val="en-US" w:eastAsia="el-GR"/>
              </w:rPr>
              <w:t>GHG</w:t>
            </w:r>
            <w:r w:rsidR="00E811DB" w:rsidRPr="00E811DB">
              <w:rPr>
                <w:rFonts w:asciiTheme="majorHAnsi" w:eastAsia="Times New Roman" w:hAnsiTheme="majorHAnsi" w:cstheme="majorHAnsi"/>
                <w:i/>
                <w:iCs/>
                <w:sz w:val="20"/>
                <w:szCs w:val="20"/>
                <w:lang w:eastAsia="el-GR"/>
              </w:rPr>
              <w:t>,</w:t>
            </w:r>
            <w:r w:rsidR="00E811DB" w:rsidRPr="00E811DB">
              <w:rPr>
                <w:rFonts w:asciiTheme="majorHAnsi" w:eastAsia="Times New Roman" w:hAnsiTheme="majorHAnsi" w:cstheme="majorHAnsi"/>
                <w:sz w:val="20"/>
                <w:szCs w:val="20"/>
                <w:lang w:eastAsia="el-GR"/>
              </w:rPr>
              <w:t xml:space="preserve"> а коришћење технологија ОИЕ ће повећати удео ОИЕ у грејању и хлађењу)</w:t>
            </w:r>
          </w:p>
          <w:p w14:paraId="61232D51" w14:textId="75228E3F" w:rsidR="00854ADA" w:rsidRPr="001F09F2" w:rsidRDefault="00E811DB" w:rsidP="00565B02">
            <w:pPr>
              <w:numPr>
                <w:ilvl w:val="0"/>
                <w:numId w:val="116"/>
              </w:numPr>
              <w:spacing w:after="0" w:line="240" w:lineRule="auto"/>
              <w:jc w:val="both"/>
              <w:rPr>
                <w:rFonts w:asciiTheme="majorHAnsi" w:eastAsia="Times New Roman" w:hAnsiTheme="majorHAnsi" w:cstheme="majorHAnsi"/>
                <w:sz w:val="20"/>
                <w:szCs w:val="20"/>
                <w:lang w:eastAsia="el-GR"/>
              </w:rPr>
            </w:pPr>
            <w:r w:rsidRPr="00E811DB">
              <w:rPr>
                <w:rFonts w:asciiTheme="majorHAnsi" w:eastAsia="Times New Roman" w:hAnsiTheme="majorHAnsi" w:cstheme="majorHAnsi"/>
                <w:sz w:val="20"/>
                <w:szCs w:val="20"/>
                <w:lang w:eastAsia="el-GR"/>
              </w:rPr>
              <w:t>Енергетска сигурност (постигнутом уштедом енергије смањиће се потрошњ</w:t>
            </w:r>
            <w:r w:rsidR="00054666">
              <w:rPr>
                <w:rFonts w:asciiTheme="majorHAnsi" w:eastAsia="Times New Roman" w:hAnsiTheme="majorHAnsi" w:cstheme="majorHAnsi"/>
                <w:sz w:val="20"/>
                <w:szCs w:val="20"/>
                <w:lang w:eastAsia="el-GR"/>
              </w:rPr>
              <w:t>а увезених</w:t>
            </w:r>
            <w:r w:rsidRPr="00E811DB">
              <w:rPr>
                <w:rFonts w:asciiTheme="majorHAnsi" w:eastAsia="Times New Roman" w:hAnsiTheme="majorHAnsi" w:cstheme="majorHAnsi"/>
                <w:sz w:val="20"/>
                <w:szCs w:val="20"/>
                <w:lang w:eastAsia="el-GR"/>
              </w:rPr>
              <w:t xml:space="preserve"> фосилних горива што ће довести до смањења зависности од увоза енергије из трећих земаља)</w:t>
            </w:r>
          </w:p>
        </w:tc>
      </w:tr>
      <w:tr w:rsidR="00854ADA" w:rsidRPr="00FF386D" w14:paraId="3B604D73" w14:textId="77777777" w:rsidTr="0057310C">
        <w:trPr>
          <w:gridAfter w:val="1"/>
          <w:wAfter w:w="30" w:type="dxa"/>
          <w:trHeight w:val="450"/>
        </w:trPr>
        <w:tc>
          <w:tcPr>
            <w:tcW w:w="3404"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7DD183D9" w14:textId="1B42C0FC" w:rsidR="00854ADA" w:rsidRPr="00FF386D" w:rsidRDefault="004D35DC" w:rsidP="00854ADA">
            <w:pPr>
              <w:spacing w:after="0" w:line="240" w:lineRule="auto"/>
              <w:jc w:val="both"/>
              <w:rPr>
                <w:rFonts w:ascii="Calibri" w:eastAsia="Times New Roman" w:hAnsi="Calibri" w:cs="Arial"/>
                <w:b/>
                <w:bCs/>
                <w:sz w:val="20"/>
                <w:szCs w:val="20"/>
                <w:lang w:eastAsia="el-GR"/>
              </w:rPr>
            </w:pPr>
            <w:r w:rsidRPr="00FF386D">
              <w:rPr>
                <w:rFonts w:asciiTheme="majorHAnsi" w:eastAsia="Times New Roman" w:hAnsiTheme="majorHAnsi" w:cstheme="majorHAnsi"/>
                <w:b/>
                <w:bCs/>
                <w:sz w:val="20"/>
                <w:szCs w:val="20"/>
                <w:lang w:eastAsia="el-GR"/>
              </w:rPr>
              <w:t xml:space="preserve">Политике Уније која су </w:t>
            </w:r>
            <w:r w:rsidR="003F1C65" w:rsidRPr="00FF386D">
              <w:rPr>
                <w:rFonts w:asciiTheme="majorHAnsi" w:eastAsia="Times New Roman" w:hAnsiTheme="majorHAnsi" w:cstheme="majorHAnsi"/>
                <w:b/>
                <w:bCs/>
                <w:sz w:val="20"/>
                <w:szCs w:val="20"/>
                <w:lang w:eastAsia="el-GR"/>
              </w:rPr>
              <w:t>резултирале имплементацијом</w:t>
            </w:r>
            <w:r w:rsidR="00854ADA" w:rsidRPr="00FF386D">
              <w:rPr>
                <w:rFonts w:asciiTheme="majorHAnsi" w:eastAsia="Times New Roman" w:hAnsiTheme="majorHAnsi" w:cstheme="majorHAnsi"/>
                <w:b/>
                <w:bCs/>
                <w:sz w:val="20"/>
                <w:szCs w:val="20"/>
                <w:lang w:eastAsia="el-GR"/>
              </w:rPr>
              <w:t xml:space="preserve"> ове МП</w:t>
            </w:r>
          </w:p>
        </w:tc>
        <w:tc>
          <w:tcPr>
            <w:tcW w:w="6084"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69BC1118" w14:textId="09E27EE7" w:rsidR="00854ADA" w:rsidRPr="00FF386D" w:rsidRDefault="00854ADA" w:rsidP="00854ADA">
            <w:pPr>
              <w:numPr>
                <w:ilvl w:val="0"/>
                <w:numId w:val="10"/>
              </w:numPr>
              <w:spacing w:after="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 xml:space="preserve">Директива </w:t>
            </w:r>
            <w:r w:rsidR="00BE3E47" w:rsidRPr="00FF386D">
              <w:rPr>
                <w:rFonts w:asciiTheme="majorHAnsi" w:eastAsia="Times New Roman" w:hAnsiTheme="majorHAnsi" w:cstheme="majorHAnsi"/>
                <w:sz w:val="20"/>
                <w:szCs w:val="20"/>
                <w:lang w:eastAsia="el-GR"/>
              </w:rPr>
              <w:t xml:space="preserve">(ЕУ) </w:t>
            </w:r>
            <w:r w:rsidRPr="00FF386D">
              <w:rPr>
                <w:rFonts w:asciiTheme="majorHAnsi" w:eastAsia="Times New Roman" w:hAnsiTheme="majorHAnsi" w:cstheme="majorHAnsi"/>
                <w:sz w:val="20"/>
                <w:szCs w:val="20"/>
                <w:lang w:eastAsia="el-GR"/>
              </w:rPr>
              <w:t>2010/31</w:t>
            </w:r>
          </w:p>
          <w:p w14:paraId="6EE8A9E5" w14:textId="01AB9019" w:rsidR="00854ADA" w:rsidRPr="00FF386D" w:rsidRDefault="00854ADA" w:rsidP="00854ADA">
            <w:pPr>
              <w:numPr>
                <w:ilvl w:val="0"/>
                <w:numId w:val="10"/>
              </w:numPr>
              <w:spacing w:after="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Директива</w:t>
            </w:r>
            <w:r w:rsidR="00BE3E47" w:rsidRPr="00FF386D">
              <w:rPr>
                <w:rFonts w:asciiTheme="majorHAnsi" w:eastAsia="Times New Roman" w:hAnsiTheme="majorHAnsi" w:cstheme="majorHAnsi"/>
                <w:sz w:val="20"/>
                <w:szCs w:val="20"/>
                <w:lang w:eastAsia="el-GR"/>
              </w:rPr>
              <w:t xml:space="preserve">(ЕУ) </w:t>
            </w:r>
            <w:r w:rsidRPr="00FF386D">
              <w:rPr>
                <w:rFonts w:asciiTheme="majorHAnsi" w:eastAsia="Times New Roman" w:hAnsiTheme="majorHAnsi" w:cstheme="majorHAnsi"/>
                <w:sz w:val="20"/>
                <w:szCs w:val="20"/>
                <w:lang w:eastAsia="el-GR"/>
              </w:rPr>
              <w:t>2012/27</w:t>
            </w:r>
          </w:p>
          <w:p w14:paraId="6ECAB0C6" w14:textId="4841FC51" w:rsidR="00854ADA" w:rsidRPr="00FF386D" w:rsidRDefault="00854ADA" w:rsidP="00854ADA">
            <w:pPr>
              <w:numPr>
                <w:ilvl w:val="0"/>
                <w:numId w:val="10"/>
              </w:numPr>
              <w:spacing w:after="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 xml:space="preserve">Директива </w:t>
            </w:r>
            <w:r w:rsidR="00BE3E47" w:rsidRPr="00FF386D">
              <w:rPr>
                <w:rFonts w:asciiTheme="majorHAnsi" w:eastAsia="Times New Roman" w:hAnsiTheme="majorHAnsi" w:cstheme="majorHAnsi"/>
                <w:sz w:val="20"/>
                <w:szCs w:val="20"/>
                <w:lang w:eastAsia="el-GR"/>
              </w:rPr>
              <w:t xml:space="preserve">(ЕУ) </w:t>
            </w:r>
            <w:r w:rsidRPr="00FF386D">
              <w:rPr>
                <w:rFonts w:asciiTheme="majorHAnsi" w:eastAsia="Times New Roman" w:hAnsiTheme="majorHAnsi" w:cstheme="majorHAnsi"/>
                <w:sz w:val="20"/>
                <w:szCs w:val="20"/>
                <w:lang w:eastAsia="el-GR"/>
              </w:rPr>
              <w:t>2018/2002</w:t>
            </w:r>
          </w:p>
          <w:p w14:paraId="70EC7C0F" w14:textId="69A20994" w:rsidR="00854ADA" w:rsidRPr="00FF386D" w:rsidRDefault="00854ADA" w:rsidP="00854ADA">
            <w:pPr>
              <w:numPr>
                <w:ilvl w:val="0"/>
                <w:numId w:val="10"/>
              </w:numPr>
              <w:spacing w:after="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 xml:space="preserve">Директива </w:t>
            </w:r>
            <w:r w:rsidR="00BE3E47" w:rsidRPr="00FF386D">
              <w:rPr>
                <w:rFonts w:asciiTheme="majorHAnsi" w:eastAsia="Times New Roman" w:hAnsiTheme="majorHAnsi" w:cstheme="majorHAnsi"/>
                <w:sz w:val="20"/>
                <w:szCs w:val="20"/>
                <w:lang w:eastAsia="el-GR"/>
              </w:rPr>
              <w:t xml:space="preserve">(ЕУ) </w:t>
            </w:r>
            <w:r w:rsidRPr="00FF386D">
              <w:rPr>
                <w:rFonts w:asciiTheme="majorHAnsi" w:eastAsia="Times New Roman" w:hAnsiTheme="majorHAnsi" w:cstheme="majorHAnsi"/>
                <w:sz w:val="20"/>
                <w:szCs w:val="20"/>
                <w:lang w:eastAsia="el-GR"/>
              </w:rPr>
              <w:t>2018/844</w:t>
            </w:r>
          </w:p>
        </w:tc>
      </w:tr>
      <w:tr w:rsidR="00854ADA" w:rsidRPr="00FF386D" w14:paraId="263C1CC5" w14:textId="77777777" w:rsidTr="0057310C">
        <w:trPr>
          <w:gridAfter w:val="1"/>
          <w:wAfter w:w="30" w:type="dxa"/>
          <w:trHeight w:val="450"/>
        </w:trPr>
        <w:tc>
          <w:tcPr>
            <w:tcW w:w="3404" w:type="dxa"/>
            <w:vMerge/>
            <w:tcBorders>
              <w:top w:val="nil"/>
              <w:left w:val="single" w:sz="8" w:space="0" w:color="auto"/>
              <w:bottom w:val="single" w:sz="8" w:space="0" w:color="000000"/>
              <w:right w:val="single" w:sz="8" w:space="0" w:color="auto"/>
            </w:tcBorders>
            <w:vAlign w:val="center"/>
            <w:hideMark/>
          </w:tcPr>
          <w:p w14:paraId="7888144F" w14:textId="77777777" w:rsidR="00854ADA" w:rsidRPr="00FF386D" w:rsidRDefault="00854ADA" w:rsidP="00854ADA">
            <w:pPr>
              <w:spacing w:after="0" w:line="240" w:lineRule="auto"/>
              <w:jc w:val="both"/>
              <w:rPr>
                <w:rFonts w:ascii="Calibri" w:eastAsia="Times New Roman" w:hAnsi="Calibri" w:cs="Arial"/>
                <w:b/>
                <w:bCs/>
                <w:sz w:val="20"/>
                <w:szCs w:val="20"/>
                <w:lang w:eastAsia="el-GR"/>
              </w:rPr>
            </w:pPr>
          </w:p>
        </w:tc>
        <w:tc>
          <w:tcPr>
            <w:tcW w:w="6084" w:type="dxa"/>
            <w:gridSpan w:val="3"/>
            <w:vMerge/>
            <w:tcBorders>
              <w:top w:val="single" w:sz="8" w:space="0" w:color="auto"/>
              <w:left w:val="single" w:sz="8" w:space="0" w:color="auto"/>
              <w:bottom w:val="single" w:sz="8" w:space="0" w:color="000000"/>
              <w:right w:val="single" w:sz="8" w:space="0" w:color="000000"/>
            </w:tcBorders>
            <w:vAlign w:val="center"/>
            <w:hideMark/>
          </w:tcPr>
          <w:p w14:paraId="17800B3F" w14:textId="77777777" w:rsidR="00854ADA" w:rsidRPr="00FF386D" w:rsidRDefault="00854ADA" w:rsidP="00854ADA">
            <w:pPr>
              <w:spacing w:after="0" w:line="240" w:lineRule="auto"/>
              <w:jc w:val="both"/>
              <w:rPr>
                <w:rFonts w:asciiTheme="majorHAnsi" w:eastAsia="Times New Roman" w:hAnsiTheme="majorHAnsi" w:cstheme="majorHAnsi"/>
                <w:sz w:val="20"/>
                <w:szCs w:val="20"/>
                <w:lang w:eastAsia="el-GR"/>
              </w:rPr>
            </w:pPr>
          </w:p>
        </w:tc>
      </w:tr>
      <w:tr w:rsidR="00854ADA" w:rsidRPr="00FF386D" w14:paraId="706602A5" w14:textId="77777777" w:rsidTr="0057310C">
        <w:trPr>
          <w:gridAfter w:val="1"/>
          <w:wAfter w:w="30" w:type="dxa"/>
          <w:trHeight w:val="450"/>
        </w:trPr>
        <w:tc>
          <w:tcPr>
            <w:tcW w:w="3404" w:type="dxa"/>
            <w:vMerge/>
            <w:tcBorders>
              <w:top w:val="nil"/>
              <w:left w:val="single" w:sz="8" w:space="0" w:color="auto"/>
              <w:bottom w:val="single" w:sz="8" w:space="0" w:color="000000"/>
              <w:right w:val="single" w:sz="8" w:space="0" w:color="auto"/>
            </w:tcBorders>
            <w:vAlign w:val="center"/>
            <w:hideMark/>
          </w:tcPr>
          <w:p w14:paraId="6B2883D6" w14:textId="77777777" w:rsidR="00854ADA" w:rsidRPr="00FF386D" w:rsidRDefault="00854ADA" w:rsidP="00854ADA">
            <w:pPr>
              <w:spacing w:after="0" w:line="240" w:lineRule="auto"/>
              <w:jc w:val="both"/>
              <w:rPr>
                <w:rFonts w:ascii="Calibri" w:eastAsia="Times New Roman" w:hAnsi="Calibri" w:cs="Arial"/>
                <w:b/>
                <w:bCs/>
                <w:sz w:val="20"/>
                <w:szCs w:val="20"/>
                <w:lang w:eastAsia="el-GR"/>
              </w:rPr>
            </w:pPr>
          </w:p>
        </w:tc>
        <w:tc>
          <w:tcPr>
            <w:tcW w:w="6084" w:type="dxa"/>
            <w:gridSpan w:val="3"/>
            <w:vMerge/>
            <w:tcBorders>
              <w:top w:val="single" w:sz="8" w:space="0" w:color="auto"/>
              <w:left w:val="single" w:sz="8" w:space="0" w:color="auto"/>
              <w:bottom w:val="single" w:sz="8" w:space="0" w:color="000000"/>
              <w:right w:val="single" w:sz="8" w:space="0" w:color="000000"/>
            </w:tcBorders>
            <w:vAlign w:val="center"/>
            <w:hideMark/>
          </w:tcPr>
          <w:p w14:paraId="0C569385" w14:textId="77777777" w:rsidR="00854ADA" w:rsidRPr="00FF386D" w:rsidRDefault="00854ADA" w:rsidP="00854ADA">
            <w:pPr>
              <w:spacing w:after="0" w:line="240" w:lineRule="auto"/>
              <w:jc w:val="both"/>
              <w:rPr>
                <w:rFonts w:asciiTheme="majorHAnsi" w:eastAsia="Times New Roman" w:hAnsiTheme="majorHAnsi" w:cstheme="majorHAnsi"/>
                <w:sz w:val="20"/>
                <w:szCs w:val="20"/>
                <w:lang w:eastAsia="el-GR"/>
              </w:rPr>
            </w:pPr>
          </w:p>
        </w:tc>
      </w:tr>
      <w:tr w:rsidR="00854ADA" w:rsidRPr="00FF386D" w14:paraId="2E7FBEB0" w14:textId="77777777" w:rsidTr="0057310C">
        <w:trPr>
          <w:gridAfter w:val="1"/>
          <w:wAfter w:w="30" w:type="dxa"/>
          <w:trHeight w:val="780"/>
        </w:trPr>
        <w:tc>
          <w:tcPr>
            <w:tcW w:w="3404" w:type="dxa"/>
            <w:tcBorders>
              <w:top w:val="nil"/>
              <w:left w:val="single" w:sz="8" w:space="0" w:color="auto"/>
              <w:bottom w:val="single" w:sz="8" w:space="0" w:color="auto"/>
              <w:right w:val="single" w:sz="8" w:space="0" w:color="auto"/>
            </w:tcBorders>
            <w:shd w:val="clear" w:color="000000" w:fill="244062"/>
            <w:vAlign w:val="center"/>
            <w:hideMark/>
          </w:tcPr>
          <w:p w14:paraId="14807007" w14:textId="77777777" w:rsidR="00854ADA" w:rsidRPr="00FF386D" w:rsidRDefault="00854ADA" w:rsidP="00854ADA">
            <w:pPr>
              <w:spacing w:after="0" w:line="240" w:lineRule="auto"/>
              <w:jc w:val="both"/>
              <w:rPr>
                <w:rFonts w:ascii="Calibri" w:eastAsia="Times New Roman" w:hAnsi="Calibri" w:cs="Arial"/>
                <w:b/>
                <w:bCs/>
                <w:sz w:val="20"/>
                <w:szCs w:val="20"/>
                <w:lang w:eastAsia="el-GR"/>
              </w:rPr>
            </w:pPr>
            <w:r w:rsidRPr="00FF386D">
              <w:rPr>
                <w:rFonts w:asciiTheme="majorHAnsi" w:eastAsia="Times New Roman" w:hAnsiTheme="majorHAnsi" w:cstheme="majorHAnsi"/>
                <w:b/>
                <w:bCs/>
                <w:sz w:val="20"/>
                <w:szCs w:val="20"/>
                <w:lang w:eastAsia="el-GR"/>
              </w:rPr>
              <w:t>Релевантни национални плански документ (правни, регулаторни акти, итд)</w:t>
            </w:r>
          </w:p>
        </w:tc>
        <w:tc>
          <w:tcPr>
            <w:tcW w:w="6084" w:type="dxa"/>
            <w:gridSpan w:val="3"/>
            <w:tcBorders>
              <w:top w:val="single" w:sz="8" w:space="0" w:color="auto"/>
              <w:left w:val="nil"/>
              <w:bottom w:val="single" w:sz="8" w:space="0" w:color="auto"/>
              <w:right w:val="single" w:sz="8" w:space="0" w:color="000000"/>
            </w:tcBorders>
            <w:shd w:val="clear" w:color="auto" w:fill="auto"/>
            <w:vAlign w:val="center"/>
            <w:hideMark/>
          </w:tcPr>
          <w:p w14:paraId="1E56683B" w14:textId="77777777" w:rsidR="00854ADA" w:rsidRPr="00FF386D" w:rsidRDefault="00854ADA" w:rsidP="00854ADA">
            <w:pPr>
              <w:numPr>
                <w:ilvl w:val="0"/>
                <w:numId w:val="11"/>
              </w:numPr>
              <w:spacing w:after="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Закон о енергетској ефикасности и рационалној употреби енергије</w:t>
            </w:r>
          </w:p>
          <w:p w14:paraId="73E94EEF" w14:textId="49B80E95" w:rsidR="00854ADA" w:rsidRPr="00FF386D" w:rsidRDefault="00854ADA" w:rsidP="00854ADA">
            <w:pPr>
              <w:numPr>
                <w:ilvl w:val="0"/>
                <w:numId w:val="11"/>
              </w:numPr>
              <w:spacing w:after="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4. НАПЕЕ</w:t>
            </w:r>
          </w:p>
          <w:p w14:paraId="58862D2B" w14:textId="77777777" w:rsidR="00854ADA" w:rsidRPr="00FF386D" w:rsidRDefault="00854ADA" w:rsidP="00854ADA">
            <w:pPr>
              <w:numPr>
                <w:ilvl w:val="0"/>
                <w:numId w:val="11"/>
              </w:numPr>
              <w:spacing w:after="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Дугорочна стратегија за подстицање улагања у обнову националног фонда зграда</w:t>
            </w:r>
          </w:p>
        </w:tc>
      </w:tr>
      <w:tr w:rsidR="00854ADA" w:rsidRPr="00FF386D" w14:paraId="0EBF48F4" w14:textId="77777777" w:rsidTr="0057310C">
        <w:trPr>
          <w:gridAfter w:val="1"/>
          <w:wAfter w:w="30" w:type="dxa"/>
          <w:trHeight w:val="315"/>
        </w:trPr>
        <w:tc>
          <w:tcPr>
            <w:tcW w:w="3404" w:type="dxa"/>
            <w:tcBorders>
              <w:top w:val="nil"/>
              <w:left w:val="single" w:sz="8" w:space="0" w:color="auto"/>
              <w:bottom w:val="single" w:sz="8" w:space="0" w:color="auto"/>
              <w:right w:val="single" w:sz="8" w:space="0" w:color="auto"/>
            </w:tcBorders>
            <w:shd w:val="clear" w:color="000000" w:fill="244062"/>
            <w:vAlign w:val="center"/>
            <w:hideMark/>
          </w:tcPr>
          <w:p w14:paraId="75C32746" w14:textId="77777777" w:rsidR="00854ADA" w:rsidRPr="00FF386D" w:rsidRDefault="00854ADA" w:rsidP="00854ADA">
            <w:pPr>
              <w:spacing w:after="0" w:line="240" w:lineRule="auto"/>
              <w:jc w:val="both"/>
              <w:rPr>
                <w:rFonts w:ascii="Calibri" w:eastAsia="Times New Roman" w:hAnsi="Calibri" w:cs="Arial"/>
                <w:b/>
                <w:bCs/>
                <w:sz w:val="20"/>
                <w:szCs w:val="20"/>
                <w:lang w:eastAsia="el-GR"/>
              </w:rPr>
            </w:pPr>
            <w:r w:rsidRPr="00FF386D">
              <w:rPr>
                <w:rFonts w:asciiTheme="majorHAnsi" w:eastAsia="Times New Roman" w:hAnsiTheme="majorHAnsi" w:cstheme="majorHAnsi"/>
                <w:b/>
                <w:bCs/>
                <w:sz w:val="20"/>
                <w:szCs w:val="20"/>
                <w:lang w:eastAsia="el-GR"/>
              </w:rPr>
              <w:t>Трошкови имплементације</w:t>
            </w:r>
          </w:p>
        </w:tc>
        <w:tc>
          <w:tcPr>
            <w:tcW w:w="6084" w:type="dxa"/>
            <w:gridSpan w:val="3"/>
            <w:tcBorders>
              <w:top w:val="single" w:sz="8" w:space="0" w:color="auto"/>
              <w:left w:val="nil"/>
              <w:bottom w:val="single" w:sz="8" w:space="0" w:color="auto"/>
              <w:right w:val="single" w:sz="8" w:space="0" w:color="000000"/>
            </w:tcBorders>
            <w:shd w:val="clear" w:color="auto" w:fill="auto"/>
            <w:vAlign w:val="center"/>
            <w:hideMark/>
          </w:tcPr>
          <w:p w14:paraId="5AC69141" w14:textId="28442D7A" w:rsidR="00854ADA" w:rsidRPr="00FF386D" w:rsidRDefault="0065102B" w:rsidP="00854ADA">
            <w:pPr>
              <w:spacing w:after="0" w:line="240" w:lineRule="auto"/>
              <w:jc w:val="both"/>
              <w:rPr>
                <w:rFonts w:asciiTheme="majorHAnsi" w:eastAsia="Times New Roman" w:hAnsiTheme="majorHAnsi" w:cstheme="majorHAnsi"/>
                <w:sz w:val="20"/>
                <w:szCs w:val="20"/>
                <w:lang w:eastAsia="el-GR"/>
              </w:rPr>
            </w:pPr>
            <w:r>
              <w:rPr>
                <w:rFonts w:asciiTheme="majorHAnsi" w:eastAsia="Times New Roman" w:hAnsiTheme="majorHAnsi" w:cstheme="majorHAnsi"/>
                <w:sz w:val="20"/>
                <w:szCs w:val="20"/>
                <w:lang w:eastAsia="el-GR"/>
              </w:rPr>
              <w:t>1.016</w:t>
            </w:r>
            <w:r w:rsidRPr="00FF386D">
              <w:rPr>
                <w:rFonts w:asciiTheme="majorHAnsi" w:eastAsia="Times New Roman" w:hAnsiTheme="majorHAnsi" w:cstheme="majorHAnsi"/>
                <w:sz w:val="20"/>
                <w:szCs w:val="20"/>
                <w:lang w:eastAsia="el-GR"/>
              </w:rPr>
              <w:t xml:space="preserve"> </w:t>
            </w:r>
            <w:r w:rsidR="00AF2D42" w:rsidRPr="00FF386D">
              <w:rPr>
                <w:rFonts w:asciiTheme="majorHAnsi" w:eastAsia="Times New Roman" w:hAnsiTheme="majorHAnsi" w:cstheme="majorHAnsi"/>
                <w:sz w:val="20"/>
                <w:szCs w:val="20"/>
                <w:lang w:eastAsia="el-GR"/>
              </w:rPr>
              <w:t>милиона евра</w:t>
            </w:r>
            <w:r w:rsidR="00DB3FE0">
              <w:rPr>
                <w:rFonts w:asciiTheme="majorHAnsi" w:eastAsia="Times New Roman" w:hAnsiTheme="majorHAnsi" w:cstheme="majorHAnsi"/>
                <w:sz w:val="20"/>
                <w:szCs w:val="20"/>
                <w:lang w:eastAsia="el-GR"/>
              </w:rPr>
              <w:t xml:space="preserve"> (191 милиона евра за интервенције на омотачу зграде и 825 милиона евра за топлотне пумпе)</w:t>
            </w:r>
          </w:p>
        </w:tc>
      </w:tr>
      <w:tr w:rsidR="00854ADA" w:rsidRPr="00FF386D" w14:paraId="2EE2FE08" w14:textId="77777777" w:rsidTr="0057310C">
        <w:trPr>
          <w:gridAfter w:val="1"/>
          <w:wAfter w:w="30" w:type="dxa"/>
          <w:trHeight w:val="315"/>
        </w:trPr>
        <w:tc>
          <w:tcPr>
            <w:tcW w:w="3404" w:type="dxa"/>
            <w:tcBorders>
              <w:top w:val="nil"/>
              <w:left w:val="single" w:sz="8" w:space="0" w:color="auto"/>
              <w:bottom w:val="single" w:sz="8" w:space="0" w:color="auto"/>
              <w:right w:val="single" w:sz="8" w:space="0" w:color="auto"/>
            </w:tcBorders>
            <w:shd w:val="clear" w:color="000000" w:fill="244062"/>
            <w:vAlign w:val="center"/>
            <w:hideMark/>
          </w:tcPr>
          <w:p w14:paraId="5B5E600D" w14:textId="77777777" w:rsidR="00854ADA" w:rsidRPr="00FF386D" w:rsidRDefault="00854ADA" w:rsidP="00854ADA">
            <w:pPr>
              <w:spacing w:after="0" w:line="240" w:lineRule="auto"/>
              <w:jc w:val="both"/>
              <w:rPr>
                <w:rFonts w:ascii="Calibri" w:eastAsia="Times New Roman" w:hAnsi="Calibri" w:cs="Arial"/>
                <w:b/>
                <w:bCs/>
                <w:sz w:val="20"/>
                <w:szCs w:val="20"/>
                <w:lang w:eastAsia="el-GR"/>
              </w:rPr>
            </w:pPr>
            <w:r w:rsidRPr="00FF386D">
              <w:rPr>
                <w:rFonts w:asciiTheme="majorHAnsi" w:eastAsia="Times New Roman" w:hAnsiTheme="majorHAnsi" w:cstheme="majorHAnsi"/>
                <w:b/>
                <w:bCs/>
                <w:color w:val="FFFFFF"/>
                <w:sz w:val="20"/>
                <w:szCs w:val="20"/>
                <w:lang w:eastAsia="en-GB"/>
              </w:rPr>
              <w:t>Извор(и) финансирања</w:t>
            </w:r>
          </w:p>
        </w:tc>
        <w:tc>
          <w:tcPr>
            <w:tcW w:w="6084" w:type="dxa"/>
            <w:gridSpan w:val="3"/>
            <w:tcBorders>
              <w:top w:val="single" w:sz="8" w:space="0" w:color="auto"/>
              <w:left w:val="nil"/>
              <w:bottom w:val="single" w:sz="8" w:space="0" w:color="auto"/>
              <w:right w:val="single" w:sz="8" w:space="0" w:color="000000"/>
            </w:tcBorders>
            <w:shd w:val="clear" w:color="auto" w:fill="auto"/>
            <w:vAlign w:val="center"/>
            <w:hideMark/>
          </w:tcPr>
          <w:p w14:paraId="4E97C164" w14:textId="5213A568" w:rsidR="00854ADA" w:rsidRPr="00FF386D" w:rsidRDefault="00854ADA" w:rsidP="00854ADA">
            <w:pPr>
              <w:spacing w:after="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 xml:space="preserve">EУ и други фондови, </w:t>
            </w:r>
            <w:r w:rsidR="00AF2D42" w:rsidRPr="00FF386D">
              <w:rPr>
                <w:rFonts w:asciiTheme="majorHAnsi" w:eastAsia="Times New Roman" w:hAnsiTheme="majorHAnsi" w:cstheme="majorHAnsi"/>
                <w:sz w:val="20"/>
                <w:szCs w:val="20"/>
                <w:lang w:eastAsia="el-GR"/>
              </w:rPr>
              <w:t>буџетска средства</w:t>
            </w:r>
            <w:r w:rsidR="00E00800" w:rsidRPr="00FF386D">
              <w:rPr>
                <w:rFonts w:asciiTheme="majorHAnsi" w:eastAsia="Times New Roman" w:hAnsiTheme="majorHAnsi" w:cstheme="majorHAnsi"/>
                <w:sz w:val="20"/>
                <w:szCs w:val="20"/>
                <w:lang w:eastAsia="el-GR"/>
              </w:rPr>
              <w:t>. Могућност примене</w:t>
            </w:r>
            <w:r w:rsidR="00E00800" w:rsidRPr="00FF386D">
              <w:rPr>
                <w:rFonts w:asciiTheme="majorHAnsi" w:eastAsia="Times New Roman" w:hAnsiTheme="majorHAnsi" w:cstheme="majorHAnsi"/>
                <w:i/>
                <w:iCs/>
                <w:sz w:val="20"/>
                <w:szCs w:val="20"/>
                <w:lang w:eastAsia="el-GR"/>
              </w:rPr>
              <w:t xml:space="preserve"> </w:t>
            </w:r>
            <w:r w:rsidR="00E00800" w:rsidRPr="000A2AFE">
              <w:rPr>
                <w:rFonts w:asciiTheme="majorHAnsi" w:eastAsia="Times New Roman" w:hAnsiTheme="majorHAnsi" w:cstheme="majorHAnsi"/>
                <w:i/>
                <w:iCs/>
                <w:sz w:val="20"/>
                <w:szCs w:val="20"/>
                <w:lang w:eastAsia="el-GR"/>
              </w:rPr>
              <w:t>ESCO</w:t>
            </w:r>
            <w:r w:rsidR="00E00800" w:rsidRPr="00FF386D">
              <w:rPr>
                <w:rFonts w:asciiTheme="majorHAnsi" w:eastAsia="Times New Roman" w:hAnsiTheme="majorHAnsi" w:cstheme="majorHAnsi"/>
                <w:sz w:val="20"/>
                <w:szCs w:val="20"/>
                <w:lang w:eastAsia="el-GR"/>
              </w:rPr>
              <w:t xml:space="preserve"> модела финансирања.</w:t>
            </w:r>
          </w:p>
        </w:tc>
      </w:tr>
    </w:tbl>
    <w:p w14:paraId="5538578A"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29"/>
        <w:gridCol w:w="954"/>
        <w:gridCol w:w="945"/>
        <w:gridCol w:w="4230"/>
      </w:tblGrid>
      <w:tr w:rsidR="00854ADA" w:rsidRPr="00FF386D" w14:paraId="63EDF7BB" w14:textId="77777777" w:rsidTr="0057310C">
        <w:trPr>
          <w:trHeight w:val="780"/>
        </w:trPr>
        <w:tc>
          <w:tcPr>
            <w:tcW w:w="3329"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6D8332C7"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54" w:type="dxa"/>
            <w:tcBorders>
              <w:top w:val="single" w:sz="8" w:space="0" w:color="auto"/>
              <w:left w:val="nil"/>
              <w:bottom w:val="single" w:sz="8" w:space="0" w:color="auto"/>
              <w:right w:val="single" w:sz="8" w:space="0" w:color="auto"/>
            </w:tcBorders>
            <w:shd w:val="clear" w:color="auto" w:fill="E7E6E6" w:themeFill="background2"/>
            <w:vAlign w:val="center"/>
            <w:hideMark/>
          </w:tcPr>
          <w:p w14:paraId="5D4000D7"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МП_ЕЕ3</w:t>
            </w:r>
          </w:p>
        </w:tc>
        <w:tc>
          <w:tcPr>
            <w:tcW w:w="945" w:type="dxa"/>
            <w:tcBorders>
              <w:top w:val="single" w:sz="8" w:space="0" w:color="auto"/>
              <w:left w:val="nil"/>
              <w:bottom w:val="single" w:sz="8" w:space="0" w:color="auto"/>
              <w:right w:val="single" w:sz="8" w:space="0" w:color="auto"/>
            </w:tcBorders>
            <w:shd w:val="clear" w:color="000000" w:fill="244062"/>
            <w:vAlign w:val="center"/>
            <w:hideMark/>
          </w:tcPr>
          <w:p w14:paraId="7B6D1E6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30" w:type="dxa"/>
            <w:tcBorders>
              <w:top w:val="single" w:sz="8" w:space="0" w:color="auto"/>
              <w:left w:val="nil"/>
              <w:bottom w:val="single" w:sz="8" w:space="0" w:color="auto"/>
              <w:right w:val="single" w:sz="8" w:space="0" w:color="auto"/>
            </w:tcBorders>
            <w:shd w:val="clear" w:color="auto" w:fill="E7E6E6" w:themeFill="background2"/>
            <w:vAlign w:val="center"/>
            <w:hideMark/>
          </w:tcPr>
          <w:p w14:paraId="24336D1F" w14:textId="68AFD3E4" w:rsidR="00854ADA" w:rsidRPr="00FF386D" w:rsidRDefault="00836176" w:rsidP="00854ADA">
            <w:pPr>
              <w:spacing w:after="0" w:line="240" w:lineRule="auto"/>
              <w:rPr>
                <w:rFonts w:ascii="Calibri Light" w:eastAsia="Times New Roman" w:hAnsi="Calibri Light" w:cs="Calibri Light"/>
                <w:b/>
                <w:bCs/>
                <w:color w:val="000000"/>
                <w:sz w:val="20"/>
                <w:szCs w:val="20"/>
                <w:lang w:eastAsia="en-GB"/>
              </w:rPr>
            </w:pPr>
            <w:r w:rsidRPr="00836176">
              <w:rPr>
                <w:rFonts w:ascii="Calibri Light" w:hAnsi="Calibri Light"/>
                <w:b/>
                <w:sz w:val="20"/>
              </w:rPr>
              <w:t>Финансијска подршка</w:t>
            </w:r>
            <w:r>
              <w:rPr>
                <w:rFonts w:ascii="Calibri Light" w:hAnsi="Calibri Light"/>
                <w:b/>
                <w:sz w:val="20"/>
                <w:lang w:val="sr-Latn-RS"/>
              </w:rPr>
              <w:t xml:space="preserve"> </w:t>
            </w:r>
            <w:r w:rsidRPr="00836176">
              <w:rPr>
                <w:rFonts w:ascii="Calibri Light" w:hAnsi="Calibri Light"/>
                <w:b/>
                <w:sz w:val="20"/>
                <w:lang w:val="sr-Latn-RS"/>
              </w:rPr>
              <w:t>за енергетску</w:t>
            </w:r>
            <w:r w:rsidRPr="00836176" w:rsidDel="00836176">
              <w:rPr>
                <w:rFonts w:ascii="Calibri Light" w:hAnsi="Calibri Light"/>
                <w:b/>
                <w:sz w:val="20"/>
                <w:lang w:val="sr-Latn-RS"/>
              </w:rPr>
              <w:t xml:space="preserve"> </w:t>
            </w:r>
            <w:r w:rsidR="009D59E1" w:rsidRPr="00FF386D">
              <w:rPr>
                <w:rFonts w:ascii="Calibri Light" w:hAnsi="Calibri Light"/>
                <w:b/>
                <w:sz w:val="20"/>
              </w:rPr>
              <w:t>санациј</w:t>
            </w:r>
            <w:r>
              <w:rPr>
                <w:rFonts w:ascii="Calibri Light" w:hAnsi="Calibri Light"/>
                <w:b/>
                <w:sz w:val="20"/>
              </w:rPr>
              <w:t>у</w:t>
            </w:r>
            <w:r w:rsidR="00854ADA" w:rsidRPr="00FF386D">
              <w:rPr>
                <w:rFonts w:ascii="Calibri Light" w:hAnsi="Calibri Light"/>
                <w:b/>
                <w:sz w:val="20"/>
              </w:rPr>
              <w:t xml:space="preserve"> нестамбених зграда (</w:t>
            </w:r>
            <w:r w:rsidR="00834D6C">
              <w:rPr>
                <w:rFonts w:ascii="Calibri Light" w:hAnsi="Calibri Light"/>
                <w:b/>
                <w:sz w:val="20"/>
              </w:rPr>
              <w:t>које не спадају у јавне</w:t>
            </w:r>
            <w:r w:rsidR="00854ADA" w:rsidRPr="00FF386D">
              <w:rPr>
                <w:rFonts w:ascii="Calibri Light" w:hAnsi="Calibri Light"/>
                <w:b/>
                <w:sz w:val="20"/>
              </w:rPr>
              <w:t>)</w:t>
            </w:r>
          </w:p>
        </w:tc>
      </w:tr>
      <w:tr w:rsidR="00854ADA" w:rsidRPr="00FF386D" w14:paraId="6C26400F" w14:textId="77777777" w:rsidTr="0057310C">
        <w:trPr>
          <w:trHeight w:val="960"/>
        </w:trPr>
        <w:tc>
          <w:tcPr>
            <w:tcW w:w="3329" w:type="dxa"/>
            <w:tcBorders>
              <w:top w:val="nil"/>
              <w:left w:val="single" w:sz="8" w:space="0" w:color="auto"/>
              <w:bottom w:val="single" w:sz="8" w:space="0" w:color="auto"/>
              <w:right w:val="nil"/>
            </w:tcBorders>
            <w:shd w:val="clear" w:color="000000" w:fill="244062"/>
            <w:vAlign w:val="center"/>
            <w:hideMark/>
          </w:tcPr>
          <w:p w14:paraId="3B45A6F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7A23FA85" w14:textId="3514422C" w:rsidR="00854ADA" w:rsidRPr="000A2AFE" w:rsidRDefault="009327B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Примена</w:t>
            </w:r>
            <w:r w:rsidR="00854ADA" w:rsidRPr="00FF386D">
              <w:rPr>
                <w:rFonts w:ascii="Calibri Light" w:hAnsi="Calibri Light"/>
                <w:sz w:val="20"/>
              </w:rPr>
              <w:t xml:space="preserve"> чланова Директиве </w:t>
            </w:r>
            <w:r w:rsidRPr="00FF386D">
              <w:rPr>
                <w:rFonts w:ascii="Calibri Light" w:hAnsi="Calibri Light"/>
                <w:sz w:val="20"/>
              </w:rPr>
              <w:t xml:space="preserve">(ЕУ) </w:t>
            </w:r>
            <w:r w:rsidR="00854ADA" w:rsidRPr="00FF386D">
              <w:rPr>
                <w:rFonts w:ascii="Calibri Light" w:hAnsi="Calibri Light"/>
                <w:sz w:val="20"/>
              </w:rPr>
              <w:t>2012/27, која је изме</w:t>
            </w:r>
            <w:r w:rsidRPr="00FF386D">
              <w:rPr>
                <w:rFonts w:ascii="Calibri Light" w:hAnsi="Calibri Light"/>
                <w:sz w:val="20"/>
              </w:rPr>
              <w:t>њ</w:t>
            </w:r>
            <w:r w:rsidR="00854ADA" w:rsidRPr="00FF386D">
              <w:rPr>
                <w:rFonts w:ascii="Calibri Light" w:hAnsi="Calibri Light"/>
                <w:sz w:val="20"/>
              </w:rPr>
              <w:t xml:space="preserve">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2018/2002</w:t>
            </w:r>
            <w:r w:rsidRPr="00FF386D">
              <w:rPr>
                <w:rFonts w:ascii="Calibri Light" w:hAnsi="Calibri Light"/>
                <w:sz w:val="20"/>
              </w:rPr>
              <w:t>, и то</w:t>
            </w:r>
            <w:r w:rsidR="00854ADA" w:rsidRPr="000A2AFE">
              <w:rPr>
                <w:rFonts w:ascii="Calibri Light" w:eastAsia="Times New Roman" w:hAnsi="Calibri Light" w:cs="Calibri Light"/>
                <w:color w:val="000000"/>
                <w:sz w:val="20"/>
                <w:szCs w:val="20"/>
                <w:lang w:eastAsia="en-GB"/>
              </w:rPr>
              <w:t>:</w:t>
            </w:r>
          </w:p>
          <w:p w14:paraId="514EAC83" w14:textId="2DBDD54C" w:rsidR="00854ADA" w:rsidRPr="000A2AFE" w:rsidRDefault="00854ADA" w:rsidP="00854ADA">
            <w:pPr>
              <w:numPr>
                <w:ilvl w:val="0"/>
                <w:numId w:val="12"/>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E3760A"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3</w:t>
            </w:r>
          </w:p>
          <w:p w14:paraId="523D0284" w14:textId="04679490" w:rsidR="00854ADA" w:rsidRPr="000A2AFE" w:rsidRDefault="00854ADA" w:rsidP="00854ADA">
            <w:pPr>
              <w:numPr>
                <w:ilvl w:val="0"/>
                <w:numId w:val="12"/>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E3760A"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4</w:t>
            </w:r>
          </w:p>
          <w:p w14:paraId="0996757F" w14:textId="35CE131B" w:rsidR="00854ADA" w:rsidRPr="00FF386D" w:rsidRDefault="00854ADA" w:rsidP="00854ADA">
            <w:pPr>
              <w:numPr>
                <w:ilvl w:val="0"/>
                <w:numId w:val="12"/>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lastRenderedPageBreak/>
              <w:t>Члан</w:t>
            </w:r>
            <w:r w:rsidR="00E3760A"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7</w:t>
            </w:r>
          </w:p>
        </w:tc>
      </w:tr>
      <w:tr w:rsidR="00854ADA" w:rsidRPr="00FF386D" w14:paraId="18F5A8DA"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12745EC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Квантификовани циљ:</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1564141E" w14:textId="66193499" w:rsidR="00854ADA" w:rsidRPr="00FF386D" w:rsidRDefault="009327BA" w:rsidP="00854ADA">
            <w:pPr>
              <w:numPr>
                <w:ilvl w:val="0"/>
                <w:numId w:val="115"/>
              </w:numPr>
              <w:contextualSpacing/>
              <w:rPr>
                <w:rFonts w:asciiTheme="majorHAnsi" w:eastAsia="Times New Roman" w:hAnsiTheme="majorHAnsi" w:cstheme="majorHAnsi"/>
                <w:color w:val="000000"/>
                <w:lang w:eastAsia="en-GB"/>
              </w:rPr>
            </w:pPr>
            <w:r w:rsidRPr="00FF386D">
              <w:rPr>
                <w:rFonts w:asciiTheme="majorHAnsi" w:eastAsia="Times New Roman" w:hAnsiTheme="majorHAnsi" w:cstheme="majorHAnsi"/>
                <w:color w:val="000000"/>
                <w:sz w:val="20"/>
                <w:szCs w:val="20"/>
                <w:lang w:eastAsia="en-GB"/>
              </w:rPr>
              <w:t>7</w:t>
            </w:r>
            <w:r w:rsidR="005F17E5">
              <w:rPr>
                <w:rFonts w:asciiTheme="majorHAnsi" w:eastAsia="Times New Roman" w:hAnsiTheme="majorHAnsi" w:cstheme="majorHAnsi"/>
                <w:color w:val="000000"/>
                <w:sz w:val="20"/>
                <w:szCs w:val="20"/>
                <w:lang w:val="sr-Latn-RS" w:eastAsia="en-GB"/>
              </w:rPr>
              <w:t>.</w:t>
            </w:r>
            <w:r w:rsidRPr="00FF386D">
              <w:rPr>
                <w:rFonts w:asciiTheme="majorHAnsi" w:eastAsia="Times New Roman" w:hAnsiTheme="majorHAnsi" w:cstheme="majorHAnsi"/>
                <w:color w:val="000000"/>
                <w:sz w:val="20"/>
                <w:szCs w:val="20"/>
                <w:lang w:eastAsia="en-GB"/>
              </w:rPr>
              <w:t>681</w:t>
            </w:r>
            <w:r w:rsidR="00854ADA" w:rsidRPr="00FF386D">
              <w:rPr>
                <w:rFonts w:asciiTheme="majorHAnsi" w:eastAsia="Times New Roman" w:hAnsiTheme="majorHAnsi" w:cstheme="majorHAnsi"/>
                <w:color w:val="000000"/>
                <w:sz w:val="20"/>
                <w:szCs w:val="20"/>
                <w:lang w:eastAsia="en-GB"/>
              </w:rPr>
              <w:t xml:space="preserve"> хиљада m</w:t>
            </w:r>
            <w:r w:rsidR="00854ADA" w:rsidRPr="00FF386D">
              <w:rPr>
                <w:rFonts w:asciiTheme="majorHAnsi" w:eastAsia="Times New Roman" w:hAnsiTheme="majorHAnsi" w:cstheme="majorHAnsi"/>
                <w:color w:val="000000"/>
                <w:sz w:val="20"/>
                <w:szCs w:val="20"/>
                <w:vertAlign w:val="superscript"/>
                <w:lang w:eastAsia="en-GB"/>
              </w:rPr>
              <w:t>2</w:t>
            </w:r>
            <w:r w:rsidRPr="00FF386D">
              <w:rPr>
                <w:rFonts w:asciiTheme="majorHAnsi" w:eastAsia="Times New Roman" w:hAnsiTheme="majorHAnsi" w:cstheme="majorHAnsi"/>
                <w:color w:val="000000"/>
                <w:sz w:val="20"/>
                <w:szCs w:val="20"/>
                <w:lang w:eastAsia="en-GB"/>
              </w:rPr>
              <w:t xml:space="preserve"> </w:t>
            </w:r>
            <w:r w:rsidR="00162ACD" w:rsidRPr="00162ACD">
              <w:rPr>
                <w:rFonts w:asciiTheme="majorHAnsi" w:eastAsia="Times New Roman" w:hAnsiTheme="majorHAnsi" w:cstheme="majorHAnsi"/>
                <w:color w:val="000000"/>
                <w:sz w:val="20"/>
                <w:szCs w:val="20"/>
                <w:lang w:eastAsia="en-GB"/>
              </w:rPr>
              <w:t xml:space="preserve">енергетски </w:t>
            </w:r>
            <w:r w:rsidR="00AB2594" w:rsidRPr="00FF386D">
              <w:rPr>
                <w:rFonts w:asciiTheme="majorHAnsi" w:eastAsia="Times New Roman" w:hAnsiTheme="majorHAnsi" w:cstheme="majorHAnsi"/>
                <w:color w:val="000000"/>
                <w:sz w:val="20"/>
                <w:szCs w:val="20"/>
                <w:lang w:eastAsia="en-GB"/>
              </w:rPr>
              <w:t>санираних</w:t>
            </w:r>
            <w:r w:rsidR="009D59E1" w:rsidRPr="00FF386D">
              <w:rPr>
                <w:rFonts w:asciiTheme="majorHAnsi" w:eastAsia="Times New Roman" w:hAnsiTheme="majorHAnsi" w:cstheme="majorHAnsi"/>
                <w:color w:val="000000"/>
                <w:sz w:val="20"/>
                <w:szCs w:val="20"/>
                <w:lang w:eastAsia="en-GB"/>
              </w:rPr>
              <w:t xml:space="preserve"> не стамбених </w:t>
            </w:r>
            <w:r w:rsidR="00854ADA" w:rsidRPr="00FF386D">
              <w:rPr>
                <w:rFonts w:asciiTheme="majorHAnsi" w:eastAsia="Times New Roman" w:hAnsiTheme="majorHAnsi" w:cstheme="majorHAnsi"/>
                <w:color w:val="000000"/>
                <w:sz w:val="20"/>
                <w:szCs w:val="20"/>
                <w:lang w:eastAsia="en-GB"/>
              </w:rPr>
              <w:t>зграда (уштеда финалне енергије 3</w:t>
            </w:r>
            <w:r w:rsidRPr="00FF386D">
              <w:rPr>
                <w:rFonts w:asciiTheme="majorHAnsi" w:eastAsia="Times New Roman" w:hAnsiTheme="majorHAnsi" w:cstheme="majorHAnsi"/>
                <w:color w:val="000000"/>
                <w:sz w:val="20"/>
                <w:szCs w:val="20"/>
                <w:lang w:eastAsia="en-GB"/>
              </w:rPr>
              <w:t>2</w:t>
            </w:r>
            <w:r w:rsidR="00854ADA" w:rsidRPr="00FF386D">
              <w:rPr>
                <w:rFonts w:asciiTheme="majorHAnsi" w:eastAsia="Times New Roman" w:hAnsiTheme="majorHAnsi" w:cstheme="majorHAnsi"/>
                <w:color w:val="000000"/>
                <w:sz w:val="20"/>
                <w:szCs w:val="20"/>
                <w:lang w:eastAsia="en-GB"/>
              </w:rPr>
              <w:t xml:space="preserve"> ktoe</w:t>
            </w:r>
            <w:r w:rsidR="00162ACD">
              <w:t xml:space="preserve"> </w:t>
            </w:r>
            <w:r w:rsidR="00162ACD" w:rsidRPr="00162ACD">
              <w:rPr>
                <w:rFonts w:asciiTheme="majorHAnsi" w:eastAsia="Times New Roman" w:hAnsiTheme="majorHAnsi" w:cstheme="majorHAnsi"/>
                <w:color w:val="000000"/>
                <w:sz w:val="20"/>
                <w:szCs w:val="20"/>
                <w:lang w:eastAsia="en-GB"/>
              </w:rPr>
              <w:t>остварена од интервенција на омотачу зграде</w:t>
            </w:r>
            <w:r w:rsidR="00854ADA" w:rsidRPr="00FF386D">
              <w:rPr>
                <w:rFonts w:asciiTheme="majorHAnsi" w:eastAsia="Times New Roman" w:hAnsiTheme="majorHAnsi" w:cstheme="majorHAnsi"/>
                <w:color w:val="000000"/>
                <w:sz w:val="20"/>
                <w:szCs w:val="20"/>
                <w:lang w:eastAsia="en-GB"/>
              </w:rPr>
              <w:t>)</w:t>
            </w:r>
          </w:p>
          <w:p w14:paraId="3B647BFF" w14:textId="4829A8E5" w:rsidR="00854ADA" w:rsidRPr="00FF386D" w:rsidRDefault="00162ACD" w:rsidP="00854ADA">
            <w:pPr>
              <w:numPr>
                <w:ilvl w:val="0"/>
                <w:numId w:val="115"/>
              </w:numPr>
              <w:contextualSpacing/>
              <w:rPr>
                <w:rFonts w:ascii="Calibri" w:eastAsia="Times New Roman" w:hAnsi="Calibri" w:cs="Calibri"/>
                <w:color w:val="000000"/>
                <w:lang w:eastAsia="en-GB"/>
              </w:rPr>
            </w:pPr>
            <w:r>
              <w:rPr>
                <w:rFonts w:asciiTheme="majorHAnsi" w:eastAsia="Times New Roman" w:hAnsiTheme="majorHAnsi" w:cstheme="majorHAnsi"/>
                <w:color w:val="000000"/>
                <w:sz w:val="20"/>
                <w:szCs w:val="20"/>
                <w:lang w:eastAsia="en-GB"/>
              </w:rPr>
              <w:t>3</w:t>
            </w:r>
            <w:r w:rsidR="00854ADA" w:rsidRPr="00FF386D">
              <w:rPr>
                <w:rFonts w:asciiTheme="majorHAnsi" w:eastAsia="Times New Roman" w:hAnsiTheme="majorHAnsi" w:cstheme="majorHAnsi"/>
                <w:color w:val="000000"/>
                <w:sz w:val="20"/>
                <w:szCs w:val="20"/>
                <w:lang w:eastAsia="en-GB"/>
              </w:rPr>
              <w:t>,</w:t>
            </w:r>
            <w:r>
              <w:rPr>
                <w:rFonts w:asciiTheme="majorHAnsi" w:eastAsia="Times New Roman" w:hAnsiTheme="majorHAnsi" w:cstheme="majorHAnsi"/>
                <w:color w:val="000000"/>
                <w:sz w:val="20"/>
                <w:szCs w:val="20"/>
                <w:lang w:eastAsia="en-GB"/>
              </w:rPr>
              <w:t>8</w:t>
            </w:r>
            <w:r w:rsidRPr="00FF386D">
              <w:rPr>
                <w:rFonts w:asciiTheme="majorHAnsi" w:eastAsia="Times New Roman" w:hAnsiTheme="majorHAnsi" w:cstheme="majorHAnsi"/>
                <w:color w:val="000000"/>
                <w:sz w:val="20"/>
                <w:szCs w:val="20"/>
                <w:lang w:eastAsia="en-GB"/>
              </w:rPr>
              <w:t xml:space="preserve"> </w:t>
            </w:r>
            <w:r w:rsidR="00854ADA" w:rsidRPr="00FF386D">
              <w:rPr>
                <w:rFonts w:asciiTheme="majorHAnsi" w:eastAsia="Times New Roman" w:hAnsiTheme="majorHAnsi" w:cstheme="majorHAnsi"/>
                <w:color w:val="000000"/>
                <w:sz w:val="20"/>
                <w:szCs w:val="20"/>
                <w:lang w:eastAsia="en-GB"/>
              </w:rPr>
              <w:t>GW</w:t>
            </w:r>
            <w:r w:rsidRPr="00162ACD">
              <w:rPr>
                <w:rFonts w:asciiTheme="majorHAnsi" w:eastAsia="Times New Roman" w:hAnsiTheme="majorHAnsi" w:cstheme="majorHAnsi"/>
                <w:color w:val="000000"/>
                <w:sz w:val="20"/>
                <w:szCs w:val="20"/>
                <w:lang w:eastAsia="en-GB"/>
              </w:rPr>
              <w:t>th</w:t>
            </w:r>
            <w:r w:rsidR="00854ADA" w:rsidRPr="00FF386D">
              <w:rPr>
                <w:rFonts w:asciiTheme="majorHAnsi" w:eastAsia="Times New Roman" w:hAnsiTheme="majorHAnsi" w:cstheme="majorHAnsi"/>
                <w:color w:val="000000"/>
                <w:sz w:val="20"/>
                <w:szCs w:val="20"/>
                <w:lang w:eastAsia="en-GB"/>
              </w:rPr>
              <w:t xml:space="preserve"> </w:t>
            </w:r>
            <w:r w:rsidR="009D59E1" w:rsidRPr="00FF386D">
              <w:rPr>
                <w:rFonts w:asciiTheme="majorHAnsi" w:eastAsia="Times New Roman" w:hAnsiTheme="majorHAnsi" w:cstheme="majorHAnsi"/>
                <w:color w:val="000000"/>
                <w:sz w:val="20"/>
                <w:szCs w:val="20"/>
                <w:lang w:eastAsia="en-GB"/>
              </w:rPr>
              <w:t>нови к</w:t>
            </w:r>
            <w:r w:rsidR="00854ADA" w:rsidRPr="00FF386D">
              <w:rPr>
                <w:rFonts w:asciiTheme="majorHAnsi" w:eastAsia="Times New Roman" w:hAnsiTheme="majorHAnsi" w:cstheme="majorHAnsi"/>
                <w:color w:val="000000"/>
                <w:sz w:val="20"/>
                <w:szCs w:val="20"/>
                <w:lang w:eastAsia="en-GB"/>
              </w:rPr>
              <w:t xml:space="preserve">апацитет топлотних пумпи (уштеда финалне енергије </w:t>
            </w:r>
            <w:r>
              <w:rPr>
                <w:rFonts w:asciiTheme="majorHAnsi" w:eastAsia="Times New Roman" w:hAnsiTheme="majorHAnsi" w:cstheme="majorHAnsi"/>
                <w:color w:val="000000"/>
                <w:sz w:val="20"/>
                <w:szCs w:val="20"/>
                <w:lang w:eastAsia="en-GB"/>
              </w:rPr>
              <w:t>25</w:t>
            </w:r>
            <w:r w:rsidRPr="00FF386D">
              <w:rPr>
                <w:rFonts w:asciiTheme="majorHAnsi" w:eastAsia="Times New Roman" w:hAnsiTheme="majorHAnsi" w:cstheme="majorHAnsi"/>
                <w:color w:val="000000"/>
                <w:sz w:val="20"/>
                <w:szCs w:val="20"/>
                <w:lang w:eastAsia="en-GB"/>
              </w:rPr>
              <w:t xml:space="preserve"> </w:t>
            </w:r>
            <w:r w:rsidR="00854ADA" w:rsidRPr="00FF386D">
              <w:rPr>
                <w:rFonts w:asciiTheme="majorHAnsi" w:eastAsia="Times New Roman" w:hAnsiTheme="majorHAnsi" w:cstheme="majorHAnsi"/>
                <w:color w:val="000000"/>
                <w:sz w:val="20"/>
                <w:szCs w:val="20"/>
                <w:lang w:eastAsia="en-GB"/>
              </w:rPr>
              <w:t>ktoe)</w:t>
            </w:r>
          </w:p>
        </w:tc>
      </w:tr>
      <w:tr w:rsidR="00854ADA" w:rsidRPr="00FF386D" w14:paraId="7618ABBF" w14:textId="77777777" w:rsidTr="0057310C">
        <w:trPr>
          <w:trHeight w:val="229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235B640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041A0AB0" w14:textId="52F8162F"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МП_ЕЕ3 ће предвидети давање субвенција за енергетску </w:t>
            </w:r>
            <w:r w:rsidR="009D59E1" w:rsidRPr="00FF386D">
              <w:rPr>
                <w:rFonts w:ascii="Calibri Light" w:hAnsi="Calibri Light"/>
                <w:sz w:val="20"/>
              </w:rPr>
              <w:t>санацију</w:t>
            </w:r>
            <w:r w:rsidRPr="00FF386D">
              <w:rPr>
                <w:rFonts w:ascii="Calibri Light" w:hAnsi="Calibri Light"/>
                <w:sz w:val="20"/>
              </w:rPr>
              <w:t xml:space="preserve"> нестамбених зграда</w:t>
            </w:r>
            <w:r w:rsidR="00162ACD" w:rsidRPr="00162ACD">
              <w:rPr>
                <w:rFonts w:ascii="Calibri Light" w:hAnsi="Calibri Light"/>
                <w:sz w:val="20"/>
              </w:rPr>
              <w:t xml:space="preserve">, с изузетком јавних зграда, </w:t>
            </w:r>
            <w:r w:rsidR="00162ACD">
              <w:rPr>
                <w:rFonts w:ascii="Calibri Light" w:hAnsi="Calibri Light"/>
                <w:sz w:val="20"/>
              </w:rPr>
              <w:t>уз</w:t>
            </w:r>
            <w:r w:rsidRPr="00FF386D">
              <w:rPr>
                <w:rFonts w:ascii="Calibri Light" w:hAnsi="Calibri Light"/>
                <w:sz w:val="20"/>
              </w:rPr>
              <w:t xml:space="preserve"> </w:t>
            </w:r>
            <w:r w:rsidR="00162ACD" w:rsidRPr="00FF386D">
              <w:rPr>
                <w:rFonts w:ascii="Calibri Light" w:hAnsi="Calibri Light"/>
                <w:sz w:val="20"/>
              </w:rPr>
              <w:t>наглас</w:t>
            </w:r>
            <w:r w:rsidR="00162ACD">
              <w:rPr>
                <w:rFonts w:ascii="Calibri Light" w:hAnsi="Calibri Light"/>
                <w:sz w:val="20"/>
              </w:rPr>
              <w:t>ак</w:t>
            </w:r>
            <w:r w:rsidR="00162ACD" w:rsidRPr="00FF386D">
              <w:rPr>
                <w:rFonts w:ascii="Calibri Light" w:hAnsi="Calibri Light"/>
                <w:sz w:val="20"/>
              </w:rPr>
              <w:t xml:space="preserve"> </w:t>
            </w:r>
            <w:r w:rsidRPr="00FF386D">
              <w:rPr>
                <w:rFonts w:ascii="Calibri Light" w:hAnsi="Calibri Light"/>
                <w:sz w:val="20"/>
              </w:rPr>
              <w:t xml:space="preserve">на </w:t>
            </w:r>
            <w:r w:rsidR="00162ACD" w:rsidRPr="00162ACD">
              <w:rPr>
                <w:rFonts w:ascii="Calibri Light" w:hAnsi="Calibri Light"/>
                <w:sz w:val="20"/>
              </w:rPr>
              <w:t>смањењу потражње за грејањем и хлађењем у</w:t>
            </w:r>
            <w:r w:rsidRPr="00FF386D">
              <w:rPr>
                <w:rFonts w:ascii="Calibri Light" w:hAnsi="Calibri Light"/>
                <w:sz w:val="20"/>
              </w:rPr>
              <w:t xml:space="preserve"> сектору услуга. </w:t>
            </w:r>
            <w:r w:rsidR="00162ACD" w:rsidRPr="00162ACD">
              <w:rPr>
                <w:rFonts w:ascii="Calibri Light" w:hAnsi="Calibri Light"/>
                <w:sz w:val="20"/>
              </w:rPr>
              <w:t xml:space="preserve">Израда и додела наменских финансијских подстицаја ће омогућити обимнију енергетску санацију зграда кроз трошковно оптималне интервенције за унапређење енергетске ефикасности зграда и техничких система са највећим потенцијалом за уштеду енергије. </w:t>
            </w:r>
            <w:r w:rsidRPr="00FF386D">
              <w:rPr>
                <w:rFonts w:ascii="Calibri Light" w:hAnsi="Calibri Light"/>
                <w:sz w:val="20"/>
              </w:rPr>
              <w:t xml:space="preserve">Биће </w:t>
            </w:r>
            <w:r w:rsidR="009D59E1" w:rsidRPr="00FF386D">
              <w:rPr>
                <w:rFonts w:ascii="Calibri Light" w:hAnsi="Calibri Light"/>
                <w:sz w:val="20"/>
              </w:rPr>
              <w:t>примењене</w:t>
            </w:r>
            <w:r w:rsidRPr="00FF386D">
              <w:rPr>
                <w:rFonts w:ascii="Calibri Light" w:hAnsi="Calibri Light"/>
                <w:sz w:val="20"/>
              </w:rPr>
              <w:t xml:space="preserve"> додатне финансијске и фискалне мере, као што </w:t>
            </w:r>
            <w:r w:rsidR="009D59E1" w:rsidRPr="00FF386D">
              <w:rPr>
                <w:rFonts w:ascii="Calibri Light" w:hAnsi="Calibri Light"/>
                <w:sz w:val="20"/>
              </w:rPr>
              <w:t>су</w:t>
            </w:r>
            <w:r w:rsidRPr="00FF386D">
              <w:rPr>
                <w:rFonts w:ascii="Calibri Light" w:hAnsi="Calibri Light"/>
                <w:sz w:val="20"/>
              </w:rPr>
              <w:t xml:space="preserve"> </w:t>
            </w:r>
            <w:r w:rsidR="009D59E1" w:rsidRPr="00FF386D">
              <w:rPr>
                <w:rFonts w:ascii="Calibri Light" w:hAnsi="Calibri Light"/>
                <w:sz w:val="20"/>
              </w:rPr>
              <w:t xml:space="preserve">увођење </w:t>
            </w:r>
            <w:r w:rsidRPr="00FF386D">
              <w:rPr>
                <w:rFonts w:ascii="Calibri Light" w:hAnsi="Calibri Light"/>
                <w:sz w:val="20"/>
              </w:rPr>
              <w:t>циљан</w:t>
            </w:r>
            <w:r w:rsidR="009D59E1" w:rsidRPr="00FF386D">
              <w:rPr>
                <w:rFonts w:ascii="Calibri Light" w:hAnsi="Calibri Light"/>
                <w:sz w:val="20"/>
              </w:rPr>
              <w:t>их</w:t>
            </w:r>
            <w:r w:rsidRPr="00FF386D">
              <w:rPr>
                <w:rFonts w:ascii="Calibri Light" w:hAnsi="Calibri Light"/>
                <w:sz w:val="20"/>
              </w:rPr>
              <w:t xml:space="preserve"> пореских олакшица и не</w:t>
            </w:r>
            <w:r w:rsidR="008A647C" w:rsidRPr="00FF386D">
              <w:rPr>
                <w:rFonts w:ascii="Calibri Light" w:hAnsi="Calibri Light"/>
                <w:sz w:val="20"/>
              </w:rPr>
              <w:t>с</w:t>
            </w:r>
            <w:r w:rsidRPr="00FF386D">
              <w:rPr>
                <w:rFonts w:ascii="Calibri Light" w:hAnsi="Calibri Light"/>
                <w:sz w:val="20"/>
              </w:rPr>
              <w:t>метани приступ потребним средствима, као што су кредитне линије, гаранције и кредити са ниском каматом, у случају да допринос планираних субвенција не буде довољан</w:t>
            </w:r>
            <w:r w:rsidR="001D5294">
              <w:rPr>
                <w:rFonts w:ascii="Calibri Light" w:hAnsi="Calibri Light"/>
                <w:sz w:val="20"/>
              </w:rPr>
              <w:t xml:space="preserve">. </w:t>
            </w:r>
            <w:r w:rsidR="001D5294" w:rsidRPr="001D5294">
              <w:rPr>
                <w:rFonts w:ascii="Calibri Light" w:hAnsi="Calibri Light"/>
                <w:sz w:val="20"/>
              </w:rPr>
              <w:t>Посебан фокус ће бити на енергетској санацији зграда у областима Праведне транзиције.</w:t>
            </w:r>
          </w:p>
        </w:tc>
      </w:tr>
      <w:tr w:rsidR="00854ADA" w:rsidRPr="00FF386D" w14:paraId="47500C62"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2B81A5D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27C4E348" w14:textId="7EF60FD6"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9D59E1"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-2030.</w:t>
            </w:r>
          </w:p>
        </w:tc>
      </w:tr>
      <w:tr w:rsidR="00854ADA" w:rsidRPr="00FF386D" w14:paraId="00E0E30C"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64F7F38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1746596A"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Инвестиција</w:t>
            </w:r>
          </w:p>
        </w:tc>
      </w:tr>
      <w:tr w:rsidR="00854ADA" w:rsidRPr="00FF386D" w14:paraId="3241887E"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4E72E4E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28C54053"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Комерцијални, индустријски</w:t>
            </w:r>
          </w:p>
        </w:tc>
      </w:tr>
      <w:tr w:rsidR="00854ADA" w:rsidRPr="00FF386D" w14:paraId="26060307"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171E298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7B2C257D" w14:textId="77777777" w:rsidR="00854ADA" w:rsidRPr="00FF386D" w:rsidRDefault="00854ADA" w:rsidP="00854ADA">
            <w:pPr>
              <w:numPr>
                <w:ilvl w:val="0"/>
                <w:numId w:val="11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Министарство грађевинарства, саобраћаја и инфраструктуре</w:t>
            </w:r>
          </w:p>
          <w:p w14:paraId="67A71981" w14:textId="1277F114" w:rsidR="00854ADA" w:rsidRPr="00FF386D" w:rsidRDefault="00854ADA" w:rsidP="00854ADA">
            <w:pPr>
              <w:numPr>
                <w:ilvl w:val="0"/>
                <w:numId w:val="11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Министарство рударства и енергетике</w:t>
            </w:r>
          </w:p>
          <w:p w14:paraId="108A55B0" w14:textId="77777777" w:rsidR="00854ADA" w:rsidRPr="00FF386D" w:rsidRDefault="00854ADA" w:rsidP="00854ADA">
            <w:pPr>
              <w:numPr>
                <w:ilvl w:val="0"/>
                <w:numId w:val="11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МФИ</w:t>
            </w:r>
          </w:p>
        </w:tc>
      </w:tr>
      <w:tr w:rsidR="00854ADA" w:rsidRPr="00FF386D" w14:paraId="29BCE936" w14:textId="77777777" w:rsidTr="0057310C">
        <w:trPr>
          <w:trHeight w:val="315"/>
        </w:trPr>
        <w:tc>
          <w:tcPr>
            <w:tcW w:w="3329" w:type="dxa"/>
            <w:tcBorders>
              <w:top w:val="nil"/>
              <w:left w:val="single" w:sz="8" w:space="0" w:color="auto"/>
              <w:bottom w:val="single" w:sz="8" w:space="0" w:color="auto"/>
              <w:right w:val="nil"/>
            </w:tcBorders>
            <w:shd w:val="clear" w:color="000000" w:fill="244062"/>
            <w:vAlign w:val="center"/>
            <w:hideMark/>
          </w:tcPr>
          <w:p w14:paraId="4FAEDEF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02AC5EC9" w14:textId="1715F40A" w:rsidR="00854ADA" w:rsidRPr="000A2AFE" w:rsidRDefault="00E811DB" w:rsidP="000A2AFE">
            <w:pPr>
              <w:pStyle w:val="ListParagraph"/>
              <w:numPr>
                <w:ilvl w:val="0"/>
                <w:numId w:val="336"/>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693BA48A" w14:textId="77777777" w:rsidTr="0057310C">
        <w:trPr>
          <w:trHeight w:val="315"/>
        </w:trPr>
        <w:tc>
          <w:tcPr>
            <w:tcW w:w="3329" w:type="dxa"/>
            <w:tcBorders>
              <w:top w:val="nil"/>
              <w:left w:val="single" w:sz="8" w:space="0" w:color="auto"/>
              <w:bottom w:val="single" w:sz="8" w:space="0" w:color="auto"/>
              <w:right w:val="nil"/>
            </w:tcBorders>
            <w:shd w:val="clear" w:color="000000" w:fill="244062"/>
            <w:vAlign w:val="center"/>
            <w:hideMark/>
          </w:tcPr>
          <w:p w14:paraId="4F4B8C3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204E20E6" w14:textId="1E68443D" w:rsidR="00854ADA" w:rsidRPr="00FF386D" w:rsidRDefault="00854ADA" w:rsidP="00854ADA">
            <w:pPr>
              <w:numPr>
                <w:ilvl w:val="0"/>
                <w:numId w:val="115"/>
              </w:numPr>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Укупна површина </w:t>
            </w:r>
            <w:r w:rsidR="001D5294" w:rsidRPr="001D5294">
              <w:rPr>
                <w:rFonts w:ascii="Calibri Light" w:eastAsia="Times New Roman" w:hAnsi="Calibri Light" w:cs="Calibri Light"/>
                <w:color w:val="000000"/>
                <w:sz w:val="20"/>
                <w:szCs w:val="20"/>
                <w:lang w:eastAsia="en-GB"/>
              </w:rPr>
              <w:t xml:space="preserve">енергетски </w:t>
            </w:r>
            <w:r w:rsidR="009D59E1" w:rsidRPr="00FF386D">
              <w:rPr>
                <w:rFonts w:ascii="Calibri Light" w:eastAsia="Times New Roman" w:hAnsi="Calibri Light" w:cs="Calibri Light"/>
                <w:color w:val="000000"/>
                <w:sz w:val="20"/>
                <w:szCs w:val="20"/>
                <w:lang w:eastAsia="en-GB"/>
              </w:rPr>
              <w:t>санираних</w:t>
            </w:r>
            <w:r w:rsidRPr="00FF386D">
              <w:rPr>
                <w:rFonts w:ascii="Calibri Light" w:eastAsia="Times New Roman" w:hAnsi="Calibri Light" w:cs="Calibri Light"/>
                <w:color w:val="000000"/>
                <w:sz w:val="20"/>
                <w:szCs w:val="20"/>
                <w:lang w:eastAsia="en-GB"/>
              </w:rPr>
              <w:t xml:space="preserve"> </w:t>
            </w:r>
            <w:r w:rsidR="001D5294" w:rsidRPr="001D5294">
              <w:rPr>
                <w:rFonts w:ascii="Calibri Light" w:eastAsia="Times New Roman" w:hAnsi="Calibri Light" w:cs="Calibri Light"/>
                <w:color w:val="000000"/>
                <w:sz w:val="20"/>
                <w:szCs w:val="20"/>
                <w:lang w:eastAsia="en-GB"/>
              </w:rPr>
              <w:t xml:space="preserve">(не јавних) </w:t>
            </w:r>
            <w:r w:rsidRPr="00FF386D">
              <w:rPr>
                <w:rFonts w:ascii="Calibri Light" w:eastAsia="Times New Roman" w:hAnsi="Calibri Light" w:cs="Calibri Light"/>
                <w:color w:val="000000"/>
                <w:sz w:val="20"/>
                <w:szCs w:val="20"/>
                <w:lang w:eastAsia="en-GB"/>
              </w:rPr>
              <w:t>зграда</w:t>
            </w:r>
          </w:p>
          <w:p w14:paraId="7050DD03" w14:textId="77777777" w:rsidR="00854ADA" w:rsidRPr="00FF386D" w:rsidRDefault="00854ADA" w:rsidP="00854ADA">
            <w:pPr>
              <w:numPr>
                <w:ilvl w:val="0"/>
                <w:numId w:val="115"/>
              </w:numPr>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Инсталисани капацитет топлотних пумпи</w:t>
            </w:r>
          </w:p>
        </w:tc>
      </w:tr>
      <w:tr w:rsidR="00854ADA" w:rsidRPr="00FF386D" w14:paraId="0C510493" w14:textId="77777777" w:rsidTr="0057310C">
        <w:trPr>
          <w:trHeight w:val="494"/>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3024241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3B78C91F" w14:textId="7C634718" w:rsidR="00E811DB" w:rsidRPr="00E811DB" w:rsidRDefault="00854ADA" w:rsidP="00E811DB">
            <w:pPr>
              <w:numPr>
                <w:ilvl w:val="0"/>
                <w:numId w:val="117"/>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Декарбонизација</w:t>
            </w:r>
            <w:r w:rsidR="00E811DB">
              <w:rPr>
                <w:rFonts w:ascii="Calibri Light" w:eastAsia="Times New Roman" w:hAnsi="Calibri Light" w:cs="Calibri Light"/>
                <w:color w:val="000000"/>
                <w:sz w:val="20"/>
                <w:szCs w:val="20"/>
                <w:lang w:eastAsia="en-GB"/>
              </w:rPr>
              <w:t xml:space="preserve"> </w:t>
            </w:r>
            <w:r w:rsidR="00E811DB" w:rsidRPr="00E811DB">
              <w:rPr>
                <w:rFonts w:ascii="Calibri Light" w:eastAsia="Times New Roman" w:hAnsi="Calibri Light" w:cs="Calibri Light"/>
                <w:color w:val="000000"/>
                <w:sz w:val="20"/>
                <w:szCs w:val="20"/>
                <w:lang w:eastAsia="en-GB"/>
              </w:rPr>
              <w:t xml:space="preserve">(постигнутом уштедом енергије смањиће се потрошња фосилних горива што ће довести до смањења емисија </w:t>
            </w:r>
            <w:r w:rsidR="00E811DB" w:rsidRPr="00E811DB">
              <w:rPr>
                <w:rFonts w:ascii="Calibri Light" w:eastAsia="Times New Roman" w:hAnsi="Calibri Light" w:cs="Calibri Light"/>
                <w:i/>
                <w:iCs/>
                <w:color w:val="000000"/>
                <w:sz w:val="20"/>
                <w:szCs w:val="20"/>
                <w:lang w:val="en-US" w:eastAsia="en-GB"/>
              </w:rPr>
              <w:t>GHG</w:t>
            </w:r>
            <w:r w:rsidR="00E811DB" w:rsidRPr="00E811DB">
              <w:rPr>
                <w:rFonts w:ascii="Calibri Light" w:eastAsia="Times New Roman" w:hAnsi="Calibri Light" w:cs="Calibri Light"/>
                <w:i/>
                <w:iCs/>
                <w:color w:val="000000"/>
                <w:sz w:val="20"/>
                <w:szCs w:val="20"/>
                <w:lang w:eastAsia="en-GB"/>
              </w:rPr>
              <w:t>,</w:t>
            </w:r>
            <w:r w:rsidR="00E811DB" w:rsidRPr="00E811DB">
              <w:rPr>
                <w:rFonts w:ascii="Calibri Light" w:eastAsia="Times New Roman" w:hAnsi="Calibri Light" w:cs="Calibri Light"/>
                <w:color w:val="000000"/>
                <w:sz w:val="20"/>
                <w:szCs w:val="20"/>
                <w:lang w:eastAsia="en-GB"/>
              </w:rPr>
              <w:t xml:space="preserve"> а коришћење технологија ОИЕ ће повећати удео ОИЕ у грејању и хлађењу)</w:t>
            </w:r>
          </w:p>
          <w:p w14:paraId="75886329" w14:textId="050D6E50" w:rsidR="00854ADA" w:rsidRPr="00FF386D" w:rsidRDefault="00E811DB" w:rsidP="00E811DB">
            <w:pPr>
              <w:numPr>
                <w:ilvl w:val="0"/>
                <w:numId w:val="117"/>
              </w:numPr>
              <w:spacing w:after="0" w:line="240" w:lineRule="auto"/>
              <w:contextualSpacing/>
              <w:rPr>
                <w:rFonts w:ascii="Calibri Light" w:eastAsia="Times New Roman" w:hAnsi="Calibri Light" w:cs="Calibri Light"/>
                <w:color w:val="000000"/>
                <w:sz w:val="20"/>
                <w:szCs w:val="20"/>
                <w:lang w:eastAsia="en-GB"/>
              </w:rPr>
            </w:pPr>
            <w:r w:rsidRPr="00E811DB">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w:t>
            </w:r>
            <w:r w:rsidR="00054666">
              <w:rPr>
                <w:rFonts w:ascii="Calibri Light" w:eastAsia="Times New Roman" w:hAnsi="Calibri Light" w:cs="Calibri Light"/>
                <w:color w:val="000000"/>
                <w:sz w:val="20"/>
                <w:szCs w:val="20"/>
                <w:lang w:eastAsia="en-GB"/>
              </w:rPr>
              <w:t>а увезених</w:t>
            </w:r>
            <w:r w:rsidRPr="00E811DB">
              <w:rPr>
                <w:rFonts w:ascii="Calibri Light" w:eastAsia="Times New Roman" w:hAnsi="Calibri Light" w:cs="Calibri Light"/>
                <w:color w:val="000000"/>
                <w:sz w:val="20"/>
                <w:szCs w:val="20"/>
                <w:lang w:eastAsia="en-GB"/>
              </w:rPr>
              <w:t xml:space="preserve"> фосилних горива што ће довести до смањења зависности од увоза енергије из трећих земаља)</w:t>
            </w:r>
          </w:p>
        </w:tc>
      </w:tr>
      <w:tr w:rsidR="00854ADA" w:rsidRPr="00FF386D" w14:paraId="1C82A919" w14:textId="77777777" w:rsidTr="0057310C">
        <w:trPr>
          <w:trHeight w:val="450"/>
        </w:trPr>
        <w:tc>
          <w:tcPr>
            <w:tcW w:w="3329"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1B292571" w14:textId="6B1B7CFE"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29"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148E0FB5" w14:textId="156F808B" w:rsidR="00854ADA" w:rsidRPr="000A2AFE" w:rsidRDefault="00854ADA">
            <w:pPr>
              <w:numPr>
                <w:ilvl w:val="0"/>
                <w:numId w:val="233"/>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Директива </w:t>
            </w:r>
            <w:r w:rsidR="00E3760A" w:rsidRPr="000A2AFE">
              <w:rPr>
                <w:rFonts w:ascii="Calibri Light" w:eastAsia="Times New Roman" w:hAnsi="Calibri Light" w:cs="Calibri Light"/>
                <w:color w:val="000000"/>
                <w:sz w:val="20"/>
                <w:szCs w:val="20"/>
                <w:lang w:eastAsia="en-GB"/>
              </w:rPr>
              <w:t xml:space="preserve">(ЕУ) </w:t>
            </w:r>
            <w:r w:rsidRPr="000A2AFE">
              <w:rPr>
                <w:rFonts w:ascii="Calibri Light" w:eastAsia="Times New Roman" w:hAnsi="Calibri Light" w:cs="Calibri Light"/>
                <w:color w:val="000000"/>
                <w:sz w:val="20"/>
                <w:szCs w:val="20"/>
                <w:lang w:eastAsia="en-GB"/>
              </w:rPr>
              <w:t>2010/31</w:t>
            </w:r>
          </w:p>
          <w:p w14:paraId="28FD5A50" w14:textId="3BABC01D" w:rsidR="00854ADA" w:rsidRPr="000A2AFE" w:rsidRDefault="00854ADA">
            <w:pPr>
              <w:numPr>
                <w:ilvl w:val="0"/>
                <w:numId w:val="233"/>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Директива </w:t>
            </w:r>
            <w:r w:rsidR="00E3760A" w:rsidRPr="000A2AFE">
              <w:rPr>
                <w:rFonts w:ascii="Calibri Light" w:eastAsia="Times New Roman" w:hAnsi="Calibri Light" w:cs="Calibri Light"/>
                <w:color w:val="000000"/>
                <w:sz w:val="20"/>
                <w:szCs w:val="20"/>
                <w:lang w:eastAsia="en-GB"/>
              </w:rPr>
              <w:t xml:space="preserve">(ЕУ) </w:t>
            </w:r>
            <w:r w:rsidRPr="000A2AFE">
              <w:rPr>
                <w:rFonts w:ascii="Calibri Light" w:eastAsia="Times New Roman" w:hAnsi="Calibri Light" w:cs="Calibri Light"/>
                <w:color w:val="000000"/>
                <w:sz w:val="20"/>
                <w:szCs w:val="20"/>
                <w:lang w:eastAsia="en-GB"/>
              </w:rPr>
              <w:t>2012/27</w:t>
            </w:r>
          </w:p>
          <w:p w14:paraId="1A7E7473" w14:textId="614D4000" w:rsidR="00854ADA" w:rsidRPr="000A2AFE" w:rsidRDefault="00854ADA">
            <w:pPr>
              <w:numPr>
                <w:ilvl w:val="0"/>
                <w:numId w:val="233"/>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Директива </w:t>
            </w:r>
            <w:r w:rsidR="00E3760A" w:rsidRPr="000A2AFE">
              <w:rPr>
                <w:rFonts w:ascii="Calibri Light" w:eastAsia="Times New Roman" w:hAnsi="Calibri Light" w:cs="Calibri Light"/>
                <w:color w:val="000000"/>
                <w:sz w:val="20"/>
                <w:szCs w:val="20"/>
                <w:lang w:eastAsia="en-GB"/>
              </w:rPr>
              <w:t xml:space="preserve">(ЕУ) </w:t>
            </w:r>
            <w:r w:rsidRPr="000A2AFE">
              <w:rPr>
                <w:rFonts w:ascii="Calibri Light" w:eastAsia="Times New Roman" w:hAnsi="Calibri Light" w:cs="Calibri Light"/>
                <w:color w:val="000000"/>
                <w:sz w:val="20"/>
                <w:szCs w:val="20"/>
                <w:lang w:eastAsia="en-GB"/>
              </w:rPr>
              <w:t>2018/2002</w:t>
            </w:r>
          </w:p>
          <w:p w14:paraId="00461AE6" w14:textId="08EE5A64" w:rsidR="00854ADA" w:rsidRPr="00FF386D" w:rsidRDefault="00854ADA" w:rsidP="00854ADA">
            <w:pPr>
              <w:numPr>
                <w:ilvl w:val="0"/>
                <w:numId w:val="117"/>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Директива </w:t>
            </w:r>
            <w:r w:rsidR="00E3760A" w:rsidRPr="000A2AFE">
              <w:rPr>
                <w:rFonts w:ascii="Calibri Light" w:eastAsia="Times New Roman" w:hAnsi="Calibri Light" w:cs="Calibri Light"/>
                <w:color w:val="000000"/>
                <w:sz w:val="20"/>
                <w:szCs w:val="20"/>
                <w:lang w:eastAsia="en-GB"/>
              </w:rPr>
              <w:t xml:space="preserve">(ЕУ) </w:t>
            </w:r>
            <w:r w:rsidRPr="000A2AFE">
              <w:rPr>
                <w:rFonts w:ascii="Calibri Light" w:eastAsia="Times New Roman" w:hAnsi="Calibri Light" w:cs="Calibri Light"/>
                <w:color w:val="000000"/>
                <w:sz w:val="20"/>
                <w:szCs w:val="20"/>
                <w:lang w:eastAsia="en-GB"/>
              </w:rPr>
              <w:t>2018/844</w:t>
            </w:r>
          </w:p>
        </w:tc>
      </w:tr>
      <w:tr w:rsidR="00854ADA" w:rsidRPr="00FF386D" w14:paraId="5226E492" w14:textId="77777777" w:rsidTr="0057310C">
        <w:trPr>
          <w:trHeight w:val="450"/>
        </w:trPr>
        <w:tc>
          <w:tcPr>
            <w:tcW w:w="3329" w:type="dxa"/>
            <w:vMerge/>
            <w:tcBorders>
              <w:top w:val="nil"/>
              <w:left w:val="single" w:sz="8" w:space="0" w:color="auto"/>
              <w:bottom w:val="single" w:sz="8" w:space="0" w:color="000000"/>
              <w:right w:val="single" w:sz="8" w:space="0" w:color="auto"/>
            </w:tcBorders>
            <w:vAlign w:val="center"/>
            <w:hideMark/>
          </w:tcPr>
          <w:p w14:paraId="5B9DD8C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9" w:type="dxa"/>
            <w:gridSpan w:val="3"/>
            <w:vMerge/>
            <w:tcBorders>
              <w:top w:val="single" w:sz="8" w:space="0" w:color="auto"/>
              <w:left w:val="single" w:sz="8" w:space="0" w:color="auto"/>
              <w:bottom w:val="single" w:sz="8" w:space="0" w:color="000000"/>
              <w:right w:val="single" w:sz="8" w:space="0" w:color="000000"/>
            </w:tcBorders>
            <w:vAlign w:val="center"/>
            <w:hideMark/>
          </w:tcPr>
          <w:p w14:paraId="519166F0" w14:textId="77777777" w:rsidR="00854ADA" w:rsidRPr="00FF386D" w:rsidRDefault="00854ADA" w:rsidP="00854ADA">
            <w:pPr>
              <w:numPr>
                <w:ilvl w:val="0"/>
                <w:numId w:val="117"/>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6A013DBD" w14:textId="77777777" w:rsidTr="0057310C">
        <w:trPr>
          <w:trHeight w:val="450"/>
        </w:trPr>
        <w:tc>
          <w:tcPr>
            <w:tcW w:w="3329" w:type="dxa"/>
            <w:vMerge/>
            <w:tcBorders>
              <w:top w:val="nil"/>
              <w:left w:val="single" w:sz="8" w:space="0" w:color="auto"/>
              <w:bottom w:val="single" w:sz="8" w:space="0" w:color="000000"/>
              <w:right w:val="single" w:sz="8" w:space="0" w:color="auto"/>
            </w:tcBorders>
            <w:vAlign w:val="center"/>
            <w:hideMark/>
          </w:tcPr>
          <w:p w14:paraId="391B97A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9" w:type="dxa"/>
            <w:gridSpan w:val="3"/>
            <w:vMerge/>
            <w:tcBorders>
              <w:top w:val="single" w:sz="8" w:space="0" w:color="auto"/>
              <w:left w:val="single" w:sz="8" w:space="0" w:color="auto"/>
              <w:bottom w:val="single" w:sz="8" w:space="0" w:color="000000"/>
              <w:right w:val="single" w:sz="8" w:space="0" w:color="000000"/>
            </w:tcBorders>
            <w:vAlign w:val="center"/>
            <w:hideMark/>
          </w:tcPr>
          <w:p w14:paraId="72957047" w14:textId="77777777" w:rsidR="00854ADA" w:rsidRPr="00FF386D" w:rsidRDefault="00854ADA" w:rsidP="00854ADA">
            <w:pPr>
              <w:numPr>
                <w:ilvl w:val="0"/>
                <w:numId w:val="117"/>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0D05E995" w14:textId="77777777" w:rsidTr="0057310C">
        <w:trPr>
          <w:trHeight w:val="780"/>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4CAA75D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4278A94E" w14:textId="77777777" w:rsidR="00854ADA" w:rsidRPr="00FF386D" w:rsidRDefault="00854ADA" w:rsidP="00854ADA">
            <w:pPr>
              <w:numPr>
                <w:ilvl w:val="0"/>
                <w:numId w:val="117"/>
              </w:numPr>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енергетској ефикасности и рационалној употреби енергије</w:t>
            </w:r>
          </w:p>
          <w:p w14:paraId="2A03DF24" w14:textId="653B55DE" w:rsidR="00854ADA" w:rsidRPr="00FF386D" w:rsidRDefault="00854ADA" w:rsidP="00854ADA">
            <w:pPr>
              <w:numPr>
                <w:ilvl w:val="0"/>
                <w:numId w:val="117"/>
              </w:numPr>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4. НАПЕЕ</w:t>
            </w:r>
          </w:p>
          <w:p w14:paraId="71943EB1" w14:textId="77777777" w:rsidR="00854ADA" w:rsidRPr="00FF386D" w:rsidRDefault="00854ADA" w:rsidP="00854ADA">
            <w:pPr>
              <w:numPr>
                <w:ilvl w:val="0"/>
                <w:numId w:val="11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Дугорочна стратегија за подстицање улагања у обнову националног фонда зграда</w:t>
            </w:r>
          </w:p>
          <w:p w14:paraId="3768042A" w14:textId="731EAEFF" w:rsidR="00854ADA" w:rsidRPr="00FF386D" w:rsidRDefault="00854ADA" w:rsidP="00854ADA">
            <w:pPr>
              <w:numPr>
                <w:ilvl w:val="0"/>
                <w:numId w:val="11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Правилник о </w:t>
            </w:r>
            <w:r w:rsidR="00854477" w:rsidRPr="00FF386D">
              <w:rPr>
                <w:rFonts w:ascii="Calibri Light" w:eastAsia="Times New Roman" w:hAnsi="Calibri Light" w:cs="Calibri Light"/>
                <w:color w:val="000000"/>
                <w:sz w:val="20"/>
                <w:szCs w:val="20"/>
                <w:lang w:eastAsia="en-GB"/>
              </w:rPr>
              <w:t>енергетској</w:t>
            </w:r>
            <w:r w:rsidRPr="00FF386D">
              <w:rPr>
                <w:rFonts w:ascii="Calibri Light" w:eastAsia="Times New Roman" w:hAnsi="Calibri Light" w:cs="Calibri Light"/>
                <w:color w:val="000000"/>
                <w:sz w:val="20"/>
                <w:szCs w:val="20"/>
                <w:lang w:eastAsia="en-GB"/>
              </w:rPr>
              <w:t xml:space="preserve"> ефикасности зграда</w:t>
            </w:r>
          </w:p>
          <w:p w14:paraId="2C748458" w14:textId="4A00B07E" w:rsidR="00854ADA" w:rsidRPr="00FF386D" w:rsidRDefault="00AE075D" w:rsidP="00854ADA">
            <w:pPr>
              <w:numPr>
                <w:ilvl w:val="0"/>
                <w:numId w:val="117"/>
              </w:numPr>
              <w:spacing w:after="0" w:line="240" w:lineRule="auto"/>
              <w:contextualSpacing/>
              <w:rPr>
                <w:rFonts w:ascii="Calibri Light" w:eastAsia="Times New Roman" w:hAnsi="Calibri Light" w:cs="Calibri Light"/>
                <w:color w:val="000000"/>
                <w:sz w:val="20"/>
                <w:szCs w:val="20"/>
                <w:lang w:eastAsia="en-GB"/>
              </w:rPr>
            </w:pPr>
            <w:r w:rsidRPr="00AE075D">
              <w:rPr>
                <w:rFonts w:ascii="Calibri Light" w:eastAsia="Times New Roman" w:hAnsi="Calibri Light" w:cs="Calibri Light"/>
                <w:color w:val="000000"/>
                <w:sz w:val="20"/>
                <w:szCs w:val="20"/>
                <w:lang w:eastAsia="en-GB"/>
              </w:rPr>
              <w:t>Правилник о условима, садржини и начину издавања сертификата о енергетским својствима зграда</w:t>
            </w:r>
          </w:p>
        </w:tc>
      </w:tr>
      <w:tr w:rsidR="00854ADA" w:rsidRPr="00FF386D" w14:paraId="30B551E6"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36DEA2C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1617F8ED" w14:textId="2ABCE95C" w:rsidR="00854ADA" w:rsidRPr="00FF386D" w:rsidRDefault="0065102B" w:rsidP="00854ADA">
            <w:pPr>
              <w:contextualSpacing/>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1.601</w:t>
            </w:r>
            <w:r w:rsidR="00AE075D" w:rsidRPr="00FF386D">
              <w:rPr>
                <w:rFonts w:ascii="Calibri Light" w:eastAsia="Times New Roman" w:hAnsi="Calibri Light" w:cs="Calibri Light"/>
                <w:color w:val="000000"/>
                <w:sz w:val="20"/>
                <w:szCs w:val="20"/>
                <w:lang w:eastAsia="en-GB"/>
              </w:rPr>
              <w:t xml:space="preserve"> </w:t>
            </w:r>
            <w:r w:rsidRPr="00FF386D">
              <w:rPr>
                <w:rFonts w:ascii="Calibri Light" w:eastAsia="Times New Roman" w:hAnsi="Calibri Light" w:cs="Calibri Light"/>
                <w:color w:val="000000"/>
                <w:sz w:val="20"/>
                <w:szCs w:val="20"/>
                <w:lang w:eastAsia="en-GB"/>
              </w:rPr>
              <w:t>мили</w:t>
            </w:r>
            <w:r>
              <w:rPr>
                <w:rFonts w:ascii="Calibri Light" w:eastAsia="Times New Roman" w:hAnsi="Calibri Light" w:cs="Calibri Light"/>
                <w:color w:val="000000"/>
                <w:sz w:val="20"/>
                <w:szCs w:val="20"/>
                <w:lang w:eastAsia="en-GB"/>
              </w:rPr>
              <w:t>она</w:t>
            </w:r>
            <w:r w:rsidRPr="00FF386D">
              <w:rPr>
                <w:rFonts w:ascii="Calibri Light" w:eastAsia="Times New Roman" w:hAnsi="Calibri Light" w:cs="Calibri Light"/>
                <w:color w:val="000000"/>
                <w:sz w:val="20"/>
                <w:szCs w:val="20"/>
                <w:lang w:eastAsia="en-GB"/>
              </w:rPr>
              <w:t xml:space="preserve"> </w:t>
            </w:r>
            <w:r w:rsidR="00854ADA" w:rsidRPr="00FF386D">
              <w:rPr>
                <w:rFonts w:ascii="Calibri Light" w:eastAsia="Times New Roman" w:hAnsi="Calibri Light" w:cs="Calibri Light"/>
                <w:color w:val="000000"/>
                <w:sz w:val="20"/>
                <w:szCs w:val="20"/>
                <w:lang w:eastAsia="en-GB"/>
              </w:rPr>
              <w:t>евра</w:t>
            </w:r>
            <w:r w:rsidR="00DB3FE0">
              <w:rPr>
                <w:rFonts w:ascii="Calibri Light" w:eastAsia="Times New Roman" w:hAnsi="Calibri Light" w:cs="Calibri Light"/>
                <w:color w:val="000000"/>
                <w:sz w:val="20"/>
                <w:szCs w:val="20"/>
                <w:lang w:eastAsia="en-GB"/>
              </w:rPr>
              <w:t xml:space="preserve"> (817 милиона евра за интервенција на омотачу зграде и 783 милиона за топлотне пумпе)</w:t>
            </w:r>
          </w:p>
        </w:tc>
      </w:tr>
      <w:tr w:rsidR="00854ADA" w:rsidRPr="00FF386D" w14:paraId="504957C2"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3713A81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lastRenderedPageBreak/>
              <w:t>Извор(и) финансирања</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082360E8" w14:textId="683C4005"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854477" w:rsidRPr="00FF386D">
              <w:rPr>
                <w:rFonts w:asciiTheme="majorHAnsi" w:eastAsia="Times New Roman" w:hAnsiTheme="majorHAnsi" w:cstheme="majorHAnsi"/>
                <w:color w:val="000000"/>
                <w:sz w:val="20"/>
                <w:szCs w:val="20"/>
                <w:lang w:eastAsia="en-GB"/>
              </w:rPr>
              <w:t>ска средства</w:t>
            </w:r>
            <w:r w:rsidR="00AE075D">
              <w:rPr>
                <w:rFonts w:asciiTheme="majorHAnsi" w:eastAsia="Times New Roman" w:hAnsiTheme="majorHAnsi" w:cstheme="majorHAnsi"/>
                <w:color w:val="000000"/>
                <w:sz w:val="20"/>
                <w:szCs w:val="20"/>
                <w:lang w:eastAsia="en-GB"/>
              </w:rPr>
              <w:t xml:space="preserve">. Могућност примене </w:t>
            </w:r>
            <w:r w:rsidR="00AE075D" w:rsidRPr="006171AE">
              <w:rPr>
                <w:rFonts w:asciiTheme="majorHAnsi" w:eastAsia="Times New Roman" w:hAnsiTheme="majorHAnsi" w:cstheme="majorHAnsi"/>
                <w:i/>
                <w:iCs/>
                <w:color w:val="000000"/>
                <w:sz w:val="20"/>
                <w:szCs w:val="20"/>
                <w:lang w:val="en-US" w:eastAsia="en-GB"/>
              </w:rPr>
              <w:t>ESCO</w:t>
            </w:r>
            <w:r w:rsidR="00AE075D" w:rsidRPr="00C312D6">
              <w:rPr>
                <w:rFonts w:asciiTheme="majorHAnsi" w:eastAsia="Times New Roman" w:hAnsiTheme="majorHAnsi" w:cstheme="majorHAnsi"/>
                <w:color w:val="000000"/>
                <w:sz w:val="20"/>
                <w:szCs w:val="20"/>
                <w:lang w:eastAsia="en-GB"/>
              </w:rPr>
              <w:t xml:space="preserve"> </w:t>
            </w:r>
            <w:r w:rsidR="00AE075D">
              <w:rPr>
                <w:rFonts w:asciiTheme="majorHAnsi" w:eastAsia="Times New Roman" w:hAnsiTheme="majorHAnsi" w:cstheme="majorHAnsi"/>
                <w:color w:val="000000"/>
                <w:sz w:val="20"/>
                <w:szCs w:val="20"/>
                <w:lang w:eastAsia="en-GB"/>
              </w:rPr>
              <w:t>модела финансирања.</w:t>
            </w:r>
          </w:p>
        </w:tc>
      </w:tr>
    </w:tbl>
    <w:p w14:paraId="28B87F26"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26"/>
        <w:gridCol w:w="953"/>
        <w:gridCol w:w="945"/>
        <w:gridCol w:w="4234"/>
      </w:tblGrid>
      <w:tr w:rsidR="00854ADA" w:rsidRPr="00FF386D" w14:paraId="4A143A31" w14:textId="77777777" w:rsidTr="0057310C">
        <w:trPr>
          <w:trHeight w:val="780"/>
        </w:trPr>
        <w:tc>
          <w:tcPr>
            <w:tcW w:w="3326"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48F2AE32"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53" w:type="dxa"/>
            <w:tcBorders>
              <w:top w:val="single" w:sz="8" w:space="0" w:color="auto"/>
              <w:left w:val="nil"/>
              <w:bottom w:val="single" w:sz="8" w:space="0" w:color="auto"/>
              <w:right w:val="single" w:sz="8" w:space="0" w:color="auto"/>
            </w:tcBorders>
            <w:shd w:val="clear" w:color="auto" w:fill="E7E6E6" w:themeFill="background2"/>
            <w:vAlign w:val="center"/>
            <w:hideMark/>
          </w:tcPr>
          <w:p w14:paraId="21118264"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МP_ЕЕ4</w:t>
            </w:r>
          </w:p>
        </w:tc>
        <w:tc>
          <w:tcPr>
            <w:tcW w:w="945" w:type="dxa"/>
            <w:tcBorders>
              <w:top w:val="single" w:sz="8" w:space="0" w:color="auto"/>
              <w:left w:val="nil"/>
              <w:bottom w:val="single" w:sz="8" w:space="0" w:color="auto"/>
              <w:right w:val="single" w:sz="8" w:space="0" w:color="auto"/>
            </w:tcBorders>
            <w:shd w:val="clear" w:color="000000" w:fill="244062"/>
            <w:vAlign w:val="center"/>
            <w:hideMark/>
          </w:tcPr>
          <w:p w14:paraId="37C4021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34" w:type="dxa"/>
            <w:tcBorders>
              <w:top w:val="single" w:sz="8" w:space="0" w:color="auto"/>
              <w:left w:val="nil"/>
              <w:bottom w:val="single" w:sz="8" w:space="0" w:color="auto"/>
              <w:right w:val="single" w:sz="8" w:space="0" w:color="auto"/>
            </w:tcBorders>
            <w:shd w:val="clear" w:color="auto" w:fill="E7E6E6" w:themeFill="background2"/>
            <w:vAlign w:val="center"/>
            <w:hideMark/>
          </w:tcPr>
          <w:p w14:paraId="7590AB9A" w14:textId="4F582945" w:rsidR="00854ADA" w:rsidRPr="00FF386D" w:rsidRDefault="00BE5E4C"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 xml:space="preserve">Завршетак израде </w:t>
            </w:r>
            <w:r w:rsidR="00854ADA" w:rsidRPr="00FF386D">
              <w:rPr>
                <w:rFonts w:ascii="Calibri Light" w:hAnsi="Calibri Light"/>
                <w:b/>
                <w:sz w:val="20"/>
              </w:rPr>
              <w:t xml:space="preserve">законодавног оквира у складу са Директивом </w:t>
            </w:r>
            <w:r w:rsidR="00AB2594" w:rsidRPr="00FF386D">
              <w:rPr>
                <w:rFonts w:ascii="Calibri Light" w:hAnsi="Calibri Light"/>
                <w:b/>
                <w:sz w:val="20"/>
              </w:rPr>
              <w:t>(ЕУ)</w:t>
            </w:r>
            <w:r w:rsidR="00514A0E">
              <w:rPr>
                <w:rFonts w:ascii="Calibri Light" w:hAnsi="Calibri Light"/>
                <w:b/>
                <w:sz w:val="20"/>
              </w:rPr>
              <w:t xml:space="preserve"> </w:t>
            </w:r>
            <w:r w:rsidRPr="00FF386D">
              <w:rPr>
                <w:rFonts w:ascii="Calibri Light" w:hAnsi="Calibri Light"/>
                <w:b/>
                <w:sz w:val="20"/>
              </w:rPr>
              <w:t>2018/844</w:t>
            </w:r>
            <w:r w:rsidR="00514A0E">
              <w:rPr>
                <w:rFonts w:ascii="Calibri Light" w:hAnsi="Calibri Light"/>
                <w:b/>
                <w:sz w:val="20"/>
              </w:rPr>
              <w:t>/ЕУ</w:t>
            </w:r>
            <w:r w:rsidRPr="00FF386D">
              <w:rPr>
                <w:rFonts w:ascii="Calibri Light" w:hAnsi="Calibri Light"/>
                <w:b/>
                <w:sz w:val="20"/>
              </w:rPr>
              <w:t xml:space="preserve"> </w:t>
            </w:r>
            <w:r w:rsidR="00AB2594" w:rsidRPr="00FF386D">
              <w:rPr>
                <w:rFonts w:ascii="Calibri Light" w:hAnsi="Calibri Light"/>
                <w:b/>
                <w:sz w:val="20"/>
              </w:rPr>
              <w:t xml:space="preserve">и </w:t>
            </w:r>
            <w:r w:rsidR="00854ADA" w:rsidRPr="00FF386D">
              <w:rPr>
                <w:rFonts w:ascii="Calibri Light" w:hAnsi="Calibri Light"/>
                <w:b/>
                <w:sz w:val="20"/>
              </w:rPr>
              <w:t>регулаторним мерама за промо</w:t>
            </w:r>
            <w:r w:rsidR="007255E9" w:rsidRPr="00FF386D">
              <w:rPr>
                <w:rFonts w:ascii="Calibri Light" w:hAnsi="Calibri Light"/>
                <w:b/>
                <w:sz w:val="20"/>
              </w:rPr>
              <w:t xml:space="preserve">висање </w:t>
            </w:r>
            <w:r w:rsidR="00854ADA" w:rsidRPr="00FF386D">
              <w:rPr>
                <w:rFonts w:ascii="Calibri Light" w:hAnsi="Calibri Light"/>
                <w:b/>
                <w:sz w:val="20"/>
              </w:rPr>
              <w:t xml:space="preserve">зграда </w:t>
            </w:r>
            <w:r w:rsidR="00DB2345">
              <w:rPr>
                <w:rFonts w:ascii="Calibri Light" w:hAnsi="Calibri Light"/>
                <w:b/>
                <w:sz w:val="20"/>
              </w:rPr>
              <w:t>приближно</w:t>
            </w:r>
            <w:r w:rsidR="007255E9" w:rsidRPr="00FF386D">
              <w:rPr>
                <w:rFonts w:ascii="Calibri Light" w:hAnsi="Calibri Light"/>
                <w:b/>
                <w:sz w:val="20"/>
              </w:rPr>
              <w:t xml:space="preserve"> нулте </w:t>
            </w:r>
            <w:r w:rsidR="00DB2345">
              <w:rPr>
                <w:rFonts w:ascii="Calibri Light" w:hAnsi="Calibri Light"/>
                <w:b/>
                <w:sz w:val="20"/>
              </w:rPr>
              <w:t xml:space="preserve">потрошње </w:t>
            </w:r>
            <w:r w:rsidR="00854ADA" w:rsidRPr="00FF386D">
              <w:rPr>
                <w:rFonts w:ascii="Calibri Light" w:hAnsi="Calibri Light"/>
                <w:b/>
                <w:sz w:val="20"/>
              </w:rPr>
              <w:t>енергије (</w:t>
            </w:r>
            <w:r w:rsidR="00854ADA" w:rsidRPr="00FF386D">
              <w:rPr>
                <w:rFonts w:ascii="Calibri Light" w:hAnsi="Calibri Light"/>
                <w:b/>
                <w:i/>
                <w:iCs/>
                <w:sz w:val="20"/>
              </w:rPr>
              <w:t>nZEBs</w:t>
            </w:r>
            <w:r w:rsidR="00854ADA" w:rsidRPr="00FF386D">
              <w:rPr>
                <w:rFonts w:ascii="Calibri Light" w:hAnsi="Calibri Light"/>
                <w:b/>
                <w:sz w:val="20"/>
              </w:rPr>
              <w:t>)</w:t>
            </w:r>
          </w:p>
        </w:tc>
      </w:tr>
      <w:tr w:rsidR="00854ADA" w:rsidRPr="00FF386D" w14:paraId="4DA09FC2" w14:textId="77777777" w:rsidTr="0057310C">
        <w:trPr>
          <w:trHeight w:val="443"/>
        </w:trPr>
        <w:tc>
          <w:tcPr>
            <w:tcW w:w="3326" w:type="dxa"/>
            <w:tcBorders>
              <w:top w:val="nil"/>
              <w:left w:val="single" w:sz="8" w:space="0" w:color="auto"/>
              <w:bottom w:val="single" w:sz="8" w:space="0" w:color="auto"/>
              <w:right w:val="nil"/>
            </w:tcBorders>
            <w:shd w:val="clear" w:color="000000" w:fill="244062"/>
            <w:vAlign w:val="center"/>
            <w:hideMark/>
          </w:tcPr>
          <w:p w14:paraId="05093E6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4EAB854D" w14:textId="305A1538" w:rsidR="00854ADA" w:rsidRPr="000A2AFE" w:rsidRDefault="00BE5E4C"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Примена</w:t>
            </w:r>
            <w:r w:rsidR="00854ADA" w:rsidRPr="00FF386D">
              <w:rPr>
                <w:rFonts w:ascii="Calibri Light" w:hAnsi="Calibri Light"/>
                <w:sz w:val="20"/>
              </w:rPr>
              <w:t xml:space="preserve"> чланова уредбе</w:t>
            </w:r>
            <w:r w:rsidR="000C57F5" w:rsidRPr="00FF386D">
              <w:rPr>
                <w:rFonts w:ascii="Calibri Light" w:hAnsi="Calibri Light"/>
                <w:sz w:val="20"/>
              </w:rPr>
              <w:t xml:space="preserve"> </w:t>
            </w:r>
            <w:r w:rsidRPr="00FF386D">
              <w:rPr>
                <w:rFonts w:ascii="Calibri Light" w:hAnsi="Calibri Light"/>
                <w:sz w:val="20"/>
              </w:rPr>
              <w:t>Директиве (ЕУ) 2012/27, која је измењена и допуњена Директивом (ЕУ) 2018/2022, и то</w:t>
            </w:r>
            <w:r w:rsidR="00854ADA" w:rsidRPr="000A2AFE">
              <w:rPr>
                <w:rFonts w:ascii="Calibri Light" w:eastAsia="Times New Roman" w:hAnsi="Calibri Light" w:cs="Calibri Light"/>
                <w:color w:val="000000"/>
                <w:sz w:val="20"/>
                <w:szCs w:val="20"/>
                <w:lang w:eastAsia="en-GB"/>
              </w:rPr>
              <w:t>:</w:t>
            </w:r>
          </w:p>
          <w:p w14:paraId="2525C84C" w14:textId="6C5F2D23" w:rsidR="00854ADA" w:rsidRPr="000A2AFE" w:rsidRDefault="00854ADA" w:rsidP="00854ADA">
            <w:pPr>
              <w:numPr>
                <w:ilvl w:val="0"/>
                <w:numId w:val="12"/>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AB2594"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3</w:t>
            </w:r>
          </w:p>
          <w:p w14:paraId="3581BF9C" w14:textId="1A53863D" w:rsidR="00854ADA" w:rsidRPr="00FF386D" w:rsidRDefault="00854ADA" w:rsidP="00854ADA">
            <w:pPr>
              <w:numPr>
                <w:ilvl w:val="0"/>
                <w:numId w:val="12"/>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AB2594"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4</w:t>
            </w:r>
          </w:p>
        </w:tc>
      </w:tr>
      <w:tr w:rsidR="00854ADA" w:rsidRPr="00FF386D" w14:paraId="2F490D3E" w14:textId="77777777" w:rsidTr="0057310C">
        <w:trPr>
          <w:trHeight w:val="315"/>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261DB86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5D375873"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Допринос МП ЕЕ1-МП ЕЕ3</w:t>
            </w:r>
          </w:p>
        </w:tc>
      </w:tr>
      <w:tr w:rsidR="00854ADA" w:rsidRPr="00FF386D" w14:paraId="65FA5EAC" w14:textId="77777777" w:rsidTr="0057310C">
        <w:trPr>
          <w:trHeight w:val="2295"/>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208DD8B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7CBFD279" w14:textId="0AECCA95"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МP_ЕЕ4 ће осигурати </w:t>
            </w:r>
            <w:r w:rsidR="00BE5E4C" w:rsidRPr="00FF386D">
              <w:rPr>
                <w:rFonts w:ascii="Calibri Light" w:hAnsi="Calibri Light"/>
                <w:sz w:val="20"/>
              </w:rPr>
              <w:t>доследност</w:t>
            </w:r>
            <w:r w:rsidRPr="00FF386D">
              <w:rPr>
                <w:rFonts w:ascii="Calibri Light" w:hAnsi="Calibri Light"/>
                <w:sz w:val="20"/>
              </w:rPr>
              <w:t xml:space="preserve"> и усклађеност законодавног оквира са одредбама </w:t>
            </w:r>
            <w:r w:rsidR="00BE5E4C" w:rsidRPr="00FF386D">
              <w:rPr>
                <w:rFonts w:ascii="Calibri Light" w:hAnsi="Calibri Light"/>
                <w:sz w:val="20"/>
              </w:rPr>
              <w:t xml:space="preserve">Директиве (ЕУ) </w:t>
            </w:r>
            <w:r w:rsidRPr="00FF386D">
              <w:rPr>
                <w:rFonts w:ascii="Calibri Light" w:hAnsi="Calibri Light"/>
                <w:sz w:val="20"/>
              </w:rPr>
              <w:t xml:space="preserve">2018/844. Минимални захтеви ће бити интегрисани у Правилник о енергетској ефикасности зграда, како би се повећао број зграда </w:t>
            </w:r>
            <w:r w:rsidR="00BE5E4C" w:rsidRPr="00FF386D">
              <w:rPr>
                <w:rFonts w:ascii="Calibri Light" w:hAnsi="Calibri Light"/>
                <w:sz w:val="20"/>
              </w:rPr>
              <w:t>скоро</w:t>
            </w:r>
            <w:r w:rsidRPr="00FF386D">
              <w:rPr>
                <w:rFonts w:ascii="Calibri Light" w:hAnsi="Calibri Light"/>
                <w:sz w:val="20"/>
              </w:rPr>
              <w:t xml:space="preserve"> нулте енергије. Преглед система грејања и климатизације ће се спроводити у складу са одговарајућим </w:t>
            </w:r>
            <w:r w:rsidR="000C57F5" w:rsidRPr="00FF386D">
              <w:rPr>
                <w:rFonts w:ascii="Calibri Light" w:hAnsi="Calibri Light"/>
                <w:sz w:val="20"/>
              </w:rPr>
              <w:t>прописима донетим на основу Закона о енергетској ефикасности и рационалној употреби енергије</w:t>
            </w:r>
            <w:r w:rsidRPr="00FF386D">
              <w:rPr>
                <w:rFonts w:ascii="Calibri Light" w:hAnsi="Calibri Light"/>
                <w:sz w:val="20"/>
              </w:rPr>
              <w:t xml:space="preserve">. Поред тога, размотриће се усвајање посебних регулаторних мера </w:t>
            </w:r>
            <w:r w:rsidR="00AB2594" w:rsidRPr="00FF386D">
              <w:rPr>
                <w:rFonts w:ascii="Calibri Light" w:hAnsi="Calibri Light"/>
                <w:sz w:val="20"/>
              </w:rPr>
              <w:t>испитивањем</w:t>
            </w:r>
            <w:r w:rsidRPr="00FF386D">
              <w:rPr>
                <w:rFonts w:ascii="Calibri Light" w:hAnsi="Calibri Light"/>
                <w:sz w:val="20"/>
              </w:rPr>
              <w:t xml:space="preserve"> различитих опција, као што су </w:t>
            </w:r>
            <w:r w:rsidR="000C57F5" w:rsidRPr="00FF386D">
              <w:rPr>
                <w:rFonts w:ascii="Calibri Light" w:hAnsi="Calibri Light"/>
                <w:sz w:val="20"/>
              </w:rPr>
              <w:t>на пример</w:t>
            </w:r>
            <w:r w:rsidRPr="00FF386D">
              <w:rPr>
                <w:rFonts w:ascii="Calibri Light" w:hAnsi="Calibri Light"/>
                <w:sz w:val="20"/>
              </w:rPr>
              <w:t xml:space="preserve">: i) </w:t>
            </w:r>
            <w:r w:rsidR="000C57F5" w:rsidRPr="00FF386D">
              <w:rPr>
                <w:rFonts w:ascii="Calibri Light" w:hAnsi="Calibri Light"/>
                <w:sz w:val="20"/>
              </w:rPr>
              <w:t>где је то применљиво,</w:t>
            </w:r>
            <w:r w:rsidRPr="00FF386D">
              <w:rPr>
                <w:rFonts w:ascii="Calibri Light" w:hAnsi="Calibri Light"/>
                <w:sz w:val="20"/>
              </w:rPr>
              <w:t xml:space="preserve"> зграде у којима су смештени органи државне управе треба </w:t>
            </w:r>
            <w:r w:rsidR="000C57F5" w:rsidRPr="00FF386D">
              <w:rPr>
                <w:rFonts w:ascii="Calibri Light" w:hAnsi="Calibri Light"/>
                <w:sz w:val="20"/>
              </w:rPr>
              <w:t>санирати тако да се достигне што бољи</w:t>
            </w:r>
            <w:r w:rsidRPr="00FF386D">
              <w:rPr>
                <w:rFonts w:ascii="Calibri Light" w:hAnsi="Calibri Light"/>
                <w:sz w:val="20"/>
              </w:rPr>
              <w:t xml:space="preserve"> енергетски разред из сертификата о енергетским својствима</w:t>
            </w:r>
            <w:r w:rsidR="000C57F5" w:rsidRPr="00FF386D">
              <w:rPr>
                <w:rFonts w:ascii="Calibri Light" w:hAnsi="Calibri Light"/>
                <w:sz w:val="20"/>
              </w:rPr>
              <w:t xml:space="preserve"> зграда</w:t>
            </w:r>
            <w:r w:rsidRPr="00FF386D">
              <w:rPr>
                <w:rFonts w:ascii="Calibri Light" w:hAnsi="Calibri Light"/>
                <w:sz w:val="20"/>
              </w:rPr>
              <w:t xml:space="preserve">, ii) све нове зграде или грађевинске целине које узимају у закуп или </w:t>
            </w:r>
            <w:r w:rsidR="00BE5E4C" w:rsidRPr="00FF386D">
              <w:rPr>
                <w:rFonts w:ascii="Calibri Light" w:hAnsi="Calibri Light"/>
                <w:sz w:val="20"/>
              </w:rPr>
              <w:t xml:space="preserve">које </w:t>
            </w:r>
            <w:r w:rsidRPr="00FF386D">
              <w:rPr>
                <w:rFonts w:ascii="Calibri Light" w:hAnsi="Calibri Light"/>
                <w:sz w:val="20"/>
              </w:rPr>
              <w:t xml:space="preserve">купују органи државне управе </w:t>
            </w:r>
            <w:r w:rsidRPr="00FF386D">
              <w:rPr>
                <w:rFonts w:ascii="Calibri Light" w:eastAsia="NSimSun" w:hAnsi="Calibri Light" w:cs="Mangal"/>
                <w:kern w:val="2"/>
                <w:sz w:val="20"/>
                <w:szCs w:val="24"/>
                <w:lang w:eastAsia="zh-CN" w:bidi="hi-IN"/>
              </w:rPr>
              <w:t>треба да буду</w:t>
            </w:r>
            <w:r w:rsidRPr="00FF386D">
              <w:rPr>
                <w:rFonts w:ascii="Calibri Light" w:hAnsi="Calibri Light"/>
                <w:sz w:val="20"/>
              </w:rPr>
              <w:t xml:space="preserve"> зграде </w:t>
            </w:r>
            <w:r w:rsidR="00DB2345">
              <w:rPr>
                <w:rFonts w:ascii="Calibri Light" w:hAnsi="Calibri Light"/>
                <w:sz w:val="20"/>
              </w:rPr>
              <w:t>приближно</w:t>
            </w:r>
            <w:r w:rsidRPr="00FF386D">
              <w:rPr>
                <w:rFonts w:ascii="Calibri Light" w:hAnsi="Calibri Light"/>
                <w:sz w:val="20"/>
              </w:rPr>
              <w:t xml:space="preserve"> нулте </w:t>
            </w:r>
            <w:r w:rsidR="00DB2345">
              <w:rPr>
                <w:rFonts w:ascii="Calibri Light" w:hAnsi="Calibri Light"/>
                <w:sz w:val="20"/>
              </w:rPr>
              <w:t xml:space="preserve">потрошње </w:t>
            </w:r>
            <w:r w:rsidRPr="00FF386D">
              <w:rPr>
                <w:rFonts w:ascii="Calibri Light" w:hAnsi="Calibri Light"/>
                <w:sz w:val="20"/>
              </w:rPr>
              <w:t xml:space="preserve">енергије </w:t>
            </w:r>
            <w:r w:rsidR="000C57F5" w:rsidRPr="00FF386D">
              <w:rPr>
                <w:rFonts w:ascii="Calibri Light" w:hAnsi="Calibri Light"/>
                <w:sz w:val="20"/>
              </w:rPr>
              <w:t xml:space="preserve">узимајући у обзир </w:t>
            </w:r>
            <w:r w:rsidR="00AB2594" w:rsidRPr="00FF386D">
              <w:rPr>
                <w:rFonts w:ascii="Calibri Light" w:hAnsi="Calibri Light"/>
                <w:sz w:val="20"/>
              </w:rPr>
              <w:t>расположивост</w:t>
            </w:r>
            <w:r w:rsidR="00BE5E4C" w:rsidRPr="00FF386D">
              <w:rPr>
                <w:rFonts w:ascii="Calibri Light" w:hAnsi="Calibri Light"/>
                <w:sz w:val="20"/>
              </w:rPr>
              <w:t xml:space="preserve"> </w:t>
            </w:r>
            <w:r w:rsidR="000C57F5" w:rsidRPr="00FF386D">
              <w:rPr>
                <w:rFonts w:ascii="Calibri Light" w:hAnsi="Calibri Light"/>
                <w:sz w:val="20"/>
              </w:rPr>
              <w:t>и цену закупа таквих зграда на тржишту</w:t>
            </w:r>
            <w:r w:rsidRPr="00FF386D">
              <w:rPr>
                <w:rFonts w:ascii="Calibri Light" w:hAnsi="Calibri Light"/>
                <w:sz w:val="20"/>
              </w:rPr>
              <w:t xml:space="preserve"> iii) обавезно инсталирање </w:t>
            </w:r>
            <w:r w:rsidR="00AB2594" w:rsidRPr="00FF386D">
              <w:rPr>
                <w:rFonts w:ascii="Calibri Light" w:hAnsi="Calibri Light"/>
                <w:sz w:val="20"/>
              </w:rPr>
              <w:t>одређених</w:t>
            </w:r>
            <w:r w:rsidR="00BE5E4C" w:rsidRPr="00FF386D">
              <w:rPr>
                <w:rFonts w:ascii="Calibri Light" w:hAnsi="Calibri Light"/>
                <w:sz w:val="20"/>
              </w:rPr>
              <w:t xml:space="preserve"> </w:t>
            </w:r>
            <w:r w:rsidRPr="00FF386D">
              <w:rPr>
                <w:rFonts w:ascii="Calibri Light" w:hAnsi="Calibri Light"/>
                <w:sz w:val="20"/>
              </w:rPr>
              <w:t xml:space="preserve">технологија </w:t>
            </w:r>
            <w:r w:rsidR="00AB2594" w:rsidRPr="00FF386D">
              <w:rPr>
                <w:rFonts w:ascii="Calibri Light" w:hAnsi="Calibri Light"/>
                <w:sz w:val="20"/>
              </w:rPr>
              <w:t xml:space="preserve">(као што су топлотне пумпе, соларни топлотни системи) </w:t>
            </w:r>
            <w:r w:rsidRPr="00FF386D">
              <w:rPr>
                <w:rFonts w:ascii="Calibri Light" w:hAnsi="Calibri Light"/>
                <w:sz w:val="20"/>
              </w:rPr>
              <w:t>у новим зградама и зградама</w:t>
            </w:r>
            <w:r w:rsidR="00BE5E4C" w:rsidRPr="00FF386D">
              <w:rPr>
                <w:rFonts w:ascii="Calibri Light" w:hAnsi="Calibri Light"/>
                <w:sz w:val="20"/>
              </w:rPr>
              <w:t xml:space="preserve"> </w:t>
            </w:r>
            <w:r w:rsidRPr="00FF386D">
              <w:rPr>
                <w:rFonts w:ascii="Calibri Light" w:hAnsi="Calibri Light"/>
                <w:sz w:val="20"/>
              </w:rPr>
              <w:t xml:space="preserve">које се обимније </w:t>
            </w:r>
            <w:r w:rsidR="00AB2594" w:rsidRPr="00FF386D">
              <w:rPr>
                <w:rFonts w:ascii="Calibri Light" w:hAnsi="Calibri Light"/>
                <w:sz w:val="20"/>
              </w:rPr>
              <w:t>обнављају</w:t>
            </w:r>
            <w:r w:rsidR="00991D0A" w:rsidRPr="00991D0A">
              <w:rPr>
                <w:rFonts w:ascii="Calibri Light" w:hAnsi="Calibri Light"/>
                <w:sz w:val="20"/>
              </w:rPr>
              <w:t>, како је дефинисано у Директиви 2010/31/ЕУ</w:t>
            </w:r>
            <w:r w:rsidR="00AB2594" w:rsidRPr="00FF386D">
              <w:rPr>
                <w:rFonts w:ascii="Calibri Light" w:hAnsi="Calibri Light"/>
                <w:sz w:val="20"/>
              </w:rPr>
              <w:t>.</w:t>
            </w:r>
          </w:p>
        </w:tc>
      </w:tr>
      <w:tr w:rsidR="00854ADA" w:rsidRPr="00FF386D" w14:paraId="26FA65CC" w14:textId="77777777" w:rsidTr="0057310C">
        <w:trPr>
          <w:trHeight w:val="315"/>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510EC9E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3F65299E" w14:textId="23F20391"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BE5E4C"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w:t>
            </w:r>
          </w:p>
        </w:tc>
      </w:tr>
      <w:tr w:rsidR="00854ADA" w:rsidRPr="00FF386D" w14:paraId="34450F6E" w14:textId="77777777" w:rsidTr="0057310C">
        <w:trPr>
          <w:trHeight w:val="315"/>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6F1FFCF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3937FF2C"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Реформа</w:t>
            </w:r>
          </w:p>
        </w:tc>
      </w:tr>
      <w:tr w:rsidR="00854ADA" w:rsidRPr="00FF386D" w14:paraId="743DED1F" w14:textId="77777777" w:rsidTr="0057310C">
        <w:trPr>
          <w:trHeight w:val="315"/>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586DBDA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0510E56B"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Стамбени, јавни, комерцијални</w:t>
            </w:r>
          </w:p>
        </w:tc>
      </w:tr>
      <w:tr w:rsidR="00854ADA" w:rsidRPr="00FF386D" w14:paraId="3F49559A" w14:textId="77777777" w:rsidTr="0057310C">
        <w:trPr>
          <w:trHeight w:val="315"/>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06BEA16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5A425F28" w14:textId="77777777" w:rsidR="00854ADA" w:rsidRPr="00FF386D" w:rsidRDefault="00854ADA" w:rsidP="00854ADA">
            <w:pPr>
              <w:numPr>
                <w:ilvl w:val="0"/>
                <w:numId w:val="11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грађевинарства, саобраћаја и инфраструктуре</w:t>
            </w:r>
          </w:p>
        </w:tc>
      </w:tr>
      <w:tr w:rsidR="00854ADA" w:rsidRPr="00FF386D" w14:paraId="27571CD8" w14:textId="77777777" w:rsidTr="0057310C">
        <w:trPr>
          <w:trHeight w:val="315"/>
        </w:trPr>
        <w:tc>
          <w:tcPr>
            <w:tcW w:w="3326" w:type="dxa"/>
            <w:tcBorders>
              <w:top w:val="nil"/>
              <w:left w:val="single" w:sz="8" w:space="0" w:color="auto"/>
              <w:bottom w:val="single" w:sz="8" w:space="0" w:color="auto"/>
              <w:right w:val="nil"/>
            </w:tcBorders>
            <w:shd w:val="clear" w:color="000000" w:fill="244062"/>
            <w:vAlign w:val="center"/>
            <w:hideMark/>
          </w:tcPr>
          <w:p w14:paraId="7B65C72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0A9593E3" w14:textId="0BDACF62" w:rsidR="00854ADA" w:rsidRPr="000A2AFE" w:rsidRDefault="00E811DB" w:rsidP="000A2AFE">
            <w:pPr>
              <w:pStyle w:val="ListParagraph"/>
              <w:numPr>
                <w:ilvl w:val="0"/>
                <w:numId w:val="117"/>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1B5758A2" w14:textId="77777777" w:rsidTr="0057310C">
        <w:trPr>
          <w:trHeight w:val="315"/>
        </w:trPr>
        <w:tc>
          <w:tcPr>
            <w:tcW w:w="3326" w:type="dxa"/>
            <w:tcBorders>
              <w:top w:val="nil"/>
              <w:left w:val="single" w:sz="8" w:space="0" w:color="auto"/>
              <w:bottom w:val="single" w:sz="8" w:space="0" w:color="auto"/>
              <w:right w:val="nil"/>
            </w:tcBorders>
            <w:shd w:val="clear" w:color="000000" w:fill="244062"/>
            <w:vAlign w:val="center"/>
            <w:hideMark/>
          </w:tcPr>
          <w:p w14:paraId="53FA58D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462F3028" w14:textId="77777777" w:rsidR="00854ADA" w:rsidRPr="000A2AFE" w:rsidRDefault="00854ADA" w:rsidP="000A2AFE">
            <w:pPr>
              <w:pStyle w:val="ListParagraph"/>
              <w:numPr>
                <w:ilvl w:val="0"/>
                <w:numId w:val="117"/>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Развијен законодавни и регулаторни оквир</w:t>
            </w:r>
          </w:p>
        </w:tc>
      </w:tr>
      <w:tr w:rsidR="00854ADA" w:rsidRPr="00FF386D" w14:paraId="7568D974" w14:textId="77777777" w:rsidTr="0057310C">
        <w:trPr>
          <w:trHeight w:val="345"/>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00EFFA2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3B6A8670" w14:textId="3A9B30F3" w:rsidR="00E811DB" w:rsidRPr="00E811DB" w:rsidRDefault="00854ADA" w:rsidP="00E811DB">
            <w:pPr>
              <w:numPr>
                <w:ilvl w:val="0"/>
                <w:numId w:val="118"/>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Декарбонизација</w:t>
            </w:r>
            <w:r w:rsidR="00E811DB">
              <w:rPr>
                <w:rFonts w:ascii="Calibri Light" w:eastAsia="Times New Roman" w:hAnsi="Calibri Light" w:cs="Calibri Light"/>
                <w:color w:val="000000"/>
                <w:sz w:val="20"/>
                <w:szCs w:val="20"/>
                <w:lang w:eastAsia="en-GB"/>
              </w:rPr>
              <w:t xml:space="preserve"> </w:t>
            </w:r>
            <w:r w:rsidR="00E811DB" w:rsidRPr="00E811DB">
              <w:rPr>
                <w:rFonts w:ascii="Calibri Light" w:eastAsia="Times New Roman" w:hAnsi="Calibri Light" w:cs="Calibri Light"/>
                <w:color w:val="000000"/>
                <w:sz w:val="20"/>
                <w:szCs w:val="20"/>
                <w:lang w:eastAsia="en-GB"/>
              </w:rPr>
              <w:t xml:space="preserve">(постигнутом уштедом енергије смањиће се потрошња фосилних горива што ће довести до смањења емисија </w:t>
            </w:r>
            <w:r w:rsidR="00E811DB" w:rsidRPr="00E811DB">
              <w:rPr>
                <w:rFonts w:ascii="Calibri Light" w:eastAsia="Times New Roman" w:hAnsi="Calibri Light" w:cs="Calibri Light"/>
                <w:i/>
                <w:iCs/>
                <w:color w:val="000000"/>
                <w:sz w:val="20"/>
                <w:szCs w:val="20"/>
                <w:lang w:val="en-US" w:eastAsia="en-GB"/>
              </w:rPr>
              <w:t>GHG</w:t>
            </w:r>
            <w:r w:rsidR="00E811DB" w:rsidRPr="00E811DB">
              <w:rPr>
                <w:rFonts w:ascii="Calibri Light" w:eastAsia="Times New Roman" w:hAnsi="Calibri Light" w:cs="Calibri Light"/>
                <w:i/>
                <w:iCs/>
                <w:color w:val="000000"/>
                <w:sz w:val="20"/>
                <w:szCs w:val="20"/>
                <w:lang w:eastAsia="en-GB"/>
              </w:rPr>
              <w:t>,</w:t>
            </w:r>
            <w:r w:rsidR="00E811DB" w:rsidRPr="00E811DB">
              <w:rPr>
                <w:rFonts w:ascii="Calibri Light" w:eastAsia="Times New Roman" w:hAnsi="Calibri Light" w:cs="Calibri Light"/>
                <w:color w:val="000000"/>
                <w:sz w:val="20"/>
                <w:szCs w:val="20"/>
                <w:lang w:eastAsia="en-GB"/>
              </w:rPr>
              <w:t xml:space="preserve"> а коришћење технологија ОИЕ ће повећати удео ОИЕ у грејању и хлађењу)</w:t>
            </w:r>
          </w:p>
          <w:p w14:paraId="115B44BE" w14:textId="1C5BC806" w:rsidR="00854ADA" w:rsidRPr="00FF386D" w:rsidRDefault="00E811DB" w:rsidP="00E811DB">
            <w:pPr>
              <w:numPr>
                <w:ilvl w:val="0"/>
                <w:numId w:val="118"/>
              </w:numPr>
              <w:spacing w:after="0" w:line="240" w:lineRule="auto"/>
              <w:contextualSpacing/>
              <w:rPr>
                <w:rFonts w:ascii="Calibri Light" w:eastAsia="Times New Roman" w:hAnsi="Calibri Light" w:cs="Calibri Light"/>
                <w:color w:val="000000"/>
                <w:sz w:val="20"/>
                <w:szCs w:val="20"/>
                <w:lang w:eastAsia="en-GB"/>
              </w:rPr>
            </w:pPr>
            <w:r w:rsidRPr="00E811DB">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w:t>
            </w:r>
            <w:r w:rsidR="00054666">
              <w:rPr>
                <w:rFonts w:ascii="Calibri Light" w:eastAsia="Times New Roman" w:hAnsi="Calibri Light" w:cs="Calibri Light"/>
                <w:color w:val="000000"/>
                <w:sz w:val="20"/>
                <w:szCs w:val="20"/>
                <w:lang w:eastAsia="en-GB"/>
              </w:rPr>
              <w:t>а увезених</w:t>
            </w:r>
            <w:r w:rsidRPr="00E811DB">
              <w:rPr>
                <w:rFonts w:ascii="Calibri Light" w:eastAsia="Times New Roman" w:hAnsi="Calibri Light" w:cs="Calibri Light"/>
                <w:color w:val="000000"/>
                <w:sz w:val="20"/>
                <w:szCs w:val="20"/>
                <w:lang w:eastAsia="en-GB"/>
              </w:rPr>
              <w:t xml:space="preserve"> фосилних горива што ће довести до смањења зависности од увоза енергије из трећих земаља)</w:t>
            </w:r>
          </w:p>
        </w:tc>
      </w:tr>
      <w:tr w:rsidR="00854ADA" w:rsidRPr="00FF386D" w14:paraId="1388DAE9" w14:textId="77777777" w:rsidTr="0057310C">
        <w:trPr>
          <w:trHeight w:val="450"/>
        </w:trPr>
        <w:tc>
          <w:tcPr>
            <w:tcW w:w="3326"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526B37D4" w14:textId="773AD0ED"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32"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7649ABD6" w14:textId="14F59416" w:rsidR="00854ADA" w:rsidRPr="000A2AFE" w:rsidRDefault="00854ADA">
            <w:pPr>
              <w:numPr>
                <w:ilvl w:val="0"/>
                <w:numId w:val="23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Директива </w:t>
            </w:r>
            <w:r w:rsidR="00BE5E4C" w:rsidRPr="000A2AFE">
              <w:rPr>
                <w:rFonts w:ascii="Calibri Light" w:eastAsia="Times New Roman" w:hAnsi="Calibri Light" w:cs="Calibri Light"/>
                <w:color w:val="000000"/>
                <w:sz w:val="20"/>
                <w:szCs w:val="20"/>
                <w:lang w:eastAsia="en-GB"/>
              </w:rPr>
              <w:t xml:space="preserve">(ЕУ) </w:t>
            </w:r>
            <w:r w:rsidRPr="000A2AFE">
              <w:rPr>
                <w:rFonts w:ascii="Calibri Light" w:eastAsia="Times New Roman" w:hAnsi="Calibri Light" w:cs="Calibri Light"/>
                <w:color w:val="000000"/>
                <w:sz w:val="20"/>
                <w:szCs w:val="20"/>
                <w:lang w:eastAsia="en-GB"/>
              </w:rPr>
              <w:t>2010/31</w:t>
            </w:r>
          </w:p>
          <w:p w14:paraId="03521932" w14:textId="4ADC2509" w:rsidR="00854ADA" w:rsidRPr="000A2AFE" w:rsidRDefault="00854ADA">
            <w:pPr>
              <w:numPr>
                <w:ilvl w:val="0"/>
                <w:numId w:val="23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w:t>
            </w:r>
            <w:r w:rsidR="00BE5E4C" w:rsidRPr="000A2AFE">
              <w:rPr>
                <w:rFonts w:ascii="Calibri Light" w:eastAsia="Times New Roman" w:hAnsi="Calibri Light" w:cs="Calibri Light"/>
                <w:color w:val="000000"/>
                <w:sz w:val="20"/>
                <w:szCs w:val="20"/>
                <w:lang w:eastAsia="en-GB"/>
              </w:rPr>
              <w:t xml:space="preserve">(ЕУ) </w:t>
            </w:r>
            <w:r w:rsidRPr="000A2AFE">
              <w:rPr>
                <w:rFonts w:ascii="Calibri Light" w:eastAsia="Times New Roman" w:hAnsi="Calibri Light" w:cs="Calibri Light"/>
                <w:color w:val="000000"/>
                <w:sz w:val="20"/>
                <w:szCs w:val="20"/>
                <w:lang w:eastAsia="en-GB"/>
              </w:rPr>
              <w:t>2012/27</w:t>
            </w:r>
          </w:p>
          <w:p w14:paraId="7F9D4EBA" w14:textId="03946D27" w:rsidR="00854ADA" w:rsidRPr="000A2AFE" w:rsidRDefault="00854ADA">
            <w:pPr>
              <w:numPr>
                <w:ilvl w:val="0"/>
                <w:numId w:val="23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Директива </w:t>
            </w:r>
            <w:r w:rsidR="00BE5E4C" w:rsidRPr="000A2AFE">
              <w:rPr>
                <w:rFonts w:ascii="Calibri Light" w:eastAsia="Times New Roman" w:hAnsi="Calibri Light" w:cs="Calibri Light"/>
                <w:color w:val="000000"/>
                <w:sz w:val="20"/>
                <w:szCs w:val="20"/>
                <w:lang w:eastAsia="en-GB"/>
              </w:rPr>
              <w:t xml:space="preserve">(ЕУ) </w:t>
            </w:r>
            <w:r w:rsidRPr="000A2AFE">
              <w:rPr>
                <w:rFonts w:ascii="Calibri Light" w:eastAsia="Times New Roman" w:hAnsi="Calibri Light" w:cs="Calibri Light"/>
                <w:color w:val="000000"/>
                <w:sz w:val="20"/>
                <w:szCs w:val="20"/>
                <w:lang w:eastAsia="en-GB"/>
              </w:rPr>
              <w:t>2018/200</w:t>
            </w:r>
            <w:r w:rsidR="00BE5E4C" w:rsidRPr="000A2AFE">
              <w:rPr>
                <w:rFonts w:ascii="Calibri Light" w:eastAsia="Times New Roman" w:hAnsi="Calibri Light" w:cs="Calibri Light"/>
                <w:color w:val="000000"/>
                <w:sz w:val="20"/>
                <w:szCs w:val="20"/>
                <w:lang w:eastAsia="en-GB"/>
              </w:rPr>
              <w:t>2</w:t>
            </w:r>
          </w:p>
          <w:p w14:paraId="50E24549" w14:textId="667E4B03" w:rsidR="00854ADA" w:rsidRPr="00FF386D" w:rsidRDefault="00854ADA" w:rsidP="00854ADA">
            <w:pPr>
              <w:numPr>
                <w:ilvl w:val="0"/>
                <w:numId w:val="118"/>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Директива </w:t>
            </w:r>
            <w:r w:rsidR="00BE5E4C" w:rsidRPr="000A2AFE">
              <w:rPr>
                <w:rFonts w:ascii="Calibri Light" w:eastAsia="Times New Roman" w:hAnsi="Calibri Light" w:cs="Calibri Light"/>
                <w:color w:val="000000"/>
                <w:sz w:val="20"/>
                <w:szCs w:val="20"/>
                <w:lang w:eastAsia="en-GB"/>
              </w:rPr>
              <w:t xml:space="preserve">(ЕУ) </w:t>
            </w:r>
            <w:r w:rsidRPr="000A2AFE">
              <w:rPr>
                <w:rFonts w:ascii="Calibri Light" w:eastAsia="Times New Roman" w:hAnsi="Calibri Light" w:cs="Calibri Light"/>
                <w:color w:val="000000"/>
                <w:sz w:val="20"/>
                <w:szCs w:val="20"/>
                <w:lang w:eastAsia="en-GB"/>
              </w:rPr>
              <w:t>2018/844</w:t>
            </w:r>
          </w:p>
        </w:tc>
      </w:tr>
      <w:tr w:rsidR="00854ADA" w:rsidRPr="00FF386D" w14:paraId="2C43832F" w14:textId="77777777" w:rsidTr="0057310C">
        <w:trPr>
          <w:trHeight w:val="450"/>
        </w:trPr>
        <w:tc>
          <w:tcPr>
            <w:tcW w:w="3326" w:type="dxa"/>
            <w:vMerge/>
            <w:tcBorders>
              <w:top w:val="nil"/>
              <w:left w:val="single" w:sz="8" w:space="0" w:color="auto"/>
              <w:bottom w:val="single" w:sz="8" w:space="0" w:color="000000"/>
              <w:right w:val="single" w:sz="8" w:space="0" w:color="auto"/>
            </w:tcBorders>
            <w:vAlign w:val="center"/>
            <w:hideMark/>
          </w:tcPr>
          <w:p w14:paraId="0442EAE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2" w:type="dxa"/>
            <w:gridSpan w:val="3"/>
            <w:vMerge/>
            <w:tcBorders>
              <w:top w:val="single" w:sz="8" w:space="0" w:color="auto"/>
              <w:left w:val="single" w:sz="8" w:space="0" w:color="auto"/>
              <w:bottom w:val="single" w:sz="8" w:space="0" w:color="000000"/>
              <w:right w:val="single" w:sz="8" w:space="0" w:color="000000"/>
            </w:tcBorders>
            <w:vAlign w:val="center"/>
            <w:hideMark/>
          </w:tcPr>
          <w:p w14:paraId="163938C4" w14:textId="77777777" w:rsidR="00854ADA" w:rsidRPr="00FF386D" w:rsidRDefault="00854ADA" w:rsidP="00854ADA">
            <w:pPr>
              <w:numPr>
                <w:ilvl w:val="0"/>
                <w:numId w:val="118"/>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2ABAB34E" w14:textId="77777777" w:rsidTr="0057310C">
        <w:trPr>
          <w:trHeight w:val="450"/>
        </w:trPr>
        <w:tc>
          <w:tcPr>
            <w:tcW w:w="3326" w:type="dxa"/>
            <w:vMerge/>
            <w:tcBorders>
              <w:top w:val="nil"/>
              <w:left w:val="single" w:sz="8" w:space="0" w:color="auto"/>
              <w:bottom w:val="single" w:sz="8" w:space="0" w:color="000000"/>
              <w:right w:val="single" w:sz="8" w:space="0" w:color="auto"/>
            </w:tcBorders>
            <w:vAlign w:val="center"/>
            <w:hideMark/>
          </w:tcPr>
          <w:p w14:paraId="350C5C9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2" w:type="dxa"/>
            <w:gridSpan w:val="3"/>
            <w:vMerge/>
            <w:tcBorders>
              <w:top w:val="single" w:sz="8" w:space="0" w:color="auto"/>
              <w:left w:val="single" w:sz="8" w:space="0" w:color="auto"/>
              <w:bottom w:val="single" w:sz="8" w:space="0" w:color="000000"/>
              <w:right w:val="single" w:sz="8" w:space="0" w:color="000000"/>
            </w:tcBorders>
            <w:vAlign w:val="center"/>
            <w:hideMark/>
          </w:tcPr>
          <w:p w14:paraId="364907BD" w14:textId="77777777" w:rsidR="00854ADA" w:rsidRPr="00FF386D" w:rsidRDefault="00854ADA" w:rsidP="00854ADA">
            <w:pPr>
              <w:numPr>
                <w:ilvl w:val="0"/>
                <w:numId w:val="118"/>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6D9B33BE" w14:textId="77777777" w:rsidTr="0057310C">
        <w:trPr>
          <w:trHeight w:val="780"/>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577D826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0500F680" w14:textId="77777777" w:rsidR="00854ADA" w:rsidRPr="00FF386D" w:rsidRDefault="00854ADA" w:rsidP="00854ADA">
            <w:pPr>
              <w:numPr>
                <w:ilvl w:val="0"/>
                <w:numId w:val="118"/>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енергетској ефикасности и рационалној употреби енергије</w:t>
            </w:r>
          </w:p>
          <w:p w14:paraId="10FD45C0" w14:textId="39246350" w:rsidR="00854ADA" w:rsidRPr="00FF386D" w:rsidRDefault="00854ADA" w:rsidP="00854ADA">
            <w:pPr>
              <w:numPr>
                <w:ilvl w:val="0"/>
                <w:numId w:val="118"/>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4. НАПЕЕ</w:t>
            </w:r>
          </w:p>
          <w:p w14:paraId="67FBF396" w14:textId="77777777" w:rsidR="00854ADA" w:rsidRDefault="00854ADA" w:rsidP="00854ADA">
            <w:pPr>
              <w:numPr>
                <w:ilvl w:val="0"/>
                <w:numId w:val="118"/>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Дугорочна стратегија за подстицање улагања у обнову националног фонда зграда</w:t>
            </w:r>
          </w:p>
          <w:p w14:paraId="4D1E8455" w14:textId="77777777" w:rsidR="00991D0A" w:rsidRPr="00991D0A" w:rsidRDefault="00991D0A" w:rsidP="00991D0A">
            <w:pPr>
              <w:numPr>
                <w:ilvl w:val="0"/>
                <w:numId w:val="118"/>
              </w:numPr>
              <w:spacing w:after="0" w:line="240" w:lineRule="auto"/>
              <w:contextualSpacing/>
              <w:rPr>
                <w:rFonts w:ascii="Calibri Light" w:eastAsia="Times New Roman" w:hAnsi="Calibri Light" w:cs="Calibri Light"/>
                <w:color w:val="000000"/>
                <w:sz w:val="20"/>
                <w:szCs w:val="20"/>
                <w:lang w:eastAsia="en-GB"/>
              </w:rPr>
            </w:pPr>
            <w:r w:rsidRPr="00991D0A">
              <w:rPr>
                <w:rFonts w:ascii="Calibri Light" w:eastAsia="Times New Roman" w:hAnsi="Calibri Light" w:cs="Calibri Light"/>
                <w:color w:val="000000"/>
                <w:sz w:val="20"/>
                <w:szCs w:val="20"/>
                <w:lang w:eastAsia="en-GB"/>
              </w:rPr>
              <w:lastRenderedPageBreak/>
              <w:t>Закон о планирању и изградњи</w:t>
            </w:r>
          </w:p>
          <w:p w14:paraId="26C792BD" w14:textId="77777777" w:rsidR="00991D0A" w:rsidRPr="00991D0A" w:rsidRDefault="00991D0A" w:rsidP="00991D0A">
            <w:pPr>
              <w:numPr>
                <w:ilvl w:val="0"/>
                <w:numId w:val="118"/>
              </w:numPr>
              <w:spacing w:after="0" w:line="240" w:lineRule="auto"/>
              <w:contextualSpacing/>
              <w:rPr>
                <w:rFonts w:ascii="Calibri Light" w:eastAsia="Times New Roman" w:hAnsi="Calibri Light" w:cs="Calibri Light"/>
                <w:color w:val="000000"/>
                <w:sz w:val="20"/>
                <w:szCs w:val="20"/>
                <w:lang w:eastAsia="en-GB"/>
              </w:rPr>
            </w:pPr>
            <w:r w:rsidRPr="00991D0A">
              <w:rPr>
                <w:rFonts w:ascii="Calibri Light" w:eastAsia="Times New Roman" w:hAnsi="Calibri Light" w:cs="Calibri Light"/>
                <w:color w:val="000000"/>
                <w:sz w:val="20"/>
                <w:szCs w:val="20"/>
                <w:lang w:eastAsia="en-GB"/>
              </w:rPr>
              <w:t>Правилник о енергетској ефикасности зграда</w:t>
            </w:r>
          </w:p>
          <w:p w14:paraId="5F698188" w14:textId="515518AD" w:rsidR="00991D0A" w:rsidRPr="00FF386D" w:rsidRDefault="00991D0A" w:rsidP="00991D0A">
            <w:pPr>
              <w:numPr>
                <w:ilvl w:val="0"/>
                <w:numId w:val="118"/>
              </w:numPr>
              <w:spacing w:after="0" w:line="240" w:lineRule="auto"/>
              <w:contextualSpacing/>
              <w:rPr>
                <w:rFonts w:ascii="Calibri Light" w:eastAsia="Times New Roman" w:hAnsi="Calibri Light" w:cs="Calibri Light"/>
                <w:color w:val="000000"/>
                <w:sz w:val="20"/>
                <w:szCs w:val="20"/>
                <w:lang w:eastAsia="en-GB"/>
              </w:rPr>
            </w:pPr>
            <w:r w:rsidRPr="00991D0A">
              <w:rPr>
                <w:rFonts w:ascii="Calibri Light" w:eastAsia="Times New Roman" w:hAnsi="Calibri Light" w:cs="Calibri Light"/>
                <w:color w:val="000000"/>
                <w:sz w:val="20"/>
                <w:szCs w:val="20"/>
                <w:lang w:eastAsia="en-GB"/>
              </w:rPr>
              <w:t>Правилник о условима, садржини и начину издавања сертификата о енергетским својствима зграда</w:t>
            </w:r>
          </w:p>
        </w:tc>
      </w:tr>
      <w:tr w:rsidR="00854ADA" w:rsidRPr="00FF386D" w14:paraId="4F7CC731" w14:textId="77777777" w:rsidTr="0057310C">
        <w:trPr>
          <w:trHeight w:val="315"/>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761CEB1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Трошкови имплементације</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4E73E749" w14:textId="23DCE306"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 xml:space="preserve">Биће </w:t>
            </w:r>
            <w:r w:rsidR="002F20B4" w:rsidRPr="00FF386D">
              <w:rPr>
                <w:rFonts w:ascii="Calibri Light" w:eastAsia="Times New Roman" w:hAnsi="Calibri Light" w:cs="Calibri Light"/>
                <w:color w:val="000000"/>
                <w:sz w:val="20"/>
                <w:szCs w:val="20"/>
                <w:lang w:eastAsia="en-GB"/>
              </w:rPr>
              <w:t xml:space="preserve">обухваћени </w:t>
            </w:r>
            <w:r w:rsidRPr="00FF386D">
              <w:rPr>
                <w:rFonts w:ascii="Calibri Light" w:eastAsia="Times New Roman" w:hAnsi="Calibri Light" w:cs="Calibri Light"/>
                <w:color w:val="000000"/>
                <w:sz w:val="20"/>
                <w:szCs w:val="20"/>
                <w:lang w:eastAsia="en-GB"/>
              </w:rPr>
              <w:t>у МП_ЕЕ1, МП_ЕЕ2 и МП_ЕЕ3</w:t>
            </w:r>
          </w:p>
        </w:tc>
      </w:tr>
      <w:tr w:rsidR="00854ADA" w:rsidRPr="00FF386D" w14:paraId="2D1336A8" w14:textId="77777777" w:rsidTr="0057310C">
        <w:trPr>
          <w:trHeight w:val="315"/>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00F27D5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71BE5015" w14:textId="72BB01B9"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2F20B4" w:rsidRPr="00FF386D">
              <w:rPr>
                <w:rFonts w:asciiTheme="majorHAnsi" w:eastAsia="Times New Roman" w:hAnsiTheme="majorHAnsi" w:cstheme="majorHAnsi"/>
                <w:color w:val="000000"/>
                <w:sz w:val="20"/>
                <w:szCs w:val="20"/>
                <w:lang w:eastAsia="en-GB"/>
              </w:rPr>
              <w:t>ска и</w:t>
            </w:r>
            <w:r w:rsidRPr="00FF386D">
              <w:rPr>
                <w:rFonts w:asciiTheme="majorHAnsi" w:eastAsia="Times New Roman" w:hAnsiTheme="majorHAnsi" w:cstheme="majorHAnsi"/>
                <w:color w:val="000000"/>
                <w:sz w:val="20"/>
                <w:szCs w:val="20"/>
                <w:lang w:eastAsia="en-GB"/>
              </w:rPr>
              <w:t xml:space="preserve"> сопствена средства</w:t>
            </w:r>
          </w:p>
        </w:tc>
      </w:tr>
    </w:tbl>
    <w:p w14:paraId="5524A82B"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26"/>
        <w:gridCol w:w="953"/>
        <w:gridCol w:w="945"/>
        <w:gridCol w:w="4234"/>
      </w:tblGrid>
      <w:tr w:rsidR="00854ADA" w:rsidRPr="00FF386D" w14:paraId="27C8453B" w14:textId="77777777" w:rsidTr="0057310C">
        <w:trPr>
          <w:trHeight w:val="780"/>
        </w:trPr>
        <w:tc>
          <w:tcPr>
            <w:tcW w:w="3326"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7A544AFD"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53" w:type="dxa"/>
            <w:tcBorders>
              <w:top w:val="single" w:sz="8" w:space="0" w:color="auto"/>
              <w:left w:val="nil"/>
              <w:bottom w:val="single" w:sz="8" w:space="0" w:color="auto"/>
              <w:right w:val="single" w:sz="8" w:space="0" w:color="auto"/>
            </w:tcBorders>
            <w:shd w:val="clear" w:color="auto" w:fill="E7E6E6" w:themeFill="background2"/>
            <w:vAlign w:val="center"/>
            <w:hideMark/>
          </w:tcPr>
          <w:p w14:paraId="0ECDD628"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7E7195">
              <w:rPr>
                <w:rFonts w:ascii="Calibri Light" w:hAnsi="Calibri Light"/>
                <w:b/>
                <w:sz w:val="20"/>
              </w:rPr>
              <w:t>МП_ЕЕ5</w:t>
            </w:r>
          </w:p>
        </w:tc>
        <w:tc>
          <w:tcPr>
            <w:tcW w:w="945" w:type="dxa"/>
            <w:tcBorders>
              <w:top w:val="single" w:sz="8" w:space="0" w:color="auto"/>
              <w:left w:val="nil"/>
              <w:bottom w:val="single" w:sz="8" w:space="0" w:color="auto"/>
              <w:right w:val="single" w:sz="8" w:space="0" w:color="auto"/>
            </w:tcBorders>
            <w:shd w:val="clear" w:color="000000" w:fill="244062"/>
            <w:vAlign w:val="center"/>
            <w:hideMark/>
          </w:tcPr>
          <w:p w14:paraId="099D74F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34" w:type="dxa"/>
            <w:tcBorders>
              <w:top w:val="single" w:sz="8" w:space="0" w:color="auto"/>
              <w:left w:val="nil"/>
              <w:bottom w:val="single" w:sz="8" w:space="0" w:color="auto"/>
              <w:right w:val="single" w:sz="8" w:space="0" w:color="auto"/>
            </w:tcBorders>
            <w:shd w:val="clear" w:color="auto" w:fill="E7E6E6" w:themeFill="background2"/>
            <w:vAlign w:val="center"/>
            <w:hideMark/>
          </w:tcPr>
          <w:p w14:paraId="789C85DC" w14:textId="167FA227" w:rsidR="00854ADA" w:rsidRPr="00FF386D" w:rsidRDefault="00991D0A" w:rsidP="00854ADA">
            <w:pPr>
              <w:spacing w:after="0" w:line="240" w:lineRule="auto"/>
              <w:jc w:val="both"/>
              <w:rPr>
                <w:rFonts w:ascii="Calibri Light" w:eastAsia="Times New Roman" w:hAnsi="Calibri Light" w:cs="Calibri Light"/>
                <w:b/>
                <w:bCs/>
                <w:color w:val="000000"/>
                <w:sz w:val="20"/>
                <w:szCs w:val="20"/>
                <w:lang w:eastAsia="en-GB"/>
              </w:rPr>
            </w:pPr>
            <w:r w:rsidRPr="00991D0A">
              <w:rPr>
                <w:rFonts w:ascii="Calibri Light" w:hAnsi="Calibri Light"/>
                <w:b/>
                <w:sz w:val="20"/>
              </w:rPr>
              <w:t xml:space="preserve">Финансијска подршка за изградњу и енергетску </w:t>
            </w:r>
            <w:r w:rsidR="005A4EC9" w:rsidRPr="00FF386D">
              <w:rPr>
                <w:rFonts w:ascii="Calibri Light" w:hAnsi="Calibri Light"/>
                <w:b/>
                <w:sz w:val="20"/>
              </w:rPr>
              <w:t>санацију</w:t>
            </w:r>
            <w:r w:rsidR="00854ADA" w:rsidRPr="00FF386D">
              <w:rPr>
                <w:rFonts w:ascii="Calibri Light" w:hAnsi="Calibri Light"/>
                <w:b/>
                <w:sz w:val="20"/>
              </w:rPr>
              <w:t xml:space="preserve"> зграда</w:t>
            </w:r>
            <w:r w:rsidR="002F20B4" w:rsidRPr="00FF386D">
              <w:rPr>
                <w:rFonts w:ascii="Calibri Light" w:hAnsi="Calibri Light"/>
                <w:b/>
                <w:sz w:val="20"/>
              </w:rPr>
              <w:t xml:space="preserve"> </w:t>
            </w:r>
            <w:r w:rsidR="0097124C" w:rsidRPr="00FF386D">
              <w:rPr>
                <w:rFonts w:ascii="Calibri Light" w:hAnsi="Calibri Light"/>
                <w:b/>
                <w:sz w:val="20"/>
              </w:rPr>
              <w:t>тако да пре</w:t>
            </w:r>
            <w:r w:rsidR="007264F3" w:rsidRPr="00FF386D">
              <w:rPr>
                <w:rFonts w:ascii="Calibri Light" w:hAnsi="Calibri Light"/>
                <w:b/>
                <w:sz w:val="20"/>
              </w:rPr>
              <w:t>машују</w:t>
            </w:r>
            <w:r w:rsidR="00854ADA" w:rsidRPr="00FF386D">
              <w:rPr>
                <w:rFonts w:ascii="Calibri Light" w:hAnsi="Calibri Light"/>
                <w:b/>
                <w:sz w:val="20"/>
              </w:rPr>
              <w:t xml:space="preserve"> минималне енергетск</w:t>
            </w:r>
            <w:r w:rsidR="0093332A" w:rsidRPr="00FF386D">
              <w:rPr>
                <w:rFonts w:ascii="Calibri Light" w:hAnsi="Calibri Light"/>
                <w:b/>
                <w:sz w:val="20"/>
              </w:rPr>
              <w:t>е</w:t>
            </w:r>
            <w:r w:rsidR="00854ADA" w:rsidRPr="00FF386D">
              <w:rPr>
                <w:rFonts w:ascii="Calibri Light" w:hAnsi="Calibri Light"/>
                <w:b/>
                <w:sz w:val="20"/>
              </w:rPr>
              <w:t xml:space="preserve"> захтеве</w:t>
            </w:r>
          </w:p>
        </w:tc>
      </w:tr>
      <w:tr w:rsidR="00854ADA" w:rsidRPr="00FF386D" w14:paraId="57D4AD55" w14:textId="77777777" w:rsidTr="0057310C">
        <w:trPr>
          <w:trHeight w:val="960"/>
        </w:trPr>
        <w:tc>
          <w:tcPr>
            <w:tcW w:w="3326" w:type="dxa"/>
            <w:tcBorders>
              <w:top w:val="nil"/>
              <w:left w:val="single" w:sz="8" w:space="0" w:color="auto"/>
              <w:bottom w:val="single" w:sz="8" w:space="0" w:color="auto"/>
              <w:right w:val="nil"/>
            </w:tcBorders>
            <w:shd w:val="clear" w:color="000000" w:fill="244062"/>
            <w:vAlign w:val="center"/>
            <w:hideMark/>
          </w:tcPr>
          <w:p w14:paraId="4914A91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38A7F48E" w14:textId="4402BBD8" w:rsidR="00854ADA" w:rsidRPr="000A2AFE" w:rsidRDefault="002F20B4"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Примена</w:t>
            </w:r>
            <w:r w:rsidR="00854ADA" w:rsidRPr="00FF386D">
              <w:rPr>
                <w:rFonts w:ascii="Calibri Light" w:hAnsi="Calibri Light"/>
                <w:sz w:val="20"/>
              </w:rPr>
              <w:t xml:space="preserve"> чланова Директиве</w:t>
            </w:r>
            <w:r w:rsidRPr="00FF386D">
              <w:rPr>
                <w:rFonts w:ascii="Calibri Light" w:hAnsi="Calibri Light"/>
                <w:sz w:val="20"/>
              </w:rPr>
              <w:t xml:space="preserve"> (ЕУ) </w:t>
            </w:r>
            <w:r w:rsidR="00854ADA" w:rsidRPr="00FF386D">
              <w:rPr>
                <w:rFonts w:ascii="Calibri Light" w:hAnsi="Calibri Light"/>
                <w:sz w:val="20"/>
              </w:rPr>
              <w:t xml:space="preserve">2012/27,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2018/2002</w:t>
            </w:r>
            <w:r w:rsidRPr="00FF386D">
              <w:rPr>
                <w:rFonts w:ascii="Calibri Light" w:hAnsi="Calibri Light"/>
                <w:sz w:val="20"/>
              </w:rPr>
              <w:t>, и то</w:t>
            </w:r>
            <w:r w:rsidR="00854ADA" w:rsidRPr="000A2AFE">
              <w:rPr>
                <w:rFonts w:ascii="Calibri Light" w:eastAsia="Times New Roman" w:hAnsi="Calibri Light" w:cs="Calibri Light"/>
                <w:color w:val="000000"/>
                <w:sz w:val="20"/>
                <w:szCs w:val="20"/>
                <w:lang w:eastAsia="en-GB"/>
              </w:rPr>
              <w:t>:</w:t>
            </w:r>
          </w:p>
          <w:p w14:paraId="1E5DC893" w14:textId="2A196D36" w:rsidR="00854ADA" w:rsidRPr="000A2AFE" w:rsidRDefault="00854ADA" w:rsidP="00854ADA">
            <w:pPr>
              <w:numPr>
                <w:ilvl w:val="0"/>
                <w:numId w:val="119"/>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105838"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3</w:t>
            </w:r>
          </w:p>
          <w:p w14:paraId="0EE472D7" w14:textId="2C7F6944" w:rsidR="00854ADA" w:rsidRPr="000A2AFE" w:rsidRDefault="00854ADA" w:rsidP="00854ADA">
            <w:pPr>
              <w:numPr>
                <w:ilvl w:val="0"/>
                <w:numId w:val="119"/>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105838"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4</w:t>
            </w:r>
          </w:p>
          <w:p w14:paraId="6D1667DC" w14:textId="2EF61578" w:rsidR="00854ADA" w:rsidRPr="000A2AFE" w:rsidRDefault="00854ADA" w:rsidP="00854ADA">
            <w:pPr>
              <w:numPr>
                <w:ilvl w:val="0"/>
                <w:numId w:val="119"/>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105838"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5</w:t>
            </w:r>
          </w:p>
          <w:p w14:paraId="0F9B6740" w14:textId="31A2662D" w:rsidR="00854ADA" w:rsidRPr="00FF386D" w:rsidRDefault="00854ADA" w:rsidP="00854ADA">
            <w:pPr>
              <w:numPr>
                <w:ilvl w:val="0"/>
                <w:numId w:val="119"/>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105838"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7</w:t>
            </w:r>
          </w:p>
        </w:tc>
      </w:tr>
      <w:tr w:rsidR="00854ADA" w:rsidRPr="00FF386D" w14:paraId="4A390186" w14:textId="77777777" w:rsidTr="0057310C">
        <w:trPr>
          <w:trHeight w:val="315"/>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150A80B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4EF93A28"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Допринос МП_ЕЕ1-МП_ЕЕ3</w:t>
            </w:r>
          </w:p>
        </w:tc>
      </w:tr>
      <w:tr w:rsidR="00854ADA" w:rsidRPr="00FF386D" w14:paraId="5BCDD61C" w14:textId="77777777" w:rsidTr="0057310C">
        <w:trPr>
          <w:trHeight w:val="1924"/>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07FC483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746B84AD" w14:textId="5272B914" w:rsidR="00854ADA" w:rsidRPr="000A2AFE"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МП_ЕЕ5 ће под</w:t>
            </w:r>
            <w:r w:rsidR="0097124C" w:rsidRPr="000A2AFE">
              <w:rPr>
                <w:rFonts w:ascii="Calibri Light" w:eastAsia="Times New Roman" w:hAnsi="Calibri Light" w:cs="Calibri Light"/>
                <w:color w:val="000000"/>
                <w:sz w:val="20"/>
                <w:szCs w:val="20"/>
                <w:lang w:eastAsia="en-GB"/>
              </w:rPr>
              <w:t>ржати</w:t>
            </w:r>
            <w:r w:rsidRPr="000A2AFE">
              <w:rPr>
                <w:rFonts w:ascii="Calibri Light" w:eastAsia="Times New Roman" w:hAnsi="Calibri Light" w:cs="Calibri Light"/>
                <w:color w:val="000000"/>
                <w:sz w:val="20"/>
                <w:szCs w:val="20"/>
                <w:lang w:eastAsia="en-GB"/>
              </w:rPr>
              <w:t xml:space="preserve"> спровођење интервенција на унапређењу енергетске ефикасности</w:t>
            </w:r>
            <w:r w:rsidR="0097124C" w:rsidRPr="000A2AFE">
              <w:rPr>
                <w:rFonts w:ascii="Calibri Light" w:eastAsia="Times New Roman" w:hAnsi="Calibri Light" w:cs="Calibri Light"/>
                <w:color w:val="000000"/>
                <w:sz w:val="20"/>
                <w:szCs w:val="20"/>
                <w:lang w:eastAsia="en-GB"/>
              </w:rPr>
              <w:t xml:space="preserve"> пружањем подстицаја </w:t>
            </w:r>
            <w:r w:rsidR="007264F3" w:rsidRPr="000A2AFE">
              <w:rPr>
                <w:rFonts w:ascii="Calibri Light" w:eastAsia="Times New Roman" w:hAnsi="Calibri Light" w:cs="Calibri Light"/>
                <w:color w:val="000000"/>
                <w:sz w:val="20"/>
                <w:szCs w:val="20"/>
                <w:lang w:eastAsia="en-GB"/>
              </w:rPr>
              <w:t xml:space="preserve">за </w:t>
            </w:r>
            <w:r w:rsidRPr="000A2AFE">
              <w:rPr>
                <w:rFonts w:ascii="Calibri Light" w:eastAsia="Times New Roman" w:hAnsi="Calibri Light" w:cs="Calibri Light"/>
                <w:color w:val="000000"/>
                <w:sz w:val="20"/>
                <w:szCs w:val="20"/>
                <w:lang w:eastAsia="en-GB"/>
              </w:rPr>
              <w:t>н</w:t>
            </w:r>
            <w:r w:rsidR="009136CE" w:rsidRPr="000A2AFE">
              <w:rPr>
                <w:rFonts w:ascii="Calibri Light" w:eastAsia="Times New Roman" w:hAnsi="Calibri Light" w:cs="Calibri Light"/>
                <w:color w:val="000000"/>
                <w:sz w:val="20"/>
                <w:szCs w:val="20"/>
                <w:lang w:eastAsia="en-GB"/>
              </w:rPr>
              <w:t>о</w:t>
            </w:r>
            <w:r w:rsidRPr="000A2AFE">
              <w:rPr>
                <w:rFonts w:ascii="Calibri Light" w:eastAsia="Times New Roman" w:hAnsi="Calibri Light" w:cs="Calibri Light"/>
                <w:color w:val="000000"/>
                <w:sz w:val="20"/>
                <w:szCs w:val="20"/>
                <w:lang w:eastAsia="en-GB"/>
              </w:rPr>
              <w:t>в</w:t>
            </w:r>
            <w:r w:rsidR="007264F3" w:rsidRPr="000A2AFE">
              <w:rPr>
                <w:rFonts w:ascii="Calibri Light" w:eastAsia="Times New Roman" w:hAnsi="Calibri Light" w:cs="Calibri Light"/>
                <w:color w:val="000000"/>
                <w:sz w:val="20"/>
                <w:szCs w:val="20"/>
                <w:lang w:eastAsia="en-GB"/>
              </w:rPr>
              <w:t>е</w:t>
            </w:r>
            <w:r w:rsidRPr="000A2AFE">
              <w:rPr>
                <w:rFonts w:ascii="Calibri Light" w:eastAsia="Times New Roman" w:hAnsi="Calibri Light" w:cs="Calibri Light"/>
                <w:color w:val="000000"/>
                <w:sz w:val="20"/>
                <w:szCs w:val="20"/>
                <w:lang w:eastAsia="en-GB"/>
              </w:rPr>
              <w:t xml:space="preserve"> зград</w:t>
            </w:r>
            <w:r w:rsidR="007264F3" w:rsidRPr="000A2AFE">
              <w:rPr>
                <w:rFonts w:ascii="Calibri Light" w:eastAsia="Times New Roman" w:hAnsi="Calibri Light" w:cs="Calibri Light"/>
                <w:color w:val="000000"/>
                <w:sz w:val="20"/>
                <w:szCs w:val="20"/>
                <w:lang w:eastAsia="en-GB"/>
              </w:rPr>
              <w:t>е</w:t>
            </w:r>
            <w:r w:rsidRPr="000A2AFE">
              <w:rPr>
                <w:rFonts w:ascii="Calibri Light" w:eastAsia="Times New Roman" w:hAnsi="Calibri Light" w:cs="Calibri Light"/>
                <w:color w:val="000000"/>
                <w:sz w:val="20"/>
                <w:szCs w:val="20"/>
                <w:lang w:eastAsia="en-GB"/>
              </w:rPr>
              <w:t xml:space="preserve"> и </w:t>
            </w:r>
            <w:r w:rsidR="009136CE" w:rsidRPr="000A2AFE">
              <w:rPr>
                <w:rFonts w:ascii="Calibri Light" w:eastAsia="Times New Roman" w:hAnsi="Calibri Light" w:cs="Calibri Light"/>
                <w:color w:val="000000"/>
                <w:sz w:val="20"/>
                <w:szCs w:val="20"/>
                <w:lang w:eastAsia="en-GB"/>
              </w:rPr>
              <w:t>стамбен</w:t>
            </w:r>
            <w:r w:rsidR="007264F3" w:rsidRPr="000A2AFE">
              <w:rPr>
                <w:rFonts w:ascii="Calibri Light" w:eastAsia="Times New Roman" w:hAnsi="Calibri Light" w:cs="Calibri Light"/>
                <w:color w:val="000000"/>
                <w:sz w:val="20"/>
                <w:szCs w:val="20"/>
                <w:lang w:eastAsia="en-GB"/>
              </w:rPr>
              <w:t>е</w:t>
            </w:r>
            <w:r w:rsidR="009136CE" w:rsidRPr="000A2AFE">
              <w:rPr>
                <w:rFonts w:ascii="Calibri Light" w:eastAsia="Times New Roman" w:hAnsi="Calibri Light" w:cs="Calibri Light"/>
                <w:color w:val="000000"/>
                <w:sz w:val="20"/>
                <w:szCs w:val="20"/>
                <w:lang w:eastAsia="en-GB"/>
              </w:rPr>
              <w:t xml:space="preserve"> и нестамбен</w:t>
            </w:r>
            <w:r w:rsidR="007264F3" w:rsidRPr="000A2AFE">
              <w:rPr>
                <w:rFonts w:ascii="Calibri Light" w:eastAsia="Times New Roman" w:hAnsi="Calibri Light" w:cs="Calibri Light"/>
                <w:color w:val="000000"/>
                <w:sz w:val="20"/>
                <w:szCs w:val="20"/>
                <w:lang w:eastAsia="en-GB"/>
              </w:rPr>
              <w:t>е енергетски</w:t>
            </w:r>
            <w:r w:rsidR="009136CE" w:rsidRPr="000A2AFE">
              <w:rPr>
                <w:rFonts w:ascii="Calibri Light" w:eastAsia="Times New Roman" w:hAnsi="Calibri Light" w:cs="Calibri Light"/>
                <w:color w:val="000000"/>
                <w:sz w:val="20"/>
                <w:szCs w:val="20"/>
                <w:lang w:eastAsia="en-GB"/>
              </w:rPr>
              <w:t xml:space="preserve"> </w:t>
            </w:r>
            <w:r w:rsidR="0097124C" w:rsidRPr="000A2AFE">
              <w:rPr>
                <w:rFonts w:ascii="Calibri Light" w:eastAsia="Times New Roman" w:hAnsi="Calibri Light" w:cs="Calibri Light"/>
                <w:color w:val="000000"/>
                <w:sz w:val="20"/>
                <w:szCs w:val="20"/>
                <w:lang w:eastAsia="en-GB"/>
              </w:rPr>
              <w:t>саниран</w:t>
            </w:r>
            <w:r w:rsidR="007264F3" w:rsidRPr="000A2AFE">
              <w:rPr>
                <w:rFonts w:ascii="Calibri Light" w:eastAsia="Times New Roman" w:hAnsi="Calibri Light" w:cs="Calibri Light"/>
                <w:color w:val="000000"/>
                <w:sz w:val="20"/>
                <w:szCs w:val="20"/>
                <w:lang w:eastAsia="en-GB"/>
              </w:rPr>
              <w:t>е</w:t>
            </w:r>
            <w:r w:rsidR="0097124C" w:rsidRPr="000A2AFE">
              <w:rPr>
                <w:rFonts w:ascii="Calibri Light" w:eastAsia="Times New Roman" w:hAnsi="Calibri Light" w:cs="Calibri Light"/>
                <w:color w:val="000000"/>
                <w:sz w:val="20"/>
                <w:szCs w:val="20"/>
                <w:lang w:eastAsia="en-GB"/>
              </w:rPr>
              <w:t xml:space="preserve"> </w:t>
            </w:r>
            <w:r w:rsidRPr="000A2AFE">
              <w:rPr>
                <w:rFonts w:ascii="Calibri Light" w:eastAsia="Times New Roman" w:hAnsi="Calibri Light" w:cs="Calibri Light"/>
                <w:color w:val="000000"/>
                <w:sz w:val="20"/>
                <w:szCs w:val="20"/>
                <w:lang w:eastAsia="en-GB"/>
              </w:rPr>
              <w:t>зградама,</w:t>
            </w:r>
            <w:r w:rsidR="0097124C" w:rsidRPr="000A2AFE">
              <w:rPr>
                <w:rFonts w:ascii="Calibri Light" w:eastAsia="Times New Roman" w:hAnsi="Calibri Light" w:cs="Calibri Light"/>
                <w:color w:val="000000"/>
                <w:sz w:val="20"/>
                <w:szCs w:val="20"/>
                <w:lang w:eastAsia="en-GB"/>
              </w:rPr>
              <w:t xml:space="preserve"> тако да пр</w:t>
            </w:r>
            <w:r w:rsidR="007264F3" w:rsidRPr="000A2AFE">
              <w:rPr>
                <w:rFonts w:ascii="Calibri Light" w:eastAsia="Times New Roman" w:hAnsi="Calibri Light" w:cs="Calibri Light"/>
                <w:color w:val="000000"/>
                <w:sz w:val="20"/>
                <w:szCs w:val="20"/>
                <w:lang w:eastAsia="en-GB"/>
              </w:rPr>
              <w:t>емашују прописане</w:t>
            </w:r>
            <w:r w:rsidR="0097124C" w:rsidRPr="000A2AFE">
              <w:rPr>
                <w:rFonts w:ascii="Calibri Light" w:eastAsia="Times New Roman" w:hAnsi="Calibri Light" w:cs="Calibri Light"/>
                <w:color w:val="000000"/>
                <w:sz w:val="20"/>
                <w:szCs w:val="20"/>
                <w:lang w:eastAsia="en-GB"/>
              </w:rPr>
              <w:t xml:space="preserve"> минималне захтеве,</w:t>
            </w:r>
            <w:r w:rsidRPr="000A2AFE">
              <w:rPr>
                <w:rFonts w:ascii="Calibri Light" w:eastAsia="Times New Roman" w:hAnsi="Calibri Light" w:cs="Calibri Light"/>
                <w:color w:val="000000"/>
                <w:sz w:val="20"/>
                <w:szCs w:val="20"/>
                <w:lang w:eastAsia="en-GB"/>
              </w:rPr>
              <w:t xml:space="preserve"> увођењем регулаторних мера (као што је повећање дозвољене грађевинске површине са енергетским својствима већим од минималних и увођење обавеза да се у фази израде пројекта за добијање грађевинске дозволе размотри употреба високо ефикасних алтернативних система за снабдевање енергијом и топлотом) и додатних фискалних и финансијских мера. Треба напоменути </w:t>
            </w:r>
            <w:r w:rsidR="00105838" w:rsidRPr="000A2AFE">
              <w:rPr>
                <w:rFonts w:ascii="Calibri Light" w:eastAsia="Times New Roman" w:hAnsi="Calibri Light" w:cs="Calibri Light"/>
                <w:color w:val="000000"/>
                <w:sz w:val="20"/>
                <w:szCs w:val="20"/>
                <w:lang w:eastAsia="en-GB"/>
              </w:rPr>
              <w:t xml:space="preserve">такође </w:t>
            </w:r>
            <w:r w:rsidRPr="000A2AFE">
              <w:rPr>
                <w:rFonts w:ascii="Calibri Light" w:eastAsia="Times New Roman" w:hAnsi="Calibri Light" w:cs="Calibri Light"/>
                <w:color w:val="000000"/>
                <w:sz w:val="20"/>
                <w:szCs w:val="20"/>
                <w:lang w:eastAsia="en-GB"/>
              </w:rPr>
              <w:t xml:space="preserve">да мера </w:t>
            </w:r>
            <w:r w:rsidR="00FC76C8" w:rsidRPr="000A2AFE">
              <w:rPr>
                <w:rFonts w:ascii="Calibri Light" w:eastAsia="Times New Roman" w:hAnsi="Calibri Light" w:cs="Calibri Light"/>
                <w:color w:val="000000"/>
                <w:sz w:val="20"/>
                <w:szCs w:val="20"/>
                <w:lang w:eastAsia="en-GB"/>
              </w:rPr>
              <w:t>може да обухвати и по</w:t>
            </w:r>
            <w:r w:rsidR="005F17E5">
              <w:rPr>
                <w:rFonts w:ascii="Calibri Light" w:eastAsia="Times New Roman" w:hAnsi="Calibri Light" w:cs="Calibri Light"/>
                <w:color w:val="000000"/>
                <w:sz w:val="20"/>
                <w:szCs w:val="20"/>
                <w:lang w:eastAsia="en-GB"/>
              </w:rPr>
              <w:t>д</w:t>
            </w:r>
            <w:r w:rsidR="00FC76C8" w:rsidRPr="000A2AFE">
              <w:rPr>
                <w:rFonts w:ascii="Calibri Light" w:eastAsia="Times New Roman" w:hAnsi="Calibri Light" w:cs="Calibri Light"/>
                <w:color w:val="000000"/>
                <w:sz w:val="20"/>
                <w:szCs w:val="20"/>
                <w:lang w:eastAsia="en-GB"/>
              </w:rPr>
              <w:t>стицање пасивних зграда.</w:t>
            </w:r>
            <w:r w:rsidR="00991D0A">
              <w:t xml:space="preserve"> </w:t>
            </w:r>
            <w:r w:rsidR="00991D0A" w:rsidRPr="00991D0A">
              <w:rPr>
                <w:rFonts w:ascii="Calibri Light" w:eastAsia="Times New Roman" w:hAnsi="Calibri Light" w:cs="Calibri Light"/>
                <w:color w:val="000000"/>
                <w:sz w:val="20"/>
                <w:szCs w:val="20"/>
                <w:lang w:eastAsia="en-GB"/>
              </w:rPr>
              <w:t>Наменски пилот пројекти ће бити израђени како би се осигурала спремност укључених експерата.</w:t>
            </w:r>
            <w:r w:rsidR="00E811DB">
              <w:rPr>
                <w:rFonts w:ascii="Calibri Light" w:eastAsia="Times New Roman" w:hAnsi="Calibri Light" w:cs="Calibri Light"/>
                <w:color w:val="000000"/>
                <w:sz w:val="20"/>
                <w:szCs w:val="20"/>
                <w:lang w:eastAsia="en-GB"/>
              </w:rPr>
              <w:t xml:space="preserve"> Треба напоменути да ће потенцијална употреба нискоуг</w:t>
            </w:r>
            <w:r w:rsidR="00E028C3">
              <w:rPr>
                <w:rFonts w:ascii="Calibri Light" w:eastAsia="Times New Roman" w:hAnsi="Calibri Light" w:cs="Calibri Light"/>
                <w:color w:val="000000"/>
                <w:sz w:val="20"/>
                <w:szCs w:val="20"/>
                <w:lang w:eastAsia="en-GB"/>
              </w:rPr>
              <w:t>љеничког</w:t>
            </w:r>
            <w:r w:rsidR="00E811DB">
              <w:rPr>
                <w:rFonts w:ascii="Calibri Light" w:eastAsia="Times New Roman" w:hAnsi="Calibri Light" w:cs="Calibri Light"/>
                <w:color w:val="000000"/>
                <w:sz w:val="20"/>
                <w:szCs w:val="20"/>
                <w:lang w:eastAsia="en-GB"/>
              </w:rPr>
              <w:t xml:space="preserve"> грађевинског материјала бити размотрена с циљем да се омогући трансформација зграда у зграде са </w:t>
            </w:r>
            <w:r w:rsidR="00E028C3">
              <w:rPr>
                <w:rFonts w:ascii="Calibri Light" w:eastAsia="Times New Roman" w:hAnsi="Calibri Light" w:cs="Calibri Light"/>
                <w:color w:val="000000"/>
                <w:sz w:val="20"/>
                <w:szCs w:val="20"/>
                <w:lang w:eastAsia="en-GB"/>
              </w:rPr>
              <w:t>нултим емисијама током целог њиховог животног циклуса.</w:t>
            </w:r>
          </w:p>
        </w:tc>
      </w:tr>
      <w:tr w:rsidR="00854ADA" w:rsidRPr="00FF386D" w14:paraId="1F7C7525" w14:textId="77777777" w:rsidTr="0057310C">
        <w:trPr>
          <w:trHeight w:val="315"/>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029BD45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2F2E54EB" w14:textId="493DFF14"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2F20B4"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-2030.</w:t>
            </w:r>
          </w:p>
        </w:tc>
      </w:tr>
      <w:tr w:rsidR="00854ADA" w:rsidRPr="00FF386D" w14:paraId="068B3B4F" w14:textId="77777777" w:rsidTr="0057310C">
        <w:trPr>
          <w:trHeight w:val="315"/>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04A6D8A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0FD2015E"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Инвестиција</w:t>
            </w:r>
          </w:p>
        </w:tc>
      </w:tr>
      <w:tr w:rsidR="00854ADA" w:rsidRPr="00FF386D" w14:paraId="113874B1" w14:textId="77777777" w:rsidTr="0057310C">
        <w:trPr>
          <w:trHeight w:val="315"/>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266EF61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09E42A53"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Стамбени, јавни, комерцијални</w:t>
            </w:r>
          </w:p>
        </w:tc>
      </w:tr>
      <w:tr w:rsidR="00854ADA" w:rsidRPr="00FF386D" w14:paraId="68D7A403" w14:textId="77777777" w:rsidTr="0057310C">
        <w:trPr>
          <w:trHeight w:val="315"/>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3DE1692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0B8C5950" w14:textId="77777777" w:rsidR="00854ADA" w:rsidRPr="00FF386D" w:rsidRDefault="00854ADA">
            <w:pPr>
              <w:numPr>
                <w:ilvl w:val="0"/>
                <w:numId w:val="235"/>
              </w:numPr>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грађевинарства, саобраћаја и инфраструктуре</w:t>
            </w:r>
          </w:p>
          <w:p w14:paraId="224AF881" w14:textId="03CCD5EA" w:rsidR="00854ADA" w:rsidRPr="00FF386D" w:rsidRDefault="00854ADA">
            <w:pPr>
              <w:numPr>
                <w:ilvl w:val="0"/>
                <w:numId w:val="235"/>
              </w:numPr>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Министарство енергетике и рударства – </w:t>
            </w:r>
            <w:r w:rsidR="00B36155" w:rsidRPr="00FF386D">
              <w:rPr>
                <w:rFonts w:ascii="Calibri Light" w:eastAsia="Times New Roman" w:hAnsi="Calibri Light" w:cs="Calibri Light"/>
                <w:color w:val="000000"/>
                <w:sz w:val="20"/>
                <w:szCs w:val="20"/>
                <w:lang w:eastAsia="en-GB"/>
              </w:rPr>
              <w:t>Управа</w:t>
            </w:r>
            <w:r w:rsidRPr="00FF386D">
              <w:rPr>
                <w:rFonts w:ascii="Calibri Light" w:eastAsia="Times New Roman" w:hAnsi="Calibri Light" w:cs="Calibri Light"/>
                <w:color w:val="000000"/>
                <w:sz w:val="20"/>
                <w:szCs w:val="20"/>
                <w:lang w:eastAsia="en-GB"/>
              </w:rPr>
              <w:t xml:space="preserve"> ЕЕ</w:t>
            </w:r>
          </w:p>
          <w:p w14:paraId="05ECCF41" w14:textId="6A6F7150" w:rsidR="00854ADA" w:rsidRPr="00FF386D" w:rsidRDefault="00854ADA" w:rsidP="002F20B4">
            <w:pPr>
              <w:numPr>
                <w:ilvl w:val="0"/>
                <w:numId w:val="235"/>
              </w:numPr>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МФИ</w:t>
            </w:r>
          </w:p>
        </w:tc>
      </w:tr>
      <w:tr w:rsidR="00854ADA" w:rsidRPr="00FF386D" w14:paraId="2A3E17D9" w14:textId="77777777" w:rsidTr="0057310C">
        <w:trPr>
          <w:trHeight w:val="315"/>
        </w:trPr>
        <w:tc>
          <w:tcPr>
            <w:tcW w:w="3326" w:type="dxa"/>
            <w:tcBorders>
              <w:top w:val="nil"/>
              <w:left w:val="single" w:sz="8" w:space="0" w:color="auto"/>
              <w:bottom w:val="single" w:sz="8" w:space="0" w:color="auto"/>
              <w:right w:val="nil"/>
            </w:tcBorders>
            <w:shd w:val="clear" w:color="000000" w:fill="244062"/>
            <w:vAlign w:val="center"/>
            <w:hideMark/>
          </w:tcPr>
          <w:p w14:paraId="33BBF82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4D2BF40B" w14:textId="3B480885" w:rsidR="00854ADA" w:rsidRPr="000A2AFE" w:rsidRDefault="00E028C3" w:rsidP="000A2AFE">
            <w:pPr>
              <w:pStyle w:val="ListParagraph"/>
              <w:numPr>
                <w:ilvl w:val="0"/>
                <w:numId w:val="337"/>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0CBE7918" w14:textId="77777777" w:rsidTr="0057310C">
        <w:trPr>
          <w:trHeight w:val="315"/>
        </w:trPr>
        <w:tc>
          <w:tcPr>
            <w:tcW w:w="3326" w:type="dxa"/>
            <w:tcBorders>
              <w:top w:val="nil"/>
              <w:left w:val="single" w:sz="8" w:space="0" w:color="auto"/>
              <w:bottom w:val="single" w:sz="8" w:space="0" w:color="auto"/>
              <w:right w:val="nil"/>
            </w:tcBorders>
            <w:shd w:val="clear" w:color="000000" w:fill="244062"/>
            <w:vAlign w:val="center"/>
            <w:hideMark/>
          </w:tcPr>
          <w:p w14:paraId="2B25AF1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3712FE57" w14:textId="16330FFB" w:rsidR="00854ADA" w:rsidRDefault="00854ADA">
            <w:pPr>
              <w:numPr>
                <w:ilvl w:val="0"/>
                <w:numId w:val="272"/>
              </w:numPr>
              <w:spacing w:after="0" w:line="240" w:lineRule="auto"/>
              <w:ind w:left="714" w:hanging="357"/>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Укупна површина </w:t>
            </w:r>
            <w:r w:rsidR="00F953F6" w:rsidRPr="00F953F6">
              <w:rPr>
                <w:rFonts w:ascii="Calibri Light" w:eastAsia="Times New Roman" w:hAnsi="Calibri Light" w:cs="Calibri Light"/>
                <w:color w:val="000000"/>
                <w:sz w:val="20"/>
                <w:szCs w:val="20"/>
                <w:lang w:eastAsia="en-GB"/>
              </w:rPr>
              <w:t xml:space="preserve">енергетски </w:t>
            </w:r>
            <w:r w:rsidR="002F20B4" w:rsidRPr="00FF386D">
              <w:rPr>
                <w:rFonts w:ascii="Calibri Light" w:eastAsia="Times New Roman" w:hAnsi="Calibri Light" w:cs="Calibri Light"/>
                <w:color w:val="000000"/>
                <w:sz w:val="20"/>
                <w:szCs w:val="20"/>
                <w:lang w:eastAsia="en-GB"/>
              </w:rPr>
              <w:t>санирани</w:t>
            </w:r>
            <w:r w:rsidR="00105838" w:rsidRPr="00FF386D">
              <w:rPr>
                <w:rFonts w:ascii="Calibri Light" w:eastAsia="Times New Roman" w:hAnsi="Calibri Light" w:cs="Calibri Light"/>
                <w:color w:val="000000"/>
                <w:sz w:val="20"/>
                <w:szCs w:val="20"/>
                <w:lang w:eastAsia="en-GB"/>
              </w:rPr>
              <w:t>х</w:t>
            </w:r>
            <w:r w:rsidRPr="00FF386D">
              <w:rPr>
                <w:rFonts w:ascii="Calibri Light" w:eastAsia="Times New Roman" w:hAnsi="Calibri Light" w:cs="Calibri Light"/>
                <w:color w:val="000000"/>
                <w:sz w:val="20"/>
                <w:szCs w:val="20"/>
                <w:lang w:eastAsia="en-GB"/>
              </w:rPr>
              <w:t xml:space="preserve"> зграда</w:t>
            </w:r>
            <w:r w:rsidR="00F953F6">
              <w:t xml:space="preserve"> </w:t>
            </w:r>
            <w:r w:rsidR="00F953F6" w:rsidRPr="00F953F6">
              <w:rPr>
                <w:rFonts w:ascii="Calibri Light" w:eastAsia="Times New Roman" w:hAnsi="Calibri Light" w:cs="Calibri Light"/>
                <w:color w:val="000000"/>
                <w:sz w:val="20"/>
                <w:szCs w:val="20"/>
                <w:lang w:eastAsia="en-GB"/>
              </w:rPr>
              <w:t>које превазилазе минималне енергетске захтеве</w:t>
            </w:r>
          </w:p>
          <w:p w14:paraId="397BE105" w14:textId="16B4990C" w:rsidR="00F953F6" w:rsidRPr="000A2AFE" w:rsidRDefault="00F953F6" w:rsidP="000A2AFE">
            <w:pPr>
              <w:pStyle w:val="ListParagraph"/>
              <w:numPr>
                <w:ilvl w:val="0"/>
                <w:numId w:val="272"/>
              </w:numPr>
              <w:spacing w:after="0"/>
              <w:ind w:left="714" w:hanging="357"/>
              <w:rPr>
                <w:rFonts w:ascii="Calibri Light" w:eastAsia="Times New Roman" w:hAnsi="Calibri Light" w:cs="Calibri Light"/>
                <w:color w:val="000000"/>
                <w:sz w:val="20"/>
                <w:szCs w:val="20"/>
                <w:lang w:eastAsia="en-GB"/>
              </w:rPr>
            </w:pPr>
            <w:r w:rsidRPr="00F953F6">
              <w:rPr>
                <w:rFonts w:ascii="Calibri Light" w:eastAsia="Times New Roman" w:hAnsi="Calibri Light" w:cs="Calibri Light"/>
                <w:color w:val="000000"/>
                <w:sz w:val="20"/>
                <w:szCs w:val="20"/>
                <w:lang w:eastAsia="en-GB"/>
              </w:rPr>
              <w:t>Укупна површина нових зграда које прев</w:t>
            </w:r>
            <w:r>
              <w:rPr>
                <w:rFonts w:ascii="Calibri Light" w:eastAsia="Times New Roman" w:hAnsi="Calibri Light" w:cs="Calibri Light"/>
                <w:color w:val="000000"/>
                <w:sz w:val="20"/>
                <w:szCs w:val="20"/>
                <w:lang w:eastAsia="en-GB"/>
              </w:rPr>
              <w:t>а</w:t>
            </w:r>
            <w:r w:rsidRPr="00F953F6">
              <w:rPr>
                <w:rFonts w:ascii="Calibri Light" w:eastAsia="Times New Roman" w:hAnsi="Calibri Light" w:cs="Calibri Light"/>
                <w:color w:val="000000"/>
                <w:sz w:val="20"/>
                <w:szCs w:val="20"/>
                <w:lang w:eastAsia="en-GB"/>
              </w:rPr>
              <w:t>зилазе минималне енергетске захтеве</w:t>
            </w:r>
          </w:p>
          <w:p w14:paraId="6EB40F5E" w14:textId="77777777" w:rsidR="00854ADA" w:rsidRPr="00FF386D" w:rsidRDefault="00854ADA" w:rsidP="00854ADA">
            <w:pPr>
              <w:numPr>
                <w:ilvl w:val="0"/>
                <w:numId w:val="115"/>
              </w:numPr>
              <w:spacing w:after="0" w:line="240" w:lineRule="auto"/>
              <w:ind w:left="714" w:hanging="357"/>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Инсталисан капацитет топлотних пумпи</w:t>
            </w:r>
          </w:p>
        </w:tc>
      </w:tr>
      <w:tr w:rsidR="00854ADA" w:rsidRPr="00FF386D" w14:paraId="6F3F1224" w14:textId="77777777" w:rsidTr="0057310C">
        <w:trPr>
          <w:trHeight w:val="415"/>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02384F9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24885D93" w14:textId="37ED27C2" w:rsidR="007E7195" w:rsidRPr="007E7195" w:rsidRDefault="007E7195" w:rsidP="007E7195">
            <w:pPr>
              <w:numPr>
                <w:ilvl w:val="0"/>
                <w:numId w:val="120"/>
              </w:numPr>
              <w:spacing w:after="0" w:line="240" w:lineRule="auto"/>
              <w:contextualSpacing/>
              <w:rPr>
                <w:rFonts w:ascii="Calibri Light" w:eastAsia="Times New Roman" w:hAnsi="Calibri Light" w:cs="Calibri Light"/>
                <w:color w:val="000000"/>
                <w:sz w:val="20"/>
                <w:szCs w:val="20"/>
                <w:lang w:eastAsia="en-GB"/>
              </w:rPr>
            </w:pPr>
            <w:r w:rsidRPr="007E7195">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7E7195">
              <w:rPr>
                <w:rFonts w:ascii="Calibri Light" w:eastAsia="Times New Roman" w:hAnsi="Calibri Light" w:cs="Calibri Light"/>
                <w:i/>
                <w:iCs/>
                <w:color w:val="000000"/>
                <w:sz w:val="20"/>
                <w:szCs w:val="20"/>
                <w:lang w:val="en-US" w:eastAsia="en-GB"/>
              </w:rPr>
              <w:t>GHG</w:t>
            </w:r>
            <w:r w:rsidRPr="007E7195">
              <w:rPr>
                <w:rFonts w:ascii="Calibri Light" w:eastAsia="Times New Roman" w:hAnsi="Calibri Light" w:cs="Calibri Light"/>
                <w:i/>
                <w:iCs/>
                <w:color w:val="000000"/>
                <w:sz w:val="20"/>
                <w:szCs w:val="20"/>
                <w:lang w:eastAsia="en-GB"/>
              </w:rPr>
              <w:t>,</w:t>
            </w:r>
            <w:r w:rsidRPr="007E7195">
              <w:rPr>
                <w:rFonts w:ascii="Calibri Light" w:eastAsia="Times New Roman" w:hAnsi="Calibri Light" w:cs="Calibri Light"/>
                <w:color w:val="000000"/>
                <w:sz w:val="20"/>
                <w:szCs w:val="20"/>
                <w:lang w:eastAsia="en-GB"/>
              </w:rPr>
              <w:t xml:space="preserve"> а коришћење технологија ОИЕ ће повећати удео ОИЕ у грејању и хлађењу)</w:t>
            </w:r>
          </w:p>
          <w:p w14:paraId="4551D401" w14:textId="0B877F8B" w:rsidR="00854ADA" w:rsidRPr="00FF386D" w:rsidRDefault="007E7195" w:rsidP="007E7195">
            <w:pPr>
              <w:numPr>
                <w:ilvl w:val="0"/>
                <w:numId w:val="120"/>
              </w:numPr>
              <w:spacing w:after="0" w:line="240" w:lineRule="auto"/>
              <w:contextualSpacing/>
              <w:rPr>
                <w:rFonts w:ascii="Calibri Light" w:eastAsia="Times New Roman" w:hAnsi="Calibri Light" w:cs="Calibri Light"/>
                <w:color w:val="000000"/>
                <w:sz w:val="20"/>
                <w:szCs w:val="20"/>
                <w:lang w:eastAsia="en-GB"/>
              </w:rPr>
            </w:pPr>
            <w:r w:rsidRPr="007E7195">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w:t>
            </w:r>
            <w:r w:rsidR="00054666">
              <w:rPr>
                <w:rFonts w:ascii="Calibri Light" w:eastAsia="Times New Roman" w:hAnsi="Calibri Light" w:cs="Calibri Light"/>
                <w:color w:val="000000"/>
                <w:sz w:val="20"/>
                <w:szCs w:val="20"/>
                <w:lang w:eastAsia="en-GB"/>
              </w:rPr>
              <w:t>а увезених</w:t>
            </w:r>
            <w:r w:rsidRPr="007E7195">
              <w:rPr>
                <w:rFonts w:ascii="Calibri Light" w:eastAsia="Times New Roman" w:hAnsi="Calibri Light" w:cs="Calibri Light"/>
                <w:color w:val="000000"/>
                <w:sz w:val="20"/>
                <w:szCs w:val="20"/>
                <w:lang w:eastAsia="en-GB"/>
              </w:rPr>
              <w:t xml:space="preserve"> фосилних горива што ће довести до смањења зависности од увоза енергије из трећих земаља)</w:t>
            </w:r>
          </w:p>
        </w:tc>
      </w:tr>
      <w:tr w:rsidR="00854ADA" w:rsidRPr="00FF386D" w14:paraId="7E4C357A" w14:textId="77777777" w:rsidTr="0057310C">
        <w:trPr>
          <w:trHeight w:val="450"/>
        </w:trPr>
        <w:tc>
          <w:tcPr>
            <w:tcW w:w="3326"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61A7CF82" w14:textId="692A32FD"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32"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7DD0A5BC" w14:textId="6ACB25D3" w:rsidR="00854ADA" w:rsidRPr="000A2AFE" w:rsidRDefault="00854ADA">
            <w:pPr>
              <w:numPr>
                <w:ilvl w:val="0"/>
                <w:numId w:val="236"/>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Директива </w:t>
            </w:r>
            <w:r w:rsidR="002F20B4" w:rsidRPr="000A2AFE">
              <w:rPr>
                <w:rFonts w:ascii="Calibri Light" w:eastAsia="Times New Roman" w:hAnsi="Calibri Light" w:cs="Calibri Light"/>
                <w:color w:val="000000"/>
                <w:sz w:val="20"/>
                <w:szCs w:val="20"/>
                <w:lang w:eastAsia="en-GB"/>
              </w:rPr>
              <w:t xml:space="preserve">(ЕУ) </w:t>
            </w:r>
            <w:r w:rsidRPr="000A2AFE">
              <w:rPr>
                <w:rFonts w:ascii="Calibri Light" w:eastAsia="Times New Roman" w:hAnsi="Calibri Light" w:cs="Calibri Light"/>
                <w:color w:val="000000"/>
                <w:sz w:val="20"/>
                <w:szCs w:val="20"/>
                <w:lang w:eastAsia="en-GB"/>
              </w:rPr>
              <w:t>2010/31</w:t>
            </w:r>
          </w:p>
          <w:p w14:paraId="487312A2" w14:textId="429AC8C6" w:rsidR="00854ADA" w:rsidRPr="000A2AFE" w:rsidRDefault="00854ADA">
            <w:pPr>
              <w:numPr>
                <w:ilvl w:val="0"/>
                <w:numId w:val="23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2F20B4" w:rsidRPr="00FF386D">
              <w:rPr>
                <w:rFonts w:ascii="Calibri Light" w:hAnsi="Calibri Light"/>
                <w:color w:val="000000"/>
                <w:sz w:val="20"/>
              </w:rPr>
              <w:t>(ЕУ)</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2012/27</w:t>
            </w:r>
          </w:p>
          <w:p w14:paraId="019EBC14" w14:textId="28B5960B" w:rsidR="00854ADA" w:rsidRPr="000A2AFE" w:rsidRDefault="00854ADA">
            <w:pPr>
              <w:numPr>
                <w:ilvl w:val="0"/>
                <w:numId w:val="23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Директива </w:t>
            </w:r>
            <w:r w:rsidR="002F20B4" w:rsidRPr="00FF386D">
              <w:rPr>
                <w:rFonts w:ascii="Calibri Light" w:hAnsi="Calibri Light"/>
                <w:color w:val="000000"/>
                <w:sz w:val="20"/>
              </w:rPr>
              <w:t xml:space="preserve">(ЕУ) </w:t>
            </w:r>
            <w:r w:rsidRPr="000A2AFE">
              <w:rPr>
                <w:rFonts w:ascii="Calibri Light" w:eastAsia="Times New Roman" w:hAnsi="Calibri Light" w:cs="Calibri Light"/>
                <w:color w:val="000000"/>
                <w:sz w:val="20"/>
                <w:szCs w:val="20"/>
                <w:lang w:eastAsia="en-GB"/>
              </w:rPr>
              <w:t>2018/2002</w:t>
            </w:r>
          </w:p>
          <w:p w14:paraId="41A1FBF8" w14:textId="661A46EE" w:rsidR="00854ADA" w:rsidRPr="00FF386D" w:rsidRDefault="00854ADA" w:rsidP="00854ADA">
            <w:pPr>
              <w:numPr>
                <w:ilvl w:val="0"/>
                <w:numId w:val="12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Директива </w:t>
            </w:r>
            <w:r w:rsidR="002F20B4" w:rsidRPr="00FF386D">
              <w:rPr>
                <w:rFonts w:ascii="Calibri Light" w:hAnsi="Calibri Light"/>
                <w:color w:val="000000"/>
                <w:sz w:val="20"/>
              </w:rPr>
              <w:t xml:space="preserve">(ЕУ) </w:t>
            </w:r>
            <w:r w:rsidRPr="000A2AFE">
              <w:rPr>
                <w:rFonts w:ascii="Calibri Light" w:eastAsia="Times New Roman" w:hAnsi="Calibri Light" w:cs="Calibri Light"/>
                <w:color w:val="000000"/>
                <w:sz w:val="20"/>
                <w:szCs w:val="20"/>
                <w:lang w:eastAsia="en-GB"/>
              </w:rPr>
              <w:t>2018/844</w:t>
            </w:r>
          </w:p>
        </w:tc>
      </w:tr>
      <w:tr w:rsidR="00854ADA" w:rsidRPr="00FF386D" w14:paraId="5CACC24E" w14:textId="77777777" w:rsidTr="0057310C">
        <w:trPr>
          <w:trHeight w:val="450"/>
        </w:trPr>
        <w:tc>
          <w:tcPr>
            <w:tcW w:w="3326" w:type="dxa"/>
            <w:vMerge/>
            <w:tcBorders>
              <w:top w:val="nil"/>
              <w:left w:val="single" w:sz="8" w:space="0" w:color="auto"/>
              <w:bottom w:val="single" w:sz="8" w:space="0" w:color="000000"/>
              <w:right w:val="single" w:sz="8" w:space="0" w:color="auto"/>
            </w:tcBorders>
            <w:vAlign w:val="center"/>
            <w:hideMark/>
          </w:tcPr>
          <w:p w14:paraId="4CAC939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2" w:type="dxa"/>
            <w:gridSpan w:val="3"/>
            <w:vMerge/>
            <w:tcBorders>
              <w:top w:val="single" w:sz="8" w:space="0" w:color="auto"/>
              <w:left w:val="single" w:sz="8" w:space="0" w:color="auto"/>
              <w:bottom w:val="single" w:sz="8" w:space="0" w:color="000000"/>
              <w:right w:val="single" w:sz="8" w:space="0" w:color="000000"/>
            </w:tcBorders>
            <w:vAlign w:val="center"/>
            <w:hideMark/>
          </w:tcPr>
          <w:p w14:paraId="13A5DA1A" w14:textId="77777777" w:rsidR="00854ADA" w:rsidRPr="00FF386D" w:rsidRDefault="00854ADA" w:rsidP="00854ADA">
            <w:pPr>
              <w:numPr>
                <w:ilvl w:val="0"/>
                <w:numId w:val="120"/>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79518AE3" w14:textId="77777777" w:rsidTr="0057310C">
        <w:trPr>
          <w:trHeight w:val="450"/>
        </w:trPr>
        <w:tc>
          <w:tcPr>
            <w:tcW w:w="3326" w:type="dxa"/>
            <w:vMerge/>
            <w:tcBorders>
              <w:top w:val="nil"/>
              <w:left w:val="single" w:sz="8" w:space="0" w:color="auto"/>
              <w:bottom w:val="single" w:sz="8" w:space="0" w:color="000000"/>
              <w:right w:val="single" w:sz="8" w:space="0" w:color="auto"/>
            </w:tcBorders>
            <w:vAlign w:val="center"/>
            <w:hideMark/>
          </w:tcPr>
          <w:p w14:paraId="6AA7004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2" w:type="dxa"/>
            <w:gridSpan w:val="3"/>
            <w:vMerge/>
            <w:tcBorders>
              <w:top w:val="single" w:sz="8" w:space="0" w:color="auto"/>
              <w:left w:val="single" w:sz="8" w:space="0" w:color="auto"/>
              <w:bottom w:val="single" w:sz="8" w:space="0" w:color="000000"/>
              <w:right w:val="single" w:sz="8" w:space="0" w:color="000000"/>
            </w:tcBorders>
            <w:vAlign w:val="center"/>
            <w:hideMark/>
          </w:tcPr>
          <w:p w14:paraId="23C28ABF" w14:textId="77777777" w:rsidR="00854ADA" w:rsidRPr="00FF386D" w:rsidRDefault="00854ADA" w:rsidP="00854ADA">
            <w:pPr>
              <w:numPr>
                <w:ilvl w:val="0"/>
                <w:numId w:val="120"/>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303E4819" w14:textId="77777777" w:rsidTr="0057310C">
        <w:trPr>
          <w:trHeight w:val="780"/>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484A2DE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60D1133F" w14:textId="5EE66F32" w:rsidR="00854ADA" w:rsidRPr="00FF386D" w:rsidRDefault="00854ADA" w:rsidP="00854ADA">
            <w:pPr>
              <w:numPr>
                <w:ilvl w:val="0"/>
                <w:numId w:val="120"/>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Непостојање националне дефиниције зграда </w:t>
            </w:r>
            <w:r w:rsidR="007E7195">
              <w:rPr>
                <w:rFonts w:ascii="Calibri Light" w:eastAsia="Times New Roman" w:hAnsi="Calibri Light" w:cs="Calibri Light"/>
                <w:color w:val="000000"/>
                <w:sz w:val="20"/>
                <w:szCs w:val="20"/>
                <w:lang w:eastAsia="en-GB"/>
              </w:rPr>
              <w:t>приближно</w:t>
            </w:r>
            <w:r w:rsidR="002F20B4" w:rsidRPr="00FF386D">
              <w:rPr>
                <w:rFonts w:ascii="Calibri Light" w:eastAsia="Times New Roman" w:hAnsi="Calibri Light" w:cs="Calibri Light"/>
                <w:color w:val="000000"/>
                <w:sz w:val="20"/>
                <w:szCs w:val="20"/>
                <w:lang w:eastAsia="en-GB"/>
              </w:rPr>
              <w:t xml:space="preserve"> нулте</w:t>
            </w:r>
            <w:r w:rsidRPr="00FF386D">
              <w:rPr>
                <w:rFonts w:ascii="Calibri Light" w:eastAsia="Times New Roman" w:hAnsi="Calibri Light" w:cs="Calibri Light"/>
                <w:color w:val="000000"/>
                <w:sz w:val="20"/>
                <w:szCs w:val="20"/>
                <w:lang w:eastAsia="en-GB"/>
              </w:rPr>
              <w:t xml:space="preserve"> енергије (</w:t>
            </w:r>
            <w:r w:rsidRPr="00FF386D">
              <w:rPr>
                <w:rFonts w:ascii="Calibri Light" w:eastAsia="Times New Roman" w:hAnsi="Calibri Light" w:cs="Calibri Light"/>
                <w:i/>
                <w:iCs/>
                <w:color w:val="000000"/>
                <w:sz w:val="20"/>
                <w:szCs w:val="20"/>
                <w:lang w:eastAsia="en-GB"/>
              </w:rPr>
              <w:t>nZEBs</w:t>
            </w:r>
            <w:r w:rsidRPr="00FF386D">
              <w:rPr>
                <w:rFonts w:ascii="Calibri Light" w:eastAsia="Times New Roman" w:hAnsi="Calibri Light" w:cs="Calibri Light"/>
                <w:color w:val="000000"/>
                <w:sz w:val="20"/>
                <w:szCs w:val="20"/>
                <w:lang w:eastAsia="en-GB"/>
              </w:rPr>
              <w:t>)</w:t>
            </w:r>
          </w:p>
          <w:p w14:paraId="4FDC4787" w14:textId="6C58EBFF" w:rsidR="00854ADA" w:rsidRPr="00FF386D" w:rsidRDefault="00854ADA" w:rsidP="00854ADA">
            <w:pPr>
              <w:numPr>
                <w:ilvl w:val="0"/>
                <w:numId w:val="120"/>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Обавештење према члану 5. Директиве </w:t>
            </w:r>
            <w:r w:rsidR="002F20B4" w:rsidRPr="00FF386D">
              <w:rPr>
                <w:rFonts w:ascii="Calibri Light" w:eastAsia="Times New Roman" w:hAnsi="Calibri Light" w:cs="Calibri Light"/>
                <w:color w:val="000000"/>
                <w:sz w:val="20"/>
                <w:szCs w:val="20"/>
                <w:lang w:eastAsia="en-GB"/>
              </w:rPr>
              <w:t xml:space="preserve">(ЕУ) </w:t>
            </w:r>
            <w:r w:rsidRPr="00FF386D">
              <w:rPr>
                <w:rFonts w:ascii="Calibri Light" w:eastAsia="Times New Roman" w:hAnsi="Calibri Light" w:cs="Calibri Light"/>
                <w:color w:val="000000"/>
                <w:sz w:val="20"/>
                <w:szCs w:val="20"/>
                <w:lang w:eastAsia="en-GB"/>
              </w:rPr>
              <w:t>2012/27 о енергетској ефикасности</w:t>
            </w:r>
          </w:p>
          <w:p w14:paraId="50B0F89C" w14:textId="3D0C0415" w:rsidR="00854ADA" w:rsidRPr="00FF386D" w:rsidRDefault="002F20B4" w:rsidP="00854ADA">
            <w:pPr>
              <w:numPr>
                <w:ilvl w:val="0"/>
                <w:numId w:val="120"/>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пример</w:t>
            </w:r>
            <w:r w:rsidR="00854ADA" w:rsidRPr="00FF386D">
              <w:rPr>
                <w:rFonts w:ascii="Calibri Light" w:eastAsia="Times New Roman" w:hAnsi="Calibri Light" w:cs="Calibri Light"/>
                <w:color w:val="000000"/>
                <w:sz w:val="20"/>
                <w:szCs w:val="20"/>
                <w:lang w:eastAsia="en-GB"/>
              </w:rPr>
              <w:t xml:space="preserve"> зграда у јавном сектору</w:t>
            </w:r>
          </w:p>
        </w:tc>
      </w:tr>
      <w:tr w:rsidR="00854ADA" w:rsidRPr="00FF386D" w14:paraId="5364A3F9" w14:textId="77777777" w:rsidTr="0057310C">
        <w:trPr>
          <w:trHeight w:val="315"/>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6060AF3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782F8DED" w14:textId="40AD47C5"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 xml:space="preserve">Биће </w:t>
            </w:r>
            <w:r w:rsidR="002F20B4" w:rsidRPr="00FF386D">
              <w:rPr>
                <w:rFonts w:ascii="Calibri Light" w:eastAsia="Times New Roman" w:hAnsi="Calibri Light" w:cs="Calibri Light"/>
                <w:color w:val="000000"/>
                <w:sz w:val="20"/>
                <w:szCs w:val="20"/>
                <w:lang w:eastAsia="en-GB"/>
              </w:rPr>
              <w:t xml:space="preserve">обухваћени </w:t>
            </w:r>
            <w:r w:rsidRPr="00FF386D">
              <w:rPr>
                <w:rFonts w:ascii="Calibri Light" w:eastAsia="Times New Roman" w:hAnsi="Calibri Light" w:cs="Calibri Light"/>
                <w:color w:val="000000"/>
                <w:sz w:val="20"/>
                <w:szCs w:val="20"/>
                <w:lang w:eastAsia="en-GB"/>
              </w:rPr>
              <w:t>у МП_ЕЕ1, МП_ЕЕ2 и МП_ЕЕ3</w:t>
            </w:r>
          </w:p>
        </w:tc>
      </w:tr>
      <w:tr w:rsidR="00854ADA" w:rsidRPr="00FF386D" w14:paraId="61049B75" w14:textId="77777777" w:rsidTr="0057310C">
        <w:trPr>
          <w:trHeight w:val="315"/>
        </w:trPr>
        <w:tc>
          <w:tcPr>
            <w:tcW w:w="3326" w:type="dxa"/>
            <w:tcBorders>
              <w:top w:val="nil"/>
              <w:left w:val="single" w:sz="8" w:space="0" w:color="auto"/>
              <w:bottom w:val="single" w:sz="8" w:space="0" w:color="auto"/>
              <w:right w:val="single" w:sz="8" w:space="0" w:color="auto"/>
            </w:tcBorders>
            <w:shd w:val="clear" w:color="000000" w:fill="244062"/>
            <w:vAlign w:val="center"/>
            <w:hideMark/>
          </w:tcPr>
          <w:p w14:paraId="56F3706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32" w:type="dxa"/>
            <w:gridSpan w:val="3"/>
            <w:tcBorders>
              <w:top w:val="single" w:sz="8" w:space="0" w:color="auto"/>
              <w:left w:val="nil"/>
              <w:bottom w:val="single" w:sz="8" w:space="0" w:color="auto"/>
              <w:right w:val="single" w:sz="8" w:space="0" w:color="000000"/>
            </w:tcBorders>
            <w:shd w:val="clear" w:color="auto" w:fill="auto"/>
            <w:vAlign w:val="center"/>
            <w:hideMark/>
          </w:tcPr>
          <w:p w14:paraId="542D1828" w14:textId="07A43A48"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2F20B4" w:rsidRPr="00FF386D">
              <w:rPr>
                <w:rFonts w:asciiTheme="majorHAnsi" w:eastAsia="Times New Roman" w:hAnsiTheme="majorHAnsi" w:cstheme="majorHAnsi"/>
                <w:color w:val="000000"/>
                <w:sz w:val="20"/>
                <w:szCs w:val="20"/>
                <w:lang w:eastAsia="en-GB"/>
              </w:rPr>
              <w:t>ска и</w:t>
            </w:r>
            <w:r w:rsidRPr="00FF386D">
              <w:rPr>
                <w:rFonts w:asciiTheme="majorHAnsi" w:eastAsia="Times New Roman" w:hAnsiTheme="majorHAnsi" w:cstheme="majorHAnsi"/>
                <w:color w:val="000000"/>
                <w:sz w:val="20"/>
                <w:szCs w:val="20"/>
                <w:lang w:eastAsia="en-GB"/>
              </w:rPr>
              <w:t xml:space="preserve"> сопствена средства</w:t>
            </w:r>
          </w:p>
        </w:tc>
      </w:tr>
    </w:tbl>
    <w:p w14:paraId="08CCCB0C"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28"/>
        <w:gridCol w:w="954"/>
        <w:gridCol w:w="945"/>
        <w:gridCol w:w="4231"/>
      </w:tblGrid>
      <w:tr w:rsidR="00854ADA" w:rsidRPr="00FF386D" w14:paraId="37EC6862" w14:textId="77777777" w:rsidTr="0057310C">
        <w:trPr>
          <w:trHeight w:val="780"/>
        </w:trPr>
        <w:tc>
          <w:tcPr>
            <w:tcW w:w="3328"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33964248"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54" w:type="dxa"/>
            <w:tcBorders>
              <w:top w:val="single" w:sz="8" w:space="0" w:color="auto"/>
              <w:left w:val="nil"/>
              <w:bottom w:val="single" w:sz="8" w:space="0" w:color="auto"/>
              <w:right w:val="single" w:sz="8" w:space="0" w:color="auto"/>
            </w:tcBorders>
            <w:shd w:val="clear" w:color="auto" w:fill="E7E6E6" w:themeFill="background2"/>
            <w:vAlign w:val="center"/>
            <w:hideMark/>
          </w:tcPr>
          <w:p w14:paraId="2679A378"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МП_ЕЕ6</w:t>
            </w:r>
          </w:p>
        </w:tc>
        <w:tc>
          <w:tcPr>
            <w:tcW w:w="945" w:type="dxa"/>
            <w:tcBorders>
              <w:top w:val="single" w:sz="8" w:space="0" w:color="auto"/>
              <w:left w:val="nil"/>
              <w:bottom w:val="single" w:sz="8" w:space="0" w:color="auto"/>
              <w:right w:val="single" w:sz="8" w:space="0" w:color="auto"/>
            </w:tcBorders>
            <w:shd w:val="clear" w:color="000000" w:fill="244062"/>
            <w:vAlign w:val="center"/>
            <w:hideMark/>
          </w:tcPr>
          <w:p w14:paraId="2380E7D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31" w:type="dxa"/>
            <w:tcBorders>
              <w:top w:val="single" w:sz="8" w:space="0" w:color="auto"/>
              <w:left w:val="nil"/>
              <w:bottom w:val="single" w:sz="8" w:space="0" w:color="auto"/>
              <w:right w:val="single" w:sz="8" w:space="0" w:color="auto"/>
            </w:tcBorders>
            <w:shd w:val="clear" w:color="auto" w:fill="E7E6E6" w:themeFill="background2"/>
            <w:vAlign w:val="center"/>
            <w:hideMark/>
          </w:tcPr>
          <w:p w14:paraId="234C0F1C" w14:textId="50096EBA"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 xml:space="preserve">Обавезна инсталација соларних </w:t>
            </w:r>
            <w:r w:rsidR="0093332A" w:rsidRPr="00FF386D">
              <w:rPr>
                <w:rFonts w:ascii="Calibri Light" w:hAnsi="Calibri Light"/>
                <w:b/>
                <w:sz w:val="20"/>
              </w:rPr>
              <w:t>топлотних система</w:t>
            </w:r>
            <w:r w:rsidRPr="00FF386D">
              <w:rPr>
                <w:rFonts w:ascii="Calibri Light" w:hAnsi="Calibri Light"/>
                <w:b/>
                <w:sz w:val="20"/>
              </w:rPr>
              <w:t xml:space="preserve"> у новим зградама и у зградама које се обимније </w:t>
            </w:r>
            <w:r w:rsidR="00F953F6" w:rsidRPr="00F953F6">
              <w:rPr>
                <w:rFonts w:ascii="Calibri Light" w:hAnsi="Calibri Light"/>
                <w:b/>
                <w:sz w:val="20"/>
              </w:rPr>
              <w:t xml:space="preserve">енергетски </w:t>
            </w:r>
            <w:r w:rsidR="008269D3" w:rsidRPr="00FF386D">
              <w:rPr>
                <w:rFonts w:ascii="Calibri Light" w:hAnsi="Calibri Light"/>
                <w:b/>
                <w:sz w:val="20"/>
              </w:rPr>
              <w:t>санирају</w:t>
            </w:r>
          </w:p>
        </w:tc>
      </w:tr>
      <w:tr w:rsidR="00854ADA" w:rsidRPr="00FF386D" w14:paraId="5B8A86F3" w14:textId="77777777" w:rsidTr="0057310C">
        <w:trPr>
          <w:trHeight w:val="960"/>
        </w:trPr>
        <w:tc>
          <w:tcPr>
            <w:tcW w:w="3328" w:type="dxa"/>
            <w:tcBorders>
              <w:top w:val="nil"/>
              <w:left w:val="single" w:sz="8" w:space="0" w:color="auto"/>
              <w:bottom w:val="single" w:sz="8" w:space="0" w:color="auto"/>
              <w:right w:val="nil"/>
            </w:tcBorders>
            <w:shd w:val="clear" w:color="000000" w:fill="244062"/>
            <w:vAlign w:val="center"/>
            <w:hideMark/>
          </w:tcPr>
          <w:p w14:paraId="036D4ED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13759241" w14:textId="201B1299" w:rsidR="00854ADA" w:rsidRPr="000A2AFE" w:rsidRDefault="000F6ED1"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Примена</w:t>
            </w:r>
            <w:r w:rsidR="00854ADA" w:rsidRPr="00FF386D">
              <w:rPr>
                <w:rFonts w:ascii="Calibri Light" w:hAnsi="Calibri Light"/>
                <w:sz w:val="20"/>
              </w:rPr>
              <w:t xml:space="preserve"> чланова Директиве </w:t>
            </w:r>
            <w:r w:rsidR="0093332A"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0093332A" w:rsidRPr="00FF386D">
              <w:rPr>
                <w:rFonts w:ascii="Calibri Light" w:hAnsi="Calibri Light"/>
                <w:sz w:val="20"/>
              </w:rPr>
              <w:t xml:space="preserve">(ЕУ) </w:t>
            </w:r>
            <w:r w:rsidR="00854ADA" w:rsidRPr="00FF386D">
              <w:rPr>
                <w:rFonts w:ascii="Calibri Light" w:hAnsi="Calibri Light"/>
                <w:sz w:val="20"/>
              </w:rPr>
              <w:t>2018/2002</w:t>
            </w:r>
            <w:r w:rsidR="0093332A" w:rsidRPr="00FF386D">
              <w:rPr>
                <w:rFonts w:ascii="Calibri Light" w:hAnsi="Calibri Light"/>
                <w:sz w:val="20"/>
              </w:rPr>
              <w:t>, и то</w:t>
            </w:r>
            <w:r w:rsidR="00854ADA" w:rsidRPr="000A2AFE">
              <w:rPr>
                <w:rFonts w:ascii="Calibri Light" w:eastAsia="Times New Roman" w:hAnsi="Calibri Light" w:cs="Calibri Light"/>
                <w:color w:val="000000"/>
                <w:sz w:val="20"/>
                <w:szCs w:val="20"/>
                <w:lang w:eastAsia="en-GB"/>
              </w:rPr>
              <w:t>:</w:t>
            </w:r>
          </w:p>
          <w:p w14:paraId="2078716D" w14:textId="3739676E" w:rsidR="00854ADA" w:rsidRPr="000A2AFE" w:rsidRDefault="00854ADA" w:rsidP="00854ADA">
            <w:pPr>
              <w:numPr>
                <w:ilvl w:val="0"/>
                <w:numId w:val="19"/>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8269D3"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3</w:t>
            </w:r>
          </w:p>
          <w:p w14:paraId="47A423B6" w14:textId="3041C107" w:rsidR="00854ADA" w:rsidRPr="000A2AFE" w:rsidRDefault="00854ADA" w:rsidP="00854ADA">
            <w:pPr>
              <w:numPr>
                <w:ilvl w:val="0"/>
                <w:numId w:val="19"/>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8269D3"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4</w:t>
            </w:r>
          </w:p>
          <w:p w14:paraId="7EFAD109" w14:textId="6596E9C1" w:rsidR="00854ADA" w:rsidRPr="000A2AFE" w:rsidRDefault="00854ADA" w:rsidP="00854ADA">
            <w:pPr>
              <w:numPr>
                <w:ilvl w:val="0"/>
                <w:numId w:val="19"/>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8269D3"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5</w:t>
            </w:r>
          </w:p>
          <w:p w14:paraId="773230E4" w14:textId="69928480" w:rsidR="00854ADA" w:rsidRPr="00FF386D" w:rsidRDefault="00854ADA" w:rsidP="00854ADA">
            <w:pPr>
              <w:numPr>
                <w:ilvl w:val="0"/>
                <w:numId w:val="19"/>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8269D3"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7</w:t>
            </w:r>
          </w:p>
        </w:tc>
      </w:tr>
      <w:tr w:rsidR="00854ADA" w:rsidRPr="00FF386D" w14:paraId="0AFAF676"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6C67F64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6B613353" w14:textId="34F21837" w:rsidR="00854ADA" w:rsidRPr="00FF386D" w:rsidRDefault="00854ADA" w:rsidP="00854ADA">
            <w:pPr>
              <w:spacing w:after="0" w:line="240" w:lineRule="auto"/>
              <w:jc w:val="both"/>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1,8 GW капацитет соларних топлотних система (уштеда примарне енергије 41 ktoe)</w:t>
            </w:r>
          </w:p>
        </w:tc>
      </w:tr>
      <w:tr w:rsidR="00854ADA" w:rsidRPr="00FF386D" w14:paraId="0906CFD7" w14:textId="77777777" w:rsidTr="0057310C">
        <w:trPr>
          <w:trHeight w:val="712"/>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58CDB15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6619DB81" w14:textId="59277FB3"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МП_ЕЕ6 ће омогућити обавезну инсталацију соларних </w:t>
            </w:r>
            <w:r w:rsidR="000F6ED1" w:rsidRPr="00FF386D">
              <w:rPr>
                <w:rFonts w:ascii="Calibri Light" w:hAnsi="Calibri Light"/>
                <w:sz w:val="20"/>
              </w:rPr>
              <w:t>топлотних система у</w:t>
            </w:r>
            <w:r w:rsidRPr="00FF386D">
              <w:rPr>
                <w:rFonts w:ascii="Calibri Light" w:hAnsi="Calibri Light"/>
                <w:sz w:val="20"/>
              </w:rPr>
              <w:t xml:space="preserve"> новим зградама и у зградама које се обимније </w:t>
            </w:r>
            <w:r w:rsidR="008269D3" w:rsidRPr="00FF386D">
              <w:rPr>
                <w:rFonts w:ascii="Calibri Light" w:hAnsi="Calibri Light"/>
                <w:sz w:val="20"/>
              </w:rPr>
              <w:t>санирају</w:t>
            </w:r>
            <w:r w:rsidRPr="00FF386D">
              <w:rPr>
                <w:rFonts w:ascii="Calibri Light" w:hAnsi="Calibri Light"/>
                <w:sz w:val="20"/>
              </w:rPr>
              <w:t xml:space="preserve">, </w:t>
            </w:r>
            <w:r w:rsidR="00F953F6" w:rsidRPr="00F953F6">
              <w:rPr>
                <w:rFonts w:ascii="Calibri Light" w:hAnsi="Calibri Light"/>
                <w:sz w:val="20"/>
              </w:rPr>
              <w:t xml:space="preserve">како је дефинисано у Директиви 2010/31/ЕУ, </w:t>
            </w:r>
            <w:r w:rsidRPr="00FF386D">
              <w:rPr>
                <w:rFonts w:ascii="Calibri Light" w:hAnsi="Calibri Light"/>
                <w:sz w:val="20"/>
              </w:rPr>
              <w:t xml:space="preserve">а истовремено ће омогућити </w:t>
            </w:r>
            <w:r w:rsidR="008269D3" w:rsidRPr="00FF386D">
              <w:rPr>
                <w:rFonts w:ascii="Calibri Light" w:hAnsi="Calibri Light"/>
                <w:sz w:val="20"/>
              </w:rPr>
              <w:t xml:space="preserve">и </w:t>
            </w:r>
            <w:r w:rsidR="000F6ED1" w:rsidRPr="00FF386D">
              <w:rPr>
                <w:rFonts w:ascii="Calibri Light" w:hAnsi="Calibri Light"/>
                <w:sz w:val="20"/>
              </w:rPr>
              <w:t>додатно</w:t>
            </w:r>
            <w:r w:rsidRPr="00FF386D">
              <w:rPr>
                <w:rFonts w:ascii="Calibri Light" w:hAnsi="Calibri Light"/>
                <w:sz w:val="20"/>
              </w:rPr>
              <w:t xml:space="preserve"> коришћењ</w:t>
            </w:r>
            <w:r w:rsidR="000F6ED1" w:rsidRPr="00FF386D">
              <w:rPr>
                <w:rFonts w:ascii="Calibri Light" w:hAnsi="Calibri Light"/>
                <w:sz w:val="20"/>
              </w:rPr>
              <w:t>е</w:t>
            </w:r>
            <w:r w:rsidRPr="00FF386D">
              <w:rPr>
                <w:rFonts w:ascii="Calibri Light" w:hAnsi="Calibri Light"/>
                <w:sz w:val="20"/>
              </w:rPr>
              <w:t xml:space="preserve"> обновљиве енергије</w:t>
            </w:r>
            <w:r w:rsidRPr="000A2AFE">
              <w:rPr>
                <w:rFonts w:ascii="Calibri Light" w:eastAsia="Times New Roman" w:hAnsi="Calibri Light" w:cs="Calibri Light"/>
                <w:color w:val="000000"/>
                <w:sz w:val="20"/>
                <w:szCs w:val="20"/>
                <w:lang w:eastAsia="en-GB"/>
              </w:rPr>
              <w:t>.</w:t>
            </w:r>
            <w:r w:rsidR="00F953F6">
              <w:t xml:space="preserve"> </w:t>
            </w:r>
            <w:r w:rsidR="00F953F6" w:rsidRPr="00F953F6">
              <w:rPr>
                <w:rFonts w:ascii="Calibri Light" w:eastAsia="Times New Roman" w:hAnsi="Calibri Light" w:cs="Calibri Light"/>
                <w:color w:val="000000"/>
                <w:sz w:val="20"/>
                <w:szCs w:val="20"/>
                <w:lang w:eastAsia="en-GB"/>
              </w:rPr>
              <w:t>Планиране мере ће се примењивати и за борбу против енергетског сиромаштва.</w:t>
            </w:r>
          </w:p>
        </w:tc>
      </w:tr>
      <w:tr w:rsidR="00854ADA" w:rsidRPr="00FF386D" w14:paraId="31036130"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656014C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32097CBE" w14:textId="4C301B3E"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93332A"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-2030.</w:t>
            </w:r>
          </w:p>
        </w:tc>
      </w:tr>
      <w:tr w:rsidR="00854ADA" w:rsidRPr="00FF386D" w14:paraId="5FBF7433"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69B431F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40ED0401" w14:textId="371EA958" w:rsidR="00854ADA" w:rsidRPr="00FF386D" w:rsidRDefault="0093332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Регулаторна</w:t>
            </w:r>
          </w:p>
        </w:tc>
      </w:tr>
      <w:tr w:rsidR="00854ADA" w:rsidRPr="00FF386D" w14:paraId="7E8F209D"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4ED9C09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12BD2DB4"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Стамбени, јавни, комерцијални</w:t>
            </w:r>
          </w:p>
        </w:tc>
      </w:tr>
      <w:tr w:rsidR="00854ADA" w:rsidRPr="00FF386D" w14:paraId="25C72B90"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53E3192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4A48B938" w14:textId="77777777" w:rsidR="00854ADA" w:rsidRPr="00FF386D" w:rsidRDefault="00854ADA" w:rsidP="00854ADA">
            <w:pPr>
              <w:numPr>
                <w:ilvl w:val="0"/>
                <w:numId w:val="11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грађевинарства, саобраћаја и инфраструктуре</w:t>
            </w:r>
          </w:p>
          <w:p w14:paraId="62F68131" w14:textId="4944B7F7" w:rsidR="00854ADA" w:rsidRPr="00FF386D" w:rsidRDefault="00854ADA" w:rsidP="00854ADA">
            <w:pPr>
              <w:numPr>
                <w:ilvl w:val="0"/>
                <w:numId w:val="11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рударства</w:t>
            </w:r>
            <w:r w:rsidR="00020E60">
              <w:rPr>
                <w:rFonts w:ascii="Calibri Light" w:eastAsia="Times New Roman" w:hAnsi="Calibri Light" w:cs="Calibri Light"/>
                <w:color w:val="000000"/>
                <w:sz w:val="20"/>
                <w:szCs w:val="20"/>
                <w:lang w:eastAsia="en-GB"/>
              </w:rPr>
              <w:t xml:space="preserve"> и </w:t>
            </w:r>
            <w:r w:rsidR="00020E60" w:rsidRPr="00020E60">
              <w:rPr>
                <w:rFonts w:ascii="Calibri Light" w:eastAsia="Times New Roman" w:hAnsi="Calibri Light" w:cs="Calibri Light"/>
                <w:color w:val="000000"/>
                <w:sz w:val="20"/>
                <w:szCs w:val="20"/>
                <w:lang w:eastAsia="en-GB"/>
              </w:rPr>
              <w:t>енергетике</w:t>
            </w:r>
          </w:p>
        </w:tc>
      </w:tr>
      <w:tr w:rsidR="00854ADA" w:rsidRPr="00FF386D" w14:paraId="50BD9312" w14:textId="77777777" w:rsidTr="0057310C">
        <w:trPr>
          <w:trHeight w:val="315"/>
        </w:trPr>
        <w:tc>
          <w:tcPr>
            <w:tcW w:w="3328" w:type="dxa"/>
            <w:tcBorders>
              <w:top w:val="nil"/>
              <w:left w:val="single" w:sz="8" w:space="0" w:color="auto"/>
              <w:bottom w:val="single" w:sz="8" w:space="0" w:color="auto"/>
              <w:right w:val="nil"/>
            </w:tcBorders>
            <w:shd w:val="clear" w:color="000000" w:fill="244062"/>
            <w:vAlign w:val="center"/>
            <w:hideMark/>
          </w:tcPr>
          <w:p w14:paraId="64DF095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5B75C96F" w14:textId="7CAE98F1" w:rsidR="00854ADA" w:rsidRPr="000A2AFE" w:rsidRDefault="007E7195" w:rsidP="000A2AFE">
            <w:pPr>
              <w:pStyle w:val="ListParagraph"/>
              <w:numPr>
                <w:ilvl w:val="0"/>
                <w:numId w:val="338"/>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78A671E1" w14:textId="77777777" w:rsidTr="0057310C">
        <w:trPr>
          <w:trHeight w:val="315"/>
        </w:trPr>
        <w:tc>
          <w:tcPr>
            <w:tcW w:w="3328" w:type="dxa"/>
            <w:tcBorders>
              <w:top w:val="nil"/>
              <w:left w:val="single" w:sz="8" w:space="0" w:color="auto"/>
              <w:bottom w:val="single" w:sz="8" w:space="0" w:color="auto"/>
              <w:right w:val="nil"/>
            </w:tcBorders>
            <w:shd w:val="clear" w:color="000000" w:fill="244062"/>
            <w:vAlign w:val="center"/>
            <w:hideMark/>
          </w:tcPr>
          <w:p w14:paraId="13BFFB0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470DD4B8" w14:textId="77777777" w:rsidR="00854ADA" w:rsidRPr="000A2AFE" w:rsidRDefault="00854ADA" w:rsidP="000A2AFE">
            <w:pPr>
              <w:pStyle w:val="ListParagraph"/>
              <w:numPr>
                <w:ilvl w:val="0"/>
                <w:numId w:val="338"/>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Инсталисани капацитет соларних топлотних система</w:t>
            </w:r>
          </w:p>
        </w:tc>
      </w:tr>
      <w:tr w:rsidR="00854ADA" w:rsidRPr="00FF386D" w14:paraId="027DEA02" w14:textId="77777777" w:rsidTr="0057310C">
        <w:trPr>
          <w:trHeight w:val="35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246BB92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76132605" w14:textId="6C5260A9" w:rsidR="007E7195" w:rsidRPr="007E7195" w:rsidRDefault="007E7195" w:rsidP="007E7195">
            <w:pPr>
              <w:numPr>
                <w:ilvl w:val="0"/>
                <w:numId w:val="121"/>
              </w:numPr>
              <w:spacing w:after="0" w:line="240" w:lineRule="auto"/>
              <w:contextualSpacing/>
              <w:rPr>
                <w:rFonts w:ascii="Calibri Light" w:eastAsia="Times New Roman" w:hAnsi="Calibri Light" w:cs="Calibri Light"/>
                <w:color w:val="000000"/>
                <w:sz w:val="20"/>
                <w:szCs w:val="20"/>
                <w:lang w:eastAsia="en-GB"/>
              </w:rPr>
            </w:pPr>
            <w:r w:rsidRPr="007E7195">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7E7195">
              <w:rPr>
                <w:rFonts w:ascii="Calibri Light" w:eastAsia="Times New Roman" w:hAnsi="Calibri Light" w:cs="Calibri Light"/>
                <w:i/>
                <w:iCs/>
                <w:color w:val="000000"/>
                <w:sz w:val="20"/>
                <w:szCs w:val="20"/>
                <w:lang w:val="en-US" w:eastAsia="en-GB"/>
              </w:rPr>
              <w:t>GHG</w:t>
            </w:r>
            <w:r w:rsidRPr="007E7195">
              <w:rPr>
                <w:rFonts w:ascii="Calibri Light" w:eastAsia="Times New Roman" w:hAnsi="Calibri Light" w:cs="Calibri Light"/>
                <w:i/>
                <w:iCs/>
                <w:color w:val="000000"/>
                <w:sz w:val="20"/>
                <w:szCs w:val="20"/>
                <w:lang w:eastAsia="en-GB"/>
              </w:rPr>
              <w:t>,</w:t>
            </w:r>
            <w:r w:rsidRPr="007E7195">
              <w:rPr>
                <w:rFonts w:ascii="Calibri Light" w:eastAsia="Times New Roman" w:hAnsi="Calibri Light" w:cs="Calibri Light"/>
                <w:color w:val="000000"/>
                <w:sz w:val="20"/>
                <w:szCs w:val="20"/>
                <w:lang w:eastAsia="en-GB"/>
              </w:rPr>
              <w:t xml:space="preserve"> а коришћење технологија ОИЕ ће повећати удео ОИЕ у грејању и хлађењу)</w:t>
            </w:r>
          </w:p>
          <w:p w14:paraId="53ABD7AD" w14:textId="0D8CBFCC" w:rsidR="00854ADA" w:rsidRPr="00FF386D" w:rsidRDefault="007E7195" w:rsidP="007E7195">
            <w:pPr>
              <w:numPr>
                <w:ilvl w:val="0"/>
                <w:numId w:val="121"/>
              </w:numPr>
              <w:spacing w:after="0" w:line="240" w:lineRule="auto"/>
              <w:contextualSpacing/>
              <w:rPr>
                <w:rFonts w:ascii="Calibri Light" w:eastAsia="Times New Roman" w:hAnsi="Calibri Light" w:cs="Calibri Light"/>
                <w:color w:val="000000"/>
                <w:sz w:val="20"/>
                <w:szCs w:val="20"/>
                <w:lang w:eastAsia="en-GB"/>
              </w:rPr>
            </w:pPr>
            <w:r w:rsidRPr="007E7195">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w:t>
            </w:r>
            <w:r w:rsidR="00054666">
              <w:rPr>
                <w:rFonts w:ascii="Calibri Light" w:eastAsia="Times New Roman" w:hAnsi="Calibri Light" w:cs="Calibri Light"/>
                <w:color w:val="000000"/>
                <w:sz w:val="20"/>
                <w:szCs w:val="20"/>
                <w:lang w:eastAsia="en-GB"/>
              </w:rPr>
              <w:t>а увезених</w:t>
            </w:r>
            <w:r w:rsidRPr="007E7195">
              <w:rPr>
                <w:rFonts w:ascii="Calibri Light" w:eastAsia="Times New Roman" w:hAnsi="Calibri Light" w:cs="Calibri Light"/>
                <w:color w:val="000000"/>
                <w:sz w:val="20"/>
                <w:szCs w:val="20"/>
                <w:lang w:eastAsia="en-GB"/>
              </w:rPr>
              <w:t xml:space="preserve"> фосилних горива што ће довести до смањења зависности од увоза енергије из трећих земаља)</w:t>
            </w:r>
          </w:p>
        </w:tc>
      </w:tr>
      <w:tr w:rsidR="00854ADA" w:rsidRPr="00FF386D" w14:paraId="047371B4" w14:textId="77777777" w:rsidTr="0057310C">
        <w:trPr>
          <w:trHeight w:val="450"/>
        </w:trPr>
        <w:tc>
          <w:tcPr>
            <w:tcW w:w="3328"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33870041" w14:textId="10B6A0F6"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30"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5D2199ED" w14:textId="4C486854" w:rsidR="00854ADA" w:rsidRPr="000A2AFE" w:rsidRDefault="00854ADA">
            <w:pPr>
              <w:numPr>
                <w:ilvl w:val="0"/>
                <w:numId w:val="236"/>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Директива </w:t>
            </w:r>
            <w:r w:rsidR="0093332A" w:rsidRPr="000A2AFE">
              <w:rPr>
                <w:rFonts w:ascii="Calibri Light" w:eastAsia="Times New Roman" w:hAnsi="Calibri Light" w:cs="Calibri Light"/>
                <w:color w:val="000000"/>
                <w:sz w:val="20"/>
                <w:szCs w:val="20"/>
                <w:lang w:eastAsia="en-GB"/>
              </w:rPr>
              <w:t xml:space="preserve">(ЕУ) </w:t>
            </w:r>
            <w:r w:rsidRPr="000A2AFE">
              <w:rPr>
                <w:rFonts w:ascii="Calibri Light" w:eastAsia="Times New Roman" w:hAnsi="Calibri Light" w:cs="Calibri Light"/>
                <w:color w:val="000000"/>
                <w:sz w:val="20"/>
                <w:szCs w:val="20"/>
                <w:lang w:eastAsia="en-GB"/>
              </w:rPr>
              <w:t>2010/31</w:t>
            </w:r>
          </w:p>
          <w:p w14:paraId="6D1B018C" w14:textId="2DBD2195" w:rsidR="00854ADA" w:rsidRPr="000A2AFE" w:rsidRDefault="00854ADA">
            <w:pPr>
              <w:numPr>
                <w:ilvl w:val="0"/>
                <w:numId w:val="23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Директива </w:t>
            </w:r>
            <w:r w:rsidR="0093332A" w:rsidRPr="00FF386D">
              <w:rPr>
                <w:rFonts w:ascii="Calibri Light" w:hAnsi="Calibri Light"/>
                <w:color w:val="000000"/>
                <w:sz w:val="20"/>
              </w:rPr>
              <w:t xml:space="preserve">(ЕУ) </w:t>
            </w:r>
            <w:r w:rsidRPr="000A2AFE">
              <w:rPr>
                <w:rFonts w:ascii="Calibri Light" w:eastAsia="Times New Roman" w:hAnsi="Calibri Light" w:cs="Calibri Light"/>
                <w:color w:val="000000"/>
                <w:sz w:val="20"/>
                <w:szCs w:val="20"/>
                <w:lang w:eastAsia="en-GB"/>
              </w:rPr>
              <w:t>2012/27</w:t>
            </w:r>
          </w:p>
          <w:p w14:paraId="401739A4" w14:textId="17B93CE3" w:rsidR="00854ADA" w:rsidRPr="000A2AFE" w:rsidRDefault="00854ADA">
            <w:pPr>
              <w:numPr>
                <w:ilvl w:val="0"/>
                <w:numId w:val="23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93332A" w:rsidRPr="00FF386D">
              <w:rPr>
                <w:rFonts w:ascii="Calibri Light" w:hAnsi="Calibri Light"/>
                <w:color w:val="000000"/>
                <w:sz w:val="20"/>
              </w:rPr>
              <w:t xml:space="preserve">(ЕУ) </w:t>
            </w:r>
            <w:r w:rsidRPr="000A2AFE">
              <w:rPr>
                <w:rFonts w:ascii="Calibri Light" w:eastAsia="Times New Roman" w:hAnsi="Calibri Light" w:cs="Calibri Light"/>
                <w:color w:val="000000"/>
                <w:sz w:val="20"/>
                <w:szCs w:val="20"/>
                <w:lang w:eastAsia="en-GB"/>
              </w:rPr>
              <w:t>2018/2002</w:t>
            </w:r>
          </w:p>
          <w:p w14:paraId="560B2411" w14:textId="7D29BDBB" w:rsidR="00854ADA" w:rsidRPr="00FF386D" w:rsidRDefault="00854ADA" w:rsidP="00854ADA">
            <w:pPr>
              <w:numPr>
                <w:ilvl w:val="0"/>
                <w:numId w:val="121"/>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Директива </w:t>
            </w:r>
            <w:r w:rsidR="0093332A" w:rsidRPr="00FF386D">
              <w:rPr>
                <w:rFonts w:ascii="Calibri Light" w:hAnsi="Calibri Light"/>
                <w:color w:val="000000"/>
                <w:sz w:val="20"/>
              </w:rPr>
              <w:t xml:space="preserve">(ЕУ) </w:t>
            </w:r>
            <w:r w:rsidRPr="000A2AFE">
              <w:rPr>
                <w:rFonts w:ascii="Calibri Light" w:eastAsia="Times New Roman" w:hAnsi="Calibri Light" w:cs="Calibri Light"/>
                <w:color w:val="000000"/>
                <w:sz w:val="20"/>
                <w:szCs w:val="20"/>
                <w:lang w:eastAsia="en-GB"/>
              </w:rPr>
              <w:t>2018/844</w:t>
            </w:r>
          </w:p>
        </w:tc>
      </w:tr>
      <w:tr w:rsidR="00854ADA" w:rsidRPr="00FF386D" w14:paraId="76F6F72B" w14:textId="77777777" w:rsidTr="0057310C">
        <w:trPr>
          <w:trHeight w:val="450"/>
        </w:trPr>
        <w:tc>
          <w:tcPr>
            <w:tcW w:w="3328" w:type="dxa"/>
            <w:vMerge/>
            <w:tcBorders>
              <w:top w:val="nil"/>
              <w:left w:val="single" w:sz="8" w:space="0" w:color="auto"/>
              <w:bottom w:val="single" w:sz="8" w:space="0" w:color="000000"/>
              <w:right w:val="single" w:sz="8" w:space="0" w:color="auto"/>
            </w:tcBorders>
            <w:vAlign w:val="center"/>
            <w:hideMark/>
          </w:tcPr>
          <w:p w14:paraId="5BDDAB7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0" w:type="dxa"/>
            <w:gridSpan w:val="3"/>
            <w:vMerge/>
            <w:tcBorders>
              <w:top w:val="single" w:sz="8" w:space="0" w:color="auto"/>
              <w:left w:val="single" w:sz="8" w:space="0" w:color="auto"/>
              <w:bottom w:val="single" w:sz="8" w:space="0" w:color="000000"/>
              <w:right w:val="single" w:sz="8" w:space="0" w:color="000000"/>
            </w:tcBorders>
            <w:vAlign w:val="center"/>
            <w:hideMark/>
          </w:tcPr>
          <w:p w14:paraId="62086426"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p>
        </w:tc>
      </w:tr>
      <w:tr w:rsidR="00854ADA" w:rsidRPr="00FF386D" w14:paraId="2451E192" w14:textId="77777777" w:rsidTr="0057310C">
        <w:trPr>
          <w:trHeight w:val="450"/>
        </w:trPr>
        <w:tc>
          <w:tcPr>
            <w:tcW w:w="3328" w:type="dxa"/>
            <w:vMerge/>
            <w:tcBorders>
              <w:top w:val="nil"/>
              <w:left w:val="single" w:sz="8" w:space="0" w:color="auto"/>
              <w:bottom w:val="single" w:sz="8" w:space="0" w:color="000000"/>
              <w:right w:val="single" w:sz="8" w:space="0" w:color="auto"/>
            </w:tcBorders>
            <w:vAlign w:val="center"/>
            <w:hideMark/>
          </w:tcPr>
          <w:p w14:paraId="7B75260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0" w:type="dxa"/>
            <w:gridSpan w:val="3"/>
            <w:vMerge/>
            <w:tcBorders>
              <w:top w:val="single" w:sz="8" w:space="0" w:color="auto"/>
              <w:left w:val="single" w:sz="8" w:space="0" w:color="auto"/>
              <w:bottom w:val="single" w:sz="8" w:space="0" w:color="000000"/>
              <w:right w:val="single" w:sz="8" w:space="0" w:color="000000"/>
            </w:tcBorders>
            <w:vAlign w:val="center"/>
            <w:hideMark/>
          </w:tcPr>
          <w:p w14:paraId="583FD817"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p>
        </w:tc>
      </w:tr>
      <w:tr w:rsidR="00854ADA" w:rsidRPr="00FF386D" w14:paraId="071DF024" w14:textId="77777777" w:rsidTr="0057310C">
        <w:trPr>
          <w:trHeight w:val="421"/>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7447512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6F00A745"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p>
        </w:tc>
      </w:tr>
      <w:tr w:rsidR="00854ADA" w:rsidRPr="00FF386D" w14:paraId="568AC7C5"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2292421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Трошкови имплементације</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5FFF0C61" w14:textId="560573CE"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6</w:t>
            </w:r>
            <w:r w:rsidR="000F6ED1" w:rsidRPr="00FF386D">
              <w:rPr>
                <w:rFonts w:ascii="Calibri Light" w:eastAsia="Times New Roman" w:hAnsi="Calibri Light" w:cs="Calibri Light"/>
                <w:color w:val="000000"/>
                <w:sz w:val="20"/>
                <w:szCs w:val="20"/>
                <w:lang w:eastAsia="en-GB"/>
              </w:rPr>
              <w:t>37</w:t>
            </w:r>
            <w:r w:rsidRPr="00FF386D">
              <w:rPr>
                <w:rFonts w:ascii="Calibri Light" w:eastAsia="Times New Roman" w:hAnsi="Calibri Light" w:cs="Calibri Light"/>
                <w:color w:val="000000"/>
                <w:sz w:val="20"/>
                <w:szCs w:val="20"/>
                <w:lang w:eastAsia="en-GB"/>
              </w:rPr>
              <w:t xml:space="preserve"> милиона евра</w:t>
            </w:r>
          </w:p>
        </w:tc>
      </w:tr>
      <w:tr w:rsidR="00854ADA" w:rsidRPr="00FF386D" w14:paraId="583AEE83" w14:textId="77777777" w:rsidTr="0057310C">
        <w:trPr>
          <w:trHeight w:val="315"/>
        </w:trPr>
        <w:tc>
          <w:tcPr>
            <w:tcW w:w="3328" w:type="dxa"/>
            <w:tcBorders>
              <w:top w:val="nil"/>
              <w:left w:val="single" w:sz="8" w:space="0" w:color="auto"/>
              <w:bottom w:val="single" w:sz="8" w:space="0" w:color="auto"/>
              <w:right w:val="single" w:sz="8" w:space="0" w:color="auto"/>
            </w:tcBorders>
            <w:shd w:val="clear" w:color="000000" w:fill="244062"/>
            <w:vAlign w:val="center"/>
            <w:hideMark/>
          </w:tcPr>
          <w:p w14:paraId="251EA4F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30" w:type="dxa"/>
            <w:gridSpan w:val="3"/>
            <w:tcBorders>
              <w:top w:val="single" w:sz="8" w:space="0" w:color="auto"/>
              <w:left w:val="nil"/>
              <w:bottom w:val="single" w:sz="8" w:space="0" w:color="auto"/>
              <w:right w:val="single" w:sz="8" w:space="0" w:color="000000"/>
            </w:tcBorders>
            <w:shd w:val="clear" w:color="auto" w:fill="auto"/>
            <w:vAlign w:val="center"/>
            <w:hideMark/>
          </w:tcPr>
          <w:p w14:paraId="23AA52E5" w14:textId="7B1B0B34"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0F6ED1" w:rsidRPr="00FF386D">
              <w:rPr>
                <w:rFonts w:asciiTheme="majorHAnsi" w:eastAsia="Times New Roman" w:hAnsiTheme="majorHAnsi" w:cstheme="majorHAnsi"/>
                <w:color w:val="000000"/>
                <w:sz w:val="20"/>
                <w:szCs w:val="20"/>
                <w:lang w:eastAsia="en-GB"/>
              </w:rPr>
              <w:t>ска и</w:t>
            </w:r>
            <w:r w:rsidRPr="00FF386D">
              <w:rPr>
                <w:rFonts w:asciiTheme="majorHAnsi" w:eastAsia="Times New Roman" w:hAnsiTheme="majorHAnsi" w:cstheme="majorHAnsi"/>
                <w:color w:val="000000"/>
                <w:sz w:val="20"/>
                <w:szCs w:val="20"/>
                <w:lang w:eastAsia="en-GB"/>
              </w:rPr>
              <w:t xml:space="preserve"> сопствена средства</w:t>
            </w:r>
          </w:p>
        </w:tc>
      </w:tr>
    </w:tbl>
    <w:p w14:paraId="67DCF0D4"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27"/>
        <w:gridCol w:w="953"/>
        <w:gridCol w:w="945"/>
        <w:gridCol w:w="4233"/>
      </w:tblGrid>
      <w:tr w:rsidR="00854ADA" w:rsidRPr="00FF386D" w14:paraId="09C62898" w14:textId="77777777" w:rsidTr="0057310C">
        <w:trPr>
          <w:trHeight w:val="780"/>
        </w:trPr>
        <w:tc>
          <w:tcPr>
            <w:tcW w:w="3327"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220FDBAB"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53" w:type="dxa"/>
            <w:tcBorders>
              <w:top w:val="single" w:sz="8" w:space="0" w:color="auto"/>
              <w:left w:val="nil"/>
              <w:bottom w:val="single" w:sz="8" w:space="0" w:color="auto"/>
              <w:right w:val="single" w:sz="8" w:space="0" w:color="auto"/>
            </w:tcBorders>
            <w:shd w:val="clear" w:color="auto" w:fill="E7E6E6" w:themeFill="background2"/>
            <w:vAlign w:val="center"/>
            <w:hideMark/>
          </w:tcPr>
          <w:p w14:paraId="556B031D"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МП_ЕЕ7</w:t>
            </w:r>
          </w:p>
        </w:tc>
        <w:tc>
          <w:tcPr>
            <w:tcW w:w="945" w:type="dxa"/>
            <w:tcBorders>
              <w:top w:val="single" w:sz="8" w:space="0" w:color="auto"/>
              <w:left w:val="nil"/>
              <w:bottom w:val="single" w:sz="8" w:space="0" w:color="auto"/>
              <w:right w:val="single" w:sz="8" w:space="0" w:color="auto"/>
            </w:tcBorders>
            <w:shd w:val="clear" w:color="000000" w:fill="244062"/>
            <w:vAlign w:val="center"/>
            <w:hideMark/>
          </w:tcPr>
          <w:p w14:paraId="0563612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33" w:type="dxa"/>
            <w:tcBorders>
              <w:top w:val="single" w:sz="8" w:space="0" w:color="auto"/>
              <w:left w:val="nil"/>
              <w:bottom w:val="single" w:sz="8" w:space="0" w:color="auto"/>
              <w:right w:val="single" w:sz="8" w:space="0" w:color="auto"/>
            </w:tcBorders>
            <w:shd w:val="clear" w:color="auto" w:fill="E7E6E6" w:themeFill="background2"/>
            <w:vAlign w:val="center"/>
            <w:hideMark/>
          </w:tcPr>
          <w:p w14:paraId="5091F08D" w14:textId="77777777" w:rsidR="00854ADA" w:rsidRPr="00FF386D" w:rsidRDefault="00854ADA" w:rsidP="00854ADA">
            <w:pPr>
              <w:spacing w:after="0" w:line="240" w:lineRule="auto"/>
              <w:rPr>
                <w:rFonts w:ascii="Calibri Light" w:eastAsia="Times New Roman" w:hAnsi="Calibri Light" w:cs="Calibri Light"/>
                <w:b/>
                <w:bCs/>
                <w:color w:val="000000"/>
                <w:sz w:val="20"/>
                <w:szCs w:val="20"/>
                <w:lang w:eastAsia="en-GB"/>
              </w:rPr>
            </w:pPr>
            <w:r w:rsidRPr="00FF386D">
              <w:rPr>
                <w:rFonts w:ascii="Calibri Light" w:hAnsi="Calibri Light"/>
                <w:b/>
                <w:sz w:val="20"/>
              </w:rPr>
              <w:t>Јачање улоге сертификата о енергетским својствима зграда</w:t>
            </w:r>
          </w:p>
        </w:tc>
      </w:tr>
      <w:tr w:rsidR="00854ADA" w:rsidRPr="00FF386D" w14:paraId="7122F2E7" w14:textId="77777777" w:rsidTr="0057310C">
        <w:trPr>
          <w:trHeight w:val="960"/>
        </w:trPr>
        <w:tc>
          <w:tcPr>
            <w:tcW w:w="3327" w:type="dxa"/>
            <w:tcBorders>
              <w:top w:val="nil"/>
              <w:left w:val="single" w:sz="8" w:space="0" w:color="auto"/>
              <w:bottom w:val="single" w:sz="8" w:space="0" w:color="auto"/>
              <w:right w:val="nil"/>
            </w:tcBorders>
            <w:shd w:val="clear" w:color="000000" w:fill="244062"/>
            <w:vAlign w:val="center"/>
            <w:hideMark/>
          </w:tcPr>
          <w:p w14:paraId="120FFAC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0A13860C" w14:textId="49A5383F" w:rsidR="00854ADA" w:rsidRPr="000A2AFE" w:rsidRDefault="004F647E"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 xml:space="preserve">Примена </w:t>
            </w:r>
            <w:r w:rsidR="00854ADA" w:rsidRPr="00FF386D">
              <w:rPr>
                <w:rFonts w:ascii="Calibri Light" w:hAnsi="Calibri Light"/>
                <w:sz w:val="20"/>
              </w:rPr>
              <w:t xml:space="preserve">чланова Директиве </w:t>
            </w:r>
            <w:r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2018/2002</w:t>
            </w:r>
            <w:r w:rsidRPr="00FF386D">
              <w:rPr>
                <w:rFonts w:ascii="Calibri Light" w:hAnsi="Calibri Light"/>
                <w:sz w:val="20"/>
              </w:rPr>
              <w:t>, и то</w:t>
            </w:r>
            <w:r w:rsidR="00854ADA" w:rsidRPr="000A2AFE">
              <w:rPr>
                <w:rFonts w:ascii="Calibri Light" w:eastAsia="Times New Roman" w:hAnsi="Calibri Light" w:cs="Calibri Light"/>
                <w:color w:val="000000"/>
                <w:sz w:val="20"/>
                <w:szCs w:val="20"/>
                <w:lang w:eastAsia="en-GB"/>
              </w:rPr>
              <w:t>:</w:t>
            </w:r>
          </w:p>
          <w:p w14:paraId="2A0A3C39" w14:textId="504EB57D" w:rsidR="00854ADA" w:rsidRPr="000A2AFE" w:rsidRDefault="00854ADA" w:rsidP="00854ADA">
            <w:pPr>
              <w:numPr>
                <w:ilvl w:val="0"/>
                <w:numId w:val="20"/>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AE5BE7"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3</w:t>
            </w:r>
          </w:p>
          <w:p w14:paraId="65B52395" w14:textId="330AEBDB" w:rsidR="00854ADA" w:rsidRPr="00FF386D" w:rsidRDefault="00854ADA" w:rsidP="00854ADA">
            <w:pPr>
              <w:numPr>
                <w:ilvl w:val="0"/>
                <w:numId w:val="20"/>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1C026B"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4</w:t>
            </w:r>
          </w:p>
        </w:tc>
      </w:tr>
      <w:tr w:rsidR="00854ADA" w:rsidRPr="00FF386D" w14:paraId="0C97BA29"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64CD77B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39765B42" w14:textId="30FCD815"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Допринос М</w:t>
            </w:r>
            <w:r w:rsidR="004F647E" w:rsidRPr="00FF386D">
              <w:rPr>
                <w:rFonts w:asciiTheme="majorHAnsi" w:eastAsia="Times New Roman" w:hAnsiTheme="majorHAnsi" w:cstheme="majorHAnsi"/>
                <w:color w:val="000000"/>
                <w:sz w:val="20"/>
                <w:szCs w:val="20"/>
                <w:lang w:eastAsia="en-GB"/>
              </w:rPr>
              <w:t>П</w:t>
            </w:r>
            <w:r w:rsidRPr="00FF386D">
              <w:rPr>
                <w:rFonts w:asciiTheme="majorHAnsi" w:eastAsia="Times New Roman" w:hAnsiTheme="majorHAnsi" w:cstheme="majorHAnsi"/>
                <w:color w:val="000000"/>
                <w:sz w:val="20"/>
                <w:szCs w:val="20"/>
                <w:lang w:eastAsia="en-GB"/>
              </w:rPr>
              <w:t>_ЕЕ1-МП_ЕЕ3</w:t>
            </w:r>
          </w:p>
        </w:tc>
      </w:tr>
      <w:tr w:rsidR="00854ADA" w:rsidRPr="00FF386D" w14:paraId="14308132" w14:textId="77777777" w:rsidTr="0057310C">
        <w:trPr>
          <w:trHeight w:val="1311"/>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33CD7FC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6DACAB32" w14:textId="3EAEFAAA"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МП_ЕЕ7 ће </w:t>
            </w:r>
            <w:r w:rsidRPr="00FF386D">
              <w:rPr>
                <w:rFonts w:ascii="Calibri Light" w:eastAsia="NSimSun" w:hAnsi="Calibri Light" w:cs="Mangal"/>
                <w:kern w:val="2"/>
                <w:sz w:val="20"/>
                <w:szCs w:val="24"/>
                <w:lang w:eastAsia="zh-CN" w:bidi="hi-IN"/>
              </w:rPr>
              <w:t>унапредити</w:t>
            </w:r>
            <w:r w:rsidRPr="00FF386D">
              <w:rPr>
                <w:rFonts w:ascii="Calibri Light" w:hAnsi="Calibri Light"/>
                <w:sz w:val="20"/>
              </w:rPr>
              <w:t xml:space="preserve"> улогу сертификата о енергетским својствима зграда</w:t>
            </w:r>
            <w:r w:rsidR="0040280F" w:rsidRPr="0040280F">
              <w:rPr>
                <w:rFonts w:ascii="Calibri Light" w:hAnsi="Calibri Light"/>
                <w:sz w:val="20"/>
              </w:rPr>
              <w:t>, а пратиће их</w:t>
            </w:r>
            <w:r w:rsidRPr="00FF386D">
              <w:rPr>
                <w:rFonts w:ascii="Calibri Light" w:hAnsi="Calibri Light"/>
                <w:sz w:val="20"/>
              </w:rPr>
              <w:t xml:space="preserve"> пасош</w:t>
            </w:r>
            <w:r w:rsidR="0040280F">
              <w:rPr>
                <w:rFonts w:ascii="Calibri Light" w:hAnsi="Calibri Light"/>
                <w:sz w:val="20"/>
              </w:rPr>
              <w:t>и</w:t>
            </w:r>
            <w:r w:rsidRPr="00FF386D">
              <w:rPr>
                <w:rFonts w:ascii="Calibri Light" w:hAnsi="Calibri Light"/>
                <w:sz w:val="20"/>
              </w:rPr>
              <w:t xml:space="preserve"> </w:t>
            </w:r>
            <w:r w:rsidR="00AE5BE7" w:rsidRPr="00FF386D">
              <w:rPr>
                <w:rFonts w:ascii="Calibri Light" w:hAnsi="Calibri Light"/>
                <w:sz w:val="20"/>
              </w:rPr>
              <w:t>санације</w:t>
            </w:r>
            <w:r w:rsidRPr="00FF386D">
              <w:rPr>
                <w:rFonts w:ascii="Calibri Light" w:hAnsi="Calibri Light"/>
                <w:sz w:val="20"/>
              </w:rPr>
              <w:t xml:space="preserve"> са препоруком за најисплативиј</w:t>
            </w:r>
            <w:r w:rsidR="0040280F">
              <w:rPr>
                <w:rFonts w:ascii="Calibri Light" w:hAnsi="Calibri Light"/>
                <w:sz w:val="20"/>
              </w:rPr>
              <w:t>е</w:t>
            </w:r>
            <w:r w:rsidRPr="00FF386D">
              <w:rPr>
                <w:rFonts w:ascii="Calibri Light" w:hAnsi="Calibri Light"/>
                <w:sz w:val="20"/>
              </w:rPr>
              <w:t xml:space="preserve"> </w:t>
            </w:r>
            <w:r w:rsidR="0040280F" w:rsidRPr="00FF386D">
              <w:rPr>
                <w:rFonts w:ascii="Calibri Light" w:hAnsi="Calibri Light"/>
                <w:sz w:val="20"/>
              </w:rPr>
              <w:t>мер</w:t>
            </w:r>
            <w:r w:rsidR="0040280F">
              <w:rPr>
                <w:rFonts w:ascii="Calibri Light" w:hAnsi="Calibri Light"/>
                <w:sz w:val="20"/>
              </w:rPr>
              <w:t>е</w:t>
            </w:r>
            <w:r w:rsidR="0040280F" w:rsidRPr="00FF386D">
              <w:rPr>
                <w:rFonts w:ascii="Calibri Light" w:hAnsi="Calibri Light"/>
                <w:sz w:val="20"/>
              </w:rPr>
              <w:t xml:space="preserve"> </w:t>
            </w:r>
            <w:r w:rsidRPr="00FF386D">
              <w:rPr>
                <w:rFonts w:ascii="Calibri Light" w:hAnsi="Calibri Light"/>
                <w:sz w:val="20"/>
              </w:rPr>
              <w:t xml:space="preserve">енергетске санације. </w:t>
            </w:r>
            <w:r w:rsidR="0040280F" w:rsidRPr="0040280F">
              <w:rPr>
                <w:rFonts w:ascii="Calibri Light" w:hAnsi="Calibri Light"/>
                <w:sz w:val="20"/>
              </w:rPr>
              <w:t xml:space="preserve">Главни циљ ове мере је да се осигура потпуна усклађеност са одредбама ревидиране Директиве 2018/844/ЕУ и да се омогући идентификација и спровођење најисплативијих интервенција. Пасоши санације ће наводити редослед корака санације како би се зграде трансформисале у зграде скоро нултих емисија, процениле очекиване користи од уштеде енергије, уштеде на рачунима за енергију и смањења оперативних емисија са ефектом стаклене баште, као и шире користи у погледу здравља и нивоа комфора и унапређеног капацитета за прилагођавања на климатске промене и садржаће информације о потенцијалној финансијској и техничкој подршци. </w:t>
            </w:r>
            <w:r w:rsidRPr="00FF386D">
              <w:rPr>
                <w:rFonts w:ascii="Calibri Light" w:hAnsi="Calibri Light"/>
                <w:sz w:val="20"/>
              </w:rPr>
              <w:t xml:space="preserve">Поред тога, биће </w:t>
            </w:r>
            <w:r w:rsidR="0040280F" w:rsidRPr="0040280F">
              <w:rPr>
                <w:rFonts w:ascii="Calibri Light" w:hAnsi="Calibri Light"/>
                <w:sz w:val="20"/>
              </w:rPr>
              <w:t>унапређен</w:t>
            </w:r>
            <w:r w:rsidR="0040280F">
              <w:rPr>
                <w:rFonts w:ascii="Calibri Light" w:hAnsi="Calibri Light"/>
                <w:sz w:val="20"/>
              </w:rPr>
              <w:t xml:space="preserve"> </w:t>
            </w:r>
            <w:r w:rsidR="0040280F" w:rsidRPr="0040280F">
              <w:rPr>
                <w:rFonts w:ascii="Calibri Light" w:hAnsi="Calibri Light"/>
                <w:sz w:val="20"/>
              </w:rPr>
              <w:t>постојећи</w:t>
            </w:r>
            <w:r w:rsidRPr="00FF386D">
              <w:rPr>
                <w:rFonts w:ascii="Calibri Light" w:hAnsi="Calibri Light"/>
                <w:sz w:val="20"/>
              </w:rPr>
              <w:t xml:space="preserve"> систем сталног прегледа и контроле сертификата о енергетским својствима зграда</w:t>
            </w:r>
            <w:r w:rsidR="00005BEA" w:rsidRPr="00005BEA">
              <w:rPr>
                <w:rFonts w:ascii="Calibri Light" w:hAnsi="Calibri Light"/>
                <w:sz w:val="20"/>
              </w:rPr>
              <w:t>, тако да покрива и питања пасоша санације</w:t>
            </w:r>
            <w:r w:rsidRPr="000A2AFE">
              <w:rPr>
                <w:rFonts w:ascii="Calibri Light" w:eastAsia="Times New Roman" w:hAnsi="Calibri Light" w:cs="Calibri Light"/>
                <w:color w:val="000000"/>
                <w:sz w:val="20"/>
                <w:szCs w:val="20"/>
                <w:lang w:eastAsia="en-GB"/>
              </w:rPr>
              <w:t>.</w:t>
            </w:r>
          </w:p>
        </w:tc>
      </w:tr>
      <w:tr w:rsidR="00854ADA" w:rsidRPr="00FF386D" w14:paraId="68BC5C16"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23D9218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5BE7DAA9" w14:textId="59D32AEA"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7E7195">
              <w:rPr>
                <w:rFonts w:ascii="Calibri Light" w:hAnsi="Calibri Light"/>
                <w:sz w:val="20"/>
              </w:rPr>
              <w:t>6</w:t>
            </w:r>
            <w:r w:rsidRPr="00FF386D">
              <w:rPr>
                <w:rFonts w:ascii="Calibri Light" w:hAnsi="Calibri Light"/>
                <w:sz w:val="20"/>
              </w:rPr>
              <w:t>.</w:t>
            </w:r>
          </w:p>
        </w:tc>
      </w:tr>
      <w:tr w:rsidR="00854ADA" w:rsidRPr="00FF386D" w14:paraId="5030CF41"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1D2597E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46413F93"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Реформа</w:t>
            </w:r>
          </w:p>
        </w:tc>
      </w:tr>
      <w:tr w:rsidR="00854ADA" w:rsidRPr="00FF386D" w14:paraId="0C5D8E9F"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7B8BDD2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3FB1357B"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Стамбени, јавни, комерцијални</w:t>
            </w:r>
          </w:p>
        </w:tc>
      </w:tr>
      <w:tr w:rsidR="00854ADA" w:rsidRPr="00FF386D" w14:paraId="2928E915"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7C35228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1D7B95A7" w14:textId="77777777" w:rsidR="00854ADA" w:rsidRPr="00FF386D" w:rsidRDefault="00854ADA" w:rsidP="00854ADA">
            <w:pPr>
              <w:numPr>
                <w:ilvl w:val="0"/>
                <w:numId w:val="11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Министарство грађевинарства, саобраћаја и инфраструктуре</w:t>
            </w:r>
          </w:p>
        </w:tc>
      </w:tr>
      <w:tr w:rsidR="00854ADA" w:rsidRPr="00FF386D" w14:paraId="501FB109" w14:textId="77777777" w:rsidTr="0057310C">
        <w:trPr>
          <w:trHeight w:val="315"/>
        </w:trPr>
        <w:tc>
          <w:tcPr>
            <w:tcW w:w="3327" w:type="dxa"/>
            <w:tcBorders>
              <w:top w:val="nil"/>
              <w:left w:val="single" w:sz="8" w:space="0" w:color="auto"/>
              <w:bottom w:val="single" w:sz="8" w:space="0" w:color="auto"/>
              <w:right w:val="nil"/>
            </w:tcBorders>
            <w:shd w:val="clear" w:color="000000" w:fill="244062"/>
            <w:vAlign w:val="center"/>
            <w:hideMark/>
          </w:tcPr>
          <w:p w14:paraId="2182941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2976DD97" w14:textId="341DAF58" w:rsidR="00854ADA" w:rsidRPr="000A2AFE" w:rsidRDefault="007E7195" w:rsidP="000A2AFE">
            <w:pPr>
              <w:pStyle w:val="ListParagraph"/>
              <w:numPr>
                <w:ilvl w:val="0"/>
                <w:numId w:val="117"/>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262B1B97" w14:textId="77777777" w:rsidTr="0057310C">
        <w:trPr>
          <w:trHeight w:val="315"/>
        </w:trPr>
        <w:tc>
          <w:tcPr>
            <w:tcW w:w="3327" w:type="dxa"/>
            <w:tcBorders>
              <w:top w:val="nil"/>
              <w:left w:val="single" w:sz="8" w:space="0" w:color="auto"/>
              <w:bottom w:val="single" w:sz="8" w:space="0" w:color="auto"/>
              <w:right w:val="nil"/>
            </w:tcBorders>
            <w:shd w:val="clear" w:color="000000" w:fill="244062"/>
            <w:vAlign w:val="center"/>
            <w:hideMark/>
          </w:tcPr>
          <w:p w14:paraId="6AD7958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6B909EDB" w14:textId="77777777" w:rsidR="00854ADA" w:rsidRPr="000A2AFE" w:rsidRDefault="00854ADA" w:rsidP="000A2AFE">
            <w:pPr>
              <w:pStyle w:val="ListParagraph"/>
              <w:numPr>
                <w:ilvl w:val="0"/>
                <w:numId w:val="117"/>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Развијен законодавни и регулаторни оквир</w:t>
            </w:r>
          </w:p>
        </w:tc>
      </w:tr>
      <w:tr w:rsidR="00854ADA" w:rsidRPr="00FF386D" w14:paraId="087F4810" w14:textId="77777777" w:rsidTr="0057310C">
        <w:trPr>
          <w:trHeight w:val="429"/>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5ECE363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7D54F874" w14:textId="15224713" w:rsidR="007E7195" w:rsidRPr="007E7195" w:rsidRDefault="007E7195" w:rsidP="007E7195">
            <w:pPr>
              <w:numPr>
                <w:ilvl w:val="0"/>
                <w:numId w:val="122"/>
              </w:numPr>
              <w:spacing w:after="0" w:line="240" w:lineRule="auto"/>
              <w:contextualSpacing/>
              <w:rPr>
                <w:rFonts w:ascii="Calibri Light" w:eastAsia="Times New Roman" w:hAnsi="Calibri Light" w:cs="Calibri Light"/>
                <w:color w:val="000000"/>
                <w:sz w:val="20"/>
                <w:szCs w:val="20"/>
                <w:lang w:eastAsia="en-GB"/>
              </w:rPr>
            </w:pPr>
            <w:r w:rsidRPr="007E7195">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7E7195">
              <w:rPr>
                <w:rFonts w:ascii="Calibri Light" w:eastAsia="Times New Roman" w:hAnsi="Calibri Light" w:cs="Calibri Light"/>
                <w:i/>
                <w:iCs/>
                <w:color w:val="000000"/>
                <w:sz w:val="20"/>
                <w:szCs w:val="20"/>
                <w:lang w:val="en-US" w:eastAsia="en-GB"/>
              </w:rPr>
              <w:t>GHG</w:t>
            </w:r>
            <w:r w:rsidRPr="007E7195">
              <w:rPr>
                <w:rFonts w:ascii="Calibri Light" w:eastAsia="Times New Roman" w:hAnsi="Calibri Light" w:cs="Calibri Light"/>
                <w:i/>
                <w:iCs/>
                <w:color w:val="000000"/>
                <w:sz w:val="20"/>
                <w:szCs w:val="20"/>
                <w:lang w:eastAsia="en-GB"/>
              </w:rPr>
              <w:t>,</w:t>
            </w:r>
            <w:r w:rsidRPr="007E7195">
              <w:rPr>
                <w:rFonts w:ascii="Calibri Light" w:eastAsia="Times New Roman" w:hAnsi="Calibri Light" w:cs="Calibri Light"/>
                <w:color w:val="000000"/>
                <w:sz w:val="20"/>
                <w:szCs w:val="20"/>
                <w:lang w:eastAsia="en-GB"/>
              </w:rPr>
              <w:t xml:space="preserve"> а коришћење технологија ОИЕ ће повећати удео ОИЕ у грејању и хлађењу)</w:t>
            </w:r>
          </w:p>
          <w:p w14:paraId="2802A4F6" w14:textId="146E9811" w:rsidR="00854ADA" w:rsidRPr="00FF386D" w:rsidRDefault="007E7195" w:rsidP="007E7195">
            <w:pPr>
              <w:numPr>
                <w:ilvl w:val="0"/>
                <w:numId w:val="122"/>
              </w:numPr>
              <w:spacing w:after="0" w:line="240" w:lineRule="auto"/>
              <w:contextualSpacing/>
              <w:rPr>
                <w:rFonts w:ascii="Calibri Light" w:eastAsia="Times New Roman" w:hAnsi="Calibri Light" w:cs="Calibri Light"/>
                <w:color w:val="000000"/>
                <w:sz w:val="20"/>
                <w:szCs w:val="20"/>
                <w:lang w:eastAsia="en-GB"/>
              </w:rPr>
            </w:pPr>
            <w:r w:rsidRPr="007E7195">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w:t>
            </w:r>
            <w:r w:rsidR="00054666">
              <w:rPr>
                <w:rFonts w:ascii="Calibri Light" w:eastAsia="Times New Roman" w:hAnsi="Calibri Light" w:cs="Calibri Light"/>
                <w:color w:val="000000"/>
                <w:sz w:val="20"/>
                <w:szCs w:val="20"/>
                <w:lang w:eastAsia="en-GB"/>
              </w:rPr>
              <w:t>а увезених</w:t>
            </w:r>
            <w:r w:rsidRPr="007E7195">
              <w:rPr>
                <w:rFonts w:ascii="Calibri Light" w:eastAsia="Times New Roman" w:hAnsi="Calibri Light" w:cs="Calibri Light"/>
                <w:color w:val="000000"/>
                <w:sz w:val="20"/>
                <w:szCs w:val="20"/>
                <w:lang w:eastAsia="en-GB"/>
              </w:rPr>
              <w:t xml:space="preserve"> фосилних горива што ће довести до смањења зависности од увоза енергије из трећих земаља)</w:t>
            </w:r>
          </w:p>
        </w:tc>
      </w:tr>
      <w:tr w:rsidR="00854ADA" w:rsidRPr="00FF386D" w14:paraId="0A7DE9F0" w14:textId="77777777" w:rsidTr="0057310C">
        <w:trPr>
          <w:trHeight w:val="450"/>
        </w:trPr>
        <w:tc>
          <w:tcPr>
            <w:tcW w:w="3327"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15FC475C" w14:textId="2E50DAC4"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31"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0A4A5B15" w14:textId="6B78D6A5" w:rsidR="00854ADA" w:rsidRPr="000A2AFE" w:rsidRDefault="00854ADA">
            <w:pPr>
              <w:numPr>
                <w:ilvl w:val="0"/>
                <w:numId w:val="236"/>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Директива </w:t>
            </w:r>
            <w:r w:rsidR="004F647E" w:rsidRPr="000A2AFE">
              <w:rPr>
                <w:rFonts w:ascii="Calibri Light" w:eastAsia="Times New Roman" w:hAnsi="Calibri Light" w:cs="Calibri Light"/>
                <w:color w:val="000000"/>
                <w:sz w:val="20"/>
                <w:szCs w:val="20"/>
                <w:lang w:eastAsia="en-GB"/>
              </w:rPr>
              <w:t xml:space="preserve">(ЕУ) </w:t>
            </w:r>
            <w:r w:rsidRPr="000A2AFE">
              <w:rPr>
                <w:rFonts w:ascii="Calibri Light" w:eastAsia="Times New Roman" w:hAnsi="Calibri Light" w:cs="Calibri Light"/>
                <w:color w:val="000000"/>
                <w:sz w:val="20"/>
                <w:szCs w:val="20"/>
                <w:lang w:eastAsia="en-GB"/>
              </w:rPr>
              <w:t>2010/31</w:t>
            </w:r>
          </w:p>
          <w:p w14:paraId="6194F31E" w14:textId="54A5002C" w:rsidR="00854ADA" w:rsidRPr="000A2AFE" w:rsidRDefault="00854ADA">
            <w:pPr>
              <w:numPr>
                <w:ilvl w:val="0"/>
                <w:numId w:val="23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Директива </w:t>
            </w:r>
            <w:r w:rsidR="004F647E" w:rsidRPr="00FF386D">
              <w:rPr>
                <w:rFonts w:ascii="Calibri Light" w:hAnsi="Calibri Light"/>
                <w:color w:val="000000"/>
                <w:sz w:val="20"/>
              </w:rPr>
              <w:t xml:space="preserve">(ЕУ) </w:t>
            </w:r>
            <w:r w:rsidRPr="000A2AFE">
              <w:rPr>
                <w:rFonts w:ascii="Calibri Light" w:eastAsia="Times New Roman" w:hAnsi="Calibri Light" w:cs="Calibri Light"/>
                <w:color w:val="000000"/>
                <w:sz w:val="20"/>
                <w:szCs w:val="20"/>
                <w:lang w:eastAsia="en-GB"/>
              </w:rPr>
              <w:t>2012/27</w:t>
            </w:r>
          </w:p>
          <w:p w14:paraId="2A3FB279" w14:textId="49067862" w:rsidR="00854ADA" w:rsidRPr="000A2AFE" w:rsidRDefault="00854ADA">
            <w:pPr>
              <w:numPr>
                <w:ilvl w:val="0"/>
                <w:numId w:val="23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Директива </w:t>
            </w:r>
            <w:r w:rsidR="004F647E" w:rsidRPr="00FF386D">
              <w:rPr>
                <w:rFonts w:ascii="Calibri Light" w:hAnsi="Calibri Light"/>
                <w:color w:val="000000"/>
                <w:sz w:val="20"/>
              </w:rPr>
              <w:t xml:space="preserve">(ЕУ) </w:t>
            </w:r>
            <w:r w:rsidRPr="000A2AFE">
              <w:rPr>
                <w:rFonts w:ascii="Calibri Light" w:eastAsia="Times New Roman" w:hAnsi="Calibri Light" w:cs="Calibri Light"/>
                <w:color w:val="000000"/>
                <w:sz w:val="20"/>
                <w:szCs w:val="20"/>
                <w:lang w:eastAsia="en-GB"/>
              </w:rPr>
              <w:t>2018/2002</w:t>
            </w:r>
          </w:p>
          <w:p w14:paraId="68AE8700" w14:textId="0686C3C5" w:rsidR="00854ADA" w:rsidRPr="00FF386D" w:rsidRDefault="00854ADA" w:rsidP="00854ADA">
            <w:pPr>
              <w:numPr>
                <w:ilvl w:val="0"/>
                <w:numId w:val="21"/>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Директива </w:t>
            </w:r>
            <w:r w:rsidR="004F647E" w:rsidRPr="00FF386D">
              <w:rPr>
                <w:rFonts w:ascii="Calibri Light" w:hAnsi="Calibri Light"/>
                <w:color w:val="000000"/>
                <w:sz w:val="20"/>
              </w:rPr>
              <w:t xml:space="preserve">(ЕУ) </w:t>
            </w:r>
            <w:r w:rsidRPr="000A2AFE">
              <w:rPr>
                <w:rFonts w:ascii="Calibri Light" w:eastAsia="Times New Roman" w:hAnsi="Calibri Light" w:cs="Calibri Light"/>
                <w:color w:val="000000"/>
                <w:sz w:val="20"/>
                <w:szCs w:val="20"/>
                <w:lang w:eastAsia="en-GB"/>
              </w:rPr>
              <w:t>2018/844</w:t>
            </w:r>
          </w:p>
        </w:tc>
      </w:tr>
      <w:tr w:rsidR="00854ADA" w:rsidRPr="00FF386D" w14:paraId="76E4F996" w14:textId="77777777" w:rsidTr="0057310C">
        <w:trPr>
          <w:trHeight w:val="450"/>
        </w:trPr>
        <w:tc>
          <w:tcPr>
            <w:tcW w:w="3327" w:type="dxa"/>
            <w:vMerge/>
            <w:tcBorders>
              <w:top w:val="nil"/>
              <w:left w:val="single" w:sz="8" w:space="0" w:color="auto"/>
              <w:bottom w:val="single" w:sz="8" w:space="0" w:color="000000"/>
              <w:right w:val="single" w:sz="8" w:space="0" w:color="auto"/>
            </w:tcBorders>
            <w:vAlign w:val="center"/>
            <w:hideMark/>
          </w:tcPr>
          <w:p w14:paraId="1B8454F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1" w:type="dxa"/>
            <w:gridSpan w:val="3"/>
            <w:vMerge/>
            <w:tcBorders>
              <w:top w:val="single" w:sz="8" w:space="0" w:color="auto"/>
              <w:left w:val="single" w:sz="8" w:space="0" w:color="auto"/>
              <w:bottom w:val="single" w:sz="8" w:space="0" w:color="000000"/>
              <w:right w:val="single" w:sz="8" w:space="0" w:color="000000"/>
            </w:tcBorders>
            <w:vAlign w:val="center"/>
            <w:hideMark/>
          </w:tcPr>
          <w:p w14:paraId="3EBD153F"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p>
        </w:tc>
      </w:tr>
      <w:tr w:rsidR="00854ADA" w:rsidRPr="00FF386D" w14:paraId="6545FB9D" w14:textId="77777777" w:rsidTr="0057310C">
        <w:trPr>
          <w:trHeight w:val="450"/>
        </w:trPr>
        <w:tc>
          <w:tcPr>
            <w:tcW w:w="3327" w:type="dxa"/>
            <w:vMerge/>
            <w:tcBorders>
              <w:top w:val="nil"/>
              <w:left w:val="single" w:sz="8" w:space="0" w:color="auto"/>
              <w:bottom w:val="single" w:sz="8" w:space="0" w:color="000000"/>
              <w:right w:val="single" w:sz="8" w:space="0" w:color="auto"/>
            </w:tcBorders>
            <w:vAlign w:val="center"/>
            <w:hideMark/>
          </w:tcPr>
          <w:p w14:paraId="4947D85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31" w:type="dxa"/>
            <w:gridSpan w:val="3"/>
            <w:vMerge/>
            <w:tcBorders>
              <w:top w:val="single" w:sz="8" w:space="0" w:color="auto"/>
              <w:left w:val="single" w:sz="8" w:space="0" w:color="auto"/>
              <w:bottom w:val="single" w:sz="8" w:space="0" w:color="000000"/>
              <w:right w:val="single" w:sz="8" w:space="0" w:color="000000"/>
            </w:tcBorders>
            <w:vAlign w:val="center"/>
            <w:hideMark/>
          </w:tcPr>
          <w:p w14:paraId="644279C2"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p>
        </w:tc>
      </w:tr>
      <w:tr w:rsidR="00854ADA" w:rsidRPr="00FF386D" w14:paraId="21C173CA" w14:textId="77777777" w:rsidTr="0057310C">
        <w:trPr>
          <w:trHeight w:val="463"/>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48D2A4B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54057218" w14:textId="77777777" w:rsidR="00854ADA" w:rsidRPr="00FF386D" w:rsidRDefault="00854ADA" w:rsidP="00854ADA">
            <w:pPr>
              <w:numPr>
                <w:ilvl w:val="0"/>
                <w:numId w:val="22"/>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Дугорочна стратегија за подстицање улагања у обнову националног фонда зграда</w:t>
            </w:r>
          </w:p>
          <w:p w14:paraId="6FF6E15A" w14:textId="77777777" w:rsidR="00854ADA" w:rsidRPr="00FF386D" w:rsidRDefault="00854ADA" w:rsidP="00854ADA">
            <w:pPr>
              <w:numPr>
                <w:ilvl w:val="0"/>
                <w:numId w:val="22"/>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планирању и изградњи</w:t>
            </w:r>
          </w:p>
          <w:p w14:paraId="6D302357" w14:textId="5F0D653D" w:rsidR="00854ADA" w:rsidRPr="00FF386D" w:rsidRDefault="00854ADA" w:rsidP="00854ADA">
            <w:pPr>
              <w:numPr>
                <w:ilvl w:val="0"/>
                <w:numId w:val="22"/>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Правилник о </w:t>
            </w:r>
            <w:r w:rsidR="004F647E" w:rsidRPr="00FF386D">
              <w:rPr>
                <w:rFonts w:ascii="Calibri Light" w:eastAsia="Times New Roman" w:hAnsi="Calibri Light" w:cs="Calibri Light"/>
                <w:color w:val="000000"/>
                <w:sz w:val="20"/>
                <w:szCs w:val="20"/>
                <w:lang w:eastAsia="en-GB"/>
              </w:rPr>
              <w:t>енергетској</w:t>
            </w:r>
            <w:r w:rsidRPr="00FF386D">
              <w:rPr>
                <w:rFonts w:ascii="Calibri Light" w:eastAsia="Times New Roman" w:hAnsi="Calibri Light" w:cs="Calibri Light"/>
                <w:color w:val="000000"/>
                <w:sz w:val="20"/>
                <w:szCs w:val="20"/>
                <w:lang w:eastAsia="en-GB"/>
              </w:rPr>
              <w:t xml:space="preserve"> ефикасности зграда</w:t>
            </w:r>
          </w:p>
          <w:p w14:paraId="33460F30" w14:textId="1FF1BDFD" w:rsidR="00854ADA" w:rsidRPr="00FF386D" w:rsidRDefault="00854ADA" w:rsidP="004F647E">
            <w:pPr>
              <w:numPr>
                <w:ilvl w:val="0"/>
                <w:numId w:val="22"/>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Правилник о </w:t>
            </w:r>
            <w:r w:rsidR="00005BEA" w:rsidRPr="00005BEA">
              <w:rPr>
                <w:rFonts w:ascii="Calibri Light" w:eastAsia="Times New Roman" w:hAnsi="Calibri Light" w:cs="Calibri Light"/>
                <w:color w:val="000000"/>
                <w:sz w:val="20"/>
                <w:szCs w:val="20"/>
                <w:lang w:eastAsia="en-GB"/>
              </w:rPr>
              <w:t>условима, садржини и начину издавања сертификата о енергетским својствима зграда</w:t>
            </w:r>
          </w:p>
        </w:tc>
      </w:tr>
      <w:tr w:rsidR="00854ADA" w:rsidRPr="00FF386D" w14:paraId="44654E9A"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1583CD9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Трошкови имплементације</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7C7234EC" w14:textId="4DC2CF31"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 xml:space="preserve">Биће </w:t>
            </w:r>
            <w:r w:rsidR="004F647E" w:rsidRPr="00FF386D">
              <w:rPr>
                <w:rFonts w:ascii="Calibri Light" w:eastAsia="Times New Roman" w:hAnsi="Calibri Light" w:cs="Calibri Light"/>
                <w:color w:val="000000"/>
                <w:sz w:val="20"/>
                <w:szCs w:val="20"/>
                <w:lang w:eastAsia="en-GB"/>
              </w:rPr>
              <w:t>обухваћени</w:t>
            </w:r>
            <w:r w:rsidRPr="00FF386D">
              <w:rPr>
                <w:rFonts w:ascii="Calibri Light" w:eastAsia="Times New Roman" w:hAnsi="Calibri Light" w:cs="Calibri Light"/>
                <w:color w:val="000000"/>
                <w:sz w:val="20"/>
                <w:szCs w:val="20"/>
                <w:lang w:eastAsia="en-GB"/>
              </w:rPr>
              <w:t xml:space="preserve"> у МП_ЕЕ1, МП_ЕЕ2 и МП_ЕЕ3</w:t>
            </w:r>
          </w:p>
        </w:tc>
      </w:tr>
      <w:tr w:rsidR="00854ADA" w:rsidRPr="00FF386D" w14:paraId="0DDBF7B5" w14:textId="77777777" w:rsidTr="0057310C">
        <w:trPr>
          <w:trHeight w:val="315"/>
        </w:trPr>
        <w:tc>
          <w:tcPr>
            <w:tcW w:w="3327" w:type="dxa"/>
            <w:tcBorders>
              <w:top w:val="nil"/>
              <w:left w:val="single" w:sz="8" w:space="0" w:color="auto"/>
              <w:bottom w:val="single" w:sz="8" w:space="0" w:color="auto"/>
              <w:right w:val="single" w:sz="8" w:space="0" w:color="auto"/>
            </w:tcBorders>
            <w:shd w:val="clear" w:color="000000" w:fill="244062"/>
            <w:vAlign w:val="center"/>
            <w:hideMark/>
          </w:tcPr>
          <w:p w14:paraId="7D85300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31" w:type="dxa"/>
            <w:gridSpan w:val="3"/>
            <w:tcBorders>
              <w:top w:val="single" w:sz="8" w:space="0" w:color="auto"/>
              <w:left w:val="nil"/>
              <w:bottom w:val="single" w:sz="8" w:space="0" w:color="auto"/>
              <w:right w:val="single" w:sz="8" w:space="0" w:color="000000"/>
            </w:tcBorders>
            <w:shd w:val="clear" w:color="auto" w:fill="auto"/>
            <w:vAlign w:val="center"/>
            <w:hideMark/>
          </w:tcPr>
          <w:p w14:paraId="798F69D5" w14:textId="765EFF90"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4F647E" w:rsidRPr="00FF386D">
              <w:rPr>
                <w:rFonts w:asciiTheme="majorHAnsi" w:eastAsia="Times New Roman" w:hAnsiTheme="majorHAnsi" w:cstheme="majorHAnsi"/>
                <w:color w:val="000000"/>
                <w:sz w:val="20"/>
                <w:szCs w:val="20"/>
                <w:lang w:eastAsia="en-GB"/>
              </w:rPr>
              <w:t xml:space="preserve">ска и сопствена </w:t>
            </w:r>
            <w:r w:rsidRPr="00FF386D">
              <w:rPr>
                <w:rFonts w:asciiTheme="majorHAnsi" w:eastAsia="Times New Roman" w:hAnsiTheme="majorHAnsi" w:cstheme="majorHAnsi"/>
                <w:color w:val="000000"/>
                <w:sz w:val="20"/>
                <w:szCs w:val="20"/>
                <w:lang w:eastAsia="en-GB"/>
              </w:rPr>
              <w:t>средства</w:t>
            </w:r>
          </w:p>
        </w:tc>
      </w:tr>
    </w:tbl>
    <w:p w14:paraId="4ABAA0D0"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29"/>
        <w:gridCol w:w="953"/>
        <w:gridCol w:w="945"/>
        <w:gridCol w:w="4231"/>
      </w:tblGrid>
      <w:tr w:rsidR="00854ADA" w:rsidRPr="00FF386D" w14:paraId="44F63050" w14:textId="77777777" w:rsidTr="0057310C">
        <w:trPr>
          <w:trHeight w:val="780"/>
        </w:trPr>
        <w:tc>
          <w:tcPr>
            <w:tcW w:w="3329"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74B81F08"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53" w:type="dxa"/>
            <w:tcBorders>
              <w:top w:val="single" w:sz="8" w:space="0" w:color="auto"/>
              <w:left w:val="nil"/>
              <w:bottom w:val="single" w:sz="8" w:space="0" w:color="auto"/>
              <w:right w:val="single" w:sz="8" w:space="0" w:color="auto"/>
            </w:tcBorders>
            <w:shd w:val="clear" w:color="auto" w:fill="E7E6E6" w:themeFill="background2"/>
            <w:vAlign w:val="center"/>
            <w:hideMark/>
          </w:tcPr>
          <w:p w14:paraId="568B5D15"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МП_ЕЕ8</w:t>
            </w:r>
          </w:p>
        </w:tc>
        <w:tc>
          <w:tcPr>
            <w:tcW w:w="945" w:type="dxa"/>
            <w:tcBorders>
              <w:top w:val="single" w:sz="8" w:space="0" w:color="auto"/>
              <w:left w:val="nil"/>
              <w:bottom w:val="single" w:sz="8" w:space="0" w:color="auto"/>
              <w:right w:val="single" w:sz="8" w:space="0" w:color="auto"/>
            </w:tcBorders>
            <w:shd w:val="clear" w:color="000000" w:fill="244062"/>
            <w:vAlign w:val="center"/>
            <w:hideMark/>
          </w:tcPr>
          <w:p w14:paraId="3B7ECD1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31" w:type="dxa"/>
            <w:tcBorders>
              <w:top w:val="single" w:sz="8" w:space="0" w:color="auto"/>
              <w:left w:val="nil"/>
              <w:bottom w:val="single" w:sz="8" w:space="0" w:color="auto"/>
              <w:right w:val="single" w:sz="8" w:space="0" w:color="auto"/>
            </w:tcBorders>
            <w:shd w:val="clear" w:color="auto" w:fill="E7E6E6" w:themeFill="background2"/>
            <w:vAlign w:val="center"/>
            <w:hideMark/>
          </w:tcPr>
          <w:p w14:paraId="0A8FAD40" w14:textId="696175E8" w:rsidR="00854ADA" w:rsidRPr="00FF386D" w:rsidRDefault="00854ADA" w:rsidP="00854ADA">
            <w:pPr>
              <w:spacing w:after="0" w:line="240" w:lineRule="auto"/>
              <w:rPr>
                <w:rFonts w:ascii="Calibri Light" w:eastAsia="Times New Roman" w:hAnsi="Calibri Light" w:cs="Calibri Light"/>
                <w:b/>
                <w:bCs/>
                <w:color w:val="000000"/>
                <w:sz w:val="20"/>
                <w:szCs w:val="20"/>
                <w:lang w:eastAsia="en-GB"/>
              </w:rPr>
            </w:pPr>
            <w:r w:rsidRPr="00FF386D">
              <w:rPr>
                <w:rFonts w:ascii="Calibri Light" w:hAnsi="Calibri Light"/>
                <w:b/>
                <w:sz w:val="20"/>
              </w:rPr>
              <w:t xml:space="preserve">Уклањање </w:t>
            </w:r>
            <w:r w:rsidR="004F647E" w:rsidRPr="00FF386D">
              <w:rPr>
                <w:rFonts w:ascii="Calibri Light" w:hAnsi="Calibri Light"/>
                <w:b/>
                <w:sz w:val="20"/>
              </w:rPr>
              <w:t>препреке</w:t>
            </w:r>
            <w:r w:rsidRPr="00FF386D">
              <w:rPr>
                <w:rFonts w:ascii="Calibri Light" w:hAnsi="Calibri Light"/>
                <w:b/>
                <w:sz w:val="20"/>
              </w:rPr>
              <w:t xml:space="preserve"> подељених подстицаја</w:t>
            </w:r>
          </w:p>
        </w:tc>
      </w:tr>
      <w:tr w:rsidR="00854ADA" w:rsidRPr="00FF386D" w14:paraId="7CFF887B" w14:textId="77777777" w:rsidTr="0057310C">
        <w:trPr>
          <w:trHeight w:val="513"/>
        </w:trPr>
        <w:tc>
          <w:tcPr>
            <w:tcW w:w="3329" w:type="dxa"/>
            <w:tcBorders>
              <w:top w:val="nil"/>
              <w:left w:val="single" w:sz="8" w:space="0" w:color="auto"/>
              <w:bottom w:val="single" w:sz="8" w:space="0" w:color="auto"/>
              <w:right w:val="nil"/>
            </w:tcBorders>
            <w:shd w:val="clear" w:color="000000" w:fill="244062"/>
            <w:vAlign w:val="center"/>
            <w:hideMark/>
          </w:tcPr>
          <w:p w14:paraId="33A8528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5B72698B" w14:textId="626B995C" w:rsidR="00854ADA" w:rsidRPr="000A2AFE" w:rsidRDefault="004F647E"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Примена</w:t>
            </w:r>
            <w:r w:rsidR="00854ADA" w:rsidRPr="00FF386D">
              <w:rPr>
                <w:rFonts w:ascii="Calibri Light" w:hAnsi="Calibri Light"/>
                <w:sz w:val="20"/>
              </w:rPr>
              <w:t xml:space="preserve"> чланова Директ</w:t>
            </w:r>
            <w:r w:rsidR="003E328C" w:rsidRPr="00FF386D">
              <w:rPr>
                <w:rFonts w:ascii="Calibri Light" w:hAnsi="Calibri Light"/>
                <w:sz w:val="20"/>
              </w:rPr>
              <w:t>иве</w:t>
            </w:r>
            <w:r w:rsidR="00854ADA" w:rsidRPr="00FF386D">
              <w:rPr>
                <w:rFonts w:ascii="Calibri Light" w:hAnsi="Calibri Light"/>
                <w:sz w:val="20"/>
              </w:rPr>
              <w:t xml:space="preserve"> </w:t>
            </w:r>
            <w:r w:rsidRPr="00FF386D">
              <w:rPr>
                <w:rFonts w:ascii="Calibri Light" w:hAnsi="Calibri Light"/>
                <w:sz w:val="20"/>
              </w:rPr>
              <w:t xml:space="preserve">(ЕУ) </w:t>
            </w:r>
            <w:r w:rsidR="00854ADA" w:rsidRPr="00FF386D">
              <w:rPr>
                <w:rFonts w:ascii="Calibri Light" w:hAnsi="Calibri Light"/>
                <w:sz w:val="20"/>
              </w:rPr>
              <w:t>2012/27, која је изме</w:t>
            </w:r>
            <w:r w:rsidR="003E328C" w:rsidRPr="00FF386D">
              <w:rPr>
                <w:rFonts w:ascii="Calibri Light" w:hAnsi="Calibri Light"/>
                <w:sz w:val="20"/>
              </w:rPr>
              <w:t>њ</w:t>
            </w:r>
            <w:r w:rsidR="00854ADA" w:rsidRPr="00FF386D">
              <w:rPr>
                <w:rFonts w:ascii="Calibri Light" w:hAnsi="Calibri Light"/>
                <w:sz w:val="20"/>
              </w:rPr>
              <w:t>ена и допуње</w:t>
            </w:r>
            <w:r w:rsidR="003E328C" w:rsidRPr="00FF386D">
              <w:rPr>
                <w:rFonts w:ascii="Calibri Light" w:hAnsi="Calibri Light"/>
                <w:sz w:val="20"/>
              </w:rPr>
              <w:t>н</w:t>
            </w:r>
            <w:r w:rsidR="00854ADA" w:rsidRPr="00FF386D">
              <w:rPr>
                <w:rFonts w:ascii="Calibri Light" w:hAnsi="Calibri Light"/>
                <w:sz w:val="20"/>
              </w:rPr>
              <w:t xml:space="preserve">а Директивом </w:t>
            </w:r>
            <w:r w:rsidRPr="00FF386D">
              <w:rPr>
                <w:rFonts w:ascii="Calibri Light" w:hAnsi="Calibri Light"/>
                <w:sz w:val="20"/>
              </w:rPr>
              <w:t xml:space="preserve">(ЕУ) </w:t>
            </w:r>
            <w:r w:rsidR="00854ADA" w:rsidRPr="00FF386D">
              <w:rPr>
                <w:rFonts w:ascii="Calibri Light" w:hAnsi="Calibri Light"/>
                <w:sz w:val="20"/>
              </w:rPr>
              <w:t>2018/2002</w:t>
            </w:r>
            <w:r w:rsidRPr="00FF386D">
              <w:rPr>
                <w:rFonts w:ascii="Calibri Light" w:hAnsi="Calibri Light"/>
                <w:sz w:val="20"/>
              </w:rPr>
              <w:t>, и то</w:t>
            </w:r>
            <w:r w:rsidR="00854ADA" w:rsidRPr="000A2AFE">
              <w:rPr>
                <w:rFonts w:ascii="Calibri Light" w:eastAsia="Times New Roman" w:hAnsi="Calibri Light" w:cs="Calibri Light"/>
                <w:color w:val="000000"/>
                <w:sz w:val="20"/>
                <w:szCs w:val="20"/>
                <w:lang w:eastAsia="en-GB"/>
              </w:rPr>
              <w:t>:</w:t>
            </w:r>
          </w:p>
          <w:p w14:paraId="4F47E04C" w14:textId="09EFE39E" w:rsidR="00854ADA" w:rsidRPr="000A2AFE" w:rsidRDefault="00854ADA" w:rsidP="00854ADA">
            <w:pPr>
              <w:numPr>
                <w:ilvl w:val="0"/>
                <w:numId w:val="22"/>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7E6240"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3</w:t>
            </w:r>
          </w:p>
          <w:p w14:paraId="1374A58B" w14:textId="52FBD3FA" w:rsidR="00854ADA" w:rsidRPr="00FF386D" w:rsidRDefault="00854ADA" w:rsidP="00854ADA">
            <w:pPr>
              <w:numPr>
                <w:ilvl w:val="0"/>
                <w:numId w:val="22"/>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7E6240"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7</w:t>
            </w:r>
          </w:p>
        </w:tc>
      </w:tr>
      <w:tr w:rsidR="00854ADA" w:rsidRPr="00FF386D" w14:paraId="699FDA61"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7223BF5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6070FCD1"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Допринос МП_ЕЕ1-МП_ЕЕ3</w:t>
            </w:r>
          </w:p>
        </w:tc>
      </w:tr>
      <w:tr w:rsidR="00854ADA" w:rsidRPr="00FF386D" w14:paraId="4821B01B" w14:textId="77777777" w:rsidTr="0057310C">
        <w:trPr>
          <w:trHeight w:val="429"/>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3489B02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2136A341" w14:textId="15A45ACF"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Theme="majorHAnsi" w:hAnsiTheme="majorHAnsi" w:cstheme="majorHAnsi"/>
                <w:sz w:val="20"/>
                <w:szCs w:val="20"/>
              </w:rPr>
              <w:t xml:space="preserve">МП_ЕЕ8 ће уклонити потенцијалне регулаторне и нерегулаторне </w:t>
            </w:r>
            <w:r w:rsidR="00BD495D" w:rsidRPr="00FF386D">
              <w:rPr>
                <w:rFonts w:asciiTheme="majorHAnsi" w:hAnsiTheme="majorHAnsi" w:cstheme="majorHAnsi"/>
                <w:sz w:val="20"/>
                <w:szCs w:val="20"/>
              </w:rPr>
              <w:t>препреке</w:t>
            </w:r>
            <w:r w:rsidRPr="00FF386D">
              <w:rPr>
                <w:rFonts w:asciiTheme="majorHAnsi" w:hAnsiTheme="majorHAnsi" w:cstheme="majorHAnsi"/>
                <w:sz w:val="20"/>
                <w:szCs w:val="20"/>
              </w:rPr>
              <w:t xml:space="preserve"> за енергетску ефикасност, не доводећи у питање основна начела закона о имовини и закупу у погледу поделе подстицаја између власника и закупца зграде или међу власницима. </w:t>
            </w:r>
            <w:r w:rsidR="007E6240" w:rsidRPr="00FF386D">
              <w:rPr>
                <w:rFonts w:asciiTheme="majorHAnsi" w:hAnsiTheme="majorHAnsi" w:cstheme="majorHAnsi"/>
                <w:sz w:val="20"/>
                <w:szCs w:val="20"/>
              </w:rPr>
              <w:t>Ова мера ће обезбедити</w:t>
            </w:r>
            <w:r w:rsidRPr="00FF386D">
              <w:rPr>
                <w:rFonts w:asciiTheme="majorHAnsi" w:eastAsia="NSimSun" w:hAnsiTheme="majorHAnsi" w:cstheme="majorHAnsi"/>
                <w:kern w:val="2"/>
                <w:sz w:val="20"/>
                <w:szCs w:val="20"/>
                <w:lang w:eastAsia="zh-CN" w:bidi="hi-IN"/>
              </w:rPr>
              <w:t xml:space="preserve"> </w:t>
            </w:r>
            <w:r w:rsidRPr="00FF386D">
              <w:rPr>
                <w:rFonts w:asciiTheme="majorHAnsi" w:hAnsiTheme="majorHAnsi" w:cstheme="majorHAnsi"/>
                <w:sz w:val="20"/>
                <w:szCs w:val="20"/>
              </w:rPr>
              <w:t>да заинтересоване стране не буду одвраћене од улагања у унапређење енергетских својстава зграда (које би иначе спровеле), због чињенице да појединачно неће остварити потпуну корист или због непостојања правила за поделу трошкова и користи између њих.</w:t>
            </w:r>
            <w:r w:rsidR="00BD495D" w:rsidRPr="00FF386D">
              <w:rPr>
                <w:rFonts w:asciiTheme="majorHAnsi" w:hAnsiTheme="majorHAnsi" w:cstheme="majorHAnsi"/>
                <w:sz w:val="20"/>
                <w:szCs w:val="20"/>
              </w:rPr>
              <w:t xml:space="preserve"> Биће наручена израда наменске студије како би се идентификовале и процениле потенцијалне препреке и израдиле препоруке. </w:t>
            </w:r>
            <w:r w:rsidRPr="00FF386D">
              <w:rPr>
                <w:rFonts w:asciiTheme="majorHAnsi" w:hAnsiTheme="majorHAnsi" w:cstheme="majorHAnsi"/>
                <w:sz w:val="20"/>
                <w:szCs w:val="20"/>
              </w:rPr>
              <w:t>Поред тога, биће поједностављен поступак доношења одлука за некретнине са више власника. Ове мере за уклањање баријера могу обухватати давање подстицаја, укидање или измену законских или регулаторних одредби, или доношење смерница и интерпретативних напомена, или поједностављивање административних процедура</w:t>
            </w:r>
            <w:r w:rsidRPr="000A2AFE">
              <w:rPr>
                <w:rFonts w:asciiTheme="majorHAnsi" w:eastAsia="Times New Roman" w:hAnsiTheme="majorHAnsi" w:cstheme="majorHAnsi"/>
                <w:color w:val="000000"/>
                <w:sz w:val="20"/>
                <w:szCs w:val="20"/>
                <w:lang w:eastAsia="en-GB"/>
              </w:rPr>
              <w:t>.</w:t>
            </w:r>
          </w:p>
        </w:tc>
      </w:tr>
      <w:tr w:rsidR="00854ADA" w:rsidRPr="00FF386D" w14:paraId="0A0201C0"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4F6DDE3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44F1C43C" w14:textId="18124ACF"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4F647E" w:rsidRPr="00FF386D">
              <w:rPr>
                <w:rFonts w:ascii="Calibri Light" w:hAnsi="Calibri Light"/>
                <w:sz w:val="20"/>
              </w:rPr>
              <w:t>5</w:t>
            </w:r>
            <w:r w:rsidRPr="00FF386D">
              <w:rPr>
                <w:rFonts w:ascii="Calibri Light" w:hAnsi="Calibri Light"/>
                <w:sz w:val="20"/>
              </w:rPr>
              <w:t>-20</w:t>
            </w:r>
            <w:r w:rsidR="007E7195">
              <w:rPr>
                <w:rFonts w:ascii="Calibri Light" w:hAnsi="Calibri Light"/>
                <w:sz w:val="20"/>
              </w:rPr>
              <w:t>26</w:t>
            </w:r>
            <w:r w:rsidRPr="00FF386D">
              <w:rPr>
                <w:rFonts w:ascii="Calibri Light" w:hAnsi="Calibri Light"/>
                <w:sz w:val="20"/>
              </w:rPr>
              <w:t>.</w:t>
            </w:r>
          </w:p>
        </w:tc>
      </w:tr>
      <w:tr w:rsidR="00854ADA" w:rsidRPr="00FF386D" w14:paraId="294E7305"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0A09CEF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35556D4A"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Реформа</w:t>
            </w:r>
          </w:p>
        </w:tc>
      </w:tr>
      <w:tr w:rsidR="00854ADA" w:rsidRPr="00FF386D" w14:paraId="487686C6"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419F571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18DBEF42"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Стамбени, комерцијални</w:t>
            </w:r>
          </w:p>
        </w:tc>
      </w:tr>
      <w:tr w:rsidR="00854ADA" w:rsidRPr="00FF386D" w14:paraId="1FD3E4E2"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061D44E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2BEA20A0" w14:textId="77777777" w:rsidR="00854ADA" w:rsidRPr="00FF386D" w:rsidRDefault="00854ADA" w:rsidP="00854ADA">
            <w:pPr>
              <w:numPr>
                <w:ilvl w:val="0"/>
                <w:numId w:val="117"/>
              </w:numPr>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грађевинарства, саобраћаја и инфраструктуре</w:t>
            </w:r>
          </w:p>
          <w:p w14:paraId="4FF25C83" w14:textId="77777777" w:rsidR="00854ADA" w:rsidRPr="00FF386D" w:rsidRDefault="00854ADA" w:rsidP="00854ADA">
            <w:pPr>
              <w:numPr>
                <w:ilvl w:val="0"/>
                <w:numId w:val="11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енергетике и рударства</w:t>
            </w:r>
          </w:p>
        </w:tc>
      </w:tr>
      <w:tr w:rsidR="00854ADA" w:rsidRPr="00FF386D" w14:paraId="79A609DA" w14:textId="77777777" w:rsidTr="0057310C">
        <w:trPr>
          <w:trHeight w:val="315"/>
        </w:trPr>
        <w:tc>
          <w:tcPr>
            <w:tcW w:w="3329" w:type="dxa"/>
            <w:tcBorders>
              <w:top w:val="nil"/>
              <w:left w:val="single" w:sz="8" w:space="0" w:color="auto"/>
              <w:bottom w:val="single" w:sz="8" w:space="0" w:color="auto"/>
              <w:right w:val="nil"/>
            </w:tcBorders>
            <w:shd w:val="clear" w:color="000000" w:fill="244062"/>
            <w:vAlign w:val="center"/>
            <w:hideMark/>
          </w:tcPr>
          <w:p w14:paraId="1F007D0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70C967F5" w14:textId="13F960DA" w:rsidR="00854ADA" w:rsidRPr="000A2AFE" w:rsidRDefault="007E7195" w:rsidP="000A2AFE">
            <w:pPr>
              <w:pStyle w:val="ListParagraph"/>
              <w:numPr>
                <w:ilvl w:val="0"/>
                <w:numId w:val="339"/>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4750044F" w14:textId="77777777" w:rsidTr="0057310C">
        <w:trPr>
          <w:trHeight w:val="315"/>
        </w:trPr>
        <w:tc>
          <w:tcPr>
            <w:tcW w:w="3329" w:type="dxa"/>
            <w:tcBorders>
              <w:top w:val="nil"/>
              <w:left w:val="single" w:sz="8" w:space="0" w:color="auto"/>
              <w:bottom w:val="single" w:sz="8" w:space="0" w:color="auto"/>
              <w:right w:val="nil"/>
            </w:tcBorders>
            <w:shd w:val="clear" w:color="000000" w:fill="244062"/>
            <w:vAlign w:val="center"/>
            <w:hideMark/>
          </w:tcPr>
          <w:p w14:paraId="71D4E71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2C8A0E36" w14:textId="173C4F28" w:rsidR="00854ADA" w:rsidRPr="00FF386D" w:rsidRDefault="00A12752" w:rsidP="00854ADA">
            <w:pPr>
              <w:numPr>
                <w:ilvl w:val="0"/>
                <w:numId w:val="115"/>
              </w:numPr>
              <w:spacing w:after="0" w:line="240" w:lineRule="auto"/>
              <w:contextualSpacing/>
              <w:rPr>
                <w:rFonts w:ascii="Calibri Light" w:eastAsia="Times New Roman" w:hAnsi="Calibri Light" w:cs="Calibri Light"/>
                <w:color w:val="000000"/>
                <w:sz w:val="20"/>
                <w:szCs w:val="20"/>
                <w:lang w:eastAsia="en-GB"/>
              </w:rPr>
            </w:pPr>
            <w:r w:rsidRPr="00A12752">
              <w:rPr>
                <w:rFonts w:ascii="Calibri Light" w:eastAsia="Times New Roman" w:hAnsi="Calibri Light" w:cs="Calibri Light"/>
                <w:color w:val="000000"/>
                <w:sz w:val="20"/>
                <w:szCs w:val="20"/>
                <w:lang w:eastAsia="en-GB"/>
              </w:rPr>
              <w:t>Развијен законодавни и регулаторни оквир</w:t>
            </w:r>
          </w:p>
        </w:tc>
      </w:tr>
      <w:tr w:rsidR="00854ADA" w:rsidRPr="00FF386D" w14:paraId="577AA05E" w14:textId="77777777" w:rsidTr="0057310C">
        <w:trPr>
          <w:trHeight w:val="433"/>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63C22A9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5EA4BFE4" w14:textId="7FB56F7E" w:rsidR="007E7195" w:rsidRPr="007E7195" w:rsidRDefault="007E7195" w:rsidP="007E7195">
            <w:pPr>
              <w:numPr>
                <w:ilvl w:val="0"/>
                <w:numId w:val="123"/>
              </w:numPr>
              <w:spacing w:after="0" w:line="240" w:lineRule="auto"/>
              <w:contextualSpacing/>
              <w:rPr>
                <w:rFonts w:ascii="Calibri Light" w:eastAsia="Times New Roman" w:hAnsi="Calibri Light" w:cs="Calibri Light"/>
                <w:color w:val="000000"/>
                <w:sz w:val="20"/>
                <w:szCs w:val="20"/>
                <w:lang w:eastAsia="en-GB"/>
              </w:rPr>
            </w:pPr>
            <w:r w:rsidRPr="007E7195">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7E7195">
              <w:rPr>
                <w:rFonts w:ascii="Calibri Light" w:eastAsia="Times New Roman" w:hAnsi="Calibri Light" w:cs="Calibri Light"/>
                <w:i/>
                <w:iCs/>
                <w:color w:val="000000"/>
                <w:sz w:val="20"/>
                <w:szCs w:val="20"/>
                <w:lang w:val="en-US" w:eastAsia="en-GB"/>
              </w:rPr>
              <w:t>GHG</w:t>
            </w:r>
            <w:r w:rsidRPr="007E7195">
              <w:rPr>
                <w:rFonts w:ascii="Calibri Light" w:eastAsia="Times New Roman" w:hAnsi="Calibri Light" w:cs="Calibri Light"/>
                <w:i/>
                <w:iCs/>
                <w:color w:val="000000"/>
                <w:sz w:val="20"/>
                <w:szCs w:val="20"/>
                <w:lang w:eastAsia="en-GB"/>
              </w:rPr>
              <w:t>,</w:t>
            </w:r>
            <w:r w:rsidRPr="007E7195">
              <w:rPr>
                <w:rFonts w:ascii="Calibri Light" w:eastAsia="Times New Roman" w:hAnsi="Calibri Light" w:cs="Calibri Light"/>
                <w:color w:val="000000"/>
                <w:sz w:val="20"/>
                <w:szCs w:val="20"/>
                <w:lang w:eastAsia="en-GB"/>
              </w:rPr>
              <w:t xml:space="preserve"> а коришћење технологија ОИЕ ће повећати удео ОИЕ у грејању и хлађењу)</w:t>
            </w:r>
          </w:p>
          <w:p w14:paraId="2AE96955" w14:textId="6F94DD45" w:rsidR="00854ADA" w:rsidRPr="00FF386D" w:rsidRDefault="007E7195" w:rsidP="007E7195">
            <w:pPr>
              <w:numPr>
                <w:ilvl w:val="0"/>
                <w:numId w:val="123"/>
              </w:numPr>
              <w:spacing w:after="0" w:line="240" w:lineRule="auto"/>
              <w:contextualSpacing/>
              <w:rPr>
                <w:rFonts w:ascii="Calibri Light" w:eastAsia="Times New Roman" w:hAnsi="Calibri Light" w:cs="Calibri Light"/>
                <w:color w:val="000000"/>
                <w:sz w:val="20"/>
                <w:szCs w:val="20"/>
                <w:lang w:eastAsia="en-GB"/>
              </w:rPr>
            </w:pPr>
            <w:r w:rsidRPr="007E7195">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w:t>
            </w:r>
            <w:r w:rsidR="00054666">
              <w:rPr>
                <w:rFonts w:ascii="Calibri Light" w:eastAsia="Times New Roman" w:hAnsi="Calibri Light" w:cs="Calibri Light"/>
                <w:color w:val="000000"/>
                <w:sz w:val="20"/>
                <w:szCs w:val="20"/>
                <w:lang w:eastAsia="en-GB"/>
              </w:rPr>
              <w:t>а увезених</w:t>
            </w:r>
            <w:r w:rsidRPr="007E7195">
              <w:rPr>
                <w:rFonts w:ascii="Calibri Light" w:eastAsia="Times New Roman" w:hAnsi="Calibri Light" w:cs="Calibri Light"/>
                <w:color w:val="000000"/>
                <w:sz w:val="20"/>
                <w:szCs w:val="20"/>
                <w:lang w:eastAsia="en-GB"/>
              </w:rPr>
              <w:t xml:space="preserve"> фосилних горива што ће довести до смањења зависности од увоза енергије из трећих земаља)</w:t>
            </w:r>
          </w:p>
        </w:tc>
      </w:tr>
      <w:tr w:rsidR="00854ADA" w:rsidRPr="00FF386D" w14:paraId="0CBB863D" w14:textId="77777777" w:rsidTr="0057310C">
        <w:trPr>
          <w:trHeight w:val="450"/>
        </w:trPr>
        <w:tc>
          <w:tcPr>
            <w:tcW w:w="3329"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166722B9" w14:textId="71F4FA6A"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29"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0DABCE41" w14:textId="6991BACA" w:rsidR="00854ADA" w:rsidRPr="000A2AFE" w:rsidRDefault="00854ADA" w:rsidP="00854ADA">
            <w:pPr>
              <w:numPr>
                <w:ilvl w:val="0"/>
                <w:numId w:val="23"/>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4F647E"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2012/27</w:t>
            </w:r>
          </w:p>
          <w:p w14:paraId="13144C30" w14:textId="2E75D704" w:rsidR="00854ADA" w:rsidRPr="00FF386D" w:rsidRDefault="00854ADA" w:rsidP="00854ADA">
            <w:pPr>
              <w:numPr>
                <w:ilvl w:val="0"/>
                <w:numId w:val="23"/>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4F647E"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2018/2002</w:t>
            </w:r>
          </w:p>
        </w:tc>
      </w:tr>
      <w:tr w:rsidR="00854ADA" w:rsidRPr="00FF386D" w14:paraId="3595CE91" w14:textId="77777777" w:rsidTr="0057310C">
        <w:trPr>
          <w:trHeight w:val="450"/>
        </w:trPr>
        <w:tc>
          <w:tcPr>
            <w:tcW w:w="3329" w:type="dxa"/>
            <w:vMerge/>
            <w:tcBorders>
              <w:top w:val="nil"/>
              <w:left w:val="single" w:sz="8" w:space="0" w:color="auto"/>
              <w:bottom w:val="single" w:sz="8" w:space="0" w:color="000000"/>
              <w:right w:val="single" w:sz="8" w:space="0" w:color="auto"/>
            </w:tcBorders>
            <w:vAlign w:val="center"/>
            <w:hideMark/>
          </w:tcPr>
          <w:p w14:paraId="1119798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9" w:type="dxa"/>
            <w:gridSpan w:val="3"/>
            <w:vMerge/>
            <w:tcBorders>
              <w:top w:val="single" w:sz="8" w:space="0" w:color="auto"/>
              <w:left w:val="single" w:sz="8" w:space="0" w:color="auto"/>
              <w:bottom w:val="single" w:sz="8" w:space="0" w:color="000000"/>
              <w:right w:val="single" w:sz="8" w:space="0" w:color="000000"/>
            </w:tcBorders>
            <w:vAlign w:val="center"/>
            <w:hideMark/>
          </w:tcPr>
          <w:p w14:paraId="1956E4D7"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p>
        </w:tc>
      </w:tr>
      <w:tr w:rsidR="00854ADA" w:rsidRPr="00FF386D" w14:paraId="57340A10" w14:textId="77777777" w:rsidTr="0057310C">
        <w:trPr>
          <w:trHeight w:val="450"/>
        </w:trPr>
        <w:tc>
          <w:tcPr>
            <w:tcW w:w="3329" w:type="dxa"/>
            <w:vMerge/>
            <w:tcBorders>
              <w:top w:val="nil"/>
              <w:left w:val="single" w:sz="8" w:space="0" w:color="auto"/>
              <w:bottom w:val="single" w:sz="8" w:space="0" w:color="000000"/>
              <w:right w:val="single" w:sz="8" w:space="0" w:color="auto"/>
            </w:tcBorders>
            <w:vAlign w:val="center"/>
            <w:hideMark/>
          </w:tcPr>
          <w:p w14:paraId="4F226EE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29" w:type="dxa"/>
            <w:gridSpan w:val="3"/>
            <w:vMerge/>
            <w:tcBorders>
              <w:top w:val="single" w:sz="8" w:space="0" w:color="auto"/>
              <w:left w:val="single" w:sz="8" w:space="0" w:color="auto"/>
              <w:bottom w:val="single" w:sz="8" w:space="0" w:color="000000"/>
              <w:right w:val="single" w:sz="8" w:space="0" w:color="000000"/>
            </w:tcBorders>
            <w:vAlign w:val="center"/>
            <w:hideMark/>
          </w:tcPr>
          <w:p w14:paraId="7706B3FE"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p>
        </w:tc>
      </w:tr>
      <w:tr w:rsidR="00854ADA" w:rsidRPr="00FF386D" w14:paraId="41170F41" w14:textId="77777777" w:rsidTr="0057310C">
        <w:trPr>
          <w:trHeight w:val="421"/>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0272EC2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0DDA033D" w14:textId="77777777" w:rsidR="00854ADA" w:rsidRPr="00FF386D" w:rsidRDefault="00854ADA" w:rsidP="00854ADA">
            <w:pPr>
              <w:numPr>
                <w:ilvl w:val="0"/>
                <w:numId w:val="2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становању и одржавању зграда</w:t>
            </w:r>
          </w:p>
          <w:p w14:paraId="50A40C8C" w14:textId="77777777" w:rsidR="00854ADA" w:rsidRPr="00FF386D" w:rsidRDefault="00854ADA" w:rsidP="00854ADA">
            <w:pPr>
              <w:numPr>
                <w:ilvl w:val="0"/>
                <w:numId w:val="2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Дугорочна стратегија за подстицање улагања у обнову националног фонда</w:t>
            </w:r>
            <w:r w:rsidR="003E328C" w:rsidRPr="00FF386D">
              <w:rPr>
                <w:rFonts w:ascii="Calibri Light" w:eastAsia="Times New Roman" w:hAnsi="Calibri Light" w:cs="Calibri Light"/>
                <w:color w:val="000000"/>
                <w:sz w:val="20"/>
                <w:szCs w:val="20"/>
                <w:lang w:eastAsia="en-GB"/>
              </w:rPr>
              <w:t xml:space="preserve"> з</w:t>
            </w:r>
            <w:r w:rsidRPr="00FF386D">
              <w:rPr>
                <w:rFonts w:ascii="Calibri Light" w:eastAsia="Times New Roman" w:hAnsi="Calibri Light" w:cs="Calibri Light"/>
                <w:color w:val="000000"/>
                <w:sz w:val="20"/>
                <w:szCs w:val="20"/>
                <w:lang w:eastAsia="en-GB"/>
              </w:rPr>
              <w:t>града</w:t>
            </w:r>
          </w:p>
          <w:p w14:paraId="7FBAECB0" w14:textId="67865FA6" w:rsidR="004F647E" w:rsidRPr="00FF386D" w:rsidRDefault="004F647E" w:rsidP="00854ADA">
            <w:pPr>
              <w:numPr>
                <w:ilvl w:val="0"/>
                <w:numId w:val="2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Правилник о енергетској ефикасности у зградама</w:t>
            </w:r>
          </w:p>
        </w:tc>
      </w:tr>
      <w:tr w:rsidR="00854ADA" w:rsidRPr="00FF386D" w14:paraId="42496F51"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2CB0F91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1C4FF3D2" w14:textId="3BD33E4A"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 xml:space="preserve">Биће </w:t>
            </w:r>
            <w:r w:rsidR="005F17E5" w:rsidRPr="00FF386D">
              <w:rPr>
                <w:rFonts w:ascii="Calibri Light" w:eastAsia="Times New Roman" w:hAnsi="Calibri Light" w:cs="Calibri Light"/>
                <w:color w:val="000000"/>
                <w:sz w:val="20"/>
                <w:szCs w:val="20"/>
                <w:lang w:eastAsia="en-GB"/>
              </w:rPr>
              <w:t>обухваћен</w:t>
            </w:r>
            <w:r w:rsidR="005F17E5">
              <w:rPr>
                <w:rFonts w:ascii="Calibri Light" w:eastAsia="Times New Roman" w:hAnsi="Calibri Light" w:cs="Calibri Light"/>
                <w:color w:val="000000"/>
                <w:sz w:val="20"/>
                <w:szCs w:val="20"/>
                <w:lang w:eastAsia="en-GB"/>
              </w:rPr>
              <w:t>и</w:t>
            </w:r>
            <w:r w:rsidR="005F17E5" w:rsidRPr="00FF386D">
              <w:rPr>
                <w:rFonts w:ascii="Calibri Light" w:eastAsia="Times New Roman" w:hAnsi="Calibri Light" w:cs="Calibri Light"/>
                <w:color w:val="000000"/>
                <w:sz w:val="20"/>
                <w:szCs w:val="20"/>
                <w:lang w:eastAsia="en-GB"/>
              </w:rPr>
              <w:t xml:space="preserve"> </w:t>
            </w:r>
            <w:r w:rsidRPr="00FF386D">
              <w:rPr>
                <w:rFonts w:ascii="Calibri Light" w:eastAsia="Times New Roman" w:hAnsi="Calibri Light" w:cs="Calibri Light"/>
                <w:color w:val="000000"/>
                <w:sz w:val="20"/>
                <w:szCs w:val="20"/>
                <w:lang w:eastAsia="en-GB"/>
              </w:rPr>
              <w:t>у МП_ЕЕ1, МП_ЕЕ2 и МП_ЕЕ3</w:t>
            </w:r>
          </w:p>
        </w:tc>
      </w:tr>
      <w:tr w:rsidR="00854ADA" w:rsidRPr="00FF386D" w14:paraId="331B301A" w14:textId="77777777" w:rsidTr="0057310C">
        <w:trPr>
          <w:trHeight w:val="315"/>
        </w:trPr>
        <w:tc>
          <w:tcPr>
            <w:tcW w:w="3329" w:type="dxa"/>
            <w:tcBorders>
              <w:top w:val="nil"/>
              <w:left w:val="single" w:sz="8" w:space="0" w:color="auto"/>
              <w:bottom w:val="single" w:sz="8" w:space="0" w:color="auto"/>
              <w:right w:val="single" w:sz="8" w:space="0" w:color="auto"/>
            </w:tcBorders>
            <w:shd w:val="clear" w:color="000000" w:fill="244062"/>
            <w:vAlign w:val="center"/>
            <w:hideMark/>
          </w:tcPr>
          <w:p w14:paraId="164060D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29" w:type="dxa"/>
            <w:gridSpan w:val="3"/>
            <w:tcBorders>
              <w:top w:val="single" w:sz="8" w:space="0" w:color="auto"/>
              <w:left w:val="nil"/>
              <w:bottom w:val="single" w:sz="8" w:space="0" w:color="auto"/>
              <w:right w:val="single" w:sz="8" w:space="0" w:color="000000"/>
            </w:tcBorders>
            <w:shd w:val="clear" w:color="auto" w:fill="auto"/>
            <w:vAlign w:val="center"/>
            <w:hideMark/>
          </w:tcPr>
          <w:p w14:paraId="3ECF55CB" w14:textId="43A809DE"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4F647E" w:rsidRPr="00FF386D">
              <w:rPr>
                <w:rFonts w:asciiTheme="majorHAnsi" w:eastAsia="Times New Roman" w:hAnsiTheme="majorHAnsi" w:cstheme="majorHAnsi"/>
                <w:color w:val="000000"/>
                <w:sz w:val="20"/>
                <w:szCs w:val="20"/>
                <w:lang w:eastAsia="en-GB"/>
              </w:rPr>
              <w:t>ска и</w:t>
            </w:r>
            <w:r w:rsidRPr="00FF386D">
              <w:rPr>
                <w:rFonts w:asciiTheme="majorHAnsi" w:eastAsia="Times New Roman" w:hAnsiTheme="majorHAnsi" w:cstheme="majorHAnsi"/>
                <w:color w:val="000000"/>
                <w:sz w:val="20"/>
                <w:szCs w:val="20"/>
                <w:lang w:eastAsia="en-GB"/>
              </w:rPr>
              <w:t xml:space="preserve"> сопствена средства</w:t>
            </w:r>
          </w:p>
        </w:tc>
      </w:tr>
    </w:tbl>
    <w:p w14:paraId="351129BE" w14:textId="54E73B68" w:rsidR="00854ADA" w:rsidRPr="00FF386D" w:rsidRDefault="00854ADA">
      <w:pPr>
        <w:pStyle w:val="ListParagraph"/>
        <w:keepNext/>
        <w:keepLines/>
        <w:numPr>
          <w:ilvl w:val="0"/>
          <w:numId w:val="281"/>
        </w:numPr>
        <w:spacing w:before="200" w:after="0" w:line="240" w:lineRule="auto"/>
        <w:jc w:val="both"/>
        <w:outlineLvl w:val="3"/>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lastRenderedPageBreak/>
        <w:t>Опис политик</w:t>
      </w:r>
      <w:r w:rsidR="007E6240" w:rsidRPr="000A2AFE">
        <w:rPr>
          <w:rFonts w:asciiTheme="majorHAnsi" w:eastAsiaTheme="majorEastAsia" w:hAnsiTheme="majorHAnsi" w:cstheme="majorBidi"/>
          <w:b/>
          <w:bCs/>
          <w:iCs/>
          <w:color w:val="01406B"/>
          <w:szCs w:val="24"/>
        </w:rPr>
        <w:t>a</w:t>
      </w:r>
      <w:r w:rsidRPr="00FF386D">
        <w:rPr>
          <w:rFonts w:asciiTheme="majorHAnsi" w:eastAsiaTheme="majorEastAsia" w:hAnsiTheme="majorHAnsi" w:cstheme="majorBidi"/>
          <w:b/>
          <w:bCs/>
          <w:iCs/>
          <w:color w:val="01406B"/>
          <w:szCs w:val="24"/>
        </w:rPr>
        <w:t xml:space="preserve"> и мера за промовисање енергетских услуга у јавном сектору и мера за уклањање регулаторних и нерегулато</w:t>
      </w:r>
      <w:r w:rsidR="00BD495D" w:rsidRPr="00FF386D">
        <w:rPr>
          <w:rFonts w:asciiTheme="majorHAnsi" w:eastAsiaTheme="majorEastAsia" w:hAnsiTheme="majorHAnsi" w:cstheme="majorBidi"/>
          <w:b/>
          <w:bCs/>
          <w:iCs/>
          <w:color w:val="01406B"/>
          <w:szCs w:val="24"/>
        </w:rPr>
        <w:t>рних препрека</w:t>
      </w:r>
      <w:r w:rsidRPr="00FF386D">
        <w:rPr>
          <w:rFonts w:asciiTheme="majorHAnsi" w:eastAsiaTheme="majorEastAsia" w:hAnsiTheme="majorHAnsi" w:cstheme="majorBidi"/>
          <w:b/>
          <w:bCs/>
          <w:iCs/>
          <w:color w:val="01406B"/>
          <w:szCs w:val="24"/>
        </w:rPr>
        <w:t xml:space="preserve"> које </w:t>
      </w:r>
      <w:r w:rsidR="00DF73A5" w:rsidRPr="00FF386D">
        <w:rPr>
          <w:rFonts w:asciiTheme="majorHAnsi" w:eastAsiaTheme="majorEastAsia" w:hAnsiTheme="majorHAnsi" w:cstheme="majorBidi"/>
          <w:b/>
          <w:bCs/>
          <w:iCs/>
          <w:color w:val="01406B"/>
          <w:szCs w:val="24"/>
        </w:rPr>
        <w:t>онемогућавају</w:t>
      </w:r>
      <w:r w:rsidRPr="00FF386D">
        <w:rPr>
          <w:rFonts w:asciiTheme="majorHAnsi" w:eastAsiaTheme="majorEastAsia" w:hAnsiTheme="majorHAnsi" w:cstheme="majorBidi"/>
          <w:b/>
          <w:bCs/>
          <w:iCs/>
          <w:color w:val="01406B"/>
          <w:szCs w:val="24"/>
        </w:rPr>
        <w:t xml:space="preserve"> уговарања енергетских услуга са загарантованим учинком и других модела услуга енергетске ефикасности</w:t>
      </w:r>
    </w:p>
    <w:p w14:paraId="0457F649" w14:textId="45DEEE94"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Биће успостављен </w:t>
      </w:r>
      <w:r w:rsidR="00BD495D" w:rsidRPr="00FF386D">
        <w:rPr>
          <w:rFonts w:asciiTheme="majorHAnsi" w:hAnsiTheme="majorHAnsi" w:cstheme="majorHAnsi"/>
          <w:color w:val="000000"/>
        </w:rPr>
        <w:t>свеобухватан</w:t>
      </w:r>
      <w:r w:rsidRPr="00FF386D">
        <w:rPr>
          <w:rFonts w:asciiTheme="majorHAnsi" w:hAnsiTheme="majorHAnsi" w:cstheme="majorHAnsi"/>
          <w:color w:val="000000"/>
        </w:rPr>
        <w:t xml:space="preserve"> оквир за промо</w:t>
      </w:r>
      <w:r w:rsidR="00BD495D" w:rsidRPr="00FF386D">
        <w:rPr>
          <w:rFonts w:asciiTheme="majorHAnsi" w:hAnsiTheme="majorHAnsi" w:cstheme="majorHAnsi"/>
          <w:color w:val="000000"/>
        </w:rPr>
        <w:t>висање</w:t>
      </w:r>
      <w:r w:rsidRPr="00FF386D">
        <w:rPr>
          <w:rFonts w:asciiTheme="majorHAnsi" w:hAnsiTheme="majorHAnsi" w:cstheme="majorHAnsi"/>
          <w:color w:val="000000"/>
        </w:rPr>
        <w:t xml:space="preserve"> енергетских услуга са нагласком на уклањању потенцијалних </w:t>
      </w:r>
      <w:r w:rsidR="00BD495D" w:rsidRPr="00FF386D">
        <w:rPr>
          <w:rFonts w:asciiTheme="majorHAnsi" w:hAnsiTheme="majorHAnsi" w:cstheme="majorHAnsi"/>
          <w:color w:val="000000"/>
        </w:rPr>
        <w:t>препрека</w:t>
      </w:r>
      <w:r w:rsidRPr="00FF386D">
        <w:rPr>
          <w:rFonts w:asciiTheme="majorHAnsi" w:hAnsiTheme="majorHAnsi" w:cstheme="majorHAnsi"/>
          <w:color w:val="000000"/>
        </w:rPr>
        <w:t xml:space="preserve">. </w:t>
      </w:r>
      <w:r w:rsidR="00BD495D" w:rsidRPr="00FF386D">
        <w:rPr>
          <w:rFonts w:asciiTheme="majorHAnsi" w:hAnsiTheme="majorHAnsi" w:cstheme="majorHAnsi"/>
          <w:color w:val="000000"/>
        </w:rPr>
        <w:t xml:space="preserve">Биће подстицани </w:t>
      </w:r>
      <w:r w:rsidRPr="00FF386D">
        <w:rPr>
          <w:rFonts w:asciiTheme="majorHAnsi" w:hAnsiTheme="majorHAnsi" w:cstheme="majorHAnsi"/>
          <w:color w:val="000000"/>
        </w:rPr>
        <w:t xml:space="preserve">стандардни уговори </w:t>
      </w:r>
      <w:r w:rsidR="00BD495D" w:rsidRPr="00FF386D">
        <w:rPr>
          <w:rFonts w:asciiTheme="majorHAnsi" w:hAnsiTheme="majorHAnsi" w:cstheme="majorHAnsi"/>
          <w:color w:val="000000"/>
        </w:rPr>
        <w:t>заједно са</w:t>
      </w:r>
      <w:r w:rsidRPr="00FF386D">
        <w:rPr>
          <w:rFonts w:asciiTheme="majorHAnsi" w:hAnsiTheme="majorHAnsi" w:cstheme="majorHAnsi"/>
          <w:color w:val="000000"/>
        </w:rPr>
        <w:t xml:space="preserve"> смерницама, чи</w:t>
      </w:r>
      <w:r w:rsidR="000C57F5" w:rsidRPr="00FF386D">
        <w:rPr>
          <w:rFonts w:asciiTheme="majorHAnsi" w:hAnsiTheme="majorHAnsi" w:cstheme="majorHAnsi"/>
          <w:color w:val="000000"/>
        </w:rPr>
        <w:t>м</w:t>
      </w:r>
      <w:r w:rsidRPr="00FF386D">
        <w:rPr>
          <w:rFonts w:asciiTheme="majorHAnsi" w:hAnsiTheme="majorHAnsi" w:cstheme="majorHAnsi"/>
          <w:color w:val="000000"/>
        </w:rPr>
        <w:t xml:space="preserve">е ће се омогућити </w:t>
      </w:r>
      <w:r w:rsidR="00BD495D" w:rsidRPr="00FF386D">
        <w:rPr>
          <w:rFonts w:asciiTheme="majorHAnsi" w:hAnsiTheme="majorHAnsi" w:cstheme="majorHAnsi"/>
          <w:color w:val="000000"/>
        </w:rPr>
        <w:t>развијање</w:t>
      </w:r>
      <w:r w:rsidRPr="00FF386D">
        <w:rPr>
          <w:rFonts w:asciiTheme="majorHAnsi" w:hAnsiTheme="majorHAnsi" w:cstheme="majorHAnsi"/>
          <w:color w:val="000000"/>
        </w:rPr>
        <w:t xml:space="preserve"> и спровођење пројеката енергетске ефикасности </w:t>
      </w:r>
      <w:r w:rsidR="00BD495D" w:rsidRPr="00FF386D">
        <w:rPr>
          <w:rFonts w:asciiTheme="majorHAnsi" w:hAnsiTheme="majorHAnsi" w:cstheme="majorHAnsi"/>
          <w:color w:val="000000"/>
        </w:rPr>
        <w:t>кроз</w:t>
      </w:r>
      <w:r w:rsidRPr="00FF386D">
        <w:rPr>
          <w:rFonts w:asciiTheme="majorHAnsi" w:hAnsiTheme="majorHAnsi" w:cstheme="majorHAnsi"/>
          <w:color w:val="000000"/>
        </w:rPr>
        <w:t xml:space="preserve"> </w:t>
      </w:r>
      <w:r w:rsidR="00BD495D" w:rsidRPr="00FF386D">
        <w:rPr>
          <w:rFonts w:asciiTheme="majorHAnsi" w:hAnsiTheme="majorHAnsi" w:cstheme="majorHAnsi"/>
          <w:color w:val="000000"/>
        </w:rPr>
        <w:t>уговоре</w:t>
      </w:r>
      <w:r w:rsidRPr="00FF386D">
        <w:rPr>
          <w:rFonts w:asciiTheme="majorHAnsi" w:hAnsiTheme="majorHAnsi" w:cstheme="majorHAnsi"/>
          <w:color w:val="000000"/>
        </w:rPr>
        <w:t xml:space="preserve"> о </w:t>
      </w:r>
      <w:r w:rsidR="003E328C" w:rsidRPr="00FF386D">
        <w:rPr>
          <w:rFonts w:asciiTheme="majorHAnsi" w:hAnsiTheme="majorHAnsi" w:cstheme="majorHAnsi"/>
          <w:color w:val="000000"/>
        </w:rPr>
        <w:t>енергетск</w:t>
      </w:r>
      <w:r w:rsidR="000C57F5" w:rsidRPr="00FF386D">
        <w:rPr>
          <w:rFonts w:asciiTheme="majorHAnsi" w:hAnsiTheme="majorHAnsi" w:cstheme="majorHAnsi"/>
          <w:color w:val="000000"/>
        </w:rPr>
        <w:t>ом учинку</w:t>
      </w:r>
      <w:r w:rsidRPr="00FF386D">
        <w:rPr>
          <w:rFonts w:asciiTheme="majorHAnsi" w:hAnsiTheme="majorHAnsi" w:cstheme="majorHAnsi"/>
          <w:color w:val="000000"/>
        </w:rPr>
        <w:t>.</w:t>
      </w:r>
    </w:p>
    <w:p w14:paraId="3D900119" w14:textId="320960D8" w:rsidR="00854ADA" w:rsidRPr="00FF386D" w:rsidRDefault="00BD495D" w:rsidP="00854ADA">
      <w:pPr>
        <w:spacing w:before="160"/>
        <w:jc w:val="both"/>
        <w:rPr>
          <w:rFonts w:asciiTheme="majorHAnsi" w:hAnsiTheme="majorHAnsi" w:cstheme="majorHAnsi"/>
          <w:color w:val="000000"/>
        </w:rPr>
      </w:pPr>
      <w:r w:rsidRPr="00FF386D">
        <w:rPr>
          <w:rFonts w:asciiTheme="majorHAnsi" w:hAnsiTheme="majorHAnsi" w:cstheme="majorHAnsi"/>
          <w:color w:val="000000"/>
        </w:rPr>
        <w:t>Наменски</w:t>
      </w:r>
      <w:r w:rsidR="00854ADA" w:rsidRPr="00FF386D">
        <w:rPr>
          <w:rFonts w:asciiTheme="majorHAnsi" w:hAnsiTheme="majorHAnsi" w:cstheme="majorHAnsi"/>
          <w:color w:val="000000"/>
        </w:rPr>
        <w:t xml:space="preserve"> </w:t>
      </w:r>
      <w:r w:rsidRPr="00FF386D">
        <w:rPr>
          <w:rFonts w:asciiTheme="majorHAnsi" w:hAnsiTheme="majorHAnsi" w:cstheme="majorHAnsi"/>
          <w:color w:val="000000"/>
        </w:rPr>
        <w:t xml:space="preserve">пилот </w:t>
      </w:r>
      <w:r w:rsidR="00854ADA" w:rsidRPr="00FF386D">
        <w:rPr>
          <w:rFonts w:asciiTheme="majorHAnsi" w:hAnsiTheme="majorHAnsi" w:cstheme="majorHAnsi"/>
          <w:color w:val="000000"/>
        </w:rPr>
        <w:t xml:space="preserve">пројекти ће бити осмишљени за обнову јавних зграда </w:t>
      </w:r>
      <w:r w:rsidRPr="00FF386D">
        <w:rPr>
          <w:rFonts w:asciiTheme="majorHAnsi" w:hAnsiTheme="majorHAnsi" w:cstheme="majorHAnsi"/>
          <w:color w:val="000000"/>
        </w:rPr>
        <w:t xml:space="preserve">и унапређење уличне расвете преко </w:t>
      </w:r>
      <w:r w:rsidR="00854ADA" w:rsidRPr="00FF386D">
        <w:rPr>
          <w:rFonts w:asciiTheme="majorHAnsi" w:hAnsiTheme="majorHAnsi" w:cstheme="majorHAnsi"/>
          <w:color w:val="000000"/>
        </w:rPr>
        <w:t>уговора о енергетск</w:t>
      </w:r>
      <w:r w:rsidR="000C57F5" w:rsidRPr="00FF386D">
        <w:rPr>
          <w:rFonts w:asciiTheme="majorHAnsi" w:hAnsiTheme="majorHAnsi" w:cstheme="majorHAnsi"/>
          <w:color w:val="000000"/>
        </w:rPr>
        <w:t>ом учинку</w:t>
      </w:r>
      <w:r w:rsidR="00DF73A5" w:rsidRPr="00FF386D">
        <w:rPr>
          <w:rFonts w:asciiTheme="majorHAnsi" w:hAnsiTheme="majorHAnsi" w:cstheme="majorHAnsi"/>
          <w:color w:val="000000"/>
        </w:rPr>
        <w:t xml:space="preserve">, </w:t>
      </w:r>
      <w:r w:rsidR="00854ADA" w:rsidRPr="00FF386D">
        <w:rPr>
          <w:rFonts w:asciiTheme="majorHAnsi" w:hAnsiTheme="majorHAnsi" w:cstheme="majorHAnsi"/>
          <w:color w:val="000000"/>
        </w:rPr>
        <w:t>такође и како би се створили потребни услови за п</w:t>
      </w:r>
      <w:r w:rsidRPr="00FF386D">
        <w:rPr>
          <w:rFonts w:asciiTheme="majorHAnsi" w:hAnsiTheme="majorHAnsi" w:cstheme="majorHAnsi"/>
          <w:color w:val="000000"/>
        </w:rPr>
        <w:t>одстицање</w:t>
      </w:r>
      <w:r w:rsidR="00854ADA" w:rsidRPr="00FF386D">
        <w:rPr>
          <w:rFonts w:asciiTheme="majorHAnsi" w:hAnsiTheme="majorHAnsi" w:cstheme="majorHAnsi"/>
          <w:color w:val="000000"/>
        </w:rPr>
        <w:t xml:space="preserve"> енергетских услуга у јавном сектору. </w:t>
      </w:r>
      <w:r w:rsidRPr="00FF386D">
        <w:rPr>
          <w:rFonts w:asciiTheme="majorHAnsi" w:hAnsiTheme="majorHAnsi" w:cstheme="majorHAnsi"/>
          <w:color w:val="000000"/>
        </w:rPr>
        <w:t>Потребно је да се обезбеди усклађеност са п</w:t>
      </w:r>
      <w:r w:rsidR="00854ADA" w:rsidRPr="00FF386D">
        <w:rPr>
          <w:rFonts w:asciiTheme="majorHAnsi" w:hAnsiTheme="majorHAnsi" w:cstheme="majorHAnsi"/>
          <w:color w:val="000000"/>
        </w:rPr>
        <w:t>оступци</w:t>
      </w:r>
      <w:r w:rsidR="00DF73A5" w:rsidRPr="00FF386D">
        <w:rPr>
          <w:rFonts w:asciiTheme="majorHAnsi" w:hAnsiTheme="majorHAnsi" w:cstheme="majorHAnsi"/>
          <w:color w:val="000000"/>
        </w:rPr>
        <w:t>ма</w:t>
      </w:r>
      <w:r w:rsidR="00854ADA" w:rsidRPr="00FF386D">
        <w:rPr>
          <w:rFonts w:asciiTheme="majorHAnsi" w:hAnsiTheme="majorHAnsi" w:cstheme="majorHAnsi"/>
          <w:color w:val="000000"/>
        </w:rPr>
        <w:t xml:space="preserve"> јавних набавки </w:t>
      </w:r>
      <w:r w:rsidRPr="00FF386D">
        <w:rPr>
          <w:rFonts w:asciiTheme="majorHAnsi" w:hAnsiTheme="majorHAnsi" w:cstheme="majorHAnsi"/>
          <w:color w:val="000000"/>
        </w:rPr>
        <w:t>у с</w:t>
      </w:r>
      <w:r w:rsidR="0098147A" w:rsidRPr="00FF386D">
        <w:rPr>
          <w:rFonts w:asciiTheme="majorHAnsi" w:hAnsiTheme="majorHAnsi" w:cstheme="majorHAnsi"/>
          <w:color w:val="000000"/>
        </w:rPr>
        <w:t>к</w:t>
      </w:r>
      <w:r w:rsidRPr="00FF386D">
        <w:rPr>
          <w:rFonts w:asciiTheme="majorHAnsi" w:hAnsiTheme="majorHAnsi" w:cstheme="majorHAnsi"/>
          <w:color w:val="000000"/>
        </w:rPr>
        <w:t xml:space="preserve">ладу са Законом о енергетској ефикасности </w:t>
      </w:r>
      <w:r w:rsidR="0098147A" w:rsidRPr="00FF386D">
        <w:rPr>
          <w:rFonts w:asciiTheme="majorHAnsi" w:hAnsiTheme="majorHAnsi" w:cstheme="majorHAnsi"/>
          <w:color w:val="000000"/>
        </w:rPr>
        <w:t xml:space="preserve">и </w:t>
      </w:r>
      <w:r w:rsidRPr="00FF386D">
        <w:rPr>
          <w:rFonts w:asciiTheme="majorHAnsi" w:hAnsiTheme="majorHAnsi" w:cstheme="majorHAnsi"/>
          <w:color w:val="000000"/>
        </w:rPr>
        <w:t xml:space="preserve">рационалној употреби енергије, </w:t>
      </w:r>
      <w:r w:rsidR="00854ADA" w:rsidRPr="00FF386D">
        <w:rPr>
          <w:rFonts w:asciiTheme="majorHAnsi" w:hAnsiTheme="majorHAnsi" w:cstheme="majorHAnsi"/>
          <w:color w:val="000000"/>
        </w:rPr>
        <w:t xml:space="preserve">тако да обухвате </w:t>
      </w:r>
      <w:r w:rsidR="003F7364" w:rsidRPr="00FF386D">
        <w:rPr>
          <w:rFonts w:asciiTheme="majorHAnsi" w:hAnsiTheme="majorHAnsi" w:cstheme="majorHAnsi"/>
          <w:color w:val="000000"/>
        </w:rPr>
        <w:t xml:space="preserve">обрасце </w:t>
      </w:r>
      <w:r w:rsidR="00854ADA" w:rsidRPr="00FF386D">
        <w:rPr>
          <w:rFonts w:asciiTheme="majorHAnsi" w:hAnsiTheme="majorHAnsi" w:cstheme="majorHAnsi"/>
          <w:color w:val="000000"/>
        </w:rPr>
        <w:t>уговор</w:t>
      </w:r>
      <w:r w:rsidR="00DF73A5" w:rsidRPr="00FF386D">
        <w:rPr>
          <w:rFonts w:asciiTheme="majorHAnsi" w:hAnsiTheme="majorHAnsi" w:cstheme="majorHAnsi"/>
          <w:color w:val="000000"/>
        </w:rPr>
        <w:t>а</w:t>
      </w:r>
      <w:r w:rsidR="00854ADA" w:rsidRPr="00FF386D">
        <w:rPr>
          <w:rFonts w:asciiTheme="majorHAnsi" w:hAnsiTheme="majorHAnsi" w:cstheme="majorHAnsi"/>
          <w:color w:val="000000"/>
        </w:rPr>
        <w:t xml:space="preserve"> и формулисане смернице што ће олакшати реализацију планираних програма.</w:t>
      </w:r>
    </w:p>
    <w:p w14:paraId="5886E6DC" w14:textId="5C41575C"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Поред тога, биће покренути програми </w:t>
      </w:r>
      <w:r w:rsidR="00BD495D" w:rsidRPr="00FF386D">
        <w:rPr>
          <w:rFonts w:asciiTheme="majorHAnsi" w:hAnsiTheme="majorHAnsi" w:cstheme="majorHAnsi"/>
          <w:color w:val="000000"/>
        </w:rPr>
        <w:t>усмереног</w:t>
      </w:r>
      <w:r w:rsidRPr="00FF386D">
        <w:rPr>
          <w:rFonts w:asciiTheme="majorHAnsi" w:hAnsiTheme="majorHAnsi" w:cstheme="majorHAnsi"/>
          <w:color w:val="000000"/>
        </w:rPr>
        <w:t xml:space="preserve"> финансирања у одређеним секторима финалне потрошње енергије, као што су индустријски и комерцијални сектори, узимајући у обзир резултате демонстрационих пројеката. Биће примењени додатни инструменти финансирања, као што је давање кредита са ниским каматама или гаранција пружаоцима услуга за уштеду енергије како би се олакшао несметан приступ финансирању и реализацији пројеката енергетске </w:t>
      </w:r>
      <w:r w:rsidR="003E328C" w:rsidRPr="00FF386D">
        <w:rPr>
          <w:rFonts w:asciiTheme="majorHAnsi" w:hAnsiTheme="majorHAnsi" w:cstheme="majorHAnsi"/>
          <w:color w:val="000000"/>
        </w:rPr>
        <w:t>ефикасности</w:t>
      </w:r>
      <w:r w:rsidRPr="00FF386D">
        <w:rPr>
          <w:rFonts w:asciiTheme="majorHAnsi" w:hAnsiTheme="majorHAnsi" w:cstheme="majorHAnsi"/>
          <w:color w:val="000000"/>
        </w:rPr>
        <w:t xml:space="preserve"> у терцијарном и индустријском сектору.</w:t>
      </w:r>
    </w:p>
    <w:p w14:paraId="4A536A67" w14:textId="313515A9"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На крају, биће одређени различити органи за праћење законодавства које се </w:t>
      </w:r>
      <w:r w:rsidR="00DF73A5" w:rsidRPr="00FF386D">
        <w:rPr>
          <w:rFonts w:asciiTheme="majorHAnsi" w:hAnsiTheme="majorHAnsi" w:cstheme="majorHAnsi"/>
          <w:color w:val="000000"/>
        </w:rPr>
        <w:t>односи на</w:t>
      </w:r>
      <w:r w:rsidRPr="00FF386D">
        <w:rPr>
          <w:rFonts w:asciiTheme="majorHAnsi" w:hAnsiTheme="majorHAnsi" w:cstheme="majorHAnsi"/>
          <w:color w:val="000000"/>
        </w:rPr>
        <w:t xml:space="preserve"> уговор</w:t>
      </w:r>
      <w:r w:rsidR="00DF73A5" w:rsidRPr="00FF386D">
        <w:rPr>
          <w:rFonts w:asciiTheme="majorHAnsi" w:hAnsiTheme="majorHAnsi" w:cstheme="majorHAnsi"/>
          <w:color w:val="000000"/>
        </w:rPr>
        <w:t>е</w:t>
      </w:r>
      <w:r w:rsidRPr="00FF386D">
        <w:rPr>
          <w:rFonts w:asciiTheme="majorHAnsi" w:hAnsiTheme="majorHAnsi" w:cstheme="majorHAnsi"/>
          <w:color w:val="000000"/>
        </w:rPr>
        <w:t xml:space="preserve"> о енергетск</w:t>
      </w:r>
      <w:r w:rsidR="00BD495D" w:rsidRPr="00FF386D">
        <w:rPr>
          <w:rFonts w:asciiTheme="majorHAnsi" w:hAnsiTheme="majorHAnsi" w:cstheme="majorHAnsi"/>
          <w:color w:val="000000"/>
        </w:rPr>
        <w:t>ом учинку</w:t>
      </w:r>
      <w:r w:rsidRPr="00FF386D">
        <w:rPr>
          <w:rFonts w:asciiTheme="majorHAnsi" w:hAnsiTheme="majorHAnsi" w:cstheme="majorHAnsi"/>
          <w:color w:val="000000"/>
        </w:rPr>
        <w:t xml:space="preserve">, </w:t>
      </w:r>
      <w:r w:rsidR="00DF73A5" w:rsidRPr="00FF386D">
        <w:rPr>
          <w:rFonts w:asciiTheme="majorHAnsi" w:hAnsiTheme="majorHAnsi" w:cstheme="majorHAnsi"/>
          <w:color w:val="000000"/>
        </w:rPr>
        <w:t>и тиме</w:t>
      </w:r>
      <w:r w:rsidRPr="00FF386D">
        <w:rPr>
          <w:rFonts w:asciiTheme="majorHAnsi" w:hAnsiTheme="majorHAnsi" w:cstheme="majorHAnsi"/>
          <w:color w:val="000000"/>
        </w:rPr>
        <w:t xml:space="preserve"> осигурати отклањање потенцијалних тржишних </w:t>
      </w:r>
      <w:r w:rsidR="00DF73A5" w:rsidRPr="00FF386D">
        <w:rPr>
          <w:rFonts w:asciiTheme="majorHAnsi" w:hAnsiTheme="majorHAnsi" w:cstheme="majorHAnsi"/>
          <w:color w:val="000000"/>
        </w:rPr>
        <w:t>препрека</w:t>
      </w:r>
      <w:r w:rsidRPr="00FF386D">
        <w:rPr>
          <w:rFonts w:asciiTheme="majorHAnsi" w:hAnsiTheme="majorHAnsi" w:cstheme="majorHAnsi"/>
          <w:color w:val="000000"/>
        </w:rPr>
        <w:t>, преузимајући улогу независног механизма</w:t>
      </w:r>
      <w:r w:rsidR="00DF73A5" w:rsidRPr="00FF386D">
        <w:rPr>
          <w:rFonts w:asciiTheme="majorHAnsi" w:hAnsiTheme="majorHAnsi" w:cstheme="majorHAnsi"/>
          <w:color w:val="000000"/>
        </w:rPr>
        <w:t>,</w:t>
      </w:r>
      <w:r w:rsidRPr="00FF386D">
        <w:rPr>
          <w:rFonts w:asciiTheme="majorHAnsi" w:hAnsiTheme="majorHAnsi" w:cstheme="majorHAnsi"/>
          <w:color w:val="000000"/>
        </w:rPr>
        <w:t xml:space="preserve"> као што је омбудсман</w:t>
      </w:r>
      <w:r w:rsidR="00BD495D" w:rsidRPr="00FF386D">
        <w:rPr>
          <w:rFonts w:asciiTheme="majorHAnsi" w:hAnsiTheme="majorHAnsi" w:cstheme="majorHAnsi"/>
          <w:color w:val="000000"/>
        </w:rPr>
        <w:t xml:space="preserve">, </w:t>
      </w:r>
      <w:r w:rsidRPr="00FF386D">
        <w:rPr>
          <w:rFonts w:asciiTheme="majorHAnsi" w:hAnsiTheme="majorHAnsi" w:cstheme="majorHAnsi"/>
          <w:color w:val="000000"/>
        </w:rPr>
        <w:t xml:space="preserve">за ефикасно решавање жалби и вансудско решавање спорова који произилазе из уговора о енергетским услугама, као и улогу независног тржишног посредника како би се </w:t>
      </w:r>
      <w:r w:rsidR="00DF73A5" w:rsidRPr="00FF386D">
        <w:rPr>
          <w:rFonts w:asciiTheme="majorHAnsi" w:hAnsiTheme="majorHAnsi" w:cstheme="majorHAnsi"/>
          <w:color w:val="000000"/>
        </w:rPr>
        <w:t>подстицао</w:t>
      </w:r>
      <w:r w:rsidRPr="00FF386D">
        <w:rPr>
          <w:rFonts w:asciiTheme="majorHAnsi" w:hAnsiTheme="majorHAnsi" w:cstheme="majorHAnsi"/>
          <w:color w:val="000000"/>
        </w:rPr>
        <w:t xml:space="preserve"> развој тржишта на страни потражње и понуде</w:t>
      </w:r>
      <w:r w:rsidR="00DF73A5" w:rsidRPr="00FF386D">
        <w:rPr>
          <w:rFonts w:asciiTheme="majorHAnsi" w:hAnsiTheme="majorHAnsi" w:cstheme="majorHAnsi"/>
          <w:color w:val="000000"/>
        </w:rPr>
        <w:t xml:space="preserve"> у складу са одредбама</w:t>
      </w:r>
      <w:r w:rsidRPr="00FF386D">
        <w:rPr>
          <w:rFonts w:asciiTheme="majorHAnsi" w:hAnsiTheme="majorHAnsi" w:cstheme="majorHAnsi"/>
          <w:color w:val="000000"/>
        </w:rPr>
        <w:t xml:space="preserve"> </w:t>
      </w:r>
      <w:r w:rsidR="00BD495D" w:rsidRPr="00FF386D">
        <w:rPr>
          <w:rFonts w:asciiTheme="majorHAnsi" w:hAnsiTheme="majorHAnsi" w:cstheme="majorHAnsi"/>
          <w:color w:val="000000"/>
        </w:rPr>
        <w:t>ДЕЕ</w:t>
      </w:r>
      <w:r w:rsidRPr="00FF386D">
        <w:rPr>
          <w:rFonts w:asciiTheme="majorHAnsi" w:hAnsiTheme="majorHAnsi" w:cstheme="majorHAnsi"/>
          <w:color w:val="000000"/>
        </w:rPr>
        <w:t>.</w:t>
      </w:r>
    </w:p>
    <w:p w14:paraId="7D25BB25"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08"/>
        <w:gridCol w:w="1007"/>
        <w:gridCol w:w="942"/>
        <w:gridCol w:w="4201"/>
      </w:tblGrid>
      <w:tr w:rsidR="00854ADA" w:rsidRPr="00FF386D" w14:paraId="18E3B86D" w14:textId="77777777" w:rsidTr="0057310C">
        <w:trPr>
          <w:trHeight w:val="780"/>
        </w:trPr>
        <w:tc>
          <w:tcPr>
            <w:tcW w:w="3308"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2B897074"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52ABEF47"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МП_ЕЕ26</w:t>
            </w:r>
          </w:p>
        </w:tc>
        <w:tc>
          <w:tcPr>
            <w:tcW w:w="942" w:type="dxa"/>
            <w:tcBorders>
              <w:top w:val="single" w:sz="8" w:space="0" w:color="auto"/>
              <w:left w:val="nil"/>
              <w:bottom w:val="single" w:sz="8" w:space="0" w:color="auto"/>
              <w:right w:val="single" w:sz="8" w:space="0" w:color="auto"/>
            </w:tcBorders>
            <w:shd w:val="clear" w:color="000000" w:fill="244062"/>
            <w:vAlign w:val="center"/>
            <w:hideMark/>
          </w:tcPr>
          <w:p w14:paraId="2907482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01" w:type="dxa"/>
            <w:tcBorders>
              <w:top w:val="single" w:sz="8" w:space="0" w:color="auto"/>
              <w:left w:val="nil"/>
              <w:bottom w:val="single" w:sz="8" w:space="0" w:color="auto"/>
              <w:right w:val="single" w:sz="8" w:space="0" w:color="auto"/>
            </w:tcBorders>
            <w:shd w:val="clear" w:color="auto" w:fill="E7E6E6" w:themeFill="background2"/>
            <w:vAlign w:val="center"/>
            <w:hideMark/>
          </w:tcPr>
          <w:p w14:paraId="17685724" w14:textId="11FCB9D9"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 xml:space="preserve">Промовисање енергетских услуга и уговора </w:t>
            </w:r>
            <w:r w:rsidR="000C57F5" w:rsidRPr="00FF386D">
              <w:rPr>
                <w:rFonts w:ascii="Calibri Light" w:hAnsi="Calibri Light"/>
                <w:b/>
                <w:sz w:val="20"/>
              </w:rPr>
              <w:t xml:space="preserve">о </w:t>
            </w:r>
            <w:r w:rsidRPr="00FF386D">
              <w:rPr>
                <w:rFonts w:ascii="Calibri Light" w:hAnsi="Calibri Light"/>
                <w:b/>
                <w:sz w:val="20"/>
              </w:rPr>
              <w:t>енергетск</w:t>
            </w:r>
            <w:r w:rsidR="000C57F5" w:rsidRPr="00FF386D">
              <w:rPr>
                <w:rFonts w:ascii="Calibri Light" w:hAnsi="Calibri Light"/>
                <w:b/>
                <w:sz w:val="20"/>
              </w:rPr>
              <w:t>ом учинку</w:t>
            </w:r>
            <w:r w:rsidRPr="00FF386D">
              <w:rPr>
                <w:rFonts w:ascii="Calibri Light" w:hAnsi="Calibri Light"/>
                <w:b/>
                <w:sz w:val="20"/>
              </w:rPr>
              <w:t xml:space="preserve"> </w:t>
            </w:r>
            <w:r w:rsidR="000C57F5" w:rsidRPr="00FF386D">
              <w:rPr>
                <w:rFonts w:ascii="Calibri Light" w:hAnsi="Calibri Light"/>
                <w:b/>
                <w:sz w:val="20"/>
              </w:rPr>
              <w:t xml:space="preserve">преко </w:t>
            </w:r>
            <w:r w:rsidR="003F7364" w:rsidRPr="00FF386D">
              <w:rPr>
                <w:rFonts w:ascii="Calibri Light" w:hAnsi="Calibri Light"/>
                <w:b/>
                <w:sz w:val="20"/>
              </w:rPr>
              <w:t>усмерених</w:t>
            </w:r>
            <w:r w:rsidRPr="00FF386D">
              <w:rPr>
                <w:rFonts w:ascii="Calibri Light" w:hAnsi="Calibri Light"/>
                <w:b/>
                <w:sz w:val="20"/>
              </w:rPr>
              <w:t xml:space="preserve"> програм</w:t>
            </w:r>
            <w:r w:rsidR="000C57F5" w:rsidRPr="00FF386D">
              <w:rPr>
                <w:rFonts w:ascii="Calibri Light" w:hAnsi="Calibri Light"/>
                <w:b/>
                <w:sz w:val="20"/>
              </w:rPr>
              <w:t>а</w:t>
            </w:r>
            <w:r w:rsidRPr="00FF386D">
              <w:rPr>
                <w:rFonts w:ascii="Calibri Light" w:hAnsi="Calibri Light"/>
                <w:b/>
                <w:sz w:val="20"/>
              </w:rPr>
              <w:t xml:space="preserve"> финансирања</w:t>
            </w:r>
          </w:p>
        </w:tc>
      </w:tr>
      <w:tr w:rsidR="00854ADA" w:rsidRPr="00FF386D" w14:paraId="770D482A" w14:textId="77777777" w:rsidTr="0057310C">
        <w:trPr>
          <w:trHeight w:val="550"/>
        </w:trPr>
        <w:tc>
          <w:tcPr>
            <w:tcW w:w="3308" w:type="dxa"/>
            <w:tcBorders>
              <w:top w:val="nil"/>
              <w:left w:val="single" w:sz="8" w:space="0" w:color="auto"/>
              <w:bottom w:val="single" w:sz="8" w:space="0" w:color="auto"/>
              <w:right w:val="nil"/>
            </w:tcBorders>
            <w:shd w:val="clear" w:color="000000" w:fill="244062"/>
            <w:vAlign w:val="center"/>
            <w:hideMark/>
          </w:tcPr>
          <w:p w14:paraId="7326F7D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38FF4043" w14:textId="3063D56D" w:rsidR="00854ADA" w:rsidRPr="000A2AFE" w:rsidRDefault="003E328C"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Примена</w:t>
            </w:r>
            <w:r w:rsidR="00854ADA" w:rsidRPr="00FF386D">
              <w:rPr>
                <w:rFonts w:ascii="Calibri Light" w:hAnsi="Calibri Light"/>
                <w:sz w:val="20"/>
              </w:rPr>
              <w:t xml:space="preserve"> чланова Директиве </w:t>
            </w:r>
            <w:r w:rsidR="003F7364"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003F7364" w:rsidRPr="00FF386D">
              <w:rPr>
                <w:rFonts w:ascii="Calibri Light" w:hAnsi="Calibri Light"/>
                <w:sz w:val="20"/>
              </w:rPr>
              <w:t xml:space="preserve">(ЕУ) </w:t>
            </w:r>
            <w:r w:rsidR="00854ADA" w:rsidRPr="00FF386D">
              <w:rPr>
                <w:rFonts w:ascii="Calibri Light" w:hAnsi="Calibri Light"/>
                <w:sz w:val="20"/>
              </w:rPr>
              <w:t>2018/2002</w:t>
            </w:r>
            <w:r w:rsidR="003F7364" w:rsidRPr="00FF386D">
              <w:rPr>
                <w:rFonts w:ascii="Calibri Light" w:hAnsi="Calibri Light"/>
                <w:sz w:val="20"/>
              </w:rPr>
              <w:t>, и то:</w:t>
            </w:r>
          </w:p>
          <w:p w14:paraId="33510AB4" w14:textId="5C8CC88A" w:rsidR="00854ADA" w:rsidRPr="000A2AFE" w:rsidRDefault="00854ADA" w:rsidP="00854ADA">
            <w:pPr>
              <w:numPr>
                <w:ilvl w:val="0"/>
                <w:numId w:val="2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DF73A5"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3</w:t>
            </w:r>
          </w:p>
          <w:p w14:paraId="4714765A" w14:textId="1FF62F4D" w:rsidR="00854ADA" w:rsidRPr="00FF386D" w:rsidRDefault="00854ADA" w:rsidP="00854ADA">
            <w:pPr>
              <w:numPr>
                <w:ilvl w:val="0"/>
                <w:numId w:val="149"/>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DF73A5"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7</w:t>
            </w:r>
          </w:p>
        </w:tc>
      </w:tr>
      <w:tr w:rsidR="00854ADA" w:rsidRPr="00FF386D" w14:paraId="137F5F67"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53965B8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4A4350CB"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Допринос свим мерама финалне потрошње енергије</w:t>
            </w:r>
          </w:p>
        </w:tc>
      </w:tr>
      <w:tr w:rsidR="00854ADA" w:rsidRPr="00FF386D" w14:paraId="75362217" w14:textId="77777777" w:rsidTr="0057310C">
        <w:trPr>
          <w:trHeight w:val="229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187BBC3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5DF0AD53" w14:textId="00FF87E6"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МП_ЕЕ26 ће промовисати енергетске услуге кроз </w:t>
            </w:r>
            <w:r w:rsidR="003F7364" w:rsidRPr="00FF386D">
              <w:rPr>
                <w:rFonts w:ascii="Calibri Light" w:hAnsi="Calibri Light"/>
                <w:sz w:val="20"/>
              </w:rPr>
              <w:t>усмерене</w:t>
            </w:r>
            <w:r w:rsidRPr="00FF386D">
              <w:rPr>
                <w:rFonts w:ascii="Calibri Light" w:hAnsi="Calibri Light"/>
                <w:sz w:val="20"/>
              </w:rPr>
              <w:t xml:space="preserve"> програме финансирања у одређеним секторима финалне потрошње енергије. </w:t>
            </w:r>
            <w:r w:rsidR="00DF73A5" w:rsidRPr="00FF386D">
              <w:rPr>
                <w:rFonts w:ascii="Calibri Light" w:hAnsi="Calibri Light"/>
                <w:sz w:val="20"/>
              </w:rPr>
              <w:t>Конкретно</w:t>
            </w:r>
            <w:r w:rsidRPr="00FF386D">
              <w:rPr>
                <w:rFonts w:ascii="Calibri Light" w:hAnsi="Calibri Light"/>
                <w:sz w:val="20"/>
              </w:rPr>
              <w:t xml:space="preserve">, пројекти енергетске ефикасности ће се примењивати </w:t>
            </w:r>
            <w:r w:rsidR="00DF73A5" w:rsidRPr="00FF386D">
              <w:rPr>
                <w:rFonts w:ascii="Calibri Light" w:hAnsi="Calibri Light"/>
                <w:sz w:val="20"/>
              </w:rPr>
              <w:t>преко</w:t>
            </w:r>
            <w:r w:rsidRPr="00FF386D">
              <w:rPr>
                <w:rFonts w:ascii="Calibri Light" w:hAnsi="Calibri Light"/>
                <w:sz w:val="20"/>
              </w:rPr>
              <w:t xml:space="preserve"> уговор</w:t>
            </w:r>
            <w:r w:rsidR="00DF73A5" w:rsidRPr="00FF386D">
              <w:rPr>
                <w:rFonts w:ascii="Calibri Light" w:hAnsi="Calibri Light"/>
                <w:sz w:val="20"/>
              </w:rPr>
              <w:t>а</w:t>
            </w:r>
            <w:r w:rsidRPr="00FF386D">
              <w:rPr>
                <w:rFonts w:ascii="Calibri Light" w:hAnsi="Calibri Light"/>
                <w:sz w:val="20"/>
              </w:rPr>
              <w:t xml:space="preserve"> </w:t>
            </w:r>
            <w:r w:rsidR="000C57F5" w:rsidRPr="00FF386D">
              <w:rPr>
                <w:rFonts w:ascii="Calibri Light" w:hAnsi="Calibri Light"/>
                <w:sz w:val="20"/>
              </w:rPr>
              <w:t xml:space="preserve">о </w:t>
            </w:r>
            <w:r w:rsidRPr="00FF386D">
              <w:rPr>
                <w:rFonts w:ascii="Calibri Light" w:hAnsi="Calibri Light"/>
                <w:sz w:val="20"/>
              </w:rPr>
              <w:t>енергетск</w:t>
            </w:r>
            <w:r w:rsidR="000C57F5" w:rsidRPr="00FF386D">
              <w:rPr>
                <w:rFonts w:ascii="Calibri Light" w:hAnsi="Calibri Light"/>
                <w:sz w:val="20"/>
              </w:rPr>
              <w:t>ом учинку</w:t>
            </w:r>
            <w:r w:rsidRPr="00FF386D">
              <w:rPr>
                <w:rFonts w:ascii="Calibri Light" w:hAnsi="Calibri Light"/>
                <w:sz w:val="20"/>
              </w:rPr>
              <w:t xml:space="preserve"> у индустријском и комерцијалном сектору</w:t>
            </w:r>
            <w:r w:rsidR="000C57F5" w:rsidRPr="00FF386D">
              <w:rPr>
                <w:rFonts w:ascii="Calibri Light" w:hAnsi="Calibri Light"/>
                <w:sz w:val="20"/>
              </w:rPr>
              <w:t xml:space="preserve">. </w:t>
            </w:r>
            <w:r w:rsidRPr="00FF386D">
              <w:rPr>
                <w:rFonts w:ascii="Calibri Light" w:hAnsi="Calibri Light"/>
                <w:sz w:val="20"/>
              </w:rPr>
              <w:t xml:space="preserve">Сходно томе, примењиваће се специјализовани механизми финансирања, попут давања зајмова са ниским каматама или гаранција пружаоцима </w:t>
            </w:r>
            <w:r w:rsidR="000C57F5" w:rsidRPr="00FF386D">
              <w:rPr>
                <w:rFonts w:ascii="Calibri Light" w:hAnsi="Calibri Light"/>
                <w:sz w:val="20"/>
              </w:rPr>
              <w:t xml:space="preserve">енергетских </w:t>
            </w:r>
            <w:r w:rsidRPr="00FF386D">
              <w:rPr>
                <w:rFonts w:ascii="Calibri Light" w:hAnsi="Calibri Light"/>
                <w:sz w:val="20"/>
              </w:rPr>
              <w:t>услуга</w:t>
            </w:r>
            <w:r w:rsidR="000C57F5" w:rsidRPr="00FF386D">
              <w:rPr>
                <w:rFonts w:ascii="Calibri Light" w:hAnsi="Calibri Light"/>
                <w:sz w:val="20"/>
              </w:rPr>
              <w:t xml:space="preserve">, </w:t>
            </w:r>
            <w:r w:rsidRPr="00FF386D">
              <w:rPr>
                <w:rFonts w:ascii="Calibri Light" w:hAnsi="Calibri Light"/>
                <w:sz w:val="20"/>
              </w:rPr>
              <w:t xml:space="preserve">како би </w:t>
            </w:r>
            <w:r w:rsidR="000C57F5" w:rsidRPr="00FF386D">
              <w:rPr>
                <w:rFonts w:ascii="Calibri Light" w:hAnsi="Calibri Light"/>
                <w:sz w:val="20"/>
              </w:rPr>
              <w:t xml:space="preserve">им </w:t>
            </w:r>
            <w:r w:rsidRPr="00FF386D">
              <w:rPr>
                <w:rFonts w:ascii="Calibri Light" w:hAnsi="Calibri Light"/>
                <w:sz w:val="20"/>
              </w:rPr>
              <w:t xml:space="preserve">се омогућио </w:t>
            </w:r>
            <w:r w:rsidR="000C57F5" w:rsidRPr="00FF386D">
              <w:rPr>
                <w:rFonts w:ascii="Calibri Light" w:hAnsi="Calibri Light"/>
                <w:sz w:val="20"/>
              </w:rPr>
              <w:t>лакши</w:t>
            </w:r>
            <w:r w:rsidRPr="00FF386D">
              <w:rPr>
                <w:rFonts w:ascii="Calibri Light" w:hAnsi="Calibri Light"/>
                <w:sz w:val="20"/>
              </w:rPr>
              <w:t xml:space="preserve"> приступ финансирању. Поред тога, </w:t>
            </w:r>
            <w:r w:rsidR="00DF73A5" w:rsidRPr="00FF386D">
              <w:rPr>
                <w:rFonts w:ascii="Calibri Light" w:hAnsi="Calibri Light"/>
                <w:sz w:val="20"/>
              </w:rPr>
              <w:t xml:space="preserve">биће осмишљени </w:t>
            </w:r>
            <w:r w:rsidR="003F7364" w:rsidRPr="00FF386D">
              <w:rPr>
                <w:rFonts w:ascii="Calibri Light" w:hAnsi="Calibri Light"/>
                <w:sz w:val="20"/>
              </w:rPr>
              <w:t>усмерени пилот</w:t>
            </w:r>
            <w:r w:rsidRPr="00FF386D">
              <w:rPr>
                <w:rFonts w:ascii="Calibri Light" w:hAnsi="Calibri Light"/>
                <w:sz w:val="20"/>
              </w:rPr>
              <w:t xml:space="preserve"> пројекти за обнову јавних зграда </w:t>
            </w:r>
            <w:r w:rsidR="000C57F5" w:rsidRPr="00FF386D">
              <w:rPr>
                <w:rFonts w:ascii="Calibri Light" w:hAnsi="Calibri Light"/>
                <w:sz w:val="20"/>
              </w:rPr>
              <w:t xml:space="preserve">за које је обавезујућа </w:t>
            </w:r>
            <w:r w:rsidR="00663312" w:rsidRPr="00FF386D">
              <w:rPr>
                <w:rFonts w:ascii="Calibri Light" w:hAnsi="Calibri Light"/>
                <w:sz w:val="20"/>
              </w:rPr>
              <w:t>примена модела уговора прописаних Законом о енергетској ефикасности и рационалној употреби енергије,</w:t>
            </w:r>
            <w:r w:rsidRPr="00FF386D">
              <w:rPr>
                <w:rFonts w:ascii="Calibri Light" w:hAnsi="Calibri Light"/>
                <w:sz w:val="20"/>
              </w:rPr>
              <w:t xml:space="preserve"> како би се створили потребни услови за п</w:t>
            </w:r>
            <w:r w:rsidR="00DF73A5" w:rsidRPr="00FF386D">
              <w:rPr>
                <w:rFonts w:ascii="Calibri Light" w:hAnsi="Calibri Light"/>
                <w:sz w:val="20"/>
              </w:rPr>
              <w:t>одстицање</w:t>
            </w:r>
            <w:r w:rsidRPr="00FF386D">
              <w:rPr>
                <w:rFonts w:ascii="Calibri Light" w:hAnsi="Calibri Light"/>
                <w:sz w:val="20"/>
              </w:rPr>
              <w:t xml:space="preserve"> енергетских услуга у јавном </w:t>
            </w:r>
            <w:r w:rsidR="003F7364" w:rsidRPr="00FF386D">
              <w:rPr>
                <w:rFonts w:ascii="Calibri Light" w:hAnsi="Calibri Light"/>
                <w:sz w:val="20"/>
              </w:rPr>
              <w:t>сектору</w:t>
            </w:r>
            <w:r w:rsidRPr="000A2AFE">
              <w:rPr>
                <w:rFonts w:ascii="Calibri Light" w:eastAsia="Times New Roman" w:hAnsi="Calibri Light" w:cs="Calibri Light"/>
                <w:color w:val="000000"/>
                <w:sz w:val="20"/>
                <w:szCs w:val="20"/>
                <w:lang w:eastAsia="en-GB"/>
              </w:rPr>
              <w:t>.</w:t>
            </w:r>
            <w:r w:rsidR="003F7364" w:rsidRPr="000A2AFE">
              <w:rPr>
                <w:rFonts w:ascii="Calibri Light" w:eastAsia="Times New Roman" w:hAnsi="Calibri Light" w:cs="Calibri Light"/>
                <w:color w:val="000000"/>
                <w:sz w:val="20"/>
                <w:szCs w:val="20"/>
                <w:lang w:eastAsia="en-GB"/>
              </w:rPr>
              <w:t xml:space="preserve"> На крају, енергетско унапређење система уличне расвете се</w:t>
            </w:r>
            <w:r w:rsidR="0049715F" w:rsidRPr="000A2AFE">
              <w:rPr>
                <w:rFonts w:ascii="Calibri Light" w:eastAsia="Times New Roman" w:hAnsi="Calibri Light" w:cs="Calibri Light"/>
                <w:color w:val="000000"/>
                <w:sz w:val="20"/>
                <w:szCs w:val="20"/>
                <w:lang w:eastAsia="en-GB"/>
              </w:rPr>
              <w:t xml:space="preserve"> може такође </w:t>
            </w:r>
            <w:r w:rsidR="003F7364" w:rsidRPr="000A2AFE">
              <w:rPr>
                <w:rFonts w:ascii="Calibri Light" w:eastAsia="Times New Roman" w:hAnsi="Calibri Light" w:cs="Calibri Light"/>
                <w:color w:val="000000"/>
                <w:sz w:val="20"/>
                <w:szCs w:val="20"/>
                <w:lang w:eastAsia="en-GB"/>
              </w:rPr>
              <w:t xml:space="preserve">постићи </w:t>
            </w:r>
            <w:r w:rsidR="0049715F" w:rsidRPr="000A2AFE">
              <w:rPr>
                <w:rFonts w:ascii="Calibri Light" w:eastAsia="Times New Roman" w:hAnsi="Calibri Light" w:cs="Calibri Light"/>
                <w:color w:val="000000"/>
                <w:sz w:val="20"/>
                <w:szCs w:val="20"/>
                <w:lang w:eastAsia="en-GB"/>
              </w:rPr>
              <w:t xml:space="preserve">и </w:t>
            </w:r>
            <w:r w:rsidR="003F7364" w:rsidRPr="000A2AFE">
              <w:rPr>
                <w:rFonts w:ascii="Calibri Light" w:eastAsia="Times New Roman" w:hAnsi="Calibri Light" w:cs="Calibri Light"/>
                <w:color w:val="000000"/>
                <w:sz w:val="20"/>
                <w:szCs w:val="20"/>
                <w:lang w:eastAsia="en-GB"/>
              </w:rPr>
              <w:t>пружањем енергетских услуга.</w:t>
            </w:r>
          </w:p>
        </w:tc>
      </w:tr>
      <w:tr w:rsidR="00854ADA" w:rsidRPr="00FF386D" w14:paraId="035E57E0"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38C6BD7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3B6095C4" w14:textId="5B38788F"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3F7364" w:rsidRPr="00FF386D">
              <w:rPr>
                <w:rFonts w:ascii="Calibri Light" w:hAnsi="Calibri Light"/>
                <w:sz w:val="20"/>
              </w:rPr>
              <w:t>5</w:t>
            </w:r>
            <w:r w:rsidRPr="00FF386D">
              <w:rPr>
                <w:rFonts w:ascii="Calibri Light" w:hAnsi="Calibri Light"/>
                <w:sz w:val="20"/>
              </w:rPr>
              <w:t>-2030.</w:t>
            </w:r>
          </w:p>
        </w:tc>
      </w:tr>
      <w:tr w:rsidR="00854ADA" w:rsidRPr="00FF386D" w14:paraId="78C97FEE"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555DCD6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Тип мере</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0A9E5FAF"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Реформа</w:t>
            </w:r>
          </w:p>
        </w:tc>
      </w:tr>
      <w:tr w:rsidR="00854ADA" w:rsidRPr="00FF386D" w14:paraId="4395BE95"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653DD8F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10B9D10E"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Јавни, комерцијални, индустријски</w:t>
            </w:r>
          </w:p>
        </w:tc>
      </w:tr>
      <w:tr w:rsidR="00854ADA" w:rsidRPr="00FF386D" w14:paraId="2FBB5900"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62BD325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0F40459D" w14:textId="77777777" w:rsidR="00854ADA" w:rsidRPr="00FF386D" w:rsidRDefault="00854ADA" w:rsidP="00854ADA">
            <w:pPr>
              <w:numPr>
                <w:ilvl w:val="0"/>
                <w:numId w:val="151"/>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Министарство рударства и енергетике и Управа ЕЕ</w:t>
            </w:r>
          </w:p>
        </w:tc>
      </w:tr>
      <w:tr w:rsidR="00854ADA" w:rsidRPr="00FF386D" w14:paraId="4A7571A8" w14:textId="77777777" w:rsidTr="0057310C">
        <w:trPr>
          <w:trHeight w:val="315"/>
        </w:trPr>
        <w:tc>
          <w:tcPr>
            <w:tcW w:w="3308" w:type="dxa"/>
            <w:tcBorders>
              <w:top w:val="nil"/>
              <w:left w:val="single" w:sz="8" w:space="0" w:color="auto"/>
              <w:bottom w:val="single" w:sz="8" w:space="0" w:color="auto"/>
              <w:right w:val="nil"/>
            </w:tcBorders>
            <w:shd w:val="clear" w:color="000000" w:fill="244062"/>
            <w:vAlign w:val="center"/>
            <w:hideMark/>
          </w:tcPr>
          <w:p w14:paraId="41521AF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05E2020D" w14:textId="6D1E14FB" w:rsidR="00854ADA" w:rsidRPr="000A2AFE" w:rsidRDefault="007E7195" w:rsidP="000A2AFE">
            <w:pPr>
              <w:pStyle w:val="ListParagraph"/>
              <w:numPr>
                <w:ilvl w:val="0"/>
                <w:numId w:val="151"/>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2C1DF3D8" w14:textId="77777777" w:rsidTr="0057310C">
        <w:trPr>
          <w:trHeight w:val="315"/>
        </w:trPr>
        <w:tc>
          <w:tcPr>
            <w:tcW w:w="3308" w:type="dxa"/>
            <w:tcBorders>
              <w:top w:val="nil"/>
              <w:left w:val="single" w:sz="8" w:space="0" w:color="auto"/>
              <w:bottom w:val="single" w:sz="8" w:space="0" w:color="auto"/>
              <w:right w:val="nil"/>
            </w:tcBorders>
            <w:shd w:val="clear" w:color="000000" w:fill="244062"/>
            <w:vAlign w:val="center"/>
            <w:hideMark/>
          </w:tcPr>
          <w:p w14:paraId="1696181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17261C72" w14:textId="579DF62C" w:rsidR="00854ADA" w:rsidRPr="000A2AFE" w:rsidRDefault="00854ADA" w:rsidP="000A2AFE">
            <w:pPr>
              <w:pStyle w:val="ListParagraph"/>
              <w:numPr>
                <w:ilvl w:val="0"/>
                <w:numId w:val="151"/>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Број уговора о енергетским </w:t>
            </w:r>
            <w:r w:rsidR="00663312" w:rsidRPr="000A2AFE">
              <w:rPr>
                <w:rFonts w:ascii="Calibri Light" w:eastAsia="Times New Roman" w:hAnsi="Calibri Light" w:cs="Calibri Light"/>
                <w:color w:val="000000"/>
                <w:sz w:val="20"/>
                <w:szCs w:val="20"/>
                <w:lang w:eastAsia="en-GB"/>
              </w:rPr>
              <w:t>услугама</w:t>
            </w:r>
          </w:p>
        </w:tc>
      </w:tr>
      <w:tr w:rsidR="00854ADA" w:rsidRPr="00FF386D" w14:paraId="73D4C136" w14:textId="77777777" w:rsidTr="0057310C">
        <w:trPr>
          <w:trHeight w:val="273"/>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1420625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051AB2E7" w14:textId="2CD50EA5" w:rsidR="007E7195" w:rsidRPr="007E7195" w:rsidRDefault="007E7195" w:rsidP="007E7195">
            <w:pPr>
              <w:numPr>
                <w:ilvl w:val="0"/>
                <w:numId w:val="151"/>
              </w:numPr>
              <w:spacing w:after="0" w:line="240" w:lineRule="auto"/>
              <w:contextualSpacing/>
              <w:rPr>
                <w:rFonts w:ascii="Calibri Light" w:eastAsia="Times New Roman" w:hAnsi="Calibri Light" w:cs="Calibri Light"/>
                <w:color w:val="000000"/>
                <w:sz w:val="20"/>
                <w:szCs w:val="20"/>
                <w:lang w:eastAsia="en-GB"/>
              </w:rPr>
            </w:pPr>
            <w:r w:rsidRPr="007E7195">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7E7195">
              <w:rPr>
                <w:rFonts w:ascii="Calibri Light" w:eastAsia="Times New Roman" w:hAnsi="Calibri Light" w:cs="Calibri Light"/>
                <w:i/>
                <w:iCs/>
                <w:color w:val="000000"/>
                <w:sz w:val="20"/>
                <w:szCs w:val="20"/>
                <w:lang w:val="en-US" w:eastAsia="en-GB"/>
              </w:rPr>
              <w:t>GHG</w:t>
            </w:r>
            <w:r w:rsidRPr="007E7195">
              <w:rPr>
                <w:rFonts w:ascii="Calibri Light" w:eastAsia="Times New Roman" w:hAnsi="Calibri Light" w:cs="Calibri Light"/>
                <w:i/>
                <w:iCs/>
                <w:color w:val="000000"/>
                <w:sz w:val="20"/>
                <w:szCs w:val="20"/>
                <w:lang w:eastAsia="en-GB"/>
              </w:rPr>
              <w:t>,</w:t>
            </w:r>
            <w:r w:rsidRPr="007E7195">
              <w:rPr>
                <w:rFonts w:ascii="Calibri Light" w:eastAsia="Times New Roman" w:hAnsi="Calibri Light" w:cs="Calibri Light"/>
                <w:color w:val="000000"/>
                <w:sz w:val="20"/>
                <w:szCs w:val="20"/>
                <w:lang w:eastAsia="en-GB"/>
              </w:rPr>
              <w:t xml:space="preserve"> а коришћење технологија ОИЕ ће повећати удео ОИЕ у грејању и хлађењу)</w:t>
            </w:r>
          </w:p>
          <w:p w14:paraId="39685D6C" w14:textId="120A0D72" w:rsidR="00854ADA" w:rsidRPr="00FF386D" w:rsidRDefault="007E7195" w:rsidP="007E7195">
            <w:pPr>
              <w:numPr>
                <w:ilvl w:val="0"/>
                <w:numId w:val="151"/>
              </w:numPr>
              <w:spacing w:after="0" w:line="240" w:lineRule="auto"/>
              <w:contextualSpacing/>
              <w:rPr>
                <w:rFonts w:ascii="Calibri Light" w:eastAsia="Times New Roman" w:hAnsi="Calibri Light" w:cs="Calibri Light"/>
                <w:color w:val="000000"/>
                <w:sz w:val="20"/>
                <w:szCs w:val="20"/>
                <w:lang w:eastAsia="en-GB"/>
              </w:rPr>
            </w:pPr>
            <w:r w:rsidRPr="007E7195">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w:t>
            </w:r>
            <w:r w:rsidR="00054666">
              <w:rPr>
                <w:rFonts w:ascii="Calibri Light" w:eastAsia="Times New Roman" w:hAnsi="Calibri Light" w:cs="Calibri Light"/>
                <w:color w:val="000000"/>
                <w:sz w:val="20"/>
                <w:szCs w:val="20"/>
                <w:lang w:eastAsia="en-GB"/>
              </w:rPr>
              <w:t>а увезених</w:t>
            </w:r>
            <w:r w:rsidRPr="007E7195">
              <w:rPr>
                <w:rFonts w:ascii="Calibri Light" w:eastAsia="Times New Roman" w:hAnsi="Calibri Light" w:cs="Calibri Light"/>
                <w:color w:val="000000"/>
                <w:sz w:val="20"/>
                <w:szCs w:val="20"/>
                <w:lang w:eastAsia="en-GB"/>
              </w:rPr>
              <w:t xml:space="preserve"> фосилних горива што ће довести до смањења зависности од увоза енергије из трећих земаља)</w:t>
            </w:r>
          </w:p>
        </w:tc>
      </w:tr>
      <w:tr w:rsidR="00854ADA" w:rsidRPr="00FF386D" w14:paraId="00629515" w14:textId="77777777" w:rsidTr="0057310C">
        <w:trPr>
          <w:trHeight w:val="450"/>
        </w:trPr>
        <w:tc>
          <w:tcPr>
            <w:tcW w:w="3308"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440531AC" w14:textId="1AB7B4E2"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50"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164F7378" w14:textId="3D848482" w:rsidR="00854ADA" w:rsidRPr="000A2AFE" w:rsidRDefault="00854ADA" w:rsidP="003F7364">
            <w:pPr>
              <w:pStyle w:val="ListParagraph"/>
              <w:numPr>
                <w:ilvl w:val="0"/>
                <w:numId w:val="151"/>
              </w:num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3F7364"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2012/27</w:t>
            </w:r>
          </w:p>
          <w:p w14:paraId="010D9039" w14:textId="25E9DEF9" w:rsidR="00854ADA" w:rsidRPr="00FF386D" w:rsidRDefault="00854ADA" w:rsidP="00854ADA">
            <w:pPr>
              <w:numPr>
                <w:ilvl w:val="0"/>
                <w:numId w:val="151"/>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3F7364"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2018/2002</w:t>
            </w:r>
          </w:p>
        </w:tc>
      </w:tr>
      <w:tr w:rsidR="00854ADA" w:rsidRPr="00FF386D" w14:paraId="6D11B533" w14:textId="77777777" w:rsidTr="0057310C">
        <w:trPr>
          <w:trHeight w:val="450"/>
        </w:trPr>
        <w:tc>
          <w:tcPr>
            <w:tcW w:w="3308" w:type="dxa"/>
            <w:vMerge/>
            <w:tcBorders>
              <w:top w:val="nil"/>
              <w:left w:val="single" w:sz="8" w:space="0" w:color="auto"/>
              <w:bottom w:val="single" w:sz="8" w:space="0" w:color="000000"/>
              <w:right w:val="single" w:sz="8" w:space="0" w:color="auto"/>
            </w:tcBorders>
            <w:vAlign w:val="center"/>
            <w:hideMark/>
          </w:tcPr>
          <w:p w14:paraId="60FDE6D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0" w:type="dxa"/>
            <w:gridSpan w:val="3"/>
            <w:vMerge/>
            <w:tcBorders>
              <w:top w:val="single" w:sz="8" w:space="0" w:color="auto"/>
              <w:left w:val="single" w:sz="8" w:space="0" w:color="auto"/>
              <w:bottom w:val="single" w:sz="8" w:space="0" w:color="000000"/>
              <w:right w:val="single" w:sz="8" w:space="0" w:color="000000"/>
            </w:tcBorders>
            <w:vAlign w:val="center"/>
            <w:hideMark/>
          </w:tcPr>
          <w:p w14:paraId="078DFC38" w14:textId="77777777" w:rsidR="00854ADA" w:rsidRPr="00FF386D" w:rsidRDefault="00854ADA" w:rsidP="00854ADA">
            <w:pPr>
              <w:numPr>
                <w:ilvl w:val="0"/>
                <w:numId w:val="151"/>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1AC5ED7D" w14:textId="77777777" w:rsidTr="0057310C">
        <w:trPr>
          <w:trHeight w:val="450"/>
        </w:trPr>
        <w:tc>
          <w:tcPr>
            <w:tcW w:w="3308" w:type="dxa"/>
            <w:vMerge/>
            <w:tcBorders>
              <w:top w:val="nil"/>
              <w:left w:val="single" w:sz="8" w:space="0" w:color="auto"/>
              <w:bottom w:val="single" w:sz="8" w:space="0" w:color="000000"/>
              <w:right w:val="single" w:sz="8" w:space="0" w:color="auto"/>
            </w:tcBorders>
            <w:vAlign w:val="center"/>
            <w:hideMark/>
          </w:tcPr>
          <w:p w14:paraId="5B6162F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0" w:type="dxa"/>
            <w:gridSpan w:val="3"/>
            <w:vMerge/>
            <w:tcBorders>
              <w:top w:val="single" w:sz="8" w:space="0" w:color="auto"/>
              <w:left w:val="single" w:sz="8" w:space="0" w:color="auto"/>
              <w:bottom w:val="single" w:sz="8" w:space="0" w:color="000000"/>
              <w:right w:val="single" w:sz="8" w:space="0" w:color="000000"/>
            </w:tcBorders>
            <w:vAlign w:val="center"/>
            <w:hideMark/>
          </w:tcPr>
          <w:p w14:paraId="421E2D8A" w14:textId="77777777" w:rsidR="00854ADA" w:rsidRPr="00FF386D" w:rsidRDefault="00854ADA" w:rsidP="00854ADA">
            <w:pPr>
              <w:numPr>
                <w:ilvl w:val="0"/>
                <w:numId w:val="151"/>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33D07A54" w14:textId="77777777" w:rsidTr="0057310C">
        <w:trPr>
          <w:trHeight w:val="307"/>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36348C8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1900191F" w14:textId="391B73DF" w:rsidR="00854ADA" w:rsidRPr="00FF386D" w:rsidRDefault="00854ADA" w:rsidP="00854ADA">
            <w:pPr>
              <w:numPr>
                <w:ilvl w:val="0"/>
                <w:numId w:val="151"/>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енергетској</w:t>
            </w:r>
            <w:r w:rsidR="003E328C" w:rsidRPr="00FF386D">
              <w:rPr>
                <w:rFonts w:ascii="Calibri Light" w:eastAsia="Times New Roman" w:hAnsi="Calibri Light" w:cs="Calibri Light"/>
                <w:color w:val="000000"/>
                <w:sz w:val="20"/>
                <w:szCs w:val="20"/>
                <w:lang w:eastAsia="en-GB"/>
              </w:rPr>
              <w:t xml:space="preserve"> </w:t>
            </w:r>
            <w:r w:rsidRPr="00FF386D">
              <w:rPr>
                <w:rFonts w:ascii="Calibri Light" w:eastAsia="Times New Roman" w:hAnsi="Calibri Light" w:cs="Calibri Light"/>
                <w:color w:val="000000"/>
                <w:sz w:val="20"/>
                <w:szCs w:val="20"/>
                <w:lang w:eastAsia="en-GB"/>
              </w:rPr>
              <w:t>ефикасности и рационалној</w:t>
            </w:r>
            <w:r w:rsidR="003E328C" w:rsidRPr="00FF386D">
              <w:rPr>
                <w:rFonts w:ascii="Calibri Light" w:eastAsia="Times New Roman" w:hAnsi="Calibri Light" w:cs="Calibri Light"/>
                <w:color w:val="000000"/>
                <w:sz w:val="20"/>
                <w:szCs w:val="20"/>
                <w:lang w:eastAsia="en-GB"/>
              </w:rPr>
              <w:t xml:space="preserve"> </w:t>
            </w:r>
            <w:r w:rsidRPr="00FF386D">
              <w:rPr>
                <w:rFonts w:ascii="Calibri Light" w:eastAsia="Times New Roman" w:hAnsi="Calibri Light" w:cs="Calibri Light"/>
                <w:color w:val="000000"/>
                <w:sz w:val="20"/>
                <w:szCs w:val="20"/>
                <w:lang w:eastAsia="en-GB"/>
              </w:rPr>
              <w:t>употреби</w:t>
            </w:r>
            <w:r w:rsidR="003E328C" w:rsidRPr="00FF386D">
              <w:rPr>
                <w:rFonts w:ascii="Calibri Light" w:eastAsia="Times New Roman" w:hAnsi="Calibri Light" w:cs="Calibri Light"/>
                <w:color w:val="000000"/>
                <w:sz w:val="20"/>
                <w:szCs w:val="20"/>
                <w:lang w:eastAsia="en-GB"/>
              </w:rPr>
              <w:t xml:space="preserve"> </w:t>
            </w:r>
            <w:r w:rsidRPr="00FF386D">
              <w:rPr>
                <w:rFonts w:ascii="Calibri Light" w:eastAsia="Times New Roman" w:hAnsi="Calibri Light" w:cs="Calibri Light"/>
                <w:color w:val="000000"/>
                <w:sz w:val="20"/>
                <w:szCs w:val="20"/>
                <w:lang w:eastAsia="en-GB"/>
              </w:rPr>
              <w:t>енергије</w:t>
            </w:r>
          </w:p>
        </w:tc>
      </w:tr>
      <w:tr w:rsidR="00854ADA" w:rsidRPr="00FF386D" w14:paraId="27D6AA5C"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5FF1A79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54B7BCE6" w14:textId="049F910F"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 xml:space="preserve">Буџет </w:t>
            </w:r>
            <w:r w:rsidR="003F7364" w:rsidRPr="00FF386D">
              <w:rPr>
                <w:rFonts w:ascii="Calibri Light" w:eastAsia="Times New Roman" w:hAnsi="Calibri Light" w:cs="Calibri Light"/>
                <w:color w:val="000000"/>
                <w:sz w:val="20"/>
                <w:szCs w:val="20"/>
                <w:lang w:eastAsia="en-GB"/>
              </w:rPr>
              <w:t>обухваћен</w:t>
            </w:r>
            <w:r w:rsidRPr="00FF386D">
              <w:rPr>
                <w:rFonts w:ascii="Calibri Light" w:eastAsia="Times New Roman" w:hAnsi="Calibri Light" w:cs="Calibri Light"/>
                <w:color w:val="000000"/>
                <w:sz w:val="20"/>
                <w:szCs w:val="20"/>
                <w:lang w:eastAsia="en-GB"/>
              </w:rPr>
              <w:t xml:space="preserve"> у св</w:t>
            </w:r>
            <w:r w:rsidR="003F7364" w:rsidRPr="00FF386D">
              <w:rPr>
                <w:rFonts w:ascii="Calibri Light" w:eastAsia="Times New Roman" w:hAnsi="Calibri Light" w:cs="Calibri Light"/>
                <w:color w:val="000000"/>
                <w:sz w:val="20"/>
                <w:szCs w:val="20"/>
                <w:lang w:eastAsia="en-GB"/>
              </w:rPr>
              <w:t xml:space="preserve">им </w:t>
            </w:r>
            <w:r w:rsidR="002E0289" w:rsidRPr="00FF386D">
              <w:rPr>
                <w:rFonts w:ascii="Calibri Light" w:eastAsia="Times New Roman" w:hAnsi="Calibri Light" w:cs="Calibri Light"/>
                <w:color w:val="000000"/>
                <w:sz w:val="20"/>
                <w:szCs w:val="20"/>
                <w:lang w:eastAsia="en-GB"/>
              </w:rPr>
              <w:t xml:space="preserve">мерама </w:t>
            </w:r>
            <w:r w:rsidR="00663312" w:rsidRPr="00FF386D">
              <w:rPr>
                <w:rFonts w:ascii="Calibri Light" w:eastAsia="Times New Roman" w:hAnsi="Calibri Light" w:cs="Calibri Light"/>
                <w:color w:val="000000"/>
                <w:sz w:val="20"/>
                <w:szCs w:val="20"/>
                <w:lang w:eastAsia="en-GB"/>
              </w:rPr>
              <w:t>финалне потрошње енергије</w:t>
            </w:r>
          </w:p>
        </w:tc>
      </w:tr>
      <w:tr w:rsidR="00854ADA" w:rsidRPr="00FF386D" w14:paraId="792669CC"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715246F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7C7A4142" w14:textId="0DE16F3C"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3F7364" w:rsidRPr="00FF386D">
              <w:rPr>
                <w:rFonts w:asciiTheme="majorHAnsi" w:eastAsia="Times New Roman" w:hAnsiTheme="majorHAnsi" w:cstheme="majorHAnsi"/>
                <w:color w:val="000000"/>
                <w:sz w:val="20"/>
                <w:szCs w:val="20"/>
                <w:lang w:eastAsia="en-GB"/>
              </w:rPr>
              <w:t>ска и</w:t>
            </w:r>
            <w:r w:rsidRPr="00FF386D">
              <w:rPr>
                <w:rFonts w:asciiTheme="majorHAnsi" w:eastAsia="Times New Roman" w:hAnsiTheme="majorHAnsi" w:cstheme="majorHAnsi"/>
                <w:color w:val="000000"/>
                <w:sz w:val="20"/>
                <w:szCs w:val="20"/>
                <w:lang w:eastAsia="en-GB"/>
              </w:rPr>
              <w:t xml:space="preserve"> сопствена средства</w:t>
            </w:r>
          </w:p>
        </w:tc>
      </w:tr>
    </w:tbl>
    <w:p w14:paraId="51B5BBCE"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04"/>
        <w:gridCol w:w="1007"/>
        <w:gridCol w:w="942"/>
        <w:gridCol w:w="4205"/>
      </w:tblGrid>
      <w:tr w:rsidR="00854ADA" w:rsidRPr="00FF386D" w14:paraId="5C2DEFD2" w14:textId="77777777" w:rsidTr="0057310C">
        <w:trPr>
          <w:trHeight w:val="780"/>
        </w:trPr>
        <w:tc>
          <w:tcPr>
            <w:tcW w:w="3304"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43F2C20D"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530B3BFF"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МП_ЕЕ27</w:t>
            </w:r>
          </w:p>
        </w:tc>
        <w:tc>
          <w:tcPr>
            <w:tcW w:w="942" w:type="dxa"/>
            <w:tcBorders>
              <w:top w:val="single" w:sz="8" w:space="0" w:color="auto"/>
              <w:left w:val="nil"/>
              <w:bottom w:val="single" w:sz="8" w:space="0" w:color="auto"/>
              <w:right w:val="single" w:sz="8" w:space="0" w:color="auto"/>
            </w:tcBorders>
            <w:shd w:val="clear" w:color="000000" w:fill="244062"/>
            <w:vAlign w:val="center"/>
            <w:hideMark/>
          </w:tcPr>
          <w:p w14:paraId="71098637"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05" w:type="dxa"/>
            <w:tcBorders>
              <w:top w:val="single" w:sz="8" w:space="0" w:color="auto"/>
              <w:left w:val="nil"/>
              <w:bottom w:val="single" w:sz="8" w:space="0" w:color="auto"/>
              <w:right w:val="single" w:sz="8" w:space="0" w:color="auto"/>
            </w:tcBorders>
            <w:shd w:val="clear" w:color="auto" w:fill="E7E6E6" w:themeFill="background2"/>
            <w:vAlign w:val="center"/>
            <w:hideMark/>
          </w:tcPr>
          <w:p w14:paraId="156EF15B" w14:textId="237C1705"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П</w:t>
            </w:r>
            <w:r w:rsidR="0049715F" w:rsidRPr="00FF386D">
              <w:rPr>
                <w:rFonts w:ascii="Calibri Light" w:hAnsi="Calibri Light"/>
                <w:b/>
                <w:sz w:val="20"/>
              </w:rPr>
              <w:t>одстицање</w:t>
            </w:r>
            <w:r w:rsidRPr="00FF386D">
              <w:rPr>
                <w:rFonts w:ascii="Calibri Light" w:hAnsi="Calibri Light"/>
                <w:b/>
                <w:sz w:val="20"/>
              </w:rPr>
              <w:t xml:space="preserve"> енергетских услуга и уговора о енергетск</w:t>
            </w:r>
            <w:r w:rsidR="003F7364" w:rsidRPr="00FF386D">
              <w:rPr>
                <w:rFonts w:ascii="Calibri Light" w:hAnsi="Calibri Light"/>
                <w:b/>
                <w:sz w:val="20"/>
              </w:rPr>
              <w:t>ом учинку</w:t>
            </w:r>
            <w:r w:rsidRPr="00FF386D">
              <w:rPr>
                <w:rFonts w:ascii="Calibri Light" w:hAnsi="Calibri Light"/>
                <w:b/>
                <w:sz w:val="20"/>
              </w:rPr>
              <w:t xml:space="preserve"> </w:t>
            </w:r>
            <w:r w:rsidR="003F7364" w:rsidRPr="00FF386D">
              <w:rPr>
                <w:rFonts w:ascii="Calibri Light" w:hAnsi="Calibri Light"/>
                <w:b/>
                <w:sz w:val="20"/>
              </w:rPr>
              <w:t xml:space="preserve">путем </w:t>
            </w:r>
            <w:r w:rsidRPr="00FF386D">
              <w:rPr>
                <w:rFonts w:ascii="Calibri Light" w:hAnsi="Calibri Light"/>
                <w:b/>
                <w:sz w:val="20"/>
              </w:rPr>
              <w:t>до</w:t>
            </w:r>
            <w:r w:rsidR="003F7364" w:rsidRPr="00FF386D">
              <w:rPr>
                <w:rFonts w:ascii="Calibri Light" w:hAnsi="Calibri Light"/>
                <w:b/>
                <w:sz w:val="20"/>
              </w:rPr>
              <w:t>пунских</w:t>
            </w:r>
            <w:r w:rsidRPr="00FF386D">
              <w:rPr>
                <w:rFonts w:ascii="Calibri Light" w:hAnsi="Calibri Light"/>
                <w:b/>
                <w:sz w:val="20"/>
              </w:rPr>
              <w:t xml:space="preserve"> активности</w:t>
            </w:r>
          </w:p>
        </w:tc>
      </w:tr>
      <w:tr w:rsidR="00854ADA" w:rsidRPr="00FF386D" w14:paraId="25012910" w14:textId="77777777" w:rsidTr="0057310C">
        <w:trPr>
          <w:trHeight w:val="496"/>
        </w:trPr>
        <w:tc>
          <w:tcPr>
            <w:tcW w:w="3304" w:type="dxa"/>
            <w:tcBorders>
              <w:top w:val="nil"/>
              <w:left w:val="single" w:sz="8" w:space="0" w:color="auto"/>
              <w:bottom w:val="single" w:sz="8" w:space="0" w:color="auto"/>
              <w:right w:val="nil"/>
            </w:tcBorders>
            <w:shd w:val="clear" w:color="000000" w:fill="244062"/>
            <w:vAlign w:val="center"/>
            <w:hideMark/>
          </w:tcPr>
          <w:p w14:paraId="69563B3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2C2B2E83" w14:textId="660D391A" w:rsidR="00854ADA" w:rsidRPr="000A2AFE" w:rsidRDefault="003F7364"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Примена</w:t>
            </w:r>
            <w:r w:rsidR="00854ADA" w:rsidRPr="00FF386D">
              <w:rPr>
                <w:rFonts w:ascii="Calibri Light" w:hAnsi="Calibri Light"/>
                <w:sz w:val="20"/>
              </w:rPr>
              <w:t xml:space="preserve"> чланова Директиве </w:t>
            </w:r>
            <w:r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2018/2002</w:t>
            </w:r>
            <w:r w:rsidRPr="00FF386D">
              <w:rPr>
                <w:rFonts w:ascii="Calibri Light" w:hAnsi="Calibri Light"/>
                <w:sz w:val="20"/>
              </w:rPr>
              <w:t>, и то</w:t>
            </w:r>
            <w:r w:rsidR="00854ADA" w:rsidRPr="000A2AFE">
              <w:rPr>
                <w:rFonts w:ascii="Calibri Light" w:eastAsia="Times New Roman" w:hAnsi="Calibri Light" w:cs="Calibri Light"/>
                <w:color w:val="000000"/>
                <w:sz w:val="20"/>
                <w:szCs w:val="20"/>
                <w:lang w:eastAsia="en-GB"/>
              </w:rPr>
              <w:t>:</w:t>
            </w:r>
          </w:p>
          <w:p w14:paraId="0FA41688" w14:textId="2E6F3B15" w:rsidR="00854ADA" w:rsidRPr="00FF386D" w:rsidRDefault="00854ADA" w:rsidP="00854ADA">
            <w:pPr>
              <w:numPr>
                <w:ilvl w:val="0"/>
                <w:numId w:val="151"/>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49715F"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3</w:t>
            </w:r>
          </w:p>
        </w:tc>
      </w:tr>
      <w:tr w:rsidR="00854ADA" w:rsidRPr="00FF386D" w14:paraId="5E75E608"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3891137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30A5A9F5"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Допринос МП ЕЕ1 МП ЕЕ3</w:t>
            </w:r>
          </w:p>
        </w:tc>
      </w:tr>
      <w:tr w:rsidR="00854ADA" w:rsidRPr="00FF386D" w14:paraId="122EDC80" w14:textId="77777777" w:rsidTr="0057310C">
        <w:trPr>
          <w:trHeight w:val="287"/>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6C06AC6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250028ED" w14:textId="5B5649CE" w:rsidR="00854ADA" w:rsidRPr="00FF386D" w:rsidRDefault="00854ADA" w:rsidP="00663312">
            <w:pPr>
              <w:spacing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szCs w:val="20"/>
              </w:rPr>
              <w:t xml:space="preserve">МП_ЕЕ27 ће </w:t>
            </w:r>
            <w:r w:rsidR="00A629DD" w:rsidRPr="00FF386D">
              <w:rPr>
                <w:rFonts w:ascii="Calibri Light" w:hAnsi="Calibri Light"/>
                <w:sz w:val="20"/>
                <w:szCs w:val="20"/>
              </w:rPr>
              <w:t>развити</w:t>
            </w:r>
            <w:r w:rsidRPr="00FF386D">
              <w:rPr>
                <w:rFonts w:ascii="Calibri Light" w:hAnsi="Calibri Light"/>
                <w:sz w:val="20"/>
                <w:szCs w:val="20"/>
              </w:rPr>
              <w:t xml:space="preserve"> </w:t>
            </w:r>
            <w:r w:rsidR="00A629DD" w:rsidRPr="00FF386D">
              <w:rPr>
                <w:rFonts w:ascii="Calibri Light" w:hAnsi="Calibri Light"/>
                <w:sz w:val="20"/>
                <w:szCs w:val="20"/>
              </w:rPr>
              <w:t>свеобухватан</w:t>
            </w:r>
            <w:r w:rsidRPr="00FF386D">
              <w:rPr>
                <w:rFonts w:ascii="Calibri Light" w:hAnsi="Calibri Light"/>
                <w:sz w:val="20"/>
                <w:szCs w:val="20"/>
              </w:rPr>
              <w:t xml:space="preserve"> оквир за промовисање енергетских услуг</w:t>
            </w:r>
            <w:r w:rsidR="0049715F" w:rsidRPr="00FF386D">
              <w:rPr>
                <w:rFonts w:ascii="Calibri Light" w:hAnsi="Calibri Light"/>
                <w:sz w:val="20"/>
                <w:szCs w:val="20"/>
              </w:rPr>
              <w:t>а уклањањем</w:t>
            </w:r>
            <w:r w:rsidRPr="00FF386D">
              <w:rPr>
                <w:rFonts w:ascii="Calibri Light" w:hAnsi="Calibri Light"/>
                <w:sz w:val="20"/>
                <w:szCs w:val="20"/>
              </w:rPr>
              <w:t xml:space="preserve"> потенцијалн</w:t>
            </w:r>
            <w:r w:rsidR="0049715F" w:rsidRPr="00FF386D">
              <w:rPr>
                <w:rFonts w:ascii="Calibri Light" w:hAnsi="Calibri Light"/>
                <w:sz w:val="20"/>
                <w:szCs w:val="20"/>
              </w:rPr>
              <w:t>их</w:t>
            </w:r>
            <w:r w:rsidRPr="00FF386D">
              <w:rPr>
                <w:rFonts w:ascii="Calibri Light" w:hAnsi="Calibri Light"/>
                <w:sz w:val="20"/>
                <w:szCs w:val="20"/>
              </w:rPr>
              <w:t xml:space="preserve"> </w:t>
            </w:r>
            <w:r w:rsidR="00A629DD" w:rsidRPr="00FF386D">
              <w:rPr>
                <w:rFonts w:ascii="Calibri Light" w:hAnsi="Calibri Light"/>
                <w:sz w:val="20"/>
                <w:szCs w:val="20"/>
              </w:rPr>
              <w:t>препрек</w:t>
            </w:r>
            <w:r w:rsidR="0049715F" w:rsidRPr="00FF386D">
              <w:rPr>
                <w:rFonts w:ascii="Calibri Light" w:hAnsi="Calibri Light"/>
                <w:sz w:val="20"/>
                <w:szCs w:val="20"/>
              </w:rPr>
              <w:t>а</w:t>
            </w:r>
            <w:r w:rsidR="00A629DD" w:rsidRPr="00FF386D">
              <w:rPr>
                <w:rFonts w:ascii="Calibri Light" w:hAnsi="Calibri Light"/>
                <w:sz w:val="20"/>
                <w:szCs w:val="20"/>
              </w:rPr>
              <w:t>.</w:t>
            </w:r>
            <w:r w:rsidRPr="00FF386D">
              <w:rPr>
                <w:rFonts w:ascii="Calibri Light" w:hAnsi="Calibri Light"/>
                <w:sz w:val="20"/>
                <w:szCs w:val="20"/>
              </w:rPr>
              <w:t xml:space="preserve"> Прво, биће промовисани </w:t>
            </w:r>
            <w:r w:rsidR="00A629DD" w:rsidRPr="00FF386D">
              <w:rPr>
                <w:rFonts w:ascii="Calibri Light" w:hAnsi="Calibri Light"/>
                <w:sz w:val="20"/>
                <w:szCs w:val="20"/>
              </w:rPr>
              <w:t xml:space="preserve">постојећи </w:t>
            </w:r>
            <w:r w:rsidRPr="00FF386D">
              <w:rPr>
                <w:rFonts w:ascii="Calibri Light" w:hAnsi="Calibri Light"/>
                <w:sz w:val="20"/>
                <w:szCs w:val="20"/>
              </w:rPr>
              <w:t>стандардни уговор</w:t>
            </w:r>
            <w:r w:rsidR="00A629DD" w:rsidRPr="00FF386D">
              <w:rPr>
                <w:rFonts w:ascii="Calibri Light" w:hAnsi="Calibri Light"/>
                <w:sz w:val="20"/>
                <w:szCs w:val="20"/>
              </w:rPr>
              <w:t xml:space="preserve">и и развијаће се </w:t>
            </w:r>
            <w:r w:rsidRPr="00FF386D">
              <w:rPr>
                <w:rFonts w:ascii="Calibri Light" w:hAnsi="Calibri Light"/>
                <w:sz w:val="20"/>
                <w:szCs w:val="20"/>
              </w:rPr>
              <w:t>циљане смерниц</w:t>
            </w:r>
            <w:r w:rsidR="00A629DD" w:rsidRPr="00FF386D">
              <w:rPr>
                <w:rFonts w:ascii="Calibri Light" w:hAnsi="Calibri Light"/>
                <w:sz w:val="20"/>
                <w:szCs w:val="20"/>
              </w:rPr>
              <w:t>е за</w:t>
            </w:r>
            <w:r w:rsidRPr="00FF386D">
              <w:rPr>
                <w:rFonts w:ascii="Calibri Light" w:hAnsi="Calibri Light"/>
                <w:sz w:val="20"/>
                <w:szCs w:val="20"/>
              </w:rPr>
              <w:t xml:space="preserve"> израд</w:t>
            </w:r>
            <w:r w:rsidR="00A629DD" w:rsidRPr="00FF386D">
              <w:rPr>
                <w:rFonts w:ascii="Calibri Light" w:hAnsi="Calibri Light"/>
                <w:sz w:val="20"/>
                <w:szCs w:val="20"/>
              </w:rPr>
              <w:t>у</w:t>
            </w:r>
            <w:r w:rsidRPr="00FF386D">
              <w:rPr>
                <w:rFonts w:ascii="Calibri Light" w:hAnsi="Calibri Light"/>
                <w:sz w:val="20"/>
                <w:szCs w:val="20"/>
              </w:rPr>
              <w:t xml:space="preserve"> и спровођење пројеката енергетске ефикасности </w:t>
            </w:r>
            <w:r w:rsidR="000C6DAA" w:rsidRPr="00FF386D">
              <w:rPr>
                <w:rFonts w:ascii="Calibri Light" w:hAnsi="Calibri Light"/>
                <w:sz w:val="20"/>
                <w:szCs w:val="20"/>
              </w:rPr>
              <w:t>на основу</w:t>
            </w:r>
            <w:r w:rsidRPr="00FF386D">
              <w:rPr>
                <w:rFonts w:ascii="Calibri Light" w:hAnsi="Calibri Light"/>
                <w:sz w:val="20"/>
                <w:szCs w:val="20"/>
              </w:rPr>
              <w:t xml:space="preserve"> уговор</w:t>
            </w:r>
            <w:r w:rsidR="000C6DAA" w:rsidRPr="00FF386D">
              <w:rPr>
                <w:rFonts w:ascii="Calibri Light" w:hAnsi="Calibri Light"/>
                <w:sz w:val="20"/>
                <w:szCs w:val="20"/>
              </w:rPr>
              <w:t>а</w:t>
            </w:r>
            <w:r w:rsidRPr="00FF386D">
              <w:rPr>
                <w:rFonts w:ascii="Calibri Light" w:hAnsi="Calibri Light"/>
                <w:sz w:val="20"/>
                <w:szCs w:val="20"/>
              </w:rPr>
              <w:t xml:space="preserve"> о енергетским услугама. Подстицаће се примена новог правилника о моделима уговора и правилника о минималним захтевима за зграде које примењују уговор о ефикасном снабдевању енергијом у складу са одредбама чл. 43-47. Закона о енергетској ефикасности и рационалној употреби енергије. </w:t>
            </w:r>
            <w:r w:rsidRPr="00FF386D">
              <w:rPr>
                <w:rFonts w:ascii="Calibri Light" w:hAnsi="Calibri Light"/>
                <w:sz w:val="20"/>
              </w:rPr>
              <w:t>Спровођење програма техничке обуке и пружањ</w:t>
            </w:r>
            <w:r w:rsidR="0049715F" w:rsidRPr="00FF386D">
              <w:rPr>
                <w:rFonts w:ascii="Calibri Light" w:hAnsi="Calibri Light"/>
                <w:sz w:val="20"/>
              </w:rPr>
              <w:t>а</w:t>
            </w:r>
            <w:r w:rsidRPr="00FF386D">
              <w:rPr>
                <w:rFonts w:ascii="Calibri Light" w:hAnsi="Calibri Light"/>
                <w:sz w:val="20"/>
              </w:rPr>
              <w:t xml:space="preserve"> техничке помоћи ће оспособит</w:t>
            </w:r>
            <w:r w:rsidR="0049715F" w:rsidRPr="00FF386D">
              <w:rPr>
                <w:rFonts w:ascii="Calibri Light" w:hAnsi="Calibri Light"/>
                <w:sz w:val="20"/>
              </w:rPr>
              <w:t>и</w:t>
            </w:r>
            <w:r w:rsidRPr="00FF386D">
              <w:rPr>
                <w:rFonts w:ascii="Calibri Light" w:hAnsi="Calibri Light"/>
                <w:sz w:val="20"/>
              </w:rPr>
              <w:t xml:space="preserve"> укључене стране и дове</w:t>
            </w:r>
            <w:r w:rsidR="000C6DAA" w:rsidRPr="00FF386D">
              <w:rPr>
                <w:rFonts w:ascii="Calibri Light" w:hAnsi="Calibri Light"/>
                <w:sz w:val="20"/>
              </w:rPr>
              <w:t>шће</w:t>
            </w:r>
            <w:r w:rsidRPr="00FF386D">
              <w:rPr>
                <w:rFonts w:ascii="Calibri Light" w:hAnsi="Calibri Light"/>
                <w:sz w:val="20"/>
              </w:rPr>
              <w:t xml:space="preserve"> до успешних студија случаја. </w:t>
            </w:r>
            <w:r w:rsidRPr="00FF386D">
              <w:rPr>
                <w:rFonts w:ascii="Calibri Light" w:hAnsi="Calibri Light"/>
                <w:sz w:val="20"/>
                <w:szCs w:val="20"/>
              </w:rPr>
              <w:t>Примењиваће се постојећ</w:t>
            </w:r>
            <w:r w:rsidR="00A629DD" w:rsidRPr="00FF386D">
              <w:rPr>
                <w:rFonts w:ascii="Calibri Light" w:hAnsi="Calibri Light"/>
                <w:sz w:val="20"/>
                <w:szCs w:val="20"/>
              </w:rPr>
              <w:t>и поступци</w:t>
            </w:r>
            <w:r w:rsidRPr="00FF386D">
              <w:rPr>
                <w:rFonts w:ascii="Calibri Light" w:hAnsi="Calibri Light"/>
                <w:sz w:val="20"/>
                <w:szCs w:val="20"/>
              </w:rPr>
              <w:t xml:space="preserve"> јавних набавки, </w:t>
            </w:r>
            <w:r w:rsidR="000C6DAA" w:rsidRPr="00FF386D">
              <w:rPr>
                <w:rFonts w:ascii="Calibri Light" w:hAnsi="Calibri Light"/>
                <w:sz w:val="20"/>
                <w:szCs w:val="20"/>
              </w:rPr>
              <w:t xml:space="preserve">а </w:t>
            </w:r>
            <w:r w:rsidRPr="00FF386D">
              <w:rPr>
                <w:rFonts w:ascii="Calibri Light" w:hAnsi="Calibri Light"/>
                <w:sz w:val="20"/>
                <w:szCs w:val="20"/>
              </w:rPr>
              <w:t xml:space="preserve">постојећи законодавни оквир </w:t>
            </w:r>
            <w:r w:rsidR="00A629DD" w:rsidRPr="00FF386D">
              <w:rPr>
                <w:rFonts w:ascii="Calibri Light" w:hAnsi="Calibri Light"/>
                <w:sz w:val="20"/>
                <w:szCs w:val="20"/>
              </w:rPr>
              <w:t xml:space="preserve">ће </w:t>
            </w:r>
            <w:r w:rsidRPr="00FF386D">
              <w:rPr>
                <w:rFonts w:ascii="Calibri Light" w:hAnsi="Calibri Light"/>
                <w:sz w:val="20"/>
                <w:szCs w:val="20"/>
              </w:rPr>
              <w:t xml:space="preserve">бити унапређен како би постао ефикаснији. Коначно, биће </w:t>
            </w:r>
            <w:r w:rsidR="00A629DD" w:rsidRPr="00FF386D">
              <w:rPr>
                <w:rFonts w:ascii="Calibri Light" w:hAnsi="Calibri Light"/>
                <w:sz w:val="20"/>
                <w:szCs w:val="20"/>
              </w:rPr>
              <w:t>одређени</w:t>
            </w:r>
            <w:r w:rsidRPr="00FF386D">
              <w:rPr>
                <w:rFonts w:ascii="Calibri Light" w:hAnsi="Calibri Light"/>
                <w:sz w:val="20"/>
                <w:szCs w:val="20"/>
              </w:rPr>
              <w:t xml:space="preserve"> различити органи за i) праћење законодавства о уговорима о енергетском учинку који обезбеђују </w:t>
            </w:r>
            <w:r w:rsidR="000C6DAA" w:rsidRPr="00FF386D">
              <w:rPr>
                <w:rFonts w:ascii="Calibri Light" w:hAnsi="Calibri Light"/>
                <w:sz w:val="20"/>
                <w:szCs w:val="20"/>
              </w:rPr>
              <w:t>уклањање</w:t>
            </w:r>
            <w:r w:rsidRPr="00FF386D">
              <w:rPr>
                <w:rFonts w:ascii="Calibri Light" w:hAnsi="Calibri Light"/>
                <w:sz w:val="20"/>
                <w:szCs w:val="20"/>
              </w:rPr>
              <w:t xml:space="preserve"> потенцијалних тржишних </w:t>
            </w:r>
            <w:r w:rsidR="000C6DAA" w:rsidRPr="00FF386D">
              <w:rPr>
                <w:rFonts w:ascii="Calibri Light" w:hAnsi="Calibri Light"/>
                <w:sz w:val="20"/>
                <w:szCs w:val="20"/>
              </w:rPr>
              <w:t>препрека</w:t>
            </w:r>
            <w:r w:rsidRPr="00FF386D">
              <w:rPr>
                <w:rFonts w:ascii="Calibri Light" w:hAnsi="Calibri Light"/>
                <w:sz w:val="20"/>
                <w:szCs w:val="20"/>
              </w:rPr>
              <w:t>, ii) преузимање улоге независног механизма, као што је омбудсман</w:t>
            </w:r>
            <w:r w:rsidR="000C6DAA" w:rsidRPr="00FF386D">
              <w:rPr>
                <w:rFonts w:ascii="Calibri Light" w:hAnsi="Calibri Light"/>
                <w:sz w:val="20"/>
                <w:szCs w:val="20"/>
              </w:rPr>
              <w:t>,</w:t>
            </w:r>
            <w:r w:rsidRPr="00FF386D">
              <w:rPr>
                <w:rFonts w:ascii="Calibri Light" w:hAnsi="Calibri Light"/>
                <w:sz w:val="20"/>
                <w:szCs w:val="20"/>
              </w:rPr>
              <w:t xml:space="preserve"> за ефикасно решавање притужби и вансудско решавање спорова </w:t>
            </w:r>
            <w:r w:rsidR="000C6DAA" w:rsidRPr="00FF386D">
              <w:rPr>
                <w:rFonts w:ascii="Calibri Light" w:hAnsi="Calibri Light"/>
                <w:sz w:val="20"/>
                <w:szCs w:val="20"/>
              </w:rPr>
              <w:t>који произилазе из</w:t>
            </w:r>
            <w:r w:rsidRPr="00FF386D">
              <w:rPr>
                <w:rFonts w:ascii="Calibri Light" w:hAnsi="Calibri Light"/>
                <w:sz w:val="20"/>
                <w:szCs w:val="20"/>
              </w:rPr>
              <w:t xml:space="preserve"> уговора о енергетским услугама и iii) преузимање улоге независног тржишног посредника у циљу </w:t>
            </w:r>
            <w:r w:rsidR="000C6DAA" w:rsidRPr="00FF386D">
              <w:rPr>
                <w:rFonts w:ascii="Calibri Light" w:hAnsi="Calibri Light"/>
                <w:sz w:val="20"/>
                <w:szCs w:val="20"/>
              </w:rPr>
              <w:t>подстицања</w:t>
            </w:r>
            <w:r w:rsidRPr="00FF386D">
              <w:rPr>
                <w:rFonts w:ascii="Calibri Light" w:hAnsi="Calibri Light"/>
                <w:sz w:val="20"/>
                <w:szCs w:val="20"/>
              </w:rPr>
              <w:t xml:space="preserve"> развоја тржишта на страни потражње и понуде.</w:t>
            </w:r>
          </w:p>
        </w:tc>
      </w:tr>
      <w:tr w:rsidR="00854ADA" w:rsidRPr="00FF386D" w14:paraId="79FBBFBC"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2ACDCA2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33D12817" w14:textId="788C9A01"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3F7364" w:rsidRPr="00FF386D">
              <w:rPr>
                <w:rFonts w:ascii="Calibri Light" w:hAnsi="Calibri Light"/>
                <w:sz w:val="20"/>
              </w:rPr>
              <w:t>5</w:t>
            </w:r>
            <w:r w:rsidRPr="00FF386D">
              <w:rPr>
                <w:rFonts w:ascii="Calibri Light" w:hAnsi="Calibri Light"/>
                <w:sz w:val="20"/>
              </w:rPr>
              <w:t>-20</w:t>
            </w:r>
            <w:r w:rsidR="007E7195">
              <w:rPr>
                <w:rFonts w:ascii="Calibri Light" w:hAnsi="Calibri Light"/>
                <w:sz w:val="20"/>
              </w:rPr>
              <w:t>26</w:t>
            </w:r>
            <w:r w:rsidRPr="00FF386D">
              <w:rPr>
                <w:rFonts w:ascii="Calibri Light" w:hAnsi="Calibri Light"/>
                <w:sz w:val="20"/>
              </w:rPr>
              <w:t>.</w:t>
            </w:r>
          </w:p>
        </w:tc>
      </w:tr>
      <w:tr w:rsidR="00854ADA" w:rsidRPr="00FF386D" w14:paraId="2EB6C918"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49F7972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Тип мере</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3A6E260E"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Реформа</w:t>
            </w:r>
          </w:p>
        </w:tc>
      </w:tr>
      <w:tr w:rsidR="00854ADA" w:rsidRPr="00FF386D" w14:paraId="0D4D4E56"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354D67A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758F1609"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Јавни, комерцијални, индустријски</w:t>
            </w:r>
          </w:p>
        </w:tc>
      </w:tr>
      <w:tr w:rsidR="00854ADA" w:rsidRPr="00FF386D" w14:paraId="78F014BD"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69C2DE7B" w14:textId="580ED1EA" w:rsidR="00854ADA" w:rsidRPr="000A2AFE" w:rsidRDefault="00A629DD" w:rsidP="00A629DD">
            <w:pPr>
              <w:spacing w:after="0" w:line="240" w:lineRule="auto"/>
              <w:contextualSpacing/>
              <w:rPr>
                <w:rFonts w:ascii="Calibri Light" w:eastAsia="Times New Roman" w:hAnsi="Calibri Light" w:cs="Calibri Light"/>
                <w:color w:val="000000"/>
                <w:sz w:val="20"/>
                <w:szCs w:val="20"/>
                <w:lang w:eastAsia="en-GB"/>
              </w:rPr>
            </w:pPr>
            <w:r w:rsidRPr="00FF386D">
              <w:rPr>
                <w:rFonts w:asciiTheme="majorHAnsi" w:hAnsiTheme="majorHAnsi" w:cstheme="majorHAnsi"/>
                <w:b/>
                <w:bCs/>
                <w:sz w:val="20"/>
                <w:szCs w:val="20"/>
              </w:rPr>
              <w:t>Извршни орган</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73DDF916" w14:textId="77777777" w:rsidR="00854ADA" w:rsidRPr="000A2AFE" w:rsidRDefault="00854ADA" w:rsidP="00854ADA">
            <w:pPr>
              <w:numPr>
                <w:ilvl w:val="0"/>
                <w:numId w:val="151"/>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рударства и енергетике - Управа ЕЕ</w:t>
            </w:r>
          </w:p>
          <w:p w14:paraId="25A9AA1E" w14:textId="77777777" w:rsidR="00854ADA" w:rsidRPr="000A2AFE" w:rsidRDefault="00854ADA" w:rsidP="00854ADA">
            <w:pPr>
              <w:numPr>
                <w:ilvl w:val="0"/>
                <w:numId w:val="151"/>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Комисија за јавно приватно партнерство</w:t>
            </w:r>
          </w:p>
        </w:tc>
      </w:tr>
      <w:tr w:rsidR="00854ADA" w:rsidRPr="00FF386D" w14:paraId="25B518D0" w14:textId="77777777" w:rsidTr="0057310C">
        <w:trPr>
          <w:trHeight w:val="315"/>
        </w:trPr>
        <w:tc>
          <w:tcPr>
            <w:tcW w:w="3304" w:type="dxa"/>
            <w:tcBorders>
              <w:top w:val="nil"/>
              <w:left w:val="single" w:sz="8" w:space="0" w:color="auto"/>
              <w:bottom w:val="single" w:sz="8" w:space="0" w:color="auto"/>
              <w:right w:val="nil"/>
            </w:tcBorders>
            <w:shd w:val="clear" w:color="000000" w:fill="244062"/>
            <w:vAlign w:val="center"/>
            <w:hideMark/>
          </w:tcPr>
          <w:p w14:paraId="2D58A0A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3C18FD2A" w14:textId="5B6762D4" w:rsidR="00854ADA" w:rsidRPr="000A2AFE" w:rsidRDefault="007E7195" w:rsidP="000A2AFE">
            <w:pPr>
              <w:pStyle w:val="ListParagraph"/>
              <w:numPr>
                <w:ilvl w:val="0"/>
                <w:numId w:val="340"/>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27F5D716" w14:textId="77777777" w:rsidTr="0057310C">
        <w:trPr>
          <w:trHeight w:val="315"/>
        </w:trPr>
        <w:tc>
          <w:tcPr>
            <w:tcW w:w="3304" w:type="dxa"/>
            <w:tcBorders>
              <w:top w:val="nil"/>
              <w:left w:val="single" w:sz="8" w:space="0" w:color="auto"/>
              <w:bottom w:val="single" w:sz="8" w:space="0" w:color="auto"/>
              <w:right w:val="nil"/>
            </w:tcBorders>
            <w:shd w:val="clear" w:color="000000" w:fill="244062"/>
            <w:vAlign w:val="center"/>
            <w:hideMark/>
          </w:tcPr>
          <w:p w14:paraId="2F85B44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376139DE" w14:textId="77777777" w:rsidR="00854ADA" w:rsidRPr="000A2AFE" w:rsidRDefault="00854ADA" w:rsidP="000A2AFE">
            <w:pPr>
              <w:pStyle w:val="ListParagraph"/>
              <w:numPr>
                <w:ilvl w:val="0"/>
                <w:numId w:val="340"/>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Број уговора о енергетским услугама</w:t>
            </w:r>
          </w:p>
        </w:tc>
      </w:tr>
      <w:tr w:rsidR="00854ADA" w:rsidRPr="00FF386D" w14:paraId="758A0EC5" w14:textId="77777777" w:rsidTr="0057310C">
        <w:trPr>
          <w:trHeight w:val="257"/>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1D492DE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00BF95C8" w14:textId="44FD02FC" w:rsidR="007E7195" w:rsidRPr="007E7195" w:rsidRDefault="007E7195" w:rsidP="007E7195">
            <w:pPr>
              <w:numPr>
                <w:ilvl w:val="0"/>
                <w:numId w:val="151"/>
              </w:numPr>
              <w:spacing w:after="0" w:line="240" w:lineRule="auto"/>
              <w:contextualSpacing/>
              <w:rPr>
                <w:rFonts w:ascii="Calibri Light" w:eastAsia="Times New Roman" w:hAnsi="Calibri Light" w:cs="Calibri Light"/>
                <w:color w:val="000000"/>
                <w:sz w:val="20"/>
                <w:szCs w:val="20"/>
                <w:lang w:eastAsia="en-GB"/>
              </w:rPr>
            </w:pPr>
            <w:r w:rsidRPr="007E7195">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7E7195">
              <w:rPr>
                <w:rFonts w:ascii="Calibri Light" w:eastAsia="Times New Roman" w:hAnsi="Calibri Light" w:cs="Calibri Light"/>
                <w:i/>
                <w:iCs/>
                <w:color w:val="000000"/>
                <w:sz w:val="20"/>
                <w:szCs w:val="20"/>
                <w:lang w:val="en-US" w:eastAsia="en-GB"/>
              </w:rPr>
              <w:t>GHG</w:t>
            </w:r>
            <w:r w:rsidRPr="007E7195">
              <w:rPr>
                <w:rFonts w:ascii="Calibri Light" w:eastAsia="Times New Roman" w:hAnsi="Calibri Light" w:cs="Calibri Light"/>
                <w:i/>
                <w:iCs/>
                <w:color w:val="000000"/>
                <w:sz w:val="20"/>
                <w:szCs w:val="20"/>
                <w:lang w:eastAsia="en-GB"/>
              </w:rPr>
              <w:t>,</w:t>
            </w:r>
            <w:r w:rsidRPr="007E7195">
              <w:rPr>
                <w:rFonts w:ascii="Calibri Light" w:eastAsia="Times New Roman" w:hAnsi="Calibri Light" w:cs="Calibri Light"/>
                <w:color w:val="000000"/>
                <w:sz w:val="20"/>
                <w:szCs w:val="20"/>
                <w:lang w:eastAsia="en-GB"/>
              </w:rPr>
              <w:t xml:space="preserve"> а коришћење технологија ОИЕ ће повећати удео ОИЕ у грејању и хлађењу)</w:t>
            </w:r>
          </w:p>
          <w:p w14:paraId="1B71BDC6" w14:textId="75206AB3" w:rsidR="00854ADA" w:rsidRPr="00FF386D" w:rsidRDefault="007E7195" w:rsidP="007E7195">
            <w:pPr>
              <w:numPr>
                <w:ilvl w:val="0"/>
                <w:numId w:val="151"/>
              </w:numPr>
              <w:spacing w:after="0" w:line="240" w:lineRule="auto"/>
              <w:contextualSpacing/>
              <w:rPr>
                <w:rFonts w:ascii="Calibri Light" w:eastAsia="Times New Roman" w:hAnsi="Calibri Light" w:cs="Calibri Light"/>
                <w:color w:val="000000"/>
                <w:sz w:val="20"/>
                <w:szCs w:val="20"/>
                <w:lang w:eastAsia="en-GB"/>
              </w:rPr>
            </w:pPr>
            <w:r w:rsidRPr="007E7195">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w:t>
            </w:r>
            <w:r w:rsidR="00054666">
              <w:rPr>
                <w:rFonts w:ascii="Calibri Light" w:eastAsia="Times New Roman" w:hAnsi="Calibri Light" w:cs="Calibri Light"/>
                <w:color w:val="000000"/>
                <w:sz w:val="20"/>
                <w:szCs w:val="20"/>
                <w:lang w:eastAsia="en-GB"/>
              </w:rPr>
              <w:t>а увезених</w:t>
            </w:r>
            <w:r w:rsidRPr="007E7195">
              <w:rPr>
                <w:rFonts w:ascii="Calibri Light" w:eastAsia="Times New Roman" w:hAnsi="Calibri Light" w:cs="Calibri Light"/>
                <w:color w:val="000000"/>
                <w:sz w:val="20"/>
                <w:szCs w:val="20"/>
                <w:lang w:eastAsia="en-GB"/>
              </w:rPr>
              <w:t xml:space="preserve"> фосилних горива што ће довести до смањења зависности од увоза енергије из трећих земаља)</w:t>
            </w:r>
          </w:p>
        </w:tc>
      </w:tr>
      <w:tr w:rsidR="00854ADA" w:rsidRPr="00FF386D" w14:paraId="4214F002" w14:textId="77777777" w:rsidTr="0057310C">
        <w:trPr>
          <w:trHeight w:val="450"/>
        </w:trPr>
        <w:tc>
          <w:tcPr>
            <w:tcW w:w="3304"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4C65A476" w14:textId="37AC862F" w:rsidR="00854ADA" w:rsidRPr="00FF386D" w:rsidRDefault="00A629DD" w:rsidP="00A629DD">
            <w:pPr>
              <w:spacing w:after="0" w:line="240" w:lineRule="auto"/>
              <w:contextualSpacing/>
              <w:jc w:val="both"/>
              <w:rPr>
                <w:rFonts w:ascii="Calibri Light" w:hAnsi="Calibri Light"/>
                <w:color w:val="000000"/>
                <w:sz w:val="20"/>
              </w:rPr>
            </w:pPr>
            <w:r w:rsidRPr="00FF386D">
              <w:rPr>
                <w:rFonts w:asciiTheme="majorHAnsi" w:hAnsiTheme="majorHAnsi" w:cstheme="majorHAnsi"/>
                <w:b/>
                <w:bCs/>
                <w:sz w:val="20"/>
                <w:szCs w:val="20"/>
              </w:rPr>
              <w:t>Политике Уније која су резултирале имплементацијом ове МП</w:t>
            </w:r>
          </w:p>
        </w:tc>
        <w:tc>
          <w:tcPr>
            <w:tcW w:w="6154"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7263174F" w14:textId="489460D8" w:rsidR="00854ADA" w:rsidRPr="00FF386D" w:rsidRDefault="00854ADA" w:rsidP="00854ADA">
            <w:pPr>
              <w:numPr>
                <w:ilvl w:val="0"/>
                <w:numId w:val="151"/>
              </w:numPr>
              <w:spacing w:after="0" w:line="240" w:lineRule="auto"/>
              <w:contextualSpacing/>
              <w:rPr>
                <w:rFonts w:ascii="Calibri Light" w:hAnsi="Calibri Light"/>
                <w:color w:val="000000"/>
                <w:sz w:val="20"/>
              </w:rPr>
            </w:pPr>
            <w:r w:rsidRPr="00FF386D">
              <w:rPr>
                <w:rFonts w:ascii="Calibri Light" w:hAnsi="Calibri Light"/>
                <w:color w:val="000000"/>
                <w:sz w:val="20"/>
              </w:rPr>
              <w:t>Директива</w:t>
            </w:r>
            <w:r w:rsidR="00A629DD" w:rsidRPr="00FF386D">
              <w:rPr>
                <w:rFonts w:ascii="Calibri Light" w:hAnsi="Calibri Light"/>
                <w:color w:val="000000"/>
                <w:sz w:val="20"/>
              </w:rPr>
              <w:t xml:space="preserve"> (ЕУ) </w:t>
            </w:r>
            <w:r w:rsidRPr="00FF386D">
              <w:rPr>
                <w:rFonts w:ascii="Calibri Light" w:hAnsi="Calibri Light"/>
                <w:color w:val="000000"/>
                <w:sz w:val="20"/>
              </w:rPr>
              <w:t>2012/27</w:t>
            </w:r>
          </w:p>
          <w:p w14:paraId="5E8226BC" w14:textId="7F731ABF" w:rsidR="00854ADA" w:rsidRPr="00FF386D" w:rsidRDefault="00854ADA" w:rsidP="00854ADA">
            <w:pPr>
              <w:numPr>
                <w:ilvl w:val="0"/>
                <w:numId w:val="151"/>
              </w:numPr>
              <w:spacing w:after="0" w:line="240" w:lineRule="auto"/>
              <w:contextualSpacing/>
              <w:rPr>
                <w:rFonts w:ascii="Calibri Light" w:hAnsi="Calibri Light"/>
                <w:color w:val="000000"/>
                <w:sz w:val="20"/>
              </w:rPr>
            </w:pPr>
            <w:r w:rsidRPr="00FF386D">
              <w:rPr>
                <w:rFonts w:ascii="Calibri Light" w:hAnsi="Calibri Light"/>
                <w:color w:val="000000"/>
                <w:sz w:val="20"/>
              </w:rPr>
              <w:t>Директива</w:t>
            </w:r>
            <w:r w:rsidR="00A629DD" w:rsidRPr="00FF386D">
              <w:rPr>
                <w:rFonts w:ascii="Calibri Light" w:hAnsi="Calibri Light"/>
                <w:color w:val="000000"/>
                <w:sz w:val="20"/>
              </w:rPr>
              <w:t xml:space="preserve"> (ЕУ) </w:t>
            </w:r>
            <w:r w:rsidRPr="00FF386D">
              <w:rPr>
                <w:rFonts w:ascii="Calibri Light" w:hAnsi="Calibri Light"/>
                <w:color w:val="000000"/>
                <w:sz w:val="20"/>
              </w:rPr>
              <w:t>2018/2002</w:t>
            </w:r>
          </w:p>
        </w:tc>
      </w:tr>
      <w:tr w:rsidR="00854ADA" w:rsidRPr="00FF386D" w14:paraId="2E0E43B7" w14:textId="77777777" w:rsidTr="0057310C">
        <w:trPr>
          <w:trHeight w:val="450"/>
        </w:trPr>
        <w:tc>
          <w:tcPr>
            <w:tcW w:w="3304" w:type="dxa"/>
            <w:vMerge/>
            <w:tcBorders>
              <w:top w:val="nil"/>
              <w:left w:val="single" w:sz="8" w:space="0" w:color="auto"/>
              <w:bottom w:val="single" w:sz="8" w:space="0" w:color="000000"/>
              <w:right w:val="single" w:sz="8" w:space="0" w:color="auto"/>
            </w:tcBorders>
            <w:vAlign w:val="center"/>
            <w:hideMark/>
          </w:tcPr>
          <w:p w14:paraId="3848644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4" w:type="dxa"/>
            <w:gridSpan w:val="3"/>
            <w:vMerge/>
            <w:tcBorders>
              <w:top w:val="single" w:sz="8" w:space="0" w:color="auto"/>
              <w:left w:val="single" w:sz="8" w:space="0" w:color="auto"/>
              <w:bottom w:val="single" w:sz="8" w:space="0" w:color="000000"/>
              <w:right w:val="single" w:sz="8" w:space="0" w:color="000000"/>
            </w:tcBorders>
            <w:vAlign w:val="center"/>
            <w:hideMark/>
          </w:tcPr>
          <w:p w14:paraId="4C3BD2AE" w14:textId="77777777" w:rsidR="00854ADA" w:rsidRPr="00FF386D" w:rsidRDefault="00854ADA" w:rsidP="00854ADA">
            <w:pPr>
              <w:numPr>
                <w:ilvl w:val="0"/>
                <w:numId w:val="151"/>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008E6947" w14:textId="77777777" w:rsidTr="0057310C">
        <w:trPr>
          <w:trHeight w:val="450"/>
        </w:trPr>
        <w:tc>
          <w:tcPr>
            <w:tcW w:w="3304" w:type="dxa"/>
            <w:vMerge/>
            <w:tcBorders>
              <w:top w:val="nil"/>
              <w:left w:val="single" w:sz="8" w:space="0" w:color="auto"/>
              <w:bottom w:val="single" w:sz="8" w:space="0" w:color="000000"/>
              <w:right w:val="single" w:sz="8" w:space="0" w:color="auto"/>
            </w:tcBorders>
            <w:vAlign w:val="center"/>
            <w:hideMark/>
          </w:tcPr>
          <w:p w14:paraId="7448898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4" w:type="dxa"/>
            <w:gridSpan w:val="3"/>
            <w:vMerge/>
            <w:tcBorders>
              <w:top w:val="single" w:sz="8" w:space="0" w:color="auto"/>
              <w:left w:val="single" w:sz="8" w:space="0" w:color="auto"/>
              <w:bottom w:val="single" w:sz="8" w:space="0" w:color="000000"/>
              <w:right w:val="single" w:sz="8" w:space="0" w:color="000000"/>
            </w:tcBorders>
            <w:vAlign w:val="center"/>
            <w:hideMark/>
          </w:tcPr>
          <w:p w14:paraId="1DD1469B" w14:textId="77777777" w:rsidR="00854ADA" w:rsidRPr="00FF386D" w:rsidRDefault="00854ADA" w:rsidP="00854ADA">
            <w:pPr>
              <w:numPr>
                <w:ilvl w:val="0"/>
                <w:numId w:val="151"/>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74FD7EA3" w14:textId="77777777" w:rsidTr="0057310C">
        <w:trPr>
          <w:trHeight w:val="30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7269686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50D77703" w14:textId="045CFF02" w:rsidR="00854ADA" w:rsidRPr="00FF386D" w:rsidRDefault="00854ADA" w:rsidP="00854ADA">
            <w:pPr>
              <w:numPr>
                <w:ilvl w:val="0"/>
                <w:numId w:val="151"/>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енергетској</w:t>
            </w:r>
            <w:r w:rsidR="003E328C" w:rsidRPr="00FF386D">
              <w:rPr>
                <w:rFonts w:ascii="Calibri Light" w:eastAsia="Times New Roman" w:hAnsi="Calibri Light" w:cs="Calibri Light"/>
                <w:color w:val="000000"/>
                <w:sz w:val="20"/>
                <w:szCs w:val="20"/>
                <w:lang w:eastAsia="en-GB"/>
              </w:rPr>
              <w:t xml:space="preserve"> </w:t>
            </w:r>
            <w:r w:rsidRPr="00FF386D">
              <w:rPr>
                <w:rFonts w:ascii="Calibri Light" w:eastAsia="Times New Roman" w:hAnsi="Calibri Light" w:cs="Calibri Light"/>
                <w:color w:val="000000"/>
                <w:sz w:val="20"/>
                <w:szCs w:val="20"/>
                <w:lang w:eastAsia="en-GB"/>
              </w:rPr>
              <w:t>ефикасности и рационалној</w:t>
            </w:r>
            <w:r w:rsidR="003E328C" w:rsidRPr="00FF386D">
              <w:rPr>
                <w:rFonts w:ascii="Calibri Light" w:eastAsia="Times New Roman" w:hAnsi="Calibri Light" w:cs="Calibri Light"/>
                <w:color w:val="000000"/>
                <w:sz w:val="20"/>
                <w:szCs w:val="20"/>
                <w:lang w:eastAsia="en-GB"/>
              </w:rPr>
              <w:t xml:space="preserve"> </w:t>
            </w:r>
            <w:r w:rsidRPr="00FF386D">
              <w:rPr>
                <w:rFonts w:ascii="Calibri Light" w:eastAsia="Times New Roman" w:hAnsi="Calibri Light" w:cs="Calibri Light"/>
                <w:color w:val="000000"/>
                <w:sz w:val="20"/>
                <w:szCs w:val="20"/>
                <w:lang w:eastAsia="en-GB"/>
              </w:rPr>
              <w:t>употреби</w:t>
            </w:r>
            <w:r w:rsidR="003E328C" w:rsidRPr="00FF386D">
              <w:rPr>
                <w:rFonts w:ascii="Calibri Light" w:eastAsia="Times New Roman" w:hAnsi="Calibri Light" w:cs="Calibri Light"/>
                <w:color w:val="000000"/>
                <w:sz w:val="20"/>
                <w:szCs w:val="20"/>
                <w:lang w:eastAsia="en-GB"/>
              </w:rPr>
              <w:t xml:space="preserve"> </w:t>
            </w:r>
            <w:r w:rsidRPr="00FF386D">
              <w:rPr>
                <w:rFonts w:ascii="Calibri Light" w:eastAsia="Times New Roman" w:hAnsi="Calibri Light" w:cs="Calibri Light"/>
                <w:color w:val="000000"/>
                <w:sz w:val="20"/>
                <w:szCs w:val="20"/>
                <w:lang w:eastAsia="en-GB"/>
              </w:rPr>
              <w:t>енергије</w:t>
            </w:r>
          </w:p>
        </w:tc>
      </w:tr>
      <w:tr w:rsidR="00854ADA" w:rsidRPr="00FF386D" w14:paraId="498BB9D9"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3BF0172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04B5B274" w14:textId="0ECCE2E1"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 xml:space="preserve">Биће </w:t>
            </w:r>
            <w:r w:rsidR="00A629DD" w:rsidRPr="00FF386D">
              <w:rPr>
                <w:rFonts w:ascii="Calibri Light" w:eastAsia="Times New Roman" w:hAnsi="Calibri Light" w:cs="Calibri Light"/>
                <w:color w:val="000000"/>
                <w:sz w:val="20"/>
                <w:szCs w:val="20"/>
                <w:lang w:eastAsia="en-GB"/>
              </w:rPr>
              <w:t>обухваћени</w:t>
            </w:r>
            <w:r w:rsidR="003E328C" w:rsidRPr="00FF386D">
              <w:rPr>
                <w:rFonts w:ascii="Calibri Light" w:eastAsia="Times New Roman" w:hAnsi="Calibri Light" w:cs="Calibri Light"/>
                <w:color w:val="000000"/>
                <w:sz w:val="20"/>
                <w:szCs w:val="20"/>
                <w:lang w:eastAsia="en-GB"/>
              </w:rPr>
              <w:t xml:space="preserve"> </w:t>
            </w:r>
            <w:r w:rsidRPr="00FF386D">
              <w:rPr>
                <w:rFonts w:ascii="Calibri Light" w:eastAsia="Times New Roman" w:hAnsi="Calibri Light" w:cs="Calibri Light"/>
                <w:color w:val="000000"/>
                <w:sz w:val="20"/>
                <w:szCs w:val="20"/>
                <w:lang w:eastAsia="en-GB"/>
              </w:rPr>
              <w:t>и у МП_ЕЕ1, МП_ЕЕ2 и МП_ЕЕ3</w:t>
            </w:r>
          </w:p>
        </w:tc>
      </w:tr>
      <w:tr w:rsidR="00854ADA" w:rsidRPr="00FF386D" w14:paraId="4CE14A13"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10658C0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22B9CC59" w14:textId="49E701FF"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A629DD" w:rsidRPr="00FF386D">
              <w:rPr>
                <w:rFonts w:asciiTheme="majorHAnsi" w:eastAsia="Times New Roman" w:hAnsiTheme="majorHAnsi" w:cstheme="majorHAnsi"/>
                <w:color w:val="000000"/>
                <w:sz w:val="20"/>
                <w:szCs w:val="20"/>
                <w:lang w:eastAsia="en-GB"/>
              </w:rPr>
              <w:t>ска средства</w:t>
            </w:r>
          </w:p>
        </w:tc>
      </w:tr>
    </w:tbl>
    <w:p w14:paraId="79E38946" w14:textId="77777777" w:rsidR="00854ADA" w:rsidRPr="00FF386D" w:rsidRDefault="00854ADA" w:rsidP="00854ADA">
      <w:pPr>
        <w:widowControl w:val="0"/>
        <w:spacing w:after="120" w:line="240" w:lineRule="auto"/>
        <w:jc w:val="both"/>
        <w:rPr>
          <w:rFonts w:ascii="Calibri Light" w:eastAsia="Times New Roman" w:hAnsi="Calibri Light" w:cs="Calibri Light"/>
          <w:szCs w:val="20"/>
          <w:lang w:eastAsia="el-GR"/>
        </w:rPr>
      </w:pPr>
    </w:p>
    <w:p w14:paraId="2916427C" w14:textId="77777777" w:rsidR="00854ADA" w:rsidRPr="00FF386D" w:rsidRDefault="00854ADA">
      <w:pPr>
        <w:pStyle w:val="ListParagraph"/>
        <w:keepNext/>
        <w:keepLines/>
        <w:numPr>
          <w:ilvl w:val="0"/>
          <w:numId w:val="281"/>
        </w:numPr>
        <w:spacing w:before="200" w:after="0" w:line="240" w:lineRule="auto"/>
        <w:outlineLvl w:val="3"/>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t>Друге планиране политике, мере и програми за постизање индикативних националних циљева енергетске ефикасности за 2030. годину, као и других циљева приказаних у одељку 2.2.</w:t>
      </w:r>
    </w:p>
    <w:p w14:paraId="560152DB" w14:textId="77777777" w:rsidR="00854ADA" w:rsidRPr="00FF386D" w:rsidRDefault="00854ADA" w:rsidP="00854ADA">
      <w:pPr>
        <w:spacing w:before="160"/>
        <w:jc w:val="both"/>
        <w:rPr>
          <w:rFonts w:asciiTheme="majorHAnsi" w:hAnsiTheme="majorHAnsi" w:cstheme="majorHAnsi"/>
          <w:b/>
          <w:bCs/>
          <w:color w:val="000000"/>
          <w:u w:val="single"/>
        </w:rPr>
      </w:pPr>
      <w:r w:rsidRPr="00FF386D">
        <w:rPr>
          <w:rFonts w:asciiTheme="majorHAnsi" w:hAnsiTheme="majorHAnsi" w:cstheme="majorHAnsi"/>
          <w:b/>
          <w:bCs/>
          <w:color w:val="000000"/>
          <w:u w:val="single"/>
        </w:rPr>
        <w:t>Сектор саобраћаја</w:t>
      </w:r>
    </w:p>
    <w:p w14:paraId="0BD48429" w14:textId="2E3F2DED" w:rsidR="00854ADA" w:rsidRPr="00FF386D" w:rsidRDefault="000C6DA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Подстицање</w:t>
      </w:r>
      <w:r w:rsidR="00854ADA" w:rsidRPr="00FF386D">
        <w:rPr>
          <w:rFonts w:asciiTheme="majorHAnsi" w:hAnsiTheme="majorHAnsi" w:cstheme="majorHAnsi"/>
          <w:color w:val="000000"/>
        </w:rPr>
        <w:t xml:space="preserve"> енергетски ефикасних возила </w:t>
      </w:r>
      <w:r w:rsidRPr="00FF386D">
        <w:rPr>
          <w:rFonts w:asciiTheme="majorHAnsi" w:hAnsiTheme="majorHAnsi" w:cstheme="majorHAnsi"/>
          <w:color w:val="000000"/>
        </w:rPr>
        <w:t>давањем</w:t>
      </w:r>
      <w:r w:rsidR="00854ADA" w:rsidRPr="00FF386D">
        <w:rPr>
          <w:rFonts w:asciiTheme="majorHAnsi" w:hAnsiTheme="majorHAnsi" w:cstheme="majorHAnsi"/>
          <w:color w:val="000000"/>
        </w:rPr>
        <w:t xml:space="preserve"> посебних пореских олакшица </w:t>
      </w:r>
      <w:r w:rsidRPr="00FF386D">
        <w:rPr>
          <w:rFonts w:asciiTheme="majorHAnsi" w:hAnsiTheme="majorHAnsi" w:cstheme="majorHAnsi"/>
          <w:color w:val="000000"/>
        </w:rPr>
        <w:t>биће главни инструмент</w:t>
      </w:r>
      <w:r w:rsidR="00A12752" w:rsidRPr="00A12752">
        <w:t xml:space="preserve"> </w:t>
      </w:r>
      <w:r w:rsidR="00A12752" w:rsidRPr="00A12752">
        <w:rPr>
          <w:rFonts w:asciiTheme="majorHAnsi" w:hAnsiTheme="majorHAnsi" w:cstheme="majorHAnsi"/>
          <w:color w:val="000000"/>
        </w:rPr>
        <w:t>за повећање енергетске ефикасности у сектору саобраћаја</w:t>
      </w:r>
      <w:r w:rsidR="00854ADA" w:rsidRPr="00FF386D">
        <w:rPr>
          <w:rFonts w:asciiTheme="majorHAnsi" w:hAnsiTheme="majorHAnsi" w:cstheme="majorHAnsi"/>
          <w:color w:val="000000"/>
        </w:rPr>
        <w:t xml:space="preserve">. У случају да фискалне мере не буду довољне за постизање утврђених циљева, биће обезбеђени финансијски подстицаји крајњим купцима како би се у знатној мери подстакла замена конвенционалних возила новим енергетски ефикасним возилима. Такође, биће уведени </w:t>
      </w:r>
      <w:r w:rsidR="007C3722" w:rsidRPr="00FF386D">
        <w:rPr>
          <w:rFonts w:asciiTheme="majorHAnsi" w:hAnsiTheme="majorHAnsi" w:cstheme="majorHAnsi"/>
          <w:color w:val="000000"/>
        </w:rPr>
        <w:t>ригорознији</w:t>
      </w:r>
      <w:r w:rsidR="00854ADA" w:rsidRPr="00FF386D">
        <w:rPr>
          <w:rFonts w:asciiTheme="majorHAnsi" w:hAnsiTheme="majorHAnsi" w:cstheme="majorHAnsi"/>
          <w:color w:val="000000"/>
        </w:rPr>
        <w:t xml:space="preserve"> минимални захтеви у погледу примењених стандарда емисије штетних гасова за увезене половне путничке аутомобиле, </w:t>
      </w:r>
      <w:r w:rsidRPr="00FF386D">
        <w:rPr>
          <w:rFonts w:asciiTheme="majorHAnsi" w:hAnsiTheme="majorHAnsi" w:cstheme="majorHAnsi"/>
          <w:color w:val="000000"/>
        </w:rPr>
        <w:t>и тако</w:t>
      </w:r>
      <w:r w:rsidR="00854ADA" w:rsidRPr="00FF386D">
        <w:rPr>
          <w:rFonts w:asciiTheme="majorHAnsi" w:hAnsiTheme="majorHAnsi" w:cstheme="majorHAnsi"/>
          <w:color w:val="000000"/>
        </w:rPr>
        <w:t xml:space="preserve"> осигурати постизање прихватљивог нивоа енергетске ефикасности у односу на нова енергетски ефикасна горива.</w:t>
      </w:r>
    </w:p>
    <w:p w14:paraId="72DEE23F" w14:textId="7B95DC78"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Приоритет ће бити дат п</w:t>
      </w:r>
      <w:r w:rsidR="009E5BB4" w:rsidRPr="00FF386D">
        <w:rPr>
          <w:rFonts w:asciiTheme="majorHAnsi" w:hAnsiTheme="majorHAnsi" w:cstheme="majorHAnsi"/>
          <w:color w:val="000000"/>
        </w:rPr>
        <w:t>одстицању</w:t>
      </w:r>
      <w:r w:rsidRPr="00FF386D">
        <w:rPr>
          <w:rFonts w:asciiTheme="majorHAnsi" w:hAnsiTheme="majorHAnsi" w:cstheme="majorHAnsi"/>
          <w:color w:val="000000"/>
        </w:rPr>
        <w:t xml:space="preserve"> енергетске ефикасности у теретном саобраћају </w:t>
      </w:r>
      <w:r w:rsidR="009E5BB4" w:rsidRPr="00FF386D">
        <w:rPr>
          <w:rFonts w:asciiTheme="majorHAnsi" w:hAnsiTheme="majorHAnsi" w:cstheme="majorHAnsi"/>
          <w:color w:val="000000"/>
        </w:rPr>
        <w:t>кроз</w:t>
      </w:r>
      <w:r w:rsidRPr="00FF386D">
        <w:rPr>
          <w:rFonts w:asciiTheme="majorHAnsi" w:hAnsiTheme="majorHAnsi" w:cstheme="majorHAnsi"/>
          <w:color w:val="000000"/>
        </w:rPr>
        <w:t xml:space="preserve"> иницијативе као што су замена возног парка и омогућавање модалног преласка на друга превозна средства. У т</w:t>
      </w:r>
      <w:r w:rsidR="009E5BB4" w:rsidRPr="00FF386D">
        <w:rPr>
          <w:rFonts w:asciiTheme="majorHAnsi" w:hAnsiTheme="majorHAnsi" w:cstheme="majorHAnsi"/>
          <w:color w:val="000000"/>
        </w:rPr>
        <w:t>у сврху биће</w:t>
      </w:r>
      <w:r w:rsidRPr="00FF386D">
        <w:rPr>
          <w:rFonts w:asciiTheme="majorHAnsi" w:hAnsiTheme="majorHAnsi" w:cstheme="majorHAnsi"/>
          <w:color w:val="000000"/>
        </w:rPr>
        <w:t xml:space="preserve"> развијен </w:t>
      </w:r>
      <w:r w:rsidR="009E5BB4" w:rsidRPr="00FF386D">
        <w:rPr>
          <w:rFonts w:asciiTheme="majorHAnsi" w:hAnsiTheme="majorHAnsi" w:cstheme="majorHAnsi"/>
          <w:color w:val="000000"/>
        </w:rPr>
        <w:t>свеобухватан</w:t>
      </w:r>
      <w:r w:rsidRPr="00FF386D">
        <w:rPr>
          <w:rFonts w:asciiTheme="majorHAnsi" w:hAnsiTheme="majorHAnsi" w:cstheme="majorHAnsi"/>
          <w:color w:val="000000"/>
        </w:rPr>
        <w:t xml:space="preserve"> оквир за промо</w:t>
      </w:r>
      <w:r w:rsidR="009E5BB4" w:rsidRPr="00FF386D">
        <w:rPr>
          <w:rFonts w:asciiTheme="majorHAnsi" w:hAnsiTheme="majorHAnsi" w:cstheme="majorHAnsi"/>
          <w:color w:val="000000"/>
        </w:rPr>
        <w:t xml:space="preserve">висање </w:t>
      </w:r>
      <w:r w:rsidRPr="00FF386D">
        <w:rPr>
          <w:rFonts w:asciiTheme="majorHAnsi" w:hAnsiTheme="majorHAnsi" w:cstheme="majorHAnsi"/>
          <w:color w:val="000000"/>
        </w:rPr>
        <w:t>модалног преласка како за путнички</w:t>
      </w:r>
      <w:r w:rsidR="009E5BB4" w:rsidRPr="00FF386D">
        <w:rPr>
          <w:rFonts w:asciiTheme="majorHAnsi" w:hAnsiTheme="majorHAnsi" w:cstheme="majorHAnsi"/>
          <w:color w:val="000000"/>
        </w:rPr>
        <w:t>,</w:t>
      </w:r>
      <w:r w:rsidRPr="00FF386D">
        <w:rPr>
          <w:rFonts w:asciiTheme="majorHAnsi" w:hAnsiTheme="majorHAnsi" w:cstheme="majorHAnsi"/>
          <w:color w:val="000000"/>
        </w:rPr>
        <w:t xml:space="preserve"> тако и за теретни саобраћај, који</w:t>
      </w:r>
      <w:r w:rsidR="009E5BB4" w:rsidRPr="00FF386D">
        <w:rPr>
          <w:rFonts w:asciiTheme="majorHAnsi" w:hAnsiTheme="majorHAnsi" w:cstheme="majorHAnsi"/>
          <w:color w:val="000000"/>
        </w:rPr>
        <w:t xml:space="preserve"> ће</w:t>
      </w:r>
      <w:r w:rsidRPr="00FF386D">
        <w:rPr>
          <w:rFonts w:asciiTheme="majorHAnsi" w:hAnsiTheme="majorHAnsi" w:cstheme="majorHAnsi"/>
          <w:color w:val="000000"/>
        </w:rPr>
        <w:t xml:space="preserve"> омогућ</w:t>
      </w:r>
      <w:r w:rsidR="009E5BB4" w:rsidRPr="00FF386D">
        <w:rPr>
          <w:rFonts w:asciiTheme="majorHAnsi" w:hAnsiTheme="majorHAnsi" w:cstheme="majorHAnsi"/>
          <w:color w:val="000000"/>
        </w:rPr>
        <w:t>ити</w:t>
      </w:r>
      <w:r w:rsidRPr="00FF386D">
        <w:rPr>
          <w:rFonts w:asciiTheme="majorHAnsi" w:hAnsiTheme="majorHAnsi" w:cstheme="majorHAnsi"/>
          <w:color w:val="000000"/>
        </w:rPr>
        <w:t xml:space="preserve"> „Мобилност као услугу“ (</w:t>
      </w:r>
      <w:r w:rsidRPr="00FF386D">
        <w:rPr>
          <w:rFonts w:asciiTheme="majorHAnsi" w:hAnsiTheme="majorHAnsi" w:cstheme="majorHAnsi"/>
          <w:i/>
          <w:iCs/>
          <w:color w:val="000000"/>
        </w:rPr>
        <w:t>MaaS</w:t>
      </w:r>
      <w:r w:rsidRPr="00FF386D">
        <w:rPr>
          <w:rFonts w:asciiTheme="majorHAnsi" w:hAnsiTheme="majorHAnsi" w:cstheme="majorHAnsi"/>
          <w:color w:val="000000"/>
        </w:rPr>
        <w:t>), кор</w:t>
      </w:r>
      <w:r w:rsidR="009E5BB4" w:rsidRPr="00FF386D">
        <w:rPr>
          <w:rFonts w:asciiTheme="majorHAnsi" w:hAnsiTheme="majorHAnsi" w:cstheme="majorHAnsi"/>
          <w:color w:val="000000"/>
        </w:rPr>
        <w:t>истећи</w:t>
      </w:r>
      <w:r w:rsidRPr="00FF386D">
        <w:rPr>
          <w:rFonts w:asciiTheme="majorHAnsi" w:hAnsiTheme="majorHAnsi" w:cstheme="majorHAnsi"/>
          <w:color w:val="000000"/>
        </w:rPr>
        <w:t xml:space="preserve"> доступн</w:t>
      </w:r>
      <w:r w:rsidR="009E5BB4" w:rsidRPr="00FF386D">
        <w:rPr>
          <w:rFonts w:asciiTheme="majorHAnsi" w:hAnsiTheme="majorHAnsi" w:cstheme="majorHAnsi"/>
          <w:color w:val="000000"/>
        </w:rPr>
        <w:t>е</w:t>
      </w:r>
      <w:r w:rsidRPr="00FF386D">
        <w:rPr>
          <w:rFonts w:asciiTheme="majorHAnsi" w:hAnsiTheme="majorHAnsi" w:cstheme="majorHAnsi"/>
          <w:color w:val="000000"/>
        </w:rPr>
        <w:t xml:space="preserve"> податк</w:t>
      </w:r>
      <w:r w:rsidR="009E5BB4" w:rsidRPr="00FF386D">
        <w:rPr>
          <w:rFonts w:asciiTheme="majorHAnsi" w:hAnsiTheme="majorHAnsi" w:cstheme="majorHAnsi"/>
          <w:color w:val="000000"/>
        </w:rPr>
        <w:t>е</w:t>
      </w:r>
      <w:r w:rsidRPr="00FF386D">
        <w:rPr>
          <w:rFonts w:asciiTheme="majorHAnsi" w:hAnsiTheme="majorHAnsi" w:cstheme="majorHAnsi"/>
          <w:color w:val="000000"/>
        </w:rPr>
        <w:t>, информацион</w:t>
      </w:r>
      <w:r w:rsidR="009E5BB4" w:rsidRPr="00FF386D">
        <w:rPr>
          <w:rFonts w:asciiTheme="majorHAnsi" w:hAnsiTheme="majorHAnsi" w:cstheme="majorHAnsi"/>
          <w:color w:val="000000"/>
        </w:rPr>
        <w:t xml:space="preserve">е </w:t>
      </w:r>
      <w:r w:rsidRPr="00FF386D">
        <w:rPr>
          <w:rFonts w:asciiTheme="majorHAnsi" w:hAnsiTheme="majorHAnsi" w:cstheme="majorHAnsi"/>
          <w:color w:val="000000"/>
        </w:rPr>
        <w:t>и комуникацион</w:t>
      </w:r>
      <w:r w:rsidR="009E5BB4" w:rsidRPr="00FF386D">
        <w:rPr>
          <w:rFonts w:asciiTheme="majorHAnsi" w:hAnsiTheme="majorHAnsi" w:cstheme="majorHAnsi"/>
          <w:color w:val="000000"/>
        </w:rPr>
        <w:t>е</w:t>
      </w:r>
      <w:r w:rsidRPr="00FF386D">
        <w:rPr>
          <w:rFonts w:asciiTheme="majorHAnsi" w:hAnsiTheme="majorHAnsi" w:cstheme="majorHAnsi"/>
          <w:color w:val="000000"/>
        </w:rPr>
        <w:t xml:space="preserve"> технологиј</w:t>
      </w:r>
      <w:r w:rsidR="009E5BB4" w:rsidRPr="00FF386D">
        <w:rPr>
          <w:rFonts w:asciiTheme="majorHAnsi" w:hAnsiTheme="majorHAnsi" w:cstheme="majorHAnsi"/>
          <w:color w:val="000000"/>
        </w:rPr>
        <w:t>е</w:t>
      </w:r>
      <w:r w:rsidRPr="00FF386D">
        <w:rPr>
          <w:rFonts w:asciiTheme="majorHAnsi" w:hAnsiTheme="majorHAnsi" w:cstheme="majorHAnsi"/>
          <w:color w:val="000000"/>
        </w:rPr>
        <w:t xml:space="preserve"> и вештачк</w:t>
      </w:r>
      <w:r w:rsidR="009E5BB4" w:rsidRPr="00FF386D">
        <w:rPr>
          <w:rFonts w:asciiTheme="majorHAnsi" w:hAnsiTheme="majorHAnsi" w:cstheme="majorHAnsi"/>
          <w:color w:val="000000"/>
        </w:rPr>
        <w:t>у</w:t>
      </w:r>
      <w:r w:rsidRPr="00FF386D">
        <w:rPr>
          <w:rFonts w:asciiTheme="majorHAnsi" w:hAnsiTheme="majorHAnsi" w:cstheme="majorHAnsi"/>
          <w:color w:val="000000"/>
        </w:rPr>
        <w:t xml:space="preserve"> интелигенциј</w:t>
      </w:r>
      <w:r w:rsidR="009E5BB4" w:rsidRPr="00FF386D">
        <w:rPr>
          <w:rFonts w:asciiTheme="majorHAnsi" w:hAnsiTheme="majorHAnsi" w:cstheme="majorHAnsi"/>
          <w:color w:val="000000"/>
        </w:rPr>
        <w:t>у</w:t>
      </w:r>
      <w:r w:rsidRPr="00FF386D">
        <w:rPr>
          <w:rFonts w:asciiTheme="majorHAnsi" w:hAnsiTheme="majorHAnsi" w:cstheme="majorHAnsi"/>
          <w:color w:val="000000"/>
        </w:rPr>
        <w:t xml:space="preserve"> за паметнију мобилност.</w:t>
      </w:r>
    </w:p>
    <w:p w14:paraId="6B9A846B" w14:textId="64C477E1"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Поред тога, </w:t>
      </w:r>
      <w:r w:rsidR="009E5BB4" w:rsidRPr="00FF386D">
        <w:rPr>
          <w:rFonts w:asciiTheme="majorHAnsi" w:hAnsiTheme="majorHAnsi" w:cstheme="majorHAnsi"/>
          <w:color w:val="000000"/>
        </w:rPr>
        <w:t xml:space="preserve">подстицање </w:t>
      </w:r>
      <w:r w:rsidRPr="00FF386D">
        <w:rPr>
          <w:rFonts w:asciiTheme="majorHAnsi" w:hAnsiTheme="majorHAnsi" w:cstheme="majorHAnsi"/>
          <w:color w:val="000000"/>
        </w:rPr>
        <w:t>алтернативних горива ће бити подржан</w:t>
      </w:r>
      <w:r w:rsidR="009E5BB4" w:rsidRPr="00FF386D">
        <w:rPr>
          <w:rFonts w:asciiTheme="majorHAnsi" w:hAnsiTheme="majorHAnsi" w:cstheme="majorHAnsi"/>
          <w:color w:val="000000"/>
        </w:rPr>
        <w:t>о</w:t>
      </w:r>
      <w:r w:rsidRPr="00FF386D">
        <w:rPr>
          <w:rFonts w:asciiTheme="majorHAnsi" w:hAnsiTheme="majorHAnsi" w:cstheme="majorHAnsi"/>
          <w:color w:val="000000"/>
        </w:rPr>
        <w:t xml:space="preserve"> развојем потребне инфраструктуре за све п</w:t>
      </w:r>
      <w:r w:rsidR="009E5BB4" w:rsidRPr="00FF386D">
        <w:rPr>
          <w:rFonts w:asciiTheme="majorHAnsi" w:hAnsiTheme="majorHAnsi" w:cstheme="majorHAnsi"/>
          <w:color w:val="000000"/>
        </w:rPr>
        <w:t>одстицане</w:t>
      </w:r>
      <w:r w:rsidRPr="00FF386D">
        <w:rPr>
          <w:rFonts w:asciiTheme="majorHAnsi" w:hAnsiTheme="majorHAnsi" w:cstheme="majorHAnsi"/>
          <w:color w:val="000000"/>
        </w:rPr>
        <w:t xml:space="preserve"> врсте алтернативних горива уз максималн</w:t>
      </w:r>
      <w:r w:rsidR="009E5BB4" w:rsidRPr="00FF386D">
        <w:rPr>
          <w:rFonts w:asciiTheme="majorHAnsi" w:hAnsiTheme="majorHAnsi" w:cstheme="majorHAnsi"/>
          <w:color w:val="000000"/>
        </w:rPr>
        <w:t>и ниво</w:t>
      </w:r>
      <w:r w:rsidRPr="00FF386D">
        <w:rPr>
          <w:rFonts w:asciiTheme="majorHAnsi" w:hAnsiTheme="majorHAnsi" w:cstheme="majorHAnsi"/>
          <w:color w:val="000000"/>
        </w:rPr>
        <w:t xml:space="preserve"> синергиј</w:t>
      </w:r>
      <w:r w:rsidR="009E5BB4" w:rsidRPr="00FF386D">
        <w:rPr>
          <w:rFonts w:asciiTheme="majorHAnsi" w:hAnsiTheme="majorHAnsi" w:cstheme="majorHAnsi"/>
          <w:color w:val="000000"/>
        </w:rPr>
        <w:t>а</w:t>
      </w:r>
      <w:r w:rsidRPr="00FF386D">
        <w:rPr>
          <w:rFonts w:asciiTheme="majorHAnsi" w:hAnsiTheme="majorHAnsi" w:cstheme="majorHAnsi"/>
          <w:color w:val="000000"/>
        </w:rPr>
        <w:t xml:space="preserve"> са мерама политике које су интегрисане у димензију ОИЕ. Треба напоменути да ће нагласак бити стављен на циљано коришћење електромобилности како би се постигао циљ </w:t>
      </w:r>
      <w:r w:rsidR="009E5BB4" w:rsidRPr="00FF386D">
        <w:rPr>
          <w:rFonts w:asciiTheme="majorHAnsi" w:hAnsiTheme="majorHAnsi" w:cstheme="majorHAnsi"/>
          <w:color w:val="000000"/>
        </w:rPr>
        <w:t xml:space="preserve">у погледу удела </w:t>
      </w:r>
      <w:r w:rsidRPr="00FF386D">
        <w:rPr>
          <w:rFonts w:asciiTheme="majorHAnsi" w:hAnsiTheme="majorHAnsi" w:cstheme="majorHAnsi"/>
          <w:color w:val="000000"/>
        </w:rPr>
        <w:t>електричних возила.</w:t>
      </w:r>
    </w:p>
    <w:p w14:paraId="21D6EEB0" w14:textId="24F8919F"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Осигураће се континуирано унапређење и проширење инфраструктуре јавног превоза, док ћ</w:t>
      </w:r>
      <w:r w:rsidR="00FB7A48" w:rsidRPr="00FF386D">
        <w:rPr>
          <w:rFonts w:asciiTheme="majorHAnsi" w:hAnsiTheme="majorHAnsi" w:cstheme="majorHAnsi"/>
          <w:color w:val="000000"/>
        </w:rPr>
        <w:t>е водећа</w:t>
      </w:r>
      <w:r w:rsidRPr="00FF386D">
        <w:rPr>
          <w:rFonts w:asciiTheme="majorHAnsi" w:hAnsiTheme="majorHAnsi" w:cstheme="majorHAnsi"/>
          <w:color w:val="000000"/>
        </w:rPr>
        <w:t xml:space="preserve"> улога јавног сектора бити ојачана наменским мерама, као што је</w:t>
      </w:r>
      <w:r w:rsidR="00303F13" w:rsidRPr="00FF386D">
        <w:rPr>
          <w:rFonts w:asciiTheme="majorHAnsi" w:hAnsiTheme="majorHAnsi" w:cstheme="majorHAnsi"/>
          <w:color w:val="000000"/>
        </w:rPr>
        <w:t>,</w:t>
      </w:r>
      <w:r w:rsidRPr="00FF386D">
        <w:rPr>
          <w:rFonts w:asciiTheme="majorHAnsi" w:hAnsiTheme="majorHAnsi" w:cstheme="majorHAnsi"/>
          <w:color w:val="000000"/>
        </w:rPr>
        <w:t xml:space="preserve"> </w:t>
      </w:r>
      <w:r w:rsidR="009E5BB4" w:rsidRPr="00FF386D">
        <w:rPr>
          <w:rFonts w:asciiTheme="majorHAnsi" w:hAnsiTheme="majorHAnsi" w:cstheme="majorHAnsi"/>
          <w:color w:val="000000"/>
        </w:rPr>
        <w:t>на пример</w:t>
      </w:r>
      <w:r w:rsidR="00303F13" w:rsidRPr="00FF386D">
        <w:rPr>
          <w:rFonts w:asciiTheme="majorHAnsi" w:hAnsiTheme="majorHAnsi" w:cstheme="majorHAnsi"/>
          <w:color w:val="000000"/>
        </w:rPr>
        <w:t>,</w:t>
      </w:r>
      <w:r w:rsidRPr="00FF386D">
        <w:rPr>
          <w:rFonts w:asciiTheme="majorHAnsi" w:hAnsiTheme="majorHAnsi" w:cstheme="majorHAnsi"/>
          <w:color w:val="000000"/>
        </w:rPr>
        <w:t xml:space="preserve"> утврђивање обавезне квоте </w:t>
      </w:r>
      <w:r w:rsidR="009E5BB4" w:rsidRPr="00FF386D">
        <w:rPr>
          <w:rFonts w:asciiTheme="majorHAnsi" w:hAnsiTheme="majorHAnsi" w:cstheme="majorHAnsi"/>
          <w:color w:val="000000"/>
        </w:rPr>
        <w:t xml:space="preserve">за набавку возила </w:t>
      </w:r>
      <w:r w:rsidRPr="00FF386D">
        <w:rPr>
          <w:rFonts w:asciiTheme="majorHAnsi" w:hAnsiTheme="majorHAnsi" w:cstheme="majorHAnsi"/>
          <w:color w:val="000000"/>
        </w:rPr>
        <w:t>веће енергетске ефикасности у државним агенцијама и установама, постављањем више границе енергетске ефикасности.</w:t>
      </w:r>
    </w:p>
    <w:p w14:paraId="4D8FAC7B" w14:textId="4F2B3A8C"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lastRenderedPageBreak/>
        <w:t>Израда одрживих регионалних или општинских планова мобилности ће олакшати спровођење наведених мера на локалном и регионалном нивоу, а наставиће се примен</w:t>
      </w:r>
      <w:r w:rsidR="00AC6196" w:rsidRPr="00FF386D">
        <w:rPr>
          <w:rFonts w:asciiTheme="majorHAnsi" w:hAnsiTheme="majorHAnsi" w:cstheme="majorHAnsi"/>
          <w:color w:val="000000"/>
        </w:rPr>
        <w:t>а</w:t>
      </w:r>
      <w:r w:rsidRPr="00FF386D">
        <w:rPr>
          <w:rFonts w:asciiTheme="majorHAnsi" w:hAnsiTheme="majorHAnsi" w:cstheme="majorHAnsi"/>
          <w:color w:val="000000"/>
        </w:rPr>
        <w:t xml:space="preserve"> постојећих раз</w:t>
      </w:r>
      <w:r w:rsidR="00AC6196" w:rsidRPr="00FF386D">
        <w:rPr>
          <w:rFonts w:asciiTheme="majorHAnsi" w:hAnsiTheme="majorHAnsi" w:cstheme="majorHAnsi"/>
          <w:color w:val="000000"/>
        </w:rPr>
        <w:t>личитих</w:t>
      </w:r>
      <w:r w:rsidRPr="00FF386D">
        <w:rPr>
          <w:rFonts w:asciiTheme="majorHAnsi" w:hAnsiTheme="majorHAnsi" w:cstheme="majorHAnsi"/>
          <w:color w:val="000000"/>
        </w:rPr>
        <w:t xml:space="preserve"> мера за промовисање енергетски ефикасних гума за све врсте возила, као што су промо</w:t>
      </w:r>
      <w:r w:rsidR="00AC6196" w:rsidRPr="00FF386D">
        <w:rPr>
          <w:rFonts w:asciiTheme="majorHAnsi" w:hAnsiTheme="majorHAnsi" w:cstheme="majorHAnsi"/>
          <w:color w:val="000000"/>
        </w:rPr>
        <w:t>висање</w:t>
      </w:r>
      <w:r w:rsidRPr="00FF386D">
        <w:rPr>
          <w:rFonts w:asciiTheme="majorHAnsi" w:hAnsiTheme="majorHAnsi" w:cstheme="majorHAnsi"/>
          <w:color w:val="000000"/>
        </w:rPr>
        <w:t xml:space="preserve"> енергетски ефикасних гума и мазива, редовни технички прегледи возила у складу са </w:t>
      </w:r>
      <w:r w:rsidR="00AC6196" w:rsidRPr="00FF386D">
        <w:rPr>
          <w:rFonts w:asciiTheme="majorHAnsi" w:hAnsiTheme="majorHAnsi" w:cstheme="majorHAnsi"/>
          <w:color w:val="000000"/>
        </w:rPr>
        <w:t>посебним</w:t>
      </w:r>
      <w:r w:rsidRPr="00FF386D">
        <w:rPr>
          <w:rFonts w:asciiTheme="majorHAnsi" w:hAnsiTheme="majorHAnsi" w:cstheme="majorHAnsi"/>
          <w:color w:val="000000"/>
        </w:rPr>
        <w:t xml:space="preserve"> захтевима квалитета, промо</w:t>
      </w:r>
      <w:r w:rsidR="00AC6196" w:rsidRPr="00FF386D">
        <w:rPr>
          <w:rFonts w:asciiTheme="majorHAnsi" w:hAnsiTheme="majorHAnsi" w:cstheme="majorHAnsi"/>
          <w:color w:val="000000"/>
        </w:rPr>
        <w:t>висање</w:t>
      </w:r>
      <w:r w:rsidRPr="00FF386D">
        <w:rPr>
          <w:rFonts w:asciiTheme="majorHAnsi" w:hAnsiTheme="majorHAnsi" w:cstheme="majorHAnsi"/>
          <w:color w:val="000000"/>
        </w:rPr>
        <w:t xml:space="preserve"> адитива за гориво, успостављање оквира за обележавање горива и праћење квалитета горива.</w:t>
      </w:r>
    </w:p>
    <w:p w14:paraId="1BD8BCA8" w14:textId="56C89A63"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Коначно, спровешће се циљане мере за унапређење енергетске ефикасности у унутрашњим пловним путевима и железничком саобраћају како теретном</w:t>
      </w:r>
      <w:r w:rsidR="00AC6196" w:rsidRPr="00FF386D">
        <w:rPr>
          <w:rFonts w:asciiTheme="majorHAnsi" w:hAnsiTheme="majorHAnsi" w:cstheme="majorHAnsi"/>
          <w:color w:val="000000"/>
        </w:rPr>
        <w:t>,</w:t>
      </w:r>
      <w:r w:rsidRPr="00FF386D">
        <w:rPr>
          <w:rFonts w:asciiTheme="majorHAnsi" w:hAnsiTheme="majorHAnsi" w:cstheme="majorHAnsi"/>
          <w:color w:val="000000"/>
        </w:rPr>
        <w:t xml:space="preserve"> тако и путничком, увођењем финансијских, фискалних или регулаторних мера.</w:t>
      </w:r>
    </w:p>
    <w:p w14:paraId="64CA47EE" w14:textId="77777777" w:rsidR="00854ADA" w:rsidRPr="00FF386D" w:rsidRDefault="00854ADA" w:rsidP="00854ADA">
      <w:pPr>
        <w:spacing w:before="160"/>
        <w:jc w:val="both"/>
        <w:rPr>
          <w:rFonts w:cstheme="minorHAnsi"/>
          <w:color w:val="000000"/>
        </w:rPr>
      </w:pPr>
    </w:p>
    <w:tbl>
      <w:tblPr>
        <w:tblW w:w="9458" w:type="dxa"/>
        <w:tblLook w:val="04A0" w:firstRow="1" w:lastRow="0" w:firstColumn="1" w:lastColumn="0" w:noHBand="0" w:noVBand="1"/>
      </w:tblPr>
      <w:tblGrid>
        <w:gridCol w:w="3310"/>
        <w:gridCol w:w="1007"/>
        <w:gridCol w:w="943"/>
        <w:gridCol w:w="4198"/>
      </w:tblGrid>
      <w:tr w:rsidR="00854ADA" w:rsidRPr="00FF386D" w14:paraId="69C6491C" w14:textId="77777777" w:rsidTr="0057310C">
        <w:trPr>
          <w:trHeight w:val="780"/>
        </w:trPr>
        <w:tc>
          <w:tcPr>
            <w:tcW w:w="3310"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3F365991"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2316DCEE"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МП_ЕЕ10</w:t>
            </w:r>
          </w:p>
        </w:tc>
        <w:tc>
          <w:tcPr>
            <w:tcW w:w="943" w:type="dxa"/>
            <w:tcBorders>
              <w:top w:val="single" w:sz="8" w:space="0" w:color="auto"/>
              <w:left w:val="nil"/>
              <w:bottom w:val="single" w:sz="8" w:space="0" w:color="auto"/>
              <w:right w:val="single" w:sz="8" w:space="0" w:color="auto"/>
            </w:tcBorders>
            <w:shd w:val="clear" w:color="000000" w:fill="244062"/>
            <w:vAlign w:val="center"/>
            <w:hideMark/>
          </w:tcPr>
          <w:p w14:paraId="3F26545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98" w:type="dxa"/>
            <w:tcBorders>
              <w:top w:val="single" w:sz="8" w:space="0" w:color="auto"/>
              <w:left w:val="nil"/>
              <w:bottom w:val="single" w:sz="8" w:space="0" w:color="auto"/>
              <w:right w:val="single" w:sz="8" w:space="0" w:color="auto"/>
            </w:tcBorders>
            <w:shd w:val="clear" w:color="auto" w:fill="E7E6E6" w:themeFill="background2"/>
            <w:vAlign w:val="center"/>
            <w:hideMark/>
          </w:tcPr>
          <w:p w14:paraId="3C7EDBE2" w14:textId="3770A6F7" w:rsidR="00854ADA" w:rsidRPr="00FF386D" w:rsidRDefault="00854ADA" w:rsidP="00854ADA">
            <w:pPr>
              <w:spacing w:after="0" w:line="240" w:lineRule="auto"/>
              <w:rPr>
                <w:rFonts w:ascii="Calibri Light" w:eastAsia="Times New Roman" w:hAnsi="Calibri Light" w:cs="Calibri Light"/>
                <w:b/>
                <w:bCs/>
                <w:color w:val="000000"/>
                <w:sz w:val="20"/>
                <w:szCs w:val="20"/>
                <w:lang w:eastAsia="en-GB"/>
              </w:rPr>
            </w:pPr>
            <w:r w:rsidRPr="00FF386D">
              <w:rPr>
                <w:rFonts w:ascii="Calibri Light" w:hAnsi="Calibri Light"/>
                <w:b/>
                <w:sz w:val="20"/>
              </w:rPr>
              <w:t>П</w:t>
            </w:r>
            <w:r w:rsidR="00641776" w:rsidRPr="00FF386D">
              <w:rPr>
                <w:rFonts w:ascii="Calibri Light" w:hAnsi="Calibri Light"/>
                <w:b/>
                <w:sz w:val="20"/>
              </w:rPr>
              <w:t>одстицање</w:t>
            </w:r>
            <w:r w:rsidRPr="00FF386D">
              <w:rPr>
                <w:rFonts w:ascii="Calibri Light" w:hAnsi="Calibri Light"/>
                <w:b/>
                <w:sz w:val="20"/>
              </w:rPr>
              <w:t xml:space="preserve"> енергетски ефикасних путничких </w:t>
            </w:r>
            <w:r w:rsidR="00177C36" w:rsidRPr="00FF386D">
              <w:rPr>
                <w:rFonts w:ascii="Calibri Light" w:hAnsi="Calibri Light"/>
                <w:b/>
                <w:sz w:val="20"/>
              </w:rPr>
              <w:t xml:space="preserve">возила </w:t>
            </w:r>
            <w:r w:rsidRPr="00FF386D">
              <w:rPr>
                <w:rFonts w:ascii="Calibri Light" w:hAnsi="Calibri Light"/>
                <w:b/>
                <w:sz w:val="20"/>
              </w:rPr>
              <w:t>и лаких товарних возила</w:t>
            </w:r>
          </w:p>
        </w:tc>
      </w:tr>
      <w:tr w:rsidR="00854ADA" w:rsidRPr="00FF386D" w14:paraId="5EF50656" w14:textId="77777777" w:rsidTr="0057310C">
        <w:trPr>
          <w:trHeight w:val="658"/>
        </w:trPr>
        <w:tc>
          <w:tcPr>
            <w:tcW w:w="3310" w:type="dxa"/>
            <w:tcBorders>
              <w:top w:val="nil"/>
              <w:left w:val="single" w:sz="8" w:space="0" w:color="auto"/>
              <w:bottom w:val="single" w:sz="8" w:space="0" w:color="auto"/>
              <w:right w:val="nil"/>
            </w:tcBorders>
            <w:shd w:val="clear" w:color="000000" w:fill="244062"/>
            <w:vAlign w:val="center"/>
            <w:hideMark/>
          </w:tcPr>
          <w:p w14:paraId="76EFB97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65AB2BEC" w14:textId="24547D47" w:rsidR="00854ADA" w:rsidRPr="000A2AFE" w:rsidRDefault="003E328C" w:rsidP="00854ADA">
            <w:pPr>
              <w:spacing w:after="0" w:line="240" w:lineRule="auto"/>
              <w:rPr>
                <w:rFonts w:ascii="Calibri Light" w:eastAsia="Times New Roman" w:hAnsi="Calibri Light" w:cs="Calibri Light"/>
                <w:sz w:val="20"/>
                <w:szCs w:val="20"/>
                <w:lang w:eastAsia="en-GB"/>
              </w:rPr>
            </w:pPr>
            <w:r w:rsidRPr="00FF386D">
              <w:rPr>
                <w:rFonts w:ascii="Calibri Light" w:hAnsi="Calibri Light"/>
                <w:sz w:val="20"/>
              </w:rPr>
              <w:t xml:space="preserve">Примена </w:t>
            </w:r>
            <w:r w:rsidR="00854ADA" w:rsidRPr="00FF386D">
              <w:rPr>
                <w:rFonts w:ascii="Calibri Light" w:hAnsi="Calibri Light"/>
                <w:sz w:val="20"/>
              </w:rPr>
              <w:t xml:space="preserve">чланова Директиве </w:t>
            </w:r>
            <w:r w:rsidR="00177C36" w:rsidRPr="00FF386D">
              <w:rPr>
                <w:rFonts w:ascii="Calibri Light" w:hAnsi="Calibri Light"/>
                <w:sz w:val="20"/>
              </w:rPr>
              <w:t xml:space="preserve">(ЕУ) </w:t>
            </w:r>
            <w:r w:rsidR="00854ADA" w:rsidRPr="00FF386D">
              <w:rPr>
                <w:rFonts w:ascii="Calibri Light" w:hAnsi="Calibri Light"/>
                <w:sz w:val="20"/>
              </w:rPr>
              <w:t>2012/27</w:t>
            </w:r>
            <w:r w:rsidR="00854ADA" w:rsidRPr="00FF386D">
              <w:rPr>
                <w:rFonts w:ascii="Calibri Light" w:hAnsi="Calibri Light"/>
                <w:color w:val="FF0000"/>
                <w:sz w:val="20"/>
              </w:rPr>
              <w:t xml:space="preserve">, </w:t>
            </w:r>
            <w:r w:rsidR="00854ADA" w:rsidRPr="00FF386D">
              <w:rPr>
                <w:rFonts w:ascii="Calibri Light" w:hAnsi="Calibri Light"/>
                <w:sz w:val="20"/>
              </w:rPr>
              <w:t>која је изме</w:t>
            </w:r>
            <w:r w:rsidRPr="00FF386D">
              <w:rPr>
                <w:rFonts w:ascii="Calibri Light" w:hAnsi="Calibri Light"/>
                <w:sz w:val="20"/>
              </w:rPr>
              <w:t>њ</w:t>
            </w:r>
            <w:r w:rsidR="00854ADA" w:rsidRPr="00FF386D">
              <w:rPr>
                <w:rFonts w:ascii="Calibri Light" w:hAnsi="Calibri Light"/>
                <w:sz w:val="20"/>
              </w:rPr>
              <w:t xml:space="preserve">ена и допуњена Директивом </w:t>
            </w:r>
            <w:r w:rsidR="00177C36" w:rsidRPr="00FF386D">
              <w:rPr>
                <w:rFonts w:ascii="Calibri Light" w:hAnsi="Calibri Light"/>
                <w:sz w:val="20"/>
              </w:rPr>
              <w:t xml:space="preserve">(ЕУ) </w:t>
            </w:r>
            <w:r w:rsidR="00854ADA" w:rsidRPr="00FF386D">
              <w:rPr>
                <w:rFonts w:ascii="Calibri Light" w:hAnsi="Calibri Light"/>
                <w:sz w:val="20"/>
              </w:rPr>
              <w:t>2018/2002/ЕУ</w:t>
            </w:r>
            <w:r w:rsidR="00177C36" w:rsidRPr="00FF386D">
              <w:rPr>
                <w:rFonts w:ascii="Calibri Light" w:hAnsi="Calibri Light"/>
                <w:sz w:val="20"/>
              </w:rPr>
              <w:t>, и то</w:t>
            </w:r>
            <w:r w:rsidR="00854ADA" w:rsidRPr="000A2AFE">
              <w:rPr>
                <w:rFonts w:ascii="Calibri Light" w:eastAsia="Times New Roman" w:hAnsi="Calibri Light" w:cs="Calibri Light"/>
                <w:sz w:val="20"/>
                <w:szCs w:val="20"/>
                <w:lang w:eastAsia="en-GB"/>
              </w:rPr>
              <w:t>:</w:t>
            </w:r>
          </w:p>
          <w:p w14:paraId="72C0FC56" w14:textId="68D799DC" w:rsidR="00854ADA" w:rsidRPr="000A2AFE" w:rsidRDefault="00854ADA" w:rsidP="00854ADA">
            <w:pPr>
              <w:numPr>
                <w:ilvl w:val="0"/>
                <w:numId w:val="2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AC6196"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3</w:t>
            </w:r>
          </w:p>
          <w:p w14:paraId="709D55E4" w14:textId="32367B38" w:rsidR="00854ADA" w:rsidRPr="00FF386D" w:rsidRDefault="00854ADA" w:rsidP="00854ADA">
            <w:pPr>
              <w:numPr>
                <w:ilvl w:val="0"/>
                <w:numId w:val="2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AC6196"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7</w:t>
            </w:r>
          </w:p>
        </w:tc>
      </w:tr>
      <w:tr w:rsidR="00854ADA" w:rsidRPr="00FF386D" w14:paraId="60935263"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7900EA7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33305756" w14:textId="30DCA16E" w:rsidR="00854ADA" w:rsidRPr="00FF386D" w:rsidRDefault="00A12752" w:rsidP="00854ADA">
            <w:pPr>
              <w:spacing w:after="0" w:line="240" w:lineRule="auto"/>
              <w:rPr>
                <w:rFonts w:ascii="Calibri" w:eastAsia="Times New Roman" w:hAnsi="Calibri" w:cs="Calibri"/>
                <w:color w:val="000000"/>
                <w:lang w:eastAsia="en-GB"/>
              </w:rPr>
            </w:pPr>
            <w:r w:rsidRPr="00A12752">
              <w:rPr>
                <w:rFonts w:asciiTheme="majorHAnsi" w:eastAsia="Times New Roman" w:hAnsiTheme="majorHAnsi" w:cstheme="majorHAnsi"/>
                <w:color w:val="000000"/>
                <w:sz w:val="20"/>
                <w:szCs w:val="20"/>
                <w:lang w:eastAsia="en-GB"/>
              </w:rPr>
              <w:t xml:space="preserve">102,1 хиљада путничких возила на бензин и хибридних путничких возила </w:t>
            </w:r>
            <w:r>
              <w:rPr>
                <w:rFonts w:asciiTheme="majorHAnsi" w:eastAsia="Times New Roman" w:hAnsiTheme="majorHAnsi" w:cstheme="majorHAnsi"/>
                <w:color w:val="000000"/>
                <w:sz w:val="20"/>
                <w:szCs w:val="20"/>
                <w:lang w:eastAsia="en-GB"/>
              </w:rPr>
              <w:t>(у</w:t>
            </w:r>
            <w:r w:rsidR="00854ADA" w:rsidRPr="00FF386D">
              <w:rPr>
                <w:rFonts w:asciiTheme="majorHAnsi" w:eastAsia="Times New Roman" w:hAnsiTheme="majorHAnsi" w:cstheme="majorHAnsi"/>
                <w:color w:val="000000"/>
                <w:sz w:val="20"/>
                <w:szCs w:val="20"/>
                <w:lang w:eastAsia="en-GB"/>
              </w:rPr>
              <w:t xml:space="preserve">штеда финалне енергије </w:t>
            </w:r>
            <w:r w:rsidR="00177C36" w:rsidRPr="00FF386D">
              <w:rPr>
                <w:rFonts w:asciiTheme="majorHAnsi" w:eastAsia="Times New Roman" w:hAnsiTheme="majorHAnsi" w:cstheme="majorHAnsi"/>
                <w:color w:val="000000"/>
                <w:sz w:val="20"/>
                <w:szCs w:val="20"/>
                <w:lang w:eastAsia="en-GB"/>
              </w:rPr>
              <w:t>5</w:t>
            </w:r>
            <w:r w:rsidR="00854ADA" w:rsidRPr="00FF386D">
              <w:rPr>
                <w:rFonts w:asciiTheme="majorHAnsi" w:eastAsia="Times New Roman" w:hAnsiTheme="majorHAnsi" w:cstheme="majorHAnsi"/>
                <w:color w:val="000000"/>
                <w:sz w:val="20"/>
                <w:szCs w:val="20"/>
                <w:lang w:eastAsia="en-GB"/>
              </w:rPr>
              <w:t>4</w:t>
            </w:r>
            <w:r w:rsidR="00177C36" w:rsidRPr="00FF386D">
              <w:rPr>
                <w:rFonts w:asciiTheme="majorHAnsi" w:eastAsia="Times New Roman" w:hAnsiTheme="majorHAnsi" w:cstheme="majorHAnsi"/>
                <w:color w:val="000000"/>
                <w:sz w:val="20"/>
                <w:szCs w:val="20"/>
                <w:lang w:eastAsia="en-GB"/>
              </w:rPr>
              <w:t xml:space="preserve"> </w:t>
            </w:r>
            <w:r w:rsidR="00854ADA" w:rsidRPr="00FF386D">
              <w:rPr>
                <w:rFonts w:asciiTheme="majorHAnsi" w:eastAsia="Times New Roman" w:hAnsiTheme="majorHAnsi" w:cstheme="majorHAnsi"/>
                <w:color w:val="000000"/>
                <w:sz w:val="20"/>
                <w:szCs w:val="20"/>
                <w:lang w:eastAsia="en-GB"/>
              </w:rPr>
              <w:t>ktoe)</w:t>
            </w:r>
          </w:p>
        </w:tc>
      </w:tr>
      <w:tr w:rsidR="00854ADA" w:rsidRPr="00FF386D" w14:paraId="70858C99" w14:textId="77777777" w:rsidTr="0057310C">
        <w:trPr>
          <w:trHeight w:val="868"/>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0ECC792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554FC6AC" w14:textId="5856E223"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МП_ЕЕ10 ће бити усмерена на промовисање енергетске ефикасности у сектору саобраћаја усклађивањем са </w:t>
            </w:r>
            <w:r w:rsidR="00A12752" w:rsidRPr="00A12752">
              <w:rPr>
                <w:rFonts w:ascii="Calibri Light" w:hAnsi="Calibri Light"/>
                <w:sz w:val="20"/>
              </w:rPr>
              <w:t>Уредбом (ЕУ) 2019/6</w:t>
            </w:r>
            <w:r w:rsidR="000E6E8B">
              <w:rPr>
                <w:rFonts w:ascii="Calibri Light" w:hAnsi="Calibri Light"/>
                <w:sz w:val="20"/>
              </w:rPr>
              <w:t>31</w:t>
            </w:r>
            <w:r w:rsidR="00A12752">
              <w:rPr>
                <w:rFonts w:ascii="Calibri Light" w:hAnsi="Calibri Light"/>
                <w:sz w:val="20"/>
              </w:rPr>
              <w:t xml:space="preserve"> </w:t>
            </w:r>
            <w:r w:rsidRPr="00FF386D">
              <w:rPr>
                <w:rFonts w:ascii="Calibri Light" w:hAnsi="Calibri Light"/>
                <w:sz w:val="20"/>
              </w:rPr>
              <w:t>кој</w:t>
            </w:r>
            <w:r w:rsidR="00A12752">
              <w:rPr>
                <w:rFonts w:ascii="Calibri Light" w:hAnsi="Calibri Light"/>
                <w:sz w:val="20"/>
              </w:rPr>
              <w:t>а</w:t>
            </w:r>
            <w:r w:rsidRPr="00FF386D">
              <w:rPr>
                <w:rFonts w:ascii="Calibri Light" w:hAnsi="Calibri Light"/>
                <w:sz w:val="20"/>
              </w:rPr>
              <w:t xml:space="preserve"> </w:t>
            </w:r>
            <w:r w:rsidR="003E328C" w:rsidRPr="00FF386D">
              <w:rPr>
                <w:rFonts w:ascii="Calibri Light" w:hAnsi="Calibri Light"/>
                <w:sz w:val="20"/>
              </w:rPr>
              <w:t>успоставља</w:t>
            </w:r>
            <w:r w:rsidRPr="00FF386D">
              <w:rPr>
                <w:rFonts w:ascii="Calibri Light" w:hAnsi="Calibri Light"/>
                <w:sz w:val="20"/>
              </w:rPr>
              <w:t xml:space="preserve"> стандарде емисија за нова путничка возила и нова лака комерцијална возила. Поред тога, промоција енергетски ефикасних возила ће се вршити и пружањем посебних пореских олакшица за стимулисање куповине енергетски ефикасних возила, укључујући и возила која троше алтернативна горива. Порески оквир сектора саобраћаја ће бити поједностављен одабиром најефикаснијих </w:t>
            </w:r>
            <w:r w:rsidR="003E33E3" w:rsidRPr="00FF386D">
              <w:rPr>
                <w:rFonts w:ascii="Calibri Light" w:hAnsi="Calibri Light"/>
                <w:sz w:val="20"/>
              </w:rPr>
              <w:t>модела</w:t>
            </w:r>
            <w:r w:rsidR="00177C36" w:rsidRPr="00FF386D">
              <w:rPr>
                <w:rFonts w:ascii="Calibri Light" w:hAnsi="Calibri Light"/>
                <w:sz w:val="20"/>
              </w:rPr>
              <w:t xml:space="preserve"> </w:t>
            </w:r>
            <w:r w:rsidR="003E33E3" w:rsidRPr="00FF386D">
              <w:rPr>
                <w:rFonts w:ascii="Calibri Light" w:hAnsi="Calibri Light"/>
                <w:sz w:val="20"/>
              </w:rPr>
              <w:t>опорезивања</w:t>
            </w:r>
            <w:r w:rsidRPr="00FF386D">
              <w:rPr>
                <w:rFonts w:ascii="Calibri Light" w:hAnsi="Calibri Light"/>
                <w:sz w:val="20"/>
              </w:rPr>
              <w:t xml:space="preserve"> како би се избалансирали укупни трошкови власништва и промовисала енергетска ефикасност возила и употреба горива са ниским емисијама. </w:t>
            </w:r>
            <w:r w:rsidRPr="00FF386D">
              <w:rPr>
                <w:rFonts w:ascii="Calibri Light" w:eastAsia="NSimSun" w:hAnsi="Calibri Light" w:cs="Mangal"/>
                <w:kern w:val="2"/>
                <w:sz w:val="20"/>
                <w:szCs w:val="24"/>
                <w:lang w:eastAsia="zh-CN" w:bidi="hi-IN"/>
              </w:rPr>
              <w:t>Н</w:t>
            </w:r>
            <w:r w:rsidRPr="00FF386D">
              <w:rPr>
                <w:rFonts w:ascii="Calibri Light" w:hAnsi="Calibri Light"/>
                <w:sz w:val="20"/>
              </w:rPr>
              <w:t>ајефикаснији облик опорезивања ће бити</w:t>
            </w:r>
            <w:r w:rsidRPr="00FF386D">
              <w:rPr>
                <w:rFonts w:ascii="Calibri Light" w:eastAsia="NSimSun" w:hAnsi="Calibri Light" w:cs="Mangal"/>
                <w:kern w:val="2"/>
                <w:sz w:val="20"/>
                <w:szCs w:val="24"/>
                <w:lang w:eastAsia="zh-CN" w:bidi="hi-IN"/>
              </w:rPr>
              <w:t xml:space="preserve"> изабран на основу</w:t>
            </w:r>
            <w:r w:rsidRPr="00FF386D">
              <w:rPr>
                <w:rFonts w:ascii="Calibri Light" w:hAnsi="Calibri Light"/>
                <w:sz w:val="20"/>
              </w:rPr>
              <w:t xml:space="preserve"> </w:t>
            </w:r>
            <w:r w:rsidR="00AC6196" w:rsidRPr="00FF386D">
              <w:rPr>
                <w:rFonts w:ascii="Calibri Light" w:hAnsi="Calibri Light"/>
                <w:sz w:val="20"/>
              </w:rPr>
              <w:t xml:space="preserve">резултата </w:t>
            </w:r>
            <w:r w:rsidRPr="00FF386D">
              <w:rPr>
                <w:rFonts w:ascii="Calibri Light" w:hAnsi="Calibri Light"/>
                <w:sz w:val="20"/>
              </w:rPr>
              <w:t>процене раз</w:t>
            </w:r>
            <w:r w:rsidR="00AC6196" w:rsidRPr="00FF386D">
              <w:rPr>
                <w:rFonts w:ascii="Calibri Light" w:hAnsi="Calibri Light"/>
                <w:sz w:val="20"/>
              </w:rPr>
              <w:t xml:space="preserve">личитих </w:t>
            </w:r>
            <w:r w:rsidRPr="00FF386D">
              <w:rPr>
                <w:rFonts w:ascii="Calibri Light" w:hAnsi="Calibri Light"/>
                <w:sz w:val="20"/>
              </w:rPr>
              <w:t xml:space="preserve">модела, </w:t>
            </w:r>
            <w:r w:rsidRPr="00FF386D">
              <w:rPr>
                <w:rFonts w:ascii="Calibri Light" w:eastAsia="NSimSun" w:hAnsi="Calibri Light" w:cs="Mangal"/>
                <w:kern w:val="2"/>
                <w:sz w:val="20"/>
                <w:szCs w:val="24"/>
                <w:lang w:eastAsia="zh-CN" w:bidi="hi-IN"/>
              </w:rPr>
              <w:t>на пример</w:t>
            </w:r>
            <w:r w:rsidRPr="00FF386D">
              <w:rPr>
                <w:rFonts w:ascii="Calibri Light" w:hAnsi="Calibri Light"/>
                <w:sz w:val="20"/>
              </w:rPr>
              <w:t xml:space="preserve"> увођење акциза за возила на основу емисије CО</w:t>
            </w:r>
            <w:r w:rsidRPr="00FF386D">
              <w:rPr>
                <w:rFonts w:ascii="Calibri Light" w:hAnsi="Calibri Light"/>
                <w:sz w:val="20"/>
                <w:vertAlign w:val="subscript"/>
              </w:rPr>
              <w:t>2</w:t>
            </w:r>
            <w:r w:rsidRPr="00FF386D">
              <w:rPr>
                <w:rFonts w:ascii="Calibri Light" w:hAnsi="Calibri Light"/>
                <w:sz w:val="20"/>
              </w:rPr>
              <w:t>, пореза на промет возила, акциза на горива за друмски саобраћај која пре</w:t>
            </w:r>
            <w:r w:rsidR="00A12752" w:rsidRPr="00A12752">
              <w:rPr>
                <w:rFonts w:ascii="Calibri Light" w:hAnsi="Calibri Light"/>
                <w:sz w:val="20"/>
              </w:rPr>
              <w:t>вазилазе</w:t>
            </w:r>
            <w:r w:rsidRPr="00FF386D">
              <w:rPr>
                <w:rFonts w:ascii="Calibri Light" w:hAnsi="Calibri Light"/>
                <w:sz w:val="20"/>
              </w:rPr>
              <w:t xml:space="preserve"> минималне нивое предвиђене Директивом 2003/96/ЕЗ, утврђивање путарине за тешка товарна возила, итд</w:t>
            </w:r>
            <w:r w:rsidRPr="000A2AFE">
              <w:rPr>
                <w:rFonts w:ascii="Calibri Light" w:eastAsia="Times New Roman" w:hAnsi="Calibri Light" w:cs="Calibri Light"/>
                <w:color w:val="000000"/>
                <w:sz w:val="20"/>
                <w:szCs w:val="20"/>
                <w:lang w:eastAsia="en-GB"/>
              </w:rPr>
              <w:t>.</w:t>
            </w:r>
          </w:p>
        </w:tc>
      </w:tr>
      <w:tr w:rsidR="00854ADA" w:rsidRPr="00FF386D" w14:paraId="468A866E"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4E6FBAC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2F5E0FA2" w14:textId="4BEF874B"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177C36" w:rsidRPr="00FF386D">
              <w:rPr>
                <w:rFonts w:ascii="Calibri Light" w:hAnsi="Calibri Light"/>
                <w:sz w:val="20"/>
              </w:rPr>
              <w:t>5</w:t>
            </w:r>
            <w:r w:rsidRPr="00FF386D">
              <w:rPr>
                <w:rFonts w:ascii="Calibri Light" w:hAnsi="Calibri Light"/>
                <w:sz w:val="20"/>
              </w:rPr>
              <w:t>-2030.</w:t>
            </w:r>
          </w:p>
        </w:tc>
      </w:tr>
      <w:tr w:rsidR="00854ADA" w:rsidRPr="00FF386D" w14:paraId="3963F22B"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4B53F5D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6F0BF932"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Инвестиција</w:t>
            </w:r>
          </w:p>
        </w:tc>
      </w:tr>
      <w:tr w:rsidR="00854ADA" w:rsidRPr="00FF386D" w14:paraId="433DD315"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4A4E30F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34B9494D"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Саобраћај</w:t>
            </w:r>
          </w:p>
        </w:tc>
      </w:tr>
      <w:tr w:rsidR="00854ADA" w:rsidRPr="00FF386D" w14:paraId="6B426CDC"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35D7AAB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2DBDF3E5" w14:textId="6B860DBB" w:rsidR="00854ADA" w:rsidRPr="000A2AFE" w:rsidRDefault="00E462ED" w:rsidP="000A2AFE">
            <w:pPr>
              <w:pStyle w:val="ListParagraph"/>
              <w:numPr>
                <w:ilvl w:val="0"/>
                <w:numId w:val="316"/>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5098F7B6" w14:textId="77777777" w:rsidTr="0057310C">
        <w:trPr>
          <w:trHeight w:val="315"/>
        </w:trPr>
        <w:tc>
          <w:tcPr>
            <w:tcW w:w="3310" w:type="dxa"/>
            <w:tcBorders>
              <w:top w:val="nil"/>
              <w:left w:val="single" w:sz="8" w:space="0" w:color="auto"/>
              <w:bottom w:val="single" w:sz="8" w:space="0" w:color="auto"/>
              <w:right w:val="nil"/>
            </w:tcBorders>
            <w:shd w:val="clear" w:color="000000" w:fill="244062"/>
            <w:vAlign w:val="center"/>
            <w:hideMark/>
          </w:tcPr>
          <w:p w14:paraId="6E57178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1E2D72C7" w14:textId="47B18F26" w:rsidR="00854ADA" w:rsidRPr="000A2AFE" w:rsidRDefault="007E7195" w:rsidP="000A2AFE">
            <w:pPr>
              <w:pStyle w:val="ListParagraph"/>
              <w:numPr>
                <w:ilvl w:val="0"/>
                <w:numId w:val="341"/>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1D7407F2" w14:textId="77777777" w:rsidTr="0057310C">
        <w:trPr>
          <w:trHeight w:val="315"/>
        </w:trPr>
        <w:tc>
          <w:tcPr>
            <w:tcW w:w="3310" w:type="dxa"/>
            <w:tcBorders>
              <w:top w:val="nil"/>
              <w:left w:val="single" w:sz="8" w:space="0" w:color="auto"/>
              <w:bottom w:val="single" w:sz="8" w:space="0" w:color="auto"/>
              <w:right w:val="nil"/>
            </w:tcBorders>
            <w:shd w:val="clear" w:color="000000" w:fill="244062"/>
            <w:vAlign w:val="center"/>
            <w:hideMark/>
          </w:tcPr>
          <w:p w14:paraId="1763DC8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6D1017F5" w14:textId="77777777" w:rsidR="00854ADA" w:rsidRPr="000A2AFE" w:rsidRDefault="00854ADA" w:rsidP="000A2AFE">
            <w:pPr>
              <w:pStyle w:val="ListParagraph"/>
              <w:numPr>
                <w:ilvl w:val="0"/>
                <w:numId w:val="341"/>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Број енергетски ефикасних возила</w:t>
            </w:r>
          </w:p>
        </w:tc>
      </w:tr>
      <w:tr w:rsidR="00854ADA" w:rsidRPr="00FF386D" w14:paraId="2E0FE6A4" w14:textId="77777777" w:rsidTr="0057310C">
        <w:trPr>
          <w:trHeight w:val="492"/>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07617EC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15563F92" w14:textId="10C9C2BC" w:rsidR="007E7195" w:rsidRPr="007E7195" w:rsidRDefault="007E7195" w:rsidP="007E7195">
            <w:pPr>
              <w:pStyle w:val="ListParagraph"/>
              <w:numPr>
                <w:ilvl w:val="0"/>
                <w:numId w:val="316"/>
              </w:numPr>
              <w:rPr>
                <w:rFonts w:ascii="Calibri Light" w:eastAsia="Times New Roman" w:hAnsi="Calibri Light" w:cs="Calibri Light"/>
                <w:color w:val="000000"/>
                <w:sz w:val="20"/>
                <w:szCs w:val="20"/>
                <w:lang w:eastAsia="en-GB"/>
              </w:rPr>
            </w:pPr>
            <w:r w:rsidRPr="007E7195">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7E7195">
              <w:rPr>
                <w:rFonts w:ascii="Calibri Light" w:eastAsia="Times New Roman" w:hAnsi="Calibri Light" w:cs="Calibri Light"/>
                <w:i/>
                <w:iCs/>
                <w:color w:val="000000"/>
                <w:sz w:val="20"/>
                <w:szCs w:val="20"/>
                <w:lang w:val="en-US" w:eastAsia="en-GB"/>
              </w:rPr>
              <w:t>GHG</w:t>
            </w:r>
            <w:r w:rsidRPr="007E7195">
              <w:rPr>
                <w:rFonts w:ascii="Calibri Light" w:eastAsia="Times New Roman" w:hAnsi="Calibri Light" w:cs="Calibri Light"/>
                <w:color w:val="000000"/>
                <w:sz w:val="20"/>
                <w:szCs w:val="20"/>
                <w:lang w:eastAsia="en-GB"/>
              </w:rPr>
              <w:t>)</w:t>
            </w:r>
          </w:p>
          <w:p w14:paraId="424A0E35" w14:textId="7944FA8F" w:rsidR="00854ADA" w:rsidRPr="00FF386D" w:rsidRDefault="007E7195" w:rsidP="000A2AFE">
            <w:pPr>
              <w:pStyle w:val="ListParagraph"/>
              <w:numPr>
                <w:ilvl w:val="0"/>
                <w:numId w:val="316"/>
              </w:numPr>
              <w:spacing w:after="0" w:line="240" w:lineRule="auto"/>
              <w:rPr>
                <w:rFonts w:ascii="Calibri Light" w:eastAsia="Times New Roman" w:hAnsi="Calibri Light" w:cs="Calibri Light"/>
                <w:color w:val="000000"/>
                <w:sz w:val="20"/>
                <w:szCs w:val="20"/>
                <w:lang w:eastAsia="en-GB"/>
              </w:rPr>
            </w:pPr>
            <w:r w:rsidRPr="007E7195">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w:t>
            </w:r>
            <w:r w:rsidR="00054666">
              <w:rPr>
                <w:rFonts w:ascii="Calibri Light" w:eastAsia="Times New Roman" w:hAnsi="Calibri Light" w:cs="Calibri Light"/>
                <w:color w:val="000000"/>
                <w:sz w:val="20"/>
                <w:szCs w:val="20"/>
                <w:lang w:eastAsia="en-GB"/>
              </w:rPr>
              <w:t>а увезених</w:t>
            </w:r>
            <w:r w:rsidRPr="007E7195">
              <w:rPr>
                <w:rFonts w:ascii="Calibri Light" w:eastAsia="Times New Roman" w:hAnsi="Calibri Light" w:cs="Calibri Light"/>
                <w:color w:val="000000"/>
                <w:sz w:val="20"/>
                <w:szCs w:val="20"/>
                <w:lang w:eastAsia="en-GB"/>
              </w:rPr>
              <w:t xml:space="preserve"> фосилних горива што ће довести до смањења зависности од увоза енергије из трећих земаља)</w:t>
            </w:r>
          </w:p>
        </w:tc>
      </w:tr>
      <w:tr w:rsidR="00854ADA" w:rsidRPr="00FF386D" w14:paraId="7859FC99" w14:textId="77777777" w:rsidTr="0057310C">
        <w:trPr>
          <w:trHeight w:val="450"/>
        </w:trPr>
        <w:tc>
          <w:tcPr>
            <w:tcW w:w="3310" w:type="dxa"/>
            <w:tcBorders>
              <w:top w:val="nil"/>
              <w:left w:val="single" w:sz="8" w:space="0" w:color="auto"/>
              <w:bottom w:val="nil"/>
              <w:right w:val="single" w:sz="8" w:space="0" w:color="auto"/>
            </w:tcBorders>
            <w:shd w:val="clear" w:color="000000" w:fill="244062"/>
            <w:vAlign w:val="center"/>
            <w:hideMark/>
          </w:tcPr>
          <w:p w14:paraId="330FDDD2" w14:textId="558ADDD0"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48"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2BD9CA1" w14:textId="4CDFF55B" w:rsidR="00854ADA" w:rsidRPr="000A2AFE" w:rsidRDefault="00854ADA" w:rsidP="000A2AFE">
            <w:pPr>
              <w:pStyle w:val="ListParagraph"/>
              <w:numPr>
                <w:ilvl w:val="0"/>
                <w:numId w:val="316"/>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Директива </w:t>
            </w:r>
            <w:r w:rsidR="00641776" w:rsidRPr="000A2AFE">
              <w:rPr>
                <w:rFonts w:ascii="Calibri Light" w:eastAsia="Times New Roman" w:hAnsi="Calibri Light" w:cs="Calibri Light"/>
                <w:color w:val="000000"/>
                <w:sz w:val="20"/>
                <w:szCs w:val="20"/>
                <w:lang w:eastAsia="en-GB"/>
              </w:rPr>
              <w:t xml:space="preserve">(ЕУ) </w:t>
            </w:r>
            <w:r w:rsidRPr="000A2AFE">
              <w:rPr>
                <w:rFonts w:ascii="Calibri Light" w:eastAsia="Times New Roman" w:hAnsi="Calibri Light" w:cs="Calibri Light"/>
                <w:color w:val="000000"/>
                <w:sz w:val="20"/>
                <w:szCs w:val="20"/>
                <w:lang w:eastAsia="en-GB"/>
              </w:rPr>
              <w:t>2012/27</w:t>
            </w:r>
          </w:p>
          <w:p w14:paraId="56AA8037" w14:textId="77777777" w:rsidR="00854ADA" w:rsidRDefault="00854ADA" w:rsidP="00A12752">
            <w:pPr>
              <w:pStyle w:val="ListParagraph"/>
              <w:numPr>
                <w:ilvl w:val="0"/>
                <w:numId w:val="316"/>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Директива </w:t>
            </w:r>
            <w:r w:rsidR="00641776" w:rsidRPr="000A2AFE">
              <w:rPr>
                <w:rFonts w:ascii="Calibri Light" w:eastAsia="Times New Roman" w:hAnsi="Calibri Light" w:cs="Calibri Light"/>
                <w:color w:val="000000"/>
                <w:sz w:val="20"/>
                <w:szCs w:val="20"/>
                <w:lang w:eastAsia="en-GB"/>
              </w:rPr>
              <w:t xml:space="preserve">(ЕУ) </w:t>
            </w:r>
            <w:r w:rsidRPr="000A2AFE">
              <w:rPr>
                <w:rFonts w:ascii="Calibri Light" w:eastAsia="Times New Roman" w:hAnsi="Calibri Light" w:cs="Calibri Light"/>
                <w:color w:val="000000"/>
                <w:sz w:val="20"/>
                <w:szCs w:val="20"/>
                <w:lang w:eastAsia="en-GB"/>
              </w:rPr>
              <w:t>2018/2002</w:t>
            </w:r>
          </w:p>
          <w:p w14:paraId="3F2E9013" w14:textId="07357CB8" w:rsidR="00A12752" w:rsidRPr="00FF386D" w:rsidRDefault="00A12752" w:rsidP="000A2AFE">
            <w:pPr>
              <w:pStyle w:val="ListParagraph"/>
              <w:numPr>
                <w:ilvl w:val="0"/>
                <w:numId w:val="316"/>
              </w:numPr>
              <w:spacing w:after="0" w:line="240" w:lineRule="auto"/>
              <w:rPr>
                <w:rFonts w:ascii="Calibri Light" w:eastAsia="Times New Roman" w:hAnsi="Calibri Light" w:cs="Calibri Light"/>
                <w:color w:val="000000"/>
                <w:sz w:val="20"/>
                <w:szCs w:val="20"/>
                <w:lang w:eastAsia="en-GB"/>
              </w:rPr>
            </w:pPr>
            <w:r w:rsidRPr="00A12752">
              <w:rPr>
                <w:rFonts w:ascii="Calibri Light" w:eastAsia="Times New Roman" w:hAnsi="Calibri Light" w:cs="Calibri Light"/>
                <w:color w:val="000000"/>
                <w:sz w:val="20"/>
                <w:szCs w:val="20"/>
                <w:lang w:eastAsia="en-GB"/>
              </w:rPr>
              <w:t>Уредба (ЕУ) 2019/631</w:t>
            </w:r>
          </w:p>
        </w:tc>
      </w:tr>
      <w:tr w:rsidR="00854ADA" w:rsidRPr="00FF386D" w14:paraId="5CAFE4FD" w14:textId="77777777" w:rsidTr="0057310C">
        <w:trPr>
          <w:trHeight w:val="450"/>
        </w:trPr>
        <w:tc>
          <w:tcPr>
            <w:tcW w:w="3310" w:type="dxa"/>
            <w:tcBorders>
              <w:top w:val="nil"/>
              <w:left w:val="single" w:sz="8" w:space="0" w:color="auto"/>
              <w:bottom w:val="single" w:sz="8" w:space="0" w:color="auto"/>
              <w:right w:val="single" w:sz="8" w:space="0" w:color="auto"/>
            </w:tcBorders>
            <w:shd w:val="clear" w:color="000000" w:fill="244062"/>
            <w:vAlign w:val="center"/>
          </w:tcPr>
          <w:p w14:paraId="2F3C664E" w14:textId="77777777" w:rsidR="00854ADA" w:rsidRPr="00FF386D" w:rsidRDefault="00854ADA" w:rsidP="00854ADA">
            <w:pPr>
              <w:spacing w:after="0" w:line="240" w:lineRule="auto"/>
              <w:rPr>
                <w:rFonts w:asciiTheme="majorHAnsi" w:hAnsiTheme="majorHAnsi" w:cstheme="majorHAnsi"/>
                <w:b/>
                <w:bCs/>
                <w:sz w:val="20"/>
                <w:szCs w:val="20"/>
              </w:rPr>
            </w:pPr>
            <w:r w:rsidRPr="00FF386D">
              <w:rPr>
                <w:rFonts w:asciiTheme="majorHAnsi" w:hAnsiTheme="majorHAnsi" w:cstheme="majorHAnsi"/>
                <w:b/>
                <w:bCs/>
                <w:sz w:val="20"/>
                <w:szCs w:val="20"/>
              </w:rPr>
              <w:lastRenderedPageBreak/>
              <w:t>Релевантни национални плански документ (правни, регулаторни акти, итд)</w:t>
            </w:r>
          </w:p>
        </w:tc>
        <w:tc>
          <w:tcPr>
            <w:tcW w:w="6148" w:type="dxa"/>
            <w:gridSpan w:val="3"/>
            <w:tcBorders>
              <w:top w:val="single" w:sz="8" w:space="0" w:color="auto"/>
              <w:left w:val="nil"/>
              <w:bottom w:val="single" w:sz="8" w:space="0" w:color="auto"/>
              <w:right w:val="single" w:sz="8" w:space="0" w:color="000000"/>
            </w:tcBorders>
            <w:shd w:val="clear" w:color="auto" w:fill="auto"/>
            <w:vAlign w:val="center"/>
          </w:tcPr>
          <w:p w14:paraId="3B2D8764" w14:textId="182E2E49" w:rsidR="00854ADA" w:rsidRPr="00FF386D" w:rsidRDefault="00854ADA" w:rsidP="000A2AFE">
            <w:pPr>
              <w:pStyle w:val="ListParagraph"/>
              <w:numPr>
                <w:ilvl w:val="0"/>
                <w:numId w:val="316"/>
              </w:numPr>
              <w:spacing w:after="0" w:line="240" w:lineRule="auto"/>
              <w:rPr>
                <w:rFonts w:ascii="Calibri Light" w:hAnsi="Calibri Light"/>
                <w:color w:val="000000"/>
                <w:sz w:val="20"/>
              </w:rPr>
            </w:pPr>
            <w:r w:rsidRPr="00FF386D">
              <w:rPr>
                <w:rFonts w:ascii="Calibri Light" w:eastAsia="Times New Roman" w:hAnsi="Calibri Light" w:cs="Calibri Light"/>
                <w:color w:val="000000"/>
                <w:sz w:val="20"/>
                <w:szCs w:val="20"/>
                <w:lang w:eastAsia="en-GB"/>
              </w:rPr>
              <w:t>4. НАПЕЕ</w:t>
            </w:r>
          </w:p>
        </w:tc>
      </w:tr>
      <w:tr w:rsidR="00854ADA" w:rsidRPr="00FF386D" w14:paraId="502B33C8" w14:textId="77777777" w:rsidTr="0057310C">
        <w:trPr>
          <w:trHeight w:val="450"/>
        </w:trPr>
        <w:tc>
          <w:tcPr>
            <w:tcW w:w="3310" w:type="dxa"/>
            <w:tcBorders>
              <w:top w:val="nil"/>
              <w:left w:val="single" w:sz="8" w:space="0" w:color="auto"/>
              <w:bottom w:val="single" w:sz="8" w:space="0" w:color="auto"/>
              <w:right w:val="single" w:sz="8" w:space="0" w:color="auto"/>
            </w:tcBorders>
            <w:shd w:val="clear" w:color="000000" w:fill="244062"/>
            <w:vAlign w:val="center"/>
          </w:tcPr>
          <w:p w14:paraId="62F099B2" w14:textId="77777777" w:rsidR="00854ADA" w:rsidRPr="00FF386D" w:rsidRDefault="00854ADA" w:rsidP="00854ADA">
            <w:pPr>
              <w:spacing w:after="0" w:line="240" w:lineRule="auto"/>
              <w:rPr>
                <w:rFonts w:asciiTheme="majorHAnsi" w:hAnsiTheme="majorHAnsi" w:cstheme="majorHAnsi"/>
                <w:b/>
                <w:bCs/>
                <w:sz w:val="20"/>
                <w:szCs w:val="20"/>
              </w:rPr>
            </w:pPr>
            <w:r w:rsidRPr="00FF386D">
              <w:rPr>
                <w:rFonts w:asciiTheme="majorHAnsi" w:hAnsiTheme="majorHAnsi" w:cstheme="majorHAnsi"/>
                <w:b/>
                <w:bCs/>
                <w:sz w:val="20"/>
                <w:szCs w:val="20"/>
              </w:rPr>
              <w:t>Трошкови имплементације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tcPr>
          <w:p w14:paraId="43452F0F" w14:textId="27406D41" w:rsidR="00854ADA" w:rsidRPr="00FF386D" w:rsidRDefault="00A12752" w:rsidP="00854ADA">
            <w:pPr>
              <w:spacing w:after="0" w:line="240" w:lineRule="auto"/>
              <w:contextualSpacing/>
              <w:rPr>
                <w:rFonts w:ascii="Calibri Light" w:hAnsi="Calibri Light"/>
                <w:color w:val="000000"/>
                <w:sz w:val="20"/>
              </w:rPr>
            </w:pPr>
            <w:r w:rsidRPr="00A12752">
              <w:rPr>
                <w:rFonts w:ascii="Calibri Light" w:eastAsia="Times New Roman" w:hAnsi="Calibri Light" w:cs="Calibri Light"/>
                <w:color w:val="000000"/>
                <w:sz w:val="20"/>
                <w:szCs w:val="20"/>
                <w:lang w:eastAsia="en-GB"/>
              </w:rPr>
              <w:t>3,803</w:t>
            </w:r>
            <w:r w:rsidR="00854ADA" w:rsidRPr="00FF386D">
              <w:rPr>
                <w:rFonts w:ascii="Calibri Light" w:eastAsia="Times New Roman" w:hAnsi="Calibri Light" w:cs="Calibri Light"/>
                <w:color w:val="000000"/>
                <w:sz w:val="20"/>
                <w:szCs w:val="20"/>
                <w:lang w:eastAsia="en-GB"/>
              </w:rPr>
              <w:t xml:space="preserve"> милијарди евра</w:t>
            </w:r>
          </w:p>
        </w:tc>
      </w:tr>
      <w:tr w:rsidR="00854ADA" w:rsidRPr="00FF386D" w14:paraId="646C3D52" w14:textId="77777777" w:rsidTr="0057310C">
        <w:trPr>
          <w:trHeight w:val="450"/>
        </w:trPr>
        <w:tc>
          <w:tcPr>
            <w:tcW w:w="3310" w:type="dxa"/>
            <w:tcBorders>
              <w:top w:val="nil"/>
              <w:left w:val="single" w:sz="8" w:space="0" w:color="auto"/>
              <w:bottom w:val="single" w:sz="8" w:space="0" w:color="auto"/>
              <w:right w:val="single" w:sz="8" w:space="0" w:color="auto"/>
            </w:tcBorders>
            <w:shd w:val="clear" w:color="000000" w:fill="244062"/>
            <w:vAlign w:val="center"/>
          </w:tcPr>
          <w:p w14:paraId="246E57A0" w14:textId="77777777" w:rsidR="00854ADA" w:rsidRPr="00FF386D" w:rsidRDefault="00854ADA" w:rsidP="00854ADA">
            <w:pPr>
              <w:spacing w:after="0" w:line="240" w:lineRule="auto"/>
              <w:rPr>
                <w:rFonts w:asciiTheme="majorHAnsi" w:hAnsiTheme="majorHAnsi" w:cstheme="majorHAnsi"/>
                <w:b/>
                <w:bCs/>
                <w:sz w:val="20"/>
                <w:szCs w:val="20"/>
              </w:rPr>
            </w:pPr>
            <w:r w:rsidRPr="00FF386D">
              <w:rPr>
                <w:rFonts w:asciiTheme="majorHAnsi" w:eastAsia="Times New Roman" w:hAnsiTheme="majorHAnsi" w:cstheme="majorHAnsi"/>
                <w:b/>
                <w:bCs/>
                <w:color w:val="FFFFFF"/>
                <w:sz w:val="20"/>
                <w:szCs w:val="20"/>
                <w:lang w:eastAsia="en-GB"/>
              </w:rPr>
              <w:t>Извор(и) финансирања</w:t>
            </w:r>
          </w:p>
        </w:tc>
        <w:tc>
          <w:tcPr>
            <w:tcW w:w="6148" w:type="dxa"/>
            <w:gridSpan w:val="3"/>
            <w:tcBorders>
              <w:top w:val="single" w:sz="8" w:space="0" w:color="auto"/>
              <w:left w:val="nil"/>
              <w:bottom w:val="single" w:sz="8" w:space="0" w:color="auto"/>
              <w:right w:val="single" w:sz="8" w:space="0" w:color="000000"/>
            </w:tcBorders>
            <w:shd w:val="clear" w:color="auto" w:fill="auto"/>
            <w:vAlign w:val="center"/>
          </w:tcPr>
          <w:p w14:paraId="3824520B" w14:textId="77777777" w:rsidR="00854ADA" w:rsidRPr="00FF386D" w:rsidRDefault="00854ADA" w:rsidP="00854ADA">
            <w:pPr>
              <w:spacing w:after="0" w:line="240" w:lineRule="auto"/>
              <w:rPr>
                <w:rFonts w:ascii="Calibri Light" w:hAnsi="Calibri Light"/>
                <w:color w:val="000000"/>
                <w:sz w:val="20"/>
              </w:rPr>
            </w:pPr>
            <w:r w:rsidRPr="00FF386D">
              <w:rPr>
                <w:rFonts w:asciiTheme="majorHAnsi" w:eastAsia="Times New Roman" w:hAnsiTheme="majorHAnsi" w:cstheme="majorHAnsi"/>
                <w:color w:val="000000"/>
                <w:sz w:val="20"/>
                <w:szCs w:val="20"/>
                <w:lang w:eastAsia="en-GB"/>
              </w:rPr>
              <w:t>Сопствена средства</w:t>
            </w:r>
          </w:p>
        </w:tc>
      </w:tr>
    </w:tbl>
    <w:p w14:paraId="27795E03"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11"/>
        <w:gridCol w:w="1007"/>
        <w:gridCol w:w="943"/>
        <w:gridCol w:w="4197"/>
      </w:tblGrid>
      <w:tr w:rsidR="00854ADA" w:rsidRPr="00FF386D" w14:paraId="7E4F2E3D" w14:textId="77777777" w:rsidTr="0057310C">
        <w:trPr>
          <w:trHeight w:val="780"/>
        </w:trPr>
        <w:tc>
          <w:tcPr>
            <w:tcW w:w="3311"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76187027"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22938AEC"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МП_ЕЕ11</w:t>
            </w:r>
          </w:p>
        </w:tc>
        <w:tc>
          <w:tcPr>
            <w:tcW w:w="943" w:type="dxa"/>
            <w:tcBorders>
              <w:top w:val="single" w:sz="8" w:space="0" w:color="auto"/>
              <w:left w:val="nil"/>
              <w:bottom w:val="single" w:sz="8" w:space="0" w:color="auto"/>
              <w:right w:val="single" w:sz="8" w:space="0" w:color="auto"/>
            </w:tcBorders>
            <w:shd w:val="clear" w:color="000000" w:fill="244062"/>
            <w:vAlign w:val="center"/>
            <w:hideMark/>
          </w:tcPr>
          <w:p w14:paraId="114531D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97" w:type="dxa"/>
            <w:tcBorders>
              <w:top w:val="single" w:sz="8" w:space="0" w:color="auto"/>
              <w:left w:val="nil"/>
              <w:bottom w:val="single" w:sz="8" w:space="0" w:color="auto"/>
              <w:right w:val="single" w:sz="8" w:space="0" w:color="auto"/>
            </w:tcBorders>
            <w:shd w:val="clear" w:color="auto" w:fill="E7E6E6" w:themeFill="background2"/>
            <w:vAlign w:val="center"/>
            <w:hideMark/>
          </w:tcPr>
          <w:p w14:paraId="2696B29E" w14:textId="2ACD2676" w:rsidR="00854ADA" w:rsidRPr="00FF386D" w:rsidRDefault="00854ADA" w:rsidP="00854ADA">
            <w:pPr>
              <w:spacing w:after="0" w:line="240" w:lineRule="auto"/>
              <w:rPr>
                <w:rFonts w:ascii="Calibri Light" w:eastAsia="Times New Roman" w:hAnsi="Calibri Light" w:cs="Calibri Light"/>
                <w:b/>
                <w:bCs/>
                <w:color w:val="000000"/>
                <w:sz w:val="20"/>
                <w:szCs w:val="20"/>
                <w:lang w:eastAsia="en-GB"/>
              </w:rPr>
            </w:pPr>
            <w:r w:rsidRPr="00FF386D">
              <w:rPr>
                <w:rFonts w:ascii="Calibri Light" w:eastAsia="NSimSun" w:hAnsi="Calibri Light" w:cs="Mangal"/>
                <w:b/>
                <w:kern w:val="2"/>
                <w:sz w:val="20"/>
                <w:szCs w:val="24"/>
                <w:lang w:eastAsia="zh-CN" w:bidi="hi-IN"/>
              </w:rPr>
              <w:t>Обезбеђивање</w:t>
            </w:r>
            <w:r w:rsidRPr="00FF386D">
              <w:rPr>
                <w:rFonts w:ascii="Calibri Light" w:hAnsi="Calibri Light"/>
                <w:b/>
                <w:sz w:val="20"/>
              </w:rPr>
              <w:t xml:space="preserve"> енергетске ефикасности увезених половних путничких аутомобила</w:t>
            </w:r>
          </w:p>
        </w:tc>
      </w:tr>
      <w:tr w:rsidR="00854ADA" w:rsidRPr="00FF386D" w14:paraId="1FE982A1" w14:textId="77777777" w:rsidTr="0057310C">
        <w:trPr>
          <w:trHeight w:val="435"/>
        </w:trPr>
        <w:tc>
          <w:tcPr>
            <w:tcW w:w="3311" w:type="dxa"/>
            <w:tcBorders>
              <w:top w:val="nil"/>
              <w:left w:val="single" w:sz="8" w:space="0" w:color="auto"/>
              <w:bottom w:val="single" w:sz="8" w:space="0" w:color="auto"/>
              <w:right w:val="nil"/>
            </w:tcBorders>
            <w:shd w:val="clear" w:color="000000" w:fill="244062"/>
            <w:vAlign w:val="center"/>
            <w:hideMark/>
          </w:tcPr>
          <w:p w14:paraId="3EADC80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2BDEB34B" w14:textId="3EB26AA1" w:rsidR="00854ADA" w:rsidRPr="000A2AFE" w:rsidRDefault="00641776"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Примена</w:t>
            </w:r>
            <w:r w:rsidR="00854ADA" w:rsidRPr="00FF386D">
              <w:rPr>
                <w:rFonts w:ascii="Calibri Light" w:hAnsi="Calibri Light"/>
                <w:sz w:val="20"/>
              </w:rPr>
              <w:t xml:space="preserve"> чланова Директиве </w:t>
            </w:r>
            <w:r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2018/2002</w:t>
            </w:r>
            <w:r w:rsidRPr="00FF386D">
              <w:rPr>
                <w:rFonts w:ascii="Calibri Light" w:hAnsi="Calibri Light"/>
                <w:sz w:val="20"/>
              </w:rPr>
              <w:t>, и то</w:t>
            </w:r>
            <w:r w:rsidR="00854ADA" w:rsidRPr="000A2AFE">
              <w:rPr>
                <w:rFonts w:ascii="Calibri Light" w:eastAsia="Times New Roman" w:hAnsi="Calibri Light" w:cs="Calibri Light"/>
                <w:color w:val="000000"/>
                <w:sz w:val="20"/>
                <w:szCs w:val="20"/>
                <w:lang w:eastAsia="en-GB"/>
              </w:rPr>
              <w:t>:</w:t>
            </w:r>
          </w:p>
          <w:p w14:paraId="1991116D" w14:textId="5978A4B1" w:rsidR="00854ADA" w:rsidRPr="000A2AFE" w:rsidRDefault="00854ADA" w:rsidP="00854ADA">
            <w:pPr>
              <w:numPr>
                <w:ilvl w:val="0"/>
                <w:numId w:val="2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D377AE"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3</w:t>
            </w:r>
          </w:p>
          <w:p w14:paraId="6D563985" w14:textId="045310D7" w:rsidR="00854ADA" w:rsidRPr="00FF386D" w:rsidRDefault="00854ADA" w:rsidP="00854ADA">
            <w:pPr>
              <w:numPr>
                <w:ilvl w:val="0"/>
                <w:numId w:val="12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D377AE"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7</w:t>
            </w:r>
          </w:p>
        </w:tc>
      </w:tr>
      <w:tr w:rsidR="00854ADA" w:rsidRPr="00FF386D" w14:paraId="583ECC2F" w14:textId="77777777" w:rsidTr="0057310C">
        <w:trPr>
          <w:trHeight w:val="315"/>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5C450FC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607A8B4C"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Допринос МП_ЕЕ10, МПЕ_ЕЕ12 и МП_ЕЕ14</w:t>
            </w:r>
          </w:p>
        </w:tc>
      </w:tr>
      <w:tr w:rsidR="00854ADA" w:rsidRPr="00FF386D" w14:paraId="7E038C80" w14:textId="77777777" w:rsidTr="0057310C">
        <w:trPr>
          <w:trHeight w:val="712"/>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7C2BFE4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3EC74735" w14:textId="16ACCA74"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МП_ЕЕ11 ће увести </w:t>
            </w:r>
            <w:r w:rsidR="007C3722" w:rsidRPr="00FF386D">
              <w:rPr>
                <w:rFonts w:ascii="Calibri Light" w:hAnsi="Calibri Light"/>
                <w:sz w:val="20"/>
              </w:rPr>
              <w:t>ригорозније</w:t>
            </w:r>
            <w:r w:rsidRPr="00FF386D">
              <w:rPr>
                <w:rFonts w:ascii="Calibri Light" w:hAnsi="Calibri Light"/>
                <w:sz w:val="20"/>
              </w:rPr>
              <w:t xml:space="preserve"> минималне захтеве у погледу примењених стандарда емисије за увезене половне путничке аутомобиле, </w:t>
            </w:r>
            <w:r w:rsidR="00D377AE" w:rsidRPr="00FF386D">
              <w:rPr>
                <w:rFonts w:ascii="Calibri Light" w:hAnsi="Calibri Light"/>
                <w:sz w:val="20"/>
              </w:rPr>
              <w:t>и тако осигурати</w:t>
            </w:r>
            <w:r w:rsidRPr="00FF386D">
              <w:rPr>
                <w:rFonts w:ascii="Calibri Light" w:hAnsi="Calibri Light"/>
                <w:sz w:val="20"/>
              </w:rPr>
              <w:t xml:space="preserve"> постизање прихватљивих нивоа енергетске ефикасности у односу на нова енергетски ефикасна возила</w:t>
            </w:r>
            <w:r w:rsidRPr="000A2AFE">
              <w:rPr>
                <w:rFonts w:ascii="Calibri Light" w:eastAsia="Times New Roman" w:hAnsi="Calibri Light" w:cs="Calibri Light"/>
                <w:color w:val="000000"/>
                <w:sz w:val="20"/>
                <w:szCs w:val="20"/>
                <w:lang w:eastAsia="en-GB"/>
              </w:rPr>
              <w:t>.</w:t>
            </w:r>
          </w:p>
        </w:tc>
      </w:tr>
      <w:tr w:rsidR="00854ADA" w:rsidRPr="00FF386D" w14:paraId="49278FDB" w14:textId="77777777" w:rsidTr="0057310C">
        <w:trPr>
          <w:trHeight w:val="315"/>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6931F8F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3D282BDD" w14:textId="7F6E696F"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7C3722" w:rsidRPr="00FF386D">
              <w:rPr>
                <w:rFonts w:ascii="Calibri Light" w:hAnsi="Calibri Light"/>
                <w:sz w:val="20"/>
              </w:rPr>
              <w:t>5</w:t>
            </w:r>
            <w:r w:rsidRPr="00FF386D">
              <w:rPr>
                <w:rFonts w:ascii="Calibri Light" w:hAnsi="Calibri Light"/>
                <w:sz w:val="20"/>
              </w:rPr>
              <w:t>-2030.</w:t>
            </w:r>
          </w:p>
        </w:tc>
      </w:tr>
      <w:tr w:rsidR="00854ADA" w:rsidRPr="00FF386D" w14:paraId="0179CB90" w14:textId="77777777" w:rsidTr="0057310C">
        <w:trPr>
          <w:trHeight w:val="315"/>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0DC6A4D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18AEB59B"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Реформа</w:t>
            </w:r>
          </w:p>
        </w:tc>
      </w:tr>
      <w:tr w:rsidR="00854ADA" w:rsidRPr="00FF386D" w14:paraId="5C3E06DA" w14:textId="77777777" w:rsidTr="0057310C">
        <w:trPr>
          <w:trHeight w:val="315"/>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3882F50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12FF03B6"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Саобраћај</w:t>
            </w:r>
          </w:p>
        </w:tc>
      </w:tr>
      <w:tr w:rsidR="00854ADA" w:rsidRPr="00FF386D" w14:paraId="40E19436" w14:textId="77777777" w:rsidTr="0057310C">
        <w:trPr>
          <w:trHeight w:val="315"/>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5299B9B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6E76066E" w14:textId="6DAC30F9" w:rsidR="00854ADA" w:rsidRPr="000A2AFE" w:rsidRDefault="00E462ED" w:rsidP="000A2AFE">
            <w:pPr>
              <w:pStyle w:val="ListParagraph"/>
              <w:numPr>
                <w:ilvl w:val="0"/>
                <w:numId w:val="316"/>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365966CB" w14:textId="77777777" w:rsidTr="0057310C">
        <w:trPr>
          <w:trHeight w:val="315"/>
        </w:trPr>
        <w:tc>
          <w:tcPr>
            <w:tcW w:w="3311" w:type="dxa"/>
            <w:tcBorders>
              <w:top w:val="nil"/>
              <w:left w:val="single" w:sz="8" w:space="0" w:color="auto"/>
              <w:bottom w:val="single" w:sz="8" w:space="0" w:color="auto"/>
              <w:right w:val="nil"/>
            </w:tcBorders>
            <w:shd w:val="clear" w:color="000000" w:fill="244062"/>
            <w:vAlign w:val="center"/>
            <w:hideMark/>
          </w:tcPr>
          <w:p w14:paraId="28FFA4F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7268B7A0" w14:textId="01DFC2E9" w:rsidR="00854ADA" w:rsidRPr="000A2AFE" w:rsidRDefault="007E7195" w:rsidP="000A2AFE">
            <w:pPr>
              <w:pStyle w:val="ListParagraph"/>
              <w:numPr>
                <w:ilvl w:val="0"/>
                <w:numId w:val="125"/>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5C43C8CB" w14:textId="77777777" w:rsidTr="0057310C">
        <w:trPr>
          <w:trHeight w:val="315"/>
        </w:trPr>
        <w:tc>
          <w:tcPr>
            <w:tcW w:w="3311" w:type="dxa"/>
            <w:tcBorders>
              <w:top w:val="nil"/>
              <w:left w:val="single" w:sz="8" w:space="0" w:color="auto"/>
              <w:bottom w:val="single" w:sz="8" w:space="0" w:color="auto"/>
              <w:right w:val="nil"/>
            </w:tcBorders>
            <w:shd w:val="clear" w:color="000000" w:fill="244062"/>
            <w:vAlign w:val="center"/>
            <w:hideMark/>
          </w:tcPr>
          <w:p w14:paraId="1EC9425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2A0350E9" w14:textId="77777777" w:rsidR="00854ADA" w:rsidRPr="000A2AFE" w:rsidRDefault="00854ADA" w:rsidP="000A2AFE">
            <w:pPr>
              <w:pStyle w:val="ListParagraph"/>
              <w:numPr>
                <w:ilvl w:val="0"/>
                <w:numId w:val="125"/>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Број енергетски ефикасних возила</w:t>
            </w:r>
          </w:p>
        </w:tc>
      </w:tr>
      <w:tr w:rsidR="00854ADA" w:rsidRPr="00FF386D" w14:paraId="11346265" w14:textId="77777777" w:rsidTr="0057310C">
        <w:trPr>
          <w:trHeight w:val="547"/>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2F7AFEE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129F9F80" w14:textId="00452144" w:rsidR="007E7195" w:rsidRPr="007E7195" w:rsidRDefault="007E7195" w:rsidP="007E7195">
            <w:pPr>
              <w:numPr>
                <w:ilvl w:val="0"/>
                <w:numId w:val="128"/>
              </w:numPr>
              <w:spacing w:after="0" w:line="240" w:lineRule="auto"/>
              <w:rPr>
                <w:rFonts w:ascii="Calibri Light" w:eastAsia="Times New Roman" w:hAnsi="Calibri Light" w:cs="Calibri Light"/>
                <w:color w:val="000000"/>
                <w:sz w:val="20"/>
                <w:szCs w:val="20"/>
                <w:lang w:eastAsia="en-GB"/>
              </w:rPr>
            </w:pPr>
            <w:r w:rsidRPr="007E7195">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7E7195">
              <w:rPr>
                <w:rFonts w:ascii="Calibri Light" w:eastAsia="Times New Roman" w:hAnsi="Calibri Light" w:cs="Calibri Light"/>
                <w:i/>
                <w:iCs/>
                <w:color w:val="000000"/>
                <w:sz w:val="20"/>
                <w:szCs w:val="20"/>
                <w:lang w:val="en-US" w:eastAsia="en-GB"/>
              </w:rPr>
              <w:t>GHG</w:t>
            </w:r>
            <w:r w:rsidRPr="007E7195">
              <w:rPr>
                <w:rFonts w:ascii="Calibri Light" w:eastAsia="Times New Roman" w:hAnsi="Calibri Light" w:cs="Calibri Light"/>
                <w:color w:val="000000"/>
                <w:sz w:val="20"/>
                <w:szCs w:val="20"/>
                <w:lang w:eastAsia="en-GB"/>
              </w:rPr>
              <w:t>)</w:t>
            </w:r>
          </w:p>
          <w:p w14:paraId="1C91674B" w14:textId="505FF496" w:rsidR="00854ADA" w:rsidRPr="00FF386D" w:rsidRDefault="007E7195" w:rsidP="007E7195">
            <w:pPr>
              <w:numPr>
                <w:ilvl w:val="0"/>
                <w:numId w:val="128"/>
              </w:numPr>
              <w:spacing w:after="0" w:line="240" w:lineRule="auto"/>
              <w:contextualSpacing/>
              <w:rPr>
                <w:rFonts w:ascii="Calibri Light" w:eastAsia="Times New Roman" w:hAnsi="Calibri Light" w:cs="Calibri Light"/>
                <w:color w:val="000000"/>
                <w:sz w:val="20"/>
                <w:szCs w:val="20"/>
                <w:lang w:eastAsia="en-GB"/>
              </w:rPr>
            </w:pPr>
            <w:r w:rsidRPr="007E7195">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w:t>
            </w:r>
            <w:r w:rsidR="00054666">
              <w:rPr>
                <w:rFonts w:ascii="Calibri Light" w:eastAsia="Times New Roman" w:hAnsi="Calibri Light" w:cs="Calibri Light"/>
                <w:color w:val="000000"/>
                <w:sz w:val="20"/>
                <w:szCs w:val="20"/>
                <w:lang w:eastAsia="en-GB"/>
              </w:rPr>
              <w:t>а увезених</w:t>
            </w:r>
            <w:r w:rsidRPr="007E7195">
              <w:rPr>
                <w:rFonts w:ascii="Calibri Light" w:eastAsia="Times New Roman" w:hAnsi="Calibri Light" w:cs="Calibri Light"/>
                <w:color w:val="000000"/>
                <w:sz w:val="20"/>
                <w:szCs w:val="20"/>
                <w:lang w:eastAsia="en-GB"/>
              </w:rPr>
              <w:t xml:space="preserve"> фосилних горива што ће довести до смањења зависности од увоза енергије из трећих земаља)</w:t>
            </w:r>
          </w:p>
        </w:tc>
      </w:tr>
      <w:tr w:rsidR="00854ADA" w:rsidRPr="00FF386D" w14:paraId="36857F93" w14:textId="77777777" w:rsidTr="0057310C">
        <w:trPr>
          <w:trHeight w:val="450"/>
        </w:trPr>
        <w:tc>
          <w:tcPr>
            <w:tcW w:w="3311"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21AF6E5F" w14:textId="16A96457"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47"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6229F665" w14:textId="77777777" w:rsidR="00854ADA" w:rsidRPr="000A2AFE" w:rsidRDefault="00854ADA" w:rsidP="007C3722">
            <w:pPr>
              <w:pStyle w:val="ListParagraph"/>
              <w:numPr>
                <w:ilvl w:val="0"/>
                <w:numId w:val="128"/>
              </w:num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Pr="000A2AFE">
              <w:rPr>
                <w:rFonts w:ascii="Calibri Light" w:eastAsia="Times New Roman" w:hAnsi="Calibri Light" w:cs="Calibri Light"/>
                <w:color w:val="000000"/>
                <w:sz w:val="20"/>
                <w:szCs w:val="20"/>
                <w:lang w:eastAsia="en-GB"/>
              </w:rPr>
              <w:t>2012/27/ЕУ</w:t>
            </w:r>
          </w:p>
          <w:p w14:paraId="7EDE7042" w14:textId="77777777" w:rsidR="00854ADA" w:rsidRPr="00FF386D" w:rsidRDefault="00854ADA" w:rsidP="005E43A2">
            <w:pPr>
              <w:pStyle w:val="ListParagraph"/>
              <w:numPr>
                <w:ilvl w:val="0"/>
                <w:numId w:val="128"/>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Директива2018/2002/ЕУ</w:t>
            </w:r>
          </w:p>
        </w:tc>
      </w:tr>
      <w:tr w:rsidR="00854ADA" w:rsidRPr="00FF386D" w14:paraId="017CE8BE" w14:textId="77777777" w:rsidTr="0057310C">
        <w:trPr>
          <w:trHeight w:val="450"/>
        </w:trPr>
        <w:tc>
          <w:tcPr>
            <w:tcW w:w="3311" w:type="dxa"/>
            <w:vMerge/>
            <w:tcBorders>
              <w:top w:val="nil"/>
              <w:left w:val="single" w:sz="8" w:space="0" w:color="auto"/>
              <w:bottom w:val="single" w:sz="8" w:space="0" w:color="000000"/>
              <w:right w:val="single" w:sz="8" w:space="0" w:color="auto"/>
            </w:tcBorders>
            <w:vAlign w:val="center"/>
            <w:hideMark/>
          </w:tcPr>
          <w:p w14:paraId="3A7BFDF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7" w:type="dxa"/>
            <w:gridSpan w:val="3"/>
            <w:vMerge/>
            <w:tcBorders>
              <w:top w:val="single" w:sz="8" w:space="0" w:color="auto"/>
              <w:left w:val="single" w:sz="8" w:space="0" w:color="auto"/>
              <w:bottom w:val="single" w:sz="8" w:space="0" w:color="000000"/>
              <w:right w:val="single" w:sz="8" w:space="0" w:color="000000"/>
            </w:tcBorders>
            <w:vAlign w:val="center"/>
            <w:hideMark/>
          </w:tcPr>
          <w:p w14:paraId="41CA1B0F" w14:textId="77777777" w:rsidR="00854ADA" w:rsidRPr="00FF386D" w:rsidRDefault="00854ADA" w:rsidP="00854ADA">
            <w:pPr>
              <w:numPr>
                <w:ilvl w:val="0"/>
                <w:numId w:val="128"/>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73DF81C3" w14:textId="77777777" w:rsidTr="0057310C">
        <w:trPr>
          <w:trHeight w:val="450"/>
        </w:trPr>
        <w:tc>
          <w:tcPr>
            <w:tcW w:w="3311" w:type="dxa"/>
            <w:vMerge/>
            <w:tcBorders>
              <w:top w:val="nil"/>
              <w:left w:val="single" w:sz="8" w:space="0" w:color="auto"/>
              <w:bottom w:val="single" w:sz="8" w:space="0" w:color="000000"/>
              <w:right w:val="single" w:sz="8" w:space="0" w:color="auto"/>
            </w:tcBorders>
            <w:vAlign w:val="center"/>
            <w:hideMark/>
          </w:tcPr>
          <w:p w14:paraId="2FF96FC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7" w:type="dxa"/>
            <w:gridSpan w:val="3"/>
            <w:vMerge/>
            <w:tcBorders>
              <w:top w:val="single" w:sz="8" w:space="0" w:color="auto"/>
              <w:left w:val="single" w:sz="8" w:space="0" w:color="auto"/>
              <w:bottom w:val="single" w:sz="8" w:space="0" w:color="000000"/>
              <w:right w:val="single" w:sz="8" w:space="0" w:color="000000"/>
            </w:tcBorders>
            <w:vAlign w:val="center"/>
            <w:hideMark/>
          </w:tcPr>
          <w:p w14:paraId="0F420C53" w14:textId="77777777" w:rsidR="00854ADA" w:rsidRPr="00FF386D" w:rsidRDefault="00854ADA" w:rsidP="00854ADA">
            <w:pPr>
              <w:numPr>
                <w:ilvl w:val="0"/>
                <w:numId w:val="128"/>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10F6BF55" w14:textId="77777777" w:rsidTr="0057310C">
        <w:trPr>
          <w:trHeight w:val="443"/>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6082017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767F6947" w14:textId="5DB18099" w:rsidR="00854ADA" w:rsidRPr="00FF386D" w:rsidRDefault="00854ADA" w:rsidP="00854ADA">
            <w:pPr>
              <w:numPr>
                <w:ilvl w:val="0"/>
                <w:numId w:val="128"/>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4. НАПЕЕ</w:t>
            </w:r>
          </w:p>
        </w:tc>
      </w:tr>
      <w:tr w:rsidR="00854ADA" w:rsidRPr="00FF386D" w14:paraId="494BCA34" w14:textId="77777777" w:rsidTr="0057310C">
        <w:trPr>
          <w:trHeight w:val="315"/>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6516E12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39C803EF" w14:textId="6589A835"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Биће интегрисан</w:t>
            </w:r>
            <w:r w:rsidR="005E43A2" w:rsidRPr="00FF386D">
              <w:rPr>
                <w:rFonts w:ascii="Calibri Light" w:eastAsia="Times New Roman" w:hAnsi="Calibri Light" w:cs="Calibri Light"/>
                <w:color w:val="000000"/>
                <w:sz w:val="20"/>
                <w:szCs w:val="20"/>
                <w:lang w:eastAsia="en-GB"/>
              </w:rPr>
              <w:t xml:space="preserve">и </w:t>
            </w:r>
            <w:r w:rsidRPr="00FF386D">
              <w:rPr>
                <w:rFonts w:ascii="Calibri Light" w:eastAsia="Times New Roman" w:hAnsi="Calibri Light" w:cs="Calibri Light"/>
                <w:color w:val="000000"/>
                <w:sz w:val="20"/>
                <w:szCs w:val="20"/>
                <w:lang w:eastAsia="en-GB"/>
              </w:rPr>
              <w:t>у МП_ЕЕ10, МП_ЕЕ12 и МП_ЕЕ14</w:t>
            </w:r>
          </w:p>
        </w:tc>
      </w:tr>
      <w:tr w:rsidR="00854ADA" w:rsidRPr="00FF386D" w14:paraId="030E8B1D" w14:textId="77777777" w:rsidTr="0057310C">
        <w:trPr>
          <w:trHeight w:val="315"/>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7B9919A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3B7B44E3"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Сопствена средства</w:t>
            </w:r>
          </w:p>
        </w:tc>
      </w:tr>
    </w:tbl>
    <w:p w14:paraId="5FFB986C"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10"/>
        <w:gridCol w:w="1007"/>
        <w:gridCol w:w="943"/>
        <w:gridCol w:w="4198"/>
      </w:tblGrid>
      <w:tr w:rsidR="00854ADA" w:rsidRPr="00FF386D" w14:paraId="4660D149" w14:textId="77777777" w:rsidTr="0057310C">
        <w:trPr>
          <w:trHeight w:val="780"/>
        </w:trPr>
        <w:tc>
          <w:tcPr>
            <w:tcW w:w="3310"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52134C9D"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496F0AA9"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МП_ЕЕ12</w:t>
            </w:r>
          </w:p>
        </w:tc>
        <w:tc>
          <w:tcPr>
            <w:tcW w:w="943" w:type="dxa"/>
            <w:tcBorders>
              <w:top w:val="single" w:sz="8" w:space="0" w:color="auto"/>
              <w:left w:val="nil"/>
              <w:bottom w:val="single" w:sz="8" w:space="0" w:color="auto"/>
              <w:right w:val="single" w:sz="8" w:space="0" w:color="auto"/>
            </w:tcBorders>
            <w:shd w:val="clear" w:color="000000" w:fill="244062"/>
            <w:vAlign w:val="center"/>
            <w:hideMark/>
          </w:tcPr>
          <w:p w14:paraId="43F8D74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98" w:type="dxa"/>
            <w:tcBorders>
              <w:top w:val="single" w:sz="8" w:space="0" w:color="auto"/>
              <w:left w:val="nil"/>
              <w:bottom w:val="single" w:sz="8" w:space="0" w:color="auto"/>
              <w:right w:val="single" w:sz="8" w:space="0" w:color="auto"/>
            </w:tcBorders>
            <w:shd w:val="clear" w:color="auto" w:fill="E7E6E6" w:themeFill="background2"/>
            <w:vAlign w:val="center"/>
            <w:hideMark/>
          </w:tcPr>
          <w:p w14:paraId="3C6694A2" w14:textId="2690AEE0"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 xml:space="preserve">Програми финансирања за </w:t>
            </w:r>
            <w:r w:rsidR="00664C93" w:rsidRPr="00FF386D">
              <w:rPr>
                <w:rFonts w:ascii="Calibri Light" w:hAnsi="Calibri Light"/>
                <w:b/>
                <w:sz w:val="20"/>
              </w:rPr>
              <w:t xml:space="preserve">промовисање </w:t>
            </w:r>
            <w:r w:rsidRPr="00FF386D">
              <w:rPr>
                <w:rFonts w:ascii="Calibri Light" w:hAnsi="Calibri Light"/>
                <w:b/>
                <w:sz w:val="20"/>
              </w:rPr>
              <w:t>енергетски ефикасних путничких возила</w:t>
            </w:r>
          </w:p>
        </w:tc>
      </w:tr>
      <w:tr w:rsidR="00854ADA" w:rsidRPr="00FF386D" w14:paraId="4ED9F819" w14:textId="77777777" w:rsidTr="0057310C">
        <w:trPr>
          <w:trHeight w:val="960"/>
        </w:trPr>
        <w:tc>
          <w:tcPr>
            <w:tcW w:w="3310" w:type="dxa"/>
            <w:tcBorders>
              <w:top w:val="nil"/>
              <w:left w:val="single" w:sz="8" w:space="0" w:color="auto"/>
              <w:bottom w:val="single" w:sz="8" w:space="0" w:color="auto"/>
              <w:right w:val="nil"/>
            </w:tcBorders>
            <w:shd w:val="clear" w:color="000000" w:fill="244062"/>
            <w:vAlign w:val="center"/>
            <w:hideMark/>
          </w:tcPr>
          <w:p w14:paraId="0B49AD7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2490A72B" w14:textId="7D9F4CD0" w:rsidR="00854ADA" w:rsidRPr="000A2AFE" w:rsidRDefault="005E43A2"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Примена</w:t>
            </w:r>
            <w:r w:rsidR="00854ADA" w:rsidRPr="00FF386D">
              <w:rPr>
                <w:rFonts w:ascii="Calibri Light" w:hAnsi="Calibri Light"/>
                <w:sz w:val="20"/>
              </w:rPr>
              <w:t xml:space="preserve"> чланова Директиве </w:t>
            </w:r>
            <w:r w:rsidRPr="00FF386D">
              <w:rPr>
                <w:rFonts w:ascii="Calibri Light" w:hAnsi="Calibri Light"/>
                <w:sz w:val="20"/>
              </w:rPr>
              <w:t xml:space="preserve">(ЕУ) </w:t>
            </w:r>
            <w:r w:rsidR="00854ADA" w:rsidRPr="00FF386D">
              <w:rPr>
                <w:rFonts w:ascii="Calibri Light" w:hAnsi="Calibri Light"/>
                <w:sz w:val="20"/>
              </w:rPr>
              <w:t>2012/27, к</w:t>
            </w:r>
            <w:r w:rsidRPr="00FF386D">
              <w:rPr>
                <w:rFonts w:ascii="Calibri Light" w:hAnsi="Calibri Light"/>
                <w:sz w:val="20"/>
              </w:rPr>
              <w:t>оја је</w:t>
            </w:r>
            <w:r w:rsidR="00854ADA" w:rsidRPr="00FF386D">
              <w:rPr>
                <w:rFonts w:ascii="Calibri Light" w:hAnsi="Calibri Light"/>
                <w:sz w:val="20"/>
              </w:rPr>
              <w:t xml:space="preserve"> изме</w:t>
            </w:r>
            <w:r w:rsidRPr="00FF386D">
              <w:rPr>
                <w:rFonts w:ascii="Calibri Light" w:hAnsi="Calibri Light"/>
                <w:sz w:val="20"/>
              </w:rPr>
              <w:t>њена</w:t>
            </w:r>
            <w:r w:rsidR="00854ADA" w:rsidRPr="00FF386D">
              <w:rPr>
                <w:rFonts w:ascii="Calibri Light" w:hAnsi="Calibri Light"/>
                <w:sz w:val="20"/>
              </w:rPr>
              <w:t xml:space="preserve"> и допу</w:t>
            </w:r>
            <w:r w:rsidRPr="00FF386D">
              <w:rPr>
                <w:rFonts w:ascii="Calibri Light" w:hAnsi="Calibri Light"/>
                <w:sz w:val="20"/>
              </w:rPr>
              <w:t>њена</w:t>
            </w:r>
            <w:r w:rsidR="00854ADA" w:rsidRPr="00FF386D">
              <w:rPr>
                <w:rFonts w:ascii="Calibri Light" w:hAnsi="Calibri Light"/>
                <w:sz w:val="20"/>
              </w:rPr>
              <w:t xml:space="preserve"> Директ</w:t>
            </w:r>
            <w:r w:rsidR="003E328C" w:rsidRPr="00FF386D">
              <w:rPr>
                <w:rFonts w:ascii="Calibri Light" w:hAnsi="Calibri Light"/>
                <w:sz w:val="20"/>
              </w:rPr>
              <w:t>ив</w:t>
            </w:r>
            <w:r w:rsidRPr="00FF386D">
              <w:rPr>
                <w:rFonts w:ascii="Calibri Light" w:hAnsi="Calibri Light"/>
                <w:sz w:val="20"/>
              </w:rPr>
              <w:t>ом (ЕУ)</w:t>
            </w:r>
            <w:r w:rsidR="00854ADA" w:rsidRPr="00FF386D">
              <w:rPr>
                <w:rFonts w:ascii="Calibri Light" w:hAnsi="Calibri Light"/>
                <w:sz w:val="20"/>
              </w:rPr>
              <w:t xml:space="preserve"> 2018/2002</w:t>
            </w:r>
            <w:r w:rsidRPr="00FF386D">
              <w:rPr>
                <w:rFonts w:ascii="Calibri Light" w:hAnsi="Calibri Light"/>
                <w:sz w:val="20"/>
              </w:rPr>
              <w:t>, и то</w:t>
            </w:r>
            <w:r w:rsidR="00854ADA" w:rsidRPr="000A2AFE">
              <w:rPr>
                <w:rFonts w:ascii="Calibri Light" w:eastAsia="Times New Roman" w:hAnsi="Calibri Light" w:cs="Calibri Light"/>
                <w:color w:val="000000"/>
                <w:sz w:val="20"/>
                <w:szCs w:val="20"/>
                <w:lang w:eastAsia="en-GB"/>
              </w:rPr>
              <w:t>:</w:t>
            </w:r>
          </w:p>
          <w:p w14:paraId="5C69D68A" w14:textId="7DDF8FD1" w:rsidR="00854ADA" w:rsidRPr="000A2AFE" w:rsidRDefault="00854ADA" w:rsidP="00854ADA">
            <w:pPr>
              <w:numPr>
                <w:ilvl w:val="0"/>
                <w:numId w:val="2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D377AE"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3</w:t>
            </w:r>
          </w:p>
          <w:p w14:paraId="635855A1" w14:textId="049D304D" w:rsidR="00854ADA" w:rsidRPr="00FF386D" w:rsidRDefault="00854ADA" w:rsidP="00854ADA">
            <w:pPr>
              <w:numPr>
                <w:ilvl w:val="0"/>
                <w:numId w:val="12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D377AE"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7</w:t>
            </w:r>
          </w:p>
        </w:tc>
      </w:tr>
      <w:tr w:rsidR="00854ADA" w:rsidRPr="00FF386D" w14:paraId="3C7C721B"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1B0FC58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Квантификовани циљ:</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47199BD7" w14:textId="6352C298"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w:color w:val="000000"/>
                <w:sz w:val="20"/>
                <w:szCs w:val="20"/>
                <w:lang w:eastAsia="en-GB"/>
              </w:rPr>
              <w:t>2</w:t>
            </w:r>
            <w:r w:rsidR="005E43A2" w:rsidRPr="00FF386D">
              <w:rPr>
                <w:rFonts w:ascii="Calibri Light" w:eastAsia="Times New Roman" w:hAnsi="Calibri Light" w:cs="Calibri"/>
                <w:color w:val="000000"/>
                <w:sz w:val="20"/>
                <w:szCs w:val="20"/>
                <w:lang w:eastAsia="en-GB"/>
              </w:rPr>
              <w:t>0,5</w:t>
            </w:r>
            <w:r w:rsidRPr="00FF386D">
              <w:rPr>
                <w:rFonts w:ascii="Calibri Light" w:eastAsia="Times New Roman" w:hAnsi="Calibri Light" w:cs="Calibri"/>
                <w:color w:val="000000"/>
                <w:sz w:val="20"/>
                <w:szCs w:val="20"/>
                <w:lang w:eastAsia="en-GB"/>
              </w:rPr>
              <w:t xml:space="preserve"> хиљада електричних возила (уштеде финалне енергије </w:t>
            </w:r>
            <w:r w:rsidR="005E43A2" w:rsidRPr="00FF386D">
              <w:rPr>
                <w:rFonts w:ascii="Calibri Light" w:eastAsia="Times New Roman" w:hAnsi="Calibri Light" w:cs="Calibri"/>
                <w:color w:val="000000"/>
                <w:sz w:val="20"/>
                <w:szCs w:val="20"/>
                <w:lang w:eastAsia="en-GB"/>
              </w:rPr>
              <w:t>9</w:t>
            </w:r>
            <w:r w:rsidRPr="00FF386D">
              <w:rPr>
                <w:rFonts w:ascii="Calibri Light" w:eastAsia="Times New Roman" w:hAnsi="Calibri Light" w:cs="Calibri"/>
                <w:color w:val="000000"/>
                <w:sz w:val="20"/>
                <w:szCs w:val="20"/>
                <w:lang w:eastAsia="en-GB"/>
              </w:rPr>
              <w:t xml:space="preserve"> ktoe)</w:t>
            </w:r>
          </w:p>
        </w:tc>
      </w:tr>
      <w:tr w:rsidR="00854ADA" w:rsidRPr="00FF386D" w14:paraId="6311EEC2" w14:textId="77777777" w:rsidTr="0057310C">
        <w:trPr>
          <w:trHeight w:val="1201"/>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0D3237F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5A9A0DD8" w14:textId="7FBC769A"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МП_ЕЕ12 ће </w:t>
            </w:r>
            <w:r w:rsidR="00710FBE" w:rsidRPr="00710FBE">
              <w:rPr>
                <w:rFonts w:ascii="Calibri Light" w:hAnsi="Calibri Light"/>
                <w:sz w:val="20"/>
              </w:rPr>
              <w:t>доделити</w:t>
            </w:r>
            <w:r w:rsidRPr="00FF386D">
              <w:rPr>
                <w:rFonts w:ascii="Calibri Light" w:hAnsi="Calibri Light"/>
                <w:sz w:val="20"/>
              </w:rPr>
              <w:t xml:space="preserve"> субвенције за куповину енергетски ефикасних путничких возила </w:t>
            </w:r>
            <w:r w:rsidR="00D377AE" w:rsidRPr="00FF386D">
              <w:rPr>
                <w:rFonts w:ascii="Calibri Light" w:hAnsi="Calibri Light"/>
                <w:sz w:val="20"/>
              </w:rPr>
              <w:t>к</w:t>
            </w:r>
            <w:r w:rsidR="00710FBE" w:rsidRPr="00710FBE">
              <w:rPr>
                <w:rFonts w:ascii="Calibri Light" w:hAnsi="Calibri Light"/>
                <w:sz w:val="20"/>
              </w:rPr>
              <w:t>ако</w:t>
            </w:r>
            <w:r w:rsidR="00D377AE" w:rsidRPr="00FF386D">
              <w:rPr>
                <w:rFonts w:ascii="Calibri Light" w:hAnsi="Calibri Light"/>
                <w:sz w:val="20"/>
              </w:rPr>
              <w:t xml:space="preserve"> би заменил</w:t>
            </w:r>
            <w:r w:rsidR="00D36BDF" w:rsidRPr="00FF386D">
              <w:rPr>
                <w:rFonts w:ascii="Calibri Light" w:hAnsi="Calibri Light"/>
                <w:sz w:val="20"/>
              </w:rPr>
              <w:t>а</w:t>
            </w:r>
            <w:r w:rsidRPr="00FF386D">
              <w:rPr>
                <w:rFonts w:ascii="Calibri Light" w:hAnsi="Calibri Light"/>
                <w:sz w:val="20"/>
              </w:rPr>
              <w:t xml:space="preserve"> конвенционална возила, у случају да фискалне мере не буду довољне за </w:t>
            </w:r>
            <w:r w:rsidR="00710FBE" w:rsidRPr="00710FBE">
              <w:rPr>
                <w:rFonts w:ascii="Calibri Light" w:hAnsi="Calibri Light"/>
                <w:sz w:val="20"/>
              </w:rPr>
              <w:t>постизање</w:t>
            </w:r>
            <w:r w:rsidRPr="00FF386D">
              <w:rPr>
                <w:rFonts w:ascii="Calibri Light" w:hAnsi="Calibri Light"/>
                <w:sz w:val="20"/>
              </w:rPr>
              <w:t xml:space="preserve"> утврђених циљева. </w:t>
            </w:r>
            <w:r w:rsidR="00D377AE" w:rsidRPr="00FF386D">
              <w:rPr>
                <w:rFonts w:ascii="Calibri Light" w:hAnsi="Calibri Light"/>
                <w:sz w:val="20"/>
              </w:rPr>
              <w:t xml:space="preserve">Субвенције ће бити </w:t>
            </w:r>
            <w:r w:rsidR="00D36BDF" w:rsidRPr="00FF386D">
              <w:rPr>
                <w:rFonts w:ascii="Calibri Light" w:hAnsi="Calibri Light"/>
                <w:sz w:val="20"/>
              </w:rPr>
              <w:t>намењене возили</w:t>
            </w:r>
            <w:r w:rsidR="003D2E2E" w:rsidRPr="00FF386D">
              <w:rPr>
                <w:rFonts w:ascii="Calibri Light" w:hAnsi="Calibri Light"/>
                <w:sz w:val="20"/>
              </w:rPr>
              <w:t>м</w:t>
            </w:r>
            <w:r w:rsidR="00D36BDF" w:rsidRPr="00FF386D">
              <w:rPr>
                <w:rFonts w:ascii="Calibri Light" w:hAnsi="Calibri Light"/>
                <w:sz w:val="20"/>
              </w:rPr>
              <w:t>а која троше</w:t>
            </w:r>
            <w:r w:rsidRPr="00FF386D">
              <w:rPr>
                <w:rFonts w:ascii="Calibri Light" w:hAnsi="Calibri Light"/>
                <w:sz w:val="20"/>
              </w:rPr>
              <w:t xml:space="preserve"> алтернативна горива</w:t>
            </w:r>
            <w:r w:rsidR="00D36BDF" w:rsidRPr="00FF386D">
              <w:rPr>
                <w:rFonts w:ascii="Calibri Light" w:hAnsi="Calibri Light"/>
                <w:sz w:val="20"/>
              </w:rPr>
              <w:t>.</w:t>
            </w:r>
          </w:p>
        </w:tc>
      </w:tr>
      <w:tr w:rsidR="00854ADA" w:rsidRPr="00FF386D" w14:paraId="7207033F"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420179C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4DA9469E" w14:textId="684AA63D"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5E43A2" w:rsidRPr="00FF386D">
              <w:rPr>
                <w:rFonts w:ascii="Calibri Light" w:hAnsi="Calibri Light"/>
                <w:sz w:val="20"/>
              </w:rPr>
              <w:t>5</w:t>
            </w:r>
            <w:r w:rsidRPr="00FF386D">
              <w:rPr>
                <w:rFonts w:ascii="Calibri Light" w:hAnsi="Calibri Light"/>
                <w:sz w:val="20"/>
              </w:rPr>
              <w:t>-2030.</w:t>
            </w:r>
          </w:p>
        </w:tc>
      </w:tr>
      <w:tr w:rsidR="00854ADA" w:rsidRPr="00FF386D" w14:paraId="65F02394"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12147EA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374B7C66"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Инвестиција</w:t>
            </w:r>
          </w:p>
        </w:tc>
      </w:tr>
      <w:tr w:rsidR="00854ADA" w:rsidRPr="00FF386D" w14:paraId="693CBF74"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4891CC6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1C5AFA30"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Саобраћај</w:t>
            </w:r>
          </w:p>
        </w:tc>
      </w:tr>
      <w:tr w:rsidR="00854ADA" w:rsidRPr="00FF386D" w14:paraId="061D554A"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5A89B1E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6F7C1422" w14:textId="7C1EFE22" w:rsidR="00854ADA" w:rsidRPr="000A2AFE" w:rsidRDefault="00E462ED" w:rsidP="000A2AFE">
            <w:pPr>
              <w:pStyle w:val="ListParagraph"/>
              <w:numPr>
                <w:ilvl w:val="0"/>
                <w:numId w:val="316"/>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72BB6A7C" w14:textId="77777777" w:rsidTr="0057310C">
        <w:trPr>
          <w:trHeight w:val="315"/>
        </w:trPr>
        <w:tc>
          <w:tcPr>
            <w:tcW w:w="3310" w:type="dxa"/>
            <w:tcBorders>
              <w:top w:val="nil"/>
              <w:left w:val="single" w:sz="8" w:space="0" w:color="auto"/>
              <w:bottom w:val="single" w:sz="8" w:space="0" w:color="auto"/>
              <w:right w:val="nil"/>
            </w:tcBorders>
            <w:shd w:val="clear" w:color="000000" w:fill="244062"/>
            <w:vAlign w:val="center"/>
            <w:hideMark/>
          </w:tcPr>
          <w:p w14:paraId="2E5DB1F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5B80AEB6" w14:textId="167A6FB0" w:rsidR="00854ADA" w:rsidRPr="000A2AFE" w:rsidRDefault="007E7195" w:rsidP="000A2AFE">
            <w:pPr>
              <w:pStyle w:val="ListParagraph"/>
              <w:numPr>
                <w:ilvl w:val="0"/>
                <w:numId w:val="127"/>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4B9A28F1" w14:textId="77777777" w:rsidTr="0057310C">
        <w:trPr>
          <w:trHeight w:val="315"/>
        </w:trPr>
        <w:tc>
          <w:tcPr>
            <w:tcW w:w="3310" w:type="dxa"/>
            <w:tcBorders>
              <w:top w:val="nil"/>
              <w:left w:val="single" w:sz="8" w:space="0" w:color="auto"/>
              <w:bottom w:val="single" w:sz="8" w:space="0" w:color="auto"/>
              <w:right w:val="nil"/>
            </w:tcBorders>
            <w:shd w:val="clear" w:color="000000" w:fill="244062"/>
            <w:vAlign w:val="center"/>
            <w:hideMark/>
          </w:tcPr>
          <w:p w14:paraId="1AF1063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2B894148" w14:textId="77777777" w:rsidR="00854ADA" w:rsidRPr="000A2AFE" w:rsidRDefault="00854ADA" w:rsidP="000A2AFE">
            <w:pPr>
              <w:pStyle w:val="ListParagraph"/>
              <w:numPr>
                <w:ilvl w:val="0"/>
                <w:numId w:val="127"/>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Број путничких возила</w:t>
            </w:r>
          </w:p>
        </w:tc>
      </w:tr>
      <w:tr w:rsidR="00854ADA" w:rsidRPr="00FF386D" w14:paraId="3674277E" w14:textId="77777777" w:rsidTr="0057310C">
        <w:trPr>
          <w:trHeight w:val="291"/>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742191D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69EE4663" w14:textId="4C0858DC" w:rsidR="007E7195" w:rsidRPr="007E7195" w:rsidRDefault="007E7195" w:rsidP="007E7195">
            <w:pPr>
              <w:numPr>
                <w:ilvl w:val="0"/>
                <w:numId w:val="129"/>
              </w:numPr>
              <w:spacing w:after="0" w:line="240" w:lineRule="auto"/>
              <w:contextualSpacing/>
              <w:rPr>
                <w:rFonts w:ascii="Calibri Light" w:eastAsia="Times New Roman" w:hAnsi="Calibri Light" w:cs="Calibri Light"/>
                <w:color w:val="000000"/>
                <w:sz w:val="20"/>
                <w:szCs w:val="20"/>
                <w:lang w:eastAsia="en-GB"/>
              </w:rPr>
            </w:pPr>
            <w:r w:rsidRPr="007E7195">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7E7195">
              <w:rPr>
                <w:rFonts w:ascii="Calibri Light" w:eastAsia="Times New Roman" w:hAnsi="Calibri Light" w:cs="Calibri Light"/>
                <w:i/>
                <w:iCs/>
                <w:color w:val="000000"/>
                <w:sz w:val="20"/>
                <w:szCs w:val="20"/>
                <w:lang w:val="en-US" w:eastAsia="en-GB"/>
              </w:rPr>
              <w:t>GHG</w:t>
            </w:r>
            <w:r w:rsidR="00054666">
              <w:rPr>
                <w:rFonts w:ascii="Calibri Light" w:eastAsia="Times New Roman" w:hAnsi="Calibri Light" w:cs="Calibri Light"/>
                <w:i/>
                <w:iCs/>
                <w:color w:val="000000"/>
                <w:sz w:val="20"/>
                <w:szCs w:val="20"/>
                <w:lang w:eastAsia="en-GB"/>
              </w:rPr>
              <w:t xml:space="preserve"> </w:t>
            </w:r>
            <w:r w:rsidR="00054666" w:rsidRPr="000A2AFE">
              <w:rPr>
                <w:rFonts w:ascii="Calibri Light" w:eastAsia="Times New Roman" w:hAnsi="Calibri Light" w:cs="Calibri Light"/>
                <w:color w:val="000000"/>
                <w:sz w:val="20"/>
                <w:szCs w:val="20"/>
                <w:lang w:val="sr-Latn-RS" w:eastAsia="en-GB"/>
              </w:rPr>
              <w:t>a</w:t>
            </w:r>
            <w:r w:rsidR="00054666" w:rsidRPr="00054666">
              <w:rPr>
                <w:rFonts w:ascii="Calibri Light" w:eastAsia="Times New Roman" w:hAnsi="Calibri Light" w:cs="Calibri Light"/>
                <w:color w:val="000000"/>
                <w:sz w:val="20"/>
                <w:szCs w:val="20"/>
                <w:lang w:eastAsia="en-GB"/>
              </w:rPr>
              <w:t xml:space="preserve"> </w:t>
            </w:r>
            <w:r w:rsidR="00054666">
              <w:rPr>
                <w:rFonts w:ascii="Calibri Light" w:eastAsia="Times New Roman" w:hAnsi="Calibri Light" w:cs="Calibri Light"/>
                <w:color w:val="000000"/>
                <w:sz w:val="20"/>
                <w:szCs w:val="20"/>
                <w:lang w:eastAsia="en-GB"/>
              </w:rPr>
              <w:t>промовиса</w:t>
            </w:r>
            <w:r w:rsidR="006A2B98">
              <w:rPr>
                <w:rFonts w:ascii="Calibri Light" w:eastAsia="Times New Roman" w:hAnsi="Calibri Light" w:cs="Calibri Light"/>
                <w:color w:val="000000"/>
                <w:sz w:val="20"/>
                <w:szCs w:val="20"/>
                <w:lang w:eastAsia="en-GB"/>
              </w:rPr>
              <w:t>на</w:t>
            </w:r>
            <w:r w:rsidR="00054666">
              <w:rPr>
                <w:rFonts w:ascii="Calibri Light" w:eastAsia="Times New Roman" w:hAnsi="Calibri Light" w:cs="Calibri Light"/>
                <w:color w:val="000000"/>
                <w:sz w:val="20"/>
                <w:szCs w:val="20"/>
                <w:lang w:eastAsia="en-GB"/>
              </w:rPr>
              <w:t xml:space="preserve"> електричн</w:t>
            </w:r>
            <w:r w:rsidR="006A2B98">
              <w:rPr>
                <w:rFonts w:ascii="Calibri Light" w:eastAsia="Times New Roman" w:hAnsi="Calibri Light" w:cs="Calibri Light"/>
                <w:color w:val="000000"/>
                <w:sz w:val="20"/>
                <w:szCs w:val="20"/>
                <w:lang w:eastAsia="en-GB"/>
              </w:rPr>
              <w:t>а</w:t>
            </w:r>
            <w:r w:rsidR="00054666">
              <w:rPr>
                <w:rFonts w:ascii="Calibri Light" w:eastAsia="Times New Roman" w:hAnsi="Calibri Light" w:cs="Calibri Light"/>
                <w:color w:val="000000"/>
                <w:sz w:val="20"/>
                <w:szCs w:val="20"/>
                <w:lang w:eastAsia="en-GB"/>
              </w:rPr>
              <w:t xml:space="preserve"> возила ће довести до повећања удела ОИЕ у саобраћају</w:t>
            </w:r>
            <w:r w:rsidRPr="007E7195">
              <w:rPr>
                <w:rFonts w:ascii="Calibri Light" w:eastAsia="Times New Roman" w:hAnsi="Calibri Light" w:cs="Calibri Light"/>
                <w:color w:val="000000"/>
                <w:sz w:val="20"/>
                <w:szCs w:val="20"/>
                <w:lang w:eastAsia="en-GB"/>
              </w:rPr>
              <w:t>)</w:t>
            </w:r>
          </w:p>
          <w:p w14:paraId="46E41130" w14:textId="2EF78359" w:rsidR="00854ADA" w:rsidRPr="00FF386D" w:rsidRDefault="007E7195" w:rsidP="007E7195">
            <w:pPr>
              <w:numPr>
                <w:ilvl w:val="0"/>
                <w:numId w:val="129"/>
              </w:numPr>
              <w:spacing w:after="0" w:line="240" w:lineRule="auto"/>
              <w:contextualSpacing/>
              <w:rPr>
                <w:rFonts w:ascii="Calibri Light" w:eastAsia="Times New Roman" w:hAnsi="Calibri Light" w:cs="Calibri Light"/>
                <w:color w:val="000000"/>
                <w:sz w:val="20"/>
                <w:szCs w:val="20"/>
                <w:lang w:eastAsia="en-GB"/>
              </w:rPr>
            </w:pPr>
            <w:r w:rsidRPr="007E7195">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w:t>
            </w:r>
            <w:r w:rsidR="00054666">
              <w:rPr>
                <w:rFonts w:ascii="Calibri Light" w:eastAsia="Times New Roman" w:hAnsi="Calibri Light" w:cs="Calibri Light"/>
                <w:color w:val="000000"/>
                <w:sz w:val="20"/>
                <w:szCs w:val="20"/>
                <w:lang w:eastAsia="en-GB"/>
              </w:rPr>
              <w:t xml:space="preserve">а </w:t>
            </w:r>
            <w:r w:rsidR="00364B8A">
              <w:rPr>
                <w:rFonts w:ascii="Calibri Light" w:eastAsia="Times New Roman" w:hAnsi="Calibri Light" w:cs="Calibri Light"/>
                <w:color w:val="000000"/>
                <w:sz w:val="20"/>
                <w:szCs w:val="20"/>
                <w:lang w:eastAsia="en-GB"/>
              </w:rPr>
              <w:t>увезених</w:t>
            </w:r>
            <w:r w:rsidR="00054666">
              <w:rPr>
                <w:rFonts w:ascii="Calibri Light" w:eastAsia="Times New Roman" w:hAnsi="Calibri Light" w:cs="Calibri Light"/>
                <w:color w:val="000000"/>
                <w:sz w:val="20"/>
                <w:szCs w:val="20"/>
                <w:lang w:eastAsia="en-GB"/>
              </w:rPr>
              <w:t xml:space="preserve"> </w:t>
            </w:r>
            <w:r w:rsidRPr="007E7195">
              <w:rPr>
                <w:rFonts w:ascii="Calibri Light" w:eastAsia="Times New Roman" w:hAnsi="Calibri Light" w:cs="Calibri Light"/>
                <w:color w:val="000000"/>
                <w:sz w:val="20"/>
                <w:szCs w:val="20"/>
                <w:lang w:eastAsia="en-GB"/>
              </w:rPr>
              <w:t>фосилних горива што ће довести до смањења зависности од увоза енергије из трећих земаља)</w:t>
            </w:r>
          </w:p>
        </w:tc>
      </w:tr>
      <w:tr w:rsidR="00854ADA" w:rsidRPr="00FF386D" w14:paraId="5F7E5F02" w14:textId="77777777" w:rsidTr="0057310C">
        <w:trPr>
          <w:trHeight w:val="450"/>
        </w:trPr>
        <w:tc>
          <w:tcPr>
            <w:tcW w:w="3310"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211BEA70" w14:textId="3DA9A903"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48"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46FD801C" w14:textId="5F7DFBBD" w:rsidR="00854ADA" w:rsidRPr="000A2AFE" w:rsidRDefault="00854ADA" w:rsidP="005E43A2">
            <w:pPr>
              <w:pStyle w:val="ListParagraph"/>
              <w:numPr>
                <w:ilvl w:val="0"/>
                <w:numId w:val="129"/>
              </w:num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5E43A2"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2012/27</w:t>
            </w:r>
          </w:p>
          <w:p w14:paraId="06289F92" w14:textId="3995E202" w:rsidR="00854ADA" w:rsidRPr="00FF386D" w:rsidRDefault="00854ADA" w:rsidP="00854ADA">
            <w:pPr>
              <w:numPr>
                <w:ilvl w:val="0"/>
                <w:numId w:val="129"/>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5E43A2"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2018/2002</w:t>
            </w:r>
          </w:p>
        </w:tc>
      </w:tr>
      <w:tr w:rsidR="00854ADA" w:rsidRPr="00FF386D" w14:paraId="039F6575" w14:textId="77777777" w:rsidTr="0057310C">
        <w:trPr>
          <w:trHeight w:val="450"/>
        </w:trPr>
        <w:tc>
          <w:tcPr>
            <w:tcW w:w="3310" w:type="dxa"/>
            <w:vMerge/>
            <w:tcBorders>
              <w:top w:val="nil"/>
              <w:left w:val="single" w:sz="8" w:space="0" w:color="auto"/>
              <w:bottom w:val="single" w:sz="8" w:space="0" w:color="000000"/>
              <w:right w:val="single" w:sz="8" w:space="0" w:color="auto"/>
            </w:tcBorders>
            <w:vAlign w:val="center"/>
            <w:hideMark/>
          </w:tcPr>
          <w:p w14:paraId="0E0FA7B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8" w:type="dxa"/>
            <w:gridSpan w:val="3"/>
            <w:vMerge/>
            <w:tcBorders>
              <w:top w:val="single" w:sz="8" w:space="0" w:color="auto"/>
              <w:left w:val="single" w:sz="8" w:space="0" w:color="auto"/>
              <w:bottom w:val="single" w:sz="8" w:space="0" w:color="000000"/>
              <w:right w:val="single" w:sz="8" w:space="0" w:color="000000"/>
            </w:tcBorders>
            <w:vAlign w:val="center"/>
            <w:hideMark/>
          </w:tcPr>
          <w:p w14:paraId="09A11496" w14:textId="77777777" w:rsidR="00854ADA" w:rsidRPr="00FF386D" w:rsidRDefault="00854ADA" w:rsidP="00854ADA">
            <w:pPr>
              <w:numPr>
                <w:ilvl w:val="0"/>
                <w:numId w:val="129"/>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61F3E395" w14:textId="77777777" w:rsidTr="0057310C">
        <w:trPr>
          <w:trHeight w:val="450"/>
        </w:trPr>
        <w:tc>
          <w:tcPr>
            <w:tcW w:w="3310" w:type="dxa"/>
            <w:vMerge/>
            <w:tcBorders>
              <w:top w:val="nil"/>
              <w:left w:val="single" w:sz="8" w:space="0" w:color="auto"/>
              <w:bottom w:val="single" w:sz="8" w:space="0" w:color="000000"/>
              <w:right w:val="single" w:sz="8" w:space="0" w:color="auto"/>
            </w:tcBorders>
            <w:vAlign w:val="center"/>
            <w:hideMark/>
          </w:tcPr>
          <w:p w14:paraId="1503FE5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8" w:type="dxa"/>
            <w:gridSpan w:val="3"/>
            <w:vMerge/>
            <w:tcBorders>
              <w:top w:val="single" w:sz="8" w:space="0" w:color="auto"/>
              <w:left w:val="single" w:sz="8" w:space="0" w:color="auto"/>
              <w:bottom w:val="single" w:sz="8" w:space="0" w:color="000000"/>
              <w:right w:val="single" w:sz="8" w:space="0" w:color="000000"/>
            </w:tcBorders>
            <w:vAlign w:val="center"/>
            <w:hideMark/>
          </w:tcPr>
          <w:p w14:paraId="55420CDA" w14:textId="77777777" w:rsidR="00854ADA" w:rsidRPr="00FF386D" w:rsidRDefault="00854ADA" w:rsidP="00854ADA">
            <w:pPr>
              <w:numPr>
                <w:ilvl w:val="0"/>
                <w:numId w:val="129"/>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1E4D4FAC" w14:textId="77777777" w:rsidTr="0057310C">
        <w:trPr>
          <w:trHeight w:val="480"/>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646EA38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0384F23A" w14:textId="77777777" w:rsidR="00854ADA" w:rsidRPr="00FF386D" w:rsidRDefault="00854ADA" w:rsidP="00854ADA">
            <w:pPr>
              <w:numPr>
                <w:ilvl w:val="0"/>
                <w:numId w:val="129"/>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Програм остваривања Стратегије (2017)</w:t>
            </w:r>
          </w:p>
        </w:tc>
      </w:tr>
      <w:tr w:rsidR="00854ADA" w:rsidRPr="00FF386D" w14:paraId="51E9D760"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16F6409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0018C929" w14:textId="5C6FB9F9" w:rsidR="00854ADA" w:rsidRPr="00FF386D" w:rsidRDefault="005E43A2"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570</w:t>
            </w:r>
            <w:r w:rsidR="00854ADA" w:rsidRPr="00FF386D">
              <w:rPr>
                <w:rFonts w:ascii="Calibri Light" w:eastAsia="Times New Roman" w:hAnsi="Calibri Light" w:cs="Calibri Light"/>
                <w:color w:val="000000"/>
                <w:sz w:val="20"/>
                <w:szCs w:val="20"/>
                <w:lang w:eastAsia="en-GB"/>
              </w:rPr>
              <w:t xml:space="preserve"> милиона евра</w:t>
            </w:r>
          </w:p>
        </w:tc>
      </w:tr>
      <w:tr w:rsidR="00854ADA" w:rsidRPr="00FF386D" w14:paraId="082FDEB3"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12F8618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5DC275D9" w14:textId="3502DFEA"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5E43A2" w:rsidRPr="00FF386D">
              <w:rPr>
                <w:rFonts w:asciiTheme="majorHAnsi" w:eastAsia="Times New Roman" w:hAnsiTheme="majorHAnsi" w:cstheme="majorHAnsi"/>
                <w:color w:val="000000"/>
                <w:sz w:val="20"/>
                <w:szCs w:val="20"/>
                <w:lang w:eastAsia="en-GB"/>
              </w:rPr>
              <w:t>ска</w:t>
            </w:r>
            <w:r w:rsidRPr="00FF386D">
              <w:rPr>
                <w:rFonts w:asciiTheme="majorHAnsi" w:eastAsia="Times New Roman" w:hAnsiTheme="majorHAnsi" w:cstheme="majorHAnsi"/>
                <w:color w:val="000000"/>
                <w:sz w:val="20"/>
                <w:szCs w:val="20"/>
                <w:lang w:eastAsia="en-GB"/>
              </w:rPr>
              <w:t xml:space="preserve"> и сопствена средства</w:t>
            </w:r>
          </w:p>
        </w:tc>
      </w:tr>
    </w:tbl>
    <w:p w14:paraId="2F7F3CD7"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06"/>
        <w:gridCol w:w="1007"/>
        <w:gridCol w:w="942"/>
        <w:gridCol w:w="4203"/>
      </w:tblGrid>
      <w:tr w:rsidR="00854ADA" w:rsidRPr="00FF386D" w14:paraId="6289DE08" w14:textId="77777777" w:rsidTr="0057310C">
        <w:trPr>
          <w:trHeight w:val="780"/>
        </w:trPr>
        <w:tc>
          <w:tcPr>
            <w:tcW w:w="3306"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3F4DC658"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25BEE753"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МП_ЕЕ13</w:t>
            </w:r>
          </w:p>
        </w:tc>
        <w:tc>
          <w:tcPr>
            <w:tcW w:w="942" w:type="dxa"/>
            <w:tcBorders>
              <w:top w:val="single" w:sz="8" w:space="0" w:color="auto"/>
              <w:left w:val="nil"/>
              <w:bottom w:val="single" w:sz="8" w:space="0" w:color="auto"/>
              <w:right w:val="single" w:sz="8" w:space="0" w:color="auto"/>
            </w:tcBorders>
            <w:shd w:val="clear" w:color="000000" w:fill="244062"/>
            <w:vAlign w:val="center"/>
            <w:hideMark/>
          </w:tcPr>
          <w:p w14:paraId="27BD2E5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03" w:type="dxa"/>
            <w:tcBorders>
              <w:top w:val="single" w:sz="8" w:space="0" w:color="auto"/>
              <w:left w:val="nil"/>
              <w:bottom w:val="single" w:sz="8" w:space="0" w:color="auto"/>
              <w:right w:val="single" w:sz="8" w:space="0" w:color="auto"/>
            </w:tcBorders>
            <w:shd w:val="clear" w:color="auto" w:fill="E7E6E6" w:themeFill="background2"/>
            <w:vAlign w:val="center"/>
            <w:hideMark/>
          </w:tcPr>
          <w:p w14:paraId="1FA6F175" w14:textId="63780B4F" w:rsidR="00854ADA" w:rsidRPr="00FF386D" w:rsidRDefault="00854ADA" w:rsidP="00854ADA">
            <w:pPr>
              <w:spacing w:after="0" w:line="240" w:lineRule="auto"/>
              <w:rPr>
                <w:rFonts w:ascii="Calibri Light" w:eastAsia="Times New Roman" w:hAnsi="Calibri Light" w:cs="Calibri Light"/>
                <w:b/>
                <w:bCs/>
                <w:color w:val="000000"/>
                <w:sz w:val="20"/>
                <w:szCs w:val="20"/>
                <w:lang w:eastAsia="en-GB"/>
              </w:rPr>
            </w:pPr>
            <w:r w:rsidRPr="00FF386D">
              <w:rPr>
                <w:rFonts w:ascii="Calibri Light" w:hAnsi="Calibri Light"/>
                <w:b/>
                <w:sz w:val="20"/>
              </w:rPr>
              <w:t>Развој потребне инфраструктуре за п</w:t>
            </w:r>
            <w:r w:rsidR="00D36BDF" w:rsidRPr="00FF386D">
              <w:rPr>
                <w:rFonts w:ascii="Calibri Light" w:hAnsi="Calibri Light"/>
                <w:b/>
                <w:sz w:val="20"/>
              </w:rPr>
              <w:t xml:space="preserve">ромовисање </w:t>
            </w:r>
            <w:r w:rsidRPr="00FF386D">
              <w:rPr>
                <w:rFonts w:ascii="Calibri Light" w:hAnsi="Calibri Light"/>
                <w:b/>
                <w:sz w:val="20"/>
              </w:rPr>
              <w:t>алтернативних горива</w:t>
            </w:r>
          </w:p>
        </w:tc>
      </w:tr>
      <w:tr w:rsidR="00854ADA" w:rsidRPr="00FF386D" w14:paraId="145CCA17" w14:textId="77777777" w:rsidTr="0057310C">
        <w:trPr>
          <w:trHeight w:val="531"/>
        </w:trPr>
        <w:tc>
          <w:tcPr>
            <w:tcW w:w="3306" w:type="dxa"/>
            <w:tcBorders>
              <w:top w:val="nil"/>
              <w:left w:val="single" w:sz="8" w:space="0" w:color="auto"/>
              <w:bottom w:val="single" w:sz="8" w:space="0" w:color="auto"/>
              <w:right w:val="nil"/>
            </w:tcBorders>
            <w:shd w:val="clear" w:color="000000" w:fill="244062"/>
            <w:vAlign w:val="center"/>
            <w:hideMark/>
          </w:tcPr>
          <w:p w14:paraId="5E17D28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52F3E439" w14:textId="790024F2" w:rsidR="00854ADA" w:rsidRPr="000A2AFE" w:rsidRDefault="00C77208" w:rsidP="00854ADA">
            <w:pPr>
              <w:spacing w:after="0" w:line="240" w:lineRule="auto"/>
              <w:rPr>
                <w:rFonts w:ascii="Calibri Light" w:eastAsia="Times New Roman" w:hAnsi="Calibri Light" w:cs="Calibri Light"/>
                <w:sz w:val="20"/>
                <w:szCs w:val="20"/>
                <w:lang w:eastAsia="en-GB"/>
              </w:rPr>
            </w:pPr>
            <w:r w:rsidRPr="00FF386D">
              <w:rPr>
                <w:rFonts w:ascii="Calibri Light" w:hAnsi="Calibri Light"/>
                <w:sz w:val="20"/>
              </w:rPr>
              <w:t>Примена</w:t>
            </w:r>
            <w:r w:rsidR="00854ADA" w:rsidRPr="00FF386D">
              <w:rPr>
                <w:rFonts w:ascii="Calibri Light" w:hAnsi="Calibri Light"/>
                <w:sz w:val="20"/>
              </w:rPr>
              <w:t xml:space="preserve"> чланова Директиве </w:t>
            </w:r>
            <w:r w:rsidRPr="00FF386D">
              <w:rPr>
                <w:rFonts w:ascii="Calibri Light" w:hAnsi="Calibri Light"/>
                <w:sz w:val="20"/>
              </w:rPr>
              <w:t xml:space="preserve">(ЕУ) </w:t>
            </w:r>
            <w:r w:rsidR="00854ADA" w:rsidRPr="00FF386D">
              <w:rPr>
                <w:rFonts w:ascii="Calibri Light" w:hAnsi="Calibri Light"/>
                <w:sz w:val="20"/>
              </w:rPr>
              <w:t>2012/27</w:t>
            </w:r>
            <w:r w:rsidR="00854ADA" w:rsidRPr="00FF386D">
              <w:rPr>
                <w:rFonts w:ascii="Calibri Light" w:hAnsi="Calibri Light"/>
                <w:color w:val="FF0000"/>
                <w:sz w:val="20"/>
              </w:rPr>
              <w:t xml:space="preserve">, </w:t>
            </w:r>
            <w:r w:rsidR="00854ADA" w:rsidRPr="00FF386D">
              <w:rPr>
                <w:rFonts w:ascii="Calibri Light" w:hAnsi="Calibri Light"/>
                <w:sz w:val="20"/>
              </w:rPr>
              <w:t xml:space="preserve">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2018/2002</w:t>
            </w:r>
            <w:r w:rsidRPr="00FF386D">
              <w:rPr>
                <w:rFonts w:ascii="Calibri Light" w:hAnsi="Calibri Light"/>
                <w:sz w:val="20"/>
              </w:rPr>
              <w:t>, и то</w:t>
            </w:r>
            <w:r w:rsidR="00854ADA" w:rsidRPr="000A2AFE">
              <w:rPr>
                <w:rFonts w:ascii="Calibri Light" w:eastAsia="Times New Roman" w:hAnsi="Calibri Light" w:cs="Calibri Light"/>
                <w:sz w:val="20"/>
                <w:szCs w:val="20"/>
                <w:lang w:eastAsia="en-GB"/>
              </w:rPr>
              <w:t>:</w:t>
            </w:r>
          </w:p>
          <w:p w14:paraId="7187497A" w14:textId="20380776" w:rsidR="00854ADA" w:rsidRPr="000A2AFE" w:rsidRDefault="00854ADA" w:rsidP="00854ADA">
            <w:pPr>
              <w:numPr>
                <w:ilvl w:val="0"/>
                <w:numId w:val="26"/>
              </w:numPr>
              <w:spacing w:after="0" w:line="240" w:lineRule="auto"/>
              <w:contextualSpacing/>
              <w:rPr>
                <w:rFonts w:ascii="Calibri Light" w:eastAsia="Times New Roman" w:hAnsi="Calibri Light" w:cs="Calibri Light"/>
                <w:sz w:val="20"/>
                <w:szCs w:val="20"/>
                <w:lang w:eastAsia="en-GB"/>
              </w:rPr>
            </w:pPr>
            <w:r w:rsidRPr="00FF386D">
              <w:rPr>
                <w:rFonts w:ascii="Calibri Light" w:hAnsi="Calibri Light"/>
                <w:sz w:val="20"/>
              </w:rPr>
              <w:t>Члан</w:t>
            </w:r>
            <w:r w:rsidR="00D36BDF" w:rsidRPr="00FF386D">
              <w:rPr>
                <w:rFonts w:ascii="Calibri Light" w:hAnsi="Calibri Light"/>
                <w:sz w:val="20"/>
              </w:rPr>
              <w:t>а</w:t>
            </w:r>
            <w:r w:rsidRPr="00FF386D">
              <w:rPr>
                <w:rFonts w:ascii="Calibri Light" w:hAnsi="Calibri Light"/>
                <w:sz w:val="20"/>
              </w:rPr>
              <w:t xml:space="preserve"> </w:t>
            </w:r>
            <w:r w:rsidRPr="000A2AFE">
              <w:rPr>
                <w:rFonts w:ascii="Calibri Light" w:eastAsia="Times New Roman" w:hAnsi="Calibri Light" w:cs="Calibri Light"/>
                <w:sz w:val="20"/>
                <w:szCs w:val="20"/>
                <w:lang w:eastAsia="en-GB"/>
              </w:rPr>
              <w:t>3</w:t>
            </w:r>
          </w:p>
          <w:p w14:paraId="6E1AC74D" w14:textId="20830E8A" w:rsidR="00854ADA" w:rsidRPr="00FF386D" w:rsidRDefault="00854ADA" w:rsidP="00854ADA">
            <w:pPr>
              <w:numPr>
                <w:ilvl w:val="0"/>
                <w:numId w:val="13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D36BDF"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7</w:t>
            </w:r>
          </w:p>
        </w:tc>
      </w:tr>
      <w:tr w:rsidR="00854ADA" w:rsidRPr="00FF386D" w14:paraId="18C7995D" w14:textId="77777777" w:rsidTr="0057310C">
        <w:trPr>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46C1843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08FACE43"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Допринос МП_ЕЕ10, МП_ЕЕ12 и МП_ЕЕ14</w:t>
            </w:r>
          </w:p>
        </w:tc>
      </w:tr>
      <w:tr w:rsidR="00854ADA" w:rsidRPr="00FF386D" w14:paraId="52E095B0" w14:textId="77777777" w:rsidTr="0057310C">
        <w:trPr>
          <w:trHeight w:val="147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3C53410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60F284E1" w14:textId="5264DEA1"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МП_ЕЕ13 ће промовисати д</w:t>
            </w:r>
            <w:r w:rsidR="00D36BDF" w:rsidRPr="00FF386D">
              <w:rPr>
                <w:rFonts w:ascii="Calibri Light" w:hAnsi="Calibri Light"/>
                <w:sz w:val="20"/>
              </w:rPr>
              <w:t xml:space="preserve">одатно учешће </w:t>
            </w:r>
            <w:r w:rsidRPr="00FF386D">
              <w:rPr>
                <w:rFonts w:ascii="Calibri Light" w:hAnsi="Calibri Light"/>
                <w:sz w:val="20"/>
              </w:rPr>
              <w:t>алтернативних горива развојем потребне инфраструктуре</w:t>
            </w:r>
            <w:r w:rsidR="00710FBE" w:rsidRPr="00710FBE">
              <w:rPr>
                <w:rFonts w:ascii="Calibri Light" w:hAnsi="Calibri Light"/>
                <w:sz w:val="20"/>
              </w:rPr>
              <w:t>, у складу са одредбама Директиве 2014/94/ЕУ</w:t>
            </w:r>
            <w:r w:rsidRPr="00FF386D">
              <w:rPr>
                <w:rFonts w:ascii="Calibri Light" w:hAnsi="Calibri Light"/>
                <w:sz w:val="20"/>
              </w:rPr>
              <w:t xml:space="preserve">. </w:t>
            </w:r>
            <w:r w:rsidR="00B3404F" w:rsidRPr="00FF386D">
              <w:rPr>
                <w:rFonts w:ascii="Calibri Light" w:hAnsi="Calibri Light"/>
                <w:sz w:val="20"/>
              </w:rPr>
              <w:t>З</w:t>
            </w:r>
            <w:r w:rsidRPr="00FF386D">
              <w:rPr>
                <w:rFonts w:ascii="Calibri Light" w:hAnsi="Calibri Light"/>
                <w:sz w:val="20"/>
              </w:rPr>
              <w:t xml:space="preserve">а област електромобилности </w:t>
            </w:r>
            <w:r w:rsidR="00B3404F" w:rsidRPr="00FF386D">
              <w:rPr>
                <w:rFonts w:ascii="Calibri Light" w:hAnsi="Calibri Light"/>
                <w:sz w:val="20"/>
              </w:rPr>
              <w:t xml:space="preserve">ће посебно </w:t>
            </w:r>
            <w:r w:rsidRPr="00FF386D">
              <w:rPr>
                <w:rFonts w:ascii="Calibri Light" w:hAnsi="Calibri Light"/>
                <w:sz w:val="20"/>
              </w:rPr>
              <w:t>бити израђен акциони план за електрификацију путничког и теретног саобраћаја, путева и инфраструктуре са нагласком на развоју правног оквира и коришћењу различитих финансијских инструмената</w:t>
            </w:r>
            <w:r w:rsidRPr="000A2AFE">
              <w:rPr>
                <w:rFonts w:ascii="Calibri Light" w:eastAsia="Times New Roman" w:hAnsi="Calibri Light" w:cs="Calibri Light"/>
                <w:color w:val="000000"/>
                <w:sz w:val="20"/>
                <w:szCs w:val="20"/>
                <w:lang w:eastAsia="en-GB"/>
              </w:rPr>
              <w:t>.</w:t>
            </w:r>
          </w:p>
        </w:tc>
      </w:tr>
      <w:tr w:rsidR="00854ADA" w:rsidRPr="00FF386D" w14:paraId="2AFED316" w14:textId="77777777" w:rsidTr="0057310C">
        <w:trPr>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0CDB54A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554AA092" w14:textId="4BDFE881"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C77208" w:rsidRPr="00FF386D">
              <w:rPr>
                <w:rFonts w:ascii="Calibri Light" w:hAnsi="Calibri Light"/>
                <w:sz w:val="20"/>
              </w:rPr>
              <w:t>5</w:t>
            </w:r>
            <w:r w:rsidRPr="00FF386D">
              <w:rPr>
                <w:rFonts w:ascii="Calibri Light" w:hAnsi="Calibri Light"/>
                <w:sz w:val="20"/>
              </w:rPr>
              <w:t>-2030.</w:t>
            </w:r>
          </w:p>
        </w:tc>
      </w:tr>
      <w:tr w:rsidR="00854ADA" w:rsidRPr="00FF386D" w14:paraId="6499B4E8" w14:textId="77777777" w:rsidTr="0057310C">
        <w:trPr>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0CF4C8D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25CA7FE8"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Инвестиције</w:t>
            </w:r>
          </w:p>
        </w:tc>
      </w:tr>
      <w:tr w:rsidR="00854ADA" w:rsidRPr="00FF386D" w14:paraId="7304284D" w14:textId="77777777" w:rsidTr="0057310C">
        <w:trPr>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77BE090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506CA509"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Саобраћај</w:t>
            </w:r>
          </w:p>
        </w:tc>
      </w:tr>
      <w:tr w:rsidR="00854ADA" w:rsidRPr="00FF386D" w14:paraId="1D431B3F" w14:textId="77777777" w:rsidTr="0057310C">
        <w:trPr>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018B109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4F08BCE2" w14:textId="7745C929" w:rsidR="00854ADA" w:rsidRPr="000A2AFE" w:rsidRDefault="00E462ED" w:rsidP="000A2AFE">
            <w:pPr>
              <w:pStyle w:val="ListParagraph"/>
              <w:numPr>
                <w:ilvl w:val="0"/>
                <w:numId w:val="316"/>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38FE4FA4" w14:textId="77777777" w:rsidTr="0057310C">
        <w:trPr>
          <w:trHeight w:val="315"/>
        </w:trPr>
        <w:tc>
          <w:tcPr>
            <w:tcW w:w="3306" w:type="dxa"/>
            <w:tcBorders>
              <w:top w:val="nil"/>
              <w:left w:val="single" w:sz="8" w:space="0" w:color="auto"/>
              <w:bottom w:val="single" w:sz="8" w:space="0" w:color="auto"/>
              <w:right w:val="nil"/>
            </w:tcBorders>
            <w:shd w:val="clear" w:color="000000" w:fill="244062"/>
            <w:vAlign w:val="center"/>
            <w:hideMark/>
          </w:tcPr>
          <w:p w14:paraId="3279097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686D024E" w14:textId="36515FCF" w:rsidR="00854ADA" w:rsidRPr="000A2AFE" w:rsidRDefault="006A2B98" w:rsidP="000A2AFE">
            <w:pPr>
              <w:pStyle w:val="ListParagraph"/>
              <w:numPr>
                <w:ilvl w:val="0"/>
                <w:numId w:val="130"/>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5E1AA780" w14:textId="77777777" w:rsidTr="0057310C">
        <w:trPr>
          <w:trHeight w:val="315"/>
        </w:trPr>
        <w:tc>
          <w:tcPr>
            <w:tcW w:w="3306" w:type="dxa"/>
            <w:tcBorders>
              <w:top w:val="nil"/>
              <w:left w:val="single" w:sz="8" w:space="0" w:color="auto"/>
              <w:bottom w:val="single" w:sz="8" w:space="0" w:color="auto"/>
              <w:right w:val="nil"/>
            </w:tcBorders>
            <w:shd w:val="clear" w:color="000000" w:fill="244062"/>
            <w:vAlign w:val="center"/>
            <w:hideMark/>
          </w:tcPr>
          <w:p w14:paraId="0F42103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Индикатори напретка</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74759679" w14:textId="77777777" w:rsidR="00854ADA" w:rsidRPr="000A2AFE" w:rsidRDefault="00854ADA" w:rsidP="000A2AFE">
            <w:pPr>
              <w:pStyle w:val="ListParagraph"/>
              <w:numPr>
                <w:ilvl w:val="0"/>
                <w:numId w:val="130"/>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Број инфраструктура</w:t>
            </w:r>
          </w:p>
        </w:tc>
      </w:tr>
      <w:tr w:rsidR="00854ADA" w:rsidRPr="00FF386D" w14:paraId="191A822A" w14:textId="77777777" w:rsidTr="0057310C">
        <w:trPr>
          <w:trHeight w:val="287"/>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3F98C9F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29B23FA7" w14:textId="4B43108C" w:rsidR="006A2B98" w:rsidRPr="006A2B98" w:rsidRDefault="006A2B98" w:rsidP="006A2B98">
            <w:pPr>
              <w:numPr>
                <w:ilvl w:val="0"/>
                <w:numId w:val="132"/>
              </w:numPr>
              <w:spacing w:after="0" w:line="240" w:lineRule="auto"/>
              <w:contextualSpacing/>
              <w:rPr>
                <w:rFonts w:ascii="Calibri Light" w:eastAsia="Times New Roman" w:hAnsi="Calibri Light" w:cs="Calibri Light"/>
                <w:color w:val="000000"/>
                <w:sz w:val="20"/>
                <w:szCs w:val="20"/>
                <w:lang w:eastAsia="en-GB"/>
              </w:rPr>
            </w:pPr>
            <w:r w:rsidRPr="006A2B98">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6A2B98">
              <w:rPr>
                <w:rFonts w:ascii="Calibri Light" w:eastAsia="Times New Roman" w:hAnsi="Calibri Light" w:cs="Calibri Light"/>
                <w:i/>
                <w:iCs/>
                <w:color w:val="000000"/>
                <w:sz w:val="20"/>
                <w:szCs w:val="20"/>
                <w:lang w:val="en-US" w:eastAsia="en-GB"/>
              </w:rPr>
              <w:t>GHG</w:t>
            </w:r>
            <w:r w:rsidRPr="006A2B98">
              <w:rPr>
                <w:rFonts w:ascii="Calibri Light" w:eastAsia="Times New Roman" w:hAnsi="Calibri Light" w:cs="Calibri Light"/>
                <w:i/>
                <w:iCs/>
                <w:color w:val="000000"/>
                <w:sz w:val="20"/>
                <w:szCs w:val="20"/>
                <w:lang w:eastAsia="en-GB"/>
              </w:rPr>
              <w:t xml:space="preserve"> </w:t>
            </w:r>
            <w:r w:rsidRPr="006A2B98">
              <w:rPr>
                <w:rFonts w:ascii="Calibri Light" w:eastAsia="Times New Roman" w:hAnsi="Calibri Light" w:cs="Calibri Light"/>
                <w:color w:val="000000"/>
                <w:sz w:val="20"/>
                <w:szCs w:val="20"/>
                <w:lang w:val="sr-Latn-RS" w:eastAsia="en-GB"/>
              </w:rPr>
              <w:t>a</w:t>
            </w:r>
            <w:r w:rsidRPr="006A2B98">
              <w:rPr>
                <w:rFonts w:ascii="Calibri Light" w:eastAsia="Times New Roman" w:hAnsi="Calibri Light" w:cs="Calibri Light"/>
                <w:color w:val="000000"/>
                <w:sz w:val="20"/>
                <w:szCs w:val="20"/>
                <w:lang w:eastAsia="en-GB"/>
              </w:rPr>
              <w:t xml:space="preserve"> промовиса</w:t>
            </w:r>
            <w:r>
              <w:rPr>
                <w:rFonts w:ascii="Calibri Light" w:eastAsia="Times New Roman" w:hAnsi="Calibri Light" w:cs="Calibri Light"/>
                <w:color w:val="000000"/>
                <w:sz w:val="20"/>
                <w:szCs w:val="20"/>
                <w:lang w:eastAsia="en-GB"/>
              </w:rPr>
              <w:t>на</w:t>
            </w:r>
            <w:r w:rsidRPr="006A2B98">
              <w:rPr>
                <w:rFonts w:ascii="Calibri Light" w:eastAsia="Times New Roman" w:hAnsi="Calibri Light" w:cs="Calibri Light"/>
                <w:color w:val="000000"/>
                <w:sz w:val="20"/>
                <w:szCs w:val="20"/>
                <w:lang w:eastAsia="en-GB"/>
              </w:rPr>
              <w:t xml:space="preserve"> електричн</w:t>
            </w:r>
            <w:r>
              <w:rPr>
                <w:rFonts w:ascii="Calibri Light" w:eastAsia="Times New Roman" w:hAnsi="Calibri Light" w:cs="Calibri Light"/>
                <w:color w:val="000000"/>
                <w:sz w:val="20"/>
                <w:szCs w:val="20"/>
                <w:lang w:eastAsia="en-GB"/>
              </w:rPr>
              <w:t>а</w:t>
            </w:r>
            <w:r w:rsidRPr="006A2B98">
              <w:rPr>
                <w:rFonts w:ascii="Calibri Light" w:eastAsia="Times New Roman" w:hAnsi="Calibri Light" w:cs="Calibri Light"/>
                <w:color w:val="000000"/>
                <w:sz w:val="20"/>
                <w:szCs w:val="20"/>
                <w:lang w:eastAsia="en-GB"/>
              </w:rPr>
              <w:t xml:space="preserve"> возила ће довести до повећања удела ОИЕ у саобраћају)</w:t>
            </w:r>
          </w:p>
          <w:p w14:paraId="6388FB38" w14:textId="2C917E9C" w:rsidR="00854ADA" w:rsidRPr="00FF386D" w:rsidRDefault="006A2B98" w:rsidP="006A2B98">
            <w:pPr>
              <w:numPr>
                <w:ilvl w:val="0"/>
                <w:numId w:val="132"/>
              </w:numPr>
              <w:spacing w:after="0" w:line="240" w:lineRule="auto"/>
              <w:contextualSpacing/>
              <w:rPr>
                <w:rFonts w:ascii="Calibri Light" w:eastAsia="Times New Roman" w:hAnsi="Calibri Light" w:cs="Calibri Light"/>
                <w:color w:val="000000"/>
                <w:sz w:val="20"/>
                <w:szCs w:val="20"/>
                <w:lang w:eastAsia="en-GB"/>
              </w:rPr>
            </w:pPr>
            <w:r w:rsidRPr="006A2B98">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854ADA" w:rsidRPr="00FF386D" w14:paraId="2620EA64" w14:textId="77777777" w:rsidTr="0057310C">
        <w:trPr>
          <w:trHeight w:val="450"/>
        </w:trPr>
        <w:tc>
          <w:tcPr>
            <w:tcW w:w="3306"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29005189" w14:textId="2D24F3AB"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52"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0C44CB2A" w14:textId="3E450F11" w:rsidR="00854ADA" w:rsidRPr="000A2AFE" w:rsidRDefault="00854ADA" w:rsidP="00720DA6">
            <w:pPr>
              <w:pStyle w:val="ListParagraph"/>
              <w:numPr>
                <w:ilvl w:val="0"/>
                <w:numId w:val="132"/>
              </w:num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720DA6"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2012/27</w:t>
            </w:r>
          </w:p>
          <w:p w14:paraId="46665257" w14:textId="77777777" w:rsidR="00854ADA" w:rsidRDefault="00854ADA" w:rsidP="00854ADA">
            <w:pPr>
              <w:numPr>
                <w:ilvl w:val="0"/>
                <w:numId w:val="132"/>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720DA6"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2018/2002</w:t>
            </w:r>
          </w:p>
          <w:p w14:paraId="4632CE4B" w14:textId="43954253" w:rsidR="005174FA" w:rsidRPr="00FF386D" w:rsidRDefault="005174FA" w:rsidP="00854ADA">
            <w:pPr>
              <w:numPr>
                <w:ilvl w:val="0"/>
                <w:numId w:val="132"/>
              </w:numPr>
              <w:spacing w:after="0" w:line="240" w:lineRule="auto"/>
              <w:contextualSpacing/>
              <w:rPr>
                <w:rFonts w:ascii="Calibri Light" w:eastAsia="Times New Roman" w:hAnsi="Calibri Light" w:cs="Calibri Light"/>
                <w:color w:val="000000"/>
                <w:sz w:val="20"/>
                <w:szCs w:val="20"/>
                <w:lang w:eastAsia="en-GB"/>
              </w:rPr>
            </w:pPr>
            <w:r w:rsidRPr="005174FA">
              <w:rPr>
                <w:rFonts w:ascii="Calibri Light" w:eastAsia="Times New Roman" w:hAnsi="Calibri Light" w:cs="Calibri Light"/>
                <w:color w:val="000000"/>
                <w:sz w:val="20"/>
                <w:szCs w:val="20"/>
                <w:lang w:eastAsia="en-GB"/>
              </w:rPr>
              <w:t>Директива 2014/94/ЕУ</w:t>
            </w:r>
          </w:p>
        </w:tc>
      </w:tr>
      <w:tr w:rsidR="00854ADA" w:rsidRPr="00FF386D" w14:paraId="4871C5BB" w14:textId="77777777" w:rsidTr="0057310C">
        <w:trPr>
          <w:trHeight w:val="450"/>
        </w:trPr>
        <w:tc>
          <w:tcPr>
            <w:tcW w:w="3306" w:type="dxa"/>
            <w:vMerge/>
            <w:tcBorders>
              <w:top w:val="nil"/>
              <w:left w:val="single" w:sz="8" w:space="0" w:color="auto"/>
              <w:bottom w:val="single" w:sz="8" w:space="0" w:color="000000"/>
              <w:right w:val="single" w:sz="8" w:space="0" w:color="auto"/>
            </w:tcBorders>
            <w:vAlign w:val="center"/>
            <w:hideMark/>
          </w:tcPr>
          <w:p w14:paraId="57CCBB5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2" w:type="dxa"/>
            <w:gridSpan w:val="3"/>
            <w:vMerge/>
            <w:tcBorders>
              <w:top w:val="single" w:sz="8" w:space="0" w:color="auto"/>
              <w:left w:val="single" w:sz="8" w:space="0" w:color="auto"/>
              <w:bottom w:val="single" w:sz="8" w:space="0" w:color="000000"/>
              <w:right w:val="single" w:sz="8" w:space="0" w:color="000000"/>
            </w:tcBorders>
            <w:vAlign w:val="center"/>
            <w:hideMark/>
          </w:tcPr>
          <w:p w14:paraId="643B0D15" w14:textId="77777777" w:rsidR="00854ADA" w:rsidRPr="00FF386D" w:rsidRDefault="00854ADA" w:rsidP="00854ADA">
            <w:pPr>
              <w:numPr>
                <w:ilvl w:val="0"/>
                <w:numId w:val="132"/>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0B2F09D6" w14:textId="77777777" w:rsidTr="0057310C">
        <w:trPr>
          <w:trHeight w:val="450"/>
        </w:trPr>
        <w:tc>
          <w:tcPr>
            <w:tcW w:w="3306" w:type="dxa"/>
            <w:vMerge/>
            <w:tcBorders>
              <w:top w:val="nil"/>
              <w:left w:val="single" w:sz="8" w:space="0" w:color="auto"/>
              <w:bottom w:val="single" w:sz="8" w:space="0" w:color="000000"/>
              <w:right w:val="single" w:sz="8" w:space="0" w:color="auto"/>
            </w:tcBorders>
            <w:vAlign w:val="center"/>
            <w:hideMark/>
          </w:tcPr>
          <w:p w14:paraId="4FBB6E6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2" w:type="dxa"/>
            <w:gridSpan w:val="3"/>
            <w:vMerge/>
            <w:tcBorders>
              <w:top w:val="single" w:sz="8" w:space="0" w:color="auto"/>
              <w:left w:val="single" w:sz="8" w:space="0" w:color="auto"/>
              <w:bottom w:val="single" w:sz="8" w:space="0" w:color="000000"/>
              <w:right w:val="single" w:sz="8" w:space="0" w:color="000000"/>
            </w:tcBorders>
            <w:vAlign w:val="center"/>
            <w:hideMark/>
          </w:tcPr>
          <w:p w14:paraId="648631BD" w14:textId="77777777" w:rsidR="00854ADA" w:rsidRPr="00FF386D" w:rsidRDefault="00854ADA" w:rsidP="00854ADA">
            <w:pPr>
              <w:numPr>
                <w:ilvl w:val="0"/>
                <w:numId w:val="132"/>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3480674E" w14:textId="77777777" w:rsidTr="0057310C">
        <w:trPr>
          <w:trHeight w:val="321"/>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269918F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5A601E89" w14:textId="77777777" w:rsidR="00854ADA" w:rsidRPr="00FF386D" w:rsidRDefault="00854ADA" w:rsidP="00854ADA">
            <w:pPr>
              <w:numPr>
                <w:ilvl w:val="0"/>
                <w:numId w:val="132"/>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Програм остваривања Стратегије (2017)</w:t>
            </w:r>
          </w:p>
        </w:tc>
      </w:tr>
      <w:tr w:rsidR="00854ADA" w:rsidRPr="00FF386D" w14:paraId="5D4D076A" w14:textId="77777777" w:rsidTr="0057310C">
        <w:trPr>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3D07E6A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7327EA1B" w14:textId="52551EF6"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 xml:space="preserve">Биће </w:t>
            </w:r>
            <w:r w:rsidR="00720DA6" w:rsidRPr="00FF386D">
              <w:rPr>
                <w:rFonts w:ascii="Calibri Light" w:eastAsia="Times New Roman" w:hAnsi="Calibri Light" w:cs="Calibri Light"/>
                <w:color w:val="000000"/>
                <w:sz w:val="20"/>
                <w:szCs w:val="20"/>
                <w:lang w:eastAsia="en-GB"/>
              </w:rPr>
              <w:t>обухваћени</w:t>
            </w:r>
            <w:r w:rsidRPr="00FF386D">
              <w:rPr>
                <w:rFonts w:ascii="Calibri Light" w:eastAsia="Times New Roman" w:hAnsi="Calibri Light" w:cs="Calibri Light"/>
                <w:color w:val="000000"/>
                <w:sz w:val="20"/>
                <w:szCs w:val="20"/>
                <w:lang w:eastAsia="en-GB"/>
              </w:rPr>
              <w:t xml:space="preserve"> у МП_ЕЕ10, МП_ЕЕ12 и МП_ЕЕ14</w:t>
            </w:r>
          </w:p>
        </w:tc>
      </w:tr>
      <w:tr w:rsidR="00854ADA" w:rsidRPr="00FF386D" w14:paraId="5824B1DB" w14:textId="77777777" w:rsidTr="0057310C">
        <w:trPr>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6F22663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15B83DB9" w14:textId="726394B6"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720DA6" w:rsidRPr="00FF386D">
              <w:rPr>
                <w:rFonts w:asciiTheme="majorHAnsi" w:eastAsia="Times New Roman" w:hAnsiTheme="majorHAnsi" w:cstheme="majorHAnsi"/>
                <w:color w:val="000000"/>
                <w:sz w:val="20"/>
                <w:szCs w:val="20"/>
                <w:lang w:eastAsia="en-GB"/>
              </w:rPr>
              <w:t>ска</w:t>
            </w:r>
            <w:r w:rsidRPr="00FF386D">
              <w:rPr>
                <w:rFonts w:asciiTheme="majorHAnsi" w:eastAsia="Times New Roman" w:hAnsiTheme="majorHAnsi" w:cstheme="majorHAnsi"/>
                <w:color w:val="000000"/>
                <w:sz w:val="20"/>
                <w:szCs w:val="20"/>
                <w:lang w:eastAsia="en-GB"/>
              </w:rPr>
              <w:t xml:space="preserve"> и сопствена средства</w:t>
            </w:r>
          </w:p>
        </w:tc>
      </w:tr>
    </w:tbl>
    <w:p w14:paraId="12C7FB9F"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09"/>
        <w:gridCol w:w="1007"/>
        <w:gridCol w:w="944"/>
        <w:gridCol w:w="4198"/>
      </w:tblGrid>
      <w:tr w:rsidR="00854ADA" w:rsidRPr="00FF386D" w14:paraId="7F691069" w14:textId="77777777" w:rsidTr="0057310C">
        <w:trPr>
          <w:trHeight w:val="780"/>
        </w:trPr>
        <w:tc>
          <w:tcPr>
            <w:tcW w:w="3309"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1D0CCD2B"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0F27AC43"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МП_ЕЕ14</w:t>
            </w:r>
          </w:p>
        </w:tc>
        <w:tc>
          <w:tcPr>
            <w:tcW w:w="944" w:type="dxa"/>
            <w:tcBorders>
              <w:top w:val="single" w:sz="8" w:space="0" w:color="auto"/>
              <w:left w:val="nil"/>
              <w:bottom w:val="single" w:sz="8" w:space="0" w:color="auto"/>
              <w:right w:val="single" w:sz="8" w:space="0" w:color="auto"/>
            </w:tcBorders>
            <w:shd w:val="clear" w:color="000000" w:fill="244062"/>
            <w:vAlign w:val="center"/>
            <w:hideMark/>
          </w:tcPr>
          <w:p w14:paraId="00083E5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98" w:type="dxa"/>
            <w:tcBorders>
              <w:top w:val="single" w:sz="8" w:space="0" w:color="auto"/>
              <w:left w:val="nil"/>
              <w:bottom w:val="single" w:sz="8" w:space="0" w:color="auto"/>
              <w:right w:val="single" w:sz="8" w:space="0" w:color="auto"/>
            </w:tcBorders>
            <w:shd w:val="clear" w:color="auto" w:fill="E7E6E6" w:themeFill="background2"/>
            <w:vAlign w:val="center"/>
            <w:hideMark/>
          </w:tcPr>
          <w:p w14:paraId="574B50D6" w14:textId="46EA4AA1" w:rsidR="00854ADA" w:rsidRPr="00FF386D" w:rsidRDefault="00854ADA" w:rsidP="00854ADA">
            <w:pPr>
              <w:spacing w:after="0" w:line="240" w:lineRule="auto"/>
              <w:rPr>
                <w:rFonts w:ascii="Calibri Light" w:eastAsia="Times New Roman" w:hAnsi="Calibri Light" w:cs="Calibri Light"/>
                <w:b/>
                <w:bCs/>
                <w:color w:val="000000"/>
                <w:sz w:val="20"/>
                <w:szCs w:val="20"/>
                <w:lang w:eastAsia="en-GB"/>
              </w:rPr>
            </w:pPr>
            <w:r w:rsidRPr="00FF386D">
              <w:rPr>
                <w:rFonts w:ascii="Calibri Light" w:hAnsi="Calibri Light"/>
                <w:b/>
                <w:sz w:val="20"/>
              </w:rPr>
              <w:t>Промо</w:t>
            </w:r>
            <w:r w:rsidR="00720DA6" w:rsidRPr="00FF386D">
              <w:rPr>
                <w:rFonts w:ascii="Calibri Light" w:hAnsi="Calibri Light"/>
                <w:b/>
                <w:sz w:val="20"/>
              </w:rPr>
              <w:t xml:space="preserve">висање </w:t>
            </w:r>
            <w:r w:rsidRPr="00FF386D">
              <w:rPr>
                <w:rFonts w:ascii="Calibri Light" w:hAnsi="Calibri Light"/>
                <w:b/>
                <w:sz w:val="20"/>
              </w:rPr>
              <w:t>енергетске ефикасности теретног саобраћаја</w:t>
            </w:r>
          </w:p>
        </w:tc>
      </w:tr>
      <w:tr w:rsidR="00854ADA" w:rsidRPr="00FF386D" w14:paraId="08D91965" w14:textId="77777777" w:rsidTr="0057310C">
        <w:trPr>
          <w:trHeight w:val="655"/>
        </w:trPr>
        <w:tc>
          <w:tcPr>
            <w:tcW w:w="3309" w:type="dxa"/>
            <w:tcBorders>
              <w:top w:val="nil"/>
              <w:left w:val="single" w:sz="8" w:space="0" w:color="auto"/>
              <w:bottom w:val="single" w:sz="8" w:space="0" w:color="auto"/>
              <w:right w:val="nil"/>
            </w:tcBorders>
            <w:shd w:val="clear" w:color="000000" w:fill="244062"/>
            <w:vAlign w:val="center"/>
            <w:hideMark/>
          </w:tcPr>
          <w:p w14:paraId="7CA77E7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40AC3C14" w14:textId="15964F0E" w:rsidR="00854ADA" w:rsidRPr="000A2AFE" w:rsidRDefault="003E328C" w:rsidP="00854ADA">
            <w:pPr>
              <w:spacing w:after="0" w:line="240" w:lineRule="auto"/>
              <w:rPr>
                <w:rFonts w:ascii="Calibri Light" w:eastAsia="Times New Roman" w:hAnsi="Calibri Light" w:cs="Calibri Light"/>
                <w:sz w:val="20"/>
                <w:szCs w:val="20"/>
                <w:lang w:eastAsia="en-GB"/>
              </w:rPr>
            </w:pPr>
            <w:r w:rsidRPr="00FF386D">
              <w:rPr>
                <w:rFonts w:ascii="Calibri Light" w:hAnsi="Calibri Light"/>
                <w:sz w:val="20"/>
                <w:szCs w:val="20"/>
              </w:rPr>
              <w:t>Примена</w:t>
            </w:r>
            <w:r w:rsidR="00854ADA" w:rsidRPr="00FF386D">
              <w:rPr>
                <w:rFonts w:ascii="Calibri Light" w:hAnsi="Calibri Light"/>
                <w:sz w:val="20"/>
                <w:szCs w:val="20"/>
              </w:rPr>
              <w:t xml:space="preserve"> чланова Директиве </w:t>
            </w:r>
            <w:r w:rsidR="00720DA6" w:rsidRPr="00FF386D">
              <w:rPr>
                <w:rFonts w:ascii="Calibri Light" w:hAnsi="Calibri Light"/>
                <w:sz w:val="20"/>
                <w:szCs w:val="20"/>
              </w:rPr>
              <w:t xml:space="preserve">(ЕУ) </w:t>
            </w:r>
            <w:r w:rsidR="00854ADA" w:rsidRPr="00FF386D">
              <w:rPr>
                <w:rFonts w:ascii="Calibri Light" w:hAnsi="Calibri Light"/>
                <w:sz w:val="20"/>
                <w:szCs w:val="20"/>
              </w:rPr>
              <w:t>2012/27, која је измењена и допуњена Директивом</w:t>
            </w:r>
            <w:r w:rsidR="00720DA6" w:rsidRPr="00FF386D">
              <w:rPr>
                <w:rFonts w:ascii="Calibri Light" w:hAnsi="Calibri Light"/>
                <w:sz w:val="20"/>
                <w:szCs w:val="20"/>
              </w:rPr>
              <w:t xml:space="preserve"> (ЕУ)</w:t>
            </w:r>
            <w:r w:rsidR="00854ADA" w:rsidRPr="00FF386D">
              <w:rPr>
                <w:rFonts w:ascii="Calibri Light" w:hAnsi="Calibri Light"/>
                <w:sz w:val="20"/>
                <w:szCs w:val="20"/>
              </w:rPr>
              <w:t xml:space="preserve"> 2018/2002</w:t>
            </w:r>
            <w:r w:rsidR="00720DA6" w:rsidRPr="00FF386D">
              <w:rPr>
                <w:rFonts w:ascii="Calibri Light" w:hAnsi="Calibri Light"/>
                <w:sz w:val="20"/>
                <w:szCs w:val="20"/>
              </w:rPr>
              <w:t>, и то</w:t>
            </w:r>
            <w:r w:rsidR="00854ADA" w:rsidRPr="000A2AFE">
              <w:rPr>
                <w:rFonts w:ascii="Calibri Light" w:eastAsia="Times New Roman" w:hAnsi="Calibri Light" w:cs="Calibri Light"/>
                <w:sz w:val="20"/>
                <w:szCs w:val="20"/>
                <w:lang w:eastAsia="en-GB"/>
              </w:rPr>
              <w:t>:</w:t>
            </w:r>
          </w:p>
          <w:p w14:paraId="2A89ADCC" w14:textId="0578EEED" w:rsidR="00854ADA" w:rsidRPr="000A2AFE" w:rsidRDefault="00854ADA" w:rsidP="00854ADA">
            <w:pPr>
              <w:numPr>
                <w:ilvl w:val="0"/>
                <w:numId w:val="26"/>
              </w:numPr>
              <w:spacing w:after="0" w:line="240" w:lineRule="auto"/>
              <w:contextualSpacing/>
              <w:rPr>
                <w:rFonts w:ascii="Calibri Light" w:eastAsia="Times New Roman" w:hAnsi="Calibri Light" w:cs="Calibri Light"/>
                <w:sz w:val="20"/>
                <w:szCs w:val="20"/>
                <w:lang w:eastAsia="en-GB"/>
              </w:rPr>
            </w:pPr>
            <w:r w:rsidRPr="00FF386D">
              <w:rPr>
                <w:rFonts w:ascii="Calibri Light" w:hAnsi="Calibri Light"/>
                <w:sz w:val="20"/>
                <w:szCs w:val="20"/>
              </w:rPr>
              <w:t>Члан</w:t>
            </w:r>
            <w:r w:rsidR="00B3404F" w:rsidRPr="00FF386D">
              <w:rPr>
                <w:rFonts w:ascii="Calibri Light" w:hAnsi="Calibri Light"/>
                <w:sz w:val="20"/>
                <w:szCs w:val="20"/>
              </w:rPr>
              <w:t>а</w:t>
            </w:r>
            <w:r w:rsidRPr="00FF386D">
              <w:rPr>
                <w:rFonts w:ascii="Calibri Light" w:hAnsi="Calibri Light"/>
                <w:sz w:val="20"/>
                <w:szCs w:val="20"/>
              </w:rPr>
              <w:t xml:space="preserve"> </w:t>
            </w:r>
            <w:r w:rsidRPr="000A2AFE">
              <w:rPr>
                <w:rFonts w:ascii="Calibri Light" w:eastAsia="Times New Roman" w:hAnsi="Calibri Light" w:cs="Calibri Light"/>
                <w:sz w:val="20"/>
                <w:szCs w:val="20"/>
                <w:lang w:eastAsia="en-GB"/>
              </w:rPr>
              <w:t>3</w:t>
            </w:r>
          </w:p>
          <w:p w14:paraId="7EDD3F7A" w14:textId="0B72AE7A" w:rsidR="00854ADA" w:rsidRPr="00FF386D" w:rsidRDefault="00854ADA" w:rsidP="00854ADA">
            <w:pPr>
              <w:numPr>
                <w:ilvl w:val="0"/>
                <w:numId w:val="131"/>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szCs w:val="20"/>
              </w:rPr>
              <w:t>Члан</w:t>
            </w:r>
            <w:r w:rsidR="00B3404F" w:rsidRPr="00FF386D">
              <w:rPr>
                <w:rFonts w:ascii="Calibri Light" w:hAnsi="Calibri Light"/>
                <w:color w:val="000000"/>
                <w:sz w:val="20"/>
                <w:szCs w:val="20"/>
              </w:rPr>
              <w:t>а</w:t>
            </w:r>
            <w:r w:rsidRPr="00FF386D">
              <w:rPr>
                <w:rFonts w:ascii="Calibri Light" w:hAnsi="Calibri Light"/>
                <w:color w:val="000000"/>
                <w:sz w:val="20"/>
                <w:szCs w:val="20"/>
              </w:rPr>
              <w:t xml:space="preserve"> </w:t>
            </w:r>
            <w:r w:rsidRPr="000A2AFE">
              <w:rPr>
                <w:rFonts w:ascii="Calibri Light" w:eastAsia="Times New Roman" w:hAnsi="Calibri Light" w:cs="Calibri Light"/>
                <w:color w:val="000000"/>
                <w:sz w:val="20"/>
                <w:szCs w:val="20"/>
                <w:lang w:eastAsia="en-GB"/>
              </w:rPr>
              <w:t>7</w:t>
            </w:r>
          </w:p>
        </w:tc>
      </w:tr>
      <w:tr w:rsidR="00854ADA" w:rsidRPr="00FF386D" w14:paraId="24005E0A" w14:textId="77777777" w:rsidTr="0057310C">
        <w:trPr>
          <w:trHeight w:val="315"/>
        </w:trPr>
        <w:tc>
          <w:tcPr>
            <w:tcW w:w="3309" w:type="dxa"/>
            <w:tcBorders>
              <w:top w:val="nil"/>
              <w:left w:val="single" w:sz="8" w:space="0" w:color="auto"/>
              <w:bottom w:val="single" w:sz="8" w:space="0" w:color="auto"/>
              <w:right w:val="single" w:sz="8" w:space="0" w:color="auto"/>
            </w:tcBorders>
            <w:shd w:val="clear" w:color="000000" w:fill="244062"/>
            <w:vAlign w:val="center"/>
            <w:hideMark/>
          </w:tcPr>
          <w:p w14:paraId="0BAFE4B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75E66D69" w14:textId="36C66C64" w:rsidR="00854ADA" w:rsidRPr="00FF386D" w:rsidRDefault="00720DA6" w:rsidP="00854ADA">
            <w:pPr>
              <w:spacing w:after="0" w:line="240" w:lineRule="auto"/>
              <w:rPr>
                <w:rFonts w:ascii="Calibri" w:eastAsia="Times New Roman" w:hAnsi="Calibri" w:cs="Calibri"/>
                <w:color w:val="000000"/>
                <w:sz w:val="20"/>
                <w:szCs w:val="20"/>
                <w:lang w:eastAsia="en-GB"/>
              </w:rPr>
            </w:pPr>
            <w:r w:rsidRPr="00FF386D">
              <w:rPr>
                <w:rFonts w:asciiTheme="majorHAnsi" w:eastAsia="Times New Roman" w:hAnsiTheme="majorHAnsi" w:cstheme="majorHAnsi"/>
                <w:color w:val="000000"/>
                <w:sz w:val="20"/>
                <w:szCs w:val="20"/>
                <w:lang w:eastAsia="en-GB"/>
              </w:rPr>
              <w:t>18,9</w:t>
            </w:r>
            <w:r w:rsidR="00854ADA" w:rsidRPr="00FF386D">
              <w:rPr>
                <w:rFonts w:asciiTheme="majorHAnsi" w:eastAsia="Times New Roman" w:hAnsiTheme="majorHAnsi" w:cstheme="majorHAnsi"/>
                <w:color w:val="000000"/>
                <w:sz w:val="20"/>
                <w:szCs w:val="20"/>
                <w:lang w:eastAsia="en-GB"/>
              </w:rPr>
              <w:t xml:space="preserve"> </w:t>
            </w:r>
            <w:r w:rsidR="00636290">
              <w:rPr>
                <w:rFonts w:asciiTheme="majorHAnsi" w:eastAsia="Times New Roman" w:hAnsiTheme="majorHAnsi" w:cstheme="majorHAnsi"/>
                <w:color w:val="000000"/>
                <w:sz w:val="20"/>
                <w:szCs w:val="20"/>
                <w:lang w:eastAsia="en-GB"/>
              </w:rPr>
              <w:t xml:space="preserve">хиљада </w:t>
            </w:r>
            <w:r w:rsidR="00854ADA" w:rsidRPr="00FF386D">
              <w:rPr>
                <w:rFonts w:asciiTheme="majorHAnsi" w:eastAsia="Times New Roman" w:hAnsiTheme="majorHAnsi" w:cstheme="majorHAnsi"/>
                <w:color w:val="000000"/>
                <w:sz w:val="20"/>
                <w:szCs w:val="20"/>
                <w:lang w:eastAsia="en-GB"/>
              </w:rPr>
              <w:t xml:space="preserve">електричних </w:t>
            </w:r>
            <w:r w:rsidRPr="00FF386D">
              <w:rPr>
                <w:rFonts w:asciiTheme="majorHAnsi" w:eastAsia="Times New Roman" w:hAnsiTheme="majorHAnsi" w:cstheme="majorHAnsi"/>
                <w:color w:val="000000"/>
                <w:sz w:val="20"/>
                <w:szCs w:val="20"/>
                <w:lang w:eastAsia="en-GB"/>
              </w:rPr>
              <w:t>лаких товарних</w:t>
            </w:r>
            <w:r w:rsidR="00854ADA" w:rsidRPr="00FF386D">
              <w:rPr>
                <w:rFonts w:asciiTheme="majorHAnsi" w:eastAsia="Times New Roman" w:hAnsiTheme="majorHAnsi" w:cstheme="majorHAnsi"/>
                <w:color w:val="000000"/>
                <w:sz w:val="20"/>
                <w:szCs w:val="20"/>
                <w:lang w:eastAsia="en-GB"/>
              </w:rPr>
              <w:t xml:space="preserve"> возила (уштеда финалне енергије </w:t>
            </w:r>
            <w:r w:rsidRPr="00FF386D">
              <w:rPr>
                <w:rFonts w:asciiTheme="majorHAnsi" w:eastAsia="Times New Roman" w:hAnsiTheme="majorHAnsi" w:cstheme="majorHAnsi"/>
                <w:color w:val="000000"/>
                <w:sz w:val="20"/>
                <w:szCs w:val="20"/>
                <w:lang w:eastAsia="en-GB"/>
              </w:rPr>
              <w:t>23</w:t>
            </w:r>
            <w:r w:rsidR="00854ADA" w:rsidRPr="00FF386D">
              <w:rPr>
                <w:rFonts w:asciiTheme="majorHAnsi" w:eastAsia="Times New Roman" w:hAnsiTheme="majorHAnsi" w:cstheme="majorHAnsi"/>
                <w:color w:val="000000"/>
                <w:sz w:val="20"/>
                <w:szCs w:val="20"/>
                <w:lang w:eastAsia="en-GB"/>
              </w:rPr>
              <w:t xml:space="preserve"> ktoe)</w:t>
            </w:r>
          </w:p>
        </w:tc>
      </w:tr>
      <w:tr w:rsidR="00854ADA" w:rsidRPr="00FF386D" w14:paraId="3E122FC0" w14:textId="77777777" w:rsidTr="0057310C">
        <w:trPr>
          <w:trHeight w:val="1525"/>
        </w:trPr>
        <w:tc>
          <w:tcPr>
            <w:tcW w:w="3309" w:type="dxa"/>
            <w:tcBorders>
              <w:top w:val="nil"/>
              <w:left w:val="single" w:sz="8" w:space="0" w:color="auto"/>
              <w:bottom w:val="single" w:sz="8" w:space="0" w:color="auto"/>
              <w:right w:val="single" w:sz="8" w:space="0" w:color="auto"/>
            </w:tcBorders>
            <w:shd w:val="clear" w:color="000000" w:fill="244062"/>
            <w:vAlign w:val="center"/>
            <w:hideMark/>
          </w:tcPr>
          <w:p w14:paraId="3D247A1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3B6C1FF1" w14:textId="4263785E"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МП_ЕЕ14 ће </w:t>
            </w:r>
            <w:r w:rsidR="00720DA6" w:rsidRPr="00FF386D">
              <w:rPr>
                <w:rFonts w:ascii="Calibri Light" w:hAnsi="Calibri Light"/>
                <w:sz w:val="20"/>
              </w:rPr>
              <w:t>подржати промовисање</w:t>
            </w:r>
            <w:r w:rsidRPr="00FF386D">
              <w:rPr>
                <w:rFonts w:ascii="Calibri Light" w:hAnsi="Calibri Light"/>
                <w:sz w:val="20"/>
              </w:rPr>
              <w:t xml:space="preserve"> енергетске ефикасности теретног саобраћаја п</w:t>
            </w:r>
            <w:r w:rsidR="00720DA6" w:rsidRPr="00FF386D">
              <w:rPr>
                <w:rFonts w:ascii="Calibri Light" w:hAnsi="Calibri Light"/>
                <w:sz w:val="20"/>
              </w:rPr>
              <w:t>реко</w:t>
            </w:r>
            <w:r w:rsidRPr="00FF386D">
              <w:rPr>
                <w:rFonts w:ascii="Calibri Light" w:hAnsi="Calibri Light"/>
                <w:sz w:val="20"/>
              </w:rPr>
              <w:t xml:space="preserve"> разних иницијатива, као што </w:t>
            </w:r>
            <w:r w:rsidR="00720DA6" w:rsidRPr="00FF386D">
              <w:rPr>
                <w:rFonts w:ascii="Calibri Light" w:hAnsi="Calibri Light"/>
                <w:sz w:val="20"/>
              </w:rPr>
              <w:t>су</w:t>
            </w:r>
            <w:r w:rsidRPr="00FF386D">
              <w:rPr>
                <w:rFonts w:ascii="Calibri Light" w:hAnsi="Calibri Light"/>
                <w:sz w:val="20"/>
              </w:rPr>
              <w:t xml:space="preserve"> замена конвенционалних лаких и тешких т</w:t>
            </w:r>
            <w:r w:rsidR="00720DA6" w:rsidRPr="00FF386D">
              <w:rPr>
                <w:rFonts w:ascii="Calibri Light" w:hAnsi="Calibri Light"/>
                <w:sz w:val="20"/>
              </w:rPr>
              <w:t>оварних</w:t>
            </w:r>
            <w:r w:rsidRPr="00FF386D">
              <w:rPr>
                <w:rFonts w:ascii="Calibri Light" w:hAnsi="Calibri Light"/>
                <w:sz w:val="20"/>
              </w:rPr>
              <w:t xml:space="preserve"> возила новим енергетски ефикаснијим возилима и унапређење теретног саобраћаја посебним мерама опорезивања. Биће </w:t>
            </w:r>
            <w:r w:rsidR="003E328C" w:rsidRPr="00FF386D">
              <w:rPr>
                <w:rFonts w:ascii="Calibri Light" w:hAnsi="Calibri Light"/>
                <w:sz w:val="20"/>
              </w:rPr>
              <w:t>донет</w:t>
            </w:r>
            <w:r w:rsidRPr="00FF386D">
              <w:rPr>
                <w:rFonts w:ascii="Calibri Light" w:hAnsi="Calibri Light"/>
                <w:sz w:val="20"/>
              </w:rPr>
              <w:t xml:space="preserve"> специјализовани акциони план који ће </w:t>
            </w:r>
            <w:r w:rsidR="00B3404F" w:rsidRPr="00FF386D">
              <w:rPr>
                <w:rFonts w:ascii="Calibri Light" w:hAnsi="Calibri Light"/>
                <w:sz w:val="20"/>
              </w:rPr>
              <w:t>утврдити</w:t>
            </w:r>
            <w:r w:rsidRPr="00FF386D">
              <w:rPr>
                <w:rFonts w:ascii="Calibri Light" w:hAnsi="Calibri Light"/>
                <w:sz w:val="20"/>
              </w:rPr>
              <w:t xml:space="preserve"> најефикасније активности, док ће посебан фокус бити стављен на </w:t>
            </w:r>
            <w:r w:rsidR="00B3404F" w:rsidRPr="00FF386D">
              <w:rPr>
                <w:rFonts w:ascii="Calibri Light" w:hAnsi="Calibri Light"/>
                <w:sz w:val="20"/>
              </w:rPr>
              <w:t xml:space="preserve">постизање </w:t>
            </w:r>
            <w:r w:rsidRPr="00FF386D">
              <w:rPr>
                <w:rFonts w:ascii="Calibri Light" w:hAnsi="Calibri Light"/>
                <w:sz w:val="20"/>
              </w:rPr>
              <w:t>већ</w:t>
            </w:r>
            <w:r w:rsidR="00B3404F" w:rsidRPr="00FF386D">
              <w:rPr>
                <w:rFonts w:ascii="Calibri Light" w:hAnsi="Calibri Light"/>
                <w:sz w:val="20"/>
              </w:rPr>
              <w:t xml:space="preserve">ег нивоа </w:t>
            </w:r>
            <w:r w:rsidRPr="00FF386D">
              <w:rPr>
                <w:rFonts w:ascii="Calibri Light" w:hAnsi="Calibri Light"/>
                <w:sz w:val="20"/>
              </w:rPr>
              <w:t>одрживост сектора логистике</w:t>
            </w:r>
            <w:r w:rsidRPr="000A2AFE">
              <w:rPr>
                <w:rFonts w:ascii="Calibri Light" w:eastAsia="Times New Roman" w:hAnsi="Calibri Light" w:cs="Calibri Light"/>
                <w:color w:val="000000"/>
                <w:sz w:val="20"/>
                <w:szCs w:val="20"/>
                <w:lang w:eastAsia="en-GB"/>
              </w:rPr>
              <w:t>.</w:t>
            </w:r>
          </w:p>
        </w:tc>
      </w:tr>
      <w:tr w:rsidR="00854ADA" w:rsidRPr="00FF386D" w14:paraId="463E02C3" w14:textId="77777777" w:rsidTr="0057310C">
        <w:trPr>
          <w:trHeight w:val="315"/>
        </w:trPr>
        <w:tc>
          <w:tcPr>
            <w:tcW w:w="3309" w:type="dxa"/>
            <w:tcBorders>
              <w:top w:val="nil"/>
              <w:left w:val="single" w:sz="8" w:space="0" w:color="auto"/>
              <w:bottom w:val="single" w:sz="8" w:space="0" w:color="auto"/>
              <w:right w:val="single" w:sz="8" w:space="0" w:color="auto"/>
            </w:tcBorders>
            <w:shd w:val="clear" w:color="000000" w:fill="244062"/>
            <w:vAlign w:val="center"/>
            <w:hideMark/>
          </w:tcPr>
          <w:p w14:paraId="5ABEB25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60CD7CEA" w14:textId="1CFD1E22"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720DA6" w:rsidRPr="00FF386D">
              <w:rPr>
                <w:rFonts w:ascii="Calibri Light" w:hAnsi="Calibri Light"/>
                <w:sz w:val="20"/>
              </w:rPr>
              <w:t>5</w:t>
            </w:r>
            <w:r w:rsidRPr="00FF386D">
              <w:rPr>
                <w:rFonts w:ascii="Calibri Light" w:hAnsi="Calibri Light"/>
                <w:sz w:val="20"/>
              </w:rPr>
              <w:t>-2030.</w:t>
            </w:r>
          </w:p>
        </w:tc>
      </w:tr>
      <w:tr w:rsidR="00854ADA" w:rsidRPr="00FF386D" w14:paraId="4B7D6614" w14:textId="77777777" w:rsidTr="0057310C">
        <w:trPr>
          <w:trHeight w:val="315"/>
        </w:trPr>
        <w:tc>
          <w:tcPr>
            <w:tcW w:w="3309" w:type="dxa"/>
            <w:tcBorders>
              <w:top w:val="nil"/>
              <w:left w:val="single" w:sz="8" w:space="0" w:color="auto"/>
              <w:bottom w:val="single" w:sz="8" w:space="0" w:color="auto"/>
              <w:right w:val="single" w:sz="8" w:space="0" w:color="auto"/>
            </w:tcBorders>
            <w:shd w:val="clear" w:color="000000" w:fill="244062"/>
            <w:vAlign w:val="center"/>
            <w:hideMark/>
          </w:tcPr>
          <w:p w14:paraId="53FCBFF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225C56DF"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Инвестиција</w:t>
            </w:r>
          </w:p>
        </w:tc>
      </w:tr>
      <w:tr w:rsidR="00854ADA" w:rsidRPr="00FF386D" w14:paraId="7D10CBFE" w14:textId="77777777" w:rsidTr="0057310C">
        <w:trPr>
          <w:trHeight w:val="315"/>
        </w:trPr>
        <w:tc>
          <w:tcPr>
            <w:tcW w:w="3309" w:type="dxa"/>
            <w:tcBorders>
              <w:top w:val="nil"/>
              <w:left w:val="single" w:sz="8" w:space="0" w:color="auto"/>
              <w:bottom w:val="single" w:sz="8" w:space="0" w:color="auto"/>
              <w:right w:val="single" w:sz="8" w:space="0" w:color="auto"/>
            </w:tcBorders>
            <w:shd w:val="clear" w:color="000000" w:fill="244062"/>
            <w:vAlign w:val="center"/>
            <w:hideMark/>
          </w:tcPr>
          <w:p w14:paraId="24C1E88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3E026606"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Саобраћај</w:t>
            </w:r>
          </w:p>
        </w:tc>
      </w:tr>
      <w:tr w:rsidR="00854ADA" w:rsidRPr="00FF386D" w14:paraId="198A9419" w14:textId="77777777" w:rsidTr="0057310C">
        <w:trPr>
          <w:trHeight w:val="315"/>
        </w:trPr>
        <w:tc>
          <w:tcPr>
            <w:tcW w:w="3309" w:type="dxa"/>
            <w:tcBorders>
              <w:top w:val="nil"/>
              <w:left w:val="single" w:sz="8" w:space="0" w:color="auto"/>
              <w:bottom w:val="single" w:sz="8" w:space="0" w:color="auto"/>
              <w:right w:val="single" w:sz="8" w:space="0" w:color="auto"/>
            </w:tcBorders>
            <w:shd w:val="clear" w:color="000000" w:fill="244062"/>
            <w:vAlign w:val="center"/>
            <w:hideMark/>
          </w:tcPr>
          <w:p w14:paraId="086ECAF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1D6DD4D4" w14:textId="66DE9F00" w:rsidR="00854ADA" w:rsidRPr="000A2AFE" w:rsidRDefault="00E462ED" w:rsidP="000A2AFE">
            <w:pPr>
              <w:pStyle w:val="ListParagraph"/>
              <w:numPr>
                <w:ilvl w:val="0"/>
                <w:numId w:val="316"/>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19E4C9EF" w14:textId="77777777" w:rsidTr="0057310C">
        <w:trPr>
          <w:trHeight w:val="315"/>
        </w:trPr>
        <w:tc>
          <w:tcPr>
            <w:tcW w:w="3309" w:type="dxa"/>
            <w:tcBorders>
              <w:top w:val="nil"/>
              <w:left w:val="single" w:sz="8" w:space="0" w:color="auto"/>
              <w:bottom w:val="single" w:sz="8" w:space="0" w:color="auto"/>
              <w:right w:val="nil"/>
            </w:tcBorders>
            <w:shd w:val="clear" w:color="000000" w:fill="244062"/>
            <w:vAlign w:val="center"/>
            <w:hideMark/>
          </w:tcPr>
          <w:p w14:paraId="746036B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2A1F9D5D" w14:textId="7149704D" w:rsidR="00854ADA" w:rsidRPr="000A2AFE" w:rsidRDefault="006A2B98" w:rsidP="000A2AFE">
            <w:pPr>
              <w:pStyle w:val="ListParagraph"/>
              <w:numPr>
                <w:ilvl w:val="0"/>
                <w:numId w:val="131"/>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377E0148" w14:textId="77777777" w:rsidTr="0057310C">
        <w:trPr>
          <w:trHeight w:val="315"/>
        </w:trPr>
        <w:tc>
          <w:tcPr>
            <w:tcW w:w="3309" w:type="dxa"/>
            <w:tcBorders>
              <w:top w:val="nil"/>
              <w:left w:val="single" w:sz="8" w:space="0" w:color="auto"/>
              <w:bottom w:val="single" w:sz="8" w:space="0" w:color="auto"/>
              <w:right w:val="nil"/>
            </w:tcBorders>
            <w:shd w:val="clear" w:color="000000" w:fill="244062"/>
            <w:vAlign w:val="center"/>
            <w:hideMark/>
          </w:tcPr>
          <w:p w14:paraId="7923A4C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6776112E" w14:textId="3D33D2A5" w:rsidR="00854ADA" w:rsidRPr="00FF386D" w:rsidRDefault="00854ADA" w:rsidP="00854ADA">
            <w:pPr>
              <w:numPr>
                <w:ilvl w:val="0"/>
                <w:numId w:val="13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Број лаких </w:t>
            </w:r>
            <w:r w:rsidR="00720DA6" w:rsidRPr="00FF386D">
              <w:rPr>
                <w:rFonts w:ascii="Calibri Light" w:eastAsia="Times New Roman" w:hAnsi="Calibri Light" w:cs="Calibri Light"/>
                <w:color w:val="000000"/>
                <w:sz w:val="20"/>
                <w:szCs w:val="20"/>
                <w:lang w:eastAsia="en-GB"/>
              </w:rPr>
              <w:t>товарних</w:t>
            </w:r>
            <w:r w:rsidRPr="00FF386D">
              <w:rPr>
                <w:rFonts w:ascii="Calibri Light" w:eastAsia="Times New Roman" w:hAnsi="Calibri Light" w:cs="Calibri Light"/>
                <w:color w:val="000000"/>
                <w:sz w:val="20"/>
                <w:szCs w:val="20"/>
                <w:lang w:eastAsia="en-GB"/>
              </w:rPr>
              <w:t xml:space="preserve"> возила и тешких т</w:t>
            </w:r>
            <w:r w:rsidR="00720DA6" w:rsidRPr="00FF386D">
              <w:rPr>
                <w:rFonts w:ascii="Calibri Light" w:eastAsia="Times New Roman" w:hAnsi="Calibri Light" w:cs="Calibri Light"/>
                <w:color w:val="000000"/>
                <w:sz w:val="20"/>
                <w:szCs w:val="20"/>
                <w:lang w:eastAsia="en-GB"/>
              </w:rPr>
              <w:t>оварних</w:t>
            </w:r>
            <w:r w:rsidRPr="00FF386D">
              <w:rPr>
                <w:rFonts w:ascii="Calibri Light" w:eastAsia="Times New Roman" w:hAnsi="Calibri Light" w:cs="Calibri Light"/>
                <w:color w:val="000000"/>
                <w:sz w:val="20"/>
                <w:szCs w:val="20"/>
                <w:lang w:eastAsia="en-GB"/>
              </w:rPr>
              <w:t xml:space="preserve"> возила</w:t>
            </w:r>
          </w:p>
        </w:tc>
      </w:tr>
      <w:tr w:rsidR="00854ADA" w:rsidRPr="00FF386D" w14:paraId="4952D83B" w14:textId="77777777" w:rsidTr="0057310C">
        <w:trPr>
          <w:trHeight w:val="439"/>
        </w:trPr>
        <w:tc>
          <w:tcPr>
            <w:tcW w:w="3309" w:type="dxa"/>
            <w:tcBorders>
              <w:top w:val="nil"/>
              <w:left w:val="single" w:sz="8" w:space="0" w:color="auto"/>
              <w:bottom w:val="single" w:sz="8" w:space="0" w:color="auto"/>
              <w:right w:val="single" w:sz="8" w:space="0" w:color="auto"/>
            </w:tcBorders>
            <w:shd w:val="clear" w:color="000000" w:fill="244062"/>
            <w:vAlign w:val="center"/>
            <w:hideMark/>
          </w:tcPr>
          <w:p w14:paraId="7803EC6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7B3D1859" w14:textId="0586C288" w:rsidR="006A2B98" w:rsidRPr="006A2B98" w:rsidRDefault="006A2B98" w:rsidP="006A2B98">
            <w:pPr>
              <w:numPr>
                <w:ilvl w:val="0"/>
                <w:numId w:val="134"/>
              </w:numPr>
              <w:spacing w:after="0" w:line="240" w:lineRule="auto"/>
              <w:contextualSpacing/>
              <w:rPr>
                <w:rFonts w:ascii="Calibri Light" w:eastAsia="Times New Roman" w:hAnsi="Calibri Light" w:cs="Calibri Light"/>
                <w:color w:val="000000"/>
                <w:sz w:val="20"/>
                <w:szCs w:val="20"/>
                <w:lang w:eastAsia="en-GB"/>
              </w:rPr>
            </w:pPr>
            <w:r w:rsidRPr="006A2B98">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6A2B98">
              <w:rPr>
                <w:rFonts w:ascii="Calibri Light" w:eastAsia="Times New Roman" w:hAnsi="Calibri Light" w:cs="Calibri Light"/>
                <w:i/>
                <w:iCs/>
                <w:color w:val="000000"/>
                <w:sz w:val="20"/>
                <w:szCs w:val="20"/>
                <w:lang w:val="en-US" w:eastAsia="en-GB"/>
              </w:rPr>
              <w:t>GHG</w:t>
            </w:r>
            <w:r w:rsidRPr="006A2B98">
              <w:rPr>
                <w:rFonts w:ascii="Calibri Light" w:eastAsia="Times New Roman" w:hAnsi="Calibri Light" w:cs="Calibri Light"/>
                <w:i/>
                <w:iCs/>
                <w:color w:val="000000"/>
                <w:sz w:val="20"/>
                <w:szCs w:val="20"/>
                <w:lang w:eastAsia="en-GB"/>
              </w:rPr>
              <w:t xml:space="preserve"> </w:t>
            </w:r>
            <w:r w:rsidRPr="006A2B98">
              <w:rPr>
                <w:rFonts w:ascii="Calibri Light" w:eastAsia="Times New Roman" w:hAnsi="Calibri Light" w:cs="Calibri Light"/>
                <w:color w:val="000000"/>
                <w:sz w:val="20"/>
                <w:szCs w:val="20"/>
                <w:lang w:val="sr-Latn-RS" w:eastAsia="en-GB"/>
              </w:rPr>
              <w:t>a</w:t>
            </w:r>
            <w:r w:rsidRPr="006A2B98">
              <w:rPr>
                <w:rFonts w:ascii="Calibri Light" w:eastAsia="Times New Roman" w:hAnsi="Calibri Light" w:cs="Calibri Light"/>
                <w:color w:val="000000"/>
                <w:sz w:val="20"/>
                <w:szCs w:val="20"/>
                <w:lang w:eastAsia="en-GB"/>
              </w:rPr>
              <w:t xml:space="preserve"> промовисана електрична возила ће довести до повећања удела ОИЕ у саобраћају)</w:t>
            </w:r>
          </w:p>
          <w:p w14:paraId="49908BDF" w14:textId="2746E610" w:rsidR="00854ADA" w:rsidRPr="00FF386D" w:rsidRDefault="006A2B98" w:rsidP="006A2B98">
            <w:pPr>
              <w:numPr>
                <w:ilvl w:val="0"/>
                <w:numId w:val="134"/>
              </w:numPr>
              <w:spacing w:after="0" w:line="240" w:lineRule="auto"/>
              <w:contextualSpacing/>
              <w:rPr>
                <w:rFonts w:ascii="Calibri Light" w:eastAsia="Times New Roman" w:hAnsi="Calibri Light" w:cs="Calibri Light"/>
                <w:color w:val="000000"/>
                <w:sz w:val="20"/>
                <w:szCs w:val="20"/>
                <w:lang w:eastAsia="en-GB"/>
              </w:rPr>
            </w:pPr>
            <w:r w:rsidRPr="006A2B98">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854ADA" w:rsidRPr="00FF386D" w14:paraId="2CD7BE0B" w14:textId="77777777" w:rsidTr="0057310C">
        <w:trPr>
          <w:trHeight w:val="450"/>
        </w:trPr>
        <w:tc>
          <w:tcPr>
            <w:tcW w:w="3309"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0A3E30B2" w14:textId="2FB1A6E9"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49"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0EDEC74D" w14:textId="7DD921D8" w:rsidR="00854ADA" w:rsidRPr="000A2AFE" w:rsidRDefault="00854ADA" w:rsidP="00720DA6">
            <w:pPr>
              <w:pStyle w:val="ListParagraph"/>
              <w:numPr>
                <w:ilvl w:val="0"/>
                <w:numId w:val="134"/>
              </w:num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720DA6"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2012/27</w:t>
            </w:r>
          </w:p>
          <w:p w14:paraId="13909603" w14:textId="4CACE2B4" w:rsidR="00854ADA" w:rsidRPr="00FF386D" w:rsidRDefault="00854ADA" w:rsidP="00854ADA">
            <w:pPr>
              <w:numPr>
                <w:ilvl w:val="0"/>
                <w:numId w:val="13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lastRenderedPageBreak/>
              <w:t>Директива</w:t>
            </w:r>
            <w:r w:rsidR="00720DA6"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2018/2002</w:t>
            </w:r>
          </w:p>
        </w:tc>
      </w:tr>
      <w:tr w:rsidR="00854ADA" w:rsidRPr="00FF386D" w14:paraId="7FD23F72" w14:textId="77777777" w:rsidTr="0057310C">
        <w:trPr>
          <w:trHeight w:val="450"/>
        </w:trPr>
        <w:tc>
          <w:tcPr>
            <w:tcW w:w="3309" w:type="dxa"/>
            <w:vMerge/>
            <w:tcBorders>
              <w:top w:val="nil"/>
              <w:left w:val="single" w:sz="8" w:space="0" w:color="auto"/>
              <w:bottom w:val="single" w:sz="8" w:space="0" w:color="000000"/>
              <w:right w:val="single" w:sz="8" w:space="0" w:color="auto"/>
            </w:tcBorders>
            <w:vAlign w:val="center"/>
            <w:hideMark/>
          </w:tcPr>
          <w:p w14:paraId="6BA2746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9" w:type="dxa"/>
            <w:gridSpan w:val="3"/>
            <w:vMerge/>
            <w:tcBorders>
              <w:top w:val="single" w:sz="8" w:space="0" w:color="auto"/>
              <w:left w:val="single" w:sz="8" w:space="0" w:color="auto"/>
              <w:bottom w:val="single" w:sz="8" w:space="0" w:color="000000"/>
              <w:right w:val="single" w:sz="8" w:space="0" w:color="000000"/>
            </w:tcBorders>
            <w:vAlign w:val="center"/>
            <w:hideMark/>
          </w:tcPr>
          <w:p w14:paraId="5257728C" w14:textId="77777777" w:rsidR="00854ADA" w:rsidRPr="00FF386D" w:rsidRDefault="00854ADA" w:rsidP="00854ADA">
            <w:pPr>
              <w:numPr>
                <w:ilvl w:val="0"/>
                <w:numId w:val="13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48C86F20" w14:textId="77777777" w:rsidTr="0057310C">
        <w:trPr>
          <w:trHeight w:val="450"/>
        </w:trPr>
        <w:tc>
          <w:tcPr>
            <w:tcW w:w="3309" w:type="dxa"/>
            <w:vMerge/>
            <w:tcBorders>
              <w:top w:val="nil"/>
              <w:left w:val="single" w:sz="8" w:space="0" w:color="auto"/>
              <w:bottom w:val="single" w:sz="8" w:space="0" w:color="000000"/>
              <w:right w:val="single" w:sz="8" w:space="0" w:color="auto"/>
            </w:tcBorders>
            <w:vAlign w:val="center"/>
            <w:hideMark/>
          </w:tcPr>
          <w:p w14:paraId="3FD8E96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9" w:type="dxa"/>
            <w:gridSpan w:val="3"/>
            <w:vMerge/>
            <w:tcBorders>
              <w:top w:val="single" w:sz="8" w:space="0" w:color="auto"/>
              <w:left w:val="single" w:sz="8" w:space="0" w:color="auto"/>
              <w:bottom w:val="single" w:sz="8" w:space="0" w:color="000000"/>
              <w:right w:val="single" w:sz="8" w:space="0" w:color="000000"/>
            </w:tcBorders>
            <w:vAlign w:val="center"/>
            <w:hideMark/>
          </w:tcPr>
          <w:p w14:paraId="7F7F1152" w14:textId="77777777" w:rsidR="00854ADA" w:rsidRPr="00FF386D" w:rsidRDefault="00854ADA" w:rsidP="00854ADA">
            <w:pPr>
              <w:numPr>
                <w:ilvl w:val="0"/>
                <w:numId w:val="13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5CA7ED0D" w14:textId="77777777" w:rsidTr="0057310C">
        <w:trPr>
          <w:trHeight w:val="331"/>
        </w:trPr>
        <w:tc>
          <w:tcPr>
            <w:tcW w:w="3309" w:type="dxa"/>
            <w:tcBorders>
              <w:top w:val="nil"/>
              <w:left w:val="single" w:sz="8" w:space="0" w:color="auto"/>
              <w:bottom w:val="single" w:sz="8" w:space="0" w:color="auto"/>
              <w:right w:val="single" w:sz="8" w:space="0" w:color="auto"/>
            </w:tcBorders>
            <w:shd w:val="clear" w:color="000000" w:fill="244062"/>
            <w:vAlign w:val="center"/>
            <w:hideMark/>
          </w:tcPr>
          <w:p w14:paraId="4C5BEDA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7DB9D186" w14:textId="77777777" w:rsidR="00854ADA" w:rsidRPr="00FF386D" w:rsidRDefault="00854ADA" w:rsidP="00854ADA">
            <w:pPr>
              <w:numPr>
                <w:ilvl w:val="0"/>
                <w:numId w:val="13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4. НАПЕЕ </w:t>
            </w:r>
          </w:p>
        </w:tc>
      </w:tr>
      <w:tr w:rsidR="00854ADA" w:rsidRPr="00FF386D" w14:paraId="659B2689" w14:textId="77777777" w:rsidTr="0057310C">
        <w:trPr>
          <w:trHeight w:val="315"/>
        </w:trPr>
        <w:tc>
          <w:tcPr>
            <w:tcW w:w="3309" w:type="dxa"/>
            <w:tcBorders>
              <w:top w:val="nil"/>
              <w:left w:val="single" w:sz="8" w:space="0" w:color="auto"/>
              <w:bottom w:val="single" w:sz="8" w:space="0" w:color="auto"/>
              <w:right w:val="single" w:sz="8" w:space="0" w:color="auto"/>
            </w:tcBorders>
            <w:shd w:val="clear" w:color="000000" w:fill="244062"/>
            <w:vAlign w:val="center"/>
            <w:hideMark/>
          </w:tcPr>
          <w:p w14:paraId="313DF0C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304BC396" w14:textId="09A0FA6B"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1,5</w:t>
            </w:r>
            <w:r w:rsidR="00720DA6" w:rsidRPr="00FF386D">
              <w:rPr>
                <w:rFonts w:ascii="Calibri Light" w:eastAsia="Times New Roman" w:hAnsi="Calibri Light" w:cs="Calibri Light"/>
                <w:color w:val="000000"/>
                <w:sz w:val="20"/>
                <w:szCs w:val="20"/>
                <w:lang w:eastAsia="en-GB"/>
              </w:rPr>
              <w:t>96</w:t>
            </w:r>
            <w:r w:rsidRPr="00FF386D">
              <w:rPr>
                <w:rFonts w:ascii="Calibri Light" w:eastAsia="Times New Roman" w:hAnsi="Calibri Light" w:cs="Calibri Light"/>
                <w:color w:val="000000"/>
                <w:sz w:val="20"/>
                <w:szCs w:val="20"/>
                <w:lang w:eastAsia="en-GB"/>
              </w:rPr>
              <w:t xml:space="preserve"> милијарди</w:t>
            </w:r>
            <w:r w:rsidR="00720DA6" w:rsidRPr="00FF386D">
              <w:rPr>
                <w:rFonts w:ascii="Calibri Light" w:eastAsia="Times New Roman" w:hAnsi="Calibri Light" w:cs="Calibri Light"/>
                <w:color w:val="000000"/>
                <w:sz w:val="20"/>
                <w:szCs w:val="20"/>
                <w:lang w:eastAsia="en-GB"/>
              </w:rPr>
              <w:t xml:space="preserve"> </w:t>
            </w:r>
            <w:r w:rsidRPr="00FF386D">
              <w:rPr>
                <w:rFonts w:ascii="Calibri Light" w:eastAsia="Times New Roman" w:hAnsi="Calibri Light" w:cs="Calibri Light"/>
                <w:color w:val="000000"/>
                <w:sz w:val="20"/>
                <w:szCs w:val="20"/>
                <w:lang w:eastAsia="en-GB"/>
              </w:rPr>
              <w:t>евра</w:t>
            </w:r>
          </w:p>
        </w:tc>
      </w:tr>
      <w:tr w:rsidR="00854ADA" w:rsidRPr="00FF386D" w14:paraId="6C0A6F48" w14:textId="77777777" w:rsidTr="0057310C">
        <w:trPr>
          <w:trHeight w:val="315"/>
        </w:trPr>
        <w:tc>
          <w:tcPr>
            <w:tcW w:w="3309" w:type="dxa"/>
            <w:tcBorders>
              <w:top w:val="nil"/>
              <w:left w:val="single" w:sz="8" w:space="0" w:color="auto"/>
              <w:bottom w:val="single" w:sz="8" w:space="0" w:color="auto"/>
              <w:right w:val="single" w:sz="8" w:space="0" w:color="auto"/>
            </w:tcBorders>
            <w:shd w:val="clear" w:color="000000" w:fill="244062"/>
            <w:vAlign w:val="center"/>
            <w:hideMark/>
          </w:tcPr>
          <w:p w14:paraId="0C2235D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1777DA9D" w14:textId="0B3CEE36"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720DA6" w:rsidRPr="00FF386D">
              <w:rPr>
                <w:rFonts w:asciiTheme="majorHAnsi" w:eastAsia="Times New Roman" w:hAnsiTheme="majorHAnsi" w:cstheme="majorHAnsi"/>
                <w:color w:val="000000"/>
                <w:sz w:val="20"/>
                <w:szCs w:val="20"/>
                <w:lang w:eastAsia="en-GB"/>
              </w:rPr>
              <w:t>ска</w:t>
            </w:r>
            <w:r w:rsidRPr="00FF386D">
              <w:rPr>
                <w:rFonts w:asciiTheme="majorHAnsi" w:eastAsia="Times New Roman" w:hAnsiTheme="majorHAnsi" w:cstheme="majorHAnsi"/>
                <w:color w:val="000000"/>
                <w:sz w:val="20"/>
                <w:szCs w:val="20"/>
                <w:lang w:eastAsia="en-GB"/>
              </w:rPr>
              <w:t xml:space="preserve"> и сопствена средства</w:t>
            </w:r>
          </w:p>
        </w:tc>
      </w:tr>
    </w:tbl>
    <w:p w14:paraId="675C0A79"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2997"/>
        <w:gridCol w:w="1007"/>
        <w:gridCol w:w="909"/>
        <w:gridCol w:w="4575"/>
      </w:tblGrid>
      <w:tr w:rsidR="00854ADA" w:rsidRPr="00FF386D" w14:paraId="45B1AE1F" w14:textId="77777777" w:rsidTr="00720DA6">
        <w:trPr>
          <w:trHeight w:val="780"/>
        </w:trPr>
        <w:tc>
          <w:tcPr>
            <w:tcW w:w="2997"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510AC4C2"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252B2989"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МП_ЕЕ15</w:t>
            </w:r>
          </w:p>
        </w:tc>
        <w:tc>
          <w:tcPr>
            <w:tcW w:w="909" w:type="dxa"/>
            <w:tcBorders>
              <w:top w:val="single" w:sz="8" w:space="0" w:color="auto"/>
              <w:left w:val="nil"/>
              <w:bottom w:val="single" w:sz="8" w:space="0" w:color="auto"/>
              <w:right w:val="single" w:sz="8" w:space="0" w:color="auto"/>
            </w:tcBorders>
            <w:shd w:val="clear" w:color="000000" w:fill="244062"/>
            <w:vAlign w:val="center"/>
            <w:hideMark/>
          </w:tcPr>
          <w:p w14:paraId="03E5253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575" w:type="dxa"/>
            <w:tcBorders>
              <w:top w:val="single" w:sz="8" w:space="0" w:color="auto"/>
              <w:left w:val="nil"/>
              <w:bottom w:val="single" w:sz="8" w:space="0" w:color="auto"/>
              <w:right w:val="single" w:sz="8" w:space="0" w:color="auto"/>
            </w:tcBorders>
            <w:shd w:val="clear" w:color="auto" w:fill="E7E6E6" w:themeFill="background2"/>
            <w:vAlign w:val="center"/>
            <w:hideMark/>
          </w:tcPr>
          <w:p w14:paraId="08D09A07" w14:textId="3E45AB63" w:rsidR="00854ADA" w:rsidRPr="00FF386D" w:rsidRDefault="00854ADA" w:rsidP="00854ADA">
            <w:pPr>
              <w:spacing w:after="0" w:line="240" w:lineRule="auto"/>
              <w:rPr>
                <w:rFonts w:ascii="Calibri Light" w:eastAsia="Times New Roman" w:hAnsi="Calibri Light" w:cs="Calibri Light"/>
                <w:b/>
                <w:bCs/>
                <w:color w:val="000000"/>
                <w:sz w:val="20"/>
                <w:szCs w:val="20"/>
                <w:lang w:eastAsia="en-GB"/>
              </w:rPr>
            </w:pPr>
            <w:r w:rsidRPr="00FF386D">
              <w:rPr>
                <w:rFonts w:ascii="Calibri Light" w:hAnsi="Calibri Light"/>
                <w:b/>
                <w:sz w:val="20"/>
              </w:rPr>
              <w:t>П</w:t>
            </w:r>
            <w:r w:rsidR="00DE4B75" w:rsidRPr="00FF386D">
              <w:rPr>
                <w:rFonts w:ascii="Calibri Light" w:hAnsi="Calibri Light"/>
                <w:b/>
                <w:sz w:val="20"/>
              </w:rPr>
              <w:t>одстицање</w:t>
            </w:r>
            <w:r w:rsidRPr="00FF386D">
              <w:rPr>
                <w:rFonts w:ascii="Calibri Light" w:hAnsi="Calibri Light"/>
                <w:b/>
                <w:sz w:val="20"/>
              </w:rPr>
              <w:t xml:space="preserve"> промене модалитета у путничком и у теретном саобраћају – Омогућавање „мобилности као услуге” (</w:t>
            </w:r>
            <w:r w:rsidRPr="00FF386D">
              <w:rPr>
                <w:rFonts w:ascii="Calibri Light" w:hAnsi="Calibri Light"/>
                <w:b/>
                <w:i/>
                <w:iCs/>
                <w:sz w:val="20"/>
              </w:rPr>
              <w:t>MaaS</w:t>
            </w:r>
            <w:r w:rsidRPr="00FF386D">
              <w:rPr>
                <w:rFonts w:ascii="Calibri Light" w:hAnsi="Calibri Light"/>
                <w:b/>
                <w:sz w:val="20"/>
              </w:rPr>
              <w:t>)</w:t>
            </w:r>
          </w:p>
        </w:tc>
      </w:tr>
      <w:tr w:rsidR="00854ADA" w:rsidRPr="00FF386D" w14:paraId="7139D87F" w14:textId="77777777" w:rsidTr="00720DA6">
        <w:trPr>
          <w:trHeight w:val="585"/>
        </w:trPr>
        <w:tc>
          <w:tcPr>
            <w:tcW w:w="2997" w:type="dxa"/>
            <w:tcBorders>
              <w:top w:val="nil"/>
              <w:left w:val="single" w:sz="8" w:space="0" w:color="auto"/>
              <w:bottom w:val="single" w:sz="8" w:space="0" w:color="auto"/>
              <w:right w:val="nil"/>
            </w:tcBorders>
            <w:shd w:val="clear" w:color="000000" w:fill="244062"/>
            <w:vAlign w:val="center"/>
            <w:hideMark/>
          </w:tcPr>
          <w:p w14:paraId="4C71C23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491" w:type="dxa"/>
            <w:gridSpan w:val="3"/>
            <w:tcBorders>
              <w:top w:val="single" w:sz="8" w:space="0" w:color="auto"/>
              <w:left w:val="nil"/>
              <w:bottom w:val="single" w:sz="8" w:space="0" w:color="auto"/>
              <w:right w:val="single" w:sz="8" w:space="0" w:color="000000"/>
            </w:tcBorders>
            <w:shd w:val="clear" w:color="auto" w:fill="auto"/>
            <w:vAlign w:val="center"/>
            <w:hideMark/>
          </w:tcPr>
          <w:p w14:paraId="4334817C" w14:textId="7D0D9565" w:rsidR="00854ADA" w:rsidRPr="000A2AFE" w:rsidRDefault="00720DA6"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Примена</w:t>
            </w:r>
            <w:r w:rsidR="00854ADA" w:rsidRPr="00FF386D">
              <w:rPr>
                <w:rFonts w:ascii="Calibri Light" w:hAnsi="Calibri Light"/>
                <w:sz w:val="20"/>
              </w:rPr>
              <w:t xml:space="preserve"> следећих чланова Директиве </w:t>
            </w:r>
            <w:r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2018/2002</w:t>
            </w:r>
            <w:r w:rsidRPr="00FF386D">
              <w:rPr>
                <w:rFonts w:ascii="Calibri Light" w:hAnsi="Calibri Light"/>
                <w:sz w:val="20"/>
              </w:rPr>
              <w:t>, и то</w:t>
            </w:r>
            <w:r w:rsidR="00854ADA" w:rsidRPr="000A2AFE">
              <w:rPr>
                <w:rFonts w:ascii="Calibri Light" w:eastAsia="Times New Roman" w:hAnsi="Calibri Light" w:cs="Calibri Light"/>
                <w:color w:val="000000"/>
                <w:sz w:val="20"/>
                <w:szCs w:val="20"/>
                <w:lang w:eastAsia="en-GB"/>
              </w:rPr>
              <w:t>:</w:t>
            </w:r>
          </w:p>
          <w:p w14:paraId="50585327" w14:textId="7BBC06E7" w:rsidR="00854ADA" w:rsidRPr="000A2AFE" w:rsidRDefault="00854ADA" w:rsidP="00854ADA">
            <w:pPr>
              <w:numPr>
                <w:ilvl w:val="0"/>
                <w:numId w:val="2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370AE4"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3</w:t>
            </w:r>
          </w:p>
          <w:p w14:paraId="677AE897" w14:textId="7761B50A" w:rsidR="00854ADA" w:rsidRPr="00FF386D" w:rsidRDefault="00854ADA" w:rsidP="00854ADA">
            <w:pPr>
              <w:numPr>
                <w:ilvl w:val="0"/>
                <w:numId w:val="133"/>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370AE4"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7</w:t>
            </w:r>
          </w:p>
        </w:tc>
      </w:tr>
      <w:tr w:rsidR="00854ADA" w:rsidRPr="00FF386D" w14:paraId="3CE123F4" w14:textId="77777777" w:rsidTr="00720DA6">
        <w:trPr>
          <w:trHeight w:val="315"/>
        </w:trPr>
        <w:tc>
          <w:tcPr>
            <w:tcW w:w="2997" w:type="dxa"/>
            <w:tcBorders>
              <w:top w:val="nil"/>
              <w:left w:val="single" w:sz="8" w:space="0" w:color="auto"/>
              <w:bottom w:val="single" w:sz="8" w:space="0" w:color="auto"/>
              <w:right w:val="single" w:sz="8" w:space="0" w:color="auto"/>
            </w:tcBorders>
            <w:shd w:val="clear" w:color="000000" w:fill="244062"/>
            <w:vAlign w:val="center"/>
            <w:hideMark/>
          </w:tcPr>
          <w:p w14:paraId="533372B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491" w:type="dxa"/>
            <w:gridSpan w:val="3"/>
            <w:tcBorders>
              <w:top w:val="single" w:sz="8" w:space="0" w:color="auto"/>
              <w:left w:val="nil"/>
              <w:bottom w:val="single" w:sz="8" w:space="0" w:color="auto"/>
              <w:right w:val="single" w:sz="8" w:space="0" w:color="000000"/>
            </w:tcBorders>
            <w:shd w:val="clear" w:color="auto" w:fill="auto"/>
            <w:vAlign w:val="center"/>
            <w:hideMark/>
          </w:tcPr>
          <w:p w14:paraId="77C432E3"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Допринос МП_ЕЕ10, МП_ЕЕ12 и МП_ЕЕ14</w:t>
            </w:r>
          </w:p>
        </w:tc>
      </w:tr>
      <w:tr w:rsidR="00854ADA" w:rsidRPr="00FF386D" w14:paraId="1658EFF2" w14:textId="77777777" w:rsidTr="00720DA6">
        <w:trPr>
          <w:trHeight w:val="2295"/>
        </w:trPr>
        <w:tc>
          <w:tcPr>
            <w:tcW w:w="2997" w:type="dxa"/>
            <w:tcBorders>
              <w:top w:val="nil"/>
              <w:left w:val="single" w:sz="8" w:space="0" w:color="auto"/>
              <w:bottom w:val="single" w:sz="8" w:space="0" w:color="auto"/>
              <w:right w:val="single" w:sz="8" w:space="0" w:color="auto"/>
            </w:tcBorders>
            <w:shd w:val="clear" w:color="000000" w:fill="244062"/>
            <w:vAlign w:val="center"/>
            <w:hideMark/>
          </w:tcPr>
          <w:p w14:paraId="242D1A4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491" w:type="dxa"/>
            <w:gridSpan w:val="3"/>
            <w:tcBorders>
              <w:top w:val="single" w:sz="8" w:space="0" w:color="auto"/>
              <w:left w:val="nil"/>
              <w:bottom w:val="single" w:sz="8" w:space="0" w:color="auto"/>
              <w:right w:val="single" w:sz="8" w:space="0" w:color="000000"/>
            </w:tcBorders>
            <w:shd w:val="clear" w:color="auto" w:fill="auto"/>
            <w:vAlign w:val="center"/>
            <w:hideMark/>
          </w:tcPr>
          <w:p w14:paraId="715649C5" w14:textId="631D9861"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МП_ЕЕ15 ће предвидети развој </w:t>
            </w:r>
            <w:r w:rsidR="00720DA6" w:rsidRPr="00FF386D">
              <w:rPr>
                <w:rFonts w:ascii="Calibri Light" w:hAnsi="Calibri Light"/>
                <w:sz w:val="20"/>
              </w:rPr>
              <w:t>свеобухватног</w:t>
            </w:r>
            <w:r w:rsidRPr="00FF386D">
              <w:rPr>
                <w:rFonts w:ascii="Calibri Light" w:hAnsi="Calibri Light"/>
                <w:sz w:val="20"/>
              </w:rPr>
              <w:t xml:space="preserve"> оквира за промовисање промене модалитета у путничком и у теретном саобраћају. Биће </w:t>
            </w:r>
            <w:r w:rsidR="003E328C" w:rsidRPr="00FF386D">
              <w:rPr>
                <w:rFonts w:ascii="Calibri Light" w:hAnsi="Calibri Light"/>
                <w:sz w:val="20"/>
              </w:rPr>
              <w:t>донет</w:t>
            </w:r>
            <w:r w:rsidRPr="00FF386D">
              <w:rPr>
                <w:rFonts w:ascii="Calibri Light" w:hAnsi="Calibri Light"/>
                <w:sz w:val="20"/>
              </w:rPr>
              <w:t xml:space="preserve"> наменски акциони план који ће олакшати примену интегрисаних мера за промену модалитета саобраћаја и омогући</w:t>
            </w:r>
            <w:r w:rsidR="00370AE4" w:rsidRPr="00FF386D">
              <w:rPr>
                <w:rFonts w:ascii="Calibri Light" w:hAnsi="Calibri Light"/>
                <w:sz w:val="20"/>
              </w:rPr>
              <w:t>ти</w:t>
            </w:r>
            <w:r w:rsidRPr="00FF386D">
              <w:rPr>
                <w:rFonts w:ascii="Calibri Light" w:hAnsi="Calibri Light"/>
                <w:sz w:val="20"/>
              </w:rPr>
              <w:t xml:space="preserve"> „Мобилност као услугу” (</w:t>
            </w:r>
            <w:r w:rsidRPr="00FF386D">
              <w:rPr>
                <w:rFonts w:ascii="Calibri Light" w:hAnsi="Calibri Light"/>
                <w:i/>
                <w:iCs/>
                <w:sz w:val="20"/>
              </w:rPr>
              <w:t>MaaS</w:t>
            </w:r>
            <w:r w:rsidRPr="00FF386D">
              <w:rPr>
                <w:rFonts w:ascii="Calibri Light" w:hAnsi="Calibri Light"/>
                <w:sz w:val="20"/>
              </w:rPr>
              <w:t xml:space="preserve">) </w:t>
            </w:r>
            <w:r w:rsidR="00370AE4" w:rsidRPr="00FF386D">
              <w:rPr>
                <w:rFonts w:ascii="Calibri Light" w:hAnsi="Calibri Light"/>
                <w:sz w:val="20"/>
              </w:rPr>
              <w:t>користећи</w:t>
            </w:r>
            <w:r w:rsidRPr="00FF386D">
              <w:rPr>
                <w:rFonts w:ascii="Calibri Light" w:hAnsi="Calibri Light"/>
                <w:sz w:val="20"/>
              </w:rPr>
              <w:t xml:space="preserve"> доступн</w:t>
            </w:r>
            <w:r w:rsidR="00370AE4" w:rsidRPr="00FF386D">
              <w:rPr>
                <w:rFonts w:ascii="Calibri Light" w:hAnsi="Calibri Light"/>
                <w:sz w:val="20"/>
              </w:rPr>
              <w:t>е</w:t>
            </w:r>
            <w:r w:rsidRPr="00FF386D">
              <w:rPr>
                <w:rFonts w:ascii="Calibri Light" w:hAnsi="Calibri Light"/>
                <w:sz w:val="20"/>
              </w:rPr>
              <w:t xml:space="preserve"> податк</w:t>
            </w:r>
            <w:r w:rsidR="00370AE4" w:rsidRPr="00FF386D">
              <w:rPr>
                <w:rFonts w:ascii="Calibri Light" w:hAnsi="Calibri Light"/>
                <w:sz w:val="20"/>
              </w:rPr>
              <w:t>е,</w:t>
            </w:r>
            <w:r w:rsidRPr="00FF386D">
              <w:rPr>
                <w:rFonts w:ascii="Calibri Light" w:hAnsi="Calibri Light"/>
                <w:sz w:val="20"/>
              </w:rPr>
              <w:t xml:space="preserve"> информацион</w:t>
            </w:r>
            <w:r w:rsidR="00370AE4" w:rsidRPr="00FF386D">
              <w:rPr>
                <w:rFonts w:ascii="Calibri Light" w:hAnsi="Calibri Light"/>
                <w:sz w:val="20"/>
              </w:rPr>
              <w:t>е</w:t>
            </w:r>
            <w:r w:rsidRPr="00FF386D">
              <w:rPr>
                <w:rFonts w:ascii="Calibri Light" w:hAnsi="Calibri Light"/>
                <w:sz w:val="20"/>
              </w:rPr>
              <w:t xml:space="preserve"> и комуникацион</w:t>
            </w:r>
            <w:r w:rsidR="00370AE4" w:rsidRPr="00FF386D">
              <w:rPr>
                <w:rFonts w:ascii="Calibri Light" w:hAnsi="Calibri Light"/>
                <w:sz w:val="20"/>
              </w:rPr>
              <w:t>е</w:t>
            </w:r>
            <w:r w:rsidRPr="00FF386D">
              <w:rPr>
                <w:rFonts w:ascii="Calibri Light" w:hAnsi="Calibri Light"/>
                <w:sz w:val="20"/>
              </w:rPr>
              <w:t xml:space="preserve"> технологиј</w:t>
            </w:r>
            <w:r w:rsidR="00370AE4" w:rsidRPr="00FF386D">
              <w:rPr>
                <w:rFonts w:ascii="Calibri Light" w:hAnsi="Calibri Light"/>
                <w:sz w:val="20"/>
              </w:rPr>
              <w:t>е</w:t>
            </w:r>
            <w:r w:rsidRPr="00FF386D">
              <w:rPr>
                <w:rFonts w:ascii="Calibri Light" w:hAnsi="Calibri Light"/>
                <w:sz w:val="20"/>
              </w:rPr>
              <w:t xml:space="preserve"> и вештачк</w:t>
            </w:r>
            <w:r w:rsidR="00370AE4" w:rsidRPr="00FF386D">
              <w:rPr>
                <w:rFonts w:ascii="Calibri Light" w:hAnsi="Calibri Light"/>
                <w:sz w:val="20"/>
              </w:rPr>
              <w:t>у</w:t>
            </w:r>
            <w:r w:rsidRPr="00FF386D">
              <w:rPr>
                <w:rFonts w:ascii="Calibri Light" w:hAnsi="Calibri Light"/>
                <w:sz w:val="20"/>
              </w:rPr>
              <w:t xml:space="preserve"> интелигенциј</w:t>
            </w:r>
            <w:r w:rsidR="00370AE4" w:rsidRPr="00FF386D">
              <w:rPr>
                <w:rFonts w:ascii="Calibri Light" w:hAnsi="Calibri Light"/>
                <w:sz w:val="20"/>
              </w:rPr>
              <w:t>у</w:t>
            </w:r>
            <w:r w:rsidRPr="00FF386D">
              <w:rPr>
                <w:rFonts w:ascii="Calibri Light" w:hAnsi="Calibri Light"/>
                <w:sz w:val="20"/>
              </w:rPr>
              <w:t xml:space="preserve"> за паметнију мобилност. Поред тога, биће спроведене мере за значајно повећање удела бициклиста и побољшање услова </w:t>
            </w:r>
            <w:r w:rsidR="00370AE4" w:rsidRPr="00FF386D">
              <w:rPr>
                <w:rFonts w:ascii="Calibri Light" w:hAnsi="Calibri Light"/>
                <w:sz w:val="20"/>
              </w:rPr>
              <w:t>пешачења</w:t>
            </w:r>
            <w:r w:rsidRPr="00FF386D">
              <w:rPr>
                <w:rFonts w:ascii="Calibri Light" w:hAnsi="Calibri Light"/>
                <w:sz w:val="20"/>
              </w:rPr>
              <w:t>, укључујући развој потребне инфраструктуре. Коначно, промовисаће се и пружање услуга заједничког превоза аутомобилом и дељења аутомобила</w:t>
            </w:r>
            <w:r w:rsidRPr="000A2AFE">
              <w:rPr>
                <w:rFonts w:ascii="Calibri Light" w:eastAsia="Times New Roman" w:hAnsi="Calibri Light" w:cs="Calibri Light"/>
                <w:color w:val="000000"/>
                <w:sz w:val="20"/>
                <w:szCs w:val="20"/>
                <w:lang w:eastAsia="en-GB"/>
              </w:rPr>
              <w:t>.</w:t>
            </w:r>
          </w:p>
        </w:tc>
      </w:tr>
      <w:tr w:rsidR="00854ADA" w:rsidRPr="00FF386D" w14:paraId="44419AC0" w14:textId="77777777" w:rsidTr="00720DA6">
        <w:trPr>
          <w:trHeight w:val="315"/>
        </w:trPr>
        <w:tc>
          <w:tcPr>
            <w:tcW w:w="2997" w:type="dxa"/>
            <w:tcBorders>
              <w:top w:val="nil"/>
              <w:left w:val="single" w:sz="8" w:space="0" w:color="auto"/>
              <w:bottom w:val="single" w:sz="8" w:space="0" w:color="auto"/>
              <w:right w:val="single" w:sz="8" w:space="0" w:color="auto"/>
            </w:tcBorders>
            <w:shd w:val="clear" w:color="000000" w:fill="244062"/>
            <w:vAlign w:val="center"/>
            <w:hideMark/>
          </w:tcPr>
          <w:p w14:paraId="6CF9E79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491" w:type="dxa"/>
            <w:gridSpan w:val="3"/>
            <w:tcBorders>
              <w:top w:val="single" w:sz="8" w:space="0" w:color="auto"/>
              <w:left w:val="nil"/>
              <w:bottom w:val="single" w:sz="8" w:space="0" w:color="auto"/>
              <w:right w:val="single" w:sz="8" w:space="0" w:color="000000"/>
            </w:tcBorders>
            <w:shd w:val="clear" w:color="auto" w:fill="auto"/>
            <w:vAlign w:val="center"/>
            <w:hideMark/>
          </w:tcPr>
          <w:p w14:paraId="4A373D90" w14:textId="2D132988"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720DA6" w:rsidRPr="00FF386D">
              <w:rPr>
                <w:rFonts w:ascii="Calibri Light" w:hAnsi="Calibri Light"/>
                <w:sz w:val="20"/>
              </w:rPr>
              <w:t>5</w:t>
            </w:r>
            <w:r w:rsidRPr="00FF386D">
              <w:rPr>
                <w:rFonts w:ascii="Calibri Light" w:hAnsi="Calibri Light"/>
                <w:sz w:val="20"/>
              </w:rPr>
              <w:t>-2030.</w:t>
            </w:r>
          </w:p>
        </w:tc>
      </w:tr>
      <w:tr w:rsidR="00854ADA" w:rsidRPr="00FF386D" w14:paraId="70FFB118" w14:textId="77777777" w:rsidTr="00720DA6">
        <w:trPr>
          <w:trHeight w:val="315"/>
        </w:trPr>
        <w:tc>
          <w:tcPr>
            <w:tcW w:w="2997" w:type="dxa"/>
            <w:tcBorders>
              <w:top w:val="nil"/>
              <w:left w:val="single" w:sz="8" w:space="0" w:color="auto"/>
              <w:bottom w:val="single" w:sz="8" w:space="0" w:color="auto"/>
              <w:right w:val="single" w:sz="8" w:space="0" w:color="auto"/>
            </w:tcBorders>
            <w:shd w:val="clear" w:color="000000" w:fill="244062"/>
            <w:vAlign w:val="center"/>
            <w:hideMark/>
          </w:tcPr>
          <w:p w14:paraId="23DA7EA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491" w:type="dxa"/>
            <w:gridSpan w:val="3"/>
            <w:tcBorders>
              <w:top w:val="single" w:sz="8" w:space="0" w:color="auto"/>
              <w:left w:val="nil"/>
              <w:bottom w:val="single" w:sz="8" w:space="0" w:color="auto"/>
              <w:right w:val="single" w:sz="8" w:space="0" w:color="000000"/>
            </w:tcBorders>
            <w:shd w:val="clear" w:color="auto" w:fill="auto"/>
            <w:vAlign w:val="center"/>
            <w:hideMark/>
          </w:tcPr>
          <w:p w14:paraId="1038E040"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Реформа</w:t>
            </w:r>
          </w:p>
        </w:tc>
      </w:tr>
      <w:tr w:rsidR="00854ADA" w:rsidRPr="00FF386D" w14:paraId="50346257" w14:textId="77777777" w:rsidTr="00720DA6">
        <w:trPr>
          <w:trHeight w:val="315"/>
        </w:trPr>
        <w:tc>
          <w:tcPr>
            <w:tcW w:w="2997" w:type="dxa"/>
            <w:tcBorders>
              <w:top w:val="nil"/>
              <w:left w:val="single" w:sz="8" w:space="0" w:color="auto"/>
              <w:bottom w:val="single" w:sz="8" w:space="0" w:color="auto"/>
              <w:right w:val="single" w:sz="8" w:space="0" w:color="auto"/>
            </w:tcBorders>
            <w:shd w:val="clear" w:color="000000" w:fill="244062"/>
            <w:vAlign w:val="center"/>
            <w:hideMark/>
          </w:tcPr>
          <w:p w14:paraId="1C39C84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491" w:type="dxa"/>
            <w:gridSpan w:val="3"/>
            <w:tcBorders>
              <w:top w:val="single" w:sz="8" w:space="0" w:color="auto"/>
              <w:left w:val="nil"/>
              <w:bottom w:val="single" w:sz="8" w:space="0" w:color="auto"/>
              <w:right w:val="single" w:sz="8" w:space="0" w:color="000000"/>
            </w:tcBorders>
            <w:shd w:val="clear" w:color="auto" w:fill="auto"/>
            <w:vAlign w:val="center"/>
            <w:hideMark/>
          </w:tcPr>
          <w:p w14:paraId="6FC413B1"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Саобраћај</w:t>
            </w:r>
          </w:p>
        </w:tc>
      </w:tr>
      <w:tr w:rsidR="00854ADA" w:rsidRPr="00FF386D" w14:paraId="1B354CB1" w14:textId="77777777" w:rsidTr="00720DA6">
        <w:trPr>
          <w:trHeight w:val="315"/>
        </w:trPr>
        <w:tc>
          <w:tcPr>
            <w:tcW w:w="2997" w:type="dxa"/>
            <w:tcBorders>
              <w:top w:val="nil"/>
              <w:left w:val="single" w:sz="8" w:space="0" w:color="auto"/>
              <w:bottom w:val="single" w:sz="8" w:space="0" w:color="auto"/>
              <w:right w:val="single" w:sz="8" w:space="0" w:color="auto"/>
            </w:tcBorders>
            <w:shd w:val="clear" w:color="000000" w:fill="244062"/>
            <w:vAlign w:val="center"/>
            <w:hideMark/>
          </w:tcPr>
          <w:p w14:paraId="04AD72F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491" w:type="dxa"/>
            <w:gridSpan w:val="3"/>
            <w:tcBorders>
              <w:top w:val="single" w:sz="8" w:space="0" w:color="auto"/>
              <w:left w:val="nil"/>
              <w:bottom w:val="single" w:sz="8" w:space="0" w:color="auto"/>
              <w:right w:val="single" w:sz="8" w:space="0" w:color="000000"/>
            </w:tcBorders>
            <w:shd w:val="clear" w:color="auto" w:fill="auto"/>
            <w:vAlign w:val="center"/>
            <w:hideMark/>
          </w:tcPr>
          <w:p w14:paraId="0D1FE232" w14:textId="1DE194BB" w:rsidR="00854ADA" w:rsidRPr="000A2AFE" w:rsidRDefault="00E462ED" w:rsidP="000A2AFE">
            <w:pPr>
              <w:pStyle w:val="ListParagraph"/>
              <w:numPr>
                <w:ilvl w:val="0"/>
                <w:numId w:val="316"/>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37A838A5" w14:textId="77777777" w:rsidTr="00720DA6">
        <w:trPr>
          <w:trHeight w:val="315"/>
        </w:trPr>
        <w:tc>
          <w:tcPr>
            <w:tcW w:w="2997" w:type="dxa"/>
            <w:tcBorders>
              <w:top w:val="nil"/>
              <w:left w:val="single" w:sz="8" w:space="0" w:color="auto"/>
              <w:bottom w:val="single" w:sz="8" w:space="0" w:color="auto"/>
              <w:right w:val="nil"/>
            </w:tcBorders>
            <w:shd w:val="clear" w:color="000000" w:fill="244062"/>
            <w:vAlign w:val="center"/>
            <w:hideMark/>
          </w:tcPr>
          <w:p w14:paraId="66CBE27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491" w:type="dxa"/>
            <w:gridSpan w:val="3"/>
            <w:tcBorders>
              <w:top w:val="single" w:sz="8" w:space="0" w:color="auto"/>
              <w:left w:val="nil"/>
              <w:bottom w:val="single" w:sz="8" w:space="0" w:color="auto"/>
              <w:right w:val="single" w:sz="8" w:space="0" w:color="000000"/>
            </w:tcBorders>
            <w:shd w:val="clear" w:color="auto" w:fill="auto"/>
            <w:vAlign w:val="center"/>
            <w:hideMark/>
          </w:tcPr>
          <w:p w14:paraId="36BACF1C" w14:textId="6E16A8BE" w:rsidR="00854ADA" w:rsidRPr="000A2AFE" w:rsidRDefault="006A2B98" w:rsidP="000A2AFE">
            <w:pPr>
              <w:pStyle w:val="ListParagraph"/>
              <w:numPr>
                <w:ilvl w:val="0"/>
                <w:numId w:val="133"/>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58D32D6C" w14:textId="77777777" w:rsidTr="00720DA6">
        <w:trPr>
          <w:trHeight w:val="315"/>
        </w:trPr>
        <w:tc>
          <w:tcPr>
            <w:tcW w:w="2997" w:type="dxa"/>
            <w:tcBorders>
              <w:top w:val="nil"/>
              <w:left w:val="single" w:sz="8" w:space="0" w:color="auto"/>
              <w:bottom w:val="single" w:sz="8" w:space="0" w:color="auto"/>
              <w:right w:val="nil"/>
            </w:tcBorders>
            <w:shd w:val="clear" w:color="000000" w:fill="244062"/>
            <w:vAlign w:val="center"/>
            <w:hideMark/>
          </w:tcPr>
          <w:p w14:paraId="4B91D2C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491" w:type="dxa"/>
            <w:gridSpan w:val="3"/>
            <w:tcBorders>
              <w:top w:val="single" w:sz="8" w:space="0" w:color="auto"/>
              <w:left w:val="nil"/>
              <w:bottom w:val="single" w:sz="8" w:space="0" w:color="auto"/>
              <w:right w:val="single" w:sz="8" w:space="0" w:color="000000"/>
            </w:tcBorders>
            <w:shd w:val="clear" w:color="auto" w:fill="auto"/>
            <w:vAlign w:val="center"/>
            <w:hideMark/>
          </w:tcPr>
          <w:p w14:paraId="344F1486" w14:textId="77777777" w:rsidR="00854ADA" w:rsidRPr="000A2AFE" w:rsidRDefault="00854ADA" w:rsidP="000A2AFE">
            <w:pPr>
              <w:pStyle w:val="ListParagraph"/>
              <w:numPr>
                <w:ilvl w:val="0"/>
                <w:numId w:val="133"/>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Обухваћени путнички и теретни саобраћај (путнички km и тона-km)</w:t>
            </w:r>
          </w:p>
        </w:tc>
      </w:tr>
      <w:tr w:rsidR="00854ADA" w:rsidRPr="00FF386D" w14:paraId="111ED26A" w14:textId="77777777" w:rsidTr="00720DA6">
        <w:trPr>
          <w:trHeight w:val="351"/>
        </w:trPr>
        <w:tc>
          <w:tcPr>
            <w:tcW w:w="2997" w:type="dxa"/>
            <w:tcBorders>
              <w:top w:val="nil"/>
              <w:left w:val="single" w:sz="8" w:space="0" w:color="auto"/>
              <w:bottom w:val="single" w:sz="8" w:space="0" w:color="auto"/>
              <w:right w:val="single" w:sz="8" w:space="0" w:color="auto"/>
            </w:tcBorders>
            <w:shd w:val="clear" w:color="000000" w:fill="244062"/>
            <w:vAlign w:val="center"/>
            <w:hideMark/>
          </w:tcPr>
          <w:p w14:paraId="388272C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491" w:type="dxa"/>
            <w:gridSpan w:val="3"/>
            <w:tcBorders>
              <w:top w:val="single" w:sz="8" w:space="0" w:color="auto"/>
              <w:left w:val="nil"/>
              <w:bottom w:val="single" w:sz="8" w:space="0" w:color="auto"/>
              <w:right w:val="single" w:sz="8" w:space="0" w:color="000000"/>
            </w:tcBorders>
            <w:shd w:val="clear" w:color="auto" w:fill="auto"/>
            <w:vAlign w:val="center"/>
            <w:hideMark/>
          </w:tcPr>
          <w:p w14:paraId="0A37ABC6" w14:textId="72137BAF" w:rsidR="006A2B98" w:rsidRPr="006A2B98" w:rsidRDefault="006A2B98" w:rsidP="006A2B98">
            <w:pPr>
              <w:numPr>
                <w:ilvl w:val="0"/>
                <w:numId w:val="135"/>
              </w:numPr>
              <w:spacing w:after="0" w:line="240" w:lineRule="auto"/>
              <w:contextualSpacing/>
              <w:rPr>
                <w:rFonts w:ascii="Calibri Light" w:eastAsia="Times New Roman" w:hAnsi="Calibri Light" w:cs="Calibri Light"/>
                <w:color w:val="000000"/>
                <w:sz w:val="20"/>
                <w:szCs w:val="20"/>
                <w:lang w:eastAsia="en-GB"/>
              </w:rPr>
            </w:pPr>
            <w:r w:rsidRPr="006A2B98">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6A2B98">
              <w:rPr>
                <w:rFonts w:ascii="Calibri Light" w:eastAsia="Times New Roman" w:hAnsi="Calibri Light" w:cs="Calibri Light"/>
                <w:i/>
                <w:iCs/>
                <w:color w:val="000000"/>
                <w:sz w:val="20"/>
                <w:szCs w:val="20"/>
                <w:lang w:val="en-US" w:eastAsia="en-GB"/>
              </w:rPr>
              <w:t>GHG</w:t>
            </w:r>
            <w:r w:rsidRPr="006A2B98">
              <w:rPr>
                <w:rFonts w:ascii="Calibri Light" w:eastAsia="Times New Roman" w:hAnsi="Calibri Light" w:cs="Calibri Light"/>
                <w:color w:val="000000"/>
                <w:sz w:val="20"/>
                <w:szCs w:val="20"/>
                <w:lang w:eastAsia="en-GB"/>
              </w:rPr>
              <w:t>)</w:t>
            </w:r>
          </w:p>
          <w:p w14:paraId="7F7A47BB" w14:textId="157B9DB2" w:rsidR="00854ADA" w:rsidRPr="00FF386D" w:rsidRDefault="006A2B98" w:rsidP="006A2B98">
            <w:pPr>
              <w:numPr>
                <w:ilvl w:val="0"/>
                <w:numId w:val="135"/>
              </w:numPr>
              <w:spacing w:after="0" w:line="240" w:lineRule="auto"/>
              <w:contextualSpacing/>
              <w:rPr>
                <w:rFonts w:ascii="Calibri Light" w:eastAsia="Times New Roman" w:hAnsi="Calibri Light" w:cs="Calibri Light"/>
                <w:color w:val="000000"/>
                <w:sz w:val="20"/>
                <w:szCs w:val="20"/>
                <w:lang w:eastAsia="en-GB"/>
              </w:rPr>
            </w:pPr>
            <w:r w:rsidRPr="006A2B98">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F83F24" w:rsidRPr="00FF386D" w14:paraId="27CBE4EC" w14:textId="77777777" w:rsidTr="00720DA6">
        <w:trPr>
          <w:trHeight w:val="351"/>
        </w:trPr>
        <w:tc>
          <w:tcPr>
            <w:tcW w:w="2997" w:type="dxa"/>
            <w:tcBorders>
              <w:top w:val="nil"/>
              <w:left w:val="single" w:sz="8" w:space="0" w:color="auto"/>
              <w:bottom w:val="single" w:sz="8" w:space="0" w:color="auto"/>
              <w:right w:val="single" w:sz="8" w:space="0" w:color="auto"/>
            </w:tcBorders>
            <w:shd w:val="clear" w:color="000000" w:fill="244062"/>
            <w:vAlign w:val="center"/>
          </w:tcPr>
          <w:p w14:paraId="63A10C20" w14:textId="00BC05E9" w:rsidR="00F83F24" w:rsidRPr="00FF386D" w:rsidRDefault="00F83F24" w:rsidP="00854ADA">
            <w:pPr>
              <w:spacing w:after="0" w:line="240" w:lineRule="auto"/>
              <w:rPr>
                <w:rFonts w:asciiTheme="majorHAnsi" w:hAnsiTheme="majorHAnsi" w:cstheme="majorHAnsi"/>
                <w:b/>
                <w:bCs/>
                <w:sz w:val="20"/>
                <w:szCs w:val="20"/>
              </w:rPr>
            </w:pPr>
            <w:r w:rsidRPr="00F83F24">
              <w:rPr>
                <w:rFonts w:asciiTheme="majorHAnsi" w:hAnsiTheme="majorHAnsi" w:cstheme="majorHAnsi"/>
                <w:b/>
                <w:bCs/>
                <w:sz w:val="20"/>
                <w:szCs w:val="20"/>
              </w:rPr>
              <w:t>Политике Уније која су резултирале имплементацијом ове МП</w:t>
            </w:r>
          </w:p>
        </w:tc>
        <w:tc>
          <w:tcPr>
            <w:tcW w:w="6491" w:type="dxa"/>
            <w:gridSpan w:val="3"/>
            <w:tcBorders>
              <w:top w:val="single" w:sz="8" w:space="0" w:color="auto"/>
              <w:left w:val="nil"/>
              <w:bottom w:val="single" w:sz="8" w:space="0" w:color="auto"/>
              <w:right w:val="single" w:sz="8" w:space="0" w:color="000000"/>
            </w:tcBorders>
            <w:shd w:val="clear" w:color="auto" w:fill="auto"/>
            <w:vAlign w:val="center"/>
          </w:tcPr>
          <w:p w14:paraId="3503363F" w14:textId="77777777" w:rsidR="00F83F24" w:rsidRPr="00F83F24" w:rsidRDefault="00F83F24" w:rsidP="00F83F24">
            <w:pPr>
              <w:numPr>
                <w:ilvl w:val="0"/>
                <w:numId w:val="135"/>
              </w:numPr>
              <w:spacing w:after="0" w:line="240" w:lineRule="auto"/>
              <w:contextualSpacing/>
              <w:rPr>
                <w:rFonts w:ascii="Calibri Light" w:eastAsia="Times New Roman" w:hAnsi="Calibri Light" w:cs="Calibri Light"/>
                <w:color w:val="000000"/>
                <w:sz w:val="20"/>
                <w:szCs w:val="20"/>
                <w:lang w:eastAsia="en-GB"/>
              </w:rPr>
            </w:pPr>
            <w:r w:rsidRPr="00F83F24">
              <w:rPr>
                <w:rFonts w:ascii="Calibri Light" w:eastAsia="Times New Roman" w:hAnsi="Calibri Light" w:cs="Calibri Light"/>
                <w:color w:val="000000"/>
                <w:sz w:val="20"/>
                <w:szCs w:val="20"/>
                <w:lang w:eastAsia="en-GB"/>
              </w:rPr>
              <w:t>Директива (ЕУ) 2012/27</w:t>
            </w:r>
          </w:p>
          <w:p w14:paraId="345B25F5" w14:textId="2040EDEC" w:rsidR="00F83F24" w:rsidRPr="00F83F24" w:rsidRDefault="00F83F24" w:rsidP="00F83F24">
            <w:pPr>
              <w:numPr>
                <w:ilvl w:val="0"/>
                <w:numId w:val="135"/>
              </w:numPr>
              <w:spacing w:after="0" w:line="240" w:lineRule="auto"/>
              <w:contextualSpacing/>
              <w:rPr>
                <w:rFonts w:ascii="Calibri Light" w:eastAsia="Times New Roman" w:hAnsi="Calibri Light" w:cs="Calibri Light"/>
                <w:color w:val="000000"/>
                <w:sz w:val="20"/>
                <w:szCs w:val="20"/>
                <w:lang w:eastAsia="en-GB"/>
              </w:rPr>
            </w:pPr>
            <w:r w:rsidRPr="00F83F24">
              <w:rPr>
                <w:rFonts w:ascii="Calibri Light" w:eastAsia="Times New Roman" w:hAnsi="Calibri Light" w:cs="Calibri Light"/>
                <w:color w:val="000000"/>
                <w:sz w:val="20"/>
                <w:szCs w:val="20"/>
                <w:lang w:eastAsia="en-GB"/>
              </w:rPr>
              <w:t>Директива (ЕУ) 2018/2002</w:t>
            </w:r>
          </w:p>
        </w:tc>
      </w:tr>
      <w:tr w:rsidR="00854ADA" w:rsidRPr="00FF386D" w14:paraId="6C8E7DD7" w14:textId="77777777" w:rsidTr="00720DA6">
        <w:trPr>
          <w:trHeight w:val="450"/>
        </w:trPr>
        <w:tc>
          <w:tcPr>
            <w:tcW w:w="2997"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1237A08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491"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300DB7D1" w14:textId="0D294F70" w:rsidR="00854ADA" w:rsidRPr="00FF386D" w:rsidRDefault="00854ADA" w:rsidP="00854ADA">
            <w:pPr>
              <w:numPr>
                <w:ilvl w:val="0"/>
                <w:numId w:val="13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4. НАПЕЕ</w:t>
            </w:r>
          </w:p>
          <w:p w14:paraId="1951A75E" w14:textId="275022F8" w:rsidR="00854ADA" w:rsidRPr="00FF386D" w:rsidRDefault="00854ADA" w:rsidP="00854ADA">
            <w:pPr>
              <w:numPr>
                <w:ilvl w:val="0"/>
                <w:numId w:val="13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Стратегија одрживог урбаног развоја </w:t>
            </w:r>
            <w:r w:rsidR="00F83F24" w:rsidRPr="00F83F24">
              <w:rPr>
                <w:rFonts w:ascii="Calibri Light" w:eastAsia="Times New Roman" w:hAnsi="Calibri Light" w:cs="Calibri Light"/>
                <w:color w:val="000000"/>
                <w:sz w:val="20"/>
                <w:szCs w:val="20"/>
                <w:lang w:eastAsia="en-GB"/>
              </w:rPr>
              <w:t>Републике Србије до</w:t>
            </w:r>
            <w:r w:rsidRPr="00FF386D">
              <w:rPr>
                <w:rFonts w:ascii="Calibri Light" w:eastAsia="Times New Roman" w:hAnsi="Calibri Light" w:cs="Calibri Light"/>
                <w:color w:val="000000"/>
                <w:sz w:val="20"/>
                <w:szCs w:val="20"/>
                <w:lang w:eastAsia="en-GB"/>
              </w:rPr>
              <w:t xml:space="preserve"> 2030. годин</w:t>
            </w:r>
            <w:r w:rsidR="00F83F24">
              <w:rPr>
                <w:rFonts w:ascii="Calibri Light" w:eastAsia="Times New Roman" w:hAnsi="Calibri Light" w:cs="Calibri Light"/>
                <w:color w:val="000000"/>
                <w:sz w:val="20"/>
                <w:szCs w:val="20"/>
                <w:lang w:eastAsia="en-GB"/>
              </w:rPr>
              <w:t>е</w:t>
            </w:r>
          </w:p>
        </w:tc>
      </w:tr>
      <w:tr w:rsidR="00854ADA" w:rsidRPr="00FF386D" w14:paraId="759FEB88" w14:textId="77777777" w:rsidTr="00720DA6">
        <w:trPr>
          <w:trHeight w:val="450"/>
        </w:trPr>
        <w:tc>
          <w:tcPr>
            <w:tcW w:w="2997" w:type="dxa"/>
            <w:vMerge/>
            <w:tcBorders>
              <w:top w:val="nil"/>
              <w:left w:val="single" w:sz="8" w:space="0" w:color="auto"/>
              <w:bottom w:val="single" w:sz="8" w:space="0" w:color="000000"/>
              <w:right w:val="single" w:sz="8" w:space="0" w:color="auto"/>
            </w:tcBorders>
            <w:vAlign w:val="center"/>
            <w:hideMark/>
          </w:tcPr>
          <w:p w14:paraId="317E7FE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491" w:type="dxa"/>
            <w:gridSpan w:val="3"/>
            <w:vMerge/>
            <w:tcBorders>
              <w:top w:val="single" w:sz="8" w:space="0" w:color="auto"/>
              <w:left w:val="single" w:sz="8" w:space="0" w:color="auto"/>
              <w:bottom w:val="single" w:sz="8" w:space="0" w:color="000000"/>
              <w:right w:val="single" w:sz="8" w:space="0" w:color="000000"/>
            </w:tcBorders>
            <w:vAlign w:val="center"/>
            <w:hideMark/>
          </w:tcPr>
          <w:p w14:paraId="5CFD1F20" w14:textId="77777777" w:rsidR="00854ADA" w:rsidRPr="00FF386D" w:rsidRDefault="00854ADA" w:rsidP="00854ADA">
            <w:pPr>
              <w:numPr>
                <w:ilvl w:val="0"/>
                <w:numId w:val="135"/>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453A761C" w14:textId="77777777" w:rsidTr="00720DA6">
        <w:trPr>
          <w:trHeight w:val="450"/>
        </w:trPr>
        <w:tc>
          <w:tcPr>
            <w:tcW w:w="2997" w:type="dxa"/>
            <w:vMerge/>
            <w:tcBorders>
              <w:top w:val="nil"/>
              <w:left w:val="single" w:sz="8" w:space="0" w:color="auto"/>
              <w:bottom w:val="single" w:sz="8" w:space="0" w:color="auto"/>
              <w:right w:val="single" w:sz="8" w:space="0" w:color="auto"/>
            </w:tcBorders>
            <w:shd w:val="clear" w:color="000000" w:fill="244062"/>
            <w:vAlign w:val="center"/>
            <w:hideMark/>
          </w:tcPr>
          <w:p w14:paraId="131BC99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491" w:type="dxa"/>
            <w:gridSpan w:val="3"/>
            <w:vMerge/>
            <w:tcBorders>
              <w:top w:val="single" w:sz="8" w:space="0" w:color="auto"/>
              <w:left w:val="nil"/>
              <w:bottom w:val="single" w:sz="8" w:space="0" w:color="auto"/>
              <w:right w:val="single" w:sz="8" w:space="0" w:color="000000"/>
            </w:tcBorders>
            <w:shd w:val="clear" w:color="auto" w:fill="auto"/>
            <w:vAlign w:val="center"/>
            <w:hideMark/>
          </w:tcPr>
          <w:p w14:paraId="2C11E2E7" w14:textId="77777777" w:rsidR="00854ADA" w:rsidRPr="00FF386D" w:rsidRDefault="00854ADA" w:rsidP="00854ADA">
            <w:pPr>
              <w:numPr>
                <w:ilvl w:val="0"/>
                <w:numId w:val="135"/>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6C180991" w14:textId="77777777" w:rsidTr="00720DA6">
        <w:trPr>
          <w:trHeight w:val="780"/>
        </w:trPr>
        <w:tc>
          <w:tcPr>
            <w:tcW w:w="2997" w:type="dxa"/>
            <w:tcBorders>
              <w:top w:val="nil"/>
              <w:left w:val="single" w:sz="8" w:space="0" w:color="auto"/>
              <w:bottom w:val="single" w:sz="8" w:space="0" w:color="auto"/>
              <w:right w:val="single" w:sz="8" w:space="0" w:color="auto"/>
            </w:tcBorders>
            <w:shd w:val="clear" w:color="000000" w:fill="244062"/>
            <w:vAlign w:val="center"/>
            <w:hideMark/>
          </w:tcPr>
          <w:p w14:paraId="6ED1E0D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491" w:type="dxa"/>
            <w:gridSpan w:val="3"/>
            <w:tcBorders>
              <w:top w:val="single" w:sz="8" w:space="0" w:color="auto"/>
              <w:left w:val="nil"/>
              <w:bottom w:val="single" w:sz="8" w:space="0" w:color="auto"/>
              <w:right w:val="single" w:sz="8" w:space="0" w:color="000000"/>
            </w:tcBorders>
            <w:shd w:val="clear" w:color="auto" w:fill="auto"/>
            <w:vAlign w:val="center"/>
            <w:hideMark/>
          </w:tcPr>
          <w:p w14:paraId="04AC968B" w14:textId="7EBD2DD5" w:rsidR="00854ADA" w:rsidRPr="00FF386D" w:rsidRDefault="00854ADA" w:rsidP="00DE4B75">
            <w:p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Биће интегрисан</w:t>
            </w:r>
            <w:r w:rsidR="00370AE4" w:rsidRPr="00FF386D">
              <w:rPr>
                <w:rFonts w:ascii="Calibri Light" w:eastAsia="Times New Roman" w:hAnsi="Calibri Light" w:cs="Calibri Light"/>
                <w:color w:val="000000"/>
                <w:sz w:val="20"/>
                <w:szCs w:val="20"/>
                <w:lang w:eastAsia="en-GB"/>
              </w:rPr>
              <w:t>и</w:t>
            </w:r>
            <w:r w:rsidRPr="00FF386D">
              <w:rPr>
                <w:rFonts w:ascii="Calibri Light" w:eastAsia="Times New Roman" w:hAnsi="Calibri Light" w:cs="Calibri Light"/>
                <w:color w:val="000000"/>
                <w:sz w:val="20"/>
                <w:szCs w:val="20"/>
                <w:lang w:eastAsia="en-GB"/>
              </w:rPr>
              <w:t xml:space="preserve"> у МП_ЕЕ10, МП_ЕЕ12 и МП_ЕЕ14</w:t>
            </w:r>
          </w:p>
        </w:tc>
      </w:tr>
      <w:tr w:rsidR="00854ADA" w:rsidRPr="00FF386D" w14:paraId="6DDFAB03" w14:textId="77777777" w:rsidTr="00720DA6">
        <w:trPr>
          <w:trHeight w:val="315"/>
        </w:trPr>
        <w:tc>
          <w:tcPr>
            <w:tcW w:w="2997" w:type="dxa"/>
            <w:tcBorders>
              <w:top w:val="nil"/>
              <w:left w:val="single" w:sz="8" w:space="0" w:color="auto"/>
              <w:bottom w:val="single" w:sz="8" w:space="0" w:color="auto"/>
              <w:right w:val="single" w:sz="8" w:space="0" w:color="auto"/>
            </w:tcBorders>
            <w:shd w:val="clear" w:color="000000" w:fill="244062"/>
            <w:vAlign w:val="center"/>
            <w:hideMark/>
          </w:tcPr>
          <w:p w14:paraId="7133ECE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lastRenderedPageBreak/>
              <w:t>Извор(и) финансирања</w:t>
            </w:r>
          </w:p>
        </w:tc>
        <w:tc>
          <w:tcPr>
            <w:tcW w:w="6491" w:type="dxa"/>
            <w:gridSpan w:val="3"/>
            <w:tcBorders>
              <w:top w:val="single" w:sz="8" w:space="0" w:color="auto"/>
              <w:left w:val="nil"/>
              <w:bottom w:val="single" w:sz="8" w:space="0" w:color="auto"/>
              <w:right w:val="single" w:sz="8" w:space="0" w:color="000000"/>
            </w:tcBorders>
            <w:shd w:val="clear" w:color="auto" w:fill="auto"/>
            <w:vAlign w:val="center"/>
            <w:hideMark/>
          </w:tcPr>
          <w:p w14:paraId="7014ED47" w14:textId="3303199E"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E462ED" w:rsidRPr="00FF386D">
              <w:rPr>
                <w:rFonts w:asciiTheme="majorHAnsi" w:eastAsia="Times New Roman" w:hAnsiTheme="majorHAnsi" w:cstheme="majorHAnsi"/>
                <w:color w:val="000000"/>
                <w:sz w:val="20"/>
                <w:szCs w:val="20"/>
                <w:lang w:eastAsia="en-GB"/>
              </w:rPr>
              <w:t>ска</w:t>
            </w:r>
            <w:r w:rsidRPr="00FF386D">
              <w:rPr>
                <w:rFonts w:asciiTheme="majorHAnsi" w:eastAsia="Times New Roman" w:hAnsiTheme="majorHAnsi" w:cstheme="majorHAnsi"/>
                <w:color w:val="000000"/>
                <w:sz w:val="20"/>
                <w:szCs w:val="20"/>
                <w:lang w:eastAsia="en-GB"/>
              </w:rPr>
              <w:t xml:space="preserve"> и сопствена средства</w:t>
            </w:r>
          </w:p>
        </w:tc>
      </w:tr>
    </w:tbl>
    <w:p w14:paraId="38B0736C"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10"/>
        <w:gridCol w:w="1007"/>
        <w:gridCol w:w="943"/>
        <w:gridCol w:w="4198"/>
      </w:tblGrid>
      <w:tr w:rsidR="00854ADA" w:rsidRPr="00FF386D" w14:paraId="0049A25C" w14:textId="77777777" w:rsidTr="0057310C">
        <w:trPr>
          <w:trHeight w:val="780"/>
        </w:trPr>
        <w:tc>
          <w:tcPr>
            <w:tcW w:w="3310"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6448CE46"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581E3DAD"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966DAA">
              <w:rPr>
                <w:rFonts w:ascii="Calibri Light" w:hAnsi="Calibri Light"/>
                <w:b/>
                <w:sz w:val="20"/>
              </w:rPr>
              <w:t>МП_ЕЕ16</w:t>
            </w:r>
          </w:p>
        </w:tc>
        <w:tc>
          <w:tcPr>
            <w:tcW w:w="943" w:type="dxa"/>
            <w:tcBorders>
              <w:top w:val="single" w:sz="8" w:space="0" w:color="auto"/>
              <w:left w:val="nil"/>
              <w:bottom w:val="single" w:sz="8" w:space="0" w:color="auto"/>
              <w:right w:val="single" w:sz="8" w:space="0" w:color="auto"/>
            </w:tcBorders>
            <w:shd w:val="clear" w:color="000000" w:fill="244062"/>
            <w:vAlign w:val="center"/>
            <w:hideMark/>
          </w:tcPr>
          <w:p w14:paraId="1B31056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98" w:type="dxa"/>
            <w:tcBorders>
              <w:top w:val="single" w:sz="8" w:space="0" w:color="auto"/>
              <w:left w:val="nil"/>
              <w:bottom w:val="single" w:sz="8" w:space="0" w:color="auto"/>
              <w:right w:val="single" w:sz="8" w:space="0" w:color="auto"/>
            </w:tcBorders>
            <w:shd w:val="clear" w:color="auto" w:fill="E7E6E6" w:themeFill="background2"/>
            <w:vAlign w:val="center"/>
            <w:hideMark/>
          </w:tcPr>
          <w:p w14:paraId="42A99F1B" w14:textId="4169906D"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П</w:t>
            </w:r>
            <w:r w:rsidR="00D72C56" w:rsidRPr="00FF386D">
              <w:rPr>
                <w:rFonts w:ascii="Calibri Light" w:hAnsi="Calibri Light"/>
                <w:b/>
                <w:sz w:val="20"/>
              </w:rPr>
              <w:t>одстицање</w:t>
            </w:r>
            <w:r w:rsidRPr="00FF386D">
              <w:rPr>
                <w:rFonts w:ascii="Calibri Light" w:hAnsi="Calibri Light"/>
                <w:b/>
                <w:sz w:val="20"/>
              </w:rPr>
              <w:t xml:space="preserve"> енергетске ефикасности у саобраћају на унутрашњим пловним путевима</w:t>
            </w:r>
          </w:p>
        </w:tc>
      </w:tr>
      <w:tr w:rsidR="00854ADA" w:rsidRPr="00FF386D" w14:paraId="737C758C" w14:textId="77777777" w:rsidTr="0057310C">
        <w:trPr>
          <w:trHeight w:val="495"/>
        </w:trPr>
        <w:tc>
          <w:tcPr>
            <w:tcW w:w="3310" w:type="dxa"/>
            <w:tcBorders>
              <w:top w:val="nil"/>
              <w:left w:val="single" w:sz="8" w:space="0" w:color="auto"/>
              <w:bottom w:val="single" w:sz="8" w:space="0" w:color="auto"/>
              <w:right w:val="nil"/>
            </w:tcBorders>
            <w:shd w:val="clear" w:color="000000" w:fill="244062"/>
            <w:vAlign w:val="center"/>
            <w:hideMark/>
          </w:tcPr>
          <w:p w14:paraId="23E644D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53EBC665" w14:textId="04D92607" w:rsidR="00854ADA" w:rsidRPr="000A2AFE" w:rsidRDefault="00DE4B75"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Примена</w:t>
            </w:r>
            <w:r w:rsidR="00854ADA" w:rsidRPr="00FF386D">
              <w:rPr>
                <w:rFonts w:ascii="Calibri Light" w:hAnsi="Calibri Light"/>
                <w:sz w:val="20"/>
              </w:rPr>
              <w:t xml:space="preserve"> чланова Директиве </w:t>
            </w:r>
            <w:r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2018/2002</w:t>
            </w:r>
            <w:r w:rsidR="00854ADA" w:rsidRPr="000A2AFE">
              <w:rPr>
                <w:rFonts w:ascii="Calibri Light" w:eastAsia="Times New Roman" w:hAnsi="Calibri Light" w:cs="Calibri Light"/>
                <w:color w:val="000000"/>
                <w:sz w:val="20"/>
                <w:szCs w:val="20"/>
                <w:lang w:eastAsia="en-GB"/>
              </w:rPr>
              <w:t>:</w:t>
            </w:r>
          </w:p>
          <w:p w14:paraId="1726F433" w14:textId="7C5DBC41" w:rsidR="00854ADA" w:rsidRPr="000A2AFE" w:rsidRDefault="00854ADA" w:rsidP="00854ADA">
            <w:pPr>
              <w:numPr>
                <w:ilvl w:val="0"/>
                <w:numId w:val="2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370AE4"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3</w:t>
            </w:r>
          </w:p>
          <w:p w14:paraId="4C730465" w14:textId="330C0608" w:rsidR="00854ADA" w:rsidRPr="00FF386D" w:rsidRDefault="00854ADA" w:rsidP="00854ADA">
            <w:pPr>
              <w:numPr>
                <w:ilvl w:val="0"/>
                <w:numId w:val="13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370AE4"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7</w:t>
            </w:r>
          </w:p>
        </w:tc>
      </w:tr>
      <w:tr w:rsidR="00854ADA" w:rsidRPr="00FF386D" w14:paraId="4C998BB6"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08B67A6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5B830667" w14:textId="75F447BB" w:rsidR="00854ADA" w:rsidRPr="00FF386D" w:rsidRDefault="00FA0C51" w:rsidP="00854ADA">
            <w:pPr>
              <w:spacing w:after="0" w:line="240" w:lineRule="auto"/>
              <w:rPr>
                <w:rFonts w:ascii="Calibri Light" w:eastAsia="Times New Roman" w:hAnsi="Calibri Light" w:cs="Calibri Light"/>
                <w:color w:val="000000"/>
                <w:sz w:val="20"/>
                <w:szCs w:val="20"/>
                <w:lang w:eastAsia="en-GB"/>
              </w:rPr>
            </w:pPr>
            <w:r w:rsidRPr="00FA0C51">
              <w:rPr>
                <w:rFonts w:ascii="Calibri Light" w:eastAsia="Times New Roman" w:hAnsi="Calibri Light" w:cs="Calibri Light"/>
                <w:color w:val="000000"/>
                <w:sz w:val="20"/>
                <w:szCs w:val="20"/>
                <w:lang w:eastAsia="en-GB"/>
              </w:rPr>
              <w:t>Допринос постизању очекиваних нивоа финалне потрошње енергије у сектору саобраћаја</w:t>
            </w:r>
          </w:p>
        </w:tc>
      </w:tr>
      <w:tr w:rsidR="00854ADA" w:rsidRPr="00FF386D" w14:paraId="221FA73F" w14:textId="77777777" w:rsidTr="0057310C">
        <w:trPr>
          <w:trHeight w:val="1379"/>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3991AD5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24B3D5D9" w14:textId="6D92B075"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МП_ЕЕ16 ће промовисати енергетску ефикасност у теретном и путничком саобраћају на унутрашњим пловним путевима, </w:t>
            </w:r>
            <w:r w:rsidRPr="00FF386D">
              <w:rPr>
                <w:rFonts w:ascii="Calibri Light" w:eastAsia="NSimSun" w:hAnsi="Calibri Light" w:cs="Mangal"/>
                <w:kern w:val="2"/>
                <w:sz w:val="20"/>
                <w:szCs w:val="24"/>
                <w:lang w:eastAsia="zh-CN" w:bidi="hi-IN"/>
              </w:rPr>
              <w:t>обезбеђивање</w:t>
            </w:r>
            <w:r w:rsidRPr="00FF386D">
              <w:rPr>
                <w:rFonts w:ascii="Calibri Light" w:hAnsi="Calibri Light"/>
                <w:sz w:val="20"/>
              </w:rPr>
              <w:t xml:space="preserve"> финансијских, фискалних или регулаторних мера. Постојећа флота и лучка инфраструктура ће бити модернизоване, </w:t>
            </w:r>
            <w:r w:rsidR="00D72C56" w:rsidRPr="00FF386D">
              <w:rPr>
                <w:rFonts w:ascii="Calibri Light" w:hAnsi="Calibri Light"/>
                <w:sz w:val="20"/>
              </w:rPr>
              <w:t>уз нагласак на</w:t>
            </w:r>
            <w:r w:rsidRPr="00FF386D">
              <w:rPr>
                <w:rFonts w:ascii="Calibri Light" w:hAnsi="Calibri Light"/>
                <w:sz w:val="20"/>
              </w:rPr>
              <w:t xml:space="preserve"> развој</w:t>
            </w:r>
            <w:r w:rsidR="00D72C56" w:rsidRPr="00FF386D">
              <w:rPr>
                <w:rFonts w:ascii="Calibri Light" w:hAnsi="Calibri Light"/>
                <w:sz w:val="20"/>
              </w:rPr>
              <w:t>у</w:t>
            </w:r>
            <w:r w:rsidRPr="00FF386D">
              <w:rPr>
                <w:rFonts w:ascii="Calibri Light" w:hAnsi="Calibri Light"/>
                <w:sz w:val="20"/>
              </w:rPr>
              <w:t xml:space="preserve"> система управљања енергијом и промовисање обновљивих извора енергије у лукама</w:t>
            </w:r>
            <w:r w:rsidRPr="000A2AFE">
              <w:rPr>
                <w:rFonts w:ascii="Calibri Light" w:eastAsia="Times New Roman" w:hAnsi="Calibri Light" w:cs="Calibri Light"/>
                <w:color w:val="000000"/>
                <w:sz w:val="20"/>
                <w:szCs w:val="20"/>
                <w:lang w:eastAsia="en-GB"/>
              </w:rPr>
              <w:t>.</w:t>
            </w:r>
            <w:r w:rsidR="00FA0C51">
              <w:t xml:space="preserve"> </w:t>
            </w:r>
            <w:r w:rsidR="00FA0C51" w:rsidRPr="00FA0C51">
              <w:rPr>
                <w:rFonts w:ascii="Calibri Light" w:eastAsia="Times New Roman" w:hAnsi="Calibri Light" w:cs="Calibri Light"/>
                <w:color w:val="000000"/>
                <w:sz w:val="20"/>
                <w:szCs w:val="20"/>
                <w:lang w:eastAsia="en-GB"/>
              </w:rPr>
              <w:t>На крају, биће разматрана додатна примена алтернативних горива и обновљивих гасова у флоти и у лукама укључујући и развој одговарајуће инфраструктуре за њихову дистрибуцију и потрошњу.</w:t>
            </w:r>
          </w:p>
        </w:tc>
      </w:tr>
      <w:tr w:rsidR="00854ADA" w:rsidRPr="00FF386D" w14:paraId="262037DC"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335FE55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00ED2E92" w14:textId="4FD84784"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5E6514" w:rsidRPr="00FF386D">
              <w:rPr>
                <w:rFonts w:ascii="Calibri Light" w:hAnsi="Calibri Light"/>
                <w:sz w:val="20"/>
              </w:rPr>
              <w:t>5</w:t>
            </w:r>
            <w:r w:rsidRPr="00FF386D">
              <w:rPr>
                <w:rFonts w:ascii="Calibri Light" w:hAnsi="Calibri Light"/>
                <w:sz w:val="20"/>
              </w:rPr>
              <w:t>-2030.</w:t>
            </w:r>
          </w:p>
        </w:tc>
      </w:tr>
      <w:tr w:rsidR="00854ADA" w:rsidRPr="00FF386D" w14:paraId="365109CD"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3D0BBBD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06318F3F"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Инвестиција</w:t>
            </w:r>
          </w:p>
        </w:tc>
      </w:tr>
      <w:tr w:rsidR="00854ADA" w:rsidRPr="00FF386D" w14:paraId="08B5A3B8"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5DF1D3D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2159AFAF"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Саобраћај</w:t>
            </w:r>
          </w:p>
        </w:tc>
      </w:tr>
      <w:tr w:rsidR="00854ADA" w:rsidRPr="00FF386D" w14:paraId="165F0460"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3B5686D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017F940A" w14:textId="3770B856" w:rsidR="00854ADA" w:rsidRPr="000A2AFE" w:rsidRDefault="005E6514" w:rsidP="000A2AFE">
            <w:pPr>
              <w:pStyle w:val="ListParagraph"/>
              <w:numPr>
                <w:ilvl w:val="0"/>
                <w:numId w:val="316"/>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3CA69F26" w14:textId="77777777" w:rsidTr="0057310C">
        <w:trPr>
          <w:trHeight w:val="315"/>
        </w:trPr>
        <w:tc>
          <w:tcPr>
            <w:tcW w:w="3310" w:type="dxa"/>
            <w:tcBorders>
              <w:top w:val="nil"/>
              <w:left w:val="single" w:sz="8" w:space="0" w:color="auto"/>
              <w:bottom w:val="single" w:sz="8" w:space="0" w:color="auto"/>
              <w:right w:val="nil"/>
            </w:tcBorders>
            <w:shd w:val="clear" w:color="000000" w:fill="244062"/>
            <w:vAlign w:val="center"/>
            <w:hideMark/>
          </w:tcPr>
          <w:p w14:paraId="563787F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2B678002" w14:textId="386D008F" w:rsidR="00854ADA" w:rsidRPr="000A2AFE" w:rsidRDefault="00966DAA" w:rsidP="000A2AFE">
            <w:pPr>
              <w:pStyle w:val="ListParagraph"/>
              <w:numPr>
                <w:ilvl w:val="0"/>
                <w:numId w:val="136"/>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068FC05D" w14:textId="77777777" w:rsidTr="0057310C">
        <w:trPr>
          <w:trHeight w:val="315"/>
        </w:trPr>
        <w:tc>
          <w:tcPr>
            <w:tcW w:w="3310" w:type="dxa"/>
            <w:tcBorders>
              <w:top w:val="nil"/>
              <w:left w:val="single" w:sz="8" w:space="0" w:color="auto"/>
              <w:bottom w:val="single" w:sz="8" w:space="0" w:color="auto"/>
              <w:right w:val="nil"/>
            </w:tcBorders>
            <w:shd w:val="clear" w:color="000000" w:fill="244062"/>
            <w:vAlign w:val="center"/>
            <w:hideMark/>
          </w:tcPr>
          <w:p w14:paraId="5F34472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739A6E8B" w14:textId="77777777" w:rsidR="00854ADA" w:rsidRPr="00FF386D" w:rsidRDefault="00854ADA" w:rsidP="00854ADA">
            <w:pPr>
              <w:numPr>
                <w:ilvl w:val="0"/>
                <w:numId w:val="13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Обухваћени путнички и теретни саобраћај (путнички km и тона-km)</w:t>
            </w:r>
          </w:p>
        </w:tc>
      </w:tr>
      <w:tr w:rsidR="00854ADA" w:rsidRPr="00FF386D" w14:paraId="6A043701" w14:textId="77777777" w:rsidTr="0057310C">
        <w:trPr>
          <w:trHeight w:val="391"/>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53D3589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3A927D86" w14:textId="7A5C8831" w:rsidR="00966DAA" w:rsidRPr="00966DAA" w:rsidRDefault="00966DAA" w:rsidP="00966DAA">
            <w:pPr>
              <w:numPr>
                <w:ilvl w:val="0"/>
                <w:numId w:val="137"/>
              </w:numPr>
              <w:spacing w:after="0" w:line="240" w:lineRule="auto"/>
              <w:contextualSpacing/>
              <w:rPr>
                <w:rFonts w:ascii="Calibri Light" w:eastAsia="Times New Roman" w:hAnsi="Calibri Light" w:cs="Calibri Light"/>
                <w:color w:val="000000"/>
                <w:sz w:val="20"/>
                <w:szCs w:val="20"/>
                <w:lang w:eastAsia="en-GB"/>
              </w:rPr>
            </w:pPr>
            <w:r w:rsidRPr="00966DAA">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966DAA">
              <w:rPr>
                <w:rFonts w:ascii="Calibri Light" w:eastAsia="Times New Roman" w:hAnsi="Calibri Light" w:cs="Calibri Light"/>
                <w:i/>
                <w:iCs/>
                <w:color w:val="000000"/>
                <w:sz w:val="20"/>
                <w:szCs w:val="20"/>
                <w:lang w:val="en-US" w:eastAsia="en-GB"/>
              </w:rPr>
              <w:t>GHG</w:t>
            </w:r>
            <w:r>
              <w:rPr>
                <w:rFonts w:ascii="Calibri Light" w:eastAsia="Times New Roman" w:hAnsi="Calibri Light" w:cs="Calibri Light"/>
                <w:i/>
                <w:iCs/>
                <w:color w:val="000000"/>
                <w:sz w:val="20"/>
                <w:szCs w:val="20"/>
                <w:lang w:eastAsia="en-GB"/>
              </w:rPr>
              <w:t xml:space="preserve"> </w:t>
            </w:r>
            <w:r>
              <w:rPr>
                <w:rFonts w:ascii="Calibri Light" w:eastAsia="Times New Roman" w:hAnsi="Calibri Light" w:cs="Calibri Light"/>
                <w:color w:val="000000"/>
                <w:sz w:val="20"/>
                <w:szCs w:val="20"/>
                <w:lang w:eastAsia="en-GB"/>
              </w:rPr>
              <w:t>а пром</w:t>
            </w:r>
            <w:r w:rsidR="00364B8A">
              <w:rPr>
                <w:rFonts w:ascii="Calibri Light" w:eastAsia="Times New Roman" w:hAnsi="Calibri Light" w:cs="Calibri Light"/>
                <w:color w:val="000000"/>
                <w:sz w:val="20"/>
                <w:szCs w:val="20"/>
                <w:lang w:eastAsia="en-GB"/>
              </w:rPr>
              <w:t>о</w:t>
            </w:r>
            <w:r>
              <w:rPr>
                <w:rFonts w:ascii="Calibri Light" w:eastAsia="Times New Roman" w:hAnsi="Calibri Light" w:cs="Calibri Light"/>
                <w:color w:val="000000"/>
                <w:sz w:val="20"/>
                <w:szCs w:val="20"/>
                <w:lang w:eastAsia="en-GB"/>
              </w:rPr>
              <w:t>висана ОИЕ ће довести до повећања удела ОИЕ у саобраћају</w:t>
            </w:r>
            <w:r w:rsidRPr="00966DAA">
              <w:rPr>
                <w:rFonts w:ascii="Calibri Light" w:eastAsia="Times New Roman" w:hAnsi="Calibri Light" w:cs="Calibri Light"/>
                <w:color w:val="000000"/>
                <w:sz w:val="20"/>
                <w:szCs w:val="20"/>
                <w:lang w:eastAsia="en-GB"/>
              </w:rPr>
              <w:t>)</w:t>
            </w:r>
          </w:p>
          <w:p w14:paraId="6DFBA560" w14:textId="116F0350" w:rsidR="00854ADA" w:rsidRPr="00FF386D" w:rsidRDefault="00966DAA" w:rsidP="00966DAA">
            <w:pPr>
              <w:numPr>
                <w:ilvl w:val="0"/>
                <w:numId w:val="137"/>
              </w:numPr>
              <w:spacing w:after="0" w:line="240" w:lineRule="auto"/>
              <w:contextualSpacing/>
              <w:rPr>
                <w:rFonts w:ascii="Calibri Light" w:eastAsia="Times New Roman" w:hAnsi="Calibri Light" w:cs="Calibri Light"/>
                <w:color w:val="000000"/>
                <w:sz w:val="20"/>
                <w:szCs w:val="20"/>
                <w:lang w:eastAsia="en-GB"/>
              </w:rPr>
            </w:pPr>
            <w:r w:rsidRPr="00966DAA">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854ADA" w:rsidRPr="00FF386D" w14:paraId="4FB6E40F" w14:textId="77777777" w:rsidTr="0057310C">
        <w:trPr>
          <w:trHeight w:val="450"/>
        </w:trPr>
        <w:tc>
          <w:tcPr>
            <w:tcW w:w="3310"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3EBF0731" w14:textId="23D2F993"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48"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4183B6DF" w14:textId="0C5B36DF" w:rsidR="00854ADA" w:rsidRPr="000A2AFE" w:rsidRDefault="00854ADA" w:rsidP="005E6514">
            <w:pPr>
              <w:pStyle w:val="ListParagraph"/>
              <w:numPr>
                <w:ilvl w:val="0"/>
                <w:numId w:val="137"/>
              </w:num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Директива </w:t>
            </w:r>
            <w:r w:rsidR="005E6514" w:rsidRPr="00FF386D">
              <w:rPr>
                <w:rFonts w:ascii="Calibri Light" w:hAnsi="Calibri Light"/>
                <w:color w:val="000000"/>
                <w:sz w:val="20"/>
              </w:rPr>
              <w:t xml:space="preserve">(ЕУ) </w:t>
            </w:r>
            <w:r w:rsidRPr="000A2AFE">
              <w:rPr>
                <w:rFonts w:ascii="Calibri Light" w:eastAsia="Times New Roman" w:hAnsi="Calibri Light" w:cs="Calibri Light"/>
                <w:color w:val="000000"/>
                <w:sz w:val="20"/>
                <w:szCs w:val="20"/>
                <w:lang w:eastAsia="en-GB"/>
              </w:rPr>
              <w:t>2012/27</w:t>
            </w:r>
          </w:p>
          <w:p w14:paraId="1BC26F22" w14:textId="77777777" w:rsidR="00854ADA" w:rsidRDefault="00854ADA" w:rsidP="00854ADA">
            <w:pPr>
              <w:numPr>
                <w:ilvl w:val="0"/>
                <w:numId w:val="13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Директива </w:t>
            </w:r>
            <w:r w:rsidR="005E6514" w:rsidRPr="00FF386D">
              <w:rPr>
                <w:rFonts w:ascii="Calibri Light" w:hAnsi="Calibri Light"/>
                <w:color w:val="000000"/>
                <w:sz w:val="20"/>
              </w:rPr>
              <w:t xml:space="preserve">(ЕУ) </w:t>
            </w:r>
            <w:r w:rsidRPr="000A2AFE">
              <w:rPr>
                <w:rFonts w:ascii="Calibri Light" w:eastAsia="Times New Roman" w:hAnsi="Calibri Light" w:cs="Calibri Light"/>
                <w:color w:val="000000"/>
                <w:sz w:val="20"/>
                <w:szCs w:val="20"/>
                <w:lang w:eastAsia="en-GB"/>
              </w:rPr>
              <w:t>2018/2002</w:t>
            </w:r>
          </w:p>
          <w:p w14:paraId="750B5B35" w14:textId="26925E32" w:rsidR="00FA0C51" w:rsidRPr="00FF386D" w:rsidRDefault="00FA0C51" w:rsidP="00854ADA">
            <w:pPr>
              <w:numPr>
                <w:ilvl w:val="0"/>
                <w:numId w:val="137"/>
              </w:numPr>
              <w:spacing w:after="0" w:line="240" w:lineRule="auto"/>
              <w:contextualSpacing/>
              <w:rPr>
                <w:rFonts w:ascii="Calibri Light" w:eastAsia="Times New Roman" w:hAnsi="Calibri Light" w:cs="Calibri Light"/>
                <w:color w:val="000000"/>
                <w:sz w:val="20"/>
                <w:szCs w:val="20"/>
                <w:lang w:eastAsia="en-GB"/>
              </w:rPr>
            </w:pPr>
            <w:r w:rsidRPr="00FA0C51">
              <w:rPr>
                <w:rFonts w:ascii="Calibri Light" w:eastAsia="Times New Roman" w:hAnsi="Calibri Light" w:cs="Calibri Light"/>
                <w:color w:val="000000"/>
                <w:sz w:val="20"/>
                <w:szCs w:val="20"/>
                <w:lang w:eastAsia="en-GB"/>
              </w:rPr>
              <w:t>Директива 2014/94</w:t>
            </w:r>
          </w:p>
        </w:tc>
      </w:tr>
      <w:tr w:rsidR="00854ADA" w:rsidRPr="00FF386D" w14:paraId="578FE909" w14:textId="77777777" w:rsidTr="0057310C">
        <w:trPr>
          <w:trHeight w:val="450"/>
        </w:trPr>
        <w:tc>
          <w:tcPr>
            <w:tcW w:w="3310" w:type="dxa"/>
            <w:vMerge/>
            <w:tcBorders>
              <w:top w:val="nil"/>
              <w:left w:val="single" w:sz="8" w:space="0" w:color="auto"/>
              <w:bottom w:val="single" w:sz="8" w:space="0" w:color="000000"/>
              <w:right w:val="single" w:sz="8" w:space="0" w:color="auto"/>
            </w:tcBorders>
            <w:vAlign w:val="center"/>
            <w:hideMark/>
          </w:tcPr>
          <w:p w14:paraId="3657EB3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8" w:type="dxa"/>
            <w:gridSpan w:val="3"/>
            <w:vMerge/>
            <w:tcBorders>
              <w:top w:val="single" w:sz="8" w:space="0" w:color="auto"/>
              <w:left w:val="single" w:sz="8" w:space="0" w:color="auto"/>
              <w:bottom w:val="single" w:sz="8" w:space="0" w:color="000000"/>
              <w:right w:val="single" w:sz="8" w:space="0" w:color="000000"/>
            </w:tcBorders>
            <w:vAlign w:val="center"/>
            <w:hideMark/>
          </w:tcPr>
          <w:p w14:paraId="65E6852C" w14:textId="77777777" w:rsidR="00854ADA" w:rsidRPr="00FF386D" w:rsidRDefault="00854ADA" w:rsidP="00854ADA">
            <w:pPr>
              <w:numPr>
                <w:ilvl w:val="0"/>
                <w:numId w:val="137"/>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6621A921" w14:textId="77777777" w:rsidTr="0057310C">
        <w:trPr>
          <w:trHeight w:val="450"/>
        </w:trPr>
        <w:tc>
          <w:tcPr>
            <w:tcW w:w="3310" w:type="dxa"/>
            <w:vMerge/>
            <w:tcBorders>
              <w:top w:val="nil"/>
              <w:left w:val="single" w:sz="8" w:space="0" w:color="auto"/>
              <w:bottom w:val="single" w:sz="8" w:space="0" w:color="000000"/>
              <w:right w:val="single" w:sz="8" w:space="0" w:color="auto"/>
            </w:tcBorders>
            <w:vAlign w:val="center"/>
            <w:hideMark/>
          </w:tcPr>
          <w:p w14:paraId="46EBE85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8" w:type="dxa"/>
            <w:gridSpan w:val="3"/>
            <w:vMerge/>
            <w:tcBorders>
              <w:top w:val="single" w:sz="8" w:space="0" w:color="auto"/>
              <w:left w:val="single" w:sz="8" w:space="0" w:color="auto"/>
              <w:bottom w:val="single" w:sz="8" w:space="0" w:color="000000"/>
              <w:right w:val="single" w:sz="8" w:space="0" w:color="000000"/>
            </w:tcBorders>
            <w:vAlign w:val="center"/>
            <w:hideMark/>
          </w:tcPr>
          <w:p w14:paraId="633E3FC7" w14:textId="77777777" w:rsidR="00854ADA" w:rsidRPr="00FF386D" w:rsidRDefault="00854ADA" w:rsidP="00854ADA">
            <w:pPr>
              <w:numPr>
                <w:ilvl w:val="0"/>
                <w:numId w:val="137"/>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2394C480" w14:textId="77777777" w:rsidTr="00370AE4">
        <w:trPr>
          <w:trHeight w:val="754"/>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3462502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3AA990A1" w14:textId="4AE1AE8B" w:rsidR="00854ADA" w:rsidRPr="00FF386D" w:rsidRDefault="00854ADA" w:rsidP="00854ADA">
            <w:pPr>
              <w:numPr>
                <w:ilvl w:val="0"/>
                <w:numId w:val="13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Стратегија развоја водног саобраћаја </w:t>
            </w:r>
            <w:r w:rsidR="00FA0C51" w:rsidRPr="00FA0C51">
              <w:rPr>
                <w:rFonts w:ascii="Calibri Light" w:eastAsia="Times New Roman" w:hAnsi="Calibri Light" w:cs="Calibri Light"/>
                <w:color w:val="000000"/>
                <w:sz w:val="20"/>
                <w:szCs w:val="20"/>
                <w:lang w:eastAsia="en-GB"/>
              </w:rPr>
              <w:t>Републике Србије</w:t>
            </w:r>
            <w:r w:rsidR="00FA0C51">
              <w:rPr>
                <w:rFonts w:ascii="Calibri Light" w:eastAsia="Times New Roman" w:hAnsi="Calibri Light" w:cs="Calibri Light"/>
                <w:color w:val="000000"/>
                <w:sz w:val="20"/>
                <w:szCs w:val="20"/>
                <w:lang w:eastAsia="en-GB"/>
              </w:rPr>
              <w:t xml:space="preserve"> </w:t>
            </w:r>
            <w:r w:rsidR="00FA0C51" w:rsidRPr="00FA0C51">
              <w:rPr>
                <w:rFonts w:ascii="Calibri Light" w:eastAsia="Times New Roman" w:hAnsi="Calibri Light" w:cs="Calibri Light"/>
                <w:color w:val="000000"/>
                <w:sz w:val="20"/>
                <w:szCs w:val="20"/>
                <w:lang w:eastAsia="en-GB"/>
              </w:rPr>
              <w:t>2015 - 2025</w:t>
            </w:r>
            <w:r w:rsidR="00FA0C51">
              <w:rPr>
                <w:rStyle w:val="FootnoteReference"/>
                <w:rFonts w:ascii="Calibri Light" w:eastAsia="Times New Roman" w:hAnsi="Calibri Light" w:cs="Calibri Light"/>
                <w:color w:val="000000"/>
                <w:sz w:val="20"/>
                <w:szCs w:val="20"/>
                <w:lang w:eastAsia="en-GB"/>
              </w:rPr>
              <w:footnoteReference w:id="111"/>
            </w:r>
          </w:p>
          <w:p w14:paraId="161E4DA1" w14:textId="338369E0" w:rsidR="00854ADA" w:rsidRPr="00FF386D" w:rsidRDefault="00854ADA" w:rsidP="00854ADA">
            <w:pPr>
              <w:numPr>
                <w:ilvl w:val="0"/>
                <w:numId w:val="13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Стратегија одрживог урбаног развоја </w:t>
            </w:r>
            <w:r w:rsidR="00116F79" w:rsidRPr="00116F79">
              <w:rPr>
                <w:rFonts w:ascii="Calibri Light" w:eastAsia="Times New Roman" w:hAnsi="Calibri Light" w:cs="Calibri Light"/>
                <w:color w:val="000000"/>
                <w:sz w:val="20"/>
                <w:szCs w:val="20"/>
                <w:lang w:eastAsia="en-GB"/>
              </w:rPr>
              <w:t>Републике Србије до</w:t>
            </w:r>
            <w:r w:rsidRPr="00FF386D">
              <w:rPr>
                <w:rFonts w:ascii="Calibri Light" w:eastAsia="Times New Roman" w:hAnsi="Calibri Light" w:cs="Calibri Light"/>
                <w:color w:val="000000"/>
                <w:sz w:val="20"/>
                <w:szCs w:val="20"/>
                <w:lang w:eastAsia="en-GB"/>
              </w:rPr>
              <w:t xml:space="preserve"> 2030. годин</w:t>
            </w:r>
            <w:r w:rsidR="00116F79">
              <w:rPr>
                <w:rFonts w:ascii="Calibri Light" w:eastAsia="Times New Roman" w:hAnsi="Calibri Light" w:cs="Calibri Light"/>
                <w:color w:val="000000"/>
                <w:sz w:val="20"/>
                <w:szCs w:val="20"/>
                <w:lang w:eastAsia="en-GB"/>
              </w:rPr>
              <w:t>е</w:t>
            </w:r>
          </w:p>
        </w:tc>
      </w:tr>
      <w:tr w:rsidR="00854ADA" w:rsidRPr="00FF386D" w14:paraId="571BCD83"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1D43200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3330182A" w14:textId="498FC8DF" w:rsidR="00854ADA" w:rsidRPr="00FF386D" w:rsidRDefault="00E05505" w:rsidP="00854ADA">
            <w:pPr>
              <w:spacing w:after="0" w:line="240" w:lineRule="auto"/>
              <w:rPr>
                <w:rFonts w:ascii="Calibri Light" w:eastAsia="Times New Roman" w:hAnsi="Calibri Light" w:cs="Calibri Light"/>
                <w:color w:val="000000"/>
                <w:lang w:eastAsia="en-GB"/>
              </w:rPr>
            </w:pPr>
            <w:r w:rsidRPr="00FF386D">
              <w:rPr>
                <w:rFonts w:ascii="Calibri Light" w:eastAsia="Times New Roman" w:hAnsi="Calibri Light" w:cs="Calibri Light"/>
                <w:color w:val="000000"/>
                <w:lang w:eastAsia="en-GB"/>
              </w:rPr>
              <w:t>Потребно је размотрити</w:t>
            </w:r>
          </w:p>
        </w:tc>
      </w:tr>
      <w:tr w:rsidR="00854ADA" w:rsidRPr="00FF386D" w14:paraId="080DEAEB"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60A7F4A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2661913F" w14:textId="60AC2B16"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5E6514" w:rsidRPr="00FF386D">
              <w:rPr>
                <w:rFonts w:asciiTheme="majorHAnsi" w:eastAsia="Times New Roman" w:hAnsiTheme="majorHAnsi" w:cstheme="majorHAnsi"/>
                <w:color w:val="000000"/>
                <w:sz w:val="20"/>
                <w:szCs w:val="20"/>
                <w:lang w:eastAsia="en-GB"/>
              </w:rPr>
              <w:t>ска</w:t>
            </w:r>
            <w:r w:rsidRPr="00FF386D">
              <w:rPr>
                <w:rFonts w:asciiTheme="majorHAnsi" w:eastAsia="Times New Roman" w:hAnsiTheme="majorHAnsi" w:cstheme="majorHAnsi"/>
                <w:color w:val="000000"/>
                <w:sz w:val="20"/>
                <w:szCs w:val="20"/>
                <w:lang w:eastAsia="en-GB"/>
              </w:rPr>
              <w:t xml:space="preserve"> и </w:t>
            </w:r>
            <w:r w:rsidR="005E6514" w:rsidRPr="00FF386D">
              <w:rPr>
                <w:rFonts w:asciiTheme="majorHAnsi" w:eastAsia="Times New Roman" w:hAnsiTheme="majorHAnsi" w:cstheme="majorHAnsi"/>
                <w:color w:val="000000"/>
                <w:sz w:val="20"/>
                <w:szCs w:val="20"/>
                <w:lang w:eastAsia="en-GB"/>
              </w:rPr>
              <w:t xml:space="preserve">сопствена </w:t>
            </w:r>
            <w:r w:rsidRPr="00FF386D">
              <w:rPr>
                <w:rFonts w:asciiTheme="majorHAnsi" w:eastAsia="Times New Roman" w:hAnsiTheme="majorHAnsi" w:cstheme="majorHAnsi"/>
                <w:color w:val="000000"/>
                <w:sz w:val="20"/>
                <w:szCs w:val="20"/>
                <w:lang w:eastAsia="en-GB"/>
              </w:rPr>
              <w:t>средства</w:t>
            </w:r>
          </w:p>
        </w:tc>
      </w:tr>
    </w:tbl>
    <w:p w14:paraId="18F9E25C"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10"/>
        <w:gridCol w:w="1007"/>
        <w:gridCol w:w="943"/>
        <w:gridCol w:w="4198"/>
      </w:tblGrid>
      <w:tr w:rsidR="00854ADA" w:rsidRPr="00FF386D" w14:paraId="033CFF00" w14:textId="77777777" w:rsidTr="0057310C">
        <w:trPr>
          <w:trHeight w:val="780"/>
        </w:trPr>
        <w:tc>
          <w:tcPr>
            <w:tcW w:w="3310"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456DA49C"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1A50CF90"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МП_ЕЕ17</w:t>
            </w:r>
          </w:p>
        </w:tc>
        <w:tc>
          <w:tcPr>
            <w:tcW w:w="943" w:type="dxa"/>
            <w:tcBorders>
              <w:top w:val="single" w:sz="8" w:space="0" w:color="auto"/>
              <w:left w:val="nil"/>
              <w:bottom w:val="single" w:sz="8" w:space="0" w:color="auto"/>
              <w:right w:val="single" w:sz="8" w:space="0" w:color="auto"/>
            </w:tcBorders>
            <w:shd w:val="clear" w:color="000000" w:fill="244062"/>
            <w:vAlign w:val="center"/>
            <w:hideMark/>
          </w:tcPr>
          <w:p w14:paraId="2937877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98" w:type="dxa"/>
            <w:tcBorders>
              <w:top w:val="single" w:sz="8" w:space="0" w:color="auto"/>
              <w:left w:val="nil"/>
              <w:bottom w:val="single" w:sz="8" w:space="0" w:color="auto"/>
              <w:right w:val="single" w:sz="8" w:space="0" w:color="auto"/>
            </w:tcBorders>
            <w:shd w:val="clear" w:color="auto" w:fill="E7E6E6" w:themeFill="background2"/>
            <w:vAlign w:val="center"/>
            <w:hideMark/>
          </w:tcPr>
          <w:p w14:paraId="52543333" w14:textId="0798E1DB" w:rsidR="00854ADA" w:rsidRPr="00FF386D" w:rsidRDefault="00854ADA" w:rsidP="00854ADA">
            <w:pPr>
              <w:spacing w:after="0" w:line="240" w:lineRule="auto"/>
              <w:rPr>
                <w:rFonts w:ascii="Calibri Light" w:eastAsia="Times New Roman" w:hAnsi="Calibri Light" w:cs="Calibri Light"/>
                <w:b/>
                <w:bCs/>
                <w:color w:val="000000"/>
                <w:sz w:val="20"/>
                <w:szCs w:val="20"/>
                <w:lang w:eastAsia="en-GB"/>
              </w:rPr>
            </w:pPr>
            <w:r w:rsidRPr="00FF386D">
              <w:rPr>
                <w:rFonts w:ascii="Calibri Light" w:hAnsi="Calibri Light"/>
                <w:b/>
                <w:sz w:val="20"/>
              </w:rPr>
              <w:t>П</w:t>
            </w:r>
            <w:r w:rsidR="00D72C56" w:rsidRPr="00FF386D">
              <w:rPr>
                <w:rFonts w:ascii="Calibri Light" w:hAnsi="Calibri Light"/>
                <w:b/>
                <w:sz w:val="20"/>
              </w:rPr>
              <w:t>одстицање</w:t>
            </w:r>
            <w:r w:rsidRPr="00FF386D">
              <w:rPr>
                <w:rFonts w:ascii="Calibri Light" w:hAnsi="Calibri Light"/>
                <w:b/>
                <w:sz w:val="20"/>
              </w:rPr>
              <w:t xml:space="preserve"> енергетске ефикасности у железничком саобраћају</w:t>
            </w:r>
          </w:p>
        </w:tc>
      </w:tr>
      <w:tr w:rsidR="00854ADA" w:rsidRPr="00FF386D" w14:paraId="652BBA6A" w14:textId="77777777" w:rsidTr="0057310C">
        <w:trPr>
          <w:trHeight w:val="533"/>
        </w:trPr>
        <w:tc>
          <w:tcPr>
            <w:tcW w:w="3310" w:type="dxa"/>
            <w:tcBorders>
              <w:top w:val="nil"/>
              <w:left w:val="single" w:sz="8" w:space="0" w:color="auto"/>
              <w:bottom w:val="single" w:sz="8" w:space="0" w:color="auto"/>
              <w:right w:val="nil"/>
            </w:tcBorders>
            <w:shd w:val="clear" w:color="000000" w:fill="244062"/>
            <w:vAlign w:val="center"/>
            <w:hideMark/>
          </w:tcPr>
          <w:p w14:paraId="560F63D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277500FA" w14:textId="19947FB6" w:rsidR="00854ADA" w:rsidRPr="000A2AFE" w:rsidRDefault="00D72C56"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Примена</w:t>
            </w:r>
            <w:r w:rsidR="00854ADA" w:rsidRPr="00FF386D">
              <w:rPr>
                <w:rFonts w:ascii="Calibri Light" w:hAnsi="Calibri Light"/>
                <w:sz w:val="20"/>
              </w:rPr>
              <w:t xml:space="preserve"> чланова Директиве </w:t>
            </w:r>
            <w:r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2018/2002</w:t>
            </w:r>
            <w:r w:rsidRPr="00FF386D">
              <w:rPr>
                <w:rFonts w:ascii="Calibri Light" w:hAnsi="Calibri Light"/>
                <w:sz w:val="20"/>
              </w:rPr>
              <w:t>, и то</w:t>
            </w:r>
            <w:r w:rsidR="00854ADA" w:rsidRPr="000A2AFE">
              <w:rPr>
                <w:rFonts w:ascii="Calibri Light" w:eastAsia="Times New Roman" w:hAnsi="Calibri Light" w:cs="Calibri Light"/>
                <w:color w:val="000000"/>
                <w:sz w:val="20"/>
                <w:szCs w:val="20"/>
                <w:lang w:eastAsia="en-GB"/>
              </w:rPr>
              <w:t>:</w:t>
            </w:r>
          </w:p>
          <w:p w14:paraId="4EB33C34" w14:textId="25CAD228" w:rsidR="00854ADA" w:rsidRPr="000A2AFE" w:rsidRDefault="00854ADA" w:rsidP="00854ADA">
            <w:pPr>
              <w:numPr>
                <w:ilvl w:val="0"/>
                <w:numId w:val="2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370AE4"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3</w:t>
            </w:r>
          </w:p>
          <w:p w14:paraId="4D19785F" w14:textId="70ED060B" w:rsidR="00854ADA" w:rsidRPr="00FF386D" w:rsidRDefault="00854ADA" w:rsidP="00854ADA">
            <w:pPr>
              <w:numPr>
                <w:ilvl w:val="0"/>
                <w:numId w:val="138"/>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370AE4"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7</w:t>
            </w:r>
          </w:p>
        </w:tc>
      </w:tr>
      <w:tr w:rsidR="00854ADA" w:rsidRPr="00FF386D" w14:paraId="6F6A6400"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599B4F8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36477BF0" w14:textId="53819828" w:rsidR="00854ADA" w:rsidRPr="000A2AFE" w:rsidRDefault="008D615C" w:rsidP="00854ADA">
            <w:pPr>
              <w:spacing w:after="0" w:line="240" w:lineRule="auto"/>
              <w:rPr>
                <w:rFonts w:ascii="Calibri Light" w:hAnsi="Calibri Light"/>
                <w:sz w:val="20"/>
              </w:rPr>
            </w:pPr>
            <w:r w:rsidRPr="000A2AFE">
              <w:rPr>
                <w:rFonts w:ascii="Calibri Light" w:hAnsi="Calibri Light"/>
                <w:sz w:val="20"/>
              </w:rPr>
              <w:t>Допринос постизању очекиваних нивоа финалне потрошње енергије у сектору саобраћаја</w:t>
            </w:r>
          </w:p>
        </w:tc>
      </w:tr>
      <w:tr w:rsidR="00854ADA" w:rsidRPr="00FF386D" w14:paraId="3F8F07E7" w14:textId="77777777" w:rsidTr="0057310C">
        <w:trPr>
          <w:trHeight w:val="132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5F8B4E9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7E528A42" w14:textId="771A59B6"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МП_ЕЕ17 ће бити усмерена на модернизацију и проширење постојеће железничке инфраструктуре пружањем финансијских</w:t>
            </w:r>
            <w:r w:rsidR="008D615C">
              <w:rPr>
                <w:rFonts w:ascii="Calibri Light" w:hAnsi="Calibri Light"/>
                <w:sz w:val="20"/>
              </w:rPr>
              <w:t>,</w:t>
            </w:r>
            <w:r w:rsidRPr="00FF386D">
              <w:rPr>
                <w:rFonts w:ascii="Calibri Light" w:hAnsi="Calibri Light"/>
                <w:sz w:val="20"/>
              </w:rPr>
              <w:t xml:space="preserve"> фискалних </w:t>
            </w:r>
            <w:r w:rsidR="008D615C">
              <w:rPr>
                <w:rFonts w:ascii="Calibri Light" w:hAnsi="Calibri Light"/>
                <w:sz w:val="20"/>
              </w:rPr>
              <w:t>и</w:t>
            </w:r>
            <w:r w:rsidR="00966DAA">
              <w:rPr>
                <w:rFonts w:ascii="Calibri Light" w:hAnsi="Calibri Light"/>
                <w:sz w:val="20"/>
              </w:rPr>
              <w:t>ли</w:t>
            </w:r>
            <w:r w:rsidR="008D615C">
              <w:rPr>
                <w:rFonts w:ascii="Calibri Light" w:hAnsi="Calibri Light"/>
                <w:sz w:val="20"/>
              </w:rPr>
              <w:t xml:space="preserve"> </w:t>
            </w:r>
            <w:r w:rsidRPr="00FF386D">
              <w:rPr>
                <w:rFonts w:ascii="Calibri Light" w:hAnsi="Calibri Light"/>
                <w:sz w:val="20"/>
              </w:rPr>
              <w:t xml:space="preserve">регулаторних мера. </w:t>
            </w:r>
            <w:r w:rsidR="008D615C" w:rsidRPr="008D615C">
              <w:rPr>
                <w:rFonts w:ascii="Calibri Light" w:hAnsi="Calibri Light"/>
                <w:sz w:val="20"/>
              </w:rPr>
              <w:t>Биће спроведено унапређење постојеће железничке мреже и изградња нове железнице, заједно са електрификацијом железничке мреже на деоницама на којима је то могуће постићи.</w:t>
            </w:r>
            <w:r w:rsidR="008D615C">
              <w:rPr>
                <w:rFonts w:ascii="Calibri Light" w:hAnsi="Calibri Light"/>
                <w:sz w:val="20"/>
              </w:rPr>
              <w:t xml:space="preserve"> </w:t>
            </w:r>
            <w:r w:rsidR="00B21A3A" w:rsidRPr="00FF386D">
              <w:rPr>
                <w:rFonts w:ascii="Calibri Light" w:hAnsi="Calibri Light"/>
                <w:sz w:val="20"/>
              </w:rPr>
              <w:t xml:space="preserve">Спровешће се набавка </w:t>
            </w:r>
            <w:r w:rsidRPr="00FF386D">
              <w:rPr>
                <w:rFonts w:ascii="Calibri Light" w:hAnsi="Calibri Light"/>
                <w:sz w:val="20"/>
              </w:rPr>
              <w:t>нови</w:t>
            </w:r>
            <w:r w:rsidR="00B21A3A" w:rsidRPr="00FF386D">
              <w:rPr>
                <w:rFonts w:ascii="Calibri Light" w:hAnsi="Calibri Light"/>
                <w:sz w:val="20"/>
              </w:rPr>
              <w:t>х</w:t>
            </w:r>
            <w:r w:rsidRPr="00FF386D">
              <w:rPr>
                <w:rFonts w:ascii="Calibri Light" w:hAnsi="Calibri Light"/>
                <w:sz w:val="20"/>
              </w:rPr>
              <w:t xml:space="preserve"> енергетски ефикасни</w:t>
            </w:r>
            <w:r w:rsidR="00B21A3A" w:rsidRPr="00FF386D">
              <w:rPr>
                <w:rFonts w:ascii="Calibri Light" w:hAnsi="Calibri Light"/>
                <w:sz w:val="20"/>
              </w:rPr>
              <w:t>х</w:t>
            </w:r>
            <w:r w:rsidRPr="00FF386D">
              <w:rPr>
                <w:rFonts w:ascii="Calibri Light" w:hAnsi="Calibri Light"/>
                <w:sz w:val="20"/>
              </w:rPr>
              <w:t xml:space="preserve"> </w:t>
            </w:r>
            <w:r w:rsidR="00351084" w:rsidRPr="00FF386D">
              <w:rPr>
                <w:rFonts w:ascii="Calibri Light" w:hAnsi="Calibri Light"/>
                <w:sz w:val="20"/>
              </w:rPr>
              <w:t xml:space="preserve">возова </w:t>
            </w:r>
            <w:r w:rsidRPr="00FF386D">
              <w:rPr>
                <w:rFonts w:ascii="Calibri Light" w:hAnsi="Calibri Light"/>
                <w:sz w:val="20"/>
              </w:rPr>
              <w:t>уместо конвенционалних. Поред тога, железничка мрежа ће бити повезана са производним центрима и лукама, и биће инсталирани паметни дигитални системи за управљање железничким саобраћајем.</w:t>
            </w:r>
            <w:r w:rsidR="007B5741">
              <w:rPr>
                <w:rFonts w:ascii="Calibri Light" w:hAnsi="Calibri Light"/>
                <w:sz w:val="20"/>
              </w:rPr>
              <w:t xml:space="preserve"> </w:t>
            </w:r>
            <w:r w:rsidR="007B5741" w:rsidRPr="007B5741">
              <w:rPr>
                <w:rFonts w:ascii="Calibri Light" w:hAnsi="Calibri Light"/>
                <w:sz w:val="20"/>
              </w:rPr>
              <w:t>У погледу промовисања промене модалитета, масовно коришћење превоза железницом ће бити развијено и подржано, како у међуградском саобраћају, тако и на подручју града, развојем градског-приградског железничког система, на такав начин да се радне, пословне и мешовите зоне у планским документима смештају близу железнице, а железнички саобраћај синхронизује и интегрише са другим видовима саобраћаја у систем јавног превоза.</w:t>
            </w:r>
          </w:p>
        </w:tc>
      </w:tr>
      <w:tr w:rsidR="00854ADA" w:rsidRPr="00FF386D" w14:paraId="391E5318"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6D2F018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3F5BA038" w14:textId="48A0601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D72C56" w:rsidRPr="00FF386D">
              <w:rPr>
                <w:rFonts w:ascii="Calibri Light" w:hAnsi="Calibri Light"/>
                <w:sz w:val="20"/>
              </w:rPr>
              <w:t>5</w:t>
            </w:r>
            <w:r w:rsidRPr="00FF386D">
              <w:rPr>
                <w:rFonts w:ascii="Calibri Light" w:hAnsi="Calibri Light"/>
                <w:sz w:val="20"/>
              </w:rPr>
              <w:t>-2030.</w:t>
            </w:r>
          </w:p>
        </w:tc>
      </w:tr>
      <w:tr w:rsidR="00854ADA" w:rsidRPr="00FF386D" w14:paraId="19F86C83"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5B6695E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0990FAF6"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Инвестиција</w:t>
            </w:r>
          </w:p>
        </w:tc>
      </w:tr>
      <w:tr w:rsidR="00854ADA" w:rsidRPr="00FF386D" w14:paraId="26BC53FA"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6A67997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2376FC5D"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Саобраћај</w:t>
            </w:r>
          </w:p>
        </w:tc>
      </w:tr>
      <w:tr w:rsidR="00854ADA" w:rsidRPr="00FF386D" w14:paraId="05110345"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21EE6FA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533DCDE7" w14:textId="48F09014" w:rsidR="00854ADA" w:rsidRPr="000A2AFE" w:rsidRDefault="00D72C56" w:rsidP="000A2AFE">
            <w:pPr>
              <w:pStyle w:val="ListParagraph"/>
              <w:numPr>
                <w:ilvl w:val="0"/>
                <w:numId w:val="316"/>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6220E179" w14:textId="77777777" w:rsidTr="0057310C">
        <w:trPr>
          <w:trHeight w:val="315"/>
        </w:trPr>
        <w:tc>
          <w:tcPr>
            <w:tcW w:w="3310" w:type="dxa"/>
            <w:tcBorders>
              <w:top w:val="nil"/>
              <w:left w:val="single" w:sz="8" w:space="0" w:color="auto"/>
              <w:bottom w:val="single" w:sz="8" w:space="0" w:color="auto"/>
              <w:right w:val="nil"/>
            </w:tcBorders>
            <w:shd w:val="clear" w:color="000000" w:fill="244062"/>
            <w:vAlign w:val="center"/>
            <w:hideMark/>
          </w:tcPr>
          <w:p w14:paraId="78B7143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228EFA31" w14:textId="261B26A4" w:rsidR="00854ADA" w:rsidRPr="000A2AFE" w:rsidRDefault="00966DAA" w:rsidP="000A2AFE">
            <w:pPr>
              <w:pStyle w:val="ListParagraph"/>
              <w:numPr>
                <w:ilvl w:val="0"/>
                <w:numId w:val="138"/>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5BE79157" w14:textId="77777777" w:rsidTr="0057310C">
        <w:trPr>
          <w:trHeight w:val="315"/>
        </w:trPr>
        <w:tc>
          <w:tcPr>
            <w:tcW w:w="3310" w:type="dxa"/>
            <w:tcBorders>
              <w:top w:val="nil"/>
              <w:left w:val="single" w:sz="8" w:space="0" w:color="auto"/>
              <w:bottom w:val="single" w:sz="8" w:space="0" w:color="auto"/>
              <w:right w:val="nil"/>
            </w:tcBorders>
            <w:shd w:val="clear" w:color="000000" w:fill="244062"/>
            <w:vAlign w:val="center"/>
            <w:hideMark/>
          </w:tcPr>
          <w:p w14:paraId="2276B73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3F5FDE7F" w14:textId="77777777" w:rsidR="00854ADA" w:rsidRPr="00FF386D" w:rsidRDefault="00854ADA" w:rsidP="00854ADA">
            <w:pPr>
              <w:numPr>
                <w:ilvl w:val="0"/>
                <w:numId w:val="14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Обухваћени путнички и теретни саобраћај</w:t>
            </w:r>
          </w:p>
        </w:tc>
      </w:tr>
      <w:tr w:rsidR="00854ADA" w:rsidRPr="00FF386D" w14:paraId="6B3F5CD4" w14:textId="77777777" w:rsidTr="0057310C">
        <w:trPr>
          <w:trHeight w:val="382"/>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5DBFA35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2B0C9D2B" w14:textId="4FD43DEF" w:rsidR="00966DAA" w:rsidRPr="00966DAA" w:rsidRDefault="00966DAA" w:rsidP="00966DAA">
            <w:pPr>
              <w:numPr>
                <w:ilvl w:val="0"/>
                <w:numId w:val="140"/>
              </w:numPr>
              <w:spacing w:after="0" w:line="240" w:lineRule="auto"/>
              <w:contextualSpacing/>
              <w:rPr>
                <w:rFonts w:ascii="Calibri Light" w:eastAsia="Times New Roman" w:hAnsi="Calibri Light" w:cs="Calibri Light"/>
                <w:color w:val="000000"/>
                <w:sz w:val="20"/>
                <w:szCs w:val="20"/>
                <w:lang w:eastAsia="en-GB"/>
              </w:rPr>
            </w:pPr>
            <w:r w:rsidRPr="00966DAA">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966DAA">
              <w:rPr>
                <w:rFonts w:ascii="Calibri Light" w:eastAsia="Times New Roman" w:hAnsi="Calibri Light" w:cs="Calibri Light"/>
                <w:i/>
                <w:iCs/>
                <w:color w:val="000000"/>
                <w:sz w:val="20"/>
                <w:szCs w:val="20"/>
                <w:lang w:val="en-US" w:eastAsia="en-GB"/>
              </w:rPr>
              <w:t>GHG</w:t>
            </w:r>
            <w:r w:rsidRPr="00966DAA">
              <w:rPr>
                <w:rFonts w:ascii="Calibri Light" w:eastAsia="Times New Roman" w:hAnsi="Calibri Light" w:cs="Calibri Light"/>
                <w:i/>
                <w:iCs/>
                <w:color w:val="000000"/>
                <w:sz w:val="20"/>
                <w:szCs w:val="20"/>
                <w:lang w:eastAsia="en-GB"/>
              </w:rPr>
              <w:t xml:space="preserve"> </w:t>
            </w:r>
            <w:r w:rsidRPr="00966DAA">
              <w:rPr>
                <w:rFonts w:ascii="Calibri Light" w:eastAsia="Times New Roman" w:hAnsi="Calibri Light" w:cs="Calibri Light"/>
                <w:color w:val="000000"/>
                <w:sz w:val="20"/>
                <w:szCs w:val="20"/>
                <w:lang w:eastAsia="en-GB"/>
              </w:rPr>
              <w:t>а пром</w:t>
            </w:r>
            <w:r w:rsidR="00364B8A">
              <w:rPr>
                <w:rFonts w:ascii="Calibri Light" w:eastAsia="Times New Roman" w:hAnsi="Calibri Light" w:cs="Calibri Light"/>
                <w:color w:val="000000"/>
                <w:sz w:val="20"/>
                <w:szCs w:val="20"/>
                <w:lang w:eastAsia="en-GB"/>
              </w:rPr>
              <w:t>о</w:t>
            </w:r>
            <w:r w:rsidRPr="00966DAA">
              <w:rPr>
                <w:rFonts w:ascii="Calibri Light" w:eastAsia="Times New Roman" w:hAnsi="Calibri Light" w:cs="Calibri Light"/>
                <w:color w:val="000000"/>
                <w:sz w:val="20"/>
                <w:szCs w:val="20"/>
                <w:lang w:eastAsia="en-GB"/>
              </w:rPr>
              <w:t xml:space="preserve">висана </w:t>
            </w:r>
            <w:r>
              <w:rPr>
                <w:rFonts w:ascii="Calibri Light" w:eastAsia="Times New Roman" w:hAnsi="Calibri Light" w:cs="Calibri Light"/>
                <w:color w:val="000000"/>
                <w:sz w:val="20"/>
                <w:szCs w:val="20"/>
                <w:lang w:eastAsia="en-GB"/>
              </w:rPr>
              <w:t>електрични возови</w:t>
            </w:r>
            <w:r w:rsidRPr="00966DAA">
              <w:rPr>
                <w:rFonts w:ascii="Calibri Light" w:eastAsia="Times New Roman" w:hAnsi="Calibri Light" w:cs="Calibri Light"/>
                <w:color w:val="000000"/>
                <w:sz w:val="20"/>
                <w:szCs w:val="20"/>
                <w:lang w:eastAsia="en-GB"/>
              </w:rPr>
              <w:t xml:space="preserve"> ће довести до повећања удела ОИЕ у саобраћају)</w:t>
            </w:r>
          </w:p>
          <w:p w14:paraId="1BE99680" w14:textId="7FC98418" w:rsidR="00854ADA" w:rsidRPr="00FF386D" w:rsidRDefault="00966DAA" w:rsidP="00966DAA">
            <w:pPr>
              <w:numPr>
                <w:ilvl w:val="0"/>
                <w:numId w:val="140"/>
              </w:numPr>
              <w:spacing w:after="0" w:line="240" w:lineRule="auto"/>
              <w:contextualSpacing/>
              <w:rPr>
                <w:rFonts w:ascii="Calibri Light" w:eastAsia="Times New Roman" w:hAnsi="Calibri Light" w:cs="Calibri Light"/>
                <w:color w:val="000000"/>
                <w:sz w:val="20"/>
                <w:szCs w:val="20"/>
                <w:lang w:eastAsia="en-GB"/>
              </w:rPr>
            </w:pPr>
            <w:r w:rsidRPr="00966DAA">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854ADA" w:rsidRPr="00FF386D" w14:paraId="048ECA2D" w14:textId="77777777" w:rsidTr="0057310C">
        <w:trPr>
          <w:trHeight w:val="450"/>
        </w:trPr>
        <w:tc>
          <w:tcPr>
            <w:tcW w:w="3310"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78D910EC" w14:textId="4ACB1AEA"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48"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3A6B1AC1" w14:textId="77777777" w:rsidR="00854ADA" w:rsidRPr="000A2AFE" w:rsidRDefault="00854ADA" w:rsidP="00D72C56">
            <w:pPr>
              <w:pStyle w:val="ListParagraph"/>
              <w:numPr>
                <w:ilvl w:val="0"/>
                <w:numId w:val="140"/>
              </w:num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Pr="000A2AFE">
              <w:rPr>
                <w:rFonts w:ascii="Calibri Light" w:eastAsia="Times New Roman" w:hAnsi="Calibri Light" w:cs="Calibri Light"/>
                <w:color w:val="000000"/>
                <w:sz w:val="20"/>
                <w:szCs w:val="20"/>
                <w:lang w:eastAsia="en-GB"/>
              </w:rPr>
              <w:t>2012/27/ЕУ</w:t>
            </w:r>
          </w:p>
          <w:p w14:paraId="39EE430B" w14:textId="77777777" w:rsidR="00854ADA" w:rsidRPr="00FF386D" w:rsidRDefault="00854ADA" w:rsidP="00854ADA">
            <w:pPr>
              <w:numPr>
                <w:ilvl w:val="0"/>
                <w:numId w:val="14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Pr="000A2AFE">
              <w:rPr>
                <w:rFonts w:ascii="Calibri Light" w:eastAsia="Times New Roman" w:hAnsi="Calibri Light" w:cs="Calibri Light"/>
                <w:color w:val="000000"/>
                <w:sz w:val="20"/>
                <w:szCs w:val="20"/>
                <w:lang w:eastAsia="en-GB"/>
              </w:rPr>
              <w:t>2018/2002/ЕУ</w:t>
            </w:r>
          </w:p>
        </w:tc>
      </w:tr>
      <w:tr w:rsidR="00854ADA" w:rsidRPr="00FF386D" w14:paraId="71CFAB82" w14:textId="77777777" w:rsidTr="0057310C">
        <w:trPr>
          <w:trHeight w:val="450"/>
        </w:trPr>
        <w:tc>
          <w:tcPr>
            <w:tcW w:w="3310" w:type="dxa"/>
            <w:vMerge/>
            <w:tcBorders>
              <w:top w:val="nil"/>
              <w:left w:val="single" w:sz="8" w:space="0" w:color="auto"/>
              <w:bottom w:val="single" w:sz="8" w:space="0" w:color="000000"/>
              <w:right w:val="single" w:sz="8" w:space="0" w:color="auto"/>
            </w:tcBorders>
            <w:vAlign w:val="center"/>
            <w:hideMark/>
          </w:tcPr>
          <w:p w14:paraId="74EED74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8" w:type="dxa"/>
            <w:gridSpan w:val="3"/>
            <w:vMerge/>
            <w:tcBorders>
              <w:top w:val="single" w:sz="8" w:space="0" w:color="auto"/>
              <w:left w:val="single" w:sz="8" w:space="0" w:color="auto"/>
              <w:bottom w:val="single" w:sz="8" w:space="0" w:color="000000"/>
              <w:right w:val="single" w:sz="8" w:space="0" w:color="000000"/>
            </w:tcBorders>
            <w:vAlign w:val="center"/>
            <w:hideMark/>
          </w:tcPr>
          <w:p w14:paraId="09C55161" w14:textId="77777777" w:rsidR="00854ADA" w:rsidRPr="00FF386D" w:rsidRDefault="00854ADA" w:rsidP="00854ADA">
            <w:pPr>
              <w:numPr>
                <w:ilvl w:val="0"/>
                <w:numId w:val="140"/>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10D4C8C9" w14:textId="77777777" w:rsidTr="0057310C">
        <w:trPr>
          <w:trHeight w:val="450"/>
        </w:trPr>
        <w:tc>
          <w:tcPr>
            <w:tcW w:w="3310" w:type="dxa"/>
            <w:vMerge/>
            <w:tcBorders>
              <w:top w:val="nil"/>
              <w:left w:val="single" w:sz="8" w:space="0" w:color="auto"/>
              <w:bottom w:val="single" w:sz="8" w:space="0" w:color="000000"/>
              <w:right w:val="single" w:sz="8" w:space="0" w:color="auto"/>
            </w:tcBorders>
            <w:vAlign w:val="center"/>
            <w:hideMark/>
          </w:tcPr>
          <w:p w14:paraId="46F3A00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8" w:type="dxa"/>
            <w:gridSpan w:val="3"/>
            <w:vMerge/>
            <w:tcBorders>
              <w:top w:val="single" w:sz="8" w:space="0" w:color="auto"/>
              <w:left w:val="single" w:sz="8" w:space="0" w:color="auto"/>
              <w:bottom w:val="single" w:sz="8" w:space="0" w:color="000000"/>
              <w:right w:val="single" w:sz="8" w:space="0" w:color="000000"/>
            </w:tcBorders>
            <w:vAlign w:val="center"/>
            <w:hideMark/>
          </w:tcPr>
          <w:p w14:paraId="0B4FD616" w14:textId="77777777" w:rsidR="00854ADA" w:rsidRPr="00FF386D" w:rsidRDefault="00854ADA" w:rsidP="00854ADA">
            <w:pPr>
              <w:numPr>
                <w:ilvl w:val="0"/>
                <w:numId w:val="140"/>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1A45FD90" w14:textId="77777777" w:rsidTr="0057310C">
        <w:trPr>
          <w:trHeight w:val="44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4E2782B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5CCF5D95" w14:textId="185DBFAE" w:rsidR="00854ADA" w:rsidRPr="00FF386D" w:rsidRDefault="00854ADA" w:rsidP="00854ADA">
            <w:pPr>
              <w:numPr>
                <w:ilvl w:val="0"/>
                <w:numId w:val="14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Стратегија одрживог урбаног развоја </w:t>
            </w:r>
            <w:r w:rsidR="007B5741" w:rsidRPr="007B5741">
              <w:rPr>
                <w:rFonts w:ascii="Calibri Light" w:eastAsia="Times New Roman" w:hAnsi="Calibri Light" w:cs="Calibri Light"/>
                <w:color w:val="000000"/>
                <w:sz w:val="20"/>
                <w:szCs w:val="20"/>
                <w:lang w:eastAsia="en-GB"/>
              </w:rPr>
              <w:t xml:space="preserve">Републике Србије до </w:t>
            </w:r>
            <w:r w:rsidRPr="00FF386D">
              <w:rPr>
                <w:rFonts w:ascii="Calibri Light" w:eastAsia="Times New Roman" w:hAnsi="Calibri Light" w:cs="Calibri Light"/>
                <w:color w:val="000000"/>
                <w:sz w:val="20"/>
                <w:szCs w:val="20"/>
                <w:lang w:eastAsia="en-GB"/>
              </w:rPr>
              <w:t>2030. годин</w:t>
            </w:r>
            <w:r w:rsidR="007B5741">
              <w:rPr>
                <w:rFonts w:ascii="Calibri Light" w:eastAsia="Times New Roman" w:hAnsi="Calibri Light" w:cs="Calibri Light"/>
                <w:color w:val="000000"/>
                <w:sz w:val="20"/>
                <w:szCs w:val="20"/>
                <w:lang w:eastAsia="en-GB"/>
              </w:rPr>
              <w:t>е</w:t>
            </w:r>
          </w:p>
        </w:tc>
      </w:tr>
      <w:tr w:rsidR="00854ADA" w:rsidRPr="00FF386D" w14:paraId="53206049"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0A1D4E6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2154F3F9" w14:textId="687C88CF" w:rsidR="00854ADA" w:rsidRPr="00FF386D" w:rsidRDefault="00D72C56"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256</w:t>
            </w:r>
            <w:r w:rsidR="00854ADA" w:rsidRPr="00FF386D">
              <w:rPr>
                <w:rFonts w:ascii="Calibri Light" w:eastAsia="Times New Roman" w:hAnsi="Calibri Light" w:cs="Calibri Light"/>
                <w:color w:val="000000"/>
                <w:sz w:val="20"/>
                <w:szCs w:val="20"/>
                <w:lang w:eastAsia="en-GB"/>
              </w:rPr>
              <w:t xml:space="preserve"> милиона евра</w:t>
            </w:r>
          </w:p>
        </w:tc>
      </w:tr>
      <w:tr w:rsidR="00854ADA" w:rsidRPr="00FF386D" w14:paraId="534BB40E"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1C1ABFA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4936B85D" w14:textId="60B493A4"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D72C56" w:rsidRPr="00FF386D">
              <w:rPr>
                <w:rFonts w:asciiTheme="majorHAnsi" w:eastAsia="Times New Roman" w:hAnsiTheme="majorHAnsi" w:cstheme="majorHAnsi"/>
                <w:color w:val="000000"/>
                <w:sz w:val="20"/>
                <w:szCs w:val="20"/>
                <w:lang w:eastAsia="en-GB"/>
              </w:rPr>
              <w:t>ска средства</w:t>
            </w:r>
          </w:p>
        </w:tc>
      </w:tr>
    </w:tbl>
    <w:p w14:paraId="1A4768FC"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06"/>
        <w:gridCol w:w="1007"/>
        <w:gridCol w:w="942"/>
        <w:gridCol w:w="4203"/>
      </w:tblGrid>
      <w:tr w:rsidR="00854ADA" w:rsidRPr="00FF386D" w14:paraId="7F9B56CF" w14:textId="77777777" w:rsidTr="0057310C">
        <w:trPr>
          <w:trHeight w:val="780"/>
        </w:trPr>
        <w:tc>
          <w:tcPr>
            <w:tcW w:w="3306"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4093549A"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6F21759A"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МП_ЕЕ18</w:t>
            </w:r>
          </w:p>
        </w:tc>
        <w:tc>
          <w:tcPr>
            <w:tcW w:w="942" w:type="dxa"/>
            <w:tcBorders>
              <w:top w:val="single" w:sz="8" w:space="0" w:color="auto"/>
              <w:left w:val="nil"/>
              <w:bottom w:val="single" w:sz="8" w:space="0" w:color="auto"/>
              <w:right w:val="single" w:sz="8" w:space="0" w:color="auto"/>
            </w:tcBorders>
            <w:shd w:val="clear" w:color="000000" w:fill="244062"/>
            <w:vAlign w:val="center"/>
            <w:hideMark/>
          </w:tcPr>
          <w:p w14:paraId="71A9971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03" w:type="dxa"/>
            <w:tcBorders>
              <w:top w:val="single" w:sz="8" w:space="0" w:color="auto"/>
              <w:left w:val="nil"/>
              <w:bottom w:val="single" w:sz="8" w:space="0" w:color="auto"/>
              <w:right w:val="single" w:sz="8" w:space="0" w:color="auto"/>
            </w:tcBorders>
            <w:shd w:val="clear" w:color="auto" w:fill="E7E6E6" w:themeFill="background2"/>
            <w:vAlign w:val="center"/>
            <w:hideMark/>
          </w:tcPr>
          <w:p w14:paraId="12166131" w14:textId="22F80615" w:rsidR="00854ADA" w:rsidRPr="00FF386D" w:rsidRDefault="00B21A3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Стално унапређење</w:t>
            </w:r>
            <w:r w:rsidR="00854ADA" w:rsidRPr="00FF386D">
              <w:rPr>
                <w:rFonts w:ascii="Calibri Light" w:hAnsi="Calibri Light"/>
                <w:b/>
                <w:sz w:val="20"/>
              </w:rPr>
              <w:t xml:space="preserve"> и проширење одговарајуће инфраструктуре јавног превоза</w:t>
            </w:r>
          </w:p>
        </w:tc>
      </w:tr>
      <w:tr w:rsidR="00854ADA" w:rsidRPr="00FF386D" w14:paraId="0DF2B697" w14:textId="77777777" w:rsidTr="0057310C">
        <w:trPr>
          <w:trHeight w:val="960"/>
        </w:trPr>
        <w:tc>
          <w:tcPr>
            <w:tcW w:w="3306" w:type="dxa"/>
            <w:tcBorders>
              <w:top w:val="nil"/>
              <w:left w:val="single" w:sz="8" w:space="0" w:color="auto"/>
              <w:bottom w:val="single" w:sz="8" w:space="0" w:color="auto"/>
              <w:right w:val="nil"/>
            </w:tcBorders>
            <w:shd w:val="clear" w:color="000000" w:fill="244062"/>
            <w:vAlign w:val="center"/>
            <w:hideMark/>
          </w:tcPr>
          <w:p w14:paraId="055E446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Главни циљ:</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0C71F669" w14:textId="70F42030" w:rsidR="00854ADA" w:rsidRPr="000A2AFE" w:rsidRDefault="00D72C56"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 xml:space="preserve">Примена </w:t>
            </w:r>
            <w:r w:rsidR="00854ADA" w:rsidRPr="00FF386D">
              <w:rPr>
                <w:rFonts w:ascii="Calibri Light" w:hAnsi="Calibri Light"/>
                <w:sz w:val="20"/>
              </w:rPr>
              <w:t xml:space="preserve">чланова Директиве </w:t>
            </w:r>
            <w:r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2018/2002</w:t>
            </w:r>
            <w:r w:rsidRPr="00FF386D">
              <w:rPr>
                <w:rFonts w:ascii="Calibri Light" w:hAnsi="Calibri Light"/>
                <w:sz w:val="20"/>
              </w:rPr>
              <w:t>, и то</w:t>
            </w:r>
            <w:r w:rsidR="00854ADA" w:rsidRPr="000A2AFE">
              <w:rPr>
                <w:rFonts w:ascii="Calibri Light" w:eastAsia="Times New Roman" w:hAnsi="Calibri Light" w:cs="Calibri Light"/>
                <w:color w:val="000000"/>
                <w:sz w:val="20"/>
                <w:szCs w:val="20"/>
                <w:lang w:eastAsia="en-GB"/>
              </w:rPr>
              <w:t>:</w:t>
            </w:r>
          </w:p>
          <w:p w14:paraId="0B06E454" w14:textId="200E10D9" w:rsidR="00854ADA" w:rsidRPr="000A2AFE" w:rsidRDefault="00854ADA" w:rsidP="00854ADA">
            <w:pPr>
              <w:numPr>
                <w:ilvl w:val="0"/>
                <w:numId w:val="2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B21A3A"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3</w:t>
            </w:r>
          </w:p>
          <w:p w14:paraId="22721740" w14:textId="56A917AB" w:rsidR="00854ADA" w:rsidRPr="00FF386D" w:rsidRDefault="00854ADA" w:rsidP="00854ADA">
            <w:pPr>
              <w:numPr>
                <w:ilvl w:val="0"/>
                <w:numId w:val="139"/>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B21A3A"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7</w:t>
            </w:r>
          </w:p>
        </w:tc>
      </w:tr>
      <w:tr w:rsidR="00854ADA" w:rsidRPr="00FF386D" w14:paraId="63C445DB" w14:textId="77777777" w:rsidTr="0057310C">
        <w:trPr>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3353652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215C0F50" w14:textId="4F37943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2,</w:t>
            </w:r>
            <w:r w:rsidR="00D72C56" w:rsidRPr="00FF386D">
              <w:rPr>
                <w:rFonts w:asciiTheme="majorHAnsi" w:eastAsia="Times New Roman" w:hAnsiTheme="majorHAnsi" w:cstheme="majorHAnsi"/>
                <w:color w:val="000000"/>
                <w:sz w:val="20"/>
                <w:szCs w:val="20"/>
                <w:lang w:eastAsia="en-GB"/>
              </w:rPr>
              <w:t>4</w:t>
            </w:r>
            <w:r w:rsidRPr="00FF386D">
              <w:rPr>
                <w:rFonts w:asciiTheme="majorHAnsi" w:eastAsia="Times New Roman" w:hAnsiTheme="majorHAnsi" w:cstheme="majorHAnsi"/>
                <w:color w:val="000000"/>
                <w:sz w:val="20"/>
                <w:szCs w:val="20"/>
                <w:lang w:eastAsia="en-GB"/>
              </w:rPr>
              <w:t xml:space="preserve"> хиљад</w:t>
            </w:r>
            <w:r w:rsidR="00D72C56" w:rsidRPr="00FF386D">
              <w:rPr>
                <w:rFonts w:asciiTheme="majorHAnsi" w:eastAsia="Times New Roman" w:hAnsiTheme="majorHAnsi" w:cstheme="majorHAnsi"/>
                <w:color w:val="000000"/>
                <w:sz w:val="20"/>
                <w:szCs w:val="20"/>
                <w:lang w:eastAsia="en-GB"/>
              </w:rPr>
              <w:t>е</w:t>
            </w:r>
            <w:r w:rsidRPr="00FF386D">
              <w:rPr>
                <w:rFonts w:asciiTheme="majorHAnsi" w:eastAsia="Times New Roman" w:hAnsiTheme="majorHAnsi" w:cstheme="majorHAnsi"/>
                <w:color w:val="000000"/>
                <w:sz w:val="20"/>
                <w:szCs w:val="20"/>
                <w:lang w:eastAsia="en-GB"/>
              </w:rPr>
              <w:t xml:space="preserve"> електричних аутобуса (уштеда финалне енергије 1</w:t>
            </w:r>
            <w:r w:rsidR="00D72C56" w:rsidRPr="00FF386D">
              <w:rPr>
                <w:rFonts w:asciiTheme="majorHAnsi" w:eastAsia="Times New Roman" w:hAnsiTheme="majorHAnsi" w:cstheme="majorHAnsi"/>
                <w:color w:val="000000"/>
                <w:sz w:val="20"/>
                <w:szCs w:val="20"/>
                <w:lang w:eastAsia="en-GB"/>
              </w:rPr>
              <w:t xml:space="preserve">7 </w:t>
            </w:r>
            <w:r w:rsidRPr="00FF386D">
              <w:rPr>
                <w:rFonts w:asciiTheme="majorHAnsi" w:eastAsia="Times New Roman" w:hAnsiTheme="majorHAnsi" w:cstheme="majorHAnsi"/>
                <w:color w:val="000000"/>
                <w:sz w:val="20"/>
                <w:szCs w:val="20"/>
                <w:lang w:eastAsia="en-GB"/>
              </w:rPr>
              <w:t>ktoe)</w:t>
            </w:r>
          </w:p>
        </w:tc>
      </w:tr>
      <w:tr w:rsidR="00854ADA" w:rsidRPr="00FF386D" w14:paraId="2E0B3A3D" w14:textId="77777777" w:rsidTr="0057310C">
        <w:trPr>
          <w:trHeight w:val="229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7BB8BB9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7900C825" w14:textId="428CAA52"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МП_ЕЕ18 ће подржати </w:t>
            </w:r>
            <w:r w:rsidR="00D72C56" w:rsidRPr="00FF386D">
              <w:rPr>
                <w:rFonts w:ascii="Calibri Light" w:hAnsi="Calibri Light"/>
                <w:sz w:val="20"/>
              </w:rPr>
              <w:t>унапређење</w:t>
            </w:r>
            <w:r w:rsidRPr="00FF386D">
              <w:rPr>
                <w:rFonts w:ascii="Calibri Light" w:hAnsi="Calibri Light"/>
                <w:sz w:val="20"/>
              </w:rPr>
              <w:t xml:space="preserve"> и проширење одговарајуће инфраструктуре јавног превоза да</w:t>
            </w:r>
            <w:r w:rsidR="00D72C56" w:rsidRPr="00FF386D">
              <w:rPr>
                <w:rFonts w:ascii="Calibri Light" w:hAnsi="Calibri Light"/>
                <w:sz w:val="20"/>
              </w:rPr>
              <w:t>јући</w:t>
            </w:r>
            <w:r w:rsidRPr="00FF386D">
              <w:rPr>
                <w:rFonts w:ascii="Calibri Light" w:hAnsi="Calibri Light"/>
                <w:sz w:val="20"/>
              </w:rPr>
              <w:t xml:space="preserve"> допринос циљу чистиј</w:t>
            </w:r>
            <w:r w:rsidR="005D5A17" w:rsidRPr="00FF386D">
              <w:rPr>
                <w:rFonts w:ascii="Calibri Light" w:hAnsi="Calibri Light"/>
                <w:sz w:val="20"/>
              </w:rPr>
              <w:t>ој</w:t>
            </w:r>
            <w:r w:rsidRPr="00FF386D">
              <w:rPr>
                <w:rFonts w:ascii="Calibri Light" w:hAnsi="Calibri Light"/>
                <w:sz w:val="20"/>
              </w:rPr>
              <w:t xml:space="preserve"> мобилности. </w:t>
            </w:r>
            <w:r w:rsidR="005D5A17" w:rsidRPr="00FF386D">
              <w:rPr>
                <w:rFonts w:ascii="Calibri Light" w:hAnsi="Calibri Light"/>
                <w:sz w:val="20"/>
              </w:rPr>
              <w:t>Спроводиће се набавке</w:t>
            </w:r>
            <w:r w:rsidRPr="00FF386D">
              <w:rPr>
                <w:rFonts w:ascii="Calibri Light" w:hAnsi="Calibri Light"/>
                <w:sz w:val="20"/>
              </w:rPr>
              <w:t xml:space="preserve"> нов</w:t>
            </w:r>
            <w:r w:rsidR="005D5A17" w:rsidRPr="00FF386D">
              <w:rPr>
                <w:rFonts w:ascii="Calibri Light" w:hAnsi="Calibri Light"/>
                <w:sz w:val="20"/>
              </w:rPr>
              <w:t>их</w:t>
            </w:r>
            <w:r w:rsidRPr="00FF386D">
              <w:rPr>
                <w:rFonts w:ascii="Calibri Light" w:hAnsi="Calibri Light"/>
                <w:sz w:val="20"/>
              </w:rPr>
              <w:t xml:space="preserve"> енергетски ефикасн</w:t>
            </w:r>
            <w:r w:rsidR="005D5A17" w:rsidRPr="00FF386D">
              <w:rPr>
                <w:rFonts w:ascii="Calibri Light" w:hAnsi="Calibri Light"/>
                <w:sz w:val="20"/>
              </w:rPr>
              <w:t>их</w:t>
            </w:r>
            <w:r w:rsidRPr="00FF386D">
              <w:rPr>
                <w:rFonts w:ascii="Calibri Light" w:hAnsi="Calibri Light"/>
                <w:sz w:val="20"/>
              </w:rPr>
              <w:t xml:space="preserve"> возила </w:t>
            </w:r>
            <w:r w:rsidR="005D5A17" w:rsidRPr="00FF386D">
              <w:rPr>
                <w:rFonts w:ascii="Calibri Light" w:hAnsi="Calibri Light"/>
                <w:sz w:val="20"/>
              </w:rPr>
              <w:t>за замену</w:t>
            </w:r>
            <w:r w:rsidRPr="00FF386D">
              <w:rPr>
                <w:rFonts w:ascii="Calibri Light" w:hAnsi="Calibri Light"/>
                <w:sz w:val="20"/>
              </w:rPr>
              <w:t xml:space="preserve"> конвенционалн</w:t>
            </w:r>
            <w:r w:rsidR="005D5A17" w:rsidRPr="00FF386D">
              <w:rPr>
                <w:rFonts w:ascii="Calibri Light" w:hAnsi="Calibri Light"/>
                <w:sz w:val="20"/>
              </w:rPr>
              <w:t>их</w:t>
            </w:r>
            <w:r w:rsidRPr="00FF386D">
              <w:rPr>
                <w:rFonts w:ascii="Calibri Light" w:hAnsi="Calibri Light"/>
                <w:sz w:val="20"/>
              </w:rPr>
              <w:t xml:space="preserve"> возила и инстал</w:t>
            </w:r>
            <w:r w:rsidR="005D5A17" w:rsidRPr="00FF386D">
              <w:rPr>
                <w:rFonts w:ascii="Calibri Light" w:hAnsi="Calibri Light"/>
                <w:sz w:val="20"/>
              </w:rPr>
              <w:t>ација</w:t>
            </w:r>
            <w:r w:rsidRPr="00FF386D">
              <w:rPr>
                <w:rFonts w:ascii="Calibri Light" w:hAnsi="Calibri Light"/>
                <w:sz w:val="20"/>
              </w:rPr>
              <w:t xml:space="preserve"> систе</w:t>
            </w:r>
            <w:r w:rsidR="005D5A17" w:rsidRPr="00FF386D">
              <w:rPr>
                <w:rFonts w:ascii="Calibri Light" w:hAnsi="Calibri Light"/>
                <w:sz w:val="20"/>
              </w:rPr>
              <w:t>ма</w:t>
            </w:r>
            <w:r w:rsidRPr="00FF386D">
              <w:rPr>
                <w:rFonts w:ascii="Calibri Light" w:hAnsi="Calibri Light"/>
                <w:sz w:val="20"/>
              </w:rPr>
              <w:t xml:space="preserve"> за </w:t>
            </w:r>
            <w:r w:rsidRPr="00FF386D">
              <w:rPr>
                <w:rFonts w:ascii="Calibri Light" w:eastAsia="NSimSun" w:hAnsi="Calibri Light" w:cs="Mangal"/>
                <w:kern w:val="2"/>
                <w:sz w:val="20"/>
                <w:szCs w:val="24"/>
                <w:lang w:eastAsia="zh-CN" w:bidi="hi-IN"/>
              </w:rPr>
              <w:t>повраћај</w:t>
            </w:r>
            <w:r w:rsidRPr="00FF386D">
              <w:rPr>
                <w:rFonts w:ascii="Calibri Light" w:hAnsi="Calibri Light"/>
                <w:sz w:val="20"/>
              </w:rPr>
              <w:t xml:space="preserve"> енергије. Поред тога, </w:t>
            </w:r>
            <w:r w:rsidR="00364B8A">
              <w:rPr>
                <w:rFonts w:ascii="Calibri Light" w:hAnsi="Calibri Light"/>
                <w:sz w:val="20"/>
              </w:rPr>
              <w:t>пример добре праксе</w:t>
            </w:r>
            <w:r w:rsidRPr="00FF386D">
              <w:rPr>
                <w:rFonts w:ascii="Calibri Light" w:hAnsi="Calibri Light"/>
                <w:sz w:val="20"/>
              </w:rPr>
              <w:t xml:space="preserve"> јавног сектора </w:t>
            </w:r>
            <w:r w:rsidR="00364B8A">
              <w:rPr>
                <w:rFonts w:ascii="Calibri Light" w:hAnsi="Calibri Light"/>
                <w:sz w:val="20"/>
              </w:rPr>
              <w:t>биће</w:t>
            </w:r>
            <w:r w:rsidRPr="00FF386D">
              <w:rPr>
                <w:rFonts w:ascii="Calibri Light" w:hAnsi="Calibri Light"/>
                <w:sz w:val="20"/>
              </w:rPr>
              <w:t xml:space="preserve"> ојачана наменским мерама, као што је</w:t>
            </w:r>
            <w:r w:rsidR="00303F13" w:rsidRPr="00FF386D">
              <w:rPr>
                <w:rFonts w:ascii="Calibri Light" w:hAnsi="Calibri Light"/>
                <w:sz w:val="20"/>
              </w:rPr>
              <w:t>,</w:t>
            </w:r>
            <w:r w:rsidRPr="00FF386D">
              <w:rPr>
                <w:rFonts w:ascii="Calibri Light" w:hAnsi="Calibri Light"/>
                <w:sz w:val="20"/>
              </w:rPr>
              <w:t xml:space="preserve"> </w:t>
            </w:r>
            <w:r w:rsidR="006E74D4" w:rsidRPr="00FF386D">
              <w:rPr>
                <w:rFonts w:ascii="Calibri Light" w:hAnsi="Calibri Light"/>
                <w:sz w:val="20"/>
              </w:rPr>
              <w:t>на пример</w:t>
            </w:r>
            <w:r w:rsidR="00303F13" w:rsidRPr="00FF386D">
              <w:rPr>
                <w:rFonts w:ascii="Calibri Light" w:hAnsi="Calibri Light"/>
                <w:sz w:val="20"/>
              </w:rPr>
              <w:t>,</w:t>
            </w:r>
            <w:r w:rsidRPr="00FF386D">
              <w:rPr>
                <w:rFonts w:ascii="Calibri Light" w:hAnsi="Calibri Light"/>
                <w:sz w:val="20"/>
              </w:rPr>
              <w:t xml:space="preserve"> утврђивање обавезне квоте </w:t>
            </w:r>
            <w:r w:rsidR="006E74D4" w:rsidRPr="00FF386D">
              <w:rPr>
                <w:rFonts w:ascii="Calibri Light" w:hAnsi="Calibri Light"/>
                <w:sz w:val="20"/>
              </w:rPr>
              <w:t xml:space="preserve">за набавку </w:t>
            </w:r>
            <w:r w:rsidRPr="00FF386D">
              <w:rPr>
                <w:rFonts w:ascii="Calibri Light" w:hAnsi="Calibri Light"/>
                <w:sz w:val="20"/>
              </w:rPr>
              <w:t>возила веће енергетске ефикасности у државним агенцијама и установама постављањем више границе енергетске ефикасности. На крају, биће инсталирани паметни дигитални системи за управљање друмским саобраћајем</w:t>
            </w:r>
            <w:r w:rsidRPr="000A2AFE">
              <w:rPr>
                <w:rFonts w:ascii="Calibri Light" w:eastAsia="Times New Roman" w:hAnsi="Calibri Light" w:cs="Calibri Light"/>
                <w:color w:val="000000"/>
                <w:sz w:val="20"/>
                <w:szCs w:val="20"/>
                <w:lang w:eastAsia="en-GB"/>
              </w:rPr>
              <w:t>.</w:t>
            </w:r>
          </w:p>
        </w:tc>
      </w:tr>
      <w:tr w:rsidR="00854ADA" w:rsidRPr="00FF386D" w14:paraId="5A3F21B5" w14:textId="77777777" w:rsidTr="0057310C">
        <w:trPr>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7FC6074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6B1330AC" w14:textId="38F066EE"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D72C56"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-2030.</w:t>
            </w:r>
          </w:p>
        </w:tc>
      </w:tr>
      <w:tr w:rsidR="00854ADA" w:rsidRPr="00FF386D" w14:paraId="22017E28" w14:textId="77777777" w:rsidTr="0057310C">
        <w:trPr>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42FCF3E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7D257B8B"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Инвестиција</w:t>
            </w:r>
          </w:p>
        </w:tc>
      </w:tr>
      <w:tr w:rsidR="00854ADA" w:rsidRPr="00FF386D" w14:paraId="19D8E0FC" w14:textId="77777777" w:rsidTr="0057310C">
        <w:trPr>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2E51855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08755F62"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Саобраћај</w:t>
            </w:r>
          </w:p>
        </w:tc>
      </w:tr>
      <w:tr w:rsidR="00854ADA" w:rsidRPr="00FF386D" w14:paraId="7D600C33" w14:textId="77777777" w:rsidTr="0057310C">
        <w:trPr>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303BE7B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664B85FE" w14:textId="1B7DE4EB" w:rsidR="00854ADA" w:rsidRDefault="00D72C56" w:rsidP="007B5741">
            <w:pPr>
              <w:pStyle w:val="ListParagraph"/>
              <w:numPr>
                <w:ilvl w:val="0"/>
                <w:numId w:val="316"/>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рударства и енергетике</w:t>
            </w:r>
          </w:p>
          <w:p w14:paraId="0535D604" w14:textId="3C12D032" w:rsidR="007B5741" w:rsidRPr="000A2AFE" w:rsidRDefault="007B5741" w:rsidP="000A2AFE">
            <w:pPr>
              <w:pStyle w:val="ListParagraph"/>
              <w:numPr>
                <w:ilvl w:val="0"/>
                <w:numId w:val="316"/>
              </w:numPr>
              <w:spacing w:after="0" w:line="240" w:lineRule="auto"/>
              <w:rPr>
                <w:rFonts w:ascii="Calibri Light" w:eastAsia="Times New Roman" w:hAnsi="Calibri Light" w:cs="Calibri Light"/>
                <w:color w:val="000000"/>
                <w:sz w:val="20"/>
                <w:szCs w:val="20"/>
                <w:lang w:eastAsia="en-GB"/>
              </w:rPr>
            </w:pPr>
            <w:r w:rsidRPr="007B5741">
              <w:rPr>
                <w:rFonts w:ascii="Calibri Light" w:eastAsia="Times New Roman" w:hAnsi="Calibri Light" w:cs="Calibri Light"/>
                <w:color w:val="000000"/>
                <w:sz w:val="20"/>
                <w:szCs w:val="20"/>
                <w:lang w:eastAsia="en-GB"/>
              </w:rPr>
              <w:t>Јединице локалне самоуправе</w:t>
            </w:r>
          </w:p>
        </w:tc>
      </w:tr>
      <w:tr w:rsidR="00854ADA" w:rsidRPr="00FF386D" w14:paraId="33D59591" w14:textId="77777777" w:rsidTr="0057310C">
        <w:trPr>
          <w:trHeight w:val="315"/>
        </w:trPr>
        <w:tc>
          <w:tcPr>
            <w:tcW w:w="3306" w:type="dxa"/>
            <w:tcBorders>
              <w:top w:val="nil"/>
              <w:left w:val="single" w:sz="8" w:space="0" w:color="auto"/>
              <w:bottom w:val="single" w:sz="8" w:space="0" w:color="auto"/>
              <w:right w:val="nil"/>
            </w:tcBorders>
            <w:shd w:val="clear" w:color="000000" w:fill="244062"/>
            <w:vAlign w:val="center"/>
            <w:hideMark/>
          </w:tcPr>
          <w:p w14:paraId="68C0FBE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4E8DDFF5" w14:textId="59DCEF47" w:rsidR="00854ADA" w:rsidRPr="000A2AFE" w:rsidRDefault="00364B8A" w:rsidP="000A2AFE">
            <w:pPr>
              <w:pStyle w:val="ListParagraph"/>
              <w:numPr>
                <w:ilvl w:val="0"/>
                <w:numId w:val="139"/>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7BBD137B" w14:textId="77777777" w:rsidTr="0057310C">
        <w:trPr>
          <w:trHeight w:val="315"/>
        </w:trPr>
        <w:tc>
          <w:tcPr>
            <w:tcW w:w="3306" w:type="dxa"/>
            <w:tcBorders>
              <w:top w:val="nil"/>
              <w:left w:val="single" w:sz="8" w:space="0" w:color="auto"/>
              <w:bottom w:val="single" w:sz="8" w:space="0" w:color="auto"/>
              <w:right w:val="nil"/>
            </w:tcBorders>
            <w:shd w:val="clear" w:color="000000" w:fill="244062"/>
            <w:vAlign w:val="center"/>
            <w:hideMark/>
          </w:tcPr>
          <w:p w14:paraId="23D7B42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25279CF4" w14:textId="77777777" w:rsidR="00854ADA" w:rsidRPr="000A2AFE" w:rsidRDefault="00854ADA" w:rsidP="000A2AFE">
            <w:pPr>
              <w:pStyle w:val="ListParagraph"/>
              <w:numPr>
                <w:ilvl w:val="0"/>
                <w:numId w:val="139"/>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Број енергетски ефикасних аутобуса</w:t>
            </w:r>
          </w:p>
        </w:tc>
      </w:tr>
      <w:tr w:rsidR="00854ADA" w:rsidRPr="00FF386D" w14:paraId="41E8FBA2" w14:textId="77777777" w:rsidTr="0057310C">
        <w:trPr>
          <w:trHeight w:val="452"/>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1FA1438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3738408F" w14:textId="47C3BFD2" w:rsidR="00364B8A" w:rsidRPr="00364B8A" w:rsidRDefault="00364B8A" w:rsidP="00364B8A">
            <w:pPr>
              <w:numPr>
                <w:ilvl w:val="0"/>
                <w:numId w:val="141"/>
              </w:numPr>
              <w:spacing w:after="0" w:line="240" w:lineRule="auto"/>
              <w:contextualSpacing/>
              <w:rPr>
                <w:rFonts w:ascii="Calibri Light" w:eastAsia="Times New Roman" w:hAnsi="Calibri Light" w:cs="Calibri Light"/>
                <w:color w:val="000000"/>
                <w:sz w:val="20"/>
                <w:szCs w:val="20"/>
                <w:lang w:eastAsia="en-GB"/>
              </w:rPr>
            </w:pPr>
            <w:r w:rsidRPr="00364B8A">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364B8A">
              <w:rPr>
                <w:rFonts w:ascii="Calibri Light" w:eastAsia="Times New Roman" w:hAnsi="Calibri Light" w:cs="Calibri Light"/>
                <w:i/>
                <w:iCs/>
                <w:color w:val="000000"/>
                <w:sz w:val="20"/>
                <w:szCs w:val="20"/>
                <w:lang w:val="en-US" w:eastAsia="en-GB"/>
              </w:rPr>
              <w:t>GHG</w:t>
            </w:r>
            <w:r w:rsidRPr="00364B8A">
              <w:rPr>
                <w:rFonts w:ascii="Calibri Light" w:eastAsia="Times New Roman" w:hAnsi="Calibri Light" w:cs="Calibri Light"/>
                <w:i/>
                <w:iCs/>
                <w:color w:val="000000"/>
                <w:sz w:val="20"/>
                <w:szCs w:val="20"/>
                <w:lang w:eastAsia="en-GB"/>
              </w:rPr>
              <w:t xml:space="preserve"> </w:t>
            </w:r>
            <w:r w:rsidRPr="00364B8A">
              <w:rPr>
                <w:rFonts w:ascii="Calibri Light" w:eastAsia="Times New Roman" w:hAnsi="Calibri Light" w:cs="Calibri Light"/>
                <w:color w:val="000000"/>
                <w:sz w:val="20"/>
                <w:szCs w:val="20"/>
                <w:lang w:val="sr-Latn-RS" w:eastAsia="en-GB"/>
              </w:rPr>
              <w:t>a</w:t>
            </w:r>
            <w:r w:rsidRPr="00364B8A">
              <w:rPr>
                <w:rFonts w:ascii="Calibri Light" w:eastAsia="Times New Roman" w:hAnsi="Calibri Light" w:cs="Calibri Light"/>
                <w:color w:val="000000"/>
                <w:sz w:val="20"/>
                <w:szCs w:val="20"/>
                <w:lang w:eastAsia="en-GB"/>
              </w:rPr>
              <w:t xml:space="preserve"> промовисана електрична возила ће довести до повећања удела ОИЕ у саобраћају)</w:t>
            </w:r>
          </w:p>
          <w:p w14:paraId="08A876FA" w14:textId="0AE4107A" w:rsidR="00854ADA" w:rsidRPr="00FF386D" w:rsidRDefault="00364B8A" w:rsidP="00364B8A">
            <w:pPr>
              <w:numPr>
                <w:ilvl w:val="0"/>
                <w:numId w:val="141"/>
              </w:numPr>
              <w:spacing w:after="0" w:line="240" w:lineRule="auto"/>
              <w:contextualSpacing/>
              <w:rPr>
                <w:rFonts w:ascii="Calibri Light" w:eastAsia="Times New Roman" w:hAnsi="Calibri Light" w:cs="Calibri Light"/>
                <w:color w:val="000000"/>
                <w:sz w:val="20"/>
                <w:szCs w:val="20"/>
                <w:lang w:eastAsia="en-GB"/>
              </w:rPr>
            </w:pPr>
            <w:r w:rsidRPr="00364B8A">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854ADA" w:rsidRPr="00FF386D" w14:paraId="213C7B63" w14:textId="77777777" w:rsidTr="0057310C">
        <w:trPr>
          <w:trHeight w:val="450"/>
        </w:trPr>
        <w:tc>
          <w:tcPr>
            <w:tcW w:w="3306"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220A5324" w14:textId="2AF1F762"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52"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01244507" w14:textId="77777777" w:rsidR="00854ADA" w:rsidRPr="000A2AFE" w:rsidRDefault="00854ADA" w:rsidP="00D72C56">
            <w:pPr>
              <w:pStyle w:val="ListParagraph"/>
              <w:numPr>
                <w:ilvl w:val="0"/>
                <w:numId w:val="141"/>
              </w:num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Pr="000A2AFE">
              <w:rPr>
                <w:rFonts w:ascii="Calibri Light" w:eastAsia="Times New Roman" w:hAnsi="Calibri Light" w:cs="Calibri Light"/>
                <w:color w:val="000000"/>
                <w:sz w:val="20"/>
                <w:szCs w:val="20"/>
                <w:lang w:eastAsia="en-GB"/>
              </w:rPr>
              <w:t>2012/27/ЕУ</w:t>
            </w:r>
          </w:p>
          <w:p w14:paraId="6778D2D1" w14:textId="77777777" w:rsidR="00854ADA" w:rsidRPr="00FF386D" w:rsidRDefault="00854ADA" w:rsidP="00854ADA">
            <w:pPr>
              <w:numPr>
                <w:ilvl w:val="0"/>
                <w:numId w:val="141"/>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Pr="000A2AFE">
              <w:rPr>
                <w:rFonts w:ascii="Calibri Light" w:eastAsia="Times New Roman" w:hAnsi="Calibri Light" w:cs="Calibri Light"/>
                <w:color w:val="000000"/>
                <w:sz w:val="20"/>
                <w:szCs w:val="20"/>
                <w:lang w:eastAsia="en-GB"/>
              </w:rPr>
              <w:t>2018/2002/ЕУ</w:t>
            </w:r>
          </w:p>
        </w:tc>
      </w:tr>
      <w:tr w:rsidR="00854ADA" w:rsidRPr="00FF386D" w14:paraId="585970E8" w14:textId="77777777" w:rsidTr="0057310C">
        <w:trPr>
          <w:trHeight w:val="450"/>
        </w:trPr>
        <w:tc>
          <w:tcPr>
            <w:tcW w:w="3306" w:type="dxa"/>
            <w:vMerge/>
            <w:tcBorders>
              <w:top w:val="nil"/>
              <w:left w:val="single" w:sz="8" w:space="0" w:color="auto"/>
              <w:bottom w:val="single" w:sz="8" w:space="0" w:color="000000"/>
              <w:right w:val="single" w:sz="8" w:space="0" w:color="auto"/>
            </w:tcBorders>
            <w:vAlign w:val="center"/>
            <w:hideMark/>
          </w:tcPr>
          <w:p w14:paraId="285653A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2" w:type="dxa"/>
            <w:gridSpan w:val="3"/>
            <w:vMerge/>
            <w:tcBorders>
              <w:top w:val="single" w:sz="8" w:space="0" w:color="auto"/>
              <w:left w:val="single" w:sz="8" w:space="0" w:color="auto"/>
              <w:bottom w:val="single" w:sz="8" w:space="0" w:color="000000"/>
              <w:right w:val="single" w:sz="8" w:space="0" w:color="000000"/>
            </w:tcBorders>
            <w:vAlign w:val="center"/>
            <w:hideMark/>
          </w:tcPr>
          <w:p w14:paraId="12D389C8" w14:textId="77777777" w:rsidR="00854ADA" w:rsidRPr="00FF386D" w:rsidRDefault="00854ADA" w:rsidP="00854ADA">
            <w:pPr>
              <w:numPr>
                <w:ilvl w:val="0"/>
                <w:numId w:val="141"/>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3D7010CE" w14:textId="77777777" w:rsidTr="0057310C">
        <w:trPr>
          <w:trHeight w:val="450"/>
        </w:trPr>
        <w:tc>
          <w:tcPr>
            <w:tcW w:w="3306" w:type="dxa"/>
            <w:vMerge/>
            <w:tcBorders>
              <w:top w:val="nil"/>
              <w:left w:val="single" w:sz="8" w:space="0" w:color="auto"/>
              <w:bottom w:val="single" w:sz="8" w:space="0" w:color="000000"/>
              <w:right w:val="single" w:sz="8" w:space="0" w:color="auto"/>
            </w:tcBorders>
            <w:vAlign w:val="center"/>
            <w:hideMark/>
          </w:tcPr>
          <w:p w14:paraId="7A4D576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2" w:type="dxa"/>
            <w:gridSpan w:val="3"/>
            <w:vMerge/>
            <w:tcBorders>
              <w:top w:val="single" w:sz="8" w:space="0" w:color="auto"/>
              <w:left w:val="single" w:sz="8" w:space="0" w:color="auto"/>
              <w:bottom w:val="single" w:sz="8" w:space="0" w:color="000000"/>
              <w:right w:val="single" w:sz="8" w:space="0" w:color="000000"/>
            </w:tcBorders>
            <w:vAlign w:val="center"/>
            <w:hideMark/>
          </w:tcPr>
          <w:p w14:paraId="041F3CE7" w14:textId="77777777" w:rsidR="00854ADA" w:rsidRPr="00FF386D" w:rsidRDefault="00854ADA" w:rsidP="00854ADA">
            <w:pPr>
              <w:numPr>
                <w:ilvl w:val="0"/>
                <w:numId w:val="141"/>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62429B29" w14:textId="77777777" w:rsidTr="0057310C">
        <w:trPr>
          <w:trHeight w:val="780"/>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0F41931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61B4B48B" w14:textId="6083BEAE" w:rsidR="00854ADA" w:rsidRPr="00FF386D" w:rsidRDefault="00854ADA" w:rsidP="00854ADA">
            <w:pPr>
              <w:numPr>
                <w:ilvl w:val="0"/>
                <w:numId w:val="141"/>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4. НАПЕЕ</w:t>
            </w:r>
          </w:p>
          <w:p w14:paraId="6C7F1481" w14:textId="6CE5FAD4" w:rsidR="00854ADA" w:rsidRPr="00FF386D" w:rsidRDefault="00854ADA" w:rsidP="00854ADA">
            <w:pPr>
              <w:numPr>
                <w:ilvl w:val="0"/>
                <w:numId w:val="141"/>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Стратегија одрживог урбаног развоја </w:t>
            </w:r>
            <w:r w:rsidR="007B5741" w:rsidRPr="007B5741">
              <w:rPr>
                <w:rFonts w:ascii="Calibri Light" w:eastAsia="Times New Roman" w:hAnsi="Calibri Light" w:cs="Calibri Light"/>
                <w:color w:val="000000"/>
                <w:sz w:val="20"/>
                <w:szCs w:val="20"/>
                <w:lang w:eastAsia="en-GB"/>
              </w:rPr>
              <w:t>Републике Србије до</w:t>
            </w:r>
            <w:r w:rsidRPr="00FF386D">
              <w:rPr>
                <w:rFonts w:ascii="Calibri Light" w:eastAsia="Times New Roman" w:hAnsi="Calibri Light" w:cs="Calibri Light"/>
                <w:color w:val="000000"/>
                <w:sz w:val="20"/>
                <w:szCs w:val="20"/>
                <w:lang w:eastAsia="en-GB"/>
              </w:rPr>
              <w:t xml:space="preserve"> 2030. годин</w:t>
            </w:r>
            <w:r w:rsidR="007B5741">
              <w:rPr>
                <w:rFonts w:ascii="Calibri Light" w:eastAsia="Times New Roman" w:hAnsi="Calibri Light" w:cs="Calibri Light"/>
                <w:color w:val="000000"/>
                <w:sz w:val="20"/>
                <w:szCs w:val="20"/>
                <w:lang w:eastAsia="en-GB"/>
              </w:rPr>
              <w:t>е</w:t>
            </w:r>
          </w:p>
        </w:tc>
      </w:tr>
      <w:tr w:rsidR="00854ADA" w:rsidRPr="00FF386D" w14:paraId="08B1B081" w14:textId="77777777" w:rsidTr="0057310C">
        <w:trPr>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30476F4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3F85BD08" w14:textId="20135F65"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5</w:t>
            </w:r>
            <w:r w:rsidR="00D72C56" w:rsidRPr="00FF386D">
              <w:rPr>
                <w:rFonts w:ascii="Calibri Light" w:eastAsia="Times New Roman" w:hAnsi="Calibri Light" w:cs="Calibri Light"/>
                <w:color w:val="000000"/>
                <w:sz w:val="20"/>
                <w:szCs w:val="20"/>
                <w:lang w:eastAsia="en-GB"/>
              </w:rPr>
              <w:t>05</w:t>
            </w:r>
            <w:r w:rsidRPr="00FF386D">
              <w:rPr>
                <w:rFonts w:ascii="Calibri Light" w:eastAsia="Times New Roman" w:hAnsi="Calibri Light" w:cs="Calibri Light"/>
                <w:color w:val="000000"/>
                <w:sz w:val="20"/>
                <w:szCs w:val="20"/>
                <w:lang w:eastAsia="en-GB"/>
              </w:rPr>
              <w:t xml:space="preserve"> милиона евра</w:t>
            </w:r>
          </w:p>
        </w:tc>
      </w:tr>
      <w:tr w:rsidR="00854ADA" w:rsidRPr="00FF386D" w14:paraId="31321223" w14:textId="77777777" w:rsidTr="0057310C">
        <w:trPr>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23CCFB1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09CA4E7F" w14:textId="13190576"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јавни буџет и приватна</w:t>
            </w:r>
            <w:r w:rsidR="00546277">
              <w:rPr>
                <w:rFonts w:asciiTheme="majorHAnsi" w:eastAsia="Times New Roman" w:hAnsiTheme="majorHAnsi" w:cstheme="majorHAnsi"/>
                <w:color w:val="000000"/>
                <w:sz w:val="20"/>
                <w:szCs w:val="20"/>
                <w:lang w:eastAsia="en-GB"/>
              </w:rPr>
              <w:t xml:space="preserve"> </w:t>
            </w:r>
            <w:r w:rsidRPr="00FF386D">
              <w:rPr>
                <w:rFonts w:asciiTheme="majorHAnsi" w:eastAsia="Times New Roman" w:hAnsiTheme="majorHAnsi" w:cstheme="majorHAnsi"/>
                <w:color w:val="000000"/>
                <w:sz w:val="20"/>
                <w:szCs w:val="20"/>
                <w:lang w:eastAsia="en-GB"/>
              </w:rPr>
              <w:t>средства</w:t>
            </w:r>
          </w:p>
        </w:tc>
      </w:tr>
    </w:tbl>
    <w:p w14:paraId="68EEA4CD"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08"/>
        <w:gridCol w:w="1007"/>
        <w:gridCol w:w="942"/>
        <w:gridCol w:w="4201"/>
      </w:tblGrid>
      <w:tr w:rsidR="00854ADA" w:rsidRPr="00FF386D" w14:paraId="482891A9" w14:textId="77777777" w:rsidTr="0057310C">
        <w:trPr>
          <w:trHeight w:val="780"/>
        </w:trPr>
        <w:tc>
          <w:tcPr>
            <w:tcW w:w="3308"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26352F61"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61676D16" w14:textId="77777777" w:rsidR="00854ADA" w:rsidRPr="000A2AFE" w:rsidRDefault="00854ADA" w:rsidP="00854ADA">
            <w:pPr>
              <w:spacing w:after="0" w:line="240" w:lineRule="auto"/>
              <w:jc w:val="both"/>
              <w:rPr>
                <w:rFonts w:ascii="Calibri Light" w:eastAsia="Times New Roman" w:hAnsi="Calibri Light" w:cs="Calibri Light"/>
                <w:b/>
                <w:bCs/>
                <w:color w:val="000000"/>
                <w:sz w:val="20"/>
                <w:szCs w:val="20"/>
                <w:highlight w:val="yellow"/>
                <w:lang w:eastAsia="en-GB"/>
              </w:rPr>
            </w:pPr>
            <w:r w:rsidRPr="00364B8A">
              <w:rPr>
                <w:rFonts w:ascii="Calibri Light" w:hAnsi="Calibri Light"/>
                <w:b/>
                <w:sz w:val="20"/>
              </w:rPr>
              <w:t>МП_ЕЕ19</w:t>
            </w:r>
          </w:p>
        </w:tc>
        <w:tc>
          <w:tcPr>
            <w:tcW w:w="942" w:type="dxa"/>
            <w:tcBorders>
              <w:top w:val="single" w:sz="8" w:space="0" w:color="auto"/>
              <w:left w:val="nil"/>
              <w:bottom w:val="single" w:sz="8" w:space="0" w:color="auto"/>
              <w:right w:val="single" w:sz="8" w:space="0" w:color="auto"/>
            </w:tcBorders>
            <w:shd w:val="clear" w:color="000000" w:fill="244062"/>
            <w:vAlign w:val="center"/>
            <w:hideMark/>
          </w:tcPr>
          <w:p w14:paraId="57D0BE7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eastAsia="Times New Roman" w:hAnsi="Calibri Light" w:cs="Calibri Light"/>
                <w:b/>
                <w:bCs/>
                <w:color w:val="FFFFFF"/>
                <w:sz w:val="20"/>
                <w:szCs w:val="20"/>
                <w:lang w:eastAsia="en-GB"/>
              </w:rPr>
              <w:t xml:space="preserve">Title: </w:t>
            </w:r>
          </w:p>
        </w:tc>
        <w:tc>
          <w:tcPr>
            <w:tcW w:w="4201" w:type="dxa"/>
            <w:tcBorders>
              <w:top w:val="single" w:sz="8" w:space="0" w:color="auto"/>
              <w:left w:val="nil"/>
              <w:bottom w:val="single" w:sz="8" w:space="0" w:color="auto"/>
              <w:right w:val="single" w:sz="8" w:space="0" w:color="auto"/>
            </w:tcBorders>
            <w:shd w:val="clear" w:color="auto" w:fill="E7E6E6" w:themeFill="background2"/>
            <w:vAlign w:val="center"/>
            <w:hideMark/>
          </w:tcPr>
          <w:p w14:paraId="7E2763B2"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eastAsia="Times New Roman" w:hAnsi="Calibri Light" w:cs="Calibri Light"/>
                <w:b/>
                <w:bCs/>
                <w:color w:val="000000"/>
                <w:sz w:val="20"/>
                <w:szCs w:val="20"/>
                <w:lang w:eastAsia="en-GB"/>
              </w:rPr>
              <w:t>Развој одрживих регионалних или општинских планова мобилности</w:t>
            </w:r>
          </w:p>
        </w:tc>
      </w:tr>
      <w:tr w:rsidR="00854ADA" w:rsidRPr="00FF386D" w14:paraId="5383FA46" w14:textId="77777777" w:rsidTr="0057310C">
        <w:trPr>
          <w:trHeight w:val="541"/>
        </w:trPr>
        <w:tc>
          <w:tcPr>
            <w:tcW w:w="3308" w:type="dxa"/>
            <w:tcBorders>
              <w:top w:val="nil"/>
              <w:left w:val="single" w:sz="8" w:space="0" w:color="auto"/>
              <w:bottom w:val="single" w:sz="8" w:space="0" w:color="auto"/>
              <w:right w:val="nil"/>
            </w:tcBorders>
            <w:shd w:val="clear" w:color="000000" w:fill="244062"/>
            <w:vAlign w:val="center"/>
            <w:hideMark/>
          </w:tcPr>
          <w:p w14:paraId="5768CCB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6A8398BF" w14:textId="3937131F" w:rsidR="00854ADA" w:rsidRPr="000A2AFE" w:rsidRDefault="00AF665D"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 xml:space="preserve">Примена </w:t>
            </w:r>
            <w:r w:rsidR="00854ADA" w:rsidRPr="00FF386D">
              <w:rPr>
                <w:rFonts w:ascii="Calibri Light" w:hAnsi="Calibri Light"/>
                <w:sz w:val="20"/>
              </w:rPr>
              <w:t xml:space="preserve">чланова Директиве </w:t>
            </w:r>
            <w:r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2018/2002</w:t>
            </w:r>
            <w:r w:rsidRPr="00FF386D">
              <w:rPr>
                <w:rFonts w:ascii="Calibri Light" w:hAnsi="Calibri Light"/>
                <w:sz w:val="20"/>
              </w:rPr>
              <w:t>, и то</w:t>
            </w:r>
            <w:r w:rsidR="00854ADA" w:rsidRPr="000A2AFE">
              <w:rPr>
                <w:rFonts w:ascii="Calibri Light" w:eastAsia="Times New Roman" w:hAnsi="Calibri Light" w:cs="Calibri Light"/>
                <w:color w:val="000000"/>
                <w:sz w:val="20"/>
                <w:szCs w:val="20"/>
                <w:lang w:eastAsia="en-GB"/>
              </w:rPr>
              <w:t>:</w:t>
            </w:r>
          </w:p>
          <w:p w14:paraId="5587BDAA" w14:textId="23F3AF8C" w:rsidR="00854ADA" w:rsidRPr="00FF386D" w:rsidRDefault="00854ADA" w:rsidP="00854ADA">
            <w:pPr>
              <w:numPr>
                <w:ilvl w:val="0"/>
                <w:numId w:val="142"/>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303F13"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3</w:t>
            </w:r>
          </w:p>
        </w:tc>
      </w:tr>
      <w:tr w:rsidR="00854ADA" w:rsidRPr="00FF386D" w14:paraId="0CF5FC4E"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09252F4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72930364"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Допринос МП_ЕЕ10, МП_ЕЕ12 и МП_ЕЕ14</w:t>
            </w:r>
          </w:p>
        </w:tc>
      </w:tr>
      <w:tr w:rsidR="00854ADA" w:rsidRPr="00FF386D" w14:paraId="3F33284A" w14:textId="77777777" w:rsidTr="0057310C">
        <w:trPr>
          <w:trHeight w:val="1383"/>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53DD023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Опис:</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60ABF06B" w14:textId="48D60449"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МП_ЕЕ19 ће олакшати развој одрживих регионалних или општинских планова мобилности</w:t>
            </w:r>
            <w:r w:rsidR="007A1B28" w:rsidRPr="00FF386D">
              <w:rPr>
                <w:rFonts w:ascii="Calibri Light" w:hAnsi="Calibri Light"/>
                <w:sz w:val="20"/>
              </w:rPr>
              <w:t xml:space="preserve"> и тако</w:t>
            </w:r>
            <w:r w:rsidRPr="00FF386D">
              <w:rPr>
                <w:rFonts w:ascii="Calibri Light" w:hAnsi="Calibri Light"/>
                <w:sz w:val="20"/>
              </w:rPr>
              <w:t xml:space="preserve"> довести до </w:t>
            </w:r>
            <w:r w:rsidR="007A1B28" w:rsidRPr="00FF386D">
              <w:rPr>
                <w:rFonts w:ascii="Calibri Light" w:hAnsi="Calibri Light"/>
                <w:sz w:val="20"/>
              </w:rPr>
              <w:t>израде</w:t>
            </w:r>
            <w:r w:rsidRPr="00FF386D">
              <w:rPr>
                <w:rFonts w:ascii="Calibri Light" w:hAnsi="Calibri Light"/>
                <w:sz w:val="20"/>
              </w:rPr>
              <w:t xml:space="preserve"> </w:t>
            </w:r>
            <w:r w:rsidR="00303F13" w:rsidRPr="00FF386D">
              <w:rPr>
                <w:rFonts w:ascii="Calibri Light" w:hAnsi="Calibri Light"/>
                <w:sz w:val="20"/>
              </w:rPr>
              <w:t>свеобухватног</w:t>
            </w:r>
            <w:r w:rsidRPr="00FF386D">
              <w:rPr>
                <w:rFonts w:ascii="Calibri Light" w:hAnsi="Calibri Light"/>
                <w:sz w:val="20"/>
              </w:rPr>
              <w:t xml:space="preserve"> оквира за примену наведених мера на локалном и регионалном нивоу, узимајући у обзир локалне карактеристике и </w:t>
            </w:r>
            <w:r w:rsidR="00364B8A">
              <w:rPr>
                <w:rFonts w:ascii="Calibri Light" w:hAnsi="Calibri Light"/>
                <w:sz w:val="20"/>
              </w:rPr>
              <w:t xml:space="preserve">планске </w:t>
            </w:r>
            <w:r w:rsidRPr="00FF386D">
              <w:rPr>
                <w:rFonts w:ascii="Calibri Light" w:hAnsi="Calibri Light"/>
                <w:sz w:val="20"/>
              </w:rPr>
              <w:t>елементе свих наведених мера</w:t>
            </w:r>
            <w:r w:rsidR="001E4499">
              <w:rPr>
                <w:rFonts w:ascii="Calibri Light" w:hAnsi="Calibri Light"/>
                <w:sz w:val="20"/>
                <w:lang w:val="sr-Latn-RS"/>
              </w:rPr>
              <w:t xml:space="preserve"> </w:t>
            </w:r>
            <w:r w:rsidR="001E4499" w:rsidRPr="001E4499">
              <w:rPr>
                <w:rFonts w:ascii="Calibri Light" w:hAnsi="Calibri Light"/>
                <w:sz w:val="20"/>
                <w:lang w:val="sr-Latn-RS"/>
              </w:rPr>
              <w:t>као и постојећ</w:t>
            </w:r>
            <w:r w:rsidR="00364B8A">
              <w:rPr>
                <w:rFonts w:ascii="Calibri Light" w:hAnsi="Calibri Light"/>
                <w:sz w:val="20"/>
              </w:rPr>
              <w:t>е</w:t>
            </w:r>
            <w:r w:rsidR="001E4499" w:rsidRPr="001E4499">
              <w:rPr>
                <w:rFonts w:ascii="Calibri Light" w:hAnsi="Calibri Light"/>
                <w:sz w:val="20"/>
                <w:lang w:val="sr-Latn-RS"/>
              </w:rPr>
              <w:t xml:space="preserve"> </w:t>
            </w:r>
            <w:r w:rsidR="00364B8A">
              <w:rPr>
                <w:rFonts w:ascii="Calibri Light" w:hAnsi="Calibri Light"/>
                <w:sz w:val="20"/>
              </w:rPr>
              <w:t>захтеве у погледу просторног планирања у складу са законодавним оквиром.</w:t>
            </w:r>
          </w:p>
        </w:tc>
      </w:tr>
      <w:tr w:rsidR="00854ADA" w:rsidRPr="00FF386D" w14:paraId="22A7038E"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289D7C8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3CBFBC49" w14:textId="33ABC176" w:rsidR="00854ADA" w:rsidRPr="000A2AFE"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AF665D" w:rsidRPr="00FF386D">
              <w:rPr>
                <w:rFonts w:ascii="Calibri Light" w:hAnsi="Calibri Light"/>
                <w:sz w:val="20"/>
              </w:rPr>
              <w:t>5</w:t>
            </w:r>
            <w:r w:rsidRPr="00FF386D">
              <w:rPr>
                <w:rFonts w:ascii="Calibri Light" w:hAnsi="Calibri Light"/>
                <w:sz w:val="20"/>
              </w:rPr>
              <w:t>-20</w:t>
            </w:r>
            <w:r w:rsidR="00364B8A">
              <w:rPr>
                <w:rFonts w:ascii="Calibri Light" w:hAnsi="Calibri Light"/>
                <w:sz w:val="20"/>
                <w:lang w:val="en-US"/>
              </w:rPr>
              <w:t>27</w:t>
            </w:r>
            <w:r w:rsidRPr="00FF386D">
              <w:rPr>
                <w:rFonts w:ascii="Calibri Light" w:hAnsi="Calibri Light"/>
                <w:sz w:val="20"/>
              </w:rPr>
              <w:t>.</w:t>
            </w:r>
          </w:p>
        </w:tc>
      </w:tr>
      <w:tr w:rsidR="00854ADA" w:rsidRPr="00FF386D" w14:paraId="0EE9E8A8"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7C40198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4221348D"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Реформа</w:t>
            </w:r>
          </w:p>
        </w:tc>
      </w:tr>
      <w:tr w:rsidR="00854ADA" w:rsidRPr="00FF386D" w14:paraId="175B30DF"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3E8F29E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15487272"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Саобраћај</w:t>
            </w:r>
          </w:p>
        </w:tc>
      </w:tr>
      <w:tr w:rsidR="00854ADA" w:rsidRPr="00FF386D" w14:paraId="5396E494"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206E89F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75CEFD61" w14:textId="5F29A5DB" w:rsidR="007B5741" w:rsidRPr="000A2AFE" w:rsidRDefault="007B5741" w:rsidP="000A2AFE">
            <w:pPr>
              <w:pStyle w:val="ListParagraph"/>
              <w:widowControl w:val="0"/>
              <w:numPr>
                <w:ilvl w:val="0"/>
                <w:numId w:val="317"/>
              </w:numPr>
              <w:suppressLineNumbers/>
              <w:suppressAutoHyphens/>
              <w:spacing w:after="0" w:line="240" w:lineRule="auto"/>
              <w:rPr>
                <w:rFonts w:ascii="Calibri Light" w:eastAsia="NSimSun" w:hAnsi="Calibri Light" w:cs="Mangal"/>
                <w:kern w:val="2"/>
                <w:sz w:val="20"/>
                <w:szCs w:val="24"/>
                <w:lang w:eastAsia="zh-CN" w:bidi="hi-IN"/>
              </w:rPr>
            </w:pPr>
            <w:r w:rsidRPr="000A2AFE">
              <w:rPr>
                <w:rFonts w:ascii="Calibri Light" w:eastAsia="NSimSun" w:hAnsi="Calibri Light" w:cs="Mangal"/>
                <w:kern w:val="2"/>
                <w:sz w:val="20"/>
                <w:szCs w:val="24"/>
                <w:lang w:eastAsia="zh-CN" w:bidi="hi-IN"/>
              </w:rPr>
              <w:t>Министарство рударства и енергетике</w:t>
            </w:r>
          </w:p>
          <w:p w14:paraId="4BB0AAD7" w14:textId="0BA8135A" w:rsidR="00854ADA" w:rsidRPr="000A2AFE" w:rsidRDefault="007B5741" w:rsidP="000A2AFE">
            <w:pPr>
              <w:pStyle w:val="ListParagraph"/>
              <w:widowControl w:val="0"/>
              <w:numPr>
                <w:ilvl w:val="0"/>
                <w:numId w:val="317"/>
              </w:numPr>
              <w:suppressLineNumbers/>
              <w:suppressAutoHyphens/>
              <w:spacing w:after="0" w:line="240" w:lineRule="auto"/>
              <w:rPr>
                <w:rFonts w:ascii="Calibri Light" w:eastAsia="Times New Roman" w:hAnsi="Calibri Light" w:cs="Calibri Light"/>
                <w:color w:val="000000"/>
                <w:kern w:val="2"/>
                <w:sz w:val="20"/>
                <w:szCs w:val="20"/>
                <w:lang w:eastAsia="en-GB" w:bidi="hi-IN"/>
              </w:rPr>
            </w:pPr>
            <w:r w:rsidRPr="000A2AFE">
              <w:rPr>
                <w:rFonts w:ascii="Calibri Light" w:eastAsia="NSimSun" w:hAnsi="Calibri Light" w:cs="Mangal"/>
                <w:kern w:val="2"/>
                <w:sz w:val="20"/>
                <w:szCs w:val="24"/>
                <w:lang w:eastAsia="zh-CN" w:bidi="hi-IN"/>
              </w:rPr>
              <w:t>Јединице локалне самоуправе</w:t>
            </w:r>
          </w:p>
        </w:tc>
      </w:tr>
      <w:tr w:rsidR="00854ADA" w:rsidRPr="00FF386D" w14:paraId="3257FC58" w14:textId="77777777" w:rsidTr="0057310C">
        <w:trPr>
          <w:trHeight w:val="315"/>
        </w:trPr>
        <w:tc>
          <w:tcPr>
            <w:tcW w:w="3308" w:type="dxa"/>
            <w:tcBorders>
              <w:top w:val="nil"/>
              <w:left w:val="single" w:sz="8" w:space="0" w:color="auto"/>
              <w:bottom w:val="single" w:sz="8" w:space="0" w:color="auto"/>
              <w:right w:val="nil"/>
            </w:tcBorders>
            <w:shd w:val="clear" w:color="000000" w:fill="244062"/>
            <w:vAlign w:val="center"/>
            <w:hideMark/>
          </w:tcPr>
          <w:p w14:paraId="5ECBDFE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4E58739C" w14:textId="3B876903" w:rsidR="00854ADA" w:rsidRPr="000A2AFE" w:rsidRDefault="00364B8A" w:rsidP="000A2AFE">
            <w:pPr>
              <w:pStyle w:val="ListParagraph"/>
              <w:numPr>
                <w:ilvl w:val="0"/>
                <w:numId w:val="142"/>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127AFD2C" w14:textId="77777777" w:rsidTr="0057310C">
        <w:trPr>
          <w:trHeight w:val="315"/>
        </w:trPr>
        <w:tc>
          <w:tcPr>
            <w:tcW w:w="3308" w:type="dxa"/>
            <w:tcBorders>
              <w:top w:val="nil"/>
              <w:left w:val="single" w:sz="8" w:space="0" w:color="auto"/>
              <w:bottom w:val="single" w:sz="8" w:space="0" w:color="auto"/>
              <w:right w:val="nil"/>
            </w:tcBorders>
            <w:shd w:val="clear" w:color="000000" w:fill="244062"/>
            <w:vAlign w:val="center"/>
            <w:hideMark/>
          </w:tcPr>
          <w:p w14:paraId="7478792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4CCDE946" w14:textId="77777777" w:rsidR="00854ADA" w:rsidRPr="000A2AFE" w:rsidRDefault="00854ADA" w:rsidP="000A2AFE">
            <w:pPr>
              <w:pStyle w:val="ListParagraph"/>
              <w:numPr>
                <w:ilvl w:val="0"/>
                <w:numId w:val="142"/>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Обухваћени путнички и теретни саобраћај</w:t>
            </w:r>
          </w:p>
        </w:tc>
      </w:tr>
      <w:tr w:rsidR="00854ADA" w:rsidRPr="00FF386D" w14:paraId="181CD362" w14:textId="77777777" w:rsidTr="0057310C">
        <w:trPr>
          <w:trHeight w:val="533"/>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134F333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45441A94" w14:textId="5BCCA22A" w:rsidR="00364B8A" w:rsidRPr="00364B8A" w:rsidRDefault="00364B8A" w:rsidP="00364B8A">
            <w:pPr>
              <w:numPr>
                <w:ilvl w:val="0"/>
                <w:numId w:val="142"/>
              </w:numPr>
              <w:spacing w:after="0" w:line="240" w:lineRule="auto"/>
              <w:contextualSpacing/>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Де</w:t>
            </w:r>
            <w:r w:rsidRPr="00364B8A">
              <w:rPr>
                <w:rFonts w:ascii="Calibri Light" w:eastAsia="Times New Roman" w:hAnsi="Calibri Light" w:cs="Calibri Light"/>
                <w:color w:val="000000"/>
                <w:sz w:val="20"/>
                <w:szCs w:val="20"/>
                <w:lang w:eastAsia="en-GB"/>
              </w:rPr>
              <w:t xml:space="preserve">карбонизација (постигнутом уштедом енергије смањиће се потрошња фосилних горива што ће довести до смањења емисија </w:t>
            </w:r>
            <w:r w:rsidRPr="00364B8A">
              <w:rPr>
                <w:rFonts w:ascii="Calibri Light" w:eastAsia="Times New Roman" w:hAnsi="Calibri Light" w:cs="Calibri Light"/>
                <w:i/>
                <w:iCs/>
                <w:color w:val="000000"/>
                <w:sz w:val="20"/>
                <w:szCs w:val="20"/>
                <w:lang w:val="en-US" w:eastAsia="en-GB"/>
              </w:rPr>
              <w:t>GHG</w:t>
            </w:r>
            <w:r w:rsidRPr="00364B8A">
              <w:rPr>
                <w:rFonts w:ascii="Calibri Light" w:eastAsia="Times New Roman" w:hAnsi="Calibri Light" w:cs="Calibri Light"/>
                <w:color w:val="000000"/>
                <w:sz w:val="20"/>
                <w:szCs w:val="20"/>
                <w:lang w:eastAsia="en-GB"/>
              </w:rPr>
              <w:t>)</w:t>
            </w:r>
          </w:p>
          <w:p w14:paraId="606B86BC" w14:textId="18AB0736" w:rsidR="00854ADA" w:rsidRPr="00FF386D" w:rsidRDefault="00364B8A" w:rsidP="00364B8A">
            <w:pPr>
              <w:numPr>
                <w:ilvl w:val="0"/>
                <w:numId w:val="142"/>
              </w:numPr>
              <w:spacing w:after="0" w:line="240" w:lineRule="auto"/>
              <w:contextualSpacing/>
              <w:rPr>
                <w:rFonts w:ascii="Calibri Light" w:eastAsia="Times New Roman" w:hAnsi="Calibri Light" w:cs="Calibri Light"/>
                <w:color w:val="000000"/>
                <w:sz w:val="20"/>
                <w:szCs w:val="20"/>
                <w:lang w:eastAsia="en-GB"/>
              </w:rPr>
            </w:pPr>
            <w:r w:rsidRPr="00364B8A">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854ADA" w:rsidRPr="00FF386D" w14:paraId="061C4526" w14:textId="77777777" w:rsidTr="0057310C">
        <w:trPr>
          <w:trHeight w:val="450"/>
        </w:trPr>
        <w:tc>
          <w:tcPr>
            <w:tcW w:w="3308"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24E61E76" w14:textId="2D5A8547"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50"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2B2B4FC3" w14:textId="2B145A8C" w:rsidR="00854ADA" w:rsidRPr="000A2AFE" w:rsidRDefault="00854ADA" w:rsidP="00AF665D">
            <w:pPr>
              <w:pStyle w:val="ListParagraph"/>
              <w:numPr>
                <w:ilvl w:val="0"/>
                <w:numId w:val="142"/>
              </w:num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AF665D"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2012/27</w:t>
            </w:r>
          </w:p>
          <w:p w14:paraId="379FBCD7" w14:textId="53C97827" w:rsidR="00854ADA" w:rsidRPr="00FF386D" w:rsidRDefault="00854ADA" w:rsidP="00854ADA">
            <w:pPr>
              <w:numPr>
                <w:ilvl w:val="0"/>
                <w:numId w:val="142"/>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AF665D"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2018/2002</w:t>
            </w:r>
          </w:p>
        </w:tc>
      </w:tr>
      <w:tr w:rsidR="00854ADA" w:rsidRPr="00FF386D" w14:paraId="20EA6E37" w14:textId="77777777" w:rsidTr="0057310C">
        <w:trPr>
          <w:trHeight w:val="450"/>
        </w:trPr>
        <w:tc>
          <w:tcPr>
            <w:tcW w:w="3308" w:type="dxa"/>
            <w:vMerge/>
            <w:tcBorders>
              <w:top w:val="nil"/>
              <w:left w:val="single" w:sz="8" w:space="0" w:color="auto"/>
              <w:bottom w:val="single" w:sz="8" w:space="0" w:color="000000"/>
              <w:right w:val="single" w:sz="8" w:space="0" w:color="auto"/>
            </w:tcBorders>
            <w:vAlign w:val="center"/>
            <w:hideMark/>
          </w:tcPr>
          <w:p w14:paraId="0595696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0" w:type="dxa"/>
            <w:gridSpan w:val="3"/>
            <w:vMerge/>
            <w:tcBorders>
              <w:top w:val="single" w:sz="8" w:space="0" w:color="auto"/>
              <w:left w:val="single" w:sz="8" w:space="0" w:color="auto"/>
              <w:bottom w:val="single" w:sz="8" w:space="0" w:color="000000"/>
              <w:right w:val="single" w:sz="8" w:space="0" w:color="000000"/>
            </w:tcBorders>
            <w:vAlign w:val="center"/>
            <w:hideMark/>
          </w:tcPr>
          <w:p w14:paraId="4FF91012" w14:textId="77777777" w:rsidR="00854ADA" w:rsidRPr="00FF386D" w:rsidRDefault="00854ADA" w:rsidP="00854ADA">
            <w:pPr>
              <w:numPr>
                <w:ilvl w:val="0"/>
                <w:numId w:val="142"/>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53D261C1" w14:textId="77777777" w:rsidTr="0057310C">
        <w:trPr>
          <w:trHeight w:val="450"/>
        </w:trPr>
        <w:tc>
          <w:tcPr>
            <w:tcW w:w="3308" w:type="dxa"/>
            <w:vMerge/>
            <w:tcBorders>
              <w:top w:val="nil"/>
              <w:left w:val="single" w:sz="8" w:space="0" w:color="auto"/>
              <w:bottom w:val="single" w:sz="8" w:space="0" w:color="000000"/>
              <w:right w:val="single" w:sz="8" w:space="0" w:color="auto"/>
            </w:tcBorders>
            <w:vAlign w:val="center"/>
            <w:hideMark/>
          </w:tcPr>
          <w:p w14:paraId="5C92E82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0" w:type="dxa"/>
            <w:gridSpan w:val="3"/>
            <w:vMerge/>
            <w:tcBorders>
              <w:top w:val="single" w:sz="8" w:space="0" w:color="auto"/>
              <w:left w:val="single" w:sz="8" w:space="0" w:color="auto"/>
              <w:bottom w:val="single" w:sz="8" w:space="0" w:color="000000"/>
              <w:right w:val="single" w:sz="8" w:space="0" w:color="000000"/>
            </w:tcBorders>
            <w:vAlign w:val="center"/>
            <w:hideMark/>
          </w:tcPr>
          <w:p w14:paraId="0AE02404" w14:textId="77777777" w:rsidR="00854ADA" w:rsidRPr="00FF386D" w:rsidRDefault="00854ADA" w:rsidP="00854ADA">
            <w:pPr>
              <w:numPr>
                <w:ilvl w:val="0"/>
                <w:numId w:val="142"/>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0574827C" w14:textId="77777777" w:rsidTr="0057310C">
        <w:trPr>
          <w:trHeight w:val="383"/>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48FCFAB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7060E3A3" w14:textId="523A808A" w:rsidR="00854ADA" w:rsidRDefault="00854ADA" w:rsidP="00854ADA">
            <w:pPr>
              <w:numPr>
                <w:ilvl w:val="0"/>
                <w:numId w:val="142"/>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Стратегија одрживог урбаног развоја </w:t>
            </w:r>
            <w:r w:rsidR="007B5741" w:rsidRPr="007B5741">
              <w:rPr>
                <w:rFonts w:ascii="Calibri Light" w:eastAsia="Times New Roman" w:hAnsi="Calibri Light" w:cs="Calibri Light"/>
                <w:color w:val="000000"/>
                <w:sz w:val="20"/>
                <w:szCs w:val="20"/>
                <w:lang w:eastAsia="en-GB"/>
              </w:rPr>
              <w:t>Републике Србије до</w:t>
            </w:r>
            <w:r w:rsidRPr="00FF386D">
              <w:rPr>
                <w:rFonts w:ascii="Calibri Light" w:eastAsia="Times New Roman" w:hAnsi="Calibri Light" w:cs="Calibri Light"/>
                <w:color w:val="000000"/>
                <w:sz w:val="20"/>
                <w:szCs w:val="20"/>
                <w:lang w:eastAsia="en-GB"/>
              </w:rPr>
              <w:t xml:space="preserve"> 2030. годин</w:t>
            </w:r>
            <w:r w:rsidR="007B5741">
              <w:rPr>
                <w:rFonts w:ascii="Calibri Light" w:eastAsia="Times New Roman" w:hAnsi="Calibri Light" w:cs="Calibri Light"/>
                <w:color w:val="000000"/>
                <w:sz w:val="20"/>
                <w:szCs w:val="20"/>
                <w:lang w:eastAsia="en-GB"/>
              </w:rPr>
              <w:t>е</w:t>
            </w:r>
          </w:p>
          <w:p w14:paraId="2C2AEA8A" w14:textId="7818BC1A" w:rsidR="007B5741" w:rsidRPr="00FF386D" w:rsidRDefault="007B5741" w:rsidP="00854ADA">
            <w:pPr>
              <w:numPr>
                <w:ilvl w:val="0"/>
                <w:numId w:val="142"/>
              </w:numPr>
              <w:spacing w:after="0" w:line="240" w:lineRule="auto"/>
              <w:contextualSpacing/>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Закон о планирању и изградњи</w:t>
            </w:r>
          </w:p>
        </w:tc>
      </w:tr>
      <w:tr w:rsidR="00854ADA" w:rsidRPr="00FF386D" w14:paraId="17AA2131"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61BE740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6277594F" w14:textId="5110F943"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 xml:space="preserve">Биће </w:t>
            </w:r>
            <w:r w:rsidR="00AF665D" w:rsidRPr="00FF386D">
              <w:rPr>
                <w:rFonts w:ascii="Calibri Light" w:eastAsia="Times New Roman" w:hAnsi="Calibri Light" w:cs="Calibri Light"/>
                <w:color w:val="000000"/>
                <w:sz w:val="20"/>
                <w:szCs w:val="20"/>
                <w:lang w:eastAsia="en-GB"/>
              </w:rPr>
              <w:t>обухваћени</w:t>
            </w:r>
            <w:r w:rsidRPr="00FF386D">
              <w:rPr>
                <w:rFonts w:ascii="Calibri Light" w:eastAsia="Times New Roman" w:hAnsi="Calibri Light" w:cs="Calibri Light"/>
                <w:color w:val="000000"/>
                <w:sz w:val="20"/>
                <w:szCs w:val="20"/>
                <w:lang w:eastAsia="en-GB"/>
              </w:rPr>
              <w:t xml:space="preserve"> у МП_EE10, МП_EE12 и МП_EE14</w:t>
            </w:r>
          </w:p>
        </w:tc>
      </w:tr>
      <w:tr w:rsidR="00854ADA" w:rsidRPr="00FF386D" w14:paraId="6A90C244"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74C8011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37DE69E2" w14:textId="63545564"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AF665D" w:rsidRPr="00FF386D">
              <w:rPr>
                <w:rFonts w:asciiTheme="majorHAnsi" w:eastAsia="Times New Roman" w:hAnsiTheme="majorHAnsi" w:cstheme="majorHAnsi"/>
                <w:color w:val="000000"/>
                <w:sz w:val="20"/>
                <w:szCs w:val="20"/>
                <w:lang w:eastAsia="en-GB"/>
              </w:rPr>
              <w:t>ска средства</w:t>
            </w:r>
          </w:p>
        </w:tc>
      </w:tr>
    </w:tbl>
    <w:p w14:paraId="4E798943"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04"/>
        <w:gridCol w:w="1007"/>
        <w:gridCol w:w="942"/>
        <w:gridCol w:w="4205"/>
      </w:tblGrid>
      <w:tr w:rsidR="00854ADA" w:rsidRPr="00FF386D" w14:paraId="73D634CB" w14:textId="77777777" w:rsidTr="0057310C">
        <w:trPr>
          <w:trHeight w:val="780"/>
        </w:trPr>
        <w:tc>
          <w:tcPr>
            <w:tcW w:w="3304"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2793B206"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68214C1F"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МП_ЕЕ20</w:t>
            </w:r>
          </w:p>
        </w:tc>
        <w:tc>
          <w:tcPr>
            <w:tcW w:w="942" w:type="dxa"/>
            <w:tcBorders>
              <w:top w:val="single" w:sz="8" w:space="0" w:color="auto"/>
              <w:left w:val="nil"/>
              <w:bottom w:val="single" w:sz="8" w:space="0" w:color="auto"/>
              <w:right w:val="single" w:sz="8" w:space="0" w:color="auto"/>
            </w:tcBorders>
            <w:shd w:val="clear" w:color="000000" w:fill="244062"/>
            <w:vAlign w:val="center"/>
            <w:hideMark/>
          </w:tcPr>
          <w:p w14:paraId="6072271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05" w:type="dxa"/>
            <w:tcBorders>
              <w:top w:val="single" w:sz="8" w:space="0" w:color="auto"/>
              <w:left w:val="nil"/>
              <w:bottom w:val="single" w:sz="8" w:space="0" w:color="auto"/>
              <w:right w:val="single" w:sz="8" w:space="0" w:color="auto"/>
            </w:tcBorders>
            <w:shd w:val="clear" w:color="auto" w:fill="E7E6E6" w:themeFill="background2"/>
            <w:vAlign w:val="center"/>
            <w:hideMark/>
          </w:tcPr>
          <w:p w14:paraId="1652716E" w14:textId="194104F9"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Д</w:t>
            </w:r>
            <w:r w:rsidR="007A1B28" w:rsidRPr="00FF386D">
              <w:rPr>
                <w:rFonts w:ascii="Calibri Light" w:hAnsi="Calibri Light"/>
                <w:b/>
                <w:sz w:val="20"/>
              </w:rPr>
              <w:t>одатне</w:t>
            </w:r>
            <w:r w:rsidRPr="00FF386D">
              <w:rPr>
                <w:rFonts w:ascii="Calibri Light" w:hAnsi="Calibri Light"/>
                <w:b/>
                <w:sz w:val="20"/>
              </w:rPr>
              <w:t xml:space="preserve"> ак</w:t>
            </w:r>
            <w:r w:rsidR="00AF665D" w:rsidRPr="00FF386D">
              <w:rPr>
                <w:rFonts w:ascii="Calibri Light" w:hAnsi="Calibri Light"/>
                <w:b/>
                <w:sz w:val="20"/>
              </w:rPr>
              <w:t>тивности</w:t>
            </w:r>
            <w:r w:rsidRPr="00FF386D">
              <w:rPr>
                <w:rFonts w:ascii="Calibri Light" w:hAnsi="Calibri Light"/>
                <w:b/>
                <w:sz w:val="20"/>
              </w:rPr>
              <w:t xml:space="preserve"> за п</w:t>
            </w:r>
            <w:r w:rsidR="007A1B28" w:rsidRPr="00FF386D">
              <w:rPr>
                <w:rFonts w:ascii="Calibri Light" w:hAnsi="Calibri Light"/>
                <w:b/>
                <w:sz w:val="20"/>
              </w:rPr>
              <w:t>одстицање</w:t>
            </w:r>
            <w:r w:rsidRPr="00FF386D">
              <w:rPr>
                <w:rFonts w:ascii="Calibri Light" w:hAnsi="Calibri Light"/>
                <w:b/>
                <w:sz w:val="20"/>
              </w:rPr>
              <w:t xml:space="preserve"> енергетске ефикасности у сектору саобраћаја</w:t>
            </w:r>
          </w:p>
        </w:tc>
      </w:tr>
      <w:tr w:rsidR="00854ADA" w:rsidRPr="00FF386D" w14:paraId="0679C65F" w14:textId="77777777" w:rsidTr="0057310C">
        <w:trPr>
          <w:trHeight w:val="433"/>
        </w:trPr>
        <w:tc>
          <w:tcPr>
            <w:tcW w:w="3304" w:type="dxa"/>
            <w:tcBorders>
              <w:top w:val="nil"/>
              <w:left w:val="single" w:sz="8" w:space="0" w:color="auto"/>
              <w:bottom w:val="single" w:sz="8" w:space="0" w:color="auto"/>
              <w:right w:val="nil"/>
            </w:tcBorders>
            <w:shd w:val="clear" w:color="000000" w:fill="244062"/>
            <w:vAlign w:val="center"/>
            <w:hideMark/>
          </w:tcPr>
          <w:p w14:paraId="7BB4338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4B2A7FF7" w14:textId="556F39A3" w:rsidR="00854ADA" w:rsidRPr="000A2AFE" w:rsidRDefault="00AF665D"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Примена</w:t>
            </w:r>
            <w:r w:rsidR="00854ADA" w:rsidRPr="00FF386D">
              <w:rPr>
                <w:rFonts w:ascii="Calibri Light" w:hAnsi="Calibri Light"/>
                <w:sz w:val="20"/>
              </w:rPr>
              <w:t xml:space="preserve"> </w:t>
            </w:r>
            <w:r w:rsidRPr="00FF386D">
              <w:rPr>
                <w:rFonts w:ascii="Calibri Light" w:hAnsi="Calibri Light"/>
                <w:sz w:val="20"/>
              </w:rPr>
              <w:t xml:space="preserve">чланова </w:t>
            </w:r>
            <w:r w:rsidR="00854ADA" w:rsidRPr="00FF386D">
              <w:rPr>
                <w:rFonts w:ascii="Calibri Light" w:hAnsi="Calibri Light"/>
                <w:sz w:val="20"/>
              </w:rPr>
              <w:t xml:space="preserve">Директиве </w:t>
            </w:r>
            <w:r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2018/2002</w:t>
            </w:r>
            <w:r w:rsidRPr="00FF386D">
              <w:rPr>
                <w:rFonts w:ascii="Calibri Light" w:hAnsi="Calibri Light"/>
                <w:sz w:val="20"/>
              </w:rPr>
              <w:t>, и то</w:t>
            </w:r>
            <w:r w:rsidR="00854ADA" w:rsidRPr="000A2AFE">
              <w:rPr>
                <w:rFonts w:ascii="Calibri Light" w:eastAsia="Times New Roman" w:hAnsi="Calibri Light" w:cs="Calibri Light"/>
                <w:color w:val="000000"/>
                <w:sz w:val="20"/>
                <w:szCs w:val="20"/>
                <w:lang w:eastAsia="en-GB"/>
              </w:rPr>
              <w:t>:</w:t>
            </w:r>
          </w:p>
          <w:p w14:paraId="387BF52E" w14:textId="6F861FB0" w:rsidR="00854ADA" w:rsidRPr="00FF386D" w:rsidRDefault="00854ADA" w:rsidP="00854ADA">
            <w:pPr>
              <w:numPr>
                <w:ilvl w:val="0"/>
                <w:numId w:val="142"/>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7A1B28"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3</w:t>
            </w:r>
          </w:p>
        </w:tc>
      </w:tr>
      <w:tr w:rsidR="00854ADA" w:rsidRPr="00FF386D" w14:paraId="3D8BA3CE"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08BBEA2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2C11AFA2" w14:textId="57BE33FE"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Допринос М</w:t>
            </w:r>
            <w:r w:rsidR="00AF665D" w:rsidRPr="00FF386D">
              <w:rPr>
                <w:rFonts w:asciiTheme="majorHAnsi" w:eastAsia="Times New Roman" w:hAnsiTheme="majorHAnsi" w:cstheme="majorHAnsi"/>
                <w:color w:val="000000"/>
                <w:sz w:val="20"/>
                <w:szCs w:val="20"/>
                <w:lang w:eastAsia="en-GB"/>
              </w:rPr>
              <w:t>П</w:t>
            </w:r>
            <w:r w:rsidRPr="00FF386D">
              <w:rPr>
                <w:rFonts w:asciiTheme="majorHAnsi" w:eastAsia="Times New Roman" w:hAnsiTheme="majorHAnsi" w:cstheme="majorHAnsi"/>
                <w:color w:val="000000"/>
                <w:sz w:val="20"/>
                <w:szCs w:val="20"/>
                <w:lang w:eastAsia="en-GB"/>
              </w:rPr>
              <w:t>_ЕЕ10, МП_ЕЕ12 и МП_ЕЕ14</w:t>
            </w:r>
          </w:p>
        </w:tc>
      </w:tr>
      <w:tr w:rsidR="00854ADA" w:rsidRPr="00FF386D" w14:paraId="59FA9B12" w14:textId="77777777" w:rsidTr="0057310C">
        <w:trPr>
          <w:trHeight w:val="1138"/>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3117FA6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7FED9F06" w14:textId="136F893F"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МП_ЕЕ20 ће предвидети различите постојеће мере за п</w:t>
            </w:r>
            <w:r w:rsidR="007A1B28" w:rsidRPr="00FF386D">
              <w:rPr>
                <w:rFonts w:ascii="Calibri Light" w:hAnsi="Calibri Light"/>
                <w:sz w:val="20"/>
              </w:rPr>
              <w:t>ромовисање</w:t>
            </w:r>
            <w:r w:rsidRPr="00FF386D">
              <w:rPr>
                <w:rFonts w:ascii="Calibri Light" w:hAnsi="Calibri Light"/>
                <w:sz w:val="20"/>
              </w:rPr>
              <w:t xml:space="preserve"> енергетски ефикасних гума за све врсте возила, као што су промовисање енергетски ефикасних гума и мазива, редовни технички прегледи возила у складу са посебним захтевима квалитета, промовисање адитива за гориво, успостављање оквира за означавање горива и </w:t>
            </w:r>
            <w:r w:rsidR="007A1B28" w:rsidRPr="00FF386D">
              <w:rPr>
                <w:rFonts w:ascii="Calibri Light" w:hAnsi="Calibri Light"/>
                <w:sz w:val="20"/>
              </w:rPr>
              <w:t>контролу</w:t>
            </w:r>
            <w:r w:rsidRPr="00FF386D">
              <w:rPr>
                <w:rFonts w:ascii="Calibri Light" w:hAnsi="Calibri Light"/>
                <w:sz w:val="20"/>
              </w:rPr>
              <w:t xml:space="preserve"> квалитета горива</w:t>
            </w:r>
            <w:r w:rsidRPr="000A2AFE">
              <w:rPr>
                <w:rFonts w:ascii="Calibri Light" w:eastAsia="Times New Roman" w:hAnsi="Calibri Light" w:cs="Calibri Light"/>
                <w:color w:val="000000"/>
                <w:sz w:val="20"/>
                <w:szCs w:val="20"/>
                <w:lang w:eastAsia="en-GB"/>
              </w:rPr>
              <w:t>.</w:t>
            </w:r>
          </w:p>
        </w:tc>
      </w:tr>
      <w:tr w:rsidR="00854ADA" w:rsidRPr="00FF386D" w14:paraId="2A3D43F0"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7E1BDEF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0E45E3B5" w14:textId="6BFAECA8"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AF665D" w:rsidRPr="00FF386D">
              <w:rPr>
                <w:rFonts w:ascii="Calibri Light" w:hAnsi="Calibri Light"/>
                <w:sz w:val="20"/>
              </w:rPr>
              <w:t>5</w:t>
            </w:r>
            <w:r w:rsidRPr="00FF386D">
              <w:rPr>
                <w:rFonts w:ascii="Calibri Light" w:hAnsi="Calibri Light"/>
                <w:sz w:val="20"/>
              </w:rPr>
              <w:t>-2030.</w:t>
            </w:r>
          </w:p>
        </w:tc>
      </w:tr>
      <w:tr w:rsidR="00854ADA" w:rsidRPr="00FF386D" w14:paraId="68F475B8"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0B6415F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19ABA563"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Реформа</w:t>
            </w:r>
          </w:p>
        </w:tc>
      </w:tr>
      <w:tr w:rsidR="00854ADA" w:rsidRPr="00FF386D" w14:paraId="49F72B08"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0554FAE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28290D7D"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Саобраћај</w:t>
            </w:r>
          </w:p>
        </w:tc>
      </w:tr>
      <w:tr w:rsidR="00854ADA" w:rsidRPr="00FF386D" w14:paraId="6DC8838C"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2A3ABBB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2A3FD484" w14:textId="77777777" w:rsidR="00854ADA" w:rsidRPr="00FF386D" w:rsidRDefault="00854ADA" w:rsidP="00854ADA">
            <w:pPr>
              <w:numPr>
                <w:ilvl w:val="0"/>
                <w:numId w:val="142"/>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03B7C3C7" w14:textId="77777777" w:rsidTr="0057310C">
        <w:trPr>
          <w:trHeight w:val="315"/>
        </w:trPr>
        <w:tc>
          <w:tcPr>
            <w:tcW w:w="3304" w:type="dxa"/>
            <w:tcBorders>
              <w:top w:val="nil"/>
              <w:left w:val="single" w:sz="8" w:space="0" w:color="auto"/>
              <w:bottom w:val="single" w:sz="8" w:space="0" w:color="auto"/>
              <w:right w:val="nil"/>
            </w:tcBorders>
            <w:shd w:val="clear" w:color="000000" w:fill="244062"/>
            <w:vAlign w:val="center"/>
            <w:hideMark/>
          </w:tcPr>
          <w:p w14:paraId="406B898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7887904D" w14:textId="42BDFE29" w:rsidR="00854ADA" w:rsidRPr="000A2AFE" w:rsidRDefault="00364B8A" w:rsidP="000A2AFE">
            <w:pPr>
              <w:pStyle w:val="ListParagraph"/>
              <w:numPr>
                <w:ilvl w:val="0"/>
                <w:numId w:val="142"/>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202CF9DB" w14:textId="77777777" w:rsidTr="0057310C">
        <w:trPr>
          <w:trHeight w:val="315"/>
        </w:trPr>
        <w:tc>
          <w:tcPr>
            <w:tcW w:w="3304" w:type="dxa"/>
            <w:tcBorders>
              <w:top w:val="nil"/>
              <w:left w:val="single" w:sz="8" w:space="0" w:color="auto"/>
              <w:bottom w:val="single" w:sz="8" w:space="0" w:color="auto"/>
              <w:right w:val="nil"/>
            </w:tcBorders>
            <w:shd w:val="clear" w:color="000000" w:fill="244062"/>
            <w:vAlign w:val="center"/>
            <w:hideMark/>
          </w:tcPr>
          <w:p w14:paraId="3BDE48B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599765E5" w14:textId="77777777" w:rsidR="00854ADA" w:rsidRPr="000A2AFE" w:rsidRDefault="00854ADA" w:rsidP="000A2AFE">
            <w:pPr>
              <w:pStyle w:val="ListParagraph"/>
              <w:numPr>
                <w:ilvl w:val="0"/>
                <w:numId w:val="142"/>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Обухваћени путнички и теретни саобраћај</w:t>
            </w:r>
          </w:p>
        </w:tc>
      </w:tr>
      <w:tr w:rsidR="00854ADA" w:rsidRPr="00FF386D" w14:paraId="5E307888" w14:textId="77777777" w:rsidTr="0057310C">
        <w:trPr>
          <w:trHeight w:val="39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7879FD1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Друге релевантне обухваћене димензије Енергетске уније</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18454FB2" w14:textId="29621935" w:rsidR="00364B8A" w:rsidRPr="00364B8A" w:rsidRDefault="00364B8A" w:rsidP="00364B8A">
            <w:pPr>
              <w:numPr>
                <w:ilvl w:val="0"/>
                <w:numId w:val="142"/>
              </w:numPr>
              <w:spacing w:after="0" w:line="240" w:lineRule="auto"/>
              <w:contextualSpacing/>
              <w:rPr>
                <w:rFonts w:ascii="Calibri Light" w:eastAsia="Times New Roman" w:hAnsi="Calibri Light" w:cs="Calibri Light"/>
                <w:color w:val="000000"/>
                <w:sz w:val="20"/>
                <w:szCs w:val="20"/>
                <w:lang w:eastAsia="en-GB"/>
              </w:rPr>
            </w:pPr>
            <w:r w:rsidRPr="00364B8A">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364B8A">
              <w:rPr>
                <w:rFonts w:ascii="Calibri Light" w:eastAsia="Times New Roman" w:hAnsi="Calibri Light" w:cs="Calibri Light"/>
                <w:i/>
                <w:iCs/>
                <w:color w:val="000000"/>
                <w:sz w:val="20"/>
                <w:szCs w:val="20"/>
                <w:lang w:val="en-US" w:eastAsia="en-GB"/>
              </w:rPr>
              <w:t>GHG</w:t>
            </w:r>
            <w:r w:rsidRPr="00364B8A">
              <w:rPr>
                <w:rFonts w:ascii="Calibri Light" w:eastAsia="Times New Roman" w:hAnsi="Calibri Light" w:cs="Calibri Light"/>
                <w:color w:val="000000"/>
                <w:sz w:val="20"/>
                <w:szCs w:val="20"/>
                <w:lang w:eastAsia="en-GB"/>
              </w:rPr>
              <w:t>)</w:t>
            </w:r>
          </w:p>
          <w:p w14:paraId="7AEFD7A3" w14:textId="5619DFDD" w:rsidR="00854ADA" w:rsidRPr="00FF386D" w:rsidRDefault="00364B8A" w:rsidP="00364B8A">
            <w:pPr>
              <w:numPr>
                <w:ilvl w:val="0"/>
                <w:numId w:val="142"/>
              </w:numPr>
              <w:spacing w:after="0" w:line="240" w:lineRule="auto"/>
              <w:contextualSpacing/>
              <w:rPr>
                <w:rFonts w:ascii="Calibri Light" w:eastAsia="Times New Roman" w:hAnsi="Calibri Light" w:cs="Calibri Light"/>
                <w:color w:val="000000"/>
                <w:sz w:val="20"/>
                <w:szCs w:val="20"/>
                <w:lang w:eastAsia="en-GB"/>
              </w:rPr>
            </w:pPr>
            <w:r w:rsidRPr="00364B8A">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854ADA" w:rsidRPr="00FF386D" w14:paraId="5DD0B107" w14:textId="77777777" w:rsidTr="0057310C">
        <w:trPr>
          <w:trHeight w:val="450"/>
        </w:trPr>
        <w:tc>
          <w:tcPr>
            <w:tcW w:w="3304"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048CDE0A" w14:textId="18FDBFDB"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54"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2B2ED6F0" w14:textId="3637610D" w:rsidR="00854ADA" w:rsidRPr="000A2AFE" w:rsidRDefault="00854ADA" w:rsidP="00AF665D">
            <w:pPr>
              <w:pStyle w:val="ListParagraph"/>
              <w:numPr>
                <w:ilvl w:val="0"/>
                <w:numId w:val="142"/>
              </w:num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7A1B28"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2012/27</w:t>
            </w:r>
          </w:p>
          <w:p w14:paraId="3EF87C98" w14:textId="6B028040" w:rsidR="00854ADA" w:rsidRPr="00FF386D" w:rsidRDefault="00854ADA" w:rsidP="00854ADA">
            <w:pPr>
              <w:numPr>
                <w:ilvl w:val="0"/>
                <w:numId w:val="142"/>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7A1B28"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2018/2002</w:t>
            </w:r>
          </w:p>
        </w:tc>
      </w:tr>
      <w:tr w:rsidR="00854ADA" w:rsidRPr="00FF386D" w14:paraId="389DEFA4" w14:textId="77777777" w:rsidTr="0057310C">
        <w:trPr>
          <w:trHeight w:val="450"/>
        </w:trPr>
        <w:tc>
          <w:tcPr>
            <w:tcW w:w="3304" w:type="dxa"/>
            <w:vMerge/>
            <w:tcBorders>
              <w:top w:val="nil"/>
              <w:left w:val="single" w:sz="8" w:space="0" w:color="auto"/>
              <w:bottom w:val="single" w:sz="8" w:space="0" w:color="000000"/>
              <w:right w:val="single" w:sz="8" w:space="0" w:color="auto"/>
            </w:tcBorders>
            <w:vAlign w:val="center"/>
            <w:hideMark/>
          </w:tcPr>
          <w:p w14:paraId="2A24434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4" w:type="dxa"/>
            <w:gridSpan w:val="3"/>
            <w:vMerge/>
            <w:tcBorders>
              <w:top w:val="single" w:sz="8" w:space="0" w:color="auto"/>
              <w:left w:val="single" w:sz="8" w:space="0" w:color="auto"/>
              <w:bottom w:val="single" w:sz="8" w:space="0" w:color="000000"/>
              <w:right w:val="single" w:sz="8" w:space="0" w:color="000000"/>
            </w:tcBorders>
            <w:vAlign w:val="center"/>
            <w:hideMark/>
          </w:tcPr>
          <w:p w14:paraId="4C356CDB" w14:textId="77777777" w:rsidR="00854ADA" w:rsidRPr="00FF386D" w:rsidRDefault="00854ADA" w:rsidP="00854ADA">
            <w:pPr>
              <w:numPr>
                <w:ilvl w:val="0"/>
                <w:numId w:val="142"/>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39E6E6E6" w14:textId="77777777" w:rsidTr="0057310C">
        <w:trPr>
          <w:trHeight w:val="450"/>
        </w:trPr>
        <w:tc>
          <w:tcPr>
            <w:tcW w:w="3304" w:type="dxa"/>
            <w:vMerge/>
            <w:tcBorders>
              <w:top w:val="nil"/>
              <w:left w:val="single" w:sz="8" w:space="0" w:color="auto"/>
              <w:bottom w:val="single" w:sz="8" w:space="0" w:color="000000"/>
              <w:right w:val="single" w:sz="8" w:space="0" w:color="auto"/>
            </w:tcBorders>
            <w:vAlign w:val="center"/>
            <w:hideMark/>
          </w:tcPr>
          <w:p w14:paraId="1DFF378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4" w:type="dxa"/>
            <w:gridSpan w:val="3"/>
            <w:vMerge/>
            <w:tcBorders>
              <w:top w:val="single" w:sz="8" w:space="0" w:color="auto"/>
              <w:left w:val="single" w:sz="8" w:space="0" w:color="auto"/>
              <w:bottom w:val="single" w:sz="8" w:space="0" w:color="000000"/>
              <w:right w:val="single" w:sz="8" w:space="0" w:color="000000"/>
            </w:tcBorders>
            <w:vAlign w:val="center"/>
            <w:hideMark/>
          </w:tcPr>
          <w:p w14:paraId="630109EE" w14:textId="77777777" w:rsidR="00854ADA" w:rsidRPr="00FF386D" w:rsidRDefault="00854ADA" w:rsidP="00854ADA">
            <w:pPr>
              <w:numPr>
                <w:ilvl w:val="0"/>
                <w:numId w:val="142"/>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622A1232" w14:textId="77777777" w:rsidTr="0057310C">
        <w:trPr>
          <w:trHeight w:val="429"/>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6A34CD8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06BED626" w14:textId="2703093E" w:rsidR="00854ADA" w:rsidRPr="00FF386D" w:rsidRDefault="00854ADA" w:rsidP="00854ADA">
            <w:pPr>
              <w:numPr>
                <w:ilvl w:val="0"/>
                <w:numId w:val="142"/>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4. НАПЕЕ</w:t>
            </w:r>
          </w:p>
        </w:tc>
      </w:tr>
      <w:tr w:rsidR="00854ADA" w:rsidRPr="00FF386D" w14:paraId="30F0BDC7"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0308F05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08F81956" w14:textId="5152F619"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 xml:space="preserve">Биће </w:t>
            </w:r>
            <w:r w:rsidR="00AF665D" w:rsidRPr="00FF386D">
              <w:rPr>
                <w:rFonts w:ascii="Calibri Light" w:eastAsia="Times New Roman" w:hAnsi="Calibri Light" w:cs="Calibri Light"/>
                <w:color w:val="000000"/>
                <w:sz w:val="20"/>
                <w:szCs w:val="20"/>
                <w:lang w:eastAsia="en-GB"/>
              </w:rPr>
              <w:t>обухваћен</w:t>
            </w:r>
            <w:r w:rsidR="007A1B28" w:rsidRPr="00FF386D">
              <w:rPr>
                <w:rFonts w:ascii="Calibri Light" w:eastAsia="Times New Roman" w:hAnsi="Calibri Light" w:cs="Calibri Light"/>
                <w:color w:val="000000"/>
                <w:sz w:val="20"/>
                <w:szCs w:val="20"/>
                <w:lang w:eastAsia="en-GB"/>
              </w:rPr>
              <w:t>и</w:t>
            </w:r>
            <w:r w:rsidRPr="00FF386D">
              <w:rPr>
                <w:rFonts w:ascii="Calibri Light" w:eastAsia="Times New Roman" w:hAnsi="Calibri Light" w:cs="Calibri Light"/>
                <w:color w:val="000000"/>
                <w:sz w:val="20"/>
                <w:szCs w:val="20"/>
                <w:lang w:eastAsia="en-GB"/>
              </w:rPr>
              <w:t xml:space="preserve"> у МП_ЕЕ10, МП_ЕЕ12 и МП_ЕЕ14</w:t>
            </w:r>
          </w:p>
        </w:tc>
      </w:tr>
      <w:tr w:rsidR="00854ADA" w:rsidRPr="00FF386D" w14:paraId="4530623E"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1EAD5B5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7B960450" w14:textId="46E444B5"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AF665D" w:rsidRPr="00FF386D">
              <w:rPr>
                <w:rFonts w:asciiTheme="majorHAnsi" w:eastAsia="Times New Roman" w:hAnsiTheme="majorHAnsi" w:cstheme="majorHAnsi"/>
                <w:color w:val="000000"/>
                <w:sz w:val="20"/>
                <w:szCs w:val="20"/>
                <w:lang w:eastAsia="en-GB"/>
              </w:rPr>
              <w:t xml:space="preserve">ска </w:t>
            </w:r>
            <w:r w:rsidRPr="00FF386D">
              <w:rPr>
                <w:rFonts w:asciiTheme="majorHAnsi" w:eastAsia="Times New Roman" w:hAnsiTheme="majorHAnsi" w:cstheme="majorHAnsi"/>
                <w:color w:val="000000"/>
                <w:sz w:val="20"/>
                <w:szCs w:val="20"/>
                <w:lang w:eastAsia="en-GB"/>
              </w:rPr>
              <w:t xml:space="preserve">и </w:t>
            </w:r>
            <w:r w:rsidR="00AF665D" w:rsidRPr="00FF386D">
              <w:rPr>
                <w:rFonts w:asciiTheme="majorHAnsi" w:eastAsia="Times New Roman" w:hAnsiTheme="majorHAnsi" w:cstheme="majorHAnsi"/>
                <w:color w:val="000000"/>
                <w:sz w:val="20"/>
                <w:szCs w:val="20"/>
                <w:lang w:eastAsia="en-GB"/>
              </w:rPr>
              <w:t xml:space="preserve">сопствена </w:t>
            </w:r>
            <w:r w:rsidRPr="00FF386D">
              <w:rPr>
                <w:rFonts w:asciiTheme="majorHAnsi" w:eastAsia="Times New Roman" w:hAnsiTheme="majorHAnsi" w:cstheme="majorHAnsi"/>
                <w:color w:val="000000"/>
                <w:sz w:val="20"/>
                <w:szCs w:val="20"/>
                <w:lang w:eastAsia="en-GB"/>
              </w:rPr>
              <w:t>средства</w:t>
            </w:r>
          </w:p>
        </w:tc>
      </w:tr>
    </w:tbl>
    <w:p w14:paraId="6C35B96A" w14:textId="77777777" w:rsidR="00854ADA" w:rsidRPr="00FF386D" w:rsidRDefault="00854ADA" w:rsidP="00854ADA">
      <w:pPr>
        <w:spacing w:before="160"/>
        <w:jc w:val="both"/>
        <w:rPr>
          <w:rFonts w:asciiTheme="majorHAnsi" w:hAnsiTheme="majorHAnsi" w:cstheme="majorHAnsi"/>
          <w:b/>
          <w:bCs/>
          <w:color w:val="000000"/>
          <w:u w:val="single"/>
        </w:rPr>
      </w:pPr>
      <w:r w:rsidRPr="00FF386D">
        <w:rPr>
          <w:rFonts w:asciiTheme="majorHAnsi" w:hAnsiTheme="majorHAnsi" w:cstheme="majorHAnsi"/>
          <w:b/>
          <w:bCs/>
          <w:color w:val="000000"/>
          <w:u w:val="single"/>
        </w:rPr>
        <w:t>Индустријски сектор</w:t>
      </w:r>
    </w:p>
    <w:p w14:paraId="64170FFE" w14:textId="048D89A3" w:rsidR="00854ADA" w:rsidRPr="00FF386D" w:rsidRDefault="00D02FBC" w:rsidP="00854ADA">
      <w:pPr>
        <w:spacing w:before="160"/>
        <w:jc w:val="both"/>
        <w:rPr>
          <w:rFonts w:asciiTheme="majorHAnsi" w:hAnsiTheme="majorHAnsi" w:cstheme="majorHAnsi"/>
          <w:color w:val="000000"/>
        </w:rPr>
      </w:pPr>
      <w:r w:rsidRPr="00FF386D">
        <w:rPr>
          <w:rFonts w:asciiTheme="majorHAnsi" w:hAnsiTheme="majorHAnsi" w:cstheme="majorHAnsi"/>
          <w:color w:val="000000"/>
        </w:rPr>
        <w:t>Биће осмишљене ш</w:t>
      </w:r>
      <w:r w:rsidR="00854ADA" w:rsidRPr="00FF386D">
        <w:rPr>
          <w:rFonts w:asciiTheme="majorHAnsi" w:hAnsiTheme="majorHAnsi" w:cstheme="majorHAnsi"/>
          <w:color w:val="000000"/>
        </w:rPr>
        <w:t>еме подршке за спровођење пројеката енергетске ефикасности у индустријском сектору комбиновањем различитих финансијских инструмената, као што су директна финансијска подршка, кредити са ниским каматама, пореске олакшице, кредитне линије и гаранције.</w:t>
      </w:r>
    </w:p>
    <w:p w14:paraId="63CD601C" w14:textId="336DCF63"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Додатна примена најбољих доступних технологија биће подржана у складу са одговарајућим законодавством, док ће развој </w:t>
      </w:r>
      <w:r w:rsidR="00D02FBC" w:rsidRPr="00FF386D">
        <w:rPr>
          <w:rFonts w:asciiTheme="majorHAnsi" w:hAnsiTheme="majorHAnsi" w:cstheme="majorHAnsi"/>
          <w:color w:val="000000"/>
        </w:rPr>
        <w:t>посебних</w:t>
      </w:r>
      <w:r w:rsidRPr="00FF386D">
        <w:rPr>
          <w:rFonts w:asciiTheme="majorHAnsi" w:hAnsiTheme="majorHAnsi" w:cstheme="majorHAnsi"/>
          <w:color w:val="000000"/>
        </w:rPr>
        <w:t xml:space="preserve"> механизма за праћење и надзор допринети оствар</w:t>
      </w:r>
      <w:r w:rsidR="00D02FBC" w:rsidRPr="00FF386D">
        <w:rPr>
          <w:rFonts w:asciiTheme="majorHAnsi" w:hAnsiTheme="majorHAnsi" w:cstheme="majorHAnsi"/>
          <w:color w:val="000000"/>
        </w:rPr>
        <w:t>ењу</w:t>
      </w:r>
      <w:r w:rsidRPr="00FF386D">
        <w:rPr>
          <w:rFonts w:asciiTheme="majorHAnsi" w:hAnsiTheme="majorHAnsi" w:cstheme="majorHAnsi"/>
          <w:color w:val="000000"/>
        </w:rPr>
        <w:t xml:space="preserve"> овог циља. Поред тога, применом захтева еко-дизајна ће се оси</w:t>
      </w:r>
      <w:r w:rsidR="00D02FBC" w:rsidRPr="00FF386D">
        <w:rPr>
          <w:rFonts w:asciiTheme="majorHAnsi" w:hAnsiTheme="majorHAnsi" w:cstheme="majorHAnsi"/>
          <w:color w:val="000000"/>
        </w:rPr>
        <w:t>гурати пр</w:t>
      </w:r>
      <w:r w:rsidR="00AC165C" w:rsidRPr="00AC165C">
        <w:rPr>
          <w:rFonts w:asciiTheme="majorHAnsi" w:hAnsiTheme="majorHAnsi" w:cstheme="majorHAnsi"/>
          <w:color w:val="000000"/>
        </w:rPr>
        <w:t>имена</w:t>
      </w:r>
      <w:r w:rsidRPr="00FF386D">
        <w:rPr>
          <w:rFonts w:asciiTheme="majorHAnsi" w:hAnsiTheme="majorHAnsi" w:cstheme="majorHAnsi"/>
          <w:color w:val="000000"/>
        </w:rPr>
        <w:t xml:space="preserve"> енергетски ефикасних технологија и опреме.</w:t>
      </w:r>
    </w:p>
    <w:p w14:paraId="58ECEE08" w14:textId="1EACD42C"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Поред тога, спроводиће се раз</w:t>
      </w:r>
      <w:r w:rsidR="00D02FBC" w:rsidRPr="00FF386D">
        <w:rPr>
          <w:rFonts w:asciiTheme="majorHAnsi" w:hAnsiTheme="majorHAnsi" w:cstheme="majorHAnsi"/>
          <w:color w:val="000000"/>
        </w:rPr>
        <w:t>не</w:t>
      </w:r>
      <w:r w:rsidRPr="00FF386D">
        <w:rPr>
          <w:rFonts w:asciiTheme="majorHAnsi" w:hAnsiTheme="majorHAnsi" w:cstheme="majorHAnsi"/>
          <w:color w:val="000000"/>
        </w:rPr>
        <w:t xml:space="preserve"> до</w:t>
      </w:r>
      <w:r w:rsidR="00D02FBC" w:rsidRPr="00FF386D">
        <w:rPr>
          <w:rFonts w:asciiTheme="majorHAnsi" w:hAnsiTheme="majorHAnsi" w:cstheme="majorHAnsi"/>
          <w:color w:val="000000"/>
        </w:rPr>
        <w:t>датне активности</w:t>
      </w:r>
      <w:r w:rsidRPr="00FF386D">
        <w:rPr>
          <w:rFonts w:asciiTheme="majorHAnsi" w:hAnsiTheme="majorHAnsi" w:cstheme="majorHAnsi"/>
          <w:color w:val="000000"/>
        </w:rPr>
        <w:t xml:space="preserve"> обезбеђивање</w:t>
      </w:r>
      <w:r w:rsidR="00D02FBC" w:rsidRPr="00FF386D">
        <w:rPr>
          <w:rFonts w:asciiTheme="majorHAnsi" w:hAnsiTheme="majorHAnsi" w:cstheme="majorHAnsi"/>
          <w:color w:val="000000"/>
        </w:rPr>
        <w:t>м</w:t>
      </w:r>
      <w:r w:rsidRPr="00FF386D">
        <w:rPr>
          <w:rFonts w:asciiTheme="majorHAnsi" w:hAnsiTheme="majorHAnsi" w:cstheme="majorHAnsi"/>
          <w:color w:val="000000"/>
        </w:rPr>
        <w:t xml:space="preserve"> финансијских и фискалних подстицаја у циљу промовисања енергетске ефикасности у индустријском сектору, као што су успостављање индустријско-пословних зона које ће бити прикључене на централизована когенерациона постројења и централне системе за производњу и дистрибуцију топлоте, увођење система когенерације, промовисање циркуларне економије, укључујући експлоатацију отпадне топлоте и већу дигитализацију индустријских процеса.</w:t>
      </w:r>
    </w:p>
    <w:p w14:paraId="14749D46" w14:textId="412FEF4F"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На крају, д</w:t>
      </w:r>
      <w:r w:rsidR="00D02FBC" w:rsidRPr="00FF386D">
        <w:rPr>
          <w:rFonts w:asciiTheme="majorHAnsi" w:hAnsiTheme="majorHAnsi" w:cstheme="majorHAnsi"/>
          <w:color w:val="000000"/>
        </w:rPr>
        <w:t>одатно</w:t>
      </w:r>
      <w:r w:rsidRPr="00FF386D">
        <w:rPr>
          <w:rFonts w:asciiTheme="majorHAnsi" w:hAnsiTheme="majorHAnsi" w:cstheme="majorHAnsi"/>
          <w:color w:val="000000"/>
        </w:rPr>
        <w:t xml:space="preserve"> коришћење обновљивих извора за производњу електричне енергије, грејање и хлађење и промовисање других алтернативних горива доприне</w:t>
      </w:r>
      <w:r w:rsidR="00D02FBC" w:rsidRPr="00FF386D">
        <w:rPr>
          <w:rFonts w:asciiTheme="majorHAnsi" w:hAnsiTheme="majorHAnsi" w:cstheme="majorHAnsi"/>
          <w:color w:val="000000"/>
        </w:rPr>
        <w:t>ће</w:t>
      </w:r>
      <w:r w:rsidRPr="00FF386D">
        <w:rPr>
          <w:rFonts w:asciiTheme="majorHAnsi" w:hAnsiTheme="majorHAnsi" w:cstheme="majorHAnsi"/>
          <w:color w:val="000000"/>
        </w:rPr>
        <w:t xml:space="preserve"> побољшању енергетске ефикасности, максимизирањем синергије са мерама политике интегрисаним у димензију ОИЕ.</w:t>
      </w:r>
    </w:p>
    <w:tbl>
      <w:tblPr>
        <w:tblW w:w="9458" w:type="dxa"/>
        <w:tblLook w:val="04A0" w:firstRow="1" w:lastRow="0" w:firstColumn="1" w:lastColumn="0" w:noHBand="0" w:noVBand="1"/>
      </w:tblPr>
      <w:tblGrid>
        <w:gridCol w:w="3310"/>
        <w:gridCol w:w="1007"/>
        <w:gridCol w:w="943"/>
        <w:gridCol w:w="4198"/>
      </w:tblGrid>
      <w:tr w:rsidR="00854ADA" w:rsidRPr="00FF386D" w14:paraId="5777C8B5" w14:textId="77777777" w:rsidTr="0057310C">
        <w:trPr>
          <w:trHeight w:val="780"/>
        </w:trPr>
        <w:tc>
          <w:tcPr>
            <w:tcW w:w="3310"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58C23D47"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2EB5A523"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МП_ЕЕ21</w:t>
            </w:r>
          </w:p>
        </w:tc>
        <w:tc>
          <w:tcPr>
            <w:tcW w:w="943" w:type="dxa"/>
            <w:tcBorders>
              <w:top w:val="single" w:sz="8" w:space="0" w:color="auto"/>
              <w:left w:val="nil"/>
              <w:bottom w:val="single" w:sz="8" w:space="0" w:color="auto"/>
              <w:right w:val="single" w:sz="8" w:space="0" w:color="auto"/>
            </w:tcBorders>
            <w:shd w:val="clear" w:color="000000" w:fill="244062"/>
            <w:vAlign w:val="center"/>
            <w:hideMark/>
          </w:tcPr>
          <w:p w14:paraId="098CE91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98" w:type="dxa"/>
            <w:tcBorders>
              <w:top w:val="single" w:sz="8" w:space="0" w:color="auto"/>
              <w:left w:val="nil"/>
              <w:bottom w:val="single" w:sz="8" w:space="0" w:color="auto"/>
              <w:right w:val="single" w:sz="8" w:space="0" w:color="auto"/>
            </w:tcBorders>
            <w:shd w:val="clear" w:color="auto" w:fill="E7E6E6" w:themeFill="background2"/>
            <w:vAlign w:val="center"/>
            <w:hideMark/>
          </w:tcPr>
          <w:p w14:paraId="7DD7B641" w14:textId="44ED917C" w:rsidR="00854ADA" w:rsidRPr="00FF386D" w:rsidRDefault="00854ADA" w:rsidP="00854ADA">
            <w:pPr>
              <w:spacing w:after="0" w:line="240" w:lineRule="auto"/>
              <w:rPr>
                <w:rFonts w:ascii="Calibri Light" w:eastAsia="Times New Roman" w:hAnsi="Calibri Light" w:cs="Calibri Light"/>
                <w:b/>
                <w:bCs/>
                <w:color w:val="000000"/>
                <w:sz w:val="20"/>
                <w:szCs w:val="20"/>
                <w:lang w:eastAsia="en-GB"/>
              </w:rPr>
            </w:pPr>
            <w:r w:rsidRPr="00FF386D">
              <w:rPr>
                <w:rFonts w:ascii="Calibri Light" w:hAnsi="Calibri Light"/>
                <w:b/>
                <w:sz w:val="20"/>
              </w:rPr>
              <w:t xml:space="preserve">Шеме подршке </w:t>
            </w:r>
            <w:r w:rsidR="00D02FBC" w:rsidRPr="00FF386D">
              <w:rPr>
                <w:rFonts w:ascii="Calibri Light" w:hAnsi="Calibri Light"/>
                <w:b/>
                <w:sz w:val="20"/>
              </w:rPr>
              <w:t>за подстицање</w:t>
            </w:r>
            <w:r w:rsidR="001611C6" w:rsidRPr="00FF386D">
              <w:rPr>
                <w:rFonts w:ascii="Calibri Light" w:hAnsi="Calibri Light"/>
                <w:b/>
                <w:sz w:val="20"/>
              </w:rPr>
              <w:t xml:space="preserve"> </w:t>
            </w:r>
            <w:r w:rsidRPr="00FF386D">
              <w:rPr>
                <w:rFonts w:ascii="Calibri Light" w:hAnsi="Calibri Light"/>
                <w:b/>
                <w:sz w:val="20"/>
              </w:rPr>
              <w:t>енергетск</w:t>
            </w:r>
            <w:r w:rsidR="00D02FBC" w:rsidRPr="00FF386D">
              <w:rPr>
                <w:rFonts w:ascii="Calibri Light" w:hAnsi="Calibri Light"/>
                <w:b/>
                <w:sz w:val="20"/>
              </w:rPr>
              <w:t>е</w:t>
            </w:r>
            <w:r w:rsidRPr="00FF386D">
              <w:rPr>
                <w:rFonts w:ascii="Calibri Light" w:hAnsi="Calibri Light"/>
                <w:b/>
                <w:sz w:val="20"/>
              </w:rPr>
              <w:t xml:space="preserve"> ефикасност</w:t>
            </w:r>
            <w:r w:rsidR="00D02FBC" w:rsidRPr="00FF386D">
              <w:rPr>
                <w:rFonts w:ascii="Calibri Light" w:hAnsi="Calibri Light"/>
                <w:b/>
                <w:sz w:val="20"/>
              </w:rPr>
              <w:t>и</w:t>
            </w:r>
            <w:r w:rsidRPr="00FF386D">
              <w:rPr>
                <w:rFonts w:ascii="Calibri Light" w:hAnsi="Calibri Light"/>
                <w:b/>
                <w:sz w:val="20"/>
              </w:rPr>
              <w:t xml:space="preserve"> у индустријском сектору</w:t>
            </w:r>
          </w:p>
        </w:tc>
      </w:tr>
      <w:tr w:rsidR="00854ADA" w:rsidRPr="00FF386D" w14:paraId="37F14C5A" w14:textId="77777777" w:rsidTr="0057310C">
        <w:trPr>
          <w:trHeight w:val="960"/>
        </w:trPr>
        <w:tc>
          <w:tcPr>
            <w:tcW w:w="3310" w:type="dxa"/>
            <w:tcBorders>
              <w:top w:val="nil"/>
              <w:left w:val="single" w:sz="8" w:space="0" w:color="auto"/>
              <w:bottom w:val="single" w:sz="8" w:space="0" w:color="auto"/>
              <w:right w:val="nil"/>
            </w:tcBorders>
            <w:shd w:val="clear" w:color="000000" w:fill="244062"/>
            <w:vAlign w:val="center"/>
            <w:hideMark/>
          </w:tcPr>
          <w:p w14:paraId="295BB39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3E04F6DA" w14:textId="3A865FFF" w:rsidR="00854ADA" w:rsidRPr="000A2AFE" w:rsidRDefault="001611C6"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Примена</w:t>
            </w:r>
            <w:r w:rsidR="00854ADA" w:rsidRPr="00FF386D">
              <w:rPr>
                <w:rFonts w:ascii="Calibri Light" w:hAnsi="Calibri Light"/>
                <w:sz w:val="20"/>
              </w:rPr>
              <w:t xml:space="preserve"> следећих чланова Директиве </w:t>
            </w:r>
            <w:r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2018/2002</w:t>
            </w:r>
            <w:r w:rsidRPr="00FF386D">
              <w:rPr>
                <w:rFonts w:ascii="Calibri Light" w:hAnsi="Calibri Light"/>
                <w:sz w:val="20"/>
              </w:rPr>
              <w:t>, и то</w:t>
            </w:r>
            <w:r w:rsidR="00854ADA" w:rsidRPr="000A2AFE">
              <w:rPr>
                <w:rFonts w:ascii="Calibri Light" w:eastAsia="Times New Roman" w:hAnsi="Calibri Light" w:cs="Calibri Light"/>
                <w:color w:val="000000"/>
                <w:sz w:val="20"/>
                <w:szCs w:val="20"/>
                <w:lang w:eastAsia="en-GB"/>
              </w:rPr>
              <w:t>:</w:t>
            </w:r>
          </w:p>
          <w:p w14:paraId="5F7EEAFA" w14:textId="68F31870" w:rsidR="00854ADA" w:rsidRPr="000A2AFE" w:rsidRDefault="00854ADA" w:rsidP="00854ADA">
            <w:pPr>
              <w:numPr>
                <w:ilvl w:val="0"/>
                <w:numId w:val="2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D02FBC"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3</w:t>
            </w:r>
          </w:p>
          <w:p w14:paraId="2309543C" w14:textId="50FD6B16" w:rsidR="00854ADA" w:rsidRPr="00FF386D" w:rsidRDefault="00854ADA" w:rsidP="00854ADA">
            <w:pPr>
              <w:numPr>
                <w:ilvl w:val="0"/>
                <w:numId w:val="143"/>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D02FBC"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7</w:t>
            </w:r>
          </w:p>
        </w:tc>
      </w:tr>
      <w:tr w:rsidR="00854ADA" w:rsidRPr="00FF386D" w14:paraId="0804746C"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3F0AE84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207D7529" w14:textId="501D969F" w:rsidR="00854ADA" w:rsidRPr="00FF386D" w:rsidRDefault="00AC165C" w:rsidP="00854ADA">
            <w:pPr>
              <w:spacing w:after="0" w:line="240" w:lineRule="auto"/>
              <w:rPr>
                <w:rFonts w:ascii="Calibri Light" w:eastAsia="Times New Roman" w:hAnsi="Calibri Light" w:cs="Calibri Light"/>
                <w:color w:val="000000"/>
                <w:sz w:val="20"/>
                <w:szCs w:val="20"/>
                <w:lang w:eastAsia="en-GB"/>
              </w:rPr>
            </w:pPr>
            <w:r w:rsidRPr="00AC165C">
              <w:rPr>
                <w:rFonts w:ascii="Calibri Light" w:eastAsia="Times New Roman" w:hAnsi="Calibri Light" w:cs="Calibri Light"/>
                <w:color w:val="000000"/>
                <w:sz w:val="20"/>
                <w:szCs w:val="20"/>
                <w:lang w:eastAsia="en-GB"/>
              </w:rPr>
              <w:t xml:space="preserve">Допринос постизању очекиваних нивоа финалне потрошње енергије у сектору </w:t>
            </w:r>
            <w:r w:rsidR="000E6E8B">
              <w:rPr>
                <w:rFonts w:ascii="Calibri Light" w:eastAsia="Times New Roman" w:hAnsi="Calibri Light" w:cs="Calibri Light"/>
                <w:color w:val="000000"/>
                <w:sz w:val="20"/>
                <w:szCs w:val="20"/>
                <w:lang w:eastAsia="en-GB"/>
              </w:rPr>
              <w:t>индустрије</w:t>
            </w:r>
          </w:p>
        </w:tc>
      </w:tr>
      <w:tr w:rsidR="00854ADA" w:rsidRPr="00FF386D" w14:paraId="70CACF2D" w14:textId="77777777" w:rsidTr="0057310C">
        <w:trPr>
          <w:trHeight w:val="880"/>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2DF3148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61662DFE" w14:textId="6CE13388" w:rsidR="00854ADA" w:rsidRPr="000A2AFE"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МП_ЕЕ21 ће покренути шему циљане подршке </w:t>
            </w:r>
            <w:r w:rsidR="00D02FBC" w:rsidRPr="00FF386D">
              <w:rPr>
                <w:rFonts w:ascii="Calibri Light" w:hAnsi="Calibri Light"/>
                <w:sz w:val="20"/>
              </w:rPr>
              <w:t>за</w:t>
            </w:r>
            <w:r w:rsidR="00D81963" w:rsidRPr="00FF386D">
              <w:rPr>
                <w:rFonts w:ascii="Calibri Light" w:hAnsi="Calibri Light"/>
                <w:sz w:val="20"/>
              </w:rPr>
              <w:t xml:space="preserve"> </w:t>
            </w:r>
            <w:r w:rsidRPr="00FF386D">
              <w:rPr>
                <w:rFonts w:ascii="Calibri Light" w:hAnsi="Calibri Light"/>
                <w:sz w:val="20"/>
              </w:rPr>
              <w:t>спров</w:t>
            </w:r>
            <w:r w:rsidR="00D81963" w:rsidRPr="00FF386D">
              <w:rPr>
                <w:rFonts w:ascii="Calibri Light" w:hAnsi="Calibri Light"/>
                <w:sz w:val="20"/>
              </w:rPr>
              <w:t>о</w:t>
            </w:r>
            <w:r w:rsidR="00D02FBC" w:rsidRPr="00FF386D">
              <w:rPr>
                <w:rFonts w:ascii="Calibri Light" w:hAnsi="Calibri Light"/>
                <w:sz w:val="20"/>
              </w:rPr>
              <w:t>ђење</w:t>
            </w:r>
            <w:r w:rsidRPr="00FF386D">
              <w:rPr>
                <w:rFonts w:ascii="Calibri Light" w:hAnsi="Calibri Light"/>
                <w:sz w:val="20"/>
              </w:rPr>
              <w:t xml:space="preserve"> пројек</w:t>
            </w:r>
            <w:r w:rsidR="00D02FBC" w:rsidRPr="00FF386D">
              <w:rPr>
                <w:rFonts w:ascii="Calibri Light" w:hAnsi="Calibri Light"/>
                <w:sz w:val="20"/>
              </w:rPr>
              <w:t>ата</w:t>
            </w:r>
            <w:r w:rsidRPr="00FF386D">
              <w:rPr>
                <w:rFonts w:ascii="Calibri Light" w:hAnsi="Calibri Light"/>
                <w:sz w:val="20"/>
              </w:rPr>
              <w:t xml:space="preserve"> енергетске ефикасности у индустријском сектору, комбин</w:t>
            </w:r>
            <w:r w:rsidR="00D81963" w:rsidRPr="00FF386D">
              <w:rPr>
                <w:rFonts w:ascii="Calibri Light" w:hAnsi="Calibri Light"/>
                <w:sz w:val="20"/>
              </w:rPr>
              <w:t>овањем</w:t>
            </w:r>
            <w:r w:rsidRPr="00FF386D">
              <w:rPr>
                <w:rFonts w:ascii="Calibri Light" w:hAnsi="Calibri Light"/>
                <w:sz w:val="20"/>
              </w:rPr>
              <w:t xml:space="preserve"> различит</w:t>
            </w:r>
            <w:r w:rsidR="00D81963" w:rsidRPr="00FF386D">
              <w:rPr>
                <w:rFonts w:ascii="Calibri Light" w:hAnsi="Calibri Light"/>
                <w:sz w:val="20"/>
              </w:rPr>
              <w:t>их</w:t>
            </w:r>
            <w:r w:rsidRPr="00FF386D">
              <w:rPr>
                <w:rFonts w:ascii="Calibri Light" w:hAnsi="Calibri Light"/>
                <w:sz w:val="20"/>
              </w:rPr>
              <w:t xml:space="preserve"> финансијск</w:t>
            </w:r>
            <w:r w:rsidR="00D81963" w:rsidRPr="00FF386D">
              <w:rPr>
                <w:rFonts w:ascii="Calibri Light" w:hAnsi="Calibri Light"/>
                <w:sz w:val="20"/>
              </w:rPr>
              <w:t>их</w:t>
            </w:r>
            <w:r w:rsidRPr="00FF386D">
              <w:rPr>
                <w:rFonts w:ascii="Calibri Light" w:hAnsi="Calibri Light"/>
                <w:sz w:val="20"/>
              </w:rPr>
              <w:t xml:space="preserve"> и фискалн</w:t>
            </w:r>
            <w:r w:rsidR="00D81963" w:rsidRPr="00FF386D">
              <w:rPr>
                <w:rFonts w:ascii="Calibri Light" w:hAnsi="Calibri Light"/>
                <w:sz w:val="20"/>
              </w:rPr>
              <w:t>их</w:t>
            </w:r>
            <w:r w:rsidRPr="00FF386D">
              <w:rPr>
                <w:rFonts w:ascii="Calibri Light" w:hAnsi="Calibri Light"/>
                <w:sz w:val="20"/>
              </w:rPr>
              <w:t xml:space="preserve"> инструмент</w:t>
            </w:r>
            <w:r w:rsidR="00D81963" w:rsidRPr="00FF386D">
              <w:rPr>
                <w:rFonts w:ascii="Calibri Light" w:hAnsi="Calibri Light"/>
                <w:sz w:val="20"/>
              </w:rPr>
              <w:t>а</w:t>
            </w:r>
            <w:r w:rsidRPr="00FF386D">
              <w:rPr>
                <w:rFonts w:ascii="Calibri Light" w:hAnsi="Calibri Light"/>
                <w:sz w:val="20"/>
              </w:rPr>
              <w:t>, као што су директна финансијска подршка, зајмови са ниским каматама, порески одбици, кредитне линије и гаранције</w:t>
            </w:r>
            <w:r w:rsidRPr="000A2AFE">
              <w:rPr>
                <w:rFonts w:ascii="Calibri Light" w:eastAsia="Times New Roman" w:hAnsi="Calibri Light" w:cs="Calibri Light"/>
                <w:color w:val="000000"/>
                <w:sz w:val="20"/>
                <w:szCs w:val="20"/>
                <w:lang w:eastAsia="en-GB"/>
              </w:rPr>
              <w:t>.</w:t>
            </w:r>
          </w:p>
          <w:p w14:paraId="08063278" w14:textId="64D7377C" w:rsidR="00854ADA" w:rsidRPr="00FF386D" w:rsidRDefault="00854ADA" w:rsidP="001611C6">
            <w:pPr>
              <w:spacing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Имплементација МΠ_ЕЕ21 је повезана и са МΠ_ЕЕ28, кој</w:t>
            </w:r>
            <w:r w:rsidR="00D81963"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предвиђа обавезно спровођење енергетских прегледа и развој система </w:t>
            </w:r>
            <w:r w:rsidRPr="000A2AFE">
              <w:rPr>
                <w:rFonts w:ascii="Calibri Light" w:eastAsia="Times New Roman" w:hAnsi="Calibri Light" w:cs="Calibri Light"/>
                <w:color w:val="000000"/>
                <w:sz w:val="20"/>
                <w:szCs w:val="20"/>
                <w:lang w:eastAsia="en-GB"/>
              </w:rPr>
              <w:lastRenderedPageBreak/>
              <w:t>управљања енергијом</w:t>
            </w:r>
            <w:r w:rsidR="00D81963" w:rsidRPr="000A2AFE">
              <w:rPr>
                <w:rFonts w:ascii="Calibri Light" w:eastAsia="Times New Roman" w:hAnsi="Calibri Light" w:cs="Calibri Light"/>
                <w:color w:val="000000"/>
                <w:sz w:val="20"/>
                <w:szCs w:val="20"/>
                <w:lang w:eastAsia="en-GB"/>
              </w:rPr>
              <w:t>,</w:t>
            </w:r>
            <w:r w:rsidRPr="000A2AFE">
              <w:rPr>
                <w:rFonts w:ascii="Calibri Light" w:eastAsia="Times New Roman" w:hAnsi="Calibri Light" w:cs="Calibri Light"/>
                <w:color w:val="000000"/>
                <w:sz w:val="20"/>
                <w:szCs w:val="20"/>
                <w:lang w:eastAsia="en-GB"/>
              </w:rPr>
              <w:t xml:space="preserve"> како би се идентификовале најефикасније интервенције енергетске ефикасности кој</w:t>
            </w:r>
            <w:r w:rsidR="00D02FBC" w:rsidRPr="000A2AFE">
              <w:rPr>
                <w:rFonts w:ascii="Calibri Light" w:eastAsia="Times New Roman" w:hAnsi="Calibri Light" w:cs="Calibri Light"/>
                <w:color w:val="000000"/>
                <w:sz w:val="20"/>
                <w:szCs w:val="20"/>
                <w:lang w:eastAsia="en-GB"/>
              </w:rPr>
              <w:t>има</w:t>
            </w:r>
            <w:r w:rsidRPr="000A2AFE">
              <w:rPr>
                <w:rFonts w:ascii="Calibri Light" w:eastAsia="Times New Roman" w:hAnsi="Calibri Light" w:cs="Calibri Light"/>
                <w:color w:val="000000"/>
                <w:sz w:val="20"/>
                <w:szCs w:val="20"/>
                <w:lang w:eastAsia="en-GB"/>
              </w:rPr>
              <w:t xml:space="preserve"> би </w:t>
            </w:r>
            <w:r w:rsidR="00D02FBC" w:rsidRPr="000A2AFE">
              <w:rPr>
                <w:rFonts w:ascii="Calibri Light" w:eastAsia="Times New Roman" w:hAnsi="Calibri Light" w:cs="Calibri Light"/>
                <w:color w:val="000000"/>
                <w:sz w:val="20"/>
                <w:szCs w:val="20"/>
                <w:lang w:eastAsia="en-GB"/>
              </w:rPr>
              <w:t xml:space="preserve">се </w:t>
            </w:r>
            <w:r w:rsidR="00D81963" w:rsidRPr="000A2AFE">
              <w:rPr>
                <w:rFonts w:ascii="Calibri Light" w:eastAsia="Times New Roman" w:hAnsi="Calibri Light" w:cs="Calibri Light"/>
                <w:color w:val="000000"/>
                <w:sz w:val="20"/>
                <w:szCs w:val="20"/>
                <w:lang w:eastAsia="en-GB"/>
              </w:rPr>
              <w:t xml:space="preserve">пружила </w:t>
            </w:r>
            <w:r w:rsidRPr="000A2AFE">
              <w:rPr>
                <w:rFonts w:ascii="Calibri Light" w:eastAsia="Times New Roman" w:hAnsi="Calibri Light" w:cs="Calibri Light"/>
                <w:color w:val="000000"/>
                <w:sz w:val="20"/>
                <w:szCs w:val="20"/>
                <w:lang w:eastAsia="en-GB"/>
              </w:rPr>
              <w:t>економск</w:t>
            </w:r>
            <w:r w:rsidR="00D81963" w:rsidRPr="000A2AFE">
              <w:rPr>
                <w:rFonts w:ascii="Calibri Light" w:eastAsia="Times New Roman" w:hAnsi="Calibri Light" w:cs="Calibri Light"/>
                <w:color w:val="000000"/>
                <w:sz w:val="20"/>
                <w:szCs w:val="20"/>
                <w:lang w:eastAsia="en-GB"/>
              </w:rPr>
              <w:t>а подршка.</w:t>
            </w:r>
          </w:p>
        </w:tc>
      </w:tr>
      <w:tr w:rsidR="00854ADA" w:rsidRPr="00FF386D" w14:paraId="123BEDEE"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2F7AEA4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Временски оквир имплементације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197AAC97" w14:textId="1DC3FDCE"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1611C6" w:rsidRPr="00FF386D">
              <w:rPr>
                <w:rFonts w:ascii="Calibri Light" w:hAnsi="Calibri Light"/>
                <w:sz w:val="20"/>
              </w:rPr>
              <w:t>5</w:t>
            </w:r>
            <w:r w:rsidRPr="00FF386D">
              <w:rPr>
                <w:rFonts w:ascii="Calibri Light" w:hAnsi="Calibri Light"/>
                <w:sz w:val="20"/>
              </w:rPr>
              <w:t>-2030.</w:t>
            </w:r>
          </w:p>
        </w:tc>
      </w:tr>
      <w:tr w:rsidR="00854ADA" w:rsidRPr="00FF386D" w14:paraId="34E9755B"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20238B7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0EAA436D"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Инвестиција</w:t>
            </w:r>
          </w:p>
        </w:tc>
      </w:tr>
      <w:tr w:rsidR="00854ADA" w:rsidRPr="00FF386D" w14:paraId="6E1CEDA1"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7B47E5D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10497BBE"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Индустријски</w:t>
            </w:r>
          </w:p>
        </w:tc>
      </w:tr>
      <w:tr w:rsidR="00854ADA" w:rsidRPr="00FF386D" w14:paraId="10DD562C"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66D52FD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1B9A7DEB" w14:textId="01E4A2F6" w:rsidR="00854ADA" w:rsidRPr="000A2AFE" w:rsidRDefault="00D81963" w:rsidP="000A2AFE">
            <w:pPr>
              <w:pStyle w:val="ListParagraph"/>
              <w:numPr>
                <w:ilvl w:val="0"/>
                <w:numId w:val="318"/>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421A1D20" w14:textId="77777777" w:rsidTr="0057310C">
        <w:trPr>
          <w:trHeight w:val="315"/>
        </w:trPr>
        <w:tc>
          <w:tcPr>
            <w:tcW w:w="3310" w:type="dxa"/>
            <w:tcBorders>
              <w:top w:val="nil"/>
              <w:left w:val="single" w:sz="8" w:space="0" w:color="auto"/>
              <w:bottom w:val="single" w:sz="8" w:space="0" w:color="auto"/>
              <w:right w:val="nil"/>
            </w:tcBorders>
            <w:shd w:val="clear" w:color="000000" w:fill="244062"/>
            <w:vAlign w:val="center"/>
            <w:hideMark/>
          </w:tcPr>
          <w:p w14:paraId="163F997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20F069DE" w14:textId="4DD32F7F" w:rsidR="00854ADA" w:rsidRPr="000A2AFE" w:rsidRDefault="00364B8A" w:rsidP="000A2AFE">
            <w:pPr>
              <w:pStyle w:val="ListParagraph"/>
              <w:numPr>
                <w:ilvl w:val="0"/>
                <w:numId w:val="143"/>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08D0CD4E" w14:textId="77777777" w:rsidTr="0057310C">
        <w:trPr>
          <w:trHeight w:val="315"/>
        </w:trPr>
        <w:tc>
          <w:tcPr>
            <w:tcW w:w="3310" w:type="dxa"/>
            <w:tcBorders>
              <w:top w:val="nil"/>
              <w:left w:val="single" w:sz="8" w:space="0" w:color="auto"/>
              <w:bottom w:val="single" w:sz="8" w:space="0" w:color="auto"/>
              <w:right w:val="nil"/>
            </w:tcBorders>
            <w:shd w:val="clear" w:color="000000" w:fill="244062"/>
            <w:vAlign w:val="center"/>
            <w:hideMark/>
          </w:tcPr>
          <w:p w14:paraId="7EDC264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5EB60AFF" w14:textId="4DF129E6" w:rsidR="00854ADA" w:rsidRPr="00FF386D" w:rsidRDefault="00854ADA" w:rsidP="00854ADA">
            <w:pPr>
              <w:numPr>
                <w:ilvl w:val="0"/>
                <w:numId w:val="14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Број индустријских постројења </w:t>
            </w:r>
            <w:r w:rsidR="00D81963" w:rsidRPr="00FF386D">
              <w:rPr>
                <w:rFonts w:ascii="Calibri Light" w:eastAsia="Times New Roman" w:hAnsi="Calibri Light" w:cs="Calibri Light"/>
                <w:color w:val="000000"/>
                <w:sz w:val="20"/>
                <w:szCs w:val="20"/>
                <w:lang w:eastAsia="en-GB"/>
              </w:rPr>
              <w:t>у</w:t>
            </w:r>
            <w:r w:rsidRPr="00FF386D">
              <w:rPr>
                <w:rFonts w:ascii="Calibri Light" w:eastAsia="Times New Roman" w:hAnsi="Calibri Light" w:cs="Calibri Light"/>
                <w:color w:val="000000"/>
                <w:sz w:val="20"/>
                <w:szCs w:val="20"/>
                <w:lang w:eastAsia="en-GB"/>
              </w:rPr>
              <w:t xml:space="preserve"> којима су спроведена унапређења енергетске ефикасности</w:t>
            </w:r>
          </w:p>
        </w:tc>
      </w:tr>
      <w:tr w:rsidR="00854ADA" w:rsidRPr="00FF386D" w14:paraId="7CF63092" w14:textId="77777777" w:rsidTr="0057310C">
        <w:trPr>
          <w:trHeight w:val="491"/>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4D60D5B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56638EF9" w14:textId="3B4C7209" w:rsidR="00364B8A" w:rsidRPr="00364B8A" w:rsidRDefault="00364B8A" w:rsidP="00364B8A">
            <w:pPr>
              <w:numPr>
                <w:ilvl w:val="0"/>
                <w:numId w:val="144"/>
              </w:numPr>
              <w:spacing w:after="0" w:line="240" w:lineRule="auto"/>
              <w:contextualSpacing/>
              <w:rPr>
                <w:rFonts w:ascii="Calibri Light" w:eastAsia="Times New Roman" w:hAnsi="Calibri Light" w:cs="Calibri Light"/>
                <w:color w:val="000000"/>
                <w:sz w:val="20"/>
                <w:szCs w:val="20"/>
                <w:lang w:eastAsia="en-GB"/>
              </w:rPr>
            </w:pPr>
            <w:r w:rsidRPr="00364B8A">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364B8A">
              <w:rPr>
                <w:rFonts w:ascii="Calibri Light" w:eastAsia="Times New Roman" w:hAnsi="Calibri Light" w:cs="Calibri Light"/>
                <w:i/>
                <w:iCs/>
                <w:color w:val="000000"/>
                <w:sz w:val="20"/>
                <w:szCs w:val="20"/>
                <w:lang w:val="en-US" w:eastAsia="en-GB"/>
              </w:rPr>
              <w:t>GHG</w:t>
            </w:r>
            <w:r>
              <w:rPr>
                <w:rFonts w:ascii="Calibri Light" w:eastAsia="Times New Roman" w:hAnsi="Calibri Light" w:cs="Calibri Light"/>
                <w:i/>
                <w:iCs/>
                <w:color w:val="000000"/>
                <w:sz w:val="20"/>
                <w:szCs w:val="20"/>
                <w:lang w:eastAsia="en-GB"/>
              </w:rPr>
              <w:t xml:space="preserve"> </w:t>
            </w:r>
            <w:r>
              <w:rPr>
                <w:rFonts w:ascii="Calibri Light" w:eastAsia="Times New Roman" w:hAnsi="Calibri Light" w:cs="Calibri Light"/>
                <w:color w:val="000000"/>
                <w:sz w:val="20"/>
                <w:szCs w:val="20"/>
                <w:lang w:eastAsia="en-GB"/>
              </w:rPr>
              <w:t>а коришћене технологије ОИЕ ће довести до повећања удела ОИЕ у грејању и хлађењу</w:t>
            </w:r>
            <w:r w:rsidRPr="00364B8A">
              <w:rPr>
                <w:rFonts w:ascii="Calibri Light" w:eastAsia="Times New Roman" w:hAnsi="Calibri Light" w:cs="Calibri Light"/>
                <w:color w:val="000000"/>
                <w:sz w:val="20"/>
                <w:szCs w:val="20"/>
                <w:lang w:eastAsia="en-GB"/>
              </w:rPr>
              <w:t>)</w:t>
            </w:r>
          </w:p>
          <w:p w14:paraId="16F2D586" w14:textId="337EFEC8" w:rsidR="00854ADA" w:rsidRPr="00FF386D" w:rsidRDefault="00364B8A" w:rsidP="00364B8A">
            <w:pPr>
              <w:numPr>
                <w:ilvl w:val="0"/>
                <w:numId w:val="144"/>
              </w:numPr>
              <w:spacing w:after="0" w:line="240" w:lineRule="auto"/>
              <w:contextualSpacing/>
              <w:rPr>
                <w:rFonts w:ascii="Calibri Light" w:eastAsia="Times New Roman" w:hAnsi="Calibri Light" w:cs="Calibri Light"/>
                <w:color w:val="000000"/>
                <w:sz w:val="20"/>
                <w:szCs w:val="20"/>
                <w:lang w:eastAsia="en-GB"/>
              </w:rPr>
            </w:pPr>
            <w:r w:rsidRPr="00364B8A">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854ADA" w:rsidRPr="00FF386D" w14:paraId="2754B3C7" w14:textId="77777777" w:rsidTr="0057310C">
        <w:trPr>
          <w:trHeight w:val="450"/>
        </w:trPr>
        <w:tc>
          <w:tcPr>
            <w:tcW w:w="3310"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0BB24867" w14:textId="34C6D998"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48"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51905888" w14:textId="60EEE124" w:rsidR="00854ADA" w:rsidRPr="000A2AFE" w:rsidRDefault="00854ADA" w:rsidP="00D81963">
            <w:pPr>
              <w:pStyle w:val="ListParagraph"/>
              <w:numPr>
                <w:ilvl w:val="0"/>
                <w:numId w:val="144"/>
              </w:num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D81963"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2012/27</w:t>
            </w:r>
          </w:p>
          <w:p w14:paraId="29A12D54" w14:textId="3618E077" w:rsidR="00854ADA" w:rsidRPr="00FF386D" w:rsidRDefault="00854ADA" w:rsidP="00854ADA">
            <w:pPr>
              <w:numPr>
                <w:ilvl w:val="0"/>
                <w:numId w:val="14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D81963"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2018/2002</w:t>
            </w:r>
          </w:p>
        </w:tc>
      </w:tr>
      <w:tr w:rsidR="00854ADA" w:rsidRPr="00FF386D" w14:paraId="5C4B080E" w14:textId="77777777" w:rsidTr="0057310C">
        <w:trPr>
          <w:trHeight w:val="450"/>
        </w:trPr>
        <w:tc>
          <w:tcPr>
            <w:tcW w:w="3310" w:type="dxa"/>
            <w:vMerge/>
            <w:tcBorders>
              <w:top w:val="nil"/>
              <w:left w:val="single" w:sz="8" w:space="0" w:color="auto"/>
              <w:bottom w:val="single" w:sz="8" w:space="0" w:color="000000"/>
              <w:right w:val="single" w:sz="8" w:space="0" w:color="auto"/>
            </w:tcBorders>
            <w:vAlign w:val="center"/>
            <w:hideMark/>
          </w:tcPr>
          <w:p w14:paraId="77819EF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8" w:type="dxa"/>
            <w:gridSpan w:val="3"/>
            <w:vMerge/>
            <w:tcBorders>
              <w:top w:val="single" w:sz="8" w:space="0" w:color="auto"/>
              <w:left w:val="single" w:sz="8" w:space="0" w:color="auto"/>
              <w:bottom w:val="single" w:sz="8" w:space="0" w:color="000000"/>
              <w:right w:val="single" w:sz="8" w:space="0" w:color="000000"/>
            </w:tcBorders>
            <w:vAlign w:val="center"/>
            <w:hideMark/>
          </w:tcPr>
          <w:p w14:paraId="42BCB3D0" w14:textId="77777777" w:rsidR="00854ADA" w:rsidRPr="00FF386D" w:rsidRDefault="00854ADA" w:rsidP="00854ADA">
            <w:pPr>
              <w:numPr>
                <w:ilvl w:val="0"/>
                <w:numId w:val="14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12EFC5DB" w14:textId="77777777" w:rsidTr="0057310C">
        <w:trPr>
          <w:trHeight w:val="450"/>
        </w:trPr>
        <w:tc>
          <w:tcPr>
            <w:tcW w:w="3310" w:type="dxa"/>
            <w:vMerge/>
            <w:tcBorders>
              <w:top w:val="nil"/>
              <w:left w:val="single" w:sz="8" w:space="0" w:color="auto"/>
              <w:bottom w:val="single" w:sz="8" w:space="0" w:color="000000"/>
              <w:right w:val="single" w:sz="8" w:space="0" w:color="auto"/>
            </w:tcBorders>
            <w:vAlign w:val="center"/>
            <w:hideMark/>
          </w:tcPr>
          <w:p w14:paraId="4580E49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8" w:type="dxa"/>
            <w:gridSpan w:val="3"/>
            <w:vMerge/>
            <w:tcBorders>
              <w:top w:val="single" w:sz="8" w:space="0" w:color="auto"/>
              <w:left w:val="single" w:sz="8" w:space="0" w:color="auto"/>
              <w:bottom w:val="single" w:sz="8" w:space="0" w:color="000000"/>
              <w:right w:val="single" w:sz="8" w:space="0" w:color="000000"/>
            </w:tcBorders>
            <w:vAlign w:val="center"/>
            <w:hideMark/>
          </w:tcPr>
          <w:p w14:paraId="7CCE5715" w14:textId="77777777" w:rsidR="00854ADA" w:rsidRPr="00FF386D" w:rsidRDefault="00854ADA" w:rsidP="00854ADA">
            <w:pPr>
              <w:numPr>
                <w:ilvl w:val="0"/>
                <w:numId w:val="14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28973921" w14:textId="77777777" w:rsidTr="0057310C">
        <w:trPr>
          <w:trHeight w:val="25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1386148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19CEAB88" w14:textId="1A283B90" w:rsidR="00854ADA" w:rsidRPr="00FF386D" w:rsidRDefault="00854ADA" w:rsidP="00854ADA">
            <w:pPr>
              <w:numPr>
                <w:ilvl w:val="0"/>
                <w:numId w:val="14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4. НАПЕЕ</w:t>
            </w:r>
          </w:p>
        </w:tc>
      </w:tr>
      <w:tr w:rsidR="00854ADA" w:rsidRPr="00FF386D" w14:paraId="03CDBD36"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4C776DB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1CB917AB" w14:textId="1945B4FA" w:rsidR="00854ADA" w:rsidRPr="00FF386D" w:rsidRDefault="00D81963"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3,366</w:t>
            </w:r>
            <w:r w:rsidR="00854ADA" w:rsidRPr="00FF386D">
              <w:rPr>
                <w:rFonts w:ascii="Calibri Light" w:eastAsia="Times New Roman" w:hAnsi="Calibri Light" w:cs="Calibri Light"/>
                <w:color w:val="000000"/>
                <w:sz w:val="20"/>
                <w:szCs w:val="20"/>
                <w:lang w:eastAsia="en-GB"/>
              </w:rPr>
              <w:t xml:space="preserve"> мили</w:t>
            </w:r>
            <w:r w:rsidR="003E328C" w:rsidRPr="00FF386D">
              <w:rPr>
                <w:rFonts w:ascii="Calibri Light" w:eastAsia="Times New Roman" w:hAnsi="Calibri Light" w:cs="Calibri Light"/>
                <w:color w:val="000000"/>
                <w:sz w:val="20"/>
                <w:szCs w:val="20"/>
                <w:lang w:eastAsia="en-GB"/>
              </w:rPr>
              <w:t>јард</w:t>
            </w:r>
            <w:r w:rsidRPr="00FF386D">
              <w:rPr>
                <w:rFonts w:ascii="Calibri Light" w:eastAsia="Times New Roman" w:hAnsi="Calibri Light" w:cs="Calibri Light"/>
                <w:color w:val="000000"/>
                <w:sz w:val="20"/>
                <w:szCs w:val="20"/>
                <w:lang w:eastAsia="en-GB"/>
              </w:rPr>
              <w:t>е</w:t>
            </w:r>
            <w:r w:rsidR="00854ADA" w:rsidRPr="00FF386D">
              <w:rPr>
                <w:rFonts w:ascii="Calibri Light" w:eastAsia="Times New Roman" w:hAnsi="Calibri Light" w:cs="Calibri Light"/>
                <w:color w:val="000000"/>
                <w:sz w:val="20"/>
                <w:szCs w:val="20"/>
                <w:lang w:eastAsia="en-GB"/>
              </w:rPr>
              <w:t xml:space="preserve"> евра</w:t>
            </w:r>
          </w:p>
        </w:tc>
      </w:tr>
      <w:tr w:rsidR="00854ADA" w:rsidRPr="00FF386D" w14:paraId="30D54421"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06E07C0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6D0340AE" w14:textId="322237DA"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D02FBC" w:rsidRPr="00FF386D">
              <w:rPr>
                <w:rFonts w:asciiTheme="majorHAnsi" w:eastAsia="Times New Roman" w:hAnsiTheme="majorHAnsi" w:cstheme="majorHAnsi"/>
                <w:color w:val="000000"/>
                <w:sz w:val="20"/>
                <w:szCs w:val="20"/>
                <w:lang w:eastAsia="en-GB"/>
              </w:rPr>
              <w:t xml:space="preserve">ска и сопствена </w:t>
            </w:r>
            <w:r w:rsidRPr="00FF386D">
              <w:rPr>
                <w:rFonts w:asciiTheme="majorHAnsi" w:eastAsia="Times New Roman" w:hAnsiTheme="majorHAnsi" w:cstheme="majorHAnsi"/>
                <w:color w:val="000000"/>
                <w:sz w:val="20"/>
                <w:szCs w:val="20"/>
                <w:lang w:eastAsia="en-GB"/>
              </w:rPr>
              <w:t>средства</w:t>
            </w:r>
          </w:p>
        </w:tc>
      </w:tr>
    </w:tbl>
    <w:p w14:paraId="00A375A4"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11"/>
        <w:gridCol w:w="1007"/>
        <w:gridCol w:w="942"/>
        <w:gridCol w:w="4198"/>
      </w:tblGrid>
      <w:tr w:rsidR="00854ADA" w:rsidRPr="00FF386D" w14:paraId="65975F25" w14:textId="77777777" w:rsidTr="0057310C">
        <w:trPr>
          <w:trHeight w:val="780"/>
        </w:trPr>
        <w:tc>
          <w:tcPr>
            <w:tcW w:w="3311"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19E4CB47"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79572D32"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МП_ЕЕ22</w:t>
            </w:r>
          </w:p>
        </w:tc>
        <w:tc>
          <w:tcPr>
            <w:tcW w:w="942" w:type="dxa"/>
            <w:tcBorders>
              <w:top w:val="single" w:sz="8" w:space="0" w:color="auto"/>
              <w:left w:val="nil"/>
              <w:bottom w:val="single" w:sz="8" w:space="0" w:color="auto"/>
              <w:right w:val="single" w:sz="8" w:space="0" w:color="auto"/>
            </w:tcBorders>
            <w:shd w:val="clear" w:color="000000" w:fill="244062"/>
            <w:vAlign w:val="center"/>
            <w:hideMark/>
          </w:tcPr>
          <w:p w14:paraId="206DCAA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98" w:type="dxa"/>
            <w:tcBorders>
              <w:top w:val="single" w:sz="8" w:space="0" w:color="auto"/>
              <w:left w:val="nil"/>
              <w:bottom w:val="single" w:sz="8" w:space="0" w:color="auto"/>
              <w:right w:val="single" w:sz="8" w:space="0" w:color="auto"/>
            </w:tcBorders>
            <w:shd w:val="clear" w:color="auto" w:fill="E7E6E6" w:themeFill="background2"/>
            <w:vAlign w:val="center"/>
            <w:hideMark/>
          </w:tcPr>
          <w:p w14:paraId="2F04C8C8" w14:textId="6457D5EB" w:rsidR="00854ADA" w:rsidRPr="00FF386D" w:rsidRDefault="00854ADA" w:rsidP="00854ADA">
            <w:pPr>
              <w:spacing w:after="0" w:line="240" w:lineRule="auto"/>
              <w:rPr>
                <w:rFonts w:ascii="Calibri Light" w:eastAsia="Times New Roman" w:hAnsi="Calibri Light" w:cs="Calibri Light"/>
                <w:b/>
                <w:bCs/>
                <w:color w:val="000000"/>
                <w:sz w:val="20"/>
                <w:szCs w:val="20"/>
                <w:lang w:eastAsia="en-GB"/>
              </w:rPr>
            </w:pPr>
            <w:r w:rsidRPr="00FF386D">
              <w:rPr>
                <w:rFonts w:ascii="Calibri Light" w:hAnsi="Calibri Light"/>
                <w:b/>
                <w:sz w:val="20"/>
              </w:rPr>
              <w:t>Регулаторне мере за п</w:t>
            </w:r>
            <w:r w:rsidR="00BC795D" w:rsidRPr="00FF386D">
              <w:rPr>
                <w:rFonts w:ascii="Calibri Light" w:hAnsi="Calibri Light"/>
                <w:b/>
                <w:sz w:val="20"/>
              </w:rPr>
              <w:t>одстицање</w:t>
            </w:r>
            <w:r w:rsidRPr="00FF386D">
              <w:rPr>
                <w:rFonts w:ascii="Calibri Light" w:hAnsi="Calibri Light"/>
                <w:b/>
                <w:sz w:val="20"/>
              </w:rPr>
              <w:t xml:space="preserve"> енергетске ефикасности у индустријском сектору</w:t>
            </w:r>
          </w:p>
        </w:tc>
      </w:tr>
      <w:tr w:rsidR="00854ADA" w:rsidRPr="00FF386D" w14:paraId="075557B4" w14:textId="77777777" w:rsidTr="0057310C">
        <w:trPr>
          <w:trHeight w:val="960"/>
        </w:trPr>
        <w:tc>
          <w:tcPr>
            <w:tcW w:w="3311" w:type="dxa"/>
            <w:tcBorders>
              <w:top w:val="nil"/>
              <w:left w:val="single" w:sz="8" w:space="0" w:color="auto"/>
              <w:bottom w:val="single" w:sz="8" w:space="0" w:color="auto"/>
              <w:right w:val="nil"/>
            </w:tcBorders>
            <w:shd w:val="clear" w:color="000000" w:fill="244062"/>
            <w:vAlign w:val="center"/>
            <w:hideMark/>
          </w:tcPr>
          <w:p w14:paraId="7B29FB0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148F8380" w14:textId="1481C913" w:rsidR="00854ADA" w:rsidRPr="000A2AFE" w:rsidRDefault="00D81963"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Примена</w:t>
            </w:r>
            <w:r w:rsidR="00854ADA" w:rsidRPr="00FF386D">
              <w:rPr>
                <w:rFonts w:ascii="Calibri Light" w:hAnsi="Calibri Light"/>
                <w:sz w:val="20"/>
              </w:rPr>
              <w:t xml:space="preserve"> чланова Директиве </w:t>
            </w:r>
            <w:r w:rsidR="001F34DA"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001F34DA" w:rsidRPr="00FF386D">
              <w:rPr>
                <w:rFonts w:ascii="Calibri Light" w:hAnsi="Calibri Light"/>
                <w:sz w:val="20"/>
              </w:rPr>
              <w:t xml:space="preserve">(ЕУ) </w:t>
            </w:r>
            <w:r w:rsidR="00854ADA" w:rsidRPr="00FF386D">
              <w:rPr>
                <w:rFonts w:ascii="Calibri Light" w:hAnsi="Calibri Light"/>
                <w:sz w:val="20"/>
              </w:rPr>
              <w:t>2018/2002</w:t>
            </w:r>
            <w:r w:rsidR="001F34DA" w:rsidRPr="00FF386D">
              <w:rPr>
                <w:rFonts w:ascii="Calibri Light" w:hAnsi="Calibri Light"/>
                <w:sz w:val="20"/>
              </w:rPr>
              <w:t>, и то</w:t>
            </w:r>
            <w:r w:rsidR="00854ADA" w:rsidRPr="000A2AFE">
              <w:rPr>
                <w:rFonts w:ascii="Calibri Light" w:eastAsia="Times New Roman" w:hAnsi="Calibri Light" w:cs="Calibri Light"/>
                <w:color w:val="000000"/>
                <w:sz w:val="20"/>
                <w:szCs w:val="20"/>
                <w:lang w:eastAsia="en-GB"/>
              </w:rPr>
              <w:t>:</w:t>
            </w:r>
          </w:p>
          <w:p w14:paraId="60B47E12" w14:textId="48A694FD" w:rsidR="00854ADA" w:rsidRPr="00FF386D" w:rsidRDefault="00854ADA" w:rsidP="00854ADA">
            <w:pPr>
              <w:numPr>
                <w:ilvl w:val="0"/>
                <w:numId w:val="14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C03CE1"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3</w:t>
            </w:r>
          </w:p>
        </w:tc>
      </w:tr>
      <w:tr w:rsidR="00854ADA" w:rsidRPr="00FF386D" w14:paraId="7F50DDE3" w14:textId="77777777" w:rsidTr="0057310C">
        <w:trPr>
          <w:trHeight w:val="315"/>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70123BB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068A3646" w14:textId="223C9D95" w:rsidR="00854ADA" w:rsidRPr="00FF386D" w:rsidRDefault="00854ADA" w:rsidP="00854ADA">
            <w:pPr>
              <w:spacing w:after="0" w:line="240" w:lineRule="auto"/>
              <w:jc w:val="both"/>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Допринос квантификованом циљу МП_ЕЕ21</w:t>
            </w:r>
          </w:p>
        </w:tc>
      </w:tr>
      <w:tr w:rsidR="00854ADA" w:rsidRPr="00FF386D" w14:paraId="7142EE6C" w14:textId="77777777" w:rsidTr="0057310C">
        <w:trPr>
          <w:trHeight w:val="1125"/>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5C5D521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03230351" w14:textId="5B08176A"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МП_ЕЕ22 ће омогућити д</w:t>
            </w:r>
            <w:r w:rsidR="00BC795D" w:rsidRPr="00FF386D">
              <w:rPr>
                <w:rFonts w:ascii="Calibri Light" w:hAnsi="Calibri Light"/>
                <w:sz w:val="20"/>
              </w:rPr>
              <w:t>одатно</w:t>
            </w:r>
            <w:r w:rsidRPr="00FF386D">
              <w:rPr>
                <w:rFonts w:ascii="Calibri Light" w:hAnsi="Calibri Light"/>
                <w:sz w:val="20"/>
              </w:rPr>
              <w:t xml:space="preserve"> коришћење најбољих доступних технологија у складу са одговарајућим законодавством (Директива о индустријским емисијама), </w:t>
            </w:r>
            <w:r w:rsidR="00C03CE1" w:rsidRPr="00FF386D">
              <w:rPr>
                <w:rFonts w:ascii="Calibri Light" w:hAnsi="Calibri Light"/>
                <w:sz w:val="20"/>
              </w:rPr>
              <w:t>при чему</w:t>
            </w:r>
            <w:r w:rsidRPr="00FF386D">
              <w:rPr>
                <w:rFonts w:ascii="Calibri Light" w:hAnsi="Calibri Light"/>
                <w:sz w:val="20"/>
              </w:rPr>
              <w:t xml:space="preserve"> ће се развој одговарајућег механизма праћења и </w:t>
            </w:r>
            <w:r w:rsidRPr="00FF386D">
              <w:rPr>
                <w:rFonts w:ascii="Calibri Light" w:eastAsia="NSimSun" w:hAnsi="Calibri Light" w:cs="Mangal"/>
                <w:kern w:val="2"/>
                <w:sz w:val="20"/>
                <w:szCs w:val="24"/>
                <w:lang w:eastAsia="zh-CN" w:bidi="hi-IN"/>
              </w:rPr>
              <w:t>надзора</w:t>
            </w:r>
            <w:r w:rsidRPr="00FF386D">
              <w:rPr>
                <w:rFonts w:ascii="Calibri Light" w:hAnsi="Calibri Light"/>
                <w:sz w:val="20"/>
              </w:rPr>
              <w:t xml:space="preserve"> сматрати кључним предусловом</w:t>
            </w:r>
            <w:r w:rsidR="00BC795D" w:rsidRPr="00FF386D">
              <w:rPr>
                <w:rFonts w:ascii="Calibri Light" w:hAnsi="Calibri Light"/>
                <w:sz w:val="20"/>
              </w:rPr>
              <w:t xml:space="preserve"> за спровођење ове мере</w:t>
            </w:r>
            <w:r w:rsidRPr="00FF386D">
              <w:rPr>
                <w:rFonts w:ascii="Calibri Light" w:hAnsi="Calibri Light"/>
                <w:sz w:val="20"/>
              </w:rPr>
              <w:t xml:space="preserve">. Поред тога, применом захтева еко-дизајна ће се осигурати </w:t>
            </w:r>
            <w:r w:rsidR="00C03CE1" w:rsidRPr="00FF386D">
              <w:rPr>
                <w:rFonts w:ascii="Calibri Light" w:hAnsi="Calibri Light"/>
                <w:sz w:val="20"/>
              </w:rPr>
              <w:t>продор</w:t>
            </w:r>
            <w:r w:rsidRPr="00FF386D">
              <w:rPr>
                <w:rFonts w:ascii="Calibri Light" w:hAnsi="Calibri Light"/>
                <w:sz w:val="20"/>
              </w:rPr>
              <w:t xml:space="preserve"> енергетски ефикасних технологија и опреме</w:t>
            </w:r>
            <w:r w:rsidRPr="000A2AFE">
              <w:rPr>
                <w:rFonts w:ascii="Calibri Light" w:eastAsia="Times New Roman" w:hAnsi="Calibri Light" w:cs="Calibri Light"/>
                <w:color w:val="000000"/>
                <w:sz w:val="20"/>
                <w:szCs w:val="20"/>
                <w:lang w:eastAsia="en-GB"/>
              </w:rPr>
              <w:t>.</w:t>
            </w:r>
            <w:r w:rsidR="00663312" w:rsidRPr="000A2AFE">
              <w:rPr>
                <w:rFonts w:ascii="Calibri Light" w:eastAsia="Times New Roman" w:hAnsi="Calibri Light" w:cs="Calibri Light"/>
                <w:color w:val="000000"/>
                <w:sz w:val="20"/>
                <w:szCs w:val="20"/>
                <w:lang w:eastAsia="en-GB"/>
              </w:rPr>
              <w:t xml:space="preserve"> Мера мора бити спрегнута са мером ЕЕ_28.</w:t>
            </w:r>
          </w:p>
        </w:tc>
      </w:tr>
      <w:tr w:rsidR="00854ADA" w:rsidRPr="00FF386D" w14:paraId="5A4602D4" w14:textId="77777777" w:rsidTr="0057310C">
        <w:trPr>
          <w:trHeight w:val="315"/>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2FC1A7B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334ADE7C" w14:textId="1185FB01"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1F34DA" w:rsidRPr="00FF386D">
              <w:rPr>
                <w:rFonts w:ascii="Calibri Light" w:hAnsi="Calibri Light"/>
                <w:sz w:val="20"/>
              </w:rPr>
              <w:t>5</w:t>
            </w:r>
            <w:r w:rsidRPr="00FF386D">
              <w:rPr>
                <w:rFonts w:ascii="Calibri Light" w:hAnsi="Calibri Light"/>
                <w:sz w:val="20"/>
              </w:rPr>
              <w:t>-2030.</w:t>
            </w:r>
          </w:p>
        </w:tc>
      </w:tr>
      <w:tr w:rsidR="00854ADA" w:rsidRPr="00FF386D" w14:paraId="1A1E7B2B" w14:textId="77777777" w:rsidTr="0057310C">
        <w:trPr>
          <w:trHeight w:val="315"/>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4AE7594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2859DA75" w14:textId="69F9BFE5" w:rsidR="00854ADA" w:rsidRPr="00FF386D" w:rsidRDefault="009A7462"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Регулаторна</w:t>
            </w:r>
          </w:p>
        </w:tc>
      </w:tr>
      <w:tr w:rsidR="00854ADA" w:rsidRPr="00FF386D" w14:paraId="4D099D30" w14:textId="77777777" w:rsidTr="0057310C">
        <w:trPr>
          <w:trHeight w:val="315"/>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1E67F11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149902B5"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Индустријски</w:t>
            </w:r>
          </w:p>
        </w:tc>
      </w:tr>
      <w:tr w:rsidR="00854ADA" w:rsidRPr="00FF386D" w14:paraId="37D2D0F1" w14:textId="77777777" w:rsidTr="0057310C">
        <w:trPr>
          <w:trHeight w:val="315"/>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04E0269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263419E9" w14:textId="77777777" w:rsidR="00854ADA" w:rsidRPr="00FF386D" w:rsidRDefault="00854ADA" w:rsidP="00854ADA">
            <w:pPr>
              <w:numPr>
                <w:ilvl w:val="0"/>
                <w:numId w:val="14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406CA3E8" w14:textId="77777777" w:rsidTr="0057310C">
        <w:trPr>
          <w:trHeight w:val="315"/>
        </w:trPr>
        <w:tc>
          <w:tcPr>
            <w:tcW w:w="3311" w:type="dxa"/>
            <w:tcBorders>
              <w:top w:val="nil"/>
              <w:left w:val="single" w:sz="8" w:space="0" w:color="auto"/>
              <w:bottom w:val="single" w:sz="8" w:space="0" w:color="auto"/>
              <w:right w:val="nil"/>
            </w:tcBorders>
            <w:shd w:val="clear" w:color="000000" w:fill="244062"/>
            <w:vAlign w:val="center"/>
            <w:hideMark/>
          </w:tcPr>
          <w:p w14:paraId="2DA68A7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691AB3B2"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p>
        </w:tc>
      </w:tr>
      <w:tr w:rsidR="00854ADA" w:rsidRPr="00FF386D" w14:paraId="6E4D73BF" w14:textId="77777777" w:rsidTr="0057310C">
        <w:trPr>
          <w:trHeight w:val="315"/>
        </w:trPr>
        <w:tc>
          <w:tcPr>
            <w:tcW w:w="3311" w:type="dxa"/>
            <w:tcBorders>
              <w:top w:val="nil"/>
              <w:left w:val="single" w:sz="8" w:space="0" w:color="auto"/>
              <w:bottom w:val="single" w:sz="8" w:space="0" w:color="auto"/>
              <w:right w:val="nil"/>
            </w:tcBorders>
            <w:shd w:val="clear" w:color="000000" w:fill="244062"/>
            <w:vAlign w:val="center"/>
            <w:hideMark/>
          </w:tcPr>
          <w:p w14:paraId="22D8D8D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74049177" w14:textId="77777777" w:rsidR="00854ADA" w:rsidRPr="000A2AFE" w:rsidRDefault="00854ADA" w:rsidP="000A2AFE">
            <w:pPr>
              <w:pStyle w:val="ListParagraph"/>
              <w:numPr>
                <w:ilvl w:val="0"/>
                <w:numId w:val="14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Развијено законодавство и регулаторни оквир</w:t>
            </w:r>
          </w:p>
        </w:tc>
      </w:tr>
      <w:tr w:rsidR="00854ADA" w:rsidRPr="00FF386D" w14:paraId="28F061CA" w14:textId="77777777" w:rsidTr="0057310C">
        <w:trPr>
          <w:trHeight w:val="454"/>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2C5E476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Друге релевантне обухваћене димензије Енергетске уније</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5C69257D" w14:textId="0A7630E7" w:rsidR="00C34D8A" w:rsidRPr="00C34D8A" w:rsidRDefault="00C34D8A" w:rsidP="00C34D8A">
            <w:pPr>
              <w:numPr>
                <w:ilvl w:val="0"/>
                <w:numId w:val="144"/>
              </w:numPr>
              <w:spacing w:after="0" w:line="240" w:lineRule="auto"/>
              <w:contextualSpacing/>
              <w:rPr>
                <w:rFonts w:ascii="Calibri Light" w:eastAsia="Times New Roman" w:hAnsi="Calibri Light" w:cs="Calibri Light"/>
                <w:color w:val="000000"/>
                <w:sz w:val="20"/>
                <w:szCs w:val="20"/>
                <w:lang w:eastAsia="en-GB"/>
              </w:rPr>
            </w:pPr>
            <w:r w:rsidRPr="00C34D8A">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C34D8A">
              <w:rPr>
                <w:rFonts w:ascii="Calibri Light" w:eastAsia="Times New Roman" w:hAnsi="Calibri Light" w:cs="Calibri Light"/>
                <w:i/>
                <w:iCs/>
                <w:color w:val="000000"/>
                <w:sz w:val="20"/>
                <w:szCs w:val="20"/>
                <w:lang w:val="en-US" w:eastAsia="en-GB"/>
              </w:rPr>
              <w:t>GHG</w:t>
            </w:r>
            <w:r w:rsidRPr="00C34D8A">
              <w:rPr>
                <w:rFonts w:ascii="Calibri Light" w:eastAsia="Times New Roman" w:hAnsi="Calibri Light" w:cs="Calibri Light"/>
                <w:i/>
                <w:iCs/>
                <w:color w:val="000000"/>
                <w:sz w:val="20"/>
                <w:szCs w:val="20"/>
                <w:lang w:eastAsia="en-GB"/>
              </w:rPr>
              <w:t xml:space="preserve"> </w:t>
            </w:r>
            <w:r w:rsidRPr="00C34D8A">
              <w:rPr>
                <w:rFonts w:ascii="Calibri Light" w:eastAsia="Times New Roman" w:hAnsi="Calibri Light" w:cs="Calibri Light"/>
                <w:color w:val="000000"/>
                <w:sz w:val="20"/>
                <w:szCs w:val="20"/>
                <w:lang w:eastAsia="en-GB"/>
              </w:rPr>
              <w:t>а коришћене технологије ОИЕ ће довести до повећања удела ОИЕ у грејању и хлађењу)</w:t>
            </w:r>
          </w:p>
          <w:p w14:paraId="37E6B667" w14:textId="48D00D24" w:rsidR="00854ADA" w:rsidRPr="00FF386D" w:rsidRDefault="00C34D8A" w:rsidP="00C34D8A">
            <w:pPr>
              <w:numPr>
                <w:ilvl w:val="0"/>
                <w:numId w:val="144"/>
              </w:numPr>
              <w:spacing w:after="0" w:line="240" w:lineRule="auto"/>
              <w:contextualSpacing/>
              <w:rPr>
                <w:rFonts w:ascii="Calibri Light" w:eastAsia="Times New Roman" w:hAnsi="Calibri Light" w:cs="Calibri Light"/>
                <w:color w:val="000000"/>
                <w:sz w:val="20"/>
                <w:szCs w:val="20"/>
                <w:lang w:eastAsia="en-GB"/>
              </w:rPr>
            </w:pPr>
            <w:r w:rsidRPr="00C34D8A">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854ADA" w:rsidRPr="00FF386D" w14:paraId="1B86BFA6" w14:textId="77777777" w:rsidTr="0057310C">
        <w:trPr>
          <w:trHeight w:val="450"/>
        </w:trPr>
        <w:tc>
          <w:tcPr>
            <w:tcW w:w="3311"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28E44A17" w14:textId="65DA3384"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47"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58FB27AD" w14:textId="6EC7F372" w:rsidR="00854ADA" w:rsidRPr="000A2AFE" w:rsidRDefault="00854ADA" w:rsidP="001F34DA">
            <w:pPr>
              <w:pStyle w:val="ListParagraph"/>
              <w:numPr>
                <w:ilvl w:val="0"/>
                <w:numId w:val="144"/>
              </w:num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1F34DA"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2012/27</w:t>
            </w:r>
          </w:p>
          <w:p w14:paraId="362DF117" w14:textId="2A3BA229" w:rsidR="00854ADA" w:rsidRPr="00FF386D" w:rsidRDefault="00854ADA" w:rsidP="00854ADA">
            <w:pPr>
              <w:numPr>
                <w:ilvl w:val="0"/>
                <w:numId w:val="14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1F34DA"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2018/2002</w:t>
            </w:r>
          </w:p>
        </w:tc>
      </w:tr>
      <w:tr w:rsidR="00854ADA" w:rsidRPr="00FF386D" w14:paraId="310DB46F" w14:textId="77777777" w:rsidTr="0057310C">
        <w:trPr>
          <w:trHeight w:val="450"/>
        </w:trPr>
        <w:tc>
          <w:tcPr>
            <w:tcW w:w="3311" w:type="dxa"/>
            <w:vMerge/>
            <w:tcBorders>
              <w:top w:val="nil"/>
              <w:left w:val="single" w:sz="8" w:space="0" w:color="auto"/>
              <w:bottom w:val="single" w:sz="8" w:space="0" w:color="000000"/>
              <w:right w:val="single" w:sz="8" w:space="0" w:color="auto"/>
            </w:tcBorders>
            <w:vAlign w:val="center"/>
            <w:hideMark/>
          </w:tcPr>
          <w:p w14:paraId="1B72F0F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7" w:type="dxa"/>
            <w:gridSpan w:val="3"/>
            <w:vMerge/>
            <w:tcBorders>
              <w:top w:val="single" w:sz="8" w:space="0" w:color="auto"/>
              <w:left w:val="single" w:sz="8" w:space="0" w:color="auto"/>
              <w:bottom w:val="single" w:sz="8" w:space="0" w:color="000000"/>
              <w:right w:val="single" w:sz="8" w:space="0" w:color="000000"/>
            </w:tcBorders>
            <w:vAlign w:val="center"/>
            <w:hideMark/>
          </w:tcPr>
          <w:p w14:paraId="2391F26B" w14:textId="77777777" w:rsidR="00854ADA" w:rsidRPr="00FF386D" w:rsidRDefault="00854ADA" w:rsidP="00854ADA">
            <w:pPr>
              <w:numPr>
                <w:ilvl w:val="0"/>
                <w:numId w:val="14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28CCE989" w14:textId="77777777" w:rsidTr="0057310C">
        <w:trPr>
          <w:trHeight w:val="450"/>
        </w:trPr>
        <w:tc>
          <w:tcPr>
            <w:tcW w:w="3311" w:type="dxa"/>
            <w:vMerge/>
            <w:tcBorders>
              <w:top w:val="nil"/>
              <w:left w:val="single" w:sz="8" w:space="0" w:color="auto"/>
              <w:bottom w:val="single" w:sz="8" w:space="0" w:color="000000"/>
              <w:right w:val="single" w:sz="8" w:space="0" w:color="auto"/>
            </w:tcBorders>
            <w:vAlign w:val="center"/>
            <w:hideMark/>
          </w:tcPr>
          <w:p w14:paraId="75CFDDB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7" w:type="dxa"/>
            <w:gridSpan w:val="3"/>
            <w:vMerge/>
            <w:tcBorders>
              <w:top w:val="single" w:sz="8" w:space="0" w:color="auto"/>
              <w:left w:val="single" w:sz="8" w:space="0" w:color="auto"/>
              <w:bottom w:val="single" w:sz="8" w:space="0" w:color="000000"/>
              <w:right w:val="single" w:sz="8" w:space="0" w:color="000000"/>
            </w:tcBorders>
            <w:vAlign w:val="center"/>
            <w:hideMark/>
          </w:tcPr>
          <w:p w14:paraId="4278A133" w14:textId="77777777" w:rsidR="00854ADA" w:rsidRPr="00FF386D" w:rsidRDefault="00854ADA" w:rsidP="00854ADA">
            <w:pPr>
              <w:numPr>
                <w:ilvl w:val="0"/>
                <w:numId w:val="14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148B7F4C" w14:textId="77777777" w:rsidTr="0057310C">
        <w:trPr>
          <w:trHeight w:val="780"/>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5827F59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1005DDB4" w14:textId="520B9580" w:rsidR="00854ADA" w:rsidRPr="00FF386D" w:rsidRDefault="00854ADA" w:rsidP="00854ADA">
            <w:pPr>
              <w:numPr>
                <w:ilvl w:val="0"/>
                <w:numId w:val="14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4. НАПЕЕ</w:t>
            </w:r>
          </w:p>
          <w:p w14:paraId="4C17042D" w14:textId="77777777" w:rsidR="00854ADA" w:rsidRPr="00FF386D" w:rsidRDefault="00854ADA" w:rsidP="00854ADA">
            <w:pPr>
              <w:numPr>
                <w:ilvl w:val="0"/>
                <w:numId w:val="14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Стратегија индустријске политике Републике Србије од 2021.до 2030. године</w:t>
            </w:r>
          </w:p>
          <w:p w14:paraId="4D5B168F" w14:textId="49FB4C73" w:rsidR="00854ADA" w:rsidRPr="00FF386D" w:rsidRDefault="00854ADA" w:rsidP="00854ADA">
            <w:pPr>
              <w:numPr>
                <w:ilvl w:val="0"/>
                <w:numId w:val="14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Стратегија одрживог урбаног развоја </w:t>
            </w:r>
            <w:r w:rsidR="007021C5" w:rsidRPr="007021C5">
              <w:rPr>
                <w:rFonts w:ascii="Calibri Light" w:eastAsia="Times New Roman" w:hAnsi="Calibri Light" w:cs="Calibri Light"/>
                <w:color w:val="000000"/>
                <w:sz w:val="20"/>
                <w:szCs w:val="20"/>
                <w:lang w:eastAsia="en-GB"/>
              </w:rPr>
              <w:t>Републике Србије до</w:t>
            </w:r>
            <w:r w:rsidRPr="00FF386D">
              <w:rPr>
                <w:rFonts w:ascii="Calibri Light" w:eastAsia="Times New Roman" w:hAnsi="Calibri Light" w:cs="Calibri Light"/>
                <w:color w:val="000000"/>
                <w:sz w:val="20"/>
                <w:szCs w:val="20"/>
                <w:lang w:eastAsia="en-GB"/>
              </w:rPr>
              <w:t xml:space="preserve"> 2030. годин</w:t>
            </w:r>
            <w:r w:rsidR="007021C5">
              <w:rPr>
                <w:rFonts w:ascii="Calibri Light" w:eastAsia="Times New Roman" w:hAnsi="Calibri Light" w:cs="Calibri Light"/>
                <w:color w:val="000000"/>
                <w:sz w:val="20"/>
                <w:szCs w:val="20"/>
                <w:lang w:eastAsia="en-GB"/>
              </w:rPr>
              <w:t>е</w:t>
            </w:r>
          </w:p>
          <w:p w14:paraId="2A081E9F" w14:textId="6197E18C" w:rsidR="001F34DA" w:rsidRPr="00FF386D" w:rsidRDefault="001F34DA" w:rsidP="00854ADA">
            <w:pPr>
              <w:numPr>
                <w:ilvl w:val="0"/>
                <w:numId w:val="14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енергетској ефикасности и рационалној употреби енергије</w:t>
            </w:r>
          </w:p>
        </w:tc>
      </w:tr>
      <w:tr w:rsidR="00854ADA" w:rsidRPr="00FF386D" w14:paraId="2A5C86A9" w14:textId="77777777" w:rsidTr="0057310C">
        <w:trPr>
          <w:trHeight w:val="315"/>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469F4FA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68C00A6A" w14:textId="429E8D6F"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 xml:space="preserve">Буџет </w:t>
            </w:r>
            <w:r w:rsidR="001F34DA" w:rsidRPr="00FF386D">
              <w:rPr>
                <w:rFonts w:ascii="Calibri Light" w:eastAsia="Times New Roman" w:hAnsi="Calibri Light" w:cs="Calibri Light"/>
                <w:color w:val="000000"/>
                <w:sz w:val="20"/>
                <w:szCs w:val="20"/>
                <w:lang w:eastAsia="en-GB"/>
              </w:rPr>
              <w:t>обухваћен</w:t>
            </w:r>
            <w:r w:rsidRPr="00FF386D">
              <w:rPr>
                <w:rFonts w:ascii="Calibri Light" w:eastAsia="Times New Roman" w:hAnsi="Calibri Light" w:cs="Calibri Light"/>
                <w:color w:val="000000"/>
                <w:sz w:val="20"/>
                <w:szCs w:val="20"/>
                <w:lang w:eastAsia="en-GB"/>
              </w:rPr>
              <w:t xml:space="preserve"> у МП_ЕЕ21</w:t>
            </w:r>
          </w:p>
        </w:tc>
      </w:tr>
      <w:tr w:rsidR="00854ADA" w:rsidRPr="00FF386D" w14:paraId="316C286E" w14:textId="77777777" w:rsidTr="0057310C">
        <w:trPr>
          <w:trHeight w:val="315"/>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3AA6C86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2B63DEEE" w14:textId="3E400AAE"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1F34DA" w:rsidRPr="00FF386D">
              <w:rPr>
                <w:rFonts w:asciiTheme="majorHAnsi" w:eastAsia="Times New Roman" w:hAnsiTheme="majorHAnsi" w:cstheme="majorHAnsi"/>
                <w:color w:val="000000"/>
                <w:sz w:val="20"/>
                <w:szCs w:val="20"/>
                <w:lang w:eastAsia="en-GB"/>
              </w:rPr>
              <w:t>ска</w:t>
            </w:r>
            <w:r w:rsidRPr="00FF386D">
              <w:rPr>
                <w:rFonts w:asciiTheme="majorHAnsi" w:eastAsia="Times New Roman" w:hAnsiTheme="majorHAnsi" w:cstheme="majorHAnsi"/>
                <w:color w:val="000000"/>
                <w:sz w:val="20"/>
                <w:szCs w:val="20"/>
                <w:lang w:eastAsia="en-GB"/>
              </w:rPr>
              <w:t xml:space="preserve"> и </w:t>
            </w:r>
            <w:r w:rsidR="00BC795D" w:rsidRPr="00FF386D">
              <w:rPr>
                <w:rFonts w:asciiTheme="majorHAnsi" w:eastAsia="Times New Roman" w:hAnsiTheme="majorHAnsi" w:cstheme="majorHAnsi"/>
                <w:color w:val="000000"/>
                <w:sz w:val="20"/>
                <w:szCs w:val="20"/>
                <w:lang w:eastAsia="en-GB"/>
              </w:rPr>
              <w:t>сопствена</w:t>
            </w:r>
            <w:r w:rsidR="003E328C" w:rsidRPr="00FF386D">
              <w:rPr>
                <w:rFonts w:asciiTheme="majorHAnsi" w:eastAsia="Times New Roman" w:hAnsiTheme="majorHAnsi" w:cstheme="majorHAnsi"/>
                <w:color w:val="000000"/>
                <w:sz w:val="20"/>
                <w:szCs w:val="20"/>
                <w:lang w:eastAsia="en-GB"/>
              </w:rPr>
              <w:t xml:space="preserve"> </w:t>
            </w:r>
            <w:r w:rsidRPr="00FF386D">
              <w:rPr>
                <w:rFonts w:asciiTheme="majorHAnsi" w:eastAsia="Times New Roman" w:hAnsiTheme="majorHAnsi" w:cstheme="majorHAnsi"/>
                <w:color w:val="000000"/>
                <w:sz w:val="20"/>
                <w:szCs w:val="20"/>
                <w:lang w:eastAsia="en-GB"/>
              </w:rPr>
              <w:t>средства</w:t>
            </w:r>
          </w:p>
        </w:tc>
      </w:tr>
    </w:tbl>
    <w:p w14:paraId="1D57C0E1"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04"/>
        <w:gridCol w:w="1007"/>
        <w:gridCol w:w="942"/>
        <w:gridCol w:w="4205"/>
      </w:tblGrid>
      <w:tr w:rsidR="00854ADA" w:rsidRPr="00FF386D" w14:paraId="32C1B5A6" w14:textId="77777777" w:rsidTr="0057310C">
        <w:trPr>
          <w:trHeight w:val="780"/>
        </w:trPr>
        <w:tc>
          <w:tcPr>
            <w:tcW w:w="3304"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4A8F4510"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75596208"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МП_ЕЕ23</w:t>
            </w:r>
          </w:p>
        </w:tc>
        <w:tc>
          <w:tcPr>
            <w:tcW w:w="942" w:type="dxa"/>
            <w:tcBorders>
              <w:top w:val="single" w:sz="8" w:space="0" w:color="auto"/>
              <w:left w:val="nil"/>
              <w:bottom w:val="single" w:sz="8" w:space="0" w:color="auto"/>
              <w:right w:val="single" w:sz="8" w:space="0" w:color="auto"/>
            </w:tcBorders>
            <w:shd w:val="clear" w:color="000000" w:fill="244062"/>
            <w:vAlign w:val="center"/>
            <w:hideMark/>
          </w:tcPr>
          <w:p w14:paraId="0112CA5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05" w:type="dxa"/>
            <w:tcBorders>
              <w:top w:val="single" w:sz="8" w:space="0" w:color="auto"/>
              <w:left w:val="nil"/>
              <w:bottom w:val="single" w:sz="8" w:space="0" w:color="auto"/>
              <w:right w:val="single" w:sz="8" w:space="0" w:color="auto"/>
            </w:tcBorders>
            <w:shd w:val="clear" w:color="auto" w:fill="E7E6E6" w:themeFill="background2"/>
            <w:vAlign w:val="center"/>
            <w:hideMark/>
          </w:tcPr>
          <w:p w14:paraId="48E921C7" w14:textId="48B0AE05"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До</w:t>
            </w:r>
            <w:r w:rsidR="00C03CE1" w:rsidRPr="00FF386D">
              <w:rPr>
                <w:rFonts w:ascii="Calibri Light" w:hAnsi="Calibri Light"/>
                <w:b/>
                <w:sz w:val="20"/>
              </w:rPr>
              <w:t xml:space="preserve">датне </w:t>
            </w:r>
            <w:r w:rsidRPr="00FF386D">
              <w:rPr>
                <w:rFonts w:ascii="Calibri Light" w:hAnsi="Calibri Light"/>
                <w:b/>
                <w:sz w:val="20"/>
              </w:rPr>
              <w:t>ак</w:t>
            </w:r>
            <w:r w:rsidR="00BC795D" w:rsidRPr="00FF386D">
              <w:rPr>
                <w:rFonts w:ascii="Calibri Light" w:hAnsi="Calibri Light"/>
                <w:b/>
                <w:sz w:val="20"/>
              </w:rPr>
              <w:t>тивности</w:t>
            </w:r>
            <w:r w:rsidRPr="00FF386D">
              <w:rPr>
                <w:rFonts w:ascii="Calibri Light" w:hAnsi="Calibri Light"/>
                <w:b/>
                <w:sz w:val="20"/>
              </w:rPr>
              <w:t xml:space="preserve"> за п</w:t>
            </w:r>
            <w:r w:rsidR="00BC795D" w:rsidRPr="00FF386D">
              <w:rPr>
                <w:rFonts w:ascii="Calibri Light" w:hAnsi="Calibri Light"/>
                <w:b/>
                <w:sz w:val="20"/>
              </w:rPr>
              <w:t>одстицање</w:t>
            </w:r>
            <w:r w:rsidRPr="00FF386D">
              <w:rPr>
                <w:rFonts w:ascii="Calibri Light" w:hAnsi="Calibri Light"/>
                <w:b/>
                <w:sz w:val="20"/>
              </w:rPr>
              <w:t xml:space="preserve"> енергетске ефикасности у индустријском сектору</w:t>
            </w:r>
          </w:p>
        </w:tc>
      </w:tr>
      <w:tr w:rsidR="00854ADA" w:rsidRPr="00FF386D" w14:paraId="2C447F1A" w14:textId="77777777" w:rsidTr="0057310C">
        <w:trPr>
          <w:trHeight w:val="453"/>
        </w:trPr>
        <w:tc>
          <w:tcPr>
            <w:tcW w:w="3304" w:type="dxa"/>
            <w:tcBorders>
              <w:top w:val="nil"/>
              <w:left w:val="single" w:sz="8" w:space="0" w:color="auto"/>
              <w:bottom w:val="single" w:sz="8" w:space="0" w:color="auto"/>
              <w:right w:val="nil"/>
            </w:tcBorders>
            <w:shd w:val="clear" w:color="000000" w:fill="244062"/>
            <w:vAlign w:val="center"/>
            <w:hideMark/>
          </w:tcPr>
          <w:p w14:paraId="4C6264E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75C55285" w14:textId="217320CD" w:rsidR="00854ADA" w:rsidRPr="000A2AFE" w:rsidRDefault="00BC795D"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 xml:space="preserve">Примена чланова </w:t>
            </w:r>
            <w:r w:rsidR="00854ADA" w:rsidRPr="00FF386D">
              <w:rPr>
                <w:rFonts w:ascii="Calibri Light" w:hAnsi="Calibri Light"/>
                <w:sz w:val="20"/>
              </w:rPr>
              <w:t xml:space="preserve">Директиве </w:t>
            </w:r>
            <w:r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2018/2002</w:t>
            </w:r>
            <w:r w:rsidRPr="00FF386D">
              <w:rPr>
                <w:rFonts w:ascii="Calibri Light" w:hAnsi="Calibri Light"/>
                <w:sz w:val="20"/>
              </w:rPr>
              <w:t>, и то</w:t>
            </w:r>
            <w:r w:rsidR="00854ADA" w:rsidRPr="000A2AFE">
              <w:rPr>
                <w:rFonts w:ascii="Calibri Light" w:eastAsia="Times New Roman" w:hAnsi="Calibri Light" w:cs="Calibri Light"/>
                <w:color w:val="000000"/>
                <w:sz w:val="20"/>
                <w:szCs w:val="20"/>
                <w:lang w:eastAsia="en-GB"/>
              </w:rPr>
              <w:t>:</w:t>
            </w:r>
          </w:p>
          <w:p w14:paraId="2DFBB466" w14:textId="075EED8B" w:rsidR="00854ADA" w:rsidRPr="00FF386D" w:rsidRDefault="00854ADA" w:rsidP="00854ADA">
            <w:pPr>
              <w:numPr>
                <w:ilvl w:val="0"/>
                <w:numId w:val="14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C03CE1"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3</w:t>
            </w:r>
          </w:p>
        </w:tc>
      </w:tr>
      <w:tr w:rsidR="00854ADA" w:rsidRPr="00FF386D" w14:paraId="50A530FC"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5ACCDE5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0079830D" w14:textId="7B4F19F3" w:rsidR="00854ADA" w:rsidRPr="00FF386D" w:rsidRDefault="00854ADA" w:rsidP="00854ADA">
            <w:pPr>
              <w:spacing w:after="0" w:line="240" w:lineRule="auto"/>
              <w:jc w:val="both"/>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Допринос квантификованом циљу МП_ЕЕ21</w:t>
            </w:r>
          </w:p>
        </w:tc>
      </w:tr>
      <w:tr w:rsidR="00854ADA" w:rsidRPr="00FF386D" w14:paraId="3E6100D5" w14:textId="77777777" w:rsidTr="0057310C">
        <w:trPr>
          <w:trHeight w:val="429"/>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6C55144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16F7E035" w14:textId="6DACEAF6"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МП_ЕЕ23 ће подстаћи примену различитих мера за промовисање енергетске ефикасности у индустријском сектору, као што су успостављање индустријско-пословних зона које ће бити прикључене на централизована когенерациона постројења и централне системе за производњу и дистрибуцију топлоте, увођење система когенерације, промовисање циркуларне економије, укључујући експлоатацију отпадне топлоте и већу дигитализацију индустријских процеса. Даља употреба обновљивих извора енергије за производњу електричне енергије, грејање и хлађење и промовисање других алтернативних горива ће допринети побољшању енергетске ефикасности максимизирањем синергије са димензијом ОИЕ. Подстицање планираних интервенција ће се остварити </w:t>
            </w:r>
            <w:r w:rsidR="00C03CE1" w:rsidRPr="00FF386D">
              <w:rPr>
                <w:rFonts w:ascii="Calibri Light" w:hAnsi="Calibri Light"/>
                <w:sz w:val="20"/>
              </w:rPr>
              <w:t xml:space="preserve">путем </w:t>
            </w:r>
            <w:r w:rsidRPr="00FF386D">
              <w:rPr>
                <w:rFonts w:ascii="Calibri Light" w:hAnsi="Calibri Light"/>
                <w:sz w:val="20"/>
              </w:rPr>
              <w:t>развој</w:t>
            </w:r>
            <w:r w:rsidR="00C03CE1" w:rsidRPr="00FF386D">
              <w:rPr>
                <w:rFonts w:ascii="Calibri Light" w:hAnsi="Calibri Light"/>
                <w:sz w:val="20"/>
              </w:rPr>
              <w:t>а</w:t>
            </w:r>
            <w:r w:rsidRPr="00FF386D">
              <w:rPr>
                <w:rFonts w:ascii="Calibri Light" w:hAnsi="Calibri Light"/>
                <w:sz w:val="20"/>
              </w:rPr>
              <w:t xml:space="preserve"> одговарајуће инфраструктуре или пружањем финансијских и фискалних подстицаја.</w:t>
            </w:r>
          </w:p>
        </w:tc>
      </w:tr>
      <w:tr w:rsidR="00854ADA" w:rsidRPr="00FF386D" w14:paraId="586520B5"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2A69D25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38B6D062" w14:textId="78898676"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BC795D" w:rsidRPr="00FF386D">
              <w:rPr>
                <w:rFonts w:ascii="Calibri Light" w:hAnsi="Calibri Light"/>
                <w:sz w:val="20"/>
              </w:rPr>
              <w:t>5</w:t>
            </w:r>
            <w:r w:rsidRPr="00FF386D">
              <w:rPr>
                <w:rFonts w:ascii="Calibri Light" w:hAnsi="Calibri Light"/>
                <w:sz w:val="20"/>
              </w:rPr>
              <w:t>-2030.</w:t>
            </w:r>
          </w:p>
        </w:tc>
      </w:tr>
      <w:tr w:rsidR="00854ADA" w:rsidRPr="00FF386D" w14:paraId="1014667B"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3AA4A92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59FB12FD"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Инвестиција</w:t>
            </w:r>
          </w:p>
        </w:tc>
      </w:tr>
      <w:tr w:rsidR="00854ADA" w:rsidRPr="00FF386D" w14:paraId="58F02356"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79AC25B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5C30D88B"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Индустријски</w:t>
            </w:r>
          </w:p>
        </w:tc>
      </w:tr>
      <w:tr w:rsidR="00854ADA" w:rsidRPr="00FF386D" w14:paraId="4DC6A32B"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0F88881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03D998C6" w14:textId="24A380FB" w:rsidR="00854ADA" w:rsidRPr="000A2AFE" w:rsidRDefault="00BC795D" w:rsidP="000A2AFE">
            <w:pPr>
              <w:pStyle w:val="ListParagraph"/>
              <w:numPr>
                <w:ilvl w:val="0"/>
                <w:numId w:val="318"/>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31DCA078" w14:textId="77777777" w:rsidTr="0057310C">
        <w:trPr>
          <w:trHeight w:val="315"/>
        </w:trPr>
        <w:tc>
          <w:tcPr>
            <w:tcW w:w="3304" w:type="dxa"/>
            <w:tcBorders>
              <w:top w:val="nil"/>
              <w:left w:val="single" w:sz="8" w:space="0" w:color="auto"/>
              <w:bottom w:val="single" w:sz="8" w:space="0" w:color="auto"/>
              <w:right w:val="nil"/>
            </w:tcBorders>
            <w:shd w:val="clear" w:color="000000" w:fill="244062"/>
            <w:vAlign w:val="center"/>
            <w:hideMark/>
          </w:tcPr>
          <w:p w14:paraId="586E8E2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2450265E" w14:textId="65B763DC" w:rsidR="00854ADA" w:rsidRPr="000A2AFE" w:rsidRDefault="00C34D8A" w:rsidP="000A2AFE">
            <w:pPr>
              <w:pStyle w:val="ListParagraph"/>
              <w:numPr>
                <w:ilvl w:val="0"/>
                <w:numId w:val="145"/>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23FE29BB" w14:textId="77777777" w:rsidTr="0057310C">
        <w:trPr>
          <w:trHeight w:val="315"/>
        </w:trPr>
        <w:tc>
          <w:tcPr>
            <w:tcW w:w="3304" w:type="dxa"/>
            <w:tcBorders>
              <w:top w:val="nil"/>
              <w:left w:val="single" w:sz="8" w:space="0" w:color="auto"/>
              <w:bottom w:val="single" w:sz="8" w:space="0" w:color="auto"/>
              <w:right w:val="nil"/>
            </w:tcBorders>
            <w:shd w:val="clear" w:color="000000" w:fill="244062"/>
            <w:vAlign w:val="center"/>
            <w:hideMark/>
          </w:tcPr>
          <w:p w14:paraId="7804D78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6CCD8898" w14:textId="77777777" w:rsidR="00854ADA" w:rsidRPr="000A2AFE" w:rsidRDefault="00854ADA" w:rsidP="000A2AFE">
            <w:pPr>
              <w:pStyle w:val="ListParagraph"/>
              <w:numPr>
                <w:ilvl w:val="0"/>
                <w:numId w:val="145"/>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Број индустријских постројења</w:t>
            </w:r>
          </w:p>
        </w:tc>
      </w:tr>
      <w:tr w:rsidR="00854ADA" w:rsidRPr="00FF386D" w14:paraId="38D32331" w14:textId="77777777" w:rsidTr="0057310C">
        <w:trPr>
          <w:trHeight w:val="52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68939DC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5E7C2886" w14:textId="2F97E0D8" w:rsidR="00C34D8A" w:rsidRPr="00C34D8A" w:rsidRDefault="00C34D8A" w:rsidP="00C34D8A">
            <w:pPr>
              <w:numPr>
                <w:ilvl w:val="0"/>
                <w:numId w:val="145"/>
              </w:numPr>
              <w:spacing w:after="0" w:line="240" w:lineRule="auto"/>
              <w:contextualSpacing/>
              <w:rPr>
                <w:rFonts w:ascii="Calibri Light" w:eastAsia="Times New Roman" w:hAnsi="Calibri Light" w:cs="Calibri Light"/>
                <w:color w:val="000000"/>
                <w:sz w:val="20"/>
                <w:szCs w:val="20"/>
                <w:lang w:eastAsia="en-GB"/>
              </w:rPr>
            </w:pPr>
            <w:r w:rsidRPr="00C34D8A">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C34D8A">
              <w:rPr>
                <w:rFonts w:ascii="Calibri Light" w:eastAsia="Times New Roman" w:hAnsi="Calibri Light" w:cs="Calibri Light"/>
                <w:i/>
                <w:iCs/>
                <w:color w:val="000000"/>
                <w:sz w:val="20"/>
                <w:szCs w:val="20"/>
                <w:lang w:val="en-US" w:eastAsia="en-GB"/>
              </w:rPr>
              <w:t>GHG</w:t>
            </w:r>
            <w:r w:rsidRPr="00C34D8A">
              <w:rPr>
                <w:rFonts w:ascii="Calibri Light" w:eastAsia="Times New Roman" w:hAnsi="Calibri Light" w:cs="Calibri Light"/>
                <w:i/>
                <w:iCs/>
                <w:color w:val="000000"/>
                <w:sz w:val="20"/>
                <w:szCs w:val="20"/>
                <w:lang w:eastAsia="en-GB"/>
              </w:rPr>
              <w:t xml:space="preserve"> </w:t>
            </w:r>
            <w:r w:rsidRPr="00C34D8A">
              <w:rPr>
                <w:rFonts w:ascii="Calibri Light" w:eastAsia="Times New Roman" w:hAnsi="Calibri Light" w:cs="Calibri Light"/>
                <w:color w:val="000000"/>
                <w:sz w:val="20"/>
                <w:szCs w:val="20"/>
                <w:lang w:eastAsia="en-GB"/>
              </w:rPr>
              <w:t>а коришћене технологије ОИЕ ће довести до повећања удела ОИЕ у грејању и хлађењу)</w:t>
            </w:r>
          </w:p>
          <w:p w14:paraId="0219F4DB" w14:textId="5C2B850E" w:rsidR="00854ADA" w:rsidRPr="00FF386D" w:rsidRDefault="00C34D8A" w:rsidP="00C34D8A">
            <w:pPr>
              <w:numPr>
                <w:ilvl w:val="0"/>
                <w:numId w:val="145"/>
              </w:numPr>
              <w:spacing w:after="0" w:line="240" w:lineRule="auto"/>
              <w:contextualSpacing/>
              <w:rPr>
                <w:rFonts w:ascii="Calibri Light" w:eastAsia="Times New Roman" w:hAnsi="Calibri Light" w:cs="Calibri Light"/>
                <w:color w:val="000000"/>
                <w:sz w:val="20"/>
                <w:szCs w:val="20"/>
                <w:lang w:eastAsia="en-GB"/>
              </w:rPr>
            </w:pPr>
            <w:r w:rsidRPr="00C34D8A">
              <w:rPr>
                <w:rFonts w:ascii="Calibri Light" w:eastAsia="Times New Roman" w:hAnsi="Calibri Light" w:cs="Calibri Light"/>
                <w:color w:val="000000"/>
                <w:sz w:val="20"/>
                <w:szCs w:val="20"/>
                <w:lang w:eastAsia="en-GB"/>
              </w:rPr>
              <w:lastRenderedPageBreak/>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854ADA" w:rsidRPr="00FF386D" w14:paraId="314ACBB3" w14:textId="77777777" w:rsidTr="0057310C">
        <w:trPr>
          <w:trHeight w:val="450"/>
        </w:trPr>
        <w:tc>
          <w:tcPr>
            <w:tcW w:w="3304"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16F9DA09" w14:textId="6E939AFF"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54"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0A2E3D7A" w14:textId="77777777" w:rsidR="00854ADA" w:rsidRPr="000A2AFE" w:rsidRDefault="00854ADA" w:rsidP="00BC795D">
            <w:pPr>
              <w:pStyle w:val="ListParagraph"/>
              <w:numPr>
                <w:ilvl w:val="0"/>
                <w:numId w:val="145"/>
              </w:num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Директива </w:t>
            </w:r>
            <w:r w:rsidRPr="000A2AFE">
              <w:rPr>
                <w:rFonts w:ascii="Calibri Light" w:eastAsia="Times New Roman" w:hAnsi="Calibri Light" w:cs="Calibri Light"/>
                <w:color w:val="000000"/>
                <w:sz w:val="20"/>
                <w:szCs w:val="20"/>
                <w:lang w:eastAsia="en-GB"/>
              </w:rPr>
              <w:t>2012/27/ЕУ</w:t>
            </w:r>
          </w:p>
          <w:p w14:paraId="2AF91942" w14:textId="77777777" w:rsidR="00854ADA" w:rsidRPr="00FF386D" w:rsidRDefault="00854ADA" w:rsidP="00854ADA">
            <w:pPr>
              <w:numPr>
                <w:ilvl w:val="0"/>
                <w:numId w:val="14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Директива </w:t>
            </w:r>
            <w:r w:rsidRPr="000A2AFE">
              <w:rPr>
                <w:rFonts w:ascii="Calibri Light" w:eastAsia="Times New Roman" w:hAnsi="Calibri Light" w:cs="Calibri Light"/>
                <w:color w:val="000000"/>
                <w:sz w:val="20"/>
                <w:szCs w:val="20"/>
                <w:lang w:eastAsia="en-GB"/>
              </w:rPr>
              <w:t>2018/2002/ЕУ</w:t>
            </w:r>
          </w:p>
        </w:tc>
      </w:tr>
      <w:tr w:rsidR="00854ADA" w:rsidRPr="00FF386D" w14:paraId="1647DE6C" w14:textId="77777777" w:rsidTr="0057310C">
        <w:trPr>
          <w:trHeight w:val="450"/>
        </w:trPr>
        <w:tc>
          <w:tcPr>
            <w:tcW w:w="3304" w:type="dxa"/>
            <w:vMerge/>
            <w:tcBorders>
              <w:top w:val="nil"/>
              <w:left w:val="single" w:sz="8" w:space="0" w:color="auto"/>
              <w:bottom w:val="single" w:sz="8" w:space="0" w:color="000000"/>
              <w:right w:val="single" w:sz="8" w:space="0" w:color="auto"/>
            </w:tcBorders>
            <w:vAlign w:val="center"/>
            <w:hideMark/>
          </w:tcPr>
          <w:p w14:paraId="1D7559E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4" w:type="dxa"/>
            <w:gridSpan w:val="3"/>
            <w:vMerge/>
            <w:tcBorders>
              <w:top w:val="single" w:sz="8" w:space="0" w:color="auto"/>
              <w:left w:val="single" w:sz="8" w:space="0" w:color="auto"/>
              <w:bottom w:val="single" w:sz="8" w:space="0" w:color="000000"/>
              <w:right w:val="single" w:sz="8" w:space="0" w:color="000000"/>
            </w:tcBorders>
            <w:vAlign w:val="center"/>
            <w:hideMark/>
          </w:tcPr>
          <w:p w14:paraId="3A06145C" w14:textId="77777777" w:rsidR="00854ADA" w:rsidRPr="00FF386D" w:rsidRDefault="00854ADA" w:rsidP="00854ADA">
            <w:pPr>
              <w:numPr>
                <w:ilvl w:val="0"/>
                <w:numId w:val="145"/>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2D4D1FFC" w14:textId="77777777" w:rsidTr="0057310C">
        <w:trPr>
          <w:trHeight w:val="450"/>
        </w:trPr>
        <w:tc>
          <w:tcPr>
            <w:tcW w:w="3304" w:type="dxa"/>
            <w:vMerge/>
            <w:tcBorders>
              <w:top w:val="nil"/>
              <w:left w:val="single" w:sz="8" w:space="0" w:color="auto"/>
              <w:bottom w:val="single" w:sz="8" w:space="0" w:color="000000"/>
              <w:right w:val="single" w:sz="8" w:space="0" w:color="auto"/>
            </w:tcBorders>
            <w:vAlign w:val="center"/>
            <w:hideMark/>
          </w:tcPr>
          <w:p w14:paraId="5E2C964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4" w:type="dxa"/>
            <w:gridSpan w:val="3"/>
            <w:vMerge/>
            <w:tcBorders>
              <w:top w:val="single" w:sz="8" w:space="0" w:color="auto"/>
              <w:left w:val="single" w:sz="8" w:space="0" w:color="auto"/>
              <w:bottom w:val="single" w:sz="8" w:space="0" w:color="000000"/>
              <w:right w:val="single" w:sz="8" w:space="0" w:color="000000"/>
            </w:tcBorders>
            <w:vAlign w:val="center"/>
            <w:hideMark/>
          </w:tcPr>
          <w:p w14:paraId="6F8DC861" w14:textId="77777777" w:rsidR="00854ADA" w:rsidRPr="00FF386D" w:rsidRDefault="00854ADA" w:rsidP="00854ADA">
            <w:pPr>
              <w:numPr>
                <w:ilvl w:val="0"/>
                <w:numId w:val="145"/>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7590F886" w14:textId="77777777" w:rsidTr="0057310C">
        <w:trPr>
          <w:trHeight w:val="780"/>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02D0CC0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1F2F2AD1" w14:textId="58BE0F05" w:rsidR="00854ADA" w:rsidRPr="00FF386D" w:rsidRDefault="00854ADA" w:rsidP="00854ADA">
            <w:pPr>
              <w:numPr>
                <w:ilvl w:val="0"/>
                <w:numId w:val="14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4. НАПЕЕ</w:t>
            </w:r>
          </w:p>
          <w:p w14:paraId="6F8A4F58" w14:textId="77777777" w:rsidR="00854ADA" w:rsidRPr="00FF386D" w:rsidRDefault="00854ADA" w:rsidP="00854ADA">
            <w:pPr>
              <w:numPr>
                <w:ilvl w:val="0"/>
                <w:numId w:val="14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Стратегија индустријске политике Републике Србије од 2021. до 2030. године</w:t>
            </w:r>
          </w:p>
          <w:p w14:paraId="2812D563" w14:textId="4F947EF3" w:rsidR="00854ADA" w:rsidRPr="00FF386D" w:rsidRDefault="00854ADA" w:rsidP="00854ADA">
            <w:pPr>
              <w:numPr>
                <w:ilvl w:val="0"/>
                <w:numId w:val="14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Стратегија одрживог урбаног развоја </w:t>
            </w:r>
            <w:r w:rsidR="007021C5" w:rsidRPr="007021C5">
              <w:rPr>
                <w:rFonts w:ascii="Calibri Light" w:eastAsia="Times New Roman" w:hAnsi="Calibri Light" w:cs="Calibri Light"/>
                <w:color w:val="000000"/>
                <w:sz w:val="20"/>
                <w:szCs w:val="20"/>
                <w:lang w:eastAsia="en-GB"/>
              </w:rPr>
              <w:t>Републике Србије до</w:t>
            </w:r>
            <w:r w:rsidRPr="00FF386D">
              <w:rPr>
                <w:rFonts w:ascii="Calibri Light" w:eastAsia="Times New Roman" w:hAnsi="Calibri Light" w:cs="Calibri Light"/>
                <w:color w:val="000000"/>
                <w:sz w:val="20"/>
                <w:szCs w:val="20"/>
                <w:lang w:eastAsia="en-GB"/>
              </w:rPr>
              <w:t xml:space="preserve"> 2030. годин</w:t>
            </w:r>
            <w:r w:rsidR="007021C5">
              <w:rPr>
                <w:rFonts w:ascii="Calibri Light" w:eastAsia="Times New Roman" w:hAnsi="Calibri Light" w:cs="Calibri Light"/>
                <w:color w:val="000000"/>
                <w:sz w:val="20"/>
                <w:szCs w:val="20"/>
                <w:lang w:eastAsia="en-GB"/>
              </w:rPr>
              <w:t>е</w:t>
            </w:r>
          </w:p>
        </w:tc>
      </w:tr>
      <w:tr w:rsidR="00854ADA" w:rsidRPr="00FF386D" w14:paraId="4C5DBDAB"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559B2A6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3CB6D031"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Буџет интегрисан у МП_ЕЕ21</w:t>
            </w:r>
          </w:p>
        </w:tc>
      </w:tr>
      <w:tr w:rsidR="00854ADA" w:rsidRPr="00FF386D" w14:paraId="2EA9890F"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4342291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5C2FBE6F" w14:textId="0B192D4C"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BC795D" w:rsidRPr="00FF386D">
              <w:rPr>
                <w:rFonts w:asciiTheme="majorHAnsi" w:eastAsia="Times New Roman" w:hAnsiTheme="majorHAnsi" w:cstheme="majorHAnsi"/>
                <w:color w:val="000000"/>
                <w:sz w:val="20"/>
                <w:szCs w:val="20"/>
                <w:lang w:eastAsia="en-GB"/>
              </w:rPr>
              <w:t>ска</w:t>
            </w:r>
            <w:r w:rsidRPr="00FF386D">
              <w:rPr>
                <w:rFonts w:asciiTheme="majorHAnsi" w:eastAsia="Times New Roman" w:hAnsiTheme="majorHAnsi" w:cstheme="majorHAnsi"/>
                <w:color w:val="000000"/>
                <w:sz w:val="20"/>
                <w:szCs w:val="20"/>
                <w:lang w:eastAsia="en-GB"/>
              </w:rPr>
              <w:t xml:space="preserve"> и сопствена средства</w:t>
            </w:r>
          </w:p>
        </w:tc>
      </w:tr>
    </w:tbl>
    <w:p w14:paraId="38FBCB08" w14:textId="77777777" w:rsidR="00854ADA" w:rsidRPr="00FF386D" w:rsidRDefault="00854ADA" w:rsidP="00854ADA">
      <w:pPr>
        <w:spacing w:before="160"/>
        <w:jc w:val="both"/>
        <w:rPr>
          <w:rFonts w:asciiTheme="majorHAnsi" w:hAnsiTheme="majorHAnsi" w:cstheme="majorHAnsi"/>
          <w:b/>
          <w:bCs/>
          <w:color w:val="000000"/>
          <w:u w:val="single"/>
        </w:rPr>
      </w:pPr>
    </w:p>
    <w:p w14:paraId="2EA8CFCB" w14:textId="77777777" w:rsidR="00854ADA" w:rsidRPr="00FF386D" w:rsidRDefault="00854ADA" w:rsidP="00854ADA">
      <w:pPr>
        <w:spacing w:before="160"/>
        <w:jc w:val="both"/>
        <w:rPr>
          <w:rFonts w:asciiTheme="majorHAnsi" w:hAnsiTheme="majorHAnsi" w:cstheme="majorHAnsi"/>
          <w:b/>
          <w:bCs/>
          <w:color w:val="000000"/>
          <w:u w:val="single"/>
        </w:rPr>
      </w:pPr>
      <w:r w:rsidRPr="00FF386D">
        <w:rPr>
          <w:rFonts w:asciiTheme="majorHAnsi" w:hAnsiTheme="majorHAnsi" w:cstheme="majorHAnsi"/>
          <w:b/>
          <w:bCs/>
          <w:color w:val="000000"/>
          <w:u w:val="single"/>
        </w:rPr>
        <w:t>Сектор пољопривреде</w:t>
      </w:r>
    </w:p>
    <w:p w14:paraId="1D386914" w14:textId="3605C917"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За </w:t>
      </w:r>
      <w:r w:rsidR="00BC795D" w:rsidRPr="00FF386D">
        <w:rPr>
          <w:rFonts w:asciiTheme="majorHAnsi" w:hAnsiTheme="majorHAnsi" w:cstheme="majorHAnsi"/>
          <w:color w:val="000000"/>
        </w:rPr>
        <w:t>унапређење</w:t>
      </w:r>
      <w:r w:rsidRPr="00FF386D">
        <w:rPr>
          <w:rFonts w:asciiTheme="majorHAnsi" w:hAnsiTheme="majorHAnsi" w:cstheme="majorHAnsi"/>
          <w:color w:val="000000"/>
        </w:rPr>
        <w:t xml:space="preserve"> енергетске ефикасности пољопривредних машина, система за наводњавање, сточарства, пластеника и рибарства биће осмишљени специјализовани финансијски подстицаји. Осим тога, подстицаће се додатно учешће ОИЕ, односно производња и експлоатација биомасе, а предвидеће се и пружање саветодавних услуга </w:t>
      </w:r>
      <w:r w:rsidR="00BC795D" w:rsidRPr="00FF386D">
        <w:rPr>
          <w:rFonts w:asciiTheme="majorHAnsi" w:hAnsiTheme="majorHAnsi" w:cstheme="majorHAnsi"/>
          <w:color w:val="000000"/>
        </w:rPr>
        <w:t xml:space="preserve">пољопривредницима </w:t>
      </w:r>
      <w:r w:rsidRPr="00FF386D">
        <w:rPr>
          <w:rFonts w:asciiTheme="majorHAnsi" w:hAnsiTheme="majorHAnsi" w:cstheme="majorHAnsi"/>
          <w:color w:val="000000"/>
        </w:rPr>
        <w:t>и спровођење енергетских прегледа како би се унапредио постојећи ниво знања у пољопривредном сектору.</w:t>
      </w:r>
    </w:p>
    <w:tbl>
      <w:tblPr>
        <w:tblW w:w="9458" w:type="dxa"/>
        <w:tblLook w:val="04A0" w:firstRow="1" w:lastRow="0" w:firstColumn="1" w:lastColumn="0" w:noHBand="0" w:noVBand="1"/>
      </w:tblPr>
      <w:tblGrid>
        <w:gridCol w:w="3310"/>
        <w:gridCol w:w="1007"/>
        <w:gridCol w:w="942"/>
        <w:gridCol w:w="4199"/>
      </w:tblGrid>
      <w:tr w:rsidR="00854ADA" w:rsidRPr="00FF386D" w14:paraId="6475A63D" w14:textId="77777777" w:rsidTr="0057310C">
        <w:trPr>
          <w:trHeight w:val="780"/>
        </w:trPr>
        <w:tc>
          <w:tcPr>
            <w:tcW w:w="3310"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1823DEF0"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332C5948"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МП_ЕЕ24</w:t>
            </w:r>
          </w:p>
        </w:tc>
        <w:tc>
          <w:tcPr>
            <w:tcW w:w="942" w:type="dxa"/>
            <w:tcBorders>
              <w:top w:val="single" w:sz="8" w:space="0" w:color="auto"/>
              <w:left w:val="nil"/>
              <w:bottom w:val="single" w:sz="8" w:space="0" w:color="auto"/>
              <w:right w:val="single" w:sz="8" w:space="0" w:color="auto"/>
            </w:tcBorders>
            <w:shd w:val="clear" w:color="000000" w:fill="244062"/>
            <w:vAlign w:val="center"/>
            <w:hideMark/>
          </w:tcPr>
          <w:p w14:paraId="4769EC8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eastAsia="Times New Roman" w:hAnsi="Calibri Light" w:cs="Calibri Light"/>
                <w:b/>
                <w:bCs/>
                <w:color w:val="FFFFFF"/>
                <w:sz w:val="20"/>
                <w:szCs w:val="20"/>
                <w:lang w:eastAsia="en-GB"/>
              </w:rPr>
              <w:t xml:space="preserve">Назив: </w:t>
            </w:r>
          </w:p>
        </w:tc>
        <w:tc>
          <w:tcPr>
            <w:tcW w:w="4199" w:type="dxa"/>
            <w:tcBorders>
              <w:top w:val="single" w:sz="8" w:space="0" w:color="auto"/>
              <w:left w:val="nil"/>
              <w:bottom w:val="single" w:sz="8" w:space="0" w:color="auto"/>
              <w:right w:val="single" w:sz="8" w:space="0" w:color="auto"/>
            </w:tcBorders>
            <w:shd w:val="clear" w:color="auto" w:fill="E7E6E6" w:themeFill="background2"/>
            <w:vAlign w:val="center"/>
            <w:hideMark/>
          </w:tcPr>
          <w:p w14:paraId="45A4F5C7" w14:textId="3B7BCFE6" w:rsidR="00854ADA" w:rsidRPr="00FF386D" w:rsidRDefault="00854ADA" w:rsidP="00854ADA">
            <w:pPr>
              <w:spacing w:after="0" w:line="240" w:lineRule="auto"/>
              <w:rPr>
                <w:rFonts w:ascii="Calibri Light" w:eastAsia="Times New Roman" w:hAnsi="Calibri Light" w:cs="Calibri Light"/>
                <w:b/>
                <w:bCs/>
                <w:color w:val="000000"/>
                <w:sz w:val="20"/>
                <w:szCs w:val="20"/>
                <w:lang w:eastAsia="en-GB"/>
              </w:rPr>
            </w:pPr>
            <w:r w:rsidRPr="00FF386D">
              <w:rPr>
                <w:rFonts w:ascii="Calibri Light" w:eastAsia="Times New Roman" w:hAnsi="Calibri Light" w:cs="Calibri Light"/>
                <w:b/>
                <w:bCs/>
                <w:color w:val="000000"/>
                <w:sz w:val="20"/>
                <w:szCs w:val="20"/>
                <w:lang w:eastAsia="en-GB"/>
              </w:rPr>
              <w:t>Шеме подршке за п</w:t>
            </w:r>
            <w:r w:rsidR="00B122E1" w:rsidRPr="00FF386D">
              <w:rPr>
                <w:rFonts w:ascii="Calibri Light" w:eastAsia="Times New Roman" w:hAnsi="Calibri Light" w:cs="Calibri Light"/>
                <w:b/>
                <w:bCs/>
                <w:color w:val="000000"/>
                <w:sz w:val="20"/>
                <w:szCs w:val="20"/>
                <w:lang w:eastAsia="en-GB"/>
              </w:rPr>
              <w:t xml:space="preserve">одстицање </w:t>
            </w:r>
            <w:r w:rsidRPr="00FF386D">
              <w:rPr>
                <w:rFonts w:ascii="Calibri Light" w:eastAsia="Times New Roman" w:hAnsi="Calibri Light" w:cs="Calibri Light"/>
                <w:b/>
                <w:bCs/>
                <w:color w:val="000000"/>
                <w:sz w:val="20"/>
                <w:szCs w:val="20"/>
                <w:lang w:eastAsia="en-GB"/>
              </w:rPr>
              <w:t>енергетске ефикасности у сектору пољопривреде</w:t>
            </w:r>
          </w:p>
        </w:tc>
      </w:tr>
      <w:tr w:rsidR="00854ADA" w:rsidRPr="00FF386D" w14:paraId="13CE2A17" w14:textId="77777777" w:rsidTr="0057310C">
        <w:trPr>
          <w:trHeight w:val="496"/>
        </w:trPr>
        <w:tc>
          <w:tcPr>
            <w:tcW w:w="3310" w:type="dxa"/>
            <w:tcBorders>
              <w:top w:val="nil"/>
              <w:left w:val="single" w:sz="8" w:space="0" w:color="auto"/>
              <w:bottom w:val="single" w:sz="8" w:space="0" w:color="auto"/>
              <w:right w:val="nil"/>
            </w:tcBorders>
            <w:shd w:val="clear" w:color="000000" w:fill="244062"/>
            <w:vAlign w:val="center"/>
            <w:hideMark/>
          </w:tcPr>
          <w:p w14:paraId="10774EE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4C1B88A1" w14:textId="24724B30" w:rsidR="00854ADA" w:rsidRPr="000A2AFE" w:rsidRDefault="00E71759"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Примена</w:t>
            </w:r>
            <w:r w:rsidR="00854ADA" w:rsidRPr="00FF386D">
              <w:rPr>
                <w:rFonts w:ascii="Calibri Light" w:hAnsi="Calibri Light"/>
                <w:sz w:val="20"/>
              </w:rPr>
              <w:t xml:space="preserve"> чланова Директиве </w:t>
            </w:r>
            <w:r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2018/2002</w:t>
            </w:r>
            <w:r w:rsidR="00854ADA" w:rsidRPr="000A2AFE">
              <w:rPr>
                <w:rFonts w:ascii="Calibri Light" w:eastAsia="Times New Roman" w:hAnsi="Calibri Light" w:cs="Calibri Light"/>
                <w:color w:val="000000"/>
                <w:sz w:val="20"/>
                <w:szCs w:val="20"/>
                <w:lang w:eastAsia="en-GB"/>
              </w:rPr>
              <w:t>:</w:t>
            </w:r>
          </w:p>
          <w:p w14:paraId="57555A9C" w14:textId="2A8A587A" w:rsidR="00854ADA" w:rsidRPr="000A2AFE" w:rsidRDefault="00854ADA" w:rsidP="00854ADA">
            <w:pPr>
              <w:numPr>
                <w:ilvl w:val="0"/>
                <w:numId w:val="2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6D5989"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3</w:t>
            </w:r>
          </w:p>
          <w:p w14:paraId="0081EF83" w14:textId="406A8F9B" w:rsidR="00854ADA" w:rsidRPr="00FF386D" w:rsidRDefault="00854ADA" w:rsidP="00854ADA">
            <w:pPr>
              <w:numPr>
                <w:ilvl w:val="0"/>
                <w:numId w:val="14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6D5989"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7</w:t>
            </w:r>
          </w:p>
        </w:tc>
      </w:tr>
      <w:tr w:rsidR="00854ADA" w:rsidRPr="00FF386D" w14:paraId="7549FD84"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6731825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7162C5C5" w14:textId="1BCB2A51" w:rsidR="00854ADA" w:rsidRPr="00FF386D" w:rsidRDefault="007021C5" w:rsidP="00854ADA">
            <w:pPr>
              <w:spacing w:after="0" w:line="240" w:lineRule="auto"/>
              <w:rPr>
                <w:rFonts w:ascii="Calibri" w:eastAsia="Times New Roman" w:hAnsi="Calibri" w:cs="Calibri"/>
                <w:color w:val="000000"/>
                <w:lang w:eastAsia="en-GB"/>
              </w:rPr>
            </w:pPr>
            <w:r w:rsidRPr="007021C5">
              <w:rPr>
                <w:rFonts w:asciiTheme="majorHAnsi" w:eastAsia="Times New Roman" w:hAnsiTheme="majorHAnsi" w:cstheme="majorHAnsi"/>
                <w:color w:val="000000"/>
                <w:sz w:val="20"/>
                <w:szCs w:val="20"/>
                <w:lang w:eastAsia="en-GB"/>
              </w:rPr>
              <w:t>Допринос постизању очекиваних нив</w:t>
            </w:r>
            <w:r w:rsidR="00BF65BC">
              <w:rPr>
                <w:rFonts w:asciiTheme="majorHAnsi" w:eastAsia="Times New Roman" w:hAnsiTheme="majorHAnsi" w:cstheme="majorHAnsi"/>
                <w:color w:val="000000"/>
                <w:sz w:val="20"/>
                <w:szCs w:val="20"/>
                <w:lang w:eastAsia="en-GB"/>
              </w:rPr>
              <w:t>оа</w:t>
            </w:r>
            <w:r w:rsidRPr="007021C5">
              <w:rPr>
                <w:rFonts w:asciiTheme="majorHAnsi" w:eastAsia="Times New Roman" w:hAnsiTheme="majorHAnsi" w:cstheme="majorHAnsi"/>
                <w:color w:val="000000"/>
                <w:sz w:val="20"/>
                <w:szCs w:val="20"/>
                <w:lang w:eastAsia="en-GB"/>
              </w:rPr>
              <w:t xml:space="preserve"> финалне потрошње енергије у пољопривредном сектору</w:t>
            </w:r>
          </w:p>
        </w:tc>
      </w:tr>
      <w:tr w:rsidR="00854ADA" w:rsidRPr="00FF386D" w14:paraId="07E2B4C5" w14:textId="77777777" w:rsidTr="0057310C">
        <w:trPr>
          <w:trHeight w:val="996"/>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328FA0F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4B1F3936" w14:textId="36A2C554"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МП_ЕЕ24 ће обезбедити финансијске подстицаје за </w:t>
            </w:r>
            <w:r w:rsidR="006D5989" w:rsidRPr="00FF386D">
              <w:rPr>
                <w:rFonts w:ascii="Calibri Light" w:hAnsi="Calibri Light"/>
                <w:sz w:val="20"/>
              </w:rPr>
              <w:t>унапређење</w:t>
            </w:r>
            <w:r w:rsidRPr="00FF386D">
              <w:rPr>
                <w:rFonts w:ascii="Calibri Light" w:hAnsi="Calibri Light"/>
                <w:sz w:val="20"/>
              </w:rPr>
              <w:t xml:space="preserve"> енергетске ефикасности у областима пољопривредних машина, система за наводњавање, сточарства и пластеника и рибарства. Поред тога, подстицаће се д</w:t>
            </w:r>
            <w:r w:rsidR="00D948B9" w:rsidRPr="00FF386D">
              <w:rPr>
                <w:rFonts w:ascii="Calibri Light" w:hAnsi="Calibri Light"/>
                <w:sz w:val="20"/>
              </w:rPr>
              <w:t>одатно коришћење</w:t>
            </w:r>
            <w:r w:rsidRPr="00FF386D">
              <w:rPr>
                <w:rFonts w:ascii="Calibri Light" w:hAnsi="Calibri Light"/>
                <w:sz w:val="20"/>
              </w:rPr>
              <w:t xml:space="preserve"> обновљивих извора енергије за производњу електричне и топлотне енергије, односно производњу и експлоатацију биомасе. </w:t>
            </w:r>
            <w:r w:rsidR="006D5989" w:rsidRPr="00FF386D">
              <w:rPr>
                <w:rFonts w:ascii="Calibri Light" w:hAnsi="Calibri Light"/>
                <w:sz w:val="20"/>
              </w:rPr>
              <w:t>Б</w:t>
            </w:r>
            <w:r w:rsidRPr="00FF386D">
              <w:rPr>
                <w:rFonts w:ascii="Calibri Light" w:hAnsi="Calibri Light"/>
                <w:sz w:val="20"/>
              </w:rPr>
              <w:t>иће настављен</w:t>
            </w:r>
            <w:r w:rsidR="006D5989" w:rsidRPr="00FF386D">
              <w:rPr>
                <w:rFonts w:ascii="Calibri Light" w:hAnsi="Calibri Light"/>
                <w:sz w:val="20"/>
              </w:rPr>
              <w:t>а примена</w:t>
            </w:r>
            <w:r w:rsidRPr="00FF386D">
              <w:rPr>
                <w:rFonts w:ascii="Calibri Light" w:hAnsi="Calibri Light"/>
                <w:sz w:val="20"/>
              </w:rPr>
              <w:t xml:space="preserve"> постојећ</w:t>
            </w:r>
            <w:r w:rsidR="006D5989" w:rsidRPr="00FF386D">
              <w:rPr>
                <w:rFonts w:ascii="Calibri Light" w:hAnsi="Calibri Light"/>
                <w:sz w:val="20"/>
              </w:rPr>
              <w:t>их</w:t>
            </w:r>
            <w:r w:rsidRPr="00FF386D">
              <w:rPr>
                <w:rFonts w:ascii="Calibri Light" w:hAnsi="Calibri Light"/>
                <w:sz w:val="20"/>
              </w:rPr>
              <w:t xml:space="preserve"> мер</w:t>
            </w:r>
            <w:r w:rsidR="006D5989" w:rsidRPr="00FF386D">
              <w:rPr>
                <w:rFonts w:ascii="Calibri Light" w:hAnsi="Calibri Light"/>
                <w:sz w:val="20"/>
              </w:rPr>
              <w:t xml:space="preserve">а </w:t>
            </w:r>
            <w:r w:rsidRPr="00FF386D">
              <w:rPr>
                <w:rFonts w:ascii="Calibri Light" w:hAnsi="Calibri Light"/>
                <w:sz w:val="20"/>
              </w:rPr>
              <w:t xml:space="preserve">у погледу </w:t>
            </w:r>
            <w:r w:rsidR="00D948B9" w:rsidRPr="00FF386D">
              <w:rPr>
                <w:rFonts w:ascii="Calibri Light" w:hAnsi="Calibri Light"/>
                <w:sz w:val="20"/>
              </w:rPr>
              <w:t>давања у закуп</w:t>
            </w:r>
            <w:r w:rsidRPr="00FF386D">
              <w:rPr>
                <w:rFonts w:ascii="Calibri Light" w:hAnsi="Calibri Light"/>
                <w:sz w:val="20"/>
              </w:rPr>
              <w:t xml:space="preserve"> напуштеног пољопривредног земљишта за д</w:t>
            </w:r>
            <w:r w:rsidR="006D5989" w:rsidRPr="00FF386D">
              <w:rPr>
                <w:rFonts w:ascii="Calibri Light" w:hAnsi="Calibri Light"/>
                <w:sz w:val="20"/>
              </w:rPr>
              <w:t>одат</w:t>
            </w:r>
            <w:r w:rsidR="00D948B9" w:rsidRPr="00FF386D">
              <w:rPr>
                <w:rFonts w:ascii="Calibri Light" w:hAnsi="Calibri Light"/>
                <w:sz w:val="20"/>
              </w:rPr>
              <w:t xml:space="preserve">но коришћење </w:t>
            </w:r>
            <w:r w:rsidRPr="00FF386D">
              <w:rPr>
                <w:rFonts w:ascii="Calibri Light" w:hAnsi="Calibri Light"/>
                <w:sz w:val="20"/>
              </w:rPr>
              <w:t>обновљивих извора енергије, финансијске подршке за потрошњу на лицу места произведене електричне и топлотне енергије из обновљивих извора и обезбеђивања подстицаја за прикључење пољопривредних газдинстава и предузећа на системе даљинског грејања, где је то изводљиво</w:t>
            </w:r>
            <w:r w:rsidR="006D5989" w:rsidRPr="00FF386D">
              <w:rPr>
                <w:rFonts w:ascii="Calibri Light" w:hAnsi="Calibri Light"/>
                <w:sz w:val="20"/>
              </w:rPr>
              <w:t>, уз обезбеђење унапређене трошковне ефикасности</w:t>
            </w:r>
            <w:r w:rsidRPr="00FF386D">
              <w:rPr>
                <w:rFonts w:ascii="Calibri Light" w:hAnsi="Calibri Light"/>
                <w:sz w:val="20"/>
              </w:rPr>
              <w:t xml:space="preserve">. У случају да допринос финансијске помоћи не буде довољан за </w:t>
            </w:r>
            <w:r w:rsidR="00D948B9" w:rsidRPr="00FF386D">
              <w:rPr>
                <w:rFonts w:ascii="Calibri Light" w:hAnsi="Calibri Light"/>
                <w:sz w:val="20"/>
              </w:rPr>
              <w:t>остварење</w:t>
            </w:r>
            <w:r w:rsidRPr="00FF386D">
              <w:rPr>
                <w:rFonts w:ascii="Calibri Light" w:hAnsi="Calibri Light"/>
                <w:sz w:val="20"/>
              </w:rPr>
              <w:t xml:space="preserve"> утврђених циљева, </w:t>
            </w:r>
            <w:r w:rsidR="00E71759" w:rsidRPr="00FF386D">
              <w:rPr>
                <w:rFonts w:ascii="Calibri Light" w:hAnsi="Calibri Light"/>
                <w:sz w:val="20"/>
              </w:rPr>
              <w:t>потребно је</w:t>
            </w:r>
            <w:r w:rsidRPr="00FF386D">
              <w:rPr>
                <w:rFonts w:ascii="Calibri Light" w:hAnsi="Calibri Light"/>
                <w:sz w:val="20"/>
              </w:rPr>
              <w:t xml:space="preserve"> планирати додатне финансијске, регулаторне и фискалне мере. Морају с</w:t>
            </w:r>
            <w:r w:rsidR="00E71759" w:rsidRPr="00FF386D">
              <w:rPr>
                <w:rFonts w:ascii="Calibri Light" w:hAnsi="Calibri Light"/>
                <w:sz w:val="20"/>
              </w:rPr>
              <w:t>е покренути најекономичније</w:t>
            </w:r>
            <w:r w:rsidRPr="00FF386D">
              <w:rPr>
                <w:rFonts w:ascii="Calibri Light" w:hAnsi="Calibri Light"/>
                <w:sz w:val="20"/>
              </w:rPr>
              <w:t xml:space="preserve"> мере које ће као приоритет поставити усвајање циљаних пореских олакшица, обавезну замену одређених технологија и обезбеђивање алата који </w:t>
            </w:r>
            <w:r w:rsidR="00D948B9" w:rsidRPr="00FF386D">
              <w:rPr>
                <w:rFonts w:ascii="Calibri Light" w:hAnsi="Calibri Light"/>
                <w:sz w:val="20"/>
              </w:rPr>
              <w:t xml:space="preserve">ће </w:t>
            </w:r>
            <w:r w:rsidRPr="00FF386D">
              <w:rPr>
                <w:rFonts w:ascii="Calibri Light" w:hAnsi="Calibri Light"/>
                <w:sz w:val="20"/>
              </w:rPr>
              <w:t>омогућ</w:t>
            </w:r>
            <w:r w:rsidR="00D948B9" w:rsidRPr="00FF386D">
              <w:rPr>
                <w:rFonts w:ascii="Calibri Light" w:hAnsi="Calibri Light"/>
                <w:sz w:val="20"/>
              </w:rPr>
              <w:t>ити</w:t>
            </w:r>
            <w:r w:rsidRPr="00FF386D">
              <w:rPr>
                <w:rFonts w:ascii="Calibri Light" w:hAnsi="Calibri Light"/>
                <w:sz w:val="20"/>
              </w:rPr>
              <w:t xml:space="preserve"> приступ потребним средствима, као што су кредитне линије, гаранције и повољни кредити.</w:t>
            </w:r>
          </w:p>
        </w:tc>
      </w:tr>
      <w:tr w:rsidR="00854ADA" w:rsidRPr="00FF386D" w14:paraId="3404BA9D"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1F3DAF7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Временски оквир имплементације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1C81A0DB" w14:textId="75BE68C3"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E71759" w:rsidRPr="00FF386D">
              <w:rPr>
                <w:rFonts w:ascii="Calibri Light" w:hAnsi="Calibri Light"/>
                <w:sz w:val="20"/>
              </w:rPr>
              <w:t>5</w:t>
            </w:r>
            <w:r w:rsidRPr="00FF386D">
              <w:rPr>
                <w:rFonts w:ascii="Calibri Light" w:hAnsi="Calibri Light"/>
                <w:sz w:val="20"/>
              </w:rPr>
              <w:t>-2030.</w:t>
            </w:r>
          </w:p>
        </w:tc>
      </w:tr>
      <w:tr w:rsidR="00854ADA" w:rsidRPr="00FF386D" w14:paraId="2378B72D"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3477F6B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793FE673"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Инвестиције</w:t>
            </w:r>
          </w:p>
        </w:tc>
      </w:tr>
      <w:tr w:rsidR="00854ADA" w:rsidRPr="00FF386D" w14:paraId="6763A29B"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6917F45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57049F64"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Пољопривреда</w:t>
            </w:r>
          </w:p>
        </w:tc>
      </w:tr>
      <w:tr w:rsidR="00854ADA" w:rsidRPr="00FF386D" w14:paraId="2151883F"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746207F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6FD9ACDB" w14:textId="4161C6E9" w:rsidR="00854ADA" w:rsidRPr="00FF386D" w:rsidRDefault="00854ADA" w:rsidP="00854ADA">
            <w:pPr>
              <w:numPr>
                <w:ilvl w:val="0"/>
                <w:numId w:val="14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 xml:space="preserve">Министарство пољопривреде, </w:t>
            </w:r>
            <w:r w:rsidR="00B41E4B" w:rsidRPr="00B41E4B">
              <w:rPr>
                <w:rFonts w:ascii="Calibri Light" w:hAnsi="Calibri Light"/>
                <w:sz w:val="20"/>
              </w:rPr>
              <w:t>шумарства и водопривреде</w:t>
            </w:r>
          </w:p>
          <w:p w14:paraId="0CC94B11" w14:textId="77777777" w:rsidR="00854ADA" w:rsidRPr="00FF386D" w:rsidRDefault="00854ADA" w:rsidP="00854ADA">
            <w:pPr>
              <w:numPr>
                <w:ilvl w:val="0"/>
                <w:numId w:val="14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 xml:space="preserve">Програм </w:t>
            </w:r>
            <w:r w:rsidRPr="00FF386D">
              <w:rPr>
                <w:rFonts w:ascii="Calibri Light" w:hAnsi="Calibri Light"/>
                <w:i/>
                <w:iCs/>
                <w:sz w:val="20"/>
              </w:rPr>
              <w:t>IPARD</w:t>
            </w:r>
          </w:p>
        </w:tc>
      </w:tr>
      <w:tr w:rsidR="00854ADA" w:rsidRPr="00FF386D" w14:paraId="058446D2" w14:textId="77777777" w:rsidTr="0057310C">
        <w:trPr>
          <w:trHeight w:val="315"/>
        </w:trPr>
        <w:tc>
          <w:tcPr>
            <w:tcW w:w="3310" w:type="dxa"/>
            <w:tcBorders>
              <w:top w:val="nil"/>
              <w:left w:val="single" w:sz="8" w:space="0" w:color="auto"/>
              <w:bottom w:val="single" w:sz="8" w:space="0" w:color="auto"/>
              <w:right w:val="nil"/>
            </w:tcBorders>
            <w:shd w:val="clear" w:color="000000" w:fill="244062"/>
            <w:vAlign w:val="center"/>
            <w:hideMark/>
          </w:tcPr>
          <w:p w14:paraId="4FE48DC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0E203B01" w14:textId="5C233107" w:rsidR="00854ADA" w:rsidRPr="000A2AFE" w:rsidRDefault="00C34D8A" w:rsidP="000A2AFE">
            <w:pPr>
              <w:pStyle w:val="ListParagraph"/>
              <w:numPr>
                <w:ilvl w:val="0"/>
                <w:numId w:val="345"/>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0ED32A54" w14:textId="77777777" w:rsidTr="0057310C">
        <w:trPr>
          <w:trHeight w:val="315"/>
        </w:trPr>
        <w:tc>
          <w:tcPr>
            <w:tcW w:w="3310" w:type="dxa"/>
            <w:tcBorders>
              <w:top w:val="nil"/>
              <w:left w:val="single" w:sz="8" w:space="0" w:color="auto"/>
              <w:bottom w:val="single" w:sz="8" w:space="0" w:color="auto"/>
              <w:right w:val="nil"/>
            </w:tcBorders>
            <w:shd w:val="clear" w:color="000000" w:fill="244062"/>
            <w:vAlign w:val="center"/>
            <w:hideMark/>
          </w:tcPr>
          <w:p w14:paraId="3E9D954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3E744DA3" w14:textId="1798AC67" w:rsidR="00854ADA" w:rsidRPr="000A2AFE" w:rsidRDefault="00854ADA" w:rsidP="000A2AFE">
            <w:pPr>
              <w:pStyle w:val="ListParagraph"/>
              <w:numPr>
                <w:ilvl w:val="0"/>
                <w:numId w:val="345"/>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Број обухваћених пољопривредних </w:t>
            </w:r>
            <w:r w:rsidR="001E35CD" w:rsidRPr="000A2AFE">
              <w:rPr>
                <w:rFonts w:ascii="Calibri Light" w:eastAsia="Times New Roman" w:hAnsi="Calibri Light" w:cs="Calibri Light"/>
                <w:color w:val="000000"/>
                <w:sz w:val="20"/>
                <w:szCs w:val="20"/>
                <w:lang w:eastAsia="en-GB"/>
              </w:rPr>
              <w:t>газдинстава</w:t>
            </w:r>
          </w:p>
        </w:tc>
      </w:tr>
      <w:tr w:rsidR="00854ADA" w:rsidRPr="00FF386D" w14:paraId="616F9112" w14:textId="77777777" w:rsidTr="0057310C">
        <w:trPr>
          <w:trHeight w:val="56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560B904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7C1095A0" w14:textId="4D1CBDF2" w:rsidR="00C34D8A" w:rsidRPr="00C34D8A" w:rsidRDefault="00C34D8A" w:rsidP="00C34D8A">
            <w:pPr>
              <w:numPr>
                <w:ilvl w:val="0"/>
                <w:numId w:val="147"/>
              </w:numPr>
              <w:spacing w:after="0" w:line="240" w:lineRule="auto"/>
              <w:contextualSpacing/>
              <w:rPr>
                <w:rFonts w:ascii="Calibri Light" w:eastAsia="Times New Roman" w:hAnsi="Calibri Light" w:cs="Calibri Light"/>
                <w:color w:val="000000"/>
                <w:sz w:val="20"/>
                <w:szCs w:val="20"/>
                <w:lang w:eastAsia="en-GB"/>
              </w:rPr>
            </w:pPr>
            <w:r w:rsidRPr="00C34D8A">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C34D8A">
              <w:rPr>
                <w:rFonts w:ascii="Calibri Light" w:eastAsia="Times New Roman" w:hAnsi="Calibri Light" w:cs="Calibri Light"/>
                <w:i/>
                <w:iCs/>
                <w:color w:val="000000"/>
                <w:sz w:val="20"/>
                <w:szCs w:val="20"/>
                <w:lang w:val="en-US" w:eastAsia="en-GB"/>
              </w:rPr>
              <w:t>GHG</w:t>
            </w:r>
            <w:r w:rsidRPr="00C34D8A">
              <w:rPr>
                <w:rFonts w:ascii="Calibri Light" w:eastAsia="Times New Roman" w:hAnsi="Calibri Light" w:cs="Calibri Light"/>
                <w:i/>
                <w:iCs/>
                <w:color w:val="000000"/>
                <w:sz w:val="20"/>
                <w:szCs w:val="20"/>
                <w:lang w:eastAsia="en-GB"/>
              </w:rPr>
              <w:t xml:space="preserve"> </w:t>
            </w:r>
            <w:r w:rsidRPr="00C34D8A">
              <w:rPr>
                <w:rFonts w:ascii="Calibri Light" w:eastAsia="Times New Roman" w:hAnsi="Calibri Light" w:cs="Calibri Light"/>
                <w:color w:val="000000"/>
                <w:sz w:val="20"/>
                <w:szCs w:val="20"/>
                <w:lang w:eastAsia="en-GB"/>
              </w:rPr>
              <w:t>а коришћене технологије ОИЕ ће довести до повећања удела ОИЕ у грејању и хлађењу)</w:t>
            </w:r>
          </w:p>
          <w:p w14:paraId="14AA3994" w14:textId="234907C6" w:rsidR="00854ADA" w:rsidRPr="00FF386D" w:rsidRDefault="00C34D8A" w:rsidP="00C34D8A">
            <w:pPr>
              <w:numPr>
                <w:ilvl w:val="0"/>
                <w:numId w:val="147"/>
              </w:numPr>
              <w:spacing w:after="0" w:line="240" w:lineRule="auto"/>
              <w:contextualSpacing/>
              <w:rPr>
                <w:rFonts w:ascii="Calibri Light" w:eastAsia="Times New Roman" w:hAnsi="Calibri Light" w:cs="Calibri Light"/>
                <w:color w:val="000000"/>
                <w:sz w:val="20"/>
                <w:szCs w:val="20"/>
                <w:lang w:eastAsia="en-GB"/>
              </w:rPr>
            </w:pPr>
            <w:r w:rsidRPr="00C34D8A">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854ADA" w:rsidRPr="00FF386D" w14:paraId="7F46DCDA" w14:textId="77777777" w:rsidTr="0057310C">
        <w:trPr>
          <w:trHeight w:val="450"/>
        </w:trPr>
        <w:tc>
          <w:tcPr>
            <w:tcW w:w="3310"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101D431F" w14:textId="45FD21E3"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48"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4DA4BF19" w14:textId="2C900245" w:rsidR="00854ADA" w:rsidRPr="000A2AFE" w:rsidRDefault="00854ADA" w:rsidP="00E71759">
            <w:pPr>
              <w:pStyle w:val="ListParagraph"/>
              <w:numPr>
                <w:ilvl w:val="0"/>
                <w:numId w:val="147"/>
              </w:num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1E35CD"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2012/27</w:t>
            </w:r>
          </w:p>
          <w:p w14:paraId="4443FCD2" w14:textId="40065922" w:rsidR="00854ADA" w:rsidRPr="00FF386D" w:rsidRDefault="00854ADA" w:rsidP="00854ADA">
            <w:pPr>
              <w:numPr>
                <w:ilvl w:val="0"/>
                <w:numId w:val="147"/>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w:t>
            </w:r>
            <w:r w:rsidR="00B122E1" w:rsidRPr="000A2AFE">
              <w:rPr>
                <w:rFonts w:ascii="Calibri Light" w:eastAsia="Times New Roman" w:hAnsi="Calibri Light" w:cs="Calibri Light"/>
                <w:color w:val="000000"/>
                <w:sz w:val="20"/>
                <w:szCs w:val="20"/>
                <w:lang w:eastAsia="en-GB"/>
              </w:rPr>
              <w:t>(ЕУ)</w:t>
            </w:r>
            <w:r w:rsidRPr="000A2AFE">
              <w:rPr>
                <w:rFonts w:ascii="Calibri Light" w:eastAsia="Times New Roman" w:hAnsi="Calibri Light" w:cs="Calibri Light"/>
                <w:color w:val="000000"/>
                <w:sz w:val="20"/>
                <w:szCs w:val="20"/>
                <w:lang w:eastAsia="en-GB"/>
              </w:rPr>
              <w:t xml:space="preserve"> 2018/2002</w:t>
            </w:r>
          </w:p>
        </w:tc>
      </w:tr>
      <w:tr w:rsidR="00854ADA" w:rsidRPr="00FF386D" w14:paraId="193DE6AC" w14:textId="77777777" w:rsidTr="0057310C">
        <w:trPr>
          <w:trHeight w:val="450"/>
        </w:trPr>
        <w:tc>
          <w:tcPr>
            <w:tcW w:w="3310" w:type="dxa"/>
            <w:vMerge/>
            <w:tcBorders>
              <w:top w:val="nil"/>
              <w:left w:val="single" w:sz="8" w:space="0" w:color="auto"/>
              <w:bottom w:val="single" w:sz="8" w:space="0" w:color="000000"/>
              <w:right w:val="single" w:sz="8" w:space="0" w:color="auto"/>
            </w:tcBorders>
            <w:vAlign w:val="center"/>
            <w:hideMark/>
          </w:tcPr>
          <w:p w14:paraId="5C938BD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8" w:type="dxa"/>
            <w:gridSpan w:val="3"/>
            <w:vMerge/>
            <w:tcBorders>
              <w:top w:val="single" w:sz="8" w:space="0" w:color="auto"/>
              <w:left w:val="single" w:sz="8" w:space="0" w:color="auto"/>
              <w:bottom w:val="single" w:sz="8" w:space="0" w:color="000000"/>
              <w:right w:val="single" w:sz="8" w:space="0" w:color="000000"/>
            </w:tcBorders>
            <w:vAlign w:val="center"/>
            <w:hideMark/>
          </w:tcPr>
          <w:p w14:paraId="236949B8" w14:textId="77777777" w:rsidR="00854ADA" w:rsidRPr="00FF386D" w:rsidRDefault="00854ADA" w:rsidP="00854ADA">
            <w:pPr>
              <w:numPr>
                <w:ilvl w:val="0"/>
                <w:numId w:val="147"/>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3B9E9E5D" w14:textId="77777777" w:rsidTr="0057310C">
        <w:trPr>
          <w:trHeight w:val="450"/>
        </w:trPr>
        <w:tc>
          <w:tcPr>
            <w:tcW w:w="3310" w:type="dxa"/>
            <w:vMerge/>
            <w:tcBorders>
              <w:top w:val="nil"/>
              <w:left w:val="single" w:sz="8" w:space="0" w:color="auto"/>
              <w:bottom w:val="single" w:sz="8" w:space="0" w:color="000000"/>
              <w:right w:val="single" w:sz="8" w:space="0" w:color="auto"/>
            </w:tcBorders>
            <w:vAlign w:val="center"/>
            <w:hideMark/>
          </w:tcPr>
          <w:p w14:paraId="76C70B4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8" w:type="dxa"/>
            <w:gridSpan w:val="3"/>
            <w:vMerge/>
            <w:tcBorders>
              <w:top w:val="single" w:sz="8" w:space="0" w:color="auto"/>
              <w:left w:val="single" w:sz="8" w:space="0" w:color="auto"/>
              <w:bottom w:val="single" w:sz="8" w:space="0" w:color="000000"/>
              <w:right w:val="single" w:sz="8" w:space="0" w:color="000000"/>
            </w:tcBorders>
            <w:vAlign w:val="center"/>
            <w:hideMark/>
          </w:tcPr>
          <w:p w14:paraId="4D07B459" w14:textId="77777777" w:rsidR="00854ADA" w:rsidRPr="00FF386D" w:rsidRDefault="00854ADA" w:rsidP="00854ADA">
            <w:pPr>
              <w:numPr>
                <w:ilvl w:val="0"/>
                <w:numId w:val="147"/>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18BB1DB9" w14:textId="77777777" w:rsidTr="0057310C">
        <w:trPr>
          <w:trHeight w:val="387"/>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4F2E1C1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36F7A08D" w14:textId="4FBB27A9" w:rsidR="00854ADA" w:rsidRPr="00FF386D" w:rsidRDefault="00854ADA" w:rsidP="00854ADA">
            <w:pPr>
              <w:numPr>
                <w:ilvl w:val="0"/>
                <w:numId w:val="147"/>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4. НАПЕЕ</w:t>
            </w:r>
          </w:p>
          <w:p w14:paraId="54D71C09" w14:textId="77777777" w:rsidR="00854ADA" w:rsidRPr="00FF386D" w:rsidRDefault="00854ADA" w:rsidP="00854ADA">
            <w:pPr>
              <w:numPr>
                <w:ilvl w:val="0"/>
                <w:numId w:val="147"/>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пољопривредном земљишту</w:t>
            </w:r>
          </w:p>
          <w:p w14:paraId="5B5B64CD" w14:textId="77777777" w:rsidR="00854ADA" w:rsidRPr="000A2AFE" w:rsidRDefault="00854ADA">
            <w:pPr>
              <w:numPr>
                <w:ilvl w:val="0"/>
                <w:numId w:val="237"/>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Правилник о условима и поступку давања у закуп и </w:t>
            </w:r>
            <w:r w:rsidRPr="00FF386D">
              <w:rPr>
                <w:rFonts w:ascii="Calibri Light" w:eastAsia="NSimSun" w:hAnsi="Calibri Light" w:cs="Mangal"/>
                <w:color w:val="000000"/>
                <w:kern w:val="2"/>
                <w:sz w:val="20"/>
                <w:szCs w:val="24"/>
                <w:lang w:eastAsia="zh-CN" w:bidi="hi-IN"/>
              </w:rPr>
              <w:t>изнајмљивања</w:t>
            </w:r>
            <w:r w:rsidRPr="00FF386D">
              <w:rPr>
                <w:rFonts w:ascii="Calibri Light" w:hAnsi="Calibri Light"/>
                <w:color w:val="000000"/>
                <w:sz w:val="20"/>
              </w:rPr>
              <w:t xml:space="preserve"> пољопривредног земљишта у државној својини</w:t>
            </w:r>
          </w:p>
          <w:p w14:paraId="5C36FD03" w14:textId="77777777" w:rsidR="00854ADA" w:rsidRPr="000A2AFE" w:rsidRDefault="00854ADA">
            <w:pPr>
              <w:numPr>
                <w:ilvl w:val="0"/>
                <w:numId w:val="237"/>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color w:val="000000"/>
                <w:sz w:val="20"/>
              </w:rPr>
              <w:t>Уредба о подстицајима за улагање у прераду и промет пољопривредних и прехрамбених производа у сектору производње јаких алкохолних пића</w:t>
            </w:r>
          </w:p>
          <w:p w14:paraId="4495558C" w14:textId="77777777" w:rsidR="00854ADA" w:rsidRPr="000A2AFE" w:rsidRDefault="00854ADA">
            <w:pPr>
              <w:numPr>
                <w:ilvl w:val="0"/>
                <w:numId w:val="237"/>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color w:val="000000"/>
                <w:sz w:val="20"/>
              </w:rPr>
              <w:t>Уредба о подстицајима за улагање у прераду и промет пољопривредних и прехрамбених производа у сектору производње вина</w:t>
            </w:r>
          </w:p>
          <w:p w14:paraId="2FFFC68F" w14:textId="77777777" w:rsidR="00854ADA" w:rsidRPr="000A2AFE" w:rsidRDefault="00854ADA">
            <w:pPr>
              <w:numPr>
                <w:ilvl w:val="0"/>
                <w:numId w:val="237"/>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color w:val="000000"/>
                <w:sz w:val="20"/>
              </w:rPr>
              <w:t>Уредба о подстицајима за улагање у материјалну имовину пољопривредних газдинстава за набавку нових машина и опреме за побољшање примарне производње биљака</w:t>
            </w:r>
          </w:p>
          <w:p w14:paraId="0271289B" w14:textId="77777777" w:rsidR="00854ADA" w:rsidRPr="000A2AFE" w:rsidRDefault="00854ADA">
            <w:pPr>
              <w:numPr>
                <w:ilvl w:val="0"/>
                <w:numId w:val="237"/>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color w:val="000000"/>
                <w:sz w:val="20"/>
              </w:rPr>
              <w:t>Правилник о подстицајима за улагање у материјална добра пољопривредних газдинстава за набавку нових машина и опреме за побољшање примарне пољопривредне производње у сточарству</w:t>
            </w:r>
          </w:p>
          <w:p w14:paraId="4A2F6ED1" w14:textId="11288320" w:rsidR="00854ADA" w:rsidRPr="00FF386D" w:rsidRDefault="00854ADA" w:rsidP="00854ADA">
            <w:pPr>
              <w:numPr>
                <w:ilvl w:val="0"/>
                <w:numId w:val="147"/>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color w:val="000000"/>
                <w:sz w:val="20"/>
              </w:rPr>
              <w:t>Правилник о подстицајима за програме за дивер</w:t>
            </w:r>
            <w:r w:rsidR="00D948B9" w:rsidRPr="00FF386D">
              <w:rPr>
                <w:rFonts w:ascii="Calibri Light" w:hAnsi="Calibri Light"/>
                <w:color w:val="000000"/>
                <w:sz w:val="20"/>
              </w:rPr>
              <w:t>с</w:t>
            </w:r>
            <w:r w:rsidRPr="00FF386D">
              <w:rPr>
                <w:rFonts w:ascii="Calibri Light" w:hAnsi="Calibri Light"/>
                <w:color w:val="000000"/>
                <w:sz w:val="20"/>
              </w:rPr>
              <w:t>ификацију прихода и побољшање квалитета живота у руралним подручјима кроз подршку младим пољопривредницима</w:t>
            </w:r>
          </w:p>
        </w:tc>
      </w:tr>
      <w:tr w:rsidR="00854ADA" w:rsidRPr="00FF386D" w14:paraId="151A15EA"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5D700BD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2E83E5F8" w14:textId="2F56B71D"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2,678 милијарде е</w:t>
            </w:r>
            <w:r w:rsidR="001E35CD" w:rsidRPr="00FF386D">
              <w:rPr>
                <w:rFonts w:ascii="Calibri Light" w:eastAsia="Times New Roman" w:hAnsi="Calibri Light" w:cs="Calibri Light"/>
                <w:color w:val="000000"/>
                <w:sz w:val="20"/>
                <w:szCs w:val="20"/>
                <w:lang w:eastAsia="en-GB"/>
              </w:rPr>
              <w:t>вра</w:t>
            </w:r>
          </w:p>
        </w:tc>
      </w:tr>
      <w:tr w:rsidR="00854ADA" w:rsidRPr="00FF386D" w14:paraId="389E4853"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24C77C0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13EE50CB" w14:textId="26D443EF"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1E35CD" w:rsidRPr="00FF386D">
              <w:rPr>
                <w:rFonts w:asciiTheme="majorHAnsi" w:eastAsia="Times New Roman" w:hAnsiTheme="majorHAnsi" w:cstheme="majorHAnsi"/>
                <w:color w:val="000000"/>
                <w:sz w:val="20"/>
                <w:szCs w:val="20"/>
                <w:lang w:eastAsia="en-GB"/>
              </w:rPr>
              <w:t xml:space="preserve">ска </w:t>
            </w:r>
            <w:r w:rsidRPr="00FF386D">
              <w:rPr>
                <w:rFonts w:asciiTheme="majorHAnsi" w:eastAsia="Times New Roman" w:hAnsiTheme="majorHAnsi" w:cstheme="majorHAnsi"/>
                <w:color w:val="000000"/>
                <w:sz w:val="20"/>
                <w:szCs w:val="20"/>
                <w:lang w:eastAsia="en-GB"/>
              </w:rPr>
              <w:t xml:space="preserve">и </w:t>
            </w:r>
            <w:r w:rsidR="001E35CD" w:rsidRPr="00FF386D">
              <w:rPr>
                <w:rFonts w:asciiTheme="majorHAnsi" w:eastAsia="Times New Roman" w:hAnsiTheme="majorHAnsi" w:cstheme="majorHAnsi"/>
                <w:color w:val="000000"/>
                <w:sz w:val="20"/>
                <w:szCs w:val="20"/>
                <w:lang w:eastAsia="en-GB"/>
              </w:rPr>
              <w:t xml:space="preserve">сопствена </w:t>
            </w:r>
            <w:r w:rsidRPr="00FF386D">
              <w:rPr>
                <w:rFonts w:asciiTheme="majorHAnsi" w:eastAsia="Times New Roman" w:hAnsiTheme="majorHAnsi" w:cstheme="majorHAnsi"/>
                <w:color w:val="000000"/>
                <w:sz w:val="20"/>
                <w:szCs w:val="20"/>
                <w:lang w:eastAsia="en-GB"/>
              </w:rPr>
              <w:t>средства</w:t>
            </w:r>
          </w:p>
        </w:tc>
      </w:tr>
    </w:tbl>
    <w:p w14:paraId="2B49640E"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13"/>
        <w:gridCol w:w="1007"/>
        <w:gridCol w:w="943"/>
        <w:gridCol w:w="4195"/>
      </w:tblGrid>
      <w:tr w:rsidR="00854ADA" w:rsidRPr="00FF386D" w14:paraId="3E6E284C" w14:textId="77777777" w:rsidTr="0057310C">
        <w:trPr>
          <w:trHeight w:val="780"/>
        </w:trPr>
        <w:tc>
          <w:tcPr>
            <w:tcW w:w="3313"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39904700"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6F00A3A3"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МП_ЕЕ25</w:t>
            </w:r>
          </w:p>
        </w:tc>
        <w:tc>
          <w:tcPr>
            <w:tcW w:w="943" w:type="dxa"/>
            <w:tcBorders>
              <w:top w:val="single" w:sz="8" w:space="0" w:color="auto"/>
              <w:left w:val="nil"/>
              <w:bottom w:val="single" w:sz="8" w:space="0" w:color="auto"/>
              <w:right w:val="single" w:sz="8" w:space="0" w:color="auto"/>
            </w:tcBorders>
            <w:shd w:val="clear" w:color="000000" w:fill="244062"/>
            <w:vAlign w:val="center"/>
            <w:hideMark/>
          </w:tcPr>
          <w:p w14:paraId="06929FD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95" w:type="dxa"/>
            <w:tcBorders>
              <w:top w:val="single" w:sz="8" w:space="0" w:color="auto"/>
              <w:left w:val="nil"/>
              <w:bottom w:val="single" w:sz="8" w:space="0" w:color="auto"/>
              <w:right w:val="single" w:sz="8" w:space="0" w:color="auto"/>
            </w:tcBorders>
            <w:shd w:val="clear" w:color="auto" w:fill="E7E6E6" w:themeFill="background2"/>
            <w:vAlign w:val="center"/>
            <w:hideMark/>
          </w:tcPr>
          <w:p w14:paraId="420B1695" w14:textId="77777777" w:rsidR="00854ADA" w:rsidRPr="00FF386D" w:rsidRDefault="00854ADA" w:rsidP="00854ADA">
            <w:pPr>
              <w:spacing w:after="0" w:line="240" w:lineRule="auto"/>
              <w:rPr>
                <w:rFonts w:ascii="Calibri Light" w:eastAsia="Times New Roman" w:hAnsi="Calibri Light" w:cs="Calibri Light"/>
                <w:b/>
                <w:bCs/>
                <w:color w:val="000000"/>
                <w:sz w:val="20"/>
                <w:szCs w:val="20"/>
                <w:lang w:eastAsia="en-GB"/>
              </w:rPr>
            </w:pPr>
            <w:r w:rsidRPr="00FF386D">
              <w:rPr>
                <w:rFonts w:ascii="Calibri Light" w:hAnsi="Calibri Light"/>
                <w:b/>
                <w:sz w:val="20"/>
              </w:rPr>
              <w:t>Саветодавне услуге и енергетски прегледи за пољопривреднике</w:t>
            </w:r>
          </w:p>
        </w:tc>
      </w:tr>
      <w:tr w:rsidR="00854ADA" w:rsidRPr="00FF386D" w14:paraId="10A1FB30" w14:textId="77777777" w:rsidTr="0057310C">
        <w:trPr>
          <w:trHeight w:val="565"/>
        </w:trPr>
        <w:tc>
          <w:tcPr>
            <w:tcW w:w="3313" w:type="dxa"/>
            <w:tcBorders>
              <w:top w:val="nil"/>
              <w:left w:val="single" w:sz="8" w:space="0" w:color="auto"/>
              <w:bottom w:val="single" w:sz="8" w:space="0" w:color="auto"/>
              <w:right w:val="nil"/>
            </w:tcBorders>
            <w:shd w:val="clear" w:color="000000" w:fill="244062"/>
            <w:vAlign w:val="center"/>
            <w:hideMark/>
          </w:tcPr>
          <w:p w14:paraId="230CC11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45" w:type="dxa"/>
            <w:gridSpan w:val="3"/>
            <w:tcBorders>
              <w:top w:val="single" w:sz="8" w:space="0" w:color="auto"/>
              <w:left w:val="nil"/>
              <w:bottom w:val="single" w:sz="8" w:space="0" w:color="auto"/>
              <w:right w:val="single" w:sz="8" w:space="0" w:color="000000"/>
            </w:tcBorders>
            <w:shd w:val="clear" w:color="auto" w:fill="auto"/>
            <w:vAlign w:val="center"/>
            <w:hideMark/>
          </w:tcPr>
          <w:p w14:paraId="3B58E5F3" w14:textId="59ED5336" w:rsidR="00854ADA" w:rsidRPr="000A2AFE" w:rsidRDefault="00B122E1"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 xml:space="preserve">Примена </w:t>
            </w:r>
            <w:r w:rsidR="00854ADA" w:rsidRPr="00FF386D">
              <w:rPr>
                <w:rFonts w:ascii="Calibri Light" w:hAnsi="Calibri Light"/>
                <w:sz w:val="20"/>
              </w:rPr>
              <w:t xml:space="preserve">чланова Директиве </w:t>
            </w:r>
            <w:r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2018/2002</w:t>
            </w:r>
            <w:r w:rsidRPr="00FF386D">
              <w:rPr>
                <w:rFonts w:ascii="Calibri Light" w:hAnsi="Calibri Light"/>
                <w:sz w:val="20"/>
              </w:rPr>
              <w:t>, и то</w:t>
            </w:r>
            <w:r w:rsidR="00854ADA" w:rsidRPr="000A2AFE">
              <w:rPr>
                <w:rFonts w:ascii="Calibri Light" w:eastAsia="Times New Roman" w:hAnsi="Calibri Light" w:cs="Calibri Light"/>
                <w:color w:val="000000"/>
                <w:sz w:val="20"/>
                <w:szCs w:val="20"/>
                <w:lang w:eastAsia="en-GB"/>
              </w:rPr>
              <w:t>:</w:t>
            </w:r>
          </w:p>
          <w:p w14:paraId="5C7A7D82" w14:textId="1D78ECFA" w:rsidR="00854ADA" w:rsidRPr="000A2AFE" w:rsidRDefault="00854ADA" w:rsidP="00854ADA">
            <w:pPr>
              <w:numPr>
                <w:ilvl w:val="0"/>
                <w:numId w:val="2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D948B9"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3</w:t>
            </w:r>
          </w:p>
          <w:p w14:paraId="622DC316" w14:textId="4327F4E8" w:rsidR="00854ADA" w:rsidRPr="00FF386D" w:rsidRDefault="00854ADA" w:rsidP="00854ADA">
            <w:pPr>
              <w:numPr>
                <w:ilvl w:val="0"/>
                <w:numId w:val="148"/>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D948B9"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7</w:t>
            </w:r>
          </w:p>
        </w:tc>
      </w:tr>
      <w:tr w:rsidR="00854ADA" w:rsidRPr="00FF386D" w14:paraId="4DDDAF4D" w14:textId="77777777" w:rsidTr="0057310C">
        <w:trPr>
          <w:trHeight w:val="315"/>
        </w:trPr>
        <w:tc>
          <w:tcPr>
            <w:tcW w:w="3313" w:type="dxa"/>
            <w:tcBorders>
              <w:top w:val="nil"/>
              <w:left w:val="single" w:sz="8" w:space="0" w:color="auto"/>
              <w:bottom w:val="single" w:sz="8" w:space="0" w:color="auto"/>
              <w:right w:val="single" w:sz="8" w:space="0" w:color="auto"/>
            </w:tcBorders>
            <w:shd w:val="clear" w:color="000000" w:fill="244062"/>
            <w:vAlign w:val="center"/>
            <w:hideMark/>
          </w:tcPr>
          <w:p w14:paraId="312E0BE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45" w:type="dxa"/>
            <w:gridSpan w:val="3"/>
            <w:tcBorders>
              <w:top w:val="single" w:sz="8" w:space="0" w:color="auto"/>
              <w:left w:val="nil"/>
              <w:bottom w:val="single" w:sz="8" w:space="0" w:color="auto"/>
              <w:right w:val="single" w:sz="8" w:space="0" w:color="000000"/>
            </w:tcBorders>
            <w:shd w:val="clear" w:color="auto" w:fill="auto"/>
            <w:vAlign w:val="center"/>
            <w:hideMark/>
          </w:tcPr>
          <w:p w14:paraId="4E8B3784" w14:textId="62AFD609"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Допринос квантификованом циљу МП_ЕЕ24</w:t>
            </w:r>
          </w:p>
        </w:tc>
      </w:tr>
      <w:tr w:rsidR="00854ADA" w:rsidRPr="00FF386D" w14:paraId="6BF245A5" w14:textId="77777777" w:rsidTr="0057310C">
        <w:trPr>
          <w:trHeight w:val="868"/>
        </w:trPr>
        <w:tc>
          <w:tcPr>
            <w:tcW w:w="3313" w:type="dxa"/>
            <w:tcBorders>
              <w:top w:val="nil"/>
              <w:left w:val="single" w:sz="8" w:space="0" w:color="auto"/>
              <w:bottom w:val="single" w:sz="8" w:space="0" w:color="auto"/>
              <w:right w:val="single" w:sz="8" w:space="0" w:color="auto"/>
            </w:tcBorders>
            <w:shd w:val="clear" w:color="000000" w:fill="244062"/>
            <w:vAlign w:val="center"/>
            <w:hideMark/>
          </w:tcPr>
          <w:p w14:paraId="4C9AE97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Опис:</w:t>
            </w:r>
          </w:p>
        </w:tc>
        <w:tc>
          <w:tcPr>
            <w:tcW w:w="6145" w:type="dxa"/>
            <w:gridSpan w:val="3"/>
            <w:tcBorders>
              <w:top w:val="single" w:sz="8" w:space="0" w:color="auto"/>
              <w:left w:val="nil"/>
              <w:bottom w:val="single" w:sz="8" w:space="0" w:color="auto"/>
              <w:right w:val="single" w:sz="8" w:space="0" w:color="000000"/>
            </w:tcBorders>
            <w:shd w:val="clear" w:color="auto" w:fill="auto"/>
            <w:vAlign w:val="center"/>
            <w:hideMark/>
          </w:tcPr>
          <w:p w14:paraId="6DFBB240" w14:textId="0BAFF8FD"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МП_ЕЕ25 ће подстицати пружање саветодавних услуга и спровођење енергетских прегледа пољопривредних активности како би се унапредио постојећи ниво знања у сектору </w:t>
            </w:r>
            <w:r w:rsidR="00B122E1" w:rsidRPr="00FF386D">
              <w:rPr>
                <w:rFonts w:ascii="Calibri Light" w:hAnsi="Calibri Light"/>
                <w:sz w:val="20"/>
              </w:rPr>
              <w:t>пољопривреде</w:t>
            </w:r>
            <w:r w:rsidRPr="00FF386D">
              <w:rPr>
                <w:rFonts w:ascii="Calibri Light" w:hAnsi="Calibri Light"/>
                <w:sz w:val="20"/>
              </w:rPr>
              <w:t>.</w:t>
            </w:r>
          </w:p>
        </w:tc>
      </w:tr>
      <w:tr w:rsidR="00854ADA" w:rsidRPr="00FF386D" w14:paraId="3EA1F7FC" w14:textId="77777777" w:rsidTr="0057310C">
        <w:trPr>
          <w:trHeight w:val="315"/>
        </w:trPr>
        <w:tc>
          <w:tcPr>
            <w:tcW w:w="3313" w:type="dxa"/>
            <w:tcBorders>
              <w:top w:val="nil"/>
              <w:left w:val="single" w:sz="8" w:space="0" w:color="auto"/>
              <w:bottom w:val="single" w:sz="8" w:space="0" w:color="auto"/>
              <w:right w:val="single" w:sz="8" w:space="0" w:color="auto"/>
            </w:tcBorders>
            <w:shd w:val="clear" w:color="000000" w:fill="244062"/>
            <w:vAlign w:val="center"/>
            <w:hideMark/>
          </w:tcPr>
          <w:p w14:paraId="4866C9A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45" w:type="dxa"/>
            <w:gridSpan w:val="3"/>
            <w:tcBorders>
              <w:top w:val="single" w:sz="8" w:space="0" w:color="auto"/>
              <w:left w:val="nil"/>
              <w:bottom w:val="single" w:sz="8" w:space="0" w:color="auto"/>
              <w:right w:val="single" w:sz="8" w:space="0" w:color="000000"/>
            </w:tcBorders>
            <w:shd w:val="clear" w:color="auto" w:fill="auto"/>
            <w:vAlign w:val="center"/>
            <w:hideMark/>
          </w:tcPr>
          <w:p w14:paraId="2A529EC7" w14:textId="21364FCF"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B122E1" w:rsidRPr="00FF386D">
              <w:rPr>
                <w:rFonts w:ascii="Calibri Light" w:hAnsi="Calibri Light"/>
                <w:sz w:val="20"/>
              </w:rPr>
              <w:t>5</w:t>
            </w:r>
            <w:r w:rsidRPr="00FF386D">
              <w:rPr>
                <w:rFonts w:ascii="Calibri Light" w:hAnsi="Calibri Light"/>
                <w:sz w:val="20"/>
              </w:rPr>
              <w:t>-2030.</w:t>
            </w:r>
          </w:p>
        </w:tc>
      </w:tr>
      <w:tr w:rsidR="00854ADA" w:rsidRPr="00FF386D" w14:paraId="387ECF80" w14:textId="77777777" w:rsidTr="0057310C">
        <w:trPr>
          <w:trHeight w:val="315"/>
        </w:trPr>
        <w:tc>
          <w:tcPr>
            <w:tcW w:w="3313" w:type="dxa"/>
            <w:tcBorders>
              <w:top w:val="nil"/>
              <w:left w:val="single" w:sz="8" w:space="0" w:color="auto"/>
              <w:bottom w:val="single" w:sz="8" w:space="0" w:color="auto"/>
              <w:right w:val="single" w:sz="8" w:space="0" w:color="auto"/>
            </w:tcBorders>
            <w:shd w:val="clear" w:color="000000" w:fill="244062"/>
            <w:vAlign w:val="center"/>
            <w:hideMark/>
          </w:tcPr>
          <w:p w14:paraId="66B3412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45" w:type="dxa"/>
            <w:gridSpan w:val="3"/>
            <w:tcBorders>
              <w:top w:val="single" w:sz="8" w:space="0" w:color="auto"/>
              <w:left w:val="nil"/>
              <w:bottom w:val="single" w:sz="8" w:space="0" w:color="auto"/>
              <w:right w:val="single" w:sz="8" w:space="0" w:color="000000"/>
            </w:tcBorders>
            <w:shd w:val="clear" w:color="auto" w:fill="auto"/>
            <w:vAlign w:val="center"/>
            <w:hideMark/>
          </w:tcPr>
          <w:p w14:paraId="05D787BB"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Инвестиција</w:t>
            </w:r>
          </w:p>
        </w:tc>
      </w:tr>
      <w:tr w:rsidR="00854ADA" w:rsidRPr="00FF386D" w14:paraId="30C277BD" w14:textId="77777777" w:rsidTr="0057310C">
        <w:trPr>
          <w:trHeight w:val="315"/>
        </w:trPr>
        <w:tc>
          <w:tcPr>
            <w:tcW w:w="3313" w:type="dxa"/>
            <w:tcBorders>
              <w:top w:val="nil"/>
              <w:left w:val="single" w:sz="8" w:space="0" w:color="auto"/>
              <w:bottom w:val="single" w:sz="8" w:space="0" w:color="auto"/>
              <w:right w:val="single" w:sz="8" w:space="0" w:color="auto"/>
            </w:tcBorders>
            <w:shd w:val="clear" w:color="000000" w:fill="244062"/>
            <w:vAlign w:val="center"/>
            <w:hideMark/>
          </w:tcPr>
          <w:p w14:paraId="73EB2EA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45" w:type="dxa"/>
            <w:gridSpan w:val="3"/>
            <w:tcBorders>
              <w:top w:val="single" w:sz="8" w:space="0" w:color="auto"/>
              <w:left w:val="nil"/>
              <w:bottom w:val="single" w:sz="8" w:space="0" w:color="auto"/>
              <w:right w:val="single" w:sz="8" w:space="0" w:color="000000"/>
            </w:tcBorders>
            <w:shd w:val="clear" w:color="auto" w:fill="auto"/>
            <w:vAlign w:val="center"/>
            <w:hideMark/>
          </w:tcPr>
          <w:p w14:paraId="206A8023"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Пољопривреда</w:t>
            </w:r>
          </w:p>
        </w:tc>
      </w:tr>
      <w:tr w:rsidR="00854ADA" w:rsidRPr="00FF386D" w14:paraId="11A1ED91" w14:textId="77777777" w:rsidTr="0057310C">
        <w:trPr>
          <w:trHeight w:val="315"/>
        </w:trPr>
        <w:tc>
          <w:tcPr>
            <w:tcW w:w="3313" w:type="dxa"/>
            <w:tcBorders>
              <w:top w:val="nil"/>
              <w:left w:val="single" w:sz="8" w:space="0" w:color="auto"/>
              <w:bottom w:val="single" w:sz="8" w:space="0" w:color="auto"/>
              <w:right w:val="single" w:sz="8" w:space="0" w:color="auto"/>
            </w:tcBorders>
            <w:shd w:val="clear" w:color="000000" w:fill="244062"/>
            <w:vAlign w:val="center"/>
            <w:hideMark/>
          </w:tcPr>
          <w:p w14:paraId="2F7849E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45" w:type="dxa"/>
            <w:gridSpan w:val="3"/>
            <w:tcBorders>
              <w:top w:val="single" w:sz="8" w:space="0" w:color="auto"/>
              <w:left w:val="nil"/>
              <w:bottom w:val="single" w:sz="8" w:space="0" w:color="auto"/>
              <w:right w:val="single" w:sz="8" w:space="0" w:color="000000"/>
            </w:tcBorders>
            <w:shd w:val="clear" w:color="auto" w:fill="auto"/>
            <w:vAlign w:val="center"/>
            <w:hideMark/>
          </w:tcPr>
          <w:p w14:paraId="34B7FE42" w14:textId="14C5CEBD" w:rsidR="00854ADA" w:rsidRPr="000A2AFE" w:rsidRDefault="00B41E4B" w:rsidP="000A2AFE">
            <w:pPr>
              <w:pStyle w:val="ListParagraph"/>
              <w:numPr>
                <w:ilvl w:val="0"/>
                <w:numId w:val="318"/>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пољопривреде, шумарства и водопривреде</w:t>
            </w:r>
          </w:p>
        </w:tc>
      </w:tr>
      <w:tr w:rsidR="00854ADA" w:rsidRPr="00FF386D" w14:paraId="5F0C8A75" w14:textId="77777777" w:rsidTr="0057310C">
        <w:trPr>
          <w:trHeight w:val="315"/>
        </w:trPr>
        <w:tc>
          <w:tcPr>
            <w:tcW w:w="3313" w:type="dxa"/>
            <w:tcBorders>
              <w:top w:val="nil"/>
              <w:left w:val="single" w:sz="8" w:space="0" w:color="auto"/>
              <w:bottom w:val="single" w:sz="8" w:space="0" w:color="auto"/>
              <w:right w:val="nil"/>
            </w:tcBorders>
            <w:shd w:val="clear" w:color="000000" w:fill="244062"/>
            <w:vAlign w:val="center"/>
            <w:hideMark/>
          </w:tcPr>
          <w:p w14:paraId="0C23810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45" w:type="dxa"/>
            <w:gridSpan w:val="3"/>
            <w:tcBorders>
              <w:top w:val="single" w:sz="8" w:space="0" w:color="auto"/>
              <w:left w:val="nil"/>
              <w:bottom w:val="single" w:sz="8" w:space="0" w:color="auto"/>
              <w:right w:val="single" w:sz="8" w:space="0" w:color="000000"/>
            </w:tcBorders>
            <w:shd w:val="clear" w:color="auto" w:fill="auto"/>
            <w:vAlign w:val="center"/>
            <w:hideMark/>
          </w:tcPr>
          <w:p w14:paraId="4918FF72" w14:textId="0398D88B" w:rsidR="00854ADA" w:rsidRPr="000A2AFE" w:rsidRDefault="00C34D8A" w:rsidP="000A2AFE">
            <w:pPr>
              <w:pStyle w:val="ListParagraph"/>
              <w:numPr>
                <w:ilvl w:val="0"/>
                <w:numId w:val="148"/>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444149DB" w14:textId="77777777" w:rsidTr="0057310C">
        <w:trPr>
          <w:trHeight w:val="315"/>
        </w:trPr>
        <w:tc>
          <w:tcPr>
            <w:tcW w:w="3313" w:type="dxa"/>
            <w:tcBorders>
              <w:top w:val="nil"/>
              <w:left w:val="single" w:sz="8" w:space="0" w:color="auto"/>
              <w:bottom w:val="single" w:sz="8" w:space="0" w:color="auto"/>
              <w:right w:val="nil"/>
            </w:tcBorders>
            <w:shd w:val="clear" w:color="000000" w:fill="244062"/>
            <w:vAlign w:val="center"/>
            <w:hideMark/>
          </w:tcPr>
          <w:p w14:paraId="7F28A6B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45" w:type="dxa"/>
            <w:gridSpan w:val="3"/>
            <w:tcBorders>
              <w:top w:val="single" w:sz="8" w:space="0" w:color="auto"/>
              <w:left w:val="nil"/>
              <w:bottom w:val="single" w:sz="8" w:space="0" w:color="auto"/>
              <w:right w:val="single" w:sz="8" w:space="0" w:color="000000"/>
            </w:tcBorders>
            <w:shd w:val="clear" w:color="auto" w:fill="auto"/>
            <w:vAlign w:val="center"/>
            <w:hideMark/>
          </w:tcPr>
          <w:p w14:paraId="55915A47" w14:textId="77777777" w:rsidR="00854ADA" w:rsidRPr="000A2AFE" w:rsidRDefault="00854ADA" w:rsidP="000A2AFE">
            <w:pPr>
              <w:pStyle w:val="ListParagraph"/>
              <w:numPr>
                <w:ilvl w:val="0"/>
                <w:numId w:val="148"/>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Број обухваћених пољопривредних јединица</w:t>
            </w:r>
          </w:p>
        </w:tc>
      </w:tr>
      <w:tr w:rsidR="00854ADA" w:rsidRPr="00FF386D" w14:paraId="758560BB" w14:textId="77777777" w:rsidTr="0057310C">
        <w:trPr>
          <w:trHeight w:val="325"/>
        </w:trPr>
        <w:tc>
          <w:tcPr>
            <w:tcW w:w="3313" w:type="dxa"/>
            <w:tcBorders>
              <w:top w:val="nil"/>
              <w:left w:val="single" w:sz="8" w:space="0" w:color="auto"/>
              <w:bottom w:val="single" w:sz="8" w:space="0" w:color="auto"/>
              <w:right w:val="single" w:sz="8" w:space="0" w:color="auto"/>
            </w:tcBorders>
            <w:shd w:val="clear" w:color="000000" w:fill="244062"/>
            <w:vAlign w:val="center"/>
            <w:hideMark/>
          </w:tcPr>
          <w:p w14:paraId="17BB3E4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45" w:type="dxa"/>
            <w:gridSpan w:val="3"/>
            <w:tcBorders>
              <w:top w:val="single" w:sz="8" w:space="0" w:color="auto"/>
              <w:left w:val="nil"/>
              <w:bottom w:val="single" w:sz="8" w:space="0" w:color="auto"/>
              <w:right w:val="single" w:sz="8" w:space="0" w:color="000000"/>
            </w:tcBorders>
            <w:shd w:val="clear" w:color="auto" w:fill="auto"/>
            <w:vAlign w:val="center"/>
            <w:hideMark/>
          </w:tcPr>
          <w:p w14:paraId="1CA7E71E" w14:textId="19B80299" w:rsidR="00C34D8A" w:rsidRPr="00C34D8A" w:rsidRDefault="00C34D8A" w:rsidP="00C34D8A">
            <w:pPr>
              <w:numPr>
                <w:ilvl w:val="0"/>
                <w:numId w:val="150"/>
              </w:numPr>
              <w:spacing w:after="0" w:line="240" w:lineRule="auto"/>
              <w:contextualSpacing/>
              <w:rPr>
                <w:rFonts w:ascii="Calibri Light" w:eastAsia="Times New Roman" w:hAnsi="Calibri Light" w:cs="Calibri Light"/>
                <w:color w:val="000000"/>
                <w:sz w:val="20"/>
                <w:szCs w:val="20"/>
                <w:lang w:eastAsia="en-GB"/>
              </w:rPr>
            </w:pPr>
            <w:r w:rsidRPr="00C34D8A">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C34D8A">
              <w:rPr>
                <w:rFonts w:ascii="Calibri Light" w:eastAsia="Times New Roman" w:hAnsi="Calibri Light" w:cs="Calibri Light"/>
                <w:i/>
                <w:iCs/>
                <w:color w:val="000000"/>
                <w:sz w:val="20"/>
                <w:szCs w:val="20"/>
                <w:lang w:val="en-US" w:eastAsia="en-GB"/>
              </w:rPr>
              <w:t>GHG</w:t>
            </w:r>
            <w:r w:rsidRPr="00C34D8A">
              <w:rPr>
                <w:rFonts w:ascii="Calibri Light" w:eastAsia="Times New Roman" w:hAnsi="Calibri Light" w:cs="Calibri Light"/>
                <w:i/>
                <w:iCs/>
                <w:color w:val="000000"/>
                <w:sz w:val="20"/>
                <w:szCs w:val="20"/>
                <w:lang w:eastAsia="en-GB"/>
              </w:rPr>
              <w:t xml:space="preserve"> </w:t>
            </w:r>
            <w:r w:rsidRPr="00C34D8A">
              <w:rPr>
                <w:rFonts w:ascii="Calibri Light" w:eastAsia="Times New Roman" w:hAnsi="Calibri Light" w:cs="Calibri Light"/>
                <w:color w:val="000000"/>
                <w:sz w:val="20"/>
                <w:szCs w:val="20"/>
                <w:lang w:eastAsia="en-GB"/>
              </w:rPr>
              <w:t>а коришћене технологије ОИЕ ће довести до повећања удела ОИЕ у грејању и хлађењу)</w:t>
            </w:r>
          </w:p>
          <w:p w14:paraId="055052CE" w14:textId="705A1B20" w:rsidR="00854ADA" w:rsidRPr="00FF386D" w:rsidRDefault="00C34D8A" w:rsidP="00C34D8A">
            <w:pPr>
              <w:numPr>
                <w:ilvl w:val="0"/>
                <w:numId w:val="150"/>
              </w:numPr>
              <w:spacing w:after="0" w:line="240" w:lineRule="auto"/>
              <w:contextualSpacing/>
              <w:rPr>
                <w:rFonts w:ascii="Calibri Light" w:eastAsia="Times New Roman" w:hAnsi="Calibri Light" w:cs="Calibri Light"/>
                <w:color w:val="000000"/>
                <w:sz w:val="20"/>
                <w:szCs w:val="20"/>
                <w:lang w:eastAsia="en-GB"/>
              </w:rPr>
            </w:pPr>
            <w:r w:rsidRPr="00C34D8A">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854ADA" w:rsidRPr="00FF386D" w14:paraId="61B0E8AC" w14:textId="77777777" w:rsidTr="0057310C">
        <w:trPr>
          <w:trHeight w:val="450"/>
        </w:trPr>
        <w:tc>
          <w:tcPr>
            <w:tcW w:w="3313"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18DCD31B" w14:textId="6700908C"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45"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6A9B7F4F" w14:textId="77777777" w:rsidR="00854ADA" w:rsidRPr="000A2AFE" w:rsidRDefault="00854ADA" w:rsidP="00B122E1">
            <w:pPr>
              <w:pStyle w:val="ListParagraph"/>
              <w:numPr>
                <w:ilvl w:val="0"/>
                <w:numId w:val="150"/>
              </w:num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Pr="000A2AFE">
              <w:rPr>
                <w:rFonts w:ascii="Calibri Light" w:eastAsia="Times New Roman" w:hAnsi="Calibri Light" w:cs="Calibri Light"/>
                <w:color w:val="000000"/>
                <w:sz w:val="20"/>
                <w:szCs w:val="20"/>
                <w:lang w:eastAsia="en-GB"/>
              </w:rPr>
              <w:t>2012/27/ЕУ</w:t>
            </w:r>
          </w:p>
          <w:p w14:paraId="6A6FE4FF" w14:textId="77777777" w:rsidR="00854ADA" w:rsidRPr="00FF386D" w:rsidRDefault="00854ADA" w:rsidP="00854ADA">
            <w:pPr>
              <w:numPr>
                <w:ilvl w:val="0"/>
                <w:numId w:val="15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Pr="000A2AFE">
              <w:rPr>
                <w:rFonts w:ascii="Calibri Light" w:eastAsia="Times New Roman" w:hAnsi="Calibri Light" w:cs="Calibri Light"/>
                <w:color w:val="000000"/>
                <w:sz w:val="20"/>
                <w:szCs w:val="20"/>
                <w:lang w:eastAsia="en-GB"/>
              </w:rPr>
              <w:t>2018/2002/ЕУ</w:t>
            </w:r>
          </w:p>
        </w:tc>
      </w:tr>
      <w:tr w:rsidR="00854ADA" w:rsidRPr="00FF386D" w14:paraId="32608D57" w14:textId="77777777" w:rsidTr="0057310C">
        <w:trPr>
          <w:trHeight w:val="450"/>
        </w:trPr>
        <w:tc>
          <w:tcPr>
            <w:tcW w:w="3313" w:type="dxa"/>
            <w:vMerge/>
            <w:tcBorders>
              <w:top w:val="nil"/>
              <w:left w:val="single" w:sz="8" w:space="0" w:color="auto"/>
              <w:bottom w:val="single" w:sz="8" w:space="0" w:color="000000"/>
              <w:right w:val="single" w:sz="8" w:space="0" w:color="auto"/>
            </w:tcBorders>
            <w:vAlign w:val="center"/>
            <w:hideMark/>
          </w:tcPr>
          <w:p w14:paraId="5ADAE6C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5" w:type="dxa"/>
            <w:gridSpan w:val="3"/>
            <w:vMerge/>
            <w:tcBorders>
              <w:top w:val="single" w:sz="8" w:space="0" w:color="auto"/>
              <w:left w:val="single" w:sz="8" w:space="0" w:color="auto"/>
              <w:bottom w:val="single" w:sz="8" w:space="0" w:color="000000"/>
              <w:right w:val="single" w:sz="8" w:space="0" w:color="000000"/>
            </w:tcBorders>
            <w:vAlign w:val="center"/>
            <w:hideMark/>
          </w:tcPr>
          <w:p w14:paraId="1AD32C8B" w14:textId="77777777" w:rsidR="00854ADA" w:rsidRPr="00FF386D" w:rsidRDefault="00854ADA" w:rsidP="00854ADA">
            <w:pPr>
              <w:numPr>
                <w:ilvl w:val="0"/>
                <w:numId w:val="150"/>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47A880CF" w14:textId="77777777" w:rsidTr="0057310C">
        <w:trPr>
          <w:trHeight w:val="450"/>
        </w:trPr>
        <w:tc>
          <w:tcPr>
            <w:tcW w:w="3313" w:type="dxa"/>
            <w:vMerge/>
            <w:tcBorders>
              <w:top w:val="nil"/>
              <w:left w:val="single" w:sz="8" w:space="0" w:color="auto"/>
              <w:bottom w:val="single" w:sz="8" w:space="0" w:color="000000"/>
              <w:right w:val="single" w:sz="8" w:space="0" w:color="auto"/>
            </w:tcBorders>
            <w:vAlign w:val="center"/>
            <w:hideMark/>
          </w:tcPr>
          <w:p w14:paraId="3D1B08F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5" w:type="dxa"/>
            <w:gridSpan w:val="3"/>
            <w:vMerge/>
            <w:tcBorders>
              <w:top w:val="single" w:sz="8" w:space="0" w:color="auto"/>
              <w:left w:val="single" w:sz="8" w:space="0" w:color="auto"/>
              <w:bottom w:val="single" w:sz="8" w:space="0" w:color="000000"/>
              <w:right w:val="single" w:sz="8" w:space="0" w:color="000000"/>
            </w:tcBorders>
            <w:vAlign w:val="center"/>
            <w:hideMark/>
          </w:tcPr>
          <w:p w14:paraId="5133B4B6" w14:textId="77777777" w:rsidR="00854ADA" w:rsidRPr="00FF386D" w:rsidRDefault="00854ADA" w:rsidP="00854ADA">
            <w:pPr>
              <w:numPr>
                <w:ilvl w:val="0"/>
                <w:numId w:val="150"/>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17F90EDF" w14:textId="77777777" w:rsidTr="0057310C">
        <w:trPr>
          <w:trHeight w:val="373"/>
        </w:trPr>
        <w:tc>
          <w:tcPr>
            <w:tcW w:w="3313" w:type="dxa"/>
            <w:tcBorders>
              <w:top w:val="nil"/>
              <w:left w:val="single" w:sz="8" w:space="0" w:color="auto"/>
              <w:bottom w:val="single" w:sz="8" w:space="0" w:color="auto"/>
              <w:right w:val="single" w:sz="8" w:space="0" w:color="auto"/>
            </w:tcBorders>
            <w:shd w:val="clear" w:color="000000" w:fill="244062"/>
            <w:vAlign w:val="center"/>
            <w:hideMark/>
          </w:tcPr>
          <w:p w14:paraId="2662651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45" w:type="dxa"/>
            <w:gridSpan w:val="3"/>
            <w:tcBorders>
              <w:top w:val="single" w:sz="8" w:space="0" w:color="auto"/>
              <w:left w:val="nil"/>
              <w:bottom w:val="single" w:sz="8" w:space="0" w:color="auto"/>
              <w:right w:val="single" w:sz="8" w:space="0" w:color="000000"/>
            </w:tcBorders>
            <w:shd w:val="clear" w:color="auto" w:fill="auto"/>
            <w:vAlign w:val="center"/>
            <w:hideMark/>
          </w:tcPr>
          <w:p w14:paraId="27CDA9D5" w14:textId="77777777" w:rsidR="00854ADA" w:rsidRPr="00FF386D" w:rsidRDefault="00854ADA" w:rsidP="00854ADA">
            <w:pPr>
              <w:numPr>
                <w:ilvl w:val="0"/>
                <w:numId w:val="15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4. НАПЕЕ </w:t>
            </w:r>
          </w:p>
        </w:tc>
      </w:tr>
      <w:tr w:rsidR="00854ADA" w:rsidRPr="00FF386D" w14:paraId="2F6074AF" w14:textId="77777777" w:rsidTr="0057310C">
        <w:trPr>
          <w:trHeight w:val="315"/>
        </w:trPr>
        <w:tc>
          <w:tcPr>
            <w:tcW w:w="3313" w:type="dxa"/>
            <w:tcBorders>
              <w:top w:val="nil"/>
              <w:left w:val="single" w:sz="8" w:space="0" w:color="auto"/>
              <w:bottom w:val="single" w:sz="8" w:space="0" w:color="auto"/>
              <w:right w:val="single" w:sz="8" w:space="0" w:color="auto"/>
            </w:tcBorders>
            <w:shd w:val="clear" w:color="000000" w:fill="244062"/>
            <w:vAlign w:val="center"/>
            <w:hideMark/>
          </w:tcPr>
          <w:p w14:paraId="48BC473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45" w:type="dxa"/>
            <w:gridSpan w:val="3"/>
            <w:tcBorders>
              <w:top w:val="single" w:sz="8" w:space="0" w:color="auto"/>
              <w:left w:val="nil"/>
              <w:bottom w:val="single" w:sz="8" w:space="0" w:color="auto"/>
              <w:right w:val="single" w:sz="8" w:space="0" w:color="000000"/>
            </w:tcBorders>
            <w:shd w:val="clear" w:color="auto" w:fill="auto"/>
            <w:vAlign w:val="center"/>
            <w:hideMark/>
          </w:tcPr>
          <w:p w14:paraId="7A0510BF" w14:textId="6EEB4A0F"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 xml:space="preserve">Буџет </w:t>
            </w:r>
            <w:r w:rsidR="00B122E1" w:rsidRPr="00FF386D">
              <w:rPr>
                <w:rFonts w:ascii="Calibri Light" w:eastAsia="Times New Roman" w:hAnsi="Calibri Light" w:cs="Calibri Light"/>
                <w:color w:val="000000"/>
                <w:sz w:val="20"/>
                <w:szCs w:val="20"/>
                <w:lang w:eastAsia="en-GB"/>
              </w:rPr>
              <w:t>обухваћен</w:t>
            </w:r>
            <w:r w:rsidR="00D948B9" w:rsidRPr="00FF386D">
              <w:rPr>
                <w:rFonts w:ascii="Calibri Light" w:eastAsia="Times New Roman" w:hAnsi="Calibri Light" w:cs="Calibri Light"/>
                <w:color w:val="000000"/>
                <w:sz w:val="20"/>
                <w:szCs w:val="20"/>
                <w:lang w:eastAsia="en-GB"/>
              </w:rPr>
              <w:t>и</w:t>
            </w:r>
            <w:r w:rsidR="00B122E1" w:rsidRPr="00FF386D">
              <w:rPr>
                <w:rFonts w:ascii="Calibri Light" w:eastAsia="Times New Roman" w:hAnsi="Calibri Light" w:cs="Calibri Light"/>
                <w:color w:val="000000"/>
                <w:sz w:val="20"/>
                <w:szCs w:val="20"/>
                <w:lang w:eastAsia="en-GB"/>
              </w:rPr>
              <w:t xml:space="preserve"> </w:t>
            </w:r>
            <w:r w:rsidRPr="00FF386D">
              <w:rPr>
                <w:rFonts w:ascii="Calibri Light" w:eastAsia="Times New Roman" w:hAnsi="Calibri Light" w:cs="Calibri Light"/>
                <w:color w:val="000000"/>
                <w:sz w:val="20"/>
                <w:szCs w:val="20"/>
                <w:lang w:eastAsia="en-GB"/>
              </w:rPr>
              <w:t>у МП_ЕЕ24</w:t>
            </w:r>
          </w:p>
        </w:tc>
      </w:tr>
      <w:tr w:rsidR="00854ADA" w:rsidRPr="00FF386D" w14:paraId="763E193A" w14:textId="77777777" w:rsidTr="0057310C">
        <w:trPr>
          <w:trHeight w:val="315"/>
        </w:trPr>
        <w:tc>
          <w:tcPr>
            <w:tcW w:w="3313" w:type="dxa"/>
            <w:tcBorders>
              <w:top w:val="nil"/>
              <w:left w:val="single" w:sz="8" w:space="0" w:color="auto"/>
              <w:bottom w:val="single" w:sz="8" w:space="0" w:color="auto"/>
              <w:right w:val="single" w:sz="8" w:space="0" w:color="auto"/>
            </w:tcBorders>
            <w:shd w:val="clear" w:color="000000" w:fill="244062"/>
            <w:vAlign w:val="center"/>
            <w:hideMark/>
          </w:tcPr>
          <w:p w14:paraId="22693CC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45" w:type="dxa"/>
            <w:gridSpan w:val="3"/>
            <w:tcBorders>
              <w:top w:val="single" w:sz="8" w:space="0" w:color="auto"/>
              <w:left w:val="nil"/>
              <w:bottom w:val="single" w:sz="8" w:space="0" w:color="auto"/>
              <w:right w:val="single" w:sz="8" w:space="0" w:color="000000"/>
            </w:tcBorders>
            <w:shd w:val="clear" w:color="auto" w:fill="auto"/>
            <w:vAlign w:val="center"/>
            <w:hideMark/>
          </w:tcPr>
          <w:p w14:paraId="3A4EA5DE" w14:textId="6A4EEF1B"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B122E1" w:rsidRPr="00FF386D">
              <w:rPr>
                <w:rFonts w:asciiTheme="majorHAnsi" w:eastAsia="Times New Roman" w:hAnsiTheme="majorHAnsi" w:cstheme="majorHAnsi"/>
                <w:color w:val="000000"/>
                <w:sz w:val="20"/>
                <w:szCs w:val="20"/>
                <w:lang w:eastAsia="en-GB"/>
              </w:rPr>
              <w:t xml:space="preserve">ска и сопствена </w:t>
            </w:r>
            <w:r w:rsidRPr="00FF386D">
              <w:rPr>
                <w:rFonts w:asciiTheme="majorHAnsi" w:eastAsia="Times New Roman" w:hAnsiTheme="majorHAnsi" w:cstheme="majorHAnsi"/>
                <w:color w:val="000000"/>
                <w:sz w:val="20"/>
                <w:szCs w:val="20"/>
                <w:lang w:eastAsia="en-GB"/>
              </w:rPr>
              <w:t>средства</w:t>
            </w:r>
          </w:p>
        </w:tc>
      </w:tr>
    </w:tbl>
    <w:p w14:paraId="475AAF45" w14:textId="77777777" w:rsidR="00854ADA" w:rsidRPr="00FF386D" w:rsidRDefault="00854ADA" w:rsidP="00854ADA">
      <w:pPr>
        <w:spacing w:before="160"/>
        <w:jc w:val="both"/>
        <w:rPr>
          <w:rFonts w:asciiTheme="majorHAnsi" w:hAnsiTheme="majorHAnsi" w:cstheme="majorHAnsi"/>
          <w:b/>
          <w:bCs/>
          <w:color w:val="000000"/>
          <w:u w:val="single"/>
        </w:rPr>
      </w:pPr>
      <w:r w:rsidRPr="00FF386D">
        <w:rPr>
          <w:rFonts w:asciiTheme="majorHAnsi" w:hAnsiTheme="majorHAnsi" w:cstheme="majorHAnsi"/>
          <w:b/>
          <w:bCs/>
          <w:color w:val="000000"/>
          <w:u w:val="single"/>
        </w:rPr>
        <w:t>Мултидисциплинарна питања</w:t>
      </w:r>
    </w:p>
    <w:p w14:paraId="7D02C4CD" w14:textId="4348609A"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Биће организоване различите активности подизања свести </w:t>
      </w:r>
      <w:r w:rsidR="00702F9B" w:rsidRPr="00FF386D">
        <w:rPr>
          <w:rFonts w:asciiTheme="majorHAnsi" w:hAnsiTheme="majorHAnsi" w:cstheme="majorHAnsi"/>
          <w:color w:val="000000"/>
        </w:rPr>
        <w:t>с циљем да се унапреди</w:t>
      </w:r>
      <w:r w:rsidRPr="00FF386D">
        <w:rPr>
          <w:rFonts w:asciiTheme="majorHAnsi" w:hAnsiTheme="majorHAnsi" w:cstheme="majorHAnsi"/>
          <w:color w:val="000000"/>
        </w:rPr>
        <w:t xml:space="preserve"> постојећ</w:t>
      </w:r>
      <w:r w:rsidR="00702F9B" w:rsidRPr="00FF386D">
        <w:rPr>
          <w:rFonts w:asciiTheme="majorHAnsi" w:hAnsiTheme="majorHAnsi" w:cstheme="majorHAnsi"/>
          <w:color w:val="000000"/>
        </w:rPr>
        <w:t>и</w:t>
      </w:r>
      <w:r w:rsidRPr="00FF386D">
        <w:rPr>
          <w:rFonts w:asciiTheme="majorHAnsi" w:hAnsiTheme="majorHAnsi" w:cstheme="majorHAnsi"/>
          <w:color w:val="000000"/>
        </w:rPr>
        <w:t xml:space="preserve"> ниво знања свих крајњих </w:t>
      </w:r>
      <w:r w:rsidR="00702F9B" w:rsidRPr="00FF386D">
        <w:rPr>
          <w:rFonts w:asciiTheme="majorHAnsi" w:hAnsiTheme="majorHAnsi" w:cstheme="majorHAnsi"/>
          <w:color w:val="000000"/>
        </w:rPr>
        <w:t>потрошача</w:t>
      </w:r>
      <w:r w:rsidRPr="00FF386D">
        <w:rPr>
          <w:rFonts w:asciiTheme="majorHAnsi" w:hAnsiTheme="majorHAnsi" w:cstheme="majorHAnsi"/>
          <w:color w:val="000000"/>
        </w:rPr>
        <w:t>. Приоритет треба дати и замени неефикасних уређаја и технологија новим енергетски ефикасним технологијама, уз ефикасну примену директива о енергетском означавању и еко-дизајну.</w:t>
      </w:r>
    </w:p>
    <w:p w14:paraId="6E44EB66" w14:textId="009E3023"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Промовисаће се спровођење енергетских прегледа и развој система енерг</w:t>
      </w:r>
      <w:r w:rsidR="00702F9B" w:rsidRPr="00FF386D">
        <w:rPr>
          <w:rFonts w:asciiTheme="majorHAnsi" w:hAnsiTheme="majorHAnsi" w:cstheme="majorHAnsi"/>
          <w:color w:val="000000"/>
        </w:rPr>
        <w:t xml:space="preserve">етског менаџмента </w:t>
      </w:r>
      <w:r w:rsidRPr="00FF386D">
        <w:rPr>
          <w:rFonts w:asciiTheme="majorHAnsi" w:hAnsiTheme="majorHAnsi" w:cstheme="majorHAnsi"/>
          <w:color w:val="000000"/>
        </w:rPr>
        <w:t xml:space="preserve">у свим секторима финалне потрошње енергије, укључујући и секторе који не припадају МСП и домаћинства. </w:t>
      </w:r>
      <w:r w:rsidR="003E446E" w:rsidRPr="00FF386D">
        <w:rPr>
          <w:rFonts w:asciiTheme="majorHAnsi" w:hAnsiTheme="majorHAnsi" w:cstheme="majorHAnsi"/>
          <w:color w:val="000000"/>
        </w:rPr>
        <w:t>Осим тога</w:t>
      </w:r>
      <w:r w:rsidRPr="00FF386D">
        <w:rPr>
          <w:rFonts w:asciiTheme="majorHAnsi" w:hAnsiTheme="majorHAnsi" w:cstheme="majorHAnsi"/>
          <w:color w:val="000000"/>
        </w:rPr>
        <w:t xml:space="preserve">, </w:t>
      </w:r>
      <w:r w:rsidR="003E446E" w:rsidRPr="00FF386D">
        <w:rPr>
          <w:rFonts w:asciiTheme="majorHAnsi" w:hAnsiTheme="majorHAnsi" w:cstheme="majorHAnsi"/>
          <w:color w:val="000000"/>
        </w:rPr>
        <w:t>спровођење</w:t>
      </w:r>
      <w:r w:rsidRPr="00FF386D">
        <w:rPr>
          <w:rFonts w:asciiTheme="majorHAnsi" w:hAnsiTheme="majorHAnsi" w:cstheme="majorHAnsi"/>
          <w:color w:val="000000"/>
        </w:rPr>
        <w:t xml:space="preserve"> препорука</w:t>
      </w:r>
      <w:r w:rsidR="00702F9B" w:rsidRPr="00FF386D">
        <w:rPr>
          <w:rFonts w:asciiTheme="majorHAnsi" w:hAnsiTheme="majorHAnsi" w:cstheme="majorHAnsi"/>
          <w:color w:val="000000"/>
        </w:rPr>
        <w:t xml:space="preserve"> које </w:t>
      </w:r>
      <w:r w:rsidR="007D45B5" w:rsidRPr="00FF386D">
        <w:rPr>
          <w:rFonts w:asciiTheme="majorHAnsi" w:hAnsiTheme="majorHAnsi" w:cstheme="majorHAnsi"/>
          <w:color w:val="000000"/>
        </w:rPr>
        <w:t>ће бити</w:t>
      </w:r>
      <w:r w:rsidR="00702F9B" w:rsidRPr="00FF386D">
        <w:rPr>
          <w:rFonts w:asciiTheme="majorHAnsi" w:hAnsiTheme="majorHAnsi" w:cstheme="majorHAnsi"/>
          <w:color w:val="000000"/>
        </w:rPr>
        <w:t xml:space="preserve"> изведене, како </w:t>
      </w:r>
      <w:r w:rsidR="003E446E" w:rsidRPr="00FF386D">
        <w:rPr>
          <w:rFonts w:asciiTheme="majorHAnsi" w:hAnsiTheme="majorHAnsi" w:cstheme="majorHAnsi"/>
          <w:color w:val="000000"/>
        </w:rPr>
        <w:t xml:space="preserve">на основу енергетских прегледа </w:t>
      </w:r>
      <w:r w:rsidR="00702F9B" w:rsidRPr="00FF386D">
        <w:rPr>
          <w:rFonts w:asciiTheme="majorHAnsi" w:hAnsiTheme="majorHAnsi" w:cstheme="majorHAnsi"/>
          <w:color w:val="000000"/>
        </w:rPr>
        <w:t>тако и на основу</w:t>
      </w:r>
      <w:r w:rsidR="003E446E" w:rsidRPr="00FF386D">
        <w:rPr>
          <w:rFonts w:asciiTheme="majorHAnsi" w:hAnsiTheme="majorHAnsi" w:cstheme="majorHAnsi"/>
          <w:color w:val="000000"/>
        </w:rPr>
        <w:t xml:space="preserve"> система енергетског менаџмента, биће</w:t>
      </w:r>
      <w:r w:rsidRPr="00FF386D">
        <w:rPr>
          <w:rFonts w:asciiTheme="majorHAnsi" w:hAnsiTheme="majorHAnsi" w:cstheme="majorHAnsi"/>
          <w:color w:val="000000"/>
        </w:rPr>
        <w:t xml:space="preserve"> подржан</w:t>
      </w:r>
      <w:r w:rsidR="003E446E" w:rsidRPr="00FF386D">
        <w:rPr>
          <w:rFonts w:asciiTheme="majorHAnsi" w:hAnsiTheme="majorHAnsi" w:cstheme="majorHAnsi"/>
          <w:color w:val="000000"/>
        </w:rPr>
        <w:t>о</w:t>
      </w:r>
      <w:r w:rsidRPr="00FF386D">
        <w:rPr>
          <w:rFonts w:asciiTheme="majorHAnsi" w:hAnsiTheme="majorHAnsi" w:cstheme="majorHAnsi"/>
          <w:color w:val="000000"/>
        </w:rPr>
        <w:t xml:space="preserve"> финансијск</w:t>
      </w:r>
      <w:r w:rsidR="003E446E" w:rsidRPr="00FF386D">
        <w:rPr>
          <w:rFonts w:asciiTheme="majorHAnsi" w:hAnsiTheme="majorHAnsi" w:cstheme="majorHAnsi"/>
          <w:color w:val="000000"/>
        </w:rPr>
        <w:t>ом</w:t>
      </w:r>
      <w:r w:rsidRPr="00FF386D">
        <w:rPr>
          <w:rFonts w:asciiTheme="majorHAnsi" w:hAnsiTheme="majorHAnsi" w:cstheme="majorHAnsi"/>
          <w:color w:val="000000"/>
        </w:rPr>
        <w:t xml:space="preserve"> помоћи или обавезном применом под </w:t>
      </w:r>
      <w:r w:rsidR="003E446E" w:rsidRPr="00FF386D">
        <w:rPr>
          <w:rFonts w:asciiTheme="majorHAnsi" w:hAnsiTheme="majorHAnsi" w:cstheme="majorHAnsi"/>
          <w:color w:val="000000"/>
        </w:rPr>
        <w:t>претпоставком</w:t>
      </w:r>
      <w:r w:rsidRPr="00FF386D">
        <w:rPr>
          <w:rFonts w:asciiTheme="majorHAnsi" w:hAnsiTheme="majorHAnsi" w:cstheme="majorHAnsi"/>
          <w:color w:val="000000"/>
        </w:rPr>
        <w:t xml:space="preserve"> да су испуњени специфични предуслови.</w:t>
      </w:r>
    </w:p>
    <w:p w14:paraId="65079CDE" w14:textId="10E9BFC1"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Осигураће се несметана и ефикасна примена зелених поступака јавних набавки</w:t>
      </w:r>
      <w:r w:rsidR="003E446E" w:rsidRPr="00FF386D">
        <w:rPr>
          <w:rFonts w:asciiTheme="majorHAnsi" w:hAnsiTheme="majorHAnsi" w:cstheme="majorHAnsi"/>
          <w:color w:val="000000"/>
        </w:rPr>
        <w:t xml:space="preserve"> и </w:t>
      </w:r>
      <w:r w:rsidRPr="00FF386D">
        <w:rPr>
          <w:rFonts w:asciiTheme="majorHAnsi" w:hAnsiTheme="majorHAnsi" w:cstheme="majorHAnsi"/>
          <w:color w:val="000000"/>
        </w:rPr>
        <w:t>настави</w:t>
      </w:r>
      <w:r w:rsidR="003E446E" w:rsidRPr="00FF386D">
        <w:rPr>
          <w:rFonts w:asciiTheme="majorHAnsi" w:hAnsiTheme="majorHAnsi" w:cstheme="majorHAnsi"/>
          <w:color w:val="000000"/>
        </w:rPr>
        <w:t>ће се</w:t>
      </w:r>
      <w:r w:rsidRPr="00FF386D">
        <w:rPr>
          <w:rFonts w:asciiTheme="majorHAnsi" w:hAnsiTheme="majorHAnsi" w:cstheme="majorHAnsi"/>
          <w:color w:val="000000"/>
        </w:rPr>
        <w:t xml:space="preserve"> </w:t>
      </w:r>
      <w:r w:rsidR="003E446E" w:rsidRPr="00FF386D">
        <w:rPr>
          <w:rFonts w:asciiTheme="majorHAnsi" w:hAnsiTheme="majorHAnsi" w:cstheme="majorHAnsi"/>
          <w:color w:val="000000"/>
        </w:rPr>
        <w:t>унапређење</w:t>
      </w:r>
      <w:r w:rsidRPr="00FF386D">
        <w:rPr>
          <w:rFonts w:asciiTheme="majorHAnsi" w:hAnsiTheme="majorHAnsi" w:cstheme="majorHAnsi"/>
          <w:color w:val="000000"/>
        </w:rPr>
        <w:t xml:space="preserve"> енергетск</w:t>
      </w:r>
      <w:r w:rsidR="003E446E" w:rsidRPr="00FF386D">
        <w:rPr>
          <w:rFonts w:asciiTheme="majorHAnsi" w:hAnsiTheme="majorHAnsi" w:cstheme="majorHAnsi"/>
          <w:color w:val="000000"/>
        </w:rPr>
        <w:t>е</w:t>
      </w:r>
      <w:r w:rsidRPr="00FF386D">
        <w:rPr>
          <w:rFonts w:asciiTheme="majorHAnsi" w:hAnsiTheme="majorHAnsi" w:cstheme="majorHAnsi"/>
          <w:color w:val="000000"/>
        </w:rPr>
        <w:t xml:space="preserve"> ефикасност</w:t>
      </w:r>
      <w:r w:rsidR="003E446E" w:rsidRPr="00FF386D">
        <w:rPr>
          <w:rFonts w:asciiTheme="majorHAnsi" w:hAnsiTheme="majorHAnsi" w:cstheme="majorHAnsi"/>
          <w:color w:val="000000"/>
        </w:rPr>
        <w:t>и</w:t>
      </w:r>
      <w:r w:rsidRPr="00FF386D">
        <w:rPr>
          <w:rFonts w:asciiTheme="majorHAnsi" w:hAnsiTheme="majorHAnsi" w:cstheme="majorHAnsi"/>
          <w:color w:val="000000"/>
        </w:rPr>
        <w:t xml:space="preserve"> уличне расвете </w:t>
      </w:r>
      <w:r w:rsidR="003E446E" w:rsidRPr="00FF386D">
        <w:rPr>
          <w:rFonts w:asciiTheme="majorHAnsi" w:hAnsiTheme="majorHAnsi" w:cstheme="majorHAnsi"/>
          <w:color w:val="000000"/>
        </w:rPr>
        <w:t xml:space="preserve">инсталацијом енергетски ефикасних светиљки </w:t>
      </w:r>
      <w:r w:rsidR="007D45B5" w:rsidRPr="00FF386D">
        <w:rPr>
          <w:rFonts w:asciiTheme="majorHAnsi" w:hAnsiTheme="majorHAnsi" w:cstheme="majorHAnsi"/>
          <w:color w:val="000000"/>
        </w:rPr>
        <w:t>кроз</w:t>
      </w:r>
      <w:r w:rsidR="003E446E" w:rsidRPr="00FF386D">
        <w:rPr>
          <w:rFonts w:asciiTheme="majorHAnsi" w:hAnsiTheme="majorHAnsi" w:cstheme="majorHAnsi"/>
          <w:color w:val="000000"/>
        </w:rPr>
        <w:t xml:space="preserve"> </w:t>
      </w:r>
      <w:r w:rsidRPr="00FF386D">
        <w:rPr>
          <w:rFonts w:asciiTheme="majorHAnsi" w:hAnsiTheme="majorHAnsi" w:cstheme="majorHAnsi"/>
          <w:color w:val="000000"/>
        </w:rPr>
        <w:t>специјализова</w:t>
      </w:r>
      <w:r w:rsidR="007D45B5" w:rsidRPr="00FF386D">
        <w:rPr>
          <w:rFonts w:asciiTheme="majorHAnsi" w:hAnsiTheme="majorHAnsi" w:cstheme="majorHAnsi"/>
          <w:color w:val="000000"/>
        </w:rPr>
        <w:t>не</w:t>
      </w:r>
      <w:r w:rsidRPr="00FF386D">
        <w:rPr>
          <w:rFonts w:asciiTheme="majorHAnsi" w:hAnsiTheme="majorHAnsi" w:cstheme="majorHAnsi"/>
          <w:color w:val="000000"/>
        </w:rPr>
        <w:t xml:space="preserve"> шем</w:t>
      </w:r>
      <w:r w:rsidR="007D45B5" w:rsidRPr="00FF386D">
        <w:rPr>
          <w:rFonts w:asciiTheme="majorHAnsi" w:hAnsiTheme="majorHAnsi" w:cstheme="majorHAnsi"/>
          <w:color w:val="000000"/>
        </w:rPr>
        <w:t>е</w:t>
      </w:r>
      <w:r w:rsidRPr="00FF386D">
        <w:rPr>
          <w:rFonts w:asciiTheme="majorHAnsi" w:hAnsiTheme="majorHAnsi" w:cstheme="majorHAnsi"/>
          <w:color w:val="000000"/>
        </w:rPr>
        <w:t xml:space="preserve"> финансијске подршке </w:t>
      </w:r>
      <w:r w:rsidR="003E446E" w:rsidRPr="00FF386D">
        <w:rPr>
          <w:rFonts w:asciiTheme="majorHAnsi" w:hAnsiTheme="majorHAnsi" w:cstheme="majorHAnsi"/>
          <w:color w:val="000000"/>
        </w:rPr>
        <w:t xml:space="preserve">из јавних средстава, </w:t>
      </w:r>
      <w:r w:rsidRPr="00FF386D">
        <w:rPr>
          <w:rFonts w:asciiTheme="majorHAnsi" w:hAnsiTheme="majorHAnsi" w:cstheme="majorHAnsi"/>
          <w:color w:val="000000"/>
        </w:rPr>
        <w:t>поред уговора о енергетским услугама</w:t>
      </w:r>
      <w:r w:rsidR="002612C5" w:rsidRPr="00FF386D">
        <w:rPr>
          <w:rFonts w:asciiTheme="majorHAnsi" w:hAnsiTheme="majorHAnsi" w:cstheme="majorHAnsi"/>
          <w:color w:val="000000"/>
        </w:rPr>
        <w:t>.</w:t>
      </w:r>
    </w:p>
    <w:p w14:paraId="7019D161" w14:textId="54EBA90B"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Промовисање енергетске ефикасности у сектору вода ће бити подржано </w:t>
      </w:r>
      <w:r w:rsidR="002612C5" w:rsidRPr="00FF386D">
        <w:rPr>
          <w:rFonts w:asciiTheme="majorHAnsi" w:hAnsiTheme="majorHAnsi" w:cstheme="majorHAnsi"/>
          <w:color w:val="000000"/>
        </w:rPr>
        <w:t>фокусирајући се</w:t>
      </w:r>
      <w:r w:rsidRPr="00FF386D">
        <w:rPr>
          <w:rFonts w:asciiTheme="majorHAnsi" w:hAnsiTheme="majorHAnsi" w:cstheme="majorHAnsi"/>
          <w:color w:val="000000"/>
        </w:rPr>
        <w:t xml:space="preserve"> на нексус енергија-вода</w:t>
      </w:r>
      <w:r w:rsidR="00D36237" w:rsidRPr="00FF386D">
        <w:rPr>
          <w:rFonts w:asciiTheme="majorHAnsi" w:hAnsiTheme="majorHAnsi" w:cstheme="majorHAnsi"/>
          <w:color w:val="000000"/>
        </w:rPr>
        <w:t>,</w:t>
      </w:r>
      <w:r w:rsidRPr="00FF386D">
        <w:rPr>
          <w:rFonts w:asciiTheme="majorHAnsi" w:hAnsiTheme="majorHAnsi" w:cstheme="majorHAnsi"/>
          <w:color w:val="000000"/>
        </w:rPr>
        <w:t xml:space="preserve"> имплементациј</w:t>
      </w:r>
      <w:r w:rsidR="00D36237" w:rsidRPr="00FF386D">
        <w:rPr>
          <w:rFonts w:asciiTheme="majorHAnsi" w:hAnsiTheme="majorHAnsi" w:cstheme="majorHAnsi"/>
          <w:color w:val="000000"/>
        </w:rPr>
        <w:t>у</w:t>
      </w:r>
      <w:r w:rsidRPr="00FF386D">
        <w:rPr>
          <w:rFonts w:asciiTheme="majorHAnsi" w:hAnsiTheme="majorHAnsi" w:cstheme="majorHAnsi"/>
          <w:color w:val="000000"/>
        </w:rPr>
        <w:t xml:space="preserve"> техника управљања водама, уградњ</w:t>
      </w:r>
      <w:r w:rsidR="00D36237" w:rsidRPr="00FF386D">
        <w:rPr>
          <w:rFonts w:asciiTheme="majorHAnsi" w:hAnsiTheme="majorHAnsi" w:cstheme="majorHAnsi"/>
          <w:color w:val="000000"/>
        </w:rPr>
        <w:t>у</w:t>
      </w:r>
      <w:r w:rsidRPr="00FF386D">
        <w:rPr>
          <w:rFonts w:asciiTheme="majorHAnsi" w:hAnsiTheme="majorHAnsi" w:cstheme="majorHAnsi"/>
          <w:color w:val="000000"/>
        </w:rPr>
        <w:t xml:space="preserve"> ефикасне опреме за воду у финалној потрошњи и спровођења других мера уштеде енергије у складу са принципом „Енергетска ефикасност на првом месту”.</w:t>
      </w:r>
    </w:p>
    <w:p w14:paraId="29826330" w14:textId="14B24205" w:rsidR="00854ADA" w:rsidRPr="00FF386D" w:rsidRDefault="00854ADA" w:rsidP="00854ADA">
      <w:pPr>
        <w:spacing w:before="160"/>
        <w:jc w:val="both"/>
        <w:rPr>
          <w:rFonts w:asciiTheme="majorHAnsi" w:hAnsiTheme="majorHAnsi" w:cstheme="majorHAnsi"/>
          <w:color w:val="000000"/>
        </w:rPr>
      </w:pPr>
      <w:bookmarkStart w:id="120" w:name="_Hlk116756575"/>
      <w:r w:rsidRPr="00FF386D">
        <w:rPr>
          <w:rFonts w:asciiTheme="majorHAnsi" w:hAnsiTheme="majorHAnsi" w:cstheme="majorHAnsi"/>
          <w:color w:val="000000"/>
        </w:rPr>
        <w:t>Унапређење постојећих</w:t>
      </w:r>
      <w:r w:rsidR="005C5692" w:rsidRPr="00FF386D">
        <w:rPr>
          <w:rFonts w:asciiTheme="majorHAnsi" w:hAnsiTheme="majorHAnsi" w:cstheme="majorHAnsi"/>
          <w:color w:val="000000"/>
        </w:rPr>
        <w:t xml:space="preserve"> и по потреби успостављање нових</w:t>
      </w:r>
      <w:r w:rsidRPr="00FF386D">
        <w:rPr>
          <w:rFonts w:asciiTheme="majorHAnsi" w:hAnsiTheme="majorHAnsi" w:cstheme="majorHAnsi"/>
          <w:color w:val="000000"/>
        </w:rPr>
        <w:t xml:space="preserve"> </w:t>
      </w:r>
      <w:bookmarkEnd w:id="120"/>
      <w:r w:rsidRPr="00FF386D">
        <w:rPr>
          <w:rFonts w:asciiTheme="majorHAnsi" w:hAnsiTheme="majorHAnsi" w:cstheme="majorHAnsi"/>
          <w:color w:val="000000"/>
        </w:rPr>
        <w:t xml:space="preserve">шема </w:t>
      </w:r>
      <w:r w:rsidR="005C5692" w:rsidRPr="00FF386D">
        <w:rPr>
          <w:rFonts w:asciiTheme="majorHAnsi" w:hAnsiTheme="majorHAnsi" w:cstheme="majorHAnsi"/>
          <w:color w:val="000000"/>
        </w:rPr>
        <w:t>стручног оспособљавања</w:t>
      </w:r>
      <w:r w:rsidRPr="00FF386D">
        <w:rPr>
          <w:rFonts w:asciiTheme="majorHAnsi" w:hAnsiTheme="majorHAnsi" w:cstheme="majorHAnsi"/>
          <w:color w:val="000000"/>
        </w:rPr>
        <w:t xml:space="preserve">, акредитације </w:t>
      </w:r>
      <w:r w:rsidR="005C5692" w:rsidRPr="00FF386D">
        <w:rPr>
          <w:rFonts w:asciiTheme="majorHAnsi" w:hAnsiTheme="majorHAnsi" w:cstheme="majorHAnsi"/>
          <w:color w:val="000000"/>
        </w:rPr>
        <w:t>и</w:t>
      </w:r>
      <w:r w:rsidRPr="00FF386D">
        <w:rPr>
          <w:rFonts w:asciiTheme="majorHAnsi" w:hAnsiTheme="majorHAnsi" w:cstheme="majorHAnsi"/>
          <w:color w:val="000000"/>
        </w:rPr>
        <w:t xml:space="preserve"> сертификације </w:t>
      </w:r>
      <w:r w:rsidR="005C5692" w:rsidRPr="00FF386D">
        <w:rPr>
          <w:rFonts w:asciiTheme="majorHAnsi" w:hAnsiTheme="majorHAnsi" w:cstheme="majorHAnsi"/>
          <w:color w:val="000000"/>
        </w:rPr>
        <w:t>свих</w:t>
      </w:r>
      <w:r w:rsidRPr="00FF386D">
        <w:rPr>
          <w:rFonts w:asciiTheme="majorHAnsi" w:hAnsiTheme="majorHAnsi" w:cstheme="majorHAnsi"/>
          <w:color w:val="000000"/>
        </w:rPr>
        <w:t xml:space="preserve"> стручњак</w:t>
      </w:r>
      <w:r w:rsidR="005C5692" w:rsidRPr="00FF386D">
        <w:rPr>
          <w:rFonts w:asciiTheme="majorHAnsi" w:hAnsiTheme="majorHAnsi" w:cstheme="majorHAnsi"/>
          <w:color w:val="000000"/>
        </w:rPr>
        <w:t>а у области</w:t>
      </w:r>
      <w:r w:rsidRPr="00FF386D">
        <w:rPr>
          <w:rFonts w:asciiTheme="majorHAnsi" w:hAnsiTheme="majorHAnsi" w:cstheme="majorHAnsi"/>
          <w:color w:val="000000"/>
        </w:rPr>
        <w:t xml:space="preserve"> енергетск</w:t>
      </w:r>
      <w:r w:rsidR="005C5692" w:rsidRPr="00FF386D">
        <w:rPr>
          <w:rFonts w:asciiTheme="majorHAnsi" w:hAnsiTheme="majorHAnsi" w:cstheme="majorHAnsi"/>
          <w:color w:val="000000"/>
        </w:rPr>
        <w:t>е</w:t>
      </w:r>
      <w:r w:rsidRPr="00FF386D">
        <w:rPr>
          <w:rFonts w:asciiTheme="majorHAnsi" w:hAnsiTheme="majorHAnsi" w:cstheme="majorHAnsi"/>
          <w:color w:val="000000"/>
        </w:rPr>
        <w:t xml:space="preserve"> ефикасност</w:t>
      </w:r>
      <w:r w:rsidR="005C5692" w:rsidRPr="00FF386D">
        <w:rPr>
          <w:rFonts w:asciiTheme="majorHAnsi" w:hAnsiTheme="majorHAnsi" w:cstheme="majorHAnsi"/>
          <w:color w:val="000000"/>
        </w:rPr>
        <w:t>и</w:t>
      </w:r>
      <w:r w:rsidRPr="00FF386D">
        <w:rPr>
          <w:rFonts w:asciiTheme="majorHAnsi" w:hAnsiTheme="majorHAnsi" w:cstheme="majorHAnsi"/>
          <w:color w:val="000000"/>
        </w:rPr>
        <w:t xml:space="preserve"> (пружаоце енергетских </w:t>
      </w:r>
      <w:r w:rsidRPr="00FF386D">
        <w:rPr>
          <w:rFonts w:asciiTheme="majorHAnsi" w:hAnsiTheme="majorHAnsi" w:cstheme="majorHAnsi"/>
          <w:color w:val="000000"/>
        </w:rPr>
        <w:lastRenderedPageBreak/>
        <w:t>услуга, енергетске</w:t>
      </w:r>
      <w:r w:rsidR="0031644A" w:rsidRPr="00FF386D">
        <w:rPr>
          <w:rFonts w:asciiTheme="majorHAnsi" w:hAnsiTheme="majorHAnsi" w:cstheme="majorHAnsi"/>
          <w:color w:val="000000"/>
        </w:rPr>
        <w:t xml:space="preserve"> </w:t>
      </w:r>
      <w:r w:rsidRPr="00FF386D">
        <w:rPr>
          <w:rFonts w:asciiTheme="majorHAnsi" w:hAnsiTheme="majorHAnsi" w:cstheme="majorHAnsi"/>
          <w:color w:val="000000"/>
        </w:rPr>
        <w:t xml:space="preserve">саветнике, енергетске менаџере и инсталатере енергетских елемената зграда) </w:t>
      </w:r>
      <w:r w:rsidR="005C5692" w:rsidRPr="00FF386D">
        <w:rPr>
          <w:rFonts w:asciiTheme="majorHAnsi" w:hAnsiTheme="majorHAnsi" w:cstheme="majorHAnsi"/>
          <w:color w:val="000000"/>
        </w:rPr>
        <w:t>реализоваће се путем</w:t>
      </w:r>
      <w:r w:rsidRPr="00FF386D">
        <w:rPr>
          <w:rFonts w:asciiTheme="majorHAnsi" w:hAnsiTheme="majorHAnsi" w:cstheme="majorHAnsi"/>
          <w:color w:val="000000"/>
        </w:rPr>
        <w:t xml:space="preserve"> специјализован</w:t>
      </w:r>
      <w:r w:rsidR="005C5692" w:rsidRPr="00FF386D">
        <w:rPr>
          <w:rFonts w:asciiTheme="majorHAnsi" w:hAnsiTheme="majorHAnsi" w:cstheme="majorHAnsi"/>
          <w:color w:val="000000"/>
        </w:rPr>
        <w:t xml:space="preserve">их </w:t>
      </w:r>
      <w:r w:rsidRPr="00FF386D">
        <w:rPr>
          <w:rFonts w:asciiTheme="majorHAnsi" w:hAnsiTheme="majorHAnsi" w:cstheme="majorHAnsi"/>
          <w:color w:val="000000"/>
        </w:rPr>
        <w:t>програма обуке, развојем алата и пружањем техничке подршке.</w:t>
      </w:r>
    </w:p>
    <w:p w14:paraId="0A23E01D" w14:textId="6FE71C8A"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Поред тога, биће инициране регулаторне мере и програми финансирања за промовисање/модернизацију високо ефикасних когенерацијских постројења и система даљинског грејања/хлађења. Коначно, технички и административни капацитети креатора политике биће унапређени како би се олакша</w:t>
      </w:r>
      <w:r w:rsidR="00137F07" w:rsidRPr="00FF386D">
        <w:rPr>
          <w:rFonts w:asciiTheme="majorHAnsi" w:hAnsiTheme="majorHAnsi" w:cstheme="majorHAnsi"/>
          <w:color w:val="000000"/>
        </w:rPr>
        <w:t>ла</w:t>
      </w:r>
      <w:r w:rsidRPr="00FF386D">
        <w:rPr>
          <w:rFonts w:asciiTheme="majorHAnsi" w:hAnsiTheme="majorHAnsi" w:cstheme="majorHAnsi"/>
          <w:color w:val="000000"/>
        </w:rPr>
        <w:t xml:space="preserve"> ефикас</w:t>
      </w:r>
      <w:r w:rsidR="007D45B5" w:rsidRPr="00FF386D">
        <w:rPr>
          <w:rFonts w:asciiTheme="majorHAnsi" w:hAnsiTheme="majorHAnsi" w:cstheme="majorHAnsi"/>
          <w:color w:val="000000"/>
        </w:rPr>
        <w:t>на израда</w:t>
      </w:r>
      <w:r w:rsidRPr="00FF386D">
        <w:rPr>
          <w:rFonts w:asciiTheme="majorHAnsi" w:hAnsiTheme="majorHAnsi" w:cstheme="majorHAnsi"/>
          <w:color w:val="000000"/>
        </w:rPr>
        <w:t xml:space="preserve">, имплементација, праћење и евалуација мера енергетске ефикасности </w:t>
      </w:r>
      <w:r w:rsidR="007D45B5" w:rsidRPr="00FF386D">
        <w:rPr>
          <w:rFonts w:asciiTheme="majorHAnsi" w:hAnsiTheme="majorHAnsi" w:cstheme="majorHAnsi"/>
          <w:color w:val="000000"/>
        </w:rPr>
        <w:t>путем</w:t>
      </w:r>
      <w:r w:rsidRPr="00FF386D">
        <w:rPr>
          <w:rFonts w:asciiTheme="majorHAnsi" w:hAnsiTheme="majorHAnsi" w:cstheme="majorHAnsi"/>
          <w:color w:val="000000"/>
        </w:rPr>
        <w:t xml:space="preserve"> специјализован</w:t>
      </w:r>
      <w:r w:rsidR="007D45B5" w:rsidRPr="00FF386D">
        <w:rPr>
          <w:rFonts w:asciiTheme="majorHAnsi" w:hAnsiTheme="majorHAnsi" w:cstheme="majorHAnsi"/>
          <w:color w:val="000000"/>
        </w:rPr>
        <w:t>их</w:t>
      </w:r>
      <w:r w:rsidRPr="00FF386D">
        <w:rPr>
          <w:rFonts w:asciiTheme="majorHAnsi" w:hAnsiTheme="majorHAnsi" w:cstheme="majorHAnsi"/>
          <w:color w:val="000000"/>
        </w:rPr>
        <w:t xml:space="preserve"> обук</w:t>
      </w:r>
      <w:r w:rsidR="007D45B5" w:rsidRPr="00FF386D">
        <w:rPr>
          <w:rFonts w:asciiTheme="majorHAnsi" w:hAnsiTheme="majorHAnsi" w:cstheme="majorHAnsi"/>
          <w:color w:val="000000"/>
        </w:rPr>
        <w:t>а</w:t>
      </w:r>
      <w:r w:rsidRPr="00FF386D">
        <w:rPr>
          <w:rFonts w:asciiTheme="majorHAnsi" w:hAnsiTheme="majorHAnsi" w:cstheme="majorHAnsi"/>
          <w:color w:val="000000"/>
        </w:rPr>
        <w:t>, софистициран</w:t>
      </w:r>
      <w:r w:rsidR="007D45B5" w:rsidRPr="00FF386D">
        <w:rPr>
          <w:rFonts w:asciiTheme="majorHAnsi" w:hAnsiTheme="majorHAnsi" w:cstheme="majorHAnsi"/>
          <w:color w:val="000000"/>
        </w:rPr>
        <w:t>их</w:t>
      </w:r>
      <w:r w:rsidRPr="00FF386D">
        <w:rPr>
          <w:rFonts w:asciiTheme="majorHAnsi" w:hAnsiTheme="majorHAnsi" w:cstheme="majorHAnsi"/>
          <w:color w:val="000000"/>
        </w:rPr>
        <w:t xml:space="preserve"> алат</w:t>
      </w:r>
      <w:r w:rsidR="007D45B5" w:rsidRPr="00FF386D">
        <w:rPr>
          <w:rFonts w:asciiTheme="majorHAnsi" w:hAnsiTheme="majorHAnsi" w:cstheme="majorHAnsi"/>
          <w:color w:val="000000"/>
        </w:rPr>
        <w:t>а</w:t>
      </w:r>
      <w:r w:rsidRPr="00FF386D">
        <w:rPr>
          <w:rFonts w:asciiTheme="majorHAnsi" w:hAnsiTheme="majorHAnsi" w:cstheme="majorHAnsi"/>
          <w:color w:val="000000"/>
        </w:rPr>
        <w:t xml:space="preserve"> и материјал</w:t>
      </w:r>
      <w:r w:rsidR="007D45B5" w:rsidRPr="00FF386D">
        <w:rPr>
          <w:rFonts w:asciiTheme="majorHAnsi" w:hAnsiTheme="majorHAnsi" w:cstheme="majorHAnsi"/>
          <w:color w:val="000000"/>
        </w:rPr>
        <w:t>а</w:t>
      </w:r>
      <w:r w:rsidRPr="00FF386D">
        <w:rPr>
          <w:rFonts w:asciiTheme="majorHAnsi" w:hAnsiTheme="majorHAnsi" w:cstheme="majorHAnsi"/>
          <w:color w:val="000000"/>
        </w:rPr>
        <w:t>.</w:t>
      </w:r>
    </w:p>
    <w:p w14:paraId="1D596A71" w14:textId="2B7F796A"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На крају, али не и најмање важно, </w:t>
      </w:r>
      <w:r w:rsidR="00520E25" w:rsidRPr="00FF386D">
        <w:rPr>
          <w:rFonts w:asciiTheme="majorHAnsi" w:hAnsiTheme="majorHAnsi" w:cstheme="majorHAnsi"/>
          <w:color w:val="000000"/>
        </w:rPr>
        <w:t>на свеобухватан начин ће бити</w:t>
      </w:r>
      <w:r w:rsidRPr="00FF386D">
        <w:rPr>
          <w:rFonts w:asciiTheme="majorHAnsi" w:hAnsiTheme="majorHAnsi" w:cstheme="majorHAnsi"/>
          <w:color w:val="000000"/>
        </w:rPr>
        <w:t xml:space="preserve"> </w:t>
      </w:r>
      <w:r w:rsidR="005C5692" w:rsidRPr="00FF386D">
        <w:rPr>
          <w:rFonts w:asciiTheme="majorHAnsi" w:hAnsiTheme="majorHAnsi" w:cstheme="majorHAnsi"/>
          <w:color w:val="000000"/>
        </w:rPr>
        <w:t>промовисан</w:t>
      </w:r>
      <w:r w:rsidRPr="00FF386D">
        <w:rPr>
          <w:rFonts w:asciiTheme="majorHAnsi" w:hAnsiTheme="majorHAnsi" w:cstheme="majorHAnsi"/>
          <w:color w:val="000000"/>
        </w:rPr>
        <w:t xml:space="preserve"> модел паметних и угљенично неутралних градова до 2030. године</w:t>
      </w:r>
      <w:r w:rsidR="002612C5" w:rsidRPr="00FF386D">
        <w:rPr>
          <w:rFonts w:asciiTheme="majorHAnsi" w:hAnsiTheme="majorHAnsi" w:cstheme="majorHAnsi"/>
          <w:color w:val="000000"/>
        </w:rPr>
        <w:t xml:space="preserve">, </w:t>
      </w:r>
      <w:r w:rsidRPr="00FF386D">
        <w:rPr>
          <w:rFonts w:asciiTheme="majorHAnsi" w:hAnsiTheme="majorHAnsi" w:cstheme="majorHAnsi"/>
          <w:color w:val="000000"/>
        </w:rPr>
        <w:t>планирањ</w:t>
      </w:r>
      <w:r w:rsidR="002612C5" w:rsidRPr="00FF386D">
        <w:rPr>
          <w:rFonts w:asciiTheme="majorHAnsi" w:hAnsiTheme="majorHAnsi" w:cstheme="majorHAnsi"/>
          <w:color w:val="000000"/>
        </w:rPr>
        <w:t>ем</w:t>
      </w:r>
      <w:r w:rsidRPr="00FF386D">
        <w:rPr>
          <w:rFonts w:asciiTheme="majorHAnsi" w:hAnsiTheme="majorHAnsi" w:cstheme="majorHAnsi"/>
          <w:color w:val="000000"/>
        </w:rPr>
        <w:t xml:space="preserve"> и спровођењ</w:t>
      </w:r>
      <w:r w:rsidR="002612C5" w:rsidRPr="00FF386D">
        <w:rPr>
          <w:rFonts w:asciiTheme="majorHAnsi" w:hAnsiTheme="majorHAnsi" w:cstheme="majorHAnsi"/>
          <w:color w:val="000000"/>
        </w:rPr>
        <w:t>ем</w:t>
      </w:r>
      <w:r w:rsidRPr="00FF386D">
        <w:rPr>
          <w:rFonts w:asciiTheme="majorHAnsi" w:hAnsiTheme="majorHAnsi" w:cstheme="majorHAnsi"/>
          <w:color w:val="000000"/>
        </w:rPr>
        <w:t xml:space="preserve"> мера политик</w:t>
      </w:r>
      <w:r w:rsidR="002612C5" w:rsidRPr="00FF386D">
        <w:rPr>
          <w:rFonts w:asciiTheme="majorHAnsi" w:hAnsiTheme="majorHAnsi" w:cstheme="majorHAnsi"/>
          <w:color w:val="000000"/>
        </w:rPr>
        <w:t>а</w:t>
      </w:r>
      <w:r w:rsidRPr="00FF386D">
        <w:rPr>
          <w:rFonts w:asciiTheme="majorHAnsi" w:hAnsiTheme="majorHAnsi" w:cstheme="majorHAnsi"/>
          <w:color w:val="000000"/>
        </w:rPr>
        <w:t xml:space="preserve"> у грађевинском и </w:t>
      </w:r>
      <w:r w:rsidR="002612C5" w:rsidRPr="00FF386D">
        <w:rPr>
          <w:rFonts w:asciiTheme="majorHAnsi" w:hAnsiTheme="majorHAnsi" w:cstheme="majorHAnsi"/>
          <w:color w:val="000000"/>
        </w:rPr>
        <w:t>саобраћајном</w:t>
      </w:r>
      <w:r w:rsidRPr="00FF386D">
        <w:rPr>
          <w:rFonts w:asciiTheme="majorHAnsi" w:hAnsiTheme="majorHAnsi" w:cstheme="majorHAnsi"/>
          <w:color w:val="000000"/>
        </w:rPr>
        <w:t xml:space="preserve"> сектору и сектору мрежа.</w:t>
      </w:r>
    </w:p>
    <w:tbl>
      <w:tblPr>
        <w:tblW w:w="9458" w:type="dxa"/>
        <w:tblLook w:val="04A0" w:firstRow="1" w:lastRow="0" w:firstColumn="1" w:lastColumn="0" w:noHBand="0" w:noVBand="1"/>
      </w:tblPr>
      <w:tblGrid>
        <w:gridCol w:w="3317"/>
        <w:gridCol w:w="986"/>
        <w:gridCol w:w="943"/>
        <w:gridCol w:w="4212"/>
      </w:tblGrid>
      <w:tr w:rsidR="00854ADA" w:rsidRPr="00FF386D" w14:paraId="0872AB30" w14:textId="77777777" w:rsidTr="0057310C">
        <w:trPr>
          <w:trHeight w:val="780"/>
        </w:trPr>
        <w:tc>
          <w:tcPr>
            <w:tcW w:w="3317"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7F3EE286"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986" w:type="dxa"/>
            <w:tcBorders>
              <w:top w:val="single" w:sz="8" w:space="0" w:color="auto"/>
              <w:left w:val="nil"/>
              <w:bottom w:val="single" w:sz="8" w:space="0" w:color="auto"/>
              <w:right w:val="single" w:sz="8" w:space="0" w:color="auto"/>
            </w:tcBorders>
            <w:shd w:val="clear" w:color="auto" w:fill="E7E6E6" w:themeFill="background2"/>
            <w:vAlign w:val="center"/>
            <w:hideMark/>
          </w:tcPr>
          <w:p w14:paraId="2A851B67"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МП_ЕЕ9</w:t>
            </w:r>
          </w:p>
        </w:tc>
        <w:tc>
          <w:tcPr>
            <w:tcW w:w="943" w:type="dxa"/>
            <w:tcBorders>
              <w:top w:val="single" w:sz="8" w:space="0" w:color="auto"/>
              <w:left w:val="nil"/>
              <w:bottom w:val="single" w:sz="8" w:space="0" w:color="auto"/>
              <w:right w:val="single" w:sz="8" w:space="0" w:color="auto"/>
            </w:tcBorders>
            <w:shd w:val="clear" w:color="000000" w:fill="244062"/>
            <w:vAlign w:val="center"/>
            <w:hideMark/>
          </w:tcPr>
          <w:p w14:paraId="4F79077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12" w:type="dxa"/>
            <w:tcBorders>
              <w:top w:val="single" w:sz="8" w:space="0" w:color="auto"/>
              <w:left w:val="nil"/>
              <w:bottom w:val="single" w:sz="8" w:space="0" w:color="auto"/>
              <w:right w:val="single" w:sz="8" w:space="0" w:color="auto"/>
            </w:tcBorders>
            <w:shd w:val="clear" w:color="auto" w:fill="E7E6E6" w:themeFill="background2"/>
            <w:vAlign w:val="center"/>
            <w:hideMark/>
          </w:tcPr>
          <w:p w14:paraId="71208A9D"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Промовисање енергетски ефикасних уређаја у домаћинствима</w:t>
            </w:r>
          </w:p>
        </w:tc>
      </w:tr>
      <w:tr w:rsidR="00854ADA" w:rsidRPr="00FF386D" w14:paraId="4945116A" w14:textId="77777777" w:rsidTr="0057310C">
        <w:trPr>
          <w:trHeight w:val="690"/>
        </w:trPr>
        <w:tc>
          <w:tcPr>
            <w:tcW w:w="3317" w:type="dxa"/>
            <w:tcBorders>
              <w:top w:val="nil"/>
              <w:left w:val="single" w:sz="8" w:space="0" w:color="auto"/>
              <w:bottom w:val="single" w:sz="8" w:space="0" w:color="auto"/>
              <w:right w:val="nil"/>
            </w:tcBorders>
            <w:shd w:val="clear" w:color="000000" w:fill="244062"/>
            <w:vAlign w:val="center"/>
            <w:hideMark/>
          </w:tcPr>
          <w:p w14:paraId="321E178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41" w:type="dxa"/>
            <w:gridSpan w:val="3"/>
            <w:tcBorders>
              <w:top w:val="single" w:sz="8" w:space="0" w:color="auto"/>
              <w:left w:val="nil"/>
              <w:bottom w:val="single" w:sz="8" w:space="0" w:color="auto"/>
              <w:right w:val="single" w:sz="8" w:space="0" w:color="000000"/>
            </w:tcBorders>
            <w:shd w:val="clear" w:color="auto" w:fill="auto"/>
            <w:vAlign w:val="center"/>
            <w:hideMark/>
          </w:tcPr>
          <w:p w14:paraId="477A17CC" w14:textId="4FA9694F" w:rsidR="00854ADA" w:rsidRPr="000A2AFE" w:rsidRDefault="00001085"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Примена</w:t>
            </w:r>
            <w:r w:rsidR="00854ADA" w:rsidRPr="00FF386D">
              <w:rPr>
                <w:rFonts w:ascii="Calibri Light" w:hAnsi="Calibri Light"/>
                <w:sz w:val="20"/>
              </w:rPr>
              <w:t xml:space="preserve"> чланова Директиве </w:t>
            </w:r>
            <w:r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w:t>
            </w:r>
            <w:r w:rsidRPr="00FF386D">
              <w:rPr>
                <w:rFonts w:ascii="Calibri Light" w:hAnsi="Calibri Light"/>
                <w:sz w:val="20"/>
              </w:rPr>
              <w:t>02, и то</w:t>
            </w:r>
            <w:r w:rsidR="00854ADA" w:rsidRPr="000A2AFE">
              <w:rPr>
                <w:rFonts w:ascii="Calibri Light" w:eastAsia="Times New Roman" w:hAnsi="Calibri Light" w:cs="Calibri Light"/>
                <w:color w:val="000000"/>
                <w:sz w:val="20"/>
                <w:szCs w:val="20"/>
                <w:lang w:eastAsia="en-GB"/>
              </w:rPr>
              <w:t>:</w:t>
            </w:r>
          </w:p>
          <w:p w14:paraId="31EFC0F5" w14:textId="77777777" w:rsidR="00854ADA" w:rsidRPr="000A2AFE" w:rsidRDefault="00854ADA" w:rsidP="00854ADA">
            <w:pPr>
              <w:numPr>
                <w:ilvl w:val="0"/>
                <w:numId w:val="2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Члан </w:t>
            </w:r>
            <w:r w:rsidRPr="000A2AFE">
              <w:rPr>
                <w:rFonts w:ascii="Calibri Light" w:eastAsia="Times New Roman" w:hAnsi="Calibri Light" w:cs="Calibri Light"/>
                <w:color w:val="000000"/>
                <w:sz w:val="20"/>
                <w:szCs w:val="20"/>
                <w:lang w:eastAsia="en-GB"/>
              </w:rPr>
              <w:t>3</w:t>
            </w:r>
          </w:p>
          <w:p w14:paraId="55CA344B" w14:textId="4AAED68D" w:rsidR="00854ADA" w:rsidRPr="00FF386D" w:rsidRDefault="00854ADA" w:rsidP="00854ADA">
            <w:pPr>
              <w:numPr>
                <w:ilvl w:val="0"/>
                <w:numId w:val="2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5C5692"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7</w:t>
            </w:r>
          </w:p>
        </w:tc>
      </w:tr>
      <w:tr w:rsidR="00854ADA" w:rsidRPr="00FF386D" w14:paraId="7AA6AF87" w14:textId="77777777" w:rsidTr="0057310C">
        <w:trPr>
          <w:trHeight w:val="315"/>
        </w:trPr>
        <w:tc>
          <w:tcPr>
            <w:tcW w:w="3317" w:type="dxa"/>
            <w:tcBorders>
              <w:top w:val="nil"/>
              <w:left w:val="single" w:sz="8" w:space="0" w:color="auto"/>
              <w:bottom w:val="single" w:sz="8" w:space="0" w:color="auto"/>
              <w:right w:val="single" w:sz="8" w:space="0" w:color="auto"/>
            </w:tcBorders>
            <w:shd w:val="clear" w:color="000000" w:fill="244062"/>
            <w:vAlign w:val="center"/>
            <w:hideMark/>
          </w:tcPr>
          <w:p w14:paraId="79B9E61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41" w:type="dxa"/>
            <w:gridSpan w:val="3"/>
            <w:tcBorders>
              <w:top w:val="single" w:sz="8" w:space="0" w:color="auto"/>
              <w:left w:val="nil"/>
              <w:bottom w:val="single" w:sz="8" w:space="0" w:color="auto"/>
              <w:right w:val="single" w:sz="8" w:space="0" w:color="000000"/>
            </w:tcBorders>
            <w:shd w:val="clear" w:color="auto" w:fill="auto"/>
            <w:vAlign w:val="center"/>
            <w:hideMark/>
          </w:tcPr>
          <w:p w14:paraId="6BBE3290" w14:textId="3139D730" w:rsidR="00854ADA" w:rsidRPr="00FF386D" w:rsidRDefault="00B41E4B" w:rsidP="00854ADA">
            <w:pPr>
              <w:spacing w:after="0" w:line="240" w:lineRule="auto"/>
              <w:rPr>
                <w:rFonts w:ascii="Calibri Light" w:eastAsia="Times New Roman" w:hAnsi="Calibri Light" w:cs="Calibri Light"/>
                <w:color w:val="000000"/>
                <w:sz w:val="20"/>
                <w:szCs w:val="20"/>
                <w:lang w:eastAsia="en-GB"/>
              </w:rPr>
            </w:pPr>
            <w:r w:rsidRPr="00B41E4B">
              <w:rPr>
                <w:rFonts w:ascii="Calibri Light" w:eastAsia="Times New Roman" w:hAnsi="Calibri Light" w:cs="Calibri Light"/>
                <w:color w:val="000000"/>
                <w:sz w:val="20"/>
                <w:szCs w:val="20"/>
                <w:lang w:eastAsia="en-GB"/>
              </w:rPr>
              <w:t>Допринос постизању очекиваних нив</w:t>
            </w:r>
            <w:r w:rsidR="00546277">
              <w:rPr>
                <w:rFonts w:ascii="Calibri Light" w:eastAsia="Times New Roman" w:hAnsi="Calibri Light" w:cs="Calibri Light"/>
                <w:color w:val="000000"/>
                <w:sz w:val="20"/>
                <w:szCs w:val="20"/>
                <w:lang w:eastAsia="en-GB"/>
              </w:rPr>
              <w:t>а</w:t>
            </w:r>
            <w:r w:rsidRPr="00B41E4B">
              <w:rPr>
                <w:rFonts w:ascii="Calibri Light" w:eastAsia="Times New Roman" w:hAnsi="Calibri Light" w:cs="Calibri Light"/>
                <w:color w:val="000000"/>
                <w:sz w:val="20"/>
                <w:szCs w:val="20"/>
                <w:lang w:eastAsia="en-GB"/>
              </w:rPr>
              <w:t>о финалне потрошње енергије у стамбеном сектору</w:t>
            </w:r>
          </w:p>
        </w:tc>
      </w:tr>
      <w:tr w:rsidR="00854ADA" w:rsidRPr="00FF386D" w14:paraId="11BCB564" w14:textId="77777777" w:rsidTr="0057310C">
        <w:trPr>
          <w:trHeight w:val="1282"/>
        </w:trPr>
        <w:tc>
          <w:tcPr>
            <w:tcW w:w="3317" w:type="dxa"/>
            <w:tcBorders>
              <w:top w:val="nil"/>
              <w:left w:val="single" w:sz="8" w:space="0" w:color="auto"/>
              <w:bottom w:val="single" w:sz="8" w:space="0" w:color="auto"/>
              <w:right w:val="single" w:sz="8" w:space="0" w:color="auto"/>
            </w:tcBorders>
            <w:shd w:val="clear" w:color="000000" w:fill="244062"/>
            <w:vAlign w:val="center"/>
            <w:hideMark/>
          </w:tcPr>
          <w:p w14:paraId="67A8B99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41" w:type="dxa"/>
            <w:gridSpan w:val="3"/>
            <w:tcBorders>
              <w:top w:val="single" w:sz="8" w:space="0" w:color="auto"/>
              <w:left w:val="nil"/>
              <w:bottom w:val="single" w:sz="8" w:space="0" w:color="auto"/>
              <w:right w:val="single" w:sz="8" w:space="0" w:color="000000"/>
            </w:tcBorders>
            <w:shd w:val="clear" w:color="auto" w:fill="auto"/>
            <w:vAlign w:val="center"/>
            <w:hideMark/>
          </w:tcPr>
          <w:p w14:paraId="4EE3BC54" w14:textId="54014305"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МП_ЕЕ9 ће промовисати замену неефикасних </w:t>
            </w:r>
            <w:r w:rsidR="005C5692" w:rsidRPr="00FF386D">
              <w:rPr>
                <w:rFonts w:ascii="Calibri Light" w:hAnsi="Calibri Light"/>
                <w:sz w:val="20"/>
              </w:rPr>
              <w:t>уређаја</w:t>
            </w:r>
            <w:r w:rsidRPr="00FF386D">
              <w:rPr>
                <w:rFonts w:ascii="Calibri Light" w:hAnsi="Calibri Light"/>
                <w:sz w:val="20"/>
              </w:rPr>
              <w:t xml:space="preserve"> и технологија новим енергетски ефикасним </w:t>
            </w:r>
            <w:r w:rsidR="005C5692" w:rsidRPr="00FF386D">
              <w:rPr>
                <w:rFonts w:ascii="Calibri Light" w:hAnsi="Calibri Light"/>
                <w:sz w:val="20"/>
              </w:rPr>
              <w:t>уређајима</w:t>
            </w:r>
            <w:r w:rsidRPr="00FF386D">
              <w:rPr>
                <w:rFonts w:ascii="Calibri Light" w:hAnsi="Calibri Light"/>
                <w:sz w:val="20"/>
              </w:rPr>
              <w:t xml:space="preserve"> и технологијама у случају да примена </w:t>
            </w:r>
            <w:r w:rsidRPr="00FF386D">
              <w:rPr>
                <w:rFonts w:ascii="Calibri Light" w:eastAsia="NSimSun" w:hAnsi="Calibri Light" w:cs="Mangal"/>
                <w:kern w:val="2"/>
                <w:sz w:val="20"/>
                <w:szCs w:val="24"/>
                <w:lang w:eastAsia="zh-CN" w:bidi="hi-IN"/>
              </w:rPr>
              <w:t>Д</w:t>
            </w:r>
            <w:r w:rsidRPr="00FF386D">
              <w:rPr>
                <w:rFonts w:ascii="Calibri Light" w:hAnsi="Calibri Light"/>
                <w:sz w:val="20"/>
              </w:rPr>
              <w:t>ирективе о енергетском означавању и Директиве о еко-дизајну н</w:t>
            </w:r>
            <w:r w:rsidR="00001085" w:rsidRPr="00FF386D">
              <w:rPr>
                <w:rFonts w:ascii="Calibri Light" w:hAnsi="Calibri Light"/>
                <w:sz w:val="20"/>
              </w:rPr>
              <w:t xml:space="preserve">е </w:t>
            </w:r>
            <w:r w:rsidR="005C5692" w:rsidRPr="00FF386D">
              <w:rPr>
                <w:rFonts w:ascii="Calibri Light" w:hAnsi="Calibri Light"/>
                <w:sz w:val="20"/>
              </w:rPr>
              <w:t xml:space="preserve">буде </w:t>
            </w:r>
            <w:r w:rsidR="003117ED" w:rsidRPr="00FF386D">
              <w:rPr>
                <w:rFonts w:ascii="Calibri Light" w:hAnsi="Calibri Light"/>
                <w:sz w:val="20"/>
              </w:rPr>
              <w:t>оптимална</w:t>
            </w:r>
            <w:r w:rsidRPr="00FF386D">
              <w:rPr>
                <w:rFonts w:ascii="Calibri Light" w:hAnsi="Calibri Light"/>
                <w:sz w:val="20"/>
              </w:rPr>
              <w:t xml:space="preserve">, уз помоћ мера као што су обезбеђивање субвенција да би се постојећи неефикасни електрични </w:t>
            </w:r>
            <w:r w:rsidR="005C5692" w:rsidRPr="00FF386D">
              <w:rPr>
                <w:rFonts w:ascii="Calibri Light" w:hAnsi="Calibri Light"/>
                <w:sz w:val="20"/>
              </w:rPr>
              <w:t>уређаји</w:t>
            </w:r>
            <w:r w:rsidRPr="00FF386D">
              <w:rPr>
                <w:rFonts w:ascii="Calibri Light" w:hAnsi="Calibri Light"/>
                <w:sz w:val="20"/>
              </w:rPr>
              <w:t xml:space="preserve"> заменили новим и ефикаснијим </w:t>
            </w:r>
            <w:r w:rsidR="003117ED" w:rsidRPr="00FF386D">
              <w:rPr>
                <w:rFonts w:ascii="Calibri Light" w:hAnsi="Calibri Light"/>
                <w:sz w:val="20"/>
              </w:rPr>
              <w:t>уређаји.</w:t>
            </w:r>
            <w:r w:rsidR="00B41E4B">
              <w:t xml:space="preserve"> </w:t>
            </w:r>
            <w:r w:rsidR="00B41E4B" w:rsidRPr="00B41E4B">
              <w:rPr>
                <w:rFonts w:ascii="Calibri Light" w:hAnsi="Calibri Light"/>
                <w:sz w:val="20"/>
              </w:rPr>
              <w:t>Планиране мере ће бити примењене и за борбу против енергетског сиромаштва.</w:t>
            </w:r>
          </w:p>
        </w:tc>
      </w:tr>
      <w:tr w:rsidR="00854ADA" w:rsidRPr="00FF386D" w14:paraId="724BDE84" w14:textId="77777777" w:rsidTr="0057310C">
        <w:trPr>
          <w:trHeight w:val="315"/>
        </w:trPr>
        <w:tc>
          <w:tcPr>
            <w:tcW w:w="3317" w:type="dxa"/>
            <w:tcBorders>
              <w:top w:val="nil"/>
              <w:left w:val="single" w:sz="8" w:space="0" w:color="auto"/>
              <w:bottom w:val="single" w:sz="8" w:space="0" w:color="auto"/>
              <w:right w:val="single" w:sz="8" w:space="0" w:color="auto"/>
            </w:tcBorders>
            <w:shd w:val="clear" w:color="000000" w:fill="244062"/>
            <w:vAlign w:val="center"/>
            <w:hideMark/>
          </w:tcPr>
          <w:p w14:paraId="0F876CC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41" w:type="dxa"/>
            <w:gridSpan w:val="3"/>
            <w:tcBorders>
              <w:top w:val="single" w:sz="8" w:space="0" w:color="auto"/>
              <w:left w:val="nil"/>
              <w:bottom w:val="single" w:sz="8" w:space="0" w:color="auto"/>
              <w:right w:val="single" w:sz="8" w:space="0" w:color="000000"/>
            </w:tcBorders>
            <w:shd w:val="clear" w:color="auto" w:fill="auto"/>
            <w:vAlign w:val="center"/>
            <w:hideMark/>
          </w:tcPr>
          <w:p w14:paraId="5964277D" w14:textId="14211E65"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001085" w:rsidRPr="00FF386D">
              <w:rPr>
                <w:rFonts w:ascii="Calibri Light" w:hAnsi="Calibri Light"/>
                <w:sz w:val="20"/>
              </w:rPr>
              <w:t>5</w:t>
            </w:r>
            <w:r w:rsidRPr="00FF386D">
              <w:rPr>
                <w:rFonts w:ascii="Calibri Light" w:hAnsi="Calibri Light"/>
                <w:sz w:val="20"/>
              </w:rPr>
              <w:t>-2030.</w:t>
            </w:r>
          </w:p>
        </w:tc>
      </w:tr>
      <w:tr w:rsidR="00854ADA" w:rsidRPr="00FF386D" w14:paraId="690E4E82" w14:textId="77777777" w:rsidTr="0057310C">
        <w:trPr>
          <w:trHeight w:val="315"/>
        </w:trPr>
        <w:tc>
          <w:tcPr>
            <w:tcW w:w="3317" w:type="dxa"/>
            <w:tcBorders>
              <w:top w:val="nil"/>
              <w:left w:val="single" w:sz="8" w:space="0" w:color="auto"/>
              <w:bottom w:val="single" w:sz="8" w:space="0" w:color="auto"/>
              <w:right w:val="single" w:sz="8" w:space="0" w:color="auto"/>
            </w:tcBorders>
            <w:shd w:val="clear" w:color="000000" w:fill="244062"/>
            <w:vAlign w:val="center"/>
            <w:hideMark/>
          </w:tcPr>
          <w:p w14:paraId="63A474A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41" w:type="dxa"/>
            <w:gridSpan w:val="3"/>
            <w:tcBorders>
              <w:top w:val="single" w:sz="8" w:space="0" w:color="auto"/>
              <w:left w:val="nil"/>
              <w:bottom w:val="single" w:sz="8" w:space="0" w:color="auto"/>
              <w:right w:val="single" w:sz="8" w:space="0" w:color="000000"/>
            </w:tcBorders>
            <w:shd w:val="clear" w:color="auto" w:fill="auto"/>
            <w:vAlign w:val="center"/>
            <w:hideMark/>
          </w:tcPr>
          <w:p w14:paraId="371CDB1A"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Инвестиција</w:t>
            </w:r>
          </w:p>
        </w:tc>
      </w:tr>
      <w:tr w:rsidR="00854ADA" w:rsidRPr="00FF386D" w14:paraId="0CADBBA3" w14:textId="77777777" w:rsidTr="0057310C">
        <w:trPr>
          <w:trHeight w:val="315"/>
        </w:trPr>
        <w:tc>
          <w:tcPr>
            <w:tcW w:w="3317" w:type="dxa"/>
            <w:tcBorders>
              <w:top w:val="nil"/>
              <w:left w:val="single" w:sz="8" w:space="0" w:color="auto"/>
              <w:bottom w:val="single" w:sz="8" w:space="0" w:color="auto"/>
              <w:right w:val="single" w:sz="8" w:space="0" w:color="auto"/>
            </w:tcBorders>
            <w:shd w:val="clear" w:color="000000" w:fill="244062"/>
            <w:vAlign w:val="center"/>
            <w:hideMark/>
          </w:tcPr>
          <w:p w14:paraId="64E6B7C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41" w:type="dxa"/>
            <w:gridSpan w:val="3"/>
            <w:tcBorders>
              <w:top w:val="single" w:sz="8" w:space="0" w:color="auto"/>
              <w:left w:val="nil"/>
              <w:bottom w:val="single" w:sz="8" w:space="0" w:color="auto"/>
              <w:right w:val="single" w:sz="8" w:space="0" w:color="000000"/>
            </w:tcBorders>
            <w:shd w:val="clear" w:color="auto" w:fill="auto"/>
            <w:vAlign w:val="center"/>
            <w:hideMark/>
          </w:tcPr>
          <w:p w14:paraId="022626DE"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Стамбени, комерцијални</w:t>
            </w:r>
          </w:p>
        </w:tc>
      </w:tr>
      <w:tr w:rsidR="00854ADA" w:rsidRPr="00FF386D" w14:paraId="5A715A27" w14:textId="77777777" w:rsidTr="0057310C">
        <w:trPr>
          <w:trHeight w:val="315"/>
        </w:trPr>
        <w:tc>
          <w:tcPr>
            <w:tcW w:w="3317" w:type="dxa"/>
            <w:tcBorders>
              <w:top w:val="nil"/>
              <w:left w:val="single" w:sz="8" w:space="0" w:color="auto"/>
              <w:bottom w:val="single" w:sz="8" w:space="0" w:color="auto"/>
              <w:right w:val="single" w:sz="8" w:space="0" w:color="auto"/>
            </w:tcBorders>
            <w:shd w:val="clear" w:color="000000" w:fill="244062"/>
            <w:vAlign w:val="center"/>
            <w:hideMark/>
          </w:tcPr>
          <w:p w14:paraId="00041D6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41" w:type="dxa"/>
            <w:gridSpan w:val="3"/>
            <w:tcBorders>
              <w:top w:val="single" w:sz="8" w:space="0" w:color="auto"/>
              <w:left w:val="nil"/>
              <w:bottom w:val="single" w:sz="8" w:space="0" w:color="auto"/>
              <w:right w:val="single" w:sz="8" w:space="0" w:color="000000"/>
            </w:tcBorders>
            <w:shd w:val="clear" w:color="auto" w:fill="auto"/>
            <w:vAlign w:val="center"/>
            <w:hideMark/>
          </w:tcPr>
          <w:p w14:paraId="38E8EA4D" w14:textId="77777777" w:rsidR="00854ADA" w:rsidRPr="00FF386D" w:rsidRDefault="00854ADA" w:rsidP="00854ADA">
            <w:pPr>
              <w:numPr>
                <w:ilvl w:val="0"/>
                <w:numId w:val="12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Министарство рударства и енергетике</w:t>
            </w:r>
          </w:p>
        </w:tc>
      </w:tr>
      <w:tr w:rsidR="00854ADA" w:rsidRPr="00FF386D" w14:paraId="1B7F603A" w14:textId="77777777" w:rsidTr="0057310C">
        <w:trPr>
          <w:trHeight w:val="315"/>
        </w:trPr>
        <w:tc>
          <w:tcPr>
            <w:tcW w:w="3317" w:type="dxa"/>
            <w:tcBorders>
              <w:top w:val="nil"/>
              <w:left w:val="single" w:sz="8" w:space="0" w:color="auto"/>
              <w:bottom w:val="single" w:sz="8" w:space="0" w:color="auto"/>
              <w:right w:val="nil"/>
            </w:tcBorders>
            <w:shd w:val="clear" w:color="000000" w:fill="244062"/>
            <w:vAlign w:val="center"/>
            <w:hideMark/>
          </w:tcPr>
          <w:p w14:paraId="499C642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41" w:type="dxa"/>
            <w:gridSpan w:val="3"/>
            <w:tcBorders>
              <w:top w:val="single" w:sz="8" w:space="0" w:color="auto"/>
              <w:left w:val="nil"/>
              <w:bottom w:val="single" w:sz="8" w:space="0" w:color="auto"/>
              <w:right w:val="single" w:sz="8" w:space="0" w:color="000000"/>
            </w:tcBorders>
            <w:shd w:val="clear" w:color="auto" w:fill="auto"/>
            <w:vAlign w:val="center"/>
            <w:hideMark/>
          </w:tcPr>
          <w:p w14:paraId="0FBB3225" w14:textId="2A157EC5" w:rsidR="00854ADA" w:rsidRPr="000A2AFE" w:rsidRDefault="00C34D8A" w:rsidP="000A2AFE">
            <w:pPr>
              <w:pStyle w:val="ListParagraph"/>
              <w:numPr>
                <w:ilvl w:val="0"/>
                <w:numId w:val="124"/>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68BE88AB" w14:textId="77777777" w:rsidTr="0057310C">
        <w:trPr>
          <w:trHeight w:val="315"/>
        </w:trPr>
        <w:tc>
          <w:tcPr>
            <w:tcW w:w="3317" w:type="dxa"/>
            <w:tcBorders>
              <w:top w:val="nil"/>
              <w:left w:val="single" w:sz="8" w:space="0" w:color="auto"/>
              <w:bottom w:val="single" w:sz="8" w:space="0" w:color="auto"/>
              <w:right w:val="nil"/>
            </w:tcBorders>
            <w:shd w:val="clear" w:color="000000" w:fill="244062"/>
            <w:vAlign w:val="center"/>
            <w:hideMark/>
          </w:tcPr>
          <w:p w14:paraId="009B600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41" w:type="dxa"/>
            <w:gridSpan w:val="3"/>
            <w:tcBorders>
              <w:top w:val="single" w:sz="8" w:space="0" w:color="auto"/>
              <w:left w:val="nil"/>
              <w:bottom w:val="single" w:sz="8" w:space="0" w:color="auto"/>
              <w:right w:val="single" w:sz="8" w:space="0" w:color="000000"/>
            </w:tcBorders>
            <w:shd w:val="clear" w:color="auto" w:fill="auto"/>
            <w:vAlign w:val="center"/>
            <w:hideMark/>
          </w:tcPr>
          <w:p w14:paraId="63C07111" w14:textId="7F58C70D" w:rsidR="00854ADA" w:rsidRPr="000A2AFE" w:rsidRDefault="00854ADA" w:rsidP="000A2AFE">
            <w:pPr>
              <w:pStyle w:val="ListParagraph"/>
              <w:numPr>
                <w:ilvl w:val="0"/>
                <w:numId w:val="12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Број заме</w:t>
            </w:r>
            <w:r w:rsidR="00F822F5" w:rsidRPr="000A2AFE">
              <w:rPr>
                <w:rFonts w:ascii="Calibri Light" w:eastAsia="Times New Roman" w:hAnsi="Calibri Light" w:cs="Calibri Light"/>
                <w:color w:val="000000"/>
                <w:sz w:val="20"/>
                <w:szCs w:val="20"/>
                <w:lang w:eastAsia="en-GB"/>
              </w:rPr>
              <w:t>њених уређаја</w:t>
            </w:r>
          </w:p>
        </w:tc>
      </w:tr>
      <w:tr w:rsidR="00854ADA" w:rsidRPr="00FF386D" w14:paraId="49486EA0" w14:textId="77777777" w:rsidTr="0057310C">
        <w:trPr>
          <w:trHeight w:val="387"/>
        </w:trPr>
        <w:tc>
          <w:tcPr>
            <w:tcW w:w="3317" w:type="dxa"/>
            <w:tcBorders>
              <w:top w:val="nil"/>
              <w:left w:val="single" w:sz="8" w:space="0" w:color="auto"/>
              <w:bottom w:val="single" w:sz="8" w:space="0" w:color="auto"/>
              <w:right w:val="single" w:sz="8" w:space="0" w:color="auto"/>
            </w:tcBorders>
            <w:shd w:val="clear" w:color="000000" w:fill="244062"/>
            <w:vAlign w:val="center"/>
            <w:hideMark/>
          </w:tcPr>
          <w:p w14:paraId="708DF83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41" w:type="dxa"/>
            <w:gridSpan w:val="3"/>
            <w:tcBorders>
              <w:top w:val="single" w:sz="8" w:space="0" w:color="auto"/>
              <w:left w:val="nil"/>
              <w:bottom w:val="single" w:sz="8" w:space="0" w:color="auto"/>
              <w:right w:val="single" w:sz="8" w:space="0" w:color="000000"/>
            </w:tcBorders>
            <w:shd w:val="clear" w:color="auto" w:fill="auto"/>
            <w:vAlign w:val="center"/>
            <w:hideMark/>
          </w:tcPr>
          <w:p w14:paraId="779FA21A" w14:textId="4F74FDC4" w:rsidR="00C34D8A" w:rsidRPr="00C34D8A" w:rsidRDefault="00C34D8A" w:rsidP="00C34D8A">
            <w:pPr>
              <w:pStyle w:val="ListParagraph"/>
              <w:numPr>
                <w:ilvl w:val="0"/>
                <w:numId w:val="124"/>
              </w:numPr>
              <w:rPr>
                <w:rFonts w:ascii="Calibri Light" w:eastAsia="Times New Roman" w:hAnsi="Calibri Light" w:cs="Calibri Light"/>
                <w:color w:val="000000"/>
                <w:sz w:val="20"/>
                <w:szCs w:val="20"/>
                <w:lang w:eastAsia="en-GB"/>
              </w:rPr>
            </w:pPr>
            <w:r w:rsidRPr="00C34D8A">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C34D8A">
              <w:rPr>
                <w:rFonts w:ascii="Calibri Light" w:eastAsia="Times New Roman" w:hAnsi="Calibri Light" w:cs="Calibri Light"/>
                <w:i/>
                <w:iCs/>
                <w:color w:val="000000"/>
                <w:sz w:val="20"/>
                <w:szCs w:val="20"/>
                <w:lang w:val="en-US" w:eastAsia="en-GB"/>
              </w:rPr>
              <w:t>GHG</w:t>
            </w:r>
            <w:r w:rsidRPr="00C34D8A">
              <w:rPr>
                <w:rFonts w:ascii="Calibri Light" w:eastAsia="Times New Roman" w:hAnsi="Calibri Light" w:cs="Calibri Light"/>
                <w:color w:val="000000"/>
                <w:sz w:val="20"/>
                <w:szCs w:val="20"/>
                <w:lang w:eastAsia="en-GB"/>
              </w:rPr>
              <w:t>)</w:t>
            </w:r>
          </w:p>
          <w:p w14:paraId="117825A2" w14:textId="421AC2DF" w:rsidR="00854ADA" w:rsidRPr="00FF386D" w:rsidRDefault="00C34D8A" w:rsidP="00C34D8A">
            <w:pPr>
              <w:pStyle w:val="ListParagraph"/>
              <w:numPr>
                <w:ilvl w:val="0"/>
                <w:numId w:val="124"/>
              </w:numPr>
              <w:spacing w:after="0" w:line="240" w:lineRule="auto"/>
              <w:rPr>
                <w:rFonts w:ascii="Calibri Light" w:eastAsia="Times New Roman" w:hAnsi="Calibri Light" w:cs="Calibri Light"/>
                <w:color w:val="000000"/>
                <w:sz w:val="20"/>
                <w:szCs w:val="20"/>
                <w:lang w:eastAsia="en-GB"/>
              </w:rPr>
            </w:pPr>
            <w:r w:rsidRPr="00C34D8A">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854ADA" w:rsidRPr="00FF386D" w14:paraId="2FCA9E63" w14:textId="77777777" w:rsidTr="0057310C">
        <w:trPr>
          <w:trHeight w:val="450"/>
        </w:trPr>
        <w:tc>
          <w:tcPr>
            <w:tcW w:w="3317" w:type="dxa"/>
            <w:tcBorders>
              <w:top w:val="nil"/>
              <w:left w:val="single" w:sz="8" w:space="0" w:color="auto"/>
              <w:bottom w:val="nil"/>
              <w:right w:val="single" w:sz="8" w:space="0" w:color="auto"/>
            </w:tcBorders>
            <w:shd w:val="clear" w:color="000000" w:fill="244062"/>
            <w:vAlign w:val="center"/>
            <w:hideMark/>
          </w:tcPr>
          <w:p w14:paraId="7AC8C17E" w14:textId="35D01705"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41"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2B40905" w14:textId="6D3343C0" w:rsidR="00854ADA" w:rsidRPr="000A2AFE" w:rsidRDefault="00854ADA" w:rsidP="00854ADA">
            <w:pPr>
              <w:numPr>
                <w:ilvl w:val="0"/>
                <w:numId w:val="2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001085"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2012/27</w:t>
            </w:r>
          </w:p>
          <w:p w14:paraId="4FCABD3D" w14:textId="1301296D" w:rsidR="00854ADA" w:rsidRPr="00FF386D" w:rsidRDefault="00854ADA" w:rsidP="00854ADA">
            <w:pPr>
              <w:numPr>
                <w:ilvl w:val="0"/>
                <w:numId w:val="2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001085"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2018/2002</w:t>
            </w:r>
          </w:p>
        </w:tc>
      </w:tr>
      <w:tr w:rsidR="00854ADA" w:rsidRPr="00FF386D" w14:paraId="7FC373B6" w14:textId="77777777" w:rsidTr="0057310C">
        <w:trPr>
          <w:trHeight w:val="450"/>
        </w:trPr>
        <w:tc>
          <w:tcPr>
            <w:tcW w:w="3317" w:type="dxa"/>
            <w:tcBorders>
              <w:top w:val="nil"/>
              <w:left w:val="single" w:sz="8" w:space="0" w:color="auto"/>
              <w:bottom w:val="single" w:sz="8" w:space="0" w:color="auto"/>
              <w:right w:val="single" w:sz="8" w:space="0" w:color="auto"/>
            </w:tcBorders>
            <w:shd w:val="clear" w:color="000000" w:fill="244062"/>
            <w:vAlign w:val="center"/>
          </w:tcPr>
          <w:p w14:paraId="0B2B028D" w14:textId="77777777" w:rsidR="00854ADA" w:rsidRPr="00FF386D" w:rsidRDefault="00854ADA" w:rsidP="00854ADA">
            <w:pPr>
              <w:spacing w:after="0" w:line="240" w:lineRule="auto"/>
              <w:rPr>
                <w:rFonts w:asciiTheme="majorHAnsi" w:hAnsiTheme="majorHAnsi" w:cstheme="majorHAnsi"/>
                <w:b/>
                <w:bCs/>
                <w:sz w:val="20"/>
                <w:szCs w:val="20"/>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41" w:type="dxa"/>
            <w:gridSpan w:val="3"/>
            <w:tcBorders>
              <w:top w:val="single" w:sz="8" w:space="0" w:color="auto"/>
              <w:left w:val="nil"/>
              <w:bottom w:val="single" w:sz="8" w:space="0" w:color="auto"/>
              <w:right w:val="single" w:sz="8" w:space="0" w:color="000000"/>
            </w:tcBorders>
            <w:shd w:val="clear" w:color="auto" w:fill="auto"/>
            <w:vAlign w:val="center"/>
          </w:tcPr>
          <w:p w14:paraId="0C0D92BF" w14:textId="2E9EFE09" w:rsidR="00854ADA" w:rsidRPr="00FF386D" w:rsidRDefault="00854ADA" w:rsidP="00854ADA">
            <w:pPr>
              <w:spacing w:after="0" w:line="240" w:lineRule="auto"/>
              <w:rPr>
                <w:rFonts w:ascii="Calibri Light" w:hAnsi="Calibri Light"/>
                <w:color w:val="000000"/>
                <w:sz w:val="20"/>
              </w:rPr>
            </w:pPr>
            <w:r w:rsidRPr="00FF386D">
              <w:rPr>
                <w:rFonts w:ascii="Calibri Light" w:eastAsia="Times New Roman" w:hAnsi="Calibri Light" w:cs="Calibri Light"/>
                <w:color w:val="000000"/>
                <w:sz w:val="20"/>
                <w:szCs w:val="20"/>
                <w:lang w:eastAsia="en-GB"/>
              </w:rPr>
              <w:t>4.НАПЕЕ (нацрт)</w:t>
            </w:r>
          </w:p>
        </w:tc>
      </w:tr>
      <w:tr w:rsidR="00854ADA" w:rsidRPr="00FF386D" w14:paraId="49A021A1" w14:textId="77777777" w:rsidTr="0057310C">
        <w:trPr>
          <w:trHeight w:val="450"/>
        </w:trPr>
        <w:tc>
          <w:tcPr>
            <w:tcW w:w="3317" w:type="dxa"/>
            <w:tcBorders>
              <w:top w:val="nil"/>
              <w:left w:val="single" w:sz="8" w:space="0" w:color="auto"/>
              <w:bottom w:val="single" w:sz="8" w:space="0" w:color="auto"/>
              <w:right w:val="single" w:sz="8" w:space="0" w:color="auto"/>
            </w:tcBorders>
            <w:shd w:val="clear" w:color="000000" w:fill="244062"/>
            <w:vAlign w:val="center"/>
          </w:tcPr>
          <w:p w14:paraId="083B1484" w14:textId="77777777" w:rsidR="00854ADA" w:rsidRPr="00FF386D" w:rsidRDefault="00854ADA" w:rsidP="00854ADA">
            <w:pPr>
              <w:spacing w:after="0" w:line="240" w:lineRule="auto"/>
              <w:rPr>
                <w:rFonts w:asciiTheme="majorHAnsi" w:hAnsiTheme="majorHAnsi" w:cstheme="majorHAnsi"/>
                <w:b/>
                <w:bCs/>
                <w:sz w:val="20"/>
                <w:szCs w:val="20"/>
              </w:rPr>
            </w:pPr>
            <w:r w:rsidRPr="00FF386D">
              <w:rPr>
                <w:rFonts w:asciiTheme="majorHAnsi" w:hAnsiTheme="majorHAnsi" w:cstheme="majorHAnsi"/>
                <w:b/>
                <w:bCs/>
                <w:sz w:val="20"/>
                <w:szCs w:val="20"/>
              </w:rPr>
              <w:t>Трошкови имплементације</w:t>
            </w:r>
          </w:p>
        </w:tc>
        <w:tc>
          <w:tcPr>
            <w:tcW w:w="6141" w:type="dxa"/>
            <w:gridSpan w:val="3"/>
            <w:tcBorders>
              <w:top w:val="single" w:sz="8" w:space="0" w:color="auto"/>
              <w:left w:val="nil"/>
              <w:bottom w:val="single" w:sz="8" w:space="0" w:color="auto"/>
              <w:right w:val="single" w:sz="8" w:space="0" w:color="000000"/>
            </w:tcBorders>
            <w:shd w:val="clear" w:color="auto" w:fill="auto"/>
            <w:vAlign w:val="center"/>
          </w:tcPr>
          <w:p w14:paraId="5D8EC81E" w14:textId="30501B81" w:rsidR="00854ADA" w:rsidRPr="00FF386D" w:rsidRDefault="00001085" w:rsidP="00854ADA">
            <w:pPr>
              <w:spacing w:after="0" w:line="240" w:lineRule="auto"/>
              <w:rPr>
                <w:rFonts w:ascii="Calibri Light" w:hAnsi="Calibri Light"/>
                <w:color w:val="000000"/>
                <w:sz w:val="20"/>
              </w:rPr>
            </w:pPr>
            <w:r w:rsidRPr="00FF386D">
              <w:rPr>
                <w:rFonts w:ascii="Calibri Light" w:eastAsia="Times New Roman" w:hAnsi="Calibri Light" w:cs="Calibri Light"/>
                <w:color w:val="000000"/>
                <w:sz w:val="20"/>
                <w:szCs w:val="20"/>
                <w:lang w:eastAsia="en-GB"/>
              </w:rPr>
              <w:t>1.494 милиона</w:t>
            </w:r>
            <w:r w:rsidR="00854ADA" w:rsidRPr="00FF386D">
              <w:rPr>
                <w:rFonts w:ascii="Calibri Light" w:eastAsia="Times New Roman" w:hAnsi="Calibri Light" w:cs="Calibri Light"/>
                <w:color w:val="000000"/>
                <w:sz w:val="20"/>
                <w:szCs w:val="20"/>
                <w:lang w:eastAsia="en-GB"/>
              </w:rPr>
              <w:t xml:space="preserve"> </w:t>
            </w:r>
            <w:r w:rsidRPr="00FF386D">
              <w:rPr>
                <w:rFonts w:ascii="Calibri Light" w:eastAsia="Times New Roman" w:hAnsi="Calibri Light" w:cs="Calibri Light"/>
                <w:color w:val="000000"/>
                <w:sz w:val="20"/>
                <w:szCs w:val="20"/>
                <w:lang w:eastAsia="en-GB"/>
              </w:rPr>
              <w:t>евра</w:t>
            </w:r>
          </w:p>
        </w:tc>
      </w:tr>
      <w:tr w:rsidR="00854ADA" w:rsidRPr="00FF386D" w14:paraId="6685704E" w14:textId="77777777" w:rsidTr="0057310C">
        <w:trPr>
          <w:trHeight w:val="450"/>
        </w:trPr>
        <w:tc>
          <w:tcPr>
            <w:tcW w:w="3317" w:type="dxa"/>
            <w:tcBorders>
              <w:top w:val="nil"/>
              <w:left w:val="single" w:sz="8" w:space="0" w:color="auto"/>
              <w:bottom w:val="single" w:sz="8" w:space="0" w:color="auto"/>
              <w:right w:val="single" w:sz="8" w:space="0" w:color="auto"/>
            </w:tcBorders>
            <w:shd w:val="clear" w:color="000000" w:fill="244062"/>
            <w:vAlign w:val="center"/>
          </w:tcPr>
          <w:p w14:paraId="1F370B8F" w14:textId="77777777" w:rsidR="00854ADA" w:rsidRPr="00FF386D" w:rsidRDefault="00854ADA" w:rsidP="00854ADA">
            <w:pPr>
              <w:spacing w:after="0" w:line="240" w:lineRule="auto"/>
              <w:rPr>
                <w:rFonts w:asciiTheme="majorHAnsi" w:hAnsiTheme="majorHAnsi" w:cstheme="majorHAnsi"/>
                <w:b/>
                <w:bCs/>
                <w:sz w:val="20"/>
                <w:szCs w:val="20"/>
              </w:rPr>
            </w:pPr>
            <w:r w:rsidRPr="00FF386D">
              <w:rPr>
                <w:rFonts w:asciiTheme="majorHAnsi" w:eastAsia="Times New Roman" w:hAnsiTheme="majorHAnsi" w:cstheme="majorHAnsi"/>
                <w:b/>
                <w:bCs/>
                <w:color w:val="FFFFFF"/>
                <w:sz w:val="20"/>
                <w:szCs w:val="20"/>
                <w:lang w:eastAsia="en-GB"/>
              </w:rPr>
              <w:t>Извор(и) финансирања</w:t>
            </w:r>
          </w:p>
        </w:tc>
        <w:tc>
          <w:tcPr>
            <w:tcW w:w="6141" w:type="dxa"/>
            <w:gridSpan w:val="3"/>
            <w:tcBorders>
              <w:top w:val="single" w:sz="8" w:space="0" w:color="auto"/>
              <w:left w:val="nil"/>
              <w:bottom w:val="single" w:sz="8" w:space="0" w:color="auto"/>
              <w:right w:val="single" w:sz="8" w:space="0" w:color="000000"/>
            </w:tcBorders>
            <w:shd w:val="clear" w:color="auto" w:fill="auto"/>
            <w:vAlign w:val="center"/>
          </w:tcPr>
          <w:p w14:paraId="1DC34046" w14:textId="724FA2EC" w:rsidR="00854ADA" w:rsidRPr="00FF386D" w:rsidRDefault="00854ADA" w:rsidP="00854ADA">
            <w:pPr>
              <w:spacing w:after="0" w:line="240" w:lineRule="auto"/>
              <w:rPr>
                <w:rFonts w:ascii="Calibri Light" w:hAnsi="Calibri Light"/>
                <w:color w:val="000000"/>
                <w:sz w:val="20"/>
              </w:rPr>
            </w:pPr>
            <w:r w:rsidRPr="00FF386D">
              <w:rPr>
                <w:rFonts w:asciiTheme="majorHAnsi" w:eastAsia="Times New Roman" w:hAnsiTheme="majorHAnsi" w:cstheme="majorHAnsi"/>
                <w:color w:val="000000"/>
                <w:sz w:val="20"/>
                <w:szCs w:val="20"/>
                <w:lang w:eastAsia="en-GB"/>
              </w:rPr>
              <w:t>Фондови ЕУ и други фондови, буџет</w:t>
            </w:r>
            <w:r w:rsidR="00001085" w:rsidRPr="00FF386D">
              <w:rPr>
                <w:rFonts w:asciiTheme="majorHAnsi" w:eastAsia="Times New Roman" w:hAnsiTheme="majorHAnsi" w:cstheme="majorHAnsi"/>
                <w:color w:val="000000"/>
                <w:sz w:val="20"/>
                <w:szCs w:val="20"/>
                <w:lang w:eastAsia="en-GB"/>
              </w:rPr>
              <w:t>ска</w:t>
            </w:r>
            <w:r w:rsidRPr="00FF386D">
              <w:rPr>
                <w:rFonts w:asciiTheme="majorHAnsi" w:eastAsia="Times New Roman" w:hAnsiTheme="majorHAnsi" w:cstheme="majorHAnsi"/>
                <w:color w:val="000000"/>
                <w:sz w:val="20"/>
                <w:szCs w:val="20"/>
                <w:lang w:eastAsia="en-GB"/>
              </w:rPr>
              <w:t xml:space="preserve"> и сопствена средства</w:t>
            </w:r>
          </w:p>
        </w:tc>
      </w:tr>
    </w:tbl>
    <w:p w14:paraId="283246FD"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289"/>
        <w:gridCol w:w="1007"/>
        <w:gridCol w:w="161"/>
        <w:gridCol w:w="779"/>
        <w:gridCol w:w="151"/>
        <w:gridCol w:w="4071"/>
      </w:tblGrid>
      <w:tr w:rsidR="00854ADA" w:rsidRPr="00FF386D" w14:paraId="4A7C6D89" w14:textId="77777777" w:rsidTr="0057310C">
        <w:trPr>
          <w:trHeight w:val="780"/>
        </w:trPr>
        <w:tc>
          <w:tcPr>
            <w:tcW w:w="3251"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2BDA2BE8"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Шифра мере политике:</w:t>
            </w:r>
          </w:p>
        </w:tc>
        <w:tc>
          <w:tcPr>
            <w:tcW w:w="1170" w:type="dxa"/>
            <w:gridSpan w:val="2"/>
            <w:tcBorders>
              <w:top w:val="single" w:sz="8" w:space="0" w:color="auto"/>
              <w:left w:val="nil"/>
              <w:bottom w:val="single" w:sz="8" w:space="0" w:color="auto"/>
              <w:right w:val="single" w:sz="8" w:space="0" w:color="auto"/>
            </w:tcBorders>
            <w:shd w:val="clear" w:color="auto" w:fill="E7E6E6" w:themeFill="background2"/>
            <w:vAlign w:val="center"/>
            <w:hideMark/>
          </w:tcPr>
          <w:p w14:paraId="6BD32E82"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МП_ЕЕ28</w:t>
            </w:r>
          </w:p>
        </w:tc>
        <w:tc>
          <w:tcPr>
            <w:tcW w:w="931" w:type="dxa"/>
            <w:gridSpan w:val="2"/>
            <w:tcBorders>
              <w:top w:val="single" w:sz="8" w:space="0" w:color="auto"/>
              <w:left w:val="nil"/>
              <w:bottom w:val="single" w:sz="8" w:space="0" w:color="auto"/>
              <w:right w:val="single" w:sz="8" w:space="0" w:color="auto"/>
            </w:tcBorders>
            <w:shd w:val="clear" w:color="000000" w:fill="244062"/>
            <w:vAlign w:val="center"/>
            <w:hideMark/>
          </w:tcPr>
          <w:p w14:paraId="1FAC192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06" w:type="dxa"/>
            <w:tcBorders>
              <w:top w:val="single" w:sz="8" w:space="0" w:color="auto"/>
              <w:left w:val="nil"/>
              <w:bottom w:val="single" w:sz="8" w:space="0" w:color="auto"/>
              <w:right w:val="single" w:sz="8" w:space="0" w:color="auto"/>
            </w:tcBorders>
            <w:shd w:val="clear" w:color="auto" w:fill="E7E6E6" w:themeFill="background2"/>
            <w:vAlign w:val="center"/>
            <w:hideMark/>
          </w:tcPr>
          <w:p w14:paraId="284DC49C" w14:textId="77777777" w:rsidR="00854ADA" w:rsidRPr="00FF386D" w:rsidRDefault="00854ADA" w:rsidP="00854ADA">
            <w:pPr>
              <w:spacing w:after="0" w:line="240" w:lineRule="auto"/>
              <w:rPr>
                <w:rFonts w:ascii="Calibri Light" w:eastAsia="Times New Roman" w:hAnsi="Calibri Light" w:cs="Calibri Light"/>
                <w:b/>
                <w:bCs/>
                <w:color w:val="000000"/>
                <w:sz w:val="20"/>
                <w:szCs w:val="20"/>
                <w:lang w:eastAsia="en-GB"/>
              </w:rPr>
            </w:pPr>
            <w:r w:rsidRPr="00FF386D">
              <w:rPr>
                <w:rFonts w:ascii="Calibri Light" w:hAnsi="Calibri Light"/>
                <w:b/>
                <w:sz w:val="20"/>
              </w:rPr>
              <w:t>Обавезно спровођење енергетских прегледа и развој система енергетског менаџмента</w:t>
            </w:r>
          </w:p>
        </w:tc>
      </w:tr>
      <w:tr w:rsidR="00854ADA" w:rsidRPr="00FF386D" w14:paraId="668F127F" w14:textId="77777777" w:rsidTr="0057310C">
        <w:trPr>
          <w:trHeight w:val="625"/>
        </w:trPr>
        <w:tc>
          <w:tcPr>
            <w:tcW w:w="3251" w:type="dxa"/>
            <w:tcBorders>
              <w:top w:val="nil"/>
              <w:left w:val="single" w:sz="8" w:space="0" w:color="auto"/>
              <w:bottom w:val="single" w:sz="8" w:space="0" w:color="auto"/>
              <w:right w:val="nil"/>
            </w:tcBorders>
            <w:shd w:val="clear" w:color="000000" w:fill="244062"/>
            <w:vAlign w:val="center"/>
            <w:hideMark/>
          </w:tcPr>
          <w:p w14:paraId="22830AF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207" w:type="dxa"/>
            <w:gridSpan w:val="5"/>
            <w:tcBorders>
              <w:top w:val="single" w:sz="8" w:space="0" w:color="auto"/>
              <w:left w:val="nil"/>
              <w:bottom w:val="single" w:sz="8" w:space="0" w:color="auto"/>
              <w:right w:val="single" w:sz="8" w:space="0" w:color="000000"/>
            </w:tcBorders>
            <w:shd w:val="clear" w:color="auto" w:fill="auto"/>
            <w:vAlign w:val="center"/>
            <w:hideMark/>
          </w:tcPr>
          <w:p w14:paraId="1847A827" w14:textId="24846508" w:rsidR="00854ADA" w:rsidRPr="000A2AFE" w:rsidRDefault="00001085"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Примена</w:t>
            </w:r>
            <w:r w:rsidR="00854ADA" w:rsidRPr="00FF386D">
              <w:rPr>
                <w:rFonts w:ascii="Calibri Light" w:hAnsi="Calibri Light"/>
                <w:sz w:val="20"/>
              </w:rPr>
              <w:t xml:space="preserve"> чланова Директиве </w:t>
            </w:r>
            <w:r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w:t>
            </w:r>
            <w:r w:rsidRPr="00FF386D">
              <w:rPr>
                <w:rFonts w:ascii="Calibri Light" w:hAnsi="Calibri Light"/>
                <w:sz w:val="20"/>
              </w:rPr>
              <w:t>02, и то:</w:t>
            </w:r>
          </w:p>
          <w:p w14:paraId="100AA987" w14:textId="1367DCA5" w:rsidR="00854ADA" w:rsidRPr="000A2AFE" w:rsidRDefault="00854ADA" w:rsidP="00854ADA">
            <w:pPr>
              <w:numPr>
                <w:ilvl w:val="0"/>
                <w:numId w:val="2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3117ED"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3</w:t>
            </w:r>
          </w:p>
          <w:p w14:paraId="1238ABEF" w14:textId="77777777" w:rsidR="00854ADA" w:rsidRDefault="00854ADA" w:rsidP="00854ADA">
            <w:pPr>
              <w:numPr>
                <w:ilvl w:val="0"/>
                <w:numId w:val="152"/>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3117ED"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7</w:t>
            </w:r>
          </w:p>
          <w:p w14:paraId="04164CDB" w14:textId="59D98FD9" w:rsidR="00B41E4B" w:rsidRPr="00FF386D" w:rsidRDefault="00B41E4B" w:rsidP="00854ADA">
            <w:pPr>
              <w:numPr>
                <w:ilvl w:val="0"/>
                <w:numId w:val="152"/>
              </w:numPr>
              <w:spacing w:after="0" w:line="240" w:lineRule="auto"/>
              <w:contextualSpacing/>
              <w:rPr>
                <w:rFonts w:ascii="Calibri Light" w:eastAsia="Times New Roman" w:hAnsi="Calibri Light" w:cs="Calibri Light"/>
                <w:color w:val="000000"/>
                <w:sz w:val="20"/>
                <w:szCs w:val="20"/>
                <w:lang w:eastAsia="en-GB"/>
              </w:rPr>
            </w:pPr>
            <w:r w:rsidRPr="00B41E4B">
              <w:rPr>
                <w:rFonts w:ascii="Calibri Light" w:eastAsia="Times New Roman" w:hAnsi="Calibri Light" w:cs="Calibri Light"/>
                <w:color w:val="000000"/>
                <w:sz w:val="20"/>
                <w:szCs w:val="20"/>
                <w:lang w:eastAsia="en-GB"/>
              </w:rPr>
              <w:t>Члан 8</w:t>
            </w:r>
          </w:p>
        </w:tc>
      </w:tr>
      <w:tr w:rsidR="00854ADA" w:rsidRPr="00FF386D" w14:paraId="4F5E2170" w14:textId="77777777" w:rsidTr="0057310C">
        <w:trPr>
          <w:trHeight w:val="315"/>
        </w:trPr>
        <w:tc>
          <w:tcPr>
            <w:tcW w:w="3251" w:type="dxa"/>
            <w:tcBorders>
              <w:top w:val="nil"/>
              <w:left w:val="single" w:sz="8" w:space="0" w:color="auto"/>
              <w:bottom w:val="single" w:sz="8" w:space="0" w:color="auto"/>
              <w:right w:val="single" w:sz="8" w:space="0" w:color="auto"/>
            </w:tcBorders>
            <w:shd w:val="clear" w:color="000000" w:fill="244062"/>
            <w:vAlign w:val="center"/>
            <w:hideMark/>
          </w:tcPr>
          <w:p w14:paraId="19C5810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207" w:type="dxa"/>
            <w:gridSpan w:val="5"/>
            <w:tcBorders>
              <w:top w:val="single" w:sz="8" w:space="0" w:color="auto"/>
              <w:left w:val="nil"/>
              <w:bottom w:val="single" w:sz="8" w:space="0" w:color="auto"/>
              <w:right w:val="single" w:sz="8" w:space="0" w:color="000000"/>
            </w:tcBorders>
            <w:shd w:val="clear" w:color="auto" w:fill="auto"/>
            <w:vAlign w:val="center"/>
            <w:hideMark/>
          </w:tcPr>
          <w:p w14:paraId="48F3E327" w14:textId="56383812"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 xml:space="preserve">Допринос </w:t>
            </w:r>
            <w:r w:rsidR="00B41E4B" w:rsidRPr="00B41E4B">
              <w:rPr>
                <w:rFonts w:ascii="Calibri Light" w:eastAsia="Times New Roman" w:hAnsi="Calibri Light" w:cs="Calibri Light"/>
                <w:color w:val="000000"/>
                <w:sz w:val="20"/>
                <w:szCs w:val="20"/>
                <w:lang w:eastAsia="en-GB"/>
              </w:rPr>
              <w:t>постизању нивоа финалне потрошње енергије</w:t>
            </w:r>
          </w:p>
        </w:tc>
      </w:tr>
      <w:tr w:rsidR="00854ADA" w:rsidRPr="00FF386D" w14:paraId="0A97F42A" w14:textId="77777777" w:rsidTr="0057310C">
        <w:trPr>
          <w:trHeight w:val="2295"/>
        </w:trPr>
        <w:tc>
          <w:tcPr>
            <w:tcW w:w="3251" w:type="dxa"/>
            <w:tcBorders>
              <w:top w:val="nil"/>
              <w:left w:val="single" w:sz="8" w:space="0" w:color="auto"/>
              <w:bottom w:val="single" w:sz="8" w:space="0" w:color="auto"/>
              <w:right w:val="single" w:sz="8" w:space="0" w:color="auto"/>
            </w:tcBorders>
            <w:shd w:val="clear" w:color="000000" w:fill="244062"/>
            <w:vAlign w:val="center"/>
            <w:hideMark/>
          </w:tcPr>
          <w:p w14:paraId="6935B07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207" w:type="dxa"/>
            <w:gridSpan w:val="5"/>
            <w:tcBorders>
              <w:top w:val="single" w:sz="8" w:space="0" w:color="auto"/>
              <w:left w:val="nil"/>
              <w:bottom w:val="single" w:sz="8" w:space="0" w:color="auto"/>
              <w:right w:val="single" w:sz="8" w:space="0" w:color="000000"/>
            </w:tcBorders>
            <w:shd w:val="clear" w:color="auto" w:fill="auto"/>
            <w:vAlign w:val="center"/>
            <w:hideMark/>
          </w:tcPr>
          <w:p w14:paraId="4BBF727D" w14:textId="267ACDA6"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МП_ЕЕ28 ће предвидети наставак </w:t>
            </w:r>
            <w:r w:rsidR="003117ED" w:rsidRPr="00FF386D">
              <w:rPr>
                <w:rFonts w:ascii="Calibri Light" w:hAnsi="Calibri Light"/>
                <w:sz w:val="20"/>
              </w:rPr>
              <w:t xml:space="preserve">обавезног </w:t>
            </w:r>
            <w:r w:rsidRPr="00FF386D">
              <w:rPr>
                <w:rFonts w:ascii="Calibri Light" w:hAnsi="Calibri Light"/>
                <w:sz w:val="20"/>
              </w:rPr>
              <w:t>развоја система енергетског менаџмента (СЕМ) и спровођење енергетских прегледа обвезника система енергетског менаџмента (нпр. великих потрошача из индустријског и комерцијалног сектора, као и из јавног сектора).</w:t>
            </w:r>
            <w:r w:rsidR="00001085" w:rsidRPr="00FF386D">
              <w:rPr>
                <w:rFonts w:ascii="Calibri Light" w:hAnsi="Calibri Light"/>
                <w:sz w:val="20"/>
              </w:rPr>
              <w:t xml:space="preserve"> </w:t>
            </w:r>
            <w:r w:rsidRPr="00FF386D">
              <w:rPr>
                <w:rFonts w:ascii="Calibri Light" w:hAnsi="Calibri Light"/>
                <w:sz w:val="20"/>
              </w:rPr>
              <w:t>Размотриће се потенцијалн</w:t>
            </w:r>
            <w:r w:rsidR="00DF2151" w:rsidRPr="00FF386D">
              <w:rPr>
                <w:rFonts w:ascii="Calibri Light" w:hAnsi="Calibri Light"/>
                <w:sz w:val="20"/>
              </w:rPr>
              <w:t xml:space="preserve">а примена мере и </w:t>
            </w:r>
            <w:r w:rsidRPr="00FF386D">
              <w:rPr>
                <w:rFonts w:ascii="Calibri Light" w:hAnsi="Calibri Light"/>
                <w:sz w:val="20"/>
              </w:rPr>
              <w:t>на додатне обвезнике СЕМ</w:t>
            </w:r>
            <w:r w:rsidR="003117ED" w:rsidRPr="00FF386D">
              <w:rPr>
                <w:rFonts w:ascii="Calibri Light" w:hAnsi="Calibri Light"/>
                <w:sz w:val="20"/>
              </w:rPr>
              <w:t xml:space="preserve">, </w:t>
            </w:r>
            <w:r w:rsidR="00DF2151" w:rsidRPr="00FF386D">
              <w:rPr>
                <w:rFonts w:ascii="Calibri Light" w:hAnsi="Calibri Light"/>
                <w:sz w:val="20"/>
              </w:rPr>
              <w:t>укључујући примену Директиве (ЕУ) 2012/27</w:t>
            </w:r>
            <w:r w:rsidRPr="00FF386D">
              <w:rPr>
                <w:rFonts w:ascii="Calibri Light" w:hAnsi="Calibri Light"/>
                <w:sz w:val="20"/>
              </w:rPr>
              <w:t xml:space="preserve"> у погледу спровођења енергетских прегледа. Циљ </w:t>
            </w:r>
            <w:r w:rsidR="003117ED" w:rsidRPr="00FF386D">
              <w:rPr>
                <w:rFonts w:ascii="Calibri Light" w:hAnsi="Calibri Light"/>
                <w:sz w:val="20"/>
              </w:rPr>
              <w:t xml:space="preserve">ове </w:t>
            </w:r>
            <w:r w:rsidRPr="00FF386D">
              <w:rPr>
                <w:rFonts w:ascii="Calibri Light" w:hAnsi="Calibri Light"/>
                <w:sz w:val="20"/>
              </w:rPr>
              <w:t>мере је дефинисање нај</w:t>
            </w:r>
            <w:r w:rsidR="003117ED" w:rsidRPr="00FF386D">
              <w:rPr>
                <w:rFonts w:ascii="Calibri Light" w:hAnsi="Calibri Light"/>
                <w:sz w:val="20"/>
              </w:rPr>
              <w:t>економичнијих</w:t>
            </w:r>
            <w:r w:rsidRPr="00FF386D">
              <w:rPr>
                <w:rFonts w:ascii="Calibri Light" w:hAnsi="Calibri Light"/>
                <w:sz w:val="20"/>
              </w:rPr>
              <w:t xml:space="preserve"> интервенција у области енергетске ефикасности, </w:t>
            </w:r>
            <w:r w:rsidR="003117ED" w:rsidRPr="00FF386D">
              <w:rPr>
                <w:rFonts w:ascii="Calibri Light" w:hAnsi="Calibri Light"/>
                <w:sz w:val="20"/>
              </w:rPr>
              <w:t>при чему ће</w:t>
            </w:r>
            <w:r w:rsidRPr="00FF386D">
              <w:rPr>
                <w:rFonts w:ascii="Calibri Light" w:hAnsi="Calibri Light"/>
                <w:sz w:val="20"/>
              </w:rPr>
              <w:t xml:space="preserve"> њихово финансирање бити усклађено са планираном шемом подршке. Обвезници система </w:t>
            </w:r>
            <w:r w:rsidR="003117ED" w:rsidRPr="00FF386D">
              <w:rPr>
                <w:rFonts w:ascii="Calibri Light" w:hAnsi="Calibri Light"/>
                <w:sz w:val="20"/>
              </w:rPr>
              <w:t>ће</w:t>
            </w:r>
            <w:r w:rsidRPr="00FF386D">
              <w:rPr>
                <w:rFonts w:ascii="Calibri Light" w:hAnsi="Calibri Light"/>
                <w:sz w:val="20"/>
              </w:rPr>
              <w:t xml:space="preserve"> у наредном периоду има</w:t>
            </w:r>
            <w:r w:rsidR="003117ED" w:rsidRPr="00FF386D">
              <w:rPr>
                <w:rFonts w:ascii="Calibri Light" w:hAnsi="Calibri Light"/>
                <w:sz w:val="20"/>
              </w:rPr>
              <w:t>ти</w:t>
            </w:r>
            <w:r w:rsidRPr="00FF386D">
              <w:rPr>
                <w:rFonts w:ascii="Calibri Light" w:hAnsi="Calibri Light"/>
                <w:sz w:val="20"/>
              </w:rPr>
              <w:t xml:space="preserve"> обавезу да </w:t>
            </w:r>
            <w:r w:rsidR="003117ED" w:rsidRPr="00FF386D">
              <w:rPr>
                <w:rFonts w:ascii="Calibri Light" w:hAnsi="Calibri Light"/>
                <w:sz w:val="20"/>
              </w:rPr>
              <w:t>одреде</w:t>
            </w:r>
            <w:r w:rsidRPr="00FF386D">
              <w:rPr>
                <w:rFonts w:ascii="Calibri Light" w:hAnsi="Calibri Light"/>
                <w:sz w:val="20"/>
              </w:rPr>
              <w:t xml:space="preserve"> потребан број енергетских менаџера и планирају/спроводе мере за смањење потрошње енергије у складу са захтевима које постави Влада као и да извештавају Министарство о спроведеним мерама. </w:t>
            </w:r>
            <w:r w:rsidR="003117ED" w:rsidRPr="00FF386D">
              <w:rPr>
                <w:rFonts w:ascii="Calibri Light" w:hAnsi="Calibri Light"/>
                <w:sz w:val="20"/>
              </w:rPr>
              <w:t>Р</w:t>
            </w:r>
            <w:r w:rsidRPr="00FF386D">
              <w:rPr>
                <w:rFonts w:ascii="Calibri Light" w:hAnsi="Calibri Light"/>
                <w:sz w:val="20"/>
              </w:rPr>
              <w:t>егулаторни окв</w:t>
            </w:r>
            <w:r w:rsidR="00F822F5" w:rsidRPr="00FF386D">
              <w:rPr>
                <w:rFonts w:ascii="Calibri Light" w:hAnsi="Calibri Light"/>
                <w:sz w:val="20"/>
              </w:rPr>
              <w:t>и</w:t>
            </w:r>
            <w:r w:rsidRPr="00FF386D">
              <w:rPr>
                <w:rFonts w:ascii="Calibri Light" w:hAnsi="Calibri Light"/>
                <w:sz w:val="20"/>
              </w:rPr>
              <w:t xml:space="preserve">р за спровођење СЕМ ће се </w:t>
            </w:r>
            <w:r w:rsidR="003117ED" w:rsidRPr="00FF386D">
              <w:rPr>
                <w:rFonts w:ascii="Calibri Light" w:hAnsi="Calibri Light"/>
                <w:sz w:val="20"/>
              </w:rPr>
              <w:t xml:space="preserve">по потреби </w:t>
            </w:r>
            <w:r w:rsidRPr="00FF386D">
              <w:rPr>
                <w:rFonts w:ascii="Calibri Light" w:hAnsi="Calibri Light"/>
                <w:sz w:val="20"/>
              </w:rPr>
              <w:t xml:space="preserve">унапређивати у наредном периоду. </w:t>
            </w:r>
            <w:r w:rsidRPr="000A2AFE">
              <w:rPr>
                <w:rFonts w:ascii="Calibri Light" w:eastAsia="Times New Roman" w:hAnsi="Calibri Light" w:cs="Calibri Light"/>
                <w:color w:val="000000"/>
                <w:sz w:val="20"/>
                <w:szCs w:val="20"/>
                <w:lang w:eastAsia="en-GB"/>
              </w:rPr>
              <w:t>У циљу праћења спровођења СЕМ Министарство рударства и енергетике ће обезбедити рад неопходних информационих система.</w:t>
            </w:r>
            <w:r w:rsidR="00DC5AB3">
              <w:t xml:space="preserve"> </w:t>
            </w:r>
            <w:r w:rsidR="00DC5AB3" w:rsidRPr="00DC5AB3">
              <w:rPr>
                <w:rFonts w:ascii="Calibri Light" w:eastAsia="Times New Roman" w:hAnsi="Calibri Light" w:cs="Calibri Light"/>
                <w:color w:val="000000"/>
                <w:sz w:val="20"/>
                <w:szCs w:val="20"/>
                <w:lang w:eastAsia="en-GB"/>
              </w:rPr>
              <w:t>На крају, биће обавезно одређивање енергетских менаџера у јавним и општинским зградама који ће, између осталих дужности, пратити потрошњу финалне енергије, утврђивати најисплативије интервенције енергетске ефикасности, вршити надзор над изведеним радовима на енергетској санацији зграда и развијати системе енергетског менаџмента.</w:t>
            </w:r>
          </w:p>
        </w:tc>
      </w:tr>
      <w:tr w:rsidR="00854ADA" w:rsidRPr="00FF386D" w14:paraId="4430D9D8" w14:textId="77777777" w:rsidTr="0057310C">
        <w:trPr>
          <w:trHeight w:val="315"/>
        </w:trPr>
        <w:tc>
          <w:tcPr>
            <w:tcW w:w="3251" w:type="dxa"/>
            <w:tcBorders>
              <w:top w:val="nil"/>
              <w:left w:val="single" w:sz="8" w:space="0" w:color="auto"/>
              <w:bottom w:val="single" w:sz="8" w:space="0" w:color="auto"/>
              <w:right w:val="single" w:sz="8" w:space="0" w:color="auto"/>
            </w:tcBorders>
            <w:shd w:val="clear" w:color="000000" w:fill="244062"/>
            <w:vAlign w:val="center"/>
            <w:hideMark/>
          </w:tcPr>
          <w:p w14:paraId="027E9F1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207" w:type="dxa"/>
            <w:gridSpan w:val="5"/>
            <w:tcBorders>
              <w:top w:val="single" w:sz="8" w:space="0" w:color="auto"/>
              <w:left w:val="nil"/>
              <w:bottom w:val="single" w:sz="8" w:space="0" w:color="auto"/>
              <w:right w:val="single" w:sz="8" w:space="0" w:color="000000"/>
            </w:tcBorders>
            <w:shd w:val="clear" w:color="auto" w:fill="auto"/>
            <w:vAlign w:val="center"/>
            <w:hideMark/>
          </w:tcPr>
          <w:p w14:paraId="4EA8FE4E" w14:textId="2BFB74DA"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001085" w:rsidRPr="00FF386D">
              <w:rPr>
                <w:rFonts w:ascii="Calibri Light" w:hAnsi="Calibri Light"/>
                <w:sz w:val="20"/>
              </w:rPr>
              <w:t>5</w:t>
            </w:r>
            <w:r w:rsidRPr="00FF386D">
              <w:rPr>
                <w:rFonts w:ascii="Calibri Light" w:hAnsi="Calibri Light"/>
                <w:sz w:val="20"/>
              </w:rPr>
              <w:t>-2030.</w:t>
            </w:r>
          </w:p>
        </w:tc>
      </w:tr>
      <w:tr w:rsidR="00854ADA" w:rsidRPr="00FF386D" w14:paraId="66C0DB11" w14:textId="77777777" w:rsidTr="0057310C">
        <w:trPr>
          <w:trHeight w:val="315"/>
        </w:trPr>
        <w:tc>
          <w:tcPr>
            <w:tcW w:w="3251" w:type="dxa"/>
            <w:tcBorders>
              <w:top w:val="nil"/>
              <w:left w:val="single" w:sz="8" w:space="0" w:color="auto"/>
              <w:bottom w:val="single" w:sz="8" w:space="0" w:color="auto"/>
              <w:right w:val="single" w:sz="8" w:space="0" w:color="auto"/>
            </w:tcBorders>
            <w:shd w:val="clear" w:color="000000" w:fill="244062"/>
            <w:vAlign w:val="center"/>
            <w:hideMark/>
          </w:tcPr>
          <w:p w14:paraId="2122065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207" w:type="dxa"/>
            <w:gridSpan w:val="5"/>
            <w:tcBorders>
              <w:top w:val="single" w:sz="8" w:space="0" w:color="auto"/>
              <w:left w:val="nil"/>
              <w:bottom w:val="single" w:sz="8" w:space="0" w:color="auto"/>
              <w:right w:val="single" w:sz="8" w:space="0" w:color="000000"/>
            </w:tcBorders>
            <w:shd w:val="clear" w:color="auto" w:fill="auto"/>
            <w:vAlign w:val="center"/>
            <w:hideMark/>
          </w:tcPr>
          <w:p w14:paraId="315A0D66"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Реформа и инвестиција</w:t>
            </w:r>
          </w:p>
        </w:tc>
      </w:tr>
      <w:tr w:rsidR="00854ADA" w:rsidRPr="00FF386D" w14:paraId="5933FCD7" w14:textId="77777777" w:rsidTr="0057310C">
        <w:trPr>
          <w:trHeight w:val="315"/>
        </w:trPr>
        <w:tc>
          <w:tcPr>
            <w:tcW w:w="3251" w:type="dxa"/>
            <w:tcBorders>
              <w:top w:val="nil"/>
              <w:left w:val="single" w:sz="8" w:space="0" w:color="auto"/>
              <w:bottom w:val="single" w:sz="8" w:space="0" w:color="auto"/>
              <w:right w:val="single" w:sz="8" w:space="0" w:color="auto"/>
            </w:tcBorders>
            <w:shd w:val="clear" w:color="000000" w:fill="244062"/>
            <w:vAlign w:val="center"/>
            <w:hideMark/>
          </w:tcPr>
          <w:p w14:paraId="0FA1134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207" w:type="dxa"/>
            <w:gridSpan w:val="5"/>
            <w:tcBorders>
              <w:top w:val="single" w:sz="8" w:space="0" w:color="auto"/>
              <w:left w:val="nil"/>
              <w:bottom w:val="single" w:sz="8" w:space="0" w:color="auto"/>
              <w:right w:val="single" w:sz="8" w:space="0" w:color="000000"/>
            </w:tcBorders>
            <w:shd w:val="clear" w:color="auto" w:fill="auto"/>
            <w:vAlign w:val="center"/>
            <w:hideMark/>
          </w:tcPr>
          <w:p w14:paraId="316DB7E1"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Јавни, комерцијални, индустријски</w:t>
            </w:r>
          </w:p>
        </w:tc>
      </w:tr>
      <w:tr w:rsidR="00854ADA" w:rsidRPr="00FF386D" w14:paraId="57674FE9" w14:textId="77777777" w:rsidTr="0057310C">
        <w:trPr>
          <w:trHeight w:val="315"/>
        </w:trPr>
        <w:tc>
          <w:tcPr>
            <w:tcW w:w="3251" w:type="dxa"/>
            <w:tcBorders>
              <w:top w:val="nil"/>
              <w:left w:val="single" w:sz="8" w:space="0" w:color="auto"/>
              <w:bottom w:val="single" w:sz="8" w:space="0" w:color="auto"/>
              <w:right w:val="single" w:sz="8" w:space="0" w:color="auto"/>
            </w:tcBorders>
            <w:shd w:val="clear" w:color="000000" w:fill="244062"/>
            <w:vAlign w:val="center"/>
            <w:hideMark/>
          </w:tcPr>
          <w:p w14:paraId="3A77B69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207" w:type="dxa"/>
            <w:gridSpan w:val="5"/>
            <w:tcBorders>
              <w:top w:val="single" w:sz="8" w:space="0" w:color="auto"/>
              <w:left w:val="nil"/>
              <w:bottom w:val="single" w:sz="8" w:space="0" w:color="auto"/>
              <w:right w:val="single" w:sz="8" w:space="0" w:color="000000"/>
            </w:tcBorders>
            <w:shd w:val="clear" w:color="auto" w:fill="auto"/>
            <w:vAlign w:val="center"/>
            <w:hideMark/>
          </w:tcPr>
          <w:p w14:paraId="1DA4D40A" w14:textId="6F153081" w:rsidR="00854ADA" w:rsidRPr="00FF386D" w:rsidRDefault="00854ADA" w:rsidP="00854ADA">
            <w:pPr>
              <w:numPr>
                <w:ilvl w:val="0"/>
                <w:numId w:val="153"/>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 xml:space="preserve">Министарство рударства и </w:t>
            </w:r>
            <w:r w:rsidR="00F822F5" w:rsidRPr="00FF386D">
              <w:rPr>
                <w:rFonts w:ascii="Calibri Light" w:hAnsi="Calibri Light"/>
                <w:sz w:val="20"/>
              </w:rPr>
              <w:t>енергетике</w:t>
            </w:r>
          </w:p>
        </w:tc>
      </w:tr>
      <w:tr w:rsidR="00854ADA" w:rsidRPr="00FF386D" w14:paraId="2DFEE244" w14:textId="77777777" w:rsidTr="0057310C">
        <w:trPr>
          <w:trHeight w:val="315"/>
        </w:trPr>
        <w:tc>
          <w:tcPr>
            <w:tcW w:w="3251" w:type="dxa"/>
            <w:tcBorders>
              <w:top w:val="nil"/>
              <w:left w:val="single" w:sz="8" w:space="0" w:color="auto"/>
              <w:bottom w:val="single" w:sz="8" w:space="0" w:color="auto"/>
              <w:right w:val="nil"/>
            </w:tcBorders>
            <w:shd w:val="clear" w:color="000000" w:fill="244062"/>
            <w:vAlign w:val="center"/>
            <w:hideMark/>
          </w:tcPr>
          <w:p w14:paraId="3171740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207" w:type="dxa"/>
            <w:gridSpan w:val="5"/>
            <w:tcBorders>
              <w:top w:val="single" w:sz="8" w:space="0" w:color="auto"/>
              <w:left w:val="nil"/>
              <w:bottom w:val="single" w:sz="8" w:space="0" w:color="auto"/>
              <w:right w:val="single" w:sz="8" w:space="0" w:color="000000"/>
            </w:tcBorders>
            <w:shd w:val="clear" w:color="auto" w:fill="auto"/>
            <w:vAlign w:val="center"/>
            <w:hideMark/>
          </w:tcPr>
          <w:p w14:paraId="687D67AA" w14:textId="786706EA" w:rsidR="00854ADA" w:rsidRPr="000A2AFE" w:rsidRDefault="00C34D8A" w:rsidP="000A2AFE">
            <w:pPr>
              <w:pStyle w:val="ListParagraph"/>
              <w:numPr>
                <w:ilvl w:val="0"/>
                <w:numId w:val="153"/>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270E9D1B" w14:textId="77777777" w:rsidTr="0057310C">
        <w:trPr>
          <w:trHeight w:val="315"/>
        </w:trPr>
        <w:tc>
          <w:tcPr>
            <w:tcW w:w="3251" w:type="dxa"/>
            <w:tcBorders>
              <w:top w:val="nil"/>
              <w:left w:val="single" w:sz="8" w:space="0" w:color="auto"/>
              <w:bottom w:val="single" w:sz="8" w:space="0" w:color="auto"/>
              <w:right w:val="nil"/>
            </w:tcBorders>
            <w:shd w:val="clear" w:color="000000" w:fill="244062"/>
            <w:vAlign w:val="center"/>
            <w:hideMark/>
          </w:tcPr>
          <w:p w14:paraId="263B07B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207" w:type="dxa"/>
            <w:gridSpan w:val="5"/>
            <w:tcBorders>
              <w:top w:val="single" w:sz="8" w:space="0" w:color="auto"/>
              <w:left w:val="nil"/>
              <w:bottom w:val="single" w:sz="8" w:space="0" w:color="auto"/>
              <w:right w:val="single" w:sz="8" w:space="0" w:color="000000"/>
            </w:tcBorders>
            <w:shd w:val="clear" w:color="auto" w:fill="auto"/>
            <w:vAlign w:val="center"/>
            <w:hideMark/>
          </w:tcPr>
          <w:p w14:paraId="41A30BF5" w14:textId="77777777" w:rsidR="00854ADA" w:rsidRPr="000A2AFE" w:rsidRDefault="00854ADA" w:rsidP="000A2AFE">
            <w:pPr>
              <w:pStyle w:val="ListParagraph"/>
              <w:numPr>
                <w:ilvl w:val="0"/>
                <w:numId w:val="153"/>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Број спроведеним енергетских прегледа </w:t>
            </w:r>
          </w:p>
        </w:tc>
      </w:tr>
      <w:tr w:rsidR="00854ADA" w:rsidRPr="00FF386D" w14:paraId="70A23EDB" w14:textId="77777777" w:rsidTr="0057310C">
        <w:trPr>
          <w:trHeight w:val="425"/>
        </w:trPr>
        <w:tc>
          <w:tcPr>
            <w:tcW w:w="3251" w:type="dxa"/>
            <w:tcBorders>
              <w:top w:val="nil"/>
              <w:left w:val="single" w:sz="8" w:space="0" w:color="auto"/>
              <w:bottom w:val="single" w:sz="8" w:space="0" w:color="auto"/>
              <w:right w:val="single" w:sz="8" w:space="0" w:color="auto"/>
            </w:tcBorders>
            <w:shd w:val="clear" w:color="000000" w:fill="244062"/>
            <w:vAlign w:val="center"/>
            <w:hideMark/>
          </w:tcPr>
          <w:p w14:paraId="76ADEC3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207" w:type="dxa"/>
            <w:gridSpan w:val="5"/>
            <w:tcBorders>
              <w:top w:val="single" w:sz="8" w:space="0" w:color="auto"/>
              <w:left w:val="nil"/>
              <w:bottom w:val="single" w:sz="8" w:space="0" w:color="auto"/>
              <w:right w:val="single" w:sz="8" w:space="0" w:color="000000"/>
            </w:tcBorders>
            <w:shd w:val="clear" w:color="auto" w:fill="auto"/>
            <w:vAlign w:val="center"/>
            <w:hideMark/>
          </w:tcPr>
          <w:p w14:paraId="2685A151" w14:textId="45CBEBA5" w:rsidR="00C34D8A" w:rsidRPr="00C34D8A" w:rsidRDefault="00C34D8A" w:rsidP="00C34D8A">
            <w:pPr>
              <w:numPr>
                <w:ilvl w:val="0"/>
                <w:numId w:val="153"/>
              </w:numPr>
              <w:spacing w:after="0" w:line="240" w:lineRule="auto"/>
              <w:contextualSpacing/>
              <w:rPr>
                <w:rFonts w:ascii="Calibri Light" w:eastAsia="Times New Roman" w:hAnsi="Calibri Light" w:cs="Calibri Light"/>
                <w:color w:val="000000"/>
                <w:sz w:val="20"/>
                <w:szCs w:val="20"/>
                <w:lang w:eastAsia="en-GB"/>
              </w:rPr>
            </w:pPr>
            <w:r w:rsidRPr="00C34D8A">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C34D8A">
              <w:rPr>
                <w:rFonts w:ascii="Calibri Light" w:eastAsia="Times New Roman" w:hAnsi="Calibri Light" w:cs="Calibri Light"/>
                <w:i/>
                <w:iCs/>
                <w:color w:val="000000"/>
                <w:sz w:val="20"/>
                <w:szCs w:val="20"/>
                <w:lang w:val="en-US" w:eastAsia="en-GB"/>
              </w:rPr>
              <w:t>GHG</w:t>
            </w:r>
            <w:r w:rsidRPr="00C34D8A">
              <w:rPr>
                <w:rFonts w:ascii="Calibri Light" w:eastAsia="Times New Roman" w:hAnsi="Calibri Light" w:cs="Calibri Light"/>
                <w:i/>
                <w:iCs/>
                <w:color w:val="000000"/>
                <w:sz w:val="20"/>
                <w:szCs w:val="20"/>
                <w:lang w:eastAsia="en-GB"/>
              </w:rPr>
              <w:t xml:space="preserve"> </w:t>
            </w:r>
            <w:r w:rsidRPr="00C34D8A">
              <w:rPr>
                <w:rFonts w:ascii="Calibri Light" w:eastAsia="Times New Roman" w:hAnsi="Calibri Light" w:cs="Calibri Light"/>
                <w:color w:val="000000"/>
                <w:sz w:val="20"/>
                <w:szCs w:val="20"/>
                <w:lang w:eastAsia="en-GB"/>
              </w:rPr>
              <w:t>а коришћене технологије ОИЕ ће довести до повећања удела ОИЕ у грејању и хлађењу)</w:t>
            </w:r>
          </w:p>
          <w:p w14:paraId="094D2C1E" w14:textId="6F8A5699" w:rsidR="00854ADA" w:rsidRPr="00FF386D" w:rsidRDefault="00C34D8A" w:rsidP="00C34D8A">
            <w:pPr>
              <w:numPr>
                <w:ilvl w:val="0"/>
                <w:numId w:val="153"/>
              </w:numPr>
              <w:spacing w:after="0" w:line="240" w:lineRule="auto"/>
              <w:contextualSpacing/>
              <w:rPr>
                <w:rFonts w:ascii="Calibri Light" w:eastAsia="Times New Roman" w:hAnsi="Calibri Light" w:cs="Calibri Light"/>
                <w:color w:val="000000"/>
                <w:sz w:val="20"/>
                <w:szCs w:val="20"/>
                <w:lang w:eastAsia="en-GB"/>
              </w:rPr>
            </w:pPr>
            <w:r w:rsidRPr="00C34D8A">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854ADA" w:rsidRPr="00FF386D" w14:paraId="602AB408" w14:textId="77777777" w:rsidTr="0057310C">
        <w:trPr>
          <w:trHeight w:val="450"/>
        </w:trPr>
        <w:tc>
          <w:tcPr>
            <w:tcW w:w="3251"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1B524E19" w14:textId="7BD0DDBB"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207" w:type="dxa"/>
            <w:gridSpan w:val="5"/>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3F8AD658" w14:textId="48A0ED9F" w:rsidR="00854ADA" w:rsidRPr="000A2AFE" w:rsidRDefault="00854ADA" w:rsidP="00001085">
            <w:pPr>
              <w:pStyle w:val="ListParagraph"/>
              <w:numPr>
                <w:ilvl w:val="0"/>
                <w:numId w:val="153"/>
              </w:num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001085"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2012/27</w:t>
            </w:r>
          </w:p>
          <w:p w14:paraId="4C4DCFD3" w14:textId="1645C319" w:rsidR="00854ADA" w:rsidRPr="00FF386D" w:rsidRDefault="00854ADA" w:rsidP="00854ADA">
            <w:pPr>
              <w:numPr>
                <w:ilvl w:val="0"/>
                <w:numId w:val="153"/>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001085"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2018/2002</w:t>
            </w:r>
          </w:p>
        </w:tc>
      </w:tr>
      <w:tr w:rsidR="00854ADA" w:rsidRPr="00FF386D" w14:paraId="45D2BC2D" w14:textId="77777777" w:rsidTr="0057310C">
        <w:trPr>
          <w:trHeight w:val="450"/>
        </w:trPr>
        <w:tc>
          <w:tcPr>
            <w:tcW w:w="3251" w:type="dxa"/>
            <w:vMerge/>
            <w:tcBorders>
              <w:top w:val="nil"/>
              <w:left w:val="single" w:sz="8" w:space="0" w:color="auto"/>
              <w:bottom w:val="single" w:sz="8" w:space="0" w:color="000000"/>
              <w:right w:val="single" w:sz="8" w:space="0" w:color="auto"/>
            </w:tcBorders>
            <w:vAlign w:val="center"/>
            <w:hideMark/>
          </w:tcPr>
          <w:p w14:paraId="614983B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207" w:type="dxa"/>
            <w:gridSpan w:val="5"/>
            <w:vMerge/>
            <w:tcBorders>
              <w:top w:val="single" w:sz="8" w:space="0" w:color="auto"/>
              <w:left w:val="single" w:sz="8" w:space="0" w:color="auto"/>
              <w:bottom w:val="single" w:sz="8" w:space="0" w:color="000000"/>
              <w:right w:val="single" w:sz="8" w:space="0" w:color="000000"/>
            </w:tcBorders>
            <w:vAlign w:val="center"/>
            <w:hideMark/>
          </w:tcPr>
          <w:p w14:paraId="5C4E6056" w14:textId="77777777" w:rsidR="00854ADA" w:rsidRPr="00FF386D" w:rsidRDefault="00854ADA" w:rsidP="00854ADA">
            <w:pPr>
              <w:numPr>
                <w:ilvl w:val="0"/>
                <w:numId w:val="153"/>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0B07B929" w14:textId="77777777" w:rsidTr="0057310C">
        <w:trPr>
          <w:trHeight w:val="450"/>
        </w:trPr>
        <w:tc>
          <w:tcPr>
            <w:tcW w:w="3251" w:type="dxa"/>
            <w:vMerge/>
            <w:tcBorders>
              <w:top w:val="nil"/>
              <w:left w:val="single" w:sz="8" w:space="0" w:color="auto"/>
              <w:bottom w:val="single" w:sz="8" w:space="0" w:color="000000"/>
              <w:right w:val="single" w:sz="8" w:space="0" w:color="auto"/>
            </w:tcBorders>
            <w:vAlign w:val="center"/>
            <w:hideMark/>
          </w:tcPr>
          <w:p w14:paraId="4089EAA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207" w:type="dxa"/>
            <w:gridSpan w:val="5"/>
            <w:vMerge/>
            <w:tcBorders>
              <w:top w:val="single" w:sz="8" w:space="0" w:color="auto"/>
              <w:left w:val="single" w:sz="8" w:space="0" w:color="auto"/>
              <w:bottom w:val="single" w:sz="8" w:space="0" w:color="000000"/>
              <w:right w:val="single" w:sz="8" w:space="0" w:color="000000"/>
            </w:tcBorders>
            <w:vAlign w:val="center"/>
            <w:hideMark/>
          </w:tcPr>
          <w:p w14:paraId="05FB0BFE" w14:textId="77777777" w:rsidR="00854ADA" w:rsidRPr="00FF386D" w:rsidRDefault="00854ADA" w:rsidP="00854ADA">
            <w:pPr>
              <w:numPr>
                <w:ilvl w:val="0"/>
                <w:numId w:val="153"/>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2899DE38" w14:textId="77777777" w:rsidTr="0057310C">
        <w:trPr>
          <w:trHeight w:val="600"/>
        </w:trPr>
        <w:tc>
          <w:tcPr>
            <w:tcW w:w="3251" w:type="dxa"/>
            <w:tcBorders>
              <w:top w:val="nil"/>
              <w:left w:val="single" w:sz="8" w:space="0" w:color="auto"/>
              <w:bottom w:val="single" w:sz="8" w:space="0" w:color="auto"/>
              <w:right w:val="single" w:sz="8" w:space="0" w:color="auto"/>
            </w:tcBorders>
            <w:shd w:val="clear" w:color="000000" w:fill="244062"/>
            <w:vAlign w:val="center"/>
            <w:hideMark/>
          </w:tcPr>
          <w:p w14:paraId="425721F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07" w:type="dxa"/>
            <w:gridSpan w:val="5"/>
            <w:tcBorders>
              <w:top w:val="single" w:sz="8" w:space="0" w:color="auto"/>
              <w:left w:val="nil"/>
              <w:bottom w:val="single" w:sz="8" w:space="0" w:color="auto"/>
              <w:right w:val="single" w:sz="8" w:space="0" w:color="000000"/>
            </w:tcBorders>
            <w:shd w:val="clear" w:color="auto" w:fill="auto"/>
            <w:vAlign w:val="center"/>
            <w:hideMark/>
          </w:tcPr>
          <w:p w14:paraId="23BF439F" w14:textId="77777777" w:rsidR="00854ADA" w:rsidRPr="00FF386D" w:rsidRDefault="00854ADA" w:rsidP="00854ADA">
            <w:pPr>
              <w:numPr>
                <w:ilvl w:val="0"/>
                <w:numId w:val="153"/>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енергетској ефикасности и рационалној употреби енергије</w:t>
            </w:r>
          </w:p>
          <w:p w14:paraId="7B91EF65" w14:textId="77777777" w:rsidR="00854ADA" w:rsidRPr="00FF386D" w:rsidRDefault="00854ADA" w:rsidP="00854ADA">
            <w:pPr>
              <w:numPr>
                <w:ilvl w:val="0"/>
                <w:numId w:val="153"/>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4. НАПЕЕ</w:t>
            </w:r>
          </w:p>
        </w:tc>
      </w:tr>
      <w:tr w:rsidR="00854ADA" w:rsidRPr="00FF386D" w14:paraId="2D1C5AE4" w14:textId="77777777" w:rsidTr="0057310C">
        <w:trPr>
          <w:trHeight w:val="315"/>
        </w:trPr>
        <w:tc>
          <w:tcPr>
            <w:tcW w:w="3251" w:type="dxa"/>
            <w:tcBorders>
              <w:top w:val="nil"/>
              <w:left w:val="single" w:sz="8" w:space="0" w:color="auto"/>
              <w:bottom w:val="single" w:sz="8" w:space="0" w:color="auto"/>
              <w:right w:val="single" w:sz="8" w:space="0" w:color="auto"/>
            </w:tcBorders>
            <w:shd w:val="clear" w:color="000000" w:fill="244062"/>
            <w:vAlign w:val="center"/>
            <w:hideMark/>
          </w:tcPr>
          <w:p w14:paraId="31EECCC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Трошкови имплементације</w:t>
            </w:r>
          </w:p>
        </w:tc>
        <w:tc>
          <w:tcPr>
            <w:tcW w:w="6207" w:type="dxa"/>
            <w:gridSpan w:val="5"/>
            <w:tcBorders>
              <w:top w:val="single" w:sz="8" w:space="0" w:color="auto"/>
              <w:left w:val="nil"/>
              <w:bottom w:val="single" w:sz="8" w:space="0" w:color="auto"/>
              <w:right w:val="single" w:sz="8" w:space="0" w:color="000000"/>
            </w:tcBorders>
            <w:shd w:val="clear" w:color="auto" w:fill="auto"/>
            <w:vAlign w:val="center"/>
            <w:hideMark/>
          </w:tcPr>
          <w:p w14:paraId="3133D919" w14:textId="16882C59"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 xml:space="preserve">Буџет </w:t>
            </w:r>
            <w:r w:rsidR="00001085" w:rsidRPr="00FF386D">
              <w:rPr>
                <w:rFonts w:ascii="Calibri Light" w:eastAsia="Times New Roman" w:hAnsi="Calibri Light" w:cs="Calibri Light"/>
                <w:color w:val="000000"/>
                <w:sz w:val="20"/>
                <w:szCs w:val="20"/>
                <w:lang w:eastAsia="en-GB"/>
              </w:rPr>
              <w:t>обухваћен</w:t>
            </w:r>
            <w:r w:rsidRPr="00FF386D">
              <w:rPr>
                <w:rFonts w:ascii="Calibri Light" w:eastAsia="Times New Roman" w:hAnsi="Calibri Light" w:cs="Calibri Light"/>
                <w:color w:val="000000"/>
                <w:sz w:val="20"/>
                <w:szCs w:val="20"/>
                <w:lang w:eastAsia="en-GB"/>
              </w:rPr>
              <w:t xml:space="preserve"> у св</w:t>
            </w:r>
            <w:r w:rsidR="00001085" w:rsidRPr="00FF386D">
              <w:rPr>
                <w:rFonts w:ascii="Calibri Light" w:eastAsia="Times New Roman" w:hAnsi="Calibri Light" w:cs="Calibri Light"/>
                <w:color w:val="000000"/>
                <w:sz w:val="20"/>
                <w:szCs w:val="20"/>
                <w:lang w:eastAsia="en-GB"/>
              </w:rPr>
              <w:t>им</w:t>
            </w:r>
            <w:r w:rsidRPr="00FF386D">
              <w:rPr>
                <w:rFonts w:ascii="Calibri Light" w:eastAsia="Times New Roman" w:hAnsi="Calibri Light" w:cs="Calibri Light"/>
                <w:color w:val="000000"/>
                <w:sz w:val="20"/>
                <w:szCs w:val="20"/>
                <w:lang w:eastAsia="en-GB"/>
              </w:rPr>
              <w:t xml:space="preserve"> мер</w:t>
            </w:r>
            <w:r w:rsidR="00001085" w:rsidRPr="00FF386D">
              <w:rPr>
                <w:rFonts w:ascii="Calibri Light" w:eastAsia="Times New Roman" w:hAnsi="Calibri Light" w:cs="Calibri Light"/>
                <w:color w:val="000000"/>
                <w:sz w:val="20"/>
                <w:szCs w:val="20"/>
                <w:lang w:eastAsia="en-GB"/>
              </w:rPr>
              <w:t>ама</w:t>
            </w:r>
            <w:r w:rsidRPr="00FF386D">
              <w:rPr>
                <w:rFonts w:ascii="Calibri Light" w:eastAsia="Times New Roman" w:hAnsi="Calibri Light" w:cs="Calibri Light"/>
                <w:color w:val="000000"/>
                <w:sz w:val="20"/>
                <w:szCs w:val="20"/>
                <w:lang w:eastAsia="en-GB"/>
              </w:rPr>
              <w:t xml:space="preserve"> </w:t>
            </w:r>
            <w:r w:rsidR="00001085" w:rsidRPr="00FF386D">
              <w:rPr>
                <w:rFonts w:ascii="Calibri Light" w:eastAsia="Times New Roman" w:hAnsi="Calibri Light" w:cs="Calibri Light"/>
                <w:color w:val="000000"/>
                <w:sz w:val="20"/>
                <w:szCs w:val="20"/>
                <w:lang w:eastAsia="en-GB"/>
              </w:rPr>
              <w:t>финалне потрошње– уштедама које се разматрају</w:t>
            </w:r>
          </w:p>
        </w:tc>
      </w:tr>
      <w:tr w:rsidR="00854ADA" w:rsidRPr="00FF386D" w14:paraId="51682DB5" w14:textId="77777777" w:rsidTr="0057310C">
        <w:trPr>
          <w:trHeight w:val="315"/>
        </w:trPr>
        <w:tc>
          <w:tcPr>
            <w:tcW w:w="3251" w:type="dxa"/>
            <w:tcBorders>
              <w:top w:val="nil"/>
              <w:left w:val="single" w:sz="8" w:space="0" w:color="auto"/>
              <w:bottom w:val="single" w:sz="8" w:space="0" w:color="auto"/>
              <w:right w:val="single" w:sz="8" w:space="0" w:color="auto"/>
            </w:tcBorders>
            <w:shd w:val="clear" w:color="000000" w:fill="244062"/>
            <w:vAlign w:val="center"/>
            <w:hideMark/>
          </w:tcPr>
          <w:p w14:paraId="33D7A94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07" w:type="dxa"/>
            <w:gridSpan w:val="5"/>
            <w:tcBorders>
              <w:top w:val="single" w:sz="8" w:space="0" w:color="auto"/>
              <w:left w:val="nil"/>
              <w:bottom w:val="single" w:sz="8" w:space="0" w:color="auto"/>
              <w:right w:val="single" w:sz="8" w:space="0" w:color="000000"/>
            </w:tcBorders>
            <w:shd w:val="clear" w:color="auto" w:fill="auto"/>
            <w:vAlign w:val="center"/>
            <w:hideMark/>
          </w:tcPr>
          <w:p w14:paraId="738506F0" w14:textId="46DE73FA"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001085" w:rsidRPr="00FF386D">
              <w:rPr>
                <w:rFonts w:asciiTheme="majorHAnsi" w:eastAsia="Times New Roman" w:hAnsiTheme="majorHAnsi" w:cstheme="majorHAnsi"/>
                <w:color w:val="000000"/>
                <w:sz w:val="20"/>
                <w:szCs w:val="20"/>
                <w:lang w:eastAsia="en-GB"/>
              </w:rPr>
              <w:t xml:space="preserve">ска и сопствена </w:t>
            </w:r>
            <w:r w:rsidRPr="00FF386D">
              <w:rPr>
                <w:rFonts w:asciiTheme="majorHAnsi" w:eastAsia="Times New Roman" w:hAnsiTheme="majorHAnsi" w:cstheme="majorHAnsi"/>
                <w:color w:val="000000"/>
                <w:sz w:val="20"/>
                <w:szCs w:val="20"/>
                <w:lang w:eastAsia="en-GB"/>
              </w:rPr>
              <w:t>средства</w:t>
            </w:r>
          </w:p>
        </w:tc>
      </w:tr>
      <w:tr w:rsidR="00854ADA" w:rsidRPr="00FF386D" w14:paraId="223C13B4" w14:textId="77777777" w:rsidTr="000A2AFE">
        <w:trPr>
          <w:trHeight w:val="315"/>
        </w:trPr>
        <w:tc>
          <w:tcPr>
            <w:tcW w:w="3251" w:type="dxa"/>
            <w:tcBorders>
              <w:bottom w:val="single" w:sz="8" w:space="0" w:color="auto"/>
            </w:tcBorders>
            <w:shd w:val="clear" w:color="auto" w:fill="auto"/>
            <w:vAlign w:val="center"/>
          </w:tcPr>
          <w:p w14:paraId="24AE50CC"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p>
          <w:p w14:paraId="4E5E65FE"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p>
        </w:tc>
        <w:tc>
          <w:tcPr>
            <w:tcW w:w="6207" w:type="dxa"/>
            <w:gridSpan w:val="5"/>
            <w:tcBorders>
              <w:bottom w:val="single" w:sz="8" w:space="0" w:color="auto"/>
            </w:tcBorders>
            <w:shd w:val="clear" w:color="auto" w:fill="auto"/>
            <w:vAlign w:val="center"/>
          </w:tcPr>
          <w:p w14:paraId="167BB0D8"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p>
        </w:tc>
      </w:tr>
      <w:tr w:rsidR="00854ADA" w:rsidRPr="00FF386D" w14:paraId="480C3EA7" w14:textId="77777777" w:rsidTr="000A2AFE">
        <w:trPr>
          <w:trHeight w:val="780"/>
        </w:trPr>
        <w:tc>
          <w:tcPr>
            <w:tcW w:w="3310"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75CCB3EF" w14:textId="77777777" w:rsidR="00854ADA" w:rsidRPr="000A2AFE" w:rsidRDefault="00854ADA" w:rsidP="00854ADA">
            <w:pPr>
              <w:spacing w:after="0" w:line="240" w:lineRule="auto"/>
              <w:jc w:val="both"/>
              <w:rPr>
                <w:rFonts w:asciiTheme="majorHAnsi" w:hAnsiTheme="majorHAnsi" w:cstheme="majorHAnsi"/>
                <w:b/>
                <w:bCs/>
                <w:sz w:val="20"/>
                <w:szCs w:val="20"/>
              </w:rPr>
            </w:pPr>
            <w:r w:rsidRPr="00FF386D">
              <w:rPr>
                <w:rFonts w:asciiTheme="majorHAnsi" w:hAnsiTheme="majorHAnsi" w:cstheme="majorHAnsi"/>
                <w:b/>
                <w:bCs/>
                <w:sz w:val="20"/>
                <w:szCs w:val="20"/>
              </w:rPr>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491FC5F8" w14:textId="77777777" w:rsidR="00854ADA" w:rsidRPr="000A2AFE" w:rsidRDefault="00854ADA" w:rsidP="00854ADA">
            <w:pPr>
              <w:spacing w:after="0" w:line="240" w:lineRule="auto"/>
              <w:jc w:val="both"/>
              <w:rPr>
                <w:rFonts w:asciiTheme="majorHAnsi" w:hAnsiTheme="majorHAnsi" w:cstheme="majorHAnsi"/>
                <w:b/>
                <w:bCs/>
                <w:sz w:val="20"/>
                <w:szCs w:val="20"/>
              </w:rPr>
            </w:pPr>
            <w:r w:rsidRPr="000A2AFE">
              <w:rPr>
                <w:rFonts w:asciiTheme="majorHAnsi" w:hAnsiTheme="majorHAnsi" w:cstheme="majorHAnsi"/>
                <w:b/>
                <w:bCs/>
                <w:sz w:val="20"/>
                <w:szCs w:val="20"/>
              </w:rPr>
              <w:t>МП_ЕЕ29</w:t>
            </w:r>
          </w:p>
        </w:tc>
        <w:tc>
          <w:tcPr>
            <w:tcW w:w="942" w:type="dxa"/>
            <w:gridSpan w:val="2"/>
            <w:tcBorders>
              <w:top w:val="single" w:sz="8" w:space="0" w:color="auto"/>
              <w:left w:val="nil"/>
              <w:bottom w:val="single" w:sz="8" w:space="0" w:color="auto"/>
              <w:right w:val="single" w:sz="8" w:space="0" w:color="auto"/>
            </w:tcBorders>
            <w:shd w:val="clear" w:color="000000" w:fill="244062"/>
            <w:vAlign w:val="center"/>
            <w:hideMark/>
          </w:tcPr>
          <w:p w14:paraId="62FA9588" w14:textId="77777777" w:rsidR="00854ADA" w:rsidRPr="000A2AFE" w:rsidRDefault="00854ADA" w:rsidP="00854ADA">
            <w:pPr>
              <w:spacing w:after="0" w:line="240" w:lineRule="auto"/>
              <w:rPr>
                <w:rFonts w:asciiTheme="majorHAnsi" w:hAnsiTheme="majorHAnsi" w:cstheme="majorHAnsi"/>
                <w:b/>
                <w:bCs/>
                <w:sz w:val="20"/>
                <w:szCs w:val="20"/>
              </w:rPr>
            </w:pPr>
            <w:r w:rsidRPr="000A2AFE">
              <w:rPr>
                <w:rFonts w:asciiTheme="majorHAnsi" w:hAnsiTheme="majorHAnsi" w:cstheme="majorHAnsi"/>
                <w:b/>
                <w:bCs/>
                <w:sz w:val="20"/>
                <w:szCs w:val="20"/>
              </w:rPr>
              <w:t xml:space="preserve">Назив: </w:t>
            </w:r>
          </w:p>
        </w:tc>
        <w:tc>
          <w:tcPr>
            <w:tcW w:w="4199" w:type="dxa"/>
            <w:gridSpan w:val="2"/>
            <w:tcBorders>
              <w:top w:val="single" w:sz="8" w:space="0" w:color="auto"/>
              <w:left w:val="nil"/>
              <w:bottom w:val="single" w:sz="8" w:space="0" w:color="auto"/>
              <w:right w:val="single" w:sz="8" w:space="0" w:color="auto"/>
            </w:tcBorders>
            <w:shd w:val="clear" w:color="auto" w:fill="E7E6E6" w:themeFill="background2"/>
            <w:vAlign w:val="center"/>
            <w:hideMark/>
          </w:tcPr>
          <w:p w14:paraId="42476576" w14:textId="77777777" w:rsidR="00854ADA" w:rsidRPr="000A2AFE" w:rsidRDefault="00854ADA" w:rsidP="00854ADA">
            <w:pPr>
              <w:spacing w:after="0" w:line="240" w:lineRule="auto"/>
              <w:jc w:val="both"/>
              <w:rPr>
                <w:rFonts w:asciiTheme="majorHAnsi" w:hAnsiTheme="majorHAnsi" w:cstheme="majorHAnsi"/>
                <w:b/>
                <w:bCs/>
                <w:sz w:val="20"/>
                <w:szCs w:val="20"/>
              </w:rPr>
            </w:pPr>
            <w:r w:rsidRPr="000A2AFE">
              <w:rPr>
                <w:rFonts w:asciiTheme="majorHAnsi" w:hAnsiTheme="majorHAnsi" w:cstheme="majorHAnsi"/>
                <w:b/>
                <w:bCs/>
                <w:sz w:val="20"/>
                <w:szCs w:val="20"/>
              </w:rPr>
              <w:t>Промовисање енергетских прегледа у МСП и у домаћинствима</w:t>
            </w:r>
          </w:p>
        </w:tc>
      </w:tr>
      <w:tr w:rsidR="00854ADA" w:rsidRPr="00FF386D" w14:paraId="63774D23" w14:textId="77777777" w:rsidTr="0057310C">
        <w:trPr>
          <w:trHeight w:val="525"/>
        </w:trPr>
        <w:tc>
          <w:tcPr>
            <w:tcW w:w="3310" w:type="dxa"/>
            <w:tcBorders>
              <w:top w:val="nil"/>
              <w:left w:val="single" w:sz="8" w:space="0" w:color="auto"/>
              <w:bottom w:val="single" w:sz="8" w:space="0" w:color="auto"/>
              <w:right w:val="nil"/>
            </w:tcBorders>
            <w:shd w:val="clear" w:color="000000" w:fill="244062"/>
            <w:vAlign w:val="center"/>
            <w:hideMark/>
          </w:tcPr>
          <w:p w14:paraId="18CC5DE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48" w:type="dxa"/>
            <w:gridSpan w:val="5"/>
            <w:tcBorders>
              <w:top w:val="single" w:sz="8" w:space="0" w:color="auto"/>
              <w:left w:val="nil"/>
              <w:bottom w:val="single" w:sz="8" w:space="0" w:color="auto"/>
              <w:right w:val="single" w:sz="8" w:space="0" w:color="000000"/>
            </w:tcBorders>
            <w:shd w:val="clear" w:color="auto" w:fill="auto"/>
            <w:vAlign w:val="center"/>
            <w:hideMark/>
          </w:tcPr>
          <w:p w14:paraId="733AC9C5" w14:textId="06249B82" w:rsidR="00854ADA" w:rsidRPr="000A2AFE" w:rsidRDefault="00DF2151"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Примена</w:t>
            </w:r>
            <w:r w:rsidR="00854ADA" w:rsidRPr="00FF386D">
              <w:rPr>
                <w:rFonts w:ascii="Calibri Light" w:hAnsi="Calibri Light"/>
                <w:sz w:val="20"/>
              </w:rPr>
              <w:t xml:space="preserve"> чланова Директиве </w:t>
            </w:r>
            <w:r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w:t>
            </w:r>
            <w:r w:rsidRPr="00FF386D">
              <w:rPr>
                <w:rFonts w:ascii="Calibri Light" w:hAnsi="Calibri Light"/>
                <w:sz w:val="20"/>
              </w:rPr>
              <w:t>02, и то</w:t>
            </w:r>
            <w:r w:rsidR="00854ADA" w:rsidRPr="000A2AFE">
              <w:rPr>
                <w:rFonts w:ascii="Calibri Light" w:eastAsia="Times New Roman" w:hAnsi="Calibri Light" w:cs="Calibri Light"/>
                <w:color w:val="000000"/>
                <w:sz w:val="20"/>
                <w:szCs w:val="20"/>
                <w:lang w:eastAsia="en-GB"/>
              </w:rPr>
              <w:t>:</w:t>
            </w:r>
          </w:p>
          <w:p w14:paraId="315B7185" w14:textId="6E30F24B" w:rsidR="00854ADA" w:rsidRPr="000A2AFE" w:rsidRDefault="00854ADA" w:rsidP="00854ADA">
            <w:pPr>
              <w:numPr>
                <w:ilvl w:val="0"/>
                <w:numId w:val="2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A37623"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3</w:t>
            </w:r>
          </w:p>
          <w:p w14:paraId="68B70DB3" w14:textId="77777777" w:rsidR="00854ADA" w:rsidRDefault="00854ADA" w:rsidP="00854ADA">
            <w:pPr>
              <w:numPr>
                <w:ilvl w:val="0"/>
                <w:numId w:val="15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A37623"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7</w:t>
            </w:r>
          </w:p>
          <w:p w14:paraId="1C1EC4F9" w14:textId="718A34FC" w:rsidR="00886931" w:rsidRPr="00FF386D" w:rsidRDefault="00886931" w:rsidP="00854ADA">
            <w:pPr>
              <w:numPr>
                <w:ilvl w:val="0"/>
                <w:numId w:val="154"/>
              </w:numPr>
              <w:spacing w:after="0" w:line="240" w:lineRule="auto"/>
              <w:contextualSpacing/>
              <w:rPr>
                <w:rFonts w:ascii="Calibri Light" w:eastAsia="Times New Roman" w:hAnsi="Calibri Light" w:cs="Calibri Light"/>
                <w:color w:val="000000"/>
                <w:sz w:val="20"/>
                <w:szCs w:val="20"/>
                <w:lang w:eastAsia="en-GB"/>
              </w:rPr>
            </w:pPr>
            <w:r w:rsidRPr="00886931">
              <w:rPr>
                <w:rFonts w:ascii="Calibri Light" w:eastAsia="Times New Roman" w:hAnsi="Calibri Light" w:cs="Calibri Light"/>
                <w:color w:val="000000"/>
                <w:sz w:val="20"/>
                <w:szCs w:val="20"/>
                <w:lang w:eastAsia="en-GB"/>
              </w:rPr>
              <w:t>Члан 8</w:t>
            </w:r>
          </w:p>
        </w:tc>
      </w:tr>
      <w:tr w:rsidR="00854ADA" w:rsidRPr="00FF386D" w14:paraId="5E8DB4A6"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72D718E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48" w:type="dxa"/>
            <w:gridSpan w:val="5"/>
            <w:tcBorders>
              <w:top w:val="single" w:sz="8" w:space="0" w:color="auto"/>
              <w:left w:val="nil"/>
              <w:bottom w:val="single" w:sz="8" w:space="0" w:color="auto"/>
              <w:right w:val="single" w:sz="8" w:space="0" w:color="000000"/>
            </w:tcBorders>
            <w:shd w:val="clear" w:color="auto" w:fill="auto"/>
            <w:vAlign w:val="center"/>
            <w:hideMark/>
          </w:tcPr>
          <w:p w14:paraId="40E2F996" w14:textId="3B1C025E"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Допринос мери МП_ЕЕ1-МП_ЕЕ3</w:t>
            </w:r>
          </w:p>
        </w:tc>
      </w:tr>
      <w:tr w:rsidR="00854ADA" w:rsidRPr="00FF386D" w14:paraId="53051A5F" w14:textId="77777777" w:rsidTr="0057310C">
        <w:trPr>
          <w:trHeight w:val="1992"/>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7D58373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48" w:type="dxa"/>
            <w:gridSpan w:val="5"/>
            <w:tcBorders>
              <w:top w:val="single" w:sz="8" w:space="0" w:color="auto"/>
              <w:left w:val="nil"/>
              <w:bottom w:val="single" w:sz="8" w:space="0" w:color="auto"/>
              <w:right w:val="single" w:sz="8" w:space="0" w:color="000000"/>
            </w:tcBorders>
            <w:shd w:val="clear" w:color="auto" w:fill="auto"/>
            <w:vAlign w:val="center"/>
            <w:hideMark/>
          </w:tcPr>
          <w:p w14:paraId="3C4C37CA" w14:textId="3C93996E"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МП_ЕЕ29 ће </w:t>
            </w:r>
            <w:r w:rsidR="00886931" w:rsidRPr="00886931">
              <w:rPr>
                <w:rFonts w:ascii="Calibri Light" w:hAnsi="Calibri Light"/>
                <w:sz w:val="20"/>
              </w:rPr>
              <w:t>пружати финансијску подршку</w:t>
            </w:r>
            <w:r w:rsidRPr="00FF386D">
              <w:rPr>
                <w:rFonts w:ascii="Calibri Light" w:hAnsi="Calibri Light"/>
                <w:sz w:val="20"/>
              </w:rPr>
              <w:t xml:space="preserve"> спровођење енергетских прегледа у свим секторима финалне потрошње енергије</w:t>
            </w:r>
            <w:r w:rsidR="00A37623" w:rsidRPr="00FF386D">
              <w:rPr>
                <w:rFonts w:ascii="Calibri Light" w:hAnsi="Calibri Light"/>
                <w:sz w:val="20"/>
              </w:rPr>
              <w:t xml:space="preserve">, </w:t>
            </w:r>
            <w:r w:rsidRPr="00FF386D">
              <w:rPr>
                <w:rFonts w:ascii="Calibri Light" w:hAnsi="Calibri Light"/>
                <w:sz w:val="20"/>
              </w:rPr>
              <w:t xml:space="preserve">укључујући МСП и домаћинства. </w:t>
            </w:r>
            <w:r w:rsidR="00A37623" w:rsidRPr="00FF386D">
              <w:rPr>
                <w:rFonts w:ascii="Calibri Light" w:hAnsi="Calibri Light"/>
                <w:sz w:val="20"/>
              </w:rPr>
              <w:t>З</w:t>
            </w:r>
            <w:r w:rsidRPr="00FF386D">
              <w:rPr>
                <w:rFonts w:ascii="Calibri Light" w:hAnsi="Calibri Light"/>
                <w:sz w:val="20"/>
              </w:rPr>
              <w:t>а домаћинст</w:t>
            </w:r>
            <w:r w:rsidR="00A37623" w:rsidRPr="00FF386D">
              <w:rPr>
                <w:rFonts w:ascii="Calibri Light" w:hAnsi="Calibri Light"/>
                <w:sz w:val="20"/>
              </w:rPr>
              <w:t>ва</w:t>
            </w:r>
            <w:r w:rsidR="00DF2151" w:rsidRPr="00FF386D">
              <w:rPr>
                <w:rFonts w:ascii="Calibri Light" w:hAnsi="Calibri Light"/>
                <w:sz w:val="20"/>
              </w:rPr>
              <w:t xml:space="preserve"> ће </w:t>
            </w:r>
            <w:r w:rsidR="00A37623" w:rsidRPr="00FF386D">
              <w:rPr>
                <w:rFonts w:ascii="Calibri Light" w:hAnsi="Calibri Light"/>
                <w:sz w:val="20"/>
              </w:rPr>
              <w:t>посебно бити покренут</w:t>
            </w:r>
            <w:r w:rsidRPr="00FF386D">
              <w:rPr>
                <w:rFonts w:ascii="Calibri Light" w:hAnsi="Calibri Light"/>
                <w:sz w:val="20"/>
              </w:rPr>
              <w:t xml:space="preserve"> пилот програм кој</w:t>
            </w:r>
            <w:r w:rsidR="00DF2151" w:rsidRPr="00FF386D">
              <w:rPr>
                <w:rFonts w:ascii="Calibri Light" w:hAnsi="Calibri Light"/>
                <w:sz w:val="20"/>
              </w:rPr>
              <w:t>и ће покрити</w:t>
            </w:r>
            <w:r w:rsidRPr="00FF386D">
              <w:rPr>
                <w:rFonts w:ascii="Calibri Light" w:hAnsi="Calibri Light"/>
                <w:sz w:val="20"/>
              </w:rPr>
              <w:t xml:space="preserve"> трошкове имплементације како би се подигао ниво свести у домаћинствима и по</w:t>
            </w:r>
            <w:r w:rsidR="00DF2151" w:rsidRPr="00FF386D">
              <w:rPr>
                <w:rFonts w:ascii="Calibri Light" w:hAnsi="Calibri Light"/>
                <w:sz w:val="20"/>
              </w:rPr>
              <w:t>д</w:t>
            </w:r>
            <w:r w:rsidRPr="00FF386D">
              <w:rPr>
                <w:rFonts w:ascii="Calibri Light" w:hAnsi="Calibri Light"/>
                <w:sz w:val="20"/>
              </w:rPr>
              <w:t>с</w:t>
            </w:r>
            <w:r w:rsidR="00DF2151" w:rsidRPr="00FF386D">
              <w:rPr>
                <w:rFonts w:ascii="Calibri Light" w:hAnsi="Calibri Light"/>
                <w:sz w:val="20"/>
              </w:rPr>
              <w:t>т</w:t>
            </w:r>
            <w:r w:rsidR="00A37623" w:rsidRPr="00FF386D">
              <w:rPr>
                <w:rFonts w:ascii="Calibri Light" w:hAnsi="Calibri Light"/>
                <w:sz w:val="20"/>
              </w:rPr>
              <w:t>акло</w:t>
            </w:r>
            <w:r w:rsidRPr="00FF386D">
              <w:rPr>
                <w:rFonts w:ascii="Calibri Light" w:hAnsi="Calibri Light"/>
                <w:sz w:val="20"/>
              </w:rPr>
              <w:t xml:space="preserve"> додатно </w:t>
            </w:r>
            <w:r w:rsidR="00A37623" w:rsidRPr="00FF386D">
              <w:rPr>
                <w:rFonts w:ascii="Calibri Light" w:hAnsi="Calibri Light"/>
                <w:sz w:val="20"/>
              </w:rPr>
              <w:t>спровођење прегледа у</w:t>
            </w:r>
            <w:r w:rsidRPr="00FF386D">
              <w:rPr>
                <w:rFonts w:ascii="Calibri Light" w:hAnsi="Calibri Light"/>
                <w:sz w:val="20"/>
              </w:rPr>
              <w:t xml:space="preserve"> складу са одредбама ЕЕД. Сличан програм се може покренути и</w:t>
            </w:r>
            <w:r w:rsidR="00DF2151" w:rsidRPr="00FF386D">
              <w:rPr>
                <w:rFonts w:ascii="Calibri Light" w:hAnsi="Calibri Light"/>
                <w:sz w:val="20"/>
              </w:rPr>
              <w:t xml:space="preserve"> за</w:t>
            </w:r>
            <w:r w:rsidRPr="00FF386D">
              <w:rPr>
                <w:rFonts w:ascii="Calibri Light" w:hAnsi="Calibri Light"/>
                <w:sz w:val="20"/>
              </w:rPr>
              <w:t xml:space="preserve"> МСП</w:t>
            </w:r>
            <w:r w:rsidR="00A37623" w:rsidRPr="00FF386D">
              <w:rPr>
                <w:rFonts w:ascii="Calibri Light" w:hAnsi="Calibri Light"/>
                <w:sz w:val="20"/>
              </w:rPr>
              <w:t>, са</w:t>
            </w:r>
            <w:r w:rsidR="00DF2151" w:rsidRPr="00FF386D">
              <w:rPr>
                <w:rFonts w:ascii="Calibri Light" w:hAnsi="Calibri Light"/>
                <w:sz w:val="20"/>
              </w:rPr>
              <w:t xml:space="preserve"> делимичн</w:t>
            </w:r>
            <w:r w:rsidR="00A37623" w:rsidRPr="00FF386D">
              <w:rPr>
                <w:rFonts w:ascii="Calibri Light" w:hAnsi="Calibri Light"/>
                <w:sz w:val="20"/>
              </w:rPr>
              <w:t>им</w:t>
            </w:r>
            <w:r w:rsidR="00DF2151" w:rsidRPr="00FF386D">
              <w:rPr>
                <w:rFonts w:ascii="Calibri Light" w:hAnsi="Calibri Light"/>
                <w:sz w:val="20"/>
              </w:rPr>
              <w:t xml:space="preserve"> покривање</w:t>
            </w:r>
            <w:r w:rsidR="00A37623" w:rsidRPr="00FF386D">
              <w:rPr>
                <w:rFonts w:ascii="Calibri Light" w:hAnsi="Calibri Light"/>
                <w:sz w:val="20"/>
              </w:rPr>
              <w:t>м</w:t>
            </w:r>
            <w:r w:rsidR="00DF2151" w:rsidRPr="00FF386D">
              <w:rPr>
                <w:rFonts w:ascii="Calibri Light" w:hAnsi="Calibri Light"/>
                <w:sz w:val="20"/>
              </w:rPr>
              <w:t xml:space="preserve"> трошкова.</w:t>
            </w:r>
            <w:r w:rsidRPr="00FF386D">
              <w:rPr>
                <w:rFonts w:ascii="Calibri Light" w:hAnsi="Calibri Light"/>
                <w:sz w:val="20"/>
              </w:rPr>
              <w:t xml:space="preserve"> </w:t>
            </w:r>
            <w:r w:rsidR="009D1EC3" w:rsidRPr="00FF386D">
              <w:rPr>
                <w:rFonts w:ascii="Calibri Light" w:hAnsi="Calibri Light"/>
                <w:sz w:val="20"/>
              </w:rPr>
              <w:t xml:space="preserve">Осим </w:t>
            </w:r>
            <w:r w:rsidR="00DF2151" w:rsidRPr="00FF386D">
              <w:rPr>
                <w:rFonts w:ascii="Calibri Light" w:hAnsi="Calibri Light"/>
                <w:sz w:val="20"/>
              </w:rPr>
              <w:t>тога</w:t>
            </w:r>
            <w:r w:rsidR="00A37623" w:rsidRPr="00FF386D">
              <w:rPr>
                <w:rFonts w:ascii="Calibri Light" w:hAnsi="Calibri Light"/>
                <w:sz w:val="20"/>
              </w:rPr>
              <w:t xml:space="preserve">, </w:t>
            </w:r>
            <w:r w:rsidR="009D1EC3" w:rsidRPr="00FF386D">
              <w:rPr>
                <w:rFonts w:ascii="Calibri Light" w:hAnsi="Calibri Light"/>
                <w:sz w:val="20"/>
              </w:rPr>
              <w:t xml:space="preserve">пружањем финансијске помоћи биће омогућена подршка за </w:t>
            </w:r>
            <w:r w:rsidRPr="00FF386D">
              <w:rPr>
                <w:rFonts w:ascii="Calibri Light" w:hAnsi="Calibri Light"/>
                <w:sz w:val="20"/>
              </w:rPr>
              <w:t xml:space="preserve">изведене препоруке </w:t>
            </w:r>
          </w:p>
        </w:tc>
      </w:tr>
      <w:tr w:rsidR="00854ADA" w:rsidRPr="00FF386D" w14:paraId="4156E71F"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05D18E2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48" w:type="dxa"/>
            <w:gridSpan w:val="5"/>
            <w:tcBorders>
              <w:top w:val="single" w:sz="8" w:space="0" w:color="auto"/>
              <w:left w:val="nil"/>
              <w:bottom w:val="single" w:sz="8" w:space="0" w:color="auto"/>
              <w:right w:val="single" w:sz="8" w:space="0" w:color="000000"/>
            </w:tcBorders>
            <w:shd w:val="clear" w:color="auto" w:fill="auto"/>
            <w:vAlign w:val="center"/>
            <w:hideMark/>
          </w:tcPr>
          <w:p w14:paraId="53460C69" w14:textId="12630AF8"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DF2151"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-2030.</w:t>
            </w:r>
          </w:p>
        </w:tc>
      </w:tr>
      <w:tr w:rsidR="00854ADA" w:rsidRPr="00FF386D" w14:paraId="6E67681E"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3DED54F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48" w:type="dxa"/>
            <w:gridSpan w:val="5"/>
            <w:tcBorders>
              <w:top w:val="single" w:sz="8" w:space="0" w:color="auto"/>
              <w:left w:val="nil"/>
              <w:bottom w:val="single" w:sz="8" w:space="0" w:color="auto"/>
              <w:right w:val="single" w:sz="8" w:space="0" w:color="000000"/>
            </w:tcBorders>
            <w:shd w:val="clear" w:color="auto" w:fill="auto"/>
            <w:vAlign w:val="center"/>
            <w:hideMark/>
          </w:tcPr>
          <w:p w14:paraId="54E19D96" w14:textId="0571DD2B" w:rsidR="00854ADA" w:rsidRPr="00FF386D" w:rsidRDefault="00886931" w:rsidP="00854ADA">
            <w:pPr>
              <w:spacing w:after="0" w:line="240" w:lineRule="auto"/>
              <w:rPr>
                <w:rFonts w:ascii="Calibri Light" w:eastAsia="Times New Roman" w:hAnsi="Calibri Light" w:cs="Calibri Light"/>
                <w:color w:val="000000"/>
                <w:sz w:val="20"/>
                <w:szCs w:val="20"/>
                <w:lang w:eastAsia="en-GB"/>
              </w:rPr>
            </w:pPr>
            <w:r w:rsidRPr="00886931">
              <w:rPr>
                <w:rFonts w:ascii="Calibri Light" w:hAnsi="Calibri Light"/>
                <w:sz w:val="20"/>
              </w:rPr>
              <w:t>Инвестиција</w:t>
            </w:r>
          </w:p>
        </w:tc>
      </w:tr>
      <w:tr w:rsidR="00854ADA" w:rsidRPr="00FF386D" w14:paraId="031E5334"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101244E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48" w:type="dxa"/>
            <w:gridSpan w:val="5"/>
            <w:tcBorders>
              <w:top w:val="single" w:sz="8" w:space="0" w:color="auto"/>
              <w:left w:val="nil"/>
              <w:bottom w:val="single" w:sz="8" w:space="0" w:color="auto"/>
              <w:right w:val="single" w:sz="8" w:space="0" w:color="000000"/>
            </w:tcBorders>
            <w:shd w:val="clear" w:color="auto" w:fill="auto"/>
            <w:vAlign w:val="center"/>
            <w:hideMark/>
          </w:tcPr>
          <w:p w14:paraId="27EB2605"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Комерцијални, стамбени</w:t>
            </w:r>
          </w:p>
        </w:tc>
      </w:tr>
      <w:tr w:rsidR="00854ADA" w:rsidRPr="00FF386D" w14:paraId="62C8536A"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3D6AAD0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48" w:type="dxa"/>
            <w:gridSpan w:val="5"/>
            <w:tcBorders>
              <w:top w:val="single" w:sz="8" w:space="0" w:color="auto"/>
              <w:left w:val="nil"/>
              <w:bottom w:val="single" w:sz="8" w:space="0" w:color="auto"/>
              <w:right w:val="single" w:sz="8" w:space="0" w:color="000000"/>
            </w:tcBorders>
            <w:shd w:val="clear" w:color="auto" w:fill="auto"/>
            <w:vAlign w:val="center"/>
            <w:hideMark/>
          </w:tcPr>
          <w:p w14:paraId="407C0BA2" w14:textId="7C3E63AE" w:rsidR="00854ADA" w:rsidRPr="00FF386D" w:rsidRDefault="00854ADA" w:rsidP="00854ADA">
            <w:pPr>
              <w:numPr>
                <w:ilvl w:val="0"/>
                <w:numId w:val="15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рударства и енергетике</w:t>
            </w:r>
          </w:p>
          <w:p w14:paraId="71D71187" w14:textId="528433CB" w:rsidR="00854ADA" w:rsidRPr="00FF386D" w:rsidRDefault="00854ADA" w:rsidP="00854ADA">
            <w:pPr>
              <w:numPr>
                <w:ilvl w:val="0"/>
                <w:numId w:val="15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w:t>
            </w:r>
            <w:r w:rsidR="00DF2151" w:rsidRPr="00FF386D">
              <w:rPr>
                <w:rFonts w:ascii="Calibri Light" w:eastAsia="Times New Roman" w:hAnsi="Calibri Light" w:cs="Calibri Light"/>
                <w:color w:val="000000"/>
                <w:sz w:val="20"/>
                <w:szCs w:val="20"/>
                <w:lang w:eastAsia="en-GB"/>
              </w:rPr>
              <w:t>инистарство грађевинарства, саобраћаја и инфраструктуре</w:t>
            </w:r>
          </w:p>
        </w:tc>
      </w:tr>
      <w:tr w:rsidR="00854ADA" w:rsidRPr="00FF386D" w14:paraId="0EDCCE5B" w14:textId="77777777" w:rsidTr="0057310C">
        <w:trPr>
          <w:trHeight w:val="315"/>
        </w:trPr>
        <w:tc>
          <w:tcPr>
            <w:tcW w:w="3310" w:type="dxa"/>
            <w:tcBorders>
              <w:top w:val="nil"/>
              <w:left w:val="single" w:sz="8" w:space="0" w:color="auto"/>
              <w:bottom w:val="single" w:sz="8" w:space="0" w:color="auto"/>
              <w:right w:val="nil"/>
            </w:tcBorders>
            <w:shd w:val="clear" w:color="000000" w:fill="244062"/>
            <w:vAlign w:val="center"/>
            <w:hideMark/>
          </w:tcPr>
          <w:p w14:paraId="3A34EE9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48" w:type="dxa"/>
            <w:gridSpan w:val="5"/>
            <w:tcBorders>
              <w:top w:val="single" w:sz="8" w:space="0" w:color="auto"/>
              <w:left w:val="nil"/>
              <w:bottom w:val="single" w:sz="8" w:space="0" w:color="auto"/>
              <w:right w:val="single" w:sz="8" w:space="0" w:color="000000"/>
            </w:tcBorders>
            <w:shd w:val="clear" w:color="auto" w:fill="auto"/>
            <w:vAlign w:val="center"/>
            <w:hideMark/>
          </w:tcPr>
          <w:p w14:paraId="1BB1CB9C" w14:textId="0082F8BC" w:rsidR="00854ADA" w:rsidRPr="000A2AFE" w:rsidRDefault="00C34D8A" w:rsidP="000A2AFE">
            <w:pPr>
              <w:pStyle w:val="ListParagraph"/>
              <w:numPr>
                <w:ilvl w:val="0"/>
                <w:numId w:val="346"/>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22B0FE5E" w14:textId="77777777" w:rsidTr="0057310C">
        <w:trPr>
          <w:trHeight w:val="315"/>
        </w:trPr>
        <w:tc>
          <w:tcPr>
            <w:tcW w:w="3310" w:type="dxa"/>
            <w:tcBorders>
              <w:top w:val="nil"/>
              <w:left w:val="single" w:sz="8" w:space="0" w:color="auto"/>
              <w:bottom w:val="single" w:sz="8" w:space="0" w:color="auto"/>
              <w:right w:val="nil"/>
            </w:tcBorders>
            <w:shd w:val="clear" w:color="000000" w:fill="244062"/>
            <w:vAlign w:val="center"/>
            <w:hideMark/>
          </w:tcPr>
          <w:p w14:paraId="47E532C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48" w:type="dxa"/>
            <w:gridSpan w:val="5"/>
            <w:tcBorders>
              <w:top w:val="single" w:sz="8" w:space="0" w:color="auto"/>
              <w:left w:val="nil"/>
              <w:bottom w:val="single" w:sz="8" w:space="0" w:color="auto"/>
              <w:right w:val="single" w:sz="8" w:space="0" w:color="000000"/>
            </w:tcBorders>
            <w:shd w:val="clear" w:color="auto" w:fill="auto"/>
            <w:vAlign w:val="center"/>
            <w:hideMark/>
          </w:tcPr>
          <w:p w14:paraId="3ED8EAB5" w14:textId="77777777" w:rsidR="00854ADA" w:rsidRPr="000A2AFE" w:rsidRDefault="00854ADA" w:rsidP="000A2AFE">
            <w:pPr>
              <w:pStyle w:val="ListParagraph"/>
              <w:numPr>
                <w:ilvl w:val="0"/>
                <w:numId w:val="346"/>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Број спроведених енергетских прегледа</w:t>
            </w:r>
          </w:p>
        </w:tc>
      </w:tr>
      <w:tr w:rsidR="00854ADA" w:rsidRPr="00FF386D" w14:paraId="40807D39" w14:textId="77777777" w:rsidTr="0057310C">
        <w:trPr>
          <w:trHeight w:val="429"/>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7B1B231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48" w:type="dxa"/>
            <w:gridSpan w:val="5"/>
            <w:tcBorders>
              <w:top w:val="single" w:sz="8" w:space="0" w:color="auto"/>
              <w:left w:val="nil"/>
              <w:bottom w:val="single" w:sz="8" w:space="0" w:color="auto"/>
              <w:right w:val="single" w:sz="8" w:space="0" w:color="000000"/>
            </w:tcBorders>
            <w:shd w:val="clear" w:color="auto" w:fill="auto"/>
            <w:vAlign w:val="center"/>
            <w:hideMark/>
          </w:tcPr>
          <w:p w14:paraId="20A95F82" w14:textId="3B8CF4C7" w:rsidR="00ED2500" w:rsidRPr="00ED2500" w:rsidRDefault="00ED2500" w:rsidP="00ED2500">
            <w:pPr>
              <w:numPr>
                <w:ilvl w:val="0"/>
                <w:numId w:val="155"/>
              </w:numPr>
              <w:spacing w:after="0" w:line="240" w:lineRule="auto"/>
              <w:contextualSpacing/>
              <w:rPr>
                <w:rFonts w:ascii="Calibri Light" w:eastAsia="Times New Roman" w:hAnsi="Calibri Light" w:cs="Calibri Light"/>
                <w:color w:val="000000"/>
                <w:sz w:val="20"/>
                <w:szCs w:val="20"/>
                <w:lang w:eastAsia="en-GB"/>
              </w:rPr>
            </w:pPr>
            <w:r w:rsidRPr="00ED2500">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ED2500">
              <w:rPr>
                <w:rFonts w:ascii="Calibri Light" w:eastAsia="Times New Roman" w:hAnsi="Calibri Light" w:cs="Calibri Light"/>
                <w:i/>
                <w:iCs/>
                <w:color w:val="000000"/>
                <w:sz w:val="20"/>
                <w:szCs w:val="20"/>
                <w:lang w:val="en-US" w:eastAsia="en-GB"/>
              </w:rPr>
              <w:t>GHG</w:t>
            </w:r>
            <w:r w:rsidRPr="00ED2500">
              <w:rPr>
                <w:rFonts w:ascii="Calibri Light" w:eastAsia="Times New Roman" w:hAnsi="Calibri Light" w:cs="Calibri Light"/>
                <w:i/>
                <w:iCs/>
                <w:color w:val="000000"/>
                <w:sz w:val="20"/>
                <w:szCs w:val="20"/>
                <w:lang w:eastAsia="en-GB"/>
              </w:rPr>
              <w:t xml:space="preserve"> </w:t>
            </w:r>
            <w:r w:rsidRPr="00ED2500">
              <w:rPr>
                <w:rFonts w:ascii="Calibri Light" w:eastAsia="Times New Roman" w:hAnsi="Calibri Light" w:cs="Calibri Light"/>
                <w:color w:val="000000"/>
                <w:sz w:val="20"/>
                <w:szCs w:val="20"/>
                <w:lang w:eastAsia="en-GB"/>
              </w:rPr>
              <w:t>а коришћене технологије ОИЕ ће довести до повећања удела ОИЕ у грејању и хлађењу)</w:t>
            </w:r>
          </w:p>
          <w:p w14:paraId="5B1E9D2C" w14:textId="1CC1CF00" w:rsidR="00854ADA" w:rsidRPr="00FF386D" w:rsidRDefault="00ED2500" w:rsidP="00ED2500">
            <w:pPr>
              <w:numPr>
                <w:ilvl w:val="0"/>
                <w:numId w:val="155"/>
              </w:numPr>
              <w:spacing w:after="0" w:line="240" w:lineRule="auto"/>
              <w:contextualSpacing/>
              <w:rPr>
                <w:rFonts w:ascii="Calibri Light" w:eastAsia="Times New Roman" w:hAnsi="Calibri Light" w:cs="Calibri Light"/>
                <w:color w:val="000000"/>
                <w:sz w:val="20"/>
                <w:szCs w:val="20"/>
                <w:lang w:eastAsia="en-GB"/>
              </w:rPr>
            </w:pPr>
            <w:r w:rsidRPr="00ED2500">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854ADA" w:rsidRPr="00FF386D" w14:paraId="5A9E65C4" w14:textId="77777777" w:rsidTr="0057310C">
        <w:trPr>
          <w:trHeight w:val="450"/>
        </w:trPr>
        <w:tc>
          <w:tcPr>
            <w:tcW w:w="3310"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1C50BE30" w14:textId="59CAC881"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48" w:type="dxa"/>
            <w:gridSpan w:val="5"/>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609D000B" w14:textId="716AC579" w:rsidR="00854ADA" w:rsidRPr="000A2AFE" w:rsidRDefault="00854ADA" w:rsidP="00DF2151">
            <w:pPr>
              <w:pStyle w:val="ListParagraph"/>
              <w:numPr>
                <w:ilvl w:val="0"/>
                <w:numId w:val="155"/>
              </w:num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Директива </w:t>
            </w:r>
            <w:r w:rsidR="00DF2151" w:rsidRPr="00FF386D">
              <w:rPr>
                <w:rFonts w:ascii="Calibri Light" w:hAnsi="Calibri Light"/>
                <w:color w:val="000000"/>
                <w:sz w:val="20"/>
              </w:rPr>
              <w:t xml:space="preserve">(ЕУ) </w:t>
            </w:r>
            <w:r w:rsidRPr="000A2AFE">
              <w:rPr>
                <w:rFonts w:ascii="Calibri Light" w:eastAsia="Times New Roman" w:hAnsi="Calibri Light" w:cs="Calibri Light"/>
                <w:color w:val="000000"/>
                <w:sz w:val="20"/>
                <w:szCs w:val="20"/>
                <w:lang w:eastAsia="en-GB"/>
              </w:rPr>
              <w:t>2012/27</w:t>
            </w:r>
          </w:p>
          <w:p w14:paraId="02178037" w14:textId="0BEBE0FA" w:rsidR="00854ADA" w:rsidRPr="00FF386D" w:rsidRDefault="00854ADA" w:rsidP="00854ADA">
            <w:pPr>
              <w:numPr>
                <w:ilvl w:val="0"/>
                <w:numId w:val="15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DF2151"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2018/2002</w:t>
            </w:r>
          </w:p>
        </w:tc>
      </w:tr>
      <w:tr w:rsidR="00854ADA" w:rsidRPr="00FF386D" w14:paraId="6449738C" w14:textId="77777777" w:rsidTr="0057310C">
        <w:trPr>
          <w:trHeight w:val="450"/>
        </w:trPr>
        <w:tc>
          <w:tcPr>
            <w:tcW w:w="3310" w:type="dxa"/>
            <w:vMerge/>
            <w:tcBorders>
              <w:top w:val="nil"/>
              <w:left w:val="single" w:sz="8" w:space="0" w:color="auto"/>
              <w:bottom w:val="single" w:sz="8" w:space="0" w:color="000000"/>
              <w:right w:val="single" w:sz="8" w:space="0" w:color="auto"/>
            </w:tcBorders>
            <w:vAlign w:val="center"/>
            <w:hideMark/>
          </w:tcPr>
          <w:p w14:paraId="09B2FB5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8" w:type="dxa"/>
            <w:gridSpan w:val="5"/>
            <w:vMerge/>
            <w:tcBorders>
              <w:top w:val="single" w:sz="8" w:space="0" w:color="auto"/>
              <w:left w:val="single" w:sz="8" w:space="0" w:color="auto"/>
              <w:bottom w:val="single" w:sz="8" w:space="0" w:color="000000"/>
              <w:right w:val="single" w:sz="8" w:space="0" w:color="000000"/>
            </w:tcBorders>
            <w:vAlign w:val="center"/>
            <w:hideMark/>
          </w:tcPr>
          <w:p w14:paraId="326192CC" w14:textId="77777777" w:rsidR="00854ADA" w:rsidRPr="00FF386D" w:rsidRDefault="00854ADA" w:rsidP="00854ADA">
            <w:pPr>
              <w:numPr>
                <w:ilvl w:val="0"/>
                <w:numId w:val="155"/>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61815AEE" w14:textId="77777777" w:rsidTr="0057310C">
        <w:trPr>
          <w:trHeight w:val="450"/>
        </w:trPr>
        <w:tc>
          <w:tcPr>
            <w:tcW w:w="3310" w:type="dxa"/>
            <w:vMerge/>
            <w:tcBorders>
              <w:top w:val="nil"/>
              <w:left w:val="single" w:sz="8" w:space="0" w:color="auto"/>
              <w:bottom w:val="single" w:sz="8" w:space="0" w:color="000000"/>
              <w:right w:val="single" w:sz="8" w:space="0" w:color="auto"/>
            </w:tcBorders>
            <w:vAlign w:val="center"/>
            <w:hideMark/>
          </w:tcPr>
          <w:p w14:paraId="70E2C11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8" w:type="dxa"/>
            <w:gridSpan w:val="5"/>
            <w:vMerge/>
            <w:tcBorders>
              <w:top w:val="single" w:sz="8" w:space="0" w:color="auto"/>
              <w:left w:val="single" w:sz="8" w:space="0" w:color="auto"/>
              <w:bottom w:val="single" w:sz="8" w:space="0" w:color="000000"/>
              <w:right w:val="single" w:sz="8" w:space="0" w:color="000000"/>
            </w:tcBorders>
            <w:vAlign w:val="center"/>
            <w:hideMark/>
          </w:tcPr>
          <w:p w14:paraId="4616532A" w14:textId="77777777" w:rsidR="00854ADA" w:rsidRPr="00FF386D" w:rsidRDefault="00854ADA" w:rsidP="00854ADA">
            <w:pPr>
              <w:numPr>
                <w:ilvl w:val="0"/>
                <w:numId w:val="155"/>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270783A0" w14:textId="77777777" w:rsidTr="0057310C">
        <w:trPr>
          <w:trHeight w:val="462"/>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3A8A532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48" w:type="dxa"/>
            <w:gridSpan w:val="5"/>
            <w:tcBorders>
              <w:top w:val="single" w:sz="8" w:space="0" w:color="auto"/>
              <w:left w:val="nil"/>
              <w:bottom w:val="single" w:sz="8" w:space="0" w:color="auto"/>
              <w:right w:val="single" w:sz="8" w:space="0" w:color="000000"/>
            </w:tcBorders>
            <w:shd w:val="clear" w:color="auto" w:fill="auto"/>
            <w:vAlign w:val="center"/>
            <w:hideMark/>
          </w:tcPr>
          <w:p w14:paraId="67A4A7DA" w14:textId="77777777" w:rsidR="00854ADA" w:rsidRPr="00FF386D" w:rsidRDefault="00854ADA" w:rsidP="00854ADA">
            <w:pPr>
              <w:numPr>
                <w:ilvl w:val="0"/>
                <w:numId w:val="15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енергетској ефикасности и рационалној употреби енергије</w:t>
            </w:r>
          </w:p>
          <w:p w14:paraId="32C8483D" w14:textId="456E7529" w:rsidR="00854ADA" w:rsidRPr="00FF386D" w:rsidRDefault="00854ADA" w:rsidP="00854ADA">
            <w:pPr>
              <w:numPr>
                <w:ilvl w:val="0"/>
                <w:numId w:val="15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4. НАПЕЕ</w:t>
            </w:r>
          </w:p>
          <w:p w14:paraId="4888112B" w14:textId="77777777" w:rsidR="00854ADA" w:rsidRPr="00FF386D" w:rsidRDefault="00854ADA" w:rsidP="00854ADA">
            <w:pPr>
              <w:numPr>
                <w:ilvl w:val="0"/>
                <w:numId w:val="15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Дугорочна стратегија обнове националног фонда зграда</w:t>
            </w:r>
          </w:p>
        </w:tc>
      </w:tr>
      <w:tr w:rsidR="00854ADA" w:rsidRPr="00FF386D" w14:paraId="2C1B741E"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6651654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48" w:type="dxa"/>
            <w:gridSpan w:val="5"/>
            <w:tcBorders>
              <w:top w:val="single" w:sz="8" w:space="0" w:color="auto"/>
              <w:left w:val="nil"/>
              <w:bottom w:val="single" w:sz="8" w:space="0" w:color="auto"/>
              <w:right w:val="single" w:sz="8" w:space="0" w:color="000000"/>
            </w:tcBorders>
            <w:shd w:val="clear" w:color="auto" w:fill="auto"/>
            <w:vAlign w:val="center"/>
            <w:hideMark/>
          </w:tcPr>
          <w:p w14:paraId="5BA6E13B" w14:textId="2A29C52D"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 xml:space="preserve">Буџет </w:t>
            </w:r>
            <w:r w:rsidR="00DF2151" w:rsidRPr="00FF386D">
              <w:rPr>
                <w:rFonts w:ascii="Calibri Light" w:eastAsia="Times New Roman" w:hAnsi="Calibri Light" w:cs="Calibri Light"/>
                <w:color w:val="000000"/>
                <w:sz w:val="20"/>
                <w:szCs w:val="20"/>
                <w:lang w:eastAsia="en-GB"/>
              </w:rPr>
              <w:t xml:space="preserve">обухваћен </w:t>
            </w:r>
            <w:r w:rsidRPr="00FF386D">
              <w:rPr>
                <w:rFonts w:ascii="Calibri Light" w:eastAsia="Times New Roman" w:hAnsi="Calibri Light" w:cs="Calibri Light"/>
                <w:color w:val="000000"/>
                <w:sz w:val="20"/>
                <w:szCs w:val="20"/>
                <w:lang w:eastAsia="en-GB"/>
              </w:rPr>
              <w:t>у МП_ЕЕ1 и МП_ЕЕ3</w:t>
            </w:r>
          </w:p>
        </w:tc>
      </w:tr>
      <w:tr w:rsidR="00854ADA" w:rsidRPr="00FF386D" w14:paraId="4DCF82C8"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34427B0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48" w:type="dxa"/>
            <w:gridSpan w:val="5"/>
            <w:tcBorders>
              <w:top w:val="single" w:sz="8" w:space="0" w:color="auto"/>
              <w:left w:val="nil"/>
              <w:bottom w:val="single" w:sz="8" w:space="0" w:color="auto"/>
              <w:right w:val="single" w:sz="8" w:space="0" w:color="000000"/>
            </w:tcBorders>
            <w:shd w:val="clear" w:color="auto" w:fill="auto"/>
            <w:vAlign w:val="center"/>
            <w:hideMark/>
          </w:tcPr>
          <w:p w14:paraId="7576134E" w14:textId="075D6C72"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DF2151" w:rsidRPr="00FF386D">
              <w:rPr>
                <w:rFonts w:asciiTheme="majorHAnsi" w:eastAsia="Times New Roman" w:hAnsiTheme="majorHAnsi" w:cstheme="majorHAnsi"/>
                <w:color w:val="000000"/>
                <w:sz w:val="20"/>
                <w:szCs w:val="20"/>
                <w:lang w:eastAsia="en-GB"/>
              </w:rPr>
              <w:t xml:space="preserve">ска и сопствена </w:t>
            </w:r>
            <w:r w:rsidRPr="00FF386D">
              <w:rPr>
                <w:rFonts w:asciiTheme="majorHAnsi" w:eastAsia="Times New Roman" w:hAnsiTheme="majorHAnsi" w:cstheme="majorHAnsi"/>
                <w:color w:val="000000"/>
                <w:sz w:val="20"/>
                <w:szCs w:val="20"/>
                <w:lang w:eastAsia="en-GB"/>
              </w:rPr>
              <w:t>средства</w:t>
            </w:r>
          </w:p>
        </w:tc>
      </w:tr>
    </w:tbl>
    <w:p w14:paraId="2CD91EC7"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11"/>
        <w:gridCol w:w="1007"/>
        <w:gridCol w:w="943"/>
        <w:gridCol w:w="4197"/>
      </w:tblGrid>
      <w:tr w:rsidR="00854ADA" w:rsidRPr="00FF386D" w14:paraId="06438FC1" w14:textId="77777777" w:rsidTr="0057310C">
        <w:trPr>
          <w:trHeight w:val="780"/>
        </w:trPr>
        <w:tc>
          <w:tcPr>
            <w:tcW w:w="3311"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207E9641"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33570CE9"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МП_ЕЕ30</w:t>
            </w:r>
          </w:p>
        </w:tc>
        <w:tc>
          <w:tcPr>
            <w:tcW w:w="943" w:type="dxa"/>
            <w:tcBorders>
              <w:top w:val="single" w:sz="8" w:space="0" w:color="auto"/>
              <w:left w:val="nil"/>
              <w:bottom w:val="single" w:sz="8" w:space="0" w:color="auto"/>
              <w:right w:val="single" w:sz="8" w:space="0" w:color="auto"/>
            </w:tcBorders>
            <w:shd w:val="clear" w:color="000000" w:fill="244062"/>
            <w:vAlign w:val="center"/>
            <w:hideMark/>
          </w:tcPr>
          <w:p w14:paraId="2D97238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97" w:type="dxa"/>
            <w:tcBorders>
              <w:top w:val="single" w:sz="8" w:space="0" w:color="auto"/>
              <w:left w:val="nil"/>
              <w:bottom w:val="single" w:sz="8" w:space="0" w:color="auto"/>
              <w:right w:val="single" w:sz="8" w:space="0" w:color="auto"/>
            </w:tcBorders>
            <w:shd w:val="clear" w:color="auto" w:fill="E7E6E6" w:themeFill="background2"/>
            <w:vAlign w:val="center"/>
            <w:hideMark/>
          </w:tcPr>
          <w:p w14:paraId="1A3BE16B"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Програми финансирања енергетског унапређења уличне расвете</w:t>
            </w:r>
          </w:p>
        </w:tc>
      </w:tr>
      <w:tr w:rsidR="00854ADA" w:rsidRPr="00FF386D" w14:paraId="59DECD6C" w14:textId="77777777" w:rsidTr="0057310C">
        <w:trPr>
          <w:trHeight w:val="496"/>
        </w:trPr>
        <w:tc>
          <w:tcPr>
            <w:tcW w:w="3311" w:type="dxa"/>
            <w:tcBorders>
              <w:top w:val="nil"/>
              <w:left w:val="single" w:sz="8" w:space="0" w:color="auto"/>
              <w:bottom w:val="single" w:sz="8" w:space="0" w:color="auto"/>
              <w:right w:val="nil"/>
            </w:tcBorders>
            <w:shd w:val="clear" w:color="000000" w:fill="244062"/>
            <w:vAlign w:val="center"/>
            <w:hideMark/>
          </w:tcPr>
          <w:p w14:paraId="68EE965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240A3610" w14:textId="399182CE" w:rsidR="00854ADA" w:rsidRPr="000A2AFE" w:rsidRDefault="00DF2151"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Примена</w:t>
            </w:r>
            <w:r w:rsidR="00854ADA" w:rsidRPr="00FF386D">
              <w:rPr>
                <w:rFonts w:ascii="Calibri Light" w:hAnsi="Calibri Light"/>
                <w:sz w:val="20"/>
              </w:rPr>
              <w:t xml:space="preserve"> чланова Директиве </w:t>
            </w:r>
            <w:r w:rsidRPr="00FF386D">
              <w:rPr>
                <w:rFonts w:ascii="Calibri Light" w:hAnsi="Calibri Light"/>
                <w:sz w:val="20"/>
              </w:rPr>
              <w:t xml:space="preserve">(ЕУ) </w:t>
            </w:r>
            <w:r w:rsidR="00854ADA" w:rsidRPr="00FF386D">
              <w:rPr>
                <w:rFonts w:ascii="Calibri Light" w:hAnsi="Calibri Light"/>
                <w:sz w:val="20"/>
              </w:rPr>
              <w:t>2012/27</w:t>
            </w:r>
            <w:r w:rsidRPr="00FF386D">
              <w:rPr>
                <w:rFonts w:ascii="Calibri Light" w:hAnsi="Calibri Light"/>
                <w:sz w:val="20"/>
              </w:rPr>
              <w:t>,</w:t>
            </w:r>
            <w:r w:rsidR="00854ADA" w:rsidRPr="00FF386D">
              <w:rPr>
                <w:rFonts w:ascii="Calibri Light" w:hAnsi="Calibri Light"/>
                <w:sz w:val="20"/>
              </w:rPr>
              <w:t xml:space="preserve">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w:t>
            </w:r>
            <w:r w:rsidRPr="00FF386D">
              <w:rPr>
                <w:rFonts w:ascii="Calibri Light" w:hAnsi="Calibri Light"/>
                <w:sz w:val="20"/>
              </w:rPr>
              <w:t>02, и то</w:t>
            </w:r>
            <w:r w:rsidR="00854ADA" w:rsidRPr="000A2AFE">
              <w:rPr>
                <w:rFonts w:ascii="Calibri Light" w:eastAsia="Times New Roman" w:hAnsi="Calibri Light" w:cs="Calibri Light"/>
                <w:color w:val="000000"/>
                <w:sz w:val="20"/>
                <w:szCs w:val="20"/>
                <w:lang w:eastAsia="en-GB"/>
              </w:rPr>
              <w:t>:</w:t>
            </w:r>
          </w:p>
          <w:p w14:paraId="36C8CEF7" w14:textId="41885286" w:rsidR="00854ADA" w:rsidRPr="000A2AFE" w:rsidRDefault="00854ADA" w:rsidP="00854ADA">
            <w:pPr>
              <w:numPr>
                <w:ilvl w:val="0"/>
                <w:numId w:val="2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9D1EC3"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3</w:t>
            </w:r>
          </w:p>
          <w:p w14:paraId="50B8BAB0" w14:textId="25D2C3C3" w:rsidR="00854ADA" w:rsidRPr="00FF386D" w:rsidRDefault="00854ADA" w:rsidP="00854ADA">
            <w:pPr>
              <w:numPr>
                <w:ilvl w:val="0"/>
                <w:numId w:val="1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9D1EC3"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7</w:t>
            </w:r>
          </w:p>
        </w:tc>
      </w:tr>
      <w:tr w:rsidR="00854ADA" w:rsidRPr="00FF386D" w14:paraId="384E92F3" w14:textId="77777777" w:rsidTr="0057310C">
        <w:trPr>
          <w:trHeight w:val="315"/>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537BA01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48BA90B7" w14:textId="4256F060"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Уштеда финалне енергије (</w:t>
            </w:r>
            <w:r w:rsidR="00DF2151" w:rsidRPr="00FF386D">
              <w:rPr>
                <w:rFonts w:asciiTheme="majorHAnsi" w:eastAsia="Times New Roman" w:hAnsiTheme="majorHAnsi" w:cstheme="majorHAnsi"/>
                <w:color w:val="000000"/>
                <w:sz w:val="20"/>
                <w:szCs w:val="20"/>
                <w:lang w:eastAsia="en-GB"/>
              </w:rPr>
              <w:t>17</w:t>
            </w:r>
            <w:r w:rsidRPr="00FF386D">
              <w:rPr>
                <w:rFonts w:asciiTheme="majorHAnsi" w:eastAsia="Times New Roman" w:hAnsiTheme="majorHAnsi" w:cstheme="majorHAnsi"/>
                <w:color w:val="000000"/>
                <w:sz w:val="20"/>
                <w:szCs w:val="20"/>
                <w:lang w:eastAsia="en-GB"/>
              </w:rPr>
              <w:t xml:space="preserve"> ktoe)</w:t>
            </w:r>
          </w:p>
        </w:tc>
      </w:tr>
      <w:tr w:rsidR="00854ADA" w:rsidRPr="00FF386D" w14:paraId="2FF22A1D" w14:textId="77777777" w:rsidTr="0057310C">
        <w:trPr>
          <w:trHeight w:val="1012"/>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39683F4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7E522213" w14:textId="2905FD38"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М</w:t>
            </w:r>
            <w:r w:rsidR="00351084" w:rsidRPr="00FF386D">
              <w:rPr>
                <w:rFonts w:ascii="Calibri Light" w:hAnsi="Calibri Light"/>
                <w:sz w:val="20"/>
              </w:rPr>
              <w:t>П</w:t>
            </w:r>
            <w:r w:rsidRPr="00FF386D">
              <w:rPr>
                <w:rFonts w:ascii="Calibri Light" w:hAnsi="Calibri Light"/>
                <w:sz w:val="20"/>
              </w:rPr>
              <w:t xml:space="preserve">_ЕЕ30 ће омогућити побољшање енергетске ефикасности уличне расвете </w:t>
            </w:r>
            <w:r w:rsidR="000E6E8B">
              <w:rPr>
                <w:rFonts w:ascii="Calibri Light" w:hAnsi="Calibri Light"/>
                <w:sz w:val="20"/>
              </w:rPr>
              <w:t>из</w:t>
            </w:r>
            <w:r w:rsidRPr="00FF386D">
              <w:rPr>
                <w:rFonts w:ascii="Calibri Light" w:hAnsi="Calibri Light"/>
                <w:sz w:val="20"/>
              </w:rPr>
              <w:t xml:space="preserve"> </w:t>
            </w:r>
            <w:r w:rsidR="000E6E8B">
              <w:rPr>
                <w:rFonts w:ascii="Calibri Light" w:hAnsi="Calibri Light"/>
                <w:sz w:val="20"/>
              </w:rPr>
              <w:t>јавнихсредстава</w:t>
            </w:r>
            <w:r w:rsidR="00DF2151" w:rsidRPr="00FF386D">
              <w:rPr>
                <w:rFonts w:ascii="Calibri Light" w:hAnsi="Calibri Light"/>
                <w:sz w:val="20"/>
              </w:rPr>
              <w:t xml:space="preserve"> и </w:t>
            </w:r>
            <w:r w:rsidRPr="00FF386D">
              <w:rPr>
                <w:rFonts w:ascii="Calibri Light" w:hAnsi="Calibri Light"/>
                <w:sz w:val="20"/>
              </w:rPr>
              <w:t>специјализоване шеме финансијске подршке, као што су кредити са ниским каматама и гаранције</w:t>
            </w:r>
            <w:r w:rsidR="009D1EC3" w:rsidRPr="00FF386D">
              <w:rPr>
                <w:rFonts w:ascii="Calibri Light" w:hAnsi="Calibri Light"/>
                <w:sz w:val="20"/>
              </w:rPr>
              <w:t>, поред</w:t>
            </w:r>
            <w:r w:rsidRPr="00FF386D">
              <w:rPr>
                <w:rFonts w:ascii="Calibri Light" w:hAnsi="Calibri Light"/>
                <w:sz w:val="20"/>
              </w:rPr>
              <w:t xml:space="preserve"> активности за промоцију уговора о енергетском учинку у </w:t>
            </w:r>
            <w:r w:rsidR="00BE2CBC" w:rsidRPr="00FF386D">
              <w:rPr>
                <w:rFonts w:ascii="Calibri Light" w:hAnsi="Calibri Light"/>
                <w:sz w:val="20"/>
              </w:rPr>
              <w:t xml:space="preserve">оквиру </w:t>
            </w:r>
            <w:r w:rsidRPr="00FF386D">
              <w:rPr>
                <w:rFonts w:ascii="Calibri Light" w:hAnsi="Calibri Light"/>
                <w:sz w:val="20"/>
              </w:rPr>
              <w:t>ПМ_ЕЕ26 и по потреби обезбеђ</w:t>
            </w:r>
            <w:r w:rsidR="00BE2CBC" w:rsidRPr="00FF386D">
              <w:rPr>
                <w:rFonts w:ascii="Calibri Light" w:hAnsi="Calibri Light"/>
                <w:sz w:val="20"/>
              </w:rPr>
              <w:t>ивањем</w:t>
            </w:r>
            <w:r w:rsidRPr="00FF386D">
              <w:rPr>
                <w:rFonts w:ascii="Calibri Light" w:hAnsi="Calibri Light"/>
                <w:sz w:val="20"/>
              </w:rPr>
              <w:t xml:space="preserve"> субвенција</w:t>
            </w:r>
            <w:r w:rsidR="00BE2CBC" w:rsidRPr="00FF386D">
              <w:rPr>
                <w:rFonts w:ascii="Calibri Light" w:hAnsi="Calibri Light"/>
                <w:sz w:val="20"/>
              </w:rPr>
              <w:t>, у складу са постојећом шемом.</w:t>
            </w:r>
          </w:p>
        </w:tc>
      </w:tr>
      <w:tr w:rsidR="00854ADA" w:rsidRPr="00FF386D" w14:paraId="439724D6" w14:textId="77777777" w:rsidTr="0057310C">
        <w:trPr>
          <w:trHeight w:val="315"/>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7846741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41DFD910" w14:textId="6FB8D0E6"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DF2151" w:rsidRPr="00FF386D">
              <w:rPr>
                <w:rFonts w:ascii="Calibri Light" w:hAnsi="Calibri Light"/>
                <w:sz w:val="20"/>
              </w:rPr>
              <w:t>5</w:t>
            </w:r>
            <w:r w:rsidRPr="00FF386D">
              <w:rPr>
                <w:rFonts w:ascii="Calibri Light" w:hAnsi="Calibri Light"/>
                <w:sz w:val="20"/>
              </w:rPr>
              <w:t>-2030.</w:t>
            </w:r>
          </w:p>
        </w:tc>
      </w:tr>
      <w:tr w:rsidR="00854ADA" w:rsidRPr="00FF386D" w14:paraId="524BC6A9" w14:textId="77777777" w:rsidTr="0057310C">
        <w:trPr>
          <w:trHeight w:val="315"/>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186D006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28B56761"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Инвестиција</w:t>
            </w:r>
          </w:p>
        </w:tc>
      </w:tr>
      <w:tr w:rsidR="00854ADA" w:rsidRPr="00FF386D" w14:paraId="2EA0DDEB" w14:textId="77777777" w:rsidTr="0057310C">
        <w:trPr>
          <w:trHeight w:val="315"/>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401113B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6A2F2B66"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Јавни</w:t>
            </w:r>
          </w:p>
        </w:tc>
      </w:tr>
      <w:tr w:rsidR="00854ADA" w:rsidRPr="00FF386D" w14:paraId="38E5CAE9" w14:textId="77777777" w:rsidTr="0057310C">
        <w:trPr>
          <w:trHeight w:val="315"/>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6C6E4F7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5EEC8DC8" w14:textId="77777777" w:rsidR="00854ADA" w:rsidRPr="00FF386D" w:rsidRDefault="00854ADA" w:rsidP="00854ADA">
            <w:pPr>
              <w:numPr>
                <w:ilvl w:val="0"/>
                <w:numId w:val="15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Министарство рударства и енергетике</w:t>
            </w:r>
          </w:p>
          <w:p w14:paraId="43147493" w14:textId="4228E8DA" w:rsidR="00DF2151" w:rsidRPr="00FF386D" w:rsidRDefault="00DF2151" w:rsidP="00854ADA">
            <w:pPr>
              <w:numPr>
                <w:ilvl w:val="0"/>
                <w:numId w:val="15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Јединице локалне самоуправе</w:t>
            </w:r>
          </w:p>
          <w:p w14:paraId="35B34188" w14:textId="56DEEA4C" w:rsidR="00854ADA" w:rsidRPr="00FF386D" w:rsidRDefault="00DF2151" w:rsidP="00DF2151">
            <w:pPr>
              <w:numPr>
                <w:ilvl w:val="0"/>
                <w:numId w:val="15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Компаније</w:t>
            </w:r>
            <w:r w:rsidR="00854ADA" w:rsidRPr="00FF386D">
              <w:rPr>
                <w:rFonts w:ascii="Calibri Light" w:hAnsi="Calibri Light"/>
                <w:sz w:val="20"/>
              </w:rPr>
              <w:t xml:space="preserve"> за пружање енергетских услуга</w:t>
            </w:r>
          </w:p>
        </w:tc>
      </w:tr>
      <w:tr w:rsidR="00854ADA" w:rsidRPr="00FF386D" w14:paraId="6878E8BC" w14:textId="77777777" w:rsidTr="0057310C">
        <w:trPr>
          <w:trHeight w:val="315"/>
        </w:trPr>
        <w:tc>
          <w:tcPr>
            <w:tcW w:w="3311" w:type="dxa"/>
            <w:tcBorders>
              <w:top w:val="nil"/>
              <w:left w:val="single" w:sz="8" w:space="0" w:color="auto"/>
              <w:bottom w:val="single" w:sz="8" w:space="0" w:color="auto"/>
              <w:right w:val="nil"/>
            </w:tcBorders>
            <w:shd w:val="clear" w:color="000000" w:fill="244062"/>
            <w:vAlign w:val="center"/>
            <w:hideMark/>
          </w:tcPr>
          <w:p w14:paraId="62A6119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17FD38CE" w14:textId="2F22B66D" w:rsidR="00854ADA" w:rsidRPr="000A2AFE" w:rsidRDefault="00ED2500" w:rsidP="000A2AFE">
            <w:pPr>
              <w:pStyle w:val="ListParagraph"/>
              <w:numPr>
                <w:ilvl w:val="0"/>
                <w:numId w:val="359"/>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7245BAE7" w14:textId="77777777" w:rsidTr="0057310C">
        <w:trPr>
          <w:trHeight w:val="315"/>
        </w:trPr>
        <w:tc>
          <w:tcPr>
            <w:tcW w:w="3311" w:type="dxa"/>
            <w:tcBorders>
              <w:top w:val="nil"/>
              <w:left w:val="single" w:sz="8" w:space="0" w:color="auto"/>
              <w:bottom w:val="single" w:sz="8" w:space="0" w:color="auto"/>
              <w:right w:val="nil"/>
            </w:tcBorders>
            <w:shd w:val="clear" w:color="000000" w:fill="244062"/>
            <w:vAlign w:val="center"/>
            <w:hideMark/>
          </w:tcPr>
          <w:p w14:paraId="0185737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77AAE5FB" w14:textId="77777777" w:rsidR="00854ADA" w:rsidRPr="000A2AFE" w:rsidRDefault="00854ADA" w:rsidP="000A2AFE">
            <w:pPr>
              <w:pStyle w:val="ListParagraph"/>
              <w:numPr>
                <w:ilvl w:val="0"/>
                <w:numId w:val="359"/>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Број обновљених система уличне расвете</w:t>
            </w:r>
          </w:p>
        </w:tc>
      </w:tr>
      <w:tr w:rsidR="00854ADA" w:rsidRPr="00FF386D" w14:paraId="458423D0" w14:textId="77777777" w:rsidTr="0057310C">
        <w:trPr>
          <w:trHeight w:val="520"/>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78202AD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698AE1E6" w14:textId="40CEE3DC" w:rsidR="00ED2500" w:rsidRPr="00ED2500" w:rsidRDefault="00ED2500" w:rsidP="00ED2500">
            <w:pPr>
              <w:numPr>
                <w:ilvl w:val="0"/>
                <w:numId w:val="156"/>
              </w:numPr>
              <w:spacing w:after="0" w:line="240" w:lineRule="auto"/>
              <w:contextualSpacing/>
              <w:rPr>
                <w:rFonts w:ascii="Calibri Light" w:eastAsia="Times New Roman" w:hAnsi="Calibri Light" w:cs="Calibri Light"/>
                <w:color w:val="000000"/>
                <w:sz w:val="20"/>
                <w:szCs w:val="20"/>
                <w:lang w:eastAsia="en-GB"/>
              </w:rPr>
            </w:pPr>
            <w:r w:rsidRPr="00ED2500">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ED2500">
              <w:rPr>
                <w:rFonts w:ascii="Calibri Light" w:eastAsia="Times New Roman" w:hAnsi="Calibri Light" w:cs="Calibri Light"/>
                <w:i/>
                <w:iCs/>
                <w:color w:val="000000"/>
                <w:sz w:val="20"/>
                <w:szCs w:val="20"/>
                <w:lang w:val="en-US" w:eastAsia="en-GB"/>
              </w:rPr>
              <w:t>GHG</w:t>
            </w:r>
            <w:r w:rsidRPr="00ED2500">
              <w:rPr>
                <w:rFonts w:ascii="Calibri Light" w:eastAsia="Times New Roman" w:hAnsi="Calibri Light" w:cs="Calibri Light"/>
                <w:color w:val="000000"/>
                <w:sz w:val="20"/>
                <w:szCs w:val="20"/>
                <w:lang w:eastAsia="en-GB"/>
              </w:rPr>
              <w:t>)</w:t>
            </w:r>
          </w:p>
          <w:p w14:paraId="0519B011" w14:textId="1009172A" w:rsidR="00854ADA" w:rsidRPr="00FF386D" w:rsidRDefault="00ED2500" w:rsidP="00ED2500">
            <w:pPr>
              <w:numPr>
                <w:ilvl w:val="0"/>
                <w:numId w:val="156"/>
              </w:numPr>
              <w:spacing w:after="0" w:line="240" w:lineRule="auto"/>
              <w:contextualSpacing/>
              <w:rPr>
                <w:rFonts w:ascii="Calibri Light" w:eastAsia="Times New Roman" w:hAnsi="Calibri Light" w:cs="Calibri Light"/>
                <w:color w:val="000000"/>
                <w:sz w:val="20"/>
                <w:szCs w:val="20"/>
                <w:lang w:eastAsia="en-GB"/>
              </w:rPr>
            </w:pPr>
            <w:r w:rsidRPr="00ED2500">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854ADA" w:rsidRPr="00FF386D" w14:paraId="69895A9B" w14:textId="77777777" w:rsidTr="0057310C">
        <w:trPr>
          <w:trHeight w:val="450"/>
        </w:trPr>
        <w:tc>
          <w:tcPr>
            <w:tcW w:w="3311"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795EBFC5" w14:textId="29803517"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47"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42EFE745" w14:textId="67714B56" w:rsidR="00854ADA" w:rsidRPr="000A2AFE" w:rsidRDefault="00854ADA" w:rsidP="00DF2151">
            <w:pPr>
              <w:pStyle w:val="ListParagraph"/>
              <w:numPr>
                <w:ilvl w:val="0"/>
                <w:numId w:val="156"/>
              </w:num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DF2151"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2012/27</w:t>
            </w:r>
          </w:p>
          <w:p w14:paraId="088821E7" w14:textId="5B0CA67E" w:rsidR="00854ADA" w:rsidRPr="00FF386D" w:rsidRDefault="00854ADA" w:rsidP="00854ADA">
            <w:pPr>
              <w:numPr>
                <w:ilvl w:val="0"/>
                <w:numId w:val="15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DF2151"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2018/2002</w:t>
            </w:r>
          </w:p>
        </w:tc>
      </w:tr>
      <w:tr w:rsidR="00854ADA" w:rsidRPr="00FF386D" w14:paraId="1DF0BCA0" w14:textId="77777777" w:rsidTr="0057310C">
        <w:trPr>
          <w:trHeight w:val="450"/>
        </w:trPr>
        <w:tc>
          <w:tcPr>
            <w:tcW w:w="3311" w:type="dxa"/>
            <w:vMerge/>
            <w:tcBorders>
              <w:top w:val="nil"/>
              <w:left w:val="single" w:sz="8" w:space="0" w:color="auto"/>
              <w:bottom w:val="single" w:sz="8" w:space="0" w:color="000000"/>
              <w:right w:val="single" w:sz="8" w:space="0" w:color="auto"/>
            </w:tcBorders>
            <w:vAlign w:val="center"/>
            <w:hideMark/>
          </w:tcPr>
          <w:p w14:paraId="5565D54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7" w:type="dxa"/>
            <w:gridSpan w:val="3"/>
            <w:vMerge/>
            <w:tcBorders>
              <w:top w:val="single" w:sz="8" w:space="0" w:color="auto"/>
              <w:left w:val="single" w:sz="8" w:space="0" w:color="auto"/>
              <w:bottom w:val="single" w:sz="8" w:space="0" w:color="000000"/>
              <w:right w:val="single" w:sz="8" w:space="0" w:color="000000"/>
            </w:tcBorders>
            <w:vAlign w:val="center"/>
            <w:hideMark/>
          </w:tcPr>
          <w:p w14:paraId="3EB4175A" w14:textId="77777777" w:rsidR="00854ADA" w:rsidRPr="00FF386D" w:rsidRDefault="00854ADA" w:rsidP="00854ADA">
            <w:pPr>
              <w:numPr>
                <w:ilvl w:val="0"/>
                <w:numId w:val="156"/>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1E9D194A" w14:textId="77777777" w:rsidTr="0057310C">
        <w:trPr>
          <w:trHeight w:val="450"/>
        </w:trPr>
        <w:tc>
          <w:tcPr>
            <w:tcW w:w="3311" w:type="dxa"/>
            <w:vMerge/>
            <w:tcBorders>
              <w:top w:val="nil"/>
              <w:left w:val="single" w:sz="8" w:space="0" w:color="auto"/>
              <w:bottom w:val="single" w:sz="8" w:space="0" w:color="000000"/>
              <w:right w:val="single" w:sz="8" w:space="0" w:color="auto"/>
            </w:tcBorders>
            <w:vAlign w:val="center"/>
            <w:hideMark/>
          </w:tcPr>
          <w:p w14:paraId="3781134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7" w:type="dxa"/>
            <w:gridSpan w:val="3"/>
            <w:vMerge/>
            <w:tcBorders>
              <w:top w:val="single" w:sz="8" w:space="0" w:color="auto"/>
              <w:left w:val="single" w:sz="8" w:space="0" w:color="auto"/>
              <w:bottom w:val="single" w:sz="8" w:space="0" w:color="000000"/>
              <w:right w:val="single" w:sz="8" w:space="0" w:color="000000"/>
            </w:tcBorders>
            <w:vAlign w:val="center"/>
            <w:hideMark/>
          </w:tcPr>
          <w:p w14:paraId="6DCE4E42" w14:textId="77777777" w:rsidR="00854ADA" w:rsidRPr="00FF386D" w:rsidRDefault="00854ADA" w:rsidP="00854ADA">
            <w:pPr>
              <w:numPr>
                <w:ilvl w:val="0"/>
                <w:numId w:val="156"/>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38BFC57C" w14:textId="77777777" w:rsidTr="0057310C">
        <w:trPr>
          <w:trHeight w:val="569"/>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0BDFE12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26CD9AFE" w14:textId="65D007F0" w:rsidR="00854ADA" w:rsidRPr="00FF386D" w:rsidRDefault="00854ADA" w:rsidP="00854ADA">
            <w:pPr>
              <w:numPr>
                <w:ilvl w:val="0"/>
                <w:numId w:val="15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4. НАПЕЕ</w:t>
            </w:r>
          </w:p>
        </w:tc>
      </w:tr>
      <w:tr w:rsidR="00854ADA" w:rsidRPr="00FF386D" w14:paraId="39C392EF" w14:textId="77777777" w:rsidTr="0057310C">
        <w:trPr>
          <w:trHeight w:val="315"/>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3007FD4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3D8BDDAA" w14:textId="68A72FB9"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1,</w:t>
            </w:r>
            <w:r w:rsidR="00DF2151" w:rsidRPr="00FF386D">
              <w:rPr>
                <w:rFonts w:ascii="Calibri Light" w:eastAsia="Times New Roman" w:hAnsi="Calibri Light" w:cs="Calibri Light"/>
                <w:color w:val="000000"/>
                <w:sz w:val="20"/>
                <w:szCs w:val="20"/>
                <w:lang w:eastAsia="en-GB"/>
              </w:rPr>
              <w:t>669</w:t>
            </w:r>
            <w:r w:rsidRPr="00FF386D">
              <w:rPr>
                <w:rFonts w:ascii="Calibri Light" w:eastAsia="Times New Roman" w:hAnsi="Calibri Light" w:cs="Calibri Light"/>
                <w:color w:val="000000"/>
                <w:sz w:val="20"/>
                <w:szCs w:val="20"/>
                <w:lang w:eastAsia="en-GB"/>
              </w:rPr>
              <w:t xml:space="preserve"> милијарде евра</w:t>
            </w:r>
          </w:p>
        </w:tc>
      </w:tr>
      <w:tr w:rsidR="00854ADA" w:rsidRPr="00FF386D" w14:paraId="5DFD686E" w14:textId="77777777" w:rsidTr="0057310C">
        <w:trPr>
          <w:trHeight w:val="315"/>
        </w:trPr>
        <w:tc>
          <w:tcPr>
            <w:tcW w:w="3311" w:type="dxa"/>
            <w:tcBorders>
              <w:top w:val="nil"/>
              <w:left w:val="single" w:sz="8" w:space="0" w:color="auto"/>
              <w:bottom w:val="single" w:sz="8" w:space="0" w:color="auto"/>
              <w:right w:val="single" w:sz="8" w:space="0" w:color="auto"/>
            </w:tcBorders>
            <w:shd w:val="clear" w:color="000000" w:fill="244062"/>
            <w:vAlign w:val="center"/>
            <w:hideMark/>
          </w:tcPr>
          <w:p w14:paraId="1EE89BF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47" w:type="dxa"/>
            <w:gridSpan w:val="3"/>
            <w:tcBorders>
              <w:top w:val="single" w:sz="8" w:space="0" w:color="auto"/>
              <w:left w:val="nil"/>
              <w:bottom w:val="single" w:sz="8" w:space="0" w:color="auto"/>
              <w:right w:val="single" w:sz="8" w:space="0" w:color="000000"/>
            </w:tcBorders>
            <w:shd w:val="clear" w:color="auto" w:fill="auto"/>
            <w:vAlign w:val="center"/>
            <w:hideMark/>
          </w:tcPr>
          <w:p w14:paraId="5CB31A1B" w14:textId="515D9580"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DF2151" w:rsidRPr="00FF386D">
              <w:rPr>
                <w:rFonts w:asciiTheme="majorHAnsi" w:eastAsia="Times New Roman" w:hAnsiTheme="majorHAnsi" w:cstheme="majorHAnsi"/>
                <w:color w:val="000000"/>
                <w:sz w:val="20"/>
                <w:szCs w:val="20"/>
                <w:lang w:eastAsia="en-GB"/>
              </w:rPr>
              <w:t>ска средства</w:t>
            </w:r>
            <w:r w:rsidRPr="00FF386D">
              <w:rPr>
                <w:rFonts w:asciiTheme="majorHAnsi" w:eastAsia="Times New Roman" w:hAnsiTheme="majorHAnsi" w:cstheme="majorHAnsi"/>
                <w:color w:val="000000"/>
                <w:sz w:val="20"/>
                <w:szCs w:val="20"/>
                <w:lang w:eastAsia="en-GB"/>
              </w:rPr>
              <w:t>, пружаоци енергетских услуга</w:t>
            </w:r>
          </w:p>
        </w:tc>
      </w:tr>
    </w:tbl>
    <w:p w14:paraId="5D9C3002"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09"/>
        <w:gridCol w:w="1007"/>
        <w:gridCol w:w="943"/>
        <w:gridCol w:w="4199"/>
      </w:tblGrid>
      <w:tr w:rsidR="00854ADA" w:rsidRPr="00FF386D" w14:paraId="342DA598" w14:textId="77777777" w:rsidTr="0057310C">
        <w:trPr>
          <w:trHeight w:val="780"/>
        </w:trPr>
        <w:tc>
          <w:tcPr>
            <w:tcW w:w="3309"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4BEA93B8"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0131CF44" w14:textId="5C083A13" w:rsidR="00854ADA" w:rsidRPr="00FF386D" w:rsidRDefault="00351084"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w:t>
            </w:r>
            <w:r w:rsidR="00854ADA" w:rsidRPr="00FF386D">
              <w:rPr>
                <w:rFonts w:ascii="Calibri Light" w:hAnsi="Calibri Light"/>
                <w:b/>
                <w:sz w:val="20"/>
              </w:rPr>
              <w:t>П_ЕЕ31</w:t>
            </w:r>
          </w:p>
        </w:tc>
        <w:tc>
          <w:tcPr>
            <w:tcW w:w="943" w:type="dxa"/>
            <w:tcBorders>
              <w:top w:val="single" w:sz="8" w:space="0" w:color="auto"/>
              <w:left w:val="nil"/>
              <w:bottom w:val="single" w:sz="8" w:space="0" w:color="auto"/>
              <w:right w:val="single" w:sz="8" w:space="0" w:color="auto"/>
            </w:tcBorders>
            <w:shd w:val="clear" w:color="000000" w:fill="244062"/>
            <w:vAlign w:val="center"/>
            <w:hideMark/>
          </w:tcPr>
          <w:p w14:paraId="6EE919E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99" w:type="dxa"/>
            <w:tcBorders>
              <w:top w:val="single" w:sz="8" w:space="0" w:color="auto"/>
              <w:left w:val="nil"/>
              <w:bottom w:val="single" w:sz="8" w:space="0" w:color="auto"/>
              <w:right w:val="single" w:sz="8" w:space="0" w:color="auto"/>
            </w:tcBorders>
            <w:shd w:val="clear" w:color="auto" w:fill="E7E6E6" w:themeFill="background2"/>
            <w:vAlign w:val="center"/>
            <w:hideMark/>
          </w:tcPr>
          <w:p w14:paraId="7F928CBA" w14:textId="77777777" w:rsidR="00854ADA" w:rsidRPr="00FF386D" w:rsidRDefault="00854ADA" w:rsidP="00854ADA">
            <w:pPr>
              <w:spacing w:after="0" w:line="240" w:lineRule="auto"/>
              <w:rPr>
                <w:rFonts w:ascii="Calibri Light" w:eastAsia="Times New Roman" w:hAnsi="Calibri Light" w:cs="Calibri Light"/>
                <w:b/>
                <w:bCs/>
                <w:color w:val="000000"/>
                <w:sz w:val="20"/>
                <w:szCs w:val="20"/>
                <w:lang w:eastAsia="en-GB"/>
              </w:rPr>
            </w:pPr>
            <w:r w:rsidRPr="00FF386D">
              <w:rPr>
                <w:rFonts w:ascii="Calibri Light" w:hAnsi="Calibri Light"/>
                <w:b/>
                <w:sz w:val="20"/>
              </w:rPr>
              <w:t>Спровођење активности подизања свести</w:t>
            </w:r>
          </w:p>
        </w:tc>
      </w:tr>
      <w:tr w:rsidR="00854ADA" w:rsidRPr="00FF386D" w14:paraId="788FAE5E" w14:textId="77777777" w:rsidTr="0057310C">
        <w:trPr>
          <w:trHeight w:val="564"/>
        </w:trPr>
        <w:tc>
          <w:tcPr>
            <w:tcW w:w="3309" w:type="dxa"/>
            <w:tcBorders>
              <w:top w:val="nil"/>
              <w:left w:val="single" w:sz="8" w:space="0" w:color="auto"/>
              <w:bottom w:val="single" w:sz="8" w:space="0" w:color="auto"/>
              <w:right w:val="nil"/>
            </w:tcBorders>
            <w:shd w:val="clear" w:color="000000" w:fill="244062"/>
            <w:vAlign w:val="center"/>
            <w:hideMark/>
          </w:tcPr>
          <w:p w14:paraId="563692F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06B09993" w14:textId="798F875E" w:rsidR="00854ADA" w:rsidRPr="000A2AFE" w:rsidRDefault="004F7F0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Примена</w:t>
            </w:r>
            <w:r w:rsidR="00854ADA" w:rsidRPr="00FF386D">
              <w:rPr>
                <w:rFonts w:ascii="Calibri Light" w:hAnsi="Calibri Light"/>
                <w:sz w:val="20"/>
              </w:rPr>
              <w:t xml:space="preserve"> чланова Директиве </w:t>
            </w:r>
            <w:r w:rsidRPr="00FF386D">
              <w:rPr>
                <w:rFonts w:ascii="Calibri Light" w:hAnsi="Calibri Light"/>
                <w:sz w:val="20"/>
              </w:rPr>
              <w:t xml:space="preserve">(ЕУ) </w:t>
            </w:r>
            <w:r w:rsidR="00854ADA" w:rsidRPr="00FF386D">
              <w:rPr>
                <w:rFonts w:ascii="Calibri Light" w:hAnsi="Calibri Light"/>
                <w:sz w:val="20"/>
              </w:rPr>
              <w:t xml:space="preserve">2012/27/ЕУ,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w:t>
            </w:r>
            <w:r w:rsidRPr="00FF386D">
              <w:rPr>
                <w:rFonts w:ascii="Calibri Light" w:hAnsi="Calibri Light"/>
                <w:sz w:val="20"/>
              </w:rPr>
              <w:t>02, и то</w:t>
            </w:r>
            <w:r w:rsidR="00854ADA" w:rsidRPr="000A2AFE">
              <w:rPr>
                <w:rFonts w:ascii="Calibri Light" w:eastAsia="Times New Roman" w:hAnsi="Calibri Light" w:cs="Calibri Light"/>
                <w:color w:val="000000"/>
                <w:sz w:val="20"/>
                <w:szCs w:val="20"/>
                <w:lang w:eastAsia="en-GB"/>
              </w:rPr>
              <w:t>:</w:t>
            </w:r>
          </w:p>
          <w:p w14:paraId="40004457" w14:textId="2E9E76AA" w:rsidR="00854ADA" w:rsidRPr="000A2AFE" w:rsidRDefault="00854ADA" w:rsidP="00854ADA">
            <w:pPr>
              <w:numPr>
                <w:ilvl w:val="0"/>
                <w:numId w:val="2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BE2CBC"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3</w:t>
            </w:r>
          </w:p>
          <w:p w14:paraId="1C2BED19" w14:textId="77777777" w:rsidR="00854ADA" w:rsidRDefault="00854ADA" w:rsidP="00854ADA">
            <w:pPr>
              <w:numPr>
                <w:ilvl w:val="0"/>
                <w:numId w:val="1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BE2CBC"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7</w:t>
            </w:r>
          </w:p>
          <w:p w14:paraId="654A9053" w14:textId="2597E340" w:rsidR="00886931" w:rsidRPr="00FF386D" w:rsidRDefault="00886931" w:rsidP="00854ADA">
            <w:pPr>
              <w:numPr>
                <w:ilvl w:val="0"/>
                <w:numId w:val="15"/>
              </w:numPr>
              <w:spacing w:after="0" w:line="240" w:lineRule="auto"/>
              <w:contextualSpacing/>
              <w:rPr>
                <w:rFonts w:ascii="Calibri Light" w:eastAsia="Times New Roman" w:hAnsi="Calibri Light" w:cs="Calibri Light"/>
                <w:color w:val="000000"/>
                <w:sz w:val="20"/>
                <w:szCs w:val="20"/>
                <w:lang w:eastAsia="en-GB"/>
              </w:rPr>
            </w:pPr>
            <w:r w:rsidRPr="00886931">
              <w:rPr>
                <w:rFonts w:ascii="Calibri Light" w:eastAsia="Times New Roman" w:hAnsi="Calibri Light" w:cs="Calibri Light"/>
                <w:color w:val="000000"/>
                <w:sz w:val="20"/>
                <w:szCs w:val="20"/>
                <w:lang w:eastAsia="en-GB"/>
              </w:rPr>
              <w:t>Члан 17</w:t>
            </w:r>
          </w:p>
        </w:tc>
      </w:tr>
      <w:tr w:rsidR="00854ADA" w:rsidRPr="00FF386D" w14:paraId="36BEA475" w14:textId="77777777" w:rsidTr="0057310C">
        <w:trPr>
          <w:trHeight w:val="315"/>
        </w:trPr>
        <w:tc>
          <w:tcPr>
            <w:tcW w:w="3309" w:type="dxa"/>
            <w:tcBorders>
              <w:top w:val="nil"/>
              <w:left w:val="single" w:sz="8" w:space="0" w:color="auto"/>
              <w:bottom w:val="single" w:sz="8" w:space="0" w:color="auto"/>
              <w:right w:val="single" w:sz="8" w:space="0" w:color="auto"/>
            </w:tcBorders>
            <w:shd w:val="clear" w:color="000000" w:fill="244062"/>
            <w:vAlign w:val="center"/>
            <w:hideMark/>
          </w:tcPr>
          <w:p w14:paraId="3B2153C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08977DB8" w14:textId="42A8CBDC"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 xml:space="preserve">Допринос </w:t>
            </w:r>
            <w:r w:rsidR="00886931" w:rsidRPr="00886931">
              <w:rPr>
                <w:rFonts w:asciiTheme="majorHAnsi" w:eastAsia="Times New Roman" w:hAnsiTheme="majorHAnsi" w:cstheme="majorHAnsi"/>
                <w:color w:val="000000"/>
                <w:sz w:val="20"/>
                <w:szCs w:val="20"/>
                <w:lang w:eastAsia="en-GB"/>
              </w:rPr>
              <w:t>постизању очекиваних нивoa финалне потрошње енергије</w:t>
            </w:r>
          </w:p>
        </w:tc>
      </w:tr>
      <w:tr w:rsidR="00854ADA" w:rsidRPr="00FF386D" w14:paraId="5B3B4ACD" w14:textId="77777777" w:rsidTr="0057310C">
        <w:trPr>
          <w:trHeight w:val="996"/>
        </w:trPr>
        <w:tc>
          <w:tcPr>
            <w:tcW w:w="3309" w:type="dxa"/>
            <w:tcBorders>
              <w:top w:val="nil"/>
              <w:left w:val="single" w:sz="8" w:space="0" w:color="auto"/>
              <w:bottom w:val="single" w:sz="8" w:space="0" w:color="auto"/>
              <w:right w:val="single" w:sz="8" w:space="0" w:color="auto"/>
            </w:tcBorders>
            <w:shd w:val="clear" w:color="000000" w:fill="244062"/>
            <w:vAlign w:val="center"/>
            <w:hideMark/>
          </w:tcPr>
          <w:p w14:paraId="4AB7E13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Опис:</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0B47C41D" w14:textId="317A97AB" w:rsidR="00854ADA" w:rsidRPr="00FF386D" w:rsidRDefault="00351084" w:rsidP="00854ADA">
            <w:pPr>
              <w:spacing w:after="0" w:line="240" w:lineRule="auto"/>
              <w:jc w:val="both"/>
              <w:rPr>
                <w:rFonts w:ascii="Calibri Light" w:hAnsi="Calibri Light"/>
                <w:sz w:val="20"/>
              </w:rPr>
            </w:pPr>
            <w:r w:rsidRPr="00FF386D">
              <w:rPr>
                <w:rFonts w:ascii="Calibri Light" w:hAnsi="Calibri Light"/>
                <w:sz w:val="20"/>
              </w:rPr>
              <w:t>МП</w:t>
            </w:r>
            <w:r w:rsidR="00854ADA" w:rsidRPr="00FF386D">
              <w:rPr>
                <w:rFonts w:ascii="Calibri Light" w:hAnsi="Calibri Light"/>
                <w:sz w:val="20"/>
              </w:rPr>
              <w:t xml:space="preserve">_ЕЕ31 ће промовисати спровођење активности подизања свести и ширења информација у свим секторима финалне потрошње енергије са фокусом на домаћинства. У грађевинском сектору биће организоване специјализоване активности подизања свести и ширења информација, како за потрошаче тако и за ангажоване инжењере, а размотриће се успостављања </w:t>
            </w:r>
            <w:r w:rsidR="00BE2CBC" w:rsidRPr="00FF386D">
              <w:rPr>
                <w:rFonts w:ascii="Calibri Light" w:hAnsi="Calibri Light"/>
                <w:sz w:val="20"/>
              </w:rPr>
              <w:t>једношалтерског система</w:t>
            </w:r>
            <w:r w:rsidR="00854ADA" w:rsidRPr="00FF386D">
              <w:rPr>
                <w:rFonts w:ascii="Calibri Light" w:hAnsi="Calibri Light"/>
                <w:sz w:val="20"/>
              </w:rPr>
              <w:t xml:space="preserve"> (</w:t>
            </w:r>
            <w:r w:rsidR="00BE2CBC" w:rsidRPr="00FF386D">
              <w:rPr>
                <w:rFonts w:ascii="Calibri Light" w:hAnsi="Calibri Light"/>
                <w:sz w:val="20"/>
              </w:rPr>
              <w:t xml:space="preserve">ен. </w:t>
            </w:r>
            <w:r w:rsidR="00854ADA" w:rsidRPr="00FF386D">
              <w:rPr>
                <w:rFonts w:ascii="Calibri Light" w:hAnsi="Calibri Light"/>
                <w:sz w:val="20"/>
              </w:rPr>
              <w:t>оne-shop-stop), укључујући и опцију да се обезбеди финансијска подршка и предузме спровођење интервенција енергетске ефикасности у име заинтересованих крајњих корисника. Поред тога, развој баз</w:t>
            </w:r>
            <w:r w:rsidR="00F822F5" w:rsidRPr="00FF386D">
              <w:rPr>
                <w:rFonts w:ascii="Calibri Light" w:hAnsi="Calibri Light"/>
                <w:sz w:val="20"/>
              </w:rPr>
              <w:t>а</w:t>
            </w:r>
            <w:r w:rsidR="00854ADA" w:rsidRPr="00FF386D">
              <w:rPr>
                <w:rFonts w:ascii="Calibri Light" w:hAnsi="Calibri Light"/>
                <w:sz w:val="20"/>
              </w:rPr>
              <w:t xml:space="preserve"> података са информацијама о грађевинском фонду и спроведеним интервенцијама енергетске ефикасности и шемама добровољне сертификације еколошких, зелених и одрживих зграда може </w:t>
            </w:r>
            <w:r w:rsidR="00BE2CBC" w:rsidRPr="00FF386D">
              <w:rPr>
                <w:rFonts w:ascii="Calibri Light" w:hAnsi="Calibri Light"/>
                <w:sz w:val="20"/>
              </w:rPr>
              <w:t xml:space="preserve">да </w:t>
            </w:r>
            <w:r w:rsidR="00854ADA" w:rsidRPr="00FF386D">
              <w:rPr>
                <w:rFonts w:ascii="Calibri Light" w:hAnsi="Calibri Light"/>
                <w:sz w:val="20"/>
              </w:rPr>
              <w:t xml:space="preserve">унапреди </w:t>
            </w:r>
            <w:r w:rsidR="00BE2CBC" w:rsidRPr="00FF386D">
              <w:rPr>
                <w:rFonts w:ascii="Calibri Light" w:hAnsi="Calibri Light"/>
                <w:sz w:val="20"/>
              </w:rPr>
              <w:t>постојећи</w:t>
            </w:r>
            <w:r w:rsidR="00854ADA" w:rsidRPr="00FF386D">
              <w:rPr>
                <w:rFonts w:ascii="Calibri Light" w:hAnsi="Calibri Light"/>
                <w:sz w:val="20"/>
              </w:rPr>
              <w:t xml:space="preserve"> ниво знања и свести. У сектору саобраћаја би </w:t>
            </w:r>
            <w:r w:rsidR="00BE2CBC" w:rsidRPr="00FF386D">
              <w:rPr>
                <w:rFonts w:ascii="Calibri Light" w:hAnsi="Calibri Light"/>
                <w:sz w:val="20"/>
              </w:rPr>
              <w:t xml:space="preserve">требало </w:t>
            </w:r>
            <w:r w:rsidR="00854ADA" w:rsidRPr="00FF386D">
              <w:rPr>
                <w:rFonts w:ascii="Calibri Light" w:hAnsi="Calibri Light"/>
                <w:sz w:val="20"/>
              </w:rPr>
              <w:t xml:space="preserve">да се спроводе тематске кампање, а промовисаће се и еко-вожња. У сектору пољопривреде, </w:t>
            </w:r>
            <w:r w:rsidR="00BE2CBC" w:rsidRPr="00FF386D">
              <w:rPr>
                <w:rFonts w:ascii="Calibri Light" w:hAnsi="Calibri Light"/>
                <w:sz w:val="20"/>
              </w:rPr>
              <w:t xml:space="preserve">спроводиће се активности обуке </w:t>
            </w:r>
            <w:r w:rsidR="00886931" w:rsidRPr="00FF386D">
              <w:rPr>
                <w:rFonts w:ascii="Calibri Light" w:hAnsi="Calibri Light"/>
                <w:sz w:val="20"/>
              </w:rPr>
              <w:t>пољопривредни</w:t>
            </w:r>
            <w:r w:rsidR="00886931">
              <w:rPr>
                <w:rFonts w:ascii="Calibri Light" w:hAnsi="Calibri Light"/>
                <w:sz w:val="20"/>
              </w:rPr>
              <w:t>к</w:t>
            </w:r>
            <w:r w:rsidR="00886931" w:rsidRPr="00FF386D">
              <w:rPr>
                <w:rFonts w:ascii="Calibri Light" w:hAnsi="Calibri Light"/>
                <w:sz w:val="20"/>
              </w:rPr>
              <w:t xml:space="preserve">а </w:t>
            </w:r>
            <w:r w:rsidR="00854ADA" w:rsidRPr="00FF386D">
              <w:rPr>
                <w:rFonts w:ascii="Calibri Light" w:hAnsi="Calibri Light"/>
                <w:sz w:val="20"/>
              </w:rPr>
              <w:t xml:space="preserve">за све пољопривредне технологије у оквиру целог ланца пољопривредних производа, а потребно је да посебан акценат буде стављен на рад пумпних станица за наводњавање. У комерцијалном и индустријском сектору, спровођење енергетских прегледа ће повећати досадашњи ниво знања. </w:t>
            </w:r>
            <w:r w:rsidR="00886931" w:rsidRPr="00886931">
              <w:rPr>
                <w:rFonts w:ascii="Calibri Light" w:hAnsi="Calibri Light"/>
                <w:sz w:val="20"/>
              </w:rPr>
              <w:t>Биће организоване наменске образовне активности и активности подизања свести и за запослене у јавним зградама.</w:t>
            </w:r>
            <w:r w:rsidR="00886931">
              <w:rPr>
                <w:rFonts w:ascii="Calibri Light" w:hAnsi="Calibri Light"/>
                <w:sz w:val="20"/>
              </w:rPr>
              <w:t xml:space="preserve"> </w:t>
            </w:r>
            <w:r w:rsidR="00854ADA" w:rsidRPr="00FF386D">
              <w:rPr>
                <w:rFonts w:ascii="Calibri Light" w:hAnsi="Calibri Light"/>
                <w:sz w:val="20"/>
              </w:rPr>
              <w:t>Такође, треба промовисати концепт угљ</w:t>
            </w:r>
            <w:r w:rsidR="004F7F0A" w:rsidRPr="000A2AFE">
              <w:rPr>
                <w:rFonts w:ascii="Calibri Light" w:hAnsi="Calibri Light"/>
                <w:sz w:val="20"/>
              </w:rPr>
              <w:t>e</w:t>
            </w:r>
            <w:r w:rsidR="004F7F0A" w:rsidRPr="00FF386D">
              <w:rPr>
                <w:rFonts w:ascii="Calibri Light" w:hAnsi="Calibri Light"/>
                <w:sz w:val="20"/>
              </w:rPr>
              <w:t xml:space="preserve">ничког </w:t>
            </w:r>
            <w:r w:rsidR="00854ADA" w:rsidRPr="00FF386D">
              <w:rPr>
                <w:rFonts w:ascii="Calibri Light" w:hAnsi="Calibri Light"/>
                <w:sz w:val="20"/>
              </w:rPr>
              <w:t>отиска и ефекта мера енергетске ефикасности током читавог животног циклуса промовисаних технологија и опреме како би се заинтересоване стране упознале са пуним ефектима енергетске ефикасности.</w:t>
            </w:r>
            <w:r w:rsidR="00886931">
              <w:t xml:space="preserve"> </w:t>
            </w:r>
            <w:r w:rsidR="00886931" w:rsidRPr="00886931">
              <w:rPr>
                <w:rFonts w:ascii="Calibri Light" w:hAnsi="Calibri Light"/>
                <w:sz w:val="20"/>
              </w:rPr>
              <w:t>На крају, биће израђене наменске студије како би се проценио потенцијал за енергетске уштеде у разним привредним делатностима у сектору услуга и поделили добијени резултати с циљем да се мобилишу додатне инвестиције.</w:t>
            </w:r>
          </w:p>
        </w:tc>
      </w:tr>
      <w:tr w:rsidR="00854ADA" w:rsidRPr="00FF386D" w14:paraId="29BDF0DC" w14:textId="77777777" w:rsidTr="0057310C">
        <w:trPr>
          <w:trHeight w:val="315"/>
        </w:trPr>
        <w:tc>
          <w:tcPr>
            <w:tcW w:w="3309" w:type="dxa"/>
            <w:tcBorders>
              <w:top w:val="nil"/>
              <w:left w:val="single" w:sz="8" w:space="0" w:color="auto"/>
              <w:bottom w:val="single" w:sz="8" w:space="0" w:color="auto"/>
              <w:right w:val="single" w:sz="8" w:space="0" w:color="auto"/>
            </w:tcBorders>
            <w:shd w:val="clear" w:color="000000" w:fill="244062"/>
            <w:vAlign w:val="center"/>
            <w:hideMark/>
          </w:tcPr>
          <w:p w14:paraId="0CB1722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0E74967D" w14:textId="78EDEBB3"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4F7F0A" w:rsidRPr="000A2AFE">
              <w:rPr>
                <w:rFonts w:ascii="Calibri Light" w:hAnsi="Calibri Light"/>
                <w:sz w:val="20"/>
              </w:rPr>
              <w:t>5</w:t>
            </w:r>
            <w:r w:rsidRPr="00FF386D">
              <w:rPr>
                <w:rFonts w:ascii="Calibri Light" w:hAnsi="Calibri Light"/>
                <w:sz w:val="20"/>
              </w:rPr>
              <w:t>-2030.</w:t>
            </w:r>
          </w:p>
        </w:tc>
      </w:tr>
      <w:tr w:rsidR="00854ADA" w:rsidRPr="00FF386D" w14:paraId="19D9CEEF" w14:textId="77777777" w:rsidTr="0057310C">
        <w:trPr>
          <w:trHeight w:val="315"/>
        </w:trPr>
        <w:tc>
          <w:tcPr>
            <w:tcW w:w="3309" w:type="dxa"/>
            <w:tcBorders>
              <w:top w:val="nil"/>
              <w:left w:val="single" w:sz="8" w:space="0" w:color="auto"/>
              <w:bottom w:val="single" w:sz="8" w:space="0" w:color="auto"/>
              <w:right w:val="single" w:sz="8" w:space="0" w:color="auto"/>
            </w:tcBorders>
            <w:shd w:val="clear" w:color="000000" w:fill="244062"/>
            <w:vAlign w:val="center"/>
            <w:hideMark/>
          </w:tcPr>
          <w:p w14:paraId="76CDEB4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54C80E4F"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Реформа</w:t>
            </w:r>
          </w:p>
        </w:tc>
      </w:tr>
      <w:tr w:rsidR="00854ADA" w:rsidRPr="00FF386D" w14:paraId="07AB0302" w14:textId="77777777" w:rsidTr="0057310C">
        <w:trPr>
          <w:trHeight w:val="315"/>
        </w:trPr>
        <w:tc>
          <w:tcPr>
            <w:tcW w:w="3309" w:type="dxa"/>
            <w:tcBorders>
              <w:top w:val="nil"/>
              <w:left w:val="single" w:sz="8" w:space="0" w:color="auto"/>
              <w:bottom w:val="single" w:sz="8" w:space="0" w:color="auto"/>
              <w:right w:val="single" w:sz="8" w:space="0" w:color="auto"/>
            </w:tcBorders>
            <w:shd w:val="clear" w:color="000000" w:fill="244062"/>
            <w:vAlign w:val="center"/>
            <w:hideMark/>
          </w:tcPr>
          <w:p w14:paraId="53E45F5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7B29A4FA"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Сви сектори финалне потрошње</w:t>
            </w:r>
          </w:p>
        </w:tc>
      </w:tr>
      <w:tr w:rsidR="00854ADA" w:rsidRPr="00FF386D" w14:paraId="1A2D9D06" w14:textId="77777777" w:rsidTr="0057310C">
        <w:trPr>
          <w:trHeight w:val="315"/>
        </w:trPr>
        <w:tc>
          <w:tcPr>
            <w:tcW w:w="3309" w:type="dxa"/>
            <w:tcBorders>
              <w:top w:val="nil"/>
              <w:left w:val="single" w:sz="8" w:space="0" w:color="auto"/>
              <w:bottom w:val="single" w:sz="8" w:space="0" w:color="auto"/>
              <w:right w:val="single" w:sz="8" w:space="0" w:color="auto"/>
            </w:tcBorders>
            <w:shd w:val="clear" w:color="000000" w:fill="244062"/>
            <w:vAlign w:val="center"/>
            <w:hideMark/>
          </w:tcPr>
          <w:p w14:paraId="469F24B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624F6048" w14:textId="77777777" w:rsidR="00854ADA" w:rsidRPr="00FF386D" w:rsidRDefault="00854ADA" w:rsidP="00854ADA">
            <w:pPr>
              <w:numPr>
                <w:ilvl w:val="0"/>
                <w:numId w:val="15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Министарство рударства и енергетике</w:t>
            </w:r>
          </w:p>
        </w:tc>
      </w:tr>
      <w:tr w:rsidR="00854ADA" w:rsidRPr="00FF386D" w14:paraId="74EDAB4D" w14:textId="77777777" w:rsidTr="0057310C">
        <w:trPr>
          <w:trHeight w:val="315"/>
        </w:trPr>
        <w:tc>
          <w:tcPr>
            <w:tcW w:w="3309" w:type="dxa"/>
            <w:tcBorders>
              <w:top w:val="nil"/>
              <w:left w:val="single" w:sz="8" w:space="0" w:color="auto"/>
              <w:bottom w:val="single" w:sz="8" w:space="0" w:color="auto"/>
              <w:right w:val="nil"/>
            </w:tcBorders>
            <w:shd w:val="clear" w:color="000000" w:fill="244062"/>
            <w:vAlign w:val="center"/>
            <w:hideMark/>
          </w:tcPr>
          <w:p w14:paraId="62EDB41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54239A92" w14:textId="7D77444E" w:rsidR="00854ADA" w:rsidRPr="000A2AFE" w:rsidRDefault="00ED2500" w:rsidP="000A2AFE">
            <w:pPr>
              <w:pStyle w:val="ListParagraph"/>
              <w:numPr>
                <w:ilvl w:val="0"/>
                <w:numId w:val="157"/>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1214AF9C" w14:textId="77777777" w:rsidTr="0057310C">
        <w:trPr>
          <w:trHeight w:val="315"/>
        </w:trPr>
        <w:tc>
          <w:tcPr>
            <w:tcW w:w="3309" w:type="dxa"/>
            <w:tcBorders>
              <w:top w:val="nil"/>
              <w:left w:val="single" w:sz="8" w:space="0" w:color="auto"/>
              <w:bottom w:val="single" w:sz="8" w:space="0" w:color="auto"/>
              <w:right w:val="nil"/>
            </w:tcBorders>
            <w:shd w:val="clear" w:color="000000" w:fill="244062"/>
            <w:vAlign w:val="center"/>
            <w:hideMark/>
          </w:tcPr>
          <w:p w14:paraId="5CD1A82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722BB6E7" w14:textId="77777777" w:rsidR="00854ADA" w:rsidRPr="000A2AFE" w:rsidRDefault="00854ADA" w:rsidP="000A2AFE">
            <w:pPr>
              <w:pStyle w:val="ListParagraph"/>
              <w:numPr>
                <w:ilvl w:val="0"/>
                <w:numId w:val="157"/>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Број обухваћених крајњих корисника</w:t>
            </w:r>
          </w:p>
        </w:tc>
      </w:tr>
      <w:tr w:rsidR="00854ADA" w:rsidRPr="00FF386D" w14:paraId="3E51CE58" w14:textId="77777777" w:rsidTr="0057310C">
        <w:trPr>
          <w:trHeight w:val="470"/>
        </w:trPr>
        <w:tc>
          <w:tcPr>
            <w:tcW w:w="3309" w:type="dxa"/>
            <w:tcBorders>
              <w:top w:val="nil"/>
              <w:left w:val="single" w:sz="8" w:space="0" w:color="auto"/>
              <w:bottom w:val="single" w:sz="8" w:space="0" w:color="auto"/>
              <w:right w:val="single" w:sz="8" w:space="0" w:color="auto"/>
            </w:tcBorders>
            <w:shd w:val="clear" w:color="000000" w:fill="244062"/>
            <w:vAlign w:val="center"/>
            <w:hideMark/>
          </w:tcPr>
          <w:p w14:paraId="3EA1B88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57EE7D17" w14:textId="47194693" w:rsidR="00106DD0" w:rsidRPr="00106DD0" w:rsidRDefault="00106DD0" w:rsidP="00106DD0">
            <w:pPr>
              <w:numPr>
                <w:ilvl w:val="0"/>
                <w:numId w:val="157"/>
              </w:numPr>
              <w:spacing w:after="0" w:line="240" w:lineRule="auto"/>
              <w:contextualSpacing/>
              <w:rPr>
                <w:rFonts w:ascii="Calibri Light" w:eastAsia="Times New Roman" w:hAnsi="Calibri Light" w:cs="Calibri Light"/>
                <w:color w:val="000000"/>
                <w:sz w:val="20"/>
                <w:szCs w:val="20"/>
                <w:lang w:eastAsia="en-GB"/>
              </w:rPr>
            </w:pPr>
            <w:r w:rsidRPr="00106DD0">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106DD0">
              <w:rPr>
                <w:rFonts w:ascii="Calibri Light" w:eastAsia="Times New Roman" w:hAnsi="Calibri Light" w:cs="Calibri Light"/>
                <w:i/>
                <w:iCs/>
                <w:color w:val="000000"/>
                <w:sz w:val="20"/>
                <w:szCs w:val="20"/>
                <w:lang w:val="en-US" w:eastAsia="en-GB"/>
              </w:rPr>
              <w:t>GHG</w:t>
            </w:r>
            <w:r w:rsidRPr="00106DD0">
              <w:rPr>
                <w:rFonts w:ascii="Calibri Light" w:eastAsia="Times New Roman" w:hAnsi="Calibri Light" w:cs="Calibri Light"/>
                <w:i/>
                <w:iCs/>
                <w:color w:val="000000"/>
                <w:sz w:val="20"/>
                <w:szCs w:val="20"/>
                <w:lang w:eastAsia="en-GB"/>
              </w:rPr>
              <w:t xml:space="preserve"> </w:t>
            </w:r>
            <w:r w:rsidRPr="00106DD0">
              <w:rPr>
                <w:rFonts w:ascii="Calibri Light" w:eastAsia="Times New Roman" w:hAnsi="Calibri Light" w:cs="Calibri Light"/>
                <w:color w:val="000000"/>
                <w:sz w:val="20"/>
                <w:szCs w:val="20"/>
                <w:lang w:eastAsia="en-GB"/>
              </w:rPr>
              <w:t>а коришћене технологије ОИЕ ће довести до повећања удела ОИЕ у грејању и хлађењу)</w:t>
            </w:r>
          </w:p>
          <w:p w14:paraId="5D311079" w14:textId="7341CD65" w:rsidR="00854ADA" w:rsidRPr="00FF386D" w:rsidRDefault="00106DD0" w:rsidP="00106DD0">
            <w:pPr>
              <w:numPr>
                <w:ilvl w:val="0"/>
                <w:numId w:val="157"/>
              </w:numPr>
              <w:spacing w:after="0" w:line="240" w:lineRule="auto"/>
              <w:contextualSpacing/>
              <w:rPr>
                <w:rFonts w:ascii="Calibri Light" w:eastAsia="Times New Roman" w:hAnsi="Calibri Light" w:cs="Calibri Light"/>
                <w:color w:val="000000"/>
                <w:sz w:val="20"/>
                <w:szCs w:val="20"/>
                <w:lang w:eastAsia="en-GB"/>
              </w:rPr>
            </w:pPr>
            <w:r w:rsidRPr="00106DD0">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854ADA" w:rsidRPr="00FF386D" w14:paraId="4AF75ECA" w14:textId="77777777" w:rsidTr="0057310C">
        <w:trPr>
          <w:trHeight w:val="450"/>
        </w:trPr>
        <w:tc>
          <w:tcPr>
            <w:tcW w:w="3309" w:type="dxa"/>
            <w:tcBorders>
              <w:top w:val="nil"/>
              <w:left w:val="single" w:sz="8" w:space="0" w:color="auto"/>
              <w:bottom w:val="nil"/>
              <w:right w:val="single" w:sz="8" w:space="0" w:color="auto"/>
            </w:tcBorders>
            <w:shd w:val="clear" w:color="000000" w:fill="244062"/>
            <w:vAlign w:val="center"/>
            <w:hideMark/>
          </w:tcPr>
          <w:p w14:paraId="6365DE62" w14:textId="22F2EA43"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49"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6113C54" w14:textId="131D63F0" w:rsidR="00854ADA" w:rsidRPr="000A2AFE" w:rsidRDefault="00854ADA" w:rsidP="004F7F0A">
            <w:pPr>
              <w:pStyle w:val="ListParagraph"/>
              <w:numPr>
                <w:ilvl w:val="0"/>
                <w:numId w:val="157"/>
              </w:num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4F7F0A"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2012/27</w:t>
            </w:r>
          </w:p>
          <w:p w14:paraId="6E443D7A" w14:textId="5B2A5E06" w:rsidR="00854ADA" w:rsidRPr="00FF386D" w:rsidRDefault="00854ADA" w:rsidP="00854ADA">
            <w:pPr>
              <w:numPr>
                <w:ilvl w:val="0"/>
                <w:numId w:val="15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4F7F0A"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2018/2002</w:t>
            </w:r>
          </w:p>
        </w:tc>
      </w:tr>
      <w:tr w:rsidR="00854ADA" w:rsidRPr="00FF386D" w14:paraId="70FEE50C" w14:textId="77777777" w:rsidTr="0057310C">
        <w:trPr>
          <w:trHeight w:val="450"/>
        </w:trPr>
        <w:tc>
          <w:tcPr>
            <w:tcW w:w="3309" w:type="dxa"/>
            <w:tcBorders>
              <w:top w:val="nil"/>
              <w:left w:val="single" w:sz="8" w:space="0" w:color="auto"/>
              <w:bottom w:val="single" w:sz="8" w:space="0" w:color="auto"/>
              <w:right w:val="single" w:sz="8" w:space="0" w:color="auto"/>
            </w:tcBorders>
            <w:shd w:val="clear" w:color="000000" w:fill="244062"/>
            <w:vAlign w:val="center"/>
          </w:tcPr>
          <w:p w14:paraId="0EFC53C3" w14:textId="77777777" w:rsidR="00854ADA" w:rsidRPr="00FF386D" w:rsidRDefault="00854ADA" w:rsidP="00854ADA">
            <w:pPr>
              <w:spacing w:after="0" w:line="240" w:lineRule="auto"/>
              <w:rPr>
                <w:rFonts w:asciiTheme="majorHAnsi" w:hAnsiTheme="majorHAnsi" w:cstheme="majorHAnsi"/>
                <w:b/>
                <w:bCs/>
                <w:sz w:val="20"/>
                <w:szCs w:val="20"/>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49" w:type="dxa"/>
            <w:gridSpan w:val="3"/>
            <w:tcBorders>
              <w:top w:val="single" w:sz="8" w:space="0" w:color="auto"/>
              <w:left w:val="nil"/>
              <w:bottom w:val="single" w:sz="8" w:space="0" w:color="auto"/>
              <w:right w:val="single" w:sz="8" w:space="0" w:color="000000"/>
            </w:tcBorders>
            <w:shd w:val="clear" w:color="auto" w:fill="auto"/>
            <w:vAlign w:val="center"/>
          </w:tcPr>
          <w:p w14:paraId="0126144B" w14:textId="124912F8" w:rsidR="00854ADA" w:rsidRPr="00FF386D" w:rsidRDefault="00854ADA">
            <w:pPr>
              <w:numPr>
                <w:ilvl w:val="0"/>
                <w:numId w:val="274"/>
              </w:numPr>
              <w:spacing w:after="0" w:line="240" w:lineRule="auto"/>
              <w:contextualSpacing/>
              <w:rPr>
                <w:rFonts w:ascii="Calibri Light" w:hAnsi="Calibri Light"/>
                <w:color w:val="000000"/>
                <w:sz w:val="20"/>
              </w:rPr>
            </w:pPr>
            <w:r w:rsidRPr="00FF386D">
              <w:rPr>
                <w:rFonts w:ascii="Calibri Light" w:eastAsia="Times New Roman" w:hAnsi="Calibri Light" w:cs="Calibri Light"/>
                <w:color w:val="000000"/>
                <w:sz w:val="20"/>
                <w:szCs w:val="20"/>
                <w:lang w:eastAsia="en-GB"/>
              </w:rPr>
              <w:t>4. НАПЕЕ</w:t>
            </w:r>
          </w:p>
          <w:p w14:paraId="2CE53A6B" w14:textId="77777777" w:rsidR="00854ADA" w:rsidRPr="00FF386D" w:rsidRDefault="00854ADA">
            <w:pPr>
              <w:numPr>
                <w:ilvl w:val="0"/>
                <w:numId w:val="274"/>
              </w:numPr>
              <w:spacing w:after="0" w:line="240" w:lineRule="auto"/>
              <w:contextualSpacing/>
              <w:rPr>
                <w:rFonts w:ascii="Calibri Light" w:hAnsi="Calibri Light"/>
                <w:color w:val="000000"/>
                <w:sz w:val="20"/>
              </w:rPr>
            </w:pPr>
            <w:r w:rsidRPr="00FF386D">
              <w:rPr>
                <w:rFonts w:ascii="Calibri Light" w:hAnsi="Calibri Light"/>
                <w:color w:val="000000"/>
                <w:sz w:val="20"/>
              </w:rPr>
              <w:t>Дугорочна стратегија развоја</w:t>
            </w:r>
          </w:p>
        </w:tc>
      </w:tr>
      <w:tr w:rsidR="00854ADA" w:rsidRPr="00FF386D" w14:paraId="624786DF" w14:textId="77777777" w:rsidTr="0057310C">
        <w:trPr>
          <w:trHeight w:val="450"/>
        </w:trPr>
        <w:tc>
          <w:tcPr>
            <w:tcW w:w="3309" w:type="dxa"/>
            <w:tcBorders>
              <w:top w:val="nil"/>
              <w:left w:val="single" w:sz="8" w:space="0" w:color="auto"/>
              <w:bottom w:val="single" w:sz="8" w:space="0" w:color="auto"/>
              <w:right w:val="single" w:sz="8" w:space="0" w:color="auto"/>
            </w:tcBorders>
            <w:shd w:val="clear" w:color="000000" w:fill="244062"/>
            <w:vAlign w:val="center"/>
          </w:tcPr>
          <w:p w14:paraId="7DA60251" w14:textId="77777777" w:rsidR="00854ADA" w:rsidRPr="00FF386D" w:rsidRDefault="00854ADA" w:rsidP="00854ADA">
            <w:pPr>
              <w:spacing w:after="0" w:line="240" w:lineRule="auto"/>
              <w:rPr>
                <w:rFonts w:asciiTheme="majorHAnsi" w:hAnsiTheme="majorHAnsi" w:cstheme="majorHAnsi"/>
                <w:b/>
                <w:bCs/>
                <w:sz w:val="20"/>
                <w:szCs w:val="20"/>
              </w:rPr>
            </w:pPr>
            <w:r w:rsidRPr="00FF386D">
              <w:rPr>
                <w:rFonts w:asciiTheme="majorHAnsi" w:hAnsiTheme="majorHAnsi" w:cstheme="majorHAnsi"/>
                <w:b/>
                <w:bCs/>
                <w:sz w:val="20"/>
                <w:szCs w:val="20"/>
              </w:rPr>
              <w:t>Трошкови имплементације</w:t>
            </w:r>
          </w:p>
        </w:tc>
        <w:tc>
          <w:tcPr>
            <w:tcW w:w="6149" w:type="dxa"/>
            <w:gridSpan w:val="3"/>
            <w:tcBorders>
              <w:top w:val="single" w:sz="8" w:space="0" w:color="auto"/>
              <w:left w:val="nil"/>
              <w:bottom w:val="single" w:sz="8" w:space="0" w:color="auto"/>
              <w:right w:val="single" w:sz="8" w:space="0" w:color="000000"/>
            </w:tcBorders>
            <w:shd w:val="clear" w:color="auto" w:fill="auto"/>
            <w:vAlign w:val="center"/>
          </w:tcPr>
          <w:p w14:paraId="64B3D6E2" w14:textId="11B560C0" w:rsidR="00854ADA" w:rsidRPr="00FF386D" w:rsidRDefault="00854ADA" w:rsidP="00854ADA">
            <w:pPr>
              <w:spacing w:after="0" w:line="240" w:lineRule="auto"/>
              <w:rPr>
                <w:rFonts w:ascii="Calibri Light" w:hAnsi="Calibri Light"/>
                <w:color w:val="000000"/>
                <w:sz w:val="20"/>
              </w:rPr>
            </w:pPr>
            <w:r w:rsidRPr="00FF386D">
              <w:rPr>
                <w:rFonts w:ascii="Calibri Light" w:hAnsi="Calibri Light"/>
                <w:color w:val="000000"/>
                <w:sz w:val="20"/>
              </w:rPr>
              <w:t xml:space="preserve">Буџет </w:t>
            </w:r>
            <w:r w:rsidR="004F7F0A" w:rsidRPr="00FF386D">
              <w:rPr>
                <w:rFonts w:ascii="Calibri Light" w:hAnsi="Calibri Light"/>
                <w:color w:val="000000"/>
                <w:sz w:val="20"/>
              </w:rPr>
              <w:t>обухваћен</w:t>
            </w:r>
            <w:r w:rsidRPr="00FF386D">
              <w:rPr>
                <w:rFonts w:ascii="Calibri Light" w:hAnsi="Calibri Light"/>
                <w:color w:val="000000"/>
                <w:sz w:val="20"/>
              </w:rPr>
              <w:t xml:space="preserve"> у св</w:t>
            </w:r>
            <w:r w:rsidR="004F7F0A" w:rsidRPr="00FF386D">
              <w:rPr>
                <w:rFonts w:ascii="Calibri Light" w:hAnsi="Calibri Light"/>
                <w:color w:val="000000"/>
                <w:sz w:val="20"/>
              </w:rPr>
              <w:t>им</w:t>
            </w:r>
            <w:r w:rsidRPr="00FF386D">
              <w:rPr>
                <w:rFonts w:ascii="Calibri Light" w:hAnsi="Calibri Light"/>
                <w:color w:val="000000"/>
                <w:sz w:val="20"/>
              </w:rPr>
              <w:t xml:space="preserve"> друг</w:t>
            </w:r>
            <w:r w:rsidR="004F7F0A" w:rsidRPr="00FF386D">
              <w:rPr>
                <w:rFonts w:ascii="Calibri Light" w:hAnsi="Calibri Light"/>
                <w:color w:val="000000"/>
                <w:sz w:val="20"/>
              </w:rPr>
              <w:t xml:space="preserve">им </w:t>
            </w:r>
            <w:r w:rsidRPr="00FF386D">
              <w:rPr>
                <w:rFonts w:ascii="Calibri Light" w:hAnsi="Calibri Light"/>
                <w:color w:val="000000"/>
                <w:sz w:val="20"/>
              </w:rPr>
              <w:t>мер</w:t>
            </w:r>
            <w:r w:rsidR="004F7F0A" w:rsidRPr="00FF386D">
              <w:rPr>
                <w:rFonts w:ascii="Calibri Light" w:hAnsi="Calibri Light"/>
                <w:color w:val="000000"/>
                <w:sz w:val="20"/>
              </w:rPr>
              <w:t xml:space="preserve">ама </w:t>
            </w:r>
            <w:r w:rsidRPr="00FF386D">
              <w:rPr>
                <w:rFonts w:ascii="Calibri Light" w:hAnsi="Calibri Light"/>
                <w:color w:val="000000"/>
                <w:sz w:val="20"/>
              </w:rPr>
              <w:t>финалне потрошње</w:t>
            </w:r>
          </w:p>
        </w:tc>
      </w:tr>
      <w:tr w:rsidR="00854ADA" w:rsidRPr="00FF386D" w14:paraId="00B89F36" w14:textId="77777777" w:rsidTr="0057310C">
        <w:trPr>
          <w:trHeight w:val="450"/>
        </w:trPr>
        <w:tc>
          <w:tcPr>
            <w:tcW w:w="3309" w:type="dxa"/>
            <w:tcBorders>
              <w:top w:val="nil"/>
              <w:left w:val="single" w:sz="8" w:space="0" w:color="auto"/>
              <w:bottom w:val="single" w:sz="8" w:space="0" w:color="auto"/>
              <w:right w:val="single" w:sz="8" w:space="0" w:color="auto"/>
            </w:tcBorders>
            <w:shd w:val="clear" w:color="000000" w:fill="244062"/>
            <w:vAlign w:val="center"/>
          </w:tcPr>
          <w:p w14:paraId="6D0E12FE" w14:textId="77777777" w:rsidR="00854ADA" w:rsidRPr="00FF386D" w:rsidRDefault="00854ADA" w:rsidP="00854ADA">
            <w:pPr>
              <w:spacing w:after="0" w:line="240" w:lineRule="auto"/>
              <w:rPr>
                <w:rFonts w:asciiTheme="majorHAnsi" w:hAnsiTheme="majorHAnsi" w:cstheme="majorHAnsi"/>
                <w:b/>
                <w:bCs/>
                <w:sz w:val="20"/>
                <w:szCs w:val="20"/>
              </w:rPr>
            </w:pPr>
            <w:r w:rsidRPr="00FF386D">
              <w:rPr>
                <w:rFonts w:asciiTheme="majorHAnsi" w:eastAsia="Times New Roman" w:hAnsiTheme="majorHAnsi" w:cstheme="majorHAnsi"/>
                <w:b/>
                <w:bCs/>
                <w:color w:val="FFFFFF"/>
                <w:sz w:val="20"/>
                <w:szCs w:val="20"/>
                <w:lang w:eastAsia="en-GB"/>
              </w:rPr>
              <w:t>Извор(и) финансирања</w:t>
            </w:r>
          </w:p>
        </w:tc>
        <w:tc>
          <w:tcPr>
            <w:tcW w:w="6149" w:type="dxa"/>
            <w:gridSpan w:val="3"/>
            <w:tcBorders>
              <w:top w:val="single" w:sz="8" w:space="0" w:color="auto"/>
              <w:left w:val="nil"/>
              <w:bottom w:val="single" w:sz="8" w:space="0" w:color="auto"/>
              <w:right w:val="single" w:sz="8" w:space="0" w:color="000000"/>
            </w:tcBorders>
            <w:shd w:val="clear" w:color="auto" w:fill="auto"/>
            <w:vAlign w:val="center"/>
          </w:tcPr>
          <w:p w14:paraId="4FFB8F63" w14:textId="7E7C5135" w:rsidR="00854ADA" w:rsidRPr="00FF386D" w:rsidRDefault="00854ADA" w:rsidP="00854ADA">
            <w:pPr>
              <w:spacing w:after="0" w:line="240" w:lineRule="auto"/>
              <w:rPr>
                <w:rFonts w:ascii="Calibri Light" w:hAnsi="Calibri Light"/>
                <w:color w:val="000000"/>
                <w:sz w:val="20"/>
              </w:rPr>
            </w:pPr>
            <w:r w:rsidRPr="00FF386D">
              <w:rPr>
                <w:rFonts w:asciiTheme="majorHAnsi" w:eastAsia="Times New Roman" w:hAnsiTheme="majorHAnsi" w:cstheme="majorHAnsi"/>
                <w:color w:val="000000"/>
                <w:sz w:val="20"/>
                <w:szCs w:val="20"/>
                <w:lang w:eastAsia="en-GB"/>
              </w:rPr>
              <w:t>Фондови ЕУ и други фондови, буџет</w:t>
            </w:r>
            <w:r w:rsidR="004F7F0A" w:rsidRPr="00FF386D">
              <w:rPr>
                <w:rFonts w:asciiTheme="majorHAnsi" w:eastAsia="Times New Roman" w:hAnsiTheme="majorHAnsi" w:cstheme="majorHAnsi"/>
                <w:color w:val="000000"/>
                <w:sz w:val="20"/>
                <w:szCs w:val="20"/>
                <w:lang w:eastAsia="en-GB"/>
              </w:rPr>
              <w:t>ска средства</w:t>
            </w:r>
            <w:r w:rsidRPr="00FF386D">
              <w:rPr>
                <w:rFonts w:asciiTheme="majorHAnsi" w:eastAsia="Times New Roman" w:hAnsiTheme="majorHAnsi" w:cstheme="majorHAnsi"/>
                <w:color w:val="000000"/>
                <w:sz w:val="20"/>
                <w:szCs w:val="20"/>
                <w:lang w:eastAsia="en-GB"/>
              </w:rPr>
              <w:t>, пружаоци енергетских услуга</w:t>
            </w:r>
          </w:p>
        </w:tc>
      </w:tr>
    </w:tbl>
    <w:p w14:paraId="45C090B7"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04"/>
        <w:gridCol w:w="1007"/>
        <w:gridCol w:w="941"/>
        <w:gridCol w:w="4206"/>
      </w:tblGrid>
      <w:tr w:rsidR="00854ADA" w:rsidRPr="00FF386D" w14:paraId="63E035F8" w14:textId="77777777" w:rsidTr="0057310C">
        <w:trPr>
          <w:trHeight w:val="780"/>
        </w:trPr>
        <w:tc>
          <w:tcPr>
            <w:tcW w:w="3304"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077C9BDE"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52745B5B"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МП_ЕЕ32</w:t>
            </w:r>
          </w:p>
        </w:tc>
        <w:tc>
          <w:tcPr>
            <w:tcW w:w="941" w:type="dxa"/>
            <w:tcBorders>
              <w:top w:val="single" w:sz="8" w:space="0" w:color="auto"/>
              <w:left w:val="nil"/>
              <w:bottom w:val="single" w:sz="8" w:space="0" w:color="auto"/>
              <w:right w:val="single" w:sz="8" w:space="0" w:color="auto"/>
            </w:tcBorders>
            <w:shd w:val="clear" w:color="000000" w:fill="244062"/>
            <w:vAlign w:val="center"/>
            <w:hideMark/>
          </w:tcPr>
          <w:p w14:paraId="54E1856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06" w:type="dxa"/>
            <w:tcBorders>
              <w:top w:val="single" w:sz="8" w:space="0" w:color="auto"/>
              <w:left w:val="nil"/>
              <w:bottom w:val="single" w:sz="8" w:space="0" w:color="auto"/>
              <w:right w:val="single" w:sz="8" w:space="0" w:color="auto"/>
            </w:tcBorders>
            <w:shd w:val="clear" w:color="auto" w:fill="E7E6E6" w:themeFill="background2"/>
            <w:vAlign w:val="center"/>
            <w:hideMark/>
          </w:tcPr>
          <w:p w14:paraId="6AC6B37A"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Промовисање енергетски ефикасних производа применом директива о енергетском означавању и еко-дизајну</w:t>
            </w:r>
          </w:p>
        </w:tc>
      </w:tr>
      <w:tr w:rsidR="00854ADA" w:rsidRPr="00FF386D" w14:paraId="608DE4BF" w14:textId="77777777" w:rsidTr="0057310C">
        <w:trPr>
          <w:trHeight w:val="359"/>
        </w:trPr>
        <w:tc>
          <w:tcPr>
            <w:tcW w:w="3304" w:type="dxa"/>
            <w:tcBorders>
              <w:top w:val="nil"/>
              <w:left w:val="single" w:sz="8" w:space="0" w:color="auto"/>
              <w:bottom w:val="single" w:sz="8" w:space="0" w:color="auto"/>
              <w:right w:val="nil"/>
            </w:tcBorders>
            <w:shd w:val="clear" w:color="000000" w:fill="244062"/>
            <w:vAlign w:val="center"/>
            <w:hideMark/>
          </w:tcPr>
          <w:p w14:paraId="2B83659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6ADD9E1C" w14:textId="18696446" w:rsidR="00854ADA" w:rsidRPr="000A2AFE" w:rsidRDefault="004F7F0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 xml:space="preserve">Примена </w:t>
            </w:r>
            <w:r w:rsidR="00854ADA" w:rsidRPr="00FF386D">
              <w:rPr>
                <w:rFonts w:ascii="Calibri Light" w:hAnsi="Calibri Light"/>
                <w:sz w:val="20"/>
              </w:rPr>
              <w:t xml:space="preserve">чланова Директиве </w:t>
            </w:r>
            <w:r w:rsidRPr="00FF386D">
              <w:rPr>
                <w:rFonts w:ascii="Calibri Light" w:hAnsi="Calibri Light"/>
                <w:sz w:val="20"/>
              </w:rPr>
              <w:t xml:space="preserve">(ЕУ) </w:t>
            </w:r>
            <w:r w:rsidR="00854ADA" w:rsidRPr="00FF386D">
              <w:rPr>
                <w:rFonts w:ascii="Calibri Light" w:hAnsi="Calibri Light"/>
                <w:sz w:val="20"/>
              </w:rPr>
              <w:t>2012/2</w:t>
            </w:r>
            <w:r w:rsidRPr="00FF386D">
              <w:rPr>
                <w:rFonts w:ascii="Calibri Light" w:hAnsi="Calibri Light"/>
                <w:sz w:val="20"/>
              </w:rPr>
              <w:t>7</w:t>
            </w:r>
            <w:r w:rsidR="00854ADA" w:rsidRPr="00FF386D">
              <w:rPr>
                <w:rFonts w:ascii="Calibri Light" w:hAnsi="Calibri Light"/>
                <w:sz w:val="20"/>
              </w:rPr>
              <w:t xml:space="preserve">,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w:t>
            </w:r>
            <w:r w:rsidRPr="00FF386D">
              <w:rPr>
                <w:rFonts w:ascii="Calibri Light" w:hAnsi="Calibri Light"/>
                <w:sz w:val="20"/>
              </w:rPr>
              <w:t>02, и то</w:t>
            </w:r>
            <w:r w:rsidR="00854ADA" w:rsidRPr="000A2AFE">
              <w:rPr>
                <w:rFonts w:ascii="Calibri Light" w:eastAsia="Times New Roman" w:hAnsi="Calibri Light" w:cs="Calibri Light"/>
                <w:color w:val="000000"/>
                <w:sz w:val="20"/>
                <w:szCs w:val="20"/>
                <w:lang w:eastAsia="en-GB"/>
              </w:rPr>
              <w:t>:</w:t>
            </w:r>
          </w:p>
          <w:p w14:paraId="530777DB" w14:textId="5CDAFF26" w:rsidR="00854ADA" w:rsidRPr="00FF386D" w:rsidRDefault="00854ADA" w:rsidP="00854ADA">
            <w:pPr>
              <w:numPr>
                <w:ilvl w:val="0"/>
                <w:numId w:val="158"/>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BE2CBC"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3</w:t>
            </w:r>
          </w:p>
        </w:tc>
      </w:tr>
      <w:tr w:rsidR="00854ADA" w:rsidRPr="00FF386D" w14:paraId="7A758721"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3E8D6B9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5264A75D"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Допринос МП_ЕЕ1-МП_ЕЕ3 и МП_ЕЕ10</w:t>
            </w:r>
          </w:p>
        </w:tc>
      </w:tr>
      <w:tr w:rsidR="00854ADA" w:rsidRPr="00FF386D" w14:paraId="4C19C4AE" w14:textId="77777777" w:rsidTr="0057310C">
        <w:trPr>
          <w:trHeight w:val="1293"/>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09CDEFD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3C776991" w14:textId="1E38A36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МП_ЕЕ32 ће обезбедити ефикасно спровођење директива о енергетском означавању и еко-дизајну. Потребно је јачати капацитет институција надлежних за тржишни надзор, које представљају </w:t>
            </w:r>
            <w:r w:rsidR="00305EFC" w:rsidRPr="00FF386D">
              <w:rPr>
                <w:rFonts w:ascii="Calibri Light" w:hAnsi="Calibri Light"/>
                <w:sz w:val="20"/>
              </w:rPr>
              <w:t xml:space="preserve">извршне </w:t>
            </w:r>
            <w:r w:rsidR="00351084" w:rsidRPr="00FF386D">
              <w:rPr>
                <w:rFonts w:ascii="Calibri Light" w:hAnsi="Calibri Light"/>
                <w:sz w:val="20"/>
              </w:rPr>
              <w:t xml:space="preserve">органе </w:t>
            </w:r>
            <w:r w:rsidRPr="00FF386D">
              <w:rPr>
                <w:rFonts w:ascii="Calibri Light" w:hAnsi="Calibri Light"/>
                <w:sz w:val="20"/>
              </w:rPr>
              <w:t xml:space="preserve">за </w:t>
            </w:r>
            <w:r w:rsidR="00305EFC" w:rsidRPr="00FF386D">
              <w:rPr>
                <w:rFonts w:ascii="Calibri Light" w:hAnsi="Calibri Light"/>
                <w:sz w:val="20"/>
              </w:rPr>
              <w:t xml:space="preserve">спровођење </w:t>
            </w:r>
            <w:r w:rsidR="00BE2CBC" w:rsidRPr="00FF386D">
              <w:rPr>
                <w:rFonts w:ascii="Calibri Light" w:hAnsi="Calibri Light"/>
                <w:sz w:val="20"/>
              </w:rPr>
              <w:t>ове</w:t>
            </w:r>
            <w:r w:rsidRPr="00FF386D">
              <w:rPr>
                <w:rFonts w:ascii="Calibri Light" w:hAnsi="Calibri Light"/>
                <w:sz w:val="20"/>
              </w:rPr>
              <w:t xml:space="preserve"> </w:t>
            </w:r>
            <w:r w:rsidR="00351084" w:rsidRPr="00FF386D">
              <w:rPr>
                <w:rFonts w:ascii="Calibri Light" w:hAnsi="Calibri Light"/>
                <w:sz w:val="20"/>
              </w:rPr>
              <w:t>мере</w:t>
            </w:r>
            <w:r w:rsidRPr="00FF386D">
              <w:rPr>
                <w:rFonts w:ascii="Calibri Light" w:hAnsi="Calibri Light"/>
                <w:sz w:val="20"/>
              </w:rPr>
              <w:t xml:space="preserve">. Такође је потребно јачање капацитета тела за оцењивање усаглашености и спровођење промотивних и едукативних кампања за све заинтересоване </w:t>
            </w:r>
            <w:r w:rsidR="00351084" w:rsidRPr="00FF386D">
              <w:rPr>
                <w:rFonts w:ascii="Calibri Light" w:hAnsi="Calibri Light"/>
                <w:sz w:val="20"/>
              </w:rPr>
              <w:t xml:space="preserve">стране </w:t>
            </w:r>
            <w:r w:rsidRPr="00FF386D">
              <w:rPr>
                <w:rFonts w:ascii="Calibri Light" w:hAnsi="Calibri Light"/>
                <w:sz w:val="20"/>
              </w:rPr>
              <w:t>укључујући најширу јавност.</w:t>
            </w:r>
          </w:p>
        </w:tc>
      </w:tr>
      <w:tr w:rsidR="00854ADA" w:rsidRPr="00FF386D" w14:paraId="6ED3A963"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139B1B5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40754B39" w14:textId="5AFE1FC6"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4F7F0A" w:rsidRPr="00FF386D">
              <w:rPr>
                <w:rFonts w:ascii="Calibri Light" w:hAnsi="Calibri Light"/>
                <w:sz w:val="20"/>
              </w:rPr>
              <w:t>5</w:t>
            </w:r>
            <w:r w:rsidRPr="00FF386D">
              <w:rPr>
                <w:rFonts w:ascii="Calibri Light" w:hAnsi="Calibri Light"/>
                <w:sz w:val="20"/>
              </w:rPr>
              <w:t>-2030.</w:t>
            </w:r>
          </w:p>
        </w:tc>
      </w:tr>
      <w:tr w:rsidR="00854ADA" w:rsidRPr="00FF386D" w14:paraId="35B93D27"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4916397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74A69544"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Реформа</w:t>
            </w:r>
          </w:p>
        </w:tc>
      </w:tr>
      <w:tr w:rsidR="00854ADA" w:rsidRPr="00FF386D" w14:paraId="57FB20BF"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1E6BC6E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27BB500F" w14:textId="7DE17550"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Сви сектори финалне потрошње</w:t>
            </w:r>
          </w:p>
        </w:tc>
      </w:tr>
      <w:tr w:rsidR="00854ADA" w:rsidRPr="00FF386D" w14:paraId="4E5922EE"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58241C4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7C5E7270" w14:textId="77777777" w:rsidR="00854ADA" w:rsidRPr="00FF386D" w:rsidRDefault="00854ADA" w:rsidP="00854ADA">
            <w:pPr>
              <w:numPr>
                <w:ilvl w:val="0"/>
                <w:numId w:val="158"/>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Министарство рударства и енергетике</w:t>
            </w:r>
          </w:p>
        </w:tc>
      </w:tr>
      <w:tr w:rsidR="00854ADA" w:rsidRPr="00FF386D" w14:paraId="4DA772A5" w14:textId="77777777" w:rsidTr="0057310C">
        <w:trPr>
          <w:trHeight w:val="315"/>
        </w:trPr>
        <w:tc>
          <w:tcPr>
            <w:tcW w:w="3304" w:type="dxa"/>
            <w:tcBorders>
              <w:top w:val="nil"/>
              <w:left w:val="single" w:sz="8" w:space="0" w:color="auto"/>
              <w:bottom w:val="single" w:sz="8" w:space="0" w:color="auto"/>
              <w:right w:val="nil"/>
            </w:tcBorders>
            <w:shd w:val="clear" w:color="000000" w:fill="244062"/>
            <w:vAlign w:val="center"/>
            <w:hideMark/>
          </w:tcPr>
          <w:p w14:paraId="4C9DE23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5FFB7AEB" w14:textId="44CF2CA7" w:rsidR="00854ADA" w:rsidRPr="000A2AFE" w:rsidRDefault="00106DD0" w:rsidP="000A2AFE">
            <w:pPr>
              <w:pStyle w:val="ListParagraph"/>
              <w:numPr>
                <w:ilvl w:val="0"/>
                <w:numId w:val="158"/>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14DEE56D" w14:textId="77777777" w:rsidTr="0057310C">
        <w:trPr>
          <w:trHeight w:val="315"/>
        </w:trPr>
        <w:tc>
          <w:tcPr>
            <w:tcW w:w="3304" w:type="dxa"/>
            <w:tcBorders>
              <w:top w:val="nil"/>
              <w:left w:val="single" w:sz="8" w:space="0" w:color="auto"/>
              <w:bottom w:val="single" w:sz="8" w:space="0" w:color="auto"/>
              <w:right w:val="nil"/>
            </w:tcBorders>
            <w:shd w:val="clear" w:color="000000" w:fill="244062"/>
            <w:vAlign w:val="center"/>
            <w:hideMark/>
          </w:tcPr>
          <w:p w14:paraId="2BE605A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327385C0" w14:textId="77777777" w:rsidR="00854ADA" w:rsidRPr="000A2AFE" w:rsidRDefault="00854ADA" w:rsidP="000A2AFE">
            <w:pPr>
              <w:pStyle w:val="ListParagraph"/>
              <w:numPr>
                <w:ilvl w:val="0"/>
                <w:numId w:val="158"/>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Број енергетски ефикасних апарата и опреме</w:t>
            </w:r>
          </w:p>
        </w:tc>
      </w:tr>
      <w:tr w:rsidR="00854ADA" w:rsidRPr="00FF386D" w14:paraId="5F883856" w14:textId="77777777" w:rsidTr="0057310C">
        <w:trPr>
          <w:trHeight w:val="50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461455C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16BEE2E4" w14:textId="0E501EB1" w:rsidR="00106DD0" w:rsidRPr="00106DD0" w:rsidRDefault="00106DD0" w:rsidP="00106DD0">
            <w:pPr>
              <w:numPr>
                <w:ilvl w:val="0"/>
                <w:numId w:val="158"/>
              </w:numPr>
              <w:spacing w:after="0" w:line="240" w:lineRule="auto"/>
              <w:contextualSpacing/>
              <w:rPr>
                <w:rFonts w:ascii="Calibri Light" w:eastAsia="Times New Roman" w:hAnsi="Calibri Light" w:cs="Calibri Light"/>
                <w:color w:val="000000"/>
                <w:sz w:val="20"/>
                <w:szCs w:val="20"/>
                <w:lang w:eastAsia="en-GB"/>
              </w:rPr>
            </w:pPr>
            <w:r w:rsidRPr="00106DD0">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106DD0">
              <w:rPr>
                <w:rFonts w:ascii="Calibri Light" w:eastAsia="Times New Roman" w:hAnsi="Calibri Light" w:cs="Calibri Light"/>
                <w:i/>
                <w:iCs/>
                <w:color w:val="000000"/>
                <w:sz w:val="20"/>
                <w:szCs w:val="20"/>
                <w:lang w:val="en-US" w:eastAsia="en-GB"/>
              </w:rPr>
              <w:t>GHG</w:t>
            </w:r>
            <w:r w:rsidRPr="00106DD0">
              <w:rPr>
                <w:rFonts w:ascii="Calibri Light" w:eastAsia="Times New Roman" w:hAnsi="Calibri Light" w:cs="Calibri Light"/>
                <w:color w:val="000000"/>
                <w:sz w:val="20"/>
                <w:szCs w:val="20"/>
                <w:lang w:eastAsia="en-GB"/>
              </w:rPr>
              <w:t>)</w:t>
            </w:r>
          </w:p>
          <w:p w14:paraId="152C4CBA" w14:textId="34130E1C" w:rsidR="00854ADA" w:rsidRPr="00FF386D" w:rsidRDefault="00106DD0" w:rsidP="00106DD0">
            <w:pPr>
              <w:numPr>
                <w:ilvl w:val="0"/>
                <w:numId w:val="158"/>
              </w:numPr>
              <w:spacing w:after="0" w:line="240" w:lineRule="auto"/>
              <w:contextualSpacing/>
              <w:rPr>
                <w:rFonts w:ascii="Calibri Light" w:eastAsia="Times New Roman" w:hAnsi="Calibri Light" w:cs="Calibri Light"/>
                <w:color w:val="000000"/>
                <w:sz w:val="20"/>
                <w:szCs w:val="20"/>
                <w:lang w:eastAsia="en-GB"/>
              </w:rPr>
            </w:pPr>
            <w:r w:rsidRPr="00106DD0">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854ADA" w:rsidRPr="00FF386D" w14:paraId="26D8DD41" w14:textId="77777777" w:rsidTr="0057310C">
        <w:trPr>
          <w:trHeight w:val="450"/>
        </w:trPr>
        <w:tc>
          <w:tcPr>
            <w:tcW w:w="3304"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07E62100" w14:textId="30F29B59"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54"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228CA3BD" w14:textId="4442B097" w:rsidR="00854ADA" w:rsidRPr="000A2AFE" w:rsidRDefault="00854ADA" w:rsidP="004F7F0A">
            <w:pPr>
              <w:pStyle w:val="ListParagraph"/>
              <w:numPr>
                <w:ilvl w:val="0"/>
                <w:numId w:val="158"/>
              </w:num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Директива </w:t>
            </w:r>
            <w:r w:rsidR="004F7F0A" w:rsidRPr="00FF386D">
              <w:rPr>
                <w:rFonts w:ascii="Calibri Light" w:hAnsi="Calibri Light"/>
                <w:color w:val="000000"/>
                <w:sz w:val="20"/>
              </w:rPr>
              <w:t xml:space="preserve">(ЕУ) </w:t>
            </w:r>
            <w:r w:rsidRPr="000A2AFE">
              <w:rPr>
                <w:rFonts w:ascii="Calibri Light" w:eastAsia="Times New Roman" w:hAnsi="Calibri Light" w:cs="Calibri Light"/>
                <w:color w:val="000000"/>
                <w:sz w:val="20"/>
                <w:szCs w:val="20"/>
                <w:lang w:eastAsia="en-GB"/>
              </w:rPr>
              <w:t>2012/27</w:t>
            </w:r>
          </w:p>
          <w:p w14:paraId="08725FFB" w14:textId="35B0C5E5" w:rsidR="00854ADA" w:rsidRPr="00FF386D" w:rsidRDefault="00854ADA" w:rsidP="00854ADA">
            <w:pPr>
              <w:numPr>
                <w:ilvl w:val="0"/>
                <w:numId w:val="158"/>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Директива </w:t>
            </w:r>
            <w:r w:rsidR="004F7F0A" w:rsidRPr="00FF386D">
              <w:rPr>
                <w:rFonts w:ascii="Calibri Light" w:hAnsi="Calibri Light"/>
                <w:color w:val="000000"/>
                <w:sz w:val="20"/>
              </w:rPr>
              <w:t xml:space="preserve">(ЕУ) </w:t>
            </w:r>
            <w:r w:rsidRPr="000A2AFE">
              <w:rPr>
                <w:rFonts w:ascii="Calibri Light" w:eastAsia="Times New Roman" w:hAnsi="Calibri Light" w:cs="Calibri Light"/>
                <w:color w:val="000000"/>
                <w:sz w:val="20"/>
                <w:szCs w:val="20"/>
                <w:lang w:eastAsia="en-GB"/>
              </w:rPr>
              <w:t>2018/2002</w:t>
            </w:r>
          </w:p>
        </w:tc>
      </w:tr>
      <w:tr w:rsidR="00854ADA" w:rsidRPr="00FF386D" w14:paraId="04387FDC" w14:textId="77777777" w:rsidTr="0057310C">
        <w:trPr>
          <w:trHeight w:val="450"/>
        </w:trPr>
        <w:tc>
          <w:tcPr>
            <w:tcW w:w="3304" w:type="dxa"/>
            <w:vMerge/>
            <w:tcBorders>
              <w:top w:val="nil"/>
              <w:left w:val="single" w:sz="8" w:space="0" w:color="auto"/>
              <w:bottom w:val="single" w:sz="8" w:space="0" w:color="000000"/>
              <w:right w:val="single" w:sz="8" w:space="0" w:color="auto"/>
            </w:tcBorders>
            <w:vAlign w:val="center"/>
            <w:hideMark/>
          </w:tcPr>
          <w:p w14:paraId="68ACBB8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4" w:type="dxa"/>
            <w:gridSpan w:val="3"/>
            <w:vMerge/>
            <w:tcBorders>
              <w:top w:val="single" w:sz="8" w:space="0" w:color="auto"/>
              <w:left w:val="single" w:sz="8" w:space="0" w:color="auto"/>
              <w:bottom w:val="single" w:sz="8" w:space="0" w:color="000000"/>
              <w:right w:val="single" w:sz="8" w:space="0" w:color="000000"/>
            </w:tcBorders>
            <w:vAlign w:val="center"/>
            <w:hideMark/>
          </w:tcPr>
          <w:p w14:paraId="45A27392" w14:textId="77777777" w:rsidR="00854ADA" w:rsidRPr="00FF386D" w:rsidRDefault="00854ADA" w:rsidP="00854ADA">
            <w:pPr>
              <w:numPr>
                <w:ilvl w:val="0"/>
                <w:numId w:val="158"/>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50261785" w14:textId="77777777" w:rsidTr="0057310C">
        <w:trPr>
          <w:trHeight w:val="450"/>
        </w:trPr>
        <w:tc>
          <w:tcPr>
            <w:tcW w:w="3304" w:type="dxa"/>
            <w:vMerge/>
            <w:tcBorders>
              <w:top w:val="nil"/>
              <w:left w:val="single" w:sz="8" w:space="0" w:color="auto"/>
              <w:bottom w:val="single" w:sz="8" w:space="0" w:color="000000"/>
              <w:right w:val="single" w:sz="8" w:space="0" w:color="auto"/>
            </w:tcBorders>
            <w:vAlign w:val="center"/>
            <w:hideMark/>
          </w:tcPr>
          <w:p w14:paraId="068DC9E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4" w:type="dxa"/>
            <w:gridSpan w:val="3"/>
            <w:vMerge/>
            <w:tcBorders>
              <w:top w:val="single" w:sz="8" w:space="0" w:color="auto"/>
              <w:left w:val="single" w:sz="8" w:space="0" w:color="auto"/>
              <w:bottom w:val="single" w:sz="8" w:space="0" w:color="000000"/>
              <w:right w:val="single" w:sz="8" w:space="0" w:color="000000"/>
            </w:tcBorders>
            <w:vAlign w:val="center"/>
            <w:hideMark/>
          </w:tcPr>
          <w:p w14:paraId="0887787D" w14:textId="77777777" w:rsidR="00854ADA" w:rsidRPr="00FF386D" w:rsidRDefault="00854ADA" w:rsidP="00854ADA">
            <w:pPr>
              <w:numPr>
                <w:ilvl w:val="0"/>
                <w:numId w:val="158"/>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318006F1" w14:textId="77777777" w:rsidTr="0057310C">
        <w:trPr>
          <w:trHeight w:val="580"/>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6061276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0A325FD6" w14:textId="77777777" w:rsidR="00854ADA" w:rsidRPr="00FF386D" w:rsidRDefault="00854ADA" w:rsidP="00854ADA">
            <w:pPr>
              <w:numPr>
                <w:ilvl w:val="0"/>
                <w:numId w:val="158"/>
              </w:numPr>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енергетској ефикасности и рационалној употреби енергије</w:t>
            </w:r>
          </w:p>
          <w:p w14:paraId="4993430C" w14:textId="77777777" w:rsidR="00854ADA" w:rsidRPr="00FF386D" w:rsidRDefault="00854ADA" w:rsidP="00854ADA">
            <w:pPr>
              <w:numPr>
                <w:ilvl w:val="0"/>
                <w:numId w:val="158"/>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4. НАПЕЕ</w:t>
            </w:r>
          </w:p>
        </w:tc>
      </w:tr>
      <w:tr w:rsidR="00854ADA" w:rsidRPr="00FF386D" w14:paraId="0D46BFF6"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17970E6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190FC6B5" w14:textId="660F9AE3" w:rsidR="00854ADA" w:rsidRPr="00FF386D" w:rsidRDefault="00854ADA" w:rsidP="00854ADA">
            <w:pPr>
              <w:spacing w:after="0" w:line="240" w:lineRule="auto"/>
              <w:jc w:val="both"/>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 xml:space="preserve">Биће </w:t>
            </w:r>
            <w:r w:rsidR="004F7F0A" w:rsidRPr="00FF386D">
              <w:rPr>
                <w:rFonts w:ascii="Calibri Light" w:eastAsia="Times New Roman" w:hAnsi="Calibri Light" w:cs="Calibri Light"/>
                <w:color w:val="000000"/>
                <w:sz w:val="20"/>
                <w:szCs w:val="20"/>
                <w:lang w:eastAsia="en-GB"/>
              </w:rPr>
              <w:t xml:space="preserve">обухваћени </w:t>
            </w:r>
            <w:r w:rsidRPr="00FF386D">
              <w:rPr>
                <w:rFonts w:ascii="Calibri Light" w:eastAsia="Times New Roman" w:hAnsi="Calibri Light" w:cs="Calibri Light"/>
                <w:color w:val="000000"/>
                <w:sz w:val="20"/>
                <w:szCs w:val="20"/>
                <w:lang w:eastAsia="en-GB"/>
              </w:rPr>
              <w:t>у МП_EE1, MП_EE2, МП_EE3, MП_EE10 и мер</w:t>
            </w:r>
            <w:r w:rsidR="004F7F0A" w:rsidRPr="00FF386D">
              <w:rPr>
                <w:rFonts w:ascii="Calibri Light" w:eastAsia="Times New Roman" w:hAnsi="Calibri Light" w:cs="Calibri Light"/>
                <w:color w:val="000000"/>
                <w:sz w:val="20"/>
                <w:szCs w:val="20"/>
                <w:lang w:eastAsia="en-GB"/>
              </w:rPr>
              <w:t>ама</w:t>
            </w:r>
            <w:r w:rsidRPr="00FF386D">
              <w:rPr>
                <w:rFonts w:ascii="Calibri Light" w:eastAsia="Times New Roman" w:hAnsi="Calibri Light" w:cs="Calibri Light"/>
                <w:color w:val="000000"/>
                <w:sz w:val="20"/>
                <w:szCs w:val="20"/>
                <w:lang w:eastAsia="en-GB"/>
              </w:rPr>
              <w:t xml:space="preserve"> за сектор индустрије</w:t>
            </w:r>
          </w:p>
        </w:tc>
      </w:tr>
      <w:tr w:rsidR="00854ADA" w:rsidRPr="00FF386D" w14:paraId="2F14C64F"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6E3EE84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7E62CB0E" w14:textId="0AE49F7D"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4F7F0A" w:rsidRPr="00FF386D">
              <w:rPr>
                <w:rFonts w:asciiTheme="majorHAnsi" w:eastAsia="Times New Roman" w:hAnsiTheme="majorHAnsi" w:cstheme="majorHAnsi"/>
                <w:color w:val="000000"/>
                <w:sz w:val="20"/>
                <w:szCs w:val="20"/>
                <w:lang w:eastAsia="en-GB"/>
              </w:rPr>
              <w:t>ска</w:t>
            </w:r>
            <w:r w:rsidRPr="00FF386D">
              <w:rPr>
                <w:rFonts w:asciiTheme="majorHAnsi" w:eastAsia="Times New Roman" w:hAnsiTheme="majorHAnsi" w:cstheme="majorHAnsi"/>
                <w:color w:val="000000"/>
                <w:sz w:val="20"/>
                <w:szCs w:val="20"/>
                <w:lang w:eastAsia="en-GB"/>
              </w:rPr>
              <w:t xml:space="preserve"> и сопствена средства</w:t>
            </w:r>
          </w:p>
        </w:tc>
      </w:tr>
    </w:tbl>
    <w:p w14:paraId="4B087FAB"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06"/>
        <w:gridCol w:w="1007"/>
        <w:gridCol w:w="942"/>
        <w:gridCol w:w="4203"/>
      </w:tblGrid>
      <w:tr w:rsidR="00854ADA" w:rsidRPr="00FF386D" w14:paraId="6FFC654E" w14:textId="77777777" w:rsidTr="0057310C">
        <w:trPr>
          <w:trHeight w:val="780"/>
        </w:trPr>
        <w:tc>
          <w:tcPr>
            <w:tcW w:w="3306"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20169B17"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1E487E46"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МП_ЕЕ33</w:t>
            </w:r>
          </w:p>
        </w:tc>
        <w:tc>
          <w:tcPr>
            <w:tcW w:w="942" w:type="dxa"/>
            <w:tcBorders>
              <w:top w:val="single" w:sz="8" w:space="0" w:color="auto"/>
              <w:left w:val="nil"/>
              <w:bottom w:val="single" w:sz="8" w:space="0" w:color="auto"/>
              <w:right w:val="single" w:sz="8" w:space="0" w:color="auto"/>
            </w:tcBorders>
            <w:shd w:val="clear" w:color="000000" w:fill="244062"/>
            <w:vAlign w:val="center"/>
            <w:hideMark/>
          </w:tcPr>
          <w:p w14:paraId="5E2110C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03" w:type="dxa"/>
            <w:tcBorders>
              <w:top w:val="single" w:sz="8" w:space="0" w:color="auto"/>
              <w:left w:val="nil"/>
              <w:bottom w:val="single" w:sz="8" w:space="0" w:color="auto"/>
              <w:right w:val="single" w:sz="8" w:space="0" w:color="auto"/>
            </w:tcBorders>
            <w:shd w:val="clear" w:color="auto" w:fill="E7E6E6" w:themeFill="background2"/>
            <w:vAlign w:val="center"/>
            <w:hideMark/>
          </w:tcPr>
          <w:p w14:paraId="358CA756"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Промовисање зелених јавних набавки</w:t>
            </w:r>
          </w:p>
        </w:tc>
      </w:tr>
      <w:tr w:rsidR="00854ADA" w:rsidRPr="00FF386D" w14:paraId="196D0415" w14:textId="77777777" w:rsidTr="0057310C">
        <w:trPr>
          <w:trHeight w:val="407"/>
        </w:trPr>
        <w:tc>
          <w:tcPr>
            <w:tcW w:w="3306" w:type="dxa"/>
            <w:tcBorders>
              <w:top w:val="nil"/>
              <w:left w:val="single" w:sz="8" w:space="0" w:color="auto"/>
              <w:bottom w:val="single" w:sz="8" w:space="0" w:color="auto"/>
              <w:right w:val="nil"/>
            </w:tcBorders>
            <w:shd w:val="clear" w:color="000000" w:fill="244062"/>
            <w:vAlign w:val="center"/>
            <w:hideMark/>
          </w:tcPr>
          <w:p w14:paraId="40C7641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3C57787C" w14:textId="4D5E8888" w:rsidR="00854ADA" w:rsidRPr="000A2AFE" w:rsidRDefault="004F7F0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 xml:space="preserve">Примена </w:t>
            </w:r>
            <w:r w:rsidR="00854ADA" w:rsidRPr="00FF386D">
              <w:rPr>
                <w:rFonts w:ascii="Calibri Light" w:hAnsi="Calibri Light"/>
                <w:sz w:val="20"/>
              </w:rPr>
              <w:t xml:space="preserve">чланова Директиве </w:t>
            </w:r>
            <w:r w:rsidRPr="00FF386D">
              <w:rPr>
                <w:rFonts w:ascii="Calibri Light" w:hAnsi="Calibri Light"/>
                <w:sz w:val="20"/>
              </w:rPr>
              <w:t xml:space="preserve">(ЕУ) </w:t>
            </w:r>
            <w:r w:rsidR="00854ADA" w:rsidRPr="00FF386D">
              <w:rPr>
                <w:rFonts w:ascii="Calibri Light" w:hAnsi="Calibri Light"/>
                <w:sz w:val="20"/>
              </w:rPr>
              <w:t>2012/2</w:t>
            </w:r>
            <w:r w:rsidRPr="00FF386D">
              <w:rPr>
                <w:rFonts w:ascii="Calibri Light" w:hAnsi="Calibri Light"/>
                <w:sz w:val="20"/>
              </w:rPr>
              <w:t>7</w:t>
            </w:r>
            <w:r w:rsidR="00854ADA" w:rsidRPr="00FF386D">
              <w:rPr>
                <w:rFonts w:ascii="Calibri Light" w:hAnsi="Calibri Light"/>
                <w:sz w:val="20"/>
              </w:rPr>
              <w:t xml:space="preserve">,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w:t>
            </w:r>
            <w:r w:rsidRPr="00FF386D">
              <w:rPr>
                <w:rFonts w:ascii="Calibri Light" w:hAnsi="Calibri Light"/>
                <w:sz w:val="20"/>
              </w:rPr>
              <w:t>0</w:t>
            </w:r>
            <w:r w:rsidR="00854ADA" w:rsidRPr="00FF386D">
              <w:rPr>
                <w:rFonts w:ascii="Calibri Light" w:hAnsi="Calibri Light"/>
                <w:sz w:val="20"/>
              </w:rPr>
              <w:t>2</w:t>
            </w:r>
            <w:r w:rsidRPr="00FF386D">
              <w:rPr>
                <w:rFonts w:ascii="Calibri Light" w:hAnsi="Calibri Light"/>
                <w:sz w:val="20"/>
              </w:rPr>
              <w:t>, и то</w:t>
            </w:r>
            <w:r w:rsidR="00854ADA" w:rsidRPr="000A2AFE">
              <w:rPr>
                <w:rFonts w:ascii="Calibri Light" w:eastAsia="Times New Roman" w:hAnsi="Calibri Light" w:cs="Calibri Light"/>
                <w:color w:val="000000"/>
                <w:sz w:val="20"/>
                <w:szCs w:val="20"/>
                <w:lang w:eastAsia="en-GB"/>
              </w:rPr>
              <w:t>:</w:t>
            </w:r>
          </w:p>
          <w:p w14:paraId="6278EF1D" w14:textId="77777777" w:rsidR="00854ADA" w:rsidRDefault="00854ADA" w:rsidP="00854ADA">
            <w:pPr>
              <w:numPr>
                <w:ilvl w:val="0"/>
                <w:numId w:val="159"/>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305EFC"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3</w:t>
            </w:r>
          </w:p>
          <w:p w14:paraId="02B5F462" w14:textId="646DAC28" w:rsidR="00886931" w:rsidRPr="00FF386D" w:rsidRDefault="00886931" w:rsidP="00854ADA">
            <w:pPr>
              <w:numPr>
                <w:ilvl w:val="0"/>
                <w:numId w:val="159"/>
              </w:numPr>
              <w:spacing w:after="0" w:line="240" w:lineRule="auto"/>
              <w:contextualSpacing/>
              <w:rPr>
                <w:rFonts w:ascii="Calibri Light" w:eastAsia="Times New Roman" w:hAnsi="Calibri Light" w:cs="Calibri Light"/>
                <w:color w:val="000000"/>
                <w:sz w:val="20"/>
                <w:szCs w:val="20"/>
                <w:lang w:eastAsia="en-GB"/>
              </w:rPr>
            </w:pPr>
            <w:r w:rsidRPr="00886931">
              <w:rPr>
                <w:rFonts w:ascii="Calibri Light" w:eastAsia="Times New Roman" w:hAnsi="Calibri Light" w:cs="Calibri Light"/>
                <w:color w:val="000000"/>
                <w:sz w:val="20"/>
                <w:szCs w:val="20"/>
                <w:lang w:eastAsia="en-GB"/>
              </w:rPr>
              <w:t>Члан 6</w:t>
            </w:r>
          </w:p>
        </w:tc>
      </w:tr>
      <w:tr w:rsidR="00854ADA" w:rsidRPr="00FF386D" w14:paraId="47D7EF2D" w14:textId="77777777" w:rsidTr="0057310C">
        <w:trPr>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0642611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3B946AF4" w14:textId="25BE2F03"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Допринос МП_ЕЕ2</w:t>
            </w:r>
            <w:r w:rsidR="00DB3FE0">
              <w:rPr>
                <w:rFonts w:asciiTheme="majorHAnsi" w:eastAsia="Times New Roman" w:hAnsiTheme="majorHAnsi" w:cstheme="majorHAnsi"/>
                <w:color w:val="000000"/>
                <w:sz w:val="20"/>
                <w:szCs w:val="20"/>
                <w:lang w:eastAsia="en-GB"/>
              </w:rPr>
              <w:t>, МП_ЕЕ4, МП_ЕЕ5, МП_ЕЕ6, МП_ЕЕ7, МП_ЕЕ12, МП_ЕЕ14 и МП_ЕЕ18</w:t>
            </w:r>
          </w:p>
        </w:tc>
      </w:tr>
      <w:tr w:rsidR="00854ADA" w:rsidRPr="00FF386D" w14:paraId="1241394E" w14:textId="77777777" w:rsidTr="00565B02">
        <w:trPr>
          <w:trHeight w:val="547"/>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41FF77B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009FEC84" w14:textId="0E92169E"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МП_ЕЕ33 ће омогућити несметану и ефикасну примену зелених поступака јавних набавки. Потрошња енергије у животном циклусу ће се користити као основни критеријум за промовисање високо </w:t>
            </w:r>
            <w:r w:rsidRPr="00FF386D">
              <w:rPr>
                <w:rFonts w:ascii="Calibri Light" w:hAnsi="Calibri Light"/>
                <w:sz w:val="20"/>
              </w:rPr>
              <w:lastRenderedPageBreak/>
              <w:t>енергетски ефикасних технологија и услуга</w:t>
            </w:r>
            <w:r w:rsidR="007928C6" w:rsidRPr="00FF386D">
              <w:rPr>
                <w:rFonts w:ascii="Calibri Light" w:hAnsi="Calibri Light"/>
                <w:sz w:val="20"/>
              </w:rPr>
              <w:t xml:space="preserve">, </w:t>
            </w:r>
            <w:r w:rsidRPr="00FF386D">
              <w:rPr>
                <w:rFonts w:ascii="Calibri Light" w:hAnsi="Calibri Light"/>
                <w:sz w:val="20"/>
              </w:rPr>
              <w:t xml:space="preserve">истовремено </w:t>
            </w:r>
            <w:r w:rsidR="00305EFC" w:rsidRPr="00FF386D">
              <w:rPr>
                <w:rFonts w:ascii="Calibri Light" w:hAnsi="Calibri Light"/>
                <w:sz w:val="20"/>
              </w:rPr>
              <w:t>демонстрирају</w:t>
            </w:r>
            <w:r w:rsidR="007928C6" w:rsidRPr="00FF386D">
              <w:rPr>
                <w:rFonts w:ascii="Calibri Light" w:hAnsi="Calibri Light"/>
                <w:sz w:val="20"/>
              </w:rPr>
              <w:t>ћи и</w:t>
            </w:r>
            <w:r w:rsidR="00305EFC" w:rsidRPr="00FF386D">
              <w:rPr>
                <w:rFonts w:ascii="Calibri Light" w:hAnsi="Calibri Light"/>
                <w:sz w:val="20"/>
              </w:rPr>
              <w:t xml:space="preserve"> </w:t>
            </w:r>
            <w:r w:rsidR="000F6477">
              <w:rPr>
                <w:rFonts w:ascii="Calibri Light" w:hAnsi="Calibri Light"/>
                <w:sz w:val="20"/>
              </w:rPr>
              <w:t xml:space="preserve">пример добре праксе </w:t>
            </w:r>
            <w:r w:rsidRPr="00FF386D">
              <w:rPr>
                <w:rFonts w:ascii="Calibri Light" w:hAnsi="Calibri Light"/>
                <w:sz w:val="20"/>
              </w:rPr>
              <w:t>јавног сектора.</w:t>
            </w:r>
          </w:p>
        </w:tc>
      </w:tr>
      <w:tr w:rsidR="00854ADA" w:rsidRPr="00FF386D" w14:paraId="50985201" w14:textId="77777777" w:rsidTr="0057310C">
        <w:trPr>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6B40256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Временски оквир имплементације</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16E7AB03" w14:textId="38CF5A2C"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4F7F0A" w:rsidRPr="00FF386D">
              <w:rPr>
                <w:rFonts w:ascii="Calibri Light" w:hAnsi="Calibri Light"/>
                <w:sz w:val="20"/>
              </w:rPr>
              <w:t>5</w:t>
            </w:r>
            <w:r w:rsidRPr="00FF386D">
              <w:rPr>
                <w:rFonts w:ascii="Calibri Light" w:hAnsi="Calibri Light"/>
                <w:sz w:val="20"/>
              </w:rPr>
              <w:t>-2030.</w:t>
            </w:r>
          </w:p>
        </w:tc>
      </w:tr>
      <w:tr w:rsidR="00854ADA" w:rsidRPr="00FF386D" w14:paraId="257EE12B" w14:textId="77777777" w:rsidTr="0057310C">
        <w:trPr>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7E8EC7E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4696E292"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Реформа</w:t>
            </w:r>
          </w:p>
        </w:tc>
      </w:tr>
      <w:tr w:rsidR="00854ADA" w:rsidRPr="00FF386D" w14:paraId="464D8D40" w14:textId="77777777" w:rsidTr="0057310C">
        <w:trPr>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0F90F83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478EA49A"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Јавни</w:t>
            </w:r>
          </w:p>
        </w:tc>
      </w:tr>
      <w:tr w:rsidR="00854ADA" w:rsidRPr="00FF386D" w14:paraId="205CBB8D" w14:textId="77777777" w:rsidTr="0057310C">
        <w:trPr>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283099E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0F904B90" w14:textId="77777777" w:rsidR="00854ADA" w:rsidRPr="000A2AFE" w:rsidRDefault="00854ADA" w:rsidP="00854ADA">
            <w:pPr>
              <w:numPr>
                <w:ilvl w:val="0"/>
                <w:numId w:val="159"/>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Министарство рударства и енергетике</w:t>
            </w:r>
          </w:p>
          <w:p w14:paraId="6B8D21F6" w14:textId="5EDF6015" w:rsidR="00886931" w:rsidRPr="00FF386D" w:rsidRDefault="00886931" w:rsidP="00854ADA">
            <w:pPr>
              <w:numPr>
                <w:ilvl w:val="0"/>
                <w:numId w:val="159"/>
              </w:numPr>
              <w:spacing w:after="0" w:line="240" w:lineRule="auto"/>
              <w:contextualSpacing/>
              <w:rPr>
                <w:rFonts w:ascii="Calibri Light" w:eastAsia="Times New Roman" w:hAnsi="Calibri Light" w:cs="Calibri Light"/>
                <w:color w:val="000000"/>
                <w:sz w:val="20"/>
                <w:szCs w:val="20"/>
                <w:lang w:eastAsia="en-GB"/>
              </w:rPr>
            </w:pPr>
            <w:r w:rsidRPr="00886931">
              <w:rPr>
                <w:rFonts w:ascii="Calibri Light" w:eastAsia="Times New Roman" w:hAnsi="Calibri Light" w:cs="Calibri Light"/>
                <w:color w:val="000000"/>
                <w:sz w:val="20"/>
                <w:szCs w:val="20"/>
                <w:lang w:eastAsia="en-GB"/>
              </w:rPr>
              <w:t>Министарство финансија</w:t>
            </w:r>
          </w:p>
        </w:tc>
      </w:tr>
      <w:tr w:rsidR="00854ADA" w:rsidRPr="00FF386D" w14:paraId="19F24666" w14:textId="77777777" w:rsidTr="0057310C">
        <w:trPr>
          <w:trHeight w:val="315"/>
        </w:trPr>
        <w:tc>
          <w:tcPr>
            <w:tcW w:w="3306" w:type="dxa"/>
            <w:tcBorders>
              <w:top w:val="nil"/>
              <w:left w:val="single" w:sz="8" w:space="0" w:color="auto"/>
              <w:bottom w:val="single" w:sz="8" w:space="0" w:color="auto"/>
              <w:right w:val="nil"/>
            </w:tcBorders>
            <w:shd w:val="clear" w:color="000000" w:fill="244062"/>
            <w:vAlign w:val="center"/>
            <w:hideMark/>
          </w:tcPr>
          <w:p w14:paraId="2093DA5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632B94A4" w14:textId="67E3C8CB" w:rsidR="00854ADA" w:rsidRPr="000A2AFE" w:rsidRDefault="00106DD0" w:rsidP="000A2AFE">
            <w:pPr>
              <w:pStyle w:val="ListParagraph"/>
              <w:numPr>
                <w:ilvl w:val="0"/>
                <w:numId w:val="360"/>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692C838A" w14:textId="77777777" w:rsidTr="0057310C">
        <w:trPr>
          <w:trHeight w:val="315"/>
        </w:trPr>
        <w:tc>
          <w:tcPr>
            <w:tcW w:w="3306" w:type="dxa"/>
            <w:tcBorders>
              <w:top w:val="nil"/>
              <w:left w:val="single" w:sz="8" w:space="0" w:color="auto"/>
              <w:bottom w:val="single" w:sz="8" w:space="0" w:color="auto"/>
              <w:right w:val="nil"/>
            </w:tcBorders>
            <w:shd w:val="clear" w:color="000000" w:fill="244062"/>
            <w:vAlign w:val="center"/>
            <w:hideMark/>
          </w:tcPr>
          <w:p w14:paraId="7E83835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16522A46" w14:textId="77777777" w:rsidR="00854ADA" w:rsidRPr="000A2AFE" w:rsidRDefault="00854ADA" w:rsidP="000A2AFE">
            <w:pPr>
              <w:pStyle w:val="ListParagraph"/>
              <w:numPr>
                <w:ilvl w:val="0"/>
                <w:numId w:val="360"/>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Број енергетски ефикасних апарата, опреме и уређаја који се финансирају у оквиру зелених јавних набавки</w:t>
            </w:r>
          </w:p>
        </w:tc>
      </w:tr>
      <w:tr w:rsidR="00854ADA" w:rsidRPr="00FF386D" w14:paraId="0F364739" w14:textId="77777777" w:rsidTr="0057310C">
        <w:trPr>
          <w:trHeight w:val="467"/>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6BBF233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1FFEA5E2" w14:textId="157A5E5A" w:rsidR="00106DD0" w:rsidRPr="00106DD0" w:rsidRDefault="00106DD0" w:rsidP="00106DD0">
            <w:pPr>
              <w:numPr>
                <w:ilvl w:val="0"/>
                <w:numId w:val="159"/>
              </w:numPr>
              <w:spacing w:after="0" w:line="240" w:lineRule="auto"/>
              <w:contextualSpacing/>
              <w:rPr>
                <w:rFonts w:ascii="Calibri Light" w:eastAsia="Times New Roman" w:hAnsi="Calibri Light" w:cs="Calibri Light"/>
                <w:color w:val="000000"/>
                <w:sz w:val="20"/>
                <w:szCs w:val="20"/>
                <w:lang w:eastAsia="en-GB"/>
              </w:rPr>
            </w:pPr>
            <w:r w:rsidRPr="00106DD0">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106DD0">
              <w:rPr>
                <w:rFonts w:ascii="Calibri Light" w:eastAsia="Times New Roman" w:hAnsi="Calibri Light" w:cs="Calibri Light"/>
                <w:i/>
                <w:iCs/>
                <w:color w:val="000000"/>
                <w:sz w:val="20"/>
                <w:szCs w:val="20"/>
                <w:lang w:val="en-US" w:eastAsia="en-GB"/>
              </w:rPr>
              <w:t>GHG</w:t>
            </w:r>
            <w:r w:rsidRPr="00106DD0">
              <w:rPr>
                <w:rFonts w:ascii="Calibri Light" w:eastAsia="Times New Roman" w:hAnsi="Calibri Light" w:cs="Calibri Light"/>
                <w:i/>
                <w:iCs/>
                <w:color w:val="000000"/>
                <w:sz w:val="20"/>
                <w:szCs w:val="20"/>
                <w:lang w:eastAsia="en-GB"/>
              </w:rPr>
              <w:t xml:space="preserve"> </w:t>
            </w:r>
            <w:r w:rsidRPr="00106DD0">
              <w:rPr>
                <w:rFonts w:ascii="Calibri Light" w:eastAsia="Times New Roman" w:hAnsi="Calibri Light" w:cs="Calibri Light"/>
                <w:color w:val="000000"/>
                <w:sz w:val="20"/>
                <w:szCs w:val="20"/>
                <w:lang w:eastAsia="en-GB"/>
              </w:rPr>
              <w:t>а коришћене технологије ОИЕ ће довести до повећања удела ОИЕ у грејању и хлађењу)</w:t>
            </w:r>
          </w:p>
          <w:p w14:paraId="1EB7E0C2" w14:textId="072E8A00" w:rsidR="00854ADA" w:rsidRPr="00FF386D" w:rsidRDefault="00106DD0" w:rsidP="00106DD0">
            <w:pPr>
              <w:numPr>
                <w:ilvl w:val="0"/>
                <w:numId w:val="159"/>
              </w:numPr>
              <w:spacing w:after="0" w:line="240" w:lineRule="auto"/>
              <w:contextualSpacing/>
              <w:rPr>
                <w:rFonts w:ascii="Calibri Light" w:eastAsia="Times New Roman" w:hAnsi="Calibri Light" w:cs="Calibri Light"/>
                <w:color w:val="000000"/>
                <w:sz w:val="20"/>
                <w:szCs w:val="20"/>
                <w:lang w:eastAsia="en-GB"/>
              </w:rPr>
            </w:pPr>
            <w:r w:rsidRPr="00106DD0">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854ADA" w:rsidRPr="00FF386D" w14:paraId="6C43FEBC" w14:textId="77777777" w:rsidTr="0057310C">
        <w:trPr>
          <w:trHeight w:val="450"/>
        </w:trPr>
        <w:tc>
          <w:tcPr>
            <w:tcW w:w="3306"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305719E5" w14:textId="04938454"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52"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188924E9" w14:textId="13FEEA29" w:rsidR="00854ADA" w:rsidRPr="00FF386D" w:rsidRDefault="00854ADA" w:rsidP="00854ADA">
            <w:pPr>
              <w:numPr>
                <w:ilvl w:val="0"/>
                <w:numId w:val="159"/>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Директива </w:t>
            </w:r>
            <w:r w:rsidR="004F7F0A" w:rsidRPr="00FF386D">
              <w:rPr>
                <w:rFonts w:ascii="Calibri Light" w:eastAsia="Times New Roman" w:hAnsi="Calibri Light" w:cs="Calibri Light"/>
                <w:color w:val="000000"/>
                <w:sz w:val="20"/>
                <w:szCs w:val="20"/>
                <w:lang w:eastAsia="en-GB"/>
              </w:rPr>
              <w:t xml:space="preserve">(ЕУ) </w:t>
            </w:r>
            <w:r w:rsidRPr="00FF386D">
              <w:rPr>
                <w:rFonts w:ascii="Calibri Light" w:eastAsia="Times New Roman" w:hAnsi="Calibri Light" w:cs="Calibri Light"/>
                <w:color w:val="000000"/>
                <w:sz w:val="20"/>
                <w:szCs w:val="20"/>
                <w:lang w:eastAsia="en-GB"/>
              </w:rPr>
              <w:t>2012/27</w:t>
            </w:r>
          </w:p>
          <w:p w14:paraId="6059B364" w14:textId="094C114F" w:rsidR="00854ADA" w:rsidRPr="00FF386D" w:rsidRDefault="00854ADA" w:rsidP="00854ADA">
            <w:pPr>
              <w:numPr>
                <w:ilvl w:val="0"/>
                <w:numId w:val="159"/>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Директива </w:t>
            </w:r>
            <w:r w:rsidR="004F7F0A" w:rsidRPr="00FF386D">
              <w:rPr>
                <w:rFonts w:ascii="Calibri Light" w:eastAsia="Times New Roman" w:hAnsi="Calibri Light" w:cs="Calibri Light"/>
                <w:color w:val="000000"/>
                <w:sz w:val="20"/>
                <w:szCs w:val="20"/>
                <w:lang w:eastAsia="en-GB"/>
              </w:rPr>
              <w:t xml:space="preserve">(ЕУ) </w:t>
            </w:r>
            <w:r w:rsidRPr="00FF386D">
              <w:rPr>
                <w:rFonts w:ascii="Calibri Light" w:eastAsia="Times New Roman" w:hAnsi="Calibri Light" w:cs="Calibri Light"/>
                <w:color w:val="000000"/>
                <w:sz w:val="20"/>
                <w:szCs w:val="20"/>
                <w:lang w:eastAsia="en-GB"/>
              </w:rPr>
              <w:t>2018/2002</w:t>
            </w:r>
          </w:p>
        </w:tc>
      </w:tr>
      <w:tr w:rsidR="00854ADA" w:rsidRPr="00FF386D" w14:paraId="0C4D4006" w14:textId="77777777" w:rsidTr="0057310C">
        <w:trPr>
          <w:trHeight w:val="450"/>
        </w:trPr>
        <w:tc>
          <w:tcPr>
            <w:tcW w:w="3306" w:type="dxa"/>
            <w:vMerge/>
            <w:tcBorders>
              <w:top w:val="nil"/>
              <w:left w:val="single" w:sz="8" w:space="0" w:color="auto"/>
              <w:bottom w:val="single" w:sz="8" w:space="0" w:color="000000"/>
              <w:right w:val="single" w:sz="8" w:space="0" w:color="auto"/>
            </w:tcBorders>
            <w:vAlign w:val="center"/>
            <w:hideMark/>
          </w:tcPr>
          <w:p w14:paraId="0790525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2" w:type="dxa"/>
            <w:gridSpan w:val="3"/>
            <w:vMerge/>
            <w:tcBorders>
              <w:top w:val="single" w:sz="8" w:space="0" w:color="auto"/>
              <w:left w:val="single" w:sz="8" w:space="0" w:color="auto"/>
              <w:bottom w:val="single" w:sz="8" w:space="0" w:color="000000"/>
              <w:right w:val="single" w:sz="8" w:space="0" w:color="000000"/>
            </w:tcBorders>
            <w:vAlign w:val="center"/>
            <w:hideMark/>
          </w:tcPr>
          <w:p w14:paraId="46B441CD" w14:textId="77777777" w:rsidR="00854ADA" w:rsidRPr="00FF386D" w:rsidRDefault="00854ADA" w:rsidP="00854ADA">
            <w:pPr>
              <w:numPr>
                <w:ilvl w:val="0"/>
                <w:numId w:val="159"/>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7F0F8560" w14:textId="77777777" w:rsidTr="0057310C">
        <w:trPr>
          <w:trHeight w:val="450"/>
        </w:trPr>
        <w:tc>
          <w:tcPr>
            <w:tcW w:w="3306" w:type="dxa"/>
            <w:vMerge/>
            <w:tcBorders>
              <w:top w:val="nil"/>
              <w:left w:val="single" w:sz="8" w:space="0" w:color="auto"/>
              <w:bottom w:val="single" w:sz="8" w:space="0" w:color="000000"/>
              <w:right w:val="single" w:sz="8" w:space="0" w:color="auto"/>
            </w:tcBorders>
            <w:vAlign w:val="center"/>
            <w:hideMark/>
          </w:tcPr>
          <w:p w14:paraId="0A9DE4E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2" w:type="dxa"/>
            <w:gridSpan w:val="3"/>
            <w:vMerge/>
            <w:tcBorders>
              <w:top w:val="single" w:sz="8" w:space="0" w:color="auto"/>
              <w:left w:val="single" w:sz="8" w:space="0" w:color="auto"/>
              <w:bottom w:val="single" w:sz="8" w:space="0" w:color="000000"/>
              <w:right w:val="single" w:sz="8" w:space="0" w:color="000000"/>
            </w:tcBorders>
            <w:vAlign w:val="center"/>
            <w:hideMark/>
          </w:tcPr>
          <w:p w14:paraId="6663004D" w14:textId="77777777" w:rsidR="00854ADA" w:rsidRPr="00FF386D" w:rsidRDefault="00854ADA" w:rsidP="00854ADA">
            <w:pPr>
              <w:numPr>
                <w:ilvl w:val="0"/>
                <w:numId w:val="159"/>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651334C0" w14:textId="77777777" w:rsidTr="0057310C">
        <w:trPr>
          <w:trHeight w:val="581"/>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117CBA4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7903CA5A" w14:textId="77777777" w:rsidR="00854ADA" w:rsidRPr="00FF386D" w:rsidRDefault="00854ADA" w:rsidP="00854ADA">
            <w:pPr>
              <w:numPr>
                <w:ilvl w:val="0"/>
                <w:numId w:val="159"/>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енергетској ефикасности и рационалној употреби енергије и релевантан подзаконски акт.</w:t>
            </w:r>
          </w:p>
          <w:p w14:paraId="2176C93F" w14:textId="77777777" w:rsidR="00854ADA" w:rsidRPr="00FF386D" w:rsidRDefault="00854ADA" w:rsidP="00854ADA">
            <w:pPr>
              <w:numPr>
                <w:ilvl w:val="0"/>
                <w:numId w:val="159"/>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4. НАПЕЕ</w:t>
            </w:r>
          </w:p>
        </w:tc>
      </w:tr>
      <w:tr w:rsidR="00854ADA" w:rsidRPr="00FF386D" w14:paraId="30D4513D" w14:textId="77777777" w:rsidTr="0057310C">
        <w:trPr>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2CDB92C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7E9B8F45" w14:textId="0CF69B4D"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 xml:space="preserve">Биће </w:t>
            </w:r>
            <w:r w:rsidR="004F7F0A" w:rsidRPr="00FF386D">
              <w:rPr>
                <w:rFonts w:ascii="Calibri Light" w:eastAsia="Times New Roman" w:hAnsi="Calibri Light" w:cs="Calibri Light"/>
                <w:color w:val="000000"/>
                <w:sz w:val="20"/>
                <w:szCs w:val="20"/>
                <w:lang w:eastAsia="en-GB"/>
              </w:rPr>
              <w:t>обухваћена</w:t>
            </w:r>
            <w:r w:rsidRPr="00FF386D">
              <w:rPr>
                <w:rFonts w:ascii="Calibri Light" w:eastAsia="Times New Roman" w:hAnsi="Calibri Light" w:cs="Calibri Light"/>
                <w:color w:val="000000"/>
                <w:sz w:val="20"/>
                <w:szCs w:val="20"/>
                <w:lang w:eastAsia="en-GB"/>
              </w:rPr>
              <w:t xml:space="preserve"> у МП_ЕЕ2</w:t>
            </w:r>
            <w:r w:rsidR="00DB3FE0">
              <w:rPr>
                <w:rFonts w:ascii="Calibri Light" w:eastAsia="Times New Roman" w:hAnsi="Calibri Light" w:cs="Calibri Light"/>
                <w:color w:val="000000"/>
                <w:sz w:val="20"/>
                <w:szCs w:val="20"/>
                <w:lang w:eastAsia="en-GB"/>
              </w:rPr>
              <w:t>, МП_ЕЕ4, МП_ЕЕ5, МП_ЕЕ6, МП_ЕЕ7, МП_ЕЕ12, МП_ЕЕ14 и МП_ЕЕ18</w:t>
            </w:r>
          </w:p>
        </w:tc>
      </w:tr>
      <w:tr w:rsidR="00854ADA" w:rsidRPr="00FF386D" w14:paraId="49F0B9CE" w14:textId="77777777" w:rsidTr="0057310C">
        <w:trPr>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5C3D5EB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396745E2" w14:textId="5B3B02A8"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4F7F0A" w:rsidRPr="00FF386D">
              <w:rPr>
                <w:rFonts w:asciiTheme="majorHAnsi" w:eastAsia="Times New Roman" w:hAnsiTheme="majorHAnsi" w:cstheme="majorHAnsi"/>
                <w:color w:val="000000"/>
                <w:sz w:val="20"/>
                <w:szCs w:val="20"/>
                <w:lang w:eastAsia="en-GB"/>
              </w:rPr>
              <w:t>ска средства</w:t>
            </w:r>
          </w:p>
        </w:tc>
      </w:tr>
    </w:tbl>
    <w:p w14:paraId="3314F159"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288"/>
        <w:gridCol w:w="1007"/>
        <w:gridCol w:w="939"/>
        <w:gridCol w:w="4224"/>
      </w:tblGrid>
      <w:tr w:rsidR="00854ADA" w:rsidRPr="00FF386D" w14:paraId="5A6FD894" w14:textId="77777777" w:rsidTr="0057310C">
        <w:trPr>
          <w:trHeight w:val="780"/>
        </w:trPr>
        <w:tc>
          <w:tcPr>
            <w:tcW w:w="3288"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457BB12F"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35492759"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МП_ЕЕ34</w:t>
            </w:r>
          </w:p>
        </w:tc>
        <w:tc>
          <w:tcPr>
            <w:tcW w:w="939" w:type="dxa"/>
            <w:tcBorders>
              <w:top w:val="single" w:sz="8" w:space="0" w:color="auto"/>
              <w:left w:val="nil"/>
              <w:bottom w:val="single" w:sz="8" w:space="0" w:color="auto"/>
              <w:right w:val="single" w:sz="8" w:space="0" w:color="auto"/>
            </w:tcBorders>
            <w:shd w:val="clear" w:color="000000" w:fill="244062"/>
            <w:vAlign w:val="center"/>
            <w:hideMark/>
          </w:tcPr>
          <w:p w14:paraId="527761E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24" w:type="dxa"/>
            <w:tcBorders>
              <w:top w:val="single" w:sz="8" w:space="0" w:color="auto"/>
              <w:left w:val="nil"/>
              <w:bottom w:val="single" w:sz="8" w:space="0" w:color="auto"/>
              <w:right w:val="single" w:sz="8" w:space="0" w:color="auto"/>
            </w:tcBorders>
            <w:shd w:val="clear" w:color="auto" w:fill="E7E6E6" w:themeFill="background2"/>
            <w:vAlign w:val="center"/>
            <w:hideMark/>
          </w:tcPr>
          <w:p w14:paraId="48F42D04" w14:textId="4548433A"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Регулаторне мере и програми финансирања за п</w:t>
            </w:r>
            <w:r w:rsidR="007928C6" w:rsidRPr="00FF386D">
              <w:rPr>
                <w:rFonts w:ascii="Calibri Light" w:hAnsi="Calibri Light"/>
                <w:b/>
                <w:sz w:val="20"/>
              </w:rPr>
              <w:t>одстицање</w:t>
            </w:r>
            <w:r w:rsidRPr="00FF386D">
              <w:rPr>
                <w:rFonts w:ascii="Calibri Light" w:hAnsi="Calibri Light"/>
                <w:b/>
                <w:sz w:val="20"/>
              </w:rPr>
              <w:t>/модернизацију високо ефикас</w:t>
            </w:r>
            <w:r w:rsidR="004F7F0A" w:rsidRPr="00FF386D">
              <w:rPr>
                <w:rFonts w:ascii="Calibri Light" w:hAnsi="Calibri Light"/>
                <w:b/>
                <w:sz w:val="20"/>
              </w:rPr>
              <w:t>н</w:t>
            </w:r>
            <w:r w:rsidRPr="00FF386D">
              <w:rPr>
                <w:rFonts w:ascii="Calibri Light" w:hAnsi="Calibri Light"/>
                <w:b/>
                <w:sz w:val="20"/>
              </w:rPr>
              <w:t>е когенерације и система даљинског грејања/хлађења</w:t>
            </w:r>
          </w:p>
        </w:tc>
      </w:tr>
      <w:tr w:rsidR="00854ADA" w:rsidRPr="00FF386D" w14:paraId="7860072B" w14:textId="77777777" w:rsidTr="0057310C">
        <w:trPr>
          <w:trHeight w:val="355"/>
        </w:trPr>
        <w:tc>
          <w:tcPr>
            <w:tcW w:w="3288" w:type="dxa"/>
            <w:tcBorders>
              <w:top w:val="nil"/>
              <w:left w:val="single" w:sz="8" w:space="0" w:color="auto"/>
              <w:bottom w:val="single" w:sz="8" w:space="0" w:color="auto"/>
              <w:right w:val="nil"/>
            </w:tcBorders>
            <w:shd w:val="clear" w:color="000000" w:fill="244062"/>
            <w:vAlign w:val="center"/>
            <w:hideMark/>
          </w:tcPr>
          <w:p w14:paraId="0FD495B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70" w:type="dxa"/>
            <w:gridSpan w:val="3"/>
            <w:tcBorders>
              <w:top w:val="single" w:sz="8" w:space="0" w:color="auto"/>
              <w:left w:val="nil"/>
              <w:bottom w:val="single" w:sz="8" w:space="0" w:color="auto"/>
              <w:right w:val="single" w:sz="8" w:space="0" w:color="000000"/>
            </w:tcBorders>
            <w:shd w:val="clear" w:color="auto" w:fill="auto"/>
            <w:vAlign w:val="center"/>
            <w:hideMark/>
          </w:tcPr>
          <w:p w14:paraId="698028D4" w14:textId="3EA896A8" w:rsidR="00854ADA" w:rsidRPr="000A2AFE" w:rsidRDefault="004F7F0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 xml:space="preserve">Примена </w:t>
            </w:r>
            <w:r w:rsidR="00854ADA" w:rsidRPr="00FF386D">
              <w:rPr>
                <w:rFonts w:ascii="Calibri Light" w:hAnsi="Calibri Light"/>
                <w:sz w:val="20"/>
              </w:rPr>
              <w:t xml:space="preserve">чланова Директиве </w:t>
            </w:r>
            <w:r w:rsidRPr="00FF386D">
              <w:rPr>
                <w:rFonts w:ascii="Calibri Light" w:hAnsi="Calibri Light"/>
                <w:sz w:val="20"/>
              </w:rPr>
              <w:t>(</w:t>
            </w:r>
            <w:r w:rsidR="00351084"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w:t>
            </w:r>
            <w:r w:rsidRPr="00FF386D">
              <w:rPr>
                <w:rFonts w:ascii="Calibri Light" w:hAnsi="Calibri Light"/>
                <w:sz w:val="20"/>
              </w:rPr>
              <w:t>02, и то</w:t>
            </w:r>
            <w:r w:rsidR="00854ADA" w:rsidRPr="000A2AFE">
              <w:rPr>
                <w:rFonts w:ascii="Calibri Light" w:eastAsia="Times New Roman" w:hAnsi="Calibri Light" w:cs="Calibri Light"/>
                <w:color w:val="000000"/>
                <w:sz w:val="20"/>
                <w:szCs w:val="20"/>
                <w:lang w:eastAsia="en-GB"/>
              </w:rPr>
              <w:t>:</w:t>
            </w:r>
          </w:p>
          <w:p w14:paraId="74AB3251" w14:textId="0047D45A" w:rsidR="00854ADA" w:rsidRPr="00FF386D" w:rsidRDefault="00854ADA" w:rsidP="00854ADA">
            <w:pPr>
              <w:numPr>
                <w:ilvl w:val="0"/>
                <w:numId w:val="160"/>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7928C6"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3</w:t>
            </w:r>
          </w:p>
          <w:p w14:paraId="66B63D71" w14:textId="77777777" w:rsidR="00854ADA" w:rsidRPr="00FF386D" w:rsidRDefault="00854ADA" w:rsidP="00854ADA">
            <w:pPr>
              <w:numPr>
                <w:ilvl w:val="0"/>
                <w:numId w:val="160"/>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 14</w:t>
            </w:r>
          </w:p>
        </w:tc>
      </w:tr>
      <w:tr w:rsidR="00854ADA" w:rsidRPr="00FF386D" w14:paraId="5CA1CE61" w14:textId="77777777" w:rsidTr="0057310C">
        <w:trPr>
          <w:trHeight w:val="315"/>
        </w:trPr>
        <w:tc>
          <w:tcPr>
            <w:tcW w:w="3288" w:type="dxa"/>
            <w:tcBorders>
              <w:top w:val="nil"/>
              <w:left w:val="single" w:sz="8" w:space="0" w:color="auto"/>
              <w:bottom w:val="single" w:sz="8" w:space="0" w:color="auto"/>
              <w:right w:val="single" w:sz="8" w:space="0" w:color="auto"/>
            </w:tcBorders>
            <w:shd w:val="clear" w:color="000000" w:fill="244062"/>
            <w:vAlign w:val="center"/>
            <w:hideMark/>
          </w:tcPr>
          <w:p w14:paraId="16FFE4C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70" w:type="dxa"/>
            <w:gridSpan w:val="3"/>
            <w:tcBorders>
              <w:top w:val="single" w:sz="8" w:space="0" w:color="auto"/>
              <w:left w:val="nil"/>
              <w:bottom w:val="single" w:sz="8" w:space="0" w:color="auto"/>
              <w:right w:val="single" w:sz="8" w:space="0" w:color="000000"/>
            </w:tcBorders>
            <w:shd w:val="clear" w:color="auto" w:fill="auto"/>
            <w:vAlign w:val="center"/>
            <w:hideMark/>
          </w:tcPr>
          <w:p w14:paraId="71F845FC" w14:textId="30278584" w:rsidR="00854ADA" w:rsidRPr="00FF386D" w:rsidRDefault="004F7F0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23 </w:t>
            </w:r>
            <w:r w:rsidRPr="000A2AFE">
              <w:rPr>
                <w:rFonts w:asciiTheme="majorHAnsi" w:eastAsia="Times New Roman" w:hAnsiTheme="majorHAnsi" w:cstheme="majorHAnsi"/>
                <w:color w:val="000000"/>
                <w:sz w:val="20"/>
                <w:szCs w:val="20"/>
                <w:lang w:eastAsia="en-GB"/>
              </w:rPr>
              <w:t>MW</w:t>
            </w:r>
            <w:r w:rsidRPr="00FF386D">
              <w:rPr>
                <w:rFonts w:asciiTheme="majorHAnsi" w:eastAsia="Times New Roman" w:hAnsiTheme="majorHAnsi" w:cstheme="majorHAnsi"/>
                <w:color w:val="000000"/>
                <w:sz w:val="20"/>
                <w:szCs w:val="20"/>
                <w:lang w:eastAsia="en-GB"/>
              </w:rPr>
              <w:t xml:space="preserve"> (електричн</w:t>
            </w:r>
            <w:r w:rsidR="00314B47" w:rsidRPr="000A2AFE">
              <w:rPr>
                <w:rFonts w:asciiTheme="majorHAnsi" w:eastAsia="Times New Roman" w:hAnsiTheme="majorHAnsi" w:cstheme="majorHAnsi"/>
                <w:color w:val="000000"/>
                <w:sz w:val="20"/>
                <w:szCs w:val="20"/>
                <w:lang w:eastAsia="en-GB"/>
              </w:rPr>
              <w:t>a</w:t>
            </w:r>
            <w:r w:rsidRPr="00FF386D">
              <w:rPr>
                <w:rFonts w:asciiTheme="majorHAnsi" w:eastAsia="Times New Roman" w:hAnsiTheme="majorHAnsi" w:cstheme="majorHAnsi"/>
                <w:color w:val="000000"/>
                <w:sz w:val="20"/>
                <w:szCs w:val="20"/>
                <w:lang w:eastAsia="en-GB"/>
              </w:rPr>
              <w:t xml:space="preserve"> </w:t>
            </w:r>
            <w:r w:rsidR="00351084" w:rsidRPr="00FF386D">
              <w:rPr>
                <w:rFonts w:asciiTheme="majorHAnsi" w:eastAsia="Times New Roman" w:hAnsiTheme="majorHAnsi" w:cstheme="majorHAnsi"/>
                <w:color w:val="000000"/>
                <w:sz w:val="20"/>
                <w:szCs w:val="20"/>
                <w:lang w:eastAsia="en-GB"/>
              </w:rPr>
              <w:t>енергија</w:t>
            </w:r>
            <w:r w:rsidRPr="00FF386D">
              <w:rPr>
                <w:rFonts w:asciiTheme="majorHAnsi" w:eastAsia="Times New Roman" w:hAnsiTheme="majorHAnsi" w:cstheme="majorHAnsi"/>
                <w:color w:val="000000"/>
                <w:sz w:val="20"/>
                <w:szCs w:val="20"/>
                <w:lang w:eastAsia="en-GB"/>
              </w:rPr>
              <w:t xml:space="preserve">: 31 </w:t>
            </w:r>
            <w:r w:rsidRPr="000A2AFE">
              <w:rPr>
                <w:rFonts w:asciiTheme="majorHAnsi" w:eastAsia="Times New Roman" w:hAnsiTheme="majorHAnsi" w:cstheme="majorHAnsi"/>
                <w:color w:val="000000"/>
                <w:sz w:val="20"/>
                <w:szCs w:val="20"/>
                <w:lang w:eastAsia="en-GB"/>
              </w:rPr>
              <w:t>ktoe</w:t>
            </w:r>
            <w:r w:rsidRPr="00FF386D">
              <w:rPr>
                <w:rFonts w:asciiTheme="majorHAnsi" w:eastAsia="Times New Roman" w:hAnsiTheme="majorHAnsi" w:cstheme="majorHAnsi"/>
                <w:color w:val="000000"/>
                <w:sz w:val="20"/>
                <w:szCs w:val="20"/>
                <w:lang w:eastAsia="en-GB"/>
              </w:rPr>
              <w:t xml:space="preserve">, </w:t>
            </w:r>
            <w:r w:rsidR="00314B47" w:rsidRPr="00FF386D">
              <w:rPr>
                <w:rFonts w:asciiTheme="majorHAnsi" w:eastAsia="Times New Roman" w:hAnsiTheme="majorHAnsi" w:cstheme="majorHAnsi"/>
                <w:color w:val="000000"/>
                <w:sz w:val="20"/>
                <w:szCs w:val="20"/>
                <w:lang w:eastAsia="en-GB"/>
              </w:rPr>
              <w:t xml:space="preserve">топлотна енергија у даљинском грејању: 6 </w:t>
            </w:r>
            <w:r w:rsidR="00314B47" w:rsidRPr="000A2AFE">
              <w:rPr>
                <w:rFonts w:asciiTheme="majorHAnsi" w:eastAsia="Times New Roman" w:hAnsiTheme="majorHAnsi" w:cstheme="majorHAnsi"/>
                <w:color w:val="000000"/>
                <w:sz w:val="20"/>
                <w:szCs w:val="20"/>
                <w:lang w:eastAsia="en-GB"/>
              </w:rPr>
              <w:t>ktoe</w:t>
            </w:r>
            <w:r w:rsidR="00314B47" w:rsidRPr="00FF386D">
              <w:rPr>
                <w:rFonts w:asciiTheme="majorHAnsi" w:eastAsia="Times New Roman" w:hAnsiTheme="majorHAnsi" w:cstheme="majorHAnsi"/>
                <w:color w:val="000000"/>
                <w:sz w:val="20"/>
                <w:szCs w:val="20"/>
                <w:lang w:eastAsia="en-GB"/>
              </w:rPr>
              <w:t xml:space="preserve">, индустријска топлота: 13 </w:t>
            </w:r>
            <w:r w:rsidR="00314B47" w:rsidRPr="000A2AFE">
              <w:rPr>
                <w:rFonts w:asciiTheme="majorHAnsi" w:eastAsia="Times New Roman" w:hAnsiTheme="majorHAnsi" w:cstheme="majorHAnsi"/>
                <w:color w:val="000000"/>
                <w:sz w:val="20"/>
                <w:szCs w:val="20"/>
                <w:lang w:eastAsia="en-GB"/>
              </w:rPr>
              <w:t>ktoe</w:t>
            </w:r>
            <w:r w:rsidR="00314B47" w:rsidRPr="00FF386D">
              <w:rPr>
                <w:rFonts w:asciiTheme="majorHAnsi" w:eastAsia="Times New Roman" w:hAnsiTheme="majorHAnsi" w:cstheme="majorHAnsi"/>
                <w:color w:val="000000"/>
                <w:sz w:val="20"/>
                <w:szCs w:val="20"/>
                <w:lang w:eastAsia="en-GB"/>
              </w:rPr>
              <w:t>)</w:t>
            </w:r>
          </w:p>
        </w:tc>
      </w:tr>
      <w:tr w:rsidR="00854ADA" w:rsidRPr="00FF386D" w14:paraId="320295E6" w14:textId="77777777" w:rsidTr="0057310C">
        <w:trPr>
          <w:trHeight w:val="1437"/>
        </w:trPr>
        <w:tc>
          <w:tcPr>
            <w:tcW w:w="3288" w:type="dxa"/>
            <w:tcBorders>
              <w:top w:val="nil"/>
              <w:left w:val="single" w:sz="8" w:space="0" w:color="auto"/>
              <w:bottom w:val="single" w:sz="8" w:space="0" w:color="auto"/>
              <w:right w:val="single" w:sz="8" w:space="0" w:color="auto"/>
            </w:tcBorders>
            <w:shd w:val="clear" w:color="000000" w:fill="244062"/>
            <w:vAlign w:val="center"/>
            <w:hideMark/>
          </w:tcPr>
          <w:p w14:paraId="4677469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70" w:type="dxa"/>
            <w:gridSpan w:val="3"/>
            <w:tcBorders>
              <w:top w:val="single" w:sz="8" w:space="0" w:color="auto"/>
              <w:left w:val="nil"/>
              <w:bottom w:val="single" w:sz="8" w:space="0" w:color="auto"/>
              <w:right w:val="single" w:sz="8" w:space="0" w:color="000000"/>
            </w:tcBorders>
            <w:shd w:val="clear" w:color="auto" w:fill="auto"/>
            <w:vAlign w:val="center"/>
            <w:hideMark/>
          </w:tcPr>
          <w:p w14:paraId="68DAEEA8" w14:textId="1EAB0B0B" w:rsidR="00854ADA" w:rsidRPr="00F46450"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МП_ЕЕ34 ће покренути програме финансирања за инсталирање нових високо ефикасних </w:t>
            </w:r>
            <w:r w:rsidR="00351084" w:rsidRPr="00FF386D">
              <w:rPr>
                <w:rFonts w:ascii="Calibri Light" w:hAnsi="Calibri Light"/>
                <w:sz w:val="20"/>
              </w:rPr>
              <w:t>когенераци</w:t>
            </w:r>
            <w:r w:rsidR="00106DD0">
              <w:rPr>
                <w:rFonts w:ascii="Calibri Light" w:hAnsi="Calibri Light"/>
                <w:sz w:val="20"/>
              </w:rPr>
              <w:t>јских</w:t>
            </w:r>
            <w:r w:rsidR="00351084" w:rsidRPr="00FF386D">
              <w:rPr>
                <w:rFonts w:ascii="Calibri Light" w:hAnsi="Calibri Light"/>
                <w:sz w:val="20"/>
              </w:rPr>
              <w:t xml:space="preserve"> </w:t>
            </w:r>
            <w:r w:rsidRPr="00FF386D">
              <w:rPr>
                <w:rFonts w:ascii="Calibri Light" w:hAnsi="Calibri Light"/>
                <w:sz w:val="20"/>
              </w:rPr>
              <w:t>постројења и модернизацију постојећих, као и система даљинског грејања/хлађења. У случају нових високо ефикасних когенераци</w:t>
            </w:r>
            <w:r w:rsidR="00B307E5" w:rsidRPr="00FF386D">
              <w:rPr>
                <w:rFonts w:ascii="Calibri Light" w:hAnsi="Calibri Light"/>
                <w:sz w:val="20"/>
              </w:rPr>
              <w:t>јских постројења</w:t>
            </w:r>
            <w:r w:rsidRPr="00FF386D">
              <w:rPr>
                <w:rFonts w:ascii="Calibri Light" w:hAnsi="Calibri Light"/>
                <w:sz w:val="20"/>
              </w:rPr>
              <w:t>, планирани подстицаји ће бити у складу са З</w:t>
            </w:r>
            <w:r w:rsidR="00106DD0">
              <w:rPr>
                <w:rFonts w:ascii="Calibri Light" w:hAnsi="Calibri Light"/>
                <w:sz w:val="20"/>
              </w:rPr>
              <w:t>аконом о енергетској ефикасности и рационалној употреби енергије</w:t>
            </w:r>
            <w:r w:rsidRPr="00FF386D">
              <w:rPr>
                <w:rFonts w:ascii="Calibri Light" w:hAnsi="Calibri Light"/>
                <w:sz w:val="20"/>
              </w:rPr>
              <w:t xml:space="preserve">. Такође, према </w:t>
            </w:r>
            <w:r w:rsidR="00106DD0" w:rsidRPr="00106DD0">
              <w:rPr>
                <w:rFonts w:ascii="Calibri Light" w:hAnsi="Calibri Light"/>
                <w:sz w:val="20"/>
              </w:rPr>
              <w:t>Закон</w:t>
            </w:r>
            <w:r w:rsidR="00106DD0">
              <w:rPr>
                <w:rFonts w:ascii="Calibri Light" w:hAnsi="Calibri Light"/>
                <w:sz w:val="20"/>
              </w:rPr>
              <w:t>у</w:t>
            </w:r>
            <w:r w:rsidR="00106DD0" w:rsidRPr="00106DD0">
              <w:rPr>
                <w:rFonts w:ascii="Calibri Light" w:hAnsi="Calibri Light"/>
                <w:sz w:val="20"/>
              </w:rPr>
              <w:t xml:space="preserve"> о енергетској ефикасности и рационалној употреби енергије</w:t>
            </w:r>
            <w:r w:rsidRPr="00FF386D">
              <w:rPr>
                <w:rFonts w:ascii="Calibri Light" w:hAnsi="Calibri Light"/>
                <w:sz w:val="20"/>
              </w:rPr>
              <w:t>, енергетски објекти који се граде или</w:t>
            </w:r>
            <w:r w:rsidR="00106DD0">
              <w:rPr>
                <w:rFonts w:ascii="Calibri Light" w:hAnsi="Calibri Light"/>
                <w:sz w:val="20"/>
              </w:rPr>
              <w:t xml:space="preserve"> реконструишу</w:t>
            </w:r>
            <w:r w:rsidRPr="00FF386D">
              <w:rPr>
                <w:rFonts w:ascii="Calibri Light" w:hAnsi="Calibri Light"/>
                <w:sz w:val="20"/>
              </w:rPr>
              <w:t xml:space="preserve"> морају да </w:t>
            </w:r>
            <w:r w:rsidR="00106DD0">
              <w:rPr>
                <w:rFonts w:ascii="Calibri Light" w:hAnsi="Calibri Light"/>
                <w:sz w:val="20"/>
              </w:rPr>
              <w:t>испуњавају</w:t>
            </w:r>
            <w:r w:rsidRPr="00FF386D">
              <w:rPr>
                <w:rFonts w:ascii="Calibri Light" w:hAnsi="Calibri Light"/>
                <w:sz w:val="20"/>
              </w:rPr>
              <w:t xml:space="preserve"> </w:t>
            </w:r>
            <w:r w:rsidR="00106DD0">
              <w:rPr>
                <w:rFonts w:ascii="Calibri Light" w:hAnsi="Calibri Light"/>
                <w:sz w:val="20"/>
              </w:rPr>
              <w:t xml:space="preserve">захтеве о </w:t>
            </w:r>
            <w:r w:rsidRPr="00FF386D">
              <w:rPr>
                <w:rFonts w:ascii="Calibri Light" w:hAnsi="Calibri Light"/>
                <w:sz w:val="20"/>
              </w:rPr>
              <w:t>прописан</w:t>
            </w:r>
            <w:r w:rsidR="00106DD0">
              <w:rPr>
                <w:rFonts w:ascii="Calibri Light" w:hAnsi="Calibri Light"/>
                <w:sz w:val="20"/>
              </w:rPr>
              <w:t>ој</w:t>
            </w:r>
            <w:r w:rsidRPr="00FF386D">
              <w:rPr>
                <w:rFonts w:ascii="Calibri Light" w:hAnsi="Calibri Light"/>
                <w:sz w:val="20"/>
              </w:rPr>
              <w:t xml:space="preserve"> минималн</w:t>
            </w:r>
            <w:r w:rsidR="00106DD0">
              <w:rPr>
                <w:rFonts w:ascii="Calibri Light" w:hAnsi="Calibri Light"/>
                <w:sz w:val="20"/>
              </w:rPr>
              <w:t xml:space="preserve">ој </w:t>
            </w:r>
            <w:r w:rsidRPr="00FF386D">
              <w:rPr>
                <w:rFonts w:ascii="Calibri Light" w:hAnsi="Calibri Light"/>
                <w:sz w:val="20"/>
              </w:rPr>
              <w:t>енергетск</w:t>
            </w:r>
            <w:r w:rsidR="00106DD0">
              <w:rPr>
                <w:rFonts w:ascii="Calibri Light" w:hAnsi="Calibri Light"/>
                <w:sz w:val="20"/>
              </w:rPr>
              <w:t>ој</w:t>
            </w:r>
            <w:r w:rsidRPr="00FF386D">
              <w:rPr>
                <w:rFonts w:ascii="Calibri Light" w:hAnsi="Calibri Light"/>
                <w:sz w:val="20"/>
              </w:rPr>
              <w:t xml:space="preserve"> ефикасности.</w:t>
            </w:r>
            <w:r w:rsidR="00106DD0">
              <w:rPr>
                <w:rFonts w:ascii="Calibri Light" w:hAnsi="Calibri Light"/>
                <w:sz w:val="20"/>
              </w:rPr>
              <w:t xml:space="preserve"> Нагласак ће бити </w:t>
            </w:r>
            <w:r w:rsidR="00F46450">
              <w:rPr>
                <w:rFonts w:ascii="Calibri Light" w:hAnsi="Calibri Light"/>
                <w:sz w:val="20"/>
              </w:rPr>
              <w:t>на коришћењу</w:t>
            </w:r>
            <w:r w:rsidR="00106DD0">
              <w:rPr>
                <w:rFonts w:ascii="Calibri Light" w:hAnsi="Calibri Light"/>
                <w:sz w:val="20"/>
              </w:rPr>
              <w:t xml:space="preserve"> отпадне топлоте </w:t>
            </w:r>
            <w:r w:rsidR="00F46450">
              <w:rPr>
                <w:rFonts w:ascii="Calibri Light" w:hAnsi="Calibri Light"/>
                <w:sz w:val="20"/>
              </w:rPr>
              <w:t xml:space="preserve">за индустријске активности </w:t>
            </w:r>
            <w:r w:rsidR="00265CE3">
              <w:rPr>
                <w:rFonts w:ascii="Calibri Light" w:hAnsi="Calibri Light"/>
                <w:sz w:val="20"/>
              </w:rPr>
              <w:t xml:space="preserve">у високоефикасним когенерацијским јединицама и системима даљинског грејања/хлађења. Предвиђене инвестиције ће бити </w:t>
            </w:r>
            <w:r w:rsidR="00F46450">
              <w:rPr>
                <w:rFonts w:ascii="Calibri Light" w:hAnsi="Calibri Light"/>
                <w:sz w:val="20"/>
              </w:rPr>
              <w:t>планиране заједно са одговарајућим инвестицијама у оквиру МП_ЕЕ23.</w:t>
            </w:r>
          </w:p>
        </w:tc>
      </w:tr>
      <w:tr w:rsidR="00854ADA" w:rsidRPr="00FF386D" w14:paraId="6F2587AD" w14:textId="77777777" w:rsidTr="0057310C">
        <w:trPr>
          <w:trHeight w:val="315"/>
        </w:trPr>
        <w:tc>
          <w:tcPr>
            <w:tcW w:w="3288" w:type="dxa"/>
            <w:tcBorders>
              <w:top w:val="nil"/>
              <w:left w:val="single" w:sz="8" w:space="0" w:color="auto"/>
              <w:bottom w:val="single" w:sz="8" w:space="0" w:color="auto"/>
              <w:right w:val="single" w:sz="8" w:space="0" w:color="auto"/>
            </w:tcBorders>
            <w:shd w:val="clear" w:color="000000" w:fill="244062"/>
            <w:vAlign w:val="center"/>
            <w:hideMark/>
          </w:tcPr>
          <w:p w14:paraId="283D5D7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Временски оквир имплементације</w:t>
            </w:r>
          </w:p>
        </w:tc>
        <w:tc>
          <w:tcPr>
            <w:tcW w:w="6170" w:type="dxa"/>
            <w:gridSpan w:val="3"/>
            <w:tcBorders>
              <w:top w:val="single" w:sz="8" w:space="0" w:color="auto"/>
              <w:left w:val="nil"/>
              <w:bottom w:val="single" w:sz="8" w:space="0" w:color="auto"/>
              <w:right w:val="single" w:sz="8" w:space="0" w:color="000000"/>
            </w:tcBorders>
            <w:shd w:val="clear" w:color="auto" w:fill="auto"/>
            <w:vAlign w:val="center"/>
            <w:hideMark/>
          </w:tcPr>
          <w:p w14:paraId="55386272" w14:textId="46DF206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314B47" w:rsidRPr="000A2AFE">
              <w:rPr>
                <w:rFonts w:ascii="Calibri Light" w:hAnsi="Calibri Light"/>
                <w:sz w:val="20"/>
              </w:rPr>
              <w:t>5</w:t>
            </w:r>
            <w:r w:rsidRPr="00FF386D">
              <w:rPr>
                <w:rFonts w:ascii="Calibri Light" w:hAnsi="Calibri Light"/>
                <w:sz w:val="20"/>
              </w:rPr>
              <w:t>-2030.</w:t>
            </w:r>
          </w:p>
        </w:tc>
      </w:tr>
      <w:tr w:rsidR="00854ADA" w:rsidRPr="00FF386D" w14:paraId="3C76FD7C" w14:textId="77777777" w:rsidTr="0057310C">
        <w:trPr>
          <w:trHeight w:val="315"/>
        </w:trPr>
        <w:tc>
          <w:tcPr>
            <w:tcW w:w="3288" w:type="dxa"/>
            <w:tcBorders>
              <w:top w:val="nil"/>
              <w:left w:val="single" w:sz="8" w:space="0" w:color="auto"/>
              <w:bottom w:val="single" w:sz="8" w:space="0" w:color="auto"/>
              <w:right w:val="single" w:sz="8" w:space="0" w:color="auto"/>
            </w:tcBorders>
            <w:shd w:val="clear" w:color="000000" w:fill="244062"/>
            <w:vAlign w:val="center"/>
            <w:hideMark/>
          </w:tcPr>
          <w:p w14:paraId="0DD2F70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70" w:type="dxa"/>
            <w:gridSpan w:val="3"/>
            <w:tcBorders>
              <w:top w:val="single" w:sz="8" w:space="0" w:color="auto"/>
              <w:left w:val="nil"/>
              <w:bottom w:val="single" w:sz="8" w:space="0" w:color="auto"/>
              <w:right w:val="single" w:sz="8" w:space="0" w:color="000000"/>
            </w:tcBorders>
            <w:shd w:val="clear" w:color="auto" w:fill="auto"/>
            <w:vAlign w:val="center"/>
            <w:hideMark/>
          </w:tcPr>
          <w:p w14:paraId="715A9E47" w14:textId="4A3C07E2"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Реформа</w:t>
            </w:r>
            <w:r w:rsidR="00B307E5" w:rsidRPr="00FF386D">
              <w:rPr>
                <w:rFonts w:ascii="Calibri Light" w:eastAsia="Times New Roman" w:hAnsi="Calibri Light" w:cs="Calibri Light"/>
                <w:color w:val="000000"/>
                <w:sz w:val="20"/>
                <w:szCs w:val="20"/>
                <w:lang w:eastAsia="en-GB"/>
              </w:rPr>
              <w:t xml:space="preserve"> и имплементација инвестиција</w:t>
            </w:r>
          </w:p>
        </w:tc>
      </w:tr>
      <w:tr w:rsidR="00854ADA" w:rsidRPr="00FF386D" w14:paraId="0EB453B9" w14:textId="77777777" w:rsidTr="0057310C">
        <w:trPr>
          <w:trHeight w:val="315"/>
        </w:trPr>
        <w:tc>
          <w:tcPr>
            <w:tcW w:w="3288" w:type="dxa"/>
            <w:tcBorders>
              <w:top w:val="nil"/>
              <w:left w:val="single" w:sz="8" w:space="0" w:color="auto"/>
              <w:bottom w:val="single" w:sz="8" w:space="0" w:color="auto"/>
              <w:right w:val="single" w:sz="8" w:space="0" w:color="auto"/>
            </w:tcBorders>
            <w:shd w:val="clear" w:color="000000" w:fill="244062"/>
            <w:vAlign w:val="center"/>
            <w:hideMark/>
          </w:tcPr>
          <w:p w14:paraId="3BE742E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70" w:type="dxa"/>
            <w:gridSpan w:val="3"/>
            <w:tcBorders>
              <w:top w:val="single" w:sz="8" w:space="0" w:color="auto"/>
              <w:left w:val="nil"/>
              <w:bottom w:val="single" w:sz="8" w:space="0" w:color="auto"/>
              <w:right w:val="single" w:sz="8" w:space="0" w:color="000000"/>
            </w:tcBorders>
            <w:shd w:val="clear" w:color="auto" w:fill="auto"/>
            <w:vAlign w:val="center"/>
            <w:hideMark/>
          </w:tcPr>
          <w:p w14:paraId="31FE9559"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Сви сектори крајње употребе</w:t>
            </w:r>
          </w:p>
        </w:tc>
      </w:tr>
      <w:tr w:rsidR="00854ADA" w:rsidRPr="00FF386D" w14:paraId="32003ACC" w14:textId="77777777" w:rsidTr="0057310C">
        <w:trPr>
          <w:trHeight w:val="315"/>
        </w:trPr>
        <w:tc>
          <w:tcPr>
            <w:tcW w:w="3288" w:type="dxa"/>
            <w:tcBorders>
              <w:top w:val="nil"/>
              <w:left w:val="single" w:sz="8" w:space="0" w:color="auto"/>
              <w:bottom w:val="single" w:sz="8" w:space="0" w:color="auto"/>
              <w:right w:val="single" w:sz="8" w:space="0" w:color="auto"/>
            </w:tcBorders>
            <w:shd w:val="clear" w:color="000000" w:fill="244062"/>
            <w:vAlign w:val="center"/>
            <w:hideMark/>
          </w:tcPr>
          <w:p w14:paraId="36FC924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70" w:type="dxa"/>
            <w:gridSpan w:val="3"/>
            <w:tcBorders>
              <w:top w:val="single" w:sz="8" w:space="0" w:color="auto"/>
              <w:left w:val="nil"/>
              <w:bottom w:val="single" w:sz="8" w:space="0" w:color="auto"/>
              <w:right w:val="single" w:sz="8" w:space="0" w:color="000000"/>
            </w:tcBorders>
            <w:shd w:val="clear" w:color="auto" w:fill="auto"/>
            <w:vAlign w:val="center"/>
            <w:hideMark/>
          </w:tcPr>
          <w:p w14:paraId="6683D85A" w14:textId="77777777" w:rsidR="00854ADA" w:rsidRPr="00FF386D" w:rsidRDefault="00854ADA" w:rsidP="00854ADA">
            <w:pPr>
              <w:numPr>
                <w:ilvl w:val="0"/>
                <w:numId w:val="16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Министарство рударства и енергетике</w:t>
            </w:r>
          </w:p>
          <w:p w14:paraId="6B0FE22A" w14:textId="77777777" w:rsidR="00854ADA" w:rsidRPr="00FF386D" w:rsidRDefault="00854ADA" w:rsidP="00854ADA">
            <w:pPr>
              <w:numPr>
                <w:ilvl w:val="0"/>
                <w:numId w:val="16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Јединице локалне самоуправе</w:t>
            </w:r>
          </w:p>
          <w:p w14:paraId="5B644D8F" w14:textId="77777777" w:rsidR="00854ADA" w:rsidRPr="00FF386D" w:rsidRDefault="00854ADA" w:rsidP="00854ADA">
            <w:pPr>
              <w:numPr>
                <w:ilvl w:val="0"/>
                <w:numId w:val="16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Топлане</w:t>
            </w:r>
          </w:p>
        </w:tc>
      </w:tr>
      <w:tr w:rsidR="00854ADA" w:rsidRPr="00FF386D" w14:paraId="59713F53" w14:textId="77777777" w:rsidTr="0057310C">
        <w:trPr>
          <w:trHeight w:val="315"/>
        </w:trPr>
        <w:tc>
          <w:tcPr>
            <w:tcW w:w="3288" w:type="dxa"/>
            <w:tcBorders>
              <w:top w:val="nil"/>
              <w:left w:val="single" w:sz="8" w:space="0" w:color="auto"/>
              <w:bottom w:val="single" w:sz="8" w:space="0" w:color="auto"/>
              <w:right w:val="nil"/>
            </w:tcBorders>
            <w:shd w:val="clear" w:color="000000" w:fill="244062"/>
            <w:vAlign w:val="center"/>
            <w:hideMark/>
          </w:tcPr>
          <w:p w14:paraId="4DDC616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70" w:type="dxa"/>
            <w:gridSpan w:val="3"/>
            <w:tcBorders>
              <w:top w:val="single" w:sz="8" w:space="0" w:color="auto"/>
              <w:left w:val="nil"/>
              <w:bottom w:val="single" w:sz="8" w:space="0" w:color="auto"/>
              <w:right w:val="single" w:sz="8" w:space="0" w:color="000000"/>
            </w:tcBorders>
            <w:shd w:val="clear" w:color="auto" w:fill="auto"/>
            <w:vAlign w:val="center"/>
            <w:hideMark/>
          </w:tcPr>
          <w:p w14:paraId="1A91763A" w14:textId="55D2C54D" w:rsidR="00854ADA" w:rsidRPr="000A2AFE" w:rsidRDefault="000F6477" w:rsidP="000A2AFE">
            <w:pPr>
              <w:pStyle w:val="ListParagraph"/>
              <w:numPr>
                <w:ilvl w:val="0"/>
                <w:numId w:val="361"/>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520DCA21" w14:textId="77777777" w:rsidTr="0057310C">
        <w:trPr>
          <w:trHeight w:val="315"/>
        </w:trPr>
        <w:tc>
          <w:tcPr>
            <w:tcW w:w="3288" w:type="dxa"/>
            <w:tcBorders>
              <w:top w:val="nil"/>
              <w:left w:val="single" w:sz="8" w:space="0" w:color="auto"/>
              <w:bottom w:val="single" w:sz="8" w:space="0" w:color="auto"/>
              <w:right w:val="nil"/>
            </w:tcBorders>
            <w:shd w:val="clear" w:color="000000" w:fill="244062"/>
            <w:vAlign w:val="center"/>
            <w:hideMark/>
          </w:tcPr>
          <w:p w14:paraId="68972C1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70" w:type="dxa"/>
            <w:gridSpan w:val="3"/>
            <w:tcBorders>
              <w:top w:val="single" w:sz="8" w:space="0" w:color="auto"/>
              <w:left w:val="nil"/>
              <w:bottom w:val="single" w:sz="8" w:space="0" w:color="auto"/>
              <w:right w:val="single" w:sz="8" w:space="0" w:color="000000"/>
            </w:tcBorders>
            <w:shd w:val="clear" w:color="auto" w:fill="auto"/>
            <w:vAlign w:val="center"/>
            <w:hideMark/>
          </w:tcPr>
          <w:p w14:paraId="0A835F80" w14:textId="55888920" w:rsidR="00854ADA" w:rsidRPr="00FF386D" w:rsidRDefault="00854ADA">
            <w:pPr>
              <w:pStyle w:val="ListParagraph"/>
              <w:numPr>
                <w:ilvl w:val="0"/>
                <w:numId w:val="290"/>
              </w:numPr>
              <w:spacing w:after="0" w:line="240" w:lineRule="auto"/>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Инсталисани капацитет нових високоефикасних когенераци</w:t>
            </w:r>
            <w:r w:rsidR="00B307E5" w:rsidRPr="00FF386D">
              <w:rPr>
                <w:rFonts w:ascii="Calibri Light" w:eastAsia="Times New Roman" w:hAnsi="Calibri Light" w:cs="Calibri Light"/>
                <w:color w:val="000000"/>
                <w:sz w:val="20"/>
                <w:szCs w:val="20"/>
                <w:lang w:eastAsia="en-GB"/>
              </w:rPr>
              <w:t>јских</w:t>
            </w:r>
            <w:r w:rsidRPr="00FF386D">
              <w:rPr>
                <w:rFonts w:ascii="Calibri Light" w:eastAsia="Times New Roman" w:hAnsi="Calibri Light" w:cs="Calibri Light"/>
                <w:color w:val="000000"/>
                <w:sz w:val="20"/>
                <w:szCs w:val="20"/>
                <w:lang w:eastAsia="en-GB"/>
              </w:rPr>
              <w:t xml:space="preserve"> постројења у складу са ЗЕЕРУЕ</w:t>
            </w:r>
          </w:p>
          <w:p w14:paraId="6CF36F9D" w14:textId="40330C8B" w:rsidR="00854ADA" w:rsidRPr="00FF386D" w:rsidRDefault="00854ADA">
            <w:pPr>
              <w:pStyle w:val="ListParagraph"/>
              <w:numPr>
                <w:ilvl w:val="0"/>
                <w:numId w:val="290"/>
              </w:numPr>
              <w:spacing w:after="0" w:line="240" w:lineRule="auto"/>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Инсталисани капацитет модернизованих когенераци</w:t>
            </w:r>
            <w:r w:rsidR="00B307E5" w:rsidRPr="00FF386D">
              <w:rPr>
                <w:rFonts w:ascii="Calibri Light" w:eastAsia="Times New Roman" w:hAnsi="Calibri Light" w:cs="Calibri Light"/>
                <w:color w:val="000000"/>
                <w:sz w:val="20"/>
                <w:szCs w:val="20"/>
                <w:lang w:eastAsia="en-GB"/>
              </w:rPr>
              <w:t xml:space="preserve">јских </w:t>
            </w:r>
            <w:r w:rsidRPr="00FF386D">
              <w:rPr>
                <w:rFonts w:ascii="Calibri Light" w:eastAsia="Times New Roman" w:hAnsi="Calibri Light" w:cs="Calibri Light"/>
                <w:color w:val="000000"/>
                <w:sz w:val="20"/>
                <w:szCs w:val="20"/>
                <w:lang w:eastAsia="en-GB"/>
              </w:rPr>
              <w:t>постројења</w:t>
            </w:r>
            <w:r w:rsidRPr="00FF386D">
              <w:rPr>
                <w:rFonts w:ascii="Calibri Light" w:eastAsia="Times New Roman" w:hAnsi="Calibri Light" w:cs="Calibri Light"/>
                <w:i/>
                <w:iCs/>
                <w:color w:val="000000"/>
                <w:sz w:val="20"/>
                <w:szCs w:val="20"/>
                <w:lang w:eastAsia="en-GB"/>
              </w:rPr>
              <w:t xml:space="preserve"> </w:t>
            </w:r>
            <w:r w:rsidRPr="00FF386D">
              <w:rPr>
                <w:rFonts w:ascii="Calibri Light" w:eastAsia="Times New Roman" w:hAnsi="Calibri Light" w:cs="Calibri Light"/>
                <w:color w:val="000000"/>
                <w:sz w:val="20"/>
                <w:szCs w:val="20"/>
                <w:lang w:eastAsia="en-GB"/>
              </w:rPr>
              <w:t>и система даљинског грејања/хлађења.</w:t>
            </w:r>
          </w:p>
        </w:tc>
      </w:tr>
      <w:tr w:rsidR="00854ADA" w:rsidRPr="00FF386D" w14:paraId="3A21CB59" w14:textId="77777777" w:rsidTr="0057310C">
        <w:trPr>
          <w:trHeight w:val="494"/>
        </w:trPr>
        <w:tc>
          <w:tcPr>
            <w:tcW w:w="3288" w:type="dxa"/>
            <w:tcBorders>
              <w:top w:val="nil"/>
              <w:left w:val="single" w:sz="8" w:space="0" w:color="auto"/>
              <w:bottom w:val="single" w:sz="8" w:space="0" w:color="auto"/>
              <w:right w:val="single" w:sz="8" w:space="0" w:color="auto"/>
            </w:tcBorders>
            <w:shd w:val="clear" w:color="000000" w:fill="244062"/>
            <w:vAlign w:val="center"/>
            <w:hideMark/>
          </w:tcPr>
          <w:p w14:paraId="761023A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70" w:type="dxa"/>
            <w:gridSpan w:val="3"/>
            <w:tcBorders>
              <w:top w:val="single" w:sz="8" w:space="0" w:color="auto"/>
              <w:left w:val="nil"/>
              <w:bottom w:val="single" w:sz="8" w:space="0" w:color="auto"/>
              <w:right w:val="single" w:sz="8" w:space="0" w:color="000000"/>
            </w:tcBorders>
            <w:shd w:val="clear" w:color="auto" w:fill="auto"/>
            <w:vAlign w:val="center"/>
            <w:hideMark/>
          </w:tcPr>
          <w:p w14:paraId="11CC53FA" w14:textId="22D37266" w:rsidR="00F46450" w:rsidRPr="00F46450" w:rsidRDefault="00F46450" w:rsidP="00F46450">
            <w:pPr>
              <w:numPr>
                <w:ilvl w:val="0"/>
                <w:numId w:val="160"/>
              </w:numPr>
              <w:spacing w:after="0" w:line="240" w:lineRule="auto"/>
              <w:contextualSpacing/>
              <w:rPr>
                <w:rFonts w:ascii="Calibri Light" w:eastAsia="Times New Roman" w:hAnsi="Calibri Light" w:cs="Calibri Light"/>
                <w:color w:val="000000"/>
                <w:sz w:val="20"/>
                <w:szCs w:val="20"/>
                <w:lang w:eastAsia="en-GB"/>
              </w:rPr>
            </w:pPr>
            <w:r w:rsidRPr="00F46450">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F46450">
              <w:rPr>
                <w:rFonts w:ascii="Calibri Light" w:eastAsia="Times New Roman" w:hAnsi="Calibri Light" w:cs="Calibri Light"/>
                <w:i/>
                <w:iCs/>
                <w:color w:val="000000"/>
                <w:sz w:val="20"/>
                <w:szCs w:val="20"/>
                <w:lang w:val="en-US" w:eastAsia="en-GB"/>
              </w:rPr>
              <w:t>GHG</w:t>
            </w:r>
            <w:r w:rsidRPr="00F46450">
              <w:rPr>
                <w:rFonts w:ascii="Calibri Light" w:eastAsia="Times New Roman" w:hAnsi="Calibri Light" w:cs="Calibri Light"/>
                <w:i/>
                <w:iCs/>
                <w:color w:val="000000"/>
                <w:sz w:val="20"/>
                <w:szCs w:val="20"/>
                <w:lang w:eastAsia="en-GB"/>
              </w:rPr>
              <w:t xml:space="preserve"> </w:t>
            </w:r>
            <w:r w:rsidRPr="00F46450">
              <w:rPr>
                <w:rFonts w:ascii="Calibri Light" w:eastAsia="Times New Roman" w:hAnsi="Calibri Light" w:cs="Calibri Light"/>
                <w:color w:val="000000"/>
                <w:sz w:val="20"/>
                <w:szCs w:val="20"/>
                <w:lang w:eastAsia="en-GB"/>
              </w:rPr>
              <w:t>а коришћене технологије ОИЕ ће довести до повећања удела ОИЕ у грејању и хлађењу)</w:t>
            </w:r>
          </w:p>
          <w:p w14:paraId="64340146" w14:textId="66BE4887" w:rsidR="00854ADA" w:rsidRPr="00FF386D" w:rsidRDefault="00F46450" w:rsidP="00F46450">
            <w:pPr>
              <w:numPr>
                <w:ilvl w:val="0"/>
                <w:numId w:val="160"/>
              </w:numPr>
              <w:spacing w:after="0" w:line="240" w:lineRule="auto"/>
              <w:contextualSpacing/>
              <w:rPr>
                <w:rFonts w:ascii="Calibri Light" w:eastAsia="Times New Roman" w:hAnsi="Calibri Light" w:cs="Calibri Light"/>
                <w:color w:val="000000"/>
                <w:sz w:val="20"/>
                <w:szCs w:val="20"/>
                <w:lang w:eastAsia="en-GB"/>
              </w:rPr>
            </w:pPr>
            <w:r w:rsidRPr="00F46450">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854ADA" w:rsidRPr="00FF386D" w14:paraId="42035BAE" w14:textId="77777777" w:rsidTr="0057310C">
        <w:trPr>
          <w:trHeight w:val="450"/>
        </w:trPr>
        <w:tc>
          <w:tcPr>
            <w:tcW w:w="3288"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3D82E4E8" w14:textId="2E76C25B"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70"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61946E5F" w14:textId="2CD6B686" w:rsidR="00854ADA" w:rsidRPr="000A2AFE" w:rsidRDefault="00854ADA" w:rsidP="00314B47">
            <w:pPr>
              <w:pStyle w:val="ListParagraph"/>
              <w:numPr>
                <w:ilvl w:val="0"/>
                <w:numId w:val="160"/>
              </w:num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314B47" w:rsidRPr="000A2AFE">
              <w:rPr>
                <w:rFonts w:ascii="Calibri Light" w:hAnsi="Calibri Light"/>
                <w:color w:val="000000"/>
                <w:sz w:val="20"/>
              </w:rPr>
              <w:t xml:space="preserve"> (</w:t>
            </w:r>
            <w:r w:rsidR="00314B47" w:rsidRPr="00FF386D">
              <w:rPr>
                <w:rFonts w:ascii="Calibri Light" w:hAnsi="Calibri Light"/>
                <w:color w:val="000000"/>
                <w:sz w:val="20"/>
              </w:rPr>
              <w:t>ЕУ</w:t>
            </w:r>
            <w:r w:rsidR="00314B47" w:rsidRPr="000A2AFE">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2012/27</w:t>
            </w:r>
          </w:p>
          <w:p w14:paraId="165B2767" w14:textId="11918170" w:rsidR="00854ADA" w:rsidRPr="00FF386D" w:rsidRDefault="00854ADA" w:rsidP="00854ADA">
            <w:pPr>
              <w:numPr>
                <w:ilvl w:val="0"/>
                <w:numId w:val="16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314B47"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2018/2002</w:t>
            </w:r>
          </w:p>
        </w:tc>
      </w:tr>
      <w:tr w:rsidR="00854ADA" w:rsidRPr="00FF386D" w14:paraId="03B14E63" w14:textId="77777777" w:rsidTr="0057310C">
        <w:trPr>
          <w:trHeight w:val="450"/>
        </w:trPr>
        <w:tc>
          <w:tcPr>
            <w:tcW w:w="3288" w:type="dxa"/>
            <w:vMerge/>
            <w:tcBorders>
              <w:top w:val="nil"/>
              <w:left w:val="single" w:sz="8" w:space="0" w:color="auto"/>
              <w:bottom w:val="single" w:sz="8" w:space="0" w:color="000000"/>
              <w:right w:val="single" w:sz="8" w:space="0" w:color="auto"/>
            </w:tcBorders>
            <w:vAlign w:val="center"/>
            <w:hideMark/>
          </w:tcPr>
          <w:p w14:paraId="15E1041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70" w:type="dxa"/>
            <w:gridSpan w:val="3"/>
            <w:vMerge/>
            <w:tcBorders>
              <w:top w:val="single" w:sz="8" w:space="0" w:color="auto"/>
              <w:left w:val="single" w:sz="8" w:space="0" w:color="auto"/>
              <w:bottom w:val="single" w:sz="8" w:space="0" w:color="000000"/>
              <w:right w:val="single" w:sz="8" w:space="0" w:color="000000"/>
            </w:tcBorders>
            <w:vAlign w:val="center"/>
            <w:hideMark/>
          </w:tcPr>
          <w:p w14:paraId="7465E28E" w14:textId="77777777" w:rsidR="00854ADA" w:rsidRPr="00FF386D" w:rsidRDefault="00854ADA" w:rsidP="00854ADA">
            <w:pPr>
              <w:numPr>
                <w:ilvl w:val="0"/>
                <w:numId w:val="160"/>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3852D008" w14:textId="77777777" w:rsidTr="0057310C">
        <w:trPr>
          <w:trHeight w:val="450"/>
        </w:trPr>
        <w:tc>
          <w:tcPr>
            <w:tcW w:w="3288" w:type="dxa"/>
            <w:vMerge/>
            <w:tcBorders>
              <w:top w:val="nil"/>
              <w:left w:val="single" w:sz="8" w:space="0" w:color="auto"/>
              <w:bottom w:val="single" w:sz="8" w:space="0" w:color="000000"/>
              <w:right w:val="single" w:sz="8" w:space="0" w:color="auto"/>
            </w:tcBorders>
            <w:vAlign w:val="center"/>
            <w:hideMark/>
          </w:tcPr>
          <w:p w14:paraId="4418D58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70" w:type="dxa"/>
            <w:gridSpan w:val="3"/>
            <w:vMerge/>
            <w:tcBorders>
              <w:top w:val="single" w:sz="8" w:space="0" w:color="auto"/>
              <w:left w:val="single" w:sz="8" w:space="0" w:color="auto"/>
              <w:bottom w:val="single" w:sz="8" w:space="0" w:color="000000"/>
              <w:right w:val="single" w:sz="8" w:space="0" w:color="000000"/>
            </w:tcBorders>
            <w:vAlign w:val="center"/>
            <w:hideMark/>
          </w:tcPr>
          <w:p w14:paraId="07C554CC" w14:textId="77777777" w:rsidR="00854ADA" w:rsidRPr="00FF386D" w:rsidRDefault="00854ADA" w:rsidP="00854ADA">
            <w:pPr>
              <w:numPr>
                <w:ilvl w:val="0"/>
                <w:numId w:val="160"/>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32CE95E5" w14:textId="77777777" w:rsidTr="0057310C">
        <w:trPr>
          <w:trHeight w:val="629"/>
        </w:trPr>
        <w:tc>
          <w:tcPr>
            <w:tcW w:w="3288" w:type="dxa"/>
            <w:tcBorders>
              <w:top w:val="nil"/>
              <w:left w:val="single" w:sz="8" w:space="0" w:color="auto"/>
              <w:bottom w:val="single" w:sz="8" w:space="0" w:color="auto"/>
              <w:right w:val="single" w:sz="8" w:space="0" w:color="auto"/>
            </w:tcBorders>
            <w:shd w:val="clear" w:color="000000" w:fill="244062"/>
            <w:vAlign w:val="center"/>
            <w:hideMark/>
          </w:tcPr>
          <w:p w14:paraId="5C03860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70" w:type="dxa"/>
            <w:gridSpan w:val="3"/>
            <w:tcBorders>
              <w:top w:val="single" w:sz="8" w:space="0" w:color="auto"/>
              <w:left w:val="nil"/>
              <w:bottom w:val="single" w:sz="8" w:space="0" w:color="auto"/>
              <w:right w:val="single" w:sz="8" w:space="0" w:color="000000"/>
            </w:tcBorders>
            <w:shd w:val="clear" w:color="auto" w:fill="auto"/>
            <w:vAlign w:val="center"/>
            <w:hideMark/>
          </w:tcPr>
          <w:p w14:paraId="0E3A243F" w14:textId="77777777" w:rsidR="00854ADA" w:rsidRPr="00FF386D" w:rsidRDefault="00854ADA" w:rsidP="00854ADA">
            <w:pPr>
              <w:numPr>
                <w:ilvl w:val="0"/>
                <w:numId w:val="160"/>
              </w:numPr>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енергетској ефикасности и рационалној употреби енергије</w:t>
            </w:r>
          </w:p>
          <w:p w14:paraId="678D4CF7" w14:textId="77777777" w:rsidR="00854ADA" w:rsidRPr="00FF386D" w:rsidRDefault="00854ADA" w:rsidP="00854ADA">
            <w:pPr>
              <w:numPr>
                <w:ilvl w:val="0"/>
                <w:numId w:val="16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4. НАПЕЕ</w:t>
            </w:r>
          </w:p>
        </w:tc>
      </w:tr>
      <w:tr w:rsidR="00854ADA" w:rsidRPr="00FF386D" w14:paraId="0D34181A" w14:textId="77777777" w:rsidTr="0057310C">
        <w:trPr>
          <w:trHeight w:val="315"/>
        </w:trPr>
        <w:tc>
          <w:tcPr>
            <w:tcW w:w="3288" w:type="dxa"/>
            <w:tcBorders>
              <w:top w:val="nil"/>
              <w:left w:val="single" w:sz="8" w:space="0" w:color="auto"/>
              <w:bottom w:val="single" w:sz="8" w:space="0" w:color="auto"/>
              <w:right w:val="single" w:sz="8" w:space="0" w:color="auto"/>
            </w:tcBorders>
            <w:shd w:val="clear" w:color="000000" w:fill="244062"/>
            <w:vAlign w:val="center"/>
            <w:hideMark/>
          </w:tcPr>
          <w:p w14:paraId="3A5936D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70" w:type="dxa"/>
            <w:gridSpan w:val="3"/>
            <w:tcBorders>
              <w:top w:val="single" w:sz="8" w:space="0" w:color="auto"/>
              <w:left w:val="nil"/>
              <w:bottom w:val="single" w:sz="8" w:space="0" w:color="auto"/>
              <w:right w:val="single" w:sz="8" w:space="0" w:color="000000"/>
            </w:tcBorders>
            <w:shd w:val="clear" w:color="auto" w:fill="auto"/>
            <w:vAlign w:val="center"/>
            <w:hideMark/>
          </w:tcPr>
          <w:p w14:paraId="0B99252E" w14:textId="23463285" w:rsidR="00854ADA" w:rsidRPr="00FF386D" w:rsidRDefault="00314B47"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35 милиона евра</w:t>
            </w:r>
          </w:p>
        </w:tc>
      </w:tr>
      <w:tr w:rsidR="00854ADA" w:rsidRPr="00FF386D" w14:paraId="224141E4" w14:textId="77777777" w:rsidTr="0057310C">
        <w:trPr>
          <w:trHeight w:val="315"/>
        </w:trPr>
        <w:tc>
          <w:tcPr>
            <w:tcW w:w="3288" w:type="dxa"/>
            <w:tcBorders>
              <w:top w:val="nil"/>
              <w:left w:val="single" w:sz="8" w:space="0" w:color="auto"/>
              <w:bottom w:val="single" w:sz="8" w:space="0" w:color="auto"/>
              <w:right w:val="single" w:sz="8" w:space="0" w:color="auto"/>
            </w:tcBorders>
            <w:shd w:val="clear" w:color="000000" w:fill="244062"/>
            <w:vAlign w:val="center"/>
            <w:hideMark/>
          </w:tcPr>
          <w:p w14:paraId="228D4E6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70" w:type="dxa"/>
            <w:gridSpan w:val="3"/>
            <w:tcBorders>
              <w:top w:val="single" w:sz="8" w:space="0" w:color="auto"/>
              <w:left w:val="nil"/>
              <w:bottom w:val="single" w:sz="8" w:space="0" w:color="auto"/>
              <w:right w:val="single" w:sz="8" w:space="0" w:color="000000"/>
            </w:tcBorders>
            <w:shd w:val="clear" w:color="auto" w:fill="auto"/>
            <w:vAlign w:val="center"/>
            <w:hideMark/>
          </w:tcPr>
          <w:p w14:paraId="220483CE" w14:textId="34117928" w:rsidR="00854ADA" w:rsidRPr="00FF386D" w:rsidRDefault="00314B47"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буџетска и сопствена средства</w:t>
            </w:r>
          </w:p>
        </w:tc>
      </w:tr>
    </w:tbl>
    <w:p w14:paraId="3C898951"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08"/>
        <w:gridCol w:w="1007"/>
        <w:gridCol w:w="942"/>
        <w:gridCol w:w="4201"/>
      </w:tblGrid>
      <w:tr w:rsidR="00854ADA" w:rsidRPr="00FF386D" w14:paraId="5EEA2397" w14:textId="77777777" w:rsidTr="0057310C">
        <w:trPr>
          <w:trHeight w:val="780"/>
        </w:trPr>
        <w:tc>
          <w:tcPr>
            <w:tcW w:w="3308"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0365B8D4"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70704CAB"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МП_ЕЕ35</w:t>
            </w:r>
          </w:p>
        </w:tc>
        <w:tc>
          <w:tcPr>
            <w:tcW w:w="942" w:type="dxa"/>
            <w:tcBorders>
              <w:top w:val="single" w:sz="8" w:space="0" w:color="auto"/>
              <w:left w:val="nil"/>
              <w:bottom w:val="single" w:sz="8" w:space="0" w:color="auto"/>
              <w:right w:val="single" w:sz="8" w:space="0" w:color="auto"/>
            </w:tcBorders>
            <w:shd w:val="clear" w:color="000000" w:fill="244062"/>
            <w:vAlign w:val="center"/>
            <w:hideMark/>
          </w:tcPr>
          <w:p w14:paraId="1F3A2A0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01" w:type="dxa"/>
            <w:tcBorders>
              <w:top w:val="single" w:sz="8" w:space="0" w:color="auto"/>
              <w:left w:val="nil"/>
              <w:bottom w:val="single" w:sz="8" w:space="0" w:color="auto"/>
              <w:right w:val="single" w:sz="8" w:space="0" w:color="auto"/>
            </w:tcBorders>
            <w:shd w:val="clear" w:color="auto" w:fill="E7E6E6" w:themeFill="background2"/>
            <w:vAlign w:val="center"/>
            <w:hideMark/>
          </w:tcPr>
          <w:p w14:paraId="156BAD75" w14:textId="49D1A10C"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Унапређење и додатни развој шем</w:t>
            </w:r>
            <w:r w:rsidR="00314B47" w:rsidRPr="00FF386D">
              <w:rPr>
                <w:rFonts w:ascii="Calibri Light" w:hAnsi="Calibri Light"/>
                <w:b/>
                <w:sz w:val="20"/>
              </w:rPr>
              <w:t>е</w:t>
            </w:r>
            <w:r w:rsidRPr="00FF386D">
              <w:rPr>
                <w:rFonts w:ascii="Calibri Light" w:hAnsi="Calibri Light"/>
                <w:b/>
                <w:sz w:val="20"/>
              </w:rPr>
              <w:t xml:space="preserve"> за квалификацију, акредитацију и сертификацију стручњака у области енергетске ефикасности</w:t>
            </w:r>
          </w:p>
        </w:tc>
      </w:tr>
      <w:tr w:rsidR="00854ADA" w:rsidRPr="00FF386D" w14:paraId="7D447991" w14:textId="77777777" w:rsidTr="0057310C">
        <w:trPr>
          <w:trHeight w:val="385"/>
        </w:trPr>
        <w:tc>
          <w:tcPr>
            <w:tcW w:w="3308" w:type="dxa"/>
            <w:tcBorders>
              <w:top w:val="nil"/>
              <w:left w:val="single" w:sz="8" w:space="0" w:color="auto"/>
              <w:bottom w:val="single" w:sz="8" w:space="0" w:color="auto"/>
              <w:right w:val="nil"/>
            </w:tcBorders>
            <w:shd w:val="clear" w:color="000000" w:fill="244062"/>
            <w:vAlign w:val="center"/>
            <w:hideMark/>
          </w:tcPr>
          <w:p w14:paraId="576439A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3B03FDA1" w14:textId="64A88F49" w:rsidR="00854ADA" w:rsidRPr="000A2AFE" w:rsidRDefault="00314B47" w:rsidP="00B307E5">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cs="Calibri Light"/>
                <w:sz w:val="20"/>
              </w:rPr>
              <w:t>Примена</w:t>
            </w:r>
            <w:r w:rsidR="00854ADA" w:rsidRPr="00FF386D">
              <w:rPr>
                <w:rFonts w:ascii="Calibri Light" w:hAnsi="Calibri Light" w:cs="Calibri Light"/>
                <w:sz w:val="20"/>
              </w:rPr>
              <w:t xml:space="preserve"> чланова Директиве </w:t>
            </w:r>
            <w:r w:rsidRPr="00FF386D">
              <w:rPr>
                <w:rFonts w:ascii="Calibri Light" w:hAnsi="Calibri Light" w:cs="Calibri Light"/>
                <w:sz w:val="20"/>
              </w:rPr>
              <w:t xml:space="preserve">(ЕУ) </w:t>
            </w:r>
            <w:r w:rsidR="00854ADA" w:rsidRPr="00FF386D">
              <w:rPr>
                <w:rFonts w:ascii="Calibri Light" w:hAnsi="Calibri Light" w:cs="Calibri Light"/>
                <w:sz w:val="20"/>
              </w:rPr>
              <w:t xml:space="preserve">2012/27, која је измењена и допуњена Директивом </w:t>
            </w:r>
            <w:r w:rsidRPr="00FF386D">
              <w:rPr>
                <w:rFonts w:ascii="Calibri Light" w:hAnsi="Calibri Light" w:cs="Calibri Light"/>
                <w:sz w:val="20"/>
              </w:rPr>
              <w:t xml:space="preserve">(ЕУ) </w:t>
            </w:r>
            <w:r w:rsidR="00854ADA" w:rsidRPr="00FF386D">
              <w:rPr>
                <w:rFonts w:ascii="Calibri Light" w:hAnsi="Calibri Light" w:cs="Calibri Light"/>
                <w:sz w:val="20"/>
              </w:rPr>
              <w:t>2018/20</w:t>
            </w:r>
            <w:r w:rsidRPr="00FF386D">
              <w:rPr>
                <w:rFonts w:ascii="Calibri Light" w:hAnsi="Calibri Light" w:cs="Calibri Light"/>
                <w:sz w:val="20"/>
              </w:rPr>
              <w:t>02, и то</w:t>
            </w:r>
            <w:r w:rsidR="00854ADA" w:rsidRPr="000A2AFE">
              <w:rPr>
                <w:rFonts w:ascii="Calibri Light" w:eastAsia="Times New Roman" w:hAnsi="Calibri Light" w:cs="Calibri Light"/>
                <w:color w:val="000000"/>
                <w:sz w:val="20"/>
                <w:szCs w:val="20"/>
                <w:lang w:eastAsia="en-GB"/>
              </w:rPr>
              <w:t>:</w:t>
            </w:r>
          </w:p>
          <w:p w14:paraId="01E48C1F" w14:textId="77777777" w:rsidR="00854ADA" w:rsidRDefault="00854ADA" w:rsidP="00B307E5">
            <w:pPr>
              <w:numPr>
                <w:ilvl w:val="0"/>
                <w:numId w:val="161"/>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B307E5"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3</w:t>
            </w:r>
          </w:p>
          <w:p w14:paraId="2325D40B" w14:textId="61DAD483" w:rsidR="00886931" w:rsidRPr="00FF386D" w:rsidRDefault="00886931" w:rsidP="00B307E5">
            <w:pPr>
              <w:numPr>
                <w:ilvl w:val="0"/>
                <w:numId w:val="161"/>
              </w:numPr>
              <w:spacing w:after="0" w:line="240" w:lineRule="auto"/>
              <w:contextualSpacing/>
              <w:rPr>
                <w:rFonts w:ascii="Calibri Light" w:eastAsia="Times New Roman" w:hAnsi="Calibri Light" w:cs="Calibri Light"/>
                <w:color w:val="000000"/>
                <w:sz w:val="20"/>
                <w:szCs w:val="20"/>
                <w:lang w:eastAsia="en-GB"/>
              </w:rPr>
            </w:pPr>
            <w:r w:rsidRPr="00886931">
              <w:rPr>
                <w:rFonts w:ascii="Calibri Light" w:eastAsia="Times New Roman" w:hAnsi="Calibri Light" w:cs="Calibri Light"/>
                <w:color w:val="000000"/>
                <w:sz w:val="20"/>
                <w:szCs w:val="20"/>
                <w:lang w:eastAsia="en-GB"/>
              </w:rPr>
              <w:t>Члан 16</w:t>
            </w:r>
          </w:p>
        </w:tc>
      </w:tr>
      <w:tr w:rsidR="00854ADA" w:rsidRPr="00FF386D" w14:paraId="3D10F2DF"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46F8AC2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4CF062F3" w14:textId="24D87EE2" w:rsidR="00854ADA" w:rsidRPr="00FF386D" w:rsidRDefault="00854ADA" w:rsidP="00B307E5">
            <w:pPr>
              <w:spacing w:after="0" w:line="240" w:lineRule="auto"/>
              <w:rPr>
                <w:rFonts w:ascii="Calibri Light" w:eastAsia="Times New Roman" w:hAnsi="Calibri Light" w:cs="Calibri Light"/>
                <w:color w:val="000000"/>
                <w:lang w:eastAsia="en-GB"/>
              </w:rPr>
            </w:pPr>
            <w:r w:rsidRPr="00FF386D">
              <w:rPr>
                <w:rFonts w:ascii="Calibri Light" w:eastAsia="Times New Roman" w:hAnsi="Calibri Light" w:cs="Calibri Light"/>
                <w:color w:val="000000"/>
                <w:sz w:val="20"/>
                <w:szCs w:val="20"/>
                <w:lang w:eastAsia="en-GB"/>
              </w:rPr>
              <w:t xml:space="preserve">Допринос </w:t>
            </w:r>
            <w:r w:rsidR="00886931" w:rsidRPr="00886931">
              <w:rPr>
                <w:rFonts w:ascii="Calibri Light" w:eastAsia="Times New Roman" w:hAnsi="Calibri Light" w:cs="Calibri Light"/>
                <w:color w:val="000000"/>
                <w:sz w:val="20"/>
                <w:szCs w:val="20"/>
                <w:lang w:eastAsia="en-GB"/>
              </w:rPr>
              <w:t>постизању очекиваних нивоa финалне потрошње енергије</w:t>
            </w:r>
          </w:p>
        </w:tc>
      </w:tr>
      <w:tr w:rsidR="00854ADA" w:rsidRPr="00FF386D" w14:paraId="4155CA5A" w14:textId="77777777" w:rsidTr="0057310C">
        <w:trPr>
          <w:trHeight w:val="1467"/>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4E4232B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2DE53DD4" w14:textId="77777777" w:rsidR="00854ADA" w:rsidRDefault="00854ADA" w:rsidP="004E2710">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cs="Calibri Light"/>
                <w:color w:val="000000"/>
              </w:rPr>
              <w:t xml:space="preserve">МП_ЕЕ35 </w:t>
            </w:r>
            <w:r w:rsidRPr="00FF386D">
              <w:rPr>
                <w:rFonts w:ascii="Calibri Light" w:hAnsi="Calibri Light" w:cs="Calibri Light"/>
                <w:color w:val="000000"/>
                <w:sz w:val="20"/>
                <w:szCs w:val="20"/>
              </w:rPr>
              <w:t xml:space="preserve">ће обухватити унапређење постојећих и по потреби успостављање нових шема квалификација, акредитације </w:t>
            </w:r>
            <w:r w:rsidR="00B307E5" w:rsidRPr="00FF386D">
              <w:rPr>
                <w:rFonts w:ascii="Calibri Light" w:hAnsi="Calibri Light" w:cs="Calibri Light"/>
                <w:color w:val="000000"/>
                <w:sz w:val="20"/>
                <w:szCs w:val="20"/>
              </w:rPr>
              <w:t>или</w:t>
            </w:r>
            <w:r w:rsidRPr="00FF386D">
              <w:rPr>
                <w:rFonts w:ascii="Calibri Light" w:hAnsi="Calibri Light" w:cs="Calibri Light"/>
                <w:color w:val="000000"/>
                <w:sz w:val="20"/>
                <w:szCs w:val="20"/>
              </w:rPr>
              <w:t xml:space="preserve"> сертификације за све стручњаке у области енергетске ефикасности (</w:t>
            </w:r>
            <w:r w:rsidR="00886931" w:rsidRPr="00886931">
              <w:rPr>
                <w:rFonts w:ascii="Calibri Light" w:hAnsi="Calibri Light" w:cs="Calibri Light"/>
                <w:color w:val="000000"/>
                <w:sz w:val="20"/>
                <w:szCs w:val="20"/>
              </w:rPr>
              <w:t xml:space="preserve">нпр. </w:t>
            </w:r>
            <w:r w:rsidRPr="00FF386D">
              <w:rPr>
                <w:rFonts w:ascii="Calibri Light" w:hAnsi="Calibri Light" w:cs="Calibri Light"/>
                <w:color w:val="000000"/>
                <w:sz w:val="20"/>
                <w:szCs w:val="20"/>
              </w:rPr>
              <w:t>пружаоце енергетских услуга, енергетске саветнике, енергетске менаџере</w:t>
            </w:r>
            <w:r w:rsidR="00886931" w:rsidRPr="00886931">
              <w:rPr>
                <w:rFonts w:ascii="Calibri Light" w:hAnsi="Calibri Light" w:cs="Calibri Light"/>
                <w:color w:val="000000"/>
                <w:sz w:val="20"/>
                <w:szCs w:val="20"/>
              </w:rPr>
              <w:t>, одговорне инжењере за енергетску ефикасност у зградама</w:t>
            </w:r>
            <w:r w:rsidRPr="00FF386D">
              <w:rPr>
                <w:rFonts w:ascii="Calibri Light" w:hAnsi="Calibri Light" w:cs="Calibri Light"/>
                <w:color w:val="000000"/>
                <w:sz w:val="20"/>
                <w:szCs w:val="20"/>
              </w:rPr>
              <w:t xml:space="preserve"> и инсталатере енергетских елемената зграда који се односе на унапређење енергетских својстава зграда, лица која израђују пројектно техничку документацију). У оквиру </w:t>
            </w:r>
            <w:r w:rsidR="00B307E5" w:rsidRPr="00FF386D">
              <w:rPr>
                <w:rFonts w:ascii="Calibri Light" w:hAnsi="Calibri Light" w:cs="Calibri Light"/>
                <w:color w:val="000000"/>
                <w:sz w:val="20"/>
                <w:szCs w:val="20"/>
              </w:rPr>
              <w:t>ове мере б</w:t>
            </w:r>
            <w:r w:rsidRPr="00FF386D">
              <w:rPr>
                <w:rFonts w:ascii="Calibri Light" w:hAnsi="Calibri Light" w:cs="Calibri Light"/>
                <w:sz w:val="20"/>
              </w:rPr>
              <w:t>иће организовани специјализовани програми обуке, развијени алати и пружена техничка подршка</w:t>
            </w:r>
            <w:r w:rsidRPr="000A2AFE">
              <w:rPr>
                <w:rFonts w:ascii="Calibri Light" w:eastAsia="Times New Roman" w:hAnsi="Calibri Light" w:cs="Calibri Light"/>
                <w:color w:val="000000"/>
                <w:sz w:val="20"/>
                <w:szCs w:val="20"/>
                <w:lang w:eastAsia="en-GB"/>
              </w:rPr>
              <w:t>.</w:t>
            </w:r>
          </w:p>
          <w:p w14:paraId="5CA1AC24" w14:textId="66142535" w:rsidR="00886931" w:rsidRPr="00FF386D" w:rsidRDefault="00886931" w:rsidP="004E2710">
            <w:pPr>
              <w:spacing w:after="0" w:line="240" w:lineRule="auto"/>
              <w:jc w:val="both"/>
              <w:rPr>
                <w:rFonts w:ascii="Calibri Light" w:eastAsia="Times New Roman" w:hAnsi="Calibri Light" w:cs="Calibri Light"/>
                <w:color w:val="000000"/>
                <w:sz w:val="20"/>
                <w:szCs w:val="20"/>
                <w:lang w:eastAsia="en-GB"/>
              </w:rPr>
            </w:pPr>
            <w:r w:rsidRPr="00886931">
              <w:rPr>
                <w:rFonts w:ascii="Calibri Light" w:eastAsia="Times New Roman" w:hAnsi="Calibri Light" w:cs="Calibri Light"/>
                <w:color w:val="000000"/>
                <w:sz w:val="20"/>
                <w:szCs w:val="20"/>
                <w:lang w:eastAsia="en-GB"/>
              </w:rPr>
              <w:t>На крају, биће размотрено проширење ове мере како би обухватила акредитација и сертификација енергетски ефикасне опреме и технологија, произведених у домаћим МСП, с циљем да се избегну високи трошкови и повећа перципирани ниво квалитета за крајње кориснике.</w:t>
            </w:r>
          </w:p>
        </w:tc>
      </w:tr>
      <w:tr w:rsidR="00854ADA" w:rsidRPr="00FF386D" w14:paraId="51FB03F6"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1340C06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Временски оквир имплементације</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362203DD" w14:textId="2088770D"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314B47" w:rsidRPr="00FF386D">
              <w:rPr>
                <w:rFonts w:ascii="Calibri Light" w:hAnsi="Calibri Light"/>
                <w:sz w:val="20"/>
              </w:rPr>
              <w:t>5</w:t>
            </w:r>
            <w:r w:rsidRPr="00FF386D">
              <w:rPr>
                <w:rFonts w:ascii="Calibri Light" w:hAnsi="Calibri Light"/>
                <w:sz w:val="20"/>
              </w:rPr>
              <w:t>-20</w:t>
            </w:r>
            <w:r w:rsidR="008613EE">
              <w:rPr>
                <w:rFonts w:ascii="Calibri Light" w:hAnsi="Calibri Light"/>
                <w:sz w:val="20"/>
              </w:rPr>
              <w:t>28</w:t>
            </w:r>
            <w:r w:rsidRPr="00FF386D">
              <w:rPr>
                <w:rFonts w:ascii="Calibri Light" w:hAnsi="Calibri Light"/>
                <w:sz w:val="20"/>
              </w:rPr>
              <w:t>.</w:t>
            </w:r>
          </w:p>
        </w:tc>
      </w:tr>
      <w:tr w:rsidR="00854ADA" w:rsidRPr="00FF386D" w14:paraId="1FDAD904"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25D3C39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48026B4A"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Реформа</w:t>
            </w:r>
          </w:p>
        </w:tc>
      </w:tr>
      <w:tr w:rsidR="00854ADA" w:rsidRPr="00FF386D" w14:paraId="622DAB5B"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29C42DD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661F8491" w14:textId="5E8D998B"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 xml:space="preserve">Сви сектори </w:t>
            </w:r>
            <w:r w:rsidR="004E2710" w:rsidRPr="00FF386D">
              <w:rPr>
                <w:rFonts w:ascii="Calibri Light" w:hAnsi="Calibri Light"/>
                <w:sz w:val="20"/>
              </w:rPr>
              <w:t>финалне</w:t>
            </w:r>
            <w:r w:rsidRPr="00FF386D">
              <w:rPr>
                <w:rFonts w:ascii="Calibri Light" w:hAnsi="Calibri Light"/>
                <w:sz w:val="20"/>
              </w:rPr>
              <w:t xml:space="preserve"> потрошње</w:t>
            </w:r>
          </w:p>
        </w:tc>
      </w:tr>
      <w:tr w:rsidR="00854ADA" w:rsidRPr="00FF386D" w14:paraId="6E75A4F5"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0D13A57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45C087AC" w14:textId="595A745C" w:rsidR="00854ADA" w:rsidRPr="00FF386D" w:rsidRDefault="00854ADA">
            <w:pPr>
              <w:numPr>
                <w:ilvl w:val="0"/>
                <w:numId w:val="24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Министарство </w:t>
            </w:r>
            <w:r w:rsidR="00C35C75" w:rsidRPr="00FF386D">
              <w:rPr>
                <w:rFonts w:ascii="Calibri Light" w:eastAsia="Times New Roman" w:hAnsi="Calibri Light" w:cs="Calibri Light"/>
                <w:color w:val="000000"/>
                <w:sz w:val="20"/>
                <w:szCs w:val="20"/>
                <w:lang w:eastAsia="en-GB"/>
              </w:rPr>
              <w:t>рударства</w:t>
            </w:r>
            <w:r w:rsidRPr="00FF386D">
              <w:rPr>
                <w:rFonts w:ascii="Calibri Light" w:eastAsia="Times New Roman" w:hAnsi="Calibri Light" w:cs="Calibri Light"/>
                <w:color w:val="000000"/>
                <w:sz w:val="20"/>
                <w:szCs w:val="20"/>
                <w:lang w:eastAsia="en-GB"/>
              </w:rPr>
              <w:t xml:space="preserve"> и енергетике</w:t>
            </w:r>
          </w:p>
          <w:p w14:paraId="0621B478" w14:textId="6CAD018B" w:rsidR="00854ADA" w:rsidRPr="00FF386D" w:rsidRDefault="00854ADA">
            <w:pPr>
              <w:numPr>
                <w:ilvl w:val="0"/>
                <w:numId w:val="24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грађевинарства</w:t>
            </w:r>
            <w:r w:rsidR="00314B47" w:rsidRPr="00FF386D">
              <w:rPr>
                <w:rFonts w:ascii="Calibri Light" w:eastAsia="Times New Roman" w:hAnsi="Calibri Light" w:cs="Calibri Light"/>
                <w:color w:val="000000"/>
                <w:sz w:val="20"/>
                <w:szCs w:val="20"/>
                <w:lang w:eastAsia="en-GB"/>
              </w:rPr>
              <w:t>, саобраћаја</w:t>
            </w:r>
            <w:r w:rsidRPr="00FF386D">
              <w:rPr>
                <w:rFonts w:ascii="Calibri Light" w:eastAsia="Times New Roman" w:hAnsi="Calibri Light" w:cs="Calibri Light"/>
                <w:color w:val="000000"/>
                <w:sz w:val="20"/>
                <w:szCs w:val="20"/>
                <w:lang w:eastAsia="en-GB"/>
              </w:rPr>
              <w:t xml:space="preserve"> и </w:t>
            </w:r>
            <w:r w:rsidR="00314B47" w:rsidRPr="00FF386D">
              <w:rPr>
                <w:rFonts w:ascii="Calibri Light" w:eastAsia="Times New Roman" w:hAnsi="Calibri Light" w:cs="Calibri Light"/>
                <w:color w:val="000000"/>
                <w:sz w:val="20"/>
                <w:szCs w:val="20"/>
                <w:lang w:eastAsia="en-GB"/>
              </w:rPr>
              <w:t>инфраструктуре</w:t>
            </w:r>
          </w:p>
          <w:p w14:paraId="40865E19" w14:textId="2E4BE41F" w:rsidR="00886931" w:rsidRDefault="00854ADA">
            <w:pPr>
              <w:numPr>
                <w:ilvl w:val="0"/>
                <w:numId w:val="24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Инжењерска комора</w:t>
            </w:r>
            <w:r w:rsidR="00C35C75" w:rsidRPr="00FF386D">
              <w:rPr>
                <w:rFonts w:ascii="Calibri Light" w:eastAsia="Times New Roman" w:hAnsi="Calibri Light" w:cs="Calibri Light"/>
                <w:color w:val="000000"/>
                <w:sz w:val="20"/>
                <w:szCs w:val="20"/>
                <w:lang w:eastAsia="en-GB"/>
              </w:rPr>
              <w:t xml:space="preserve"> Србије</w:t>
            </w:r>
          </w:p>
          <w:p w14:paraId="5615110C" w14:textId="307B4E28" w:rsidR="00854ADA" w:rsidRPr="000A2AFE" w:rsidRDefault="00886931" w:rsidP="000A2AFE">
            <w:pPr>
              <w:pStyle w:val="ListParagraph"/>
              <w:numPr>
                <w:ilvl w:val="0"/>
                <w:numId w:val="240"/>
              </w:numPr>
              <w:spacing w:after="0"/>
              <w:ind w:left="1077" w:hanging="357"/>
              <w:rPr>
                <w:rFonts w:ascii="Calibri Light" w:eastAsia="Times New Roman" w:hAnsi="Calibri Light" w:cs="Calibri Light"/>
                <w:color w:val="000000"/>
                <w:sz w:val="20"/>
                <w:szCs w:val="20"/>
                <w:lang w:eastAsia="en-GB"/>
              </w:rPr>
            </w:pPr>
            <w:r w:rsidRPr="00886931">
              <w:rPr>
                <w:rFonts w:ascii="Calibri Light" w:eastAsia="Times New Roman" w:hAnsi="Calibri Light" w:cs="Calibri Light"/>
                <w:color w:val="000000"/>
                <w:sz w:val="20"/>
                <w:szCs w:val="20"/>
                <w:lang w:eastAsia="en-GB"/>
              </w:rPr>
              <w:t>Надлежни факултети у Републици Србији</w:t>
            </w:r>
          </w:p>
          <w:p w14:paraId="013BCEB5" w14:textId="00FC2F97" w:rsidR="00854ADA" w:rsidRPr="00FF386D" w:rsidRDefault="00886931">
            <w:pPr>
              <w:numPr>
                <w:ilvl w:val="0"/>
                <w:numId w:val="240"/>
              </w:numPr>
              <w:spacing w:after="0" w:line="240" w:lineRule="auto"/>
              <w:contextualSpacing/>
              <w:rPr>
                <w:rFonts w:ascii="Calibri Light" w:eastAsia="Times New Roman" w:hAnsi="Calibri Light" w:cs="Calibri Light"/>
                <w:color w:val="000000"/>
                <w:sz w:val="20"/>
                <w:szCs w:val="20"/>
                <w:lang w:eastAsia="en-GB"/>
              </w:rPr>
            </w:pPr>
            <w:r w:rsidRPr="00886931">
              <w:rPr>
                <w:rFonts w:ascii="Calibri Light" w:eastAsia="Times New Roman" w:hAnsi="Calibri Light" w:cs="Calibri Light"/>
                <w:color w:val="000000"/>
                <w:sz w:val="20"/>
                <w:szCs w:val="20"/>
                <w:lang w:eastAsia="en-GB"/>
              </w:rPr>
              <w:t>Регионални центри енергетске ефикасности</w:t>
            </w:r>
          </w:p>
        </w:tc>
      </w:tr>
      <w:tr w:rsidR="00854ADA" w:rsidRPr="00FF386D" w14:paraId="70105226" w14:textId="77777777" w:rsidTr="0057310C">
        <w:trPr>
          <w:trHeight w:val="315"/>
        </w:trPr>
        <w:tc>
          <w:tcPr>
            <w:tcW w:w="3308" w:type="dxa"/>
            <w:tcBorders>
              <w:top w:val="nil"/>
              <w:left w:val="single" w:sz="8" w:space="0" w:color="auto"/>
              <w:bottom w:val="single" w:sz="8" w:space="0" w:color="auto"/>
              <w:right w:val="nil"/>
            </w:tcBorders>
            <w:shd w:val="clear" w:color="000000" w:fill="244062"/>
            <w:vAlign w:val="center"/>
            <w:hideMark/>
          </w:tcPr>
          <w:p w14:paraId="3246357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4A7E730B" w14:textId="06385BE4" w:rsidR="00854ADA" w:rsidRPr="000A2AFE" w:rsidRDefault="008613EE" w:rsidP="000A2AFE">
            <w:pPr>
              <w:pStyle w:val="ListParagraph"/>
              <w:numPr>
                <w:ilvl w:val="0"/>
                <w:numId w:val="363"/>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1A3DFC45" w14:textId="77777777" w:rsidTr="0057310C">
        <w:trPr>
          <w:trHeight w:val="315"/>
        </w:trPr>
        <w:tc>
          <w:tcPr>
            <w:tcW w:w="3308" w:type="dxa"/>
            <w:tcBorders>
              <w:top w:val="nil"/>
              <w:left w:val="single" w:sz="8" w:space="0" w:color="auto"/>
              <w:bottom w:val="single" w:sz="8" w:space="0" w:color="auto"/>
              <w:right w:val="nil"/>
            </w:tcBorders>
            <w:shd w:val="clear" w:color="000000" w:fill="244062"/>
            <w:vAlign w:val="center"/>
            <w:hideMark/>
          </w:tcPr>
          <w:p w14:paraId="3D2C5DE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6A1A9E76" w14:textId="245FA496" w:rsidR="00854ADA" w:rsidRPr="000A2AFE" w:rsidRDefault="00854ADA" w:rsidP="000A2AFE">
            <w:pPr>
              <w:pStyle w:val="ListParagraph"/>
              <w:numPr>
                <w:ilvl w:val="0"/>
                <w:numId w:val="362"/>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Број обухваћених стручњака у области енергетске ефикасности</w:t>
            </w:r>
            <w:r w:rsidR="004E2710" w:rsidRPr="000A2AFE">
              <w:rPr>
                <w:rFonts w:ascii="Calibri Light" w:eastAsia="Times New Roman" w:hAnsi="Calibri Light" w:cs="Calibri Light"/>
                <w:color w:val="000000"/>
                <w:sz w:val="20"/>
                <w:szCs w:val="20"/>
                <w:lang w:eastAsia="en-GB"/>
              </w:rPr>
              <w:t xml:space="preserve"> </w:t>
            </w:r>
            <w:r w:rsidR="00E54CD8" w:rsidRPr="000A2AFE">
              <w:rPr>
                <w:rFonts w:ascii="Calibri Light" w:eastAsia="Times New Roman" w:hAnsi="Calibri Light" w:cs="Calibri Light"/>
                <w:color w:val="000000"/>
                <w:sz w:val="20"/>
                <w:szCs w:val="20"/>
                <w:lang w:eastAsia="en-GB"/>
              </w:rPr>
              <w:t xml:space="preserve">са </w:t>
            </w:r>
            <w:r w:rsidR="004E2710" w:rsidRPr="000A2AFE">
              <w:rPr>
                <w:rFonts w:ascii="Calibri Light" w:eastAsia="Times New Roman" w:hAnsi="Calibri Light" w:cs="Calibri Light"/>
                <w:color w:val="000000"/>
                <w:sz w:val="20"/>
                <w:szCs w:val="20"/>
                <w:lang w:eastAsia="en-GB"/>
              </w:rPr>
              <w:t>унапређени</w:t>
            </w:r>
            <w:r w:rsidR="00E54CD8" w:rsidRPr="000A2AFE">
              <w:rPr>
                <w:rFonts w:ascii="Calibri Light" w:eastAsia="Times New Roman" w:hAnsi="Calibri Light" w:cs="Calibri Light"/>
                <w:color w:val="000000"/>
                <w:sz w:val="20"/>
                <w:szCs w:val="20"/>
                <w:lang w:eastAsia="en-GB"/>
              </w:rPr>
              <w:t xml:space="preserve">м нивоом </w:t>
            </w:r>
            <w:r w:rsidR="00AB7992" w:rsidRPr="000A2AFE">
              <w:rPr>
                <w:rFonts w:ascii="Calibri Light" w:eastAsia="Times New Roman" w:hAnsi="Calibri Light" w:cs="Calibri Light"/>
                <w:color w:val="000000"/>
                <w:sz w:val="20"/>
                <w:szCs w:val="20"/>
                <w:lang w:eastAsia="en-GB"/>
              </w:rPr>
              <w:t>компетенција</w:t>
            </w:r>
          </w:p>
        </w:tc>
      </w:tr>
      <w:tr w:rsidR="00854ADA" w:rsidRPr="00FF386D" w14:paraId="4C0401D6" w14:textId="77777777" w:rsidTr="0057310C">
        <w:trPr>
          <w:trHeight w:val="409"/>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5703B00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4F3B78F9" w14:textId="057226A8" w:rsidR="008613EE" w:rsidRPr="008613EE" w:rsidRDefault="008613EE" w:rsidP="008613EE">
            <w:pPr>
              <w:numPr>
                <w:ilvl w:val="0"/>
                <w:numId w:val="161"/>
              </w:numPr>
              <w:spacing w:after="0" w:line="240" w:lineRule="auto"/>
              <w:contextualSpacing/>
              <w:rPr>
                <w:rFonts w:ascii="Calibri Light" w:eastAsia="Times New Roman" w:hAnsi="Calibri Light" w:cs="Calibri Light"/>
                <w:color w:val="000000"/>
                <w:sz w:val="20"/>
                <w:szCs w:val="20"/>
                <w:lang w:eastAsia="en-GB"/>
              </w:rPr>
            </w:pPr>
            <w:r w:rsidRPr="008613EE">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8613EE">
              <w:rPr>
                <w:rFonts w:ascii="Calibri Light" w:eastAsia="Times New Roman" w:hAnsi="Calibri Light" w:cs="Calibri Light"/>
                <w:i/>
                <w:iCs/>
                <w:color w:val="000000"/>
                <w:sz w:val="20"/>
                <w:szCs w:val="20"/>
                <w:lang w:val="en-US" w:eastAsia="en-GB"/>
              </w:rPr>
              <w:t>GHG</w:t>
            </w:r>
            <w:r w:rsidRPr="008613EE">
              <w:rPr>
                <w:rFonts w:ascii="Calibri Light" w:eastAsia="Times New Roman" w:hAnsi="Calibri Light" w:cs="Calibri Light"/>
                <w:i/>
                <w:iCs/>
                <w:color w:val="000000"/>
                <w:sz w:val="20"/>
                <w:szCs w:val="20"/>
                <w:lang w:eastAsia="en-GB"/>
              </w:rPr>
              <w:t xml:space="preserve"> </w:t>
            </w:r>
            <w:r w:rsidRPr="008613EE">
              <w:rPr>
                <w:rFonts w:ascii="Calibri Light" w:eastAsia="Times New Roman" w:hAnsi="Calibri Light" w:cs="Calibri Light"/>
                <w:color w:val="000000"/>
                <w:sz w:val="20"/>
                <w:szCs w:val="20"/>
                <w:lang w:eastAsia="en-GB"/>
              </w:rPr>
              <w:t>а коришћене технологије ОИЕ ће довести до повећања удела ОИЕ у грејању и хлађењу)</w:t>
            </w:r>
          </w:p>
          <w:p w14:paraId="43847832" w14:textId="379CC91E" w:rsidR="00854ADA" w:rsidRPr="00FF386D" w:rsidRDefault="008613EE" w:rsidP="008613EE">
            <w:pPr>
              <w:numPr>
                <w:ilvl w:val="0"/>
                <w:numId w:val="161"/>
              </w:numPr>
              <w:spacing w:after="0" w:line="240" w:lineRule="auto"/>
              <w:contextualSpacing/>
              <w:rPr>
                <w:rFonts w:ascii="Calibri Light" w:eastAsia="Times New Roman" w:hAnsi="Calibri Light" w:cs="Calibri Light"/>
                <w:color w:val="000000"/>
                <w:sz w:val="20"/>
                <w:szCs w:val="20"/>
                <w:lang w:eastAsia="en-GB"/>
              </w:rPr>
            </w:pPr>
            <w:r w:rsidRPr="008613EE">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854ADA" w:rsidRPr="00FF386D" w14:paraId="3505ED1B" w14:textId="77777777" w:rsidTr="0057310C">
        <w:trPr>
          <w:trHeight w:val="450"/>
        </w:trPr>
        <w:tc>
          <w:tcPr>
            <w:tcW w:w="3308"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50C74941" w14:textId="456A2CDC"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50"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08522CA4" w14:textId="6C30E97F" w:rsidR="00854ADA" w:rsidRPr="000A2AFE" w:rsidRDefault="00854ADA" w:rsidP="00314B47">
            <w:pPr>
              <w:pStyle w:val="ListParagraph"/>
              <w:numPr>
                <w:ilvl w:val="0"/>
                <w:numId w:val="161"/>
              </w:num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314B47"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2012/27</w:t>
            </w:r>
          </w:p>
          <w:p w14:paraId="538743E1" w14:textId="78E40781" w:rsidR="00854ADA" w:rsidRPr="00FF386D" w:rsidRDefault="00854ADA" w:rsidP="00854ADA">
            <w:pPr>
              <w:numPr>
                <w:ilvl w:val="0"/>
                <w:numId w:val="161"/>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314B47"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2018/2002</w:t>
            </w:r>
          </w:p>
          <w:p w14:paraId="0743E057" w14:textId="5BBDBF71" w:rsidR="00854ADA" w:rsidRPr="00FF386D" w:rsidRDefault="00854ADA" w:rsidP="00854ADA">
            <w:pPr>
              <w:numPr>
                <w:ilvl w:val="0"/>
                <w:numId w:val="161"/>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Директива </w:t>
            </w:r>
            <w:r w:rsidR="00314B47" w:rsidRPr="000A2AFE">
              <w:rPr>
                <w:rFonts w:ascii="Calibri Light" w:eastAsia="Times New Roman" w:hAnsi="Calibri Light" w:cs="Calibri Light"/>
                <w:color w:val="000000"/>
                <w:sz w:val="20"/>
                <w:szCs w:val="20"/>
                <w:lang w:eastAsia="en-GB"/>
              </w:rPr>
              <w:t xml:space="preserve">(ЕУ) </w:t>
            </w:r>
            <w:r w:rsidRPr="000A2AFE">
              <w:rPr>
                <w:rFonts w:ascii="Calibri Light" w:eastAsia="Times New Roman" w:hAnsi="Calibri Light" w:cs="Calibri Light"/>
                <w:color w:val="000000"/>
                <w:sz w:val="20"/>
                <w:szCs w:val="20"/>
                <w:lang w:eastAsia="en-GB"/>
              </w:rPr>
              <w:t>2010/31</w:t>
            </w:r>
          </w:p>
          <w:p w14:paraId="520215AA" w14:textId="603BDB97" w:rsidR="00854ADA" w:rsidRPr="00FF386D" w:rsidRDefault="00854ADA" w:rsidP="00854ADA">
            <w:pPr>
              <w:numPr>
                <w:ilvl w:val="0"/>
                <w:numId w:val="161"/>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Директива </w:t>
            </w:r>
            <w:r w:rsidR="00314B47" w:rsidRPr="00FF386D">
              <w:rPr>
                <w:rFonts w:ascii="Calibri Light" w:eastAsia="Times New Roman" w:hAnsi="Calibri Light" w:cs="Calibri Light"/>
                <w:color w:val="000000"/>
                <w:sz w:val="20"/>
                <w:szCs w:val="20"/>
                <w:lang w:eastAsia="en-GB"/>
              </w:rPr>
              <w:t xml:space="preserve">(ЕУ) </w:t>
            </w:r>
            <w:r w:rsidRPr="00FF386D">
              <w:rPr>
                <w:rFonts w:ascii="Calibri Light" w:eastAsia="Times New Roman" w:hAnsi="Calibri Light" w:cs="Calibri Light"/>
                <w:color w:val="000000"/>
                <w:sz w:val="20"/>
                <w:szCs w:val="20"/>
                <w:lang w:eastAsia="en-GB"/>
              </w:rPr>
              <w:t>2018/844</w:t>
            </w:r>
          </w:p>
        </w:tc>
      </w:tr>
      <w:tr w:rsidR="00854ADA" w:rsidRPr="00FF386D" w14:paraId="02AE3651" w14:textId="77777777" w:rsidTr="0057310C">
        <w:trPr>
          <w:trHeight w:val="450"/>
        </w:trPr>
        <w:tc>
          <w:tcPr>
            <w:tcW w:w="3308" w:type="dxa"/>
            <w:vMerge/>
            <w:tcBorders>
              <w:top w:val="nil"/>
              <w:left w:val="single" w:sz="8" w:space="0" w:color="auto"/>
              <w:bottom w:val="single" w:sz="8" w:space="0" w:color="000000"/>
              <w:right w:val="single" w:sz="8" w:space="0" w:color="auto"/>
            </w:tcBorders>
            <w:vAlign w:val="center"/>
            <w:hideMark/>
          </w:tcPr>
          <w:p w14:paraId="3F65F03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0" w:type="dxa"/>
            <w:gridSpan w:val="3"/>
            <w:vMerge/>
            <w:tcBorders>
              <w:top w:val="single" w:sz="8" w:space="0" w:color="auto"/>
              <w:left w:val="single" w:sz="8" w:space="0" w:color="auto"/>
              <w:bottom w:val="single" w:sz="8" w:space="0" w:color="000000"/>
              <w:right w:val="single" w:sz="8" w:space="0" w:color="000000"/>
            </w:tcBorders>
            <w:vAlign w:val="center"/>
            <w:hideMark/>
          </w:tcPr>
          <w:p w14:paraId="44BC30F0"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p>
        </w:tc>
      </w:tr>
      <w:tr w:rsidR="00854ADA" w:rsidRPr="00FF386D" w14:paraId="1B8642D2" w14:textId="77777777" w:rsidTr="0057310C">
        <w:trPr>
          <w:trHeight w:val="450"/>
        </w:trPr>
        <w:tc>
          <w:tcPr>
            <w:tcW w:w="3308" w:type="dxa"/>
            <w:vMerge/>
            <w:tcBorders>
              <w:top w:val="nil"/>
              <w:left w:val="single" w:sz="8" w:space="0" w:color="auto"/>
              <w:bottom w:val="single" w:sz="8" w:space="0" w:color="000000"/>
              <w:right w:val="single" w:sz="8" w:space="0" w:color="auto"/>
            </w:tcBorders>
            <w:vAlign w:val="center"/>
            <w:hideMark/>
          </w:tcPr>
          <w:p w14:paraId="70666DB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0" w:type="dxa"/>
            <w:gridSpan w:val="3"/>
            <w:vMerge/>
            <w:tcBorders>
              <w:top w:val="single" w:sz="8" w:space="0" w:color="auto"/>
              <w:left w:val="single" w:sz="8" w:space="0" w:color="auto"/>
              <w:bottom w:val="single" w:sz="8" w:space="0" w:color="000000"/>
              <w:right w:val="single" w:sz="8" w:space="0" w:color="000000"/>
            </w:tcBorders>
            <w:vAlign w:val="center"/>
            <w:hideMark/>
          </w:tcPr>
          <w:p w14:paraId="248BA002"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p>
        </w:tc>
      </w:tr>
      <w:tr w:rsidR="00854ADA" w:rsidRPr="00FF386D" w14:paraId="17893A4C" w14:textId="77777777" w:rsidTr="0057310C">
        <w:trPr>
          <w:trHeight w:val="640"/>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08BE40D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6C524B30" w14:textId="06F3C653" w:rsidR="00854ADA" w:rsidRDefault="00314B47">
            <w:pPr>
              <w:pStyle w:val="ListParagraph"/>
              <w:numPr>
                <w:ilvl w:val="0"/>
                <w:numId w:val="291"/>
              </w:num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енергетској ефикасности и рационалној употреби енергије</w:t>
            </w:r>
          </w:p>
          <w:p w14:paraId="10A92AA4" w14:textId="52623712" w:rsidR="00B44FF3" w:rsidRPr="000A2AFE" w:rsidRDefault="00B44FF3" w:rsidP="000A2AFE">
            <w:pPr>
              <w:pStyle w:val="ListParagraph"/>
              <w:numPr>
                <w:ilvl w:val="0"/>
                <w:numId w:val="291"/>
              </w:numPr>
              <w:rPr>
                <w:rFonts w:ascii="Calibri Light" w:eastAsia="Times New Roman" w:hAnsi="Calibri Light" w:cs="Calibri Light"/>
                <w:color w:val="000000"/>
                <w:sz w:val="20"/>
                <w:szCs w:val="20"/>
                <w:lang w:eastAsia="en-GB"/>
              </w:rPr>
            </w:pPr>
            <w:r w:rsidRPr="00B44FF3">
              <w:rPr>
                <w:rFonts w:ascii="Calibri Light" w:eastAsia="Times New Roman" w:hAnsi="Calibri Light" w:cs="Calibri Light"/>
                <w:color w:val="000000"/>
                <w:sz w:val="20"/>
                <w:szCs w:val="20"/>
                <w:lang w:eastAsia="en-GB"/>
              </w:rPr>
              <w:t>Закон о планирању и изградњи</w:t>
            </w:r>
          </w:p>
          <w:p w14:paraId="05C95331" w14:textId="7E437DB9" w:rsidR="00314B47" w:rsidRPr="000A2AFE" w:rsidRDefault="00314B47" w:rsidP="00B44FF3">
            <w:pPr>
              <w:pStyle w:val="ListParagraph"/>
              <w:numPr>
                <w:ilvl w:val="0"/>
                <w:numId w:val="291"/>
              </w:num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коришћењу обновљивих извора енергије</w:t>
            </w:r>
          </w:p>
        </w:tc>
      </w:tr>
      <w:tr w:rsidR="00854ADA" w:rsidRPr="00FF386D" w14:paraId="208D34AF"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068E31A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1812B3EC" w14:textId="7E3B1691"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 xml:space="preserve">Буџет </w:t>
            </w:r>
            <w:r w:rsidR="004E2710" w:rsidRPr="00FF386D">
              <w:rPr>
                <w:rFonts w:ascii="Calibri Light" w:eastAsia="Times New Roman" w:hAnsi="Calibri Light" w:cs="Calibri Light"/>
                <w:color w:val="000000"/>
                <w:sz w:val="20"/>
                <w:szCs w:val="20"/>
                <w:lang w:eastAsia="en-GB"/>
              </w:rPr>
              <w:t>обухваћен</w:t>
            </w:r>
            <w:r w:rsidRPr="00FF386D">
              <w:rPr>
                <w:rFonts w:ascii="Calibri Light" w:eastAsia="Times New Roman" w:hAnsi="Calibri Light" w:cs="Calibri Light"/>
                <w:color w:val="000000"/>
                <w:sz w:val="20"/>
                <w:szCs w:val="20"/>
                <w:lang w:eastAsia="en-GB"/>
              </w:rPr>
              <w:t xml:space="preserve"> у </w:t>
            </w:r>
            <w:r w:rsidR="00351084" w:rsidRPr="00FF386D">
              <w:rPr>
                <w:rFonts w:ascii="Calibri Light" w:eastAsia="Times New Roman" w:hAnsi="Calibri Light" w:cs="Calibri Light"/>
                <w:color w:val="000000"/>
                <w:sz w:val="20"/>
                <w:szCs w:val="20"/>
                <w:lang w:eastAsia="en-GB"/>
              </w:rPr>
              <w:t xml:space="preserve">свим </w:t>
            </w:r>
            <w:r w:rsidRPr="00FF386D">
              <w:rPr>
                <w:rFonts w:ascii="Calibri Light" w:eastAsia="Times New Roman" w:hAnsi="Calibri Light" w:cs="Calibri Light"/>
                <w:color w:val="000000"/>
                <w:sz w:val="20"/>
                <w:szCs w:val="20"/>
                <w:lang w:eastAsia="en-GB"/>
              </w:rPr>
              <w:t>мер</w:t>
            </w:r>
            <w:r w:rsidR="005F17E5">
              <w:rPr>
                <w:rFonts w:ascii="Calibri Light" w:eastAsia="Times New Roman" w:hAnsi="Calibri Light" w:cs="Calibri Light"/>
                <w:color w:val="000000"/>
                <w:sz w:val="20"/>
                <w:szCs w:val="20"/>
                <w:lang w:eastAsia="en-GB"/>
              </w:rPr>
              <w:t>ама</w:t>
            </w:r>
            <w:r w:rsidRPr="00FF386D">
              <w:rPr>
                <w:rFonts w:ascii="Calibri Light" w:eastAsia="Times New Roman" w:hAnsi="Calibri Light" w:cs="Calibri Light"/>
                <w:color w:val="000000"/>
                <w:sz w:val="20"/>
                <w:szCs w:val="20"/>
                <w:lang w:eastAsia="en-GB"/>
              </w:rPr>
              <w:t xml:space="preserve"> </w:t>
            </w:r>
            <w:r w:rsidR="00314B47" w:rsidRPr="00FF386D">
              <w:rPr>
                <w:rFonts w:ascii="Calibri Light" w:eastAsia="Times New Roman" w:hAnsi="Calibri Light" w:cs="Calibri Light"/>
                <w:color w:val="000000"/>
                <w:sz w:val="20"/>
                <w:szCs w:val="20"/>
                <w:lang w:eastAsia="en-GB"/>
              </w:rPr>
              <w:t>финалне</w:t>
            </w:r>
            <w:r w:rsidR="004E2710" w:rsidRPr="00FF386D">
              <w:rPr>
                <w:rFonts w:ascii="Calibri Light" w:eastAsia="Times New Roman" w:hAnsi="Calibri Light" w:cs="Calibri Light"/>
                <w:color w:val="000000"/>
                <w:sz w:val="20"/>
                <w:szCs w:val="20"/>
                <w:lang w:eastAsia="en-GB"/>
              </w:rPr>
              <w:t xml:space="preserve"> потрошње – разматра се</w:t>
            </w:r>
          </w:p>
        </w:tc>
      </w:tr>
      <w:tr w:rsidR="00854ADA" w:rsidRPr="00FF386D" w14:paraId="15A1F1B5"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642AF02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5E4B9BB9" w14:textId="0158DAB1"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314B47" w:rsidRPr="00FF386D">
              <w:rPr>
                <w:rFonts w:asciiTheme="majorHAnsi" w:eastAsia="Times New Roman" w:hAnsiTheme="majorHAnsi" w:cstheme="majorHAnsi"/>
                <w:color w:val="000000"/>
                <w:sz w:val="20"/>
                <w:szCs w:val="20"/>
                <w:lang w:eastAsia="en-GB"/>
              </w:rPr>
              <w:t>ска и</w:t>
            </w:r>
            <w:r w:rsidRPr="00FF386D">
              <w:rPr>
                <w:rFonts w:asciiTheme="majorHAnsi" w:eastAsia="Times New Roman" w:hAnsiTheme="majorHAnsi" w:cstheme="majorHAnsi"/>
                <w:color w:val="000000"/>
                <w:sz w:val="20"/>
                <w:szCs w:val="20"/>
                <w:lang w:eastAsia="en-GB"/>
              </w:rPr>
              <w:t xml:space="preserve"> сопствена средства</w:t>
            </w:r>
          </w:p>
        </w:tc>
      </w:tr>
    </w:tbl>
    <w:p w14:paraId="00C27D02"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07"/>
        <w:gridCol w:w="1007"/>
        <w:gridCol w:w="942"/>
        <w:gridCol w:w="4202"/>
      </w:tblGrid>
      <w:tr w:rsidR="00854ADA" w:rsidRPr="00FF386D" w14:paraId="348E04F9" w14:textId="77777777" w:rsidTr="0057310C">
        <w:trPr>
          <w:trHeight w:val="780"/>
        </w:trPr>
        <w:tc>
          <w:tcPr>
            <w:tcW w:w="3307"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40425772"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4C218037"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МП_ЕЕ36</w:t>
            </w:r>
          </w:p>
        </w:tc>
        <w:tc>
          <w:tcPr>
            <w:tcW w:w="942" w:type="dxa"/>
            <w:tcBorders>
              <w:top w:val="single" w:sz="8" w:space="0" w:color="auto"/>
              <w:left w:val="nil"/>
              <w:bottom w:val="single" w:sz="8" w:space="0" w:color="auto"/>
              <w:right w:val="single" w:sz="8" w:space="0" w:color="auto"/>
            </w:tcBorders>
            <w:shd w:val="clear" w:color="000000" w:fill="244062"/>
            <w:vAlign w:val="center"/>
            <w:hideMark/>
          </w:tcPr>
          <w:p w14:paraId="3C408E1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02" w:type="dxa"/>
            <w:tcBorders>
              <w:top w:val="single" w:sz="8" w:space="0" w:color="auto"/>
              <w:left w:val="nil"/>
              <w:bottom w:val="single" w:sz="8" w:space="0" w:color="auto"/>
              <w:right w:val="single" w:sz="8" w:space="0" w:color="auto"/>
            </w:tcBorders>
            <w:shd w:val="clear" w:color="auto" w:fill="E7E6E6" w:themeFill="background2"/>
            <w:vAlign w:val="center"/>
            <w:hideMark/>
          </w:tcPr>
          <w:p w14:paraId="139775C7" w14:textId="6B7DB99A"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П</w:t>
            </w:r>
            <w:r w:rsidR="00E54CD8" w:rsidRPr="00FF386D">
              <w:rPr>
                <w:rFonts w:ascii="Calibri Light" w:hAnsi="Calibri Light"/>
                <w:b/>
                <w:sz w:val="20"/>
              </w:rPr>
              <w:t>одстицање</w:t>
            </w:r>
            <w:r w:rsidRPr="00FF386D">
              <w:rPr>
                <w:rFonts w:ascii="Calibri Light" w:hAnsi="Calibri Light"/>
                <w:b/>
                <w:sz w:val="20"/>
              </w:rPr>
              <w:t xml:space="preserve"> енергетске ефикасности у водоснабдевању, дистрибуцији и потрошњи</w:t>
            </w:r>
            <w:r w:rsidR="00314B47" w:rsidRPr="00FF386D">
              <w:rPr>
                <w:rFonts w:ascii="Calibri Light" w:hAnsi="Calibri Light"/>
                <w:b/>
                <w:sz w:val="20"/>
              </w:rPr>
              <w:t xml:space="preserve"> воде</w:t>
            </w:r>
          </w:p>
        </w:tc>
      </w:tr>
      <w:tr w:rsidR="00854ADA" w:rsidRPr="00FF386D" w14:paraId="27209FA1" w14:textId="77777777" w:rsidTr="0057310C">
        <w:trPr>
          <w:trHeight w:val="496"/>
        </w:trPr>
        <w:tc>
          <w:tcPr>
            <w:tcW w:w="3307" w:type="dxa"/>
            <w:tcBorders>
              <w:top w:val="nil"/>
              <w:left w:val="single" w:sz="8" w:space="0" w:color="auto"/>
              <w:bottom w:val="single" w:sz="8" w:space="0" w:color="auto"/>
              <w:right w:val="nil"/>
            </w:tcBorders>
            <w:shd w:val="clear" w:color="000000" w:fill="244062"/>
            <w:vAlign w:val="center"/>
            <w:hideMark/>
          </w:tcPr>
          <w:p w14:paraId="4761885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51" w:type="dxa"/>
            <w:gridSpan w:val="3"/>
            <w:tcBorders>
              <w:top w:val="single" w:sz="8" w:space="0" w:color="auto"/>
              <w:left w:val="nil"/>
              <w:bottom w:val="single" w:sz="8" w:space="0" w:color="auto"/>
              <w:right w:val="single" w:sz="8" w:space="0" w:color="000000"/>
            </w:tcBorders>
            <w:shd w:val="clear" w:color="auto" w:fill="auto"/>
            <w:vAlign w:val="center"/>
            <w:hideMark/>
          </w:tcPr>
          <w:p w14:paraId="03B8612D" w14:textId="318DBEB5" w:rsidR="00854ADA" w:rsidRPr="000A2AFE" w:rsidRDefault="00314B47"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Примена</w:t>
            </w:r>
            <w:r w:rsidR="00854ADA" w:rsidRPr="00FF386D">
              <w:rPr>
                <w:rFonts w:ascii="Calibri Light" w:hAnsi="Calibri Light"/>
                <w:sz w:val="20"/>
              </w:rPr>
              <w:t xml:space="preserve"> чланова Директиве </w:t>
            </w:r>
            <w:r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w:t>
            </w:r>
            <w:r w:rsidRPr="00FF386D">
              <w:rPr>
                <w:rFonts w:ascii="Calibri Light" w:hAnsi="Calibri Light"/>
                <w:sz w:val="20"/>
              </w:rPr>
              <w:t>02, и то</w:t>
            </w:r>
            <w:r w:rsidR="00854ADA" w:rsidRPr="000A2AFE">
              <w:rPr>
                <w:rFonts w:ascii="Calibri Light" w:eastAsia="Times New Roman" w:hAnsi="Calibri Light" w:cs="Calibri Light"/>
                <w:color w:val="000000"/>
                <w:sz w:val="20"/>
                <w:szCs w:val="20"/>
                <w:lang w:eastAsia="en-GB"/>
              </w:rPr>
              <w:t>:</w:t>
            </w:r>
          </w:p>
          <w:p w14:paraId="5374C095" w14:textId="51463AD6" w:rsidR="00854ADA" w:rsidRPr="000A2AFE" w:rsidRDefault="00854ADA" w:rsidP="00854ADA">
            <w:pPr>
              <w:numPr>
                <w:ilvl w:val="0"/>
                <w:numId w:val="2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E54CD8"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3</w:t>
            </w:r>
          </w:p>
          <w:p w14:paraId="410CE7AD" w14:textId="0E4C012E" w:rsidR="00854ADA" w:rsidRPr="00FF386D" w:rsidRDefault="00854ADA" w:rsidP="00854ADA">
            <w:pPr>
              <w:numPr>
                <w:ilvl w:val="0"/>
                <w:numId w:val="1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Члан</w:t>
            </w:r>
            <w:r w:rsidR="00E54CD8" w:rsidRPr="00FF386D">
              <w:rPr>
                <w:rFonts w:ascii="Calibri Light" w:hAnsi="Calibri Light"/>
                <w:color w:val="000000"/>
                <w:sz w:val="20"/>
              </w:rPr>
              <w:t>а</w:t>
            </w:r>
            <w:r w:rsidRPr="00FF386D">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7</w:t>
            </w:r>
          </w:p>
        </w:tc>
      </w:tr>
      <w:tr w:rsidR="00854ADA" w:rsidRPr="00FF386D" w14:paraId="3DDAB32C" w14:textId="77777777" w:rsidTr="0057310C">
        <w:trPr>
          <w:trHeight w:val="315"/>
        </w:trPr>
        <w:tc>
          <w:tcPr>
            <w:tcW w:w="3307" w:type="dxa"/>
            <w:tcBorders>
              <w:top w:val="nil"/>
              <w:left w:val="single" w:sz="8" w:space="0" w:color="auto"/>
              <w:bottom w:val="single" w:sz="8" w:space="0" w:color="auto"/>
              <w:right w:val="single" w:sz="8" w:space="0" w:color="auto"/>
            </w:tcBorders>
            <w:shd w:val="clear" w:color="000000" w:fill="244062"/>
            <w:vAlign w:val="center"/>
            <w:hideMark/>
          </w:tcPr>
          <w:p w14:paraId="2998BDC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51" w:type="dxa"/>
            <w:gridSpan w:val="3"/>
            <w:tcBorders>
              <w:top w:val="single" w:sz="8" w:space="0" w:color="auto"/>
              <w:left w:val="nil"/>
              <w:bottom w:val="single" w:sz="8" w:space="0" w:color="auto"/>
              <w:right w:val="single" w:sz="8" w:space="0" w:color="000000"/>
            </w:tcBorders>
            <w:shd w:val="clear" w:color="auto" w:fill="auto"/>
            <w:vAlign w:val="center"/>
            <w:hideMark/>
          </w:tcPr>
          <w:p w14:paraId="63B55069" w14:textId="6F040C69" w:rsidR="00854ADA" w:rsidRPr="00FF386D" w:rsidRDefault="00E54CD8" w:rsidP="00854ADA">
            <w:pPr>
              <w:spacing w:after="0" w:line="240" w:lineRule="auto"/>
              <w:rPr>
                <w:rFonts w:ascii="Calibri" w:eastAsia="Times New Roman" w:hAnsi="Calibri" w:cs="Calibri"/>
                <w:color w:val="000000"/>
                <w:sz w:val="20"/>
                <w:szCs w:val="20"/>
                <w:lang w:eastAsia="en-GB"/>
              </w:rPr>
            </w:pPr>
            <w:r w:rsidRPr="00565B02">
              <w:rPr>
                <w:rFonts w:ascii="Calibri Light" w:hAnsi="Calibri Light"/>
                <w:sz w:val="20"/>
              </w:rPr>
              <w:t>Разматра се</w:t>
            </w:r>
          </w:p>
        </w:tc>
      </w:tr>
      <w:tr w:rsidR="00854ADA" w:rsidRPr="00FF386D" w14:paraId="04B24661" w14:textId="77777777" w:rsidTr="0057310C">
        <w:trPr>
          <w:trHeight w:val="1437"/>
        </w:trPr>
        <w:tc>
          <w:tcPr>
            <w:tcW w:w="3307" w:type="dxa"/>
            <w:tcBorders>
              <w:top w:val="nil"/>
              <w:left w:val="single" w:sz="8" w:space="0" w:color="auto"/>
              <w:bottom w:val="single" w:sz="8" w:space="0" w:color="auto"/>
              <w:right w:val="single" w:sz="8" w:space="0" w:color="auto"/>
            </w:tcBorders>
            <w:shd w:val="clear" w:color="000000" w:fill="244062"/>
            <w:vAlign w:val="center"/>
            <w:hideMark/>
          </w:tcPr>
          <w:p w14:paraId="0A186F7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51" w:type="dxa"/>
            <w:gridSpan w:val="3"/>
            <w:tcBorders>
              <w:top w:val="single" w:sz="8" w:space="0" w:color="auto"/>
              <w:left w:val="nil"/>
              <w:bottom w:val="single" w:sz="8" w:space="0" w:color="auto"/>
              <w:right w:val="single" w:sz="8" w:space="0" w:color="000000"/>
            </w:tcBorders>
            <w:shd w:val="clear" w:color="auto" w:fill="auto"/>
            <w:vAlign w:val="center"/>
            <w:hideMark/>
          </w:tcPr>
          <w:p w14:paraId="404A7D36" w14:textId="3BDDBC53" w:rsidR="00854ADA" w:rsidRPr="00FF386D" w:rsidRDefault="00854ADA" w:rsidP="00314B47">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МП_ЕЕ36 ће п</w:t>
            </w:r>
            <w:r w:rsidR="00E54CD8" w:rsidRPr="00FF386D">
              <w:rPr>
                <w:rFonts w:ascii="Calibri Light" w:hAnsi="Calibri Light"/>
                <w:sz w:val="20"/>
              </w:rPr>
              <w:t>одстицати</w:t>
            </w:r>
            <w:r w:rsidRPr="00FF386D">
              <w:rPr>
                <w:rFonts w:ascii="Calibri Light" w:hAnsi="Calibri Light"/>
                <w:sz w:val="20"/>
              </w:rPr>
              <w:t xml:space="preserve"> енергетску ефикасност у сектору вод</w:t>
            </w:r>
            <w:r w:rsidR="00E54CD8" w:rsidRPr="00FF386D">
              <w:rPr>
                <w:rFonts w:ascii="Calibri Light" w:hAnsi="Calibri Light"/>
                <w:sz w:val="20"/>
              </w:rPr>
              <w:t>оснабдевања</w:t>
            </w:r>
            <w:r w:rsidRPr="00FF386D">
              <w:rPr>
                <w:rFonts w:ascii="Calibri Light" w:hAnsi="Calibri Light"/>
                <w:sz w:val="20"/>
              </w:rPr>
              <w:t xml:space="preserve"> углавном пружање</w:t>
            </w:r>
            <w:r w:rsidR="00E54CD8" w:rsidRPr="00FF386D">
              <w:rPr>
                <w:rFonts w:ascii="Calibri Light" w:hAnsi="Calibri Light"/>
                <w:sz w:val="20"/>
              </w:rPr>
              <w:t>м</w:t>
            </w:r>
            <w:r w:rsidRPr="00FF386D">
              <w:rPr>
                <w:rFonts w:ascii="Calibri Light" w:hAnsi="Calibri Light"/>
                <w:sz w:val="20"/>
              </w:rPr>
              <w:t xml:space="preserve"> економских подстицаја</w:t>
            </w:r>
            <w:r w:rsidR="00E54CD8" w:rsidRPr="00FF386D">
              <w:rPr>
                <w:rFonts w:ascii="Calibri Light" w:hAnsi="Calibri Light"/>
                <w:sz w:val="20"/>
              </w:rPr>
              <w:t>,</w:t>
            </w:r>
            <w:r w:rsidRPr="00FF386D">
              <w:rPr>
                <w:rFonts w:ascii="Calibri Light" w:hAnsi="Calibri Light"/>
                <w:sz w:val="20"/>
              </w:rPr>
              <w:t xml:space="preserve"> било у </w:t>
            </w:r>
            <w:r w:rsidR="00E54CD8" w:rsidRPr="00FF386D">
              <w:rPr>
                <w:rFonts w:ascii="Calibri Light" w:hAnsi="Calibri Light"/>
                <w:sz w:val="20"/>
              </w:rPr>
              <w:t>виду</w:t>
            </w:r>
            <w:r w:rsidRPr="00FF386D">
              <w:rPr>
                <w:rFonts w:ascii="Calibri Light" w:hAnsi="Calibri Light"/>
                <w:sz w:val="20"/>
              </w:rPr>
              <w:t xml:space="preserve"> субвенција или повољних кредита. Мера ће се фокусирати на идентификацију односа између воде која се користи за производњу енергије (нексус енергија-вода), имплементацију техника управљања водама, инсталирање ефикасне опреме за воду </w:t>
            </w:r>
            <w:r w:rsidR="00E54CD8" w:rsidRPr="00FF386D">
              <w:rPr>
                <w:rFonts w:ascii="Calibri Light" w:hAnsi="Calibri Light"/>
                <w:sz w:val="20"/>
              </w:rPr>
              <w:t>у финалној потрошњи</w:t>
            </w:r>
            <w:r w:rsidRPr="00FF386D">
              <w:rPr>
                <w:rFonts w:ascii="Calibri Light" w:hAnsi="Calibri Light"/>
                <w:sz w:val="20"/>
              </w:rPr>
              <w:t xml:space="preserve"> и спровођење других мера за очување енергије </w:t>
            </w:r>
            <w:r w:rsidR="00E54CD8" w:rsidRPr="00FF386D">
              <w:rPr>
                <w:rFonts w:ascii="Calibri Light" w:hAnsi="Calibri Light"/>
                <w:sz w:val="20"/>
              </w:rPr>
              <w:t>у складу</w:t>
            </w:r>
            <w:r w:rsidRPr="00FF386D">
              <w:rPr>
                <w:rFonts w:ascii="Calibri Light" w:hAnsi="Calibri Light"/>
                <w:sz w:val="20"/>
              </w:rPr>
              <w:t xml:space="preserve"> са </w:t>
            </w:r>
            <w:r w:rsidR="00E54CD8" w:rsidRPr="00FF386D">
              <w:rPr>
                <w:rFonts w:ascii="Calibri Light" w:hAnsi="Calibri Light"/>
                <w:sz w:val="20"/>
              </w:rPr>
              <w:t>п</w:t>
            </w:r>
            <w:r w:rsidRPr="00FF386D">
              <w:rPr>
                <w:rFonts w:ascii="Calibri Light" w:hAnsi="Calibri Light"/>
                <w:sz w:val="20"/>
              </w:rPr>
              <w:t>ринципом „Енергетска ефикасност пре свега“</w:t>
            </w:r>
            <w:r w:rsidR="00351084" w:rsidRPr="00FF386D">
              <w:rPr>
                <w:rFonts w:ascii="Calibri Light" w:hAnsi="Calibri Light"/>
                <w:sz w:val="20"/>
              </w:rPr>
              <w:t>.</w:t>
            </w:r>
            <w:r w:rsidR="00314B47" w:rsidRPr="00FF386D">
              <w:rPr>
                <w:rFonts w:ascii="Calibri Light" w:hAnsi="Calibri Light"/>
                <w:sz w:val="20"/>
              </w:rPr>
              <w:t xml:space="preserve"> Усмерени акциони план ће бити израђен у циљу </w:t>
            </w:r>
            <w:r w:rsidR="00E54CD8" w:rsidRPr="00FF386D">
              <w:rPr>
                <w:rFonts w:ascii="Calibri Light" w:hAnsi="Calibri Light"/>
                <w:sz w:val="20"/>
              </w:rPr>
              <w:t>одређивања</w:t>
            </w:r>
            <w:r w:rsidR="00314B47" w:rsidRPr="00FF386D">
              <w:rPr>
                <w:rFonts w:ascii="Calibri Light" w:hAnsi="Calibri Light"/>
                <w:sz w:val="20"/>
              </w:rPr>
              <w:t xml:space="preserve"> најекономичније опреме и технологија и п</w:t>
            </w:r>
            <w:r w:rsidR="00E54CD8" w:rsidRPr="00FF386D">
              <w:rPr>
                <w:rFonts w:ascii="Calibri Light" w:hAnsi="Calibri Light"/>
                <w:sz w:val="20"/>
              </w:rPr>
              <w:t>одстицања</w:t>
            </w:r>
            <w:r w:rsidR="00314B47" w:rsidRPr="00FF386D">
              <w:rPr>
                <w:rFonts w:ascii="Calibri Light" w:hAnsi="Calibri Light"/>
                <w:sz w:val="20"/>
              </w:rPr>
              <w:t xml:space="preserve"> енергетске ефикасности у водоснабдевању и дистрибуцији и потрошњи воде</w:t>
            </w:r>
            <w:r w:rsidR="00351084" w:rsidRPr="00FF386D">
              <w:rPr>
                <w:rFonts w:ascii="Calibri Light" w:hAnsi="Calibri Light"/>
                <w:sz w:val="20"/>
              </w:rPr>
              <w:t>.</w:t>
            </w:r>
          </w:p>
        </w:tc>
      </w:tr>
      <w:tr w:rsidR="00854ADA" w:rsidRPr="00FF386D" w14:paraId="5ADF718B" w14:textId="77777777" w:rsidTr="0057310C">
        <w:trPr>
          <w:trHeight w:val="315"/>
        </w:trPr>
        <w:tc>
          <w:tcPr>
            <w:tcW w:w="3307" w:type="dxa"/>
            <w:tcBorders>
              <w:top w:val="nil"/>
              <w:left w:val="single" w:sz="8" w:space="0" w:color="auto"/>
              <w:bottom w:val="single" w:sz="8" w:space="0" w:color="auto"/>
              <w:right w:val="single" w:sz="8" w:space="0" w:color="auto"/>
            </w:tcBorders>
            <w:shd w:val="clear" w:color="000000" w:fill="244062"/>
            <w:vAlign w:val="center"/>
            <w:hideMark/>
          </w:tcPr>
          <w:p w14:paraId="4642AED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51" w:type="dxa"/>
            <w:gridSpan w:val="3"/>
            <w:tcBorders>
              <w:top w:val="single" w:sz="8" w:space="0" w:color="auto"/>
              <w:left w:val="nil"/>
              <w:bottom w:val="single" w:sz="8" w:space="0" w:color="auto"/>
              <w:right w:val="single" w:sz="8" w:space="0" w:color="000000"/>
            </w:tcBorders>
            <w:shd w:val="clear" w:color="auto" w:fill="auto"/>
            <w:vAlign w:val="center"/>
            <w:hideMark/>
          </w:tcPr>
          <w:p w14:paraId="073A190B" w14:textId="1F7292B0"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314B47" w:rsidRPr="00FF386D">
              <w:rPr>
                <w:rFonts w:ascii="Calibri Light" w:hAnsi="Calibri Light"/>
                <w:sz w:val="20"/>
              </w:rPr>
              <w:t>5</w:t>
            </w:r>
            <w:r w:rsidRPr="00FF386D">
              <w:rPr>
                <w:rFonts w:ascii="Calibri Light" w:hAnsi="Calibri Light"/>
                <w:sz w:val="20"/>
              </w:rPr>
              <w:t>-2030.</w:t>
            </w:r>
          </w:p>
        </w:tc>
      </w:tr>
      <w:tr w:rsidR="00854ADA" w:rsidRPr="00FF386D" w14:paraId="6BCCC446" w14:textId="77777777" w:rsidTr="0057310C">
        <w:trPr>
          <w:trHeight w:val="315"/>
        </w:trPr>
        <w:tc>
          <w:tcPr>
            <w:tcW w:w="3307" w:type="dxa"/>
            <w:tcBorders>
              <w:top w:val="nil"/>
              <w:left w:val="single" w:sz="8" w:space="0" w:color="auto"/>
              <w:bottom w:val="single" w:sz="8" w:space="0" w:color="auto"/>
              <w:right w:val="single" w:sz="8" w:space="0" w:color="auto"/>
            </w:tcBorders>
            <w:shd w:val="clear" w:color="000000" w:fill="244062"/>
            <w:vAlign w:val="center"/>
            <w:hideMark/>
          </w:tcPr>
          <w:p w14:paraId="4913C45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Тип мере</w:t>
            </w:r>
          </w:p>
        </w:tc>
        <w:tc>
          <w:tcPr>
            <w:tcW w:w="6151" w:type="dxa"/>
            <w:gridSpan w:val="3"/>
            <w:tcBorders>
              <w:top w:val="single" w:sz="8" w:space="0" w:color="auto"/>
              <w:left w:val="nil"/>
              <w:bottom w:val="single" w:sz="8" w:space="0" w:color="auto"/>
              <w:right w:val="single" w:sz="8" w:space="0" w:color="000000"/>
            </w:tcBorders>
            <w:shd w:val="clear" w:color="auto" w:fill="auto"/>
            <w:vAlign w:val="center"/>
            <w:hideMark/>
          </w:tcPr>
          <w:p w14:paraId="165F9466"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Инвестиција</w:t>
            </w:r>
          </w:p>
        </w:tc>
      </w:tr>
      <w:tr w:rsidR="00854ADA" w:rsidRPr="00FF386D" w14:paraId="1C96E866" w14:textId="77777777" w:rsidTr="0057310C">
        <w:trPr>
          <w:trHeight w:val="315"/>
        </w:trPr>
        <w:tc>
          <w:tcPr>
            <w:tcW w:w="3307" w:type="dxa"/>
            <w:tcBorders>
              <w:top w:val="nil"/>
              <w:left w:val="single" w:sz="8" w:space="0" w:color="auto"/>
              <w:bottom w:val="single" w:sz="8" w:space="0" w:color="auto"/>
              <w:right w:val="single" w:sz="8" w:space="0" w:color="auto"/>
            </w:tcBorders>
            <w:shd w:val="clear" w:color="000000" w:fill="244062"/>
            <w:vAlign w:val="center"/>
            <w:hideMark/>
          </w:tcPr>
          <w:p w14:paraId="2992AC9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51" w:type="dxa"/>
            <w:gridSpan w:val="3"/>
            <w:tcBorders>
              <w:top w:val="single" w:sz="8" w:space="0" w:color="auto"/>
              <w:left w:val="nil"/>
              <w:bottom w:val="single" w:sz="8" w:space="0" w:color="auto"/>
              <w:right w:val="single" w:sz="8" w:space="0" w:color="000000"/>
            </w:tcBorders>
            <w:shd w:val="clear" w:color="auto" w:fill="auto"/>
            <w:vAlign w:val="center"/>
            <w:hideMark/>
          </w:tcPr>
          <w:p w14:paraId="7AF4CE2F"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Сви сектори финалне потрошње енергије</w:t>
            </w:r>
          </w:p>
        </w:tc>
      </w:tr>
      <w:tr w:rsidR="00854ADA" w:rsidRPr="00FF386D" w14:paraId="5C82B108" w14:textId="77777777" w:rsidTr="0057310C">
        <w:trPr>
          <w:trHeight w:val="315"/>
        </w:trPr>
        <w:tc>
          <w:tcPr>
            <w:tcW w:w="3307" w:type="dxa"/>
            <w:tcBorders>
              <w:top w:val="nil"/>
              <w:left w:val="single" w:sz="8" w:space="0" w:color="auto"/>
              <w:bottom w:val="single" w:sz="8" w:space="0" w:color="auto"/>
              <w:right w:val="single" w:sz="8" w:space="0" w:color="auto"/>
            </w:tcBorders>
            <w:shd w:val="clear" w:color="000000" w:fill="244062"/>
            <w:vAlign w:val="center"/>
            <w:hideMark/>
          </w:tcPr>
          <w:p w14:paraId="645E465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51" w:type="dxa"/>
            <w:gridSpan w:val="3"/>
            <w:tcBorders>
              <w:top w:val="single" w:sz="8" w:space="0" w:color="auto"/>
              <w:left w:val="nil"/>
              <w:bottom w:val="single" w:sz="8" w:space="0" w:color="auto"/>
              <w:right w:val="single" w:sz="8" w:space="0" w:color="000000"/>
            </w:tcBorders>
            <w:shd w:val="clear" w:color="auto" w:fill="auto"/>
            <w:vAlign w:val="center"/>
            <w:hideMark/>
          </w:tcPr>
          <w:p w14:paraId="0FBCE3FA" w14:textId="448E9B89" w:rsidR="00854ADA" w:rsidRPr="000A2AFE" w:rsidRDefault="00314B47" w:rsidP="000A2AFE">
            <w:pPr>
              <w:pStyle w:val="ListParagraph"/>
              <w:numPr>
                <w:ilvl w:val="0"/>
                <w:numId w:val="318"/>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енергетике и рударства</w:t>
            </w:r>
          </w:p>
        </w:tc>
      </w:tr>
      <w:tr w:rsidR="00854ADA" w:rsidRPr="00FF386D" w14:paraId="68FB8CAA" w14:textId="77777777" w:rsidTr="0057310C">
        <w:trPr>
          <w:trHeight w:val="315"/>
        </w:trPr>
        <w:tc>
          <w:tcPr>
            <w:tcW w:w="3307" w:type="dxa"/>
            <w:tcBorders>
              <w:top w:val="nil"/>
              <w:left w:val="single" w:sz="8" w:space="0" w:color="auto"/>
              <w:bottom w:val="single" w:sz="8" w:space="0" w:color="auto"/>
              <w:right w:val="nil"/>
            </w:tcBorders>
            <w:shd w:val="clear" w:color="000000" w:fill="244062"/>
            <w:vAlign w:val="center"/>
            <w:hideMark/>
          </w:tcPr>
          <w:p w14:paraId="1CCE572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51" w:type="dxa"/>
            <w:gridSpan w:val="3"/>
            <w:tcBorders>
              <w:top w:val="single" w:sz="8" w:space="0" w:color="auto"/>
              <w:left w:val="nil"/>
              <w:bottom w:val="single" w:sz="8" w:space="0" w:color="auto"/>
              <w:right w:val="single" w:sz="8" w:space="0" w:color="000000"/>
            </w:tcBorders>
            <w:shd w:val="clear" w:color="auto" w:fill="auto"/>
            <w:vAlign w:val="center"/>
            <w:hideMark/>
          </w:tcPr>
          <w:p w14:paraId="32F12A96" w14:textId="1BE0BD5B" w:rsidR="00854ADA" w:rsidRPr="000A2AFE" w:rsidRDefault="008613EE" w:rsidP="000A2AFE">
            <w:pPr>
              <w:pStyle w:val="ListParagraph"/>
              <w:numPr>
                <w:ilvl w:val="0"/>
                <w:numId w:val="14"/>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17EAD6C5" w14:textId="77777777" w:rsidTr="0057310C">
        <w:trPr>
          <w:trHeight w:val="315"/>
        </w:trPr>
        <w:tc>
          <w:tcPr>
            <w:tcW w:w="3307" w:type="dxa"/>
            <w:tcBorders>
              <w:top w:val="nil"/>
              <w:left w:val="single" w:sz="8" w:space="0" w:color="auto"/>
              <w:bottom w:val="single" w:sz="8" w:space="0" w:color="auto"/>
              <w:right w:val="nil"/>
            </w:tcBorders>
            <w:shd w:val="clear" w:color="000000" w:fill="244062"/>
            <w:vAlign w:val="center"/>
            <w:hideMark/>
          </w:tcPr>
          <w:p w14:paraId="15503D3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51" w:type="dxa"/>
            <w:gridSpan w:val="3"/>
            <w:tcBorders>
              <w:top w:val="single" w:sz="8" w:space="0" w:color="auto"/>
              <w:left w:val="nil"/>
              <w:bottom w:val="single" w:sz="8" w:space="0" w:color="auto"/>
              <w:right w:val="single" w:sz="8" w:space="0" w:color="000000"/>
            </w:tcBorders>
            <w:shd w:val="clear" w:color="auto" w:fill="auto"/>
            <w:vAlign w:val="center"/>
            <w:hideMark/>
          </w:tcPr>
          <w:p w14:paraId="4249FAB7" w14:textId="77777777" w:rsidR="00854ADA" w:rsidRPr="00FF386D" w:rsidRDefault="00854ADA">
            <w:pPr>
              <w:numPr>
                <w:ilvl w:val="0"/>
                <w:numId w:val="27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Модернизација система вода</w:t>
            </w:r>
          </w:p>
          <w:p w14:paraId="2549B67E" w14:textId="25DA01C5" w:rsidR="00854ADA" w:rsidRPr="00576383" w:rsidRDefault="00854ADA" w:rsidP="00565B02">
            <w:pPr>
              <w:numPr>
                <w:ilvl w:val="0"/>
                <w:numId w:val="27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Број </w:t>
            </w:r>
            <w:r w:rsidR="00314B47" w:rsidRPr="00FF386D">
              <w:rPr>
                <w:rFonts w:ascii="Calibri Light" w:eastAsia="Times New Roman" w:hAnsi="Calibri Light" w:cs="Calibri Light"/>
                <w:color w:val="000000"/>
                <w:sz w:val="20"/>
                <w:szCs w:val="20"/>
                <w:lang w:eastAsia="en-GB"/>
              </w:rPr>
              <w:t>пројеката е</w:t>
            </w:r>
            <w:r w:rsidRPr="00FF386D">
              <w:rPr>
                <w:rFonts w:ascii="Calibri Light" w:eastAsia="Times New Roman" w:hAnsi="Calibri Light" w:cs="Calibri Light"/>
                <w:color w:val="000000"/>
                <w:sz w:val="20"/>
                <w:szCs w:val="20"/>
                <w:lang w:eastAsia="en-GB"/>
              </w:rPr>
              <w:t>нергија</w:t>
            </w:r>
            <w:r w:rsidR="00314B47" w:rsidRPr="00FF386D">
              <w:rPr>
                <w:rFonts w:ascii="Calibri Light" w:eastAsia="Times New Roman" w:hAnsi="Calibri Light" w:cs="Calibri Light"/>
                <w:color w:val="000000"/>
                <w:sz w:val="20"/>
                <w:szCs w:val="20"/>
                <w:lang w:eastAsia="en-GB"/>
              </w:rPr>
              <w:t>-</w:t>
            </w:r>
            <w:r w:rsidRPr="00FF386D">
              <w:rPr>
                <w:rFonts w:ascii="Calibri Light" w:eastAsia="Times New Roman" w:hAnsi="Calibri Light" w:cs="Calibri Light"/>
                <w:color w:val="000000"/>
                <w:sz w:val="20"/>
                <w:szCs w:val="20"/>
                <w:lang w:eastAsia="en-GB"/>
              </w:rPr>
              <w:t>вода</w:t>
            </w:r>
            <w:r w:rsidR="00314B47" w:rsidRPr="00FF386D">
              <w:rPr>
                <w:rFonts w:ascii="Calibri Light" w:eastAsia="Times New Roman" w:hAnsi="Calibri Light" w:cs="Calibri Light"/>
                <w:color w:val="000000"/>
                <w:sz w:val="20"/>
                <w:szCs w:val="20"/>
                <w:lang w:eastAsia="en-GB"/>
              </w:rPr>
              <w:t>-</w:t>
            </w:r>
            <w:r w:rsidRPr="00FF386D">
              <w:rPr>
                <w:rFonts w:ascii="Calibri Light" w:eastAsia="Times New Roman" w:hAnsi="Calibri Light" w:cs="Calibri Light"/>
                <w:color w:val="000000"/>
                <w:sz w:val="20"/>
                <w:szCs w:val="20"/>
                <w:lang w:eastAsia="en-GB"/>
              </w:rPr>
              <w:t>нек</w:t>
            </w:r>
            <w:r w:rsidR="00314B47" w:rsidRPr="00FF386D">
              <w:rPr>
                <w:rFonts w:ascii="Calibri Light" w:eastAsia="Times New Roman" w:hAnsi="Calibri Light" w:cs="Calibri Light"/>
                <w:color w:val="000000"/>
                <w:sz w:val="20"/>
                <w:szCs w:val="20"/>
                <w:lang w:eastAsia="en-GB"/>
              </w:rPr>
              <w:t>с</w:t>
            </w:r>
            <w:r w:rsidRPr="00FF386D">
              <w:rPr>
                <w:rFonts w:ascii="Calibri Light" w:eastAsia="Times New Roman" w:hAnsi="Calibri Light" w:cs="Calibri Light"/>
                <w:color w:val="000000"/>
                <w:sz w:val="20"/>
                <w:szCs w:val="20"/>
                <w:lang w:eastAsia="en-GB"/>
              </w:rPr>
              <w:t>ус</w:t>
            </w:r>
          </w:p>
        </w:tc>
      </w:tr>
      <w:tr w:rsidR="00854ADA" w:rsidRPr="00FF386D" w14:paraId="02D93BF7" w14:textId="77777777" w:rsidTr="0057310C">
        <w:trPr>
          <w:trHeight w:val="378"/>
        </w:trPr>
        <w:tc>
          <w:tcPr>
            <w:tcW w:w="3307" w:type="dxa"/>
            <w:tcBorders>
              <w:top w:val="nil"/>
              <w:left w:val="single" w:sz="8" w:space="0" w:color="auto"/>
              <w:bottom w:val="single" w:sz="8" w:space="0" w:color="auto"/>
              <w:right w:val="single" w:sz="8" w:space="0" w:color="auto"/>
            </w:tcBorders>
            <w:shd w:val="clear" w:color="000000" w:fill="244062"/>
            <w:vAlign w:val="center"/>
            <w:hideMark/>
          </w:tcPr>
          <w:p w14:paraId="273DF2A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51" w:type="dxa"/>
            <w:gridSpan w:val="3"/>
            <w:tcBorders>
              <w:top w:val="single" w:sz="8" w:space="0" w:color="auto"/>
              <w:left w:val="nil"/>
              <w:bottom w:val="single" w:sz="8" w:space="0" w:color="auto"/>
              <w:right w:val="single" w:sz="8" w:space="0" w:color="000000"/>
            </w:tcBorders>
            <w:shd w:val="clear" w:color="auto" w:fill="auto"/>
            <w:vAlign w:val="center"/>
            <w:hideMark/>
          </w:tcPr>
          <w:p w14:paraId="6A6C1EF1" w14:textId="2DF1B960" w:rsidR="008613EE" w:rsidRPr="008613EE" w:rsidRDefault="008613EE" w:rsidP="008613EE">
            <w:pPr>
              <w:numPr>
                <w:ilvl w:val="0"/>
                <w:numId w:val="162"/>
              </w:numPr>
              <w:spacing w:after="0" w:line="240" w:lineRule="auto"/>
              <w:contextualSpacing/>
              <w:rPr>
                <w:rFonts w:ascii="Calibri Light" w:eastAsia="Times New Roman" w:hAnsi="Calibri Light" w:cs="Calibri Light"/>
                <w:color w:val="000000"/>
                <w:sz w:val="20"/>
                <w:szCs w:val="20"/>
                <w:lang w:eastAsia="en-GB"/>
              </w:rPr>
            </w:pPr>
            <w:r w:rsidRPr="008613EE">
              <w:rPr>
                <w:rFonts w:ascii="Calibri Light" w:eastAsia="Times New Roman" w:hAnsi="Calibri Light" w:cs="Calibri Light"/>
                <w:color w:val="000000"/>
                <w:sz w:val="20"/>
                <w:szCs w:val="20"/>
                <w:lang w:eastAsia="en-GB"/>
              </w:rPr>
              <w:t xml:space="preserve">Декарбонизација (постигнутом уштедом енергије смањиће се потрошња фосилних горива што ће довести до смањења емисија </w:t>
            </w:r>
            <w:r w:rsidRPr="008613EE">
              <w:rPr>
                <w:rFonts w:ascii="Calibri Light" w:eastAsia="Times New Roman" w:hAnsi="Calibri Light" w:cs="Calibri Light"/>
                <w:i/>
                <w:iCs/>
                <w:color w:val="000000"/>
                <w:sz w:val="20"/>
                <w:szCs w:val="20"/>
                <w:lang w:val="en-US" w:eastAsia="en-GB"/>
              </w:rPr>
              <w:t>GHG</w:t>
            </w:r>
            <w:r w:rsidRPr="008613EE">
              <w:rPr>
                <w:rFonts w:ascii="Calibri Light" w:eastAsia="Times New Roman" w:hAnsi="Calibri Light" w:cs="Calibri Light"/>
                <w:color w:val="000000"/>
                <w:sz w:val="20"/>
                <w:szCs w:val="20"/>
                <w:lang w:eastAsia="en-GB"/>
              </w:rPr>
              <w:t>)</w:t>
            </w:r>
          </w:p>
          <w:p w14:paraId="0E919A4D" w14:textId="50EC0002" w:rsidR="00854ADA" w:rsidRPr="00FF386D" w:rsidRDefault="008613EE" w:rsidP="008613EE">
            <w:pPr>
              <w:numPr>
                <w:ilvl w:val="0"/>
                <w:numId w:val="162"/>
              </w:numPr>
              <w:spacing w:after="0" w:line="240" w:lineRule="auto"/>
              <w:contextualSpacing/>
              <w:rPr>
                <w:rFonts w:ascii="Calibri Light" w:eastAsia="Times New Roman" w:hAnsi="Calibri Light" w:cs="Calibri Light"/>
                <w:color w:val="000000"/>
                <w:sz w:val="20"/>
                <w:szCs w:val="20"/>
                <w:lang w:eastAsia="en-GB"/>
              </w:rPr>
            </w:pPr>
            <w:r w:rsidRPr="008613EE">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854ADA" w:rsidRPr="00FF386D" w14:paraId="1BFA4782" w14:textId="77777777" w:rsidTr="0057310C">
        <w:trPr>
          <w:trHeight w:val="450"/>
        </w:trPr>
        <w:tc>
          <w:tcPr>
            <w:tcW w:w="3307"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62DE2ADA" w14:textId="001A9317"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51"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001EC8EA" w14:textId="29C34BFA" w:rsidR="00854ADA" w:rsidRPr="000A2AFE" w:rsidRDefault="00854ADA" w:rsidP="00314B47">
            <w:pPr>
              <w:pStyle w:val="ListParagraph"/>
              <w:numPr>
                <w:ilvl w:val="0"/>
                <w:numId w:val="162"/>
              </w:num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314B47"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2012/27</w:t>
            </w:r>
          </w:p>
          <w:p w14:paraId="380E69B6" w14:textId="2DE336B7" w:rsidR="00854ADA" w:rsidRPr="00FF386D" w:rsidRDefault="00854ADA" w:rsidP="00854ADA">
            <w:pPr>
              <w:numPr>
                <w:ilvl w:val="0"/>
                <w:numId w:val="162"/>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314B47"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2018/2002</w:t>
            </w:r>
          </w:p>
        </w:tc>
      </w:tr>
      <w:tr w:rsidR="00854ADA" w:rsidRPr="00FF386D" w14:paraId="5ED10E5C" w14:textId="77777777" w:rsidTr="0057310C">
        <w:trPr>
          <w:trHeight w:val="450"/>
        </w:trPr>
        <w:tc>
          <w:tcPr>
            <w:tcW w:w="3307" w:type="dxa"/>
            <w:vMerge/>
            <w:tcBorders>
              <w:top w:val="nil"/>
              <w:left w:val="single" w:sz="8" w:space="0" w:color="auto"/>
              <w:bottom w:val="single" w:sz="8" w:space="0" w:color="000000"/>
              <w:right w:val="single" w:sz="8" w:space="0" w:color="auto"/>
            </w:tcBorders>
            <w:vAlign w:val="center"/>
            <w:hideMark/>
          </w:tcPr>
          <w:p w14:paraId="6B9606A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1" w:type="dxa"/>
            <w:gridSpan w:val="3"/>
            <w:vMerge/>
            <w:tcBorders>
              <w:top w:val="single" w:sz="8" w:space="0" w:color="auto"/>
              <w:left w:val="single" w:sz="8" w:space="0" w:color="auto"/>
              <w:bottom w:val="single" w:sz="8" w:space="0" w:color="000000"/>
              <w:right w:val="single" w:sz="8" w:space="0" w:color="000000"/>
            </w:tcBorders>
            <w:vAlign w:val="center"/>
            <w:hideMark/>
          </w:tcPr>
          <w:p w14:paraId="758A89B0" w14:textId="77777777" w:rsidR="00854ADA" w:rsidRPr="00FF386D" w:rsidRDefault="00854ADA" w:rsidP="00854ADA">
            <w:pPr>
              <w:numPr>
                <w:ilvl w:val="0"/>
                <w:numId w:val="162"/>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659A418D" w14:textId="77777777" w:rsidTr="0057310C">
        <w:trPr>
          <w:trHeight w:val="450"/>
        </w:trPr>
        <w:tc>
          <w:tcPr>
            <w:tcW w:w="3307" w:type="dxa"/>
            <w:vMerge/>
            <w:tcBorders>
              <w:top w:val="nil"/>
              <w:left w:val="single" w:sz="8" w:space="0" w:color="auto"/>
              <w:bottom w:val="single" w:sz="8" w:space="0" w:color="000000"/>
              <w:right w:val="single" w:sz="8" w:space="0" w:color="auto"/>
            </w:tcBorders>
            <w:vAlign w:val="center"/>
            <w:hideMark/>
          </w:tcPr>
          <w:p w14:paraId="1520CF2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1" w:type="dxa"/>
            <w:gridSpan w:val="3"/>
            <w:vMerge/>
            <w:tcBorders>
              <w:top w:val="single" w:sz="8" w:space="0" w:color="auto"/>
              <w:left w:val="single" w:sz="8" w:space="0" w:color="auto"/>
              <w:bottom w:val="single" w:sz="8" w:space="0" w:color="000000"/>
              <w:right w:val="single" w:sz="8" w:space="0" w:color="000000"/>
            </w:tcBorders>
            <w:vAlign w:val="center"/>
            <w:hideMark/>
          </w:tcPr>
          <w:p w14:paraId="26B76B40" w14:textId="77777777" w:rsidR="00854ADA" w:rsidRPr="00FF386D" w:rsidRDefault="00854ADA" w:rsidP="00854ADA">
            <w:pPr>
              <w:numPr>
                <w:ilvl w:val="0"/>
                <w:numId w:val="162"/>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5A05BCE4" w14:textId="77777777" w:rsidTr="0057310C">
        <w:trPr>
          <w:trHeight w:val="327"/>
        </w:trPr>
        <w:tc>
          <w:tcPr>
            <w:tcW w:w="3307" w:type="dxa"/>
            <w:tcBorders>
              <w:top w:val="nil"/>
              <w:left w:val="single" w:sz="8" w:space="0" w:color="auto"/>
              <w:bottom w:val="single" w:sz="8" w:space="0" w:color="auto"/>
              <w:right w:val="single" w:sz="8" w:space="0" w:color="auto"/>
            </w:tcBorders>
            <w:shd w:val="clear" w:color="000000" w:fill="244062"/>
            <w:vAlign w:val="center"/>
            <w:hideMark/>
          </w:tcPr>
          <w:p w14:paraId="69D1AD1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51" w:type="dxa"/>
            <w:gridSpan w:val="3"/>
            <w:tcBorders>
              <w:top w:val="single" w:sz="8" w:space="0" w:color="auto"/>
              <w:left w:val="nil"/>
              <w:bottom w:val="single" w:sz="8" w:space="0" w:color="auto"/>
              <w:right w:val="single" w:sz="8" w:space="0" w:color="000000"/>
            </w:tcBorders>
            <w:shd w:val="clear" w:color="auto" w:fill="auto"/>
            <w:vAlign w:val="center"/>
            <w:hideMark/>
          </w:tcPr>
          <w:p w14:paraId="2BEB2B25" w14:textId="0E8DC892" w:rsidR="00854ADA" w:rsidRPr="00FF386D" w:rsidRDefault="00854ADA" w:rsidP="00854ADA">
            <w:pPr>
              <w:numPr>
                <w:ilvl w:val="0"/>
                <w:numId w:val="162"/>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Стратегија одрживог урбаног развоја </w:t>
            </w:r>
            <w:r w:rsidR="00B44FF3" w:rsidRPr="00B44FF3">
              <w:rPr>
                <w:rFonts w:ascii="Calibri Light" w:eastAsia="Times New Roman" w:hAnsi="Calibri Light" w:cs="Calibri Light"/>
                <w:color w:val="000000"/>
                <w:sz w:val="20"/>
                <w:szCs w:val="20"/>
                <w:lang w:eastAsia="en-GB"/>
              </w:rPr>
              <w:t>Републике Србије до</w:t>
            </w:r>
            <w:r w:rsidRPr="00FF386D">
              <w:rPr>
                <w:rFonts w:ascii="Calibri Light" w:eastAsia="Times New Roman" w:hAnsi="Calibri Light" w:cs="Calibri Light"/>
                <w:color w:val="000000"/>
                <w:sz w:val="20"/>
                <w:szCs w:val="20"/>
                <w:lang w:eastAsia="en-GB"/>
              </w:rPr>
              <w:t xml:space="preserve"> 2030. годин</w:t>
            </w:r>
            <w:r w:rsidR="00B44FF3">
              <w:rPr>
                <w:rFonts w:ascii="Calibri Light" w:eastAsia="Times New Roman" w:hAnsi="Calibri Light" w:cs="Calibri Light"/>
                <w:color w:val="000000"/>
                <w:sz w:val="20"/>
                <w:szCs w:val="20"/>
                <w:lang w:eastAsia="en-GB"/>
              </w:rPr>
              <w:t>е</w:t>
            </w:r>
          </w:p>
          <w:p w14:paraId="77E2FCB6" w14:textId="77777777" w:rsidR="00854ADA" w:rsidRPr="00FF386D" w:rsidRDefault="00854ADA" w:rsidP="00854ADA">
            <w:pPr>
              <w:numPr>
                <w:ilvl w:val="0"/>
                <w:numId w:val="162"/>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Друга стратешка документа у области заштите животне средине</w:t>
            </w:r>
          </w:p>
        </w:tc>
      </w:tr>
      <w:tr w:rsidR="00854ADA" w:rsidRPr="00FF386D" w14:paraId="1535371B" w14:textId="77777777" w:rsidTr="0057310C">
        <w:trPr>
          <w:trHeight w:val="315"/>
        </w:trPr>
        <w:tc>
          <w:tcPr>
            <w:tcW w:w="3307" w:type="dxa"/>
            <w:tcBorders>
              <w:top w:val="nil"/>
              <w:left w:val="single" w:sz="8" w:space="0" w:color="auto"/>
              <w:bottom w:val="single" w:sz="8" w:space="0" w:color="auto"/>
              <w:right w:val="single" w:sz="8" w:space="0" w:color="auto"/>
            </w:tcBorders>
            <w:shd w:val="clear" w:color="000000" w:fill="244062"/>
            <w:vAlign w:val="center"/>
            <w:hideMark/>
          </w:tcPr>
          <w:p w14:paraId="292C4A86"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51" w:type="dxa"/>
            <w:gridSpan w:val="3"/>
            <w:tcBorders>
              <w:top w:val="single" w:sz="8" w:space="0" w:color="auto"/>
              <w:left w:val="nil"/>
              <w:bottom w:val="single" w:sz="8" w:space="0" w:color="auto"/>
              <w:right w:val="single" w:sz="8" w:space="0" w:color="000000"/>
            </w:tcBorders>
            <w:shd w:val="clear" w:color="auto" w:fill="auto"/>
            <w:vAlign w:val="center"/>
            <w:hideMark/>
          </w:tcPr>
          <w:p w14:paraId="2333CC66" w14:textId="23BF743C" w:rsidR="00854ADA" w:rsidRPr="00FF386D" w:rsidRDefault="00871DF7"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У разматрању</w:t>
            </w:r>
          </w:p>
        </w:tc>
      </w:tr>
      <w:tr w:rsidR="00854ADA" w:rsidRPr="00FF386D" w14:paraId="1518C8FD" w14:textId="77777777" w:rsidTr="0057310C">
        <w:trPr>
          <w:trHeight w:val="315"/>
        </w:trPr>
        <w:tc>
          <w:tcPr>
            <w:tcW w:w="3307" w:type="dxa"/>
            <w:tcBorders>
              <w:top w:val="nil"/>
              <w:left w:val="single" w:sz="8" w:space="0" w:color="auto"/>
              <w:bottom w:val="single" w:sz="8" w:space="0" w:color="auto"/>
              <w:right w:val="single" w:sz="8" w:space="0" w:color="auto"/>
            </w:tcBorders>
            <w:shd w:val="clear" w:color="000000" w:fill="244062"/>
            <w:vAlign w:val="center"/>
            <w:hideMark/>
          </w:tcPr>
          <w:p w14:paraId="358FB65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51" w:type="dxa"/>
            <w:gridSpan w:val="3"/>
            <w:tcBorders>
              <w:top w:val="single" w:sz="8" w:space="0" w:color="auto"/>
              <w:left w:val="nil"/>
              <w:bottom w:val="single" w:sz="8" w:space="0" w:color="auto"/>
              <w:right w:val="single" w:sz="8" w:space="0" w:color="000000"/>
            </w:tcBorders>
            <w:shd w:val="clear" w:color="auto" w:fill="auto"/>
            <w:vAlign w:val="center"/>
            <w:hideMark/>
          </w:tcPr>
          <w:p w14:paraId="6551FB0B" w14:textId="1266269A" w:rsidR="00854ADA" w:rsidRPr="00FF386D" w:rsidRDefault="00871DF7"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У разматрању</w:t>
            </w:r>
          </w:p>
        </w:tc>
      </w:tr>
    </w:tbl>
    <w:p w14:paraId="72E34C47"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04"/>
        <w:gridCol w:w="1007"/>
        <w:gridCol w:w="942"/>
        <w:gridCol w:w="4205"/>
      </w:tblGrid>
      <w:tr w:rsidR="00854ADA" w:rsidRPr="00FF386D" w14:paraId="785A9174" w14:textId="77777777" w:rsidTr="0057310C">
        <w:trPr>
          <w:trHeight w:val="780"/>
        </w:trPr>
        <w:tc>
          <w:tcPr>
            <w:tcW w:w="3304"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14F22CBE"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29AB2CB2"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МП_ЕЕ37</w:t>
            </w:r>
          </w:p>
        </w:tc>
        <w:tc>
          <w:tcPr>
            <w:tcW w:w="942" w:type="dxa"/>
            <w:tcBorders>
              <w:top w:val="single" w:sz="8" w:space="0" w:color="auto"/>
              <w:left w:val="nil"/>
              <w:bottom w:val="single" w:sz="8" w:space="0" w:color="auto"/>
              <w:right w:val="single" w:sz="8" w:space="0" w:color="auto"/>
            </w:tcBorders>
            <w:shd w:val="clear" w:color="000000" w:fill="244062"/>
            <w:vAlign w:val="center"/>
            <w:hideMark/>
          </w:tcPr>
          <w:p w14:paraId="26DE80E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05" w:type="dxa"/>
            <w:tcBorders>
              <w:top w:val="single" w:sz="8" w:space="0" w:color="auto"/>
              <w:left w:val="nil"/>
              <w:bottom w:val="single" w:sz="8" w:space="0" w:color="auto"/>
              <w:right w:val="single" w:sz="8" w:space="0" w:color="auto"/>
            </w:tcBorders>
            <w:shd w:val="clear" w:color="auto" w:fill="E7E6E6" w:themeFill="background2"/>
            <w:vAlign w:val="center"/>
            <w:hideMark/>
          </w:tcPr>
          <w:p w14:paraId="41050340"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Јачање техничких и административних капацитета креатора политика</w:t>
            </w:r>
          </w:p>
        </w:tc>
      </w:tr>
      <w:tr w:rsidR="00854ADA" w:rsidRPr="00FF386D" w14:paraId="302E3DA4" w14:textId="77777777" w:rsidTr="0057310C">
        <w:trPr>
          <w:trHeight w:val="422"/>
        </w:trPr>
        <w:tc>
          <w:tcPr>
            <w:tcW w:w="3304" w:type="dxa"/>
            <w:tcBorders>
              <w:top w:val="nil"/>
              <w:left w:val="single" w:sz="8" w:space="0" w:color="auto"/>
              <w:bottom w:val="single" w:sz="8" w:space="0" w:color="auto"/>
              <w:right w:val="nil"/>
            </w:tcBorders>
            <w:shd w:val="clear" w:color="000000" w:fill="244062"/>
            <w:vAlign w:val="center"/>
            <w:hideMark/>
          </w:tcPr>
          <w:p w14:paraId="458AFBD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7FED1656" w14:textId="37829824" w:rsidR="00854ADA" w:rsidRPr="000A2AFE" w:rsidRDefault="00C41128"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 xml:space="preserve">Примена </w:t>
            </w:r>
            <w:r w:rsidR="00854ADA" w:rsidRPr="00FF386D">
              <w:rPr>
                <w:rFonts w:ascii="Calibri Light" w:hAnsi="Calibri Light"/>
                <w:sz w:val="20"/>
              </w:rPr>
              <w:t xml:space="preserve">чланова Директиве </w:t>
            </w:r>
            <w:r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w:t>
            </w:r>
            <w:r w:rsidRPr="00FF386D">
              <w:rPr>
                <w:rFonts w:ascii="Calibri Light" w:hAnsi="Calibri Light"/>
                <w:sz w:val="20"/>
              </w:rPr>
              <w:t>02. и то</w:t>
            </w:r>
            <w:r w:rsidR="00854ADA" w:rsidRPr="000A2AFE">
              <w:rPr>
                <w:rFonts w:ascii="Calibri Light" w:eastAsia="Times New Roman" w:hAnsi="Calibri Light" w:cs="Calibri Light"/>
                <w:color w:val="000000"/>
                <w:sz w:val="20"/>
                <w:szCs w:val="20"/>
                <w:lang w:eastAsia="en-GB"/>
              </w:rPr>
              <w:t>:</w:t>
            </w:r>
          </w:p>
          <w:p w14:paraId="457EE544" w14:textId="30383C08" w:rsidR="00854ADA" w:rsidRPr="00FF386D" w:rsidRDefault="00854ADA" w:rsidP="00854ADA">
            <w:pPr>
              <w:numPr>
                <w:ilvl w:val="0"/>
                <w:numId w:val="163"/>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E54CD8"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3</w:t>
            </w:r>
          </w:p>
        </w:tc>
      </w:tr>
      <w:tr w:rsidR="00854ADA" w:rsidRPr="00FF386D" w14:paraId="5982C311"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78FF918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7F7F80F2" w14:textId="7054365E"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 xml:space="preserve">Допринос </w:t>
            </w:r>
            <w:r w:rsidR="00B44FF3" w:rsidRPr="00B44FF3">
              <w:rPr>
                <w:rFonts w:asciiTheme="majorHAnsi" w:eastAsia="Times New Roman" w:hAnsiTheme="majorHAnsi" w:cstheme="majorHAnsi"/>
                <w:color w:val="000000"/>
                <w:sz w:val="20"/>
                <w:szCs w:val="20"/>
                <w:lang w:eastAsia="en-GB"/>
              </w:rPr>
              <w:t>постизању очекиваних нивоa</w:t>
            </w:r>
            <w:r w:rsidRPr="00FF386D">
              <w:rPr>
                <w:rFonts w:asciiTheme="majorHAnsi" w:eastAsia="Times New Roman" w:hAnsiTheme="majorHAnsi" w:cstheme="majorHAnsi"/>
                <w:color w:val="000000"/>
                <w:sz w:val="20"/>
                <w:szCs w:val="20"/>
                <w:lang w:eastAsia="en-GB"/>
              </w:rPr>
              <w:t xml:space="preserve"> </w:t>
            </w:r>
            <w:r w:rsidR="00046472" w:rsidRPr="00FF386D">
              <w:rPr>
                <w:rFonts w:asciiTheme="majorHAnsi" w:eastAsia="Times New Roman" w:hAnsiTheme="majorHAnsi" w:cstheme="majorHAnsi"/>
                <w:color w:val="000000"/>
                <w:sz w:val="20"/>
                <w:szCs w:val="20"/>
                <w:lang w:eastAsia="en-GB"/>
              </w:rPr>
              <w:t>финалне потрошње енергије</w:t>
            </w:r>
          </w:p>
        </w:tc>
      </w:tr>
      <w:tr w:rsidR="00854ADA" w:rsidRPr="00FF386D" w14:paraId="0BC6873E" w14:textId="77777777" w:rsidTr="000A2AFE">
        <w:trPr>
          <w:trHeight w:val="571"/>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0882467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08D5C3D5" w14:textId="715E151F"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МП_ЕЕ37 ће континуирано јачати техничке и административне капацитете надлежних креатора политике да би се омогућили ефикасно креирање, примена, надзор и евалуација мера енергетске ефикасности. Биће организоване специјализоване обуке и израђени софистицирани алати и материјал који ће постојећи ниво знања и потребних вештина </w:t>
            </w:r>
            <w:r w:rsidR="00E54CD8" w:rsidRPr="00FF386D">
              <w:rPr>
                <w:rFonts w:ascii="Calibri Light" w:hAnsi="Calibri Light"/>
                <w:sz w:val="20"/>
              </w:rPr>
              <w:t>подићи</w:t>
            </w:r>
            <w:r w:rsidRPr="00FF386D">
              <w:rPr>
                <w:rFonts w:ascii="Calibri Light" w:hAnsi="Calibri Light"/>
                <w:sz w:val="20"/>
              </w:rPr>
              <w:t xml:space="preserve"> на задовољавајући ниво. Обука може обухватити и захтеве за израду пројектне/техничке документације како би се повећао квалитет и искоришћеност пројеката за обимнију обнову зграда али и израду техничке документације и пројектних задатака за њихов</w:t>
            </w:r>
            <w:r w:rsidR="00E54CD8" w:rsidRPr="00FF386D">
              <w:rPr>
                <w:rFonts w:ascii="Calibri Light" w:hAnsi="Calibri Light"/>
                <w:sz w:val="20"/>
              </w:rPr>
              <w:t>о спровођење</w:t>
            </w:r>
            <w:r w:rsidRPr="00FF386D">
              <w:rPr>
                <w:rFonts w:ascii="Calibri Light" w:hAnsi="Calibri Light"/>
                <w:sz w:val="20"/>
              </w:rPr>
              <w:t xml:space="preserve">. На крају, </w:t>
            </w:r>
            <w:r w:rsidR="00E54CD8" w:rsidRPr="00FF386D">
              <w:rPr>
                <w:rFonts w:ascii="Calibri Light" w:hAnsi="Calibri Light"/>
                <w:sz w:val="20"/>
              </w:rPr>
              <w:t>додатно ће бити</w:t>
            </w:r>
            <w:r w:rsidRPr="00FF386D">
              <w:rPr>
                <w:rFonts w:ascii="Calibri Light" w:hAnsi="Calibri Light"/>
                <w:sz w:val="20"/>
              </w:rPr>
              <w:t xml:space="preserve"> унапређивани или по потреби развиј</w:t>
            </w:r>
            <w:r w:rsidR="00E54CD8" w:rsidRPr="00FF386D">
              <w:rPr>
                <w:rFonts w:ascii="Calibri Light" w:hAnsi="Calibri Light"/>
                <w:sz w:val="20"/>
              </w:rPr>
              <w:t>ани</w:t>
            </w:r>
            <w:r w:rsidRPr="00FF386D">
              <w:rPr>
                <w:rFonts w:ascii="Calibri Light" w:hAnsi="Calibri Light"/>
                <w:sz w:val="20"/>
              </w:rPr>
              <w:t xml:space="preserve"> алати за праћење </w:t>
            </w:r>
            <w:r w:rsidR="00E54CD8" w:rsidRPr="00FF386D">
              <w:rPr>
                <w:rFonts w:ascii="Calibri Light" w:hAnsi="Calibri Light"/>
                <w:sz w:val="20"/>
              </w:rPr>
              <w:t>остваривања</w:t>
            </w:r>
            <w:r w:rsidRPr="00FF386D">
              <w:rPr>
                <w:rFonts w:ascii="Calibri Light" w:hAnsi="Calibri Light"/>
                <w:sz w:val="20"/>
              </w:rPr>
              <w:t xml:space="preserve"> утврђених циљева и учинка политика и мера које су примењене</w:t>
            </w:r>
            <w:r w:rsidR="00E54CD8" w:rsidRPr="00FF386D">
              <w:rPr>
                <w:rFonts w:ascii="Calibri Light" w:hAnsi="Calibri Light"/>
                <w:sz w:val="20"/>
              </w:rPr>
              <w:t>,</w:t>
            </w:r>
            <w:r w:rsidRPr="00FF386D">
              <w:rPr>
                <w:rFonts w:ascii="Calibri Light" w:hAnsi="Calibri Light"/>
                <w:sz w:val="20"/>
              </w:rPr>
              <w:t xml:space="preserve"> укључујући усклађеност са</w:t>
            </w:r>
            <w:r w:rsidR="00F822F5" w:rsidRPr="00FF386D">
              <w:rPr>
                <w:rFonts w:ascii="Calibri Light" w:hAnsi="Calibri Light"/>
                <w:sz w:val="20"/>
              </w:rPr>
              <w:t xml:space="preserve"> </w:t>
            </w:r>
            <w:r w:rsidRPr="00FF386D">
              <w:rPr>
                <w:rFonts w:ascii="Calibri Light" w:hAnsi="Calibri Light"/>
                <w:sz w:val="20"/>
              </w:rPr>
              <w:t xml:space="preserve">принципом </w:t>
            </w:r>
            <w:r w:rsidR="00046472" w:rsidRPr="00FF386D">
              <w:rPr>
                <w:rFonts w:ascii="Calibri Light" w:hAnsi="Calibri Light"/>
                <w:sz w:val="20"/>
              </w:rPr>
              <w:t>„Е</w:t>
            </w:r>
            <w:r w:rsidRPr="00FF386D">
              <w:rPr>
                <w:rFonts w:ascii="Calibri Light" w:hAnsi="Calibri Light"/>
                <w:sz w:val="20"/>
              </w:rPr>
              <w:t>нергетск</w:t>
            </w:r>
            <w:r w:rsidR="00046472" w:rsidRPr="00FF386D">
              <w:rPr>
                <w:rFonts w:ascii="Calibri Light" w:hAnsi="Calibri Light"/>
                <w:sz w:val="20"/>
              </w:rPr>
              <w:t>а</w:t>
            </w:r>
            <w:r w:rsidRPr="00FF386D">
              <w:rPr>
                <w:rFonts w:ascii="Calibri Light" w:hAnsi="Calibri Light"/>
                <w:sz w:val="20"/>
              </w:rPr>
              <w:t xml:space="preserve"> ефикасност</w:t>
            </w:r>
            <w:r w:rsidR="00046472" w:rsidRPr="00FF386D">
              <w:rPr>
                <w:rFonts w:ascii="Calibri Light" w:hAnsi="Calibri Light"/>
                <w:sz w:val="20"/>
              </w:rPr>
              <w:t xml:space="preserve"> </w:t>
            </w:r>
            <w:r w:rsidR="001F68E7" w:rsidRPr="00FF386D">
              <w:rPr>
                <w:rFonts w:ascii="Calibri Light" w:hAnsi="Calibri Light"/>
                <w:sz w:val="20"/>
              </w:rPr>
              <w:t>пре свега</w:t>
            </w:r>
            <w:r w:rsidR="00046472" w:rsidRPr="00FF386D">
              <w:rPr>
                <w:rFonts w:ascii="Calibri Light" w:hAnsi="Calibri Light"/>
                <w:sz w:val="20"/>
              </w:rPr>
              <w:t>”</w:t>
            </w:r>
            <w:r w:rsidRPr="00FF386D">
              <w:rPr>
                <w:rFonts w:ascii="Calibri Light" w:hAnsi="Calibri Light"/>
                <w:sz w:val="20"/>
              </w:rPr>
              <w:t>.</w:t>
            </w:r>
          </w:p>
        </w:tc>
      </w:tr>
      <w:tr w:rsidR="00854ADA" w:rsidRPr="00FF386D" w14:paraId="01CA4FEC"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5A3F063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3EDEBB75" w14:textId="69B6B03A"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w:t>
            </w:r>
            <w:r w:rsidR="00C41128" w:rsidRPr="00FF386D">
              <w:rPr>
                <w:rFonts w:ascii="Calibri Light" w:hAnsi="Calibri Light"/>
                <w:sz w:val="20"/>
              </w:rPr>
              <w:t>25</w:t>
            </w:r>
            <w:r w:rsidRPr="00FF386D">
              <w:rPr>
                <w:rFonts w:ascii="Calibri Light" w:hAnsi="Calibri Light"/>
                <w:sz w:val="20"/>
              </w:rPr>
              <w:t>-20</w:t>
            </w:r>
            <w:r w:rsidR="008613EE">
              <w:rPr>
                <w:rFonts w:ascii="Calibri Light" w:hAnsi="Calibri Light"/>
                <w:sz w:val="20"/>
              </w:rPr>
              <w:t>26</w:t>
            </w:r>
            <w:r w:rsidRPr="00FF386D">
              <w:rPr>
                <w:rFonts w:ascii="Calibri Light" w:hAnsi="Calibri Light"/>
                <w:sz w:val="20"/>
              </w:rPr>
              <w:t>.</w:t>
            </w:r>
          </w:p>
        </w:tc>
      </w:tr>
      <w:tr w:rsidR="00854ADA" w:rsidRPr="00FF386D" w14:paraId="5B8BB578"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4968D11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552A870C"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Реформа</w:t>
            </w:r>
          </w:p>
        </w:tc>
      </w:tr>
      <w:tr w:rsidR="00854ADA" w:rsidRPr="00FF386D" w14:paraId="6F5E6527"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19BD9BD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1A0FE8B0" w14:textId="16EAC365" w:rsidR="00854ADA" w:rsidRPr="00FF386D" w:rsidRDefault="00C41128"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Допринос свим</w:t>
            </w:r>
            <w:r w:rsidR="00854ADA" w:rsidRPr="00FF386D">
              <w:rPr>
                <w:rFonts w:ascii="Calibri Light" w:hAnsi="Calibri Light"/>
                <w:sz w:val="20"/>
              </w:rPr>
              <w:t xml:space="preserve"> </w:t>
            </w:r>
            <w:r w:rsidRPr="00FF386D">
              <w:rPr>
                <w:rFonts w:ascii="Calibri Light" w:hAnsi="Calibri Light"/>
                <w:sz w:val="20"/>
              </w:rPr>
              <w:t>мерама</w:t>
            </w:r>
            <w:r w:rsidR="00854ADA" w:rsidRPr="00FF386D">
              <w:rPr>
                <w:rFonts w:ascii="Calibri Light" w:hAnsi="Calibri Light"/>
                <w:sz w:val="20"/>
              </w:rPr>
              <w:t xml:space="preserve"> финалне потрошње</w:t>
            </w:r>
            <w:r w:rsidRPr="00FF386D">
              <w:rPr>
                <w:rFonts w:ascii="Calibri Light" w:hAnsi="Calibri Light"/>
                <w:sz w:val="20"/>
              </w:rPr>
              <w:t xml:space="preserve"> енергије</w:t>
            </w:r>
          </w:p>
        </w:tc>
      </w:tr>
      <w:tr w:rsidR="00854ADA" w:rsidRPr="00FF386D" w14:paraId="7311F434"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135B725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363F5AE3" w14:textId="77777777" w:rsidR="00854ADA" w:rsidRPr="00FF386D" w:rsidRDefault="00854ADA" w:rsidP="00854ADA">
            <w:pPr>
              <w:numPr>
                <w:ilvl w:val="0"/>
                <w:numId w:val="163"/>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Министарство рударства и енергетике</w:t>
            </w:r>
          </w:p>
          <w:p w14:paraId="378E8F08" w14:textId="77777777" w:rsidR="00854ADA" w:rsidRPr="00FF386D" w:rsidRDefault="00854ADA" w:rsidP="00854ADA">
            <w:pPr>
              <w:numPr>
                <w:ilvl w:val="0"/>
                <w:numId w:val="163"/>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грађевинарства, саобраћаја и инфраструктуре</w:t>
            </w:r>
          </w:p>
        </w:tc>
      </w:tr>
      <w:tr w:rsidR="00854ADA" w:rsidRPr="00FF386D" w14:paraId="67D9331A" w14:textId="77777777" w:rsidTr="0057310C">
        <w:trPr>
          <w:trHeight w:val="315"/>
        </w:trPr>
        <w:tc>
          <w:tcPr>
            <w:tcW w:w="3304" w:type="dxa"/>
            <w:tcBorders>
              <w:top w:val="nil"/>
              <w:left w:val="single" w:sz="8" w:space="0" w:color="auto"/>
              <w:bottom w:val="single" w:sz="8" w:space="0" w:color="auto"/>
              <w:right w:val="nil"/>
            </w:tcBorders>
            <w:shd w:val="clear" w:color="000000" w:fill="244062"/>
            <w:vAlign w:val="center"/>
            <w:hideMark/>
          </w:tcPr>
          <w:p w14:paraId="12D267F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2CEBA9AE" w14:textId="6E291C5B" w:rsidR="00854ADA" w:rsidRPr="000A2AFE" w:rsidRDefault="008613EE" w:rsidP="000A2AFE">
            <w:pPr>
              <w:pStyle w:val="ListParagraph"/>
              <w:numPr>
                <w:ilvl w:val="0"/>
                <w:numId w:val="364"/>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101F9A1D" w14:textId="77777777" w:rsidTr="0057310C">
        <w:trPr>
          <w:trHeight w:val="315"/>
        </w:trPr>
        <w:tc>
          <w:tcPr>
            <w:tcW w:w="3304" w:type="dxa"/>
            <w:tcBorders>
              <w:top w:val="nil"/>
              <w:left w:val="single" w:sz="8" w:space="0" w:color="auto"/>
              <w:bottom w:val="single" w:sz="8" w:space="0" w:color="auto"/>
              <w:right w:val="nil"/>
            </w:tcBorders>
            <w:shd w:val="clear" w:color="000000" w:fill="244062"/>
            <w:vAlign w:val="center"/>
            <w:hideMark/>
          </w:tcPr>
          <w:p w14:paraId="128A63C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Индикатори напретка</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6223BD3C" w14:textId="0B5303C3" w:rsidR="00854ADA" w:rsidRPr="000A2AFE" w:rsidRDefault="00854ADA" w:rsidP="000A2AFE">
            <w:pPr>
              <w:pStyle w:val="ListParagraph"/>
              <w:numPr>
                <w:ilvl w:val="0"/>
                <w:numId w:val="36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Број обухваћених креатора политика</w:t>
            </w:r>
            <w:r w:rsidR="00C41128" w:rsidRPr="000A2AFE">
              <w:rPr>
                <w:rFonts w:ascii="Calibri Light" w:eastAsia="Times New Roman" w:hAnsi="Calibri Light" w:cs="Calibri Light"/>
                <w:color w:val="000000"/>
                <w:sz w:val="20"/>
                <w:szCs w:val="20"/>
                <w:lang w:eastAsia="en-GB"/>
              </w:rPr>
              <w:t xml:space="preserve"> унапређен</w:t>
            </w:r>
            <w:r w:rsidR="0047783C" w:rsidRPr="000A2AFE">
              <w:rPr>
                <w:rFonts w:ascii="Calibri Light" w:eastAsia="Times New Roman" w:hAnsi="Calibri Light" w:cs="Calibri Light"/>
                <w:color w:val="000000"/>
                <w:sz w:val="20"/>
                <w:szCs w:val="20"/>
                <w:lang w:eastAsia="en-GB"/>
              </w:rPr>
              <w:t>ог нивоа стручности</w:t>
            </w:r>
          </w:p>
        </w:tc>
      </w:tr>
      <w:tr w:rsidR="00854ADA" w:rsidRPr="00FF386D" w14:paraId="4EFD9BB9" w14:textId="77777777" w:rsidTr="0057310C">
        <w:trPr>
          <w:trHeight w:val="552"/>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276812E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5B291B9B" w14:textId="2093997B" w:rsidR="008613EE" w:rsidRPr="008613EE" w:rsidRDefault="008613EE" w:rsidP="008613EE">
            <w:pPr>
              <w:numPr>
                <w:ilvl w:val="0"/>
                <w:numId w:val="163"/>
              </w:numPr>
              <w:spacing w:after="0" w:line="240" w:lineRule="auto"/>
              <w:contextualSpacing/>
              <w:rPr>
                <w:rFonts w:ascii="Calibri Light" w:eastAsia="Times New Roman" w:hAnsi="Calibri Light" w:cs="Calibri Light"/>
                <w:color w:val="000000"/>
                <w:sz w:val="20"/>
                <w:szCs w:val="20"/>
                <w:lang w:eastAsia="en-GB"/>
              </w:rPr>
            </w:pPr>
            <w:r w:rsidRPr="008613EE">
              <w:rPr>
                <w:rFonts w:ascii="Calibri Light" w:eastAsia="Times New Roman" w:hAnsi="Calibri Light" w:cs="Calibri Light"/>
                <w:color w:val="000000"/>
                <w:sz w:val="20"/>
                <w:szCs w:val="20"/>
                <w:lang w:eastAsia="en-GB"/>
              </w:rPr>
              <w:t>Декарбонизација (постигнутом уштедом енергије смањиће се потрошња фосилних горива што ће довести до смањења емисија GHG</w:t>
            </w:r>
            <w:r>
              <w:rPr>
                <w:rFonts w:ascii="Calibri Light" w:eastAsia="Times New Roman" w:hAnsi="Calibri Light" w:cs="Calibri Light"/>
                <w:color w:val="000000"/>
                <w:sz w:val="20"/>
                <w:szCs w:val="20"/>
                <w:lang w:eastAsia="en-GB"/>
              </w:rPr>
              <w:t xml:space="preserve"> а коришћене технологије ОИЕ ће довести до укупног повећања удела ОИЕ</w:t>
            </w:r>
            <w:r w:rsidRPr="008613EE">
              <w:rPr>
                <w:rFonts w:ascii="Calibri Light" w:eastAsia="Times New Roman" w:hAnsi="Calibri Light" w:cs="Calibri Light"/>
                <w:color w:val="000000"/>
                <w:sz w:val="20"/>
                <w:szCs w:val="20"/>
                <w:lang w:eastAsia="en-GB"/>
              </w:rPr>
              <w:t>)</w:t>
            </w:r>
          </w:p>
          <w:p w14:paraId="5EAA86AE" w14:textId="2813720C" w:rsidR="00854ADA" w:rsidRPr="00576383" w:rsidRDefault="008613EE" w:rsidP="00565B02">
            <w:pPr>
              <w:numPr>
                <w:ilvl w:val="0"/>
                <w:numId w:val="163"/>
              </w:numPr>
              <w:spacing w:after="0" w:line="240" w:lineRule="auto"/>
              <w:contextualSpacing/>
              <w:rPr>
                <w:rFonts w:ascii="Calibri Light" w:eastAsia="Times New Roman" w:hAnsi="Calibri Light" w:cs="Calibri Light"/>
                <w:color w:val="000000"/>
                <w:sz w:val="20"/>
                <w:szCs w:val="20"/>
                <w:lang w:eastAsia="en-GB"/>
              </w:rPr>
            </w:pPr>
            <w:r w:rsidRPr="008613EE">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854ADA" w:rsidRPr="00FF386D" w14:paraId="34A61E50" w14:textId="77777777" w:rsidTr="0057310C">
        <w:trPr>
          <w:trHeight w:val="450"/>
        </w:trPr>
        <w:tc>
          <w:tcPr>
            <w:tcW w:w="3304"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724BF23A" w14:textId="37E9622A"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54"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66989C18" w14:textId="7DB6D40E" w:rsidR="00854ADA" w:rsidRPr="000A2AFE" w:rsidRDefault="00854ADA" w:rsidP="000A2AFE">
            <w:pPr>
              <w:numPr>
                <w:ilvl w:val="0"/>
                <w:numId w:val="163"/>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Директива </w:t>
            </w:r>
            <w:r w:rsidR="00C41128" w:rsidRPr="000A2AFE">
              <w:rPr>
                <w:rFonts w:ascii="Calibri Light" w:eastAsia="Times New Roman" w:hAnsi="Calibri Light" w:cs="Calibri Light"/>
                <w:color w:val="000000"/>
                <w:sz w:val="20"/>
                <w:szCs w:val="20"/>
                <w:lang w:eastAsia="en-GB"/>
              </w:rPr>
              <w:t xml:space="preserve">(ЕУ) </w:t>
            </w:r>
            <w:r w:rsidRPr="000A2AFE">
              <w:rPr>
                <w:rFonts w:ascii="Calibri Light" w:eastAsia="Times New Roman" w:hAnsi="Calibri Light" w:cs="Calibri Light"/>
                <w:color w:val="000000"/>
                <w:sz w:val="20"/>
                <w:szCs w:val="20"/>
                <w:lang w:eastAsia="en-GB"/>
              </w:rPr>
              <w:t>2010/31/ЕУ</w:t>
            </w:r>
          </w:p>
          <w:p w14:paraId="07A93CD5" w14:textId="77777777" w:rsidR="00854ADA" w:rsidRPr="000A2AFE" w:rsidRDefault="00854ADA" w:rsidP="000A2AFE">
            <w:pPr>
              <w:numPr>
                <w:ilvl w:val="0"/>
                <w:numId w:val="163"/>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Директива2012/27/ЕУ</w:t>
            </w:r>
          </w:p>
          <w:p w14:paraId="028F7161" w14:textId="77777777" w:rsidR="00854ADA" w:rsidRPr="00FF386D" w:rsidRDefault="00854ADA" w:rsidP="000A2AFE">
            <w:pPr>
              <w:numPr>
                <w:ilvl w:val="0"/>
                <w:numId w:val="163"/>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Директива2018/2002/ЕУ</w:t>
            </w:r>
          </w:p>
          <w:p w14:paraId="53FD39FA" w14:textId="77777777" w:rsidR="00854ADA" w:rsidRPr="00FF386D" w:rsidRDefault="00854ADA" w:rsidP="000A2AFE">
            <w:pPr>
              <w:numPr>
                <w:ilvl w:val="0"/>
                <w:numId w:val="163"/>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2018/844/ЕУ</w:t>
            </w:r>
          </w:p>
        </w:tc>
      </w:tr>
      <w:tr w:rsidR="00854ADA" w:rsidRPr="00FF386D" w14:paraId="23A66F0C" w14:textId="77777777" w:rsidTr="0057310C">
        <w:trPr>
          <w:trHeight w:val="450"/>
        </w:trPr>
        <w:tc>
          <w:tcPr>
            <w:tcW w:w="3304" w:type="dxa"/>
            <w:vMerge/>
            <w:tcBorders>
              <w:top w:val="nil"/>
              <w:left w:val="single" w:sz="8" w:space="0" w:color="auto"/>
              <w:bottom w:val="single" w:sz="8" w:space="0" w:color="000000"/>
              <w:right w:val="single" w:sz="8" w:space="0" w:color="auto"/>
            </w:tcBorders>
            <w:vAlign w:val="center"/>
            <w:hideMark/>
          </w:tcPr>
          <w:p w14:paraId="63E5C28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4" w:type="dxa"/>
            <w:gridSpan w:val="3"/>
            <w:vMerge/>
            <w:tcBorders>
              <w:top w:val="single" w:sz="8" w:space="0" w:color="auto"/>
              <w:left w:val="single" w:sz="8" w:space="0" w:color="auto"/>
              <w:bottom w:val="single" w:sz="8" w:space="0" w:color="000000"/>
              <w:right w:val="single" w:sz="8" w:space="0" w:color="000000"/>
            </w:tcBorders>
            <w:vAlign w:val="center"/>
            <w:hideMark/>
          </w:tcPr>
          <w:p w14:paraId="006451E5" w14:textId="77777777" w:rsidR="00854ADA" w:rsidRPr="00FF386D" w:rsidRDefault="00854ADA" w:rsidP="00854ADA">
            <w:pPr>
              <w:numPr>
                <w:ilvl w:val="0"/>
                <w:numId w:val="163"/>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53E4FC03" w14:textId="77777777" w:rsidTr="0057310C">
        <w:trPr>
          <w:trHeight w:val="450"/>
        </w:trPr>
        <w:tc>
          <w:tcPr>
            <w:tcW w:w="3304" w:type="dxa"/>
            <w:vMerge/>
            <w:tcBorders>
              <w:top w:val="nil"/>
              <w:left w:val="single" w:sz="8" w:space="0" w:color="auto"/>
              <w:bottom w:val="single" w:sz="8" w:space="0" w:color="000000"/>
              <w:right w:val="single" w:sz="8" w:space="0" w:color="auto"/>
            </w:tcBorders>
            <w:vAlign w:val="center"/>
            <w:hideMark/>
          </w:tcPr>
          <w:p w14:paraId="42FEE35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4" w:type="dxa"/>
            <w:gridSpan w:val="3"/>
            <w:vMerge/>
            <w:tcBorders>
              <w:top w:val="single" w:sz="8" w:space="0" w:color="auto"/>
              <w:left w:val="single" w:sz="8" w:space="0" w:color="auto"/>
              <w:bottom w:val="single" w:sz="8" w:space="0" w:color="000000"/>
              <w:right w:val="single" w:sz="8" w:space="0" w:color="000000"/>
            </w:tcBorders>
            <w:vAlign w:val="center"/>
            <w:hideMark/>
          </w:tcPr>
          <w:p w14:paraId="47639F59" w14:textId="77777777" w:rsidR="00854ADA" w:rsidRPr="00FF386D" w:rsidRDefault="00854ADA" w:rsidP="00854ADA">
            <w:pPr>
              <w:numPr>
                <w:ilvl w:val="0"/>
                <w:numId w:val="163"/>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5A115362" w14:textId="77777777" w:rsidTr="0057310C">
        <w:trPr>
          <w:trHeight w:val="780"/>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12A4E16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5A67C585" w14:textId="77777777" w:rsidR="00854ADA" w:rsidRPr="00FF386D" w:rsidRDefault="00854ADA" w:rsidP="00854ADA">
            <w:pPr>
              <w:numPr>
                <w:ilvl w:val="0"/>
                <w:numId w:val="163"/>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Дугорочна стратегија обнове националног фонда зграда</w:t>
            </w:r>
          </w:p>
        </w:tc>
      </w:tr>
      <w:tr w:rsidR="00854ADA" w:rsidRPr="00FF386D" w14:paraId="042F19C6"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65B8CF2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7DF03BB2" w14:textId="77777777"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Буџет интегрисан у све мере крајње употребе</w:t>
            </w:r>
          </w:p>
        </w:tc>
      </w:tr>
      <w:tr w:rsidR="00854ADA" w:rsidRPr="00FF386D" w14:paraId="2AC5DB27" w14:textId="77777777" w:rsidTr="0057310C">
        <w:trPr>
          <w:trHeight w:val="315"/>
        </w:trPr>
        <w:tc>
          <w:tcPr>
            <w:tcW w:w="3304" w:type="dxa"/>
            <w:tcBorders>
              <w:top w:val="nil"/>
              <w:left w:val="single" w:sz="8" w:space="0" w:color="auto"/>
              <w:bottom w:val="single" w:sz="8" w:space="0" w:color="auto"/>
              <w:right w:val="single" w:sz="8" w:space="0" w:color="auto"/>
            </w:tcBorders>
            <w:shd w:val="clear" w:color="000000" w:fill="244062"/>
            <w:vAlign w:val="center"/>
            <w:hideMark/>
          </w:tcPr>
          <w:p w14:paraId="1DFC690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54" w:type="dxa"/>
            <w:gridSpan w:val="3"/>
            <w:tcBorders>
              <w:top w:val="single" w:sz="8" w:space="0" w:color="auto"/>
              <w:left w:val="nil"/>
              <w:bottom w:val="single" w:sz="8" w:space="0" w:color="auto"/>
              <w:right w:val="single" w:sz="8" w:space="0" w:color="000000"/>
            </w:tcBorders>
            <w:shd w:val="clear" w:color="auto" w:fill="auto"/>
            <w:vAlign w:val="center"/>
            <w:hideMark/>
          </w:tcPr>
          <w:p w14:paraId="77559F1C" w14:textId="77777777"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Theme="majorHAnsi" w:eastAsia="Times New Roman" w:hAnsiTheme="majorHAnsi" w:cstheme="majorHAnsi"/>
                <w:color w:val="000000"/>
                <w:sz w:val="20"/>
                <w:szCs w:val="20"/>
                <w:lang w:eastAsia="en-GB"/>
              </w:rPr>
              <w:t>Фондови ЕУ и други фондови, јавни буџет, сопствена средства</w:t>
            </w:r>
          </w:p>
        </w:tc>
      </w:tr>
    </w:tbl>
    <w:p w14:paraId="037522E4"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10"/>
        <w:gridCol w:w="1007"/>
        <w:gridCol w:w="943"/>
        <w:gridCol w:w="4198"/>
      </w:tblGrid>
      <w:tr w:rsidR="00854ADA" w:rsidRPr="00FF386D" w14:paraId="2D734B36" w14:textId="77777777" w:rsidTr="0057310C">
        <w:trPr>
          <w:trHeight w:val="780"/>
        </w:trPr>
        <w:tc>
          <w:tcPr>
            <w:tcW w:w="3310"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3FC82F63"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Шифра мере политике:</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7DCEC965"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МП_ЕЕ41</w:t>
            </w:r>
          </w:p>
        </w:tc>
        <w:tc>
          <w:tcPr>
            <w:tcW w:w="943" w:type="dxa"/>
            <w:tcBorders>
              <w:top w:val="single" w:sz="8" w:space="0" w:color="auto"/>
              <w:left w:val="nil"/>
              <w:bottom w:val="single" w:sz="8" w:space="0" w:color="auto"/>
              <w:right w:val="single" w:sz="8" w:space="0" w:color="auto"/>
            </w:tcBorders>
            <w:shd w:val="clear" w:color="000000" w:fill="244062"/>
            <w:vAlign w:val="center"/>
            <w:hideMark/>
          </w:tcPr>
          <w:p w14:paraId="01111F2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eastAsia="Times New Roman" w:hAnsi="Calibri Light" w:cs="Calibri Light"/>
                <w:b/>
                <w:bCs/>
                <w:color w:val="FFFFFF"/>
                <w:sz w:val="20"/>
                <w:szCs w:val="20"/>
                <w:lang w:eastAsia="en-GB"/>
              </w:rPr>
              <w:t xml:space="preserve">Назив: </w:t>
            </w:r>
          </w:p>
        </w:tc>
        <w:tc>
          <w:tcPr>
            <w:tcW w:w="4198" w:type="dxa"/>
            <w:tcBorders>
              <w:top w:val="single" w:sz="8" w:space="0" w:color="auto"/>
              <w:left w:val="nil"/>
              <w:bottom w:val="single" w:sz="8" w:space="0" w:color="auto"/>
              <w:right w:val="single" w:sz="8" w:space="0" w:color="auto"/>
            </w:tcBorders>
            <w:shd w:val="clear" w:color="auto" w:fill="E7E6E6" w:themeFill="background2"/>
            <w:vAlign w:val="center"/>
            <w:hideMark/>
          </w:tcPr>
          <w:p w14:paraId="08E3FD26"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eastAsia="Times New Roman" w:hAnsi="Calibri Light" w:cs="Calibri Light"/>
                <w:b/>
                <w:bCs/>
                <w:color w:val="000000"/>
                <w:sz w:val="20"/>
                <w:szCs w:val="20"/>
                <w:lang w:eastAsia="en-GB"/>
              </w:rPr>
              <w:t>Промовисање паметних и угљенично неутралних градова</w:t>
            </w:r>
          </w:p>
        </w:tc>
      </w:tr>
      <w:tr w:rsidR="00854ADA" w:rsidRPr="00FF386D" w14:paraId="77745889" w14:textId="77777777" w:rsidTr="0057310C">
        <w:trPr>
          <w:trHeight w:val="407"/>
        </w:trPr>
        <w:tc>
          <w:tcPr>
            <w:tcW w:w="3310" w:type="dxa"/>
            <w:tcBorders>
              <w:top w:val="nil"/>
              <w:left w:val="single" w:sz="8" w:space="0" w:color="auto"/>
              <w:bottom w:val="single" w:sz="8" w:space="0" w:color="auto"/>
              <w:right w:val="nil"/>
            </w:tcBorders>
            <w:shd w:val="clear" w:color="000000" w:fill="244062"/>
            <w:vAlign w:val="center"/>
            <w:hideMark/>
          </w:tcPr>
          <w:p w14:paraId="3B1922A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Главни циљ:</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4E527209" w14:textId="0D0B0F74" w:rsidR="00854ADA" w:rsidRPr="000A2AFE" w:rsidRDefault="00C41128"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 xml:space="preserve">Примена </w:t>
            </w:r>
            <w:r w:rsidR="00854ADA" w:rsidRPr="00FF386D">
              <w:rPr>
                <w:rFonts w:ascii="Calibri Light" w:hAnsi="Calibri Light"/>
                <w:sz w:val="20"/>
              </w:rPr>
              <w:t xml:space="preserve">чланова Директиве </w:t>
            </w:r>
            <w:r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w:t>
            </w:r>
            <w:r w:rsidRPr="00FF386D">
              <w:rPr>
                <w:rFonts w:ascii="Calibri Light" w:hAnsi="Calibri Light"/>
                <w:sz w:val="20"/>
              </w:rPr>
              <w:t>02, и то</w:t>
            </w:r>
            <w:r w:rsidR="00854ADA" w:rsidRPr="000A2AFE">
              <w:rPr>
                <w:rFonts w:ascii="Calibri Light" w:eastAsia="Times New Roman" w:hAnsi="Calibri Light" w:cs="Calibri Light"/>
                <w:color w:val="000000"/>
                <w:sz w:val="20"/>
                <w:szCs w:val="20"/>
                <w:lang w:eastAsia="en-GB"/>
              </w:rPr>
              <w:t>:</w:t>
            </w:r>
          </w:p>
          <w:p w14:paraId="4BEDA8DF" w14:textId="27FEE9FF" w:rsidR="00854ADA" w:rsidRPr="00FF386D" w:rsidRDefault="00854ADA" w:rsidP="00854ADA">
            <w:pPr>
              <w:numPr>
                <w:ilvl w:val="0"/>
                <w:numId w:val="16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04587B"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3</w:t>
            </w:r>
          </w:p>
        </w:tc>
      </w:tr>
      <w:tr w:rsidR="00854ADA" w:rsidRPr="00FF386D" w14:paraId="19B1AB3C"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457584B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Квантификовани циљ:</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48705D22" w14:textId="5973D98D"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 xml:space="preserve">Допринос </w:t>
            </w:r>
            <w:r w:rsidR="00B44FF3" w:rsidRPr="00B44FF3">
              <w:rPr>
                <w:rFonts w:asciiTheme="majorHAnsi" w:eastAsia="Times New Roman" w:hAnsiTheme="majorHAnsi" w:cstheme="majorHAnsi"/>
                <w:color w:val="000000"/>
                <w:sz w:val="20"/>
                <w:szCs w:val="20"/>
                <w:lang w:eastAsia="en-GB"/>
              </w:rPr>
              <w:t>постизању очекиваних нивоa финалне потрошње енергије</w:t>
            </w:r>
          </w:p>
        </w:tc>
      </w:tr>
      <w:tr w:rsidR="00854ADA" w:rsidRPr="00FF386D" w14:paraId="07C8705F" w14:textId="77777777" w:rsidTr="0057310C">
        <w:trPr>
          <w:trHeight w:val="229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5002D40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Опис:</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178C98A3" w14:textId="024197EB"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МП_ЕЕ41 ће промовисати модел паметних и угљенично неутралних градова до 2030. године </w:t>
            </w:r>
            <w:r w:rsidR="006D743A" w:rsidRPr="006D743A">
              <w:rPr>
                <w:rFonts w:ascii="Calibri Light" w:hAnsi="Calibri Light"/>
                <w:sz w:val="20"/>
              </w:rPr>
              <w:t>пружањем финансијске подршке одређеним инвестицијама</w:t>
            </w:r>
            <w:r w:rsidRPr="00FF386D">
              <w:rPr>
                <w:rFonts w:ascii="Calibri Light" w:hAnsi="Calibri Light"/>
                <w:sz w:val="20"/>
              </w:rPr>
              <w:t xml:space="preserve"> у </w:t>
            </w:r>
            <w:r w:rsidR="00C41128" w:rsidRPr="00FF386D">
              <w:rPr>
                <w:rFonts w:ascii="Calibri Light" w:hAnsi="Calibri Light"/>
                <w:sz w:val="20"/>
              </w:rPr>
              <w:t>свим секторима финалне потрошње</w:t>
            </w:r>
            <w:r w:rsidRPr="00FF386D">
              <w:rPr>
                <w:rFonts w:ascii="Calibri Light" w:hAnsi="Calibri Light"/>
                <w:sz w:val="20"/>
              </w:rPr>
              <w:t>. У том контекст</w:t>
            </w:r>
            <w:r w:rsidR="00C07EA3" w:rsidRPr="00FF386D">
              <w:rPr>
                <w:rFonts w:ascii="Calibri Light" w:hAnsi="Calibri Light"/>
                <w:sz w:val="20"/>
              </w:rPr>
              <w:t>у, биће омогућено прикупљање података, како</w:t>
            </w:r>
            <w:r w:rsidR="00C41128" w:rsidRPr="00FF386D">
              <w:rPr>
                <w:rFonts w:ascii="Calibri Light" w:hAnsi="Calibri Light"/>
                <w:sz w:val="20"/>
              </w:rPr>
              <w:t xml:space="preserve"> </w:t>
            </w:r>
            <w:r w:rsidR="00C07EA3" w:rsidRPr="00FF386D">
              <w:rPr>
                <w:rFonts w:ascii="Calibri Light" w:hAnsi="Calibri Light"/>
                <w:sz w:val="20"/>
              </w:rPr>
              <w:t xml:space="preserve">од </w:t>
            </w:r>
            <w:r w:rsidR="004A34CB" w:rsidRPr="00FF386D">
              <w:rPr>
                <w:rFonts w:ascii="Calibri Light" w:hAnsi="Calibri Light"/>
                <w:sz w:val="20"/>
              </w:rPr>
              <w:t xml:space="preserve">зграда </w:t>
            </w:r>
            <w:r w:rsidR="00C07EA3" w:rsidRPr="00FF386D">
              <w:rPr>
                <w:rFonts w:ascii="Calibri Light" w:hAnsi="Calibri Light"/>
                <w:sz w:val="20"/>
              </w:rPr>
              <w:t xml:space="preserve">тако и возила, као независних </w:t>
            </w:r>
            <w:r w:rsidR="004A34CB" w:rsidRPr="00FF386D">
              <w:rPr>
                <w:rFonts w:ascii="Calibri Light" w:hAnsi="Calibri Light"/>
                <w:sz w:val="20"/>
              </w:rPr>
              <w:t>субјеката</w:t>
            </w:r>
            <w:r w:rsidR="00C07EA3" w:rsidRPr="00FF386D">
              <w:rPr>
                <w:rFonts w:ascii="Calibri Light" w:hAnsi="Calibri Light"/>
                <w:sz w:val="20"/>
              </w:rPr>
              <w:t>, преко</w:t>
            </w:r>
            <w:r w:rsidRPr="00FF386D">
              <w:rPr>
                <w:rFonts w:ascii="Calibri Light" w:hAnsi="Calibri Light"/>
                <w:sz w:val="20"/>
              </w:rPr>
              <w:t xml:space="preserve"> структур</w:t>
            </w:r>
            <w:r w:rsidR="00C07EA3" w:rsidRPr="00FF386D">
              <w:rPr>
                <w:rFonts w:ascii="Calibri Light" w:hAnsi="Calibri Light"/>
                <w:sz w:val="20"/>
              </w:rPr>
              <w:t>а</w:t>
            </w:r>
            <w:r w:rsidRPr="00FF386D">
              <w:rPr>
                <w:rFonts w:ascii="Calibri Light" w:hAnsi="Calibri Light"/>
                <w:sz w:val="20"/>
              </w:rPr>
              <w:t xml:space="preserve"> подршке утемељен</w:t>
            </w:r>
            <w:r w:rsidR="00C07EA3" w:rsidRPr="00FF386D">
              <w:rPr>
                <w:rFonts w:ascii="Calibri Light" w:hAnsi="Calibri Light"/>
                <w:sz w:val="20"/>
              </w:rPr>
              <w:t>их</w:t>
            </w:r>
            <w:r w:rsidRPr="00FF386D">
              <w:rPr>
                <w:rFonts w:ascii="Calibri Light" w:hAnsi="Calibri Light"/>
                <w:sz w:val="20"/>
              </w:rPr>
              <w:t xml:space="preserve"> на употреби </w:t>
            </w:r>
            <w:r w:rsidR="00C41128" w:rsidRPr="00FF386D">
              <w:rPr>
                <w:rFonts w:ascii="Calibri Light" w:hAnsi="Calibri Light"/>
                <w:sz w:val="20"/>
              </w:rPr>
              <w:t>паметних</w:t>
            </w:r>
            <w:r w:rsidRPr="00FF386D">
              <w:rPr>
                <w:rFonts w:ascii="Calibri Light" w:hAnsi="Calibri Light"/>
                <w:sz w:val="20"/>
              </w:rPr>
              <w:t xml:space="preserve"> информационих и комуникационих технологија</w:t>
            </w:r>
            <w:r w:rsidR="00C07EA3" w:rsidRPr="00FF386D">
              <w:rPr>
                <w:rFonts w:ascii="Calibri Light" w:hAnsi="Calibri Light"/>
                <w:sz w:val="20"/>
              </w:rPr>
              <w:t>, и на тај начин остварити допринос</w:t>
            </w:r>
            <w:r w:rsidRPr="00FF386D">
              <w:rPr>
                <w:rFonts w:ascii="Calibri Light" w:hAnsi="Calibri Light"/>
                <w:sz w:val="20"/>
              </w:rPr>
              <w:t xml:space="preserve"> ублажавању негативних утицаја изазваних урбаниз</w:t>
            </w:r>
            <w:r w:rsidR="006D743A" w:rsidRPr="006D743A">
              <w:rPr>
                <w:rFonts w:ascii="Calibri Light" w:hAnsi="Calibri Light"/>
                <w:sz w:val="20"/>
              </w:rPr>
              <w:t>ациј</w:t>
            </w:r>
            <w:r w:rsidRPr="00FF386D">
              <w:rPr>
                <w:rFonts w:ascii="Calibri Light" w:hAnsi="Calibri Light"/>
                <w:sz w:val="20"/>
              </w:rPr>
              <w:t>ом. Масовна примена напредних мерних уређаја сматра се предусловом за реализацију паметних и угљенички неутралних градова</w:t>
            </w:r>
            <w:r w:rsidRPr="000A2AFE">
              <w:rPr>
                <w:rFonts w:ascii="Calibri Light" w:eastAsia="Times New Roman" w:hAnsi="Calibri Light" w:cs="Calibri Light"/>
                <w:color w:val="000000"/>
                <w:sz w:val="20"/>
                <w:szCs w:val="20"/>
                <w:lang w:eastAsia="en-GB"/>
              </w:rPr>
              <w:t>.</w:t>
            </w:r>
            <w:r w:rsidR="006D743A">
              <w:t xml:space="preserve"> </w:t>
            </w:r>
            <w:r w:rsidR="006D743A" w:rsidRPr="006D743A">
              <w:rPr>
                <w:rFonts w:ascii="Calibri Light" w:eastAsia="Times New Roman" w:hAnsi="Calibri Light" w:cs="Calibri Light"/>
                <w:color w:val="000000"/>
                <w:sz w:val="20"/>
                <w:szCs w:val="20"/>
                <w:lang w:eastAsia="en-GB"/>
              </w:rPr>
              <w:t>Треба поменути да ће подстицање паметних и угљ</w:t>
            </w:r>
            <w:r w:rsidR="009E7728">
              <w:rPr>
                <w:rFonts w:ascii="Calibri Light" w:eastAsia="Times New Roman" w:hAnsi="Calibri Light" w:cs="Calibri Light"/>
                <w:color w:val="000000"/>
                <w:sz w:val="20"/>
                <w:szCs w:val="20"/>
                <w:lang w:eastAsia="en-GB"/>
              </w:rPr>
              <w:t>е</w:t>
            </w:r>
            <w:r w:rsidR="006D743A" w:rsidRPr="006D743A">
              <w:rPr>
                <w:rFonts w:ascii="Calibri Light" w:eastAsia="Times New Roman" w:hAnsi="Calibri Light" w:cs="Calibri Light"/>
                <w:color w:val="000000"/>
                <w:sz w:val="20"/>
                <w:szCs w:val="20"/>
                <w:lang w:eastAsia="en-GB"/>
              </w:rPr>
              <w:t>нички неутралних градова бити постигнуто у складу са одредбама законодавног оквира о планирању и изградњи укључујући циљане урбанистичке интервенције за постизање бољих микроклиматских услова.</w:t>
            </w:r>
          </w:p>
        </w:tc>
      </w:tr>
      <w:tr w:rsidR="00854ADA" w:rsidRPr="00FF386D" w14:paraId="7A773F21"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2F8BA71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Временски оквир имплементације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1B96924C" w14:textId="252C927D" w:rsidR="00854ADA" w:rsidRPr="00FF386D" w:rsidRDefault="00FE6E9F"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Pr>
                <w:rFonts w:ascii="Calibri Light" w:hAnsi="Calibri Light"/>
                <w:sz w:val="20"/>
              </w:rPr>
              <w:t>5</w:t>
            </w:r>
            <w:r w:rsidR="00854ADA" w:rsidRPr="00FF386D">
              <w:rPr>
                <w:rFonts w:ascii="Calibri Light" w:hAnsi="Calibri Light"/>
                <w:sz w:val="20"/>
              </w:rPr>
              <w:t>-2030.</w:t>
            </w:r>
          </w:p>
        </w:tc>
      </w:tr>
      <w:tr w:rsidR="00854ADA" w:rsidRPr="00FF386D" w14:paraId="44089236"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4BBDC6C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Тип мере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4A80A361"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Инвестиције</w:t>
            </w:r>
          </w:p>
        </w:tc>
      </w:tr>
      <w:tr w:rsidR="00854ADA" w:rsidRPr="00FF386D" w14:paraId="76E6F8B2"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17DDF08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Покривени/ обухваћени сектори</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3860DC0F"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Сви сектори финалне потрошње</w:t>
            </w:r>
          </w:p>
        </w:tc>
      </w:tr>
      <w:tr w:rsidR="00854ADA" w:rsidRPr="00FF386D" w14:paraId="4EC143B9"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15DFCF4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Извршни орган</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33329726" w14:textId="39FC99C8" w:rsidR="00854ADA" w:rsidRPr="00FF386D" w:rsidRDefault="00C41128" w:rsidP="00C41128">
            <w:pPr>
              <w:pStyle w:val="ListParagraph"/>
              <w:numPr>
                <w:ilvl w:val="0"/>
                <w:numId w:val="164"/>
              </w:num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рударства</w:t>
            </w:r>
            <w:r w:rsidR="00FE6E9F">
              <w:rPr>
                <w:rFonts w:ascii="Calibri Light" w:eastAsia="Times New Roman" w:hAnsi="Calibri Light" w:cs="Calibri Light"/>
                <w:color w:val="000000"/>
                <w:sz w:val="20"/>
                <w:szCs w:val="20"/>
                <w:lang w:eastAsia="en-GB"/>
              </w:rPr>
              <w:t xml:space="preserve"> и </w:t>
            </w:r>
            <w:r w:rsidR="00FE6E9F" w:rsidRPr="00FE6E9F">
              <w:rPr>
                <w:rFonts w:ascii="Calibri Light" w:eastAsia="Times New Roman" w:hAnsi="Calibri Light" w:cs="Calibri Light"/>
                <w:color w:val="000000"/>
                <w:sz w:val="20"/>
                <w:szCs w:val="20"/>
                <w:lang w:eastAsia="en-GB"/>
              </w:rPr>
              <w:t>енергетике</w:t>
            </w:r>
          </w:p>
          <w:p w14:paraId="461FD87E" w14:textId="1D46B189" w:rsidR="00C41128" w:rsidRPr="00FF386D" w:rsidRDefault="00C41128" w:rsidP="00C41128">
            <w:pPr>
              <w:pStyle w:val="ListParagraph"/>
              <w:numPr>
                <w:ilvl w:val="0"/>
                <w:numId w:val="164"/>
              </w:num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грађевинарства, саобраћаја и инфраструктуре</w:t>
            </w:r>
          </w:p>
        </w:tc>
      </w:tr>
      <w:tr w:rsidR="00854ADA" w:rsidRPr="00FF386D" w14:paraId="7BC44142" w14:textId="77777777" w:rsidTr="0057310C">
        <w:trPr>
          <w:trHeight w:val="315"/>
        </w:trPr>
        <w:tc>
          <w:tcPr>
            <w:tcW w:w="3310" w:type="dxa"/>
            <w:tcBorders>
              <w:top w:val="nil"/>
              <w:left w:val="single" w:sz="8" w:space="0" w:color="auto"/>
              <w:bottom w:val="single" w:sz="8" w:space="0" w:color="auto"/>
              <w:right w:val="nil"/>
            </w:tcBorders>
            <w:shd w:val="clear" w:color="000000" w:fill="244062"/>
            <w:vAlign w:val="center"/>
            <w:hideMark/>
          </w:tcPr>
          <w:p w14:paraId="674FE3E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Тело за праћење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7EE6EAA2" w14:textId="2AA4555D" w:rsidR="00854ADA" w:rsidRPr="000A2AFE" w:rsidRDefault="008613EE" w:rsidP="00565B02">
            <w:pPr>
              <w:pStyle w:val="ListParagraph"/>
              <w:numPr>
                <w:ilvl w:val="0"/>
                <w:numId w:val="366"/>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0FE84D8D" w14:textId="77777777" w:rsidTr="0057310C">
        <w:trPr>
          <w:trHeight w:val="315"/>
        </w:trPr>
        <w:tc>
          <w:tcPr>
            <w:tcW w:w="3310" w:type="dxa"/>
            <w:tcBorders>
              <w:top w:val="nil"/>
              <w:left w:val="single" w:sz="8" w:space="0" w:color="auto"/>
              <w:bottom w:val="single" w:sz="8" w:space="0" w:color="auto"/>
              <w:right w:val="nil"/>
            </w:tcBorders>
            <w:shd w:val="clear" w:color="000000" w:fill="244062"/>
            <w:vAlign w:val="center"/>
            <w:hideMark/>
          </w:tcPr>
          <w:p w14:paraId="33087D4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Индикатори напретка</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67BB1A2E" w14:textId="77777777" w:rsidR="00854ADA" w:rsidRPr="000A2AFE" w:rsidRDefault="00854ADA" w:rsidP="000A2AFE">
            <w:pPr>
              <w:pStyle w:val="ListParagraph"/>
              <w:numPr>
                <w:ilvl w:val="0"/>
                <w:numId w:val="365"/>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Број обухваћених градова</w:t>
            </w:r>
          </w:p>
        </w:tc>
      </w:tr>
      <w:tr w:rsidR="00854ADA" w:rsidRPr="00FF386D" w14:paraId="283894D4" w14:textId="77777777" w:rsidTr="0057310C">
        <w:trPr>
          <w:trHeight w:val="467"/>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5DF3D0D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Друге релевантне обухваћене димензије Енергетске уније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37FF0FE2" w14:textId="7D6BA41A" w:rsidR="00273B98" w:rsidRPr="00273B98" w:rsidRDefault="00273B98" w:rsidP="00273B98">
            <w:pPr>
              <w:numPr>
                <w:ilvl w:val="0"/>
                <w:numId w:val="164"/>
              </w:numPr>
              <w:spacing w:after="0" w:line="240" w:lineRule="auto"/>
              <w:contextualSpacing/>
              <w:rPr>
                <w:rFonts w:ascii="Calibri Light" w:eastAsia="Times New Roman" w:hAnsi="Calibri Light" w:cs="Calibri Light"/>
                <w:color w:val="000000"/>
                <w:sz w:val="20"/>
                <w:szCs w:val="20"/>
                <w:lang w:eastAsia="en-GB"/>
              </w:rPr>
            </w:pPr>
            <w:r w:rsidRPr="00273B98">
              <w:rPr>
                <w:rFonts w:ascii="Calibri Light" w:eastAsia="Times New Roman" w:hAnsi="Calibri Light" w:cs="Calibri Light"/>
                <w:color w:val="000000"/>
                <w:sz w:val="20"/>
                <w:szCs w:val="20"/>
                <w:lang w:eastAsia="en-GB"/>
              </w:rPr>
              <w:t>Декарбонизација (постигнутом уштедом енергије смањиће се потрошња фосилних горива што ће довести до смањења емисија GHG)</w:t>
            </w:r>
          </w:p>
          <w:p w14:paraId="4F11191B" w14:textId="77777777" w:rsidR="00273B98" w:rsidRPr="00273B98" w:rsidRDefault="00273B98" w:rsidP="00273B98">
            <w:pPr>
              <w:numPr>
                <w:ilvl w:val="0"/>
                <w:numId w:val="164"/>
              </w:numPr>
              <w:spacing w:after="0" w:line="240" w:lineRule="auto"/>
              <w:contextualSpacing/>
              <w:rPr>
                <w:rFonts w:ascii="Calibri Light" w:eastAsia="Times New Roman" w:hAnsi="Calibri Light" w:cs="Calibri Light"/>
                <w:color w:val="000000"/>
                <w:sz w:val="20"/>
                <w:szCs w:val="20"/>
                <w:lang w:eastAsia="en-GB"/>
              </w:rPr>
            </w:pPr>
            <w:r w:rsidRPr="00273B98">
              <w:rPr>
                <w:rFonts w:ascii="Calibri Light" w:eastAsia="Times New Roman" w:hAnsi="Calibri Light" w:cs="Calibri Light"/>
                <w:color w:val="000000"/>
                <w:sz w:val="20"/>
                <w:szCs w:val="20"/>
                <w:lang w:eastAsia="en-GB"/>
              </w:rPr>
              <w:lastRenderedPageBreak/>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p w14:paraId="6D9FD844" w14:textId="2B52D05A" w:rsidR="00854ADA" w:rsidRPr="00FF386D" w:rsidRDefault="00273B98" w:rsidP="00854ADA">
            <w:pPr>
              <w:numPr>
                <w:ilvl w:val="0"/>
                <w:numId w:val="164"/>
              </w:numPr>
              <w:spacing w:after="0" w:line="240" w:lineRule="auto"/>
              <w:contextualSpacing/>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Унутрашње енергетско тржиште (инсталација напредних мерних уређаја ће омогућити интеграцију и спајање тржишта)</w:t>
            </w:r>
          </w:p>
        </w:tc>
      </w:tr>
      <w:tr w:rsidR="00854ADA" w:rsidRPr="00FF386D" w14:paraId="2676656B" w14:textId="77777777" w:rsidTr="0057310C">
        <w:trPr>
          <w:trHeight w:val="450"/>
        </w:trPr>
        <w:tc>
          <w:tcPr>
            <w:tcW w:w="3310"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1DB240B1" w14:textId="165D06E0"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 xml:space="preserve">Политике Уније која су </w:t>
            </w:r>
            <w:r w:rsidR="003F1C65" w:rsidRPr="00FF386D">
              <w:rPr>
                <w:rFonts w:asciiTheme="majorHAnsi" w:hAnsiTheme="majorHAnsi" w:cstheme="majorHAnsi"/>
                <w:b/>
                <w:bCs/>
                <w:sz w:val="20"/>
                <w:szCs w:val="20"/>
              </w:rPr>
              <w:t>резултирале имплементацијом</w:t>
            </w:r>
            <w:r w:rsidR="00854ADA" w:rsidRPr="00FF386D">
              <w:rPr>
                <w:rFonts w:asciiTheme="majorHAnsi" w:hAnsiTheme="majorHAnsi" w:cstheme="majorHAnsi"/>
                <w:b/>
                <w:bCs/>
                <w:sz w:val="20"/>
                <w:szCs w:val="20"/>
              </w:rPr>
              <w:t xml:space="preserve"> ове МП</w:t>
            </w:r>
          </w:p>
        </w:tc>
        <w:tc>
          <w:tcPr>
            <w:tcW w:w="6148"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5A687834" w14:textId="500B5F06" w:rsidR="00854ADA" w:rsidRPr="00FF386D" w:rsidRDefault="00854ADA" w:rsidP="00C41128">
            <w:pPr>
              <w:pStyle w:val="ListParagraph"/>
              <w:numPr>
                <w:ilvl w:val="0"/>
                <w:numId w:val="164"/>
              </w:num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Директива </w:t>
            </w:r>
            <w:r w:rsidR="00C41128" w:rsidRPr="00FF386D">
              <w:rPr>
                <w:rFonts w:ascii="Calibri Light" w:eastAsia="Times New Roman" w:hAnsi="Calibri Light" w:cs="Calibri Light"/>
                <w:color w:val="000000"/>
                <w:sz w:val="20"/>
                <w:szCs w:val="20"/>
                <w:lang w:eastAsia="en-GB"/>
              </w:rPr>
              <w:t xml:space="preserve">(ЕУ) </w:t>
            </w:r>
            <w:r w:rsidRPr="00FF386D">
              <w:rPr>
                <w:rFonts w:ascii="Calibri Light" w:eastAsia="Times New Roman" w:hAnsi="Calibri Light" w:cs="Calibri Light"/>
                <w:color w:val="000000"/>
                <w:sz w:val="20"/>
                <w:szCs w:val="20"/>
                <w:lang w:eastAsia="en-GB"/>
              </w:rPr>
              <w:t>2012/27</w:t>
            </w:r>
          </w:p>
          <w:p w14:paraId="74D83BAE" w14:textId="329E6CBD" w:rsidR="00854ADA" w:rsidRPr="00FF386D" w:rsidRDefault="00854ADA" w:rsidP="00854ADA">
            <w:pPr>
              <w:numPr>
                <w:ilvl w:val="0"/>
                <w:numId w:val="16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Директива </w:t>
            </w:r>
            <w:r w:rsidR="00C41128" w:rsidRPr="00FF386D">
              <w:rPr>
                <w:rFonts w:ascii="Calibri Light" w:eastAsia="Times New Roman" w:hAnsi="Calibri Light" w:cs="Calibri Light"/>
                <w:color w:val="000000"/>
                <w:sz w:val="20"/>
                <w:szCs w:val="20"/>
                <w:lang w:eastAsia="en-GB"/>
              </w:rPr>
              <w:t xml:space="preserve">(ЕУ) </w:t>
            </w:r>
            <w:r w:rsidRPr="00FF386D">
              <w:rPr>
                <w:rFonts w:ascii="Calibri Light" w:eastAsia="Times New Roman" w:hAnsi="Calibri Light" w:cs="Calibri Light"/>
                <w:color w:val="000000"/>
                <w:sz w:val="20"/>
                <w:szCs w:val="20"/>
                <w:lang w:eastAsia="en-GB"/>
              </w:rPr>
              <w:t>2018/2002</w:t>
            </w:r>
          </w:p>
        </w:tc>
      </w:tr>
      <w:tr w:rsidR="00854ADA" w:rsidRPr="00FF386D" w14:paraId="25615934" w14:textId="77777777" w:rsidTr="0057310C">
        <w:trPr>
          <w:trHeight w:val="450"/>
        </w:trPr>
        <w:tc>
          <w:tcPr>
            <w:tcW w:w="3310" w:type="dxa"/>
            <w:vMerge/>
            <w:tcBorders>
              <w:top w:val="nil"/>
              <w:left w:val="single" w:sz="8" w:space="0" w:color="auto"/>
              <w:bottom w:val="single" w:sz="8" w:space="0" w:color="000000"/>
              <w:right w:val="single" w:sz="8" w:space="0" w:color="auto"/>
            </w:tcBorders>
            <w:vAlign w:val="center"/>
            <w:hideMark/>
          </w:tcPr>
          <w:p w14:paraId="271D803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8" w:type="dxa"/>
            <w:gridSpan w:val="3"/>
            <w:vMerge/>
            <w:tcBorders>
              <w:top w:val="single" w:sz="8" w:space="0" w:color="auto"/>
              <w:left w:val="single" w:sz="8" w:space="0" w:color="auto"/>
              <w:bottom w:val="single" w:sz="8" w:space="0" w:color="000000"/>
              <w:right w:val="single" w:sz="8" w:space="0" w:color="000000"/>
            </w:tcBorders>
            <w:vAlign w:val="center"/>
            <w:hideMark/>
          </w:tcPr>
          <w:p w14:paraId="31CD206A" w14:textId="77777777" w:rsidR="00854ADA" w:rsidRPr="00FF386D" w:rsidRDefault="00854ADA" w:rsidP="00854ADA">
            <w:pPr>
              <w:numPr>
                <w:ilvl w:val="0"/>
                <w:numId w:val="16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600F68D2" w14:textId="77777777" w:rsidTr="00565B02">
        <w:trPr>
          <w:trHeight w:val="450"/>
        </w:trPr>
        <w:tc>
          <w:tcPr>
            <w:tcW w:w="3310" w:type="dxa"/>
            <w:vMerge/>
            <w:tcBorders>
              <w:top w:val="nil"/>
              <w:left w:val="single" w:sz="8" w:space="0" w:color="auto"/>
              <w:bottom w:val="single" w:sz="8" w:space="0" w:color="000000"/>
              <w:right w:val="single" w:sz="8" w:space="0" w:color="auto"/>
            </w:tcBorders>
            <w:vAlign w:val="center"/>
            <w:hideMark/>
          </w:tcPr>
          <w:p w14:paraId="22A7D97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8" w:type="dxa"/>
            <w:gridSpan w:val="3"/>
            <w:vMerge/>
            <w:tcBorders>
              <w:top w:val="single" w:sz="8" w:space="0" w:color="auto"/>
              <w:left w:val="single" w:sz="8" w:space="0" w:color="auto"/>
              <w:bottom w:val="single" w:sz="8" w:space="0" w:color="000000"/>
              <w:right w:val="single" w:sz="8" w:space="0" w:color="000000"/>
            </w:tcBorders>
            <w:vAlign w:val="center"/>
            <w:hideMark/>
          </w:tcPr>
          <w:p w14:paraId="1C4D6459" w14:textId="77777777" w:rsidR="00854ADA" w:rsidRPr="00FF386D" w:rsidRDefault="00854ADA" w:rsidP="00854ADA">
            <w:pPr>
              <w:numPr>
                <w:ilvl w:val="0"/>
                <w:numId w:val="16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2232D674" w14:textId="77777777" w:rsidTr="0057310C">
        <w:trPr>
          <w:trHeight w:val="400"/>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4A352CD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48" w:type="dxa"/>
            <w:gridSpan w:val="3"/>
            <w:tcBorders>
              <w:top w:val="single" w:sz="8" w:space="0" w:color="auto"/>
              <w:left w:val="nil"/>
              <w:bottom w:val="single" w:sz="8" w:space="0" w:color="auto"/>
              <w:right w:val="single" w:sz="8" w:space="0" w:color="auto"/>
            </w:tcBorders>
            <w:shd w:val="clear" w:color="auto" w:fill="auto"/>
            <w:vAlign w:val="center"/>
            <w:hideMark/>
          </w:tcPr>
          <w:p w14:paraId="21AD45DD" w14:textId="77A30E0A" w:rsidR="00FE6E9F" w:rsidRPr="000A2AFE" w:rsidRDefault="00FE6E9F" w:rsidP="000A2AFE">
            <w:pPr>
              <w:pStyle w:val="ListParagraph"/>
              <w:numPr>
                <w:ilvl w:val="0"/>
                <w:numId w:val="164"/>
              </w:numPr>
              <w:spacing w:after="0"/>
              <w:ind w:left="714" w:hanging="357"/>
              <w:rPr>
                <w:rFonts w:ascii="Calibri Light" w:eastAsia="Times New Roman" w:hAnsi="Calibri Light" w:cs="Calibri Light"/>
                <w:color w:val="000000"/>
                <w:sz w:val="20"/>
                <w:szCs w:val="20"/>
                <w:lang w:eastAsia="en-GB"/>
              </w:rPr>
            </w:pPr>
            <w:r w:rsidRPr="00FE6E9F">
              <w:rPr>
                <w:rFonts w:ascii="Calibri Light" w:eastAsia="Times New Roman" w:hAnsi="Calibri Light" w:cs="Calibri Light"/>
                <w:color w:val="000000"/>
                <w:sz w:val="20"/>
                <w:szCs w:val="20"/>
                <w:lang w:eastAsia="en-GB"/>
              </w:rPr>
              <w:t>Закон о планирању и изградњи</w:t>
            </w:r>
          </w:p>
          <w:p w14:paraId="7506D553" w14:textId="3FC7A816" w:rsidR="00854ADA" w:rsidRPr="00FF386D" w:rsidRDefault="00854ADA" w:rsidP="00854ADA">
            <w:pPr>
              <w:numPr>
                <w:ilvl w:val="0"/>
                <w:numId w:val="16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Стратегија одрживог урбаног развоја </w:t>
            </w:r>
            <w:r w:rsidR="00FE6E9F" w:rsidRPr="00FE6E9F">
              <w:rPr>
                <w:rFonts w:ascii="Calibri Light" w:eastAsia="Times New Roman" w:hAnsi="Calibri Light" w:cs="Calibri Light"/>
                <w:color w:val="000000"/>
                <w:sz w:val="20"/>
                <w:szCs w:val="20"/>
                <w:lang w:eastAsia="en-GB"/>
              </w:rPr>
              <w:t>Републике Србије до</w:t>
            </w:r>
            <w:r w:rsidRPr="00FF386D">
              <w:rPr>
                <w:rFonts w:ascii="Calibri Light" w:eastAsia="Times New Roman" w:hAnsi="Calibri Light" w:cs="Calibri Light"/>
                <w:color w:val="000000"/>
                <w:sz w:val="20"/>
                <w:szCs w:val="20"/>
                <w:lang w:eastAsia="en-GB"/>
              </w:rPr>
              <w:t xml:space="preserve"> 2030. годин</w:t>
            </w:r>
            <w:r w:rsidR="00FE6E9F">
              <w:rPr>
                <w:rFonts w:ascii="Calibri Light" w:eastAsia="Times New Roman" w:hAnsi="Calibri Light" w:cs="Calibri Light"/>
                <w:color w:val="000000"/>
                <w:sz w:val="20"/>
                <w:szCs w:val="20"/>
                <w:lang w:eastAsia="en-GB"/>
              </w:rPr>
              <w:t>е</w:t>
            </w:r>
          </w:p>
        </w:tc>
      </w:tr>
      <w:tr w:rsidR="00854ADA" w:rsidRPr="00FF386D" w14:paraId="5547220E"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1359D90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78E71CC1" w14:textId="497D0079"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 xml:space="preserve">Буџет </w:t>
            </w:r>
            <w:r w:rsidR="0004587B" w:rsidRPr="00FF386D">
              <w:rPr>
                <w:rFonts w:ascii="Calibri Light" w:eastAsia="Times New Roman" w:hAnsi="Calibri Light" w:cs="Calibri Light"/>
                <w:color w:val="000000"/>
                <w:sz w:val="20"/>
                <w:szCs w:val="20"/>
                <w:lang w:eastAsia="en-GB"/>
              </w:rPr>
              <w:t>обухваћен</w:t>
            </w:r>
            <w:r w:rsidRPr="00FF386D">
              <w:rPr>
                <w:rFonts w:ascii="Calibri Light" w:eastAsia="Times New Roman" w:hAnsi="Calibri Light" w:cs="Calibri Light"/>
                <w:color w:val="000000"/>
                <w:sz w:val="20"/>
                <w:szCs w:val="20"/>
                <w:lang w:eastAsia="en-GB"/>
              </w:rPr>
              <w:t xml:space="preserve"> у св</w:t>
            </w:r>
            <w:r w:rsidR="0004587B" w:rsidRPr="00FF386D">
              <w:rPr>
                <w:rFonts w:ascii="Calibri Light" w:eastAsia="Times New Roman" w:hAnsi="Calibri Light" w:cs="Calibri Light"/>
                <w:color w:val="000000"/>
                <w:sz w:val="20"/>
                <w:szCs w:val="20"/>
                <w:lang w:eastAsia="en-GB"/>
              </w:rPr>
              <w:t>им</w:t>
            </w:r>
            <w:r w:rsidRPr="00FF386D">
              <w:rPr>
                <w:rFonts w:ascii="Calibri Light" w:eastAsia="Times New Roman" w:hAnsi="Calibri Light" w:cs="Calibri Light"/>
                <w:color w:val="000000"/>
                <w:sz w:val="20"/>
                <w:szCs w:val="20"/>
                <w:lang w:eastAsia="en-GB"/>
              </w:rPr>
              <w:t xml:space="preserve"> мер</w:t>
            </w:r>
            <w:r w:rsidR="0004587B" w:rsidRPr="00FF386D">
              <w:rPr>
                <w:rFonts w:ascii="Calibri Light" w:eastAsia="Times New Roman" w:hAnsi="Calibri Light" w:cs="Calibri Light"/>
                <w:color w:val="000000"/>
                <w:sz w:val="20"/>
                <w:szCs w:val="20"/>
                <w:lang w:eastAsia="en-GB"/>
              </w:rPr>
              <w:t>ама</w:t>
            </w:r>
            <w:r w:rsidRPr="00FF386D">
              <w:rPr>
                <w:rFonts w:ascii="Calibri Light" w:eastAsia="Times New Roman" w:hAnsi="Calibri Light" w:cs="Calibri Light"/>
                <w:color w:val="000000"/>
                <w:sz w:val="20"/>
                <w:szCs w:val="20"/>
                <w:lang w:eastAsia="en-GB"/>
              </w:rPr>
              <w:t xml:space="preserve"> </w:t>
            </w:r>
            <w:r w:rsidR="0004587B" w:rsidRPr="00FF386D">
              <w:rPr>
                <w:rFonts w:ascii="Calibri Light" w:eastAsia="Times New Roman" w:hAnsi="Calibri Light" w:cs="Calibri Light"/>
                <w:color w:val="000000"/>
                <w:sz w:val="20"/>
                <w:szCs w:val="20"/>
                <w:lang w:eastAsia="en-GB"/>
              </w:rPr>
              <w:t>финалне потрошње</w:t>
            </w:r>
          </w:p>
        </w:tc>
      </w:tr>
      <w:tr w:rsidR="00854ADA" w:rsidRPr="00FF386D" w14:paraId="7D5A216E"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24F25C5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00CE1722" w14:textId="201FACB0"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C41128" w:rsidRPr="00FF386D">
              <w:rPr>
                <w:rFonts w:asciiTheme="majorHAnsi" w:eastAsia="Times New Roman" w:hAnsiTheme="majorHAnsi" w:cstheme="majorHAnsi"/>
                <w:color w:val="000000"/>
                <w:sz w:val="20"/>
                <w:szCs w:val="20"/>
                <w:lang w:eastAsia="en-GB"/>
              </w:rPr>
              <w:t>ска и</w:t>
            </w:r>
            <w:r w:rsidRPr="00FF386D">
              <w:rPr>
                <w:rFonts w:asciiTheme="majorHAnsi" w:eastAsia="Times New Roman" w:hAnsiTheme="majorHAnsi" w:cstheme="majorHAnsi"/>
                <w:color w:val="000000"/>
                <w:sz w:val="20"/>
                <w:szCs w:val="20"/>
                <w:lang w:eastAsia="en-GB"/>
              </w:rPr>
              <w:t xml:space="preserve"> сопствена средства</w:t>
            </w:r>
          </w:p>
        </w:tc>
      </w:tr>
    </w:tbl>
    <w:p w14:paraId="05C16E01" w14:textId="77777777" w:rsidR="00854ADA" w:rsidRDefault="00854ADA" w:rsidP="00854ADA">
      <w:pPr>
        <w:widowControl w:val="0"/>
        <w:spacing w:after="120" w:line="240" w:lineRule="auto"/>
        <w:jc w:val="both"/>
        <w:rPr>
          <w:rFonts w:ascii="Calibri Light" w:eastAsia="Times New Roman" w:hAnsi="Calibri Light" w:cs="Calibri Light"/>
          <w:szCs w:val="20"/>
          <w:lang w:eastAsia="el-GR"/>
        </w:rPr>
      </w:pPr>
    </w:p>
    <w:tbl>
      <w:tblPr>
        <w:tblW w:w="9680" w:type="dxa"/>
        <w:tblLook w:val="04A0" w:firstRow="1" w:lastRow="0" w:firstColumn="1" w:lastColumn="0" w:noHBand="0" w:noVBand="1"/>
      </w:tblPr>
      <w:tblGrid>
        <w:gridCol w:w="3306"/>
        <w:gridCol w:w="1009"/>
        <w:gridCol w:w="944"/>
        <w:gridCol w:w="4199"/>
        <w:gridCol w:w="222"/>
      </w:tblGrid>
      <w:tr w:rsidR="00C71280" w:rsidRPr="0067401D" w14:paraId="3EC8414C" w14:textId="77777777" w:rsidTr="00990755">
        <w:trPr>
          <w:gridAfter w:val="1"/>
          <w:wAfter w:w="222" w:type="dxa"/>
          <w:trHeight w:val="780"/>
        </w:trPr>
        <w:tc>
          <w:tcPr>
            <w:tcW w:w="3306"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23AE3736"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val="en-GB" w:eastAsia="el-GR"/>
              </w:rPr>
            </w:pPr>
            <w:r w:rsidRPr="000A2AFE">
              <w:rPr>
                <w:rFonts w:ascii="Calibri Light" w:eastAsia="Times New Roman" w:hAnsi="Calibri Light" w:cs="Calibri Light"/>
                <w:b/>
                <w:bCs/>
                <w:sz w:val="20"/>
                <w:szCs w:val="20"/>
                <w:lang w:eastAsia="el-GR"/>
              </w:rPr>
              <w:t>Шифра мере политике</w:t>
            </w:r>
            <w:r w:rsidRPr="000A2AFE">
              <w:rPr>
                <w:rFonts w:ascii="Calibri Light" w:eastAsia="Times New Roman" w:hAnsi="Calibri Light" w:cs="Calibri Light"/>
                <w:b/>
                <w:bCs/>
                <w:sz w:val="20"/>
                <w:szCs w:val="20"/>
                <w:lang w:val="en-GB" w:eastAsia="el-GR"/>
              </w:rPr>
              <w:t xml:space="preserve">: </w:t>
            </w:r>
          </w:p>
        </w:tc>
        <w:tc>
          <w:tcPr>
            <w:tcW w:w="1009" w:type="dxa"/>
            <w:tcBorders>
              <w:top w:val="single" w:sz="8" w:space="0" w:color="auto"/>
              <w:left w:val="nil"/>
              <w:bottom w:val="single" w:sz="8" w:space="0" w:color="auto"/>
              <w:right w:val="single" w:sz="8" w:space="0" w:color="auto"/>
            </w:tcBorders>
            <w:shd w:val="clear" w:color="auto" w:fill="E7E6E6" w:themeFill="background2"/>
            <w:vAlign w:val="center"/>
            <w:hideMark/>
          </w:tcPr>
          <w:p w14:paraId="6D88DA8C" w14:textId="27C4965B"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val="en-GB" w:eastAsia="el-GR"/>
              </w:rPr>
            </w:pPr>
            <w:r w:rsidRPr="000A2AFE">
              <w:rPr>
                <w:rFonts w:ascii="Calibri Light" w:eastAsia="Times New Roman" w:hAnsi="Calibri Light" w:cs="Calibri Light"/>
                <w:b/>
                <w:bCs/>
                <w:sz w:val="20"/>
                <w:szCs w:val="20"/>
                <w:lang w:val="en-GB" w:eastAsia="el-GR"/>
              </w:rPr>
              <w:t>M</w:t>
            </w:r>
            <w:r w:rsidRPr="000A2AFE">
              <w:rPr>
                <w:rFonts w:ascii="Calibri Light" w:eastAsia="Times New Roman" w:hAnsi="Calibri Light" w:cs="Calibri Light"/>
                <w:b/>
                <w:bCs/>
                <w:sz w:val="20"/>
                <w:szCs w:val="20"/>
                <w:lang w:eastAsia="el-GR"/>
              </w:rPr>
              <w:t>П</w:t>
            </w:r>
            <w:r w:rsidRPr="000A2AFE">
              <w:rPr>
                <w:rFonts w:ascii="Calibri Light" w:eastAsia="Times New Roman" w:hAnsi="Calibri Light" w:cs="Calibri Light"/>
                <w:b/>
                <w:bCs/>
                <w:sz w:val="20"/>
                <w:szCs w:val="20"/>
                <w:lang w:val="en-GB" w:eastAsia="el-GR"/>
              </w:rPr>
              <w:t>_</w:t>
            </w:r>
            <w:r w:rsidR="00AB2DFD" w:rsidRPr="000A2AFE">
              <w:rPr>
                <w:rFonts w:ascii="Calibri Light" w:eastAsia="Times New Roman" w:hAnsi="Calibri Light" w:cs="Calibri Light"/>
                <w:b/>
                <w:bCs/>
                <w:sz w:val="20"/>
                <w:szCs w:val="20"/>
                <w:lang w:eastAsia="el-GR"/>
              </w:rPr>
              <w:t>ЕЕ45</w:t>
            </w:r>
          </w:p>
        </w:tc>
        <w:tc>
          <w:tcPr>
            <w:tcW w:w="944" w:type="dxa"/>
            <w:tcBorders>
              <w:top w:val="single" w:sz="8" w:space="0" w:color="auto"/>
              <w:left w:val="nil"/>
              <w:bottom w:val="single" w:sz="8" w:space="0" w:color="auto"/>
              <w:right w:val="single" w:sz="8" w:space="0" w:color="auto"/>
            </w:tcBorders>
            <w:shd w:val="clear" w:color="000000" w:fill="244062"/>
            <w:vAlign w:val="center"/>
            <w:hideMark/>
          </w:tcPr>
          <w:p w14:paraId="36351516"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val="en-GB" w:eastAsia="el-GR"/>
              </w:rPr>
            </w:pPr>
            <w:r w:rsidRPr="000A2AFE">
              <w:rPr>
                <w:rFonts w:ascii="Calibri Light" w:eastAsia="Times New Roman" w:hAnsi="Calibri Light" w:cs="Calibri Light"/>
                <w:b/>
                <w:bCs/>
                <w:sz w:val="20"/>
                <w:szCs w:val="20"/>
                <w:lang w:eastAsia="el-GR"/>
              </w:rPr>
              <w:t>Назив</w:t>
            </w:r>
            <w:r w:rsidRPr="000A2AFE">
              <w:rPr>
                <w:rFonts w:ascii="Calibri Light" w:eastAsia="Times New Roman" w:hAnsi="Calibri Light" w:cs="Calibri Light"/>
                <w:b/>
                <w:bCs/>
                <w:sz w:val="20"/>
                <w:szCs w:val="20"/>
                <w:lang w:val="en-GB" w:eastAsia="el-GR"/>
              </w:rPr>
              <w:t xml:space="preserve">: </w:t>
            </w:r>
          </w:p>
        </w:tc>
        <w:tc>
          <w:tcPr>
            <w:tcW w:w="4199" w:type="dxa"/>
            <w:tcBorders>
              <w:top w:val="single" w:sz="8" w:space="0" w:color="auto"/>
              <w:left w:val="nil"/>
              <w:bottom w:val="single" w:sz="8" w:space="0" w:color="auto"/>
              <w:right w:val="single" w:sz="8" w:space="0" w:color="auto"/>
            </w:tcBorders>
            <w:shd w:val="clear" w:color="auto" w:fill="E7E6E6" w:themeFill="background2"/>
            <w:vAlign w:val="center"/>
            <w:hideMark/>
          </w:tcPr>
          <w:p w14:paraId="2D76B9F2" w14:textId="0FD048AD" w:rsidR="00AB7EA0" w:rsidRPr="000A2AFE" w:rsidRDefault="001B761C" w:rsidP="000A2AFE">
            <w:pPr>
              <w:widowControl w:val="0"/>
              <w:spacing w:after="0" w:line="240" w:lineRule="auto"/>
              <w:jc w:val="both"/>
              <w:rPr>
                <w:rFonts w:ascii="Calibri Light" w:eastAsia="Times New Roman" w:hAnsi="Calibri Light" w:cs="Calibri Light"/>
                <w:b/>
                <w:bCs/>
                <w:sz w:val="20"/>
                <w:szCs w:val="20"/>
                <w:lang w:eastAsia="el-GR"/>
              </w:rPr>
            </w:pPr>
            <w:r w:rsidRPr="000A2AFE">
              <w:rPr>
                <w:rFonts w:ascii="Calibri Light" w:eastAsia="Times New Roman" w:hAnsi="Calibri Light" w:cs="Calibri Light"/>
                <w:b/>
                <w:bCs/>
                <w:sz w:val="20"/>
                <w:szCs w:val="20"/>
                <w:lang w:eastAsia="el-GR"/>
              </w:rPr>
              <w:t>Спровођење</w:t>
            </w:r>
            <w:r w:rsidR="00AB2DFD" w:rsidRPr="000A2AFE">
              <w:rPr>
                <w:rFonts w:ascii="Calibri Light" w:eastAsia="Times New Roman" w:hAnsi="Calibri Light" w:cs="Calibri Light"/>
                <w:b/>
                <w:bCs/>
                <w:sz w:val="20"/>
                <w:szCs w:val="20"/>
                <w:lang w:eastAsia="el-GR"/>
              </w:rPr>
              <w:t xml:space="preserve"> свеобухватн</w:t>
            </w:r>
            <w:r w:rsidR="00C71280" w:rsidRPr="000A2AFE">
              <w:rPr>
                <w:rFonts w:ascii="Calibri Light" w:eastAsia="Times New Roman" w:hAnsi="Calibri Light" w:cs="Calibri Light"/>
                <w:b/>
                <w:bCs/>
                <w:sz w:val="20"/>
                <w:szCs w:val="20"/>
                <w:lang w:eastAsia="el-GR"/>
              </w:rPr>
              <w:t>е</w:t>
            </w:r>
            <w:r w:rsidR="00AB2DFD" w:rsidRPr="000A2AFE">
              <w:rPr>
                <w:rFonts w:ascii="Calibri Light" w:eastAsia="Times New Roman" w:hAnsi="Calibri Light" w:cs="Calibri Light"/>
                <w:b/>
                <w:bCs/>
                <w:sz w:val="20"/>
                <w:szCs w:val="20"/>
                <w:lang w:eastAsia="el-GR"/>
              </w:rPr>
              <w:t xml:space="preserve"> процен</w:t>
            </w:r>
            <w:r w:rsidR="00C71280" w:rsidRPr="000A2AFE">
              <w:rPr>
                <w:rFonts w:ascii="Calibri Light" w:eastAsia="Times New Roman" w:hAnsi="Calibri Light" w:cs="Calibri Light"/>
                <w:b/>
                <w:bCs/>
                <w:sz w:val="20"/>
                <w:szCs w:val="20"/>
                <w:lang w:eastAsia="el-GR"/>
              </w:rPr>
              <w:t>е</w:t>
            </w:r>
            <w:r w:rsidR="00AB2DFD" w:rsidRPr="000A2AFE">
              <w:rPr>
                <w:rFonts w:ascii="Calibri Light" w:eastAsia="Times New Roman" w:hAnsi="Calibri Light" w:cs="Calibri Light"/>
                <w:b/>
                <w:bCs/>
                <w:sz w:val="20"/>
                <w:szCs w:val="20"/>
                <w:lang w:eastAsia="el-GR"/>
              </w:rPr>
              <w:t xml:space="preserve"> </w:t>
            </w:r>
            <w:r w:rsidR="00AA7824" w:rsidRPr="000A2AFE">
              <w:rPr>
                <w:rFonts w:ascii="Calibri Light" w:eastAsia="Times New Roman" w:hAnsi="Calibri Light" w:cs="Calibri Light"/>
                <w:b/>
                <w:bCs/>
                <w:sz w:val="20"/>
                <w:szCs w:val="20"/>
                <w:lang w:eastAsia="el-GR"/>
              </w:rPr>
              <w:t>за промовисање ефикасности у грејању и хлађењу</w:t>
            </w:r>
          </w:p>
        </w:tc>
      </w:tr>
      <w:tr w:rsidR="00AA0CE3" w:rsidRPr="00AA0CE3" w14:paraId="24997154" w14:textId="77777777" w:rsidTr="00AB7EA0">
        <w:trPr>
          <w:gridAfter w:val="1"/>
          <w:wAfter w:w="222" w:type="dxa"/>
          <w:trHeight w:val="265"/>
        </w:trPr>
        <w:tc>
          <w:tcPr>
            <w:tcW w:w="3306" w:type="dxa"/>
            <w:tcBorders>
              <w:top w:val="single" w:sz="8" w:space="0" w:color="auto"/>
              <w:left w:val="single" w:sz="8" w:space="0" w:color="auto"/>
              <w:bottom w:val="single" w:sz="8" w:space="0" w:color="auto"/>
              <w:right w:val="single" w:sz="4" w:space="0" w:color="auto"/>
            </w:tcBorders>
            <w:shd w:val="clear" w:color="000000" w:fill="244062"/>
            <w:vAlign w:val="center"/>
            <w:hideMark/>
          </w:tcPr>
          <w:p w14:paraId="237DC5EC"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val="en-GB" w:eastAsia="el-GR"/>
              </w:rPr>
            </w:pPr>
            <w:r w:rsidRPr="000A2AFE">
              <w:rPr>
                <w:rFonts w:ascii="Calibri Light" w:eastAsia="Times New Roman" w:hAnsi="Calibri Light" w:cs="Calibri Light"/>
                <w:b/>
                <w:bCs/>
                <w:sz w:val="20"/>
                <w:szCs w:val="20"/>
                <w:lang w:eastAsia="el-GR"/>
              </w:rPr>
              <w:t>Главни циљ</w:t>
            </w:r>
            <w:r w:rsidRPr="000A2AFE">
              <w:rPr>
                <w:rFonts w:ascii="Calibri Light" w:eastAsia="Times New Roman" w:hAnsi="Calibri Light" w:cs="Calibri Light"/>
                <w:b/>
                <w:bCs/>
                <w:sz w:val="20"/>
                <w:szCs w:val="20"/>
                <w:lang w:val="en-GB" w:eastAsia="el-GR"/>
              </w:rPr>
              <w:t xml:space="preserve">: </w:t>
            </w:r>
          </w:p>
        </w:tc>
        <w:tc>
          <w:tcPr>
            <w:tcW w:w="6152" w:type="dxa"/>
            <w:gridSpan w:val="3"/>
            <w:tcBorders>
              <w:top w:val="single" w:sz="8" w:space="0" w:color="auto"/>
              <w:left w:val="single" w:sz="4" w:space="0" w:color="auto"/>
              <w:bottom w:val="single" w:sz="8" w:space="0" w:color="auto"/>
              <w:right w:val="single" w:sz="8" w:space="0" w:color="000000"/>
            </w:tcBorders>
            <w:shd w:val="clear" w:color="auto" w:fill="auto"/>
            <w:vAlign w:val="center"/>
          </w:tcPr>
          <w:p w14:paraId="5D0C47AD" w14:textId="7C5C877D" w:rsidR="00AB2DFD" w:rsidRPr="000A2AFE" w:rsidRDefault="00AB2DFD" w:rsidP="000A2AFE">
            <w:pPr>
              <w:widowControl w:val="0"/>
              <w:spacing w:after="0" w:line="240" w:lineRule="auto"/>
              <w:jc w:val="both"/>
              <w:rPr>
                <w:rFonts w:ascii="Calibri Light" w:eastAsia="Times New Roman" w:hAnsi="Calibri Light" w:cs="Calibri Light"/>
                <w:sz w:val="20"/>
                <w:szCs w:val="20"/>
                <w:lang w:eastAsia="el-GR"/>
              </w:rPr>
            </w:pPr>
            <w:r w:rsidRPr="000A2AFE">
              <w:rPr>
                <w:rFonts w:ascii="Calibri Light" w:eastAsia="Times New Roman" w:hAnsi="Calibri Light" w:cs="Calibri Light"/>
                <w:sz w:val="20"/>
                <w:szCs w:val="20"/>
                <w:lang w:eastAsia="el-GR"/>
              </w:rPr>
              <w:t>Примена чланова Директиве (ЕУ) 2012/27, која је измењена и допуњена Директивом (ЕУ) 2018/2002, и то:</w:t>
            </w:r>
          </w:p>
          <w:p w14:paraId="548FFC8C" w14:textId="77777777" w:rsidR="00AB7EA0" w:rsidRPr="000A2AFE" w:rsidRDefault="00AB2DFD" w:rsidP="00AB2DFD">
            <w:pPr>
              <w:pStyle w:val="ListParagraph"/>
              <w:widowControl w:val="0"/>
              <w:numPr>
                <w:ilvl w:val="0"/>
                <w:numId w:val="367"/>
              </w:numPr>
              <w:spacing w:after="0" w:line="240" w:lineRule="auto"/>
              <w:jc w:val="both"/>
              <w:rPr>
                <w:rFonts w:ascii="Calibri Light" w:eastAsia="Times New Roman" w:hAnsi="Calibri Light" w:cs="Calibri Light"/>
                <w:sz w:val="20"/>
                <w:szCs w:val="20"/>
                <w:lang w:val="en-GB" w:eastAsia="el-GR"/>
              </w:rPr>
            </w:pPr>
            <w:r w:rsidRPr="000A2AFE">
              <w:rPr>
                <w:rFonts w:ascii="Calibri Light" w:eastAsia="Times New Roman" w:hAnsi="Calibri Light" w:cs="Calibri Light"/>
                <w:sz w:val="20"/>
                <w:szCs w:val="20"/>
                <w:lang w:eastAsia="el-GR"/>
              </w:rPr>
              <w:t>Члана 3</w:t>
            </w:r>
          </w:p>
          <w:p w14:paraId="2B1EA2E3" w14:textId="6C71BE1D" w:rsidR="00AB2DFD" w:rsidRPr="000A2AFE" w:rsidRDefault="00AB2DFD" w:rsidP="000A2AFE">
            <w:pPr>
              <w:pStyle w:val="ListParagraph"/>
              <w:widowControl w:val="0"/>
              <w:numPr>
                <w:ilvl w:val="0"/>
                <w:numId w:val="367"/>
              </w:numPr>
              <w:spacing w:after="0" w:line="240" w:lineRule="auto"/>
              <w:jc w:val="both"/>
              <w:rPr>
                <w:rFonts w:ascii="Calibri Light" w:eastAsia="Times New Roman" w:hAnsi="Calibri Light" w:cs="Calibri Light"/>
                <w:sz w:val="20"/>
                <w:szCs w:val="20"/>
                <w:lang w:val="en-GB" w:eastAsia="el-GR"/>
              </w:rPr>
            </w:pPr>
            <w:r w:rsidRPr="000A2AFE">
              <w:rPr>
                <w:rFonts w:ascii="Calibri Light" w:eastAsia="Times New Roman" w:hAnsi="Calibri Light" w:cs="Calibri Light"/>
                <w:sz w:val="20"/>
                <w:szCs w:val="20"/>
                <w:lang w:eastAsia="el-GR"/>
              </w:rPr>
              <w:t>Члана 14</w:t>
            </w:r>
          </w:p>
        </w:tc>
      </w:tr>
      <w:tr w:rsidR="00AA0CE3" w:rsidRPr="00AA0CE3" w14:paraId="6DCE981F" w14:textId="77777777" w:rsidTr="00AB7EA0">
        <w:trPr>
          <w:gridAfter w:val="1"/>
          <w:wAfter w:w="222" w:type="dxa"/>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4367804A"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val="en-GB" w:eastAsia="el-GR"/>
              </w:rPr>
            </w:pPr>
            <w:r w:rsidRPr="000A2AFE">
              <w:rPr>
                <w:rFonts w:ascii="Calibri Light" w:eastAsia="Times New Roman" w:hAnsi="Calibri Light" w:cs="Calibri Light"/>
                <w:b/>
                <w:bCs/>
                <w:sz w:val="20"/>
                <w:szCs w:val="20"/>
                <w:lang w:eastAsia="el-GR"/>
              </w:rPr>
              <w:t>Квантификовани циљ</w:t>
            </w:r>
            <w:r w:rsidRPr="000A2AFE">
              <w:rPr>
                <w:rFonts w:ascii="Calibri Light" w:eastAsia="Times New Roman" w:hAnsi="Calibri Light" w:cs="Calibri Light"/>
                <w:b/>
                <w:bCs/>
                <w:sz w:val="20"/>
                <w:szCs w:val="20"/>
                <w:lang w:val="en-GB" w:eastAsia="el-GR"/>
              </w:rPr>
              <w:t xml:space="preserve">: </w:t>
            </w:r>
          </w:p>
        </w:tc>
        <w:tc>
          <w:tcPr>
            <w:tcW w:w="6152" w:type="dxa"/>
            <w:gridSpan w:val="3"/>
            <w:tcBorders>
              <w:top w:val="single" w:sz="8" w:space="0" w:color="auto"/>
              <w:left w:val="nil"/>
              <w:bottom w:val="single" w:sz="8" w:space="0" w:color="auto"/>
              <w:right w:val="single" w:sz="8" w:space="0" w:color="000000"/>
            </w:tcBorders>
            <w:shd w:val="clear" w:color="auto" w:fill="auto"/>
            <w:vAlign w:val="center"/>
          </w:tcPr>
          <w:p w14:paraId="74B1687A" w14:textId="43AEB6CE" w:rsidR="00AB7EA0" w:rsidRPr="000A2AFE" w:rsidRDefault="00AB2DFD" w:rsidP="000A2AFE">
            <w:pPr>
              <w:widowControl w:val="0"/>
              <w:spacing w:after="0" w:line="240" w:lineRule="auto"/>
              <w:jc w:val="both"/>
              <w:rPr>
                <w:rFonts w:ascii="Calibri Light" w:eastAsia="Times New Roman" w:hAnsi="Calibri Light" w:cs="Calibri Light"/>
                <w:sz w:val="20"/>
                <w:szCs w:val="20"/>
                <w:lang w:eastAsia="el-GR"/>
              </w:rPr>
            </w:pPr>
            <w:r w:rsidRPr="000A2AFE">
              <w:rPr>
                <w:rFonts w:ascii="Calibri Light" w:eastAsia="Times New Roman" w:hAnsi="Calibri Light" w:cs="Calibri Light"/>
                <w:sz w:val="20"/>
                <w:szCs w:val="20"/>
                <w:lang w:eastAsia="el-GR"/>
              </w:rPr>
              <w:t>Допринос постизању очекиваних нивоа финалне потрошње енергије и промовисање енергетске ефикасности у технологијама грејања и хлађења</w:t>
            </w:r>
          </w:p>
        </w:tc>
      </w:tr>
      <w:tr w:rsidR="00AA0CE3" w:rsidRPr="00AA0CE3" w14:paraId="1DAAB44F" w14:textId="77777777" w:rsidTr="00AB7EA0">
        <w:trPr>
          <w:gridAfter w:val="1"/>
          <w:wAfter w:w="222" w:type="dxa"/>
          <w:trHeight w:val="726"/>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4A242328"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val="en-GB" w:eastAsia="el-GR"/>
              </w:rPr>
            </w:pPr>
            <w:r w:rsidRPr="000A2AFE">
              <w:rPr>
                <w:rFonts w:ascii="Calibri Light" w:eastAsia="Times New Roman" w:hAnsi="Calibri Light" w:cs="Calibri Light"/>
                <w:b/>
                <w:bCs/>
                <w:sz w:val="20"/>
                <w:szCs w:val="20"/>
                <w:lang w:eastAsia="el-GR"/>
              </w:rPr>
              <w:t>Опис</w:t>
            </w:r>
            <w:r w:rsidRPr="000A2AFE">
              <w:rPr>
                <w:rFonts w:ascii="Calibri Light" w:eastAsia="Times New Roman" w:hAnsi="Calibri Light" w:cs="Calibri Light"/>
                <w:b/>
                <w:bCs/>
                <w:sz w:val="20"/>
                <w:szCs w:val="20"/>
                <w:lang w:val="en-GB" w:eastAsia="el-GR"/>
              </w:rPr>
              <w:t>:</w:t>
            </w:r>
          </w:p>
        </w:tc>
        <w:tc>
          <w:tcPr>
            <w:tcW w:w="6152" w:type="dxa"/>
            <w:gridSpan w:val="3"/>
            <w:tcBorders>
              <w:top w:val="single" w:sz="8" w:space="0" w:color="auto"/>
              <w:left w:val="nil"/>
              <w:bottom w:val="single" w:sz="8" w:space="0" w:color="auto"/>
              <w:right w:val="single" w:sz="8" w:space="0" w:color="000000"/>
            </w:tcBorders>
            <w:shd w:val="clear" w:color="auto" w:fill="auto"/>
            <w:vAlign w:val="center"/>
          </w:tcPr>
          <w:p w14:paraId="3C0F3A25" w14:textId="04C6C904" w:rsidR="00AB7EA0" w:rsidRPr="000A2AFE" w:rsidRDefault="00AB2DFD" w:rsidP="000A2AFE">
            <w:pPr>
              <w:widowControl w:val="0"/>
              <w:spacing w:after="0" w:line="240" w:lineRule="auto"/>
              <w:jc w:val="both"/>
              <w:rPr>
                <w:rFonts w:ascii="Calibri Light" w:eastAsia="Times New Roman" w:hAnsi="Calibri Light" w:cs="Calibri Light"/>
                <w:sz w:val="20"/>
                <w:szCs w:val="20"/>
                <w:lang w:eastAsia="el-GR"/>
              </w:rPr>
            </w:pPr>
            <w:r w:rsidRPr="000A2AFE">
              <w:rPr>
                <w:rFonts w:ascii="Calibri Light" w:eastAsia="Times New Roman" w:hAnsi="Calibri Light" w:cs="Calibri Light"/>
                <w:sz w:val="20"/>
                <w:szCs w:val="20"/>
                <w:lang w:eastAsia="el-GR"/>
              </w:rPr>
              <w:t xml:space="preserve">МП_ЕЕ45 </w:t>
            </w:r>
            <w:r w:rsidR="001B761C" w:rsidRPr="000A2AFE">
              <w:rPr>
                <w:rFonts w:ascii="Calibri Light" w:eastAsia="Times New Roman" w:hAnsi="Calibri Light" w:cs="Calibri Light"/>
                <w:sz w:val="20"/>
                <w:szCs w:val="20"/>
                <w:lang w:eastAsia="el-GR"/>
              </w:rPr>
              <w:t>спроводи</w:t>
            </w:r>
            <w:r w:rsidR="00C71280" w:rsidRPr="000A2AFE">
              <w:rPr>
                <w:rFonts w:ascii="Calibri Light" w:eastAsia="Times New Roman" w:hAnsi="Calibri Light" w:cs="Calibri Light"/>
                <w:sz w:val="20"/>
                <w:szCs w:val="20"/>
                <w:lang w:eastAsia="el-GR"/>
              </w:rPr>
              <w:t xml:space="preserve"> </w:t>
            </w:r>
            <w:r w:rsidR="00AA7824" w:rsidRPr="000A2AFE">
              <w:rPr>
                <w:rFonts w:ascii="Calibri Light" w:eastAsia="Times New Roman" w:hAnsi="Calibri Light" w:cs="Calibri Light"/>
                <w:sz w:val="20"/>
                <w:szCs w:val="20"/>
                <w:lang w:eastAsia="el-GR"/>
              </w:rPr>
              <w:t>свеобухватн</w:t>
            </w:r>
            <w:r w:rsidR="001B761C" w:rsidRPr="000A2AFE">
              <w:rPr>
                <w:rFonts w:ascii="Calibri Light" w:eastAsia="Times New Roman" w:hAnsi="Calibri Light" w:cs="Calibri Light"/>
                <w:sz w:val="20"/>
                <w:szCs w:val="20"/>
                <w:lang w:eastAsia="el-GR"/>
              </w:rPr>
              <w:t>у</w:t>
            </w:r>
            <w:r w:rsidR="00AA7824" w:rsidRPr="000A2AFE">
              <w:rPr>
                <w:rFonts w:ascii="Calibri Light" w:eastAsia="Times New Roman" w:hAnsi="Calibri Light" w:cs="Calibri Light"/>
                <w:sz w:val="20"/>
                <w:szCs w:val="20"/>
                <w:lang w:eastAsia="el-GR"/>
              </w:rPr>
              <w:t xml:space="preserve"> </w:t>
            </w:r>
            <w:r w:rsidR="001B761C" w:rsidRPr="000A2AFE">
              <w:rPr>
                <w:rFonts w:ascii="Calibri Light" w:eastAsia="Times New Roman" w:hAnsi="Calibri Light" w:cs="Calibri Light"/>
                <w:sz w:val="20"/>
                <w:szCs w:val="20"/>
                <w:lang w:eastAsia="el-GR"/>
              </w:rPr>
              <w:t>процену</w:t>
            </w:r>
            <w:r w:rsidR="00AA7824" w:rsidRPr="000A2AFE">
              <w:rPr>
                <w:rFonts w:ascii="Calibri Light" w:eastAsia="Times New Roman" w:hAnsi="Calibri Light" w:cs="Calibri Light"/>
                <w:sz w:val="20"/>
                <w:szCs w:val="20"/>
                <w:lang w:eastAsia="el-GR"/>
              </w:rPr>
              <w:t xml:space="preserve"> </w:t>
            </w:r>
            <w:r w:rsidR="00C71280" w:rsidRPr="000A2AFE">
              <w:rPr>
                <w:rFonts w:ascii="Calibri Light" w:eastAsia="Times New Roman" w:hAnsi="Calibri Light" w:cs="Calibri Light"/>
                <w:sz w:val="20"/>
                <w:szCs w:val="20"/>
                <w:lang w:eastAsia="el-GR"/>
              </w:rPr>
              <w:t xml:space="preserve">грејања и хлађења како би се утврдиле најефикасније алтернативе у грејању и хлађењу </w:t>
            </w:r>
            <w:r w:rsidR="00E357A7" w:rsidRPr="000A2AFE">
              <w:rPr>
                <w:rFonts w:ascii="Calibri Light" w:eastAsia="Times New Roman" w:hAnsi="Calibri Light" w:cs="Calibri Light"/>
                <w:sz w:val="20"/>
                <w:szCs w:val="20"/>
                <w:lang w:eastAsia="el-GR"/>
              </w:rPr>
              <w:t>као резултат</w:t>
            </w:r>
            <w:r w:rsidR="00C71280" w:rsidRPr="000A2AFE">
              <w:rPr>
                <w:rFonts w:ascii="Calibri Light" w:eastAsia="Times New Roman" w:hAnsi="Calibri Light" w:cs="Calibri Light"/>
                <w:sz w:val="20"/>
                <w:szCs w:val="20"/>
                <w:lang w:eastAsia="el-GR"/>
              </w:rPr>
              <w:t xml:space="preserve"> спроведене анализе трошкова и користи у складу са захтевима директиве на основу климатских услова, економске изводљивости и техничке п</w:t>
            </w:r>
            <w:r w:rsidR="001B761C" w:rsidRPr="000A2AFE">
              <w:rPr>
                <w:rFonts w:ascii="Calibri Light" w:eastAsia="Times New Roman" w:hAnsi="Calibri Light" w:cs="Calibri Light"/>
                <w:sz w:val="20"/>
                <w:szCs w:val="20"/>
                <w:lang w:eastAsia="el-GR"/>
              </w:rPr>
              <w:t>огодности</w:t>
            </w:r>
            <w:r w:rsidR="00C71280" w:rsidRPr="000A2AFE">
              <w:rPr>
                <w:rFonts w:ascii="Calibri Light" w:eastAsia="Times New Roman" w:hAnsi="Calibri Light" w:cs="Calibri Light"/>
                <w:sz w:val="20"/>
                <w:szCs w:val="20"/>
                <w:lang w:eastAsia="el-GR"/>
              </w:rPr>
              <w:t xml:space="preserve">. Резултати свеобухватне анализе ће </w:t>
            </w:r>
            <w:r w:rsidR="005E068D" w:rsidRPr="000A2AFE">
              <w:rPr>
                <w:rFonts w:ascii="Calibri Light" w:eastAsia="Times New Roman" w:hAnsi="Calibri Light" w:cs="Calibri Light"/>
                <w:sz w:val="20"/>
                <w:szCs w:val="20"/>
                <w:lang w:eastAsia="el-GR"/>
              </w:rPr>
              <w:t>бити уређени</w:t>
            </w:r>
            <w:r w:rsidR="00C71280" w:rsidRPr="000A2AFE">
              <w:rPr>
                <w:rFonts w:ascii="Calibri Light" w:eastAsia="Times New Roman" w:hAnsi="Calibri Light" w:cs="Calibri Light"/>
                <w:sz w:val="20"/>
                <w:szCs w:val="20"/>
                <w:lang w:eastAsia="el-GR"/>
              </w:rPr>
              <w:t xml:space="preserve"> и усклађени са приоритетима ИНЕКП-а. </w:t>
            </w:r>
            <w:r w:rsidR="005E068D" w:rsidRPr="000A2AFE">
              <w:rPr>
                <w:rFonts w:ascii="Calibri Light" w:eastAsia="Times New Roman" w:hAnsi="Calibri Light" w:cs="Calibri Light"/>
                <w:sz w:val="20"/>
                <w:szCs w:val="20"/>
                <w:lang w:eastAsia="el-GR"/>
              </w:rPr>
              <w:t>Нагласак</w:t>
            </w:r>
            <w:r w:rsidR="00C71280" w:rsidRPr="000A2AFE">
              <w:rPr>
                <w:rFonts w:ascii="Calibri Light" w:eastAsia="Times New Roman" w:hAnsi="Calibri Light" w:cs="Calibri Light"/>
                <w:sz w:val="20"/>
                <w:szCs w:val="20"/>
                <w:lang w:eastAsia="el-GR"/>
              </w:rPr>
              <w:t xml:space="preserve"> ће бити </w:t>
            </w:r>
            <w:r w:rsidR="005E068D" w:rsidRPr="000A2AFE">
              <w:rPr>
                <w:rFonts w:ascii="Calibri Light" w:eastAsia="Times New Roman" w:hAnsi="Calibri Light" w:cs="Calibri Light"/>
                <w:sz w:val="20"/>
                <w:szCs w:val="20"/>
                <w:lang w:eastAsia="el-GR"/>
              </w:rPr>
              <w:t>стављен на</w:t>
            </w:r>
            <w:r w:rsidR="00C71280" w:rsidRPr="000A2AFE">
              <w:rPr>
                <w:rFonts w:ascii="Calibri Light" w:eastAsia="Times New Roman" w:hAnsi="Calibri Light" w:cs="Calibri Light"/>
                <w:sz w:val="20"/>
                <w:szCs w:val="20"/>
                <w:lang w:eastAsia="el-GR"/>
              </w:rPr>
              <w:t xml:space="preserve"> </w:t>
            </w:r>
            <w:r w:rsidR="005E068D" w:rsidRPr="000A2AFE">
              <w:rPr>
                <w:rFonts w:ascii="Calibri Light" w:eastAsia="Times New Roman" w:hAnsi="Calibri Light" w:cs="Calibri Light"/>
                <w:sz w:val="20"/>
                <w:szCs w:val="20"/>
                <w:lang w:eastAsia="el-GR"/>
              </w:rPr>
              <w:t>у</w:t>
            </w:r>
            <w:r w:rsidR="00C71280" w:rsidRPr="000A2AFE">
              <w:rPr>
                <w:rFonts w:ascii="Calibri Light" w:eastAsia="Times New Roman" w:hAnsi="Calibri Light" w:cs="Calibri Light"/>
                <w:sz w:val="20"/>
                <w:szCs w:val="20"/>
                <w:lang w:eastAsia="el-GR"/>
              </w:rPr>
              <w:t>тврђивањ</w:t>
            </w:r>
            <w:r w:rsidR="005E068D" w:rsidRPr="000A2AFE">
              <w:rPr>
                <w:rFonts w:ascii="Calibri Light" w:eastAsia="Times New Roman" w:hAnsi="Calibri Light" w:cs="Calibri Light"/>
                <w:sz w:val="20"/>
                <w:szCs w:val="20"/>
                <w:lang w:eastAsia="el-GR"/>
              </w:rPr>
              <w:t>е</w:t>
            </w:r>
            <w:r w:rsidR="00C71280" w:rsidRPr="000A2AFE">
              <w:rPr>
                <w:rFonts w:ascii="Calibri Light" w:eastAsia="Times New Roman" w:hAnsi="Calibri Light" w:cs="Calibri Light"/>
                <w:sz w:val="20"/>
                <w:szCs w:val="20"/>
                <w:lang w:eastAsia="el-GR"/>
              </w:rPr>
              <w:t xml:space="preserve"> потенцијалне примене високоефикасне когенерације и/или ефикасног даљинског грејања </w:t>
            </w:r>
            <w:r w:rsidR="005E068D" w:rsidRPr="000A2AFE">
              <w:rPr>
                <w:rFonts w:ascii="Calibri Light" w:eastAsia="Times New Roman" w:hAnsi="Calibri Light" w:cs="Calibri Light"/>
                <w:sz w:val="20"/>
                <w:szCs w:val="20"/>
                <w:lang w:eastAsia="el-GR"/>
              </w:rPr>
              <w:t>и</w:t>
            </w:r>
            <w:r w:rsidR="00C71280" w:rsidRPr="000A2AFE">
              <w:rPr>
                <w:rFonts w:ascii="Calibri Light" w:eastAsia="Times New Roman" w:hAnsi="Calibri Light" w:cs="Calibri Light"/>
                <w:sz w:val="20"/>
                <w:szCs w:val="20"/>
                <w:lang w:eastAsia="el-GR"/>
              </w:rPr>
              <w:t xml:space="preserve"> хлађења и</w:t>
            </w:r>
            <w:r w:rsidR="005E068D" w:rsidRPr="000A2AFE">
              <w:rPr>
                <w:rFonts w:ascii="Calibri Light" w:eastAsia="Times New Roman" w:hAnsi="Calibri Light" w:cs="Calibri Light"/>
                <w:sz w:val="20"/>
                <w:szCs w:val="20"/>
                <w:lang w:eastAsia="el-GR"/>
              </w:rPr>
              <w:t>з</w:t>
            </w:r>
            <w:r w:rsidR="00C71280" w:rsidRPr="000A2AFE">
              <w:rPr>
                <w:rFonts w:ascii="Calibri Light" w:eastAsia="Times New Roman" w:hAnsi="Calibri Light" w:cs="Calibri Light"/>
                <w:sz w:val="20"/>
                <w:szCs w:val="20"/>
                <w:lang w:eastAsia="el-GR"/>
              </w:rPr>
              <w:t xml:space="preserve"> отпадне топлоте у случају да очекиване користи премашују њихове трошкове. </w:t>
            </w:r>
            <w:r w:rsidR="005E068D" w:rsidRPr="000A2AFE">
              <w:rPr>
                <w:rFonts w:ascii="Calibri Light" w:eastAsia="Times New Roman" w:hAnsi="Calibri Light" w:cs="Calibri Light"/>
                <w:sz w:val="20"/>
                <w:szCs w:val="20"/>
                <w:lang w:eastAsia="el-GR"/>
              </w:rPr>
              <w:t xml:space="preserve">Израда стратегије ће се одвијати уз учешће заинтересованих страна </w:t>
            </w:r>
            <w:r w:rsidR="00E357A7" w:rsidRPr="000A2AFE">
              <w:rPr>
                <w:rFonts w:ascii="Calibri Light" w:eastAsia="Times New Roman" w:hAnsi="Calibri Light" w:cs="Calibri Light"/>
                <w:sz w:val="20"/>
                <w:szCs w:val="20"/>
                <w:lang w:eastAsia="el-GR"/>
              </w:rPr>
              <w:t>и</w:t>
            </w:r>
            <w:r w:rsidR="005E068D" w:rsidRPr="000A2AFE">
              <w:rPr>
                <w:rFonts w:ascii="Calibri Light" w:eastAsia="Times New Roman" w:hAnsi="Calibri Light" w:cs="Calibri Light"/>
                <w:sz w:val="20"/>
                <w:szCs w:val="20"/>
                <w:lang w:eastAsia="el-GR"/>
              </w:rPr>
              <w:t xml:space="preserve"> обухватиће политике и мере што ће осигурати да се искористи потенцијал утврђен у свеобухватној процени. На крају, размотриће се израда локалних планова за грејањ</w:t>
            </w:r>
            <w:r w:rsidR="00E357A7" w:rsidRPr="000A2AFE">
              <w:rPr>
                <w:rFonts w:ascii="Calibri Light" w:eastAsia="Times New Roman" w:hAnsi="Calibri Light" w:cs="Calibri Light"/>
                <w:sz w:val="20"/>
                <w:szCs w:val="20"/>
                <w:lang w:eastAsia="el-GR"/>
              </w:rPr>
              <w:t>е</w:t>
            </w:r>
            <w:r w:rsidR="005E068D" w:rsidRPr="000A2AFE">
              <w:rPr>
                <w:rFonts w:ascii="Calibri Light" w:eastAsia="Times New Roman" w:hAnsi="Calibri Light" w:cs="Calibri Light"/>
                <w:sz w:val="20"/>
                <w:szCs w:val="20"/>
                <w:lang w:eastAsia="el-GR"/>
              </w:rPr>
              <w:t xml:space="preserve"> и хлађење.</w:t>
            </w:r>
          </w:p>
        </w:tc>
      </w:tr>
      <w:tr w:rsidR="00AA0CE3" w:rsidRPr="00AA0CE3" w14:paraId="7567A43E" w14:textId="77777777" w:rsidTr="00AB7EA0">
        <w:trPr>
          <w:gridAfter w:val="1"/>
          <w:wAfter w:w="222" w:type="dxa"/>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55EFC952"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eastAsia="el-GR"/>
              </w:rPr>
            </w:pPr>
            <w:r w:rsidRPr="000A2AFE">
              <w:rPr>
                <w:rFonts w:ascii="Calibri Light" w:eastAsia="Times New Roman" w:hAnsi="Calibri Light" w:cs="Calibri Light"/>
                <w:b/>
                <w:bCs/>
                <w:sz w:val="20"/>
                <w:szCs w:val="20"/>
                <w:lang w:eastAsia="el-GR"/>
              </w:rPr>
              <w:t>Временски оквир имплементације</w:t>
            </w:r>
          </w:p>
        </w:tc>
        <w:tc>
          <w:tcPr>
            <w:tcW w:w="6152" w:type="dxa"/>
            <w:gridSpan w:val="3"/>
            <w:tcBorders>
              <w:top w:val="single" w:sz="8" w:space="0" w:color="auto"/>
              <w:left w:val="nil"/>
              <w:bottom w:val="single" w:sz="8" w:space="0" w:color="auto"/>
              <w:right w:val="single" w:sz="8" w:space="0" w:color="000000"/>
            </w:tcBorders>
            <w:shd w:val="clear" w:color="auto" w:fill="auto"/>
            <w:vAlign w:val="center"/>
          </w:tcPr>
          <w:p w14:paraId="6B0B360A" w14:textId="6BF98F58" w:rsidR="00AB7EA0" w:rsidRPr="000A2AFE" w:rsidRDefault="00E357A7" w:rsidP="000A2AFE">
            <w:pPr>
              <w:widowControl w:val="0"/>
              <w:spacing w:after="0" w:line="240" w:lineRule="auto"/>
              <w:jc w:val="both"/>
              <w:rPr>
                <w:rFonts w:ascii="Calibri Light" w:eastAsia="Times New Roman" w:hAnsi="Calibri Light" w:cs="Calibri Light"/>
                <w:sz w:val="20"/>
                <w:szCs w:val="20"/>
                <w:lang w:eastAsia="el-GR"/>
              </w:rPr>
            </w:pPr>
            <w:r w:rsidRPr="000A2AFE">
              <w:rPr>
                <w:rFonts w:ascii="Calibri Light" w:eastAsia="Times New Roman" w:hAnsi="Calibri Light" w:cs="Calibri Light"/>
                <w:sz w:val="20"/>
                <w:szCs w:val="20"/>
                <w:lang w:eastAsia="el-GR"/>
              </w:rPr>
              <w:t>2025.</w:t>
            </w:r>
          </w:p>
        </w:tc>
      </w:tr>
      <w:tr w:rsidR="00AA0CE3" w:rsidRPr="00AA0CE3" w14:paraId="4FF722C2" w14:textId="77777777" w:rsidTr="00AB7EA0">
        <w:trPr>
          <w:gridAfter w:val="1"/>
          <w:wAfter w:w="222" w:type="dxa"/>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2EF15ACA"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eastAsia="el-GR"/>
              </w:rPr>
            </w:pPr>
            <w:r w:rsidRPr="000A2AFE">
              <w:rPr>
                <w:rFonts w:ascii="Calibri Light" w:eastAsia="Times New Roman" w:hAnsi="Calibri Light" w:cs="Calibri Light"/>
                <w:b/>
                <w:bCs/>
                <w:sz w:val="20"/>
                <w:szCs w:val="20"/>
                <w:lang w:val="en-GB" w:eastAsia="el-GR"/>
              </w:rPr>
              <w:t>T</w:t>
            </w:r>
            <w:r w:rsidRPr="000A2AFE">
              <w:rPr>
                <w:rFonts w:ascii="Calibri Light" w:eastAsia="Times New Roman" w:hAnsi="Calibri Light" w:cs="Calibri Light"/>
                <w:b/>
                <w:bCs/>
                <w:sz w:val="20"/>
                <w:szCs w:val="20"/>
                <w:lang w:eastAsia="el-GR"/>
              </w:rPr>
              <w:t>ип мере</w:t>
            </w:r>
          </w:p>
        </w:tc>
        <w:tc>
          <w:tcPr>
            <w:tcW w:w="6152" w:type="dxa"/>
            <w:gridSpan w:val="3"/>
            <w:tcBorders>
              <w:top w:val="single" w:sz="8" w:space="0" w:color="auto"/>
              <w:left w:val="nil"/>
              <w:bottom w:val="single" w:sz="8" w:space="0" w:color="auto"/>
              <w:right w:val="single" w:sz="8" w:space="0" w:color="000000"/>
            </w:tcBorders>
            <w:shd w:val="clear" w:color="auto" w:fill="auto"/>
            <w:vAlign w:val="center"/>
          </w:tcPr>
          <w:p w14:paraId="7C34C2E8" w14:textId="1CFD8F70" w:rsidR="00AB7EA0" w:rsidRPr="000A2AFE" w:rsidRDefault="00E357A7" w:rsidP="000A2AFE">
            <w:pPr>
              <w:widowControl w:val="0"/>
              <w:spacing w:after="0" w:line="240" w:lineRule="auto"/>
              <w:jc w:val="both"/>
              <w:rPr>
                <w:rFonts w:ascii="Calibri Light" w:eastAsia="Times New Roman" w:hAnsi="Calibri Light" w:cs="Calibri Light"/>
                <w:sz w:val="20"/>
                <w:szCs w:val="20"/>
                <w:lang w:eastAsia="el-GR"/>
              </w:rPr>
            </w:pPr>
            <w:r w:rsidRPr="000A2AFE">
              <w:rPr>
                <w:rFonts w:ascii="Calibri Light" w:eastAsia="Times New Roman" w:hAnsi="Calibri Light" w:cs="Calibri Light"/>
                <w:sz w:val="20"/>
                <w:szCs w:val="20"/>
                <w:lang w:eastAsia="el-GR"/>
              </w:rPr>
              <w:t>Реформа</w:t>
            </w:r>
          </w:p>
        </w:tc>
      </w:tr>
      <w:tr w:rsidR="00AA0CE3" w:rsidRPr="00AA0CE3" w14:paraId="4664B702" w14:textId="77777777" w:rsidTr="00AB7EA0">
        <w:trPr>
          <w:gridAfter w:val="1"/>
          <w:wAfter w:w="222" w:type="dxa"/>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49C1E696"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eastAsia="el-GR"/>
              </w:rPr>
            </w:pPr>
            <w:r w:rsidRPr="000A2AFE">
              <w:rPr>
                <w:rFonts w:ascii="Calibri Light" w:eastAsia="Times New Roman" w:hAnsi="Calibri Light" w:cs="Calibri Light"/>
                <w:b/>
                <w:bCs/>
                <w:sz w:val="20"/>
                <w:szCs w:val="20"/>
                <w:lang w:eastAsia="el-GR"/>
              </w:rPr>
              <w:t>Покривени</w:t>
            </w:r>
            <w:r w:rsidRPr="000A2AFE">
              <w:rPr>
                <w:rFonts w:ascii="Calibri Light" w:eastAsia="Times New Roman" w:hAnsi="Calibri Light" w:cs="Calibri Light"/>
                <w:b/>
                <w:bCs/>
                <w:sz w:val="20"/>
                <w:szCs w:val="20"/>
                <w:lang w:val="en-GB" w:eastAsia="el-GR"/>
              </w:rPr>
              <w:t>/</w:t>
            </w:r>
            <w:r w:rsidRPr="000A2AFE">
              <w:rPr>
                <w:rFonts w:ascii="Calibri Light" w:eastAsia="Times New Roman" w:hAnsi="Calibri Light" w:cs="Calibri Light"/>
                <w:b/>
                <w:bCs/>
                <w:sz w:val="20"/>
                <w:szCs w:val="20"/>
                <w:lang w:eastAsia="el-GR"/>
              </w:rPr>
              <w:t>обухваћени сектори</w:t>
            </w:r>
          </w:p>
        </w:tc>
        <w:tc>
          <w:tcPr>
            <w:tcW w:w="6152" w:type="dxa"/>
            <w:gridSpan w:val="3"/>
            <w:tcBorders>
              <w:top w:val="single" w:sz="8" w:space="0" w:color="auto"/>
              <w:left w:val="nil"/>
              <w:bottom w:val="single" w:sz="8" w:space="0" w:color="auto"/>
              <w:right w:val="single" w:sz="8" w:space="0" w:color="000000"/>
            </w:tcBorders>
            <w:shd w:val="clear" w:color="auto" w:fill="auto"/>
            <w:vAlign w:val="center"/>
          </w:tcPr>
          <w:p w14:paraId="2EB7E2DB" w14:textId="5822CE89" w:rsidR="00AB7EA0" w:rsidRPr="000A2AFE" w:rsidRDefault="00E357A7" w:rsidP="000A2AFE">
            <w:pPr>
              <w:widowControl w:val="0"/>
              <w:spacing w:after="0" w:line="240" w:lineRule="auto"/>
              <w:jc w:val="both"/>
              <w:rPr>
                <w:rFonts w:ascii="Calibri Light" w:eastAsia="Times New Roman" w:hAnsi="Calibri Light" w:cs="Calibri Light"/>
                <w:sz w:val="20"/>
                <w:szCs w:val="20"/>
                <w:lang w:eastAsia="el-GR"/>
              </w:rPr>
            </w:pPr>
            <w:r w:rsidRPr="000A2AFE">
              <w:rPr>
                <w:rFonts w:ascii="Calibri Light" w:eastAsia="Times New Roman" w:hAnsi="Calibri Light" w:cs="Calibri Light"/>
                <w:sz w:val="20"/>
                <w:szCs w:val="20"/>
                <w:lang w:eastAsia="el-GR"/>
              </w:rPr>
              <w:t>Све сектори потрошње енергије</w:t>
            </w:r>
          </w:p>
        </w:tc>
      </w:tr>
      <w:tr w:rsidR="00AB7EA0" w:rsidRPr="0067401D" w14:paraId="5C0A2CAD" w14:textId="77777777" w:rsidTr="00990755">
        <w:trPr>
          <w:gridAfter w:val="1"/>
          <w:wAfter w:w="222" w:type="dxa"/>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50A5E7D9"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eastAsia="el-GR"/>
              </w:rPr>
            </w:pPr>
            <w:r w:rsidRPr="000A2AFE">
              <w:rPr>
                <w:rFonts w:ascii="Calibri Light" w:eastAsia="Times New Roman" w:hAnsi="Calibri Light" w:cs="Calibri Light"/>
                <w:b/>
                <w:bCs/>
                <w:sz w:val="20"/>
                <w:szCs w:val="20"/>
                <w:lang w:eastAsia="el-GR"/>
              </w:rPr>
              <w:t>Извршни орган</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07BC40AF" w14:textId="77777777" w:rsidR="00AB7EA0" w:rsidRPr="000A2AFE" w:rsidRDefault="00AB7EA0" w:rsidP="000A2AFE">
            <w:pPr>
              <w:widowControl w:val="0"/>
              <w:numPr>
                <w:ilvl w:val="0"/>
                <w:numId w:val="114"/>
              </w:numPr>
              <w:spacing w:after="0" w:line="240" w:lineRule="auto"/>
              <w:jc w:val="both"/>
              <w:rPr>
                <w:rFonts w:ascii="Calibri Light" w:eastAsia="Times New Roman" w:hAnsi="Calibri Light" w:cs="Calibri Light"/>
                <w:sz w:val="20"/>
                <w:szCs w:val="20"/>
                <w:lang w:val="en-GB" w:eastAsia="el-GR"/>
              </w:rPr>
            </w:pPr>
            <w:r w:rsidRPr="000A2AFE">
              <w:rPr>
                <w:rFonts w:ascii="Calibri Light" w:eastAsia="Times New Roman" w:hAnsi="Calibri Light" w:cs="Calibri Light"/>
                <w:sz w:val="20"/>
                <w:szCs w:val="20"/>
                <w:lang w:eastAsia="el-GR"/>
              </w:rPr>
              <w:t>Министарство рударства и енергетике</w:t>
            </w:r>
          </w:p>
        </w:tc>
      </w:tr>
      <w:tr w:rsidR="00AB7EA0" w:rsidRPr="0067401D" w14:paraId="42CBB3D7" w14:textId="77777777" w:rsidTr="00990755">
        <w:trPr>
          <w:gridAfter w:val="1"/>
          <w:wAfter w:w="222" w:type="dxa"/>
          <w:trHeight w:val="315"/>
        </w:trPr>
        <w:tc>
          <w:tcPr>
            <w:tcW w:w="3306" w:type="dxa"/>
            <w:tcBorders>
              <w:top w:val="single" w:sz="8" w:space="0" w:color="auto"/>
              <w:left w:val="single" w:sz="8" w:space="0" w:color="auto"/>
              <w:bottom w:val="single" w:sz="8" w:space="0" w:color="auto"/>
              <w:right w:val="single" w:sz="4" w:space="0" w:color="auto"/>
            </w:tcBorders>
            <w:shd w:val="clear" w:color="000000" w:fill="244062"/>
            <w:vAlign w:val="center"/>
            <w:hideMark/>
          </w:tcPr>
          <w:p w14:paraId="0D60BE0B"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eastAsia="el-GR"/>
              </w:rPr>
            </w:pPr>
            <w:r w:rsidRPr="000A2AFE">
              <w:rPr>
                <w:rFonts w:ascii="Calibri Light" w:eastAsia="Times New Roman" w:hAnsi="Calibri Light" w:cs="Calibri Light"/>
                <w:b/>
                <w:bCs/>
                <w:sz w:val="20"/>
                <w:szCs w:val="20"/>
                <w:lang w:eastAsia="el-GR"/>
              </w:rPr>
              <w:t>Тело за праћење</w:t>
            </w:r>
          </w:p>
        </w:tc>
        <w:tc>
          <w:tcPr>
            <w:tcW w:w="6152" w:type="dxa"/>
            <w:gridSpan w:val="3"/>
            <w:tcBorders>
              <w:top w:val="single" w:sz="8" w:space="0" w:color="auto"/>
              <w:left w:val="single" w:sz="4" w:space="0" w:color="auto"/>
              <w:bottom w:val="single" w:sz="8" w:space="0" w:color="auto"/>
              <w:right w:val="single" w:sz="8" w:space="0" w:color="000000"/>
            </w:tcBorders>
            <w:shd w:val="clear" w:color="auto" w:fill="auto"/>
            <w:vAlign w:val="center"/>
            <w:hideMark/>
          </w:tcPr>
          <w:p w14:paraId="536773A0" w14:textId="098A0CE4" w:rsidR="00AB7EA0" w:rsidRPr="000A2AFE" w:rsidRDefault="00E357A7" w:rsidP="000A2AFE">
            <w:pPr>
              <w:widowControl w:val="0"/>
              <w:numPr>
                <w:ilvl w:val="0"/>
                <w:numId w:val="114"/>
              </w:numPr>
              <w:spacing w:after="0" w:line="240" w:lineRule="auto"/>
              <w:jc w:val="both"/>
              <w:rPr>
                <w:rFonts w:ascii="Calibri Light" w:eastAsia="Times New Roman" w:hAnsi="Calibri Light" w:cs="Calibri Light"/>
                <w:sz w:val="20"/>
                <w:szCs w:val="20"/>
                <w:lang w:val="en-GB" w:eastAsia="el-GR"/>
              </w:rPr>
            </w:pPr>
            <w:r w:rsidRPr="000A2AFE">
              <w:rPr>
                <w:rFonts w:ascii="Calibri Light" w:eastAsia="Times New Roman" w:hAnsi="Calibri Light" w:cs="Calibri Light"/>
                <w:sz w:val="20"/>
                <w:szCs w:val="20"/>
                <w:lang w:eastAsia="el-GR"/>
              </w:rPr>
              <w:t>Министарство рударства и енергетике</w:t>
            </w:r>
          </w:p>
        </w:tc>
      </w:tr>
      <w:tr w:rsidR="00AB7EA0" w:rsidRPr="0067401D" w14:paraId="49C53DBE" w14:textId="77777777" w:rsidTr="00990755">
        <w:trPr>
          <w:gridAfter w:val="1"/>
          <w:wAfter w:w="222" w:type="dxa"/>
          <w:trHeight w:val="315"/>
        </w:trPr>
        <w:tc>
          <w:tcPr>
            <w:tcW w:w="3306" w:type="dxa"/>
            <w:tcBorders>
              <w:top w:val="single" w:sz="8" w:space="0" w:color="auto"/>
              <w:left w:val="single" w:sz="8" w:space="0" w:color="auto"/>
              <w:bottom w:val="single" w:sz="8" w:space="0" w:color="auto"/>
              <w:right w:val="single" w:sz="4" w:space="0" w:color="auto"/>
            </w:tcBorders>
            <w:shd w:val="clear" w:color="000000" w:fill="244062"/>
            <w:vAlign w:val="center"/>
            <w:hideMark/>
          </w:tcPr>
          <w:p w14:paraId="1BBF1C78"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eastAsia="el-GR"/>
              </w:rPr>
            </w:pPr>
            <w:r w:rsidRPr="000A2AFE">
              <w:rPr>
                <w:rFonts w:ascii="Calibri Light" w:eastAsia="Times New Roman" w:hAnsi="Calibri Light" w:cs="Calibri Light"/>
                <w:b/>
                <w:bCs/>
                <w:sz w:val="20"/>
                <w:szCs w:val="20"/>
                <w:lang w:eastAsia="el-GR"/>
              </w:rPr>
              <w:t>Индикатори напретка</w:t>
            </w:r>
          </w:p>
        </w:tc>
        <w:tc>
          <w:tcPr>
            <w:tcW w:w="6152" w:type="dxa"/>
            <w:gridSpan w:val="3"/>
            <w:tcBorders>
              <w:top w:val="single" w:sz="8" w:space="0" w:color="auto"/>
              <w:left w:val="single" w:sz="4" w:space="0" w:color="auto"/>
              <w:bottom w:val="single" w:sz="8" w:space="0" w:color="auto"/>
              <w:right w:val="single" w:sz="8" w:space="0" w:color="000000"/>
            </w:tcBorders>
            <w:shd w:val="clear" w:color="auto" w:fill="auto"/>
            <w:vAlign w:val="center"/>
            <w:hideMark/>
          </w:tcPr>
          <w:p w14:paraId="0DB3E783" w14:textId="3C7DBAE5" w:rsidR="00AB7EA0" w:rsidRPr="000A2AFE" w:rsidRDefault="00E357A7" w:rsidP="000A2AFE">
            <w:pPr>
              <w:widowControl w:val="0"/>
              <w:numPr>
                <w:ilvl w:val="0"/>
                <w:numId w:val="114"/>
              </w:numPr>
              <w:spacing w:after="0" w:line="240" w:lineRule="auto"/>
              <w:jc w:val="both"/>
              <w:rPr>
                <w:rFonts w:ascii="Calibri Light" w:eastAsia="Times New Roman" w:hAnsi="Calibri Light" w:cs="Calibri Light"/>
                <w:sz w:val="20"/>
                <w:szCs w:val="20"/>
                <w:lang w:eastAsia="el-GR"/>
              </w:rPr>
            </w:pPr>
            <w:r w:rsidRPr="000A2AFE">
              <w:rPr>
                <w:rFonts w:ascii="Calibri Light" w:eastAsia="Times New Roman" w:hAnsi="Calibri Light" w:cs="Calibri Light"/>
                <w:sz w:val="20"/>
                <w:szCs w:val="20"/>
                <w:lang w:eastAsia="el-GR"/>
              </w:rPr>
              <w:t>Усвајање процене за грејање и хлађење</w:t>
            </w:r>
          </w:p>
        </w:tc>
      </w:tr>
      <w:tr w:rsidR="00AB7EA0" w:rsidRPr="0067401D" w14:paraId="0C4A5F24" w14:textId="77777777" w:rsidTr="00990755">
        <w:trPr>
          <w:gridAfter w:val="1"/>
          <w:wAfter w:w="222" w:type="dxa"/>
          <w:trHeight w:val="153"/>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2EDE81DC"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val="en-GB" w:eastAsia="el-GR"/>
              </w:rPr>
            </w:pPr>
            <w:r w:rsidRPr="000A2AFE">
              <w:rPr>
                <w:rFonts w:ascii="Calibri Light" w:eastAsia="Times New Roman" w:hAnsi="Calibri Light" w:cs="Calibri Light"/>
                <w:b/>
                <w:bCs/>
                <w:sz w:val="20"/>
                <w:szCs w:val="20"/>
                <w:lang w:eastAsia="el-GR"/>
              </w:rPr>
              <w:t>Друге релевантне обухваћене димензије Енергетске уније</w:t>
            </w:r>
          </w:p>
        </w:tc>
        <w:tc>
          <w:tcPr>
            <w:tcW w:w="6152" w:type="dxa"/>
            <w:gridSpan w:val="3"/>
            <w:tcBorders>
              <w:top w:val="single" w:sz="8" w:space="0" w:color="auto"/>
              <w:left w:val="nil"/>
              <w:bottom w:val="single" w:sz="8" w:space="0" w:color="auto"/>
              <w:right w:val="single" w:sz="8" w:space="0" w:color="000000"/>
            </w:tcBorders>
            <w:shd w:val="clear" w:color="auto" w:fill="auto"/>
            <w:vAlign w:val="center"/>
          </w:tcPr>
          <w:p w14:paraId="00453AB1" w14:textId="77777777" w:rsidR="001A321C" w:rsidRPr="000431FE" w:rsidRDefault="001A321C" w:rsidP="001A321C">
            <w:pPr>
              <w:numPr>
                <w:ilvl w:val="0"/>
                <w:numId w:val="163"/>
              </w:numPr>
              <w:spacing w:after="0" w:line="240" w:lineRule="auto"/>
              <w:contextualSpacing/>
              <w:rPr>
                <w:rFonts w:ascii="Calibri Light" w:eastAsia="Times New Roman" w:hAnsi="Calibri Light" w:cs="Calibri Light"/>
                <w:color w:val="000000"/>
                <w:sz w:val="20"/>
                <w:szCs w:val="20"/>
                <w:lang w:eastAsia="en-GB"/>
              </w:rPr>
            </w:pPr>
            <w:r w:rsidRPr="000431FE">
              <w:rPr>
                <w:rFonts w:ascii="Calibri Light" w:eastAsia="Times New Roman" w:hAnsi="Calibri Light" w:cs="Calibri Light"/>
                <w:color w:val="000000"/>
                <w:sz w:val="20"/>
                <w:szCs w:val="20"/>
                <w:lang w:eastAsia="en-GB"/>
              </w:rPr>
              <w:t>Декарбонизација (постигнутом уштедом енергије смањиће се потрошња фосилних горива што ће довести до смањења емисија GHG а коришћене технологије ОИЕ ће довести до укупног повећања удела ОИЕ)</w:t>
            </w:r>
          </w:p>
          <w:p w14:paraId="14DA0DA6" w14:textId="1E9437CF" w:rsidR="00AB7EA0" w:rsidRPr="000A2AFE" w:rsidRDefault="001A321C" w:rsidP="000A2AFE">
            <w:pPr>
              <w:numPr>
                <w:ilvl w:val="0"/>
                <w:numId w:val="163"/>
              </w:numPr>
              <w:spacing w:after="0" w:line="240" w:lineRule="auto"/>
              <w:contextualSpacing/>
              <w:rPr>
                <w:rFonts w:ascii="Calibri Light" w:eastAsia="Times New Roman" w:hAnsi="Calibri Light" w:cs="Calibri Light"/>
                <w:sz w:val="20"/>
                <w:szCs w:val="20"/>
                <w:lang w:val="en-GB" w:eastAsia="el-GR"/>
              </w:rPr>
            </w:pPr>
            <w:r w:rsidRPr="000431FE">
              <w:rPr>
                <w:rFonts w:ascii="Calibri Light" w:eastAsia="Times New Roman" w:hAnsi="Calibri Light" w:cs="Calibri Light"/>
                <w:color w:val="000000"/>
                <w:sz w:val="20"/>
                <w:szCs w:val="20"/>
                <w:lang w:eastAsia="en-GB"/>
              </w:rPr>
              <w:lastRenderedPageBreak/>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AB7EA0" w:rsidRPr="0067401D" w14:paraId="707DBD2E" w14:textId="77777777" w:rsidTr="00990755">
        <w:trPr>
          <w:gridAfter w:val="1"/>
          <w:wAfter w:w="222" w:type="dxa"/>
          <w:trHeight w:val="450"/>
        </w:trPr>
        <w:tc>
          <w:tcPr>
            <w:tcW w:w="3306"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1C30A6A5"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val="en-GB" w:eastAsia="el-GR"/>
              </w:rPr>
            </w:pPr>
            <w:r w:rsidRPr="000A2AFE">
              <w:rPr>
                <w:rFonts w:ascii="Calibri Light" w:eastAsia="Times New Roman" w:hAnsi="Calibri Light" w:cs="Calibri Light"/>
                <w:b/>
                <w:bCs/>
                <w:sz w:val="20"/>
                <w:szCs w:val="20"/>
                <w:lang w:eastAsia="el-GR"/>
              </w:rPr>
              <w:lastRenderedPageBreak/>
              <w:t>Политике Уније која су резултирале имплементацијом ове МП</w:t>
            </w:r>
          </w:p>
        </w:tc>
        <w:tc>
          <w:tcPr>
            <w:tcW w:w="6152"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1860C9F2" w14:textId="6E1C158D" w:rsidR="00AB7EA0" w:rsidRPr="000A2AFE" w:rsidRDefault="00AB7EA0" w:rsidP="00AB2DFD">
            <w:pPr>
              <w:widowControl w:val="0"/>
              <w:numPr>
                <w:ilvl w:val="0"/>
                <w:numId w:val="114"/>
              </w:numPr>
              <w:spacing w:after="0" w:line="240" w:lineRule="auto"/>
              <w:jc w:val="both"/>
              <w:rPr>
                <w:rFonts w:ascii="Calibri Light" w:eastAsia="Times New Roman" w:hAnsi="Calibri Light" w:cs="Calibri Light"/>
                <w:sz w:val="20"/>
                <w:szCs w:val="20"/>
                <w:lang w:val="en-GB" w:eastAsia="el-GR"/>
              </w:rPr>
            </w:pPr>
            <w:r w:rsidRPr="000A2AFE">
              <w:rPr>
                <w:rFonts w:ascii="Calibri Light" w:eastAsia="Times New Roman" w:hAnsi="Calibri Light" w:cs="Calibri Light"/>
                <w:sz w:val="20"/>
                <w:szCs w:val="20"/>
                <w:lang w:eastAsia="el-GR"/>
              </w:rPr>
              <w:t>Директива</w:t>
            </w:r>
            <w:r w:rsidRPr="000A2AFE">
              <w:rPr>
                <w:rFonts w:ascii="Calibri Light" w:eastAsia="Times New Roman" w:hAnsi="Calibri Light" w:cs="Calibri Light"/>
                <w:sz w:val="20"/>
                <w:szCs w:val="20"/>
                <w:lang w:val="en-GB" w:eastAsia="el-GR"/>
              </w:rPr>
              <w:t xml:space="preserve"> </w:t>
            </w:r>
            <w:r w:rsidR="00E357A7" w:rsidRPr="000A2AFE">
              <w:rPr>
                <w:rFonts w:ascii="Calibri Light" w:eastAsia="Times New Roman" w:hAnsi="Calibri Light" w:cs="Calibri Light"/>
                <w:sz w:val="20"/>
                <w:szCs w:val="20"/>
                <w:lang w:eastAsia="el-GR"/>
              </w:rPr>
              <w:t xml:space="preserve">(ЕУ) </w:t>
            </w:r>
            <w:r w:rsidRPr="000A2AFE">
              <w:rPr>
                <w:rFonts w:ascii="Calibri Light" w:eastAsia="Times New Roman" w:hAnsi="Calibri Light" w:cs="Calibri Light"/>
                <w:sz w:val="20"/>
                <w:szCs w:val="20"/>
                <w:lang w:val="en-GB" w:eastAsia="el-GR"/>
              </w:rPr>
              <w:t>201</w:t>
            </w:r>
            <w:r w:rsidR="00E357A7" w:rsidRPr="000A2AFE">
              <w:rPr>
                <w:rFonts w:ascii="Calibri Light" w:eastAsia="Times New Roman" w:hAnsi="Calibri Light" w:cs="Calibri Light"/>
                <w:sz w:val="20"/>
                <w:szCs w:val="20"/>
                <w:lang w:eastAsia="el-GR"/>
              </w:rPr>
              <w:t>2</w:t>
            </w:r>
            <w:r w:rsidRPr="000A2AFE">
              <w:rPr>
                <w:rFonts w:ascii="Calibri Light" w:eastAsia="Times New Roman" w:hAnsi="Calibri Light" w:cs="Calibri Light"/>
                <w:sz w:val="20"/>
                <w:szCs w:val="20"/>
                <w:lang w:val="en-GB" w:eastAsia="el-GR"/>
              </w:rPr>
              <w:t>/2</w:t>
            </w:r>
            <w:r w:rsidR="00E357A7" w:rsidRPr="000A2AFE">
              <w:rPr>
                <w:rFonts w:ascii="Calibri Light" w:eastAsia="Times New Roman" w:hAnsi="Calibri Light" w:cs="Calibri Light"/>
                <w:sz w:val="20"/>
                <w:szCs w:val="20"/>
                <w:lang w:eastAsia="el-GR"/>
              </w:rPr>
              <w:t>7</w:t>
            </w:r>
          </w:p>
          <w:p w14:paraId="1175D51F" w14:textId="1673BFCA" w:rsidR="00E357A7" w:rsidRPr="000A2AFE" w:rsidRDefault="00E357A7" w:rsidP="000A2AFE">
            <w:pPr>
              <w:widowControl w:val="0"/>
              <w:numPr>
                <w:ilvl w:val="0"/>
                <w:numId w:val="114"/>
              </w:numPr>
              <w:spacing w:after="0" w:line="240" w:lineRule="auto"/>
              <w:jc w:val="both"/>
              <w:rPr>
                <w:rFonts w:ascii="Calibri Light" w:eastAsia="Times New Roman" w:hAnsi="Calibri Light" w:cs="Calibri Light"/>
                <w:sz w:val="20"/>
                <w:szCs w:val="20"/>
                <w:lang w:val="en-GB" w:eastAsia="el-GR"/>
              </w:rPr>
            </w:pPr>
            <w:r w:rsidRPr="000A2AFE">
              <w:rPr>
                <w:rFonts w:ascii="Calibri Light" w:eastAsia="Times New Roman" w:hAnsi="Calibri Light" w:cs="Calibri Light"/>
                <w:sz w:val="20"/>
                <w:szCs w:val="20"/>
                <w:lang w:eastAsia="el-GR"/>
              </w:rPr>
              <w:t>Директива (ЕУ) 2018/2002</w:t>
            </w:r>
          </w:p>
        </w:tc>
      </w:tr>
      <w:tr w:rsidR="00AB7EA0" w:rsidRPr="0067401D" w14:paraId="0BBAAFFA" w14:textId="77777777" w:rsidTr="00990755">
        <w:trPr>
          <w:trHeight w:val="300"/>
        </w:trPr>
        <w:tc>
          <w:tcPr>
            <w:tcW w:w="3306" w:type="dxa"/>
            <w:vMerge/>
            <w:tcBorders>
              <w:top w:val="nil"/>
              <w:left w:val="single" w:sz="8" w:space="0" w:color="auto"/>
              <w:bottom w:val="single" w:sz="8" w:space="0" w:color="000000"/>
              <w:right w:val="single" w:sz="8" w:space="0" w:color="auto"/>
            </w:tcBorders>
            <w:vAlign w:val="center"/>
            <w:hideMark/>
          </w:tcPr>
          <w:p w14:paraId="22CF9363"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val="en-GB" w:eastAsia="el-GR"/>
              </w:rPr>
            </w:pPr>
          </w:p>
        </w:tc>
        <w:tc>
          <w:tcPr>
            <w:tcW w:w="6152" w:type="dxa"/>
            <w:gridSpan w:val="3"/>
            <w:vMerge/>
            <w:tcBorders>
              <w:top w:val="single" w:sz="8" w:space="0" w:color="auto"/>
              <w:left w:val="single" w:sz="8" w:space="0" w:color="auto"/>
              <w:bottom w:val="single" w:sz="8" w:space="0" w:color="000000"/>
              <w:right w:val="single" w:sz="8" w:space="0" w:color="000000"/>
            </w:tcBorders>
            <w:vAlign w:val="center"/>
            <w:hideMark/>
          </w:tcPr>
          <w:p w14:paraId="1055F23E" w14:textId="77777777" w:rsidR="00AB7EA0" w:rsidRPr="000A2AFE" w:rsidRDefault="00AB7EA0" w:rsidP="000A2AFE">
            <w:pPr>
              <w:widowControl w:val="0"/>
              <w:numPr>
                <w:ilvl w:val="0"/>
                <w:numId w:val="114"/>
              </w:numPr>
              <w:spacing w:after="0" w:line="240" w:lineRule="auto"/>
              <w:jc w:val="both"/>
              <w:rPr>
                <w:rFonts w:ascii="Calibri Light" w:eastAsia="Times New Roman" w:hAnsi="Calibri Light" w:cs="Calibri Light"/>
                <w:sz w:val="20"/>
                <w:szCs w:val="20"/>
                <w:lang w:val="en-GB" w:eastAsia="el-GR"/>
              </w:rPr>
            </w:pPr>
          </w:p>
        </w:tc>
        <w:tc>
          <w:tcPr>
            <w:tcW w:w="222" w:type="dxa"/>
            <w:tcBorders>
              <w:top w:val="nil"/>
              <w:left w:val="nil"/>
              <w:bottom w:val="nil"/>
              <w:right w:val="nil"/>
            </w:tcBorders>
            <w:shd w:val="clear" w:color="auto" w:fill="auto"/>
            <w:noWrap/>
            <w:vAlign w:val="bottom"/>
            <w:hideMark/>
          </w:tcPr>
          <w:p w14:paraId="4C3AED9E" w14:textId="77777777" w:rsidR="00AB7EA0" w:rsidRPr="000A2AFE" w:rsidRDefault="00AB7EA0" w:rsidP="000A2AFE">
            <w:pPr>
              <w:widowControl w:val="0"/>
              <w:spacing w:after="0" w:line="240" w:lineRule="auto"/>
              <w:jc w:val="both"/>
              <w:rPr>
                <w:rFonts w:ascii="Calibri Light" w:eastAsia="Times New Roman" w:hAnsi="Calibri Light" w:cs="Calibri Light"/>
                <w:sz w:val="20"/>
                <w:szCs w:val="20"/>
                <w:lang w:val="en-GB" w:eastAsia="el-GR"/>
              </w:rPr>
            </w:pPr>
          </w:p>
        </w:tc>
      </w:tr>
      <w:tr w:rsidR="00AB7EA0" w:rsidRPr="0067401D" w14:paraId="183A56FE" w14:textId="77777777" w:rsidTr="00990755">
        <w:trPr>
          <w:trHeight w:val="60"/>
        </w:trPr>
        <w:tc>
          <w:tcPr>
            <w:tcW w:w="3306" w:type="dxa"/>
            <w:vMerge/>
            <w:tcBorders>
              <w:top w:val="nil"/>
              <w:left w:val="single" w:sz="8" w:space="0" w:color="auto"/>
              <w:bottom w:val="single" w:sz="8" w:space="0" w:color="000000"/>
              <w:right w:val="single" w:sz="8" w:space="0" w:color="auto"/>
            </w:tcBorders>
            <w:vAlign w:val="center"/>
            <w:hideMark/>
          </w:tcPr>
          <w:p w14:paraId="13FDBAAD"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val="en-GB" w:eastAsia="el-GR"/>
              </w:rPr>
            </w:pPr>
          </w:p>
        </w:tc>
        <w:tc>
          <w:tcPr>
            <w:tcW w:w="6152" w:type="dxa"/>
            <w:gridSpan w:val="3"/>
            <w:vMerge/>
            <w:tcBorders>
              <w:top w:val="single" w:sz="8" w:space="0" w:color="auto"/>
              <w:left w:val="single" w:sz="8" w:space="0" w:color="auto"/>
              <w:bottom w:val="single" w:sz="8" w:space="0" w:color="000000"/>
              <w:right w:val="single" w:sz="8" w:space="0" w:color="000000"/>
            </w:tcBorders>
            <w:vAlign w:val="center"/>
            <w:hideMark/>
          </w:tcPr>
          <w:p w14:paraId="07EF42D0" w14:textId="77777777" w:rsidR="00AB7EA0" w:rsidRPr="000A2AFE" w:rsidRDefault="00AB7EA0" w:rsidP="000A2AFE">
            <w:pPr>
              <w:widowControl w:val="0"/>
              <w:numPr>
                <w:ilvl w:val="0"/>
                <w:numId w:val="114"/>
              </w:numPr>
              <w:spacing w:after="0" w:line="240" w:lineRule="auto"/>
              <w:jc w:val="both"/>
              <w:rPr>
                <w:rFonts w:ascii="Calibri Light" w:eastAsia="Times New Roman" w:hAnsi="Calibri Light" w:cs="Calibri Light"/>
                <w:sz w:val="20"/>
                <w:szCs w:val="20"/>
                <w:lang w:val="en-GB" w:eastAsia="el-GR"/>
              </w:rPr>
            </w:pPr>
          </w:p>
        </w:tc>
        <w:tc>
          <w:tcPr>
            <w:tcW w:w="222" w:type="dxa"/>
            <w:tcBorders>
              <w:top w:val="nil"/>
              <w:left w:val="nil"/>
              <w:bottom w:val="nil"/>
              <w:right w:val="nil"/>
            </w:tcBorders>
            <w:shd w:val="clear" w:color="auto" w:fill="auto"/>
            <w:noWrap/>
            <w:vAlign w:val="bottom"/>
            <w:hideMark/>
          </w:tcPr>
          <w:p w14:paraId="00E2CF60" w14:textId="77777777" w:rsidR="00AB7EA0" w:rsidRPr="000A2AFE" w:rsidRDefault="00AB7EA0" w:rsidP="000A2AFE">
            <w:pPr>
              <w:widowControl w:val="0"/>
              <w:spacing w:after="0" w:line="240" w:lineRule="auto"/>
              <w:jc w:val="both"/>
              <w:rPr>
                <w:rFonts w:ascii="Calibri Light" w:eastAsia="Times New Roman" w:hAnsi="Calibri Light" w:cs="Calibri Light"/>
                <w:sz w:val="20"/>
                <w:szCs w:val="20"/>
                <w:lang w:val="en-GB" w:eastAsia="el-GR"/>
              </w:rPr>
            </w:pPr>
          </w:p>
        </w:tc>
      </w:tr>
      <w:tr w:rsidR="00AB7EA0" w:rsidRPr="0067401D" w14:paraId="793F0282" w14:textId="77777777" w:rsidTr="00990755">
        <w:trPr>
          <w:trHeight w:val="307"/>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1127FBD6"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val="en-GB" w:eastAsia="el-GR"/>
              </w:rPr>
            </w:pPr>
            <w:r w:rsidRPr="000A2AFE">
              <w:rPr>
                <w:rFonts w:ascii="Calibri Light" w:eastAsia="Times New Roman" w:hAnsi="Calibri Light" w:cs="Calibri Light"/>
                <w:b/>
                <w:bCs/>
                <w:sz w:val="20"/>
                <w:szCs w:val="20"/>
                <w:lang w:eastAsia="el-GR"/>
              </w:rPr>
              <w:t>Релевантни национални плански документ (правни, регулаторни акти, итд)</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43E1D1D8" w14:textId="77777777" w:rsidR="00AB7EA0" w:rsidRPr="000A2AFE" w:rsidRDefault="00E357A7" w:rsidP="00E357A7">
            <w:pPr>
              <w:pStyle w:val="ListParagraph"/>
              <w:widowControl w:val="0"/>
              <w:numPr>
                <w:ilvl w:val="0"/>
                <w:numId w:val="368"/>
              </w:numPr>
              <w:spacing w:after="0" w:line="240" w:lineRule="auto"/>
              <w:jc w:val="both"/>
              <w:rPr>
                <w:rFonts w:ascii="Calibri Light" w:eastAsia="Times New Roman" w:hAnsi="Calibri Light" w:cs="Calibri Light"/>
                <w:sz w:val="20"/>
                <w:szCs w:val="20"/>
                <w:lang w:val="en-GB" w:eastAsia="el-GR"/>
              </w:rPr>
            </w:pPr>
            <w:r w:rsidRPr="000A2AFE">
              <w:rPr>
                <w:rFonts w:ascii="Calibri Light" w:eastAsia="Times New Roman" w:hAnsi="Calibri Light" w:cs="Calibri Light"/>
                <w:sz w:val="20"/>
                <w:szCs w:val="20"/>
                <w:lang w:eastAsia="el-GR"/>
              </w:rPr>
              <w:t>Закон о енергетици</w:t>
            </w:r>
          </w:p>
          <w:p w14:paraId="45F4EA24" w14:textId="4E251808" w:rsidR="00E357A7" w:rsidRPr="000A2AFE" w:rsidRDefault="00E357A7" w:rsidP="000A2AFE">
            <w:pPr>
              <w:pStyle w:val="ListParagraph"/>
              <w:widowControl w:val="0"/>
              <w:numPr>
                <w:ilvl w:val="0"/>
                <w:numId w:val="368"/>
              </w:numPr>
              <w:spacing w:after="0" w:line="240" w:lineRule="auto"/>
              <w:jc w:val="both"/>
              <w:rPr>
                <w:rFonts w:ascii="Calibri Light" w:eastAsia="Times New Roman" w:hAnsi="Calibri Light" w:cs="Calibri Light"/>
                <w:sz w:val="20"/>
                <w:szCs w:val="20"/>
                <w:lang w:val="en-GB" w:eastAsia="el-GR"/>
              </w:rPr>
            </w:pPr>
            <w:r w:rsidRPr="000A2AFE">
              <w:rPr>
                <w:rFonts w:ascii="Calibri Light" w:eastAsia="Times New Roman" w:hAnsi="Calibri Light" w:cs="Calibri Light"/>
                <w:sz w:val="20"/>
                <w:szCs w:val="20"/>
                <w:lang w:eastAsia="el-GR"/>
              </w:rPr>
              <w:t>Закон о енергетској ефикасности и рационалној употреби енергије</w:t>
            </w:r>
          </w:p>
        </w:tc>
        <w:tc>
          <w:tcPr>
            <w:tcW w:w="222" w:type="dxa"/>
            <w:vAlign w:val="center"/>
            <w:hideMark/>
          </w:tcPr>
          <w:p w14:paraId="5FC73B69" w14:textId="77777777" w:rsidR="00AB7EA0" w:rsidRPr="000A2AFE" w:rsidRDefault="00AB7EA0" w:rsidP="000A2AFE">
            <w:pPr>
              <w:widowControl w:val="0"/>
              <w:spacing w:after="0" w:line="240" w:lineRule="auto"/>
              <w:jc w:val="both"/>
              <w:rPr>
                <w:rFonts w:ascii="Calibri Light" w:eastAsia="Times New Roman" w:hAnsi="Calibri Light" w:cs="Calibri Light"/>
                <w:sz w:val="20"/>
                <w:szCs w:val="20"/>
                <w:lang w:val="en-GB" w:eastAsia="el-GR"/>
              </w:rPr>
            </w:pPr>
          </w:p>
        </w:tc>
      </w:tr>
      <w:tr w:rsidR="00AB7EA0" w:rsidRPr="0067401D" w14:paraId="48D376AF" w14:textId="77777777" w:rsidTr="00990755">
        <w:trPr>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01502D7E"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eastAsia="el-GR"/>
              </w:rPr>
            </w:pPr>
            <w:r w:rsidRPr="000A2AFE">
              <w:rPr>
                <w:rFonts w:ascii="Calibri Light" w:eastAsia="Times New Roman" w:hAnsi="Calibri Light" w:cs="Calibri Light"/>
                <w:b/>
                <w:bCs/>
                <w:sz w:val="20"/>
                <w:szCs w:val="20"/>
                <w:lang w:eastAsia="el-GR"/>
              </w:rPr>
              <w:t>Трошкови имплементације</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7BEDDC6A" w14:textId="5C2EC1B2" w:rsidR="00AB7EA0" w:rsidRPr="000A2AFE" w:rsidRDefault="00AB7EA0" w:rsidP="000A2AFE">
            <w:pPr>
              <w:widowControl w:val="0"/>
              <w:spacing w:after="0" w:line="240" w:lineRule="auto"/>
              <w:jc w:val="both"/>
              <w:rPr>
                <w:rFonts w:ascii="Calibri Light" w:eastAsia="Times New Roman" w:hAnsi="Calibri Light" w:cs="Calibri Light"/>
                <w:sz w:val="20"/>
                <w:szCs w:val="20"/>
                <w:lang w:eastAsia="el-GR"/>
              </w:rPr>
            </w:pPr>
            <w:r w:rsidRPr="000A2AFE">
              <w:rPr>
                <w:rFonts w:ascii="Calibri Light" w:eastAsia="Times New Roman" w:hAnsi="Calibri Light" w:cs="Calibri Light"/>
                <w:sz w:val="20"/>
                <w:szCs w:val="20"/>
                <w:lang w:eastAsia="el-GR"/>
              </w:rPr>
              <w:t>0,</w:t>
            </w:r>
            <w:r w:rsidR="00E357A7" w:rsidRPr="000A2AFE">
              <w:rPr>
                <w:rFonts w:ascii="Calibri Light" w:eastAsia="Times New Roman" w:hAnsi="Calibri Light" w:cs="Calibri Light"/>
                <w:sz w:val="20"/>
                <w:szCs w:val="20"/>
                <w:lang w:eastAsia="el-GR"/>
              </w:rPr>
              <w:t>5</w:t>
            </w:r>
            <w:r w:rsidRPr="000A2AFE">
              <w:rPr>
                <w:rFonts w:ascii="Calibri Light" w:eastAsia="Times New Roman" w:hAnsi="Calibri Light" w:cs="Calibri Light"/>
                <w:sz w:val="20"/>
                <w:szCs w:val="20"/>
                <w:lang w:eastAsia="el-GR"/>
              </w:rPr>
              <w:t xml:space="preserve"> милиона евра</w:t>
            </w:r>
          </w:p>
        </w:tc>
        <w:tc>
          <w:tcPr>
            <w:tcW w:w="222" w:type="dxa"/>
            <w:vAlign w:val="center"/>
            <w:hideMark/>
          </w:tcPr>
          <w:p w14:paraId="6F2DBDB3" w14:textId="77777777" w:rsidR="00AB7EA0" w:rsidRPr="000A2AFE" w:rsidRDefault="00AB7EA0" w:rsidP="000A2AFE">
            <w:pPr>
              <w:widowControl w:val="0"/>
              <w:spacing w:after="0" w:line="240" w:lineRule="auto"/>
              <w:jc w:val="both"/>
              <w:rPr>
                <w:rFonts w:ascii="Calibri Light" w:eastAsia="Times New Roman" w:hAnsi="Calibri Light" w:cs="Calibri Light"/>
                <w:sz w:val="20"/>
                <w:szCs w:val="20"/>
                <w:lang w:val="en-GB" w:eastAsia="el-GR"/>
              </w:rPr>
            </w:pPr>
          </w:p>
        </w:tc>
      </w:tr>
      <w:tr w:rsidR="00AB7EA0" w:rsidRPr="0067401D" w14:paraId="71A686C3" w14:textId="77777777" w:rsidTr="00990755">
        <w:trPr>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737CFEBF"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val="en-GB" w:eastAsia="el-GR"/>
              </w:rPr>
            </w:pPr>
            <w:r w:rsidRPr="000A2AFE">
              <w:rPr>
                <w:rFonts w:ascii="Calibri Light" w:eastAsia="Times New Roman" w:hAnsi="Calibri Light" w:cs="Calibri Light"/>
                <w:b/>
                <w:bCs/>
                <w:sz w:val="20"/>
                <w:szCs w:val="20"/>
                <w:lang w:eastAsia="el-GR"/>
              </w:rPr>
              <w:t>Извор(и) финансирања</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1D45EA29" w14:textId="6550D6FB" w:rsidR="00AB7EA0" w:rsidRPr="000A2AFE" w:rsidRDefault="00E357A7" w:rsidP="000A2AFE">
            <w:pPr>
              <w:widowControl w:val="0"/>
              <w:spacing w:after="0" w:line="240" w:lineRule="auto"/>
              <w:jc w:val="both"/>
              <w:rPr>
                <w:rFonts w:ascii="Calibri Light" w:eastAsia="Times New Roman" w:hAnsi="Calibri Light" w:cs="Calibri Light"/>
                <w:sz w:val="20"/>
                <w:szCs w:val="20"/>
                <w:lang w:val="en-GB" w:eastAsia="el-GR"/>
              </w:rPr>
            </w:pPr>
            <w:r w:rsidRPr="000A2AFE">
              <w:rPr>
                <w:rFonts w:ascii="Calibri Light" w:eastAsia="Times New Roman" w:hAnsi="Calibri Light" w:cs="Calibri Light"/>
                <w:sz w:val="20"/>
                <w:szCs w:val="20"/>
                <w:lang w:eastAsia="el-GR"/>
              </w:rPr>
              <w:t>Б</w:t>
            </w:r>
            <w:r w:rsidR="00AB7EA0" w:rsidRPr="000A2AFE">
              <w:rPr>
                <w:rFonts w:ascii="Calibri Light" w:eastAsia="Times New Roman" w:hAnsi="Calibri Light" w:cs="Calibri Light"/>
                <w:sz w:val="20"/>
                <w:szCs w:val="20"/>
                <w:lang w:eastAsia="el-GR"/>
              </w:rPr>
              <w:t>уџетска средства</w:t>
            </w:r>
          </w:p>
        </w:tc>
        <w:tc>
          <w:tcPr>
            <w:tcW w:w="222" w:type="dxa"/>
            <w:vAlign w:val="center"/>
            <w:hideMark/>
          </w:tcPr>
          <w:p w14:paraId="1E34FBA4" w14:textId="77777777" w:rsidR="00AB7EA0" w:rsidRPr="000A2AFE" w:rsidRDefault="00AB7EA0" w:rsidP="000A2AFE">
            <w:pPr>
              <w:widowControl w:val="0"/>
              <w:spacing w:after="0" w:line="240" w:lineRule="auto"/>
              <w:jc w:val="both"/>
              <w:rPr>
                <w:rFonts w:ascii="Calibri Light" w:eastAsia="Times New Roman" w:hAnsi="Calibri Light" w:cs="Calibri Light"/>
                <w:sz w:val="20"/>
                <w:szCs w:val="20"/>
                <w:lang w:val="en-GB" w:eastAsia="el-GR"/>
              </w:rPr>
            </w:pPr>
          </w:p>
        </w:tc>
      </w:tr>
    </w:tbl>
    <w:p w14:paraId="42BBCAFE" w14:textId="77777777" w:rsidR="00273B98" w:rsidRDefault="00273B98" w:rsidP="000A2AFE">
      <w:pPr>
        <w:widowControl w:val="0"/>
        <w:spacing w:after="0" w:line="240" w:lineRule="auto"/>
        <w:jc w:val="both"/>
        <w:rPr>
          <w:rFonts w:ascii="Calibri Light" w:eastAsia="Times New Roman" w:hAnsi="Calibri Light" w:cs="Calibri Light"/>
          <w:szCs w:val="20"/>
          <w:lang w:eastAsia="el-GR"/>
        </w:rPr>
      </w:pPr>
    </w:p>
    <w:tbl>
      <w:tblPr>
        <w:tblW w:w="9680" w:type="dxa"/>
        <w:tblLook w:val="04A0" w:firstRow="1" w:lastRow="0" w:firstColumn="1" w:lastColumn="0" w:noHBand="0" w:noVBand="1"/>
      </w:tblPr>
      <w:tblGrid>
        <w:gridCol w:w="3306"/>
        <w:gridCol w:w="1009"/>
        <w:gridCol w:w="944"/>
        <w:gridCol w:w="4199"/>
        <w:gridCol w:w="222"/>
      </w:tblGrid>
      <w:tr w:rsidR="00C466A1" w:rsidRPr="0067401D" w14:paraId="054005D4" w14:textId="77777777" w:rsidTr="00990755">
        <w:trPr>
          <w:gridAfter w:val="1"/>
          <w:wAfter w:w="222" w:type="dxa"/>
          <w:trHeight w:val="780"/>
        </w:trPr>
        <w:tc>
          <w:tcPr>
            <w:tcW w:w="3306"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746BE8A0"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val="en-GB" w:eastAsia="el-GR"/>
              </w:rPr>
            </w:pPr>
            <w:r w:rsidRPr="000A2AFE">
              <w:rPr>
                <w:rFonts w:ascii="Calibri Light" w:eastAsia="Times New Roman" w:hAnsi="Calibri Light" w:cs="Calibri Light"/>
                <w:b/>
                <w:bCs/>
                <w:sz w:val="20"/>
                <w:szCs w:val="20"/>
                <w:lang w:eastAsia="el-GR"/>
              </w:rPr>
              <w:t>Шифра мере политике</w:t>
            </w:r>
            <w:r w:rsidRPr="000A2AFE">
              <w:rPr>
                <w:rFonts w:ascii="Calibri Light" w:eastAsia="Times New Roman" w:hAnsi="Calibri Light" w:cs="Calibri Light"/>
                <w:b/>
                <w:bCs/>
                <w:sz w:val="20"/>
                <w:szCs w:val="20"/>
                <w:lang w:val="en-GB" w:eastAsia="el-GR"/>
              </w:rPr>
              <w:t xml:space="preserve">: </w:t>
            </w:r>
          </w:p>
        </w:tc>
        <w:tc>
          <w:tcPr>
            <w:tcW w:w="1009" w:type="dxa"/>
            <w:tcBorders>
              <w:top w:val="single" w:sz="8" w:space="0" w:color="auto"/>
              <w:left w:val="nil"/>
              <w:bottom w:val="single" w:sz="8" w:space="0" w:color="auto"/>
              <w:right w:val="single" w:sz="8" w:space="0" w:color="auto"/>
            </w:tcBorders>
            <w:shd w:val="clear" w:color="auto" w:fill="E7E6E6" w:themeFill="background2"/>
            <w:vAlign w:val="center"/>
            <w:hideMark/>
          </w:tcPr>
          <w:p w14:paraId="6AC84074" w14:textId="6D955743"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val="en-GB" w:eastAsia="el-GR"/>
              </w:rPr>
            </w:pPr>
            <w:r w:rsidRPr="000A2AFE">
              <w:rPr>
                <w:rFonts w:ascii="Calibri Light" w:eastAsia="Times New Roman" w:hAnsi="Calibri Light" w:cs="Calibri Light"/>
                <w:b/>
                <w:bCs/>
                <w:sz w:val="20"/>
                <w:szCs w:val="20"/>
                <w:lang w:val="en-GB" w:eastAsia="el-GR"/>
              </w:rPr>
              <w:t>M</w:t>
            </w:r>
            <w:r w:rsidRPr="000A2AFE">
              <w:rPr>
                <w:rFonts w:ascii="Calibri Light" w:eastAsia="Times New Roman" w:hAnsi="Calibri Light" w:cs="Calibri Light"/>
                <w:b/>
                <w:bCs/>
                <w:sz w:val="20"/>
                <w:szCs w:val="20"/>
                <w:lang w:eastAsia="el-GR"/>
              </w:rPr>
              <w:t>П</w:t>
            </w:r>
            <w:r w:rsidRPr="000A2AFE">
              <w:rPr>
                <w:rFonts w:ascii="Calibri Light" w:eastAsia="Times New Roman" w:hAnsi="Calibri Light" w:cs="Calibri Light"/>
                <w:b/>
                <w:bCs/>
                <w:sz w:val="20"/>
                <w:szCs w:val="20"/>
                <w:lang w:val="en-GB" w:eastAsia="el-GR"/>
              </w:rPr>
              <w:t>_</w:t>
            </w:r>
            <w:r w:rsidR="001A321C" w:rsidRPr="000A2AFE">
              <w:rPr>
                <w:rFonts w:ascii="Calibri Light" w:eastAsia="Times New Roman" w:hAnsi="Calibri Light" w:cs="Calibri Light"/>
                <w:b/>
                <w:bCs/>
                <w:sz w:val="20"/>
                <w:szCs w:val="20"/>
                <w:lang w:eastAsia="el-GR"/>
              </w:rPr>
              <w:t>ЕЕ46</w:t>
            </w:r>
          </w:p>
        </w:tc>
        <w:tc>
          <w:tcPr>
            <w:tcW w:w="944" w:type="dxa"/>
            <w:tcBorders>
              <w:top w:val="single" w:sz="8" w:space="0" w:color="auto"/>
              <w:left w:val="nil"/>
              <w:bottom w:val="single" w:sz="8" w:space="0" w:color="auto"/>
              <w:right w:val="single" w:sz="8" w:space="0" w:color="auto"/>
            </w:tcBorders>
            <w:shd w:val="clear" w:color="000000" w:fill="244062"/>
            <w:vAlign w:val="center"/>
            <w:hideMark/>
          </w:tcPr>
          <w:p w14:paraId="1F5D8593"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val="en-GB" w:eastAsia="el-GR"/>
              </w:rPr>
            </w:pPr>
            <w:r w:rsidRPr="000A2AFE">
              <w:rPr>
                <w:rFonts w:ascii="Calibri Light" w:eastAsia="Times New Roman" w:hAnsi="Calibri Light" w:cs="Calibri Light"/>
                <w:b/>
                <w:bCs/>
                <w:sz w:val="20"/>
                <w:szCs w:val="20"/>
                <w:lang w:eastAsia="el-GR"/>
              </w:rPr>
              <w:t>Назив</w:t>
            </w:r>
            <w:r w:rsidRPr="000A2AFE">
              <w:rPr>
                <w:rFonts w:ascii="Calibri Light" w:eastAsia="Times New Roman" w:hAnsi="Calibri Light" w:cs="Calibri Light"/>
                <w:b/>
                <w:bCs/>
                <w:sz w:val="20"/>
                <w:szCs w:val="20"/>
                <w:lang w:val="en-GB" w:eastAsia="el-GR"/>
              </w:rPr>
              <w:t xml:space="preserve">: </w:t>
            </w:r>
          </w:p>
        </w:tc>
        <w:tc>
          <w:tcPr>
            <w:tcW w:w="4199" w:type="dxa"/>
            <w:tcBorders>
              <w:top w:val="single" w:sz="8" w:space="0" w:color="auto"/>
              <w:left w:val="nil"/>
              <w:bottom w:val="single" w:sz="8" w:space="0" w:color="auto"/>
              <w:right w:val="single" w:sz="8" w:space="0" w:color="auto"/>
            </w:tcBorders>
            <w:shd w:val="clear" w:color="auto" w:fill="E7E6E6" w:themeFill="background2"/>
            <w:vAlign w:val="center"/>
            <w:hideMark/>
          </w:tcPr>
          <w:p w14:paraId="61DA0D60" w14:textId="5C62A328" w:rsidR="00AB7EA0" w:rsidRPr="000A2AFE" w:rsidRDefault="001A321C" w:rsidP="000A2AFE">
            <w:pPr>
              <w:widowControl w:val="0"/>
              <w:spacing w:after="0" w:line="240" w:lineRule="auto"/>
              <w:jc w:val="both"/>
              <w:rPr>
                <w:rFonts w:ascii="Calibri Light" w:eastAsia="Times New Roman" w:hAnsi="Calibri Light" w:cs="Calibri Light"/>
                <w:b/>
                <w:bCs/>
                <w:sz w:val="20"/>
                <w:szCs w:val="20"/>
                <w:lang w:eastAsia="el-GR"/>
              </w:rPr>
            </w:pPr>
            <w:r w:rsidRPr="000A2AFE">
              <w:rPr>
                <w:rFonts w:ascii="Calibri Light" w:eastAsia="Times New Roman" w:hAnsi="Calibri Light" w:cs="Calibri Light"/>
                <w:b/>
                <w:bCs/>
                <w:sz w:val="20"/>
                <w:szCs w:val="20"/>
                <w:lang w:eastAsia="el-GR"/>
              </w:rPr>
              <w:t xml:space="preserve">Праћење </w:t>
            </w:r>
            <w:r w:rsidR="00C466A1" w:rsidRPr="000A2AFE">
              <w:rPr>
                <w:rFonts w:ascii="Calibri Light" w:eastAsia="Times New Roman" w:hAnsi="Calibri Light" w:cs="Calibri Light"/>
                <w:b/>
                <w:bCs/>
                <w:sz w:val="20"/>
                <w:szCs w:val="20"/>
                <w:lang w:eastAsia="el-GR"/>
              </w:rPr>
              <w:t>прописа у погледу мерних и обрачунских информација</w:t>
            </w:r>
          </w:p>
        </w:tc>
      </w:tr>
      <w:tr w:rsidR="0067401D" w:rsidRPr="000431FE" w14:paraId="47505BC5" w14:textId="77777777" w:rsidTr="00990755">
        <w:trPr>
          <w:gridAfter w:val="1"/>
          <w:wAfter w:w="222" w:type="dxa"/>
          <w:trHeight w:val="265"/>
        </w:trPr>
        <w:tc>
          <w:tcPr>
            <w:tcW w:w="3306" w:type="dxa"/>
            <w:tcBorders>
              <w:top w:val="single" w:sz="8" w:space="0" w:color="auto"/>
              <w:left w:val="single" w:sz="8" w:space="0" w:color="auto"/>
              <w:bottom w:val="single" w:sz="8" w:space="0" w:color="auto"/>
              <w:right w:val="single" w:sz="4" w:space="0" w:color="auto"/>
            </w:tcBorders>
            <w:shd w:val="clear" w:color="000000" w:fill="244062"/>
            <w:vAlign w:val="center"/>
            <w:hideMark/>
          </w:tcPr>
          <w:p w14:paraId="042C435A"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val="en-GB" w:eastAsia="el-GR"/>
              </w:rPr>
            </w:pPr>
            <w:r w:rsidRPr="000A2AFE">
              <w:rPr>
                <w:rFonts w:ascii="Calibri Light" w:eastAsia="Times New Roman" w:hAnsi="Calibri Light" w:cs="Calibri Light"/>
                <w:b/>
                <w:bCs/>
                <w:sz w:val="20"/>
                <w:szCs w:val="20"/>
                <w:lang w:eastAsia="el-GR"/>
              </w:rPr>
              <w:t>Главни циљ</w:t>
            </w:r>
            <w:r w:rsidRPr="000A2AFE">
              <w:rPr>
                <w:rFonts w:ascii="Calibri Light" w:eastAsia="Times New Roman" w:hAnsi="Calibri Light" w:cs="Calibri Light"/>
                <w:b/>
                <w:bCs/>
                <w:sz w:val="20"/>
                <w:szCs w:val="20"/>
                <w:lang w:val="en-GB" w:eastAsia="el-GR"/>
              </w:rPr>
              <w:t xml:space="preserve">: </w:t>
            </w:r>
          </w:p>
        </w:tc>
        <w:tc>
          <w:tcPr>
            <w:tcW w:w="6152" w:type="dxa"/>
            <w:gridSpan w:val="3"/>
            <w:tcBorders>
              <w:top w:val="single" w:sz="8" w:space="0" w:color="auto"/>
              <w:left w:val="single" w:sz="4" w:space="0" w:color="auto"/>
              <w:bottom w:val="single" w:sz="8" w:space="0" w:color="auto"/>
              <w:right w:val="single" w:sz="8" w:space="0" w:color="000000"/>
            </w:tcBorders>
            <w:shd w:val="clear" w:color="auto" w:fill="auto"/>
            <w:vAlign w:val="center"/>
          </w:tcPr>
          <w:p w14:paraId="3170A66A" w14:textId="591A42A4" w:rsidR="001A321C" w:rsidRPr="000A2AFE" w:rsidRDefault="001A321C" w:rsidP="001A321C">
            <w:pPr>
              <w:widowControl w:val="0"/>
              <w:spacing w:after="0" w:line="240" w:lineRule="auto"/>
              <w:jc w:val="both"/>
              <w:rPr>
                <w:rFonts w:ascii="Calibri Light" w:eastAsia="Times New Roman" w:hAnsi="Calibri Light" w:cs="Calibri Light"/>
                <w:sz w:val="20"/>
                <w:szCs w:val="20"/>
                <w:lang w:eastAsia="el-GR"/>
              </w:rPr>
            </w:pPr>
            <w:r w:rsidRPr="000A2AFE">
              <w:rPr>
                <w:rFonts w:ascii="Calibri Light" w:eastAsia="Times New Roman" w:hAnsi="Calibri Light" w:cs="Calibri Light"/>
                <w:sz w:val="20"/>
                <w:szCs w:val="20"/>
                <w:lang w:eastAsia="el-GR"/>
              </w:rPr>
              <w:t>Примена чланова Директиве (ЕУ) 2012/27, која је измењена и допуњена Директивом (ЕУ) 2018/2002, и то:</w:t>
            </w:r>
          </w:p>
          <w:p w14:paraId="3120830D" w14:textId="15C38749" w:rsidR="00AB7EA0" w:rsidRPr="000A2AFE" w:rsidRDefault="001A321C" w:rsidP="000A2AFE">
            <w:pPr>
              <w:widowControl w:val="0"/>
              <w:numPr>
                <w:ilvl w:val="0"/>
                <w:numId w:val="367"/>
              </w:numPr>
              <w:spacing w:after="0" w:line="240" w:lineRule="auto"/>
              <w:jc w:val="both"/>
              <w:rPr>
                <w:rFonts w:ascii="Calibri Light" w:eastAsia="Times New Roman" w:hAnsi="Calibri Light" w:cs="Calibri Light"/>
                <w:sz w:val="20"/>
                <w:szCs w:val="20"/>
                <w:lang w:val="en-GB" w:eastAsia="el-GR"/>
              </w:rPr>
            </w:pPr>
            <w:r w:rsidRPr="000A2AFE">
              <w:rPr>
                <w:rFonts w:ascii="Calibri Light" w:eastAsia="Times New Roman" w:hAnsi="Calibri Light" w:cs="Calibri Light"/>
                <w:sz w:val="20"/>
                <w:szCs w:val="20"/>
                <w:lang w:eastAsia="el-GR"/>
              </w:rPr>
              <w:t>Чланова 9-11</w:t>
            </w:r>
          </w:p>
        </w:tc>
      </w:tr>
      <w:tr w:rsidR="0067401D" w:rsidRPr="000431FE" w14:paraId="01371867" w14:textId="77777777" w:rsidTr="00990755">
        <w:trPr>
          <w:gridAfter w:val="1"/>
          <w:wAfter w:w="222" w:type="dxa"/>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70DD6A6E"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val="en-GB" w:eastAsia="el-GR"/>
              </w:rPr>
            </w:pPr>
            <w:r w:rsidRPr="000A2AFE">
              <w:rPr>
                <w:rFonts w:ascii="Calibri Light" w:eastAsia="Times New Roman" w:hAnsi="Calibri Light" w:cs="Calibri Light"/>
                <w:b/>
                <w:bCs/>
                <w:sz w:val="20"/>
                <w:szCs w:val="20"/>
                <w:lang w:eastAsia="el-GR"/>
              </w:rPr>
              <w:t>Квантификовани циљ</w:t>
            </w:r>
            <w:r w:rsidRPr="000A2AFE">
              <w:rPr>
                <w:rFonts w:ascii="Calibri Light" w:eastAsia="Times New Roman" w:hAnsi="Calibri Light" w:cs="Calibri Light"/>
                <w:b/>
                <w:bCs/>
                <w:sz w:val="20"/>
                <w:szCs w:val="20"/>
                <w:lang w:val="en-GB" w:eastAsia="el-GR"/>
              </w:rPr>
              <w:t xml:space="preserve">: </w:t>
            </w:r>
          </w:p>
        </w:tc>
        <w:tc>
          <w:tcPr>
            <w:tcW w:w="6152" w:type="dxa"/>
            <w:gridSpan w:val="3"/>
            <w:tcBorders>
              <w:top w:val="single" w:sz="8" w:space="0" w:color="auto"/>
              <w:left w:val="nil"/>
              <w:bottom w:val="single" w:sz="8" w:space="0" w:color="auto"/>
              <w:right w:val="single" w:sz="8" w:space="0" w:color="000000"/>
            </w:tcBorders>
            <w:shd w:val="clear" w:color="auto" w:fill="auto"/>
            <w:vAlign w:val="center"/>
          </w:tcPr>
          <w:p w14:paraId="7949044E" w14:textId="2A88C92D" w:rsidR="00AB7EA0" w:rsidRPr="000A2AFE" w:rsidRDefault="001A321C" w:rsidP="000A2AFE">
            <w:pPr>
              <w:widowControl w:val="0"/>
              <w:spacing w:after="0" w:line="240" w:lineRule="auto"/>
              <w:jc w:val="both"/>
              <w:rPr>
                <w:rFonts w:ascii="Calibri Light" w:eastAsia="Times New Roman" w:hAnsi="Calibri Light" w:cs="Calibri Light"/>
                <w:sz w:val="20"/>
                <w:szCs w:val="20"/>
                <w:lang w:val="en-GB" w:eastAsia="el-GR"/>
              </w:rPr>
            </w:pPr>
            <w:r w:rsidRPr="000A2AFE">
              <w:rPr>
                <w:rFonts w:ascii="Calibri Light" w:eastAsia="Times New Roman" w:hAnsi="Calibri Light" w:cs="Calibri Light"/>
                <w:sz w:val="20"/>
                <w:szCs w:val="20"/>
                <w:lang w:eastAsia="el-GR"/>
              </w:rPr>
              <w:t xml:space="preserve">Допринос постизању очекиваних нивоа финалне потрошње енергије и подизање нивоа свести о </w:t>
            </w:r>
          </w:p>
        </w:tc>
      </w:tr>
      <w:tr w:rsidR="0067401D" w:rsidRPr="000431FE" w14:paraId="5E8676CD" w14:textId="77777777" w:rsidTr="00990755">
        <w:trPr>
          <w:gridAfter w:val="1"/>
          <w:wAfter w:w="222" w:type="dxa"/>
          <w:trHeight w:val="726"/>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39AFE8D5"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val="en-GB" w:eastAsia="el-GR"/>
              </w:rPr>
            </w:pPr>
            <w:r w:rsidRPr="000A2AFE">
              <w:rPr>
                <w:rFonts w:ascii="Calibri Light" w:eastAsia="Times New Roman" w:hAnsi="Calibri Light" w:cs="Calibri Light"/>
                <w:b/>
                <w:bCs/>
                <w:sz w:val="20"/>
                <w:szCs w:val="20"/>
                <w:lang w:eastAsia="el-GR"/>
              </w:rPr>
              <w:t>Опис</w:t>
            </w:r>
            <w:r w:rsidRPr="000A2AFE">
              <w:rPr>
                <w:rFonts w:ascii="Calibri Light" w:eastAsia="Times New Roman" w:hAnsi="Calibri Light" w:cs="Calibri Light"/>
                <w:b/>
                <w:bCs/>
                <w:sz w:val="20"/>
                <w:szCs w:val="20"/>
                <w:lang w:val="en-GB" w:eastAsia="el-GR"/>
              </w:rPr>
              <w:t>:</w:t>
            </w:r>
          </w:p>
        </w:tc>
        <w:tc>
          <w:tcPr>
            <w:tcW w:w="6152" w:type="dxa"/>
            <w:gridSpan w:val="3"/>
            <w:tcBorders>
              <w:top w:val="single" w:sz="8" w:space="0" w:color="auto"/>
              <w:left w:val="nil"/>
              <w:bottom w:val="single" w:sz="8" w:space="0" w:color="auto"/>
              <w:right w:val="single" w:sz="8" w:space="0" w:color="000000"/>
            </w:tcBorders>
            <w:shd w:val="clear" w:color="auto" w:fill="auto"/>
            <w:vAlign w:val="center"/>
          </w:tcPr>
          <w:p w14:paraId="2C83FCD0" w14:textId="7314E5AB" w:rsidR="00AB7EA0" w:rsidRPr="000A2AFE" w:rsidRDefault="000C6347" w:rsidP="000A2AFE">
            <w:pPr>
              <w:widowControl w:val="0"/>
              <w:spacing w:after="0" w:line="240" w:lineRule="auto"/>
              <w:jc w:val="both"/>
              <w:rPr>
                <w:rFonts w:ascii="Calibri Light" w:eastAsia="Times New Roman" w:hAnsi="Calibri Light" w:cs="Calibri Light"/>
                <w:sz w:val="20"/>
                <w:szCs w:val="20"/>
                <w:lang w:eastAsia="el-GR"/>
              </w:rPr>
            </w:pPr>
            <w:r w:rsidRPr="000A2AFE">
              <w:rPr>
                <w:rFonts w:ascii="Calibri Light" w:eastAsia="Times New Roman" w:hAnsi="Calibri Light" w:cs="Calibri Light"/>
                <w:sz w:val="20"/>
                <w:szCs w:val="20"/>
                <w:lang w:eastAsia="el-GR"/>
              </w:rPr>
              <w:t xml:space="preserve">МП_ЕЕ46 ће ојачати и унапредити постојеће прописе Закона о енергетској ефикасности и рационалној употреби енергије </w:t>
            </w:r>
            <w:r w:rsidR="009F63EA" w:rsidRPr="000A2AFE">
              <w:rPr>
                <w:rFonts w:ascii="Calibri Light" w:eastAsia="Times New Roman" w:hAnsi="Calibri Light" w:cs="Calibri Light"/>
                <w:sz w:val="20"/>
                <w:szCs w:val="20"/>
                <w:lang w:eastAsia="el-GR"/>
              </w:rPr>
              <w:t>у погледу</w:t>
            </w:r>
            <w:r w:rsidRPr="000A2AFE">
              <w:rPr>
                <w:rFonts w:ascii="Calibri Light" w:eastAsia="Times New Roman" w:hAnsi="Calibri Light" w:cs="Calibri Light"/>
                <w:sz w:val="20"/>
                <w:szCs w:val="20"/>
                <w:lang w:eastAsia="el-GR"/>
              </w:rPr>
              <w:t xml:space="preserve"> мерни</w:t>
            </w:r>
            <w:r w:rsidR="009F63EA" w:rsidRPr="000A2AFE">
              <w:rPr>
                <w:rFonts w:ascii="Calibri Light" w:eastAsia="Times New Roman" w:hAnsi="Calibri Light" w:cs="Calibri Light"/>
                <w:sz w:val="20"/>
                <w:szCs w:val="20"/>
                <w:lang w:eastAsia="el-GR"/>
              </w:rPr>
              <w:t>х</w:t>
            </w:r>
            <w:r w:rsidRPr="000A2AFE">
              <w:rPr>
                <w:rFonts w:ascii="Calibri Light" w:eastAsia="Times New Roman" w:hAnsi="Calibri Light" w:cs="Calibri Light"/>
                <w:sz w:val="20"/>
                <w:szCs w:val="20"/>
                <w:lang w:eastAsia="el-GR"/>
              </w:rPr>
              <w:t xml:space="preserve"> и обрачунски</w:t>
            </w:r>
            <w:r w:rsidR="009F63EA" w:rsidRPr="000A2AFE">
              <w:rPr>
                <w:rFonts w:ascii="Calibri Light" w:eastAsia="Times New Roman" w:hAnsi="Calibri Light" w:cs="Calibri Light"/>
                <w:sz w:val="20"/>
                <w:szCs w:val="20"/>
                <w:lang w:eastAsia="el-GR"/>
              </w:rPr>
              <w:t>х</w:t>
            </w:r>
            <w:r w:rsidRPr="000A2AFE">
              <w:rPr>
                <w:rFonts w:ascii="Calibri Light" w:eastAsia="Times New Roman" w:hAnsi="Calibri Light" w:cs="Calibri Light"/>
                <w:sz w:val="20"/>
                <w:szCs w:val="20"/>
                <w:lang w:eastAsia="el-GR"/>
              </w:rPr>
              <w:t xml:space="preserve"> информација. </w:t>
            </w:r>
            <w:r w:rsidR="00401986" w:rsidRPr="000A2AFE">
              <w:rPr>
                <w:rFonts w:ascii="Calibri Light" w:eastAsia="Times New Roman" w:hAnsi="Calibri Light" w:cs="Calibri Light"/>
                <w:sz w:val="20"/>
                <w:szCs w:val="20"/>
                <w:lang w:eastAsia="el-GR"/>
              </w:rPr>
              <w:t>П</w:t>
            </w:r>
            <w:r w:rsidRPr="000A2AFE">
              <w:rPr>
                <w:rFonts w:ascii="Calibri Light" w:eastAsia="Times New Roman" w:hAnsi="Calibri Light" w:cs="Calibri Light"/>
                <w:sz w:val="20"/>
                <w:szCs w:val="20"/>
                <w:lang w:eastAsia="el-GR"/>
              </w:rPr>
              <w:t xml:space="preserve">остојећи прописи </w:t>
            </w:r>
            <w:r w:rsidR="00401986" w:rsidRPr="000A2AFE">
              <w:rPr>
                <w:rFonts w:ascii="Calibri Light" w:eastAsia="Times New Roman" w:hAnsi="Calibri Light" w:cs="Calibri Light"/>
                <w:sz w:val="20"/>
                <w:szCs w:val="20"/>
                <w:lang w:eastAsia="el-GR"/>
              </w:rPr>
              <w:t xml:space="preserve">ће се стално пратити и евентуално ажурирати </w:t>
            </w:r>
            <w:r w:rsidRPr="000A2AFE">
              <w:rPr>
                <w:rFonts w:ascii="Calibri Light" w:eastAsia="Times New Roman" w:hAnsi="Calibri Light" w:cs="Calibri Light"/>
                <w:sz w:val="20"/>
                <w:szCs w:val="20"/>
                <w:lang w:eastAsia="el-GR"/>
              </w:rPr>
              <w:t xml:space="preserve">како би се обезбедило да, у мери у којој је </w:t>
            </w:r>
            <w:r w:rsidR="00401986" w:rsidRPr="000A2AFE">
              <w:rPr>
                <w:rFonts w:ascii="Calibri Light" w:eastAsia="Times New Roman" w:hAnsi="Calibri Light" w:cs="Calibri Light"/>
                <w:sz w:val="20"/>
                <w:szCs w:val="20"/>
                <w:lang w:eastAsia="el-GR"/>
              </w:rPr>
              <w:t xml:space="preserve">то </w:t>
            </w:r>
            <w:r w:rsidRPr="000A2AFE">
              <w:rPr>
                <w:rFonts w:ascii="Calibri Light" w:eastAsia="Times New Roman" w:hAnsi="Calibri Light" w:cs="Calibri Light"/>
                <w:sz w:val="20"/>
                <w:szCs w:val="20"/>
                <w:lang w:eastAsia="el-GR"/>
              </w:rPr>
              <w:t xml:space="preserve">технички могуће, финансијски оправдано и пропорционално потенцијалним уштедама енергије, </w:t>
            </w:r>
            <w:r w:rsidR="00401986" w:rsidRPr="000A2AFE">
              <w:rPr>
                <w:rFonts w:ascii="Calibri Light" w:eastAsia="Times New Roman" w:hAnsi="Calibri Light" w:cs="Calibri Light"/>
                <w:sz w:val="20"/>
                <w:szCs w:val="20"/>
                <w:lang w:eastAsia="el-GR"/>
              </w:rPr>
              <w:t>мерне информације свих дистрибуираних енерге</w:t>
            </w:r>
            <w:r w:rsidR="00914986" w:rsidRPr="00914986">
              <w:rPr>
                <w:rFonts w:ascii="Calibri Light" w:eastAsia="Times New Roman" w:hAnsi="Calibri Light" w:cs="Calibri Light"/>
                <w:sz w:val="20"/>
                <w:szCs w:val="20"/>
                <w:lang w:eastAsia="el-GR"/>
              </w:rPr>
              <w:t>ната</w:t>
            </w:r>
            <w:r w:rsidR="00914986">
              <w:rPr>
                <w:rFonts w:ascii="Calibri Light" w:eastAsia="Times New Roman" w:hAnsi="Calibri Light" w:cs="Calibri Light"/>
                <w:sz w:val="20"/>
                <w:szCs w:val="20"/>
                <w:lang w:eastAsia="el-GR"/>
              </w:rPr>
              <w:t xml:space="preserve"> </w:t>
            </w:r>
            <w:r w:rsidR="00401986" w:rsidRPr="000A2AFE">
              <w:rPr>
                <w:rFonts w:ascii="Calibri Light" w:eastAsia="Times New Roman" w:hAnsi="Calibri Light" w:cs="Calibri Light"/>
                <w:sz w:val="20"/>
                <w:szCs w:val="20"/>
                <w:lang w:eastAsia="el-GR"/>
              </w:rPr>
              <w:t xml:space="preserve">одражавају </w:t>
            </w:r>
            <w:r w:rsidR="009F63EA" w:rsidRPr="000A2AFE">
              <w:rPr>
                <w:rFonts w:ascii="Calibri Light" w:eastAsia="Times New Roman" w:hAnsi="Calibri Light" w:cs="Calibri Light"/>
                <w:sz w:val="20"/>
                <w:szCs w:val="20"/>
                <w:lang w:eastAsia="el-GR"/>
              </w:rPr>
              <w:t>стварну</w:t>
            </w:r>
            <w:r w:rsidR="00401986" w:rsidRPr="000A2AFE">
              <w:rPr>
                <w:rFonts w:ascii="Calibri Light" w:eastAsia="Times New Roman" w:hAnsi="Calibri Light" w:cs="Calibri Light"/>
                <w:sz w:val="20"/>
                <w:szCs w:val="20"/>
                <w:lang w:eastAsia="el-GR"/>
              </w:rPr>
              <w:t xml:space="preserve"> потрошњу енергије укључујући и зграде са више станова и </w:t>
            </w:r>
            <w:r w:rsidR="009F63EA" w:rsidRPr="000A2AFE">
              <w:rPr>
                <w:rFonts w:ascii="Calibri Light" w:eastAsia="Times New Roman" w:hAnsi="Calibri Light" w:cs="Calibri Light"/>
                <w:sz w:val="20"/>
                <w:szCs w:val="20"/>
                <w:lang w:eastAsia="el-GR"/>
              </w:rPr>
              <w:t xml:space="preserve">зграде </w:t>
            </w:r>
            <w:r w:rsidR="00401986" w:rsidRPr="000A2AFE">
              <w:rPr>
                <w:rFonts w:ascii="Calibri Light" w:eastAsia="Times New Roman" w:hAnsi="Calibri Light" w:cs="Calibri Light"/>
                <w:sz w:val="20"/>
                <w:szCs w:val="20"/>
                <w:lang w:eastAsia="el-GR"/>
              </w:rPr>
              <w:t xml:space="preserve">вишеструке намене. Нагласак ће бити стављен и на информације добијене даљинским очитавањем. У погледу обрачунских информација, </w:t>
            </w:r>
            <w:r w:rsidR="00C456A0" w:rsidRPr="000A2AFE">
              <w:rPr>
                <w:rFonts w:ascii="Calibri Light" w:eastAsia="Times New Roman" w:hAnsi="Calibri Light" w:cs="Calibri Light"/>
                <w:sz w:val="20"/>
                <w:szCs w:val="20"/>
                <w:lang w:eastAsia="el-GR"/>
              </w:rPr>
              <w:t>биће обезбеђено да</w:t>
            </w:r>
            <w:r w:rsidR="00401986" w:rsidRPr="000A2AFE">
              <w:rPr>
                <w:rFonts w:ascii="Calibri Light" w:eastAsia="Times New Roman" w:hAnsi="Calibri Light" w:cs="Calibri Light"/>
                <w:sz w:val="20"/>
                <w:szCs w:val="20"/>
                <w:lang w:eastAsia="el-GR"/>
              </w:rPr>
              <w:t xml:space="preserve"> ове информације буду поуздане, тачне и засноване на стварној потрошњи, где то буде технички могуће и економски оправдано. На крају, </w:t>
            </w:r>
            <w:r w:rsidR="00C456A0" w:rsidRPr="000A2AFE">
              <w:rPr>
                <w:rFonts w:ascii="Calibri Light" w:eastAsia="Times New Roman" w:hAnsi="Calibri Light" w:cs="Calibri Light"/>
                <w:sz w:val="20"/>
                <w:szCs w:val="20"/>
                <w:lang w:eastAsia="el-GR"/>
              </w:rPr>
              <w:t>биће обезбеђено да крајњи купци добију све своје рачуне и обрачунске инфо</w:t>
            </w:r>
            <w:r w:rsidR="009E7728">
              <w:rPr>
                <w:rFonts w:ascii="Calibri Light" w:eastAsia="Times New Roman" w:hAnsi="Calibri Light" w:cs="Calibri Light"/>
                <w:sz w:val="20"/>
                <w:szCs w:val="20"/>
                <w:lang w:eastAsia="el-GR"/>
              </w:rPr>
              <w:t>р</w:t>
            </w:r>
            <w:r w:rsidR="00C456A0" w:rsidRPr="000A2AFE">
              <w:rPr>
                <w:rFonts w:ascii="Calibri Light" w:eastAsia="Times New Roman" w:hAnsi="Calibri Light" w:cs="Calibri Light"/>
                <w:sz w:val="20"/>
                <w:szCs w:val="20"/>
                <w:lang w:eastAsia="el-GR"/>
              </w:rPr>
              <w:t xml:space="preserve">мације о потрошњи енергије бесплатно </w:t>
            </w:r>
            <w:r w:rsidR="009F63EA" w:rsidRPr="000A2AFE">
              <w:rPr>
                <w:rFonts w:ascii="Calibri Light" w:eastAsia="Times New Roman" w:hAnsi="Calibri Light" w:cs="Calibri Light"/>
                <w:sz w:val="20"/>
                <w:szCs w:val="20"/>
                <w:lang w:eastAsia="el-GR"/>
              </w:rPr>
              <w:t>и да им се омогући приступ</w:t>
            </w:r>
            <w:r w:rsidR="00C456A0" w:rsidRPr="000A2AFE">
              <w:rPr>
                <w:rFonts w:ascii="Calibri Light" w:eastAsia="Times New Roman" w:hAnsi="Calibri Light" w:cs="Calibri Light"/>
                <w:sz w:val="20"/>
                <w:szCs w:val="20"/>
                <w:lang w:eastAsia="el-GR"/>
              </w:rPr>
              <w:t xml:space="preserve"> подацима о својој потрошњи на одговарајућ начин и без накнаде.</w:t>
            </w:r>
          </w:p>
        </w:tc>
      </w:tr>
      <w:tr w:rsidR="0067401D" w:rsidRPr="000431FE" w14:paraId="697852A1" w14:textId="77777777" w:rsidTr="00990755">
        <w:trPr>
          <w:gridAfter w:val="1"/>
          <w:wAfter w:w="222" w:type="dxa"/>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67887C00"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eastAsia="el-GR"/>
              </w:rPr>
            </w:pPr>
            <w:r w:rsidRPr="000A2AFE">
              <w:rPr>
                <w:rFonts w:ascii="Calibri Light" w:eastAsia="Times New Roman" w:hAnsi="Calibri Light" w:cs="Calibri Light"/>
                <w:b/>
                <w:bCs/>
                <w:sz w:val="20"/>
                <w:szCs w:val="20"/>
                <w:lang w:eastAsia="el-GR"/>
              </w:rPr>
              <w:t>Временски оквир имплементације</w:t>
            </w:r>
          </w:p>
        </w:tc>
        <w:tc>
          <w:tcPr>
            <w:tcW w:w="6152" w:type="dxa"/>
            <w:gridSpan w:val="3"/>
            <w:tcBorders>
              <w:top w:val="single" w:sz="8" w:space="0" w:color="auto"/>
              <w:left w:val="nil"/>
              <w:bottom w:val="single" w:sz="8" w:space="0" w:color="auto"/>
              <w:right w:val="single" w:sz="8" w:space="0" w:color="000000"/>
            </w:tcBorders>
            <w:shd w:val="clear" w:color="auto" w:fill="auto"/>
            <w:vAlign w:val="center"/>
          </w:tcPr>
          <w:p w14:paraId="7A09EA8E" w14:textId="2A79BC87" w:rsidR="00AB7EA0" w:rsidRPr="000A2AFE" w:rsidRDefault="009613FB" w:rsidP="000A2AFE">
            <w:pPr>
              <w:widowControl w:val="0"/>
              <w:spacing w:after="0" w:line="240" w:lineRule="auto"/>
              <w:jc w:val="both"/>
              <w:rPr>
                <w:rFonts w:ascii="Calibri Light" w:eastAsia="Times New Roman" w:hAnsi="Calibri Light" w:cs="Calibri Light"/>
                <w:sz w:val="20"/>
                <w:szCs w:val="20"/>
                <w:lang w:eastAsia="el-GR"/>
              </w:rPr>
            </w:pPr>
            <w:r w:rsidRPr="000A2AFE">
              <w:rPr>
                <w:rFonts w:ascii="Calibri Light" w:eastAsia="Times New Roman" w:hAnsi="Calibri Light" w:cs="Calibri Light"/>
                <w:sz w:val="20"/>
                <w:szCs w:val="20"/>
                <w:lang w:eastAsia="el-GR"/>
              </w:rPr>
              <w:t>2025-2030.</w:t>
            </w:r>
          </w:p>
        </w:tc>
      </w:tr>
      <w:tr w:rsidR="0067401D" w:rsidRPr="000431FE" w14:paraId="1C1DDE5D" w14:textId="77777777" w:rsidTr="00990755">
        <w:trPr>
          <w:gridAfter w:val="1"/>
          <w:wAfter w:w="222" w:type="dxa"/>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4806CCDE"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eastAsia="el-GR"/>
              </w:rPr>
            </w:pPr>
            <w:r w:rsidRPr="000A2AFE">
              <w:rPr>
                <w:rFonts w:ascii="Calibri Light" w:eastAsia="Times New Roman" w:hAnsi="Calibri Light" w:cs="Calibri Light"/>
                <w:b/>
                <w:bCs/>
                <w:sz w:val="20"/>
                <w:szCs w:val="20"/>
                <w:lang w:val="en-GB" w:eastAsia="el-GR"/>
              </w:rPr>
              <w:t>T</w:t>
            </w:r>
            <w:r w:rsidRPr="000A2AFE">
              <w:rPr>
                <w:rFonts w:ascii="Calibri Light" w:eastAsia="Times New Roman" w:hAnsi="Calibri Light" w:cs="Calibri Light"/>
                <w:b/>
                <w:bCs/>
                <w:sz w:val="20"/>
                <w:szCs w:val="20"/>
                <w:lang w:eastAsia="el-GR"/>
              </w:rPr>
              <w:t>ип мере</w:t>
            </w:r>
          </w:p>
        </w:tc>
        <w:tc>
          <w:tcPr>
            <w:tcW w:w="6152" w:type="dxa"/>
            <w:gridSpan w:val="3"/>
            <w:tcBorders>
              <w:top w:val="single" w:sz="8" w:space="0" w:color="auto"/>
              <w:left w:val="nil"/>
              <w:bottom w:val="single" w:sz="8" w:space="0" w:color="auto"/>
              <w:right w:val="single" w:sz="8" w:space="0" w:color="000000"/>
            </w:tcBorders>
            <w:shd w:val="clear" w:color="auto" w:fill="auto"/>
            <w:vAlign w:val="center"/>
          </w:tcPr>
          <w:p w14:paraId="47EE4D72" w14:textId="353E9D71" w:rsidR="00AB7EA0" w:rsidRPr="000A2AFE" w:rsidRDefault="009613FB" w:rsidP="000A2AFE">
            <w:pPr>
              <w:widowControl w:val="0"/>
              <w:spacing w:after="0" w:line="240" w:lineRule="auto"/>
              <w:jc w:val="both"/>
              <w:rPr>
                <w:rFonts w:ascii="Calibri Light" w:eastAsia="Times New Roman" w:hAnsi="Calibri Light" w:cs="Calibri Light"/>
                <w:sz w:val="20"/>
                <w:szCs w:val="20"/>
                <w:lang w:eastAsia="el-GR"/>
              </w:rPr>
            </w:pPr>
            <w:r w:rsidRPr="000A2AFE">
              <w:rPr>
                <w:rFonts w:ascii="Calibri Light" w:eastAsia="Times New Roman" w:hAnsi="Calibri Light" w:cs="Calibri Light"/>
                <w:sz w:val="20"/>
                <w:szCs w:val="20"/>
                <w:lang w:eastAsia="el-GR"/>
              </w:rPr>
              <w:t>Реформа</w:t>
            </w:r>
          </w:p>
        </w:tc>
      </w:tr>
      <w:tr w:rsidR="0067401D" w:rsidRPr="000431FE" w14:paraId="066F321C" w14:textId="77777777" w:rsidTr="00990755">
        <w:trPr>
          <w:gridAfter w:val="1"/>
          <w:wAfter w:w="222" w:type="dxa"/>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40E8685B"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eastAsia="el-GR"/>
              </w:rPr>
            </w:pPr>
            <w:r w:rsidRPr="000A2AFE">
              <w:rPr>
                <w:rFonts w:ascii="Calibri Light" w:eastAsia="Times New Roman" w:hAnsi="Calibri Light" w:cs="Calibri Light"/>
                <w:b/>
                <w:bCs/>
                <w:sz w:val="20"/>
                <w:szCs w:val="20"/>
                <w:lang w:eastAsia="el-GR"/>
              </w:rPr>
              <w:t>Покривени</w:t>
            </w:r>
            <w:r w:rsidRPr="000A2AFE">
              <w:rPr>
                <w:rFonts w:ascii="Calibri Light" w:eastAsia="Times New Roman" w:hAnsi="Calibri Light" w:cs="Calibri Light"/>
                <w:b/>
                <w:bCs/>
                <w:sz w:val="20"/>
                <w:szCs w:val="20"/>
                <w:lang w:val="en-GB" w:eastAsia="el-GR"/>
              </w:rPr>
              <w:t>/</w:t>
            </w:r>
            <w:r w:rsidRPr="000A2AFE">
              <w:rPr>
                <w:rFonts w:ascii="Calibri Light" w:eastAsia="Times New Roman" w:hAnsi="Calibri Light" w:cs="Calibri Light"/>
                <w:b/>
                <w:bCs/>
                <w:sz w:val="20"/>
                <w:szCs w:val="20"/>
                <w:lang w:eastAsia="el-GR"/>
              </w:rPr>
              <w:t>обухваћени сектори</w:t>
            </w:r>
          </w:p>
        </w:tc>
        <w:tc>
          <w:tcPr>
            <w:tcW w:w="6152" w:type="dxa"/>
            <w:gridSpan w:val="3"/>
            <w:tcBorders>
              <w:top w:val="single" w:sz="8" w:space="0" w:color="auto"/>
              <w:left w:val="nil"/>
              <w:bottom w:val="single" w:sz="8" w:space="0" w:color="auto"/>
              <w:right w:val="single" w:sz="8" w:space="0" w:color="000000"/>
            </w:tcBorders>
            <w:shd w:val="clear" w:color="auto" w:fill="auto"/>
            <w:vAlign w:val="center"/>
          </w:tcPr>
          <w:p w14:paraId="2EF84B58" w14:textId="510F7E47" w:rsidR="00AB7EA0" w:rsidRPr="000A2AFE" w:rsidRDefault="00AB7EA0" w:rsidP="000A2AFE">
            <w:pPr>
              <w:widowControl w:val="0"/>
              <w:spacing w:after="0" w:line="240" w:lineRule="auto"/>
              <w:jc w:val="both"/>
              <w:rPr>
                <w:rFonts w:ascii="Calibri Light" w:eastAsia="Times New Roman" w:hAnsi="Calibri Light" w:cs="Calibri Light"/>
                <w:sz w:val="20"/>
                <w:szCs w:val="20"/>
                <w:lang w:eastAsia="el-GR"/>
              </w:rPr>
            </w:pPr>
          </w:p>
        </w:tc>
      </w:tr>
      <w:tr w:rsidR="00AA0CE3" w:rsidRPr="00AA0CE3" w14:paraId="28DBCBAF" w14:textId="77777777" w:rsidTr="00990755">
        <w:trPr>
          <w:gridAfter w:val="1"/>
          <w:wAfter w:w="222" w:type="dxa"/>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72E2060E"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eastAsia="el-GR"/>
              </w:rPr>
            </w:pPr>
            <w:r w:rsidRPr="000A2AFE">
              <w:rPr>
                <w:rFonts w:ascii="Calibri Light" w:eastAsia="Times New Roman" w:hAnsi="Calibri Light" w:cs="Calibri Light"/>
                <w:b/>
                <w:bCs/>
                <w:sz w:val="20"/>
                <w:szCs w:val="20"/>
                <w:lang w:eastAsia="el-GR"/>
              </w:rPr>
              <w:t>Извршни орган</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640F3587" w14:textId="77777777" w:rsidR="00AB7EA0" w:rsidRPr="000A2AFE" w:rsidRDefault="00AB7EA0" w:rsidP="000A2AFE">
            <w:pPr>
              <w:widowControl w:val="0"/>
              <w:numPr>
                <w:ilvl w:val="0"/>
                <w:numId w:val="114"/>
              </w:numPr>
              <w:spacing w:after="0" w:line="240" w:lineRule="auto"/>
              <w:jc w:val="both"/>
              <w:rPr>
                <w:rFonts w:ascii="Calibri Light" w:eastAsia="Times New Roman" w:hAnsi="Calibri Light" w:cs="Calibri Light"/>
                <w:sz w:val="20"/>
                <w:szCs w:val="20"/>
                <w:lang w:val="en-GB" w:eastAsia="el-GR"/>
              </w:rPr>
            </w:pPr>
            <w:r w:rsidRPr="000A2AFE">
              <w:rPr>
                <w:rFonts w:ascii="Calibri Light" w:eastAsia="Times New Roman" w:hAnsi="Calibri Light" w:cs="Calibri Light"/>
                <w:sz w:val="20"/>
                <w:szCs w:val="20"/>
                <w:lang w:eastAsia="el-GR"/>
              </w:rPr>
              <w:t>Министарство рударства и енергетике</w:t>
            </w:r>
          </w:p>
        </w:tc>
      </w:tr>
      <w:tr w:rsidR="00AA0CE3" w:rsidRPr="00AA0CE3" w14:paraId="79322E15" w14:textId="77777777" w:rsidTr="00990755">
        <w:trPr>
          <w:gridAfter w:val="1"/>
          <w:wAfter w:w="222" w:type="dxa"/>
          <w:trHeight w:val="315"/>
        </w:trPr>
        <w:tc>
          <w:tcPr>
            <w:tcW w:w="3306" w:type="dxa"/>
            <w:tcBorders>
              <w:top w:val="single" w:sz="8" w:space="0" w:color="auto"/>
              <w:left w:val="single" w:sz="8" w:space="0" w:color="auto"/>
              <w:bottom w:val="single" w:sz="8" w:space="0" w:color="auto"/>
              <w:right w:val="single" w:sz="4" w:space="0" w:color="auto"/>
            </w:tcBorders>
            <w:shd w:val="clear" w:color="000000" w:fill="244062"/>
            <w:vAlign w:val="center"/>
            <w:hideMark/>
          </w:tcPr>
          <w:p w14:paraId="3880DFA1"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eastAsia="el-GR"/>
              </w:rPr>
            </w:pPr>
            <w:r w:rsidRPr="000A2AFE">
              <w:rPr>
                <w:rFonts w:ascii="Calibri Light" w:eastAsia="Times New Roman" w:hAnsi="Calibri Light" w:cs="Calibri Light"/>
                <w:b/>
                <w:bCs/>
                <w:sz w:val="20"/>
                <w:szCs w:val="20"/>
                <w:lang w:eastAsia="el-GR"/>
              </w:rPr>
              <w:t>Тело за праћење</w:t>
            </w:r>
          </w:p>
        </w:tc>
        <w:tc>
          <w:tcPr>
            <w:tcW w:w="6152" w:type="dxa"/>
            <w:gridSpan w:val="3"/>
            <w:tcBorders>
              <w:top w:val="single" w:sz="8" w:space="0" w:color="auto"/>
              <w:left w:val="single" w:sz="4" w:space="0" w:color="auto"/>
              <w:bottom w:val="single" w:sz="8" w:space="0" w:color="auto"/>
              <w:right w:val="single" w:sz="8" w:space="0" w:color="000000"/>
            </w:tcBorders>
            <w:shd w:val="clear" w:color="auto" w:fill="auto"/>
            <w:vAlign w:val="center"/>
            <w:hideMark/>
          </w:tcPr>
          <w:p w14:paraId="431003C5" w14:textId="184B8F04" w:rsidR="00AB7EA0" w:rsidRPr="000A2AFE" w:rsidRDefault="009613FB" w:rsidP="000A2AFE">
            <w:pPr>
              <w:widowControl w:val="0"/>
              <w:numPr>
                <w:ilvl w:val="0"/>
                <w:numId w:val="114"/>
              </w:numPr>
              <w:spacing w:after="0" w:line="240" w:lineRule="auto"/>
              <w:jc w:val="both"/>
              <w:rPr>
                <w:rFonts w:ascii="Calibri Light" w:eastAsia="Times New Roman" w:hAnsi="Calibri Light" w:cs="Calibri Light"/>
                <w:sz w:val="20"/>
                <w:szCs w:val="20"/>
                <w:lang w:val="en-GB" w:eastAsia="el-GR"/>
              </w:rPr>
            </w:pPr>
            <w:r w:rsidRPr="000A2AFE">
              <w:rPr>
                <w:rFonts w:ascii="Calibri Light" w:eastAsia="Times New Roman" w:hAnsi="Calibri Light" w:cs="Calibri Light"/>
                <w:sz w:val="20"/>
                <w:szCs w:val="20"/>
                <w:lang w:eastAsia="el-GR"/>
              </w:rPr>
              <w:t>Министарство рударства и енергетике</w:t>
            </w:r>
          </w:p>
        </w:tc>
      </w:tr>
      <w:tr w:rsidR="00AA0CE3" w:rsidRPr="00AA0CE3" w14:paraId="3ED93D11" w14:textId="77777777" w:rsidTr="00990755">
        <w:trPr>
          <w:gridAfter w:val="1"/>
          <w:wAfter w:w="222" w:type="dxa"/>
          <w:trHeight w:val="315"/>
        </w:trPr>
        <w:tc>
          <w:tcPr>
            <w:tcW w:w="3306" w:type="dxa"/>
            <w:tcBorders>
              <w:top w:val="single" w:sz="8" w:space="0" w:color="auto"/>
              <w:left w:val="single" w:sz="8" w:space="0" w:color="auto"/>
              <w:bottom w:val="single" w:sz="8" w:space="0" w:color="auto"/>
              <w:right w:val="single" w:sz="4" w:space="0" w:color="auto"/>
            </w:tcBorders>
            <w:shd w:val="clear" w:color="000000" w:fill="244062"/>
            <w:vAlign w:val="center"/>
            <w:hideMark/>
          </w:tcPr>
          <w:p w14:paraId="7CBD0A6C"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eastAsia="el-GR"/>
              </w:rPr>
            </w:pPr>
            <w:r w:rsidRPr="000A2AFE">
              <w:rPr>
                <w:rFonts w:ascii="Calibri Light" w:eastAsia="Times New Roman" w:hAnsi="Calibri Light" w:cs="Calibri Light"/>
                <w:b/>
                <w:bCs/>
                <w:sz w:val="20"/>
                <w:szCs w:val="20"/>
                <w:lang w:eastAsia="el-GR"/>
              </w:rPr>
              <w:t>Индикатори напретка</w:t>
            </w:r>
          </w:p>
        </w:tc>
        <w:tc>
          <w:tcPr>
            <w:tcW w:w="6152" w:type="dxa"/>
            <w:gridSpan w:val="3"/>
            <w:tcBorders>
              <w:top w:val="single" w:sz="8" w:space="0" w:color="auto"/>
              <w:left w:val="single" w:sz="4" w:space="0" w:color="auto"/>
              <w:bottom w:val="single" w:sz="8" w:space="0" w:color="auto"/>
              <w:right w:val="single" w:sz="8" w:space="0" w:color="000000"/>
            </w:tcBorders>
            <w:shd w:val="clear" w:color="auto" w:fill="auto"/>
            <w:vAlign w:val="center"/>
            <w:hideMark/>
          </w:tcPr>
          <w:p w14:paraId="7B45BFAD" w14:textId="63917FEE" w:rsidR="00AB7EA0" w:rsidRPr="000A2AFE" w:rsidRDefault="009613FB" w:rsidP="000A2AFE">
            <w:pPr>
              <w:widowControl w:val="0"/>
              <w:numPr>
                <w:ilvl w:val="0"/>
                <w:numId w:val="114"/>
              </w:numPr>
              <w:spacing w:after="0" w:line="240" w:lineRule="auto"/>
              <w:jc w:val="both"/>
              <w:rPr>
                <w:rFonts w:ascii="Calibri Light" w:eastAsia="Times New Roman" w:hAnsi="Calibri Light" w:cs="Calibri Light"/>
                <w:sz w:val="20"/>
                <w:szCs w:val="20"/>
                <w:lang w:eastAsia="el-GR"/>
              </w:rPr>
            </w:pPr>
            <w:r w:rsidRPr="000A2AFE">
              <w:rPr>
                <w:rFonts w:ascii="Calibri Light" w:eastAsia="Times New Roman" w:hAnsi="Calibri Light" w:cs="Calibri Light"/>
                <w:sz w:val="20"/>
                <w:szCs w:val="20"/>
                <w:lang w:eastAsia="el-GR"/>
              </w:rPr>
              <w:t>Израђен регулаторни оквир</w:t>
            </w:r>
          </w:p>
        </w:tc>
      </w:tr>
      <w:tr w:rsidR="00AA0CE3" w:rsidRPr="00AA0CE3" w14:paraId="715AD6B8" w14:textId="77777777" w:rsidTr="00990755">
        <w:trPr>
          <w:gridAfter w:val="1"/>
          <w:wAfter w:w="222" w:type="dxa"/>
          <w:trHeight w:val="153"/>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06AB658B"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val="en-GB" w:eastAsia="el-GR"/>
              </w:rPr>
            </w:pPr>
            <w:r w:rsidRPr="000A2AFE">
              <w:rPr>
                <w:rFonts w:ascii="Calibri Light" w:eastAsia="Times New Roman" w:hAnsi="Calibri Light" w:cs="Calibri Light"/>
                <w:b/>
                <w:bCs/>
                <w:sz w:val="20"/>
                <w:szCs w:val="20"/>
                <w:lang w:eastAsia="el-GR"/>
              </w:rPr>
              <w:t>Друге релевантне обухваћене димензије Енергетске уније</w:t>
            </w:r>
          </w:p>
        </w:tc>
        <w:tc>
          <w:tcPr>
            <w:tcW w:w="6152" w:type="dxa"/>
            <w:gridSpan w:val="3"/>
            <w:tcBorders>
              <w:top w:val="single" w:sz="8" w:space="0" w:color="auto"/>
              <w:left w:val="nil"/>
              <w:bottom w:val="single" w:sz="8" w:space="0" w:color="auto"/>
              <w:right w:val="single" w:sz="8" w:space="0" w:color="000000"/>
            </w:tcBorders>
            <w:shd w:val="clear" w:color="auto" w:fill="auto"/>
            <w:vAlign w:val="center"/>
          </w:tcPr>
          <w:p w14:paraId="139002FC" w14:textId="1FDBDF8A" w:rsidR="00AB7EA0" w:rsidRPr="000A2AFE" w:rsidRDefault="009613FB" w:rsidP="000A2AFE">
            <w:pPr>
              <w:widowControl w:val="0"/>
              <w:numPr>
                <w:ilvl w:val="0"/>
                <w:numId w:val="114"/>
              </w:numPr>
              <w:spacing w:after="0" w:line="240" w:lineRule="auto"/>
              <w:jc w:val="both"/>
              <w:rPr>
                <w:rFonts w:ascii="Calibri Light" w:eastAsia="Times New Roman" w:hAnsi="Calibri Light" w:cs="Calibri Light"/>
                <w:sz w:val="20"/>
                <w:szCs w:val="20"/>
                <w:lang w:val="en-GB" w:eastAsia="el-GR"/>
              </w:rPr>
            </w:pPr>
            <w:r w:rsidRPr="000A2AFE">
              <w:rPr>
                <w:rFonts w:ascii="Calibri Light" w:eastAsia="Times New Roman" w:hAnsi="Calibri Light" w:cs="Calibri Light"/>
                <w:sz w:val="20"/>
                <w:szCs w:val="20"/>
                <w:lang w:eastAsia="el-GR"/>
              </w:rPr>
              <w:t>Унутрашње тржиште енергије (пружање прецизних мерних и обрачунских информације ће омогућити заштиту потрошача енергије)</w:t>
            </w:r>
          </w:p>
        </w:tc>
      </w:tr>
      <w:tr w:rsidR="00AA0CE3" w:rsidRPr="00AA0CE3" w14:paraId="39014CF0" w14:textId="77777777" w:rsidTr="00990755">
        <w:trPr>
          <w:gridAfter w:val="1"/>
          <w:wAfter w:w="222" w:type="dxa"/>
          <w:trHeight w:val="450"/>
        </w:trPr>
        <w:tc>
          <w:tcPr>
            <w:tcW w:w="3306"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2439D4A2"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val="en-GB" w:eastAsia="el-GR"/>
              </w:rPr>
            </w:pPr>
            <w:r w:rsidRPr="000A2AFE">
              <w:rPr>
                <w:rFonts w:ascii="Calibri Light" w:eastAsia="Times New Roman" w:hAnsi="Calibri Light" w:cs="Calibri Light"/>
                <w:b/>
                <w:bCs/>
                <w:sz w:val="20"/>
                <w:szCs w:val="20"/>
                <w:lang w:eastAsia="el-GR"/>
              </w:rPr>
              <w:t>Политике Уније која су резултирале имплементацијом ове МП</w:t>
            </w:r>
          </w:p>
        </w:tc>
        <w:tc>
          <w:tcPr>
            <w:tcW w:w="6152"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19CCAC65" w14:textId="77777777" w:rsidR="00AB7EA0" w:rsidRPr="000A2AFE" w:rsidRDefault="00AB7EA0" w:rsidP="00AB2DFD">
            <w:pPr>
              <w:widowControl w:val="0"/>
              <w:numPr>
                <w:ilvl w:val="0"/>
                <w:numId w:val="114"/>
              </w:numPr>
              <w:spacing w:after="0" w:line="240" w:lineRule="auto"/>
              <w:jc w:val="both"/>
              <w:rPr>
                <w:rFonts w:ascii="Calibri Light" w:eastAsia="Times New Roman" w:hAnsi="Calibri Light" w:cs="Calibri Light"/>
                <w:sz w:val="20"/>
                <w:szCs w:val="20"/>
                <w:lang w:val="en-GB" w:eastAsia="el-GR"/>
              </w:rPr>
            </w:pPr>
            <w:r w:rsidRPr="000A2AFE">
              <w:rPr>
                <w:rFonts w:ascii="Calibri Light" w:eastAsia="Times New Roman" w:hAnsi="Calibri Light" w:cs="Calibri Light"/>
                <w:sz w:val="20"/>
                <w:szCs w:val="20"/>
                <w:lang w:eastAsia="el-GR"/>
              </w:rPr>
              <w:t>Директива</w:t>
            </w:r>
            <w:r w:rsidRPr="000A2AFE">
              <w:rPr>
                <w:rFonts w:ascii="Calibri Light" w:eastAsia="Times New Roman" w:hAnsi="Calibri Light" w:cs="Calibri Light"/>
                <w:sz w:val="20"/>
                <w:szCs w:val="20"/>
                <w:lang w:val="en-GB" w:eastAsia="el-GR"/>
              </w:rPr>
              <w:t xml:space="preserve"> 201</w:t>
            </w:r>
            <w:r w:rsidR="009613FB" w:rsidRPr="000A2AFE">
              <w:rPr>
                <w:rFonts w:ascii="Calibri Light" w:eastAsia="Times New Roman" w:hAnsi="Calibri Light" w:cs="Calibri Light"/>
                <w:sz w:val="20"/>
                <w:szCs w:val="20"/>
                <w:lang w:eastAsia="el-GR"/>
              </w:rPr>
              <w:t>2/27</w:t>
            </w:r>
          </w:p>
          <w:p w14:paraId="599F01EC" w14:textId="1E8B7AEC" w:rsidR="009613FB" w:rsidRPr="000A2AFE" w:rsidRDefault="009613FB" w:rsidP="000A2AFE">
            <w:pPr>
              <w:widowControl w:val="0"/>
              <w:numPr>
                <w:ilvl w:val="0"/>
                <w:numId w:val="114"/>
              </w:numPr>
              <w:spacing w:after="0" w:line="240" w:lineRule="auto"/>
              <w:jc w:val="both"/>
              <w:rPr>
                <w:rFonts w:ascii="Calibri Light" w:eastAsia="Times New Roman" w:hAnsi="Calibri Light" w:cs="Calibri Light"/>
                <w:sz w:val="20"/>
                <w:szCs w:val="20"/>
                <w:lang w:val="en-GB" w:eastAsia="el-GR"/>
              </w:rPr>
            </w:pPr>
            <w:r w:rsidRPr="000A2AFE">
              <w:rPr>
                <w:rFonts w:ascii="Calibri Light" w:eastAsia="Times New Roman" w:hAnsi="Calibri Light" w:cs="Calibri Light"/>
                <w:sz w:val="20"/>
                <w:szCs w:val="20"/>
                <w:lang w:eastAsia="el-GR"/>
              </w:rPr>
              <w:t>Директива 2018/2002</w:t>
            </w:r>
          </w:p>
        </w:tc>
      </w:tr>
      <w:tr w:rsidR="00AB7EA0" w:rsidRPr="0067401D" w14:paraId="5C97A45A" w14:textId="77777777" w:rsidTr="00990755">
        <w:trPr>
          <w:trHeight w:val="300"/>
        </w:trPr>
        <w:tc>
          <w:tcPr>
            <w:tcW w:w="3306" w:type="dxa"/>
            <w:vMerge/>
            <w:tcBorders>
              <w:top w:val="nil"/>
              <w:left w:val="single" w:sz="8" w:space="0" w:color="auto"/>
              <w:bottom w:val="single" w:sz="8" w:space="0" w:color="000000"/>
              <w:right w:val="single" w:sz="8" w:space="0" w:color="auto"/>
            </w:tcBorders>
            <w:vAlign w:val="center"/>
            <w:hideMark/>
          </w:tcPr>
          <w:p w14:paraId="274E1B95"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val="en-GB" w:eastAsia="el-GR"/>
              </w:rPr>
            </w:pPr>
          </w:p>
        </w:tc>
        <w:tc>
          <w:tcPr>
            <w:tcW w:w="6152" w:type="dxa"/>
            <w:gridSpan w:val="3"/>
            <w:vMerge/>
            <w:tcBorders>
              <w:top w:val="single" w:sz="8" w:space="0" w:color="auto"/>
              <w:left w:val="single" w:sz="8" w:space="0" w:color="auto"/>
              <w:bottom w:val="single" w:sz="8" w:space="0" w:color="000000"/>
              <w:right w:val="single" w:sz="8" w:space="0" w:color="000000"/>
            </w:tcBorders>
            <w:vAlign w:val="center"/>
            <w:hideMark/>
          </w:tcPr>
          <w:p w14:paraId="7A84DCF8" w14:textId="77777777" w:rsidR="00AB7EA0" w:rsidRPr="000A2AFE" w:rsidRDefault="00AB7EA0" w:rsidP="000A2AFE">
            <w:pPr>
              <w:widowControl w:val="0"/>
              <w:numPr>
                <w:ilvl w:val="0"/>
                <w:numId w:val="114"/>
              </w:numPr>
              <w:spacing w:after="0" w:line="240" w:lineRule="auto"/>
              <w:jc w:val="both"/>
              <w:rPr>
                <w:rFonts w:ascii="Calibri Light" w:eastAsia="Times New Roman" w:hAnsi="Calibri Light" w:cs="Calibri Light"/>
                <w:sz w:val="20"/>
                <w:szCs w:val="20"/>
                <w:lang w:val="en-GB" w:eastAsia="el-GR"/>
              </w:rPr>
            </w:pPr>
          </w:p>
        </w:tc>
        <w:tc>
          <w:tcPr>
            <w:tcW w:w="222" w:type="dxa"/>
            <w:tcBorders>
              <w:top w:val="nil"/>
              <w:left w:val="nil"/>
              <w:bottom w:val="nil"/>
              <w:right w:val="nil"/>
            </w:tcBorders>
            <w:shd w:val="clear" w:color="auto" w:fill="auto"/>
            <w:noWrap/>
            <w:vAlign w:val="bottom"/>
            <w:hideMark/>
          </w:tcPr>
          <w:p w14:paraId="561E1EFD" w14:textId="77777777" w:rsidR="00AB7EA0" w:rsidRPr="000A2AFE" w:rsidRDefault="00AB7EA0" w:rsidP="000A2AFE">
            <w:pPr>
              <w:widowControl w:val="0"/>
              <w:spacing w:after="0" w:line="240" w:lineRule="auto"/>
              <w:jc w:val="both"/>
              <w:rPr>
                <w:rFonts w:ascii="Calibri Light" w:eastAsia="Times New Roman" w:hAnsi="Calibri Light" w:cs="Calibri Light"/>
                <w:sz w:val="20"/>
                <w:szCs w:val="20"/>
                <w:lang w:val="en-GB" w:eastAsia="el-GR"/>
              </w:rPr>
            </w:pPr>
          </w:p>
        </w:tc>
      </w:tr>
      <w:tr w:rsidR="00AB7EA0" w:rsidRPr="0067401D" w14:paraId="783591E1" w14:textId="77777777" w:rsidTr="00990755">
        <w:trPr>
          <w:trHeight w:val="60"/>
        </w:trPr>
        <w:tc>
          <w:tcPr>
            <w:tcW w:w="3306" w:type="dxa"/>
            <w:vMerge/>
            <w:tcBorders>
              <w:top w:val="nil"/>
              <w:left w:val="single" w:sz="8" w:space="0" w:color="auto"/>
              <w:bottom w:val="single" w:sz="8" w:space="0" w:color="000000"/>
              <w:right w:val="single" w:sz="8" w:space="0" w:color="auto"/>
            </w:tcBorders>
            <w:vAlign w:val="center"/>
            <w:hideMark/>
          </w:tcPr>
          <w:p w14:paraId="408905BC"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val="en-GB" w:eastAsia="el-GR"/>
              </w:rPr>
            </w:pPr>
          </w:p>
        </w:tc>
        <w:tc>
          <w:tcPr>
            <w:tcW w:w="6152" w:type="dxa"/>
            <w:gridSpan w:val="3"/>
            <w:vMerge/>
            <w:tcBorders>
              <w:top w:val="single" w:sz="8" w:space="0" w:color="auto"/>
              <w:left w:val="single" w:sz="8" w:space="0" w:color="auto"/>
              <w:bottom w:val="single" w:sz="8" w:space="0" w:color="000000"/>
              <w:right w:val="single" w:sz="8" w:space="0" w:color="000000"/>
            </w:tcBorders>
            <w:vAlign w:val="center"/>
            <w:hideMark/>
          </w:tcPr>
          <w:p w14:paraId="63ADCC7F" w14:textId="77777777" w:rsidR="00AB7EA0" w:rsidRPr="000A2AFE" w:rsidRDefault="00AB7EA0" w:rsidP="000A2AFE">
            <w:pPr>
              <w:widowControl w:val="0"/>
              <w:numPr>
                <w:ilvl w:val="0"/>
                <w:numId w:val="114"/>
              </w:numPr>
              <w:spacing w:after="0" w:line="240" w:lineRule="auto"/>
              <w:jc w:val="both"/>
              <w:rPr>
                <w:rFonts w:ascii="Calibri Light" w:eastAsia="Times New Roman" w:hAnsi="Calibri Light" w:cs="Calibri Light"/>
                <w:sz w:val="20"/>
                <w:szCs w:val="20"/>
                <w:lang w:val="en-GB" w:eastAsia="el-GR"/>
              </w:rPr>
            </w:pPr>
          </w:p>
        </w:tc>
        <w:tc>
          <w:tcPr>
            <w:tcW w:w="222" w:type="dxa"/>
            <w:tcBorders>
              <w:top w:val="nil"/>
              <w:left w:val="nil"/>
              <w:bottom w:val="nil"/>
              <w:right w:val="nil"/>
            </w:tcBorders>
            <w:shd w:val="clear" w:color="auto" w:fill="auto"/>
            <w:noWrap/>
            <w:vAlign w:val="bottom"/>
            <w:hideMark/>
          </w:tcPr>
          <w:p w14:paraId="1D8AFDC1" w14:textId="77777777" w:rsidR="00AB7EA0" w:rsidRPr="000A2AFE" w:rsidRDefault="00AB7EA0" w:rsidP="000A2AFE">
            <w:pPr>
              <w:widowControl w:val="0"/>
              <w:spacing w:after="0" w:line="240" w:lineRule="auto"/>
              <w:jc w:val="both"/>
              <w:rPr>
                <w:rFonts w:ascii="Calibri Light" w:eastAsia="Times New Roman" w:hAnsi="Calibri Light" w:cs="Calibri Light"/>
                <w:sz w:val="20"/>
                <w:szCs w:val="20"/>
                <w:lang w:val="en-GB" w:eastAsia="el-GR"/>
              </w:rPr>
            </w:pPr>
          </w:p>
        </w:tc>
      </w:tr>
      <w:tr w:rsidR="00AA0CE3" w:rsidRPr="00AA0CE3" w14:paraId="48876923" w14:textId="77777777" w:rsidTr="00990755">
        <w:trPr>
          <w:trHeight w:val="307"/>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3A2A4A7E"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val="en-GB" w:eastAsia="el-GR"/>
              </w:rPr>
            </w:pPr>
            <w:r w:rsidRPr="000A2AFE">
              <w:rPr>
                <w:rFonts w:ascii="Calibri Light" w:eastAsia="Times New Roman" w:hAnsi="Calibri Light" w:cs="Calibri Light"/>
                <w:b/>
                <w:bCs/>
                <w:sz w:val="20"/>
                <w:szCs w:val="20"/>
                <w:lang w:eastAsia="el-GR"/>
              </w:rPr>
              <w:t>Релевантни национални плански документ (правни, регулаторни акти, итд)</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60C3A2EC" w14:textId="77777777" w:rsidR="00AB7EA0" w:rsidRPr="000A2AFE" w:rsidRDefault="009613FB" w:rsidP="009613FB">
            <w:pPr>
              <w:pStyle w:val="ListParagraph"/>
              <w:widowControl w:val="0"/>
              <w:numPr>
                <w:ilvl w:val="0"/>
                <w:numId w:val="369"/>
              </w:numPr>
              <w:spacing w:after="0" w:line="240" w:lineRule="auto"/>
              <w:jc w:val="both"/>
              <w:rPr>
                <w:rFonts w:ascii="Calibri Light" w:eastAsia="Times New Roman" w:hAnsi="Calibri Light" w:cs="Calibri Light"/>
                <w:sz w:val="20"/>
                <w:szCs w:val="20"/>
                <w:lang w:val="en-GB" w:eastAsia="el-GR"/>
              </w:rPr>
            </w:pPr>
            <w:r w:rsidRPr="000A2AFE">
              <w:rPr>
                <w:rFonts w:ascii="Calibri Light" w:eastAsia="Times New Roman" w:hAnsi="Calibri Light" w:cs="Calibri Light"/>
                <w:sz w:val="20"/>
                <w:szCs w:val="20"/>
                <w:lang w:eastAsia="el-GR"/>
              </w:rPr>
              <w:t>Закон о енергетици</w:t>
            </w:r>
          </w:p>
          <w:p w14:paraId="03789107" w14:textId="61BAB432" w:rsidR="009613FB" w:rsidRPr="000A2AFE" w:rsidRDefault="009613FB" w:rsidP="000A2AFE">
            <w:pPr>
              <w:pStyle w:val="ListParagraph"/>
              <w:widowControl w:val="0"/>
              <w:numPr>
                <w:ilvl w:val="0"/>
                <w:numId w:val="369"/>
              </w:numPr>
              <w:spacing w:after="0" w:line="240" w:lineRule="auto"/>
              <w:jc w:val="both"/>
              <w:rPr>
                <w:rFonts w:ascii="Calibri Light" w:eastAsia="Times New Roman" w:hAnsi="Calibri Light" w:cs="Calibri Light"/>
                <w:sz w:val="20"/>
                <w:szCs w:val="20"/>
                <w:lang w:val="en-GB" w:eastAsia="el-GR"/>
              </w:rPr>
            </w:pPr>
            <w:r w:rsidRPr="000A2AFE">
              <w:rPr>
                <w:rFonts w:ascii="Calibri Light" w:eastAsia="Times New Roman" w:hAnsi="Calibri Light" w:cs="Calibri Light"/>
                <w:sz w:val="20"/>
                <w:szCs w:val="20"/>
                <w:lang w:eastAsia="el-GR"/>
              </w:rPr>
              <w:t>Закон о енергетској ефикасности и рационалној употреби енергије</w:t>
            </w:r>
          </w:p>
        </w:tc>
        <w:tc>
          <w:tcPr>
            <w:tcW w:w="222" w:type="dxa"/>
            <w:vAlign w:val="center"/>
            <w:hideMark/>
          </w:tcPr>
          <w:p w14:paraId="4360776F" w14:textId="77777777" w:rsidR="00AB7EA0" w:rsidRPr="000A2AFE" w:rsidRDefault="00AB7EA0" w:rsidP="000A2AFE">
            <w:pPr>
              <w:widowControl w:val="0"/>
              <w:spacing w:after="0" w:line="240" w:lineRule="auto"/>
              <w:jc w:val="both"/>
              <w:rPr>
                <w:rFonts w:ascii="Calibri Light" w:eastAsia="Times New Roman" w:hAnsi="Calibri Light" w:cs="Calibri Light"/>
                <w:sz w:val="20"/>
                <w:szCs w:val="20"/>
                <w:lang w:val="en-GB" w:eastAsia="el-GR"/>
              </w:rPr>
            </w:pPr>
          </w:p>
        </w:tc>
      </w:tr>
      <w:tr w:rsidR="00AA0CE3" w:rsidRPr="00AA0CE3" w14:paraId="76AB5278" w14:textId="77777777" w:rsidTr="00990755">
        <w:trPr>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3CFD559A"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eastAsia="el-GR"/>
              </w:rPr>
            </w:pPr>
            <w:r w:rsidRPr="000A2AFE">
              <w:rPr>
                <w:rFonts w:ascii="Calibri Light" w:eastAsia="Times New Roman" w:hAnsi="Calibri Light" w:cs="Calibri Light"/>
                <w:b/>
                <w:bCs/>
                <w:sz w:val="20"/>
                <w:szCs w:val="20"/>
                <w:lang w:eastAsia="el-GR"/>
              </w:rPr>
              <w:t>Трошкови имплементације</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5DC9D0E1" w14:textId="59682D7E" w:rsidR="00AB7EA0" w:rsidRPr="000A2AFE" w:rsidRDefault="00AB7EA0" w:rsidP="000A2AFE">
            <w:pPr>
              <w:widowControl w:val="0"/>
              <w:spacing w:after="0" w:line="240" w:lineRule="auto"/>
              <w:jc w:val="both"/>
              <w:rPr>
                <w:rFonts w:ascii="Calibri Light" w:eastAsia="Times New Roman" w:hAnsi="Calibri Light" w:cs="Calibri Light"/>
                <w:sz w:val="20"/>
                <w:szCs w:val="20"/>
                <w:lang w:eastAsia="el-GR"/>
              </w:rPr>
            </w:pPr>
            <w:r w:rsidRPr="000A2AFE">
              <w:rPr>
                <w:rFonts w:ascii="Calibri Light" w:eastAsia="Times New Roman" w:hAnsi="Calibri Light" w:cs="Calibri Light"/>
                <w:sz w:val="20"/>
                <w:szCs w:val="20"/>
                <w:lang w:eastAsia="el-GR"/>
              </w:rPr>
              <w:t>0,</w:t>
            </w:r>
            <w:r w:rsidR="009613FB" w:rsidRPr="000A2AFE">
              <w:rPr>
                <w:rFonts w:ascii="Calibri Light" w:eastAsia="Times New Roman" w:hAnsi="Calibri Light" w:cs="Calibri Light"/>
                <w:sz w:val="20"/>
                <w:szCs w:val="20"/>
                <w:lang w:eastAsia="el-GR"/>
              </w:rPr>
              <w:t>5</w:t>
            </w:r>
            <w:r w:rsidRPr="000A2AFE">
              <w:rPr>
                <w:rFonts w:ascii="Calibri Light" w:eastAsia="Times New Roman" w:hAnsi="Calibri Light" w:cs="Calibri Light"/>
                <w:sz w:val="20"/>
                <w:szCs w:val="20"/>
                <w:lang w:eastAsia="el-GR"/>
              </w:rPr>
              <w:t xml:space="preserve"> милиона евра</w:t>
            </w:r>
          </w:p>
        </w:tc>
        <w:tc>
          <w:tcPr>
            <w:tcW w:w="222" w:type="dxa"/>
            <w:vAlign w:val="center"/>
            <w:hideMark/>
          </w:tcPr>
          <w:p w14:paraId="225F4313" w14:textId="77777777" w:rsidR="00AB7EA0" w:rsidRPr="000A2AFE" w:rsidRDefault="00AB7EA0" w:rsidP="000A2AFE">
            <w:pPr>
              <w:widowControl w:val="0"/>
              <w:spacing w:after="0" w:line="240" w:lineRule="auto"/>
              <w:jc w:val="both"/>
              <w:rPr>
                <w:rFonts w:ascii="Calibri Light" w:eastAsia="Times New Roman" w:hAnsi="Calibri Light" w:cs="Calibri Light"/>
                <w:sz w:val="20"/>
                <w:szCs w:val="20"/>
                <w:lang w:val="en-GB" w:eastAsia="el-GR"/>
              </w:rPr>
            </w:pPr>
          </w:p>
        </w:tc>
      </w:tr>
      <w:tr w:rsidR="00AA0CE3" w:rsidRPr="00AA0CE3" w14:paraId="5D75AE91" w14:textId="77777777" w:rsidTr="00990755">
        <w:trPr>
          <w:trHeight w:val="315"/>
        </w:trPr>
        <w:tc>
          <w:tcPr>
            <w:tcW w:w="3306" w:type="dxa"/>
            <w:tcBorders>
              <w:top w:val="nil"/>
              <w:left w:val="single" w:sz="8" w:space="0" w:color="auto"/>
              <w:bottom w:val="single" w:sz="8" w:space="0" w:color="auto"/>
              <w:right w:val="single" w:sz="8" w:space="0" w:color="auto"/>
            </w:tcBorders>
            <w:shd w:val="clear" w:color="000000" w:fill="244062"/>
            <w:vAlign w:val="center"/>
            <w:hideMark/>
          </w:tcPr>
          <w:p w14:paraId="0CAF1335" w14:textId="77777777" w:rsidR="00AB7EA0" w:rsidRPr="000A2AFE" w:rsidRDefault="00AB7EA0" w:rsidP="000A2AFE">
            <w:pPr>
              <w:widowControl w:val="0"/>
              <w:spacing w:after="0" w:line="240" w:lineRule="auto"/>
              <w:jc w:val="both"/>
              <w:rPr>
                <w:rFonts w:ascii="Calibri Light" w:eastAsia="Times New Roman" w:hAnsi="Calibri Light" w:cs="Calibri Light"/>
                <w:b/>
                <w:bCs/>
                <w:sz w:val="20"/>
                <w:szCs w:val="20"/>
                <w:lang w:val="en-GB" w:eastAsia="el-GR"/>
              </w:rPr>
            </w:pPr>
            <w:r w:rsidRPr="000A2AFE">
              <w:rPr>
                <w:rFonts w:ascii="Calibri Light" w:eastAsia="Times New Roman" w:hAnsi="Calibri Light" w:cs="Calibri Light"/>
                <w:b/>
                <w:bCs/>
                <w:sz w:val="20"/>
                <w:szCs w:val="20"/>
                <w:lang w:eastAsia="el-GR"/>
              </w:rPr>
              <w:lastRenderedPageBreak/>
              <w:t>Извор(и) финансирања</w:t>
            </w:r>
          </w:p>
        </w:tc>
        <w:tc>
          <w:tcPr>
            <w:tcW w:w="6152" w:type="dxa"/>
            <w:gridSpan w:val="3"/>
            <w:tcBorders>
              <w:top w:val="single" w:sz="8" w:space="0" w:color="auto"/>
              <w:left w:val="nil"/>
              <w:bottom w:val="single" w:sz="8" w:space="0" w:color="auto"/>
              <w:right w:val="single" w:sz="8" w:space="0" w:color="000000"/>
            </w:tcBorders>
            <w:shd w:val="clear" w:color="auto" w:fill="auto"/>
            <w:vAlign w:val="center"/>
            <w:hideMark/>
          </w:tcPr>
          <w:p w14:paraId="33808E21" w14:textId="3355BB3F" w:rsidR="00AB7EA0" w:rsidRPr="000A2AFE" w:rsidRDefault="009613FB" w:rsidP="000A2AFE">
            <w:pPr>
              <w:widowControl w:val="0"/>
              <w:spacing w:after="0" w:line="240" w:lineRule="auto"/>
              <w:jc w:val="both"/>
              <w:rPr>
                <w:rFonts w:ascii="Calibri Light" w:eastAsia="Times New Roman" w:hAnsi="Calibri Light" w:cs="Calibri Light"/>
                <w:sz w:val="20"/>
                <w:szCs w:val="20"/>
                <w:lang w:val="en-GB" w:eastAsia="el-GR"/>
              </w:rPr>
            </w:pPr>
            <w:r w:rsidRPr="000A2AFE">
              <w:rPr>
                <w:rFonts w:ascii="Calibri Light" w:eastAsia="Times New Roman" w:hAnsi="Calibri Light" w:cs="Calibri Light"/>
                <w:sz w:val="20"/>
                <w:szCs w:val="20"/>
                <w:lang w:eastAsia="el-GR"/>
              </w:rPr>
              <w:t>Б</w:t>
            </w:r>
            <w:r w:rsidR="00AB7EA0" w:rsidRPr="000A2AFE">
              <w:rPr>
                <w:rFonts w:ascii="Calibri Light" w:eastAsia="Times New Roman" w:hAnsi="Calibri Light" w:cs="Calibri Light"/>
                <w:sz w:val="20"/>
                <w:szCs w:val="20"/>
                <w:lang w:eastAsia="el-GR"/>
              </w:rPr>
              <w:t>уџетска средства</w:t>
            </w:r>
          </w:p>
        </w:tc>
        <w:tc>
          <w:tcPr>
            <w:tcW w:w="222" w:type="dxa"/>
            <w:vAlign w:val="center"/>
            <w:hideMark/>
          </w:tcPr>
          <w:p w14:paraId="65D95277" w14:textId="77777777" w:rsidR="00AB7EA0" w:rsidRPr="000A2AFE" w:rsidRDefault="00AB7EA0" w:rsidP="000A2AFE">
            <w:pPr>
              <w:widowControl w:val="0"/>
              <w:spacing w:after="0" w:line="240" w:lineRule="auto"/>
              <w:jc w:val="both"/>
              <w:rPr>
                <w:rFonts w:ascii="Calibri Light" w:eastAsia="Times New Roman" w:hAnsi="Calibri Light" w:cs="Calibri Light"/>
                <w:sz w:val="20"/>
                <w:szCs w:val="20"/>
                <w:lang w:val="en-GB" w:eastAsia="el-GR"/>
              </w:rPr>
            </w:pPr>
          </w:p>
        </w:tc>
      </w:tr>
    </w:tbl>
    <w:p w14:paraId="64701421" w14:textId="77777777" w:rsidR="00AB7EA0" w:rsidRPr="00FF386D" w:rsidRDefault="00AB7EA0" w:rsidP="00854ADA">
      <w:pPr>
        <w:widowControl w:val="0"/>
        <w:spacing w:after="120" w:line="240" w:lineRule="auto"/>
        <w:jc w:val="both"/>
        <w:rPr>
          <w:rFonts w:ascii="Calibri Light" w:eastAsia="Times New Roman" w:hAnsi="Calibri Light" w:cs="Calibri Light"/>
          <w:szCs w:val="20"/>
          <w:lang w:eastAsia="el-GR"/>
        </w:rPr>
      </w:pPr>
    </w:p>
    <w:p w14:paraId="68A5D0BC" w14:textId="77777777" w:rsidR="00854ADA" w:rsidRPr="00FF386D" w:rsidRDefault="00854ADA" w:rsidP="00116B52">
      <w:pPr>
        <w:pStyle w:val="ListParagraph"/>
        <w:keepNext/>
        <w:keepLines/>
        <w:numPr>
          <w:ilvl w:val="0"/>
          <w:numId w:val="295"/>
        </w:numPr>
        <w:spacing w:before="200" w:after="0" w:line="240" w:lineRule="auto"/>
        <w:jc w:val="both"/>
        <w:outlineLvl w:val="3"/>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t>Опис израде мера за коришћење потенцијала енергетске ефикасности инфраструктуре гаса и електричне енергије</w:t>
      </w:r>
    </w:p>
    <w:p w14:paraId="3C45BB3A" w14:textId="1FAD6CEA"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Енергетска ефикасност електроенергетске и гасне инфраструктуре </w:t>
      </w:r>
      <w:r w:rsidR="00C07EA3" w:rsidRPr="00FF386D">
        <w:rPr>
          <w:rFonts w:asciiTheme="majorHAnsi" w:hAnsiTheme="majorHAnsi" w:cstheme="majorHAnsi"/>
          <w:color w:val="000000"/>
        </w:rPr>
        <w:t xml:space="preserve">биће </w:t>
      </w:r>
      <w:r w:rsidRPr="00FF386D">
        <w:rPr>
          <w:rFonts w:asciiTheme="majorHAnsi" w:hAnsiTheme="majorHAnsi" w:cstheme="majorHAnsi"/>
          <w:color w:val="000000"/>
        </w:rPr>
        <w:t xml:space="preserve">унапређена мерама које ће спроводити одговарајући оператори у оквиру својих развојних програма у складу са принципом „Енергетска ефикасност </w:t>
      </w:r>
      <w:r w:rsidR="00C07EA3" w:rsidRPr="00FF386D">
        <w:rPr>
          <w:rFonts w:asciiTheme="majorHAnsi" w:hAnsiTheme="majorHAnsi" w:cstheme="majorHAnsi"/>
          <w:color w:val="000000"/>
        </w:rPr>
        <w:t>пре свега</w:t>
      </w:r>
      <w:r w:rsidRPr="00FF386D">
        <w:rPr>
          <w:rFonts w:asciiTheme="majorHAnsi" w:hAnsiTheme="majorHAnsi" w:cstheme="majorHAnsi"/>
          <w:color w:val="000000"/>
        </w:rPr>
        <w:t>”. Биће покренуте циљане техничке мере за смањење губитака у преносној и дистрибутивној мрежи, управљање оптерећењем, побољшање интероперабилности</w:t>
      </w:r>
      <w:r w:rsidR="00C41128" w:rsidRPr="00FF386D">
        <w:rPr>
          <w:rFonts w:asciiTheme="majorHAnsi" w:hAnsiTheme="majorHAnsi" w:cstheme="majorHAnsi"/>
          <w:color w:val="000000"/>
        </w:rPr>
        <w:t>.</w:t>
      </w:r>
    </w:p>
    <w:p w14:paraId="5A2C6E5E" w14:textId="29C22F0D"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Такође,</w:t>
      </w:r>
      <w:r w:rsidR="00C07EA3" w:rsidRPr="00FF386D">
        <w:rPr>
          <w:rFonts w:asciiTheme="majorHAnsi" w:hAnsiTheme="majorHAnsi" w:cstheme="majorHAnsi"/>
          <w:color w:val="000000"/>
        </w:rPr>
        <w:t xml:space="preserve"> израђиваће се годишњи </w:t>
      </w:r>
      <w:r w:rsidRPr="00FF386D">
        <w:rPr>
          <w:rFonts w:asciiTheme="majorHAnsi" w:hAnsiTheme="majorHAnsi" w:cstheme="majorHAnsi"/>
          <w:color w:val="000000"/>
        </w:rPr>
        <w:t>извештаји који ће садржати детаљан опис спроведених активности</w:t>
      </w:r>
      <w:r w:rsidR="0071721C" w:rsidRPr="00FF386D">
        <w:rPr>
          <w:rFonts w:asciiTheme="majorHAnsi" w:hAnsiTheme="majorHAnsi" w:cstheme="majorHAnsi"/>
          <w:color w:val="000000"/>
        </w:rPr>
        <w:t xml:space="preserve"> и пружаће се </w:t>
      </w:r>
      <w:r w:rsidRPr="00FF386D">
        <w:rPr>
          <w:rFonts w:asciiTheme="majorHAnsi" w:hAnsiTheme="majorHAnsi" w:cstheme="majorHAnsi"/>
          <w:color w:val="000000"/>
        </w:rPr>
        <w:t>подстицаји операторима преносних и дистрибутивних мрежа природног гаса и електричне енергије за остваривање већег поврата на уложени капитал, уколико постигну одређене циљеве енергетске ефикасности.</w:t>
      </w:r>
    </w:p>
    <w:p w14:paraId="7593053B" w14:textId="5BC7E10B"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На крају, биће обезбеђена масовна инсталација напредних мерних уређаја </w:t>
      </w:r>
      <w:r w:rsidR="00C41128" w:rsidRPr="00FF386D">
        <w:rPr>
          <w:rFonts w:asciiTheme="majorHAnsi" w:hAnsiTheme="majorHAnsi" w:cstheme="majorHAnsi"/>
          <w:color w:val="000000"/>
        </w:rPr>
        <w:t>и усвојен неопходан законски оквир како би се подржало динамичко одређивање цена и тарифа.</w:t>
      </w:r>
    </w:p>
    <w:tbl>
      <w:tblPr>
        <w:tblW w:w="9458" w:type="dxa"/>
        <w:tblLook w:val="04A0" w:firstRow="1" w:lastRow="0" w:firstColumn="1" w:lastColumn="0" w:noHBand="0" w:noVBand="1"/>
      </w:tblPr>
      <w:tblGrid>
        <w:gridCol w:w="3309"/>
        <w:gridCol w:w="1007"/>
        <w:gridCol w:w="942"/>
        <w:gridCol w:w="4200"/>
      </w:tblGrid>
      <w:tr w:rsidR="00854ADA" w:rsidRPr="00FF386D" w14:paraId="1815F86B" w14:textId="77777777" w:rsidTr="0057310C">
        <w:trPr>
          <w:trHeight w:val="780"/>
        </w:trPr>
        <w:tc>
          <w:tcPr>
            <w:tcW w:w="3309"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243C96A8"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Шифра мере политике: </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436C6600"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МП_ЕЕ40</w:t>
            </w:r>
          </w:p>
        </w:tc>
        <w:tc>
          <w:tcPr>
            <w:tcW w:w="942" w:type="dxa"/>
            <w:tcBorders>
              <w:top w:val="single" w:sz="8" w:space="0" w:color="auto"/>
              <w:left w:val="nil"/>
              <w:bottom w:val="single" w:sz="8" w:space="0" w:color="auto"/>
              <w:right w:val="single" w:sz="8" w:space="0" w:color="auto"/>
            </w:tcBorders>
            <w:shd w:val="clear" w:color="000000" w:fill="244062"/>
            <w:vAlign w:val="center"/>
            <w:hideMark/>
          </w:tcPr>
          <w:p w14:paraId="3091E5F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00" w:type="dxa"/>
            <w:tcBorders>
              <w:top w:val="single" w:sz="8" w:space="0" w:color="auto"/>
              <w:left w:val="nil"/>
              <w:bottom w:val="single" w:sz="8" w:space="0" w:color="auto"/>
              <w:right w:val="single" w:sz="8" w:space="0" w:color="auto"/>
            </w:tcBorders>
            <w:shd w:val="clear" w:color="auto" w:fill="E7E6E6" w:themeFill="background2"/>
            <w:vAlign w:val="center"/>
            <w:hideMark/>
          </w:tcPr>
          <w:p w14:paraId="68301802" w14:textId="77777777" w:rsidR="00854ADA" w:rsidRPr="00FF386D" w:rsidRDefault="00854ADA" w:rsidP="00854ADA">
            <w:pPr>
              <w:spacing w:after="0" w:line="240" w:lineRule="auto"/>
              <w:rPr>
                <w:rFonts w:ascii="Calibri Light" w:eastAsia="Times New Roman" w:hAnsi="Calibri Light" w:cs="Calibri Light"/>
                <w:b/>
                <w:bCs/>
                <w:color w:val="000000"/>
                <w:sz w:val="20"/>
                <w:szCs w:val="20"/>
                <w:lang w:eastAsia="en-GB"/>
              </w:rPr>
            </w:pPr>
            <w:r w:rsidRPr="00FF386D">
              <w:rPr>
                <w:rFonts w:ascii="Calibri Light" w:hAnsi="Calibri Light"/>
                <w:b/>
                <w:sz w:val="20"/>
              </w:rPr>
              <w:t>Увођење напредних мерних уређаја (синергија са димензијом тржишта енергије)</w:t>
            </w:r>
          </w:p>
        </w:tc>
      </w:tr>
      <w:tr w:rsidR="00854ADA" w:rsidRPr="00FF386D" w14:paraId="381D9862" w14:textId="77777777" w:rsidTr="0057310C">
        <w:trPr>
          <w:trHeight w:val="316"/>
        </w:trPr>
        <w:tc>
          <w:tcPr>
            <w:tcW w:w="3309" w:type="dxa"/>
            <w:tcBorders>
              <w:top w:val="nil"/>
              <w:left w:val="single" w:sz="8" w:space="0" w:color="auto"/>
              <w:bottom w:val="single" w:sz="8" w:space="0" w:color="auto"/>
              <w:right w:val="nil"/>
            </w:tcBorders>
            <w:shd w:val="clear" w:color="000000" w:fill="244062"/>
            <w:vAlign w:val="center"/>
            <w:hideMark/>
          </w:tcPr>
          <w:p w14:paraId="1DE7E5B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64650E00" w14:textId="5F7B8383" w:rsidR="00854ADA" w:rsidRPr="000A2AFE" w:rsidRDefault="00A8598B"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 xml:space="preserve">Примена </w:t>
            </w:r>
            <w:r w:rsidR="00854ADA" w:rsidRPr="00FF386D">
              <w:rPr>
                <w:rFonts w:ascii="Calibri Light" w:hAnsi="Calibri Light"/>
                <w:sz w:val="20"/>
              </w:rPr>
              <w:t>чланова Директиве</w:t>
            </w:r>
            <w:r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w:t>
            </w:r>
            <w:r w:rsidRPr="00FF386D">
              <w:rPr>
                <w:rFonts w:ascii="Calibri Light" w:hAnsi="Calibri Light"/>
                <w:sz w:val="20"/>
              </w:rPr>
              <w:t>02, и то</w:t>
            </w:r>
          </w:p>
          <w:p w14:paraId="13D6F264" w14:textId="69882EF4" w:rsidR="00854ADA" w:rsidRPr="00FF386D" w:rsidRDefault="00854ADA" w:rsidP="00854ADA">
            <w:pPr>
              <w:numPr>
                <w:ilvl w:val="0"/>
                <w:numId w:val="16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71721C"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3</w:t>
            </w:r>
          </w:p>
        </w:tc>
      </w:tr>
      <w:tr w:rsidR="00854ADA" w:rsidRPr="00FF386D" w14:paraId="3D0A38C6" w14:textId="77777777" w:rsidTr="0057310C">
        <w:trPr>
          <w:trHeight w:val="315"/>
        </w:trPr>
        <w:tc>
          <w:tcPr>
            <w:tcW w:w="3309" w:type="dxa"/>
            <w:tcBorders>
              <w:top w:val="nil"/>
              <w:left w:val="single" w:sz="8" w:space="0" w:color="auto"/>
              <w:bottom w:val="single" w:sz="8" w:space="0" w:color="auto"/>
              <w:right w:val="single" w:sz="8" w:space="0" w:color="auto"/>
            </w:tcBorders>
            <w:shd w:val="clear" w:color="000000" w:fill="244062"/>
            <w:vAlign w:val="center"/>
            <w:hideMark/>
          </w:tcPr>
          <w:p w14:paraId="626BA7F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Квантификовани циљ: </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571789B1" w14:textId="287E341D"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 xml:space="preserve">Допринос </w:t>
            </w:r>
            <w:r w:rsidR="001C1CD1" w:rsidRPr="001C1CD1">
              <w:rPr>
                <w:rFonts w:asciiTheme="majorHAnsi" w:eastAsia="Times New Roman" w:hAnsiTheme="majorHAnsi" w:cstheme="majorHAnsi"/>
                <w:color w:val="000000"/>
                <w:sz w:val="20"/>
                <w:szCs w:val="20"/>
                <w:lang w:eastAsia="en-GB"/>
              </w:rPr>
              <w:t>постизању очекиваних нивоa финалне потрошње енергије</w:t>
            </w:r>
          </w:p>
        </w:tc>
      </w:tr>
      <w:tr w:rsidR="00854ADA" w:rsidRPr="00FF386D" w14:paraId="212A2A6E" w14:textId="77777777" w:rsidTr="0057310C">
        <w:trPr>
          <w:trHeight w:val="784"/>
        </w:trPr>
        <w:tc>
          <w:tcPr>
            <w:tcW w:w="3309" w:type="dxa"/>
            <w:tcBorders>
              <w:top w:val="nil"/>
              <w:left w:val="single" w:sz="8" w:space="0" w:color="auto"/>
              <w:bottom w:val="single" w:sz="8" w:space="0" w:color="auto"/>
              <w:right w:val="single" w:sz="8" w:space="0" w:color="auto"/>
            </w:tcBorders>
            <w:shd w:val="clear" w:color="000000" w:fill="244062"/>
            <w:vAlign w:val="center"/>
            <w:hideMark/>
          </w:tcPr>
          <w:p w14:paraId="4C30C5DE" w14:textId="2071350C"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0623A97F" w14:textId="320CDBE3"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МП_ЕЕ40 ће омогућити употребу напредних мерних уређаја </w:t>
            </w:r>
            <w:r w:rsidR="00E2793A" w:rsidRPr="00FF386D">
              <w:rPr>
                <w:rFonts w:ascii="Calibri Light" w:hAnsi="Calibri Light"/>
                <w:sz w:val="20"/>
              </w:rPr>
              <w:t>помоћу</w:t>
            </w:r>
            <w:r w:rsidRPr="00FF386D">
              <w:rPr>
                <w:rFonts w:ascii="Calibri Light" w:hAnsi="Calibri Light"/>
                <w:sz w:val="20"/>
              </w:rPr>
              <w:t xml:space="preserve"> идентификације најефикаснијег пословног модела и развојем потребне инфраструктуре</w:t>
            </w:r>
            <w:r w:rsidRPr="000A2AFE">
              <w:rPr>
                <w:rFonts w:ascii="Calibri Light" w:eastAsia="Times New Roman" w:hAnsi="Calibri Light" w:cs="Calibri Light"/>
                <w:color w:val="000000"/>
                <w:sz w:val="20"/>
                <w:szCs w:val="20"/>
                <w:lang w:eastAsia="en-GB"/>
              </w:rPr>
              <w:t>.</w:t>
            </w:r>
          </w:p>
        </w:tc>
      </w:tr>
      <w:tr w:rsidR="00854ADA" w:rsidRPr="00FF386D" w14:paraId="52EE913A" w14:textId="77777777" w:rsidTr="0057310C">
        <w:trPr>
          <w:trHeight w:val="315"/>
        </w:trPr>
        <w:tc>
          <w:tcPr>
            <w:tcW w:w="3309" w:type="dxa"/>
            <w:tcBorders>
              <w:top w:val="nil"/>
              <w:left w:val="single" w:sz="8" w:space="0" w:color="auto"/>
              <w:bottom w:val="single" w:sz="8" w:space="0" w:color="auto"/>
              <w:right w:val="single" w:sz="8" w:space="0" w:color="auto"/>
            </w:tcBorders>
            <w:shd w:val="clear" w:color="000000" w:fill="244062"/>
            <w:vAlign w:val="center"/>
            <w:hideMark/>
          </w:tcPr>
          <w:p w14:paraId="69AA87C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4E2740D2" w14:textId="741A7A19"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A8598B" w:rsidRPr="00FF386D">
              <w:rPr>
                <w:rFonts w:ascii="Calibri Light" w:hAnsi="Calibri Light"/>
                <w:sz w:val="20"/>
              </w:rPr>
              <w:t>5</w:t>
            </w:r>
            <w:r w:rsidRPr="00FF386D">
              <w:rPr>
                <w:rFonts w:ascii="Calibri Light" w:hAnsi="Calibri Light"/>
                <w:sz w:val="20"/>
              </w:rPr>
              <w:t>-2030.</w:t>
            </w:r>
          </w:p>
        </w:tc>
      </w:tr>
      <w:tr w:rsidR="00854ADA" w:rsidRPr="00FF386D" w14:paraId="2C9F1BD0" w14:textId="77777777" w:rsidTr="0057310C">
        <w:trPr>
          <w:trHeight w:val="315"/>
        </w:trPr>
        <w:tc>
          <w:tcPr>
            <w:tcW w:w="3309" w:type="dxa"/>
            <w:tcBorders>
              <w:top w:val="nil"/>
              <w:left w:val="single" w:sz="8" w:space="0" w:color="auto"/>
              <w:bottom w:val="single" w:sz="8" w:space="0" w:color="auto"/>
              <w:right w:val="single" w:sz="8" w:space="0" w:color="auto"/>
            </w:tcBorders>
            <w:shd w:val="clear" w:color="000000" w:fill="244062"/>
            <w:vAlign w:val="center"/>
            <w:hideMark/>
          </w:tcPr>
          <w:p w14:paraId="25464F3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1559AF19"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Инвестиција</w:t>
            </w:r>
          </w:p>
        </w:tc>
      </w:tr>
      <w:tr w:rsidR="00854ADA" w:rsidRPr="00FF386D" w14:paraId="0E061BC5" w14:textId="77777777" w:rsidTr="0057310C">
        <w:trPr>
          <w:trHeight w:val="315"/>
        </w:trPr>
        <w:tc>
          <w:tcPr>
            <w:tcW w:w="3309" w:type="dxa"/>
            <w:tcBorders>
              <w:top w:val="nil"/>
              <w:left w:val="single" w:sz="8" w:space="0" w:color="auto"/>
              <w:bottom w:val="single" w:sz="8" w:space="0" w:color="auto"/>
              <w:right w:val="single" w:sz="8" w:space="0" w:color="auto"/>
            </w:tcBorders>
            <w:shd w:val="clear" w:color="000000" w:fill="244062"/>
            <w:vAlign w:val="center"/>
            <w:hideMark/>
          </w:tcPr>
          <w:p w14:paraId="6EFACA3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262C56AE"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Сви сектори финалне потрошње</w:t>
            </w:r>
          </w:p>
        </w:tc>
      </w:tr>
      <w:tr w:rsidR="00854ADA" w:rsidRPr="00FF386D" w14:paraId="64D5517D" w14:textId="77777777" w:rsidTr="0057310C">
        <w:trPr>
          <w:trHeight w:val="315"/>
        </w:trPr>
        <w:tc>
          <w:tcPr>
            <w:tcW w:w="3309" w:type="dxa"/>
            <w:tcBorders>
              <w:top w:val="nil"/>
              <w:left w:val="single" w:sz="8" w:space="0" w:color="auto"/>
              <w:bottom w:val="single" w:sz="8" w:space="0" w:color="auto"/>
              <w:right w:val="single" w:sz="8" w:space="0" w:color="auto"/>
            </w:tcBorders>
            <w:shd w:val="clear" w:color="000000" w:fill="244062"/>
            <w:vAlign w:val="center"/>
            <w:hideMark/>
          </w:tcPr>
          <w:p w14:paraId="1B63FDC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660B9162" w14:textId="43489510" w:rsidR="00854ADA" w:rsidRPr="000A2AFE" w:rsidRDefault="001C1CD1" w:rsidP="000A2AFE">
            <w:pPr>
              <w:pStyle w:val="ListParagraph"/>
              <w:numPr>
                <w:ilvl w:val="0"/>
                <w:numId w:val="318"/>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329FAD02" w14:textId="77777777" w:rsidTr="0057310C">
        <w:trPr>
          <w:trHeight w:val="315"/>
        </w:trPr>
        <w:tc>
          <w:tcPr>
            <w:tcW w:w="3309" w:type="dxa"/>
            <w:tcBorders>
              <w:top w:val="nil"/>
              <w:left w:val="single" w:sz="8" w:space="0" w:color="auto"/>
              <w:bottom w:val="single" w:sz="8" w:space="0" w:color="auto"/>
              <w:right w:val="nil"/>
            </w:tcBorders>
            <w:shd w:val="clear" w:color="000000" w:fill="244062"/>
            <w:vAlign w:val="center"/>
            <w:hideMark/>
          </w:tcPr>
          <w:p w14:paraId="66A4100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3F080B20" w14:textId="1D3C822D" w:rsidR="00854ADA" w:rsidRPr="000A2AFE" w:rsidRDefault="009F63EA" w:rsidP="000A2AFE">
            <w:pPr>
              <w:pStyle w:val="ListParagraph"/>
              <w:numPr>
                <w:ilvl w:val="0"/>
                <w:numId w:val="164"/>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25D9210B" w14:textId="77777777" w:rsidTr="0057310C">
        <w:trPr>
          <w:trHeight w:val="315"/>
        </w:trPr>
        <w:tc>
          <w:tcPr>
            <w:tcW w:w="3309" w:type="dxa"/>
            <w:tcBorders>
              <w:top w:val="nil"/>
              <w:left w:val="single" w:sz="8" w:space="0" w:color="auto"/>
              <w:bottom w:val="single" w:sz="8" w:space="0" w:color="auto"/>
              <w:right w:val="nil"/>
            </w:tcBorders>
            <w:shd w:val="clear" w:color="000000" w:fill="244062"/>
            <w:vAlign w:val="center"/>
            <w:hideMark/>
          </w:tcPr>
          <w:p w14:paraId="32BCEC2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14BCB0D9" w14:textId="6C987A6B" w:rsidR="00854ADA" w:rsidRPr="000A2AFE" w:rsidRDefault="00854ADA" w:rsidP="000A2AFE">
            <w:pPr>
              <w:pStyle w:val="ListParagraph"/>
              <w:numPr>
                <w:ilvl w:val="0"/>
                <w:numId w:val="16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Број инсталираних </w:t>
            </w:r>
            <w:r w:rsidR="0071721C" w:rsidRPr="000A2AFE">
              <w:rPr>
                <w:rFonts w:ascii="Calibri Light" w:eastAsia="Times New Roman" w:hAnsi="Calibri Light" w:cs="Calibri Light"/>
                <w:color w:val="000000"/>
                <w:sz w:val="20"/>
                <w:szCs w:val="20"/>
                <w:lang w:eastAsia="en-GB"/>
              </w:rPr>
              <w:t>напредних мерних уређаја</w:t>
            </w:r>
          </w:p>
        </w:tc>
      </w:tr>
      <w:tr w:rsidR="00854ADA" w:rsidRPr="00FF386D" w14:paraId="681B5979" w14:textId="77777777" w:rsidTr="0057310C">
        <w:trPr>
          <w:trHeight w:val="519"/>
        </w:trPr>
        <w:tc>
          <w:tcPr>
            <w:tcW w:w="3309" w:type="dxa"/>
            <w:tcBorders>
              <w:top w:val="nil"/>
              <w:left w:val="single" w:sz="8" w:space="0" w:color="auto"/>
              <w:bottom w:val="single" w:sz="8" w:space="0" w:color="auto"/>
              <w:right w:val="single" w:sz="8" w:space="0" w:color="auto"/>
            </w:tcBorders>
            <w:shd w:val="clear" w:color="000000" w:fill="244062"/>
            <w:vAlign w:val="center"/>
            <w:hideMark/>
          </w:tcPr>
          <w:p w14:paraId="15D55CE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14065438" w14:textId="0CA1FE7A" w:rsidR="0067401D" w:rsidRPr="0067401D" w:rsidRDefault="0067401D" w:rsidP="0067401D">
            <w:pPr>
              <w:numPr>
                <w:ilvl w:val="0"/>
                <w:numId w:val="164"/>
              </w:numPr>
              <w:spacing w:after="0" w:line="240" w:lineRule="auto"/>
              <w:contextualSpacing/>
              <w:rPr>
                <w:rFonts w:ascii="Calibri Light" w:eastAsia="Times New Roman" w:hAnsi="Calibri Light" w:cs="Calibri Light"/>
                <w:color w:val="000000"/>
                <w:sz w:val="20"/>
                <w:szCs w:val="20"/>
                <w:lang w:eastAsia="en-GB"/>
              </w:rPr>
            </w:pPr>
            <w:r w:rsidRPr="0067401D">
              <w:rPr>
                <w:rFonts w:ascii="Calibri Light" w:eastAsia="Times New Roman" w:hAnsi="Calibri Light" w:cs="Calibri Light"/>
                <w:color w:val="000000"/>
                <w:sz w:val="20"/>
                <w:szCs w:val="20"/>
                <w:lang w:eastAsia="en-GB"/>
              </w:rPr>
              <w:t>Декарбонизација (постигнутом уштедом енергије смањиће се потрошња фосилних горива што ће довести до смањења емисија GHG)</w:t>
            </w:r>
          </w:p>
          <w:p w14:paraId="26538164" w14:textId="77777777" w:rsidR="00854ADA" w:rsidRDefault="0067401D" w:rsidP="0067401D">
            <w:pPr>
              <w:numPr>
                <w:ilvl w:val="0"/>
                <w:numId w:val="164"/>
              </w:numPr>
              <w:spacing w:after="0" w:line="240" w:lineRule="auto"/>
              <w:contextualSpacing/>
              <w:rPr>
                <w:rFonts w:ascii="Calibri Light" w:eastAsia="Times New Roman" w:hAnsi="Calibri Light" w:cs="Calibri Light"/>
                <w:color w:val="000000"/>
                <w:sz w:val="20"/>
                <w:szCs w:val="20"/>
                <w:lang w:eastAsia="en-GB"/>
              </w:rPr>
            </w:pPr>
            <w:r w:rsidRPr="0067401D">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p w14:paraId="355A6682" w14:textId="6EBDFE00" w:rsidR="0067401D" w:rsidRPr="00FF386D" w:rsidRDefault="0067401D" w:rsidP="0067401D">
            <w:pPr>
              <w:numPr>
                <w:ilvl w:val="0"/>
                <w:numId w:val="164"/>
              </w:numPr>
              <w:spacing w:after="0" w:line="240" w:lineRule="auto"/>
              <w:contextualSpacing/>
              <w:rPr>
                <w:rFonts w:ascii="Calibri Light" w:eastAsia="Times New Roman" w:hAnsi="Calibri Light" w:cs="Calibri Light"/>
                <w:color w:val="000000"/>
                <w:sz w:val="20"/>
                <w:szCs w:val="20"/>
                <w:lang w:eastAsia="en-GB"/>
              </w:rPr>
            </w:pPr>
            <w:r w:rsidRPr="0067401D">
              <w:rPr>
                <w:rFonts w:ascii="Calibri Light" w:eastAsia="Times New Roman" w:hAnsi="Calibri Light" w:cs="Calibri Light"/>
                <w:color w:val="000000"/>
                <w:sz w:val="20"/>
                <w:szCs w:val="20"/>
                <w:lang w:eastAsia="en-GB"/>
              </w:rPr>
              <w:t>Унутрашње тржиште енергије (</w:t>
            </w:r>
            <w:r w:rsidR="000431FE">
              <w:rPr>
                <w:rFonts w:ascii="Calibri Light" w:eastAsia="Times New Roman" w:hAnsi="Calibri Light" w:cs="Calibri Light"/>
                <w:color w:val="000000"/>
                <w:sz w:val="20"/>
                <w:szCs w:val="20"/>
                <w:lang w:eastAsia="en-GB"/>
              </w:rPr>
              <w:t>инсталација напредних мерних уређаја ће омогућити интеграцију и спајање тржишта</w:t>
            </w:r>
            <w:r w:rsidRPr="0067401D">
              <w:rPr>
                <w:rFonts w:ascii="Calibri Light" w:eastAsia="Times New Roman" w:hAnsi="Calibri Light" w:cs="Calibri Light"/>
                <w:color w:val="000000"/>
                <w:sz w:val="20"/>
                <w:szCs w:val="20"/>
                <w:lang w:eastAsia="en-GB"/>
              </w:rPr>
              <w:t>)</w:t>
            </w:r>
          </w:p>
        </w:tc>
      </w:tr>
      <w:tr w:rsidR="00854ADA" w:rsidRPr="00FF386D" w14:paraId="55C33737" w14:textId="77777777" w:rsidTr="0057310C">
        <w:trPr>
          <w:trHeight w:val="450"/>
        </w:trPr>
        <w:tc>
          <w:tcPr>
            <w:tcW w:w="3309"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7C446566" w14:textId="0E94B1FE"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149"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66F2F037" w14:textId="2177A4F2" w:rsidR="00854ADA" w:rsidRPr="000A2AFE" w:rsidRDefault="00854ADA" w:rsidP="00A8598B">
            <w:pPr>
              <w:pStyle w:val="ListParagraph"/>
              <w:numPr>
                <w:ilvl w:val="0"/>
                <w:numId w:val="164"/>
              </w:num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Директива </w:t>
            </w:r>
            <w:r w:rsidR="00A8598B" w:rsidRPr="00FF386D">
              <w:rPr>
                <w:rFonts w:ascii="Calibri Light" w:hAnsi="Calibri Light"/>
                <w:color w:val="000000"/>
                <w:sz w:val="20"/>
              </w:rPr>
              <w:t xml:space="preserve">(ЕУ) </w:t>
            </w:r>
            <w:r w:rsidRPr="000A2AFE">
              <w:rPr>
                <w:rFonts w:ascii="Calibri Light" w:eastAsia="Times New Roman" w:hAnsi="Calibri Light" w:cs="Calibri Light"/>
                <w:color w:val="000000"/>
                <w:sz w:val="20"/>
                <w:szCs w:val="20"/>
                <w:lang w:eastAsia="en-GB"/>
              </w:rPr>
              <w:t>2012/27</w:t>
            </w:r>
          </w:p>
          <w:p w14:paraId="10F6590E" w14:textId="6E92014D" w:rsidR="00854ADA" w:rsidRPr="00FF386D" w:rsidRDefault="00854ADA" w:rsidP="00854ADA">
            <w:pPr>
              <w:numPr>
                <w:ilvl w:val="0"/>
                <w:numId w:val="16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Директива </w:t>
            </w:r>
            <w:r w:rsidR="00A8598B" w:rsidRPr="00FF386D">
              <w:rPr>
                <w:rFonts w:ascii="Calibri Light" w:hAnsi="Calibri Light"/>
                <w:color w:val="000000"/>
                <w:sz w:val="20"/>
              </w:rPr>
              <w:t xml:space="preserve">(ЕУ) </w:t>
            </w:r>
            <w:r w:rsidRPr="000A2AFE">
              <w:rPr>
                <w:rFonts w:ascii="Calibri Light" w:eastAsia="Times New Roman" w:hAnsi="Calibri Light" w:cs="Calibri Light"/>
                <w:color w:val="000000"/>
                <w:sz w:val="20"/>
                <w:szCs w:val="20"/>
                <w:lang w:eastAsia="en-GB"/>
              </w:rPr>
              <w:t>2018/2002</w:t>
            </w:r>
          </w:p>
        </w:tc>
      </w:tr>
      <w:tr w:rsidR="00854ADA" w:rsidRPr="00FF386D" w14:paraId="180BEE04" w14:textId="77777777" w:rsidTr="0057310C">
        <w:trPr>
          <w:trHeight w:val="450"/>
        </w:trPr>
        <w:tc>
          <w:tcPr>
            <w:tcW w:w="3309" w:type="dxa"/>
            <w:vMerge/>
            <w:tcBorders>
              <w:top w:val="nil"/>
              <w:left w:val="single" w:sz="8" w:space="0" w:color="auto"/>
              <w:bottom w:val="single" w:sz="8" w:space="0" w:color="000000"/>
              <w:right w:val="single" w:sz="8" w:space="0" w:color="auto"/>
            </w:tcBorders>
            <w:vAlign w:val="center"/>
            <w:hideMark/>
          </w:tcPr>
          <w:p w14:paraId="3D2A1D9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9" w:type="dxa"/>
            <w:gridSpan w:val="3"/>
            <w:vMerge/>
            <w:tcBorders>
              <w:top w:val="single" w:sz="8" w:space="0" w:color="auto"/>
              <w:left w:val="single" w:sz="8" w:space="0" w:color="auto"/>
              <w:bottom w:val="single" w:sz="8" w:space="0" w:color="000000"/>
              <w:right w:val="single" w:sz="8" w:space="0" w:color="000000"/>
            </w:tcBorders>
            <w:vAlign w:val="center"/>
            <w:hideMark/>
          </w:tcPr>
          <w:p w14:paraId="13BEC157" w14:textId="77777777" w:rsidR="00854ADA" w:rsidRPr="00FF386D" w:rsidRDefault="00854ADA" w:rsidP="00854ADA">
            <w:pPr>
              <w:numPr>
                <w:ilvl w:val="0"/>
                <w:numId w:val="16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39633BF2" w14:textId="77777777" w:rsidTr="0057310C">
        <w:trPr>
          <w:trHeight w:val="450"/>
        </w:trPr>
        <w:tc>
          <w:tcPr>
            <w:tcW w:w="3309" w:type="dxa"/>
            <w:vMerge/>
            <w:tcBorders>
              <w:top w:val="nil"/>
              <w:left w:val="single" w:sz="8" w:space="0" w:color="auto"/>
              <w:bottom w:val="single" w:sz="8" w:space="0" w:color="000000"/>
              <w:right w:val="single" w:sz="8" w:space="0" w:color="auto"/>
            </w:tcBorders>
            <w:vAlign w:val="center"/>
            <w:hideMark/>
          </w:tcPr>
          <w:p w14:paraId="1CB6C6E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9" w:type="dxa"/>
            <w:gridSpan w:val="3"/>
            <w:vMerge/>
            <w:tcBorders>
              <w:top w:val="single" w:sz="8" w:space="0" w:color="auto"/>
              <w:left w:val="single" w:sz="8" w:space="0" w:color="auto"/>
              <w:bottom w:val="single" w:sz="8" w:space="0" w:color="000000"/>
              <w:right w:val="single" w:sz="8" w:space="0" w:color="000000"/>
            </w:tcBorders>
            <w:vAlign w:val="center"/>
            <w:hideMark/>
          </w:tcPr>
          <w:p w14:paraId="2AF94F48" w14:textId="77777777" w:rsidR="00854ADA" w:rsidRPr="00FF386D" w:rsidRDefault="00854ADA" w:rsidP="00854ADA">
            <w:pPr>
              <w:numPr>
                <w:ilvl w:val="0"/>
                <w:numId w:val="16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12A50D63" w14:textId="77777777" w:rsidTr="0057310C">
        <w:trPr>
          <w:trHeight w:val="477"/>
        </w:trPr>
        <w:tc>
          <w:tcPr>
            <w:tcW w:w="3309" w:type="dxa"/>
            <w:tcBorders>
              <w:top w:val="nil"/>
              <w:left w:val="single" w:sz="8" w:space="0" w:color="auto"/>
              <w:bottom w:val="single" w:sz="8" w:space="0" w:color="auto"/>
              <w:right w:val="single" w:sz="8" w:space="0" w:color="auto"/>
            </w:tcBorders>
            <w:shd w:val="clear" w:color="000000" w:fill="244062"/>
            <w:vAlign w:val="center"/>
            <w:hideMark/>
          </w:tcPr>
          <w:p w14:paraId="2EFF94F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1E03CB90" w14:textId="325C54BB" w:rsidR="00854ADA" w:rsidRPr="00FF386D" w:rsidRDefault="00854ADA" w:rsidP="00854ADA">
            <w:pPr>
              <w:numPr>
                <w:ilvl w:val="0"/>
                <w:numId w:val="16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енергетици</w:t>
            </w:r>
          </w:p>
        </w:tc>
      </w:tr>
      <w:tr w:rsidR="00854ADA" w:rsidRPr="00FF386D" w14:paraId="536DBF63" w14:textId="77777777" w:rsidTr="0057310C">
        <w:trPr>
          <w:trHeight w:val="315"/>
        </w:trPr>
        <w:tc>
          <w:tcPr>
            <w:tcW w:w="3309" w:type="dxa"/>
            <w:tcBorders>
              <w:top w:val="nil"/>
              <w:left w:val="single" w:sz="8" w:space="0" w:color="auto"/>
              <w:bottom w:val="single" w:sz="8" w:space="0" w:color="auto"/>
              <w:right w:val="single" w:sz="8" w:space="0" w:color="auto"/>
            </w:tcBorders>
            <w:shd w:val="clear" w:color="000000" w:fill="244062"/>
            <w:vAlign w:val="center"/>
            <w:hideMark/>
          </w:tcPr>
          <w:p w14:paraId="60FF39A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Трошкови имплементације</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3A5469DB" w14:textId="2A35FB51" w:rsidR="00854ADA" w:rsidRPr="00FF386D" w:rsidRDefault="00854ADA" w:rsidP="00854ADA">
            <w:pPr>
              <w:spacing w:after="0" w:line="240" w:lineRule="auto"/>
              <w:rPr>
                <w:rFonts w:ascii="Calibri Light" w:eastAsia="Times New Roman" w:hAnsi="Calibri Light" w:cs="Calibri Light"/>
                <w:color w:val="000000"/>
                <w:sz w:val="20"/>
                <w:szCs w:val="20"/>
                <w:highlight w:val="yellow"/>
                <w:lang w:eastAsia="en-GB"/>
              </w:rPr>
            </w:pPr>
            <w:r w:rsidRPr="00FF386D">
              <w:rPr>
                <w:rFonts w:ascii="Calibri Light" w:eastAsia="Times New Roman" w:hAnsi="Calibri Light" w:cs="Calibri Light"/>
                <w:color w:val="000000"/>
                <w:sz w:val="20"/>
                <w:szCs w:val="20"/>
                <w:lang w:eastAsia="en-GB"/>
              </w:rPr>
              <w:t xml:space="preserve">Буџет </w:t>
            </w:r>
            <w:r w:rsidR="00A8598B" w:rsidRPr="00FF386D">
              <w:rPr>
                <w:rFonts w:ascii="Calibri Light" w:eastAsia="Times New Roman" w:hAnsi="Calibri Light" w:cs="Calibri Light"/>
                <w:color w:val="000000"/>
                <w:sz w:val="20"/>
                <w:szCs w:val="20"/>
                <w:lang w:eastAsia="en-GB"/>
              </w:rPr>
              <w:t xml:space="preserve">обухваћен </w:t>
            </w:r>
            <w:r w:rsidRPr="00FF386D">
              <w:rPr>
                <w:rFonts w:ascii="Calibri Light" w:eastAsia="Times New Roman" w:hAnsi="Calibri Light" w:cs="Calibri Light"/>
                <w:color w:val="000000"/>
                <w:sz w:val="20"/>
                <w:szCs w:val="20"/>
                <w:lang w:eastAsia="en-GB"/>
              </w:rPr>
              <w:t>у св</w:t>
            </w:r>
            <w:r w:rsidR="00A8598B" w:rsidRPr="00FF386D">
              <w:rPr>
                <w:rFonts w:ascii="Calibri Light" w:eastAsia="Times New Roman" w:hAnsi="Calibri Light" w:cs="Calibri Light"/>
                <w:color w:val="000000"/>
                <w:sz w:val="20"/>
                <w:szCs w:val="20"/>
                <w:lang w:eastAsia="en-GB"/>
              </w:rPr>
              <w:t>им</w:t>
            </w:r>
            <w:r w:rsidRPr="00FF386D">
              <w:rPr>
                <w:rFonts w:ascii="Calibri Light" w:eastAsia="Times New Roman" w:hAnsi="Calibri Light" w:cs="Calibri Light"/>
                <w:color w:val="000000"/>
                <w:sz w:val="20"/>
                <w:szCs w:val="20"/>
                <w:lang w:eastAsia="en-GB"/>
              </w:rPr>
              <w:t xml:space="preserve"> мере </w:t>
            </w:r>
            <w:r w:rsidR="00A8598B" w:rsidRPr="00FF386D">
              <w:rPr>
                <w:rFonts w:ascii="Calibri Light" w:eastAsia="Times New Roman" w:hAnsi="Calibri Light" w:cs="Calibri Light"/>
                <w:color w:val="000000"/>
                <w:sz w:val="20"/>
                <w:szCs w:val="20"/>
                <w:lang w:eastAsia="en-GB"/>
              </w:rPr>
              <w:t>финалне потрошње</w:t>
            </w:r>
          </w:p>
        </w:tc>
      </w:tr>
      <w:tr w:rsidR="00854ADA" w:rsidRPr="00FF386D" w14:paraId="6188DF90" w14:textId="77777777" w:rsidTr="0057310C">
        <w:trPr>
          <w:trHeight w:val="315"/>
        </w:trPr>
        <w:tc>
          <w:tcPr>
            <w:tcW w:w="3309" w:type="dxa"/>
            <w:tcBorders>
              <w:top w:val="nil"/>
              <w:left w:val="single" w:sz="8" w:space="0" w:color="auto"/>
              <w:bottom w:val="single" w:sz="8" w:space="0" w:color="auto"/>
              <w:right w:val="single" w:sz="8" w:space="0" w:color="auto"/>
            </w:tcBorders>
            <w:shd w:val="clear" w:color="000000" w:fill="244062"/>
            <w:vAlign w:val="center"/>
            <w:hideMark/>
          </w:tcPr>
          <w:p w14:paraId="3454281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49" w:type="dxa"/>
            <w:gridSpan w:val="3"/>
            <w:tcBorders>
              <w:top w:val="single" w:sz="8" w:space="0" w:color="auto"/>
              <w:left w:val="nil"/>
              <w:bottom w:val="single" w:sz="8" w:space="0" w:color="auto"/>
              <w:right w:val="single" w:sz="8" w:space="0" w:color="000000"/>
            </w:tcBorders>
            <w:shd w:val="clear" w:color="auto" w:fill="auto"/>
            <w:vAlign w:val="center"/>
            <w:hideMark/>
          </w:tcPr>
          <w:p w14:paraId="1B9295C8" w14:textId="5FFEC0A1" w:rsidR="00854ADA" w:rsidRPr="00FF386D" w:rsidRDefault="00854ADA" w:rsidP="00854ADA">
            <w:pPr>
              <w:spacing w:after="0" w:line="240" w:lineRule="auto"/>
              <w:rPr>
                <w:rFonts w:ascii="Calibri Light" w:eastAsia="Times New Roman" w:hAnsi="Calibri Light" w:cs="Calibri Light"/>
                <w:color w:val="000000"/>
                <w:sz w:val="20"/>
                <w:szCs w:val="20"/>
                <w:highlight w:val="yellow"/>
                <w:lang w:eastAsia="en-GB"/>
              </w:rPr>
            </w:pPr>
            <w:r w:rsidRPr="00FF386D">
              <w:rPr>
                <w:rFonts w:asciiTheme="majorHAnsi" w:eastAsia="Times New Roman" w:hAnsiTheme="majorHAnsi" w:cstheme="majorHAnsi"/>
                <w:color w:val="000000"/>
                <w:sz w:val="20"/>
                <w:szCs w:val="20"/>
                <w:lang w:eastAsia="en-GB"/>
              </w:rPr>
              <w:t>Фондови ЕУ и други фондови, јавн</w:t>
            </w:r>
            <w:r w:rsidR="00A8598B" w:rsidRPr="00FF386D">
              <w:rPr>
                <w:rFonts w:asciiTheme="majorHAnsi" w:eastAsia="Times New Roman" w:hAnsiTheme="majorHAnsi" w:cstheme="majorHAnsi"/>
                <w:color w:val="000000"/>
                <w:sz w:val="20"/>
                <w:szCs w:val="20"/>
                <w:lang w:eastAsia="en-GB"/>
              </w:rPr>
              <w:t>а и буџетска средства</w:t>
            </w:r>
          </w:p>
        </w:tc>
      </w:tr>
    </w:tbl>
    <w:p w14:paraId="5AF58335"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05"/>
        <w:gridCol w:w="1007"/>
        <w:gridCol w:w="942"/>
        <w:gridCol w:w="4204"/>
      </w:tblGrid>
      <w:tr w:rsidR="00854ADA" w:rsidRPr="00FF386D" w14:paraId="4978366F" w14:textId="77777777" w:rsidTr="0057310C">
        <w:trPr>
          <w:trHeight w:val="780"/>
        </w:trPr>
        <w:tc>
          <w:tcPr>
            <w:tcW w:w="3305"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17B777AD"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Шифра мере политике: </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7476DF24"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МП_ЕЕ42</w:t>
            </w:r>
          </w:p>
        </w:tc>
        <w:tc>
          <w:tcPr>
            <w:tcW w:w="942" w:type="dxa"/>
            <w:tcBorders>
              <w:top w:val="single" w:sz="8" w:space="0" w:color="auto"/>
              <w:left w:val="nil"/>
              <w:bottom w:val="single" w:sz="8" w:space="0" w:color="auto"/>
              <w:right w:val="single" w:sz="8" w:space="0" w:color="auto"/>
            </w:tcBorders>
            <w:shd w:val="clear" w:color="000000" w:fill="244062"/>
            <w:vAlign w:val="center"/>
            <w:hideMark/>
          </w:tcPr>
          <w:p w14:paraId="0F5B6A3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04" w:type="dxa"/>
            <w:tcBorders>
              <w:top w:val="single" w:sz="8" w:space="0" w:color="auto"/>
              <w:left w:val="nil"/>
              <w:bottom w:val="single" w:sz="8" w:space="0" w:color="auto"/>
              <w:right w:val="single" w:sz="8" w:space="0" w:color="auto"/>
            </w:tcBorders>
            <w:shd w:val="clear" w:color="auto" w:fill="E7E6E6" w:themeFill="background2"/>
            <w:vAlign w:val="center"/>
            <w:hideMark/>
          </w:tcPr>
          <w:p w14:paraId="4107208A" w14:textId="06402918"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 xml:space="preserve">Промовисање мера за </w:t>
            </w:r>
            <w:r w:rsidR="00E2793A" w:rsidRPr="00FF386D">
              <w:rPr>
                <w:rFonts w:ascii="Calibri Light" w:hAnsi="Calibri Light"/>
                <w:b/>
                <w:sz w:val="20"/>
              </w:rPr>
              <w:t>унапређење</w:t>
            </w:r>
            <w:r w:rsidRPr="00FF386D">
              <w:rPr>
                <w:rFonts w:ascii="Calibri Light" w:hAnsi="Calibri Light"/>
                <w:b/>
                <w:sz w:val="20"/>
              </w:rPr>
              <w:t xml:space="preserve"> енергетске ефикасности у електроенергетској инфраструктури</w:t>
            </w:r>
          </w:p>
        </w:tc>
      </w:tr>
      <w:tr w:rsidR="00854ADA" w:rsidRPr="00FF386D" w14:paraId="46647E33" w14:textId="77777777" w:rsidTr="0057310C">
        <w:trPr>
          <w:trHeight w:val="355"/>
        </w:trPr>
        <w:tc>
          <w:tcPr>
            <w:tcW w:w="3305" w:type="dxa"/>
            <w:tcBorders>
              <w:top w:val="nil"/>
              <w:left w:val="single" w:sz="8" w:space="0" w:color="auto"/>
              <w:bottom w:val="single" w:sz="8" w:space="0" w:color="auto"/>
              <w:right w:val="nil"/>
            </w:tcBorders>
            <w:shd w:val="clear" w:color="000000" w:fill="244062"/>
            <w:vAlign w:val="center"/>
            <w:hideMark/>
          </w:tcPr>
          <w:p w14:paraId="23CD142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153" w:type="dxa"/>
            <w:gridSpan w:val="3"/>
            <w:tcBorders>
              <w:top w:val="single" w:sz="8" w:space="0" w:color="auto"/>
              <w:left w:val="nil"/>
              <w:bottom w:val="single" w:sz="8" w:space="0" w:color="auto"/>
              <w:right w:val="single" w:sz="8" w:space="0" w:color="000000"/>
            </w:tcBorders>
            <w:shd w:val="clear" w:color="auto" w:fill="auto"/>
            <w:vAlign w:val="center"/>
            <w:hideMark/>
          </w:tcPr>
          <w:p w14:paraId="0D8B9947" w14:textId="1B2B456E" w:rsidR="00854ADA" w:rsidRPr="000A2AFE" w:rsidRDefault="00A8598B"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 xml:space="preserve">Примена </w:t>
            </w:r>
            <w:r w:rsidR="00854ADA" w:rsidRPr="00FF386D">
              <w:rPr>
                <w:rFonts w:ascii="Calibri Light" w:hAnsi="Calibri Light"/>
                <w:sz w:val="20"/>
              </w:rPr>
              <w:t xml:space="preserve">чланова Директиве </w:t>
            </w:r>
            <w:r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w:t>
            </w:r>
            <w:r w:rsidRPr="00FF386D">
              <w:rPr>
                <w:rFonts w:ascii="Calibri Light" w:hAnsi="Calibri Light"/>
                <w:sz w:val="20"/>
              </w:rPr>
              <w:t>02, и то</w:t>
            </w:r>
            <w:r w:rsidR="00854ADA" w:rsidRPr="000A2AFE">
              <w:rPr>
                <w:rFonts w:ascii="Calibri Light" w:eastAsia="Times New Roman" w:hAnsi="Calibri Light" w:cs="Calibri Light"/>
                <w:color w:val="000000"/>
                <w:sz w:val="20"/>
                <w:szCs w:val="20"/>
                <w:lang w:eastAsia="en-GB"/>
              </w:rPr>
              <w:t>:</w:t>
            </w:r>
          </w:p>
          <w:p w14:paraId="3F840299" w14:textId="18E06948" w:rsidR="00854ADA" w:rsidRPr="00FF386D" w:rsidRDefault="00854ADA" w:rsidP="00854ADA">
            <w:pPr>
              <w:numPr>
                <w:ilvl w:val="0"/>
                <w:numId w:val="16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E2793A"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3</w:t>
            </w:r>
          </w:p>
        </w:tc>
      </w:tr>
      <w:tr w:rsidR="00854ADA" w:rsidRPr="00FF386D" w14:paraId="6972A9FD" w14:textId="77777777" w:rsidTr="0057310C">
        <w:trPr>
          <w:trHeight w:val="315"/>
        </w:trPr>
        <w:tc>
          <w:tcPr>
            <w:tcW w:w="3305" w:type="dxa"/>
            <w:tcBorders>
              <w:top w:val="nil"/>
              <w:left w:val="single" w:sz="8" w:space="0" w:color="auto"/>
              <w:bottom w:val="single" w:sz="8" w:space="0" w:color="auto"/>
              <w:right w:val="single" w:sz="8" w:space="0" w:color="auto"/>
            </w:tcBorders>
            <w:shd w:val="clear" w:color="000000" w:fill="244062"/>
            <w:vAlign w:val="center"/>
            <w:hideMark/>
          </w:tcPr>
          <w:p w14:paraId="184A437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Квантификовани циљ: </w:t>
            </w:r>
          </w:p>
        </w:tc>
        <w:tc>
          <w:tcPr>
            <w:tcW w:w="6153" w:type="dxa"/>
            <w:gridSpan w:val="3"/>
            <w:tcBorders>
              <w:top w:val="single" w:sz="8" w:space="0" w:color="auto"/>
              <w:left w:val="nil"/>
              <w:bottom w:val="single" w:sz="8" w:space="0" w:color="auto"/>
              <w:right w:val="single" w:sz="8" w:space="0" w:color="000000"/>
            </w:tcBorders>
            <w:shd w:val="clear" w:color="auto" w:fill="auto"/>
            <w:vAlign w:val="center"/>
            <w:hideMark/>
          </w:tcPr>
          <w:p w14:paraId="740B1D5F" w14:textId="3DAC3BCD"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Смањење </w:t>
            </w:r>
            <w:r w:rsidR="00E2793A" w:rsidRPr="00FF386D">
              <w:rPr>
                <w:rFonts w:asciiTheme="majorHAnsi" w:eastAsia="Times New Roman" w:hAnsiTheme="majorHAnsi" w:cstheme="majorHAnsi"/>
                <w:color w:val="000000"/>
                <w:sz w:val="20"/>
                <w:szCs w:val="20"/>
                <w:lang w:eastAsia="en-GB"/>
              </w:rPr>
              <w:t xml:space="preserve">губитака </w:t>
            </w:r>
            <w:r w:rsidR="00A8598B" w:rsidRPr="00FF386D">
              <w:rPr>
                <w:rFonts w:asciiTheme="majorHAnsi" w:eastAsia="Times New Roman" w:hAnsiTheme="majorHAnsi" w:cstheme="majorHAnsi"/>
                <w:color w:val="000000"/>
                <w:sz w:val="20"/>
                <w:szCs w:val="20"/>
                <w:lang w:eastAsia="en-GB"/>
              </w:rPr>
              <w:t xml:space="preserve">од 3,7% и 5,6% у 2030. години у поређењу са 2023. годином, на </w:t>
            </w:r>
            <w:r w:rsidR="004A34CB" w:rsidRPr="00FF386D">
              <w:rPr>
                <w:rFonts w:asciiTheme="majorHAnsi" w:eastAsia="Times New Roman" w:hAnsiTheme="majorHAnsi" w:cstheme="majorHAnsi"/>
                <w:color w:val="000000"/>
                <w:sz w:val="20"/>
                <w:szCs w:val="20"/>
                <w:lang w:eastAsia="en-GB"/>
              </w:rPr>
              <w:t>преносној</w:t>
            </w:r>
            <w:r w:rsidR="00A8598B" w:rsidRPr="00FF386D">
              <w:rPr>
                <w:rFonts w:asciiTheme="majorHAnsi" w:eastAsia="Times New Roman" w:hAnsiTheme="majorHAnsi" w:cstheme="majorHAnsi"/>
                <w:color w:val="000000"/>
                <w:sz w:val="20"/>
                <w:szCs w:val="20"/>
                <w:lang w:eastAsia="en-GB"/>
              </w:rPr>
              <w:t>, односно дистрибутивној мрежи</w:t>
            </w:r>
            <w:r w:rsidRPr="00FF386D">
              <w:rPr>
                <w:rFonts w:asciiTheme="majorHAnsi" w:eastAsia="Times New Roman" w:hAnsiTheme="majorHAnsi" w:cstheme="majorHAnsi"/>
                <w:color w:val="000000"/>
                <w:sz w:val="20"/>
                <w:szCs w:val="20"/>
                <w:lang w:eastAsia="en-GB"/>
              </w:rPr>
              <w:t>.</w:t>
            </w:r>
          </w:p>
        </w:tc>
      </w:tr>
      <w:tr w:rsidR="00854ADA" w:rsidRPr="00FF386D" w14:paraId="0DC963C7" w14:textId="77777777" w:rsidTr="0057310C">
        <w:trPr>
          <w:trHeight w:val="712"/>
        </w:trPr>
        <w:tc>
          <w:tcPr>
            <w:tcW w:w="3305" w:type="dxa"/>
            <w:tcBorders>
              <w:top w:val="nil"/>
              <w:left w:val="single" w:sz="8" w:space="0" w:color="auto"/>
              <w:bottom w:val="single" w:sz="8" w:space="0" w:color="auto"/>
              <w:right w:val="single" w:sz="8" w:space="0" w:color="auto"/>
            </w:tcBorders>
            <w:shd w:val="clear" w:color="000000" w:fill="244062"/>
            <w:vAlign w:val="center"/>
            <w:hideMark/>
          </w:tcPr>
          <w:p w14:paraId="6EF03F1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153" w:type="dxa"/>
            <w:gridSpan w:val="3"/>
            <w:tcBorders>
              <w:top w:val="single" w:sz="8" w:space="0" w:color="auto"/>
              <w:left w:val="nil"/>
              <w:bottom w:val="single" w:sz="8" w:space="0" w:color="auto"/>
              <w:right w:val="single" w:sz="8" w:space="0" w:color="000000"/>
            </w:tcBorders>
            <w:shd w:val="clear" w:color="auto" w:fill="auto"/>
            <w:vAlign w:val="center"/>
            <w:hideMark/>
          </w:tcPr>
          <w:p w14:paraId="43B18F0B" w14:textId="09571F9C" w:rsidR="00854ADA" w:rsidRPr="00FF386D" w:rsidRDefault="00854ADA" w:rsidP="000777F2">
            <w:pPr>
              <w:spacing w:after="0" w:line="240" w:lineRule="auto"/>
              <w:jc w:val="both"/>
              <w:rPr>
                <w:rFonts w:ascii="Times New Roman" w:hAnsi="Times New Roman" w:cs="Times New Roman"/>
                <w:sz w:val="24"/>
                <w:szCs w:val="24"/>
                <w:lang w:eastAsia="en-GB"/>
              </w:rPr>
            </w:pPr>
            <w:r w:rsidRPr="00FF386D">
              <w:rPr>
                <w:rFonts w:ascii="Calibri Light" w:hAnsi="Calibri Light"/>
                <w:sz w:val="20"/>
              </w:rPr>
              <w:t xml:space="preserve">МП_ЕЕ42 ће промовисати мере за повећање енергетске ефикасности електроенергетске инфраструктуре, које ће спровести оператори у оквиру својих развојних програма. </w:t>
            </w:r>
            <w:r w:rsidR="003167A5" w:rsidRPr="00FF386D">
              <w:rPr>
                <w:rFonts w:ascii="Calibri Light" w:hAnsi="Calibri Light"/>
                <w:sz w:val="20"/>
              </w:rPr>
              <w:t>Биће покренуте</w:t>
            </w:r>
            <w:r w:rsidRPr="00FF386D">
              <w:rPr>
                <w:rFonts w:ascii="Calibri Light" w:hAnsi="Calibri Light"/>
                <w:sz w:val="20"/>
              </w:rPr>
              <w:t xml:space="preserve"> циљане техничке мере за смањење губитака у преносној и дистрибутивној мрежи, управљање оптерећењем, побољшање интероперабилности мреже и омогућавање употребе инсталација </w:t>
            </w:r>
            <w:r w:rsidR="00A8598B" w:rsidRPr="00FF386D">
              <w:rPr>
                <w:rFonts w:ascii="Calibri Light" w:hAnsi="Calibri Light"/>
                <w:sz w:val="20"/>
              </w:rPr>
              <w:t>за децентрализовану производњу електричне енергије.</w:t>
            </w:r>
            <w:r w:rsidRPr="00FF386D">
              <w:rPr>
                <w:rFonts w:ascii="Calibri Light" w:hAnsi="Calibri Light"/>
                <w:sz w:val="20"/>
              </w:rPr>
              <w:t xml:space="preserve"> Оператори електроенергетске инфраструктуре биће у обавези да припремају </w:t>
            </w:r>
            <w:r w:rsidR="003167A5" w:rsidRPr="00FF386D">
              <w:rPr>
                <w:rFonts w:ascii="Calibri Light" w:hAnsi="Calibri Light"/>
                <w:sz w:val="20"/>
              </w:rPr>
              <w:t xml:space="preserve">годишње </w:t>
            </w:r>
            <w:r w:rsidRPr="00FF386D">
              <w:rPr>
                <w:rFonts w:ascii="Calibri Light" w:hAnsi="Calibri Light"/>
                <w:sz w:val="20"/>
              </w:rPr>
              <w:t xml:space="preserve">извештаје који ће обухватити детаљни опис спроведених радњи, а биће </w:t>
            </w:r>
            <w:r w:rsidR="003167A5" w:rsidRPr="00FF386D">
              <w:rPr>
                <w:rFonts w:ascii="Calibri Light" w:hAnsi="Calibri Light"/>
                <w:sz w:val="20"/>
              </w:rPr>
              <w:t>утврђене</w:t>
            </w:r>
            <w:r w:rsidRPr="00FF386D">
              <w:rPr>
                <w:rFonts w:ascii="Calibri Light" w:hAnsi="Calibri Light"/>
                <w:sz w:val="20"/>
              </w:rPr>
              <w:t xml:space="preserve"> потребне мере и инвестиције за </w:t>
            </w:r>
            <w:r w:rsidR="003167A5" w:rsidRPr="00FF386D">
              <w:rPr>
                <w:rFonts w:ascii="Calibri Light" w:hAnsi="Calibri Light"/>
                <w:sz w:val="20"/>
              </w:rPr>
              <w:t>реализацију</w:t>
            </w:r>
            <w:r w:rsidRPr="00FF386D">
              <w:rPr>
                <w:rFonts w:ascii="Calibri Light" w:hAnsi="Calibri Light"/>
                <w:sz w:val="20"/>
              </w:rPr>
              <w:t xml:space="preserve"> нај</w:t>
            </w:r>
            <w:r w:rsidR="003167A5" w:rsidRPr="00FF386D">
              <w:rPr>
                <w:rFonts w:ascii="Calibri Light" w:hAnsi="Calibri Light"/>
                <w:sz w:val="20"/>
              </w:rPr>
              <w:t>економичнијих</w:t>
            </w:r>
            <w:r w:rsidRPr="00FF386D">
              <w:rPr>
                <w:rFonts w:ascii="Calibri Light" w:hAnsi="Calibri Light"/>
                <w:sz w:val="20"/>
              </w:rPr>
              <w:t xml:space="preserve"> интервенција енергетске ефикасности у мрежној инфраструктури, укључујући и </w:t>
            </w:r>
            <w:r w:rsidR="000777F2" w:rsidRPr="00FF386D">
              <w:rPr>
                <w:rFonts w:ascii="Calibri Light" w:hAnsi="Calibri Light"/>
                <w:sz w:val="20"/>
              </w:rPr>
              <w:t>динамику њихове реализације</w:t>
            </w:r>
            <w:r w:rsidRPr="00FF386D">
              <w:rPr>
                <w:rFonts w:ascii="Calibri Light" w:hAnsi="Calibri Light"/>
                <w:sz w:val="20"/>
              </w:rPr>
              <w:t xml:space="preserve">. Поред тога, биће обезбеђени подстицаји за операторе </w:t>
            </w:r>
            <w:r w:rsidR="003167A5" w:rsidRPr="00FF386D">
              <w:rPr>
                <w:rFonts w:ascii="Calibri Light" w:hAnsi="Calibri Light"/>
                <w:sz w:val="20"/>
              </w:rPr>
              <w:t>преносних</w:t>
            </w:r>
            <w:r w:rsidRPr="00FF386D">
              <w:rPr>
                <w:rFonts w:ascii="Calibri Light" w:hAnsi="Calibri Light"/>
                <w:sz w:val="20"/>
              </w:rPr>
              <w:t xml:space="preserve"> и дистрибутивних </w:t>
            </w:r>
            <w:r w:rsidR="003167A5" w:rsidRPr="00FF386D">
              <w:rPr>
                <w:rFonts w:ascii="Calibri Light" w:hAnsi="Calibri Light"/>
                <w:sz w:val="20"/>
              </w:rPr>
              <w:t>мрежа</w:t>
            </w:r>
            <w:r w:rsidRPr="00FF386D">
              <w:rPr>
                <w:rFonts w:ascii="Calibri Light" w:hAnsi="Calibri Light"/>
                <w:sz w:val="20"/>
              </w:rPr>
              <w:t xml:space="preserve"> електричне енергије </w:t>
            </w:r>
            <w:r w:rsidR="00DC6D96" w:rsidRPr="00FF386D">
              <w:rPr>
                <w:rFonts w:ascii="Calibri Light" w:hAnsi="Calibri Light"/>
                <w:sz w:val="20"/>
              </w:rPr>
              <w:t>с циљем да им се омогући да остваре</w:t>
            </w:r>
            <w:r w:rsidRPr="00FF386D">
              <w:rPr>
                <w:rFonts w:ascii="Calibri Light" w:hAnsi="Calibri Light"/>
                <w:sz w:val="20"/>
              </w:rPr>
              <w:t xml:space="preserve"> већ</w:t>
            </w:r>
            <w:r w:rsidR="003167A5" w:rsidRPr="00FF386D">
              <w:rPr>
                <w:rFonts w:ascii="Calibri Light" w:hAnsi="Calibri Light"/>
                <w:sz w:val="20"/>
              </w:rPr>
              <w:t>и поврат</w:t>
            </w:r>
            <w:r w:rsidRPr="00FF386D">
              <w:rPr>
                <w:rFonts w:ascii="Calibri Light" w:hAnsi="Calibri Light"/>
                <w:sz w:val="20"/>
              </w:rPr>
              <w:t xml:space="preserve"> на уложени капитал, уколико постигну одређене циљеве енергетске ефикасности.</w:t>
            </w:r>
            <w:r w:rsidR="000777F2" w:rsidRPr="00FF386D">
              <w:rPr>
                <w:rFonts w:ascii="Calibri Light" w:hAnsi="Calibri Light"/>
                <w:sz w:val="20"/>
              </w:rPr>
              <w:t xml:space="preserve"> </w:t>
            </w:r>
            <w:r w:rsidRPr="00FF386D">
              <w:rPr>
                <w:rFonts w:ascii="Calibri Light" w:hAnsi="Calibri Light"/>
                <w:sz w:val="20"/>
              </w:rPr>
              <w:t>Наравно, у случају да циљеви енергетске ефикасности не буду остварени, мора се предвидети смањење поврата на уложени капитал. Поред тога, принцип „Енергетска ефикасност пре свега” ће се примењивати приликом доношења нај</w:t>
            </w:r>
            <w:r w:rsidR="00DC6D96" w:rsidRPr="00FF386D">
              <w:rPr>
                <w:rFonts w:ascii="Calibri Light" w:hAnsi="Calibri Light"/>
                <w:sz w:val="20"/>
              </w:rPr>
              <w:t>ефикаснијих</w:t>
            </w:r>
            <w:r w:rsidRPr="00FF386D">
              <w:rPr>
                <w:rFonts w:ascii="Calibri Light" w:hAnsi="Calibri Light"/>
                <w:sz w:val="20"/>
              </w:rPr>
              <w:t xml:space="preserve"> одлука у погледу пројектовања и рада мрежа за пренос и дистрибуцију енергије, </w:t>
            </w:r>
            <w:r w:rsidR="00DC6D96" w:rsidRPr="00FF386D">
              <w:rPr>
                <w:rFonts w:ascii="Calibri Light" w:hAnsi="Calibri Light"/>
                <w:sz w:val="20"/>
              </w:rPr>
              <w:t>и т</w:t>
            </w:r>
            <w:r w:rsidR="00084C6F" w:rsidRPr="00FF386D">
              <w:rPr>
                <w:rFonts w:ascii="Calibri Light" w:hAnsi="Calibri Light"/>
                <w:sz w:val="20"/>
              </w:rPr>
              <w:t>ако постићи</w:t>
            </w:r>
            <w:r w:rsidRPr="00FF386D">
              <w:rPr>
                <w:rFonts w:ascii="Calibri Light" w:hAnsi="Calibri Light"/>
                <w:sz w:val="20"/>
              </w:rPr>
              <w:t xml:space="preserve"> значај</w:t>
            </w:r>
            <w:r w:rsidR="00084C6F" w:rsidRPr="00FF386D">
              <w:rPr>
                <w:rFonts w:ascii="Calibri Light" w:hAnsi="Calibri Light"/>
                <w:sz w:val="20"/>
              </w:rPr>
              <w:t>ан допринос</w:t>
            </w:r>
            <w:r w:rsidRPr="00FF386D">
              <w:rPr>
                <w:rFonts w:ascii="Calibri Light" w:hAnsi="Calibri Light"/>
                <w:sz w:val="20"/>
              </w:rPr>
              <w:t xml:space="preserve"> остварењу утврђених циљева енергетске ефикасности</w:t>
            </w:r>
            <w:r w:rsidR="00B210FA" w:rsidRPr="00FF386D">
              <w:rPr>
                <w:rFonts w:ascii="Calibri Light" w:hAnsi="Calibri Light"/>
                <w:sz w:val="20"/>
              </w:rPr>
              <w:t>.</w:t>
            </w:r>
          </w:p>
        </w:tc>
      </w:tr>
      <w:tr w:rsidR="00854ADA" w:rsidRPr="00FF386D" w14:paraId="144AB107" w14:textId="77777777" w:rsidTr="0057310C">
        <w:trPr>
          <w:trHeight w:val="315"/>
        </w:trPr>
        <w:tc>
          <w:tcPr>
            <w:tcW w:w="3305" w:type="dxa"/>
            <w:tcBorders>
              <w:top w:val="nil"/>
              <w:left w:val="single" w:sz="8" w:space="0" w:color="auto"/>
              <w:bottom w:val="single" w:sz="8" w:space="0" w:color="auto"/>
              <w:right w:val="single" w:sz="8" w:space="0" w:color="auto"/>
            </w:tcBorders>
            <w:shd w:val="clear" w:color="000000" w:fill="244062"/>
            <w:vAlign w:val="center"/>
            <w:hideMark/>
          </w:tcPr>
          <w:p w14:paraId="0205876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153" w:type="dxa"/>
            <w:gridSpan w:val="3"/>
            <w:tcBorders>
              <w:top w:val="single" w:sz="8" w:space="0" w:color="auto"/>
              <w:left w:val="nil"/>
              <w:bottom w:val="single" w:sz="8" w:space="0" w:color="auto"/>
              <w:right w:val="single" w:sz="8" w:space="0" w:color="000000"/>
            </w:tcBorders>
            <w:shd w:val="clear" w:color="auto" w:fill="auto"/>
            <w:vAlign w:val="center"/>
            <w:hideMark/>
          </w:tcPr>
          <w:p w14:paraId="292890E0" w14:textId="18B6CC6A"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A8598B" w:rsidRPr="00FF386D">
              <w:rPr>
                <w:rFonts w:ascii="Calibri Light" w:hAnsi="Calibri Light"/>
                <w:sz w:val="20"/>
              </w:rPr>
              <w:t>5</w:t>
            </w:r>
            <w:r w:rsidRPr="00FF386D">
              <w:rPr>
                <w:rFonts w:ascii="Calibri Light" w:hAnsi="Calibri Light"/>
                <w:sz w:val="20"/>
              </w:rPr>
              <w:t>-2030.</w:t>
            </w:r>
          </w:p>
        </w:tc>
      </w:tr>
      <w:tr w:rsidR="00854ADA" w:rsidRPr="00FF386D" w14:paraId="7E213C87" w14:textId="77777777" w:rsidTr="0057310C">
        <w:trPr>
          <w:trHeight w:val="315"/>
        </w:trPr>
        <w:tc>
          <w:tcPr>
            <w:tcW w:w="3305" w:type="dxa"/>
            <w:tcBorders>
              <w:top w:val="nil"/>
              <w:left w:val="single" w:sz="8" w:space="0" w:color="auto"/>
              <w:bottom w:val="single" w:sz="8" w:space="0" w:color="auto"/>
              <w:right w:val="single" w:sz="8" w:space="0" w:color="auto"/>
            </w:tcBorders>
            <w:shd w:val="clear" w:color="000000" w:fill="244062"/>
            <w:vAlign w:val="center"/>
            <w:hideMark/>
          </w:tcPr>
          <w:p w14:paraId="1076273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153" w:type="dxa"/>
            <w:gridSpan w:val="3"/>
            <w:tcBorders>
              <w:top w:val="single" w:sz="8" w:space="0" w:color="auto"/>
              <w:left w:val="nil"/>
              <w:bottom w:val="single" w:sz="8" w:space="0" w:color="auto"/>
              <w:right w:val="single" w:sz="8" w:space="0" w:color="000000"/>
            </w:tcBorders>
            <w:shd w:val="clear" w:color="auto" w:fill="auto"/>
            <w:vAlign w:val="center"/>
            <w:hideMark/>
          </w:tcPr>
          <w:p w14:paraId="1FCC5D3A"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Реформа</w:t>
            </w:r>
          </w:p>
        </w:tc>
      </w:tr>
      <w:tr w:rsidR="00854ADA" w:rsidRPr="00FF386D" w14:paraId="6670E7A1" w14:textId="77777777" w:rsidTr="0057310C">
        <w:trPr>
          <w:trHeight w:val="315"/>
        </w:trPr>
        <w:tc>
          <w:tcPr>
            <w:tcW w:w="3305" w:type="dxa"/>
            <w:tcBorders>
              <w:top w:val="nil"/>
              <w:left w:val="single" w:sz="8" w:space="0" w:color="auto"/>
              <w:bottom w:val="single" w:sz="8" w:space="0" w:color="auto"/>
              <w:right w:val="single" w:sz="8" w:space="0" w:color="auto"/>
            </w:tcBorders>
            <w:shd w:val="clear" w:color="000000" w:fill="244062"/>
            <w:vAlign w:val="center"/>
            <w:hideMark/>
          </w:tcPr>
          <w:p w14:paraId="5C1C0BA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153" w:type="dxa"/>
            <w:gridSpan w:val="3"/>
            <w:tcBorders>
              <w:top w:val="single" w:sz="8" w:space="0" w:color="auto"/>
              <w:left w:val="nil"/>
              <w:bottom w:val="single" w:sz="8" w:space="0" w:color="auto"/>
              <w:right w:val="single" w:sz="8" w:space="0" w:color="000000"/>
            </w:tcBorders>
            <w:shd w:val="clear" w:color="auto" w:fill="auto"/>
            <w:vAlign w:val="center"/>
            <w:hideMark/>
          </w:tcPr>
          <w:p w14:paraId="3AF86614"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Сви сектори финалне потрошње</w:t>
            </w:r>
          </w:p>
        </w:tc>
      </w:tr>
      <w:tr w:rsidR="00854ADA" w:rsidRPr="00FF386D" w14:paraId="6146088C" w14:textId="77777777" w:rsidTr="0057310C">
        <w:trPr>
          <w:trHeight w:val="315"/>
        </w:trPr>
        <w:tc>
          <w:tcPr>
            <w:tcW w:w="3305" w:type="dxa"/>
            <w:tcBorders>
              <w:top w:val="nil"/>
              <w:left w:val="single" w:sz="8" w:space="0" w:color="auto"/>
              <w:bottom w:val="single" w:sz="8" w:space="0" w:color="auto"/>
              <w:right w:val="single" w:sz="8" w:space="0" w:color="auto"/>
            </w:tcBorders>
            <w:shd w:val="clear" w:color="000000" w:fill="244062"/>
            <w:vAlign w:val="center"/>
            <w:hideMark/>
          </w:tcPr>
          <w:p w14:paraId="1472E79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153" w:type="dxa"/>
            <w:gridSpan w:val="3"/>
            <w:tcBorders>
              <w:top w:val="single" w:sz="8" w:space="0" w:color="auto"/>
              <w:left w:val="nil"/>
              <w:bottom w:val="single" w:sz="8" w:space="0" w:color="auto"/>
              <w:right w:val="single" w:sz="8" w:space="0" w:color="000000"/>
            </w:tcBorders>
            <w:shd w:val="clear" w:color="auto" w:fill="auto"/>
            <w:vAlign w:val="center"/>
            <w:hideMark/>
          </w:tcPr>
          <w:p w14:paraId="51BFC1AF" w14:textId="77777777" w:rsidR="001C1CD1" w:rsidRDefault="001C1CD1" w:rsidP="001C1CD1">
            <w:pPr>
              <w:pStyle w:val="ListParagraph"/>
              <w:numPr>
                <w:ilvl w:val="0"/>
                <w:numId w:val="164"/>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Министарство рударства и енергетике</w:t>
            </w:r>
          </w:p>
          <w:p w14:paraId="172AD54F" w14:textId="6EFBECFE" w:rsidR="00854ADA" w:rsidRPr="000A2AFE" w:rsidRDefault="001C1CD1" w:rsidP="000A2AFE">
            <w:pPr>
              <w:pStyle w:val="ListParagraph"/>
              <w:numPr>
                <w:ilvl w:val="0"/>
                <w:numId w:val="16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Агенција за енергетику Републике Србије</w:t>
            </w:r>
          </w:p>
        </w:tc>
      </w:tr>
      <w:tr w:rsidR="00854ADA" w:rsidRPr="00FF386D" w14:paraId="5B37CAF6" w14:textId="77777777" w:rsidTr="0057310C">
        <w:trPr>
          <w:trHeight w:val="315"/>
        </w:trPr>
        <w:tc>
          <w:tcPr>
            <w:tcW w:w="3305" w:type="dxa"/>
            <w:tcBorders>
              <w:top w:val="nil"/>
              <w:left w:val="single" w:sz="8" w:space="0" w:color="auto"/>
              <w:bottom w:val="single" w:sz="8" w:space="0" w:color="auto"/>
              <w:right w:val="nil"/>
            </w:tcBorders>
            <w:shd w:val="clear" w:color="000000" w:fill="244062"/>
            <w:vAlign w:val="center"/>
            <w:hideMark/>
          </w:tcPr>
          <w:p w14:paraId="56C2BC5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153" w:type="dxa"/>
            <w:gridSpan w:val="3"/>
            <w:tcBorders>
              <w:top w:val="single" w:sz="8" w:space="0" w:color="auto"/>
              <w:left w:val="nil"/>
              <w:bottom w:val="single" w:sz="8" w:space="0" w:color="auto"/>
              <w:right w:val="single" w:sz="8" w:space="0" w:color="000000"/>
            </w:tcBorders>
            <w:shd w:val="clear" w:color="auto" w:fill="auto"/>
            <w:vAlign w:val="center"/>
            <w:hideMark/>
          </w:tcPr>
          <w:p w14:paraId="07BF9159" w14:textId="27E6BA2F" w:rsidR="00854ADA" w:rsidRPr="000A2AFE" w:rsidRDefault="00AA0CE3" w:rsidP="000A2AFE">
            <w:pPr>
              <w:pStyle w:val="ListParagraph"/>
              <w:numPr>
                <w:ilvl w:val="0"/>
                <w:numId w:val="371"/>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7CE2CC2F" w14:textId="77777777" w:rsidTr="0057310C">
        <w:trPr>
          <w:trHeight w:val="315"/>
        </w:trPr>
        <w:tc>
          <w:tcPr>
            <w:tcW w:w="3305" w:type="dxa"/>
            <w:tcBorders>
              <w:top w:val="nil"/>
              <w:left w:val="single" w:sz="8" w:space="0" w:color="auto"/>
              <w:bottom w:val="single" w:sz="8" w:space="0" w:color="auto"/>
              <w:right w:val="nil"/>
            </w:tcBorders>
            <w:shd w:val="clear" w:color="000000" w:fill="244062"/>
            <w:vAlign w:val="center"/>
            <w:hideMark/>
          </w:tcPr>
          <w:p w14:paraId="0672321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153" w:type="dxa"/>
            <w:gridSpan w:val="3"/>
            <w:tcBorders>
              <w:top w:val="single" w:sz="8" w:space="0" w:color="auto"/>
              <w:left w:val="nil"/>
              <w:bottom w:val="single" w:sz="8" w:space="0" w:color="auto"/>
              <w:right w:val="single" w:sz="8" w:space="0" w:color="000000"/>
            </w:tcBorders>
            <w:shd w:val="clear" w:color="auto" w:fill="auto"/>
            <w:vAlign w:val="center"/>
            <w:hideMark/>
          </w:tcPr>
          <w:p w14:paraId="65F82CFD" w14:textId="661348FA" w:rsidR="00854ADA" w:rsidRPr="000A2AFE" w:rsidRDefault="00854ADA" w:rsidP="000A2AFE">
            <w:pPr>
              <w:pStyle w:val="ListParagraph"/>
              <w:numPr>
                <w:ilvl w:val="0"/>
                <w:numId w:val="370"/>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Модернизација електроенргетске мреже</w:t>
            </w:r>
          </w:p>
        </w:tc>
      </w:tr>
      <w:tr w:rsidR="00854ADA" w:rsidRPr="00FF386D" w14:paraId="1B24FC03" w14:textId="77777777" w:rsidTr="0057310C">
        <w:trPr>
          <w:trHeight w:val="608"/>
        </w:trPr>
        <w:tc>
          <w:tcPr>
            <w:tcW w:w="3305" w:type="dxa"/>
            <w:tcBorders>
              <w:top w:val="nil"/>
              <w:left w:val="single" w:sz="8" w:space="0" w:color="auto"/>
              <w:bottom w:val="single" w:sz="8" w:space="0" w:color="auto"/>
              <w:right w:val="single" w:sz="8" w:space="0" w:color="auto"/>
            </w:tcBorders>
            <w:shd w:val="clear" w:color="000000" w:fill="244062"/>
            <w:vAlign w:val="center"/>
            <w:hideMark/>
          </w:tcPr>
          <w:p w14:paraId="23C024F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153" w:type="dxa"/>
            <w:gridSpan w:val="3"/>
            <w:tcBorders>
              <w:top w:val="single" w:sz="8" w:space="0" w:color="auto"/>
              <w:left w:val="nil"/>
              <w:bottom w:val="single" w:sz="8" w:space="0" w:color="auto"/>
              <w:right w:val="single" w:sz="8" w:space="0" w:color="000000"/>
            </w:tcBorders>
            <w:shd w:val="clear" w:color="auto" w:fill="auto"/>
            <w:vAlign w:val="center"/>
            <w:hideMark/>
          </w:tcPr>
          <w:p w14:paraId="5B64C507" w14:textId="137F0B21" w:rsidR="00AA0CE3" w:rsidRPr="00AA0CE3" w:rsidRDefault="00AA0CE3" w:rsidP="00AA0CE3">
            <w:pPr>
              <w:numPr>
                <w:ilvl w:val="0"/>
                <w:numId w:val="164"/>
              </w:numPr>
              <w:spacing w:after="0" w:line="240" w:lineRule="auto"/>
              <w:contextualSpacing/>
              <w:rPr>
                <w:rFonts w:ascii="Calibri Light" w:eastAsia="Times New Roman" w:hAnsi="Calibri Light" w:cs="Calibri Light"/>
                <w:color w:val="000000"/>
                <w:sz w:val="20"/>
                <w:szCs w:val="20"/>
                <w:lang w:eastAsia="en-GB"/>
              </w:rPr>
            </w:pPr>
            <w:r w:rsidRPr="00AA0CE3">
              <w:rPr>
                <w:rFonts w:ascii="Calibri Light" w:eastAsia="Times New Roman" w:hAnsi="Calibri Light" w:cs="Calibri Light"/>
                <w:color w:val="000000"/>
                <w:sz w:val="20"/>
                <w:szCs w:val="20"/>
                <w:lang w:eastAsia="en-GB"/>
              </w:rPr>
              <w:t>Декарбонизација (постигнутом уштедом енергије смањиће се потрошња фосилних горива што ће довести до смањења емисија GHG)</w:t>
            </w:r>
          </w:p>
          <w:p w14:paraId="1D56847A" w14:textId="0CE38B9F" w:rsidR="00854ADA" w:rsidRPr="00576383" w:rsidRDefault="00AA0CE3" w:rsidP="00565B02">
            <w:pPr>
              <w:numPr>
                <w:ilvl w:val="0"/>
                <w:numId w:val="164"/>
              </w:numPr>
              <w:spacing w:after="0" w:line="240" w:lineRule="auto"/>
              <w:contextualSpacing/>
              <w:rPr>
                <w:rFonts w:ascii="Calibri Light" w:eastAsia="Times New Roman" w:hAnsi="Calibri Light" w:cs="Calibri Light"/>
                <w:color w:val="000000"/>
                <w:sz w:val="20"/>
                <w:szCs w:val="20"/>
                <w:lang w:eastAsia="en-GB"/>
              </w:rPr>
            </w:pPr>
            <w:r w:rsidRPr="00AA0CE3">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854ADA" w:rsidRPr="00FF386D" w14:paraId="5DE04964" w14:textId="77777777" w:rsidTr="0057310C">
        <w:trPr>
          <w:trHeight w:val="450"/>
        </w:trPr>
        <w:tc>
          <w:tcPr>
            <w:tcW w:w="3305"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74E4C1B3" w14:textId="4F45D86B"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153"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06E7DC3A" w14:textId="4D41A374" w:rsidR="00854ADA" w:rsidRPr="000A2AFE" w:rsidRDefault="00854ADA" w:rsidP="00A8598B">
            <w:pPr>
              <w:pStyle w:val="ListParagraph"/>
              <w:numPr>
                <w:ilvl w:val="0"/>
                <w:numId w:val="164"/>
              </w:num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A8598B"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2012/27</w:t>
            </w:r>
          </w:p>
          <w:p w14:paraId="07F85BA4" w14:textId="106FFC5A" w:rsidR="00854ADA" w:rsidRPr="00FF386D" w:rsidRDefault="00854ADA" w:rsidP="00854ADA">
            <w:pPr>
              <w:numPr>
                <w:ilvl w:val="0"/>
                <w:numId w:val="16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A8598B"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2018/2002</w:t>
            </w:r>
          </w:p>
        </w:tc>
      </w:tr>
      <w:tr w:rsidR="00854ADA" w:rsidRPr="00FF386D" w14:paraId="56F2E79B" w14:textId="77777777" w:rsidTr="0057310C">
        <w:trPr>
          <w:trHeight w:val="450"/>
        </w:trPr>
        <w:tc>
          <w:tcPr>
            <w:tcW w:w="3305" w:type="dxa"/>
            <w:vMerge/>
            <w:tcBorders>
              <w:top w:val="nil"/>
              <w:left w:val="single" w:sz="8" w:space="0" w:color="auto"/>
              <w:bottom w:val="single" w:sz="8" w:space="0" w:color="000000"/>
              <w:right w:val="single" w:sz="8" w:space="0" w:color="auto"/>
            </w:tcBorders>
            <w:vAlign w:val="center"/>
            <w:hideMark/>
          </w:tcPr>
          <w:p w14:paraId="006C5E9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3" w:type="dxa"/>
            <w:gridSpan w:val="3"/>
            <w:vMerge/>
            <w:tcBorders>
              <w:top w:val="single" w:sz="8" w:space="0" w:color="auto"/>
              <w:left w:val="single" w:sz="8" w:space="0" w:color="auto"/>
              <w:bottom w:val="single" w:sz="8" w:space="0" w:color="000000"/>
              <w:right w:val="single" w:sz="8" w:space="0" w:color="000000"/>
            </w:tcBorders>
            <w:vAlign w:val="center"/>
            <w:hideMark/>
          </w:tcPr>
          <w:p w14:paraId="58768C58" w14:textId="77777777" w:rsidR="00854ADA" w:rsidRPr="00FF386D" w:rsidRDefault="00854ADA" w:rsidP="00854ADA">
            <w:pPr>
              <w:numPr>
                <w:ilvl w:val="0"/>
                <w:numId w:val="16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214F3EC8" w14:textId="77777777" w:rsidTr="0057310C">
        <w:trPr>
          <w:trHeight w:val="450"/>
        </w:trPr>
        <w:tc>
          <w:tcPr>
            <w:tcW w:w="3305" w:type="dxa"/>
            <w:vMerge/>
            <w:tcBorders>
              <w:top w:val="nil"/>
              <w:left w:val="single" w:sz="8" w:space="0" w:color="auto"/>
              <w:bottom w:val="single" w:sz="8" w:space="0" w:color="000000"/>
              <w:right w:val="single" w:sz="8" w:space="0" w:color="auto"/>
            </w:tcBorders>
            <w:vAlign w:val="center"/>
            <w:hideMark/>
          </w:tcPr>
          <w:p w14:paraId="3FAC103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3" w:type="dxa"/>
            <w:gridSpan w:val="3"/>
            <w:vMerge/>
            <w:tcBorders>
              <w:top w:val="single" w:sz="8" w:space="0" w:color="auto"/>
              <w:left w:val="single" w:sz="8" w:space="0" w:color="auto"/>
              <w:bottom w:val="single" w:sz="8" w:space="0" w:color="000000"/>
              <w:right w:val="single" w:sz="8" w:space="0" w:color="000000"/>
            </w:tcBorders>
            <w:vAlign w:val="center"/>
            <w:hideMark/>
          </w:tcPr>
          <w:p w14:paraId="46F788FD" w14:textId="77777777" w:rsidR="00854ADA" w:rsidRPr="00FF386D" w:rsidRDefault="00854ADA" w:rsidP="00854ADA">
            <w:pPr>
              <w:numPr>
                <w:ilvl w:val="0"/>
                <w:numId w:val="164"/>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1829D60C" w14:textId="77777777" w:rsidTr="0057310C">
        <w:trPr>
          <w:trHeight w:val="780"/>
        </w:trPr>
        <w:tc>
          <w:tcPr>
            <w:tcW w:w="3305" w:type="dxa"/>
            <w:tcBorders>
              <w:top w:val="nil"/>
              <w:left w:val="single" w:sz="8" w:space="0" w:color="auto"/>
              <w:bottom w:val="single" w:sz="8" w:space="0" w:color="auto"/>
              <w:right w:val="single" w:sz="8" w:space="0" w:color="auto"/>
            </w:tcBorders>
            <w:shd w:val="clear" w:color="000000" w:fill="244062"/>
            <w:vAlign w:val="center"/>
            <w:hideMark/>
          </w:tcPr>
          <w:p w14:paraId="7828559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Релевантни национални плански документ (правни, регулаторни акти, итд)</w:t>
            </w:r>
          </w:p>
        </w:tc>
        <w:tc>
          <w:tcPr>
            <w:tcW w:w="6153" w:type="dxa"/>
            <w:gridSpan w:val="3"/>
            <w:tcBorders>
              <w:top w:val="single" w:sz="8" w:space="0" w:color="auto"/>
              <w:left w:val="nil"/>
              <w:bottom w:val="single" w:sz="8" w:space="0" w:color="auto"/>
              <w:right w:val="single" w:sz="8" w:space="0" w:color="000000"/>
            </w:tcBorders>
            <w:shd w:val="clear" w:color="auto" w:fill="auto"/>
            <w:vAlign w:val="center"/>
            <w:hideMark/>
          </w:tcPr>
          <w:p w14:paraId="3E67B6DA" w14:textId="3330B4E7" w:rsidR="00854ADA" w:rsidRPr="00FF386D" w:rsidRDefault="00854ADA" w:rsidP="00854ADA">
            <w:pPr>
              <w:numPr>
                <w:ilvl w:val="0"/>
                <w:numId w:val="16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4. НАПЕЕ</w:t>
            </w:r>
          </w:p>
          <w:p w14:paraId="2BDEA9EE" w14:textId="613CD45D" w:rsidR="00854ADA" w:rsidRPr="00FF386D" w:rsidRDefault="00854ADA" w:rsidP="00854ADA">
            <w:pPr>
              <w:numPr>
                <w:ilvl w:val="0"/>
                <w:numId w:val="16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Стратегија одрживог урбаног развоја </w:t>
            </w:r>
            <w:r w:rsidR="001C1CD1" w:rsidRPr="001C1CD1">
              <w:rPr>
                <w:rFonts w:ascii="Calibri Light" w:eastAsia="Times New Roman" w:hAnsi="Calibri Light" w:cs="Calibri Light"/>
                <w:color w:val="000000"/>
                <w:sz w:val="20"/>
                <w:szCs w:val="20"/>
                <w:lang w:eastAsia="en-GB"/>
              </w:rPr>
              <w:t>у Републици Србији</w:t>
            </w:r>
            <w:r w:rsidR="001C1CD1">
              <w:rPr>
                <w:rFonts w:ascii="Calibri Light" w:eastAsia="Times New Roman" w:hAnsi="Calibri Light" w:cs="Calibri Light"/>
                <w:color w:val="000000"/>
                <w:sz w:val="20"/>
                <w:szCs w:val="20"/>
                <w:lang w:eastAsia="en-GB"/>
              </w:rPr>
              <w:t xml:space="preserve"> до</w:t>
            </w:r>
            <w:r w:rsidRPr="00FF386D">
              <w:rPr>
                <w:rFonts w:ascii="Calibri Light" w:eastAsia="Times New Roman" w:hAnsi="Calibri Light" w:cs="Calibri Light"/>
                <w:color w:val="000000"/>
                <w:sz w:val="20"/>
                <w:szCs w:val="20"/>
                <w:lang w:eastAsia="en-GB"/>
              </w:rPr>
              <w:t xml:space="preserve"> 2030. годин</w:t>
            </w:r>
            <w:r w:rsidR="001C1CD1">
              <w:rPr>
                <w:rFonts w:ascii="Calibri Light" w:eastAsia="Times New Roman" w:hAnsi="Calibri Light" w:cs="Calibri Light"/>
                <w:color w:val="000000"/>
                <w:sz w:val="20"/>
                <w:szCs w:val="20"/>
                <w:lang w:eastAsia="en-GB"/>
              </w:rPr>
              <w:t>е</w:t>
            </w:r>
          </w:p>
        </w:tc>
      </w:tr>
      <w:tr w:rsidR="00854ADA" w:rsidRPr="00FF386D" w14:paraId="241D6DFF" w14:textId="77777777" w:rsidTr="00871DF7">
        <w:trPr>
          <w:trHeight w:val="315"/>
        </w:trPr>
        <w:tc>
          <w:tcPr>
            <w:tcW w:w="3305" w:type="dxa"/>
            <w:tcBorders>
              <w:top w:val="nil"/>
              <w:left w:val="single" w:sz="8" w:space="0" w:color="auto"/>
              <w:bottom w:val="single" w:sz="8" w:space="0" w:color="auto"/>
              <w:right w:val="single" w:sz="8" w:space="0" w:color="auto"/>
            </w:tcBorders>
            <w:shd w:val="clear" w:color="000000" w:fill="244062"/>
            <w:vAlign w:val="center"/>
            <w:hideMark/>
          </w:tcPr>
          <w:p w14:paraId="180541E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53" w:type="dxa"/>
            <w:gridSpan w:val="3"/>
            <w:tcBorders>
              <w:top w:val="single" w:sz="8" w:space="0" w:color="auto"/>
              <w:left w:val="nil"/>
              <w:bottom w:val="single" w:sz="8" w:space="0" w:color="auto"/>
              <w:right w:val="single" w:sz="8" w:space="0" w:color="000000"/>
            </w:tcBorders>
            <w:shd w:val="clear" w:color="auto" w:fill="auto"/>
            <w:vAlign w:val="center"/>
          </w:tcPr>
          <w:p w14:paraId="1CBD456F" w14:textId="7A52349A" w:rsidR="00854ADA" w:rsidRPr="00FF386D" w:rsidRDefault="00871DF7"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У разматрању</w:t>
            </w:r>
          </w:p>
        </w:tc>
      </w:tr>
      <w:tr w:rsidR="00854ADA" w:rsidRPr="00FF386D" w14:paraId="16A57913" w14:textId="77777777" w:rsidTr="00871DF7">
        <w:trPr>
          <w:trHeight w:val="315"/>
        </w:trPr>
        <w:tc>
          <w:tcPr>
            <w:tcW w:w="3305" w:type="dxa"/>
            <w:tcBorders>
              <w:top w:val="nil"/>
              <w:left w:val="single" w:sz="8" w:space="0" w:color="auto"/>
              <w:bottom w:val="single" w:sz="8" w:space="0" w:color="auto"/>
              <w:right w:val="single" w:sz="8" w:space="0" w:color="auto"/>
            </w:tcBorders>
            <w:shd w:val="clear" w:color="000000" w:fill="244062"/>
            <w:vAlign w:val="center"/>
            <w:hideMark/>
          </w:tcPr>
          <w:p w14:paraId="18118BB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53" w:type="dxa"/>
            <w:gridSpan w:val="3"/>
            <w:tcBorders>
              <w:top w:val="single" w:sz="8" w:space="0" w:color="auto"/>
              <w:left w:val="nil"/>
              <w:bottom w:val="single" w:sz="8" w:space="0" w:color="auto"/>
              <w:right w:val="single" w:sz="8" w:space="0" w:color="000000"/>
            </w:tcBorders>
            <w:shd w:val="clear" w:color="auto" w:fill="auto"/>
            <w:vAlign w:val="center"/>
          </w:tcPr>
          <w:p w14:paraId="742A5255" w14:textId="03779E80" w:rsidR="00854ADA" w:rsidRPr="00FF386D" w:rsidRDefault="00871DF7"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У разматрању</w:t>
            </w:r>
          </w:p>
        </w:tc>
      </w:tr>
    </w:tbl>
    <w:p w14:paraId="65227A7C"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243"/>
        <w:gridCol w:w="1188"/>
        <w:gridCol w:w="930"/>
        <w:gridCol w:w="4097"/>
      </w:tblGrid>
      <w:tr w:rsidR="00854ADA" w:rsidRPr="00FF386D" w14:paraId="4FC56D4E" w14:textId="77777777" w:rsidTr="0057310C">
        <w:trPr>
          <w:trHeight w:val="780"/>
        </w:trPr>
        <w:tc>
          <w:tcPr>
            <w:tcW w:w="3243"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76C1C3CE"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Шифра мере политике: </w:t>
            </w:r>
          </w:p>
        </w:tc>
        <w:tc>
          <w:tcPr>
            <w:tcW w:w="1188" w:type="dxa"/>
            <w:tcBorders>
              <w:top w:val="single" w:sz="8" w:space="0" w:color="auto"/>
              <w:left w:val="nil"/>
              <w:bottom w:val="single" w:sz="8" w:space="0" w:color="auto"/>
              <w:right w:val="single" w:sz="8" w:space="0" w:color="auto"/>
            </w:tcBorders>
            <w:shd w:val="clear" w:color="auto" w:fill="E7E6E6" w:themeFill="background2"/>
            <w:vAlign w:val="center"/>
            <w:hideMark/>
          </w:tcPr>
          <w:p w14:paraId="0281B119"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МП_ЕЕ43</w:t>
            </w:r>
          </w:p>
        </w:tc>
        <w:tc>
          <w:tcPr>
            <w:tcW w:w="930" w:type="dxa"/>
            <w:tcBorders>
              <w:top w:val="single" w:sz="8" w:space="0" w:color="auto"/>
              <w:left w:val="nil"/>
              <w:bottom w:val="single" w:sz="8" w:space="0" w:color="auto"/>
              <w:right w:val="single" w:sz="8" w:space="0" w:color="auto"/>
            </w:tcBorders>
            <w:shd w:val="clear" w:color="000000" w:fill="244062"/>
            <w:vAlign w:val="center"/>
            <w:hideMark/>
          </w:tcPr>
          <w:p w14:paraId="4473B7E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097" w:type="dxa"/>
            <w:tcBorders>
              <w:top w:val="single" w:sz="8" w:space="0" w:color="auto"/>
              <w:left w:val="nil"/>
              <w:bottom w:val="single" w:sz="8" w:space="0" w:color="auto"/>
              <w:right w:val="single" w:sz="8" w:space="0" w:color="auto"/>
            </w:tcBorders>
            <w:shd w:val="clear" w:color="auto" w:fill="E7E6E6" w:themeFill="background2"/>
            <w:vAlign w:val="center"/>
            <w:hideMark/>
          </w:tcPr>
          <w:p w14:paraId="26636FD1" w14:textId="5EE5BFFD"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 xml:space="preserve">Промовисање мера за </w:t>
            </w:r>
            <w:r w:rsidR="000777F2" w:rsidRPr="00FF386D">
              <w:rPr>
                <w:rFonts w:ascii="Calibri Light" w:hAnsi="Calibri Light"/>
                <w:b/>
                <w:sz w:val="20"/>
              </w:rPr>
              <w:t xml:space="preserve">унапређење </w:t>
            </w:r>
            <w:r w:rsidRPr="00FF386D">
              <w:rPr>
                <w:rFonts w:ascii="Calibri Light" w:hAnsi="Calibri Light"/>
                <w:b/>
                <w:sz w:val="20"/>
              </w:rPr>
              <w:t xml:space="preserve">енергетске ефикасности </w:t>
            </w:r>
            <w:r w:rsidR="000777F2" w:rsidRPr="00FF386D">
              <w:rPr>
                <w:rFonts w:ascii="Calibri Light" w:hAnsi="Calibri Light"/>
                <w:b/>
                <w:sz w:val="20"/>
              </w:rPr>
              <w:t xml:space="preserve">у </w:t>
            </w:r>
            <w:r w:rsidRPr="00FF386D">
              <w:rPr>
                <w:rFonts w:ascii="Calibri Light" w:hAnsi="Calibri Light"/>
                <w:b/>
                <w:sz w:val="20"/>
              </w:rPr>
              <w:t>инфраструктури природног гаса</w:t>
            </w:r>
          </w:p>
        </w:tc>
      </w:tr>
      <w:tr w:rsidR="00854ADA" w:rsidRPr="00FF386D" w14:paraId="48ADA3BD" w14:textId="77777777" w:rsidTr="0057310C">
        <w:trPr>
          <w:trHeight w:val="355"/>
        </w:trPr>
        <w:tc>
          <w:tcPr>
            <w:tcW w:w="3243" w:type="dxa"/>
            <w:tcBorders>
              <w:top w:val="nil"/>
              <w:left w:val="single" w:sz="8" w:space="0" w:color="auto"/>
              <w:bottom w:val="single" w:sz="8" w:space="0" w:color="auto"/>
              <w:right w:val="nil"/>
            </w:tcBorders>
            <w:shd w:val="clear" w:color="000000" w:fill="244062"/>
            <w:vAlign w:val="center"/>
            <w:hideMark/>
          </w:tcPr>
          <w:p w14:paraId="63FF350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215" w:type="dxa"/>
            <w:gridSpan w:val="3"/>
            <w:tcBorders>
              <w:top w:val="single" w:sz="8" w:space="0" w:color="auto"/>
              <w:left w:val="nil"/>
              <w:bottom w:val="single" w:sz="8" w:space="0" w:color="auto"/>
              <w:right w:val="single" w:sz="8" w:space="0" w:color="000000"/>
            </w:tcBorders>
            <w:shd w:val="clear" w:color="auto" w:fill="auto"/>
            <w:vAlign w:val="center"/>
            <w:hideMark/>
          </w:tcPr>
          <w:p w14:paraId="50A1683D" w14:textId="6E98E233" w:rsidR="00854ADA" w:rsidRPr="000A2AFE" w:rsidRDefault="002E00EE"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 xml:space="preserve">Примена </w:t>
            </w:r>
            <w:r w:rsidR="00854ADA" w:rsidRPr="00FF386D">
              <w:rPr>
                <w:rFonts w:ascii="Calibri Light" w:hAnsi="Calibri Light"/>
                <w:sz w:val="20"/>
              </w:rPr>
              <w:t xml:space="preserve">чланова Директиве </w:t>
            </w:r>
            <w:r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w:t>
            </w:r>
            <w:r w:rsidRPr="00FF386D">
              <w:rPr>
                <w:rFonts w:ascii="Calibri Light" w:hAnsi="Calibri Light"/>
                <w:sz w:val="20"/>
              </w:rPr>
              <w:t>02, и то</w:t>
            </w:r>
            <w:r w:rsidR="00854ADA" w:rsidRPr="000A2AFE">
              <w:rPr>
                <w:rFonts w:ascii="Calibri Light" w:eastAsia="Times New Roman" w:hAnsi="Calibri Light" w:cs="Calibri Light"/>
                <w:color w:val="000000"/>
                <w:sz w:val="20"/>
                <w:szCs w:val="20"/>
                <w:lang w:eastAsia="en-GB"/>
              </w:rPr>
              <w:t>:</w:t>
            </w:r>
          </w:p>
          <w:p w14:paraId="5B28D62F" w14:textId="1F083BEA" w:rsidR="00854ADA" w:rsidRPr="00FF386D" w:rsidRDefault="00854ADA" w:rsidP="00854ADA">
            <w:pPr>
              <w:numPr>
                <w:ilvl w:val="0"/>
                <w:numId w:val="165"/>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871DF7"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3</w:t>
            </w:r>
          </w:p>
        </w:tc>
      </w:tr>
      <w:tr w:rsidR="00854ADA" w:rsidRPr="00FF386D" w14:paraId="4BFDAC67" w14:textId="77777777" w:rsidTr="0057310C">
        <w:trPr>
          <w:trHeight w:val="315"/>
        </w:trPr>
        <w:tc>
          <w:tcPr>
            <w:tcW w:w="3243" w:type="dxa"/>
            <w:tcBorders>
              <w:top w:val="nil"/>
              <w:left w:val="single" w:sz="8" w:space="0" w:color="auto"/>
              <w:bottom w:val="single" w:sz="8" w:space="0" w:color="auto"/>
              <w:right w:val="single" w:sz="8" w:space="0" w:color="auto"/>
            </w:tcBorders>
            <w:shd w:val="clear" w:color="000000" w:fill="244062"/>
            <w:vAlign w:val="center"/>
            <w:hideMark/>
          </w:tcPr>
          <w:p w14:paraId="486F5B4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Квантификовани циљ: </w:t>
            </w:r>
          </w:p>
        </w:tc>
        <w:tc>
          <w:tcPr>
            <w:tcW w:w="6215" w:type="dxa"/>
            <w:gridSpan w:val="3"/>
            <w:tcBorders>
              <w:top w:val="single" w:sz="8" w:space="0" w:color="auto"/>
              <w:left w:val="nil"/>
              <w:bottom w:val="single" w:sz="8" w:space="0" w:color="auto"/>
              <w:right w:val="single" w:sz="8" w:space="0" w:color="000000"/>
            </w:tcBorders>
            <w:shd w:val="clear" w:color="auto" w:fill="auto"/>
            <w:vAlign w:val="center"/>
            <w:hideMark/>
          </w:tcPr>
          <w:p w14:paraId="730CC565"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Смањење губитака</w:t>
            </w:r>
          </w:p>
        </w:tc>
      </w:tr>
      <w:tr w:rsidR="00854ADA" w:rsidRPr="00FF386D" w14:paraId="116D7F09" w14:textId="77777777" w:rsidTr="0057310C">
        <w:trPr>
          <w:trHeight w:val="868"/>
        </w:trPr>
        <w:tc>
          <w:tcPr>
            <w:tcW w:w="3243" w:type="dxa"/>
            <w:tcBorders>
              <w:top w:val="nil"/>
              <w:left w:val="single" w:sz="8" w:space="0" w:color="auto"/>
              <w:bottom w:val="single" w:sz="8" w:space="0" w:color="auto"/>
              <w:right w:val="single" w:sz="8" w:space="0" w:color="auto"/>
            </w:tcBorders>
            <w:shd w:val="clear" w:color="000000" w:fill="244062"/>
            <w:vAlign w:val="center"/>
            <w:hideMark/>
          </w:tcPr>
          <w:p w14:paraId="5DCBB6D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15" w:type="dxa"/>
            <w:gridSpan w:val="3"/>
            <w:tcBorders>
              <w:top w:val="single" w:sz="8" w:space="0" w:color="auto"/>
              <w:left w:val="nil"/>
              <w:bottom w:val="single" w:sz="8" w:space="0" w:color="auto"/>
              <w:right w:val="single" w:sz="8" w:space="0" w:color="000000"/>
            </w:tcBorders>
            <w:shd w:val="clear" w:color="auto" w:fill="auto"/>
            <w:vAlign w:val="center"/>
            <w:hideMark/>
          </w:tcPr>
          <w:p w14:paraId="2CE2BCB0" w14:textId="7A2AA806" w:rsidR="00854ADA" w:rsidRPr="00FF386D" w:rsidRDefault="00854ADA" w:rsidP="000777F2">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МП_ЕЕ43 ће промовисати мере за повећање енергетске ефикасности гасне инфраструктуре, које ће спроводити оператори у оквиру својих развојних програма. Покренуће се циљане техничке мере за смањење губитака у транспортном и дистрибутивном систему, као и за побољшање управљања оптерећењем. Оператори гасне инфраструктуре биће у обавези да припремају </w:t>
            </w:r>
            <w:r w:rsidR="000777F2" w:rsidRPr="00FF386D">
              <w:rPr>
                <w:rFonts w:ascii="Calibri Light" w:hAnsi="Calibri Light"/>
                <w:sz w:val="20"/>
              </w:rPr>
              <w:t xml:space="preserve">годишње </w:t>
            </w:r>
            <w:r w:rsidRPr="00FF386D">
              <w:rPr>
                <w:rFonts w:ascii="Calibri Light" w:hAnsi="Calibri Light"/>
                <w:sz w:val="20"/>
              </w:rPr>
              <w:t xml:space="preserve">извештаје који ће обухватити детаљни опис спроведених активности, а биће одређене потребне мере и инвестиције за </w:t>
            </w:r>
            <w:r w:rsidR="000777F2" w:rsidRPr="00FF386D">
              <w:rPr>
                <w:rFonts w:ascii="Calibri Light" w:hAnsi="Calibri Light"/>
                <w:sz w:val="20"/>
              </w:rPr>
              <w:t>реализацију најекономичнијих</w:t>
            </w:r>
            <w:r w:rsidRPr="00FF386D">
              <w:rPr>
                <w:rFonts w:ascii="Calibri Light" w:hAnsi="Calibri Light"/>
                <w:sz w:val="20"/>
              </w:rPr>
              <w:t xml:space="preserve"> интервенција енергетске ефикасности у мрежној инфраструктури, укључујући и </w:t>
            </w:r>
            <w:r w:rsidR="000777F2" w:rsidRPr="00FF386D">
              <w:rPr>
                <w:rFonts w:ascii="Calibri Light" w:hAnsi="Calibri Light"/>
                <w:sz w:val="20"/>
              </w:rPr>
              <w:t xml:space="preserve">динамику њихове реализације. </w:t>
            </w:r>
            <w:r w:rsidRPr="00FF386D">
              <w:rPr>
                <w:rFonts w:ascii="Calibri Light" w:hAnsi="Calibri Light"/>
                <w:sz w:val="20"/>
              </w:rPr>
              <w:t xml:space="preserve">Поред тога, биће обезбеђени подстицаји за операторе преносних и дистрибутивних мрежа природног гаса </w:t>
            </w:r>
            <w:r w:rsidR="000777F2" w:rsidRPr="00FF386D">
              <w:rPr>
                <w:rFonts w:ascii="Calibri Light" w:hAnsi="Calibri Light"/>
                <w:sz w:val="20"/>
              </w:rPr>
              <w:t>за остваривање већег поврата на уложени капитал, уколико постигну одређене циљеве енергетске ефикасности</w:t>
            </w:r>
            <w:r w:rsidRPr="00FF386D">
              <w:rPr>
                <w:rFonts w:ascii="Calibri Light" w:hAnsi="Calibri Light"/>
                <w:sz w:val="20"/>
              </w:rPr>
              <w:t xml:space="preserve">. </w:t>
            </w:r>
            <w:r w:rsidR="000777F2" w:rsidRPr="00FF386D">
              <w:rPr>
                <w:rFonts w:ascii="Calibri Light" w:hAnsi="Calibri Light"/>
                <w:sz w:val="20"/>
              </w:rPr>
              <w:t>Наравно, у случају да циљеви енергетске ефикасности не буду остварени, мора се предвидети смањење поврата на уложени капитал</w:t>
            </w:r>
            <w:r w:rsidRPr="00FF386D">
              <w:rPr>
                <w:rFonts w:ascii="Calibri Light" w:hAnsi="Calibri Light"/>
                <w:sz w:val="20"/>
              </w:rPr>
              <w:t xml:space="preserve">. </w:t>
            </w:r>
            <w:r w:rsidR="00B210FA" w:rsidRPr="00FF386D">
              <w:rPr>
                <w:rFonts w:ascii="Calibri Light" w:hAnsi="Calibri Light"/>
                <w:sz w:val="20"/>
              </w:rPr>
              <w:t xml:space="preserve">Поред тога, принцип „Енергетска ефикасност пре свега” ће се примењивати приликом доношења најефикаснијих одлука у погледу пројектовања и рада мрежа за пренос и дистрибуцију енергије, и тако постићи значајан допринос остварењу утврђених циљева енергетске ефикасности. </w:t>
            </w:r>
            <w:r w:rsidR="002E00EE" w:rsidRPr="00FF386D">
              <w:rPr>
                <w:rFonts w:ascii="Calibri Light" w:hAnsi="Calibri Light"/>
                <w:sz w:val="20"/>
              </w:rPr>
              <w:t xml:space="preserve">На крају, све предложене мере ће </w:t>
            </w:r>
            <w:r w:rsidR="00B210FA" w:rsidRPr="00FF386D">
              <w:rPr>
                <w:rFonts w:ascii="Calibri Light" w:hAnsi="Calibri Light"/>
                <w:sz w:val="20"/>
              </w:rPr>
              <w:t xml:space="preserve">такође </w:t>
            </w:r>
            <w:r w:rsidR="002E00EE" w:rsidRPr="00FF386D">
              <w:rPr>
                <w:rFonts w:ascii="Calibri Light" w:hAnsi="Calibri Light"/>
                <w:sz w:val="20"/>
              </w:rPr>
              <w:t>омогућити смањење емисија са ефектом стаклене баште (метан), а биће промовисане и нове технологије за идентификацију емисија током спровођења ових мера.</w:t>
            </w:r>
          </w:p>
        </w:tc>
      </w:tr>
      <w:tr w:rsidR="00854ADA" w:rsidRPr="00FF386D" w14:paraId="2C051E3D" w14:textId="77777777" w:rsidTr="0057310C">
        <w:trPr>
          <w:trHeight w:val="315"/>
        </w:trPr>
        <w:tc>
          <w:tcPr>
            <w:tcW w:w="3243" w:type="dxa"/>
            <w:tcBorders>
              <w:top w:val="nil"/>
              <w:left w:val="single" w:sz="8" w:space="0" w:color="auto"/>
              <w:bottom w:val="single" w:sz="8" w:space="0" w:color="auto"/>
              <w:right w:val="single" w:sz="8" w:space="0" w:color="auto"/>
            </w:tcBorders>
            <w:shd w:val="clear" w:color="000000" w:fill="244062"/>
            <w:vAlign w:val="center"/>
            <w:hideMark/>
          </w:tcPr>
          <w:p w14:paraId="30AF409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15" w:type="dxa"/>
            <w:gridSpan w:val="3"/>
            <w:tcBorders>
              <w:top w:val="single" w:sz="8" w:space="0" w:color="auto"/>
              <w:left w:val="nil"/>
              <w:bottom w:val="single" w:sz="8" w:space="0" w:color="auto"/>
              <w:right w:val="single" w:sz="8" w:space="0" w:color="000000"/>
            </w:tcBorders>
            <w:shd w:val="clear" w:color="auto" w:fill="auto"/>
            <w:vAlign w:val="center"/>
            <w:hideMark/>
          </w:tcPr>
          <w:p w14:paraId="4E4E46F6" w14:textId="32E7C838"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2E00EE" w:rsidRPr="000A2AFE">
              <w:rPr>
                <w:rFonts w:ascii="Calibri Light" w:eastAsia="Times New Roman" w:hAnsi="Calibri Light" w:cs="Calibri Light"/>
                <w:color w:val="000000"/>
                <w:sz w:val="20"/>
                <w:szCs w:val="20"/>
                <w:lang w:eastAsia="en-GB"/>
              </w:rPr>
              <w:t>5</w:t>
            </w:r>
            <w:r w:rsidRPr="000A2AFE">
              <w:rPr>
                <w:rFonts w:ascii="Calibri Light" w:eastAsia="Times New Roman" w:hAnsi="Calibri Light" w:cs="Calibri Light"/>
                <w:color w:val="000000"/>
                <w:sz w:val="20"/>
                <w:szCs w:val="20"/>
                <w:lang w:eastAsia="en-GB"/>
              </w:rPr>
              <w:t>-2030.</w:t>
            </w:r>
          </w:p>
        </w:tc>
      </w:tr>
      <w:tr w:rsidR="00854ADA" w:rsidRPr="00FF386D" w14:paraId="2B4E3AC8" w14:textId="77777777" w:rsidTr="0057310C">
        <w:trPr>
          <w:trHeight w:val="315"/>
        </w:trPr>
        <w:tc>
          <w:tcPr>
            <w:tcW w:w="3243" w:type="dxa"/>
            <w:tcBorders>
              <w:top w:val="nil"/>
              <w:left w:val="single" w:sz="8" w:space="0" w:color="auto"/>
              <w:bottom w:val="single" w:sz="8" w:space="0" w:color="auto"/>
              <w:right w:val="single" w:sz="8" w:space="0" w:color="auto"/>
            </w:tcBorders>
            <w:shd w:val="clear" w:color="000000" w:fill="244062"/>
            <w:vAlign w:val="center"/>
            <w:hideMark/>
          </w:tcPr>
          <w:p w14:paraId="5B65DFF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15" w:type="dxa"/>
            <w:gridSpan w:val="3"/>
            <w:tcBorders>
              <w:top w:val="single" w:sz="8" w:space="0" w:color="auto"/>
              <w:left w:val="nil"/>
              <w:bottom w:val="single" w:sz="8" w:space="0" w:color="auto"/>
              <w:right w:val="single" w:sz="8" w:space="0" w:color="000000"/>
            </w:tcBorders>
            <w:shd w:val="clear" w:color="auto" w:fill="auto"/>
            <w:vAlign w:val="center"/>
            <w:hideMark/>
          </w:tcPr>
          <w:p w14:paraId="6E4D6CA7"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Реформа</w:t>
            </w:r>
          </w:p>
        </w:tc>
      </w:tr>
      <w:tr w:rsidR="00854ADA" w:rsidRPr="00FF386D" w14:paraId="6ED45618" w14:textId="77777777" w:rsidTr="0057310C">
        <w:trPr>
          <w:trHeight w:val="315"/>
        </w:trPr>
        <w:tc>
          <w:tcPr>
            <w:tcW w:w="3243" w:type="dxa"/>
            <w:tcBorders>
              <w:top w:val="nil"/>
              <w:left w:val="single" w:sz="8" w:space="0" w:color="auto"/>
              <w:bottom w:val="single" w:sz="8" w:space="0" w:color="auto"/>
              <w:right w:val="single" w:sz="8" w:space="0" w:color="auto"/>
            </w:tcBorders>
            <w:shd w:val="clear" w:color="000000" w:fill="244062"/>
            <w:vAlign w:val="center"/>
            <w:hideMark/>
          </w:tcPr>
          <w:p w14:paraId="7331C4B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15" w:type="dxa"/>
            <w:gridSpan w:val="3"/>
            <w:tcBorders>
              <w:top w:val="single" w:sz="8" w:space="0" w:color="auto"/>
              <w:left w:val="nil"/>
              <w:bottom w:val="single" w:sz="8" w:space="0" w:color="auto"/>
              <w:right w:val="single" w:sz="8" w:space="0" w:color="000000"/>
            </w:tcBorders>
            <w:shd w:val="clear" w:color="auto" w:fill="auto"/>
            <w:vAlign w:val="center"/>
            <w:hideMark/>
          </w:tcPr>
          <w:p w14:paraId="5754E4A4"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Сви сектори финалне потрошње</w:t>
            </w:r>
          </w:p>
        </w:tc>
      </w:tr>
      <w:tr w:rsidR="00854ADA" w:rsidRPr="00FF386D" w14:paraId="50EB5265" w14:textId="77777777" w:rsidTr="0057310C">
        <w:trPr>
          <w:trHeight w:val="315"/>
        </w:trPr>
        <w:tc>
          <w:tcPr>
            <w:tcW w:w="3243" w:type="dxa"/>
            <w:tcBorders>
              <w:top w:val="nil"/>
              <w:left w:val="single" w:sz="8" w:space="0" w:color="auto"/>
              <w:bottom w:val="single" w:sz="8" w:space="0" w:color="auto"/>
              <w:right w:val="single" w:sz="8" w:space="0" w:color="auto"/>
            </w:tcBorders>
            <w:shd w:val="clear" w:color="000000" w:fill="244062"/>
            <w:vAlign w:val="center"/>
            <w:hideMark/>
          </w:tcPr>
          <w:p w14:paraId="62F7D3D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15" w:type="dxa"/>
            <w:gridSpan w:val="3"/>
            <w:tcBorders>
              <w:top w:val="single" w:sz="8" w:space="0" w:color="auto"/>
              <w:left w:val="nil"/>
              <w:bottom w:val="single" w:sz="8" w:space="0" w:color="auto"/>
              <w:right w:val="single" w:sz="8" w:space="0" w:color="000000"/>
            </w:tcBorders>
            <w:shd w:val="clear" w:color="auto" w:fill="auto"/>
            <w:vAlign w:val="center"/>
            <w:hideMark/>
          </w:tcPr>
          <w:p w14:paraId="3C851109" w14:textId="77777777" w:rsidR="00854ADA" w:rsidRPr="00FF386D" w:rsidRDefault="002E00EE" w:rsidP="002E00EE">
            <w:pPr>
              <w:pStyle w:val="ListParagraph"/>
              <w:numPr>
                <w:ilvl w:val="0"/>
                <w:numId w:val="165"/>
              </w:num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рударства и енергетике</w:t>
            </w:r>
          </w:p>
          <w:p w14:paraId="588712DB" w14:textId="4AA1002A" w:rsidR="002E00EE" w:rsidRPr="00FF386D" w:rsidRDefault="002E00EE" w:rsidP="002E00EE">
            <w:pPr>
              <w:pStyle w:val="ListParagraph"/>
              <w:numPr>
                <w:ilvl w:val="0"/>
                <w:numId w:val="165"/>
              </w:num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Агенција за енергетику Републике Србије</w:t>
            </w:r>
          </w:p>
        </w:tc>
      </w:tr>
      <w:tr w:rsidR="00854ADA" w:rsidRPr="00FF386D" w14:paraId="73EC350F" w14:textId="77777777" w:rsidTr="0057310C">
        <w:trPr>
          <w:trHeight w:val="315"/>
        </w:trPr>
        <w:tc>
          <w:tcPr>
            <w:tcW w:w="3243" w:type="dxa"/>
            <w:tcBorders>
              <w:top w:val="nil"/>
              <w:left w:val="single" w:sz="8" w:space="0" w:color="auto"/>
              <w:bottom w:val="single" w:sz="8" w:space="0" w:color="auto"/>
              <w:right w:val="nil"/>
            </w:tcBorders>
            <w:shd w:val="clear" w:color="000000" w:fill="244062"/>
            <w:vAlign w:val="center"/>
            <w:hideMark/>
          </w:tcPr>
          <w:p w14:paraId="6EC4C9A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15" w:type="dxa"/>
            <w:gridSpan w:val="3"/>
            <w:tcBorders>
              <w:top w:val="single" w:sz="8" w:space="0" w:color="auto"/>
              <w:left w:val="nil"/>
              <w:bottom w:val="single" w:sz="8" w:space="0" w:color="auto"/>
              <w:right w:val="single" w:sz="8" w:space="0" w:color="000000"/>
            </w:tcBorders>
            <w:shd w:val="clear" w:color="auto" w:fill="auto"/>
            <w:vAlign w:val="center"/>
            <w:hideMark/>
          </w:tcPr>
          <w:p w14:paraId="0E79DBA6" w14:textId="0B4290F2" w:rsidR="00854ADA" w:rsidRPr="000A2AFE" w:rsidRDefault="00AA0CE3" w:rsidP="000A2AFE">
            <w:pPr>
              <w:pStyle w:val="ListParagraph"/>
              <w:numPr>
                <w:ilvl w:val="0"/>
                <w:numId w:val="373"/>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44905AB9" w14:textId="77777777" w:rsidTr="0057310C">
        <w:trPr>
          <w:trHeight w:val="315"/>
        </w:trPr>
        <w:tc>
          <w:tcPr>
            <w:tcW w:w="3243" w:type="dxa"/>
            <w:tcBorders>
              <w:top w:val="nil"/>
              <w:left w:val="single" w:sz="8" w:space="0" w:color="auto"/>
              <w:bottom w:val="single" w:sz="8" w:space="0" w:color="auto"/>
              <w:right w:val="nil"/>
            </w:tcBorders>
            <w:shd w:val="clear" w:color="000000" w:fill="244062"/>
            <w:vAlign w:val="center"/>
            <w:hideMark/>
          </w:tcPr>
          <w:p w14:paraId="47BC84C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15" w:type="dxa"/>
            <w:gridSpan w:val="3"/>
            <w:tcBorders>
              <w:top w:val="single" w:sz="8" w:space="0" w:color="auto"/>
              <w:left w:val="nil"/>
              <w:bottom w:val="single" w:sz="8" w:space="0" w:color="auto"/>
              <w:right w:val="single" w:sz="8" w:space="0" w:color="000000"/>
            </w:tcBorders>
            <w:shd w:val="clear" w:color="auto" w:fill="auto"/>
            <w:vAlign w:val="center"/>
            <w:hideMark/>
          </w:tcPr>
          <w:p w14:paraId="263E7161" w14:textId="77777777" w:rsidR="00854ADA" w:rsidRPr="000A2AFE" w:rsidRDefault="00854ADA" w:rsidP="000A2AFE">
            <w:pPr>
              <w:pStyle w:val="ListParagraph"/>
              <w:numPr>
                <w:ilvl w:val="0"/>
                <w:numId w:val="372"/>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Модернизација система природног гаса</w:t>
            </w:r>
          </w:p>
        </w:tc>
      </w:tr>
      <w:tr w:rsidR="00854ADA" w:rsidRPr="00FF386D" w14:paraId="2915C234" w14:textId="77777777" w:rsidTr="0057310C">
        <w:trPr>
          <w:trHeight w:val="273"/>
        </w:trPr>
        <w:tc>
          <w:tcPr>
            <w:tcW w:w="3243" w:type="dxa"/>
            <w:tcBorders>
              <w:top w:val="nil"/>
              <w:left w:val="single" w:sz="8" w:space="0" w:color="auto"/>
              <w:bottom w:val="single" w:sz="8" w:space="0" w:color="auto"/>
              <w:right w:val="single" w:sz="8" w:space="0" w:color="auto"/>
            </w:tcBorders>
            <w:shd w:val="clear" w:color="000000" w:fill="244062"/>
            <w:vAlign w:val="center"/>
            <w:hideMark/>
          </w:tcPr>
          <w:p w14:paraId="70F545C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15" w:type="dxa"/>
            <w:gridSpan w:val="3"/>
            <w:tcBorders>
              <w:top w:val="single" w:sz="8" w:space="0" w:color="auto"/>
              <w:left w:val="nil"/>
              <w:bottom w:val="single" w:sz="8" w:space="0" w:color="auto"/>
              <w:right w:val="single" w:sz="8" w:space="0" w:color="000000"/>
            </w:tcBorders>
            <w:shd w:val="clear" w:color="auto" w:fill="auto"/>
            <w:vAlign w:val="center"/>
            <w:hideMark/>
          </w:tcPr>
          <w:p w14:paraId="540731A3" w14:textId="75ABCCB9" w:rsidR="00CC6D2A" w:rsidRPr="00CC6D2A" w:rsidRDefault="00CC6D2A" w:rsidP="00CC6D2A">
            <w:pPr>
              <w:numPr>
                <w:ilvl w:val="0"/>
                <w:numId w:val="165"/>
              </w:numPr>
              <w:spacing w:after="0" w:line="240" w:lineRule="auto"/>
              <w:contextualSpacing/>
              <w:rPr>
                <w:rFonts w:ascii="Calibri Light" w:eastAsia="Times New Roman" w:hAnsi="Calibri Light" w:cs="Calibri Light"/>
                <w:color w:val="000000"/>
                <w:sz w:val="20"/>
                <w:szCs w:val="20"/>
                <w:lang w:eastAsia="en-GB"/>
              </w:rPr>
            </w:pPr>
            <w:r w:rsidRPr="00CC6D2A">
              <w:rPr>
                <w:rFonts w:ascii="Calibri Light" w:eastAsia="Times New Roman" w:hAnsi="Calibri Light" w:cs="Calibri Light"/>
                <w:color w:val="000000"/>
                <w:sz w:val="20"/>
                <w:szCs w:val="20"/>
                <w:lang w:eastAsia="en-GB"/>
              </w:rPr>
              <w:t>Декарбонизација (постигнутом уштедом енергије смањиће се потрошња фосилних горива што ће довести до смањења емисија GHG)</w:t>
            </w:r>
          </w:p>
          <w:p w14:paraId="0C836DBE" w14:textId="517CE4CA" w:rsidR="00854ADA" w:rsidRPr="00576383" w:rsidRDefault="00CC6D2A" w:rsidP="00565B02">
            <w:pPr>
              <w:numPr>
                <w:ilvl w:val="0"/>
                <w:numId w:val="165"/>
              </w:numPr>
              <w:spacing w:after="0" w:line="240" w:lineRule="auto"/>
              <w:contextualSpacing/>
              <w:rPr>
                <w:rFonts w:ascii="Calibri Light" w:eastAsia="Times New Roman" w:hAnsi="Calibri Light" w:cs="Calibri Light"/>
                <w:color w:val="000000"/>
                <w:sz w:val="20"/>
                <w:szCs w:val="20"/>
                <w:lang w:eastAsia="en-GB"/>
              </w:rPr>
            </w:pPr>
            <w:r w:rsidRPr="00CC6D2A">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854ADA" w:rsidRPr="00FF386D" w14:paraId="39EC07F6" w14:textId="77777777" w:rsidTr="0057310C">
        <w:trPr>
          <w:trHeight w:val="450"/>
        </w:trPr>
        <w:tc>
          <w:tcPr>
            <w:tcW w:w="3243"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42C816DD" w14:textId="378EA69D"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15"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1121EB30" w14:textId="6BF5CE7B" w:rsidR="00854ADA" w:rsidRPr="000A2AFE" w:rsidRDefault="00854ADA" w:rsidP="002E00EE">
            <w:pPr>
              <w:pStyle w:val="ListParagraph"/>
              <w:numPr>
                <w:ilvl w:val="0"/>
                <w:numId w:val="165"/>
              </w:num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2E00EE"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2012/27</w:t>
            </w:r>
          </w:p>
          <w:p w14:paraId="5D484E2D" w14:textId="44FA7208" w:rsidR="00854ADA" w:rsidRPr="00FF386D" w:rsidRDefault="00854ADA" w:rsidP="00854ADA">
            <w:pPr>
              <w:numPr>
                <w:ilvl w:val="0"/>
                <w:numId w:val="16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2E00EE" w:rsidRPr="00FF386D">
              <w:rPr>
                <w:rFonts w:ascii="Calibri Light" w:hAnsi="Calibri Light"/>
                <w:color w:val="000000"/>
                <w:sz w:val="20"/>
              </w:rPr>
              <w:t xml:space="preserve"> (ЕУ) </w:t>
            </w:r>
            <w:r w:rsidRPr="000A2AFE">
              <w:rPr>
                <w:rFonts w:ascii="Calibri Light" w:eastAsia="Times New Roman" w:hAnsi="Calibri Light" w:cs="Calibri Light"/>
                <w:color w:val="000000"/>
                <w:sz w:val="20"/>
                <w:szCs w:val="20"/>
                <w:lang w:eastAsia="en-GB"/>
              </w:rPr>
              <w:t>2018/2002</w:t>
            </w:r>
          </w:p>
        </w:tc>
      </w:tr>
      <w:tr w:rsidR="00854ADA" w:rsidRPr="00FF386D" w14:paraId="49FA284A" w14:textId="77777777" w:rsidTr="0057310C">
        <w:trPr>
          <w:trHeight w:val="450"/>
        </w:trPr>
        <w:tc>
          <w:tcPr>
            <w:tcW w:w="3243" w:type="dxa"/>
            <w:vMerge/>
            <w:tcBorders>
              <w:top w:val="nil"/>
              <w:left w:val="single" w:sz="8" w:space="0" w:color="auto"/>
              <w:bottom w:val="single" w:sz="8" w:space="0" w:color="000000"/>
              <w:right w:val="single" w:sz="8" w:space="0" w:color="auto"/>
            </w:tcBorders>
            <w:vAlign w:val="center"/>
            <w:hideMark/>
          </w:tcPr>
          <w:p w14:paraId="2EFA4C9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215" w:type="dxa"/>
            <w:gridSpan w:val="3"/>
            <w:vMerge/>
            <w:tcBorders>
              <w:top w:val="single" w:sz="8" w:space="0" w:color="auto"/>
              <w:left w:val="single" w:sz="8" w:space="0" w:color="auto"/>
              <w:bottom w:val="single" w:sz="8" w:space="0" w:color="000000"/>
              <w:right w:val="single" w:sz="8" w:space="0" w:color="000000"/>
            </w:tcBorders>
            <w:vAlign w:val="center"/>
            <w:hideMark/>
          </w:tcPr>
          <w:p w14:paraId="535A4AF3" w14:textId="77777777" w:rsidR="00854ADA" w:rsidRPr="00FF386D" w:rsidRDefault="00854ADA" w:rsidP="00854ADA">
            <w:pPr>
              <w:numPr>
                <w:ilvl w:val="0"/>
                <w:numId w:val="165"/>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68368010" w14:textId="77777777" w:rsidTr="0057310C">
        <w:trPr>
          <w:trHeight w:val="450"/>
        </w:trPr>
        <w:tc>
          <w:tcPr>
            <w:tcW w:w="3243" w:type="dxa"/>
            <w:vMerge/>
            <w:tcBorders>
              <w:top w:val="nil"/>
              <w:left w:val="single" w:sz="8" w:space="0" w:color="auto"/>
              <w:bottom w:val="single" w:sz="8" w:space="0" w:color="000000"/>
              <w:right w:val="single" w:sz="8" w:space="0" w:color="auto"/>
            </w:tcBorders>
            <w:vAlign w:val="center"/>
            <w:hideMark/>
          </w:tcPr>
          <w:p w14:paraId="1CE87AD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215" w:type="dxa"/>
            <w:gridSpan w:val="3"/>
            <w:vMerge/>
            <w:tcBorders>
              <w:top w:val="single" w:sz="8" w:space="0" w:color="auto"/>
              <w:left w:val="single" w:sz="8" w:space="0" w:color="auto"/>
              <w:bottom w:val="single" w:sz="8" w:space="0" w:color="000000"/>
              <w:right w:val="single" w:sz="8" w:space="0" w:color="000000"/>
            </w:tcBorders>
            <w:vAlign w:val="center"/>
            <w:hideMark/>
          </w:tcPr>
          <w:p w14:paraId="1DBC9F43" w14:textId="77777777" w:rsidR="00854ADA" w:rsidRPr="00FF386D" w:rsidRDefault="00854ADA" w:rsidP="00854ADA">
            <w:pPr>
              <w:numPr>
                <w:ilvl w:val="0"/>
                <w:numId w:val="165"/>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7AFF26A2" w14:textId="77777777" w:rsidTr="0057310C">
        <w:trPr>
          <w:trHeight w:val="780"/>
        </w:trPr>
        <w:tc>
          <w:tcPr>
            <w:tcW w:w="3243" w:type="dxa"/>
            <w:tcBorders>
              <w:top w:val="nil"/>
              <w:left w:val="single" w:sz="8" w:space="0" w:color="auto"/>
              <w:bottom w:val="single" w:sz="8" w:space="0" w:color="auto"/>
              <w:right w:val="single" w:sz="8" w:space="0" w:color="auto"/>
            </w:tcBorders>
            <w:shd w:val="clear" w:color="000000" w:fill="244062"/>
            <w:vAlign w:val="center"/>
            <w:hideMark/>
          </w:tcPr>
          <w:p w14:paraId="0DDBE4E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15" w:type="dxa"/>
            <w:gridSpan w:val="3"/>
            <w:tcBorders>
              <w:top w:val="single" w:sz="8" w:space="0" w:color="auto"/>
              <w:left w:val="nil"/>
              <w:bottom w:val="single" w:sz="8" w:space="0" w:color="auto"/>
              <w:right w:val="single" w:sz="8" w:space="0" w:color="000000"/>
            </w:tcBorders>
            <w:shd w:val="clear" w:color="auto" w:fill="auto"/>
            <w:vAlign w:val="center"/>
            <w:hideMark/>
          </w:tcPr>
          <w:p w14:paraId="470E90E2" w14:textId="450FC836" w:rsidR="001C1CD1" w:rsidRPr="000A2AFE" w:rsidRDefault="001C1CD1" w:rsidP="000A2AFE">
            <w:pPr>
              <w:pStyle w:val="ListParagraph"/>
              <w:numPr>
                <w:ilvl w:val="0"/>
                <w:numId w:val="165"/>
              </w:numPr>
              <w:spacing w:after="0"/>
              <w:ind w:left="714" w:hanging="357"/>
              <w:rPr>
                <w:rFonts w:ascii="Calibri Light" w:eastAsia="Times New Roman" w:hAnsi="Calibri Light" w:cs="Calibri Light"/>
                <w:color w:val="000000"/>
                <w:sz w:val="20"/>
                <w:szCs w:val="20"/>
                <w:lang w:eastAsia="en-GB"/>
              </w:rPr>
            </w:pPr>
            <w:r w:rsidRPr="001C1CD1">
              <w:rPr>
                <w:rFonts w:ascii="Calibri Light" w:eastAsia="Times New Roman" w:hAnsi="Calibri Light" w:cs="Calibri Light"/>
                <w:color w:val="000000"/>
                <w:sz w:val="20"/>
                <w:szCs w:val="20"/>
                <w:lang w:eastAsia="en-GB"/>
              </w:rPr>
              <w:t>4. НАПЕЕ</w:t>
            </w:r>
          </w:p>
          <w:p w14:paraId="47E8DB11" w14:textId="01BCE7A0" w:rsidR="00854ADA" w:rsidRPr="00FF386D" w:rsidRDefault="00854ADA" w:rsidP="00854ADA">
            <w:pPr>
              <w:numPr>
                <w:ilvl w:val="0"/>
                <w:numId w:val="16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енергетско</w:t>
            </w:r>
            <w:r w:rsidR="002E00EE" w:rsidRPr="00FF386D">
              <w:rPr>
                <w:rFonts w:ascii="Calibri Light" w:eastAsia="Times New Roman" w:hAnsi="Calibri Light" w:cs="Calibri Light"/>
                <w:color w:val="000000"/>
                <w:sz w:val="20"/>
                <w:szCs w:val="20"/>
                <w:lang w:eastAsia="en-GB"/>
              </w:rPr>
              <w:t xml:space="preserve">ј </w:t>
            </w:r>
            <w:r w:rsidRPr="00FF386D">
              <w:rPr>
                <w:rFonts w:ascii="Calibri Light" w:eastAsia="Times New Roman" w:hAnsi="Calibri Light" w:cs="Calibri Light"/>
                <w:color w:val="000000"/>
                <w:sz w:val="20"/>
                <w:szCs w:val="20"/>
                <w:lang w:eastAsia="en-GB"/>
              </w:rPr>
              <w:t>ефикасности и рационалној употреби енергије</w:t>
            </w:r>
          </w:p>
          <w:p w14:paraId="4B28E5A7" w14:textId="6F9B28F5" w:rsidR="00854ADA" w:rsidRPr="00FF386D" w:rsidRDefault="00854ADA" w:rsidP="00854ADA">
            <w:pPr>
              <w:numPr>
                <w:ilvl w:val="0"/>
                <w:numId w:val="16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Стратегија одрживог урбаног развоја </w:t>
            </w:r>
            <w:r w:rsidR="001C1CD1" w:rsidRPr="001C1CD1">
              <w:rPr>
                <w:rFonts w:ascii="Calibri Light" w:eastAsia="Times New Roman" w:hAnsi="Calibri Light" w:cs="Calibri Light"/>
                <w:color w:val="000000"/>
                <w:sz w:val="20"/>
                <w:szCs w:val="20"/>
                <w:lang w:eastAsia="en-GB"/>
              </w:rPr>
              <w:t>у Републици Србији д</w:t>
            </w:r>
            <w:r w:rsidR="001C1CD1">
              <w:rPr>
                <w:rFonts w:ascii="Calibri Light" w:eastAsia="Times New Roman" w:hAnsi="Calibri Light" w:cs="Calibri Light"/>
                <w:color w:val="000000"/>
                <w:sz w:val="20"/>
                <w:szCs w:val="20"/>
                <w:lang w:eastAsia="en-GB"/>
              </w:rPr>
              <w:t>о</w:t>
            </w:r>
            <w:r w:rsidRPr="00FF386D">
              <w:rPr>
                <w:rFonts w:ascii="Calibri Light" w:eastAsia="Times New Roman" w:hAnsi="Calibri Light" w:cs="Calibri Light"/>
                <w:color w:val="000000"/>
                <w:sz w:val="20"/>
                <w:szCs w:val="20"/>
                <w:lang w:eastAsia="en-GB"/>
              </w:rPr>
              <w:t xml:space="preserve"> 2030. годин</w:t>
            </w:r>
            <w:r w:rsidR="001C1CD1">
              <w:rPr>
                <w:rFonts w:ascii="Calibri Light" w:eastAsia="Times New Roman" w:hAnsi="Calibri Light" w:cs="Calibri Light"/>
                <w:color w:val="000000"/>
                <w:sz w:val="20"/>
                <w:szCs w:val="20"/>
                <w:lang w:eastAsia="en-GB"/>
              </w:rPr>
              <w:t>е</w:t>
            </w:r>
          </w:p>
        </w:tc>
      </w:tr>
      <w:tr w:rsidR="00854ADA" w:rsidRPr="00FF386D" w14:paraId="2B0C7C52" w14:textId="77777777" w:rsidTr="0057310C">
        <w:trPr>
          <w:trHeight w:val="315"/>
        </w:trPr>
        <w:tc>
          <w:tcPr>
            <w:tcW w:w="3243" w:type="dxa"/>
            <w:tcBorders>
              <w:top w:val="nil"/>
              <w:left w:val="single" w:sz="8" w:space="0" w:color="auto"/>
              <w:bottom w:val="single" w:sz="8" w:space="0" w:color="auto"/>
              <w:right w:val="single" w:sz="8" w:space="0" w:color="auto"/>
            </w:tcBorders>
            <w:shd w:val="clear" w:color="000000" w:fill="244062"/>
            <w:vAlign w:val="center"/>
            <w:hideMark/>
          </w:tcPr>
          <w:p w14:paraId="297A156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15" w:type="dxa"/>
            <w:gridSpan w:val="3"/>
            <w:tcBorders>
              <w:top w:val="single" w:sz="8" w:space="0" w:color="auto"/>
              <w:left w:val="nil"/>
              <w:bottom w:val="single" w:sz="8" w:space="0" w:color="auto"/>
              <w:right w:val="single" w:sz="8" w:space="0" w:color="000000"/>
            </w:tcBorders>
            <w:shd w:val="clear" w:color="auto" w:fill="auto"/>
            <w:vAlign w:val="center"/>
            <w:hideMark/>
          </w:tcPr>
          <w:p w14:paraId="4B94EB1C" w14:textId="2C65603E" w:rsidR="00854ADA" w:rsidRPr="00FF386D" w:rsidRDefault="00B210F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У разматрању</w:t>
            </w:r>
          </w:p>
        </w:tc>
      </w:tr>
      <w:tr w:rsidR="00854ADA" w:rsidRPr="00FF386D" w14:paraId="325B0980" w14:textId="77777777" w:rsidTr="0057310C">
        <w:trPr>
          <w:trHeight w:val="315"/>
        </w:trPr>
        <w:tc>
          <w:tcPr>
            <w:tcW w:w="3243" w:type="dxa"/>
            <w:tcBorders>
              <w:top w:val="nil"/>
              <w:left w:val="single" w:sz="8" w:space="0" w:color="auto"/>
              <w:bottom w:val="single" w:sz="8" w:space="0" w:color="auto"/>
              <w:right w:val="single" w:sz="8" w:space="0" w:color="auto"/>
            </w:tcBorders>
            <w:shd w:val="clear" w:color="000000" w:fill="244062"/>
            <w:vAlign w:val="center"/>
            <w:hideMark/>
          </w:tcPr>
          <w:p w14:paraId="190A25E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15" w:type="dxa"/>
            <w:gridSpan w:val="3"/>
            <w:tcBorders>
              <w:top w:val="single" w:sz="8" w:space="0" w:color="auto"/>
              <w:left w:val="nil"/>
              <w:bottom w:val="single" w:sz="8" w:space="0" w:color="auto"/>
              <w:right w:val="single" w:sz="8" w:space="0" w:color="000000"/>
            </w:tcBorders>
            <w:shd w:val="clear" w:color="auto" w:fill="auto"/>
            <w:vAlign w:val="center"/>
            <w:hideMark/>
          </w:tcPr>
          <w:p w14:paraId="355C55F9" w14:textId="5CFA575A" w:rsidR="00854ADA" w:rsidRPr="00FF386D" w:rsidRDefault="00B210F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У разматрању</w:t>
            </w:r>
          </w:p>
        </w:tc>
      </w:tr>
    </w:tbl>
    <w:p w14:paraId="69883762"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310"/>
        <w:gridCol w:w="1007"/>
        <w:gridCol w:w="943"/>
        <w:gridCol w:w="4198"/>
      </w:tblGrid>
      <w:tr w:rsidR="00854ADA" w:rsidRPr="00FF386D" w14:paraId="746EF609" w14:textId="77777777" w:rsidTr="0057310C">
        <w:trPr>
          <w:trHeight w:val="780"/>
        </w:trPr>
        <w:tc>
          <w:tcPr>
            <w:tcW w:w="3310"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29C19A2C"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Шифра мере политике: </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03444F39"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МП_ЕЕ44</w:t>
            </w:r>
          </w:p>
        </w:tc>
        <w:tc>
          <w:tcPr>
            <w:tcW w:w="943" w:type="dxa"/>
            <w:tcBorders>
              <w:top w:val="single" w:sz="8" w:space="0" w:color="auto"/>
              <w:left w:val="nil"/>
              <w:bottom w:val="single" w:sz="8" w:space="0" w:color="auto"/>
              <w:right w:val="single" w:sz="8" w:space="0" w:color="auto"/>
            </w:tcBorders>
            <w:shd w:val="clear" w:color="000000" w:fill="244062"/>
            <w:vAlign w:val="center"/>
            <w:hideMark/>
          </w:tcPr>
          <w:p w14:paraId="6E9FEAE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98" w:type="dxa"/>
            <w:tcBorders>
              <w:top w:val="single" w:sz="8" w:space="0" w:color="auto"/>
              <w:left w:val="nil"/>
              <w:bottom w:val="single" w:sz="8" w:space="0" w:color="auto"/>
              <w:right w:val="single" w:sz="8" w:space="0" w:color="auto"/>
            </w:tcBorders>
            <w:shd w:val="clear" w:color="auto" w:fill="E7E6E6" w:themeFill="background2"/>
            <w:vAlign w:val="center"/>
            <w:hideMark/>
          </w:tcPr>
          <w:p w14:paraId="0802F49E" w14:textId="23871DC2"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Промовисање одзива пот</w:t>
            </w:r>
            <w:r w:rsidR="00B210FA" w:rsidRPr="00FF386D">
              <w:rPr>
                <w:rFonts w:ascii="Calibri Light" w:hAnsi="Calibri Light"/>
                <w:b/>
                <w:sz w:val="20"/>
              </w:rPr>
              <w:t>ражње</w:t>
            </w:r>
            <w:r w:rsidRPr="00FF386D">
              <w:rPr>
                <w:rFonts w:ascii="Calibri Light" w:hAnsi="Calibri Light"/>
                <w:b/>
                <w:sz w:val="20"/>
              </w:rPr>
              <w:t xml:space="preserve"> и динамичко</w:t>
            </w:r>
            <w:r w:rsidR="002E00EE" w:rsidRPr="00FF386D">
              <w:rPr>
                <w:rFonts w:ascii="Calibri Light" w:hAnsi="Calibri Light"/>
                <w:b/>
                <w:sz w:val="20"/>
              </w:rPr>
              <w:t>г</w:t>
            </w:r>
            <w:r w:rsidRPr="00FF386D">
              <w:rPr>
                <w:rFonts w:ascii="Calibri Light" w:hAnsi="Calibri Light"/>
                <w:b/>
                <w:sz w:val="20"/>
              </w:rPr>
              <w:t xml:space="preserve"> одређивањ</w:t>
            </w:r>
            <w:r w:rsidR="002E00EE" w:rsidRPr="00FF386D">
              <w:rPr>
                <w:rFonts w:ascii="Calibri Light" w:hAnsi="Calibri Light"/>
                <w:b/>
                <w:sz w:val="20"/>
              </w:rPr>
              <w:t>а</w:t>
            </w:r>
            <w:r w:rsidRPr="00FF386D">
              <w:rPr>
                <w:rFonts w:ascii="Calibri Light" w:hAnsi="Calibri Light"/>
                <w:b/>
                <w:sz w:val="20"/>
              </w:rPr>
              <w:t xml:space="preserve"> цена и тарифа</w:t>
            </w:r>
          </w:p>
        </w:tc>
      </w:tr>
      <w:tr w:rsidR="00854ADA" w:rsidRPr="00FF386D" w14:paraId="4586D6A9" w14:textId="77777777" w:rsidTr="0057310C">
        <w:trPr>
          <w:trHeight w:val="355"/>
        </w:trPr>
        <w:tc>
          <w:tcPr>
            <w:tcW w:w="3310" w:type="dxa"/>
            <w:tcBorders>
              <w:top w:val="nil"/>
              <w:left w:val="single" w:sz="8" w:space="0" w:color="auto"/>
              <w:bottom w:val="single" w:sz="8" w:space="0" w:color="auto"/>
              <w:right w:val="nil"/>
            </w:tcBorders>
            <w:shd w:val="clear" w:color="000000" w:fill="244062"/>
            <w:vAlign w:val="center"/>
            <w:hideMark/>
          </w:tcPr>
          <w:p w14:paraId="5FE1B0A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7042DA65" w14:textId="2ED5FFB0" w:rsidR="00854ADA" w:rsidRPr="000A2AFE" w:rsidRDefault="002E00EE"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Примена</w:t>
            </w:r>
            <w:r w:rsidR="00854ADA" w:rsidRPr="00FF386D">
              <w:rPr>
                <w:rFonts w:ascii="Calibri Light" w:hAnsi="Calibri Light"/>
                <w:sz w:val="20"/>
              </w:rPr>
              <w:t xml:space="preserve"> Директиве </w:t>
            </w:r>
            <w:r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2018/20228/ЕУ</w:t>
            </w:r>
            <w:r w:rsidRPr="00FF386D">
              <w:rPr>
                <w:rFonts w:ascii="Calibri Light" w:hAnsi="Calibri Light"/>
                <w:sz w:val="20"/>
              </w:rPr>
              <w:t>, и то</w:t>
            </w:r>
            <w:r w:rsidR="00854ADA" w:rsidRPr="000A2AFE">
              <w:rPr>
                <w:rFonts w:ascii="Calibri Light" w:eastAsia="Times New Roman" w:hAnsi="Calibri Light" w:cs="Calibri Light"/>
                <w:color w:val="000000"/>
                <w:sz w:val="20"/>
                <w:szCs w:val="20"/>
                <w:lang w:eastAsia="en-GB"/>
              </w:rPr>
              <w:t>:</w:t>
            </w:r>
          </w:p>
          <w:p w14:paraId="4FC14BD4" w14:textId="0DF1C0F5" w:rsidR="00854ADA" w:rsidRPr="00FF386D" w:rsidRDefault="00854ADA" w:rsidP="00854ADA">
            <w:pPr>
              <w:numPr>
                <w:ilvl w:val="0"/>
                <w:numId w:val="166"/>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B210FA"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3</w:t>
            </w:r>
          </w:p>
        </w:tc>
      </w:tr>
      <w:tr w:rsidR="00854ADA" w:rsidRPr="00FF386D" w14:paraId="72059569"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60E5F8A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Квантификовани циљ: </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7180B751" w14:textId="2E7F3D09"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 xml:space="preserve">Допринос </w:t>
            </w:r>
            <w:r w:rsidR="001C1CD1" w:rsidRPr="001C1CD1">
              <w:rPr>
                <w:rFonts w:asciiTheme="majorHAnsi" w:eastAsia="Times New Roman" w:hAnsiTheme="majorHAnsi" w:cstheme="majorHAnsi"/>
                <w:color w:val="000000"/>
                <w:sz w:val="20"/>
                <w:szCs w:val="20"/>
                <w:lang w:eastAsia="en-GB"/>
              </w:rPr>
              <w:t>постизању очекиваних нивоa финалне потрошње енергије</w:t>
            </w:r>
          </w:p>
        </w:tc>
      </w:tr>
      <w:tr w:rsidR="00854ADA" w:rsidRPr="00FF386D" w14:paraId="294273AD" w14:textId="77777777" w:rsidTr="0057310C">
        <w:trPr>
          <w:trHeight w:val="129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5B41C81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05A515D0" w14:textId="408BC1B5"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МП_ЕЕ44 ће усвојити законодавни оквир за пружање услуга као одзива пот</w:t>
            </w:r>
            <w:r w:rsidR="00B210FA" w:rsidRPr="00FF386D">
              <w:rPr>
                <w:rFonts w:ascii="Calibri Light" w:hAnsi="Calibri Light"/>
                <w:sz w:val="20"/>
              </w:rPr>
              <w:t>ражње</w:t>
            </w:r>
            <w:r w:rsidRPr="00FF386D">
              <w:rPr>
                <w:rFonts w:ascii="Calibri Light" w:hAnsi="Calibri Light"/>
                <w:sz w:val="20"/>
              </w:rPr>
              <w:t xml:space="preserve"> и динамичко одређивање цена и тарифа у складу са одредбама ДЕЕ, што ће довести до ефикасног балансирања електричне енергије и управљања вршним оптерећењем, поред остварења уштеда финалне енергије</w:t>
            </w:r>
            <w:r w:rsidRPr="000A2AFE">
              <w:rPr>
                <w:rFonts w:ascii="Calibri Light" w:eastAsia="Times New Roman" w:hAnsi="Calibri Light" w:cs="Calibri Light"/>
                <w:color w:val="000000"/>
                <w:sz w:val="20"/>
                <w:szCs w:val="20"/>
                <w:lang w:eastAsia="en-GB"/>
              </w:rPr>
              <w:t>.</w:t>
            </w:r>
          </w:p>
        </w:tc>
      </w:tr>
      <w:tr w:rsidR="00854ADA" w:rsidRPr="00FF386D" w14:paraId="788FDA56"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755C86A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79A636C3" w14:textId="02860F53"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w:t>
            </w:r>
            <w:r w:rsidR="002E00EE" w:rsidRPr="00FF386D">
              <w:rPr>
                <w:rFonts w:ascii="Calibri Light" w:hAnsi="Calibri Light"/>
                <w:sz w:val="20"/>
              </w:rPr>
              <w:t>5</w:t>
            </w:r>
            <w:r w:rsidRPr="00FF386D">
              <w:rPr>
                <w:rFonts w:ascii="Calibri Light" w:hAnsi="Calibri Light"/>
                <w:sz w:val="20"/>
              </w:rPr>
              <w:t>-2030.</w:t>
            </w:r>
          </w:p>
        </w:tc>
      </w:tr>
      <w:tr w:rsidR="00854ADA" w:rsidRPr="00FF386D" w14:paraId="5275197F"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41B80D0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4CD996A5"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Реформа</w:t>
            </w:r>
          </w:p>
        </w:tc>
      </w:tr>
      <w:tr w:rsidR="00854ADA" w:rsidRPr="00FF386D" w14:paraId="43E71964"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71600A0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0C6CC5A6"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Сви сектори финалне потрошње енергије</w:t>
            </w:r>
          </w:p>
        </w:tc>
      </w:tr>
      <w:tr w:rsidR="00854ADA" w:rsidRPr="00FF386D" w14:paraId="79F594AF"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13C5F1F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3D47B9B4" w14:textId="77777777" w:rsidR="00D17B65" w:rsidRPr="00FF386D" w:rsidRDefault="00D17B65" w:rsidP="00D17B65">
            <w:pPr>
              <w:pStyle w:val="ListParagraph"/>
              <w:numPr>
                <w:ilvl w:val="0"/>
                <w:numId w:val="166"/>
              </w:numPr>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рударства и енергетике</w:t>
            </w:r>
          </w:p>
          <w:p w14:paraId="2BE13687" w14:textId="03AC0456" w:rsidR="00854ADA" w:rsidRPr="00FF386D" w:rsidRDefault="00D17B65" w:rsidP="00D17B65">
            <w:pPr>
              <w:pStyle w:val="ListParagraph"/>
              <w:numPr>
                <w:ilvl w:val="0"/>
                <w:numId w:val="166"/>
              </w:num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Агенција за енергетику Републике Србије</w:t>
            </w:r>
          </w:p>
        </w:tc>
      </w:tr>
      <w:tr w:rsidR="00854ADA" w:rsidRPr="00FF386D" w14:paraId="02E0E82D" w14:textId="77777777" w:rsidTr="0057310C">
        <w:trPr>
          <w:trHeight w:val="315"/>
        </w:trPr>
        <w:tc>
          <w:tcPr>
            <w:tcW w:w="3310" w:type="dxa"/>
            <w:tcBorders>
              <w:top w:val="nil"/>
              <w:left w:val="single" w:sz="8" w:space="0" w:color="auto"/>
              <w:bottom w:val="single" w:sz="8" w:space="0" w:color="auto"/>
              <w:right w:val="nil"/>
            </w:tcBorders>
            <w:shd w:val="clear" w:color="000000" w:fill="244062"/>
            <w:vAlign w:val="center"/>
            <w:hideMark/>
          </w:tcPr>
          <w:p w14:paraId="5D55EDE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44942875" w14:textId="50D93100" w:rsidR="00854ADA" w:rsidRPr="000A2AFE" w:rsidRDefault="00CC6D2A" w:rsidP="000A2AFE">
            <w:pPr>
              <w:pStyle w:val="ListParagraph"/>
              <w:numPr>
                <w:ilvl w:val="0"/>
                <w:numId w:val="374"/>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02899070" w14:textId="77777777" w:rsidTr="0057310C">
        <w:trPr>
          <w:trHeight w:val="315"/>
        </w:trPr>
        <w:tc>
          <w:tcPr>
            <w:tcW w:w="3310" w:type="dxa"/>
            <w:tcBorders>
              <w:top w:val="nil"/>
              <w:left w:val="single" w:sz="8" w:space="0" w:color="auto"/>
              <w:bottom w:val="single" w:sz="8" w:space="0" w:color="auto"/>
              <w:right w:val="nil"/>
            </w:tcBorders>
            <w:shd w:val="clear" w:color="000000" w:fill="244062"/>
            <w:vAlign w:val="center"/>
            <w:hideMark/>
          </w:tcPr>
          <w:p w14:paraId="0937A76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371D8524" w14:textId="77777777" w:rsidR="00854ADA" w:rsidRPr="000A2AFE" w:rsidRDefault="00854ADA" w:rsidP="000A2AFE">
            <w:pPr>
              <w:pStyle w:val="ListParagraph"/>
              <w:numPr>
                <w:ilvl w:val="0"/>
                <w:numId w:val="374"/>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Развијен законодавни и регулаторни оквир</w:t>
            </w:r>
          </w:p>
        </w:tc>
      </w:tr>
      <w:tr w:rsidR="00854ADA" w:rsidRPr="00FF386D" w14:paraId="1B4FF9F5" w14:textId="77777777" w:rsidTr="0057310C">
        <w:trPr>
          <w:trHeight w:val="419"/>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7276BF1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6A09DDF5" w14:textId="625549D3" w:rsidR="00CC6D2A" w:rsidRPr="00CC6D2A" w:rsidRDefault="00CC6D2A" w:rsidP="00CC6D2A">
            <w:pPr>
              <w:numPr>
                <w:ilvl w:val="0"/>
                <w:numId w:val="166"/>
              </w:numPr>
              <w:spacing w:after="0" w:line="240" w:lineRule="auto"/>
              <w:contextualSpacing/>
              <w:rPr>
                <w:rFonts w:ascii="Calibri Light" w:eastAsia="Times New Roman" w:hAnsi="Calibri Light" w:cs="Calibri Light"/>
                <w:color w:val="000000"/>
                <w:sz w:val="20"/>
                <w:szCs w:val="20"/>
                <w:lang w:eastAsia="en-GB"/>
              </w:rPr>
            </w:pPr>
            <w:r w:rsidRPr="00CC6D2A">
              <w:rPr>
                <w:rFonts w:ascii="Calibri Light" w:eastAsia="Times New Roman" w:hAnsi="Calibri Light" w:cs="Calibri Light"/>
                <w:color w:val="000000"/>
                <w:sz w:val="20"/>
                <w:szCs w:val="20"/>
                <w:lang w:eastAsia="en-GB"/>
              </w:rPr>
              <w:t>Декарбонизација (постигнутом уштедом енергије смањиће се потрошња фосилних горива што ће довести до смањења емисија GHG а коришћене технологије ОИЕ ће довести до укупног повећања удела ОИЕ)</w:t>
            </w:r>
          </w:p>
          <w:p w14:paraId="508F0F6F" w14:textId="1794FD83" w:rsidR="00854ADA" w:rsidRPr="00FF386D" w:rsidRDefault="00CC6D2A" w:rsidP="00CC6D2A">
            <w:pPr>
              <w:numPr>
                <w:ilvl w:val="0"/>
                <w:numId w:val="166"/>
              </w:numPr>
              <w:spacing w:after="0" w:line="240" w:lineRule="auto"/>
              <w:contextualSpacing/>
              <w:rPr>
                <w:rFonts w:ascii="Calibri Light" w:eastAsia="Times New Roman" w:hAnsi="Calibri Light" w:cs="Calibri Light"/>
                <w:color w:val="000000"/>
                <w:sz w:val="20"/>
                <w:szCs w:val="20"/>
                <w:lang w:eastAsia="en-GB"/>
              </w:rPr>
            </w:pPr>
            <w:r w:rsidRPr="00CC6D2A">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854ADA" w:rsidRPr="00FF386D" w14:paraId="3A899B1F" w14:textId="77777777" w:rsidTr="0057310C">
        <w:trPr>
          <w:trHeight w:val="450"/>
        </w:trPr>
        <w:tc>
          <w:tcPr>
            <w:tcW w:w="3310"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6634DD4E" w14:textId="25E0684F"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148"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151AE71C" w14:textId="33A10FA5" w:rsidR="00854ADA" w:rsidRPr="000A2AFE" w:rsidRDefault="00854ADA" w:rsidP="00D17B65">
            <w:pPr>
              <w:pStyle w:val="ListParagraph"/>
              <w:numPr>
                <w:ilvl w:val="0"/>
                <w:numId w:val="166"/>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Директива </w:t>
            </w:r>
            <w:r w:rsidR="00D17B65" w:rsidRPr="000A2AFE">
              <w:rPr>
                <w:rFonts w:ascii="Calibri Light" w:eastAsia="Times New Roman" w:hAnsi="Calibri Light" w:cs="Calibri Light"/>
                <w:color w:val="000000"/>
                <w:sz w:val="20"/>
                <w:szCs w:val="20"/>
                <w:lang w:eastAsia="en-GB"/>
              </w:rPr>
              <w:t xml:space="preserve">(ЕУ) </w:t>
            </w:r>
            <w:r w:rsidRPr="000A2AFE">
              <w:rPr>
                <w:rFonts w:ascii="Calibri Light" w:eastAsia="Times New Roman" w:hAnsi="Calibri Light" w:cs="Calibri Light"/>
                <w:color w:val="000000"/>
                <w:sz w:val="20"/>
                <w:szCs w:val="20"/>
                <w:lang w:eastAsia="en-GB"/>
              </w:rPr>
              <w:t>2012/27</w:t>
            </w:r>
          </w:p>
          <w:p w14:paraId="4420D49E" w14:textId="0A3414B3" w:rsidR="00854ADA" w:rsidRPr="00FF386D" w:rsidRDefault="00854ADA" w:rsidP="00854ADA">
            <w:pPr>
              <w:numPr>
                <w:ilvl w:val="0"/>
                <w:numId w:val="16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Директива </w:t>
            </w:r>
            <w:r w:rsidR="00D17B65" w:rsidRPr="00FF386D">
              <w:rPr>
                <w:rFonts w:ascii="Calibri Light" w:hAnsi="Calibri Light"/>
                <w:color w:val="000000"/>
                <w:sz w:val="20"/>
              </w:rPr>
              <w:t xml:space="preserve">(ЕУ) </w:t>
            </w:r>
            <w:r w:rsidRPr="000A2AFE">
              <w:rPr>
                <w:rFonts w:ascii="Calibri Light" w:eastAsia="Times New Roman" w:hAnsi="Calibri Light" w:cs="Calibri Light"/>
                <w:color w:val="000000"/>
                <w:sz w:val="20"/>
                <w:szCs w:val="20"/>
                <w:lang w:eastAsia="en-GB"/>
              </w:rPr>
              <w:t>2018/2002</w:t>
            </w:r>
          </w:p>
        </w:tc>
      </w:tr>
      <w:tr w:rsidR="00854ADA" w:rsidRPr="00FF386D" w14:paraId="4A1E06C7" w14:textId="77777777" w:rsidTr="0057310C">
        <w:trPr>
          <w:trHeight w:val="450"/>
        </w:trPr>
        <w:tc>
          <w:tcPr>
            <w:tcW w:w="3310" w:type="dxa"/>
            <w:vMerge/>
            <w:tcBorders>
              <w:top w:val="nil"/>
              <w:left w:val="single" w:sz="8" w:space="0" w:color="auto"/>
              <w:bottom w:val="single" w:sz="8" w:space="0" w:color="000000"/>
              <w:right w:val="single" w:sz="8" w:space="0" w:color="auto"/>
            </w:tcBorders>
            <w:vAlign w:val="center"/>
            <w:hideMark/>
          </w:tcPr>
          <w:p w14:paraId="4C10D96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8" w:type="dxa"/>
            <w:gridSpan w:val="3"/>
            <w:vMerge/>
            <w:tcBorders>
              <w:top w:val="single" w:sz="8" w:space="0" w:color="auto"/>
              <w:left w:val="single" w:sz="8" w:space="0" w:color="auto"/>
              <w:bottom w:val="single" w:sz="8" w:space="0" w:color="000000"/>
              <w:right w:val="single" w:sz="8" w:space="0" w:color="000000"/>
            </w:tcBorders>
            <w:vAlign w:val="center"/>
            <w:hideMark/>
          </w:tcPr>
          <w:p w14:paraId="3D719997" w14:textId="77777777" w:rsidR="00854ADA" w:rsidRPr="00FF386D" w:rsidRDefault="00854ADA" w:rsidP="00854ADA">
            <w:pPr>
              <w:numPr>
                <w:ilvl w:val="0"/>
                <w:numId w:val="166"/>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0443521A" w14:textId="77777777" w:rsidTr="0057310C">
        <w:trPr>
          <w:trHeight w:val="450"/>
        </w:trPr>
        <w:tc>
          <w:tcPr>
            <w:tcW w:w="3310" w:type="dxa"/>
            <w:vMerge/>
            <w:tcBorders>
              <w:top w:val="nil"/>
              <w:left w:val="single" w:sz="8" w:space="0" w:color="auto"/>
              <w:bottom w:val="single" w:sz="8" w:space="0" w:color="000000"/>
              <w:right w:val="single" w:sz="8" w:space="0" w:color="auto"/>
            </w:tcBorders>
            <w:vAlign w:val="center"/>
            <w:hideMark/>
          </w:tcPr>
          <w:p w14:paraId="7CF6E0B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48" w:type="dxa"/>
            <w:gridSpan w:val="3"/>
            <w:vMerge/>
            <w:tcBorders>
              <w:top w:val="single" w:sz="8" w:space="0" w:color="auto"/>
              <w:left w:val="single" w:sz="8" w:space="0" w:color="auto"/>
              <w:bottom w:val="single" w:sz="8" w:space="0" w:color="000000"/>
              <w:right w:val="single" w:sz="8" w:space="0" w:color="000000"/>
            </w:tcBorders>
            <w:vAlign w:val="center"/>
            <w:hideMark/>
          </w:tcPr>
          <w:p w14:paraId="261810A5" w14:textId="77777777" w:rsidR="00854ADA" w:rsidRPr="00FF386D" w:rsidRDefault="00854ADA" w:rsidP="00854ADA">
            <w:pPr>
              <w:numPr>
                <w:ilvl w:val="0"/>
                <w:numId w:val="166"/>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24F07EA8" w14:textId="77777777" w:rsidTr="0057310C">
        <w:trPr>
          <w:trHeight w:val="780"/>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25B15FD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4D29CA08" w14:textId="62BEC373" w:rsidR="00854ADA" w:rsidRPr="00FF386D" w:rsidRDefault="00854ADA" w:rsidP="00854ADA">
            <w:pPr>
              <w:numPr>
                <w:ilvl w:val="0"/>
                <w:numId w:val="16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енергетици</w:t>
            </w:r>
          </w:p>
          <w:p w14:paraId="20B6EEB6" w14:textId="1D9BAF5B" w:rsidR="00D17B65" w:rsidRPr="00FF386D" w:rsidRDefault="00D17B65" w:rsidP="00854ADA">
            <w:pPr>
              <w:numPr>
                <w:ilvl w:val="0"/>
                <w:numId w:val="16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енергетској ефикасности и рационалној употреби енергије</w:t>
            </w:r>
          </w:p>
        </w:tc>
      </w:tr>
      <w:tr w:rsidR="00854ADA" w:rsidRPr="00FF386D" w14:paraId="17412254"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3937B1E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28B0873E" w14:textId="60B521FE"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Буџет</w:t>
            </w:r>
            <w:r w:rsidR="00D17B65" w:rsidRPr="00FF386D">
              <w:rPr>
                <w:rFonts w:ascii="Calibri Light" w:eastAsia="Times New Roman" w:hAnsi="Calibri Light" w:cs="Calibri Light"/>
                <w:color w:val="000000"/>
                <w:sz w:val="20"/>
                <w:szCs w:val="20"/>
                <w:lang w:eastAsia="en-GB"/>
              </w:rPr>
              <w:t xml:space="preserve"> обухваћен</w:t>
            </w:r>
            <w:r w:rsidRPr="00FF386D">
              <w:rPr>
                <w:rFonts w:ascii="Calibri Light" w:eastAsia="Times New Roman" w:hAnsi="Calibri Light" w:cs="Calibri Light"/>
                <w:color w:val="000000"/>
                <w:sz w:val="20"/>
                <w:szCs w:val="20"/>
                <w:lang w:eastAsia="en-GB"/>
              </w:rPr>
              <w:t xml:space="preserve"> у св</w:t>
            </w:r>
            <w:r w:rsidR="00D17B65" w:rsidRPr="00FF386D">
              <w:rPr>
                <w:rFonts w:ascii="Calibri Light" w:eastAsia="Times New Roman" w:hAnsi="Calibri Light" w:cs="Calibri Light"/>
                <w:color w:val="000000"/>
                <w:sz w:val="20"/>
                <w:szCs w:val="20"/>
                <w:lang w:eastAsia="en-GB"/>
              </w:rPr>
              <w:t>им</w:t>
            </w:r>
            <w:r w:rsidRPr="00FF386D">
              <w:rPr>
                <w:rFonts w:ascii="Calibri Light" w:eastAsia="Times New Roman" w:hAnsi="Calibri Light" w:cs="Calibri Light"/>
                <w:color w:val="000000"/>
                <w:sz w:val="20"/>
                <w:szCs w:val="20"/>
                <w:lang w:eastAsia="en-GB"/>
              </w:rPr>
              <w:t xml:space="preserve"> мер</w:t>
            </w:r>
            <w:r w:rsidR="00D17B65" w:rsidRPr="00FF386D">
              <w:rPr>
                <w:rFonts w:ascii="Calibri Light" w:eastAsia="Times New Roman" w:hAnsi="Calibri Light" w:cs="Calibri Light"/>
                <w:color w:val="000000"/>
                <w:sz w:val="20"/>
                <w:szCs w:val="20"/>
                <w:lang w:eastAsia="en-GB"/>
              </w:rPr>
              <w:t>ама финалне потрошње</w:t>
            </w:r>
          </w:p>
        </w:tc>
      </w:tr>
      <w:tr w:rsidR="00854ADA" w:rsidRPr="00FF386D" w14:paraId="5F3C4D22" w14:textId="77777777" w:rsidTr="0057310C">
        <w:trPr>
          <w:trHeight w:val="315"/>
        </w:trPr>
        <w:tc>
          <w:tcPr>
            <w:tcW w:w="3310" w:type="dxa"/>
            <w:tcBorders>
              <w:top w:val="nil"/>
              <w:left w:val="single" w:sz="8" w:space="0" w:color="auto"/>
              <w:bottom w:val="single" w:sz="8" w:space="0" w:color="auto"/>
              <w:right w:val="single" w:sz="8" w:space="0" w:color="auto"/>
            </w:tcBorders>
            <w:shd w:val="clear" w:color="000000" w:fill="244062"/>
            <w:vAlign w:val="center"/>
            <w:hideMark/>
          </w:tcPr>
          <w:p w14:paraId="38CEAAF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48" w:type="dxa"/>
            <w:gridSpan w:val="3"/>
            <w:tcBorders>
              <w:top w:val="single" w:sz="8" w:space="0" w:color="auto"/>
              <w:left w:val="nil"/>
              <w:bottom w:val="single" w:sz="8" w:space="0" w:color="auto"/>
              <w:right w:val="single" w:sz="8" w:space="0" w:color="000000"/>
            </w:tcBorders>
            <w:shd w:val="clear" w:color="auto" w:fill="auto"/>
            <w:vAlign w:val="center"/>
            <w:hideMark/>
          </w:tcPr>
          <w:p w14:paraId="6B816CEA" w14:textId="1CCD6ED7"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D17B65" w:rsidRPr="00FF386D">
              <w:rPr>
                <w:rFonts w:asciiTheme="majorHAnsi" w:eastAsia="Times New Roman" w:hAnsiTheme="majorHAnsi" w:cstheme="majorHAnsi"/>
                <w:color w:val="000000"/>
                <w:sz w:val="20"/>
                <w:szCs w:val="20"/>
                <w:lang w:eastAsia="en-GB"/>
              </w:rPr>
              <w:t>ска и</w:t>
            </w:r>
            <w:r w:rsidRPr="00FF386D">
              <w:rPr>
                <w:rFonts w:asciiTheme="majorHAnsi" w:eastAsia="Times New Roman" w:hAnsiTheme="majorHAnsi" w:cstheme="majorHAnsi"/>
                <w:color w:val="000000"/>
                <w:sz w:val="20"/>
                <w:szCs w:val="20"/>
                <w:lang w:eastAsia="en-GB"/>
              </w:rPr>
              <w:t xml:space="preserve"> сопствена средства</w:t>
            </w:r>
          </w:p>
        </w:tc>
      </w:tr>
    </w:tbl>
    <w:p w14:paraId="27680292" w14:textId="77777777" w:rsidR="00854ADA" w:rsidRPr="00FF386D" w:rsidRDefault="00854ADA" w:rsidP="00854ADA">
      <w:pPr>
        <w:spacing w:before="240" w:after="240" w:line="260" w:lineRule="exact"/>
        <w:ind w:left="1080"/>
        <w:contextualSpacing/>
        <w:jc w:val="both"/>
        <w:rPr>
          <w:rFonts w:cstheme="minorHAnsi"/>
          <w:b/>
          <w:bCs/>
          <w:color w:val="000000"/>
        </w:rPr>
      </w:pPr>
    </w:p>
    <w:p w14:paraId="7557DAD1" w14:textId="77777777" w:rsidR="00854ADA" w:rsidRPr="00FF386D" w:rsidRDefault="00854ADA" w:rsidP="00B210FA">
      <w:pPr>
        <w:pStyle w:val="ListParagraph"/>
        <w:keepNext/>
        <w:keepLines/>
        <w:numPr>
          <w:ilvl w:val="0"/>
          <w:numId w:val="298"/>
        </w:numPr>
        <w:spacing w:before="200" w:after="0" w:line="240" w:lineRule="auto"/>
        <w:outlineLvl w:val="3"/>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lastRenderedPageBreak/>
        <w:t>Финансијске мере, укључујући подршку ЕУ и коришћење фондова ЕУ, у овој области на националном нивоу</w:t>
      </w:r>
    </w:p>
    <w:p w14:paraId="32383841" w14:textId="45088E58"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Биће </w:t>
      </w:r>
      <w:r w:rsidR="002F4CF4" w:rsidRPr="00FF386D">
        <w:rPr>
          <w:rFonts w:asciiTheme="majorHAnsi" w:hAnsiTheme="majorHAnsi" w:cstheme="majorHAnsi"/>
          <w:color w:val="000000"/>
        </w:rPr>
        <w:t xml:space="preserve">посвећена пажња </w:t>
      </w:r>
      <w:r w:rsidR="00341C02" w:rsidRPr="00FF386D">
        <w:rPr>
          <w:rFonts w:asciiTheme="majorHAnsi" w:hAnsiTheme="majorHAnsi" w:cstheme="majorHAnsi"/>
          <w:color w:val="000000"/>
        </w:rPr>
        <w:t>кључним изазовима који ће се јавити</w:t>
      </w:r>
      <w:r w:rsidR="005E7BBA" w:rsidRPr="00FF386D">
        <w:rPr>
          <w:rFonts w:asciiTheme="majorHAnsi" w:hAnsiTheme="majorHAnsi" w:cstheme="majorHAnsi"/>
          <w:color w:val="000000"/>
        </w:rPr>
        <w:t xml:space="preserve"> </w:t>
      </w:r>
      <w:r w:rsidRPr="00FF386D">
        <w:rPr>
          <w:rFonts w:asciiTheme="majorHAnsi" w:hAnsiTheme="majorHAnsi" w:cstheme="majorHAnsi"/>
          <w:color w:val="000000"/>
        </w:rPr>
        <w:t xml:space="preserve">приликом креирања и спровођења предвиђених финансијских мера, као што су постизање максималних нивоа очекиваних </w:t>
      </w:r>
      <w:r w:rsidR="002F4CF4" w:rsidRPr="00FF386D">
        <w:rPr>
          <w:rFonts w:asciiTheme="majorHAnsi" w:hAnsiTheme="majorHAnsi" w:cstheme="majorHAnsi"/>
          <w:color w:val="000000"/>
        </w:rPr>
        <w:t>користи</w:t>
      </w:r>
      <w:r w:rsidRPr="00FF386D">
        <w:rPr>
          <w:rFonts w:asciiTheme="majorHAnsi" w:hAnsiTheme="majorHAnsi" w:cstheme="majorHAnsi"/>
          <w:color w:val="000000"/>
        </w:rPr>
        <w:t xml:space="preserve">, трошковно најоптималније коришћење расположивих средстава, </w:t>
      </w:r>
      <w:r w:rsidR="00312E72" w:rsidRPr="00FF386D">
        <w:rPr>
          <w:rFonts w:asciiTheme="majorHAnsi" w:hAnsiTheme="majorHAnsi" w:cstheme="majorHAnsi"/>
          <w:color w:val="000000"/>
        </w:rPr>
        <w:t xml:space="preserve">коришћење </w:t>
      </w:r>
      <w:r w:rsidR="00BD4E09" w:rsidRPr="00FF386D">
        <w:rPr>
          <w:rFonts w:asciiTheme="majorHAnsi" w:hAnsiTheme="majorHAnsi" w:cstheme="majorHAnsi"/>
          <w:color w:val="000000"/>
        </w:rPr>
        <w:t>додатни</w:t>
      </w:r>
      <w:r w:rsidR="002F4CF4" w:rsidRPr="00FF386D">
        <w:rPr>
          <w:rFonts w:asciiTheme="majorHAnsi" w:hAnsiTheme="majorHAnsi" w:cstheme="majorHAnsi"/>
          <w:color w:val="000000"/>
        </w:rPr>
        <w:t>х</w:t>
      </w:r>
      <w:r w:rsidRPr="00FF386D">
        <w:rPr>
          <w:rFonts w:asciiTheme="majorHAnsi" w:hAnsiTheme="majorHAnsi" w:cstheme="majorHAnsi"/>
          <w:color w:val="000000"/>
        </w:rPr>
        <w:t xml:space="preserve"> финансијских алата и активна мобилизација домаћег финансијског сектора.</w:t>
      </w:r>
      <w:r w:rsidR="005E7BBA" w:rsidRPr="00FF386D">
        <w:rPr>
          <w:rFonts w:asciiTheme="majorHAnsi" w:hAnsiTheme="majorHAnsi" w:cstheme="majorHAnsi"/>
          <w:color w:val="000000"/>
        </w:rPr>
        <w:t xml:space="preserve"> </w:t>
      </w:r>
      <w:bookmarkStart w:id="121" w:name="_Hlk116819287"/>
      <w:r w:rsidRPr="00FF386D">
        <w:rPr>
          <w:rFonts w:asciiTheme="majorHAnsi" w:hAnsiTheme="majorHAnsi" w:cstheme="majorHAnsi"/>
          <w:color w:val="000000"/>
        </w:rPr>
        <w:t xml:space="preserve">У циљу спровођења </w:t>
      </w:r>
      <w:r w:rsidR="00312E72" w:rsidRPr="00FF386D">
        <w:rPr>
          <w:rFonts w:asciiTheme="majorHAnsi" w:hAnsiTheme="majorHAnsi" w:cstheme="majorHAnsi"/>
          <w:color w:val="000000"/>
        </w:rPr>
        <w:t>активности</w:t>
      </w:r>
      <w:r w:rsidRPr="00FF386D">
        <w:rPr>
          <w:rFonts w:asciiTheme="majorHAnsi" w:hAnsiTheme="majorHAnsi" w:cstheme="majorHAnsi"/>
          <w:color w:val="000000"/>
        </w:rPr>
        <w:t xml:space="preserve"> финансирања и п</w:t>
      </w:r>
      <w:r w:rsidR="00312E72" w:rsidRPr="00FF386D">
        <w:rPr>
          <w:rFonts w:asciiTheme="majorHAnsi" w:hAnsiTheme="majorHAnsi" w:cstheme="majorHAnsi"/>
          <w:color w:val="000000"/>
        </w:rPr>
        <w:t>одстицања</w:t>
      </w:r>
      <w:r w:rsidRPr="00FF386D">
        <w:rPr>
          <w:rFonts w:asciiTheme="majorHAnsi" w:hAnsiTheme="majorHAnsi" w:cstheme="majorHAnsi"/>
          <w:color w:val="000000"/>
        </w:rPr>
        <w:t xml:space="preserve"> енергетске ефикасности на н</w:t>
      </w:r>
      <w:r w:rsidR="00312E72" w:rsidRPr="00FF386D">
        <w:rPr>
          <w:rFonts w:asciiTheme="majorHAnsi" w:hAnsiTheme="majorHAnsi" w:cstheme="majorHAnsi"/>
          <w:color w:val="000000"/>
        </w:rPr>
        <w:t>ационалном нивоу,</w:t>
      </w:r>
      <w:r w:rsidRPr="00FF386D">
        <w:rPr>
          <w:rFonts w:asciiTheme="majorHAnsi" w:hAnsiTheme="majorHAnsi" w:cstheme="majorHAnsi"/>
          <w:color w:val="000000"/>
        </w:rPr>
        <w:t xml:space="preserve"> </w:t>
      </w:r>
      <w:r w:rsidR="00C35C75" w:rsidRPr="00FF386D">
        <w:rPr>
          <w:rFonts w:asciiTheme="majorHAnsi" w:hAnsiTheme="majorHAnsi" w:cstheme="majorHAnsi"/>
          <w:color w:val="000000"/>
        </w:rPr>
        <w:t>образована</w:t>
      </w:r>
      <w:r w:rsidRPr="00FF386D">
        <w:rPr>
          <w:rFonts w:asciiTheme="majorHAnsi" w:hAnsiTheme="majorHAnsi" w:cstheme="majorHAnsi"/>
          <w:color w:val="000000"/>
        </w:rPr>
        <w:t xml:space="preserve"> је </w:t>
      </w:r>
      <w:bookmarkStart w:id="122" w:name="_Hlk116819190"/>
      <w:bookmarkEnd w:id="121"/>
      <w:r w:rsidRPr="00FF386D">
        <w:rPr>
          <w:rFonts w:asciiTheme="majorHAnsi" w:hAnsiTheme="majorHAnsi" w:cstheme="majorHAnsi"/>
          <w:color w:val="000000"/>
        </w:rPr>
        <w:t xml:space="preserve">Управа ЕЕ као посебно правно лице у оквиру Министарства рударства и енергетике. Управа додељује подстицаје у складу са Програмом финансирања који доноси Влада сваке године на предлог Министарства рударства и енергетике и Управе ЕЕ. Активности које спроводи Управа финансирају се из </w:t>
      </w:r>
      <w:r w:rsidR="00312E72" w:rsidRPr="00FF386D">
        <w:rPr>
          <w:rFonts w:asciiTheme="majorHAnsi" w:hAnsiTheme="majorHAnsi" w:cstheme="majorHAnsi"/>
          <w:color w:val="000000"/>
        </w:rPr>
        <w:t>б</w:t>
      </w:r>
      <w:r w:rsidRPr="00FF386D">
        <w:rPr>
          <w:rFonts w:asciiTheme="majorHAnsi" w:hAnsiTheme="majorHAnsi" w:cstheme="majorHAnsi"/>
          <w:color w:val="000000"/>
        </w:rPr>
        <w:t>уџета, донација и кредита међунар</w:t>
      </w:r>
      <w:r w:rsidR="00C35C75" w:rsidRPr="00FF386D">
        <w:rPr>
          <w:rFonts w:asciiTheme="majorHAnsi" w:hAnsiTheme="majorHAnsi" w:cstheme="majorHAnsi"/>
          <w:color w:val="000000"/>
        </w:rPr>
        <w:t>о</w:t>
      </w:r>
      <w:r w:rsidRPr="00FF386D">
        <w:rPr>
          <w:rFonts w:asciiTheme="majorHAnsi" w:hAnsiTheme="majorHAnsi" w:cstheme="majorHAnsi"/>
          <w:color w:val="000000"/>
        </w:rPr>
        <w:t>дних финансијских инст</w:t>
      </w:r>
      <w:r w:rsidR="00C35C75" w:rsidRPr="00FF386D">
        <w:rPr>
          <w:rFonts w:asciiTheme="majorHAnsi" w:hAnsiTheme="majorHAnsi" w:cstheme="majorHAnsi"/>
          <w:color w:val="000000"/>
        </w:rPr>
        <w:t>и</w:t>
      </w:r>
      <w:r w:rsidR="00A1090C">
        <w:rPr>
          <w:rFonts w:asciiTheme="majorHAnsi" w:hAnsiTheme="majorHAnsi" w:cstheme="majorHAnsi"/>
          <w:color w:val="000000"/>
          <w:lang w:val="sr-Cyrl-CS"/>
        </w:rPr>
        <w:t>т</w:t>
      </w:r>
      <w:r w:rsidRPr="00FF386D">
        <w:rPr>
          <w:rFonts w:asciiTheme="majorHAnsi" w:hAnsiTheme="majorHAnsi" w:cstheme="majorHAnsi"/>
          <w:color w:val="000000"/>
        </w:rPr>
        <w:t xml:space="preserve">уција. Унапређење рада Управе ЕЕ </w:t>
      </w:r>
      <w:bookmarkEnd w:id="122"/>
      <w:r w:rsidRPr="00FF386D">
        <w:rPr>
          <w:rFonts w:asciiTheme="majorHAnsi" w:hAnsiTheme="majorHAnsi" w:cstheme="majorHAnsi"/>
          <w:color w:val="000000"/>
        </w:rPr>
        <w:t xml:space="preserve">је важно за ефикасно спровођење планираних финансијских мера </w:t>
      </w:r>
      <w:bookmarkStart w:id="123" w:name="_Hlk116822088"/>
      <w:r w:rsidRPr="00FF386D">
        <w:rPr>
          <w:rFonts w:asciiTheme="majorHAnsi" w:hAnsiTheme="majorHAnsi" w:cstheme="majorHAnsi"/>
          <w:color w:val="000000"/>
        </w:rPr>
        <w:t>са посебним фокусом на сектор зграда</w:t>
      </w:r>
      <w:bookmarkEnd w:id="123"/>
      <w:r w:rsidRPr="00FF386D">
        <w:rPr>
          <w:rFonts w:asciiTheme="majorHAnsi" w:hAnsiTheme="majorHAnsi" w:cstheme="majorHAnsi"/>
          <w:color w:val="000000"/>
        </w:rPr>
        <w:t xml:space="preserve">. </w:t>
      </w:r>
      <w:bookmarkStart w:id="124" w:name="_Hlk116822171"/>
      <w:r w:rsidRPr="00FF386D">
        <w:rPr>
          <w:rFonts w:asciiTheme="majorHAnsi" w:hAnsiTheme="majorHAnsi" w:cstheme="majorHAnsi"/>
          <w:color w:val="000000"/>
        </w:rPr>
        <w:t>У наредном периоду Управа ЕЕ треба да подржи и реализацију иновативних дем</w:t>
      </w:r>
      <w:r w:rsidR="00C35C75" w:rsidRPr="00FF386D">
        <w:rPr>
          <w:rFonts w:asciiTheme="majorHAnsi" w:hAnsiTheme="majorHAnsi" w:cstheme="majorHAnsi"/>
          <w:color w:val="000000"/>
        </w:rPr>
        <w:t>о</w:t>
      </w:r>
      <w:r w:rsidRPr="00FF386D">
        <w:rPr>
          <w:rFonts w:asciiTheme="majorHAnsi" w:hAnsiTheme="majorHAnsi" w:cstheme="majorHAnsi"/>
          <w:color w:val="000000"/>
        </w:rPr>
        <w:t>нстрационих пројеката енергетске ефикасности за промовисање одрживих зелених решења укључујући област зграда</w:t>
      </w:r>
      <w:r w:rsidR="00312E72" w:rsidRPr="00FF386D">
        <w:rPr>
          <w:rFonts w:asciiTheme="majorHAnsi" w:hAnsiTheme="majorHAnsi" w:cstheme="majorHAnsi"/>
          <w:color w:val="000000"/>
        </w:rPr>
        <w:t>,</w:t>
      </w:r>
      <w:r w:rsidRPr="00FF386D">
        <w:rPr>
          <w:rFonts w:asciiTheme="majorHAnsi" w:hAnsiTheme="majorHAnsi" w:cstheme="majorHAnsi"/>
          <w:color w:val="000000"/>
        </w:rPr>
        <w:t xml:space="preserve"> а пре свега је значајно да се ради на успостављању нових механизама финансирања. У том смислу биће обезбеђена техничка помоћ за јачање капацитета Управe ЕЕ која ће обухватити и подршку за акредитацију Управе ЕЕ за коришћење ЕУ и других фондова и </w:t>
      </w:r>
      <w:r w:rsidR="00312E72" w:rsidRPr="00FF386D">
        <w:rPr>
          <w:rFonts w:asciiTheme="majorHAnsi" w:hAnsiTheme="majorHAnsi" w:cstheme="majorHAnsi"/>
          <w:color w:val="000000"/>
        </w:rPr>
        <w:t>разматрање</w:t>
      </w:r>
      <w:r w:rsidRPr="00FF386D">
        <w:rPr>
          <w:rFonts w:asciiTheme="majorHAnsi" w:hAnsiTheme="majorHAnsi" w:cstheme="majorHAnsi"/>
          <w:color w:val="000000"/>
        </w:rPr>
        <w:t xml:space="preserve"> могућности унапређења правног статуса Управе у независни национални фонд за енергетску ефикасност што би омогућило примену разних механизама финансирања и </w:t>
      </w:r>
      <w:r w:rsidR="00312E72" w:rsidRPr="00FF386D">
        <w:rPr>
          <w:rFonts w:asciiTheme="majorHAnsi" w:hAnsiTheme="majorHAnsi" w:cstheme="majorHAnsi"/>
          <w:color w:val="000000"/>
        </w:rPr>
        <w:t>обједињавање</w:t>
      </w:r>
      <w:r w:rsidRPr="00FF386D">
        <w:rPr>
          <w:rFonts w:asciiTheme="majorHAnsi" w:hAnsiTheme="majorHAnsi" w:cstheme="majorHAnsi"/>
          <w:color w:val="000000"/>
        </w:rPr>
        <w:t xml:space="preserve"> свих доступних токова јавног финансирања у један фонд чиме би се постигао знатно бољи ниво координације и еф</w:t>
      </w:r>
      <w:r w:rsidR="00312E72" w:rsidRPr="00FF386D">
        <w:rPr>
          <w:rFonts w:asciiTheme="majorHAnsi" w:hAnsiTheme="majorHAnsi" w:cstheme="majorHAnsi"/>
          <w:color w:val="000000"/>
        </w:rPr>
        <w:t>икасности.</w:t>
      </w:r>
    </w:p>
    <w:bookmarkEnd w:id="124"/>
    <w:p w14:paraId="31D2E018" w14:textId="4B5CFBAD"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На крају, исплативост пројеката енергетске ефикасности ће се повећати коришћењем специјализованих алата и методологија како би се постојећи нивои ризика свели на минимум. </w:t>
      </w:r>
      <w:r w:rsidR="00BD4E09" w:rsidRPr="00FF386D">
        <w:rPr>
          <w:rFonts w:asciiTheme="majorHAnsi" w:hAnsiTheme="majorHAnsi" w:cstheme="majorHAnsi"/>
          <w:color w:val="000000"/>
        </w:rPr>
        <w:t>Биће подстицана мобилизација</w:t>
      </w:r>
      <w:r w:rsidRPr="00FF386D">
        <w:rPr>
          <w:rFonts w:asciiTheme="majorHAnsi" w:hAnsiTheme="majorHAnsi" w:cstheme="majorHAnsi"/>
          <w:color w:val="000000"/>
        </w:rPr>
        <w:t xml:space="preserve"> банкарског сектора, а спровођење специјализованих обука унапредиће досадашњи ниво знања и </w:t>
      </w:r>
      <w:r w:rsidR="006D65FC" w:rsidRPr="00FF386D">
        <w:rPr>
          <w:rFonts w:asciiTheme="majorHAnsi" w:hAnsiTheme="majorHAnsi" w:cstheme="majorHAnsi"/>
          <w:color w:val="000000"/>
        </w:rPr>
        <w:t>стручности</w:t>
      </w:r>
      <w:r w:rsidRPr="00FF386D">
        <w:rPr>
          <w:rFonts w:asciiTheme="majorHAnsi" w:hAnsiTheme="majorHAnsi" w:cstheme="majorHAnsi"/>
          <w:color w:val="000000"/>
        </w:rPr>
        <w:t xml:space="preserve"> запослених у банкарском сектору.</w:t>
      </w:r>
    </w:p>
    <w:tbl>
      <w:tblPr>
        <w:tblW w:w="9458" w:type="dxa"/>
        <w:tblLook w:val="04A0" w:firstRow="1" w:lastRow="0" w:firstColumn="1" w:lastColumn="0" w:noHBand="0" w:noVBand="1"/>
      </w:tblPr>
      <w:tblGrid>
        <w:gridCol w:w="3308"/>
        <w:gridCol w:w="1007"/>
        <w:gridCol w:w="942"/>
        <w:gridCol w:w="4201"/>
      </w:tblGrid>
      <w:tr w:rsidR="00854ADA" w:rsidRPr="00FF386D" w14:paraId="7211C757" w14:textId="77777777" w:rsidTr="0057310C">
        <w:trPr>
          <w:trHeight w:val="529"/>
        </w:trPr>
        <w:tc>
          <w:tcPr>
            <w:tcW w:w="3308"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4C64675E" w14:textId="193E762A"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 xml:space="preserve">: </w:t>
            </w:r>
          </w:p>
        </w:tc>
        <w:tc>
          <w:tcPr>
            <w:tcW w:w="10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42DE4F4D"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МП_ЕЕ38</w:t>
            </w:r>
          </w:p>
        </w:tc>
        <w:tc>
          <w:tcPr>
            <w:tcW w:w="942" w:type="dxa"/>
            <w:tcBorders>
              <w:top w:val="single" w:sz="8" w:space="0" w:color="auto"/>
              <w:left w:val="nil"/>
              <w:bottom w:val="single" w:sz="8" w:space="0" w:color="auto"/>
              <w:right w:val="single" w:sz="8" w:space="0" w:color="auto"/>
            </w:tcBorders>
            <w:shd w:val="clear" w:color="000000" w:fill="244062"/>
            <w:vAlign w:val="center"/>
            <w:hideMark/>
          </w:tcPr>
          <w:p w14:paraId="659518C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201" w:type="dxa"/>
            <w:tcBorders>
              <w:top w:val="single" w:sz="8" w:space="0" w:color="auto"/>
              <w:left w:val="nil"/>
              <w:bottom w:val="single" w:sz="8" w:space="0" w:color="auto"/>
              <w:right w:val="single" w:sz="8" w:space="0" w:color="auto"/>
            </w:tcBorders>
            <w:shd w:val="clear" w:color="auto" w:fill="E7E6E6" w:themeFill="background2"/>
            <w:vAlign w:val="center"/>
            <w:hideMark/>
          </w:tcPr>
          <w:p w14:paraId="23E3B7E0" w14:textId="6A9AEACA"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 xml:space="preserve">Развој одрживог и иновативног </w:t>
            </w:r>
            <w:r w:rsidR="00586CAA" w:rsidRPr="00FF386D">
              <w:rPr>
                <w:rFonts w:ascii="Calibri Light" w:hAnsi="Calibri Light"/>
                <w:b/>
                <w:sz w:val="20"/>
              </w:rPr>
              <w:t xml:space="preserve">начина </w:t>
            </w:r>
            <w:r w:rsidRPr="00FF386D">
              <w:rPr>
                <w:rFonts w:ascii="Calibri Light" w:hAnsi="Calibri Light"/>
                <w:b/>
                <w:sz w:val="20"/>
              </w:rPr>
              <w:t>финансирања пројеката енергетске ефикасности</w:t>
            </w:r>
          </w:p>
        </w:tc>
      </w:tr>
      <w:tr w:rsidR="00854ADA" w:rsidRPr="00FF386D" w14:paraId="30A39A82" w14:textId="77777777" w:rsidTr="0057310C">
        <w:trPr>
          <w:trHeight w:val="440"/>
        </w:trPr>
        <w:tc>
          <w:tcPr>
            <w:tcW w:w="3308" w:type="dxa"/>
            <w:tcBorders>
              <w:top w:val="nil"/>
              <w:left w:val="single" w:sz="8" w:space="0" w:color="auto"/>
              <w:bottom w:val="single" w:sz="8" w:space="0" w:color="auto"/>
              <w:right w:val="nil"/>
            </w:tcBorders>
            <w:shd w:val="clear" w:color="000000" w:fill="244062"/>
            <w:vAlign w:val="center"/>
            <w:hideMark/>
          </w:tcPr>
          <w:p w14:paraId="2F1952F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798F7E40" w14:textId="49300113" w:rsidR="00854ADA" w:rsidRPr="000A2AFE" w:rsidRDefault="00BD4E09"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 xml:space="preserve">Примена </w:t>
            </w:r>
            <w:r w:rsidR="00854ADA" w:rsidRPr="00FF386D">
              <w:rPr>
                <w:rFonts w:ascii="Calibri Light" w:hAnsi="Calibri Light"/>
                <w:sz w:val="20"/>
              </w:rPr>
              <w:t xml:space="preserve">чланова Директиве </w:t>
            </w:r>
            <w:r w:rsidRPr="00FF386D">
              <w:rPr>
                <w:rFonts w:ascii="Calibri Light" w:hAnsi="Calibri Light"/>
                <w:sz w:val="20"/>
              </w:rPr>
              <w:t xml:space="preserve">(ЕУ) </w:t>
            </w:r>
            <w:r w:rsidR="00854ADA" w:rsidRPr="00FF386D">
              <w:rPr>
                <w:rFonts w:ascii="Calibri Light" w:hAnsi="Calibri Light"/>
                <w:sz w:val="20"/>
              </w:rPr>
              <w:t xml:space="preserve">2012/27,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w:t>
            </w:r>
            <w:r w:rsidRPr="00FF386D">
              <w:rPr>
                <w:rFonts w:ascii="Calibri Light" w:hAnsi="Calibri Light"/>
                <w:sz w:val="20"/>
              </w:rPr>
              <w:t>02, и то</w:t>
            </w:r>
            <w:r w:rsidR="00854ADA" w:rsidRPr="000A2AFE">
              <w:rPr>
                <w:rFonts w:ascii="Calibri Light" w:eastAsia="Times New Roman" w:hAnsi="Calibri Light" w:cs="Calibri Light"/>
                <w:color w:val="000000"/>
                <w:sz w:val="20"/>
                <w:szCs w:val="20"/>
                <w:lang w:eastAsia="en-GB"/>
              </w:rPr>
              <w:t>:</w:t>
            </w:r>
          </w:p>
          <w:p w14:paraId="10EB5EE1" w14:textId="542E2A10" w:rsidR="00854ADA" w:rsidRPr="00FF386D" w:rsidRDefault="00854ADA" w:rsidP="00854ADA">
            <w:pPr>
              <w:numPr>
                <w:ilvl w:val="0"/>
                <w:numId w:val="163"/>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586CAA"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3</w:t>
            </w:r>
          </w:p>
        </w:tc>
      </w:tr>
      <w:tr w:rsidR="00854ADA" w:rsidRPr="00FF386D" w14:paraId="701DE2D1"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0F6B2C9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Квантификовани циљ: </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1D9B7681" w14:textId="7449AA5F"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 xml:space="preserve">Допринос </w:t>
            </w:r>
            <w:r w:rsidR="001C1CD1" w:rsidRPr="001C1CD1">
              <w:rPr>
                <w:rFonts w:asciiTheme="majorHAnsi" w:eastAsia="Times New Roman" w:hAnsiTheme="majorHAnsi" w:cstheme="majorHAnsi"/>
                <w:color w:val="000000"/>
                <w:sz w:val="20"/>
                <w:szCs w:val="20"/>
                <w:lang w:eastAsia="en-GB"/>
              </w:rPr>
              <w:t>постизању очекиваних нивоa финалне потрошње енергије</w:t>
            </w:r>
          </w:p>
        </w:tc>
      </w:tr>
      <w:tr w:rsidR="00854ADA" w:rsidRPr="00FF386D" w14:paraId="356BD9A4" w14:textId="77777777" w:rsidTr="0057310C">
        <w:trPr>
          <w:trHeight w:val="584"/>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45934F5B" w14:textId="51A61EF3"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3F583166" w14:textId="0D04DCFC" w:rsidR="00854ADA" w:rsidRPr="00FF386D" w:rsidRDefault="00854ADA" w:rsidP="000A2AFE">
            <w:pPr>
              <w:jc w:val="both"/>
              <w:rPr>
                <w:rFonts w:asciiTheme="majorHAnsi" w:hAnsiTheme="majorHAnsi" w:cstheme="majorHAnsi"/>
                <w:color w:val="000000"/>
              </w:rPr>
            </w:pPr>
            <w:r w:rsidRPr="00FF386D">
              <w:rPr>
                <w:rFonts w:ascii="Calibri Light" w:hAnsi="Calibri Light"/>
                <w:sz w:val="20"/>
              </w:rPr>
              <w:t xml:space="preserve">МП_ЕЕ38 ће се </w:t>
            </w:r>
            <w:r w:rsidR="00586CAA" w:rsidRPr="00FF386D">
              <w:rPr>
                <w:rFonts w:ascii="Calibri Light" w:hAnsi="Calibri Light"/>
                <w:sz w:val="20"/>
              </w:rPr>
              <w:t>фокусирати на кључне</w:t>
            </w:r>
            <w:r w:rsidRPr="00FF386D">
              <w:rPr>
                <w:rFonts w:ascii="Calibri Light" w:hAnsi="Calibri Light"/>
                <w:sz w:val="20"/>
              </w:rPr>
              <w:t xml:space="preserve"> изазов</w:t>
            </w:r>
            <w:r w:rsidR="00586CAA" w:rsidRPr="00FF386D">
              <w:rPr>
                <w:rFonts w:ascii="Calibri Light" w:hAnsi="Calibri Light"/>
                <w:sz w:val="20"/>
              </w:rPr>
              <w:t>е</w:t>
            </w:r>
            <w:r w:rsidRPr="00FF386D">
              <w:rPr>
                <w:rFonts w:ascii="Calibri Light" w:hAnsi="Calibri Light"/>
                <w:sz w:val="20"/>
              </w:rPr>
              <w:t xml:space="preserve"> који ће се</w:t>
            </w:r>
            <w:r w:rsidR="005D7A70" w:rsidRPr="00FF386D">
              <w:rPr>
                <w:rFonts w:asciiTheme="majorHAnsi" w:hAnsiTheme="majorHAnsi" w:cstheme="majorHAnsi"/>
                <w:color w:val="000000"/>
              </w:rPr>
              <w:t xml:space="preserve"> </w:t>
            </w:r>
            <w:r w:rsidR="005D7A70" w:rsidRPr="00FF386D">
              <w:rPr>
                <w:rFonts w:ascii="Calibri Light" w:hAnsi="Calibri Light"/>
                <w:sz w:val="20"/>
              </w:rPr>
              <w:t xml:space="preserve">јавити приликом </w:t>
            </w:r>
            <w:r w:rsidR="0039785B" w:rsidRPr="00FF386D">
              <w:rPr>
                <w:rFonts w:ascii="Calibri Light" w:hAnsi="Calibri Light"/>
                <w:sz w:val="20"/>
              </w:rPr>
              <w:t>израде</w:t>
            </w:r>
            <w:r w:rsidR="005D7A70" w:rsidRPr="00FF386D">
              <w:rPr>
                <w:rFonts w:ascii="Calibri Light" w:hAnsi="Calibri Light"/>
                <w:sz w:val="20"/>
              </w:rPr>
              <w:t xml:space="preserve"> и спровођења предвиђених финансијских мера, као што су постизање максималних нивоа очекиваних користи, трошковно најоптималније коришћење расположивих средстава, коришћење додатних финансијских алата и активна мобилизација домаћег финансијског сектора. </w:t>
            </w:r>
            <w:r w:rsidR="00BD4E09" w:rsidRPr="00FF386D">
              <w:rPr>
                <w:rFonts w:ascii="Calibri Light" w:hAnsi="Calibri Light"/>
                <w:sz w:val="20"/>
              </w:rPr>
              <w:t xml:space="preserve">Биће мобилисана целокупна </w:t>
            </w:r>
            <w:r w:rsidRPr="00FF386D">
              <w:rPr>
                <w:rFonts w:ascii="Calibri Light" w:hAnsi="Calibri Light"/>
                <w:sz w:val="20"/>
              </w:rPr>
              <w:t xml:space="preserve">расположива средства на </w:t>
            </w:r>
            <w:r w:rsidR="00BD4E09" w:rsidRPr="00FF386D">
              <w:rPr>
                <w:rFonts w:ascii="Calibri Light" w:hAnsi="Calibri Light"/>
                <w:sz w:val="20"/>
              </w:rPr>
              <w:t>националном</w:t>
            </w:r>
            <w:r w:rsidRPr="00FF386D">
              <w:rPr>
                <w:rFonts w:ascii="Calibri Light" w:hAnsi="Calibri Light"/>
                <w:sz w:val="20"/>
              </w:rPr>
              <w:t xml:space="preserve"> </w:t>
            </w:r>
            <w:r w:rsidR="0039785B" w:rsidRPr="00FF386D">
              <w:rPr>
                <w:rFonts w:ascii="Calibri Light" w:hAnsi="Calibri Light"/>
                <w:sz w:val="20"/>
              </w:rPr>
              <w:t xml:space="preserve">нивоу </w:t>
            </w:r>
            <w:r w:rsidRPr="00FF386D">
              <w:rPr>
                <w:rFonts w:ascii="Calibri Light" w:hAnsi="Calibri Light"/>
                <w:sz w:val="20"/>
              </w:rPr>
              <w:t xml:space="preserve">и </w:t>
            </w:r>
            <w:r w:rsidR="00BD4E09" w:rsidRPr="00FF386D">
              <w:rPr>
                <w:rFonts w:ascii="Calibri Light" w:hAnsi="Calibri Light"/>
                <w:sz w:val="20"/>
              </w:rPr>
              <w:t>нивоу Е</w:t>
            </w:r>
            <w:r w:rsidRPr="00FF386D">
              <w:rPr>
                <w:rFonts w:ascii="Calibri Light" w:hAnsi="Calibri Light"/>
                <w:sz w:val="20"/>
              </w:rPr>
              <w:t>У, укључујући средства других донатора. Ефикасна координација расположивог финансијског тока је од суштинског значаја за ефикасну примену планираних финансијских мера. Управа за финансирање и п</w:t>
            </w:r>
            <w:r w:rsidR="005D7A70" w:rsidRPr="00FF386D">
              <w:rPr>
                <w:rFonts w:ascii="Calibri Light" w:hAnsi="Calibri Light"/>
                <w:sz w:val="20"/>
              </w:rPr>
              <w:t>одстицање</w:t>
            </w:r>
            <w:r w:rsidRPr="00FF386D">
              <w:rPr>
                <w:rFonts w:ascii="Calibri Light" w:hAnsi="Calibri Light"/>
                <w:sz w:val="20"/>
              </w:rPr>
              <w:t xml:space="preserve"> енергетске ефикасности пре</w:t>
            </w:r>
            <w:r w:rsidR="005D7A70" w:rsidRPr="00FF386D">
              <w:rPr>
                <w:rFonts w:ascii="Calibri Light" w:hAnsi="Calibri Light"/>
                <w:sz w:val="20"/>
              </w:rPr>
              <w:t>д</w:t>
            </w:r>
            <w:r w:rsidRPr="00FF386D">
              <w:rPr>
                <w:rFonts w:ascii="Calibri Light" w:hAnsi="Calibri Light"/>
                <w:sz w:val="20"/>
              </w:rPr>
              <w:t xml:space="preserve">узеће управљање расположивим средствима </w:t>
            </w:r>
            <w:r w:rsidR="005D7A70" w:rsidRPr="00FF386D">
              <w:rPr>
                <w:rFonts w:ascii="Calibri Light" w:hAnsi="Calibri Light"/>
                <w:sz w:val="20"/>
              </w:rPr>
              <w:t>(Б</w:t>
            </w:r>
            <w:r w:rsidRPr="00FF386D">
              <w:rPr>
                <w:rFonts w:ascii="Calibri Light" w:hAnsi="Calibri Light"/>
                <w:sz w:val="20"/>
              </w:rPr>
              <w:t>уџет</w:t>
            </w:r>
            <w:r w:rsidR="005D7A70" w:rsidRPr="00FF386D">
              <w:rPr>
                <w:rFonts w:ascii="Calibri Light" w:hAnsi="Calibri Light"/>
                <w:sz w:val="20"/>
              </w:rPr>
              <w:t>ски фонд за унапређење</w:t>
            </w:r>
            <w:r w:rsidRPr="00FF386D">
              <w:rPr>
                <w:rFonts w:ascii="Calibri Light" w:hAnsi="Calibri Light"/>
                <w:sz w:val="20"/>
              </w:rPr>
              <w:t xml:space="preserve"> енергетске ефик</w:t>
            </w:r>
            <w:r w:rsidR="005D7A70" w:rsidRPr="00FF386D">
              <w:rPr>
                <w:rFonts w:ascii="Calibri Light" w:hAnsi="Calibri Light"/>
                <w:sz w:val="20"/>
              </w:rPr>
              <w:t>а</w:t>
            </w:r>
            <w:r w:rsidRPr="00FF386D">
              <w:rPr>
                <w:rFonts w:ascii="Calibri Light" w:hAnsi="Calibri Light"/>
                <w:sz w:val="20"/>
              </w:rPr>
              <w:t>сности</w:t>
            </w:r>
            <w:r w:rsidR="005D7A70" w:rsidRPr="00FF386D">
              <w:rPr>
                <w:rFonts w:ascii="Calibri Light" w:hAnsi="Calibri Light"/>
                <w:sz w:val="20"/>
              </w:rPr>
              <w:t>)</w:t>
            </w:r>
            <w:r w:rsidRPr="00FF386D">
              <w:rPr>
                <w:rFonts w:ascii="Calibri Light" w:hAnsi="Calibri Light"/>
                <w:sz w:val="20"/>
              </w:rPr>
              <w:t xml:space="preserve"> а спров</w:t>
            </w:r>
            <w:r w:rsidR="0039785B" w:rsidRPr="00FF386D">
              <w:rPr>
                <w:rFonts w:ascii="Calibri Light" w:hAnsi="Calibri Light"/>
                <w:sz w:val="20"/>
              </w:rPr>
              <w:t>одиће</w:t>
            </w:r>
            <w:r w:rsidRPr="00FF386D">
              <w:rPr>
                <w:rFonts w:ascii="Calibri Light" w:hAnsi="Calibri Light"/>
                <w:sz w:val="20"/>
              </w:rPr>
              <w:t xml:space="preserve"> и друге активности неопходне за коришћење других извора, као што су донације и зајмови међународних финансијских институција, грантови и/или кредити Светске банке,</w:t>
            </w:r>
            <w:r w:rsidR="005D7A70" w:rsidRPr="000A2AFE">
              <w:rPr>
                <w:rFonts w:ascii="Calibri Light" w:hAnsi="Calibri Light"/>
                <w:sz w:val="20"/>
              </w:rPr>
              <w:t xml:space="preserve"> </w:t>
            </w:r>
            <w:r w:rsidR="005D7A70" w:rsidRPr="000A2AFE">
              <w:rPr>
                <w:rFonts w:ascii="Calibri Light" w:hAnsi="Calibri Light"/>
                <w:i/>
                <w:iCs/>
                <w:sz w:val="20"/>
              </w:rPr>
              <w:t>EBRD</w:t>
            </w:r>
            <w:r w:rsidR="005D7A70" w:rsidRPr="000A2AFE">
              <w:rPr>
                <w:rFonts w:ascii="Calibri Light" w:hAnsi="Calibri Light"/>
                <w:sz w:val="20"/>
              </w:rPr>
              <w:t>-</w:t>
            </w:r>
            <w:r w:rsidR="005D7A70" w:rsidRPr="00FF386D">
              <w:rPr>
                <w:rFonts w:ascii="Calibri Light" w:hAnsi="Calibri Light"/>
                <w:sz w:val="20"/>
              </w:rPr>
              <w:t>а</w:t>
            </w:r>
            <w:r w:rsidRPr="00FF386D">
              <w:rPr>
                <w:rFonts w:ascii="Calibri Light" w:hAnsi="Calibri Light"/>
                <w:sz w:val="20"/>
              </w:rPr>
              <w:t>, ЕУ</w:t>
            </w:r>
            <w:r w:rsidR="005D7A70" w:rsidRPr="00FF386D">
              <w:rPr>
                <w:rFonts w:ascii="Calibri Light" w:hAnsi="Calibri Light"/>
                <w:sz w:val="20"/>
              </w:rPr>
              <w:t>,</w:t>
            </w:r>
            <w:r w:rsidRPr="00FF386D">
              <w:rPr>
                <w:rFonts w:ascii="Calibri Light" w:hAnsi="Calibri Light"/>
                <w:sz w:val="20"/>
              </w:rPr>
              <w:t xml:space="preserve"> итд. Задатак Управе ЕЕ је пре свега да обезбеди широку доступност подстицаја за реализацију мера енергетске ефикасности у свим сегментима потрошње енергије са фокусом на сектор</w:t>
            </w:r>
            <w:r w:rsidR="005D7A70" w:rsidRPr="00FF386D">
              <w:rPr>
                <w:rFonts w:ascii="Calibri Light" w:hAnsi="Calibri Light"/>
                <w:sz w:val="20"/>
              </w:rPr>
              <w:t>у</w:t>
            </w:r>
            <w:r w:rsidRPr="00FF386D">
              <w:rPr>
                <w:rFonts w:ascii="Calibri Light" w:hAnsi="Calibri Light"/>
                <w:sz w:val="20"/>
              </w:rPr>
              <w:t xml:space="preserve"> заграда</w:t>
            </w:r>
            <w:r w:rsidR="00CB740B" w:rsidRPr="00FF386D">
              <w:rPr>
                <w:rFonts w:ascii="Calibri Light" w:hAnsi="Calibri Light"/>
                <w:sz w:val="20"/>
              </w:rPr>
              <w:t>, међутим</w:t>
            </w:r>
            <w:r w:rsidRPr="00FF386D">
              <w:rPr>
                <w:rFonts w:ascii="Calibri Light" w:hAnsi="Calibri Light"/>
                <w:sz w:val="20"/>
              </w:rPr>
              <w:t xml:space="preserve"> у наредном периоду треба да спроводи и иновативне демонстрационе пројекте енергетске ефикасности који ће </w:t>
            </w:r>
            <w:r w:rsidR="00CB740B" w:rsidRPr="00FF386D">
              <w:rPr>
                <w:rFonts w:ascii="Calibri Light" w:hAnsi="Calibri Light"/>
                <w:sz w:val="20"/>
              </w:rPr>
              <w:t>бити</w:t>
            </w:r>
            <w:r w:rsidRPr="00FF386D">
              <w:rPr>
                <w:rFonts w:ascii="Calibri Light" w:hAnsi="Calibri Light"/>
                <w:sz w:val="20"/>
              </w:rPr>
              <w:t xml:space="preserve"> финансира</w:t>
            </w:r>
            <w:r w:rsidR="00CB740B" w:rsidRPr="00FF386D">
              <w:rPr>
                <w:rFonts w:ascii="Calibri Light" w:hAnsi="Calibri Light"/>
                <w:sz w:val="20"/>
              </w:rPr>
              <w:t xml:space="preserve">ни у циљу </w:t>
            </w:r>
            <w:r w:rsidR="00CB740B" w:rsidRPr="00FF386D">
              <w:rPr>
                <w:rFonts w:ascii="Calibri Light" w:hAnsi="Calibri Light"/>
                <w:sz w:val="20"/>
              </w:rPr>
              <w:lastRenderedPageBreak/>
              <w:t>подстицања</w:t>
            </w:r>
            <w:r w:rsidRPr="00FF386D">
              <w:rPr>
                <w:rFonts w:ascii="Calibri Light" w:hAnsi="Calibri Light"/>
                <w:sz w:val="20"/>
              </w:rPr>
              <w:t xml:space="preserve"> одрживих зелених решења, укључујући област зграда. Поред тога, </w:t>
            </w:r>
            <w:r w:rsidR="00CB740B" w:rsidRPr="00FF386D">
              <w:rPr>
                <w:rFonts w:ascii="Calibri Light" w:hAnsi="Calibri Light"/>
                <w:sz w:val="20"/>
              </w:rPr>
              <w:t xml:space="preserve">биће предвиђено </w:t>
            </w:r>
            <w:r w:rsidRPr="00FF386D">
              <w:rPr>
                <w:rFonts w:ascii="Calibri Light" w:hAnsi="Calibri Light"/>
                <w:sz w:val="20"/>
              </w:rPr>
              <w:t>пружање техничке помоћи за финансирањ</w:t>
            </w:r>
            <w:r w:rsidR="00CB740B" w:rsidRPr="00FF386D">
              <w:rPr>
                <w:rFonts w:ascii="Calibri Light" w:hAnsi="Calibri Light"/>
                <w:sz w:val="20"/>
              </w:rPr>
              <w:t>е</w:t>
            </w:r>
            <w:r w:rsidRPr="00FF386D">
              <w:rPr>
                <w:rFonts w:ascii="Calibri Light" w:hAnsi="Calibri Light"/>
                <w:sz w:val="20"/>
              </w:rPr>
              <w:t xml:space="preserve"> пројеката енергетске ефикасности. Помоћ за јачање капацитета Управе ЕЕ треба да обухватити и подршку за акредитацију Управе ЕЕ за коришћење </w:t>
            </w:r>
            <w:r w:rsidR="00CB740B" w:rsidRPr="00FF386D">
              <w:rPr>
                <w:rFonts w:ascii="Calibri Light" w:hAnsi="Calibri Light"/>
                <w:sz w:val="20"/>
              </w:rPr>
              <w:t xml:space="preserve">фондова </w:t>
            </w:r>
            <w:r w:rsidRPr="00FF386D">
              <w:rPr>
                <w:rFonts w:ascii="Calibri Light" w:hAnsi="Calibri Light"/>
                <w:sz w:val="20"/>
              </w:rPr>
              <w:t xml:space="preserve">ЕУ и других фондова и </w:t>
            </w:r>
            <w:r w:rsidR="00CB740B" w:rsidRPr="00FF386D">
              <w:rPr>
                <w:rFonts w:ascii="Calibri Light" w:hAnsi="Calibri Light"/>
                <w:sz w:val="20"/>
              </w:rPr>
              <w:t>разматрање</w:t>
            </w:r>
            <w:r w:rsidRPr="00FF386D">
              <w:rPr>
                <w:rFonts w:ascii="Calibri Light" w:hAnsi="Calibri Light"/>
                <w:sz w:val="20"/>
              </w:rPr>
              <w:t xml:space="preserve"> могућности унапређења правног статуса Управе у независни национални фонд за енергетску ефикасност што би омогућило примену разних механизама финансирања и </w:t>
            </w:r>
            <w:r w:rsidR="00CB740B" w:rsidRPr="00FF386D">
              <w:rPr>
                <w:rFonts w:ascii="Calibri Light" w:hAnsi="Calibri Light"/>
                <w:sz w:val="20"/>
              </w:rPr>
              <w:t>обједињавања</w:t>
            </w:r>
            <w:r w:rsidRPr="00FF386D">
              <w:rPr>
                <w:rFonts w:ascii="Calibri Light" w:hAnsi="Calibri Light"/>
                <w:sz w:val="20"/>
              </w:rPr>
              <w:t xml:space="preserve"> свих доступних токови јавног финансирања у један фонд чиме би се постигао знатно бољи ниво координације и еф</w:t>
            </w:r>
            <w:r w:rsidR="0039785B" w:rsidRPr="00FF386D">
              <w:rPr>
                <w:rFonts w:ascii="Calibri Light" w:hAnsi="Calibri Light"/>
                <w:sz w:val="20"/>
              </w:rPr>
              <w:t>икасности</w:t>
            </w:r>
            <w:r w:rsidRPr="00FF386D">
              <w:rPr>
                <w:rFonts w:ascii="Calibri Light" w:hAnsi="Calibri Light"/>
                <w:sz w:val="20"/>
              </w:rPr>
              <w:t>.</w:t>
            </w:r>
            <w:r w:rsidRPr="00FF386D">
              <w:rPr>
                <w:rFonts w:asciiTheme="majorHAnsi" w:hAnsiTheme="majorHAnsi" w:cstheme="majorHAnsi"/>
                <w:color w:val="000000"/>
              </w:rPr>
              <w:t xml:space="preserve"> </w:t>
            </w:r>
            <w:r w:rsidRPr="00FF386D">
              <w:rPr>
                <w:rFonts w:ascii="Calibri Light" w:hAnsi="Calibri Light"/>
                <w:sz w:val="20"/>
              </w:rPr>
              <w:t>У циљу побољшање исплативос</w:t>
            </w:r>
            <w:r w:rsidR="00CB740B" w:rsidRPr="00FF386D">
              <w:rPr>
                <w:rFonts w:ascii="Calibri Light" w:hAnsi="Calibri Light"/>
                <w:sz w:val="20"/>
              </w:rPr>
              <w:t>ти</w:t>
            </w:r>
            <w:r w:rsidRPr="00FF386D">
              <w:rPr>
                <w:rFonts w:ascii="Calibri Light" w:hAnsi="Calibri Light"/>
                <w:sz w:val="20"/>
              </w:rPr>
              <w:t xml:space="preserve"> спроведених пројеката енергетске ефикасности, </w:t>
            </w:r>
            <w:r w:rsidR="00333835" w:rsidRPr="00FF386D">
              <w:rPr>
                <w:rFonts w:ascii="Calibri Light" w:hAnsi="Calibri Light"/>
                <w:sz w:val="20"/>
              </w:rPr>
              <w:t>разматраће</w:t>
            </w:r>
            <w:r w:rsidR="00046472" w:rsidRPr="00FF386D">
              <w:rPr>
                <w:rFonts w:ascii="Calibri Light" w:hAnsi="Calibri Light"/>
                <w:sz w:val="20"/>
              </w:rPr>
              <w:t xml:space="preserve"> се и други механизми који могу допринети ефикасном финансирању енергетске ефикасности</w:t>
            </w:r>
            <w:r w:rsidR="00BD4E09" w:rsidRPr="00FF386D">
              <w:rPr>
                <w:rFonts w:ascii="Calibri Light" w:hAnsi="Calibri Light"/>
                <w:sz w:val="20"/>
              </w:rPr>
              <w:t xml:space="preserve">, </w:t>
            </w:r>
            <w:r w:rsidR="00333835" w:rsidRPr="00FF386D">
              <w:rPr>
                <w:rFonts w:ascii="Calibri Light" w:hAnsi="Calibri Light"/>
                <w:sz w:val="20"/>
              </w:rPr>
              <w:t>а биће размотрен</w:t>
            </w:r>
            <w:r w:rsidR="0039785B" w:rsidRPr="00FF386D">
              <w:rPr>
                <w:rFonts w:ascii="Calibri Light" w:hAnsi="Calibri Light"/>
                <w:sz w:val="20"/>
              </w:rPr>
              <w:t xml:space="preserve"> и начин</w:t>
            </w:r>
            <w:r w:rsidR="00333835" w:rsidRPr="00FF386D">
              <w:rPr>
                <w:rFonts w:ascii="Calibri Light" w:hAnsi="Calibri Light"/>
                <w:sz w:val="20"/>
              </w:rPr>
              <w:t xml:space="preserve"> да се избегну потенцијална </w:t>
            </w:r>
            <w:r w:rsidRPr="00FF386D">
              <w:rPr>
                <w:rFonts w:ascii="Calibri Light" w:hAnsi="Calibri Light"/>
                <w:sz w:val="20"/>
              </w:rPr>
              <w:t xml:space="preserve">преклапања </w:t>
            </w:r>
            <w:r w:rsidR="00046472" w:rsidRPr="00FF386D">
              <w:rPr>
                <w:rFonts w:ascii="Calibri Light" w:hAnsi="Calibri Light"/>
                <w:sz w:val="20"/>
              </w:rPr>
              <w:t>раз</w:t>
            </w:r>
            <w:r w:rsidR="00333835" w:rsidRPr="00FF386D">
              <w:rPr>
                <w:rFonts w:ascii="Calibri Light" w:hAnsi="Calibri Light"/>
                <w:sz w:val="20"/>
              </w:rPr>
              <w:t>личитих</w:t>
            </w:r>
            <w:r w:rsidR="00046472" w:rsidRPr="00FF386D">
              <w:rPr>
                <w:rFonts w:ascii="Calibri Light" w:hAnsi="Calibri Light"/>
                <w:sz w:val="20"/>
              </w:rPr>
              <w:t xml:space="preserve"> </w:t>
            </w:r>
            <w:r w:rsidRPr="00FF386D">
              <w:rPr>
                <w:rFonts w:ascii="Calibri Light" w:eastAsia="NSimSun" w:hAnsi="Calibri Light" w:cs="Mangal"/>
                <w:kern w:val="2"/>
                <w:sz w:val="20"/>
                <w:szCs w:val="24"/>
                <w:lang w:eastAsia="zh-CN" w:bidi="hi-IN"/>
              </w:rPr>
              <w:t>ш</w:t>
            </w:r>
            <w:r w:rsidRPr="00FF386D">
              <w:rPr>
                <w:rFonts w:ascii="Calibri Light" w:hAnsi="Calibri Light"/>
                <w:sz w:val="20"/>
              </w:rPr>
              <w:t>ем</w:t>
            </w:r>
            <w:r w:rsidR="00046472" w:rsidRPr="00FF386D">
              <w:rPr>
                <w:rFonts w:ascii="Calibri Light" w:hAnsi="Calibri Light"/>
                <w:sz w:val="20"/>
              </w:rPr>
              <w:t>а подстицаја</w:t>
            </w:r>
            <w:r w:rsidRPr="00FF386D">
              <w:rPr>
                <w:rFonts w:ascii="Calibri Light" w:hAnsi="Calibri Light"/>
                <w:sz w:val="20"/>
              </w:rPr>
              <w:t xml:space="preserve"> за енергетску ефикасност</w:t>
            </w:r>
            <w:r w:rsidR="00046472" w:rsidRPr="00FF386D">
              <w:rPr>
                <w:rFonts w:ascii="Calibri Light" w:hAnsi="Calibri Light"/>
                <w:sz w:val="20"/>
              </w:rPr>
              <w:t>.</w:t>
            </w:r>
            <w:r w:rsidRPr="00FF386D">
              <w:rPr>
                <w:rFonts w:ascii="Calibri Light" w:hAnsi="Calibri Light"/>
                <w:sz w:val="20"/>
              </w:rPr>
              <w:t xml:space="preserve"> Додела субвенција мора бити у складу са регулативом о државној помоћи.</w:t>
            </w:r>
          </w:p>
        </w:tc>
      </w:tr>
      <w:tr w:rsidR="00854ADA" w:rsidRPr="00FF386D" w14:paraId="56E9C6DA"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05893C4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Временски оквир имплементације</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7CDA1F25" w14:textId="0D9D5844"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w:t>
            </w:r>
            <w:r w:rsidR="00BD4E09" w:rsidRPr="00FF386D">
              <w:rPr>
                <w:rFonts w:ascii="Calibri Light" w:hAnsi="Calibri Light"/>
                <w:sz w:val="20"/>
              </w:rPr>
              <w:t>25</w:t>
            </w:r>
            <w:r w:rsidRPr="00FF386D">
              <w:rPr>
                <w:rFonts w:ascii="Calibri Light" w:hAnsi="Calibri Light"/>
                <w:sz w:val="20"/>
              </w:rPr>
              <w:t>-2030.</w:t>
            </w:r>
          </w:p>
        </w:tc>
      </w:tr>
      <w:tr w:rsidR="00854ADA" w:rsidRPr="00FF386D" w14:paraId="577401A0"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617E6F2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4A7A78AA"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Реформа</w:t>
            </w:r>
          </w:p>
        </w:tc>
      </w:tr>
      <w:tr w:rsidR="00854ADA" w:rsidRPr="00FF386D" w14:paraId="403F7934"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186F383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7DCD18DB"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Сви сектори финалне потрошње</w:t>
            </w:r>
          </w:p>
        </w:tc>
      </w:tr>
      <w:tr w:rsidR="00854ADA" w:rsidRPr="00FF386D" w14:paraId="543FEFC1"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5E198C3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152603E3" w14:textId="5D1F1F1A" w:rsidR="00854ADA" w:rsidRPr="00FF386D" w:rsidRDefault="00854ADA" w:rsidP="00854ADA">
            <w:pPr>
              <w:numPr>
                <w:ilvl w:val="0"/>
                <w:numId w:val="11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Министарство рударства и енергетике</w:t>
            </w:r>
          </w:p>
          <w:p w14:paraId="6E6FDB60" w14:textId="13DCCC9B" w:rsidR="00854ADA" w:rsidRPr="00FF386D" w:rsidRDefault="00854ADA" w:rsidP="00854ADA">
            <w:pPr>
              <w:numPr>
                <w:ilvl w:val="0"/>
                <w:numId w:val="11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Министарство грађевинарства, саобраћаја и </w:t>
            </w:r>
            <w:r w:rsidR="00046472" w:rsidRPr="00FF386D">
              <w:rPr>
                <w:rFonts w:ascii="Calibri Light" w:eastAsia="Times New Roman" w:hAnsi="Calibri Light" w:cs="Calibri Light"/>
                <w:color w:val="000000"/>
                <w:sz w:val="20"/>
                <w:szCs w:val="20"/>
                <w:lang w:eastAsia="en-GB"/>
              </w:rPr>
              <w:t>инфраструктуре</w:t>
            </w:r>
          </w:p>
        </w:tc>
      </w:tr>
      <w:tr w:rsidR="00854ADA" w:rsidRPr="00FF386D" w14:paraId="00CADFB6" w14:textId="77777777" w:rsidTr="0057310C">
        <w:trPr>
          <w:trHeight w:val="315"/>
        </w:trPr>
        <w:tc>
          <w:tcPr>
            <w:tcW w:w="3308" w:type="dxa"/>
            <w:tcBorders>
              <w:top w:val="nil"/>
              <w:left w:val="single" w:sz="8" w:space="0" w:color="auto"/>
              <w:bottom w:val="single" w:sz="8" w:space="0" w:color="auto"/>
              <w:right w:val="nil"/>
            </w:tcBorders>
            <w:shd w:val="clear" w:color="000000" w:fill="244062"/>
            <w:vAlign w:val="center"/>
            <w:hideMark/>
          </w:tcPr>
          <w:p w14:paraId="33DD9EF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58278FF7" w14:textId="6B16E4AB" w:rsidR="00854ADA" w:rsidRPr="000A2AFE" w:rsidRDefault="004E1E3F" w:rsidP="000A2AFE">
            <w:pPr>
              <w:pStyle w:val="ListParagraph"/>
              <w:numPr>
                <w:ilvl w:val="0"/>
                <w:numId w:val="375"/>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27A2B2E9" w14:textId="77777777" w:rsidTr="0057310C">
        <w:trPr>
          <w:trHeight w:val="315"/>
        </w:trPr>
        <w:tc>
          <w:tcPr>
            <w:tcW w:w="3308" w:type="dxa"/>
            <w:tcBorders>
              <w:top w:val="nil"/>
              <w:left w:val="single" w:sz="8" w:space="0" w:color="auto"/>
              <w:bottom w:val="single" w:sz="8" w:space="0" w:color="auto"/>
              <w:right w:val="nil"/>
            </w:tcBorders>
            <w:shd w:val="clear" w:color="000000" w:fill="244062"/>
            <w:vAlign w:val="center"/>
            <w:hideMark/>
          </w:tcPr>
          <w:p w14:paraId="01F4E89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2B8BA76C"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Финансирани пројекти енергетске ефикасности</w:t>
            </w:r>
          </w:p>
        </w:tc>
      </w:tr>
      <w:tr w:rsidR="00854ADA" w:rsidRPr="00FF386D" w14:paraId="6B3BBEBD" w14:textId="77777777" w:rsidTr="0057310C">
        <w:trPr>
          <w:trHeight w:val="659"/>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27B6699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2CDE57A8" w14:textId="27E7F8E8" w:rsidR="004E1E3F" w:rsidRPr="004E1E3F" w:rsidRDefault="004E1E3F" w:rsidP="004E1E3F">
            <w:pPr>
              <w:numPr>
                <w:ilvl w:val="0"/>
                <w:numId w:val="238"/>
              </w:numPr>
              <w:spacing w:after="0" w:line="240" w:lineRule="auto"/>
              <w:contextualSpacing/>
              <w:rPr>
                <w:rFonts w:ascii="Calibri Light" w:hAnsi="Calibri Light"/>
                <w:color w:val="000000"/>
                <w:sz w:val="20"/>
              </w:rPr>
            </w:pPr>
            <w:r w:rsidRPr="004E1E3F">
              <w:rPr>
                <w:rFonts w:ascii="Calibri Light" w:hAnsi="Calibri Light"/>
                <w:color w:val="000000"/>
                <w:sz w:val="20"/>
              </w:rPr>
              <w:t>Декарбонизација (постигнутом уштедом енергије смањиће се потрошња фосилних горива што ће довести до смањења емисија GHG а коришћене технологије ОИЕ ће довести до укупног повећања удела ОИЕ)</w:t>
            </w:r>
          </w:p>
          <w:p w14:paraId="5722C065" w14:textId="6CFE4371" w:rsidR="00854ADA" w:rsidRPr="00576383" w:rsidRDefault="004E1E3F" w:rsidP="00565B02">
            <w:pPr>
              <w:numPr>
                <w:ilvl w:val="0"/>
                <w:numId w:val="238"/>
              </w:numPr>
              <w:spacing w:after="0" w:line="240" w:lineRule="auto"/>
              <w:contextualSpacing/>
              <w:rPr>
                <w:rFonts w:ascii="Calibri Light" w:eastAsia="Times New Roman" w:hAnsi="Calibri Light" w:cs="Calibri Light"/>
                <w:color w:val="000000"/>
                <w:sz w:val="20"/>
                <w:szCs w:val="20"/>
                <w:lang w:eastAsia="en-GB"/>
              </w:rPr>
            </w:pPr>
            <w:r w:rsidRPr="004E1E3F">
              <w:rPr>
                <w:rFonts w:ascii="Calibri Light" w:hAnsi="Calibri Light"/>
                <w:color w:val="000000"/>
                <w:sz w:val="20"/>
              </w:rPr>
              <w:t>Енергетска сигурност (постигнутом уштедом енергије смањиће се потрошња увезених фосилних горива што ће довести до смањења</w:t>
            </w:r>
          </w:p>
        </w:tc>
      </w:tr>
      <w:tr w:rsidR="00854ADA" w:rsidRPr="00FF386D" w14:paraId="2BB29EDF" w14:textId="77777777" w:rsidTr="0057310C">
        <w:trPr>
          <w:trHeight w:val="450"/>
        </w:trPr>
        <w:tc>
          <w:tcPr>
            <w:tcW w:w="3308"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6E114B4C" w14:textId="1D44AE0D"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150"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28829F84" w14:textId="77777777" w:rsidR="00854ADA" w:rsidRPr="000A2AFE" w:rsidRDefault="00854ADA">
            <w:pPr>
              <w:numPr>
                <w:ilvl w:val="0"/>
                <w:numId w:val="239"/>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2012/27/ЕУ</w:t>
            </w:r>
          </w:p>
          <w:p w14:paraId="362E5D00" w14:textId="77777777" w:rsidR="00854ADA" w:rsidRPr="00FF386D" w:rsidRDefault="00854ADA" w:rsidP="00854ADA">
            <w:pPr>
              <w:numPr>
                <w:ilvl w:val="0"/>
                <w:numId w:val="163"/>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2018/2002/ΕУ</w:t>
            </w:r>
          </w:p>
        </w:tc>
      </w:tr>
      <w:tr w:rsidR="00854ADA" w:rsidRPr="00FF386D" w14:paraId="5C4AC70D" w14:textId="77777777" w:rsidTr="0057310C">
        <w:trPr>
          <w:trHeight w:val="450"/>
        </w:trPr>
        <w:tc>
          <w:tcPr>
            <w:tcW w:w="3308" w:type="dxa"/>
            <w:vMerge/>
            <w:tcBorders>
              <w:top w:val="nil"/>
              <w:left w:val="single" w:sz="8" w:space="0" w:color="auto"/>
              <w:bottom w:val="single" w:sz="8" w:space="0" w:color="000000"/>
              <w:right w:val="single" w:sz="8" w:space="0" w:color="auto"/>
            </w:tcBorders>
            <w:vAlign w:val="center"/>
            <w:hideMark/>
          </w:tcPr>
          <w:p w14:paraId="7E858AA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0" w:type="dxa"/>
            <w:gridSpan w:val="3"/>
            <w:vMerge/>
            <w:tcBorders>
              <w:top w:val="single" w:sz="8" w:space="0" w:color="auto"/>
              <w:left w:val="single" w:sz="8" w:space="0" w:color="auto"/>
              <w:bottom w:val="single" w:sz="8" w:space="0" w:color="000000"/>
              <w:right w:val="single" w:sz="8" w:space="0" w:color="000000"/>
            </w:tcBorders>
            <w:vAlign w:val="center"/>
            <w:hideMark/>
          </w:tcPr>
          <w:p w14:paraId="6424367A" w14:textId="77777777" w:rsidR="00854ADA" w:rsidRPr="00FF386D" w:rsidRDefault="00854ADA" w:rsidP="00854ADA">
            <w:pPr>
              <w:numPr>
                <w:ilvl w:val="0"/>
                <w:numId w:val="163"/>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06FAD70F" w14:textId="77777777" w:rsidTr="0057310C">
        <w:trPr>
          <w:trHeight w:val="450"/>
        </w:trPr>
        <w:tc>
          <w:tcPr>
            <w:tcW w:w="3308" w:type="dxa"/>
            <w:vMerge/>
            <w:tcBorders>
              <w:top w:val="nil"/>
              <w:left w:val="single" w:sz="8" w:space="0" w:color="auto"/>
              <w:bottom w:val="single" w:sz="8" w:space="0" w:color="000000"/>
              <w:right w:val="single" w:sz="8" w:space="0" w:color="auto"/>
            </w:tcBorders>
            <w:vAlign w:val="center"/>
            <w:hideMark/>
          </w:tcPr>
          <w:p w14:paraId="3BC32AA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150" w:type="dxa"/>
            <w:gridSpan w:val="3"/>
            <w:vMerge/>
            <w:tcBorders>
              <w:top w:val="single" w:sz="8" w:space="0" w:color="auto"/>
              <w:left w:val="single" w:sz="8" w:space="0" w:color="auto"/>
              <w:bottom w:val="single" w:sz="8" w:space="0" w:color="000000"/>
              <w:right w:val="single" w:sz="8" w:space="0" w:color="000000"/>
            </w:tcBorders>
            <w:vAlign w:val="center"/>
            <w:hideMark/>
          </w:tcPr>
          <w:p w14:paraId="4948C002" w14:textId="77777777" w:rsidR="00854ADA" w:rsidRPr="00FF386D" w:rsidRDefault="00854ADA" w:rsidP="00854ADA">
            <w:pPr>
              <w:numPr>
                <w:ilvl w:val="0"/>
                <w:numId w:val="163"/>
              </w:numPr>
              <w:spacing w:after="0" w:line="240" w:lineRule="auto"/>
              <w:contextualSpacing/>
              <w:rPr>
                <w:rFonts w:ascii="Calibri Light" w:eastAsia="Times New Roman" w:hAnsi="Calibri Light" w:cs="Calibri Light"/>
                <w:color w:val="000000"/>
                <w:sz w:val="20"/>
                <w:szCs w:val="20"/>
                <w:lang w:eastAsia="en-GB"/>
              </w:rPr>
            </w:pPr>
          </w:p>
        </w:tc>
      </w:tr>
      <w:tr w:rsidR="00854ADA" w:rsidRPr="00FF386D" w14:paraId="28032A76" w14:textId="77777777" w:rsidTr="0057310C">
        <w:trPr>
          <w:trHeight w:val="780"/>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6019151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3F56C8B6" w14:textId="77777777" w:rsidR="00854ADA" w:rsidRDefault="00854ADA" w:rsidP="00854ADA">
            <w:pPr>
              <w:numPr>
                <w:ilvl w:val="0"/>
                <w:numId w:val="163"/>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енергетској ефикасности и рационалној употреби енергије</w:t>
            </w:r>
          </w:p>
          <w:p w14:paraId="3D4C025B" w14:textId="1E40E007" w:rsidR="001C1CD1" w:rsidRPr="00FF386D" w:rsidRDefault="001C1CD1" w:rsidP="00854ADA">
            <w:pPr>
              <w:numPr>
                <w:ilvl w:val="0"/>
                <w:numId w:val="163"/>
              </w:numPr>
              <w:spacing w:after="0" w:line="240" w:lineRule="auto"/>
              <w:contextualSpacing/>
              <w:rPr>
                <w:rFonts w:ascii="Calibri Light" w:eastAsia="Times New Roman" w:hAnsi="Calibri Light" w:cs="Calibri Light"/>
                <w:color w:val="000000"/>
                <w:sz w:val="20"/>
                <w:szCs w:val="20"/>
                <w:lang w:eastAsia="en-GB"/>
              </w:rPr>
            </w:pPr>
            <w:r w:rsidRPr="001C1CD1">
              <w:rPr>
                <w:rFonts w:ascii="Calibri Light" w:eastAsia="Times New Roman" w:hAnsi="Calibri Light" w:cs="Calibri Light"/>
                <w:color w:val="000000"/>
                <w:sz w:val="20"/>
                <w:szCs w:val="20"/>
                <w:lang w:eastAsia="en-GB"/>
              </w:rPr>
              <w:t>Закон о планирању и изградњи</w:t>
            </w:r>
          </w:p>
        </w:tc>
      </w:tr>
      <w:tr w:rsidR="00854ADA" w:rsidRPr="00FF386D" w14:paraId="0536FC70"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1C80BCB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11D3CB9D" w14:textId="33E96E4F"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 xml:space="preserve">Буџет </w:t>
            </w:r>
            <w:r w:rsidR="00333835" w:rsidRPr="00FF386D">
              <w:rPr>
                <w:rFonts w:ascii="Calibri Light" w:eastAsia="Times New Roman" w:hAnsi="Calibri Light" w:cs="Calibri Light"/>
                <w:color w:val="000000"/>
                <w:sz w:val="20"/>
                <w:szCs w:val="20"/>
                <w:lang w:eastAsia="en-GB"/>
              </w:rPr>
              <w:t>обухваћен</w:t>
            </w:r>
            <w:r w:rsidRPr="00FF386D">
              <w:rPr>
                <w:rFonts w:ascii="Calibri Light" w:eastAsia="Times New Roman" w:hAnsi="Calibri Light" w:cs="Calibri Light"/>
                <w:color w:val="000000"/>
                <w:sz w:val="20"/>
                <w:szCs w:val="20"/>
                <w:lang w:eastAsia="en-GB"/>
              </w:rPr>
              <w:t xml:space="preserve"> у св</w:t>
            </w:r>
            <w:r w:rsidR="00333835" w:rsidRPr="00FF386D">
              <w:rPr>
                <w:rFonts w:ascii="Calibri Light" w:eastAsia="Times New Roman" w:hAnsi="Calibri Light" w:cs="Calibri Light"/>
                <w:color w:val="000000"/>
                <w:sz w:val="20"/>
                <w:szCs w:val="20"/>
                <w:lang w:eastAsia="en-GB"/>
              </w:rPr>
              <w:t>им</w:t>
            </w:r>
            <w:r w:rsidRPr="00FF386D">
              <w:rPr>
                <w:rFonts w:ascii="Calibri Light" w:eastAsia="Times New Roman" w:hAnsi="Calibri Light" w:cs="Calibri Light"/>
                <w:color w:val="000000"/>
                <w:sz w:val="20"/>
                <w:szCs w:val="20"/>
                <w:lang w:eastAsia="en-GB"/>
              </w:rPr>
              <w:t xml:space="preserve"> мер</w:t>
            </w:r>
            <w:r w:rsidR="00333835" w:rsidRPr="00FF386D">
              <w:rPr>
                <w:rFonts w:ascii="Calibri Light" w:eastAsia="Times New Roman" w:hAnsi="Calibri Light" w:cs="Calibri Light"/>
                <w:color w:val="000000"/>
                <w:sz w:val="20"/>
                <w:szCs w:val="20"/>
                <w:lang w:eastAsia="en-GB"/>
              </w:rPr>
              <w:t>ама финалне потрошње</w:t>
            </w:r>
          </w:p>
        </w:tc>
      </w:tr>
      <w:tr w:rsidR="00854ADA" w:rsidRPr="00FF386D" w14:paraId="2EC7AB11" w14:textId="77777777" w:rsidTr="0057310C">
        <w:trPr>
          <w:trHeight w:val="315"/>
        </w:trPr>
        <w:tc>
          <w:tcPr>
            <w:tcW w:w="3308" w:type="dxa"/>
            <w:tcBorders>
              <w:top w:val="nil"/>
              <w:left w:val="single" w:sz="8" w:space="0" w:color="auto"/>
              <w:bottom w:val="single" w:sz="8" w:space="0" w:color="auto"/>
              <w:right w:val="single" w:sz="8" w:space="0" w:color="auto"/>
            </w:tcBorders>
            <w:shd w:val="clear" w:color="000000" w:fill="244062"/>
            <w:vAlign w:val="center"/>
            <w:hideMark/>
          </w:tcPr>
          <w:p w14:paraId="297F033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50" w:type="dxa"/>
            <w:gridSpan w:val="3"/>
            <w:tcBorders>
              <w:top w:val="single" w:sz="8" w:space="0" w:color="auto"/>
              <w:left w:val="nil"/>
              <w:bottom w:val="single" w:sz="8" w:space="0" w:color="auto"/>
              <w:right w:val="single" w:sz="8" w:space="0" w:color="000000"/>
            </w:tcBorders>
            <w:shd w:val="clear" w:color="auto" w:fill="auto"/>
            <w:vAlign w:val="center"/>
            <w:hideMark/>
          </w:tcPr>
          <w:p w14:paraId="08AB4D78" w14:textId="066C45A8"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Theme="majorHAnsi" w:eastAsia="Times New Roman" w:hAnsiTheme="majorHAnsi" w:cstheme="majorHAnsi"/>
                <w:color w:val="000000"/>
                <w:sz w:val="20"/>
                <w:szCs w:val="20"/>
                <w:lang w:eastAsia="en-GB"/>
              </w:rPr>
              <w:t xml:space="preserve">Фондови ЕУ и други фондови (нпр. Светска банка, </w:t>
            </w:r>
            <w:r w:rsidR="0039785B" w:rsidRPr="000A2AFE">
              <w:rPr>
                <w:rFonts w:asciiTheme="majorHAnsi" w:eastAsia="Times New Roman" w:hAnsiTheme="majorHAnsi" w:cstheme="majorHAnsi"/>
                <w:i/>
                <w:iCs/>
                <w:color w:val="000000"/>
                <w:sz w:val="20"/>
                <w:szCs w:val="20"/>
                <w:lang w:eastAsia="en-GB"/>
              </w:rPr>
              <w:t>EBRD</w:t>
            </w:r>
            <w:r w:rsidRPr="00FF386D">
              <w:rPr>
                <w:rFonts w:asciiTheme="majorHAnsi" w:eastAsia="Times New Roman" w:hAnsiTheme="majorHAnsi" w:cstheme="majorHAnsi"/>
                <w:color w:val="000000"/>
                <w:sz w:val="20"/>
                <w:szCs w:val="20"/>
                <w:lang w:eastAsia="en-GB"/>
              </w:rPr>
              <w:t>, МФИ, итд), буџет</w:t>
            </w:r>
            <w:r w:rsidR="00333835" w:rsidRPr="00FF386D">
              <w:rPr>
                <w:rFonts w:asciiTheme="majorHAnsi" w:eastAsia="Times New Roman" w:hAnsiTheme="majorHAnsi" w:cstheme="majorHAnsi"/>
                <w:color w:val="000000"/>
                <w:sz w:val="20"/>
                <w:szCs w:val="20"/>
                <w:lang w:eastAsia="en-GB"/>
              </w:rPr>
              <w:t>ска и</w:t>
            </w:r>
            <w:r w:rsidRPr="00FF386D">
              <w:rPr>
                <w:rFonts w:asciiTheme="majorHAnsi" w:eastAsia="Times New Roman" w:hAnsiTheme="majorHAnsi" w:cstheme="majorHAnsi"/>
                <w:color w:val="000000"/>
                <w:sz w:val="20"/>
                <w:szCs w:val="20"/>
                <w:lang w:eastAsia="en-GB"/>
              </w:rPr>
              <w:t xml:space="preserve"> сопствена средства</w:t>
            </w:r>
          </w:p>
        </w:tc>
      </w:tr>
    </w:tbl>
    <w:p w14:paraId="3CFA870A"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58" w:type="dxa"/>
        <w:tblLook w:val="04A0" w:firstRow="1" w:lastRow="0" w:firstColumn="1" w:lastColumn="0" w:noHBand="0" w:noVBand="1"/>
      </w:tblPr>
      <w:tblGrid>
        <w:gridCol w:w="3251"/>
        <w:gridCol w:w="1188"/>
        <w:gridCol w:w="930"/>
        <w:gridCol w:w="4089"/>
      </w:tblGrid>
      <w:tr w:rsidR="00854ADA" w:rsidRPr="00FF386D" w14:paraId="5A79182E" w14:textId="77777777" w:rsidTr="0057310C">
        <w:trPr>
          <w:trHeight w:val="780"/>
        </w:trPr>
        <w:tc>
          <w:tcPr>
            <w:tcW w:w="3251"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721B58A1" w14:textId="3BA6ED13"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 xml:space="preserve">: </w:t>
            </w:r>
          </w:p>
        </w:tc>
        <w:tc>
          <w:tcPr>
            <w:tcW w:w="1188" w:type="dxa"/>
            <w:tcBorders>
              <w:top w:val="single" w:sz="8" w:space="0" w:color="auto"/>
              <w:left w:val="nil"/>
              <w:bottom w:val="single" w:sz="8" w:space="0" w:color="auto"/>
              <w:right w:val="single" w:sz="8" w:space="0" w:color="auto"/>
            </w:tcBorders>
            <w:shd w:val="clear" w:color="auto" w:fill="E7E6E6" w:themeFill="background2"/>
            <w:vAlign w:val="center"/>
            <w:hideMark/>
          </w:tcPr>
          <w:p w14:paraId="1E241C11"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МП_ЕЕ39</w:t>
            </w:r>
          </w:p>
        </w:tc>
        <w:tc>
          <w:tcPr>
            <w:tcW w:w="930" w:type="dxa"/>
            <w:tcBorders>
              <w:top w:val="single" w:sz="8" w:space="0" w:color="auto"/>
              <w:left w:val="nil"/>
              <w:bottom w:val="single" w:sz="8" w:space="0" w:color="auto"/>
              <w:right w:val="single" w:sz="8" w:space="0" w:color="auto"/>
            </w:tcBorders>
            <w:shd w:val="clear" w:color="000000" w:fill="244062"/>
            <w:vAlign w:val="center"/>
            <w:hideMark/>
          </w:tcPr>
          <w:p w14:paraId="6A556A2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089" w:type="dxa"/>
            <w:tcBorders>
              <w:top w:val="single" w:sz="8" w:space="0" w:color="auto"/>
              <w:left w:val="nil"/>
              <w:bottom w:val="single" w:sz="8" w:space="0" w:color="auto"/>
              <w:right w:val="single" w:sz="8" w:space="0" w:color="auto"/>
            </w:tcBorders>
            <w:shd w:val="clear" w:color="auto" w:fill="E7E6E6" w:themeFill="background2"/>
            <w:vAlign w:val="center"/>
            <w:hideMark/>
          </w:tcPr>
          <w:p w14:paraId="69D639ED" w14:textId="5AABECBC" w:rsidR="00854ADA" w:rsidRPr="00FF386D" w:rsidRDefault="0039785B"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Унапређење</w:t>
            </w:r>
            <w:r w:rsidR="00854ADA" w:rsidRPr="00FF386D">
              <w:rPr>
                <w:rFonts w:ascii="Calibri Light" w:hAnsi="Calibri Light"/>
                <w:b/>
                <w:sz w:val="20"/>
              </w:rPr>
              <w:t xml:space="preserve"> исплативости пројеката енергетске ефикасности</w:t>
            </w:r>
          </w:p>
        </w:tc>
      </w:tr>
      <w:tr w:rsidR="00854ADA" w:rsidRPr="00FF386D" w14:paraId="59C91856" w14:textId="77777777" w:rsidTr="0057310C">
        <w:trPr>
          <w:trHeight w:val="405"/>
        </w:trPr>
        <w:tc>
          <w:tcPr>
            <w:tcW w:w="3251" w:type="dxa"/>
            <w:tcBorders>
              <w:top w:val="nil"/>
              <w:left w:val="single" w:sz="8" w:space="0" w:color="auto"/>
              <w:bottom w:val="single" w:sz="8" w:space="0" w:color="auto"/>
              <w:right w:val="nil"/>
            </w:tcBorders>
            <w:shd w:val="clear" w:color="000000" w:fill="244062"/>
            <w:vAlign w:val="center"/>
            <w:hideMark/>
          </w:tcPr>
          <w:p w14:paraId="72A189C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207" w:type="dxa"/>
            <w:gridSpan w:val="3"/>
            <w:tcBorders>
              <w:top w:val="single" w:sz="8" w:space="0" w:color="auto"/>
              <w:left w:val="nil"/>
              <w:bottom w:val="single" w:sz="8" w:space="0" w:color="auto"/>
              <w:right w:val="single" w:sz="8" w:space="0" w:color="000000"/>
            </w:tcBorders>
            <w:shd w:val="clear" w:color="auto" w:fill="auto"/>
            <w:vAlign w:val="center"/>
            <w:hideMark/>
          </w:tcPr>
          <w:p w14:paraId="3A308FA9" w14:textId="716E26DB" w:rsidR="00854ADA" w:rsidRPr="000A2AFE" w:rsidRDefault="00333835"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 xml:space="preserve">Примена </w:t>
            </w:r>
            <w:r w:rsidR="00854ADA" w:rsidRPr="00FF386D">
              <w:rPr>
                <w:rFonts w:ascii="Calibri Light" w:hAnsi="Calibri Light"/>
                <w:sz w:val="20"/>
              </w:rPr>
              <w:t>чланова Директиве 2</w:t>
            </w:r>
            <w:r w:rsidRPr="00FF386D">
              <w:rPr>
                <w:rFonts w:ascii="Calibri Light" w:hAnsi="Calibri Light"/>
                <w:sz w:val="20"/>
              </w:rPr>
              <w:t xml:space="preserve">(ЕУ) </w:t>
            </w:r>
            <w:r w:rsidR="00854ADA" w:rsidRPr="00FF386D">
              <w:rPr>
                <w:rFonts w:ascii="Calibri Light" w:hAnsi="Calibri Light"/>
                <w:sz w:val="20"/>
              </w:rPr>
              <w:t xml:space="preserve">012/27, која је измењена и допуњена Директивом </w:t>
            </w:r>
            <w:r w:rsidRPr="00FF386D">
              <w:rPr>
                <w:rFonts w:ascii="Calibri Light" w:hAnsi="Calibri Light"/>
                <w:sz w:val="20"/>
              </w:rPr>
              <w:t xml:space="preserve">(ЕУ) </w:t>
            </w:r>
            <w:r w:rsidR="00854ADA" w:rsidRPr="00FF386D">
              <w:rPr>
                <w:rFonts w:ascii="Calibri Light" w:hAnsi="Calibri Light"/>
                <w:sz w:val="20"/>
              </w:rPr>
              <w:t>2018/20</w:t>
            </w:r>
            <w:r w:rsidRPr="00FF386D">
              <w:rPr>
                <w:rFonts w:ascii="Calibri Light" w:hAnsi="Calibri Light"/>
                <w:sz w:val="20"/>
              </w:rPr>
              <w:t>02, и то</w:t>
            </w:r>
            <w:r w:rsidR="00854ADA" w:rsidRPr="000A2AFE">
              <w:rPr>
                <w:rFonts w:ascii="Calibri Light" w:eastAsia="Times New Roman" w:hAnsi="Calibri Light" w:cs="Calibri Light"/>
                <w:color w:val="000000"/>
                <w:sz w:val="20"/>
                <w:szCs w:val="20"/>
                <w:lang w:eastAsia="en-GB"/>
              </w:rPr>
              <w:t>:</w:t>
            </w:r>
          </w:p>
          <w:p w14:paraId="7404088E" w14:textId="10A5D373" w:rsidR="00854ADA" w:rsidRPr="00FF386D" w:rsidRDefault="00854ADA" w:rsidP="00854ADA">
            <w:pPr>
              <w:numPr>
                <w:ilvl w:val="0"/>
                <w:numId w:val="163"/>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Члан</w:t>
            </w:r>
            <w:r w:rsidR="0039785B"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3</w:t>
            </w:r>
          </w:p>
        </w:tc>
      </w:tr>
      <w:tr w:rsidR="00854ADA" w:rsidRPr="00FF386D" w14:paraId="742DBEDC" w14:textId="77777777" w:rsidTr="0057310C">
        <w:trPr>
          <w:trHeight w:val="315"/>
        </w:trPr>
        <w:tc>
          <w:tcPr>
            <w:tcW w:w="3251" w:type="dxa"/>
            <w:tcBorders>
              <w:top w:val="nil"/>
              <w:left w:val="single" w:sz="8" w:space="0" w:color="auto"/>
              <w:bottom w:val="single" w:sz="8" w:space="0" w:color="auto"/>
              <w:right w:val="single" w:sz="8" w:space="0" w:color="auto"/>
            </w:tcBorders>
            <w:shd w:val="clear" w:color="000000" w:fill="244062"/>
            <w:vAlign w:val="center"/>
            <w:hideMark/>
          </w:tcPr>
          <w:p w14:paraId="12B772B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Квантификовани циљ: </w:t>
            </w:r>
          </w:p>
        </w:tc>
        <w:tc>
          <w:tcPr>
            <w:tcW w:w="6207" w:type="dxa"/>
            <w:gridSpan w:val="3"/>
            <w:tcBorders>
              <w:top w:val="single" w:sz="8" w:space="0" w:color="auto"/>
              <w:left w:val="nil"/>
              <w:bottom w:val="single" w:sz="8" w:space="0" w:color="auto"/>
              <w:right w:val="single" w:sz="8" w:space="0" w:color="000000"/>
            </w:tcBorders>
            <w:shd w:val="clear" w:color="auto" w:fill="auto"/>
            <w:vAlign w:val="center"/>
            <w:hideMark/>
          </w:tcPr>
          <w:p w14:paraId="22B77C71" w14:textId="0944A7E3"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 xml:space="preserve">Допринос </w:t>
            </w:r>
            <w:r w:rsidR="001C1CD1" w:rsidRPr="001C1CD1">
              <w:rPr>
                <w:rFonts w:asciiTheme="majorHAnsi" w:eastAsia="Times New Roman" w:hAnsiTheme="majorHAnsi" w:cstheme="majorHAnsi"/>
                <w:color w:val="000000"/>
                <w:sz w:val="20"/>
                <w:szCs w:val="20"/>
                <w:lang w:eastAsia="en-GB"/>
              </w:rPr>
              <w:t>постизању очекиваних нивоa финалне потрошње енергије</w:t>
            </w:r>
          </w:p>
        </w:tc>
      </w:tr>
      <w:tr w:rsidR="00854ADA" w:rsidRPr="00FF386D" w14:paraId="3C2F825B" w14:textId="77777777" w:rsidTr="0057310C">
        <w:trPr>
          <w:trHeight w:val="443"/>
        </w:trPr>
        <w:tc>
          <w:tcPr>
            <w:tcW w:w="3251" w:type="dxa"/>
            <w:tcBorders>
              <w:top w:val="nil"/>
              <w:left w:val="single" w:sz="8" w:space="0" w:color="auto"/>
              <w:bottom w:val="single" w:sz="8" w:space="0" w:color="auto"/>
              <w:right w:val="single" w:sz="8" w:space="0" w:color="auto"/>
            </w:tcBorders>
            <w:shd w:val="clear" w:color="000000" w:fill="244062"/>
            <w:vAlign w:val="center"/>
            <w:hideMark/>
          </w:tcPr>
          <w:p w14:paraId="19FFE68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07" w:type="dxa"/>
            <w:gridSpan w:val="3"/>
            <w:tcBorders>
              <w:top w:val="single" w:sz="8" w:space="0" w:color="auto"/>
              <w:left w:val="nil"/>
              <w:bottom w:val="single" w:sz="8" w:space="0" w:color="auto"/>
              <w:right w:val="single" w:sz="8" w:space="0" w:color="000000"/>
            </w:tcBorders>
            <w:shd w:val="clear" w:color="auto" w:fill="auto"/>
            <w:vAlign w:val="center"/>
            <w:hideMark/>
          </w:tcPr>
          <w:p w14:paraId="47AC6871" w14:textId="018762CD"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МП_ЕЕ39 ће </w:t>
            </w:r>
            <w:r w:rsidR="0039785B" w:rsidRPr="00FF386D">
              <w:rPr>
                <w:rFonts w:ascii="Calibri Light" w:hAnsi="Calibri Light"/>
                <w:sz w:val="20"/>
              </w:rPr>
              <w:t>унапредити</w:t>
            </w:r>
            <w:r w:rsidRPr="00FF386D">
              <w:rPr>
                <w:rFonts w:ascii="Calibri Light" w:hAnsi="Calibri Light"/>
                <w:sz w:val="20"/>
              </w:rPr>
              <w:t xml:space="preserve"> </w:t>
            </w:r>
            <w:r w:rsidR="00333835" w:rsidRPr="00FF386D">
              <w:rPr>
                <w:rFonts w:ascii="Calibri Light" w:hAnsi="Calibri Light"/>
                <w:sz w:val="20"/>
              </w:rPr>
              <w:t>потенцијал</w:t>
            </w:r>
            <w:r w:rsidRPr="00FF386D">
              <w:rPr>
                <w:rFonts w:ascii="Calibri Light" w:hAnsi="Calibri Light"/>
                <w:sz w:val="20"/>
              </w:rPr>
              <w:t xml:space="preserve"> финансирања пројеката енергетске ефикасности уз коришћење специјализованих алата и </w:t>
            </w:r>
            <w:r w:rsidRPr="00FF386D">
              <w:rPr>
                <w:rFonts w:ascii="Calibri Light" w:hAnsi="Calibri Light"/>
                <w:sz w:val="20"/>
              </w:rPr>
              <w:lastRenderedPageBreak/>
              <w:t xml:space="preserve">методологија како би се минимизирао постојећи нивои ризика. Поред тога, имплементација шеме </w:t>
            </w:r>
            <w:r w:rsidR="009844AA" w:rsidRPr="00FF386D">
              <w:rPr>
                <w:rFonts w:ascii="Calibri Light" w:hAnsi="Calibri Light"/>
                <w:sz w:val="20"/>
              </w:rPr>
              <w:t xml:space="preserve">контроле </w:t>
            </w:r>
            <w:r w:rsidRPr="00FF386D">
              <w:rPr>
                <w:rFonts w:ascii="Calibri Light" w:hAnsi="Calibri Light"/>
                <w:sz w:val="20"/>
              </w:rPr>
              <w:t xml:space="preserve">квалитета и успостављање методолошког приступа за стандардизацију различитих корака током евалуације пројеката енергетске ефикасности </w:t>
            </w:r>
            <w:r w:rsidR="009844AA" w:rsidRPr="00FF386D">
              <w:rPr>
                <w:rFonts w:ascii="Calibri Light" w:hAnsi="Calibri Light"/>
                <w:sz w:val="20"/>
              </w:rPr>
              <w:t xml:space="preserve">омогући ће </w:t>
            </w:r>
            <w:r w:rsidRPr="00FF386D">
              <w:rPr>
                <w:rFonts w:ascii="Calibri Light" w:hAnsi="Calibri Light"/>
                <w:sz w:val="20"/>
              </w:rPr>
              <w:t xml:space="preserve">смањење ризика улагања у енергетску ефикасност. Ангажовање банкарског сектора је од суштинског значаја, док ће формирање нових финансијских производа </w:t>
            </w:r>
            <w:r w:rsidR="009844AA" w:rsidRPr="00FF386D">
              <w:rPr>
                <w:rFonts w:ascii="Calibri Light" w:hAnsi="Calibri Light"/>
                <w:sz w:val="20"/>
              </w:rPr>
              <w:t xml:space="preserve">који су </w:t>
            </w:r>
            <w:r w:rsidRPr="00FF386D">
              <w:rPr>
                <w:rFonts w:ascii="Calibri Light" w:hAnsi="Calibri Light"/>
                <w:sz w:val="20"/>
              </w:rPr>
              <w:t>посебно посвећених финансирању енергетски ефикасних пројеката олакшати</w:t>
            </w:r>
            <w:r w:rsidR="009844AA" w:rsidRPr="00FF386D">
              <w:rPr>
                <w:rFonts w:ascii="Calibri Light" w:hAnsi="Calibri Light"/>
                <w:sz w:val="20"/>
              </w:rPr>
              <w:t xml:space="preserve"> ће</w:t>
            </w:r>
            <w:r w:rsidRPr="00FF386D">
              <w:rPr>
                <w:rFonts w:ascii="Calibri Light" w:hAnsi="Calibri Light"/>
                <w:sz w:val="20"/>
              </w:rPr>
              <w:t xml:space="preserve"> финансирање пројеката енергетске ефикасности. Биће </w:t>
            </w:r>
            <w:r w:rsidR="00333835" w:rsidRPr="00FF386D">
              <w:rPr>
                <w:rFonts w:ascii="Calibri Light" w:hAnsi="Calibri Light"/>
                <w:sz w:val="20"/>
              </w:rPr>
              <w:t xml:space="preserve">организована </w:t>
            </w:r>
            <w:r w:rsidRPr="00FF386D">
              <w:rPr>
                <w:rFonts w:ascii="Calibri Light" w:hAnsi="Calibri Light"/>
                <w:sz w:val="20"/>
              </w:rPr>
              <w:t>специјализована обука</w:t>
            </w:r>
            <w:r w:rsidR="00333835" w:rsidRPr="00FF386D">
              <w:rPr>
                <w:rFonts w:ascii="Calibri Light" w:hAnsi="Calibri Light"/>
                <w:sz w:val="20"/>
              </w:rPr>
              <w:t xml:space="preserve"> како би се остварили претходно наведени циљеви.</w:t>
            </w:r>
          </w:p>
        </w:tc>
      </w:tr>
      <w:tr w:rsidR="00854ADA" w:rsidRPr="00FF386D" w14:paraId="486468B7" w14:textId="77777777" w:rsidTr="0057310C">
        <w:trPr>
          <w:trHeight w:val="315"/>
        </w:trPr>
        <w:tc>
          <w:tcPr>
            <w:tcW w:w="3251" w:type="dxa"/>
            <w:tcBorders>
              <w:top w:val="nil"/>
              <w:left w:val="single" w:sz="8" w:space="0" w:color="auto"/>
              <w:bottom w:val="single" w:sz="8" w:space="0" w:color="auto"/>
              <w:right w:val="single" w:sz="8" w:space="0" w:color="auto"/>
            </w:tcBorders>
            <w:shd w:val="clear" w:color="000000" w:fill="244062"/>
            <w:vAlign w:val="center"/>
            <w:hideMark/>
          </w:tcPr>
          <w:p w14:paraId="05A8A59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Временски оквир имплементације</w:t>
            </w:r>
          </w:p>
        </w:tc>
        <w:tc>
          <w:tcPr>
            <w:tcW w:w="6207" w:type="dxa"/>
            <w:gridSpan w:val="3"/>
            <w:tcBorders>
              <w:top w:val="single" w:sz="8" w:space="0" w:color="auto"/>
              <w:left w:val="nil"/>
              <w:bottom w:val="single" w:sz="8" w:space="0" w:color="auto"/>
              <w:right w:val="single" w:sz="8" w:space="0" w:color="000000"/>
            </w:tcBorders>
            <w:shd w:val="clear" w:color="auto" w:fill="auto"/>
            <w:vAlign w:val="center"/>
            <w:hideMark/>
          </w:tcPr>
          <w:p w14:paraId="31E5651A" w14:textId="43148A55"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w:t>
            </w:r>
            <w:r w:rsidR="00333835" w:rsidRPr="00FF386D">
              <w:rPr>
                <w:rFonts w:ascii="Calibri Light" w:hAnsi="Calibri Light"/>
                <w:sz w:val="20"/>
              </w:rPr>
              <w:t>25</w:t>
            </w:r>
            <w:r w:rsidRPr="00FF386D">
              <w:rPr>
                <w:rFonts w:ascii="Calibri Light" w:hAnsi="Calibri Light"/>
                <w:sz w:val="20"/>
              </w:rPr>
              <w:t>-2030.</w:t>
            </w:r>
          </w:p>
        </w:tc>
      </w:tr>
      <w:tr w:rsidR="00854ADA" w:rsidRPr="00FF386D" w14:paraId="62EBD08B" w14:textId="77777777" w:rsidTr="0057310C">
        <w:trPr>
          <w:trHeight w:val="315"/>
        </w:trPr>
        <w:tc>
          <w:tcPr>
            <w:tcW w:w="3251" w:type="dxa"/>
            <w:tcBorders>
              <w:top w:val="nil"/>
              <w:left w:val="single" w:sz="8" w:space="0" w:color="auto"/>
              <w:bottom w:val="single" w:sz="8" w:space="0" w:color="auto"/>
              <w:right w:val="single" w:sz="8" w:space="0" w:color="auto"/>
            </w:tcBorders>
            <w:shd w:val="clear" w:color="000000" w:fill="244062"/>
            <w:vAlign w:val="center"/>
            <w:hideMark/>
          </w:tcPr>
          <w:p w14:paraId="4F121F4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07" w:type="dxa"/>
            <w:gridSpan w:val="3"/>
            <w:tcBorders>
              <w:top w:val="single" w:sz="8" w:space="0" w:color="auto"/>
              <w:left w:val="nil"/>
              <w:bottom w:val="single" w:sz="8" w:space="0" w:color="auto"/>
              <w:right w:val="single" w:sz="8" w:space="0" w:color="000000"/>
            </w:tcBorders>
            <w:shd w:val="clear" w:color="auto" w:fill="auto"/>
            <w:vAlign w:val="center"/>
            <w:hideMark/>
          </w:tcPr>
          <w:p w14:paraId="0545D43D"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Реформа</w:t>
            </w:r>
          </w:p>
        </w:tc>
      </w:tr>
      <w:tr w:rsidR="00854ADA" w:rsidRPr="00FF386D" w14:paraId="4B9A7FC6" w14:textId="77777777" w:rsidTr="0057310C">
        <w:trPr>
          <w:trHeight w:val="315"/>
        </w:trPr>
        <w:tc>
          <w:tcPr>
            <w:tcW w:w="3251" w:type="dxa"/>
            <w:tcBorders>
              <w:top w:val="nil"/>
              <w:left w:val="single" w:sz="8" w:space="0" w:color="auto"/>
              <w:bottom w:val="single" w:sz="8" w:space="0" w:color="auto"/>
              <w:right w:val="single" w:sz="8" w:space="0" w:color="auto"/>
            </w:tcBorders>
            <w:shd w:val="clear" w:color="000000" w:fill="244062"/>
            <w:vAlign w:val="center"/>
            <w:hideMark/>
          </w:tcPr>
          <w:p w14:paraId="0BAC610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07" w:type="dxa"/>
            <w:gridSpan w:val="3"/>
            <w:tcBorders>
              <w:top w:val="single" w:sz="8" w:space="0" w:color="auto"/>
              <w:left w:val="nil"/>
              <w:bottom w:val="single" w:sz="8" w:space="0" w:color="auto"/>
              <w:right w:val="single" w:sz="8" w:space="0" w:color="000000"/>
            </w:tcBorders>
            <w:shd w:val="clear" w:color="auto" w:fill="auto"/>
            <w:vAlign w:val="center"/>
            <w:hideMark/>
          </w:tcPr>
          <w:p w14:paraId="6F131F09"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Сви сектори финалне потрошње</w:t>
            </w:r>
          </w:p>
        </w:tc>
      </w:tr>
      <w:tr w:rsidR="00854ADA" w:rsidRPr="00FF386D" w14:paraId="4EFFD44E" w14:textId="77777777" w:rsidTr="0057310C">
        <w:trPr>
          <w:trHeight w:val="315"/>
        </w:trPr>
        <w:tc>
          <w:tcPr>
            <w:tcW w:w="3251" w:type="dxa"/>
            <w:tcBorders>
              <w:top w:val="nil"/>
              <w:left w:val="single" w:sz="8" w:space="0" w:color="auto"/>
              <w:bottom w:val="single" w:sz="8" w:space="0" w:color="auto"/>
              <w:right w:val="single" w:sz="8" w:space="0" w:color="auto"/>
            </w:tcBorders>
            <w:shd w:val="clear" w:color="000000" w:fill="244062"/>
            <w:vAlign w:val="center"/>
            <w:hideMark/>
          </w:tcPr>
          <w:p w14:paraId="0124B12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07" w:type="dxa"/>
            <w:gridSpan w:val="3"/>
            <w:tcBorders>
              <w:top w:val="single" w:sz="8" w:space="0" w:color="auto"/>
              <w:left w:val="nil"/>
              <w:bottom w:val="single" w:sz="8" w:space="0" w:color="auto"/>
              <w:right w:val="single" w:sz="8" w:space="0" w:color="000000"/>
            </w:tcBorders>
            <w:shd w:val="clear" w:color="auto" w:fill="auto"/>
            <w:vAlign w:val="center"/>
            <w:hideMark/>
          </w:tcPr>
          <w:p w14:paraId="6AA29C6B" w14:textId="77777777" w:rsidR="00854ADA" w:rsidRDefault="00333835" w:rsidP="00333835">
            <w:pPr>
              <w:pStyle w:val="ListParagraph"/>
              <w:numPr>
                <w:ilvl w:val="0"/>
                <w:numId w:val="163"/>
              </w:num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рударства и енергетике</w:t>
            </w:r>
          </w:p>
          <w:p w14:paraId="77AD50C0" w14:textId="19BF693F" w:rsidR="007C60A2" w:rsidRPr="00FF386D" w:rsidRDefault="007C60A2" w:rsidP="00333835">
            <w:pPr>
              <w:pStyle w:val="ListParagraph"/>
              <w:numPr>
                <w:ilvl w:val="0"/>
                <w:numId w:val="163"/>
              </w:numPr>
              <w:spacing w:after="0" w:line="240" w:lineRule="auto"/>
              <w:rPr>
                <w:rFonts w:ascii="Calibri Light" w:eastAsia="Times New Roman" w:hAnsi="Calibri Light" w:cs="Calibri Light"/>
                <w:color w:val="000000"/>
                <w:sz w:val="20"/>
                <w:szCs w:val="20"/>
                <w:lang w:eastAsia="en-GB"/>
              </w:rPr>
            </w:pPr>
            <w:r w:rsidRPr="007C60A2">
              <w:rPr>
                <w:rFonts w:ascii="Calibri Light" w:eastAsia="Times New Roman" w:hAnsi="Calibri Light" w:cs="Calibri Light"/>
                <w:color w:val="000000"/>
                <w:sz w:val="20"/>
                <w:szCs w:val="20"/>
                <w:lang w:eastAsia="en-GB"/>
              </w:rPr>
              <w:t>Министарство грађевинарства, саобраћаја и инфраструктуре</w:t>
            </w:r>
          </w:p>
        </w:tc>
      </w:tr>
      <w:tr w:rsidR="00854ADA" w:rsidRPr="00FF386D" w14:paraId="048241F6" w14:textId="77777777" w:rsidTr="0057310C">
        <w:trPr>
          <w:trHeight w:val="315"/>
        </w:trPr>
        <w:tc>
          <w:tcPr>
            <w:tcW w:w="3251" w:type="dxa"/>
            <w:tcBorders>
              <w:top w:val="nil"/>
              <w:left w:val="single" w:sz="8" w:space="0" w:color="auto"/>
              <w:bottom w:val="single" w:sz="8" w:space="0" w:color="auto"/>
              <w:right w:val="nil"/>
            </w:tcBorders>
            <w:shd w:val="clear" w:color="000000" w:fill="244062"/>
            <w:vAlign w:val="center"/>
            <w:hideMark/>
          </w:tcPr>
          <w:p w14:paraId="478091C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07" w:type="dxa"/>
            <w:gridSpan w:val="3"/>
            <w:tcBorders>
              <w:top w:val="single" w:sz="8" w:space="0" w:color="auto"/>
              <w:left w:val="nil"/>
              <w:bottom w:val="single" w:sz="8" w:space="0" w:color="auto"/>
              <w:right w:val="single" w:sz="8" w:space="0" w:color="000000"/>
            </w:tcBorders>
            <w:shd w:val="clear" w:color="auto" w:fill="auto"/>
            <w:vAlign w:val="center"/>
            <w:hideMark/>
          </w:tcPr>
          <w:p w14:paraId="2A651FD0" w14:textId="29E96D82" w:rsidR="00854ADA" w:rsidRPr="000A2AFE" w:rsidRDefault="004E1E3F" w:rsidP="000A2AFE">
            <w:pPr>
              <w:pStyle w:val="ListParagraph"/>
              <w:numPr>
                <w:ilvl w:val="0"/>
                <w:numId w:val="376"/>
              </w:num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Влада Републике Србије</w:t>
            </w:r>
          </w:p>
        </w:tc>
      </w:tr>
      <w:tr w:rsidR="00854ADA" w:rsidRPr="00FF386D" w14:paraId="1A8B2C2D" w14:textId="77777777" w:rsidTr="0057310C">
        <w:trPr>
          <w:trHeight w:val="315"/>
        </w:trPr>
        <w:tc>
          <w:tcPr>
            <w:tcW w:w="3251" w:type="dxa"/>
            <w:tcBorders>
              <w:top w:val="nil"/>
              <w:left w:val="single" w:sz="8" w:space="0" w:color="auto"/>
              <w:bottom w:val="single" w:sz="8" w:space="0" w:color="auto"/>
              <w:right w:val="nil"/>
            </w:tcBorders>
            <w:shd w:val="clear" w:color="000000" w:fill="244062"/>
            <w:vAlign w:val="center"/>
            <w:hideMark/>
          </w:tcPr>
          <w:p w14:paraId="1429343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07" w:type="dxa"/>
            <w:gridSpan w:val="3"/>
            <w:tcBorders>
              <w:top w:val="single" w:sz="8" w:space="0" w:color="auto"/>
              <w:left w:val="nil"/>
              <w:bottom w:val="single" w:sz="8" w:space="0" w:color="auto"/>
              <w:right w:val="single" w:sz="8" w:space="0" w:color="000000"/>
            </w:tcBorders>
            <w:shd w:val="clear" w:color="auto" w:fill="auto"/>
            <w:vAlign w:val="center"/>
            <w:hideMark/>
          </w:tcPr>
          <w:p w14:paraId="0BC4DE27" w14:textId="77777777" w:rsidR="00854ADA" w:rsidRPr="000A2AFE" w:rsidRDefault="00854ADA" w:rsidP="000A2AFE">
            <w:pPr>
              <w:pStyle w:val="ListParagraph"/>
              <w:numPr>
                <w:ilvl w:val="0"/>
                <w:numId w:val="376"/>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Обухваћени пројекти енергетске ефикасности, као и запослени у сектору банкарства</w:t>
            </w:r>
          </w:p>
        </w:tc>
      </w:tr>
      <w:tr w:rsidR="00854ADA" w:rsidRPr="00FF386D" w14:paraId="4FEA3D05" w14:textId="77777777" w:rsidTr="0057310C">
        <w:trPr>
          <w:trHeight w:val="566"/>
        </w:trPr>
        <w:tc>
          <w:tcPr>
            <w:tcW w:w="3251" w:type="dxa"/>
            <w:tcBorders>
              <w:top w:val="nil"/>
              <w:left w:val="single" w:sz="8" w:space="0" w:color="auto"/>
              <w:bottom w:val="single" w:sz="8" w:space="0" w:color="auto"/>
              <w:right w:val="single" w:sz="8" w:space="0" w:color="auto"/>
            </w:tcBorders>
            <w:shd w:val="clear" w:color="000000" w:fill="244062"/>
            <w:vAlign w:val="center"/>
            <w:hideMark/>
          </w:tcPr>
          <w:p w14:paraId="682A820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07" w:type="dxa"/>
            <w:gridSpan w:val="3"/>
            <w:tcBorders>
              <w:top w:val="single" w:sz="8" w:space="0" w:color="auto"/>
              <w:left w:val="nil"/>
              <w:bottom w:val="single" w:sz="8" w:space="0" w:color="auto"/>
              <w:right w:val="single" w:sz="8" w:space="0" w:color="000000"/>
            </w:tcBorders>
            <w:shd w:val="clear" w:color="auto" w:fill="auto"/>
            <w:vAlign w:val="center"/>
            <w:hideMark/>
          </w:tcPr>
          <w:p w14:paraId="01B52920" w14:textId="7B1AD6FC" w:rsidR="004E1E3F" w:rsidRPr="004E1E3F" w:rsidRDefault="004E1E3F" w:rsidP="004E1E3F">
            <w:pPr>
              <w:numPr>
                <w:ilvl w:val="0"/>
                <w:numId w:val="163"/>
              </w:numPr>
              <w:spacing w:after="0" w:line="240" w:lineRule="auto"/>
              <w:contextualSpacing/>
              <w:rPr>
                <w:rFonts w:ascii="Calibri Light" w:eastAsia="Times New Roman" w:hAnsi="Calibri Light" w:cs="Calibri Light"/>
                <w:color w:val="000000"/>
                <w:sz w:val="20"/>
                <w:szCs w:val="20"/>
                <w:lang w:eastAsia="en-GB"/>
              </w:rPr>
            </w:pPr>
            <w:r w:rsidRPr="004E1E3F">
              <w:rPr>
                <w:rFonts w:ascii="Calibri Light" w:eastAsia="Times New Roman" w:hAnsi="Calibri Light" w:cs="Calibri Light"/>
                <w:color w:val="000000"/>
                <w:sz w:val="20"/>
                <w:szCs w:val="20"/>
                <w:lang w:eastAsia="en-GB"/>
              </w:rPr>
              <w:t>Декарбонизација (постигнутом уштедом енергије смањиће се потрошња фосилних горива што ће довести до смањења емисија GHG а коришћене технологије ОИЕ ће довести до укупног повећања удела ОИЕ)</w:t>
            </w:r>
          </w:p>
          <w:p w14:paraId="41CC2668" w14:textId="41E5FDC8" w:rsidR="00854ADA" w:rsidRPr="00576383" w:rsidRDefault="004E1E3F" w:rsidP="00565B02">
            <w:pPr>
              <w:numPr>
                <w:ilvl w:val="0"/>
                <w:numId w:val="163"/>
              </w:numPr>
              <w:spacing w:after="0" w:line="240" w:lineRule="auto"/>
              <w:contextualSpacing/>
              <w:rPr>
                <w:rFonts w:ascii="Calibri Light" w:eastAsia="Times New Roman" w:hAnsi="Calibri Light" w:cs="Calibri Light"/>
                <w:color w:val="000000"/>
                <w:sz w:val="20"/>
                <w:szCs w:val="20"/>
                <w:lang w:eastAsia="en-GB"/>
              </w:rPr>
            </w:pPr>
            <w:r w:rsidRPr="004E1E3F">
              <w:rPr>
                <w:rFonts w:ascii="Calibri Light" w:eastAsia="Times New Roman" w:hAnsi="Calibri Light" w:cs="Calibri Light"/>
                <w:color w:val="000000"/>
                <w:sz w:val="20"/>
                <w:szCs w:val="20"/>
                <w:lang w:eastAsia="en-GB"/>
              </w:rPr>
              <w:t>Енергетска сигурност (постигнутом уштедом енергије смањиће се потрошња увезених фосилних горива што ће довести до смањења</w:t>
            </w:r>
          </w:p>
        </w:tc>
      </w:tr>
      <w:tr w:rsidR="00854ADA" w:rsidRPr="00FF386D" w14:paraId="53B4DB8E" w14:textId="77777777" w:rsidTr="0057310C">
        <w:trPr>
          <w:trHeight w:val="450"/>
        </w:trPr>
        <w:tc>
          <w:tcPr>
            <w:tcW w:w="3251"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6833CF77" w14:textId="2019836C"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07"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26AB0297" w14:textId="3A5FBD37" w:rsidR="00854ADA" w:rsidRPr="000A2AFE" w:rsidRDefault="00854ADA" w:rsidP="000A2AFE">
            <w:pPr>
              <w:numPr>
                <w:ilvl w:val="0"/>
                <w:numId w:val="163"/>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w:t>
            </w:r>
            <w:r w:rsidR="00333835" w:rsidRPr="000A2AFE">
              <w:rPr>
                <w:rFonts w:ascii="Calibri Light" w:eastAsia="Times New Roman" w:hAnsi="Calibri Light" w:cs="Calibri Light"/>
                <w:color w:val="000000"/>
                <w:sz w:val="20"/>
                <w:szCs w:val="20"/>
                <w:lang w:eastAsia="en-GB"/>
              </w:rPr>
              <w:t xml:space="preserve"> (ЕУ) </w:t>
            </w:r>
            <w:r w:rsidRPr="000A2AFE">
              <w:rPr>
                <w:rFonts w:ascii="Calibri Light" w:eastAsia="Times New Roman" w:hAnsi="Calibri Light" w:cs="Calibri Light"/>
                <w:color w:val="000000"/>
                <w:sz w:val="20"/>
                <w:szCs w:val="20"/>
                <w:lang w:eastAsia="en-GB"/>
              </w:rPr>
              <w:t>2012/27</w:t>
            </w:r>
          </w:p>
          <w:p w14:paraId="098F2616" w14:textId="1723A9A1" w:rsidR="00854ADA" w:rsidRPr="00FF386D" w:rsidRDefault="00854ADA" w:rsidP="000A2AFE">
            <w:pPr>
              <w:numPr>
                <w:ilvl w:val="0"/>
                <w:numId w:val="163"/>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Директива </w:t>
            </w:r>
            <w:r w:rsidR="00333835" w:rsidRPr="000A2AFE">
              <w:rPr>
                <w:rFonts w:ascii="Calibri Light" w:eastAsia="Times New Roman" w:hAnsi="Calibri Light" w:cs="Calibri Light"/>
                <w:color w:val="000000"/>
                <w:sz w:val="20"/>
                <w:szCs w:val="20"/>
                <w:lang w:eastAsia="en-GB"/>
              </w:rPr>
              <w:t xml:space="preserve">(ЕУ) </w:t>
            </w:r>
            <w:r w:rsidRPr="000A2AFE">
              <w:rPr>
                <w:rFonts w:ascii="Calibri Light" w:eastAsia="Times New Roman" w:hAnsi="Calibri Light" w:cs="Calibri Light"/>
                <w:color w:val="000000"/>
                <w:sz w:val="20"/>
                <w:szCs w:val="20"/>
                <w:lang w:eastAsia="en-GB"/>
              </w:rPr>
              <w:t>2018/2002</w:t>
            </w:r>
          </w:p>
        </w:tc>
      </w:tr>
      <w:tr w:rsidR="00854ADA" w:rsidRPr="00FF386D" w14:paraId="1F2DE511" w14:textId="77777777" w:rsidTr="0057310C">
        <w:trPr>
          <w:trHeight w:val="450"/>
        </w:trPr>
        <w:tc>
          <w:tcPr>
            <w:tcW w:w="3251" w:type="dxa"/>
            <w:vMerge/>
            <w:tcBorders>
              <w:top w:val="nil"/>
              <w:left w:val="single" w:sz="8" w:space="0" w:color="auto"/>
              <w:bottom w:val="single" w:sz="8" w:space="0" w:color="000000"/>
              <w:right w:val="single" w:sz="8" w:space="0" w:color="auto"/>
            </w:tcBorders>
            <w:vAlign w:val="center"/>
            <w:hideMark/>
          </w:tcPr>
          <w:p w14:paraId="5C57ADF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207" w:type="dxa"/>
            <w:gridSpan w:val="3"/>
            <w:vMerge/>
            <w:tcBorders>
              <w:top w:val="single" w:sz="8" w:space="0" w:color="auto"/>
              <w:left w:val="single" w:sz="8" w:space="0" w:color="auto"/>
              <w:bottom w:val="single" w:sz="8" w:space="0" w:color="000000"/>
              <w:right w:val="single" w:sz="8" w:space="0" w:color="000000"/>
            </w:tcBorders>
            <w:vAlign w:val="center"/>
            <w:hideMark/>
          </w:tcPr>
          <w:p w14:paraId="2AB93B8A"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p>
        </w:tc>
      </w:tr>
      <w:tr w:rsidR="00854ADA" w:rsidRPr="00FF386D" w14:paraId="0201B602" w14:textId="77777777" w:rsidTr="0057310C">
        <w:trPr>
          <w:trHeight w:val="450"/>
        </w:trPr>
        <w:tc>
          <w:tcPr>
            <w:tcW w:w="3251" w:type="dxa"/>
            <w:vMerge/>
            <w:tcBorders>
              <w:top w:val="nil"/>
              <w:left w:val="single" w:sz="8" w:space="0" w:color="auto"/>
              <w:bottom w:val="single" w:sz="8" w:space="0" w:color="000000"/>
              <w:right w:val="single" w:sz="8" w:space="0" w:color="auto"/>
            </w:tcBorders>
            <w:vAlign w:val="center"/>
            <w:hideMark/>
          </w:tcPr>
          <w:p w14:paraId="3EB97F0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p>
        </w:tc>
        <w:tc>
          <w:tcPr>
            <w:tcW w:w="6207" w:type="dxa"/>
            <w:gridSpan w:val="3"/>
            <w:vMerge/>
            <w:tcBorders>
              <w:top w:val="single" w:sz="8" w:space="0" w:color="auto"/>
              <w:left w:val="single" w:sz="8" w:space="0" w:color="auto"/>
              <w:bottom w:val="single" w:sz="8" w:space="0" w:color="000000"/>
              <w:right w:val="single" w:sz="8" w:space="0" w:color="000000"/>
            </w:tcBorders>
            <w:vAlign w:val="center"/>
            <w:hideMark/>
          </w:tcPr>
          <w:p w14:paraId="6D4B6F82"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p>
        </w:tc>
      </w:tr>
      <w:tr w:rsidR="00854ADA" w:rsidRPr="00FF386D" w14:paraId="513E928A" w14:textId="77777777" w:rsidTr="0057310C">
        <w:trPr>
          <w:trHeight w:val="557"/>
        </w:trPr>
        <w:tc>
          <w:tcPr>
            <w:tcW w:w="3251" w:type="dxa"/>
            <w:tcBorders>
              <w:top w:val="nil"/>
              <w:left w:val="single" w:sz="8" w:space="0" w:color="auto"/>
              <w:bottom w:val="single" w:sz="8" w:space="0" w:color="auto"/>
              <w:right w:val="single" w:sz="8" w:space="0" w:color="auto"/>
            </w:tcBorders>
            <w:shd w:val="clear" w:color="000000" w:fill="244062"/>
            <w:vAlign w:val="center"/>
            <w:hideMark/>
          </w:tcPr>
          <w:p w14:paraId="16B00DD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07" w:type="dxa"/>
            <w:gridSpan w:val="3"/>
            <w:tcBorders>
              <w:top w:val="single" w:sz="8" w:space="0" w:color="auto"/>
              <w:left w:val="nil"/>
              <w:bottom w:val="single" w:sz="8" w:space="0" w:color="auto"/>
              <w:right w:val="single" w:sz="8" w:space="0" w:color="000000"/>
            </w:tcBorders>
            <w:shd w:val="clear" w:color="auto" w:fill="auto"/>
            <w:vAlign w:val="center"/>
            <w:hideMark/>
          </w:tcPr>
          <w:p w14:paraId="7B10DEC1" w14:textId="7921DE38" w:rsidR="00854ADA" w:rsidRPr="000A2AFE" w:rsidRDefault="007C60A2" w:rsidP="000A2AFE">
            <w:pPr>
              <w:pStyle w:val="ListParagraph"/>
              <w:numPr>
                <w:ilvl w:val="0"/>
                <w:numId w:val="318"/>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Закон о планирању и изградњи</w:t>
            </w:r>
          </w:p>
        </w:tc>
      </w:tr>
      <w:tr w:rsidR="00854ADA" w:rsidRPr="00FF386D" w14:paraId="19EA2393" w14:textId="77777777" w:rsidTr="0057310C">
        <w:trPr>
          <w:trHeight w:val="315"/>
        </w:trPr>
        <w:tc>
          <w:tcPr>
            <w:tcW w:w="3251" w:type="dxa"/>
            <w:tcBorders>
              <w:top w:val="nil"/>
              <w:left w:val="single" w:sz="8" w:space="0" w:color="auto"/>
              <w:bottom w:val="single" w:sz="8" w:space="0" w:color="auto"/>
              <w:right w:val="single" w:sz="8" w:space="0" w:color="auto"/>
            </w:tcBorders>
            <w:shd w:val="clear" w:color="000000" w:fill="244062"/>
            <w:vAlign w:val="center"/>
            <w:hideMark/>
          </w:tcPr>
          <w:p w14:paraId="68889ED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07" w:type="dxa"/>
            <w:gridSpan w:val="3"/>
            <w:tcBorders>
              <w:top w:val="single" w:sz="8" w:space="0" w:color="auto"/>
              <w:left w:val="nil"/>
              <w:bottom w:val="single" w:sz="8" w:space="0" w:color="auto"/>
              <w:right w:val="single" w:sz="8" w:space="0" w:color="000000"/>
            </w:tcBorders>
            <w:shd w:val="clear" w:color="auto" w:fill="auto"/>
            <w:vAlign w:val="center"/>
            <w:hideMark/>
          </w:tcPr>
          <w:p w14:paraId="5C4338E2" w14:textId="1F0AEF58"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 xml:space="preserve">Буџет </w:t>
            </w:r>
            <w:r w:rsidR="00333835" w:rsidRPr="00FF386D">
              <w:rPr>
                <w:rFonts w:ascii="Calibri Light" w:eastAsia="Times New Roman" w:hAnsi="Calibri Light" w:cs="Calibri Light"/>
                <w:color w:val="000000"/>
                <w:sz w:val="20"/>
                <w:szCs w:val="20"/>
                <w:lang w:eastAsia="en-GB"/>
              </w:rPr>
              <w:t>обухваћен</w:t>
            </w:r>
            <w:r w:rsidRPr="00FF386D">
              <w:rPr>
                <w:rFonts w:ascii="Calibri Light" w:eastAsia="Times New Roman" w:hAnsi="Calibri Light" w:cs="Calibri Light"/>
                <w:color w:val="000000"/>
                <w:sz w:val="20"/>
                <w:szCs w:val="20"/>
                <w:lang w:eastAsia="en-GB"/>
              </w:rPr>
              <w:t xml:space="preserve"> у св</w:t>
            </w:r>
            <w:r w:rsidR="00333835" w:rsidRPr="00FF386D">
              <w:rPr>
                <w:rFonts w:ascii="Calibri Light" w:eastAsia="Times New Roman" w:hAnsi="Calibri Light" w:cs="Calibri Light"/>
                <w:color w:val="000000"/>
                <w:sz w:val="20"/>
                <w:szCs w:val="20"/>
                <w:lang w:eastAsia="en-GB"/>
              </w:rPr>
              <w:t>им</w:t>
            </w:r>
            <w:r w:rsidRPr="00FF386D">
              <w:rPr>
                <w:rFonts w:ascii="Calibri Light" w:eastAsia="Times New Roman" w:hAnsi="Calibri Light" w:cs="Calibri Light"/>
                <w:color w:val="000000"/>
                <w:sz w:val="20"/>
                <w:szCs w:val="20"/>
                <w:lang w:eastAsia="en-GB"/>
              </w:rPr>
              <w:t xml:space="preserve"> мер</w:t>
            </w:r>
            <w:r w:rsidR="00333835" w:rsidRPr="00FF386D">
              <w:rPr>
                <w:rFonts w:ascii="Calibri Light" w:eastAsia="Times New Roman" w:hAnsi="Calibri Light" w:cs="Calibri Light"/>
                <w:color w:val="000000"/>
                <w:sz w:val="20"/>
                <w:szCs w:val="20"/>
                <w:lang w:eastAsia="en-GB"/>
              </w:rPr>
              <w:t>ама финалне потрошње</w:t>
            </w:r>
          </w:p>
        </w:tc>
      </w:tr>
      <w:tr w:rsidR="00854ADA" w:rsidRPr="00FF386D" w14:paraId="03F0E870" w14:textId="77777777" w:rsidTr="0057310C">
        <w:trPr>
          <w:trHeight w:val="315"/>
        </w:trPr>
        <w:tc>
          <w:tcPr>
            <w:tcW w:w="3251" w:type="dxa"/>
            <w:tcBorders>
              <w:top w:val="nil"/>
              <w:left w:val="single" w:sz="8" w:space="0" w:color="auto"/>
              <w:bottom w:val="single" w:sz="8" w:space="0" w:color="auto"/>
              <w:right w:val="single" w:sz="8" w:space="0" w:color="auto"/>
            </w:tcBorders>
            <w:shd w:val="clear" w:color="000000" w:fill="244062"/>
            <w:vAlign w:val="center"/>
            <w:hideMark/>
          </w:tcPr>
          <w:p w14:paraId="4663805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07" w:type="dxa"/>
            <w:gridSpan w:val="3"/>
            <w:tcBorders>
              <w:top w:val="single" w:sz="8" w:space="0" w:color="auto"/>
              <w:left w:val="nil"/>
              <w:bottom w:val="single" w:sz="8" w:space="0" w:color="auto"/>
              <w:right w:val="single" w:sz="8" w:space="0" w:color="000000"/>
            </w:tcBorders>
            <w:shd w:val="clear" w:color="auto" w:fill="auto"/>
            <w:vAlign w:val="center"/>
            <w:hideMark/>
          </w:tcPr>
          <w:p w14:paraId="723F5D73" w14:textId="05303111"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Theme="majorHAnsi" w:eastAsia="Times New Roman" w:hAnsiTheme="majorHAnsi" w:cstheme="majorHAnsi"/>
                <w:color w:val="000000"/>
                <w:sz w:val="20"/>
                <w:szCs w:val="20"/>
                <w:lang w:eastAsia="en-GB"/>
              </w:rPr>
              <w:t>Фондови ЕУ и други фондови, буџет</w:t>
            </w:r>
            <w:r w:rsidR="00333835" w:rsidRPr="00FF386D">
              <w:rPr>
                <w:rFonts w:asciiTheme="majorHAnsi" w:eastAsia="Times New Roman" w:hAnsiTheme="majorHAnsi" w:cstheme="majorHAnsi"/>
                <w:color w:val="000000"/>
                <w:sz w:val="20"/>
                <w:szCs w:val="20"/>
                <w:lang w:eastAsia="en-GB"/>
              </w:rPr>
              <w:t>ска и</w:t>
            </w:r>
            <w:r w:rsidRPr="00FF386D">
              <w:rPr>
                <w:rFonts w:asciiTheme="majorHAnsi" w:eastAsia="Times New Roman" w:hAnsiTheme="majorHAnsi" w:cstheme="majorHAnsi"/>
                <w:color w:val="000000"/>
                <w:sz w:val="20"/>
                <w:szCs w:val="20"/>
                <w:lang w:eastAsia="en-GB"/>
              </w:rPr>
              <w:t xml:space="preserve"> сопствена средства</w:t>
            </w:r>
          </w:p>
        </w:tc>
      </w:tr>
    </w:tbl>
    <w:p w14:paraId="5E3DEC58" w14:textId="60E88E72" w:rsidR="00854ADA" w:rsidRPr="00FF386D" w:rsidRDefault="00854ADA" w:rsidP="00854ADA">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Осим мера приказаних у претходним табелама, на димензију енергетске ефикасности утичу и мере </w:t>
      </w:r>
      <w:r w:rsidR="00227792" w:rsidRPr="00FF386D">
        <w:rPr>
          <w:rFonts w:asciiTheme="majorHAnsi" w:eastAsia="Times New Roman" w:hAnsiTheme="majorHAnsi" w:cstheme="majorHAnsi"/>
          <w:lang w:eastAsia="el-GR"/>
        </w:rPr>
        <w:t>обухваћене у</w:t>
      </w:r>
      <w:r w:rsidRPr="00FF386D">
        <w:rPr>
          <w:rFonts w:asciiTheme="majorHAnsi" w:eastAsia="Times New Roman" w:hAnsiTheme="majorHAnsi" w:cstheme="majorHAnsi"/>
          <w:lang w:eastAsia="el-GR"/>
        </w:rPr>
        <w:t xml:space="preserve"> осталим димензијама </w:t>
      </w:r>
      <w:r w:rsidR="00E61101" w:rsidRPr="00FF386D">
        <w:rPr>
          <w:rFonts w:asciiTheme="majorHAnsi" w:eastAsia="Times New Roman" w:hAnsiTheme="majorHAnsi" w:cstheme="majorHAnsi"/>
          <w:lang w:eastAsia="el-GR"/>
        </w:rPr>
        <w:t xml:space="preserve">и </w:t>
      </w:r>
      <w:r w:rsidRPr="00FF386D">
        <w:rPr>
          <w:rFonts w:asciiTheme="majorHAnsi" w:eastAsia="Times New Roman" w:hAnsiTheme="majorHAnsi" w:cstheme="majorHAnsi"/>
          <w:lang w:eastAsia="el-GR"/>
        </w:rPr>
        <w:t>доприносе остваре</w:t>
      </w:r>
      <w:r w:rsidR="00E61101" w:rsidRPr="00FF386D">
        <w:rPr>
          <w:rFonts w:asciiTheme="majorHAnsi" w:eastAsia="Times New Roman" w:hAnsiTheme="majorHAnsi" w:cstheme="majorHAnsi"/>
          <w:lang w:eastAsia="el-GR"/>
        </w:rPr>
        <w:t>њ</w:t>
      </w:r>
      <w:r w:rsidRPr="00FF386D">
        <w:rPr>
          <w:rFonts w:asciiTheme="majorHAnsi" w:eastAsia="Times New Roman" w:hAnsiTheme="majorHAnsi" w:cstheme="majorHAnsi"/>
          <w:lang w:eastAsia="el-GR"/>
        </w:rPr>
        <w:t>у циљева енергетске ефикасности, а у њих спадају:</w:t>
      </w:r>
    </w:p>
    <w:p w14:paraId="08A0E309" w14:textId="3CC337B5" w:rsidR="00854ADA" w:rsidRPr="00FF386D" w:rsidRDefault="00854ADA">
      <w:pPr>
        <w:widowControl w:val="0"/>
        <w:numPr>
          <w:ilvl w:val="0"/>
          <w:numId w:val="269"/>
        </w:numPr>
        <w:spacing w:after="0" w:line="276" w:lineRule="auto"/>
        <w:jc w:val="both"/>
        <w:rPr>
          <w:rFonts w:asciiTheme="majorHAnsi" w:eastAsia="Times New Roman" w:hAnsiTheme="majorHAnsi" w:cstheme="majorHAnsi"/>
          <w:lang w:eastAsia="en-GB"/>
        </w:rPr>
      </w:pPr>
      <w:r w:rsidRPr="00FF386D">
        <w:rPr>
          <w:rFonts w:asciiTheme="majorHAnsi" w:eastAsia="Times New Roman" w:hAnsiTheme="majorHAnsi" w:cstheme="majorHAnsi"/>
          <w:lang w:eastAsia="en-GB"/>
        </w:rPr>
        <w:t xml:space="preserve">Димензија декарбонизације: </w:t>
      </w:r>
      <w:r w:rsidRPr="00FF386D">
        <w:rPr>
          <w:rFonts w:asciiTheme="majorHAnsi" w:eastAsia="Times New Roman" w:hAnsiTheme="majorHAnsi" w:cstheme="majorHAnsi"/>
          <w:b/>
          <w:bCs/>
          <w:lang w:eastAsia="en-GB"/>
        </w:rPr>
        <w:t>MП_</w:t>
      </w:r>
      <w:r w:rsidR="00A71252" w:rsidRPr="00FF386D">
        <w:rPr>
          <w:rFonts w:asciiTheme="majorHAnsi" w:eastAsia="Times New Roman" w:hAnsiTheme="majorHAnsi" w:cstheme="majorHAnsi"/>
          <w:b/>
          <w:bCs/>
          <w:lang w:eastAsia="en-GB"/>
        </w:rPr>
        <w:t>Д</w:t>
      </w:r>
      <w:r w:rsidR="00A71252">
        <w:rPr>
          <w:rFonts w:asciiTheme="majorHAnsi" w:eastAsia="Times New Roman" w:hAnsiTheme="majorHAnsi" w:cstheme="majorHAnsi"/>
          <w:b/>
          <w:bCs/>
          <w:lang w:eastAsia="en-GB"/>
        </w:rPr>
        <w:t>29</w:t>
      </w:r>
      <w:r w:rsidR="00A71252" w:rsidRPr="00FF386D">
        <w:rPr>
          <w:rFonts w:asciiTheme="majorHAnsi" w:eastAsia="Times New Roman" w:hAnsiTheme="majorHAnsi" w:cstheme="majorHAnsi"/>
          <w:b/>
          <w:bCs/>
          <w:lang w:eastAsia="en-GB"/>
        </w:rPr>
        <w:t xml:space="preserve"> </w:t>
      </w:r>
      <w:r w:rsidRPr="00FF386D">
        <w:rPr>
          <w:rFonts w:asciiTheme="majorHAnsi" w:eastAsia="Times New Roman" w:hAnsiTheme="majorHAnsi" w:cstheme="majorHAnsi"/>
          <w:b/>
          <w:bCs/>
          <w:lang w:eastAsia="en-GB"/>
        </w:rPr>
        <w:t>– МП_</w:t>
      </w:r>
      <w:r w:rsidR="00A71252" w:rsidRPr="00FF386D">
        <w:rPr>
          <w:rFonts w:asciiTheme="majorHAnsi" w:eastAsia="Times New Roman" w:hAnsiTheme="majorHAnsi" w:cstheme="majorHAnsi"/>
          <w:b/>
          <w:bCs/>
          <w:lang w:eastAsia="en-GB"/>
        </w:rPr>
        <w:t>Д3</w:t>
      </w:r>
      <w:r w:rsidR="00A71252">
        <w:rPr>
          <w:rFonts w:asciiTheme="majorHAnsi" w:eastAsia="Times New Roman" w:hAnsiTheme="majorHAnsi" w:cstheme="majorHAnsi"/>
          <w:b/>
          <w:bCs/>
          <w:lang w:eastAsia="en-GB"/>
        </w:rPr>
        <w:t>1</w:t>
      </w:r>
      <w:r w:rsidRPr="00FF386D">
        <w:rPr>
          <w:rFonts w:asciiTheme="majorHAnsi" w:eastAsia="Times New Roman" w:hAnsiTheme="majorHAnsi" w:cstheme="majorHAnsi"/>
          <w:lang w:eastAsia="en-GB"/>
        </w:rPr>
        <w:t xml:space="preserve">, </w:t>
      </w:r>
      <w:r w:rsidRPr="00FF386D">
        <w:rPr>
          <w:rFonts w:asciiTheme="majorHAnsi" w:eastAsia="Times New Roman" w:hAnsiTheme="majorHAnsi" w:cstheme="majorHAnsi"/>
          <w:b/>
          <w:bCs/>
          <w:lang w:eastAsia="en-GB"/>
        </w:rPr>
        <w:t>MП_</w:t>
      </w:r>
      <w:r w:rsidR="00A71252" w:rsidRPr="00FF386D">
        <w:rPr>
          <w:rFonts w:asciiTheme="majorHAnsi" w:eastAsia="Times New Roman" w:hAnsiTheme="majorHAnsi" w:cstheme="majorHAnsi"/>
          <w:b/>
          <w:bCs/>
          <w:lang w:eastAsia="en-GB"/>
        </w:rPr>
        <w:t>Д3</w:t>
      </w:r>
      <w:r w:rsidR="00A71252">
        <w:rPr>
          <w:rFonts w:asciiTheme="majorHAnsi" w:eastAsia="Times New Roman" w:hAnsiTheme="majorHAnsi" w:cstheme="majorHAnsi"/>
          <w:b/>
          <w:bCs/>
          <w:lang w:eastAsia="en-GB"/>
        </w:rPr>
        <w:t>4</w:t>
      </w:r>
      <w:r w:rsidRPr="00FF386D">
        <w:rPr>
          <w:rFonts w:asciiTheme="majorHAnsi" w:eastAsia="Times New Roman" w:hAnsiTheme="majorHAnsi" w:cstheme="majorHAnsi"/>
          <w:b/>
          <w:bCs/>
          <w:lang w:eastAsia="en-GB"/>
        </w:rPr>
        <w:t>, MП_</w:t>
      </w:r>
      <w:r w:rsidR="00A71252" w:rsidRPr="00FF386D">
        <w:rPr>
          <w:rFonts w:asciiTheme="majorHAnsi" w:eastAsia="Times New Roman" w:hAnsiTheme="majorHAnsi" w:cstheme="majorHAnsi"/>
          <w:b/>
          <w:bCs/>
          <w:lang w:eastAsia="en-GB"/>
        </w:rPr>
        <w:t>Д3</w:t>
      </w:r>
      <w:r w:rsidR="00A71252">
        <w:rPr>
          <w:rFonts w:asciiTheme="majorHAnsi" w:eastAsia="Times New Roman" w:hAnsiTheme="majorHAnsi" w:cstheme="majorHAnsi"/>
          <w:b/>
          <w:bCs/>
          <w:lang w:eastAsia="en-GB"/>
        </w:rPr>
        <w:t>5</w:t>
      </w:r>
      <w:r w:rsidR="00A71252" w:rsidRPr="00FF386D">
        <w:rPr>
          <w:rFonts w:asciiTheme="majorHAnsi" w:eastAsia="Times New Roman" w:hAnsiTheme="majorHAnsi" w:cstheme="majorHAnsi"/>
          <w:lang w:eastAsia="en-GB"/>
        </w:rPr>
        <w:t xml:space="preserve"> </w:t>
      </w:r>
      <w:r w:rsidRPr="00FF386D">
        <w:rPr>
          <w:rFonts w:asciiTheme="majorHAnsi" w:eastAsia="Times New Roman" w:hAnsiTheme="majorHAnsi" w:cstheme="majorHAnsi"/>
          <w:lang w:eastAsia="en-GB"/>
        </w:rPr>
        <w:t xml:space="preserve">и </w:t>
      </w:r>
      <w:r w:rsidRPr="00FF386D">
        <w:rPr>
          <w:rFonts w:asciiTheme="majorHAnsi" w:eastAsia="Times New Roman" w:hAnsiTheme="majorHAnsi" w:cstheme="majorHAnsi"/>
          <w:b/>
          <w:bCs/>
          <w:lang w:eastAsia="en-GB"/>
        </w:rPr>
        <w:t>MП_</w:t>
      </w:r>
      <w:r w:rsidR="00A71252" w:rsidRPr="00FF386D">
        <w:rPr>
          <w:rFonts w:asciiTheme="majorHAnsi" w:eastAsia="Times New Roman" w:hAnsiTheme="majorHAnsi" w:cstheme="majorHAnsi"/>
          <w:b/>
          <w:bCs/>
          <w:lang w:eastAsia="en-GB"/>
        </w:rPr>
        <w:t>Д4</w:t>
      </w:r>
      <w:r w:rsidR="00A71252">
        <w:rPr>
          <w:rFonts w:asciiTheme="majorHAnsi" w:eastAsia="Times New Roman" w:hAnsiTheme="majorHAnsi" w:cstheme="majorHAnsi"/>
          <w:b/>
          <w:bCs/>
          <w:lang w:eastAsia="en-GB"/>
        </w:rPr>
        <w:t>3</w:t>
      </w:r>
    </w:p>
    <w:p w14:paraId="1F327570" w14:textId="46019712" w:rsidR="00854ADA" w:rsidRPr="00FF386D" w:rsidRDefault="00854ADA">
      <w:pPr>
        <w:widowControl w:val="0"/>
        <w:numPr>
          <w:ilvl w:val="0"/>
          <w:numId w:val="269"/>
        </w:numPr>
        <w:spacing w:after="0" w:line="276" w:lineRule="auto"/>
        <w:jc w:val="both"/>
        <w:rPr>
          <w:rFonts w:asciiTheme="majorHAnsi" w:eastAsia="Times New Roman" w:hAnsiTheme="majorHAnsi" w:cstheme="majorHAnsi"/>
          <w:b/>
          <w:bCs/>
          <w:lang w:eastAsia="en-GB"/>
        </w:rPr>
      </w:pPr>
      <w:r w:rsidRPr="00FF386D">
        <w:rPr>
          <w:rFonts w:asciiTheme="majorHAnsi" w:eastAsia="Times New Roman" w:hAnsiTheme="majorHAnsi" w:cstheme="majorHAnsi"/>
          <w:lang w:eastAsia="en-GB"/>
        </w:rPr>
        <w:t xml:space="preserve">Димензија унутрашњег енергетског тржишта: </w:t>
      </w:r>
      <w:r w:rsidRPr="00FF386D">
        <w:rPr>
          <w:rFonts w:asciiTheme="majorHAnsi" w:eastAsia="Times New Roman" w:hAnsiTheme="majorHAnsi" w:cstheme="majorHAnsi"/>
          <w:b/>
          <w:bCs/>
          <w:lang w:eastAsia="en-GB"/>
        </w:rPr>
        <w:t>MП_УЕТ</w:t>
      </w:r>
      <w:r w:rsidR="00EB458D">
        <w:rPr>
          <w:rFonts w:asciiTheme="majorHAnsi" w:eastAsia="Times New Roman" w:hAnsiTheme="majorHAnsi" w:cstheme="majorHAnsi"/>
          <w:b/>
          <w:bCs/>
          <w:lang w:val="en-US" w:eastAsia="en-GB"/>
        </w:rPr>
        <w:t>1</w:t>
      </w:r>
      <w:r w:rsidRPr="00FF386D">
        <w:rPr>
          <w:rFonts w:asciiTheme="majorHAnsi" w:eastAsia="Times New Roman" w:hAnsiTheme="majorHAnsi" w:cstheme="majorHAnsi"/>
          <w:b/>
          <w:bCs/>
          <w:lang w:eastAsia="en-GB"/>
        </w:rPr>
        <w:t>1</w:t>
      </w:r>
      <w:r w:rsidRPr="00FF386D">
        <w:rPr>
          <w:rFonts w:asciiTheme="majorHAnsi" w:eastAsia="Times New Roman" w:hAnsiTheme="majorHAnsi" w:cstheme="majorHAnsi"/>
          <w:lang w:eastAsia="en-GB"/>
        </w:rPr>
        <w:t xml:space="preserve">, </w:t>
      </w:r>
      <w:r w:rsidRPr="00FF386D">
        <w:rPr>
          <w:rFonts w:asciiTheme="majorHAnsi" w:eastAsia="Times New Roman" w:hAnsiTheme="majorHAnsi" w:cstheme="majorHAnsi"/>
          <w:b/>
          <w:bCs/>
          <w:lang w:eastAsia="en-GB"/>
        </w:rPr>
        <w:t>МП_УЕТ13</w:t>
      </w:r>
      <w:r w:rsidRPr="00FF386D">
        <w:rPr>
          <w:rFonts w:asciiTheme="majorHAnsi" w:eastAsia="Times New Roman" w:hAnsiTheme="majorHAnsi" w:cstheme="majorHAnsi"/>
          <w:lang w:eastAsia="en-GB"/>
        </w:rPr>
        <w:t xml:space="preserve">, </w:t>
      </w:r>
      <w:r w:rsidRPr="00FF386D">
        <w:rPr>
          <w:rFonts w:asciiTheme="majorHAnsi" w:eastAsia="Times New Roman" w:hAnsiTheme="majorHAnsi" w:cstheme="majorHAnsi"/>
          <w:b/>
          <w:bCs/>
          <w:lang w:eastAsia="en-GB"/>
        </w:rPr>
        <w:t>МП_УЕТ17, MП_УЕТ20</w:t>
      </w:r>
      <w:r w:rsidRPr="00FF386D">
        <w:rPr>
          <w:rFonts w:asciiTheme="majorHAnsi" w:eastAsia="Times New Roman" w:hAnsiTheme="majorHAnsi" w:cstheme="majorHAnsi"/>
          <w:lang w:eastAsia="en-GB"/>
        </w:rPr>
        <w:t xml:space="preserve"> и </w:t>
      </w:r>
      <w:r w:rsidRPr="00FF386D">
        <w:rPr>
          <w:rFonts w:asciiTheme="majorHAnsi" w:eastAsia="Times New Roman" w:hAnsiTheme="majorHAnsi" w:cstheme="majorHAnsi"/>
          <w:b/>
          <w:bCs/>
          <w:lang w:eastAsia="en-GB"/>
        </w:rPr>
        <w:t>MП_</w:t>
      </w:r>
      <w:r w:rsidR="00A71252" w:rsidRPr="00FF386D">
        <w:rPr>
          <w:rFonts w:asciiTheme="majorHAnsi" w:eastAsia="Times New Roman" w:hAnsiTheme="majorHAnsi" w:cstheme="majorHAnsi"/>
          <w:b/>
          <w:bCs/>
          <w:lang w:eastAsia="en-GB"/>
        </w:rPr>
        <w:t>УЕТ3</w:t>
      </w:r>
      <w:r w:rsidR="00A71252">
        <w:rPr>
          <w:rFonts w:asciiTheme="majorHAnsi" w:eastAsia="Times New Roman" w:hAnsiTheme="majorHAnsi" w:cstheme="majorHAnsi"/>
          <w:b/>
          <w:bCs/>
          <w:lang w:eastAsia="en-GB"/>
        </w:rPr>
        <w:t>6</w:t>
      </w:r>
    </w:p>
    <w:p w14:paraId="6DD000C2" w14:textId="77777777" w:rsidR="00854ADA" w:rsidRPr="00565B02" w:rsidRDefault="00854ADA" w:rsidP="00B1080B">
      <w:pPr>
        <w:pStyle w:val="Heading2"/>
        <w:rPr>
          <w:lang w:val="sr-Cyrl-RS"/>
        </w:rPr>
      </w:pPr>
      <w:bookmarkStart w:id="125" w:name="_Toc115351871"/>
      <w:bookmarkStart w:id="126" w:name="_Toc137457025"/>
      <w:bookmarkStart w:id="127" w:name="_Toc153901544"/>
      <w:r w:rsidRPr="00565B02">
        <w:rPr>
          <w:lang w:val="sr-Cyrl-RS"/>
        </w:rPr>
        <w:t xml:space="preserve">Димензија енергетска </w:t>
      </w:r>
      <w:bookmarkEnd w:id="125"/>
      <w:r w:rsidRPr="00565B02">
        <w:rPr>
          <w:lang w:val="sr-Cyrl-RS"/>
        </w:rPr>
        <w:t>сигурност</w:t>
      </w:r>
      <w:bookmarkEnd w:id="126"/>
      <w:bookmarkEnd w:id="127"/>
    </w:p>
    <w:p w14:paraId="5FB9FFB8" w14:textId="71E41B38" w:rsidR="00854ADA" w:rsidRPr="00FF386D" w:rsidRDefault="00854ADA" w:rsidP="00854ADA">
      <w:pPr>
        <w:spacing w:before="120" w:after="120" w:line="240" w:lineRule="auto"/>
        <w:jc w:val="both"/>
        <w:rPr>
          <w:rFonts w:ascii="Calibri Light" w:eastAsia="Times New Roman" w:hAnsi="Calibri Light" w:cs="Calibri Light"/>
          <w:lang w:eastAsia="el-GR"/>
        </w:rPr>
      </w:pPr>
      <w:r w:rsidRPr="00FF386D">
        <w:rPr>
          <w:rFonts w:ascii="Calibri Light" w:eastAsia="Times New Roman" w:hAnsi="Calibri Light" w:cs="Calibri Light"/>
          <w:lang w:eastAsia="el-GR"/>
        </w:rPr>
        <w:t>За постизање циља у области енергетске сигурности, дефинисано је 7 политика и мера. У наредним табелама су приказан</w:t>
      </w:r>
      <w:r w:rsidR="00E61101" w:rsidRPr="00FF386D">
        <w:rPr>
          <w:rFonts w:ascii="Calibri Light" w:eastAsia="Times New Roman" w:hAnsi="Calibri Light" w:cs="Calibri Light"/>
          <w:lang w:eastAsia="el-GR"/>
        </w:rPr>
        <w:t>и детаљи</w:t>
      </w:r>
      <w:r w:rsidRPr="00FF386D">
        <w:rPr>
          <w:rFonts w:ascii="Calibri Light" w:eastAsia="Times New Roman" w:hAnsi="Calibri Light" w:cs="Calibri Light"/>
          <w:lang w:eastAsia="el-GR"/>
        </w:rPr>
        <w:t xml:space="preserve"> сваке од њих.</w:t>
      </w:r>
    </w:p>
    <w:tbl>
      <w:tblPr>
        <w:tblW w:w="9488" w:type="dxa"/>
        <w:tblLook w:val="04A0" w:firstRow="1" w:lastRow="0" w:firstColumn="1" w:lastColumn="0" w:noHBand="0" w:noVBand="1"/>
      </w:tblPr>
      <w:tblGrid>
        <w:gridCol w:w="3338"/>
        <w:gridCol w:w="940"/>
        <w:gridCol w:w="944"/>
        <w:gridCol w:w="4266"/>
      </w:tblGrid>
      <w:tr w:rsidR="00854ADA" w:rsidRPr="00FF386D" w14:paraId="0DC0211D" w14:textId="77777777" w:rsidTr="0057310C">
        <w:trPr>
          <w:trHeight w:val="780"/>
        </w:trPr>
        <w:tc>
          <w:tcPr>
            <w:tcW w:w="3338"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06E1EF4E" w14:textId="7C2F194B" w:rsidR="00854ADA" w:rsidRPr="00FF386D" w:rsidRDefault="00DB1C84" w:rsidP="00854ADA">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 xml:space="preserve">: </w:t>
            </w:r>
          </w:p>
        </w:tc>
        <w:tc>
          <w:tcPr>
            <w:tcW w:w="940" w:type="dxa"/>
            <w:tcBorders>
              <w:top w:val="single" w:sz="8" w:space="0" w:color="auto"/>
              <w:left w:val="nil"/>
              <w:bottom w:val="single" w:sz="8" w:space="0" w:color="auto"/>
              <w:right w:val="single" w:sz="8" w:space="0" w:color="auto"/>
            </w:tcBorders>
            <w:shd w:val="clear" w:color="auto" w:fill="E7E6E6" w:themeFill="background2"/>
            <w:vAlign w:val="center"/>
            <w:hideMark/>
          </w:tcPr>
          <w:p w14:paraId="24A63816" w14:textId="77777777"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МП_ЕС2</w:t>
            </w:r>
          </w:p>
        </w:tc>
        <w:tc>
          <w:tcPr>
            <w:tcW w:w="944" w:type="dxa"/>
            <w:tcBorders>
              <w:top w:val="single" w:sz="8" w:space="0" w:color="auto"/>
              <w:left w:val="nil"/>
              <w:bottom w:val="single" w:sz="8" w:space="0" w:color="auto"/>
              <w:right w:val="single" w:sz="8" w:space="0" w:color="auto"/>
            </w:tcBorders>
            <w:shd w:val="clear" w:color="auto" w:fill="244062"/>
            <w:vAlign w:val="center"/>
            <w:hideMark/>
          </w:tcPr>
          <w:p w14:paraId="17C2790A"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Назив</w:t>
            </w:r>
            <w:r w:rsidRPr="000A2AFE">
              <w:rPr>
                <w:rFonts w:asciiTheme="majorHAnsi" w:eastAsia="Times New Roman" w:hAnsiTheme="majorHAnsi" w:cstheme="majorHAnsi"/>
                <w:b/>
                <w:bCs/>
                <w:color w:val="FFFFFF"/>
                <w:sz w:val="20"/>
                <w:szCs w:val="20"/>
                <w:lang w:eastAsia="en-GB"/>
              </w:rPr>
              <w:t xml:space="preserve">: </w:t>
            </w:r>
          </w:p>
        </w:tc>
        <w:tc>
          <w:tcPr>
            <w:tcW w:w="4266" w:type="dxa"/>
            <w:tcBorders>
              <w:top w:val="single" w:sz="8" w:space="0" w:color="auto"/>
              <w:left w:val="nil"/>
              <w:bottom w:val="single" w:sz="8" w:space="0" w:color="auto"/>
              <w:right w:val="single" w:sz="8" w:space="0" w:color="auto"/>
            </w:tcBorders>
            <w:shd w:val="clear" w:color="auto" w:fill="E7E6E6" w:themeFill="background2"/>
            <w:vAlign w:val="center"/>
            <w:hideMark/>
          </w:tcPr>
          <w:p w14:paraId="1AAA2E55" w14:textId="6480148A" w:rsidR="00854ADA" w:rsidRPr="00FF386D" w:rsidRDefault="00333835" w:rsidP="00854ADA">
            <w:pPr>
              <w:spacing w:after="0" w:line="240" w:lineRule="auto"/>
              <w:rPr>
                <w:rFonts w:asciiTheme="majorHAnsi" w:eastAsia="Times New Roman" w:hAnsiTheme="majorHAnsi" w:cstheme="majorHAnsi"/>
                <w:b/>
                <w:bCs/>
                <w:color w:val="000000"/>
                <w:sz w:val="20"/>
                <w:szCs w:val="20"/>
                <w:lang w:eastAsia="en-GB"/>
              </w:rPr>
            </w:pPr>
            <w:r w:rsidRPr="00FF386D">
              <w:rPr>
                <w:rFonts w:ascii="Calibri Light" w:hAnsi="Calibri Light"/>
                <w:b/>
                <w:sz w:val="20"/>
              </w:rPr>
              <w:t xml:space="preserve">Унапређење </w:t>
            </w:r>
            <w:r w:rsidR="00854ADA" w:rsidRPr="00FF386D">
              <w:rPr>
                <w:rFonts w:ascii="Calibri Light" w:hAnsi="Calibri Light"/>
                <w:b/>
                <w:sz w:val="20"/>
              </w:rPr>
              <w:t>регионалних електроенергетских и гасних интерконекција</w:t>
            </w:r>
          </w:p>
        </w:tc>
      </w:tr>
      <w:tr w:rsidR="00854ADA" w:rsidRPr="00FF386D" w14:paraId="3308252F" w14:textId="77777777" w:rsidTr="0057310C">
        <w:trPr>
          <w:trHeight w:val="449"/>
        </w:trPr>
        <w:tc>
          <w:tcPr>
            <w:tcW w:w="3338" w:type="dxa"/>
            <w:tcBorders>
              <w:top w:val="nil"/>
              <w:left w:val="single" w:sz="8" w:space="0" w:color="auto"/>
              <w:bottom w:val="single" w:sz="8" w:space="0" w:color="auto"/>
              <w:right w:val="nil"/>
            </w:tcBorders>
            <w:shd w:val="clear" w:color="000000" w:fill="244062"/>
            <w:vAlign w:val="center"/>
            <w:hideMark/>
          </w:tcPr>
          <w:p w14:paraId="1EC30BC9"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150" w:type="dxa"/>
            <w:gridSpan w:val="3"/>
            <w:tcBorders>
              <w:top w:val="single" w:sz="8" w:space="0" w:color="auto"/>
              <w:left w:val="nil"/>
              <w:bottom w:val="single" w:sz="8" w:space="0" w:color="auto"/>
              <w:right w:val="single" w:sz="8" w:space="0" w:color="000000"/>
            </w:tcBorders>
            <w:vAlign w:val="center"/>
            <w:hideMark/>
          </w:tcPr>
          <w:p w14:paraId="3BA7E4FA" w14:textId="1B44E760" w:rsidR="00854ADA" w:rsidRPr="00FF386D" w:rsidRDefault="00854ADA" w:rsidP="00854ADA">
            <w:pPr>
              <w:spacing w:after="0"/>
              <w:jc w:val="both"/>
              <w:rPr>
                <w:rFonts w:asciiTheme="majorHAnsi" w:eastAsia="Times New Roman" w:hAnsiTheme="majorHAnsi" w:cstheme="majorHAnsi"/>
                <w:b/>
                <w:bCs/>
                <w:color w:val="FFFFFF"/>
                <w:sz w:val="20"/>
                <w:szCs w:val="20"/>
                <w:lang w:eastAsia="en-GB"/>
              </w:rPr>
            </w:pPr>
            <w:r w:rsidRPr="00FF386D">
              <w:rPr>
                <w:rFonts w:ascii="Calibri Light" w:hAnsi="Calibri Light"/>
                <w:sz w:val="20"/>
              </w:rPr>
              <w:t>Диверсификација рута, смањење увозне зависности од једне руте и једног извора, отпорност</w:t>
            </w:r>
            <w:r w:rsidRPr="00FF386D">
              <w:rPr>
                <w:rFonts w:ascii="Calibri Light" w:eastAsia="NSimSun" w:hAnsi="Calibri Light" w:cs="Mangal"/>
                <w:kern w:val="2"/>
                <w:sz w:val="20"/>
                <w:szCs w:val="24"/>
                <w:lang w:eastAsia="zh-CN" w:bidi="hi-IN"/>
              </w:rPr>
              <w:t xml:space="preserve"> у случају</w:t>
            </w:r>
            <w:r w:rsidRPr="00FF386D">
              <w:rPr>
                <w:rFonts w:ascii="Calibri Light" w:hAnsi="Calibri Light"/>
                <w:sz w:val="20"/>
              </w:rPr>
              <w:t xml:space="preserve"> ограничења или прекида у снабдевању енергентом, флексибилност националног енергетског </w:t>
            </w:r>
            <w:r w:rsidRPr="00FF386D">
              <w:rPr>
                <w:rFonts w:ascii="Calibri Light" w:hAnsi="Calibri Light"/>
                <w:sz w:val="20"/>
              </w:rPr>
              <w:lastRenderedPageBreak/>
              <w:t>система</w:t>
            </w:r>
            <w:r w:rsidR="00E223FC">
              <w:rPr>
                <w:rFonts w:ascii="Calibri Light" w:hAnsi="Calibri Light"/>
                <w:sz w:val="20"/>
              </w:rPr>
              <w:t xml:space="preserve">, </w:t>
            </w:r>
            <w:r w:rsidR="00760BB2">
              <w:rPr>
                <w:rFonts w:ascii="Calibri Light" w:hAnsi="Calibri Light"/>
                <w:sz w:val="20"/>
              </w:rPr>
              <w:t xml:space="preserve">јачање регионалне сарадње у енергетици и </w:t>
            </w:r>
            <w:r w:rsidR="007D3A54">
              <w:rPr>
                <w:rFonts w:ascii="Calibri Light" w:hAnsi="Calibri Light"/>
                <w:sz w:val="20"/>
              </w:rPr>
              <w:t>унапређена интеграција регионалног тржишта.</w:t>
            </w:r>
          </w:p>
        </w:tc>
      </w:tr>
      <w:tr w:rsidR="00854ADA" w:rsidRPr="00FF386D" w14:paraId="6C5B2C51" w14:textId="77777777" w:rsidTr="0057310C">
        <w:trPr>
          <w:trHeight w:val="315"/>
        </w:trPr>
        <w:tc>
          <w:tcPr>
            <w:tcW w:w="3338" w:type="dxa"/>
            <w:tcBorders>
              <w:top w:val="nil"/>
              <w:left w:val="single" w:sz="8" w:space="0" w:color="auto"/>
              <w:bottom w:val="single" w:sz="8" w:space="0" w:color="auto"/>
              <w:right w:val="single" w:sz="8" w:space="0" w:color="auto"/>
            </w:tcBorders>
            <w:shd w:val="clear" w:color="000000" w:fill="244062"/>
            <w:vAlign w:val="center"/>
            <w:hideMark/>
          </w:tcPr>
          <w:p w14:paraId="5A875829"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 xml:space="preserve">Квантификовани циљ: </w:t>
            </w:r>
          </w:p>
        </w:tc>
        <w:tc>
          <w:tcPr>
            <w:tcW w:w="6150" w:type="dxa"/>
            <w:gridSpan w:val="3"/>
            <w:tcBorders>
              <w:top w:val="single" w:sz="8" w:space="0" w:color="auto"/>
              <w:left w:val="nil"/>
              <w:bottom w:val="single" w:sz="8" w:space="0" w:color="auto"/>
              <w:right w:val="single" w:sz="8" w:space="0" w:color="000000"/>
            </w:tcBorders>
            <w:shd w:val="clear" w:color="auto" w:fill="FFFFFF" w:themeFill="background1"/>
            <w:vAlign w:val="center"/>
            <w:hideMark/>
          </w:tcPr>
          <w:p w14:paraId="154DFFCE" w14:textId="460D6D4C" w:rsidR="00854ADA" w:rsidRPr="00FF386D" w:rsidRDefault="00854ADA" w:rsidP="00854ADA">
            <w:pPr>
              <w:spacing w:after="0"/>
              <w:rPr>
                <w:rFonts w:asciiTheme="majorHAnsi" w:eastAsia="Times New Roman" w:hAnsiTheme="majorHAnsi" w:cstheme="majorHAnsi"/>
                <w:b/>
                <w:bCs/>
                <w:color w:val="FFFFFF"/>
                <w:sz w:val="20"/>
                <w:szCs w:val="20"/>
                <w:lang w:eastAsia="en-GB"/>
              </w:rPr>
            </w:pPr>
            <w:r w:rsidRPr="00FF386D">
              <w:rPr>
                <w:rFonts w:asciiTheme="majorHAnsi" w:eastAsia="Times New Roman" w:hAnsiTheme="majorHAnsi" w:cstheme="majorHAnsi"/>
                <w:sz w:val="20"/>
                <w:szCs w:val="20"/>
                <w:lang w:eastAsia="en-GB"/>
              </w:rPr>
              <w:t>Повећан интерконективни капацитет</w:t>
            </w:r>
            <w:r w:rsidR="007D3A54">
              <w:rPr>
                <w:rFonts w:asciiTheme="majorHAnsi" w:eastAsia="Times New Roman" w:hAnsiTheme="majorHAnsi" w:cstheme="majorHAnsi"/>
                <w:sz w:val="20"/>
                <w:szCs w:val="20"/>
                <w:lang w:eastAsia="en-GB"/>
              </w:rPr>
              <w:t xml:space="preserve">. За више детаља молимо видите посебну МП у </w:t>
            </w:r>
            <w:r w:rsidR="00D47D7E">
              <w:rPr>
                <w:rFonts w:asciiTheme="majorHAnsi" w:eastAsia="Times New Roman" w:hAnsiTheme="majorHAnsi" w:cstheme="majorHAnsi"/>
                <w:sz w:val="20"/>
                <w:szCs w:val="20"/>
                <w:lang w:eastAsia="en-GB"/>
              </w:rPr>
              <w:t>наредном</w:t>
            </w:r>
            <w:r w:rsidR="007D3A54">
              <w:rPr>
                <w:rFonts w:asciiTheme="majorHAnsi" w:eastAsia="Times New Roman" w:hAnsiTheme="majorHAnsi" w:cstheme="majorHAnsi"/>
                <w:sz w:val="20"/>
                <w:szCs w:val="20"/>
                <w:lang w:eastAsia="en-GB"/>
              </w:rPr>
              <w:t xml:space="preserve"> одељку „Димензија Унутрашње </w:t>
            </w:r>
            <w:r w:rsidR="00AA213B">
              <w:rPr>
                <w:rFonts w:asciiTheme="majorHAnsi" w:eastAsia="Times New Roman" w:hAnsiTheme="majorHAnsi" w:cstheme="majorHAnsi"/>
                <w:sz w:val="20"/>
                <w:szCs w:val="20"/>
                <w:lang w:eastAsia="en-GB"/>
              </w:rPr>
              <w:t>енергетско тржиште”</w:t>
            </w:r>
          </w:p>
        </w:tc>
      </w:tr>
      <w:tr w:rsidR="00854ADA" w:rsidRPr="00FF386D" w14:paraId="4DB41FEA" w14:textId="77777777" w:rsidTr="0057310C">
        <w:trPr>
          <w:trHeight w:val="584"/>
        </w:trPr>
        <w:tc>
          <w:tcPr>
            <w:tcW w:w="3338" w:type="dxa"/>
            <w:tcBorders>
              <w:top w:val="nil"/>
              <w:left w:val="single" w:sz="8" w:space="0" w:color="auto"/>
              <w:bottom w:val="single" w:sz="8" w:space="0" w:color="auto"/>
              <w:right w:val="single" w:sz="8" w:space="0" w:color="auto"/>
            </w:tcBorders>
            <w:shd w:val="clear" w:color="000000" w:fill="244062"/>
            <w:vAlign w:val="center"/>
            <w:hideMark/>
          </w:tcPr>
          <w:p w14:paraId="00C01F42"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150" w:type="dxa"/>
            <w:gridSpan w:val="3"/>
            <w:tcBorders>
              <w:top w:val="single" w:sz="8" w:space="0" w:color="auto"/>
              <w:left w:val="nil"/>
              <w:bottom w:val="single" w:sz="8" w:space="0" w:color="auto"/>
              <w:right w:val="single" w:sz="8" w:space="0" w:color="000000"/>
            </w:tcBorders>
            <w:vAlign w:val="center"/>
            <w:hideMark/>
          </w:tcPr>
          <w:p w14:paraId="657BD5F4" w14:textId="72B3C883" w:rsidR="00854ADA" w:rsidRPr="00FF386D" w:rsidRDefault="00854ADA" w:rsidP="00854ADA">
            <w:pPr>
              <w:widowControl w:val="0"/>
              <w:suppressLineNumbers/>
              <w:suppressAutoHyphens/>
              <w:spacing w:after="0" w:line="240" w:lineRule="auto"/>
              <w:jc w:val="both"/>
              <w:rPr>
                <w:rFonts w:ascii="Times New Roman" w:eastAsia="NSimSun" w:hAnsi="Times New Roman" w:cs="Mangal"/>
                <w:kern w:val="2"/>
                <w:sz w:val="28"/>
                <w:szCs w:val="24"/>
                <w:lang w:eastAsia="zh-CN" w:bidi="hi-IN"/>
              </w:rPr>
            </w:pPr>
            <w:r w:rsidRPr="00FF386D">
              <w:rPr>
                <w:rFonts w:ascii="Calibri Light" w:eastAsia="NSimSun" w:hAnsi="Calibri Light" w:cs="Mangal"/>
                <w:kern w:val="2"/>
                <w:sz w:val="20"/>
                <w:szCs w:val="24"/>
                <w:lang w:eastAsia="zh-CN" w:bidi="hi-IN"/>
              </w:rPr>
              <w:t xml:space="preserve">МП_ЕС2 је усклађена са Стратегијом интеграције енергетског система ЕУ која има за циљ више физичких веза између енергената. </w:t>
            </w:r>
            <w:r w:rsidR="002D0894" w:rsidRPr="00FF386D">
              <w:rPr>
                <w:rFonts w:ascii="Calibri Light" w:eastAsia="NSimSun" w:hAnsi="Calibri Light" w:cs="Mangal"/>
                <w:kern w:val="2"/>
                <w:sz w:val="20"/>
                <w:szCs w:val="24"/>
                <w:lang w:eastAsia="zh-CN" w:bidi="hi-IN"/>
              </w:rPr>
              <w:t>То</w:t>
            </w:r>
            <w:r w:rsidRPr="00FF386D">
              <w:rPr>
                <w:rFonts w:ascii="Calibri Light" w:eastAsia="NSimSun" w:hAnsi="Calibri Light" w:cs="Mangal"/>
                <w:kern w:val="2"/>
                <w:sz w:val="20"/>
                <w:szCs w:val="24"/>
                <w:lang w:eastAsia="zh-CN" w:bidi="hi-IN"/>
              </w:rPr>
              <w:t xml:space="preserve"> захтева нови </w:t>
            </w:r>
            <w:r w:rsidR="002D0894" w:rsidRPr="00FF386D">
              <w:rPr>
                <w:rFonts w:ascii="Calibri Light" w:eastAsia="NSimSun" w:hAnsi="Calibri Light" w:cs="Mangal"/>
                <w:kern w:val="2"/>
                <w:sz w:val="20"/>
                <w:szCs w:val="24"/>
                <w:lang w:eastAsia="zh-CN" w:bidi="hi-IN"/>
              </w:rPr>
              <w:t>свеобухватан</w:t>
            </w:r>
            <w:r w:rsidRPr="00FF386D">
              <w:rPr>
                <w:rFonts w:ascii="Calibri Light" w:eastAsia="NSimSun" w:hAnsi="Calibri Light" w:cs="Mangal"/>
                <w:kern w:val="2"/>
                <w:sz w:val="20"/>
                <w:szCs w:val="24"/>
                <w:lang w:eastAsia="zh-CN" w:bidi="hi-IN"/>
              </w:rPr>
              <w:t xml:space="preserve"> приступ за планирање, како инфраструктуре великих размера тако и локалне инфраструктуре, укључујући заштиту и отпорност критичне инфраструктуре. Поред тога, у стратегији се закључује да планирање инфраструктуре треба да омогући интеграцију различитих енергената и доношење одлука у погледу развоја нове инфраструктуре или пренамене постојеће. Као одговор на то, Србија треба да прати развој догађаја у вези са ревизијом прописа ТЕН-Е и ТЕН-Т који ће у потпуности подржати интегрисанији енергетски систем, укључујући и већу синергију између енергетске и транспортне инфраструктуре. Осим тога, Србија би требало да прати </w:t>
            </w:r>
            <w:r w:rsidR="002D0894" w:rsidRPr="00FF386D">
              <w:rPr>
                <w:rFonts w:ascii="Calibri Light" w:eastAsia="NSimSun" w:hAnsi="Calibri Light" w:cs="Mangal"/>
                <w:kern w:val="2"/>
                <w:sz w:val="20"/>
                <w:szCs w:val="24"/>
                <w:lang w:eastAsia="zh-CN" w:bidi="hi-IN"/>
              </w:rPr>
              <w:t>развој ситуације</w:t>
            </w:r>
            <w:r w:rsidRPr="00FF386D">
              <w:rPr>
                <w:rFonts w:ascii="Calibri Light" w:eastAsia="NSimSun" w:hAnsi="Calibri Light" w:cs="Mangal"/>
                <w:kern w:val="2"/>
                <w:sz w:val="20"/>
                <w:szCs w:val="24"/>
                <w:lang w:eastAsia="zh-CN" w:bidi="hi-IN"/>
              </w:rPr>
              <w:t xml:space="preserve"> у ЕУ и </w:t>
            </w:r>
            <w:r w:rsidR="002D0894" w:rsidRPr="00FF386D">
              <w:rPr>
                <w:rFonts w:ascii="Calibri Light" w:eastAsia="NSimSun" w:hAnsi="Calibri Light" w:cs="Mangal"/>
                <w:kern w:val="2"/>
                <w:sz w:val="20"/>
                <w:szCs w:val="24"/>
                <w:lang w:eastAsia="zh-CN" w:bidi="hi-IN"/>
              </w:rPr>
              <w:t>да поново</w:t>
            </w:r>
            <w:r w:rsidRPr="00FF386D">
              <w:rPr>
                <w:rFonts w:ascii="Calibri Light" w:eastAsia="NSimSun" w:hAnsi="Calibri Light" w:cs="Mangal"/>
                <w:kern w:val="2"/>
                <w:sz w:val="20"/>
                <w:szCs w:val="24"/>
                <w:lang w:eastAsia="zh-CN" w:bidi="hi-IN"/>
              </w:rPr>
              <w:t xml:space="preserve"> </w:t>
            </w:r>
            <w:r w:rsidR="002D0894" w:rsidRPr="00FF386D">
              <w:rPr>
                <w:rFonts w:ascii="Calibri Light" w:eastAsia="NSimSun" w:hAnsi="Calibri Light" w:cs="Mangal"/>
                <w:kern w:val="2"/>
                <w:sz w:val="20"/>
                <w:szCs w:val="24"/>
                <w:lang w:eastAsia="zh-CN" w:bidi="hi-IN"/>
              </w:rPr>
              <w:t>размотри</w:t>
            </w:r>
            <w:r w:rsidRPr="00FF386D">
              <w:rPr>
                <w:rFonts w:ascii="Calibri Light" w:eastAsia="NSimSun" w:hAnsi="Calibri Light" w:cs="Mangal"/>
                <w:kern w:val="2"/>
                <w:sz w:val="20"/>
                <w:szCs w:val="24"/>
                <w:lang w:eastAsia="zh-CN" w:bidi="hi-IN"/>
              </w:rPr>
              <w:t xml:space="preserve"> обим пројект</w:t>
            </w:r>
            <w:r w:rsidR="002D0894" w:rsidRPr="00FF386D">
              <w:rPr>
                <w:rFonts w:ascii="Calibri Light" w:eastAsia="NSimSun" w:hAnsi="Calibri Light" w:cs="Mangal"/>
                <w:kern w:val="2"/>
                <w:sz w:val="20"/>
                <w:szCs w:val="24"/>
                <w:lang w:eastAsia="zh-CN" w:bidi="hi-IN"/>
              </w:rPr>
              <w:t>а</w:t>
            </w:r>
            <w:r w:rsidRPr="00FF386D">
              <w:rPr>
                <w:rFonts w:ascii="Calibri Light" w:eastAsia="NSimSun" w:hAnsi="Calibri Light" w:cs="Mangal"/>
                <w:kern w:val="2"/>
                <w:sz w:val="20"/>
                <w:szCs w:val="24"/>
                <w:lang w:eastAsia="zh-CN" w:bidi="hi-IN"/>
              </w:rPr>
              <w:t xml:space="preserve"> </w:t>
            </w:r>
            <w:r w:rsidRPr="00FF386D">
              <w:rPr>
                <w:rFonts w:ascii="Calibri Light" w:eastAsia="NSimSun" w:hAnsi="Calibri Light" w:cs="Mangal"/>
                <w:i/>
                <w:iCs/>
                <w:kern w:val="2"/>
                <w:sz w:val="20"/>
                <w:szCs w:val="24"/>
                <w:lang w:eastAsia="zh-CN" w:bidi="hi-IN"/>
              </w:rPr>
              <w:t xml:space="preserve">TYNDP </w:t>
            </w:r>
            <w:r w:rsidR="002D0894" w:rsidRPr="00FF386D">
              <w:rPr>
                <w:rFonts w:ascii="Calibri Light" w:eastAsia="NSimSun" w:hAnsi="Calibri Light" w:cs="Mangal"/>
                <w:kern w:val="2"/>
                <w:sz w:val="20"/>
                <w:szCs w:val="24"/>
                <w:lang w:eastAsia="zh-CN" w:bidi="hi-IN"/>
              </w:rPr>
              <w:t>и управљање њиме,</w:t>
            </w:r>
            <w:r w:rsidR="002D0894" w:rsidRPr="00FF386D">
              <w:rPr>
                <w:rFonts w:ascii="Calibri Light" w:eastAsia="NSimSun" w:hAnsi="Calibri Light" w:cs="Mangal"/>
                <w:i/>
                <w:iCs/>
                <w:kern w:val="2"/>
                <w:sz w:val="20"/>
                <w:szCs w:val="24"/>
                <w:lang w:eastAsia="zh-CN" w:bidi="hi-IN"/>
              </w:rPr>
              <w:t xml:space="preserve"> </w:t>
            </w:r>
            <w:r w:rsidRPr="00FF386D">
              <w:rPr>
                <w:rFonts w:ascii="Calibri Light" w:eastAsia="NSimSun" w:hAnsi="Calibri Light" w:cs="Mangal"/>
                <w:kern w:val="2"/>
                <w:sz w:val="20"/>
                <w:szCs w:val="24"/>
                <w:lang w:eastAsia="zh-CN" w:bidi="hi-IN"/>
              </w:rPr>
              <w:t>како би о</w:t>
            </w:r>
            <w:r w:rsidR="00255B35" w:rsidRPr="00FF386D">
              <w:rPr>
                <w:rFonts w:ascii="Calibri Light" w:eastAsia="NSimSun" w:hAnsi="Calibri Light" w:cs="Mangal"/>
                <w:kern w:val="2"/>
                <w:sz w:val="20"/>
                <w:szCs w:val="24"/>
                <w:lang w:eastAsia="zh-CN" w:bidi="hi-IN"/>
              </w:rPr>
              <w:t>безбедила</w:t>
            </w:r>
            <w:r w:rsidRPr="00FF386D">
              <w:rPr>
                <w:rFonts w:ascii="Calibri Light" w:eastAsia="NSimSun" w:hAnsi="Calibri Light" w:cs="Mangal"/>
                <w:kern w:val="2"/>
                <w:sz w:val="20"/>
                <w:szCs w:val="24"/>
                <w:lang w:eastAsia="zh-CN" w:bidi="hi-IN"/>
              </w:rPr>
              <w:t xml:space="preserve"> потпун</w:t>
            </w:r>
            <w:r w:rsidR="00255B35" w:rsidRPr="00FF386D">
              <w:rPr>
                <w:rFonts w:ascii="Calibri Light" w:eastAsia="NSimSun" w:hAnsi="Calibri Light" w:cs="Mangal"/>
                <w:kern w:val="2"/>
                <w:sz w:val="20"/>
                <w:szCs w:val="24"/>
                <w:lang w:eastAsia="zh-CN" w:bidi="hi-IN"/>
              </w:rPr>
              <w:t>у</w:t>
            </w:r>
            <w:r w:rsidR="002D0894" w:rsidRPr="00FF386D">
              <w:rPr>
                <w:rFonts w:ascii="Calibri Light" w:eastAsia="NSimSun" w:hAnsi="Calibri Light" w:cs="Mangal"/>
                <w:kern w:val="2"/>
                <w:sz w:val="20"/>
                <w:szCs w:val="24"/>
                <w:lang w:eastAsia="zh-CN" w:bidi="hi-IN"/>
              </w:rPr>
              <w:t xml:space="preserve"> усаглашеност</w:t>
            </w:r>
            <w:r w:rsidRPr="00FF386D">
              <w:rPr>
                <w:rFonts w:ascii="Calibri Light" w:eastAsia="NSimSun" w:hAnsi="Calibri Light" w:cs="Mangal"/>
                <w:kern w:val="2"/>
                <w:sz w:val="20"/>
                <w:szCs w:val="24"/>
                <w:lang w:eastAsia="zh-CN" w:bidi="hi-IN"/>
              </w:rPr>
              <w:t xml:space="preserve"> са циљевима ЕУ за декарбонизацију и међусекторск</w:t>
            </w:r>
            <w:r w:rsidR="002D0894" w:rsidRPr="00FF386D">
              <w:rPr>
                <w:rFonts w:ascii="Calibri Light" w:eastAsia="NSimSun" w:hAnsi="Calibri Light" w:cs="Mangal"/>
                <w:kern w:val="2"/>
                <w:sz w:val="20"/>
                <w:szCs w:val="24"/>
                <w:lang w:eastAsia="zh-CN" w:bidi="hi-IN"/>
              </w:rPr>
              <w:t>о</w:t>
            </w:r>
            <w:r w:rsidRPr="00FF386D">
              <w:rPr>
                <w:rFonts w:ascii="Calibri Light" w:eastAsia="NSimSun" w:hAnsi="Calibri Light" w:cs="Mangal"/>
                <w:kern w:val="2"/>
                <w:sz w:val="20"/>
                <w:szCs w:val="24"/>
                <w:lang w:eastAsia="zh-CN" w:bidi="hi-IN"/>
              </w:rPr>
              <w:t xml:space="preserve"> планирање инфраструктуре у оквиру ревизије Уредбе ТЕН-Е и других релевантних закона. </w:t>
            </w:r>
            <w:r w:rsidR="00776175" w:rsidRPr="00776175">
              <w:rPr>
                <w:rFonts w:ascii="Calibri Light" w:eastAsia="NSimSun" w:hAnsi="Calibri Light" w:cs="Mangal"/>
                <w:kern w:val="2"/>
                <w:sz w:val="20"/>
                <w:szCs w:val="24"/>
                <w:lang w:eastAsia="zh-CN" w:bidi="hi-IN"/>
              </w:rPr>
              <w:t>МП_</w:t>
            </w:r>
            <w:r w:rsidRPr="00FF386D">
              <w:rPr>
                <w:rFonts w:ascii="Calibri Light" w:eastAsia="NSimSun" w:hAnsi="Calibri Light" w:cs="Mangal"/>
                <w:kern w:val="2"/>
                <w:sz w:val="20"/>
                <w:szCs w:val="24"/>
                <w:lang w:eastAsia="zh-CN" w:bidi="hi-IN"/>
              </w:rPr>
              <w:t xml:space="preserve">ЕС2 за електричну енергију укључује пројекте интерконекције који су обухваћени у </w:t>
            </w:r>
            <w:r w:rsidRPr="00FF386D">
              <w:rPr>
                <w:rFonts w:ascii="Calibri Light" w:eastAsia="NSimSun" w:hAnsi="Calibri Light" w:cs="Mangal"/>
                <w:i/>
                <w:iCs/>
                <w:kern w:val="2"/>
                <w:sz w:val="20"/>
                <w:szCs w:val="24"/>
                <w:lang w:eastAsia="zh-CN" w:bidi="hi-IN"/>
              </w:rPr>
              <w:t xml:space="preserve">TYNDP </w:t>
            </w:r>
            <w:r w:rsidRPr="00FF386D">
              <w:rPr>
                <w:rFonts w:ascii="Calibri Light" w:eastAsia="NSimSun" w:hAnsi="Calibri Light" w:cs="Mangal"/>
                <w:kern w:val="2"/>
                <w:sz w:val="20"/>
                <w:szCs w:val="24"/>
                <w:lang w:eastAsia="zh-CN" w:bidi="hi-IN"/>
              </w:rPr>
              <w:t xml:space="preserve">2021-2030 за Србију, и то: 1) Трансбалкански коридор – прва фаза, 2) Северни коридор, 3) Централнобалкански коридор са временским хоризонтом примене после 2030. </w:t>
            </w:r>
            <w:r w:rsidR="00255B35" w:rsidRPr="00FF386D">
              <w:rPr>
                <w:rFonts w:ascii="Calibri Light" w:eastAsia="NSimSun" w:hAnsi="Calibri Light" w:cs="Mangal"/>
                <w:kern w:val="2"/>
                <w:sz w:val="20"/>
                <w:szCs w:val="24"/>
                <w:lang w:eastAsia="zh-CN" w:bidi="hi-IN"/>
              </w:rPr>
              <w:t xml:space="preserve">године </w:t>
            </w:r>
            <w:r w:rsidRPr="00FF386D">
              <w:rPr>
                <w:rFonts w:ascii="Calibri Light" w:eastAsia="NSimSun" w:hAnsi="Calibri Light" w:cs="Mangal"/>
                <w:kern w:val="2"/>
                <w:sz w:val="20"/>
                <w:szCs w:val="24"/>
                <w:lang w:eastAsia="zh-CN" w:bidi="hi-IN"/>
              </w:rPr>
              <w:t>и 4) Панонски коридор са временским хоризонтом примене до 2030. године, али не касније од 2035. године и ДВ 400 kV између Србије и Хрватске, са временским хоризонтом примене који се протеже након 2030. године. (Важна напомена: поменути пројекти у области електричне енергије се разматрају на индивидуалном нивоу у опису мера од МП_</w:t>
            </w:r>
            <w:r w:rsidR="00EB458D" w:rsidRPr="00FF386D">
              <w:rPr>
                <w:rFonts w:ascii="Calibri Light" w:eastAsia="NSimSun" w:hAnsi="Calibri Light" w:cs="Mangal"/>
                <w:kern w:val="2"/>
                <w:sz w:val="20"/>
                <w:szCs w:val="24"/>
                <w:lang w:eastAsia="zh-CN" w:bidi="hi-IN"/>
              </w:rPr>
              <w:t>УЕТ</w:t>
            </w:r>
            <w:r w:rsidR="00EB458D">
              <w:rPr>
                <w:rFonts w:ascii="Calibri Light" w:eastAsia="NSimSun" w:hAnsi="Calibri Light" w:cs="Mangal"/>
                <w:kern w:val="2"/>
                <w:sz w:val="20"/>
                <w:szCs w:val="24"/>
                <w:lang w:eastAsia="zh-CN" w:bidi="hi-IN"/>
              </w:rPr>
              <w:t>2</w:t>
            </w:r>
            <w:r w:rsidR="00EB458D" w:rsidRPr="00FF386D">
              <w:rPr>
                <w:rFonts w:ascii="Calibri Light" w:eastAsia="NSimSun" w:hAnsi="Calibri Light" w:cs="Mangal"/>
                <w:kern w:val="2"/>
                <w:sz w:val="20"/>
                <w:szCs w:val="24"/>
                <w:lang w:eastAsia="zh-CN" w:bidi="hi-IN"/>
              </w:rPr>
              <w:t xml:space="preserve"> </w:t>
            </w:r>
            <w:r w:rsidRPr="00FF386D">
              <w:rPr>
                <w:rFonts w:ascii="Calibri Light" w:eastAsia="NSimSun" w:hAnsi="Calibri Light" w:cs="Mangal"/>
                <w:kern w:val="2"/>
                <w:sz w:val="20"/>
                <w:szCs w:val="24"/>
                <w:lang w:eastAsia="zh-CN" w:bidi="hi-IN"/>
              </w:rPr>
              <w:t>до МП_УЕТ6)</w:t>
            </w:r>
          </w:p>
          <w:p w14:paraId="5ACBED92" w14:textId="77777777" w:rsidR="00854ADA" w:rsidRPr="00FF386D" w:rsidRDefault="00854ADA" w:rsidP="00854ADA">
            <w:pPr>
              <w:widowControl w:val="0"/>
              <w:suppressLineNumbers/>
              <w:suppressAutoHyphens/>
              <w:spacing w:after="0" w:line="240" w:lineRule="auto"/>
              <w:rPr>
                <w:rFonts w:ascii="Times New Roman" w:eastAsia="NSimSun" w:hAnsi="Times New Roman" w:cs="Mangal"/>
                <w:kern w:val="2"/>
                <w:sz w:val="28"/>
                <w:szCs w:val="24"/>
                <w:lang w:eastAsia="zh-CN" w:bidi="hi-IN"/>
              </w:rPr>
            </w:pPr>
          </w:p>
          <w:p w14:paraId="5C65EFFA" w14:textId="17B9E4DE"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МП_ЕС2 за гас обухвата кумулативне интерконекције </w:t>
            </w:r>
            <w:r w:rsidR="002D0894" w:rsidRPr="00FF386D">
              <w:rPr>
                <w:rFonts w:ascii="Calibri Light" w:hAnsi="Calibri Light"/>
                <w:sz w:val="20"/>
              </w:rPr>
              <w:t>за које се може</w:t>
            </w:r>
            <w:r w:rsidRPr="00FF386D">
              <w:rPr>
                <w:rFonts w:ascii="Calibri Light" w:hAnsi="Calibri Light"/>
                <w:sz w:val="20"/>
              </w:rPr>
              <w:t xml:space="preserve"> сматрати да проистичу са платформе </w:t>
            </w:r>
            <w:r w:rsidRPr="00FF386D">
              <w:rPr>
                <w:rFonts w:ascii="Calibri Light" w:hAnsi="Calibri Light"/>
                <w:i/>
                <w:iCs/>
                <w:sz w:val="20"/>
              </w:rPr>
              <w:t>PLIMA</w:t>
            </w:r>
            <w:r w:rsidRPr="00FF386D">
              <w:rPr>
                <w:rFonts w:ascii="Calibri Light" w:hAnsi="Calibri Light"/>
                <w:sz w:val="20"/>
              </w:rPr>
              <w:t xml:space="preserve"> и релевантне су за гасне интерконекције: Гас_10 (ТRА-N-70) Интерконектор Србија – Хрватска, Гас_11 (ТRA-N-965) Интерконектор Србија – Северна Македонија, Г08 Србија – Румунија (није укључено у </w:t>
            </w:r>
            <w:r w:rsidRPr="00FF386D">
              <w:rPr>
                <w:rFonts w:ascii="Calibri Light" w:hAnsi="Calibri Light"/>
                <w:i/>
                <w:iCs/>
                <w:sz w:val="20"/>
              </w:rPr>
              <w:t>ENTSOG TYNDP</w:t>
            </w:r>
            <w:r w:rsidRPr="00FF386D">
              <w:rPr>
                <w:rFonts w:ascii="Calibri Light" w:hAnsi="Calibri Light"/>
                <w:sz w:val="20"/>
              </w:rPr>
              <w:t xml:space="preserve">2020, ТRA-N-1268 у </w:t>
            </w:r>
            <w:r w:rsidRPr="00FF386D">
              <w:rPr>
                <w:rFonts w:ascii="Calibri Light" w:hAnsi="Calibri Light"/>
                <w:i/>
                <w:iCs/>
                <w:sz w:val="20"/>
              </w:rPr>
              <w:t>TYNDP</w:t>
            </w:r>
            <w:r w:rsidRPr="00FF386D">
              <w:rPr>
                <w:rFonts w:ascii="Calibri Light" w:hAnsi="Calibri Light"/>
                <w:sz w:val="20"/>
              </w:rPr>
              <w:t xml:space="preserve"> 2018)</w:t>
            </w:r>
          </w:p>
        </w:tc>
      </w:tr>
      <w:tr w:rsidR="00854ADA" w:rsidRPr="00FF386D" w14:paraId="41F14BC3" w14:textId="77777777" w:rsidTr="0057310C">
        <w:trPr>
          <w:trHeight w:val="315"/>
        </w:trPr>
        <w:tc>
          <w:tcPr>
            <w:tcW w:w="3338" w:type="dxa"/>
            <w:tcBorders>
              <w:top w:val="nil"/>
              <w:left w:val="single" w:sz="8" w:space="0" w:color="auto"/>
              <w:bottom w:val="single" w:sz="8" w:space="0" w:color="auto"/>
              <w:right w:val="single" w:sz="8" w:space="0" w:color="auto"/>
            </w:tcBorders>
            <w:shd w:val="clear" w:color="000000" w:fill="244062"/>
            <w:vAlign w:val="center"/>
            <w:hideMark/>
          </w:tcPr>
          <w:p w14:paraId="12392289"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150" w:type="dxa"/>
            <w:gridSpan w:val="3"/>
            <w:tcBorders>
              <w:top w:val="single" w:sz="8" w:space="0" w:color="auto"/>
              <w:left w:val="nil"/>
              <w:bottom w:val="single" w:sz="8" w:space="0" w:color="auto"/>
              <w:right w:val="single" w:sz="8" w:space="0" w:color="000000"/>
            </w:tcBorders>
            <w:vAlign w:val="center"/>
            <w:hideMark/>
          </w:tcPr>
          <w:p w14:paraId="34EEA308"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2021-2030.</w:t>
            </w:r>
          </w:p>
        </w:tc>
      </w:tr>
      <w:tr w:rsidR="00854ADA" w:rsidRPr="00FF386D" w14:paraId="48234C07" w14:textId="77777777" w:rsidTr="0057310C">
        <w:trPr>
          <w:trHeight w:val="315"/>
        </w:trPr>
        <w:tc>
          <w:tcPr>
            <w:tcW w:w="3338" w:type="dxa"/>
            <w:tcBorders>
              <w:top w:val="nil"/>
              <w:left w:val="single" w:sz="8" w:space="0" w:color="auto"/>
              <w:bottom w:val="single" w:sz="8" w:space="0" w:color="auto"/>
              <w:right w:val="single" w:sz="8" w:space="0" w:color="auto"/>
            </w:tcBorders>
            <w:shd w:val="clear" w:color="000000" w:fill="244062"/>
            <w:vAlign w:val="center"/>
            <w:hideMark/>
          </w:tcPr>
          <w:p w14:paraId="60F45A38"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150" w:type="dxa"/>
            <w:gridSpan w:val="3"/>
            <w:tcBorders>
              <w:top w:val="single" w:sz="8" w:space="0" w:color="auto"/>
              <w:left w:val="nil"/>
              <w:bottom w:val="single" w:sz="8" w:space="0" w:color="auto"/>
              <w:right w:val="single" w:sz="8" w:space="0" w:color="000000"/>
            </w:tcBorders>
            <w:vAlign w:val="center"/>
            <w:hideMark/>
          </w:tcPr>
          <w:p w14:paraId="19360324"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Инвестиција</w:t>
            </w:r>
          </w:p>
        </w:tc>
      </w:tr>
      <w:tr w:rsidR="00854ADA" w:rsidRPr="00FF386D" w14:paraId="7B55266C" w14:textId="77777777" w:rsidTr="0057310C">
        <w:trPr>
          <w:trHeight w:val="315"/>
        </w:trPr>
        <w:tc>
          <w:tcPr>
            <w:tcW w:w="3338" w:type="dxa"/>
            <w:tcBorders>
              <w:top w:val="nil"/>
              <w:left w:val="single" w:sz="8" w:space="0" w:color="auto"/>
              <w:bottom w:val="single" w:sz="8" w:space="0" w:color="auto"/>
              <w:right w:val="single" w:sz="8" w:space="0" w:color="auto"/>
            </w:tcBorders>
            <w:shd w:val="clear" w:color="000000" w:fill="244062"/>
            <w:vAlign w:val="center"/>
            <w:hideMark/>
          </w:tcPr>
          <w:p w14:paraId="0D287B1E"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150" w:type="dxa"/>
            <w:gridSpan w:val="3"/>
            <w:tcBorders>
              <w:top w:val="single" w:sz="8" w:space="0" w:color="auto"/>
              <w:left w:val="nil"/>
              <w:bottom w:val="single" w:sz="8" w:space="0" w:color="auto"/>
              <w:right w:val="single" w:sz="8" w:space="0" w:color="000000"/>
            </w:tcBorders>
            <w:vAlign w:val="center"/>
            <w:hideMark/>
          </w:tcPr>
          <w:p w14:paraId="6507E7D1"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Електрична енергија, гас</w:t>
            </w:r>
          </w:p>
        </w:tc>
      </w:tr>
      <w:tr w:rsidR="00854ADA" w:rsidRPr="00FF386D" w14:paraId="1023F752" w14:textId="77777777" w:rsidTr="0057310C">
        <w:trPr>
          <w:trHeight w:val="315"/>
        </w:trPr>
        <w:tc>
          <w:tcPr>
            <w:tcW w:w="3338" w:type="dxa"/>
            <w:tcBorders>
              <w:top w:val="nil"/>
              <w:left w:val="single" w:sz="8" w:space="0" w:color="auto"/>
              <w:bottom w:val="single" w:sz="8" w:space="0" w:color="auto"/>
              <w:right w:val="single" w:sz="8" w:space="0" w:color="auto"/>
            </w:tcBorders>
            <w:shd w:val="clear" w:color="000000" w:fill="244062"/>
            <w:vAlign w:val="center"/>
            <w:hideMark/>
          </w:tcPr>
          <w:p w14:paraId="0CAFF3D9"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150" w:type="dxa"/>
            <w:gridSpan w:val="3"/>
            <w:tcBorders>
              <w:top w:val="single" w:sz="8" w:space="0" w:color="auto"/>
              <w:left w:val="nil"/>
              <w:bottom w:val="single" w:sz="8" w:space="0" w:color="auto"/>
              <w:right w:val="single" w:sz="8" w:space="0" w:color="000000"/>
            </w:tcBorders>
            <w:vAlign w:val="center"/>
            <w:hideMark/>
          </w:tcPr>
          <w:p w14:paraId="552A93FD" w14:textId="560E067D" w:rsidR="00854ADA" w:rsidRPr="00FF386D" w:rsidRDefault="00333835" w:rsidP="00854ADA">
            <w:pPr>
              <w:numPr>
                <w:ilvl w:val="0"/>
                <w:numId w:val="13"/>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w:t>
            </w:r>
            <w:r w:rsidR="00854ADA" w:rsidRPr="00FF386D">
              <w:rPr>
                <w:rFonts w:ascii="Calibri Light" w:hAnsi="Calibri Light"/>
                <w:sz w:val="20"/>
              </w:rPr>
              <w:t xml:space="preserve"> рударства и енергетике</w:t>
            </w:r>
          </w:p>
          <w:p w14:paraId="5D7C27AD" w14:textId="77777777" w:rsidR="00854ADA" w:rsidRPr="00FF386D" w:rsidRDefault="00854ADA" w:rsidP="00854ADA">
            <w:pPr>
              <w:numPr>
                <w:ilvl w:val="0"/>
                <w:numId w:val="13"/>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финансија</w:t>
            </w:r>
          </w:p>
          <w:p w14:paraId="7F0AFEB8" w14:textId="77777777" w:rsidR="00854ADA" w:rsidRPr="00FF386D" w:rsidRDefault="00854ADA" w:rsidP="00854ADA">
            <w:pPr>
              <w:numPr>
                <w:ilvl w:val="0"/>
                <w:numId w:val="13"/>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ЕМС</w:t>
            </w:r>
          </w:p>
          <w:p w14:paraId="63DAE81B" w14:textId="77777777" w:rsidR="00854ADA" w:rsidRPr="00FF386D" w:rsidRDefault="00854ADA" w:rsidP="00854ADA">
            <w:pPr>
              <w:numPr>
                <w:ilvl w:val="0"/>
                <w:numId w:val="13"/>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Србијагас</w:t>
            </w:r>
          </w:p>
          <w:p w14:paraId="60073909" w14:textId="77777777" w:rsidR="00854ADA" w:rsidRPr="00FF386D" w:rsidRDefault="00854ADA" w:rsidP="00854ADA">
            <w:pPr>
              <w:numPr>
                <w:ilvl w:val="0"/>
                <w:numId w:val="13"/>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Донатори</w:t>
            </w:r>
          </w:p>
        </w:tc>
      </w:tr>
      <w:tr w:rsidR="00854ADA" w:rsidRPr="00FF386D" w14:paraId="752D7515" w14:textId="77777777" w:rsidTr="0057310C">
        <w:trPr>
          <w:trHeight w:val="315"/>
        </w:trPr>
        <w:tc>
          <w:tcPr>
            <w:tcW w:w="3338" w:type="dxa"/>
            <w:tcBorders>
              <w:top w:val="nil"/>
              <w:left w:val="single" w:sz="8" w:space="0" w:color="auto"/>
              <w:bottom w:val="single" w:sz="8" w:space="0" w:color="auto"/>
              <w:right w:val="nil"/>
            </w:tcBorders>
            <w:shd w:val="clear" w:color="000000" w:fill="244062"/>
            <w:vAlign w:val="center"/>
            <w:hideMark/>
          </w:tcPr>
          <w:p w14:paraId="4ED3D197"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150" w:type="dxa"/>
            <w:gridSpan w:val="3"/>
            <w:tcBorders>
              <w:top w:val="single" w:sz="8" w:space="0" w:color="auto"/>
              <w:left w:val="nil"/>
              <w:bottom w:val="single" w:sz="8" w:space="0" w:color="auto"/>
              <w:right w:val="single" w:sz="8" w:space="0" w:color="000000"/>
            </w:tcBorders>
            <w:vAlign w:val="center"/>
            <w:hideMark/>
          </w:tcPr>
          <w:p w14:paraId="2F1C6EAA" w14:textId="77777777" w:rsidR="00854ADA" w:rsidRPr="00FF386D" w:rsidRDefault="00854ADA" w:rsidP="00854ADA">
            <w:pPr>
              <w:numPr>
                <w:ilvl w:val="0"/>
                <w:numId w:val="13"/>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рударства и енергетике</w:t>
            </w:r>
          </w:p>
          <w:p w14:paraId="3312D977" w14:textId="4C2C8B90" w:rsidR="00854ADA" w:rsidRPr="00A71252" w:rsidRDefault="00854ADA" w:rsidP="00A71252">
            <w:pPr>
              <w:numPr>
                <w:ilvl w:val="0"/>
                <w:numId w:val="13"/>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Министарство </w:t>
            </w:r>
            <w:r w:rsidR="00333835" w:rsidRPr="00FF386D">
              <w:rPr>
                <w:rFonts w:asciiTheme="majorHAnsi" w:eastAsia="Times New Roman" w:hAnsiTheme="majorHAnsi" w:cstheme="majorHAnsi"/>
                <w:color w:val="000000"/>
                <w:sz w:val="20"/>
                <w:szCs w:val="20"/>
                <w:lang w:eastAsia="en-GB"/>
              </w:rPr>
              <w:t>грађевинарства, саобраћаја и инфраструктуре</w:t>
            </w:r>
          </w:p>
        </w:tc>
      </w:tr>
      <w:tr w:rsidR="00854ADA" w:rsidRPr="00FF386D" w14:paraId="4E7BF737" w14:textId="77777777" w:rsidTr="0057310C">
        <w:trPr>
          <w:trHeight w:val="315"/>
        </w:trPr>
        <w:tc>
          <w:tcPr>
            <w:tcW w:w="3338" w:type="dxa"/>
            <w:tcBorders>
              <w:top w:val="nil"/>
              <w:left w:val="single" w:sz="8" w:space="0" w:color="auto"/>
              <w:bottom w:val="single" w:sz="8" w:space="0" w:color="auto"/>
              <w:right w:val="nil"/>
            </w:tcBorders>
            <w:shd w:val="clear" w:color="000000" w:fill="244062"/>
            <w:vAlign w:val="center"/>
            <w:hideMark/>
          </w:tcPr>
          <w:p w14:paraId="6BF19213"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150" w:type="dxa"/>
            <w:gridSpan w:val="3"/>
            <w:tcBorders>
              <w:top w:val="single" w:sz="8" w:space="0" w:color="auto"/>
              <w:left w:val="nil"/>
              <w:bottom w:val="single" w:sz="8" w:space="0" w:color="auto"/>
              <w:right w:val="single" w:sz="8" w:space="0" w:color="000000"/>
            </w:tcBorders>
            <w:vAlign w:val="center"/>
            <w:hideMark/>
          </w:tcPr>
          <w:p w14:paraId="2D7DCF06"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Циљеви интерконективности</w:t>
            </w:r>
          </w:p>
        </w:tc>
      </w:tr>
      <w:tr w:rsidR="00854ADA" w:rsidRPr="00FF386D" w14:paraId="609BD571" w14:textId="77777777" w:rsidTr="0057310C">
        <w:trPr>
          <w:trHeight w:val="804"/>
        </w:trPr>
        <w:tc>
          <w:tcPr>
            <w:tcW w:w="3338" w:type="dxa"/>
            <w:tcBorders>
              <w:top w:val="nil"/>
              <w:left w:val="single" w:sz="8" w:space="0" w:color="auto"/>
              <w:bottom w:val="single" w:sz="8" w:space="0" w:color="auto"/>
              <w:right w:val="single" w:sz="8" w:space="0" w:color="auto"/>
            </w:tcBorders>
            <w:shd w:val="clear" w:color="000000" w:fill="244062"/>
            <w:vAlign w:val="center"/>
            <w:hideMark/>
          </w:tcPr>
          <w:p w14:paraId="04C7D140"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150" w:type="dxa"/>
            <w:gridSpan w:val="3"/>
            <w:tcBorders>
              <w:top w:val="single" w:sz="8" w:space="0" w:color="auto"/>
              <w:left w:val="nil"/>
              <w:bottom w:val="single" w:sz="8" w:space="0" w:color="auto"/>
              <w:right w:val="single" w:sz="8" w:space="0" w:color="000000"/>
            </w:tcBorders>
            <w:vAlign w:val="center"/>
            <w:hideMark/>
          </w:tcPr>
          <w:p w14:paraId="00B336AE" w14:textId="77777777" w:rsidR="00854ADA" w:rsidRPr="000A2AFE" w:rsidRDefault="00854ADA" w:rsidP="00854ADA">
            <w:pPr>
              <w:numPr>
                <w:ilvl w:val="0"/>
                <w:numId w:val="13"/>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Унутрашње енергетско тржиште</w:t>
            </w:r>
          </w:p>
          <w:p w14:paraId="76456E0D" w14:textId="77777777" w:rsidR="00854ADA" w:rsidRPr="00FF386D" w:rsidRDefault="00854ADA" w:rsidP="00854ADA">
            <w:pPr>
              <w:numPr>
                <w:ilvl w:val="0"/>
                <w:numId w:val="13"/>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Декарбонизација</w:t>
            </w:r>
          </w:p>
        </w:tc>
      </w:tr>
      <w:tr w:rsidR="00854ADA" w:rsidRPr="00FF386D" w14:paraId="465D16EF" w14:textId="77777777" w:rsidTr="0057310C">
        <w:trPr>
          <w:trHeight w:val="450"/>
        </w:trPr>
        <w:tc>
          <w:tcPr>
            <w:tcW w:w="3338"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55584B02" w14:textId="73CA77F3" w:rsidR="00854ADA" w:rsidRPr="00FF386D" w:rsidRDefault="004D35DC"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15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7426857" w14:textId="77777777" w:rsidR="00854ADA" w:rsidRPr="000A2AFE" w:rsidRDefault="00854ADA" w:rsidP="00854ADA">
            <w:pPr>
              <w:numPr>
                <w:ilvl w:val="0"/>
                <w:numId w:val="13"/>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Директива 2009/72/EЗ</w:t>
            </w:r>
          </w:p>
          <w:p w14:paraId="09A99891" w14:textId="77777777" w:rsidR="00854ADA" w:rsidRPr="000A2AFE" w:rsidRDefault="00854ADA" w:rsidP="00854ADA">
            <w:pPr>
              <w:numPr>
                <w:ilvl w:val="0"/>
                <w:numId w:val="13"/>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Директива 2009/73/ЕЗ</w:t>
            </w:r>
          </w:p>
          <w:p w14:paraId="4A4EA6AD" w14:textId="7DEB74BC" w:rsidR="00854ADA" w:rsidRPr="00FF386D" w:rsidRDefault="00854ADA" w:rsidP="00854ADA">
            <w:pPr>
              <w:numPr>
                <w:ilvl w:val="0"/>
                <w:numId w:val="28"/>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Уредба (ЕУ) бр. 347/2013</w:t>
            </w:r>
          </w:p>
        </w:tc>
      </w:tr>
      <w:tr w:rsidR="00854ADA" w:rsidRPr="00FF386D" w14:paraId="1E298933"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7C45B1BA" w14:textId="77777777" w:rsidR="00854ADA" w:rsidRPr="00FF386D" w:rsidRDefault="00854ADA" w:rsidP="00854ADA">
            <w:pPr>
              <w:spacing w:after="0" w:line="256" w:lineRule="auto"/>
              <w:rPr>
                <w:rFonts w:asciiTheme="majorHAnsi" w:eastAsia="Times New Roman" w:hAnsiTheme="majorHAnsi" w:cstheme="majorHAnsi"/>
                <w:b/>
                <w:bCs/>
                <w:color w:val="FFFFFF"/>
                <w:sz w:val="20"/>
                <w:szCs w:val="20"/>
                <w:lang w:eastAsia="en-GB"/>
              </w:rPr>
            </w:pPr>
          </w:p>
        </w:tc>
        <w:tc>
          <w:tcPr>
            <w:tcW w:w="6150" w:type="dxa"/>
            <w:gridSpan w:val="3"/>
            <w:vMerge/>
            <w:tcBorders>
              <w:top w:val="single" w:sz="8" w:space="0" w:color="auto"/>
              <w:left w:val="single" w:sz="8" w:space="0" w:color="auto"/>
              <w:bottom w:val="single" w:sz="8" w:space="0" w:color="000000"/>
              <w:right w:val="single" w:sz="8" w:space="0" w:color="000000"/>
            </w:tcBorders>
            <w:vAlign w:val="center"/>
            <w:hideMark/>
          </w:tcPr>
          <w:p w14:paraId="18C023C9"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1AE3E246" w14:textId="77777777" w:rsidTr="00565B02">
        <w:trPr>
          <w:trHeight w:val="450"/>
        </w:trPr>
        <w:tc>
          <w:tcPr>
            <w:tcW w:w="0" w:type="auto"/>
            <w:vMerge/>
            <w:tcBorders>
              <w:top w:val="nil"/>
              <w:left w:val="single" w:sz="8" w:space="0" w:color="auto"/>
              <w:bottom w:val="single" w:sz="8" w:space="0" w:color="000000"/>
              <w:right w:val="single" w:sz="8" w:space="0" w:color="auto"/>
            </w:tcBorders>
            <w:vAlign w:val="center"/>
            <w:hideMark/>
          </w:tcPr>
          <w:p w14:paraId="3A811F54" w14:textId="77777777" w:rsidR="00854ADA" w:rsidRPr="00FF386D" w:rsidRDefault="00854ADA" w:rsidP="00854ADA">
            <w:pPr>
              <w:spacing w:after="0" w:line="256" w:lineRule="auto"/>
              <w:rPr>
                <w:rFonts w:asciiTheme="majorHAnsi" w:eastAsia="Times New Roman" w:hAnsiTheme="majorHAnsi" w:cstheme="majorHAnsi"/>
                <w:b/>
                <w:bCs/>
                <w:color w:val="FFFFFF"/>
                <w:sz w:val="20"/>
                <w:szCs w:val="20"/>
                <w:lang w:eastAsia="en-GB"/>
              </w:rPr>
            </w:pPr>
          </w:p>
        </w:tc>
        <w:tc>
          <w:tcPr>
            <w:tcW w:w="6150" w:type="dxa"/>
            <w:gridSpan w:val="3"/>
            <w:vMerge/>
            <w:tcBorders>
              <w:top w:val="single" w:sz="8" w:space="0" w:color="auto"/>
              <w:left w:val="single" w:sz="8" w:space="0" w:color="auto"/>
              <w:bottom w:val="single" w:sz="8" w:space="0" w:color="000000"/>
              <w:right w:val="single" w:sz="8" w:space="0" w:color="000000"/>
            </w:tcBorders>
            <w:vAlign w:val="center"/>
            <w:hideMark/>
          </w:tcPr>
          <w:p w14:paraId="069B9D08"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0F07F222" w14:textId="77777777" w:rsidTr="0057310C">
        <w:trPr>
          <w:trHeight w:val="780"/>
        </w:trPr>
        <w:tc>
          <w:tcPr>
            <w:tcW w:w="3338" w:type="dxa"/>
            <w:tcBorders>
              <w:top w:val="nil"/>
              <w:left w:val="single" w:sz="8" w:space="0" w:color="auto"/>
              <w:bottom w:val="single" w:sz="8" w:space="0" w:color="auto"/>
              <w:right w:val="single" w:sz="8" w:space="0" w:color="auto"/>
            </w:tcBorders>
            <w:shd w:val="clear" w:color="000000" w:fill="244062"/>
            <w:vAlign w:val="center"/>
            <w:hideMark/>
          </w:tcPr>
          <w:p w14:paraId="336C4AE8"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50" w:type="dxa"/>
            <w:gridSpan w:val="3"/>
            <w:tcBorders>
              <w:top w:val="single" w:sz="8" w:space="0" w:color="auto"/>
              <w:left w:val="nil"/>
              <w:bottom w:val="single" w:sz="8" w:space="0" w:color="auto"/>
              <w:right w:val="single" w:sz="8" w:space="0" w:color="000000"/>
            </w:tcBorders>
            <w:vAlign w:val="center"/>
            <w:hideMark/>
          </w:tcPr>
          <w:p w14:paraId="5C8277F4" w14:textId="77777777" w:rsidR="00854ADA" w:rsidRPr="00FF386D" w:rsidRDefault="00854ADA" w:rsidP="00854ADA">
            <w:pPr>
              <w:numPr>
                <w:ilvl w:val="0"/>
                <w:numId w:val="29"/>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Закон о енергетици</w:t>
            </w:r>
          </w:p>
          <w:p w14:paraId="1440A508" w14:textId="77777777" w:rsidR="00854ADA" w:rsidRPr="00FF386D" w:rsidRDefault="00854ADA" w:rsidP="00854ADA">
            <w:pPr>
              <w:numPr>
                <w:ilvl w:val="0"/>
                <w:numId w:val="29"/>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i/>
                <w:iCs/>
                <w:color w:val="000000"/>
                <w:sz w:val="20"/>
                <w:szCs w:val="20"/>
                <w:lang w:eastAsia="en-GB"/>
              </w:rPr>
              <w:t xml:space="preserve">TYNDP </w:t>
            </w:r>
            <w:r w:rsidRPr="00FF386D">
              <w:rPr>
                <w:rFonts w:asciiTheme="majorHAnsi" w:eastAsia="Times New Roman" w:hAnsiTheme="majorHAnsi" w:cstheme="majorHAnsi"/>
                <w:color w:val="000000"/>
                <w:sz w:val="20"/>
                <w:szCs w:val="20"/>
                <w:lang w:eastAsia="en-GB"/>
              </w:rPr>
              <w:t>за Србију 2021-2030</w:t>
            </w:r>
          </w:p>
        </w:tc>
      </w:tr>
      <w:tr w:rsidR="00854ADA" w:rsidRPr="00FF386D" w14:paraId="78CAD8E6" w14:textId="77777777" w:rsidTr="0057310C">
        <w:trPr>
          <w:trHeight w:val="315"/>
        </w:trPr>
        <w:tc>
          <w:tcPr>
            <w:tcW w:w="3338" w:type="dxa"/>
            <w:tcBorders>
              <w:top w:val="nil"/>
              <w:left w:val="single" w:sz="8" w:space="0" w:color="auto"/>
              <w:bottom w:val="single" w:sz="8" w:space="0" w:color="auto"/>
              <w:right w:val="single" w:sz="8" w:space="0" w:color="auto"/>
            </w:tcBorders>
            <w:shd w:val="clear" w:color="000000" w:fill="244062"/>
            <w:vAlign w:val="center"/>
            <w:hideMark/>
          </w:tcPr>
          <w:p w14:paraId="3EE0CE1B"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50" w:type="dxa"/>
            <w:gridSpan w:val="3"/>
            <w:tcBorders>
              <w:top w:val="single" w:sz="8" w:space="0" w:color="auto"/>
              <w:left w:val="nil"/>
              <w:bottom w:val="single" w:sz="8" w:space="0" w:color="auto"/>
              <w:right w:val="single" w:sz="8" w:space="0" w:color="000000"/>
            </w:tcBorders>
            <w:vAlign w:val="center"/>
            <w:hideMark/>
          </w:tcPr>
          <w:p w14:paraId="514FADC9"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187,2 милиона евра</w:t>
            </w:r>
          </w:p>
        </w:tc>
      </w:tr>
      <w:tr w:rsidR="00854ADA" w:rsidRPr="00FF386D" w14:paraId="2470A7F6" w14:textId="77777777" w:rsidTr="0057310C">
        <w:trPr>
          <w:trHeight w:val="315"/>
        </w:trPr>
        <w:tc>
          <w:tcPr>
            <w:tcW w:w="3338" w:type="dxa"/>
            <w:tcBorders>
              <w:top w:val="nil"/>
              <w:left w:val="single" w:sz="8" w:space="0" w:color="auto"/>
              <w:bottom w:val="single" w:sz="8" w:space="0" w:color="auto"/>
              <w:right w:val="single" w:sz="8" w:space="0" w:color="auto"/>
            </w:tcBorders>
            <w:shd w:val="clear" w:color="000000" w:fill="244062"/>
            <w:vAlign w:val="center"/>
            <w:hideMark/>
          </w:tcPr>
          <w:p w14:paraId="18EFEA71"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50" w:type="dxa"/>
            <w:gridSpan w:val="3"/>
            <w:tcBorders>
              <w:top w:val="single" w:sz="8" w:space="0" w:color="auto"/>
              <w:left w:val="nil"/>
              <w:bottom w:val="single" w:sz="8" w:space="0" w:color="auto"/>
              <w:right w:val="single" w:sz="8" w:space="0" w:color="000000"/>
            </w:tcBorders>
            <w:vAlign w:val="center"/>
            <w:hideMark/>
          </w:tcPr>
          <w:p w14:paraId="4701A055" w14:textId="6F89750B"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333835" w:rsidRPr="00FF386D">
              <w:rPr>
                <w:rFonts w:ascii="Calibri Light" w:eastAsia="Times New Roman" w:hAnsi="Calibri Light" w:cs="Calibri Light"/>
                <w:color w:val="000000"/>
                <w:sz w:val="20"/>
                <w:szCs w:val="20"/>
                <w:lang w:eastAsia="en-GB"/>
              </w:rPr>
              <w:t>ска и</w:t>
            </w:r>
            <w:r w:rsidRPr="00FF386D">
              <w:rPr>
                <w:rFonts w:ascii="Calibri Light" w:eastAsia="Times New Roman" w:hAnsi="Calibri Light" w:cs="Calibri Light"/>
                <w:color w:val="000000"/>
                <w:sz w:val="20"/>
                <w:szCs w:val="20"/>
                <w:lang w:eastAsia="en-GB"/>
              </w:rPr>
              <w:t xml:space="preserve"> сопствена средства</w:t>
            </w:r>
          </w:p>
        </w:tc>
      </w:tr>
    </w:tbl>
    <w:p w14:paraId="10E83BFF" w14:textId="77777777" w:rsidR="00854ADA" w:rsidRPr="00FF386D" w:rsidRDefault="00854ADA" w:rsidP="00854ADA">
      <w:pPr>
        <w:spacing w:before="120" w:after="120" w:line="240" w:lineRule="auto"/>
        <w:jc w:val="both"/>
        <w:rPr>
          <w:rFonts w:asciiTheme="majorHAnsi" w:eastAsia="Times New Roman" w:hAnsiTheme="majorHAnsi" w:cstheme="majorHAnsi"/>
          <w:sz w:val="20"/>
          <w:szCs w:val="20"/>
          <w:lang w:eastAsia="el-GR"/>
        </w:rPr>
      </w:pPr>
    </w:p>
    <w:tbl>
      <w:tblPr>
        <w:tblW w:w="9488" w:type="dxa"/>
        <w:tblLook w:val="04A0" w:firstRow="1" w:lastRow="0" w:firstColumn="1" w:lastColumn="0" w:noHBand="0" w:noVBand="1"/>
      </w:tblPr>
      <w:tblGrid>
        <w:gridCol w:w="3342"/>
        <w:gridCol w:w="942"/>
        <w:gridCol w:w="945"/>
        <w:gridCol w:w="4259"/>
      </w:tblGrid>
      <w:tr w:rsidR="00854ADA" w:rsidRPr="00FF386D" w14:paraId="25EA81CA" w14:textId="77777777" w:rsidTr="0057310C">
        <w:trPr>
          <w:trHeight w:val="780"/>
        </w:trPr>
        <w:tc>
          <w:tcPr>
            <w:tcW w:w="3342"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38525EE2" w14:textId="797B16BF" w:rsidR="00854ADA" w:rsidRPr="00FF386D" w:rsidRDefault="00DB1C84" w:rsidP="00854ADA">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 xml:space="preserve">: </w:t>
            </w:r>
          </w:p>
        </w:tc>
        <w:tc>
          <w:tcPr>
            <w:tcW w:w="942" w:type="dxa"/>
            <w:tcBorders>
              <w:top w:val="single" w:sz="8" w:space="0" w:color="auto"/>
              <w:left w:val="nil"/>
              <w:bottom w:val="single" w:sz="8" w:space="0" w:color="auto"/>
              <w:right w:val="single" w:sz="8" w:space="0" w:color="auto"/>
            </w:tcBorders>
            <w:shd w:val="clear" w:color="auto" w:fill="E7E6E6" w:themeFill="background2"/>
            <w:vAlign w:val="center"/>
            <w:hideMark/>
          </w:tcPr>
          <w:p w14:paraId="4B0ED540" w14:textId="77777777"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МП_EС3</w:t>
            </w:r>
          </w:p>
        </w:tc>
        <w:tc>
          <w:tcPr>
            <w:tcW w:w="945" w:type="dxa"/>
            <w:tcBorders>
              <w:top w:val="single" w:sz="8" w:space="0" w:color="auto"/>
              <w:left w:val="nil"/>
              <w:bottom w:val="single" w:sz="8" w:space="0" w:color="auto"/>
              <w:right w:val="single" w:sz="8" w:space="0" w:color="auto"/>
            </w:tcBorders>
            <w:shd w:val="clear" w:color="auto" w:fill="244062"/>
            <w:vAlign w:val="center"/>
            <w:hideMark/>
          </w:tcPr>
          <w:p w14:paraId="1317C73A"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Назив</w:t>
            </w:r>
            <w:r w:rsidRPr="000A2AFE">
              <w:rPr>
                <w:rFonts w:asciiTheme="majorHAnsi" w:eastAsia="Times New Roman" w:hAnsiTheme="majorHAnsi" w:cstheme="majorHAnsi"/>
                <w:b/>
                <w:bCs/>
                <w:color w:val="FFFFFF"/>
                <w:sz w:val="20"/>
                <w:szCs w:val="20"/>
                <w:lang w:eastAsia="en-GB"/>
              </w:rPr>
              <w:t xml:space="preserve">: </w:t>
            </w:r>
          </w:p>
        </w:tc>
        <w:tc>
          <w:tcPr>
            <w:tcW w:w="4259" w:type="dxa"/>
            <w:tcBorders>
              <w:top w:val="single" w:sz="8" w:space="0" w:color="auto"/>
              <w:left w:val="nil"/>
              <w:bottom w:val="single" w:sz="8" w:space="0" w:color="auto"/>
              <w:right w:val="single" w:sz="8" w:space="0" w:color="auto"/>
            </w:tcBorders>
            <w:shd w:val="clear" w:color="auto" w:fill="E7E6E6" w:themeFill="background2"/>
            <w:vAlign w:val="center"/>
            <w:hideMark/>
          </w:tcPr>
          <w:p w14:paraId="1242C0C8" w14:textId="54DA1108" w:rsidR="00854ADA" w:rsidRPr="00FF386D" w:rsidRDefault="00854ADA" w:rsidP="00854ADA">
            <w:pPr>
              <w:spacing w:after="0" w:line="240" w:lineRule="auto"/>
              <w:rPr>
                <w:rFonts w:asciiTheme="majorHAnsi" w:eastAsia="Times New Roman" w:hAnsiTheme="majorHAnsi" w:cstheme="majorHAnsi"/>
                <w:b/>
                <w:bCs/>
                <w:color w:val="000000"/>
                <w:sz w:val="20"/>
                <w:szCs w:val="20"/>
                <w:lang w:eastAsia="en-GB"/>
              </w:rPr>
            </w:pPr>
            <w:r w:rsidRPr="00FF386D">
              <w:rPr>
                <w:rFonts w:ascii="Calibri Light" w:hAnsi="Calibri Light"/>
                <w:b/>
                <w:sz w:val="20"/>
              </w:rPr>
              <w:t xml:space="preserve">Изградња капацитета за складиштење </w:t>
            </w:r>
            <w:r w:rsidR="00333835" w:rsidRPr="00FF386D">
              <w:rPr>
                <w:rFonts w:ascii="Calibri Light" w:hAnsi="Calibri Light"/>
                <w:b/>
                <w:sz w:val="20"/>
              </w:rPr>
              <w:t xml:space="preserve">електричне </w:t>
            </w:r>
            <w:r w:rsidRPr="00FF386D">
              <w:rPr>
                <w:rFonts w:ascii="Calibri Light" w:hAnsi="Calibri Light"/>
                <w:b/>
                <w:sz w:val="20"/>
              </w:rPr>
              <w:t>енергије</w:t>
            </w:r>
          </w:p>
        </w:tc>
      </w:tr>
      <w:tr w:rsidR="00854ADA" w:rsidRPr="00FF386D" w14:paraId="296872DE" w14:textId="77777777" w:rsidTr="0057310C">
        <w:trPr>
          <w:trHeight w:val="257"/>
        </w:trPr>
        <w:tc>
          <w:tcPr>
            <w:tcW w:w="3342" w:type="dxa"/>
            <w:tcBorders>
              <w:top w:val="nil"/>
              <w:left w:val="single" w:sz="8" w:space="0" w:color="auto"/>
              <w:bottom w:val="single" w:sz="8" w:space="0" w:color="auto"/>
              <w:right w:val="nil"/>
            </w:tcBorders>
            <w:shd w:val="clear" w:color="000000" w:fill="244062"/>
            <w:vAlign w:val="center"/>
            <w:hideMark/>
          </w:tcPr>
          <w:p w14:paraId="3081E0A6"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146" w:type="dxa"/>
            <w:gridSpan w:val="3"/>
            <w:tcBorders>
              <w:top w:val="single" w:sz="8" w:space="0" w:color="auto"/>
              <w:left w:val="nil"/>
              <w:bottom w:val="single" w:sz="8" w:space="0" w:color="auto"/>
              <w:right w:val="single" w:sz="8" w:space="0" w:color="000000"/>
            </w:tcBorders>
            <w:shd w:val="clear" w:color="auto" w:fill="FFFFFF" w:themeFill="background1"/>
            <w:vAlign w:val="center"/>
            <w:hideMark/>
          </w:tcPr>
          <w:p w14:paraId="019417FA" w14:textId="1DE6B570" w:rsidR="00854ADA" w:rsidRPr="00FF386D" w:rsidRDefault="00854ADA" w:rsidP="00854ADA">
            <w:pPr>
              <w:spacing w:after="0"/>
              <w:jc w:val="both"/>
              <w:rPr>
                <w:rFonts w:asciiTheme="majorHAnsi" w:eastAsia="Times New Roman" w:hAnsiTheme="majorHAnsi" w:cstheme="majorHAnsi"/>
                <w:b/>
                <w:bCs/>
                <w:color w:val="FFFFFF"/>
                <w:sz w:val="20"/>
                <w:szCs w:val="20"/>
                <w:lang w:eastAsia="en-GB"/>
              </w:rPr>
            </w:pPr>
            <w:r w:rsidRPr="00FF386D">
              <w:rPr>
                <w:rFonts w:asciiTheme="majorHAnsi" w:eastAsia="Times New Roman" w:hAnsiTheme="majorHAnsi" w:cstheme="majorHAnsi"/>
                <w:sz w:val="20"/>
                <w:szCs w:val="20"/>
                <w:lang w:eastAsia="en-GB"/>
              </w:rPr>
              <w:t>Отпорност у случају ограничења или прекида у снабдевању енергентом, флексибилност националног енергетског система</w:t>
            </w:r>
            <w:r w:rsidR="00D47D7E">
              <w:rPr>
                <w:rFonts w:asciiTheme="majorHAnsi" w:eastAsia="Times New Roman" w:hAnsiTheme="majorHAnsi" w:cstheme="majorHAnsi"/>
                <w:sz w:val="20"/>
                <w:szCs w:val="20"/>
                <w:lang w:eastAsia="en-GB"/>
              </w:rPr>
              <w:t>, развој нискоугљничних технологија</w:t>
            </w:r>
          </w:p>
        </w:tc>
      </w:tr>
      <w:tr w:rsidR="00854ADA" w:rsidRPr="00FF386D" w14:paraId="1163605B" w14:textId="77777777" w:rsidTr="0057310C">
        <w:trPr>
          <w:trHeight w:val="251"/>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270B6619"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Квантификовани циљ: </w:t>
            </w:r>
          </w:p>
        </w:tc>
        <w:tc>
          <w:tcPr>
            <w:tcW w:w="6146" w:type="dxa"/>
            <w:gridSpan w:val="3"/>
            <w:tcBorders>
              <w:top w:val="single" w:sz="8" w:space="0" w:color="auto"/>
              <w:left w:val="nil"/>
              <w:bottom w:val="single" w:sz="8" w:space="0" w:color="auto"/>
              <w:right w:val="single" w:sz="8" w:space="0" w:color="000000"/>
            </w:tcBorders>
            <w:vAlign w:val="center"/>
            <w:hideMark/>
          </w:tcPr>
          <w:p w14:paraId="7B589BF1" w14:textId="7D6E8A84" w:rsidR="00854ADA" w:rsidRPr="000A2AFE" w:rsidRDefault="00375FA4" w:rsidP="000A2AFE">
            <w:pPr>
              <w:spacing w:after="0"/>
              <w:rPr>
                <w:rFonts w:asciiTheme="majorHAnsi" w:eastAsia="Times New Roman" w:hAnsiTheme="majorHAnsi" w:cstheme="majorHAnsi"/>
                <w:color w:val="FFFFFF"/>
                <w:sz w:val="20"/>
                <w:szCs w:val="20"/>
                <w:lang w:eastAsia="en-GB"/>
              </w:rPr>
            </w:pPr>
            <w:r w:rsidRPr="000A2AFE">
              <w:rPr>
                <w:rFonts w:asciiTheme="majorHAnsi" w:eastAsia="Times New Roman" w:hAnsiTheme="majorHAnsi" w:cstheme="majorHAnsi"/>
                <w:color w:val="000000" w:themeColor="text1"/>
                <w:sz w:val="20"/>
                <w:szCs w:val="20"/>
                <w:lang w:eastAsia="en-GB"/>
              </w:rPr>
              <w:t>Капацитет складишта [</w:t>
            </w:r>
            <w:r w:rsidRPr="00375FA4">
              <w:rPr>
                <w:rFonts w:asciiTheme="majorHAnsi" w:eastAsia="Times New Roman" w:hAnsiTheme="majorHAnsi" w:cstheme="majorHAnsi"/>
                <w:color w:val="000000" w:themeColor="text1"/>
                <w:sz w:val="20"/>
                <w:szCs w:val="20"/>
                <w:lang w:eastAsia="en-GB"/>
              </w:rPr>
              <w:t>MWh</w:t>
            </w:r>
            <w:r w:rsidRPr="000A2AFE">
              <w:rPr>
                <w:rFonts w:asciiTheme="majorHAnsi" w:eastAsia="Times New Roman" w:hAnsiTheme="majorHAnsi" w:cstheme="majorHAnsi"/>
                <w:color w:val="000000" w:themeColor="text1"/>
                <w:sz w:val="20"/>
                <w:szCs w:val="20"/>
                <w:lang w:eastAsia="en-GB"/>
              </w:rPr>
              <w:t>] кумулативно инсталиран у електроенергетском систему Србије</w:t>
            </w:r>
          </w:p>
        </w:tc>
      </w:tr>
      <w:tr w:rsidR="00854ADA" w:rsidRPr="00FF386D" w14:paraId="5E757EC1" w14:textId="77777777" w:rsidTr="0057310C">
        <w:trPr>
          <w:trHeight w:val="443"/>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2C743F3A"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146" w:type="dxa"/>
            <w:gridSpan w:val="3"/>
            <w:tcBorders>
              <w:top w:val="single" w:sz="8" w:space="0" w:color="auto"/>
              <w:left w:val="nil"/>
              <w:bottom w:val="single" w:sz="8" w:space="0" w:color="auto"/>
              <w:right w:val="single" w:sz="8" w:space="0" w:color="000000"/>
            </w:tcBorders>
            <w:vAlign w:val="center"/>
            <w:hideMark/>
          </w:tcPr>
          <w:p w14:paraId="02AA6872" w14:textId="4326E7AC" w:rsidR="00854ADA" w:rsidRPr="00FF386D" w:rsidRDefault="00854ADA" w:rsidP="00854ADA">
            <w:pPr>
              <w:spacing w:after="0" w:line="240" w:lineRule="auto"/>
              <w:jc w:val="both"/>
              <w:rPr>
                <w:rFonts w:asciiTheme="majorHAnsi" w:eastAsia="Times New Roman" w:hAnsiTheme="majorHAnsi" w:cstheme="majorHAnsi"/>
                <w:sz w:val="20"/>
                <w:szCs w:val="20"/>
                <w:lang w:eastAsia="en-GB"/>
              </w:rPr>
            </w:pPr>
            <w:r w:rsidRPr="00FF386D">
              <w:rPr>
                <w:rFonts w:ascii="Calibri Light" w:hAnsi="Calibri Light"/>
                <w:sz w:val="20"/>
              </w:rPr>
              <w:t>МП_ЕС3 се односи на складиштење енергије које се н</w:t>
            </w:r>
            <w:r w:rsidR="00255B35" w:rsidRPr="00FF386D">
              <w:rPr>
                <w:rFonts w:ascii="Calibri Light" w:hAnsi="Calibri Light"/>
                <w:sz w:val="20"/>
              </w:rPr>
              <w:t xml:space="preserve">а </w:t>
            </w:r>
            <w:r w:rsidRPr="00FF386D">
              <w:rPr>
                <w:rFonts w:ascii="Calibri Light" w:hAnsi="Calibri Light"/>
                <w:sz w:val="20"/>
              </w:rPr>
              <w:t xml:space="preserve">кумулативан начин </w:t>
            </w:r>
            <w:r w:rsidRPr="00FF386D">
              <w:rPr>
                <w:rFonts w:ascii="Calibri Light" w:eastAsia="NSimSun" w:hAnsi="Calibri Light" w:cs="Mangal"/>
                <w:kern w:val="2"/>
                <w:sz w:val="20"/>
                <w:szCs w:val="24"/>
                <w:lang w:eastAsia="zh-CN" w:bidi="hi-IN"/>
              </w:rPr>
              <w:t>бави</w:t>
            </w:r>
            <w:r w:rsidRPr="00FF386D">
              <w:rPr>
                <w:rFonts w:ascii="Calibri Light" w:hAnsi="Calibri Light"/>
                <w:sz w:val="20"/>
              </w:rPr>
              <w:t xml:space="preserve"> аспектом сигурног снабдевања и интеграције паметног система. Пакет „Чиста енергија за све”</w:t>
            </w:r>
            <w:r w:rsidRPr="00FF386D">
              <w:rPr>
                <w:rFonts w:ascii="Calibri Light" w:hAnsi="Calibri Light"/>
                <w:i/>
                <w:iCs/>
                <w:sz w:val="20"/>
              </w:rPr>
              <w:t>,</w:t>
            </w:r>
            <w:r w:rsidRPr="00FF386D">
              <w:rPr>
                <w:rFonts w:ascii="Calibri Light" w:hAnsi="Calibri Light"/>
                <w:sz w:val="20"/>
              </w:rPr>
              <w:t xml:space="preserve"> односно Директива о електричној енергији </w:t>
            </w:r>
            <w:r w:rsidR="00A71252" w:rsidRPr="00A71252">
              <w:rPr>
                <w:rFonts w:ascii="Calibri Light" w:hAnsi="Calibri Light"/>
                <w:sz w:val="20"/>
              </w:rPr>
              <w:t>(2019/944)</w:t>
            </w:r>
            <w:r w:rsidR="00A71252">
              <w:rPr>
                <w:rFonts w:ascii="Calibri Light" w:hAnsi="Calibri Light"/>
                <w:sz w:val="20"/>
              </w:rPr>
              <w:t xml:space="preserve"> </w:t>
            </w:r>
            <w:r w:rsidRPr="00FF386D">
              <w:rPr>
                <w:rFonts w:ascii="Calibri Light" w:hAnsi="Calibri Light"/>
                <w:sz w:val="20"/>
              </w:rPr>
              <w:t xml:space="preserve">и </w:t>
            </w:r>
            <w:r w:rsidR="00255B35" w:rsidRPr="00FF386D">
              <w:rPr>
                <w:rFonts w:ascii="Calibri Light" w:hAnsi="Calibri Light"/>
                <w:sz w:val="20"/>
              </w:rPr>
              <w:t xml:space="preserve">посебно </w:t>
            </w:r>
            <w:r w:rsidRPr="00FF386D">
              <w:rPr>
                <w:rFonts w:ascii="Calibri Light" w:hAnsi="Calibri Light"/>
                <w:sz w:val="20"/>
              </w:rPr>
              <w:t>Уредба о електричној енергији</w:t>
            </w:r>
            <w:r w:rsidR="00A71252">
              <w:rPr>
                <w:rFonts w:ascii="Calibri Light" w:hAnsi="Calibri Light"/>
                <w:sz w:val="20"/>
              </w:rPr>
              <w:t xml:space="preserve"> </w:t>
            </w:r>
            <w:r w:rsidR="00A71252" w:rsidRPr="00A71252">
              <w:rPr>
                <w:rFonts w:ascii="Calibri Light" w:hAnsi="Calibri Light"/>
                <w:sz w:val="20"/>
              </w:rPr>
              <w:t>(2019/943)</w:t>
            </w:r>
            <w:r w:rsidRPr="00FF386D">
              <w:rPr>
                <w:rFonts w:ascii="Calibri Light" w:hAnsi="Calibri Light"/>
                <w:sz w:val="20"/>
              </w:rPr>
              <w:t>, имају за циљ успостављање принципа за функционална интегрисана тржишта електричне енергије, чиме се, између осталог, омогућава недискриминаторан приступ тржишту пружаоцима услуге „одзив потр</w:t>
            </w:r>
            <w:r w:rsidR="00333835" w:rsidRPr="00FF386D">
              <w:rPr>
                <w:rFonts w:ascii="Calibri Light" w:hAnsi="Calibri Light"/>
                <w:sz w:val="20"/>
              </w:rPr>
              <w:t>о</w:t>
            </w:r>
            <w:r w:rsidRPr="00FF386D">
              <w:rPr>
                <w:rFonts w:ascii="Calibri Light" w:hAnsi="Calibri Light"/>
                <w:sz w:val="20"/>
              </w:rPr>
              <w:t>шње” и услуге складиштења енергије.</w:t>
            </w:r>
            <w:r w:rsidR="00A71252">
              <w:rPr>
                <w:rFonts w:ascii="Calibri Light" w:hAnsi="Calibri Light"/>
                <w:sz w:val="20"/>
              </w:rPr>
              <w:t xml:space="preserve"> </w:t>
            </w:r>
            <w:r w:rsidRPr="00FF386D">
              <w:rPr>
                <w:rFonts w:ascii="Calibri Light" w:hAnsi="Calibri Light"/>
                <w:sz w:val="20"/>
              </w:rPr>
              <w:t>Државе чланице такође треба да пруже подстицаје оператерима преносних и дистрибутивних система за вршење флексибилних услуга, укључујући услуге складиштења</w:t>
            </w:r>
            <w:r w:rsidR="00A71252">
              <w:rPr>
                <w:rFonts w:ascii="Calibri Light" w:hAnsi="Calibri Light"/>
                <w:sz w:val="20"/>
              </w:rPr>
              <w:t>, где је оне представљају бољу опцију у економском смислу у поређењу са новом мрежном инфраструктуром</w:t>
            </w:r>
            <w:r w:rsidRPr="00FF386D">
              <w:rPr>
                <w:rFonts w:ascii="Calibri Light" w:hAnsi="Calibri Light"/>
                <w:sz w:val="20"/>
              </w:rPr>
              <w:t>. Међутим, заједнички приступ који се бави познатим баријерама за складиштење енергије (а) накнаде за мрежу; (</w:t>
            </w:r>
            <w:r w:rsidRPr="00FF386D">
              <w:rPr>
                <w:rFonts w:ascii="Calibri Light" w:eastAsia="NSimSun" w:hAnsi="Calibri Light" w:cs="Mangal"/>
                <w:kern w:val="2"/>
                <w:sz w:val="20"/>
                <w:szCs w:val="24"/>
                <w:lang w:eastAsia="zh-CN" w:bidi="hi-IN"/>
              </w:rPr>
              <w:t>б</w:t>
            </w:r>
            <w:r w:rsidRPr="00FF386D">
              <w:rPr>
                <w:rFonts w:ascii="Calibri Light" w:hAnsi="Calibri Light"/>
                <w:sz w:val="20"/>
              </w:rPr>
              <w:t>) комбиновање прихода од различитих услуга; (</w:t>
            </w:r>
            <w:r w:rsidRPr="00FF386D">
              <w:rPr>
                <w:rFonts w:ascii="Calibri Light" w:eastAsia="NSimSun" w:hAnsi="Calibri Light" w:cs="Mangal"/>
                <w:kern w:val="2"/>
                <w:sz w:val="20"/>
                <w:szCs w:val="24"/>
                <w:lang w:eastAsia="zh-CN" w:bidi="hi-IN"/>
              </w:rPr>
              <w:t>в</w:t>
            </w:r>
            <w:r w:rsidRPr="00FF386D">
              <w:rPr>
                <w:rFonts w:ascii="Calibri Light" w:hAnsi="Calibri Light"/>
                <w:sz w:val="20"/>
              </w:rPr>
              <w:t>) власништво над објектима за складиштење енергије; и (</w:t>
            </w:r>
            <w:r w:rsidRPr="00FF386D">
              <w:rPr>
                <w:rFonts w:ascii="Calibri Light" w:eastAsia="NSimSun" w:hAnsi="Calibri Light" w:cs="Mangal"/>
                <w:kern w:val="2"/>
                <w:sz w:val="20"/>
                <w:szCs w:val="24"/>
                <w:lang w:eastAsia="zh-CN" w:bidi="hi-IN"/>
              </w:rPr>
              <w:t>г</w:t>
            </w:r>
            <w:r w:rsidRPr="00FF386D">
              <w:rPr>
                <w:rFonts w:ascii="Calibri Light" w:hAnsi="Calibri Light"/>
                <w:sz w:val="20"/>
              </w:rPr>
              <w:t xml:space="preserve">) комбиновање електричне енергије са другим облицима енергије, тек треба да се развије у Европи, а потом и у Србији; е) пумпне (реверзибилне)/складишне хидроелектране као посебан </w:t>
            </w:r>
            <w:r w:rsidR="00255B35" w:rsidRPr="00FF386D">
              <w:rPr>
                <w:rFonts w:ascii="Calibri Light" w:hAnsi="Calibri Light"/>
                <w:sz w:val="20"/>
              </w:rPr>
              <w:t>вид</w:t>
            </w:r>
            <w:r w:rsidRPr="00FF386D">
              <w:rPr>
                <w:rFonts w:ascii="Calibri Light" w:hAnsi="Calibri Light"/>
                <w:sz w:val="20"/>
              </w:rPr>
              <w:t xml:space="preserve"> складиштења електричне енергије</w:t>
            </w:r>
            <w:r w:rsidR="00A71252">
              <w:rPr>
                <w:rFonts w:ascii="Calibri Light" w:hAnsi="Calibri Light"/>
                <w:sz w:val="20"/>
              </w:rPr>
              <w:t>.</w:t>
            </w:r>
          </w:p>
        </w:tc>
      </w:tr>
      <w:tr w:rsidR="00854ADA" w:rsidRPr="00FF386D" w14:paraId="08E5D749" w14:textId="77777777" w:rsidTr="0057310C">
        <w:trPr>
          <w:trHeight w:val="315"/>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5C8CABCC"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146" w:type="dxa"/>
            <w:gridSpan w:val="3"/>
            <w:tcBorders>
              <w:top w:val="single" w:sz="8" w:space="0" w:color="auto"/>
              <w:left w:val="nil"/>
              <w:bottom w:val="single" w:sz="8" w:space="0" w:color="auto"/>
              <w:right w:val="single" w:sz="8" w:space="0" w:color="000000"/>
            </w:tcBorders>
            <w:vAlign w:val="center"/>
            <w:hideMark/>
          </w:tcPr>
          <w:p w14:paraId="1BA7A15B" w14:textId="54ACB4DC"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2024-2030</w:t>
            </w:r>
            <w:r w:rsidR="00D47D7E">
              <w:rPr>
                <w:rFonts w:asciiTheme="majorHAnsi" w:eastAsia="Times New Roman" w:hAnsiTheme="majorHAnsi" w:cstheme="majorHAnsi"/>
                <w:color w:val="000000"/>
                <w:sz w:val="20"/>
                <w:szCs w:val="20"/>
                <w:lang w:eastAsia="en-GB"/>
              </w:rPr>
              <w:t>.</w:t>
            </w:r>
          </w:p>
        </w:tc>
      </w:tr>
      <w:tr w:rsidR="00854ADA" w:rsidRPr="00FF386D" w14:paraId="7AC00F7C" w14:textId="77777777" w:rsidTr="0057310C">
        <w:trPr>
          <w:trHeight w:val="315"/>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7480B9F9"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146" w:type="dxa"/>
            <w:gridSpan w:val="3"/>
            <w:tcBorders>
              <w:top w:val="single" w:sz="8" w:space="0" w:color="auto"/>
              <w:left w:val="nil"/>
              <w:bottom w:val="single" w:sz="8" w:space="0" w:color="auto"/>
              <w:right w:val="single" w:sz="8" w:space="0" w:color="000000"/>
            </w:tcBorders>
            <w:vAlign w:val="center"/>
            <w:hideMark/>
          </w:tcPr>
          <w:p w14:paraId="096B76FA"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Реформа</w:t>
            </w:r>
          </w:p>
        </w:tc>
      </w:tr>
      <w:tr w:rsidR="00854ADA" w:rsidRPr="00FF386D" w14:paraId="65B0984A" w14:textId="77777777" w:rsidTr="0057310C">
        <w:trPr>
          <w:trHeight w:val="315"/>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351F10DE"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146" w:type="dxa"/>
            <w:gridSpan w:val="3"/>
            <w:tcBorders>
              <w:top w:val="single" w:sz="8" w:space="0" w:color="auto"/>
              <w:left w:val="nil"/>
              <w:bottom w:val="single" w:sz="8" w:space="0" w:color="auto"/>
              <w:right w:val="single" w:sz="8" w:space="0" w:color="000000"/>
            </w:tcBorders>
            <w:vAlign w:val="center"/>
            <w:hideMark/>
          </w:tcPr>
          <w:p w14:paraId="03D6E234"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Електрична енергија</w:t>
            </w:r>
          </w:p>
        </w:tc>
      </w:tr>
      <w:tr w:rsidR="00854ADA" w:rsidRPr="00FF386D" w14:paraId="2B9F8946" w14:textId="77777777" w:rsidTr="0057310C">
        <w:trPr>
          <w:trHeight w:val="315"/>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42CF3FF3"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146" w:type="dxa"/>
            <w:gridSpan w:val="3"/>
            <w:tcBorders>
              <w:top w:val="single" w:sz="8" w:space="0" w:color="auto"/>
              <w:left w:val="nil"/>
              <w:bottom w:val="single" w:sz="8" w:space="0" w:color="auto"/>
              <w:right w:val="single" w:sz="8" w:space="0" w:color="000000"/>
            </w:tcBorders>
            <w:vAlign w:val="center"/>
            <w:hideMark/>
          </w:tcPr>
          <w:p w14:paraId="23D52ACA" w14:textId="77777777" w:rsidR="00854ADA" w:rsidRPr="00FF386D" w:rsidRDefault="00854ADA" w:rsidP="00854ADA">
            <w:pPr>
              <w:numPr>
                <w:ilvl w:val="0"/>
                <w:numId w:val="29"/>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рударства и енергетике</w:t>
            </w:r>
          </w:p>
          <w:p w14:paraId="43D7553C" w14:textId="77777777" w:rsidR="00854ADA" w:rsidRPr="00FF386D" w:rsidRDefault="00854ADA" w:rsidP="00854ADA">
            <w:pPr>
              <w:numPr>
                <w:ilvl w:val="0"/>
                <w:numId w:val="29"/>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ЕМС</w:t>
            </w:r>
          </w:p>
          <w:p w14:paraId="36EDAE12" w14:textId="46929BF5" w:rsidR="00854ADA" w:rsidRPr="00FF386D" w:rsidRDefault="00854ADA" w:rsidP="00854ADA">
            <w:pPr>
              <w:numPr>
                <w:ilvl w:val="0"/>
                <w:numId w:val="29"/>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ЕПС</w:t>
            </w:r>
          </w:p>
          <w:p w14:paraId="573BC91F" w14:textId="77777777" w:rsidR="00854ADA" w:rsidRPr="00FF386D" w:rsidRDefault="00854ADA" w:rsidP="00854ADA">
            <w:pPr>
              <w:numPr>
                <w:ilvl w:val="0"/>
                <w:numId w:val="29"/>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Приватни сектор</w:t>
            </w:r>
          </w:p>
        </w:tc>
      </w:tr>
      <w:tr w:rsidR="00854ADA" w:rsidRPr="00FF386D" w14:paraId="354FAA63" w14:textId="77777777" w:rsidTr="0057310C">
        <w:trPr>
          <w:trHeight w:val="315"/>
        </w:trPr>
        <w:tc>
          <w:tcPr>
            <w:tcW w:w="3342" w:type="dxa"/>
            <w:tcBorders>
              <w:top w:val="nil"/>
              <w:left w:val="single" w:sz="8" w:space="0" w:color="auto"/>
              <w:bottom w:val="single" w:sz="8" w:space="0" w:color="auto"/>
              <w:right w:val="nil"/>
            </w:tcBorders>
            <w:shd w:val="clear" w:color="000000" w:fill="244062"/>
            <w:vAlign w:val="center"/>
            <w:hideMark/>
          </w:tcPr>
          <w:p w14:paraId="22620232"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146" w:type="dxa"/>
            <w:gridSpan w:val="3"/>
            <w:tcBorders>
              <w:top w:val="single" w:sz="8" w:space="0" w:color="auto"/>
              <w:left w:val="nil"/>
              <w:bottom w:val="single" w:sz="8" w:space="0" w:color="auto"/>
              <w:right w:val="single" w:sz="8" w:space="0" w:color="000000"/>
            </w:tcBorders>
            <w:vAlign w:val="center"/>
            <w:hideMark/>
          </w:tcPr>
          <w:p w14:paraId="4C7EBE19" w14:textId="22BD0BC5" w:rsidR="00854ADA" w:rsidRPr="00A71252" w:rsidRDefault="00D47D7E" w:rsidP="00A71252">
            <w:pPr>
              <w:numPr>
                <w:ilvl w:val="0"/>
                <w:numId w:val="29"/>
              </w:numPr>
              <w:spacing w:after="0" w:line="240" w:lineRule="auto"/>
              <w:contextualSpacing/>
              <w:jc w:val="both"/>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 xml:space="preserve">„Електромрежа Србије” '- </w:t>
            </w:r>
            <w:r w:rsidR="00854ADA" w:rsidRPr="00FF386D">
              <w:rPr>
                <w:rFonts w:asciiTheme="majorHAnsi" w:eastAsia="Times New Roman" w:hAnsiTheme="majorHAnsi" w:cstheme="majorHAnsi"/>
                <w:color w:val="000000"/>
                <w:sz w:val="20"/>
                <w:szCs w:val="20"/>
                <w:lang w:eastAsia="en-GB"/>
              </w:rPr>
              <w:t>ЕМС</w:t>
            </w:r>
          </w:p>
        </w:tc>
      </w:tr>
      <w:tr w:rsidR="00854ADA" w:rsidRPr="00FF386D" w14:paraId="1A03A53C" w14:textId="77777777" w:rsidTr="0057310C">
        <w:trPr>
          <w:trHeight w:val="315"/>
        </w:trPr>
        <w:tc>
          <w:tcPr>
            <w:tcW w:w="3342" w:type="dxa"/>
            <w:tcBorders>
              <w:top w:val="nil"/>
              <w:left w:val="single" w:sz="8" w:space="0" w:color="auto"/>
              <w:bottom w:val="single" w:sz="8" w:space="0" w:color="auto"/>
              <w:right w:val="nil"/>
            </w:tcBorders>
            <w:shd w:val="clear" w:color="000000" w:fill="244062"/>
            <w:vAlign w:val="center"/>
            <w:hideMark/>
          </w:tcPr>
          <w:p w14:paraId="4C48619E"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146" w:type="dxa"/>
            <w:gridSpan w:val="3"/>
            <w:tcBorders>
              <w:top w:val="single" w:sz="8" w:space="0" w:color="auto"/>
              <w:left w:val="nil"/>
              <w:bottom w:val="single" w:sz="8" w:space="0" w:color="auto"/>
              <w:right w:val="single" w:sz="8" w:space="0" w:color="000000"/>
            </w:tcBorders>
            <w:vAlign w:val="center"/>
            <w:hideMark/>
          </w:tcPr>
          <w:p w14:paraId="0FD5D972"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Учешће варијабилних ОИЕ, ограничена електрична енергија из ОИЕ</w:t>
            </w:r>
          </w:p>
        </w:tc>
      </w:tr>
      <w:tr w:rsidR="00854ADA" w:rsidRPr="00FF386D" w14:paraId="69E163FF" w14:textId="77777777" w:rsidTr="0057310C">
        <w:trPr>
          <w:trHeight w:val="606"/>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18E6B8D4"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146" w:type="dxa"/>
            <w:gridSpan w:val="3"/>
            <w:tcBorders>
              <w:top w:val="single" w:sz="8" w:space="0" w:color="auto"/>
              <w:left w:val="nil"/>
              <w:bottom w:val="single" w:sz="8" w:space="0" w:color="auto"/>
              <w:right w:val="single" w:sz="8" w:space="0" w:color="000000"/>
            </w:tcBorders>
            <w:vAlign w:val="center"/>
            <w:hideMark/>
          </w:tcPr>
          <w:p w14:paraId="664D622C" w14:textId="77777777" w:rsidR="00854ADA" w:rsidRPr="000A2AFE" w:rsidRDefault="00854ADA" w:rsidP="00854ADA">
            <w:pPr>
              <w:numPr>
                <w:ilvl w:val="0"/>
                <w:numId w:val="13"/>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Унутрашње енергетско тржиште</w:t>
            </w:r>
          </w:p>
          <w:p w14:paraId="41BC24ED" w14:textId="4CEA421D" w:rsidR="00854ADA" w:rsidRPr="00FF386D" w:rsidRDefault="00854ADA" w:rsidP="00854ADA">
            <w:pPr>
              <w:numPr>
                <w:ilvl w:val="0"/>
                <w:numId w:val="29"/>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Декарбонизација</w:t>
            </w:r>
          </w:p>
        </w:tc>
      </w:tr>
      <w:tr w:rsidR="00854ADA" w:rsidRPr="00FF386D" w14:paraId="2B5D6927" w14:textId="77777777" w:rsidTr="0057310C">
        <w:trPr>
          <w:trHeight w:val="450"/>
        </w:trPr>
        <w:tc>
          <w:tcPr>
            <w:tcW w:w="3342"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06C62DEB" w14:textId="7D81BE5C" w:rsidR="00854ADA" w:rsidRPr="00FF386D" w:rsidRDefault="004D35DC"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146" w:type="dxa"/>
            <w:gridSpan w:val="3"/>
            <w:vMerge w:val="restart"/>
            <w:tcBorders>
              <w:top w:val="single" w:sz="8" w:space="0" w:color="auto"/>
              <w:left w:val="single" w:sz="8" w:space="0" w:color="auto"/>
              <w:bottom w:val="single" w:sz="8" w:space="0" w:color="000000"/>
              <w:right w:val="single" w:sz="8" w:space="0" w:color="000000"/>
            </w:tcBorders>
            <w:vAlign w:val="center"/>
          </w:tcPr>
          <w:p w14:paraId="7BDC42A5" w14:textId="51F72914" w:rsidR="00854ADA" w:rsidRPr="000A2AFE" w:rsidRDefault="00854ADA" w:rsidP="00854ADA">
            <w:pPr>
              <w:numPr>
                <w:ilvl w:val="0"/>
                <w:numId w:val="13"/>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 xml:space="preserve">Директива </w:t>
            </w:r>
            <w:r w:rsidR="00DF13BA" w:rsidRPr="000A2AFE">
              <w:rPr>
                <w:rFonts w:asciiTheme="majorHAnsi" w:eastAsia="Times New Roman" w:hAnsiTheme="majorHAnsi" w:cstheme="majorHAnsi"/>
                <w:color w:val="000000"/>
                <w:sz w:val="20"/>
                <w:szCs w:val="20"/>
                <w:lang w:eastAsia="en-GB"/>
              </w:rPr>
              <w:t xml:space="preserve">(ЕУ) </w:t>
            </w:r>
            <w:r w:rsidRPr="000A2AFE">
              <w:rPr>
                <w:rFonts w:asciiTheme="majorHAnsi" w:eastAsia="Times New Roman" w:hAnsiTheme="majorHAnsi" w:cstheme="majorHAnsi"/>
                <w:color w:val="000000"/>
                <w:sz w:val="20"/>
                <w:szCs w:val="20"/>
                <w:lang w:eastAsia="en-GB"/>
              </w:rPr>
              <w:t>2019/944</w:t>
            </w:r>
          </w:p>
          <w:p w14:paraId="4BF5AF93" w14:textId="22284D63" w:rsidR="00854ADA" w:rsidRPr="00FF386D" w:rsidRDefault="00854ADA" w:rsidP="00854ADA">
            <w:pPr>
              <w:numPr>
                <w:ilvl w:val="0"/>
                <w:numId w:val="30"/>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 xml:space="preserve">Уредба </w:t>
            </w:r>
            <w:r w:rsidR="00DF13BA" w:rsidRPr="000A2AFE">
              <w:rPr>
                <w:rFonts w:asciiTheme="majorHAnsi" w:eastAsia="Times New Roman" w:hAnsiTheme="majorHAnsi" w:cstheme="majorHAnsi"/>
                <w:color w:val="000000"/>
                <w:sz w:val="20"/>
                <w:szCs w:val="20"/>
                <w:lang w:eastAsia="en-GB"/>
              </w:rPr>
              <w:t xml:space="preserve">(ЕУ) </w:t>
            </w:r>
            <w:r w:rsidRPr="000A2AFE">
              <w:rPr>
                <w:rFonts w:asciiTheme="majorHAnsi" w:eastAsia="Times New Roman" w:hAnsiTheme="majorHAnsi" w:cstheme="majorHAnsi"/>
                <w:color w:val="000000"/>
                <w:sz w:val="20"/>
                <w:szCs w:val="20"/>
                <w:lang w:eastAsia="en-GB"/>
              </w:rPr>
              <w:t>2019/943</w:t>
            </w:r>
          </w:p>
        </w:tc>
      </w:tr>
      <w:tr w:rsidR="00854ADA" w:rsidRPr="00FF386D" w14:paraId="00CC92CE"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3997D356" w14:textId="77777777" w:rsidR="00854ADA" w:rsidRPr="00FF386D" w:rsidRDefault="00854ADA" w:rsidP="00854ADA">
            <w:pPr>
              <w:spacing w:after="0" w:line="256" w:lineRule="auto"/>
              <w:rPr>
                <w:rFonts w:asciiTheme="majorHAnsi" w:eastAsia="Times New Roman" w:hAnsiTheme="majorHAnsi" w:cstheme="majorHAnsi"/>
                <w:b/>
                <w:bCs/>
                <w:color w:val="FFFFFF"/>
                <w:sz w:val="20"/>
                <w:szCs w:val="20"/>
                <w:lang w:eastAsia="en-GB"/>
              </w:rPr>
            </w:pPr>
          </w:p>
        </w:tc>
        <w:tc>
          <w:tcPr>
            <w:tcW w:w="6146" w:type="dxa"/>
            <w:gridSpan w:val="3"/>
            <w:vMerge/>
            <w:tcBorders>
              <w:top w:val="single" w:sz="8" w:space="0" w:color="auto"/>
              <w:left w:val="single" w:sz="8" w:space="0" w:color="auto"/>
              <w:bottom w:val="single" w:sz="8" w:space="0" w:color="000000"/>
              <w:right w:val="single" w:sz="8" w:space="0" w:color="000000"/>
            </w:tcBorders>
            <w:vAlign w:val="center"/>
            <w:hideMark/>
          </w:tcPr>
          <w:p w14:paraId="10935FBD"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7A9CB6E7"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4328A4B4" w14:textId="77777777" w:rsidR="00854ADA" w:rsidRPr="00FF386D" w:rsidRDefault="00854ADA" w:rsidP="00854ADA">
            <w:pPr>
              <w:spacing w:after="0" w:line="256" w:lineRule="auto"/>
              <w:rPr>
                <w:rFonts w:asciiTheme="majorHAnsi" w:eastAsia="Times New Roman" w:hAnsiTheme="majorHAnsi" w:cstheme="majorHAnsi"/>
                <w:b/>
                <w:bCs/>
                <w:color w:val="FFFFFF"/>
                <w:sz w:val="20"/>
                <w:szCs w:val="20"/>
                <w:lang w:eastAsia="en-GB"/>
              </w:rPr>
            </w:pPr>
          </w:p>
        </w:tc>
        <w:tc>
          <w:tcPr>
            <w:tcW w:w="6146" w:type="dxa"/>
            <w:gridSpan w:val="3"/>
            <w:vMerge/>
            <w:tcBorders>
              <w:top w:val="single" w:sz="8" w:space="0" w:color="auto"/>
              <w:left w:val="single" w:sz="8" w:space="0" w:color="auto"/>
              <w:bottom w:val="single" w:sz="8" w:space="0" w:color="000000"/>
              <w:right w:val="single" w:sz="8" w:space="0" w:color="000000"/>
            </w:tcBorders>
            <w:vAlign w:val="center"/>
            <w:hideMark/>
          </w:tcPr>
          <w:p w14:paraId="09436C41"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107B7F7C" w14:textId="77777777" w:rsidTr="0057310C">
        <w:trPr>
          <w:trHeight w:val="387"/>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6921AC15"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lastRenderedPageBreak/>
              <w:t>Релевантни национални плански документ (правни, регулаторни акти, итд)</w:t>
            </w:r>
          </w:p>
        </w:tc>
        <w:tc>
          <w:tcPr>
            <w:tcW w:w="6146" w:type="dxa"/>
            <w:gridSpan w:val="3"/>
            <w:tcBorders>
              <w:top w:val="single" w:sz="8" w:space="0" w:color="auto"/>
              <w:left w:val="nil"/>
              <w:bottom w:val="single" w:sz="8" w:space="0" w:color="auto"/>
              <w:right w:val="single" w:sz="8" w:space="0" w:color="000000"/>
            </w:tcBorders>
            <w:vAlign w:val="center"/>
          </w:tcPr>
          <w:p w14:paraId="4BD39EAF" w14:textId="748C4C90"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Закон о енергетици, Мрежна правила</w:t>
            </w:r>
            <w:r w:rsidR="00DF13BA" w:rsidRPr="00FF386D">
              <w:rPr>
                <w:rFonts w:asciiTheme="majorHAnsi" w:eastAsia="Times New Roman" w:hAnsiTheme="majorHAnsi" w:cstheme="majorHAnsi"/>
                <w:color w:val="000000"/>
                <w:sz w:val="20"/>
                <w:szCs w:val="20"/>
                <w:lang w:eastAsia="en-GB"/>
              </w:rPr>
              <w:t xml:space="preserve"> о раду преносног система</w:t>
            </w:r>
            <w:r w:rsidRPr="00FF386D">
              <w:rPr>
                <w:rFonts w:asciiTheme="majorHAnsi" w:eastAsia="Times New Roman" w:hAnsiTheme="majorHAnsi" w:cstheme="majorHAnsi"/>
                <w:color w:val="000000"/>
                <w:sz w:val="20"/>
                <w:szCs w:val="20"/>
                <w:lang w:eastAsia="en-GB"/>
              </w:rPr>
              <w:t xml:space="preserve">, </w:t>
            </w:r>
            <w:r w:rsidRPr="00FF386D">
              <w:rPr>
                <w:rFonts w:asciiTheme="majorHAnsi" w:eastAsia="Times New Roman" w:hAnsiTheme="majorHAnsi" w:cstheme="majorHAnsi"/>
                <w:i/>
                <w:iCs/>
                <w:color w:val="000000"/>
                <w:sz w:val="20"/>
                <w:szCs w:val="20"/>
                <w:lang w:eastAsia="en-GB"/>
              </w:rPr>
              <w:t>TYNDP</w:t>
            </w:r>
          </w:p>
        </w:tc>
      </w:tr>
      <w:tr w:rsidR="00854ADA" w:rsidRPr="00FF386D" w14:paraId="34F4CB3F" w14:textId="77777777" w:rsidTr="0057310C">
        <w:trPr>
          <w:trHeight w:val="315"/>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6CD67EB4"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46" w:type="dxa"/>
            <w:gridSpan w:val="3"/>
            <w:tcBorders>
              <w:top w:val="single" w:sz="8" w:space="0" w:color="auto"/>
              <w:left w:val="nil"/>
              <w:bottom w:val="single" w:sz="8" w:space="0" w:color="auto"/>
              <w:right w:val="single" w:sz="8" w:space="0" w:color="000000"/>
            </w:tcBorders>
            <w:vAlign w:val="center"/>
          </w:tcPr>
          <w:p w14:paraId="7BC7A43E"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1 милион евра</w:t>
            </w:r>
          </w:p>
        </w:tc>
      </w:tr>
      <w:tr w:rsidR="00854ADA" w:rsidRPr="00FF386D" w14:paraId="0D09DA68" w14:textId="77777777" w:rsidTr="0057310C">
        <w:trPr>
          <w:trHeight w:val="315"/>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2E25F8F1"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46" w:type="dxa"/>
            <w:gridSpan w:val="3"/>
            <w:tcBorders>
              <w:top w:val="single" w:sz="8" w:space="0" w:color="auto"/>
              <w:left w:val="nil"/>
              <w:bottom w:val="single" w:sz="8" w:space="0" w:color="auto"/>
              <w:right w:val="single" w:sz="8" w:space="0" w:color="000000"/>
            </w:tcBorders>
            <w:vAlign w:val="center"/>
            <w:hideMark/>
          </w:tcPr>
          <w:p w14:paraId="01CC1337" w14:textId="4C5C595E"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eastAsia="Times New Roman" w:hAnsi="Calibri Light" w:cs="Calibri Light"/>
                <w:color w:val="000000"/>
                <w:sz w:val="20"/>
                <w:szCs w:val="20"/>
                <w:lang w:eastAsia="en-GB"/>
              </w:rPr>
              <w:t xml:space="preserve">Фондови ЕУ и други фондови, </w:t>
            </w:r>
            <w:r w:rsidR="00255B35" w:rsidRPr="00FF386D">
              <w:rPr>
                <w:rFonts w:ascii="Calibri Light" w:eastAsia="Times New Roman" w:hAnsi="Calibri Light" w:cs="Calibri Light"/>
                <w:color w:val="000000"/>
                <w:sz w:val="20"/>
                <w:szCs w:val="20"/>
                <w:lang w:eastAsia="en-GB"/>
              </w:rPr>
              <w:t>буџетска средства</w:t>
            </w:r>
          </w:p>
        </w:tc>
      </w:tr>
    </w:tbl>
    <w:p w14:paraId="4E0C8ED1" w14:textId="77777777" w:rsidR="00854ADA" w:rsidRPr="00FF386D" w:rsidRDefault="00854ADA" w:rsidP="00854ADA">
      <w:pPr>
        <w:spacing w:before="120" w:after="120" w:line="240" w:lineRule="auto"/>
        <w:jc w:val="both"/>
        <w:rPr>
          <w:rFonts w:asciiTheme="majorHAnsi" w:eastAsia="Times New Roman" w:hAnsiTheme="majorHAnsi" w:cstheme="majorHAnsi"/>
          <w:sz w:val="20"/>
          <w:szCs w:val="20"/>
          <w:lang w:eastAsia="el-GR"/>
        </w:rPr>
      </w:pPr>
    </w:p>
    <w:tbl>
      <w:tblPr>
        <w:tblW w:w="9488" w:type="dxa"/>
        <w:tblLook w:val="04A0" w:firstRow="1" w:lastRow="0" w:firstColumn="1" w:lastColumn="0" w:noHBand="0" w:noVBand="1"/>
      </w:tblPr>
      <w:tblGrid>
        <w:gridCol w:w="3307"/>
        <w:gridCol w:w="1066"/>
        <w:gridCol w:w="940"/>
        <w:gridCol w:w="4175"/>
      </w:tblGrid>
      <w:tr w:rsidR="00854ADA" w:rsidRPr="00FF386D" w14:paraId="435E4CF9" w14:textId="77777777" w:rsidTr="0057310C">
        <w:trPr>
          <w:trHeight w:val="780"/>
        </w:trPr>
        <w:tc>
          <w:tcPr>
            <w:tcW w:w="3307"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52CFB9E3" w14:textId="4F03FAF4" w:rsidR="00854ADA" w:rsidRPr="00FF386D" w:rsidRDefault="00DB1C84" w:rsidP="00854ADA">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 xml:space="preserve">: </w:t>
            </w:r>
          </w:p>
        </w:tc>
        <w:tc>
          <w:tcPr>
            <w:tcW w:w="1066" w:type="dxa"/>
            <w:tcBorders>
              <w:top w:val="single" w:sz="8" w:space="0" w:color="auto"/>
              <w:left w:val="nil"/>
              <w:bottom w:val="single" w:sz="8" w:space="0" w:color="auto"/>
              <w:right w:val="single" w:sz="8" w:space="0" w:color="auto"/>
            </w:tcBorders>
            <w:shd w:val="clear" w:color="auto" w:fill="E7E6E6" w:themeFill="background2"/>
            <w:vAlign w:val="center"/>
            <w:hideMark/>
          </w:tcPr>
          <w:p w14:paraId="061B1F72" w14:textId="77777777"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МП_ЕС3.1</w:t>
            </w:r>
          </w:p>
        </w:tc>
        <w:tc>
          <w:tcPr>
            <w:tcW w:w="940" w:type="dxa"/>
            <w:tcBorders>
              <w:top w:val="single" w:sz="8" w:space="0" w:color="auto"/>
              <w:left w:val="nil"/>
              <w:bottom w:val="single" w:sz="8" w:space="0" w:color="auto"/>
              <w:right w:val="single" w:sz="8" w:space="0" w:color="auto"/>
            </w:tcBorders>
            <w:shd w:val="clear" w:color="auto" w:fill="244062"/>
            <w:vAlign w:val="center"/>
            <w:hideMark/>
          </w:tcPr>
          <w:p w14:paraId="5992140E" w14:textId="77777777" w:rsidR="00854ADA" w:rsidRPr="00FF386D" w:rsidRDefault="00854ADA" w:rsidP="00854ADA">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Назив</w:t>
            </w:r>
            <w:r w:rsidRPr="000A2AFE">
              <w:rPr>
                <w:rFonts w:asciiTheme="majorHAnsi" w:eastAsia="Times New Roman" w:hAnsiTheme="majorHAnsi" w:cstheme="majorHAnsi"/>
                <w:b/>
                <w:bCs/>
                <w:color w:val="FFFFFF"/>
                <w:sz w:val="20"/>
                <w:szCs w:val="20"/>
                <w:lang w:eastAsia="en-GB"/>
              </w:rPr>
              <w:t xml:space="preserve">: </w:t>
            </w:r>
          </w:p>
        </w:tc>
        <w:tc>
          <w:tcPr>
            <w:tcW w:w="4175" w:type="dxa"/>
            <w:tcBorders>
              <w:top w:val="single" w:sz="8" w:space="0" w:color="auto"/>
              <w:left w:val="nil"/>
              <w:bottom w:val="single" w:sz="8" w:space="0" w:color="auto"/>
              <w:right w:val="single" w:sz="8" w:space="0" w:color="auto"/>
            </w:tcBorders>
            <w:shd w:val="clear" w:color="auto" w:fill="E7E6E6" w:themeFill="background2"/>
            <w:vAlign w:val="center"/>
            <w:hideMark/>
          </w:tcPr>
          <w:p w14:paraId="54184D67" w14:textId="77777777"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Банатски двор, проширење складишта природног гаса</w:t>
            </w:r>
          </w:p>
        </w:tc>
      </w:tr>
      <w:tr w:rsidR="00854ADA" w:rsidRPr="00FF386D" w14:paraId="56CEE3E2" w14:textId="77777777" w:rsidTr="0057310C">
        <w:trPr>
          <w:trHeight w:val="608"/>
        </w:trPr>
        <w:tc>
          <w:tcPr>
            <w:tcW w:w="3307" w:type="dxa"/>
            <w:tcBorders>
              <w:top w:val="nil"/>
              <w:left w:val="single" w:sz="8" w:space="0" w:color="auto"/>
              <w:bottom w:val="single" w:sz="8" w:space="0" w:color="auto"/>
              <w:right w:val="nil"/>
            </w:tcBorders>
            <w:shd w:val="clear" w:color="000000" w:fill="244062"/>
            <w:vAlign w:val="center"/>
            <w:hideMark/>
          </w:tcPr>
          <w:p w14:paraId="13BBBD28"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181" w:type="dxa"/>
            <w:gridSpan w:val="3"/>
            <w:tcBorders>
              <w:top w:val="single" w:sz="8" w:space="0" w:color="auto"/>
              <w:left w:val="nil"/>
              <w:bottom w:val="single" w:sz="8" w:space="0" w:color="auto"/>
              <w:right w:val="single" w:sz="8" w:space="0" w:color="000000"/>
            </w:tcBorders>
            <w:vAlign w:val="center"/>
          </w:tcPr>
          <w:p w14:paraId="24547310" w14:textId="1B42D8C4"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eastAsia="NSimSun" w:hAnsi="Calibri Light" w:cs="Mangal"/>
                <w:kern w:val="2"/>
                <w:sz w:val="20"/>
                <w:szCs w:val="24"/>
                <w:lang w:eastAsia="zh-CN" w:bidi="hi-IN"/>
              </w:rPr>
              <w:t>Отпорност у случају</w:t>
            </w:r>
            <w:r w:rsidRPr="00FF386D">
              <w:rPr>
                <w:rFonts w:ascii="Calibri Light" w:hAnsi="Calibri Light"/>
                <w:sz w:val="20"/>
              </w:rPr>
              <w:t xml:space="preserve"> ограничења или прекида у снабдевању енергентом, флексибилност националног енергетског система</w:t>
            </w:r>
            <w:r w:rsidR="00D47D7E">
              <w:rPr>
                <w:rFonts w:ascii="Calibri Light" w:hAnsi="Calibri Light"/>
                <w:sz w:val="20"/>
              </w:rPr>
              <w:t>,</w:t>
            </w:r>
            <w:r w:rsidR="00521BF2" w:rsidRPr="00521BF2">
              <w:rPr>
                <w:rFonts w:ascii="Calibri Light" w:hAnsi="Calibri Light"/>
                <w:sz w:val="20"/>
              </w:rPr>
              <w:t xml:space="preserve"> јачање регионалне сарадње у енергетици и унапређена интеграција регионалног тржишта.</w:t>
            </w:r>
          </w:p>
        </w:tc>
      </w:tr>
      <w:tr w:rsidR="00854ADA" w:rsidRPr="00FF386D" w14:paraId="1ABE76C8" w14:textId="77777777" w:rsidTr="0057310C">
        <w:trPr>
          <w:trHeight w:val="315"/>
        </w:trPr>
        <w:tc>
          <w:tcPr>
            <w:tcW w:w="3307" w:type="dxa"/>
            <w:tcBorders>
              <w:top w:val="nil"/>
              <w:left w:val="single" w:sz="8" w:space="0" w:color="auto"/>
              <w:bottom w:val="single" w:sz="8" w:space="0" w:color="auto"/>
              <w:right w:val="single" w:sz="8" w:space="0" w:color="auto"/>
            </w:tcBorders>
            <w:shd w:val="clear" w:color="000000" w:fill="244062"/>
            <w:vAlign w:val="center"/>
            <w:hideMark/>
          </w:tcPr>
          <w:p w14:paraId="5A094259"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Квантификовани циљ: </w:t>
            </w:r>
          </w:p>
        </w:tc>
        <w:tc>
          <w:tcPr>
            <w:tcW w:w="6181" w:type="dxa"/>
            <w:gridSpan w:val="3"/>
            <w:tcBorders>
              <w:top w:val="single" w:sz="8" w:space="0" w:color="auto"/>
              <w:left w:val="nil"/>
              <w:bottom w:val="single" w:sz="8" w:space="0" w:color="auto"/>
              <w:right w:val="single" w:sz="8" w:space="0" w:color="000000"/>
            </w:tcBorders>
            <w:vAlign w:val="center"/>
          </w:tcPr>
          <w:p w14:paraId="304323BA" w14:textId="4979593C" w:rsidR="00854ADA" w:rsidRPr="000A2AFE" w:rsidRDefault="00D47D7E" w:rsidP="00854ADA">
            <w:pPr>
              <w:spacing w:after="0" w:line="240" w:lineRule="auto"/>
              <w:jc w:val="both"/>
              <w:rPr>
                <w:rFonts w:asciiTheme="majorHAnsi" w:eastAsia="Times New Roman" w:hAnsiTheme="majorHAnsi" w:cstheme="majorHAnsi"/>
                <w:color w:val="000000"/>
                <w:sz w:val="20"/>
                <w:szCs w:val="20"/>
                <w:lang w:val="en-US" w:eastAsia="en-GB"/>
              </w:rPr>
            </w:pPr>
            <w:r>
              <w:rPr>
                <w:rFonts w:asciiTheme="majorHAnsi" w:eastAsia="Times New Roman" w:hAnsiTheme="majorHAnsi" w:cstheme="majorHAnsi"/>
                <w:color w:val="000000"/>
                <w:sz w:val="20"/>
                <w:szCs w:val="20"/>
                <w:lang w:eastAsia="en-GB"/>
              </w:rPr>
              <w:t>Додатни</w:t>
            </w:r>
            <w:r w:rsidR="00854ADA" w:rsidRPr="00FF386D">
              <w:rPr>
                <w:rFonts w:asciiTheme="majorHAnsi" w:eastAsia="Times New Roman" w:hAnsiTheme="majorHAnsi" w:cstheme="majorHAnsi"/>
                <w:color w:val="000000"/>
                <w:sz w:val="20"/>
                <w:szCs w:val="20"/>
                <w:lang w:eastAsia="en-GB"/>
              </w:rPr>
              <w:t xml:space="preserve"> капацитети</w:t>
            </w:r>
            <w:r>
              <w:rPr>
                <w:rFonts w:asciiTheme="majorHAnsi" w:eastAsia="Times New Roman" w:hAnsiTheme="majorHAnsi" w:cstheme="majorHAnsi"/>
                <w:color w:val="000000"/>
                <w:sz w:val="20"/>
                <w:szCs w:val="20"/>
                <w:lang w:eastAsia="en-GB"/>
              </w:rPr>
              <w:t xml:space="preserve"> складиштења од 0,75 </w:t>
            </w:r>
            <w:r>
              <w:rPr>
                <w:rFonts w:asciiTheme="majorHAnsi" w:eastAsia="Times New Roman" w:hAnsiTheme="majorHAnsi" w:cstheme="majorHAnsi"/>
                <w:color w:val="000000"/>
                <w:sz w:val="20"/>
                <w:szCs w:val="20"/>
                <w:lang w:val="en-US" w:eastAsia="en-GB"/>
              </w:rPr>
              <w:t>bcm</w:t>
            </w:r>
          </w:p>
        </w:tc>
      </w:tr>
      <w:tr w:rsidR="00854ADA" w:rsidRPr="00FF386D" w14:paraId="4E9916E3" w14:textId="77777777" w:rsidTr="0057310C">
        <w:trPr>
          <w:trHeight w:val="942"/>
        </w:trPr>
        <w:tc>
          <w:tcPr>
            <w:tcW w:w="3307" w:type="dxa"/>
            <w:tcBorders>
              <w:top w:val="nil"/>
              <w:left w:val="single" w:sz="8" w:space="0" w:color="auto"/>
              <w:bottom w:val="single" w:sz="8" w:space="0" w:color="auto"/>
              <w:right w:val="single" w:sz="8" w:space="0" w:color="auto"/>
            </w:tcBorders>
            <w:shd w:val="clear" w:color="000000" w:fill="244062"/>
            <w:vAlign w:val="center"/>
            <w:hideMark/>
          </w:tcPr>
          <w:p w14:paraId="17DF92D4"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181" w:type="dxa"/>
            <w:gridSpan w:val="3"/>
            <w:tcBorders>
              <w:top w:val="single" w:sz="8" w:space="0" w:color="auto"/>
              <w:left w:val="nil"/>
              <w:bottom w:val="single" w:sz="8" w:space="0" w:color="auto"/>
              <w:right w:val="single" w:sz="8" w:space="0" w:color="000000"/>
            </w:tcBorders>
            <w:vAlign w:val="center"/>
            <w:hideMark/>
          </w:tcPr>
          <w:p w14:paraId="77107D05" w14:textId="44AF772D"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МП_ЕС3.1 се односи на проширење подземног складишта гаса Банатски Двор према Меморандуму о разумевању потписаном између ЈП Србијагас и Газпрома почетком 2019. </w:t>
            </w:r>
            <w:r w:rsidR="00255B35" w:rsidRPr="00FF386D">
              <w:rPr>
                <w:rFonts w:ascii="Calibri Light" w:hAnsi="Calibri Light"/>
                <w:sz w:val="20"/>
              </w:rPr>
              <w:t>г</w:t>
            </w:r>
            <w:r w:rsidRPr="00FF386D">
              <w:rPr>
                <w:rFonts w:ascii="Calibri Light" w:hAnsi="Calibri Light"/>
                <w:sz w:val="20"/>
              </w:rPr>
              <w:t>одине.</w:t>
            </w:r>
          </w:p>
        </w:tc>
      </w:tr>
      <w:tr w:rsidR="00854ADA" w:rsidRPr="00FF386D" w14:paraId="62788984" w14:textId="77777777" w:rsidTr="0057310C">
        <w:trPr>
          <w:trHeight w:val="315"/>
        </w:trPr>
        <w:tc>
          <w:tcPr>
            <w:tcW w:w="3307" w:type="dxa"/>
            <w:tcBorders>
              <w:top w:val="nil"/>
              <w:left w:val="single" w:sz="8" w:space="0" w:color="auto"/>
              <w:bottom w:val="single" w:sz="8" w:space="0" w:color="auto"/>
              <w:right w:val="single" w:sz="8" w:space="0" w:color="auto"/>
            </w:tcBorders>
            <w:shd w:val="clear" w:color="000000" w:fill="244062"/>
            <w:vAlign w:val="center"/>
            <w:hideMark/>
          </w:tcPr>
          <w:p w14:paraId="620FD5DC"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181" w:type="dxa"/>
            <w:gridSpan w:val="3"/>
            <w:tcBorders>
              <w:top w:val="single" w:sz="8" w:space="0" w:color="auto"/>
              <w:left w:val="nil"/>
              <w:bottom w:val="single" w:sz="8" w:space="0" w:color="auto"/>
              <w:right w:val="single" w:sz="8" w:space="0" w:color="000000"/>
            </w:tcBorders>
            <w:vAlign w:val="center"/>
            <w:hideMark/>
          </w:tcPr>
          <w:p w14:paraId="148C3922"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2023-2030.</w:t>
            </w:r>
          </w:p>
        </w:tc>
      </w:tr>
      <w:tr w:rsidR="00854ADA" w:rsidRPr="00FF386D" w14:paraId="047DB744" w14:textId="77777777" w:rsidTr="0057310C">
        <w:trPr>
          <w:trHeight w:val="315"/>
        </w:trPr>
        <w:tc>
          <w:tcPr>
            <w:tcW w:w="3307" w:type="dxa"/>
            <w:tcBorders>
              <w:top w:val="nil"/>
              <w:left w:val="single" w:sz="8" w:space="0" w:color="auto"/>
              <w:bottom w:val="single" w:sz="8" w:space="0" w:color="auto"/>
              <w:right w:val="single" w:sz="8" w:space="0" w:color="auto"/>
            </w:tcBorders>
            <w:shd w:val="clear" w:color="000000" w:fill="244062"/>
            <w:vAlign w:val="center"/>
            <w:hideMark/>
          </w:tcPr>
          <w:p w14:paraId="454087B0"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181" w:type="dxa"/>
            <w:gridSpan w:val="3"/>
            <w:tcBorders>
              <w:top w:val="single" w:sz="8" w:space="0" w:color="auto"/>
              <w:left w:val="nil"/>
              <w:bottom w:val="single" w:sz="8" w:space="0" w:color="auto"/>
              <w:right w:val="single" w:sz="8" w:space="0" w:color="000000"/>
            </w:tcBorders>
            <w:vAlign w:val="center"/>
            <w:hideMark/>
          </w:tcPr>
          <w:p w14:paraId="57A232A5"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Инвестиција</w:t>
            </w:r>
          </w:p>
        </w:tc>
      </w:tr>
      <w:tr w:rsidR="00854ADA" w:rsidRPr="00FF386D" w14:paraId="55CEEEDD" w14:textId="77777777" w:rsidTr="0057310C">
        <w:trPr>
          <w:trHeight w:val="315"/>
        </w:trPr>
        <w:tc>
          <w:tcPr>
            <w:tcW w:w="3307" w:type="dxa"/>
            <w:tcBorders>
              <w:top w:val="nil"/>
              <w:left w:val="single" w:sz="8" w:space="0" w:color="auto"/>
              <w:bottom w:val="single" w:sz="8" w:space="0" w:color="auto"/>
              <w:right w:val="single" w:sz="8" w:space="0" w:color="auto"/>
            </w:tcBorders>
            <w:shd w:val="clear" w:color="000000" w:fill="244062"/>
            <w:vAlign w:val="center"/>
            <w:hideMark/>
          </w:tcPr>
          <w:p w14:paraId="65EC5E94"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181" w:type="dxa"/>
            <w:gridSpan w:val="3"/>
            <w:tcBorders>
              <w:top w:val="single" w:sz="8" w:space="0" w:color="auto"/>
              <w:left w:val="nil"/>
              <w:bottom w:val="single" w:sz="8" w:space="0" w:color="auto"/>
              <w:right w:val="single" w:sz="8" w:space="0" w:color="000000"/>
            </w:tcBorders>
            <w:vAlign w:val="center"/>
            <w:hideMark/>
          </w:tcPr>
          <w:p w14:paraId="37F53A6B"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Гасни</w:t>
            </w:r>
          </w:p>
        </w:tc>
      </w:tr>
      <w:tr w:rsidR="00854ADA" w:rsidRPr="00FF386D" w14:paraId="6B27C369" w14:textId="77777777" w:rsidTr="0057310C">
        <w:trPr>
          <w:trHeight w:val="315"/>
        </w:trPr>
        <w:tc>
          <w:tcPr>
            <w:tcW w:w="3307" w:type="dxa"/>
            <w:tcBorders>
              <w:top w:val="nil"/>
              <w:left w:val="single" w:sz="8" w:space="0" w:color="auto"/>
              <w:bottom w:val="single" w:sz="8" w:space="0" w:color="auto"/>
              <w:right w:val="single" w:sz="8" w:space="0" w:color="auto"/>
            </w:tcBorders>
            <w:shd w:val="clear" w:color="000000" w:fill="244062"/>
            <w:vAlign w:val="center"/>
            <w:hideMark/>
          </w:tcPr>
          <w:p w14:paraId="7EAE85DF"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181" w:type="dxa"/>
            <w:gridSpan w:val="3"/>
            <w:tcBorders>
              <w:top w:val="single" w:sz="8" w:space="0" w:color="auto"/>
              <w:left w:val="nil"/>
              <w:bottom w:val="single" w:sz="8" w:space="0" w:color="auto"/>
              <w:right w:val="single" w:sz="8" w:space="0" w:color="000000"/>
            </w:tcBorders>
            <w:vAlign w:val="center"/>
            <w:hideMark/>
          </w:tcPr>
          <w:p w14:paraId="0852CA4E" w14:textId="77777777" w:rsidR="00854ADA" w:rsidRPr="00FF386D" w:rsidRDefault="00854ADA" w:rsidP="00854ADA">
            <w:pPr>
              <w:numPr>
                <w:ilvl w:val="0"/>
                <w:numId w:val="31"/>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Оператер складишта гаса</w:t>
            </w:r>
          </w:p>
        </w:tc>
      </w:tr>
      <w:tr w:rsidR="00854ADA" w:rsidRPr="00FF386D" w14:paraId="2674538F" w14:textId="77777777" w:rsidTr="0057310C">
        <w:trPr>
          <w:trHeight w:val="315"/>
        </w:trPr>
        <w:tc>
          <w:tcPr>
            <w:tcW w:w="3307" w:type="dxa"/>
            <w:tcBorders>
              <w:top w:val="nil"/>
              <w:left w:val="single" w:sz="8" w:space="0" w:color="auto"/>
              <w:bottom w:val="single" w:sz="8" w:space="0" w:color="auto"/>
              <w:right w:val="nil"/>
            </w:tcBorders>
            <w:shd w:val="clear" w:color="000000" w:fill="244062"/>
            <w:vAlign w:val="center"/>
            <w:hideMark/>
          </w:tcPr>
          <w:p w14:paraId="6F80925F"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181" w:type="dxa"/>
            <w:gridSpan w:val="3"/>
            <w:tcBorders>
              <w:top w:val="single" w:sz="8" w:space="0" w:color="auto"/>
              <w:left w:val="nil"/>
              <w:bottom w:val="single" w:sz="8" w:space="0" w:color="auto"/>
              <w:right w:val="single" w:sz="8" w:space="0" w:color="000000"/>
            </w:tcBorders>
            <w:vAlign w:val="center"/>
            <w:hideMark/>
          </w:tcPr>
          <w:p w14:paraId="327C30D6" w14:textId="11EFB63E" w:rsidR="00854ADA" w:rsidRPr="00FF386D" w:rsidRDefault="00854ADA" w:rsidP="00854ADA">
            <w:pPr>
              <w:numPr>
                <w:ilvl w:val="0"/>
                <w:numId w:val="31"/>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w:t>
            </w:r>
            <w:r w:rsidR="00521BF2">
              <w:rPr>
                <w:rFonts w:ascii="Calibri Light" w:hAnsi="Calibri Light"/>
                <w:sz w:val="20"/>
              </w:rPr>
              <w:t xml:space="preserve">инистарство рударства и </w:t>
            </w:r>
            <w:r w:rsidR="009E7728">
              <w:rPr>
                <w:rFonts w:ascii="Calibri Light" w:hAnsi="Calibri Light"/>
                <w:sz w:val="20"/>
              </w:rPr>
              <w:t>енергетике</w:t>
            </w:r>
          </w:p>
          <w:p w14:paraId="616A51FD" w14:textId="77777777" w:rsidR="00854ADA" w:rsidRPr="00FF386D" w:rsidRDefault="00854ADA" w:rsidP="00854ADA">
            <w:pPr>
              <w:numPr>
                <w:ilvl w:val="0"/>
                <w:numId w:val="31"/>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финансија</w:t>
            </w:r>
          </w:p>
          <w:p w14:paraId="71E983DB" w14:textId="3A0C0514" w:rsidR="00854ADA" w:rsidRPr="00FF386D" w:rsidRDefault="00854ADA" w:rsidP="00255B35">
            <w:pPr>
              <w:pStyle w:val="ListParagraph"/>
              <w:numPr>
                <w:ilvl w:val="0"/>
                <w:numId w:val="299"/>
              </w:num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Министарство </w:t>
            </w:r>
            <w:r w:rsidR="00255B35" w:rsidRPr="00FF386D">
              <w:rPr>
                <w:rFonts w:ascii="Calibri Light" w:hAnsi="Calibri Light"/>
                <w:sz w:val="20"/>
              </w:rPr>
              <w:t>грађевинарства, саобраћаја и инфраструктуре</w:t>
            </w:r>
          </w:p>
        </w:tc>
      </w:tr>
      <w:tr w:rsidR="00854ADA" w:rsidRPr="00FF386D" w14:paraId="5FA7F606" w14:textId="77777777" w:rsidTr="0057310C">
        <w:trPr>
          <w:trHeight w:val="315"/>
        </w:trPr>
        <w:tc>
          <w:tcPr>
            <w:tcW w:w="3307" w:type="dxa"/>
            <w:tcBorders>
              <w:top w:val="nil"/>
              <w:left w:val="single" w:sz="8" w:space="0" w:color="auto"/>
              <w:bottom w:val="single" w:sz="8" w:space="0" w:color="auto"/>
              <w:right w:val="nil"/>
            </w:tcBorders>
            <w:shd w:val="clear" w:color="000000" w:fill="244062"/>
            <w:vAlign w:val="center"/>
            <w:hideMark/>
          </w:tcPr>
          <w:p w14:paraId="57B6571C"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181" w:type="dxa"/>
            <w:gridSpan w:val="3"/>
            <w:tcBorders>
              <w:top w:val="single" w:sz="8" w:space="0" w:color="auto"/>
              <w:left w:val="nil"/>
              <w:bottom w:val="single" w:sz="8" w:space="0" w:color="auto"/>
              <w:right w:val="single" w:sz="8" w:space="0" w:color="000000"/>
            </w:tcBorders>
            <w:vAlign w:val="center"/>
            <w:hideMark/>
          </w:tcPr>
          <w:p w14:paraId="0938B5ED" w14:textId="3B1C2129"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Капацитет складиштења, стопе у</w:t>
            </w:r>
            <w:r w:rsidR="00255B35" w:rsidRPr="00FF386D">
              <w:rPr>
                <w:rFonts w:ascii="Calibri Light" w:hAnsi="Calibri Light"/>
                <w:sz w:val="20"/>
              </w:rPr>
              <w:t>пумпавања</w:t>
            </w:r>
            <w:r w:rsidRPr="00FF386D">
              <w:rPr>
                <w:rFonts w:ascii="Calibri Light" w:hAnsi="Calibri Light"/>
                <w:sz w:val="20"/>
              </w:rPr>
              <w:t xml:space="preserve"> и повлачења</w:t>
            </w:r>
          </w:p>
        </w:tc>
      </w:tr>
      <w:tr w:rsidR="00854ADA" w:rsidRPr="00FF386D" w14:paraId="0FFCC92B" w14:textId="77777777" w:rsidTr="0057310C">
        <w:trPr>
          <w:trHeight w:val="606"/>
        </w:trPr>
        <w:tc>
          <w:tcPr>
            <w:tcW w:w="3307" w:type="dxa"/>
            <w:tcBorders>
              <w:top w:val="nil"/>
              <w:left w:val="single" w:sz="8" w:space="0" w:color="auto"/>
              <w:bottom w:val="single" w:sz="8" w:space="0" w:color="auto"/>
              <w:right w:val="single" w:sz="8" w:space="0" w:color="auto"/>
            </w:tcBorders>
            <w:shd w:val="clear" w:color="000000" w:fill="244062"/>
            <w:vAlign w:val="center"/>
            <w:hideMark/>
          </w:tcPr>
          <w:p w14:paraId="49963579"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181" w:type="dxa"/>
            <w:gridSpan w:val="3"/>
            <w:tcBorders>
              <w:top w:val="single" w:sz="8" w:space="0" w:color="auto"/>
              <w:left w:val="nil"/>
              <w:bottom w:val="single" w:sz="8" w:space="0" w:color="auto"/>
              <w:right w:val="single" w:sz="8" w:space="0" w:color="000000"/>
            </w:tcBorders>
            <w:vAlign w:val="center"/>
            <w:hideMark/>
          </w:tcPr>
          <w:p w14:paraId="228E2F03" w14:textId="77777777" w:rsidR="00854ADA" w:rsidRPr="000A2AFE" w:rsidRDefault="00854ADA" w:rsidP="00854ADA">
            <w:pPr>
              <w:numPr>
                <w:ilvl w:val="0"/>
                <w:numId w:val="13"/>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Унутрашње енергетско тржиште</w:t>
            </w:r>
          </w:p>
          <w:p w14:paraId="43AE4794" w14:textId="77777777" w:rsidR="00854ADA" w:rsidRPr="00FF386D" w:rsidRDefault="00854ADA" w:rsidP="00854ADA">
            <w:pPr>
              <w:numPr>
                <w:ilvl w:val="0"/>
                <w:numId w:val="31"/>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Декарбонизација</w:t>
            </w:r>
          </w:p>
        </w:tc>
      </w:tr>
      <w:tr w:rsidR="00854ADA" w:rsidRPr="00FF386D" w14:paraId="4C317BB1" w14:textId="77777777" w:rsidTr="0057310C">
        <w:trPr>
          <w:trHeight w:val="450"/>
        </w:trPr>
        <w:tc>
          <w:tcPr>
            <w:tcW w:w="3307"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6FBE2646" w14:textId="0358A4C5" w:rsidR="00854ADA" w:rsidRPr="00FF386D" w:rsidRDefault="004D35DC"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18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CCF3959" w14:textId="77777777" w:rsidR="00854ADA" w:rsidRPr="000A2AFE" w:rsidRDefault="00854ADA" w:rsidP="00854ADA">
            <w:pPr>
              <w:numPr>
                <w:ilvl w:val="0"/>
                <w:numId w:val="13"/>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Директива 2009/73/EЗ</w:t>
            </w:r>
          </w:p>
          <w:p w14:paraId="64D7F727" w14:textId="342F1110" w:rsidR="00854ADA" w:rsidRPr="00FF386D" w:rsidRDefault="00854ADA" w:rsidP="00854ADA">
            <w:pPr>
              <w:numPr>
                <w:ilvl w:val="0"/>
                <w:numId w:val="31"/>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Уредба (ЕУ) бр. 347/2013</w:t>
            </w:r>
          </w:p>
        </w:tc>
      </w:tr>
      <w:tr w:rsidR="00854ADA" w:rsidRPr="00FF386D" w14:paraId="67615461"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21631E0D" w14:textId="77777777" w:rsidR="00854ADA" w:rsidRPr="00FF386D" w:rsidRDefault="00854ADA" w:rsidP="00854ADA">
            <w:pPr>
              <w:spacing w:after="0" w:line="256" w:lineRule="auto"/>
              <w:rPr>
                <w:rFonts w:asciiTheme="majorHAnsi" w:eastAsia="Times New Roman" w:hAnsiTheme="majorHAnsi" w:cstheme="majorHAnsi"/>
                <w:b/>
                <w:bCs/>
                <w:color w:val="FFFFFF"/>
                <w:sz w:val="20"/>
                <w:szCs w:val="20"/>
                <w:lang w:eastAsia="en-GB"/>
              </w:rPr>
            </w:pPr>
          </w:p>
        </w:tc>
        <w:tc>
          <w:tcPr>
            <w:tcW w:w="6181" w:type="dxa"/>
            <w:gridSpan w:val="3"/>
            <w:vMerge/>
            <w:tcBorders>
              <w:top w:val="single" w:sz="8" w:space="0" w:color="auto"/>
              <w:left w:val="single" w:sz="8" w:space="0" w:color="auto"/>
              <w:bottom w:val="single" w:sz="8" w:space="0" w:color="000000"/>
              <w:right w:val="single" w:sz="8" w:space="0" w:color="000000"/>
            </w:tcBorders>
            <w:vAlign w:val="center"/>
            <w:hideMark/>
          </w:tcPr>
          <w:p w14:paraId="7284B003"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3B256BB7" w14:textId="77777777" w:rsidTr="00565B02">
        <w:trPr>
          <w:trHeight w:val="450"/>
        </w:trPr>
        <w:tc>
          <w:tcPr>
            <w:tcW w:w="0" w:type="auto"/>
            <w:vMerge/>
            <w:tcBorders>
              <w:top w:val="nil"/>
              <w:left w:val="single" w:sz="8" w:space="0" w:color="auto"/>
              <w:bottom w:val="single" w:sz="8" w:space="0" w:color="000000"/>
              <w:right w:val="single" w:sz="8" w:space="0" w:color="auto"/>
            </w:tcBorders>
            <w:vAlign w:val="center"/>
            <w:hideMark/>
          </w:tcPr>
          <w:p w14:paraId="1BEEFFA8" w14:textId="77777777" w:rsidR="00854ADA" w:rsidRPr="00FF386D" w:rsidRDefault="00854ADA" w:rsidP="00854ADA">
            <w:pPr>
              <w:spacing w:after="0" w:line="256" w:lineRule="auto"/>
              <w:rPr>
                <w:rFonts w:asciiTheme="majorHAnsi" w:eastAsia="Times New Roman" w:hAnsiTheme="majorHAnsi" w:cstheme="majorHAnsi"/>
                <w:b/>
                <w:bCs/>
                <w:color w:val="FFFFFF"/>
                <w:sz w:val="20"/>
                <w:szCs w:val="20"/>
                <w:lang w:eastAsia="en-GB"/>
              </w:rPr>
            </w:pPr>
          </w:p>
        </w:tc>
        <w:tc>
          <w:tcPr>
            <w:tcW w:w="6181" w:type="dxa"/>
            <w:gridSpan w:val="3"/>
            <w:vMerge/>
            <w:tcBorders>
              <w:top w:val="single" w:sz="8" w:space="0" w:color="auto"/>
              <w:left w:val="single" w:sz="8" w:space="0" w:color="auto"/>
              <w:bottom w:val="single" w:sz="8" w:space="0" w:color="000000"/>
              <w:right w:val="single" w:sz="8" w:space="0" w:color="000000"/>
            </w:tcBorders>
            <w:vAlign w:val="center"/>
            <w:hideMark/>
          </w:tcPr>
          <w:p w14:paraId="3AD29185"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31E20BDD" w14:textId="77777777" w:rsidTr="0057310C">
        <w:trPr>
          <w:trHeight w:val="780"/>
        </w:trPr>
        <w:tc>
          <w:tcPr>
            <w:tcW w:w="3307" w:type="dxa"/>
            <w:tcBorders>
              <w:top w:val="nil"/>
              <w:left w:val="single" w:sz="8" w:space="0" w:color="auto"/>
              <w:bottom w:val="single" w:sz="8" w:space="0" w:color="auto"/>
              <w:right w:val="single" w:sz="8" w:space="0" w:color="auto"/>
            </w:tcBorders>
            <w:shd w:val="clear" w:color="000000" w:fill="244062"/>
            <w:vAlign w:val="center"/>
            <w:hideMark/>
          </w:tcPr>
          <w:p w14:paraId="25A22180"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81" w:type="dxa"/>
            <w:gridSpan w:val="3"/>
            <w:tcBorders>
              <w:top w:val="single" w:sz="8" w:space="0" w:color="auto"/>
              <w:left w:val="nil"/>
              <w:bottom w:val="single" w:sz="8" w:space="0" w:color="auto"/>
              <w:right w:val="single" w:sz="8" w:space="0" w:color="000000"/>
            </w:tcBorders>
            <w:vAlign w:val="center"/>
            <w:hideMark/>
          </w:tcPr>
          <w:p w14:paraId="57EBF30E" w14:textId="77777777" w:rsidR="00854ADA" w:rsidRPr="00FF386D" w:rsidRDefault="00854ADA" w:rsidP="00854ADA">
            <w:pPr>
              <w:numPr>
                <w:ilvl w:val="0"/>
                <w:numId w:val="31"/>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Закон о енергетици</w:t>
            </w:r>
          </w:p>
          <w:p w14:paraId="11D84BD6" w14:textId="77777777" w:rsidR="00854ADA" w:rsidRPr="00FF386D" w:rsidRDefault="00854ADA" w:rsidP="00854ADA">
            <w:pPr>
              <w:numPr>
                <w:ilvl w:val="0"/>
                <w:numId w:val="31"/>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Србијагас инвестициони план</w:t>
            </w:r>
          </w:p>
        </w:tc>
      </w:tr>
      <w:tr w:rsidR="00854ADA" w:rsidRPr="00FF386D" w14:paraId="4D730560" w14:textId="77777777" w:rsidTr="0057310C">
        <w:trPr>
          <w:trHeight w:val="315"/>
        </w:trPr>
        <w:tc>
          <w:tcPr>
            <w:tcW w:w="3307" w:type="dxa"/>
            <w:tcBorders>
              <w:top w:val="nil"/>
              <w:left w:val="single" w:sz="8" w:space="0" w:color="auto"/>
              <w:bottom w:val="single" w:sz="8" w:space="0" w:color="auto"/>
              <w:right w:val="single" w:sz="8" w:space="0" w:color="auto"/>
            </w:tcBorders>
            <w:shd w:val="clear" w:color="000000" w:fill="244062"/>
            <w:vAlign w:val="center"/>
            <w:hideMark/>
          </w:tcPr>
          <w:p w14:paraId="47EDDCD3"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81" w:type="dxa"/>
            <w:gridSpan w:val="3"/>
            <w:tcBorders>
              <w:top w:val="single" w:sz="8" w:space="0" w:color="auto"/>
              <w:left w:val="nil"/>
              <w:bottom w:val="single" w:sz="8" w:space="0" w:color="auto"/>
              <w:right w:val="single" w:sz="8" w:space="0" w:color="000000"/>
            </w:tcBorders>
            <w:vAlign w:val="center"/>
            <w:hideMark/>
          </w:tcPr>
          <w:p w14:paraId="0B3D65B2"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100 милиона евра</w:t>
            </w:r>
          </w:p>
        </w:tc>
      </w:tr>
      <w:tr w:rsidR="00854ADA" w:rsidRPr="00FF386D" w14:paraId="09AF8179" w14:textId="77777777" w:rsidTr="0057310C">
        <w:trPr>
          <w:trHeight w:val="315"/>
        </w:trPr>
        <w:tc>
          <w:tcPr>
            <w:tcW w:w="3307" w:type="dxa"/>
            <w:tcBorders>
              <w:top w:val="nil"/>
              <w:left w:val="single" w:sz="8" w:space="0" w:color="auto"/>
              <w:bottom w:val="single" w:sz="8" w:space="0" w:color="auto"/>
              <w:right w:val="single" w:sz="8" w:space="0" w:color="auto"/>
            </w:tcBorders>
            <w:shd w:val="clear" w:color="000000" w:fill="244062"/>
            <w:vAlign w:val="center"/>
            <w:hideMark/>
          </w:tcPr>
          <w:p w14:paraId="50A2180E"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81" w:type="dxa"/>
            <w:gridSpan w:val="3"/>
            <w:tcBorders>
              <w:top w:val="single" w:sz="8" w:space="0" w:color="auto"/>
              <w:left w:val="nil"/>
              <w:bottom w:val="single" w:sz="8" w:space="0" w:color="auto"/>
              <w:right w:val="single" w:sz="8" w:space="0" w:color="000000"/>
            </w:tcBorders>
            <w:vAlign w:val="center"/>
            <w:hideMark/>
          </w:tcPr>
          <w:p w14:paraId="7581A54D" w14:textId="52767708" w:rsidR="00854ADA" w:rsidRPr="00FF386D" w:rsidRDefault="00255B35"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eastAsia="Times New Roman" w:hAnsi="Calibri Light" w:cs="Calibri Light"/>
                <w:color w:val="000000"/>
                <w:sz w:val="20"/>
                <w:szCs w:val="20"/>
                <w:lang w:eastAsia="en-GB"/>
              </w:rPr>
              <w:t xml:space="preserve">Таксе </w:t>
            </w:r>
            <w:r w:rsidR="00DF13BA" w:rsidRPr="00FF386D">
              <w:rPr>
                <w:rFonts w:ascii="Calibri Light" w:eastAsia="Times New Roman" w:hAnsi="Calibri Light" w:cs="Calibri Light"/>
                <w:color w:val="000000"/>
                <w:sz w:val="20"/>
                <w:szCs w:val="20"/>
                <w:lang w:eastAsia="en-GB"/>
              </w:rPr>
              <w:t>на малопродајну цену моторних горива</w:t>
            </w:r>
          </w:p>
        </w:tc>
      </w:tr>
    </w:tbl>
    <w:p w14:paraId="2D06B43C" w14:textId="77777777" w:rsidR="00854ADA" w:rsidRPr="00FF386D" w:rsidRDefault="00854ADA" w:rsidP="00854ADA">
      <w:pPr>
        <w:spacing w:before="120" w:after="120" w:line="240" w:lineRule="auto"/>
        <w:jc w:val="both"/>
        <w:rPr>
          <w:rFonts w:asciiTheme="majorHAnsi" w:eastAsia="Times New Roman" w:hAnsiTheme="majorHAnsi" w:cstheme="majorHAnsi"/>
          <w:sz w:val="20"/>
          <w:szCs w:val="20"/>
          <w:lang w:eastAsia="el-GR"/>
        </w:rPr>
      </w:pPr>
    </w:p>
    <w:tbl>
      <w:tblPr>
        <w:tblW w:w="9488" w:type="dxa"/>
        <w:tblLook w:val="04A0" w:firstRow="1" w:lastRow="0" w:firstColumn="1" w:lastColumn="0" w:noHBand="0" w:noVBand="1"/>
      </w:tblPr>
      <w:tblGrid>
        <w:gridCol w:w="3305"/>
        <w:gridCol w:w="1066"/>
        <w:gridCol w:w="938"/>
        <w:gridCol w:w="4179"/>
      </w:tblGrid>
      <w:tr w:rsidR="00854ADA" w:rsidRPr="00FF386D" w14:paraId="25E7596A" w14:textId="77777777" w:rsidTr="0057310C">
        <w:trPr>
          <w:trHeight w:val="780"/>
        </w:trPr>
        <w:tc>
          <w:tcPr>
            <w:tcW w:w="3305"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753D1AE4" w14:textId="52073D48" w:rsidR="00854ADA" w:rsidRPr="00FF386D" w:rsidRDefault="00DB1C84" w:rsidP="00854ADA">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 xml:space="preserve">: </w:t>
            </w:r>
          </w:p>
        </w:tc>
        <w:tc>
          <w:tcPr>
            <w:tcW w:w="1066" w:type="dxa"/>
            <w:tcBorders>
              <w:top w:val="single" w:sz="8" w:space="0" w:color="auto"/>
              <w:left w:val="nil"/>
              <w:bottom w:val="single" w:sz="8" w:space="0" w:color="auto"/>
              <w:right w:val="single" w:sz="8" w:space="0" w:color="auto"/>
            </w:tcBorders>
            <w:shd w:val="clear" w:color="auto" w:fill="E7E6E6" w:themeFill="background2"/>
            <w:vAlign w:val="center"/>
            <w:hideMark/>
          </w:tcPr>
          <w:p w14:paraId="443D8667" w14:textId="77777777"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МП_ЕС3.2</w:t>
            </w:r>
          </w:p>
        </w:tc>
        <w:tc>
          <w:tcPr>
            <w:tcW w:w="938" w:type="dxa"/>
            <w:tcBorders>
              <w:top w:val="single" w:sz="8" w:space="0" w:color="auto"/>
              <w:left w:val="nil"/>
              <w:bottom w:val="single" w:sz="8" w:space="0" w:color="auto"/>
              <w:right w:val="single" w:sz="8" w:space="0" w:color="auto"/>
            </w:tcBorders>
            <w:shd w:val="clear" w:color="auto" w:fill="244062"/>
            <w:vAlign w:val="center"/>
            <w:hideMark/>
          </w:tcPr>
          <w:p w14:paraId="0759F4B7"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Назив</w:t>
            </w:r>
            <w:r w:rsidRPr="000A2AFE">
              <w:rPr>
                <w:rFonts w:asciiTheme="majorHAnsi" w:eastAsia="Times New Roman" w:hAnsiTheme="majorHAnsi" w:cstheme="majorHAnsi"/>
                <w:b/>
                <w:bCs/>
                <w:color w:val="FFFFFF"/>
                <w:sz w:val="20"/>
                <w:szCs w:val="20"/>
                <w:lang w:eastAsia="en-GB"/>
              </w:rPr>
              <w:t xml:space="preserve">: </w:t>
            </w:r>
          </w:p>
        </w:tc>
        <w:tc>
          <w:tcPr>
            <w:tcW w:w="4179" w:type="dxa"/>
            <w:tcBorders>
              <w:top w:val="single" w:sz="8" w:space="0" w:color="auto"/>
              <w:left w:val="nil"/>
              <w:bottom w:val="single" w:sz="8" w:space="0" w:color="auto"/>
              <w:right w:val="single" w:sz="8" w:space="0" w:color="auto"/>
            </w:tcBorders>
            <w:shd w:val="clear" w:color="auto" w:fill="E7E6E6" w:themeFill="background2"/>
            <w:vAlign w:val="center"/>
            <w:hideMark/>
          </w:tcPr>
          <w:p w14:paraId="210DB50C" w14:textId="571C9A61" w:rsidR="00854ADA" w:rsidRPr="00FF386D" w:rsidRDefault="00854ADA" w:rsidP="00854ADA">
            <w:pPr>
              <w:spacing w:after="0" w:line="240" w:lineRule="auto"/>
              <w:rPr>
                <w:rFonts w:asciiTheme="majorHAnsi" w:eastAsia="Times New Roman" w:hAnsiTheme="majorHAnsi" w:cstheme="majorHAnsi"/>
                <w:b/>
                <w:bCs/>
                <w:color w:val="000000"/>
                <w:sz w:val="20"/>
                <w:szCs w:val="20"/>
                <w:lang w:eastAsia="en-GB"/>
              </w:rPr>
            </w:pPr>
            <w:r w:rsidRPr="00FF386D">
              <w:rPr>
                <w:rFonts w:ascii="Calibri Light" w:hAnsi="Calibri Light"/>
                <w:b/>
                <w:sz w:val="20"/>
              </w:rPr>
              <w:t xml:space="preserve">Стварање обавезних </w:t>
            </w:r>
            <w:r w:rsidR="00F70592" w:rsidRPr="00FF386D">
              <w:rPr>
                <w:rFonts w:ascii="Calibri Light" w:hAnsi="Calibri Light"/>
                <w:b/>
                <w:sz w:val="20"/>
              </w:rPr>
              <w:t>резерви</w:t>
            </w:r>
            <w:r w:rsidRPr="00FF386D">
              <w:rPr>
                <w:rFonts w:ascii="Calibri Light" w:hAnsi="Calibri Light"/>
                <w:b/>
                <w:sz w:val="20"/>
              </w:rPr>
              <w:t xml:space="preserve"> нафте и деривата</w:t>
            </w:r>
            <w:r w:rsidR="00DF13BA" w:rsidRPr="00FF386D">
              <w:rPr>
                <w:rFonts w:ascii="Calibri Light" w:hAnsi="Calibri Light"/>
                <w:b/>
                <w:sz w:val="20"/>
              </w:rPr>
              <w:t xml:space="preserve"> нафте</w:t>
            </w:r>
          </w:p>
        </w:tc>
      </w:tr>
      <w:tr w:rsidR="00854ADA" w:rsidRPr="00FF386D" w14:paraId="70817249" w14:textId="77777777" w:rsidTr="0057310C">
        <w:trPr>
          <w:trHeight w:val="650"/>
        </w:trPr>
        <w:tc>
          <w:tcPr>
            <w:tcW w:w="3305" w:type="dxa"/>
            <w:tcBorders>
              <w:top w:val="nil"/>
              <w:left w:val="single" w:sz="8" w:space="0" w:color="auto"/>
              <w:bottom w:val="single" w:sz="8" w:space="0" w:color="auto"/>
              <w:right w:val="nil"/>
            </w:tcBorders>
            <w:shd w:val="clear" w:color="000000" w:fill="244062"/>
            <w:vAlign w:val="center"/>
            <w:hideMark/>
          </w:tcPr>
          <w:p w14:paraId="375DF8FF"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183" w:type="dxa"/>
            <w:gridSpan w:val="3"/>
            <w:tcBorders>
              <w:top w:val="single" w:sz="8" w:space="0" w:color="auto"/>
              <w:left w:val="nil"/>
              <w:bottom w:val="single" w:sz="8" w:space="0" w:color="auto"/>
              <w:right w:val="single" w:sz="8" w:space="0" w:color="000000"/>
            </w:tcBorders>
            <w:vAlign w:val="center"/>
          </w:tcPr>
          <w:p w14:paraId="2B261F09"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eastAsia="NSimSun" w:hAnsi="Calibri Light" w:cs="Mangal"/>
                <w:kern w:val="2"/>
                <w:sz w:val="20"/>
                <w:szCs w:val="24"/>
                <w:lang w:eastAsia="zh-CN" w:bidi="hi-IN"/>
              </w:rPr>
              <w:t>Отпорност у случају</w:t>
            </w:r>
            <w:r w:rsidRPr="00FF386D">
              <w:rPr>
                <w:rFonts w:ascii="Calibri Light" w:hAnsi="Calibri Light"/>
                <w:sz w:val="20"/>
              </w:rPr>
              <w:t xml:space="preserve"> ограничења или прекида у снабдевању енергентом, флексибилност националног енергетског система</w:t>
            </w:r>
          </w:p>
        </w:tc>
      </w:tr>
      <w:tr w:rsidR="00854ADA" w:rsidRPr="00FF386D" w14:paraId="2DDD4FAE" w14:textId="77777777" w:rsidTr="0057310C">
        <w:trPr>
          <w:trHeight w:val="315"/>
        </w:trPr>
        <w:tc>
          <w:tcPr>
            <w:tcW w:w="3305" w:type="dxa"/>
            <w:tcBorders>
              <w:top w:val="nil"/>
              <w:left w:val="single" w:sz="8" w:space="0" w:color="auto"/>
              <w:bottom w:val="single" w:sz="8" w:space="0" w:color="auto"/>
              <w:right w:val="single" w:sz="8" w:space="0" w:color="auto"/>
            </w:tcBorders>
            <w:shd w:val="clear" w:color="000000" w:fill="244062"/>
            <w:vAlign w:val="center"/>
            <w:hideMark/>
          </w:tcPr>
          <w:p w14:paraId="310A4871"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Квантификовани циљ: </w:t>
            </w:r>
          </w:p>
        </w:tc>
        <w:tc>
          <w:tcPr>
            <w:tcW w:w="6183" w:type="dxa"/>
            <w:gridSpan w:val="3"/>
            <w:tcBorders>
              <w:top w:val="single" w:sz="8" w:space="0" w:color="auto"/>
              <w:left w:val="nil"/>
              <w:bottom w:val="single" w:sz="8" w:space="0" w:color="auto"/>
              <w:right w:val="single" w:sz="8" w:space="0" w:color="000000"/>
            </w:tcBorders>
            <w:vAlign w:val="center"/>
          </w:tcPr>
          <w:p w14:paraId="7289DC82" w14:textId="1B90E750"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Доступан простор за складиштење сирове нафте и деривата</w:t>
            </w:r>
            <w:r w:rsidR="00F70592" w:rsidRPr="00FF386D">
              <w:rPr>
                <w:rFonts w:ascii="Calibri Light" w:hAnsi="Calibri Light"/>
                <w:sz w:val="20"/>
              </w:rPr>
              <w:t xml:space="preserve"> нафте</w:t>
            </w:r>
          </w:p>
        </w:tc>
      </w:tr>
      <w:tr w:rsidR="00854ADA" w:rsidRPr="00FF386D" w14:paraId="6305B440" w14:textId="77777777" w:rsidTr="0057310C">
        <w:trPr>
          <w:trHeight w:val="598"/>
        </w:trPr>
        <w:tc>
          <w:tcPr>
            <w:tcW w:w="3305" w:type="dxa"/>
            <w:tcBorders>
              <w:top w:val="nil"/>
              <w:left w:val="single" w:sz="8" w:space="0" w:color="auto"/>
              <w:bottom w:val="single" w:sz="8" w:space="0" w:color="auto"/>
              <w:right w:val="single" w:sz="8" w:space="0" w:color="auto"/>
            </w:tcBorders>
            <w:shd w:val="clear" w:color="000000" w:fill="244062"/>
            <w:vAlign w:val="center"/>
            <w:hideMark/>
          </w:tcPr>
          <w:p w14:paraId="1E4681C8"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183" w:type="dxa"/>
            <w:gridSpan w:val="3"/>
            <w:tcBorders>
              <w:top w:val="single" w:sz="8" w:space="0" w:color="auto"/>
              <w:left w:val="nil"/>
              <w:bottom w:val="single" w:sz="8" w:space="0" w:color="auto"/>
              <w:right w:val="single" w:sz="8" w:space="0" w:color="000000"/>
            </w:tcBorders>
            <w:vAlign w:val="center"/>
            <w:hideMark/>
          </w:tcPr>
          <w:p w14:paraId="47F4A490" w14:textId="61292642" w:rsidR="00854ADA" w:rsidRDefault="00F70592" w:rsidP="00854ADA">
            <w:pPr>
              <w:spacing w:after="0" w:line="240" w:lineRule="auto"/>
              <w:jc w:val="both"/>
              <w:rPr>
                <w:rFonts w:ascii="Calibri Light" w:hAnsi="Calibri Light"/>
                <w:sz w:val="20"/>
              </w:rPr>
            </w:pPr>
            <w:r w:rsidRPr="00FF386D">
              <w:rPr>
                <w:rFonts w:ascii="Calibri Light" w:hAnsi="Calibri Light"/>
                <w:sz w:val="20"/>
              </w:rPr>
              <w:t>О</w:t>
            </w:r>
            <w:r w:rsidR="00854ADA" w:rsidRPr="00FF386D">
              <w:rPr>
                <w:rFonts w:ascii="Calibri Light" w:hAnsi="Calibri Light"/>
                <w:sz w:val="20"/>
              </w:rPr>
              <w:t xml:space="preserve">бавезне </w:t>
            </w:r>
            <w:r w:rsidRPr="00FF386D">
              <w:rPr>
                <w:rFonts w:ascii="Calibri Light" w:hAnsi="Calibri Light"/>
                <w:sz w:val="20"/>
              </w:rPr>
              <w:t>резерве</w:t>
            </w:r>
            <w:r w:rsidR="00854ADA" w:rsidRPr="00FF386D">
              <w:rPr>
                <w:rFonts w:ascii="Calibri Light" w:hAnsi="Calibri Light"/>
                <w:sz w:val="20"/>
              </w:rPr>
              <w:t xml:space="preserve"> нафте Републике Србије </w:t>
            </w:r>
            <w:r w:rsidR="009E4C0B" w:rsidRPr="00FF386D">
              <w:rPr>
                <w:rFonts w:ascii="Calibri Light" w:hAnsi="Calibri Light"/>
                <w:sz w:val="20"/>
              </w:rPr>
              <w:t xml:space="preserve">формираће се </w:t>
            </w:r>
            <w:r w:rsidR="00854ADA" w:rsidRPr="00FF386D">
              <w:rPr>
                <w:rFonts w:ascii="Calibri Light" w:hAnsi="Calibri Light"/>
                <w:sz w:val="20"/>
              </w:rPr>
              <w:t xml:space="preserve">у дериватима </w:t>
            </w:r>
            <w:r w:rsidRPr="00FF386D">
              <w:rPr>
                <w:rFonts w:ascii="Calibri Light" w:hAnsi="Calibri Light"/>
                <w:sz w:val="20"/>
              </w:rPr>
              <w:t xml:space="preserve">нафте </w:t>
            </w:r>
            <w:r w:rsidR="00854ADA" w:rsidRPr="00FF386D">
              <w:rPr>
                <w:rFonts w:ascii="Calibri Light" w:hAnsi="Calibri Light"/>
                <w:sz w:val="20"/>
              </w:rPr>
              <w:t>и сировој нафти, док ће најмање једна трећина обавеза складиштења резерви бити у готовим производима одређених деривата</w:t>
            </w:r>
            <w:r w:rsidRPr="00FF386D">
              <w:rPr>
                <w:rFonts w:ascii="Calibri Light" w:hAnsi="Calibri Light"/>
                <w:sz w:val="20"/>
              </w:rPr>
              <w:t xml:space="preserve"> нафте</w:t>
            </w:r>
            <w:r w:rsidR="00854ADA" w:rsidRPr="00FF386D">
              <w:rPr>
                <w:rFonts w:ascii="Calibri Light" w:hAnsi="Calibri Light"/>
                <w:sz w:val="20"/>
              </w:rPr>
              <w:t xml:space="preserve"> (безоловни моторни бензин, евродизел, </w:t>
            </w:r>
            <w:r w:rsidR="00854ADA" w:rsidRPr="00FF386D">
              <w:rPr>
                <w:rFonts w:ascii="Calibri Light" w:hAnsi="Calibri Light"/>
                <w:sz w:val="20"/>
              </w:rPr>
              <w:lastRenderedPageBreak/>
              <w:t xml:space="preserve">керозин млазно гориво и мазут). Потребно је имати додатних 435.000 тона деривата </w:t>
            </w:r>
            <w:r w:rsidRPr="00FF386D">
              <w:rPr>
                <w:rFonts w:ascii="Calibri Light" w:hAnsi="Calibri Light"/>
                <w:sz w:val="20"/>
              </w:rPr>
              <w:t>нафте</w:t>
            </w:r>
            <w:r w:rsidR="00854ADA" w:rsidRPr="00FF386D">
              <w:rPr>
                <w:rFonts w:ascii="Calibri Light" w:hAnsi="Calibri Light"/>
                <w:sz w:val="20"/>
              </w:rPr>
              <w:t xml:space="preserve"> и 75.000 метричких тона сирове нафте</w:t>
            </w:r>
            <w:r w:rsidR="00A71252">
              <w:rPr>
                <w:rFonts w:ascii="Calibri Light" w:hAnsi="Calibri Light"/>
                <w:sz w:val="20"/>
              </w:rPr>
              <w:t>.</w:t>
            </w:r>
          </w:p>
          <w:p w14:paraId="11ED98A5" w14:textId="403E62C6" w:rsidR="00A71252" w:rsidRPr="00FF386D" w:rsidRDefault="00A71252" w:rsidP="00854ADA">
            <w:pPr>
              <w:spacing w:after="0" w:line="240" w:lineRule="auto"/>
              <w:jc w:val="both"/>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Ова мера политике се ексклузивно односи на правне и регулаторне реформе које су неопходне како би се створиле обавезне резерве нафте и деривата нафте. Било која додатни и</w:t>
            </w:r>
            <w:r w:rsidR="000E6E8B">
              <w:rPr>
                <w:rFonts w:asciiTheme="majorHAnsi" w:eastAsia="Times New Roman" w:hAnsiTheme="majorHAnsi" w:cstheme="majorHAnsi"/>
                <w:color w:val="000000"/>
                <w:sz w:val="20"/>
                <w:szCs w:val="20"/>
                <w:lang w:eastAsia="en-GB"/>
              </w:rPr>
              <w:t>н</w:t>
            </w:r>
            <w:r>
              <w:rPr>
                <w:rFonts w:asciiTheme="majorHAnsi" w:eastAsia="Times New Roman" w:hAnsiTheme="majorHAnsi" w:cstheme="majorHAnsi"/>
                <w:color w:val="000000"/>
                <w:sz w:val="20"/>
                <w:szCs w:val="20"/>
                <w:lang w:eastAsia="en-GB"/>
              </w:rPr>
              <w:t xml:space="preserve">вестициони трошкови неопходни за имплементацију биће </w:t>
            </w:r>
            <w:r w:rsidRPr="00A71252">
              <w:rPr>
                <w:rFonts w:asciiTheme="majorHAnsi" w:eastAsia="Times New Roman" w:hAnsiTheme="majorHAnsi" w:cstheme="majorHAnsi"/>
                <w:color w:val="000000"/>
                <w:sz w:val="20"/>
                <w:szCs w:val="20"/>
                <w:lang w:eastAsia="en-GB"/>
              </w:rPr>
              <w:t>подвргнути темељној контроли у оквиру свеобухватних акционих планова.</w:t>
            </w:r>
          </w:p>
        </w:tc>
      </w:tr>
      <w:tr w:rsidR="00854ADA" w:rsidRPr="00FF386D" w14:paraId="16BC16EA" w14:textId="77777777" w:rsidTr="0057310C">
        <w:trPr>
          <w:trHeight w:val="315"/>
        </w:trPr>
        <w:tc>
          <w:tcPr>
            <w:tcW w:w="3305" w:type="dxa"/>
            <w:tcBorders>
              <w:top w:val="nil"/>
              <w:left w:val="single" w:sz="8" w:space="0" w:color="auto"/>
              <w:bottom w:val="single" w:sz="8" w:space="0" w:color="auto"/>
              <w:right w:val="single" w:sz="8" w:space="0" w:color="auto"/>
            </w:tcBorders>
            <w:shd w:val="clear" w:color="000000" w:fill="244062"/>
            <w:vAlign w:val="center"/>
            <w:hideMark/>
          </w:tcPr>
          <w:p w14:paraId="6CE0F1EF"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Временски оквир имплементације</w:t>
            </w:r>
          </w:p>
        </w:tc>
        <w:tc>
          <w:tcPr>
            <w:tcW w:w="6183" w:type="dxa"/>
            <w:gridSpan w:val="3"/>
            <w:tcBorders>
              <w:top w:val="single" w:sz="8" w:space="0" w:color="auto"/>
              <w:left w:val="nil"/>
              <w:bottom w:val="single" w:sz="8" w:space="0" w:color="auto"/>
              <w:right w:val="single" w:sz="8" w:space="0" w:color="000000"/>
            </w:tcBorders>
            <w:vAlign w:val="center"/>
            <w:hideMark/>
          </w:tcPr>
          <w:p w14:paraId="0CAE533E" w14:textId="165524D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2021- децембар 2026.</w:t>
            </w:r>
          </w:p>
        </w:tc>
      </w:tr>
      <w:tr w:rsidR="00854ADA" w:rsidRPr="00FF386D" w14:paraId="57B70E7B" w14:textId="77777777" w:rsidTr="0057310C">
        <w:trPr>
          <w:trHeight w:val="315"/>
        </w:trPr>
        <w:tc>
          <w:tcPr>
            <w:tcW w:w="3305" w:type="dxa"/>
            <w:tcBorders>
              <w:top w:val="nil"/>
              <w:left w:val="single" w:sz="8" w:space="0" w:color="auto"/>
              <w:bottom w:val="single" w:sz="8" w:space="0" w:color="auto"/>
              <w:right w:val="single" w:sz="8" w:space="0" w:color="auto"/>
            </w:tcBorders>
            <w:shd w:val="clear" w:color="000000" w:fill="244062"/>
            <w:vAlign w:val="center"/>
            <w:hideMark/>
          </w:tcPr>
          <w:p w14:paraId="48C7DAFC"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183" w:type="dxa"/>
            <w:gridSpan w:val="3"/>
            <w:tcBorders>
              <w:top w:val="single" w:sz="8" w:space="0" w:color="auto"/>
              <w:left w:val="nil"/>
              <w:bottom w:val="single" w:sz="8" w:space="0" w:color="auto"/>
              <w:right w:val="single" w:sz="8" w:space="0" w:color="000000"/>
            </w:tcBorders>
            <w:vAlign w:val="center"/>
            <w:hideMark/>
          </w:tcPr>
          <w:p w14:paraId="3628D66E"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Реформа</w:t>
            </w:r>
          </w:p>
        </w:tc>
      </w:tr>
      <w:tr w:rsidR="00854ADA" w:rsidRPr="00FF386D" w14:paraId="18058836" w14:textId="77777777" w:rsidTr="0057310C">
        <w:trPr>
          <w:trHeight w:val="315"/>
        </w:trPr>
        <w:tc>
          <w:tcPr>
            <w:tcW w:w="3305" w:type="dxa"/>
            <w:tcBorders>
              <w:top w:val="nil"/>
              <w:left w:val="single" w:sz="8" w:space="0" w:color="auto"/>
              <w:bottom w:val="single" w:sz="8" w:space="0" w:color="auto"/>
              <w:right w:val="single" w:sz="8" w:space="0" w:color="auto"/>
            </w:tcBorders>
            <w:shd w:val="clear" w:color="000000" w:fill="244062"/>
            <w:vAlign w:val="center"/>
            <w:hideMark/>
          </w:tcPr>
          <w:p w14:paraId="24B35A54"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183" w:type="dxa"/>
            <w:gridSpan w:val="3"/>
            <w:tcBorders>
              <w:top w:val="single" w:sz="8" w:space="0" w:color="auto"/>
              <w:left w:val="nil"/>
              <w:bottom w:val="single" w:sz="8" w:space="0" w:color="auto"/>
              <w:right w:val="single" w:sz="8" w:space="0" w:color="000000"/>
            </w:tcBorders>
            <w:vAlign w:val="center"/>
            <w:hideMark/>
          </w:tcPr>
          <w:p w14:paraId="0F9D1399"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Нафта</w:t>
            </w:r>
          </w:p>
        </w:tc>
      </w:tr>
      <w:tr w:rsidR="00854ADA" w:rsidRPr="00FF386D" w14:paraId="046A3486" w14:textId="77777777" w:rsidTr="0057310C">
        <w:trPr>
          <w:trHeight w:val="315"/>
        </w:trPr>
        <w:tc>
          <w:tcPr>
            <w:tcW w:w="3305" w:type="dxa"/>
            <w:tcBorders>
              <w:top w:val="nil"/>
              <w:left w:val="single" w:sz="8" w:space="0" w:color="auto"/>
              <w:bottom w:val="single" w:sz="8" w:space="0" w:color="auto"/>
              <w:right w:val="single" w:sz="8" w:space="0" w:color="auto"/>
            </w:tcBorders>
            <w:shd w:val="clear" w:color="000000" w:fill="244062"/>
            <w:vAlign w:val="center"/>
            <w:hideMark/>
          </w:tcPr>
          <w:p w14:paraId="274738DD"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183" w:type="dxa"/>
            <w:gridSpan w:val="3"/>
            <w:tcBorders>
              <w:top w:val="single" w:sz="8" w:space="0" w:color="auto"/>
              <w:left w:val="nil"/>
              <w:bottom w:val="single" w:sz="8" w:space="0" w:color="auto"/>
              <w:right w:val="single" w:sz="8" w:space="0" w:color="000000"/>
            </w:tcBorders>
            <w:vAlign w:val="center"/>
            <w:hideMark/>
          </w:tcPr>
          <w:p w14:paraId="725D476E" w14:textId="77777777" w:rsidR="00854ADA" w:rsidRPr="00FF386D" w:rsidRDefault="00854ADA" w:rsidP="00854ADA">
            <w:pPr>
              <w:numPr>
                <w:ilvl w:val="0"/>
                <w:numId w:val="3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Управа за резерве енергената</w:t>
            </w:r>
          </w:p>
          <w:p w14:paraId="7F8A3C4C" w14:textId="77777777" w:rsidR="00854ADA" w:rsidRPr="00FF386D" w:rsidRDefault="00854ADA" w:rsidP="00854ADA">
            <w:pPr>
              <w:numPr>
                <w:ilvl w:val="0"/>
                <w:numId w:val="3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Транснафта ад Панчево</w:t>
            </w:r>
          </w:p>
          <w:p w14:paraId="75381AD4" w14:textId="77777777" w:rsidR="00854ADA" w:rsidRPr="00FF386D" w:rsidRDefault="00854ADA" w:rsidP="00854ADA">
            <w:pPr>
              <w:numPr>
                <w:ilvl w:val="0"/>
                <w:numId w:val="3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Приватна лица</w:t>
            </w:r>
          </w:p>
        </w:tc>
      </w:tr>
      <w:tr w:rsidR="00854ADA" w:rsidRPr="00FF386D" w14:paraId="691A81DD" w14:textId="77777777" w:rsidTr="0057310C">
        <w:trPr>
          <w:trHeight w:val="315"/>
        </w:trPr>
        <w:tc>
          <w:tcPr>
            <w:tcW w:w="3305" w:type="dxa"/>
            <w:tcBorders>
              <w:top w:val="nil"/>
              <w:left w:val="single" w:sz="8" w:space="0" w:color="auto"/>
              <w:bottom w:val="single" w:sz="8" w:space="0" w:color="auto"/>
              <w:right w:val="nil"/>
            </w:tcBorders>
            <w:shd w:val="clear" w:color="000000" w:fill="244062"/>
            <w:vAlign w:val="center"/>
            <w:hideMark/>
          </w:tcPr>
          <w:p w14:paraId="796DB5BE"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183" w:type="dxa"/>
            <w:gridSpan w:val="3"/>
            <w:tcBorders>
              <w:top w:val="single" w:sz="8" w:space="0" w:color="auto"/>
              <w:left w:val="nil"/>
              <w:bottom w:val="single" w:sz="8" w:space="0" w:color="auto"/>
              <w:right w:val="single" w:sz="8" w:space="0" w:color="000000"/>
            </w:tcBorders>
            <w:vAlign w:val="center"/>
            <w:hideMark/>
          </w:tcPr>
          <w:p w14:paraId="00E23BA7" w14:textId="77777777" w:rsidR="00854ADA" w:rsidRPr="00FF386D" w:rsidRDefault="00854ADA" w:rsidP="00854ADA">
            <w:pPr>
              <w:numPr>
                <w:ilvl w:val="0"/>
                <w:numId w:val="3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Управа за резерве енергената</w:t>
            </w:r>
          </w:p>
          <w:p w14:paraId="02173270" w14:textId="77777777" w:rsidR="00854ADA" w:rsidRPr="00FF386D" w:rsidRDefault="00854ADA" w:rsidP="00854ADA">
            <w:pPr>
              <w:numPr>
                <w:ilvl w:val="0"/>
                <w:numId w:val="3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рударства и енергетике</w:t>
            </w:r>
          </w:p>
          <w:p w14:paraId="4EF6B214" w14:textId="77777777" w:rsidR="00854ADA" w:rsidRPr="00FF386D" w:rsidRDefault="00854ADA" w:rsidP="00854ADA">
            <w:pPr>
              <w:numPr>
                <w:ilvl w:val="0"/>
                <w:numId w:val="3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финансија</w:t>
            </w:r>
          </w:p>
        </w:tc>
      </w:tr>
      <w:tr w:rsidR="00854ADA" w:rsidRPr="00FF386D" w14:paraId="6FA6F04A" w14:textId="77777777" w:rsidTr="0057310C">
        <w:trPr>
          <w:trHeight w:val="315"/>
        </w:trPr>
        <w:tc>
          <w:tcPr>
            <w:tcW w:w="3305" w:type="dxa"/>
            <w:tcBorders>
              <w:top w:val="nil"/>
              <w:left w:val="single" w:sz="8" w:space="0" w:color="auto"/>
              <w:bottom w:val="single" w:sz="8" w:space="0" w:color="auto"/>
              <w:right w:val="nil"/>
            </w:tcBorders>
            <w:shd w:val="clear" w:color="000000" w:fill="244062"/>
            <w:vAlign w:val="center"/>
            <w:hideMark/>
          </w:tcPr>
          <w:p w14:paraId="38F4EFA6"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183" w:type="dxa"/>
            <w:gridSpan w:val="3"/>
            <w:tcBorders>
              <w:top w:val="single" w:sz="8" w:space="0" w:color="auto"/>
              <w:left w:val="nil"/>
              <w:bottom w:val="single" w:sz="8" w:space="0" w:color="auto"/>
              <w:right w:val="single" w:sz="8" w:space="0" w:color="000000"/>
            </w:tcBorders>
            <w:vAlign w:val="center"/>
            <w:hideMark/>
          </w:tcPr>
          <w:p w14:paraId="279A9084" w14:textId="43313812"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Доступан простор за складиштење сирове нафте и </w:t>
            </w:r>
            <w:r w:rsidR="00F70592" w:rsidRPr="00FF386D">
              <w:rPr>
                <w:rFonts w:ascii="Calibri Light" w:hAnsi="Calibri Light"/>
                <w:sz w:val="20"/>
              </w:rPr>
              <w:t xml:space="preserve">деривата </w:t>
            </w:r>
            <w:r w:rsidRPr="00FF386D">
              <w:rPr>
                <w:rFonts w:ascii="Calibri Light" w:hAnsi="Calibri Light"/>
                <w:sz w:val="20"/>
              </w:rPr>
              <w:t>нафт</w:t>
            </w:r>
            <w:r w:rsidR="00F70592" w:rsidRPr="00FF386D">
              <w:rPr>
                <w:rFonts w:ascii="Calibri Light" w:hAnsi="Calibri Light"/>
                <w:sz w:val="20"/>
              </w:rPr>
              <w:t>е</w:t>
            </w:r>
            <w:r w:rsidR="00A71252">
              <w:rPr>
                <w:rFonts w:ascii="Calibri Light" w:hAnsi="Calibri Light"/>
                <w:sz w:val="20"/>
              </w:rPr>
              <w:t>, Снабдевање нафтним дериватима и сировом нафтом</w:t>
            </w:r>
          </w:p>
        </w:tc>
      </w:tr>
      <w:tr w:rsidR="00854ADA" w:rsidRPr="00FF386D" w14:paraId="7DB70853" w14:textId="77777777" w:rsidTr="0057310C">
        <w:trPr>
          <w:trHeight w:val="399"/>
        </w:trPr>
        <w:tc>
          <w:tcPr>
            <w:tcW w:w="3305" w:type="dxa"/>
            <w:tcBorders>
              <w:top w:val="nil"/>
              <w:left w:val="single" w:sz="8" w:space="0" w:color="auto"/>
              <w:bottom w:val="single" w:sz="8" w:space="0" w:color="auto"/>
              <w:right w:val="single" w:sz="8" w:space="0" w:color="auto"/>
            </w:tcBorders>
            <w:shd w:val="clear" w:color="000000" w:fill="244062"/>
            <w:vAlign w:val="center"/>
            <w:hideMark/>
          </w:tcPr>
          <w:p w14:paraId="725D4D00"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183" w:type="dxa"/>
            <w:gridSpan w:val="3"/>
            <w:tcBorders>
              <w:top w:val="single" w:sz="8" w:space="0" w:color="auto"/>
              <w:left w:val="nil"/>
              <w:bottom w:val="single" w:sz="8" w:space="0" w:color="auto"/>
              <w:right w:val="single" w:sz="8" w:space="0" w:color="000000"/>
            </w:tcBorders>
            <w:vAlign w:val="center"/>
            <w:hideMark/>
          </w:tcPr>
          <w:p w14:paraId="005FFE9A"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p>
        </w:tc>
      </w:tr>
      <w:tr w:rsidR="00854ADA" w:rsidRPr="00FF386D" w14:paraId="1E3C768A" w14:textId="77777777" w:rsidTr="0057310C">
        <w:trPr>
          <w:trHeight w:val="450"/>
        </w:trPr>
        <w:tc>
          <w:tcPr>
            <w:tcW w:w="3305"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71C742B3" w14:textId="2C9BE441" w:rsidR="00854ADA" w:rsidRPr="00FF386D" w:rsidRDefault="004D35DC"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183"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0456C07F" w14:textId="77777777" w:rsidR="00854ADA" w:rsidRPr="000A2AFE" w:rsidRDefault="00854ADA" w:rsidP="00854ADA">
            <w:pPr>
              <w:numPr>
                <w:ilvl w:val="0"/>
                <w:numId w:val="3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Директива 2009/119/ЕЗ</w:t>
            </w:r>
          </w:p>
          <w:p w14:paraId="0F23782B" w14:textId="77777777" w:rsidR="00854ADA" w:rsidRPr="000A2AFE" w:rsidRDefault="00854ADA" w:rsidP="00854ADA">
            <w:pPr>
              <w:numPr>
                <w:ilvl w:val="0"/>
                <w:numId w:val="3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Закон о енергетици</w:t>
            </w:r>
          </w:p>
          <w:p w14:paraId="5EC5CDA8" w14:textId="4E43FDFC" w:rsidR="00854ADA" w:rsidRPr="000A2AFE" w:rsidRDefault="00854ADA" w:rsidP="00854ADA">
            <w:pPr>
              <w:numPr>
                <w:ilvl w:val="0"/>
                <w:numId w:val="32"/>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 xml:space="preserve">Закон о </w:t>
            </w:r>
            <w:r w:rsidR="00A71252">
              <w:rPr>
                <w:rFonts w:asciiTheme="majorHAnsi" w:eastAsia="Times New Roman" w:hAnsiTheme="majorHAnsi" w:cstheme="majorHAnsi"/>
                <w:color w:val="000000"/>
                <w:sz w:val="20"/>
                <w:szCs w:val="20"/>
                <w:lang w:eastAsia="en-GB"/>
              </w:rPr>
              <w:t>робним</w:t>
            </w:r>
            <w:r w:rsidR="00A71252" w:rsidRPr="000A2AFE">
              <w:rPr>
                <w:rFonts w:asciiTheme="majorHAnsi" w:eastAsia="Times New Roman" w:hAnsiTheme="majorHAnsi" w:cstheme="majorHAnsi"/>
                <w:color w:val="000000"/>
                <w:sz w:val="20"/>
                <w:szCs w:val="20"/>
                <w:lang w:eastAsia="en-GB"/>
              </w:rPr>
              <w:t xml:space="preserve"> </w:t>
            </w:r>
            <w:r w:rsidRPr="000A2AFE">
              <w:rPr>
                <w:rFonts w:asciiTheme="majorHAnsi" w:eastAsia="Times New Roman" w:hAnsiTheme="majorHAnsi" w:cstheme="majorHAnsi"/>
                <w:color w:val="000000"/>
                <w:sz w:val="20"/>
                <w:szCs w:val="20"/>
                <w:lang w:eastAsia="en-GB"/>
              </w:rPr>
              <w:t>резервама</w:t>
            </w:r>
          </w:p>
          <w:p w14:paraId="656F7D2C" w14:textId="77777777" w:rsidR="00854ADA" w:rsidRPr="000A2AFE" w:rsidRDefault="00854ADA" w:rsidP="00854ADA">
            <w:pPr>
              <w:numPr>
                <w:ilvl w:val="0"/>
                <w:numId w:val="32"/>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Акциони план за формирање и одржавање обавезних резерви сирове нафте и нафтних деривата (2017–2022)</w:t>
            </w:r>
          </w:p>
          <w:p w14:paraId="0121E458" w14:textId="54539440" w:rsidR="00854ADA" w:rsidRPr="000A2AFE" w:rsidRDefault="00854ADA" w:rsidP="00854ADA">
            <w:pPr>
              <w:numPr>
                <w:ilvl w:val="0"/>
                <w:numId w:val="32"/>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Уредба о методологији прикупљања и обраде података и обрачуна просечног дневног нето увоза, просечне дневне потрошње и количина обавезних залиха сирове нафте и деривата</w:t>
            </w:r>
            <w:r w:rsidR="00F70592" w:rsidRPr="000A2AFE">
              <w:rPr>
                <w:rFonts w:asciiTheme="majorHAnsi" w:eastAsia="Times New Roman" w:hAnsiTheme="majorHAnsi" w:cstheme="majorHAnsi"/>
                <w:color w:val="000000"/>
                <w:sz w:val="20"/>
                <w:szCs w:val="20"/>
                <w:lang w:eastAsia="en-GB"/>
              </w:rPr>
              <w:t xml:space="preserve"> нафте</w:t>
            </w:r>
          </w:p>
          <w:p w14:paraId="0C41B1E7" w14:textId="52FD843B" w:rsidR="00854ADA" w:rsidRPr="000A2AFE" w:rsidRDefault="00854ADA" w:rsidP="00854ADA">
            <w:pPr>
              <w:numPr>
                <w:ilvl w:val="0"/>
                <w:numId w:val="32"/>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 xml:space="preserve">Правилник о дефинисању годишњег програма </w:t>
            </w:r>
            <w:r w:rsidR="00F70592" w:rsidRPr="000A2AFE">
              <w:rPr>
                <w:rFonts w:asciiTheme="majorHAnsi" w:eastAsia="Times New Roman" w:hAnsiTheme="majorHAnsi" w:cstheme="majorHAnsi"/>
                <w:color w:val="000000"/>
                <w:sz w:val="20"/>
                <w:szCs w:val="20"/>
                <w:lang w:eastAsia="en-GB"/>
              </w:rPr>
              <w:t>резерви</w:t>
            </w:r>
            <w:r w:rsidRPr="000A2AFE">
              <w:rPr>
                <w:rFonts w:asciiTheme="majorHAnsi" w:eastAsia="Times New Roman" w:hAnsiTheme="majorHAnsi" w:cstheme="majorHAnsi"/>
                <w:color w:val="000000"/>
                <w:sz w:val="20"/>
                <w:szCs w:val="20"/>
                <w:lang w:eastAsia="en-GB"/>
              </w:rPr>
              <w:t xml:space="preserve"> нафте за ванредне ситуације (2019)</w:t>
            </w:r>
          </w:p>
          <w:p w14:paraId="4F52ABA8" w14:textId="77777777" w:rsidR="00854ADA" w:rsidRPr="000A2AFE" w:rsidRDefault="00854ADA" w:rsidP="00854ADA">
            <w:pPr>
              <w:numPr>
                <w:ilvl w:val="0"/>
                <w:numId w:val="32"/>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Уредба о висини, начину обрачуна, плаћања и располагања накнадом за формирање обавезних резерви нафте и деривата нафте</w:t>
            </w:r>
          </w:p>
          <w:p w14:paraId="31902EFA" w14:textId="21739693" w:rsidR="00854ADA" w:rsidRPr="000A2AFE" w:rsidRDefault="00854ADA" w:rsidP="00854ADA">
            <w:pPr>
              <w:numPr>
                <w:ilvl w:val="0"/>
                <w:numId w:val="32"/>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Правилник о вођењу регистра обавезних резерви нафте и деривата нафте и израда месечних статистичких извештаја о количини, квалитету, саставу и размештају обавезних и других резерви сирове нафте и деривата нафте</w:t>
            </w:r>
          </w:p>
          <w:p w14:paraId="0366EE03" w14:textId="037F304D" w:rsidR="00854ADA" w:rsidRPr="000A2AFE" w:rsidRDefault="00854ADA" w:rsidP="00854ADA">
            <w:pPr>
              <w:numPr>
                <w:ilvl w:val="0"/>
                <w:numId w:val="32"/>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 xml:space="preserve">План реаговања у </w:t>
            </w:r>
            <w:r w:rsidR="009E4C0B" w:rsidRPr="000A2AFE">
              <w:rPr>
                <w:rFonts w:asciiTheme="majorHAnsi" w:eastAsia="Times New Roman" w:hAnsiTheme="majorHAnsi" w:cstheme="majorHAnsi"/>
                <w:color w:val="000000"/>
                <w:sz w:val="20"/>
                <w:szCs w:val="20"/>
                <w:lang w:eastAsia="en-GB"/>
              </w:rPr>
              <w:t>ванредним ситуацијама</w:t>
            </w:r>
          </w:p>
          <w:p w14:paraId="1EC59D9E" w14:textId="77777777" w:rsidR="00854ADA" w:rsidRPr="00FF386D" w:rsidRDefault="00854ADA" w:rsidP="00854ADA">
            <w:pPr>
              <w:numPr>
                <w:ilvl w:val="0"/>
                <w:numId w:val="32"/>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Нацрт акционог плана за формирање и одржавање обавезних резерви сирове нафте и деривата нафте (јун 2021 – децембар 2026)</w:t>
            </w:r>
          </w:p>
        </w:tc>
      </w:tr>
      <w:tr w:rsidR="00854ADA" w:rsidRPr="00FF386D" w14:paraId="11133F3F"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109C5232" w14:textId="77777777" w:rsidR="00854ADA" w:rsidRPr="00FF386D" w:rsidRDefault="00854ADA" w:rsidP="00854ADA">
            <w:pPr>
              <w:spacing w:after="0" w:line="256" w:lineRule="auto"/>
              <w:rPr>
                <w:rFonts w:asciiTheme="majorHAnsi" w:eastAsia="Times New Roman" w:hAnsiTheme="majorHAnsi" w:cstheme="majorHAnsi"/>
                <w:b/>
                <w:bCs/>
                <w:color w:val="FFFFFF"/>
                <w:sz w:val="20"/>
                <w:szCs w:val="20"/>
                <w:lang w:eastAsia="en-GB"/>
              </w:rPr>
            </w:pPr>
          </w:p>
        </w:tc>
        <w:tc>
          <w:tcPr>
            <w:tcW w:w="6183" w:type="dxa"/>
            <w:gridSpan w:val="3"/>
            <w:vMerge/>
            <w:tcBorders>
              <w:top w:val="single" w:sz="8" w:space="0" w:color="auto"/>
              <w:left w:val="single" w:sz="8" w:space="0" w:color="auto"/>
              <w:bottom w:val="single" w:sz="8" w:space="0" w:color="000000"/>
              <w:right w:val="single" w:sz="8" w:space="0" w:color="000000"/>
            </w:tcBorders>
            <w:vAlign w:val="center"/>
            <w:hideMark/>
          </w:tcPr>
          <w:p w14:paraId="5809F545"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77D23939"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2A6E0BEF" w14:textId="77777777" w:rsidR="00854ADA" w:rsidRPr="00FF386D" w:rsidRDefault="00854ADA" w:rsidP="00854ADA">
            <w:pPr>
              <w:spacing w:after="0" w:line="256" w:lineRule="auto"/>
              <w:rPr>
                <w:rFonts w:asciiTheme="majorHAnsi" w:eastAsia="Times New Roman" w:hAnsiTheme="majorHAnsi" w:cstheme="majorHAnsi"/>
                <w:b/>
                <w:bCs/>
                <w:color w:val="FFFFFF"/>
                <w:sz w:val="20"/>
                <w:szCs w:val="20"/>
                <w:lang w:eastAsia="en-GB"/>
              </w:rPr>
            </w:pPr>
          </w:p>
        </w:tc>
        <w:tc>
          <w:tcPr>
            <w:tcW w:w="6183" w:type="dxa"/>
            <w:gridSpan w:val="3"/>
            <w:vMerge/>
            <w:tcBorders>
              <w:top w:val="single" w:sz="8" w:space="0" w:color="auto"/>
              <w:left w:val="single" w:sz="8" w:space="0" w:color="auto"/>
              <w:bottom w:val="single" w:sz="8" w:space="0" w:color="000000"/>
              <w:right w:val="single" w:sz="8" w:space="0" w:color="000000"/>
            </w:tcBorders>
            <w:vAlign w:val="center"/>
            <w:hideMark/>
          </w:tcPr>
          <w:p w14:paraId="5ACCA491"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5137E344" w14:textId="77777777" w:rsidTr="0057310C">
        <w:trPr>
          <w:trHeight w:val="780"/>
        </w:trPr>
        <w:tc>
          <w:tcPr>
            <w:tcW w:w="3305" w:type="dxa"/>
            <w:tcBorders>
              <w:top w:val="nil"/>
              <w:left w:val="single" w:sz="8" w:space="0" w:color="auto"/>
              <w:bottom w:val="single" w:sz="8" w:space="0" w:color="auto"/>
              <w:right w:val="single" w:sz="8" w:space="0" w:color="auto"/>
            </w:tcBorders>
            <w:shd w:val="clear" w:color="000000" w:fill="244062"/>
            <w:vAlign w:val="center"/>
            <w:hideMark/>
          </w:tcPr>
          <w:p w14:paraId="56EA24C9"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83" w:type="dxa"/>
            <w:gridSpan w:val="3"/>
            <w:tcBorders>
              <w:top w:val="single" w:sz="8" w:space="0" w:color="auto"/>
              <w:left w:val="nil"/>
              <w:bottom w:val="single" w:sz="8" w:space="0" w:color="auto"/>
              <w:right w:val="single" w:sz="8" w:space="0" w:color="000000"/>
            </w:tcBorders>
            <w:vAlign w:val="center"/>
          </w:tcPr>
          <w:p w14:paraId="6F920E34" w14:textId="77777777" w:rsidR="00854ADA" w:rsidRPr="00FF386D" w:rsidRDefault="00854ADA" w:rsidP="00854ADA">
            <w:pPr>
              <w:numPr>
                <w:ilvl w:val="0"/>
                <w:numId w:val="32"/>
              </w:numPr>
              <w:spacing w:after="0" w:line="240" w:lineRule="auto"/>
              <w:contextualSpacing/>
              <w:jc w:val="both"/>
            </w:pPr>
            <w:r w:rsidRPr="00FF386D">
              <w:rPr>
                <w:rFonts w:asciiTheme="majorHAnsi" w:eastAsia="Times New Roman" w:hAnsiTheme="majorHAnsi" w:cstheme="majorHAnsi"/>
                <w:color w:val="000000"/>
                <w:sz w:val="20"/>
                <w:szCs w:val="20"/>
                <w:lang w:eastAsia="en-GB"/>
              </w:rPr>
              <w:t>Акциони план за формирање и одржавање обавезних резерви сирове нафте и деривата нафте</w:t>
            </w:r>
          </w:p>
        </w:tc>
      </w:tr>
      <w:tr w:rsidR="00854ADA" w:rsidRPr="00FF386D" w14:paraId="1A8C76F4" w14:textId="77777777" w:rsidTr="0057310C">
        <w:trPr>
          <w:trHeight w:val="315"/>
        </w:trPr>
        <w:tc>
          <w:tcPr>
            <w:tcW w:w="3305" w:type="dxa"/>
            <w:tcBorders>
              <w:top w:val="nil"/>
              <w:left w:val="single" w:sz="8" w:space="0" w:color="auto"/>
              <w:bottom w:val="single" w:sz="8" w:space="0" w:color="auto"/>
              <w:right w:val="single" w:sz="8" w:space="0" w:color="auto"/>
            </w:tcBorders>
            <w:shd w:val="clear" w:color="000000" w:fill="244062"/>
            <w:vAlign w:val="center"/>
            <w:hideMark/>
          </w:tcPr>
          <w:p w14:paraId="681683A3"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83" w:type="dxa"/>
            <w:gridSpan w:val="3"/>
            <w:tcBorders>
              <w:top w:val="single" w:sz="8" w:space="0" w:color="auto"/>
              <w:left w:val="nil"/>
              <w:bottom w:val="single" w:sz="8" w:space="0" w:color="auto"/>
              <w:right w:val="single" w:sz="8" w:space="0" w:color="000000"/>
            </w:tcBorders>
            <w:vAlign w:val="center"/>
          </w:tcPr>
          <w:p w14:paraId="42C4FF8C"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0,5 милиона евра</w:t>
            </w:r>
          </w:p>
        </w:tc>
      </w:tr>
      <w:tr w:rsidR="00854ADA" w:rsidRPr="00FF386D" w14:paraId="03FD4813" w14:textId="77777777" w:rsidTr="0057310C">
        <w:trPr>
          <w:trHeight w:val="315"/>
        </w:trPr>
        <w:tc>
          <w:tcPr>
            <w:tcW w:w="3305" w:type="dxa"/>
            <w:tcBorders>
              <w:top w:val="nil"/>
              <w:left w:val="single" w:sz="8" w:space="0" w:color="auto"/>
              <w:bottom w:val="single" w:sz="8" w:space="0" w:color="auto"/>
              <w:right w:val="single" w:sz="8" w:space="0" w:color="auto"/>
            </w:tcBorders>
            <w:shd w:val="clear" w:color="000000" w:fill="244062"/>
            <w:vAlign w:val="center"/>
            <w:hideMark/>
          </w:tcPr>
          <w:p w14:paraId="19BC20FF"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83" w:type="dxa"/>
            <w:gridSpan w:val="3"/>
            <w:tcBorders>
              <w:top w:val="single" w:sz="8" w:space="0" w:color="auto"/>
              <w:left w:val="nil"/>
              <w:bottom w:val="single" w:sz="8" w:space="0" w:color="auto"/>
              <w:right w:val="single" w:sz="8" w:space="0" w:color="000000"/>
            </w:tcBorders>
            <w:vAlign w:val="center"/>
            <w:hideMark/>
          </w:tcPr>
          <w:p w14:paraId="614A8C82" w14:textId="22067FFD" w:rsidR="00854ADA" w:rsidRPr="00FF386D" w:rsidRDefault="00411D36" w:rsidP="00854ADA">
            <w:pPr>
              <w:spacing w:after="0" w:line="240" w:lineRule="auto"/>
              <w:jc w:val="both"/>
              <w:rPr>
                <w:rFonts w:asciiTheme="majorHAnsi" w:eastAsia="Times New Roman" w:hAnsiTheme="majorHAnsi" w:cstheme="majorHAnsi"/>
                <w:color w:val="000000"/>
                <w:sz w:val="20"/>
                <w:szCs w:val="20"/>
                <w:lang w:eastAsia="en-GB"/>
              </w:rPr>
            </w:pPr>
            <w:r w:rsidRPr="00411D36">
              <w:rPr>
                <w:rFonts w:ascii="Calibri Light" w:eastAsia="Times New Roman" w:hAnsi="Calibri Light" w:cs="Calibri Light"/>
                <w:color w:val="000000"/>
                <w:sz w:val="20"/>
                <w:szCs w:val="20"/>
                <w:lang w:eastAsia="en-GB"/>
              </w:rPr>
              <w:t>Намет на малопродајну цену моторних горива</w:t>
            </w:r>
          </w:p>
        </w:tc>
      </w:tr>
    </w:tbl>
    <w:p w14:paraId="26C2A325" w14:textId="77777777" w:rsidR="00854ADA" w:rsidRPr="00FF386D" w:rsidRDefault="00854ADA" w:rsidP="00854ADA">
      <w:pPr>
        <w:spacing w:before="120" w:after="120" w:line="240" w:lineRule="auto"/>
        <w:jc w:val="both"/>
        <w:rPr>
          <w:rFonts w:asciiTheme="majorHAnsi" w:eastAsia="Times New Roman" w:hAnsiTheme="majorHAnsi" w:cstheme="majorHAnsi"/>
          <w:sz w:val="20"/>
          <w:szCs w:val="20"/>
          <w:lang w:eastAsia="el-GR"/>
        </w:rPr>
      </w:pPr>
    </w:p>
    <w:tbl>
      <w:tblPr>
        <w:tblW w:w="9488" w:type="dxa"/>
        <w:tblLook w:val="04A0" w:firstRow="1" w:lastRow="0" w:firstColumn="1" w:lastColumn="0" w:noHBand="0" w:noVBand="1"/>
      </w:tblPr>
      <w:tblGrid>
        <w:gridCol w:w="3342"/>
        <w:gridCol w:w="941"/>
        <w:gridCol w:w="945"/>
        <w:gridCol w:w="4260"/>
      </w:tblGrid>
      <w:tr w:rsidR="00854ADA" w:rsidRPr="00FF386D" w14:paraId="6B221266" w14:textId="77777777" w:rsidTr="0057310C">
        <w:trPr>
          <w:trHeight w:val="780"/>
        </w:trPr>
        <w:tc>
          <w:tcPr>
            <w:tcW w:w="3342"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13F99CA8" w14:textId="35FE37F8" w:rsidR="00854ADA" w:rsidRPr="00FF386D" w:rsidRDefault="00DB1C84" w:rsidP="00854ADA">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 xml:space="preserve">: </w:t>
            </w:r>
          </w:p>
        </w:tc>
        <w:tc>
          <w:tcPr>
            <w:tcW w:w="941" w:type="dxa"/>
            <w:tcBorders>
              <w:top w:val="single" w:sz="8" w:space="0" w:color="auto"/>
              <w:left w:val="nil"/>
              <w:bottom w:val="single" w:sz="8" w:space="0" w:color="auto"/>
              <w:right w:val="single" w:sz="8" w:space="0" w:color="auto"/>
            </w:tcBorders>
            <w:shd w:val="clear" w:color="auto" w:fill="E7E6E6" w:themeFill="background2"/>
            <w:vAlign w:val="center"/>
            <w:hideMark/>
          </w:tcPr>
          <w:p w14:paraId="69FBA72E" w14:textId="77777777"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МП_ЕС4</w:t>
            </w:r>
          </w:p>
        </w:tc>
        <w:tc>
          <w:tcPr>
            <w:tcW w:w="945" w:type="dxa"/>
            <w:tcBorders>
              <w:top w:val="single" w:sz="8" w:space="0" w:color="auto"/>
              <w:left w:val="nil"/>
              <w:bottom w:val="single" w:sz="8" w:space="0" w:color="auto"/>
              <w:right w:val="single" w:sz="8" w:space="0" w:color="auto"/>
            </w:tcBorders>
            <w:shd w:val="clear" w:color="auto" w:fill="244062"/>
            <w:vAlign w:val="center"/>
            <w:hideMark/>
          </w:tcPr>
          <w:p w14:paraId="76497ADB"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Назив</w:t>
            </w:r>
            <w:r w:rsidRPr="000A2AFE">
              <w:rPr>
                <w:rFonts w:asciiTheme="majorHAnsi" w:eastAsia="Times New Roman" w:hAnsiTheme="majorHAnsi" w:cstheme="majorHAnsi"/>
                <w:b/>
                <w:bCs/>
                <w:color w:val="FFFFFF"/>
                <w:sz w:val="20"/>
                <w:szCs w:val="20"/>
                <w:lang w:eastAsia="en-GB"/>
              </w:rPr>
              <w:t xml:space="preserve">: </w:t>
            </w:r>
          </w:p>
        </w:tc>
        <w:tc>
          <w:tcPr>
            <w:tcW w:w="4260" w:type="dxa"/>
            <w:tcBorders>
              <w:top w:val="single" w:sz="8" w:space="0" w:color="auto"/>
              <w:left w:val="nil"/>
              <w:bottom w:val="single" w:sz="8" w:space="0" w:color="auto"/>
              <w:right w:val="single" w:sz="8" w:space="0" w:color="auto"/>
            </w:tcBorders>
            <w:shd w:val="clear" w:color="auto" w:fill="E7E6E6" w:themeFill="background2"/>
            <w:vAlign w:val="center"/>
            <w:hideMark/>
          </w:tcPr>
          <w:p w14:paraId="7BFB1A04" w14:textId="15403110" w:rsidR="00854ADA" w:rsidRPr="00FF386D" w:rsidRDefault="00854ADA" w:rsidP="00854ADA">
            <w:pPr>
              <w:spacing w:after="0" w:line="240" w:lineRule="auto"/>
              <w:rPr>
                <w:rFonts w:asciiTheme="majorHAnsi" w:eastAsia="Times New Roman" w:hAnsiTheme="majorHAnsi" w:cstheme="majorHAnsi"/>
                <w:b/>
                <w:bCs/>
                <w:color w:val="000000"/>
                <w:sz w:val="20"/>
                <w:szCs w:val="20"/>
                <w:lang w:eastAsia="en-GB"/>
              </w:rPr>
            </w:pPr>
            <w:r w:rsidRPr="00FF386D">
              <w:rPr>
                <w:rFonts w:ascii="Calibri Light" w:hAnsi="Calibri Light"/>
                <w:b/>
                <w:sz w:val="20"/>
              </w:rPr>
              <w:t xml:space="preserve">Формирање оперативних резерви нафте, угља и других </w:t>
            </w:r>
            <w:r w:rsidR="009E4C0B" w:rsidRPr="00FF386D">
              <w:rPr>
                <w:rFonts w:ascii="Calibri Light" w:hAnsi="Calibri Light"/>
                <w:b/>
                <w:sz w:val="20"/>
              </w:rPr>
              <w:t>енергената</w:t>
            </w:r>
          </w:p>
        </w:tc>
      </w:tr>
      <w:tr w:rsidR="00854ADA" w:rsidRPr="00FF386D" w14:paraId="198831E5" w14:textId="77777777" w:rsidTr="0057310C">
        <w:trPr>
          <w:trHeight w:val="730"/>
        </w:trPr>
        <w:tc>
          <w:tcPr>
            <w:tcW w:w="3342" w:type="dxa"/>
            <w:tcBorders>
              <w:top w:val="nil"/>
              <w:left w:val="single" w:sz="8" w:space="0" w:color="auto"/>
              <w:bottom w:val="single" w:sz="8" w:space="0" w:color="auto"/>
              <w:right w:val="nil"/>
            </w:tcBorders>
            <w:shd w:val="clear" w:color="000000" w:fill="244062"/>
            <w:vAlign w:val="center"/>
            <w:hideMark/>
          </w:tcPr>
          <w:p w14:paraId="1528B224"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146" w:type="dxa"/>
            <w:gridSpan w:val="3"/>
            <w:tcBorders>
              <w:top w:val="single" w:sz="8" w:space="0" w:color="auto"/>
              <w:left w:val="nil"/>
              <w:bottom w:val="single" w:sz="8" w:space="0" w:color="auto"/>
              <w:right w:val="single" w:sz="8" w:space="0" w:color="000000"/>
            </w:tcBorders>
            <w:vAlign w:val="center"/>
          </w:tcPr>
          <w:p w14:paraId="5546D5E2"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Отпорност у случају ограничења или прекида у снабдевању енергентом, флексибилност националног енергетског система</w:t>
            </w:r>
          </w:p>
        </w:tc>
      </w:tr>
      <w:tr w:rsidR="00854ADA" w:rsidRPr="00FF386D" w14:paraId="4E3953D4" w14:textId="77777777" w:rsidTr="0057310C">
        <w:trPr>
          <w:trHeight w:val="315"/>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18EEDC29"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 xml:space="preserve">Квантификовани циљ: </w:t>
            </w:r>
          </w:p>
        </w:tc>
        <w:tc>
          <w:tcPr>
            <w:tcW w:w="6146" w:type="dxa"/>
            <w:gridSpan w:val="3"/>
            <w:tcBorders>
              <w:top w:val="single" w:sz="8" w:space="0" w:color="auto"/>
              <w:left w:val="nil"/>
              <w:bottom w:val="single" w:sz="8" w:space="0" w:color="auto"/>
              <w:right w:val="single" w:sz="8" w:space="0" w:color="000000"/>
            </w:tcBorders>
            <w:vAlign w:val="center"/>
          </w:tcPr>
          <w:p w14:paraId="1E80CCB1" w14:textId="5DF1D67F"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Ниво оперативних резерви по снабдевачу и врсти енерге</w:t>
            </w:r>
            <w:r w:rsidR="009E4C0B" w:rsidRPr="00FF386D">
              <w:rPr>
                <w:rFonts w:ascii="Calibri Light" w:hAnsi="Calibri Light"/>
                <w:sz w:val="20"/>
              </w:rPr>
              <w:t>нта</w:t>
            </w:r>
          </w:p>
        </w:tc>
      </w:tr>
      <w:tr w:rsidR="00854ADA" w:rsidRPr="00FF386D" w14:paraId="59943B37" w14:textId="77777777" w:rsidTr="0057310C">
        <w:trPr>
          <w:trHeight w:val="1103"/>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0851C855"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146" w:type="dxa"/>
            <w:gridSpan w:val="3"/>
            <w:tcBorders>
              <w:top w:val="single" w:sz="8" w:space="0" w:color="auto"/>
              <w:left w:val="nil"/>
              <w:bottom w:val="single" w:sz="8" w:space="0" w:color="auto"/>
              <w:right w:val="single" w:sz="8" w:space="0" w:color="000000"/>
            </w:tcBorders>
            <w:vAlign w:val="center"/>
            <w:hideMark/>
          </w:tcPr>
          <w:p w14:paraId="447F0FF6" w14:textId="37145A15"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Ова мера се односи на увођење обавеза одржавања комерцијалних резерви (обавезе снабдевача): „Уредба о оперативним резервама </w:t>
            </w:r>
            <w:r w:rsidR="00C35C75" w:rsidRPr="00FF386D">
              <w:rPr>
                <w:rFonts w:ascii="Calibri Light" w:hAnsi="Calibri Light"/>
                <w:sz w:val="20"/>
              </w:rPr>
              <w:t xml:space="preserve">деривата </w:t>
            </w:r>
            <w:r w:rsidRPr="00FF386D">
              <w:rPr>
                <w:rFonts w:ascii="Calibri Light" w:hAnsi="Calibri Light"/>
                <w:sz w:val="20"/>
              </w:rPr>
              <w:t xml:space="preserve">нафте, угља и других </w:t>
            </w:r>
            <w:r w:rsidR="00C35C75" w:rsidRPr="00FF386D">
              <w:rPr>
                <w:rFonts w:ascii="Calibri Light" w:hAnsi="Calibri Light"/>
                <w:sz w:val="20"/>
              </w:rPr>
              <w:t>енергената</w:t>
            </w:r>
            <w:r w:rsidRPr="00FF386D">
              <w:rPr>
                <w:rFonts w:ascii="Calibri Light" w:hAnsi="Calibri Light"/>
                <w:sz w:val="20"/>
              </w:rPr>
              <w:t xml:space="preserve">” </w:t>
            </w:r>
            <w:r w:rsidR="00DF13BA" w:rsidRPr="00FF386D">
              <w:rPr>
                <w:rFonts w:ascii="Calibri Light" w:hAnsi="Calibri Light"/>
                <w:sz w:val="20"/>
              </w:rPr>
              <w:t xml:space="preserve">(Службени гласник Републике Србије, бр. 79/21) </w:t>
            </w:r>
            <w:r w:rsidRPr="00FF386D">
              <w:rPr>
                <w:rFonts w:ascii="Calibri Light" w:hAnsi="Calibri Light"/>
                <w:sz w:val="20"/>
              </w:rPr>
              <w:t>је у</w:t>
            </w:r>
            <w:r w:rsidR="00DF13BA" w:rsidRPr="00FF386D">
              <w:rPr>
                <w:rFonts w:ascii="Calibri Light" w:hAnsi="Calibri Light"/>
                <w:sz w:val="20"/>
              </w:rPr>
              <w:t>својен 6. августа 2021. године.</w:t>
            </w:r>
          </w:p>
        </w:tc>
      </w:tr>
      <w:tr w:rsidR="00854ADA" w:rsidRPr="00FF386D" w14:paraId="096594AB" w14:textId="77777777" w:rsidTr="0057310C">
        <w:trPr>
          <w:trHeight w:val="315"/>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26B08792"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146" w:type="dxa"/>
            <w:gridSpan w:val="3"/>
            <w:tcBorders>
              <w:top w:val="single" w:sz="8" w:space="0" w:color="auto"/>
              <w:left w:val="nil"/>
              <w:bottom w:val="single" w:sz="8" w:space="0" w:color="auto"/>
              <w:right w:val="single" w:sz="8" w:space="0" w:color="000000"/>
            </w:tcBorders>
            <w:vAlign w:val="center"/>
            <w:hideMark/>
          </w:tcPr>
          <w:p w14:paraId="5D4DB6AB" w14:textId="6E68DF54"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202</w:t>
            </w:r>
            <w:r w:rsidR="00521BF2">
              <w:rPr>
                <w:rFonts w:ascii="Calibri Light" w:hAnsi="Calibri Light"/>
                <w:sz w:val="20"/>
              </w:rPr>
              <w:t>4</w:t>
            </w:r>
            <w:r w:rsidRPr="00FF386D">
              <w:rPr>
                <w:rFonts w:ascii="Calibri Light" w:hAnsi="Calibri Light"/>
                <w:sz w:val="20"/>
              </w:rPr>
              <w:t>.</w:t>
            </w:r>
          </w:p>
        </w:tc>
      </w:tr>
      <w:tr w:rsidR="00854ADA" w:rsidRPr="00FF386D" w14:paraId="1A859A7C" w14:textId="77777777" w:rsidTr="0057310C">
        <w:trPr>
          <w:trHeight w:val="315"/>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19050FBB"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146" w:type="dxa"/>
            <w:gridSpan w:val="3"/>
            <w:tcBorders>
              <w:top w:val="single" w:sz="8" w:space="0" w:color="auto"/>
              <w:left w:val="nil"/>
              <w:bottom w:val="single" w:sz="8" w:space="0" w:color="auto"/>
              <w:right w:val="single" w:sz="8" w:space="0" w:color="000000"/>
            </w:tcBorders>
            <w:vAlign w:val="center"/>
            <w:hideMark/>
          </w:tcPr>
          <w:p w14:paraId="723947D5"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Реформа</w:t>
            </w:r>
          </w:p>
        </w:tc>
      </w:tr>
      <w:tr w:rsidR="00854ADA" w:rsidRPr="00FF386D" w14:paraId="7573B878" w14:textId="77777777" w:rsidTr="0057310C">
        <w:trPr>
          <w:trHeight w:val="315"/>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1284544D"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146" w:type="dxa"/>
            <w:gridSpan w:val="3"/>
            <w:tcBorders>
              <w:top w:val="single" w:sz="8" w:space="0" w:color="auto"/>
              <w:left w:val="nil"/>
              <w:bottom w:val="single" w:sz="8" w:space="0" w:color="auto"/>
              <w:right w:val="single" w:sz="8" w:space="0" w:color="000000"/>
            </w:tcBorders>
            <w:vAlign w:val="center"/>
            <w:hideMark/>
          </w:tcPr>
          <w:p w14:paraId="79A2CBDC" w14:textId="6785B181"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Нафта</w:t>
            </w:r>
            <w:r w:rsidR="00DF13BA" w:rsidRPr="00FF386D">
              <w:rPr>
                <w:rFonts w:ascii="Calibri Light" w:hAnsi="Calibri Light"/>
                <w:sz w:val="20"/>
              </w:rPr>
              <w:t xml:space="preserve"> и угаљ</w:t>
            </w:r>
          </w:p>
        </w:tc>
      </w:tr>
      <w:tr w:rsidR="00854ADA" w:rsidRPr="00FF386D" w14:paraId="2187BCB7" w14:textId="77777777" w:rsidTr="0057310C">
        <w:trPr>
          <w:trHeight w:val="315"/>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7378D60B"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146" w:type="dxa"/>
            <w:gridSpan w:val="3"/>
            <w:tcBorders>
              <w:top w:val="single" w:sz="8" w:space="0" w:color="auto"/>
              <w:left w:val="nil"/>
              <w:bottom w:val="single" w:sz="8" w:space="0" w:color="auto"/>
              <w:right w:val="single" w:sz="8" w:space="0" w:color="000000"/>
            </w:tcBorders>
            <w:vAlign w:val="center"/>
            <w:hideMark/>
          </w:tcPr>
          <w:p w14:paraId="7DB846F9" w14:textId="77777777" w:rsidR="00854ADA" w:rsidRPr="00FF386D" w:rsidRDefault="00854ADA" w:rsidP="00854ADA">
            <w:pPr>
              <w:numPr>
                <w:ilvl w:val="0"/>
                <w:numId w:val="3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Енергетски субјекти који имају обавезу формирања оперативних резерви</w:t>
            </w:r>
          </w:p>
        </w:tc>
      </w:tr>
      <w:tr w:rsidR="00854ADA" w:rsidRPr="00FF386D" w14:paraId="34994185" w14:textId="77777777" w:rsidTr="0057310C">
        <w:trPr>
          <w:trHeight w:val="315"/>
        </w:trPr>
        <w:tc>
          <w:tcPr>
            <w:tcW w:w="3342" w:type="dxa"/>
            <w:tcBorders>
              <w:top w:val="nil"/>
              <w:left w:val="single" w:sz="8" w:space="0" w:color="auto"/>
              <w:bottom w:val="single" w:sz="8" w:space="0" w:color="auto"/>
              <w:right w:val="nil"/>
            </w:tcBorders>
            <w:shd w:val="clear" w:color="000000" w:fill="244062"/>
            <w:vAlign w:val="center"/>
            <w:hideMark/>
          </w:tcPr>
          <w:p w14:paraId="6F5F6E80"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146" w:type="dxa"/>
            <w:gridSpan w:val="3"/>
            <w:tcBorders>
              <w:top w:val="single" w:sz="8" w:space="0" w:color="auto"/>
              <w:left w:val="nil"/>
              <w:bottom w:val="single" w:sz="8" w:space="0" w:color="auto"/>
              <w:right w:val="single" w:sz="8" w:space="0" w:color="000000"/>
            </w:tcBorders>
            <w:vAlign w:val="center"/>
            <w:hideMark/>
          </w:tcPr>
          <w:p w14:paraId="3B1F2347" w14:textId="77777777" w:rsidR="00854ADA" w:rsidRPr="00FF386D" w:rsidRDefault="00854ADA" w:rsidP="00854ADA">
            <w:pPr>
              <w:numPr>
                <w:ilvl w:val="0"/>
                <w:numId w:val="3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рударства и енергетике</w:t>
            </w:r>
          </w:p>
        </w:tc>
      </w:tr>
      <w:tr w:rsidR="00854ADA" w:rsidRPr="00FF386D" w14:paraId="3F15B5B7" w14:textId="77777777" w:rsidTr="0057310C">
        <w:trPr>
          <w:trHeight w:val="315"/>
        </w:trPr>
        <w:tc>
          <w:tcPr>
            <w:tcW w:w="3342" w:type="dxa"/>
            <w:tcBorders>
              <w:top w:val="nil"/>
              <w:left w:val="single" w:sz="8" w:space="0" w:color="auto"/>
              <w:bottom w:val="single" w:sz="8" w:space="0" w:color="auto"/>
              <w:right w:val="nil"/>
            </w:tcBorders>
            <w:shd w:val="clear" w:color="000000" w:fill="244062"/>
            <w:vAlign w:val="center"/>
            <w:hideMark/>
          </w:tcPr>
          <w:p w14:paraId="76736647"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146" w:type="dxa"/>
            <w:gridSpan w:val="3"/>
            <w:tcBorders>
              <w:top w:val="single" w:sz="8" w:space="0" w:color="auto"/>
              <w:left w:val="nil"/>
              <w:bottom w:val="single" w:sz="8" w:space="0" w:color="auto"/>
              <w:right w:val="single" w:sz="8" w:space="0" w:color="000000"/>
            </w:tcBorders>
            <w:vAlign w:val="center"/>
            <w:hideMark/>
          </w:tcPr>
          <w:p w14:paraId="44279F43" w14:textId="24650F80"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Количина енерге</w:t>
            </w:r>
            <w:r w:rsidR="009E4C0B" w:rsidRPr="00FF386D">
              <w:rPr>
                <w:rFonts w:ascii="Calibri Light" w:hAnsi="Calibri Light"/>
                <w:sz w:val="20"/>
              </w:rPr>
              <w:t>нта</w:t>
            </w:r>
            <w:r w:rsidRPr="00FF386D">
              <w:rPr>
                <w:rFonts w:ascii="Calibri Light" w:hAnsi="Calibri Light"/>
                <w:sz w:val="20"/>
              </w:rPr>
              <w:t xml:space="preserve"> у резерви према производу</w:t>
            </w:r>
          </w:p>
        </w:tc>
      </w:tr>
      <w:tr w:rsidR="00854ADA" w:rsidRPr="00FF386D" w14:paraId="6EF436D5" w14:textId="77777777" w:rsidTr="0057310C">
        <w:trPr>
          <w:trHeight w:val="387"/>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3EE9084B"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146" w:type="dxa"/>
            <w:gridSpan w:val="3"/>
            <w:tcBorders>
              <w:top w:val="single" w:sz="8" w:space="0" w:color="auto"/>
              <w:left w:val="nil"/>
              <w:bottom w:val="single" w:sz="8" w:space="0" w:color="auto"/>
              <w:right w:val="single" w:sz="8" w:space="0" w:color="000000"/>
            </w:tcBorders>
            <w:vAlign w:val="center"/>
            <w:hideMark/>
          </w:tcPr>
          <w:p w14:paraId="0CF004C8"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p>
        </w:tc>
      </w:tr>
      <w:tr w:rsidR="00854ADA" w:rsidRPr="00FF386D" w14:paraId="35683993" w14:textId="77777777" w:rsidTr="0057310C">
        <w:trPr>
          <w:trHeight w:val="450"/>
        </w:trPr>
        <w:tc>
          <w:tcPr>
            <w:tcW w:w="3342"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29E882D7" w14:textId="049FA807" w:rsidR="00854ADA" w:rsidRPr="00FF386D" w:rsidRDefault="004D35DC"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146"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57F03684" w14:textId="77777777" w:rsidR="00854ADA" w:rsidRPr="00FF386D" w:rsidRDefault="00854ADA" w:rsidP="00854ADA">
            <w:pPr>
              <w:numPr>
                <w:ilvl w:val="0"/>
                <w:numId w:val="34"/>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Директива 2009/119/EЗ</w:t>
            </w:r>
          </w:p>
        </w:tc>
      </w:tr>
      <w:tr w:rsidR="00854ADA" w:rsidRPr="00FF386D" w14:paraId="59A011E2"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7A758B26" w14:textId="77777777" w:rsidR="00854ADA" w:rsidRPr="00FF386D" w:rsidRDefault="00854ADA" w:rsidP="00854ADA">
            <w:pPr>
              <w:spacing w:after="0" w:line="256" w:lineRule="auto"/>
              <w:rPr>
                <w:rFonts w:asciiTheme="majorHAnsi" w:eastAsia="Times New Roman" w:hAnsiTheme="majorHAnsi" w:cstheme="majorHAnsi"/>
                <w:b/>
                <w:bCs/>
                <w:color w:val="FFFFFF"/>
                <w:sz w:val="20"/>
                <w:szCs w:val="20"/>
                <w:lang w:eastAsia="en-GB"/>
              </w:rPr>
            </w:pPr>
          </w:p>
        </w:tc>
        <w:tc>
          <w:tcPr>
            <w:tcW w:w="6146" w:type="dxa"/>
            <w:gridSpan w:val="3"/>
            <w:vMerge/>
            <w:tcBorders>
              <w:top w:val="single" w:sz="8" w:space="0" w:color="auto"/>
              <w:left w:val="single" w:sz="8" w:space="0" w:color="auto"/>
              <w:bottom w:val="single" w:sz="8" w:space="0" w:color="000000"/>
              <w:right w:val="single" w:sz="8" w:space="0" w:color="000000"/>
            </w:tcBorders>
            <w:vAlign w:val="center"/>
            <w:hideMark/>
          </w:tcPr>
          <w:p w14:paraId="0A682D57"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1E2B86BC"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6CDAFC8A" w14:textId="77777777" w:rsidR="00854ADA" w:rsidRPr="00FF386D" w:rsidRDefault="00854ADA" w:rsidP="00854ADA">
            <w:pPr>
              <w:spacing w:after="0" w:line="256" w:lineRule="auto"/>
              <w:rPr>
                <w:rFonts w:asciiTheme="majorHAnsi" w:eastAsia="Times New Roman" w:hAnsiTheme="majorHAnsi" w:cstheme="majorHAnsi"/>
                <w:b/>
                <w:bCs/>
                <w:color w:val="FFFFFF"/>
                <w:sz w:val="20"/>
                <w:szCs w:val="20"/>
                <w:lang w:eastAsia="en-GB"/>
              </w:rPr>
            </w:pPr>
          </w:p>
        </w:tc>
        <w:tc>
          <w:tcPr>
            <w:tcW w:w="6146" w:type="dxa"/>
            <w:gridSpan w:val="3"/>
            <w:vMerge/>
            <w:tcBorders>
              <w:top w:val="single" w:sz="8" w:space="0" w:color="auto"/>
              <w:left w:val="single" w:sz="8" w:space="0" w:color="auto"/>
              <w:bottom w:val="single" w:sz="8" w:space="0" w:color="000000"/>
              <w:right w:val="single" w:sz="8" w:space="0" w:color="000000"/>
            </w:tcBorders>
            <w:vAlign w:val="center"/>
            <w:hideMark/>
          </w:tcPr>
          <w:p w14:paraId="28173A7D"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545F5F6A" w14:textId="77777777" w:rsidTr="0057310C">
        <w:trPr>
          <w:trHeight w:val="780"/>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06DC8C0E"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46" w:type="dxa"/>
            <w:gridSpan w:val="3"/>
            <w:tcBorders>
              <w:top w:val="single" w:sz="8" w:space="0" w:color="auto"/>
              <w:left w:val="nil"/>
              <w:bottom w:val="single" w:sz="8" w:space="0" w:color="auto"/>
              <w:right w:val="single" w:sz="8" w:space="0" w:color="000000"/>
            </w:tcBorders>
            <w:vAlign w:val="center"/>
            <w:hideMark/>
          </w:tcPr>
          <w:p w14:paraId="55F59993" w14:textId="77777777" w:rsidR="00854ADA" w:rsidRPr="00FF386D" w:rsidRDefault="00854ADA" w:rsidP="00854ADA">
            <w:pPr>
              <w:numPr>
                <w:ilvl w:val="0"/>
                <w:numId w:val="33"/>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Закон о енергетици</w:t>
            </w:r>
          </w:p>
          <w:p w14:paraId="4A1187D9" w14:textId="77777777" w:rsidR="00854ADA" w:rsidRPr="00FF386D" w:rsidRDefault="00854ADA" w:rsidP="00854ADA">
            <w:pPr>
              <w:numPr>
                <w:ilvl w:val="0"/>
                <w:numId w:val="33"/>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Закон o обавезним резервама нафте и деривата нафте</w:t>
            </w:r>
          </w:p>
          <w:p w14:paraId="1D957BCE" w14:textId="77777777" w:rsidR="00854ADA" w:rsidRPr="00FF386D" w:rsidRDefault="00854ADA" w:rsidP="00854ADA">
            <w:pPr>
              <w:numPr>
                <w:ilvl w:val="0"/>
                <w:numId w:val="33"/>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Aкциони план за формирање и одржавање обавезних резерви сирове нафте и деривата нафте (2017 - 2022)</w:t>
            </w:r>
          </w:p>
          <w:p w14:paraId="0ABB5DDD" w14:textId="77777777" w:rsidR="00854ADA" w:rsidRPr="000A2AFE" w:rsidRDefault="00854ADA" w:rsidP="00854ADA">
            <w:pPr>
              <w:numPr>
                <w:ilvl w:val="0"/>
                <w:numId w:val="33"/>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Уредба о плану и критеријумима набавке за формирање обавезних резерви (2016)</w:t>
            </w:r>
          </w:p>
          <w:p w14:paraId="510C9A76" w14:textId="75EB94B1" w:rsidR="00854ADA" w:rsidRDefault="00854ADA" w:rsidP="00854ADA">
            <w:pPr>
              <w:numPr>
                <w:ilvl w:val="0"/>
                <w:numId w:val="33"/>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Правилник о утврђивању годишњег програма обавезних резерви нафте</w:t>
            </w:r>
            <w:r w:rsidR="009E4C0B" w:rsidRPr="000A2AFE">
              <w:rPr>
                <w:rFonts w:asciiTheme="majorHAnsi" w:eastAsia="Times New Roman" w:hAnsiTheme="majorHAnsi" w:cstheme="majorHAnsi"/>
                <w:color w:val="000000"/>
                <w:sz w:val="20"/>
                <w:szCs w:val="20"/>
                <w:lang w:eastAsia="en-GB"/>
              </w:rPr>
              <w:t xml:space="preserve"> (2019), План реаговања у ванредним ситуацијама (2019)</w:t>
            </w:r>
          </w:p>
          <w:p w14:paraId="6B8E7D07" w14:textId="675356D3" w:rsidR="00854ADA" w:rsidRPr="00074ED3" w:rsidRDefault="00411D36" w:rsidP="00565B02">
            <w:pPr>
              <w:numPr>
                <w:ilvl w:val="0"/>
                <w:numId w:val="33"/>
              </w:numPr>
              <w:spacing w:after="0" w:line="240" w:lineRule="auto"/>
              <w:contextualSpacing/>
              <w:jc w:val="both"/>
              <w:rPr>
                <w:rFonts w:asciiTheme="majorHAnsi" w:eastAsia="Times New Roman" w:hAnsiTheme="majorHAnsi" w:cstheme="majorHAnsi"/>
                <w:color w:val="000000"/>
                <w:sz w:val="20"/>
                <w:szCs w:val="20"/>
                <w:lang w:eastAsia="en-GB"/>
              </w:rPr>
            </w:pPr>
            <w:r w:rsidRPr="00411D36">
              <w:rPr>
                <w:rFonts w:asciiTheme="majorHAnsi" w:eastAsia="Times New Roman" w:hAnsiTheme="majorHAnsi" w:cstheme="majorHAnsi"/>
                <w:color w:val="000000"/>
                <w:sz w:val="20"/>
                <w:szCs w:val="20"/>
                <w:lang w:eastAsia="en-GB"/>
              </w:rPr>
              <w:t>Уредба о оперативним резервама деривата нафте, угља и других</w:t>
            </w:r>
            <w:r>
              <w:rPr>
                <w:rFonts w:asciiTheme="majorHAnsi" w:eastAsia="Times New Roman" w:hAnsiTheme="majorHAnsi" w:cstheme="majorHAnsi"/>
                <w:color w:val="000000"/>
                <w:sz w:val="20"/>
                <w:szCs w:val="20"/>
                <w:lang w:val="sr-Latn-RS" w:eastAsia="en-GB"/>
              </w:rPr>
              <w:t xml:space="preserve"> </w:t>
            </w:r>
            <w:r w:rsidR="000E6E8B">
              <w:rPr>
                <w:rFonts w:asciiTheme="majorHAnsi" w:eastAsia="Times New Roman" w:hAnsiTheme="majorHAnsi" w:cstheme="majorHAnsi"/>
                <w:color w:val="000000"/>
                <w:sz w:val="20"/>
                <w:szCs w:val="20"/>
                <w:lang w:eastAsia="en-GB"/>
              </w:rPr>
              <w:t>енергената</w:t>
            </w:r>
            <w:r>
              <w:rPr>
                <w:rFonts w:asciiTheme="majorHAnsi" w:eastAsia="Times New Roman" w:hAnsiTheme="majorHAnsi" w:cstheme="majorHAnsi"/>
                <w:color w:val="000000"/>
                <w:sz w:val="20"/>
                <w:szCs w:val="20"/>
                <w:lang w:val="sr-Latn-RS" w:eastAsia="en-GB"/>
              </w:rPr>
              <w:t xml:space="preserve"> (2021)</w:t>
            </w:r>
          </w:p>
        </w:tc>
      </w:tr>
      <w:tr w:rsidR="00854ADA" w:rsidRPr="00FF386D" w14:paraId="27E5CDCC" w14:textId="77777777" w:rsidTr="0057310C">
        <w:trPr>
          <w:trHeight w:val="315"/>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69DC58AC"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46" w:type="dxa"/>
            <w:gridSpan w:val="3"/>
            <w:tcBorders>
              <w:top w:val="single" w:sz="8" w:space="0" w:color="auto"/>
              <w:left w:val="nil"/>
              <w:bottom w:val="single" w:sz="8" w:space="0" w:color="auto"/>
              <w:right w:val="single" w:sz="8" w:space="0" w:color="000000"/>
            </w:tcBorders>
            <w:vAlign w:val="center"/>
            <w:hideMark/>
          </w:tcPr>
          <w:p w14:paraId="45429F4B"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0,5 милиона евра</w:t>
            </w:r>
          </w:p>
        </w:tc>
      </w:tr>
      <w:tr w:rsidR="00854ADA" w:rsidRPr="00FF386D" w14:paraId="5B4A4CC6" w14:textId="77777777" w:rsidTr="0057310C">
        <w:trPr>
          <w:trHeight w:val="315"/>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3614E4E0"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46" w:type="dxa"/>
            <w:gridSpan w:val="3"/>
            <w:tcBorders>
              <w:top w:val="single" w:sz="8" w:space="0" w:color="auto"/>
              <w:left w:val="nil"/>
              <w:bottom w:val="single" w:sz="8" w:space="0" w:color="auto"/>
              <w:right w:val="single" w:sz="8" w:space="0" w:color="000000"/>
            </w:tcBorders>
            <w:vAlign w:val="center"/>
            <w:hideMark/>
          </w:tcPr>
          <w:p w14:paraId="5A9D3014" w14:textId="1F56DAC2" w:rsidR="00854ADA" w:rsidRPr="00FF386D" w:rsidRDefault="00DF13B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Средства од обвезника</w:t>
            </w:r>
          </w:p>
        </w:tc>
      </w:tr>
    </w:tbl>
    <w:p w14:paraId="4C703C25" w14:textId="77777777" w:rsidR="00854ADA" w:rsidRPr="00FF386D" w:rsidRDefault="00854ADA" w:rsidP="00854ADA">
      <w:pPr>
        <w:spacing w:before="120" w:after="120" w:line="240" w:lineRule="auto"/>
        <w:jc w:val="both"/>
        <w:rPr>
          <w:rFonts w:asciiTheme="majorHAnsi" w:eastAsia="Times New Roman" w:hAnsiTheme="majorHAnsi" w:cstheme="majorHAnsi"/>
          <w:sz w:val="20"/>
          <w:szCs w:val="20"/>
          <w:lang w:eastAsia="el-GR"/>
        </w:rPr>
      </w:pPr>
    </w:p>
    <w:tbl>
      <w:tblPr>
        <w:tblW w:w="9488" w:type="dxa"/>
        <w:tblLook w:val="04A0" w:firstRow="1" w:lastRow="0" w:firstColumn="1" w:lastColumn="0" w:noHBand="0" w:noVBand="1"/>
      </w:tblPr>
      <w:tblGrid>
        <w:gridCol w:w="3342"/>
        <w:gridCol w:w="941"/>
        <w:gridCol w:w="945"/>
        <w:gridCol w:w="4260"/>
      </w:tblGrid>
      <w:tr w:rsidR="00854ADA" w:rsidRPr="00FF386D" w14:paraId="7F79E372" w14:textId="77777777" w:rsidTr="0057310C">
        <w:trPr>
          <w:trHeight w:val="780"/>
        </w:trPr>
        <w:tc>
          <w:tcPr>
            <w:tcW w:w="3342"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08C026B8" w14:textId="01199581" w:rsidR="00854ADA" w:rsidRPr="00FF386D" w:rsidRDefault="00DB1C84" w:rsidP="00854ADA">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 xml:space="preserve">: </w:t>
            </w:r>
          </w:p>
        </w:tc>
        <w:tc>
          <w:tcPr>
            <w:tcW w:w="941" w:type="dxa"/>
            <w:tcBorders>
              <w:top w:val="single" w:sz="8" w:space="0" w:color="auto"/>
              <w:left w:val="nil"/>
              <w:bottom w:val="single" w:sz="8" w:space="0" w:color="auto"/>
              <w:right w:val="single" w:sz="8" w:space="0" w:color="auto"/>
            </w:tcBorders>
            <w:shd w:val="clear" w:color="auto" w:fill="E7E6E6" w:themeFill="background2"/>
            <w:vAlign w:val="center"/>
            <w:hideMark/>
          </w:tcPr>
          <w:p w14:paraId="4E9A1B10" w14:textId="77777777"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МП_ЕС5</w:t>
            </w:r>
          </w:p>
        </w:tc>
        <w:tc>
          <w:tcPr>
            <w:tcW w:w="945" w:type="dxa"/>
            <w:tcBorders>
              <w:top w:val="single" w:sz="8" w:space="0" w:color="auto"/>
              <w:left w:val="nil"/>
              <w:bottom w:val="single" w:sz="8" w:space="0" w:color="auto"/>
              <w:right w:val="single" w:sz="8" w:space="0" w:color="auto"/>
            </w:tcBorders>
            <w:shd w:val="clear" w:color="auto" w:fill="244062"/>
            <w:vAlign w:val="center"/>
            <w:hideMark/>
          </w:tcPr>
          <w:p w14:paraId="090D13D3"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Назив</w:t>
            </w:r>
            <w:r w:rsidRPr="000A2AFE">
              <w:rPr>
                <w:rFonts w:asciiTheme="majorHAnsi" w:eastAsia="Times New Roman" w:hAnsiTheme="majorHAnsi" w:cstheme="majorHAnsi"/>
                <w:b/>
                <w:bCs/>
                <w:color w:val="FFFFFF"/>
                <w:sz w:val="20"/>
                <w:szCs w:val="20"/>
                <w:lang w:eastAsia="en-GB"/>
              </w:rPr>
              <w:t xml:space="preserve">: </w:t>
            </w:r>
          </w:p>
        </w:tc>
        <w:tc>
          <w:tcPr>
            <w:tcW w:w="4260" w:type="dxa"/>
            <w:tcBorders>
              <w:top w:val="single" w:sz="8" w:space="0" w:color="auto"/>
              <w:left w:val="nil"/>
              <w:bottom w:val="single" w:sz="8" w:space="0" w:color="auto"/>
              <w:right w:val="single" w:sz="8" w:space="0" w:color="auto"/>
            </w:tcBorders>
            <w:shd w:val="clear" w:color="auto" w:fill="E7E6E6" w:themeFill="background2"/>
            <w:vAlign w:val="center"/>
            <w:hideMark/>
          </w:tcPr>
          <w:p w14:paraId="55BE456A" w14:textId="484C923A" w:rsidR="00854ADA" w:rsidRPr="00FF386D" w:rsidRDefault="00A02F04" w:rsidP="00854ADA">
            <w:pPr>
              <w:spacing w:after="0" w:line="240" w:lineRule="auto"/>
              <w:rPr>
                <w:rFonts w:asciiTheme="majorHAnsi" w:eastAsia="Times New Roman" w:hAnsiTheme="majorHAnsi" w:cstheme="majorHAnsi"/>
                <w:b/>
                <w:bCs/>
                <w:color w:val="000000"/>
                <w:sz w:val="20"/>
                <w:szCs w:val="20"/>
                <w:lang w:eastAsia="en-GB"/>
              </w:rPr>
            </w:pPr>
            <w:r>
              <w:rPr>
                <w:rFonts w:ascii="Calibri Light" w:hAnsi="Calibri Light"/>
                <w:b/>
                <w:sz w:val="20"/>
              </w:rPr>
              <w:t xml:space="preserve">Формирање </w:t>
            </w:r>
            <w:r w:rsidR="00854ADA" w:rsidRPr="00FF386D">
              <w:rPr>
                <w:rFonts w:ascii="Calibri Light" w:hAnsi="Calibri Light"/>
                <w:b/>
                <w:sz w:val="20"/>
              </w:rPr>
              <w:t>обавезних резерви природног гаса</w:t>
            </w:r>
          </w:p>
        </w:tc>
      </w:tr>
      <w:tr w:rsidR="00854ADA" w:rsidRPr="00FF386D" w14:paraId="354A1207" w14:textId="77777777" w:rsidTr="0057310C">
        <w:trPr>
          <w:trHeight w:val="588"/>
        </w:trPr>
        <w:tc>
          <w:tcPr>
            <w:tcW w:w="3342" w:type="dxa"/>
            <w:tcBorders>
              <w:top w:val="nil"/>
              <w:left w:val="single" w:sz="8" w:space="0" w:color="auto"/>
              <w:bottom w:val="single" w:sz="8" w:space="0" w:color="auto"/>
              <w:right w:val="nil"/>
            </w:tcBorders>
            <w:shd w:val="clear" w:color="000000" w:fill="244062"/>
            <w:vAlign w:val="center"/>
            <w:hideMark/>
          </w:tcPr>
          <w:p w14:paraId="02179ADB"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146" w:type="dxa"/>
            <w:gridSpan w:val="3"/>
            <w:tcBorders>
              <w:top w:val="single" w:sz="8" w:space="0" w:color="auto"/>
              <w:left w:val="nil"/>
              <w:bottom w:val="single" w:sz="8" w:space="0" w:color="auto"/>
              <w:right w:val="single" w:sz="8" w:space="0" w:color="000000"/>
            </w:tcBorders>
            <w:vAlign w:val="center"/>
          </w:tcPr>
          <w:p w14:paraId="5E9C8292"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Отпорност у случају ограничења или прекида у снабдевању енергентом, флексибилност националног енергетског система</w:t>
            </w:r>
          </w:p>
        </w:tc>
      </w:tr>
      <w:tr w:rsidR="00854ADA" w:rsidRPr="00FF386D" w14:paraId="4AC8A761" w14:textId="77777777" w:rsidTr="0057310C">
        <w:trPr>
          <w:trHeight w:val="315"/>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75A2721A"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Квантификовани циљ: </w:t>
            </w:r>
          </w:p>
        </w:tc>
        <w:tc>
          <w:tcPr>
            <w:tcW w:w="6146" w:type="dxa"/>
            <w:gridSpan w:val="3"/>
            <w:tcBorders>
              <w:top w:val="single" w:sz="8" w:space="0" w:color="auto"/>
              <w:left w:val="nil"/>
              <w:bottom w:val="single" w:sz="8" w:space="0" w:color="auto"/>
              <w:right w:val="single" w:sz="8" w:space="0" w:color="000000"/>
            </w:tcBorders>
            <w:vAlign w:val="center"/>
          </w:tcPr>
          <w:p w14:paraId="74004E4C" w14:textId="152AC9BD"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Ниво </w:t>
            </w:r>
            <w:r w:rsidR="009E4C0B" w:rsidRPr="00FF386D">
              <w:rPr>
                <w:rFonts w:ascii="Calibri Light" w:hAnsi="Calibri Light"/>
                <w:sz w:val="20"/>
              </w:rPr>
              <w:t xml:space="preserve">резерви </w:t>
            </w:r>
            <w:r w:rsidRPr="00FF386D">
              <w:rPr>
                <w:rFonts w:ascii="Calibri Light" w:hAnsi="Calibri Light"/>
                <w:sz w:val="20"/>
              </w:rPr>
              <w:t xml:space="preserve">гаса у складишту који </w:t>
            </w:r>
            <w:r w:rsidR="009E4C0B" w:rsidRPr="00FF386D">
              <w:rPr>
                <w:rFonts w:ascii="Calibri Light" w:hAnsi="Calibri Light"/>
                <w:sz w:val="20"/>
              </w:rPr>
              <w:t xml:space="preserve">су најмање једнаке тридесетодневним потребама </w:t>
            </w:r>
            <w:r w:rsidRPr="00FF386D">
              <w:rPr>
                <w:rFonts w:ascii="Calibri Light" w:hAnsi="Calibri Light"/>
                <w:sz w:val="20"/>
              </w:rPr>
              <w:t>потрошача</w:t>
            </w:r>
          </w:p>
        </w:tc>
      </w:tr>
      <w:tr w:rsidR="00854ADA" w:rsidRPr="00FF386D" w14:paraId="46A4B4AC" w14:textId="77777777" w:rsidTr="0057310C">
        <w:trPr>
          <w:trHeight w:val="692"/>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0ECA1220"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146" w:type="dxa"/>
            <w:gridSpan w:val="3"/>
            <w:tcBorders>
              <w:top w:val="single" w:sz="8" w:space="0" w:color="auto"/>
              <w:left w:val="nil"/>
              <w:bottom w:val="single" w:sz="8" w:space="0" w:color="auto"/>
              <w:right w:val="single" w:sz="8" w:space="0" w:color="000000"/>
            </w:tcBorders>
            <w:vAlign w:val="center"/>
            <w:hideMark/>
          </w:tcPr>
          <w:p w14:paraId="44A3E76D" w14:textId="3C928686" w:rsidR="00854ADA" w:rsidRDefault="00854ADA" w:rsidP="00854ADA">
            <w:pPr>
              <w:spacing w:after="0" w:line="240" w:lineRule="auto"/>
              <w:jc w:val="both"/>
              <w:rPr>
                <w:rFonts w:ascii="Calibri Light" w:hAnsi="Calibri Light"/>
                <w:sz w:val="20"/>
              </w:rPr>
            </w:pPr>
            <w:r w:rsidRPr="00FF386D">
              <w:rPr>
                <w:rFonts w:ascii="Calibri Light" w:hAnsi="Calibri Light"/>
                <w:sz w:val="20"/>
              </w:rPr>
              <w:t xml:space="preserve">У складу са Законом о енергетици, енергетски субјекти који обављају енергетску делатност снабдевања природним гасом дужни су да обезбеде обавезне резерве природног гаса у количини која задовољава </w:t>
            </w:r>
            <w:r w:rsidR="009E4C0B" w:rsidRPr="00FF386D">
              <w:rPr>
                <w:rFonts w:ascii="Calibri Light" w:hAnsi="Calibri Light"/>
                <w:sz w:val="20"/>
              </w:rPr>
              <w:t xml:space="preserve">најмање тридесетодневне </w:t>
            </w:r>
            <w:r w:rsidRPr="00FF386D">
              <w:rPr>
                <w:rFonts w:ascii="Calibri Light" w:hAnsi="Calibri Light"/>
                <w:sz w:val="20"/>
              </w:rPr>
              <w:t xml:space="preserve">просечне потребе ових </w:t>
            </w:r>
            <w:r w:rsidR="004609F7">
              <w:rPr>
                <w:rFonts w:ascii="Calibri Light" w:hAnsi="Calibri Light"/>
                <w:sz w:val="20"/>
              </w:rPr>
              <w:t>купац</w:t>
            </w:r>
            <w:r w:rsidR="004609F7" w:rsidRPr="00FF386D">
              <w:rPr>
                <w:rFonts w:ascii="Calibri Light" w:hAnsi="Calibri Light"/>
                <w:sz w:val="20"/>
              </w:rPr>
              <w:t xml:space="preserve">а </w:t>
            </w:r>
            <w:r w:rsidRPr="00FF386D">
              <w:rPr>
                <w:rFonts w:ascii="Calibri Light" w:hAnsi="Calibri Light"/>
                <w:sz w:val="20"/>
              </w:rPr>
              <w:t>у текућој години.</w:t>
            </w:r>
          </w:p>
          <w:p w14:paraId="79261FF3" w14:textId="55FAB82B" w:rsidR="00411D36" w:rsidRPr="00FF386D" w:rsidRDefault="00411D36" w:rsidP="00854ADA">
            <w:pPr>
              <w:spacing w:after="0" w:line="240" w:lineRule="auto"/>
              <w:jc w:val="both"/>
              <w:rPr>
                <w:rFonts w:asciiTheme="majorHAnsi" w:eastAsia="Times New Roman" w:hAnsiTheme="majorHAnsi" w:cstheme="majorHAnsi"/>
                <w:color w:val="000000"/>
                <w:sz w:val="20"/>
                <w:szCs w:val="20"/>
                <w:lang w:eastAsia="en-GB"/>
              </w:rPr>
            </w:pPr>
            <w:r w:rsidRPr="00411D36">
              <w:rPr>
                <w:rFonts w:asciiTheme="majorHAnsi" w:eastAsia="Times New Roman" w:hAnsiTheme="majorHAnsi" w:cstheme="majorHAnsi"/>
                <w:color w:val="000000"/>
                <w:sz w:val="20"/>
                <w:szCs w:val="20"/>
                <w:lang w:eastAsia="en-GB"/>
              </w:rPr>
              <w:t>Ова мера политике се ексклузивно односи на правне и регулаторне реформе које су неопходне како би се створиле обавезне резерве</w:t>
            </w:r>
            <w:r>
              <w:rPr>
                <w:rFonts w:asciiTheme="majorHAnsi" w:eastAsia="Times New Roman" w:hAnsiTheme="majorHAnsi" w:cstheme="majorHAnsi"/>
                <w:color w:val="000000"/>
                <w:sz w:val="20"/>
                <w:szCs w:val="20"/>
                <w:lang w:eastAsia="en-GB"/>
              </w:rPr>
              <w:t xml:space="preserve"> природног гаса</w:t>
            </w:r>
            <w:r w:rsidRPr="00411D36">
              <w:rPr>
                <w:rFonts w:asciiTheme="majorHAnsi" w:eastAsia="Times New Roman" w:hAnsiTheme="majorHAnsi" w:cstheme="majorHAnsi"/>
                <w:color w:val="000000"/>
                <w:sz w:val="20"/>
                <w:szCs w:val="20"/>
                <w:lang w:eastAsia="en-GB"/>
              </w:rPr>
              <w:t>. Било кој</w:t>
            </w:r>
            <w:r w:rsidR="001F12FD">
              <w:rPr>
                <w:rFonts w:asciiTheme="majorHAnsi" w:eastAsia="Times New Roman" w:hAnsiTheme="majorHAnsi" w:cstheme="majorHAnsi"/>
                <w:color w:val="000000"/>
                <w:sz w:val="20"/>
                <w:szCs w:val="20"/>
                <w:lang w:eastAsia="en-GB"/>
              </w:rPr>
              <w:t>и</w:t>
            </w:r>
            <w:r w:rsidRPr="00411D36">
              <w:rPr>
                <w:rFonts w:asciiTheme="majorHAnsi" w:eastAsia="Times New Roman" w:hAnsiTheme="majorHAnsi" w:cstheme="majorHAnsi"/>
                <w:color w:val="000000"/>
                <w:sz w:val="20"/>
                <w:szCs w:val="20"/>
                <w:lang w:eastAsia="en-GB"/>
              </w:rPr>
              <w:t xml:space="preserve"> додатни и</w:t>
            </w:r>
            <w:r w:rsidR="000E6E8B">
              <w:rPr>
                <w:rFonts w:asciiTheme="majorHAnsi" w:eastAsia="Times New Roman" w:hAnsiTheme="majorHAnsi" w:cstheme="majorHAnsi"/>
                <w:color w:val="000000"/>
                <w:sz w:val="20"/>
                <w:szCs w:val="20"/>
                <w:lang w:eastAsia="en-GB"/>
              </w:rPr>
              <w:t>н</w:t>
            </w:r>
            <w:r w:rsidRPr="00411D36">
              <w:rPr>
                <w:rFonts w:asciiTheme="majorHAnsi" w:eastAsia="Times New Roman" w:hAnsiTheme="majorHAnsi" w:cstheme="majorHAnsi"/>
                <w:color w:val="000000"/>
                <w:sz w:val="20"/>
                <w:szCs w:val="20"/>
                <w:lang w:eastAsia="en-GB"/>
              </w:rPr>
              <w:t>вестициони трошкови неопходни за имплементацију биће подвргнути темељној контроли у оквиру свеобухватних акционих планова.</w:t>
            </w:r>
          </w:p>
        </w:tc>
      </w:tr>
      <w:tr w:rsidR="00854ADA" w:rsidRPr="00FF386D" w14:paraId="4A32345C" w14:textId="77777777" w:rsidTr="0057310C">
        <w:trPr>
          <w:trHeight w:val="315"/>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37B40D04"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146" w:type="dxa"/>
            <w:gridSpan w:val="3"/>
            <w:tcBorders>
              <w:top w:val="single" w:sz="8" w:space="0" w:color="auto"/>
              <w:left w:val="nil"/>
              <w:bottom w:val="single" w:sz="8" w:space="0" w:color="auto"/>
              <w:right w:val="single" w:sz="8" w:space="0" w:color="000000"/>
            </w:tcBorders>
            <w:vAlign w:val="center"/>
            <w:hideMark/>
          </w:tcPr>
          <w:p w14:paraId="116426D3"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2021-2030.</w:t>
            </w:r>
          </w:p>
        </w:tc>
      </w:tr>
      <w:tr w:rsidR="00854ADA" w:rsidRPr="00FF386D" w14:paraId="73F13AFE" w14:textId="77777777" w:rsidTr="0057310C">
        <w:trPr>
          <w:trHeight w:val="315"/>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030F80BF"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Тип мере</w:t>
            </w:r>
          </w:p>
        </w:tc>
        <w:tc>
          <w:tcPr>
            <w:tcW w:w="6146" w:type="dxa"/>
            <w:gridSpan w:val="3"/>
            <w:tcBorders>
              <w:top w:val="single" w:sz="8" w:space="0" w:color="auto"/>
              <w:left w:val="nil"/>
              <w:bottom w:val="single" w:sz="8" w:space="0" w:color="auto"/>
              <w:right w:val="single" w:sz="8" w:space="0" w:color="000000"/>
            </w:tcBorders>
            <w:vAlign w:val="center"/>
            <w:hideMark/>
          </w:tcPr>
          <w:p w14:paraId="04CAD244"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Реформа</w:t>
            </w:r>
          </w:p>
        </w:tc>
      </w:tr>
      <w:tr w:rsidR="00854ADA" w:rsidRPr="00FF386D" w14:paraId="22878029" w14:textId="77777777" w:rsidTr="0057310C">
        <w:trPr>
          <w:trHeight w:val="315"/>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08710D44"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146" w:type="dxa"/>
            <w:gridSpan w:val="3"/>
            <w:tcBorders>
              <w:top w:val="single" w:sz="8" w:space="0" w:color="auto"/>
              <w:left w:val="nil"/>
              <w:bottom w:val="single" w:sz="8" w:space="0" w:color="auto"/>
              <w:right w:val="single" w:sz="8" w:space="0" w:color="000000"/>
            </w:tcBorders>
            <w:vAlign w:val="center"/>
            <w:hideMark/>
          </w:tcPr>
          <w:p w14:paraId="74169CBA"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Гасни</w:t>
            </w:r>
          </w:p>
        </w:tc>
      </w:tr>
      <w:tr w:rsidR="00854ADA" w:rsidRPr="00FF386D" w14:paraId="65031709" w14:textId="77777777" w:rsidTr="0057310C">
        <w:trPr>
          <w:trHeight w:val="315"/>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434C70A6"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146" w:type="dxa"/>
            <w:gridSpan w:val="3"/>
            <w:tcBorders>
              <w:top w:val="single" w:sz="8" w:space="0" w:color="auto"/>
              <w:left w:val="nil"/>
              <w:bottom w:val="single" w:sz="8" w:space="0" w:color="auto"/>
              <w:right w:val="single" w:sz="8" w:space="0" w:color="000000"/>
            </w:tcBorders>
            <w:vAlign w:val="center"/>
            <w:hideMark/>
          </w:tcPr>
          <w:p w14:paraId="668A5C48" w14:textId="77777777" w:rsidR="00854ADA" w:rsidRPr="00FF386D" w:rsidRDefault="00854ADA" w:rsidP="00854ADA">
            <w:pPr>
              <w:numPr>
                <w:ilvl w:val="0"/>
                <w:numId w:val="35"/>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Снабдевачи</w:t>
            </w:r>
          </w:p>
        </w:tc>
      </w:tr>
      <w:tr w:rsidR="00854ADA" w:rsidRPr="00FF386D" w14:paraId="29B30B92" w14:textId="77777777" w:rsidTr="0057310C">
        <w:trPr>
          <w:trHeight w:val="315"/>
        </w:trPr>
        <w:tc>
          <w:tcPr>
            <w:tcW w:w="3342" w:type="dxa"/>
            <w:tcBorders>
              <w:top w:val="nil"/>
              <w:left w:val="single" w:sz="8" w:space="0" w:color="auto"/>
              <w:bottom w:val="single" w:sz="8" w:space="0" w:color="auto"/>
              <w:right w:val="nil"/>
            </w:tcBorders>
            <w:shd w:val="clear" w:color="000000" w:fill="244062"/>
            <w:vAlign w:val="center"/>
            <w:hideMark/>
          </w:tcPr>
          <w:p w14:paraId="4297AF27"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146" w:type="dxa"/>
            <w:gridSpan w:val="3"/>
            <w:tcBorders>
              <w:top w:val="single" w:sz="8" w:space="0" w:color="auto"/>
              <w:left w:val="nil"/>
              <w:bottom w:val="single" w:sz="8" w:space="0" w:color="auto"/>
              <w:right w:val="single" w:sz="8" w:space="0" w:color="000000"/>
            </w:tcBorders>
            <w:vAlign w:val="center"/>
            <w:hideMark/>
          </w:tcPr>
          <w:p w14:paraId="502740CF" w14:textId="77777777" w:rsidR="00854ADA" w:rsidRPr="00FF386D" w:rsidRDefault="00854ADA" w:rsidP="00854ADA">
            <w:pPr>
              <w:numPr>
                <w:ilvl w:val="0"/>
                <w:numId w:val="3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Управа за резерве енергената</w:t>
            </w:r>
          </w:p>
          <w:p w14:paraId="0CEE36A5" w14:textId="77777777" w:rsidR="00854ADA" w:rsidRPr="00FF386D" w:rsidRDefault="00854ADA" w:rsidP="00854ADA">
            <w:pPr>
              <w:numPr>
                <w:ilvl w:val="0"/>
                <w:numId w:val="35"/>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рударства и енергетике</w:t>
            </w:r>
          </w:p>
        </w:tc>
      </w:tr>
      <w:tr w:rsidR="00854ADA" w:rsidRPr="00FF386D" w14:paraId="7B61AD18" w14:textId="77777777" w:rsidTr="0057310C">
        <w:trPr>
          <w:trHeight w:val="315"/>
        </w:trPr>
        <w:tc>
          <w:tcPr>
            <w:tcW w:w="3342" w:type="dxa"/>
            <w:tcBorders>
              <w:top w:val="nil"/>
              <w:left w:val="single" w:sz="8" w:space="0" w:color="auto"/>
              <w:bottom w:val="single" w:sz="8" w:space="0" w:color="auto"/>
              <w:right w:val="nil"/>
            </w:tcBorders>
            <w:shd w:val="clear" w:color="000000" w:fill="244062"/>
            <w:vAlign w:val="center"/>
            <w:hideMark/>
          </w:tcPr>
          <w:p w14:paraId="54CF9949"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146" w:type="dxa"/>
            <w:gridSpan w:val="3"/>
            <w:tcBorders>
              <w:top w:val="single" w:sz="8" w:space="0" w:color="auto"/>
              <w:left w:val="nil"/>
              <w:bottom w:val="single" w:sz="8" w:space="0" w:color="auto"/>
              <w:right w:val="single" w:sz="8" w:space="0" w:color="000000"/>
            </w:tcBorders>
            <w:vAlign w:val="center"/>
            <w:hideMark/>
          </w:tcPr>
          <w:p w14:paraId="3B3856AB" w14:textId="03AD0934"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Количина енерг</w:t>
            </w:r>
            <w:r w:rsidR="009E4C0B" w:rsidRPr="00FF386D">
              <w:rPr>
                <w:rFonts w:asciiTheme="majorHAnsi" w:eastAsia="Times New Roman" w:hAnsiTheme="majorHAnsi" w:cstheme="majorHAnsi"/>
                <w:color w:val="000000"/>
                <w:sz w:val="20"/>
                <w:szCs w:val="20"/>
                <w:lang w:eastAsia="en-GB"/>
              </w:rPr>
              <w:t>ента</w:t>
            </w:r>
            <w:r w:rsidRPr="00FF386D">
              <w:rPr>
                <w:rFonts w:asciiTheme="majorHAnsi" w:eastAsia="Times New Roman" w:hAnsiTheme="majorHAnsi" w:cstheme="majorHAnsi"/>
                <w:color w:val="000000"/>
                <w:sz w:val="20"/>
                <w:szCs w:val="20"/>
                <w:lang w:eastAsia="en-GB"/>
              </w:rPr>
              <w:t xml:space="preserve"> у резерви према </w:t>
            </w:r>
            <w:r w:rsidR="009E4C0B" w:rsidRPr="00FF386D">
              <w:rPr>
                <w:rFonts w:asciiTheme="majorHAnsi" w:eastAsia="Times New Roman" w:hAnsiTheme="majorHAnsi" w:cstheme="majorHAnsi"/>
                <w:color w:val="000000"/>
                <w:sz w:val="20"/>
                <w:szCs w:val="20"/>
                <w:lang w:eastAsia="en-GB"/>
              </w:rPr>
              <w:t>енергенту</w:t>
            </w:r>
          </w:p>
        </w:tc>
      </w:tr>
      <w:tr w:rsidR="00854ADA" w:rsidRPr="00FF386D" w14:paraId="605975F3" w14:textId="77777777" w:rsidTr="0057310C">
        <w:trPr>
          <w:trHeight w:val="491"/>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6D3A5CCA"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146" w:type="dxa"/>
            <w:gridSpan w:val="3"/>
            <w:tcBorders>
              <w:top w:val="single" w:sz="8" w:space="0" w:color="auto"/>
              <w:left w:val="nil"/>
              <w:bottom w:val="single" w:sz="8" w:space="0" w:color="auto"/>
              <w:right w:val="single" w:sz="8" w:space="0" w:color="000000"/>
            </w:tcBorders>
            <w:vAlign w:val="center"/>
            <w:hideMark/>
          </w:tcPr>
          <w:p w14:paraId="7306A0F3"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p>
        </w:tc>
      </w:tr>
      <w:tr w:rsidR="00124474" w:rsidRPr="00FF386D" w14:paraId="2E45E8D9" w14:textId="77777777" w:rsidTr="0057310C">
        <w:trPr>
          <w:trHeight w:val="491"/>
        </w:trPr>
        <w:tc>
          <w:tcPr>
            <w:tcW w:w="3342" w:type="dxa"/>
            <w:tcBorders>
              <w:top w:val="nil"/>
              <w:left w:val="single" w:sz="8" w:space="0" w:color="auto"/>
              <w:bottom w:val="single" w:sz="8" w:space="0" w:color="auto"/>
              <w:right w:val="single" w:sz="8" w:space="0" w:color="auto"/>
            </w:tcBorders>
            <w:shd w:val="clear" w:color="000000" w:fill="244062"/>
            <w:vAlign w:val="center"/>
          </w:tcPr>
          <w:p w14:paraId="6F53C304" w14:textId="66035C75" w:rsidR="00124474" w:rsidRPr="00124474" w:rsidRDefault="00124474" w:rsidP="00854ADA">
            <w:pPr>
              <w:spacing w:after="0" w:line="240" w:lineRule="auto"/>
              <w:rPr>
                <w:rFonts w:ascii="Calibri Light" w:eastAsia="Times New Roman" w:hAnsi="Calibri Light" w:cs="Calibri Light"/>
                <w:b/>
                <w:bCs/>
                <w:color w:val="FFFFFF"/>
                <w:sz w:val="20"/>
                <w:szCs w:val="20"/>
                <w:lang w:eastAsia="en-GB"/>
              </w:rPr>
            </w:pPr>
            <w:r w:rsidRPr="00124474">
              <w:rPr>
                <w:rFonts w:ascii="Calibri Light" w:eastAsia="Times New Roman" w:hAnsi="Calibri Light" w:cs="Calibri Light"/>
                <w:b/>
                <w:bCs/>
                <w:color w:val="FFFFFF"/>
                <w:sz w:val="20"/>
                <w:szCs w:val="20"/>
                <w:lang w:eastAsia="en-GB"/>
              </w:rPr>
              <w:t>Политике Уније која су резултирале имплементацијом политике и мере</w:t>
            </w:r>
          </w:p>
        </w:tc>
        <w:tc>
          <w:tcPr>
            <w:tcW w:w="6146" w:type="dxa"/>
            <w:gridSpan w:val="3"/>
            <w:tcBorders>
              <w:top w:val="single" w:sz="8" w:space="0" w:color="auto"/>
              <w:left w:val="nil"/>
              <w:bottom w:val="single" w:sz="8" w:space="0" w:color="auto"/>
              <w:right w:val="single" w:sz="8" w:space="0" w:color="000000"/>
            </w:tcBorders>
            <w:vAlign w:val="center"/>
          </w:tcPr>
          <w:p w14:paraId="7B6D6197" w14:textId="77777777" w:rsidR="00124474" w:rsidRPr="00FF386D" w:rsidRDefault="00124474" w:rsidP="00854ADA">
            <w:pPr>
              <w:spacing w:after="0" w:line="240" w:lineRule="auto"/>
              <w:jc w:val="both"/>
              <w:rPr>
                <w:rFonts w:asciiTheme="majorHAnsi" w:eastAsia="Times New Roman" w:hAnsiTheme="majorHAnsi" w:cstheme="majorHAnsi"/>
                <w:color w:val="000000"/>
                <w:sz w:val="20"/>
                <w:szCs w:val="20"/>
                <w:lang w:eastAsia="en-GB"/>
              </w:rPr>
            </w:pPr>
          </w:p>
        </w:tc>
      </w:tr>
      <w:tr w:rsidR="00124474" w:rsidRPr="00FF386D" w14:paraId="24D05C36" w14:textId="77777777" w:rsidTr="0057310C">
        <w:trPr>
          <w:trHeight w:val="491"/>
        </w:trPr>
        <w:tc>
          <w:tcPr>
            <w:tcW w:w="3342" w:type="dxa"/>
            <w:tcBorders>
              <w:top w:val="nil"/>
              <w:left w:val="single" w:sz="8" w:space="0" w:color="auto"/>
              <w:bottom w:val="single" w:sz="8" w:space="0" w:color="auto"/>
              <w:right w:val="single" w:sz="8" w:space="0" w:color="auto"/>
            </w:tcBorders>
            <w:shd w:val="clear" w:color="000000" w:fill="244062"/>
            <w:vAlign w:val="center"/>
          </w:tcPr>
          <w:p w14:paraId="188EA4C3" w14:textId="2916BEAD" w:rsidR="00124474" w:rsidRPr="00124474" w:rsidRDefault="00124474" w:rsidP="00854ADA">
            <w:pPr>
              <w:spacing w:after="0" w:line="240" w:lineRule="auto"/>
              <w:rPr>
                <w:rFonts w:ascii="Calibri Light" w:eastAsia="Times New Roman" w:hAnsi="Calibri Light" w:cs="Calibri Light"/>
                <w:b/>
                <w:bCs/>
                <w:color w:val="FFFFFF"/>
                <w:sz w:val="20"/>
                <w:szCs w:val="20"/>
                <w:lang w:eastAsia="en-GB"/>
              </w:rPr>
            </w:pPr>
            <w:r w:rsidRPr="00124474">
              <w:rPr>
                <w:rFonts w:ascii="Calibri Light" w:eastAsia="Times New Roman" w:hAnsi="Calibri Light" w:cs="Calibri Light"/>
                <w:b/>
                <w:bCs/>
                <w:color w:val="FFFFFF"/>
                <w:sz w:val="20"/>
                <w:szCs w:val="20"/>
                <w:lang w:eastAsia="en-GB"/>
              </w:rPr>
              <w:t>Релевантни национални плански документ (правни, регулаторни акти, итд)</w:t>
            </w:r>
          </w:p>
        </w:tc>
        <w:tc>
          <w:tcPr>
            <w:tcW w:w="6146" w:type="dxa"/>
            <w:gridSpan w:val="3"/>
            <w:tcBorders>
              <w:top w:val="single" w:sz="8" w:space="0" w:color="auto"/>
              <w:left w:val="nil"/>
              <w:bottom w:val="single" w:sz="8" w:space="0" w:color="auto"/>
              <w:right w:val="single" w:sz="8" w:space="0" w:color="000000"/>
            </w:tcBorders>
            <w:vAlign w:val="center"/>
          </w:tcPr>
          <w:p w14:paraId="79C39CC0" w14:textId="1137DD92" w:rsidR="00124474" w:rsidRPr="000A2AFE" w:rsidRDefault="00124474" w:rsidP="000A2AFE">
            <w:pPr>
              <w:pStyle w:val="ListParagraph"/>
              <w:numPr>
                <w:ilvl w:val="0"/>
                <w:numId w:val="312"/>
              </w:numPr>
              <w:spacing w:after="0" w:line="240" w:lineRule="auto"/>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Директива 2009/73/EЗ</w:t>
            </w:r>
          </w:p>
          <w:p w14:paraId="60616E81" w14:textId="39DF0B5E" w:rsidR="00124474" w:rsidRPr="000A2AFE" w:rsidRDefault="00124474" w:rsidP="000A2AFE">
            <w:pPr>
              <w:pStyle w:val="ListParagraph"/>
              <w:numPr>
                <w:ilvl w:val="0"/>
                <w:numId w:val="312"/>
              </w:numPr>
              <w:spacing w:after="0" w:line="240" w:lineRule="auto"/>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Директива 2017/1938</w:t>
            </w:r>
          </w:p>
          <w:p w14:paraId="14D93557" w14:textId="0AE067FE" w:rsidR="00124474" w:rsidRPr="000A2AFE" w:rsidRDefault="00124474" w:rsidP="000A2AFE">
            <w:pPr>
              <w:pStyle w:val="ListParagraph"/>
              <w:numPr>
                <w:ilvl w:val="0"/>
                <w:numId w:val="312"/>
              </w:numPr>
              <w:spacing w:after="0" w:line="240" w:lineRule="auto"/>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План за превенције и кризе (Уредба Владе)</w:t>
            </w:r>
          </w:p>
          <w:p w14:paraId="33537C32" w14:textId="07AE5A07" w:rsidR="00124474" w:rsidRPr="000A2AFE" w:rsidRDefault="00124474" w:rsidP="000A2AFE">
            <w:pPr>
              <w:pStyle w:val="ListParagraph"/>
              <w:spacing w:after="0" w:line="240" w:lineRule="auto"/>
              <w:jc w:val="both"/>
              <w:rPr>
                <w:rFonts w:asciiTheme="majorHAnsi" w:eastAsia="Times New Roman" w:hAnsiTheme="majorHAnsi" w:cstheme="majorHAnsi"/>
                <w:color w:val="000000"/>
                <w:sz w:val="20"/>
                <w:szCs w:val="20"/>
                <w:lang w:eastAsia="en-GB"/>
              </w:rPr>
            </w:pPr>
          </w:p>
        </w:tc>
      </w:tr>
      <w:tr w:rsidR="00124474" w:rsidRPr="00FF386D" w14:paraId="39083830" w14:textId="77777777" w:rsidTr="0057310C">
        <w:trPr>
          <w:trHeight w:val="491"/>
        </w:trPr>
        <w:tc>
          <w:tcPr>
            <w:tcW w:w="3342" w:type="dxa"/>
            <w:tcBorders>
              <w:top w:val="nil"/>
              <w:left w:val="single" w:sz="8" w:space="0" w:color="auto"/>
              <w:bottom w:val="single" w:sz="8" w:space="0" w:color="auto"/>
              <w:right w:val="single" w:sz="8" w:space="0" w:color="auto"/>
            </w:tcBorders>
            <w:shd w:val="clear" w:color="000000" w:fill="244062"/>
            <w:vAlign w:val="center"/>
          </w:tcPr>
          <w:p w14:paraId="7216F07C" w14:textId="4C0CCBEC" w:rsidR="00124474" w:rsidRPr="00124474" w:rsidRDefault="00124474" w:rsidP="00854ADA">
            <w:pPr>
              <w:spacing w:after="0" w:line="240" w:lineRule="auto"/>
              <w:rPr>
                <w:rFonts w:ascii="Calibri Light" w:eastAsia="Times New Roman" w:hAnsi="Calibri Light" w:cs="Calibri Light"/>
                <w:b/>
                <w:bCs/>
                <w:color w:val="FFFFFF"/>
                <w:sz w:val="20"/>
                <w:szCs w:val="20"/>
                <w:lang w:eastAsia="en-GB"/>
              </w:rPr>
            </w:pPr>
            <w:r w:rsidRPr="00124474">
              <w:rPr>
                <w:rFonts w:ascii="Calibri Light" w:eastAsia="Times New Roman" w:hAnsi="Calibri Light" w:cs="Calibri Light"/>
                <w:b/>
                <w:bCs/>
                <w:color w:val="FFFFFF"/>
                <w:sz w:val="20"/>
                <w:szCs w:val="20"/>
                <w:lang w:eastAsia="en-GB"/>
              </w:rPr>
              <w:t>Трошкови имплементације</w:t>
            </w:r>
          </w:p>
        </w:tc>
        <w:tc>
          <w:tcPr>
            <w:tcW w:w="6146" w:type="dxa"/>
            <w:gridSpan w:val="3"/>
            <w:tcBorders>
              <w:top w:val="single" w:sz="8" w:space="0" w:color="auto"/>
              <w:left w:val="nil"/>
              <w:bottom w:val="single" w:sz="8" w:space="0" w:color="auto"/>
              <w:right w:val="single" w:sz="8" w:space="0" w:color="000000"/>
            </w:tcBorders>
            <w:vAlign w:val="center"/>
          </w:tcPr>
          <w:p w14:paraId="7514C64C" w14:textId="6B235263" w:rsidR="00124474" w:rsidRPr="000A2AFE" w:rsidRDefault="00124474" w:rsidP="000A2AFE">
            <w:pPr>
              <w:spacing w:after="0" w:line="240" w:lineRule="auto"/>
              <w:jc w:val="both"/>
              <w:rPr>
                <w:rFonts w:asciiTheme="majorHAnsi" w:eastAsia="Times New Roman" w:hAnsiTheme="majorHAnsi" w:cstheme="majorHAnsi"/>
                <w:color w:val="000000"/>
                <w:sz w:val="20"/>
                <w:szCs w:val="20"/>
                <w:lang w:eastAsia="en-GB"/>
              </w:rPr>
            </w:pPr>
            <w:r w:rsidRPr="00124474">
              <w:rPr>
                <w:rFonts w:asciiTheme="majorHAnsi" w:eastAsia="Times New Roman" w:hAnsiTheme="majorHAnsi" w:cstheme="majorHAnsi"/>
                <w:color w:val="000000"/>
                <w:sz w:val="20"/>
                <w:szCs w:val="20"/>
                <w:lang w:eastAsia="en-GB"/>
              </w:rPr>
              <w:t>0,5 милиона евра</w:t>
            </w:r>
          </w:p>
        </w:tc>
      </w:tr>
      <w:tr w:rsidR="00854ADA" w:rsidRPr="00FF386D" w14:paraId="12EDAA70" w14:textId="77777777" w:rsidTr="0057310C">
        <w:trPr>
          <w:trHeight w:val="311"/>
        </w:trPr>
        <w:tc>
          <w:tcPr>
            <w:tcW w:w="3342" w:type="dxa"/>
            <w:tcBorders>
              <w:top w:val="nil"/>
              <w:left w:val="single" w:sz="8" w:space="0" w:color="auto"/>
              <w:bottom w:val="single" w:sz="8" w:space="0" w:color="auto"/>
              <w:right w:val="single" w:sz="8" w:space="0" w:color="auto"/>
            </w:tcBorders>
            <w:shd w:val="clear" w:color="000000" w:fill="244062"/>
            <w:vAlign w:val="center"/>
            <w:hideMark/>
          </w:tcPr>
          <w:p w14:paraId="5923B404"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46" w:type="dxa"/>
            <w:gridSpan w:val="3"/>
            <w:tcBorders>
              <w:top w:val="single" w:sz="8" w:space="0" w:color="auto"/>
              <w:left w:val="nil"/>
              <w:bottom w:val="single" w:sz="8" w:space="0" w:color="auto"/>
              <w:right w:val="single" w:sz="8" w:space="0" w:color="000000"/>
            </w:tcBorders>
            <w:vAlign w:val="center"/>
            <w:hideMark/>
          </w:tcPr>
          <w:p w14:paraId="49BDD6FE" w14:textId="0EFCD670" w:rsidR="00854ADA" w:rsidRPr="00FF386D" w:rsidRDefault="00854ADA" w:rsidP="00DF13BA">
            <w:p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DF13BA" w:rsidRPr="00FF386D">
              <w:rPr>
                <w:rFonts w:ascii="Calibri Light" w:eastAsia="Times New Roman" w:hAnsi="Calibri Light" w:cs="Calibri Light"/>
                <w:color w:val="000000"/>
                <w:sz w:val="20"/>
                <w:szCs w:val="20"/>
                <w:lang w:eastAsia="en-GB"/>
              </w:rPr>
              <w:t>ска средства</w:t>
            </w:r>
          </w:p>
        </w:tc>
      </w:tr>
    </w:tbl>
    <w:p w14:paraId="42B04E33" w14:textId="77777777" w:rsidR="00854ADA" w:rsidRPr="00FF386D" w:rsidRDefault="00854ADA" w:rsidP="00854ADA">
      <w:pPr>
        <w:spacing w:before="120" w:after="120" w:line="240" w:lineRule="auto"/>
        <w:jc w:val="both"/>
        <w:rPr>
          <w:rFonts w:asciiTheme="majorHAnsi" w:eastAsia="Times New Roman" w:hAnsiTheme="majorHAnsi" w:cstheme="majorHAnsi"/>
          <w:sz w:val="20"/>
          <w:szCs w:val="20"/>
          <w:lang w:eastAsia="el-GR"/>
        </w:rPr>
      </w:pPr>
    </w:p>
    <w:tbl>
      <w:tblPr>
        <w:tblW w:w="9488" w:type="dxa"/>
        <w:tblLook w:val="04A0" w:firstRow="1" w:lastRow="0" w:firstColumn="1" w:lastColumn="0" w:noHBand="0" w:noVBand="1"/>
      </w:tblPr>
      <w:tblGrid>
        <w:gridCol w:w="3341"/>
        <w:gridCol w:w="941"/>
        <w:gridCol w:w="944"/>
        <w:gridCol w:w="4262"/>
      </w:tblGrid>
      <w:tr w:rsidR="00854ADA" w:rsidRPr="00FF386D" w14:paraId="79ED840C" w14:textId="77777777" w:rsidTr="0057310C">
        <w:trPr>
          <w:trHeight w:val="780"/>
        </w:trPr>
        <w:tc>
          <w:tcPr>
            <w:tcW w:w="3341"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00B4C742" w14:textId="242BA773" w:rsidR="00854ADA" w:rsidRPr="00FF386D" w:rsidRDefault="00DB1C84" w:rsidP="00854ADA">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 xml:space="preserve">: </w:t>
            </w:r>
          </w:p>
        </w:tc>
        <w:tc>
          <w:tcPr>
            <w:tcW w:w="941" w:type="dxa"/>
            <w:tcBorders>
              <w:top w:val="single" w:sz="8" w:space="0" w:color="auto"/>
              <w:left w:val="nil"/>
              <w:bottom w:val="single" w:sz="8" w:space="0" w:color="auto"/>
              <w:right w:val="single" w:sz="8" w:space="0" w:color="auto"/>
            </w:tcBorders>
            <w:shd w:val="clear" w:color="auto" w:fill="E7E6E6" w:themeFill="background2"/>
            <w:vAlign w:val="center"/>
            <w:hideMark/>
          </w:tcPr>
          <w:p w14:paraId="324CE274" w14:textId="77777777"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МП_ЕС6</w:t>
            </w:r>
          </w:p>
        </w:tc>
        <w:tc>
          <w:tcPr>
            <w:tcW w:w="944" w:type="dxa"/>
            <w:tcBorders>
              <w:top w:val="single" w:sz="8" w:space="0" w:color="auto"/>
              <w:left w:val="nil"/>
              <w:bottom w:val="single" w:sz="8" w:space="0" w:color="auto"/>
              <w:right w:val="single" w:sz="8" w:space="0" w:color="auto"/>
            </w:tcBorders>
            <w:shd w:val="clear" w:color="auto" w:fill="244062"/>
            <w:vAlign w:val="center"/>
            <w:hideMark/>
          </w:tcPr>
          <w:p w14:paraId="4A984DD0"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Назив</w:t>
            </w:r>
            <w:r w:rsidRPr="000A2AFE">
              <w:rPr>
                <w:rFonts w:asciiTheme="majorHAnsi" w:eastAsia="Times New Roman" w:hAnsiTheme="majorHAnsi" w:cstheme="majorHAnsi"/>
                <w:b/>
                <w:bCs/>
                <w:color w:val="FFFFFF"/>
                <w:sz w:val="20"/>
                <w:szCs w:val="20"/>
                <w:lang w:eastAsia="en-GB"/>
              </w:rPr>
              <w:t xml:space="preserve">: </w:t>
            </w:r>
          </w:p>
        </w:tc>
        <w:tc>
          <w:tcPr>
            <w:tcW w:w="4262" w:type="dxa"/>
            <w:tcBorders>
              <w:top w:val="single" w:sz="8" w:space="0" w:color="auto"/>
              <w:left w:val="nil"/>
              <w:bottom w:val="single" w:sz="8" w:space="0" w:color="auto"/>
              <w:right w:val="single" w:sz="8" w:space="0" w:color="auto"/>
            </w:tcBorders>
            <w:shd w:val="clear" w:color="auto" w:fill="E7E6E6" w:themeFill="background2"/>
            <w:vAlign w:val="center"/>
            <w:hideMark/>
          </w:tcPr>
          <w:p w14:paraId="4FEE0974" w14:textId="1578A6E3" w:rsidR="00854ADA" w:rsidRPr="00FF386D" w:rsidRDefault="00854ADA" w:rsidP="00854ADA">
            <w:pPr>
              <w:spacing w:after="0" w:line="240" w:lineRule="auto"/>
              <w:rPr>
                <w:rFonts w:asciiTheme="majorHAnsi" w:eastAsia="Times New Roman" w:hAnsiTheme="majorHAnsi" w:cstheme="majorHAnsi"/>
                <w:b/>
                <w:bCs/>
                <w:color w:val="000000"/>
                <w:sz w:val="20"/>
                <w:szCs w:val="20"/>
                <w:lang w:eastAsia="en-GB"/>
              </w:rPr>
            </w:pPr>
            <w:r w:rsidRPr="00FF386D">
              <w:rPr>
                <w:rFonts w:ascii="Calibri Light" w:hAnsi="Calibri Light"/>
                <w:b/>
                <w:sz w:val="20"/>
              </w:rPr>
              <w:t xml:space="preserve">План </w:t>
            </w:r>
            <w:r w:rsidR="00627CD1" w:rsidRPr="00FF386D">
              <w:rPr>
                <w:rFonts w:ascii="Calibri Light" w:hAnsi="Calibri Light"/>
                <w:b/>
                <w:sz w:val="20"/>
              </w:rPr>
              <w:t>приправности на ризике у сектору електричне енергије</w:t>
            </w:r>
          </w:p>
        </w:tc>
      </w:tr>
      <w:tr w:rsidR="00854ADA" w:rsidRPr="00FF386D" w14:paraId="5EB190AF" w14:textId="77777777" w:rsidTr="0057310C">
        <w:trPr>
          <w:trHeight w:val="233"/>
        </w:trPr>
        <w:tc>
          <w:tcPr>
            <w:tcW w:w="3341" w:type="dxa"/>
            <w:tcBorders>
              <w:top w:val="nil"/>
              <w:left w:val="single" w:sz="8" w:space="0" w:color="auto"/>
              <w:bottom w:val="single" w:sz="8" w:space="0" w:color="auto"/>
              <w:right w:val="nil"/>
            </w:tcBorders>
            <w:shd w:val="clear" w:color="000000" w:fill="244062"/>
            <w:vAlign w:val="center"/>
            <w:hideMark/>
          </w:tcPr>
          <w:p w14:paraId="27EFC98E"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147" w:type="dxa"/>
            <w:gridSpan w:val="3"/>
            <w:tcBorders>
              <w:top w:val="single" w:sz="8" w:space="0" w:color="auto"/>
              <w:left w:val="nil"/>
              <w:bottom w:val="single" w:sz="8" w:space="0" w:color="auto"/>
              <w:right w:val="single" w:sz="8" w:space="0" w:color="000000"/>
            </w:tcBorders>
            <w:vAlign w:val="center"/>
          </w:tcPr>
          <w:p w14:paraId="3514168B" w14:textId="77D0F567" w:rsidR="00854ADA" w:rsidRPr="00FF386D" w:rsidRDefault="001D6FA8" w:rsidP="00854ADA">
            <w:pPr>
              <w:spacing w:after="0" w:line="240" w:lineRule="auto"/>
              <w:jc w:val="both"/>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Циљ п</w:t>
            </w:r>
            <w:r w:rsidRPr="001D6FA8">
              <w:rPr>
                <w:rFonts w:asciiTheme="majorHAnsi" w:eastAsia="Times New Roman" w:hAnsiTheme="majorHAnsi" w:cstheme="majorHAnsi"/>
                <w:color w:val="000000"/>
                <w:sz w:val="20"/>
                <w:szCs w:val="20"/>
                <w:lang w:eastAsia="en-GB"/>
              </w:rPr>
              <w:t>лан</w:t>
            </w:r>
            <w:r>
              <w:rPr>
                <w:rFonts w:asciiTheme="majorHAnsi" w:eastAsia="Times New Roman" w:hAnsiTheme="majorHAnsi" w:cstheme="majorHAnsi"/>
                <w:color w:val="000000"/>
                <w:sz w:val="20"/>
                <w:szCs w:val="20"/>
                <w:lang w:eastAsia="en-GB"/>
              </w:rPr>
              <w:t>а</w:t>
            </w:r>
            <w:r w:rsidRPr="001D6FA8">
              <w:rPr>
                <w:rFonts w:asciiTheme="majorHAnsi" w:eastAsia="Times New Roman" w:hAnsiTheme="majorHAnsi" w:cstheme="majorHAnsi"/>
                <w:color w:val="000000"/>
                <w:sz w:val="20"/>
                <w:szCs w:val="20"/>
                <w:lang w:eastAsia="en-GB"/>
              </w:rPr>
              <w:t xml:space="preserve"> приправности на ризике у сектору електричне енергије</w:t>
            </w:r>
            <w:r>
              <w:rPr>
                <w:rFonts w:asciiTheme="majorHAnsi" w:eastAsia="Times New Roman" w:hAnsiTheme="majorHAnsi" w:cstheme="majorHAnsi"/>
                <w:color w:val="000000"/>
                <w:sz w:val="20"/>
                <w:szCs w:val="20"/>
                <w:lang w:eastAsia="en-GB"/>
              </w:rPr>
              <w:t xml:space="preserve"> је да се идентификују могући ризици везани за сигурно снабдевање електричном енергијом и да се испита да ли постојеће и планиране мере задовољавају поменуте ризике у довољној мери. План би требало да да преглед националних, као и релевантних регионалних </w:t>
            </w:r>
            <w:r w:rsidRPr="001D6FA8">
              <w:rPr>
                <w:rFonts w:asciiTheme="majorHAnsi" w:eastAsia="Times New Roman" w:hAnsiTheme="majorHAnsi" w:cstheme="majorHAnsi"/>
                <w:color w:val="000000"/>
                <w:sz w:val="20"/>
                <w:szCs w:val="20"/>
                <w:lang w:eastAsia="en-GB"/>
              </w:rPr>
              <w:t>кризних сценарија</w:t>
            </w:r>
            <w:r>
              <w:rPr>
                <w:rFonts w:asciiTheme="majorHAnsi" w:eastAsia="Times New Roman" w:hAnsiTheme="majorHAnsi" w:cstheme="majorHAnsi"/>
                <w:color w:val="000000"/>
                <w:sz w:val="20"/>
                <w:szCs w:val="20"/>
                <w:lang w:eastAsia="en-GB"/>
              </w:rPr>
              <w:t xml:space="preserve"> </w:t>
            </w:r>
            <w:r w:rsidRPr="001D6FA8">
              <w:rPr>
                <w:rFonts w:asciiTheme="majorHAnsi" w:eastAsia="Times New Roman" w:hAnsiTheme="majorHAnsi" w:cstheme="majorHAnsi"/>
                <w:color w:val="000000"/>
                <w:sz w:val="20"/>
                <w:szCs w:val="20"/>
                <w:lang w:eastAsia="en-GB"/>
              </w:rPr>
              <w:t>у домену електроенергетског сектора</w:t>
            </w:r>
            <w:r>
              <w:rPr>
                <w:rFonts w:asciiTheme="majorHAnsi" w:eastAsia="Times New Roman" w:hAnsiTheme="majorHAnsi" w:cstheme="majorHAnsi"/>
                <w:color w:val="000000"/>
                <w:sz w:val="20"/>
                <w:szCs w:val="20"/>
                <w:lang w:eastAsia="en-GB"/>
              </w:rPr>
              <w:t>.</w:t>
            </w:r>
            <w:r w:rsidR="00521BF2">
              <w:rPr>
                <w:rFonts w:asciiTheme="majorHAnsi" w:eastAsia="Times New Roman" w:hAnsiTheme="majorHAnsi" w:cstheme="majorHAnsi"/>
                <w:color w:val="000000"/>
                <w:sz w:val="20"/>
                <w:szCs w:val="20"/>
                <w:lang w:eastAsia="en-GB"/>
              </w:rPr>
              <w:t xml:space="preserve"> Ово ће ојачати регионалну сарадњу у енергетици и унапредиће интеграцију регионалног тржишта.</w:t>
            </w:r>
          </w:p>
        </w:tc>
      </w:tr>
      <w:tr w:rsidR="00854ADA" w:rsidRPr="00FF386D" w14:paraId="502B2E75" w14:textId="77777777" w:rsidTr="0057310C">
        <w:trPr>
          <w:trHeight w:val="315"/>
        </w:trPr>
        <w:tc>
          <w:tcPr>
            <w:tcW w:w="3341" w:type="dxa"/>
            <w:tcBorders>
              <w:top w:val="nil"/>
              <w:left w:val="single" w:sz="8" w:space="0" w:color="auto"/>
              <w:bottom w:val="single" w:sz="8" w:space="0" w:color="auto"/>
              <w:right w:val="single" w:sz="8" w:space="0" w:color="auto"/>
            </w:tcBorders>
            <w:shd w:val="clear" w:color="000000" w:fill="244062"/>
            <w:vAlign w:val="center"/>
            <w:hideMark/>
          </w:tcPr>
          <w:p w14:paraId="5D0880A2"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Квантификовани циљ: </w:t>
            </w:r>
          </w:p>
        </w:tc>
        <w:tc>
          <w:tcPr>
            <w:tcW w:w="6147" w:type="dxa"/>
            <w:gridSpan w:val="3"/>
            <w:tcBorders>
              <w:top w:val="single" w:sz="8" w:space="0" w:color="auto"/>
              <w:left w:val="nil"/>
              <w:bottom w:val="single" w:sz="8" w:space="0" w:color="auto"/>
              <w:right w:val="single" w:sz="8" w:space="0" w:color="000000"/>
            </w:tcBorders>
            <w:vAlign w:val="center"/>
          </w:tcPr>
          <w:p w14:paraId="2A3BB8BF" w14:textId="09E97BD0" w:rsidR="00854ADA" w:rsidRPr="00FF386D" w:rsidRDefault="001D6FA8" w:rsidP="00854ADA">
            <w:pPr>
              <w:spacing w:after="0" w:line="240" w:lineRule="auto"/>
              <w:jc w:val="both"/>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 xml:space="preserve">Ови кризни сценарији </w:t>
            </w:r>
            <w:r w:rsidRPr="001D6FA8">
              <w:rPr>
                <w:rFonts w:asciiTheme="majorHAnsi" w:eastAsia="Times New Roman" w:hAnsiTheme="majorHAnsi" w:cstheme="majorHAnsi"/>
                <w:color w:val="000000"/>
                <w:sz w:val="20"/>
                <w:szCs w:val="20"/>
                <w:lang w:eastAsia="en-GB"/>
              </w:rPr>
              <w:t>у сектору електричне енергије</w:t>
            </w:r>
            <w:r>
              <w:rPr>
                <w:rFonts w:asciiTheme="majorHAnsi" w:eastAsia="Times New Roman" w:hAnsiTheme="majorHAnsi" w:cstheme="majorHAnsi"/>
                <w:color w:val="000000"/>
                <w:sz w:val="20"/>
                <w:szCs w:val="20"/>
                <w:lang w:eastAsia="en-GB"/>
              </w:rPr>
              <w:t xml:space="preserve"> служе као полазна основа за идентификацију постојећих и планираних превентивних, унапред припремљ</w:t>
            </w:r>
            <w:r w:rsidR="000E6E8B">
              <w:rPr>
                <w:rFonts w:asciiTheme="majorHAnsi" w:eastAsia="Times New Roman" w:hAnsiTheme="majorHAnsi" w:cstheme="majorHAnsi"/>
                <w:color w:val="000000"/>
                <w:sz w:val="20"/>
                <w:szCs w:val="20"/>
                <w:lang w:eastAsia="en-GB"/>
              </w:rPr>
              <w:t>е</w:t>
            </w:r>
            <w:r>
              <w:rPr>
                <w:rFonts w:asciiTheme="majorHAnsi" w:eastAsia="Times New Roman" w:hAnsiTheme="majorHAnsi" w:cstheme="majorHAnsi"/>
                <w:color w:val="000000"/>
                <w:sz w:val="20"/>
                <w:szCs w:val="20"/>
                <w:lang w:eastAsia="en-GB"/>
              </w:rPr>
              <w:t>них и правовремених мера како би се спречили, припремили за и управљали кризама електричне енергије, како на националном тако и на регионалном нивоу.</w:t>
            </w:r>
          </w:p>
        </w:tc>
      </w:tr>
      <w:tr w:rsidR="00854ADA" w:rsidRPr="00FF386D" w14:paraId="6EF7C3A6" w14:textId="77777777" w:rsidTr="0057310C">
        <w:trPr>
          <w:trHeight w:val="584"/>
        </w:trPr>
        <w:tc>
          <w:tcPr>
            <w:tcW w:w="3341" w:type="dxa"/>
            <w:tcBorders>
              <w:top w:val="nil"/>
              <w:left w:val="single" w:sz="8" w:space="0" w:color="auto"/>
              <w:bottom w:val="single" w:sz="8" w:space="0" w:color="auto"/>
              <w:right w:val="single" w:sz="8" w:space="0" w:color="auto"/>
            </w:tcBorders>
            <w:shd w:val="clear" w:color="000000" w:fill="244062"/>
            <w:vAlign w:val="center"/>
            <w:hideMark/>
          </w:tcPr>
          <w:p w14:paraId="23A22BC0"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147" w:type="dxa"/>
            <w:gridSpan w:val="3"/>
            <w:tcBorders>
              <w:top w:val="single" w:sz="8" w:space="0" w:color="auto"/>
              <w:left w:val="nil"/>
              <w:bottom w:val="single" w:sz="8" w:space="0" w:color="auto"/>
              <w:right w:val="single" w:sz="8" w:space="0" w:color="000000"/>
            </w:tcBorders>
            <w:vAlign w:val="center"/>
            <w:hideMark/>
          </w:tcPr>
          <w:p w14:paraId="1F753826" w14:textId="3F8D620B"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МП_ЕС6 се односи на припрему и спровођење мера Плана </w:t>
            </w:r>
            <w:r w:rsidR="00CC418B" w:rsidRPr="00FF386D">
              <w:rPr>
                <w:rFonts w:ascii="Calibri Light" w:hAnsi="Calibri Light"/>
                <w:sz w:val="20"/>
              </w:rPr>
              <w:t>о приправности на ризике</w:t>
            </w:r>
            <w:r w:rsidRPr="00FF386D">
              <w:rPr>
                <w:rFonts w:ascii="Calibri Light" w:hAnsi="Calibri Light"/>
                <w:sz w:val="20"/>
              </w:rPr>
              <w:t xml:space="preserve"> у складу са одредбама Уредбе (ЕУ) 2019/941. Уредба о </w:t>
            </w:r>
            <w:r w:rsidR="00627CD1" w:rsidRPr="00FF386D">
              <w:rPr>
                <w:rFonts w:ascii="Calibri Light" w:hAnsi="Calibri Light"/>
                <w:sz w:val="20"/>
              </w:rPr>
              <w:t>приправности на ризике у сектору електричне енергије</w:t>
            </w:r>
            <w:r w:rsidRPr="00FF386D">
              <w:rPr>
                <w:rFonts w:ascii="Calibri Light" w:hAnsi="Calibri Light"/>
                <w:sz w:val="20"/>
              </w:rPr>
              <w:t xml:space="preserve"> уводи важна правила за сарадњу између држава чланица (и за Србију, кад Енергетска заједница усвоји правила) са циљем спречавања кризе у снабдевању електричном енергијом, припреме за кризу и управљања кризом. О</w:t>
            </w:r>
            <w:r w:rsidR="00CC418B" w:rsidRPr="00FF386D">
              <w:rPr>
                <w:rFonts w:ascii="Calibri Light" w:hAnsi="Calibri Light"/>
                <w:sz w:val="20"/>
              </w:rPr>
              <w:t>ва мера</w:t>
            </w:r>
            <w:r w:rsidRPr="00FF386D">
              <w:rPr>
                <w:rFonts w:ascii="Calibri Light" w:hAnsi="Calibri Light"/>
                <w:sz w:val="20"/>
              </w:rPr>
              <w:t xml:space="preserve"> такође утврђује заједничке одредбе за процену ризика, планове припремљености за ризик, управљање кризама електричне енергије, процену и праћење. План се заснива на регионалним и националним сценаријима кризе електричне енергије и стога садржи националне, регионалне и, где је применљиво, билатералне мере планиране или предузете за спречавање криза у области електричне енергије, као и припрему за њих и њихово ублажавање</w:t>
            </w:r>
            <w:r w:rsidRPr="000A2AFE">
              <w:rPr>
                <w:rFonts w:asciiTheme="majorHAnsi" w:eastAsia="Times New Roman" w:hAnsiTheme="majorHAnsi" w:cstheme="majorHAnsi"/>
                <w:color w:val="000000"/>
                <w:sz w:val="20"/>
                <w:szCs w:val="20"/>
                <w:lang w:eastAsia="en-GB"/>
              </w:rPr>
              <w:t>.</w:t>
            </w:r>
          </w:p>
        </w:tc>
      </w:tr>
      <w:tr w:rsidR="00854ADA" w:rsidRPr="00FF386D" w14:paraId="0795AF1E" w14:textId="77777777" w:rsidTr="0057310C">
        <w:trPr>
          <w:trHeight w:val="315"/>
        </w:trPr>
        <w:tc>
          <w:tcPr>
            <w:tcW w:w="3341" w:type="dxa"/>
            <w:tcBorders>
              <w:top w:val="nil"/>
              <w:left w:val="single" w:sz="8" w:space="0" w:color="auto"/>
              <w:bottom w:val="single" w:sz="8" w:space="0" w:color="auto"/>
              <w:right w:val="single" w:sz="8" w:space="0" w:color="auto"/>
            </w:tcBorders>
            <w:shd w:val="clear" w:color="000000" w:fill="244062"/>
            <w:vAlign w:val="center"/>
            <w:hideMark/>
          </w:tcPr>
          <w:p w14:paraId="321999D6"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147" w:type="dxa"/>
            <w:gridSpan w:val="3"/>
            <w:tcBorders>
              <w:top w:val="single" w:sz="8" w:space="0" w:color="auto"/>
              <w:left w:val="nil"/>
              <w:bottom w:val="single" w:sz="8" w:space="0" w:color="auto"/>
              <w:right w:val="single" w:sz="8" w:space="0" w:color="000000"/>
            </w:tcBorders>
            <w:vAlign w:val="center"/>
            <w:hideMark/>
          </w:tcPr>
          <w:p w14:paraId="1B2F7B30"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2024-2025.</w:t>
            </w:r>
          </w:p>
        </w:tc>
      </w:tr>
      <w:tr w:rsidR="00854ADA" w:rsidRPr="00FF386D" w14:paraId="66BBA8C6" w14:textId="77777777" w:rsidTr="0057310C">
        <w:trPr>
          <w:trHeight w:val="315"/>
        </w:trPr>
        <w:tc>
          <w:tcPr>
            <w:tcW w:w="3341" w:type="dxa"/>
            <w:tcBorders>
              <w:top w:val="nil"/>
              <w:left w:val="single" w:sz="8" w:space="0" w:color="auto"/>
              <w:bottom w:val="single" w:sz="8" w:space="0" w:color="auto"/>
              <w:right w:val="single" w:sz="8" w:space="0" w:color="auto"/>
            </w:tcBorders>
            <w:shd w:val="clear" w:color="000000" w:fill="244062"/>
            <w:vAlign w:val="center"/>
            <w:hideMark/>
          </w:tcPr>
          <w:p w14:paraId="146BBABD"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147" w:type="dxa"/>
            <w:gridSpan w:val="3"/>
            <w:tcBorders>
              <w:top w:val="single" w:sz="8" w:space="0" w:color="auto"/>
              <w:left w:val="nil"/>
              <w:bottom w:val="single" w:sz="8" w:space="0" w:color="auto"/>
              <w:right w:val="single" w:sz="8" w:space="0" w:color="000000"/>
            </w:tcBorders>
            <w:vAlign w:val="center"/>
            <w:hideMark/>
          </w:tcPr>
          <w:p w14:paraId="03E797EA"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Реформа</w:t>
            </w:r>
          </w:p>
        </w:tc>
      </w:tr>
      <w:tr w:rsidR="00854ADA" w:rsidRPr="00FF386D" w14:paraId="489B122A" w14:textId="77777777" w:rsidTr="0057310C">
        <w:trPr>
          <w:trHeight w:val="315"/>
        </w:trPr>
        <w:tc>
          <w:tcPr>
            <w:tcW w:w="3341" w:type="dxa"/>
            <w:tcBorders>
              <w:top w:val="nil"/>
              <w:left w:val="single" w:sz="8" w:space="0" w:color="auto"/>
              <w:bottom w:val="single" w:sz="8" w:space="0" w:color="auto"/>
              <w:right w:val="single" w:sz="8" w:space="0" w:color="auto"/>
            </w:tcBorders>
            <w:shd w:val="clear" w:color="000000" w:fill="244062"/>
            <w:vAlign w:val="center"/>
            <w:hideMark/>
          </w:tcPr>
          <w:p w14:paraId="484699AF"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147" w:type="dxa"/>
            <w:gridSpan w:val="3"/>
            <w:tcBorders>
              <w:top w:val="single" w:sz="8" w:space="0" w:color="auto"/>
              <w:left w:val="nil"/>
              <w:bottom w:val="single" w:sz="8" w:space="0" w:color="auto"/>
              <w:right w:val="single" w:sz="8" w:space="0" w:color="000000"/>
            </w:tcBorders>
            <w:vAlign w:val="center"/>
            <w:hideMark/>
          </w:tcPr>
          <w:p w14:paraId="57829BAD"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Електрична енергија</w:t>
            </w:r>
          </w:p>
        </w:tc>
      </w:tr>
      <w:tr w:rsidR="00854ADA" w:rsidRPr="00FF386D" w14:paraId="1DC128F4" w14:textId="77777777" w:rsidTr="0057310C">
        <w:trPr>
          <w:trHeight w:val="315"/>
        </w:trPr>
        <w:tc>
          <w:tcPr>
            <w:tcW w:w="3341" w:type="dxa"/>
            <w:tcBorders>
              <w:top w:val="nil"/>
              <w:left w:val="single" w:sz="8" w:space="0" w:color="auto"/>
              <w:bottom w:val="single" w:sz="8" w:space="0" w:color="auto"/>
              <w:right w:val="single" w:sz="8" w:space="0" w:color="auto"/>
            </w:tcBorders>
            <w:shd w:val="clear" w:color="000000" w:fill="244062"/>
            <w:vAlign w:val="center"/>
            <w:hideMark/>
          </w:tcPr>
          <w:p w14:paraId="0014B8B1"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147" w:type="dxa"/>
            <w:gridSpan w:val="3"/>
            <w:tcBorders>
              <w:top w:val="single" w:sz="8" w:space="0" w:color="auto"/>
              <w:left w:val="nil"/>
              <w:bottom w:val="single" w:sz="8" w:space="0" w:color="auto"/>
              <w:right w:val="single" w:sz="8" w:space="0" w:color="000000"/>
            </w:tcBorders>
            <w:vAlign w:val="center"/>
            <w:hideMark/>
          </w:tcPr>
          <w:p w14:paraId="35FE1333" w14:textId="77777777" w:rsidR="00854ADA" w:rsidRPr="00FF386D" w:rsidRDefault="00854ADA" w:rsidP="00854ADA">
            <w:pPr>
              <w:numPr>
                <w:ilvl w:val="0"/>
                <w:numId w:val="36"/>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рударства и енергетике</w:t>
            </w:r>
          </w:p>
          <w:p w14:paraId="6F336E82" w14:textId="77777777" w:rsidR="00854ADA" w:rsidRPr="00FF386D" w:rsidRDefault="00854ADA" w:rsidP="00854ADA">
            <w:pPr>
              <w:numPr>
                <w:ilvl w:val="0"/>
                <w:numId w:val="36"/>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АЕРС</w:t>
            </w:r>
          </w:p>
          <w:p w14:paraId="232356AE" w14:textId="77777777" w:rsidR="00854ADA" w:rsidRPr="00FF386D" w:rsidRDefault="00854ADA" w:rsidP="00854ADA">
            <w:pPr>
              <w:numPr>
                <w:ilvl w:val="0"/>
                <w:numId w:val="36"/>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ЕМС</w:t>
            </w:r>
          </w:p>
        </w:tc>
      </w:tr>
      <w:tr w:rsidR="00854ADA" w:rsidRPr="00FF386D" w14:paraId="0FF3752E" w14:textId="77777777" w:rsidTr="0057310C">
        <w:trPr>
          <w:trHeight w:val="315"/>
        </w:trPr>
        <w:tc>
          <w:tcPr>
            <w:tcW w:w="3341" w:type="dxa"/>
            <w:tcBorders>
              <w:top w:val="nil"/>
              <w:left w:val="single" w:sz="8" w:space="0" w:color="auto"/>
              <w:bottom w:val="single" w:sz="8" w:space="0" w:color="auto"/>
              <w:right w:val="nil"/>
            </w:tcBorders>
            <w:shd w:val="clear" w:color="000000" w:fill="244062"/>
            <w:vAlign w:val="center"/>
            <w:hideMark/>
          </w:tcPr>
          <w:p w14:paraId="164CE705"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Тело за праћење</w:t>
            </w:r>
          </w:p>
        </w:tc>
        <w:tc>
          <w:tcPr>
            <w:tcW w:w="6147" w:type="dxa"/>
            <w:gridSpan w:val="3"/>
            <w:tcBorders>
              <w:top w:val="single" w:sz="8" w:space="0" w:color="auto"/>
              <w:left w:val="nil"/>
              <w:bottom w:val="single" w:sz="8" w:space="0" w:color="auto"/>
              <w:right w:val="single" w:sz="8" w:space="0" w:color="000000"/>
            </w:tcBorders>
            <w:vAlign w:val="center"/>
            <w:hideMark/>
          </w:tcPr>
          <w:p w14:paraId="1F475E25" w14:textId="430A9CED" w:rsidR="00854ADA" w:rsidRPr="000A2AFE" w:rsidRDefault="00411D36" w:rsidP="000A2AFE">
            <w:pPr>
              <w:pStyle w:val="ListParagraph"/>
              <w:numPr>
                <w:ilvl w:val="0"/>
                <w:numId w:val="36"/>
              </w:numPr>
              <w:spacing w:after="0"/>
              <w:ind w:left="714" w:hanging="357"/>
              <w:rPr>
                <w:rFonts w:asciiTheme="majorHAnsi" w:eastAsia="Times New Roman" w:hAnsiTheme="majorHAnsi" w:cstheme="majorHAnsi"/>
                <w:color w:val="000000"/>
                <w:sz w:val="20"/>
                <w:szCs w:val="20"/>
                <w:lang w:eastAsia="en-GB"/>
              </w:rPr>
            </w:pPr>
            <w:r w:rsidRPr="00411D36">
              <w:rPr>
                <w:rFonts w:asciiTheme="majorHAnsi" w:eastAsia="Times New Roman" w:hAnsiTheme="majorHAnsi" w:cstheme="majorHAnsi"/>
                <w:color w:val="000000"/>
                <w:sz w:val="20"/>
                <w:szCs w:val="20"/>
                <w:lang w:eastAsia="en-GB"/>
              </w:rPr>
              <w:t>Министарство рударства и енергетике</w:t>
            </w:r>
          </w:p>
        </w:tc>
      </w:tr>
      <w:tr w:rsidR="00854ADA" w:rsidRPr="00FF386D" w14:paraId="4A26C831" w14:textId="77777777" w:rsidTr="0057310C">
        <w:trPr>
          <w:trHeight w:val="315"/>
        </w:trPr>
        <w:tc>
          <w:tcPr>
            <w:tcW w:w="3341" w:type="dxa"/>
            <w:tcBorders>
              <w:top w:val="nil"/>
              <w:left w:val="single" w:sz="8" w:space="0" w:color="auto"/>
              <w:bottom w:val="single" w:sz="8" w:space="0" w:color="auto"/>
              <w:right w:val="nil"/>
            </w:tcBorders>
            <w:shd w:val="clear" w:color="000000" w:fill="244062"/>
            <w:vAlign w:val="center"/>
            <w:hideMark/>
          </w:tcPr>
          <w:p w14:paraId="09E320FC"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147" w:type="dxa"/>
            <w:gridSpan w:val="3"/>
            <w:tcBorders>
              <w:top w:val="single" w:sz="8" w:space="0" w:color="auto"/>
              <w:left w:val="nil"/>
              <w:bottom w:val="single" w:sz="8" w:space="0" w:color="auto"/>
              <w:right w:val="single" w:sz="8" w:space="0" w:color="000000"/>
            </w:tcBorders>
            <w:vAlign w:val="center"/>
            <w:hideMark/>
          </w:tcPr>
          <w:p w14:paraId="69750AA8" w14:textId="2FC3A2D6"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Усвојена Уредба </w:t>
            </w:r>
            <w:r w:rsidR="00321DE5" w:rsidRPr="00FF386D">
              <w:rPr>
                <w:rFonts w:asciiTheme="majorHAnsi" w:eastAsia="Times New Roman" w:hAnsiTheme="majorHAnsi" w:cstheme="majorHAnsi"/>
                <w:color w:val="000000"/>
                <w:sz w:val="20"/>
                <w:szCs w:val="20"/>
                <w:lang w:eastAsia="en-GB"/>
              </w:rPr>
              <w:t xml:space="preserve">приправности на ризике у сектору електричне енергије </w:t>
            </w:r>
            <w:r w:rsidRPr="00FF386D">
              <w:rPr>
                <w:rFonts w:asciiTheme="majorHAnsi" w:eastAsia="Times New Roman" w:hAnsiTheme="majorHAnsi" w:cstheme="majorHAnsi"/>
                <w:color w:val="000000"/>
                <w:sz w:val="20"/>
                <w:szCs w:val="20"/>
                <w:lang w:eastAsia="en-GB"/>
              </w:rPr>
              <w:t>2019/941 и израђен и одобрен План припр</w:t>
            </w:r>
            <w:r w:rsidR="00321DE5" w:rsidRPr="00FF386D">
              <w:rPr>
                <w:rFonts w:asciiTheme="majorHAnsi" w:eastAsia="Times New Roman" w:hAnsiTheme="majorHAnsi" w:cstheme="majorHAnsi"/>
                <w:color w:val="000000"/>
                <w:sz w:val="20"/>
                <w:szCs w:val="20"/>
                <w:lang w:eastAsia="en-GB"/>
              </w:rPr>
              <w:t>авности</w:t>
            </w:r>
          </w:p>
        </w:tc>
      </w:tr>
      <w:tr w:rsidR="00854ADA" w:rsidRPr="00FF386D" w14:paraId="0344B4B7" w14:textId="77777777" w:rsidTr="0057310C">
        <w:trPr>
          <w:trHeight w:val="376"/>
        </w:trPr>
        <w:tc>
          <w:tcPr>
            <w:tcW w:w="3341" w:type="dxa"/>
            <w:tcBorders>
              <w:top w:val="nil"/>
              <w:left w:val="single" w:sz="8" w:space="0" w:color="auto"/>
              <w:bottom w:val="single" w:sz="8" w:space="0" w:color="auto"/>
              <w:right w:val="single" w:sz="8" w:space="0" w:color="auto"/>
            </w:tcBorders>
            <w:shd w:val="clear" w:color="000000" w:fill="244062"/>
            <w:vAlign w:val="center"/>
            <w:hideMark/>
          </w:tcPr>
          <w:p w14:paraId="4CDACEA0"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147" w:type="dxa"/>
            <w:gridSpan w:val="3"/>
            <w:tcBorders>
              <w:top w:val="single" w:sz="8" w:space="0" w:color="auto"/>
              <w:left w:val="nil"/>
              <w:bottom w:val="single" w:sz="8" w:space="0" w:color="auto"/>
              <w:right w:val="single" w:sz="8" w:space="0" w:color="000000"/>
            </w:tcBorders>
            <w:vAlign w:val="center"/>
          </w:tcPr>
          <w:p w14:paraId="0135AD44" w14:textId="77777777" w:rsidR="00854ADA" w:rsidRPr="00FF386D" w:rsidRDefault="00854ADA" w:rsidP="00854ADA">
            <w:pPr>
              <w:numPr>
                <w:ilvl w:val="0"/>
                <w:numId w:val="36"/>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Унутрашње енергетско тржиште</w:t>
            </w:r>
          </w:p>
        </w:tc>
      </w:tr>
      <w:tr w:rsidR="00854ADA" w:rsidRPr="00FF386D" w14:paraId="3C449BD8" w14:textId="77777777" w:rsidTr="0057310C">
        <w:trPr>
          <w:trHeight w:val="450"/>
        </w:trPr>
        <w:tc>
          <w:tcPr>
            <w:tcW w:w="3341"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7DD58DFF" w14:textId="0AEC22E4" w:rsidR="00854ADA" w:rsidRPr="00FF386D" w:rsidRDefault="004D35DC"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147"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04B559D9" w14:textId="77777777" w:rsidR="00854ADA" w:rsidRPr="00FF386D" w:rsidRDefault="00854ADA" w:rsidP="00854ADA">
            <w:pPr>
              <w:numPr>
                <w:ilvl w:val="0"/>
                <w:numId w:val="36"/>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Уредба (ЕУ</w:t>
            </w:r>
            <w:r w:rsidRPr="000A2AFE">
              <w:rPr>
                <w:rFonts w:asciiTheme="majorHAnsi" w:eastAsia="Times New Roman" w:hAnsiTheme="majorHAnsi" w:cstheme="majorHAnsi"/>
                <w:color w:val="000000"/>
                <w:sz w:val="20"/>
                <w:szCs w:val="20"/>
                <w:lang w:eastAsia="en-GB"/>
              </w:rPr>
              <w:t xml:space="preserve">) 2019/941 </w:t>
            </w:r>
          </w:p>
        </w:tc>
      </w:tr>
      <w:tr w:rsidR="00854ADA" w:rsidRPr="00FF386D" w14:paraId="3DDB7D7B"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2F1B8848" w14:textId="77777777" w:rsidR="00854ADA" w:rsidRPr="00FF386D" w:rsidRDefault="00854ADA" w:rsidP="00854ADA">
            <w:pPr>
              <w:spacing w:after="0" w:line="256" w:lineRule="auto"/>
              <w:rPr>
                <w:rFonts w:asciiTheme="majorHAnsi" w:eastAsia="Times New Roman" w:hAnsiTheme="majorHAnsi" w:cstheme="majorHAnsi"/>
                <w:b/>
                <w:bCs/>
                <w:color w:val="FFFFFF"/>
                <w:sz w:val="20"/>
                <w:szCs w:val="20"/>
                <w:lang w:eastAsia="en-GB"/>
              </w:rPr>
            </w:pPr>
          </w:p>
        </w:tc>
        <w:tc>
          <w:tcPr>
            <w:tcW w:w="6147" w:type="dxa"/>
            <w:gridSpan w:val="3"/>
            <w:vMerge/>
            <w:tcBorders>
              <w:top w:val="single" w:sz="8" w:space="0" w:color="auto"/>
              <w:left w:val="single" w:sz="8" w:space="0" w:color="auto"/>
              <w:bottom w:val="single" w:sz="8" w:space="0" w:color="000000"/>
              <w:right w:val="single" w:sz="8" w:space="0" w:color="000000"/>
            </w:tcBorders>
            <w:vAlign w:val="center"/>
            <w:hideMark/>
          </w:tcPr>
          <w:p w14:paraId="4E4811B0"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6519A2EC"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2869AAC8" w14:textId="77777777" w:rsidR="00854ADA" w:rsidRPr="00FF386D" w:rsidRDefault="00854ADA" w:rsidP="00854ADA">
            <w:pPr>
              <w:spacing w:after="0" w:line="256" w:lineRule="auto"/>
              <w:rPr>
                <w:rFonts w:asciiTheme="majorHAnsi" w:eastAsia="Times New Roman" w:hAnsiTheme="majorHAnsi" w:cstheme="majorHAnsi"/>
                <w:b/>
                <w:bCs/>
                <w:color w:val="FFFFFF"/>
                <w:sz w:val="20"/>
                <w:szCs w:val="20"/>
                <w:lang w:eastAsia="en-GB"/>
              </w:rPr>
            </w:pPr>
          </w:p>
        </w:tc>
        <w:tc>
          <w:tcPr>
            <w:tcW w:w="6147" w:type="dxa"/>
            <w:gridSpan w:val="3"/>
            <w:vMerge/>
            <w:tcBorders>
              <w:top w:val="single" w:sz="8" w:space="0" w:color="auto"/>
              <w:left w:val="single" w:sz="8" w:space="0" w:color="auto"/>
              <w:bottom w:val="single" w:sz="8" w:space="0" w:color="000000"/>
              <w:right w:val="single" w:sz="8" w:space="0" w:color="000000"/>
            </w:tcBorders>
            <w:vAlign w:val="center"/>
            <w:hideMark/>
          </w:tcPr>
          <w:p w14:paraId="78C97EFD"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0EFA9A60" w14:textId="77777777" w:rsidTr="0057310C">
        <w:trPr>
          <w:trHeight w:val="780"/>
        </w:trPr>
        <w:tc>
          <w:tcPr>
            <w:tcW w:w="3341" w:type="dxa"/>
            <w:tcBorders>
              <w:top w:val="nil"/>
              <w:left w:val="single" w:sz="8" w:space="0" w:color="auto"/>
              <w:bottom w:val="single" w:sz="8" w:space="0" w:color="auto"/>
              <w:right w:val="single" w:sz="8" w:space="0" w:color="auto"/>
            </w:tcBorders>
            <w:shd w:val="clear" w:color="000000" w:fill="244062"/>
            <w:vAlign w:val="center"/>
            <w:hideMark/>
          </w:tcPr>
          <w:p w14:paraId="238C310C"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47" w:type="dxa"/>
            <w:gridSpan w:val="3"/>
            <w:tcBorders>
              <w:top w:val="single" w:sz="8" w:space="0" w:color="auto"/>
              <w:left w:val="nil"/>
              <w:bottom w:val="single" w:sz="8" w:space="0" w:color="auto"/>
              <w:right w:val="single" w:sz="8" w:space="0" w:color="000000"/>
            </w:tcBorders>
            <w:vAlign w:val="center"/>
          </w:tcPr>
          <w:p w14:paraId="54424FC2"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Закон о енергетици</w:t>
            </w:r>
          </w:p>
        </w:tc>
      </w:tr>
      <w:tr w:rsidR="00854ADA" w:rsidRPr="00FF386D" w14:paraId="2F9FF2CD" w14:textId="77777777" w:rsidTr="0057310C">
        <w:trPr>
          <w:trHeight w:val="315"/>
        </w:trPr>
        <w:tc>
          <w:tcPr>
            <w:tcW w:w="3341" w:type="dxa"/>
            <w:tcBorders>
              <w:top w:val="nil"/>
              <w:left w:val="single" w:sz="8" w:space="0" w:color="auto"/>
              <w:bottom w:val="single" w:sz="8" w:space="0" w:color="auto"/>
              <w:right w:val="single" w:sz="8" w:space="0" w:color="auto"/>
            </w:tcBorders>
            <w:shd w:val="clear" w:color="000000" w:fill="244062"/>
            <w:vAlign w:val="center"/>
            <w:hideMark/>
          </w:tcPr>
          <w:p w14:paraId="3F0100A2"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47" w:type="dxa"/>
            <w:gridSpan w:val="3"/>
            <w:tcBorders>
              <w:top w:val="single" w:sz="8" w:space="0" w:color="auto"/>
              <w:left w:val="nil"/>
              <w:bottom w:val="single" w:sz="8" w:space="0" w:color="auto"/>
              <w:right w:val="single" w:sz="8" w:space="0" w:color="000000"/>
            </w:tcBorders>
            <w:vAlign w:val="center"/>
          </w:tcPr>
          <w:p w14:paraId="248223B1"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0,5 милиона евра</w:t>
            </w:r>
          </w:p>
        </w:tc>
      </w:tr>
      <w:tr w:rsidR="00854ADA" w:rsidRPr="00FF386D" w14:paraId="5979DCF6" w14:textId="77777777" w:rsidTr="0057310C">
        <w:trPr>
          <w:trHeight w:val="315"/>
        </w:trPr>
        <w:tc>
          <w:tcPr>
            <w:tcW w:w="3341" w:type="dxa"/>
            <w:tcBorders>
              <w:top w:val="nil"/>
              <w:left w:val="single" w:sz="8" w:space="0" w:color="auto"/>
              <w:bottom w:val="single" w:sz="8" w:space="0" w:color="auto"/>
              <w:right w:val="single" w:sz="8" w:space="0" w:color="auto"/>
            </w:tcBorders>
            <w:shd w:val="clear" w:color="000000" w:fill="244062"/>
            <w:vAlign w:val="center"/>
            <w:hideMark/>
          </w:tcPr>
          <w:p w14:paraId="2632707A"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47" w:type="dxa"/>
            <w:gridSpan w:val="3"/>
            <w:tcBorders>
              <w:top w:val="single" w:sz="8" w:space="0" w:color="auto"/>
              <w:left w:val="nil"/>
              <w:bottom w:val="single" w:sz="8" w:space="0" w:color="auto"/>
              <w:right w:val="single" w:sz="8" w:space="0" w:color="000000"/>
            </w:tcBorders>
            <w:vAlign w:val="center"/>
            <w:hideMark/>
          </w:tcPr>
          <w:p w14:paraId="7811AF2A" w14:textId="450D5D11"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321DE5" w:rsidRPr="00FF386D">
              <w:rPr>
                <w:rFonts w:ascii="Calibri Light" w:eastAsia="Times New Roman" w:hAnsi="Calibri Light" w:cs="Calibri Light"/>
                <w:color w:val="000000"/>
                <w:sz w:val="20"/>
                <w:szCs w:val="20"/>
                <w:lang w:eastAsia="en-GB"/>
              </w:rPr>
              <w:t>ска средства</w:t>
            </w:r>
          </w:p>
        </w:tc>
      </w:tr>
    </w:tbl>
    <w:p w14:paraId="331EA934" w14:textId="77777777" w:rsidR="00854ADA" w:rsidRPr="00FF386D" w:rsidRDefault="00854ADA" w:rsidP="00854ADA">
      <w:pPr>
        <w:spacing w:before="120" w:after="120" w:line="240" w:lineRule="auto"/>
        <w:jc w:val="both"/>
        <w:rPr>
          <w:rFonts w:asciiTheme="majorHAnsi" w:eastAsia="Times New Roman" w:hAnsiTheme="majorHAnsi" w:cstheme="majorHAnsi"/>
          <w:sz w:val="20"/>
          <w:szCs w:val="20"/>
          <w:lang w:eastAsia="el-GR"/>
        </w:rPr>
      </w:pPr>
    </w:p>
    <w:tbl>
      <w:tblPr>
        <w:tblW w:w="9488" w:type="dxa"/>
        <w:tblLook w:val="04A0" w:firstRow="1" w:lastRow="0" w:firstColumn="1" w:lastColumn="0" w:noHBand="0" w:noVBand="1"/>
      </w:tblPr>
      <w:tblGrid>
        <w:gridCol w:w="3343"/>
        <w:gridCol w:w="941"/>
        <w:gridCol w:w="945"/>
        <w:gridCol w:w="4259"/>
      </w:tblGrid>
      <w:tr w:rsidR="00854ADA" w:rsidRPr="00FF386D" w14:paraId="338EE196" w14:textId="77777777" w:rsidTr="0057310C">
        <w:trPr>
          <w:trHeight w:val="780"/>
        </w:trPr>
        <w:tc>
          <w:tcPr>
            <w:tcW w:w="3343"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3A4DEF95" w14:textId="23CFF572" w:rsidR="00854ADA" w:rsidRPr="00FF386D" w:rsidRDefault="00DB1C84" w:rsidP="00854ADA">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 xml:space="preserve">: </w:t>
            </w:r>
          </w:p>
        </w:tc>
        <w:tc>
          <w:tcPr>
            <w:tcW w:w="941" w:type="dxa"/>
            <w:tcBorders>
              <w:top w:val="single" w:sz="8" w:space="0" w:color="auto"/>
              <w:left w:val="nil"/>
              <w:bottom w:val="single" w:sz="8" w:space="0" w:color="auto"/>
              <w:right w:val="single" w:sz="8" w:space="0" w:color="auto"/>
            </w:tcBorders>
            <w:shd w:val="clear" w:color="auto" w:fill="E7E6E6" w:themeFill="background2"/>
            <w:vAlign w:val="center"/>
            <w:hideMark/>
          </w:tcPr>
          <w:p w14:paraId="5AECE9BD" w14:textId="77777777"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ПМ_EС7</w:t>
            </w:r>
          </w:p>
        </w:tc>
        <w:tc>
          <w:tcPr>
            <w:tcW w:w="945" w:type="dxa"/>
            <w:tcBorders>
              <w:top w:val="single" w:sz="8" w:space="0" w:color="auto"/>
              <w:left w:val="nil"/>
              <w:bottom w:val="single" w:sz="8" w:space="0" w:color="auto"/>
              <w:right w:val="single" w:sz="8" w:space="0" w:color="auto"/>
            </w:tcBorders>
            <w:shd w:val="clear" w:color="auto" w:fill="244062"/>
            <w:vAlign w:val="center"/>
            <w:hideMark/>
          </w:tcPr>
          <w:p w14:paraId="4DCFE3DB"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Назив</w:t>
            </w:r>
            <w:r w:rsidRPr="000A2AFE">
              <w:rPr>
                <w:rFonts w:asciiTheme="majorHAnsi" w:eastAsia="Times New Roman" w:hAnsiTheme="majorHAnsi" w:cstheme="majorHAnsi"/>
                <w:b/>
                <w:bCs/>
                <w:color w:val="FFFFFF"/>
                <w:sz w:val="20"/>
                <w:szCs w:val="20"/>
                <w:lang w:eastAsia="en-GB"/>
              </w:rPr>
              <w:t xml:space="preserve">: </w:t>
            </w:r>
          </w:p>
        </w:tc>
        <w:tc>
          <w:tcPr>
            <w:tcW w:w="4259" w:type="dxa"/>
            <w:tcBorders>
              <w:top w:val="single" w:sz="8" w:space="0" w:color="auto"/>
              <w:left w:val="nil"/>
              <w:bottom w:val="single" w:sz="8" w:space="0" w:color="auto"/>
              <w:right w:val="single" w:sz="8" w:space="0" w:color="auto"/>
            </w:tcBorders>
            <w:shd w:val="clear" w:color="auto" w:fill="E7E6E6" w:themeFill="background2"/>
            <w:vAlign w:val="center"/>
            <w:hideMark/>
          </w:tcPr>
          <w:p w14:paraId="3B652D7D" w14:textId="0932F6C2" w:rsidR="00854ADA" w:rsidRPr="00FF386D" w:rsidRDefault="00854ADA" w:rsidP="00854ADA">
            <w:pPr>
              <w:spacing w:after="0" w:line="240" w:lineRule="auto"/>
              <w:rPr>
                <w:rFonts w:asciiTheme="majorHAnsi" w:eastAsia="Times New Roman" w:hAnsiTheme="majorHAnsi" w:cstheme="majorHAnsi"/>
                <w:b/>
                <w:bCs/>
                <w:color w:val="000000"/>
                <w:sz w:val="20"/>
                <w:szCs w:val="20"/>
                <w:lang w:eastAsia="en-GB"/>
              </w:rPr>
            </w:pPr>
            <w:r w:rsidRPr="000A2AFE">
              <w:rPr>
                <w:rFonts w:asciiTheme="majorHAnsi" w:eastAsia="Times New Roman" w:hAnsiTheme="majorHAnsi" w:cstheme="majorHAnsi"/>
                <w:b/>
                <w:bCs/>
                <w:color w:val="000000"/>
                <w:sz w:val="20"/>
                <w:szCs w:val="20"/>
                <w:lang w:eastAsia="en-GB"/>
              </w:rPr>
              <w:t>Ажурирање прописа о сигурности снабдевања (</w:t>
            </w:r>
            <w:r w:rsidR="00A02F04">
              <w:rPr>
                <w:rFonts w:asciiTheme="majorHAnsi" w:eastAsia="Times New Roman" w:hAnsiTheme="majorHAnsi" w:cstheme="majorHAnsi"/>
                <w:b/>
                <w:bCs/>
                <w:color w:val="000000"/>
                <w:sz w:val="20"/>
                <w:szCs w:val="20"/>
                <w:lang w:eastAsia="en-GB"/>
              </w:rPr>
              <w:t>бар</w:t>
            </w:r>
            <w:r w:rsidRPr="000A2AFE">
              <w:rPr>
                <w:rFonts w:asciiTheme="majorHAnsi" w:eastAsia="Times New Roman" w:hAnsiTheme="majorHAnsi" w:cstheme="majorHAnsi"/>
                <w:b/>
                <w:bCs/>
                <w:color w:val="000000"/>
                <w:sz w:val="20"/>
                <w:szCs w:val="20"/>
                <w:lang w:eastAsia="en-GB"/>
              </w:rPr>
              <w:t xml:space="preserve"> на националном нивоу)</w:t>
            </w:r>
          </w:p>
        </w:tc>
      </w:tr>
      <w:tr w:rsidR="00854ADA" w:rsidRPr="00FF386D" w14:paraId="3378F095" w14:textId="77777777" w:rsidTr="0057310C">
        <w:trPr>
          <w:trHeight w:val="572"/>
        </w:trPr>
        <w:tc>
          <w:tcPr>
            <w:tcW w:w="3343" w:type="dxa"/>
            <w:tcBorders>
              <w:top w:val="nil"/>
              <w:left w:val="single" w:sz="8" w:space="0" w:color="auto"/>
              <w:bottom w:val="single" w:sz="8" w:space="0" w:color="auto"/>
              <w:right w:val="nil"/>
            </w:tcBorders>
            <w:shd w:val="clear" w:color="000000" w:fill="244062"/>
            <w:vAlign w:val="center"/>
            <w:hideMark/>
          </w:tcPr>
          <w:p w14:paraId="0B7114C8"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145" w:type="dxa"/>
            <w:gridSpan w:val="3"/>
            <w:tcBorders>
              <w:top w:val="single" w:sz="8" w:space="0" w:color="auto"/>
              <w:left w:val="nil"/>
              <w:bottom w:val="single" w:sz="8" w:space="0" w:color="auto"/>
              <w:right w:val="single" w:sz="8" w:space="0" w:color="000000"/>
            </w:tcBorders>
            <w:vAlign w:val="center"/>
          </w:tcPr>
          <w:p w14:paraId="0C36F59B" w14:textId="3BAE2ECF"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Отпорност у случају ограничења или прекида у снабдевању енергентом, флексибилност националног енергетског система</w:t>
            </w:r>
            <w:r w:rsidR="00521BF2" w:rsidRPr="00521BF2">
              <w:rPr>
                <w:rFonts w:ascii="Calibri Light" w:hAnsi="Calibri Light"/>
                <w:sz w:val="20"/>
              </w:rPr>
              <w:t xml:space="preserve"> јачање регионалне сарадње у енергетици и унапређена интеграција регионалног тржишта.</w:t>
            </w:r>
          </w:p>
        </w:tc>
      </w:tr>
      <w:tr w:rsidR="00854ADA" w:rsidRPr="00FF386D" w14:paraId="5CE97264" w14:textId="77777777" w:rsidTr="0057310C">
        <w:trPr>
          <w:trHeight w:val="315"/>
        </w:trPr>
        <w:tc>
          <w:tcPr>
            <w:tcW w:w="3343" w:type="dxa"/>
            <w:tcBorders>
              <w:top w:val="nil"/>
              <w:left w:val="single" w:sz="8" w:space="0" w:color="auto"/>
              <w:bottom w:val="single" w:sz="8" w:space="0" w:color="auto"/>
              <w:right w:val="single" w:sz="8" w:space="0" w:color="auto"/>
            </w:tcBorders>
            <w:shd w:val="clear" w:color="000000" w:fill="244062"/>
            <w:vAlign w:val="center"/>
            <w:hideMark/>
          </w:tcPr>
          <w:p w14:paraId="41B26396"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Квантификовани циљ: </w:t>
            </w:r>
          </w:p>
        </w:tc>
        <w:tc>
          <w:tcPr>
            <w:tcW w:w="6145" w:type="dxa"/>
            <w:gridSpan w:val="3"/>
            <w:tcBorders>
              <w:top w:val="single" w:sz="8" w:space="0" w:color="auto"/>
              <w:left w:val="nil"/>
              <w:bottom w:val="single" w:sz="8" w:space="0" w:color="auto"/>
              <w:right w:val="single" w:sz="8" w:space="0" w:color="000000"/>
            </w:tcBorders>
            <w:vAlign w:val="center"/>
          </w:tcPr>
          <w:p w14:paraId="73A35B10"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eastAsia="NSimSun" w:hAnsi="Calibri Light" w:cs="Mangal"/>
                <w:kern w:val="2"/>
                <w:sz w:val="20"/>
                <w:szCs w:val="24"/>
                <w:lang w:eastAsia="zh-CN" w:bidi="hi-IN"/>
              </w:rPr>
              <w:t>Нема података</w:t>
            </w:r>
          </w:p>
        </w:tc>
      </w:tr>
      <w:tr w:rsidR="00854ADA" w:rsidRPr="00FF386D" w14:paraId="0384180E" w14:textId="77777777" w:rsidTr="0057310C">
        <w:trPr>
          <w:trHeight w:val="584"/>
        </w:trPr>
        <w:tc>
          <w:tcPr>
            <w:tcW w:w="3343" w:type="dxa"/>
            <w:tcBorders>
              <w:top w:val="nil"/>
              <w:left w:val="single" w:sz="8" w:space="0" w:color="auto"/>
              <w:bottom w:val="single" w:sz="8" w:space="0" w:color="auto"/>
              <w:right w:val="single" w:sz="8" w:space="0" w:color="auto"/>
            </w:tcBorders>
            <w:shd w:val="clear" w:color="000000" w:fill="244062"/>
            <w:vAlign w:val="center"/>
            <w:hideMark/>
          </w:tcPr>
          <w:p w14:paraId="02D650A8"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145" w:type="dxa"/>
            <w:gridSpan w:val="3"/>
            <w:tcBorders>
              <w:top w:val="single" w:sz="8" w:space="0" w:color="auto"/>
              <w:left w:val="nil"/>
              <w:bottom w:val="single" w:sz="8" w:space="0" w:color="auto"/>
              <w:right w:val="single" w:sz="8" w:space="0" w:color="000000"/>
            </w:tcBorders>
            <w:vAlign w:val="center"/>
          </w:tcPr>
          <w:p w14:paraId="72E0E6D7" w14:textId="5E749786" w:rsidR="00854ADA" w:rsidRPr="00FF386D" w:rsidRDefault="00854ADA" w:rsidP="00854ADA">
            <w:pPr>
              <w:widowControl w:val="0"/>
              <w:suppressLineNumbers/>
              <w:suppressAutoHyphens/>
              <w:spacing w:after="0" w:line="240" w:lineRule="auto"/>
              <w:jc w:val="both"/>
              <w:rPr>
                <w:rFonts w:ascii="Calibri Light" w:eastAsia="NSimSun" w:hAnsi="Calibri Light" w:cs="Mangal"/>
                <w:kern w:val="2"/>
                <w:sz w:val="20"/>
                <w:szCs w:val="24"/>
                <w:lang w:eastAsia="zh-CN" w:bidi="hi-IN"/>
              </w:rPr>
            </w:pPr>
            <w:r w:rsidRPr="00FF386D">
              <w:rPr>
                <w:rFonts w:ascii="Calibri Light" w:eastAsia="NSimSun" w:hAnsi="Calibri Light" w:cs="Mangal"/>
                <w:kern w:val="2"/>
                <w:sz w:val="20"/>
                <w:szCs w:val="24"/>
                <w:lang w:eastAsia="zh-CN" w:bidi="hi-IN"/>
              </w:rPr>
              <w:t>Уредба о у</w:t>
            </w:r>
            <w:r w:rsidR="00CC418B" w:rsidRPr="00FF386D">
              <w:rPr>
                <w:rFonts w:ascii="Calibri Light" w:eastAsia="NSimSun" w:hAnsi="Calibri Light" w:cs="Mangal"/>
                <w:kern w:val="2"/>
                <w:sz w:val="20"/>
                <w:szCs w:val="24"/>
                <w:lang w:eastAsia="zh-CN" w:bidi="hi-IN"/>
              </w:rPr>
              <w:t>тврђивању</w:t>
            </w:r>
            <w:r w:rsidRPr="00FF386D">
              <w:rPr>
                <w:rFonts w:ascii="Calibri Light" w:eastAsia="NSimSun" w:hAnsi="Calibri Light" w:cs="Mangal"/>
                <w:kern w:val="2"/>
                <w:sz w:val="20"/>
                <w:szCs w:val="24"/>
                <w:lang w:eastAsia="zh-CN" w:bidi="hi-IN"/>
              </w:rPr>
              <w:t xml:space="preserve"> Кризног плана ради обезбеђења снабдевања природним гасом и Уредба о утврђивању превентивног акционог плана ради обезбеђења снабдевања природним гасом, које су донете у 2018. години, у складу су са захтевима Уредбе ЕУ 994/2010 о мерама за обезбеђивање снабдевања природним гасом.</w:t>
            </w:r>
          </w:p>
          <w:p w14:paraId="70FACF79" w14:textId="77777777" w:rsidR="00854ADA" w:rsidRPr="00FF386D" w:rsidRDefault="00854ADA" w:rsidP="00854ADA">
            <w:pPr>
              <w:spacing w:after="0" w:line="240" w:lineRule="auto"/>
              <w:jc w:val="both"/>
              <w:rPr>
                <w:rFonts w:ascii="Calibri Light" w:hAnsi="Calibri Light"/>
                <w:sz w:val="20"/>
              </w:rPr>
            </w:pPr>
            <w:r w:rsidRPr="00FF386D">
              <w:rPr>
                <w:rFonts w:ascii="Calibri Light" w:hAnsi="Calibri Light"/>
                <w:sz w:val="20"/>
              </w:rPr>
              <w:t>У наредном периоду ови акти ће бити усклађени са захтевима Уредбе ЕУ 2017/1938 о мерама за обезбеђивање снабдевања природним гасом</w:t>
            </w:r>
            <w:r w:rsidR="00321DE5" w:rsidRPr="00FF386D">
              <w:rPr>
                <w:rFonts w:ascii="Calibri Light" w:hAnsi="Calibri Light"/>
                <w:sz w:val="20"/>
              </w:rPr>
              <w:t>.</w:t>
            </w:r>
          </w:p>
          <w:p w14:paraId="3904AD96" w14:textId="31E209BD" w:rsidR="00321DE5" w:rsidRPr="00FF386D" w:rsidRDefault="00321DE5"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hAnsiTheme="majorHAnsi"/>
                <w:sz w:val="20"/>
              </w:rPr>
              <w:t xml:space="preserve">Како би се постигли циљеви ИНЕКП, размотриће се привремена подстицајна мера </w:t>
            </w:r>
            <w:r w:rsidR="00CC418B" w:rsidRPr="00FF386D">
              <w:rPr>
                <w:rFonts w:asciiTheme="majorHAnsi" w:hAnsiTheme="majorHAnsi"/>
                <w:sz w:val="20"/>
              </w:rPr>
              <w:t>преко</w:t>
            </w:r>
            <w:r w:rsidRPr="00FF386D">
              <w:rPr>
                <w:rFonts w:asciiTheme="majorHAnsi" w:hAnsiTheme="majorHAnsi"/>
                <w:sz w:val="20"/>
              </w:rPr>
              <w:t xml:space="preserve"> механиз</w:t>
            </w:r>
            <w:r w:rsidR="00CC418B" w:rsidRPr="00FF386D">
              <w:rPr>
                <w:rFonts w:asciiTheme="majorHAnsi" w:hAnsiTheme="majorHAnsi"/>
                <w:sz w:val="20"/>
              </w:rPr>
              <w:t>ама</w:t>
            </w:r>
            <w:r w:rsidRPr="00FF386D">
              <w:rPr>
                <w:rFonts w:asciiTheme="majorHAnsi" w:hAnsiTheme="majorHAnsi"/>
                <w:sz w:val="20"/>
              </w:rPr>
              <w:t xml:space="preserve"> на</w:t>
            </w:r>
            <w:r w:rsidR="00FE3EB7" w:rsidRPr="00FF386D">
              <w:rPr>
                <w:rFonts w:asciiTheme="majorHAnsi" w:hAnsiTheme="majorHAnsi"/>
                <w:sz w:val="20"/>
              </w:rPr>
              <w:t>кнад</w:t>
            </w:r>
            <w:r w:rsidR="00CC418B" w:rsidRPr="00FF386D">
              <w:rPr>
                <w:rFonts w:asciiTheme="majorHAnsi" w:hAnsiTheme="majorHAnsi"/>
                <w:sz w:val="20"/>
              </w:rPr>
              <w:t>е</w:t>
            </w:r>
            <w:r w:rsidRPr="00FF386D">
              <w:rPr>
                <w:rFonts w:asciiTheme="majorHAnsi" w:hAnsiTheme="majorHAnsi"/>
                <w:sz w:val="20"/>
              </w:rPr>
              <w:t>. Овом мером ће бити обезбеђене н</w:t>
            </w:r>
            <w:r w:rsidR="00FE3EB7" w:rsidRPr="00FF386D">
              <w:rPr>
                <w:rFonts w:asciiTheme="majorHAnsi" w:hAnsiTheme="majorHAnsi"/>
                <w:sz w:val="20"/>
              </w:rPr>
              <w:t>акнаде</w:t>
            </w:r>
            <w:r w:rsidRPr="00FF386D">
              <w:rPr>
                <w:rFonts w:asciiTheme="majorHAnsi" w:hAnsiTheme="majorHAnsi"/>
                <w:sz w:val="20"/>
              </w:rPr>
              <w:t xml:space="preserve"> </w:t>
            </w:r>
            <w:r w:rsidR="00FE3EB7" w:rsidRPr="00FF386D">
              <w:rPr>
                <w:rFonts w:asciiTheme="majorHAnsi" w:hAnsiTheme="majorHAnsi"/>
                <w:sz w:val="20"/>
              </w:rPr>
              <w:t>учесницима који испуњавају услове за њихов допринос сигурности снабдевања на средњорочном и дугорочном нивоу (нпр. за могућност да повећају производњу или смање потражњу када буде потребно).</w:t>
            </w:r>
          </w:p>
        </w:tc>
      </w:tr>
      <w:tr w:rsidR="00854ADA" w:rsidRPr="00FF386D" w14:paraId="5B928CC0" w14:textId="77777777" w:rsidTr="0057310C">
        <w:trPr>
          <w:trHeight w:val="315"/>
        </w:trPr>
        <w:tc>
          <w:tcPr>
            <w:tcW w:w="3343" w:type="dxa"/>
            <w:tcBorders>
              <w:top w:val="nil"/>
              <w:left w:val="single" w:sz="8" w:space="0" w:color="auto"/>
              <w:bottom w:val="single" w:sz="8" w:space="0" w:color="auto"/>
              <w:right w:val="single" w:sz="8" w:space="0" w:color="auto"/>
            </w:tcBorders>
            <w:shd w:val="clear" w:color="000000" w:fill="244062"/>
            <w:vAlign w:val="center"/>
            <w:hideMark/>
          </w:tcPr>
          <w:p w14:paraId="7D9B8C47"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145" w:type="dxa"/>
            <w:gridSpan w:val="3"/>
            <w:tcBorders>
              <w:top w:val="single" w:sz="8" w:space="0" w:color="auto"/>
              <w:left w:val="nil"/>
              <w:bottom w:val="single" w:sz="8" w:space="0" w:color="auto"/>
              <w:right w:val="single" w:sz="8" w:space="0" w:color="000000"/>
            </w:tcBorders>
            <w:vAlign w:val="center"/>
            <w:hideMark/>
          </w:tcPr>
          <w:p w14:paraId="53616CAA" w14:textId="1A991709"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2021-202</w:t>
            </w:r>
            <w:r w:rsidR="00FE3EB7" w:rsidRPr="00FF386D">
              <w:rPr>
                <w:rFonts w:ascii="Calibri Light" w:hAnsi="Calibri Light"/>
                <w:sz w:val="20"/>
              </w:rPr>
              <w:t>5.</w:t>
            </w:r>
          </w:p>
        </w:tc>
      </w:tr>
      <w:tr w:rsidR="00854ADA" w:rsidRPr="00FF386D" w14:paraId="2A00A9E3" w14:textId="77777777" w:rsidTr="0057310C">
        <w:trPr>
          <w:trHeight w:val="315"/>
        </w:trPr>
        <w:tc>
          <w:tcPr>
            <w:tcW w:w="3343" w:type="dxa"/>
            <w:tcBorders>
              <w:top w:val="nil"/>
              <w:left w:val="single" w:sz="8" w:space="0" w:color="auto"/>
              <w:bottom w:val="single" w:sz="8" w:space="0" w:color="auto"/>
              <w:right w:val="single" w:sz="8" w:space="0" w:color="auto"/>
            </w:tcBorders>
            <w:shd w:val="clear" w:color="000000" w:fill="244062"/>
            <w:vAlign w:val="center"/>
            <w:hideMark/>
          </w:tcPr>
          <w:p w14:paraId="202E772C"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145" w:type="dxa"/>
            <w:gridSpan w:val="3"/>
            <w:tcBorders>
              <w:top w:val="single" w:sz="8" w:space="0" w:color="auto"/>
              <w:left w:val="nil"/>
              <w:bottom w:val="single" w:sz="8" w:space="0" w:color="auto"/>
              <w:right w:val="single" w:sz="8" w:space="0" w:color="000000"/>
            </w:tcBorders>
            <w:vAlign w:val="center"/>
            <w:hideMark/>
          </w:tcPr>
          <w:p w14:paraId="319E8929"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Реформа</w:t>
            </w:r>
          </w:p>
        </w:tc>
      </w:tr>
      <w:tr w:rsidR="00854ADA" w:rsidRPr="00FF386D" w14:paraId="7337D851" w14:textId="77777777" w:rsidTr="0057310C">
        <w:trPr>
          <w:trHeight w:val="315"/>
        </w:trPr>
        <w:tc>
          <w:tcPr>
            <w:tcW w:w="3343" w:type="dxa"/>
            <w:tcBorders>
              <w:top w:val="nil"/>
              <w:left w:val="single" w:sz="8" w:space="0" w:color="auto"/>
              <w:bottom w:val="single" w:sz="8" w:space="0" w:color="auto"/>
              <w:right w:val="single" w:sz="8" w:space="0" w:color="auto"/>
            </w:tcBorders>
            <w:shd w:val="clear" w:color="000000" w:fill="244062"/>
            <w:vAlign w:val="center"/>
            <w:hideMark/>
          </w:tcPr>
          <w:p w14:paraId="76822195"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145" w:type="dxa"/>
            <w:gridSpan w:val="3"/>
            <w:tcBorders>
              <w:top w:val="single" w:sz="8" w:space="0" w:color="auto"/>
              <w:left w:val="nil"/>
              <w:bottom w:val="single" w:sz="8" w:space="0" w:color="auto"/>
              <w:right w:val="single" w:sz="8" w:space="0" w:color="000000"/>
            </w:tcBorders>
            <w:vAlign w:val="center"/>
            <w:hideMark/>
          </w:tcPr>
          <w:p w14:paraId="794F5334" w14:textId="3C48E3D4" w:rsidR="00854ADA" w:rsidRPr="00FF386D" w:rsidRDefault="00CC418B"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Електрична енергија, гас</w:t>
            </w:r>
          </w:p>
        </w:tc>
      </w:tr>
      <w:tr w:rsidR="00854ADA" w:rsidRPr="00FF386D" w14:paraId="74ED3A13" w14:textId="77777777" w:rsidTr="0057310C">
        <w:trPr>
          <w:trHeight w:val="315"/>
        </w:trPr>
        <w:tc>
          <w:tcPr>
            <w:tcW w:w="3343" w:type="dxa"/>
            <w:tcBorders>
              <w:top w:val="nil"/>
              <w:left w:val="single" w:sz="8" w:space="0" w:color="auto"/>
              <w:bottom w:val="single" w:sz="8" w:space="0" w:color="auto"/>
              <w:right w:val="single" w:sz="8" w:space="0" w:color="auto"/>
            </w:tcBorders>
            <w:shd w:val="clear" w:color="000000" w:fill="244062"/>
            <w:vAlign w:val="center"/>
            <w:hideMark/>
          </w:tcPr>
          <w:p w14:paraId="407280F4"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145" w:type="dxa"/>
            <w:gridSpan w:val="3"/>
            <w:tcBorders>
              <w:top w:val="single" w:sz="8" w:space="0" w:color="auto"/>
              <w:left w:val="nil"/>
              <w:bottom w:val="single" w:sz="8" w:space="0" w:color="auto"/>
              <w:right w:val="single" w:sz="8" w:space="0" w:color="000000"/>
            </w:tcBorders>
            <w:vAlign w:val="center"/>
            <w:hideMark/>
          </w:tcPr>
          <w:p w14:paraId="03C9EF47" w14:textId="77777777" w:rsidR="00854ADA" w:rsidRPr="00FF386D" w:rsidRDefault="00854ADA" w:rsidP="00854ADA">
            <w:pPr>
              <w:numPr>
                <w:ilvl w:val="0"/>
                <w:numId w:val="36"/>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рударства и енергетике</w:t>
            </w:r>
          </w:p>
        </w:tc>
      </w:tr>
      <w:tr w:rsidR="00854ADA" w:rsidRPr="00FF386D" w14:paraId="329CF19A" w14:textId="77777777" w:rsidTr="0057310C">
        <w:trPr>
          <w:trHeight w:val="315"/>
        </w:trPr>
        <w:tc>
          <w:tcPr>
            <w:tcW w:w="3343" w:type="dxa"/>
            <w:tcBorders>
              <w:top w:val="nil"/>
              <w:left w:val="single" w:sz="8" w:space="0" w:color="auto"/>
              <w:bottom w:val="single" w:sz="8" w:space="0" w:color="auto"/>
              <w:right w:val="nil"/>
            </w:tcBorders>
            <w:shd w:val="clear" w:color="000000" w:fill="244062"/>
            <w:vAlign w:val="center"/>
            <w:hideMark/>
          </w:tcPr>
          <w:p w14:paraId="4BD9EF73"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145" w:type="dxa"/>
            <w:gridSpan w:val="3"/>
            <w:tcBorders>
              <w:top w:val="single" w:sz="8" w:space="0" w:color="auto"/>
              <w:left w:val="nil"/>
              <w:bottom w:val="single" w:sz="8" w:space="0" w:color="auto"/>
              <w:right w:val="single" w:sz="8" w:space="0" w:color="000000"/>
            </w:tcBorders>
            <w:vAlign w:val="center"/>
            <w:hideMark/>
          </w:tcPr>
          <w:p w14:paraId="02C3F50F" w14:textId="77777777" w:rsidR="00854ADA" w:rsidRPr="00FF386D" w:rsidRDefault="00854ADA" w:rsidP="00854ADA">
            <w:pPr>
              <w:numPr>
                <w:ilvl w:val="0"/>
                <w:numId w:val="36"/>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рударства и енергетике</w:t>
            </w:r>
          </w:p>
        </w:tc>
      </w:tr>
      <w:tr w:rsidR="00854ADA" w:rsidRPr="00FF386D" w14:paraId="375AE93E" w14:textId="77777777" w:rsidTr="0057310C">
        <w:trPr>
          <w:trHeight w:val="315"/>
        </w:trPr>
        <w:tc>
          <w:tcPr>
            <w:tcW w:w="3343" w:type="dxa"/>
            <w:tcBorders>
              <w:top w:val="nil"/>
              <w:left w:val="single" w:sz="8" w:space="0" w:color="auto"/>
              <w:bottom w:val="single" w:sz="8" w:space="0" w:color="auto"/>
              <w:right w:val="nil"/>
            </w:tcBorders>
            <w:shd w:val="clear" w:color="000000" w:fill="244062"/>
            <w:vAlign w:val="center"/>
            <w:hideMark/>
          </w:tcPr>
          <w:p w14:paraId="49ED80C8"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145" w:type="dxa"/>
            <w:gridSpan w:val="3"/>
            <w:tcBorders>
              <w:top w:val="single" w:sz="8" w:space="0" w:color="auto"/>
              <w:left w:val="nil"/>
              <w:bottom w:val="single" w:sz="8" w:space="0" w:color="auto"/>
              <w:right w:val="single" w:sz="8" w:space="0" w:color="000000"/>
            </w:tcBorders>
            <w:vAlign w:val="center"/>
            <w:hideMark/>
          </w:tcPr>
          <w:p w14:paraId="37724F59"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Доношење прописа, припрема превентивног и акционог плана за ванредне ситуације према ажурираној уредби</w:t>
            </w:r>
          </w:p>
        </w:tc>
      </w:tr>
      <w:tr w:rsidR="00854ADA" w:rsidRPr="00FF386D" w14:paraId="44D76BE2" w14:textId="77777777" w:rsidTr="0057310C">
        <w:trPr>
          <w:trHeight w:val="387"/>
        </w:trPr>
        <w:tc>
          <w:tcPr>
            <w:tcW w:w="3343" w:type="dxa"/>
            <w:tcBorders>
              <w:top w:val="nil"/>
              <w:left w:val="single" w:sz="8" w:space="0" w:color="auto"/>
              <w:bottom w:val="single" w:sz="8" w:space="0" w:color="auto"/>
              <w:right w:val="single" w:sz="8" w:space="0" w:color="auto"/>
            </w:tcBorders>
            <w:shd w:val="clear" w:color="000000" w:fill="244062"/>
            <w:vAlign w:val="center"/>
            <w:hideMark/>
          </w:tcPr>
          <w:p w14:paraId="35B2B62F"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145" w:type="dxa"/>
            <w:gridSpan w:val="3"/>
            <w:tcBorders>
              <w:top w:val="single" w:sz="8" w:space="0" w:color="auto"/>
              <w:left w:val="nil"/>
              <w:bottom w:val="single" w:sz="8" w:space="0" w:color="auto"/>
              <w:right w:val="single" w:sz="8" w:space="0" w:color="000000"/>
            </w:tcBorders>
            <w:vAlign w:val="center"/>
          </w:tcPr>
          <w:p w14:paraId="4B9F5A5C" w14:textId="77777777" w:rsidR="00854ADA" w:rsidRDefault="00521BF2" w:rsidP="00521BF2">
            <w:pPr>
              <w:pStyle w:val="ListParagraph"/>
              <w:numPr>
                <w:ilvl w:val="0"/>
                <w:numId w:val="36"/>
              </w:numPr>
              <w:spacing w:after="0" w:line="240" w:lineRule="auto"/>
              <w:jc w:val="both"/>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Унутрашње енергетско тржиште</w:t>
            </w:r>
          </w:p>
          <w:p w14:paraId="2403E791" w14:textId="0A6374C1" w:rsidR="00521BF2" w:rsidRPr="000A2AFE" w:rsidRDefault="00521BF2" w:rsidP="000A2AFE">
            <w:pPr>
              <w:pStyle w:val="ListParagraph"/>
              <w:numPr>
                <w:ilvl w:val="0"/>
                <w:numId w:val="36"/>
              </w:numPr>
              <w:spacing w:after="0" w:line="240" w:lineRule="auto"/>
              <w:jc w:val="both"/>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Декарбонизација</w:t>
            </w:r>
          </w:p>
        </w:tc>
      </w:tr>
      <w:tr w:rsidR="00854ADA" w:rsidRPr="00FF386D" w14:paraId="73B3C40D" w14:textId="77777777" w:rsidTr="0057310C">
        <w:trPr>
          <w:trHeight w:val="450"/>
        </w:trPr>
        <w:tc>
          <w:tcPr>
            <w:tcW w:w="3343"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17529E83" w14:textId="354C28C0" w:rsidR="00854ADA" w:rsidRPr="00FF386D" w:rsidRDefault="004D35DC"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145"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5797C029" w14:textId="77777777" w:rsidR="00854ADA" w:rsidRPr="00FF386D" w:rsidRDefault="00854ADA" w:rsidP="00854ADA">
            <w:pPr>
              <w:rPr>
                <w:rFonts w:asciiTheme="majorHAnsi" w:eastAsia="Times New Roman" w:hAnsiTheme="majorHAnsi" w:cstheme="majorHAnsi"/>
                <w:b/>
                <w:bCs/>
                <w:color w:val="FFFFFF"/>
                <w:sz w:val="20"/>
                <w:szCs w:val="20"/>
                <w:lang w:eastAsia="en-GB"/>
              </w:rPr>
            </w:pPr>
          </w:p>
        </w:tc>
      </w:tr>
      <w:tr w:rsidR="00854ADA" w:rsidRPr="00FF386D" w14:paraId="74D3F389"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52751AC9" w14:textId="77777777" w:rsidR="00854ADA" w:rsidRPr="00FF386D" w:rsidRDefault="00854ADA" w:rsidP="00854ADA">
            <w:pPr>
              <w:spacing w:after="0" w:line="256" w:lineRule="auto"/>
              <w:rPr>
                <w:rFonts w:asciiTheme="majorHAnsi" w:eastAsia="Times New Roman" w:hAnsiTheme="majorHAnsi" w:cstheme="majorHAnsi"/>
                <w:b/>
                <w:bCs/>
                <w:color w:val="FFFFFF"/>
                <w:sz w:val="20"/>
                <w:szCs w:val="20"/>
                <w:lang w:eastAsia="en-GB"/>
              </w:rPr>
            </w:pPr>
          </w:p>
        </w:tc>
        <w:tc>
          <w:tcPr>
            <w:tcW w:w="6145" w:type="dxa"/>
            <w:gridSpan w:val="3"/>
            <w:vMerge/>
            <w:tcBorders>
              <w:top w:val="single" w:sz="8" w:space="0" w:color="auto"/>
              <w:left w:val="single" w:sz="8" w:space="0" w:color="auto"/>
              <w:bottom w:val="single" w:sz="8" w:space="0" w:color="000000"/>
              <w:right w:val="single" w:sz="8" w:space="0" w:color="000000"/>
            </w:tcBorders>
            <w:vAlign w:val="center"/>
            <w:hideMark/>
          </w:tcPr>
          <w:p w14:paraId="719178CB" w14:textId="77777777" w:rsidR="00854ADA" w:rsidRPr="00FF386D" w:rsidRDefault="00854ADA" w:rsidP="00854ADA">
            <w:pPr>
              <w:spacing w:after="0" w:line="256" w:lineRule="auto"/>
              <w:rPr>
                <w:rFonts w:asciiTheme="majorHAnsi" w:eastAsia="Times New Roman" w:hAnsiTheme="majorHAnsi" w:cstheme="majorHAnsi"/>
                <w:b/>
                <w:bCs/>
                <w:color w:val="FFFFFF"/>
                <w:sz w:val="20"/>
                <w:szCs w:val="20"/>
                <w:lang w:eastAsia="en-GB"/>
              </w:rPr>
            </w:pPr>
          </w:p>
        </w:tc>
      </w:tr>
      <w:tr w:rsidR="00854ADA" w:rsidRPr="00FF386D" w14:paraId="146A6AD1"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0232CF47" w14:textId="77777777" w:rsidR="00854ADA" w:rsidRPr="00FF386D" w:rsidRDefault="00854ADA" w:rsidP="00854ADA">
            <w:pPr>
              <w:spacing w:after="0" w:line="256" w:lineRule="auto"/>
              <w:rPr>
                <w:rFonts w:asciiTheme="majorHAnsi" w:eastAsia="Times New Roman" w:hAnsiTheme="majorHAnsi" w:cstheme="majorHAnsi"/>
                <w:b/>
                <w:bCs/>
                <w:color w:val="FFFFFF"/>
                <w:sz w:val="20"/>
                <w:szCs w:val="20"/>
                <w:lang w:eastAsia="en-GB"/>
              </w:rPr>
            </w:pPr>
          </w:p>
        </w:tc>
        <w:tc>
          <w:tcPr>
            <w:tcW w:w="6145" w:type="dxa"/>
            <w:gridSpan w:val="3"/>
            <w:vMerge/>
            <w:tcBorders>
              <w:top w:val="single" w:sz="8" w:space="0" w:color="auto"/>
              <w:left w:val="single" w:sz="8" w:space="0" w:color="auto"/>
              <w:bottom w:val="single" w:sz="8" w:space="0" w:color="000000"/>
              <w:right w:val="single" w:sz="8" w:space="0" w:color="000000"/>
            </w:tcBorders>
            <w:vAlign w:val="center"/>
            <w:hideMark/>
          </w:tcPr>
          <w:p w14:paraId="724677AF" w14:textId="77777777" w:rsidR="00854ADA" w:rsidRPr="00FF386D" w:rsidRDefault="00854ADA" w:rsidP="00854ADA">
            <w:pPr>
              <w:spacing w:after="0" w:line="256" w:lineRule="auto"/>
              <w:rPr>
                <w:rFonts w:asciiTheme="majorHAnsi" w:eastAsia="Times New Roman" w:hAnsiTheme="majorHAnsi" w:cstheme="majorHAnsi"/>
                <w:b/>
                <w:bCs/>
                <w:color w:val="FFFFFF"/>
                <w:sz w:val="20"/>
                <w:szCs w:val="20"/>
                <w:lang w:eastAsia="en-GB"/>
              </w:rPr>
            </w:pPr>
          </w:p>
        </w:tc>
      </w:tr>
      <w:tr w:rsidR="00854ADA" w:rsidRPr="00FF386D" w14:paraId="7193B6D7" w14:textId="77777777" w:rsidTr="0057310C">
        <w:trPr>
          <w:trHeight w:val="780"/>
        </w:trPr>
        <w:tc>
          <w:tcPr>
            <w:tcW w:w="3343" w:type="dxa"/>
            <w:tcBorders>
              <w:top w:val="nil"/>
              <w:left w:val="single" w:sz="8" w:space="0" w:color="auto"/>
              <w:bottom w:val="single" w:sz="8" w:space="0" w:color="auto"/>
              <w:right w:val="single" w:sz="8" w:space="0" w:color="auto"/>
            </w:tcBorders>
            <w:shd w:val="clear" w:color="000000" w:fill="244062"/>
            <w:vAlign w:val="center"/>
            <w:hideMark/>
          </w:tcPr>
          <w:p w14:paraId="5190903E"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lastRenderedPageBreak/>
              <w:t>Релевантни национални плански документ (правни, регулаторни акти, итд)</w:t>
            </w:r>
          </w:p>
        </w:tc>
        <w:tc>
          <w:tcPr>
            <w:tcW w:w="6145" w:type="dxa"/>
            <w:gridSpan w:val="3"/>
            <w:tcBorders>
              <w:top w:val="single" w:sz="8" w:space="0" w:color="auto"/>
              <w:left w:val="nil"/>
              <w:bottom w:val="single" w:sz="8" w:space="0" w:color="auto"/>
              <w:right w:val="single" w:sz="8" w:space="0" w:color="000000"/>
            </w:tcBorders>
            <w:vAlign w:val="center"/>
            <w:hideMark/>
          </w:tcPr>
          <w:p w14:paraId="31FA7CD5" w14:textId="77777777" w:rsidR="00854ADA" w:rsidRPr="00FF386D" w:rsidRDefault="00854ADA" w:rsidP="00854ADA">
            <w:pPr>
              <w:numPr>
                <w:ilvl w:val="0"/>
                <w:numId w:val="36"/>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Закон о енергетици</w:t>
            </w:r>
          </w:p>
        </w:tc>
      </w:tr>
      <w:tr w:rsidR="00854ADA" w:rsidRPr="00FF386D" w14:paraId="11C38A11" w14:textId="77777777" w:rsidTr="0057310C">
        <w:trPr>
          <w:trHeight w:val="315"/>
        </w:trPr>
        <w:tc>
          <w:tcPr>
            <w:tcW w:w="3343" w:type="dxa"/>
            <w:tcBorders>
              <w:top w:val="nil"/>
              <w:left w:val="single" w:sz="8" w:space="0" w:color="auto"/>
              <w:bottom w:val="single" w:sz="8" w:space="0" w:color="auto"/>
              <w:right w:val="single" w:sz="8" w:space="0" w:color="auto"/>
            </w:tcBorders>
            <w:shd w:val="clear" w:color="000000" w:fill="244062"/>
            <w:vAlign w:val="center"/>
            <w:hideMark/>
          </w:tcPr>
          <w:p w14:paraId="4ADA508A"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45" w:type="dxa"/>
            <w:gridSpan w:val="3"/>
            <w:tcBorders>
              <w:top w:val="single" w:sz="8" w:space="0" w:color="auto"/>
              <w:left w:val="nil"/>
              <w:bottom w:val="single" w:sz="8" w:space="0" w:color="auto"/>
              <w:right w:val="single" w:sz="8" w:space="0" w:color="000000"/>
            </w:tcBorders>
            <w:vAlign w:val="center"/>
          </w:tcPr>
          <w:p w14:paraId="3450907B" w14:textId="20B45F10"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0,</w:t>
            </w:r>
            <w:r w:rsidR="00FE3EB7" w:rsidRPr="00FF386D">
              <w:rPr>
                <w:rFonts w:asciiTheme="majorHAnsi" w:eastAsia="Times New Roman" w:hAnsiTheme="majorHAnsi" w:cstheme="majorHAnsi"/>
                <w:color w:val="000000"/>
                <w:sz w:val="20"/>
                <w:szCs w:val="20"/>
                <w:lang w:eastAsia="en-GB"/>
              </w:rPr>
              <w:t xml:space="preserve">5 </w:t>
            </w:r>
            <w:r w:rsidRPr="00FF386D">
              <w:rPr>
                <w:rFonts w:asciiTheme="majorHAnsi" w:eastAsia="Times New Roman" w:hAnsiTheme="majorHAnsi" w:cstheme="majorHAnsi"/>
                <w:color w:val="000000"/>
                <w:sz w:val="20"/>
                <w:szCs w:val="20"/>
                <w:lang w:eastAsia="en-GB"/>
              </w:rPr>
              <w:t>милиона евра</w:t>
            </w:r>
          </w:p>
        </w:tc>
      </w:tr>
      <w:tr w:rsidR="00854ADA" w:rsidRPr="00FF386D" w14:paraId="00116F16" w14:textId="77777777" w:rsidTr="0057310C">
        <w:trPr>
          <w:trHeight w:val="315"/>
        </w:trPr>
        <w:tc>
          <w:tcPr>
            <w:tcW w:w="3343" w:type="dxa"/>
            <w:tcBorders>
              <w:top w:val="nil"/>
              <w:left w:val="single" w:sz="8" w:space="0" w:color="auto"/>
              <w:bottom w:val="single" w:sz="8" w:space="0" w:color="auto"/>
              <w:right w:val="single" w:sz="8" w:space="0" w:color="auto"/>
            </w:tcBorders>
            <w:shd w:val="clear" w:color="000000" w:fill="244062"/>
            <w:vAlign w:val="center"/>
            <w:hideMark/>
          </w:tcPr>
          <w:p w14:paraId="15945750"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45" w:type="dxa"/>
            <w:gridSpan w:val="3"/>
            <w:tcBorders>
              <w:top w:val="single" w:sz="8" w:space="0" w:color="auto"/>
              <w:left w:val="nil"/>
              <w:bottom w:val="single" w:sz="8" w:space="0" w:color="auto"/>
              <w:right w:val="single" w:sz="8" w:space="0" w:color="000000"/>
            </w:tcBorders>
            <w:vAlign w:val="center"/>
          </w:tcPr>
          <w:p w14:paraId="76E6672F" w14:textId="01CA4589" w:rsidR="00854ADA" w:rsidRPr="00FF386D" w:rsidRDefault="00854ADA" w:rsidP="00854ADA">
            <w:pPr>
              <w:spacing w:after="0" w:line="240" w:lineRule="auto"/>
              <w:jc w:val="both"/>
              <w:rPr>
                <w:rFonts w:asciiTheme="majorHAnsi" w:eastAsia="Times New Roman" w:hAnsiTheme="majorHAnsi" w:cstheme="majorHAnsi"/>
                <w:color w:val="000000"/>
                <w:sz w:val="20"/>
                <w:szCs w:val="20"/>
                <w:highlight w:val="yellow"/>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FE3EB7" w:rsidRPr="00FF386D">
              <w:rPr>
                <w:rFonts w:ascii="Calibri Light" w:eastAsia="Times New Roman" w:hAnsi="Calibri Light" w:cs="Calibri Light"/>
                <w:color w:val="000000"/>
                <w:sz w:val="20"/>
                <w:szCs w:val="20"/>
                <w:lang w:eastAsia="en-GB"/>
              </w:rPr>
              <w:t>ска средства</w:t>
            </w:r>
          </w:p>
        </w:tc>
      </w:tr>
    </w:tbl>
    <w:p w14:paraId="37DF5FF5" w14:textId="77777777" w:rsidR="00854ADA" w:rsidRPr="00FF386D" w:rsidRDefault="00854ADA" w:rsidP="00854ADA">
      <w:pPr>
        <w:spacing w:before="120" w:after="120" w:line="240" w:lineRule="auto"/>
        <w:jc w:val="both"/>
        <w:rPr>
          <w:rFonts w:asciiTheme="majorHAnsi" w:eastAsia="Times New Roman" w:hAnsiTheme="majorHAnsi" w:cstheme="majorHAnsi"/>
          <w:sz w:val="20"/>
          <w:szCs w:val="20"/>
          <w:lang w:eastAsia="el-GR"/>
        </w:rPr>
      </w:pPr>
    </w:p>
    <w:tbl>
      <w:tblPr>
        <w:tblW w:w="9488" w:type="dxa"/>
        <w:tblLook w:val="04A0" w:firstRow="1" w:lastRow="0" w:firstColumn="1" w:lastColumn="0" w:noHBand="0" w:noVBand="1"/>
      </w:tblPr>
      <w:tblGrid>
        <w:gridCol w:w="3414"/>
        <w:gridCol w:w="961"/>
        <w:gridCol w:w="965"/>
        <w:gridCol w:w="4148"/>
      </w:tblGrid>
      <w:tr w:rsidR="00854ADA" w:rsidRPr="00FF386D" w14:paraId="5D693DE7" w14:textId="77777777" w:rsidTr="0057310C">
        <w:trPr>
          <w:trHeight w:val="780"/>
        </w:trPr>
        <w:tc>
          <w:tcPr>
            <w:tcW w:w="3414"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0F70FFFE" w14:textId="55233B9B" w:rsidR="00854ADA" w:rsidRPr="00FF386D" w:rsidRDefault="00DB1C84" w:rsidP="00854ADA">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 xml:space="preserve">: </w:t>
            </w:r>
          </w:p>
        </w:tc>
        <w:tc>
          <w:tcPr>
            <w:tcW w:w="961" w:type="dxa"/>
            <w:tcBorders>
              <w:top w:val="single" w:sz="8" w:space="0" w:color="auto"/>
              <w:left w:val="nil"/>
              <w:bottom w:val="single" w:sz="8" w:space="0" w:color="auto"/>
              <w:right w:val="single" w:sz="8" w:space="0" w:color="auto"/>
            </w:tcBorders>
            <w:shd w:val="clear" w:color="auto" w:fill="E7E6E6" w:themeFill="background2"/>
            <w:vAlign w:val="center"/>
            <w:hideMark/>
          </w:tcPr>
          <w:p w14:paraId="7D19670C" w14:textId="77777777"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МП_ЕС8</w:t>
            </w:r>
          </w:p>
        </w:tc>
        <w:tc>
          <w:tcPr>
            <w:tcW w:w="965" w:type="dxa"/>
            <w:tcBorders>
              <w:top w:val="single" w:sz="8" w:space="0" w:color="auto"/>
              <w:left w:val="nil"/>
              <w:bottom w:val="single" w:sz="8" w:space="0" w:color="auto"/>
              <w:right w:val="single" w:sz="8" w:space="0" w:color="auto"/>
            </w:tcBorders>
            <w:shd w:val="clear" w:color="auto" w:fill="244062"/>
            <w:vAlign w:val="center"/>
            <w:hideMark/>
          </w:tcPr>
          <w:p w14:paraId="529324E7"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Назив</w:t>
            </w:r>
            <w:r w:rsidRPr="000A2AFE">
              <w:rPr>
                <w:rFonts w:asciiTheme="majorHAnsi" w:eastAsia="Times New Roman" w:hAnsiTheme="majorHAnsi" w:cstheme="majorHAnsi"/>
                <w:b/>
                <w:bCs/>
                <w:color w:val="FFFFFF"/>
                <w:sz w:val="20"/>
                <w:szCs w:val="20"/>
                <w:lang w:eastAsia="en-GB"/>
              </w:rPr>
              <w:t xml:space="preserve">: </w:t>
            </w:r>
          </w:p>
        </w:tc>
        <w:tc>
          <w:tcPr>
            <w:tcW w:w="4148" w:type="dxa"/>
            <w:tcBorders>
              <w:top w:val="single" w:sz="8" w:space="0" w:color="auto"/>
              <w:left w:val="nil"/>
              <w:bottom w:val="single" w:sz="8" w:space="0" w:color="auto"/>
              <w:right w:val="single" w:sz="8" w:space="0" w:color="auto"/>
            </w:tcBorders>
            <w:shd w:val="clear" w:color="auto" w:fill="E7E6E6" w:themeFill="background2"/>
            <w:vAlign w:val="center"/>
            <w:hideMark/>
          </w:tcPr>
          <w:p w14:paraId="71FBA155" w14:textId="4D1ACE29" w:rsidR="00854ADA" w:rsidRPr="00FF386D" w:rsidRDefault="004B1FD9" w:rsidP="00854ADA">
            <w:pPr>
              <w:spacing w:after="0" w:line="240" w:lineRule="auto"/>
              <w:rPr>
                <w:rFonts w:asciiTheme="majorHAnsi" w:eastAsia="Times New Roman" w:hAnsiTheme="majorHAnsi" w:cstheme="majorHAnsi"/>
                <w:b/>
                <w:bCs/>
                <w:color w:val="000000"/>
                <w:sz w:val="20"/>
                <w:szCs w:val="20"/>
                <w:lang w:eastAsia="en-GB"/>
              </w:rPr>
            </w:pPr>
            <w:r w:rsidRPr="00FF386D">
              <w:rPr>
                <w:rFonts w:ascii="Calibri Light" w:hAnsi="Calibri Light"/>
                <w:b/>
                <w:sz w:val="20"/>
              </w:rPr>
              <w:t>Пр</w:t>
            </w:r>
            <w:r w:rsidR="00FE3EB7" w:rsidRPr="00FF386D">
              <w:rPr>
                <w:rFonts w:ascii="Calibri Light" w:hAnsi="Calibri Light"/>
                <w:b/>
                <w:sz w:val="20"/>
              </w:rPr>
              <w:t>одуктовод</w:t>
            </w:r>
            <w:r w:rsidR="00854ADA" w:rsidRPr="00FF386D">
              <w:rPr>
                <w:rFonts w:ascii="Calibri Light" w:hAnsi="Calibri Light"/>
                <w:b/>
                <w:sz w:val="20"/>
              </w:rPr>
              <w:t xml:space="preserve"> од рафинерије Панчево до Новог Сада, Сомбора, Београда и Ниша, преко Смедерева и Јагодине</w:t>
            </w:r>
          </w:p>
        </w:tc>
      </w:tr>
      <w:tr w:rsidR="00854ADA" w:rsidRPr="00FF386D" w14:paraId="3EAB9422" w14:textId="77777777" w:rsidTr="0057310C">
        <w:trPr>
          <w:trHeight w:val="572"/>
        </w:trPr>
        <w:tc>
          <w:tcPr>
            <w:tcW w:w="3414" w:type="dxa"/>
            <w:tcBorders>
              <w:top w:val="nil"/>
              <w:left w:val="single" w:sz="8" w:space="0" w:color="auto"/>
              <w:bottom w:val="single" w:sz="8" w:space="0" w:color="auto"/>
              <w:right w:val="nil"/>
            </w:tcBorders>
            <w:shd w:val="clear" w:color="000000" w:fill="244062"/>
            <w:vAlign w:val="center"/>
            <w:hideMark/>
          </w:tcPr>
          <w:p w14:paraId="2978A2DB"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074" w:type="dxa"/>
            <w:gridSpan w:val="3"/>
            <w:tcBorders>
              <w:top w:val="single" w:sz="8" w:space="0" w:color="auto"/>
              <w:left w:val="nil"/>
              <w:bottom w:val="single" w:sz="8" w:space="0" w:color="auto"/>
              <w:right w:val="single" w:sz="8" w:space="0" w:color="000000"/>
            </w:tcBorders>
            <w:vAlign w:val="center"/>
          </w:tcPr>
          <w:p w14:paraId="140C8088" w14:textId="3ECE6860" w:rsidR="00854ADA" w:rsidRPr="00FF386D" w:rsidRDefault="00FE3EB7"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Ефикасније, економичниј</w:t>
            </w:r>
            <w:r w:rsidR="00CC418B" w:rsidRPr="00FF386D">
              <w:rPr>
                <w:rFonts w:ascii="Calibri Light" w:hAnsi="Calibri Light"/>
                <w:sz w:val="20"/>
              </w:rPr>
              <w:t>е</w:t>
            </w:r>
            <w:r w:rsidRPr="00FF386D">
              <w:rPr>
                <w:rFonts w:ascii="Calibri Light" w:hAnsi="Calibri Light"/>
                <w:sz w:val="20"/>
              </w:rPr>
              <w:t>, безбедниј</w:t>
            </w:r>
            <w:r w:rsidR="00CC418B" w:rsidRPr="00FF386D">
              <w:rPr>
                <w:rFonts w:ascii="Calibri Light" w:hAnsi="Calibri Light"/>
                <w:sz w:val="20"/>
              </w:rPr>
              <w:t>е</w:t>
            </w:r>
            <w:r w:rsidRPr="00FF386D">
              <w:rPr>
                <w:rFonts w:ascii="Calibri Light" w:hAnsi="Calibri Light"/>
                <w:sz w:val="20"/>
              </w:rPr>
              <w:t xml:space="preserve"> и еколошки</w:t>
            </w:r>
            <w:r w:rsidR="00CC418B" w:rsidRPr="00FF386D">
              <w:rPr>
                <w:rFonts w:ascii="Calibri Light" w:hAnsi="Calibri Light"/>
                <w:sz w:val="20"/>
              </w:rPr>
              <w:t xml:space="preserve"> прихватљивије</w:t>
            </w:r>
            <w:r w:rsidRPr="00FF386D">
              <w:rPr>
                <w:rFonts w:ascii="Calibri Light" w:hAnsi="Calibri Light"/>
                <w:sz w:val="20"/>
              </w:rPr>
              <w:t xml:space="preserve"> снабдевање моторним горивима на тржиште Републике Србије</w:t>
            </w:r>
          </w:p>
        </w:tc>
      </w:tr>
      <w:tr w:rsidR="00854ADA" w:rsidRPr="00FF386D" w14:paraId="492291FC" w14:textId="77777777" w:rsidTr="0057310C">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575EB511"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Квантификовани циљ: </w:t>
            </w:r>
          </w:p>
        </w:tc>
        <w:tc>
          <w:tcPr>
            <w:tcW w:w="6074" w:type="dxa"/>
            <w:gridSpan w:val="3"/>
            <w:tcBorders>
              <w:top w:val="single" w:sz="8" w:space="0" w:color="auto"/>
              <w:left w:val="nil"/>
              <w:bottom w:val="single" w:sz="8" w:space="0" w:color="auto"/>
              <w:right w:val="single" w:sz="8" w:space="0" w:color="000000"/>
            </w:tcBorders>
            <w:vAlign w:val="center"/>
          </w:tcPr>
          <w:p w14:paraId="67552969"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eastAsia="NSimSun" w:hAnsi="Calibri Light" w:cs="Mangal"/>
                <w:kern w:val="2"/>
                <w:sz w:val="20"/>
                <w:szCs w:val="24"/>
                <w:lang w:eastAsia="zh-CN" w:bidi="hi-IN"/>
              </w:rPr>
              <w:t>нема података</w:t>
            </w:r>
          </w:p>
        </w:tc>
      </w:tr>
      <w:tr w:rsidR="00854ADA" w:rsidRPr="00FF386D" w14:paraId="5B846778" w14:textId="77777777" w:rsidTr="0057310C">
        <w:trPr>
          <w:trHeight w:val="584"/>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4E475F84"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074" w:type="dxa"/>
            <w:gridSpan w:val="3"/>
            <w:tcBorders>
              <w:top w:val="single" w:sz="8" w:space="0" w:color="auto"/>
              <w:left w:val="nil"/>
              <w:bottom w:val="single" w:sz="8" w:space="0" w:color="auto"/>
              <w:right w:val="single" w:sz="8" w:space="0" w:color="000000"/>
            </w:tcBorders>
            <w:vAlign w:val="center"/>
          </w:tcPr>
          <w:p w14:paraId="2328252B" w14:textId="09220108" w:rsidR="00854ADA" w:rsidRPr="000A2AFE"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Транснафта ад Панчево планира изградњу </w:t>
            </w:r>
            <w:r w:rsidR="00CC418B" w:rsidRPr="00FF386D">
              <w:rPr>
                <w:rFonts w:ascii="Calibri Light" w:hAnsi="Calibri Light"/>
                <w:sz w:val="20"/>
              </w:rPr>
              <w:t>продуктовода</w:t>
            </w:r>
            <w:r w:rsidRPr="00FF386D">
              <w:rPr>
                <w:rFonts w:ascii="Calibri Light" w:hAnsi="Calibri Light"/>
                <w:sz w:val="20"/>
              </w:rPr>
              <w:t xml:space="preserve"> за транспорт деривата нафте (бензин и дизел) на територији Србије од рафинерије Панчево до Новог Сада, Сомбора, Београда и Ниша, преко Смедерева и Јагодине. Систем </w:t>
            </w:r>
            <w:r w:rsidR="00CC418B" w:rsidRPr="00FF386D">
              <w:rPr>
                <w:rFonts w:ascii="Calibri Light" w:hAnsi="Calibri Light"/>
                <w:sz w:val="20"/>
              </w:rPr>
              <w:t>продуктовода</w:t>
            </w:r>
            <w:r w:rsidRPr="00FF386D">
              <w:rPr>
                <w:rFonts w:ascii="Calibri Light" w:hAnsi="Calibri Light"/>
                <w:sz w:val="20"/>
              </w:rPr>
              <w:t xml:space="preserve"> ће укључивати терминале са одговарајућим складишним капацитетима, црпне станице (секундарне и главне пумпе) и мерна места за комерцијално мерење примљених и испоручених количина. Укупна дужина </w:t>
            </w:r>
            <w:r w:rsidR="00CC418B" w:rsidRPr="00FF386D">
              <w:rPr>
                <w:rFonts w:ascii="Calibri Light" w:hAnsi="Calibri Light"/>
                <w:sz w:val="20"/>
              </w:rPr>
              <w:t>продуктовода</w:t>
            </w:r>
            <w:r w:rsidRPr="00FF386D">
              <w:rPr>
                <w:rFonts w:ascii="Calibri Light" w:hAnsi="Calibri Light"/>
                <w:sz w:val="20"/>
              </w:rPr>
              <w:t xml:space="preserve"> износи 402 km, а укупни капацитет 4,3 Мt/годишње</w:t>
            </w:r>
            <w:r w:rsidRPr="000A2AFE">
              <w:rPr>
                <w:rFonts w:asciiTheme="majorHAnsi" w:eastAsia="Times New Roman" w:hAnsiTheme="majorHAnsi" w:cstheme="majorHAnsi"/>
                <w:color w:val="000000"/>
                <w:sz w:val="20"/>
                <w:szCs w:val="20"/>
                <w:lang w:eastAsia="en-GB"/>
              </w:rPr>
              <w:t xml:space="preserve">. </w:t>
            </w:r>
            <w:r w:rsidRPr="00FF386D">
              <w:rPr>
                <w:rFonts w:ascii="Calibri Light" w:hAnsi="Calibri Light"/>
                <w:sz w:val="20"/>
              </w:rPr>
              <w:t xml:space="preserve">Очекује се да ће систем </w:t>
            </w:r>
            <w:r w:rsidR="00CC418B" w:rsidRPr="00FF386D">
              <w:rPr>
                <w:rFonts w:ascii="Calibri Light" w:hAnsi="Calibri Light"/>
                <w:sz w:val="20"/>
              </w:rPr>
              <w:t>продуктовода</w:t>
            </w:r>
            <w:r w:rsidRPr="00FF386D">
              <w:rPr>
                <w:rFonts w:ascii="Calibri Light" w:hAnsi="Calibri Light"/>
                <w:sz w:val="20"/>
              </w:rPr>
              <w:t xml:space="preserve"> створити услове за јефтиније, </w:t>
            </w:r>
            <w:r w:rsidRPr="00FF386D">
              <w:rPr>
                <w:rFonts w:ascii="Calibri Light" w:eastAsia="NSimSun" w:hAnsi="Calibri Light" w:cs="Mangal"/>
                <w:kern w:val="2"/>
                <w:sz w:val="20"/>
                <w:szCs w:val="24"/>
                <w:lang w:eastAsia="zh-CN" w:bidi="hi-IN"/>
              </w:rPr>
              <w:t>безбедније</w:t>
            </w:r>
            <w:r w:rsidRPr="00FF386D">
              <w:rPr>
                <w:rFonts w:ascii="Calibri Light" w:hAnsi="Calibri Light"/>
                <w:sz w:val="20"/>
              </w:rPr>
              <w:t>, сигурније и еколошки прихватљивије снабдевање тржишта моторним горивима</w:t>
            </w:r>
            <w:r w:rsidRPr="000A2AFE">
              <w:rPr>
                <w:rFonts w:asciiTheme="majorHAnsi" w:eastAsia="Times New Roman" w:hAnsiTheme="majorHAnsi" w:cstheme="majorHAnsi"/>
                <w:color w:val="000000"/>
                <w:sz w:val="20"/>
                <w:szCs w:val="20"/>
                <w:lang w:eastAsia="en-GB"/>
              </w:rPr>
              <w:t>.</w:t>
            </w:r>
          </w:p>
          <w:p w14:paraId="5626B0C5" w14:textId="77777777" w:rsidR="00854ADA" w:rsidRPr="000A2AFE"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Пројекат укључује три објекта</w:t>
            </w:r>
            <w:r w:rsidRPr="000A2AFE">
              <w:rPr>
                <w:rFonts w:asciiTheme="majorHAnsi" w:eastAsia="Times New Roman" w:hAnsiTheme="majorHAnsi" w:cstheme="majorHAnsi"/>
                <w:color w:val="000000"/>
                <w:sz w:val="20"/>
                <w:szCs w:val="20"/>
                <w:lang w:eastAsia="en-GB"/>
              </w:rPr>
              <w:t>:</w:t>
            </w:r>
          </w:p>
          <w:p w14:paraId="255860B7" w14:textId="77777777" w:rsidR="00854ADA" w:rsidRPr="000A2AFE"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Објекат </w:t>
            </w:r>
            <w:r w:rsidRPr="000A2AFE">
              <w:rPr>
                <w:rFonts w:asciiTheme="majorHAnsi" w:eastAsia="Times New Roman" w:hAnsiTheme="majorHAnsi" w:cstheme="majorHAnsi"/>
                <w:color w:val="000000"/>
                <w:sz w:val="20"/>
                <w:szCs w:val="20"/>
                <w:lang w:eastAsia="en-GB"/>
              </w:rPr>
              <w:t xml:space="preserve">I: </w:t>
            </w:r>
            <w:r w:rsidRPr="00FF386D">
              <w:rPr>
                <w:rFonts w:ascii="Calibri Light" w:hAnsi="Calibri Light"/>
                <w:sz w:val="20"/>
              </w:rPr>
              <w:t>деоница Панчево – Смедерево; Деоница Панчево – Нови Сад</w:t>
            </w:r>
            <w:r w:rsidRPr="000A2AFE">
              <w:rPr>
                <w:rFonts w:asciiTheme="majorHAnsi" w:eastAsia="Times New Roman" w:hAnsiTheme="majorHAnsi" w:cstheme="majorHAnsi"/>
                <w:color w:val="000000"/>
                <w:sz w:val="20"/>
                <w:szCs w:val="20"/>
                <w:lang w:eastAsia="en-GB"/>
              </w:rPr>
              <w:t>.</w:t>
            </w:r>
          </w:p>
          <w:p w14:paraId="4A831C94" w14:textId="77777777" w:rsidR="00854ADA" w:rsidRPr="000A2AFE"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Објекат </w:t>
            </w:r>
            <w:r w:rsidRPr="000A2AFE">
              <w:rPr>
                <w:rFonts w:asciiTheme="majorHAnsi" w:eastAsia="Times New Roman" w:hAnsiTheme="majorHAnsi" w:cstheme="majorHAnsi"/>
                <w:color w:val="000000"/>
                <w:sz w:val="20"/>
                <w:szCs w:val="20"/>
                <w:lang w:eastAsia="en-GB"/>
              </w:rPr>
              <w:t xml:space="preserve">II: </w:t>
            </w:r>
            <w:r w:rsidRPr="00FF386D">
              <w:rPr>
                <w:rFonts w:ascii="Calibri Light" w:hAnsi="Calibri Light"/>
                <w:sz w:val="20"/>
              </w:rPr>
              <w:t>деоница Смедерево – Јагодина; Деоница Јагодина – Ниш</w:t>
            </w:r>
            <w:r w:rsidRPr="000A2AFE">
              <w:rPr>
                <w:rFonts w:asciiTheme="majorHAnsi" w:eastAsia="Times New Roman" w:hAnsiTheme="majorHAnsi" w:cstheme="majorHAnsi"/>
                <w:color w:val="000000"/>
                <w:sz w:val="20"/>
                <w:szCs w:val="20"/>
                <w:lang w:eastAsia="en-GB"/>
              </w:rPr>
              <w:t>.</w:t>
            </w:r>
          </w:p>
          <w:p w14:paraId="22EC3A46"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Објекат </w:t>
            </w:r>
            <w:r w:rsidRPr="000A2AFE">
              <w:rPr>
                <w:rFonts w:asciiTheme="majorHAnsi" w:eastAsia="Times New Roman" w:hAnsiTheme="majorHAnsi" w:cstheme="majorHAnsi"/>
                <w:color w:val="000000"/>
                <w:sz w:val="20"/>
                <w:szCs w:val="20"/>
                <w:lang w:eastAsia="en-GB"/>
              </w:rPr>
              <w:t xml:space="preserve">III: </w:t>
            </w:r>
            <w:r w:rsidRPr="00FF386D">
              <w:rPr>
                <w:rFonts w:ascii="Calibri Light" w:hAnsi="Calibri Light"/>
                <w:sz w:val="20"/>
              </w:rPr>
              <w:t>деоница Панчево – Београд; Деоница Нови Сад – Сомбор</w:t>
            </w:r>
            <w:r w:rsidRPr="000A2AFE">
              <w:rPr>
                <w:rFonts w:asciiTheme="majorHAnsi" w:eastAsia="Times New Roman" w:hAnsiTheme="majorHAnsi" w:cstheme="majorHAnsi"/>
                <w:color w:val="000000"/>
                <w:sz w:val="20"/>
                <w:szCs w:val="20"/>
                <w:lang w:eastAsia="en-GB"/>
              </w:rPr>
              <w:t>.</w:t>
            </w:r>
          </w:p>
        </w:tc>
      </w:tr>
      <w:tr w:rsidR="00854ADA" w:rsidRPr="00FF386D" w14:paraId="42B8AD15" w14:textId="77777777" w:rsidTr="0057310C">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018250D9"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074" w:type="dxa"/>
            <w:gridSpan w:val="3"/>
            <w:tcBorders>
              <w:top w:val="single" w:sz="8" w:space="0" w:color="auto"/>
              <w:left w:val="nil"/>
              <w:bottom w:val="single" w:sz="8" w:space="0" w:color="auto"/>
              <w:right w:val="single" w:sz="8" w:space="0" w:color="000000"/>
            </w:tcBorders>
            <w:vAlign w:val="center"/>
            <w:hideMark/>
          </w:tcPr>
          <w:p w14:paraId="7F6437AC" w14:textId="03312EF9"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2021-</w:t>
            </w:r>
            <w:r w:rsidR="001D6FA8" w:rsidRPr="00FF386D">
              <w:rPr>
                <w:rFonts w:ascii="Calibri Light" w:hAnsi="Calibri Light"/>
                <w:sz w:val="20"/>
              </w:rPr>
              <w:t>202</w:t>
            </w:r>
            <w:r w:rsidR="001D6FA8">
              <w:rPr>
                <w:rFonts w:ascii="Calibri Light" w:hAnsi="Calibri Light"/>
                <w:sz w:val="20"/>
              </w:rPr>
              <w:t>9</w:t>
            </w:r>
            <w:r w:rsidRPr="00FF386D">
              <w:rPr>
                <w:rFonts w:ascii="Calibri Light" w:hAnsi="Calibri Light"/>
                <w:sz w:val="20"/>
              </w:rPr>
              <w:t>.</w:t>
            </w:r>
          </w:p>
        </w:tc>
      </w:tr>
      <w:tr w:rsidR="00854ADA" w:rsidRPr="00FF386D" w14:paraId="2A8C0F71" w14:textId="77777777" w:rsidTr="0057310C">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41D4DDB7"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074" w:type="dxa"/>
            <w:gridSpan w:val="3"/>
            <w:tcBorders>
              <w:top w:val="single" w:sz="8" w:space="0" w:color="auto"/>
              <w:left w:val="nil"/>
              <w:bottom w:val="single" w:sz="8" w:space="0" w:color="auto"/>
              <w:right w:val="single" w:sz="8" w:space="0" w:color="000000"/>
            </w:tcBorders>
            <w:vAlign w:val="center"/>
            <w:hideMark/>
          </w:tcPr>
          <w:p w14:paraId="1E4A7C37"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Инвестиција</w:t>
            </w:r>
          </w:p>
        </w:tc>
      </w:tr>
      <w:tr w:rsidR="00854ADA" w:rsidRPr="00FF386D" w14:paraId="03E6C78E" w14:textId="77777777" w:rsidTr="0057310C">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5A392423"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074" w:type="dxa"/>
            <w:gridSpan w:val="3"/>
            <w:tcBorders>
              <w:top w:val="single" w:sz="8" w:space="0" w:color="auto"/>
              <w:left w:val="nil"/>
              <w:bottom w:val="single" w:sz="8" w:space="0" w:color="auto"/>
              <w:right w:val="single" w:sz="8" w:space="0" w:color="000000"/>
            </w:tcBorders>
            <w:vAlign w:val="center"/>
            <w:hideMark/>
          </w:tcPr>
          <w:p w14:paraId="5D2C347F"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Нафта</w:t>
            </w:r>
          </w:p>
        </w:tc>
      </w:tr>
      <w:tr w:rsidR="00854ADA" w:rsidRPr="00FF386D" w14:paraId="5EAAFDBD" w14:textId="77777777" w:rsidTr="0057310C">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478236C7"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074" w:type="dxa"/>
            <w:gridSpan w:val="3"/>
            <w:tcBorders>
              <w:top w:val="single" w:sz="8" w:space="0" w:color="auto"/>
              <w:left w:val="nil"/>
              <w:bottom w:val="single" w:sz="8" w:space="0" w:color="auto"/>
              <w:right w:val="single" w:sz="8" w:space="0" w:color="000000"/>
            </w:tcBorders>
            <w:vAlign w:val="center"/>
            <w:hideMark/>
          </w:tcPr>
          <w:p w14:paraId="697C3FDD" w14:textId="77777777" w:rsidR="00854ADA" w:rsidRPr="00FF386D" w:rsidRDefault="00854ADA" w:rsidP="00854ADA">
            <w:pPr>
              <w:numPr>
                <w:ilvl w:val="0"/>
                <w:numId w:val="37"/>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Транснафта ад Панчево</w:t>
            </w:r>
          </w:p>
        </w:tc>
      </w:tr>
      <w:tr w:rsidR="00854ADA" w:rsidRPr="00FF386D" w14:paraId="123FC074" w14:textId="77777777" w:rsidTr="0057310C">
        <w:trPr>
          <w:trHeight w:val="315"/>
        </w:trPr>
        <w:tc>
          <w:tcPr>
            <w:tcW w:w="3414" w:type="dxa"/>
            <w:tcBorders>
              <w:top w:val="nil"/>
              <w:left w:val="single" w:sz="8" w:space="0" w:color="auto"/>
              <w:bottom w:val="single" w:sz="8" w:space="0" w:color="auto"/>
              <w:right w:val="nil"/>
            </w:tcBorders>
            <w:shd w:val="clear" w:color="000000" w:fill="244062"/>
            <w:vAlign w:val="center"/>
            <w:hideMark/>
          </w:tcPr>
          <w:p w14:paraId="60D5308C"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074" w:type="dxa"/>
            <w:gridSpan w:val="3"/>
            <w:tcBorders>
              <w:top w:val="single" w:sz="8" w:space="0" w:color="auto"/>
              <w:left w:val="nil"/>
              <w:bottom w:val="single" w:sz="8" w:space="0" w:color="auto"/>
              <w:right w:val="single" w:sz="8" w:space="0" w:color="000000"/>
            </w:tcBorders>
            <w:vAlign w:val="center"/>
            <w:hideMark/>
          </w:tcPr>
          <w:p w14:paraId="6DB4527C" w14:textId="77777777" w:rsidR="00854ADA" w:rsidRPr="00FF386D" w:rsidRDefault="00854ADA" w:rsidP="00854ADA">
            <w:pPr>
              <w:numPr>
                <w:ilvl w:val="0"/>
                <w:numId w:val="37"/>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рударства и енергетике</w:t>
            </w:r>
          </w:p>
          <w:p w14:paraId="39CD40E7" w14:textId="10E3A64E" w:rsidR="00854ADA" w:rsidRPr="00FF386D" w:rsidRDefault="00C7020D" w:rsidP="00854ADA">
            <w:pPr>
              <w:numPr>
                <w:ilvl w:val="0"/>
                <w:numId w:val="37"/>
              </w:numPr>
              <w:spacing w:after="0" w:line="240" w:lineRule="auto"/>
              <w:contextualSpacing/>
              <w:jc w:val="both"/>
              <w:rPr>
                <w:rFonts w:asciiTheme="majorHAnsi" w:eastAsia="Times New Roman" w:hAnsiTheme="majorHAnsi" w:cstheme="majorHAnsi"/>
                <w:color w:val="000000"/>
                <w:sz w:val="20"/>
                <w:szCs w:val="20"/>
                <w:lang w:eastAsia="en-GB"/>
              </w:rPr>
            </w:pPr>
            <w:r w:rsidRPr="00C7020D">
              <w:rPr>
                <w:rFonts w:asciiTheme="majorHAnsi" w:eastAsia="Times New Roman" w:hAnsiTheme="majorHAnsi" w:cstheme="majorHAnsi"/>
                <w:color w:val="000000"/>
                <w:sz w:val="20"/>
                <w:szCs w:val="20"/>
                <w:lang w:eastAsia="en-GB"/>
              </w:rPr>
              <w:t>Министарство грађевинарства, саобраћаја и инфраструктуре</w:t>
            </w:r>
          </w:p>
        </w:tc>
      </w:tr>
      <w:tr w:rsidR="00854ADA" w:rsidRPr="00FF386D" w14:paraId="0475B9EA" w14:textId="77777777" w:rsidTr="0057310C">
        <w:trPr>
          <w:trHeight w:val="315"/>
        </w:trPr>
        <w:tc>
          <w:tcPr>
            <w:tcW w:w="3414" w:type="dxa"/>
            <w:tcBorders>
              <w:top w:val="nil"/>
              <w:left w:val="single" w:sz="8" w:space="0" w:color="auto"/>
              <w:bottom w:val="single" w:sz="8" w:space="0" w:color="auto"/>
              <w:right w:val="nil"/>
            </w:tcBorders>
            <w:shd w:val="clear" w:color="000000" w:fill="244062"/>
            <w:vAlign w:val="center"/>
            <w:hideMark/>
          </w:tcPr>
          <w:p w14:paraId="32C6D026"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074" w:type="dxa"/>
            <w:gridSpan w:val="3"/>
            <w:tcBorders>
              <w:top w:val="single" w:sz="8" w:space="0" w:color="auto"/>
              <w:left w:val="nil"/>
              <w:bottom w:val="single" w:sz="8" w:space="0" w:color="auto"/>
              <w:right w:val="single" w:sz="8" w:space="0" w:color="000000"/>
            </w:tcBorders>
            <w:vAlign w:val="center"/>
            <w:hideMark/>
          </w:tcPr>
          <w:p w14:paraId="102C0984" w14:textId="59A6721C"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Капацитет </w:t>
            </w:r>
            <w:r w:rsidR="00CC418B" w:rsidRPr="00FF386D">
              <w:rPr>
                <w:rFonts w:ascii="Calibri Light" w:hAnsi="Calibri Light"/>
                <w:sz w:val="20"/>
              </w:rPr>
              <w:t>продуктовода</w:t>
            </w:r>
            <w:r w:rsidRPr="00FF386D">
              <w:rPr>
                <w:rFonts w:ascii="Calibri Light" w:hAnsi="Calibri Light"/>
                <w:sz w:val="20"/>
              </w:rPr>
              <w:t xml:space="preserve"> према производу, дужина </w:t>
            </w:r>
            <w:r w:rsidR="00CC418B" w:rsidRPr="00FF386D">
              <w:rPr>
                <w:rFonts w:ascii="Calibri Light" w:hAnsi="Calibri Light"/>
                <w:sz w:val="20"/>
              </w:rPr>
              <w:t>продуктовода</w:t>
            </w:r>
            <w:r w:rsidRPr="00FF386D">
              <w:rPr>
                <w:rFonts w:ascii="Calibri Light" w:hAnsi="Calibri Light"/>
                <w:sz w:val="20"/>
              </w:rPr>
              <w:t>, терминали</w:t>
            </w:r>
          </w:p>
        </w:tc>
      </w:tr>
      <w:tr w:rsidR="00854ADA" w:rsidRPr="00FF386D" w14:paraId="0E8AAC1C" w14:textId="77777777" w:rsidTr="0057310C">
        <w:trPr>
          <w:trHeight w:val="387"/>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3369F8E3"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074" w:type="dxa"/>
            <w:gridSpan w:val="3"/>
            <w:tcBorders>
              <w:top w:val="single" w:sz="8" w:space="0" w:color="auto"/>
              <w:left w:val="nil"/>
              <w:bottom w:val="single" w:sz="8" w:space="0" w:color="auto"/>
              <w:right w:val="single" w:sz="8" w:space="0" w:color="000000"/>
            </w:tcBorders>
            <w:vAlign w:val="center"/>
            <w:hideMark/>
          </w:tcPr>
          <w:p w14:paraId="037DDCC2" w14:textId="77777777" w:rsidR="00854ADA" w:rsidRPr="00FF386D" w:rsidRDefault="00854ADA" w:rsidP="00854ADA">
            <w:pPr>
              <w:numPr>
                <w:ilvl w:val="0"/>
                <w:numId w:val="37"/>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Декарбонизација</w:t>
            </w:r>
          </w:p>
        </w:tc>
      </w:tr>
      <w:tr w:rsidR="00854ADA" w:rsidRPr="00FF386D" w14:paraId="14C4E5A1" w14:textId="77777777" w:rsidTr="0057310C">
        <w:trPr>
          <w:trHeight w:val="450"/>
        </w:trPr>
        <w:tc>
          <w:tcPr>
            <w:tcW w:w="3414"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78F97966" w14:textId="12888E03" w:rsidR="00854ADA" w:rsidRPr="00FF386D" w:rsidRDefault="004D35DC" w:rsidP="00854ADA">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074"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5B325FC" w14:textId="77777777" w:rsidR="00854ADA" w:rsidRPr="00FF386D" w:rsidRDefault="00854ADA" w:rsidP="00854ADA">
            <w:pPr>
              <w:spacing w:after="0"/>
              <w:rPr>
                <w:rFonts w:asciiTheme="majorHAnsi" w:eastAsia="Times New Roman" w:hAnsiTheme="majorHAnsi" w:cstheme="majorHAnsi"/>
                <w:color w:val="FFFFFF"/>
                <w:sz w:val="20"/>
                <w:szCs w:val="20"/>
                <w:lang w:eastAsia="en-GB"/>
              </w:rPr>
            </w:pPr>
            <w:r w:rsidRPr="000A2AFE">
              <w:rPr>
                <w:rFonts w:asciiTheme="majorHAnsi" w:eastAsia="Times New Roman" w:hAnsiTheme="majorHAnsi" w:cstheme="majorHAnsi"/>
                <w:color w:val="FFFFFF"/>
                <w:sz w:val="20"/>
                <w:szCs w:val="20"/>
                <w:lang w:eastAsia="en-GB"/>
              </w:rPr>
              <w:t>???</w:t>
            </w:r>
          </w:p>
        </w:tc>
      </w:tr>
      <w:tr w:rsidR="00854ADA" w:rsidRPr="00FF386D" w14:paraId="2EB26D3B"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60AA03FD" w14:textId="77777777" w:rsidR="00854ADA" w:rsidRPr="00FF386D" w:rsidRDefault="00854ADA" w:rsidP="00854ADA">
            <w:pPr>
              <w:spacing w:after="0" w:line="256" w:lineRule="auto"/>
              <w:rPr>
                <w:rFonts w:asciiTheme="majorHAnsi" w:eastAsia="Times New Roman" w:hAnsiTheme="majorHAnsi" w:cstheme="majorHAnsi"/>
                <w:b/>
                <w:bCs/>
                <w:color w:val="FFFFFF"/>
                <w:sz w:val="20"/>
                <w:szCs w:val="20"/>
                <w:lang w:eastAsia="en-GB"/>
              </w:rPr>
            </w:pPr>
          </w:p>
        </w:tc>
        <w:tc>
          <w:tcPr>
            <w:tcW w:w="6074" w:type="dxa"/>
            <w:gridSpan w:val="3"/>
            <w:vMerge/>
            <w:tcBorders>
              <w:top w:val="single" w:sz="8" w:space="0" w:color="auto"/>
              <w:left w:val="single" w:sz="8" w:space="0" w:color="auto"/>
              <w:bottom w:val="single" w:sz="8" w:space="0" w:color="000000"/>
              <w:right w:val="single" w:sz="8" w:space="0" w:color="000000"/>
            </w:tcBorders>
            <w:vAlign w:val="center"/>
            <w:hideMark/>
          </w:tcPr>
          <w:p w14:paraId="7567EB15" w14:textId="77777777" w:rsidR="00854ADA" w:rsidRPr="00FF386D" w:rsidRDefault="00854ADA" w:rsidP="00854ADA">
            <w:pPr>
              <w:spacing w:after="0" w:line="256" w:lineRule="auto"/>
              <w:rPr>
                <w:rFonts w:asciiTheme="majorHAnsi" w:eastAsia="Times New Roman" w:hAnsiTheme="majorHAnsi" w:cstheme="majorHAnsi"/>
                <w:b/>
                <w:bCs/>
                <w:color w:val="FFFFFF"/>
                <w:sz w:val="20"/>
                <w:szCs w:val="20"/>
                <w:lang w:eastAsia="en-GB"/>
              </w:rPr>
            </w:pPr>
          </w:p>
        </w:tc>
      </w:tr>
      <w:tr w:rsidR="00854ADA" w:rsidRPr="00FF386D" w14:paraId="20188BE4"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0E1539CB" w14:textId="77777777" w:rsidR="00854ADA" w:rsidRPr="00FF386D" w:rsidRDefault="00854ADA" w:rsidP="00854ADA">
            <w:pPr>
              <w:spacing w:after="0" w:line="256" w:lineRule="auto"/>
              <w:rPr>
                <w:rFonts w:asciiTheme="majorHAnsi" w:eastAsia="Times New Roman" w:hAnsiTheme="majorHAnsi" w:cstheme="majorHAnsi"/>
                <w:b/>
                <w:bCs/>
                <w:color w:val="FFFFFF"/>
                <w:sz w:val="20"/>
                <w:szCs w:val="20"/>
                <w:lang w:eastAsia="en-GB"/>
              </w:rPr>
            </w:pPr>
          </w:p>
        </w:tc>
        <w:tc>
          <w:tcPr>
            <w:tcW w:w="6074" w:type="dxa"/>
            <w:gridSpan w:val="3"/>
            <w:vMerge/>
            <w:tcBorders>
              <w:top w:val="single" w:sz="8" w:space="0" w:color="auto"/>
              <w:left w:val="single" w:sz="8" w:space="0" w:color="auto"/>
              <w:bottom w:val="single" w:sz="8" w:space="0" w:color="000000"/>
              <w:right w:val="single" w:sz="8" w:space="0" w:color="000000"/>
            </w:tcBorders>
            <w:vAlign w:val="center"/>
            <w:hideMark/>
          </w:tcPr>
          <w:p w14:paraId="5F56CD8D" w14:textId="77777777" w:rsidR="00854ADA" w:rsidRPr="00FF386D" w:rsidRDefault="00854ADA" w:rsidP="00854ADA">
            <w:pPr>
              <w:spacing w:after="0" w:line="256" w:lineRule="auto"/>
              <w:rPr>
                <w:rFonts w:asciiTheme="majorHAnsi" w:eastAsia="Times New Roman" w:hAnsiTheme="majorHAnsi" w:cstheme="majorHAnsi"/>
                <w:b/>
                <w:bCs/>
                <w:color w:val="FFFFFF"/>
                <w:sz w:val="20"/>
                <w:szCs w:val="20"/>
                <w:lang w:eastAsia="en-GB"/>
              </w:rPr>
            </w:pPr>
          </w:p>
        </w:tc>
      </w:tr>
      <w:tr w:rsidR="00854ADA" w:rsidRPr="00FF386D" w14:paraId="134FA065" w14:textId="77777777" w:rsidTr="0057310C">
        <w:trPr>
          <w:trHeight w:val="780"/>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68BB725B"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074" w:type="dxa"/>
            <w:gridSpan w:val="3"/>
            <w:tcBorders>
              <w:top w:val="single" w:sz="8" w:space="0" w:color="auto"/>
              <w:left w:val="nil"/>
              <w:bottom w:val="single" w:sz="8" w:space="0" w:color="auto"/>
              <w:right w:val="single" w:sz="8" w:space="0" w:color="000000"/>
            </w:tcBorders>
            <w:vAlign w:val="center"/>
            <w:hideMark/>
          </w:tcPr>
          <w:p w14:paraId="7A1F06AA" w14:textId="77777777" w:rsidR="00854ADA" w:rsidRPr="00FF386D" w:rsidRDefault="00854ADA" w:rsidP="00854ADA">
            <w:pPr>
              <w:numPr>
                <w:ilvl w:val="0"/>
                <w:numId w:val="37"/>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Закон о енергетици</w:t>
            </w:r>
          </w:p>
        </w:tc>
      </w:tr>
      <w:tr w:rsidR="00854ADA" w:rsidRPr="00FF386D" w14:paraId="7926E2DA" w14:textId="77777777" w:rsidTr="0057310C">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70C90740"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074" w:type="dxa"/>
            <w:gridSpan w:val="3"/>
            <w:tcBorders>
              <w:top w:val="single" w:sz="8" w:space="0" w:color="auto"/>
              <w:left w:val="nil"/>
              <w:bottom w:val="single" w:sz="8" w:space="0" w:color="auto"/>
              <w:right w:val="single" w:sz="8" w:space="0" w:color="000000"/>
            </w:tcBorders>
            <w:vAlign w:val="center"/>
          </w:tcPr>
          <w:p w14:paraId="6B2803CE"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400 милиона евра</w:t>
            </w:r>
          </w:p>
        </w:tc>
      </w:tr>
      <w:tr w:rsidR="00854ADA" w:rsidRPr="00FF386D" w14:paraId="085EEFA7" w14:textId="77777777" w:rsidTr="0057310C">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63D9D07C" w14:textId="77777777" w:rsidR="00854ADA" w:rsidRPr="00FF386D" w:rsidRDefault="00854ADA" w:rsidP="00854ADA">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074" w:type="dxa"/>
            <w:gridSpan w:val="3"/>
            <w:tcBorders>
              <w:top w:val="single" w:sz="8" w:space="0" w:color="auto"/>
              <w:left w:val="nil"/>
              <w:bottom w:val="single" w:sz="8" w:space="0" w:color="auto"/>
              <w:right w:val="single" w:sz="8" w:space="0" w:color="000000"/>
            </w:tcBorders>
            <w:vAlign w:val="center"/>
          </w:tcPr>
          <w:p w14:paraId="362018AA" w14:textId="6F4F5A1E" w:rsidR="00854ADA" w:rsidRPr="00FF386D" w:rsidRDefault="00854ADA" w:rsidP="00854ADA">
            <w:pPr>
              <w:spacing w:after="0" w:line="240" w:lineRule="auto"/>
              <w:jc w:val="both"/>
              <w:rPr>
                <w:rFonts w:asciiTheme="majorHAnsi" w:eastAsia="Times New Roman" w:hAnsiTheme="majorHAnsi" w:cstheme="majorHAnsi"/>
                <w:color w:val="000000"/>
                <w:sz w:val="20"/>
                <w:szCs w:val="20"/>
                <w:highlight w:val="yellow"/>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FE3EB7" w:rsidRPr="00FF386D">
              <w:rPr>
                <w:rFonts w:ascii="Calibri Light" w:eastAsia="Times New Roman" w:hAnsi="Calibri Light" w:cs="Calibri Light"/>
                <w:color w:val="000000"/>
                <w:sz w:val="20"/>
                <w:szCs w:val="20"/>
                <w:lang w:eastAsia="en-GB"/>
              </w:rPr>
              <w:t>ска и</w:t>
            </w:r>
            <w:r w:rsidRPr="00FF386D">
              <w:rPr>
                <w:rFonts w:ascii="Calibri Light" w:eastAsia="Times New Roman" w:hAnsi="Calibri Light" w:cs="Calibri Light"/>
                <w:color w:val="000000"/>
                <w:sz w:val="20"/>
                <w:szCs w:val="20"/>
                <w:lang w:eastAsia="en-GB"/>
              </w:rPr>
              <w:t xml:space="preserve"> сопствена средства</w:t>
            </w:r>
          </w:p>
        </w:tc>
      </w:tr>
    </w:tbl>
    <w:p w14:paraId="3D1C8E7E" w14:textId="77777777" w:rsidR="00854ADA" w:rsidRPr="00FF386D" w:rsidRDefault="00854ADA" w:rsidP="00854ADA">
      <w:pPr>
        <w:spacing w:before="120" w:after="120" w:line="240" w:lineRule="auto"/>
        <w:jc w:val="both"/>
        <w:rPr>
          <w:rFonts w:asciiTheme="majorHAnsi" w:eastAsia="Times New Roman" w:hAnsiTheme="majorHAnsi" w:cstheme="majorHAnsi"/>
          <w:sz w:val="20"/>
          <w:szCs w:val="20"/>
          <w:lang w:eastAsia="el-GR"/>
        </w:rPr>
      </w:pPr>
    </w:p>
    <w:tbl>
      <w:tblPr>
        <w:tblW w:w="9488" w:type="dxa"/>
        <w:tblLook w:val="04A0" w:firstRow="1" w:lastRow="0" w:firstColumn="1" w:lastColumn="0" w:noHBand="0" w:noVBand="1"/>
      </w:tblPr>
      <w:tblGrid>
        <w:gridCol w:w="3414"/>
        <w:gridCol w:w="961"/>
        <w:gridCol w:w="965"/>
        <w:gridCol w:w="4148"/>
      </w:tblGrid>
      <w:tr w:rsidR="00FE3EB7" w:rsidRPr="00FF386D" w14:paraId="2042009C" w14:textId="77777777" w:rsidTr="00FE3EB7">
        <w:trPr>
          <w:trHeight w:val="780"/>
        </w:trPr>
        <w:tc>
          <w:tcPr>
            <w:tcW w:w="3414"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5A0A58D7" w14:textId="3554F856" w:rsidR="00FE3EB7" w:rsidRPr="00FF386D" w:rsidRDefault="00DB1C84" w:rsidP="0057310C">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Шифра мере политике</w:t>
            </w:r>
            <w:r w:rsidR="00FE3EB7" w:rsidRPr="000A2AFE">
              <w:rPr>
                <w:rFonts w:ascii="Calibri Light" w:eastAsia="Times New Roman" w:hAnsi="Calibri Light" w:cs="Calibri Light"/>
                <w:b/>
                <w:bCs/>
                <w:color w:val="FFFFFF"/>
                <w:sz w:val="20"/>
                <w:szCs w:val="20"/>
                <w:lang w:eastAsia="en-GB"/>
              </w:rPr>
              <w:t xml:space="preserve">: </w:t>
            </w:r>
          </w:p>
        </w:tc>
        <w:tc>
          <w:tcPr>
            <w:tcW w:w="961" w:type="dxa"/>
            <w:tcBorders>
              <w:top w:val="single" w:sz="8" w:space="0" w:color="auto"/>
              <w:left w:val="nil"/>
              <w:bottom w:val="single" w:sz="8" w:space="0" w:color="auto"/>
              <w:right w:val="single" w:sz="8" w:space="0" w:color="auto"/>
            </w:tcBorders>
            <w:shd w:val="clear" w:color="auto" w:fill="E7E6E6" w:themeFill="background2"/>
            <w:vAlign w:val="center"/>
            <w:hideMark/>
          </w:tcPr>
          <w:p w14:paraId="59FF16FB" w14:textId="3CA4E5E6" w:rsidR="00FE3EB7" w:rsidRPr="00FF386D" w:rsidRDefault="00FE3EB7" w:rsidP="0057310C">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МП_ЕС9</w:t>
            </w:r>
          </w:p>
        </w:tc>
        <w:tc>
          <w:tcPr>
            <w:tcW w:w="965" w:type="dxa"/>
            <w:tcBorders>
              <w:top w:val="single" w:sz="8" w:space="0" w:color="auto"/>
              <w:left w:val="nil"/>
              <w:bottom w:val="single" w:sz="8" w:space="0" w:color="auto"/>
              <w:right w:val="single" w:sz="8" w:space="0" w:color="auto"/>
            </w:tcBorders>
            <w:shd w:val="clear" w:color="auto" w:fill="244062"/>
            <w:vAlign w:val="center"/>
            <w:hideMark/>
          </w:tcPr>
          <w:p w14:paraId="2A218416" w14:textId="77777777" w:rsidR="00FE3EB7" w:rsidRPr="00FF386D" w:rsidRDefault="00FE3EB7" w:rsidP="0057310C">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Назив</w:t>
            </w:r>
            <w:r w:rsidRPr="000A2AFE">
              <w:rPr>
                <w:rFonts w:asciiTheme="majorHAnsi" w:eastAsia="Times New Roman" w:hAnsiTheme="majorHAnsi" w:cstheme="majorHAnsi"/>
                <w:b/>
                <w:bCs/>
                <w:color w:val="FFFFFF"/>
                <w:sz w:val="20"/>
                <w:szCs w:val="20"/>
                <w:lang w:eastAsia="en-GB"/>
              </w:rPr>
              <w:t xml:space="preserve">: </w:t>
            </w:r>
          </w:p>
        </w:tc>
        <w:tc>
          <w:tcPr>
            <w:tcW w:w="4148" w:type="dxa"/>
            <w:tcBorders>
              <w:top w:val="single" w:sz="8" w:space="0" w:color="auto"/>
              <w:left w:val="nil"/>
              <w:bottom w:val="single" w:sz="8" w:space="0" w:color="auto"/>
              <w:right w:val="single" w:sz="8" w:space="0" w:color="auto"/>
            </w:tcBorders>
            <w:shd w:val="clear" w:color="auto" w:fill="E7E6E6" w:themeFill="background2"/>
            <w:vAlign w:val="center"/>
          </w:tcPr>
          <w:p w14:paraId="62D4FEDB" w14:textId="086FB963" w:rsidR="00FE3EB7" w:rsidRPr="00FF386D" w:rsidRDefault="00FE3EB7" w:rsidP="0057310C">
            <w:pPr>
              <w:spacing w:after="0" w:line="240" w:lineRule="auto"/>
              <w:rPr>
                <w:rFonts w:asciiTheme="majorHAnsi" w:eastAsia="Times New Roman" w:hAnsiTheme="majorHAnsi" w:cstheme="majorHAnsi"/>
                <w:b/>
                <w:bCs/>
                <w:color w:val="000000"/>
                <w:sz w:val="20"/>
                <w:szCs w:val="20"/>
                <w:lang w:eastAsia="en-GB"/>
              </w:rPr>
            </w:pPr>
            <w:r w:rsidRPr="00FF386D">
              <w:rPr>
                <w:rFonts w:asciiTheme="majorHAnsi" w:eastAsia="Times New Roman" w:hAnsiTheme="majorHAnsi" w:cstheme="majorHAnsi"/>
                <w:b/>
                <w:bCs/>
                <w:color w:val="000000"/>
                <w:sz w:val="20"/>
                <w:szCs w:val="20"/>
                <w:lang w:eastAsia="en-GB"/>
              </w:rPr>
              <w:t>Развој пројекта реверзибилне хидроелектране у Бистрици</w:t>
            </w:r>
          </w:p>
        </w:tc>
      </w:tr>
      <w:tr w:rsidR="00FE3EB7" w:rsidRPr="00FF386D" w14:paraId="58A43BC1" w14:textId="77777777" w:rsidTr="0057310C">
        <w:trPr>
          <w:trHeight w:val="572"/>
        </w:trPr>
        <w:tc>
          <w:tcPr>
            <w:tcW w:w="3414" w:type="dxa"/>
            <w:tcBorders>
              <w:top w:val="nil"/>
              <w:left w:val="single" w:sz="8" w:space="0" w:color="auto"/>
              <w:bottom w:val="single" w:sz="8" w:space="0" w:color="auto"/>
              <w:right w:val="nil"/>
            </w:tcBorders>
            <w:shd w:val="clear" w:color="000000" w:fill="244062"/>
            <w:vAlign w:val="center"/>
            <w:hideMark/>
          </w:tcPr>
          <w:p w14:paraId="1F1E2D7A" w14:textId="77777777" w:rsidR="00FE3EB7" w:rsidRPr="00FF386D" w:rsidRDefault="00FE3EB7" w:rsidP="0057310C">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074" w:type="dxa"/>
            <w:gridSpan w:val="3"/>
            <w:tcBorders>
              <w:top w:val="single" w:sz="8" w:space="0" w:color="auto"/>
              <w:left w:val="nil"/>
              <w:bottom w:val="single" w:sz="8" w:space="0" w:color="auto"/>
              <w:right w:val="single" w:sz="8" w:space="0" w:color="000000"/>
            </w:tcBorders>
            <w:vAlign w:val="center"/>
          </w:tcPr>
          <w:p w14:paraId="63C35BC3" w14:textId="6D15C8FF" w:rsidR="00FE3EB7" w:rsidRPr="00FF386D" w:rsidRDefault="00FE3EB7" w:rsidP="0057310C">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Већи ниво диверсификације енергетског микс</w:t>
            </w:r>
            <w:r w:rsidR="00613731" w:rsidRPr="00FF386D">
              <w:rPr>
                <w:rFonts w:asciiTheme="majorHAnsi" w:eastAsia="Times New Roman" w:hAnsiTheme="majorHAnsi" w:cstheme="majorHAnsi"/>
                <w:color w:val="000000"/>
                <w:sz w:val="20"/>
                <w:szCs w:val="20"/>
                <w:lang w:eastAsia="en-GB"/>
              </w:rPr>
              <w:t>а</w:t>
            </w:r>
            <w:r w:rsidRPr="00FF386D">
              <w:rPr>
                <w:rFonts w:asciiTheme="majorHAnsi" w:eastAsia="Times New Roman" w:hAnsiTheme="majorHAnsi" w:cstheme="majorHAnsi"/>
                <w:color w:val="000000"/>
                <w:sz w:val="20"/>
                <w:szCs w:val="20"/>
                <w:lang w:eastAsia="en-GB"/>
              </w:rPr>
              <w:t xml:space="preserve"> </w:t>
            </w:r>
            <w:r w:rsidR="00613731" w:rsidRPr="00FF386D">
              <w:rPr>
                <w:rFonts w:asciiTheme="majorHAnsi" w:eastAsia="Times New Roman" w:hAnsiTheme="majorHAnsi" w:cstheme="majorHAnsi"/>
                <w:color w:val="000000"/>
                <w:sz w:val="20"/>
                <w:szCs w:val="20"/>
                <w:lang w:eastAsia="en-GB"/>
              </w:rPr>
              <w:t>за интеграцију ОИЕ уз могућност апсорбовања вишка енергије из неуправљивих ОИЕ, допринос неопходној адекватности електроенергетског система</w:t>
            </w:r>
            <w:r w:rsidR="00550472">
              <w:rPr>
                <w:rFonts w:asciiTheme="majorHAnsi" w:eastAsia="Times New Roman" w:hAnsiTheme="majorHAnsi" w:cstheme="majorHAnsi"/>
                <w:color w:val="000000"/>
                <w:sz w:val="20"/>
                <w:szCs w:val="20"/>
                <w:lang w:eastAsia="en-GB"/>
              </w:rPr>
              <w:t>, развој чистих нискоугљеничних технологија</w:t>
            </w:r>
          </w:p>
        </w:tc>
      </w:tr>
      <w:tr w:rsidR="00FE3EB7" w:rsidRPr="00FF386D" w14:paraId="31D8DA90" w14:textId="77777777" w:rsidTr="0057310C">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2F9534E1" w14:textId="77777777" w:rsidR="00FE3EB7" w:rsidRPr="00FF386D" w:rsidRDefault="00FE3EB7" w:rsidP="0057310C">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Квантификовани циљ: </w:t>
            </w:r>
          </w:p>
        </w:tc>
        <w:tc>
          <w:tcPr>
            <w:tcW w:w="6074" w:type="dxa"/>
            <w:gridSpan w:val="3"/>
            <w:tcBorders>
              <w:top w:val="single" w:sz="8" w:space="0" w:color="auto"/>
              <w:left w:val="nil"/>
              <w:bottom w:val="single" w:sz="8" w:space="0" w:color="auto"/>
              <w:right w:val="single" w:sz="8" w:space="0" w:color="000000"/>
            </w:tcBorders>
            <w:vAlign w:val="center"/>
          </w:tcPr>
          <w:p w14:paraId="0A1A6672" w14:textId="3871D567" w:rsidR="00FE3EB7" w:rsidRPr="00FF386D" w:rsidRDefault="00FE3EB7" w:rsidP="0057310C">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600 </w:t>
            </w:r>
            <w:r w:rsidRPr="000A2AFE">
              <w:rPr>
                <w:rFonts w:asciiTheme="majorHAnsi" w:eastAsia="Times New Roman" w:hAnsiTheme="majorHAnsi" w:cstheme="majorHAnsi"/>
                <w:color w:val="000000"/>
                <w:sz w:val="20"/>
                <w:szCs w:val="20"/>
                <w:lang w:eastAsia="en-GB"/>
              </w:rPr>
              <w:t xml:space="preserve">MW </w:t>
            </w:r>
            <w:r w:rsidRPr="00FF386D">
              <w:rPr>
                <w:rFonts w:asciiTheme="majorHAnsi" w:eastAsia="Times New Roman" w:hAnsiTheme="majorHAnsi" w:cstheme="majorHAnsi"/>
                <w:color w:val="000000"/>
                <w:sz w:val="20"/>
                <w:szCs w:val="20"/>
                <w:lang w:eastAsia="en-GB"/>
              </w:rPr>
              <w:t>додатног производног капацитета</w:t>
            </w:r>
          </w:p>
        </w:tc>
      </w:tr>
      <w:tr w:rsidR="00FE3EB7" w:rsidRPr="00FF386D" w14:paraId="3256938C" w14:textId="77777777" w:rsidTr="0057310C">
        <w:trPr>
          <w:trHeight w:val="584"/>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67459429" w14:textId="77777777" w:rsidR="00FE3EB7" w:rsidRPr="00FF386D" w:rsidRDefault="00FE3EB7" w:rsidP="0057310C">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074" w:type="dxa"/>
            <w:gridSpan w:val="3"/>
            <w:tcBorders>
              <w:top w:val="single" w:sz="8" w:space="0" w:color="auto"/>
              <w:left w:val="nil"/>
              <w:bottom w:val="single" w:sz="8" w:space="0" w:color="auto"/>
              <w:right w:val="single" w:sz="8" w:space="0" w:color="000000"/>
            </w:tcBorders>
            <w:vAlign w:val="center"/>
          </w:tcPr>
          <w:p w14:paraId="0A4C75F9" w14:textId="4127B42D" w:rsidR="00FE3EB7" w:rsidRPr="00FF386D" w:rsidRDefault="00FE3EB7" w:rsidP="0057310C">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Како би се постигли циљеви ИНЕКП</w:t>
            </w:r>
            <w:r w:rsidR="00032F33" w:rsidRPr="00FF386D">
              <w:rPr>
                <w:rFonts w:asciiTheme="majorHAnsi" w:eastAsia="Times New Roman" w:hAnsiTheme="majorHAnsi" w:cstheme="majorHAnsi"/>
                <w:color w:val="000000"/>
                <w:sz w:val="20"/>
                <w:szCs w:val="20"/>
                <w:lang w:eastAsia="en-GB"/>
              </w:rPr>
              <w:t>-а</w:t>
            </w:r>
            <w:r w:rsidRPr="00FF386D">
              <w:rPr>
                <w:rFonts w:asciiTheme="majorHAnsi" w:eastAsia="Times New Roman" w:hAnsiTheme="majorHAnsi" w:cstheme="majorHAnsi"/>
                <w:color w:val="000000"/>
                <w:sz w:val="20"/>
                <w:szCs w:val="20"/>
                <w:lang w:eastAsia="en-GB"/>
              </w:rPr>
              <w:t xml:space="preserve"> на најекономичнији начин и омогућила интеграција ОИЕ, појавила се потреба за изградњом система складиштење енергије. Конкретно, </w:t>
            </w:r>
            <w:r w:rsidR="00613731" w:rsidRPr="00FF386D">
              <w:rPr>
                <w:rFonts w:asciiTheme="majorHAnsi" w:eastAsia="Times New Roman" w:hAnsiTheme="majorHAnsi" w:cstheme="majorHAnsi"/>
                <w:color w:val="000000"/>
                <w:sz w:val="20"/>
                <w:szCs w:val="20"/>
                <w:lang w:eastAsia="en-GB"/>
              </w:rPr>
              <w:t xml:space="preserve">на основу израђених студија и резултата моделовања, модел СЕМС сматра да ће нови пројекат </w:t>
            </w:r>
            <w:r w:rsidR="00032F33" w:rsidRPr="00FF386D">
              <w:rPr>
                <w:rFonts w:asciiTheme="majorHAnsi" w:eastAsia="Times New Roman" w:hAnsiTheme="majorHAnsi" w:cstheme="majorHAnsi"/>
                <w:color w:val="000000"/>
                <w:sz w:val="20"/>
                <w:szCs w:val="20"/>
                <w:lang w:eastAsia="en-GB"/>
              </w:rPr>
              <w:t>реверзибилне хидроелектране</w:t>
            </w:r>
            <w:r w:rsidR="00613731" w:rsidRPr="00FF386D">
              <w:rPr>
                <w:rFonts w:asciiTheme="majorHAnsi" w:eastAsia="Times New Roman" w:hAnsiTheme="majorHAnsi" w:cstheme="majorHAnsi"/>
                <w:color w:val="000000"/>
                <w:sz w:val="20"/>
                <w:szCs w:val="20"/>
                <w:lang w:eastAsia="en-GB"/>
              </w:rPr>
              <w:t xml:space="preserve"> бити интегрисан у систем 2031. годин</w:t>
            </w:r>
            <w:r w:rsidR="00032F33" w:rsidRPr="00FF386D">
              <w:rPr>
                <w:rFonts w:asciiTheme="majorHAnsi" w:eastAsia="Times New Roman" w:hAnsiTheme="majorHAnsi" w:cstheme="majorHAnsi"/>
                <w:color w:val="000000"/>
                <w:sz w:val="20"/>
                <w:szCs w:val="20"/>
                <w:lang w:eastAsia="en-GB"/>
              </w:rPr>
              <w:t>е. Овај објекат ће такође подржати рад система с обзиром на то да ће допринети повећању обим</w:t>
            </w:r>
            <w:r w:rsidR="00C7020D">
              <w:rPr>
                <w:rFonts w:asciiTheme="majorHAnsi" w:eastAsia="Times New Roman" w:hAnsiTheme="majorHAnsi" w:cstheme="majorHAnsi"/>
                <w:color w:val="000000"/>
                <w:sz w:val="20"/>
                <w:szCs w:val="20"/>
                <w:lang w:val="sr-Latn-RS" w:eastAsia="en-GB"/>
              </w:rPr>
              <w:t>a</w:t>
            </w:r>
            <w:r w:rsidR="00032F33" w:rsidRPr="00FF386D">
              <w:rPr>
                <w:rFonts w:asciiTheme="majorHAnsi" w:eastAsia="Times New Roman" w:hAnsiTheme="majorHAnsi" w:cstheme="majorHAnsi"/>
                <w:color w:val="000000"/>
                <w:sz w:val="20"/>
                <w:szCs w:val="20"/>
                <w:lang w:eastAsia="en-GB"/>
              </w:rPr>
              <w:t xml:space="preserve"> </w:t>
            </w:r>
            <w:r w:rsidR="00613731" w:rsidRPr="00FF386D">
              <w:rPr>
                <w:rFonts w:asciiTheme="majorHAnsi" w:eastAsia="Times New Roman" w:hAnsiTheme="majorHAnsi" w:cstheme="majorHAnsi"/>
                <w:color w:val="000000"/>
                <w:sz w:val="20"/>
                <w:szCs w:val="20"/>
                <w:lang w:eastAsia="en-GB"/>
              </w:rPr>
              <w:t xml:space="preserve">расположивог капацитета регулације у систему. </w:t>
            </w:r>
          </w:p>
        </w:tc>
      </w:tr>
      <w:tr w:rsidR="00FE3EB7" w:rsidRPr="00FF386D" w14:paraId="31D6A3CF" w14:textId="77777777" w:rsidTr="0057310C">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3E671D47" w14:textId="77777777" w:rsidR="00FE3EB7" w:rsidRPr="00FF386D" w:rsidRDefault="00FE3EB7" w:rsidP="0057310C">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074" w:type="dxa"/>
            <w:gridSpan w:val="3"/>
            <w:tcBorders>
              <w:top w:val="single" w:sz="8" w:space="0" w:color="auto"/>
              <w:left w:val="nil"/>
              <w:bottom w:val="single" w:sz="8" w:space="0" w:color="auto"/>
              <w:right w:val="single" w:sz="8" w:space="0" w:color="000000"/>
            </w:tcBorders>
            <w:vAlign w:val="center"/>
            <w:hideMark/>
          </w:tcPr>
          <w:p w14:paraId="14DB0835" w14:textId="78CEB068" w:rsidR="00FE3EB7" w:rsidRPr="00FF386D" w:rsidRDefault="00FE3EB7" w:rsidP="0057310C">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2023-2031.</w:t>
            </w:r>
          </w:p>
        </w:tc>
      </w:tr>
      <w:tr w:rsidR="00FE3EB7" w:rsidRPr="00FF386D" w14:paraId="274191B5" w14:textId="77777777" w:rsidTr="0057310C">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12570BC7" w14:textId="77777777" w:rsidR="00FE3EB7" w:rsidRPr="00FF386D" w:rsidRDefault="00FE3EB7" w:rsidP="0057310C">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074" w:type="dxa"/>
            <w:gridSpan w:val="3"/>
            <w:tcBorders>
              <w:top w:val="single" w:sz="8" w:space="0" w:color="auto"/>
              <w:left w:val="nil"/>
              <w:bottom w:val="single" w:sz="8" w:space="0" w:color="auto"/>
              <w:right w:val="single" w:sz="8" w:space="0" w:color="000000"/>
            </w:tcBorders>
            <w:vAlign w:val="center"/>
            <w:hideMark/>
          </w:tcPr>
          <w:p w14:paraId="306B8106" w14:textId="77777777" w:rsidR="00FE3EB7" w:rsidRPr="00FF386D" w:rsidRDefault="00FE3EB7" w:rsidP="0057310C">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Инвестиција</w:t>
            </w:r>
          </w:p>
        </w:tc>
      </w:tr>
      <w:tr w:rsidR="00FE3EB7" w:rsidRPr="00FF386D" w14:paraId="123CE615" w14:textId="77777777" w:rsidTr="0057310C">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197F8E05" w14:textId="77777777" w:rsidR="00FE3EB7" w:rsidRPr="00FF386D" w:rsidRDefault="00FE3EB7" w:rsidP="0057310C">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074" w:type="dxa"/>
            <w:gridSpan w:val="3"/>
            <w:tcBorders>
              <w:top w:val="single" w:sz="8" w:space="0" w:color="auto"/>
              <w:left w:val="nil"/>
              <w:bottom w:val="single" w:sz="8" w:space="0" w:color="auto"/>
              <w:right w:val="single" w:sz="8" w:space="0" w:color="000000"/>
            </w:tcBorders>
            <w:vAlign w:val="center"/>
            <w:hideMark/>
          </w:tcPr>
          <w:p w14:paraId="4D78114F" w14:textId="425C8ACF" w:rsidR="00FE3EB7" w:rsidRPr="00FF386D" w:rsidRDefault="00FE3EB7" w:rsidP="0057310C">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Електрична енергија</w:t>
            </w:r>
          </w:p>
        </w:tc>
      </w:tr>
      <w:tr w:rsidR="00FE3EB7" w:rsidRPr="00FF386D" w14:paraId="472B1669" w14:textId="77777777" w:rsidTr="0057310C">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45537A10" w14:textId="77777777" w:rsidR="00FE3EB7" w:rsidRPr="00FF386D" w:rsidRDefault="00FE3EB7" w:rsidP="0057310C">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074" w:type="dxa"/>
            <w:gridSpan w:val="3"/>
            <w:tcBorders>
              <w:top w:val="single" w:sz="8" w:space="0" w:color="auto"/>
              <w:left w:val="nil"/>
              <w:bottom w:val="single" w:sz="8" w:space="0" w:color="auto"/>
              <w:right w:val="single" w:sz="8" w:space="0" w:color="000000"/>
            </w:tcBorders>
            <w:vAlign w:val="center"/>
            <w:hideMark/>
          </w:tcPr>
          <w:p w14:paraId="2E7E87C3" w14:textId="5418EC97" w:rsidR="00FE3EB7" w:rsidRPr="00FF386D" w:rsidRDefault="00FE3EB7" w:rsidP="0057310C">
            <w:pPr>
              <w:numPr>
                <w:ilvl w:val="0"/>
                <w:numId w:val="37"/>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ЕПС</w:t>
            </w:r>
          </w:p>
        </w:tc>
      </w:tr>
      <w:tr w:rsidR="00FE3EB7" w:rsidRPr="00FF386D" w14:paraId="6D46F0F5" w14:textId="77777777" w:rsidTr="0057310C">
        <w:trPr>
          <w:trHeight w:val="315"/>
        </w:trPr>
        <w:tc>
          <w:tcPr>
            <w:tcW w:w="3414" w:type="dxa"/>
            <w:tcBorders>
              <w:top w:val="nil"/>
              <w:left w:val="single" w:sz="8" w:space="0" w:color="auto"/>
              <w:bottom w:val="single" w:sz="8" w:space="0" w:color="auto"/>
              <w:right w:val="nil"/>
            </w:tcBorders>
            <w:shd w:val="clear" w:color="000000" w:fill="244062"/>
            <w:vAlign w:val="center"/>
            <w:hideMark/>
          </w:tcPr>
          <w:p w14:paraId="5B079A6D" w14:textId="77777777" w:rsidR="00FE3EB7" w:rsidRPr="00FF386D" w:rsidRDefault="00FE3EB7" w:rsidP="0057310C">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074" w:type="dxa"/>
            <w:gridSpan w:val="3"/>
            <w:tcBorders>
              <w:top w:val="single" w:sz="8" w:space="0" w:color="auto"/>
              <w:left w:val="nil"/>
              <w:bottom w:val="single" w:sz="8" w:space="0" w:color="auto"/>
              <w:right w:val="single" w:sz="8" w:space="0" w:color="000000"/>
            </w:tcBorders>
            <w:vAlign w:val="center"/>
            <w:hideMark/>
          </w:tcPr>
          <w:p w14:paraId="4DBC3119" w14:textId="77777777" w:rsidR="00FE3EB7" w:rsidRPr="00FF386D" w:rsidRDefault="00FE3EB7" w:rsidP="0057310C">
            <w:pPr>
              <w:numPr>
                <w:ilvl w:val="0"/>
                <w:numId w:val="37"/>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рударства и енергетике</w:t>
            </w:r>
          </w:p>
          <w:p w14:paraId="47B45C55" w14:textId="1D42D594" w:rsidR="00FE3EB7" w:rsidRPr="001D6FA8" w:rsidRDefault="00FE3EB7" w:rsidP="001D6FA8">
            <w:pPr>
              <w:numPr>
                <w:ilvl w:val="0"/>
                <w:numId w:val="37"/>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грађевинарства, саобраћаја и инфраструктуре</w:t>
            </w:r>
          </w:p>
        </w:tc>
      </w:tr>
      <w:tr w:rsidR="00FE3EB7" w:rsidRPr="00FF386D" w14:paraId="42B4A902" w14:textId="77777777" w:rsidTr="0057310C">
        <w:trPr>
          <w:trHeight w:val="315"/>
        </w:trPr>
        <w:tc>
          <w:tcPr>
            <w:tcW w:w="3414" w:type="dxa"/>
            <w:tcBorders>
              <w:top w:val="nil"/>
              <w:left w:val="single" w:sz="8" w:space="0" w:color="auto"/>
              <w:bottom w:val="single" w:sz="8" w:space="0" w:color="auto"/>
              <w:right w:val="nil"/>
            </w:tcBorders>
            <w:shd w:val="clear" w:color="000000" w:fill="244062"/>
            <w:vAlign w:val="center"/>
            <w:hideMark/>
          </w:tcPr>
          <w:p w14:paraId="5596DD2A" w14:textId="77777777" w:rsidR="00FE3EB7" w:rsidRPr="00FF386D" w:rsidRDefault="00FE3EB7" w:rsidP="0057310C">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074" w:type="dxa"/>
            <w:gridSpan w:val="3"/>
            <w:tcBorders>
              <w:top w:val="single" w:sz="8" w:space="0" w:color="auto"/>
              <w:left w:val="nil"/>
              <w:bottom w:val="single" w:sz="8" w:space="0" w:color="auto"/>
              <w:right w:val="single" w:sz="8" w:space="0" w:color="000000"/>
            </w:tcBorders>
            <w:vAlign w:val="center"/>
            <w:hideMark/>
          </w:tcPr>
          <w:p w14:paraId="17AF7F55" w14:textId="1C142136" w:rsidR="00FE3EB7" w:rsidRPr="00FF386D" w:rsidRDefault="00C7020D" w:rsidP="0057310C">
            <w:pPr>
              <w:spacing w:after="0" w:line="240" w:lineRule="auto"/>
              <w:jc w:val="both"/>
              <w:rPr>
                <w:rFonts w:asciiTheme="majorHAnsi" w:eastAsia="Times New Roman" w:hAnsiTheme="majorHAnsi" w:cstheme="majorHAnsi"/>
                <w:color w:val="000000"/>
                <w:sz w:val="20"/>
                <w:szCs w:val="20"/>
                <w:lang w:eastAsia="en-GB"/>
              </w:rPr>
            </w:pPr>
            <w:r w:rsidRPr="00C7020D">
              <w:rPr>
                <w:rFonts w:ascii="Calibri Light" w:hAnsi="Calibri Light"/>
                <w:sz w:val="20"/>
              </w:rPr>
              <w:t>Количина пумпног капацитета за складиштење у систему</w:t>
            </w:r>
          </w:p>
        </w:tc>
      </w:tr>
      <w:tr w:rsidR="00FE3EB7" w:rsidRPr="00FF386D" w14:paraId="27FABEFB" w14:textId="77777777" w:rsidTr="0057310C">
        <w:trPr>
          <w:trHeight w:val="387"/>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27C4965B" w14:textId="77777777" w:rsidR="00FE3EB7" w:rsidRPr="00FF386D" w:rsidRDefault="00FE3EB7" w:rsidP="0057310C">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074" w:type="dxa"/>
            <w:gridSpan w:val="3"/>
            <w:tcBorders>
              <w:top w:val="single" w:sz="8" w:space="0" w:color="auto"/>
              <w:left w:val="nil"/>
              <w:bottom w:val="single" w:sz="8" w:space="0" w:color="auto"/>
              <w:right w:val="single" w:sz="8" w:space="0" w:color="000000"/>
            </w:tcBorders>
            <w:vAlign w:val="center"/>
            <w:hideMark/>
          </w:tcPr>
          <w:p w14:paraId="20068B56" w14:textId="486E06FD" w:rsidR="00550472" w:rsidRPr="00550472" w:rsidRDefault="00550472" w:rsidP="000A2AFE">
            <w:pPr>
              <w:pStyle w:val="ListParagraph"/>
              <w:numPr>
                <w:ilvl w:val="0"/>
                <w:numId w:val="37"/>
              </w:numPr>
              <w:spacing w:after="0" w:line="240" w:lineRule="auto"/>
              <w:jc w:val="both"/>
              <w:rPr>
                <w:rFonts w:asciiTheme="majorHAnsi" w:eastAsia="Times New Roman" w:hAnsiTheme="majorHAnsi" w:cstheme="majorHAnsi"/>
                <w:color w:val="000000"/>
                <w:sz w:val="20"/>
                <w:szCs w:val="20"/>
                <w:lang w:eastAsia="en-GB"/>
              </w:rPr>
            </w:pPr>
            <w:r w:rsidRPr="00550472">
              <w:rPr>
                <w:rFonts w:asciiTheme="majorHAnsi" w:eastAsia="Times New Roman" w:hAnsiTheme="majorHAnsi" w:cstheme="majorHAnsi"/>
                <w:color w:val="000000"/>
                <w:sz w:val="20"/>
                <w:szCs w:val="20"/>
                <w:lang w:eastAsia="en-GB"/>
              </w:rPr>
              <w:t>Унутрашње енергетско тржиште</w:t>
            </w:r>
          </w:p>
          <w:p w14:paraId="3BC8F8BA" w14:textId="060C46D8" w:rsidR="00FE3EB7" w:rsidRPr="00FF386D" w:rsidRDefault="00FE3EB7" w:rsidP="0057310C">
            <w:pPr>
              <w:numPr>
                <w:ilvl w:val="0"/>
                <w:numId w:val="37"/>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Декарбонизација</w:t>
            </w:r>
          </w:p>
        </w:tc>
      </w:tr>
      <w:tr w:rsidR="00FE3EB7" w:rsidRPr="00FF386D" w14:paraId="6BE348C5" w14:textId="77777777" w:rsidTr="0057310C">
        <w:trPr>
          <w:trHeight w:val="450"/>
        </w:trPr>
        <w:tc>
          <w:tcPr>
            <w:tcW w:w="3414"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597D5AA1" w14:textId="77777777" w:rsidR="00FE3EB7" w:rsidRPr="00FF386D" w:rsidRDefault="00FE3EB7" w:rsidP="0057310C">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Политике Уније која су резултирале имплементацијом политике и мере</w:t>
            </w:r>
          </w:p>
        </w:tc>
        <w:tc>
          <w:tcPr>
            <w:tcW w:w="6074"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90ABC36" w14:textId="77777777" w:rsidR="00FE3EB7" w:rsidRPr="00FF386D" w:rsidRDefault="00FE3EB7" w:rsidP="0057310C">
            <w:pPr>
              <w:spacing w:after="0"/>
              <w:rPr>
                <w:rFonts w:asciiTheme="majorHAnsi" w:eastAsia="Times New Roman" w:hAnsiTheme="majorHAnsi" w:cstheme="majorHAnsi"/>
                <w:color w:val="FFFFFF"/>
                <w:sz w:val="20"/>
                <w:szCs w:val="20"/>
                <w:lang w:eastAsia="en-GB"/>
              </w:rPr>
            </w:pPr>
            <w:r w:rsidRPr="000A2AFE">
              <w:rPr>
                <w:rFonts w:asciiTheme="majorHAnsi" w:eastAsia="Times New Roman" w:hAnsiTheme="majorHAnsi" w:cstheme="majorHAnsi"/>
                <w:color w:val="FFFFFF"/>
                <w:sz w:val="20"/>
                <w:szCs w:val="20"/>
                <w:lang w:eastAsia="en-GB"/>
              </w:rPr>
              <w:t>???</w:t>
            </w:r>
          </w:p>
        </w:tc>
      </w:tr>
      <w:tr w:rsidR="00FE3EB7" w:rsidRPr="00FF386D" w14:paraId="0F160561"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096B8FA7" w14:textId="77777777" w:rsidR="00FE3EB7" w:rsidRPr="00FF386D" w:rsidRDefault="00FE3EB7" w:rsidP="0057310C">
            <w:pPr>
              <w:spacing w:after="0" w:line="256" w:lineRule="auto"/>
              <w:rPr>
                <w:rFonts w:asciiTheme="majorHAnsi" w:eastAsia="Times New Roman" w:hAnsiTheme="majorHAnsi" w:cstheme="majorHAnsi"/>
                <w:b/>
                <w:bCs/>
                <w:color w:val="FFFFFF"/>
                <w:sz w:val="20"/>
                <w:szCs w:val="20"/>
                <w:lang w:eastAsia="en-GB"/>
              </w:rPr>
            </w:pPr>
          </w:p>
        </w:tc>
        <w:tc>
          <w:tcPr>
            <w:tcW w:w="6074" w:type="dxa"/>
            <w:gridSpan w:val="3"/>
            <w:vMerge/>
            <w:tcBorders>
              <w:top w:val="single" w:sz="8" w:space="0" w:color="auto"/>
              <w:left w:val="single" w:sz="8" w:space="0" w:color="auto"/>
              <w:bottom w:val="single" w:sz="8" w:space="0" w:color="000000"/>
              <w:right w:val="single" w:sz="8" w:space="0" w:color="000000"/>
            </w:tcBorders>
            <w:vAlign w:val="center"/>
            <w:hideMark/>
          </w:tcPr>
          <w:p w14:paraId="7E72A44C" w14:textId="77777777" w:rsidR="00FE3EB7" w:rsidRPr="00FF386D" w:rsidRDefault="00FE3EB7" w:rsidP="0057310C">
            <w:pPr>
              <w:spacing w:after="0" w:line="256" w:lineRule="auto"/>
              <w:rPr>
                <w:rFonts w:asciiTheme="majorHAnsi" w:eastAsia="Times New Roman" w:hAnsiTheme="majorHAnsi" w:cstheme="majorHAnsi"/>
                <w:b/>
                <w:bCs/>
                <w:color w:val="FFFFFF"/>
                <w:sz w:val="20"/>
                <w:szCs w:val="20"/>
                <w:lang w:eastAsia="en-GB"/>
              </w:rPr>
            </w:pPr>
          </w:p>
        </w:tc>
      </w:tr>
      <w:tr w:rsidR="00FE3EB7" w:rsidRPr="00FF386D" w14:paraId="209A475E"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5AD900D3" w14:textId="77777777" w:rsidR="00FE3EB7" w:rsidRPr="00FF386D" w:rsidRDefault="00FE3EB7" w:rsidP="0057310C">
            <w:pPr>
              <w:spacing w:after="0" w:line="256" w:lineRule="auto"/>
              <w:rPr>
                <w:rFonts w:asciiTheme="majorHAnsi" w:eastAsia="Times New Roman" w:hAnsiTheme="majorHAnsi" w:cstheme="majorHAnsi"/>
                <w:b/>
                <w:bCs/>
                <w:color w:val="FFFFFF"/>
                <w:sz w:val="20"/>
                <w:szCs w:val="20"/>
                <w:lang w:eastAsia="en-GB"/>
              </w:rPr>
            </w:pPr>
          </w:p>
        </w:tc>
        <w:tc>
          <w:tcPr>
            <w:tcW w:w="6074" w:type="dxa"/>
            <w:gridSpan w:val="3"/>
            <w:vMerge/>
            <w:tcBorders>
              <w:top w:val="single" w:sz="8" w:space="0" w:color="auto"/>
              <w:left w:val="single" w:sz="8" w:space="0" w:color="auto"/>
              <w:bottom w:val="single" w:sz="8" w:space="0" w:color="000000"/>
              <w:right w:val="single" w:sz="8" w:space="0" w:color="000000"/>
            </w:tcBorders>
            <w:vAlign w:val="center"/>
            <w:hideMark/>
          </w:tcPr>
          <w:p w14:paraId="52018D65" w14:textId="77777777" w:rsidR="00FE3EB7" w:rsidRPr="00FF386D" w:rsidRDefault="00FE3EB7" w:rsidP="0057310C">
            <w:pPr>
              <w:spacing w:after="0" w:line="256" w:lineRule="auto"/>
              <w:rPr>
                <w:rFonts w:asciiTheme="majorHAnsi" w:eastAsia="Times New Roman" w:hAnsiTheme="majorHAnsi" w:cstheme="majorHAnsi"/>
                <w:b/>
                <w:bCs/>
                <w:color w:val="FFFFFF"/>
                <w:sz w:val="20"/>
                <w:szCs w:val="20"/>
                <w:lang w:eastAsia="en-GB"/>
              </w:rPr>
            </w:pPr>
          </w:p>
        </w:tc>
      </w:tr>
      <w:tr w:rsidR="00FE3EB7" w:rsidRPr="00FF386D" w14:paraId="030D1785" w14:textId="77777777" w:rsidTr="0057310C">
        <w:trPr>
          <w:trHeight w:val="780"/>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59B0954C" w14:textId="77777777" w:rsidR="00FE3EB7" w:rsidRPr="00FF386D" w:rsidRDefault="00FE3EB7" w:rsidP="0057310C">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074" w:type="dxa"/>
            <w:gridSpan w:val="3"/>
            <w:tcBorders>
              <w:top w:val="single" w:sz="8" w:space="0" w:color="auto"/>
              <w:left w:val="nil"/>
              <w:bottom w:val="single" w:sz="8" w:space="0" w:color="auto"/>
              <w:right w:val="single" w:sz="8" w:space="0" w:color="000000"/>
            </w:tcBorders>
            <w:vAlign w:val="center"/>
            <w:hideMark/>
          </w:tcPr>
          <w:p w14:paraId="665C6EA2" w14:textId="77777777" w:rsidR="00FE3EB7" w:rsidRPr="00FF386D" w:rsidRDefault="00FE3EB7" w:rsidP="0057310C">
            <w:pPr>
              <w:numPr>
                <w:ilvl w:val="0"/>
                <w:numId w:val="37"/>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Закон о енергетици</w:t>
            </w:r>
          </w:p>
        </w:tc>
      </w:tr>
      <w:tr w:rsidR="00FE3EB7" w:rsidRPr="00FF386D" w14:paraId="43537E4A" w14:textId="77777777" w:rsidTr="0057310C">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284BF48D" w14:textId="77777777" w:rsidR="00FE3EB7" w:rsidRPr="00FF386D" w:rsidRDefault="00FE3EB7" w:rsidP="0057310C">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074" w:type="dxa"/>
            <w:gridSpan w:val="3"/>
            <w:tcBorders>
              <w:top w:val="single" w:sz="8" w:space="0" w:color="auto"/>
              <w:left w:val="nil"/>
              <w:bottom w:val="single" w:sz="8" w:space="0" w:color="auto"/>
              <w:right w:val="single" w:sz="8" w:space="0" w:color="000000"/>
            </w:tcBorders>
            <w:vAlign w:val="center"/>
          </w:tcPr>
          <w:p w14:paraId="04F197A6" w14:textId="5461A590" w:rsidR="00FE3EB7" w:rsidRPr="00FF386D" w:rsidRDefault="00FE3EB7" w:rsidP="0057310C">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835 милиона евра</w:t>
            </w:r>
          </w:p>
        </w:tc>
      </w:tr>
      <w:tr w:rsidR="00FE3EB7" w:rsidRPr="00FF386D" w14:paraId="2EE77F7B" w14:textId="77777777" w:rsidTr="0057310C">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7520C58E" w14:textId="77777777" w:rsidR="00FE3EB7" w:rsidRPr="00FF386D" w:rsidRDefault="00FE3EB7" w:rsidP="0057310C">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074" w:type="dxa"/>
            <w:gridSpan w:val="3"/>
            <w:tcBorders>
              <w:top w:val="single" w:sz="8" w:space="0" w:color="auto"/>
              <w:left w:val="nil"/>
              <w:bottom w:val="single" w:sz="8" w:space="0" w:color="auto"/>
              <w:right w:val="single" w:sz="8" w:space="0" w:color="000000"/>
            </w:tcBorders>
            <w:vAlign w:val="center"/>
          </w:tcPr>
          <w:p w14:paraId="0547CF47" w14:textId="77777777" w:rsidR="00FE3EB7" w:rsidRPr="00FF386D" w:rsidRDefault="00FE3EB7" w:rsidP="0057310C">
            <w:pPr>
              <w:spacing w:after="0" w:line="240" w:lineRule="auto"/>
              <w:jc w:val="both"/>
              <w:rPr>
                <w:rFonts w:asciiTheme="majorHAnsi" w:eastAsia="Times New Roman" w:hAnsiTheme="majorHAnsi" w:cstheme="majorHAnsi"/>
                <w:color w:val="000000"/>
                <w:sz w:val="20"/>
                <w:szCs w:val="20"/>
                <w:highlight w:val="yellow"/>
                <w:lang w:eastAsia="en-GB"/>
              </w:rPr>
            </w:pPr>
            <w:r w:rsidRPr="00FF386D">
              <w:rPr>
                <w:rFonts w:ascii="Calibri Light" w:eastAsia="Times New Roman" w:hAnsi="Calibri Light" w:cs="Calibri Light"/>
                <w:color w:val="000000"/>
                <w:sz w:val="20"/>
                <w:szCs w:val="20"/>
                <w:lang w:eastAsia="en-GB"/>
              </w:rPr>
              <w:t>Фондови ЕУ и други фондови, буџетска и сопствена средства</w:t>
            </w:r>
          </w:p>
        </w:tc>
      </w:tr>
    </w:tbl>
    <w:p w14:paraId="6A070E95" w14:textId="77777777" w:rsidR="00FE3EB7" w:rsidRPr="00FF386D" w:rsidRDefault="00FE3EB7" w:rsidP="00854ADA">
      <w:pPr>
        <w:spacing w:before="120" w:after="120" w:line="240" w:lineRule="auto"/>
        <w:jc w:val="both"/>
        <w:rPr>
          <w:rFonts w:asciiTheme="majorHAnsi" w:eastAsia="Times New Roman" w:hAnsiTheme="majorHAnsi" w:cstheme="majorHAnsi"/>
          <w:sz w:val="20"/>
          <w:szCs w:val="20"/>
          <w:lang w:eastAsia="el-GR"/>
        </w:rPr>
      </w:pPr>
    </w:p>
    <w:tbl>
      <w:tblPr>
        <w:tblW w:w="9488" w:type="dxa"/>
        <w:tblLook w:val="04A0" w:firstRow="1" w:lastRow="0" w:firstColumn="1" w:lastColumn="0" w:noHBand="0" w:noVBand="1"/>
      </w:tblPr>
      <w:tblGrid>
        <w:gridCol w:w="3394"/>
        <w:gridCol w:w="1017"/>
        <w:gridCol w:w="963"/>
        <w:gridCol w:w="4114"/>
      </w:tblGrid>
      <w:tr w:rsidR="00613731" w:rsidRPr="00FF386D" w14:paraId="701C8224" w14:textId="77777777" w:rsidTr="0057310C">
        <w:trPr>
          <w:trHeight w:val="780"/>
        </w:trPr>
        <w:tc>
          <w:tcPr>
            <w:tcW w:w="3414"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0778F820" w14:textId="662430DF" w:rsidR="00613731" w:rsidRPr="00FF386D" w:rsidRDefault="00DB1C84" w:rsidP="0057310C">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613731" w:rsidRPr="000A2AFE">
              <w:rPr>
                <w:rFonts w:ascii="Calibri Light" w:eastAsia="Times New Roman" w:hAnsi="Calibri Light" w:cs="Calibri Light"/>
                <w:b/>
                <w:bCs/>
                <w:color w:val="FFFFFF"/>
                <w:sz w:val="20"/>
                <w:szCs w:val="20"/>
                <w:lang w:eastAsia="en-GB"/>
              </w:rPr>
              <w:t xml:space="preserve">: </w:t>
            </w:r>
          </w:p>
        </w:tc>
        <w:tc>
          <w:tcPr>
            <w:tcW w:w="961" w:type="dxa"/>
            <w:tcBorders>
              <w:top w:val="single" w:sz="8" w:space="0" w:color="auto"/>
              <w:left w:val="nil"/>
              <w:bottom w:val="single" w:sz="8" w:space="0" w:color="auto"/>
              <w:right w:val="single" w:sz="8" w:space="0" w:color="auto"/>
            </w:tcBorders>
            <w:shd w:val="clear" w:color="auto" w:fill="E7E6E6" w:themeFill="background2"/>
            <w:vAlign w:val="center"/>
            <w:hideMark/>
          </w:tcPr>
          <w:p w14:paraId="46D39142" w14:textId="78C3518A" w:rsidR="00613731" w:rsidRPr="00FF386D" w:rsidRDefault="00613731" w:rsidP="0057310C">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МП_ЕС10</w:t>
            </w:r>
          </w:p>
        </w:tc>
        <w:tc>
          <w:tcPr>
            <w:tcW w:w="965" w:type="dxa"/>
            <w:tcBorders>
              <w:top w:val="single" w:sz="8" w:space="0" w:color="auto"/>
              <w:left w:val="nil"/>
              <w:bottom w:val="single" w:sz="8" w:space="0" w:color="auto"/>
              <w:right w:val="single" w:sz="8" w:space="0" w:color="auto"/>
            </w:tcBorders>
            <w:shd w:val="clear" w:color="auto" w:fill="244062"/>
            <w:vAlign w:val="center"/>
            <w:hideMark/>
          </w:tcPr>
          <w:p w14:paraId="3D785C34" w14:textId="77777777" w:rsidR="00613731" w:rsidRPr="00FF386D" w:rsidRDefault="00613731" w:rsidP="0057310C">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Назив</w:t>
            </w:r>
            <w:r w:rsidRPr="000A2AFE">
              <w:rPr>
                <w:rFonts w:asciiTheme="majorHAnsi" w:eastAsia="Times New Roman" w:hAnsiTheme="majorHAnsi" w:cstheme="majorHAnsi"/>
                <w:b/>
                <w:bCs/>
                <w:color w:val="FFFFFF"/>
                <w:sz w:val="20"/>
                <w:szCs w:val="20"/>
                <w:lang w:eastAsia="en-GB"/>
              </w:rPr>
              <w:t xml:space="preserve">: </w:t>
            </w:r>
          </w:p>
        </w:tc>
        <w:tc>
          <w:tcPr>
            <w:tcW w:w="4148" w:type="dxa"/>
            <w:tcBorders>
              <w:top w:val="single" w:sz="8" w:space="0" w:color="auto"/>
              <w:left w:val="nil"/>
              <w:bottom w:val="single" w:sz="8" w:space="0" w:color="auto"/>
              <w:right w:val="single" w:sz="8" w:space="0" w:color="auto"/>
            </w:tcBorders>
            <w:shd w:val="clear" w:color="auto" w:fill="E7E6E6" w:themeFill="background2"/>
            <w:vAlign w:val="center"/>
          </w:tcPr>
          <w:p w14:paraId="47890F4B" w14:textId="70D2ECD9" w:rsidR="00613731" w:rsidRPr="00FF386D" w:rsidRDefault="00613731" w:rsidP="0057310C">
            <w:pPr>
              <w:spacing w:after="0" w:line="240" w:lineRule="auto"/>
              <w:rPr>
                <w:rFonts w:asciiTheme="majorHAnsi" w:eastAsia="Times New Roman" w:hAnsiTheme="majorHAnsi" w:cstheme="majorHAnsi"/>
                <w:b/>
                <w:bCs/>
                <w:color w:val="000000"/>
                <w:sz w:val="20"/>
                <w:szCs w:val="20"/>
                <w:lang w:eastAsia="en-GB"/>
              </w:rPr>
            </w:pPr>
            <w:r w:rsidRPr="00FF386D">
              <w:rPr>
                <w:rFonts w:asciiTheme="majorHAnsi" w:eastAsia="Times New Roman" w:hAnsiTheme="majorHAnsi" w:cstheme="majorHAnsi"/>
                <w:b/>
                <w:bCs/>
                <w:color w:val="000000"/>
                <w:sz w:val="20"/>
                <w:szCs w:val="20"/>
                <w:lang w:eastAsia="en-GB"/>
              </w:rPr>
              <w:t xml:space="preserve">Развој додатне управљиве производње из природног гаса </w:t>
            </w:r>
          </w:p>
        </w:tc>
      </w:tr>
      <w:tr w:rsidR="00613731" w:rsidRPr="00FF386D" w14:paraId="4D25E889" w14:textId="77777777" w:rsidTr="0057310C">
        <w:trPr>
          <w:trHeight w:val="572"/>
        </w:trPr>
        <w:tc>
          <w:tcPr>
            <w:tcW w:w="3414" w:type="dxa"/>
            <w:tcBorders>
              <w:top w:val="nil"/>
              <w:left w:val="single" w:sz="8" w:space="0" w:color="auto"/>
              <w:bottom w:val="single" w:sz="8" w:space="0" w:color="auto"/>
              <w:right w:val="nil"/>
            </w:tcBorders>
            <w:shd w:val="clear" w:color="000000" w:fill="244062"/>
            <w:vAlign w:val="center"/>
            <w:hideMark/>
          </w:tcPr>
          <w:p w14:paraId="10B98D60" w14:textId="77777777" w:rsidR="00613731" w:rsidRPr="00FF386D" w:rsidRDefault="00613731" w:rsidP="0057310C">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074" w:type="dxa"/>
            <w:gridSpan w:val="3"/>
            <w:tcBorders>
              <w:top w:val="single" w:sz="8" w:space="0" w:color="auto"/>
              <w:left w:val="nil"/>
              <w:bottom w:val="single" w:sz="8" w:space="0" w:color="auto"/>
              <w:right w:val="single" w:sz="8" w:space="0" w:color="000000"/>
            </w:tcBorders>
            <w:vAlign w:val="center"/>
          </w:tcPr>
          <w:p w14:paraId="39715DBD" w14:textId="4B4AE743" w:rsidR="00613731" w:rsidRPr="00FF386D" w:rsidRDefault="00613731" w:rsidP="0057310C">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Већи ниво диверсификације енергетског микс</w:t>
            </w:r>
            <w:r w:rsidR="00C7020D">
              <w:rPr>
                <w:rFonts w:asciiTheme="majorHAnsi" w:eastAsia="Times New Roman" w:hAnsiTheme="majorHAnsi" w:cstheme="majorHAnsi"/>
                <w:color w:val="000000"/>
                <w:sz w:val="20"/>
                <w:szCs w:val="20"/>
                <w:lang w:val="sr-Latn-RS" w:eastAsia="en-GB"/>
              </w:rPr>
              <w:t>a</w:t>
            </w:r>
            <w:r w:rsidRPr="00FF386D">
              <w:rPr>
                <w:rFonts w:asciiTheme="majorHAnsi" w:eastAsia="Times New Roman" w:hAnsiTheme="majorHAnsi" w:cstheme="majorHAnsi"/>
                <w:color w:val="000000"/>
                <w:sz w:val="20"/>
                <w:szCs w:val="20"/>
                <w:lang w:eastAsia="en-GB"/>
              </w:rPr>
              <w:t>, за интеграцију ОИЕ уз могућност апсорбовања вишка енергије из неуправљивих ОИЕ, допринос неопходној адекватности електроенергетског система</w:t>
            </w:r>
          </w:p>
        </w:tc>
      </w:tr>
      <w:tr w:rsidR="00613731" w:rsidRPr="00FF386D" w14:paraId="1DA4D406" w14:textId="77777777" w:rsidTr="0057310C">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4256B78C" w14:textId="77777777" w:rsidR="00613731" w:rsidRPr="00FF386D" w:rsidRDefault="00613731" w:rsidP="0057310C">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Квантификовани циљ: </w:t>
            </w:r>
          </w:p>
        </w:tc>
        <w:tc>
          <w:tcPr>
            <w:tcW w:w="6074" w:type="dxa"/>
            <w:gridSpan w:val="3"/>
            <w:tcBorders>
              <w:top w:val="single" w:sz="8" w:space="0" w:color="auto"/>
              <w:left w:val="nil"/>
              <w:bottom w:val="single" w:sz="8" w:space="0" w:color="auto"/>
              <w:right w:val="single" w:sz="8" w:space="0" w:color="000000"/>
            </w:tcBorders>
            <w:vAlign w:val="center"/>
          </w:tcPr>
          <w:p w14:paraId="13CC3F4B" w14:textId="6A17B9DA" w:rsidR="00613731" w:rsidRPr="00FF386D" w:rsidRDefault="00613731" w:rsidP="0057310C">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350 </w:t>
            </w:r>
            <w:r w:rsidRPr="000A2AFE">
              <w:rPr>
                <w:rFonts w:asciiTheme="majorHAnsi" w:eastAsia="Times New Roman" w:hAnsiTheme="majorHAnsi" w:cstheme="majorHAnsi"/>
                <w:color w:val="000000"/>
                <w:sz w:val="20"/>
                <w:szCs w:val="20"/>
                <w:lang w:eastAsia="en-GB"/>
              </w:rPr>
              <w:t xml:space="preserve">MW </w:t>
            </w:r>
            <w:r w:rsidRPr="00FF386D">
              <w:rPr>
                <w:rFonts w:asciiTheme="majorHAnsi" w:eastAsia="Times New Roman" w:hAnsiTheme="majorHAnsi" w:cstheme="majorHAnsi"/>
                <w:color w:val="000000"/>
                <w:sz w:val="20"/>
                <w:szCs w:val="20"/>
                <w:lang w:eastAsia="en-GB"/>
              </w:rPr>
              <w:t>додатног производног капацитета</w:t>
            </w:r>
          </w:p>
        </w:tc>
      </w:tr>
      <w:tr w:rsidR="00613731" w:rsidRPr="00FF386D" w14:paraId="6A7A2706" w14:textId="77777777" w:rsidTr="0057310C">
        <w:trPr>
          <w:trHeight w:val="584"/>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5766B15C" w14:textId="77777777" w:rsidR="00613731" w:rsidRPr="00FF386D" w:rsidRDefault="00613731" w:rsidP="0057310C">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074" w:type="dxa"/>
            <w:gridSpan w:val="3"/>
            <w:tcBorders>
              <w:top w:val="single" w:sz="8" w:space="0" w:color="auto"/>
              <w:left w:val="nil"/>
              <w:bottom w:val="single" w:sz="8" w:space="0" w:color="auto"/>
              <w:right w:val="single" w:sz="8" w:space="0" w:color="000000"/>
            </w:tcBorders>
            <w:vAlign w:val="center"/>
          </w:tcPr>
          <w:p w14:paraId="19AF05B1" w14:textId="0336B8AB" w:rsidR="00613731" w:rsidRPr="00FF386D" w:rsidRDefault="00613731" w:rsidP="0057310C">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Како би се постигли циљеви ИНЕКП на најекономичнији начин и омогућила интеграција ОИЕ, појавила се потреба за изградњом система </w:t>
            </w:r>
            <w:r w:rsidR="00C7020D">
              <w:rPr>
                <w:rFonts w:asciiTheme="majorHAnsi" w:eastAsia="Times New Roman" w:hAnsiTheme="majorHAnsi" w:cstheme="majorHAnsi"/>
                <w:color w:val="000000"/>
                <w:sz w:val="20"/>
                <w:szCs w:val="20"/>
                <w:lang w:eastAsia="en-GB"/>
              </w:rPr>
              <w:t xml:space="preserve">за </w:t>
            </w:r>
            <w:r w:rsidRPr="00FF386D">
              <w:rPr>
                <w:rFonts w:asciiTheme="majorHAnsi" w:eastAsia="Times New Roman" w:hAnsiTheme="majorHAnsi" w:cstheme="majorHAnsi"/>
                <w:color w:val="000000"/>
                <w:sz w:val="20"/>
                <w:szCs w:val="20"/>
                <w:lang w:eastAsia="en-GB"/>
              </w:rPr>
              <w:t>складиштење енергије. Конкретно, на основу израђених студија и резултата моделовања, модел СЕМС сматра да ће нов</w:t>
            </w:r>
            <w:r w:rsidR="00F916F7" w:rsidRPr="00FF386D">
              <w:rPr>
                <w:rFonts w:asciiTheme="majorHAnsi" w:eastAsia="Times New Roman" w:hAnsiTheme="majorHAnsi" w:cstheme="majorHAnsi"/>
                <w:color w:val="000000"/>
                <w:sz w:val="20"/>
                <w:szCs w:val="20"/>
                <w:lang w:eastAsia="en-GB"/>
              </w:rPr>
              <w:t xml:space="preserve">а електрана на гас </w:t>
            </w:r>
            <w:r w:rsidRPr="00FF386D">
              <w:rPr>
                <w:rFonts w:asciiTheme="majorHAnsi" w:eastAsia="Times New Roman" w:hAnsiTheme="majorHAnsi" w:cstheme="majorHAnsi"/>
                <w:color w:val="000000"/>
                <w:sz w:val="20"/>
                <w:szCs w:val="20"/>
                <w:lang w:eastAsia="en-GB"/>
              </w:rPr>
              <w:t>бити интегрисан</w:t>
            </w:r>
            <w:r w:rsidR="00F916F7" w:rsidRPr="00FF386D">
              <w:rPr>
                <w:rFonts w:asciiTheme="majorHAnsi" w:eastAsia="Times New Roman" w:hAnsiTheme="majorHAnsi" w:cstheme="majorHAnsi"/>
                <w:color w:val="000000"/>
                <w:sz w:val="20"/>
                <w:szCs w:val="20"/>
                <w:lang w:eastAsia="en-GB"/>
              </w:rPr>
              <w:t>а</w:t>
            </w:r>
            <w:r w:rsidRPr="00FF386D">
              <w:rPr>
                <w:rFonts w:asciiTheme="majorHAnsi" w:eastAsia="Times New Roman" w:hAnsiTheme="majorHAnsi" w:cstheme="majorHAnsi"/>
                <w:color w:val="000000"/>
                <w:sz w:val="20"/>
                <w:szCs w:val="20"/>
                <w:lang w:eastAsia="en-GB"/>
              </w:rPr>
              <w:t xml:space="preserve"> у систем </w:t>
            </w:r>
            <w:r w:rsidR="00F916F7" w:rsidRPr="00FF386D">
              <w:rPr>
                <w:rFonts w:asciiTheme="majorHAnsi" w:eastAsia="Times New Roman" w:hAnsiTheme="majorHAnsi" w:cstheme="majorHAnsi"/>
                <w:color w:val="000000"/>
                <w:sz w:val="20"/>
                <w:szCs w:val="20"/>
                <w:lang w:eastAsia="en-GB"/>
              </w:rPr>
              <w:t>до</w:t>
            </w:r>
            <w:r w:rsidRPr="00FF386D">
              <w:rPr>
                <w:rFonts w:asciiTheme="majorHAnsi" w:eastAsia="Times New Roman" w:hAnsiTheme="majorHAnsi" w:cstheme="majorHAnsi"/>
                <w:color w:val="000000"/>
                <w:sz w:val="20"/>
                <w:szCs w:val="20"/>
                <w:lang w:eastAsia="en-GB"/>
              </w:rPr>
              <w:t xml:space="preserve"> 20</w:t>
            </w:r>
            <w:r w:rsidR="00F916F7" w:rsidRPr="00FF386D">
              <w:rPr>
                <w:rFonts w:asciiTheme="majorHAnsi" w:eastAsia="Times New Roman" w:hAnsiTheme="majorHAnsi" w:cstheme="majorHAnsi"/>
                <w:color w:val="000000"/>
                <w:sz w:val="20"/>
                <w:szCs w:val="20"/>
                <w:lang w:eastAsia="en-GB"/>
              </w:rPr>
              <w:t>28</w:t>
            </w:r>
            <w:r w:rsidRPr="00FF386D">
              <w:rPr>
                <w:rFonts w:asciiTheme="majorHAnsi" w:eastAsia="Times New Roman" w:hAnsiTheme="majorHAnsi" w:cstheme="majorHAnsi"/>
                <w:color w:val="000000"/>
                <w:sz w:val="20"/>
                <w:szCs w:val="20"/>
                <w:lang w:eastAsia="en-GB"/>
              </w:rPr>
              <w:t>. годин</w:t>
            </w:r>
            <w:r w:rsidR="00F916F7" w:rsidRPr="00FF386D">
              <w:rPr>
                <w:rFonts w:asciiTheme="majorHAnsi" w:eastAsia="Times New Roman" w:hAnsiTheme="majorHAnsi" w:cstheme="majorHAnsi"/>
                <w:color w:val="000000"/>
                <w:sz w:val="20"/>
                <w:szCs w:val="20"/>
                <w:lang w:eastAsia="en-GB"/>
              </w:rPr>
              <w:t>е</w:t>
            </w:r>
            <w:r w:rsidR="00032F33" w:rsidRPr="00FF386D">
              <w:rPr>
                <w:rFonts w:asciiTheme="majorHAnsi" w:eastAsia="Times New Roman" w:hAnsiTheme="majorHAnsi" w:cstheme="majorHAnsi"/>
                <w:color w:val="000000"/>
                <w:sz w:val="20"/>
                <w:szCs w:val="20"/>
                <w:lang w:eastAsia="en-GB"/>
              </w:rPr>
              <w:t xml:space="preserve">. Овај објекат ће такође подржати рад система с обзиром на то да ће допринети повећању </w:t>
            </w:r>
            <w:r w:rsidRPr="00FF386D">
              <w:rPr>
                <w:rFonts w:asciiTheme="majorHAnsi" w:eastAsia="Times New Roman" w:hAnsiTheme="majorHAnsi" w:cstheme="majorHAnsi"/>
                <w:color w:val="000000"/>
                <w:sz w:val="20"/>
                <w:szCs w:val="20"/>
                <w:lang w:eastAsia="en-GB"/>
              </w:rPr>
              <w:t>обима расположивог капацитета регулације у систему.</w:t>
            </w:r>
          </w:p>
        </w:tc>
      </w:tr>
      <w:tr w:rsidR="00613731" w:rsidRPr="00FF386D" w14:paraId="54620614" w14:textId="77777777" w:rsidTr="0057310C">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6B37F535" w14:textId="77777777" w:rsidR="00613731" w:rsidRPr="00FF386D" w:rsidRDefault="00613731" w:rsidP="0057310C">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074" w:type="dxa"/>
            <w:gridSpan w:val="3"/>
            <w:tcBorders>
              <w:top w:val="single" w:sz="8" w:space="0" w:color="auto"/>
              <w:left w:val="nil"/>
              <w:bottom w:val="single" w:sz="8" w:space="0" w:color="auto"/>
              <w:right w:val="single" w:sz="8" w:space="0" w:color="000000"/>
            </w:tcBorders>
            <w:vAlign w:val="center"/>
            <w:hideMark/>
          </w:tcPr>
          <w:p w14:paraId="5CC6DEE6" w14:textId="4D95C631" w:rsidR="00613731" w:rsidRPr="00FF386D" w:rsidRDefault="00613731" w:rsidP="0057310C">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2023-20</w:t>
            </w:r>
            <w:r w:rsidR="00F916F7" w:rsidRPr="00FF386D">
              <w:rPr>
                <w:rFonts w:ascii="Calibri Light" w:hAnsi="Calibri Light"/>
                <w:sz w:val="20"/>
              </w:rPr>
              <w:t>28.</w:t>
            </w:r>
          </w:p>
        </w:tc>
      </w:tr>
      <w:tr w:rsidR="00613731" w:rsidRPr="00FF386D" w14:paraId="300A6051" w14:textId="77777777" w:rsidTr="0057310C">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4F901604" w14:textId="77777777" w:rsidR="00613731" w:rsidRPr="00FF386D" w:rsidRDefault="00613731" w:rsidP="0057310C">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Тип мере</w:t>
            </w:r>
          </w:p>
        </w:tc>
        <w:tc>
          <w:tcPr>
            <w:tcW w:w="6074" w:type="dxa"/>
            <w:gridSpan w:val="3"/>
            <w:tcBorders>
              <w:top w:val="single" w:sz="8" w:space="0" w:color="auto"/>
              <w:left w:val="nil"/>
              <w:bottom w:val="single" w:sz="8" w:space="0" w:color="auto"/>
              <w:right w:val="single" w:sz="8" w:space="0" w:color="000000"/>
            </w:tcBorders>
            <w:vAlign w:val="center"/>
            <w:hideMark/>
          </w:tcPr>
          <w:p w14:paraId="65A96EBE" w14:textId="77777777" w:rsidR="00613731" w:rsidRPr="00FF386D" w:rsidRDefault="00613731" w:rsidP="0057310C">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Инвестиција</w:t>
            </w:r>
          </w:p>
        </w:tc>
      </w:tr>
      <w:tr w:rsidR="00613731" w:rsidRPr="00FF386D" w14:paraId="41C25F62" w14:textId="77777777" w:rsidTr="0057310C">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191DCF7B" w14:textId="77777777" w:rsidR="00613731" w:rsidRPr="00FF386D" w:rsidRDefault="00613731" w:rsidP="0057310C">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074" w:type="dxa"/>
            <w:gridSpan w:val="3"/>
            <w:tcBorders>
              <w:top w:val="single" w:sz="8" w:space="0" w:color="auto"/>
              <w:left w:val="nil"/>
              <w:bottom w:val="single" w:sz="8" w:space="0" w:color="auto"/>
              <w:right w:val="single" w:sz="8" w:space="0" w:color="000000"/>
            </w:tcBorders>
            <w:vAlign w:val="center"/>
            <w:hideMark/>
          </w:tcPr>
          <w:p w14:paraId="27AD632C" w14:textId="77777777" w:rsidR="00613731" w:rsidRPr="00FF386D" w:rsidRDefault="00613731" w:rsidP="0057310C">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Електрична енергија</w:t>
            </w:r>
          </w:p>
        </w:tc>
      </w:tr>
      <w:tr w:rsidR="00613731" w:rsidRPr="00FF386D" w14:paraId="2B37A62D" w14:textId="77777777" w:rsidTr="0057310C">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58D2089E" w14:textId="77777777" w:rsidR="00613731" w:rsidRPr="00FF386D" w:rsidRDefault="00613731" w:rsidP="0057310C">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074" w:type="dxa"/>
            <w:gridSpan w:val="3"/>
            <w:tcBorders>
              <w:top w:val="single" w:sz="8" w:space="0" w:color="auto"/>
              <w:left w:val="nil"/>
              <w:bottom w:val="single" w:sz="8" w:space="0" w:color="auto"/>
              <w:right w:val="single" w:sz="8" w:space="0" w:color="000000"/>
            </w:tcBorders>
            <w:vAlign w:val="center"/>
            <w:hideMark/>
          </w:tcPr>
          <w:p w14:paraId="0CA18352" w14:textId="1AC1A4DC" w:rsidR="00613731" w:rsidRPr="00FF386D" w:rsidRDefault="00613731" w:rsidP="00F916F7">
            <w:pPr>
              <w:spacing w:after="0" w:line="240" w:lineRule="auto"/>
              <w:contextualSpacing/>
              <w:jc w:val="both"/>
              <w:rPr>
                <w:rFonts w:asciiTheme="majorHAnsi" w:eastAsia="Times New Roman" w:hAnsiTheme="majorHAnsi" w:cstheme="majorHAnsi"/>
                <w:color w:val="000000"/>
                <w:sz w:val="20"/>
                <w:szCs w:val="20"/>
                <w:lang w:eastAsia="en-GB"/>
              </w:rPr>
            </w:pPr>
          </w:p>
        </w:tc>
      </w:tr>
      <w:tr w:rsidR="00613731" w:rsidRPr="00FF386D" w14:paraId="52629E99" w14:textId="77777777" w:rsidTr="0057310C">
        <w:trPr>
          <w:trHeight w:val="315"/>
        </w:trPr>
        <w:tc>
          <w:tcPr>
            <w:tcW w:w="3414" w:type="dxa"/>
            <w:tcBorders>
              <w:top w:val="nil"/>
              <w:left w:val="single" w:sz="8" w:space="0" w:color="auto"/>
              <w:bottom w:val="single" w:sz="8" w:space="0" w:color="auto"/>
              <w:right w:val="nil"/>
            </w:tcBorders>
            <w:shd w:val="clear" w:color="000000" w:fill="244062"/>
            <w:vAlign w:val="center"/>
            <w:hideMark/>
          </w:tcPr>
          <w:p w14:paraId="10EEC778" w14:textId="77777777" w:rsidR="00613731" w:rsidRPr="00FF386D" w:rsidRDefault="00613731" w:rsidP="0057310C">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074" w:type="dxa"/>
            <w:gridSpan w:val="3"/>
            <w:tcBorders>
              <w:top w:val="single" w:sz="8" w:space="0" w:color="auto"/>
              <w:left w:val="nil"/>
              <w:bottom w:val="single" w:sz="8" w:space="0" w:color="auto"/>
              <w:right w:val="single" w:sz="8" w:space="0" w:color="000000"/>
            </w:tcBorders>
            <w:vAlign w:val="center"/>
            <w:hideMark/>
          </w:tcPr>
          <w:p w14:paraId="33670622" w14:textId="77777777" w:rsidR="00613731" w:rsidRPr="00FF386D" w:rsidRDefault="00613731" w:rsidP="0057310C">
            <w:pPr>
              <w:numPr>
                <w:ilvl w:val="0"/>
                <w:numId w:val="37"/>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рударства и енергетике</w:t>
            </w:r>
          </w:p>
          <w:p w14:paraId="0004C768" w14:textId="22C0386C" w:rsidR="00613731" w:rsidRPr="00E211C2" w:rsidRDefault="00613731" w:rsidP="00E211C2">
            <w:pPr>
              <w:numPr>
                <w:ilvl w:val="0"/>
                <w:numId w:val="37"/>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грађевинарства, саобраћаја и инфраструктуре</w:t>
            </w:r>
          </w:p>
        </w:tc>
      </w:tr>
      <w:tr w:rsidR="00613731" w:rsidRPr="00FF386D" w14:paraId="098AB4F3" w14:textId="77777777" w:rsidTr="0057310C">
        <w:trPr>
          <w:trHeight w:val="315"/>
        </w:trPr>
        <w:tc>
          <w:tcPr>
            <w:tcW w:w="3414" w:type="dxa"/>
            <w:tcBorders>
              <w:top w:val="nil"/>
              <w:left w:val="single" w:sz="8" w:space="0" w:color="auto"/>
              <w:bottom w:val="single" w:sz="8" w:space="0" w:color="auto"/>
              <w:right w:val="nil"/>
            </w:tcBorders>
            <w:shd w:val="clear" w:color="000000" w:fill="244062"/>
            <w:vAlign w:val="center"/>
            <w:hideMark/>
          </w:tcPr>
          <w:p w14:paraId="2C6B27CE" w14:textId="77777777" w:rsidR="00613731" w:rsidRPr="00FF386D" w:rsidRDefault="00613731" w:rsidP="0057310C">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074" w:type="dxa"/>
            <w:gridSpan w:val="3"/>
            <w:tcBorders>
              <w:top w:val="single" w:sz="8" w:space="0" w:color="auto"/>
              <w:left w:val="nil"/>
              <w:bottom w:val="single" w:sz="8" w:space="0" w:color="auto"/>
              <w:right w:val="single" w:sz="8" w:space="0" w:color="000000"/>
            </w:tcBorders>
            <w:vAlign w:val="center"/>
            <w:hideMark/>
          </w:tcPr>
          <w:p w14:paraId="25E2D178" w14:textId="77EF654C" w:rsidR="00613731" w:rsidRPr="00FF386D" w:rsidRDefault="00F916F7" w:rsidP="0057310C">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Капацитет управљиве производње у систему</w:t>
            </w:r>
          </w:p>
        </w:tc>
      </w:tr>
      <w:tr w:rsidR="00613731" w:rsidRPr="00FF386D" w14:paraId="119E5B46" w14:textId="77777777" w:rsidTr="0057310C">
        <w:trPr>
          <w:trHeight w:val="387"/>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294C8547" w14:textId="77777777" w:rsidR="00613731" w:rsidRPr="00FF386D" w:rsidRDefault="00613731" w:rsidP="0057310C">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074" w:type="dxa"/>
            <w:gridSpan w:val="3"/>
            <w:tcBorders>
              <w:top w:val="single" w:sz="8" w:space="0" w:color="auto"/>
              <w:left w:val="nil"/>
              <w:bottom w:val="single" w:sz="8" w:space="0" w:color="auto"/>
              <w:right w:val="single" w:sz="8" w:space="0" w:color="000000"/>
            </w:tcBorders>
            <w:vAlign w:val="center"/>
            <w:hideMark/>
          </w:tcPr>
          <w:p w14:paraId="051EF9F5" w14:textId="77777777" w:rsidR="00550472" w:rsidRPr="00550472" w:rsidRDefault="00550472" w:rsidP="00550472">
            <w:pPr>
              <w:numPr>
                <w:ilvl w:val="0"/>
                <w:numId w:val="37"/>
              </w:numPr>
              <w:spacing w:after="0" w:line="240" w:lineRule="auto"/>
              <w:contextualSpacing/>
              <w:jc w:val="both"/>
              <w:rPr>
                <w:rFonts w:asciiTheme="majorHAnsi" w:eastAsia="Times New Roman" w:hAnsiTheme="majorHAnsi" w:cstheme="majorHAnsi"/>
                <w:color w:val="000000"/>
                <w:sz w:val="20"/>
                <w:szCs w:val="20"/>
                <w:lang w:eastAsia="en-GB"/>
              </w:rPr>
            </w:pPr>
            <w:r w:rsidRPr="00550472">
              <w:rPr>
                <w:rFonts w:asciiTheme="majorHAnsi" w:eastAsia="Times New Roman" w:hAnsiTheme="majorHAnsi" w:cstheme="majorHAnsi"/>
                <w:color w:val="000000"/>
                <w:sz w:val="20"/>
                <w:szCs w:val="20"/>
                <w:lang w:eastAsia="en-GB"/>
              </w:rPr>
              <w:t>Унутрашње енергетско тржиште</w:t>
            </w:r>
          </w:p>
          <w:p w14:paraId="77A1B4B4" w14:textId="0A67CFC9" w:rsidR="00613731" w:rsidRPr="00FF386D" w:rsidRDefault="00613731" w:rsidP="0057310C">
            <w:pPr>
              <w:numPr>
                <w:ilvl w:val="0"/>
                <w:numId w:val="37"/>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Декарбонизација</w:t>
            </w:r>
          </w:p>
        </w:tc>
      </w:tr>
      <w:tr w:rsidR="00613731" w:rsidRPr="00FF386D" w14:paraId="456E1949" w14:textId="77777777" w:rsidTr="0057310C">
        <w:trPr>
          <w:trHeight w:val="450"/>
        </w:trPr>
        <w:tc>
          <w:tcPr>
            <w:tcW w:w="3414"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032045E7" w14:textId="77777777" w:rsidR="00613731" w:rsidRPr="00FF386D" w:rsidRDefault="00613731" w:rsidP="0057310C">
            <w:pPr>
              <w:spacing w:after="0" w:line="240" w:lineRule="auto"/>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Политике Уније која су резултирале имплементацијом политике и мере</w:t>
            </w:r>
          </w:p>
        </w:tc>
        <w:tc>
          <w:tcPr>
            <w:tcW w:w="6074"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08266E9C" w14:textId="77777777" w:rsidR="00613731" w:rsidRPr="00FF386D" w:rsidRDefault="00613731" w:rsidP="0057310C">
            <w:pPr>
              <w:spacing w:after="0"/>
              <w:rPr>
                <w:rFonts w:asciiTheme="majorHAnsi" w:eastAsia="Times New Roman" w:hAnsiTheme="majorHAnsi" w:cstheme="majorHAnsi"/>
                <w:color w:val="FFFFFF"/>
                <w:sz w:val="20"/>
                <w:szCs w:val="20"/>
                <w:lang w:eastAsia="en-GB"/>
              </w:rPr>
            </w:pPr>
            <w:r w:rsidRPr="000A2AFE">
              <w:rPr>
                <w:rFonts w:asciiTheme="majorHAnsi" w:eastAsia="Times New Roman" w:hAnsiTheme="majorHAnsi" w:cstheme="majorHAnsi"/>
                <w:color w:val="FFFFFF"/>
                <w:sz w:val="20"/>
                <w:szCs w:val="20"/>
                <w:lang w:eastAsia="en-GB"/>
              </w:rPr>
              <w:t>???</w:t>
            </w:r>
          </w:p>
        </w:tc>
      </w:tr>
      <w:tr w:rsidR="00613731" w:rsidRPr="00FF386D" w14:paraId="1971828D"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2BCCE259" w14:textId="77777777" w:rsidR="00613731" w:rsidRPr="00FF386D" w:rsidRDefault="00613731" w:rsidP="0057310C">
            <w:pPr>
              <w:spacing w:after="0" w:line="256" w:lineRule="auto"/>
              <w:rPr>
                <w:rFonts w:asciiTheme="majorHAnsi" w:eastAsia="Times New Roman" w:hAnsiTheme="majorHAnsi" w:cstheme="majorHAnsi"/>
                <w:b/>
                <w:bCs/>
                <w:color w:val="FFFFFF"/>
                <w:sz w:val="20"/>
                <w:szCs w:val="20"/>
                <w:lang w:eastAsia="en-GB"/>
              </w:rPr>
            </w:pPr>
          </w:p>
        </w:tc>
        <w:tc>
          <w:tcPr>
            <w:tcW w:w="6074" w:type="dxa"/>
            <w:gridSpan w:val="3"/>
            <w:vMerge/>
            <w:tcBorders>
              <w:top w:val="single" w:sz="8" w:space="0" w:color="auto"/>
              <w:left w:val="single" w:sz="8" w:space="0" w:color="auto"/>
              <w:bottom w:val="single" w:sz="8" w:space="0" w:color="000000"/>
              <w:right w:val="single" w:sz="8" w:space="0" w:color="000000"/>
            </w:tcBorders>
            <w:vAlign w:val="center"/>
            <w:hideMark/>
          </w:tcPr>
          <w:p w14:paraId="6E143CE8" w14:textId="77777777" w:rsidR="00613731" w:rsidRPr="00FF386D" w:rsidRDefault="00613731" w:rsidP="0057310C">
            <w:pPr>
              <w:spacing w:after="0" w:line="256" w:lineRule="auto"/>
              <w:rPr>
                <w:rFonts w:asciiTheme="majorHAnsi" w:eastAsia="Times New Roman" w:hAnsiTheme="majorHAnsi" w:cstheme="majorHAnsi"/>
                <w:b/>
                <w:bCs/>
                <w:color w:val="FFFFFF"/>
                <w:sz w:val="20"/>
                <w:szCs w:val="20"/>
                <w:lang w:eastAsia="en-GB"/>
              </w:rPr>
            </w:pPr>
          </w:p>
        </w:tc>
      </w:tr>
      <w:tr w:rsidR="00613731" w:rsidRPr="00FF386D" w14:paraId="7D4E1232"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32AA0ED9" w14:textId="77777777" w:rsidR="00613731" w:rsidRPr="00FF386D" w:rsidRDefault="00613731" w:rsidP="0057310C">
            <w:pPr>
              <w:spacing w:after="0" w:line="256" w:lineRule="auto"/>
              <w:rPr>
                <w:rFonts w:asciiTheme="majorHAnsi" w:eastAsia="Times New Roman" w:hAnsiTheme="majorHAnsi" w:cstheme="majorHAnsi"/>
                <w:b/>
                <w:bCs/>
                <w:color w:val="FFFFFF"/>
                <w:sz w:val="20"/>
                <w:szCs w:val="20"/>
                <w:lang w:eastAsia="en-GB"/>
              </w:rPr>
            </w:pPr>
          </w:p>
        </w:tc>
        <w:tc>
          <w:tcPr>
            <w:tcW w:w="6074" w:type="dxa"/>
            <w:gridSpan w:val="3"/>
            <w:vMerge/>
            <w:tcBorders>
              <w:top w:val="single" w:sz="8" w:space="0" w:color="auto"/>
              <w:left w:val="single" w:sz="8" w:space="0" w:color="auto"/>
              <w:bottom w:val="single" w:sz="8" w:space="0" w:color="000000"/>
              <w:right w:val="single" w:sz="8" w:space="0" w:color="000000"/>
            </w:tcBorders>
            <w:vAlign w:val="center"/>
            <w:hideMark/>
          </w:tcPr>
          <w:p w14:paraId="41087A71" w14:textId="77777777" w:rsidR="00613731" w:rsidRPr="00FF386D" w:rsidRDefault="00613731" w:rsidP="0057310C">
            <w:pPr>
              <w:spacing w:after="0" w:line="256" w:lineRule="auto"/>
              <w:rPr>
                <w:rFonts w:asciiTheme="majorHAnsi" w:eastAsia="Times New Roman" w:hAnsiTheme="majorHAnsi" w:cstheme="majorHAnsi"/>
                <w:b/>
                <w:bCs/>
                <w:color w:val="FFFFFF"/>
                <w:sz w:val="20"/>
                <w:szCs w:val="20"/>
                <w:lang w:eastAsia="en-GB"/>
              </w:rPr>
            </w:pPr>
          </w:p>
        </w:tc>
      </w:tr>
      <w:tr w:rsidR="00613731" w:rsidRPr="00FF386D" w14:paraId="29134A47" w14:textId="77777777" w:rsidTr="0057310C">
        <w:trPr>
          <w:trHeight w:val="780"/>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371CFD81" w14:textId="77777777" w:rsidR="00613731" w:rsidRPr="00FF386D" w:rsidRDefault="00613731" w:rsidP="0057310C">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074" w:type="dxa"/>
            <w:gridSpan w:val="3"/>
            <w:tcBorders>
              <w:top w:val="single" w:sz="8" w:space="0" w:color="auto"/>
              <w:left w:val="nil"/>
              <w:bottom w:val="single" w:sz="8" w:space="0" w:color="auto"/>
              <w:right w:val="single" w:sz="8" w:space="0" w:color="000000"/>
            </w:tcBorders>
            <w:vAlign w:val="center"/>
            <w:hideMark/>
          </w:tcPr>
          <w:p w14:paraId="6E3602B8" w14:textId="77777777" w:rsidR="00613731" w:rsidRPr="00FF386D" w:rsidRDefault="00613731" w:rsidP="0057310C">
            <w:pPr>
              <w:numPr>
                <w:ilvl w:val="0"/>
                <w:numId w:val="37"/>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Закон о енергетици</w:t>
            </w:r>
          </w:p>
        </w:tc>
      </w:tr>
      <w:tr w:rsidR="00613731" w:rsidRPr="00FF386D" w14:paraId="2B28591D" w14:textId="77777777" w:rsidTr="0057310C">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64153BF7" w14:textId="77777777" w:rsidR="00613731" w:rsidRPr="00FF386D" w:rsidRDefault="00613731" w:rsidP="0057310C">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074" w:type="dxa"/>
            <w:gridSpan w:val="3"/>
            <w:tcBorders>
              <w:top w:val="single" w:sz="8" w:space="0" w:color="auto"/>
              <w:left w:val="nil"/>
              <w:bottom w:val="single" w:sz="8" w:space="0" w:color="auto"/>
              <w:right w:val="single" w:sz="8" w:space="0" w:color="000000"/>
            </w:tcBorders>
            <w:vAlign w:val="center"/>
          </w:tcPr>
          <w:p w14:paraId="1DAA5916" w14:textId="41420938" w:rsidR="00613731" w:rsidRPr="00FF386D" w:rsidRDefault="00613731" w:rsidP="0057310C">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300 милиона евра</w:t>
            </w:r>
          </w:p>
        </w:tc>
      </w:tr>
      <w:tr w:rsidR="00613731" w:rsidRPr="00FF386D" w14:paraId="3B580E84" w14:textId="77777777" w:rsidTr="0057310C">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45EF893F" w14:textId="77777777" w:rsidR="00613731" w:rsidRPr="00FF386D" w:rsidRDefault="00613731" w:rsidP="0057310C">
            <w:pPr>
              <w:spacing w:after="0" w:line="240" w:lineRule="auto"/>
              <w:rPr>
                <w:rFonts w:asciiTheme="majorHAnsi" w:eastAsia="Times New Roman" w:hAnsiTheme="majorHAnsi" w:cstheme="majorHAnsi"/>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074" w:type="dxa"/>
            <w:gridSpan w:val="3"/>
            <w:tcBorders>
              <w:top w:val="single" w:sz="8" w:space="0" w:color="auto"/>
              <w:left w:val="nil"/>
              <w:bottom w:val="single" w:sz="8" w:space="0" w:color="auto"/>
              <w:right w:val="single" w:sz="8" w:space="0" w:color="000000"/>
            </w:tcBorders>
            <w:vAlign w:val="center"/>
          </w:tcPr>
          <w:p w14:paraId="11711C51" w14:textId="77777777" w:rsidR="00613731" w:rsidRPr="00FF386D" w:rsidRDefault="00613731" w:rsidP="0057310C">
            <w:pPr>
              <w:spacing w:after="0" w:line="240" w:lineRule="auto"/>
              <w:jc w:val="both"/>
              <w:rPr>
                <w:rFonts w:asciiTheme="majorHAnsi" w:eastAsia="Times New Roman" w:hAnsiTheme="majorHAnsi" w:cstheme="majorHAnsi"/>
                <w:color w:val="000000"/>
                <w:sz w:val="20"/>
                <w:szCs w:val="20"/>
                <w:highlight w:val="yellow"/>
                <w:lang w:eastAsia="en-GB"/>
              </w:rPr>
            </w:pPr>
            <w:r w:rsidRPr="00FF386D">
              <w:rPr>
                <w:rFonts w:ascii="Calibri Light" w:eastAsia="Times New Roman" w:hAnsi="Calibri Light" w:cs="Calibri Light"/>
                <w:color w:val="000000"/>
                <w:sz w:val="20"/>
                <w:szCs w:val="20"/>
                <w:lang w:eastAsia="en-GB"/>
              </w:rPr>
              <w:t>Фондови ЕУ и други фондови, буџетска и сопствена средства</w:t>
            </w:r>
          </w:p>
        </w:tc>
      </w:tr>
    </w:tbl>
    <w:p w14:paraId="6DD7A5B7" w14:textId="77777777" w:rsidR="00613731" w:rsidRPr="00FF386D" w:rsidRDefault="00613731" w:rsidP="00854ADA">
      <w:pPr>
        <w:spacing w:before="120" w:after="120" w:line="240" w:lineRule="auto"/>
        <w:jc w:val="both"/>
        <w:rPr>
          <w:rFonts w:asciiTheme="majorHAnsi" w:eastAsia="Times New Roman" w:hAnsiTheme="majorHAnsi" w:cstheme="majorHAnsi"/>
          <w:sz w:val="20"/>
          <w:szCs w:val="20"/>
          <w:lang w:eastAsia="el-GR"/>
        </w:rPr>
      </w:pPr>
    </w:p>
    <w:tbl>
      <w:tblPr>
        <w:tblW w:w="9488" w:type="dxa"/>
        <w:tblLook w:val="04A0" w:firstRow="1" w:lastRow="0" w:firstColumn="1" w:lastColumn="0" w:noHBand="0" w:noVBand="1"/>
      </w:tblPr>
      <w:tblGrid>
        <w:gridCol w:w="3393"/>
        <w:gridCol w:w="1017"/>
        <w:gridCol w:w="963"/>
        <w:gridCol w:w="4115"/>
      </w:tblGrid>
      <w:tr w:rsidR="00F916F7" w:rsidRPr="00FF386D" w14:paraId="03168BD0" w14:textId="77777777" w:rsidTr="0057310C">
        <w:trPr>
          <w:trHeight w:val="780"/>
        </w:trPr>
        <w:tc>
          <w:tcPr>
            <w:tcW w:w="3414"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5F3E2C53" w14:textId="1538467D" w:rsidR="00F916F7" w:rsidRPr="00FF386D" w:rsidRDefault="00DB1C84" w:rsidP="00F916F7">
            <w:pPr>
              <w:spacing w:before="120" w:after="120" w:line="240" w:lineRule="auto"/>
              <w:jc w:val="both"/>
              <w:rPr>
                <w:rFonts w:asciiTheme="majorHAnsi" w:eastAsia="Times New Roman" w:hAnsiTheme="majorHAnsi" w:cstheme="majorHAnsi"/>
                <w:b/>
                <w:bCs/>
                <w:sz w:val="20"/>
                <w:szCs w:val="20"/>
                <w:lang w:eastAsia="el-GR"/>
              </w:rPr>
            </w:pPr>
            <w:r w:rsidRPr="00FF386D">
              <w:rPr>
                <w:rFonts w:asciiTheme="majorHAnsi" w:eastAsia="Times New Roman" w:hAnsiTheme="majorHAnsi" w:cstheme="majorHAnsi"/>
                <w:b/>
                <w:bCs/>
                <w:sz w:val="20"/>
                <w:szCs w:val="20"/>
                <w:lang w:eastAsia="el-GR"/>
              </w:rPr>
              <w:t>Шифра мере политике</w:t>
            </w:r>
            <w:r w:rsidR="00F916F7" w:rsidRPr="00FF386D">
              <w:rPr>
                <w:rFonts w:asciiTheme="majorHAnsi" w:eastAsia="Times New Roman" w:hAnsiTheme="majorHAnsi" w:cstheme="majorHAnsi"/>
                <w:b/>
                <w:bCs/>
                <w:sz w:val="20"/>
                <w:szCs w:val="20"/>
                <w:lang w:eastAsia="el-GR"/>
              </w:rPr>
              <w:t xml:space="preserve">: </w:t>
            </w:r>
          </w:p>
        </w:tc>
        <w:tc>
          <w:tcPr>
            <w:tcW w:w="961" w:type="dxa"/>
            <w:tcBorders>
              <w:top w:val="single" w:sz="8" w:space="0" w:color="auto"/>
              <w:left w:val="nil"/>
              <w:bottom w:val="single" w:sz="8" w:space="0" w:color="auto"/>
              <w:right w:val="single" w:sz="8" w:space="0" w:color="auto"/>
            </w:tcBorders>
            <w:shd w:val="clear" w:color="auto" w:fill="E7E6E6" w:themeFill="background2"/>
            <w:vAlign w:val="center"/>
            <w:hideMark/>
          </w:tcPr>
          <w:p w14:paraId="6F375E91" w14:textId="1AE53524" w:rsidR="00F916F7" w:rsidRPr="00FF386D" w:rsidRDefault="00F916F7" w:rsidP="00F916F7">
            <w:pPr>
              <w:spacing w:before="120" w:after="120" w:line="240" w:lineRule="auto"/>
              <w:jc w:val="both"/>
              <w:rPr>
                <w:rFonts w:asciiTheme="majorHAnsi" w:eastAsia="Times New Roman" w:hAnsiTheme="majorHAnsi" w:cstheme="majorHAnsi"/>
                <w:b/>
                <w:bCs/>
                <w:sz w:val="20"/>
                <w:szCs w:val="20"/>
                <w:lang w:eastAsia="el-GR"/>
              </w:rPr>
            </w:pPr>
            <w:r w:rsidRPr="00FF386D">
              <w:rPr>
                <w:rFonts w:asciiTheme="majorHAnsi" w:eastAsia="Times New Roman" w:hAnsiTheme="majorHAnsi" w:cstheme="majorHAnsi"/>
                <w:b/>
                <w:sz w:val="20"/>
                <w:szCs w:val="20"/>
                <w:lang w:eastAsia="el-GR"/>
              </w:rPr>
              <w:t>МП_ЕС11</w:t>
            </w:r>
          </w:p>
        </w:tc>
        <w:tc>
          <w:tcPr>
            <w:tcW w:w="965" w:type="dxa"/>
            <w:tcBorders>
              <w:top w:val="single" w:sz="8" w:space="0" w:color="auto"/>
              <w:left w:val="nil"/>
              <w:bottom w:val="single" w:sz="8" w:space="0" w:color="auto"/>
              <w:right w:val="single" w:sz="8" w:space="0" w:color="auto"/>
            </w:tcBorders>
            <w:shd w:val="clear" w:color="auto" w:fill="244062"/>
            <w:vAlign w:val="center"/>
            <w:hideMark/>
          </w:tcPr>
          <w:p w14:paraId="3A33C887" w14:textId="77777777" w:rsidR="00F916F7" w:rsidRPr="00FF386D" w:rsidRDefault="00F916F7" w:rsidP="00F916F7">
            <w:pPr>
              <w:spacing w:before="120" w:after="120" w:line="240" w:lineRule="auto"/>
              <w:jc w:val="both"/>
              <w:rPr>
                <w:rFonts w:asciiTheme="majorHAnsi" w:eastAsia="Times New Roman" w:hAnsiTheme="majorHAnsi" w:cstheme="majorHAnsi"/>
                <w:b/>
                <w:bCs/>
                <w:sz w:val="20"/>
                <w:szCs w:val="20"/>
                <w:lang w:eastAsia="el-GR"/>
              </w:rPr>
            </w:pPr>
            <w:r w:rsidRPr="00FF386D">
              <w:rPr>
                <w:rFonts w:asciiTheme="majorHAnsi" w:eastAsia="Times New Roman" w:hAnsiTheme="majorHAnsi" w:cstheme="majorHAnsi"/>
                <w:b/>
                <w:bCs/>
                <w:sz w:val="20"/>
                <w:szCs w:val="20"/>
                <w:lang w:eastAsia="el-GR"/>
              </w:rPr>
              <w:t xml:space="preserve">Назив: </w:t>
            </w:r>
          </w:p>
        </w:tc>
        <w:tc>
          <w:tcPr>
            <w:tcW w:w="4148" w:type="dxa"/>
            <w:tcBorders>
              <w:top w:val="single" w:sz="8" w:space="0" w:color="auto"/>
              <w:left w:val="nil"/>
              <w:bottom w:val="single" w:sz="8" w:space="0" w:color="auto"/>
              <w:right w:val="single" w:sz="8" w:space="0" w:color="auto"/>
            </w:tcBorders>
            <w:shd w:val="clear" w:color="auto" w:fill="E7E6E6" w:themeFill="background2"/>
            <w:vAlign w:val="center"/>
          </w:tcPr>
          <w:p w14:paraId="6FA0B397" w14:textId="0BE28BF8" w:rsidR="00F916F7" w:rsidRPr="00FF386D" w:rsidRDefault="00F916F7" w:rsidP="00F916F7">
            <w:pPr>
              <w:spacing w:before="120" w:after="120" w:line="240" w:lineRule="auto"/>
              <w:jc w:val="both"/>
              <w:rPr>
                <w:rFonts w:asciiTheme="majorHAnsi" w:eastAsia="Times New Roman" w:hAnsiTheme="majorHAnsi" w:cstheme="majorHAnsi"/>
                <w:b/>
                <w:bCs/>
                <w:sz w:val="20"/>
                <w:szCs w:val="20"/>
                <w:lang w:eastAsia="el-GR"/>
              </w:rPr>
            </w:pPr>
            <w:r w:rsidRPr="00FF386D">
              <w:rPr>
                <w:rFonts w:asciiTheme="majorHAnsi" w:eastAsia="Times New Roman" w:hAnsiTheme="majorHAnsi" w:cstheme="majorHAnsi"/>
                <w:b/>
                <w:bCs/>
                <w:sz w:val="20"/>
                <w:szCs w:val="20"/>
                <w:lang w:eastAsia="el-GR"/>
              </w:rPr>
              <w:t>Модернизација индустрије угља</w:t>
            </w:r>
          </w:p>
        </w:tc>
      </w:tr>
      <w:tr w:rsidR="00F916F7" w:rsidRPr="00FF386D" w14:paraId="52720A3C" w14:textId="77777777" w:rsidTr="0057310C">
        <w:trPr>
          <w:trHeight w:val="572"/>
        </w:trPr>
        <w:tc>
          <w:tcPr>
            <w:tcW w:w="3414" w:type="dxa"/>
            <w:tcBorders>
              <w:top w:val="nil"/>
              <w:left w:val="single" w:sz="8" w:space="0" w:color="auto"/>
              <w:bottom w:val="single" w:sz="8" w:space="0" w:color="auto"/>
              <w:right w:val="nil"/>
            </w:tcBorders>
            <w:shd w:val="clear" w:color="000000" w:fill="244062"/>
            <w:vAlign w:val="center"/>
            <w:hideMark/>
          </w:tcPr>
          <w:p w14:paraId="12FE6A08" w14:textId="77777777" w:rsidR="00F916F7" w:rsidRPr="00FF386D" w:rsidRDefault="00F916F7" w:rsidP="00F916F7">
            <w:pPr>
              <w:spacing w:before="120" w:after="120" w:line="240" w:lineRule="auto"/>
              <w:jc w:val="both"/>
              <w:rPr>
                <w:rFonts w:asciiTheme="majorHAnsi" w:eastAsia="Times New Roman" w:hAnsiTheme="majorHAnsi" w:cstheme="majorHAnsi"/>
                <w:b/>
                <w:bCs/>
                <w:sz w:val="20"/>
                <w:szCs w:val="20"/>
                <w:lang w:eastAsia="el-GR"/>
              </w:rPr>
            </w:pPr>
            <w:r w:rsidRPr="00FF386D">
              <w:rPr>
                <w:rFonts w:asciiTheme="majorHAnsi" w:eastAsia="Times New Roman" w:hAnsiTheme="majorHAnsi" w:cstheme="majorHAnsi"/>
                <w:b/>
                <w:bCs/>
                <w:sz w:val="20"/>
                <w:szCs w:val="20"/>
                <w:lang w:eastAsia="el-GR"/>
              </w:rPr>
              <w:t xml:space="preserve">Главни циљ: </w:t>
            </w:r>
          </w:p>
        </w:tc>
        <w:tc>
          <w:tcPr>
            <w:tcW w:w="6074" w:type="dxa"/>
            <w:gridSpan w:val="3"/>
            <w:tcBorders>
              <w:top w:val="single" w:sz="8" w:space="0" w:color="auto"/>
              <w:left w:val="nil"/>
              <w:bottom w:val="single" w:sz="8" w:space="0" w:color="auto"/>
              <w:right w:val="single" w:sz="8" w:space="0" w:color="000000"/>
            </w:tcBorders>
            <w:vAlign w:val="center"/>
          </w:tcPr>
          <w:p w14:paraId="4536629D" w14:textId="631D33A0" w:rsidR="00F916F7" w:rsidRPr="00FF386D" w:rsidRDefault="00F916F7" w:rsidP="00F916F7">
            <w:pPr>
              <w:spacing w:before="120" w:after="12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Отпорност у случају ограничења или прекида у снабдевању енергентом, флексибилност националног енергетског система</w:t>
            </w:r>
          </w:p>
        </w:tc>
      </w:tr>
      <w:tr w:rsidR="00F916F7" w:rsidRPr="00FF386D" w14:paraId="69225BB1" w14:textId="77777777" w:rsidTr="0057310C">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7BFF7A88" w14:textId="77777777" w:rsidR="00F916F7" w:rsidRPr="00FF386D" w:rsidRDefault="00F916F7" w:rsidP="00F916F7">
            <w:pPr>
              <w:spacing w:before="120" w:after="120" w:line="240" w:lineRule="auto"/>
              <w:jc w:val="both"/>
              <w:rPr>
                <w:rFonts w:asciiTheme="majorHAnsi" w:eastAsia="Times New Roman" w:hAnsiTheme="majorHAnsi" w:cstheme="majorHAnsi"/>
                <w:b/>
                <w:bCs/>
                <w:sz w:val="20"/>
                <w:szCs w:val="20"/>
                <w:lang w:eastAsia="el-GR"/>
              </w:rPr>
            </w:pPr>
            <w:r w:rsidRPr="00FF386D">
              <w:rPr>
                <w:rFonts w:asciiTheme="majorHAnsi" w:eastAsia="Times New Roman" w:hAnsiTheme="majorHAnsi" w:cstheme="majorHAnsi"/>
                <w:b/>
                <w:bCs/>
                <w:sz w:val="20"/>
                <w:szCs w:val="20"/>
                <w:lang w:eastAsia="el-GR"/>
              </w:rPr>
              <w:t xml:space="preserve">Квантификовани циљ: </w:t>
            </w:r>
          </w:p>
        </w:tc>
        <w:tc>
          <w:tcPr>
            <w:tcW w:w="6074" w:type="dxa"/>
            <w:gridSpan w:val="3"/>
            <w:tcBorders>
              <w:top w:val="single" w:sz="8" w:space="0" w:color="auto"/>
              <w:left w:val="nil"/>
              <w:bottom w:val="single" w:sz="8" w:space="0" w:color="auto"/>
              <w:right w:val="single" w:sz="8" w:space="0" w:color="000000"/>
            </w:tcBorders>
            <w:vAlign w:val="center"/>
          </w:tcPr>
          <w:p w14:paraId="130CB256" w14:textId="7CB380C7" w:rsidR="00F916F7" w:rsidRPr="00FF386D" w:rsidRDefault="00F916F7" w:rsidP="00F916F7">
            <w:pPr>
              <w:spacing w:before="120" w:after="12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 xml:space="preserve">Адекватан ниво угља у </w:t>
            </w:r>
            <w:r w:rsidR="002979ED" w:rsidRPr="00FF386D">
              <w:rPr>
                <w:rFonts w:asciiTheme="majorHAnsi" w:eastAsia="Times New Roman" w:hAnsiTheme="majorHAnsi" w:cstheme="majorHAnsi"/>
                <w:sz w:val="20"/>
                <w:szCs w:val="20"/>
                <w:lang w:eastAsia="el-GR"/>
              </w:rPr>
              <w:t>резерви</w:t>
            </w:r>
          </w:p>
        </w:tc>
      </w:tr>
      <w:tr w:rsidR="00F916F7" w:rsidRPr="00FF386D" w14:paraId="41610831" w14:textId="77777777" w:rsidTr="0057310C">
        <w:trPr>
          <w:trHeight w:val="584"/>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662475F5" w14:textId="77777777" w:rsidR="00F916F7" w:rsidRPr="00FF386D" w:rsidRDefault="00F916F7" w:rsidP="00F916F7">
            <w:pPr>
              <w:spacing w:before="120" w:after="120" w:line="240" w:lineRule="auto"/>
              <w:jc w:val="both"/>
              <w:rPr>
                <w:rFonts w:asciiTheme="majorHAnsi" w:eastAsia="Times New Roman" w:hAnsiTheme="majorHAnsi" w:cstheme="majorHAnsi"/>
                <w:b/>
                <w:bCs/>
                <w:sz w:val="20"/>
                <w:szCs w:val="20"/>
                <w:lang w:eastAsia="el-GR"/>
              </w:rPr>
            </w:pPr>
            <w:r w:rsidRPr="00FF386D">
              <w:rPr>
                <w:rFonts w:asciiTheme="majorHAnsi" w:eastAsia="Times New Roman" w:hAnsiTheme="majorHAnsi" w:cstheme="majorHAnsi"/>
                <w:b/>
                <w:bCs/>
                <w:sz w:val="20"/>
                <w:szCs w:val="20"/>
                <w:lang w:eastAsia="el-GR"/>
              </w:rPr>
              <w:t>Опис:</w:t>
            </w:r>
          </w:p>
        </w:tc>
        <w:tc>
          <w:tcPr>
            <w:tcW w:w="6074" w:type="dxa"/>
            <w:gridSpan w:val="3"/>
            <w:tcBorders>
              <w:top w:val="single" w:sz="8" w:space="0" w:color="auto"/>
              <w:left w:val="nil"/>
              <w:bottom w:val="single" w:sz="8" w:space="0" w:color="auto"/>
              <w:right w:val="single" w:sz="8" w:space="0" w:color="000000"/>
            </w:tcBorders>
            <w:vAlign w:val="center"/>
          </w:tcPr>
          <w:p w14:paraId="6CEEE747" w14:textId="43414BCB" w:rsidR="00550472" w:rsidRDefault="00F916F7" w:rsidP="000A2AFE">
            <w:pPr>
              <w:spacing w:after="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 xml:space="preserve">Како би се </w:t>
            </w:r>
            <w:r w:rsidR="00D73477" w:rsidRPr="00FF386D">
              <w:rPr>
                <w:rFonts w:asciiTheme="majorHAnsi" w:eastAsia="Times New Roman" w:hAnsiTheme="majorHAnsi" w:cstheme="majorHAnsi"/>
                <w:sz w:val="20"/>
                <w:szCs w:val="20"/>
                <w:lang w:eastAsia="el-GR"/>
              </w:rPr>
              <w:t xml:space="preserve">на најекономичнији начин </w:t>
            </w:r>
            <w:r w:rsidRPr="00FF386D">
              <w:rPr>
                <w:rFonts w:asciiTheme="majorHAnsi" w:eastAsia="Times New Roman" w:hAnsiTheme="majorHAnsi" w:cstheme="majorHAnsi"/>
                <w:sz w:val="20"/>
                <w:szCs w:val="20"/>
                <w:lang w:eastAsia="el-GR"/>
              </w:rPr>
              <w:t>постигли циљеви ИНЕКП</w:t>
            </w:r>
            <w:r w:rsidR="00032F33" w:rsidRPr="00FF386D">
              <w:rPr>
                <w:rFonts w:asciiTheme="majorHAnsi" w:eastAsia="Times New Roman" w:hAnsiTheme="majorHAnsi" w:cstheme="majorHAnsi"/>
                <w:sz w:val="20"/>
                <w:szCs w:val="20"/>
                <w:lang w:eastAsia="el-GR"/>
              </w:rPr>
              <w:t>-а</w:t>
            </w:r>
            <w:r w:rsidRPr="00FF386D">
              <w:rPr>
                <w:rFonts w:asciiTheme="majorHAnsi" w:eastAsia="Times New Roman" w:hAnsiTheme="majorHAnsi" w:cstheme="majorHAnsi"/>
                <w:sz w:val="20"/>
                <w:szCs w:val="20"/>
                <w:lang w:eastAsia="el-GR"/>
              </w:rPr>
              <w:t xml:space="preserve"> и о</w:t>
            </w:r>
            <w:r w:rsidR="002979ED" w:rsidRPr="00FF386D">
              <w:rPr>
                <w:rFonts w:asciiTheme="majorHAnsi" w:eastAsia="Times New Roman" w:hAnsiTheme="majorHAnsi" w:cstheme="majorHAnsi"/>
                <w:sz w:val="20"/>
                <w:szCs w:val="20"/>
                <w:lang w:eastAsia="el-GR"/>
              </w:rPr>
              <w:t>безбедио сигуран и поуздан енергетски систем, неопходн</w:t>
            </w:r>
            <w:r w:rsidR="00D73477" w:rsidRPr="00FF386D">
              <w:rPr>
                <w:rFonts w:asciiTheme="majorHAnsi" w:eastAsia="Times New Roman" w:hAnsiTheme="majorHAnsi" w:cstheme="majorHAnsi"/>
                <w:sz w:val="20"/>
                <w:szCs w:val="20"/>
                <w:lang w:eastAsia="el-GR"/>
              </w:rPr>
              <w:t xml:space="preserve">о је спровођење инвестиција </w:t>
            </w:r>
            <w:r w:rsidR="002979ED" w:rsidRPr="00FF386D">
              <w:rPr>
                <w:rFonts w:asciiTheme="majorHAnsi" w:eastAsia="Times New Roman" w:hAnsiTheme="majorHAnsi" w:cstheme="majorHAnsi"/>
                <w:sz w:val="20"/>
                <w:szCs w:val="20"/>
                <w:lang w:eastAsia="el-GR"/>
              </w:rPr>
              <w:t>у модернизацију индустрије угља у Србији. Ов</w:t>
            </w:r>
            <w:r w:rsidR="00D73477" w:rsidRPr="00FF386D">
              <w:rPr>
                <w:rFonts w:asciiTheme="majorHAnsi" w:eastAsia="Times New Roman" w:hAnsiTheme="majorHAnsi" w:cstheme="majorHAnsi"/>
                <w:sz w:val="20"/>
                <w:szCs w:val="20"/>
                <w:lang w:eastAsia="el-GR"/>
              </w:rPr>
              <w:t xml:space="preserve">а мера ће </w:t>
            </w:r>
            <w:r w:rsidR="002979ED" w:rsidRPr="00FF386D">
              <w:rPr>
                <w:rFonts w:asciiTheme="majorHAnsi" w:eastAsia="Times New Roman" w:hAnsiTheme="majorHAnsi" w:cstheme="majorHAnsi"/>
                <w:sz w:val="20"/>
                <w:szCs w:val="20"/>
                <w:lang w:eastAsia="el-GR"/>
              </w:rPr>
              <w:t>ублажити б</w:t>
            </w:r>
            <w:r w:rsidR="00D73477" w:rsidRPr="00FF386D">
              <w:rPr>
                <w:rFonts w:asciiTheme="majorHAnsi" w:eastAsia="Times New Roman" w:hAnsiTheme="majorHAnsi" w:cstheme="majorHAnsi"/>
                <w:sz w:val="20"/>
                <w:szCs w:val="20"/>
                <w:lang w:eastAsia="el-GR"/>
              </w:rPr>
              <w:t>ојазни у погледу ограниченог и прекинутог снабдевања енергијом.</w:t>
            </w:r>
          </w:p>
          <w:p w14:paraId="5958AB4F" w14:textId="62D40C81" w:rsidR="007B356D" w:rsidRDefault="007B356D" w:rsidP="007B356D">
            <w:pPr>
              <w:spacing w:after="0" w:line="240" w:lineRule="auto"/>
              <w:jc w:val="both"/>
              <w:rPr>
                <w:rFonts w:asciiTheme="majorHAnsi" w:eastAsia="Times New Roman" w:hAnsiTheme="majorHAnsi" w:cstheme="majorHAnsi"/>
                <w:sz w:val="20"/>
                <w:szCs w:val="20"/>
                <w:lang w:eastAsia="el-GR"/>
              </w:rPr>
            </w:pPr>
            <w:r>
              <w:rPr>
                <w:rFonts w:asciiTheme="majorHAnsi" w:eastAsia="Times New Roman" w:hAnsiTheme="majorHAnsi" w:cstheme="majorHAnsi"/>
                <w:sz w:val="20"/>
                <w:szCs w:val="20"/>
                <w:lang w:eastAsia="el-GR"/>
              </w:rPr>
              <w:t xml:space="preserve">Модернизација индустрије угља </w:t>
            </w:r>
            <w:r w:rsidR="00147EE6">
              <w:rPr>
                <w:rFonts w:asciiTheme="majorHAnsi" w:eastAsia="Times New Roman" w:hAnsiTheme="majorHAnsi" w:cstheme="majorHAnsi"/>
                <w:sz w:val="20"/>
                <w:szCs w:val="20"/>
                <w:lang w:eastAsia="el-GR"/>
              </w:rPr>
              <w:t>се одвија паралелно</w:t>
            </w:r>
            <w:r>
              <w:rPr>
                <w:rFonts w:asciiTheme="majorHAnsi" w:eastAsia="Times New Roman" w:hAnsiTheme="majorHAnsi" w:cstheme="majorHAnsi"/>
                <w:sz w:val="20"/>
                <w:szCs w:val="20"/>
                <w:lang w:eastAsia="el-GR"/>
              </w:rPr>
              <w:t xml:space="preserve"> са модернизацијом старијих електрана, </w:t>
            </w:r>
            <w:r w:rsidR="00147EE6">
              <w:rPr>
                <w:rFonts w:asciiTheme="majorHAnsi" w:eastAsia="Times New Roman" w:hAnsiTheme="majorHAnsi" w:cstheme="majorHAnsi"/>
                <w:sz w:val="20"/>
                <w:szCs w:val="20"/>
                <w:lang w:eastAsia="el-GR"/>
              </w:rPr>
              <w:t>како би</w:t>
            </w:r>
            <w:r>
              <w:rPr>
                <w:rFonts w:asciiTheme="majorHAnsi" w:eastAsia="Times New Roman" w:hAnsiTheme="majorHAnsi" w:cstheme="majorHAnsi"/>
                <w:sz w:val="20"/>
                <w:szCs w:val="20"/>
                <w:lang w:eastAsia="el-GR"/>
              </w:rPr>
              <w:t xml:space="preserve"> поста</w:t>
            </w:r>
            <w:r w:rsidR="00147EE6">
              <w:rPr>
                <w:rFonts w:asciiTheme="majorHAnsi" w:eastAsia="Times New Roman" w:hAnsiTheme="majorHAnsi" w:cstheme="majorHAnsi"/>
                <w:sz w:val="20"/>
                <w:szCs w:val="20"/>
                <w:lang w:eastAsia="el-GR"/>
              </w:rPr>
              <w:t>ле</w:t>
            </w:r>
            <w:r>
              <w:rPr>
                <w:rFonts w:asciiTheme="majorHAnsi" w:eastAsia="Times New Roman" w:hAnsiTheme="majorHAnsi" w:cstheme="majorHAnsi"/>
                <w:sz w:val="20"/>
                <w:szCs w:val="20"/>
                <w:lang w:eastAsia="el-GR"/>
              </w:rPr>
              <w:t xml:space="preserve"> компатибилне са захтевима Директиве о великим постројењима за сагоревање. Такве прелазне мере су неопходне како би се обезбедила неометана енергетска транзиција у Србији.</w:t>
            </w:r>
          </w:p>
          <w:p w14:paraId="1FCE1DFC" w14:textId="47132721" w:rsidR="00F916F7" w:rsidRPr="00FF386D" w:rsidRDefault="007B356D" w:rsidP="000A2AFE">
            <w:pPr>
              <w:spacing w:after="0" w:line="240" w:lineRule="auto"/>
              <w:jc w:val="both"/>
              <w:rPr>
                <w:rFonts w:asciiTheme="majorHAnsi" w:eastAsia="Times New Roman" w:hAnsiTheme="majorHAnsi" w:cstheme="majorHAnsi"/>
                <w:sz w:val="20"/>
                <w:szCs w:val="20"/>
                <w:lang w:eastAsia="el-GR"/>
              </w:rPr>
            </w:pPr>
            <w:r>
              <w:rPr>
                <w:rFonts w:asciiTheme="majorHAnsi" w:eastAsia="Times New Roman" w:hAnsiTheme="majorHAnsi" w:cstheme="majorHAnsi"/>
                <w:sz w:val="20"/>
                <w:szCs w:val="20"/>
                <w:lang w:eastAsia="el-GR"/>
              </w:rPr>
              <w:t>Тачније, модернизација индустрије угља обухвата инвестиције у системе који доводе до смањења штетних емисија и њихових негативних утицаја на животну средину услед ефикасније и повећане производње. Ове инвестиције ће допринети бољем квалитету производа због селективн</w:t>
            </w:r>
            <w:r w:rsidR="00147EE6">
              <w:rPr>
                <w:rFonts w:asciiTheme="majorHAnsi" w:eastAsia="Times New Roman" w:hAnsiTheme="majorHAnsi" w:cstheme="majorHAnsi"/>
                <w:sz w:val="20"/>
                <w:szCs w:val="20"/>
                <w:lang w:eastAsia="el-GR"/>
              </w:rPr>
              <w:t>ог копања</w:t>
            </w:r>
            <w:r>
              <w:rPr>
                <w:rFonts w:asciiTheme="majorHAnsi" w:eastAsia="Times New Roman" w:hAnsiTheme="majorHAnsi" w:cstheme="majorHAnsi"/>
                <w:sz w:val="20"/>
                <w:szCs w:val="20"/>
                <w:lang w:eastAsia="el-GR"/>
              </w:rPr>
              <w:t xml:space="preserve"> угља, хомогенизације и увођења интегралног система управљања квалитетом угља. Ове акције ће обезбедити да индустрија угља буде усклађена са највишим стандардима животне средине и омогућиће смањење </w:t>
            </w:r>
            <w:r w:rsidR="00A547FB">
              <w:rPr>
                <w:rFonts w:asciiTheme="majorHAnsi" w:eastAsia="Times New Roman" w:hAnsiTheme="majorHAnsi" w:cstheme="majorHAnsi"/>
                <w:sz w:val="20"/>
                <w:szCs w:val="20"/>
                <w:lang w:eastAsia="el-GR"/>
              </w:rPr>
              <w:t xml:space="preserve">емисија прашине, </w:t>
            </w:r>
            <w:r>
              <w:rPr>
                <w:rFonts w:asciiTheme="majorHAnsi" w:eastAsia="Times New Roman" w:hAnsiTheme="majorHAnsi" w:cstheme="majorHAnsi"/>
                <w:sz w:val="20"/>
                <w:szCs w:val="20"/>
                <w:lang w:eastAsia="el-GR"/>
              </w:rPr>
              <w:t>честичних материја, итд.</w:t>
            </w:r>
          </w:p>
        </w:tc>
      </w:tr>
      <w:tr w:rsidR="00F916F7" w:rsidRPr="00FF386D" w14:paraId="198711D2" w14:textId="77777777" w:rsidTr="0057310C">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428409C1" w14:textId="77777777" w:rsidR="00F916F7" w:rsidRPr="00FF386D" w:rsidRDefault="00F916F7" w:rsidP="00F916F7">
            <w:pPr>
              <w:spacing w:before="120" w:after="120" w:line="240" w:lineRule="auto"/>
              <w:jc w:val="both"/>
              <w:rPr>
                <w:rFonts w:asciiTheme="majorHAnsi" w:eastAsia="Times New Roman" w:hAnsiTheme="majorHAnsi" w:cstheme="majorHAnsi"/>
                <w:b/>
                <w:bCs/>
                <w:sz w:val="20"/>
                <w:szCs w:val="20"/>
                <w:lang w:eastAsia="el-GR"/>
              </w:rPr>
            </w:pPr>
            <w:r w:rsidRPr="00FF386D">
              <w:rPr>
                <w:rFonts w:asciiTheme="majorHAnsi" w:eastAsia="Times New Roman" w:hAnsiTheme="majorHAnsi" w:cstheme="majorHAnsi"/>
                <w:b/>
                <w:bCs/>
                <w:sz w:val="20"/>
                <w:szCs w:val="20"/>
                <w:lang w:eastAsia="el-GR"/>
              </w:rPr>
              <w:t>Временски оквир имплементације</w:t>
            </w:r>
          </w:p>
        </w:tc>
        <w:tc>
          <w:tcPr>
            <w:tcW w:w="6074" w:type="dxa"/>
            <w:gridSpan w:val="3"/>
            <w:tcBorders>
              <w:top w:val="single" w:sz="8" w:space="0" w:color="auto"/>
              <w:left w:val="nil"/>
              <w:bottom w:val="single" w:sz="8" w:space="0" w:color="auto"/>
              <w:right w:val="single" w:sz="8" w:space="0" w:color="000000"/>
            </w:tcBorders>
            <w:vAlign w:val="center"/>
            <w:hideMark/>
          </w:tcPr>
          <w:p w14:paraId="5E7715AA" w14:textId="483BE67B" w:rsidR="00F916F7" w:rsidRPr="00FF386D" w:rsidRDefault="00F916F7" w:rsidP="00F916F7">
            <w:pPr>
              <w:spacing w:before="120" w:after="12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2023-2030.</w:t>
            </w:r>
          </w:p>
        </w:tc>
      </w:tr>
      <w:tr w:rsidR="00F916F7" w:rsidRPr="00FF386D" w14:paraId="1144B9BF" w14:textId="77777777" w:rsidTr="0057310C">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6DC370D0" w14:textId="77777777" w:rsidR="00F916F7" w:rsidRPr="00FF386D" w:rsidRDefault="00F916F7" w:rsidP="00F916F7">
            <w:pPr>
              <w:spacing w:before="120" w:after="120" w:line="240" w:lineRule="auto"/>
              <w:jc w:val="both"/>
              <w:rPr>
                <w:rFonts w:asciiTheme="majorHAnsi" w:eastAsia="Times New Roman" w:hAnsiTheme="majorHAnsi" w:cstheme="majorHAnsi"/>
                <w:b/>
                <w:bCs/>
                <w:sz w:val="20"/>
                <w:szCs w:val="20"/>
                <w:lang w:eastAsia="el-GR"/>
              </w:rPr>
            </w:pPr>
            <w:r w:rsidRPr="00FF386D">
              <w:rPr>
                <w:rFonts w:asciiTheme="majorHAnsi" w:eastAsia="Times New Roman" w:hAnsiTheme="majorHAnsi" w:cstheme="majorHAnsi"/>
                <w:b/>
                <w:bCs/>
                <w:sz w:val="20"/>
                <w:szCs w:val="20"/>
                <w:lang w:eastAsia="el-GR"/>
              </w:rPr>
              <w:t>Тип мере</w:t>
            </w:r>
          </w:p>
        </w:tc>
        <w:tc>
          <w:tcPr>
            <w:tcW w:w="6074" w:type="dxa"/>
            <w:gridSpan w:val="3"/>
            <w:tcBorders>
              <w:top w:val="single" w:sz="8" w:space="0" w:color="auto"/>
              <w:left w:val="nil"/>
              <w:bottom w:val="single" w:sz="8" w:space="0" w:color="auto"/>
              <w:right w:val="single" w:sz="8" w:space="0" w:color="000000"/>
            </w:tcBorders>
            <w:vAlign w:val="center"/>
            <w:hideMark/>
          </w:tcPr>
          <w:p w14:paraId="7DCBDF5C" w14:textId="77777777" w:rsidR="00F916F7" w:rsidRPr="00FF386D" w:rsidRDefault="00F916F7" w:rsidP="00F916F7">
            <w:pPr>
              <w:spacing w:before="120" w:after="12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Инвестиција</w:t>
            </w:r>
          </w:p>
        </w:tc>
      </w:tr>
      <w:tr w:rsidR="00F916F7" w:rsidRPr="00FF386D" w14:paraId="4369B185" w14:textId="77777777" w:rsidTr="0057310C">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14968877" w14:textId="77777777" w:rsidR="00F916F7" w:rsidRPr="00FF386D" w:rsidRDefault="00F916F7" w:rsidP="00F916F7">
            <w:pPr>
              <w:spacing w:before="120" w:after="120" w:line="240" w:lineRule="auto"/>
              <w:jc w:val="both"/>
              <w:rPr>
                <w:rFonts w:asciiTheme="majorHAnsi" w:eastAsia="Times New Roman" w:hAnsiTheme="majorHAnsi" w:cstheme="majorHAnsi"/>
                <w:b/>
                <w:bCs/>
                <w:sz w:val="20"/>
                <w:szCs w:val="20"/>
                <w:lang w:eastAsia="el-GR"/>
              </w:rPr>
            </w:pPr>
            <w:r w:rsidRPr="00FF386D">
              <w:rPr>
                <w:rFonts w:asciiTheme="majorHAnsi" w:eastAsia="Times New Roman" w:hAnsiTheme="majorHAnsi" w:cstheme="majorHAnsi"/>
                <w:b/>
                <w:bCs/>
                <w:sz w:val="20"/>
                <w:szCs w:val="20"/>
                <w:lang w:eastAsia="el-GR"/>
              </w:rPr>
              <w:t>Обухваћени сектори</w:t>
            </w:r>
          </w:p>
        </w:tc>
        <w:tc>
          <w:tcPr>
            <w:tcW w:w="6074" w:type="dxa"/>
            <w:gridSpan w:val="3"/>
            <w:tcBorders>
              <w:top w:val="single" w:sz="8" w:space="0" w:color="auto"/>
              <w:left w:val="nil"/>
              <w:bottom w:val="single" w:sz="8" w:space="0" w:color="auto"/>
              <w:right w:val="single" w:sz="8" w:space="0" w:color="000000"/>
            </w:tcBorders>
            <w:vAlign w:val="center"/>
            <w:hideMark/>
          </w:tcPr>
          <w:p w14:paraId="6DFDF9EB" w14:textId="38CF3EF1" w:rsidR="00F916F7" w:rsidRPr="00FF386D" w:rsidRDefault="00F916F7" w:rsidP="00F916F7">
            <w:pPr>
              <w:spacing w:before="120" w:after="12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Угаљ</w:t>
            </w:r>
          </w:p>
        </w:tc>
      </w:tr>
      <w:tr w:rsidR="00F916F7" w:rsidRPr="00FF386D" w14:paraId="1F2C89BF" w14:textId="77777777" w:rsidTr="0057310C">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48CC0C9D" w14:textId="77777777" w:rsidR="00F916F7" w:rsidRPr="00FF386D" w:rsidRDefault="00F916F7" w:rsidP="00F916F7">
            <w:pPr>
              <w:spacing w:before="120" w:after="120" w:line="240" w:lineRule="auto"/>
              <w:jc w:val="both"/>
              <w:rPr>
                <w:rFonts w:asciiTheme="majorHAnsi" w:eastAsia="Times New Roman" w:hAnsiTheme="majorHAnsi" w:cstheme="majorHAnsi"/>
                <w:b/>
                <w:bCs/>
                <w:sz w:val="20"/>
                <w:szCs w:val="20"/>
                <w:lang w:eastAsia="el-GR"/>
              </w:rPr>
            </w:pPr>
            <w:r w:rsidRPr="00FF386D">
              <w:rPr>
                <w:rFonts w:asciiTheme="majorHAnsi" w:eastAsia="Times New Roman" w:hAnsiTheme="majorHAnsi" w:cstheme="majorHAnsi"/>
                <w:b/>
                <w:bCs/>
                <w:sz w:val="20"/>
                <w:szCs w:val="20"/>
                <w:lang w:eastAsia="el-GR"/>
              </w:rPr>
              <w:lastRenderedPageBreak/>
              <w:t>Извршни орган</w:t>
            </w:r>
          </w:p>
        </w:tc>
        <w:tc>
          <w:tcPr>
            <w:tcW w:w="6074" w:type="dxa"/>
            <w:gridSpan w:val="3"/>
            <w:tcBorders>
              <w:top w:val="single" w:sz="8" w:space="0" w:color="auto"/>
              <w:left w:val="nil"/>
              <w:bottom w:val="single" w:sz="8" w:space="0" w:color="auto"/>
              <w:right w:val="single" w:sz="8" w:space="0" w:color="000000"/>
            </w:tcBorders>
            <w:vAlign w:val="center"/>
            <w:hideMark/>
          </w:tcPr>
          <w:p w14:paraId="570CBFF2" w14:textId="3118820F" w:rsidR="00F916F7" w:rsidRPr="00FF386D" w:rsidRDefault="00F916F7" w:rsidP="00F916F7">
            <w:pPr>
              <w:pStyle w:val="ListParagraph"/>
              <w:numPr>
                <w:ilvl w:val="0"/>
                <w:numId w:val="37"/>
              </w:numPr>
              <w:spacing w:before="120" w:after="12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ЕПС</w:t>
            </w:r>
          </w:p>
        </w:tc>
      </w:tr>
      <w:tr w:rsidR="00F916F7" w:rsidRPr="00FF386D" w14:paraId="5C3A4087" w14:textId="77777777" w:rsidTr="0057310C">
        <w:trPr>
          <w:trHeight w:val="315"/>
        </w:trPr>
        <w:tc>
          <w:tcPr>
            <w:tcW w:w="3414" w:type="dxa"/>
            <w:tcBorders>
              <w:top w:val="nil"/>
              <w:left w:val="single" w:sz="8" w:space="0" w:color="auto"/>
              <w:bottom w:val="single" w:sz="8" w:space="0" w:color="auto"/>
              <w:right w:val="nil"/>
            </w:tcBorders>
            <w:shd w:val="clear" w:color="000000" w:fill="244062"/>
            <w:vAlign w:val="center"/>
            <w:hideMark/>
          </w:tcPr>
          <w:p w14:paraId="0AAD2E45" w14:textId="77777777" w:rsidR="00F916F7" w:rsidRPr="00FF386D" w:rsidRDefault="00F916F7" w:rsidP="00F916F7">
            <w:pPr>
              <w:spacing w:before="120" w:after="120" w:line="240" w:lineRule="auto"/>
              <w:jc w:val="both"/>
              <w:rPr>
                <w:rFonts w:asciiTheme="majorHAnsi" w:eastAsia="Times New Roman" w:hAnsiTheme="majorHAnsi" w:cstheme="majorHAnsi"/>
                <w:b/>
                <w:bCs/>
                <w:sz w:val="20"/>
                <w:szCs w:val="20"/>
                <w:lang w:eastAsia="el-GR"/>
              </w:rPr>
            </w:pPr>
            <w:r w:rsidRPr="00FF386D">
              <w:rPr>
                <w:rFonts w:asciiTheme="majorHAnsi" w:eastAsia="Times New Roman" w:hAnsiTheme="majorHAnsi" w:cstheme="majorHAnsi"/>
                <w:b/>
                <w:bCs/>
                <w:sz w:val="20"/>
                <w:szCs w:val="20"/>
                <w:lang w:eastAsia="el-GR"/>
              </w:rPr>
              <w:t>Тело за праћење</w:t>
            </w:r>
          </w:p>
        </w:tc>
        <w:tc>
          <w:tcPr>
            <w:tcW w:w="6074" w:type="dxa"/>
            <w:gridSpan w:val="3"/>
            <w:tcBorders>
              <w:top w:val="single" w:sz="8" w:space="0" w:color="auto"/>
              <w:left w:val="nil"/>
              <w:bottom w:val="single" w:sz="8" w:space="0" w:color="auto"/>
              <w:right w:val="single" w:sz="8" w:space="0" w:color="000000"/>
            </w:tcBorders>
            <w:vAlign w:val="center"/>
            <w:hideMark/>
          </w:tcPr>
          <w:p w14:paraId="5042A6E4" w14:textId="4CA6D3F2" w:rsidR="00F916F7" w:rsidRPr="00FF386D" w:rsidRDefault="00F916F7" w:rsidP="00F916F7">
            <w:pPr>
              <w:numPr>
                <w:ilvl w:val="0"/>
                <w:numId w:val="37"/>
              </w:numPr>
              <w:spacing w:before="120" w:after="12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Управа за резерве енергената</w:t>
            </w:r>
          </w:p>
          <w:p w14:paraId="277C078C" w14:textId="1F2F1A54" w:rsidR="00F916F7" w:rsidRPr="00FF386D" w:rsidRDefault="00F916F7" w:rsidP="00F916F7">
            <w:pPr>
              <w:numPr>
                <w:ilvl w:val="0"/>
                <w:numId w:val="37"/>
              </w:numPr>
              <w:spacing w:before="120" w:after="12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Министарство рударства и енергетике</w:t>
            </w:r>
          </w:p>
        </w:tc>
      </w:tr>
      <w:tr w:rsidR="00F916F7" w:rsidRPr="00FF386D" w14:paraId="269B9DBF" w14:textId="77777777" w:rsidTr="0057310C">
        <w:trPr>
          <w:trHeight w:val="315"/>
        </w:trPr>
        <w:tc>
          <w:tcPr>
            <w:tcW w:w="3414" w:type="dxa"/>
            <w:tcBorders>
              <w:top w:val="nil"/>
              <w:left w:val="single" w:sz="8" w:space="0" w:color="auto"/>
              <w:bottom w:val="single" w:sz="8" w:space="0" w:color="auto"/>
              <w:right w:val="nil"/>
            </w:tcBorders>
            <w:shd w:val="clear" w:color="000000" w:fill="244062"/>
            <w:vAlign w:val="center"/>
            <w:hideMark/>
          </w:tcPr>
          <w:p w14:paraId="41CA5D80" w14:textId="77777777" w:rsidR="00F916F7" w:rsidRPr="00FF386D" w:rsidRDefault="00F916F7" w:rsidP="00F916F7">
            <w:pPr>
              <w:spacing w:before="120" w:after="120" w:line="240" w:lineRule="auto"/>
              <w:jc w:val="both"/>
              <w:rPr>
                <w:rFonts w:asciiTheme="majorHAnsi" w:eastAsia="Times New Roman" w:hAnsiTheme="majorHAnsi" w:cstheme="majorHAnsi"/>
                <w:b/>
                <w:bCs/>
                <w:sz w:val="20"/>
                <w:szCs w:val="20"/>
                <w:lang w:eastAsia="el-GR"/>
              </w:rPr>
            </w:pPr>
            <w:r w:rsidRPr="00FF386D">
              <w:rPr>
                <w:rFonts w:asciiTheme="majorHAnsi" w:eastAsia="Times New Roman" w:hAnsiTheme="majorHAnsi" w:cstheme="majorHAnsi"/>
                <w:b/>
                <w:bCs/>
                <w:sz w:val="20"/>
                <w:szCs w:val="20"/>
                <w:lang w:eastAsia="el-GR"/>
              </w:rPr>
              <w:t>Индикатори напретка</w:t>
            </w:r>
          </w:p>
        </w:tc>
        <w:tc>
          <w:tcPr>
            <w:tcW w:w="6074" w:type="dxa"/>
            <w:gridSpan w:val="3"/>
            <w:tcBorders>
              <w:top w:val="single" w:sz="8" w:space="0" w:color="auto"/>
              <w:left w:val="nil"/>
              <w:bottom w:val="single" w:sz="8" w:space="0" w:color="auto"/>
              <w:right w:val="single" w:sz="8" w:space="0" w:color="000000"/>
            </w:tcBorders>
            <w:vAlign w:val="center"/>
            <w:hideMark/>
          </w:tcPr>
          <w:p w14:paraId="0B71C4E8" w14:textId="5EE452D8" w:rsidR="00F916F7" w:rsidRPr="00FF386D" w:rsidRDefault="007B356D" w:rsidP="00F916F7">
            <w:pPr>
              <w:spacing w:before="120" w:after="120" w:line="240" w:lineRule="auto"/>
              <w:jc w:val="both"/>
              <w:rPr>
                <w:rFonts w:asciiTheme="majorHAnsi" w:eastAsia="Times New Roman" w:hAnsiTheme="majorHAnsi" w:cstheme="majorHAnsi"/>
                <w:sz w:val="20"/>
                <w:szCs w:val="20"/>
                <w:lang w:eastAsia="el-GR"/>
              </w:rPr>
            </w:pPr>
            <w:r w:rsidRPr="007B356D">
              <w:rPr>
                <w:rFonts w:asciiTheme="majorHAnsi" w:eastAsia="Times New Roman" w:hAnsiTheme="majorHAnsi" w:cstheme="majorHAnsi"/>
                <w:sz w:val="20"/>
                <w:szCs w:val="20"/>
                <w:lang w:eastAsia="el-GR"/>
              </w:rPr>
              <w:t xml:space="preserve"> Обим енергената у резерви</w:t>
            </w:r>
          </w:p>
        </w:tc>
      </w:tr>
      <w:tr w:rsidR="00F916F7" w:rsidRPr="00FF386D" w14:paraId="758E9078" w14:textId="77777777" w:rsidTr="0057310C">
        <w:trPr>
          <w:trHeight w:val="387"/>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3AFF7B55" w14:textId="77777777" w:rsidR="00F916F7" w:rsidRPr="00FF386D" w:rsidRDefault="00F916F7" w:rsidP="00F916F7">
            <w:pPr>
              <w:spacing w:before="120" w:after="120" w:line="240" w:lineRule="auto"/>
              <w:jc w:val="both"/>
              <w:rPr>
                <w:rFonts w:asciiTheme="majorHAnsi" w:eastAsia="Times New Roman" w:hAnsiTheme="majorHAnsi" w:cstheme="majorHAnsi"/>
                <w:b/>
                <w:bCs/>
                <w:sz w:val="20"/>
                <w:szCs w:val="20"/>
                <w:lang w:eastAsia="el-GR"/>
              </w:rPr>
            </w:pPr>
            <w:r w:rsidRPr="00FF386D">
              <w:rPr>
                <w:rFonts w:asciiTheme="majorHAnsi" w:eastAsia="Times New Roman" w:hAnsiTheme="majorHAnsi" w:cstheme="majorHAnsi"/>
                <w:b/>
                <w:bCs/>
                <w:sz w:val="20"/>
                <w:szCs w:val="20"/>
                <w:lang w:eastAsia="el-GR"/>
              </w:rPr>
              <w:t>Обухваћене релевантне димензије Енергетске уније</w:t>
            </w:r>
          </w:p>
        </w:tc>
        <w:tc>
          <w:tcPr>
            <w:tcW w:w="6074" w:type="dxa"/>
            <w:gridSpan w:val="3"/>
            <w:tcBorders>
              <w:top w:val="single" w:sz="8" w:space="0" w:color="auto"/>
              <w:left w:val="nil"/>
              <w:bottom w:val="single" w:sz="8" w:space="0" w:color="auto"/>
              <w:right w:val="single" w:sz="8" w:space="0" w:color="000000"/>
            </w:tcBorders>
            <w:vAlign w:val="center"/>
            <w:hideMark/>
          </w:tcPr>
          <w:p w14:paraId="762B48A3" w14:textId="784AFF62" w:rsidR="00F916F7" w:rsidRPr="000A2AFE" w:rsidRDefault="007B356D" w:rsidP="000A2AFE">
            <w:pPr>
              <w:pStyle w:val="ListParagraph"/>
              <w:numPr>
                <w:ilvl w:val="0"/>
                <w:numId w:val="377"/>
              </w:numPr>
              <w:spacing w:before="120" w:after="120" w:line="240" w:lineRule="auto"/>
              <w:jc w:val="both"/>
              <w:rPr>
                <w:rFonts w:asciiTheme="majorHAnsi" w:eastAsia="Times New Roman" w:hAnsiTheme="majorHAnsi" w:cstheme="majorHAnsi"/>
                <w:sz w:val="20"/>
                <w:szCs w:val="20"/>
                <w:lang w:eastAsia="el-GR"/>
              </w:rPr>
            </w:pPr>
            <w:r>
              <w:rPr>
                <w:rFonts w:asciiTheme="majorHAnsi" w:eastAsia="Times New Roman" w:hAnsiTheme="majorHAnsi" w:cstheme="majorHAnsi"/>
                <w:sz w:val="20"/>
                <w:szCs w:val="20"/>
                <w:lang w:eastAsia="el-GR"/>
              </w:rPr>
              <w:t>Декарбонизација</w:t>
            </w:r>
          </w:p>
        </w:tc>
      </w:tr>
      <w:tr w:rsidR="00F916F7" w:rsidRPr="00FF386D" w14:paraId="467F5B25" w14:textId="77777777" w:rsidTr="0057310C">
        <w:trPr>
          <w:trHeight w:val="450"/>
        </w:trPr>
        <w:tc>
          <w:tcPr>
            <w:tcW w:w="3414"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79494426" w14:textId="77777777" w:rsidR="00F916F7" w:rsidRPr="00FF386D" w:rsidRDefault="00F916F7" w:rsidP="00F916F7">
            <w:pPr>
              <w:spacing w:before="120" w:after="120" w:line="240" w:lineRule="auto"/>
              <w:jc w:val="both"/>
              <w:rPr>
                <w:rFonts w:asciiTheme="majorHAnsi" w:eastAsia="Times New Roman" w:hAnsiTheme="majorHAnsi" w:cstheme="majorHAnsi"/>
                <w:b/>
                <w:bCs/>
                <w:sz w:val="20"/>
                <w:szCs w:val="20"/>
                <w:lang w:eastAsia="el-GR"/>
              </w:rPr>
            </w:pPr>
            <w:r w:rsidRPr="00FF386D">
              <w:rPr>
                <w:rFonts w:asciiTheme="majorHAnsi" w:eastAsia="Times New Roman" w:hAnsiTheme="majorHAnsi" w:cstheme="majorHAnsi"/>
                <w:b/>
                <w:bCs/>
                <w:sz w:val="20"/>
                <w:szCs w:val="20"/>
                <w:lang w:eastAsia="el-GR"/>
              </w:rPr>
              <w:t>Политике Уније која су резултирале имплементацијом политике и мере</w:t>
            </w:r>
          </w:p>
        </w:tc>
        <w:tc>
          <w:tcPr>
            <w:tcW w:w="6074"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0AC8700D" w14:textId="3135D0C0" w:rsidR="00F916F7" w:rsidRPr="00FF386D" w:rsidRDefault="002979ED" w:rsidP="00F916F7">
            <w:pPr>
              <w:pStyle w:val="ListParagraph"/>
              <w:numPr>
                <w:ilvl w:val="0"/>
                <w:numId w:val="37"/>
              </w:numPr>
              <w:spacing w:before="120" w:after="12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План о приправности на ризике (Уредба)</w:t>
            </w:r>
          </w:p>
        </w:tc>
      </w:tr>
      <w:tr w:rsidR="00F916F7" w:rsidRPr="00FF386D" w14:paraId="7BB76FFA" w14:textId="77777777" w:rsidTr="0057310C">
        <w:trPr>
          <w:trHeight w:val="484"/>
        </w:trPr>
        <w:tc>
          <w:tcPr>
            <w:tcW w:w="0" w:type="auto"/>
            <w:vMerge/>
            <w:tcBorders>
              <w:top w:val="nil"/>
              <w:left w:val="single" w:sz="8" w:space="0" w:color="auto"/>
              <w:bottom w:val="single" w:sz="8" w:space="0" w:color="000000"/>
              <w:right w:val="single" w:sz="8" w:space="0" w:color="auto"/>
            </w:tcBorders>
            <w:vAlign w:val="center"/>
            <w:hideMark/>
          </w:tcPr>
          <w:p w14:paraId="1ED86BAB" w14:textId="77777777" w:rsidR="00F916F7" w:rsidRPr="00FF386D" w:rsidRDefault="00F916F7" w:rsidP="00F916F7">
            <w:pPr>
              <w:spacing w:before="120" w:after="120" w:line="240" w:lineRule="auto"/>
              <w:jc w:val="both"/>
              <w:rPr>
                <w:rFonts w:asciiTheme="majorHAnsi" w:eastAsia="Times New Roman" w:hAnsiTheme="majorHAnsi" w:cstheme="majorHAnsi"/>
                <w:b/>
                <w:bCs/>
                <w:sz w:val="20"/>
                <w:szCs w:val="20"/>
                <w:lang w:eastAsia="el-GR"/>
              </w:rPr>
            </w:pPr>
          </w:p>
        </w:tc>
        <w:tc>
          <w:tcPr>
            <w:tcW w:w="6074" w:type="dxa"/>
            <w:gridSpan w:val="3"/>
            <w:vMerge/>
            <w:tcBorders>
              <w:top w:val="single" w:sz="8" w:space="0" w:color="auto"/>
              <w:left w:val="single" w:sz="8" w:space="0" w:color="auto"/>
              <w:bottom w:val="single" w:sz="8" w:space="0" w:color="000000"/>
              <w:right w:val="single" w:sz="8" w:space="0" w:color="000000"/>
            </w:tcBorders>
            <w:vAlign w:val="center"/>
            <w:hideMark/>
          </w:tcPr>
          <w:p w14:paraId="6FA72EB3" w14:textId="77777777" w:rsidR="00F916F7" w:rsidRPr="00FF386D" w:rsidRDefault="00F916F7" w:rsidP="00F916F7">
            <w:pPr>
              <w:spacing w:before="120" w:after="120" w:line="240" w:lineRule="auto"/>
              <w:jc w:val="both"/>
              <w:rPr>
                <w:rFonts w:asciiTheme="majorHAnsi" w:eastAsia="Times New Roman" w:hAnsiTheme="majorHAnsi" w:cstheme="majorHAnsi"/>
                <w:b/>
                <w:bCs/>
                <w:sz w:val="20"/>
                <w:szCs w:val="20"/>
                <w:lang w:eastAsia="el-GR"/>
              </w:rPr>
            </w:pPr>
          </w:p>
        </w:tc>
      </w:tr>
      <w:tr w:rsidR="00F916F7" w:rsidRPr="00FF386D" w14:paraId="08B42113" w14:textId="77777777" w:rsidTr="0057310C">
        <w:trPr>
          <w:trHeight w:val="484"/>
        </w:trPr>
        <w:tc>
          <w:tcPr>
            <w:tcW w:w="0" w:type="auto"/>
            <w:vMerge/>
            <w:tcBorders>
              <w:top w:val="nil"/>
              <w:left w:val="single" w:sz="8" w:space="0" w:color="auto"/>
              <w:bottom w:val="single" w:sz="8" w:space="0" w:color="000000"/>
              <w:right w:val="single" w:sz="8" w:space="0" w:color="auto"/>
            </w:tcBorders>
            <w:vAlign w:val="center"/>
            <w:hideMark/>
          </w:tcPr>
          <w:p w14:paraId="474FB9D7" w14:textId="77777777" w:rsidR="00F916F7" w:rsidRPr="00FF386D" w:rsidRDefault="00F916F7" w:rsidP="00F916F7">
            <w:pPr>
              <w:spacing w:before="120" w:after="120" w:line="240" w:lineRule="auto"/>
              <w:jc w:val="both"/>
              <w:rPr>
                <w:rFonts w:asciiTheme="majorHAnsi" w:eastAsia="Times New Roman" w:hAnsiTheme="majorHAnsi" w:cstheme="majorHAnsi"/>
                <w:b/>
                <w:bCs/>
                <w:sz w:val="20"/>
                <w:szCs w:val="20"/>
                <w:lang w:eastAsia="el-GR"/>
              </w:rPr>
            </w:pPr>
          </w:p>
        </w:tc>
        <w:tc>
          <w:tcPr>
            <w:tcW w:w="6074" w:type="dxa"/>
            <w:gridSpan w:val="3"/>
            <w:vMerge/>
            <w:tcBorders>
              <w:top w:val="single" w:sz="8" w:space="0" w:color="auto"/>
              <w:left w:val="single" w:sz="8" w:space="0" w:color="auto"/>
              <w:bottom w:val="single" w:sz="8" w:space="0" w:color="000000"/>
              <w:right w:val="single" w:sz="8" w:space="0" w:color="000000"/>
            </w:tcBorders>
            <w:vAlign w:val="center"/>
            <w:hideMark/>
          </w:tcPr>
          <w:p w14:paraId="589935DC" w14:textId="77777777" w:rsidR="00F916F7" w:rsidRPr="00FF386D" w:rsidRDefault="00F916F7" w:rsidP="00F916F7">
            <w:pPr>
              <w:spacing w:before="120" w:after="120" w:line="240" w:lineRule="auto"/>
              <w:jc w:val="both"/>
              <w:rPr>
                <w:rFonts w:asciiTheme="majorHAnsi" w:eastAsia="Times New Roman" w:hAnsiTheme="majorHAnsi" w:cstheme="majorHAnsi"/>
                <w:b/>
                <w:bCs/>
                <w:sz w:val="20"/>
                <w:szCs w:val="20"/>
                <w:lang w:eastAsia="el-GR"/>
              </w:rPr>
            </w:pPr>
          </w:p>
        </w:tc>
      </w:tr>
      <w:tr w:rsidR="00F916F7" w:rsidRPr="00FF386D" w14:paraId="4102C823" w14:textId="77777777" w:rsidTr="0057310C">
        <w:trPr>
          <w:trHeight w:val="780"/>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01659BD1" w14:textId="77777777" w:rsidR="00F916F7" w:rsidRPr="00FF386D" w:rsidRDefault="00F916F7" w:rsidP="00F916F7">
            <w:pPr>
              <w:spacing w:before="120" w:after="120" w:line="240" w:lineRule="auto"/>
              <w:jc w:val="both"/>
              <w:rPr>
                <w:rFonts w:asciiTheme="majorHAnsi" w:eastAsia="Times New Roman" w:hAnsiTheme="majorHAnsi" w:cstheme="majorHAnsi"/>
                <w:b/>
                <w:bCs/>
                <w:sz w:val="20"/>
                <w:szCs w:val="20"/>
                <w:lang w:eastAsia="el-GR"/>
              </w:rPr>
            </w:pPr>
            <w:r w:rsidRPr="00FF386D">
              <w:rPr>
                <w:rFonts w:asciiTheme="majorHAnsi" w:eastAsia="Times New Roman" w:hAnsiTheme="majorHAnsi" w:cstheme="majorHAnsi"/>
                <w:b/>
                <w:bCs/>
                <w:sz w:val="20"/>
                <w:szCs w:val="20"/>
                <w:lang w:eastAsia="el-GR"/>
              </w:rPr>
              <w:t>Релевантни национални плански документ (правни, регулаторни акти, итд)</w:t>
            </w:r>
          </w:p>
        </w:tc>
        <w:tc>
          <w:tcPr>
            <w:tcW w:w="6074" w:type="dxa"/>
            <w:gridSpan w:val="3"/>
            <w:tcBorders>
              <w:top w:val="single" w:sz="8" w:space="0" w:color="auto"/>
              <w:left w:val="nil"/>
              <w:bottom w:val="single" w:sz="8" w:space="0" w:color="auto"/>
              <w:right w:val="single" w:sz="8" w:space="0" w:color="000000"/>
            </w:tcBorders>
            <w:vAlign w:val="center"/>
            <w:hideMark/>
          </w:tcPr>
          <w:p w14:paraId="32174019" w14:textId="77777777" w:rsidR="00F916F7" w:rsidRPr="00FF386D" w:rsidRDefault="00F916F7" w:rsidP="00F916F7">
            <w:pPr>
              <w:numPr>
                <w:ilvl w:val="0"/>
                <w:numId w:val="37"/>
              </w:numPr>
              <w:spacing w:before="120" w:after="12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Закон о енергетици</w:t>
            </w:r>
          </w:p>
        </w:tc>
      </w:tr>
      <w:tr w:rsidR="00F916F7" w:rsidRPr="00FF386D" w14:paraId="6BA8B912" w14:textId="77777777" w:rsidTr="0057310C">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hideMark/>
          </w:tcPr>
          <w:p w14:paraId="22C4CFE1" w14:textId="77777777" w:rsidR="00F916F7" w:rsidRPr="00FF386D" w:rsidRDefault="00F916F7" w:rsidP="00F916F7">
            <w:pPr>
              <w:spacing w:before="120" w:after="120" w:line="240" w:lineRule="auto"/>
              <w:jc w:val="both"/>
              <w:rPr>
                <w:rFonts w:asciiTheme="majorHAnsi" w:eastAsia="Times New Roman" w:hAnsiTheme="majorHAnsi" w:cstheme="majorHAnsi"/>
                <w:b/>
                <w:bCs/>
                <w:sz w:val="20"/>
                <w:szCs w:val="20"/>
                <w:lang w:eastAsia="el-GR"/>
              </w:rPr>
            </w:pPr>
            <w:r w:rsidRPr="00FF386D">
              <w:rPr>
                <w:rFonts w:asciiTheme="majorHAnsi" w:eastAsia="Times New Roman" w:hAnsiTheme="majorHAnsi" w:cstheme="majorHAnsi"/>
                <w:b/>
                <w:bCs/>
                <w:sz w:val="20"/>
                <w:szCs w:val="20"/>
                <w:lang w:eastAsia="el-GR"/>
              </w:rPr>
              <w:t>Трошкови имплементације</w:t>
            </w:r>
          </w:p>
        </w:tc>
        <w:tc>
          <w:tcPr>
            <w:tcW w:w="6074" w:type="dxa"/>
            <w:gridSpan w:val="3"/>
            <w:tcBorders>
              <w:top w:val="single" w:sz="8" w:space="0" w:color="auto"/>
              <w:left w:val="nil"/>
              <w:bottom w:val="single" w:sz="8" w:space="0" w:color="auto"/>
              <w:right w:val="single" w:sz="8" w:space="0" w:color="000000"/>
            </w:tcBorders>
            <w:vAlign w:val="center"/>
          </w:tcPr>
          <w:p w14:paraId="7367AEC5" w14:textId="1F2A1C30" w:rsidR="00F916F7" w:rsidRPr="00FF386D" w:rsidRDefault="002979ED" w:rsidP="00F916F7">
            <w:pPr>
              <w:spacing w:before="120" w:after="12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1,3 милијарде</w:t>
            </w:r>
            <w:r w:rsidR="00F916F7" w:rsidRPr="00FF386D">
              <w:rPr>
                <w:rFonts w:asciiTheme="majorHAnsi" w:eastAsia="Times New Roman" w:hAnsiTheme="majorHAnsi" w:cstheme="majorHAnsi"/>
                <w:sz w:val="20"/>
                <w:szCs w:val="20"/>
                <w:lang w:eastAsia="el-GR"/>
              </w:rPr>
              <w:t xml:space="preserve"> евра</w:t>
            </w:r>
          </w:p>
        </w:tc>
      </w:tr>
      <w:tr w:rsidR="00F916F7" w:rsidRPr="00FF386D" w14:paraId="3A17D0E9" w14:textId="77777777" w:rsidTr="002979ED">
        <w:trPr>
          <w:trHeight w:val="315"/>
        </w:trPr>
        <w:tc>
          <w:tcPr>
            <w:tcW w:w="3414" w:type="dxa"/>
            <w:tcBorders>
              <w:top w:val="nil"/>
              <w:left w:val="single" w:sz="8" w:space="0" w:color="auto"/>
              <w:bottom w:val="single" w:sz="8" w:space="0" w:color="auto"/>
              <w:right w:val="single" w:sz="8" w:space="0" w:color="auto"/>
            </w:tcBorders>
            <w:shd w:val="clear" w:color="000000" w:fill="244062"/>
            <w:vAlign w:val="center"/>
          </w:tcPr>
          <w:p w14:paraId="42D0CAF8" w14:textId="61F3AB26" w:rsidR="00F916F7" w:rsidRPr="00FF386D" w:rsidRDefault="00037A71" w:rsidP="00F916F7">
            <w:pPr>
              <w:spacing w:before="120" w:after="120" w:line="240" w:lineRule="auto"/>
              <w:jc w:val="both"/>
              <w:rPr>
                <w:rFonts w:asciiTheme="majorHAnsi" w:eastAsia="Times New Roman" w:hAnsiTheme="majorHAnsi" w:cstheme="majorHAnsi"/>
                <w:b/>
                <w:bCs/>
                <w:sz w:val="20"/>
                <w:szCs w:val="20"/>
                <w:lang w:eastAsia="el-GR"/>
              </w:rPr>
            </w:pPr>
            <w:r w:rsidRPr="00037A71">
              <w:rPr>
                <w:rFonts w:asciiTheme="majorHAnsi" w:eastAsia="Times New Roman" w:hAnsiTheme="majorHAnsi" w:cstheme="majorHAnsi"/>
                <w:b/>
                <w:bCs/>
                <w:sz w:val="20"/>
                <w:szCs w:val="20"/>
                <w:lang w:eastAsia="el-GR"/>
              </w:rPr>
              <w:t>Извор(и) финансирања</w:t>
            </w:r>
          </w:p>
        </w:tc>
        <w:tc>
          <w:tcPr>
            <w:tcW w:w="6074" w:type="dxa"/>
            <w:gridSpan w:val="3"/>
            <w:tcBorders>
              <w:top w:val="single" w:sz="8" w:space="0" w:color="auto"/>
              <w:left w:val="nil"/>
              <w:bottom w:val="single" w:sz="8" w:space="0" w:color="auto"/>
              <w:right w:val="single" w:sz="8" w:space="0" w:color="000000"/>
            </w:tcBorders>
            <w:vAlign w:val="center"/>
          </w:tcPr>
          <w:p w14:paraId="5F07676E" w14:textId="128B4611" w:rsidR="00F916F7" w:rsidRPr="00FF386D" w:rsidRDefault="002979ED" w:rsidP="00F916F7">
            <w:pPr>
              <w:spacing w:before="120" w:after="120" w:line="240" w:lineRule="auto"/>
              <w:jc w:val="both"/>
              <w:rPr>
                <w:rFonts w:asciiTheme="majorHAnsi" w:eastAsia="Times New Roman" w:hAnsiTheme="majorHAnsi" w:cstheme="majorHAnsi"/>
                <w:sz w:val="20"/>
                <w:szCs w:val="20"/>
                <w:lang w:eastAsia="el-GR"/>
              </w:rPr>
            </w:pPr>
            <w:r w:rsidRPr="00FF386D">
              <w:rPr>
                <w:rFonts w:asciiTheme="majorHAnsi" w:eastAsia="Times New Roman" w:hAnsiTheme="majorHAnsi" w:cstheme="majorHAnsi"/>
                <w:sz w:val="20"/>
                <w:szCs w:val="20"/>
                <w:lang w:eastAsia="el-GR"/>
              </w:rPr>
              <w:t>Сопствена средстава</w:t>
            </w:r>
          </w:p>
        </w:tc>
      </w:tr>
    </w:tbl>
    <w:p w14:paraId="0B9353CA" w14:textId="7810E538" w:rsidR="00854ADA" w:rsidRPr="00FF386D" w:rsidRDefault="00854ADA" w:rsidP="00854ADA">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Осим мера наведених у претходним табелама, и </w:t>
      </w:r>
      <w:r w:rsidR="006661C4" w:rsidRPr="00FF386D">
        <w:rPr>
          <w:rFonts w:asciiTheme="majorHAnsi" w:eastAsia="Times New Roman" w:hAnsiTheme="majorHAnsi" w:cstheme="majorHAnsi"/>
          <w:lang w:eastAsia="el-GR"/>
        </w:rPr>
        <w:t xml:space="preserve">следеће </w:t>
      </w:r>
      <w:r w:rsidRPr="00FF386D">
        <w:rPr>
          <w:rFonts w:asciiTheme="majorHAnsi" w:eastAsia="Times New Roman" w:hAnsiTheme="majorHAnsi" w:cstheme="majorHAnsi"/>
          <w:lang w:eastAsia="el-GR"/>
        </w:rPr>
        <w:t xml:space="preserve">мере обухваћене у осталим димензијама </w:t>
      </w:r>
      <w:r w:rsidR="006661C4" w:rsidRPr="00FF386D">
        <w:rPr>
          <w:rFonts w:asciiTheme="majorHAnsi" w:eastAsia="Times New Roman" w:hAnsiTheme="majorHAnsi" w:cstheme="majorHAnsi"/>
          <w:lang w:eastAsia="el-GR"/>
        </w:rPr>
        <w:t xml:space="preserve">такође </w:t>
      </w:r>
      <w:r w:rsidRPr="00FF386D">
        <w:rPr>
          <w:rFonts w:asciiTheme="majorHAnsi" w:eastAsia="Times New Roman" w:hAnsiTheme="majorHAnsi" w:cstheme="majorHAnsi"/>
          <w:lang w:eastAsia="el-GR"/>
        </w:rPr>
        <w:t xml:space="preserve">утичу на </w:t>
      </w:r>
      <w:r w:rsidR="006661C4" w:rsidRPr="00FF386D">
        <w:rPr>
          <w:rFonts w:asciiTheme="majorHAnsi" w:eastAsia="Times New Roman" w:hAnsiTheme="majorHAnsi" w:cstheme="majorHAnsi"/>
          <w:lang w:eastAsia="el-GR"/>
        </w:rPr>
        <w:t xml:space="preserve">димензију </w:t>
      </w:r>
      <w:r w:rsidRPr="00FF386D">
        <w:rPr>
          <w:rFonts w:asciiTheme="majorHAnsi" w:eastAsia="Times New Roman" w:hAnsiTheme="majorHAnsi" w:cstheme="majorHAnsi"/>
          <w:lang w:eastAsia="el-GR"/>
        </w:rPr>
        <w:t>енергетск</w:t>
      </w:r>
      <w:r w:rsidR="006661C4" w:rsidRPr="00FF386D">
        <w:rPr>
          <w:rFonts w:asciiTheme="majorHAnsi" w:eastAsia="Times New Roman" w:hAnsiTheme="majorHAnsi" w:cstheme="majorHAnsi"/>
          <w:lang w:eastAsia="el-GR"/>
        </w:rPr>
        <w:t>е</w:t>
      </w:r>
      <w:r w:rsidRPr="00FF386D">
        <w:rPr>
          <w:rFonts w:asciiTheme="majorHAnsi" w:eastAsia="Times New Roman" w:hAnsiTheme="majorHAnsi" w:cstheme="majorHAnsi"/>
          <w:lang w:eastAsia="el-GR"/>
        </w:rPr>
        <w:t xml:space="preserve"> сигурност</w:t>
      </w:r>
      <w:r w:rsidR="006661C4" w:rsidRPr="00FF386D">
        <w:rPr>
          <w:rFonts w:asciiTheme="majorHAnsi" w:eastAsia="Times New Roman" w:hAnsiTheme="majorHAnsi" w:cstheme="majorHAnsi"/>
          <w:lang w:eastAsia="el-GR"/>
        </w:rPr>
        <w:t>и</w:t>
      </w:r>
      <w:r w:rsidRPr="00FF386D">
        <w:rPr>
          <w:rFonts w:asciiTheme="majorHAnsi" w:eastAsia="Times New Roman" w:hAnsiTheme="majorHAnsi" w:cstheme="majorHAnsi"/>
          <w:lang w:eastAsia="el-GR"/>
        </w:rPr>
        <w:t xml:space="preserve"> и доприносе постизању њених циљева,</w:t>
      </w:r>
      <w:r w:rsidR="007B356D">
        <w:rPr>
          <w:rFonts w:asciiTheme="majorHAnsi" w:eastAsia="Times New Roman" w:hAnsiTheme="majorHAnsi" w:cstheme="majorHAnsi"/>
          <w:lang w:eastAsia="el-GR"/>
        </w:rPr>
        <w:t xml:space="preserve"> </w:t>
      </w:r>
      <w:r w:rsidRPr="00FF386D">
        <w:rPr>
          <w:rFonts w:asciiTheme="majorHAnsi" w:eastAsia="Times New Roman" w:hAnsiTheme="majorHAnsi" w:cstheme="majorHAnsi"/>
          <w:lang w:eastAsia="el-GR"/>
        </w:rPr>
        <w:t>а то су:</w:t>
      </w:r>
    </w:p>
    <w:p w14:paraId="2E0221F5" w14:textId="0BF1812A" w:rsidR="00854ADA" w:rsidRPr="00FF386D" w:rsidRDefault="00854ADA" w:rsidP="00854ADA">
      <w:pPr>
        <w:numPr>
          <w:ilvl w:val="0"/>
          <w:numId w:val="5"/>
        </w:num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Димензија унутрашње енергетско тржиште: </w:t>
      </w:r>
      <w:r w:rsidRPr="00FF386D">
        <w:rPr>
          <w:rFonts w:asciiTheme="majorHAnsi" w:eastAsia="Times New Roman" w:hAnsiTheme="majorHAnsi" w:cstheme="majorHAnsi"/>
          <w:b/>
          <w:bCs/>
          <w:lang w:eastAsia="el-GR"/>
        </w:rPr>
        <w:t>MП_</w:t>
      </w:r>
      <w:r w:rsidR="00EB458D" w:rsidRPr="00FF386D">
        <w:rPr>
          <w:rFonts w:asciiTheme="majorHAnsi" w:eastAsia="Times New Roman" w:hAnsiTheme="majorHAnsi" w:cstheme="majorHAnsi"/>
          <w:b/>
          <w:bCs/>
          <w:lang w:eastAsia="el-GR"/>
        </w:rPr>
        <w:t>УЕТ</w:t>
      </w:r>
      <w:r w:rsidR="00EB458D">
        <w:rPr>
          <w:rFonts w:asciiTheme="majorHAnsi" w:eastAsia="Times New Roman" w:hAnsiTheme="majorHAnsi" w:cstheme="majorHAnsi"/>
          <w:b/>
          <w:bCs/>
          <w:lang w:val="en-US" w:eastAsia="el-GR"/>
        </w:rPr>
        <w:t>2</w:t>
      </w:r>
      <w:r w:rsidR="00EB458D" w:rsidRPr="00FF386D">
        <w:rPr>
          <w:rFonts w:asciiTheme="majorHAnsi" w:eastAsia="Times New Roman" w:hAnsiTheme="majorHAnsi" w:cstheme="majorHAnsi"/>
          <w:b/>
          <w:bCs/>
          <w:lang w:eastAsia="el-GR"/>
        </w:rPr>
        <w:t xml:space="preserve"> </w:t>
      </w:r>
      <w:r w:rsidRPr="00FF386D">
        <w:rPr>
          <w:rFonts w:asciiTheme="majorHAnsi" w:eastAsia="Times New Roman" w:hAnsiTheme="majorHAnsi" w:cstheme="majorHAnsi"/>
          <w:b/>
          <w:bCs/>
          <w:lang w:eastAsia="el-GR"/>
        </w:rPr>
        <w:t>- MП_</w:t>
      </w:r>
      <w:r w:rsidR="00A31AB4" w:rsidRPr="00FF386D">
        <w:rPr>
          <w:rFonts w:asciiTheme="majorHAnsi" w:eastAsia="Times New Roman" w:hAnsiTheme="majorHAnsi" w:cstheme="majorHAnsi"/>
          <w:b/>
          <w:bCs/>
          <w:lang w:eastAsia="el-GR"/>
        </w:rPr>
        <w:t>УЕТ</w:t>
      </w:r>
      <w:r w:rsidRPr="00FF386D">
        <w:rPr>
          <w:rFonts w:asciiTheme="majorHAnsi" w:eastAsia="Times New Roman" w:hAnsiTheme="majorHAnsi" w:cstheme="majorHAnsi"/>
          <w:b/>
          <w:bCs/>
          <w:lang w:eastAsia="el-GR"/>
        </w:rPr>
        <w:t>7, MП_</w:t>
      </w:r>
      <w:r w:rsidR="00A31AB4" w:rsidRPr="00FF386D">
        <w:rPr>
          <w:rFonts w:asciiTheme="majorHAnsi" w:eastAsia="Times New Roman" w:hAnsiTheme="majorHAnsi" w:cstheme="majorHAnsi"/>
          <w:b/>
          <w:bCs/>
          <w:lang w:eastAsia="el-GR"/>
        </w:rPr>
        <w:t>УЕТ</w:t>
      </w:r>
      <w:r w:rsidRPr="00FF386D">
        <w:rPr>
          <w:rFonts w:asciiTheme="majorHAnsi" w:eastAsia="Times New Roman" w:hAnsiTheme="majorHAnsi" w:cstheme="majorHAnsi"/>
          <w:b/>
          <w:bCs/>
          <w:lang w:eastAsia="el-GR"/>
        </w:rPr>
        <w:t>8 (MП_</w:t>
      </w:r>
      <w:r w:rsidR="00A31AB4" w:rsidRPr="00FF386D">
        <w:rPr>
          <w:rFonts w:asciiTheme="majorHAnsi" w:eastAsia="Times New Roman" w:hAnsiTheme="majorHAnsi" w:cstheme="majorHAnsi"/>
          <w:b/>
          <w:bCs/>
          <w:lang w:eastAsia="el-GR"/>
        </w:rPr>
        <w:t>УЕТ</w:t>
      </w:r>
      <w:r w:rsidRPr="00FF386D">
        <w:rPr>
          <w:rFonts w:asciiTheme="majorHAnsi" w:eastAsia="Times New Roman" w:hAnsiTheme="majorHAnsi" w:cstheme="majorHAnsi"/>
          <w:b/>
          <w:bCs/>
          <w:lang w:eastAsia="el-GR"/>
        </w:rPr>
        <w:t>8.1 –MП_</w:t>
      </w:r>
      <w:r w:rsidR="00A31AB4" w:rsidRPr="00FF386D">
        <w:rPr>
          <w:rFonts w:asciiTheme="majorHAnsi" w:eastAsia="Times New Roman" w:hAnsiTheme="majorHAnsi" w:cstheme="majorHAnsi"/>
          <w:b/>
          <w:bCs/>
          <w:lang w:eastAsia="el-GR"/>
        </w:rPr>
        <w:t>УЕТ</w:t>
      </w:r>
      <w:r w:rsidRPr="00FF386D">
        <w:rPr>
          <w:rFonts w:asciiTheme="majorHAnsi" w:eastAsia="Times New Roman" w:hAnsiTheme="majorHAnsi" w:cstheme="majorHAnsi"/>
          <w:b/>
          <w:bCs/>
          <w:lang w:eastAsia="el-GR"/>
        </w:rPr>
        <w:t>8.8)</w:t>
      </w:r>
      <w:r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b/>
          <w:bCs/>
          <w:lang w:eastAsia="el-GR"/>
        </w:rPr>
        <w:t>MП_</w:t>
      </w:r>
      <w:r w:rsidR="00A31AB4" w:rsidRPr="00FF386D">
        <w:rPr>
          <w:rFonts w:asciiTheme="majorHAnsi" w:eastAsia="Times New Roman" w:hAnsiTheme="majorHAnsi" w:cstheme="majorHAnsi"/>
          <w:b/>
          <w:bCs/>
          <w:lang w:eastAsia="el-GR"/>
        </w:rPr>
        <w:t>УЕТ</w:t>
      </w:r>
      <w:r w:rsidRPr="00FF386D">
        <w:rPr>
          <w:rFonts w:asciiTheme="majorHAnsi" w:eastAsia="Times New Roman" w:hAnsiTheme="majorHAnsi" w:cstheme="majorHAnsi"/>
          <w:b/>
          <w:bCs/>
          <w:lang w:eastAsia="el-GR"/>
        </w:rPr>
        <w:t>9 - MП_</w:t>
      </w:r>
      <w:r w:rsidR="00A31AB4" w:rsidRPr="00FF386D">
        <w:rPr>
          <w:rFonts w:asciiTheme="majorHAnsi" w:eastAsia="Times New Roman" w:hAnsiTheme="majorHAnsi" w:cstheme="majorHAnsi"/>
          <w:b/>
          <w:bCs/>
          <w:lang w:eastAsia="el-GR"/>
        </w:rPr>
        <w:t>УЕТ</w:t>
      </w:r>
      <w:r w:rsidRPr="00FF386D">
        <w:rPr>
          <w:rFonts w:asciiTheme="majorHAnsi" w:eastAsia="Times New Roman" w:hAnsiTheme="majorHAnsi" w:cstheme="majorHAnsi"/>
          <w:b/>
          <w:bCs/>
          <w:lang w:eastAsia="el-GR"/>
        </w:rPr>
        <w:t>14</w:t>
      </w:r>
      <w:r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b/>
          <w:bCs/>
          <w:lang w:eastAsia="el-GR"/>
        </w:rPr>
        <w:t>MП_</w:t>
      </w:r>
      <w:r w:rsidR="00A31AB4" w:rsidRPr="00FF386D">
        <w:rPr>
          <w:rFonts w:asciiTheme="majorHAnsi" w:eastAsia="Times New Roman" w:hAnsiTheme="majorHAnsi" w:cstheme="majorHAnsi"/>
          <w:b/>
          <w:bCs/>
          <w:lang w:eastAsia="el-GR"/>
        </w:rPr>
        <w:t>УЕТ</w:t>
      </w:r>
      <w:r w:rsidRPr="00FF386D">
        <w:rPr>
          <w:rFonts w:asciiTheme="majorHAnsi" w:eastAsia="Times New Roman" w:hAnsiTheme="majorHAnsi" w:cstheme="majorHAnsi"/>
          <w:b/>
          <w:bCs/>
          <w:lang w:eastAsia="el-GR"/>
        </w:rPr>
        <w:t>16</w:t>
      </w:r>
      <w:r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b/>
          <w:bCs/>
          <w:lang w:eastAsia="el-GR"/>
        </w:rPr>
        <w:t>MП_</w:t>
      </w:r>
      <w:r w:rsidR="00A31AB4" w:rsidRPr="00FF386D">
        <w:rPr>
          <w:rFonts w:asciiTheme="majorHAnsi" w:eastAsia="Times New Roman" w:hAnsiTheme="majorHAnsi" w:cstheme="majorHAnsi"/>
          <w:b/>
          <w:bCs/>
          <w:lang w:eastAsia="el-GR"/>
        </w:rPr>
        <w:t>УЕТ</w:t>
      </w:r>
      <w:r w:rsidRPr="00FF386D">
        <w:rPr>
          <w:rFonts w:asciiTheme="majorHAnsi" w:eastAsia="Times New Roman" w:hAnsiTheme="majorHAnsi" w:cstheme="majorHAnsi"/>
          <w:b/>
          <w:bCs/>
          <w:lang w:eastAsia="el-GR"/>
        </w:rPr>
        <w:t>18</w:t>
      </w:r>
      <w:r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b/>
          <w:bCs/>
          <w:lang w:eastAsia="el-GR"/>
        </w:rPr>
        <w:t>MП_</w:t>
      </w:r>
      <w:r w:rsidR="00A31AB4" w:rsidRPr="00FF386D">
        <w:rPr>
          <w:rFonts w:asciiTheme="majorHAnsi" w:eastAsia="Times New Roman" w:hAnsiTheme="majorHAnsi" w:cstheme="majorHAnsi"/>
          <w:b/>
          <w:bCs/>
          <w:lang w:eastAsia="el-GR"/>
        </w:rPr>
        <w:t>УЕТ</w:t>
      </w:r>
      <w:r w:rsidRPr="00FF386D">
        <w:rPr>
          <w:rFonts w:asciiTheme="majorHAnsi" w:eastAsia="Times New Roman" w:hAnsiTheme="majorHAnsi" w:cstheme="majorHAnsi"/>
          <w:b/>
          <w:bCs/>
          <w:lang w:eastAsia="el-GR"/>
        </w:rPr>
        <w:t>20, MП_</w:t>
      </w:r>
      <w:r w:rsidR="00A31AB4" w:rsidRPr="00FF386D">
        <w:rPr>
          <w:rFonts w:asciiTheme="majorHAnsi" w:eastAsia="Times New Roman" w:hAnsiTheme="majorHAnsi" w:cstheme="majorHAnsi"/>
          <w:b/>
          <w:bCs/>
          <w:lang w:eastAsia="el-GR"/>
        </w:rPr>
        <w:t>УЕТ</w:t>
      </w:r>
      <w:r w:rsidRPr="00FF386D">
        <w:rPr>
          <w:rFonts w:asciiTheme="majorHAnsi" w:eastAsia="Times New Roman" w:hAnsiTheme="majorHAnsi" w:cstheme="majorHAnsi"/>
          <w:b/>
          <w:bCs/>
          <w:lang w:eastAsia="el-GR"/>
        </w:rPr>
        <w:t>21, MП_</w:t>
      </w:r>
      <w:r w:rsidR="00E211C2" w:rsidRPr="00FF386D">
        <w:rPr>
          <w:rFonts w:asciiTheme="majorHAnsi" w:eastAsia="Times New Roman" w:hAnsiTheme="majorHAnsi" w:cstheme="majorHAnsi"/>
          <w:b/>
          <w:bCs/>
          <w:lang w:eastAsia="el-GR"/>
        </w:rPr>
        <w:t>УЕТ3</w:t>
      </w:r>
      <w:r w:rsidR="00E211C2">
        <w:rPr>
          <w:rFonts w:asciiTheme="majorHAnsi" w:eastAsia="Times New Roman" w:hAnsiTheme="majorHAnsi" w:cstheme="majorHAnsi"/>
          <w:b/>
          <w:bCs/>
          <w:lang w:eastAsia="el-GR"/>
        </w:rPr>
        <w:t>1</w:t>
      </w:r>
      <w:r w:rsidR="00E211C2" w:rsidRPr="00FF386D">
        <w:rPr>
          <w:rFonts w:asciiTheme="majorHAnsi" w:eastAsia="Times New Roman" w:hAnsiTheme="majorHAnsi" w:cstheme="majorHAnsi"/>
          <w:b/>
          <w:bCs/>
          <w:lang w:eastAsia="el-GR"/>
        </w:rPr>
        <w:t xml:space="preserve"> </w:t>
      </w:r>
      <w:r w:rsidRPr="00FF386D">
        <w:rPr>
          <w:rFonts w:asciiTheme="majorHAnsi" w:eastAsia="Times New Roman" w:hAnsiTheme="majorHAnsi" w:cstheme="majorHAnsi"/>
          <w:lang w:eastAsia="el-GR"/>
        </w:rPr>
        <w:t xml:space="preserve">и </w:t>
      </w:r>
      <w:r w:rsidRPr="00FF386D">
        <w:rPr>
          <w:rFonts w:asciiTheme="majorHAnsi" w:eastAsia="Times New Roman" w:hAnsiTheme="majorHAnsi" w:cstheme="majorHAnsi"/>
          <w:b/>
          <w:bCs/>
          <w:lang w:eastAsia="el-GR"/>
        </w:rPr>
        <w:t>MП_</w:t>
      </w:r>
      <w:r w:rsidR="00E211C2" w:rsidRPr="00FF386D">
        <w:rPr>
          <w:rFonts w:asciiTheme="majorHAnsi" w:eastAsia="Times New Roman" w:hAnsiTheme="majorHAnsi" w:cstheme="majorHAnsi"/>
          <w:b/>
          <w:bCs/>
          <w:lang w:eastAsia="el-GR"/>
        </w:rPr>
        <w:t>УЕТ3</w:t>
      </w:r>
      <w:r w:rsidR="00E211C2">
        <w:rPr>
          <w:rFonts w:asciiTheme="majorHAnsi" w:eastAsia="Times New Roman" w:hAnsiTheme="majorHAnsi" w:cstheme="majorHAnsi"/>
          <w:b/>
          <w:bCs/>
          <w:lang w:eastAsia="el-GR"/>
        </w:rPr>
        <w:t>2</w:t>
      </w:r>
    </w:p>
    <w:p w14:paraId="22DD88FA" w14:textId="77777777" w:rsidR="00854ADA" w:rsidRPr="00FF386D" w:rsidRDefault="00854ADA" w:rsidP="00854ADA">
      <w:pPr>
        <w:numPr>
          <w:ilvl w:val="0"/>
          <w:numId w:val="5"/>
        </w:num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Димензија истраживање, иновације и конкурентност: </w:t>
      </w:r>
      <w:r w:rsidRPr="00FF386D">
        <w:rPr>
          <w:rFonts w:asciiTheme="majorHAnsi" w:eastAsia="Times New Roman" w:hAnsiTheme="majorHAnsi" w:cstheme="majorHAnsi"/>
          <w:b/>
          <w:bCs/>
          <w:lang w:eastAsia="el-GR"/>
        </w:rPr>
        <w:t>MП_ИИК10 – MП_ИИК14</w:t>
      </w:r>
    </w:p>
    <w:p w14:paraId="53C88093" w14:textId="76DADBEF" w:rsidR="00854ADA" w:rsidRPr="00565B02" w:rsidRDefault="00854ADA" w:rsidP="00B1080B">
      <w:pPr>
        <w:pStyle w:val="Heading2"/>
        <w:rPr>
          <w:lang w:val="sr-Cyrl-RS"/>
        </w:rPr>
      </w:pPr>
      <w:bookmarkStart w:id="128" w:name="_Toc153901545"/>
      <w:bookmarkStart w:id="129" w:name="_Toc115351872"/>
      <w:bookmarkStart w:id="130" w:name="_Toc137457026"/>
      <w:bookmarkStart w:id="131" w:name="_Toc153901546"/>
      <w:bookmarkEnd w:id="128"/>
      <w:r w:rsidRPr="00565B02">
        <w:rPr>
          <w:lang w:val="sr-Cyrl-RS"/>
        </w:rPr>
        <w:t xml:space="preserve">Димензија унутрашње </w:t>
      </w:r>
      <w:r w:rsidR="00A31AB4" w:rsidRPr="00565B02">
        <w:rPr>
          <w:lang w:val="sr-Cyrl-RS"/>
        </w:rPr>
        <w:t xml:space="preserve">енергетско </w:t>
      </w:r>
      <w:r w:rsidRPr="00565B02">
        <w:rPr>
          <w:lang w:val="sr-Cyrl-RS"/>
        </w:rPr>
        <w:t>тржиште</w:t>
      </w:r>
      <w:bookmarkEnd w:id="129"/>
      <w:bookmarkEnd w:id="130"/>
      <w:bookmarkEnd w:id="131"/>
    </w:p>
    <w:p w14:paraId="4DF963A3" w14:textId="77777777" w:rsidR="00854ADA" w:rsidRPr="00565B02" w:rsidRDefault="00854ADA" w:rsidP="00B1080B">
      <w:pPr>
        <w:pStyle w:val="Heading3"/>
        <w:rPr>
          <w:lang w:val="sr-Cyrl-RS"/>
        </w:rPr>
      </w:pPr>
      <w:r w:rsidRPr="00565B02">
        <w:rPr>
          <w:lang w:val="sr-Cyrl-RS"/>
        </w:rPr>
        <w:t>Интерконективност у сектору електроенергетике</w:t>
      </w:r>
    </w:p>
    <w:tbl>
      <w:tblPr>
        <w:tblW w:w="9488" w:type="dxa"/>
        <w:tblLook w:val="04A0" w:firstRow="1" w:lastRow="0" w:firstColumn="1" w:lastColumn="0" w:noHBand="0" w:noVBand="1"/>
      </w:tblPr>
      <w:tblGrid>
        <w:gridCol w:w="3290"/>
        <w:gridCol w:w="1106"/>
        <w:gridCol w:w="934"/>
        <w:gridCol w:w="4158"/>
      </w:tblGrid>
      <w:tr w:rsidR="00854ADA" w:rsidRPr="00FF386D" w14:paraId="01D16ACF" w14:textId="77777777" w:rsidTr="0057310C">
        <w:trPr>
          <w:trHeight w:val="780"/>
        </w:trPr>
        <w:tc>
          <w:tcPr>
            <w:tcW w:w="3290"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4F7181BA" w14:textId="78C0D557"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 xml:space="preserve">: </w:t>
            </w:r>
          </w:p>
        </w:tc>
        <w:tc>
          <w:tcPr>
            <w:tcW w:w="1106" w:type="dxa"/>
            <w:tcBorders>
              <w:top w:val="single" w:sz="8" w:space="0" w:color="auto"/>
              <w:left w:val="nil"/>
              <w:bottom w:val="single" w:sz="8" w:space="0" w:color="auto"/>
              <w:right w:val="single" w:sz="8" w:space="0" w:color="auto"/>
            </w:tcBorders>
            <w:shd w:val="clear" w:color="auto" w:fill="E7E6E6" w:themeFill="background2"/>
            <w:vAlign w:val="center"/>
            <w:hideMark/>
          </w:tcPr>
          <w:p w14:paraId="508A931D" w14:textId="4771CB6B"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МП_УЕ</w:t>
            </w:r>
            <w:r w:rsidR="006661C4" w:rsidRPr="00FF386D">
              <w:rPr>
                <w:rFonts w:ascii="Calibri Light" w:hAnsi="Calibri Light"/>
                <w:b/>
                <w:sz w:val="20"/>
              </w:rPr>
              <w:t>Т</w:t>
            </w:r>
            <w:r w:rsidRPr="00FF386D">
              <w:rPr>
                <w:rFonts w:ascii="Calibri Light" w:hAnsi="Calibri Light"/>
                <w:b/>
                <w:sz w:val="20"/>
              </w:rPr>
              <w:t>2</w:t>
            </w:r>
          </w:p>
        </w:tc>
        <w:tc>
          <w:tcPr>
            <w:tcW w:w="934" w:type="dxa"/>
            <w:tcBorders>
              <w:top w:val="single" w:sz="8" w:space="0" w:color="auto"/>
              <w:left w:val="nil"/>
              <w:bottom w:val="single" w:sz="8" w:space="0" w:color="auto"/>
              <w:right w:val="single" w:sz="8" w:space="0" w:color="auto"/>
            </w:tcBorders>
            <w:shd w:val="clear" w:color="auto" w:fill="244062"/>
            <w:vAlign w:val="center"/>
            <w:hideMark/>
          </w:tcPr>
          <w:p w14:paraId="6F3A9181" w14:textId="77777777" w:rsidR="00854ADA" w:rsidRPr="00FF386D" w:rsidRDefault="00854ADA" w:rsidP="00854ADA">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Назив</w:t>
            </w:r>
            <w:r w:rsidRPr="000A2AFE">
              <w:rPr>
                <w:rFonts w:asciiTheme="majorHAnsi" w:eastAsia="Times New Roman" w:hAnsiTheme="majorHAnsi" w:cstheme="majorHAnsi"/>
                <w:b/>
                <w:bCs/>
                <w:color w:val="FFFFFF"/>
                <w:sz w:val="20"/>
                <w:szCs w:val="20"/>
                <w:lang w:eastAsia="en-GB"/>
              </w:rPr>
              <w:t xml:space="preserve">: </w:t>
            </w:r>
          </w:p>
        </w:tc>
        <w:tc>
          <w:tcPr>
            <w:tcW w:w="4158" w:type="dxa"/>
            <w:tcBorders>
              <w:top w:val="single" w:sz="8" w:space="0" w:color="auto"/>
              <w:left w:val="nil"/>
              <w:bottom w:val="single" w:sz="8" w:space="0" w:color="auto"/>
              <w:right w:val="single" w:sz="8" w:space="0" w:color="auto"/>
            </w:tcBorders>
            <w:shd w:val="clear" w:color="auto" w:fill="E7E6E6" w:themeFill="background2"/>
            <w:vAlign w:val="center"/>
            <w:hideMark/>
          </w:tcPr>
          <w:p w14:paraId="34ECF721" w14:textId="77777777"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Имплементација Трансбалканског коридора: ДВ Обреновац (РС) – Бајина Башта (РС)</w:t>
            </w:r>
          </w:p>
        </w:tc>
      </w:tr>
      <w:tr w:rsidR="00854ADA" w:rsidRPr="00FF386D" w14:paraId="4FD968E9" w14:textId="77777777" w:rsidTr="0057310C">
        <w:trPr>
          <w:trHeight w:val="960"/>
        </w:trPr>
        <w:tc>
          <w:tcPr>
            <w:tcW w:w="3290" w:type="dxa"/>
            <w:tcBorders>
              <w:top w:val="nil"/>
              <w:left w:val="single" w:sz="8" w:space="0" w:color="auto"/>
              <w:bottom w:val="single" w:sz="8" w:space="0" w:color="auto"/>
              <w:right w:val="nil"/>
            </w:tcBorders>
            <w:shd w:val="clear" w:color="000000" w:fill="244062"/>
            <w:vAlign w:val="center"/>
            <w:hideMark/>
          </w:tcPr>
          <w:p w14:paraId="59FB350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198" w:type="dxa"/>
            <w:gridSpan w:val="3"/>
            <w:tcBorders>
              <w:top w:val="single" w:sz="8" w:space="0" w:color="auto"/>
              <w:left w:val="nil"/>
              <w:bottom w:val="single" w:sz="8" w:space="0" w:color="auto"/>
              <w:right w:val="single" w:sz="8" w:space="0" w:color="000000"/>
            </w:tcBorders>
            <w:vAlign w:val="center"/>
          </w:tcPr>
          <w:p w14:paraId="152F3A39" w14:textId="291A3DB9"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Одржавање и постизање циља интерконективности, планирање и спровођење пројеката преносне инфраструктуре у области електричне енергије и гаса </w:t>
            </w:r>
            <w:r w:rsidR="00E211C2">
              <w:rPr>
                <w:rFonts w:asciiTheme="majorHAnsi" w:eastAsia="Times New Roman" w:hAnsiTheme="majorHAnsi" w:cstheme="majorHAnsi"/>
                <w:color w:val="000000"/>
                <w:sz w:val="20"/>
                <w:szCs w:val="20"/>
                <w:lang w:eastAsia="en-GB"/>
              </w:rPr>
              <w:t>(</w:t>
            </w:r>
            <w:r w:rsidRPr="00FF386D">
              <w:rPr>
                <w:rFonts w:asciiTheme="majorHAnsi" w:eastAsia="Times New Roman" w:hAnsiTheme="majorHAnsi" w:cstheme="majorHAnsi"/>
                <w:color w:val="000000"/>
                <w:sz w:val="20"/>
                <w:szCs w:val="20"/>
                <w:lang w:eastAsia="en-GB"/>
              </w:rPr>
              <w:t>и где је то релевантно, пројеката модернизације</w:t>
            </w:r>
            <w:r w:rsidR="00E211C2">
              <w:rPr>
                <w:rFonts w:asciiTheme="majorHAnsi" w:eastAsia="Times New Roman" w:hAnsiTheme="majorHAnsi" w:cstheme="majorHAnsi"/>
                <w:color w:val="000000"/>
                <w:sz w:val="20"/>
                <w:szCs w:val="20"/>
                <w:lang w:eastAsia="en-GB"/>
              </w:rPr>
              <w:t>);</w:t>
            </w:r>
            <w:r w:rsidR="00E211C2" w:rsidRPr="00FF386D">
              <w:rPr>
                <w:rFonts w:asciiTheme="majorHAnsi" w:eastAsia="Times New Roman" w:hAnsiTheme="majorHAnsi" w:cstheme="majorHAnsi"/>
                <w:color w:val="000000"/>
                <w:sz w:val="20"/>
                <w:szCs w:val="20"/>
                <w:lang w:eastAsia="en-GB"/>
              </w:rPr>
              <w:t xml:space="preserve"> </w:t>
            </w:r>
            <w:r w:rsidR="00E211C2" w:rsidRPr="00E211C2">
              <w:rPr>
                <w:rFonts w:asciiTheme="majorHAnsi" w:eastAsia="Times New Roman" w:hAnsiTheme="majorHAnsi" w:cstheme="majorHAnsi"/>
                <w:color w:val="000000"/>
                <w:sz w:val="20"/>
                <w:szCs w:val="20"/>
                <w:lang w:eastAsia="en-GB"/>
              </w:rPr>
              <w:t>обезбеђивање поузданости напајања купаца</w:t>
            </w:r>
            <w:r w:rsidR="00E211C2">
              <w:rPr>
                <w:rFonts w:asciiTheme="majorHAnsi" w:eastAsia="Times New Roman" w:hAnsiTheme="majorHAnsi" w:cstheme="majorHAnsi"/>
                <w:color w:val="000000"/>
                <w:sz w:val="20"/>
                <w:szCs w:val="20"/>
                <w:lang w:eastAsia="en-GB"/>
              </w:rPr>
              <w:t xml:space="preserve">; </w:t>
            </w:r>
            <w:r w:rsidR="00E211C2" w:rsidRPr="00E211C2">
              <w:rPr>
                <w:rFonts w:asciiTheme="majorHAnsi" w:eastAsia="Times New Roman" w:hAnsiTheme="majorHAnsi" w:cstheme="majorHAnsi"/>
                <w:color w:val="000000"/>
                <w:sz w:val="20"/>
                <w:szCs w:val="20"/>
                <w:lang w:eastAsia="en-GB"/>
              </w:rPr>
              <w:t>стварање услова за даљи индустријски развој подручја на којима се пројекат налази;</w:t>
            </w:r>
            <w:r w:rsidR="00E211C2">
              <w:rPr>
                <w:rFonts w:asciiTheme="majorHAnsi" w:eastAsia="Times New Roman" w:hAnsiTheme="majorHAnsi" w:cstheme="majorHAnsi"/>
                <w:color w:val="000000"/>
                <w:sz w:val="20"/>
                <w:szCs w:val="20"/>
                <w:lang w:eastAsia="en-GB"/>
              </w:rPr>
              <w:t xml:space="preserve"> </w:t>
            </w:r>
            <w:r w:rsidR="00E211C2" w:rsidRPr="00E211C2">
              <w:rPr>
                <w:rFonts w:asciiTheme="majorHAnsi" w:eastAsia="Times New Roman" w:hAnsiTheme="majorHAnsi" w:cstheme="majorHAnsi"/>
                <w:color w:val="000000"/>
                <w:sz w:val="20"/>
                <w:szCs w:val="20"/>
                <w:lang w:eastAsia="en-GB"/>
              </w:rPr>
              <w:t>интеграција жељеног нивоа ОИЕ;</w:t>
            </w:r>
            <w:r w:rsidR="00E211C2">
              <w:rPr>
                <w:rFonts w:asciiTheme="majorHAnsi" w:eastAsia="Times New Roman" w:hAnsiTheme="majorHAnsi" w:cstheme="majorHAnsi"/>
                <w:color w:val="000000"/>
                <w:sz w:val="20"/>
                <w:szCs w:val="20"/>
                <w:lang w:eastAsia="en-GB"/>
              </w:rPr>
              <w:t xml:space="preserve"> </w:t>
            </w:r>
            <w:r w:rsidR="00E211C2" w:rsidRPr="00E211C2">
              <w:rPr>
                <w:rFonts w:asciiTheme="majorHAnsi" w:eastAsia="Times New Roman" w:hAnsiTheme="majorHAnsi" w:cstheme="majorHAnsi"/>
                <w:color w:val="000000"/>
                <w:sz w:val="20"/>
                <w:szCs w:val="20"/>
                <w:lang w:eastAsia="en-GB"/>
              </w:rPr>
              <w:t>обезбеђивање потребног нивоа флексибилности електроенергетског система;</w:t>
            </w:r>
            <w:r w:rsidR="00E211C2">
              <w:rPr>
                <w:rFonts w:asciiTheme="majorHAnsi" w:eastAsia="Times New Roman" w:hAnsiTheme="majorHAnsi" w:cstheme="majorHAnsi"/>
                <w:color w:val="000000"/>
                <w:sz w:val="20"/>
                <w:szCs w:val="20"/>
                <w:lang w:eastAsia="en-GB"/>
              </w:rPr>
              <w:t xml:space="preserve"> </w:t>
            </w:r>
            <w:r w:rsidRPr="00FF386D">
              <w:rPr>
                <w:rFonts w:asciiTheme="majorHAnsi" w:eastAsia="Times New Roman" w:hAnsiTheme="majorHAnsi" w:cstheme="majorHAnsi"/>
                <w:color w:val="000000"/>
                <w:sz w:val="20"/>
                <w:szCs w:val="20"/>
                <w:lang w:eastAsia="en-GB"/>
              </w:rPr>
              <w:t>који су потребни за постизање циљева и приоритета у оквиру пет димензија Енергетске уније.</w:t>
            </w:r>
          </w:p>
        </w:tc>
      </w:tr>
      <w:tr w:rsidR="00854ADA" w:rsidRPr="00FF386D" w14:paraId="372CE76F" w14:textId="77777777" w:rsidTr="0057310C">
        <w:trPr>
          <w:trHeight w:val="315"/>
        </w:trPr>
        <w:tc>
          <w:tcPr>
            <w:tcW w:w="3290" w:type="dxa"/>
            <w:tcBorders>
              <w:top w:val="nil"/>
              <w:left w:val="single" w:sz="8" w:space="0" w:color="auto"/>
              <w:bottom w:val="single" w:sz="8" w:space="0" w:color="auto"/>
              <w:right w:val="single" w:sz="8" w:space="0" w:color="auto"/>
            </w:tcBorders>
            <w:shd w:val="clear" w:color="000000" w:fill="244062"/>
            <w:vAlign w:val="center"/>
            <w:hideMark/>
          </w:tcPr>
          <w:p w14:paraId="629A821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Квантификовани циљ: </w:t>
            </w:r>
          </w:p>
        </w:tc>
        <w:tc>
          <w:tcPr>
            <w:tcW w:w="6198" w:type="dxa"/>
            <w:gridSpan w:val="3"/>
            <w:tcBorders>
              <w:top w:val="single" w:sz="8" w:space="0" w:color="auto"/>
              <w:left w:val="nil"/>
              <w:bottom w:val="single" w:sz="8" w:space="0" w:color="auto"/>
              <w:right w:val="single" w:sz="8" w:space="0" w:color="000000"/>
            </w:tcBorders>
            <w:vAlign w:val="center"/>
          </w:tcPr>
          <w:p w14:paraId="5C7CB4B2"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Испуњени циљеви у погледу интерконективности, предвиђени до 2030. године, критеријум сигурности </w:t>
            </w:r>
            <w:r w:rsidRPr="00FF386D">
              <w:rPr>
                <w:rFonts w:asciiTheme="majorHAnsi" w:eastAsia="Times New Roman" w:hAnsiTheme="majorHAnsi" w:cstheme="majorHAnsi"/>
                <w:i/>
                <w:iCs/>
                <w:color w:val="000000"/>
                <w:sz w:val="20"/>
                <w:szCs w:val="20"/>
                <w:lang w:eastAsia="en-GB"/>
              </w:rPr>
              <w:t>N-1</w:t>
            </w:r>
            <w:r w:rsidRPr="00FF386D">
              <w:rPr>
                <w:rFonts w:asciiTheme="majorHAnsi" w:eastAsia="Times New Roman" w:hAnsiTheme="majorHAnsi" w:cstheme="majorHAnsi"/>
                <w:color w:val="000000"/>
                <w:sz w:val="20"/>
                <w:szCs w:val="20"/>
                <w:lang w:eastAsia="en-GB"/>
              </w:rPr>
              <w:t xml:space="preserve">, други индикатори </w:t>
            </w:r>
            <w:r w:rsidRPr="00FF386D">
              <w:rPr>
                <w:rFonts w:asciiTheme="majorHAnsi" w:eastAsia="Times New Roman" w:hAnsiTheme="majorHAnsi" w:cstheme="majorHAnsi"/>
                <w:i/>
                <w:iCs/>
                <w:color w:val="000000"/>
                <w:sz w:val="20"/>
                <w:szCs w:val="20"/>
                <w:lang w:eastAsia="en-GB"/>
              </w:rPr>
              <w:t>CBA.</w:t>
            </w:r>
          </w:p>
        </w:tc>
      </w:tr>
      <w:tr w:rsidR="00854ADA" w:rsidRPr="00FF386D" w14:paraId="4E5CBFCE" w14:textId="77777777" w:rsidTr="0057310C">
        <w:trPr>
          <w:trHeight w:val="1393"/>
        </w:trPr>
        <w:tc>
          <w:tcPr>
            <w:tcW w:w="3290" w:type="dxa"/>
            <w:tcBorders>
              <w:top w:val="nil"/>
              <w:left w:val="single" w:sz="8" w:space="0" w:color="auto"/>
              <w:bottom w:val="single" w:sz="8" w:space="0" w:color="auto"/>
              <w:right w:val="single" w:sz="8" w:space="0" w:color="auto"/>
            </w:tcBorders>
            <w:shd w:val="clear" w:color="000000" w:fill="244062"/>
            <w:vAlign w:val="center"/>
            <w:hideMark/>
          </w:tcPr>
          <w:p w14:paraId="50B74DD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198" w:type="dxa"/>
            <w:gridSpan w:val="3"/>
            <w:tcBorders>
              <w:top w:val="single" w:sz="8" w:space="0" w:color="auto"/>
              <w:left w:val="nil"/>
              <w:bottom w:val="single" w:sz="8" w:space="0" w:color="auto"/>
              <w:right w:val="single" w:sz="8" w:space="0" w:color="000000"/>
            </w:tcBorders>
            <w:vAlign w:val="center"/>
            <w:hideMark/>
          </w:tcPr>
          <w:p w14:paraId="2331F3A5" w14:textId="11D866E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МП_УЕ</w:t>
            </w:r>
            <w:r w:rsidR="006661C4" w:rsidRPr="00FF386D">
              <w:rPr>
                <w:rFonts w:ascii="Calibri Light" w:hAnsi="Calibri Light"/>
                <w:sz w:val="20"/>
              </w:rPr>
              <w:t>Т</w:t>
            </w:r>
            <w:r w:rsidRPr="00FF386D">
              <w:rPr>
                <w:rFonts w:ascii="Calibri Light" w:hAnsi="Calibri Light"/>
                <w:sz w:val="20"/>
              </w:rPr>
              <w:t xml:space="preserve">2 одговара скупу инфраструктурних мера које обухватају Трансбалкански коридор -фаза I, у складу са </w:t>
            </w:r>
            <w:r w:rsidRPr="00FF386D">
              <w:rPr>
                <w:rFonts w:ascii="Calibri Light" w:hAnsi="Calibri Light"/>
                <w:i/>
                <w:iCs/>
                <w:sz w:val="20"/>
              </w:rPr>
              <w:t xml:space="preserve">TYNDP </w:t>
            </w:r>
            <w:r w:rsidRPr="00FF386D">
              <w:rPr>
                <w:rFonts w:ascii="Calibri Light" w:hAnsi="Calibri Light"/>
                <w:sz w:val="20"/>
              </w:rPr>
              <w:t xml:space="preserve">2021-2030. </w:t>
            </w:r>
            <w:r w:rsidR="006661C4" w:rsidRPr="00FF386D">
              <w:rPr>
                <w:rFonts w:ascii="Calibri Light" w:hAnsi="Calibri Light"/>
                <w:sz w:val="20"/>
              </w:rPr>
              <w:t xml:space="preserve">године </w:t>
            </w:r>
            <w:r w:rsidRPr="00FF386D">
              <w:rPr>
                <w:rFonts w:ascii="Calibri Light" w:hAnsi="Calibri Light"/>
                <w:sz w:val="20"/>
              </w:rPr>
              <w:t>за Србију. Укупни трошкови пројекта процењују се на 58,24 милиона (40 милиона евра), а уговор</w:t>
            </w:r>
            <w:r w:rsidR="006661C4" w:rsidRPr="00FF386D">
              <w:rPr>
                <w:rFonts w:ascii="Calibri Light" w:hAnsi="Calibri Light"/>
                <w:sz w:val="20"/>
              </w:rPr>
              <w:t>и</w:t>
            </w:r>
            <w:r w:rsidRPr="00FF386D">
              <w:rPr>
                <w:rFonts w:ascii="Calibri Light" w:hAnsi="Calibri Light"/>
                <w:sz w:val="20"/>
              </w:rPr>
              <w:t xml:space="preserve"> о донацији (13,1 милиона евра) </w:t>
            </w:r>
            <w:r w:rsidR="006661C4" w:rsidRPr="00FF386D">
              <w:rPr>
                <w:rFonts w:ascii="Calibri Light" w:hAnsi="Calibri Light"/>
                <w:sz w:val="20"/>
              </w:rPr>
              <w:t xml:space="preserve">су </w:t>
            </w:r>
            <w:r w:rsidRPr="00FF386D">
              <w:rPr>
                <w:rFonts w:ascii="Calibri Light" w:hAnsi="Calibri Light"/>
                <w:sz w:val="20"/>
              </w:rPr>
              <w:t>закључен</w:t>
            </w:r>
            <w:r w:rsidR="006661C4" w:rsidRPr="00FF386D">
              <w:rPr>
                <w:rFonts w:ascii="Calibri Light" w:hAnsi="Calibri Light"/>
                <w:sz w:val="20"/>
              </w:rPr>
              <w:t>и</w:t>
            </w:r>
            <w:r w:rsidRPr="00FF386D">
              <w:rPr>
                <w:rFonts w:ascii="Calibri Light" w:hAnsi="Calibri Light"/>
                <w:sz w:val="20"/>
              </w:rPr>
              <w:t xml:space="preserve"> крајем 2020. и почетком 2021. године.</w:t>
            </w:r>
          </w:p>
        </w:tc>
      </w:tr>
      <w:tr w:rsidR="00854ADA" w:rsidRPr="00FF386D" w14:paraId="7870F882" w14:textId="77777777" w:rsidTr="0057310C">
        <w:trPr>
          <w:trHeight w:val="315"/>
        </w:trPr>
        <w:tc>
          <w:tcPr>
            <w:tcW w:w="3290" w:type="dxa"/>
            <w:tcBorders>
              <w:top w:val="nil"/>
              <w:left w:val="single" w:sz="8" w:space="0" w:color="auto"/>
              <w:bottom w:val="single" w:sz="8" w:space="0" w:color="auto"/>
              <w:right w:val="single" w:sz="8" w:space="0" w:color="auto"/>
            </w:tcBorders>
            <w:shd w:val="clear" w:color="000000" w:fill="244062"/>
            <w:vAlign w:val="center"/>
            <w:hideMark/>
          </w:tcPr>
          <w:p w14:paraId="57372AE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Временски оквир имплементације</w:t>
            </w:r>
          </w:p>
        </w:tc>
        <w:tc>
          <w:tcPr>
            <w:tcW w:w="6198" w:type="dxa"/>
            <w:gridSpan w:val="3"/>
            <w:tcBorders>
              <w:top w:val="single" w:sz="8" w:space="0" w:color="auto"/>
              <w:left w:val="nil"/>
              <w:bottom w:val="single" w:sz="8" w:space="0" w:color="auto"/>
              <w:right w:val="single" w:sz="8" w:space="0" w:color="000000"/>
            </w:tcBorders>
            <w:vAlign w:val="center"/>
            <w:hideMark/>
          </w:tcPr>
          <w:p w14:paraId="7A751343" w14:textId="6EBEA4AA"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2021-20</w:t>
            </w:r>
            <w:r w:rsidR="00147EE6">
              <w:rPr>
                <w:rFonts w:ascii="Calibri Light" w:hAnsi="Calibri Light"/>
                <w:sz w:val="20"/>
              </w:rPr>
              <w:t>26</w:t>
            </w:r>
            <w:r w:rsidRPr="00FF386D">
              <w:rPr>
                <w:rFonts w:ascii="Calibri Light" w:hAnsi="Calibri Light"/>
                <w:sz w:val="20"/>
              </w:rPr>
              <w:t>.</w:t>
            </w:r>
          </w:p>
        </w:tc>
      </w:tr>
      <w:tr w:rsidR="00854ADA" w:rsidRPr="00FF386D" w14:paraId="39638E0B" w14:textId="77777777" w:rsidTr="0057310C">
        <w:trPr>
          <w:trHeight w:val="315"/>
        </w:trPr>
        <w:tc>
          <w:tcPr>
            <w:tcW w:w="3290" w:type="dxa"/>
            <w:tcBorders>
              <w:top w:val="nil"/>
              <w:left w:val="single" w:sz="8" w:space="0" w:color="auto"/>
              <w:bottom w:val="single" w:sz="8" w:space="0" w:color="auto"/>
              <w:right w:val="single" w:sz="8" w:space="0" w:color="auto"/>
            </w:tcBorders>
            <w:shd w:val="clear" w:color="000000" w:fill="244062"/>
            <w:vAlign w:val="center"/>
            <w:hideMark/>
          </w:tcPr>
          <w:p w14:paraId="20FA872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198" w:type="dxa"/>
            <w:gridSpan w:val="3"/>
            <w:tcBorders>
              <w:top w:val="single" w:sz="8" w:space="0" w:color="auto"/>
              <w:left w:val="nil"/>
              <w:bottom w:val="single" w:sz="8" w:space="0" w:color="auto"/>
              <w:right w:val="single" w:sz="8" w:space="0" w:color="000000"/>
            </w:tcBorders>
            <w:vAlign w:val="center"/>
            <w:hideMark/>
          </w:tcPr>
          <w:p w14:paraId="461F49EB"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Инвестиција</w:t>
            </w:r>
          </w:p>
        </w:tc>
      </w:tr>
      <w:tr w:rsidR="00854ADA" w:rsidRPr="00FF386D" w14:paraId="317D348E" w14:textId="77777777" w:rsidTr="0057310C">
        <w:trPr>
          <w:trHeight w:val="315"/>
        </w:trPr>
        <w:tc>
          <w:tcPr>
            <w:tcW w:w="3290" w:type="dxa"/>
            <w:tcBorders>
              <w:top w:val="nil"/>
              <w:left w:val="single" w:sz="8" w:space="0" w:color="auto"/>
              <w:bottom w:val="single" w:sz="8" w:space="0" w:color="auto"/>
              <w:right w:val="single" w:sz="8" w:space="0" w:color="auto"/>
            </w:tcBorders>
            <w:shd w:val="clear" w:color="000000" w:fill="244062"/>
            <w:vAlign w:val="center"/>
            <w:hideMark/>
          </w:tcPr>
          <w:p w14:paraId="3B4D156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198" w:type="dxa"/>
            <w:gridSpan w:val="3"/>
            <w:tcBorders>
              <w:top w:val="single" w:sz="8" w:space="0" w:color="auto"/>
              <w:left w:val="nil"/>
              <w:bottom w:val="single" w:sz="8" w:space="0" w:color="auto"/>
              <w:right w:val="single" w:sz="8" w:space="0" w:color="000000"/>
            </w:tcBorders>
            <w:vAlign w:val="center"/>
            <w:hideMark/>
          </w:tcPr>
          <w:p w14:paraId="173A4531"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Електрична енергија</w:t>
            </w:r>
          </w:p>
        </w:tc>
      </w:tr>
      <w:tr w:rsidR="00854ADA" w:rsidRPr="00FF386D" w14:paraId="15C98938" w14:textId="77777777" w:rsidTr="0057310C">
        <w:trPr>
          <w:trHeight w:val="315"/>
        </w:trPr>
        <w:tc>
          <w:tcPr>
            <w:tcW w:w="3290" w:type="dxa"/>
            <w:tcBorders>
              <w:top w:val="nil"/>
              <w:left w:val="single" w:sz="8" w:space="0" w:color="auto"/>
              <w:bottom w:val="single" w:sz="8" w:space="0" w:color="auto"/>
              <w:right w:val="single" w:sz="8" w:space="0" w:color="auto"/>
            </w:tcBorders>
            <w:shd w:val="clear" w:color="000000" w:fill="244062"/>
            <w:vAlign w:val="center"/>
            <w:hideMark/>
          </w:tcPr>
          <w:p w14:paraId="2B55F79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198" w:type="dxa"/>
            <w:gridSpan w:val="3"/>
            <w:tcBorders>
              <w:top w:val="single" w:sz="8" w:space="0" w:color="auto"/>
              <w:left w:val="nil"/>
              <w:bottom w:val="single" w:sz="8" w:space="0" w:color="auto"/>
              <w:right w:val="single" w:sz="8" w:space="0" w:color="000000"/>
            </w:tcBorders>
            <w:vAlign w:val="center"/>
            <w:hideMark/>
          </w:tcPr>
          <w:p w14:paraId="1C073033" w14:textId="77777777" w:rsidR="00854ADA" w:rsidRPr="00FF386D" w:rsidRDefault="00854ADA" w:rsidP="00854ADA">
            <w:pPr>
              <w:numPr>
                <w:ilvl w:val="0"/>
                <w:numId w:val="39"/>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рударства и енергетике</w:t>
            </w:r>
          </w:p>
          <w:p w14:paraId="5AD0C2AF" w14:textId="22C01262" w:rsidR="00854ADA" w:rsidRPr="00FF386D" w:rsidRDefault="00147EE6" w:rsidP="00854ADA">
            <w:pPr>
              <w:numPr>
                <w:ilvl w:val="0"/>
                <w:numId w:val="39"/>
              </w:numPr>
              <w:spacing w:after="0" w:line="240" w:lineRule="auto"/>
              <w:contextualSpacing/>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 xml:space="preserve">„Електромрежа Србије” - </w:t>
            </w:r>
            <w:r w:rsidR="00854ADA" w:rsidRPr="00FF386D">
              <w:rPr>
                <w:rFonts w:asciiTheme="majorHAnsi" w:eastAsia="Times New Roman" w:hAnsiTheme="majorHAnsi" w:cstheme="majorHAnsi"/>
                <w:color w:val="000000"/>
                <w:sz w:val="20"/>
                <w:szCs w:val="20"/>
                <w:lang w:eastAsia="en-GB"/>
              </w:rPr>
              <w:t>ЕМС</w:t>
            </w:r>
          </w:p>
        </w:tc>
      </w:tr>
      <w:tr w:rsidR="00854ADA" w:rsidRPr="00FF386D" w14:paraId="07444365" w14:textId="77777777" w:rsidTr="0057310C">
        <w:trPr>
          <w:trHeight w:val="315"/>
        </w:trPr>
        <w:tc>
          <w:tcPr>
            <w:tcW w:w="3290" w:type="dxa"/>
            <w:tcBorders>
              <w:top w:val="nil"/>
              <w:left w:val="single" w:sz="8" w:space="0" w:color="auto"/>
              <w:bottom w:val="single" w:sz="8" w:space="0" w:color="auto"/>
              <w:right w:val="nil"/>
            </w:tcBorders>
            <w:shd w:val="clear" w:color="000000" w:fill="244062"/>
            <w:vAlign w:val="center"/>
            <w:hideMark/>
          </w:tcPr>
          <w:p w14:paraId="6FA1F46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198" w:type="dxa"/>
            <w:gridSpan w:val="3"/>
            <w:tcBorders>
              <w:top w:val="single" w:sz="8" w:space="0" w:color="auto"/>
              <w:left w:val="nil"/>
              <w:bottom w:val="single" w:sz="8" w:space="0" w:color="auto"/>
              <w:right w:val="single" w:sz="8" w:space="0" w:color="000000"/>
            </w:tcBorders>
            <w:vAlign w:val="center"/>
            <w:hideMark/>
          </w:tcPr>
          <w:p w14:paraId="332AAD39" w14:textId="3D8E008F" w:rsidR="00854ADA" w:rsidRPr="00FF386D" w:rsidRDefault="00147EE6" w:rsidP="00854ADA">
            <w:pPr>
              <w:numPr>
                <w:ilvl w:val="0"/>
                <w:numId w:val="39"/>
              </w:numPr>
              <w:spacing w:after="0" w:line="240" w:lineRule="auto"/>
              <w:contextualSpacing/>
              <w:rPr>
                <w:rFonts w:asciiTheme="majorHAnsi" w:eastAsia="Times New Roman" w:hAnsiTheme="majorHAnsi" w:cstheme="majorHAnsi"/>
                <w:color w:val="000000"/>
                <w:sz w:val="20"/>
                <w:szCs w:val="20"/>
                <w:lang w:eastAsia="en-GB"/>
              </w:rPr>
            </w:pPr>
            <w:r w:rsidRPr="00147EE6">
              <w:rPr>
                <w:rFonts w:asciiTheme="majorHAnsi" w:eastAsia="Times New Roman" w:hAnsiTheme="majorHAnsi" w:cstheme="majorHAnsi"/>
                <w:color w:val="000000"/>
                <w:sz w:val="20"/>
                <w:szCs w:val="20"/>
                <w:lang w:eastAsia="en-GB"/>
              </w:rPr>
              <w:t xml:space="preserve">„Електромрежа Србије” - </w:t>
            </w:r>
            <w:r w:rsidR="00854ADA" w:rsidRPr="00FF386D">
              <w:rPr>
                <w:rFonts w:asciiTheme="majorHAnsi" w:eastAsia="Times New Roman" w:hAnsiTheme="majorHAnsi" w:cstheme="majorHAnsi"/>
                <w:color w:val="000000"/>
                <w:sz w:val="20"/>
                <w:szCs w:val="20"/>
                <w:lang w:eastAsia="en-GB"/>
              </w:rPr>
              <w:t>ЕМС</w:t>
            </w:r>
          </w:p>
        </w:tc>
      </w:tr>
      <w:tr w:rsidR="00854ADA" w:rsidRPr="00FF386D" w14:paraId="163C3F27" w14:textId="77777777" w:rsidTr="0057310C">
        <w:trPr>
          <w:trHeight w:val="315"/>
        </w:trPr>
        <w:tc>
          <w:tcPr>
            <w:tcW w:w="3290" w:type="dxa"/>
            <w:tcBorders>
              <w:top w:val="nil"/>
              <w:left w:val="single" w:sz="8" w:space="0" w:color="auto"/>
              <w:bottom w:val="single" w:sz="8" w:space="0" w:color="auto"/>
              <w:right w:val="nil"/>
            </w:tcBorders>
            <w:shd w:val="clear" w:color="000000" w:fill="244062"/>
            <w:vAlign w:val="center"/>
            <w:hideMark/>
          </w:tcPr>
          <w:p w14:paraId="60DA2B7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198" w:type="dxa"/>
            <w:gridSpan w:val="3"/>
            <w:tcBorders>
              <w:top w:val="single" w:sz="8" w:space="0" w:color="auto"/>
              <w:left w:val="nil"/>
              <w:bottom w:val="single" w:sz="8" w:space="0" w:color="auto"/>
              <w:right w:val="single" w:sz="8" w:space="0" w:color="000000"/>
            </w:tcBorders>
            <w:vAlign w:val="center"/>
            <w:hideMark/>
          </w:tcPr>
          <w:p w14:paraId="08BA4E30" w14:textId="77777777" w:rsidR="00854ADA"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Циљеви интерконективности</w:t>
            </w:r>
          </w:p>
          <w:p w14:paraId="2CC17F45" w14:textId="49062ABE" w:rsidR="00E211C2" w:rsidRPr="00FF386D" w:rsidRDefault="00E211C2" w:rsidP="00854ADA">
            <w:pPr>
              <w:spacing w:after="0" w:line="240" w:lineRule="auto"/>
              <w:jc w:val="both"/>
              <w:rPr>
                <w:rFonts w:asciiTheme="majorHAnsi" w:eastAsia="Times New Roman" w:hAnsiTheme="majorHAnsi" w:cstheme="majorHAnsi"/>
                <w:color w:val="000000"/>
                <w:sz w:val="20"/>
                <w:szCs w:val="20"/>
                <w:lang w:eastAsia="en-GB"/>
              </w:rPr>
            </w:pPr>
            <w:r w:rsidRPr="00E211C2">
              <w:rPr>
                <w:rFonts w:asciiTheme="majorHAnsi" w:eastAsia="Times New Roman" w:hAnsiTheme="majorHAnsi" w:cstheme="majorHAnsi"/>
                <w:color w:val="000000"/>
                <w:sz w:val="20"/>
                <w:szCs w:val="20"/>
                <w:lang w:eastAsia="en-GB"/>
              </w:rPr>
              <w:t>Могућност прикључења додатних капацитета</w:t>
            </w:r>
            <w:r>
              <w:rPr>
                <w:rFonts w:asciiTheme="majorHAnsi" w:eastAsia="Times New Roman" w:hAnsiTheme="majorHAnsi" w:cstheme="majorHAnsi"/>
                <w:color w:val="000000"/>
                <w:sz w:val="20"/>
                <w:szCs w:val="20"/>
                <w:lang w:eastAsia="en-GB"/>
              </w:rPr>
              <w:t xml:space="preserve"> ОИЕ</w:t>
            </w:r>
          </w:p>
        </w:tc>
      </w:tr>
      <w:tr w:rsidR="00854ADA" w:rsidRPr="00FF386D" w14:paraId="5D8D56F7" w14:textId="77777777" w:rsidTr="0057310C">
        <w:trPr>
          <w:trHeight w:val="677"/>
        </w:trPr>
        <w:tc>
          <w:tcPr>
            <w:tcW w:w="3290" w:type="dxa"/>
            <w:tcBorders>
              <w:top w:val="nil"/>
              <w:left w:val="single" w:sz="8" w:space="0" w:color="auto"/>
              <w:bottom w:val="single" w:sz="8" w:space="0" w:color="auto"/>
              <w:right w:val="single" w:sz="8" w:space="0" w:color="auto"/>
            </w:tcBorders>
            <w:shd w:val="clear" w:color="000000" w:fill="244062"/>
            <w:vAlign w:val="center"/>
            <w:hideMark/>
          </w:tcPr>
          <w:p w14:paraId="204F80C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198" w:type="dxa"/>
            <w:gridSpan w:val="3"/>
            <w:tcBorders>
              <w:top w:val="single" w:sz="8" w:space="0" w:color="auto"/>
              <w:left w:val="nil"/>
              <w:bottom w:val="single" w:sz="8" w:space="0" w:color="auto"/>
              <w:right w:val="single" w:sz="8" w:space="0" w:color="000000"/>
            </w:tcBorders>
            <w:vAlign w:val="center"/>
            <w:hideMark/>
          </w:tcPr>
          <w:p w14:paraId="3CD99241" w14:textId="77777777" w:rsidR="00854ADA" w:rsidRPr="000A2AFE" w:rsidRDefault="00854ADA" w:rsidP="00854ADA">
            <w:pPr>
              <w:numPr>
                <w:ilvl w:val="0"/>
                <w:numId w:val="39"/>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Енергетска сигурност</w:t>
            </w:r>
          </w:p>
          <w:p w14:paraId="250C2251" w14:textId="50850CC7" w:rsidR="00147EE6" w:rsidRPr="00FF386D" w:rsidRDefault="00147EE6" w:rsidP="00854ADA">
            <w:pPr>
              <w:numPr>
                <w:ilvl w:val="0"/>
                <w:numId w:val="39"/>
              </w:numPr>
              <w:spacing w:after="0" w:line="240" w:lineRule="auto"/>
              <w:contextualSpacing/>
              <w:rPr>
                <w:rFonts w:asciiTheme="majorHAnsi" w:eastAsia="Times New Roman" w:hAnsiTheme="majorHAnsi" w:cstheme="majorHAnsi"/>
                <w:color w:val="000000"/>
                <w:sz w:val="20"/>
                <w:szCs w:val="20"/>
                <w:lang w:eastAsia="en-GB"/>
              </w:rPr>
            </w:pPr>
            <w:r>
              <w:rPr>
                <w:rFonts w:ascii="Calibri Light" w:hAnsi="Calibri Light"/>
                <w:color w:val="000000"/>
                <w:sz w:val="20"/>
              </w:rPr>
              <w:t>Декарбонизација</w:t>
            </w:r>
          </w:p>
        </w:tc>
      </w:tr>
      <w:tr w:rsidR="00854ADA" w:rsidRPr="00FF386D" w14:paraId="2ED18BBD" w14:textId="77777777" w:rsidTr="0057310C">
        <w:trPr>
          <w:trHeight w:val="450"/>
        </w:trPr>
        <w:tc>
          <w:tcPr>
            <w:tcW w:w="3290"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124E1DE5" w14:textId="332A91E2"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198"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59DD9DB3" w14:textId="77777777" w:rsidR="00854ADA" w:rsidRPr="000A2AFE" w:rsidRDefault="00854ADA" w:rsidP="00854ADA">
            <w:pPr>
              <w:numPr>
                <w:ilvl w:val="0"/>
                <w:numId w:val="39"/>
              </w:numPr>
              <w:spacing w:after="0" w:line="240" w:lineRule="auto"/>
              <w:contextualSpacing/>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Директива 2009/72/EЗ</w:t>
            </w:r>
          </w:p>
          <w:p w14:paraId="25F7CF1E" w14:textId="77777777" w:rsidR="00854ADA" w:rsidRPr="00FF386D" w:rsidRDefault="00854ADA" w:rsidP="00854ADA">
            <w:pPr>
              <w:numPr>
                <w:ilvl w:val="0"/>
                <w:numId w:val="39"/>
              </w:numPr>
              <w:spacing w:after="0" w:line="240" w:lineRule="auto"/>
              <w:contextualSpacing/>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Уредба (ЕУ) 347/2013</w:t>
            </w:r>
          </w:p>
        </w:tc>
      </w:tr>
      <w:tr w:rsidR="00854ADA" w:rsidRPr="00FF386D" w14:paraId="7E379E4A"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37EAA355"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198" w:type="dxa"/>
            <w:gridSpan w:val="3"/>
            <w:vMerge/>
            <w:tcBorders>
              <w:top w:val="single" w:sz="8" w:space="0" w:color="auto"/>
              <w:left w:val="single" w:sz="8" w:space="0" w:color="auto"/>
              <w:bottom w:val="single" w:sz="8" w:space="0" w:color="000000"/>
              <w:right w:val="single" w:sz="8" w:space="0" w:color="000000"/>
            </w:tcBorders>
            <w:vAlign w:val="center"/>
            <w:hideMark/>
          </w:tcPr>
          <w:p w14:paraId="3F88CD45"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35071D93"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36C06F00"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198" w:type="dxa"/>
            <w:gridSpan w:val="3"/>
            <w:vMerge/>
            <w:tcBorders>
              <w:top w:val="single" w:sz="8" w:space="0" w:color="auto"/>
              <w:left w:val="single" w:sz="8" w:space="0" w:color="auto"/>
              <w:bottom w:val="single" w:sz="8" w:space="0" w:color="000000"/>
              <w:right w:val="single" w:sz="8" w:space="0" w:color="000000"/>
            </w:tcBorders>
            <w:vAlign w:val="center"/>
            <w:hideMark/>
          </w:tcPr>
          <w:p w14:paraId="0F6F1F0E"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5FE79F54" w14:textId="77777777" w:rsidTr="0057310C">
        <w:trPr>
          <w:trHeight w:val="780"/>
        </w:trPr>
        <w:tc>
          <w:tcPr>
            <w:tcW w:w="3290" w:type="dxa"/>
            <w:tcBorders>
              <w:top w:val="nil"/>
              <w:left w:val="single" w:sz="8" w:space="0" w:color="auto"/>
              <w:bottom w:val="single" w:sz="8" w:space="0" w:color="auto"/>
              <w:right w:val="single" w:sz="8" w:space="0" w:color="auto"/>
            </w:tcBorders>
            <w:shd w:val="clear" w:color="000000" w:fill="244062"/>
            <w:vAlign w:val="center"/>
            <w:hideMark/>
          </w:tcPr>
          <w:p w14:paraId="6D0660C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98" w:type="dxa"/>
            <w:gridSpan w:val="3"/>
            <w:tcBorders>
              <w:top w:val="single" w:sz="8" w:space="0" w:color="auto"/>
              <w:left w:val="nil"/>
              <w:bottom w:val="single" w:sz="8" w:space="0" w:color="auto"/>
              <w:right w:val="single" w:sz="8" w:space="0" w:color="000000"/>
            </w:tcBorders>
            <w:vAlign w:val="center"/>
            <w:hideMark/>
          </w:tcPr>
          <w:p w14:paraId="28BC6E7E" w14:textId="77777777" w:rsidR="00854ADA" w:rsidRPr="00FF386D" w:rsidRDefault="00854ADA" w:rsidP="00854ADA">
            <w:pPr>
              <w:numPr>
                <w:ilvl w:val="0"/>
                <w:numId w:val="39"/>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i/>
                <w:iCs/>
                <w:color w:val="000000"/>
                <w:sz w:val="20"/>
                <w:szCs w:val="20"/>
                <w:lang w:eastAsia="en-GB"/>
              </w:rPr>
              <w:t>TYNDP</w:t>
            </w:r>
            <w:r w:rsidRPr="00FF386D">
              <w:rPr>
                <w:rFonts w:asciiTheme="majorHAnsi" w:eastAsia="Times New Roman" w:hAnsiTheme="majorHAnsi" w:cstheme="majorHAnsi"/>
                <w:color w:val="000000"/>
                <w:sz w:val="20"/>
                <w:szCs w:val="20"/>
                <w:lang w:eastAsia="en-GB"/>
              </w:rPr>
              <w:t xml:space="preserve"> 2021-2030</w:t>
            </w:r>
          </w:p>
        </w:tc>
      </w:tr>
      <w:tr w:rsidR="00854ADA" w:rsidRPr="00FF386D" w14:paraId="5420EA31" w14:textId="77777777" w:rsidTr="0057310C">
        <w:trPr>
          <w:trHeight w:val="315"/>
        </w:trPr>
        <w:tc>
          <w:tcPr>
            <w:tcW w:w="3290" w:type="dxa"/>
            <w:tcBorders>
              <w:top w:val="nil"/>
              <w:left w:val="single" w:sz="8" w:space="0" w:color="auto"/>
              <w:bottom w:val="single" w:sz="8" w:space="0" w:color="auto"/>
              <w:right w:val="single" w:sz="8" w:space="0" w:color="auto"/>
            </w:tcBorders>
            <w:shd w:val="clear" w:color="000000" w:fill="244062"/>
            <w:vAlign w:val="center"/>
            <w:hideMark/>
          </w:tcPr>
          <w:p w14:paraId="53D8454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98" w:type="dxa"/>
            <w:gridSpan w:val="3"/>
            <w:tcBorders>
              <w:top w:val="single" w:sz="8" w:space="0" w:color="auto"/>
              <w:left w:val="nil"/>
              <w:bottom w:val="single" w:sz="8" w:space="0" w:color="auto"/>
              <w:right w:val="single" w:sz="8" w:space="0" w:color="000000"/>
            </w:tcBorders>
            <w:vAlign w:val="center"/>
            <w:hideMark/>
          </w:tcPr>
          <w:p w14:paraId="2AE5FCD3" w14:textId="6EB4E464" w:rsidR="00854ADA" w:rsidRPr="00FF386D" w:rsidRDefault="00D73477"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89,68</w:t>
            </w:r>
            <w:r w:rsidR="00854ADA" w:rsidRPr="00FF386D">
              <w:rPr>
                <w:rFonts w:asciiTheme="majorHAnsi" w:eastAsia="Times New Roman" w:hAnsiTheme="majorHAnsi" w:cstheme="majorHAnsi"/>
                <w:color w:val="000000"/>
                <w:sz w:val="20"/>
                <w:szCs w:val="20"/>
                <w:lang w:eastAsia="en-GB"/>
              </w:rPr>
              <w:t xml:space="preserve"> милиона евра</w:t>
            </w:r>
          </w:p>
        </w:tc>
      </w:tr>
      <w:tr w:rsidR="00854ADA" w:rsidRPr="00FF386D" w14:paraId="5C8CCAE3" w14:textId="77777777" w:rsidTr="0057310C">
        <w:trPr>
          <w:trHeight w:val="315"/>
        </w:trPr>
        <w:tc>
          <w:tcPr>
            <w:tcW w:w="3290" w:type="dxa"/>
            <w:tcBorders>
              <w:top w:val="nil"/>
              <w:left w:val="single" w:sz="8" w:space="0" w:color="auto"/>
              <w:bottom w:val="single" w:sz="8" w:space="0" w:color="auto"/>
              <w:right w:val="single" w:sz="8" w:space="0" w:color="auto"/>
            </w:tcBorders>
            <w:shd w:val="clear" w:color="000000" w:fill="244062"/>
            <w:vAlign w:val="center"/>
            <w:hideMark/>
          </w:tcPr>
          <w:p w14:paraId="0DC534D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98" w:type="dxa"/>
            <w:gridSpan w:val="3"/>
            <w:tcBorders>
              <w:top w:val="single" w:sz="8" w:space="0" w:color="auto"/>
              <w:left w:val="nil"/>
              <w:bottom w:val="single" w:sz="8" w:space="0" w:color="auto"/>
              <w:right w:val="single" w:sz="8" w:space="0" w:color="000000"/>
            </w:tcBorders>
            <w:vAlign w:val="center"/>
            <w:hideMark/>
          </w:tcPr>
          <w:p w14:paraId="6188EA2E" w14:textId="21475B3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eastAsia="Times New Roman" w:hAnsi="Calibri Light" w:cs="Calibri Light"/>
                <w:color w:val="000000"/>
                <w:sz w:val="20"/>
                <w:szCs w:val="20"/>
                <w:lang w:eastAsia="en-GB"/>
              </w:rPr>
              <w:t>Фондови ЕУ и други фондови</w:t>
            </w:r>
            <w:r w:rsidR="00D73477" w:rsidRPr="00FF386D">
              <w:rPr>
                <w:rFonts w:ascii="Calibri Light" w:eastAsia="Times New Roman" w:hAnsi="Calibri Light" w:cs="Calibri Light"/>
                <w:color w:val="000000"/>
                <w:sz w:val="20"/>
                <w:szCs w:val="20"/>
                <w:lang w:eastAsia="en-GB"/>
              </w:rPr>
              <w:t>,</w:t>
            </w:r>
            <w:r w:rsidRPr="00FF386D">
              <w:rPr>
                <w:rFonts w:ascii="Calibri Light" w:eastAsia="Times New Roman" w:hAnsi="Calibri Light" w:cs="Calibri Light"/>
                <w:color w:val="000000"/>
                <w:sz w:val="20"/>
                <w:szCs w:val="20"/>
                <w:lang w:eastAsia="en-GB"/>
              </w:rPr>
              <w:t xml:space="preserve"> буџет</w:t>
            </w:r>
            <w:r w:rsidR="00D73477" w:rsidRPr="00FF386D">
              <w:rPr>
                <w:rFonts w:ascii="Calibri Light" w:eastAsia="Times New Roman" w:hAnsi="Calibri Light" w:cs="Calibri Light"/>
                <w:color w:val="000000"/>
                <w:sz w:val="20"/>
                <w:szCs w:val="20"/>
                <w:lang w:eastAsia="en-GB"/>
              </w:rPr>
              <w:t>ска и</w:t>
            </w:r>
            <w:r w:rsidRPr="00FF386D">
              <w:rPr>
                <w:rFonts w:ascii="Calibri Light" w:eastAsia="Times New Roman" w:hAnsi="Calibri Light" w:cs="Calibri Light"/>
                <w:color w:val="000000"/>
                <w:sz w:val="20"/>
                <w:szCs w:val="20"/>
                <w:lang w:eastAsia="en-GB"/>
              </w:rPr>
              <w:t xml:space="preserve"> сопствена средства</w:t>
            </w:r>
          </w:p>
        </w:tc>
      </w:tr>
    </w:tbl>
    <w:p w14:paraId="2050610D"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54"/>
        <w:gridCol w:w="1207"/>
        <w:gridCol w:w="927"/>
        <w:gridCol w:w="4100"/>
      </w:tblGrid>
      <w:tr w:rsidR="00854ADA" w:rsidRPr="00FF386D" w14:paraId="5074FB54" w14:textId="77777777" w:rsidTr="0057310C">
        <w:trPr>
          <w:trHeight w:val="780"/>
        </w:trPr>
        <w:tc>
          <w:tcPr>
            <w:tcW w:w="3254"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46A7E97E" w14:textId="679CA495"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 xml:space="preserve">: </w:t>
            </w:r>
          </w:p>
        </w:tc>
        <w:tc>
          <w:tcPr>
            <w:tcW w:w="12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32B56256" w14:textId="6451574A"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МП_ УЕ</w:t>
            </w:r>
            <w:r w:rsidR="006661C4" w:rsidRPr="00FF386D">
              <w:rPr>
                <w:rFonts w:ascii="Calibri Light" w:hAnsi="Calibri Light"/>
                <w:b/>
                <w:sz w:val="20"/>
              </w:rPr>
              <w:t>Т</w:t>
            </w:r>
            <w:r w:rsidRPr="00FF386D">
              <w:rPr>
                <w:rFonts w:ascii="Calibri Light" w:hAnsi="Calibri Light"/>
                <w:b/>
                <w:sz w:val="20"/>
              </w:rPr>
              <w:t>3</w:t>
            </w:r>
          </w:p>
        </w:tc>
        <w:tc>
          <w:tcPr>
            <w:tcW w:w="927" w:type="dxa"/>
            <w:tcBorders>
              <w:top w:val="single" w:sz="8" w:space="0" w:color="auto"/>
              <w:left w:val="nil"/>
              <w:bottom w:val="single" w:sz="8" w:space="0" w:color="auto"/>
              <w:right w:val="single" w:sz="8" w:space="0" w:color="auto"/>
            </w:tcBorders>
            <w:shd w:val="clear" w:color="auto" w:fill="244062"/>
            <w:vAlign w:val="center"/>
            <w:hideMark/>
          </w:tcPr>
          <w:p w14:paraId="738A55BB" w14:textId="77777777" w:rsidR="00854ADA" w:rsidRPr="00FF386D" w:rsidRDefault="00854ADA" w:rsidP="00854ADA">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Назив</w:t>
            </w:r>
            <w:r w:rsidRPr="000A2AFE">
              <w:rPr>
                <w:rFonts w:asciiTheme="majorHAnsi" w:eastAsia="Times New Roman" w:hAnsiTheme="majorHAnsi" w:cstheme="majorHAnsi"/>
                <w:b/>
                <w:bCs/>
                <w:color w:val="FFFFFF"/>
                <w:sz w:val="20"/>
                <w:szCs w:val="20"/>
                <w:lang w:eastAsia="en-GB"/>
              </w:rPr>
              <w:t xml:space="preserve">: </w:t>
            </w:r>
          </w:p>
        </w:tc>
        <w:tc>
          <w:tcPr>
            <w:tcW w:w="4100" w:type="dxa"/>
            <w:tcBorders>
              <w:top w:val="single" w:sz="8" w:space="0" w:color="auto"/>
              <w:left w:val="nil"/>
              <w:bottom w:val="single" w:sz="8" w:space="0" w:color="auto"/>
              <w:right w:val="single" w:sz="8" w:space="0" w:color="auto"/>
            </w:tcBorders>
            <w:shd w:val="clear" w:color="auto" w:fill="E7E6E6" w:themeFill="background2"/>
            <w:vAlign w:val="center"/>
            <w:hideMark/>
          </w:tcPr>
          <w:p w14:paraId="1D07D4A2" w14:textId="77777777"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Имплементација Трансбалканског коридора: ДВ Б. Башта (РС) – Вишеград (БиХ) – Пљевља (ЦГ)</w:t>
            </w:r>
          </w:p>
        </w:tc>
      </w:tr>
      <w:tr w:rsidR="00D84B8C" w:rsidRPr="00FF386D" w14:paraId="5A774B21" w14:textId="77777777" w:rsidTr="0057310C">
        <w:trPr>
          <w:trHeight w:val="960"/>
        </w:trPr>
        <w:tc>
          <w:tcPr>
            <w:tcW w:w="3254" w:type="dxa"/>
            <w:tcBorders>
              <w:top w:val="nil"/>
              <w:left w:val="single" w:sz="8" w:space="0" w:color="auto"/>
              <w:bottom w:val="single" w:sz="8" w:space="0" w:color="auto"/>
              <w:right w:val="nil"/>
            </w:tcBorders>
            <w:shd w:val="clear" w:color="000000" w:fill="244062"/>
            <w:vAlign w:val="center"/>
            <w:hideMark/>
          </w:tcPr>
          <w:p w14:paraId="32DAB35D" w14:textId="77777777" w:rsidR="00D84B8C" w:rsidRPr="00FF386D" w:rsidRDefault="00D84B8C" w:rsidP="00D84B8C">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234" w:type="dxa"/>
            <w:gridSpan w:val="3"/>
            <w:tcBorders>
              <w:top w:val="single" w:sz="8" w:space="0" w:color="auto"/>
              <w:left w:val="nil"/>
              <w:bottom w:val="single" w:sz="8" w:space="0" w:color="auto"/>
              <w:right w:val="single" w:sz="8" w:space="0" w:color="000000"/>
            </w:tcBorders>
            <w:vAlign w:val="center"/>
          </w:tcPr>
          <w:p w14:paraId="0B1FB534" w14:textId="1C27F1B6" w:rsidR="00D84B8C" w:rsidRPr="00FF386D" w:rsidRDefault="00D84B8C" w:rsidP="00D84B8C">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Одржавање и постизање циља интерконективности, планирање и спровођење пројеката преносне инфраструктуре у области електричне енергије и гаса </w:t>
            </w:r>
            <w:r>
              <w:rPr>
                <w:rFonts w:asciiTheme="majorHAnsi" w:eastAsia="Times New Roman" w:hAnsiTheme="majorHAnsi" w:cstheme="majorHAnsi"/>
                <w:color w:val="000000"/>
                <w:sz w:val="20"/>
                <w:szCs w:val="20"/>
                <w:lang w:eastAsia="en-GB"/>
              </w:rPr>
              <w:t>(</w:t>
            </w:r>
            <w:r w:rsidRPr="00FF386D">
              <w:rPr>
                <w:rFonts w:asciiTheme="majorHAnsi" w:eastAsia="Times New Roman" w:hAnsiTheme="majorHAnsi" w:cstheme="majorHAnsi"/>
                <w:color w:val="000000"/>
                <w:sz w:val="20"/>
                <w:szCs w:val="20"/>
                <w:lang w:eastAsia="en-GB"/>
              </w:rPr>
              <w:t>и где је то релевантно, пројеката модернизације</w:t>
            </w:r>
            <w:r>
              <w:rPr>
                <w:rFonts w:asciiTheme="majorHAnsi" w:eastAsia="Times New Roman" w:hAnsiTheme="majorHAnsi" w:cstheme="majorHAnsi"/>
                <w:color w:val="000000"/>
                <w:sz w:val="20"/>
                <w:szCs w:val="20"/>
                <w:lang w:eastAsia="en-GB"/>
              </w:rPr>
              <w:t>);</w:t>
            </w:r>
            <w:r w:rsidRPr="00FF386D">
              <w:rPr>
                <w:rFonts w:asciiTheme="majorHAnsi" w:eastAsia="Times New Roman" w:hAnsiTheme="majorHAnsi" w:cstheme="majorHAnsi"/>
                <w:color w:val="000000"/>
                <w:sz w:val="20"/>
                <w:szCs w:val="20"/>
                <w:lang w:eastAsia="en-GB"/>
              </w:rPr>
              <w:t xml:space="preserve"> </w:t>
            </w:r>
            <w:r w:rsidRPr="00E211C2">
              <w:rPr>
                <w:rFonts w:asciiTheme="majorHAnsi" w:eastAsia="Times New Roman" w:hAnsiTheme="majorHAnsi" w:cstheme="majorHAnsi"/>
                <w:color w:val="000000"/>
                <w:sz w:val="20"/>
                <w:szCs w:val="20"/>
                <w:lang w:eastAsia="en-GB"/>
              </w:rPr>
              <w:t>обезбеђивање поузданости напајања купаца</w:t>
            </w:r>
            <w:r>
              <w:rPr>
                <w:rFonts w:asciiTheme="majorHAnsi" w:eastAsia="Times New Roman" w:hAnsiTheme="majorHAnsi" w:cstheme="majorHAnsi"/>
                <w:color w:val="000000"/>
                <w:sz w:val="20"/>
                <w:szCs w:val="20"/>
                <w:lang w:eastAsia="en-GB"/>
              </w:rPr>
              <w:t xml:space="preserve">; </w:t>
            </w:r>
            <w:r w:rsidRPr="00E211C2">
              <w:rPr>
                <w:rFonts w:asciiTheme="majorHAnsi" w:eastAsia="Times New Roman" w:hAnsiTheme="majorHAnsi" w:cstheme="majorHAnsi"/>
                <w:color w:val="000000"/>
                <w:sz w:val="20"/>
                <w:szCs w:val="20"/>
                <w:lang w:eastAsia="en-GB"/>
              </w:rPr>
              <w:t>стварање услова за даљи индустријски развој подручја на којима се пројекат налази;</w:t>
            </w:r>
            <w:r>
              <w:rPr>
                <w:rFonts w:asciiTheme="majorHAnsi" w:eastAsia="Times New Roman" w:hAnsiTheme="majorHAnsi" w:cstheme="majorHAnsi"/>
                <w:color w:val="000000"/>
                <w:sz w:val="20"/>
                <w:szCs w:val="20"/>
                <w:lang w:eastAsia="en-GB"/>
              </w:rPr>
              <w:t xml:space="preserve"> </w:t>
            </w:r>
            <w:r w:rsidRPr="00E211C2">
              <w:rPr>
                <w:rFonts w:asciiTheme="majorHAnsi" w:eastAsia="Times New Roman" w:hAnsiTheme="majorHAnsi" w:cstheme="majorHAnsi"/>
                <w:color w:val="000000"/>
                <w:sz w:val="20"/>
                <w:szCs w:val="20"/>
                <w:lang w:eastAsia="en-GB"/>
              </w:rPr>
              <w:t>интеграција жељеног нивоа ОИЕ;</w:t>
            </w:r>
            <w:r>
              <w:rPr>
                <w:rFonts w:asciiTheme="majorHAnsi" w:eastAsia="Times New Roman" w:hAnsiTheme="majorHAnsi" w:cstheme="majorHAnsi"/>
                <w:color w:val="000000"/>
                <w:sz w:val="20"/>
                <w:szCs w:val="20"/>
                <w:lang w:eastAsia="en-GB"/>
              </w:rPr>
              <w:t xml:space="preserve"> </w:t>
            </w:r>
            <w:r w:rsidRPr="00E211C2">
              <w:rPr>
                <w:rFonts w:asciiTheme="majorHAnsi" w:eastAsia="Times New Roman" w:hAnsiTheme="majorHAnsi" w:cstheme="majorHAnsi"/>
                <w:color w:val="000000"/>
                <w:sz w:val="20"/>
                <w:szCs w:val="20"/>
                <w:lang w:eastAsia="en-GB"/>
              </w:rPr>
              <w:t>обезбеђивање потребног нивоа флексибилности електроенергетског система;</w:t>
            </w:r>
            <w:r>
              <w:rPr>
                <w:rFonts w:asciiTheme="majorHAnsi" w:eastAsia="Times New Roman" w:hAnsiTheme="majorHAnsi" w:cstheme="majorHAnsi"/>
                <w:color w:val="000000"/>
                <w:sz w:val="20"/>
                <w:szCs w:val="20"/>
                <w:lang w:eastAsia="en-GB"/>
              </w:rPr>
              <w:t xml:space="preserve"> </w:t>
            </w:r>
            <w:r w:rsidRPr="00FF386D">
              <w:rPr>
                <w:rFonts w:asciiTheme="majorHAnsi" w:eastAsia="Times New Roman" w:hAnsiTheme="majorHAnsi" w:cstheme="majorHAnsi"/>
                <w:color w:val="000000"/>
                <w:sz w:val="20"/>
                <w:szCs w:val="20"/>
                <w:lang w:eastAsia="en-GB"/>
              </w:rPr>
              <w:t>који су потребни за постизање циљева и приоритета у оквиру пет димензија Енергетске уније.</w:t>
            </w:r>
          </w:p>
        </w:tc>
      </w:tr>
      <w:tr w:rsidR="00D84B8C" w:rsidRPr="00FF386D" w14:paraId="6C4A1845" w14:textId="77777777" w:rsidTr="0057310C">
        <w:trPr>
          <w:trHeight w:val="315"/>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2D8A1684" w14:textId="77777777" w:rsidR="00D84B8C" w:rsidRPr="00FF386D" w:rsidRDefault="00D84B8C" w:rsidP="00D84B8C">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Квантификовани циљ: </w:t>
            </w:r>
          </w:p>
        </w:tc>
        <w:tc>
          <w:tcPr>
            <w:tcW w:w="6234" w:type="dxa"/>
            <w:gridSpan w:val="3"/>
            <w:tcBorders>
              <w:top w:val="single" w:sz="8" w:space="0" w:color="auto"/>
              <w:left w:val="nil"/>
              <w:bottom w:val="single" w:sz="8" w:space="0" w:color="auto"/>
              <w:right w:val="single" w:sz="8" w:space="0" w:color="000000"/>
            </w:tcBorders>
            <w:vAlign w:val="center"/>
          </w:tcPr>
          <w:p w14:paraId="258EA484" w14:textId="77777777" w:rsidR="00D84B8C" w:rsidRPr="00FF386D" w:rsidRDefault="00D84B8C" w:rsidP="00D84B8C">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Испуњени циљеви у погледу интерконективности, предвиђени до 2030. године, критеријум сигурности </w:t>
            </w:r>
            <w:r w:rsidRPr="00FF386D">
              <w:rPr>
                <w:rFonts w:asciiTheme="majorHAnsi" w:eastAsia="Times New Roman" w:hAnsiTheme="majorHAnsi" w:cstheme="majorHAnsi"/>
                <w:i/>
                <w:iCs/>
                <w:color w:val="000000"/>
                <w:sz w:val="20"/>
                <w:szCs w:val="20"/>
                <w:lang w:eastAsia="en-GB"/>
              </w:rPr>
              <w:t>N-1</w:t>
            </w:r>
            <w:r w:rsidRPr="00FF386D">
              <w:rPr>
                <w:rFonts w:asciiTheme="majorHAnsi" w:eastAsia="Times New Roman" w:hAnsiTheme="majorHAnsi" w:cstheme="majorHAnsi"/>
                <w:color w:val="000000"/>
                <w:sz w:val="20"/>
                <w:szCs w:val="20"/>
                <w:lang w:eastAsia="en-GB"/>
              </w:rPr>
              <w:t xml:space="preserve">, други индикатори </w:t>
            </w:r>
            <w:r w:rsidRPr="00FF386D">
              <w:rPr>
                <w:rFonts w:asciiTheme="majorHAnsi" w:eastAsia="Times New Roman" w:hAnsiTheme="majorHAnsi" w:cstheme="majorHAnsi"/>
                <w:i/>
                <w:iCs/>
                <w:color w:val="000000"/>
                <w:sz w:val="20"/>
                <w:szCs w:val="20"/>
                <w:lang w:eastAsia="en-GB"/>
              </w:rPr>
              <w:t>CBA.</w:t>
            </w:r>
          </w:p>
        </w:tc>
      </w:tr>
      <w:tr w:rsidR="00D84B8C" w:rsidRPr="00FF386D" w14:paraId="348470C0" w14:textId="77777777" w:rsidTr="0057310C">
        <w:trPr>
          <w:trHeight w:val="1383"/>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7191F15F" w14:textId="77777777" w:rsidR="00D84B8C" w:rsidRPr="00FF386D" w:rsidRDefault="00D84B8C" w:rsidP="00D84B8C">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34" w:type="dxa"/>
            <w:gridSpan w:val="3"/>
            <w:tcBorders>
              <w:top w:val="single" w:sz="8" w:space="0" w:color="auto"/>
              <w:left w:val="nil"/>
              <w:bottom w:val="single" w:sz="8" w:space="0" w:color="auto"/>
              <w:right w:val="single" w:sz="8" w:space="0" w:color="000000"/>
            </w:tcBorders>
            <w:vAlign w:val="center"/>
            <w:hideMark/>
          </w:tcPr>
          <w:p w14:paraId="06E5AF58" w14:textId="534F1432" w:rsidR="00D84B8C" w:rsidRPr="00FF386D" w:rsidRDefault="00D84B8C" w:rsidP="00D84B8C">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МП_УЕТ3 одговара скупу инфраструктурних мера које обухватају Трансбалкански коридор -фаза I, у складу са </w:t>
            </w:r>
            <w:r w:rsidRPr="00FF386D">
              <w:rPr>
                <w:rFonts w:ascii="Calibri Light" w:hAnsi="Calibri Light"/>
                <w:i/>
                <w:iCs/>
                <w:sz w:val="20"/>
              </w:rPr>
              <w:t>TYNDP</w:t>
            </w:r>
            <w:r w:rsidRPr="00FF386D">
              <w:rPr>
                <w:rFonts w:ascii="Calibri Light" w:hAnsi="Calibri Light"/>
                <w:sz w:val="20"/>
              </w:rPr>
              <w:t xml:space="preserve"> 2021-2030 за Србију. Укупни трошкови пројекта процењују се на 40,8 милиона евра. Још увек не постоји закључен уговор о гранту и зајму за пројекат. Очекује се да ће пројекат бити потпуно оперативан до 202</w:t>
            </w:r>
            <w:r>
              <w:rPr>
                <w:rFonts w:ascii="Calibri Light" w:hAnsi="Calibri Light"/>
                <w:sz w:val="20"/>
              </w:rPr>
              <w:t>7</w:t>
            </w:r>
            <w:r w:rsidRPr="00FF386D">
              <w:rPr>
                <w:rFonts w:ascii="Calibri Light" w:hAnsi="Calibri Light"/>
                <w:sz w:val="20"/>
              </w:rPr>
              <w:t>. године</w:t>
            </w:r>
            <w:r>
              <w:rPr>
                <w:rFonts w:ascii="Calibri Light" w:hAnsi="Calibri Light"/>
                <w:sz w:val="20"/>
              </w:rPr>
              <w:t xml:space="preserve"> (према важећој планској документацији)</w:t>
            </w:r>
            <w:r w:rsidRPr="000A2AFE">
              <w:rPr>
                <w:rFonts w:asciiTheme="majorHAnsi" w:eastAsia="Times New Roman" w:hAnsiTheme="majorHAnsi" w:cstheme="majorHAnsi"/>
                <w:color w:val="000000"/>
                <w:sz w:val="20"/>
                <w:szCs w:val="20"/>
                <w:lang w:eastAsia="en-GB"/>
              </w:rPr>
              <w:t>.</w:t>
            </w:r>
          </w:p>
        </w:tc>
      </w:tr>
      <w:tr w:rsidR="00D84B8C" w:rsidRPr="00FF386D" w14:paraId="569ACC6A" w14:textId="77777777" w:rsidTr="0057310C">
        <w:trPr>
          <w:trHeight w:val="315"/>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57E64EEA" w14:textId="77777777" w:rsidR="00D84B8C" w:rsidRPr="00FF386D" w:rsidRDefault="00D84B8C" w:rsidP="00D84B8C">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34" w:type="dxa"/>
            <w:gridSpan w:val="3"/>
            <w:tcBorders>
              <w:top w:val="single" w:sz="8" w:space="0" w:color="auto"/>
              <w:left w:val="nil"/>
              <w:bottom w:val="single" w:sz="8" w:space="0" w:color="auto"/>
              <w:right w:val="single" w:sz="8" w:space="0" w:color="000000"/>
            </w:tcBorders>
            <w:vAlign w:val="center"/>
            <w:hideMark/>
          </w:tcPr>
          <w:p w14:paraId="396E46B1" w14:textId="77777777" w:rsidR="00D84B8C" w:rsidRPr="00FF386D" w:rsidRDefault="00D84B8C" w:rsidP="00D84B8C">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2021-2030.</w:t>
            </w:r>
          </w:p>
        </w:tc>
      </w:tr>
      <w:tr w:rsidR="00D84B8C" w:rsidRPr="00FF386D" w14:paraId="44102DA4" w14:textId="77777777" w:rsidTr="0057310C">
        <w:trPr>
          <w:trHeight w:val="315"/>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0BA0EFBA" w14:textId="77777777" w:rsidR="00D84B8C" w:rsidRPr="00FF386D" w:rsidRDefault="00D84B8C" w:rsidP="00D84B8C">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34" w:type="dxa"/>
            <w:gridSpan w:val="3"/>
            <w:tcBorders>
              <w:top w:val="single" w:sz="8" w:space="0" w:color="auto"/>
              <w:left w:val="nil"/>
              <w:bottom w:val="single" w:sz="8" w:space="0" w:color="auto"/>
              <w:right w:val="single" w:sz="8" w:space="0" w:color="000000"/>
            </w:tcBorders>
            <w:vAlign w:val="center"/>
            <w:hideMark/>
          </w:tcPr>
          <w:p w14:paraId="381977A8" w14:textId="77777777" w:rsidR="00D84B8C" w:rsidRPr="00FF386D" w:rsidRDefault="00D84B8C" w:rsidP="00D84B8C">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Инвестиција</w:t>
            </w:r>
          </w:p>
        </w:tc>
      </w:tr>
      <w:tr w:rsidR="00D84B8C" w:rsidRPr="00FF386D" w14:paraId="22452636" w14:textId="77777777" w:rsidTr="0057310C">
        <w:trPr>
          <w:trHeight w:val="315"/>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3BB3BC9A" w14:textId="77777777" w:rsidR="00D84B8C" w:rsidRPr="00FF386D" w:rsidRDefault="00D84B8C" w:rsidP="00D84B8C">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34" w:type="dxa"/>
            <w:gridSpan w:val="3"/>
            <w:tcBorders>
              <w:top w:val="single" w:sz="8" w:space="0" w:color="auto"/>
              <w:left w:val="nil"/>
              <w:bottom w:val="single" w:sz="8" w:space="0" w:color="auto"/>
              <w:right w:val="single" w:sz="8" w:space="0" w:color="000000"/>
            </w:tcBorders>
            <w:vAlign w:val="center"/>
            <w:hideMark/>
          </w:tcPr>
          <w:p w14:paraId="7957397B" w14:textId="77777777" w:rsidR="00D84B8C" w:rsidRPr="00FF386D" w:rsidRDefault="00D84B8C" w:rsidP="00D84B8C">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Електрична енергија</w:t>
            </w:r>
          </w:p>
        </w:tc>
      </w:tr>
      <w:tr w:rsidR="00D84B8C" w:rsidRPr="00FF386D" w14:paraId="7629A4DD" w14:textId="77777777" w:rsidTr="0057310C">
        <w:trPr>
          <w:trHeight w:val="315"/>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51D7A947" w14:textId="77777777" w:rsidR="00D84B8C" w:rsidRPr="00FF386D" w:rsidRDefault="00D84B8C" w:rsidP="00D84B8C">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34" w:type="dxa"/>
            <w:gridSpan w:val="3"/>
            <w:tcBorders>
              <w:top w:val="single" w:sz="8" w:space="0" w:color="auto"/>
              <w:left w:val="nil"/>
              <w:bottom w:val="single" w:sz="8" w:space="0" w:color="auto"/>
              <w:right w:val="single" w:sz="8" w:space="0" w:color="000000"/>
            </w:tcBorders>
            <w:vAlign w:val="center"/>
            <w:hideMark/>
          </w:tcPr>
          <w:p w14:paraId="5985E374" w14:textId="77777777" w:rsidR="00D84B8C" w:rsidRPr="00FF386D" w:rsidRDefault="00D84B8C" w:rsidP="00D84B8C">
            <w:pPr>
              <w:numPr>
                <w:ilvl w:val="0"/>
                <w:numId w:val="39"/>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рударства и енергетике</w:t>
            </w:r>
          </w:p>
          <w:p w14:paraId="0073D11B" w14:textId="77777777" w:rsidR="00D84B8C" w:rsidRPr="00FF386D" w:rsidRDefault="00D84B8C" w:rsidP="00D84B8C">
            <w:pPr>
              <w:numPr>
                <w:ilvl w:val="0"/>
                <w:numId w:val="39"/>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ЕМС</w:t>
            </w:r>
          </w:p>
        </w:tc>
      </w:tr>
      <w:tr w:rsidR="00D84B8C" w:rsidRPr="00FF386D" w14:paraId="5AFC28E8" w14:textId="77777777" w:rsidTr="0057310C">
        <w:trPr>
          <w:trHeight w:val="315"/>
        </w:trPr>
        <w:tc>
          <w:tcPr>
            <w:tcW w:w="3254" w:type="dxa"/>
            <w:tcBorders>
              <w:top w:val="nil"/>
              <w:left w:val="single" w:sz="8" w:space="0" w:color="auto"/>
              <w:bottom w:val="single" w:sz="8" w:space="0" w:color="auto"/>
              <w:right w:val="nil"/>
            </w:tcBorders>
            <w:shd w:val="clear" w:color="000000" w:fill="244062"/>
            <w:vAlign w:val="center"/>
            <w:hideMark/>
          </w:tcPr>
          <w:p w14:paraId="36A6AAFF" w14:textId="77777777" w:rsidR="00D84B8C" w:rsidRPr="00FF386D" w:rsidRDefault="00D84B8C" w:rsidP="00D84B8C">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34" w:type="dxa"/>
            <w:gridSpan w:val="3"/>
            <w:tcBorders>
              <w:top w:val="single" w:sz="8" w:space="0" w:color="auto"/>
              <w:left w:val="nil"/>
              <w:bottom w:val="single" w:sz="8" w:space="0" w:color="auto"/>
              <w:right w:val="single" w:sz="8" w:space="0" w:color="000000"/>
            </w:tcBorders>
            <w:vAlign w:val="center"/>
            <w:hideMark/>
          </w:tcPr>
          <w:p w14:paraId="32FACFA1" w14:textId="77777777" w:rsidR="00D84B8C" w:rsidRPr="00FF386D" w:rsidRDefault="00D84B8C" w:rsidP="00D84B8C">
            <w:pPr>
              <w:numPr>
                <w:ilvl w:val="0"/>
                <w:numId w:val="39"/>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ЕМС</w:t>
            </w:r>
          </w:p>
        </w:tc>
      </w:tr>
      <w:tr w:rsidR="00D84B8C" w:rsidRPr="00FF386D" w14:paraId="2A294247" w14:textId="77777777" w:rsidTr="0057310C">
        <w:trPr>
          <w:trHeight w:val="315"/>
        </w:trPr>
        <w:tc>
          <w:tcPr>
            <w:tcW w:w="3254" w:type="dxa"/>
            <w:tcBorders>
              <w:top w:val="nil"/>
              <w:left w:val="single" w:sz="8" w:space="0" w:color="auto"/>
              <w:bottom w:val="single" w:sz="8" w:space="0" w:color="auto"/>
              <w:right w:val="nil"/>
            </w:tcBorders>
            <w:shd w:val="clear" w:color="000000" w:fill="244062"/>
            <w:vAlign w:val="center"/>
            <w:hideMark/>
          </w:tcPr>
          <w:p w14:paraId="16BA28D2" w14:textId="77777777" w:rsidR="00D84B8C" w:rsidRPr="00FF386D" w:rsidRDefault="00D84B8C" w:rsidP="00D84B8C">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34" w:type="dxa"/>
            <w:gridSpan w:val="3"/>
            <w:tcBorders>
              <w:top w:val="single" w:sz="8" w:space="0" w:color="auto"/>
              <w:left w:val="nil"/>
              <w:bottom w:val="single" w:sz="8" w:space="0" w:color="auto"/>
              <w:right w:val="single" w:sz="8" w:space="0" w:color="000000"/>
            </w:tcBorders>
            <w:vAlign w:val="center"/>
            <w:hideMark/>
          </w:tcPr>
          <w:p w14:paraId="1E9AFE55" w14:textId="77777777" w:rsidR="00D84B8C" w:rsidRDefault="00D84B8C" w:rsidP="00D84B8C">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Циљеви интерконективности</w:t>
            </w:r>
          </w:p>
          <w:p w14:paraId="7EBCC046" w14:textId="58FA2051" w:rsidR="00F718B5" w:rsidRPr="00FF386D" w:rsidRDefault="00F718B5" w:rsidP="00D84B8C">
            <w:pPr>
              <w:spacing w:after="0" w:line="240" w:lineRule="auto"/>
              <w:jc w:val="both"/>
              <w:rPr>
                <w:rFonts w:asciiTheme="majorHAnsi" w:eastAsia="Times New Roman" w:hAnsiTheme="majorHAnsi" w:cstheme="majorHAnsi"/>
                <w:color w:val="000000"/>
                <w:sz w:val="20"/>
                <w:szCs w:val="20"/>
                <w:lang w:eastAsia="en-GB"/>
              </w:rPr>
            </w:pPr>
            <w:r w:rsidRPr="00F718B5">
              <w:rPr>
                <w:rFonts w:asciiTheme="majorHAnsi" w:eastAsia="Times New Roman" w:hAnsiTheme="majorHAnsi" w:cstheme="majorHAnsi"/>
                <w:color w:val="000000"/>
                <w:sz w:val="20"/>
                <w:szCs w:val="20"/>
                <w:lang w:eastAsia="en-GB"/>
              </w:rPr>
              <w:t>Могућност прикључења додатних капацитета ОИЕ</w:t>
            </w:r>
          </w:p>
        </w:tc>
      </w:tr>
      <w:tr w:rsidR="00D84B8C" w:rsidRPr="00FF386D" w14:paraId="0069D63B" w14:textId="77777777" w:rsidTr="0057310C">
        <w:trPr>
          <w:trHeight w:val="518"/>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0BE07995" w14:textId="77777777" w:rsidR="00D84B8C" w:rsidRPr="00FF386D" w:rsidRDefault="00D84B8C" w:rsidP="00D84B8C">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34" w:type="dxa"/>
            <w:gridSpan w:val="3"/>
            <w:tcBorders>
              <w:top w:val="single" w:sz="8" w:space="0" w:color="auto"/>
              <w:left w:val="nil"/>
              <w:bottom w:val="single" w:sz="8" w:space="0" w:color="auto"/>
              <w:right w:val="single" w:sz="8" w:space="0" w:color="000000"/>
            </w:tcBorders>
            <w:vAlign w:val="center"/>
            <w:hideMark/>
          </w:tcPr>
          <w:p w14:paraId="3DDF7B5C" w14:textId="77777777" w:rsidR="00D84B8C" w:rsidRPr="000A2AFE" w:rsidRDefault="00D84B8C" w:rsidP="00D84B8C">
            <w:pPr>
              <w:numPr>
                <w:ilvl w:val="0"/>
                <w:numId w:val="39"/>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Енергетска сигурност</w:t>
            </w:r>
          </w:p>
          <w:p w14:paraId="3DA51029" w14:textId="4B81798E" w:rsidR="00147EE6" w:rsidRPr="00FF386D" w:rsidRDefault="00147EE6" w:rsidP="00D84B8C">
            <w:pPr>
              <w:numPr>
                <w:ilvl w:val="0"/>
                <w:numId w:val="39"/>
              </w:numPr>
              <w:spacing w:after="0" w:line="240" w:lineRule="auto"/>
              <w:contextualSpacing/>
              <w:rPr>
                <w:rFonts w:asciiTheme="majorHAnsi" w:eastAsia="Times New Roman" w:hAnsiTheme="majorHAnsi" w:cstheme="majorHAnsi"/>
                <w:color w:val="000000"/>
                <w:sz w:val="20"/>
                <w:szCs w:val="20"/>
                <w:lang w:eastAsia="en-GB"/>
              </w:rPr>
            </w:pPr>
            <w:r>
              <w:rPr>
                <w:rFonts w:ascii="Calibri Light" w:hAnsi="Calibri Light"/>
                <w:color w:val="000000"/>
                <w:sz w:val="20"/>
              </w:rPr>
              <w:t>Декарбонизација</w:t>
            </w:r>
          </w:p>
        </w:tc>
      </w:tr>
      <w:tr w:rsidR="00D84B8C" w:rsidRPr="00FF386D" w14:paraId="7762A21E" w14:textId="77777777" w:rsidTr="0057310C">
        <w:trPr>
          <w:trHeight w:val="450"/>
        </w:trPr>
        <w:tc>
          <w:tcPr>
            <w:tcW w:w="3254"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774C4708" w14:textId="3098DC92" w:rsidR="00D84B8C" w:rsidRPr="00FF386D" w:rsidRDefault="00D84B8C" w:rsidP="00D84B8C">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Политике Уније која су резултирале имплементацијом политике и мере</w:t>
            </w:r>
          </w:p>
        </w:tc>
        <w:tc>
          <w:tcPr>
            <w:tcW w:w="6234"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444E078D" w14:textId="77777777" w:rsidR="00D84B8C" w:rsidRPr="000A2AFE" w:rsidRDefault="00D84B8C" w:rsidP="00D84B8C">
            <w:pPr>
              <w:numPr>
                <w:ilvl w:val="0"/>
                <w:numId w:val="39"/>
              </w:numPr>
              <w:spacing w:after="0" w:line="240" w:lineRule="auto"/>
              <w:contextualSpacing/>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Директива 2009/72/EЗ</w:t>
            </w:r>
          </w:p>
          <w:p w14:paraId="00848804" w14:textId="77777777" w:rsidR="00D84B8C" w:rsidRPr="00FF386D" w:rsidRDefault="00D84B8C" w:rsidP="00D84B8C">
            <w:pPr>
              <w:numPr>
                <w:ilvl w:val="0"/>
                <w:numId w:val="39"/>
              </w:numPr>
              <w:spacing w:after="0" w:line="240" w:lineRule="auto"/>
              <w:contextualSpacing/>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Уредба (ЕУ) 347/2013</w:t>
            </w:r>
          </w:p>
        </w:tc>
      </w:tr>
      <w:tr w:rsidR="00D84B8C" w:rsidRPr="00FF386D" w14:paraId="56899D4F"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1DF26099" w14:textId="77777777" w:rsidR="00D84B8C" w:rsidRPr="00FF386D" w:rsidRDefault="00D84B8C" w:rsidP="00D84B8C">
            <w:pPr>
              <w:spacing w:after="0" w:line="256" w:lineRule="auto"/>
              <w:rPr>
                <w:rFonts w:ascii="Calibri Light" w:eastAsia="Times New Roman" w:hAnsi="Calibri Light" w:cs="Calibri Light"/>
                <w:b/>
                <w:bCs/>
                <w:color w:val="FFFFFF"/>
                <w:sz w:val="20"/>
                <w:szCs w:val="20"/>
                <w:lang w:eastAsia="en-GB"/>
              </w:rPr>
            </w:pPr>
          </w:p>
        </w:tc>
        <w:tc>
          <w:tcPr>
            <w:tcW w:w="6234" w:type="dxa"/>
            <w:gridSpan w:val="3"/>
            <w:vMerge/>
            <w:tcBorders>
              <w:top w:val="single" w:sz="8" w:space="0" w:color="auto"/>
              <w:left w:val="single" w:sz="8" w:space="0" w:color="auto"/>
              <w:bottom w:val="single" w:sz="8" w:space="0" w:color="000000"/>
              <w:right w:val="single" w:sz="8" w:space="0" w:color="000000"/>
            </w:tcBorders>
            <w:vAlign w:val="center"/>
            <w:hideMark/>
          </w:tcPr>
          <w:p w14:paraId="76708ACC" w14:textId="77777777" w:rsidR="00D84B8C" w:rsidRPr="00FF386D" w:rsidRDefault="00D84B8C" w:rsidP="00D84B8C">
            <w:pPr>
              <w:spacing w:after="0" w:line="256" w:lineRule="auto"/>
              <w:rPr>
                <w:rFonts w:asciiTheme="majorHAnsi" w:eastAsia="Times New Roman" w:hAnsiTheme="majorHAnsi" w:cstheme="majorHAnsi"/>
                <w:color w:val="000000"/>
                <w:sz w:val="20"/>
                <w:szCs w:val="20"/>
                <w:lang w:eastAsia="en-GB"/>
              </w:rPr>
            </w:pPr>
          </w:p>
        </w:tc>
      </w:tr>
      <w:tr w:rsidR="00D84B8C" w:rsidRPr="00FF386D" w14:paraId="05281311"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7864BA6F" w14:textId="77777777" w:rsidR="00D84B8C" w:rsidRPr="00FF386D" w:rsidRDefault="00D84B8C" w:rsidP="00D84B8C">
            <w:pPr>
              <w:spacing w:after="0" w:line="256" w:lineRule="auto"/>
              <w:rPr>
                <w:rFonts w:ascii="Calibri Light" w:eastAsia="Times New Roman" w:hAnsi="Calibri Light" w:cs="Calibri Light"/>
                <w:b/>
                <w:bCs/>
                <w:color w:val="FFFFFF"/>
                <w:sz w:val="20"/>
                <w:szCs w:val="20"/>
                <w:lang w:eastAsia="en-GB"/>
              </w:rPr>
            </w:pPr>
          </w:p>
        </w:tc>
        <w:tc>
          <w:tcPr>
            <w:tcW w:w="6234" w:type="dxa"/>
            <w:gridSpan w:val="3"/>
            <w:vMerge/>
            <w:tcBorders>
              <w:top w:val="single" w:sz="8" w:space="0" w:color="auto"/>
              <w:left w:val="single" w:sz="8" w:space="0" w:color="auto"/>
              <w:bottom w:val="single" w:sz="8" w:space="0" w:color="000000"/>
              <w:right w:val="single" w:sz="8" w:space="0" w:color="000000"/>
            </w:tcBorders>
            <w:vAlign w:val="center"/>
            <w:hideMark/>
          </w:tcPr>
          <w:p w14:paraId="4B513341" w14:textId="77777777" w:rsidR="00D84B8C" w:rsidRPr="00FF386D" w:rsidRDefault="00D84B8C" w:rsidP="00D84B8C">
            <w:pPr>
              <w:spacing w:after="0" w:line="256" w:lineRule="auto"/>
              <w:rPr>
                <w:rFonts w:asciiTheme="majorHAnsi" w:eastAsia="Times New Roman" w:hAnsiTheme="majorHAnsi" w:cstheme="majorHAnsi"/>
                <w:color w:val="000000"/>
                <w:sz w:val="20"/>
                <w:szCs w:val="20"/>
                <w:lang w:eastAsia="en-GB"/>
              </w:rPr>
            </w:pPr>
          </w:p>
        </w:tc>
      </w:tr>
      <w:tr w:rsidR="00D84B8C" w:rsidRPr="00FF386D" w14:paraId="5C0CD51E" w14:textId="77777777" w:rsidTr="0057310C">
        <w:trPr>
          <w:trHeight w:val="780"/>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6D702D78" w14:textId="77777777" w:rsidR="00D84B8C" w:rsidRPr="00FF386D" w:rsidRDefault="00D84B8C" w:rsidP="00D84B8C">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34" w:type="dxa"/>
            <w:gridSpan w:val="3"/>
            <w:tcBorders>
              <w:top w:val="single" w:sz="8" w:space="0" w:color="auto"/>
              <w:left w:val="nil"/>
              <w:bottom w:val="single" w:sz="8" w:space="0" w:color="auto"/>
              <w:right w:val="single" w:sz="8" w:space="0" w:color="000000"/>
            </w:tcBorders>
            <w:vAlign w:val="center"/>
            <w:hideMark/>
          </w:tcPr>
          <w:p w14:paraId="038D3A93" w14:textId="77777777" w:rsidR="00D84B8C" w:rsidRPr="00FF386D" w:rsidRDefault="00D84B8C" w:rsidP="00D84B8C">
            <w:pPr>
              <w:numPr>
                <w:ilvl w:val="0"/>
                <w:numId w:val="41"/>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i/>
                <w:iCs/>
                <w:color w:val="000000"/>
                <w:sz w:val="20"/>
                <w:szCs w:val="20"/>
                <w:lang w:eastAsia="en-GB"/>
              </w:rPr>
              <w:t xml:space="preserve">TYNDP </w:t>
            </w:r>
            <w:r w:rsidRPr="00FF386D">
              <w:rPr>
                <w:rFonts w:asciiTheme="majorHAnsi" w:eastAsia="Times New Roman" w:hAnsiTheme="majorHAnsi" w:cstheme="majorHAnsi"/>
                <w:color w:val="000000"/>
                <w:sz w:val="20"/>
                <w:szCs w:val="20"/>
                <w:lang w:eastAsia="en-GB"/>
              </w:rPr>
              <w:t>2021-2030</w:t>
            </w:r>
          </w:p>
        </w:tc>
      </w:tr>
      <w:tr w:rsidR="00D84B8C" w:rsidRPr="00FF386D" w14:paraId="76BA7A5F" w14:textId="77777777" w:rsidTr="0057310C">
        <w:trPr>
          <w:trHeight w:val="315"/>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7358D72E" w14:textId="77777777" w:rsidR="00D84B8C" w:rsidRPr="00FF386D" w:rsidRDefault="00D84B8C" w:rsidP="00D84B8C">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34" w:type="dxa"/>
            <w:gridSpan w:val="3"/>
            <w:tcBorders>
              <w:top w:val="single" w:sz="8" w:space="0" w:color="auto"/>
              <w:left w:val="nil"/>
              <w:bottom w:val="single" w:sz="8" w:space="0" w:color="auto"/>
              <w:right w:val="single" w:sz="8" w:space="0" w:color="000000"/>
            </w:tcBorders>
            <w:vAlign w:val="center"/>
            <w:hideMark/>
          </w:tcPr>
          <w:p w14:paraId="32440682" w14:textId="5CCCF568" w:rsidR="00D84B8C" w:rsidRPr="00FF386D" w:rsidRDefault="00D84B8C" w:rsidP="00D84B8C">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52,32 милиона евра</w:t>
            </w:r>
          </w:p>
        </w:tc>
      </w:tr>
      <w:tr w:rsidR="00D84B8C" w:rsidRPr="00FF386D" w14:paraId="32AB7B3B" w14:textId="77777777" w:rsidTr="0057310C">
        <w:trPr>
          <w:trHeight w:val="315"/>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6AF583D9" w14:textId="77777777" w:rsidR="00D84B8C" w:rsidRPr="00FF386D" w:rsidRDefault="00D84B8C" w:rsidP="00D84B8C">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34" w:type="dxa"/>
            <w:gridSpan w:val="3"/>
            <w:tcBorders>
              <w:top w:val="single" w:sz="8" w:space="0" w:color="auto"/>
              <w:left w:val="nil"/>
              <w:bottom w:val="single" w:sz="8" w:space="0" w:color="auto"/>
              <w:right w:val="single" w:sz="8" w:space="0" w:color="000000"/>
            </w:tcBorders>
            <w:vAlign w:val="center"/>
            <w:hideMark/>
          </w:tcPr>
          <w:p w14:paraId="67D0070D" w14:textId="19DBF61A" w:rsidR="00D84B8C" w:rsidRPr="00FF386D" w:rsidRDefault="00D84B8C" w:rsidP="00D84B8C">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eastAsia="Times New Roman" w:hAnsi="Calibri Light" w:cs="Calibri Light"/>
                <w:color w:val="000000"/>
                <w:sz w:val="20"/>
                <w:szCs w:val="20"/>
                <w:lang w:eastAsia="en-GB"/>
              </w:rPr>
              <w:t>Фондови ЕУ и други фондови, буџетска и сопствена средства</w:t>
            </w:r>
          </w:p>
        </w:tc>
      </w:tr>
    </w:tbl>
    <w:p w14:paraId="77A3436C"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54"/>
        <w:gridCol w:w="1207"/>
        <w:gridCol w:w="927"/>
        <w:gridCol w:w="4100"/>
      </w:tblGrid>
      <w:tr w:rsidR="00854ADA" w:rsidRPr="00FF386D" w14:paraId="71652F1B" w14:textId="77777777" w:rsidTr="0057310C">
        <w:trPr>
          <w:trHeight w:val="780"/>
        </w:trPr>
        <w:tc>
          <w:tcPr>
            <w:tcW w:w="3254"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4D5E80E4" w14:textId="0F89414A"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 xml:space="preserve">: </w:t>
            </w:r>
          </w:p>
        </w:tc>
        <w:tc>
          <w:tcPr>
            <w:tcW w:w="12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3D839201" w14:textId="24BD3A87"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МП_УЕ</w:t>
            </w:r>
            <w:r w:rsidR="006661C4" w:rsidRPr="00FF386D">
              <w:rPr>
                <w:rFonts w:ascii="Calibri Light" w:hAnsi="Calibri Light"/>
                <w:b/>
                <w:sz w:val="20"/>
              </w:rPr>
              <w:t>Т</w:t>
            </w:r>
            <w:r w:rsidRPr="00FF386D">
              <w:rPr>
                <w:rFonts w:ascii="Calibri Light" w:hAnsi="Calibri Light"/>
                <w:b/>
                <w:sz w:val="20"/>
              </w:rPr>
              <w:t>4</w:t>
            </w:r>
          </w:p>
        </w:tc>
        <w:tc>
          <w:tcPr>
            <w:tcW w:w="927" w:type="dxa"/>
            <w:tcBorders>
              <w:top w:val="single" w:sz="8" w:space="0" w:color="auto"/>
              <w:left w:val="nil"/>
              <w:bottom w:val="single" w:sz="8" w:space="0" w:color="auto"/>
              <w:right w:val="single" w:sz="8" w:space="0" w:color="auto"/>
            </w:tcBorders>
            <w:shd w:val="clear" w:color="auto" w:fill="244062"/>
            <w:vAlign w:val="center"/>
            <w:hideMark/>
          </w:tcPr>
          <w:p w14:paraId="7B850EC5" w14:textId="77777777" w:rsidR="00854ADA" w:rsidRPr="00FF386D" w:rsidRDefault="00854ADA" w:rsidP="00854ADA">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Назив</w:t>
            </w:r>
            <w:r w:rsidRPr="000A2AFE">
              <w:rPr>
                <w:rFonts w:asciiTheme="majorHAnsi" w:eastAsia="Times New Roman" w:hAnsiTheme="majorHAnsi" w:cstheme="majorHAnsi"/>
                <w:b/>
                <w:bCs/>
                <w:color w:val="FFFFFF"/>
                <w:sz w:val="20"/>
                <w:szCs w:val="20"/>
                <w:lang w:eastAsia="en-GB"/>
              </w:rPr>
              <w:t xml:space="preserve">: </w:t>
            </w:r>
          </w:p>
        </w:tc>
        <w:tc>
          <w:tcPr>
            <w:tcW w:w="4100" w:type="dxa"/>
            <w:tcBorders>
              <w:top w:val="single" w:sz="8" w:space="0" w:color="auto"/>
              <w:left w:val="nil"/>
              <w:bottom w:val="single" w:sz="8" w:space="0" w:color="auto"/>
              <w:right w:val="single" w:sz="8" w:space="0" w:color="auto"/>
            </w:tcBorders>
            <w:shd w:val="clear" w:color="auto" w:fill="E7E6E6" w:themeFill="background2"/>
            <w:vAlign w:val="center"/>
            <w:hideMark/>
          </w:tcPr>
          <w:p w14:paraId="3A9496AD" w14:textId="2CA96C0E"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Интерконекција између Решице (РУ) и Панчева (РС) (</w:t>
            </w:r>
            <w:r w:rsidRPr="00FF386D">
              <w:rPr>
                <w:rFonts w:ascii="Calibri Light" w:hAnsi="Calibri Light"/>
                <w:b/>
                <w:i/>
                <w:iCs/>
                <w:sz w:val="20"/>
              </w:rPr>
              <w:t>PCI</w:t>
            </w:r>
            <w:r w:rsidR="00494B8F">
              <w:rPr>
                <w:rFonts w:ascii="Calibri Light" w:hAnsi="Calibri Light"/>
                <w:b/>
                <w:i/>
                <w:iCs/>
                <w:sz w:val="20"/>
                <w:lang w:val="sr-Latn-RS"/>
              </w:rPr>
              <w:t xml:space="preserve"> </w:t>
            </w:r>
            <w:r w:rsidRPr="00FF386D">
              <w:rPr>
                <w:rFonts w:ascii="Calibri Light" w:hAnsi="Calibri Light"/>
                <w:b/>
                <w:sz w:val="20"/>
              </w:rPr>
              <w:t>3.22.1)</w:t>
            </w:r>
          </w:p>
        </w:tc>
      </w:tr>
      <w:tr w:rsidR="00854ADA" w:rsidRPr="00FF386D" w14:paraId="520C9862" w14:textId="77777777" w:rsidTr="0057310C">
        <w:trPr>
          <w:trHeight w:val="960"/>
        </w:trPr>
        <w:tc>
          <w:tcPr>
            <w:tcW w:w="3254" w:type="dxa"/>
            <w:tcBorders>
              <w:top w:val="nil"/>
              <w:left w:val="single" w:sz="8" w:space="0" w:color="auto"/>
              <w:bottom w:val="single" w:sz="8" w:space="0" w:color="auto"/>
              <w:right w:val="nil"/>
            </w:tcBorders>
            <w:shd w:val="clear" w:color="000000" w:fill="244062"/>
            <w:vAlign w:val="center"/>
            <w:hideMark/>
          </w:tcPr>
          <w:p w14:paraId="51CD0AD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234" w:type="dxa"/>
            <w:gridSpan w:val="3"/>
            <w:tcBorders>
              <w:top w:val="single" w:sz="8" w:space="0" w:color="auto"/>
              <w:left w:val="nil"/>
              <w:bottom w:val="single" w:sz="8" w:space="0" w:color="auto"/>
              <w:right w:val="single" w:sz="8" w:space="0" w:color="000000"/>
            </w:tcBorders>
            <w:vAlign w:val="center"/>
          </w:tcPr>
          <w:p w14:paraId="42264AB3" w14:textId="33E9E9CA" w:rsidR="00854ADA" w:rsidRPr="00FF386D" w:rsidRDefault="00180CEC" w:rsidP="00854ADA">
            <w:pPr>
              <w:spacing w:after="0" w:line="240" w:lineRule="auto"/>
              <w:jc w:val="both"/>
              <w:rPr>
                <w:rFonts w:asciiTheme="majorHAnsi" w:eastAsia="Times New Roman" w:hAnsiTheme="majorHAnsi" w:cstheme="majorHAnsi"/>
                <w:color w:val="000000"/>
                <w:sz w:val="20"/>
                <w:szCs w:val="20"/>
                <w:lang w:eastAsia="en-GB"/>
              </w:rPr>
            </w:pPr>
            <w:r w:rsidRPr="00180CEC">
              <w:rPr>
                <w:rFonts w:asciiTheme="majorHAnsi" w:eastAsia="Times New Roman" w:hAnsiTheme="majorHAnsi" w:cstheme="majorHAnsi"/>
                <w:color w:val="000000"/>
                <w:sz w:val="20"/>
                <w:szCs w:val="20"/>
                <w:lang w:eastAsia="en-GB"/>
              </w:rPr>
              <w:t>Одржавање и постизање циља интерконективности, планирање и спровођење пројеката преносне инфраструктуре у области електричне енергије и гаса (и где је то релевантно, пројеката модернизације); обезбеђивање поузданости напајања купаца; стварање услова за даљи индустријски развој подручја на којима се пројекат налази; интеграција жељеног нивоа ОИЕ; обезбеђивање потребног нивоа флексибилности електроенергетског система; који су потребни за постизање циљева и приоритета у оквиру пет димензија Енергетске уније.</w:t>
            </w:r>
          </w:p>
        </w:tc>
      </w:tr>
      <w:tr w:rsidR="00854ADA" w:rsidRPr="00FF386D" w14:paraId="0BDF3FB1" w14:textId="77777777" w:rsidTr="0057310C">
        <w:trPr>
          <w:trHeight w:val="315"/>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483EBBE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Квантификовани циљ: </w:t>
            </w:r>
          </w:p>
        </w:tc>
        <w:tc>
          <w:tcPr>
            <w:tcW w:w="6234" w:type="dxa"/>
            <w:gridSpan w:val="3"/>
            <w:tcBorders>
              <w:top w:val="single" w:sz="8" w:space="0" w:color="auto"/>
              <w:left w:val="nil"/>
              <w:bottom w:val="single" w:sz="8" w:space="0" w:color="auto"/>
              <w:right w:val="single" w:sz="8" w:space="0" w:color="000000"/>
            </w:tcBorders>
            <w:vAlign w:val="center"/>
          </w:tcPr>
          <w:p w14:paraId="29BB274B"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Испуњени циљеви у погледу интерконективности, предвиђени до 2030. године, критеријум сигурности </w:t>
            </w:r>
            <w:r w:rsidRPr="00FF386D">
              <w:rPr>
                <w:rFonts w:asciiTheme="majorHAnsi" w:eastAsia="Times New Roman" w:hAnsiTheme="majorHAnsi" w:cstheme="majorHAnsi"/>
                <w:i/>
                <w:iCs/>
                <w:color w:val="000000"/>
                <w:sz w:val="20"/>
                <w:szCs w:val="20"/>
                <w:lang w:eastAsia="en-GB"/>
              </w:rPr>
              <w:t>N-1</w:t>
            </w:r>
            <w:r w:rsidRPr="00FF386D">
              <w:rPr>
                <w:rFonts w:asciiTheme="majorHAnsi" w:eastAsia="Times New Roman" w:hAnsiTheme="majorHAnsi" w:cstheme="majorHAnsi"/>
                <w:color w:val="000000"/>
                <w:sz w:val="20"/>
                <w:szCs w:val="20"/>
                <w:lang w:eastAsia="en-GB"/>
              </w:rPr>
              <w:t xml:space="preserve">, други индикатори </w:t>
            </w:r>
            <w:r w:rsidRPr="00FF386D">
              <w:rPr>
                <w:rFonts w:asciiTheme="majorHAnsi" w:eastAsia="Times New Roman" w:hAnsiTheme="majorHAnsi" w:cstheme="majorHAnsi"/>
                <w:i/>
                <w:iCs/>
                <w:color w:val="000000"/>
                <w:sz w:val="20"/>
                <w:szCs w:val="20"/>
                <w:lang w:eastAsia="en-GB"/>
              </w:rPr>
              <w:t>CBA.</w:t>
            </w:r>
          </w:p>
        </w:tc>
      </w:tr>
      <w:tr w:rsidR="00854ADA" w:rsidRPr="00FF386D" w14:paraId="13C2AF8B" w14:textId="77777777" w:rsidTr="0057310C">
        <w:trPr>
          <w:trHeight w:val="1395"/>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0E9B1BC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34" w:type="dxa"/>
            <w:gridSpan w:val="3"/>
            <w:tcBorders>
              <w:top w:val="single" w:sz="8" w:space="0" w:color="auto"/>
              <w:left w:val="nil"/>
              <w:bottom w:val="single" w:sz="8" w:space="0" w:color="auto"/>
              <w:right w:val="single" w:sz="8" w:space="0" w:color="000000"/>
            </w:tcBorders>
            <w:vAlign w:val="center"/>
            <w:hideMark/>
          </w:tcPr>
          <w:p w14:paraId="6F8671A5" w14:textId="2D902BD1"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МП_УЕ</w:t>
            </w:r>
            <w:r w:rsidR="006661C4" w:rsidRPr="00FF386D">
              <w:rPr>
                <w:rFonts w:ascii="Calibri Light" w:hAnsi="Calibri Light"/>
                <w:sz w:val="20"/>
              </w:rPr>
              <w:t>Т</w:t>
            </w:r>
            <w:r w:rsidRPr="00FF386D">
              <w:rPr>
                <w:rFonts w:ascii="Calibri Light" w:hAnsi="Calibri Light"/>
                <w:sz w:val="20"/>
              </w:rPr>
              <w:t xml:space="preserve">4 одговара скупу инфраструктурних мера које обухватају српско-румунску интерконекцију, која је укључена у </w:t>
            </w:r>
            <w:r w:rsidRPr="00FF386D">
              <w:rPr>
                <w:rFonts w:ascii="Calibri Light" w:hAnsi="Calibri Light"/>
                <w:i/>
                <w:iCs/>
                <w:sz w:val="20"/>
              </w:rPr>
              <w:t>TYNDP</w:t>
            </w:r>
            <w:r w:rsidRPr="00FF386D">
              <w:rPr>
                <w:rFonts w:ascii="Calibri Light" w:hAnsi="Calibri Light"/>
                <w:sz w:val="20"/>
              </w:rPr>
              <w:t xml:space="preserve"> 2021-2030. за Србију. Пројекат је завршен на територији Србије до румунске границе. На румунској страни пројекат је још увек у току. Неопходно је да румунски оператор преносног система Транселектрика имплементира 400 kV ТС Решица, као и ДВ 400 kV од ТС Портиле де Фиер до деонице ТС Решица од границе до ТС Решица. Деоница далековода 400 kV од румунске границе до ТС Решица је завршена</w:t>
            </w:r>
            <w:r w:rsidRPr="000A2AFE">
              <w:rPr>
                <w:rFonts w:asciiTheme="majorHAnsi" w:eastAsia="Times New Roman" w:hAnsiTheme="majorHAnsi" w:cstheme="majorHAnsi"/>
                <w:color w:val="000000"/>
                <w:sz w:val="20"/>
                <w:szCs w:val="20"/>
                <w:lang w:eastAsia="en-GB"/>
              </w:rPr>
              <w:t>.</w:t>
            </w:r>
          </w:p>
        </w:tc>
      </w:tr>
      <w:tr w:rsidR="00854ADA" w:rsidRPr="00FF386D" w14:paraId="35285774" w14:textId="77777777" w:rsidTr="0057310C">
        <w:trPr>
          <w:trHeight w:val="315"/>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2ED530D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34" w:type="dxa"/>
            <w:gridSpan w:val="3"/>
            <w:tcBorders>
              <w:top w:val="single" w:sz="8" w:space="0" w:color="auto"/>
              <w:left w:val="nil"/>
              <w:bottom w:val="single" w:sz="8" w:space="0" w:color="auto"/>
              <w:right w:val="single" w:sz="8" w:space="0" w:color="000000"/>
            </w:tcBorders>
            <w:vAlign w:val="center"/>
            <w:hideMark/>
          </w:tcPr>
          <w:p w14:paraId="79F40A05" w14:textId="43AD0469" w:rsidR="00180CEC" w:rsidRDefault="00180CEC" w:rsidP="00854ADA">
            <w:pPr>
              <w:spacing w:after="0" w:line="240" w:lineRule="auto"/>
              <w:jc w:val="both"/>
              <w:rPr>
                <w:rFonts w:ascii="Calibri Light" w:hAnsi="Calibri Light"/>
                <w:sz w:val="20"/>
              </w:rPr>
            </w:pPr>
            <w:r>
              <w:rPr>
                <w:rFonts w:ascii="Calibri Light" w:hAnsi="Calibri Light"/>
                <w:sz w:val="20"/>
              </w:rPr>
              <w:t>Завршено у 2017. години (од стране Србије)</w:t>
            </w:r>
          </w:p>
          <w:p w14:paraId="43BFEE5E" w14:textId="2030B38F"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2026-2030.</w:t>
            </w:r>
            <w:r w:rsidR="00180CEC">
              <w:rPr>
                <w:rFonts w:ascii="Calibri Light" w:hAnsi="Calibri Light"/>
                <w:sz w:val="20"/>
              </w:rPr>
              <w:t xml:space="preserve"> (за део у Румунији)</w:t>
            </w:r>
          </w:p>
        </w:tc>
      </w:tr>
      <w:tr w:rsidR="00854ADA" w:rsidRPr="00FF386D" w14:paraId="5B571A34" w14:textId="77777777" w:rsidTr="0057310C">
        <w:trPr>
          <w:trHeight w:val="315"/>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67AFC5A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34" w:type="dxa"/>
            <w:gridSpan w:val="3"/>
            <w:tcBorders>
              <w:top w:val="single" w:sz="8" w:space="0" w:color="auto"/>
              <w:left w:val="nil"/>
              <w:bottom w:val="single" w:sz="8" w:space="0" w:color="auto"/>
              <w:right w:val="single" w:sz="8" w:space="0" w:color="000000"/>
            </w:tcBorders>
            <w:vAlign w:val="center"/>
            <w:hideMark/>
          </w:tcPr>
          <w:p w14:paraId="5D3F2ABA"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Инвестиција</w:t>
            </w:r>
          </w:p>
        </w:tc>
      </w:tr>
      <w:tr w:rsidR="00854ADA" w:rsidRPr="00FF386D" w14:paraId="0259EFFE" w14:textId="77777777" w:rsidTr="0057310C">
        <w:trPr>
          <w:trHeight w:val="315"/>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379527A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34" w:type="dxa"/>
            <w:gridSpan w:val="3"/>
            <w:tcBorders>
              <w:top w:val="single" w:sz="8" w:space="0" w:color="auto"/>
              <w:left w:val="nil"/>
              <w:bottom w:val="single" w:sz="8" w:space="0" w:color="auto"/>
              <w:right w:val="single" w:sz="8" w:space="0" w:color="000000"/>
            </w:tcBorders>
            <w:vAlign w:val="center"/>
            <w:hideMark/>
          </w:tcPr>
          <w:p w14:paraId="701F7860"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Електрична енергија</w:t>
            </w:r>
          </w:p>
        </w:tc>
      </w:tr>
      <w:tr w:rsidR="00854ADA" w:rsidRPr="00FF386D" w14:paraId="3E119BEA" w14:textId="77777777" w:rsidTr="0057310C">
        <w:trPr>
          <w:trHeight w:val="315"/>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4F58932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34" w:type="dxa"/>
            <w:gridSpan w:val="3"/>
            <w:tcBorders>
              <w:top w:val="single" w:sz="8" w:space="0" w:color="auto"/>
              <w:left w:val="nil"/>
              <w:bottom w:val="single" w:sz="8" w:space="0" w:color="auto"/>
              <w:right w:val="single" w:sz="8" w:space="0" w:color="000000"/>
            </w:tcBorders>
            <w:vAlign w:val="center"/>
            <w:hideMark/>
          </w:tcPr>
          <w:p w14:paraId="14121BA3" w14:textId="77777777" w:rsidR="00854ADA" w:rsidRPr="00FF386D" w:rsidRDefault="00854ADA" w:rsidP="00854ADA">
            <w:pPr>
              <w:numPr>
                <w:ilvl w:val="0"/>
                <w:numId w:val="39"/>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рударства и енергетике</w:t>
            </w:r>
          </w:p>
          <w:p w14:paraId="15BAE5E1" w14:textId="77777777" w:rsidR="00854ADA" w:rsidRPr="00FF386D" w:rsidRDefault="00854ADA" w:rsidP="00854ADA">
            <w:pPr>
              <w:numPr>
                <w:ilvl w:val="0"/>
                <w:numId w:val="39"/>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ЕМС</w:t>
            </w:r>
          </w:p>
        </w:tc>
      </w:tr>
      <w:tr w:rsidR="00854ADA" w:rsidRPr="00FF386D" w14:paraId="16B3FFDE" w14:textId="77777777" w:rsidTr="0057310C">
        <w:trPr>
          <w:trHeight w:val="315"/>
        </w:trPr>
        <w:tc>
          <w:tcPr>
            <w:tcW w:w="3254" w:type="dxa"/>
            <w:tcBorders>
              <w:top w:val="nil"/>
              <w:left w:val="single" w:sz="8" w:space="0" w:color="auto"/>
              <w:bottom w:val="single" w:sz="8" w:space="0" w:color="auto"/>
              <w:right w:val="nil"/>
            </w:tcBorders>
            <w:shd w:val="clear" w:color="000000" w:fill="244062"/>
            <w:vAlign w:val="center"/>
            <w:hideMark/>
          </w:tcPr>
          <w:p w14:paraId="44973C2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34" w:type="dxa"/>
            <w:gridSpan w:val="3"/>
            <w:tcBorders>
              <w:top w:val="single" w:sz="8" w:space="0" w:color="auto"/>
              <w:left w:val="nil"/>
              <w:bottom w:val="single" w:sz="8" w:space="0" w:color="auto"/>
              <w:right w:val="single" w:sz="8" w:space="0" w:color="000000"/>
            </w:tcBorders>
            <w:vAlign w:val="center"/>
            <w:hideMark/>
          </w:tcPr>
          <w:p w14:paraId="78EC277E" w14:textId="77777777" w:rsidR="00854ADA" w:rsidRPr="00FF386D" w:rsidRDefault="00854ADA" w:rsidP="00854ADA">
            <w:pPr>
              <w:numPr>
                <w:ilvl w:val="0"/>
                <w:numId w:val="39"/>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ЕМС</w:t>
            </w:r>
          </w:p>
        </w:tc>
      </w:tr>
      <w:tr w:rsidR="00854ADA" w:rsidRPr="00FF386D" w14:paraId="1AB7F900" w14:textId="77777777" w:rsidTr="0057310C">
        <w:trPr>
          <w:trHeight w:val="315"/>
        </w:trPr>
        <w:tc>
          <w:tcPr>
            <w:tcW w:w="3254" w:type="dxa"/>
            <w:tcBorders>
              <w:top w:val="nil"/>
              <w:left w:val="single" w:sz="8" w:space="0" w:color="auto"/>
              <w:bottom w:val="single" w:sz="8" w:space="0" w:color="auto"/>
              <w:right w:val="nil"/>
            </w:tcBorders>
            <w:shd w:val="clear" w:color="000000" w:fill="244062"/>
            <w:vAlign w:val="center"/>
            <w:hideMark/>
          </w:tcPr>
          <w:p w14:paraId="126B9B2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34" w:type="dxa"/>
            <w:gridSpan w:val="3"/>
            <w:tcBorders>
              <w:top w:val="single" w:sz="8" w:space="0" w:color="auto"/>
              <w:left w:val="nil"/>
              <w:bottom w:val="single" w:sz="8" w:space="0" w:color="auto"/>
              <w:right w:val="single" w:sz="8" w:space="0" w:color="000000"/>
            </w:tcBorders>
            <w:vAlign w:val="center"/>
            <w:hideMark/>
          </w:tcPr>
          <w:p w14:paraId="452AEC4C"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Циљеви интерконективности</w:t>
            </w:r>
          </w:p>
        </w:tc>
      </w:tr>
      <w:tr w:rsidR="00854ADA" w:rsidRPr="00FF386D" w14:paraId="00A611A2" w14:textId="77777777" w:rsidTr="0057310C">
        <w:trPr>
          <w:trHeight w:val="453"/>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1ED8433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34" w:type="dxa"/>
            <w:gridSpan w:val="3"/>
            <w:tcBorders>
              <w:top w:val="single" w:sz="8" w:space="0" w:color="auto"/>
              <w:left w:val="nil"/>
              <w:bottom w:val="single" w:sz="8" w:space="0" w:color="auto"/>
              <w:right w:val="single" w:sz="8" w:space="0" w:color="000000"/>
            </w:tcBorders>
            <w:vAlign w:val="center"/>
            <w:hideMark/>
          </w:tcPr>
          <w:p w14:paraId="41233C5F" w14:textId="77777777" w:rsidR="00854ADA" w:rsidRPr="000A2AFE" w:rsidRDefault="00854ADA" w:rsidP="00854ADA">
            <w:pPr>
              <w:numPr>
                <w:ilvl w:val="0"/>
                <w:numId w:val="41"/>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Енергетска сигурност</w:t>
            </w:r>
          </w:p>
          <w:p w14:paraId="6997D3D2" w14:textId="0923AF2D" w:rsidR="00147EE6" w:rsidRPr="00FF386D" w:rsidRDefault="00147EE6" w:rsidP="00854ADA">
            <w:pPr>
              <w:numPr>
                <w:ilvl w:val="0"/>
                <w:numId w:val="41"/>
              </w:numPr>
              <w:spacing w:after="0" w:line="240" w:lineRule="auto"/>
              <w:contextualSpacing/>
              <w:jc w:val="both"/>
              <w:rPr>
                <w:rFonts w:asciiTheme="majorHAnsi" w:eastAsia="Times New Roman" w:hAnsiTheme="majorHAnsi" w:cstheme="majorHAnsi"/>
                <w:color w:val="000000"/>
                <w:sz w:val="20"/>
                <w:szCs w:val="20"/>
                <w:lang w:eastAsia="en-GB"/>
              </w:rPr>
            </w:pPr>
            <w:r>
              <w:rPr>
                <w:rFonts w:ascii="Calibri Light" w:hAnsi="Calibri Light"/>
                <w:color w:val="000000"/>
                <w:sz w:val="20"/>
              </w:rPr>
              <w:t>Декарбонизација</w:t>
            </w:r>
          </w:p>
        </w:tc>
      </w:tr>
      <w:tr w:rsidR="00854ADA" w:rsidRPr="00FF386D" w14:paraId="34DEBF63" w14:textId="77777777" w:rsidTr="0057310C">
        <w:trPr>
          <w:trHeight w:val="450"/>
        </w:trPr>
        <w:tc>
          <w:tcPr>
            <w:tcW w:w="3254"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7DFF2E5E" w14:textId="45182B91"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34"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41A2C708" w14:textId="77777777" w:rsidR="00854ADA" w:rsidRPr="000A2AFE" w:rsidRDefault="00854ADA" w:rsidP="00854ADA">
            <w:pPr>
              <w:numPr>
                <w:ilvl w:val="0"/>
                <w:numId w:val="39"/>
              </w:numPr>
              <w:spacing w:after="0" w:line="240" w:lineRule="auto"/>
              <w:contextualSpacing/>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Директива 2009/72/EЗ</w:t>
            </w:r>
          </w:p>
          <w:p w14:paraId="1CBA5F17" w14:textId="77777777" w:rsidR="00854ADA" w:rsidRPr="00FF386D" w:rsidRDefault="00854ADA" w:rsidP="00854ADA">
            <w:pPr>
              <w:numPr>
                <w:ilvl w:val="0"/>
                <w:numId w:val="39"/>
              </w:numPr>
              <w:spacing w:after="0" w:line="240" w:lineRule="auto"/>
              <w:contextualSpacing/>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Уредба (ЕУ) 347/2013</w:t>
            </w:r>
          </w:p>
        </w:tc>
      </w:tr>
      <w:tr w:rsidR="00854ADA" w:rsidRPr="00FF386D" w14:paraId="56B63CCB"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6060FE1F"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34" w:type="dxa"/>
            <w:gridSpan w:val="3"/>
            <w:vMerge/>
            <w:tcBorders>
              <w:top w:val="single" w:sz="8" w:space="0" w:color="auto"/>
              <w:left w:val="single" w:sz="8" w:space="0" w:color="auto"/>
              <w:bottom w:val="single" w:sz="8" w:space="0" w:color="000000"/>
              <w:right w:val="single" w:sz="8" w:space="0" w:color="000000"/>
            </w:tcBorders>
            <w:vAlign w:val="center"/>
            <w:hideMark/>
          </w:tcPr>
          <w:p w14:paraId="0401DE35"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68CD8389"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284711A9"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34" w:type="dxa"/>
            <w:gridSpan w:val="3"/>
            <w:vMerge/>
            <w:tcBorders>
              <w:top w:val="single" w:sz="8" w:space="0" w:color="auto"/>
              <w:left w:val="single" w:sz="8" w:space="0" w:color="auto"/>
              <w:bottom w:val="single" w:sz="8" w:space="0" w:color="000000"/>
              <w:right w:val="single" w:sz="8" w:space="0" w:color="000000"/>
            </w:tcBorders>
            <w:vAlign w:val="center"/>
            <w:hideMark/>
          </w:tcPr>
          <w:p w14:paraId="497D5909"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2A6BA7C8" w14:textId="77777777" w:rsidTr="0057310C">
        <w:trPr>
          <w:trHeight w:val="780"/>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2F3C13B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34" w:type="dxa"/>
            <w:gridSpan w:val="3"/>
            <w:tcBorders>
              <w:top w:val="single" w:sz="8" w:space="0" w:color="auto"/>
              <w:left w:val="nil"/>
              <w:bottom w:val="single" w:sz="8" w:space="0" w:color="auto"/>
              <w:right w:val="single" w:sz="8" w:space="0" w:color="000000"/>
            </w:tcBorders>
            <w:vAlign w:val="center"/>
            <w:hideMark/>
          </w:tcPr>
          <w:p w14:paraId="2ECDDB87" w14:textId="77777777" w:rsidR="00854ADA" w:rsidRPr="00FF386D" w:rsidRDefault="00854ADA" w:rsidP="00854ADA">
            <w:pPr>
              <w:numPr>
                <w:ilvl w:val="0"/>
                <w:numId w:val="4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i/>
                <w:iCs/>
                <w:color w:val="000000"/>
                <w:sz w:val="20"/>
                <w:szCs w:val="20"/>
                <w:lang w:eastAsia="en-GB"/>
              </w:rPr>
              <w:t>TYNDP</w:t>
            </w:r>
            <w:r w:rsidRPr="00FF386D">
              <w:rPr>
                <w:rFonts w:asciiTheme="majorHAnsi" w:eastAsia="Times New Roman" w:hAnsiTheme="majorHAnsi" w:cstheme="majorHAnsi"/>
                <w:color w:val="000000"/>
                <w:sz w:val="20"/>
                <w:szCs w:val="20"/>
                <w:lang w:eastAsia="en-GB"/>
              </w:rPr>
              <w:t xml:space="preserve"> 2021-2030</w:t>
            </w:r>
          </w:p>
        </w:tc>
      </w:tr>
      <w:tr w:rsidR="00854ADA" w:rsidRPr="00FF386D" w14:paraId="191649A3" w14:textId="77777777" w:rsidTr="0057310C">
        <w:trPr>
          <w:trHeight w:val="315"/>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7F10600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34" w:type="dxa"/>
            <w:gridSpan w:val="3"/>
            <w:tcBorders>
              <w:top w:val="single" w:sz="8" w:space="0" w:color="auto"/>
              <w:left w:val="nil"/>
              <w:bottom w:val="single" w:sz="8" w:space="0" w:color="auto"/>
              <w:right w:val="single" w:sz="8" w:space="0" w:color="000000"/>
            </w:tcBorders>
            <w:vAlign w:val="center"/>
            <w:hideMark/>
          </w:tcPr>
          <w:p w14:paraId="324195A3"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Пројекат завршен на територији Србије</w:t>
            </w:r>
          </w:p>
        </w:tc>
      </w:tr>
      <w:tr w:rsidR="00854ADA" w:rsidRPr="00FF386D" w14:paraId="056B018E" w14:textId="77777777" w:rsidTr="0057310C">
        <w:trPr>
          <w:trHeight w:val="315"/>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0713A74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34" w:type="dxa"/>
            <w:gridSpan w:val="3"/>
            <w:tcBorders>
              <w:top w:val="single" w:sz="8" w:space="0" w:color="auto"/>
              <w:left w:val="nil"/>
              <w:bottom w:val="single" w:sz="8" w:space="0" w:color="auto"/>
              <w:right w:val="single" w:sz="8" w:space="0" w:color="000000"/>
            </w:tcBorders>
            <w:vAlign w:val="center"/>
            <w:hideMark/>
          </w:tcPr>
          <w:p w14:paraId="1804A642" w14:textId="77777777" w:rsidR="00854ADA" w:rsidRPr="00FF386D" w:rsidRDefault="00854ADA" w:rsidP="00854ADA">
            <w:pPr>
              <w:spacing w:after="0" w:line="240" w:lineRule="auto"/>
              <w:rPr>
                <w:rFonts w:ascii="Calibri" w:eastAsia="Times New Roman" w:hAnsi="Calibri" w:cs="Calibri"/>
                <w:color w:val="000000"/>
                <w:sz w:val="20"/>
                <w:szCs w:val="20"/>
                <w:lang w:eastAsia="en-GB"/>
              </w:rPr>
            </w:pPr>
            <w:r w:rsidRPr="00FF386D">
              <w:rPr>
                <w:rFonts w:asciiTheme="majorHAnsi" w:eastAsia="Times New Roman" w:hAnsiTheme="majorHAnsi" w:cstheme="majorHAnsi"/>
                <w:color w:val="000000"/>
                <w:sz w:val="20"/>
                <w:szCs w:val="20"/>
                <w:lang w:eastAsia="en-GB"/>
              </w:rPr>
              <w:t>Није потребно</w:t>
            </w:r>
          </w:p>
        </w:tc>
      </w:tr>
    </w:tbl>
    <w:p w14:paraId="75275450"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77"/>
        <w:gridCol w:w="1140"/>
        <w:gridCol w:w="932"/>
        <w:gridCol w:w="4139"/>
      </w:tblGrid>
      <w:tr w:rsidR="00854ADA" w:rsidRPr="00FF386D" w14:paraId="0012F6B6" w14:textId="77777777" w:rsidTr="0057310C">
        <w:trPr>
          <w:trHeight w:val="780"/>
        </w:trPr>
        <w:tc>
          <w:tcPr>
            <w:tcW w:w="3277"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00DA75F4" w14:textId="00F20C4E"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 xml:space="preserve">: </w:t>
            </w:r>
          </w:p>
        </w:tc>
        <w:tc>
          <w:tcPr>
            <w:tcW w:w="1140" w:type="dxa"/>
            <w:tcBorders>
              <w:top w:val="single" w:sz="8" w:space="0" w:color="auto"/>
              <w:left w:val="nil"/>
              <w:bottom w:val="single" w:sz="8" w:space="0" w:color="auto"/>
              <w:right w:val="single" w:sz="8" w:space="0" w:color="auto"/>
            </w:tcBorders>
            <w:shd w:val="clear" w:color="auto" w:fill="E7E6E6" w:themeFill="background2"/>
            <w:vAlign w:val="center"/>
            <w:hideMark/>
          </w:tcPr>
          <w:p w14:paraId="57EBD2E7" w14:textId="2353E18A"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МΠ_УЕ</w:t>
            </w:r>
            <w:r w:rsidR="006661C4" w:rsidRPr="00FF386D">
              <w:rPr>
                <w:rFonts w:ascii="Calibri Light" w:hAnsi="Calibri Light"/>
                <w:b/>
                <w:sz w:val="20"/>
              </w:rPr>
              <w:t>Т</w:t>
            </w:r>
            <w:r w:rsidRPr="00FF386D">
              <w:rPr>
                <w:rFonts w:ascii="Calibri Light" w:hAnsi="Calibri Light"/>
                <w:b/>
                <w:sz w:val="20"/>
              </w:rPr>
              <w:t>5</w:t>
            </w:r>
          </w:p>
        </w:tc>
        <w:tc>
          <w:tcPr>
            <w:tcW w:w="932" w:type="dxa"/>
            <w:tcBorders>
              <w:top w:val="single" w:sz="8" w:space="0" w:color="auto"/>
              <w:left w:val="nil"/>
              <w:bottom w:val="single" w:sz="8" w:space="0" w:color="auto"/>
              <w:right w:val="single" w:sz="8" w:space="0" w:color="auto"/>
            </w:tcBorders>
            <w:shd w:val="clear" w:color="auto" w:fill="244062"/>
            <w:vAlign w:val="center"/>
            <w:hideMark/>
          </w:tcPr>
          <w:p w14:paraId="0D06C9C7" w14:textId="77777777" w:rsidR="00854ADA" w:rsidRPr="00FF386D" w:rsidRDefault="00854ADA" w:rsidP="00854ADA">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Назив</w:t>
            </w:r>
            <w:r w:rsidRPr="000A2AFE">
              <w:rPr>
                <w:rFonts w:asciiTheme="majorHAnsi" w:eastAsia="Times New Roman" w:hAnsiTheme="majorHAnsi" w:cstheme="majorHAnsi"/>
                <w:b/>
                <w:bCs/>
                <w:color w:val="FFFFFF"/>
                <w:sz w:val="20"/>
                <w:szCs w:val="20"/>
                <w:lang w:eastAsia="en-GB"/>
              </w:rPr>
              <w:t xml:space="preserve">: </w:t>
            </w:r>
          </w:p>
        </w:tc>
        <w:tc>
          <w:tcPr>
            <w:tcW w:w="4139" w:type="dxa"/>
            <w:tcBorders>
              <w:top w:val="single" w:sz="8" w:space="0" w:color="auto"/>
              <w:left w:val="nil"/>
              <w:bottom w:val="single" w:sz="8" w:space="0" w:color="auto"/>
              <w:right w:val="single" w:sz="8" w:space="0" w:color="auto"/>
            </w:tcBorders>
            <w:shd w:val="clear" w:color="auto" w:fill="E7E6E6" w:themeFill="background2"/>
            <w:vAlign w:val="center"/>
            <w:hideMark/>
          </w:tcPr>
          <w:p w14:paraId="58779EC6" w14:textId="77777777"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Панонски коридор</w:t>
            </w:r>
          </w:p>
        </w:tc>
      </w:tr>
      <w:tr w:rsidR="00854ADA" w:rsidRPr="00FF386D" w14:paraId="0FA289C4" w14:textId="77777777" w:rsidTr="0057310C">
        <w:trPr>
          <w:trHeight w:val="960"/>
        </w:trPr>
        <w:tc>
          <w:tcPr>
            <w:tcW w:w="3277" w:type="dxa"/>
            <w:tcBorders>
              <w:top w:val="nil"/>
              <w:left w:val="single" w:sz="8" w:space="0" w:color="auto"/>
              <w:bottom w:val="single" w:sz="8" w:space="0" w:color="auto"/>
              <w:right w:val="nil"/>
            </w:tcBorders>
            <w:shd w:val="clear" w:color="000000" w:fill="244062"/>
            <w:vAlign w:val="center"/>
            <w:hideMark/>
          </w:tcPr>
          <w:p w14:paraId="728F635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211" w:type="dxa"/>
            <w:gridSpan w:val="3"/>
            <w:tcBorders>
              <w:top w:val="single" w:sz="8" w:space="0" w:color="auto"/>
              <w:left w:val="nil"/>
              <w:bottom w:val="single" w:sz="8" w:space="0" w:color="auto"/>
              <w:right w:val="single" w:sz="8" w:space="0" w:color="000000"/>
            </w:tcBorders>
            <w:vAlign w:val="center"/>
          </w:tcPr>
          <w:p w14:paraId="01E37F98" w14:textId="7BAEC053" w:rsidR="00854ADA" w:rsidRPr="00FF386D" w:rsidRDefault="00180CEC" w:rsidP="00854ADA">
            <w:pPr>
              <w:spacing w:after="0" w:line="240" w:lineRule="auto"/>
              <w:jc w:val="both"/>
              <w:rPr>
                <w:rFonts w:asciiTheme="majorHAnsi" w:eastAsia="Times New Roman" w:hAnsiTheme="majorHAnsi" w:cstheme="majorHAnsi"/>
                <w:color w:val="000000"/>
                <w:sz w:val="20"/>
                <w:szCs w:val="20"/>
                <w:lang w:eastAsia="en-GB"/>
              </w:rPr>
            </w:pPr>
            <w:r w:rsidRPr="00180CEC">
              <w:rPr>
                <w:rFonts w:asciiTheme="majorHAnsi" w:eastAsia="Times New Roman" w:hAnsiTheme="majorHAnsi" w:cstheme="majorHAnsi"/>
                <w:color w:val="000000"/>
                <w:sz w:val="20"/>
                <w:szCs w:val="20"/>
                <w:lang w:eastAsia="en-GB"/>
              </w:rPr>
              <w:t>Одржавање и постизање циља интерконективности, планирање и спровођење пројеката преносне инфраструктуре у области електричне енергије и гаса (и где је то релевантно, пројеката модернизације); обезбеђивање поузданости напајања купаца; стварање услова за даљи индустријски развој подручја на којима се пројекат налази; интеграција жељеног нивоа ОИЕ; обезбеђивање потребног нивоа флексибилности електроенергетског система; који су потребни за постизање циљева и приоритета у оквиру пет димензија Енергетске уније.</w:t>
            </w:r>
          </w:p>
        </w:tc>
      </w:tr>
      <w:tr w:rsidR="00854ADA" w:rsidRPr="00FF386D" w14:paraId="176A8271"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698BE9B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Квантификовани циљ: </w:t>
            </w:r>
          </w:p>
        </w:tc>
        <w:tc>
          <w:tcPr>
            <w:tcW w:w="6211" w:type="dxa"/>
            <w:gridSpan w:val="3"/>
            <w:tcBorders>
              <w:top w:val="single" w:sz="8" w:space="0" w:color="auto"/>
              <w:left w:val="nil"/>
              <w:bottom w:val="single" w:sz="8" w:space="0" w:color="auto"/>
              <w:right w:val="single" w:sz="8" w:space="0" w:color="000000"/>
            </w:tcBorders>
            <w:vAlign w:val="center"/>
          </w:tcPr>
          <w:p w14:paraId="3792D7B8"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Испуњени циљеви у погледу интерконективности, предвиђени до 2030. године, критеријум сигурности </w:t>
            </w:r>
            <w:r w:rsidRPr="00FF386D">
              <w:rPr>
                <w:rFonts w:asciiTheme="majorHAnsi" w:eastAsia="Times New Roman" w:hAnsiTheme="majorHAnsi" w:cstheme="majorHAnsi"/>
                <w:i/>
                <w:iCs/>
                <w:color w:val="000000"/>
                <w:sz w:val="20"/>
                <w:szCs w:val="20"/>
                <w:lang w:eastAsia="en-GB"/>
              </w:rPr>
              <w:t>N-1</w:t>
            </w:r>
            <w:r w:rsidRPr="00FF386D">
              <w:rPr>
                <w:rFonts w:asciiTheme="majorHAnsi" w:eastAsia="Times New Roman" w:hAnsiTheme="majorHAnsi" w:cstheme="majorHAnsi"/>
                <w:color w:val="000000"/>
                <w:sz w:val="20"/>
                <w:szCs w:val="20"/>
                <w:lang w:eastAsia="en-GB"/>
              </w:rPr>
              <w:t xml:space="preserve">, други индикатори </w:t>
            </w:r>
            <w:r w:rsidRPr="00FF386D">
              <w:rPr>
                <w:rFonts w:asciiTheme="majorHAnsi" w:eastAsia="Times New Roman" w:hAnsiTheme="majorHAnsi" w:cstheme="majorHAnsi"/>
                <w:i/>
                <w:iCs/>
                <w:color w:val="000000"/>
                <w:sz w:val="20"/>
                <w:szCs w:val="20"/>
                <w:lang w:eastAsia="en-GB"/>
              </w:rPr>
              <w:t>CBA.</w:t>
            </w:r>
          </w:p>
        </w:tc>
      </w:tr>
      <w:tr w:rsidR="00854ADA" w:rsidRPr="00FF386D" w14:paraId="27A1ABE7" w14:textId="77777777" w:rsidTr="0057310C">
        <w:trPr>
          <w:trHeight w:val="1090"/>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6C1ADF4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11" w:type="dxa"/>
            <w:gridSpan w:val="3"/>
            <w:tcBorders>
              <w:top w:val="single" w:sz="8" w:space="0" w:color="auto"/>
              <w:left w:val="nil"/>
              <w:bottom w:val="single" w:sz="8" w:space="0" w:color="auto"/>
              <w:right w:val="single" w:sz="8" w:space="0" w:color="000000"/>
            </w:tcBorders>
            <w:vAlign w:val="center"/>
          </w:tcPr>
          <w:p w14:paraId="5DF553EE" w14:textId="2E52403C"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eastAsia="NSimSun" w:hAnsi="Calibri Light" w:cs="Mangal"/>
                <w:kern w:val="2"/>
                <w:sz w:val="20"/>
                <w:szCs w:val="24"/>
                <w:lang w:eastAsia="zh-CN" w:bidi="hi-IN"/>
              </w:rPr>
              <w:t>Односи се на</w:t>
            </w:r>
            <w:r w:rsidRPr="00FF386D">
              <w:rPr>
                <w:rFonts w:ascii="Calibri Light" w:hAnsi="Calibri Light"/>
                <w:sz w:val="20"/>
              </w:rPr>
              <w:t xml:space="preserve"> сет инфраструктурних далековода од 400 kV на подручју Војводине, </w:t>
            </w:r>
            <w:r w:rsidR="00D77FDE" w:rsidRPr="00FF386D">
              <w:rPr>
                <w:rFonts w:ascii="Calibri Light" w:hAnsi="Calibri Light"/>
                <w:sz w:val="20"/>
              </w:rPr>
              <w:t>који</w:t>
            </w:r>
            <w:r w:rsidRPr="00FF386D">
              <w:rPr>
                <w:rFonts w:ascii="Calibri Light" w:hAnsi="Calibri Light"/>
                <w:sz w:val="20"/>
              </w:rPr>
              <w:t xml:space="preserve"> ће додатно омогућити интеграцију електричне енергије из обновљивих извора, и повећати прекогранични преносни капацитет између Србије и Мађарске</w:t>
            </w:r>
            <w:r w:rsidRPr="000A2AFE">
              <w:rPr>
                <w:rFonts w:asciiTheme="majorHAnsi" w:eastAsia="Times New Roman" w:hAnsiTheme="majorHAnsi" w:cstheme="majorHAnsi"/>
                <w:color w:val="000000"/>
                <w:sz w:val="20"/>
                <w:szCs w:val="20"/>
                <w:lang w:eastAsia="en-GB"/>
              </w:rPr>
              <w:t>.</w:t>
            </w:r>
          </w:p>
        </w:tc>
      </w:tr>
      <w:tr w:rsidR="00854ADA" w:rsidRPr="00FF386D" w14:paraId="51033DBA"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004C799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11" w:type="dxa"/>
            <w:gridSpan w:val="3"/>
            <w:tcBorders>
              <w:top w:val="single" w:sz="8" w:space="0" w:color="auto"/>
              <w:left w:val="nil"/>
              <w:bottom w:val="single" w:sz="8" w:space="0" w:color="auto"/>
              <w:right w:val="single" w:sz="8" w:space="0" w:color="000000"/>
            </w:tcBorders>
            <w:vAlign w:val="center"/>
          </w:tcPr>
          <w:p w14:paraId="10E23476" w14:textId="7A151993"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202</w:t>
            </w:r>
            <w:r w:rsidR="00147EE6">
              <w:rPr>
                <w:rFonts w:ascii="Calibri Light" w:hAnsi="Calibri Light"/>
                <w:sz w:val="20"/>
              </w:rPr>
              <w:t>5</w:t>
            </w:r>
            <w:r w:rsidRPr="00FF386D">
              <w:rPr>
                <w:rFonts w:ascii="Calibri Light" w:hAnsi="Calibri Light"/>
                <w:sz w:val="20"/>
              </w:rPr>
              <w:t>–2030.</w:t>
            </w:r>
          </w:p>
        </w:tc>
      </w:tr>
      <w:tr w:rsidR="00854ADA" w:rsidRPr="00FF386D" w14:paraId="32B0DC81"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0463ECE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11" w:type="dxa"/>
            <w:gridSpan w:val="3"/>
            <w:tcBorders>
              <w:top w:val="single" w:sz="8" w:space="0" w:color="auto"/>
              <w:left w:val="nil"/>
              <w:bottom w:val="single" w:sz="8" w:space="0" w:color="auto"/>
              <w:right w:val="single" w:sz="8" w:space="0" w:color="000000"/>
            </w:tcBorders>
            <w:vAlign w:val="center"/>
          </w:tcPr>
          <w:p w14:paraId="08835DC4"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Инвестиција</w:t>
            </w:r>
          </w:p>
        </w:tc>
      </w:tr>
      <w:tr w:rsidR="00854ADA" w:rsidRPr="00FF386D" w14:paraId="5BF2E83A"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4608127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11" w:type="dxa"/>
            <w:gridSpan w:val="3"/>
            <w:tcBorders>
              <w:top w:val="single" w:sz="8" w:space="0" w:color="auto"/>
              <w:left w:val="nil"/>
              <w:bottom w:val="single" w:sz="8" w:space="0" w:color="auto"/>
              <w:right w:val="single" w:sz="8" w:space="0" w:color="000000"/>
            </w:tcBorders>
            <w:vAlign w:val="center"/>
          </w:tcPr>
          <w:p w14:paraId="3EB90B4A"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Електрична енергија</w:t>
            </w:r>
          </w:p>
        </w:tc>
      </w:tr>
      <w:tr w:rsidR="00854ADA" w:rsidRPr="00FF386D" w14:paraId="04E952D6"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10C3EAD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11" w:type="dxa"/>
            <w:gridSpan w:val="3"/>
            <w:tcBorders>
              <w:top w:val="single" w:sz="8" w:space="0" w:color="auto"/>
              <w:left w:val="nil"/>
              <w:bottom w:val="single" w:sz="8" w:space="0" w:color="auto"/>
              <w:right w:val="single" w:sz="8" w:space="0" w:color="000000"/>
            </w:tcBorders>
            <w:vAlign w:val="center"/>
          </w:tcPr>
          <w:p w14:paraId="4713FD10" w14:textId="77777777" w:rsidR="00854ADA" w:rsidRPr="00FF386D" w:rsidRDefault="00854ADA" w:rsidP="00854ADA">
            <w:pPr>
              <w:numPr>
                <w:ilvl w:val="0"/>
                <w:numId w:val="4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рударства и енергетике</w:t>
            </w:r>
          </w:p>
          <w:p w14:paraId="64E01DEF" w14:textId="77777777" w:rsidR="00854ADA" w:rsidRPr="00FF386D" w:rsidRDefault="00854ADA" w:rsidP="00854ADA">
            <w:pPr>
              <w:numPr>
                <w:ilvl w:val="0"/>
                <w:numId w:val="4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ЕМС</w:t>
            </w:r>
          </w:p>
        </w:tc>
      </w:tr>
      <w:tr w:rsidR="00854ADA" w:rsidRPr="00FF386D" w14:paraId="08386246" w14:textId="77777777" w:rsidTr="0057310C">
        <w:trPr>
          <w:trHeight w:val="315"/>
        </w:trPr>
        <w:tc>
          <w:tcPr>
            <w:tcW w:w="3277" w:type="dxa"/>
            <w:tcBorders>
              <w:top w:val="nil"/>
              <w:left w:val="single" w:sz="8" w:space="0" w:color="auto"/>
              <w:bottom w:val="single" w:sz="8" w:space="0" w:color="auto"/>
              <w:right w:val="nil"/>
            </w:tcBorders>
            <w:shd w:val="clear" w:color="000000" w:fill="244062"/>
            <w:vAlign w:val="center"/>
            <w:hideMark/>
          </w:tcPr>
          <w:p w14:paraId="061B9CA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11" w:type="dxa"/>
            <w:gridSpan w:val="3"/>
            <w:tcBorders>
              <w:top w:val="single" w:sz="8" w:space="0" w:color="auto"/>
              <w:left w:val="nil"/>
              <w:bottom w:val="single" w:sz="8" w:space="0" w:color="auto"/>
              <w:right w:val="single" w:sz="8" w:space="0" w:color="000000"/>
            </w:tcBorders>
            <w:vAlign w:val="center"/>
          </w:tcPr>
          <w:p w14:paraId="6C54B1DD" w14:textId="77777777" w:rsidR="00854ADA" w:rsidRPr="00FF386D" w:rsidRDefault="00854ADA" w:rsidP="00854ADA">
            <w:pPr>
              <w:numPr>
                <w:ilvl w:val="0"/>
                <w:numId w:val="4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ЕМС</w:t>
            </w:r>
          </w:p>
        </w:tc>
      </w:tr>
      <w:tr w:rsidR="00854ADA" w:rsidRPr="00FF386D" w14:paraId="719D7440" w14:textId="77777777" w:rsidTr="0057310C">
        <w:trPr>
          <w:trHeight w:val="315"/>
        </w:trPr>
        <w:tc>
          <w:tcPr>
            <w:tcW w:w="3277" w:type="dxa"/>
            <w:tcBorders>
              <w:top w:val="nil"/>
              <w:left w:val="single" w:sz="8" w:space="0" w:color="auto"/>
              <w:bottom w:val="single" w:sz="8" w:space="0" w:color="auto"/>
              <w:right w:val="nil"/>
            </w:tcBorders>
            <w:shd w:val="clear" w:color="000000" w:fill="244062"/>
            <w:vAlign w:val="center"/>
            <w:hideMark/>
          </w:tcPr>
          <w:p w14:paraId="761EDBF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11" w:type="dxa"/>
            <w:gridSpan w:val="3"/>
            <w:tcBorders>
              <w:top w:val="single" w:sz="8" w:space="0" w:color="auto"/>
              <w:left w:val="nil"/>
              <w:bottom w:val="single" w:sz="8" w:space="0" w:color="auto"/>
              <w:right w:val="single" w:sz="8" w:space="0" w:color="000000"/>
            </w:tcBorders>
            <w:vAlign w:val="center"/>
          </w:tcPr>
          <w:p w14:paraId="6A81AD8F" w14:textId="6F26930E" w:rsidR="00854ADA"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Циљеви интерконектив</w:t>
            </w:r>
            <w:r w:rsidR="009E7728">
              <w:rPr>
                <w:rFonts w:asciiTheme="majorHAnsi" w:eastAsia="Times New Roman" w:hAnsiTheme="majorHAnsi" w:cstheme="majorHAnsi"/>
                <w:color w:val="000000"/>
                <w:sz w:val="20"/>
                <w:szCs w:val="20"/>
                <w:lang w:eastAsia="en-GB"/>
              </w:rPr>
              <w:t>н</w:t>
            </w:r>
            <w:r w:rsidRPr="00FF386D">
              <w:rPr>
                <w:rFonts w:asciiTheme="majorHAnsi" w:eastAsia="Times New Roman" w:hAnsiTheme="majorHAnsi" w:cstheme="majorHAnsi"/>
                <w:color w:val="000000"/>
                <w:sz w:val="20"/>
                <w:szCs w:val="20"/>
                <w:lang w:eastAsia="en-GB"/>
              </w:rPr>
              <w:t>ости</w:t>
            </w:r>
          </w:p>
          <w:p w14:paraId="18EA5A78" w14:textId="6909517F" w:rsidR="00180CEC" w:rsidRPr="00FF386D" w:rsidRDefault="00180CEC" w:rsidP="00854ADA">
            <w:pPr>
              <w:spacing w:after="0" w:line="240" w:lineRule="auto"/>
              <w:jc w:val="both"/>
              <w:rPr>
                <w:rFonts w:asciiTheme="majorHAnsi" w:eastAsia="Times New Roman" w:hAnsiTheme="majorHAnsi" w:cstheme="majorHAnsi"/>
                <w:color w:val="000000"/>
                <w:sz w:val="20"/>
                <w:szCs w:val="20"/>
                <w:lang w:eastAsia="en-GB"/>
              </w:rPr>
            </w:pPr>
            <w:r w:rsidRPr="00180CEC">
              <w:rPr>
                <w:rFonts w:asciiTheme="majorHAnsi" w:eastAsia="Times New Roman" w:hAnsiTheme="majorHAnsi" w:cstheme="majorHAnsi"/>
                <w:color w:val="000000"/>
                <w:sz w:val="20"/>
                <w:szCs w:val="20"/>
                <w:lang w:eastAsia="en-GB"/>
              </w:rPr>
              <w:t>Могућност прикључења додатних капацитета ОИЕ</w:t>
            </w:r>
          </w:p>
        </w:tc>
      </w:tr>
      <w:tr w:rsidR="00854ADA" w:rsidRPr="00FF386D" w14:paraId="2842249A" w14:textId="77777777" w:rsidTr="0057310C">
        <w:trPr>
          <w:trHeight w:val="52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4081A01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11" w:type="dxa"/>
            <w:gridSpan w:val="3"/>
            <w:tcBorders>
              <w:top w:val="single" w:sz="8" w:space="0" w:color="auto"/>
              <w:left w:val="nil"/>
              <w:bottom w:val="single" w:sz="8" w:space="0" w:color="auto"/>
              <w:right w:val="single" w:sz="8" w:space="0" w:color="000000"/>
            </w:tcBorders>
            <w:vAlign w:val="center"/>
          </w:tcPr>
          <w:p w14:paraId="7A918EA4" w14:textId="77777777" w:rsidR="00854ADA" w:rsidRPr="000A2AFE" w:rsidRDefault="00854ADA" w:rsidP="00854ADA">
            <w:pPr>
              <w:numPr>
                <w:ilvl w:val="0"/>
                <w:numId w:val="4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Енергетска сигурност</w:t>
            </w:r>
          </w:p>
          <w:p w14:paraId="47E7F22B" w14:textId="73D47CE9" w:rsidR="00147EE6" w:rsidRPr="00FF386D" w:rsidRDefault="00147EE6" w:rsidP="00854ADA">
            <w:pPr>
              <w:numPr>
                <w:ilvl w:val="0"/>
                <w:numId w:val="42"/>
              </w:numPr>
              <w:spacing w:after="0" w:line="240" w:lineRule="auto"/>
              <w:contextualSpacing/>
              <w:jc w:val="both"/>
              <w:rPr>
                <w:rFonts w:asciiTheme="majorHAnsi" w:eastAsia="Times New Roman" w:hAnsiTheme="majorHAnsi" w:cstheme="majorHAnsi"/>
                <w:color w:val="000000"/>
                <w:sz w:val="20"/>
                <w:szCs w:val="20"/>
                <w:lang w:eastAsia="en-GB"/>
              </w:rPr>
            </w:pPr>
            <w:r>
              <w:rPr>
                <w:rFonts w:ascii="Calibri Light" w:hAnsi="Calibri Light"/>
                <w:color w:val="000000"/>
                <w:sz w:val="20"/>
              </w:rPr>
              <w:t>Декарбонизација</w:t>
            </w:r>
          </w:p>
        </w:tc>
      </w:tr>
      <w:tr w:rsidR="00854ADA" w:rsidRPr="00FF386D" w14:paraId="48472402" w14:textId="77777777" w:rsidTr="0057310C">
        <w:trPr>
          <w:trHeight w:val="450"/>
        </w:trPr>
        <w:tc>
          <w:tcPr>
            <w:tcW w:w="3277"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0C82FEA4" w14:textId="47A006C2"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11" w:type="dxa"/>
            <w:gridSpan w:val="3"/>
            <w:vMerge w:val="restart"/>
            <w:tcBorders>
              <w:top w:val="single" w:sz="8" w:space="0" w:color="auto"/>
              <w:left w:val="single" w:sz="8" w:space="0" w:color="auto"/>
              <w:bottom w:val="single" w:sz="8" w:space="0" w:color="000000"/>
              <w:right w:val="single" w:sz="8" w:space="0" w:color="000000"/>
            </w:tcBorders>
            <w:vAlign w:val="center"/>
          </w:tcPr>
          <w:p w14:paraId="186F9320" w14:textId="77777777" w:rsidR="00854ADA" w:rsidRPr="00FF386D" w:rsidRDefault="00854ADA" w:rsidP="00854ADA">
            <w:pPr>
              <w:numPr>
                <w:ilvl w:val="0"/>
                <w:numId w:val="39"/>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Директива 2009/72/EC</w:t>
            </w:r>
          </w:p>
          <w:p w14:paraId="0B6BF949" w14:textId="77777777" w:rsidR="00854ADA" w:rsidRPr="00FF386D" w:rsidRDefault="00854ADA" w:rsidP="00854ADA">
            <w:pPr>
              <w:numPr>
                <w:ilvl w:val="0"/>
                <w:numId w:val="39"/>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Уредба (EУ) 347/2013</w:t>
            </w:r>
          </w:p>
        </w:tc>
      </w:tr>
      <w:tr w:rsidR="00854ADA" w:rsidRPr="00FF386D" w14:paraId="3E16FE63"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6C3D4D4C"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11" w:type="dxa"/>
            <w:gridSpan w:val="3"/>
            <w:vMerge/>
            <w:tcBorders>
              <w:top w:val="single" w:sz="8" w:space="0" w:color="auto"/>
              <w:left w:val="single" w:sz="8" w:space="0" w:color="auto"/>
              <w:bottom w:val="single" w:sz="8" w:space="0" w:color="000000"/>
              <w:right w:val="single" w:sz="8" w:space="0" w:color="000000"/>
            </w:tcBorders>
            <w:vAlign w:val="center"/>
          </w:tcPr>
          <w:p w14:paraId="06CB3E05"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5C78FFDA"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1329FB20"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11" w:type="dxa"/>
            <w:gridSpan w:val="3"/>
            <w:vMerge/>
            <w:tcBorders>
              <w:top w:val="single" w:sz="8" w:space="0" w:color="auto"/>
              <w:left w:val="single" w:sz="8" w:space="0" w:color="auto"/>
              <w:bottom w:val="single" w:sz="8" w:space="0" w:color="000000"/>
              <w:right w:val="single" w:sz="8" w:space="0" w:color="000000"/>
            </w:tcBorders>
            <w:vAlign w:val="center"/>
          </w:tcPr>
          <w:p w14:paraId="4C93C853"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60185B12" w14:textId="77777777" w:rsidTr="0057310C">
        <w:trPr>
          <w:trHeight w:val="780"/>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28FC370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11" w:type="dxa"/>
            <w:gridSpan w:val="3"/>
            <w:tcBorders>
              <w:top w:val="single" w:sz="8" w:space="0" w:color="auto"/>
              <w:left w:val="nil"/>
              <w:bottom w:val="single" w:sz="8" w:space="0" w:color="auto"/>
              <w:right w:val="single" w:sz="8" w:space="0" w:color="000000"/>
            </w:tcBorders>
            <w:vAlign w:val="center"/>
          </w:tcPr>
          <w:p w14:paraId="6ED79913"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i/>
                <w:iCs/>
                <w:color w:val="000000"/>
                <w:sz w:val="20"/>
                <w:szCs w:val="20"/>
                <w:lang w:eastAsia="en-GB"/>
              </w:rPr>
              <w:t>TYNDP</w:t>
            </w:r>
            <w:r w:rsidRPr="00FF386D">
              <w:rPr>
                <w:rFonts w:asciiTheme="majorHAnsi" w:eastAsia="Times New Roman" w:hAnsiTheme="majorHAnsi" w:cstheme="majorHAnsi"/>
                <w:color w:val="000000"/>
                <w:sz w:val="20"/>
                <w:szCs w:val="20"/>
                <w:lang w:eastAsia="en-GB"/>
              </w:rPr>
              <w:t xml:space="preserve"> 2021-2030</w:t>
            </w:r>
          </w:p>
        </w:tc>
      </w:tr>
      <w:tr w:rsidR="00854ADA" w:rsidRPr="00FF386D" w14:paraId="797C5083"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216AB46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11" w:type="dxa"/>
            <w:gridSpan w:val="3"/>
            <w:tcBorders>
              <w:top w:val="single" w:sz="8" w:space="0" w:color="auto"/>
              <w:left w:val="nil"/>
              <w:bottom w:val="single" w:sz="8" w:space="0" w:color="auto"/>
              <w:right w:val="single" w:sz="8" w:space="0" w:color="000000"/>
            </w:tcBorders>
            <w:vAlign w:val="center"/>
          </w:tcPr>
          <w:p w14:paraId="1597BEB8" w14:textId="43C24733" w:rsidR="00854ADA" w:rsidRPr="00FF386D" w:rsidRDefault="00D73477"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108</w:t>
            </w:r>
            <w:r w:rsidR="00854ADA" w:rsidRPr="00FF386D">
              <w:rPr>
                <w:rFonts w:asciiTheme="majorHAnsi" w:eastAsia="Times New Roman" w:hAnsiTheme="majorHAnsi" w:cstheme="majorHAnsi"/>
                <w:color w:val="000000"/>
                <w:sz w:val="20"/>
                <w:szCs w:val="20"/>
                <w:lang w:eastAsia="en-GB"/>
              </w:rPr>
              <w:t xml:space="preserve"> милиона евра</w:t>
            </w:r>
          </w:p>
        </w:tc>
      </w:tr>
      <w:tr w:rsidR="00854ADA" w:rsidRPr="00FF386D" w14:paraId="4988144C" w14:textId="77777777" w:rsidTr="0057310C">
        <w:trPr>
          <w:trHeight w:val="315"/>
        </w:trPr>
        <w:tc>
          <w:tcPr>
            <w:tcW w:w="3277" w:type="dxa"/>
            <w:tcBorders>
              <w:top w:val="nil"/>
              <w:left w:val="single" w:sz="8" w:space="0" w:color="auto"/>
              <w:bottom w:val="single" w:sz="8" w:space="0" w:color="auto"/>
              <w:right w:val="single" w:sz="8" w:space="0" w:color="auto"/>
            </w:tcBorders>
            <w:shd w:val="clear" w:color="000000" w:fill="244062"/>
            <w:vAlign w:val="center"/>
            <w:hideMark/>
          </w:tcPr>
          <w:p w14:paraId="3129B03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11" w:type="dxa"/>
            <w:gridSpan w:val="3"/>
            <w:tcBorders>
              <w:top w:val="single" w:sz="8" w:space="0" w:color="auto"/>
              <w:left w:val="nil"/>
              <w:bottom w:val="single" w:sz="8" w:space="0" w:color="auto"/>
              <w:right w:val="single" w:sz="8" w:space="0" w:color="000000"/>
            </w:tcBorders>
            <w:vAlign w:val="center"/>
          </w:tcPr>
          <w:p w14:paraId="275A2D49" w14:textId="70337E12"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D73477" w:rsidRPr="00FF386D">
              <w:rPr>
                <w:rFonts w:ascii="Calibri Light" w:eastAsia="Times New Roman" w:hAnsi="Calibri Light" w:cs="Calibri Light"/>
                <w:color w:val="000000"/>
                <w:sz w:val="20"/>
                <w:szCs w:val="20"/>
                <w:lang w:eastAsia="en-GB"/>
              </w:rPr>
              <w:t>ска и</w:t>
            </w:r>
            <w:r w:rsidRPr="00FF386D">
              <w:rPr>
                <w:rFonts w:ascii="Calibri Light" w:eastAsia="Times New Roman" w:hAnsi="Calibri Light" w:cs="Calibri Light"/>
                <w:color w:val="000000"/>
                <w:sz w:val="20"/>
                <w:szCs w:val="20"/>
                <w:lang w:eastAsia="en-GB"/>
              </w:rPr>
              <w:t xml:space="preserve"> сопствена средства</w:t>
            </w:r>
          </w:p>
        </w:tc>
      </w:tr>
    </w:tbl>
    <w:p w14:paraId="047F8C18"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53"/>
        <w:gridCol w:w="1177"/>
        <w:gridCol w:w="934"/>
        <w:gridCol w:w="4124"/>
      </w:tblGrid>
      <w:tr w:rsidR="00854ADA" w:rsidRPr="00FF386D" w14:paraId="02601D01" w14:textId="77777777" w:rsidTr="0057310C">
        <w:trPr>
          <w:trHeight w:val="780"/>
        </w:trPr>
        <w:tc>
          <w:tcPr>
            <w:tcW w:w="3253"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2C2E1816" w14:textId="777616AA"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 xml:space="preserve">: </w:t>
            </w:r>
          </w:p>
        </w:tc>
        <w:tc>
          <w:tcPr>
            <w:tcW w:w="1177" w:type="dxa"/>
            <w:tcBorders>
              <w:top w:val="single" w:sz="8" w:space="0" w:color="auto"/>
              <w:left w:val="nil"/>
              <w:bottom w:val="single" w:sz="8" w:space="0" w:color="auto"/>
              <w:right w:val="single" w:sz="8" w:space="0" w:color="auto"/>
            </w:tcBorders>
            <w:shd w:val="clear" w:color="auto" w:fill="E7E6E6" w:themeFill="background2"/>
            <w:vAlign w:val="center"/>
            <w:hideMark/>
          </w:tcPr>
          <w:p w14:paraId="7F5ED3A3" w14:textId="1BD31247"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МП_УЕ</w:t>
            </w:r>
            <w:r w:rsidR="00D77FDE" w:rsidRPr="00FF386D">
              <w:rPr>
                <w:rFonts w:ascii="Calibri Light" w:hAnsi="Calibri Light"/>
                <w:b/>
                <w:sz w:val="20"/>
              </w:rPr>
              <w:t>Т</w:t>
            </w:r>
            <w:r w:rsidRPr="00FF386D">
              <w:rPr>
                <w:rFonts w:ascii="Calibri Light" w:hAnsi="Calibri Light"/>
                <w:b/>
                <w:sz w:val="20"/>
              </w:rPr>
              <w:t>6</w:t>
            </w:r>
          </w:p>
        </w:tc>
        <w:tc>
          <w:tcPr>
            <w:tcW w:w="934" w:type="dxa"/>
            <w:tcBorders>
              <w:top w:val="single" w:sz="8" w:space="0" w:color="auto"/>
              <w:left w:val="nil"/>
              <w:bottom w:val="single" w:sz="8" w:space="0" w:color="auto"/>
              <w:right w:val="single" w:sz="8" w:space="0" w:color="auto"/>
            </w:tcBorders>
            <w:shd w:val="clear" w:color="auto" w:fill="244062"/>
            <w:vAlign w:val="center"/>
            <w:hideMark/>
          </w:tcPr>
          <w:p w14:paraId="73EA17A3" w14:textId="77777777" w:rsidR="00854ADA" w:rsidRPr="00FF386D" w:rsidRDefault="00854ADA" w:rsidP="00854ADA">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Назив</w:t>
            </w:r>
            <w:r w:rsidRPr="000A2AFE">
              <w:rPr>
                <w:rFonts w:asciiTheme="majorHAnsi" w:eastAsia="Times New Roman" w:hAnsiTheme="majorHAnsi" w:cstheme="majorHAnsi"/>
                <w:b/>
                <w:bCs/>
                <w:color w:val="FFFFFF"/>
                <w:sz w:val="20"/>
                <w:szCs w:val="20"/>
                <w:lang w:eastAsia="en-GB"/>
              </w:rPr>
              <w:t xml:space="preserve">: </w:t>
            </w:r>
          </w:p>
        </w:tc>
        <w:tc>
          <w:tcPr>
            <w:tcW w:w="4124" w:type="dxa"/>
            <w:tcBorders>
              <w:top w:val="single" w:sz="8" w:space="0" w:color="auto"/>
              <w:left w:val="nil"/>
              <w:bottom w:val="single" w:sz="8" w:space="0" w:color="auto"/>
              <w:right w:val="single" w:sz="8" w:space="0" w:color="auto"/>
            </w:tcBorders>
            <w:shd w:val="clear" w:color="auto" w:fill="E7E6E6" w:themeFill="background2"/>
            <w:vAlign w:val="center"/>
            <w:hideMark/>
          </w:tcPr>
          <w:p w14:paraId="7699B921" w14:textId="77777777"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Централнобалкански коридор</w:t>
            </w:r>
          </w:p>
        </w:tc>
      </w:tr>
      <w:tr w:rsidR="00180CEC" w:rsidRPr="00FF386D" w14:paraId="47CB2CE0" w14:textId="77777777" w:rsidTr="0057310C">
        <w:trPr>
          <w:trHeight w:val="960"/>
        </w:trPr>
        <w:tc>
          <w:tcPr>
            <w:tcW w:w="3253" w:type="dxa"/>
            <w:tcBorders>
              <w:top w:val="nil"/>
              <w:left w:val="single" w:sz="8" w:space="0" w:color="auto"/>
              <w:bottom w:val="single" w:sz="8" w:space="0" w:color="auto"/>
              <w:right w:val="nil"/>
            </w:tcBorders>
            <w:shd w:val="clear" w:color="000000" w:fill="244062"/>
            <w:vAlign w:val="center"/>
            <w:hideMark/>
          </w:tcPr>
          <w:p w14:paraId="3C456623" w14:textId="77777777" w:rsidR="00180CEC" w:rsidRPr="00FF386D" w:rsidRDefault="00180CEC" w:rsidP="00180CEC">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235" w:type="dxa"/>
            <w:gridSpan w:val="3"/>
            <w:tcBorders>
              <w:top w:val="single" w:sz="8" w:space="0" w:color="auto"/>
              <w:left w:val="nil"/>
              <w:bottom w:val="single" w:sz="8" w:space="0" w:color="auto"/>
              <w:right w:val="single" w:sz="8" w:space="0" w:color="000000"/>
            </w:tcBorders>
            <w:vAlign w:val="center"/>
          </w:tcPr>
          <w:p w14:paraId="4D6C1E17" w14:textId="48F6E462" w:rsidR="00180CEC" w:rsidRPr="00FF386D" w:rsidRDefault="00180CEC" w:rsidP="00180CEC">
            <w:pPr>
              <w:spacing w:after="0" w:line="240" w:lineRule="auto"/>
              <w:jc w:val="both"/>
              <w:rPr>
                <w:rFonts w:asciiTheme="majorHAnsi" w:eastAsia="Times New Roman" w:hAnsiTheme="majorHAnsi" w:cstheme="majorHAnsi"/>
                <w:color w:val="000000"/>
                <w:sz w:val="20"/>
                <w:szCs w:val="20"/>
                <w:lang w:eastAsia="en-GB"/>
              </w:rPr>
            </w:pPr>
            <w:r w:rsidRPr="00180CEC">
              <w:rPr>
                <w:rFonts w:asciiTheme="majorHAnsi" w:eastAsia="Times New Roman" w:hAnsiTheme="majorHAnsi" w:cstheme="majorHAnsi"/>
                <w:color w:val="000000"/>
                <w:sz w:val="20"/>
                <w:szCs w:val="20"/>
                <w:lang w:eastAsia="en-GB"/>
              </w:rPr>
              <w:t>Одржавање и постизање циља интерконективности, планирање и спровођење пројеката преносне инфраструктуре у области електричне енергије и гаса (и где је то релевантно, пројеката модернизације); обезбеђивање поузданости напајања купаца; стварање услова за даљи индустријски развој подручја на којима се пројекат налази; интеграција жељеног нивоа ОИЕ; обезбеђивање потребног нивоа флексибилности електроенергетског система; који су потребни за постизање циљева и приоритета у оквиру пет димензија Енергетске уније.</w:t>
            </w:r>
          </w:p>
        </w:tc>
      </w:tr>
      <w:tr w:rsidR="00180CEC" w:rsidRPr="00FF386D" w14:paraId="4968082E" w14:textId="77777777" w:rsidTr="0057310C">
        <w:trPr>
          <w:trHeight w:val="315"/>
        </w:trPr>
        <w:tc>
          <w:tcPr>
            <w:tcW w:w="3253" w:type="dxa"/>
            <w:tcBorders>
              <w:top w:val="nil"/>
              <w:left w:val="single" w:sz="8" w:space="0" w:color="auto"/>
              <w:bottom w:val="single" w:sz="8" w:space="0" w:color="auto"/>
              <w:right w:val="single" w:sz="8" w:space="0" w:color="auto"/>
            </w:tcBorders>
            <w:shd w:val="clear" w:color="000000" w:fill="244062"/>
            <w:vAlign w:val="center"/>
            <w:hideMark/>
          </w:tcPr>
          <w:p w14:paraId="58856304" w14:textId="77777777" w:rsidR="00180CEC" w:rsidRPr="00FF386D" w:rsidRDefault="00180CEC" w:rsidP="00180CEC">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Квантификовани циљ: </w:t>
            </w:r>
          </w:p>
        </w:tc>
        <w:tc>
          <w:tcPr>
            <w:tcW w:w="6235" w:type="dxa"/>
            <w:gridSpan w:val="3"/>
            <w:tcBorders>
              <w:top w:val="single" w:sz="8" w:space="0" w:color="auto"/>
              <w:left w:val="nil"/>
              <w:bottom w:val="single" w:sz="8" w:space="0" w:color="auto"/>
              <w:right w:val="single" w:sz="8" w:space="0" w:color="000000"/>
            </w:tcBorders>
            <w:vAlign w:val="center"/>
          </w:tcPr>
          <w:p w14:paraId="103481E6" w14:textId="70201BB7" w:rsidR="00180CEC" w:rsidRPr="00FF386D" w:rsidRDefault="00180CEC" w:rsidP="00180CEC">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Остварени циљеви у погледу интерконективности, предвиђени до 2030. године, критеријум сигурности </w:t>
            </w:r>
            <w:r w:rsidRPr="00FF386D">
              <w:rPr>
                <w:rFonts w:asciiTheme="majorHAnsi" w:eastAsia="Times New Roman" w:hAnsiTheme="majorHAnsi" w:cstheme="majorHAnsi"/>
                <w:i/>
                <w:iCs/>
                <w:color w:val="000000"/>
                <w:sz w:val="20"/>
                <w:szCs w:val="20"/>
                <w:lang w:eastAsia="en-GB"/>
              </w:rPr>
              <w:t>N-1</w:t>
            </w:r>
            <w:r w:rsidRPr="00FF386D">
              <w:rPr>
                <w:rFonts w:asciiTheme="majorHAnsi" w:eastAsia="Times New Roman" w:hAnsiTheme="majorHAnsi" w:cstheme="majorHAnsi"/>
                <w:color w:val="000000"/>
                <w:sz w:val="20"/>
                <w:szCs w:val="20"/>
                <w:lang w:eastAsia="en-GB"/>
              </w:rPr>
              <w:t xml:space="preserve">, други индикатори </w:t>
            </w:r>
            <w:r w:rsidRPr="00FF386D">
              <w:rPr>
                <w:rFonts w:asciiTheme="majorHAnsi" w:eastAsia="Times New Roman" w:hAnsiTheme="majorHAnsi" w:cstheme="majorHAnsi"/>
                <w:i/>
                <w:iCs/>
                <w:color w:val="000000"/>
                <w:sz w:val="20"/>
                <w:szCs w:val="20"/>
                <w:lang w:eastAsia="en-GB"/>
              </w:rPr>
              <w:t>CBA.</w:t>
            </w:r>
          </w:p>
        </w:tc>
      </w:tr>
      <w:tr w:rsidR="00180CEC" w:rsidRPr="00FF386D" w14:paraId="10AC442A" w14:textId="77777777" w:rsidTr="0057310C">
        <w:trPr>
          <w:trHeight w:val="1090"/>
        </w:trPr>
        <w:tc>
          <w:tcPr>
            <w:tcW w:w="3253" w:type="dxa"/>
            <w:tcBorders>
              <w:top w:val="nil"/>
              <w:left w:val="single" w:sz="8" w:space="0" w:color="auto"/>
              <w:bottom w:val="single" w:sz="8" w:space="0" w:color="auto"/>
              <w:right w:val="single" w:sz="8" w:space="0" w:color="auto"/>
            </w:tcBorders>
            <w:shd w:val="clear" w:color="000000" w:fill="244062"/>
            <w:vAlign w:val="center"/>
            <w:hideMark/>
          </w:tcPr>
          <w:p w14:paraId="370EAC52" w14:textId="77777777" w:rsidR="00180CEC" w:rsidRPr="00FF386D" w:rsidRDefault="00180CEC" w:rsidP="00180CEC">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Опис:</w:t>
            </w:r>
          </w:p>
        </w:tc>
        <w:tc>
          <w:tcPr>
            <w:tcW w:w="6235" w:type="dxa"/>
            <w:gridSpan w:val="3"/>
            <w:tcBorders>
              <w:top w:val="single" w:sz="8" w:space="0" w:color="auto"/>
              <w:left w:val="nil"/>
              <w:bottom w:val="single" w:sz="8" w:space="0" w:color="auto"/>
              <w:right w:val="single" w:sz="8" w:space="0" w:color="000000"/>
            </w:tcBorders>
            <w:vAlign w:val="center"/>
          </w:tcPr>
          <w:p w14:paraId="3DAD372C" w14:textId="748A466B" w:rsidR="00180CEC" w:rsidRPr="000A2AFE" w:rsidRDefault="00180CEC" w:rsidP="000A2AFE">
            <w:pPr>
              <w:spacing w:after="200" w:line="240" w:lineRule="auto"/>
              <w:jc w:val="both"/>
              <w:rPr>
                <w:rFonts w:ascii="Calibri Light" w:hAnsi="Calibri Light"/>
                <w:sz w:val="20"/>
              </w:rPr>
            </w:pPr>
            <w:r w:rsidRPr="00FF386D">
              <w:rPr>
                <w:rFonts w:ascii="Calibri Light" w:eastAsia="NSimSun" w:hAnsi="Calibri Light" w:cs="Mangal"/>
                <w:kern w:val="2"/>
                <w:sz w:val="20"/>
                <w:szCs w:val="24"/>
                <w:lang w:eastAsia="zh-CN" w:bidi="hi-IN"/>
              </w:rPr>
              <w:t>Мера се односи на</w:t>
            </w:r>
            <w:r w:rsidRPr="00FF386D">
              <w:rPr>
                <w:rFonts w:ascii="Calibri Light" w:hAnsi="Calibri Light"/>
                <w:sz w:val="20"/>
              </w:rPr>
              <w:t xml:space="preserve"> сет инфраструктурних далековода од 400 kV на подручју централне Србије, који ће омогућити додатну интеграцију електричне енергије из обновљивих извора, повећати поузданост снабдевања и прекограничне преносне капацитете између Србије, Бугарске, Црне Горе и Босне и Херцеговине</w:t>
            </w:r>
          </w:p>
          <w:p w14:paraId="48F596F0" w14:textId="46429537" w:rsidR="00180CEC" w:rsidRPr="00FF386D" w:rsidRDefault="00180CEC" w:rsidP="00180CEC">
            <w:pPr>
              <w:spacing w:after="0" w:line="240" w:lineRule="auto"/>
              <w:jc w:val="both"/>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 xml:space="preserve">Потребно је нагласити да је очекивано да прва секција овог пројекта буде завршена до 2030. године. Ово се односи на </w:t>
            </w:r>
            <w:r w:rsidRPr="00180CEC">
              <w:rPr>
                <w:rFonts w:asciiTheme="majorHAnsi" w:eastAsia="Times New Roman" w:hAnsiTheme="majorHAnsi" w:cstheme="majorHAnsi"/>
                <w:color w:val="000000"/>
                <w:sz w:val="20"/>
                <w:szCs w:val="20"/>
                <w:lang w:eastAsia="en-GB"/>
              </w:rPr>
              <w:t>2x400kV</w:t>
            </w:r>
            <w:r>
              <w:rPr>
                <w:rFonts w:asciiTheme="majorHAnsi" w:eastAsia="Times New Roman" w:hAnsiTheme="majorHAnsi" w:cstheme="majorHAnsi"/>
                <w:color w:val="000000"/>
                <w:sz w:val="20"/>
                <w:szCs w:val="20"/>
                <w:lang w:eastAsia="en-GB"/>
              </w:rPr>
              <w:t xml:space="preserve"> ДВ ТС Јагодина 4 – ТС Пожаревац 3, са изградњом ТС </w:t>
            </w:r>
            <w:r w:rsidRPr="00180CEC">
              <w:rPr>
                <w:rFonts w:asciiTheme="majorHAnsi" w:eastAsia="Times New Roman" w:hAnsiTheme="majorHAnsi" w:cstheme="majorHAnsi"/>
                <w:color w:val="000000"/>
                <w:sz w:val="20"/>
                <w:szCs w:val="20"/>
                <w:lang w:eastAsia="en-GB"/>
              </w:rPr>
              <w:t>400kV</w:t>
            </w:r>
            <w:r>
              <w:rPr>
                <w:rFonts w:asciiTheme="majorHAnsi" w:eastAsia="Times New Roman" w:hAnsiTheme="majorHAnsi" w:cstheme="majorHAnsi"/>
                <w:color w:val="000000"/>
                <w:sz w:val="20"/>
                <w:szCs w:val="20"/>
                <w:lang w:eastAsia="en-GB"/>
              </w:rPr>
              <w:t xml:space="preserve"> Пожаревац 3, који представља прву фазу изградњу нове ТС </w:t>
            </w:r>
            <w:r w:rsidRPr="00180CEC">
              <w:rPr>
                <w:rFonts w:asciiTheme="majorHAnsi" w:eastAsia="Times New Roman" w:hAnsiTheme="majorHAnsi" w:cstheme="majorHAnsi"/>
                <w:color w:val="000000"/>
                <w:sz w:val="20"/>
                <w:szCs w:val="20"/>
                <w:lang w:eastAsia="en-GB"/>
              </w:rPr>
              <w:t>400/110kV</w:t>
            </w:r>
            <w:r>
              <w:rPr>
                <w:rFonts w:asciiTheme="majorHAnsi" w:eastAsia="Times New Roman" w:hAnsiTheme="majorHAnsi" w:cstheme="majorHAnsi"/>
                <w:color w:val="000000"/>
                <w:sz w:val="20"/>
                <w:szCs w:val="20"/>
                <w:lang w:eastAsia="en-GB"/>
              </w:rPr>
              <w:t xml:space="preserve"> Пожаревац 3.</w:t>
            </w:r>
          </w:p>
        </w:tc>
      </w:tr>
      <w:tr w:rsidR="00180CEC" w:rsidRPr="00FF386D" w14:paraId="5FD3D156" w14:textId="77777777" w:rsidTr="0057310C">
        <w:trPr>
          <w:trHeight w:val="315"/>
        </w:trPr>
        <w:tc>
          <w:tcPr>
            <w:tcW w:w="3253" w:type="dxa"/>
            <w:tcBorders>
              <w:top w:val="nil"/>
              <w:left w:val="single" w:sz="8" w:space="0" w:color="auto"/>
              <w:bottom w:val="single" w:sz="8" w:space="0" w:color="auto"/>
              <w:right w:val="single" w:sz="8" w:space="0" w:color="auto"/>
            </w:tcBorders>
            <w:shd w:val="clear" w:color="000000" w:fill="244062"/>
            <w:vAlign w:val="center"/>
            <w:hideMark/>
          </w:tcPr>
          <w:p w14:paraId="3BBFC3F8" w14:textId="77777777" w:rsidR="00180CEC" w:rsidRPr="00FF386D" w:rsidRDefault="00180CEC" w:rsidP="00180CEC">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35" w:type="dxa"/>
            <w:gridSpan w:val="3"/>
            <w:tcBorders>
              <w:top w:val="single" w:sz="8" w:space="0" w:color="auto"/>
              <w:left w:val="nil"/>
              <w:bottom w:val="single" w:sz="8" w:space="0" w:color="auto"/>
              <w:right w:val="single" w:sz="8" w:space="0" w:color="000000"/>
            </w:tcBorders>
            <w:vAlign w:val="center"/>
          </w:tcPr>
          <w:p w14:paraId="46CDCA39" w14:textId="42A46010" w:rsidR="00180CEC" w:rsidRPr="00FF386D" w:rsidRDefault="00180CEC" w:rsidP="00180CEC">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202</w:t>
            </w:r>
            <w:r w:rsidR="00147EE6">
              <w:rPr>
                <w:rFonts w:ascii="Calibri Light" w:hAnsi="Calibri Light"/>
                <w:sz w:val="20"/>
              </w:rPr>
              <w:t>3</w:t>
            </w:r>
            <w:r w:rsidRPr="00FF386D">
              <w:rPr>
                <w:rFonts w:ascii="Calibri Light" w:hAnsi="Calibri Light"/>
                <w:sz w:val="20"/>
              </w:rPr>
              <w:t>–2030.</w:t>
            </w:r>
          </w:p>
        </w:tc>
      </w:tr>
      <w:tr w:rsidR="00180CEC" w:rsidRPr="00FF386D" w14:paraId="38BE9989" w14:textId="77777777" w:rsidTr="0057310C">
        <w:trPr>
          <w:trHeight w:val="315"/>
        </w:trPr>
        <w:tc>
          <w:tcPr>
            <w:tcW w:w="3253" w:type="dxa"/>
            <w:tcBorders>
              <w:top w:val="nil"/>
              <w:left w:val="single" w:sz="8" w:space="0" w:color="auto"/>
              <w:bottom w:val="single" w:sz="8" w:space="0" w:color="auto"/>
              <w:right w:val="single" w:sz="8" w:space="0" w:color="auto"/>
            </w:tcBorders>
            <w:shd w:val="clear" w:color="000000" w:fill="244062"/>
            <w:vAlign w:val="center"/>
            <w:hideMark/>
          </w:tcPr>
          <w:p w14:paraId="5C12A7E8" w14:textId="77777777" w:rsidR="00180CEC" w:rsidRPr="00FF386D" w:rsidRDefault="00180CEC" w:rsidP="00180CEC">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35" w:type="dxa"/>
            <w:gridSpan w:val="3"/>
            <w:tcBorders>
              <w:top w:val="single" w:sz="8" w:space="0" w:color="auto"/>
              <w:left w:val="nil"/>
              <w:bottom w:val="single" w:sz="8" w:space="0" w:color="auto"/>
              <w:right w:val="single" w:sz="8" w:space="0" w:color="000000"/>
            </w:tcBorders>
            <w:vAlign w:val="center"/>
          </w:tcPr>
          <w:p w14:paraId="52C05D0D" w14:textId="77777777" w:rsidR="00180CEC" w:rsidRPr="00FF386D" w:rsidRDefault="00180CEC" w:rsidP="00180CEC">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Инвестиција</w:t>
            </w:r>
          </w:p>
        </w:tc>
      </w:tr>
      <w:tr w:rsidR="00180CEC" w:rsidRPr="00FF386D" w14:paraId="0B3B422A" w14:textId="77777777" w:rsidTr="0057310C">
        <w:trPr>
          <w:trHeight w:val="315"/>
        </w:trPr>
        <w:tc>
          <w:tcPr>
            <w:tcW w:w="3253" w:type="dxa"/>
            <w:tcBorders>
              <w:top w:val="nil"/>
              <w:left w:val="single" w:sz="8" w:space="0" w:color="auto"/>
              <w:bottom w:val="single" w:sz="8" w:space="0" w:color="auto"/>
              <w:right w:val="single" w:sz="8" w:space="0" w:color="auto"/>
            </w:tcBorders>
            <w:shd w:val="clear" w:color="000000" w:fill="244062"/>
            <w:vAlign w:val="center"/>
            <w:hideMark/>
          </w:tcPr>
          <w:p w14:paraId="0314E022" w14:textId="77777777" w:rsidR="00180CEC" w:rsidRPr="00FF386D" w:rsidRDefault="00180CEC" w:rsidP="00180CEC">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35" w:type="dxa"/>
            <w:gridSpan w:val="3"/>
            <w:tcBorders>
              <w:top w:val="single" w:sz="8" w:space="0" w:color="auto"/>
              <w:left w:val="nil"/>
              <w:bottom w:val="single" w:sz="8" w:space="0" w:color="auto"/>
              <w:right w:val="single" w:sz="8" w:space="0" w:color="000000"/>
            </w:tcBorders>
            <w:vAlign w:val="center"/>
          </w:tcPr>
          <w:p w14:paraId="52E73724" w14:textId="77777777" w:rsidR="00180CEC" w:rsidRPr="00FF386D" w:rsidRDefault="00180CEC" w:rsidP="00180CEC">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Електрична енергија</w:t>
            </w:r>
          </w:p>
        </w:tc>
      </w:tr>
      <w:tr w:rsidR="00180CEC" w:rsidRPr="00FF386D" w14:paraId="28829D23" w14:textId="77777777" w:rsidTr="0057310C">
        <w:trPr>
          <w:trHeight w:val="315"/>
        </w:trPr>
        <w:tc>
          <w:tcPr>
            <w:tcW w:w="3253" w:type="dxa"/>
            <w:tcBorders>
              <w:top w:val="nil"/>
              <w:left w:val="single" w:sz="8" w:space="0" w:color="auto"/>
              <w:bottom w:val="single" w:sz="8" w:space="0" w:color="auto"/>
              <w:right w:val="single" w:sz="8" w:space="0" w:color="auto"/>
            </w:tcBorders>
            <w:shd w:val="clear" w:color="000000" w:fill="244062"/>
            <w:vAlign w:val="center"/>
            <w:hideMark/>
          </w:tcPr>
          <w:p w14:paraId="7B6606D1" w14:textId="77777777" w:rsidR="00180CEC" w:rsidRPr="00FF386D" w:rsidRDefault="00180CEC" w:rsidP="00180CEC">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35" w:type="dxa"/>
            <w:gridSpan w:val="3"/>
            <w:tcBorders>
              <w:top w:val="single" w:sz="8" w:space="0" w:color="auto"/>
              <w:left w:val="nil"/>
              <w:bottom w:val="single" w:sz="8" w:space="0" w:color="auto"/>
              <w:right w:val="single" w:sz="8" w:space="0" w:color="000000"/>
            </w:tcBorders>
            <w:vAlign w:val="center"/>
          </w:tcPr>
          <w:p w14:paraId="14207DA9" w14:textId="77777777" w:rsidR="00180CEC" w:rsidRPr="00FF386D" w:rsidRDefault="00180CEC" w:rsidP="00180CEC">
            <w:pPr>
              <w:numPr>
                <w:ilvl w:val="0"/>
                <w:numId w:val="4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рударства и енергетике</w:t>
            </w:r>
          </w:p>
          <w:p w14:paraId="3D816814" w14:textId="77777777" w:rsidR="00180CEC" w:rsidRPr="00FF386D" w:rsidRDefault="00180CEC" w:rsidP="00180CEC">
            <w:pPr>
              <w:numPr>
                <w:ilvl w:val="0"/>
                <w:numId w:val="4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ЕМС</w:t>
            </w:r>
          </w:p>
        </w:tc>
      </w:tr>
      <w:tr w:rsidR="00180CEC" w:rsidRPr="00FF386D" w14:paraId="0D0BDE62" w14:textId="77777777" w:rsidTr="0057310C">
        <w:trPr>
          <w:trHeight w:val="315"/>
        </w:trPr>
        <w:tc>
          <w:tcPr>
            <w:tcW w:w="3253" w:type="dxa"/>
            <w:tcBorders>
              <w:top w:val="nil"/>
              <w:left w:val="single" w:sz="8" w:space="0" w:color="auto"/>
              <w:bottom w:val="single" w:sz="8" w:space="0" w:color="auto"/>
              <w:right w:val="nil"/>
            </w:tcBorders>
            <w:shd w:val="clear" w:color="000000" w:fill="244062"/>
            <w:vAlign w:val="center"/>
            <w:hideMark/>
          </w:tcPr>
          <w:p w14:paraId="35D30156" w14:textId="77777777" w:rsidR="00180CEC" w:rsidRPr="00FF386D" w:rsidRDefault="00180CEC" w:rsidP="00180CEC">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35" w:type="dxa"/>
            <w:gridSpan w:val="3"/>
            <w:tcBorders>
              <w:top w:val="single" w:sz="8" w:space="0" w:color="auto"/>
              <w:left w:val="nil"/>
              <w:bottom w:val="single" w:sz="8" w:space="0" w:color="auto"/>
              <w:right w:val="single" w:sz="8" w:space="0" w:color="000000"/>
            </w:tcBorders>
            <w:vAlign w:val="center"/>
          </w:tcPr>
          <w:p w14:paraId="7AE70DDD" w14:textId="77777777" w:rsidR="00180CEC" w:rsidRPr="00FF386D" w:rsidRDefault="00180CEC" w:rsidP="00180CEC">
            <w:pPr>
              <w:numPr>
                <w:ilvl w:val="0"/>
                <w:numId w:val="4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ЕМС</w:t>
            </w:r>
          </w:p>
        </w:tc>
      </w:tr>
      <w:tr w:rsidR="00180CEC" w:rsidRPr="00FF386D" w14:paraId="6D7C5596" w14:textId="77777777" w:rsidTr="0057310C">
        <w:trPr>
          <w:trHeight w:val="315"/>
        </w:trPr>
        <w:tc>
          <w:tcPr>
            <w:tcW w:w="3253" w:type="dxa"/>
            <w:tcBorders>
              <w:top w:val="nil"/>
              <w:left w:val="single" w:sz="8" w:space="0" w:color="auto"/>
              <w:bottom w:val="single" w:sz="8" w:space="0" w:color="auto"/>
              <w:right w:val="nil"/>
            </w:tcBorders>
            <w:shd w:val="clear" w:color="000000" w:fill="244062"/>
            <w:vAlign w:val="center"/>
            <w:hideMark/>
          </w:tcPr>
          <w:p w14:paraId="1B5F1C43" w14:textId="77777777" w:rsidR="00180CEC" w:rsidRPr="00FF386D" w:rsidRDefault="00180CEC" w:rsidP="00180CEC">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35" w:type="dxa"/>
            <w:gridSpan w:val="3"/>
            <w:tcBorders>
              <w:top w:val="single" w:sz="8" w:space="0" w:color="auto"/>
              <w:left w:val="nil"/>
              <w:bottom w:val="single" w:sz="8" w:space="0" w:color="auto"/>
              <w:right w:val="single" w:sz="8" w:space="0" w:color="000000"/>
            </w:tcBorders>
            <w:vAlign w:val="center"/>
          </w:tcPr>
          <w:p w14:paraId="00AE847E" w14:textId="6FEBADA1" w:rsidR="00180CEC" w:rsidRDefault="00180CEC" w:rsidP="00180CEC">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Циљеви интерконектив</w:t>
            </w:r>
            <w:r w:rsidR="009E7728">
              <w:rPr>
                <w:rFonts w:asciiTheme="majorHAnsi" w:eastAsia="Times New Roman" w:hAnsiTheme="majorHAnsi" w:cstheme="majorHAnsi"/>
                <w:color w:val="000000"/>
                <w:sz w:val="20"/>
                <w:szCs w:val="20"/>
                <w:lang w:eastAsia="en-GB"/>
              </w:rPr>
              <w:t>н</w:t>
            </w:r>
            <w:r w:rsidRPr="00FF386D">
              <w:rPr>
                <w:rFonts w:asciiTheme="majorHAnsi" w:eastAsia="Times New Roman" w:hAnsiTheme="majorHAnsi" w:cstheme="majorHAnsi"/>
                <w:color w:val="000000"/>
                <w:sz w:val="20"/>
                <w:szCs w:val="20"/>
                <w:lang w:eastAsia="en-GB"/>
              </w:rPr>
              <w:t>ости</w:t>
            </w:r>
          </w:p>
          <w:p w14:paraId="2ACBF4D5" w14:textId="4FF54DE7" w:rsidR="00180CEC" w:rsidRPr="00FF386D" w:rsidRDefault="00180CEC" w:rsidP="00180CEC">
            <w:pPr>
              <w:spacing w:after="0" w:line="240" w:lineRule="auto"/>
              <w:jc w:val="both"/>
              <w:rPr>
                <w:rFonts w:asciiTheme="majorHAnsi" w:eastAsia="Times New Roman" w:hAnsiTheme="majorHAnsi" w:cstheme="majorHAnsi"/>
                <w:color w:val="000000"/>
                <w:sz w:val="20"/>
                <w:szCs w:val="20"/>
                <w:lang w:eastAsia="en-GB"/>
              </w:rPr>
            </w:pPr>
            <w:r w:rsidRPr="00180CEC">
              <w:rPr>
                <w:rFonts w:asciiTheme="majorHAnsi" w:eastAsia="Times New Roman" w:hAnsiTheme="majorHAnsi" w:cstheme="majorHAnsi"/>
                <w:color w:val="000000"/>
                <w:sz w:val="20"/>
                <w:szCs w:val="20"/>
                <w:lang w:eastAsia="en-GB"/>
              </w:rPr>
              <w:t>Могућност прикључења додатних капацитета ОИЕ</w:t>
            </w:r>
          </w:p>
        </w:tc>
      </w:tr>
      <w:tr w:rsidR="00180CEC" w:rsidRPr="00FF386D" w14:paraId="24DCF492" w14:textId="77777777" w:rsidTr="0057310C">
        <w:trPr>
          <w:trHeight w:val="525"/>
        </w:trPr>
        <w:tc>
          <w:tcPr>
            <w:tcW w:w="3253" w:type="dxa"/>
            <w:tcBorders>
              <w:top w:val="nil"/>
              <w:left w:val="single" w:sz="8" w:space="0" w:color="auto"/>
              <w:bottom w:val="single" w:sz="8" w:space="0" w:color="auto"/>
              <w:right w:val="single" w:sz="8" w:space="0" w:color="auto"/>
            </w:tcBorders>
            <w:shd w:val="clear" w:color="000000" w:fill="244062"/>
            <w:vAlign w:val="center"/>
            <w:hideMark/>
          </w:tcPr>
          <w:p w14:paraId="55EC3CE6" w14:textId="77777777" w:rsidR="00180CEC" w:rsidRPr="00FF386D" w:rsidRDefault="00180CEC" w:rsidP="00180CEC">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35" w:type="dxa"/>
            <w:gridSpan w:val="3"/>
            <w:tcBorders>
              <w:top w:val="single" w:sz="8" w:space="0" w:color="auto"/>
              <w:left w:val="nil"/>
              <w:bottom w:val="single" w:sz="8" w:space="0" w:color="auto"/>
              <w:right w:val="single" w:sz="8" w:space="0" w:color="000000"/>
            </w:tcBorders>
            <w:vAlign w:val="center"/>
          </w:tcPr>
          <w:p w14:paraId="6BA987A4" w14:textId="77777777" w:rsidR="00180CEC" w:rsidRPr="000A2AFE" w:rsidRDefault="00180CEC" w:rsidP="00180CEC">
            <w:pPr>
              <w:numPr>
                <w:ilvl w:val="0"/>
                <w:numId w:val="4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Енергетска сигурност</w:t>
            </w:r>
          </w:p>
          <w:p w14:paraId="62E9227D" w14:textId="74E4F0F6" w:rsidR="00147EE6" w:rsidRPr="00FF386D" w:rsidRDefault="00147EE6" w:rsidP="00180CEC">
            <w:pPr>
              <w:numPr>
                <w:ilvl w:val="0"/>
                <w:numId w:val="42"/>
              </w:numPr>
              <w:spacing w:after="0" w:line="240" w:lineRule="auto"/>
              <w:contextualSpacing/>
              <w:jc w:val="both"/>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Декарбонизација</w:t>
            </w:r>
          </w:p>
        </w:tc>
      </w:tr>
      <w:tr w:rsidR="00180CEC" w:rsidRPr="00FF386D" w14:paraId="7B921D25" w14:textId="77777777" w:rsidTr="0057310C">
        <w:trPr>
          <w:trHeight w:val="450"/>
        </w:trPr>
        <w:tc>
          <w:tcPr>
            <w:tcW w:w="3253"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4B9F52BD" w14:textId="105405BC" w:rsidR="00180CEC" w:rsidRPr="00FF386D" w:rsidRDefault="00180CEC" w:rsidP="00180CEC">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Политике Уније која су резултирале имплементацијом политике и мере</w:t>
            </w:r>
          </w:p>
        </w:tc>
        <w:tc>
          <w:tcPr>
            <w:tcW w:w="6235" w:type="dxa"/>
            <w:gridSpan w:val="3"/>
            <w:vMerge w:val="restart"/>
            <w:tcBorders>
              <w:top w:val="single" w:sz="8" w:space="0" w:color="auto"/>
              <w:left w:val="single" w:sz="8" w:space="0" w:color="auto"/>
              <w:bottom w:val="single" w:sz="8" w:space="0" w:color="000000"/>
              <w:right w:val="single" w:sz="8" w:space="0" w:color="000000"/>
            </w:tcBorders>
            <w:vAlign w:val="center"/>
          </w:tcPr>
          <w:p w14:paraId="3A36045D" w14:textId="0BE55761" w:rsidR="00180CEC" w:rsidRPr="00FF386D" w:rsidRDefault="00180CEC" w:rsidP="00180CEC">
            <w:pPr>
              <w:numPr>
                <w:ilvl w:val="0"/>
                <w:numId w:val="39"/>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Директива 2009/72/EЗ</w:t>
            </w:r>
          </w:p>
          <w:p w14:paraId="4552263F" w14:textId="110D6FF9" w:rsidR="00180CEC" w:rsidRPr="00FF386D" w:rsidRDefault="00180CEC" w:rsidP="00180CEC">
            <w:pPr>
              <w:numPr>
                <w:ilvl w:val="0"/>
                <w:numId w:val="39"/>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Уредба (EУ) 347/2013</w:t>
            </w:r>
          </w:p>
        </w:tc>
      </w:tr>
      <w:tr w:rsidR="00180CEC" w:rsidRPr="00FF386D" w14:paraId="3F406311"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2F75019D" w14:textId="77777777" w:rsidR="00180CEC" w:rsidRPr="00FF386D" w:rsidRDefault="00180CEC" w:rsidP="00180CEC">
            <w:pPr>
              <w:spacing w:after="0" w:line="256" w:lineRule="auto"/>
              <w:rPr>
                <w:rFonts w:ascii="Calibri Light" w:eastAsia="Times New Roman" w:hAnsi="Calibri Light" w:cs="Calibri Light"/>
                <w:b/>
                <w:bCs/>
                <w:color w:val="FFFFFF"/>
                <w:sz w:val="20"/>
                <w:szCs w:val="20"/>
                <w:lang w:eastAsia="en-GB"/>
              </w:rPr>
            </w:pPr>
          </w:p>
        </w:tc>
        <w:tc>
          <w:tcPr>
            <w:tcW w:w="6235" w:type="dxa"/>
            <w:gridSpan w:val="3"/>
            <w:vMerge/>
            <w:tcBorders>
              <w:top w:val="single" w:sz="8" w:space="0" w:color="auto"/>
              <w:left w:val="single" w:sz="8" w:space="0" w:color="auto"/>
              <w:bottom w:val="single" w:sz="8" w:space="0" w:color="000000"/>
              <w:right w:val="single" w:sz="8" w:space="0" w:color="000000"/>
            </w:tcBorders>
            <w:vAlign w:val="center"/>
          </w:tcPr>
          <w:p w14:paraId="36CBB08A" w14:textId="77777777" w:rsidR="00180CEC" w:rsidRPr="00FF386D" w:rsidRDefault="00180CEC" w:rsidP="00180CEC">
            <w:pPr>
              <w:spacing w:after="0" w:line="256" w:lineRule="auto"/>
              <w:rPr>
                <w:rFonts w:asciiTheme="majorHAnsi" w:eastAsia="Times New Roman" w:hAnsiTheme="majorHAnsi" w:cstheme="majorHAnsi"/>
                <w:color w:val="000000"/>
                <w:sz w:val="20"/>
                <w:szCs w:val="20"/>
                <w:lang w:eastAsia="en-GB"/>
              </w:rPr>
            </w:pPr>
          </w:p>
        </w:tc>
      </w:tr>
      <w:tr w:rsidR="00180CEC" w:rsidRPr="00FF386D" w14:paraId="6639B2E4"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24256136" w14:textId="77777777" w:rsidR="00180CEC" w:rsidRPr="00FF386D" w:rsidRDefault="00180CEC" w:rsidP="00180CEC">
            <w:pPr>
              <w:spacing w:after="0" w:line="256" w:lineRule="auto"/>
              <w:rPr>
                <w:rFonts w:ascii="Calibri Light" w:eastAsia="Times New Roman" w:hAnsi="Calibri Light" w:cs="Calibri Light"/>
                <w:b/>
                <w:bCs/>
                <w:color w:val="FFFFFF"/>
                <w:sz w:val="20"/>
                <w:szCs w:val="20"/>
                <w:lang w:eastAsia="en-GB"/>
              </w:rPr>
            </w:pPr>
          </w:p>
        </w:tc>
        <w:tc>
          <w:tcPr>
            <w:tcW w:w="6235" w:type="dxa"/>
            <w:gridSpan w:val="3"/>
            <w:vMerge/>
            <w:tcBorders>
              <w:top w:val="single" w:sz="8" w:space="0" w:color="auto"/>
              <w:left w:val="single" w:sz="8" w:space="0" w:color="auto"/>
              <w:bottom w:val="single" w:sz="8" w:space="0" w:color="000000"/>
              <w:right w:val="single" w:sz="8" w:space="0" w:color="000000"/>
            </w:tcBorders>
            <w:vAlign w:val="center"/>
          </w:tcPr>
          <w:p w14:paraId="490F2CE2" w14:textId="77777777" w:rsidR="00180CEC" w:rsidRPr="00FF386D" w:rsidRDefault="00180CEC" w:rsidP="00180CEC">
            <w:pPr>
              <w:spacing w:after="0" w:line="256" w:lineRule="auto"/>
              <w:rPr>
                <w:rFonts w:asciiTheme="majorHAnsi" w:eastAsia="Times New Roman" w:hAnsiTheme="majorHAnsi" w:cstheme="majorHAnsi"/>
                <w:color w:val="000000"/>
                <w:sz w:val="20"/>
                <w:szCs w:val="20"/>
                <w:lang w:eastAsia="en-GB"/>
              </w:rPr>
            </w:pPr>
          </w:p>
        </w:tc>
      </w:tr>
      <w:tr w:rsidR="00180CEC" w:rsidRPr="00FF386D" w14:paraId="5758A478" w14:textId="77777777" w:rsidTr="0057310C">
        <w:trPr>
          <w:trHeight w:val="780"/>
        </w:trPr>
        <w:tc>
          <w:tcPr>
            <w:tcW w:w="3253" w:type="dxa"/>
            <w:tcBorders>
              <w:top w:val="nil"/>
              <w:left w:val="single" w:sz="8" w:space="0" w:color="auto"/>
              <w:bottom w:val="single" w:sz="8" w:space="0" w:color="auto"/>
              <w:right w:val="single" w:sz="8" w:space="0" w:color="auto"/>
            </w:tcBorders>
            <w:shd w:val="clear" w:color="000000" w:fill="244062"/>
            <w:vAlign w:val="center"/>
            <w:hideMark/>
          </w:tcPr>
          <w:p w14:paraId="4E90B808" w14:textId="77777777" w:rsidR="00180CEC" w:rsidRPr="00FF386D" w:rsidRDefault="00180CEC" w:rsidP="00180CEC">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35" w:type="dxa"/>
            <w:gridSpan w:val="3"/>
            <w:tcBorders>
              <w:top w:val="single" w:sz="8" w:space="0" w:color="auto"/>
              <w:left w:val="nil"/>
              <w:bottom w:val="single" w:sz="8" w:space="0" w:color="auto"/>
              <w:right w:val="single" w:sz="8" w:space="0" w:color="000000"/>
            </w:tcBorders>
            <w:vAlign w:val="center"/>
          </w:tcPr>
          <w:p w14:paraId="20F0F7A1" w14:textId="77777777" w:rsidR="00180CEC" w:rsidRPr="00FF386D" w:rsidRDefault="00180CEC" w:rsidP="00180CEC">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i/>
                <w:iCs/>
                <w:color w:val="000000"/>
                <w:sz w:val="20"/>
                <w:szCs w:val="20"/>
                <w:lang w:eastAsia="en-GB"/>
              </w:rPr>
              <w:t>TYNDP</w:t>
            </w:r>
            <w:r w:rsidRPr="00FF386D">
              <w:rPr>
                <w:rFonts w:asciiTheme="majorHAnsi" w:eastAsia="Times New Roman" w:hAnsiTheme="majorHAnsi" w:cstheme="majorHAnsi"/>
                <w:color w:val="000000"/>
                <w:sz w:val="20"/>
                <w:szCs w:val="20"/>
                <w:lang w:eastAsia="en-GB"/>
              </w:rPr>
              <w:t xml:space="preserve"> 2021-2030</w:t>
            </w:r>
          </w:p>
        </w:tc>
      </w:tr>
      <w:tr w:rsidR="00180CEC" w:rsidRPr="00FF386D" w14:paraId="56BBE89E" w14:textId="77777777" w:rsidTr="0057310C">
        <w:trPr>
          <w:trHeight w:val="315"/>
        </w:trPr>
        <w:tc>
          <w:tcPr>
            <w:tcW w:w="3253" w:type="dxa"/>
            <w:tcBorders>
              <w:top w:val="nil"/>
              <w:left w:val="single" w:sz="8" w:space="0" w:color="auto"/>
              <w:bottom w:val="single" w:sz="8" w:space="0" w:color="auto"/>
              <w:right w:val="single" w:sz="8" w:space="0" w:color="auto"/>
            </w:tcBorders>
            <w:shd w:val="clear" w:color="000000" w:fill="244062"/>
            <w:vAlign w:val="center"/>
            <w:hideMark/>
          </w:tcPr>
          <w:p w14:paraId="7EAA6648" w14:textId="77777777" w:rsidR="00180CEC" w:rsidRPr="00FF386D" w:rsidRDefault="00180CEC" w:rsidP="00180CEC">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35" w:type="dxa"/>
            <w:gridSpan w:val="3"/>
            <w:tcBorders>
              <w:top w:val="single" w:sz="8" w:space="0" w:color="auto"/>
              <w:left w:val="nil"/>
              <w:bottom w:val="single" w:sz="8" w:space="0" w:color="auto"/>
              <w:right w:val="single" w:sz="8" w:space="0" w:color="000000"/>
            </w:tcBorders>
            <w:vAlign w:val="center"/>
          </w:tcPr>
          <w:p w14:paraId="6A22DE6D" w14:textId="142A5F69" w:rsidR="00180CEC" w:rsidRPr="00FF386D" w:rsidRDefault="00180CEC" w:rsidP="00180CEC">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214,07 милиона евра</w:t>
            </w:r>
          </w:p>
        </w:tc>
      </w:tr>
      <w:tr w:rsidR="00180CEC" w:rsidRPr="00FF386D" w14:paraId="3E381AB3" w14:textId="77777777" w:rsidTr="0057310C">
        <w:trPr>
          <w:trHeight w:val="315"/>
        </w:trPr>
        <w:tc>
          <w:tcPr>
            <w:tcW w:w="3253" w:type="dxa"/>
            <w:tcBorders>
              <w:top w:val="nil"/>
              <w:left w:val="single" w:sz="8" w:space="0" w:color="auto"/>
              <w:bottom w:val="single" w:sz="8" w:space="0" w:color="auto"/>
              <w:right w:val="single" w:sz="8" w:space="0" w:color="auto"/>
            </w:tcBorders>
            <w:shd w:val="clear" w:color="000000" w:fill="244062"/>
            <w:vAlign w:val="center"/>
            <w:hideMark/>
          </w:tcPr>
          <w:p w14:paraId="01D7DA42" w14:textId="77777777" w:rsidR="00180CEC" w:rsidRPr="00FF386D" w:rsidRDefault="00180CEC" w:rsidP="00180CEC">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35" w:type="dxa"/>
            <w:gridSpan w:val="3"/>
            <w:tcBorders>
              <w:top w:val="single" w:sz="8" w:space="0" w:color="auto"/>
              <w:left w:val="nil"/>
              <w:bottom w:val="single" w:sz="8" w:space="0" w:color="auto"/>
              <w:right w:val="single" w:sz="8" w:space="0" w:color="000000"/>
            </w:tcBorders>
            <w:vAlign w:val="center"/>
          </w:tcPr>
          <w:p w14:paraId="50DCB5D2" w14:textId="7FE0F238" w:rsidR="00180CEC" w:rsidRPr="00FF386D" w:rsidRDefault="00180CEC" w:rsidP="00180CEC">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eastAsia="Times New Roman" w:hAnsi="Calibri Light" w:cs="Calibri Light"/>
                <w:color w:val="000000"/>
                <w:sz w:val="20"/>
                <w:szCs w:val="20"/>
                <w:lang w:eastAsia="en-GB"/>
              </w:rPr>
              <w:t>Фондови ЕУ и други фондови, буџетска и сопствена средства</w:t>
            </w:r>
          </w:p>
        </w:tc>
      </w:tr>
    </w:tbl>
    <w:p w14:paraId="0965149B"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57"/>
        <w:gridCol w:w="1207"/>
        <w:gridCol w:w="928"/>
        <w:gridCol w:w="4096"/>
      </w:tblGrid>
      <w:tr w:rsidR="00854ADA" w:rsidRPr="00FF386D" w14:paraId="6CCEC258" w14:textId="77777777" w:rsidTr="0057310C">
        <w:trPr>
          <w:trHeight w:val="780"/>
        </w:trPr>
        <w:tc>
          <w:tcPr>
            <w:tcW w:w="3257"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05D42E0B" w14:textId="0E4875E2"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 xml:space="preserve">: </w:t>
            </w:r>
          </w:p>
        </w:tc>
        <w:tc>
          <w:tcPr>
            <w:tcW w:w="12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37F70429" w14:textId="3E32BEF7"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МП_УЕ</w:t>
            </w:r>
            <w:r w:rsidR="00D77FDE" w:rsidRPr="00FF386D">
              <w:rPr>
                <w:rFonts w:ascii="Calibri Light" w:hAnsi="Calibri Light"/>
                <w:b/>
                <w:sz w:val="20"/>
              </w:rPr>
              <w:t>Т</w:t>
            </w:r>
            <w:r w:rsidRPr="00FF386D">
              <w:rPr>
                <w:rFonts w:ascii="Calibri Light" w:hAnsi="Calibri Light"/>
                <w:b/>
                <w:sz w:val="20"/>
              </w:rPr>
              <w:t>7</w:t>
            </w:r>
          </w:p>
        </w:tc>
        <w:tc>
          <w:tcPr>
            <w:tcW w:w="928" w:type="dxa"/>
            <w:tcBorders>
              <w:top w:val="single" w:sz="8" w:space="0" w:color="auto"/>
              <w:left w:val="nil"/>
              <w:bottom w:val="single" w:sz="8" w:space="0" w:color="auto"/>
              <w:right w:val="single" w:sz="8" w:space="0" w:color="auto"/>
            </w:tcBorders>
            <w:shd w:val="clear" w:color="auto" w:fill="244062"/>
            <w:vAlign w:val="center"/>
            <w:hideMark/>
          </w:tcPr>
          <w:p w14:paraId="1A675A29" w14:textId="77777777" w:rsidR="00854ADA" w:rsidRPr="00FF386D" w:rsidRDefault="00854ADA" w:rsidP="00854ADA">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Назив</w:t>
            </w:r>
            <w:r w:rsidRPr="000A2AFE">
              <w:rPr>
                <w:rFonts w:asciiTheme="majorHAnsi" w:eastAsia="Times New Roman" w:hAnsiTheme="majorHAnsi" w:cstheme="majorHAnsi"/>
                <w:b/>
                <w:bCs/>
                <w:color w:val="FFFFFF"/>
                <w:sz w:val="20"/>
                <w:szCs w:val="20"/>
                <w:lang w:eastAsia="en-GB"/>
              </w:rPr>
              <w:t xml:space="preserve">: </w:t>
            </w:r>
          </w:p>
        </w:tc>
        <w:tc>
          <w:tcPr>
            <w:tcW w:w="4096" w:type="dxa"/>
            <w:tcBorders>
              <w:top w:val="single" w:sz="8" w:space="0" w:color="auto"/>
              <w:left w:val="nil"/>
              <w:bottom w:val="single" w:sz="8" w:space="0" w:color="auto"/>
              <w:right w:val="single" w:sz="8" w:space="0" w:color="auto"/>
            </w:tcBorders>
            <w:shd w:val="clear" w:color="auto" w:fill="E7E6E6" w:themeFill="background2"/>
            <w:vAlign w:val="center"/>
            <w:hideMark/>
          </w:tcPr>
          <w:p w14:paraId="09FA9264" w14:textId="5DEEAF58" w:rsidR="00854ADA" w:rsidRPr="00FF386D" w:rsidRDefault="00854ADA" w:rsidP="00854ADA">
            <w:pPr>
              <w:spacing w:after="0" w:line="240" w:lineRule="auto"/>
              <w:jc w:val="both"/>
              <w:rPr>
                <w:rFonts w:asciiTheme="majorHAnsi" w:eastAsia="Times New Roman" w:hAnsiTheme="majorHAnsi" w:cstheme="majorHAnsi"/>
                <w:b/>
                <w:bCs/>
                <w:sz w:val="20"/>
                <w:szCs w:val="20"/>
                <w:lang w:eastAsia="en-GB"/>
              </w:rPr>
            </w:pPr>
            <w:r w:rsidRPr="00FF386D">
              <w:rPr>
                <w:rFonts w:ascii="Calibri Light" w:hAnsi="Calibri Light"/>
                <w:b/>
                <w:sz w:val="20"/>
              </w:rPr>
              <w:t>Интеграција кластер пројеката ОИЕ – Северни</w:t>
            </w:r>
            <w:r w:rsidR="006409E1" w:rsidRPr="00FF386D">
              <w:rPr>
                <w:rFonts w:ascii="Calibri Light" w:hAnsi="Calibri Light"/>
                <w:b/>
                <w:sz w:val="20"/>
              </w:rPr>
              <w:t xml:space="preserve"> </w:t>
            </w:r>
            <w:r w:rsidRPr="00FF386D">
              <w:rPr>
                <w:rFonts w:ascii="Calibri Light" w:hAnsi="Calibri Light"/>
                <w:b/>
                <w:sz w:val="20"/>
              </w:rPr>
              <w:t>коридор</w:t>
            </w:r>
          </w:p>
        </w:tc>
      </w:tr>
      <w:tr w:rsidR="00854ADA" w:rsidRPr="00FF386D" w14:paraId="3C2583BD" w14:textId="77777777" w:rsidTr="0057310C">
        <w:trPr>
          <w:trHeight w:val="960"/>
        </w:trPr>
        <w:tc>
          <w:tcPr>
            <w:tcW w:w="3257" w:type="dxa"/>
            <w:tcBorders>
              <w:top w:val="nil"/>
              <w:left w:val="single" w:sz="8" w:space="0" w:color="auto"/>
              <w:bottom w:val="single" w:sz="8" w:space="0" w:color="auto"/>
              <w:right w:val="nil"/>
            </w:tcBorders>
            <w:shd w:val="clear" w:color="000000" w:fill="244062"/>
            <w:vAlign w:val="center"/>
            <w:hideMark/>
          </w:tcPr>
          <w:p w14:paraId="530296C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231" w:type="dxa"/>
            <w:gridSpan w:val="3"/>
            <w:tcBorders>
              <w:top w:val="single" w:sz="8" w:space="0" w:color="auto"/>
              <w:left w:val="nil"/>
              <w:bottom w:val="single" w:sz="8" w:space="0" w:color="auto"/>
              <w:right w:val="single" w:sz="8" w:space="0" w:color="000000"/>
            </w:tcBorders>
            <w:vAlign w:val="center"/>
          </w:tcPr>
          <w:p w14:paraId="255EAD27" w14:textId="6B6547C5" w:rsidR="00854ADA" w:rsidRPr="00FF386D" w:rsidRDefault="00180CEC" w:rsidP="00854ADA">
            <w:pPr>
              <w:spacing w:after="0" w:line="240" w:lineRule="auto"/>
              <w:jc w:val="both"/>
              <w:rPr>
                <w:rFonts w:asciiTheme="majorHAnsi" w:eastAsia="Times New Roman" w:hAnsiTheme="majorHAnsi" w:cstheme="majorHAnsi"/>
                <w:color w:val="000000"/>
                <w:sz w:val="20"/>
                <w:szCs w:val="20"/>
                <w:lang w:eastAsia="en-GB"/>
              </w:rPr>
            </w:pPr>
            <w:r w:rsidRPr="00180CEC">
              <w:rPr>
                <w:rFonts w:asciiTheme="majorHAnsi" w:eastAsia="Times New Roman" w:hAnsiTheme="majorHAnsi" w:cstheme="majorHAnsi"/>
                <w:color w:val="000000"/>
                <w:sz w:val="20"/>
                <w:szCs w:val="20"/>
                <w:lang w:eastAsia="en-GB"/>
              </w:rPr>
              <w:t>Одржавање и постизање циља интерконективности, планирање и спровођење пројеката преносне инфраструктуре у области електричне енергије и гаса (и где је то релевантно, пројеката модернизације); обезбеђивање поузданости напајања купаца; стварање услова за даљи индустријски развој подручја на којима се пројекат налази; интеграција жељеног нивоа ОИЕ; обезбеђивање потребног нивоа флексибилности електроенергетског система; који су потребни за постизање циљева и приоритета у оквиру пет димензија Енергетске уније.</w:t>
            </w:r>
          </w:p>
        </w:tc>
      </w:tr>
      <w:tr w:rsidR="00854ADA" w:rsidRPr="00FF386D" w14:paraId="423E1EF9" w14:textId="77777777" w:rsidTr="0057310C">
        <w:trPr>
          <w:trHeight w:val="315"/>
        </w:trPr>
        <w:tc>
          <w:tcPr>
            <w:tcW w:w="3257" w:type="dxa"/>
            <w:tcBorders>
              <w:top w:val="nil"/>
              <w:left w:val="single" w:sz="8" w:space="0" w:color="auto"/>
              <w:bottom w:val="single" w:sz="8" w:space="0" w:color="auto"/>
              <w:right w:val="single" w:sz="8" w:space="0" w:color="auto"/>
            </w:tcBorders>
            <w:shd w:val="clear" w:color="000000" w:fill="244062"/>
            <w:vAlign w:val="center"/>
            <w:hideMark/>
          </w:tcPr>
          <w:p w14:paraId="063BC9F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Квантификовани циљ: </w:t>
            </w:r>
          </w:p>
        </w:tc>
        <w:tc>
          <w:tcPr>
            <w:tcW w:w="6231" w:type="dxa"/>
            <w:gridSpan w:val="3"/>
            <w:tcBorders>
              <w:top w:val="single" w:sz="8" w:space="0" w:color="auto"/>
              <w:left w:val="nil"/>
              <w:bottom w:val="single" w:sz="8" w:space="0" w:color="auto"/>
              <w:right w:val="single" w:sz="8" w:space="0" w:color="000000"/>
            </w:tcBorders>
            <w:vAlign w:val="center"/>
          </w:tcPr>
          <w:p w14:paraId="3EBF0C0D"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Испуњени циљеви у погледу интерконективности, предвиђени до 2030. године, критеријум сигурности </w:t>
            </w:r>
            <w:r w:rsidRPr="00FF386D">
              <w:rPr>
                <w:rFonts w:asciiTheme="majorHAnsi" w:eastAsia="Times New Roman" w:hAnsiTheme="majorHAnsi" w:cstheme="majorHAnsi"/>
                <w:i/>
                <w:iCs/>
                <w:color w:val="000000"/>
                <w:sz w:val="20"/>
                <w:szCs w:val="20"/>
                <w:lang w:eastAsia="en-GB"/>
              </w:rPr>
              <w:t>N-1</w:t>
            </w:r>
            <w:r w:rsidRPr="00FF386D">
              <w:rPr>
                <w:rFonts w:asciiTheme="majorHAnsi" w:eastAsia="Times New Roman" w:hAnsiTheme="majorHAnsi" w:cstheme="majorHAnsi"/>
                <w:color w:val="000000"/>
                <w:sz w:val="20"/>
                <w:szCs w:val="20"/>
                <w:lang w:eastAsia="en-GB"/>
              </w:rPr>
              <w:t xml:space="preserve">, други индикатори </w:t>
            </w:r>
            <w:r w:rsidRPr="00FF386D">
              <w:rPr>
                <w:rFonts w:asciiTheme="majorHAnsi" w:eastAsia="Times New Roman" w:hAnsiTheme="majorHAnsi" w:cstheme="majorHAnsi"/>
                <w:i/>
                <w:iCs/>
                <w:color w:val="000000"/>
                <w:sz w:val="20"/>
                <w:szCs w:val="20"/>
                <w:lang w:eastAsia="en-GB"/>
              </w:rPr>
              <w:t>CBA.</w:t>
            </w:r>
          </w:p>
        </w:tc>
      </w:tr>
      <w:tr w:rsidR="00854ADA" w:rsidRPr="00FF386D" w14:paraId="399C6C76" w14:textId="77777777" w:rsidTr="00565B02">
        <w:trPr>
          <w:trHeight w:val="1538"/>
        </w:trPr>
        <w:tc>
          <w:tcPr>
            <w:tcW w:w="3257" w:type="dxa"/>
            <w:tcBorders>
              <w:top w:val="nil"/>
              <w:left w:val="single" w:sz="8" w:space="0" w:color="auto"/>
              <w:bottom w:val="single" w:sz="8" w:space="0" w:color="auto"/>
              <w:right w:val="single" w:sz="8" w:space="0" w:color="auto"/>
            </w:tcBorders>
            <w:shd w:val="clear" w:color="000000" w:fill="244062"/>
            <w:vAlign w:val="center"/>
            <w:hideMark/>
          </w:tcPr>
          <w:p w14:paraId="6436FE8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31" w:type="dxa"/>
            <w:gridSpan w:val="3"/>
            <w:tcBorders>
              <w:top w:val="single" w:sz="8" w:space="0" w:color="auto"/>
              <w:left w:val="nil"/>
              <w:bottom w:val="single" w:sz="8" w:space="0" w:color="auto"/>
              <w:right w:val="single" w:sz="8" w:space="0" w:color="000000"/>
            </w:tcBorders>
            <w:vAlign w:val="center"/>
            <w:hideMark/>
          </w:tcPr>
          <w:p w14:paraId="59D566DE" w14:textId="6B374B70" w:rsidR="00854ADA" w:rsidRDefault="00854ADA" w:rsidP="000A2AFE">
            <w:pPr>
              <w:spacing w:after="200" w:line="240" w:lineRule="auto"/>
              <w:jc w:val="both"/>
              <w:rPr>
                <w:rFonts w:ascii="Calibri Light" w:hAnsi="Calibri Light"/>
                <w:sz w:val="20"/>
              </w:rPr>
            </w:pPr>
            <w:r w:rsidRPr="00FF386D">
              <w:rPr>
                <w:rFonts w:ascii="Calibri Light" w:hAnsi="Calibri Light"/>
                <w:sz w:val="20"/>
              </w:rPr>
              <w:t>МП_УЕ</w:t>
            </w:r>
            <w:r w:rsidR="00D77FDE" w:rsidRPr="00FF386D">
              <w:rPr>
                <w:rFonts w:ascii="Calibri Light" w:hAnsi="Calibri Light"/>
                <w:sz w:val="20"/>
              </w:rPr>
              <w:t>Т</w:t>
            </w:r>
            <w:r w:rsidRPr="00FF386D">
              <w:rPr>
                <w:rFonts w:ascii="Calibri Light" w:hAnsi="Calibri Light"/>
                <w:sz w:val="20"/>
              </w:rPr>
              <w:t xml:space="preserve">7 се </w:t>
            </w:r>
            <w:r w:rsidRPr="00FF386D">
              <w:rPr>
                <w:rFonts w:ascii="Calibri Light" w:eastAsia="NSimSun" w:hAnsi="Calibri Light" w:cs="Mangal"/>
                <w:kern w:val="2"/>
                <w:sz w:val="20"/>
                <w:szCs w:val="24"/>
                <w:lang w:eastAsia="zh-CN" w:bidi="hi-IN"/>
              </w:rPr>
              <w:t>односи на</w:t>
            </w:r>
            <w:r w:rsidRPr="00FF386D">
              <w:rPr>
                <w:rFonts w:ascii="Calibri Light" w:hAnsi="Calibri Light"/>
                <w:sz w:val="20"/>
              </w:rPr>
              <w:t xml:space="preserve"> скуп инфраструктурних мера које допуњују кластер БЕОГРИД а заједно са српско румунском интерконекцијом </w:t>
            </w:r>
            <w:r w:rsidR="00180CEC">
              <w:rPr>
                <w:rFonts w:ascii="Calibri Light" w:hAnsi="Calibri Light"/>
                <w:sz w:val="20"/>
              </w:rPr>
              <w:t xml:space="preserve">(очекивано је да буде завршена до 2029. године) </w:t>
            </w:r>
            <w:r w:rsidRPr="00FF386D">
              <w:rPr>
                <w:rFonts w:ascii="Calibri Light" w:hAnsi="Calibri Light"/>
                <w:sz w:val="20"/>
              </w:rPr>
              <w:t>називају се Северни коридор</w:t>
            </w:r>
            <w:r w:rsidRPr="00FF386D">
              <w:rPr>
                <w:rFonts w:ascii="Calibri Light" w:hAnsi="Calibri Light"/>
                <w:i/>
                <w:iCs/>
                <w:sz w:val="20"/>
              </w:rPr>
              <w:t xml:space="preserve">, </w:t>
            </w:r>
            <w:r w:rsidRPr="00FF386D">
              <w:rPr>
                <w:rFonts w:ascii="Calibri Light" w:hAnsi="Calibri Light"/>
                <w:sz w:val="20"/>
              </w:rPr>
              <w:t xml:space="preserve">који је обухваћен у </w:t>
            </w:r>
            <w:r w:rsidRPr="00FF386D">
              <w:rPr>
                <w:rFonts w:ascii="Calibri Light" w:hAnsi="Calibri Light"/>
                <w:i/>
                <w:iCs/>
                <w:sz w:val="20"/>
              </w:rPr>
              <w:t>TYNDP</w:t>
            </w:r>
            <w:r w:rsidRPr="00FF386D">
              <w:rPr>
                <w:rFonts w:ascii="Calibri Light" w:hAnsi="Calibri Light"/>
                <w:sz w:val="20"/>
              </w:rPr>
              <w:t xml:space="preserve"> 2021-2030. за Србију.</w:t>
            </w:r>
          </w:p>
          <w:p w14:paraId="437EF750" w14:textId="1266DE45" w:rsidR="007922D2" w:rsidRDefault="007922D2" w:rsidP="000A2AFE">
            <w:pPr>
              <w:spacing w:after="200" w:line="240" w:lineRule="auto"/>
              <w:jc w:val="both"/>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 xml:space="preserve">БЕОГРИД кластер обухвата скуп инфраструктурних мера које су укључене у План развоја преносног система Републике Србије за период 2021-2030. и очекивано је да буде завршен до 2028. године. Пројекат обухвата </w:t>
            </w:r>
            <w:r w:rsidRPr="007922D2">
              <w:rPr>
                <w:rFonts w:asciiTheme="majorHAnsi" w:eastAsia="Times New Roman" w:hAnsiTheme="majorHAnsi" w:cstheme="majorHAnsi"/>
                <w:color w:val="000000"/>
                <w:sz w:val="20"/>
                <w:szCs w:val="20"/>
                <w:lang w:eastAsia="en-GB"/>
              </w:rPr>
              <w:t>нов</w:t>
            </w:r>
            <w:r>
              <w:rPr>
                <w:rFonts w:asciiTheme="majorHAnsi" w:eastAsia="Times New Roman" w:hAnsiTheme="majorHAnsi" w:cstheme="majorHAnsi"/>
                <w:color w:val="000000"/>
                <w:sz w:val="20"/>
                <w:szCs w:val="20"/>
                <w:lang w:eastAsia="en-GB"/>
              </w:rPr>
              <w:t>у</w:t>
            </w:r>
            <w:r w:rsidRPr="007922D2">
              <w:rPr>
                <w:rFonts w:asciiTheme="majorHAnsi" w:eastAsia="Times New Roman" w:hAnsiTheme="majorHAnsi" w:cstheme="majorHAnsi"/>
                <w:color w:val="000000"/>
                <w:sz w:val="20"/>
                <w:szCs w:val="20"/>
                <w:lang w:eastAsia="en-GB"/>
              </w:rPr>
              <w:t xml:space="preserve"> ТС 400/110 kV Београд 50</w:t>
            </w:r>
            <w:r w:rsidR="009303D2">
              <w:rPr>
                <w:rFonts w:asciiTheme="majorHAnsi" w:eastAsia="Times New Roman" w:hAnsiTheme="majorHAnsi" w:cstheme="majorHAnsi"/>
                <w:color w:val="000000"/>
                <w:sz w:val="20"/>
                <w:szCs w:val="20"/>
                <w:lang w:eastAsia="en-GB"/>
              </w:rPr>
              <w:t xml:space="preserve"> са припадајућим </w:t>
            </w:r>
            <w:r w:rsidR="009303D2" w:rsidRPr="009303D2">
              <w:rPr>
                <w:rFonts w:asciiTheme="majorHAnsi" w:eastAsia="Times New Roman" w:hAnsiTheme="majorHAnsi" w:cstheme="majorHAnsi"/>
                <w:color w:val="000000"/>
                <w:sz w:val="20"/>
                <w:szCs w:val="20"/>
                <w:lang w:eastAsia="en-GB"/>
              </w:rPr>
              <w:t xml:space="preserve">400 </w:t>
            </w:r>
            <w:r w:rsidR="009303D2" w:rsidRPr="009303D2">
              <w:rPr>
                <w:rFonts w:asciiTheme="majorHAnsi" w:eastAsia="Times New Roman" w:hAnsiTheme="majorHAnsi" w:cstheme="majorHAnsi"/>
                <w:color w:val="000000"/>
                <w:sz w:val="20"/>
                <w:szCs w:val="20"/>
                <w:lang w:eastAsia="en-GB"/>
              </w:rPr>
              <w:lastRenderedPageBreak/>
              <w:t xml:space="preserve">kV </w:t>
            </w:r>
            <w:r w:rsidR="009303D2">
              <w:rPr>
                <w:rFonts w:asciiTheme="majorHAnsi" w:eastAsia="Times New Roman" w:hAnsiTheme="majorHAnsi" w:cstheme="majorHAnsi"/>
                <w:color w:val="000000"/>
                <w:sz w:val="20"/>
                <w:szCs w:val="20"/>
                <w:lang w:eastAsia="en-GB"/>
              </w:rPr>
              <w:t>и 110</w:t>
            </w:r>
            <w:r w:rsidR="009303D2" w:rsidRPr="009303D2">
              <w:rPr>
                <w:rFonts w:asciiTheme="majorHAnsi" w:eastAsia="Times New Roman" w:hAnsiTheme="majorHAnsi" w:cstheme="majorHAnsi"/>
                <w:color w:val="000000"/>
                <w:sz w:val="20"/>
                <w:szCs w:val="20"/>
                <w:lang w:eastAsia="en-GB"/>
              </w:rPr>
              <w:t xml:space="preserve"> kV </w:t>
            </w:r>
            <w:r w:rsidR="009303D2">
              <w:rPr>
                <w:rFonts w:asciiTheme="majorHAnsi" w:eastAsia="Times New Roman" w:hAnsiTheme="majorHAnsi" w:cstheme="majorHAnsi"/>
                <w:color w:val="000000"/>
                <w:sz w:val="20"/>
                <w:szCs w:val="20"/>
                <w:lang w:eastAsia="en-GB"/>
              </w:rPr>
              <w:t>далеководима и дуплим далеководом од трафостанице Београд 50 до региона јужног Баната (близу ветроелектране Чубук).</w:t>
            </w:r>
          </w:p>
          <w:p w14:paraId="2CCFC3EF" w14:textId="2E8BAAA6" w:rsidR="009303D2" w:rsidRPr="00FF386D" w:rsidRDefault="00EA6A1B" w:rsidP="00854ADA">
            <w:pPr>
              <w:spacing w:after="0" w:line="240" w:lineRule="auto"/>
              <w:jc w:val="both"/>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Очекује се да ће инфраструктурни радови који одговарају укупним инвестицијама од око 84 милиона евра, бити у потпуности у функцији до 2030. године.</w:t>
            </w:r>
          </w:p>
        </w:tc>
      </w:tr>
      <w:tr w:rsidR="00854ADA" w:rsidRPr="00FF386D" w14:paraId="6D49EA89" w14:textId="77777777" w:rsidTr="0057310C">
        <w:trPr>
          <w:trHeight w:val="315"/>
        </w:trPr>
        <w:tc>
          <w:tcPr>
            <w:tcW w:w="3257" w:type="dxa"/>
            <w:tcBorders>
              <w:top w:val="nil"/>
              <w:left w:val="single" w:sz="8" w:space="0" w:color="auto"/>
              <w:bottom w:val="single" w:sz="8" w:space="0" w:color="auto"/>
              <w:right w:val="single" w:sz="8" w:space="0" w:color="auto"/>
            </w:tcBorders>
            <w:shd w:val="clear" w:color="000000" w:fill="244062"/>
            <w:vAlign w:val="center"/>
            <w:hideMark/>
          </w:tcPr>
          <w:p w14:paraId="40F9AD0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Временски оквир имплементације</w:t>
            </w:r>
          </w:p>
        </w:tc>
        <w:tc>
          <w:tcPr>
            <w:tcW w:w="6231" w:type="dxa"/>
            <w:gridSpan w:val="3"/>
            <w:tcBorders>
              <w:top w:val="single" w:sz="8" w:space="0" w:color="auto"/>
              <w:left w:val="nil"/>
              <w:bottom w:val="single" w:sz="8" w:space="0" w:color="auto"/>
              <w:right w:val="single" w:sz="8" w:space="0" w:color="000000"/>
            </w:tcBorders>
            <w:vAlign w:val="center"/>
            <w:hideMark/>
          </w:tcPr>
          <w:p w14:paraId="456FCE4B" w14:textId="3F1E7999"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2021-</w:t>
            </w:r>
            <w:r w:rsidR="00180CEC" w:rsidRPr="00FF386D">
              <w:rPr>
                <w:rFonts w:ascii="Calibri Light" w:hAnsi="Calibri Light"/>
                <w:sz w:val="20"/>
              </w:rPr>
              <w:t>20</w:t>
            </w:r>
            <w:r w:rsidR="00180CEC">
              <w:rPr>
                <w:rFonts w:ascii="Calibri Light" w:hAnsi="Calibri Light"/>
                <w:sz w:val="20"/>
              </w:rPr>
              <w:t>29</w:t>
            </w:r>
            <w:r w:rsidRPr="00FF386D">
              <w:rPr>
                <w:rFonts w:ascii="Calibri Light" w:hAnsi="Calibri Light"/>
                <w:sz w:val="20"/>
              </w:rPr>
              <w:t>.</w:t>
            </w:r>
          </w:p>
        </w:tc>
      </w:tr>
      <w:tr w:rsidR="00854ADA" w:rsidRPr="00FF386D" w14:paraId="3AD76623" w14:textId="77777777" w:rsidTr="0057310C">
        <w:trPr>
          <w:trHeight w:val="315"/>
        </w:trPr>
        <w:tc>
          <w:tcPr>
            <w:tcW w:w="3257" w:type="dxa"/>
            <w:tcBorders>
              <w:top w:val="nil"/>
              <w:left w:val="single" w:sz="8" w:space="0" w:color="auto"/>
              <w:bottom w:val="single" w:sz="8" w:space="0" w:color="auto"/>
              <w:right w:val="single" w:sz="8" w:space="0" w:color="auto"/>
            </w:tcBorders>
            <w:shd w:val="clear" w:color="000000" w:fill="244062"/>
            <w:vAlign w:val="center"/>
            <w:hideMark/>
          </w:tcPr>
          <w:p w14:paraId="47B77B1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31" w:type="dxa"/>
            <w:gridSpan w:val="3"/>
            <w:tcBorders>
              <w:top w:val="single" w:sz="8" w:space="0" w:color="auto"/>
              <w:left w:val="nil"/>
              <w:bottom w:val="single" w:sz="8" w:space="0" w:color="auto"/>
              <w:right w:val="single" w:sz="8" w:space="0" w:color="000000"/>
            </w:tcBorders>
            <w:vAlign w:val="center"/>
            <w:hideMark/>
          </w:tcPr>
          <w:p w14:paraId="64F8E0DD"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Инвестиција</w:t>
            </w:r>
          </w:p>
        </w:tc>
      </w:tr>
      <w:tr w:rsidR="00854ADA" w:rsidRPr="00FF386D" w14:paraId="44598A24" w14:textId="77777777" w:rsidTr="0057310C">
        <w:trPr>
          <w:trHeight w:val="315"/>
        </w:trPr>
        <w:tc>
          <w:tcPr>
            <w:tcW w:w="3257" w:type="dxa"/>
            <w:tcBorders>
              <w:top w:val="nil"/>
              <w:left w:val="single" w:sz="8" w:space="0" w:color="auto"/>
              <w:bottom w:val="single" w:sz="8" w:space="0" w:color="auto"/>
              <w:right w:val="single" w:sz="8" w:space="0" w:color="auto"/>
            </w:tcBorders>
            <w:shd w:val="clear" w:color="000000" w:fill="244062"/>
            <w:vAlign w:val="center"/>
            <w:hideMark/>
          </w:tcPr>
          <w:p w14:paraId="74761D1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31" w:type="dxa"/>
            <w:gridSpan w:val="3"/>
            <w:tcBorders>
              <w:top w:val="single" w:sz="8" w:space="0" w:color="auto"/>
              <w:left w:val="nil"/>
              <w:bottom w:val="single" w:sz="8" w:space="0" w:color="auto"/>
              <w:right w:val="single" w:sz="8" w:space="0" w:color="000000"/>
            </w:tcBorders>
            <w:vAlign w:val="center"/>
            <w:hideMark/>
          </w:tcPr>
          <w:p w14:paraId="7247B78D"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Електрична енергија</w:t>
            </w:r>
          </w:p>
        </w:tc>
      </w:tr>
      <w:tr w:rsidR="00854ADA" w:rsidRPr="00FF386D" w14:paraId="298BE8DB" w14:textId="77777777" w:rsidTr="0057310C">
        <w:trPr>
          <w:trHeight w:val="315"/>
        </w:trPr>
        <w:tc>
          <w:tcPr>
            <w:tcW w:w="3257" w:type="dxa"/>
            <w:tcBorders>
              <w:top w:val="nil"/>
              <w:left w:val="single" w:sz="8" w:space="0" w:color="auto"/>
              <w:bottom w:val="single" w:sz="8" w:space="0" w:color="auto"/>
              <w:right w:val="single" w:sz="8" w:space="0" w:color="auto"/>
            </w:tcBorders>
            <w:shd w:val="clear" w:color="000000" w:fill="244062"/>
            <w:vAlign w:val="center"/>
            <w:hideMark/>
          </w:tcPr>
          <w:p w14:paraId="3A1572E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31" w:type="dxa"/>
            <w:gridSpan w:val="3"/>
            <w:tcBorders>
              <w:top w:val="single" w:sz="8" w:space="0" w:color="auto"/>
              <w:left w:val="nil"/>
              <w:bottom w:val="single" w:sz="8" w:space="0" w:color="auto"/>
              <w:right w:val="single" w:sz="8" w:space="0" w:color="000000"/>
            </w:tcBorders>
            <w:vAlign w:val="center"/>
            <w:hideMark/>
          </w:tcPr>
          <w:p w14:paraId="63E5CA01" w14:textId="77777777" w:rsidR="00854ADA" w:rsidRPr="00FF386D" w:rsidRDefault="00854ADA" w:rsidP="00854ADA">
            <w:pPr>
              <w:numPr>
                <w:ilvl w:val="0"/>
                <w:numId w:val="4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рударства и енергетике</w:t>
            </w:r>
          </w:p>
          <w:p w14:paraId="01836A26" w14:textId="77777777" w:rsidR="00854ADA" w:rsidRPr="00FF386D" w:rsidRDefault="00854ADA" w:rsidP="00854ADA">
            <w:pPr>
              <w:numPr>
                <w:ilvl w:val="0"/>
                <w:numId w:val="4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ЕМС</w:t>
            </w:r>
          </w:p>
        </w:tc>
      </w:tr>
      <w:tr w:rsidR="00854ADA" w:rsidRPr="00FF386D" w14:paraId="39ECD073" w14:textId="77777777" w:rsidTr="0057310C">
        <w:trPr>
          <w:trHeight w:val="315"/>
        </w:trPr>
        <w:tc>
          <w:tcPr>
            <w:tcW w:w="3257" w:type="dxa"/>
            <w:tcBorders>
              <w:top w:val="nil"/>
              <w:left w:val="single" w:sz="8" w:space="0" w:color="auto"/>
              <w:bottom w:val="single" w:sz="8" w:space="0" w:color="auto"/>
              <w:right w:val="nil"/>
            </w:tcBorders>
            <w:shd w:val="clear" w:color="000000" w:fill="244062"/>
            <w:vAlign w:val="center"/>
            <w:hideMark/>
          </w:tcPr>
          <w:p w14:paraId="7770E41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31" w:type="dxa"/>
            <w:gridSpan w:val="3"/>
            <w:tcBorders>
              <w:top w:val="single" w:sz="8" w:space="0" w:color="auto"/>
              <w:left w:val="nil"/>
              <w:bottom w:val="single" w:sz="8" w:space="0" w:color="auto"/>
              <w:right w:val="single" w:sz="8" w:space="0" w:color="000000"/>
            </w:tcBorders>
            <w:vAlign w:val="center"/>
            <w:hideMark/>
          </w:tcPr>
          <w:p w14:paraId="40EC079C" w14:textId="77777777" w:rsidR="00854ADA" w:rsidRPr="00FF386D" w:rsidRDefault="00854ADA" w:rsidP="00854ADA">
            <w:pPr>
              <w:numPr>
                <w:ilvl w:val="0"/>
                <w:numId w:val="4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ЕМС</w:t>
            </w:r>
          </w:p>
        </w:tc>
      </w:tr>
      <w:tr w:rsidR="00854ADA" w:rsidRPr="00FF386D" w14:paraId="429A2CC3" w14:textId="77777777" w:rsidTr="0057310C">
        <w:trPr>
          <w:trHeight w:val="315"/>
        </w:trPr>
        <w:tc>
          <w:tcPr>
            <w:tcW w:w="3257" w:type="dxa"/>
            <w:tcBorders>
              <w:top w:val="nil"/>
              <w:left w:val="single" w:sz="8" w:space="0" w:color="auto"/>
              <w:bottom w:val="single" w:sz="8" w:space="0" w:color="auto"/>
              <w:right w:val="nil"/>
            </w:tcBorders>
            <w:shd w:val="clear" w:color="000000" w:fill="244062"/>
            <w:vAlign w:val="center"/>
            <w:hideMark/>
          </w:tcPr>
          <w:p w14:paraId="4D05B16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31" w:type="dxa"/>
            <w:gridSpan w:val="3"/>
            <w:tcBorders>
              <w:top w:val="single" w:sz="8" w:space="0" w:color="auto"/>
              <w:left w:val="nil"/>
              <w:bottom w:val="single" w:sz="8" w:space="0" w:color="auto"/>
              <w:right w:val="single" w:sz="8" w:space="0" w:color="000000"/>
            </w:tcBorders>
            <w:vAlign w:val="center"/>
            <w:hideMark/>
          </w:tcPr>
          <w:p w14:paraId="4AB33E1C" w14:textId="0F2BAD83" w:rsidR="00854ADA"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Циљеви интерконективости</w:t>
            </w:r>
          </w:p>
          <w:p w14:paraId="6E72BBC3" w14:textId="011EE96F" w:rsidR="00180CEC" w:rsidRPr="00FF386D" w:rsidRDefault="00180CEC" w:rsidP="00854ADA">
            <w:pPr>
              <w:spacing w:after="0" w:line="240" w:lineRule="auto"/>
              <w:jc w:val="both"/>
              <w:rPr>
                <w:rFonts w:asciiTheme="majorHAnsi" w:eastAsia="Times New Roman" w:hAnsiTheme="majorHAnsi" w:cstheme="majorHAnsi"/>
                <w:color w:val="000000"/>
                <w:sz w:val="20"/>
                <w:szCs w:val="20"/>
                <w:lang w:eastAsia="en-GB"/>
              </w:rPr>
            </w:pPr>
            <w:r w:rsidRPr="00180CEC">
              <w:rPr>
                <w:rFonts w:asciiTheme="majorHAnsi" w:eastAsia="Times New Roman" w:hAnsiTheme="majorHAnsi" w:cstheme="majorHAnsi"/>
                <w:color w:val="000000"/>
                <w:sz w:val="20"/>
                <w:szCs w:val="20"/>
                <w:lang w:eastAsia="en-GB"/>
              </w:rPr>
              <w:t>Могућност прикључења додатних капацитета ОИЕ</w:t>
            </w:r>
          </w:p>
        </w:tc>
      </w:tr>
      <w:tr w:rsidR="00854ADA" w:rsidRPr="00FF386D" w14:paraId="43DE2C5F" w14:textId="77777777" w:rsidTr="0057310C">
        <w:trPr>
          <w:trHeight w:val="525"/>
        </w:trPr>
        <w:tc>
          <w:tcPr>
            <w:tcW w:w="3257" w:type="dxa"/>
            <w:tcBorders>
              <w:top w:val="nil"/>
              <w:left w:val="single" w:sz="8" w:space="0" w:color="auto"/>
              <w:bottom w:val="single" w:sz="8" w:space="0" w:color="auto"/>
              <w:right w:val="single" w:sz="8" w:space="0" w:color="auto"/>
            </w:tcBorders>
            <w:shd w:val="clear" w:color="000000" w:fill="244062"/>
            <w:vAlign w:val="center"/>
            <w:hideMark/>
          </w:tcPr>
          <w:p w14:paraId="2FB417A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31" w:type="dxa"/>
            <w:gridSpan w:val="3"/>
            <w:tcBorders>
              <w:top w:val="single" w:sz="8" w:space="0" w:color="auto"/>
              <w:left w:val="nil"/>
              <w:bottom w:val="single" w:sz="8" w:space="0" w:color="auto"/>
              <w:right w:val="single" w:sz="8" w:space="0" w:color="000000"/>
            </w:tcBorders>
            <w:vAlign w:val="center"/>
            <w:hideMark/>
          </w:tcPr>
          <w:p w14:paraId="231115EC" w14:textId="77777777" w:rsidR="00854ADA" w:rsidRPr="000A2AFE" w:rsidRDefault="00854ADA" w:rsidP="00854ADA">
            <w:pPr>
              <w:numPr>
                <w:ilvl w:val="0"/>
                <w:numId w:val="4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Енергетска сигурност</w:t>
            </w:r>
          </w:p>
          <w:p w14:paraId="2AFCEB5E" w14:textId="1A247224" w:rsidR="00147EE6" w:rsidRPr="00FF386D" w:rsidRDefault="00147EE6" w:rsidP="00854ADA">
            <w:pPr>
              <w:numPr>
                <w:ilvl w:val="0"/>
                <w:numId w:val="42"/>
              </w:numPr>
              <w:spacing w:after="0" w:line="240" w:lineRule="auto"/>
              <w:contextualSpacing/>
              <w:jc w:val="both"/>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Декарбонизација</w:t>
            </w:r>
          </w:p>
        </w:tc>
      </w:tr>
      <w:tr w:rsidR="00854ADA" w:rsidRPr="00FF386D" w14:paraId="1A75E9C6" w14:textId="77777777" w:rsidTr="0057310C">
        <w:trPr>
          <w:trHeight w:val="450"/>
        </w:trPr>
        <w:tc>
          <w:tcPr>
            <w:tcW w:w="3257"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3D590D55" w14:textId="2058DB80"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3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C614109" w14:textId="77777777" w:rsidR="00854ADA" w:rsidRPr="000A2AFE" w:rsidRDefault="00854ADA" w:rsidP="00854ADA">
            <w:pPr>
              <w:numPr>
                <w:ilvl w:val="0"/>
                <w:numId w:val="39"/>
              </w:numPr>
              <w:spacing w:after="0" w:line="240" w:lineRule="auto"/>
              <w:contextualSpacing/>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Директива 2009/72/EЗ</w:t>
            </w:r>
          </w:p>
          <w:p w14:paraId="5A08B0DD" w14:textId="77777777" w:rsidR="00854ADA" w:rsidRPr="00FF386D" w:rsidRDefault="00854ADA" w:rsidP="00854ADA">
            <w:pPr>
              <w:numPr>
                <w:ilvl w:val="0"/>
                <w:numId w:val="43"/>
              </w:numPr>
              <w:spacing w:after="0" w:line="240" w:lineRule="auto"/>
              <w:contextualSpacing/>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Уредба (ЕУ) 347/2013</w:t>
            </w:r>
          </w:p>
        </w:tc>
      </w:tr>
      <w:tr w:rsidR="00854ADA" w:rsidRPr="00FF386D" w14:paraId="12C2A8B0"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38962274"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31" w:type="dxa"/>
            <w:gridSpan w:val="3"/>
            <w:vMerge/>
            <w:tcBorders>
              <w:top w:val="single" w:sz="8" w:space="0" w:color="auto"/>
              <w:left w:val="single" w:sz="8" w:space="0" w:color="auto"/>
              <w:bottom w:val="single" w:sz="8" w:space="0" w:color="000000"/>
              <w:right w:val="single" w:sz="8" w:space="0" w:color="000000"/>
            </w:tcBorders>
            <w:vAlign w:val="center"/>
            <w:hideMark/>
          </w:tcPr>
          <w:p w14:paraId="72B48797"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16E60A8E"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50CE3317"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31" w:type="dxa"/>
            <w:gridSpan w:val="3"/>
            <w:vMerge/>
            <w:tcBorders>
              <w:top w:val="single" w:sz="8" w:space="0" w:color="auto"/>
              <w:left w:val="single" w:sz="8" w:space="0" w:color="auto"/>
              <w:bottom w:val="single" w:sz="8" w:space="0" w:color="000000"/>
              <w:right w:val="single" w:sz="8" w:space="0" w:color="000000"/>
            </w:tcBorders>
            <w:vAlign w:val="center"/>
            <w:hideMark/>
          </w:tcPr>
          <w:p w14:paraId="118ADA51"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7293C492" w14:textId="77777777" w:rsidTr="0057310C">
        <w:trPr>
          <w:trHeight w:val="780"/>
        </w:trPr>
        <w:tc>
          <w:tcPr>
            <w:tcW w:w="3257" w:type="dxa"/>
            <w:tcBorders>
              <w:top w:val="nil"/>
              <w:left w:val="single" w:sz="8" w:space="0" w:color="auto"/>
              <w:bottom w:val="single" w:sz="8" w:space="0" w:color="auto"/>
              <w:right w:val="single" w:sz="8" w:space="0" w:color="auto"/>
            </w:tcBorders>
            <w:shd w:val="clear" w:color="000000" w:fill="244062"/>
            <w:vAlign w:val="center"/>
            <w:hideMark/>
          </w:tcPr>
          <w:p w14:paraId="122F94B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31" w:type="dxa"/>
            <w:gridSpan w:val="3"/>
            <w:tcBorders>
              <w:top w:val="single" w:sz="8" w:space="0" w:color="auto"/>
              <w:left w:val="nil"/>
              <w:bottom w:val="single" w:sz="8" w:space="0" w:color="auto"/>
              <w:right w:val="single" w:sz="8" w:space="0" w:color="000000"/>
            </w:tcBorders>
            <w:vAlign w:val="center"/>
            <w:hideMark/>
          </w:tcPr>
          <w:p w14:paraId="466A2ED7" w14:textId="77777777" w:rsidR="00854ADA" w:rsidRPr="00FF386D" w:rsidRDefault="00854ADA" w:rsidP="00854ADA">
            <w:pPr>
              <w:numPr>
                <w:ilvl w:val="0"/>
                <w:numId w:val="43"/>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i/>
                <w:iCs/>
                <w:color w:val="000000"/>
                <w:sz w:val="20"/>
                <w:szCs w:val="20"/>
                <w:lang w:eastAsia="en-GB"/>
              </w:rPr>
              <w:t>TYNDP</w:t>
            </w:r>
            <w:r w:rsidRPr="00FF386D">
              <w:rPr>
                <w:rFonts w:asciiTheme="majorHAnsi" w:eastAsia="Times New Roman" w:hAnsiTheme="majorHAnsi" w:cstheme="majorHAnsi"/>
                <w:color w:val="000000"/>
                <w:sz w:val="20"/>
                <w:szCs w:val="20"/>
                <w:lang w:eastAsia="en-GB"/>
              </w:rPr>
              <w:t xml:space="preserve"> 2021-2030</w:t>
            </w:r>
          </w:p>
        </w:tc>
      </w:tr>
      <w:tr w:rsidR="00854ADA" w:rsidRPr="00FF386D" w14:paraId="1753FA13" w14:textId="77777777" w:rsidTr="0057310C">
        <w:trPr>
          <w:trHeight w:val="315"/>
        </w:trPr>
        <w:tc>
          <w:tcPr>
            <w:tcW w:w="3257" w:type="dxa"/>
            <w:tcBorders>
              <w:top w:val="nil"/>
              <w:left w:val="single" w:sz="8" w:space="0" w:color="auto"/>
              <w:bottom w:val="single" w:sz="8" w:space="0" w:color="auto"/>
              <w:right w:val="single" w:sz="8" w:space="0" w:color="auto"/>
            </w:tcBorders>
            <w:shd w:val="clear" w:color="000000" w:fill="244062"/>
            <w:vAlign w:val="center"/>
            <w:hideMark/>
          </w:tcPr>
          <w:p w14:paraId="29E9066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31" w:type="dxa"/>
            <w:gridSpan w:val="3"/>
            <w:tcBorders>
              <w:top w:val="single" w:sz="8" w:space="0" w:color="auto"/>
              <w:left w:val="nil"/>
              <w:bottom w:val="single" w:sz="8" w:space="0" w:color="auto"/>
              <w:right w:val="single" w:sz="8" w:space="0" w:color="000000"/>
            </w:tcBorders>
            <w:vAlign w:val="center"/>
            <w:hideMark/>
          </w:tcPr>
          <w:p w14:paraId="6BA796E0" w14:textId="19EDF15D" w:rsidR="00854ADA" w:rsidRPr="00FF386D" w:rsidRDefault="00180CEC" w:rsidP="00854ADA">
            <w:pPr>
              <w:spacing w:after="0" w:line="240" w:lineRule="auto"/>
              <w:jc w:val="both"/>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84</w:t>
            </w:r>
            <w:r w:rsidRPr="00FF386D">
              <w:rPr>
                <w:rFonts w:asciiTheme="majorHAnsi" w:eastAsia="Times New Roman" w:hAnsiTheme="majorHAnsi" w:cstheme="majorHAnsi"/>
                <w:color w:val="000000"/>
                <w:sz w:val="20"/>
                <w:szCs w:val="20"/>
                <w:lang w:eastAsia="en-GB"/>
              </w:rPr>
              <w:t xml:space="preserve"> </w:t>
            </w:r>
            <w:r w:rsidR="00854ADA" w:rsidRPr="00FF386D">
              <w:rPr>
                <w:rFonts w:asciiTheme="majorHAnsi" w:eastAsia="Times New Roman" w:hAnsiTheme="majorHAnsi" w:cstheme="majorHAnsi"/>
                <w:color w:val="000000"/>
                <w:sz w:val="20"/>
                <w:szCs w:val="20"/>
                <w:lang w:eastAsia="en-GB"/>
              </w:rPr>
              <w:t>милиона евра</w:t>
            </w:r>
          </w:p>
        </w:tc>
      </w:tr>
      <w:tr w:rsidR="00854ADA" w:rsidRPr="00FF386D" w14:paraId="0B6B3F4D" w14:textId="77777777" w:rsidTr="0057310C">
        <w:trPr>
          <w:trHeight w:val="315"/>
        </w:trPr>
        <w:tc>
          <w:tcPr>
            <w:tcW w:w="3257" w:type="dxa"/>
            <w:tcBorders>
              <w:top w:val="nil"/>
              <w:left w:val="single" w:sz="8" w:space="0" w:color="auto"/>
              <w:bottom w:val="single" w:sz="8" w:space="0" w:color="auto"/>
              <w:right w:val="single" w:sz="8" w:space="0" w:color="auto"/>
            </w:tcBorders>
            <w:shd w:val="clear" w:color="000000" w:fill="244062"/>
            <w:vAlign w:val="center"/>
            <w:hideMark/>
          </w:tcPr>
          <w:p w14:paraId="0BAD778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31" w:type="dxa"/>
            <w:gridSpan w:val="3"/>
            <w:tcBorders>
              <w:top w:val="single" w:sz="8" w:space="0" w:color="auto"/>
              <w:left w:val="nil"/>
              <w:bottom w:val="single" w:sz="8" w:space="0" w:color="auto"/>
              <w:right w:val="single" w:sz="8" w:space="0" w:color="000000"/>
            </w:tcBorders>
            <w:vAlign w:val="center"/>
            <w:hideMark/>
          </w:tcPr>
          <w:p w14:paraId="18D05576" w14:textId="2CC98EFD"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7E7E55" w:rsidRPr="00FF386D">
              <w:rPr>
                <w:rFonts w:ascii="Calibri Light" w:eastAsia="Times New Roman" w:hAnsi="Calibri Light" w:cs="Calibri Light"/>
                <w:color w:val="000000"/>
                <w:sz w:val="20"/>
                <w:szCs w:val="20"/>
                <w:lang w:eastAsia="en-GB"/>
              </w:rPr>
              <w:t>ска и</w:t>
            </w:r>
            <w:r w:rsidRPr="00FF386D">
              <w:rPr>
                <w:rFonts w:ascii="Calibri Light" w:eastAsia="Times New Roman" w:hAnsi="Calibri Light" w:cs="Calibri Light"/>
                <w:color w:val="000000"/>
                <w:sz w:val="20"/>
                <w:szCs w:val="20"/>
                <w:lang w:eastAsia="en-GB"/>
              </w:rPr>
              <w:t xml:space="preserve"> сопствена средства</w:t>
            </w:r>
          </w:p>
        </w:tc>
      </w:tr>
    </w:tbl>
    <w:p w14:paraId="31920EDF" w14:textId="77777777" w:rsidR="00854ADA" w:rsidRPr="00565B02" w:rsidRDefault="00854ADA" w:rsidP="00565B02">
      <w:pPr>
        <w:pStyle w:val="Heading3"/>
        <w:spacing w:after="240"/>
        <w:rPr>
          <w:lang w:val="sr-Cyrl-RS"/>
        </w:rPr>
      </w:pPr>
      <w:r w:rsidRPr="00565B02">
        <w:rPr>
          <w:lang w:val="sr-Cyrl-RS"/>
        </w:rPr>
        <w:t>Инфраструктура за транспорт енергије</w:t>
      </w:r>
    </w:p>
    <w:tbl>
      <w:tblPr>
        <w:tblW w:w="9488" w:type="dxa"/>
        <w:tblLook w:val="04A0" w:firstRow="1" w:lastRow="0" w:firstColumn="1" w:lastColumn="0" w:noHBand="0" w:noVBand="1"/>
      </w:tblPr>
      <w:tblGrid>
        <w:gridCol w:w="3254"/>
        <w:gridCol w:w="1207"/>
        <w:gridCol w:w="927"/>
        <w:gridCol w:w="4100"/>
      </w:tblGrid>
      <w:tr w:rsidR="00854ADA" w:rsidRPr="00FF386D" w14:paraId="0B51E5B0" w14:textId="77777777" w:rsidTr="0057310C">
        <w:trPr>
          <w:trHeight w:val="780"/>
        </w:trPr>
        <w:tc>
          <w:tcPr>
            <w:tcW w:w="3254"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0C11439F" w14:textId="672B8EAA"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 xml:space="preserve">: </w:t>
            </w:r>
          </w:p>
        </w:tc>
        <w:tc>
          <w:tcPr>
            <w:tcW w:w="12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0D5BD087" w14:textId="000B87E2"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МП_УЕ</w:t>
            </w:r>
            <w:r w:rsidR="008126D2" w:rsidRPr="00FF386D">
              <w:rPr>
                <w:rFonts w:ascii="Calibri Light" w:hAnsi="Calibri Light"/>
                <w:b/>
                <w:sz w:val="20"/>
              </w:rPr>
              <w:t>Т</w:t>
            </w:r>
            <w:r w:rsidRPr="00FF386D">
              <w:rPr>
                <w:rFonts w:ascii="Calibri Light" w:hAnsi="Calibri Light"/>
                <w:b/>
                <w:sz w:val="20"/>
              </w:rPr>
              <w:t>8</w:t>
            </w:r>
          </w:p>
        </w:tc>
        <w:tc>
          <w:tcPr>
            <w:tcW w:w="927" w:type="dxa"/>
            <w:tcBorders>
              <w:top w:val="single" w:sz="8" w:space="0" w:color="auto"/>
              <w:left w:val="nil"/>
              <w:bottom w:val="single" w:sz="8" w:space="0" w:color="auto"/>
              <w:right w:val="single" w:sz="8" w:space="0" w:color="auto"/>
            </w:tcBorders>
            <w:shd w:val="clear" w:color="auto" w:fill="244062"/>
            <w:vAlign w:val="center"/>
            <w:hideMark/>
          </w:tcPr>
          <w:p w14:paraId="165B9380"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00" w:type="dxa"/>
            <w:tcBorders>
              <w:top w:val="single" w:sz="8" w:space="0" w:color="auto"/>
              <w:left w:val="nil"/>
              <w:bottom w:val="single" w:sz="8" w:space="0" w:color="auto"/>
              <w:right w:val="single" w:sz="8" w:space="0" w:color="auto"/>
            </w:tcBorders>
            <w:shd w:val="clear" w:color="auto" w:fill="E7E6E6" w:themeFill="background2"/>
            <w:vAlign w:val="center"/>
            <w:hideMark/>
          </w:tcPr>
          <w:p w14:paraId="523661C7"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Регионално гасно повезивање путем реализације пројеката интерконекције</w:t>
            </w:r>
          </w:p>
        </w:tc>
      </w:tr>
      <w:tr w:rsidR="00854ADA" w:rsidRPr="00FF386D" w14:paraId="3438EFF0" w14:textId="77777777" w:rsidTr="0057310C">
        <w:trPr>
          <w:trHeight w:val="584"/>
        </w:trPr>
        <w:tc>
          <w:tcPr>
            <w:tcW w:w="3254" w:type="dxa"/>
            <w:tcBorders>
              <w:top w:val="nil"/>
              <w:left w:val="single" w:sz="8" w:space="0" w:color="auto"/>
              <w:bottom w:val="single" w:sz="8" w:space="0" w:color="auto"/>
              <w:right w:val="nil"/>
            </w:tcBorders>
            <w:shd w:val="clear" w:color="000000" w:fill="244062"/>
            <w:vAlign w:val="center"/>
            <w:hideMark/>
          </w:tcPr>
          <w:p w14:paraId="5FE554F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234" w:type="dxa"/>
            <w:gridSpan w:val="3"/>
            <w:tcBorders>
              <w:top w:val="single" w:sz="8" w:space="0" w:color="auto"/>
              <w:left w:val="nil"/>
              <w:bottom w:val="single" w:sz="8" w:space="0" w:color="auto"/>
              <w:right w:val="single" w:sz="8" w:space="0" w:color="000000"/>
            </w:tcBorders>
            <w:vAlign w:val="center"/>
          </w:tcPr>
          <w:p w14:paraId="7BF9AB98" w14:textId="54A8DDA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Инфраструктура, интеграција тржишта у циљу повећања капацитета</w:t>
            </w:r>
            <w:r w:rsidR="008126D2" w:rsidRPr="00FF386D">
              <w:rPr>
                <w:rFonts w:ascii="Calibri Light" w:hAnsi="Calibri Light"/>
                <w:sz w:val="20"/>
              </w:rPr>
              <w:t xml:space="preserve"> којим се може трговати</w:t>
            </w:r>
            <w:r w:rsidRPr="00FF386D">
              <w:rPr>
                <w:rFonts w:ascii="Calibri Light" w:hAnsi="Calibri Light"/>
                <w:sz w:val="20"/>
              </w:rPr>
              <w:t>, заштита потрошача и побољшана конкурентност, као и регионална интеграција</w:t>
            </w:r>
          </w:p>
        </w:tc>
      </w:tr>
      <w:tr w:rsidR="00854ADA" w:rsidRPr="00FF386D" w14:paraId="49BAB93E" w14:textId="77777777" w:rsidTr="0057310C">
        <w:trPr>
          <w:trHeight w:val="315"/>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07599EA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Квантификовани циљ: </w:t>
            </w:r>
          </w:p>
        </w:tc>
        <w:tc>
          <w:tcPr>
            <w:tcW w:w="6234" w:type="dxa"/>
            <w:gridSpan w:val="3"/>
            <w:tcBorders>
              <w:top w:val="single" w:sz="8" w:space="0" w:color="auto"/>
              <w:left w:val="nil"/>
              <w:bottom w:val="single" w:sz="8" w:space="0" w:color="auto"/>
              <w:right w:val="single" w:sz="8" w:space="0" w:color="000000"/>
            </w:tcBorders>
            <w:vAlign w:val="center"/>
          </w:tcPr>
          <w:p w14:paraId="14277B87" w14:textId="77777777" w:rsidR="00854ADA" w:rsidRPr="00FF386D" w:rsidRDefault="00854ADA" w:rsidP="00854ADA">
            <w:pPr>
              <w:spacing w:after="0" w:line="240" w:lineRule="auto"/>
              <w:jc w:val="both"/>
              <w:rPr>
                <w:rFonts w:ascii="Calibri" w:eastAsia="Times New Roman" w:hAnsi="Calibri" w:cs="Calibri"/>
                <w:color w:val="000000"/>
                <w:lang w:eastAsia="en-GB"/>
              </w:rPr>
            </w:pPr>
            <w:r w:rsidRPr="00FF386D">
              <w:rPr>
                <w:rFonts w:ascii="Calibri Light" w:hAnsi="Calibri Light"/>
                <w:sz w:val="20"/>
              </w:rPr>
              <w:t>Повећан капацитет интерконективности</w:t>
            </w:r>
          </w:p>
        </w:tc>
      </w:tr>
      <w:tr w:rsidR="00854ADA" w:rsidRPr="00FF386D" w14:paraId="66CD2238" w14:textId="77777777" w:rsidTr="0057310C">
        <w:trPr>
          <w:trHeight w:val="1525"/>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1B61592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34" w:type="dxa"/>
            <w:gridSpan w:val="3"/>
            <w:tcBorders>
              <w:top w:val="single" w:sz="8" w:space="0" w:color="auto"/>
              <w:left w:val="nil"/>
              <w:bottom w:val="single" w:sz="8" w:space="0" w:color="auto"/>
              <w:right w:val="single" w:sz="8" w:space="0" w:color="000000"/>
            </w:tcBorders>
            <w:vAlign w:val="center"/>
            <w:hideMark/>
          </w:tcPr>
          <w:p w14:paraId="00A576D9" w14:textId="22F69518"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Обухвата следеће интерконекције</w:t>
            </w:r>
            <w:r w:rsidR="008126D2" w:rsidRPr="00FF386D">
              <w:rPr>
                <w:rFonts w:ascii="Calibri Light" w:hAnsi="Calibri Light"/>
                <w:sz w:val="20"/>
              </w:rPr>
              <w:t xml:space="preserve"> за гас</w:t>
            </w:r>
            <w:r w:rsidR="008126D2" w:rsidRPr="000A2AFE">
              <w:rPr>
                <w:rFonts w:ascii="Calibri Light" w:hAnsi="Calibri Light"/>
                <w:sz w:val="20"/>
              </w:rPr>
              <w:t>:</w:t>
            </w:r>
            <w:r w:rsidRPr="00FF386D">
              <w:rPr>
                <w:rFonts w:ascii="Calibri Light" w:hAnsi="Calibri Light"/>
                <w:sz w:val="20"/>
              </w:rPr>
              <w:t xml:space="preserve"> може </w:t>
            </w:r>
            <w:r w:rsidR="008126D2" w:rsidRPr="00FF386D">
              <w:rPr>
                <w:rFonts w:ascii="Calibri Light" w:hAnsi="Calibri Light"/>
                <w:sz w:val="20"/>
              </w:rPr>
              <w:t xml:space="preserve">се </w:t>
            </w:r>
            <w:r w:rsidRPr="00FF386D">
              <w:rPr>
                <w:rFonts w:ascii="Calibri Light" w:hAnsi="Calibri Light"/>
                <w:sz w:val="20"/>
              </w:rPr>
              <w:t xml:space="preserve">сматрати да проистичу са платформе </w:t>
            </w:r>
            <w:r w:rsidRPr="00FF386D">
              <w:rPr>
                <w:rFonts w:ascii="Calibri Light" w:hAnsi="Calibri Light"/>
                <w:i/>
                <w:iCs/>
                <w:sz w:val="20"/>
              </w:rPr>
              <w:t>PLIMA</w:t>
            </w:r>
            <w:r w:rsidRPr="00FF386D">
              <w:rPr>
                <w:rFonts w:ascii="Calibri Light" w:hAnsi="Calibri Light"/>
                <w:sz w:val="20"/>
              </w:rPr>
              <w:t>: Гас_10 (</w:t>
            </w:r>
            <w:r w:rsidRPr="00FF386D">
              <w:rPr>
                <w:rFonts w:ascii="Calibri Light" w:hAnsi="Calibri Light"/>
                <w:i/>
                <w:iCs/>
                <w:sz w:val="20"/>
              </w:rPr>
              <w:t>ТRA-N</w:t>
            </w:r>
            <w:r w:rsidRPr="00FF386D">
              <w:rPr>
                <w:rFonts w:ascii="Calibri Light" w:hAnsi="Calibri Light"/>
                <w:sz w:val="20"/>
              </w:rPr>
              <w:t>-70) Интерконектор Србија – Хрватска, Гас_11 (</w:t>
            </w:r>
            <w:r w:rsidRPr="00FF386D">
              <w:rPr>
                <w:rFonts w:ascii="Calibri Light" w:hAnsi="Calibri Light"/>
                <w:i/>
                <w:iCs/>
                <w:sz w:val="20"/>
              </w:rPr>
              <w:t>ТRA-N</w:t>
            </w:r>
            <w:r w:rsidRPr="00FF386D">
              <w:rPr>
                <w:rFonts w:ascii="Calibri Light" w:hAnsi="Calibri Light"/>
                <w:sz w:val="20"/>
              </w:rPr>
              <w:t xml:space="preserve">-965) Интерконектор Србија – Северна Македонија, Г08 Србија – Румунија (није обухваћен у </w:t>
            </w:r>
            <w:r w:rsidRPr="00FF386D">
              <w:rPr>
                <w:rFonts w:ascii="Calibri Light" w:hAnsi="Calibri Light"/>
                <w:i/>
                <w:iCs/>
                <w:sz w:val="20"/>
              </w:rPr>
              <w:t>ENTSOG TYNDP</w:t>
            </w:r>
            <w:r w:rsidRPr="00FF386D">
              <w:rPr>
                <w:rFonts w:ascii="Calibri Light" w:hAnsi="Calibri Light"/>
                <w:sz w:val="20"/>
              </w:rPr>
              <w:t xml:space="preserve"> 2020, </w:t>
            </w:r>
            <w:r w:rsidRPr="00FF386D">
              <w:rPr>
                <w:rFonts w:ascii="Calibri Light" w:hAnsi="Calibri Light"/>
                <w:i/>
                <w:iCs/>
                <w:sz w:val="20"/>
              </w:rPr>
              <w:t>ТRА-N-</w:t>
            </w:r>
            <w:r w:rsidRPr="00FF386D">
              <w:rPr>
                <w:rFonts w:ascii="Calibri Light" w:hAnsi="Calibri Light"/>
                <w:sz w:val="20"/>
              </w:rPr>
              <w:t xml:space="preserve">1268 у </w:t>
            </w:r>
            <w:r w:rsidRPr="00FF386D">
              <w:rPr>
                <w:rFonts w:ascii="Calibri Light" w:hAnsi="Calibri Light"/>
                <w:i/>
                <w:iCs/>
                <w:sz w:val="20"/>
              </w:rPr>
              <w:t>ТYNDP</w:t>
            </w:r>
            <w:r w:rsidRPr="00FF386D">
              <w:rPr>
                <w:rFonts w:ascii="Calibri Light" w:hAnsi="Calibri Light"/>
                <w:sz w:val="20"/>
              </w:rPr>
              <w:t xml:space="preserve"> 2018) и Гастранс</w:t>
            </w:r>
          </w:p>
        </w:tc>
      </w:tr>
      <w:tr w:rsidR="00854ADA" w:rsidRPr="00FF386D" w14:paraId="36D6FF99" w14:textId="77777777" w:rsidTr="0057310C">
        <w:trPr>
          <w:trHeight w:val="315"/>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66A6B1C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34" w:type="dxa"/>
            <w:gridSpan w:val="3"/>
            <w:tcBorders>
              <w:top w:val="single" w:sz="8" w:space="0" w:color="auto"/>
              <w:left w:val="nil"/>
              <w:bottom w:val="single" w:sz="8" w:space="0" w:color="auto"/>
              <w:right w:val="single" w:sz="8" w:space="0" w:color="000000"/>
            </w:tcBorders>
            <w:vAlign w:val="center"/>
            <w:hideMark/>
          </w:tcPr>
          <w:p w14:paraId="240033FC"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2026-2030.</w:t>
            </w:r>
          </w:p>
        </w:tc>
      </w:tr>
      <w:tr w:rsidR="00854ADA" w:rsidRPr="00FF386D" w14:paraId="4B097620" w14:textId="77777777" w:rsidTr="0057310C">
        <w:trPr>
          <w:trHeight w:val="315"/>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71185B2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34" w:type="dxa"/>
            <w:gridSpan w:val="3"/>
            <w:tcBorders>
              <w:top w:val="single" w:sz="8" w:space="0" w:color="auto"/>
              <w:left w:val="nil"/>
              <w:bottom w:val="single" w:sz="8" w:space="0" w:color="auto"/>
              <w:right w:val="single" w:sz="8" w:space="0" w:color="000000"/>
            </w:tcBorders>
            <w:vAlign w:val="center"/>
            <w:hideMark/>
          </w:tcPr>
          <w:p w14:paraId="4E6D1D4A"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Инвестиција</w:t>
            </w:r>
          </w:p>
        </w:tc>
      </w:tr>
      <w:tr w:rsidR="00854ADA" w:rsidRPr="00FF386D" w14:paraId="15A11A7C" w14:textId="77777777" w:rsidTr="0057310C">
        <w:trPr>
          <w:trHeight w:val="315"/>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4505861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34" w:type="dxa"/>
            <w:gridSpan w:val="3"/>
            <w:tcBorders>
              <w:top w:val="single" w:sz="8" w:space="0" w:color="auto"/>
              <w:left w:val="nil"/>
              <w:bottom w:val="single" w:sz="8" w:space="0" w:color="auto"/>
              <w:right w:val="single" w:sz="8" w:space="0" w:color="000000"/>
            </w:tcBorders>
            <w:vAlign w:val="center"/>
            <w:hideMark/>
          </w:tcPr>
          <w:p w14:paraId="7FF5D95F"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Гас</w:t>
            </w:r>
          </w:p>
        </w:tc>
      </w:tr>
      <w:tr w:rsidR="00854ADA" w:rsidRPr="00FF386D" w14:paraId="47DF33E6" w14:textId="77777777" w:rsidTr="0057310C">
        <w:trPr>
          <w:trHeight w:val="315"/>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6081BC0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34" w:type="dxa"/>
            <w:gridSpan w:val="3"/>
            <w:tcBorders>
              <w:top w:val="single" w:sz="8" w:space="0" w:color="auto"/>
              <w:left w:val="nil"/>
              <w:bottom w:val="single" w:sz="8" w:space="0" w:color="auto"/>
              <w:right w:val="single" w:sz="8" w:space="0" w:color="000000"/>
            </w:tcBorders>
            <w:vAlign w:val="center"/>
            <w:hideMark/>
          </w:tcPr>
          <w:p w14:paraId="6C16F5C3" w14:textId="77777777" w:rsidR="00854ADA" w:rsidRPr="00FF386D" w:rsidRDefault="00854ADA" w:rsidP="00854ADA">
            <w:pPr>
              <w:numPr>
                <w:ilvl w:val="0"/>
                <w:numId w:val="44"/>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Транспортгас</w:t>
            </w:r>
          </w:p>
        </w:tc>
      </w:tr>
      <w:tr w:rsidR="00854ADA" w:rsidRPr="00FF386D" w14:paraId="5AB8B1C4" w14:textId="77777777" w:rsidTr="0057310C">
        <w:trPr>
          <w:trHeight w:val="315"/>
        </w:trPr>
        <w:tc>
          <w:tcPr>
            <w:tcW w:w="3254" w:type="dxa"/>
            <w:tcBorders>
              <w:top w:val="nil"/>
              <w:left w:val="single" w:sz="8" w:space="0" w:color="auto"/>
              <w:bottom w:val="single" w:sz="8" w:space="0" w:color="auto"/>
              <w:right w:val="nil"/>
            </w:tcBorders>
            <w:shd w:val="clear" w:color="000000" w:fill="244062"/>
            <w:vAlign w:val="center"/>
            <w:hideMark/>
          </w:tcPr>
          <w:p w14:paraId="58D6D45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34" w:type="dxa"/>
            <w:gridSpan w:val="3"/>
            <w:tcBorders>
              <w:top w:val="single" w:sz="8" w:space="0" w:color="auto"/>
              <w:left w:val="nil"/>
              <w:bottom w:val="single" w:sz="8" w:space="0" w:color="auto"/>
              <w:right w:val="single" w:sz="8" w:space="0" w:color="000000"/>
            </w:tcBorders>
            <w:vAlign w:val="center"/>
            <w:hideMark/>
          </w:tcPr>
          <w:p w14:paraId="449D3359" w14:textId="77777777" w:rsidR="00854ADA" w:rsidRPr="00FF386D" w:rsidRDefault="00854ADA" w:rsidP="00854ADA">
            <w:pPr>
              <w:numPr>
                <w:ilvl w:val="0"/>
                <w:numId w:val="44"/>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рударства и енергетике</w:t>
            </w:r>
          </w:p>
          <w:p w14:paraId="5DC7AF14" w14:textId="0ADA213D" w:rsidR="00854ADA" w:rsidRPr="00FF386D" w:rsidRDefault="00EA6A1B" w:rsidP="00854ADA">
            <w:pPr>
              <w:numPr>
                <w:ilvl w:val="0"/>
                <w:numId w:val="44"/>
              </w:numPr>
              <w:spacing w:after="0" w:line="240" w:lineRule="auto"/>
              <w:contextualSpacing/>
              <w:jc w:val="both"/>
              <w:rPr>
                <w:rFonts w:ascii="Calibri Light" w:eastAsia="Times New Roman" w:hAnsi="Calibri Light" w:cs="Calibri Light"/>
                <w:color w:val="000000"/>
                <w:sz w:val="20"/>
                <w:szCs w:val="20"/>
                <w:lang w:eastAsia="en-GB"/>
              </w:rPr>
            </w:pPr>
            <w:r w:rsidRPr="00EA6A1B">
              <w:rPr>
                <w:rFonts w:ascii="Calibri Light" w:eastAsia="Times New Roman" w:hAnsi="Calibri Light" w:cs="Calibri Light"/>
                <w:color w:val="000000"/>
                <w:sz w:val="20"/>
                <w:szCs w:val="20"/>
                <w:lang w:eastAsia="en-GB"/>
              </w:rPr>
              <w:t>Министарство грађевинарства, саобраћаја и инфраструктуре</w:t>
            </w:r>
          </w:p>
          <w:p w14:paraId="5094729F" w14:textId="750AC11A" w:rsidR="00854ADA" w:rsidRPr="00FF386D" w:rsidRDefault="007E7E55" w:rsidP="00854ADA">
            <w:pPr>
              <w:numPr>
                <w:ilvl w:val="0"/>
                <w:numId w:val="44"/>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w:t>
            </w:r>
            <w:r w:rsidR="00854ADA" w:rsidRPr="00FF386D">
              <w:rPr>
                <w:rFonts w:ascii="Calibri Light" w:eastAsia="Times New Roman" w:hAnsi="Calibri Light" w:cs="Calibri Light"/>
                <w:color w:val="000000"/>
                <w:sz w:val="20"/>
                <w:szCs w:val="20"/>
                <w:lang w:eastAsia="en-GB"/>
              </w:rPr>
              <w:t xml:space="preserve"> финансија</w:t>
            </w:r>
          </w:p>
          <w:p w14:paraId="5740598F" w14:textId="3D22BE1C" w:rsidR="00854ADA" w:rsidRPr="00EA6A1B" w:rsidRDefault="00854ADA" w:rsidP="00EA6A1B">
            <w:pPr>
              <w:numPr>
                <w:ilvl w:val="0"/>
                <w:numId w:val="44"/>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Влада </w:t>
            </w:r>
            <w:r w:rsidR="00EA6A1B">
              <w:rPr>
                <w:rFonts w:ascii="Calibri Light" w:eastAsia="Times New Roman" w:hAnsi="Calibri Light" w:cs="Calibri Light"/>
                <w:color w:val="000000"/>
                <w:sz w:val="20"/>
                <w:szCs w:val="20"/>
                <w:lang w:eastAsia="en-GB"/>
              </w:rPr>
              <w:t xml:space="preserve">Републике </w:t>
            </w:r>
            <w:r w:rsidRPr="00FF386D">
              <w:rPr>
                <w:rFonts w:ascii="Calibri Light" w:eastAsia="Times New Roman" w:hAnsi="Calibri Light" w:cs="Calibri Light"/>
                <w:color w:val="000000"/>
                <w:sz w:val="20"/>
                <w:szCs w:val="20"/>
                <w:lang w:eastAsia="en-GB"/>
              </w:rPr>
              <w:t>Србије</w:t>
            </w:r>
          </w:p>
        </w:tc>
      </w:tr>
      <w:tr w:rsidR="00854ADA" w:rsidRPr="00FF386D" w14:paraId="243BD466" w14:textId="77777777" w:rsidTr="0057310C">
        <w:trPr>
          <w:trHeight w:val="315"/>
        </w:trPr>
        <w:tc>
          <w:tcPr>
            <w:tcW w:w="3254" w:type="dxa"/>
            <w:tcBorders>
              <w:top w:val="nil"/>
              <w:left w:val="single" w:sz="8" w:space="0" w:color="auto"/>
              <w:bottom w:val="single" w:sz="8" w:space="0" w:color="auto"/>
              <w:right w:val="nil"/>
            </w:tcBorders>
            <w:shd w:val="clear" w:color="000000" w:fill="244062"/>
            <w:vAlign w:val="center"/>
            <w:hideMark/>
          </w:tcPr>
          <w:p w14:paraId="7A889ED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Индикатори напретка</w:t>
            </w:r>
          </w:p>
        </w:tc>
        <w:tc>
          <w:tcPr>
            <w:tcW w:w="6234" w:type="dxa"/>
            <w:gridSpan w:val="3"/>
            <w:tcBorders>
              <w:top w:val="single" w:sz="8" w:space="0" w:color="auto"/>
              <w:left w:val="nil"/>
              <w:bottom w:val="single" w:sz="8" w:space="0" w:color="auto"/>
              <w:right w:val="single" w:sz="8" w:space="0" w:color="000000"/>
            </w:tcBorders>
            <w:vAlign w:val="center"/>
            <w:hideMark/>
          </w:tcPr>
          <w:p w14:paraId="66429ADC"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Коначна одлука о улагању, грађевинска дозвола, датум пуштања у рад, датум комерцијалног рада</w:t>
            </w:r>
          </w:p>
        </w:tc>
      </w:tr>
      <w:tr w:rsidR="00854ADA" w:rsidRPr="00FF386D" w14:paraId="223D59D1" w14:textId="77777777" w:rsidTr="0057310C">
        <w:trPr>
          <w:trHeight w:val="668"/>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265004C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34" w:type="dxa"/>
            <w:gridSpan w:val="3"/>
            <w:tcBorders>
              <w:top w:val="single" w:sz="8" w:space="0" w:color="auto"/>
              <w:left w:val="nil"/>
              <w:bottom w:val="single" w:sz="8" w:space="0" w:color="auto"/>
              <w:right w:val="single" w:sz="8" w:space="0" w:color="000000"/>
            </w:tcBorders>
            <w:vAlign w:val="center"/>
            <w:hideMark/>
          </w:tcPr>
          <w:p w14:paraId="66D50BB4" w14:textId="77777777" w:rsidR="00854ADA" w:rsidRPr="000A2AFE" w:rsidRDefault="00854ADA" w:rsidP="00854ADA">
            <w:pPr>
              <w:numPr>
                <w:ilvl w:val="0"/>
                <w:numId w:val="44"/>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color w:val="000000"/>
                <w:sz w:val="20"/>
              </w:rPr>
              <w:t>Енергетска сигурност</w:t>
            </w:r>
          </w:p>
          <w:p w14:paraId="162EF36D" w14:textId="77777777" w:rsidR="00854ADA" w:rsidRPr="00FF386D" w:rsidRDefault="00854ADA" w:rsidP="00854ADA">
            <w:pPr>
              <w:numPr>
                <w:ilvl w:val="0"/>
                <w:numId w:val="44"/>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Декарбонизација</w:t>
            </w:r>
          </w:p>
        </w:tc>
      </w:tr>
      <w:tr w:rsidR="00854ADA" w:rsidRPr="00FF386D" w14:paraId="78585E54" w14:textId="77777777" w:rsidTr="0057310C">
        <w:trPr>
          <w:trHeight w:val="450"/>
        </w:trPr>
        <w:tc>
          <w:tcPr>
            <w:tcW w:w="3254"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26AB69C4" w14:textId="155552DC"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34"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9053895" w14:textId="77777777" w:rsidR="00854ADA" w:rsidRPr="00FF386D" w:rsidRDefault="00854ADA" w:rsidP="00854ADA">
            <w:pPr>
              <w:numPr>
                <w:ilvl w:val="0"/>
                <w:numId w:val="44"/>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Уредба (ЕУ) 2013/347</w:t>
            </w:r>
          </w:p>
        </w:tc>
      </w:tr>
      <w:tr w:rsidR="00854ADA" w:rsidRPr="00FF386D" w14:paraId="134ABE21"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7127B12D"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34" w:type="dxa"/>
            <w:gridSpan w:val="3"/>
            <w:vMerge/>
            <w:tcBorders>
              <w:top w:val="single" w:sz="8" w:space="0" w:color="auto"/>
              <w:left w:val="single" w:sz="8" w:space="0" w:color="auto"/>
              <w:bottom w:val="single" w:sz="8" w:space="0" w:color="000000"/>
              <w:right w:val="single" w:sz="8" w:space="0" w:color="000000"/>
            </w:tcBorders>
            <w:vAlign w:val="center"/>
            <w:hideMark/>
          </w:tcPr>
          <w:p w14:paraId="1AC50482" w14:textId="77777777" w:rsidR="00854ADA" w:rsidRPr="00FF386D" w:rsidRDefault="00854ADA" w:rsidP="00854ADA">
            <w:pPr>
              <w:numPr>
                <w:ilvl w:val="0"/>
                <w:numId w:val="44"/>
              </w:numPr>
              <w:spacing w:after="0" w:line="256" w:lineRule="auto"/>
              <w:contextualSpacing/>
              <w:rPr>
                <w:rFonts w:ascii="Calibri Light" w:eastAsia="Times New Roman" w:hAnsi="Calibri Light" w:cs="Calibri Light"/>
                <w:color w:val="000000"/>
                <w:sz w:val="20"/>
                <w:szCs w:val="20"/>
                <w:lang w:eastAsia="en-GB"/>
              </w:rPr>
            </w:pPr>
          </w:p>
        </w:tc>
      </w:tr>
      <w:tr w:rsidR="00854ADA" w:rsidRPr="00FF386D" w14:paraId="4735B354"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356CB5BB"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34" w:type="dxa"/>
            <w:gridSpan w:val="3"/>
            <w:vMerge/>
            <w:tcBorders>
              <w:top w:val="single" w:sz="8" w:space="0" w:color="auto"/>
              <w:left w:val="single" w:sz="8" w:space="0" w:color="auto"/>
              <w:bottom w:val="single" w:sz="8" w:space="0" w:color="000000"/>
              <w:right w:val="single" w:sz="8" w:space="0" w:color="000000"/>
            </w:tcBorders>
            <w:vAlign w:val="center"/>
            <w:hideMark/>
          </w:tcPr>
          <w:p w14:paraId="26849430" w14:textId="77777777" w:rsidR="00854ADA" w:rsidRPr="00FF386D" w:rsidRDefault="00854ADA" w:rsidP="00854ADA">
            <w:pPr>
              <w:numPr>
                <w:ilvl w:val="0"/>
                <w:numId w:val="44"/>
              </w:numPr>
              <w:spacing w:after="0" w:line="256" w:lineRule="auto"/>
              <w:contextualSpacing/>
              <w:rPr>
                <w:rFonts w:ascii="Calibri Light" w:eastAsia="Times New Roman" w:hAnsi="Calibri Light" w:cs="Calibri Light"/>
                <w:color w:val="000000"/>
                <w:sz w:val="20"/>
                <w:szCs w:val="20"/>
                <w:lang w:eastAsia="en-GB"/>
              </w:rPr>
            </w:pPr>
          </w:p>
        </w:tc>
      </w:tr>
      <w:tr w:rsidR="00854ADA" w:rsidRPr="00FF386D" w14:paraId="217DE45B" w14:textId="77777777" w:rsidTr="0057310C">
        <w:trPr>
          <w:trHeight w:val="780"/>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722D78B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34" w:type="dxa"/>
            <w:gridSpan w:val="3"/>
            <w:tcBorders>
              <w:top w:val="single" w:sz="8" w:space="0" w:color="auto"/>
              <w:left w:val="nil"/>
              <w:bottom w:val="single" w:sz="8" w:space="0" w:color="auto"/>
              <w:right w:val="single" w:sz="8" w:space="0" w:color="000000"/>
            </w:tcBorders>
            <w:vAlign w:val="center"/>
            <w:hideMark/>
          </w:tcPr>
          <w:p w14:paraId="557C6D67" w14:textId="77777777" w:rsidR="00854ADA" w:rsidRPr="00FF386D" w:rsidRDefault="00854ADA" w:rsidP="00854ADA">
            <w:pPr>
              <w:numPr>
                <w:ilvl w:val="0"/>
                <w:numId w:val="44"/>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енергетици</w:t>
            </w:r>
          </w:p>
        </w:tc>
      </w:tr>
      <w:tr w:rsidR="00854ADA" w:rsidRPr="00FF386D" w14:paraId="4724FCA4" w14:textId="77777777" w:rsidTr="0057310C">
        <w:trPr>
          <w:trHeight w:val="315"/>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75AE4C0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34" w:type="dxa"/>
            <w:gridSpan w:val="3"/>
            <w:tcBorders>
              <w:top w:val="single" w:sz="8" w:space="0" w:color="auto"/>
              <w:left w:val="nil"/>
              <w:bottom w:val="single" w:sz="8" w:space="0" w:color="auto"/>
              <w:right w:val="single" w:sz="8" w:space="0" w:color="000000"/>
            </w:tcBorders>
            <w:vAlign w:val="center"/>
            <w:hideMark/>
          </w:tcPr>
          <w:p w14:paraId="3AA781A2"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224 милиона евра</w:t>
            </w:r>
          </w:p>
        </w:tc>
      </w:tr>
      <w:tr w:rsidR="00854ADA" w:rsidRPr="00FF386D" w14:paraId="56CF154B" w14:textId="77777777" w:rsidTr="0057310C">
        <w:trPr>
          <w:trHeight w:val="315"/>
        </w:trPr>
        <w:tc>
          <w:tcPr>
            <w:tcW w:w="3254" w:type="dxa"/>
            <w:tcBorders>
              <w:top w:val="nil"/>
              <w:left w:val="single" w:sz="8" w:space="0" w:color="auto"/>
              <w:bottom w:val="single" w:sz="8" w:space="0" w:color="auto"/>
              <w:right w:val="single" w:sz="8" w:space="0" w:color="auto"/>
            </w:tcBorders>
            <w:shd w:val="clear" w:color="000000" w:fill="244062"/>
            <w:vAlign w:val="center"/>
            <w:hideMark/>
          </w:tcPr>
          <w:p w14:paraId="70FD02C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34" w:type="dxa"/>
            <w:gridSpan w:val="3"/>
            <w:tcBorders>
              <w:top w:val="single" w:sz="8" w:space="0" w:color="auto"/>
              <w:left w:val="nil"/>
              <w:bottom w:val="single" w:sz="8" w:space="0" w:color="auto"/>
              <w:right w:val="single" w:sz="8" w:space="0" w:color="000000"/>
            </w:tcBorders>
            <w:vAlign w:val="center"/>
            <w:hideMark/>
          </w:tcPr>
          <w:p w14:paraId="35609F61" w14:textId="5973D91F"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7E7E55" w:rsidRPr="00FF386D">
              <w:rPr>
                <w:rFonts w:ascii="Calibri Light" w:eastAsia="Times New Roman" w:hAnsi="Calibri Light" w:cs="Calibri Light"/>
                <w:color w:val="000000"/>
                <w:sz w:val="20"/>
                <w:szCs w:val="20"/>
                <w:lang w:eastAsia="en-GB"/>
              </w:rPr>
              <w:t xml:space="preserve">ска и </w:t>
            </w:r>
            <w:r w:rsidRPr="00FF386D">
              <w:rPr>
                <w:rFonts w:ascii="Calibri Light" w:eastAsia="Times New Roman" w:hAnsi="Calibri Light" w:cs="Calibri Light"/>
                <w:color w:val="000000"/>
                <w:sz w:val="20"/>
                <w:szCs w:val="20"/>
                <w:lang w:eastAsia="en-GB"/>
              </w:rPr>
              <w:t>сопствена средства</w:t>
            </w:r>
          </w:p>
        </w:tc>
      </w:tr>
    </w:tbl>
    <w:p w14:paraId="535ED2CF"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08"/>
        <w:gridCol w:w="1358"/>
        <w:gridCol w:w="919"/>
        <w:gridCol w:w="4003"/>
      </w:tblGrid>
      <w:tr w:rsidR="00854ADA" w:rsidRPr="00FF386D" w14:paraId="2458FBF1" w14:textId="77777777" w:rsidTr="0057310C">
        <w:trPr>
          <w:trHeight w:val="780"/>
        </w:trPr>
        <w:tc>
          <w:tcPr>
            <w:tcW w:w="3208"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77CA413D" w14:textId="58CCF1A7"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 xml:space="preserve">: </w:t>
            </w:r>
          </w:p>
        </w:tc>
        <w:tc>
          <w:tcPr>
            <w:tcW w:w="1358" w:type="dxa"/>
            <w:tcBorders>
              <w:top w:val="single" w:sz="8" w:space="0" w:color="auto"/>
              <w:left w:val="nil"/>
              <w:bottom w:val="single" w:sz="8" w:space="0" w:color="auto"/>
              <w:right w:val="single" w:sz="8" w:space="0" w:color="auto"/>
            </w:tcBorders>
            <w:shd w:val="clear" w:color="auto" w:fill="E7E6E6" w:themeFill="background2"/>
            <w:vAlign w:val="center"/>
            <w:hideMark/>
          </w:tcPr>
          <w:p w14:paraId="2535AC89" w14:textId="006AA884"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МП_УЕ</w:t>
            </w:r>
            <w:r w:rsidR="009E7B75" w:rsidRPr="00FF386D">
              <w:rPr>
                <w:rFonts w:ascii="Calibri Light" w:hAnsi="Calibri Light"/>
                <w:b/>
                <w:sz w:val="20"/>
              </w:rPr>
              <w:t>Т</w:t>
            </w:r>
            <w:r w:rsidRPr="00FF386D">
              <w:rPr>
                <w:rFonts w:ascii="Calibri Light" w:hAnsi="Calibri Light"/>
                <w:b/>
                <w:sz w:val="20"/>
              </w:rPr>
              <w:t>8.2</w:t>
            </w:r>
          </w:p>
        </w:tc>
        <w:tc>
          <w:tcPr>
            <w:tcW w:w="919" w:type="dxa"/>
            <w:tcBorders>
              <w:top w:val="single" w:sz="8" w:space="0" w:color="auto"/>
              <w:left w:val="nil"/>
              <w:bottom w:val="single" w:sz="8" w:space="0" w:color="auto"/>
              <w:right w:val="single" w:sz="8" w:space="0" w:color="auto"/>
            </w:tcBorders>
            <w:shd w:val="clear" w:color="auto" w:fill="244062"/>
            <w:vAlign w:val="center"/>
            <w:hideMark/>
          </w:tcPr>
          <w:p w14:paraId="1728C27D"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003" w:type="dxa"/>
            <w:tcBorders>
              <w:top w:val="single" w:sz="8" w:space="0" w:color="auto"/>
              <w:left w:val="nil"/>
              <w:bottom w:val="single" w:sz="8" w:space="0" w:color="auto"/>
              <w:right w:val="single" w:sz="8" w:space="0" w:color="auto"/>
            </w:tcBorders>
            <w:shd w:val="clear" w:color="auto" w:fill="E7E6E6" w:themeFill="background2"/>
            <w:vAlign w:val="center"/>
            <w:hideMark/>
          </w:tcPr>
          <w:p w14:paraId="11B9EA2A"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Пројекат гасне интерконекције Србије и Румуније од 85,5 km (од чега се 12,8 km налази на територији Републике Србије), са капацитетом од 1,2 милијарде m</w:t>
            </w:r>
            <w:r w:rsidRPr="00FF386D">
              <w:rPr>
                <w:rFonts w:ascii="Calibri Light" w:hAnsi="Calibri Light"/>
                <w:b/>
                <w:sz w:val="20"/>
                <w:vertAlign w:val="superscript"/>
              </w:rPr>
              <w:t>3</w:t>
            </w:r>
            <w:r w:rsidRPr="00FF386D">
              <w:rPr>
                <w:rFonts w:ascii="Calibri Light" w:hAnsi="Calibri Light"/>
                <w:b/>
                <w:sz w:val="20"/>
              </w:rPr>
              <w:t>/годишње</w:t>
            </w:r>
          </w:p>
        </w:tc>
      </w:tr>
      <w:tr w:rsidR="00854ADA" w:rsidRPr="00FF386D" w14:paraId="2C5D124C" w14:textId="77777777" w:rsidTr="0057310C">
        <w:trPr>
          <w:trHeight w:val="576"/>
        </w:trPr>
        <w:tc>
          <w:tcPr>
            <w:tcW w:w="3208" w:type="dxa"/>
            <w:tcBorders>
              <w:top w:val="nil"/>
              <w:left w:val="single" w:sz="8" w:space="0" w:color="auto"/>
              <w:bottom w:val="single" w:sz="8" w:space="0" w:color="auto"/>
              <w:right w:val="nil"/>
            </w:tcBorders>
            <w:shd w:val="clear" w:color="000000" w:fill="244062"/>
            <w:vAlign w:val="center"/>
            <w:hideMark/>
          </w:tcPr>
          <w:p w14:paraId="04C6064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280" w:type="dxa"/>
            <w:gridSpan w:val="3"/>
            <w:tcBorders>
              <w:top w:val="single" w:sz="8" w:space="0" w:color="auto"/>
              <w:left w:val="nil"/>
              <w:bottom w:val="single" w:sz="8" w:space="0" w:color="auto"/>
              <w:right w:val="single" w:sz="8" w:space="0" w:color="000000"/>
            </w:tcBorders>
            <w:vAlign w:val="center"/>
          </w:tcPr>
          <w:p w14:paraId="3BEA737B" w14:textId="1148531F"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Инфраструктура, интеграција тржишта у циљу повећања капацитета</w:t>
            </w:r>
            <w:r w:rsidR="009E7B75" w:rsidRPr="00FF386D">
              <w:rPr>
                <w:rFonts w:ascii="Calibri Light" w:hAnsi="Calibri Light"/>
                <w:sz w:val="20"/>
              </w:rPr>
              <w:t xml:space="preserve"> којим се може трговати</w:t>
            </w:r>
            <w:r w:rsidRPr="00FF386D">
              <w:rPr>
                <w:rFonts w:ascii="Calibri Light" w:hAnsi="Calibri Light"/>
                <w:sz w:val="20"/>
              </w:rPr>
              <w:t>, заштита потрошача и побољшана конкурентност, као и регионална интеграција</w:t>
            </w:r>
          </w:p>
        </w:tc>
      </w:tr>
      <w:tr w:rsidR="00854ADA" w:rsidRPr="00FF386D" w14:paraId="7598D0B7" w14:textId="77777777" w:rsidTr="0057310C">
        <w:trPr>
          <w:trHeight w:val="31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0993B49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Квантификовани циљ: </w:t>
            </w:r>
          </w:p>
        </w:tc>
        <w:tc>
          <w:tcPr>
            <w:tcW w:w="6280" w:type="dxa"/>
            <w:gridSpan w:val="3"/>
            <w:tcBorders>
              <w:top w:val="single" w:sz="8" w:space="0" w:color="auto"/>
              <w:left w:val="nil"/>
              <w:bottom w:val="single" w:sz="8" w:space="0" w:color="auto"/>
              <w:right w:val="single" w:sz="8" w:space="0" w:color="000000"/>
            </w:tcBorders>
            <w:vAlign w:val="center"/>
          </w:tcPr>
          <w:p w14:paraId="0282F90B" w14:textId="77777777" w:rsidR="00854ADA" w:rsidRPr="00FF386D" w:rsidRDefault="00854ADA" w:rsidP="00854ADA">
            <w:pPr>
              <w:spacing w:after="0" w:line="240" w:lineRule="auto"/>
              <w:jc w:val="both"/>
              <w:rPr>
                <w:rFonts w:ascii="Calibri" w:eastAsia="Times New Roman" w:hAnsi="Calibri" w:cs="Calibri"/>
                <w:color w:val="000000"/>
                <w:lang w:eastAsia="en-GB"/>
              </w:rPr>
            </w:pPr>
            <w:r w:rsidRPr="00FF386D">
              <w:rPr>
                <w:rFonts w:ascii="Calibri Light" w:hAnsi="Calibri Light"/>
                <w:sz w:val="20"/>
              </w:rPr>
              <w:t>Повећан капацитет интерконективности</w:t>
            </w:r>
          </w:p>
        </w:tc>
      </w:tr>
      <w:tr w:rsidR="00854ADA" w:rsidRPr="00FF386D" w14:paraId="43998A37" w14:textId="77777777" w:rsidTr="0057310C">
        <w:trPr>
          <w:trHeight w:val="774"/>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028C05C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80" w:type="dxa"/>
            <w:gridSpan w:val="3"/>
            <w:tcBorders>
              <w:top w:val="single" w:sz="8" w:space="0" w:color="auto"/>
              <w:left w:val="nil"/>
              <w:bottom w:val="single" w:sz="8" w:space="0" w:color="auto"/>
              <w:right w:val="single" w:sz="8" w:space="0" w:color="000000"/>
            </w:tcBorders>
            <w:vAlign w:val="center"/>
            <w:hideMark/>
          </w:tcPr>
          <w:p w14:paraId="50C57EAD" w14:textId="70B6A6DE"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Као што је описано у мери политике</w:t>
            </w:r>
            <w:r w:rsidR="00DB1C84" w:rsidRPr="00FF386D">
              <w:rPr>
                <w:rFonts w:ascii="Calibri Light" w:hAnsi="Calibri Light"/>
                <w:sz w:val="20"/>
              </w:rPr>
              <w:t>, о</w:t>
            </w:r>
            <w:r w:rsidRPr="00FF386D">
              <w:rPr>
                <w:rFonts w:ascii="Calibri Light" w:eastAsia="NSimSun" w:hAnsi="Calibri Light" w:cs="Mangal"/>
                <w:kern w:val="2"/>
                <w:sz w:val="20"/>
                <w:szCs w:val="24"/>
                <w:lang w:eastAsia="zh-CN" w:bidi="hi-IN"/>
              </w:rPr>
              <w:t>дноси се на</w:t>
            </w:r>
            <w:r w:rsidRPr="00FF386D">
              <w:rPr>
                <w:rFonts w:ascii="Calibri Light" w:hAnsi="Calibri Light"/>
                <w:sz w:val="20"/>
              </w:rPr>
              <w:t xml:space="preserve"> Г08 предложени пројекат Србије и Румуније у бази података </w:t>
            </w:r>
            <w:r w:rsidRPr="00FF386D">
              <w:rPr>
                <w:rFonts w:ascii="Calibri Light" w:hAnsi="Calibri Light"/>
                <w:i/>
                <w:iCs/>
                <w:sz w:val="20"/>
              </w:rPr>
              <w:t>PLIMA</w:t>
            </w:r>
            <w:r w:rsidRPr="00FF386D">
              <w:rPr>
                <w:rFonts w:ascii="Calibri Light" w:hAnsi="Calibri Light"/>
                <w:sz w:val="20"/>
              </w:rPr>
              <w:t xml:space="preserve"> (није обухваћен у </w:t>
            </w:r>
            <w:r w:rsidRPr="00FF386D">
              <w:rPr>
                <w:rFonts w:ascii="Calibri Light" w:hAnsi="Calibri Light"/>
                <w:i/>
                <w:iCs/>
                <w:sz w:val="20"/>
              </w:rPr>
              <w:t>ENTSOG TYNDP</w:t>
            </w:r>
            <w:r w:rsidRPr="00FF386D">
              <w:rPr>
                <w:rFonts w:ascii="Calibri Light" w:hAnsi="Calibri Light"/>
                <w:sz w:val="20"/>
              </w:rPr>
              <w:t xml:space="preserve"> 2020, </w:t>
            </w:r>
            <w:r w:rsidRPr="00FF386D">
              <w:rPr>
                <w:rFonts w:ascii="Calibri Light" w:hAnsi="Calibri Light"/>
                <w:i/>
                <w:iCs/>
                <w:sz w:val="20"/>
              </w:rPr>
              <w:t>ТRА-N-</w:t>
            </w:r>
            <w:r w:rsidRPr="00FF386D">
              <w:rPr>
                <w:rFonts w:ascii="Calibri Light" w:hAnsi="Calibri Light"/>
                <w:sz w:val="20"/>
              </w:rPr>
              <w:t xml:space="preserve">1268 у </w:t>
            </w:r>
            <w:r w:rsidRPr="00FF386D">
              <w:rPr>
                <w:rFonts w:ascii="Calibri Light" w:hAnsi="Calibri Light"/>
                <w:i/>
                <w:iCs/>
                <w:sz w:val="20"/>
              </w:rPr>
              <w:t xml:space="preserve">ТYNDP </w:t>
            </w:r>
            <w:r w:rsidRPr="00FF386D">
              <w:rPr>
                <w:rFonts w:ascii="Calibri Light" w:hAnsi="Calibri Light"/>
                <w:sz w:val="20"/>
              </w:rPr>
              <w:t>2018)</w:t>
            </w:r>
          </w:p>
        </w:tc>
      </w:tr>
      <w:tr w:rsidR="00854ADA" w:rsidRPr="00FF386D" w14:paraId="24C120DB" w14:textId="77777777" w:rsidTr="0057310C">
        <w:trPr>
          <w:trHeight w:val="31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745848E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80" w:type="dxa"/>
            <w:gridSpan w:val="3"/>
            <w:tcBorders>
              <w:top w:val="single" w:sz="8" w:space="0" w:color="auto"/>
              <w:left w:val="nil"/>
              <w:bottom w:val="single" w:sz="8" w:space="0" w:color="auto"/>
              <w:right w:val="single" w:sz="8" w:space="0" w:color="000000"/>
            </w:tcBorders>
            <w:vAlign w:val="center"/>
            <w:hideMark/>
          </w:tcPr>
          <w:p w14:paraId="79F0C4F7"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2026-2030.</w:t>
            </w:r>
          </w:p>
        </w:tc>
      </w:tr>
      <w:tr w:rsidR="00854ADA" w:rsidRPr="00FF386D" w14:paraId="4618F6B5" w14:textId="77777777" w:rsidTr="0057310C">
        <w:trPr>
          <w:trHeight w:val="31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2016456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80" w:type="dxa"/>
            <w:gridSpan w:val="3"/>
            <w:tcBorders>
              <w:top w:val="single" w:sz="8" w:space="0" w:color="auto"/>
              <w:left w:val="nil"/>
              <w:bottom w:val="single" w:sz="8" w:space="0" w:color="auto"/>
              <w:right w:val="single" w:sz="8" w:space="0" w:color="000000"/>
            </w:tcBorders>
            <w:vAlign w:val="center"/>
            <w:hideMark/>
          </w:tcPr>
          <w:p w14:paraId="11716413"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Инвестиција</w:t>
            </w:r>
          </w:p>
        </w:tc>
      </w:tr>
      <w:tr w:rsidR="00854ADA" w:rsidRPr="00FF386D" w14:paraId="76BDC1EB" w14:textId="77777777" w:rsidTr="0057310C">
        <w:trPr>
          <w:trHeight w:val="31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46BD545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80" w:type="dxa"/>
            <w:gridSpan w:val="3"/>
            <w:tcBorders>
              <w:top w:val="single" w:sz="8" w:space="0" w:color="auto"/>
              <w:left w:val="nil"/>
              <w:bottom w:val="single" w:sz="8" w:space="0" w:color="auto"/>
              <w:right w:val="single" w:sz="8" w:space="0" w:color="000000"/>
            </w:tcBorders>
            <w:vAlign w:val="center"/>
            <w:hideMark/>
          </w:tcPr>
          <w:p w14:paraId="685A9973"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Гас</w:t>
            </w:r>
          </w:p>
        </w:tc>
      </w:tr>
      <w:tr w:rsidR="00854ADA" w:rsidRPr="00FF386D" w14:paraId="5F1F4F9E" w14:textId="77777777" w:rsidTr="0057310C">
        <w:trPr>
          <w:trHeight w:val="31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68C538D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80" w:type="dxa"/>
            <w:gridSpan w:val="3"/>
            <w:tcBorders>
              <w:top w:val="single" w:sz="8" w:space="0" w:color="auto"/>
              <w:left w:val="nil"/>
              <w:bottom w:val="single" w:sz="8" w:space="0" w:color="auto"/>
              <w:right w:val="single" w:sz="8" w:space="0" w:color="000000"/>
            </w:tcBorders>
            <w:vAlign w:val="center"/>
            <w:hideMark/>
          </w:tcPr>
          <w:p w14:paraId="7122CCFF" w14:textId="77777777" w:rsidR="00854ADA" w:rsidRPr="00FF386D" w:rsidRDefault="00854ADA" w:rsidP="00854ADA">
            <w:pPr>
              <w:numPr>
                <w:ilvl w:val="0"/>
                <w:numId w:val="4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 xml:space="preserve">Транспортгас </w:t>
            </w:r>
          </w:p>
        </w:tc>
      </w:tr>
      <w:tr w:rsidR="00854ADA" w:rsidRPr="00FF386D" w14:paraId="10F0465A" w14:textId="77777777" w:rsidTr="0057310C">
        <w:trPr>
          <w:trHeight w:val="315"/>
        </w:trPr>
        <w:tc>
          <w:tcPr>
            <w:tcW w:w="3208" w:type="dxa"/>
            <w:tcBorders>
              <w:top w:val="nil"/>
              <w:left w:val="single" w:sz="8" w:space="0" w:color="auto"/>
              <w:bottom w:val="single" w:sz="8" w:space="0" w:color="auto"/>
              <w:right w:val="nil"/>
            </w:tcBorders>
            <w:shd w:val="clear" w:color="000000" w:fill="244062"/>
            <w:vAlign w:val="center"/>
            <w:hideMark/>
          </w:tcPr>
          <w:p w14:paraId="4F3E395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80" w:type="dxa"/>
            <w:gridSpan w:val="3"/>
            <w:tcBorders>
              <w:top w:val="single" w:sz="8" w:space="0" w:color="auto"/>
              <w:left w:val="nil"/>
              <w:bottom w:val="single" w:sz="8" w:space="0" w:color="auto"/>
              <w:right w:val="single" w:sz="8" w:space="0" w:color="000000"/>
            </w:tcBorders>
            <w:vAlign w:val="center"/>
            <w:hideMark/>
          </w:tcPr>
          <w:p w14:paraId="212A8963" w14:textId="77777777" w:rsidR="00854ADA" w:rsidRPr="00FF386D" w:rsidRDefault="00854ADA" w:rsidP="000A2AFE">
            <w:pPr>
              <w:numPr>
                <w:ilvl w:val="0"/>
                <w:numId w:val="44"/>
              </w:numPr>
              <w:spacing w:after="0"/>
              <w:ind w:left="714" w:hanging="357"/>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рударства и енергетике</w:t>
            </w:r>
          </w:p>
          <w:p w14:paraId="77E55914" w14:textId="519F41C4" w:rsidR="00854ADA" w:rsidRPr="000A2AFE" w:rsidRDefault="00EA6A1B" w:rsidP="000A2AFE">
            <w:pPr>
              <w:pStyle w:val="ListParagraph"/>
              <w:numPr>
                <w:ilvl w:val="0"/>
                <w:numId w:val="44"/>
              </w:numPr>
              <w:spacing w:after="0"/>
              <w:ind w:left="714" w:hanging="357"/>
              <w:rPr>
                <w:rFonts w:ascii="Calibri Light" w:eastAsia="Times New Roman" w:hAnsi="Calibri Light" w:cs="Calibri Light"/>
                <w:color w:val="000000"/>
                <w:sz w:val="20"/>
                <w:szCs w:val="20"/>
                <w:lang w:eastAsia="en-GB"/>
              </w:rPr>
            </w:pPr>
            <w:r w:rsidRPr="00EA6A1B">
              <w:rPr>
                <w:rFonts w:ascii="Calibri Light" w:eastAsia="Times New Roman" w:hAnsi="Calibri Light" w:cs="Calibri Light"/>
                <w:color w:val="000000"/>
                <w:sz w:val="20"/>
                <w:szCs w:val="20"/>
                <w:lang w:eastAsia="en-GB"/>
              </w:rPr>
              <w:t>Министарство грађевинарства, саобраћаја и инфраструктуре</w:t>
            </w:r>
          </w:p>
          <w:p w14:paraId="3497445C" w14:textId="0F69C9FC" w:rsidR="00854ADA" w:rsidRPr="00FF386D" w:rsidRDefault="00854ADA" w:rsidP="00854ADA">
            <w:pPr>
              <w:numPr>
                <w:ilvl w:val="0"/>
                <w:numId w:val="44"/>
              </w:numPr>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финансија</w:t>
            </w:r>
          </w:p>
          <w:p w14:paraId="1A67889A" w14:textId="5FB678B8" w:rsidR="00854ADA" w:rsidRPr="00EA6A1B" w:rsidRDefault="00854ADA" w:rsidP="000A2AFE">
            <w:pPr>
              <w:numPr>
                <w:ilvl w:val="0"/>
                <w:numId w:val="44"/>
              </w:numPr>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Влада </w:t>
            </w:r>
            <w:r w:rsidR="00EA6A1B">
              <w:rPr>
                <w:rFonts w:ascii="Calibri Light" w:eastAsia="Times New Roman" w:hAnsi="Calibri Light" w:cs="Calibri Light"/>
                <w:color w:val="000000"/>
                <w:sz w:val="20"/>
                <w:szCs w:val="20"/>
                <w:lang w:eastAsia="en-GB"/>
              </w:rPr>
              <w:t xml:space="preserve">Републике </w:t>
            </w:r>
            <w:r w:rsidRPr="00FF386D">
              <w:rPr>
                <w:rFonts w:ascii="Calibri Light" w:eastAsia="Times New Roman" w:hAnsi="Calibri Light" w:cs="Calibri Light"/>
                <w:color w:val="000000"/>
                <w:sz w:val="20"/>
                <w:szCs w:val="20"/>
                <w:lang w:eastAsia="en-GB"/>
              </w:rPr>
              <w:t>Србије</w:t>
            </w:r>
          </w:p>
        </w:tc>
      </w:tr>
      <w:tr w:rsidR="00854ADA" w:rsidRPr="00FF386D" w14:paraId="672666D4" w14:textId="77777777" w:rsidTr="0057310C">
        <w:trPr>
          <w:trHeight w:val="315"/>
        </w:trPr>
        <w:tc>
          <w:tcPr>
            <w:tcW w:w="3208" w:type="dxa"/>
            <w:tcBorders>
              <w:top w:val="nil"/>
              <w:left w:val="single" w:sz="8" w:space="0" w:color="auto"/>
              <w:bottom w:val="single" w:sz="8" w:space="0" w:color="auto"/>
              <w:right w:val="nil"/>
            </w:tcBorders>
            <w:shd w:val="clear" w:color="000000" w:fill="244062"/>
            <w:vAlign w:val="center"/>
            <w:hideMark/>
          </w:tcPr>
          <w:p w14:paraId="6CC7AC5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80" w:type="dxa"/>
            <w:gridSpan w:val="3"/>
            <w:tcBorders>
              <w:top w:val="single" w:sz="8" w:space="0" w:color="auto"/>
              <w:left w:val="nil"/>
              <w:bottom w:val="single" w:sz="8" w:space="0" w:color="auto"/>
              <w:right w:val="single" w:sz="8" w:space="0" w:color="000000"/>
            </w:tcBorders>
            <w:vAlign w:val="center"/>
            <w:hideMark/>
          </w:tcPr>
          <w:p w14:paraId="432B1737"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Коначна одлука о улагању, грађевинска дозвола, датум пуштања у рад, датум почетка комерцијалног рада</w:t>
            </w:r>
          </w:p>
        </w:tc>
      </w:tr>
      <w:tr w:rsidR="00854ADA" w:rsidRPr="00FF386D" w14:paraId="1DA3EF1B" w14:textId="77777777" w:rsidTr="0057310C">
        <w:trPr>
          <w:trHeight w:val="659"/>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4743C8A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80" w:type="dxa"/>
            <w:gridSpan w:val="3"/>
            <w:tcBorders>
              <w:top w:val="single" w:sz="8" w:space="0" w:color="auto"/>
              <w:left w:val="nil"/>
              <w:bottom w:val="single" w:sz="8" w:space="0" w:color="auto"/>
              <w:right w:val="single" w:sz="8" w:space="0" w:color="000000"/>
            </w:tcBorders>
            <w:vAlign w:val="center"/>
            <w:hideMark/>
          </w:tcPr>
          <w:p w14:paraId="0E758F41" w14:textId="77777777" w:rsidR="00854ADA" w:rsidRPr="000A2AFE" w:rsidRDefault="00854ADA" w:rsidP="00854ADA">
            <w:pPr>
              <w:numPr>
                <w:ilvl w:val="0"/>
                <w:numId w:val="44"/>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color w:val="000000"/>
                <w:sz w:val="20"/>
              </w:rPr>
              <w:t>Енергетска сигурност</w:t>
            </w:r>
          </w:p>
          <w:p w14:paraId="4F056942" w14:textId="77777777" w:rsidR="00854ADA" w:rsidRPr="00FF386D" w:rsidRDefault="00854ADA" w:rsidP="00854ADA">
            <w:pPr>
              <w:numPr>
                <w:ilvl w:val="0"/>
                <w:numId w:val="4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Декарбонизација</w:t>
            </w:r>
          </w:p>
        </w:tc>
      </w:tr>
      <w:tr w:rsidR="00854ADA" w:rsidRPr="00FF386D" w14:paraId="5D0C8AD7" w14:textId="77777777" w:rsidTr="0057310C">
        <w:trPr>
          <w:trHeight w:val="450"/>
        </w:trPr>
        <w:tc>
          <w:tcPr>
            <w:tcW w:w="3208"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3518A864" w14:textId="2FDC9F2A"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8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0E00C60B" w14:textId="77777777" w:rsidR="00854ADA" w:rsidRPr="000A2AFE"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 xml:space="preserve">Директива </w:t>
            </w:r>
            <w:r w:rsidRPr="000A2AFE">
              <w:rPr>
                <w:rFonts w:asciiTheme="majorHAnsi" w:eastAsia="Times New Roman" w:hAnsiTheme="majorHAnsi" w:cstheme="majorHAnsi"/>
                <w:color w:val="000000"/>
                <w:sz w:val="20"/>
                <w:szCs w:val="20"/>
                <w:lang w:eastAsia="en-GB"/>
              </w:rPr>
              <w:t>2009/73/EЗ</w:t>
            </w:r>
          </w:p>
          <w:p w14:paraId="4EBA52EF" w14:textId="77777777" w:rsidR="00854ADA" w:rsidRPr="00FF386D" w:rsidRDefault="00854ADA" w:rsidP="00854ADA">
            <w:pPr>
              <w:numPr>
                <w:ilvl w:val="0"/>
                <w:numId w:val="4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Уредба </w:t>
            </w:r>
            <w:r w:rsidRPr="000A2AFE">
              <w:rPr>
                <w:rFonts w:asciiTheme="majorHAnsi" w:eastAsia="Times New Roman" w:hAnsiTheme="majorHAnsi" w:cstheme="majorHAnsi"/>
                <w:color w:val="000000"/>
                <w:sz w:val="20"/>
                <w:szCs w:val="20"/>
                <w:lang w:eastAsia="en-GB"/>
              </w:rPr>
              <w:t xml:space="preserve">(ЕУ) бр. 347/2013 </w:t>
            </w:r>
          </w:p>
        </w:tc>
      </w:tr>
      <w:tr w:rsidR="00854ADA" w:rsidRPr="00FF386D" w14:paraId="52EB0EF0"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45374926"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80" w:type="dxa"/>
            <w:gridSpan w:val="3"/>
            <w:vMerge/>
            <w:tcBorders>
              <w:top w:val="single" w:sz="8" w:space="0" w:color="auto"/>
              <w:left w:val="single" w:sz="8" w:space="0" w:color="auto"/>
              <w:bottom w:val="single" w:sz="8" w:space="0" w:color="000000"/>
              <w:right w:val="single" w:sz="8" w:space="0" w:color="000000"/>
            </w:tcBorders>
            <w:vAlign w:val="center"/>
            <w:hideMark/>
          </w:tcPr>
          <w:p w14:paraId="74FE17FC"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4524BA91"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1EA8F8B6"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80" w:type="dxa"/>
            <w:gridSpan w:val="3"/>
            <w:vMerge/>
            <w:tcBorders>
              <w:top w:val="single" w:sz="8" w:space="0" w:color="auto"/>
              <w:left w:val="single" w:sz="8" w:space="0" w:color="auto"/>
              <w:bottom w:val="single" w:sz="8" w:space="0" w:color="000000"/>
              <w:right w:val="single" w:sz="8" w:space="0" w:color="000000"/>
            </w:tcBorders>
            <w:vAlign w:val="center"/>
            <w:hideMark/>
          </w:tcPr>
          <w:p w14:paraId="535A2AB1"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556AA867" w14:textId="77777777" w:rsidTr="0057310C">
        <w:trPr>
          <w:trHeight w:val="780"/>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2D16269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80" w:type="dxa"/>
            <w:gridSpan w:val="3"/>
            <w:tcBorders>
              <w:top w:val="single" w:sz="8" w:space="0" w:color="auto"/>
              <w:left w:val="nil"/>
              <w:bottom w:val="single" w:sz="8" w:space="0" w:color="auto"/>
              <w:right w:val="single" w:sz="8" w:space="0" w:color="000000"/>
            </w:tcBorders>
            <w:vAlign w:val="center"/>
            <w:hideMark/>
          </w:tcPr>
          <w:p w14:paraId="45D3477F" w14:textId="77777777" w:rsidR="00854ADA" w:rsidRPr="00FF386D" w:rsidRDefault="00854ADA" w:rsidP="00854ADA">
            <w:pPr>
              <w:numPr>
                <w:ilvl w:val="0"/>
                <w:numId w:val="4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енергетици</w:t>
            </w:r>
          </w:p>
        </w:tc>
      </w:tr>
      <w:tr w:rsidR="00854ADA" w:rsidRPr="00FF386D" w14:paraId="5944D01D" w14:textId="77777777" w:rsidTr="0057310C">
        <w:trPr>
          <w:trHeight w:val="31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77CB6C6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80" w:type="dxa"/>
            <w:gridSpan w:val="3"/>
            <w:tcBorders>
              <w:top w:val="single" w:sz="8" w:space="0" w:color="auto"/>
              <w:left w:val="nil"/>
              <w:bottom w:val="single" w:sz="8" w:space="0" w:color="auto"/>
              <w:right w:val="single" w:sz="8" w:space="0" w:color="000000"/>
            </w:tcBorders>
            <w:vAlign w:val="center"/>
            <w:hideMark/>
          </w:tcPr>
          <w:p w14:paraId="5209B3D5"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16 милиона евра</w:t>
            </w:r>
          </w:p>
        </w:tc>
      </w:tr>
      <w:tr w:rsidR="00854ADA" w:rsidRPr="00FF386D" w14:paraId="71B9433C" w14:textId="77777777" w:rsidTr="0057310C">
        <w:trPr>
          <w:trHeight w:val="38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3FF0CB4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80" w:type="dxa"/>
            <w:gridSpan w:val="3"/>
            <w:tcBorders>
              <w:top w:val="single" w:sz="8" w:space="0" w:color="auto"/>
              <w:left w:val="nil"/>
              <w:bottom w:val="single" w:sz="8" w:space="0" w:color="auto"/>
              <w:right w:val="single" w:sz="8" w:space="0" w:color="000000"/>
            </w:tcBorders>
            <w:vAlign w:val="center"/>
            <w:hideMark/>
          </w:tcPr>
          <w:p w14:paraId="13B3BF29" w14:textId="2345A686"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7E7E55" w:rsidRPr="00FF386D">
              <w:rPr>
                <w:rFonts w:ascii="Calibri Light" w:eastAsia="Times New Roman" w:hAnsi="Calibri Light" w:cs="Calibri Light"/>
                <w:color w:val="000000"/>
                <w:sz w:val="20"/>
                <w:szCs w:val="20"/>
                <w:lang w:eastAsia="en-GB"/>
              </w:rPr>
              <w:t>ска и</w:t>
            </w:r>
            <w:r w:rsidRPr="00FF386D">
              <w:rPr>
                <w:rFonts w:ascii="Calibri Light" w:eastAsia="Times New Roman" w:hAnsi="Calibri Light" w:cs="Calibri Light"/>
                <w:color w:val="000000"/>
                <w:sz w:val="20"/>
                <w:szCs w:val="20"/>
                <w:lang w:eastAsia="en-GB"/>
              </w:rPr>
              <w:t xml:space="preserve"> сопствена средства</w:t>
            </w:r>
          </w:p>
        </w:tc>
      </w:tr>
    </w:tbl>
    <w:p w14:paraId="6B554F9A" w14:textId="77777777" w:rsidR="00854ADA" w:rsidRPr="00FF386D" w:rsidRDefault="00854ADA" w:rsidP="00854ADA"/>
    <w:tbl>
      <w:tblPr>
        <w:tblW w:w="9488" w:type="dxa"/>
        <w:tblInd w:w="10" w:type="dxa"/>
        <w:tblLook w:val="04A0" w:firstRow="1" w:lastRow="0" w:firstColumn="1" w:lastColumn="0" w:noHBand="0" w:noVBand="1"/>
      </w:tblPr>
      <w:tblGrid>
        <w:gridCol w:w="222"/>
        <w:gridCol w:w="2986"/>
        <w:gridCol w:w="1358"/>
        <w:gridCol w:w="919"/>
        <w:gridCol w:w="4003"/>
      </w:tblGrid>
      <w:tr w:rsidR="00854ADA" w:rsidRPr="00FF386D" w14:paraId="02CA61B2" w14:textId="77777777" w:rsidTr="0057310C">
        <w:trPr>
          <w:gridAfter w:val="4"/>
          <w:wAfter w:w="9266" w:type="dxa"/>
          <w:trHeight w:val="315"/>
        </w:trPr>
        <w:tc>
          <w:tcPr>
            <w:tcW w:w="222" w:type="dxa"/>
            <w:vAlign w:val="center"/>
          </w:tcPr>
          <w:p w14:paraId="42DBBC0F" w14:textId="77777777" w:rsidR="00854ADA" w:rsidRPr="00FF386D" w:rsidRDefault="00854ADA" w:rsidP="00854ADA">
            <w:pPr>
              <w:spacing w:after="0" w:line="240" w:lineRule="auto"/>
              <w:rPr>
                <w:rFonts w:ascii="Times New Roman" w:eastAsia="Times New Roman" w:hAnsi="Times New Roman" w:cs="Times New Roman"/>
                <w:sz w:val="20"/>
                <w:szCs w:val="20"/>
                <w:lang w:eastAsia="en-GB"/>
              </w:rPr>
            </w:pPr>
          </w:p>
        </w:tc>
      </w:tr>
      <w:tr w:rsidR="00854ADA" w:rsidRPr="00FF386D" w14:paraId="62AE836F" w14:textId="77777777" w:rsidTr="0057310C">
        <w:trPr>
          <w:trHeight w:val="780"/>
        </w:trPr>
        <w:tc>
          <w:tcPr>
            <w:tcW w:w="3208" w:type="dxa"/>
            <w:gridSpan w:val="2"/>
            <w:tcBorders>
              <w:top w:val="single" w:sz="8" w:space="0" w:color="auto"/>
              <w:left w:val="single" w:sz="8" w:space="0" w:color="auto"/>
              <w:bottom w:val="single" w:sz="8" w:space="0" w:color="auto"/>
              <w:right w:val="single" w:sz="8" w:space="0" w:color="auto"/>
            </w:tcBorders>
            <w:shd w:val="clear" w:color="000000" w:fill="244062"/>
            <w:vAlign w:val="center"/>
            <w:hideMark/>
          </w:tcPr>
          <w:p w14:paraId="29129FC4" w14:textId="07AC2DBE"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 xml:space="preserve">: </w:t>
            </w:r>
          </w:p>
        </w:tc>
        <w:tc>
          <w:tcPr>
            <w:tcW w:w="1358" w:type="dxa"/>
            <w:tcBorders>
              <w:top w:val="single" w:sz="8" w:space="0" w:color="auto"/>
              <w:left w:val="nil"/>
              <w:bottom w:val="single" w:sz="8" w:space="0" w:color="auto"/>
              <w:right w:val="single" w:sz="8" w:space="0" w:color="auto"/>
            </w:tcBorders>
            <w:shd w:val="clear" w:color="auto" w:fill="E7E6E6" w:themeFill="background2"/>
            <w:vAlign w:val="center"/>
            <w:hideMark/>
          </w:tcPr>
          <w:p w14:paraId="4A87DB3A" w14:textId="5BF511FD"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МП_УЕ</w:t>
            </w:r>
            <w:r w:rsidR="002A3BDB" w:rsidRPr="00FF386D">
              <w:rPr>
                <w:rFonts w:ascii="Calibri Light" w:hAnsi="Calibri Light"/>
                <w:b/>
                <w:sz w:val="20"/>
              </w:rPr>
              <w:t>Т</w:t>
            </w:r>
            <w:r w:rsidRPr="00FF386D">
              <w:rPr>
                <w:rFonts w:ascii="Calibri Light" w:hAnsi="Calibri Light"/>
                <w:b/>
                <w:sz w:val="20"/>
              </w:rPr>
              <w:t>8.3</w:t>
            </w:r>
          </w:p>
        </w:tc>
        <w:tc>
          <w:tcPr>
            <w:tcW w:w="919" w:type="dxa"/>
            <w:tcBorders>
              <w:top w:val="single" w:sz="8" w:space="0" w:color="auto"/>
              <w:left w:val="nil"/>
              <w:bottom w:val="single" w:sz="8" w:space="0" w:color="auto"/>
              <w:right w:val="single" w:sz="8" w:space="0" w:color="auto"/>
            </w:tcBorders>
            <w:shd w:val="clear" w:color="auto" w:fill="244062"/>
            <w:vAlign w:val="center"/>
            <w:hideMark/>
          </w:tcPr>
          <w:p w14:paraId="58F21350" w14:textId="77777777" w:rsidR="00854ADA" w:rsidRPr="00FF386D" w:rsidRDefault="00854ADA" w:rsidP="00854ADA">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Назив</w:t>
            </w:r>
            <w:r w:rsidRPr="000A2AFE">
              <w:rPr>
                <w:rFonts w:asciiTheme="majorHAnsi" w:eastAsia="Times New Roman" w:hAnsiTheme="majorHAnsi" w:cstheme="majorHAnsi"/>
                <w:b/>
                <w:bCs/>
                <w:color w:val="FFFFFF"/>
                <w:sz w:val="20"/>
                <w:szCs w:val="20"/>
                <w:lang w:eastAsia="en-GB"/>
              </w:rPr>
              <w:t xml:space="preserve">: </w:t>
            </w:r>
          </w:p>
        </w:tc>
        <w:tc>
          <w:tcPr>
            <w:tcW w:w="4003" w:type="dxa"/>
            <w:tcBorders>
              <w:top w:val="single" w:sz="8" w:space="0" w:color="auto"/>
              <w:left w:val="nil"/>
              <w:bottom w:val="single" w:sz="8" w:space="0" w:color="auto"/>
              <w:right w:val="single" w:sz="8" w:space="0" w:color="auto"/>
            </w:tcBorders>
            <w:shd w:val="clear" w:color="auto" w:fill="E7E6E6" w:themeFill="background2"/>
            <w:vAlign w:val="center"/>
            <w:hideMark/>
          </w:tcPr>
          <w:p w14:paraId="59DBDCB2" w14:textId="77777777"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Пројекат гасне интерконекције Србије и Хрватске (95 km, са капацитетом од 1,5 милијарди m</w:t>
            </w:r>
            <w:r w:rsidRPr="00FF386D">
              <w:rPr>
                <w:rFonts w:ascii="Calibri Light" w:hAnsi="Calibri Light"/>
                <w:b/>
                <w:sz w:val="20"/>
                <w:vertAlign w:val="superscript"/>
              </w:rPr>
              <w:t>3</w:t>
            </w:r>
            <w:r w:rsidRPr="00FF386D">
              <w:rPr>
                <w:rFonts w:ascii="Calibri Light" w:hAnsi="Calibri Light"/>
                <w:b/>
                <w:sz w:val="20"/>
              </w:rPr>
              <w:t>/годишње)</w:t>
            </w:r>
          </w:p>
        </w:tc>
      </w:tr>
      <w:tr w:rsidR="00854ADA" w:rsidRPr="00FF386D" w14:paraId="62BC0DF1" w14:textId="77777777" w:rsidTr="0057310C">
        <w:trPr>
          <w:trHeight w:val="562"/>
        </w:trPr>
        <w:tc>
          <w:tcPr>
            <w:tcW w:w="3208" w:type="dxa"/>
            <w:gridSpan w:val="2"/>
            <w:tcBorders>
              <w:top w:val="nil"/>
              <w:left w:val="single" w:sz="8" w:space="0" w:color="auto"/>
              <w:bottom w:val="single" w:sz="8" w:space="0" w:color="auto"/>
              <w:right w:val="nil"/>
            </w:tcBorders>
            <w:shd w:val="clear" w:color="000000" w:fill="244062"/>
            <w:vAlign w:val="center"/>
            <w:hideMark/>
          </w:tcPr>
          <w:p w14:paraId="5BF5334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280" w:type="dxa"/>
            <w:gridSpan w:val="3"/>
            <w:tcBorders>
              <w:top w:val="single" w:sz="8" w:space="0" w:color="auto"/>
              <w:left w:val="nil"/>
              <w:bottom w:val="single" w:sz="8" w:space="0" w:color="auto"/>
              <w:right w:val="single" w:sz="8" w:space="0" w:color="000000"/>
            </w:tcBorders>
            <w:vAlign w:val="center"/>
          </w:tcPr>
          <w:p w14:paraId="68BE2C72" w14:textId="2529B2BA"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Инфраструктура, интеграција тржишта у циљу повећања капацитета</w:t>
            </w:r>
            <w:r w:rsidR="009E7B75" w:rsidRPr="00FF386D">
              <w:rPr>
                <w:rFonts w:ascii="Calibri Light" w:hAnsi="Calibri Light"/>
                <w:sz w:val="20"/>
              </w:rPr>
              <w:t xml:space="preserve"> којим се може трговати</w:t>
            </w:r>
            <w:r w:rsidRPr="00FF386D">
              <w:rPr>
                <w:rFonts w:ascii="Calibri Light" w:hAnsi="Calibri Light"/>
                <w:sz w:val="20"/>
              </w:rPr>
              <w:t>, заштита потрошача и побољшана конкурентност, као и регионална интеграција</w:t>
            </w:r>
          </w:p>
        </w:tc>
      </w:tr>
      <w:tr w:rsidR="00854ADA" w:rsidRPr="00FF386D" w14:paraId="7D3BA9BF" w14:textId="77777777" w:rsidTr="0057310C">
        <w:trPr>
          <w:trHeight w:val="315"/>
        </w:trPr>
        <w:tc>
          <w:tcPr>
            <w:tcW w:w="3208" w:type="dxa"/>
            <w:gridSpan w:val="2"/>
            <w:tcBorders>
              <w:top w:val="nil"/>
              <w:left w:val="single" w:sz="8" w:space="0" w:color="auto"/>
              <w:bottom w:val="single" w:sz="8" w:space="0" w:color="auto"/>
              <w:right w:val="single" w:sz="8" w:space="0" w:color="auto"/>
            </w:tcBorders>
            <w:shd w:val="clear" w:color="000000" w:fill="244062"/>
            <w:vAlign w:val="center"/>
            <w:hideMark/>
          </w:tcPr>
          <w:p w14:paraId="636FD26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Квантификовани циљ: </w:t>
            </w:r>
          </w:p>
        </w:tc>
        <w:tc>
          <w:tcPr>
            <w:tcW w:w="6280" w:type="dxa"/>
            <w:gridSpan w:val="3"/>
            <w:tcBorders>
              <w:top w:val="single" w:sz="8" w:space="0" w:color="auto"/>
              <w:left w:val="nil"/>
              <w:bottom w:val="single" w:sz="8" w:space="0" w:color="auto"/>
              <w:right w:val="single" w:sz="8" w:space="0" w:color="000000"/>
            </w:tcBorders>
            <w:vAlign w:val="center"/>
          </w:tcPr>
          <w:p w14:paraId="53E7C349"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Повећан капацитет интерконективности</w:t>
            </w:r>
          </w:p>
        </w:tc>
      </w:tr>
      <w:tr w:rsidR="00854ADA" w:rsidRPr="00FF386D" w14:paraId="1EA418ED" w14:textId="77777777" w:rsidTr="0057310C">
        <w:trPr>
          <w:trHeight w:val="666"/>
        </w:trPr>
        <w:tc>
          <w:tcPr>
            <w:tcW w:w="3208" w:type="dxa"/>
            <w:gridSpan w:val="2"/>
            <w:tcBorders>
              <w:top w:val="nil"/>
              <w:left w:val="single" w:sz="8" w:space="0" w:color="auto"/>
              <w:bottom w:val="single" w:sz="8" w:space="0" w:color="auto"/>
              <w:right w:val="single" w:sz="8" w:space="0" w:color="auto"/>
            </w:tcBorders>
            <w:shd w:val="clear" w:color="000000" w:fill="244062"/>
            <w:vAlign w:val="center"/>
            <w:hideMark/>
          </w:tcPr>
          <w:p w14:paraId="74EC099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80" w:type="dxa"/>
            <w:gridSpan w:val="3"/>
            <w:tcBorders>
              <w:top w:val="single" w:sz="8" w:space="0" w:color="auto"/>
              <w:left w:val="nil"/>
              <w:bottom w:val="single" w:sz="8" w:space="0" w:color="auto"/>
              <w:right w:val="single" w:sz="8" w:space="0" w:color="000000"/>
            </w:tcBorders>
            <w:vAlign w:val="center"/>
            <w:hideMark/>
          </w:tcPr>
          <w:p w14:paraId="1E397E04" w14:textId="3C59BCAA" w:rsidR="00854ADA" w:rsidRPr="00FF386D" w:rsidRDefault="00DB1C84"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И</w:t>
            </w:r>
            <w:r w:rsidR="00854ADA" w:rsidRPr="00FF386D">
              <w:rPr>
                <w:rFonts w:ascii="Calibri Light" w:hAnsi="Calibri Light"/>
                <w:sz w:val="20"/>
              </w:rPr>
              <w:t xml:space="preserve">нтерконектор Гас_10 Србија-Хрватска у бази података PLIMA, </w:t>
            </w:r>
            <w:r w:rsidR="00854ADA" w:rsidRPr="00FF386D">
              <w:rPr>
                <w:rFonts w:ascii="Calibri Light" w:hAnsi="Calibri Light"/>
                <w:i/>
                <w:iCs/>
                <w:sz w:val="20"/>
              </w:rPr>
              <w:t>ЕNTSOG TRA-N</w:t>
            </w:r>
            <w:r w:rsidR="00854ADA" w:rsidRPr="00FF386D">
              <w:rPr>
                <w:rFonts w:ascii="Calibri Light" w:hAnsi="Calibri Light"/>
                <w:sz w:val="20"/>
              </w:rPr>
              <w:t>-70</w:t>
            </w:r>
          </w:p>
        </w:tc>
      </w:tr>
      <w:tr w:rsidR="00854ADA" w:rsidRPr="00FF386D" w14:paraId="682E9A78" w14:textId="77777777" w:rsidTr="0057310C">
        <w:trPr>
          <w:trHeight w:val="315"/>
        </w:trPr>
        <w:tc>
          <w:tcPr>
            <w:tcW w:w="3208" w:type="dxa"/>
            <w:gridSpan w:val="2"/>
            <w:tcBorders>
              <w:top w:val="nil"/>
              <w:left w:val="single" w:sz="8" w:space="0" w:color="auto"/>
              <w:bottom w:val="single" w:sz="8" w:space="0" w:color="auto"/>
              <w:right w:val="single" w:sz="8" w:space="0" w:color="auto"/>
            </w:tcBorders>
            <w:shd w:val="clear" w:color="000000" w:fill="244062"/>
            <w:vAlign w:val="center"/>
            <w:hideMark/>
          </w:tcPr>
          <w:p w14:paraId="185CFBC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80" w:type="dxa"/>
            <w:gridSpan w:val="3"/>
            <w:tcBorders>
              <w:top w:val="single" w:sz="8" w:space="0" w:color="auto"/>
              <w:left w:val="nil"/>
              <w:bottom w:val="single" w:sz="8" w:space="0" w:color="auto"/>
              <w:right w:val="single" w:sz="8" w:space="0" w:color="000000"/>
            </w:tcBorders>
            <w:vAlign w:val="center"/>
            <w:hideMark/>
          </w:tcPr>
          <w:p w14:paraId="423436FF"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2021-2023.</w:t>
            </w:r>
          </w:p>
        </w:tc>
      </w:tr>
      <w:tr w:rsidR="00854ADA" w:rsidRPr="00FF386D" w14:paraId="6D5C4DD8" w14:textId="77777777" w:rsidTr="0057310C">
        <w:trPr>
          <w:trHeight w:val="315"/>
        </w:trPr>
        <w:tc>
          <w:tcPr>
            <w:tcW w:w="3208" w:type="dxa"/>
            <w:gridSpan w:val="2"/>
            <w:tcBorders>
              <w:top w:val="nil"/>
              <w:left w:val="single" w:sz="8" w:space="0" w:color="auto"/>
              <w:bottom w:val="single" w:sz="8" w:space="0" w:color="auto"/>
              <w:right w:val="single" w:sz="8" w:space="0" w:color="auto"/>
            </w:tcBorders>
            <w:shd w:val="clear" w:color="000000" w:fill="244062"/>
            <w:vAlign w:val="center"/>
            <w:hideMark/>
          </w:tcPr>
          <w:p w14:paraId="5EE8D28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80" w:type="dxa"/>
            <w:gridSpan w:val="3"/>
            <w:tcBorders>
              <w:top w:val="single" w:sz="8" w:space="0" w:color="auto"/>
              <w:left w:val="nil"/>
              <w:bottom w:val="single" w:sz="8" w:space="0" w:color="auto"/>
              <w:right w:val="single" w:sz="8" w:space="0" w:color="000000"/>
            </w:tcBorders>
            <w:vAlign w:val="center"/>
            <w:hideMark/>
          </w:tcPr>
          <w:p w14:paraId="24E12BDC"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Инвестиција</w:t>
            </w:r>
          </w:p>
        </w:tc>
      </w:tr>
      <w:tr w:rsidR="00854ADA" w:rsidRPr="00FF386D" w14:paraId="44E2C8EB" w14:textId="77777777" w:rsidTr="0057310C">
        <w:trPr>
          <w:trHeight w:val="315"/>
        </w:trPr>
        <w:tc>
          <w:tcPr>
            <w:tcW w:w="3208" w:type="dxa"/>
            <w:gridSpan w:val="2"/>
            <w:tcBorders>
              <w:top w:val="nil"/>
              <w:left w:val="single" w:sz="8" w:space="0" w:color="auto"/>
              <w:bottom w:val="single" w:sz="8" w:space="0" w:color="auto"/>
              <w:right w:val="single" w:sz="8" w:space="0" w:color="auto"/>
            </w:tcBorders>
            <w:shd w:val="clear" w:color="000000" w:fill="244062"/>
            <w:vAlign w:val="center"/>
            <w:hideMark/>
          </w:tcPr>
          <w:p w14:paraId="092336C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80" w:type="dxa"/>
            <w:gridSpan w:val="3"/>
            <w:tcBorders>
              <w:top w:val="single" w:sz="8" w:space="0" w:color="auto"/>
              <w:left w:val="nil"/>
              <w:bottom w:val="single" w:sz="8" w:space="0" w:color="auto"/>
              <w:right w:val="single" w:sz="8" w:space="0" w:color="000000"/>
            </w:tcBorders>
            <w:vAlign w:val="center"/>
            <w:hideMark/>
          </w:tcPr>
          <w:p w14:paraId="26F94BEF"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Гас</w:t>
            </w:r>
          </w:p>
        </w:tc>
      </w:tr>
      <w:tr w:rsidR="00854ADA" w:rsidRPr="00FF386D" w14:paraId="6301B34F" w14:textId="77777777" w:rsidTr="0057310C">
        <w:trPr>
          <w:trHeight w:val="315"/>
        </w:trPr>
        <w:tc>
          <w:tcPr>
            <w:tcW w:w="3208" w:type="dxa"/>
            <w:gridSpan w:val="2"/>
            <w:tcBorders>
              <w:top w:val="nil"/>
              <w:left w:val="single" w:sz="8" w:space="0" w:color="auto"/>
              <w:bottom w:val="single" w:sz="8" w:space="0" w:color="auto"/>
              <w:right w:val="single" w:sz="8" w:space="0" w:color="auto"/>
            </w:tcBorders>
            <w:shd w:val="clear" w:color="000000" w:fill="244062"/>
            <w:vAlign w:val="center"/>
            <w:hideMark/>
          </w:tcPr>
          <w:p w14:paraId="4B42C8F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80" w:type="dxa"/>
            <w:gridSpan w:val="3"/>
            <w:tcBorders>
              <w:top w:val="single" w:sz="8" w:space="0" w:color="auto"/>
              <w:left w:val="nil"/>
              <w:bottom w:val="single" w:sz="8" w:space="0" w:color="auto"/>
              <w:right w:val="single" w:sz="8" w:space="0" w:color="000000"/>
            </w:tcBorders>
            <w:vAlign w:val="center"/>
            <w:hideMark/>
          </w:tcPr>
          <w:p w14:paraId="5C23C321" w14:textId="77777777" w:rsidR="00854ADA" w:rsidRPr="00FF386D"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Транспортгас</w:t>
            </w:r>
          </w:p>
        </w:tc>
      </w:tr>
      <w:tr w:rsidR="00854ADA" w:rsidRPr="00FF386D" w14:paraId="59D04FB2" w14:textId="77777777" w:rsidTr="0057310C">
        <w:trPr>
          <w:trHeight w:val="315"/>
        </w:trPr>
        <w:tc>
          <w:tcPr>
            <w:tcW w:w="3208" w:type="dxa"/>
            <w:gridSpan w:val="2"/>
            <w:tcBorders>
              <w:top w:val="nil"/>
              <w:left w:val="single" w:sz="8" w:space="0" w:color="auto"/>
              <w:bottom w:val="single" w:sz="8" w:space="0" w:color="auto"/>
              <w:right w:val="nil"/>
            </w:tcBorders>
            <w:shd w:val="clear" w:color="000000" w:fill="244062"/>
            <w:vAlign w:val="center"/>
            <w:hideMark/>
          </w:tcPr>
          <w:p w14:paraId="5348D43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80" w:type="dxa"/>
            <w:gridSpan w:val="3"/>
            <w:tcBorders>
              <w:top w:val="single" w:sz="8" w:space="0" w:color="auto"/>
              <w:left w:val="nil"/>
              <w:bottom w:val="single" w:sz="8" w:space="0" w:color="auto"/>
              <w:right w:val="single" w:sz="8" w:space="0" w:color="000000"/>
            </w:tcBorders>
            <w:vAlign w:val="center"/>
            <w:hideMark/>
          </w:tcPr>
          <w:p w14:paraId="2C02E946" w14:textId="77777777" w:rsidR="00854ADA" w:rsidRPr="00FF386D"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рударства и енергетике</w:t>
            </w:r>
          </w:p>
          <w:p w14:paraId="06BBF65A" w14:textId="616B966E" w:rsidR="00854ADA" w:rsidRPr="000A2AFE" w:rsidRDefault="00EA6A1B" w:rsidP="000A2AFE">
            <w:pPr>
              <w:pStyle w:val="ListParagraph"/>
              <w:numPr>
                <w:ilvl w:val="0"/>
                <w:numId w:val="44"/>
              </w:numPr>
              <w:spacing w:after="0"/>
              <w:ind w:left="714" w:hanging="357"/>
              <w:rPr>
                <w:rFonts w:asciiTheme="majorHAnsi" w:eastAsia="Times New Roman" w:hAnsiTheme="majorHAnsi" w:cstheme="majorHAnsi"/>
                <w:color w:val="000000"/>
                <w:sz w:val="20"/>
                <w:szCs w:val="20"/>
                <w:lang w:eastAsia="en-GB"/>
              </w:rPr>
            </w:pPr>
            <w:r w:rsidRPr="00EA6A1B">
              <w:rPr>
                <w:rFonts w:asciiTheme="majorHAnsi" w:eastAsia="Times New Roman" w:hAnsiTheme="majorHAnsi" w:cstheme="majorHAnsi"/>
                <w:color w:val="000000"/>
                <w:sz w:val="20"/>
                <w:szCs w:val="20"/>
                <w:lang w:eastAsia="en-GB"/>
              </w:rPr>
              <w:t>Министарство грађевинарства, саобраћаја и инфраструктуре</w:t>
            </w:r>
          </w:p>
          <w:p w14:paraId="73E69EF4" w14:textId="68767A42" w:rsidR="00854ADA" w:rsidRPr="00FF386D"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финансија</w:t>
            </w:r>
          </w:p>
          <w:p w14:paraId="79415113" w14:textId="5F3BADEA" w:rsidR="00854ADA" w:rsidRPr="00EA6A1B" w:rsidRDefault="00854ADA" w:rsidP="00EA6A1B">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Влада </w:t>
            </w:r>
            <w:r w:rsidR="00EA6A1B">
              <w:rPr>
                <w:rFonts w:asciiTheme="majorHAnsi" w:eastAsia="Times New Roman" w:hAnsiTheme="majorHAnsi" w:cstheme="majorHAnsi"/>
                <w:color w:val="000000"/>
                <w:sz w:val="20"/>
                <w:szCs w:val="20"/>
                <w:lang w:eastAsia="en-GB"/>
              </w:rPr>
              <w:t xml:space="preserve">Републике </w:t>
            </w:r>
            <w:r w:rsidRPr="00FF386D">
              <w:rPr>
                <w:rFonts w:asciiTheme="majorHAnsi" w:eastAsia="Times New Roman" w:hAnsiTheme="majorHAnsi" w:cstheme="majorHAnsi"/>
                <w:color w:val="000000"/>
                <w:sz w:val="20"/>
                <w:szCs w:val="20"/>
                <w:lang w:eastAsia="en-GB"/>
              </w:rPr>
              <w:t>Србије</w:t>
            </w:r>
          </w:p>
        </w:tc>
      </w:tr>
      <w:tr w:rsidR="00854ADA" w:rsidRPr="00FF386D" w14:paraId="6EB335F8" w14:textId="77777777" w:rsidTr="0057310C">
        <w:trPr>
          <w:trHeight w:val="315"/>
        </w:trPr>
        <w:tc>
          <w:tcPr>
            <w:tcW w:w="3208" w:type="dxa"/>
            <w:gridSpan w:val="2"/>
            <w:tcBorders>
              <w:top w:val="nil"/>
              <w:left w:val="single" w:sz="8" w:space="0" w:color="auto"/>
              <w:bottom w:val="single" w:sz="8" w:space="0" w:color="auto"/>
              <w:right w:val="nil"/>
            </w:tcBorders>
            <w:shd w:val="clear" w:color="000000" w:fill="244062"/>
            <w:vAlign w:val="center"/>
            <w:hideMark/>
          </w:tcPr>
          <w:p w14:paraId="278E3B0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80" w:type="dxa"/>
            <w:gridSpan w:val="3"/>
            <w:tcBorders>
              <w:top w:val="single" w:sz="8" w:space="0" w:color="auto"/>
              <w:left w:val="nil"/>
              <w:bottom w:val="single" w:sz="8" w:space="0" w:color="auto"/>
              <w:right w:val="single" w:sz="8" w:space="0" w:color="000000"/>
            </w:tcBorders>
            <w:vAlign w:val="center"/>
            <w:hideMark/>
          </w:tcPr>
          <w:p w14:paraId="167A58F4"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Коначна одлука о улагању, грађевинска дозвола, датум пуштања у рад, датум почетка комерцијалног рада</w:t>
            </w:r>
          </w:p>
        </w:tc>
      </w:tr>
      <w:tr w:rsidR="00854ADA" w:rsidRPr="00FF386D" w14:paraId="611658CD" w14:textId="77777777" w:rsidTr="0057310C">
        <w:trPr>
          <w:trHeight w:val="577"/>
        </w:trPr>
        <w:tc>
          <w:tcPr>
            <w:tcW w:w="3208" w:type="dxa"/>
            <w:gridSpan w:val="2"/>
            <w:tcBorders>
              <w:top w:val="nil"/>
              <w:left w:val="single" w:sz="8" w:space="0" w:color="auto"/>
              <w:bottom w:val="single" w:sz="8" w:space="0" w:color="auto"/>
              <w:right w:val="single" w:sz="8" w:space="0" w:color="auto"/>
            </w:tcBorders>
            <w:shd w:val="clear" w:color="000000" w:fill="244062"/>
            <w:vAlign w:val="center"/>
            <w:hideMark/>
          </w:tcPr>
          <w:p w14:paraId="6C2A672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80" w:type="dxa"/>
            <w:gridSpan w:val="3"/>
            <w:tcBorders>
              <w:top w:val="single" w:sz="8" w:space="0" w:color="auto"/>
              <w:left w:val="nil"/>
              <w:bottom w:val="single" w:sz="8" w:space="0" w:color="auto"/>
              <w:right w:val="single" w:sz="8" w:space="0" w:color="000000"/>
            </w:tcBorders>
            <w:vAlign w:val="center"/>
            <w:hideMark/>
          </w:tcPr>
          <w:p w14:paraId="31C4FB65" w14:textId="77777777" w:rsidR="00854ADA" w:rsidRPr="000A2AFE" w:rsidRDefault="00854ADA" w:rsidP="00854ADA">
            <w:pPr>
              <w:numPr>
                <w:ilvl w:val="0"/>
                <w:numId w:val="44"/>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color w:val="000000"/>
                <w:sz w:val="20"/>
              </w:rPr>
              <w:t>Енергетска сигурност</w:t>
            </w:r>
          </w:p>
          <w:p w14:paraId="6CED27A2" w14:textId="77777777" w:rsidR="00854ADA" w:rsidRPr="00FF386D"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Декарбонизација</w:t>
            </w:r>
          </w:p>
        </w:tc>
      </w:tr>
      <w:tr w:rsidR="00854ADA" w:rsidRPr="00FF386D" w14:paraId="51282B2E" w14:textId="77777777" w:rsidTr="0057310C">
        <w:trPr>
          <w:trHeight w:val="450"/>
        </w:trPr>
        <w:tc>
          <w:tcPr>
            <w:tcW w:w="3208" w:type="dxa"/>
            <w:gridSpan w:val="2"/>
            <w:vMerge w:val="restart"/>
            <w:tcBorders>
              <w:top w:val="nil"/>
              <w:left w:val="single" w:sz="8" w:space="0" w:color="auto"/>
              <w:bottom w:val="single" w:sz="8" w:space="0" w:color="000000"/>
              <w:right w:val="single" w:sz="8" w:space="0" w:color="auto"/>
            </w:tcBorders>
            <w:shd w:val="clear" w:color="000000" w:fill="244062"/>
            <w:vAlign w:val="center"/>
            <w:hideMark/>
          </w:tcPr>
          <w:p w14:paraId="3159A07E" w14:textId="5F3E7754"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8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566ECA74" w14:textId="77777777" w:rsidR="00854ADA" w:rsidRPr="000A2AFE"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 xml:space="preserve">Директива </w:t>
            </w:r>
            <w:r w:rsidRPr="000A2AFE">
              <w:rPr>
                <w:rFonts w:asciiTheme="majorHAnsi" w:eastAsia="Times New Roman" w:hAnsiTheme="majorHAnsi" w:cstheme="majorHAnsi"/>
                <w:color w:val="000000"/>
                <w:sz w:val="20"/>
                <w:szCs w:val="20"/>
                <w:lang w:eastAsia="en-GB"/>
              </w:rPr>
              <w:t>2009/73/EЗ</w:t>
            </w:r>
          </w:p>
          <w:p w14:paraId="7359A552" w14:textId="77777777" w:rsidR="00854ADA" w:rsidRPr="00FF386D"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 xml:space="preserve">Уредба </w:t>
            </w:r>
            <w:r w:rsidRPr="000A2AFE">
              <w:rPr>
                <w:rFonts w:asciiTheme="majorHAnsi" w:eastAsia="Times New Roman" w:hAnsiTheme="majorHAnsi" w:cstheme="majorHAnsi"/>
                <w:color w:val="000000"/>
                <w:sz w:val="20"/>
                <w:szCs w:val="20"/>
                <w:lang w:eastAsia="en-GB"/>
              </w:rPr>
              <w:t xml:space="preserve">(ЕУ) бр. 347/2013 </w:t>
            </w:r>
          </w:p>
        </w:tc>
      </w:tr>
      <w:tr w:rsidR="00854ADA" w:rsidRPr="00FF386D" w14:paraId="2980B7C7" w14:textId="77777777" w:rsidTr="0057310C">
        <w:trPr>
          <w:trHeight w:val="450"/>
        </w:trPr>
        <w:tc>
          <w:tcPr>
            <w:tcW w:w="0" w:type="auto"/>
            <w:gridSpan w:val="2"/>
            <w:vMerge/>
            <w:tcBorders>
              <w:top w:val="nil"/>
              <w:left w:val="single" w:sz="8" w:space="0" w:color="auto"/>
              <w:bottom w:val="single" w:sz="8" w:space="0" w:color="000000"/>
              <w:right w:val="single" w:sz="8" w:space="0" w:color="auto"/>
            </w:tcBorders>
            <w:vAlign w:val="center"/>
            <w:hideMark/>
          </w:tcPr>
          <w:p w14:paraId="0D0D6F3D"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80" w:type="dxa"/>
            <w:gridSpan w:val="3"/>
            <w:vMerge/>
            <w:tcBorders>
              <w:top w:val="single" w:sz="8" w:space="0" w:color="auto"/>
              <w:left w:val="single" w:sz="8" w:space="0" w:color="auto"/>
              <w:bottom w:val="single" w:sz="8" w:space="0" w:color="000000"/>
              <w:right w:val="single" w:sz="8" w:space="0" w:color="000000"/>
            </w:tcBorders>
            <w:vAlign w:val="center"/>
            <w:hideMark/>
          </w:tcPr>
          <w:p w14:paraId="57711D5F"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648ACA75" w14:textId="77777777" w:rsidTr="0057310C">
        <w:trPr>
          <w:trHeight w:val="450"/>
        </w:trPr>
        <w:tc>
          <w:tcPr>
            <w:tcW w:w="0" w:type="auto"/>
            <w:gridSpan w:val="2"/>
            <w:vMerge/>
            <w:tcBorders>
              <w:top w:val="nil"/>
              <w:left w:val="single" w:sz="8" w:space="0" w:color="auto"/>
              <w:bottom w:val="single" w:sz="8" w:space="0" w:color="000000"/>
              <w:right w:val="single" w:sz="8" w:space="0" w:color="auto"/>
            </w:tcBorders>
            <w:vAlign w:val="center"/>
            <w:hideMark/>
          </w:tcPr>
          <w:p w14:paraId="4A172735"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80" w:type="dxa"/>
            <w:gridSpan w:val="3"/>
            <w:vMerge/>
            <w:tcBorders>
              <w:top w:val="single" w:sz="8" w:space="0" w:color="auto"/>
              <w:left w:val="single" w:sz="8" w:space="0" w:color="auto"/>
              <w:bottom w:val="single" w:sz="8" w:space="0" w:color="000000"/>
              <w:right w:val="single" w:sz="8" w:space="0" w:color="000000"/>
            </w:tcBorders>
            <w:vAlign w:val="center"/>
            <w:hideMark/>
          </w:tcPr>
          <w:p w14:paraId="7547F4E4"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55973E2B" w14:textId="77777777" w:rsidTr="0057310C">
        <w:trPr>
          <w:trHeight w:val="780"/>
        </w:trPr>
        <w:tc>
          <w:tcPr>
            <w:tcW w:w="3208" w:type="dxa"/>
            <w:gridSpan w:val="2"/>
            <w:tcBorders>
              <w:top w:val="nil"/>
              <w:left w:val="single" w:sz="8" w:space="0" w:color="auto"/>
              <w:bottom w:val="single" w:sz="8" w:space="0" w:color="auto"/>
              <w:right w:val="single" w:sz="8" w:space="0" w:color="auto"/>
            </w:tcBorders>
            <w:shd w:val="clear" w:color="000000" w:fill="244062"/>
            <w:vAlign w:val="center"/>
            <w:hideMark/>
          </w:tcPr>
          <w:p w14:paraId="3B85DF9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80" w:type="dxa"/>
            <w:gridSpan w:val="3"/>
            <w:tcBorders>
              <w:top w:val="single" w:sz="8" w:space="0" w:color="auto"/>
              <w:left w:val="nil"/>
              <w:bottom w:val="single" w:sz="8" w:space="0" w:color="auto"/>
              <w:right w:val="single" w:sz="8" w:space="0" w:color="000000"/>
            </w:tcBorders>
            <w:vAlign w:val="center"/>
            <w:hideMark/>
          </w:tcPr>
          <w:p w14:paraId="19E08692" w14:textId="77777777" w:rsidR="00854ADA" w:rsidRPr="00FF386D" w:rsidRDefault="00854ADA" w:rsidP="00854ADA">
            <w:pPr>
              <w:numPr>
                <w:ilvl w:val="0"/>
                <w:numId w:val="47"/>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Закон о енергетици</w:t>
            </w:r>
          </w:p>
        </w:tc>
      </w:tr>
      <w:tr w:rsidR="00854ADA" w:rsidRPr="00FF386D" w14:paraId="719A7C6A" w14:textId="77777777" w:rsidTr="0057310C">
        <w:trPr>
          <w:trHeight w:val="315"/>
        </w:trPr>
        <w:tc>
          <w:tcPr>
            <w:tcW w:w="3208" w:type="dxa"/>
            <w:gridSpan w:val="2"/>
            <w:tcBorders>
              <w:top w:val="nil"/>
              <w:left w:val="single" w:sz="8" w:space="0" w:color="auto"/>
              <w:bottom w:val="single" w:sz="8" w:space="0" w:color="auto"/>
              <w:right w:val="single" w:sz="8" w:space="0" w:color="auto"/>
            </w:tcBorders>
            <w:shd w:val="clear" w:color="000000" w:fill="244062"/>
            <w:vAlign w:val="center"/>
            <w:hideMark/>
          </w:tcPr>
          <w:p w14:paraId="2638DB2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80" w:type="dxa"/>
            <w:gridSpan w:val="3"/>
            <w:tcBorders>
              <w:top w:val="single" w:sz="8" w:space="0" w:color="auto"/>
              <w:left w:val="nil"/>
              <w:bottom w:val="single" w:sz="8" w:space="0" w:color="auto"/>
              <w:right w:val="single" w:sz="8" w:space="0" w:color="000000"/>
            </w:tcBorders>
            <w:vAlign w:val="center"/>
            <w:hideMark/>
          </w:tcPr>
          <w:p w14:paraId="6E3B3CDA"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144 милиона евра</w:t>
            </w:r>
          </w:p>
        </w:tc>
      </w:tr>
      <w:tr w:rsidR="00854ADA" w:rsidRPr="00FF386D" w14:paraId="2613F1D5" w14:textId="77777777" w:rsidTr="0057310C">
        <w:trPr>
          <w:trHeight w:val="315"/>
        </w:trPr>
        <w:tc>
          <w:tcPr>
            <w:tcW w:w="3208" w:type="dxa"/>
            <w:gridSpan w:val="2"/>
            <w:tcBorders>
              <w:top w:val="nil"/>
              <w:left w:val="single" w:sz="8" w:space="0" w:color="auto"/>
              <w:bottom w:val="single" w:sz="8" w:space="0" w:color="auto"/>
              <w:right w:val="single" w:sz="8" w:space="0" w:color="auto"/>
            </w:tcBorders>
            <w:shd w:val="clear" w:color="000000" w:fill="244062"/>
            <w:vAlign w:val="center"/>
            <w:hideMark/>
          </w:tcPr>
          <w:p w14:paraId="4EA3ED3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80" w:type="dxa"/>
            <w:gridSpan w:val="3"/>
            <w:tcBorders>
              <w:top w:val="single" w:sz="8" w:space="0" w:color="auto"/>
              <w:left w:val="nil"/>
              <w:bottom w:val="single" w:sz="8" w:space="0" w:color="auto"/>
              <w:right w:val="single" w:sz="8" w:space="0" w:color="000000"/>
            </w:tcBorders>
            <w:vAlign w:val="center"/>
            <w:hideMark/>
          </w:tcPr>
          <w:p w14:paraId="01D01074" w14:textId="2405A804"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7E7E55" w:rsidRPr="00FF386D">
              <w:rPr>
                <w:rFonts w:ascii="Calibri Light" w:eastAsia="Times New Roman" w:hAnsi="Calibri Light" w:cs="Calibri Light"/>
                <w:color w:val="000000"/>
                <w:sz w:val="20"/>
                <w:szCs w:val="20"/>
                <w:lang w:eastAsia="en-GB"/>
              </w:rPr>
              <w:t>ска и</w:t>
            </w:r>
            <w:r w:rsidRPr="00FF386D">
              <w:rPr>
                <w:rFonts w:ascii="Calibri Light" w:eastAsia="Times New Roman" w:hAnsi="Calibri Light" w:cs="Calibri Light"/>
                <w:color w:val="000000"/>
                <w:sz w:val="20"/>
                <w:szCs w:val="20"/>
                <w:lang w:eastAsia="en-GB"/>
              </w:rPr>
              <w:t xml:space="preserve"> сопствена средства</w:t>
            </w:r>
          </w:p>
        </w:tc>
      </w:tr>
    </w:tbl>
    <w:p w14:paraId="66313AFE"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08"/>
        <w:gridCol w:w="1358"/>
        <w:gridCol w:w="919"/>
        <w:gridCol w:w="4003"/>
      </w:tblGrid>
      <w:tr w:rsidR="00854ADA" w:rsidRPr="00FF386D" w14:paraId="12837423" w14:textId="77777777" w:rsidTr="0057310C">
        <w:trPr>
          <w:trHeight w:val="780"/>
        </w:trPr>
        <w:tc>
          <w:tcPr>
            <w:tcW w:w="3208"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09B0FF1D" w14:textId="4E4CD6EB"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 xml:space="preserve">: </w:t>
            </w:r>
          </w:p>
        </w:tc>
        <w:tc>
          <w:tcPr>
            <w:tcW w:w="1358" w:type="dxa"/>
            <w:tcBorders>
              <w:top w:val="single" w:sz="8" w:space="0" w:color="auto"/>
              <w:left w:val="nil"/>
              <w:bottom w:val="single" w:sz="8" w:space="0" w:color="auto"/>
              <w:right w:val="single" w:sz="8" w:space="0" w:color="auto"/>
            </w:tcBorders>
            <w:shd w:val="clear" w:color="auto" w:fill="E7E6E6" w:themeFill="background2"/>
            <w:vAlign w:val="center"/>
            <w:hideMark/>
          </w:tcPr>
          <w:p w14:paraId="6637B108" w14:textId="5794BB17"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ПМ_УЕ</w:t>
            </w:r>
            <w:r w:rsidR="002A3BDB" w:rsidRPr="00FF386D">
              <w:rPr>
                <w:rFonts w:ascii="Calibri Light" w:hAnsi="Calibri Light"/>
                <w:b/>
                <w:sz w:val="20"/>
              </w:rPr>
              <w:t>Т</w:t>
            </w:r>
            <w:r w:rsidRPr="00FF386D">
              <w:rPr>
                <w:rFonts w:ascii="Calibri Light" w:hAnsi="Calibri Light"/>
                <w:b/>
                <w:sz w:val="20"/>
              </w:rPr>
              <w:t>8.4</w:t>
            </w:r>
          </w:p>
        </w:tc>
        <w:tc>
          <w:tcPr>
            <w:tcW w:w="919" w:type="dxa"/>
            <w:tcBorders>
              <w:top w:val="single" w:sz="8" w:space="0" w:color="auto"/>
              <w:left w:val="nil"/>
              <w:bottom w:val="single" w:sz="8" w:space="0" w:color="auto"/>
              <w:right w:val="single" w:sz="8" w:space="0" w:color="auto"/>
            </w:tcBorders>
            <w:shd w:val="clear" w:color="auto" w:fill="244062"/>
            <w:vAlign w:val="center"/>
            <w:hideMark/>
          </w:tcPr>
          <w:p w14:paraId="018F7446" w14:textId="77777777" w:rsidR="00854ADA" w:rsidRPr="00FF386D" w:rsidRDefault="00854ADA" w:rsidP="00854ADA">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Назив</w:t>
            </w:r>
            <w:r w:rsidRPr="000A2AFE">
              <w:rPr>
                <w:rFonts w:asciiTheme="majorHAnsi" w:eastAsia="Times New Roman" w:hAnsiTheme="majorHAnsi" w:cstheme="majorHAnsi"/>
                <w:b/>
                <w:bCs/>
                <w:color w:val="FFFFFF"/>
                <w:sz w:val="20"/>
                <w:szCs w:val="20"/>
                <w:lang w:eastAsia="en-GB"/>
              </w:rPr>
              <w:t xml:space="preserve">: </w:t>
            </w:r>
          </w:p>
        </w:tc>
        <w:tc>
          <w:tcPr>
            <w:tcW w:w="4003" w:type="dxa"/>
            <w:tcBorders>
              <w:top w:val="single" w:sz="8" w:space="0" w:color="auto"/>
              <w:left w:val="nil"/>
              <w:bottom w:val="single" w:sz="8" w:space="0" w:color="auto"/>
              <w:right w:val="single" w:sz="8" w:space="0" w:color="auto"/>
            </w:tcBorders>
            <w:shd w:val="clear" w:color="auto" w:fill="E7E6E6" w:themeFill="background2"/>
            <w:vAlign w:val="center"/>
            <w:hideMark/>
          </w:tcPr>
          <w:p w14:paraId="776C5846" w14:textId="77777777"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Пројекат гасне интерконекције Србија-БиХ од 90 km, капацитета 1,2 милијарде m</w:t>
            </w:r>
            <w:r w:rsidRPr="00FF386D">
              <w:rPr>
                <w:rFonts w:ascii="Calibri Light" w:hAnsi="Calibri Light"/>
                <w:b/>
                <w:sz w:val="20"/>
                <w:vertAlign w:val="superscript"/>
              </w:rPr>
              <w:t>3</w:t>
            </w:r>
            <w:r w:rsidRPr="00FF386D">
              <w:rPr>
                <w:rFonts w:ascii="Calibri Light" w:hAnsi="Calibri Light"/>
                <w:b/>
                <w:sz w:val="20"/>
              </w:rPr>
              <w:t xml:space="preserve"> годишње</w:t>
            </w:r>
          </w:p>
        </w:tc>
      </w:tr>
      <w:tr w:rsidR="00854ADA" w:rsidRPr="00FF386D" w14:paraId="75D6F0C2" w14:textId="77777777" w:rsidTr="0057310C">
        <w:trPr>
          <w:trHeight w:val="960"/>
        </w:trPr>
        <w:tc>
          <w:tcPr>
            <w:tcW w:w="3208" w:type="dxa"/>
            <w:tcBorders>
              <w:top w:val="nil"/>
              <w:left w:val="single" w:sz="8" w:space="0" w:color="auto"/>
              <w:bottom w:val="single" w:sz="8" w:space="0" w:color="auto"/>
              <w:right w:val="nil"/>
            </w:tcBorders>
            <w:shd w:val="clear" w:color="000000" w:fill="244062"/>
            <w:vAlign w:val="center"/>
            <w:hideMark/>
          </w:tcPr>
          <w:p w14:paraId="580B27B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280" w:type="dxa"/>
            <w:gridSpan w:val="3"/>
            <w:tcBorders>
              <w:top w:val="single" w:sz="8" w:space="0" w:color="auto"/>
              <w:left w:val="nil"/>
              <w:bottom w:val="single" w:sz="8" w:space="0" w:color="auto"/>
              <w:right w:val="single" w:sz="8" w:space="0" w:color="000000"/>
            </w:tcBorders>
            <w:vAlign w:val="center"/>
          </w:tcPr>
          <w:p w14:paraId="3EFFC936" w14:textId="0CFE84F2" w:rsidR="00854ADA" w:rsidRPr="00FF386D" w:rsidRDefault="002A3BDB"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Инфраструктура, интеграција тржишта у циљу повећања капацитета којим се може трговати, заштита потрошача и побољшана конкурентност, као и регионална интеграција</w:t>
            </w:r>
          </w:p>
        </w:tc>
      </w:tr>
      <w:tr w:rsidR="00854ADA" w:rsidRPr="00FF386D" w14:paraId="37B86438" w14:textId="77777777" w:rsidTr="0057310C">
        <w:trPr>
          <w:trHeight w:val="31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51DF420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Квантификовани циљ: </w:t>
            </w:r>
          </w:p>
        </w:tc>
        <w:tc>
          <w:tcPr>
            <w:tcW w:w="6280" w:type="dxa"/>
            <w:gridSpan w:val="3"/>
            <w:tcBorders>
              <w:top w:val="single" w:sz="8" w:space="0" w:color="auto"/>
              <w:left w:val="nil"/>
              <w:bottom w:val="single" w:sz="8" w:space="0" w:color="auto"/>
              <w:right w:val="single" w:sz="8" w:space="0" w:color="000000"/>
            </w:tcBorders>
            <w:vAlign w:val="center"/>
          </w:tcPr>
          <w:p w14:paraId="7CF40031"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Повећан капацитет интерконективности</w:t>
            </w:r>
          </w:p>
        </w:tc>
      </w:tr>
      <w:tr w:rsidR="00854ADA" w:rsidRPr="00FF386D" w14:paraId="20DE5011" w14:textId="77777777" w:rsidTr="0057310C">
        <w:trPr>
          <w:trHeight w:val="726"/>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37E97B1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80" w:type="dxa"/>
            <w:gridSpan w:val="3"/>
            <w:tcBorders>
              <w:top w:val="single" w:sz="8" w:space="0" w:color="auto"/>
              <w:left w:val="nil"/>
              <w:bottom w:val="single" w:sz="8" w:space="0" w:color="auto"/>
              <w:right w:val="single" w:sz="8" w:space="0" w:color="000000"/>
            </w:tcBorders>
            <w:vAlign w:val="center"/>
            <w:hideMark/>
          </w:tcPr>
          <w:p w14:paraId="7C7EA073" w14:textId="243D36E5" w:rsidR="00854ADA" w:rsidRPr="00FF386D" w:rsidRDefault="00854ADA" w:rsidP="007E7E55">
            <w:pPr>
              <w:widowControl w:val="0"/>
              <w:suppressLineNumbers/>
              <w:suppressAutoHyphens/>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eastAsia="NSimSun" w:hAnsi="Calibri Light" w:cs="Mangal"/>
                <w:kern w:val="2"/>
                <w:sz w:val="20"/>
                <w:szCs w:val="24"/>
                <w:lang w:eastAsia="zh-CN" w:bidi="hi-IN"/>
              </w:rPr>
              <w:t xml:space="preserve">Изградња </w:t>
            </w:r>
            <w:r w:rsidR="007E7E55" w:rsidRPr="00FF386D">
              <w:rPr>
                <w:rFonts w:ascii="Calibri Light" w:eastAsia="NSimSun" w:hAnsi="Calibri Light" w:cs="Mangal"/>
                <w:kern w:val="2"/>
                <w:sz w:val="20"/>
                <w:szCs w:val="24"/>
                <w:lang w:eastAsia="zh-CN" w:bidi="hi-IN"/>
              </w:rPr>
              <w:t xml:space="preserve">новог </w:t>
            </w:r>
            <w:r w:rsidRPr="00FF386D">
              <w:rPr>
                <w:rFonts w:ascii="Calibri Light" w:eastAsia="NSimSun" w:hAnsi="Calibri Light" w:cs="Mangal"/>
                <w:kern w:val="2"/>
                <w:sz w:val="20"/>
                <w:szCs w:val="24"/>
                <w:lang w:eastAsia="zh-CN" w:bidi="hi-IN"/>
              </w:rPr>
              <w:t>гасовода Инђија – Мачвански Прњавор (интерконекција Србија-БиХ) омогућ</w:t>
            </w:r>
            <w:r w:rsidR="007E7E55" w:rsidRPr="00FF386D">
              <w:rPr>
                <w:rFonts w:ascii="Calibri Light" w:eastAsia="NSimSun" w:hAnsi="Calibri Light" w:cs="Mangal"/>
                <w:kern w:val="2"/>
                <w:sz w:val="20"/>
                <w:szCs w:val="24"/>
                <w:lang w:eastAsia="zh-CN" w:bidi="hi-IN"/>
              </w:rPr>
              <w:t>иће</w:t>
            </w:r>
            <w:r w:rsidRPr="00FF386D">
              <w:rPr>
                <w:rFonts w:ascii="Calibri Light" w:eastAsia="NSimSun" w:hAnsi="Calibri Light" w:cs="Mangal"/>
                <w:kern w:val="2"/>
                <w:sz w:val="20"/>
                <w:szCs w:val="24"/>
                <w:lang w:eastAsia="zh-CN" w:bidi="hi-IN"/>
              </w:rPr>
              <w:t xml:space="preserve"> наставак гасификације Мачванског округа и стратешких предузећа, с обзиром на то да</w:t>
            </w:r>
            <w:r w:rsidR="007E7E55" w:rsidRPr="00FF386D">
              <w:rPr>
                <w:rFonts w:ascii="Calibri Light" w:eastAsia="NSimSun" w:hAnsi="Calibri Light" w:cs="Mangal"/>
                <w:kern w:val="2"/>
                <w:sz w:val="20"/>
                <w:szCs w:val="24"/>
                <w:lang w:eastAsia="zh-CN" w:bidi="hi-IN"/>
              </w:rPr>
              <w:t xml:space="preserve"> стари продуктовод</w:t>
            </w:r>
            <w:r w:rsidR="00D73CA5" w:rsidRPr="00FF386D">
              <w:rPr>
                <w:rFonts w:ascii="Calibri Light" w:eastAsia="NSimSun" w:hAnsi="Calibri Light" w:cs="Mangal"/>
                <w:kern w:val="2"/>
                <w:sz w:val="20"/>
                <w:szCs w:val="24"/>
                <w:lang w:eastAsia="zh-CN" w:bidi="hi-IN"/>
              </w:rPr>
              <w:t>,</w:t>
            </w:r>
            <w:r w:rsidR="007E7E55" w:rsidRPr="00FF386D">
              <w:rPr>
                <w:rFonts w:ascii="Calibri Light" w:eastAsia="NSimSun" w:hAnsi="Calibri Light" w:cs="Mangal"/>
                <w:kern w:val="2"/>
                <w:sz w:val="20"/>
                <w:szCs w:val="24"/>
                <w:lang w:eastAsia="zh-CN" w:bidi="hi-IN"/>
              </w:rPr>
              <w:t xml:space="preserve"> који је изграђен 1979. године</w:t>
            </w:r>
            <w:r w:rsidR="00D73CA5" w:rsidRPr="00FF386D">
              <w:rPr>
                <w:rFonts w:ascii="Calibri Light" w:eastAsia="NSimSun" w:hAnsi="Calibri Light" w:cs="Mangal"/>
                <w:kern w:val="2"/>
                <w:sz w:val="20"/>
                <w:szCs w:val="24"/>
                <w:lang w:eastAsia="zh-CN" w:bidi="hi-IN"/>
              </w:rPr>
              <w:t xml:space="preserve">, </w:t>
            </w:r>
            <w:r w:rsidR="007E7E55" w:rsidRPr="00FF386D">
              <w:rPr>
                <w:rFonts w:ascii="Calibri Light" w:eastAsia="NSimSun" w:hAnsi="Calibri Light" w:cs="Mangal"/>
                <w:kern w:val="2"/>
                <w:sz w:val="20"/>
                <w:szCs w:val="24"/>
                <w:lang w:eastAsia="zh-CN" w:bidi="hi-IN"/>
              </w:rPr>
              <w:t>захтева обимну санацију.</w:t>
            </w:r>
          </w:p>
        </w:tc>
      </w:tr>
      <w:tr w:rsidR="00854ADA" w:rsidRPr="00FF386D" w14:paraId="39DC4F43" w14:textId="77777777" w:rsidTr="0057310C">
        <w:trPr>
          <w:trHeight w:val="31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0BB2726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80" w:type="dxa"/>
            <w:gridSpan w:val="3"/>
            <w:tcBorders>
              <w:top w:val="single" w:sz="8" w:space="0" w:color="auto"/>
              <w:left w:val="nil"/>
              <w:bottom w:val="single" w:sz="8" w:space="0" w:color="auto"/>
              <w:right w:val="single" w:sz="8" w:space="0" w:color="000000"/>
            </w:tcBorders>
            <w:vAlign w:val="center"/>
            <w:hideMark/>
          </w:tcPr>
          <w:p w14:paraId="57DC4F55" w14:textId="395DD6C0"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202</w:t>
            </w:r>
            <w:r w:rsidR="007E7E55" w:rsidRPr="000A2AFE">
              <w:rPr>
                <w:rFonts w:asciiTheme="majorHAnsi" w:eastAsia="Times New Roman" w:hAnsiTheme="majorHAnsi" w:cstheme="majorHAnsi"/>
                <w:color w:val="000000"/>
                <w:sz w:val="20"/>
                <w:szCs w:val="20"/>
                <w:lang w:eastAsia="en-GB"/>
              </w:rPr>
              <w:t>3</w:t>
            </w:r>
            <w:r w:rsidRPr="000A2AFE">
              <w:rPr>
                <w:rFonts w:asciiTheme="majorHAnsi" w:eastAsia="Times New Roman" w:hAnsiTheme="majorHAnsi" w:cstheme="majorHAnsi"/>
                <w:color w:val="000000"/>
                <w:sz w:val="20"/>
                <w:szCs w:val="20"/>
                <w:lang w:eastAsia="en-GB"/>
              </w:rPr>
              <w:t>-2030.</w:t>
            </w:r>
          </w:p>
        </w:tc>
      </w:tr>
      <w:tr w:rsidR="00854ADA" w:rsidRPr="00FF386D" w14:paraId="67C99B32" w14:textId="77777777" w:rsidTr="0057310C">
        <w:trPr>
          <w:trHeight w:val="31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53D99FF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80" w:type="dxa"/>
            <w:gridSpan w:val="3"/>
            <w:tcBorders>
              <w:top w:val="single" w:sz="8" w:space="0" w:color="auto"/>
              <w:left w:val="nil"/>
              <w:bottom w:val="single" w:sz="8" w:space="0" w:color="auto"/>
              <w:right w:val="single" w:sz="8" w:space="0" w:color="000000"/>
            </w:tcBorders>
            <w:vAlign w:val="center"/>
            <w:hideMark/>
          </w:tcPr>
          <w:p w14:paraId="5ED9E240"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Инвестиција</w:t>
            </w:r>
          </w:p>
        </w:tc>
      </w:tr>
      <w:tr w:rsidR="00854ADA" w:rsidRPr="00FF386D" w14:paraId="4ED346A5" w14:textId="77777777" w:rsidTr="0057310C">
        <w:trPr>
          <w:trHeight w:val="31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3C53C73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80" w:type="dxa"/>
            <w:gridSpan w:val="3"/>
            <w:tcBorders>
              <w:top w:val="single" w:sz="8" w:space="0" w:color="auto"/>
              <w:left w:val="nil"/>
              <w:bottom w:val="single" w:sz="8" w:space="0" w:color="auto"/>
              <w:right w:val="single" w:sz="8" w:space="0" w:color="000000"/>
            </w:tcBorders>
            <w:vAlign w:val="center"/>
            <w:hideMark/>
          </w:tcPr>
          <w:p w14:paraId="750EAB6C" w14:textId="7CCB23A5"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Гас</w:t>
            </w:r>
          </w:p>
        </w:tc>
      </w:tr>
      <w:tr w:rsidR="00854ADA" w:rsidRPr="00FF386D" w14:paraId="732B1896" w14:textId="77777777" w:rsidTr="0057310C">
        <w:trPr>
          <w:trHeight w:val="31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1A49FDE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80" w:type="dxa"/>
            <w:gridSpan w:val="3"/>
            <w:tcBorders>
              <w:top w:val="single" w:sz="8" w:space="0" w:color="auto"/>
              <w:left w:val="nil"/>
              <w:bottom w:val="single" w:sz="8" w:space="0" w:color="auto"/>
              <w:right w:val="single" w:sz="8" w:space="0" w:color="000000"/>
            </w:tcBorders>
            <w:vAlign w:val="center"/>
            <w:hideMark/>
          </w:tcPr>
          <w:p w14:paraId="239DAE0E" w14:textId="77777777" w:rsidR="00854ADA" w:rsidRPr="00FF386D"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Транспортгас</w:t>
            </w:r>
          </w:p>
        </w:tc>
      </w:tr>
      <w:tr w:rsidR="00854ADA" w:rsidRPr="00FF386D" w14:paraId="1E426A9D" w14:textId="77777777" w:rsidTr="0057310C">
        <w:trPr>
          <w:trHeight w:val="315"/>
        </w:trPr>
        <w:tc>
          <w:tcPr>
            <w:tcW w:w="3208" w:type="dxa"/>
            <w:tcBorders>
              <w:top w:val="nil"/>
              <w:left w:val="single" w:sz="8" w:space="0" w:color="auto"/>
              <w:bottom w:val="single" w:sz="8" w:space="0" w:color="auto"/>
              <w:right w:val="nil"/>
            </w:tcBorders>
            <w:shd w:val="clear" w:color="000000" w:fill="244062"/>
            <w:vAlign w:val="center"/>
            <w:hideMark/>
          </w:tcPr>
          <w:p w14:paraId="575B39F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Тело за праћење</w:t>
            </w:r>
          </w:p>
        </w:tc>
        <w:tc>
          <w:tcPr>
            <w:tcW w:w="6280" w:type="dxa"/>
            <w:gridSpan w:val="3"/>
            <w:tcBorders>
              <w:top w:val="single" w:sz="8" w:space="0" w:color="auto"/>
              <w:left w:val="nil"/>
              <w:bottom w:val="single" w:sz="8" w:space="0" w:color="auto"/>
              <w:right w:val="single" w:sz="8" w:space="0" w:color="000000"/>
            </w:tcBorders>
            <w:vAlign w:val="center"/>
            <w:hideMark/>
          </w:tcPr>
          <w:p w14:paraId="61CB7BCA" w14:textId="77777777" w:rsidR="00854ADA" w:rsidRPr="00FF386D"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рударства и енергетике</w:t>
            </w:r>
          </w:p>
          <w:p w14:paraId="17E461BA" w14:textId="77777777" w:rsidR="00EA6A1B" w:rsidRPr="00EA6A1B" w:rsidRDefault="00EA6A1B" w:rsidP="000A2AFE">
            <w:pPr>
              <w:pStyle w:val="ListParagraph"/>
              <w:numPr>
                <w:ilvl w:val="0"/>
                <w:numId w:val="44"/>
              </w:numPr>
              <w:spacing w:after="0"/>
              <w:ind w:left="714" w:hanging="357"/>
              <w:rPr>
                <w:rFonts w:asciiTheme="majorHAnsi" w:eastAsia="Times New Roman" w:hAnsiTheme="majorHAnsi" w:cstheme="majorHAnsi"/>
                <w:color w:val="000000"/>
                <w:sz w:val="20"/>
                <w:szCs w:val="20"/>
                <w:lang w:eastAsia="en-GB"/>
              </w:rPr>
            </w:pPr>
            <w:r w:rsidRPr="00EA6A1B">
              <w:rPr>
                <w:rFonts w:asciiTheme="majorHAnsi" w:eastAsia="Times New Roman" w:hAnsiTheme="majorHAnsi" w:cstheme="majorHAnsi"/>
                <w:color w:val="000000"/>
                <w:sz w:val="20"/>
                <w:szCs w:val="20"/>
                <w:lang w:eastAsia="en-GB"/>
              </w:rPr>
              <w:t>Министарство грађевинарства, саобраћаја и инфраструктуре</w:t>
            </w:r>
          </w:p>
          <w:p w14:paraId="2B30ACBF" w14:textId="5B6FA331" w:rsidR="00854ADA" w:rsidRPr="00FF386D"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финансија</w:t>
            </w:r>
          </w:p>
          <w:p w14:paraId="4BBFF5B8" w14:textId="034F0631" w:rsidR="00854ADA" w:rsidRPr="00EA6A1B" w:rsidRDefault="00854ADA" w:rsidP="00EA6A1B">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Влада </w:t>
            </w:r>
            <w:r w:rsidR="00EA6A1B">
              <w:rPr>
                <w:rFonts w:asciiTheme="majorHAnsi" w:eastAsia="Times New Roman" w:hAnsiTheme="majorHAnsi" w:cstheme="majorHAnsi"/>
                <w:color w:val="000000"/>
                <w:sz w:val="20"/>
                <w:szCs w:val="20"/>
                <w:lang w:eastAsia="en-GB"/>
              </w:rPr>
              <w:t xml:space="preserve">Републике </w:t>
            </w:r>
            <w:r w:rsidRPr="00FF386D">
              <w:rPr>
                <w:rFonts w:asciiTheme="majorHAnsi" w:eastAsia="Times New Roman" w:hAnsiTheme="majorHAnsi" w:cstheme="majorHAnsi"/>
                <w:color w:val="000000"/>
                <w:sz w:val="20"/>
                <w:szCs w:val="20"/>
                <w:lang w:eastAsia="en-GB"/>
              </w:rPr>
              <w:t>Србије</w:t>
            </w:r>
          </w:p>
        </w:tc>
      </w:tr>
      <w:tr w:rsidR="00854ADA" w:rsidRPr="00FF386D" w14:paraId="672E3FB4" w14:textId="77777777" w:rsidTr="0057310C">
        <w:trPr>
          <w:trHeight w:val="315"/>
        </w:trPr>
        <w:tc>
          <w:tcPr>
            <w:tcW w:w="3208" w:type="dxa"/>
            <w:tcBorders>
              <w:top w:val="nil"/>
              <w:left w:val="single" w:sz="8" w:space="0" w:color="auto"/>
              <w:bottom w:val="single" w:sz="8" w:space="0" w:color="auto"/>
              <w:right w:val="nil"/>
            </w:tcBorders>
            <w:shd w:val="clear" w:color="000000" w:fill="244062"/>
            <w:vAlign w:val="center"/>
            <w:hideMark/>
          </w:tcPr>
          <w:p w14:paraId="7500C98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80" w:type="dxa"/>
            <w:gridSpan w:val="3"/>
            <w:tcBorders>
              <w:top w:val="single" w:sz="8" w:space="0" w:color="auto"/>
              <w:left w:val="nil"/>
              <w:bottom w:val="single" w:sz="8" w:space="0" w:color="auto"/>
              <w:right w:val="single" w:sz="8" w:space="0" w:color="000000"/>
            </w:tcBorders>
            <w:vAlign w:val="center"/>
            <w:hideMark/>
          </w:tcPr>
          <w:p w14:paraId="3A40E8C2"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Коначна одлука о улагању, грађевинска дозвола, датум пуштања у рад, датум почетка комерцијалног рада</w:t>
            </w:r>
          </w:p>
        </w:tc>
      </w:tr>
      <w:tr w:rsidR="00854ADA" w:rsidRPr="00FF386D" w14:paraId="2E3C5BC9" w14:textId="77777777" w:rsidTr="0057310C">
        <w:trPr>
          <w:trHeight w:val="652"/>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744EC57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80" w:type="dxa"/>
            <w:gridSpan w:val="3"/>
            <w:tcBorders>
              <w:top w:val="single" w:sz="8" w:space="0" w:color="auto"/>
              <w:left w:val="nil"/>
              <w:bottom w:val="single" w:sz="8" w:space="0" w:color="auto"/>
              <w:right w:val="single" w:sz="8" w:space="0" w:color="000000"/>
            </w:tcBorders>
            <w:vAlign w:val="center"/>
            <w:hideMark/>
          </w:tcPr>
          <w:p w14:paraId="0CF94CDB" w14:textId="77777777" w:rsidR="00854ADA" w:rsidRPr="000A2AFE" w:rsidRDefault="00854ADA" w:rsidP="00854ADA">
            <w:pPr>
              <w:numPr>
                <w:ilvl w:val="0"/>
                <w:numId w:val="44"/>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color w:val="000000"/>
                <w:sz w:val="20"/>
              </w:rPr>
              <w:t>Енергетска сигурност</w:t>
            </w:r>
          </w:p>
          <w:p w14:paraId="53062814" w14:textId="77777777" w:rsidR="00854ADA" w:rsidRPr="00FF386D"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Декарбонизација</w:t>
            </w:r>
          </w:p>
        </w:tc>
      </w:tr>
      <w:tr w:rsidR="00854ADA" w:rsidRPr="00FF386D" w14:paraId="0CF5B78C" w14:textId="77777777" w:rsidTr="0057310C">
        <w:trPr>
          <w:trHeight w:val="450"/>
        </w:trPr>
        <w:tc>
          <w:tcPr>
            <w:tcW w:w="3208"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5C9A03A9" w14:textId="6D81BE51"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8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B8B5BD7" w14:textId="77777777" w:rsidR="00854ADA" w:rsidRPr="000A2AFE"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 xml:space="preserve">Директива </w:t>
            </w:r>
            <w:r w:rsidRPr="000A2AFE">
              <w:rPr>
                <w:rFonts w:asciiTheme="majorHAnsi" w:eastAsia="Times New Roman" w:hAnsiTheme="majorHAnsi" w:cstheme="majorHAnsi"/>
                <w:color w:val="000000"/>
                <w:sz w:val="20"/>
                <w:szCs w:val="20"/>
                <w:lang w:eastAsia="en-GB"/>
              </w:rPr>
              <w:t>2009/73/EЗ</w:t>
            </w:r>
          </w:p>
          <w:p w14:paraId="4C4EFABB" w14:textId="77777777" w:rsidR="00854ADA" w:rsidRPr="00FF386D"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 xml:space="preserve">Уредба </w:t>
            </w:r>
            <w:r w:rsidRPr="000A2AFE">
              <w:rPr>
                <w:rFonts w:asciiTheme="majorHAnsi" w:eastAsia="Times New Roman" w:hAnsiTheme="majorHAnsi" w:cstheme="majorHAnsi"/>
                <w:color w:val="000000"/>
                <w:sz w:val="20"/>
                <w:szCs w:val="20"/>
                <w:lang w:eastAsia="en-GB"/>
              </w:rPr>
              <w:t xml:space="preserve">(ЕУ) бр. 347/2013 </w:t>
            </w:r>
          </w:p>
        </w:tc>
      </w:tr>
      <w:tr w:rsidR="00854ADA" w:rsidRPr="00FF386D" w14:paraId="56028414"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498F20A5"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80" w:type="dxa"/>
            <w:gridSpan w:val="3"/>
            <w:vMerge/>
            <w:tcBorders>
              <w:top w:val="single" w:sz="8" w:space="0" w:color="auto"/>
              <w:left w:val="single" w:sz="8" w:space="0" w:color="auto"/>
              <w:bottom w:val="single" w:sz="8" w:space="0" w:color="000000"/>
              <w:right w:val="single" w:sz="8" w:space="0" w:color="000000"/>
            </w:tcBorders>
            <w:vAlign w:val="center"/>
            <w:hideMark/>
          </w:tcPr>
          <w:p w14:paraId="12E428EB"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395E107A"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3991E2C2"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80" w:type="dxa"/>
            <w:gridSpan w:val="3"/>
            <w:vMerge/>
            <w:tcBorders>
              <w:top w:val="single" w:sz="8" w:space="0" w:color="auto"/>
              <w:left w:val="single" w:sz="8" w:space="0" w:color="auto"/>
              <w:bottom w:val="single" w:sz="8" w:space="0" w:color="000000"/>
              <w:right w:val="single" w:sz="8" w:space="0" w:color="000000"/>
            </w:tcBorders>
            <w:vAlign w:val="center"/>
            <w:hideMark/>
          </w:tcPr>
          <w:p w14:paraId="2CB5111B"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3AC232F6" w14:textId="77777777" w:rsidTr="0057310C">
        <w:trPr>
          <w:trHeight w:val="780"/>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68AADFB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80" w:type="dxa"/>
            <w:gridSpan w:val="3"/>
            <w:tcBorders>
              <w:top w:val="single" w:sz="8" w:space="0" w:color="auto"/>
              <w:left w:val="nil"/>
              <w:bottom w:val="single" w:sz="8" w:space="0" w:color="auto"/>
              <w:right w:val="single" w:sz="8" w:space="0" w:color="000000"/>
            </w:tcBorders>
            <w:vAlign w:val="center"/>
            <w:hideMark/>
          </w:tcPr>
          <w:p w14:paraId="7E55C061" w14:textId="77777777" w:rsidR="00854ADA" w:rsidRPr="00FF386D" w:rsidRDefault="00854ADA" w:rsidP="00854ADA">
            <w:pPr>
              <w:numPr>
                <w:ilvl w:val="0"/>
                <w:numId w:val="48"/>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Закон о енергетици</w:t>
            </w:r>
          </w:p>
        </w:tc>
      </w:tr>
      <w:tr w:rsidR="00854ADA" w:rsidRPr="00FF386D" w14:paraId="2A545FDF" w14:textId="77777777" w:rsidTr="0057310C">
        <w:trPr>
          <w:trHeight w:val="31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4729EC9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80" w:type="dxa"/>
            <w:gridSpan w:val="3"/>
            <w:tcBorders>
              <w:top w:val="single" w:sz="8" w:space="0" w:color="auto"/>
              <w:left w:val="nil"/>
              <w:bottom w:val="single" w:sz="8" w:space="0" w:color="auto"/>
              <w:right w:val="single" w:sz="8" w:space="0" w:color="000000"/>
            </w:tcBorders>
            <w:vAlign w:val="center"/>
            <w:hideMark/>
          </w:tcPr>
          <w:p w14:paraId="2E666C45"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47 милиона евра</w:t>
            </w:r>
          </w:p>
        </w:tc>
      </w:tr>
      <w:tr w:rsidR="00854ADA" w:rsidRPr="00FF386D" w14:paraId="044218DB" w14:textId="77777777" w:rsidTr="0057310C">
        <w:trPr>
          <w:trHeight w:val="31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01EEA87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80" w:type="dxa"/>
            <w:gridSpan w:val="3"/>
            <w:tcBorders>
              <w:top w:val="single" w:sz="8" w:space="0" w:color="auto"/>
              <w:left w:val="nil"/>
              <w:bottom w:val="single" w:sz="8" w:space="0" w:color="auto"/>
              <w:right w:val="single" w:sz="8" w:space="0" w:color="000000"/>
            </w:tcBorders>
            <w:vAlign w:val="center"/>
            <w:hideMark/>
          </w:tcPr>
          <w:p w14:paraId="3BC15E0E" w14:textId="4FC8FC7B" w:rsidR="00854ADA" w:rsidRPr="00FF386D" w:rsidRDefault="00854ADA" w:rsidP="00854ADA">
            <w:pPr>
              <w:spacing w:after="0" w:line="240" w:lineRule="auto"/>
              <w:jc w:val="both"/>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7E7E55" w:rsidRPr="00FF386D">
              <w:rPr>
                <w:rFonts w:ascii="Calibri Light" w:eastAsia="Times New Roman" w:hAnsi="Calibri Light" w:cs="Calibri Light"/>
                <w:color w:val="000000"/>
                <w:sz w:val="20"/>
                <w:szCs w:val="20"/>
                <w:lang w:eastAsia="en-GB"/>
              </w:rPr>
              <w:t>ска и</w:t>
            </w:r>
            <w:r w:rsidRPr="00FF386D">
              <w:rPr>
                <w:rFonts w:ascii="Calibri Light" w:eastAsia="Times New Roman" w:hAnsi="Calibri Light" w:cs="Calibri Light"/>
                <w:color w:val="000000"/>
                <w:sz w:val="20"/>
                <w:szCs w:val="20"/>
                <w:lang w:eastAsia="en-GB"/>
              </w:rPr>
              <w:t xml:space="preserve"> сопствена средства</w:t>
            </w:r>
          </w:p>
        </w:tc>
      </w:tr>
    </w:tbl>
    <w:p w14:paraId="76C044E6"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23"/>
        <w:gridCol w:w="1358"/>
        <w:gridCol w:w="922"/>
        <w:gridCol w:w="3985"/>
      </w:tblGrid>
      <w:tr w:rsidR="00854ADA" w:rsidRPr="00FF386D" w14:paraId="74889387" w14:textId="77777777" w:rsidTr="0057310C">
        <w:trPr>
          <w:trHeight w:val="780"/>
        </w:trPr>
        <w:tc>
          <w:tcPr>
            <w:tcW w:w="3223"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4920265D" w14:textId="64D46AE3"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358" w:type="dxa"/>
            <w:tcBorders>
              <w:top w:val="single" w:sz="8" w:space="0" w:color="auto"/>
              <w:left w:val="nil"/>
              <w:bottom w:val="single" w:sz="8" w:space="0" w:color="auto"/>
              <w:right w:val="single" w:sz="8" w:space="0" w:color="auto"/>
            </w:tcBorders>
            <w:shd w:val="clear" w:color="auto" w:fill="E7E6E6" w:themeFill="background2"/>
            <w:vAlign w:val="center"/>
            <w:hideMark/>
          </w:tcPr>
          <w:p w14:paraId="716C8C88" w14:textId="206B24C7"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МП_УЕ</w:t>
            </w:r>
            <w:r w:rsidR="00D73CA5" w:rsidRPr="00FF386D">
              <w:rPr>
                <w:rFonts w:ascii="Calibri Light" w:hAnsi="Calibri Light"/>
                <w:b/>
                <w:sz w:val="20"/>
              </w:rPr>
              <w:t>Т</w:t>
            </w:r>
            <w:r w:rsidRPr="00FF386D">
              <w:rPr>
                <w:rFonts w:ascii="Calibri Light" w:hAnsi="Calibri Light"/>
                <w:b/>
                <w:sz w:val="20"/>
              </w:rPr>
              <w:t>8.5</w:t>
            </w:r>
          </w:p>
        </w:tc>
        <w:tc>
          <w:tcPr>
            <w:tcW w:w="922" w:type="dxa"/>
            <w:tcBorders>
              <w:top w:val="single" w:sz="8" w:space="0" w:color="auto"/>
              <w:left w:val="nil"/>
              <w:bottom w:val="single" w:sz="8" w:space="0" w:color="auto"/>
              <w:right w:val="single" w:sz="8" w:space="0" w:color="auto"/>
            </w:tcBorders>
            <w:shd w:val="clear" w:color="auto" w:fill="244062"/>
            <w:vAlign w:val="center"/>
            <w:hideMark/>
          </w:tcPr>
          <w:p w14:paraId="6C5839EF" w14:textId="77777777" w:rsidR="00854ADA" w:rsidRPr="00FF386D" w:rsidRDefault="00854ADA" w:rsidP="00854ADA">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Назив</w:t>
            </w:r>
            <w:r w:rsidRPr="000A2AFE">
              <w:rPr>
                <w:rFonts w:asciiTheme="majorHAnsi" w:eastAsia="Times New Roman" w:hAnsiTheme="majorHAnsi" w:cstheme="majorHAnsi"/>
                <w:b/>
                <w:bCs/>
                <w:color w:val="FFFFFF"/>
                <w:sz w:val="20"/>
                <w:szCs w:val="20"/>
                <w:lang w:eastAsia="en-GB"/>
              </w:rPr>
              <w:t xml:space="preserve">: </w:t>
            </w:r>
          </w:p>
        </w:tc>
        <w:tc>
          <w:tcPr>
            <w:tcW w:w="3985" w:type="dxa"/>
            <w:tcBorders>
              <w:top w:val="single" w:sz="8" w:space="0" w:color="auto"/>
              <w:left w:val="nil"/>
              <w:bottom w:val="single" w:sz="8" w:space="0" w:color="auto"/>
              <w:right w:val="single" w:sz="8" w:space="0" w:color="auto"/>
            </w:tcBorders>
            <w:shd w:val="clear" w:color="auto" w:fill="E7E6E6" w:themeFill="background2"/>
            <w:vAlign w:val="center"/>
            <w:hideMark/>
          </w:tcPr>
          <w:p w14:paraId="0FB381D5" w14:textId="3F78AE84" w:rsidR="00854ADA" w:rsidRPr="00FF386D" w:rsidRDefault="007E7E55"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 xml:space="preserve">Разводни </w:t>
            </w:r>
            <w:r w:rsidR="00854ADA" w:rsidRPr="00FF386D">
              <w:rPr>
                <w:rFonts w:ascii="Calibri Light" w:hAnsi="Calibri Light"/>
                <w:b/>
                <w:sz w:val="20"/>
              </w:rPr>
              <w:t>гасовод РГ 11-02 Лесковац – Владичин Хан – Врање од 71 km</w:t>
            </w:r>
          </w:p>
        </w:tc>
      </w:tr>
      <w:tr w:rsidR="00854ADA" w:rsidRPr="00FF386D" w14:paraId="29547EB2" w14:textId="77777777" w:rsidTr="0057310C">
        <w:trPr>
          <w:trHeight w:val="573"/>
        </w:trPr>
        <w:tc>
          <w:tcPr>
            <w:tcW w:w="3223" w:type="dxa"/>
            <w:tcBorders>
              <w:top w:val="nil"/>
              <w:left w:val="single" w:sz="8" w:space="0" w:color="auto"/>
              <w:bottom w:val="single" w:sz="8" w:space="0" w:color="auto"/>
              <w:right w:val="nil"/>
            </w:tcBorders>
            <w:shd w:val="clear" w:color="000000" w:fill="244062"/>
            <w:vAlign w:val="center"/>
            <w:hideMark/>
          </w:tcPr>
          <w:p w14:paraId="3690A95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Главни циљ: </w:t>
            </w:r>
          </w:p>
        </w:tc>
        <w:tc>
          <w:tcPr>
            <w:tcW w:w="6265" w:type="dxa"/>
            <w:gridSpan w:val="3"/>
            <w:tcBorders>
              <w:top w:val="single" w:sz="8" w:space="0" w:color="auto"/>
              <w:left w:val="nil"/>
              <w:bottom w:val="single" w:sz="8" w:space="0" w:color="auto"/>
              <w:right w:val="single" w:sz="8" w:space="0" w:color="000000"/>
            </w:tcBorders>
            <w:vAlign w:val="center"/>
          </w:tcPr>
          <w:p w14:paraId="66BE306C" w14:textId="4307A6BF"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Инфраструктура, интеграција тржишта у циљу повећања капацитета</w:t>
            </w:r>
            <w:r w:rsidR="00C97B1E" w:rsidRPr="000A2AFE">
              <w:rPr>
                <w:rFonts w:ascii="Calibri Light" w:hAnsi="Calibri Light"/>
                <w:sz w:val="20"/>
              </w:rPr>
              <w:t xml:space="preserve"> </w:t>
            </w:r>
            <w:r w:rsidR="00C97B1E" w:rsidRPr="00FF386D">
              <w:rPr>
                <w:rFonts w:ascii="Calibri Light" w:hAnsi="Calibri Light"/>
                <w:sz w:val="20"/>
              </w:rPr>
              <w:t>којим се тргује</w:t>
            </w:r>
            <w:r w:rsidRPr="00FF386D">
              <w:rPr>
                <w:rFonts w:ascii="Calibri Light" w:hAnsi="Calibri Light"/>
                <w:sz w:val="20"/>
              </w:rPr>
              <w:t xml:space="preserve">, заштита потрошача и </w:t>
            </w:r>
            <w:r w:rsidR="007E7E55" w:rsidRPr="00FF386D">
              <w:rPr>
                <w:rFonts w:ascii="Calibri Light" w:hAnsi="Calibri Light"/>
                <w:sz w:val="20"/>
              </w:rPr>
              <w:t>гасификација Јужне Србије</w:t>
            </w:r>
          </w:p>
        </w:tc>
      </w:tr>
      <w:tr w:rsidR="00854ADA" w:rsidRPr="00FF386D" w14:paraId="496EF02E" w14:textId="77777777" w:rsidTr="0057310C">
        <w:trPr>
          <w:trHeight w:val="315"/>
        </w:trPr>
        <w:tc>
          <w:tcPr>
            <w:tcW w:w="3223" w:type="dxa"/>
            <w:tcBorders>
              <w:top w:val="nil"/>
              <w:left w:val="single" w:sz="8" w:space="0" w:color="auto"/>
              <w:bottom w:val="single" w:sz="8" w:space="0" w:color="auto"/>
              <w:right w:val="single" w:sz="8" w:space="0" w:color="auto"/>
            </w:tcBorders>
            <w:shd w:val="clear" w:color="000000" w:fill="244062"/>
            <w:vAlign w:val="center"/>
            <w:hideMark/>
          </w:tcPr>
          <w:p w14:paraId="298D35E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Квантификовани циљ: </w:t>
            </w:r>
          </w:p>
        </w:tc>
        <w:tc>
          <w:tcPr>
            <w:tcW w:w="6265" w:type="dxa"/>
            <w:gridSpan w:val="3"/>
            <w:tcBorders>
              <w:top w:val="single" w:sz="8" w:space="0" w:color="auto"/>
              <w:left w:val="nil"/>
              <w:bottom w:val="single" w:sz="8" w:space="0" w:color="auto"/>
              <w:right w:val="single" w:sz="8" w:space="0" w:color="000000"/>
            </w:tcBorders>
            <w:vAlign w:val="center"/>
          </w:tcPr>
          <w:p w14:paraId="2958A998"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Повећан капацитет интерконективности</w:t>
            </w:r>
          </w:p>
        </w:tc>
      </w:tr>
      <w:tr w:rsidR="00854ADA" w:rsidRPr="00FF386D" w14:paraId="716596AF" w14:textId="77777777" w:rsidTr="0057310C">
        <w:trPr>
          <w:trHeight w:val="677"/>
        </w:trPr>
        <w:tc>
          <w:tcPr>
            <w:tcW w:w="3223" w:type="dxa"/>
            <w:tcBorders>
              <w:top w:val="nil"/>
              <w:left w:val="single" w:sz="8" w:space="0" w:color="auto"/>
              <w:bottom w:val="single" w:sz="8" w:space="0" w:color="auto"/>
              <w:right w:val="single" w:sz="8" w:space="0" w:color="auto"/>
            </w:tcBorders>
            <w:shd w:val="clear" w:color="000000" w:fill="244062"/>
            <w:vAlign w:val="center"/>
            <w:hideMark/>
          </w:tcPr>
          <w:p w14:paraId="4000E4E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65" w:type="dxa"/>
            <w:gridSpan w:val="3"/>
            <w:tcBorders>
              <w:top w:val="single" w:sz="8" w:space="0" w:color="auto"/>
              <w:left w:val="nil"/>
              <w:bottom w:val="single" w:sz="8" w:space="0" w:color="auto"/>
              <w:right w:val="single" w:sz="8" w:space="0" w:color="000000"/>
            </w:tcBorders>
            <w:vAlign w:val="center"/>
            <w:hideMark/>
          </w:tcPr>
          <w:p w14:paraId="7D599993" w14:textId="1217CC26"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Развој транспортног система гасовода</w:t>
            </w:r>
            <w:r w:rsidR="007E7E55" w:rsidRPr="00FF386D">
              <w:rPr>
                <w:rFonts w:ascii="Calibri Light" w:hAnsi="Calibri Light"/>
                <w:sz w:val="20"/>
              </w:rPr>
              <w:t xml:space="preserve"> </w:t>
            </w:r>
            <w:r w:rsidRPr="00FF386D">
              <w:rPr>
                <w:rFonts w:ascii="Calibri Light" w:hAnsi="Calibri Light"/>
                <w:sz w:val="20"/>
              </w:rPr>
              <w:t>дужин</w:t>
            </w:r>
            <w:r w:rsidR="007E7E55" w:rsidRPr="00FF386D">
              <w:rPr>
                <w:rFonts w:ascii="Calibri Light" w:hAnsi="Calibri Light"/>
                <w:sz w:val="20"/>
              </w:rPr>
              <w:t>е</w:t>
            </w:r>
            <w:r w:rsidRPr="00FF386D">
              <w:rPr>
                <w:rFonts w:ascii="Calibri Light" w:hAnsi="Calibri Light"/>
                <w:sz w:val="20"/>
              </w:rPr>
              <w:t xml:space="preserve"> 71 km, пречник DN </w:t>
            </w:r>
            <w:r w:rsidR="007E7E55" w:rsidRPr="00FF386D">
              <w:rPr>
                <w:rFonts w:ascii="Calibri Light" w:hAnsi="Calibri Light"/>
                <w:sz w:val="20"/>
              </w:rPr>
              <w:t>5</w:t>
            </w:r>
            <w:r w:rsidRPr="00FF386D">
              <w:rPr>
                <w:rFonts w:ascii="Calibri Light" w:hAnsi="Calibri Light"/>
                <w:sz w:val="20"/>
              </w:rPr>
              <w:t>00 mm</w:t>
            </w:r>
            <w:r w:rsidR="007E7E55" w:rsidRPr="00FF386D">
              <w:rPr>
                <w:rFonts w:ascii="Calibri Light" w:hAnsi="Calibri Light"/>
                <w:sz w:val="20"/>
              </w:rPr>
              <w:t>.</w:t>
            </w:r>
          </w:p>
        </w:tc>
      </w:tr>
      <w:tr w:rsidR="00854ADA" w:rsidRPr="00FF386D" w14:paraId="42B9827B" w14:textId="77777777" w:rsidTr="0057310C">
        <w:trPr>
          <w:trHeight w:val="315"/>
        </w:trPr>
        <w:tc>
          <w:tcPr>
            <w:tcW w:w="3223" w:type="dxa"/>
            <w:tcBorders>
              <w:top w:val="nil"/>
              <w:left w:val="single" w:sz="8" w:space="0" w:color="auto"/>
              <w:bottom w:val="single" w:sz="8" w:space="0" w:color="auto"/>
              <w:right w:val="single" w:sz="8" w:space="0" w:color="auto"/>
            </w:tcBorders>
            <w:shd w:val="clear" w:color="000000" w:fill="244062"/>
            <w:vAlign w:val="center"/>
            <w:hideMark/>
          </w:tcPr>
          <w:p w14:paraId="6152A23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65" w:type="dxa"/>
            <w:gridSpan w:val="3"/>
            <w:tcBorders>
              <w:top w:val="single" w:sz="8" w:space="0" w:color="auto"/>
              <w:left w:val="nil"/>
              <w:bottom w:val="single" w:sz="8" w:space="0" w:color="auto"/>
              <w:right w:val="single" w:sz="8" w:space="0" w:color="000000"/>
            </w:tcBorders>
            <w:vAlign w:val="center"/>
            <w:hideMark/>
          </w:tcPr>
          <w:p w14:paraId="3A254449" w14:textId="09AD4605"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2021-20</w:t>
            </w:r>
            <w:r w:rsidR="00147EE6">
              <w:rPr>
                <w:rFonts w:ascii="Calibri Light" w:hAnsi="Calibri Light"/>
                <w:sz w:val="20"/>
              </w:rPr>
              <w:t>26</w:t>
            </w:r>
            <w:r w:rsidRPr="00FF386D">
              <w:rPr>
                <w:rFonts w:ascii="Calibri Light" w:hAnsi="Calibri Light"/>
                <w:sz w:val="20"/>
              </w:rPr>
              <w:t>.</w:t>
            </w:r>
          </w:p>
        </w:tc>
      </w:tr>
      <w:tr w:rsidR="00854ADA" w:rsidRPr="00FF386D" w14:paraId="39BDCE8D" w14:textId="77777777" w:rsidTr="0057310C">
        <w:trPr>
          <w:trHeight w:val="315"/>
        </w:trPr>
        <w:tc>
          <w:tcPr>
            <w:tcW w:w="3223" w:type="dxa"/>
            <w:tcBorders>
              <w:top w:val="nil"/>
              <w:left w:val="single" w:sz="8" w:space="0" w:color="auto"/>
              <w:bottom w:val="single" w:sz="8" w:space="0" w:color="auto"/>
              <w:right w:val="single" w:sz="8" w:space="0" w:color="auto"/>
            </w:tcBorders>
            <w:shd w:val="clear" w:color="000000" w:fill="244062"/>
            <w:vAlign w:val="center"/>
            <w:hideMark/>
          </w:tcPr>
          <w:p w14:paraId="61CF79F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65" w:type="dxa"/>
            <w:gridSpan w:val="3"/>
            <w:tcBorders>
              <w:top w:val="single" w:sz="8" w:space="0" w:color="auto"/>
              <w:left w:val="nil"/>
              <w:bottom w:val="single" w:sz="8" w:space="0" w:color="auto"/>
              <w:right w:val="single" w:sz="8" w:space="0" w:color="000000"/>
            </w:tcBorders>
            <w:vAlign w:val="center"/>
            <w:hideMark/>
          </w:tcPr>
          <w:p w14:paraId="6F876F18"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Инвестиција</w:t>
            </w:r>
          </w:p>
        </w:tc>
      </w:tr>
      <w:tr w:rsidR="00854ADA" w:rsidRPr="00FF386D" w14:paraId="3C22D19E" w14:textId="77777777" w:rsidTr="0057310C">
        <w:trPr>
          <w:trHeight w:val="315"/>
        </w:trPr>
        <w:tc>
          <w:tcPr>
            <w:tcW w:w="3223" w:type="dxa"/>
            <w:tcBorders>
              <w:top w:val="nil"/>
              <w:left w:val="single" w:sz="8" w:space="0" w:color="auto"/>
              <w:bottom w:val="single" w:sz="8" w:space="0" w:color="auto"/>
              <w:right w:val="single" w:sz="8" w:space="0" w:color="auto"/>
            </w:tcBorders>
            <w:shd w:val="clear" w:color="000000" w:fill="244062"/>
            <w:vAlign w:val="center"/>
            <w:hideMark/>
          </w:tcPr>
          <w:p w14:paraId="41A9C12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65" w:type="dxa"/>
            <w:gridSpan w:val="3"/>
            <w:tcBorders>
              <w:top w:val="single" w:sz="8" w:space="0" w:color="auto"/>
              <w:left w:val="nil"/>
              <w:bottom w:val="single" w:sz="8" w:space="0" w:color="auto"/>
              <w:right w:val="single" w:sz="8" w:space="0" w:color="000000"/>
            </w:tcBorders>
            <w:vAlign w:val="center"/>
            <w:hideMark/>
          </w:tcPr>
          <w:p w14:paraId="2864BFE7"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Гас</w:t>
            </w:r>
          </w:p>
        </w:tc>
      </w:tr>
      <w:tr w:rsidR="00854ADA" w:rsidRPr="00FF386D" w14:paraId="114AD8A8" w14:textId="77777777" w:rsidTr="0057310C">
        <w:trPr>
          <w:trHeight w:val="315"/>
        </w:trPr>
        <w:tc>
          <w:tcPr>
            <w:tcW w:w="3223" w:type="dxa"/>
            <w:tcBorders>
              <w:top w:val="nil"/>
              <w:left w:val="single" w:sz="8" w:space="0" w:color="auto"/>
              <w:bottom w:val="single" w:sz="8" w:space="0" w:color="auto"/>
              <w:right w:val="single" w:sz="8" w:space="0" w:color="auto"/>
            </w:tcBorders>
            <w:shd w:val="clear" w:color="000000" w:fill="244062"/>
            <w:vAlign w:val="center"/>
            <w:hideMark/>
          </w:tcPr>
          <w:p w14:paraId="1ED065E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65" w:type="dxa"/>
            <w:gridSpan w:val="3"/>
            <w:tcBorders>
              <w:top w:val="single" w:sz="8" w:space="0" w:color="auto"/>
              <w:left w:val="nil"/>
              <w:bottom w:val="single" w:sz="8" w:space="0" w:color="auto"/>
              <w:right w:val="single" w:sz="8" w:space="0" w:color="000000"/>
            </w:tcBorders>
            <w:vAlign w:val="center"/>
            <w:hideMark/>
          </w:tcPr>
          <w:p w14:paraId="3BE31289" w14:textId="6C7121B1" w:rsidR="00854ADA" w:rsidRPr="00FF386D"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Транспортгас</w:t>
            </w:r>
            <w:r w:rsidR="007E7E55" w:rsidRPr="00FF386D">
              <w:rPr>
                <w:rFonts w:ascii="Calibri Light" w:hAnsi="Calibri Light"/>
                <w:sz w:val="20"/>
              </w:rPr>
              <w:t xml:space="preserve">, </w:t>
            </w:r>
            <w:r w:rsidR="007E7E55" w:rsidRPr="000A2AFE">
              <w:rPr>
                <w:rFonts w:ascii="Calibri Light" w:hAnsi="Calibri Light"/>
                <w:sz w:val="20"/>
              </w:rPr>
              <w:t>Yugorozgas Transport</w:t>
            </w:r>
          </w:p>
        </w:tc>
      </w:tr>
      <w:tr w:rsidR="00854ADA" w:rsidRPr="00FF386D" w14:paraId="5BD99370" w14:textId="77777777" w:rsidTr="0057310C">
        <w:trPr>
          <w:trHeight w:val="315"/>
        </w:trPr>
        <w:tc>
          <w:tcPr>
            <w:tcW w:w="3223" w:type="dxa"/>
            <w:tcBorders>
              <w:top w:val="nil"/>
              <w:left w:val="single" w:sz="8" w:space="0" w:color="auto"/>
              <w:bottom w:val="single" w:sz="8" w:space="0" w:color="auto"/>
              <w:right w:val="nil"/>
            </w:tcBorders>
            <w:shd w:val="clear" w:color="000000" w:fill="244062"/>
            <w:vAlign w:val="center"/>
            <w:hideMark/>
          </w:tcPr>
          <w:p w14:paraId="7F66520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65" w:type="dxa"/>
            <w:gridSpan w:val="3"/>
            <w:tcBorders>
              <w:top w:val="single" w:sz="8" w:space="0" w:color="auto"/>
              <w:left w:val="nil"/>
              <w:bottom w:val="single" w:sz="8" w:space="0" w:color="auto"/>
              <w:right w:val="single" w:sz="8" w:space="0" w:color="000000"/>
            </w:tcBorders>
            <w:vAlign w:val="center"/>
            <w:hideMark/>
          </w:tcPr>
          <w:p w14:paraId="13671006" w14:textId="77777777" w:rsidR="00854ADA" w:rsidRPr="00FF386D"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рударства и енергетике</w:t>
            </w:r>
          </w:p>
          <w:p w14:paraId="4671DD2D" w14:textId="77777777" w:rsidR="00EA6A1B" w:rsidRPr="00EA6A1B" w:rsidRDefault="00EA6A1B" w:rsidP="000A2AFE">
            <w:pPr>
              <w:pStyle w:val="ListParagraph"/>
              <w:numPr>
                <w:ilvl w:val="0"/>
                <w:numId w:val="44"/>
              </w:numPr>
              <w:spacing w:after="0"/>
              <w:ind w:left="714" w:hanging="357"/>
              <w:rPr>
                <w:rFonts w:asciiTheme="majorHAnsi" w:eastAsia="Times New Roman" w:hAnsiTheme="majorHAnsi" w:cstheme="majorHAnsi"/>
                <w:color w:val="000000"/>
                <w:sz w:val="20"/>
                <w:szCs w:val="20"/>
                <w:lang w:eastAsia="en-GB"/>
              </w:rPr>
            </w:pPr>
            <w:r w:rsidRPr="00EA6A1B">
              <w:rPr>
                <w:rFonts w:asciiTheme="majorHAnsi" w:eastAsia="Times New Roman" w:hAnsiTheme="majorHAnsi" w:cstheme="majorHAnsi"/>
                <w:color w:val="000000"/>
                <w:sz w:val="20"/>
                <w:szCs w:val="20"/>
                <w:lang w:eastAsia="en-GB"/>
              </w:rPr>
              <w:t>Министарство грађевинарства, саобраћаја и инфраструктуре</w:t>
            </w:r>
          </w:p>
          <w:p w14:paraId="37D594B4" w14:textId="4415695F" w:rsidR="00854ADA" w:rsidRPr="00FF386D"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финансија</w:t>
            </w:r>
          </w:p>
          <w:p w14:paraId="5022A325" w14:textId="2BDB5907" w:rsidR="00854ADA" w:rsidRPr="00EA6A1B" w:rsidRDefault="00854ADA" w:rsidP="00EA6A1B">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Влада </w:t>
            </w:r>
            <w:r w:rsidR="00EA6A1B">
              <w:rPr>
                <w:rFonts w:asciiTheme="majorHAnsi" w:eastAsia="Times New Roman" w:hAnsiTheme="majorHAnsi" w:cstheme="majorHAnsi"/>
                <w:color w:val="000000"/>
                <w:sz w:val="20"/>
                <w:szCs w:val="20"/>
                <w:lang w:eastAsia="en-GB"/>
              </w:rPr>
              <w:t xml:space="preserve">Републике </w:t>
            </w:r>
            <w:r w:rsidRPr="00FF386D">
              <w:rPr>
                <w:rFonts w:asciiTheme="majorHAnsi" w:eastAsia="Times New Roman" w:hAnsiTheme="majorHAnsi" w:cstheme="majorHAnsi"/>
                <w:color w:val="000000"/>
                <w:sz w:val="20"/>
                <w:szCs w:val="20"/>
                <w:lang w:eastAsia="en-GB"/>
              </w:rPr>
              <w:t>Србије</w:t>
            </w:r>
          </w:p>
        </w:tc>
      </w:tr>
      <w:tr w:rsidR="00854ADA" w:rsidRPr="00FF386D" w14:paraId="4DB09114" w14:textId="77777777" w:rsidTr="0057310C">
        <w:trPr>
          <w:trHeight w:val="315"/>
        </w:trPr>
        <w:tc>
          <w:tcPr>
            <w:tcW w:w="3223" w:type="dxa"/>
            <w:tcBorders>
              <w:top w:val="nil"/>
              <w:left w:val="single" w:sz="8" w:space="0" w:color="auto"/>
              <w:bottom w:val="single" w:sz="8" w:space="0" w:color="auto"/>
              <w:right w:val="nil"/>
            </w:tcBorders>
            <w:shd w:val="clear" w:color="000000" w:fill="244062"/>
            <w:vAlign w:val="center"/>
            <w:hideMark/>
          </w:tcPr>
          <w:p w14:paraId="44FA171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65" w:type="dxa"/>
            <w:gridSpan w:val="3"/>
            <w:tcBorders>
              <w:top w:val="single" w:sz="8" w:space="0" w:color="auto"/>
              <w:left w:val="nil"/>
              <w:bottom w:val="single" w:sz="8" w:space="0" w:color="auto"/>
              <w:right w:val="single" w:sz="8" w:space="0" w:color="000000"/>
            </w:tcBorders>
            <w:vAlign w:val="center"/>
            <w:hideMark/>
          </w:tcPr>
          <w:p w14:paraId="49549A4E"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Коначна одлука о улагању, грађевинска дозвола, датум пуштања у рад, датум почетка комерцијалног рада</w:t>
            </w:r>
          </w:p>
        </w:tc>
      </w:tr>
      <w:tr w:rsidR="00854ADA" w:rsidRPr="00FF386D" w14:paraId="1CCA8263" w14:textId="77777777" w:rsidTr="0057310C">
        <w:trPr>
          <w:trHeight w:val="469"/>
        </w:trPr>
        <w:tc>
          <w:tcPr>
            <w:tcW w:w="3223" w:type="dxa"/>
            <w:tcBorders>
              <w:top w:val="nil"/>
              <w:left w:val="single" w:sz="8" w:space="0" w:color="auto"/>
              <w:bottom w:val="single" w:sz="8" w:space="0" w:color="auto"/>
              <w:right w:val="single" w:sz="8" w:space="0" w:color="auto"/>
            </w:tcBorders>
            <w:shd w:val="clear" w:color="000000" w:fill="244062"/>
            <w:vAlign w:val="center"/>
            <w:hideMark/>
          </w:tcPr>
          <w:p w14:paraId="09BA97F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65" w:type="dxa"/>
            <w:gridSpan w:val="3"/>
            <w:tcBorders>
              <w:top w:val="single" w:sz="8" w:space="0" w:color="auto"/>
              <w:left w:val="nil"/>
              <w:bottom w:val="single" w:sz="8" w:space="0" w:color="auto"/>
              <w:right w:val="single" w:sz="8" w:space="0" w:color="000000"/>
            </w:tcBorders>
            <w:vAlign w:val="center"/>
            <w:hideMark/>
          </w:tcPr>
          <w:p w14:paraId="5663ACB3" w14:textId="77777777" w:rsidR="00854ADA" w:rsidRPr="00FF386D" w:rsidRDefault="00854ADA" w:rsidP="00854ADA">
            <w:pPr>
              <w:numPr>
                <w:ilvl w:val="0"/>
                <w:numId w:val="48"/>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Енергетска сигурност</w:t>
            </w:r>
          </w:p>
          <w:p w14:paraId="48E5390D" w14:textId="77777777" w:rsidR="00854ADA" w:rsidRPr="00FF386D" w:rsidRDefault="00854ADA" w:rsidP="00854ADA">
            <w:pPr>
              <w:numPr>
                <w:ilvl w:val="0"/>
                <w:numId w:val="48"/>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Декарбонизација</w:t>
            </w:r>
          </w:p>
        </w:tc>
      </w:tr>
      <w:tr w:rsidR="00854ADA" w:rsidRPr="00FF386D" w14:paraId="5EB24651" w14:textId="77777777" w:rsidTr="0057310C">
        <w:trPr>
          <w:trHeight w:val="450"/>
        </w:trPr>
        <w:tc>
          <w:tcPr>
            <w:tcW w:w="3223"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1FF8E190" w14:textId="3274F011"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65"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29F223BC" w14:textId="77777777" w:rsidR="00854ADA" w:rsidRPr="000A2AFE"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 xml:space="preserve">Директива </w:t>
            </w:r>
            <w:r w:rsidRPr="000A2AFE">
              <w:rPr>
                <w:rFonts w:asciiTheme="majorHAnsi" w:eastAsia="Times New Roman" w:hAnsiTheme="majorHAnsi" w:cstheme="majorHAnsi"/>
                <w:color w:val="000000"/>
                <w:sz w:val="20"/>
                <w:szCs w:val="20"/>
                <w:lang w:eastAsia="en-GB"/>
              </w:rPr>
              <w:t>2009/73/EЗ</w:t>
            </w:r>
          </w:p>
          <w:p w14:paraId="4951B5A5" w14:textId="0478325D" w:rsidR="00854ADA" w:rsidRPr="00FF386D"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 xml:space="preserve">Уредба </w:t>
            </w:r>
            <w:r w:rsidRPr="000A2AFE">
              <w:rPr>
                <w:rFonts w:asciiTheme="majorHAnsi" w:eastAsia="Times New Roman" w:hAnsiTheme="majorHAnsi" w:cstheme="majorHAnsi"/>
                <w:color w:val="000000"/>
                <w:sz w:val="20"/>
                <w:szCs w:val="20"/>
                <w:lang w:eastAsia="en-GB"/>
              </w:rPr>
              <w:t>(ЕУ) бр. 347/2013</w:t>
            </w:r>
          </w:p>
        </w:tc>
      </w:tr>
      <w:tr w:rsidR="00854ADA" w:rsidRPr="00FF386D" w14:paraId="4634AC5F"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78408749"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65" w:type="dxa"/>
            <w:gridSpan w:val="3"/>
            <w:vMerge/>
            <w:tcBorders>
              <w:top w:val="single" w:sz="8" w:space="0" w:color="auto"/>
              <w:left w:val="single" w:sz="8" w:space="0" w:color="auto"/>
              <w:bottom w:val="single" w:sz="8" w:space="0" w:color="000000"/>
              <w:right w:val="single" w:sz="8" w:space="0" w:color="000000"/>
            </w:tcBorders>
            <w:vAlign w:val="center"/>
            <w:hideMark/>
          </w:tcPr>
          <w:p w14:paraId="5E92F101"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7162F20A"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6DC59FC3"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65" w:type="dxa"/>
            <w:gridSpan w:val="3"/>
            <w:vMerge/>
            <w:tcBorders>
              <w:top w:val="single" w:sz="8" w:space="0" w:color="auto"/>
              <w:left w:val="single" w:sz="8" w:space="0" w:color="auto"/>
              <w:bottom w:val="single" w:sz="8" w:space="0" w:color="000000"/>
              <w:right w:val="single" w:sz="8" w:space="0" w:color="000000"/>
            </w:tcBorders>
            <w:vAlign w:val="center"/>
            <w:hideMark/>
          </w:tcPr>
          <w:p w14:paraId="518EE138"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0AB7A2DC" w14:textId="77777777" w:rsidTr="0057310C">
        <w:trPr>
          <w:trHeight w:val="780"/>
        </w:trPr>
        <w:tc>
          <w:tcPr>
            <w:tcW w:w="3223" w:type="dxa"/>
            <w:tcBorders>
              <w:top w:val="nil"/>
              <w:left w:val="single" w:sz="8" w:space="0" w:color="auto"/>
              <w:bottom w:val="single" w:sz="8" w:space="0" w:color="auto"/>
              <w:right w:val="single" w:sz="8" w:space="0" w:color="auto"/>
            </w:tcBorders>
            <w:shd w:val="clear" w:color="000000" w:fill="244062"/>
            <w:vAlign w:val="center"/>
            <w:hideMark/>
          </w:tcPr>
          <w:p w14:paraId="7BEC5B8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65" w:type="dxa"/>
            <w:gridSpan w:val="3"/>
            <w:tcBorders>
              <w:top w:val="single" w:sz="8" w:space="0" w:color="auto"/>
              <w:left w:val="nil"/>
              <w:bottom w:val="single" w:sz="8" w:space="0" w:color="auto"/>
              <w:right w:val="single" w:sz="8" w:space="0" w:color="000000"/>
            </w:tcBorders>
            <w:vAlign w:val="center"/>
            <w:hideMark/>
          </w:tcPr>
          <w:p w14:paraId="3580011E" w14:textId="77777777" w:rsidR="00854ADA" w:rsidRPr="00FF386D" w:rsidRDefault="00854ADA" w:rsidP="00854ADA">
            <w:pPr>
              <w:numPr>
                <w:ilvl w:val="0"/>
                <w:numId w:val="49"/>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Закон о енергетици</w:t>
            </w:r>
          </w:p>
        </w:tc>
      </w:tr>
      <w:tr w:rsidR="00854ADA" w:rsidRPr="00FF386D" w14:paraId="79677D31" w14:textId="77777777" w:rsidTr="0057310C">
        <w:trPr>
          <w:trHeight w:val="315"/>
        </w:trPr>
        <w:tc>
          <w:tcPr>
            <w:tcW w:w="3223" w:type="dxa"/>
            <w:tcBorders>
              <w:top w:val="nil"/>
              <w:left w:val="single" w:sz="8" w:space="0" w:color="auto"/>
              <w:bottom w:val="single" w:sz="8" w:space="0" w:color="auto"/>
              <w:right w:val="single" w:sz="8" w:space="0" w:color="auto"/>
            </w:tcBorders>
            <w:shd w:val="clear" w:color="000000" w:fill="244062"/>
            <w:vAlign w:val="center"/>
            <w:hideMark/>
          </w:tcPr>
          <w:p w14:paraId="41EF85E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65" w:type="dxa"/>
            <w:gridSpan w:val="3"/>
            <w:tcBorders>
              <w:top w:val="single" w:sz="8" w:space="0" w:color="auto"/>
              <w:left w:val="nil"/>
              <w:bottom w:val="single" w:sz="8" w:space="0" w:color="auto"/>
              <w:right w:val="single" w:sz="8" w:space="0" w:color="000000"/>
            </w:tcBorders>
            <w:vAlign w:val="center"/>
            <w:hideMark/>
          </w:tcPr>
          <w:p w14:paraId="1CF18AD3"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50 милиона евра</w:t>
            </w:r>
          </w:p>
        </w:tc>
      </w:tr>
      <w:tr w:rsidR="00854ADA" w:rsidRPr="00FF386D" w14:paraId="5A3410A6" w14:textId="77777777" w:rsidTr="0057310C">
        <w:trPr>
          <w:trHeight w:val="315"/>
        </w:trPr>
        <w:tc>
          <w:tcPr>
            <w:tcW w:w="3223" w:type="dxa"/>
            <w:tcBorders>
              <w:top w:val="nil"/>
              <w:left w:val="single" w:sz="8" w:space="0" w:color="auto"/>
              <w:bottom w:val="single" w:sz="8" w:space="0" w:color="auto"/>
              <w:right w:val="single" w:sz="8" w:space="0" w:color="auto"/>
            </w:tcBorders>
            <w:shd w:val="clear" w:color="000000" w:fill="244062"/>
            <w:vAlign w:val="center"/>
            <w:hideMark/>
          </w:tcPr>
          <w:p w14:paraId="123AB80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65" w:type="dxa"/>
            <w:gridSpan w:val="3"/>
            <w:tcBorders>
              <w:top w:val="single" w:sz="8" w:space="0" w:color="auto"/>
              <w:left w:val="nil"/>
              <w:bottom w:val="single" w:sz="8" w:space="0" w:color="auto"/>
              <w:right w:val="single" w:sz="8" w:space="0" w:color="000000"/>
            </w:tcBorders>
            <w:vAlign w:val="center"/>
            <w:hideMark/>
          </w:tcPr>
          <w:p w14:paraId="71B224A0" w14:textId="27314786"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101415" w:rsidRPr="00FF386D">
              <w:rPr>
                <w:rFonts w:ascii="Calibri Light" w:eastAsia="Times New Roman" w:hAnsi="Calibri Light" w:cs="Calibri Light"/>
                <w:color w:val="000000"/>
                <w:sz w:val="20"/>
                <w:szCs w:val="20"/>
                <w:lang w:eastAsia="en-GB"/>
              </w:rPr>
              <w:t>ска</w:t>
            </w:r>
            <w:r w:rsidRPr="00FF386D">
              <w:rPr>
                <w:rFonts w:ascii="Calibri Light" w:eastAsia="Times New Roman" w:hAnsi="Calibri Light" w:cs="Calibri Light"/>
                <w:color w:val="000000"/>
                <w:sz w:val="20"/>
                <w:szCs w:val="20"/>
                <w:lang w:eastAsia="en-GB"/>
              </w:rPr>
              <w:t xml:space="preserve"> сопствена средства</w:t>
            </w:r>
          </w:p>
        </w:tc>
      </w:tr>
    </w:tbl>
    <w:p w14:paraId="1A6F9A55"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08"/>
        <w:gridCol w:w="1358"/>
        <w:gridCol w:w="919"/>
        <w:gridCol w:w="4003"/>
      </w:tblGrid>
      <w:tr w:rsidR="00854ADA" w:rsidRPr="00FF386D" w14:paraId="2080790D" w14:textId="77777777" w:rsidTr="0057310C">
        <w:trPr>
          <w:trHeight w:val="780"/>
        </w:trPr>
        <w:tc>
          <w:tcPr>
            <w:tcW w:w="3208"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4680632E" w14:textId="1230CCE4"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358" w:type="dxa"/>
            <w:tcBorders>
              <w:top w:val="single" w:sz="8" w:space="0" w:color="auto"/>
              <w:left w:val="nil"/>
              <w:bottom w:val="single" w:sz="8" w:space="0" w:color="auto"/>
              <w:right w:val="single" w:sz="8" w:space="0" w:color="auto"/>
            </w:tcBorders>
            <w:shd w:val="clear" w:color="auto" w:fill="E7E6E6" w:themeFill="background2"/>
            <w:vAlign w:val="center"/>
            <w:hideMark/>
          </w:tcPr>
          <w:p w14:paraId="4669AD4F" w14:textId="4332BC27"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МП_УЕ</w:t>
            </w:r>
            <w:r w:rsidR="00C97B1E" w:rsidRPr="00FF386D">
              <w:rPr>
                <w:rFonts w:ascii="Calibri Light" w:hAnsi="Calibri Light"/>
                <w:b/>
                <w:sz w:val="20"/>
              </w:rPr>
              <w:t>Т</w:t>
            </w:r>
            <w:r w:rsidRPr="00FF386D">
              <w:rPr>
                <w:rFonts w:ascii="Calibri Light" w:hAnsi="Calibri Light"/>
                <w:b/>
                <w:sz w:val="20"/>
              </w:rPr>
              <w:t>8.6</w:t>
            </w:r>
          </w:p>
        </w:tc>
        <w:tc>
          <w:tcPr>
            <w:tcW w:w="919" w:type="dxa"/>
            <w:tcBorders>
              <w:top w:val="single" w:sz="8" w:space="0" w:color="auto"/>
              <w:left w:val="nil"/>
              <w:bottom w:val="single" w:sz="8" w:space="0" w:color="auto"/>
              <w:right w:val="single" w:sz="8" w:space="0" w:color="auto"/>
            </w:tcBorders>
            <w:shd w:val="clear" w:color="auto" w:fill="244062"/>
            <w:vAlign w:val="center"/>
            <w:hideMark/>
          </w:tcPr>
          <w:p w14:paraId="5F2A821E" w14:textId="77777777" w:rsidR="00854ADA" w:rsidRPr="00FF386D" w:rsidRDefault="00854ADA" w:rsidP="00854ADA">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Назив</w:t>
            </w:r>
            <w:r w:rsidRPr="000A2AFE">
              <w:rPr>
                <w:rFonts w:asciiTheme="majorHAnsi" w:eastAsia="Times New Roman" w:hAnsiTheme="majorHAnsi" w:cstheme="majorHAnsi"/>
                <w:b/>
                <w:bCs/>
                <w:color w:val="FFFFFF"/>
                <w:sz w:val="20"/>
                <w:szCs w:val="20"/>
                <w:lang w:eastAsia="en-GB"/>
              </w:rPr>
              <w:t xml:space="preserve">: </w:t>
            </w:r>
          </w:p>
        </w:tc>
        <w:tc>
          <w:tcPr>
            <w:tcW w:w="4003" w:type="dxa"/>
            <w:tcBorders>
              <w:top w:val="single" w:sz="8" w:space="0" w:color="auto"/>
              <w:left w:val="nil"/>
              <w:bottom w:val="single" w:sz="8" w:space="0" w:color="auto"/>
              <w:right w:val="single" w:sz="8" w:space="0" w:color="auto"/>
            </w:tcBorders>
            <w:shd w:val="clear" w:color="auto" w:fill="E7E6E6" w:themeFill="background2"/>
            <w:vAlign w:val="center"/>
            <w:hideMark/>
          </w:tcPr>
          <w:p w14:paraId="7CCEB19B" w14:textId="77777777"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Гасовод – интерконекција са Црном Гором</w:t>
            </w:r>
          </w:p>
        </w:tc>
      </w:tr>
      <w:tr w:rsidR="00854ADA" w:rsidRPr="00FF386D" w14:paraId="178B95F5" w14:textId="77777777" w:rsidTr="0057310C">
        <w:trPr>
          <w:trHeight w:val="623"/>
        </w:trPr>
        <w:tc>
          <w:tcPr>
            <w:tcW w:w="3208" w:type="dxa"/>
            <w:tcBorders>
              <w:top w:val="nil"/>
              <w:left w:val="single" w:sz="8" w:space="0" w:color="auto"/>
              <w:bottom w:val="single" w:sz="8" w:space="0" w:color="auto"/>
              <w:right w:val="nil"/>
            </w:tcBorders>
            <w:shd w:val="clear" w:color="000000" w:fill="244062"/>
            <w:vAlign w:val="center"/>
            <w:hideMark/>
          </w:tcPr>
          <w:p w14:paraId="7BB0B75E" w14:textId="7530F5A8"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80" w:type="dxa"/>
            <w:gridSpan w:val="3"/>
            <w:tcBorders>
              <w:top w:val="single" w:sz="8" w:space="0" w:color="auto"/>
              <w:left w:val="nil"/>
              <w:bottom w:val="single" w:sz="8" w:space="0" w:color="auto"/>
              <w:right w:val="single" w:sz="8" w:space="0" w:color="000000"/>
            </w:tcBorders>
            <w:vAlign w:val="center"/>
          </w:tcPr>
          <w:p w14:paraId="45779493" w14:textId="6112643C" w:rsidR="00854ADA" w:rsidRPr="00FF386D" w:rsidRDefault="00AC17C6"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Инфраструктура, интеграција тржишта у циљу повећања капацитета којим се може трговати, заштита потрошача и побољшана конкурентност, као и регионална интеграција</w:t>
            </w:r>
          </w:p>
        </w:tc>
      </w:tr>
      <w:tr w:rsidR="00854ADA" w:rsidRPr="00FF386D" w14:paraId="5E49FC72" w14:textId="77777777" w:rsidTr="0057310C">
        <w:trPr>
          <w:trHeight w:val="31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6104A793" w14:textId="724D1C06"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80" w:type="dxa"/>
            <w:gridSpan w:val="3"/>
            <w:tcBorders>
              <w:top w:val="single" w:sz="8" w:space="0" w:color="auto"/>
              <w:left w:val="nil"/>
              <w:bottom w:val="single" w:sz="8" w:space="0" w:color="auto"/>
              <w:right w:val="single" w:sz="8" w:space="0" w:color="000000"/>
            </w:tcBorders>
            <w:vAlign w:val="center"/>
          </w:tcPr>
          <w:p w14:paraId="0A9DAEDD"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Повећан капацитет интерконективности</w:t>
            </w:r>
          </w:p>
        </w:tc>
      </w:tr>
      <w:tr w:rsidR="00854ADA" w:rsidRPr="00FF386D" w14:paraId="1AD0E1A9" w14:textId="77777777" w:rsidTr="0057310C">
        <w:trPr>
          <w:trHeight w:val="623"/>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5766890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80" w:type="dxa"/>
            <w:gridSpan w:val="3"/>
            <w:tcBorders>
              <w:top w:val="single" w:sz="8" w:space="0" w:color="auto"/>
              <w:left w:val="nil"/>
              <w:bottom w:val="single" w:sz="8" w:space="0" w:color="auto"/>
              <w:right w:val="single" w:sz="8" w:space="0" w:color="000000"/>
            </w:tcBorders>
            <w:vAlign w:val="center"/>
            <w:hideMark/>
          </w:tcPr>
          <w:p w14:paraId="13A4267E" w14:textId="737B3890" w:rsidR="00854ADA" w:rsidRPr="00FF386D" w:rsidRDefault="00854ADA" w:rsidP="00854ADA">
            <w:pPr>
              <w:widowControl w:val="0"/>
              <w:suppressLineNumbers/>
              <w:suppressAutoHyphens/>
              <w:spacing w:after="0" w:line="240" w:lineRule="auto"/>
              <w:jc w:val="both"/>
              <w:rPr>
                <w:rFonts w:ascii="Calibri Light" w:eastAsia="NSimSun" w:hAnsi="Calibri Light" w:cs="Mangal"/>
                <w:kern w:val="2"/>
                <w:sz w:val="20"/>
                <w:szCs w:val="24"/>
                <w:lang w:eastAsia="zh-CN" w:bidi="hi-IN"/>
              </w:rPr>
            </w:pPr>
            <w:r w:rsidRPr="00FF386D">
              <w:rPr>
                <w:rFonts w:ascii="Calibri Light" w:eastAsia="NSimSun" w:hAnsi="Calibri Light" w:cs="Mangal"/>
                <w:kern w:val="2"/>
                <w:sz w:val="20"/>
                <w:szCs w:val="24"/>
                <w:lang w:eastAsia="zh-CN" w:bidi="hi-IN"/>
              </w:rPr>
              <w:t>Капацитет 1,5 милијарди m</w:t>
            </w:r>
            <w:r w:rsidRPr="00FF386D">
              <w:rPr>
                <w:rFonts w:ascii="Calibri Light" w:eastAsia="NSimSun" w:hAnsi="Calibri Light" w:cs="Mangal"/>
                <w:kern w:val="2"/>
                <w:sz w:val="20"/>
                <w:szCs w:val="24"/>
                <w:vertAlign w:val="superscript"/>
                <w:lang w:eastAsia="zh-CN" w:bidi="hi-IN"/>
              </w:rPr>
              <w:t>3</w:t>
            </w:r>
            <w:r w:rsidRPr="00FF386D">
              <w:rPr>
                <w:rFonts w:ascii="Calibri Light" w:eastAsia="NSimSun" w:hAnsi="Calibri Light" w:cs="Mangal"/>
                <w:kern w:val="2"/>
                <w:sz w:val="20"/>
                <w:szCs w:val="24"/>
                <w:lang w:eastAsia="zh-CN" w:bidi="hi-IN"/>
              </w:rPr>
              <w:t>/годишње. Изградња гасовода – интерконекције са Црном Гором допринеће дивер</w:t>
            </w:r>
            <w:r w:rsidR="00101415" w:rsidRPr="00FF386D">
              <w:rPr>
                <w:rFonts w:ascii="Calibri Light" w:eastAsia="NSimSun" w:hAnsi="Calibri Light" w:cs="Mangal"/>
                <w:kern w:val="2"/>
                <w:sz w:val="20"/>
                <w:szCs w:val="24"/>
                <w:lang w:eastAsia="zh-CN" w:bidi="hi-IN"/>
              </w:rPr>
              <w:t>с</w:t>
            </w:r>
            <w:r w:rsidRPr="00FF386D">
              <w:rPr>
                <w:rFonts w:ascii="Calibri Light" w:eastAsia="NSimSun" w:hAnsi="Calibri Light" w:cs="Mangal"/>
                <w:kern w:val="2"/>
                <w:sz w:val="20"/>
                <w:szCs w:val="24"/>
                <w:lang w:eastAsia="zh-CN" w:bidi="hi-IN"/>
              </w:rPr>
              <w:t>ификацији путева снабдевања гасом и омогућиће повезивање преко другог националног гасног система са Јадранско-јонским гасоводом</w:t>
            </w:r>
            <w:r w:rsidRPr="00FF386D">
              <w:rPr>
                <w:rFonts w:ascii="Calibri Light" w:eastAsia="NSimSun" w:hAnsi="Calibri Light" w:cs="Mangal"/>
                <w:i/>
                <w:iCs/>
                <w:kern w:val="2"/>
                <w:sz w:val="20"/>
                <w:szCs w:val="24"/>
                <w:lang w:eastAsia="zh-CN" w:bidi="hi-IN"/>
              </w:rPr>
              <w:t>.</w:t>
            </w:r>
          </w:p>
          <w:p w14:paraId="1B656BCB" w14:textId="77777777" w:rsidR="00854ADA" w:rsidRPr="00FF386D" w:rsidRDefault="00854ADA" w:rsidP="00854ADA">
            <w:pPr>
              <w:widowControl w:val="0"/>
              <w:suppressLineNumbers/>
              <w:suppressAutoHyphens/>
              <w:spacing w:after="0" w:line="240" w:lineRule="auto"/>
              <w:jc w:val="both"/>
              <w:rPr>
                <w:rFonts w:ascii="Calibri Light" w:eastAsia="NSimSun" w:hAnsi="Calibri Light" w:cs="Mangal"/>
                <w:kern w:val="2"/>
                <w:sz w:val="20"/>
                <w:szCs w:val="24"/>
                <w:lang w:eastAsia="zh-CN" w:bidi="hi-IN"/>
              </w:rPr>
            </w:pPr>
            <w:r w:rsidRPr="00FF386D">
              <w:rPr>
                <w:rFonts w:ascii="Calibri Light" w:eastAsia="NSimSun" w:hAnsi="Calibri Light" w:cs="Mangal"/>
                <w:kern w:val="2"/>
                <w:sz w:val="20"/>
                <w:szCs w:val="24"/>
                <w:lang w:eastAsia="zh-CN" w:bidi="hi-IN"/>
              </w:rPr>
              <w:t>Пројекат доприноси повећању сигурности снабдевања, развоју тржишта и повећању конкурентности на тржишту природног гаса.</w:t>
            </w:r>
          </w:p>
          <w:p w14:paraId="1CE5112E" w14:textId="133904E6"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Дивер</w:t>
            </w:r>
            <w:r w:rsidR="000E3F4A">
              <w:rPr>
                <w:rFonts w:ascii="Calibri Light" w:hAnsi="Calibri Light"/>
                <w:sz w:val="20"/>
              </w:rPr>
              <w:t>с</w:t>
            </w:r>
            <w:r w:rsidRPr="00FF386D">
              <w:rPr>
                <w:rFonts w:ascii="Calibri Light" w:hAnsi="Calibri Light"/>
                <w:sz w:val="20"/>
              </w:rPr>
              <w:t>ификација извора снабдевања природним гасом у складу са европским правилима; дужина деонице-114 km, пречник DN 500 mm, максимални улазни притисак 50 bar, минимални улазни притисак 16 bar, година почетка улагања 2024, планирана година пуштања у рад 2028, планирана годишња количина 1000 милиона Sm³/годишње, макс. дневни (технички) капацитет 2,7 милиона Sm³/дан</w:t>
            </w:r>
          </w:p>
        </w:tc>
      </w:tr>
      <w:tr w:rsidR="00854ADA" w:rsidRPr="00FF386D" w14:paraId="2225A297" w14:textId="77777777" w:rsidTr="0057310C">
        <w:trPr>
          <w:trHeight w:val="31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5A6DE2F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80" w:type="dxa"/>
            <w:gridSpan w:val="3"/>
            <w:tcBorders>
              <w:top w:val="single" w:sz="8" w:space="0" w:color="auto"/>
              <w:left w:val="nil"/>
              <w:bottom w:val="single" w:sz="8" w:space="0" w:color="auto"/>
              <w:right w:val="single" w:sz="8" w:space="0" w:color="000000"/>
            </w:tcBorders>
            <w:vAlign w:val="center"/>
            <w:hideMark/>
          </w:tcPr>
          <w:p w14:paraId="44A8FE03"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2026-2030.</w:t>
            </w:r>
          </w:p>
        </w:tc>
      </w:tr>
      <w:tr w:rsidR="00854ADA" w:rsidRPr="00FF386D" w14:paraId="4F2A84A0" w14:textId="77777777" w:rsidTr="0057310C">
        <w:trPr>
          <w:trHeight w:val="31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18DB4B1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80" w:type="dxa"/>
            <w:gridSpan w:val="3"/>
            <w:tcBorders>
              <w:top w:val="single" w:sz="8" w:space="0" w:color="auto"/>
              <w:left w:val="nil"/>
              <w:bottom w:val="single" w:sz="8" w:space="0" w:color="auto"/>
              <w:right w:val="single" w:sz="8" w:space="0" w:color="000000"/>
            </w:tcBorders>
            <w:vAlign w:val="center"/>
            <w:hideMark/>
          </w:tcPr>
          <w:p w14:paraId="2FDD12E4"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Инвестиција</w:t>
            </w:r>
          </w:p>
        </w:tc>
      </w:tr>
      <w:tr w:rsidR="00854ADA" w:rsidRPr="00FF386D" w14:paraId="0276A1C6" w14:textId="77777777" w:rsidTr="0057310C">
        <w:trPr>
          <w:trHeight w:val="31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2D2ED92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80" w:type="dxa"/>
            <w:gridSpan w:val="3"/>
            <w:tcBorders>
              <w:top w:val="single" w:sz="8" w:space="0" w:color="auto"/>
              <w:left w:val="nil"/>
              <w:bottom w:val="single" w:sz="8" w:space="0" w:color="auto"/>
              <w:right w:val="single" w:sz="8" w:space="0" w:color="000000"/>
            </w:tcBorders>
            <w:vAlign w:val="center"/>
            <w:hideMark/>
          </w:tcPr>
          <w:p w14:paraId="794C62C9"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Гас</w:t>
            </w:r>
          </w:p>
        </w:tc>
      </w:tr>
      <w:tr w:rsidR="00854ADA" w:rsidRPr="00FF386D" w14:paraId="4D6D3D08" w14:textId="77777777" w:rsidTr="0057310C">
        <w:trPr>
          <w:trHeight w:val="31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1C28DA0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80" w:type="dxa"/>
            <w:gridSpan w:val="3"/>
            <w:tcBorders>
              <w:top w:val="single" w:sz="8" w:space="0" w:color="auto"/>
              <w:left w:val="nil"/>
              <w:bottom w:val="single" w:sz="8" w:space="0" w:color="auto"/>
              <w:right w:val="single" w:sz="8" w:space="0" w:color="000000"/>
            </w:tcBorders>
            <w:vAlign w:val="center"/>
            <w:hideMark/>
          </w:tcPr>
          <w:p w14:paraId="66405798" w14:textId="77777777" w:rsidR="00854ADA" w:rsidRPr="00FF386D"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Транспортгас </w:t>
            </w:r>
          </w:p>
        </w:tc>
      </w:tr>
      <w:tr w:rsidR="00854ADA" w:rsidRPr="00FF386D" w14:paraId="384882A7" w14:textId="77777777" w:rsidTr="0057310C">
        <w:trPr>
          <w:trHeight w:val="315"/>
        </w:trPr>
        <w:tc>
          <w:tcPr>
            <w:tcW w:w="3208" w:type="dxa"/>
            <w:tcBorders>
              <w:top w:val="nil"/>
              <w:left w:val="single" w:sz="8" w:space="0" w:color="auto"/>
              <w:bottom w:val="single" w:sz="8" w:space="0" w:color="auto"/>
              <w:right w:val="nil"/>
            </w:tcBorders>
            <w:shd w:val="clear" w:color="000000" w:fill="244062"/>
            <w:vAlign w:val="center"/>
            <w:hideMark/>
          </w:tcPr>
          <w:p w14:paraId="72CB3B7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80" w:type="dxa"/>
            <w:gridSpan w:val="3"/>
            <w:tcBorders>
              <w:top w:val="single" w:sz="8" w:space="0" w:color="auto"/>
              <w:left w:val="nil"/>
              <w:bottom w:val="single" w:sz="8" w:space="0" w:color="auto"/>
              <w:right w:val="single" w:sz="8" w:space="0" w:color="000000"/>
            </w:tcBorders>
            <w:vAlign w:val="center"/>
            <w:hideMark/>
          </w:tcPr>
          <w:p w14:paraId="79B4283A" w14:textId="77777777" w:rsidR="00854ADA" w:rsidRPr="00FF386D"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рударства и енергетике</w:t>
            </w:r>
          </w:p>
          <w:p w14:paraId="2637E903" w14:textId="77777777" w:rsidR="002A52BC" w:rsidRPr="002A52BC" w:rsidRDefault="002A52BC" w:rsidP="000A2AFE">
            <w:pPr>
              <w:pStyle w:val="ListParagraph"/>
              <w:numPr>
                <w:ilvl w:val="0"/>
                <w:numId w:val="44"/>
              </w:numPr>
              <w:spacing w:after="0"/>
              <w:ind w:left="714" w:hanging="357"/>
              <w:rPr>
                <w:rFonts w:asciiTheme="majorHAnsi" w:eastAsia="Times New Roman" w:hAnsiTheme="majorHAnsi" w:cstheme="majorHAnsi"/>
                <w:color w:val="000000"/>
                <w:sz w:val="20"/>
                <w:szCs w:val="20"/>
                <w:lang w:eastAsia="en-GB"/>
              </w:rPr>
            </w:pPr>
            <w:r w:rsidRPr="002A52BC">
              <w:rPr>
                <w:rFonts w:asciiTheme="majorHAnsi" w:eastAsia="Times New Roman" w:hAnsiTheme="majorHAnsi" w:cstheme="majorHAnsi"/>
                <w:color w:val="000000"/>
                <w:sz w:val="20"/>
                <w:szCs w:val="20"/>
                <w:lang w:eastAsia="en-GB"/>
              </w:rPr>
              <w:t>Министарство грађевинарства, саобраћаја и инфраструктуре</w:t>
            </w:r>
          </w:p>
          <w:p w14:paraId="113D0F8F" w14:textId="0D7DA2A1" w:rsidR="00854ADA" w:rsidRPr="00FF386D"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финансија</w:t>
            </w:r>
          </w:p>
          <w:p w14:paraId="5901E203" w14:textId="2C08CA05" w:rsidR="00854ADA" w:rsidRPr="002A52BC" w:rsidRDefault="00854ADA" w:rsidP="002A52BC">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Влада </w:t>
            </w:r>
            <w:r w:rsidR="002A52BC">
              <w:rPr>
                <w:rFonts w:asciiTheme="majorHAnsi" w:eastAsia="Times New Roman" w:hAnsiTheme="majorHAnsi" w:cstheme="majorHAnsi"/>
                <w:color w:val="000000"/>
                <w:sz w:val="20"/>
                <w:szCs w:val="20"/>
                <w:lang w:eastAsia="en-GB"/>
              </w:rPr>
              <w:t xml:space="preserve">Републике </w:t>
            </w:r>
            <w:r w:rsidRPr="00FF386D">
              <w:rPr>
                <w:rFonts w:asciiTheme="majorHAnsi" w:eastAsia="Times New Roman" w:hAnsiTheme="majorHAnsi" w:cstheme="majorHAnsi"/>
                <w:color w:val="000000"/>
                <w:sz w:val="20"/>
                <w:szCs w:val="20"/>
                <w:lang w:eastAsia="en-GB"/>
              </w:rPr>
              <w:t>Србије</w:t>
            </w:r>
          </w:p>
        </w:tc>
      </w:tr>
      <w:tr w:rsidR="00854ADA" w:rsidRPr="00FF386D" w14:paraId="42771946" w14:textId="77777777" w:rsidTr="0057310C">
        <w:trPr>
          <w:trHeight w:val="315"/>
        </w:trPr>
        <w:tc>
          <w:tcPr>
            <w:tcW w:w="3208" w:type="dxa"/>
            <w:tcBorders>
              <w:top w:val="nil"/>
              <w:left w:val="single" w:sz="8" w:space="0" w:color="auto"/>
              <w:bottom w:val="single" w:sz="8" w:space="0" w:color="auto"/>
              <w:right w:val="nil"/>
            </w:tcBorders>
            <w:shd w:val="clear" w:color="000000" w:fill="244062"/>
            <w:vAlign w:val="center"/>
            <w:hideMark/>
          </w:tcPr>
          <w:p w14:paraId="50C91A4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80" w:type="dxa"/>
            <w:gridSpan w:val="3"/>
            <w:tcBorders>
              <w:top w:val="single" w:sz="8" w:space="0" w:color="auto"/>
              <w:left w:val="nil"/>
              <w:bottom w:val="single" w:sz="8" w:space="0" w:color="auto"/>
              <w:right w:val="single" w:sz="8" w:space="0" w:color="000000"/>
            </w:tcBorders>
            <w:vAlign w:val="center"/>
            <w:hideMark/>
          </w:tcPr>
          <w:p w14:paraId="4E021F49"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Коначна одлука о улагању, грађевинска дозвола, датум пуштања у рад, датум почетка комерцијалног рада</w:t>
            </w:r>
          </w:p>
        </w:tc>
      </w:tr>
      <w:tr w:rsidR="00854ADA" w:rsidRPr="00FF386D" w14:paraId="614BFE7A" w14:textId="77777777" w:rsidTr="0057310C">
        <w:trPr>
          <w:trHeight w:val="58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6E115F8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80" w:type="dxa"/>
            <w:gridSpan w:val="3"/>
            <w:tcBorders>
              <w:top w:val="single" w:sz="8" w:space="0" w:color="auto"/>
              <w:left w:val="nil"/>
              <w:bottom w:val="single" w:sz="8" w:space="0" w:color="auto"/>
              <w:right w:val="single" w:sz="8" w:space="0" w:color="000000"/>
            </w:tcBorders>
            <w:vAlign w:val="center"/>
            <w:hideMark/>
          </w:tcPr>
          <w:p w14:paraId="2B8ABABA" w14:textId="77777777" w:rsidR="00854ADA" w:rsidRPr="000A2AFE" w:rsidRDefault="00854ADA" w:rsidP="00854ADA">
            <w:pPr>
              <w:numPr>
                <w:ilvl w:val="0"/>
                <w:numId w:val="44"/>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color w:val="000000"/>
                <w:sz w:val="20"/>
              </w:rPr>
              <w:t>Енергетска сигурност</w:t>
            </w:r>
          </w:p>
          <w:p w14:paraId="042A2EA4" w14:textId="77777777" w:rsidR="00854ADA" w:rsidRPr="00FF386D"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Декарбонизација</w:t>
            </w:r>
          </w:p>
        </w:tc>
      </w:tr>
      <w:tr w:rsidR="00854ADA" w:rsidRPr="00FF386D" w14:paraId="18DE8524" w14:textId="77777777" w:rsidTr="0057310C">
        <w:trPr>
          <w:trHeight w:val="450"/>
        </w:trPr>
        <w:tc>
          <w:tcPr>
            <w:tcW w:w="3208"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3B6E714D" w14:textId="3A9C16B4"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8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6FD6ECB" w14:textId="77777777" w:rsidR="00854ADA" w:rsidRPr="000A2AFE"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 xml:space="preserve">Директива </w:t>
            </w:r>
            <w:r w:rsidRPr="000A2AFE">
              <w:rPr>
                <w:rFonts w:asciiTheme="majorHAnsi" w:eastAsia="Times New Roman" w:hAnsiTheme="majorHAnsi" w:cstheme="majorHAnsi"/>
                <w:color w:val="000000"/>
                <w:sz w:val="20"/>
                <w:szCs w:val="20"/>
                <w:lang w:eastAsia="en-GB"/>
              </w:rPr>
              <w:t>2009/73/EЗ</w:t>
            </w:r>
          </w:p>
          <w:p w14:paraId="139010BB" w14:textId="77777777" w:rsidR="00854ADA" w:rsidRPr="00FF386D"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 xml:space="preserve">Уредба </w:t>
            </w:r>
            <w:r w:rsidRPr="000A2AFE">
              <w:rPr>
                <w:rFonts w:asciiTheme="majorHAnsi" w:eastAsia="Times New Roman" w:hAnsiTheme="majorHAnsi" w:cstheme="majorHAnsi"/>
                <w:color w:val="000000"/>
                <w:sz w:val="20"/>
                <w:szCs w:val="20"/>
                <w:lang w:eastAsia="en-GB"/>
              </w:rPr>
              <w:t xml:space="preserve">(ЕУ) бр. 347/2013 </w:t>
            </w:r>
          </w:p>
        </w:tc>
      </w:tr>
      <w:tr w:rsidR="00854ADA" w:rsidRPr="00FF386D" w14:paraId="1F6D1718"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2BA67A31"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80" w:type="dxa"/>
            <w:gridSpan w:val="3"/>
            <w:vMerge/>
            <w:tcBorders>
              <w:top w:val="single" w:sz="8" w:space="0" w:color="auto"/>
              <w:left w:val="single" w:sz="8" w:space="0" w:color="auto"/>
              <w:bottom w:val="single" w:sz="8" w:space="0" w:color="000000"/>
              <w:right w:val="single" w:sz="8" w:space="0" w:color="000000"/>
            </w:tcBorders>
            <w:vAlign w:val="center"/>
            <w:hideMark/>
          </w:tcPr>
          <w:p w14:paraId="2CAA618D"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1121FAB3"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371BC863"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80" w:type="dxa"/>
            <w:gridSpan w:val="3"/>
            <w:vMerge/>
            <w:tcBorders>
              <w:top w:val="single" w:sz="8" w:space="0" w:color="auto"/>
              <w:left w:val="single" w:sz="8" w:space="0" w:color="auto"/>
              <w:bottom w:val="single" w:sz="8" w:space="0" w:color="000000"/>
              <w:right w:val="single" w:sz="8" w:space="0" w:color="000000"/>
            </w:tcBorders>
            <w:vAlign w:val="center"/>
            <w:hideMark/>
          </w:tcPr>
          <w:p w14:paraId="3FE3618B"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4FB03DD9" w14:textId="77777777" w:rsidTr="0057310C">
        <w:trPr>
          <w:trHeight w:val="780"/>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5F9B596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80" w:type="dxa"/>
            <w:gridSpan w:val="3"/>
            <w:tcBorders>
              <w:top w:val="single" w:sz="8" w:space="0" w:color="auto"/>
              <w:left w:val="nil"/>
              <w:bottom w:val="single" w:sz="8" w:space="0" w:color="auto"/>
              <w:right w:val="single" w:sz="8" w:space="0" w:color="000000"/>
            </w:tcBorders>
            <w:vAlign w:val="center"/>
            <w:hideMark/>
          </w:tcPr>
          <w:p w14:paraId="65C19CFB" w14:textId="77777777" w:rsidR="00854ADA" w:rsidRPr="00FF386D" w:rsidRDefault="00854ADA" w:rsidP="00854ADA">
            <w:pPr>
              <w:numPr>
                <w:ilvl w:val="0"/>
                <w:numId w:val="50"/>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Закон о енергетици</w:t>
            </w:r>
          </w:p>
        </w:tc>
      </w:tr>
      <w:tr w:rsidR="00854ADA" w:rsidRPr="00FF386D" w14:paraId="42A4C34F" w14:textId="77777777" w:rsidTr="0057310C">
        <w:trPr>
          <w:trHeight w:val="31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3741808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80" w:type="dxa"/>
            <w:gridSpan w:val="3"/>
            <w:tcBorders>
              <w:top w:val="single" w:sz="8" w:space="0" w:color="auto"/>
              <w:left w:val="nil"/>
              <w:bottom w:val="single" w:sz="8" w:space="0" w:color="auto"/>
              <w:right w:val="single" w:sz="8" w:space="0" w:color="000000"/>
            </w:tcBorders>
            <w:vAlign w:val="center"/>
            <w:hideMark/>
          </w:tcPr>
          <w:p w14:paraId="66ED8F71"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60 милиона евра</w:t>
            </w:r>
          </w:p>
        </w:tc>
      </w:tr>
      <w:tr w:rsidR="00854ADA" w:rsidRPr="00FF386D" w14:paraId="299E0B21" w14:textId="77777777" w:rsidTr="0057310C">
        <w:trPr>
          <w:trHeight w:val="31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45E57EB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80" w:type="dxa"/>
            <w:gridSpan w:val="3"/>
            <w:tcBorders>
              <w:top w:val="single" w:sz="8" w:space="0" w:color="auto"/>
              <w:left w:val="nil"/>
              <w:bottom w:val="single" w:sz="8" w:space="0" w:color="auto"/>
              <w:right w:val="single" w:sz="8" w:space="0" w:color="000000"/>
            </w:tcBorders>
            <w:vAlign w:val="center"/>
            <w:hideMark/>
          </w:tcPr>
          <w:p w14:paraId="103A5A11" w14:textId="3C3A0353" w:rsidR="00854ADA" w:rsidRPr="00FF386D" w:rsidRDefault="00854ADA" w:rsidP="00854ADA">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101415" w:rsidRPr="00FF386D">
              <w:rPr>
                <w:rFonts w:ascii="Calibri Light" w:eastAsia="Times New Roman" w:hAnsi="Calibri Light" w:cs="Calibri Light"/>
                <w:color w:val="000000"/>
                <w:sz w:val="20"/>
                <w:szCs w:val="20"/>
                <w:lang w:eastAsia="en-GB"/>
              </w:rPr>
              <w:t>ска и</w:t>
            </w:r>
            <w:r w:rsidRPr="00FF386D">
              <w:rPr>
                <w:rFonts w:ascii="Calibri Light" w:eastAsia="Times New Roman" w:hAnsi="Calibri Light" w:cs="Calibri Light"/>
                <w:color w:val="000000"/>
                <w:sz w:val="20"/>
                <w:szCs w:val="20"/>
                <w:lang w:eastAsia="en-GB"/>
              </w:rPr>
              <w:t xml:space="preserve"> сопствена средства</w:t>
            </w:r>
          </w:p>
        </w:tc>
      </w:tr>
    </w:tbl>
    <w:p w14:paraId="2F1DB95F"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08"/>
        <w:gridCol w:w="1358"/>
        <w:gridCol w:w="919"/>
        <w:gridCol w:w="4003"/>
      </w:tblGrid>
      <w:tr w:rsidR="00854ADA" w:rsidRPr="00FF386D" w14:paraId="27EC65F1" w14:textId="77777777" w:rsidTr="0057310C">
        <w:trPr>
          <w:trHeight w:val="780"/>
        </w:trPr>
        <w:tc>
          <w:tcPr>
            <w:tcW w:w="3208"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225D36D3" w14:textId="27D4C15F"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358" w:type="dxa"/>
            <w:tcBorders>
              <w:top w:val="single" w:sz="8" w:space="0" w:color="auto"/>
              <w:left w:val="nil"/>
              <w:bottom w:val="single" w:sz="8" w:space="0" w:color="auto"/>
              <w:right w:val="single" w:sz="8" w:space="0" w:color="auto"/>
            </w:tcBorders>
            <w:shd w:val="clear" w:color="auto" w:fill="E7E6E6" w:themeFill="background2"/>
            <w:vAlign w:val="center"/>
            <w:hideMark/>
          </w:tcPr>
          <w:p w14:paraId="6D0CF0CD" w14:textId="2A75C5C6"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МП_УЕ</w:t>
            </w:r>
            <w:r w:rsidR="00AC17C6" w:rsidRPr="00FF386D">
              <w:rPr>
                <w:rFonts w:ascii="Calibri Light" w:hAnsi="Calibri Light"/>
                <w:b/>
                <w:sz w:val="20"/>
              </w:rPr>
              <w:t>Т</w:t>
            </w:r>
            <w:r w:rsidRPr="00FF386D">
              <w:rPr>
                <w:rFonts w:ascii="Calibri Light" w:hAnsi="Calibri Light"/>
                <w:b/>
                <w:sz w:val="20"/>
              </w:rPr>
              <w:t>8.7</w:t>
            </w:r>
          </w:p>
        </w:tc>
        <w:tc>
          <w:tcPr>
            <w:tcW w:w="919" w:type="dxa"/>
            <w:tcBorders>
              <w:top w:val="single" w:sz="8" w:space="0" w:color="auto"/>
              <w:left w:val="nil"/>
              <w:bottom w:val="single" w:sz="8" w:space="0" w:color="auto"/>
              <w:right w:val="single" w:sz="8" w:space="0" w:color="auto"/>
            </w:tcBorders>
            <w:shd w:val="clear" w:color="auto" w:fill="244062"/>
            <w:vAlign w:val="center"/>
            <w:hideMark/>
          </w:tcPr>
          <w:p w14:paraId="247ED280" w14:textId="77777777" w:rsidR="00854ADA" w:rsidRPr="00FF386D" w:rsidRDefault="00854ADA" w:rsidP="00854ADA">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Назив</w:t>
            </w:r>
            <w:r w:rsidRPr="000A2AFE">
              <w:rPr>
                <w:rFonts w:asciiTheme="majorHAnsi" w:eastAsia="Times New Roman" w:hAnsiTheme="majorHAnsi" w:cstheme="majorHAnsi"/>
                <w:b/>
                <w:bCs/>
                <w:color w:val="FFFFFF"/>
                <w:sz w:val="20"/>
                <w:szCs w:val="20"/>
                <w:lang w:eastAsia="en-GB"/>
              </w:rPr>
              <w:t xml:space="preserve">: </w:t>
            </w:r>
          </w:p>
        </w:tc>
        <w:tc>
          <w:tcPr>
            <w:tcW w:w="4003" w:type="dxa"/>
            <w:tcBorders>
              <w:top w:val="single" w:sz="8" w:space="0" w:color="auto"/>
              <w:left w:val="nil"/>
              <w:bottom w:val="single" w:sz="8" w:space="0" w:color="auto"/>
              <w:right w:val="single" w:sz="8" w:space="0" w:color="auto"/>
            </w:tcBorders>
            <w:shd w:val="clear" w:color="auto" w:fill="E7E6E6" w:themeFill="background2"/>
            <w:vAlign w:val="center"/>
            <w:hideMark/>
          </w:tcPr>
          <w:p w14:paraId="305E2CE0" w14:textId="77777777"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Пројекат гасне интерконекције Србије и Македоније од 70,7 km, са капацитетом од 0,8 милијарди m</w:t>
            </w:r>
            <w:r w:rsidRPr="00FF386D">
              <w:rPr>
                <w:rFonts w:ascii="Calibri Light" w:hAnsi="Calibri Light"/>
                <w:b/>
                <w:sz w:val="20"/>
                <w:vertAlign w:val="superscript"/>
              </w:rPr>
              <w:t>3</w:t>
            </w:r>
            <w:r w:rsidRPr="00FF386D">
              <w:rPr>
                <w:rFonts w:ascii="Calibri Light" w:hAnsi="Calibri Light"/>
                <w:b/>
                <w:sz w:val="20"/>
              </w:rPr>
              <w:t>/годишње</w:t>
            </w:r>
          </w:p>
        </w:tc>
      </w:tr>
      <w:tr w:rsidR="00854ADA" w:rsidRPr="00FF386D" w14:paraId="3CB1E43A" w14:textId="77777777" w:rsidTr="0057310C">
        <w:trPr>
          <w:trHeight w:val="730"/>
        </w:trPr>
        <w:tc>
          <w:tcPr>
            <w:tcW w:w="3208" w:type="dxa"/>
            <w:tcBorders>
              <w:top w:val="nil"/>
              <w:left w:val="single" w:sz="8" w:space="0" w:color="auto"/>
              <w:bottom w:val="single" w:sz="8" w:space="0" w:color="auto"/>
              <w:right w:val="nil"/>
            </w:tcBorders>
            <w:shd w:val="clear" w:color="000000" w:fill="244062"/>
            <w:vAlign w:val="center"/>
            <w:hideMark/>
          </w:tcPr>
          <w:p w14:paraId="330F9CDA" w14:textId="280B2CE9"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80" w:type="dxa"/>
            <w:gridSpan w:val="3"/>
            <w:tcBorders>
              <w:top w:val="single" w:sz="8" w:space="0" w:color="auto"/>
              <w:left w:val="nil"/>
              <w:bottom w:val="single" w:sz="8" w:space="0" w:color="auto"/>
              <w:right w:val="single" w:sz="8" w:space="0" w:color="000000"/>
            </w:tcBorders>
            <w:vAlign w:val="center"/>
          </w:tcPr>
          <w:p w14:paraId="790129EA" w14:textId="1625D9F7" w:rsidR="00854ADA" w:rsidRPr="00FF386D" w:rsidRDefault="00AC17C6"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Инфраструктура, интеграција тржишта у циљу повећања капацитета којим се може трговати, заштита потрошача и побољшана конкурентност, као и регионална интеграција</w:t>
            </w:r>
          </w:p>
        </w:tc>
      </w:tr>
      <w:tr w:rsidR="00854ADA" w:rsidRPr="00FF386D" w14:paraId="5B3E73E1" w14:textId="77777777" w:rsidTr="0057310C">
        <w:trPr>
          <w:trHeight w:val="542"/>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0F8D6668" w14:textId="4FC6A07D"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80" w:type="dxa"/>
            <w:gridSpan w:val="3"/>
            <w:tcBorders>
              <w:top w:val="single" w:sz="8" w:space="0" w:color="auto"/>
              <w:left w:val="nil"/>
              <w:bottom w:val="single" w:sz="8" w:space="0" w:color="auto"/>
              <w:right w:val="single" w:sz="8" w:space="0" w:color="000000"/>
            </w:tcBorders>
            <w:vAlign w:val="center"/>
          </w:tcPr>
          <w:p w14:paraId="3E9E5562"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Повећан капацитет интерконективности</w:t>
            </w:r>
          </w:p>
        </w:tc>
      </w:tr>
      <w:tr w:rsidR="00854ADA" w:rsidRPr="00FF386D" w14:paraId="0840115C" w14:textId="77777777" w:rsidTr="0057310C">
        <w:trPr>
          <w:trHeight w:val="71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05F0726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Опис:</w:t>
            </w:r>
          </w:p>
        </w:tc>
        <w:tc>
          <w:tcPr>
            <w:tcW w:w="6280" w:type="dxa"/>
            <w:gridSpan w:val="3"/>
            <w:tcBorders>
              <w:top w:val="single" w:sz="8" w:space="0" w:color="auto"/>
              <w:left w:val="nil"/>
              <w:bottom w:val="single" w:sz="8" w:space="0" w:color="auto"/>
              <w:right w:val="single" w:sz="8" w:space="0" w:color="000000"/>
            </w:tcBorders>
            <w:vAlign w:val="center"/>
            <w:hideMark/>
          </w:tcPr>
          <w:p w14:paraId="7462AAD1" w14:textId="7DC64D66"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Интерконектор Гас_11 Србија-Македонија</w:t>
            </w:r>
          </w:p>
        </w:tc>
      </w:tr>
      <w:tr w:rsidR="00854ADA" w:rsidRPr="00FF386D" w14:paraId="14DFA487" w14:textId="77777777" w:rsidTr="0057310C">
        <w:trPr>
          <w:trHeight w:val="31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1CE6AC9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80" w:type="dxa"/>
            <w:gridSpan w:val="3"/>
            <w:tcBorders>
              <w:top w:val="single" w:sz="8" w:space="0" w:color="auto"/>
              <w:left w:val="nil"/>
              <w:bottom w:val="single" w:sz="8" w:space="0" w:color="auto"/>
              <w:right w:val="single" w:sz="8" w:space="0" w:color="000000"/>
            </w:tcBorders>
            <w:vAlign w:val="center"/>
            <w:hideMark/>
          </w:tcPr>
          <w:p w14:paraId="58782992"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2021-2030.</w:t>
            </w:r>
          </w:p>
        </w:tc>
      </w:tr>
      <w:tr w:rsidR="00854ADA" w:rsidRPr="00FF386D" w14:paraId="12618F92" w14:textId="77777777" w:rsidTr="0057310C">
        <w:trPr>
          <w:trHeight w:val="31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62B7846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80" w:type="dxa"/>
            <w:gridSpan w:val="3"/>
            <w:tcBorders>
              <w:top w:val="single" w:sz="8" w:space="0" w:color="auto"/>
              <w:left w:val="nil"/>
              <w:bottom w:val="single" w:sz="8" w:space="0" w:color="auto"/>
              <w:right w:val="single" w:sz="8" w:space="0" w:color="000000"/>
            </w:tcBorders>
            <w:vAlign w:val="center"/>
            <w:hideMark/>
          </w:tcPr>
          <w:p w14:paraId="355ED6C2"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Инвестиција</w:t>
            </w:r>
          </w:p>
        </w:tc>
      </w:tr>
      <w:tr w:rsidR="00854ADA" w:rsidRPr="00FF386D" w14:paraId="127BFECC" w14:textId="77777777" w:rsidTr="0057310C">
        <w:trPr>
          <w:trHeight w:val="31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43CD854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80" w:type="dxa"/>
            <w:gridSpan w:val="3"/>
            <w:tcBorders>
              <w:top w:val="single" w:sz="8" w:space="0" w:color="auto"/>
              <w:left w:val="nil"/>
              <w:bottom w:val="single" w:sz="8" w:space="0" w:color="auto"/>
              <w:right w:val="single" w:sz="8" w:space="0" w:color="000000"/>
            </w:tcBorders>
            <w:vAlign w:val="center"/>
            <w:hideMark/>
          </w:tcPr>
          <w:p w14:paraId="3E7E6881"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Гас</w:t>
            </w:r>
          </w:p>
        </w:tc>
      </w:tr>
      <w:tr w:rsidR="00854ADA" w:rsidRPr="00FF386D" w14:paraId="35E38304" w14:textId="77777777" w:rsidTr="0057310C">
        <w:trPr>
          <w:trHeight w:val="31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39EA9B1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80" w:type="dxa"/>
            <w:gridSpan w:val="3"/>
            <w:tcBorders>
              <w:top w:val="single" w:sz="8" w:space="0" w:color="auto"/>
              <w:left w:val="nil"/>
              <w:bottom w:val="single" w:sz="8" w:space="0" w:color="auto"/>
              <w:right w:val="single" w:sz="8" w:space="0" w:color="000000"/>
            </w:tcBorders>
            <w:vAlign w:val="center"/>
            <w:hideMark/>
          </w:tcPr>
          <w:p w14:paraId="784CD064" w14:textId="77777777" w:rsidR="00854ADA" w:rsidRPr="00FF386D"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Транспортгас </w:t>
            </w:r>
          </w:p>
        </w:tc>
      </w:tr>
      <w:tr w:rsidR="00854ADA" w:rsidRPr="00FF386D" w14:paraId="77DFA9AE" w14:textId="77777777" w:rsidTr="0057310C">
        <w:trPr>
          <w:trHeight w:val="315"/>
        </w:trPr>
        <w:tc>
          <w:tcPr>
            <w:tcW w:w="3208" w:type="dxa"/>
            <w:tcBorders>
              <w:top w:val="nil"/>
              <w:left w:val="single" w:sz="8" w:space="0" w:color="auto"/>
              <w:bottom w:val="single" w:sz="8" w:space="0" w:color="auto"/>
              <w:right w:val="nil"/>
            </w:tcBorders>
            <w:shd w:val="clear" w:color="000000" w:fill="244062"/>
            <w:vAlign w:val="center"/>
            <w:hideMark/>
          </w:tcPr>
          <w:p w14:paraId="7425FF8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80" w:type="dxa"/>
            <w:gridSpan w:val="3"/>
            <w:tcBorders>
              <w:top w:val="single" w:sz="8" w:space="0" w:color="auto"/>
              <w:left w:val="nil"/>
              <w:bottom w:val="single" w:sz="8" w:space="0" w:color="auto"/>
              <w:right w:val="single" w:sz="8" w:space="0" w:color="000000"/>
            </w:tcBorders>
            <w:vAlign w:val="center"/>
            <w:hideMark/>
          </w:tcPr>
          <w:p w14:paraId="70C7C38A" w14:textId="5A25FA2B" w:rsidR="00854ADA" w:rsidRPr="00FF386D" w:rsidRDefault="00101415"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рударства и енергетике</w:t>
            </w:r>
          </w:p>
          <w:p w14:paraId="061502F5" w14:textId="77777777" w:rsidR="00854ADA" w:rsidRPr="00FF386D"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Министарство </w:t>
            </w:r>
            <w:r w:rsidR="00101415" w:rsidRPr="00FF386D">
              <w:rPr>
                <w:rFonts w:asciiTheme="majorHAnsi" w:eastAsia="Times New Roman" w:hAnsiTheme="majorHAnsi" w:cstheme="majorHAnsi"/>
                <w:color w:val="000000"/>
                <w:sz w:val="20"/>
                <w:szCs w:val="20"/>
                <w:lang w:eastAsia="en-GB"/>
              </w:rPr>
              <w:t>финансија</w:t>
            </w:r>
          </w:p>
          <w:p w14:paraId="3AA570A8" w14:textId="35855F5D" w:rsidR="00101415" w:rsidRPr="00992104" w:rsidRDefault="00101415" w:rsidP="00992104">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грађевинарства, саобраћаја и инфраструктуре</w:t>
            </w:r>
          </w:p>
        </w:tc>
      </w:tr>
      <w:tr w:rsidR="00854ADA" w:rsidRPr="00FF386D" w14:paraId="5DC5A202" w14:textId="77777777" w:rsidTr="0057310C">
        <w:trPr>
          <w:trHeight w:val="315"/>
        </w:trPr>
        <w:tc>
          <w:tcPr>
            <w:tcW w:w="3208" w:type="dxa"/>
            <w:tcBorders>
              <w:top w:val="nil"/>
              <w:left w:val="single" w:sz="8" w:space="0" w:color="auto"/>
              <w:bottom w:val="single" w:sz="8" w:space="0" w:color="auto"/>
              <w:right w:val="nil"/>
            </w:tcBorders>
            <w:shd w:val="clear" w:color="000000" w:fill="244062"/>
            <w:vAlign w:val="center"/>
            <w:hideMark/>
          </w:tcPr>
          <w:p w14:paraId="5A7D717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80" w:type="dxa"/>
            <w:gridSpan w:val="3"/>
            <w:tcBorders>
              <w:top w:val="single" w:sz="8" w:space="0" w:color="auto"/>
              <w:left w:val="nil"/>
              <w:bottom w:val="single" w:sz="8" w:space="0" w:color="auto"/>
              <w:right w:val="single" w:sz="8" w:space="0" w:color="000000"/>
            </w:tcBorders>
            <w:vAlign w:val="center"/>
            <w:hideMark/>
          </w:tcPr>
          <w:p w14:paraId="1975F85C"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Коначна одлука о улагању, грађевинска дозвола, датум пуштања у рад, датум почетка комерцијалног рада</w:t>
            </w:r>
          </w:p>
        </w:tc>
      </w:tr>
      <w:tr w:rsidR="00854ADA" w:rsidRPr="00FF386D" w14:paraId="553EB90C" w14:textId="77777777" w:rsidTr="0057310C">
        <w:trPr>
          <w:trHeight w:val="750"/>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01E5169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80" w:type="dxa"/>
            <w:gridSpan w:val="3"/>
            <w:tcBorders>
              <w:top w:val="single" w:sz="8" w:space="0" w:color="auto"/>
              <w:left w:val="nil"/>
              <w:bottom w:val="single" w:sz="8" w:space="0" w:color="auto"/>
              <w:right w:val="single" w:sz="8" w:space="0" w:color="000000"/>
            </w:tcBorders>
            <w:vAlign w:val="center"/>
            <w:hideMark/>
          </w:tcPr>
          <w:p w14:paraId="4CA0A653" w14:textId="77777777" w:rsidR="00854ADA" w:rsidRPr="000A2AFE" w:rsidRDefault="00854ADA" w:rsidP="00854ADA">
            <w:pPr>
              <w:numPr>
                <w:ilvl w:val="0"/>
                <w:numId w:val="44"/>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color w:val="000000"/>
                <w:sz w:val="20"/>
              </w:rPr>
              <w:t>Енергетска сигурност</w:t>
            </w:r>
          </w:p>
          <w:p w14:paraId="4A19A794" w14:textId="77777777" w:rsidR="00854ADA" w:rsidRPr="00FF386D"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Декарбонизација</w:t>
            </w:r>
          </w:p>
        </w:tc>
      </w:tr>
      <w:tr w:rsidR="00854ADA" w:rsidRPr="00FF386D" w14:paraId="5548D5F9" w14:textId="77777777" w:rsidTr="0057310C">
        <w:trPr>
          <w:trHeight w:val="450"/>
        </w:trPr>
        <w:tc>
          <w:tcPr>
            <w:tcW w:w="3208"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624DEADB" w14:textId="0E346464"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8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237CA2B" w14:textId="77777777" w:rsidR="00854ADA" w:rsidRPr="000A2AFE"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Директива</w:t>
            </w:r>
            <w:r w:rsidRPr="000A2AFE">
              <w:rPr>
                <w:rFonts w:asciiTheme="majorHAnsi" w:eastAsia="Times New Roman" w:hAnsiTheme="majorHAnsi" w:cstheme="majorHAnsi"/>
                <w:color w:val="000000"/>
                <w:sz w:val="20"/>
                <w:szCs w:val="20"/>
                <w:lang w:eastAsia="en-GB"/>
              </w:rPr>
              <w:t>2009/73/EЗ</w:t>
            </w:r>
          </w:p>
          <w:p w14:paraId="1153C212" w14:textId="77777777" w:rsidR="00854ADA" w:rsidRPr="00FF386D"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 xml:space="preserve">Уредба </w:t>
            </w:r>
            <w:r w:rsidRPr="000A2AFE">
              <w:rPr>
                <w:rFonts w:asciiTheme="majorHAnsi" w:eastAsia="Times New Roman" w:hAnsiTheme="majorHAnsi" w:cstheme="majorHAnsi"/>
                <w:color w:val="000000"/>
                <w:sz w:val="20"/>
                <w:szCs w:val="20"/>
                <w:lang w:eastAsia="en-GB"/>
              </w:rPr>
              <w:t xml:space="preserve">(ЕУ) бр. 347/2013 </w:t>
            </w:r>
          </w:p>
        </w:tc>
      </w:tr>
      <w:tr w:rsidR="00854ADA" w:rsidRPr="00FF386D" w14:paraId="08F6C083"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66459C74"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80" w:type="dxa"/>
            <w:gridSpan w:val="3"/>
            <w:vMerge/>
            <w:tcBorders>
              <w:top w:val="single" w:sz="8" w:space="0" w:color="auto"/>
              <w:left w:val="single" w:sz="8" w:space="0" w:color="auto"/>
              <w:bottom w:val="single" w:sz="8" w:space="0" w:color="000000"/>
              <w:right w:val="single" w:sz="8" w:space="0" w:color="000000"/>
            </w:tcBorders>
            <w:vAlign w:val="center"/>
            <w:hideMark/>
          </w:tcPr>
          <w:p w14:paraId="178FF6AB"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5B2B93F0"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7D441284"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80" w:type="dxa"/>
            <w:gridSpan w:val="3"/>
            <w:vMerge/>
            <w:tcBorders>
              <w:top w:val="single" w:sz="8" w:space="0" w:color="auto"/>
              <w:left w:val="single" w:sz="8" w:space="0" w:color="auto"/>
              <w:bottom w:val="single" w:sz="8" w:space="0" w:color="000000"/>
              <w:right w:val="single" w:sz="8" w:space="0" w:color="000000"/>
            </w:tcBorders>
            <w:vAlign w:val="center"/>
            <w:hideMark/>
          </w:tcPr>
          <w:p w14:paraId="3787433F"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59D50EEC" w14:textId="77777777" w:rsidTr="0057310C">
        <w:trPr>
          <w:trHeight w:val="780"/>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31D7460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80" w:type="dxa"/>
            <w:gridSpan w:val="3"/>
            <w:tcBorders>
              <w:top w:val="single" w:sz="8" w:space="0" w:color="auto"/>
              <w:left w:val="nil"/>
              <w:bottom w:val="single" w:sz="8" w:space="0" w:color="auto"/>
              <w:right w:val="single" w:sz="8" w:space="0" w:color="000000"/>
            </w:tcBorders>
            <w:vAlign w:val="center"/>
            <w:hideMark/>
          </w:tcPr>
          <w:p w14:paraId="2AA6BE08" w14:textId="77777777" w:rsidR="00854ADA" w:rsidRPr="00FF386D"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Закон о енергетици</w:t>
            </w:r>
          </w:p>
        </w:tc>
      </w:tr>
      <w:tr w:rsidR="00854ADA" w:rsidRPr="00FF386D" w14:paraId="4D34D6FD" w14:textId="77777777" w:rsidTr="0057310C">
        <w:trPr>
          <w:trHeight w:val="31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5DAA61A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80" w:type="dxa"/>
            <w:gridSpan w:val="3"/>
            <w:tcBorders>
              <w:top w:val="single" w:sz="8" w:space="0" w:color="auto"/>
              <w:left w:val="nil"/>
              <w:bottom w:val="single" w:sz="8" w:space="0" w:color="auto"/>
              <w:right w:val="single" w:sz="8" w:space="0" w:color="000000"/>
            </w:tcBorders>
            <w:vAlign w:val="center"/>
            <w:hideMark/>
          </w:tcPr>
          <w:p w14:paraId="6C712F6A"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20 милиона евра</w:t>
            </w:r>
          </w:p>
        </w:tc>
      </w:tr>
      <w:tr w:rsidR="00854ADA" w:rsidRPr="00FF386D" w14:paraId="6B3C2EE9" w14:textId="77777777" w:rsidTr="0057310C">
        <w:trPr>
          <w:trHeight w:val="315"/>
        </w:trPr>
        <w:tc>
          <w:tcPr>
            <w:tcW w:w="3208" w:type="dxa"/>
            <w:tcBorders>
              <w:top w:val="nil"/>
              <w:left w:val="single" w:sz="8" w:space="0" w:color="auto"/>
              <w:bottom w:val="single" w:sz="8" w:space="0" w:color="auto"/>
              <w:right w:val="single" w:sz="8" w:space="0" w:color="auto"/>
            </w:tcBorders>
            <w:shd w:val="clear" w:color="000000" w:fill="244062"/>
            <w:vAlign w:val="center"/>
            <w:hideMark/>
          </w:tcPr>
          <w:p w14:paraId="7F288DE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80" w:type="dxa"/>
            <w:gridSpan w:val="3"/>
            <w:tcBorders>
              <w:top w:val="single" w:sz="8" w:space="0" w:color="auto"/>
              <w:left w:val="nil"/>
              <w:bottom w:val="single" w:sz="8" w:space="0" w:color="auto"/>
              <w:right w:val="single" w:sz="8" w:space="0" w:color="000000"/>
            </w:tcBorders>
            <w:vAlign w:val="center"/>
            <w:hideMark/>
          </w:tcPr>
          <w:p w14:paraId="51D81F78" w14:textId="4969C16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101415" w:rsidRPr="00FF386D">
              <w:rPr>
                <w:rFonts w:ascii="Calibri Light" w:eastAsia="Times New Roman" w:hAnsi="Calibri Light" w:cs="Calibri Light"/>
                <w:color w:val="000000"/>
                <w:sz w:val="20"/>
                <w:szCs w:val="20"/>
                <w:lang w:eastAsia="en-GB"/>
              </w:rPr>
              <w:t xml:space="preserve">ска и </w:t>
            </w:r>
            <w:r w:rsidRPr="00FF386D">
              <w:rPr>
                <w:rFonts w:ascii="Calibri Light" w:eastAsia="Times New Roman" w:hAnsi="Calibri Light" w:cs="Calibri Light"/>
                <w:color w:val="000000"/>
                <w:sz w:val="20"/>
                <w:szCs w:val="20"/>
                <w:lang w:eastAsia="en-GB"/>
              </w:rPr>
              <w:t>сопствена средства</w:t>
            </w:r>
          </w:p>
        </w:tc>
      </w:tr>
    </w:tbl>
    <w:p w14:paraId="7EE08532"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16"/>
        <w:gridCol w:w="1358"/>
        <w:gridCol w:w="920"/>
        <w:gridCol w:w="3994"/>
      </w:tblGrid>
      <w:tr w:rsidR="00854ADA" w:rsidRPr="00FF386D" w14:paraId="6B15C85C" w14:textId="77777777" w:rsidTr="0057310C">
        <w:trPr>
          <w:trHeight w:val="780"/>
        </w:trPr>
        <w:tc>
          <w:tcPr>
            <w:tcW w:w="3216"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0662C661" w14:textId="1207BDF2"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358" w:type="dxa"/>
            <w:tcBorders>
              <w:top w:val="single" w:sz="8" w:space="0" w:color="auto"/>
              <w:left w:val="nil"/>
              <w:bottom w:val="single" w:sz="8" w:space="0" w:color="auto"/>
              <w:right w:val="single" w:sz="8" w:space="0" w:color="auto"/>
            </w:tcBorders>
            <w:shd w:val="clear" w:color="auto" w:fill="E7E6E6" w:themeFill="background2"/>
            <w:vAlign w:val="center"/>
            <w:hideMark/>
          </w:tcPr>
          <w:p w14:paraId="16612A6B" w14:textId="08A5EA65"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МП_УЕ</w:t>
            </w:r>
            <w:r w:rsidR="00AC17C6" w:rsidRPr="00FF386D">
              <w:rPr>
                <w:rFonts w:ascii="Calibri Light" w:hAnsi="Calibri Light"/>
                <w:b/>
                <w:sz w:val="20"/>
              </w:rPr>
              <w:t>Т</w:t>
            </w:r>
            <w:r w:rsidRPr="00FF386D">
              <w:rPr>
                <w:rFonts w:ascii="Calibri Light" w:hAnsi="Calibri Light"/>
                <w:b/>
                <w:sz w:val="20"/>
              </w:rPr>
              <w:t>8.8</w:t>
            </w:r>
          </w:p>
        </w:tc>
        <w:tc>
          <w:tcPr>
            <w:tcW w:w="920" w:type="dxa"/>
            <w:tcBorders>
              <w:top w:val="single" w:sz="8" w:space="0" w:color="auto"/>
              <w:left w:val="nil"/>
              <w:bottom w:val="single" w:sz="8" w:space="0" w:color="auto"/>
              <w:right w:val="single" w:sz="8" w:space="0" w:color="auto"/>
            </w:tcBorders>
            <w:shd w:val="clear" w:color="auto" w:fill="244062"/>
            <w:vAlign w:val="center"/>
            <w:hideMark/>
          </w:tcPr>
          <w:p w14:paraId="28A500AC" w14:textId="77777777" w:rsidR="00854ADA" w:rsidRPr="00FF386D" w:rsidRDefault="00854ADA" w:rsidP="00854ADA">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Назив</w:t>
            </w:r>
            <w:r w:rsidRPr="000A2AFE">
              <w:rPr>
                <w:rFonts w:asciiTheme="majorHAnsi" w:eastAsia="Times New Roman" w:hAnsiTheme="majorHAnsi" w:cstheme="majorHAnsi"/>
                <w:b/>
                <w:bCs/>
                <w:color w:val="FFFFFF"/>
                <w:sz w:val="20"/>
                <w:szCs w:val="20"/>
                <w:lang w:eastAsia="en-GB"/>
              </w:rPr>
              <w:t xml:space="preserve">: </w:t>
            </w:r>
          </w:p>
        </w:tc>
        <w:tc>
          <w:tcPr>
            <w:tcW w:w="3994" w:type="dxa"/>
            <w:tcBorders>
              <w:top w:val="single" w:sz="8" w:space="0" w:color="auto"/>
              <w:left w:val="nil"/>
              <w:bottom w:val="single" w:sz="8" w:space="0" w:color="auto"/>
              <w:right w:val="single" w:sz="8" w:space="0" w:color="auto"/>
            </w:tcBorders>
            <w:shd w:val="clear" w:color="auto" w:fill="E7E6E6" w:themeFill="background2"/>
            <w:vAlign w:val="center"/>
            <w:hideMark/>
          </w:tcPr>
          <w:p w14:paraId="5D1789FE" w14:textId="77777777"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Пројекат изградње гасовода Ниш-Приштина 65 km, са капацитетом од 0,8 милијарди m3/годишње</w:t>
            </w:r>
          </w:p>
        </w:tc>
      </w:tr>
      <w:tr w:rsidR="00854ADA" w:rsidRPr="00FF386D" w14:paraId="66C7C35E" w14:textId="77777777" w:rsidTr="0057310C">
        <w:trPr>
          <w:trHeight w:val="604"/>
        </w:trPr>
        <w:tc>
          <w:tcPr>
            <w:tcW w:w="3216" w:type="dxa"/>
            <w:tcBorders>
              <w:top w:val="nil"/>
              <w:left w:val="single" w:sz="8" w:space="0" w:color="auto"/>
              <w:bottom w:val="single" w:sz="8" w:space="0" w:color="auto"/>
              <w:right w:val="nil"/>
            </w:tcBorders>
            <w:shd w:val="clear" w:color="000000" w:fill="244062"/>
            <w:vAlign w:val="center"/>
            <w:hideMark/>
          </w:tcPr>
          <w:p w14:paraId="3DB471A0" w14:textId="4E0E9AEB"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72" w:type="dxa"/>
            <w:gridSpan w:val="3"/>
            <w:tcBorders>
              <w:top w:val="single" w:sz="8" w:space="0" w:color="auto"/>
              <w:left w:val="nil"/>
              <w:bottom w:val="single" w:sz="8" w:space="0" w:color="auto"/>
              <w:right w:val="single" w:sz="8" w:space="0" w:color="000000"/>
            </w:tcBorders>
            <w:vAlign w:val="center"/>
          </w:tcPr>
          <w:p w14:paraId="4E77D8DF" w14:textId="6F8774EE" w:rsidR="00854ADA" w:rsidRPr="00FF386D" w:rsidRDefault="00AC17C6"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Инфраструктура, интеграција тржишта у циљу повећања капацитета којим се може трговати, заштита потрошача и побољшана конкурентност, као и регионална интеграција</w:t>
            </w:r>
          </w:p>
        </w:tc>
      </w:tr>
      <w:tr w:rsidR="00854ADA" w:rsidRPr="00FF386D" w14:paraId="623B7D7F" w14:textId="77777777" w:rsidTr="0057310C">
        <w:trPr>
          <w:trHeight w:val="315"/>
        </w:trPr>
        <w:tc>
          <w:tcPr>
            <w:tcW w:w="3216" w:type="dxa"/>
            <w:tcBorders>
              <w:top w:val="nil"/>
              <w:left w:val="single" w:sz="8" w:space="0" w:color="auto"/>
              <w:bottom w:val="single" w:sz="8" w:space="0" w:color="auto"/>
              <w:right w:val="single" w:sz="8" w:space="0" w:color="auto"/>
            </w:tcBorders>
            <w:shd w:val="clear" w:color="000000" w:fill="244062"/>
            <w:vAlign w:val="center"/>
            <w:hideMark/>
          </w:tcPr>
          <w:p w14:paraId="189EDD9E" w14:textId="215A1771"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72" w:type="dxa"/>
            <w:gridSpan w:val="3"/>
            <w:tcBorders>
              <w:top w:val="single" w:sz="8" w:space="0" w:color="auto"/>
              <w:left w:val="nil"/>
              <w:bottom w:val="single" w:sz="8" w:space="0" w:color="auto"/>
              <w:right w:val="single" w:sz="8" w:space="0" w:color="000000"/>
            </w:tcBorders>
            <w:vAlign w:val="center"/>
          </w:tcPr>
          <w:p w14:paraId="21A8C287"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Повећан капацитет интерконективности, смањење коришћења других енергената у јужном делу Републике Србије </w:t>
            </w:r>
          </w:p>
        </w:tc>
      </w:tr>
      <w:tr w:rsidR="00854ADA" w:rsidRPr="00FF386D" w14:paraId="44EDB599" w14:textId="77777777" w:rsidTr="0057310C">
        <w:trPr>
          <w:trHeight w:val="553"/>
        </w:trPr>
        <w:tc>
          <w:tcPr>
            <w:tcW w:w="3216" w:type="dxa"/>
            <w:tcBorders>
              <w:top w:val="nil"/>
              <w:left w:val="single" w:sz="8" w:space="0" w:color="auto"/>
              <w:bottom w:val="single" w:sz="8" w:space="0" w:color="auto"/>
              <w:right w:val="single" w:sz="8" w:space="0" w:color="auto"/>
            </w:tcBorders>
            <w:shd w:val="clear" w:color="000000" w:fill="244062"/>
            <w:vAlign w:val="center"/>
            <w:hideMark/>
          </w:tcPr>
          <w:p w14:paraId="1F4A63C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72" w:type="dxa"/>
            <w:gridSpan w:val="3"/>
            <w:tcBorders>
              <w:top w:val="single" w:sz="8" w:space="0" w:color="auto"/>
              <w:left w:val="nil"/>
              <w:bottom w:val="single" w:sz="8" w:space="0" w:color="auto"/>
              <w:right w:val="single" w:sz="8" w:space="0" w:color="000000"/>
            </w:tcBorders>
            <w:vAlign w:val="center"/>
            <w:hideMark/>
          </w:tcPr>
          <w:p w14:paraId="03E29FB0" w14:textId="44456859" w:rsidR="00854ADA" w:rsidRPr="00FF386D" w:rsidRDefault="00854ADA" w:rsidP="00854ADA">
            <w:pPr>
              <w:widowControl w:val="0"/>
              <w:suppressLineNumbers/>
              <w:suppressAutoHyphens/>
              <w:spacing w:after="0" w:line="240" w:lineRule="auto"/>
              <w:jc w:val="both"/>
              <w:rPr>
                <w:rFonts w:ascii="Calibri Light" w:eastAsia="NSimSun" w:hAnsi="Calibri Light" w:cs="Mangal"/>
                <w:kern w:val="2"/>
                <w:sz w:val="20"/>
                <w:szCs w:val="24"/>
                <w:lang w:eastAsia="zh-CN" w:bidi="hi-IN"/>
              </w:rPr>
            </w:pPr>
            <w:r w:rsidRPr="00FF386D">
              <w:rPr>
                <w:rFonts w:ascii="Calibri Light" w:eastAsia="NSimSun" w:hAnsi="Calibri Light" w:cs="Mangal"/>
                <w:kern w:val="2"/>
                <w:sz w:val="20"/>
                <w:szCs w:val="24"/>
                <w:lang w:eastAsia="zh-CN" w:bidi="hi-IN"/>
              </w:rPr>
              <w:t>Изградњом овог гасовода ће се створити услови за изградњу дистрибутивних гасовода у јужном делу Републике Србије и Аутономне покрајине Косово и Метохиј</w:t>
            </w:r>
            <w:r w:rsidR="00AC17C6" w:rsidRPr="00FF386D">
              <w:rPr>
                <w:rFonts w:ascii="Calibri Light" w:eastAsia="NSimSun" w:hAnsi="Calibri Light" w:cs="Mangal"/>
                <w:kern w:val="2"/>
                <w:sz w:val="20"/>
                <w:szCs w:val="24"/>
                <w:lang w:eastAsia="zh-CN" w:bidi="hi-IN"/>
              </w:rPr>
              <w:t>а</w:t>
            </w:r>
            <w:r w:rsidR="00C75290" w:rsidRPr="00FF386D">
              <w:rPr>
                <w:rFonts w:ascii="Calibri Light" w:eastAsia="NSimSun" w:hAnsi="Calibri Light" w:cs="Mangal"/>
                <w:kern w:val="2"/>
                <w:sz w:val="20"/>
                <w:szCs w:val="24"/>
                <w:lang w:eastAsia="zh-CN" w:bidi="hi-IN"/>
              </w:rPr>
              <w:t xml:space="preserve"> и</w:t>
            </w:r>
            <w:r w:rsidRPr="00FF386D">
              <w:rPr>
                <w:rFonts w:ascii="Calibri Light" w:eastAsia="NSimSun" w:hAnsi="Calibri Light" w:cs="Mangal"/>
                <w:kern w:val="2"/>
                <w:sz w:val="20"/>
                <w:szCs w:val="24"/>
                <w:lang w:eastAsia="zh-CN" w:bidi="hi-IN"/>
              </w:rPr>
              <w:t xml:space="preserve"> за прикључење индустријских, комуналних и индивидуалних потрошача на систем гасовода. Ово ће омогућити коришћење природног гаса као еколошки прихватљивог извора енергије и значајно ће растеретити потражњу за електричном енергијом.</w:t>
            </w:r>
          </w:p>
          <w:p w14:paraId="2814E6F9"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Гасна интерконекција Србија и Црна Гора- Деоница Ниш (Дољевац)- Приштина, план развоја 2021-2030.</w:t>
            </w:r>
          </w:p>
        </w:tc>
      </w:tr>
      <w:tr w:rsidR="00854ADA" w:rsidRPr="00FF386D" w14:paraId="66B5EDDC" w14:textId="77777777" w:rsidTr="0057310C">
        <w:trPr>
          <w:trHeight w:val="315"/>
        </w:trPr>
        <w:tc>
          <w:tcPr>
            <w:tcW w:w="3216" w:type="dxa"/>
            <w:tcBorders>
              <w:top w:val="nil"/>
              <w:left w:val="single" w:sz="8" w:space="0" w:color="auto"/>
              <w:bottom w:val="single" w:sz="8" w:space="0" w:color="auto"/>
              <w:right w:val="single" w:sz="8" w:space="0" w:color="auto"/>
            </w:tcBorders>
            <w:shd w:val="clear" w:color="000000" w:fill="244062"/>
            <w:vAlign w:val="center"/>
            <w:hideMark/>
          </w:tcPr>
          <w:p w14:paraId="6E5C91E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72" w:type="dxa"/>
            <w:gridSpan w:val="3"/>
            <w:tcBorders>
              <w:top w:val="single" w:sz="8" w:space="0" w:color="auto"/>
              <w:left w:val="nil"/>
              <w:bottom w:val="single" w:sz="8" w:space="0" w:color="auto"/>
              <w:right w:val="single" w:sz="8" w:space="0" w:color="000000"/>
            </w:tcBorders>
            <w:vAlign w:val="center"/>
            <w:hideMark/>
          </w:tcPr>
          <w:p w14:paraId="7057787B"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2021-2030.</w:t>
            </w:r>
          </w:p>
        </w:tc>
      </w:tr>
      <w:tr w:rsidR="00854ADA" w:rsidRPr="00FF386D" w14:paraId="7EEB7C32" w14:textId="77777777" w:rsidTr="0057310C">
        <w:trPr>
          <w:trHeight w:val="315"/>
        </w:trPr>
        <w:tc>
          <w:tcPr>
            <w:tcW w:w="3216" w:type="dxa"/>
            <w:tcBorders>
              <w:top w:val="nil"/>
              <w:left w:val="single" w:sz="8" w:space="0" w:color="auto"/>
              <w:bottom w:val="single" w:sz="8" w:space="0" w:color="auto"/>
              <w:right w:val="single" w:sz="8" w:space="0" w:color="auto"/>
            </w:tcBorders>
            <w:shd w:val="clear" w:color="000000" w:fill="244062"/>
            <w:vAlign w:val="center"/>
            <w:hideMark/>
          </w:tcPr>
          <w:p w14:paraId="6C72EF6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72" w:type="dxa"/>
            <w:gridSpan w:val="3"/>
            <w:tcBorders>
              <w:top w:val="single" w:sz="8" w:space="0" w:color="auto"/>
              <w:left w:val="nil"/>
              <w:bottom w:val="single" w:sz="8" w:space="0" w:color="auto"/>
              <w:right w:val="single" w:sz="8" w:space="0" w:color="000000"/>
            </w:tcBorders>
            <w:vAlign w:val="center"/>
            <w:hideMark/>
          </w:tcPr>
          <w:p w14:paraId="1057447F"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Инвестиција</w:t>
            </w:r>
          </w:p>
        </w:tc>
      </w:tr>
      <w:tr w:rsidR="00854ADA" w:rsidRPr="00FF386D" w14:paraId="447A7379" w14:textId="77777777" w:rsidTr="0057310C">
        <w:trPr>
          <w:trHeight w:val="315"/>
        </w:trPr>
        <w:tc>
          <w:tcPr>
            <w:tcW w:w="3216" w:type="dxa"/>
            <w:tcBorders>
              <w:top w:val="nil"/>
              <w:left w:val="single" w:sz="8" w:space="0" w:color="auto"/>
              <w:bottom w:val="single" w:sz="8" w:space="0" w:color="auto"/>
              <w:right w:val="single" w:sz="8" w:space="0" w:color="auto"/>
            </w:tcBorders>
            <w:shd w:val="clear" w:color="000000" w:fill="244062"/>
            <w:vAlign w:val="center"/>
            <w:hideMark/>
          </w:tcPr>
          <w:p w14:paraId="2B0895F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72" w:type="dxa"/>
            <w:gridSpan w:val="3"/>
            <w:tcBorders>
              <w:top w:val="single" w:sz="8" w:space="0" w:color="auto"/>
              <w:left w:val="nil"/>
              <w:bottom w:val="single" w:sz="8" w:space="0" w:color="auto"/>
              <w:right w:val="single" w:sz="8" w:space="0" w:color="000000"/>
            </w:tcBorders>
            <w:vAlign w:val="center"/>
            <w:hideMark/>
          </w:tcPr>
          <w:p w14:paraId="036E95EE"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Гас</w:t>
            </w:r>
          </w:p>
        </w:tc>
      </w:tr>
      <w:tr w:rsidR="00854ADA" w:rsidRPr="00FF386D" w14:paraId="46F14744" w14:textId="77777777" w:rsidTr="0057310C">
        <w:trPr>
          <w:trHeight w:val="315"/>
        </w:trPr>
        <w:tc>
          <w:tcPr>
            <w:tcW w:w="3216" w:type="dxa"/>
            <w:tcBorders>
              <w:top w:val="nil"/>
              <w:left w:val="single" w:sz="8" w:space="0" w:color="auto"/>
              <w:bottom w:val="single" w:sz="8" w:space="0" w:color="auto"/>
              <w:right w:val="single" w:sz="8" w:space="0" w:color="auto"/>
            </w:tcBorders>
            <w:shd w:val="clear" w:color="000000" w:fill="244062"/>
            <w:vAlign w:val="center"/>
            <w:hideMark/>
          </w:tcPr>
          <w:p w14:paraId="28ACC2A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72" w:type="dxa"/>
            <w:gridSpan w:val="3"/>
            <w:tcBorders>
              <w:top w:val="single" w:sz="8" w:space="0" w:color="auto"/>
              <w:left w:val="nil"/>
              <w:bottom w:val="single" w:sz="8" w:space="0" w:color="auto"/>
              <w:right w:val="single" w:sz="8" w:space="0" w:color="000000"/>
            </w:tcBorders>
            <w:vAlign w:val="center"/>
            <w:hideMark/>
          </w:tcPr>
          <w:p w14:paraId="06B41E0B" w14:textId="18421D60" w:rsidR="00854ADA" w:rsidRPr="00FF386D"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Транспортгас</w:t>
            </w:r>
          </w:p>
        </w:tc>
      </w:tr>
      <w:tr w:rsidR="00854ADA" w:rsidRPr="00FF386D" w14:paraId="3A2EF969" w14:textId="77777777" w:rsidTr="0057310C">
        <w:trPr>
          <w:trHeight w:val="315"/>
        </w:trPr>
        <w:tc>
          <w:tcPr>
            <w:tcW w:w="3216" w:type="dxa"/>
            <w:tcBorders>
              <w:top w:val="nil"/>
              <w:left w:val="single" w:sz="8" w:space="0" w:color="auto"/>
              <w:bottom w:val="single" w:sz="8" w:space="0" w:color="auto"/>
              <w:right w:val="nil"/>
            </w:tcBorders>
            <w:shd w:val="clear" w:color="000000" w:fill="244062"/>
            <w:vAlign w:val="center"/>
            <w:hideMark/>
          </w:tcPr>
          <w:p w14:paraId="3147C92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72" w:type="dxa"/>
            <w:gridSpan w:val="3"/>
            <w:tcBorders>
              <w:top w:val="single" w:sz="8" w:space="0" w:color="auto"/>
              <w:left w:val="nil"/>
              <w:bottom w:val="single" w:sz="8" w:space="0" w:color="auto"/>
              <w:right w:val="single" w:sz="8" w:space="0" w:color="000000"/>
            </w:tcBorders>
            <w:vAlign w:val="center"/>
            <w:hideMark/>
          </w:tcPr>
          <w:p w14:paraId="29FDBC82" w14:textId="77777777" w:rsidR="00854ADA" w:rsidRPr="00FF386D" w:rsidRDefault="00854ADA" w:rsidP="000A2AFE">
            <w:pPr>
              <w:numPr>
                <w:ilvl w:val="0"/>
                <w:numId w:val="44"/>
              </w:numPr>
              <w:spacing w:after="0"/>
              <w:ind w:left="714" w:hanging="357"/>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рударства и енергетике</w:t>
            </w:r>
          </w:p>
          <w:p w14:paraId="7A469226" w14:textId="77777777" w:rsidR="00992104" w:rsidRPr="00992104" w:rsidRDefault="00992104" w:rsidP="000A2AFE">
            <w:pPr>
              <w:pStyle w:val="ListParagraph"/>
              <w:numPr>
                <w:ilvl w:val="0"/>
                <w:numId w:val="44"/>
              </w:numPr>
              <w:spacing w:after="0"/>
              <w:ind w:left="714" w:hanging="357"/>
              <w:rPr>
                <w:rFonts w:asciiTheme="majorHAnsi" w:eastAsia="Times New Roman" w:hAnsiTheme="majorHAnsi" w:cstheme="majorHAnsi"/>
                <w:color w:val="000000"/>
                <w:sz w:val="20"/>
                <w:szCs w:val="20"/>
                <w:lang w:eastAsia="en-GB"/>
              </w:rPr>
            </w:pPr>
            <w:r w:rsidRPr="00992104">
              <w:rPr>
                <w:rFonts w:asciiTheme="majorHAnsi" w:eastAsia="Times New Roman" w:hAnsiTheme="majorHAnsi" w:cstheme="majorHAnsi"/>
                <w:color w:val="000000"/>
                <w:sz w:val="20"/>
                <w:szCs w:val="20"/>
                <w:lang w:eastAsia="en-GB"/>
              </w:rPr>
              <w:t>Министарство грађевинарства, саобраћаја и инфраструктуре</w:t>
            </w:r>
          </w:p>
          <w:p w14:paraId="50CA4DDC" w14:textId="3B6D9EC0" w:rsidR="00854ADA" w:rsidRPr="00FF386D" w:rsidRDefault="00854ADA" w:rsidP="00854ADA">
            <w:pPr>
              <w:numPr>
                <w:ilvl w:val="0"/>
                <w:numId w:val="44"/>
              </w:numPr>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финансија</w:t>
            </w:r>
          </w:p>
          <w:p w14:paraId="033F9B21" w14:textId="4CEF1805" w:rsidR="00854ADA" w:rsidRPr="00992104" w:rsidRDefault="00854ADA" w:rsidP="000A2AFE">
            <w:pPr>
              <w:numPr>
                <w:ilvl w:val="0"/>
                <w:numId w:val="44"/>
              </w:numPr>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Влада </w:t>
            </w:r>
            <w:r w:rsidR="00992104">
              <w:rPr>
                <w:rFonts w:asciiTheme="majorHAnsi" w:eastAsia="Times New Roman" w:hAnsiTheme="majorHAnsi" w:cstheme="majorHAnsi"/>
                <w:color w:val="000000"/>
                <w:sz w:val="20"/>
                <w:szCs w:val="20"/>
                <w:lang w:eastAsia="en-GB"/>
              </w:rPr>
              <w:t xml:space="preserve">Републике </w:t>
            </w:r>
            <w:r w:rsidRPr="00FF386D">
              <w:rPr>
                <w:rFonts w:asciiTheme="majorHAnsi" w:eastAsia="Times New Roman" w:hAnsiTheme="majorHAnsi" w:cstheme="majorHAnsi"/>
                <w:color w:val="000000"/>
                <w:sz w:val="20"/>
                <w:szCs w:val="20"/>
                <w:lang w:eastAsia="en-GB"/>
              </w:rPr>
              <w:t>Србије</w:t>
            </w:r>
          </w:p>
        </w:tc>
      </w:tr>
      <w:tr w:rsidR="00854ADA" w:rsidRPr="00FF386D" w14:paraId="17491F9B" w14:textId="77777777" w:rsidTr="0057310C">
        <w:trPr>
          <w:trHeight w:val="315"/>
        </w:trPr>
        <w:tc>
          <w:tcPr>
            <w:tcW w:w="3216" w:type="dxa"/>
            <w:tcBorders>
              <w:top w:val="nil"/>
              <w:left w:val="single" w:sz="8" w:space="0" w:color="auto"/>
              <w:bottom w:val="single" w:sz="8" w:space="0" w:color="auto"/>
              <w:right w:val="nil"/>
            </w:tcBorders>
            <w:shd w:val="clear" w:color="000000" w:fill="244062"/>
            <w:vAlign w:val="center"/>
            <w:hideMark/>
          </w:tcPr>
          <w:p w14:paraId="3723025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Индикатори напретка</w:t>
            </w:r>
          </w:p>
        </w:tc>
        <w:tc>
          <w:tcPr>
            <w:tcW w:w="6272" w:type="dxa"/>
            <w:gridSpan w:val="3"/>
            <w:tcBorders>
              <w:top w:val="single" w:sz="8" w:space="0" w:color="auto"/>
              <w:left w:val="nil"/>
              <w:bottom w:val="single" w:sz="8" w:space="0" w:color="auto"/>
              <w:right w:val="single" w:sz="8" w:space="0" w:color="000000"/>
            </w:tcBorders>
            <w:vAlign w:val="center"/>
            <w:hideMark/>
          </w:tcPr>
          <w:p w14:paraId="551EBD18"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Коначна одлука о улагању, грађевинска дозвола, датум пуштања у рад, датум почетка комерцијалног рада</w:t>
            </w:r>
          </w:p>
        </w:tc>
      </w:tr>
      <w:tr w:rsidR="00854ADA" w:rsidRPr="00FF386D" w14:paraId="146AA53E" w14:textId="77777777" w:rsidTr="0057310C">
        <w:trPr>
          <w:trHeight w:val="740"/>
        </w:trPr>
        <w:tc>
          <w:tcPr>
            <w:tcW w:w="3216" w:type="dxa"/>
            <w:tcBorders>
              <w:top w:val="nil"/>
              <w:left w:val="single" w:sz="8" w:space="0" w:color="auto"/>
              <w:bottom w:val="single" w:sz="8" w:space="0" w:color="auto"/>
              <w:right w:val="single" w:sz="8" w:space="0" w:color="auto"/>
            </w:tcBorders>
            <w:shd w:val="clear" w:color="000000" w:fill="244062"/>
            <w:vAlign w:val="center"/>
            <w:hideMark/>
          </w:tcPr>
          <w:p w14:paraId="6B4E47A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72" w:type="dxa"/>
            <w:gridSpan w:val="3"/>
            <w:tcBorders>
              <w:top w:val="single" w:sz="8" w:space="0" w:color="auto"/>
              <w:left w:val="nil"/>
              <w:bottom w:val="single" w:sz="8" w:space="0" w:color="auto"/>
              <w:right w:val="single" w:sz="8" w:space="0" w:color="000000"/>
            </w:tcBorders>
            <w:vAlign w:val="center"/>
            <w:hideMark/>
          </w:tcPr>
          <w:p w14:paraId="351F193F" w14:textId="77777777" w:rsidR="00854ADA" w:rsidRPr="00FF386D"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Енергетска сигурност</w:t>
            </w:r>
          </w:p>
          <w:p w14:paraId="0518686C" w14:textId="77777777" w:rsidR="00854ADA" w:rsidRPr="00FF386D"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Декарбонизација</w:t>
            </w:r>
          </w:p>
        </w:tc>
      </w:tr>
      <w:tr w:rsidR="00854ADA" w:rsidRPr="00FF386D" w14:paraId="13FB7D5A" w14:textId="77777777" w:rsidTr="0057310C">
        <w:trPr>
          <w:trHeight w:val="450"/>
        </w:trPr>
        <w:tc>
          <w:tcPr>
            <w:tcW w:w="3216"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5A52033B" w14:textId="02BA5589"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72"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752C1C2" w14:textId="77777777" w:rsidR="00854ADA" w:rsidRPr="000A2AFE"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Директива 2009/73/EЗ</w:t>
            </w:r>
          </w:p>
          <w:p w14:paraId="5CDFE25A" w14:textId="77777777" w:rsidR="00854ADA" w:rsidRPr="00FF386D" w:rsidRDefault="00854ADA" w:rsidP="00854ADA">
            <w:pPr>
              <w:numPr>
                <w:ilvl w:val="0"/>
                <w:numId w:val="51"/>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 xml:space="preserve">Уредба </w:t>
            </w:r>
            <w:r w:rsidRPr="000A2AFE">
              <w:rPr>
                <w:rFonts w:asciiTheme="majorHAnsi" w:eastAsia="Times New Roman" w:hAnsiTheme="majorHAnsi" w:cstheme="majorHAnsi"/>
                <w:color w:val="000000"/>
                <w:sz w:val="20"/>
                <w:szCs w:val="20"/>
                <w:lang w:eastAsia="en-GB"/>
              </w:rPr>
              <w:t xml:space="preserve">(ЕУ) бр. 347/2013 </w:t>
            </w:r>
          </w:p>
        </w:tc>
      </w:tr>
      <w:tr w:rsidR="00854ADA" w:rsidRPr="00FF386D" w14:paraId="0AE608F4"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32049354"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72" w:type="dxa"/>
            <w:gridSpan w:val="3"/>
            <w:vMerge/>
            <w:tcBorders>
              <w:top w:val="single" w:sz="8" w:space="0" w:color="auto"/>
              <w:left w:val="single" w:sz="8" w:space="0" w:color="auto"/>
              <w:bottom w:val="single" w:sz="8" w:space="0" w:color="000000"/>
              <w:right w:val="single" w:sz="8" w:space="0" w:color="000000"/>
            </w:tcBorders>
            <w:vAlign w:val="center"/>
            <w:hideMark/>
          </w:tcPr>
          <w:p w14:paraId="7494C8BE"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332019EE"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35F229B8"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72" w:type="dxa"/>
            <w:gridSpan w:val="3"/>
            <w:vMerge/>
            <w:tcBorders>
              <w:top w:val="single" w:sz="8" w:space="0" w:color="auto"/>
              <w:left w:val="single" w:sz="8" w:space="0" w:color="auto"/>
              <w:bottom w:val="single" w:sz="8" w:space="0" w:color="000000"/>
              <w:right w:val="single" w:sz="8" w:space="0" w:color="000000"/>
            </w:tcBorders>
            <w:vAlign w:val="center"/>
            <w:hideMark/>
          </w:tcPr>
          <w:p w14:paraId="263750B6"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349077D9" w14:textId="77777777" w:rsidTr="0057310C">
        <w:trPr>
          <w:trHeight w:val="780"/>
        </w:trPr>
        <w:tc>
          <w:tcPr>
            <w:tcW w:w="3216" w:type="dxa"/>
            <w:tcBorders>
              <w:top w:val="nil"/>
              <w:left w:val="single" w:sz="8" w:space="0" w:color="auto"/>
              <w:bottom w:val="single" w:sz="8" w:space="0" w:color="auto"/>
              <w:right w:val="single" w:sz="8" w:space="0" w:color="auto"/>
            </w:tcBorders>
            <w:shd w:val="clear" w:color="000000" w:fill="244062"/>
            <w:vAlign w:val="center"/>
            <w:hideMark/>
          </w:tcPr>
          <w:p w14:paraId="718F81B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72" w:type="dxa"/>
            <w:gridSpan w:val="3"/>
            <w:tcBorders>
              <w:top w:val="single" w:sz="8" w:space="0" w:color="auto"/>
              <w:left w:val="nil"/>
              <w:bottom w:val="single" w:sz="8" w:space="0" w:color="auto"/>
              <w:right w:val="single" w:sz="8" w:space="0" w:color="000000"/>
            </w:tcBorders>
            <w:vAlign w:val="center"/>
            <w:hideMark/>
          </w:tcPr>
          <w:p w14:paraId="296F7962" w14:textId="77777777" w:rsidR="00854ADA" w:rsidRPr="00FF386D" w:rsidRDefault="00854ADA" w:rsidP="00854ADA">
            <w:pPr>
              <w:numPr>
                <w:ilvl w:val="0"/>
                <w:numId w:val="51"/>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Закон о енергетици</w:t>
            </w:r>
          </w:p>
        </w:tc>
      </w:tr>
      <w:tr w:rsidR="00854ADA" w:rsidRPr="00FF386D" w14:paraId="20AF69F7" w14:textId="77777777" w:rsidTr="0057310C">
        <w:trPr>
          <w:trHeight w:val="315"/>
        </w:trPr>
        <w:tc>
          <w:tcPr>
            <w:tcW w:w="3216" w:type="dxa"/>
            <w:tcBorders>
              <w:top w:val="nil"/>
              <w:left w:val="single" w:sz="8" w:space="0" w:color="auto"/>
              <w:bottom w:val="single" w:sz="8" w:space="0" w:color="auto"/>
              <w:right w:val="single" w:sz="8" w:space="0" w:color="auto"/>
            </w:tcBorders>
            <w:shd w:val="clear" w:color="000000" w:fill="244062"/>
            <w:vAlign w:val="center"/>
            <w:hideMark/>
          </w:tcPr>
          <w:p w14:paraId="2552921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72" w:type="dxa"/>
            <w:gridSpan w:val="3"/>
            <w:tcBorders>
              <w:top w:val="single" w:sz="8" w:space="0" w:color="auto"/>
              <w:left w:val="nil"/>
              <w:bottom w:val="single" w:sz="8" w:space="0" w:color="auto"/>
              <w:right w:val="single" w:sz="8" w:space="0" w:color="000000"/>
            </w:tcBorders>
            <w:vAlign w:val="center"/>
            <w:hideMark/>
          </w:tcPr>
          <w:p w14:paraId="6BBBDA37"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30 милиона евра</w:t>
            </w:r>
          </w:p>
        </w:tc>
      </w:tr>
      <w:tr w:rsidR="00854ADA" w:rsidRPr="00FF386D" w14:paraId="223E23B1" w14:textId="77777777" w:rsidTr="0057310C">
        <w:trPr>
          <w:trHeight w:val="315"/>
        </w:trPr>
        <w:tc>
          <w:tcPr>
            <w:tcW w:w="3216" w:type="dxa"/>
            <w:tcBorders>
              <w:top w:val="nil"/>
              <w:left w:val="single" w:sz="8" w:space="0" w:color="auto"/>
              <w:bottom w:val="single" w:sz="8" w:space="0" w:color="auto"/>
              <w:right w:val="single" w:sz="8" w:space="0" w:color="auto"/>
            </w:tcBorders>
            <w:shd w:val="clear" w:color="000000" w:fill="244062"/>
            <w:vAlign w:val="center"/>
            <w:hideMark/>
          </w:tcPr>
          <w:p w14:paraId="0480F77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72" w:type="dxa"/>
            <w:gridSpan w:val="3"/>
            <w:tcBorders>
              <w:top w:val="single" w:sz="8" w:space="0" w:color="auto"/>
              <w:left w:val="nil"/>
              <w:bottom w:val="single" w:sz="8" w:space="0" w:color="auto"/>
              <w:right w:val="single" w:sz="8" w:space="0" w:color="000000"/>
            </w:tcBorders>
            <w:vAlign w:val="center"/>
            <w:hideMark/>
          </w:tcPr>
          <w:p w14:paraId="62A2FFD9"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eastAsia="Times New Roman" w:hAnsi="Calibri Light" w:cs="Calibri Light"/>
                <w:color w:val="000000"/>
                <w:sz w:val="20"/>
                <w:szCs w:val="20"/>
                <w:lang w:eastAsia="en-GB"/>
              </w:rPr>
              <w:t>Фондови ЕУ и други фондови, државни буџет, сопствена средства</w:t>
            </w:r>
          </w:p>
        </w:tc>
      </w:tr>
    </w:tbl>
    <w:p w14:paraId="44EBFA71"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58"/>
        <w:gridCol w:w="1207"/>
        <w:gridCol w:w="927"/>
        <w:gridCol w:w="4096"/>
      </w:tblGrid>
      <w:tr w:rsidR="00854ADA" w:rsidRPr="00FF386D" w14:paraId="1A65B82B" w14:textId="77777777" w:rsidTr="0057310C">
        <w:trPr>
          <w:trHeight w:val="780"/>
        </w:trPr>
        <w:tc>
          <w:tcPr>
            <w:tcW w:w="3258"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2BF3A349" w14:textId="77701266"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2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3CCBE004" w14:textId="5E780161"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МП_УЕ</w:t>
            </w:r>
            <w:r w:rsidR="00C75290" w:rsidRPr="00FF386D">
              <w:rPr>
                <w:rFonts w:ascii="Calibri Light" w:hAnsi="Calibri Light"/>
                <w:b/>
                <w:sz w:val="20"/>
              </w:rPr>
              <w:t>Т</w:t>
            </w:r>
            <w:r w:rsidRPr="00FF386D">
              <w:rPr>
                <w:rFonts w:ascii="Calibri Light" w:hAnsi="Calibri Light"/>
                <w:b/>
                <w:sz w:val="20"/>
              </w:rPr>
              <w:t>9</w:t>
            </w:r>
          </w:p>
        </w:tc>
        <w:tc>
          <w:tcPr>
            <w:tcW w:w="927" w:type="dxa"/>
            <w:tcBorders>
              <w:top w:val="single" w:sz="8" w:space="0" w:color="auto"/>
              <w:left w:val="nil"/>
              <w:bottom w:val="single" w:sz="8" w:space="0" w:color="auto"/>
              <w:right w:val="single" w:sz="8" w:space="0" w:color="auto"/>
            </w:tcBorders>
            <w:shd w:val="clear" w:color="auto" w:fill="244062"/>
            <w:vAlign w:val="center"/>
            <w:hideMark/>
          </w:tcPr>
          <w:p w14:paraId="745DD1A4" w14:textId="77777777" w:rsidR="00854ADA" w:rsidRPr="00FF386D" w:rsidRDefault="00854ADA" w:rsidP="00854ADA">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Назив</w:t>
            </w:r>
            <w:r w:rsidRPr="000A2AFE">
              <w:rPr>
                <w:rFonts w:asciiTheme="majorHAnsi" w:eastAsia="Times New Roman" w:hAnsiTheme="majorHAnsi" w:cstheme="majorHAnsi"/>
                <w:b/>
                <w:bCs/>
                <w:color w:val="FFFFFF"/>
                <w:sz w:val="20"/>
                <w:szCs w:val="20"/>
                <w:lang w:eastAsia="en-GB"/>
              </w:rPr>
              <w:t xml:space="preserve">: </w:t>
            </w:r>
          </w:p>
        </w:tc>
        <w:tc>
          <w:tcPr>
            <w:tcW w:w="4096" w:type="dxa"/>
            <w:tcBorders>
              <w:top w:val="single" w:sz="8" w:space="0" w:color="auto"/>
              <w:left w:val="nil"/>
              <w:bottom w:val="single" w:sz="8" w:space="0" w:color="auto"/>
              <w:right w:val="single" w:sz="8" w:space="0" w:color="auto"/>
            </w:tcBorders>
            <w:shd w:val="clear" w:color="auto" w:fill="E7E6E6" w:themeFill="background2"/>
            <w:vAlign w:val="center"/>
            <w:hideMark/>
          </w:tcPr>
          <w:p w14:paraId="4E4078C3" w14:textId="4D57A648"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 xml:space="preserve">Улагања у дигитализацију мрежа </w:t>
            </w:r>
            <w:r w:rsidR="00C75290" w:rsidRPr="00FF386D">
              <w:rPr>
                <w:rFonts w:ascii="Calibri Light" w:hAnsi="Calibri Light"/>
                <w:b/>
                <w:sz w:val="20"/>
              </w:rPr>
              <w:t>с циљем да се повећа</w:t>
            </w:r>
            <w:r w:rsidRPr="00FF386D">
              <w:rPr>
                <w:rFonts w:ascii="Calibri Light" w:hAnsi="Calibri Light"/>
                <w:b/>
                <w:sz w:val="20"/>
              </w:rPr>
              <w:t xml:space="preserve"> интеграциј</w:t>
            </w:r>
            <w:r w:rsidR="001E4572" w:rsidRPr="00FF386D">
              <w:rPr>
                <w:rFonts w:ascii="Calibri Light" w:hAnsi="Calibri Light"/>
                <w:b/>
                <w:sz w:val="20"/>
              </w:rPr>
              <w:t>а</w:t>
            </w:r>
            <w:r w:rsidRPr="00FF386D">
              <w:rPr>
                <w:rFonts w:ascii="Calibri Light" w:hAnsi="Calibri Light"/>
                <w:b/>
                <w:sz w:val="20"/>
              </w:rPr>
              <w:t xml:space="preserve"> ОИЕ и </w:t>
            </w:r>
            <w:r w:rsidR="00C75290" w:rsidRPr="00FF386D">
              <w:rPr>
                <w:rFonts w:ascii="Calibri Light" w:hAnsi="Calibri Light"/>
                <w:b/>
                <w:sz w:val="20"/>
              </w:rPr>
              <w:t>унапреди</w:t>
            </w:r>
            <w:r w:rsidRPr="00FF386D">
              <w:rPr>
                <w:rFonts w:ascii="Calibri Light" w:hAnsi="Calibri Light"/>
                <w:b/>
                <w:sz w:val="20"/>
              </w:rPr>
              <w:t xml:space="preserve"> квалитет</w:t>
            </w:r>
            <w:r w:rsidR="00C75290" w:rsidRPr="00FF386D">
              <w:rPr>
                <w:rFonts w:ascii="Calibri Light" w:hAnsi="Calibri Light"/>
                <w:b/>
                <w:sz w:val="20"/>
              </w:rPr>
              <w:t xml:space="preserve"> </w:t>
            </w:r>
            <w:r w:rsidRPr="00FF386D">
              <w:rPr>
                <w:rFonts w:ascii="Calibri Light" w:hAnsi="Calibri Light"/>
                <w:b/>
                <w:sz w:val="20"/>
              </w:rPr>
              <w:t>снабдевања</w:t>
            </w:r>
          </w:p>
        </w:tc>
      </w:tr>
      <w:tr w:rsidR="00854ADA" w:rsidRPr="00FF386D" w14:paraId="6E93E57E" w14:textId="77777777" w:rsidTr="0057310C">
        <w:trPr>
          <w:trHeight w:val="960"/>
        </w:trPr>
        <w:tc>
          <w:tcPr>
            <w:tcW w:w="3258" w:type="dxa"/>
            <w:tcBorders>
              <w:top w:val="nil"/>
              <w:left w:val="single" w:sz="8" w:space="0" w:color="auto"/>
              <w:bottom w:val="single" w:sz="8" w:space="0" w:color="auto"/>
              <w:right w:val="nil"/>
            </w:tcBorders>
            <w:shd w:val="clear" w:color="000000" w:fill="244062"/>
            <w:vAlign w:val="center"/>
            <w:hideMark/>
          </w:tcPr>
          <w:p w14:paraId="4B570F9B" w14:textId="217ECD6A"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30" w:type="dxa"/>
            <w:gridSpan w:val="3"/>
            <w:tcBorders>
              <w:top w:val="single" w:sz="8" w:space="0" w:color="auto"/>
              <w:left w:val="nil"/>
              <w:bottom w:val="single" w:sz="8" w:space="0" w:color="auto"/>
              <w:right w:val="single" w:sz="8" w:space="0" w:color="000000"/>
            </w:tcBorders>
            <w:vAlign w:val="center"/>
          </w:tcPr>
          <w:p w14:paraId="65FE79CF" w14:textId="506F7862"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Повећана флексибилност система и квалитет снабдевања електричном енергијом, посебно применом политика и мера које се односе на формирање цена заснованих на тржишту у складу са важећим законом; интеграција и спајање тржишта с циљем да се повећа</w:t>
            </w:r>
            <w:r w:rsidR="008862E9" w:rsidRPr="00FF386D">
              <w:rPr>
                <w:rFonts w:asciiTheme="majorHAnsi" w:eastAsia="Times New Roman" w:hAnsiTheme="majorHAnsi" w:cstheme="majorHAnsi"/>
                <w:color w:val="000000"/>
                <w:sz w:val="20"/>
                <w:szCs w:val="20"/>
                <w:lang w:eastAsia="en-GB"/>
              </w:rPr>
              <w:t>ју</w:t>
            </w:r>
            <w:r w:rsidRPr="00FF386D">
              <w:rPr>
                <w:rFonts w:asciiTheme="majorHAnsi" w:eastAsia="Times New Roman" w:hAnsiTheme="majorHAnsi" w:cstheme="majorHAnsi"/>
                <w:color w:val="000000"/>
                <w:sz w:val="20"/>
                <w:szCs w:val="20"/>
                <w:lang w:eastAsia="en-GB"/>
              </w:rPr>
              <w:t xml:space="preserve"> капацитет</w:t>
            </w:r>
            <w:r w:rsidR="008862E9" w:rsidRPr="00FF386D">
              <w:rPr>
                <w:rFonts w:asciiTheme="majorHAnsi" w:eastAsia="Times New Roman" w:hAnsiTheme="majorHAnsi" w:cstheme="majorHAnsi"/>
                <w:color w:val="000000"/>
                <w:sz w:val="20"/>
                <w:szCs w:val="20"/>
                <w:lang w:eastAsia="en-GB"/>
              </w:rPr>
              <w:t>и</w:t>
            </w:r>
            <w:r w:rsidR="0082355F">
              <w:rPr>
                <w:rFonts w:asciiTheme="majorHAnsi" w:eastAsia="Times New Roman" w:hAnsiTheme="majorHAnsi" w:cstheme="majorHAnsi"/>
                <w:color w:val="000000"/>
                <w:sz w:val="20"/>
                <w:szCs w:val="20"/>
                <w:lang w:eastAsia="en-GB"/>
              </w:rPr>
              <w:t xml:space="preserve"> за трговање</w:t>
            </w:r>
            <w:r w:rsidRPr="00FF386D">
              <w:rPr>
                <w:rFonts w:asciiTheme="majorHAnsi" w:eastAsia="Times New Roman" w:hAnsiTheme="majorHAnsi" w:cstheme="majorHAnsi"/>
                <w:color w:val="000000"/>
                <w:sz w:val="20"/>
                <w:szCs w:val="20"/>
                <w:lang w:eastAsia="en-GB"/>
              </w:rPr>
              <w:t xml:space="preserve"> постојећих интерконектора, паметних мрежа, агрегације, </w:t>
            </w:r>
            <w:r w:rsidR="0082355F" w:rsidRPr="0082355F">
              <w:rPr>
                <w:rFonts w:asciiTheme="majorHAnsi" w:eastAsia="Times New Roman" w:hAnsiTheme="majorHAnsi" w:cstheme="majorHAnsi"/>
                <w:color w:val="000000"/>
                <w:sz w:val="20"/>
                <w:szCs w:val="20"/>
                <w:lang w:eastAsia="en-GB"/>
              </w:rPr>
              <w:t>управљања потрошњом</w:t>
            </w:r>
            <w:r w:rsidRPr="00FF386D">
              <w:rPr>
                <w:rFonts w:asciiTheme="majorHAnsi" w:eastAsia="Times New Roman" w:hAnsiTheme="majorHAnsi" w:cstheme="majorHAnsi"/>
                <w:color w:val="000000"/>
                <w:sz w:val="20"/>
                <w:szCs w:val="20"/>
                <w:lang w:eastAsia="en-GB"/>
              </w:rPr>
              <w:t>, складиштења, дистрибуиране производње, механизама за диспеч</w:t>
            </w:r>
            <w:r w:rsidR="00583D9A">
              <w:rPr>
                <w:rFonts w:asciiTheme="majorHAnsi" w:eastAsia="Times New Roman" w:hAnsiTheme="majorHAnsi" w:cstheme="majorHAnsi"/>
                <w:color w:val="000000"/>
                <w:sz w:val="20"/>
                <w:szCs w:val="20"/>
                <w:lang w:eastAsia="en-GB"/>
              </w:rPr>
              <w:t>инг</w:t>
            </w:r>
            <w:r w:rsidRPr="00FF386D">
              <w:rPr>
                <w:rFonts w:asciiTheme="majorHAnsi" w:eastAsia="Times New Roman" w:hAnsiTheme="majorHAnsi" w:cstheme="majorHAnsi"/>
                <w:color w:val="000000"/>
                <w:sz w:val="20"/>
                <w:szCs w:val="20"/>
                <w:lang w:eastAsia="en-GB"/>
              </w:rPr>
              <w:t>, редиспе</w:t>
            </w:r>
            <w:r w:rsidR="009C5FE5" w:rsidRPr="00FF386D">
              <w:rPr>
                <w:rFonts w:asciiTheme="majorHAnsi" w:eastAsia="Times New Roman" w:hAnsiTheme="majorHAnsi" w:cstheme="majorHAnsi"/>
                <w:color w:val="000000"/>
                <w:sz w:val="20"/>
                <w:szCs w:val="20"/>
                <w:lang w:eastAsia="en-GB"/>
              </w:rPr>
              <w:t>ч</w:t>
            </w:r>
            <w:r w:rsidR="00583D9A">
              <w:rPr>
                <w:rFonts w:asciiTheme="majorHAnsi" w:eastAsia="Times New Roman" w:hAnsiTheme="majorHAnsi" w:cstheme="majorHAnsi"/>
                <w:color w:val="000000"/>
                <w:sz w:val="20"/>
                <w:szCs w:val="20"/>
                <w:lang w:eastAsia="en-GB"/>
              </w:rPr>
              <w:t>инг</w:t>
            </w:r>
            <w:r w:rsidR="0093249A" w:rsidRPr="00FF386D">
              <w:rPr>
                <w:rFonts w:asciiTheme="majorHAnsi" w:eastAsia="Times New Roman" w:hAnsiTheme="majorHAnsi" w:cstheme="majorHAnsi"/>
                <w:color w:val="000000"/>
                <w:sz w:val="20"/>
                <w:szCs w:val="20"/>
                <w:lang w:eastAsia="en-GB"/>
              </w:rPr>
              <w:t xml:space="preserve"> и</w:t>
            </w:r>
            <w:r w:rsidRPr="00FF386D">
              <w:rPr>
                <w:rFonts w:asciiTheme="majorHAnsi" w:eastAsia="Times New Roman" w:hAnsiTheme="majorHAnsi" w:cstheme="majorHAnsi"/>
                <w:color w:val="000000"/>
                <w:sz w:val="20"/>
                <w:szCs w:val="20"/>
                <w:lang w:eastAsia="en-GB"/>
              </w:rPr>
              <w:t xml:space="preserve"> огранич</w:t>
            </w:r>
            <w:r w:rsidR="008862E9" w:rsidRPr="00FF386D">
              <w:rPr>
                <w:rFonts w:asciiTheme="majorHAnsi" w:eastAsia="Times New Roman" w:hAnsiTheme="majorHAnsi" w:cstheme="majorHAnsi"/>
                <w:color w:val="000000"/>
                <w:sz w:val="20"/>
                <w:szCs w:val="20"/>
                <w:lang w:eastAsia="en-GB"/>
              </w:rPr>
              <w:t>авања производње</w:t>
            </w:r>
            <w:r w:rsidR="000E6E12" w:rsidRPr="00FF386D">
              <w:rPr>
                <w:rFonts w:asciiTheme="majorHAnsi" w:eastAsia="Times New Roman" w:hAnsiTheme="majorHAnsi" w:cstheme="majorHAnsi"/>
                <w:color w:val="000000"/>
                <w:sz w:val="20"/>
                <w:szCs w:val="20"/>
                <w:lang w:eastAsia="en-GB"/>
              </w:rPr>
              <w:t xml:space="preserve">, као и </w:t>
            </w:r>
            <w:r w:rsidRPr="00FF386D">
              <w:rPr>
                <w:rFonts w:asciiTheme="majorHAnsi" w:eastAsia="Times New Roman" w:hAnsiTheme="majorHAnsi" w:cstheme="majorHAnsi"/>
                <w:color w:val="000000"/>
                <w:sz w:val="20"/>
                <w:szCs w:val="20"/>
                <w:lang w:eastAsia="en-GB"/>
              </w:rPr>
              <w:t>ценовни</w:t>
            </w:r>
            <w:r w:rsidR="008862E9" w:rsidRPr="00FF386D">
              <w:rPr>
                <w:rFonts w:asciiTheme="majorHAnsi" w:eastAsia="Times New Roman" w:hAnsiTheme="majorHAnsi" w:cstheme="majorHAnsi"/>
                <w:color w:val="000000"/>
                <w:sz w:val="20"/>
                <w:szCs w:val="20"/>
                <w:lang w:eastAsia="en-GB"/>
              </w:rPr>
              <w:t>х</w:t>
            </w:r>
            <w:r w:rsidRPr="00FF386D">
              <w:rPr>
                <w:rFonts w:asciiTheme="majorHAnsi" w:eastAsia="Times New Roman" w:hAnsiTheme="majorHAnsi" w:cstheme="majorHAnsi"/>
                <w:color w:val="000000"/>
                <w:sz w:val="20"/>
                <w:szCs w:val="20"/>
                <w:lang w:eastAsia="en-GB"/>
              </w:rPr>
              <w:t xml:space="preserve"> сигнал</w:t>
            </w:r>
            <w:r w:rsidR="008862E9" w:rsidRPr="00FF386D">
              <w:rPr>
                <w:rFonts w:asciiTheme="majorHAnsi" w:eastAsia="Times New Roman" w:hAnsiTheme="majorHAnsi" w:cstheme="majorHAnsi"/>
                <w:color w:val="000000"/>
                <w:sz w:val="20"/>
                <w:szCs w:val="20"/>
                <w:lang w:eastAsia="en-GB"/>
              </w:rPr>
              <w:t>а</w:t>
            </w:r>
            <w:r w:rsidRPr="00FF386D">
              <w:rPr>
                <w:rFonts w:asciiTheme="majorHAnsi" w:eastAsia="Times New Roman" w:hAnsiTheme="majorHAnsi" w:cstheme="majorHAnsi"/>
                <w:color w:val="000000"/>
                <w:sz w:val="20"/>
                <w:szCs w:val="20"/>
                <w:lang w:eastAsia="en-GB"/>
              </w:rPr>
              <w:t xml:space="preserve"> у реалном времену.</w:t>
            </w:r>
            <w:r w:rsidR="00F02FC7">
              <w:rPr>
                <w:rFonts w:asciiTheme="majorHAnsi" w:eastAsia="Times New Roman" w:hAnsiTheme="majorHAnsi" w:cstheme="majorHAnsi"/>
                <w:color w:val="000000"/>
                <w:sz w:val="20"/>
                <w:szCs w:val="20"/>
                <w:lang w:eastAsia="en-GB"/>
              </w:rPr>
              <w:t xml:space="preserve"> Овде су укључени и </w:t>
            </w:r>
            <w:r w:rsidR="00F02FC7" w:rsidRPr="00F02FC7">
              <w:rPr>
                <w:rFonts w:asciiTheme="majorHAnsi" w:eastAsia="Times New Roman" w:hAnsiTheme="majorHAnsi" w:cstheme="majorHAnsi"/>
                <w:color w:val="000000"/>
                <w:sz w:val="20"/>
                <w:szCs w:val="20"/>
                <w:lang w:eastAsia="en-GB"/>
              </w:rPr>
              <w:t>сајбер безбедност</w:t>
            </w:r>
            <w:r w:rsidR="00F02FC7">
              <w:rPr>
                <w:rFonts w:asciiTheme="majorHAnsi" w:eastAsia="Times New Roman" w:hAnsiTheme="majorHAnsi" w:cstheme="majorHAnsi"/>
                <w:color w:val="000000"/>
                <w:sz w:val="20"/>
                <w:szCs w:val="20"/>
                <w:lang w:eastAsia="en-GB"/>
              </w:rPr>
              <w:t xml:space="preserve"> и отпорност енергетског сектора.</w:t>
            </w:r>
          </w:p>
        </w:tc>
      </w:tr>
      <w:tr w:rsidR="00854ADA" w:rsidRPr="00FF386D" w14:paraId="396E0EE9" w14:textId="77777777" w:rsidTr="0057310C">
        <w:trPr>
          <w:trHeight w:val="315"/>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3AD8172C" w14:textId="189B26D0"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30" w:type="dxa"/>
            <w:gridSpan w:val="3"/>
            <w:tcBorders>
              <w:top w:val="single" w:sz="8" w:space="0" w:color="auto"/>
              <w:left w:val="nil"/>
              <w:bottom w:val="single" w:sz="8" w:space="0" w:color="auto"/>
              <w:right w:val="single" w:sz="8" w:space="0" w:color="000000"/>
            </w:tcBorders>
            <w:vAlign w:val="center"/>
          </w:tcPr>
          <w:p w14:paraId="0EFDCB54" w14:textId="7D1B210D"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Индикатори повећаног квалитета снабдевања, смањење грешака у прогнози ОИЕ</w:t>
            </w:r>
            <w:r w:rsidR="00F02FC7">
              <w:rPr>
                <w:rFonts w:asciiTheme="majorHAnsi" w:eastAsia="Times New Roman" w:hAnsiTheme="majorHAnsi" w:cstheme="majorHAnsi"/>
                <w:color w:val="000000"/>
                <w:sz w:val="20"/>
                <w:szCs w:val="20"/>
                <w:lang w:eastAsia="en-GB"/>
              </w:rPr>
              <w:t xml:space="preserve">, унапређена сајбер безбедност и </w:t>
            </w:r>
            <w:r w:rsidR="00F02FC7" w:rsidRPr="00F02FC7">
              <w:rPr>
                <w:rFonts w:asciiTheme="majorHAnsi" w:eastAsia="Times New Roman" w:hAnsiTheme="majorHAnsi" w:cstheme="majorHAnsi"/>
                <w:color w:val="000000"/>
                <w:sz w:val="20"/>
                <w:szCs w:val="20"/>
                <w:lang w:eastAsia="en-GB"/>
              </w:rPr>
              <w:t>КПИ-јеви</w:t>
            </w:r>
          </w:p>
        </w:tc>
      </w:tr>
      <w:tr w:rsidR="00854ADA" w:rsidRPr="00FF386D" w14:paraId="42409894" w14:textId="77777777" w:rsidTr="0057310C">
        <w:trPr>
          <w:trHeight w:val="301"/>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4E3EDFB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30" w:type="dxa"/>
            <w:gridSpan w:val="3"/>
            <w:tcBorders>
              <w:top w:val="single" w:sz="8" w:space="0" w:color="auto"/>
              <w:left w:val="nil"/>
              <w:bottom w:val="single" w:sz="8" w:space="0" w:color="auto"/>
              <w:right w:val="single" w:sz="8" w:space="0" w:color="000000"/>
            </w:tcBorders>
            <w:vAlign w:val="center"/>
            <w:hideMark/>
          </w:tcPr>
          <w:p w14:paraId="7FF1FCDB" w14:textId="5F6A30CD" w:rsidR="00F02FC7" w:rsidRDefault="00854ADA" w:rsidP="000A2AFE">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w:t>
            </w:r>
            <w:r w:rsidR="0064362F" w:rsidRPr="00FF386D">
              <w:rPr>
                <w:rFonts w:ascii="Calibri Light" w:hAnsi="Calibri Light"/>
                <w:sz w:val="20"/>
              </w:rPr>
              <w:t>П</w:t>
            </w:r>
            <w:r w:rsidRPr="00FF386D">
              <w:rPr>
                <w:rFonts w:ascii="Calibri Light" w:hAnsi="Calibri Light"/>
                <w:sz w:val="20"/>
              </w:rPr>
              <w:t>_У</w:t>
            </w:r>
            <w:r w:rsidR="0064362F" w:rsidRPr="00FF386D">
              <w:rPr>
                <w:rFonts w:ascii="Calibri Light" w:hAnsi="Calibri Light"/>
                <w:sz w:val="20"/>
              </w:rPr>
              <w:t>ЕТ</w:t>
            </w:r>
            <w:r w:rsidRPr="00FF386D">
              <w:rPr>
                <w:rFonts w:ascii="Calibri Light" w:hAnsi="Calibri Light"/>
                <w:sz w:val="20"/>
              </w:rPr>
              <w:t>9 се односи на програм подржан политикама и финансијским средствима</w:t>
            </w:r>
            <w:r w:rsidR="000E6E12" w:rsidRPr="00FF386D">
              <w:rPr>
                <w:rFonts w:ascii="Calibri Light" w:hAnsi="Calibri Light"/>
                <w:sz w:val="20"/>
              </w:rPr>
              <w:t xml:space="preserve"> с циљем да се промовишу</w:t>
            </w:r>
            <w:r w:rsidRPr="00FF386D">
              <w:rPr>
                <w:rFonts w:ascii="Calibri Light" w:hAnsi="Calibri Light"/>
                <w:sz w:val="20"/>
              </w:rPr>
              <w:t xml:space="preserve"> паметн</w:t>
            </w:r>
            <w:r w:rsidR="000E6E12" w:rsidRPr="00FF386D">
              <w:rPr>
                <w:rFonts w:ascii="Calibri Light" w:hAnsi="Calibri Light"/>
                <w:sz w:val="20"/>
              </w:rPr>
              <w:t>е</w:t>
            </w:r>
            <w:r w:rsidRPr="00FF386D">
              <w:rPr>
                <w:rFonts w:ascii="Calibri Light" w:hAnsi="Calibri Light"/>
                <w:sz w:val="20"/>
              </w:rPr>
              <w:t xml:space="preserve"> мреж</w:t>
            </w:r>
            <w:r w:rsidR="000E6E12" w:rsidRPr="00FF386D">
              <w:rPr>
                <w:rFonts w:ascii="Calibri Light" w:hAnsi="Calibri Light"/>
                <w:sz w:val="20"/>
              </w:rPr>
              <w:t>е</w:t>
            </w:r>
            <w:r w:rsidRPr="00FF386D">
              <w:rPr>
                <w:rFonts w:ascii="Calibri Light" w:hAnsi="Calibri Light"/>
                <w:sz w:val="20"/>
              </w:rPr>
              <w:t xml:space="preserve"> и посебно да</w:t>
            </w:r>
            <w:r w:rsidR="000E6E12" w:rsidRPr="00FF386D">
              <w:rPr>
                <w:rFonts w:ascii="Calibri Light" w:hAnsi="Calibri Light"/>
                <w:sz w:val="20"/>
              </w:rPr>
              <w:t>је</w:t>
            </w:r>
            <w:r w:rsidRPr="00FF386D">
              <w:rPr>
                <w:rFonts w:ascii="Calibri Light" w:hAnsi="Calibri Light"/>
                <w:sz w:val="20"/>
              </w:rPr>
              <w:t xml:space="preserve"> приоритет примени </w:t>
            </w:r>
            <w:r w:rsidRPr="00FF386D">
              <w:rPr>
                <w:rFonts w:ascii="Calibri Light" w:hAnsi="Calibri Light"/>
                <w:i/>
                <w:iCs/>
                <w:sz w:val="20"/>
              </w:rPr>
              <w:t>IEC</w:t>
            </w:r>
            <w:r w:rsidRPr="00FF386D">
              <w:rPr>
                <w:rFonts w:ascii="Calibri Light" w:hAnsi="Calibri Light"/>
                <w:sz w:val="20"/>
              </w:rPr>
              <w:t xml:space="preserve"> 61850, одређивању сензорних тачака и алатима за предвиђање потражње и ОИЕ на средњорочном и краткорочном нивоу, праћењу квалитета параметара напајања (</w:t>
            </w:r>
            <w:r w:rsidRPr="00FF386D">
              <w:rPr>
                <w:rFonts w:ascii="Calibri Light" w:eastAsia="NSimSun" w:hAnsi="Calibri Light" w:cs="Mangal"/>
                <w:kern w:val="2"/>
                <w:sz w:val="20"/>
                <w:szCs w:val="24"/>
                <w:lang w:eastAsia="zh-CN" w:bidi="hi-IN"/>
              </w:rPr>
              <w:t>падови</w:t>
            </w:r>
            <w:r w:rsidRPr="00FF386D">
              <w:rPr>
                <w:rFonts w:ascii="Calibri Light" w:hAnsi="Calibri Light"/>
                <w:sz w:val="20"/>
              </w:rPr>
              <w:t xml:space="preserve">, </w:t>
            </w:r>
            <w:r w:rsidRPr="00FF386D">
              <w:rPr>
                <w:rFonts w:ascii="Calibri Light" w:eastAsia="NSimSun" w:hAnsi="Calibri Light" w:cs="Mangal"/>
                <w:kern w:val="2"/>
                <w:sz w:val="20"/>
                <w:szCs w:val="24"/>
                <w:lang w:eastAsia="zh-CN" w:bidi="hi-IN"/>
              </w:rPr>
              <w:t>скокови</w:t>
            </w:r>
            <w:r w:rsidRPr="00FF386D">
              <w:rPr>
                <w:rFonts w:ascii="Calibri Light" w:hAnsi="Calibri Light"/>
                <w:sz w:val="20"/>
              </w:rPr>
              <w:t xml:space="preserve"> итд.), као и </w:t>
            </w:r>
            <w:r w:rsidR="0082355F" w:rsidRPr="000A2AFE">
              <w:rPr>
                <w:rFonts w:ascii="Calibri Light" w:hAnsi="Calibri Light"/>
                <w:i/>
                <w:iCs/>
                <w:sz w:val="20"/>
              </w:rPr>
              <w:t>DLR</w:t>
            </w:r>
            <w:r w:rsidR="0082355F" w:rsidRPr="0082355F">
              <w:rPr>
                <w:rFonts w:ascii="Calibri Light" w:hAnsi="Calibri Light"/>
                <w:sz w:val="20"/>
              </w:rPr>
              <w:t xml:space="preserve"> (</w:t>
            </w:r>
            <w:r w:rsidR="0082355F">
              <w:rPr>
                <w:rFonts w:ascii="Calibri Light" w:hAnsi="Calibri Light"/>
                <w:sz w:val="20"/>
                <w:lang w:val="sr-Latn-RS"/>
              </w:rPr>
              <w:t>D</w:t>
            </w:r>
            <w:r w:rsidR="0082355F" w:rsidRPr="0082355F">
              <w:rPr>
                <w:rFonts w:ascii="Calibri Light" w:hAnsi="Calibri Light"/>
                <w:sz w:val="20"/>
              </w:rPr>
              <w:t xml:space="preserve">ynamic </w:t>
            </w:r>
            <w:r w:rsidR="0082355F">
              <w:rPr>
                <w:rFonts w:ascii="Calibri Light" w:hAnsi="Calibri Light"/>
                <w:sz w:val="20"/>
                <w:lang w:val="sr-Latn-RS"/>
              </w:rPr>
              <w:t>L</w:t>
            </w:r>
            <w:r w:rsidR="0082355F" w:rsidRPr="0082355F">
              <w:rPr>
                <w:rFonts w:ascii="Calibri Light" w:hAnsi="Calibri Light"/>
                <w:sz w:val="20"/>
              </w:rPr>
              <w:t xml:space="preserve">ine </w:t>
            </w:r>
            <w:r w:rsidR="0082355F">
              <w:rPr>
                <w:rFonts w:ascii="Calibri Light" w:hAnsi="Calibri Light"/>
                <w:sz w:val="20"/>
                <w:lang w:val="sr-Latn-RS"/>
              </w:rPr>
              <w:t>R</w:t>
            </w:r>
            <w:r w:rsidR="0082355F" w:rsidRPr="0082355F">
              <w:rPr>
                <w:rFonts w:ascii="Calibri Light" w:hAnsi="Calibri Light"/>
                <w:sz w:val="20"/>
              </w:rPr>
              <w:t>ating)</w:t>
            </w:r>
            <w:r w:rsidRPr="00FF386D">
              <w:rPr>
                <w:rFonts w:ascii="Calibri Light" w:hAnsi="Calibri Light"/>
                <w:sz w:val="20"/>
              </w:rPr>
              <w:t xml:space="preserve"> и каблова на важним чворовима система. Очекује се да ће ове мере побољшати уочљивост динамичких појава и тачност предвиђања оператора мреже. Осим тога, мера предвиђа инсталирање уређаја </w:t>
            </w:r>
            <w:r w:rsidRPr="00FF386D">
              <w:rPr>
                <w:rFonts w:ascii="Calibri Light" w:hAnsi="Calibri Light"/>
                <w:i/>
                <w:iCs/>
                <w:sz w:val="20"/>
              </w:rPr>
              <w:t>DLR</w:t>
            </w:r>
            <w:r w:rsidRPr="00FF386D">
              <w:rPr>
                <w:rFonts w:ascii="Calibri Light" w:hAnsi="Calibri Light"/>
                <w:sz w:val="20"/>
              </w:rPr>
              <w:t xml:space="preserve"> и </w:t>
            </w:r>
            <w:r w:rsidRPr="00FF386D">
              <w:rPr>
                <w:rFonts w:ascii="Calibri Light" w:hAnsi="Calibri Light"/>
                <w:i/>
                <w:iCs/>
                <w:sz w:val="20"/>
              </w:rPr>
              <w:t>FACTS</w:t>
            </w:r>
            <w:r w:rsidRPr="00FF386D">
              <w:rPr>
                <w:rFonts w:ascii="Calibri Light" w:hAnsi="Calibri Light"/>
                <w:sz w:val="20"/>
              </w:rPr>
              <w:t xml:space="preserve"> на преносној мрежи у деловима за које се сматра да омогућавају већу флексибилност при интеграцији обновљивих извора</w:t>
            </w:r>
            <w:r w:rsidRPr="000A2AFE">
              <w:rPr>
                <w:rFonts w:asciiTheme="majorHAnsi" w:eastAsia="Times New Roman" w:hAnsiTheme="majorHAnsi" w:cstheme="majorHAnsi"/>
                <w:color w:val="000000"/>
                <w:sz w:val="20"/>
                <w:szCs w:val="20"/>
                <w:lang w:eastAsia="en-GB"/>
              </w:rPr>
              <w:t>.</w:t>
            </w:r>
          </w:p>
          <w:p w14:paraId="5D19CFAA" w14:textId="5F6B4675" w:rsidR="00F02FC7" w:rsidRPr="00FF386D" w:rsidRDefault="00F02FC7" w:rsidP="00583D9A">
            <w:pPr>
              <w:spacing w:after="0" w:line="240" w:lineRule="auto"/>
              <w:jc w:val="both"/>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Горе наведено уважава и унапређење сајбер безбедности и отпорности енергетског сектора, успостављањем одговарајућих индикатора за праћење напретка и КПИ-ијева.</w:t>
            </w:r>
          </w:p>
        </w:tc>
      </w:tr>
      <w:tr w:rsidR="00854ADA" w:rsidRPr="00FF386D" w14:paraId="3E3D9541" w14:textId="77777777" w:rsidTr="0057310C">
        <w:trPr>
          <w:trHeight w:val="315"/>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432A4E3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30" w:type="dxa"/>
            <w:gridSpan w:val="3"/>
            <w:tcBorders>
              <w:top w:val="single" w:sz="8" w:space="0" w:color="auto"/>
              <w:left w:val="nil"/>
              <w:bottom w:val="single" w:sz="8" w:space="0" w:color="auto"/>
              <w:right w:val="single" w:sz="8" w:space="0" w:color="000000"/>
            </w:tcBorders>
            <w:vAlign w:val="center"/>
            <w:hideMark/>
          </w:tcPr>
          <w:p w14:paraId="490775C3"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2026-2030.</w:t>
            </w:r>
          </w:p>
        </w:tc>
      </w:tr>
      <w:tr w:rsidR="00854ADA" w:rsidRPr="00FF386D" w14:paraId="4E6DA242" w14:textId="77777777" w:rsidTr="0057310C">
        <w:trPr>
          <w:trHeight w:val="315"/>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5B93A92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30" w:type="dxa"/>
            <w:gridSpan w:val="3"/>
            <w:tcBorders>
              <w:top w:val="single" w:sz="8" w:space="0" w:color="auto"/>
              <w:left w:val="nil"/>
              <w:bottom w:val="single" w:sz="8" w:space="0" w:color="auto"/>
              <w:right w:val="single" w:sz="8" w:space="0" w:color="000000"/>
            </w:tcBorders>
            <w:vAlign w:val="center"/>
            <w:hideMark/>
          </w:tcPr>
          <w:p w14:paraId="4ACDA632"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Инвестиције</w:t>
            </w:r>
          </w:p>
        </w:tc>
      </w:tr>
      <w:tr w:rsidR="00854ADA" w:rsidRPr="00FF386D" w14:paraId="41ED977B" w14:textId="77777777" w:rsidTr="0057310C">
        <w:trPr>
          <w:trHeight w:val="315"/>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5EF68C8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30" w:type="dxa"/>
            <w:gridSpan w:val="3"/>
            <w:tcBorders>
              <w:top w:val="single" w:sz="8" w:space="0" w:color="auto"/>
              <w:left w:val="nil"/>
              <w:bottom w:val="single" w:sz="8" w:space="0" w:color="auto"/>
              <w:right w:val="single" w:sz="8" w:space="0" w:color="000000"/>
            </w:tcBorders>
            <w:vAlign w:val="center"/>
            <w:hideMark/>
          </w:tcPr>
          <w:p w14:paraId="3378F220"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Електрична енергија</w:t>
            </w:r>
          </w:p>
        </w:tc>
      </w:tr>
      <w:tr w:rsidR="00854ADA" w:rsidRPr="00FF386D" w14:paraId="5848011B" w14:textId="77777777" w:rsidTr="0057310C">
        <w:trPr>
          <w:trHeight w:val="315"/>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52D92C1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30" w:type="dxa"/>
            <w:gridSpan w:val="3"/>
            <w:tcBorders>
              <w:top w:val="single" w:sz="8" w:space="0" w:color="auto"/>
              <w:left w:val="nil"/>
              <w:bottom w:val="single" w:sz="8" w:space="0" w:color="auto"/>
              <w:right w:val="single" w:sz="8" w:space="0" w:color="000000"/>
            </w:tcBorders>
            <w:vAlign w:val="center"/>
            <w:hideMark/>
          </w:tcPr>
          <w:p w14:paraId="707C4E9B" w14:textId="77777777" w:rsidR="00854ADA" w:rsidRPr="00FF386D" w:rsidRDefault="00854ADA" w:rsidP="00854ADA">
            <w:pPr>
              <w:numPr>
                <w:ilvl w:val="0"/>
                <w:numId w:val="51"/>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рударства и енергетике</w:t>
            </w:r>
          </w:p>
          <w:p w14:paraId="6BE0869E" w14:textId="77777777" w:rsidR="00854ADA" w:rsidRPr="00FF386D" w:rsidRDefault="00854ADA" w:rsidP="00854ADA">
            <w:pPr>
              <w:numPr>
                <w:ilvl w:val="0"/>
                <w:numId w:val="51"/>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ЕМС</w:t>
            </w:r>
          </w:p>
          <w:p w14:paraId="1F995469" w14:textId="07DF0337" w:rsidR="00854ADA" w:rsidRPr="00FF386D" w:rsidRDefault="00583D9A" w:rsidP="00854ADA">
            <w:pPr>
              <w:numPr>
                <w:ilvl w:val="0"/>
                <w:numId w:val="51"/>
              </w:numPr>
              <w:spacing w:after="0" w:line="240" w:lineRule="auto"/>
              <w:contextualSpacing/>
              <w:jc w:val="both"/>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 xml:space="preserve">Електродистрибуција Србије д.о.о. Београд ЕПС </w:t>
            </w:r>
          </w:p>
        </w:tc>
      </w:tr>
      <w:tr w:rsidR="00854ADA" w:rsidRPr="00FF386D" w14:paraId="7A8E9AEC" w14:textId="77777777" w:rsidTr="0057310C">
        <w:trPr>
          <w:trHeight w:val="315"/>
        </w:trPr>
        <w:tc>
          <w:tcPr>
            <w:tcW w:w="3258" w:type="dxa"/>
            <w:tcBorders>
              <w:top w:val="nil"/>
              <w:left w:val="single" w:sz="8" w:space="0" w:color="auto"/>
              <w:bottom w:val="single" w:sz="8" w:space="0" w:color="auto"/>
              <w:right w:val="nil"/>
            </w:tcBorders>
            <w:shd w:val="clear" w:color="000000" w:fill="244062"/>
            <w:vAlign w:val="center"/>
            <w:hideMark/>
          </w:tcPr>
          <w:p w14:paraId="5D5F552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30" w:type="dxa"/>
            <w:gridSpan w:val="3"/>
            <w:tcBorders>
              <w:top w:val="single" w:sz="8" w:space="0" w:color="auto"/>
              <w:left w:val="nil"/>
              <w:bottom w:val="single" w:sz="8" w:space="0" w:color="auto"/>
              <w:right w:val="single" w:sz="8" w:space="0" w:color="000000"/>
            </w:tcBorders>
            <w:vAlign w:val="center"/>
            <w:hideMark/>
          </w:tcPr>
          <w:p w14:paraId="2D52AC09" w14:textId="77777777" w:rsidR="00854ADA" w:rsidRPr="00FF386D" w:rsidRDefault="00854ADA" w:rsidP="00854ADA">
            <w:pPr>
              <w:numPr>
                <w:ilvl w:val="0"/>
                <w:numId w:val="51"/>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ЕМС</w:t>
            </w:r>
          </w:p>
          <w:p w14:paraId="579E9A34" w14:textId="118B0730" w:rsidR="00854ADA" w:rsidRPr="00FF386D" w:rsidRDefault="00583D9A" w:rsidP="00854ADA">
            <w:pPr>
              <w:numPr>
                <w:ilvl w:val="0"/>
                <w:numId w:val="51"/>
              </w:numPr>
              <w:spacing w:after="0" w:line="240" w:lineRule="auto"/>
              <w:contextualSpacing/>
              <w:jc w:val="both"/>
              <w:rPr>
                <w:rFonts w:asciiTheme="majorHAnsi" w:eastAsia="Times New Roman" w:hAnsiTheme="majorHAnsi" w:cstheme="majorHAnsi"/>
                <w:color w:val="000000"/>
                <w:sz w:val="20"/>
                <w:szCs w:val="20"/>
                <w:lang w:eastAsia="en-GB"/>
              </w:rPr>
            </w:pPr>
            <w:r w:rsidRPr="00583D9A">
              <w:rPr>
                <w:rFonts w:asciiTheme="majorHAnsi" w:eastAsia="Times New Roman" w:hAnsiTheme="majorHAnsi" w:cstheme="majorHAnsi"/>
                <w:color w:val="000000"/>
                <w:sz w:val="20"/>
                <w:szCs w:val="20"/>
                <w:lang w:eastAsia="en-GB"/>
              </w:rPr>
              <w:t>Електродистрибуција Србије д.о.о. Београд ЕПС</w:t>
            </w:r>
          </w:p>
        </w:tc>
      </w:tr>
      <w:tr w:rsidR="00854ADA" w:rsidRPr="00FF386D" w14:paraId="59909059" w14:textId="77777777" w:rsidTr="0057310C">
        <w:trPr>
          <w:trHeight w:val="315"/>
        </w:trPr>
        <w:tc>
          <w:tcPr>
            <w:tcW w:w="3258" w:type="dxa"/>
            <w:tcBorders>
              <w:top w:val="nil"/>
              <w:left w:val="single" w:sz="8" w:space="0" w:color="auto"/>
              <w:bottom w:val="single" w:sz="8" w:space="0" w:color="auto"/>
              <w:right w:val="nil"/>
            </w:tcBorders>
            <w:shd w:val="clear" w:color="000000" w:fill="244062"/>
            <w:vAlign w:val="center"/>
            <w:hideMark/>
          </w:tcPr>
          <w:p w14:paraId="4BDA4E5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30" w:type="dxa"/>
            <w:gridSpan w:val="3"/>
            <w:tcBorders>
              <w:top w:val="single" w:sz="8" w:space="0" w:color="auto"/>
              <w:left w:val="nil"/>
              <w:bottom w:val="single" w:sz="8" w:space="0" w:color="auto"/>
              <w:right w:val="single" w:sz="8" w:space="0" w:color="000000"/>
            </w:tcBorders>
            <w:vAlign w:val="center"/>
            <w:hideMark/>
          </w:tcPr>
          <w:p w14:paraId="10FD1EBA"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Индикатори квалитета снабдевања (нпр. </w:t>
            </w:r>
            <w:r w:rsidRPr="00FF386D">
              <w:rPr>
                <w:rFonts w:asciiTheme="majorHAnsi" w:eastAsia="Times New Roman" w:hAnsiTheme="majorHAnsi" w:cstheme="majorHAnsi"/>
                <w:i/>
                <w:iCs/>
                <w:color w:val="000000"/>
                <w:sz w:val="20"/>
                <w:szCs w:val="20"/>
                <w:lang w:eastAsia="en-GB"/>
              </w:rPr>
              <w:t>SAIDI, SAIFI, ENS</w:t>
            </w:r>
            <w:r w:rsidRPr="00FF386D">
              <w:rPr>
                <w:rFonts w:asciiTheme="majorHAnsi" w:eastAsia="Times New Roman" w:hAnsiTheme="majorHAnsi" w:cstheme="majorHAnsi"/>
                <w:color w:val="000000"/>
                <w:sz w:val="20"/>
                <w:szCs w:val="20"/>
                <w:lang w:eastAsia="en-GB"/>
              </w:rPr>
              <w:t>)</w:t>
            </w:r>
          </w:p>
        </w:tc>
      </w:tr>
      <w:tr w:rsidR="00854ADA" w:rsidRPr="00FF386D" w14:paraId="4B2A67E5" w14:textId="77777777" w:rsidTr="0057310C">
        <w:trPr>
          <w:trHeight w:val="813"/>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19FE8AD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Обухваћене релевантне димензије Енергетске уније</w:t>
            </w:r>
          </w:p>
        </w:tc>
        <w:tc>
          <w:tcPr>
            <w:tcW w:w="6230" w:type="dxa"/>
            <w:gridSpan w:val="3"/>
            <w:tcBorders>
              <w:top w:val="single" w:sz="8" w:space="0" w:color="auto"/>
              <w:left w:val="nil"/>
              <w:bottom w:val="single" w:sz="8" w:space="0" w:color="auto"/>
              <w:right w:val="single" w:sz="8" w:space="0" w:color="000000"/>
            </w:tcBorders>
            <w:vAlign w:val="center"/>
            <w:hideMark/>
          </w:tcPr>
          <w:p w14:paraId="1408EF1C" w14:textId="77777777" w:rsidR="00854ADA" w:rsidRPr="00FF386D" w:rsidRDefault="00854ADA" w:rsidP="00854ADA">
            <w:pPr>
              <w:numPr>
                <w:ilvl w:val="0"/>
                <w:numId w:val="51"/>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Енергетска сигурност</w:t>
            </w:r>
          </w:p>
          <w:p w14:paraId="796D0D2E" w14:textId="51BAF66C" w:rsidR="00F42430" w:rsidRPr="000A2AFE" w:rsidRDefault="00F42430" w:rsidP="00854ADA">
            <w:pPr>
              <w:numPr>
                <w:ilvl w:val="0"/>
                <w:numId w:val="51"/>
              </w:numPr>
              <w:spacing w:after="0" w:line="240" w:lineRule="auto"/>
              <w:contextualSpacing/>
              <w:jc w:val="both"/>
              <w:rPr>
                <w:rFonts w:asciiTheme="majorHAnsi" w:eastAsia="Times New Roman" w:hAnsiTheme="majorHAnsi" w:cstheme="majorHAnsi"/>
                <w:color w:val="000000"/>
                <w:sz w:val="20"/>
                <w:szCs w:val="20"/>
                <w:lang w:eastAsia="en-GB"/>
              </w:rPr>
            </w:pPr>
          </w:p>
          <w:p w14:paraId="24EF9307" w14:textId="77777777" w:rsidR="00583D9A" w:rsidRDefault="00583D9A" w:rsidP="00854ADA">
            <w:pPr>
              <w:numPr>
                <w:ilvl w:val="0"/>
                <w:numId w:val="51"/>
              </w:numPr>
              <w:spacing w:after="0" w:line="240" w:lineRule="auto"/>
              <w:contextualSpacing/>
              <w:jc w:val="both"/>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Декарбонизација</w:t>
            </w:r>
          </w:p>
          <w:p w14:paraId="5520174A" w14:textId="53AD1BD5" w:rsidR="00583D9A" w:rsidRPr="00FF386D" w:rsidRDefault="00583D9A" w:rsidP="00854ADA">
            <w:pPr>
              <w:numPr>
                <w:ilvl w:val="0"/>
                <w:numId w:val="51"/>
              </w:numPr>
              <w:spacing w:after="0" w:line="240" w:lineRule="auto"/>
              <w:contextualSpacing/>
              <w:jc w:val="both"/>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Енергетска ефикасност</w:t>
            </w:r>
          </w:p>
        </w:tc>
      </w:tr>
      <w:tr w:rsidR="00854ADA" w:rsidRPr="00FF386D" w14:paraId="6A2FE279" w14:textId="77777777" w:rsidTr="0057310C">
        <w:trPr>
          <w:trHeight w:val="450"/>
        </w:trPr>
        <w:tc>
          <w:tcPr>
            <w:tcW w:w="3258"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34E09941" w14:textId="054BCAD0"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3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27641D05" w14:textId="77777777" w:rsidR="00854ADA" w:rsidRPr="000A2AFE" w:rsidRDefault="00854ADA" w:rsidP="00854ADA">
            <w:pPr>
              <w:numPr>
                <w:ilvl w:val="0"/>
                <w:numId w:val="4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Директива</w:t>
            </w:r>
            <w:r w:rsidRPr="000A2AFE">
              <w:rPr>
                <w:rFonts w:asciiTheme="majorHAnsi" w:eastAsia="Times New Roman" w:hAnsiTheme="majorHAnsi" w:cstheme="majorHAnsi"/>
                <w:color w:val="000000"/>
                <w:sz w:val="20"/>
                <w:szCs w:val="20"/>
                <w:lang w:eastAsia="en-GB"/>
              </w:rPr>
              <w:t>2009/72/EЗ</w:t>
            </w:r>
          </w:p>
          <w:p w14:paraId="46BA0A74" w14:textId="77777777" w:rsidR="00854ADA" w:rsidRPr="00FF386D" w:rsidRDefault="00854ADA" w:rsidP="00854ADA">
            <w:pPr>
              <w:numPr>
                <w:ilvl w:val="0"/>
                <w:numId w:val="51"/>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 xml:space="preserve">Уредба </w:t>
            </w:r>
            <w:r w:rsidRPr="000A2AFE">
              <w:rPr>
                <w:rFonts w:asciiTheme="majorHAnsi" w:eastAsia="Times New Roman" w:hAnsiTheme="majorHAnsi" w:cstheme="majorHAnsi"/>
                <w:color w:val="000000"/>
                <w:sz w:val="20"/>
                <w:szCs w:val="20"/>
                <w:lang w:eastAsia="en-GB"/>
              </w:rPr>
              <w:t xml:space="preserve">(ЕУ) бр. 347/2013 </w:t>
            </w:r>
          </w:p>
        </w:tc>
      </w:tr>
      <w:tr w:rsidR="00854ADA" w:rsidRPr="00FF386D" w14:paraId="4E4C75AB"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4A103018"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30" w:type="dxa"/>
            <w:gridSpan w:val="3"/>
            <w:vMerge/>
            <w:tcBorders>
              <w:top w:val="single" w:sz="8" w:space="0" w:color="auto"/>
              <w:left w:val="single" w:sz="8" w:space="0" w:color="auto"/>
              <w:bottom w:val="single" w:sz="8" w:space="0" w:color="000000"/>
              <w:right w:val="single" w:sz="8" w:space="0" w:color="000000"/>
            </w:tcBorders>
            <w:vAlign w:val="center"/>
            <w:hideMark/>
          </w:tcPr>
          <w:p w14:paraId="6A11F763"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1F1FAF07"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664AFFC1"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30" w:type="dxa"/>
            <w:gridSpan w:val="3"/>
            <w:vMerge/>
            <w:tcBorders>
              <w:top w:val="single" w:sz="8" w:space="0" w:color="auto"/>
              <w:left w:val="single" w:sz="8" w:space="0" w:color="auto"/>
              <w:bottom w:val="single" w:sz="8" w:space="0" w:color="000000"/>
              <w:right w:val="single" w:sz="8" w:space="0" w:color="000000"/>
            </w:tcBorders>
            <w:vAlign w:val="center"/>
            <w:hideMark/>
          </w:tcPr>
          <w:p w14:paraId="664278C3"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43D7ACC2" w14:textId="77777777" w:rsidTr="0057310C">
        <w:trPr>
          <w:trHeight w:val="780"/>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1D8A5F6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30" w:type="dxa"/>
            <w:gridSpan w:val="3"/>
            <w:tcBorders>
              <w:top w:val="single" w:sz="8" w:space="0" w:color="auto"/>
              <w:left w:val="nil"/>
              <w:bottom w:val="single" w:sz="8" w:space="0" w:color="auto"/>
              <w:right w:val="single" w:sz="8" w:space="0" w:color="000000"/>
            </w:tcBorders>
            <w:vAlign w:val="center"/>
            <w:hideMark/>
          </w:tcPr>
          <w:p w14:paraId="651E5C4C" w14:textId="77777777" w:rsidR="00854ADA" w:rsidRDefault="00854ADA" w:rsidP="00854ADA">
            <w:pPr>
              <w:numPr>
                <w:ilvl w:val="0"/>
                <w:numId w:val="5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Закон о енергетици</w:t>
            </w:r>
          </w:p>
          <w:p w14:paraId="607A0326" w14:textId="17D16ACF" w:rsidR="00583D9A" w:rsidRPr="00FF386D" w:rsidRDefault="00583D9A" w:rsidP="00854ADA">
            <w:pPr>
              <w:numPr>
                <w:ilvl w:val="0"/>
                <w:numId w:val="52"/>
              </w:numPr>
              <w:spacing w:after="0" w:line="240" w:lineRule="auto"/>
              <w:contextualSpacing/>
              <w:jc w:val="both"/>
              <w:rPr>
                <w:rFonts w:asciiTheme="majorHAnsi" w:eastAsia="Times New Roman" w:hAnsiTheme="majorHAnsi" w:cstheme="majorHAnsi"/>
                <w:color w:val="000000"/>
                <w:sz w:val="20"/>
                <w:szCs w:val="20"/>
                <w:lang w:eastAsia="en-GB"/>
              </w:rPr>
            </w:pPr>
            <w:r w:rsidRPr="00583D9A">
              <w:rPr>
                <w:rFonts w:asciiTheme="majorHAnsi" w:eastAsia="Times New Roman" w:hAnsiTheme="majorHAnsi" w:cstheme="majorHAnsi"/>
                <w:color w:val="000000"/>
                <w:sz w:val="20"/>
                <w:szCs w:val="20"/>
                <w:lang w:eastAsia="en-GB"/>
              </w:rPr>
              <w:t>Закон о коришћењу обновљивих извора енергије</w:t>
            </w:r>
          </w:p>
        </w:tc>
      </w:tr>
      <w:tr w:rsidR="00854ADA" w:rsidRPr="00FF386D" w14:paraId="27B19C33" w14:textId="77777777" w:rsidTr="0057310C">
        <w:trPr>
          <w:trHeight w:val="315"/>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440B742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30" w:type="dxa"/>
            <w:gridSpan w:val="3"/>
            <w:tcBorders>
              <w:top w:val="single" w:sz="8" w:space="0" w:color="auto"/>
              <w:left w:val="nil"/>
              <w:bottom w:val="single" w:sz="8" w:space="0" w:color="auto"/>
              <w:right w:val="single" w:sz="8" w:space="0" w:color="000000"/>
            </w:tcBorders>
            <w:vAlign w:val="center"/>
            <w:hideMark/>
          </w:tcPr>
          <w:p w14:paraId="0673E8AB"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10 милиона евра</w:t>
            </w:r>
          </w:p>
        </w:tc>
      </w:tr>
      <w:tr w:rsidR="00854ADA" w:rsidRPr="00FF386D" w14:paraId="63B24F35" w14:textId="77777777" w:rsidTr="0057310C">
        <w:trPr>
          <w:trHeight w:val="315"/>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63C20D3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30" w:type="dxa"/>
            <w:gridSpan w:val="3"/>
            <w:tcBorders>
              <w:top w:val="single" w:sz="8" w:space="0" w:color="auto"/>
              <w:left w:val="nil"/>
              <w:bottom w:val="single" w:sz="8" w:space="0" w:color="auto"/>
              <w:right w:val="single" w:sz="8" w:space="0" w:color="000000"/>
            </w:tcBorders>
            <w:vAlign w:val="center"/>
            <w:hideMark/>
          </w:tcPr>
          <w:p w14:paraId="2681FC21" w14:textId="44BB10D4"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F42430" w:rsidRPr="00FF386D">
              <w:rPr>
                <w:rFonts w:ascii="Calibri Light" w:eastAsia="Times New Roman" w:hAnsi="Calibri Light" w:cs="Calibri Light"/>
                <w:color w:val="000000"/>
                <w:sz w:val="20"/>
                <w:szCs w:val="20"/>
                <w:lang w:eastAsia="en-GB"/>
              </w:rPr>
              <w:t>ска и</w:t>
            </w:r>
            <w:r w:rsidRPr="00FF386D">
              <w:rPr>
                <w:rFonts w:ascii="Calibri Light" w:eastAsia="Times New Roman" w:hAnsi="Calibri Light" w:cs="Calibri Light"/>
                <w:color w:val="000000"/>
                <w:sz w:val="20"/>
                <w:szCs w:val="20"/>
                <w:lang w:eastAsia="en-GB"/>
              </w:rPr>
              <w:t xml:space="preserve"> сопствена средства</w:t>
            </w:r>
          </w:p>
        </w:tc>
      </w:tr>
    </w:tbl>
    <w:p w14:paraId="0F4F3A61" w14:textId="77777777" w:rsidR="00854ADA" w:rsidRPr="00565B02" w:rsidRDefault="00854ADA" w:rsidP="00565B02">
      <w:pPr>
        <w:pStyle w:val="Heading3"/>
        <w:spacing w:after="240"/>
        <w:rPr>
          <w:lang w:val="sr-Cyrl-RS"/>
        </w:rPr>
      </w:pPr>
      <w:r w:rsidRPr="00565B02">
        <w:rPr>
          <w:lang w:val="sr-Cyrl-RS"/>
        </w:rPr>
        <w:t>Интеграција тржишта</w:t>
      </w:r>
    </w:p>
    <w:tbl>
      <w:tblPr>
        <w:tblW w:w="9488" w:type="dxa"/>
        <w:tblLook w:val="04A0" w:firstRow="1" w:lastRow="0" w:firstColumn="1" w:lastColumn="0" w:noHBand="0" w:noVBand="1"/>
      </w:tblPr>
      <w:tblGrid>
        <w:gridCol w:w="3137"/>
        <w:gridCol w:w="1666"/>
        <w:gridCol w:w="906"/>
        <w:gridCol w:w="3779"/>
      </w:tblGrid>
      <w:tr w:rsidR="00854ADA" w:rsidRPr="00FF386D" w14:paraId="32241B16" w14:textId="77777777" w:rsidTr="0057310C">
        <w:trPr>
          <w:trHeight w:val="780"/>
        </w:trPr>
        <w:tc>
          <w:tcPr>
            <w:tcW w:w="3137"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495A4460" w14:textId="132CC219"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666" w:type="dxa"/>
            <w:tcBorders>
              <w:top w:val="single" w:sz="8" w:space="0" w:color="auto"/>
              <w:left w:val="nil"/>
              <w:bottom w:val="single" w:sz="8" w:space="0" w:color="auto"/>
              <w:right w:val="single" w:sz="8" w:space="0" w:color="auto"/>
            </w:tcBorders>
            <w:shd w:val="clear" w:color="auto" w:fill="E7E6E6" w:themeFill="background2"/>
            <w:vAlign w:val="center"/>
            <w:hideMark/>
          </w:tcPr>
          <w:p w14:paraId="26FDEC38" w14:textId="64DFE90D"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МП_УЕ</w:t>
            </w:r>
            <w:r w:rsidR="004F331E" w:rsidRPr="00FF386D">
              <w:rPr>
                <w:rFonts w:ascii="Calibri Light" w:hAnsi="Calibri Light"/>
                <w:b/>
                <w:sz w:val="20"/>
              </w:rPr>
              <w:t>Т</w:t>
            </w:r>
            <w:r w:rsidRPr="00FF386D">
              <w:rPr>
                <w:rFonts w:ascii="Calibri Light" w:hAnsi="Calibri Light"/>
                <w:b/>
                <w:sz w:val="20"/>
              </w:rPr>
              <w:t>11</w:t>
            </w:r>
          </w:p>
        </w:tc>
        <w:tc>
          <w:tcPr>
            <w:tcW w:w="906" w:type="dxa"/>
            <w:tcBorders>
              <w:top w:val="single" w:sz="8" w:space="0" w:color="auto"/>
              <w:left w:val="nil"/>
              <w:bottom w:val="single" w:sz="8" w:space="0" w:color="auto"/>
              <w:right w:val="single" w:sz="8" w:space="0" w:color="auto"/>
            </w:tcBorders>
            <w:shd w:val="clear" w:color="auto" w:fill="244062"/>
            <w:vAlign w:val="center"/>
            <w:hideMark/>
          </w:tcPr>
          <w:p w14:paraId="765BF5E9"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3779" w:type="dxa"/>
            <w:tcBorders>
              <w:top w:val="single" w:sz="8" w:space="0" w:color="auto"/>
              <w:left w:val="nil"/>
              <w:bottom w:val="single" w:sz="8" w:space="0" w:color="auto"/>
              <w:right w:val="single" w:sz="8" w:space="0" w:color="auto"/>
            </w:tcBorders>
            <w:shd w:val="clear" w:color="auto" w:fill="E7E6E6" w:themeFill="background2"/>
            <w:vAlign w:val="center"/>
            <w:hideMark/>
          </w:tcPr>
          <w:p w14:paraId="40F5D61E" w14:textId="61199764" w:rsidR="00854ADA" w:rsidRPr="00FF386D" w:rsidRDefault="00854ADA" w:rsidP="000A2AFE">
            <w:pPr>
              <w:spacing w:after="0" w:line="240" w:lineRule="auto"/>
              <w:rPr>
                <w:rFonts w:ascii="Calibri Light" w:eastAsia="Times New Roman" w:hAnsi="Calibri Light" w:cs="Calibri Light"/>
                <w:b/>
                <w:bCs/>
                <w:color w:val="000000"/>
                <w:sz w:val="20"/>
                <w:szCs w:val="20"/>
                <w:lang w:eastAsia="en-GB"/>
              </w:rPr>
            </w:pPr>
            <w:r w:rsidRPr="00FF386D">
              <w:rPr>
                <w:rFonts w:ascii="Calibri Light" w:hAnsi="Calibri Light"/>
                <w:b/>
                <w:sz w:val="20"/>
              </w:rPr>
              <w:t>Увођење напредних мерних уређаја</w:t>
            </w:r>
            <w:r w:rsidR="00A02F04">
              <w:rPr>
                <w:rFonts w:ascii="Calibri Light" w:hAnsi="Calibri Light"/>
                <w:b/>
                <w:sz w:val="20"/>
              </w:rPr>
              <w:t xml:space="preserve"> за електричну енергију </w:t>
            </w:r>
            <w:r w:rsidR="00A02F04" w:rsidRPr="000A2AFE">
              <w:rPr>
                <w:rFonts w:ascii="Calibri Light" w:hAnsi="Calibri Light"/>
                <w:bCs/>
                <w:sz w:val="20"/>
              </w:rPr>
              <w:t>Електродистрибуција Србије доо Београд ЕПС</w:t>
            </w:r>
          </w:p>
        </w:tc>
      </w:tr>
      <w:tr w:rsidR="00854ADA" w:rsidRPr="00FF386D" w14:paraId="5BB6810D" w14:textId="77777777" w:rsidTr="0057310C">
        <w:trPr>
          <w:trHeight w:val="381"/>
        </w:trPr>
        <w:tc>
          <w:tcPr>
            <w:tcW w:w="3137" w:type="dxa"/>
            <w:tcBorders>
              <w:top w:val="nil"/>
              <w:left w:val="single" w:sz="8" w:space="0" w:color="auto"/>
              <w:bottom w:val="single" w:sz="8" w:space="0" w:color="auto"/>
              <w:right w:val="nil"/>
            </w:tcBorders>
            <w:shd w:val="clear" w:color="000000" w:fill="244062"/>
            <w:vAlign w:val="center"/>
            <w:hideMark/>
          </w:tcPr>
          <w:p w14:paraId="2E2FDAD5" w14:textId="371EE5F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351" w:type="dxa"/>
            <w:gridSpan w:val="3"/>
            <w:tcBorders>
              <w:top w:val="single" w:sz="8" w:space="0" w:color="auto"/>
              <w:left w:val="nil"/>
              <w:bottom w:val="single" w:sz="8" w:space="0" w:color="auto"/>
              <w:right w:val="single" w:sz="8" w:space="0" w:color="000000"/>
            </w:tcBorders>
            <w:vAlign w:val="center"/>
            <w:hideMark/>
          </w:tcPr>
          <w:p w14:paraId="7CEAEDEC" w14:textId="3A13FFE7" w:rsidR="00854ADA" w:rsidRPr="00FF386D" w:rsidRDefault="008862E9"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Theme="majorHAnsi" w:eastAsia="Times New Roman" w:hAnsiTheme="majorHAnsi" w:cstheme="majorHAnsi"/>
                <w:color w:val="000000"/>
                <w:sz w:val="20"/>
                <w:szCs w:val="20"/>
                <w:lang w:eastAsia="en-GB"/>
              </w:rPr>
              <w:t>Повећана флексибилност система и квалитет снабдевања електричном енергијом, посебно применом политика и мера које се односе на формирање цена заснованих на тржишту у складу са важећим законом; интеграција и спајање тржишта с циљем да се повећају капацитети</w:t>
            </w:r>
            <w:r w:rsidR="00FD1046">
              <w:t xml:space="preserve"> </w:t>
            </w:r>
            <w:r w:rsidR="00FD1046" w:rsidRPr="00FD1046">
              <w:rPr>
                <w:rFonts w:asciiTheme="majorHAnsi" w:eastAsia="Times New Roman" w:hAnsiTheme="majorHAnsi" w:cstheme="majorHAnsi"/>
                <w:color w:val="000000"/>
                <w:sz w:val="20"/>
                <w:szCs w:val="20"/>
                <w:lang w:eastAsia="en-GB"/>
              </w:rPr>
              <w:t>за трговање</w:t>
            </w:r>
            <w:r w:rsidRPr="00FF386D">
              <w:rPr>
                <w:rFonts w:asciiTheme="majorHAnsi" w:eastAsia="Times New Roman" w:hAnsiTheme="majorHAnsi" w:cstheme="majorHAnsi"/>
                <w:color w:val="000000"/>
                <w:sz w:val="20"/>
                <w:szCs w:val="20"/>
                <w:lang w:eastAsia="en-GB"/>
              </w:rPr>
              <w:t xml:space="preserve"> постојећих интерконектора, паметних мрежа, агрегације, </w:t>
            </w:r>
            <w:r w:rsidR="00FD1046" w:rsidRPr="00FD1046">
              <w:rPr>
                <w:rFonts w:asciiTheme="majorHAnsi" w:eastAsia="Times New Roman" w:hAnsiTheme="majorHAnsi" w:cstheme="majorHAnsi"/>
                <w:color w:val="000000"/>
                <w:sz w:val="20"/>
                <w:szCs w:val="20"/>
                <w:lang w:eastAsia="en-GB"/>
              </w:rPr>
              <w:t>управљања потрошњом</w:t>
            </w:r>
            <w:r w:rsidRPr="00FF386D">
              <w:rPr>
                <w:rFonts w:asciiTheme="majorHAnsi" w:eastAsia="Times New Roman" w:hAnsiTheme="majorHAnsi" w:cstheme="majorHAnsi"/>
                <w:color w:val="000000"/>
                <w:sz w:val="20"/>
                <w:szCs w:val="20"/>
                <w:lang w:eastAsia="en-GB"/>
              </w:rPr>
              <w:t>, складиштења, дистрибуиране производње, механизама за диспеч</w:t>
            </w:r>
            <w:r w:rsidR="00583D9A">
              <w:rPr>
                <w:rFonts w:asciiTheme="majorHAnsi" w:eastAsia="Times New Roman" w:hAnsiTheme="majorHAnsi" w:cstheme="majorHAnsi"/>
                <w:color w:val="000000"/>
                <w:sz w:val="20"/>
                <w:szCs w:val="20"/>
                <w:lang w:eastAsia="en-GB"/>
              </w:rPr>
              <w:t>инг</w:t>
            </w:r>
            <w:r w:rsidRPr="00FF386D">
              <w:rPr>
                <w:rFonts w:asciiTheme="majorHAnsi" w:eastAsia="Times New Roman" w:hAnsiTheme="majorHAnsi" w:cstheme="majorHAnsi"/>
                <w:color w:val="000000"/>
                <w:sz w:val="20"/>
                <w:szCs w:val="20"/>
                <w:lang w:eastAsia="en-GB"/>
              </w:rPr>
              <w:t>, редиспе</w:t>
            </w:r>
            <w:r w:rsidR="000E3F4A">
              <w:rPr>
                <w:rFonts w:asciiTheme="majorHAnsi" w:eastAsia="Times New Roman" w:hAnsiTheme="majorHAnsi" w:cstheme="majorHAnsi"/>
                <w:color w:val="000000"/>
                <w:sz w:val="20"/>
                <w:szCs w:val="20"/>
                <w:lang w:eastAsia="en-GB"/>
              </w:rPr>
              <w:t>ч</w:t>
            </w:r>
            <w:r w:rsidR="00583D9A">
              <w:rPr>
                <w:rFonts w:asciiTheme="majorHAnsi" w:eastAsia="Times New Roman" w:hAnsiTheme="majorHAnsi" w:cstheme="majorHAnsi"/>
                <w:color w:val="000000"/>
                <w:sz w:val="20"/>
                <w:szCs w:val="20"/>
                <w:lang w:eastAsia="en-GB"/>
              </w:rPr>
              <w:t>инг</w:t>
            </w:r>
            <w:r w:rsidRPr="00FF386D">
              <w:rPr>
                <w:rFonts w:asciiTheme="majorHAnsi" w:eastAsia="Times New Roman" w:hAnsiTheme="majorHAnsi" w:cstheme="majorHAnsi"/>
                <w:color w:val="000000"/>
                <w:sz w:val="20"/>
                <w:szCs w:val="20"/>
                <w:lang w:eastAsia="en-GB"/>
              </w:rPr>
              <w:t xml:space="preserve"> и ограничавања производње, као и ценовних сигнала у реалном времену.</w:t>
            </w:r>
          </w:p>
        </w:tc>
      </w:tr>
      <w:tr w:rsidR="00854ADA" w:rsidRPr="00FF386D" w14:paraId="0F442D72" w14:textId="77777777" w:rsidTr="0057310C">
        <w:trPr>
          <w:trHeight w:val="315"/>
        </w:trPr>
        <w:tc>
          <w:tcPr>
            <w:tcW w:w="3137" w:type="dxa"/>
            <w:tcBorders>
              <w:top w:val="nil"/>
              <w:left w:val="single" w:sz="8" w:space="0" w:color="auto"/>
              <w:bottom w:val="single" w:sz="8" w:space="0" w:color="auto"/>
              <w:right w:val="single" w:sz="8" w:space="0" w:color="auto"/>
            </w:tcBorders>
            <w:shd w:val="clear" w:color="000000" w:fill="244062"/>
            <w:vAlign w:val="center"/>
            <w:hideMark/>
          </w:tcPr>
          <w:p w14:paraId="0381B58E" w14:textId="37690701"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351" w:type="dxa"/>
            <w:gridSpan w:val="3"/>
            <w:tcBorders>
              <w:top w:val="single" w:sz="8" w:space="0" w:color="auto"/>
              <w:left w:val="nil"/>
              <w:bottom w:val="single" w:sz="8" w:space="0" w:color="auto"/>
              <w:right w:val="single" w:sz="8" w:space="0" w:color="000000"/>
            </w:tcBorders>
            <w:vAlign w:val="center"/>
          </w:tcPr>
          <w:p w14:paraId="221EB64B" w14:textId="0EC7D313" w:rsidR="00854ADA" w:rsidRPr="00FF386D" w:rsidRDefault="00854ADA" w:rsidP="00854ADA">
            <w:pPr>
              <w:spacing w:after="0" w:line="240" w:lineRule="auto"/>
              <w:jc w:val="both"/>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 xml:space="preserve">Индикатори повећаног квалитета снабдевања, примена паметних мрежа, агрегација, услуга као одзив потрошње, </w:t>
            </w:r>
            <w:r w:rsidR="00CE666F" w:rsidRPr="00FF386D">
              <w:rPr>
                <w:rFonts w:asciiTheme="majorHAnsi" w:eastAsia="Times New Roman" w:hAnsiTheme="majorHAnsi" w:cstheme="majorHAnsi"/>
                <w:color w:val="000000"/>
                <w:sz w:val="20"/>
                <w:szCs w:val="20"/>
                <w:lang w:eastAsia="en-GB"/>
              </w:rPr>
              <w:t>складиштење</w:t>
            </w:r>
            <w:r w:rsidRPr="00FF386D">
              <w:rPr>
                <w:rFonts w:asciiTheme="majorHAnsi" w:eastAsia="Times New Roman" w:hAnsiTheme="majorHAnsi" w:cstheme="majorHAnsi"/>
                <w:color w:val="000000"/>
                <w:sz w:val="20"/>
                <w:szCs w:val="20"/>
                <w:lang w:eastAsia="en-GB"/>
              </w:rPr>
              <w:t xml:space="preserve"> и дистрибуирана производња </w:t>
            </w:r>
          </w:p>
        </w:tc>
      </w:tr>
      <w:tr w:rsidR="00854ADA" w:rsidRPr="00FF386D" w14:paraId="64B58059" w14:textId="77777777" w:rsidTr="0057310C">
        <w:trPr>
          <w:trHeight w:val="1293"/>
        </w:trPr>
        <w:tc>
          <w:tcPr>
            <w:tcW w:w="3137" w:type="dxa"/>
            <w:tcBorders>
              <w:top w:val="nil"/>
              <w:left w:val="single" w:sz="8" w:space="0" w:color="auto"/>
              <w:bottom w:val="single" w:sz="8" w:space="0" w:color="auto"/>
              <w:right w:val="single" w:sz="8" w:space="0" w:color="auto"/>
            </w:tcBorders>
            <w:shd w:val="clear" w:color="000000" w:fill="244062"/>
            <w:vAlign w:val="center"/>
            <w:hideMark/>
          </w:tcPr>
          <w:p w14:paraId="45902BD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351" w:type="dxa"/>
            <w:gridSpan w:val="3"/>
            <w:tcBorders>
              <w:top w:val="single" w:sz="8" w:space="0" w:color="auto"/>
              <w:left w:val="nil"/>
              <w:bottom w:val="single" w:sz="8" w:space="0" w:color="auto"/>
              <w:right w:val="single" w:sz="8" w:space="0" w:color="000000"/>
            </w:tcBorders>
            <w:vAlign w:val="center"/>
            <w:hideMark/>
          </w:tcPr>
          <w:p w14:paraId="46EF484D" w14:textId="0492C465" w:rsidR="00854ADA" w:rsidRPr="00FF386D" w:rsidRDefault="00854ADA" w:rsidP="00854ADA">
            <w:pPr>
              <w:spacing w:after="0" w:line="240" w:lineRule="auto"/>
              <w:jc w:val="both"/>
              <w:rPr>
                <w:rFonts w:ascii="Times New Roman" w:hAnsi="Times New Roman" w:cs="Times New Roman"/>
                <w:sz w:val="24"/>
                <w:szCs w:val="24"/>
                <w:lang w:eastAsia="en-GB"/>
              </w:rPr>
            </w:pPr>
            <w:r w:rsidRPr="00FF386D">
              <w:rPr>
                <w:rFonts w:ascii="Calibri Light" w:hAnsi="Calibri Light"/>
                <w:sz w:val="20"/>
              </w:rPr>
              <w:t>МП_УЕ</w:t>
            </w:r>
            <w:r w:rsidR="004F331E" w:rsidRPr="00FF386D">
              <w:rPr>
                <w:rFonts w:ascii="Calibri Light" w:hAnsi="Calibri Light"/>
                <w:sz w:val="20"/>
              </w:rPr>
              <w:t>Т</w:t>
            </w:r>
            <w:r w:rsidRPr="00FF386D">
              <w:rPr>
                <w:rFonts w:ascii="Calibri Light" w:hAnsi="Calibri Light"/>
                <w:sz w:val="20"/>
              </w:rPr>
              <w:t>11 се односи на увођење напредних мерних уређаја за електричну енергију у Србији, чиме ће бити покривено најмање 80% потрошње (циљ се односи на преносне и дистрибутивне мреже електричне енергије, при чему је увођење напредних мерних уређаја код преноса већ у потпуности спроведено). Очекује се да ће се спроводити након израде студије анализе трошкова и користи (</w:t>
            </w:r>
            <w:r w:rsidRPr="00FF386D">
              <w:rPr>
                <w:rFonts w:ascii="Calibri Light" w:hAnsi="Calibri Light"/>
                <w:i/>
                <w:iCs/>
                <w:sz w:val="20"/>
              </w:rPr>
              <w:t>CBA</w:t>
            </w:r>
            <w:r w:rsidRPr="00FF386D">
              <w:rPr>
                <w:rFonts w:ascii="Calibri Light" w:hAnsi="Calibri Light"/>
                <w:sz w:val="20"/>
              </w:rPr>
              <w:t xml:space="preserve">). Очекује се да ће увођење напредних мерних уређаја </w:t>
            </w:r>
            <w:r w:rsidR="004F331E" w:rsidRPr="00FF386D">
              <w:rPr>
                <w:rFonts w:ascii="Calibri Light" w:hAnsi="Calibri Light"/>
                <w:sz w:val="20"/>
              </w:rPr>
              <w:t>остварити</w:t>
            </w:r>
            <w:r w:rsidRPr="00FF386D">
              <w:rPr>
                <w:rFonts w:ascii="Calibri Light" w:hAnsi="Calibri Light"/>
                <w:sz w:val="20"/>
              </w:rPr>
              <w:t xml:space="preserve"> </w:t>
            </w:r>
            <w:r w:rsidR="004F331E" w:rsidRPr="00FF386D">
              <w:rPr>
                <w:rFonts w:ascii="Calibri Light" w:hAnsi="Calibri Light"/>
                <w:sz w:val="20"/>
              </w:rPr>
              <w:t xml:space="preserve">користи </w:t>
            </w:r>
            <w:r w:rsidRPr="00FF386D">
              <w:rPr>
                <w:rFonts w:ascii="Calibri Light" w:hAnsi="Calibri Light"/>
                <w:sz w:val="20"/>
              </w:rPr>
              <w:t>и за димензију енергетско тржиште и димензију енергетска ефикасност.</w:t>
            </w:r>
          </w:p>
        </w:tc>
      </w:tr>
      <w:tr w:rsidR="00854ADA" w:rsidRPr="00FF386D" w14:paraId="26C787A4" w14:textId="77777777" w:rsidTr="0057310C">
        <w:trPr>
          <w:trHeight w:val="315"/>
        </w:trPr>
        <w:tc>
          <w:tcPr>
            <w:tcW w:w="3137" w:type="dxa"/>
            <w:tcBorders>
              <w:top w:val="nil"/>
              <w:left w:val="single" w:sz="8" w:space="0" w:color="auto"/>
              <w:bottom w:val="single" w:sz="8" w:space="0" w:color="auto"/>
              <w:right w:val="single" w:sz="8" w:space="0" w:color="auto"/>
            </w:tcBorders>
            <w:shd w:val="clear" w:color="000000" w:fill="244062"/>
            <w:vAlign w:val="center"/>
            <w:hideMark/>
          </w:tcPr>
          <w:p w14:paraId="2209B00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351" w:type="dxa"/>
            <w:gridSpan w:val="3"/>
            <w:tcBorders>
              <w:top w:val="single" w:sz="8" w:space="0" w:color="auto"/>
              <w:left w:val="nil"/>
              <w:bottom w:val="single" w:sz="8" w:space="0" w:color="auto"/>
              <w:right w:val="single" w:sz="8" w:space="0" w:color="000000"/>
            </w:tcBorders>
            <w:vAlign w:val="center"/>
            <w:hideMark/>
          </w:tcPr>
          <w:p w14:paraId="68B299EA"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2021-2030.</w:t>
            </w:r>
          </w:p>
        </w:tc>
      </w:tr>
      <w:tr w:rsidR="00854ADA" w:rsidRPr="00FF386D" w14:paraId="56CFD7ED" w14:textId="77777777" w:rsidTr="0057310C">
        <w:trPr>
          <w:trHeight w:val="315"/>
        </w:trPr>
        <w:tc>
          <w:tcPr>
            <w:tcW w:w="3137" w:type="dxa"/>
            <w:tcBorders>
              <w:top w:val="nil"/>
              <w:left w:val="single" w:sz="8" w:space="0" w:color="auto"/>
              <w:bottom w:val="single" w:sz="8" w:space="0" w:color="auto"/>
              <w:right w:val="single" w:sz="8" w:space="0" w:color="auto"/>
            </w:tcBorders>
            <w:shd w:val="clear" w:color="000000" w:fill="244062"/>
            <w:vAlign w:val="center"/>
            <w:hideMark/>
          </w:tcPr>
          <w:p w14:paraId="4FAB6C0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351" w:type="dxa"/>
            <w:gridSpan w:val="3"/>
            <w:tcBorders>
              <w:top w:val="single" w:sz="8" w:space="0" w:color="auto"/>
              <w:left w:val="nil"/>
              <w:bottom w:val="single" w:sz="8" w:space="0" w:color="auto"/>
              <w:right w:val="single" w:sz="8" w:space="0" w:color="000000"/>
            </w:tcBorders>
            <w:vAlign w:val="center"/>
            <w:hideMark/>
          </w:tcPr>
          <w:p w14:paraId="7E5D27E1"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Инвестиције</w:t>
            </w:r>
          </w:p>
        </w:tc>
      </w:tr>
      <w:tr w:rsidR="00854ADA" w:rsidRPr="00FF386D" w14:paraId="6559E4A6" w14:textId="77777777" w:rsidTr="0057310C">
        <w:trPr>
          <w:trHeight w:val="315"/>
        </w:trPr>
        <w:tc>
          <w:tcPr>
            <w:tcW w:w="3137" w:type="dxa"/>
            <w:tcBorders>
              <w:top w:val="nil"/>
              <w:left w:val="single" w:sz="8" w:space="0" w:color="auto"/>
              <w:bottom w:val="single" w:sz="8" w:space="0" w:color="auto"/>
              <w:right w:val="single" w:sz="8" w:space="0" w:color="auto"/>
            </w:tcBorders>
            <w:shd w:val="clear" w:color="000000" w:fill="244062"/>
            <w:vAlign w:val="center"/>
            <w:hideMark/>
          </w:tcPr>
          <w:p w14:paraId="7E9B7C3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351" w:type="dxa"/>
            <w:gridSpan w:val="3"/>
            <w:tcBorders>
              <w:top w:val="single" w:sz="8" w:space="0" w:color="auto"/>
              <w:left w:val="nil"/>
              <w:bottom w:val="single" w:sz="8" w:space="0" w:color="auto"/>
              <w:right w:val="single" w:sz="8" w:space="0" w:color="000000"/>
            </w:tcBorders>
            <w:vAlign w:val="center"/>
            <w:hideMark/>
          </w:tcPr>
          <w:p w14:paraId="2DF9DB2C"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Стамбени, јавни, комерцијални, индустријски</w:t>
            </w:r>
          </w:p>
        </w:tc>
      </w:tr>
      <w:tr w:rsidR="00854ADA" w:rsidRPr="00FF386D" w14:paraId="16816787" w14:textId="77777777" w:rsidTr="0057310C">
        <w:trPr>
          <w:trHeight w:val="315"/>
        </w:trPr>
        <w:tc>
          <w:tcPr>
            <w:tcW w:w="3137" w:type="dxa"/>
            <w:tcBorders>
              <w:top w:val="nil"/>
              <w:left w:val="single" w:sz="8" w:space="0" w:color="auto"/>
              <w:bottom w:val="single" w:sz="8" w:space="0" w:color="auto"/>
              <w:right w:val="single" w:sz="8" w:space="0" w:color="auto"/>
            </w:tcBorders>
            <w:shd w:val="clear" w:color="000000" w:fill="244062"/>
            <w:vAlign w:val="center"/>
            <w:hideMark/>
          </w:tcPr>
          <w:p w14:paraId="44A5A0F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351" w:type="dxa"/>
            <w:gridSpan w:val="3"/>
            <w:tcBorders>
              <w:top w:val="single" w:sz="8" w:space="0" w:color="auto"/>
              <w:left w:val="nil"/>
              <w:bottom w:val="single" w:sz="8" w:space="0" w:color="auto"/>
              <w:right w:val="single" w:sz="8" w:space="0" w:color="000000"/>
            </w:tcBorders>
            <w:vAlign w:val="center"/>
            <w:hideMark/>
          </w:tcPr>
          <w:p w14:paraId="211C72A8" w14:textId="76DDC753" w:rsidR="00854ADA" w:rsidRPr="00FF386D" w:rsidRDefault="00F42430" w:rsidP="00854ADA">
            <w:pPr>
              <w:numPr>
                <w:ilvl w:val="0"/>
                <w:numId w:val="51"/>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Електродистрибуција Србије доо, Београд (ЕДС)</w:t>
            </w:r>
          </w:p>
          <w:p w14:paraId="24C78D38" w14:textId="2AF46CC8" w:rsidR="00854ADA" w:rsidRPr="00FF386D" w:rsidRDefault="00FD1046" w:rsidP="00854ADA">
            <w:pPr>
              <w:numPr>
                <w:ilvl w:val="0"/>
                <w:numId w:val="51"/>
              </w:numPr>
              <w:spacing w:after="0" w:line="240" w:lineRule="auto"/>
              <w:contextualSpacing/>
              <w:jc w:val="both"/>
              <w:rPr>
                <w:rFonts w:ascii="Calibri Light" w:eastAsia="Times New Roman" w:hAnsi="Calibri Light" w:cs="Calibri Light"/>
                <w:color w:val="000000"/>
                <w:sz w:val="20"/>
                <w:szCs w:val="20"/>
                <w:lang w:eastAsia="en-GB"/>
              </w:rPr>
            </w:pPr>
            <w:r w:rsidRPr="00FD1046">
              <w:rPr>
                <w:rFonts w:ascii="Calibri Light" w:eastAsia="Times New Roman" w:hAnsi="Calibri Light" w:cs="Calibri Light"/>
                <w:color w:val="000000"/>
                <w:sz w:val="20"/>
                <w:szCs w:val="20"/>
                <w:lang w:eastAsia="en-GB"/>
              </w:rPr>
              <w:t>Влада Републике Србије</w:t>
            </w:r>
          </w:p>
        </w:tc>
      </w:tr>
      <w:tr w:rsidR="00854ADA" w:rsidRPr="00FF386D" w14:paraId="2A40CD24" w14:textId="77777777" w:rsidTr="0057310C">
        <w:trPr>
          <w:trHeight w:val="315"/>
        </w:trPr>
        <w:tc>
          <w:tcPr>
            <w:tcW w:w="3137" w:type="dxa"/>
            <w:tcBorders>
              <w:top w:val="nil"/>
              <w:left w:val="single" w:sz="8" w:space="0" w:color="auto"/>
              <w:bottom w:val="single" w:sz="8" w:space="0" w:color="auto"/>
              <w:right w:val="nil"/>
            </w:tcBorders>
            <w:shd w:val="clear" w:color="000000" w:fill="244062"/>
            <w:vAlign w:val="center"/>
            <w:hideMark/>
          </w:tcPr>
          <w:p w14:paraId="7D6D52C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351" w:type="dxa"/>
            <w:gridSpan w:val="3"/>
            <w:tcBorders>
              <w:top w:val="single" w:sz="8" w:space="0" w:color="auto"/>
              <w:left w:val="nil"/>
              <w:bottom w:val="single" w:sz="8" w:space="0" w:color="auto"/>
              <w:right w:val="single" w:sz="8" w:space="0" w:color="000000"/>
            </w:tcBorders>
            <w:vAlign w:val="center"/>
            <w:hideMark/>
          </w:tcPr>
          <w:p w14:paraId="42636B0C" w14:textId="77777777" w:rsidR="00854ADA" w:rsidRPr="00FF386D" w:rsidRDefault="00854ADA" w:rsidP="00854ADA">
            <w:pPr>
              <w:numPr>
                <w:ilvl w:val="0"/>
                <w:numId w:val="51"/>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АЕРС</w:t>
            </w:r>
          </w:p>
          <w:p w14:paraId="660D60A0" w14:textId="7DFE032D" w:rsidR="00F42430" w:rsidRPr="00FF386D" w:rsidRDefault="00FD1046" w:rsidP="00854ADA">
            <w:pPr>
              <w:numPr>
                <w:ilvl w:val="0"/>
                <w:numId w:val="51"/>
              </w:numPr>
              <w:spacing w:after="0" w:line="240" w:lineRule="auto"/>
              <w:contextualSpacing/>
              <w:jc w:val="both"/>
              <w:rPr>
                <w:rFonts w:ascii="Calibri Light" w:eastAsia="Times New Roman" w:hAnsi="Calibri Light" w:cs="Calibri Light"/>
                <w:color w:val="000000"/>
                <w:sz w:val="20"/>
                <w:szCs w:val="20"/>
                <w:lang w:eastAsia="en-GB"/>
              </w:rPr>
            </w:pPr>
            <w:r w:rsidRPr="00FD1046">
              <w:rPr>
                <w:rFonts w:ascii="Calibri Light" w:eastAsia="Times New Roman" w:hAnsi="Calibri Light" w:cs="Calibri Light"/>
                <w:color w:val="000000"/>
                <w:sz w:val="20"/>
                <w:szCs w:val="20"/>
                <w:lang w:eastAsia="en-GB"/>
              </w:rPr>
              <w:t>Влада Републике Србије</w:t>
            </w:r>
          </w:p>
        </w:tc>
      </w:tr>
      <w:tr w:rsidR="00854ADA" w:rsidRPr="00FF386D" w14:paraId="72C7FB8D" w14:textId="77777777" w:rsidTr="0057310C">
        <w:trPr>
          <w:trHeight w:val="315"/>
        </w:trPr>
        <w:tc>
          <w:tcPr>
            <w:tcW w:w="3137" w:type="dxa"/>
            <w:tcBorders>
              <w:top w:val="nil"/>
              <w:left w:val="single" w:sz="8" w:space="0" w:color="auto"/>
              <w:bottom w:val="single" w:sz="8" w:space="0" w:color="auto"/>
              <w:right w:val="nil"/>
            </w:tcBorders>
            <w:shd w:val="clear" w:color="000000" w:fill="244062"/>
            <w:vAlign w:val="center"/>
            <w:hideMark/>
          </w:tcPr>
          <w:p w14:paraId="130AB0F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351" w:type="dxa"/>
            <w:gridSpan w:val="3"/>
            <w:tcBorders>
              <w:top w:val="single" w:sz="8" w:space="0" w:color="auto"/>
              <w:left w:val="nil"/>
              <w:bottom w:val="single" w:sz="8" w:space="0" w:color="auto"/>
              <w:right w:val="single" w:sz="8" w:space="0" w:color="000000"/>
            </w:tcBorders>
            <w:vAlign w:val="center"/>
            <w:hideMark/>
          </w:tcPr>
          <w:p w14:paraId="1C333013"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Број прикључака на дистрибутивну мрежу са напредним мерним уређајима</w:t>
            </w:r>
          </w:p>
        </w:tc>
      </w:tr>
      <w:tr w:rsidR="00854ADA" w:rsidRPr="00FF386D" w14:paraId="46246997" w14:textId="77777777" w:rsidTr="0057310C">
        <w:trPr>
          <w:trHeight w:val="501"/>
        </w:trPr>
        <w:tc>
          <w:tcPr>
            <w:tcW w:w="3137" w:type="dxa"/>
            <w:tcBorders>
              <w:top w:val="nil"/>
              <w:left w:val="single" w:sz="8" w:space="0" w:color="auto"/>
              <w:bottom w:val="single" w:sz="8" w:space="0" w:color="auto"/>
              <w:right w:val="single" w:sz="8" w:space="0" w:color="auto"/>
            </w:tcBorders>
            <w:shd w:val="clear" w:color="000000" w:fill="244062"/>
            <w:vAlign w:val="center"/>
            <w:hideMark/>
          </w:tcPr>
          <w:p w14:paraId="7D0A485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351" w:type="dxa"/>
            <w:gridSpan w:val="3"/>
            <w:tcBorders>
              <w:top w:val="single" w:sz="8" w:space="0" w:color="auto"/>
              <w:left w:val="nil"/>
              <w:bottom w:val="single" w:sz="8" w:space="0" w:color="auto"/>
              <w:right w:val="single" w:sz="8" w:space="0" w:color="000000"/>
            </w:tcBorders>
            <w:vAlign w:val="center"/>
            <w:hideMark/>
          </w:tcPr>
          <w:p w14:paraId="0E85C551" w14:textId="77777777" w:rsidR="00854ADA" w:rsidRPr="000A2AFE" w:rsidRDefault="00854ADA" w:rsidP="00854ADA">
            <w:pPr>
              <w:numPr>
                <w:ilvl w:val="0"/>
                <w:numId w:val="51"/>
              </w:numPr>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Енергетска ефикасност</w:t>
            </w:r>
          </w:p>
          <w:p w14:paraId="3CEF5F36" w14:textId="77777777" w:rsidR="00854ADA" w:rsidRPr="00FF386D" w:rsidRDefault="00854ADA" w:rsidP="00854ADA">
            <w:pPr>
              <w:numPr>
                <w:ilvl w:val="0"/>
                <w:numId w:val="51"/>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Енергетска </w:t>
            </w:r>
            <w:r w:rsidRPr="00FF386D">
              <w:rPr>
                <w:rFonts w:ascii="Calibri Light" w:hAnsi="Calibri Light"/>
                <w:color w:val="000000"/>
                <w:sz w:val="20"/>
              </w:rPr>
              <w:t>сигурност</w:t>
            </w:r>
          </w:p>
        </w:tc>
      </w:tr>
      <w:tr w:rsidR="00854ADA" w:rsidRPr="00FF386D" w14:paraId="6D3BCBE2" w14:textId="77777777" w:rsidTr="0057310C">
        <w:trPr>
          <w:trHeight w:val="450"/>
        </w:trPr>
        <w:tc>
          <w:tcPr>
            <w:tcW w:w="3137"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7DF3B0ED" w14:textId="20D021DE"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35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08D76398" w14:textId="77777777" w:rsidR="00854ADA" w:rsidRPr="000A2AFE" w:rsidRDefault="00854ADA" w:rsidP="00854ADA">
            <w:pPr>
              <w:numPr>
                <w:ilvl w:val="0"/>
                <w:numId w:val="18"/>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Pr="000A2AFE">
              <w:rPr>
                <w:rFonts w:ascii="Calibri Light" w:eastAsia="Times New Roman" w:hAnsi="Calibri Light" w:cs="Calibri Light"/>
                <w:color w:val="000000"/>
                <w:sz w:val="20"/>
                <w:szCs w:val="20"/>
                <w:lang w:eastAsia="en-GB"/>
              </w:rPr>
              <w:t>2009/72/EЗ</w:t>
            </w:r>
          </w:p>
          <w:p w14:paraId="4A147C7C" w14:textId="77777777" w:rsidR="00854ADA" w:rsidRPr="000A2AFE" w:rsidRDefault="00854ADA" w:rsidP="00854ADA">
            <w:pPr>
              <w:numPr>
                <w:ilvl w:val="0"/>
                <w:numId w:val="18"/>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lastRenderedPageBreak/>
              <w:t xml:space="preserve">Директива </w:t>
            </w:r>
            <w:r w:rsidRPr="000A2AFE">
              <w:rPr>
                <w:rFonts w:ascii="Calibri Light" w:eastAsia="Times New Roman" w:hAnsi="Calibri Light" w:cs="Calibri Light"/>
                <w:color w:val="000000"/>
                <w:sz w:val="20"/>
                <w:szCs w:val="20"/>
                <w:lang w:eastAsia="en-GB"/>
              </w:rPr>
              <w:t>(ЕУ) 2019/944</w:t>
            </w:r>
          </w:p>
          <w:p w14:paraId="0EF878B7" w14:textId="77777777" w:rsidR="00854ADA" w:rsidRPr="00FF386D" w:rsidRDefault="00854ADA" w:rsidP="00854ADA">
            <w:pPr>
              <w:numPr>
                <w:ilvl w:val="0"/>
                <w:numId w:val="18"/>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Уредба </w:t>
            </w:r>
            <w:r w:rsidRPr="000A2AFE">
              <w:rPr>
                <w:rFonts w:ascii="Calibri Light" w:eastAsia="Times New Roman" w:hAnsi="Calibri Light" w:cs="Calibri Light"/>
                <w:color w:val="000000"/>
                <w:sz w:val="20"/>
                <w:szCs w:val="20"/>
                <w:lang w:eastAsia="en-GB"/>
              </w:rPr>
              <w:t>(ЕУ) 2019/943</w:t>
            </w:r>
          </w:p>
        </w:tc>
      </w:tr>
      <w:tr w:rsidR="00854ADA" w:rsidRPr="00FF386D" w14:paraId="28499153"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2A09A147"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351" w:type="dxa"/>
            <w:gridSpan w:val="3"/>
            <w:vMerge/>
            <w:tcBorders>
              <w:top w:val="single" w:sz="8" w:space="0" w:color="auto"/>
              <w:left w:val="single" w:sz="8" w:space="0" w:color="auto"/>
              <w:bottom w:val="single" w:sz="8" w:space="0" w:color="000000"/>
              <w:right w:val="single" w:sz="8" w:space="0" w:color="000000"/>
            </w:tcBorders>
            <w:vAlign w:val="center"/>
            <w:hideMark/>
          </w:tcPr>
          <w:p w14:paraId="4E7CE427"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0DF7B843"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2958D8DF"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351" w:type="dxa"/>
            <w:gridSpan w:val="3"/>
            <w:vMerge/>
            <w:tcBorders>
              <w:top w:val="single" w:sz="8" w:space="0" w:color="auto"/>
              <w:left w:val="single" w:sz="8" w:space="0" w:color="auto"/>
              <w:bottom w:val="single" w:sz="8" w:space="0" w:color="000000"/>
              <w:right w:val="single" w:sz="8" w:space="0" w:color="000000"/>
            </w:tcBorders>
            <w:vAlign w:val="center"/>
            <w:hideMark/>
          </w:tcPr>
          <w:p w14:paraId="5084B3EF"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282A15D7" w14:textId="77777777" w:rsidTr="0057310C">
        <w:trPr>
          <w:trHeight w:val="411"/>
        </w:trPr>
        <w:tc>
          <w:tcPr>
            <w:tcW w:w="3137" w:type="dxa"/>
            <w:tcBorders>
              <w:top w:val="nil"/>
              <w:left w:val="single" w:sz="8" w:space="0" w:color="auto"/>
              <w:bottom w:val="single" w:sz="8" w:space="0" w:color="auto"/>
              <w:right w:val="single" w:sz="8" w:space="0" w:color="auto"/>
            </w:tcBorders>
            <w:shd w:val="clear" w:color="000000" w:fill="244062"/>
            <w:vAlign w:val="center"/>
            <w:hideMark/>
          </w:tcPr>
          <w:p w14:paraId="73648D0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351" w:type="dxa"/>
            <w:gridSpan w:val="3"/>
            <w:tcBorders>
              <w:top w:val="single" w:sz="8" w:space="0" w:color="auto"/>
              <w:left w:val="nil"/>
              <w:bottom w:val="single" w:sz="8" w:space="0" w:color="auto"/>
              <w:right w:val="single" w:sz="8" w:space="0" w:color="000000"/>
            </w:tcBorders>
            <w:vAlign w:val="center"/>
            <w:hideMark/>
          </w:tcPr>
          <w:p w14:paraId="7383F3BA" w14:textId="77777777" w:rsidR="00854ADA" w:rsidRPr="00FF386D" w:rsidRDefault="00854ADA" w:rsidP="00854ADA">
            <w:pPr>
              <w:numPr>
                <w:ilvl w:val="0"/>
                <w:numId w:val="54"/>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енергетици</w:t>
            </w:r>
          </w:p>
        </w:tc>
      </w:tr>
      <w:tr w:rsidR="00854ADA" w:rsidRPr="00FF386D" w14:paraId="4F644988" w14:textId="77777777" w:rsidTr="0057310C">
        <w:trPr>
          <w:trHeight w:val="315"/>
        </w:trPr>
        <w:tc>
          <w:tcPr>
            <w:tcW w:w="3137" w:type="dxa"/>
            <w:tcBorders>
              <w:top w:val="nil"/>
              <w:left w:val="single" w:sz="8" w:space="0" w:color="auto"/>
              <w:bottom w:val="single" w:sz="8" w:space="0" w:color="auto"/>
              <w:right w:val="single" w:sz="8" w:space="0" w:color="auto"/>
            </w:tcBorders>
            <w:shd w:val="clear" w:color="000000" w:fill="244062"/>
            <w:vAlign w:val="center"/>
            <w:hideMark/>
          </w:tcPr>
          <w:p w14:paraId="7194A8E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351" w:type="dxa"/>
            <w:gridSpan w:val="3"/>
            <w:tcBorders>
              <w:top w:val="single" w:sz="8" w:space="0" w:color="auto"/>
              <w:left w:val="nil"/>
              <w:bottom w:val="single" w:sz="8" w:space="0" w:color="auto"/>
              <w:right w:val="single" w:sz="8" w:space="0" w:color="000000"/>
            </w:tcBorders>
            <w:vAlign w:val="center"/>
            <w:hideMark/>
          </w:tcPr>
          <w:p w14:paraId="6F2090EA" w14:textId="77777777" w:rsidR="00854ADA" w:rsidRPr="00FF386D" w:rsidRDefault="00854ADA" w:rsidP="00854ADA">
            <w:pPr>
              <w:spacing w:after="0" w:line="240" w:lineRule="auto"/>
              <w:jc w:val="both"/>
              <w:rPr>
                <w:rFonts w:ascii="Calibri" w:eastAsia="Times New Roman" w:hAnsi="Calibri" w:cs="Calibri"/>
                <w:color w:val="000000"/>
                <w:sz w:val="20"/>
                <w:szCs w:val="20"/>
                <w:lang w:eastAsia="en-GB"/>
              </w:rPr>
            </w:pPr>
            <w:r w:rsidRPr="00FF386D">
              <w:rPr>
                <w:rFonts w:asciiTheme="majorHAnsi" w:eastAsia="Times New Roman" w:hAnsiTheme="majorHAnsi" w:cstheme="majorHAnsi"/>
                <w:color w:val="000000"/>
                <w:sz w:val="20"/>
                <w:szCs w:val="20"/>
                <w:lang w:eastAsia="en-GB"/>
              </w:rPr>
              <w:t>32,2 милиона евра</w:t>
            </w:r>
          </w:p>
        </w:tc>
      </w:tr>
      <w:tr w:rsidR="00854ADA" w:rsidRPr="00FF386D" w14:paraId="52AABB78" w14:textId="77777777" w:rsidTr="0057310C">
        <w:trPr>
          <w:trHeight w:val="315"/>
        </w:trPr>
        <w:tc>
          <w:tcPr>
            <w:tcW w:w="3137" w:type="dxa"/>
            <w:tcBorders>
              <w:top w:val="nil"/>
              <w:left w:val="single" w:sz="8" w:space="0" w:color="auto"/>
              <w:bottom w:val="single" w:sz="8" w:space="0" w:color="auto"/>
              <w:right w:val="single" w:sz="8" w:space="0" w:color="auto"/>
            </w:tcBorders>
            <w:shd w:val="clear" w:color="000000" w:fill="244062"/>
            <w:vAlign w:val="center"/>
            <w:hideMark/>
          </w:tcPr>
          <w:p w14:paraId="5565CF3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351" w:type="dxa"/>
            <w:gridSpan w:val="3"/>
            <w:tcBorders>
              <w:top w:val="single" w:sz="8" w:space="0" w:color="auto"/>
              <w:left w:val="nil"/>
              <w:bottom w:val="single" w:sz="8" w:space="0" w:color="auto"/>
              <w:right w:val="single" w:sz="8" w:space="0" w:color="000000"/>
            </w:tcBorders>
            <w:vAlign w:val="center"/>
            <w:hideMark/>
          </w:tcPr>
          <w:p w14:paraId="3DCBE8B2" w14:textId="77777777" w:rsidR="00854ADA" w:rsidRPr="00FF386D" w:rsidRDefault="00854ADA" w:rsidP="00854ADA">
            <w:pPr>
              <w:spacing w:after="0" w:line="240" w:lineRule="auto"/>
              <w:jc w:val="both"/>
              <w:rPr>
                <w:rFonts w:ascii="Calibri" w:eastAsia="Times New Roman" w:hAnsi="Calibri" w:cs="Calibri"/>
                <w:color w:val="000000"/>
                <w:highlight w:val="yellow"/>
                <w:lang w:eastAsia="en-GB"/>
              </w:rPr>
            </w:pPr>
            <w:r w:rsidRPr="00FF386D">
              <w:rPr>
                <w:rFonts w:asciiTheme="majorHAnsi" w:eastAsia="Times New Roman" w:hAnsiTheme="majorHAnsi" w:cstheme="majorHAnsi"/>
                <w:color w:val="000000"/>
                <w:sz w:val="20"/>
                <w:szCs w:val="20"/>
                <w:lang w:eastAsia="en-GB"/>
              </w:rPr>
              <w:t>Сопствена средства</w:t>
            </w:r>
          </w:p>
        </w:tc>
      </w:tr>
    </w:tbl>
    <w:p w14:paraId="7AE6DD61"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92"/>
        <w:gridCol w:w="1110"/>
        <w:gridCol w:w="936"/>
        <w:gridCol w:w="4150"/>
      </w:tblGrid>
      <w:tr w:rsidR="00854ADA" w:rsidRPr="00FF386D" w14:paraId="0004ABE5" w14:textId="77777777" w:rsidTr="0057310C">
        <w:trPr>
          <w:trHeight w:val="780"/>
        </w:trPr>
        <w:tc>
          <w:tcPr>
            <w:tcW w:w="3292"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05C7DCEF" w14:textId="533E75C6"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110" w:type="dxa"/>
            <w:tcBorders>
              <w:top w:val="single" w:sz="8" w:space="0" w:color="auto"/>
              <w:left w:val="nil"/>
              <w:bottom w:val="single" w:sz="8" w:space="0" w:color="auto"/>
              <w:right w:val="single" w:sz="8" w:space="0" w:color="auto"/>
            </w:tcBorders>
            <w:shd w:val="clear" w:color="auto" w:fill="E7E6E6" w:themeFill="background2"/>
            <w:vAlign w:val="center"/>
            <w:hideMark/>
          </w:tcPr>
          <w:p w14:paraId="5F7378B1" w14:textId="4C9C88C4"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МП_УЕ</w:t>
            </w:r>
            <w:r w:rsidR="00CE666F" w:rsidRPr="00FF386D">
              <w:rPr>
                <w:rFonts w:ascii="Calibri Light" w:hAnsi="Calibri Light"/>
                <w:b/>
                <w:sz w:val="20"/>
              </w:rPr>
              <w:t>Т</w:t>
            </w:r>
            <w:r w:rsidRPr="00FF386D">
              <w:rPr>
                <w:rFonts w:ascii="Calibri Light" w:hAnsi="Calibri Light"/>
                <w:b/>
                <w:sz w:val="20"/>
              </w:rPr>
              <w:t>12</w:t>
            </w:r>
          </w:p>
        </w:tc>
        <w:tc>
          <w:tcPr>
            <w:tcW w:w="936" w:type="dxa"/>
            <w:tcBorders>
              <w:top w:val="single" w:sz="8" w:space="0" w:color="auto"/>
              <w:left w:val="nil"/>
              <w:bottom w:val="single" w:sz="8" w:space="0" w:color="auto"/>
              <w:right w:val="single" w:sz="8" w:space="0" w:color="auto"/>
            </w:tcBorders>
            <w:shd w:val="clear" w:color="auto" w:fill="244062"/>
            <w:vAlign w:val="center"/>
            <w:hideMark/>
          </w:tcPr>
          <w:p w14:paraId="6BE9FD2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50" w:type="dxa"/>
            <w:tcBorders>
              <w:top w:val="single" w:sz="8" w:space="0" w:color="auto"/>
              <w:left w:val="nil"/>
              <w:bottom w:val="single" w:sz="8" w:space="0" w:color="auto"/>
              <w:right w:val="single" w:sz="8" w:space="0" w:color="auto"/>
            </w:tcBorders>
            <w:shd w:val="clear" w:color="auto" w:fill="E7E6E6" w:themeFill="background2"/>
            <w:vAlign w:val="center"/>
            <w:hideMark/>
          </w:tcPr>
          <w:p w14:paraId="0AA1E617" w14:textId="052F2215" w:rsidR="00854ADA" w:rsidRPr="00FF386D" w:rsidRDefault="00F42430" w:rsidP="00F42430">
            <w:pPr>
              <w:spacing w:after="0" w:line="240" w:lineRule="auto"/>
              <w:rPr>
                <w:rFonts w:ascii="Calibri Light" w:eastAsia="Times New Roman" w:hAnsi="Calibri Light" w:cs="Calibri Light"/>
                <w:b/>
                <w:bCs/>
                <w:color w:val="000000"/>
                <w:sz w:val="20"/>
                <w:szCs w:val="20"/>
                <w:lang w:eastAsia="en-GB"/>
              </w:rPr>
            </w:pPr>
            <w:r w:rsidRPr="00FF386D">
              <w:rPr>
                <w:rFonts w:ascii="Calibri Light" w:hAnsi="Calibri Light"/>
                <w:b/>
                <w:sz w:val="20"/>
              </w:rPr>
              <w:t xml:space="preserve">Студије </w:t>
            </w:r>
            <w:r w:rsidR="00A02F04">
              <w:rPr>
                <w:rFonts w:ascii="Calibri Light" w:hAnsi="Calibri Light"/>
                <w:b/>
                <w:sz w:val="20"/>
              </w:rPr>
              <w:t xml:space="preserve">изводљивости </w:t>
            </w:r>
            <w:r w:rsidRPr="00FF386D">
              <w:rPr>
                <w:rFonts w:ascii="Calibri Light" w:hAnsi="Calibri Light"/>
                <w:b/>
                <w:sz w:val="20"/>
              </w:rPr>
              <w:t>за увођење напредних мерних уређаја у дистрибуциј</w:t>
            </w:r>
            <w:r w:rsidR="00A02F04">
              <w:rPr>
                <w:rFonts w:ascii="Calibri Light" w:hAnsi="Calibri Light"/>
                <w:b/>
                <w:sz w:val="20"/>
              </w:rPr>
              <w:t>и</w:t>
            </w:r>
            <w:r w:rsidRPr="00FF386D">
              <w:rPr>
                <w:rFonts w:ascii="Calibri Light" w:hAnsi="Calibri Light"/>
                <w:b/>
                <w:sz w:val="20"/>
              </w:rPr>
              <w:t xml:space="preserve"> природног гаса</w:t>
            </w:r>
          </w:p>
        </w:tc>
      </w:tr>
      <w:tr w:rsidR="00854ADA" w:rsidRPr="00FF386D" w14:paraId="59B8FF21" w14:textId="77777777" w:rsidTr="0057310C">
        <w:trPr>
          <w:trHeight w:val="592"/>
        </w:trPr>
        <w:tc>
          <w:tcPr>
            <w:tcW w:w="3292" w:type="dxa"/>
            <w:tcBorders>
              <w:top w:val="nil"/>
              <w:left w:val="single" w:sz="8" w:space="0" w:color="auto"/>
              <w:bottom w:val="single" w:sz="8" w:space="0" w:color="auto"/>
              <w:right w:val="nil"/>
            </w:tcBorders>
            <w:shd w:val="clear" w:color="000000" w:fill="244062"/>
            <w:vAlign w:val="center"/>
            <w:hideMark/>
          </w:tcPr>
          <w:p w14:paraId="4E4311C2" w14:textId="1E39008D"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196" w:type="dxa"/>
            <w:gridSpan w:val="3"/>
            <w:tcBorders>
              <w:top w:val="single" w:sz="8" w:space="0" w:color="auto"/>
              <w:left w:val="nil"/>
              <w:bottom w:val="single" w:sz="8" w:space="0" w:color="auto"/>
              <w:right w:val="single" w:sz="8" w:space="0" w:color="000000"/>
            </w:tcBorders>
            <w:vAlign w:val="center"/>
          </w:tcPr>
          <w:p w14:paraId="7E0D27B3"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Инфраструктура за дистрибуцију гаса, заштита потрошача и побољшање конкурентности, омогућавање ЕЕ на страни снабдевања (тј. смањењем губитака)</w:t>
            </w:r>
          </w:p>
        </w:tc>
      </w:tr>
      <w:tr w:rsidR="00854ADA" w:rsidRPr="00FF386D" w14:paraId="01E37715" w14:textId="77777777" w:rsidTr="0057310C">
        <w:trPr>
          <w:trHeight w:val="315"/>
        </w:trPr>
        <w:tc>
          <w:tcPr>
            <w:tcW w:w="3292" w:type="dxa"/>
            <w:tcBorders>
              <w:top w:val="nil"/>
              <w:left w:val="single" w:sz="8" w:space="0" w:color="auto"/>
              <w:bottom w:val="single" w:sz="8" w:space="0" w:color="auto"/>
              <w:right w:val="single" w:sz="8" w:space="0" w:color="auto"/>
            </w:tcBorders>
            <w:shd w:val="clear" w:color="000000" w:fill="244062"/>
            <w:vAlign w:val="center"/>
            <w:hideMark/>
          </w:tcPr>
          <w:p w14:paraId="29206DA1" w14:textId="0BD6EFFA"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196" w:type="dxa"/>
            <w:gridSpan w:val="3"/>
            <w:tcBorders>
              <w:top w:val="single" w:sz="8" w:space="0" w:color="auto"/>
              <w:left w:val="nil"/>
              <w:bottom w:val="single" w:sz="8" w:space="0" w:color="auto"/>
              <w:right w:val="single" w:sz="8" w:space="0" w:color="000000"/>
            </w:tcBorders>
            <w:vAlign w:val="center"/>
          </w:tcPr>
          <w:p w14:paraId="5C1A8EC1" w14:textId="45906800" w:rsidR="00854ADA" w:rsidRPr="00FF386D" w:rsidRDefault="00854ADA" w:rsidP="00854ADA">
            <w:pPr>
              <w:spacing w:after="0" w:line="240" w:lineRule="auto"/>
              <w:jc w:val="both"/>
              <w:rPr>
                <w:rFonts w:ascii="Calibri" w:eastAsia="Times New Roman" w:hAnsi="Calibri" w:cs="Calibri"/>
                <w:color w:val="000000"/>
                <w:lang w:eastAsia="en-GB"/>
              </w:rPr>
            </w:pPr>
            <w:r w:rsidRPr="00FF386D">
              <w:rPr>
                <w:rFonts w:ascii="Calibri Light" w:hAnsi="Calibri Light"/>
                <w:sz w:val="20"/>
              </w:rPr>
              <w:t>Одлука да се крене са употребом напредних мерних уређаја на нивоу дистрибуције</w:t>
            </w:r>
            <w:r w:rsidR="00583D9A">
              <w:rPr>
                <w:rFonts w:ascii="Calibri Light" w:hAnsi="Calibri Light"/>
                <w:sz w:val="20"/>
              </w:rPr>
              <w:t xml:space="preserve"> са циљем </w:t>
            </w:r>
            <w:r w:rsidR="002B4FCB">
              <w:rPr>
                <w:rFonts w:ascii="Calibri Light" w:hAnsi="Calibri Light"/>
                <w:sz w:val="20"/>
              </w:rPr>
              <w:t>ин</w:t>
            </w:r>
            <w:r w:rsidR="000E3F4A">
              <w:rPr>
                <w:rFonts w:ascii="Calibri Light" w:hAnsi="Calibri Light"/>
                <w:sz w:val="20"/>
              </w:rPr>
              <w:t>с</w:t>
            </w:r>
            <w:r w:rsidR="002B4FCB">
              <w:rPr>
                <w:rFonts w:ascii="Calibri Light" w:hAnsi="Calibri Light"/>
                <w:sz w:val="20"/>
              </w:rPr>
              <w:t xml:space="preserve">талације </w:t>
            </w:r>
            <w:r w:rsidR="00583D9A">
              <w:rPr>
                <w:rFonts w:ascii="Calibri Light" w:hAnsi="Calibri Light"/>
                <w:sz w:val="20"/>
              </w:rPr>
              <w:t>за најмање 85% потрошача</w:t>
            </w:r>
          </w:p>
        </w:tc>
      </w:tr>
      <w:tr w:rsidR="00854ADA" w:rsidRPr="00FF386D" w14:paraId="637A27C5" w14:textId="77777777" w:rsidTr="0057310C">
        <w:trPr>
          <w:trHeight w:val="554"/>
        </w:trPr>
        <w:tc>
          <w:tcPr>
            <w:tcW w:w="3292" w:type="dxa"/>
            <w:tcBorders>
              <w:top w:val="nil"/>
              <w:left w:val="single" w:sz="8" w:space="0" w:color="auto"/>
              <w:bottom w:val="single" w:sz="8" w:space="0" w:color="auto"/>
              <w:right w:val="single" w:sz="8" w:space="0" w:color="auto"/>
            </w:tcBorders>
            <w:shd w:val="clear" w:color="000000" w:fill="244062"/>
            <w:vAlign w:val="center"/>
            <w:hideMark/>
          </w:tcPr>
          <w:p w14:paraId="0E5C028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196" w:type="dxa"/>
            <w:gridSpan w:val="3"/>
            <w:tcBorders>
              <w:top w:val="single" w:sz="8" w:space="0" w:color="auto"/>
              <w:left w:val="nil"/>
              <w:bottom w:val="single" w:sz="8" w:space="0" w:color="auto"/>
              <w:right w:val="single" w:sz="8" w:space="0" w:color="000000"/>
            </w:tcBorders>
            <w:vAlign w:val="center"/>
          </w:tcPr>
          <w:p w14:paraId="7AD89FDF" w14:textId="663B295A"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МП_УЕ</w:t>
            </w:r>
            <w:r w:rsidR="00CE666F" w:rsidRPr="00FF386D">
              <w:rPr>
                <w:rFonts w:ascii="Calibri Light" w:hAnsi="Calibri Light"/>
                <w:sz w:val="20"/>
              </w:rPr>
              <w:t>Т</w:t>
            </w:r>
            <w:r w:rsidRPr="00FF386D">
              <w:rPr>
                <w:rFonts w:ascii="Calibri Light" w:hAnsi="Calibri Light"/>
                <w:sz w:val="20"/>
              </w:rPr>
              <w:t>12 се односи на процену (п</w:t>
            </w:r>
            <w:r w:rsidR="00CE666F" w:rsidRPr="00FF386D">
              <w:rPr>
                <w:rFonts w:ascii="Calibri Light" w:hAnsi="Calibri Light"/>
                <w:sz w:val="20"/>
              </w:rPr>
              <w:t>утем свих</w:t>
            </w:r>
            <w:r w:rsidRPr="00FF386D">
              <w:rPr>
                <w:rFonts w:ascii="Calibri Light" w:hAnsi="Calibri Light"/>
                <w:sz w:val="20"/>
              </w:rPr>
              <w:t xml:space="preserve"> применљивих студија које треба да израде ОДС </w:t>
            </w:r>
            <w:r w:rsidR="00CE666F" w:rsidRPr="00FF386D">
              <w:rPr>
                <w:rFonts w:ascii="Calibri Light" w:hAnsi="Calibri Light"/>
                <w:sz w:val="20"/>
              </w:rPr>
              <w:t xml:space="preserve">а потом </w:t>
            </w:r>
            <w:r w:rsidRPr="00FF386D">
              <w:rPr>
                <w:rFonts w:ascii="Calibri Light" w:hAnsi="Calibri Light"/>
                <w:sz w:val="20"/>
              </w:rPr>
              <w:t xml:space="preserve">добију </w:t>
            </w:r>
            <w:r w:rsidR="00CE666F" w:rsidRPr="00FF386D">
              <w:rPr>
                <w:rFonts w:ascii="Calibri Light" w:hAnsi="Calibri Light"/>
                <w:sz w:val="20"/>
              </w:rPr>
              <w:t>сагласност</w:t>
            </w:r>
            <w:r w:rsidRPr="00FF386D">
              <w:rPr>
                <w:rFonts w:ascii="Calibri Light" w:hAnsi="Calibri Light"/>
                <w:sz w:val="20"/>
              </w:rPr>
              <w:t xml:space="preserve"> АЕРС) економск</w:t>
            </w:r>
            <w:r w:rsidR="00CE666F" w:rsidRPr="00FF386D">
              <w:rPr>
                <w:rFonts w:ascii="Calibri Light" w:hAnsi="Calibri Light"/>
                <w:sz w:val="20"/>
              </w:rPr>
              <w:t>е</w:t>
            </w:r>
            <w:r w:rsidRPr="00FF386D">
              <w:rPr>
                <w:rFonts w:ascii="Calibri Light" w:hAnsi="Calibri Light"/>
                <w:sz w:val="20"/>
              </w:rPr>
              <w:t xml:space="preserve"> изводљиво</w:t>
            </w:r>
            <w:r w:rsidR="00CE666F" w:rsidRPr="00FF386D">
              <w:rPr>
                <w:rFonts w:ascii="Calibri Light" w:hAnsi="Calibri Light"/>
                <w:sz w:val="20"/>
              </w:rPr>
              <w:t>сти</w:t>
            </w:r>
            <w:r w:rsidRPr="00FF386D">
              <w:rPr>
                <w:rFonts w:ascii="Calibri Light" w:hAnsi="Calibri Light"/>
                <w:sz w:val="20"/>
              </w:rPr>
              <w:t xml:space="preserve"> увођења напредних мерних уређаја за гас у Србији да би се постигао циљ од најмање 85% потрошње (циљ се односи на мреже за дистрибуцију гаса, јер су </w:t>
            </w:r>
            <w:r w:rsidR="00F42430" w:rsidRPr="00FF386D">
              <w:rPr>
                <w:rFonts w:ascii="Calibri Light" w:hAnsi="Calibri Light"/>
                <w:sz w:val="20"/>
              </w:rPr>
              <w:t>напредни</w:t>
            </w:r>
            <w:r w:rsidRPr="00FF386D">
              <w:rPr>
                <w:rFonts w:ascii="Calibri Light" w:hAnsi="Calibri Light"/>
                <w:sz w:val="20"/>
              </w:rPr>
              <w:t xml:space="preserve"> мерни </w:t>
            </w:r>
            <w:r w:rsidR="00CE666F" w:rsidRPr="00FF386D">
              <w:rPr>
                <w:rFonts w:ascii="Calibri Light" w:hAnsi="Calibri Light"/>
                <w:sz w:val="20"/>
              </w:rPr>
              <w:t>уређаји</w:t>
            </w:r>
            <w:r w:rsidRPr="00FF386D">
              <w:rPr>
                <w:rFonts w:ascii="Calibri Light" w:hAnsi="Calibri Light"/>
                <w:sz w:val="20"/>
              </w:rPr>
              <w:t xml:space="preserve"> већ уграђени на </w:t>
            </w:r>
            <w:r w:rsidR="00CE666F" w:rsidRPr="00FF386D">
              <w:rPr>
                <w:rFonts w:ascii="Calibri Light" w:hAnsi="Calibri Light"/>
                <w:sz w:val="20"/>
              </w:rPr>
              <w:t>системима</w:t>
            </w:r>
            <w:r w:rsidRPr="00FF386D">
              <w:rPr>
                <w:rFonts w:ascii="Calibri Light" w:hAnsi="Calibri Light"/>
                <w:sz w:val="20"/>
              </w:rPr>
              <w:t xml:space="preserve"> за транспорт гаса).</w:t>
            </w:r>
          </w:p>
        </w:tc>
      </w:tr>
      <w:tr w:rsidR="00854ADA" w:rsidRPr="00FF386D" w14:paraId="39A39321" w14:textId="77777777" w:rsidTr="0057310C">
        <w:trPr>
          <w:trHeight w:val="315"/>
        </w:trPr>
        <w:tc>
          <w:tcPr>
            <w:tcW w:w="3292" w:type="dxa"/>
            <w:tcBorders>
              <w:top w:val="nil"/>
              <w:left w:val="single" w:sz="8" w:space="0" w:color="auto"/>
              <w:bottom w:val="single" w:sz="8" w:space="0" w:color="auto"/>
              <w:right w:val="single" w:sz="8" w:space="0" w:color="auto"/>
            </w:tcBorders>
            <w:shd w:val="clear" w:color="000000" w:fill="244062"/>
            <w:vAlign w:val="center"/>
            <w:hideMark/>
          </w:tcPr>
          <w:p w14:paraId="605490D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196" w:type="dxa"/>
            <w:gridSpan w:val="3"/>
            <w:tcBorders>
              <w:top w:val="single" w:sz="8" w:space="0" w:color="auto"/>
              <w:left w:val="nil"/>
              <w:bottom w:val="single" w:sz="8" w:space="0" w:color="auto"/>
              <w:right w:val="single" w:sz="8" w:space="0" w:color="000000"/>
            </w:tcBorders>
            <w:vAlign w:val="center"/>
            <w:hideMark/>
          </w:tcPr>
          <w:p w14:paraId="2745BE55" w14:textId="4FC0F9A0" w:rsidR="00854ADA" w:rsidRPr="00FF386D" w:rsidRDefault="00854ADA" w:rsidP="00854ADA">
            <w:pPr>
              <w:spacing w:after="0"/>
              <w:rPr>
                <w:rFonts w:ascii="Calibri Light" w:eastAsia="Times New Roman" w:hAnsi="Calibri Light" w:cs="Calibri Light"/>
                <w:sz w:val="20"/>
                <w:szCs w:val="20"/>
                <w:lang w:eastAsia="en-GB"/>
              </w:rPr>
            </w:pPr>
            <w:r w:rsidRPr="000A2AFE">
              <w:rPr>
                <w:rFonts w:ascii="Calibri Light" w:eastAsia="Times New Roman" w:hAnsi="Calibri Light" w:cs="Calibri Light"/>
                <w:sz w:val="20"/>
                <w:szCs w:val="20"/>
                <w:lang w:eastAsia="en-GB"/>
              </w:rPr>
              <w:t>2021-2025</w:t>
            </w:r>
            <w:r w:rsidR="00CE666F" w:rsidRPr="000A2AFE">
              <w:rPr>
                <w:rFonts w:ascii="Calibri Light" w:eastAsia="Times New Roman" w:hAnsi="Calibri Light" w:cs="Calibri Light"/>
                <w:sz w:val="20"/>
                <w:szCs w:val="20"/>
                <w:lang w:eastAsia="en-GB"/>
              </w:rPr>
              <w:t>.</w:t>
            </w:r>
          </w:p>
        </w:tc>
      </w:tr>
      <w:tr w:rsidR="00854ADA" w:rsidRPr="00FF386D" w14:paraId="6E4EF13D" w14:textId="77777777" w:rsidTr="0057310C">
        <w:trPr>
          <w:trHeight w:val="315"/>
        </w:trPr>
        <w:tc>
          <w:tcPr>
            <w:tcW w:w="3292" w:type="dxa"/>
            <w:tcBorders>
              <w:top w:val="nil"/>
              <w:left w:val="single" w:sz="8" w:space="0" w:color="auto"/>
              <w:bottom w:val="single" w:sz="8" w:space="0" w:color="auto"/>
              <w:right w:val="single" w:sz="8" w:space="0" w:color="auto"/>
            </w:tcBorders>
            <w:shd w:val="clear" w:color="000000" w:fill="244062"/>
            <w:vAlign w:val="center"/>
            <w:hideMark/>
          </w:tcPr>
          <w:p w14:paraId="5350211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196" w:type="dxa"/>
            <w:gridSpan w:val="3"/>
            <w:tcBorders>
              <w:top w:val="single" w:sz="8" w:space="0" w:color="auto"/>
              <w:left w:val="nil"/>
              <w:bottom w:val="single" w:sz="8" w:space="0" w:color="auto"/>
              <w:right w:val="single" w:sz="8" w:space="0" w:color="000000"/>
            </w:tcBorders>
            <w:vAlign w:val="center"/>
            <w:hideMark/>
          </w:tcPr>
          <w:p w14:paraId="44117F56"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Реформа</w:t>
            </w:r>
          </w:p>
        </w:tc>
      </w:tr>
      <w:tr w:rsidR="00854ADA" w:rsidRPr="00FF386D" w14:paraId="3D5DA251" w14:textId="77777777" w:rsidTr="0057310C">
        <w:trPr>
          <w:trHeight w:val="315"/>
        </w:trPr>
        <w:tc>
          <w:tcPr>
            <w:tcW w:w="3292" w:type="dxa"/>
            <w:tcBorders>
              <w:top w:val="nil"/>
              <w:left w:val="single" w:sz="8" w:space="0" w:color="auto"/>
              <w:bottom w:val="single" w:sz="8" w:space="0" w:color="auto"/>
              <w:right w:val="single" w:sz="8" w:space="0" w:color="auto"/>
            </w:tcBorders>
            <w:shd w:val="clear" w:color="000000" w:fill="244062"/>
            <w:vAlign w:val="center"/>
            <w:hideMark/>
          </w:tcPr>
          <w:p w14:paraId="658999A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196" w:type="dxa"/>
            <w:gridSpan w:val="3"/>
            <w:tcBorders>
              <w:top w:val="single" w:sz="8" w:space="0" w:color="auto"/>
              <w:left w:val="nil"/>
              <w:bottom w:val="single" w:sz="8" w:space="0" w:color="auto"/>
              <w:right w:val="single" w:sz="8" w:space="0" w:color="000000"/>
            </w:tcBorders>
            <w:vAlign w:val="center"/>
            <w:hideMark/>
          </w:tcPr>
          <w:p w14:paraId="6AD9B766"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Гас</w:t>
            </w:r>
          </w:p>
        </w:tc>
      </w:tr>
      <w:tr w:rsidR="00854ADA" w:rsidRPr="00FF386D" w14:paraId="2B3E88D2" w14:textId="77777777" w:rsidTr="0057310C">
        <w:trPr>
          <w:trHeight w:val="315"/>
        </w:trPr>
        <w:tc>
          <w:tcPr>
            <w:tcW w:w="3292" w:type="dxa"/>
            <w:tcBorders>
              <w:top w:val="nil"/>
              <w:left w:val="single" w:sz="8" w:space="0" w:color="auto"/>
              <w:bottom w:val="single" w:sz="8" w:space="0" w:color="auto"/>
              <w:right w:val="single" w:sz="8" w:space="0" w:color="auto"/>
            </w:tcBorders>
            <w:shd w:val="clear" w:color="000000" w:fill="244062"/>
            <w:vAlign w:val="center"/>
            <w:hideMark/>
          </w:tcPr>
          <w:p w14:paraId="4C28C46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196" w:type="dxa"/>
            <w:gridSpan w:val="3"/>
            <w:tcBorders>
              <w:top w:val="single" w:sz="8" w:space="0" w:color="auto"/>
              <w:left w:val="nil"/>
              <w:bottom w:val="single" w:sz="8" w:space="0" w:color="auto"/>
              <w:right w:val="single" w:sz="8" w:space="0" w:color="000000"/>
            </w:tcBorders>
            <w:vAlign w:val="center"/>
            <w:hideMark/>
          </w:tcPr>
          <w:p w14:paraId="5302BDF7" w14:textId="3935449E" w:rsidR="00854ADA" w:rsidRPr="00FF386D" w:rsidRDefault="00854ADA" w:rsidP="00854ADA">
            <w:pPr>
              <w:numPr>
                <w:ilvl w:val="0"/>
                <w:numId w:val="54"/>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Оператор дист</w:t>
            </w:r>
            <w:r w:rsidR="000E3F4A">
              <w:rPr>
                <w:rFonts w:ascii="Calibri Light" w:hAnsi="Calibri Light"/>
                <w:sz w:val="20"/>
              </w:rPr>
              <w:t>р</w:t>
            </w:r>
            <w:r w:rsidRPr="00FF386D">
              <w:rPr>
                <w:rFonts w:ascii="Calibri Light" w:hAnsi="Calibri Light"/>
                <w:sz w:val="20"/>
              </w:rPr>
              <w:t>ибутивног система</w:t>
            </w:r>
          </w:p>
        </w:tc>
      </w:tr>
      <w:tr w:rsidR="00854ADA" w:rsidRPr="00FF386D" w14:paraId="2CCF5289" w14:textId="77777777" w:rsidTr="0057310C">
        <w:trPr>
          <w:trHeight w:val="315"/>
        </w:trPr>
        <w:tc>
          <w:tcPr>
            <w:tcW w:w="3292" w:type="dxa"/>
            <w:tcBorders>
              <w:top w:val="nil"/>
              <w:left w:val="single" w:sz="8" w:space="0" w:color="auto"/>
              <w:bottom w:val="single" w:sz="8" w:space="0" w:color="auto"/>
              <w:right w:val="nil"/>
            </w:tcBorders>
            <w:shd w:val="clear" w:color="000000" w:fill="244062"/>
            <w:vAlign w:val="center"/>
            <w:hideMark/>
          </w:tcPr>
          <w:p w14:paraId="19139CD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196" w:type="dxa"/>
            <w:gridSpan w:val="3"/>
            <w:tcBorders>
              <w:top w:val="single" w:sz="8" w:space="0" w:color="auto"/>
              <w:left w:val="nil"/>
              <w:bottom w:val="single" w:sz="8" w:space="0" w:color="auto"/>
              <w:right w:val="single" w:sz="8" w:space="0" w:color="000000"/>
            </w:tcBorders>
            <w:vAlign w:val="center"/>
            <w:hideMark/>
          </w:tcPr>
          <w:p w14:paraId="2074683B" w14:textId="77777777" w:rsidR="00854ADA" w:rsidRPr="00FF386D" w:rsidRDefault="00854ADA" w:rsidP="00854ADA">
            <w:pPr>
              <w:numPr>
                <w:ilvl w:val="0"/>
                <w:numId w:val="54"/>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АЕРС</w:t>
            </w:r>
          </w:p>
        </w:tc>
      </w:tr>
      <w:tr w:rsidR="00854ADA" w:rsidRPr="00FF386D" w14:paraId="608D5123" w14:textId="77777777" w:rsidTr="0057310C">
        <w:trPr>
          <w:trHeight w:val="315"/>
        </w:trPr>
        <w:tc>
          <w:tcPr>
            <w:tcW w:w="3292" w:type="dxa"/>
            <w:tcBorders>
              <w:top w:val="nil"/>
              <w:left w:val="single" w:sz="8" w:space="0" w:color="auto"/>
              <w:bottom w:val="single" w:sz="8" w:space="0" w:color="auto"/>
              <w:right w:val="nil"/>
            </w:tcBorders>
            <w:shd w:val="clear" w:color="000000" w:fill="244062"/>
            <w:vAlign w:val="center"/>
            <w:hideMark/>
          </w:tcPr>
          <w:p w14:paraId="289E26F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196" w:type="dxa"/>
            <w:gridSpan w:val="3"/>
            <w:tcBorders>
              <w:top w:val="single" w:sz="8" w:space="0" w:color="auto"/>
              <w:left w:val="nil"/>
              <w:bottom w:val="single" w:sz="8" w:space="0" w:color="auto"/>
              <w:right w:val="single" w:sz="8" w:space="0" w:color="000000"/>
            </w:tcBorders>
            <w:vAlign w:val="center"/>
            <w:hideMark/>
          </w:tcPr>
          <w:p w14:paraId="5649995C" w14:textId="5752D4F8"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Број </w:t>
            </w:r>
            <w:r w:rsidR="00CE666F" w:rsidRPr="00FF386D">
              <w:rPr>
                <w:rFonts w:ascii="Calibri Light" w:hAnsi="Calibri Light"/>
                <w:sz w:val="20"/>
              </w:rPr>
              <w:t>напредних мерних уређаја</w:t>
            </w:r>
            <w:r w:rsidRPr="00FF386D">
              <w:rPr>
                <w:rFonts w:ascii="Calibri Light" w:hAnsi="Calibri Light"/>
                <w:sz w:val="20"/>
              </w:rPr>
              <w:t xml:space="preserve"> на нивоу дистрибуције </w:t>
            </w:r>
          </w:p>
        </w:tc>
      </w:tr>
      <w:tr w:rsidR="00854ADA" w:rsidRPr="00FF386D" w14:paraId="5714B03A" w14:textId="77777777" w:rsidTr="0057310C">
        <w:trPr>
          <w:trHeight w:val="325"/>
        </w:trPr>
        <w:tc>
          <w:tcPr>
            <w:tcW w:w="3292" w:type="dxa"/>
            <w:tcBorders>
              <w:top w:val="nil"/>
              <w:left w:val="single" w:sz="8" w:space="0" w:color="auto"/>
              <w:bottom w:val="single" w:sz="8" w:space="0" w:color="auto"/>
              <w:right w:val="single" w:sz="8" w:space="0" w:color="auto"/>
            </w:tcBorders>
            <w:shd w:val="clear" w:color="000000" w:fill="244062"/>
            <w:vAlign w:val="center"/>
            <w:hideMark/>
          </w:tcPr>
          <w:p w14:paraId="286E891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196" w:type="dxa"/>
            <w:gridSpan w:val="3"/>
            <w:tcBorders>
              <w:top w:val="single" w:sz="8" w:space="0" w:color="auto"/>
              <w:left w:val="nil"/>
              <w:bottom w:val="single" w:sz="8" w:space="0" w:color="auto"/>
              <w:right w:val="single" w:sz="8" w:space="0" w:color="000000"/>
            </w:tcBorders>
            <w:vAlign w:val="center"/>
            <w:hideMark/>
          </w:tcPr>
          <w:p w14:paraId="7B63360F" w14:textId="75F0BF6A" w:rsidR="002B4FCB" w:rsidRDefault="002B4FCB" w:rsidP="00854ADA">
            <w:pPr>
              <w:numPr>
                <w:ilvl w:val="0"/>
                <w:numId w:val="54"/>
              </w:numPr>
              <w:spacing w:after="0" w:line="240" w:lineRule="auto"/>
              <w:contextualSpacing/>
              <w:jc w:val="both"/>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Енергетска ефикасност</w:t>
            </w:r>
          </w:p>
          <w:p w14:paraId="338D842E" w14:textId="07023977" w:rsidR="00854ADA" w:rsidRPr="00FF386D" w:rsidRDefault="00854ADA" w:rsidP="00854ADA">
            <w:pPr>
              <w:numPr>
                <w:ilvl w:val="0"/>
                <w:numId w:val="54"/>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Енергетска </w:t>
            </w:r>
            <w:r w:rsidRPr="00FF386D">
              <w:rPr>
                <w:rFonts w:ascii="Calibri Light" w:hAnsi="Calibri Light"/>
                <w:color w:val="000000"/>
                <w:sz w:val="20"/>
              </w:rPr>
              <w:t>сигурност</w:t>
            </w:r>
          </w:p>
        </w:tc>
      </w:tr>
      <w:tr w:rsidR="00854ADA" w:rsidRPr="00FF386D" w14:paraId="150C2A12" w14:textId="77777777" w:rsidTr="0057310C">
        <w:trPr>
          <w:trHeight w:val="450"/>
        </w:trPr>
        <w:tc>
          <w:tcPr>
            <w:tcW w:w="3292"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4FB980E7" w14:textId="5AC2C29F"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196"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A9303F9" w14:textId="77777777" w:rsidR="00854ADA" w:rsidRPr="00FF386D" w:rsidRDefault="00854ADA" w:rsidP="00854ADA">
            <w:pPr>
              <w:numPr>
                <w:ilvl w:val="0"/>
                <w:numId w:val="54"/>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2009/72/EЗ</w:t>
            </w:r>
          </w:p>
        </w:tc>
      </w:tr>
      <w:tr w:rsidR="00854ADA" w:rsidRPr="00FF386D" w14:paraId="35A8C33A"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0EB6BA60"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196" w:type="dxa"/>
            <w:gridSpan w:val="3"/>
            <w:vMerge/>
            <w:tcBorders>
              <w:top w:val="single" w:sz="8" w:space="0" w:color="auto"/>
              <w:left w:val="single" w:sz="8" w:space="0" w:color="auto"/>
              <w:bottom w:val="single" w:sz="8" w:space="0" w:color="000000"/>
              <w:right w:val="single" w:sz="8" w:space="0" w:color="000000"/>
            </w:tcBorders>
            <w:vAlign w:val="center"/>
            <w:hideMark/>
          </w:tcPr>
          <w:p w14:paraId="1318B371" w14:textId="77777777" w:rsidR="00854ADA" w:rsidRPr="00FF386D" w:rsidRDefault="00854ADA" w:rsidP="00854ADA">
            <w:pPr>
              <w:numPr>
                <w:ilvl w:val="0"/>
                <w:numId w:val="54"/>
              </w:numPr>
              <w:spacing w:after="0" w:line="256" w:lineRule="auto"/>
              <w:contextualSpacing/>
              <w:rPr>
                <w:rFonts w:ascii="Calibri Light" w:eastAsia="Times New Roman" w:hAnsi="Calibri Light" w:cs="Calibri Light"/>
                <w:color w:val="000000"/>
                <w:sz w:val="20"/>
                <w:szCs w:val="20"/>
                <w:lang w:eastAsia="en-GB"/>
              </w:rPr>
            </w:pPr>
          </w:p>
        </w:tc>
      </w:tr>
      <w:tr w:rsidR="00854ADA" w:rsidRPr="00FF386D" w14:paraId="206E78CA"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2656655C"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196" w:type="dxa"/>
            <w:gridSpan w:val="3"/>
            <w:vMerge/>
            <w:tcBorders>
              <w:top w:val="single" w:sz="8" w:space="0" w:color="auto"/>
              <w:left w:val="single" w:sz="8" w:space="0" w:color="auto"/>
              <w:bottom w:val="single" w:sz="8" w:space="0" w:color="000000"/>
              <w:right w:val="single" w:sz="8" w:space="0" w:color="000000"/>
            </w:tcBorders>
            <w:vAlign w:val="center"/>
            <w:hideMark/>
          </w:tcPr>
          <w:p w14:paraId="5B7B335E" w14:textId="77777777" w:rsidR="00854ADA" w:rsidRPr="00FF386D" w:rsidRDefault="00854ADA" w:rsidP="00854ADA">
            <w:pPr>
              <w:numPr>
                <w:ilvl w:val="0"/>
                <w:numId w:val="54"/>
              </w:numPr>
              <w:spacing w:after="0" w:line="256" w:lineRule="auto"/>
              <w:contextualSpacing/>
              <w:rPr>
                <w:rFonts w:ascii="Calibri Light" w:eastAsia="Times New Roman" w:hAnsi="Calibri Light" w:cs="Calibri Light"/>
                <w:color w:val="000000"/>
                <w:sz w:val="20"/>
                <w:szCs w:val="20"/>
                <w:lang w:eastAsia="en-GB"/>
              </w:rPr>
            </w:pPr>
          </w:p>
        </w:tc>
      </w:tr>
      <w:tr w:rsidR="00854ADA" w:rsidRPr="00FF386D" w14:paraId="02F9BB69" w14:textId="77777777" w:rsidTr="0057310C">
        <w:trPr>
          <w:trHeight w:val="381"/>
        </w:trPr>
        <w:tc>
          <w:tcPr>
            <w:tcW w:w="3292" w:type="dxa"/>
            <w:tcBorders>
              <w:top w:val="nil"/>
              <w:left w:val="single" w:sz="8" w:space="0" w:color="auto"/>
              <w:bottom w:val="single" w:sz="8" w:space="0" w:color="auto"/>
              <w:right w:val="single" w:sz="8" w:space="0" w:color="auto"/>
            </w:tcBorders>
            <w:shd w:val="clear" w:color="000000" w:fill="244062"/>
            <w:vAlign w:val="center"/>
            <w:hideMark/>
          </w:tcPr>
          <w:p w14:paraId="491C967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96" w:type="dxa"/>
            <w:gridSpan w:val="3"/>
            <w:tcBorders>
              <w:top w:val="single" w:sz="8" w:space="0" w:color="auto"/>
              <w:left w:val="nil"/>
              <w:bottom w:val="single" w:sz="8" w:space="0" w:color="auto"/>
              <w:right w:val="single" w:sz="8" w:space="0" w:color="000000"/>
            </w:tcBorders>
            <w:vAlign w:val="center"/>
            <w:hideMark/>
          </w:tcPr>
          <w:p w14:paraId="68C5AFE4" w14:textId="77777777" w:rsidR="00854ADA" w:rsidRPr="00FF386D" w:rsidRDefault="00854ADA" w:rsidP="00854ADA">
            <w:pPr>
              <w:numPr>
                <w:ilvl w:val="0"/>
                <w:numId w:val="54"/>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енергетици</w:t>
            </w:r>
          </w:p>
        </w:tc>
      </w:tr>
      <w:tr w:rsidR="00854ADA" w:rsidRPr="00FF386D" w14:paraId="0EAD51AA" w14:textId="77777777" w:rsidTr="0057310C">
        <w:trPr>
          <w:trHeight w:val="315"/>
        </w:trPr>
        <w:tc>
          <w:tcPr>
            <w:tcW w:w="3292" w:type="dxa"/>
            <w:tcBorders>
              <w:top w:val="nil"/>
              <w:left w:val="single" w:sz="8" w:space="0" w:color="auto"/>
              <w:bottom w:val="single" w:sz="8" w:space="0" w:color="auto"/>
              <w:right w:val="single" w:sz="8" w:space="0" w:color="auto"/>
            </w:tcBorders>
            <w:shd w:val="clear" w:color="000000" w:fill="244062"/>
            <w:vAlign w:val="center"/>
            <w:hideMark/>
          </w:tcPr>
          <w:p w14:paraId="41976F1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96" w:type="dxa"/>
            <w:gridSpan w:val="3"/>
            <w:tcBorders>
              <w:top w:val="single" w:sz="8" w:space="0" w:color="auto"/>
              <w:left w:val="nil"/>
              <w:bottom w:val="single" w:sz="8" w:space="0" w:color="auto"/>
              <w:right w:val="single" w:sz="8" w:space="0" w:color="000000"/>
            </w:tcBorders>
            <w:vAlign w:val="center"/>
          </w:tcPr>
          <w:p w14:paraId="698E2EFB"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1 милион евра</w:t>
            </w:r>
          </w:p>
        </w:tc>
      </w:tr>
      <w:tr w:rsidR="00854ADA" w:rsidRPr="00FF386D" w14:paraId="1B72FFDF" w14:textId="77777777" w:rsidTr="0057310C">
        <w:trPr>
          <w:trHeight w:val="315"/>
        </w:trPr>
        <w:tc>
          <w:tcPr>
            <w:tcW w:w="3292" w:type="dxa"/>
            <w:tcBorders>
              <w:top w:val="nil"/>
              <w:left w:val="single" w:sz="8" w:space="0" w:color="auto"/>
              <w:bottom w:val="single" w:sz="8" w:space="0" w:color="auto"/>
              <w:right w:val="single" w:sz="8" w:space="0" w:color="auto"/>
            </w:tcBorders>
            <w:shd w:val="clear" w:color="000000" w:fill="244062"/>
            <w:vAlign w:val="center"/>
            <w:hideMark/>
          </w:tcPr>
          <w:p w14:paraId="2A22B19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96" w:type="dxa"/>
            <w:gridSpan w:val="3"/>
            <w:tcBorders>
              <w:top w:val="single" w:sz="8" w:space="0" w:color="auto"/>
              <w:left w:val="nil"/>
              <w:bottom w:val="single" w:sz="8" w:space="0" w:color="auto"/>
              <w:right w:val="single" w:sz="8" w:space="0" w:color="000000"/>
            </w:tcBorders>
            <w:vAlign w:val="center"/>
          </w:tcPr>
          <w:p w14:paraId="1004991F" w14:textId="77777777" w:rsidR="00854ADA" w:rsidRPr="00FF386D" w:rsidRDefault="00854ADA" w:rsidP="00854ADA">
            <w:pPr>
              <w:spacing w:after="0" w:line="240" w:lineRule="auto"/>
              <w:jc w:val="both"/>
              <w:rPr>
                <w:rFonts w:ascii="Calibri" w:eastAsia="Times New Roman" w:hAnsi="Calibri" w:cs="Calibri"/>
                <w:color w:val="000000"/>
                <w:highlight w:val="yellow"/>
                <w:lang w:eastAsia="en-GB"/>
              </w:rPr>
            </w:pPr>
            <w:r w:rsidRPr="00FF386D">
              <w:rPr>
                <w:rFonts w:asciiTheme="majorHAnsi" w:eastAsia="Times New Roman" w:hAnsiTheme="majorHAnsi" w:cstheme="majorHAnsi"/>
                <w:color w:val="000000"/>
                <w:sz w:val="20"/>
                <w:szCs w:val="20"/>
                <w:lang w:eastAsia="en-GB"/>
              </w:rPr>
              <w:t>Сопствена средства</w:t>
            </w:r>
          </w:p>
        </w:tc>
      </w:tr>
    </w:tbl>
    <w:p w14:paraId="25CEDE09"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86"/>
        <w:gridCol w:w="1110"/>
        <w:gridCol w:w="934"/>
        <w:gridCol w:w="4158"/>
      </w:tblGrid>
      <w:tr w:rsidR="00854ADA" w:rsidRPr="00FF386D" w14:paraId="34047515" w14:textId="77777777" w:rsidTr="0057310C">
        <w:trPr>
          <w:trHeight w:val="780"/>
        </w:trPr>
        <w:tc>
          <w:tcPr>
            <w:tcW w:w="3286"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0C28D8D0" w14:textId="4B9644E7"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110" w:type="dxa"/>
            <w:tcBorders>
              <w:top w:val="single" w:sz="8" w:space="0" w:color="auto"/>
              <w:left w:val="nil"/>
              <w:bottom w:val="single" w:sz="8" w:space="0" w:color="auto"/>
              <w:right w:val="single" w:sz="8" w:space="0" w:color="auto"/>
            </w:tcBorders>
            <w:shd w:val="clear" w:color="auto" w:fill="E7E6E6" w:themeFill="background2"/>
            <w:vAlign w:val="center"/>
            <w:hideMark/>
          </w:tcPr>
          <w:p w14:paraId="1612595D" w14:textId="6AA3C996"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МП_УЕ</w:t>
            </w:r>
            <w:r w:rsidR="00CE666F" w:rsidRPr="00FF386D">
              <w:rPr>
                <w:rFonts w:ascii="Calibri Light" w:hAnsi="Calibri Light"/>
                <w:b/>
                <w:sz w:val="20"/>
              </w:rPr>
              <w:t>Т</w:t>
            </w:r>
            <w:r w:rsidRPr="00FF386D">
              <w:rPr>
                <w:rFonts w:ascii="Calibri Light" w:hAnsi="Calibri Light"/>
                <w:b/>
                <w:sz w:val="20"/>
              </w:rPr>
              <w:t>13</w:t>
            </w:r>
          </w:p>
        </w:tc>
        <w:tc>
          <w:tcPr>
            <w:tcW w:w="934" w:type="dxa"/>
            <w:tcBorders>
              <w:top w:val="single" w:sz="8" w:space="0" w:color="auto"/>
              <w:left w:val="nil"/>
              <w:bottom w:val="single" w:sz="8" w:space="0" w:color="auto"/>
              <w:right w:val="single" w:sz="8" w:space="0" w:color="auto"/>
            </w:tcBorders>
            <w:shd w:val="clear" w:color="auto" w:fill="244062"/>
            <w:vAlign w:val="center"/>
            <w:hideMark/>
          </w:tcPr>
          <w:p w14:paraId="58FB084B"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58" w:type="dxa"/>
            <w:tcBorders>
              <w:top w:val="single" w:sz="8" w:space="0" w:color="auto"/>
              <w:left w:val="nil"/>
              <w:bottom w:val="single" w:sz="8" w:space="0" w:color="auto"/>
              <w:right w:val="single" w:sz="8" w:space="0" w:color="auto"/>
            </w:tcBorders>
            <w:shd w:val="clear" w:color="auto" w:fill="E7E6E6" w:themeFill="background2"/>
            <w:vAlign w:val="center"/>
            <w:hideMark/>
          </w:tcPr>
          <w:p w14:paraId="317A1856" w14:textId="0E80D33F" w:rsidR="00854ADA" w:rsidRPr="00FF386D" w:rsidRDefault="00F42430" w:rsidP="00F42430">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Израда и имплементација модела управљања тржишним и мрежним подацима</w:t>
            </w:r>
          </w:p>
        </w:tc>
      </w:tr>
      <w:tr w:rsidR="00854ADA" w:rsidRPr="00FF386D" w14:paraId="520AED02" w14:textId="77777777" w:rsidTr="0057310C">
        <w:trPr>
          <w:trHeight w:val="627"/>
        </w:trPr>
        <w:tc>
          <w:tcPr>
            <w:tcW w:w="3286" w:type="dxa"/>
            <w:tcBorders>
              <w:top w:val="nil"/>
              <w:left w:val="single" w:sz="8" w:space="0" w:color="auto"/>
              <w:bottom w:val="single" w:sz="8" w:space="0" w:color="auto"/>
              <w:right w:val="nil"/>
            </w:tcBorders>
            <w:shd w:val="clear" w:color="000000" w:fill="244062"/>
            <w:vAlign w:val="center"/>
            <w:hideMark/>
          </w:tcPr>
          <w:p w14:paraId="2A0C784D" w14:textId="5EDE3426"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02" w:type="dxa"/>
            <w:gridSpan w:val="3"/>
            <w:tcBorders>
              <w:top w:val="single" w:sz="8" w:space="0" w:color="auto"/>
              <w:left w:val="nil"/>
              <w:bottom w:val="single" w:sz="8" w:space="0" w:color="auto"/>
              <w:right w:val="single" w:sz="8" w:space="0" w:color="000000"/>
            </w:tcBorders>
            <w:vAlign w:val="center"/>
          </w:tcPr>
          <w:p w14:paraId="3B6FFB5D" w14:textId="2513BEC8"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Повећана флексибилност система и квалитет снабдевања електричном енергијом, посебно применом политика и мера које се односе на формирање цена заснованих на тржишту у складу са важећим законом; интеграција и спајање тржишта с циљем да се повећа капацитет </w:t>
            </w:r>
            <w:r w:rsidR="00CE666F" w:rsidRPr="00FF386D">
              <w:rPr>
                <w:rFonts w:asciiTheme="majorHAnsi" w:eastAsia="Times New Roman" w:hAnsiTheme="majorHAnsi" w:cstheme="majorHAnsi"/>
                <w:color w:val="000000"/>
                <w:sz w:val="20"/>
                <w:szCs w:val="20"/>
                <w:lang w:eastAsia="en-GB"/>
              </w:rPr>
              <w:t xml:space="preserve">којим се може трговати </w:t>
            </w:r>
            <w:r w:rsidRPr="00FF386D">
              <w:rPr>
                <w:rFonts w:asciiTheme="majorHAnsi" w:eastAsia="Times New Roman" w:hAnsiTheme="majorHAnsi" w:cstheme="majorHAnsi"/>
                <w:color w:val="000000"/>
                <w:sz w:val="20"/>
                <w:szCs w:val="20"/>
                <w:lang w:eastAsia="en-GB"/>
              </w:rPr>
              <w:t xml:space="preserve">постојећих интерконектора, напредних мерних </w:t>
            </w:r>
            <w:r w:rsidRPr="00FF386D">
              <w:rPr>
                <w:rFonts w:asciiTheme="majorHAnsi" w:eastAsia="Times New Roman" w:hAnsiTheme="majorHAnsi" w:cstheme="majorHAnsi"/>
                <w:color w:val="000000"/>
                <w:sz w:val="20"/>
                <w:szCs w:val="20"/>
                <w:lang w:eastAsia="en-GB"/>
              </w:rPr>
              <w:lastRenderedPageBreak/>
              <w:t>уређаја, агрегације, одзива потрошње, складиштења, дистрибуиране производње, механизама за диспеч</w:t>
            </w:r>
            <w:r w:rsidR="00CE666F" w:rsidRPr="00FF386D">
              <w:rPr>
                <w:rFonts w:asciiTheme="majorHAnsi" w:eastAsia="Times New Roman" w:hAnsiTheme="majorHAnsi" w:cstheme="majorHAnsi"/>
                <w:color w:val="000000"/>
                <w:sz w:val="20"/>
                <w:szCs w:val="20"/>
                <w:lang w:eastAsia="en-GB"/>
              </w:rPr>
              <w:t>овање</w:t>
            </w:r>
            <w:r w:rsidRPr="00FF386D">
              <w:rPr>
                <w:rFonts w:asciiTheme="majorHAnsi" w:eastAsia="Times New Roman" w:hAnsiTheme="majorHAnsi" w:cstheme="majorHAnsi"/>
                <w:color w:val="000000"/>
                <w:sz w:val="20"/>
                <w:szCs w:val="20"/>
                <w:lang w:eastAsia="en-GB"/>
              </w:rPr>
              <w:t>, редиспеч</w:t>
            </w:r>
            <w:r w:rsidR="00CE666F" w:rsidRPr="00FF386D">
              <w:rPr>
                <w:rFonts w:asciiTheme="majorHAnsi" w:eastAsia="Times New Roman" w:hAnsiTheme="majorHAnsi" w:cstheme="majorHAnsi"/>
                <w:color w:val="000000"/>
                <w:sz w:val="20"/>
                <w:szCs w:val="20"/>
                <w:lang w:eastAsia="en-GB"/>
              </w:rPr>
              <w:t>овање</w:t>
            </w:r>
            <w:r w:rsidRPr="00FF386D">
              <w:rPr>
                <w:rFonts w:asciiTheme="majorHAnsi" w:eastAsia="Times New Roman" w:hAnsiTheme="majorHAnsi" w:cstheme="majorHAnsi"/>
                <w:color w:val="000000"/>
                <w:sz w:val="20"/>
                <w:szCs w:val="20"/>
                <w:lang w:eastAsia="en-GB"/>
              </w:rPr>
              <w:t>, ограничења</w:t>
            </w:r>
            <w:r w:rsidR="00CE666F" w:rsidRPr="00FF386D">
              <w:rPr>
                <w:rFonts w:asciiTheme="majorHAnsi" w:eastAsia="Times New Roman" w:hAnsiTheme="majorHAnsi" w:cstheme="majorHAnsi"/>
                <w:color w:val="000000"/>
                <w:sz w:val="20"/>
                <w:szCs w:val="20"/>
                <w:lang w:eastAsia="en-GB"/>
              </w:rPr>
              <w:t>, као</w:t>
            </w:r>
            <w:r w:rsidRPr="00FF386D">
              <w:rPr>
                <w:rFonts w:asciiTheme="majorHAnsi" w:eastAsia="Times New Roman" w:hAnsiTheme="majorHAnsi" w:cstheme="majorHAnsi"/>
                <w:color w:val="000000"/>
                <w:sz w:val="20"/>
                <w:szCs w:val="20"/>
                <w:lang w:eastAsia="en-GB"/>
              </w:rPr>
              <w:t xml:space="preserve"> и ценовних сигнала у реалном времену.</w:t>
            </w:r>
          </w:p>
        </w:tc>
      </w:tr>
      <w:tr w:rsidR="00854ADA" w:rsidRPr="00FF386D" w14:paraId="6F4C874B"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083357D9" w14:textId="0D8374AB"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Квантификовани циљ:</w:t>
            </w:r>
          </w:p>
        </w:tc>
        <w:tc>
          <w:tcPr>
            <w:tcW w:w="6202" w:type="dxa"/>
            <w:gridSpan w:val="3"/>
            <w:tcBorders>
              <w:top w:val="single" w:sz="8" w:space="0" w:color="auto"/>
              <w:left w:val="nil"/>
              <w:bottom w:val="single" w:sz="8" w:space="0" w:color="auto"/>
              <w:right w:val="single" w:sz="8" w:space="0" w:color="000000"/>
            </w:tcBorders>
            <w:vAlign w:val="center"/>
          </w:tcPr>
          <w:p w14:paraId="34BDC572" w14:textId="6E26047C" w:rsidR="00854ADA" w:rsidRPr="00FF386D" w:rsidRDefault="00854ADA" w:rsidP="00854ADA">
            <w:pPr>
              <w:spacing w:after="0" w:line="240" w:lineRule="auto"/>
              <w:jc w:val="both"/>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Индикатори повећаног квалитета снабдевања, примена паметних мрежа, агрегација, услуга као одзив потрошње, склaдиштење и дистрибуирана производња</w:t>
            </w:r>
          </w:p>
        </w:tc>
      </w:tr>
      <w:tr w:rsidR="00854ADA" w:rsidRPr="00FF386D" w14:paraId="3E76F7EE" w14:textId="77777777" w:rsidTr="0057310C">
        <w:trPr>
          <w:trHeight w:val="443"/>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65EF432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02" w:type="dxa"/>
            <w:gridSpan w:val="3"/>
            <w:tcBorders>
              <w:top w:val="single" w:sz="8" w:space="0" w:color="auto"/>
              <w:left w:val="nil"/>
              <w:bottom w:val="single" w:sz="8" w:space="0" w:color="auto"/>
              <w:right w:val="single" w:sz="8" w:space="0" w:color="000000"/>
            </w:tcBorders>
            <w:vAlign w:val="center"/>
            <w:hideMark/>
          </w:tcPr>
          <w:p w14:paraId="26EF1EA2" w14:textId="071F75F4"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МП_УЕ</w:t>
            </w:r>
            <w:r w:rsidR="00CE666F" w:rsidRPr="00FF386D">
              <w:rPr>
                <w:rFonts w:ascii="Calibri Light" w:hAnsi="Calibri Light"/>
                <w:sz w:val="20"/>
              </w:rPr>
              <w:t>Т</w:t>
            </w:r>
            <w:r w:rsidRPr="00FF386D">
              <w:rPr>
                <w:rFonts w:ascii="Calibri Light" w:hAnsi="Calibri Light"/>
                <w:sz w:val="20"/>
              </w:rPr>
              <w:t xml:space="preserve">13 се односи на </w:t>
            </w:r>
            <w:r w:rsidR="00D505C8" w:rsidRPr="00FF386D">
              <w:rPr>
                <w:rFonts w:ascii="Calibri Light" w:hAnsi="Calibri Light"/>
                <w:sz w:val="20"/>
              </w:rPr>
              <w:t>развој</w:t>
            </w:r>
            <w:r w:rsidRPr="00FF386D">
              <w:rPr>
                <w:rFonts w:ascii="Calibri Light" w:hAnsi="Calibri Light"/>
                <w:sz w:val="20"/>
              </w:rPr>
              <w:t xml:space="preserve"> и примену модела управљања подацима који је потребан за операционализацију и побољшање енергетских услуга (нпр. </w:t>
            </w:r>
            <w:r w:rsidRPr="00FF386D">
              <w:rPr>
                <w:rFonts w:ascii="Calibri Light" w:eastAsia="NSimSun" w:hAnsi="Calibri Light" w:cs="Mangal"/>
                <w:kern w:val="2"/>
                <w:sz w:val="20"/>
                <w:szCs w:val="24"/>
                <w:lang w:eastAsia="zh-CN" w:bidi="hi-IN"/>
              </w:rPr>
              <w:t>е</w:t>
            </w:r>
            <w:r w:rsidRPr="00FF386D">
              <w:rPr>
                <w:rFonts w:ascii="Calibri Light" w:hAnsi="Calibri Light"/>
                <w:sz w:val="20"/>
              </w:rPr>
              <w:t xml:space="preserve">нергетска ефикасност, одзив </w:t>
            </w:r>
            <w:r w:rsidR="000E3F4A" w:rsidRPr="00FF386D">
              <w:rPr>
                <w:rFonts w:ascii="Calibri Light" w:hAnsi="Calibri Light"/>
                <w:sz w:val="20"/>
              </w:rPr>
              <w:t>потрошње</w:t>
            </w:r>
            <w:r w:rsidRPr="00FF386D">
              <w:rPr>
                <w:rFonts w:ascii="Calibri Light" w:hAnsi="Calibri Light"/>
                <w:sz w:val="20"/>
              </w:rPr>
              <w:t>, промена снабдевача). Централизованa база за прикупљање енергетских података (тржишни подаци, мрежни подаци, други подаци) би била боља опција</w:t>
            </w:r>
            <w:r w:rsidR="00D505C8" w:rsidRPr="00FF386D">
              <w:rPr>
                <w:rFonts w:ascii="Calibri Light" w:hAnsi="Calibri Light"/>
                <w:sz w:val="20"/>
              </w:rPr>
              <w:t xml:space="preserve">, </w:t>
            </w:r>
            <w:r w:rsidRPr="00FF386D">
              <w:rPr>
                <w:rFonts w:ascii="Calibri Light" w:hAnsi="Calibri Light"/>
                <w:sz w:val="20"/>
              </w:rPr>
              <w:t>како за пренос тако и за дистрибуцију. Употреба</w:t>
            </w:r>
            <w:r w:rsidRPr="00FF386D">
              <w:rPr>
                <w:rFonts w:ascii="Calibri Light" w:eastAsia="NSimSun" w:hAnsi="Calibri Light" w:cs="Mangal"/>
                <w:kern w:val="2"/>
                <w:sz w:val="20"/>
                <w:szCs w:val="24"/>
                <w:lang w:eastAsia="zh-CN" w:bidi="hi-IN"/>
              </w:rPr>
              <w:t xml:space="preserve"> података</w:t>
            </w:r>
            <w:r w:rsidRPr="00FF386D">
              <w:rPr>
                <w:rFonts w:ascii="Calibri Light" w:hAnsi="Calibri Light"/>
                <w:sz w:val="20"/>
              </w:rPr>
              <w:t xml:space="preserve"> у оквиру енергетске базе би подразумевала читање, валидацију, складиштење и размену релевантних података између заинтересованих страна</w:t>
            </w:r>
            <w:r w:rsidRPr="000A2AFE">
              <w:rPr>
                <w:rFonts w:ascii="Calibri Light" w:eastAsia="Times New Roman" w:hAnsi="Calibri Light" w:cs="Calibri Light"/>
                <w:color w:val="000000"/>
                <w:sz w:val="20"/>
                <w:szCs w:val="20"/>
                <w:lang w:eastAsia="en-GB"/>
              </w:rPr>
              <w:t>.</w:t>
            </w:r>
          </w:p>
        </w:tc>
      </w:tr>
      <w:tr w:rsidR="00854ADA" w:rsidRPr="00FF386D" w14:paraId="51E3ED1D"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75123F7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02" w:type="dxa"/>
            <w:gridSpan w:val="3"/>
            <w:tcBorders>
              <w:top w:val="single" w:sz="8" w:space="0" w:color="auto"/>
              <w:left w:val="nil"/>
              <w:bottom w:val="single" w:sz="8" w:space="0" w:color="auto"/>
              <w:right w:val="single" w:sz="8" w:space="0" w:color="000000"/>
            </w:tcBorders>
            <w:vAlign w:val="center"/>
            <w:hideMark/>
          </w:tcPr>
          <w:p w14:paraId="5818FE62"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2021-2030.</w:t>
            </w:r>
          </w:p>
        </w:tc>
      </w:tr>
      <w:tr w:rsidR="00854ADA" w:rsidRPr="00FF386D" w14:paraId="49DFA11A"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300C408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02" w:type="dxa"/>
            <w:gridSpan w:val="3"/>
            <w:tcBorders>
              <w:top w:val="single" w:sz="8" w:space="0" w:color="auto"/>
              <w:left w:val="nil"/>
              <w:bottom w:val="single" w:sz="8" w:space="0" w:color="auto"/>
              <w:right w:val="single" w:sz="8" w:space="0" w:color="000000"/>
            </w:tcBorders>
            <w:vAlign w:val="center"/>
            <w:hideMark/>
          </w:tcPr>
          <w:p w14:paraId="6113A64C"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Реформа</w:t>
            </w:r>
          </w:p>
        </w:tc>
      </w:tr>
      <w:tr w:rsidR="00854ADA" w:rsidRPr="00FF386D" w14:paraId="796C5771"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2334471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02" w:type="dxa"/>
            <w:gridSpan w:val="3"/>
            <w:tcBorders>
              <w:top w:val="single" w:sz="8" w:space="0" w:color="auto"/>
              <w:left w:val="nil"/>
              <w:bottom w:val="single" w:sz="8" w:space="0" w:color="auto"/>
              <w:right w:val="single" w:sz="8" w:space="0" w:color="000000"/>
            </w:tcBorders>
            <w:vAlign w:val="center"/>
            <w:hideMark/>
          </w:tcPr>
          <w:p w14:paraId="27977B92"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Електрична енергија</w:t>
            </w:r>
          </w:p>
        </w:tc>
      </w:tr>
      <w:tr w:rsidR="00854ADA" w:rsidRPr="00FF386D" w14:paraId="4681519E"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4C638E3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02" w:type="dxa"/>
            <w:gridSpan w:val="3"/>
            <w:tcBorders>
              <w:top w:val="single" w:sz="8" w:space="0" w:color="auto"/>
              <w:left w:val="nil"/>
              <w:bottom w:val="single" w:sz="8" w:space="0" w:color="auto"/>
              <w:right w:val="single" w:sz="8" w:space="0" w:color="000000"/>
            </w:tcBorders>
            <w:vAlign w:val="center"/>
            <w:hideMark/>
          </w:tcPr>
          <w:p w14:paraId="0D21031E" w14:textId="77777777" w:rsidR="00854ADA" w:rsidRPr="00FF386D" w:rsidRDefault="00854ADA" w:rsidP="00854ADA">
            <w:pPr>
              <w:numPr>
                <w:ilvl w:val="0"/>
                <w:numId w:val="55"/>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Министарство рударства и енергетике</w:t>
            </w:r>
          </w:p>
        </w:tc>
      </w:tr>
      <w:tr w:rsidR="00854ADA" w:rsidRPr="00FF386D" w14:paraId="1CF120C8" w14:textId="77777777" w:rsidTr="0057310C">
        <w:trPr>
          <w:trHeight w:val="315"/>
        </w:trPr>
        <w:tc>
          <w:tcPr>
            <w:tcW w:w="3286" w:type="dxa"/>
            <w:tcBorders>
              <w:top w:val="nil"/>
              <w:left w:val="single" w:sz="8" w:space="0" w:color="auto"/>
              <w:bottom w:val="single" w:sz="8" w:space="0" w:color="auto"/>
              <w:right w:val="nil"/>
            </w:tcBorders>
            <w:shd w:val="clear" w:color="000000" w:fill="244062"/>
            <w:vAlign w:val="center"/>
            <w:hideMark/>
          </w:tcPr>
          <w:p w14:paraId="6A24EB5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02" w:type="dxa"/>
            <w:gridSpan w:val="3"/>
            <w:tcBorders>
              <w:top w:val="single" w:sz="8" w:space="0" w:color="auto"/>
              <w:left w:val="nil"/>
              <w:bottom w:val="single" w:sz="8" w:space="0" w:color="auto"/>
              <w:right w:val="single" w:sz="8" w:space="0" w:color="000000"/>
            </w:tcBorders>
            <w:vAlign w:val="center"/>
            <w:hideMark/>
          </w:tcPr>
          <w:p w14:paraId="25648939" w14:textId="05CE285D" w:rsidR="00854ADA" w:rsidRPr="00FF386D" w:rsidRDefault="007A1F7F" w:rsidP="00854ADA">
            <w:pPr>
              <w:numPr>
                <w:ilvl w:val="0"/>
                <w:numId w:val="55"/>
              </w:numPr>
              <w:spacing w:after="0" w:line="240" w:lineRule="auto"/>
              <w:contextualSpacing/>
              <w:jc w:val="both"/>
              <w:rPr>
                <w:rFonts w:ascii="Calibri Light" w:eastAsia="Times New Roman" w:hAnsi="Calibri Light" w:cs="Calibri Light"/>
                <w:color w:val="000000"/>
                <w:sz w:val="20"/>
                <w:szCs w:val="20"/>
                <w:lang w:eastAsia="en-GB"/>
              </w:rPr>
            </w:pPr>
            <w:r w:rsidRPr="007A1F7F">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1BDBC39D" w14:textId="77777777" w:rsidTr="0057310C">
        <w:trPr>
          <w:trHeight w:val="315"/>
        </w:trPr>
        <w:tc>
          <w:tcPr>
            <w:tcW w:w="3286" w:type="dxa"/>
            <w:tcBorders>
              <w:top w:val="nil"/>
              <w:left w:val="single" w:sz="8" w:space="0" w:color="auto"/>
              <w:bottom w:val="single" w:sz="8" w:space="0" w:color="auto"/>
              <w:right w:val="nil"/>
            </w:tcBorders>
            <w:shd w:val="clear" w:color="000000" w:fill="244062"/>
            <w:vAlign w:val="center"/>
            <w:hideMark/>
          </w:tcPr>
          <w:p w14:paraId="698360A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02" w:type="dxa"/>
            <w:gridSpan w:val="3"/>
            <w:tcBorders>
              <w:top w:val="single" w:sz="8" w:space="0" w:color="auto"/>
              <w:left w:val="nil"/>
              <w:bottom w:val="single" w:sz="8" w:space="0" w:color="auto"/>
              <w:right w:val="single" w:sz="8" w:space="0" w:color="000000"/>
            </w:tcBorders>
            <w:vAlign w:val="center"/>
            <w:hideMark/>
          </w:tcPr>
          <w:p w14:paraId="70202296"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Ниво (%) интеграције очитаних енергетских података добијених од ОПС и ОДС, број промена снабдевача у датом временском оквиру</w:t>
            </w:r>
          </w:p>
        </w:tc>
      </w:tr>
      <w:tr w:rsidR="00854ADA" w:rsidRPr="00FF386D" w14:paraId="0CAD122B" w14:textId="77777777" w:rsidTr="0057310C">
        <w:trPr>
          <w:trHeight w:val="1170"/>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58EC1FE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02" w:type="dxa"/>
            <w:gridSpan w:val="3"/>
            <w:tcBorders>
              <w:top w:val="single" w:sz="8" w:space="0" w:color="auto"/>
              <w:left w:val="nil"/>
              <w:bottom w:val="single" w:sz="8" w:space="0" w:color="auto"/>
              <w:right w:val="single" w:sz="8" w:space="0" w:color="000000"/>
            </w:tcBorders>
            <w:vAlign w:val="center"/>
            <w:hideMark/>
          </w:tcPr>
          <w:p w14:paraId="7590876E" w14:textId="77777777" w:rsidR="00854ADA" w:rsidRPr="000A2AFE" w:rsidRDefault="00854ADA" w:rsidP="00854ADA">
            <w:pPr>
              <w:numPr>
                <w:ilvl w:val="0"/>
                <w:numId w:val="51"/>
              </w:numPr>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Енергетска ефикасност</w:t>
            </w:r>
          </w:p>
          <w:p w14:paraId="44A86EBD" w14:textId="77777777" w:rsidR="00854ADA" w:rsidRPr="00FF386D" w:rsidRDefault="00854ADA" w:rsidP="00854ADA">
            <w:pPr>
              <w:numPr>
                <w:ilvl w:val="0"/>
                <w:numId w:val="55"/>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Енергетска </w:t>
            </w:r>
            <w:r w:rsidRPr="00FF386D">
              <w:rPr>
                <w:rFonts w:ascii="Calibri Light" w:hAnsi="Calibri Light"/>
                <w:color w:val="000000"/>
                <w:sz w:val="20"/>
              </w:rPr>
              <w:t>сигурност</w:t>
            </w:r>
          </w:p>
        </w:tc>
      </w:tr>
      <w:tr w:rsidR="00854ADA" w:rsidRPr="00FF386D" w14:paraId="0AEBABB8" w14:textId="77777777" w:rsidTr="0057310C">
        <w:trPr>
          <w:trHeight w:val="450"/>
        </w:trPr>
        <w:tc>
          <w:tcPr>
            <w:tcW w:w="3286"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669EB65D" w14:textId="3349109E"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02"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1C6F735" w14:textId="77777777" w:rsidR="00854ADA" w:rsidRPr="00FF386D" w:rsidRDefault="00854ADA" w:rsidP="00854ADA">
            <w:pPr>
              <w:numPr>
                <w:ilvl w:val="0"/>
                <w:numId w:val="5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Директива 2009/72/EЗ</w:t>
            </w:r>
          </w:p>
          <w:p w14:paraId="79069BE5" w14:textId="77777777" w:rsidR="00854ADA" w:rsidRPr="00FF386D" w:rsidRDefault="00854ADA" w:rsidP="00854ADA">
            <w:pPr>
              <w:numPr>
                <w:ilvl w:val="0"/>
                <w:numId w:val="5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Директива (EУ) 2019/944</w:t>
            </w:r>
          </w:p>
          <w:p w14:paraId="0D9792E9" w14:textId="77777777" w:rsidR="00854ADA" w:rsidRPr="00FF386D" w:rsidRDefault="00854ADA" w:rsidP="00854ADA">
            <w:pPr>
              <w:numPr>
                <w:ilvl w:val="0"/>
                <w:numId w:val="5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Уредба (EУ) 2019/943</w:t>
            </w:r>
          </w:p>
        </w:tc>
      </w:tr>
      <w:tr w:rsidR="00854ADA" w:rsidRPr="00FF386D" w14:paraId="4BFBC5F0"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0E2778BB"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02" w:type="dxa"/>
            <w:gridSpan w:val="3"/>
            <w:vMerge/>
            <w:tcBorders>
              <w:top w:val="single" w:sz="8" w:space="0" w:color="auto"/>
              <w:left w:val="single" w:sz="8" w:space="0" w:color="auto"/>
              <w:bottom w:val="single" w:sz="8" w:space="0" w:color="000000"/>
              <w:right w:val="single" w:sz="8" w:space="0" w:color="000000"/>
            </w:tcBorders>
            <w:vAlign w:val="center"/>
            <w:hideMark/>
          </w:tcPr>
          <w:p w14:paraId="1B4F4AF8"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556EAAB0"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14E56AB9"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02" w:type="dxa"/>
            <w:gridSpan w:val="3"/>
            <w:vMerge/>
            <w:tcBorders>
              <w:top w:val="single" w:sz="8" w:space="0" w:color="auto"/>
              <w:left w:val="single" w:sz="8" w:space="0" w:color="auto"/>
              <w:bottom w:val="single" w:sz="8" w:space="0" w:color="000000"/>
              <w:right w:val="single" w:sz="8" w:space="0" w:color="000000"/>
            </w:tcBorders>
            <w:vAlign w:val="center"/>
            <w:hideMark/>
          </w:tcPr>
          <w:p w14:paraId="403BE937"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5FCD2AA1" w14:textId="77777777" w:rsidTr="0057310C">
        <w:trPr>
          <w:trHeight w:val="780"/>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1196F54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02" w:type="dxa"/>
            <w:gridSpan w:val="3"/>
            <w:tcBorders>
              <w:top w:val="single" w:sz="8" w:space="0" w:color="auto"/>
              <w:left w:val="nil"/>
              <w:bottom w:val="single" w:sz="8" w:space="0" w:color="auto"/>
              <w:right w:val="single" w:sz="8" w:space="0" w:color="000000"/>
            </w:tcBorders>
            <w:vAlign w:val="center"/>
            <w:hideMark/>
          </w:tcPr>
          <w:p w14:paraId="674BBE37" w14:textId="77777777" w:rsidR="00854ADA" w:rsidRPr="00FF386D" w:rsidRDefault="00854ADA" w:rsidP="00854ADA">
            <w:pPr>
              <w:numPr>
                <w:ilvl w:val="0"/>
                <w:numId w:val="56"/>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енергетици</w:t>
            </w:r>
          </w:p>
        </w:tc>
      </w:tr>
      <w:tr w:rsidR="00854ADA" w:rsidRPr="00FF386D" w14:paraId="148A7361"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5CE95CD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02" w:type="dxa"/>
            <w:gridSpan w:val="3"/>
            <w:tcBorders>
              <w:top w:val="single" w:sz="8" w:space="0" w:color="auto"/>
              <w:left w:val="nil"/>
              <w:bottom w:val="single" w:sz="8" w:space="0" w:color="auto"/>
              <w:right w:val="single" w:sz="8" w:space="0" w:color="000000"/>
            </w:tcBorders>
            <w:vAlign w:val="center"/>
            <w:hideMark/>
          </w:tcPr>
          <w:p w14:paraId="7F9BBC0E" w14:textId="77777777" w:rsidR="00854ADA" w:rsidRPr="00FF386D" w:rsidRDefault="00854ADA" w:rsidP="00854ADA">
            <w:pPr>
              <w:spacing w:after="0" w:line="240" w:lineRule="auto"/>
              <w:jc w:val="both"/>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0,4 милиона евра</w:t>
            </w:r>
          </w:p>
        </w:tc>
      </w:tr>
      <w:tr w:rsidR="00854ADA" w:rsidRPr="00FF386D" w14:paraId="2A52560F"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1E79015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02" w:type="dxa"/>
            <w:gridSpan w:val="3"/>
            <w:tcBorders>
              <w:top w:val="single" w:sz="8" w:space="0" w:color="auto"/>
              <w:left w:val="nil"/>
              <w:bottom w:val="single" w:sz="8" w:space="0" w:color="auto"/>
              <w:right w:val="single" w:sz="8" w:space="0" w:color="000000"/>
            </w:tcBorders>
            <w:vAlign w:val="center"/>
            <w:hideMark/>
          </w:tcPr>
          <w:p w14:paraId="2334594B" w14:textId="3FA7B319" w:rsidR="00854ADA" w:rsidRPr="00FF386D" w:rsidRDefault="00854ADA" w:rsidP="00854ADA">
            <w:pPr>
              <w:spacing w:after="0" w:line="240" w:lineRule="auto"/>
              <w:jc w:val="both"/>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F42430" w:rsidRPr="00FF386D">
              <w:rPr>
                <w:rFonts w:ascii="Calibri Light" w:eastAsia="Times New Roman" w:hAnsi="Calibri Light" w:cs="Calibri Light"/>
                <w:color w:val="000000"/>
                <w:sz w:val="20"/>
                <w:szCs w:val="20"/>
                <w:lang w:eastAsia="en-GB"/>
              </w:rPr>
              <w:t>ска средства</w:t>
            </w:r>
          </w:p>
        </w:tc>
      </w:tr>
    </w:tbl>
    <w:p w14:paraId="33BC3FB0"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88"/>
        <w:gridCol w:w="1110"/>
        <w:gridCol w:w="935"/>
        <w:gridCol w:w="4155"/>
      </w:tblGrid>
      <w:tr w:rsidR="00854ADA" w:rsidRPr="00FF386D" w14:paraId="1B4AC8FC" w14:textId="77777777" w:rsidTr="0057310C">
        <w:trPr>
          <w:trHeight w:val="780"/>
        </w:trPr>
        <w:tc>
          <w:tcPr>
            <w:tcW w:w="3288"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57E40C4B" w14:textId="5CFCBD19"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110" w:type="dxa"/>
            <w:tcBorders>
              <w:top w:val="single" w:sz="8" w:space="0" w:color="auto"/>
              <w:left w:val="nil"/>
              <w:bottom w:val="single" w:sz="8" w:space="0" w:color="auto"/>
              <w:right w:val="single" w:sz="8" w:space="0" w:color="auto"/>
            </w:tcBorders>
            <w:shd w:val="clear" w:color="auto" w:fill="E7E6E6" w:themeFill="background2"/>
            <w:vAlign w:val="center"/>
            <w:hideMark/>
          </w:tcPr>
          <w:p w14:paraId="62B86C6A" w14:textId="6DE8847C"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МП_УЕ</w:t>
            </w:r>
            <w:r w:rsidR="00D505C8" w:rsidRPr="00FF386D">
              <w:rPr>
                <w:rFonts w:ascii="Calibri Light" w:hAnsi="Calibri Light"/>
                <w:b/>
                <w:sz w:val="20"/>
              </w:rPr>
              <w:t>Т</w:t>
            </w:r>
            <w:r w:rsidRPr="00FF386D">
              <w:rPr>
                <w:rFonts w:ascii="Calibri Light" w:hAnsi="Calibri Light"/>
                <w:b/>
                <w:sz w:val="20"/>
              </w:rPr>
              <w:t>14</w:t>
            </w:r>
          </w:p>
        </w:tc>
        <w:tc>
          <w:tcPr>
            <w:tcW w:w="935" w:type="dxa"/>
            <w:tcBorders>
              <w:top w:val="single" w:sz="8" w:space="0" w:color="auto"/>
              <w:left w:val="nil"/>
              <w:bottom w:val="single" w:sz="8" w:space="0" w:color="auto"/>
              <w:right w:val="single" w:sz="8" w:space="0" w:color="auto"/>
            </w:tcBorders>
            <w:shd w:val="clear" w:color="auto" w:fill="244062"/>
            <w:vAlign w:val="center"/>
            <w:hideMark/>
          </w:tcPr>
          <w:p w14:paraId="5824102C"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FF386D">
              <w:rPr>
                <w:rFonts w:ascii="Calibri Light" w:eastAsia="Times New Roman" w:hAnsi="Calibri Light" w:cs="Calibri Light"/>
                <w:b/>
                <w:bCs/>
                <w:color w:val="FFFFFF"/>
                <w:sz w:val="20"/>
                <w:szCs w:val="20"/>
                <w:lang w:eastAsia="en-GB"/>
              </w:rPr>
              <w:t xml:space="preserve">Назив: </w:t>
            </w:r>
          </w:p>
        </w:tc>
        <w:tc>
          <w:tcPr>
            <w:tcW w:w="4155" w:type="dxa"/>
            <w:tcBorders>
              <w:top w:val="single" w:sz="8" w:space="0" w:color="auto"/>
              <w:left w:val="nil"/>
              <w:bottom w:val="single" w:sz="8" w:space="0" w:color="auto"/>
              <w:right w:val="single" w:sz="8" w:space="0" w:color="auto"/>
            </w:tcBorders>
            <w:shd w:val="clear" w:color="auto" w:fill="E7E6E6" w:themeFill="background2"/>
            <w:vAlign w:val="center"/>
            <w:hideMark/>
          </w:tcPr>
          <w:p w14:paraId="7A8D56E0" w14:textId="2646B437" w:rsidR="00854ADA" w:rsidRPr="00FF386D" w:rsidRDefault="00F42430" w:rsidP="00F42430">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eastAsia="Times New Roman" w:hAnsi="Calibri Light" w:cs="Calibri Light"/>
                <w:b/>
                <w:bCs/>
                <w:color w:val="000000"/>
                <w:sz w:val="20"/>
                <w:szCs w:val="20"/>
                <w:lang w:eastAsia="en-GB"/>
              </w:rPr>
              <w:t xml:space="preserve">Промовисање одзива потрошње за крајње купце коришћењем динамичког тарифног система </w:t>
            </w:r>
          </w:p>
        </w:tc>
      </w:tr>
      <w:tr w:rsidR="00854ADA" w:rsidRPr="00FF386D" w14:paraId="23D5C18A" w14:textId="77777777" w:rsidTr="0057310C">
        <w:trPr>
          <w:trHeight w:val="960"/>
        </w:trPr>
        <w:tc>
          <w:tcPr>
            <w:tcW w:w="3288" w:type="dxa"/>
            <w:tcBorders>
              <w:top w:val="nil"/>
              <w:left w:val="single" w:sz="8" w:space="0" w:color="auto"/>
              <w:bottom w:val="single" w:sz="8" w:space="0" w:color="auto"/>
              <w:right w:val="nil"/>
            </w:tcBorders>
            <w:shd w:val="clear" w:color="000000" w:fill="244062"/>
            <w:vAlign w:val="center"/>
            <w:hideMark/>
          </w:tcPr>
          <w:p w14:paraId="1F0D3DE5" w14:textId="66EF4F68"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00" w:type="dxa"/>
            <w:gridSpan w:val="3"/>
            <w:tcBorders>
              <w:top w:val="single" w:sz="8" w:space="0" w:color="auto"/>
              <w:left w:val="nil"/>
              <w:bottom w:val="single" w:sz="8" w:space="0" w:color="auto"/>
              <w:right w:val="single" w:sz="8" w:space="0" w:color="000000"/>
            </w:tcBorders>
            <w:vAlign w:val="center"/>
          </w:tcPr>
          <w:p w14:paraId="5A0C4591" w14:textId="103FA7AD" w:rsidR="00854ADA" w:rsidRPr="00FF386D" w:rsidRDefault="008862E9"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Theme="majorHAnsi" w:eastAsia="Times New Roman" w:hAnsiTheme="majorHAnsi" w:cstheme="majorHAnsi"/>
                <w:color w:val="000000"/>
                <w:sz w:val="20"/>
                <w:szCs w:val="20"/>
                <w:lang w:eastAsia="en-GB"/>
              </w:rPr>
              <w:t>Повећана флексибилност система и квалитет снабдевања електричном енергијом, посебно применом политика и мера које се односе на формирање цена заснованих на тржишту у складу са важећим законом; интеграција и спајање тржишта с циљем да се повећају капацитети</w:t>
            </w:r>
            <w:r w:rsidR="00976D0F">
              <w:t xml:space="preserve"> </w:t>
            </w:r>
            <w:r w:rsidR="00976D0F" w:rsidRPr="00976D0F">
              <w:rPr>
                <w:rFonts w:asciiTheme="majorHAnsi" w:eastAsia="Times New Roman" w:hAnsiTheme="majorHAnsi" w:cstheme="majorHAnsi"/>
                <w:color w:val="000000"/>
                <w:sz w:val="20"/>
                <w:szCs w:val="20"/>
                <w:lang w:eastAsia="en-GB"/>
              </w:rPr>
              <w:t>за трговање</w:t>
            </w:r>
            <w:r w:rsidRPr="00FF386D">
              <w:rPr>
                <w:rFonts w:asciiTheme="majorHAnsi" w:eastAsia="Times New Roman" w:hAnsiTheme="majorHAnsi" w:cstheme="majorHAnsi"/>
                <w:color w:val="000000"/>
                <w:sz w:val="20"/>
                <w:szCs w:val="20"/>
                <w:lang w:eastAsia="en-GB"/>
              </w:rPr>
              <w:t xml:space="preserve"> постојећих интерконектора, паметних мрежа, агрегације, </w:t>
            </w:r>
            <w:r w:rsidR="00976D0F" w:rsidRPr="00976D0F">
              <w:rPr>
                <w:rFonts w:asciiTheme="majorHAnsi" w:eastAsia="Times New Roman" w:hAnsiTheme="majorHAnsi" w:cstheme="majorHAnsi"/>
                <w:color w:val="000000"/>
                <w:sz w:val="20"/>
                <w:szCs w:val="20"/>
                <w:lang w:eastAsia="en-GB"/>
              </w:rPr>
              <w:t>управљања потрошњом</w:t>
            </w:r>
            <w:r w:rsidRPr="00FF386D">
              <w:rPr>
                <w:rFonts w:asciiTheme="majorHAnsi" w:eastAsia="Times New Roman" w:hAnsiTheme="majorHAnsi" w:cstheme="majorHAnsi"/>
                <w:color w:val="000000"/>
                <w:sz w:val="20"/>
                <w:szCs w:val="20"/>
                <w:lang w:eastAsia="en-GB"/>
              </w:rPr>
              <w:t>, складиштења, дистрибуиране производње, механизама за диспеч</w:t>
            </w:r>
            <w:r w:rsidR="002B4FCB">
              <w:rPr>
                <w:rFonts w:asciiTheme="majorHAnsi" w:eastAsia="Times New Roman" w:hAnsiTheme="majorHAnsi" w:cstheme="majorHAnsi"/>
                <w:color w:val="000000"/>
                <w:sz w:val="20"/>
                <w:szCs w:val="20"/>
                <w:lang w:eastAsia="en-GB"/>
              </w:rPr>
              <w:t>инг</w:t>
            </w:r>
            <w:r w:rsidRPr="00FF386D">
              <w:rPr>
                <w:rFonts w:asciiTheme="majorHAnsi" w:eastAsia="Times New Roman" w:hAnsiTheme="majorHAnsi" w:cstheme="majorHAnsi"/>
                <w:color w:val="000000"/>
                <w:sz w:val="20"/>
                <w:szCs w:val="20"/>
                <w:lang w:eastAsia="en-GB"/>
              </w:rPr>
              <w:t>, редиспеч</w:t>
            </w:r>
            <w:r w:rsidR="002B4FCB">
              <w:rPr>
                <w:rFonts w:asciiTheme="majorHAnsi" w:eastAsia="Times New Roman" w:hAnsiTheme="majorHAnsi" w:cstheme="majorHAnsi"/>
                <w:color w:val="000000"/>
                <w:sz w:val="20"/>
                <w:szCs w:val="20"/>
                <w:lang w:eastAsia="en-GB"/>
              </w:rPr>
              <w:t>инг</w:t>
            </w:r>
            <w:r w:rsidRPr="00FF386D">
              <w:rPr>
                <w:rFonts w:asciiTheme="majorHAnsi" w:eastAsia="Times New Roman" w:hAnsiTheme="majorHAnsi" w:cstheme="majorHAnsi"/>
                <w:color w:val="000000"/>
                <w:sz w:val="20"/>
                <w:szCs w:val="20"/>
                <w:lang w:eastAsia="en-GB"/>
              </w:rPr>
              <w:t xml:space="preserve"> и ограничавања производње, као и ценовних сигнала у реалном времену.</w:t>
            </w:r>
          </w:p>
        </w:tc>
      </w:tr>
      <w:tr w:rsidR="00854ADA" w:rsidRPr="00FF386D" w14:paraId="5FF1C303" w14:textId="77777777" w:rsidTr="0057310C">
        <w:trPr>
          <w:trHeight w:val="315"/>
        </w:trPr>
        <w:tc>
          <w:tcPr>
            <w:tcW w:w="3288" w:type="dxa"/>
            <w:tcBorders>
              <w:top w:val="nil"/>
              <w:left w:val="single" w:sz="8" w:space="0" w:color="auto"/>
              <w:bottom w:val="single" w:sz="8" w:space="0" w:color="auto"/>
              <w:right w:val="single" w:sz="8" w:space="0" w:color="auto"/>
            </w:tcBorders>
            <w:shd w:val="clear" w:color="000000" w:fill="244062"/>
            <w:vAlign w:val="center"/>
            <w:hideMark/>
          </w:tcPr>
          <w:p w14:paraId="5A6E9A41" w14:textId="05C63522"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00" w:type="dxa"/>
            <w:gridSpan w:val="3"/>
            <w:tcBorders>
              <w:top w:val="single" w:sz="8" w:space="0" w:color="auto"/>
              <w:left w:val="nil"/>
              <w:bottom w:val="single" w:sz="8" w:space="0" w:color="auto"/>
              <w:right w:val="single" w:sz="8" w:space="0" w:color="000000"/>
            </w:tcBorders>
            <w:vAlign w:val="center"/>
          </w:tcPr>
          <w:p w14:paraId="6020A89F" w14:textId="1FF0FF7E" w:rsidR="00854ADA" w:rsidRPr="00FF386D" w:rsidRDefault="00854ADA" w:rsidP="00854ADA">
            <w:pPr>
              <w:spacing w:after="0" w:line="240" w:lineRule="auto"/>
              <w:jc w:val="both"/>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 xml:space="preserve">Индикатори повећаног квалитета снабдевања, примена паметних мрежа, агрегација, услуга као одзив потрошње, </w:t>
            </w:r>
            <w:r w:rsidR="00500035" w:rsidRPr="00FF386D">
              <w:rPr>
                <w:rFonts w:asciiTheme="majorHAnsi" w:eastAsia="Times New Roman" w:hAnsiTheme="majorHAnsi" w:cstheme="majorHAnsi"/>
                <w:color w:val="000000"/>
                <w:sz w:val="20"/>
                <w:szCs w:val="20"/>
                <w:lang w:eastAsia="en-GB"/>
              </w:rPr>
              <w:t>складиштење</w:t>
            </w:r>
            <w:r w:rsidRPr="00FF386D">
              <w:rPr>
                <w:rFonts w:asciiTheme="majorHAnsi" w:eastAsia="Times New Roman" w:hAnsiTheme="majorHAnsi" w:cstheme="majorHAnsi"/>
                <w:color w:val="000000"/>
                <w:sz w:val="20"/>
                <w:szCs w:val="20"/>
                <w:lang w:eastAsia="en-GB"/>
              </w:rPr>
              <w:t xml:space="preserve"> и дистрибуирана производња.</w:t>
            </w:r>
          </w:p>
        </w:tc>
      </w:tr>
      <w:tr w:rsidR="00854ADA" w:rsidRPr="00FF386D" w14:paraId="40102BE7" w14:textId="77777777" w:rsidTr="0057310C">
        <w:trPr>
          <w:trHeight w:val="443"/>
        </w:trPr>
        <w:tc>
          <w:tcPr>
            <w:tcW w:w="3288" w:type="dxa"/>
            <w:tcBorders>
              <w:top w:val="nil"/>
              <w:left w:val="single" w:sz="8" w:space="0" w:color="auto"/>
              <w:bottom w:val="single" w:sz="8" w:space="0" w:color="auto"/>
              <w:right w:val="single" w:sz="8" w:space="0" w:color="auto"/>
            </w:tcBorders>
            <w:shd w:val="clear" w:color="000000" w:fill="244062"/>
            <w:vAlign w:val="center"/>
            <w:hideMark/>
          </w:tcPr>
          <w:p w14:paraId="58D32F7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Опис:</w:t>
            </w:r>
          </w:p>
        </w:tc>
        <w:tc>
          <w:tcPr>
            <w:tcW w:w="6200" w:type="dxa"/>
            <w:gridSpan w:val="3"/>
            <w:tcBorders>
              <w:top w:val="single" w:sz="8" w:space="0" w:color="auto"/>
              <w:left w:val="nil"/>
              <w:bottom w:val="single" w:sz="8" w:space="0" w:color="auto"/>
              <w:right w:val="single" w:sz="8" w:space="0" w:color="000000"/>
            </w:tcBorders>
            <w:vAlign w:val="center"/>
            <w:hideMark/>
          </w:tcPr>
          <w:p w14:paraId="38D0DF38" w14:textId="4701D41F"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МП_УЕ</w:t>
            </w:r>
            <w:r w:rsidR="00D505C8" w:rsidRPr="00FF386D">
              <w:rPr>
                <w:rFonts w:ascii="Calibri Light" w:hAnsi="Calibri Light"/>
                <w:sz w:val="20"/>
              </w:rPr>
              <w:t>Т</w:t>
            </w:r>
            <w:r w:rsidRPr="00FF386D">
              <w:rPr>
                <w:rFonts w:ascii="Calibri Light" w:hAnsi="Calibri Light"/>
                <w:sz w:val="20"/>
              </w:rPr>
              <w:t xml:space="preserve">14 садржи меру политике која је усмерена на усклађивање образаца потрошње крајњих купаца електричне енергије како би се омогућила већа флексибилност и оптимално коришћење електроенергетског система. Ова мера (политика) је уско повезана и са употребом напредних мерних уређаја и технологије </w:t>
            </w:r>
            <w:r w:rsidRPr="00FF386D">
              <w:rPr>
                <w:rFonts w:ascii="Calibri Light" w:hAnsi="Calibri Light"/>
                <w:i/>
                <w:iCs/>
                <w:sz w:val="20"/>
              </w:rPr>
              <w:t>IoT</w:t>
            </w:r>
            <w:r w:rsidRPr="00FF386D">
              <w:rPr>
                <w:rFonts w:ascii="Calibri Light" w:eastAsia="NSimSun" w:hAnsi="Calibri Light" w:cs="Mangal"/>
                <w:kern w:val="2"/>
                <w:sz w:val="20"/>
                <w:szCs w:val="24"/>
                <w:lang w:eastAsia="zh-CN" w:bidi="hi-IN"/>
              </w:rPr>
              <w:t>,</w:t>
            </w:r>
            <w:r w:rsidRPr="00FF386D">
              <w:rPr>
                <w:rFonts w:ascii="Calibri Light" w:hAnsi="Calibri Light"/>
                <w:sz w:val="20"/>
              </w:rPr>
              <w:t xml:space="preserve"> </w:t>
            </w:r>
            <w:r w:rsidR="00D505C8" w:rsidRPr="00FF386D">
              <w:rPr>
                <w:rFonts w:ascii="Calibri Light" w:hAnsi="Calibri Light"/>
                <w:sz w:val="20"/>
              </w:rPr>
              <w:t xml:space="preserve">који су </w:t>
            </w:r>
            <w:r w:rsidRPr="00FF386D">
              <w:rPr>
                <w:rFonts w:ascii="Calibri Light" w:hAnsi="Calibri Light"/>
                <w:sz w:val="20"/>
              </w:rPr>
              <w:t>неопходни за слање ценовних сигнала у реалном времену (или близу реалног времена) и стимулисање крајњих купаца за одзив потрошње.</w:t>
            </w:r>
          </w:p>
        </w:tc>
      </w:tr>
      <w:tr w:rsidR="00854ADA" w:rsidRPr="00FF386D" w14:paraId="0E7F3FF0" w14:textId="77777777" w:rsidTr="0057310C">
        <w:trPr>
          <w:trHeight w:val="315"/>
        </w:trPr>
        <w:tc>
          <w:tcPr>
            <w:tcW w:w="3288" w:type="dxa"/>
            <w:tcBorders>
              <w:top w:val="nil"/>
              <w:left w:val="single" w:sz="8" w:space="0" w:color="auto"/>
              <w:bottom w:val="single" w:sz="8" w:space="0" w:color="auto"/>
              <w:right w:val="single" w:sz="8" w:space="0" w:color="auto"/>
            </w:tcBorders>
            <w:shd w:val="clear" w:color="000000" w:fill="244062"/>
            <w:vAlign w:val="center"/>
            <w:hideMark/>
          </w:tcPr>
          <w:p w14:paraId="47711E7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00" w:type="dxa"/>
            <w:gridSpan w:val="3"/>
            <w:tcBorders>
              <w:top w:val="single" w:sz="8" w:space="0" w:color="auto"/>
              <w:left w:val="nil"/>
              <w:bottom w:val="single" w:sz="8" w:space="0" w:color="auto"/>
              <w:right w:val="single" w:sz="8" w:space="0" w:color="000000"/>
            </w:tcBorders>
            <w:vAlign w:val="center"/>
            <w:hideMark/>
          </w:tcPr>
          <w:p w14:paraId="59AAF4D4"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2021-2030.</w:t>
            </w:r>
          </w:p>
        </w:tc>
      </w:tr>
      <w:tr w:rsidR="00854ADA" w:rsidRPr="00FF386D" w14:paraId="68C569F8" w14:textId="77777777" w:rsidTr="0057310C">
        <w:trPr>
          <w:trHeight w:val="315"/>
        </w:trPr>
        <w:tc>
          <w:tcPr>
            <w:tcW w:w="3288" w:type="dxa"/>
            <w:tcBorders>
              <w:top w:val="nil"/>
              <w:left w:val="single" w:sz="8" w:space="0" w:color="auto"/>
              <w:bottom w:val="single" w:sz="8" w:space="0" w:color="auto"/>
              <w:right w:val="single" w:sz="8" w:space="0" w:color="auto"/>
            </w:tcBorders>
            <w:shd w:val="clear" w:color="000000" w:fill="244062"/>
            <w:vAlign w:val="center"/>
            <w:hideMark/>
          </w:tcPr>
          <w:p w14:paraId="42C4824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00" w:type="dxa"/>
            <w:gridSpan w:val="3"/>
            <w:tcBorders>
              <w:top w:val="single" w:sz="8" w:space="0" w:color="auto"/>
              <w:left w:val="nil"/>
              <w:bottom w:val="single" w:sz="8" w:space="0" w:color="auto"/>
              <w:right w:val="single" w:sz="8" w:space="0" w:color="000000"/>
            </w:tcBorders>
            <w:vAlign w:val="center"/>
            <w:hideMark/>
          </w:tcPr>
          <w:p w14:paraId="07C69817"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Реформа</w:t>
            </w:r>
          </w:p>
        </w:tc>
      </w:tr>
      <w:tr w:rsidR="00854ADA" w:rsidRPr="00FF386D" w14:paraId="7C3039AE" w14:textId="77777777" w:rsidTr="0057310C">
        <w:trPr>
          <w:trHeight w:val="315"/>
        </w:trPr>
        <w:tc>
          <w:tcPr>
            <w:tcW w:w="3288" w:type="dxa"/>
            <w:tcBorders>
              <w:top w:val="nil"/>
              <w:left w:val="single" w:sz="8" w:space="0" w:color="auto"/>
              <w:bottom w:val="single" w:sz="8" w:space="0" w:color="auto"/>
              <w:right w:val="single" w:sz="8" w:space="0" w:color="auto"/>
            </w:tcBorders>
            <w:shd w:val="clear" w:color="000000" w:fill="244062"/>
            <w:vAlign w:val="center"/>
            <w:hideMark/>
          </w:tcPr>
          <w:p w14:paraId="787F311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00" w:type="dxa"/>
            <w:gridSpan w:val="3"/>
            <w:tcBorders>
              <w:top w:val="single" w:sz="8" w:space="0" w:color="auto"/>
              <w:left w:val="nil"/>
              <w:bottom w:val="single" w:sz="8" w:space="0" w:color="auto"/>
              <w:right w:val="single" w:sz="8" w:space="0" w:color="000000"/>
            </w:tcBorders>
            <w:vAlign w:val="center"/>
            <w:hideMark/>
          </w:tcPr>
          <w:p w14:paraId="428B7C66"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Електрична енергија</w:t>
            </w:r>
          </w:p>
        </w:tc>
      </w:tr>
      <w:tr w:rsidR="00854ADA" w:rsidRPr="00FF386D" w14:paraId="2572EB04" w14:textId="77777777" w:rsidTr="0057310C">
        <w:trPr>
          <w:trHeight w:val="315"/>
        </w:trPr>
        <w:tc>
          <w:tcPr>
            <w:tcW w:w="3288" w:type="dxa"/>
            <w:tcBorders>
              <w:top w:val="nil"/>
              <w:left w:val="single" w:sz="8" w:space="0" w:color="auto"/>
              <w:bottom w:val="single" w:sz="8" w:space="0" w:color="auto"/>
              <w:right w:val="single" w:sz="8" w:space="0" w:color="auto"/>
            </w:tcBorders>
            <w:shd w:val="clear" w:color="000000" w:fill="244062"/>
            <w:vAlign w:val="center"/>
            <w:hideMark/>
          </w:tcPr>
          <w:p w14:paraId="6121C63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00" w:type="dxa"/>
            <w:gridSpan w:val="3"/>
            <w:tcBorders>
              <w:top w:val="single" w:sz="8" w:space="0" w:color="auto"/>
              <w:left w:val="nil"/>
              <w:bottom w:val="single" w:sz="8" w:space="0" w:color="auto"/>
              <w:right w:val="single" w:sz="8" w:space="0" w:color="000000"/>
            </w:tcBorders>
            <w:vAlign w:val="center"/>
            <w:hideMark/>
          </w:tcPr>
          <w:p w14:paraId="67BF0014" w14:textId="751041CE" w:rsidR="00854ADA" w:rsidRPr="00FF386D" w:rsidRDefault="007A1F7F" w:rsidP="00854ADA">
            <w:pPr>
              <w:numPr>
                <w:ilvl w:val="0"/>
                <w:numId w:val="56"/>
              </w:numPr>
              <w:spacing w:after="0" w:line="240" w:lineRule="auto"/>
              <w:contextualSpacing/>
              <w:jc w:val="both"/>
              <w:rPr>
                <w:rFonts w:ascii="Calibri Light" w:eastAsia="Times New Roman" w:hAnsi="Calibri Light" w:cs="Calibri Light"/>
                <w:color w:val="000000"/>
                <w:sz w:val="20"/>
                <w:szCs w:val="20"/>
                <w:lang w:eastAsia="en-GB"/>
              </w:rPr>
            </w:pPr>
            <w:r w:rsidRPr="007A1F7F">
              <w:rPr>
                <w:rFonts w:ascii="Calibri Light" w:hAnsi="Calibri Light"/>
                <w:sz w:val="20"/>
              </w:rPr>
              <w:t>Министарство рударства и енергетике</w:t>
            </w:r>
          </w:p>
        </w:tc>
      </w:tr>
      <w:tr w:rsidR="00854ADA" w:rsidRPr="00FF386D" w14:paraId="14887197" w14:textId="77777777" w:rsidTr="0057310C">
        <w:trPr>
          <w:trHeight w:val="315"/>
        </w:trPr>
        <w:tc>
          <w:tcPr>
            <w:tcW w:w="3288" w:type="dxa"/>
            <w:tcBorders>
              <w:top w:val="nil"/>
              <w:left w:val="single" w:sz="8" w:space="0" w:color="auto"/>
              <w:bottom w:val="single" w:sz="8" w:space="0" w:color="auto"/>
              <w:right w:val="nil"/>
            </w:tcBorders>
            <w:shd w:val="clear" w:color="000000" w:fill="244062"/>
            <w:vAlign w:val="center"/>
            <w:hideMark/>
          </w:tcPr>
          <w:p w14:paraId="44AEB39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00" w:type="dxa"/>
            <w:gridSpan w:val="3"/>
            <w:tcBorders>
              <w:top w:val="single" w:sz="8" w:space="0" w:color="auto"/>
              <w:left w:val="nil"/>
              <w:bottom w:val="single" w:sz="8" w:space="0" w:color="auto"/>
              <w:right w:val="single" w:sz="8" w:space="0" w:color="000000"/>
            </w:tcBorders>
            <w:vAlign w:val="center"/>
            <w:hideMark/>
          </w:tcPr>
          <w:p w14:paraId="7D2BCDF0" w14:textId="0BB97141" w:rsidR="00854ADA" w:rsidRPr="00FF386D" w:rsidRDefault="007A1F7F" w:rsidP="00854ADA">
            <w:pPr>
              <w:numPr>
                <w:ilvl w:val="0"/>
                <w:numId w:val="56"/>
              </w:numPr>
              <w:spacing w:after="0" w:line="240" w:lineRule="auto"/>
              <w:contextualSpacing/>
              <w:jc w:val="both"/>
              <w:rPr>
                <w:rFonts w:ascii="Calibri Light" w:eastAsia="Times New Roman" w:hAnsi="Calibri Light" w:cs="Calibri Light"/>
                <w:color w:val="000000"/>
                <w:sz w:val="20"/>
                <w:szCs w:val="20"/>
                <w:lang w:eastAsia="en-GB"/>
              </w:rPr>
            </w:pPr>
            <w:r w:rsidRPr="007A1F7F">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4A1CFAB0" w14:textId="77777777" w:rsidTr="0057310C">
        <w:trPr>
          <w:trHeight w:val="315"/>
        </w:trPr>
        <w:tc>
          <w:tcPr>
            <w:tcW w:w="3288" w:type="dxa"/>
            <w:tcBorders>
              <w:top w:val="nil"/>
              <w:left w:val="single" w:sz="8" w:space="0" w:color="auto"/>
              <w:bottom w:val="single" w:sz="8" w:space="0" w:color="auto"/>
              <w:right w:val="nil"/>
            </w:tcBorders>
            <w:shd w:val="clear" w:color="000000" w:fill="244062"/>
            <w:vAlign w:val="center"/>
            <w:hideMark/>
          </w:tcPr>
          <w:p w14:paraId="517A7C0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00" w:type="dxa"/>
            <w:gridSpan w:val="3"/>
            <w:tcBorders>
              <w:top w:val="single" w:sz="8" w:space="0" w:color="auto"/>
              <w:left w:val="nil"/>
              <w:bottom w:val="single" w:sz="8" w:space="0" w:color="auto"/>
              <w:right w:val="single" w:sz="8" w:space="0" w:color="000000"/>
            </w:tcBorders>
            <w:vAlign w:val="center"/>
            <w:hideMark/>
          </w:tcPr>
          <w:p w14:paraId="62F41D82"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Проценат (%) вршне потражње на годишњем нивоу пребачен на сате ван вршне потражње</w:t>
            </w:r>
          </w:p>
        </w:tc>
      </w:tr>
      <w:tr w:rsidR="00854ADA" w:rsidRPr="00FF386D" w14:paraId="161D8764" w14:textId="77777777" w:rsidTr="0057310C">
        <w:trPr>
          <w:trHeight w:val="748"/>
        </w:trPr>
        <w:tc>
          <w:tcPr>
            <w:tcW w:w="3288" w:type="dxa"/>
            <w:tcBorders>
              <w:top w:val="nil"/>
              <w:left w:val="single" w:sz="8" w:space="0" w:color="auto"/>
              <w:bottom w:val="single" w:sz="8" w:space="0" w:color="auto"/>
              <w:right w:val="single" w:sz="8" w:space="0" w:color="auto"/>
            </w:tcBorders>
            <w:shd w:val="clear" w:color="000000" w:fill="244062"/>
            <w:vAlign w:val="center"/>
            <w:hideMark/>
          </w:tcPr>
          <w:p w14:paraId="54CA127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00" w:type="dxa"/>
            <w:gridSpan w:val="3"/>
            <w:tcBorders>
              <w:top w:val="single" w:sz="8" w:space="0" w:color="auto"/>
              <w:left w:val="nil"/>
              <w:bottom w:val="single" w:sz="8" w:space="0" w:color="auto"/>
              <w:right w:val="single" w:sz="8" w:space="0" w:color="000000"/>
            </w:tcBorders>
            <w:vAlign w:val="center"/>
            <w:hideMark/>
          </w:tcPr>
          <w:p w14:paraId="1E486C2B" w14:textId="241A0F67" w:rsidR="002B4FCB" w:rsidRDefault="002B4FCB" w:rsidP="00854ADA">
            <w:pPr>
              <w:numPr>
                <w:ilvl w:val="0"/>
                <w:numId w:val="56"/>
              </w:numPr>
              <w:spacing w:after="0" w:line="240" w:lineRule="auto"/>
              <w:contextualSpacing/>
              <w:jc w:val="both"/>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Енергетска ефикасност</w:t>
            </w:r>
          </w:p>
          <w:p w14:paraId="67327774" w14:textId="16ED0794" w:rsidR="00854ADA" w:rsidRPr="00FF386D" w:rsidRDefault="00854ADA" w:rsidP="00854ADA">
            <w:pPr>
              <w:numPr>
                <w:ilvl w:val="0"/>
                <w:numId w:val="56"/>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Енергетска </w:t>
            </w:r>
            <w:r w:rsidRPr="00FF386D">
              <w:rPr>
                <w:rFonts w:ascii="Calibri Light" w:hAnsi="Calibri Light"/>
                <w:color w:val="000000"/>
                <w:sz w:val="20"/>
              </w:rPr>
              <w:t>сигурност</w:t>
            </w:r>
          </w:p>
        </w:tc>
      </w:tr>
      <w:tr w:rsidR="00854ADA" w:rsidRPr="00FF386D" w14:paraId="031B8BD6" w14:textId="77777777" w:rsidTr="0057310C">
        <w:trPr>
          <w:trHeight w:val="450"/>
        </w:trPr>
        <w:tc>
          <w:tcPr>
            <w:tcW w:w="3288"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05DFD089" w14:textId="0887115A"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0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64FDD00" w14:textId="77777777" w:rsidR="00854ADA" w:rsidRPr="000A2AFE" w:rsidRDefault="00854ADA" w:rsidP="00854ADA">
            <w:pPr>
              <w:numPr>
                <w:ilvl w:val="0"/>
                <w:numId w:val="18"/>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Директива </w:t>
            </w:r>
            <w:r w:rsidRPr="000A2AFE">
              <w:rPr>
                <w:rFonts w:ascii="Calibri Light" w:eastAsia="Times New Roman" w:hAnsi="Calibri Light" w:cs="Calibri Light"/>
                <w:color w:val="000000"/>
                <w:sz w:val="20"/>
                <w:szCs w:val="20"/>
                <w:lang w:eastAsia="en-GB"/>
              </w:rPr>
              <w:t>2009/72/EЗ</w:t>
            </w:r>
          </w:p>
          <w:p w14:paraId="70DE42E8" w14:textId="77777777" w:rsidR="00854ADA" w:rsidRPr="000A2AFE" w:rsidRDefault="00854ADA" w:rsidP="00854ADA">
            <w:pPr>
              <w:numPr>
                <w:ilvl w:val="0"/>
                <w:numId w:val="18"/>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Директива </w:t>
            </w:r>
            <w:r w:rsidRPr="000A2AFE">
              <w:rPr>
                <w:rFonts w:ascii="Calibri Light" w:eastAsia="Times New Roman" w:hAnsi="Calibri Light" w:cs="Calibri Light"/>
                <w:color w:val="000000"/>
                <w:sz w:val="20"/>
                <w:szCs w:val="20"/>
                <w:lang w:eastAsia="en-GB"/>
              </w:rPr>
              <w:t>(ЕУ) 2019/944</w:t>
            </w:r>
          </w:p>
          <w:p w14:paraId="19B9AC81" w14:textId="77777777" w:rsidR="00854ADA" w:rsidRPr="00FF386D" w:rsidRDefault="00854ADA" w:rsidP="00854ADA">
            <w:pPr>
              <w:numPr>
                <w:ilvl w:val="0"/>
                <w:numId w:val="5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Уредба </w:t>
            </w:r>
            <w:r w:rsidRPr="000A2AFE">
              <w:rPr>
                <w:rFonts w:ascii="Calibri Light" w:eastAsia="Times New Roman" w:hAnsi="Calibri Light" w:cs="Calibri Light"/>
                <w:color w:val="000000"/>
                <w:sz w:val="20"/>
                <w:szCs w:val="20"/>
                <w:lang w:eastAsia="en-GB"/>
              </w:rPr>
              <w:t>(ЕУ) 2019/943</w:t>
            </w:r>
          </w:p>
        </w:tc>
      </w:tr>
      <w:tr w:rsidR="00854ADA" w:rsidRPr="00FF386D" w14:paraId="569F3494"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52D04258"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00" w:type="dxa"/>
            <w:gridSpan w:val="3"/>
            <w:vMerge/>
            <w:tcBorders>
              <w:top w:val="single" w:sz="8" w:space="0" w:color="auto"/>
              <w:left w:val="single" w:sz="8" w:space="0" w:color="auto"/>
              <w:bottom w:val="single" w:sz="8" w:space="0" w:color="000000"/>
              <w:right w:val="single" w:sz="8" w:space="0" w:color="000000"/>
            </w:tcBorders>
            <w:vAlign w:val="center"/>
            <w:hideMark/>
          </w:tcPr>
          <w:p w14:paraId="1A8E0D41"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72DBE26F"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34B0F3EC"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00" w:type="dxa"/>
            <w:gridSpan w:val="3"/>
            <w:vMerge/>
            <w:tcBorders>
              <w:top w:val="single" w:sz="8" w:space="0" w:color="auto"/>
              <w:left w:val="single" w:sz="8" w:space="0" w:color="auto"/>
              <w:bottom w:val="single" w:sz="8" w:space="0" w:color="000000"/>
              <w:right w:val="single" w:sz="8" w:space="0" w:color="000000"/>
            </w:tcBorders>
            <w:vAlign w:val="center"/>
            <w:hideMark/>
          </w:tcPr>
          <w:p w14:paraId="038A7CA1"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74DFCA0F" w14:textId="77777777" w:rsidTr="0057310C">
        <w:trPr>
          <w:trHeight w:val="780"/>
        </w:trPr>
        <w:tc>
          <w:tcPr>
            <w:tcW w:w="3288" w:type="dxa"/>
            <w:tcBorders>
              <w:top w:val="nil"/>
              <w:left w:val="single" w:sz="8" w:space="0" w:color="auto"/>
              <w:bottom w:val="single" w:sz="8" w:space="0" w:color="auto"/>
              <w:right w:val="single" w:sz="8" w:space="0" w:color="auto"/>
            </w:tcBorders>
            <w:shd w:val="clear" w:color="000000" w:fill="244062"/>
            <w:vAlign w:val="center"/>
            <w:hideMark/>
          </w:tcPr>
          <w:p w14:paraId="788AB42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00" w:type="dxa"/>
            <w:gridSpan w:val="3"/>
            <w:tcBorders>
              <w:top w:val="single" w:sz="8" w:space="0" w:color="auto"/>
              <w:left w:val="nil"/>
              <w:bottom w:val="single" w:sz="8" w:space="0" w:color="auto"/>
              <w:right w:val="single" w:sz="8" w:space="0" w:color="000000"/>
            </w:tcBorders>
            <w:vAlign w:val="center"/>
            <w:hideMark/>
          </w:tcPr>
          <w:p w14:paraId="7C2D6745" w14:textId="77777777" w:rsidR="00854ADA" w:rsidRPr="00FF386D" w:rsidRDefault="00854ADA" w:rsidP="00854ADA">
            <w:pPr>
              <w:numPr>
                <w:ilvl w:val="0"/>
                <w:numId w:val="58"/>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енергетици</w:t>
            </w:r>
          </w:p>
        </w:tc>
      </w:tr>
      <w:tr w:rsidR="00854ADA" w:rsidRPr="00FF386D" w14:paraId="0E7ACDCD" w14:textId="77777777" w:rsidTr="0057310C">
        <w:trPr>
          <w:trHeight w:val="315"/>
        </w:trPr>
        <w:tc>
          <w:tcPr>
            <w:tcW w:w="3288" w:type="dxa"/>
            <w:tcBorders>
              <w:top w:val="nil"/>
              <w:left w:val="single" w:sz="8" w:space="0" w:color="auto"/>
              <w:bottom w:val="single" w:sz="8" w:space="0" w:color="auto"/>
              <w:right w:val="single" w:sz="8" w:space="0" w:color="auto"/>
            </w:tcBorders>
            <w:shd w:val="clear" w:color="000000" w:fill="244062"/>
            <w:vAlign w:val="center"/>
            <w:hideMark/>
          </w:tcPr>
          <w:p w14:paraId="4857955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00" w:type="dxa"/>
            <w:gridSpan w:val="3"/>
            <w:tcBorders>
              <w:top w:val="single" w:sz="8" w:space="0" w:color="auto"/>
              <w:left w:val="nil"/>
              <w:bottom w:val="single" w:sz="8" w:space="0" w:color="auto"/>
              <w:right w:val="single" w:sz="8" w:space="0" w:color="000000"/>
            </w:tcBorders>
            <w:vAlign w:val="center"/>
            <w:hideMark/>
          </w:tcPr>
          <w:p w14:paraId="6309EA9F" w14:textId="77777777" w:rsidR="00854ADA" w:rsidRPr="00FF386D" w:rsidRDefault="00854ADA" w:rsidP="00854ADA">
            <w:pPr>
              <w:spacing w:after="0" w:line="240" w:lineRule="auto"/>
              <w:jc w:val="both"/>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0,2 милиона евра</w:t>
            </w:r>
          </w:p>
        </w:tc>
      </w:tr>
      <w:tr w:rsidR="00854ADA" w:rsidRPr="00FF386D" w14:paraId="1CD33B53" w14:textId="77777777" w:rsidTr="0057310C">
        <w:trPr>
          <w:trHeight w:val="315"/>
        </w:trPr>
        <w:tc>
          <w:tcPr>
            <w:tcW w:w="3288" w:type="dxa"/>
            <w:tcBorders>
              <w:top w:val="nil"/>
              <w:left w:val="single" w:sz="8" w:space="0" w:color="auto"/>
              <w:bottom w:val="single" w:sz="8" w:space="0" w:color="auto"/>
              <w:right w:val="single" w:sz="8" w:space="0" w:color="auto"/>
            </w:tcBorders>
            <w:shd w:val="clear" w:color="000000" w:fill="244062"/>
            <w:vAlign w:val="center"/>
            <w:hideMark/>
          </w:tcPr>
          <w:p w14:paraId="1835E48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00" w:type="dxa"/>
            <w:gridSpan w:val="3"/>
            <w:tcBorders>
              <w:top w:val="single" w:sz="8" w:space="0" w:color="auto"/>
              <w:left w:val="nil"/>
              <w:bottom w:val="single" w:sz="8" w:space="0" w:color="auto"/>
              <w:right w:val="single" w:sz="8" w:space="0" w:color="000000"/>
            </w:tcBorders>
            <w:vAlign w:val="center"/>
            <w:hideMark/>
          </w:tcPr>
          <w:p w14:paraId="668BD0B9" w14:textId="42845B80" w:rsidR="00854ADA" w:rsidRPr="00FF386D" w:rsidRDefault="00854ADA" w:rsidP="00854ADA">
            <w:pPr>
              <w:spacing w:after="0" w:line="240" w:lineRule="auto"/>
              <w:jc w:val="both"/>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F42430" w:rsidRPr="00FF386D">
              <w:rPr>
                <w:rFonts w:ascii="Calibri Light" w:eastAsia="Times New Roman" w:hAnsi="Calibri Light" w:cs="Calibri Light"/>
                <w:color w:val="000000"/>
                <w:sz w:val="20"/>
                <w:szCs w:val="20"/>
                <w:lang w:eastAsia="en-GB"/>
              </w:rPr>
              <w:t>ска средства</w:t>
            </w:r>
          </w:p>
        </w:tc>
      </w:tr>
    </w:tbl>
    <w:p w14:paraId="6E97AB21"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85"/>
        <w:gridCol w:w="1110"/>
        <w:gridCol w:w="934"/>
        <w:gridCol w:w="4159"/>
      </w:tblGrid>
      <w:tr w:rsidR="00854ADA" w:rsidRPr="00FF386D" w14:paraId="17B6B6AB" w14:textId="77777777" w:rsidTr="0057310C">
        <w:trPr>
          <w:trHeight w:val="780"/>
        </w:trPr>
        <w:tc>
          <w:tcPr>
            <w:tcW w:w="3285"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4B8CF1DF" w14:textId="7B8649B4"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110" w:type="dxa"/>
            <w:tcBorders>
              <w:top w:val="single" w:sz="8" w:space="0" w:color="auto"/>
              <w:left w:val="nil"/>
              <w:bottom w:val="single" w:sz="8" w:space="0" w:color="auto"/>
              <w:right w:val="single" w:sz="8" w:space="0" w:color="auto"/>
            </w:tcBorders>
            <w:shd w:val="clear" w:color="auto" w:fill="E7E6E6" w:themeFill="background2"/>
            <w:vAlign w:val="center"/>
            <w:hideMark/>
          </w:tcPr>
          <w:p w14:paraId="7927CC9A" w14:textId="1036C3FF"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w:t>
            </w:r>
            <w:r w:rsidR="00FC3646" w:rsidRPr="00FF386D">
              <w:rPr>
                <w:rFonts w:ascii="Calibri Light" w:hAnsi="Calibri Light"/>
                <w:b/>
                <w:sz w:val="20"/>
              </w:rPr>
              <w:t>П</w:t>
            </w:r>
            <w:r w:rsidRPr="00FF386D">
              <w:rPr>
                <w:rFonts w:ascii="Calibri Light" w:hAnsi="Calibri Light"/>
                <w:b/>
                <w:sz w:val="20"/>
              </w:rPr>
              <w:t>_УЕ</w:t>
            </w:r>
            <w:r w:rsidR="006009E3" w:rsidRPr="00FF386D">
              <w:rPr>
                <w:rFonts w:ascii="Calibri Light" w:hAnsi="Calibri Light"/>
                <w:b/>
                <w:sz w:val="20"/>
              </w:rPr>
              <w:t>Т</w:t>
            </w:r>
            <w:r w:rsidRPr="00FF386D">
              <w:rPr>
                <w:rFonts w:ascii="Calibri Light" w:hAnsi="Calibri Light"/>
                <w:b/>
                <w:sz w:val="20"/>
              </w:rPr>
              <w:t>15</w:t>
            </w:r>
          </w:p>
        </w:tc>
        <w:tc>
          <w:tcPr>
            <w:tcW w:w="934" w:type="dxa"/>
            <w:tcBorders>
              <w:top w:val="single" w:sz="8" w:space="0" w:color="auto"/>
              <w:left w:val="nil"/>
              <w:bottom w:val="single" w:sz="8" w:space="0" w:color="auto"/>
              <w:right w:val="single" w:sz="8" w:space="0" w:color="auto"/>
            </w:tcBorders>
            <w:shd w:val="clear" w:color="auto" w:fill="244062"/>
            <w:vAlign w:val="center"/>
            <w:hideMark/>
          </w:tcPr>
          <w:p w14:paraId="06E132EC"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59" w:type="dxa"/>
            <w:tcBorders>
              <w:top w:val="single" w:sz="8" w:space="0" w:color="auto"/>
              <w:left w:val="nil"/>
              <w:bottom w:val="single" w:sz="8" w:space="0" w:color="auto"/>
              <w:right w:val="single" w:sz="8" w:space="0" w:color="auto"/>
            </w:tcBorders>
            <w:shd w:val="clear" w:color="auto" w:fill="E7E6E6" w:themeFill="background2"/>
            <w:vAlign w:val="center"/>
            <w:hideMark/>
          </w:tcPr>
          <w:p w14:paraId="086B4EB2"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 xml:space="preserve">Опремање система за дистрибуцију гаса уређајима за мерење и прикупљање података (мерна опрема, мерно-оперативна платформа, </w:t>
            </w:r>
            <w:r w:rsidRPr="00FF386D">
              <w:rPr>
                <w:rFonts w:ascii="Calibri Light" w:hAnsi="Calibri Light"/>
                <w:b/>
                <w:i/>
                <w:iCs/>
                <w:sz w:val="20"/>
              </w:rPr>
              <w:t>SCADA</w:t>
            </w:r>
            <w:r w:rsidRPr="00FF386D">
              <w:rPr>
                <w:rFonts w:ascii="Calibri Light" w:hAnsi="Calibri Light"/>
                <w:b/>
                <w:sz w:val="20"/>
              </w:rPr>
              <w:t>) неопходним за функционисање и развој тржишта гаса</w:t>
            </w:r>
          </w:p>
        </w:tc>
      </w:tr>
      <w:tr w:rsidR="00854ADA" w:rsidRPr="00FF386D" w14:paraId="71CD1BB8" w14:textId="77777777" w:rsidTr="0057310C">
        <w:trPr>
          <w:trHeight w:val="493"/>
        </w:trPr>
        <w:tc>
          <w:tcPr>
            <w:tcW w:w="3285" w:type="dxa"/>
            <w:tcBorders>
              <w:top w:val="nil"/>
              <w:left w:val="single" w:sz="8" w:space="0" w:color="auto"/>
              <w:bottom w:val="single" w:sz="8" w:space="0" w:color="auto"/>
              <w:right w:val="nil"/>
            </w:tcBorders>
            <w:shd w:val="clear" w:color="000000" w:fill="244062"/>
            <w:vAlign w:val="center"/>
            <w:hideMark/>
          </w:tcPr>
          <w:p w14:paraId="578A73D8" w14:textId="69C682C9"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03" w:type="dxa"/>
            <w:gridSpan w:val="3"/>
            <w:tcBorders>
              <w:top w:val="single" w:sz="8" w:space="0" w:color="auto"/>
              <w:left w:val="nil"/>
              <w:bottom w:val="single" w:sz="8" w:space="0" w:color="auto"/>
              <w:right w:val="single" w:sz="8" w:space="0" w:color="000000"/>
            </w:tcBorders>
            <w:vAlign w:val="center"/>
          </w:tcPr>
          <w:p w14:paraId="758B085F"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Заштита потрошача и побољшање конкурентности, </w:t>
            </w:r>
            <w:r w:rsidRPr="00FF386D">
              <w:rPr>
                <w:rFonts w:ascii="Calibri Light" w:eastAsia="NSimSun" w:hAnsi="Calibri Light" w:cs="Mangal"/>
                <w:kern w:val="2"/>
                <w:sz w:val="20"/>
                <w:szCs w:val="24"/>
                <w:lang w:eastAsia="zh-CN" w:bidi="hi-IN"/>
              </w:rPr>
              <w:t xml:space="preserve">омогућавање </w:t>
            </w:r>
            <w:r w:rsidRPr="00FF386D">
              <w:rPr>
                <w:rFonts w:ascii="Calibri Light" w:hAnsi="Calibri Light"/>
                <w:sz w:val="20"/>
              </w:rPr>
              <w:t>ЕЕ на страни снабдевања (тј. смањењем губитака)</w:t>
            </w:r>
          </w:p>
        </w:tc>
      </w:tr>
      <w:tr w:rsidR="00854ADA" w:rsidRPr="00FF386D" w14:paraId="0D369C9B" w14:textId="77777777" w:rsidTr="0057310C">
        <w:trPr>
          <w:trHeight w:val="315"/>
        </w:trPr>
        <w:tc>
          <w:tcPr>
            <w:tcW w:w="3285" w:type="dxa"/>
            <w:tcBorders>
              <w:top w:val="nil"/>
              <w:left w:val="single" w:sz="8" w:space="0" w:color="auto"/>
              <w:bottom w:val="single" w:sz="8" w:space="0" w:color="auto"/>
              <w:right w:val="single" w:sz="8" w:space="0" w:color="auto"/>
            </w:tcBorders>
            <w:shd w:val="clear" w:color="000000" w:fill="244062"/>
            <w:vAlign w:val="center"/>
            <w:hideMark/>
          </w:tcPr>
          <w:p w14:paraId="64AD61BF" w14:textId="7F9457B8"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03" w:type="dxa"/>
            <w:gridSpan w:val="3"/>
            <w:tcBorders>
              <w:top w:val="single" w:sz="8" w:space="0" w:color="auto"/>
              <w:left w:val="nil"/>
              <w:bottom w:val="single" w:sz="8" w:space="0" w:color="auto"/>
              <w:right w:val="single" w:sz="8" w:space="0" w:color="000000"/>
            </w:tcBorders>
            <w:vAlign w:val="center"/>
          </w:tcPr>
          <w:p w14:paraId="6A8BB89F" w14:textId="77777777" w:rsidR="00854ADA" w:rsidRPr="00FF386D" w:rsidRDefault="00854ADA" w:rsidP="00854ADA">
            <w:pPr>
              <w:spacing w:after="0" w:line="240" w:lineRule="auto"/>
              <w:jc w:val="both"/>
              <w:rPr>
                <w:rFonts w:ascii="Calibri" w:eastAsia="Times New Roman" w:hAnsi="Calibri" w:cs="Calibri"/>
                <w:color w:val="000000"/>
                <w:lang w:eastAsia="en-GB"/>
              </w:rPr>
            </w:pPr>
            <w:r w:rsidRPr="00FF386D">
              <w:rPr>
                <w:rFonts w:ascii="Calibri Light" w:hAnsi="Calibri Light"/>
                <w:sz w:val="20"/>
              </w:rPr>
              <w:t>Број напредних мерних уређаја на нивоу дистрибуције</w:t>
            </w:r>
          </w:p>
        </w:tc>
      </w:tr>
      <w:tr w:rsidR="00854ADA" w:rsidRPr="00FF386D" w14:paraId="7B1055DB" w14:textId="77777777" w:rsidTr="0057310C">
        <w:trPr>
          <w:trHeight w:val="726"/>
        </w:trPr>
        <w:tc>
          <w:tcPr>
            <w:tcW w:w="3285" w:type="dxa"/>
            <w:tcBorders>
              <w:top w:val="nil"/>
              <w:left w:val="single" w:sz="8" w:space="0" w:color="auto"/>
              <w:bottom w:val="single" w:sz="8" w:space="0" w:color="auto"/>
              <w:right w:val="single" w:sz="8" w:space="0" w:color="auto"/>
            </w:tcBorders>
            <w:shd w:val="clear" w:color="000000" w:fill="244062"/>
            <w:vAlign w:val="center"/>
            <w:hideMark/>
          </w:tcPr>
          <w:p w14:paraId="0322AEE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03" w:type="dxa"/>
            <w:gridSpan w:val="3"/>
            <w:tcBorders>
              <w:top w:val="single" w:sz="8" w:space="0" w:color="auto"/>
              <w:left w:val="nil"/>
              <w:bottom w:val="single" w:sz="8" w:space="0" w:color="auto"/>
              <w:right w:val="single" w:sz="8" w:space="0" w:color="000000"/>
            </w:tcBorders>
            <w:vAlign w:val="center"/>
            <w:hideMark/>
          </w:tcPr>
          <w:p w14:paraId="649D2138" w14:textId="14588F51" w:rsidR="00854ADA" w:rsidRPr="00565B02" w:rsidRDefault="00854ADA" w:rsidP="00854ADA">
            <w:pPr>
              <w:spacing w:after="0" w:line="240" w:lineRule="auto"/>
              <w:jc w:val="both"/>
              <w:rPr>
                <w:rFonts w:ascii="Calibri Light" w:eastAsia="Times New Roman" w:hAnsi="Calibri Light" w:cs="Calibri Light"/>
                <w:color w:val="000000"/>
                <w:sz w:val="20"/>
                <w:szCs w:val="20"/>
                <w:lang w:val="en-US" w:eastAsia="en-GB"/>
              </w:rPr>
            </w:pPr>
            <w:r w:rsidRPr="00FF386D">
              <w:rPr>
                <w:rFonts w:ascii="Calibri Light" w:hAnsi="Calibri Light"/>
                <w:sz w:val="20"/>
              </w:rPr>
              <w:t xml:space="preserve">Пре доношења одлуке о увођењу напредних мерних уређаја у дистрибуцији гаса спровешће се анализа трошкова и користи, која би показала да ли је </w:t>
            </w:r>
            <w:r w:rsidR="00E5684C" w:rsidRPr="00FF386D">
              <w:rPr>
                <w:rFonts w:ascii="Calibri Light" w:hAnsi="Calibri Light"/>
                <w:sz w:val="20"/>
              </w:rPr>
              <w:t xml:space="preserve">њихово увођење </w:t>
            </w:r>
            <w:r w:rsidRPr="00FF386D">
              <w:rPr>
                <w:rFonts w:ascii="Calibri Light" w:hAnsi="Calibri Light"/>
                <w:sz w:val="20"/>
              </w:rPr>
              <w:t>економски оправдано, посебно за домаћинства. Потребно је да анализа која се спроводи буде економска, а не финансијска, односно да обезбеди податке о користима и трошковима за цело друштво, а не само за оператора система. Ако анализа покаже да је увођење напредних мерних уређаја исплативо, тек тада би требало почети са израдом плана за увођење напредних мерних уређаја. То је у складу са Директивом 2009/73/Е</w:t>
            </w:r>
            <w:r w:rsidR="00E5684C" w:rsidRPr="00FF386D">
              <w:rPr>
                <w:rFonts w:ascii="Calibri Light" w:hAnsi="Calibri Light"/>
                <w:sz w:val="20"/>
              </w:rPr>
              <w:t>З</w:t>
            </w:r>
            <w:r w:rsidR="00074ED3">
              <w:rPr>
                <w:rFonts w:ascii="Calibri Light" w:hAnsi="Calibri Light"/>
                <w:sz w:val="20"/>
                <w:lang w:val="en-US"/>
              </w:rPr>
              <w:t>.</w:t>
            </w:r>
          </w:p>
        </w:tc>
      </w:tr>
      <w:tr w:rsidR="00854ADA" w:rsidRPr="00FF386D" w14:paraId="3C0B8002" w14:textId="77777777" w:rsidTr="0057310C">
        <w:trPr>
          <w:trHeight w:val="315"/>
        </w:trPr>
        <w:tc>
          <w:tcPr>
            <w:tcW w:w="3285" w:type="dxa"/>
            <w:tcBorders>
              <w:top w:val="nil"/>
              <w:left w:val="single" w:sz="8" w:space="0" w:color="auto"/>
              <w:bottom w:val="single" w:sz="8" w:space="0" w:color="auto"/>
              <w:right w:val="single" w:sz="8" w:space="0" w:color="auto"/>
            </w:tcBorders>
            <w:shd w:val="clear" w:color="000000" w:fill="244062"/>
            <w:vAlign w:val="center"/>
            <w:hideMark/>
          </w:tcPr>
          <w:p w14:paraId="3CBAB4B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03" w:type="dxa"/>
            <w:gridSpan w:val="3"/>
            <w:tcBorders>
              <w:top w:val="single" w:sz="8" w:space="0" w:color="auto"/>
              <w:left w:val="nil"/>
              <w:bottom w:val="single" w:sz="8" w:space="0" w:color="auto"/>
              <w:right w:val="single" w:sz="8" w:space="0" w:color="000000"/>
            </w:tcBorders>
            <w:vAlign w:val="center"/>
            <w:hideMark/>
          </w:tcPr>
          <w:p w14:paraId="61B37139"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2024-2030.</w:t>
            </w:r>
          </w:p>
        </w:tc>
      </w:tr>
      <w:tr w:rsidR="00854ADA" w:rsidRPr="00FF386D" w14:paraId="16084A79" w14:textId="77777777" w:rsidTr="0057310C">
        <w:trPr>
          <w:trHeight w:val="315"/>
        </w:trPr>
        <w:tc>
          <w:tcPr>
            <w:tcW w:w="3285" w:type="dxa"/>
            <w:tcBorders>
              <w:top w:val="nil"/>
              <w:left w:val="single" w:sz="8" w:space="0" w:color="auto"/>
              <w:bottom w:val="single" w:sz="8" w:space="0" w:color="auto"/>
              <w:right w:val="single" w:sz="8" w:space="0" w:color="auto"/>
            </w:tcBorders>
            <w:shd w:val="clear" w:color="000000" w:fill="244062"/>
            <w:vAlign w:val="center"/>
            <w:hideMark/>
          </w:tcPr>
          <w:p w14:paraId="203AA09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03" w:type="dxa"/>
            <w:gridSpan w:val="3"/>
            <w:tcBorders>
              <w:top w:val="single" w:sz="8" w:space="0" w:color="auto"/>
              <w:left w:val="nil"/>
              <w:bottom w:val="single" w:sz="8" w:space="0" w:color="auto"/>
              <w:right w:val="single" w:sz="8" w:space="0" w:color="000000"/>
            </w:tcBorders>
            <w:vAlign w:val="center"/>
            <w:hideMark/>
          </w:tcPr>
          <w:p w14:paraId="042EE4B3"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Инвестиција</w:t>
            </w:r>
          </w:p>
        </w:tc>
      </w:tr>
      <w:tr w:rsidR="00854ADA" w:rsidRPr="00FF386D" w14:paraId="2D93BCBB" w14:textId="77777777" w:rsidTr="0057310C">
        <w:trPr>
          <w:trHeight w:val="315"/>
        </w:trPr>
        <w:tc>
          <w:tcPr>
            <w:tcW w:w="3285" w:type="dxa"/>
            <w:tcBorders>
              <w:top w:val="nil"/>
              <w:left w:val="single" w:sz="8" w:space="0" w:color="auto"/>
              <w:bottom w:val="single" w:sz="8" w:space="0" w:color="auto"/>
              <w:right w:val="single" w:sz="8" w:space="0" w:color="auto"/>
            </w:tcBorders>
            <w:shd w:val="clear" w:color="000000" w:fill="244062"/>
            <w:vAlign w:val="center"/>
            <w:hideMark/>
          </w:tcPr>
          <w:p w14:paraId="571DB43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03" w:type="dxa"/>
            <w:gridSpan w:val="3"/>
            <w:tcBorders>
              <w:top w:val="single" w:sz="8" w:space="0" w:color="auto"/>
              <w:left w:val="nil"/>
              <w:bottom w:val="single" w:sz="8" w:space="0" w:color="auto"/>
              <w:right w:val="single" w:sz="8" w:space="0" w:color="000000"/>
            </w:tcBorders>
            <w:vAlign w:val="center"/>
            <w:hideMark/>
          </w:tcPr>
          <w:p w14:paraId="2997548F"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Гас</w:t>
            </w:r>
          </w:p>
        </w:tc>
      </w:tr>
      <w:tr w:rsidR="00854ADA" w:rsidRPr="00FF386D" w14:paraId="09D90DCB" w14:textId="77777777" w:rsidTr="0057310C">
        <w:trPr>
          <w:trHeight w:val="315"/>
        </w:trPr>
        <w:tc>
          <w:tcPr>
            <w:tcW w:w="3285" w:type="dxa"/>
            <w:tcBorders>
              <w:top w:val="nil"/>
              <w:left w:val="single" w:sz="8" w:space="0" w:color="auto"/>
              <w:bottom w:val="single" w:sz="8" w:space="0" w:color="auto"/>
              <w:right w:val="single" w:sz="8" w:space="0" w:color="auto"/>
            </w:tcBorders>
            <w:shd w:val="clear" w:color="000000" w:fill="244062"/>
            <w:vAlign w:val="center"/>
            <w:hideMark/>
          </w:tcPr>
          <w:p w14:paraId="17BC100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03" w:type="dxa"/>
            <w:gridSpan w:val="3"/>
            <w:tcBorders>
              <w:top w:val="single" w:sz="8" w:space="0" w:color="auto"/>
              <w:left w:val="nil"/>
              <w:bottom w:val="single" w:sz="8" w:space="0" w:color="auto"/>
              <w:right w:val="single" w:sz="8" w:space="0" w:color="000000"/>
            </w:tcBorders>
            <w:vAlign w:val="center"/>
            <w:hideMark/>
          </w:tcPr>
          <w:p w14:paraId="24C08C74" w14:textId="77777777" w:rsidR="00854ADA" w:rsidRPr="00FF386D" w:rsidRDefault="00854ADA" w:rsidP="00854ADA">
            <w:pPr>
              <w:numPr>
                <w:ilvl w:val="0"/>
                <w:numId w:val="58"/>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Оператор дистрибутивног система гаса</w:t>
            </w:r>
          </w:p>
        </w:tc>
      </w:tr>
      <w:tr w:rsidR="00854ADA" w:rsidRPr="00FF386D" w14:paraId="697D2FED" w14:textId="77777777" w:rsidTr="0057310C">
        <w:trPr>
          <w:trHeight w:val="315"/>
        </w:trPr>
        <w:tc>
          <w:tcPr>
            <w:tcW w:w="3285" w:type="dxa"/>
            <w:tcBorders>
              <w:top w:val="nil"/>
              <w:left w:val="single" w:sz="8" w:space="0" w:color="auto"/>
              <w:bottom w:val="single" w:sz="8" w:space="0" w:color="auto"/>
              <w:right w:val="nil"/>
            </w:tcBorders>
            <w:shd w:val="clear" w:color="000000" w:fill="244062"/>
            <w:vAlign w:val="center"/>
            <w:hideMark/>
          </w:tcPr>
          <w:p w14:paraId="66F2DB7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03" w:type="dxa"/>
            <w:gridSpan w:val="3"/>
            <w:tcBorders>
              <w:top w:val="single" w:sz="8" w:space="0" w:color="auto"/>
              <w:left w:val="nil"/>
              <w:bottom w:val="single" w:sz="8" w:space="0" w:color="auto"/>
              <w:right w:val="single" w:sz="8" w:space="0" w:color="000000"/>
            </w:tcBorders>
            <w:vAlign w:val="center"/>
            <w:hideMark/>
          </w:tcPr>
          <w:p w14:paraId="0DD96ED2" w14:textId="77777777" w:rsidR="00854ADA" w:rsidRPr="00FF386D" w:rsidRDefault="00854ADA" w:rsidP="00854ADA">
            <w:pPr>
              <w:numPr>
                <w:ilvl w:val="0"/>
                <w:numId w:val="58"/>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АЕРС</w:t>
            </w:r>
          </w:p>
        </w:tc>
      </w:tr>
      <w:tr w:rsidR="00854ADA" w:rsidRPr="00FF386D" w14:paraId="1BE33AC2" w14:textId="77777777" w:rsidTr="0057310C">
        <w:trPr>
          <w:trHeight w:val="315"/>
        </w:trPr>
        <w:tc>
          <w:tcPr>
            <w:tcW w:w="3285" w:type="dxa"/>
            <w:tcBorders>
              <w:top w:val="nil"/>
              <w:left w:val="single" w:sz="8" w:space="0" w:color="auto"/>
              <w:bottom w:val="single" w:sz="8" w:space="0" w:color="auto"/>
              <w:right w:val="nil"/>
            </w:tcBorders>
            <w:shd w:val="clear" w:color="000000" w:fill="244062"/>
            <w:vAlign w:val="center"/>
            <w:hideMark/>
          </w:tcPr>
          <w:p w14:paraId="02A4757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Индикатори напретка</w:t>
            </w:r>
          </w:p>
        </w:tc>
        <w:tc>
          <w:tcPr>
            <w:tcW w:w="6203" w:type="dxa"/>
            <w:gridSpan w:val="3"/>
            <w:tcBorders>
              <w:top w:val="single" w:sz="8" w:space="0" w:color="auto"/>
              <w:left w:val="nil"/>
              <w:bottom w:val="single" w:sz="8" w:space="0" w:color="auto"/>
              <w:right w:val="single" w:sz="8" w:space="0" w:color="000000"/>
            </w:tcBorders>
            <w:vAlign w:val="center"/>
            <w:hideMark/>
          </w:tcPr>
          <w:p w14:paraId="7A39F119"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Број инсталираних напредних мерних уређаја за које је резултат </w:t>
            </w:r>
            <w:r w:rsidRPr="00FF386D">
              <w:rPr>
                <w:rFonts w:ascii="Calibri Light" w:hAnsi="Calibri Light"/>
                <w:i/>
                <w:iCs/>
                <w:sz w:val="20"/>
              </w:rPr>
              <w:t>CBA</w:t>
            </w:r>
            <w:r w:rsidRPr="00FF386D">
              <w:rPr>
                <w:rFonts w:ascii="Calibri Light" w:hAnsi="Calibri Light"/>
                <w:sz w:val="20"/>
              </w:rPr>
              <w:t xml:space="preserve"> анализе био позитиван</w:t>
            </w:r>
          </w:p>
        </w:tc>
      </w:tr>
      <w:tr w:rsidR="00854ADA" w:rsidRPr="00FF386D" w14:paraId="7C116E29" w14:textId="77777777" w:rsidTr="0057310C">
        <w:trPr>
          <w:trHeight w:val="467"/>
        </w:trPr>
        <w:tc>
          <w:tcPr>
            <w:tcW w:w="3285" w:type="dxa"/>
            <w:tcBorders>
              <w:top w:val="nil"/>
              <w:left w:val="single" w:sz="8" w:space="0" w:color="auto"/>
              <w:bottom w:val="single" w:sz="8" w:space="0" w:color="auto"/>
              <w:right w:val="single" w:sz="8" w:space="0" w:color="auto"/>
            </w:tcBorders>
            <w:shd w:val="clear" w:color="000000" w:fill="244062"/>
            <w:vAlign w:val="center"/>
            <w:hideMark/>
          </w:tcPr>
          <w:p w14:paraId="7751D37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03" w:type="dxa"/>
            <w:gridSpan w:val="3"/>
            <w:tcBorders>
              <w:top w:val="single" w:sz="8" w:space="0" w:color="auto"/>
              <w:left w:val="nil"/>
              <w:bottom w:val="single" w:sz="8" w:space="0" w:color="auto"/>
              <w:right w:val="single" w:sz="8" w:space="0" w:color="000000"/>
            </w:tcBorders>
            <w:vAlign w:val="center"/>
          </w:tcPr>
          <w:p w14:paraId="726ACA21" w14:textId="77777777" w:rsidR="002B4FCB" w:rsidRPr="002B4FCB" w:rsidRDefault="002B4FCB" w:rsidP="002B4FCB">
            <w:pPr>
              <w:pStyle w:val="ListParagraph"/>
              <w:numPr>
                <w:ilvl w:val="0"/>
                <w:numId w:val="58"/>
              </w:numPr>
              <w:rPr>
                <w:rFonts w:ascii="Calibri Light" w:eastAsia="Times New Roman" w:hAnsi="Calibri Light" w:cs="Calibri Light"/>
                <w:color w:val="000000"/>
                <w:sz w:val="20"/>
                <w:szCs w:val="20"/>
                <w:lang w:eastAsia="en-GB"/>
              </w:rPr>
            </w:pPr>
            <w:r w:rsidRPr="002B4FCB">
              <w:rPr>
                <w:rFonts w:ascii="Calibri Light" w:eastAsia="Times New Roman" w:hAnsi="Calibri Light" w:cs="Calibri Light"/>
                <w:color w:val="000000"/>
                <w:sz w:val="20"/>
                <w:szCs w:val="20"/>
                <w:lang w:eastAsia="en-GB"/>
              </w:rPr>
              <w:t>Енергетска ефикасност</w:t>
            </w:r>
          </w:p>
          <w:p w14:paraId="192A0513" w14:textId="05D93822" w:rsidR="00854ADA" w:rsidRPr="000A2AFE" w:rsidRDefault="002B4FCB" w:rsidP="000A2AFE">
            <w:pPr>
              <w:pStyle w:val="ListParagraph"/>
              <w:numPr>
                <w:ilvl w:val="0"/>
                <w:numId w:val="58"/>
              </w:numPr>
              <w:spacing w:after="0" w:line="240" w:lineRule="auto"/>
              <w:jc w:val="both"/>
              <w:rPr>
                <w:rFonts w:ascii="Calibri Light" w:eastAsia="Times New Roman" w:hAnsi="Calibri Light" w:cs="Calibri Light"/>
                <w:color w:val="000000"/>
                <w:sz w:val="20"/>
                <w:szCs w:val="20"/>
                <w:lang w:eastAsia="en-GB"/>
              </w:rPr>
            </w:pPr>
            <w:r w:rsidRPr="002B4FCB">
              <w:rPr>
                <w:rFonts w:ascii="Calibri Light" w:eastAsia="Times New Roman" w:hAnsi="Calibri Light" w:cs="Calibri Light"/>
                <w:color w:val="000000"/>
                <w:sz w:val="20"/>
                <w:szCs w:val="20"/>
                <w:lang w:eastAsia="en-GB"/>
              </w:rPr>
              <w:t>Енергетска сигурност</w:t>
            </w:r>
          </w:p>
        </w:tc>
      </w:tr>
      <w:tr w:rsidR="00854ADA" w:rsidRPr="00FF386D" w14:paraId="3936C3A8" w14:textId="77777777" w:rsidTr="0057310C">
        <w:trPr>
          <w:trHeight w:val="450"/>
        </w:trPr>
        <w:tc>
          <w:tcPr>
            <w:tcW w:w="3285"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43BC06F1" w14:textId="71B756FA"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03"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F6322B2" w14:textId="77777777" w:rsidR="00854ADA" w:rsidRPr="00FF386D" w:rsidRDefault="00854ADA" w:rsidP="00854ADA">
            <w:pPr>
              <w:numPr>
                <w:ilvl w:val="0"/>
                <w:numId w:val="58"/>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2009/73/EЗ</w:t>
            </w:r>
          </w:p>
        </w:tc>
      </w:tr>
      <w:tr w:rsidR="00854ADA" w:rsidRPr="00FF386D" w14:paraId="7432C80D"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04FCD854"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03" w:type="dxa"/>
            <w:gridSpan w:val="3"/>
            <w:vMerge/>
            <w:tcBorders>
              <w:top w:val="single" w:sz="8" w:space="0" w:color="auto"/>
              <w:left w:val="single" w:sz="8" w:space="0" w:color="auto"/>
              <w:bottom w:val="single" w:sz="8" w:space="0" w:color="000000"/>
              <w:right w:val="single" w:sz="8" w:space="0" w:color="000000"/>
            </w:tcBorders>
            <w:vAlign w:val="center"/>
            <w:hideMark/>
          </w:tcPr>
          <w:p w14:paraId="7303CF40" w14:textId="77777777" w:rsidR="00854ADA" w:rsidRPr="00FF386D" w:rsidRDefault="00854ADA" w:rsidP="00854ADA">
            <w:pPr>
              <w:numPr>
                <w:ilvl w:val="0"/>
                <w:numId w:val="58"/>
              </w:numPr>
              <w:spacing w:after="0" w:line="256" w:lineRule="auto"/>
              <w:contextualSpacing/>
              <w:rPr>
                <w:rFonts w:ascii="Calibri Light" w:eastAsia="Times New Roman" w:hAnsi="Calibri Light" w:cs="Calibri Light"/>
                <w:color w:val="000000"/>
                <w:sz w:val="20"/>
                <w:szCs w:val="20"/>
                <w:lang w:eastAsia="en-GB"/>
              </w:rPr>
            </w:pPr>
          </w:p>
        </w:tc>
      </w:tr>
      <w:tr w:rsidR="00854ADA" w:rsidRPr="00FF386D" w14:paraId="1BB11324"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5B319A06"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03" w:type="dxa"/>
            <w:gridSpan w:val="3"/>
            <w:vMerge/>
            <w:tcBorders>
              <w:top w:val="single" w:sz="8" w:space="0" w:color="auto"/>
              <w:left w:val="single" w:sz="8" w:space="0" w:color="auto"/>
              <w:bottom w:val="single" w:sz="8" w:space="0" w:color="000000"/>
              <w:right w:val="single" w:sz="8" w:space="0" w:color="000000"/>
            </w:tcBorders>
            <w:vAlign w:val="center"/>
            <w:hideMark/>
          </w:tcPr>
          <w:p w14:paraId="18EEC966" w14:textId="77777777" w:rsidR="00854ADA" w:rsidRPr="00FF386D" w:rsidRDefault="00854ADA" w:rsidP="00854ADA">
            <w:pPr>
              <w:numPr>
                <w:ilvl w:val="0"/>
                <w:numId w:val="58"/>
              </w:numPr>
              <w:spacing w:after="0" w:line="256" w:lineRule="auto"/>
              <w:contextualSpacing/>
              <w:rPr>
                <w:rFonts w:ascii="Calibri Light" w:eastAsia="Times New Roman" w:hAnsi="Calibri Light" w:cs="Calibri Light"/>
                <w:color w:val="000000"/>
                <w:sz w:val="20"/>
                <w:szCs w:val="20"/>
                <w:lang w:eastAsia="en-GB"/>
              </w:rPr>
            </w:pPr>
          </w:p>
        </w:tc>
      </w:tr>
      <w:tr w:rsidR="00854ADA" w:rsidRPr="00FF386D" w14:paraId="53FA22E8" w14:textId="77777777" w:rsidTr="0057310C">
        <w:trPr>
          <w:trHeight w:val="359"/>
        </w:trPr>
        <w:tc>
          <w:tcPr>
            <w:tcW w:w="3285" w:type="dxa"/>
            <w:tcBorders>
              <w:top w:val="nil"/>
              <w:left w:val="single" w:sz="8" w:space="0" w:color="auto"/>
              <w:bottom w:val="single" w:sz="8" w:space="0" w:color="auto"/>
              <w:right w:val="single" w:sz="8" w:space="0" w:color="auto"/>
            </w:tcBorders>
            <w:shd w:val="clear" w:color="000000" w:fill="244062"/>
            <w:vAlign w:val="center"/>
            <w:hideMark/>
          </w:tcPr>
          <w:p w14:paraId="733811A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03" w:type="dxa"/>
            <w:gridSpan w:val="3"/>
            <w:tcBorders>
              <w:top w:val="single" w:sz="8" w:space="0" w:color="auto"/>
              <w:left w:val="nil"/>
              <w:bottom w:val="single" w:sz="8" w:space="0" w:color="auto"/>
              <w:right w:val="single" w:sz="8" w:space="0" w:color="000000"/>
            </w:tcBorders>
            <w:vAlign w:val="center"/>
            <w:hideMark/>
          </w:tcPr>
          <w:p w14:paraId="490B5CF6" w14:textId="77777777" w:rsidR="00854ADA" w:rsidRPr="00FF386D" w:rsidRDefault="00854ADA" w:rsidP="00854ADA">
            <w:pPr>
              <w:numPr>
                <w:ilvl w:val="0"/>
                <w:numId w:val="58"/>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енергетици</w:t>
            </w:r>
          </w:p>
        </w:tc>
      </w:tr>
      <w:tr w:rsidR="00854ADA" w:rsidRPr="00FF386D" w14:paraId="590F12D3" w14:textId="77777777" w:rsidTr="0057310C">
        <w:trPr>
          <w:trHeight w:val="315"/>
        </w:trPr>
        <w:tc>
          <w:tcPr>
            <w:tcW w:w="3285" w:type="dxa"/>
            <w:tcBorders>
              <w:top w:val="nil"/>
              <w:left w:val="single" w:sz="8" w:space="0" w:color="auto"/>
              <w:bottom w:val="single" w:sz="8" w:space="0" w:color="auto"/>
              <w:right w:val="single" w:sz="8" w:space="0" w:color="auto"/>
            </w:tcBorders>
            <w:shd w:val="clear" w:color="000000" w:fill="244062"/>
            <w:vAlign w:val="center"/>
            <w:hideMark/>
          </w:tcPr>
          <w:p w14:paraId="3E19FA7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03" w:type="dxa"/>
            <w:gridSpan w:val="3"/>
            <w:tcBorders>
              <w:top w:val="single" w:sz="8" w:space="0" w:color="auto"/>
              <w:left w:val="nil"/>
              <w:bottom w:val="single" w:sz="8" w:space="0" w:color="auto"/>
              <w:right w:val="single" w:sz="8" w:space="0" w:color="000000"/>
            </w:tcBorders>
            <w:vAlign w:val="center"/>
            <w:hideMark/>
          </w:tcPr>
          <w:p w14:paraId="05A9AAEE"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3,5 милиона евра</w:t>
            </w:r>
          </w:p>
        </w:tc>
      </w:tr>
      <w:tr w:rsidR="00854ADA" w:rsidRPr="00FF386D" w14:paraId="361187CE" w14:textId="77777777" w:rsidTr="0057310C">
        <w:trPr>
          <w:trHeight w:val="315"/>
        </w:trPr>
        <w:tc>
          <w:tcPr>
            <w:tcW w:w="3285" w:type="dxa"/>
            <w:tcBorders>
              <w:top w:val="nil"/>
              <w:left w:val="single" w:sz="8" w:space="0" w:color="auto"/>
              <w:bottom w:val="single" w:sz="8" w:space="0" w:color="auto"/>
              <w:right w:val="single" w:sz="8" w:space="0" w:color="auto"/>
            </w:tcBorders>
            <w:shd w:val="clear" w:color="000000" w:fill="244062"/>
            <w:vAlign w:val="center"/>
            <w:hideMark/>
          </w:tcPr>
          <w:p w14:paraId="3252027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03" w:type="dxa"/>
            <w:gridSpan w:val="3"/>
            <w:tcBorders>
              <w:top w:val="single" w:sz="8" w:space="0" w:color="auto"/>
              <w:left w:val="nil"/>
              <w:bottom w:val="single" w:sz="8" w:space="0" w:color="auto"/>
              <w:right w:val="single" w:sz="8" w:space="0" w:color="000000"/>
            </w:tcBorders>
            <w:vAlign w:val="center"/>
            <w:hideMark/>
          </w:tcPr>
          <w:p w14:paraId="0F366D73" w14:textId="77777777" w:rsidR="00854ADA" w:rsidRPr="00FF386D" w:rsidRDefault="00854ADA" w:rsidP="00854ADA">
            <w:pPr>
              <w:spacing w:after="0" w:line="240" w:lineRule="auto"/>
              <w:jc w:val="both"/>
              <w:rPr>
                <w:rFonts w:ascii="Calibri" w:eastAsia="Times New Roman" w:hAnsi="Calibri" w:cs="Calibri"/>
                <w:color w:val="000000"/>
                <w:highlight w:val="yellow"/>
                <w:lang w:eastAsia="en-GB"/>
              </w:rPr>
            </w:pPr>
            <w:r w:rsidRPr="00FF386D">
              <w:rPr>
                <w:rFonts w:asciiTheme="majorHAnsi" w:eastAsia="Times New Roman" w:hAnsiTheme="majorHAnsi" w:cstheme="majorHAnsi"/>
                <w:color w:val="000000"/>
                <w:sz w:val="20"/>
                <w:szCs w:val="20"/>
                <w:lang w:eastAsia="en-GB"/>
              </w:rPr>
              <w:t>Сопствена средства</w:t>
            </w:r>
          </w:p>
        </w:tc>
      </w:tr>
    </w:tbl>
    <w:p w14:paraId="6890849D"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85"/>
        <w:gridCol w:w="1110"/>
        <w:gridCol w:w="934"/>
        <w:gridCol w:w="4159"/>
      </w:tblGrid>
      <w:tr w:rsidR="00854ADA" w:rsidRPr="00FF386D" w14:paraId="21D14963" w14:textId="77777777" w:rsidTr="0057310C">
        <w:trPr>
          <w:trHeight w:val="780"/>
        </w:trPr>
        <w:tc>
          <w:tcPr>
            <w:tcW w:w="3285"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0B3C734C" w14:textId="78F633F6"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110" w:type="dxa"/>
            <w:tcBorders>
              <w:top w:val="single" w:sz="8" w:space="0" w:color="auto"/>
              <w:left w:val="nil"/>
              <w:bottom w:val="single" w:sz="8" w:space="0" w:color="auto"/>
              <w:right w:val="single" w:sz="8" w:space="0" w:color="auto"/>
            </w:tcBorders>
            <w:shd w:val="clear" w:color="auto" w:fill="E7E6E6" w:themeFill="background2"/>
            <w:vAlign w:val="center"/>
            <w:hideMark/>
          </w:tcPr>
          <w:p w14:paraId="291FF28B" w14:textId="4C7CD482"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МП_УЕ</w:t>
            </w:r>
            <w:r w:rsidR="003F62D9" w:rsidRPr="00FF386D">
              <w:rPr>
                <w:rFonts w:ascii="Calibri Light" w:hAnsi="Calibri Light"/>
                <w:b/>
                <w:sz w:val="20"/>
              </w:rPr>
              <w:t>Т</w:t>
            </w:r>
            <w:r w:rsidRPr="00FF386D">
              <w:rPr>
                <w:rFonts w:ascii="Calibri Light" w:hAnsi="Calibri Light"/>
                <w:b/>
                <w:sz w:val="20"/>
              </w:rPr>
              <w:t>17</w:t>
            </w:r>
          </w:p>
        </w:tc>
        <w:tc>
          <w:tcPr>
            <w:tcW w:w="934" w:type="dxa"/>
            <w:tcBorders>
              <w:top w:val="single" w:sz="8" w:space="0" w:color="auto"/>
              <w:left w:val="nil"/>
              <w:bottom w:val="single" w:sz="8" w:space="0" w:color="auto"/>
              <w:right w:val="single" w:sz="8" w:space="0" w:color="auto"/>
            </w:tcBorders>
            <w:shd w:val="clear" w:color="auto" w:fill="244062"/>
            <w:vAlign w:val="center"/>
            <w:hideMark/>
          </w:tcPr>
          <w:p w14:paraId="49A8805C"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59" w:type="dxa"/>
            <w:tcBorders>
              <w:top w:val="single" w:sz="8" w:space="0" w:color="auto"/>
              <w:left w:val="nil"/>
              <w:bottom w:val="single" w:sz="8" w:space="0" w:color="auto"/>
              <w:right w:val="single" w:sz="8" w:space="0" w:color="auto"/>
            </w:tcBorders>
            <w:shd w:val="clear" w:color="auto" w:fill="E7E6E6" w:themeFill="background2"/>
            <w:vAlign w:val="center"/>
            <w:hideMark/>
          </w:tcPr>
          <w:p w14:paraId="6051164C" w14:textId="4029CD5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Развој регулаторног оквира за рад „</w:t>
            </w:r>
            <w:r w:rsidR="00D20CCB" w:rsidRPr="00FF386D">
              <w:rPr>
                <w:rFonts w:ascii="Calibri Light" w:hAnsi="Calibri Light"/>
                <w:b/>
                <w:sz w:val="20"/>
              </w:rPr>
              <w:t>купца-</w:t>
            </w:r>
            <w:r w:rsidRPr="00FF386D">
              <w:rPr>
                <w:rFonts w:ascii="Calibri Light" w:hAnsi="Calibri Light"/>
                <w:b/>
                <w:sz w:val="20"/>
              </w:rPr>
              <w:t>произвођача” (прозјумера) (члан 169. у складу са изменама и допунама Закона о енергетици и чл. 58. до 61. Закона о коришћењу ОИЕ)</w:t>
            </w:r>
          </w:p>
        </w:tc>
      </w:tr>
      <w:tr w:rsidR="00854ADA" w:rsidRPr="00FF386D" w14:paraId="3EF082A3" w14:textId="77777777" w:rsidTr="0057310C">
        <w:trPr>
          <w:trHeight w:val="501"/>
        </w:trPr>
        <w:tc>
          <w:tcPr>
            <w:tcW w:w="3285" w:type="dxa"/>
            <w:tcBorders>
              <w:top w:val="nil"/>
              <w:left w:val="single" w:sz="8" w:space="0" w:color="auto"/>
              <w:bottom w:val="single" w:sz="8" w:space="0" w:color="auto"/>
              <w:right w:val="nil"/>
            </w:tcBorders>
            <w:shd w:val="clear" w:color="000000" w:fill="244062"/>
            <w:vAlign w:val="center"/>
            <w:hideMark/>
          </w:tcPr>
          <w:p w14:paraId="74F92464" w14:textId="183469F8"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03" w:type="dxa"/>
            <w:gridSpan w:val="3"/>
            <w:tcBorders>
              <w:top w:val="single" w:sz="8" w:space="0" w:color="auto"/>
              <w:left w:val="nil"/>
              <w:bottom w:val="single" w:sz="8" w:space="0" w:color="auto"/>
              <w:right w:val="single" w:sz="8" w:space="0" w:color="000000"/>
            </w:tcBorders>
            <w:vAlign w:val="center"/>
          </w:tcPr>
          <w:p w14:paraId="14F610D5" w14:textId="414BC47D" w:rsidR="00854ADA" w:rsidRPr="00FF386D" w:rsidRDefault="008862E9"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Theme="majorHAnsi" w:eastAsia="Times New Roman" w:hAnsiTheme="majorHAnsi" w:cstheme="majorHAnsi"/>
                <w:color w:val="000000"/>
                <w:sz w:val="20"/>
                <w:szCs w:val="20"/>
                <w:lang w:eastAsia="en-GB"/>
              </w:rPr>
              <w:t>Повећана флексибилност система и квалитет снабдевања електричном енергијом, посебно применом политика и мера које се односе на формирање цена заснованих на тржишту у складу са важећим законом; интеграција и спајање тржишта с циљем да се повећају капацитети</w:t>
            </w:r>
            <w:r w:rsidR="001D36D0" w:rsidRPr="001D36D0">
              <w:rPr>
                <w:rFonts w:asciiTheme="majorHAnsi" w:eastAsia="Times New Roman" w:hAnsiTheme="majorHAnsi" w:cstheme="majorHAnsi"/>
                <w:color w:val="000000"/>
                <w:sz w:val="20"/>
                <w:szCs w:val="20"/>
                <w:lang w:eastAsia="en-GB"/>
              </w:rPr>
              <w:t xml:space="preserve"> за трговање</w:t>
            </w:r>
            <w:r w:rsidRPr="00FF386D">
              <w:rPr>
                <w:rFonts w:asciiTheme="majorHAnsi" w:eastAsia="Times New Roman" w:hAnsiTheme="majorHAnsi" w:cstheme="majorHAnsi"/>
                <w:color w:val="000000"/>
                <w:sz w:val="20"/>
                <w:szCs w:val="20"/>
                <w:lang w:eastAsia="en-GB"/>
              </w:rPr>
              <w:t xml:space="preserve"> постојећих интерконектора, паметних мрежа, агрегације, </w:t>
            </w:r>
            <w:r w:rsidR="001D36D0" w:rsidRPr="001D36D0">
              <w:rPr>
                <w:rFonts w:asciiTheme="majorHAnsi" w:eastAsia="Times New Roman" w:hAnsiTheme="majorHAnsi" w:cstheme="majorHAnsi"/>
                <w:color w:val="000000"/>
                <w:sz w:val="20"/>
                <w:szCs w:val="20"/>
                <w:lang w:eastAsia="en-GB"/>
              </w:rPr>
              <w:t>управљања потрошњом</w:t>
            </w:r>
            <w:r w:rsidRPr="00FF386D">
              <w:rPr>
                <w:rFonts w:asciiTheme="majorHAnsi" w:eastAsia="Times New Roman" w:hAnsiTheme="majorHAnsi" w:cstheme="majorHAnsi"/>
                <w:color w:val="000000"/>
                <w:sz w:val="20"/>
                <w:szCs w:val="20"/>
                <w:lang w:eastAsia="en-GB"/>
              </w:rPr>
              <w:t>, складиштења, дистрибуиране производње, механизама за диспеч</w:t>
            </w:r>
            <w:r w:rsidR="002B4FCB">
              <w:rPr>
                <w:rFonts w:asciiTheme="majorHAnsi" w:eastAsia="Times New Roman" w:hAnsiTheme="majorHAnsi" w:cstheme="majorHAnsi"/>
                <w:color w:val="000000"/>
                <w:sz w:val="20"/>
                <w:szCs w:val="20"/>
                <w:lang w:eastAsia="en-GB"/>
              </w:rPr>
              <w:t>инг</w:t>
            </w:r>
            <w:r w:rsidRPr="00FF386D">
              <w:rPr>
                <w:rFonts w:asciiTheme="majorHAnsi" w:eastAsia="Times New Roman" w:hAnsiTheme="majorHAnsi" w:cstheme="majorHAnsi"/>
                <w:color w:val="000000"/>
                <w:sz w:val="20"/>
                <w:szCs w:val="20"/>
                <w:lang w:eastAsia="en-GB"/>
              </w:rPr>
              <w:t>, редиспеч</w:t>
            </w:r>
            <w:r w:rsidR="002B4FCB">
              <w:rPr>
                <w:rFonts w:asciiTheme="majorHAnsi" w:eastAsia="Times New Roman" w:hAnsiTheme="majorHAnsi" w:cstheme="majorHAnsi"/>
                <w:color w:val="000000"/>
                <w:sz w:val="20"/>
                <w:szCs w:val="20"/>
                <w:lang w:eastAsia="en-GB"/>
              </w:rPr>
              <w:t>инг</w:t>
            </w:r>
            <w:r w:rsidRPr="00FF386D">
              <w:rPr>
                <w:rFonts w:asciiTheme="majorHAnsi" w:eastAsia="Times New Roman" w:hAnsiTheme="majorHAnsi" w:cstheme="majorHAnsi"/>
                <w:color w:val="000000"/>
                <w:sz w:val="20"/>
                <w:szCs w:val="20"/>
                <w:lang w:eastAsia="en-GB"/>
              </w:rPr>
              <w:t xml:space="preserve"> и ограничавања производње, као и ценовних сигнала у реалном времену.</w:t>
            </w:r>
          </w:p>
        </w:tc>
      </w:tr>
      <w:tr w:rsidR="00854ADA" w:rsidRPr="00FF386D" w14:paraId="70AE3368" w14:textId="77777777" w:rsidTr="0057310C">
        <w:trPr>
          <w:trHeight w:val="315"/>
        </w:trPr>
        <w:tc>
          <w:tcPr>
            <w:tcW w:w="3285" w:type="dxa"/>
            <w:tcBorders>
              <w:top w:val="nil"/>
              <w:left w:val="single" w:sz="8" w:space="0" w:color="auto"/>
              <w:bottom w:val="single" w:sz="8" w:space="0" w:color="auto"/>
              <w:right w:val="single" w:sz="8" w:space="0" w:color="auto"/>
            </w:tcBorders>
            <w:shd w:val="clear" w:color="000000" w:fill="244062"/>
            <w:vAlign w:val="center"/>
            <w:hideMark/>
          </w:tcPr>
          <w:p w14:paraId="2BD07717" w14:textId="2DD1FD7A"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03" w:type="dxa"/>
            <w:gridSpan w:val="3"/>
            <w:tcBorders>
              <w:top w:val="single" w:sz="8" w:space="0" w:color="auto"/>
              <w:left w:val="nil"/>
              <w:bottom w:val="single" w:sz="8" w:space="0" w:color="auto"/>
              <w:right w:val="single" w:sz="8" w:space="0" w:color="000000"/>
            </w:tcBorders>
            <w:vAlign w:val="center"/>
          </w:tcPr>
          <w:p w14:paraId="777578F4" w14:textId="6BF5F581" w:rsidR="00854ADA" w:rsidRPr="00FF386D" w:rsidRDefault="00854ADA" w:rsidP="00854ADA">
            <w:pPr>
              <w:spacing w:after="0" w:line="240" w:lineRule="auto"/>
              <w:jc w:val="both"/>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 xml:space="preserve">Индикатори повећаног квалитета снабдевања, примена паметних мрежа, агрегација, услуга као одзив потрошње, </w:t>
            </w:r>
            <w:r w:rsidR="008C725F" w:rsidRPr="00FF386D">
              <w:rPr>
                <w:rFonts w:asciiTheme="majorHAnsi" w:eastAsia="Times New Roman" w:hAnsiTheme="majorHAnsi" w:cstheme="majorHAnsi"/>
                <w:color w:val="000000"/>
                <w:sz w:val="20"/>
                <w:szCs w:val="20"/>
                <w:lang w:eastAsia="en-GB"/>
              </w:rPr>
              <w:t>складиштење</w:t>
            </w:r>
            <w:r w:rsidRPr="00FF386D">
              <w:rPr>
                <w:rFonts w:asciiTheme="majorHAnsi" w:eastAsia="Times New Roman" w:hAnsiTheme="majorHAnsi" w:cstheme="majorHAnsi"/>
                <w:color w:val="000000"/>
                <w:sz w:val="20"/>
                <w:szCs w:val="20"/>
                <w:lang w:eastAsia="en-GB"/>
              </w:rPr>
              <w:t xml:space="preserve"> и дистрибуирана производња.</w:t>
            </w:r>
          </w:p>
        </w:tc>
      </w:tr>
      <w:tr w:rsidR="00854ADA" w:rsidRPr="00FF386D" w14:paraId="348FD448" w14:textId="77777777" w:rsidTr="0057310C">
        <w:trPr>
          <w:trHeight w:val="1335"/>
        </w:trPr>
        <w:tc>
          <w:tcPr>
            <w:tcW w:w="3285" w:type="dxa"/>
            <w:tcBorders>
              <w:top w:val="nil"/>
              <w:left w:val="single" w:sz="8" w:space="0" w:color="auto"/>
              <w:bottom w:val="single" w:sz="8" w:space="0" w:color="auto"/>
              <w:right w:val="single" w:sz="8" w:space="0" w:color="auto"/>
            </w:tcBorders>
            <w:shd w:val="clear" w:color="000000" w:fill="244062"/>
            <w:vAlign w:val="center"/>
            <w:hideMark/>
          </w:tcPr>
          <w:p w14:paraId="65F705E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03" w:type="dxa"/>
            <w:gridSpan w:val="3"/>
            <w:tcBorders>
              <w:top w:val="single" w:sz="8" w:space="0" w:color="auto"/>
              <w:left w:val="nil"/>
              <w:bottom w:val="single" w:sz="8" w:space="0" w:color="auto"/>
              <w:right w:val="single" w:sz="8" w:space="0" w:color="000000"/>
            </w:tcBorders>
            <w:vAlign w:val="center"/>
            <w:hideMark/>
          </w:tcPr>
          <w:p w14:paraId="50AA6920" w14:textId="1512571B"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МП_УЕ</w:t>
            </w:r>
            <w:r w:rsidR="003F62D9" w:rsidRPr="00FF386D">
              <w:rPr>
                <w:rFonts w:ascii="Calibri Light" w:hAnsi="Calibri Light"/>
                <w:sz w:val="20"/>
              </w:rPr>
              <w:t>Т</w:t>
            </w:r>
            <w:r w:rsidRPr="00FF386D">
              <w:rPr>
                <w:rFonts w:ascii="Calibri Light" w:hAnsi="Calibri Light"/>
                <w:sz w:val="20"/>
              </w:rPr>
              <w:t xml:space="preserve">17 се односи на поступање у вези са регулаторним, финансијским, техничким и политичким </w:t>
            </w:r>
            <w:r w:rsidR="003F62D9" w:rsidRPr="00FF386D">
              <w:rPr>
                <w:rFonts w:ascii="Calibri Light" w:hAnsi="Calibri Light"/>
                <w:sz w:val="20"/>
              </w:rPr>
              <w:t>препрекама</w:t>
            </w:r>
            <w:r w:rsidRPr="00FF386D">
              <w:rPr>
                <w:rFonts w:ascii="Calibri Light" w:hAnsi="Calibri Light"/>
                <w:sz w:val="20"/>
              </w:rPr>
              <w:t xml:space="preserve"> које тренутно спречавају тржиш</w:t>
            </w:r>
            <w:r w:rsidR="00717475" w:rsidRPr="00FF386D">
              <w:rPr>
                <w:rFonts w:ascii="Calibri Light" w:hAnsi="Calibri Light"/>
                <w:sz w:val="20"/>
              </w:rPr>
              <w:t>но ажурирање</w:t>
            </w:r>
            <w:r w:rsidRPr="00FF386D">
              <w:rPr>
                <w:rFonts w:ascii="Calibri Light" w:hAnsi="Calibri Light"/>
                <w:sz w:val="20"/>
              </w:rPr>
              <w:t xml:space="preserve"> сопствене потрошње у Србији. У светлу промена које су уведене новим законодавством, потребно је израдити </w:t>
            </w:r>
            <w:r w:rsidR="00717475" w:rsidRPr="00FF386D">
              <w:rPr>
                <w:rFonts w:ascii="Calibri Light" w:hAnsi="Calibri Light"/>
                <w:sz w:val="20"/>
              </w:rPr>
              <w:t>подзаконска акта</w:t>
            </w:r>
            <w:r w:rsidR="00F026DB" w:rsidRPr="00FF386D">
              <w:rPr>
                <w:rFonts w:ascii="Calibri Light" w:hAnsi="Calibri Light"/>
                <w:sz w:val="20"/>
              </w:rPr>
              <w:t xml:space="preserve"> </w:t>
            </w:r>
            <w:r w:rsidRPr="00FF386D">
              <w:rPr>
                <w:rFonts w:ascii="Calibri Light" w:hAnsi="Calibri Light"/>
                <w:sz w:val="20"/>
              </w:rPr>
              <w:t>како би се остварила недавно добијена законска права произвођача-</w:t>
            </w:r>
            <w:r w:rsidR="003F62D9" w:rsidRPr="00FF386D">
              <w:rPr>
                <w:rFonts w:ascii="Calibri Light" w:hAnsi="Calibri Light"/>
                <w:sz w:val="20"/>
              </w:rPr>
              <w:t>купаца</w:t>
            </w:r>
            <w:r w:rsidRPr="00FF386D">
              <w:rPr>
                <w:rFonts w:ascii="Calibri Light" w:hAnsi="Calibri Light"/>
                <w:sz w:val="20"/>
              </w:rPr>
              <w:t>. О</w:t>
            </w:r>
            <w:r w:rsidR="003F62D9" w:rsidRPr="00FF386D">
              <w:rPr>
                <w:rFonts w:ascii="Calibri Light" w:hAnsi="Calibri Light"/>
                <w:sz w:val="20"/>
              </w:rPr>
              <w:t>во законодавство</w:t>
            </w:r>
            <w:r w:rsidRPr="00FF386D">
              <w:rPr>
                <w:rFonts w:ascii="Calibri Light" w:hAnsi="Calibri Light"/>
                <w:sz w:val="20"/>
              </w:rPr>
              <w:t xml:space="preserve"> ће обухва</w:t>
            </w:r>
            <w:r w:rsidR="003F62D9" w:rsidRPr="00FF386D">
              <w:rPr>
                <w:rFonts w:ascii="Calibri Light" w:hAnsi="Calibri Light"/>
                <w:sz w:val="20"/>
              </w:rPr>
              <w:t>тити</w:t>
            </w:r>
            <w:r w:rsidRPr="00FF386D">
              <w:rPr>
                <w:rFonts w:ascii="Calibri Light" w:hAnsi="Calibri Light"/>
                <w:sz w:val="20"/>
              </w:rPr>
              <w:t xml:space="preserve"> техничк</w:t>
            </w:r>
            <w:r w:rsidR="003F62D9" w:rsidRPr="00FF386D">
              <w:rPr>
                <w:rFonts w:ascii="Calibri Light" w:hAnsi="Calibri Light"/>
                <w:sz w:val="20"/>
              </w:rPr>
              <w:t>е/</w:t>
            </w:r>
            <w:r w:rsidRPr="00FF386D">
              <w:rPr>
                <w:rFonts w:ascii="Calibri Light" w:hAnsi="Calibri Light"/>
                <w:sz w:val="20"/>
              </w:rPr>
              <w:t>квалитативн</w:t>
            </w:r>
            <w:r w:rsidR="003F62D9" w:rsidRPr="00FF386D">
              <w:rPr>
                <w:rFonts w:ascii="Calibri Light" w:hAnsi="Calibri Light"/>
                <w:sz w:val="20"/>
              </w:rPr>
              <w:t>е</w:t>
            </w:r>
            <w:r w:rsidRPr="00FF386D">
              <w:rPr>
                <w:rFonts w:ascii="Calibri Light" w:hAnsi="Calibri Light"/>
                <w:sz w:val="20"/>
              </w:rPr>
              <w:t xml:space="preserve"> стандард</w:t>
            </w:r>
            <w:r w:rsidR="003F62D9" w:rsidRPr="00FF386D">
              <w:rPr>
                <w:rFonts w:ascii="Calibri Light" w:hAnsi="Calibri Light"/>
                <w:sz w:val="20"/>
              </w:rPr>
              <w:t>е</w:t>
            </w:r>
            <w:r w:rsidRPr="00FF386D">
              <w:rPr>
                <w:rFonts w:ascii="Calibri Light" w:hAnsi="Calibri Light"/>
                <w:sz w:val="20"/>
              </w:rPr>
              <w:t>, услов</w:t>
            </w:r>
            <w:r w:rsidR="003F62D9" w:rsidRPr="00FF386D">
              <w:rPr>
                <w:rFonts w:ascii="Calibri Light" w:hAnsi="Calibri Light"/>
                <w:sz w:val="20"/>
              </w:rPr>
              <w:t>е</w:t>
            </w:r>
            <w:r w:rsidRPr="00FF386D">
              <w:rPr>
                <w:rFonts w:ascii="Calibri Light" w:hAnsi="Calibri Light"/>
                <w:sz w:val="20"/>
              </w:rPr>
              <w:t xml:space="preserve"> прикључења на мрежу, порески режим, процес издавања дозвола и </w:t>
            </w:r>
            <w:r w:rsidR="008B26CE" w:rsidRPr="00FF386D">
              <w:rPr>
                <w:rFonts w:ascii="Calibri Light" w:hAnsi="Calibri Light"/>
                <w:sz w:val="20"/>
              </w:rPr>
              <w:t xml:space="preserve">биће допуна </w:t>
            </w:r>
            <w:r w:rsidRPr="00FF386D">
              <w:rPr>
                <w:rFonts w:ascii="Calibri Light" w:hAnsi="Calibri Light"/>
                <w:sz w:val="20"/>
              </w:rPr>
              <w:t xml:space="preserve">спровођењу подзаконских аката </w:t>
            </w:r>
            <w:r w:rsidR="002B4FCB">
              <w:rPr>
                <w:rFonts w:ascii="Calibri Light" w:hAnsi="Calibri Light"/>
                <w:sz w:val="20"/>
              </w:rPr>
              <w:t>за</w:t>
            </w:r>
            <w:r w:rsidRPr="00FF386D">
              <w:rPr>
                <w:rFonts w:ascii="Calibri Light" w:hAnsi="Calibri Light"/>
                <w:sz w:val="20"/>
              </w:rPr>
              <w:t xml:space="preserve"> нето мерењ</w:t>
            </w:r>
            <w:r w:rsidR="002B4FCB">
              <w:rPr>
                <w:rFonts w:ascii="Calibri Light" w:hAnsi="Calibri Light"/>
                <w:sz w:val="20"/>
              </w:rPr>
              <w:t xml:space="preserve">е. Увођење подзаконских аката за нето мерење је у току. </w:t>
            </w:r>
          </w:p>
        </w:tc>
      </w:tr>
      <w:tr w:rsidR="00854ADA" w:rsidRPr="00FF386D" w14:paraId="574B327C" w14:textId="77777777" w:rsidTr="0057310C">
        <w:trPr>
          <w:trHeight w:val="315"/>
        </w:trPr>
        <w:tc>
          <w:tcPr>
            <w:tcW w:w="3285" w:type="dxa"/>
            <w:tcBorders>
              <w:top w:val="nil"/>
              <w:left w:val="single" w:sz="8" w:space="0" w:color="auto"/>
              <w:bottom w:val="single" w:sz="8" w:space="0" w:color="auto"/>
              <w:right w:val="single" w:sz="8" w:space="0" w:color="auto"/>
            </w:tcBorders>
            <w:shd w:val="clear" w:color="000000" w:fill="244062"/>
            <w:vAlign w:val="center"/>
            <w:hideMark/>
          </w:tcPr>
          <w:p w14:paraId="0CCF97F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03" w:type="dxa"/>
            <w:gridSpan w:val="3"/>
            <w:tcBorders>
              <w:top w:val="single" w:sz="8" w:space="0" w:color="auto"/>
              <w:left w:val="nil"/>
              <w:bottom w:val="single" w:sz="8" w:space="0" w:color="auto"/>
              <w:right w:val="single" w:sz="8" w:space="0" w:color="000000"/>
            </w:tcBorders>
            <w:vAlign w:val="center"/>
            <w:hideMark/>
          </w:tcPr>
          <w:p w14:paraId="13058EFD" w14:textId="7BA471E2" w:rsidR="00854ADA" w:rsidRPr="000A2AFE"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2021-20</w:t>
            </w:r>
            <w:r w:rsidR="002B4FCB">
              <w:rPr>
                <w:rFonts w:ascii="Calibri Light" w:hAnsi="Calibri Light"/>
                <w:sz w:val="20"/>
              </w:rPr>
              <w:t>26</w:t>
            </w:r>
            <w:r w:rsidRPr="00FF386D">
              <w:rPr>
                <w:rFonts w:ascii="Calibri Light" w:hAnsi="Calibri Light"/>
                <w:sz w:val="20"/>
              </w:rPr>
              <w:t>.</w:t>
            </w:r>
          </w:p>
        </w:tc>
      </w:tr>
      <w:tr w:rsidR="00854ADA" w:rsidRPr="00FF386D" w14:paraId="21CFD22D" w14:textId="77777777" w:rsidTr="0057310C">
        <w:trPr>
          <w:trHeight w:val="315"/>
        </w:trPr>
        <w:tc>
          <w:tcPr>
            <w:tcW w:w="3285" w:type="dxa"/>
            <w:tcBorders>
              <w:top w:val="nil"/>
              <w:left w:val="single" w:sz="8" w:space="0" w:color="auto"/>
              <w:bottom w:val="single" w:sz="8" w:space="0" w:color="auto"/>
              <w:right w:val="single" w:sz="8" w:space="0" w:color="auto"/>
            </w:tcBorders>
            <w:shd w:val="clear" w:color="000000" w:fill="244062"/>
            <w:vAlign w:val="center"/>
            <w:hideMark/>
          </w:tcPr>
          <w:p w14:paraId="7ADCB02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03" w:type="dxa"/>
            <w:gridSpan w:val="3"/>
            <w:tcBorders>
              <w:top w:val="single" w:sz="8" w:space="0" w:color="auto"/>
              <w:left w:val="nil"/>
              <w:bottom w:val="single" w:sz="8" w:space="0" w:color="auto"/>
              <w:right w:val="single" w:sz="8" w:space="0" w:color="000000"/>
            </w:tcBorders>
            <w:vAlign w:val="center"/>
            <w:hideMark/>
          </w:tcPr>
          <w:p w14:paraId="7F6005EA"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Реформа</w:t>
            </w:r>
          </w:p>
        </w:tc>
      </w:tr>
      <w:tr w:rsidR="00854ADA" w:rsidRPr="00FF386D" w14:paraId="0EF43528" w14:textId="77777777" w:rsidTr="0057310C">
        <w:trPr>
          <w:trHeight w:val="315"/>
        </w:trPr>
        <w:tc>
          <w:tcPr>
            <w:tcW w:w="3285" w:type="dxa"/>
            <w:tcBorders>
              <w:top w:val="nil"/>
              <w:left w:val="single" w:sz="8" w:space="0" w:color="auto"/>
              <w:bottom w:val="single" w:sz="8" w:space="0" w:color="auto"/>
              <w:right w:val="single" w:sz="8" w:space="0" w:color="auto"/>
            </w:tcBorders>
            <w:shd w:val="clear" w:color="000000" w:fill="244062"/>
            <w:vAlign w:val="center"/>
            <w:hideMark/>
          </w:tcPr>
          <w:p w14:paraId="3CBEDF0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03" w:type="dxa"/>
            <w:gridSpan w:val="3"/>
            <w:tcBorders>
              <w:top w:val="single" w:sz="8" w:space="0" w:color="auto"/>
              <w:left w:val="nil"/>
              <w:bottom w:val="single" w:sz="8" w:space="0" w:color="auto"/>
              <w:right w:val="single" w:sz="8" w:space="0" w:color="000000"/>
            </w:tcBorders>
            <w:vAlign w:val="center"/>
            <w:hideMark/>
          </w:tcPr>
          <w:p w14:paraId="017F628C"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Стамбени, јавни, комерцијални, индустријски</w:t>
            </w:r>
          </w:p>
        </w:tc>
      </w:tr>
      <w:tr w:rsidR="00854ADA" w:rsidRPr="00FF386D" w14:paraId="5F791C58" w14:textId="77777777" w:rsidTr="0057310C">
        <w:trPr>
          <w:trHeight w:val="315"/>
        </w:trPr>
        <w:tc>
          <w:tcPr>
            <w:tcW w:w="3285" w:type="dxa"/>
            <w:tcBorders>
              <w:top w:val="nil"/>
              <w:left w:val="single" w:sz="8" w:space="0" w:color="auto"/>
              <w:bottom w:val="single" w:sz="8" w:space="0" w:color="auto"/>
              <w:right w:val="single" w:sz="8" w:space="0" w:color="auto"/>
            </w:tcBorders>
            <w:shd w:val="clear" w:color="000000" w:fill="244062"/>
            <w:vAlign w:val="center"/>
            <w:hideMark/>
          </w:tcPr>
          <w:p w14:paraId="49A7FE0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03" w:type="dxa"/>
            <w:gridSpan w:val="3"/>
            <w:tcBorders>
              <w:top w:val="single" w:sz="8" w:space="0" w:color="auto"/>
              <w:left w:val="nil"/>
              <w:bottom w:val="single" w:sz="8" w:space="0" w:color="auto"/>
              <w:right w:val="single" w:sz="8" w:space="0" w:color="000000"/>
            </w:tcBorders>
            <w:vAlign w:val="center"/>
            <w:hideMark/>
          </w:tcPr>
          <w:p w14:paraId="4CC8FDE3" w14:textId="77777777" w:rsidR="00854ADA" w:rsidRPr="00FF386D" w:rsidRDefault="00854ADA" w:rsidP="00854ADA">
            <w:pPr>
              <w:numPr>
                <w:ilvl w:val="0"/>
                <w:numId w:val="57"/>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Министарство рударства и енергетике</w:t>
            </w:r>
          </w:p>
          <w:p w14:paraId="55C0DD8E" w14:textId="77777777" w:rsidR="00854ADA" w:rsidRPr="00FF386D" w:rsidRDefault="00854ADA" w:rsidP="00854ADA">
            <w:pPr>
              <w:numPr>
                <w:ilvl w:val="0"/>
                <w:numId w:val="57"/>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ОДС</w:t>
            </w:r>
          </w:p>
          <w:p w14:paraId="63008699" w14:textId="77777777" w:rsidR="00854ADA" w:rsidRPr="00FF386D" w:rsidRDefault="00854ADA" w:rsidP="00854ADA">
            <w:pPr>
              <w:numPr>
                <w:ilvl w:val="0"/>
                <w:numId w:val="57"/>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ЕМС</w:t>
            </w:r>
          </w:p>
          <w:p w14:paraId="263878A5" w14:textId="5DCF1FE8" w:rsidR="00F026DB" w:rsidRPr="00FF386D" w:rsidRDefault="00F026DB" w:rsidP="00854ADA">
            <w:pPr>
              <w:numPr>
                <w:ilvl w:val="0"/>
                <w:numId w:val="57"/>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ЕПС</w:t>
            </w:r>
          </w:p>
        </w:tc>
      </w:tr>
      <w:tr w:rsidR="00854ADA" w:rsidRPr="00FF386D" w14:paraId="2C2ECCBD" w14:textId="77777777" w:rsidTr="0057310C">
        <w:trPr>
          <w:trHeight w:val="315"/>
        </w:trPr>
        <w:tc>
          <w:tcPr>
            <w:tcW w:w="3285" w:type="dxa"/>
            <w:tcBorders>
              <w:top w:val="nil"/>
              <w:left w:val="single" w:sz="8" w:space="0" w:color="auto"/>
              <w:bottom w:val="single" w:sz="8" w:space="0" w:color="auto"/>
              <w:right w:val="nil"/>
            </w:tcBorders>
            <w:shd w:val="clear" w:color="000000" w:fill="244062"/>
            <w:vAlign w:val="center"/>
            <w:hideMark/>
          </w:tcPr>
          <w:p w14:paraId="444143F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03" w:type="dxa"/>
            <w:gridSpan w:val="3"/>
            <w:tcBorders>
              <w:top w:val="single" w:sz="8" w:space="0" w:color="auto"/>
              <w:left w:val="nil"/>
              <w:bottom w:val="single" w:sz="8" w:space="0" w:color="auto"/>
              <w:right w:val="single" w:sz="8" w:space="0" w:color="000000"/>
            </w:tcBorders>
            <w:vAlign w:val="center"/>
            <w:hideMark/>
          </w:tcPr>
          <w:p w14:paraId="16D95F6E" w14:textId="3AA2A0D3" w:rsidR="00854ADA" w:rsidRPr="000A2AFE" w:rsidRDefault="00F26963" w:rsidP="000A2AFE">
            <w:pPr>
              <w:pStyle w:val="ListParagraph"/>
              <w:numPr>
                <w:ilvl w:val="0"/>
                <w:numId w:val="57"/>
              </w:numPr>
              <w:spacing w:after="0"/>
              <w:ind w:left="714" w:hanging="357"/>
              <w:rPr>
                <w:rFonts w:ascii="Calibri Light" w:eastAsia="Times New Roman" w:hAnsi="Calibri Light" w:cs="Calibri Light"/>
                <w:color w:val="000000"/>
                <w:sz w:val="20"/>
                <w:szCs w:val="20"/>
                <w:lang w:eastAsia="en-GB"/>
              </w:rPr>
            </w:pPr>
            <w:r w:rsidRPr="00F26963">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06702EF6" w14:textId="77777777" w:rsidTr="0057310C">
        <w:trPr>
          <w:trHeight w:val="315"/>
        </w:trPr>
        <w:tc>
          <w:tcPr>
            <w:tcW w:w="3285" w:type="dxa"/>
            <w:tcBorders>
              <w:top w:val="nil"/>
              <w:left w:val="single" w:sz="8" w:space="0" w:color="auto"/>
              <w:bottom w:val="single" w:sz="8" w:space="0" w:color="auto"/>
              <w:right w:val="nil"/>
            </w:tcBorders>
            <w:shd w:val="clear" w:color="000000" w:fill="244062"/>
            <w:vAlign w:val="center"/>
            <w:hideMark/>
          </w:tcPr>
          <w:p w14:paraId="1A7136F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03" w:type="dxa"/>
            <w:gridSpan w:val="3"/>
            <w:tcBorders>
              <w:top w:val="single" w:sz="8" w:space="0" w:color="auto"/>
              <w:left w:val="nil"/>
              <w:bottom w:val="single" w:sz="8" w:space="0" w:color="auto"/>
              <w:right w:val="single" w:sz="8" w:space="0" w:color="000000"/>
            </w:tcBorders>
            <w:vAlign w:val="center"/>
            <w:hideMark/>
          </w:tcPr>
          <w:p w14:paraId="04568670" w14:textId="14CE8568"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Број захтева за прикључење „</w:t>
            </w:r>
            <w:r w:rsidR="008C725F" w:rsidRPr="00FF386D">
              <w:rPr>
                <w:rFonts w:ascii="Calibri Light" w:eastAsia="Times New Roman" w:hAnsi="Calibri Light" w:cs="Calibri Light"/>
                <w:color w:val="000000"/>
                <w:sz w:val="20"/>
                <w:szCs w:val="20"/>
                <w:lang w:eastAsia="en-GB"/>
              </w:rPr>
              <w:t>купаца-</w:t>
            </w:r>
            <w:r w:rsidRPr="00FF386D">
              <w:rPr>
                <w:rFonts w:ascii="Calibri Light" w:eastAsia="Times New Roman" w:hAnsi="Calibri Light" w:cs="Calibri Light"/>
                <w:color w:val="000000"/>
                <w:sz w:val="20"/>
                <w:szCs w:val="20"/>
                <w:lang w:eastAsia="en-GB"/>
              </w:rPr>
              <w:t>произвођача” (прозјумера) поднетих ОДС</w:t>
            </w:r>
          </w:p>
        </w:tc>
      </w:tr>
      <w:tr w:rsidR="00854ADA" w:rsidRPr="00FF386D" w14:paraId="7553789A" w14:textId="77777777" w:rsidTr="0057310C">
        <w:trPr>
          <w:trHeight w:val="443"/>
        </w:trPr>
        <w:tc>
          <w:tcPr>
            <w:tcW w:w="3285" w:type="dxa"/>
            <w:tcBorders>
              <w:top w:val="nil"/>
              <w:left w:val="single" w:sz="8" w:space="0" w:color="auto"/>
              <w:bottom w:val="single" w:sz="8" w:space="0" w:color="auto"/>
              <w:right w:val="single" w:sz="8" w:space="0" w:color="auto"/>
            </w:tcBorders>
            <w:shd w:val="clear" w:color="000000" w:fill="244062"/>
            <w:vAlign w:val="center"/>
            <w:hideMark/>
          </w:tcPr>
          <w:p w14:paraId="18C656A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03" w:type="dxa"/>
            <w:gridSpan w:val="3"/>
            <w:tcBorders>
              <w:top w:val="single" w:sz="8" w:space="0" w:color="auto"/>
              <w:left w:val="nil"/>
              <w:bottom w:val="single" w:sz="8" w:space="0" w:color="auto"/>
              <w:right w:val="single" w:sz="8" w:space="0" w:color="000000"/>
            </w:tcBorders>
            <w:vAlign w:val="center"/>
            <w:hideMark/>
          </w:tcPr>
          <w:p w14:paraId="0BF722DB" w14:textId="77777777" w:rsidR="00854ADA" w:rsidRPr="000A2AFE" w:rsidRDefault="00854ADA" w:rsidP="00854ADA">
            <w:pPr>
              <w:numPr>
                <w:ilvl w:val="0"/>
                <w:numId w:val="57"/>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color w:val="000000"/>
                <w:sz w:val="20"/>
              </w:rPr>
              <w:t>Енергетска ефикасност</w:t>
            </w:r>
          </w:p>
          <w:p w14:paraId="45D723AA" w14:textId="0C0096D9" w:rsidR="00854ADA" w:rsidRDefault="00854ADA" w:rsidP="00854ADA">
            <w:pPr>
              <w:numPr>
                <w:ilvl w:val="0"/>
                <w:numId w:val="57"/>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Декарбонизација</w:t>
            </w:r>
          </w:p>
          <w:p w14:paraId="2300EB66" w14:textId="24363060" w:rsidR="00566886" w:rsidRPr="00FF386D" w:rsidRDefault="00566886" w:rsidP="00854ADA">
            <w:pPr>
              <w:numPr>
                <w:ilvl w:val="0"/>
                <w:numId w:val="57"/>
              </w:numPr>
              <w:spacing w:after="0" w:line="240" w:lineRule="auto"/>
              <w:contextualSpacing/>
              <w:jc w:val="both"/>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Енергетска сигурност</w:t>
            </w:r>
          </w:p>
        </w:tc>
      </w:tr>
      <w:tr w:rsidR="00854ADA" w:rsidRPr="00FF386D" w14:paraId="32C59A04" w14:textId="77777777" w:rsidTr="0057310C">
        <w:trPr>
          <w:trHeight w:val="450"/>
        </w:trPr>
        <w:tc>
          <w:tcPr>
            <w:tcW w:w="3285"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1E468FE7" w14:textId="75A5DE9B"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03"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140B5063" w14:textId="74D63435" w:rsidR="00854ADA" w:rsidRPr="000A2AFE" w:rsidRDefault="00854ADA" w:rsidP="00854ADA">
            <w:pPr>
              <w:numPr>
                <w:ilvl w:val="0"/>
                <w:numId w:val="18"/>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1D36D0">
              <w:rPr>
                <w:rFonts w:ascii="Calibri Light" w:hAnsi="Calibri Light"/>
                <w:color w:val="000000"/>
                <w:sz w:val="20"/>
                <w:lang w:val="sr-Latn-RS"/>
              </w:rPr>
              <w:t xml:space="preserve"> </w:t>
            </w:r>
            <w:r w:rsidRPr="000A2AFE">
              <w:rPr>
                <w:rFonts w:ascii="Calibri Light" w:eastAsia="Times New Roman" w:hAnsi="Calibri Light" w:cs="Calibri Light"/>
                <w:color w:val="000000"/>
                <w:sz w:val="20"/>
                <w:szCs w:val="20"/>
                <w:lang w:eastAsia="en-GB"/>
              </w:rPr>
              <w:t>2009/72/EЗ</w:t>
            </w:r>
          </w:p>
          <w:p w14:paraId="111793AD" w14:textId="77777777" w:rsidR="00854ADA" w:rsidRPr="000A2AFE" w:rsidRDefault="00854ADA" w:rsidP="00854ADA">
            <w:pPr>
              <w:numPr>
                <w:ilvl w:val="0"/>
                <w:numId w:val="18"/>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Директива </w:t>
            </w:r>
            <w:r w:rsidRPr="000A2AFE">
              <w:rPr>
                <w:rFonts w:ascii="Calibri Light" w:eastAsia="Times New Roman" w:hAnsi="Calibri Light" w:cs="Calibri Light"/>
                <w:color w:val="000000"/>
                <w:sz w:val="20"/>
                <w:szCs w:val="20"/>
                <w:lang w:eastAsia="en-GB"/>
              </w:rPr>
              <w:t>(ЕУ) 2019/944</w:t>
            </w:r>
          </w:p>
          <w:p w14:paraId="5088FFAE" w14:textId="77777777" w:rsidR="00854ADA" w:rsidRPr="00FF386D" w:rsidRDefault="00854ADA" w:rsidP="00854ADA">
            <w:pPr>
              <w:numPr>
                <w:ilvl w:val="0"/>
                <w:numId w:val="5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Уредба </w:t>
            </w:r>
            <w:r w:rsidRPr="000A2AFE">
              <w:rPr>
                <w:rFonts w:ascii="Calibri Light" w:eastAsia="Times New Roman" w:hAnsi="Calibri Light" w:cs="Calibri Light"/>
                <w:color w:val="000000"/>
                <w:sz w:val="20"/>
                <w:szCs w:val="20"/>
                <w:lang w:eastAsia="en-GB"/>
              </w:rPr>
              <w:t>(ЕУ) 2019/943</w:t>
            </w:r>
          </w:p>
        </w:tc>
      </w:tr>
      <w:tr w:rsidR="00854ADA" w:rsidRPr="00FF386D" w14:paraId="39EFDED3"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61B26331"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03" w:type="dxa"/>
            <w:gridSpan w:val="3"/>
            <w:vMerge/>
            <w:tcBorders>
              <w:top w:val="single" w:sz="8" w:space="0" w:color="auto"/>
              <w:left w:val="single" w:sz="8" w:space="0" w:color="auto"/>
              <w:bottom w:val="single" w:sz="8" w:space="0" w:color="000000"/>
              <w:right w:val="single" w:sz="8" w:space="0" w:color="000000"/>
            </w:tcBorders>
            <w:vAlign w:val="center"/>
            <w:hideMark/>
          </w:tcPr>
          <w:p w14:paraId="1394438B"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4AB17E0F"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42440863"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03" w:type="dxa"/>
            <w:gridSpan w:val="3"/>
            <w:vMerge/>
            <w:tcBorders>
              <w:top w:val="single" w:sz="8" w:space="0" w:color="auto"/>
              <w:left w:val="single" w:sz="8" w:space="0" w:color="auto"/>
              <w:bottom w:val="single" w:sz="8" w:space="0" w:color="000000"/>
              <w:right w:val="single" w:sz="8" w:space="0" w:color="000000"/>
            </w:tcBorders>
            <w:vAlign w:val="center"/>
            <w:hideMark/>
          </w:tcPr>
          <w:p w14:paraId="47029F99"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67CCF4FC" w14:textId="77777777" w:rsidTr="0057310C">
        <w:trPr>
          <w:trHeight w:val="780"/>
        </w:trPr>
        <w:tc>
          <w:tcPr>
            <w:tcW w:w="3285" w:type="dxa"/>
            <w:tcBorders>
              <w:top w:val="nil"/>
              <w:left w:val="single" w:sz="8" w:space="0" w:color="auto"/>
              <w:bottom w:val="single" w:sz="8" w:space="0" w:color="auto"/>
              <w:right w:val="single" w:sz="8" w:space="0" w:color="auto"/>
            </w:tcBorders>
            <w:shd w:val="clear" w:color="000000" w:fill="244062"/>
            <w:vAlign w:val="center"/>
            <w:hideMark/>
          </w:tcPr>
          <w:p w14:paraId="163DD83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03" w:type="dxa"/>
            <w:gridSpan w:val="3"/>
            <w:tcBorders>
              <w:top w:val="single" w:sz="8" w:space="0" w:color="auto"/>
              <w:left w:val="nil"/>
              <w:bottom w:val="single" w:sz="8" w:space="0" w:color="auto"/>
              <w:right w:val="single" w:sz="8" w:space="0" w:color="000000"/>
            </w:tcBorders>
            <w:vAlign w:val="center"/>
            <w:hideMark/>
          </w:tcPr>
          <w:p w14:paraId="5D9DB7B6" w14:textId="77777777" w:rsidR="00854ADA" w:rsidRPr="00FF386D" w:rsidRDefault="00854ADA" w:rsidP="00854ADA">
            <w:pPr>
              <w:numPr>
                <w:ilvl w:val="0"/>
                <w:numId w:val="5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енергетици</w:t>
            </w:r>
          </w:p>
          <w:p w14:paraId="779F2650" w14:textId="77777777" w:rsidR="00854ADA" w:rsidRDefault="00854ADA" w:rsidP="00854ADA">
            <w:pPr>
              <w:numPr>
                <w:ilvl w:val="0"/>
                <w:numId w:val="5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ОИЕ</w:t>
            </w:r>
          </w:p>
          <w:p w14:paraId="5C799816" w14:textId="5E89647F" w:rsidR="00867FDB" w:rsidRDefault="00867FDB" w:rsidP="00854ADA">
            <w:pPr>
              <w:numPr>
                <w:ilvl w:val="0"/>
                <w:numId w:val="57"/>
              </w:numPr>
              <w:spacing w:after="0" w:line="240" w:lineRule="auto"/>
              <w:contextualSpacing/>
              <w:rPr>
                <w:rFonts w:ascii="Calibri Light" w:eastAsia="Times New Roman" w:hAnsi="Calibri Light" w:cs="Calibri Light"/>
                <w:color w:val="000000"/>
                <w:sz w:val="20"/>
                <w:szCs w:val="20"/>
                <w:lang w:eastAsia="en-GB"/>
              </w:rPr>
            </w:pPr>
            <w:r w:rsidRPr="00867FDB">
              <w:rPr>
                <w:rFonts w:ascii="Calibri Light" w:eastAsia="Times New Roman" w:hAnsi="Calibri Light" w:cs="Calibri Light"/>
                <w:color w:val="000000"/>
                <w:sz w:val="20"/>
                <w:szCs w:val="20"/>
                <w:lang w:eastAsia="en-GB"/>
              </w:rPr>
              <w:t>Уредба о критеријумима, условима и начину обрачуна потраживања и обавеза између купца – произвођача и снабдевача</w:t>
            </w:r>
            <w:r>
              <w:rPr>
                <w:rStyle w:val="FootnoteReference"/>
                <w:rFonts w:ascii="Calibri Light" w:eastAsia="Times New Roman" w:hAnsi="Calibri Light" w:cs="Calibri Light"/>
                <w:color w:val="000000"/>
                <w:sz w:val="20"/>
                <w:szCs w:val="20"/>
                <w:lang w:eastAsia="en-GB"/>
              </w:rPr>
              <w:footnoteReference w:id="112"/>
            </w:r>
          </w:p>
          <w:p w14:paraId="07F3D60B" w14:textId="7EA9A765" w:rsidR="00867FDB" w:rsidRDefault="00867FDB" w:rsidP="00854ADA">
            <w:pPr>
              <w:numPr>
                <w:ilvl w:val="0"/>
                <w:numId w:val="57"/>
              </w:numPr>
              <w:spacing w:after="0" w:line="240" w:lineRule="auto"/>
              <w:contextualSpacing/>
              <w:rPr>
                <w:rFonts w:ascii="Calibri Light" w:eastAsia="Times New Roman" w:hAnsi="Calibri Light" w:cs="Calibri Light"/>
                <w:color w:val="000000"/>
                <w:sz w:val="20"/>
                <w:szCs w:val="20"/>
                <w:lang w:eastAsia="en-GB"/>
              </w:rPr>
            </w:pPr>
            <w:r w:rsidRPr="00867FDB">
              <w:rPr>
                <w:rFonts w:ascii="Calibri Light" w:eastAsia="Times New Roman" w:hAnsi="Calibri Light" w:cs="Calibri Light"/>
                <w:color w:val="000000"/>
                <w:sz w:val="20"/>
                <w:szCs w:val="20"/>
                <w:lang w:eastAsia="en-GB"/>
              </w:rPr>
              <w:t>Правилник о прорачуну удела обновљивих извора енергије</w:t>
            </w:r>
            <w:r>
              <w:rPr>
                <w:rStyle w:val="FootnoteReference"/>
                <w:rFonts w:ascii="Calibri Light" w:eastAsia="Times New Roman" w:hAnsi="Calibri Light" w:cs="Calibri Light"/>
                <w:color w:val="000000"/>
                <w:sz w:val="20"/>
                <w:szCs w:val="20"/>
                <w:lang w:eastAsia="en-GB"/>
              </w:rPr>
              <w:footnoteReference w:id="113"/>
            </w:r>
          </w:p>
          <w:p w14:paraId="069D9E42" w14:textId="375A1A34" w:rsidR="00867FDB" w:rsidRPr="00FF386D" w:rsidRDefault="00867FDB" w:rsidP="00854ADA">
            <w:pPr>
              <w:numPr>
                <w:ilvl w:val="0"/>
                <w:numId w:val="57"/>
              </w:numPr>
              <w:spacing w:after="0" w:line="240" w:lineRule="auto"/>
              <w:contextualSpacing/>
              <w:rPr>
                <w:rFonts w:ascii="Calibri Light" w:eastAsia="Times New Roman" w:hAnsi="Calibri Light" w:cs="Calibri Light"/>
                <w:color w:val="000000"/>
                <w:sz w:val="20"/>
                <w:szCs w:val="20"/>
                <w:lang w:eastAsia="en-GB"/>
              </w:rPr>
            </w:pPr>
            <w:r w:rsidRPr="00867FDB">
              <w:rPr>
                <w:rFonts w:ascii="Calibri Light" w:eastAsia="Times New Roman" w:hAnsi="Calibri Light" w:cs="Calibri Light"/>
                <w:color w:val="000000"/>
                <w:sz w:val="20"/>
                <w:szCs w:val="20"/>
                <w:lang w:eastAsia="en-GB"/>
              </w:rPr>
              <w:t>Правилник o начину прорачуна и приказивања удела свих врста извора енергије у продатој електричној енергији</w:t>
            </w:r>
            <w:r>
              <w:rPr>
                <w:rStyle w:val="FootnoteReference"/>
                <w:rFonts w:ascii="Calibri Light" w:eastAsia="Times New Roman" w:hAnsi="Calibri Light" w:cs="Calibri Light"/>
                <w:color w:val="000000"/>
                <w:sz w:val="20"/>
                <w:szCs w:val="20"/>
                <w:lang w:eastAsia="en-GB"/>
              </w:rPr>
              <w:footnoteReference w:id="114"/>
            </w:r>
          </w:p>
        </w:tc>
      </w:tr>
      <w:tr w:rsidR="00854ADA" w:rsidRPr="00FF386D" w14:paraId="651D67F4" w14:textId="77777777" w:rsidTr="0057310C">
        <w:trPr>
          <w:trHeight w:val="315"/>
        </w:trPr>
        <w:tc>
          <w:tcPr>
            <w:tcW w:w="3285" w:type="dxa"/>
            <w:tcBorders>
              <w:top w:val="nil"/>
              <w:left w:val="single" w:sz="8" w:space="0" w:color="auto"/>
              <w:bottom w:val="single" w:sz="8" w:space="0" w:color="auto"/>
              <w:right w:val="single" w:sz="8" w:space="0" w:color="auto"/>
            </w:tcBorders>
            <w:shd w:val="clear" w:color="000000" w:fill="244062"/>
            <w:vAlign w:val="center"/>
            <w:hideMark/>
          </w:tcPr>
          <w:p w14:paraId="3CDF4B6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03" w:type="dxa"/>
            <w:gridSpan w:val="3"/>
            <w:tcBorders>
              <w:top w:val="single" w:sz="8" w:space="0" w:color="auto"/>
              <w:left w:val="nil"/>
              <w:bottom w:val="single" w:sz="8" w:space="0" w:color="auto"/>
              <w:right w:val="single" w:sz="8" w:space="0" w:color="000000"/>
            </w:tcBorders>
            <w:vAlign w:val="center"/>
            <w:hideMark/>
          </w:tcPr>
          <w:p w14:paraId="5D5D734E"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0,2 милиона евра</w:t>
            </w:r>
          </w:p>
        </w:tc>
      </w:tr>
      <w:tr w:rsidR="00854ADA" w:rsidRPr="00FF386D" w14:paraId="25E1371F" w14:textId="77777777" w:rsidTr="0057310C">
        <w:trPr>
          <w:trHeight w:val="315"/>
        </w:trPr>
        <w:tc>
          <w:tcPr>
            <w:tcW w:w="3285" w:type="dxa"/>
            <w:tcBorders>
              <w:top w:val="nil"/>
              <w:left w:val="single" w:sz="8" w:space="0" w:color="auto"/>
              <w:bottom w:val="single" w:sz="8" w:space="0" w:color="auto"/>
              <w:right w:val="single" w:sz="8" w:space="0" w:color="auto"/>
            </w:tcBorders>
            <w:shd w:val="clear" w:color="000000" w:fill="244062"/>
            <w:vAlign w:val="center"/>
            <w:hideMark/>
          </w:tcPr>
          <w:p w14:paraId="3429D5B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03" w:type="dxa"/>
            <w:gridSpan w:val="3"/>
            <w:tcBorders>
              <w:top w:val="single" w:sz="8" w:space="0" w:color="auto"/>
              <w:left w:val="nil"/>
              <w:bottom w:val="single" w:sz="8" w:space="0" w:color="auto"/>
              <w:right w:val="single" w:sz="8" w:space="0" w:color="000000"/>
            </w:tcBorders>
            <w:vAlign w:val="center"/>
            <w:hideMark/>
          </w:tcPr>
          <w:p w14:paraId="43F840F8" w14:textId="77217714"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F026DB" w:rsidRPr="00FF386D">
              <w:rPr>
                <w:rFonts w:ascii="Calibri Light" w:eastAsia="Times New Roman" w:hAnsi="Calibri Light" w:cs="Calibri Light"/>
                <w:color w:val="000000"/>
                <w:sz w:val="20"/>
                <w:szCs w:val="20"/>
                <w:lang w:eastAsia="en-GB"/>
              </w:rPr>
              <w:t xml:space="preserve">ска средства </w:t>
            </w:r>
          </w:p>
        </w:tc>
      </w:tr>
    </w:tbl>
    <w:p w14:paraId="4C0C6F9C"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86"/>
        <w:gridCol w:w="1110"/>
        <w:gridCol w:w="934"/>
        <w:gridCol w:w="4158"/>
      </w:tblGrid>
      <w:tr w:rsidR="00854ADA" w:rsidRPr="00FF386D" w14:paraId="6E53802C" w14:textId="77777777" w:rsidTr="0057310C">
        <w:trPr>
          <w:trHeight w:val="780"/>
        </w:trPr>
        <w:tc>
          <w:tcPr>
            <w:tcW w:w="3286"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14229B3A" w14:textId="55D83AF1"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110" w:type="dxa"/>
            <w:tcBorders>
              <w:top w:val="single" w:sz="8" w:space="0" w:color="auto"/>
              <w:left w:val="nil"/>
              <w:bottom w:val="single" w:sz="8" w:space="0" w:color="auto"/>
              <w:right w:val="single" w:sz="8" w:space="0" w:color="auto"/>
            </w:tcBorders>
            <w:shd w:val="clear" w:color="auto" w:fill="E7E6E6" w:themeFill="background2"/>
            <w:vAlign w:val="center"/>
            <w:hideMark/>
          </w:tcPr>
          <w:p w14:paraId="0EA9B499" w14:textId="5FEE4A68"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МП_УЕ</w:t>
            </w:r>
            <w:r w:rsidR="00A3074F" w:rsidRPr="000A2AFE">
              <w:rPr>
                <w:rFonts w:ascii="Calibri Light" w:hAnsi="Calibri Light"/>
                <w:b/>
                <w:sz w:val="20"/>
              </w:rPr>
              <w:t>T</w:t>
            </w:r>
            <w:r w:rsidRPr="00FF386D">
              <w:rPr>
                <w:rFonts w:ascii="Calibri Light" w:hAnsi="Calibri Light"/>
                <w:b/>
                <w:sz w:val="20"/>
              </w:rPr>
              <w:t>18</w:t>
            </w:r>
          </w:p>
        </w:tc>
        <w:tc>
          <w:tcPr>
            <w:tcW w:w="934" w:type="dxa"/>
            <w:tcBorders>
              <w:top w:val="single" w:sz="8" w:space="0" w:color="auto"/>
              <w:left w:val="nil"/>
              <w:bottom w:val="single" w:sz="8" w:space="0" w:color="auto"/>
              <w:right w:val="single" w:sz="8" w:space="0" w:color="auto"/>
            </w:tcBorders>
            <w:shd w:val="clear" w:color="auto" w:fill="244062"/>
            <w:vAlign w:val="center"/>
            <w:hideMark/>
          </w:tcPr>
          <w:p w14:paraId="1F8211B9"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58" w:type="dxa"/>
            <w:tcBorders>
              <w:top w:val="single" w:sz="8" w:space="0" w:color="auto"/>
              <w:left w:val="nil"/>
              <w:bottom w:val="single" w:sz="8" w:space="0" w:color="auto"/>
              <w:right w:val="single" w:sz="8" w:space="0" w:color="auto"/>
            </w:tcBorders>
            <w:shd w:val="clear" w:color="auto" w:fill="E7E6E6" w:themeFill="background2"/>
            <w:vAlign w:val="center"/>
            <w:hideMark/>
          </w:tcPr>
          <w:p w14:paraId="5BEEAC43" w14:textId="538B8623"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 xml:space="preserve">Развој регулаторног оквира за рад „складишта електричне енергије” (члан 169. у складу са </w:t>
            </w:r>
            <w:r w:rsidR="00F026DB" w:rsidRPr="00FF386D">
              <w:rPr>
                <w:rFonts w:ascii="Calibri Light" w:hAnsi="Calibri Light"/>
                <w:b/>
                <w:sz w:val="20"/>
              </w:rPr>
              <w:t>и</w:t>
            </w:r>
            <w:r w:rsidRPr="00FF386D">
              <w:rPr>
                <w:rFonts w:ascii="Calibri Light" w:hAnsi="Calibri Light"/>
                <w:b/>
                <w:sz w:val="20"/>
              </w:rPr>
              <w:t>зменама и допунама Закона о енергетици)</w:t>
            </w:r>
          </w:p>
        </w:tc>
      </w:tr>
      <w:tr w:rsidR="00854ADA" w:rsidRPr="00FF386D" w14:paraId="0F28B2F4" w14:textId="77777777" w:rsidTr="0057310C">
        <w:trPr>
          <w:trHeight w:val="960"/>
        </w:trPr>
        <w:tc>
          <w:tcPr>
            <w:tcW w:w="3286" w:type="dxa"/>
            <w:tcBorders>
              <w:top w:val="nil"/>
              <w:left w:val="single" w:sz="8" w:space="0" w:color="auto"/>
              <w:bottom w:val="single" w:sz="8" w:space="0" w:color="auto"/>
              <w:right w:val="nil"/>
            </w:tcBorders>
            <w:shd w:val="clear" w:color="000000" w:fill="244062"/>
            <w:vAlign w:val="center"/>
            <w:hideMark/>
          </w:tcPr>
          <w:p w14:paraId="1468FF2A" w14:textId="635A0ABD"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02" w:type="dxa"/>
            <w:gridSpan w:val="3"/>
            <w:tcBorders>
              <w:top w:val="single" w:sz="8" w:space="0" w:color="auto"/>
              <w:left w:val="nil"/>
              <w:bottom w:val="single" w:sz="8" w:space="0" w:color="auto"/>
              <w:right w:val="single" w:sz="8" w:space="0" w:color="000000"/>
            </w:tcBorders>
            <w:vAlign w:val="center"/>
          </w:tcPr>
          <w:p w14:paraId="1B11A662" w14:textId="54C5A974" w:rsidR="00854ADA" w:rsidRPr="00FF386D" w:rsidRDefault="008862E9"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Theme="majorHAnsi" w:eastAsia="Times New Roman" w:hAnsiTheme="majorHAnsi" w:cstheme="majorHAnsi"/>
                <w:color w:val="000000"/>
                <w:sz w:val="20"/>
                <w:szCs w:val="20"/>
                <w:lang w:eastAsia="en-GB"/>
              </w:rPr>
              <w:t>Повећана флексибилност система и квалитет снабдевања електричном енергијом, посебно применом политика и мера које се односе на формирање цена заснованих на тржишту у складу са важећим законом; интеграција и спајање тржишта с циљем да се повећају капацитети</w:t>
            </w:r>
            <w:r w:rsidR="001D36D0" w:rsidRPr="001D36D0">
              <w:rPr>
                <w:rFonts w:asciiTheme="majorHAnsi" w:eastAsia="Times New Roman" w:hAnsiTheme="majorHAnsi" w:cstheme="majorHAnsi"/>
                <w:color w:val="000000"/>
                <w:sz w:val="20"/>
                <w:szCs w:val="20"/>
                <w:lang w:eastAsia="en-GB"/>
              </w:rPr>
              <w:t xml:space="preserve"> за трговање</w:t>
            </w:r>
            <w:r w:rsidRPr="00FF386D">
              <w:rPr>
                <w:rFonts w:asciiTheme="majorHAnsi" w:eastAsia="Times New Roman" w:hAnsiTheme="majorHAnsi" w:cstheme="majorHAnsi"/>
                <w:color w:val="000000"/>
                <w:sz w:val="20"/>
                <w:szCs w:val="20"/>
                <w:lang w:eastAsia="en-GB"/>
              </w:rPr>
              <w:t xml:space="preserve"> постојећих интерконектора, паметних мрежа, агрегације, </w:t>
            </w:r>
            <w:r w:rsidR="001D36D0" w:rsidRPr="001D36D0">
              <w:rPr>
                <w:rFonts w:asciiTheme="majorHAnsi" w:eastAsia="Times New Roman" w:hAnsiTheme="majorHAnsi" w:cstheme="majorHAnsi"/>
                <w:color w:val="000000"/>
                <w:sz w:val="20"/>
                <w:szCs w:val="20"/>
                <w:lang w:eastAsia="en-GB"/>
              </w:rPr>
              <w:t>одзив</w:t>
            </w:r>
            <w:r w:rsidR="001D36D0">
              <w:rPr>
                <w:rFonts w:asciiTheme="majorHAnsi" w:eastAsia="Times New Roman" w:hAnsiTheme="majorHAnsi" w:cstheme="majorHAnsi"/>
                <w:color w:val="000000"/>
                <w:sz w:val="20"/>
                <w:szCs w:val="20"/>
                <w:lang w:eastAsia="en-GB"/>
              </w:rPr>
              <w:t>а</w:t>
            </w:r>
            <w:r w:rsidR="001D36D0" w:rsidRPr="001D36D0">
              <w:rPr>
                <w:rFonts w:asciiTheme="majorHAnsi" w:eastAsia="Times New Roman" w:hAnsiTheme="majorHAnsi" w:cstheme="majorHAnsi"/>
                <w:color w:val="000000"/>
                <w:sz w:val="20"/>
                <w:szCs w:val="20"/>
                <w:lang w:eastAsia="en-GB"/>
              </w:rPr>
              <w:t xml:space="preserve"> потрошње</w:t>
            </w:r>
            <w:r w:rsidRPr="00FF386D">
              <w:rPr>
                <w:rFonts w:asciiTheme="majorHAnsi" w:eastAsia="Times New Roman" w:hAnsiTheme="majorHAnsi" w:cstheme="majorHAnsi"/>
                <w:color w:val="000000"/>
                <w:sz w:val="20"/>
                <w:szCs w:val="20"/>
                <w:lang w:eastAsia="en-GB"/>
              </w:rPr>
              <w:t>, складиштења, дистрибуиране производње, механизама за диспеч</w:t>
            </w:r>
            <w:r w:rsidR="00566886">
              <w:rPr>
                <w:rFonts w:asciiTheme="majorHAnsi" w:eastAsia="Times New Roman" w:hAnsiTheme="majorHAnsi" w:cstheme="majorHAnsi"/>
                <w:color w:val="000000"/>
                <w:sz w:val="20"/>
                <w:szCs w:val="20"/>
                <w:lang w:eastAsia="en-GB"/>
              </w:rPr>
              <w:t>инг</w:t>
            </w:r>
            <w:r w:rsidRPr="00FF386D">
              <w:rPr>
                <w:rFonts w:asciiTheme="majorHAnsi" w:eastAsia="Times New Roman" w:hAnsiTheme="majorHAnsi" w:cstheme="majorHAnsi"/>
                <w:color w:val="000000"/>
                <w:sz w:val="20"/>
                <w:szCs w:val="20"/>
                <w:lang w:eastAsia="en-GB"/>
              </w:rPr>
              <w:t>, редиспеч</w:t>
            </w:r>
            <w:r w:rsidR="00566886">
              <w:rPr>
                <w:rFonts w:asciiTheme="majorHAnsi" w:eastAsia="Times New Roman" w:hAnsiTheme="majorHAnsi" w:cstheme="majorHAnsi"/>
                <w:color w:val="000000"/>
                <w:sz w:val="20"/>
                <w:szCs w:val="20"/>
                <w:lang w:eastAsia="en-GB"/>
              </w:rPr>
              <w:t>инг</w:t>
            </w:r>
            <w:r w:rsidRPr="00FF386D">
              <w:rPr>
                <w:rFonts w:asciiTheme="majorHAnsi" w:eastAsia="Times New Roman" w:hAnsiTheme="majorHAnsi" w:cstheme="majorHAnsi"/>
                <w:color w:val="000000"/>
                <w:sz w:val="20"/>
                <w:szCs w:val="20"/>
                <w:lang w:eastAsia="en-GB"/>
              </w:rPr>
              <w:t xml:space="preserve"> и ограничавања производње, као и ценовних сигнала у реалном времену.</w:t>
            </w:r>
          </w:p>
        </w:tc>
      </w:tr>
      <w:tr w:rsidR="00854ADA" w:rsidRPr="00FF386D" w14:paraId="22402610"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2765FAB5" w14:textId="105AD0AD"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02" w:type="dxa"/>
            <w:gridSpan w:val="3"/>
            <w:tcBorders>
              <w:top w:val="single" w:sz="8" w:space="0" w:color="auto"/>
              <w:left w:val="nil"/>
              <w:bottom w:val="single" w:sz="8" w:space="0" w:color="auto"/>
              <w:right w:val="single" w:sz="8" w:space="0" w:color="000000"/>
            </w:tcBorders>
            <w:vAlign w:val="center"/>
          </w:tcPr>
          <w:p w14:paraId="0E4FB0D9" w14:textId="5802BF0D" w:rsidR="00854ADA" w:rsidRPr="000A2AFE" w:rsidRDefault="00854ADA" w:rsidP="00854ADA">
            <w:pPr>
              <w:spacing w:after="0" w:line="240" w:lineRule="auto"/>
              <w:jc w:val="both"/>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 xml:space="preserve">Индикатори повећаног квалитета снабдевања, примена паметних мрежа, агрегација, услуга као одзив потрошње, </w:t>
            </w:r>
            <w:r w:rsidR="008C725F" w:rsidRPr="00FF386D">
              <w:rPr>
                <w:rFonts w:asciiTheme="majorHAnsi" w:eastAsia="Times New Roman" w:hAnsiTheme="majorHAnsi" w:cstheme="majorHAnsi"/>
                <w:color w:val="000000"/>
                <w:sz w:val="20"/>
                <w:szCs w:val="20"/>
                <w:lang w:eastAsia="en-GB"/>
              </w:rPr>
              <w:t>складиштење</w:t>
            </w:r>
            <w:r w:rsidRPr="00FF386D">
              <w:rPr>
                <w:rFonts w:asciiTheme="majorHAnsi" w:eastAsia="Times New Roman" w:hAnsiTheme="majorHAnsi" w:cstheme="majorHAnsi"/>
                <w:color w:val="000000"/>
                <w:sz w:val="20"/>
                <w:szCs w:val="20"/>
                <w:lang w:eastAsia="en-GB"/>
              </w:rPr>
              <w:t xml:space="preserve"> и дистрибуирана производња.</w:t>
            </w:r>
            <w:r w:rsidR="00A3074F" w:rsidRPr="000A2AFE">
              <w:rPr>
                <w:rFonts w:asciiTheme="majorHAnsi" w:eastAsia="Times New Roman" w:hAnsiTheme="majorHAnsi" w:cstheme="majorHAnsi"/>
                <w:color w:val="000000"/>
                <w:sz w:val="20"/>
                <w:szCs w:val="20"/>
                <w:lang w:eastAsia="en-GB"/>
              </w:rPr>
              <w:t xml:space="preserve"> </w:t>
            </w:r>
          </w:p>
        </w:tc>
      </w:tr>
      <w:tr w:rsidR="00854ADA" w:rsidRPr="00FF386D" w14:paraId="2B175710" w14:textId="77777777" w:rsidTr="0057310C">
        <w:trPr>
          <w:trHeight w:val="443"/>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1200F44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02" w:type="dxa"/>
            <w:gridSpan w:val="3"/>
            <w:tcBorders>
              <w:top w:val="single" w:sz="8" w:space="0" w:color="auto"/>
              <w:left w:val="nil"/>
              <w:bottom w:val="single" w:sz="8" w:space="0" w:color="auto"/>
              <w:right w:val="single" w:sz="8" w:space="0" w:color="000000"/>
            </w:tcBorders>
            <w:vAlign w:val="center"/>
            <w:hideMark/>
          </w:tcPr>
          <w:p w14:paraId="49A71D2E" w14:textId="0D43FE1C"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МП_УЕ</w:t>
            </w:r>
            <w:r w:rsidR="00A3074F" w:rsidRPr="000A2AFE">
              <w:rPr>
                <w:rFonts w:ascii="Calibri Light" w:hAnsi="Calibri Light"/>
                <w:sz w:val="20"/>
              </w:rPr>
              <w:t>T</w:t>
            </w:r>
            <w:r w:rsidRPr="00FF386D">
              <w:rPr>
                <w:rFonts w:ascii="Calibri Light" w:hAnsi="Calibri Light"/>
                <w:sz w:val="20"/>
              </w:rPr>
              <w:t xml:space="preserve">18 посматра регулаторни оквир складиштења електричне енергије у целини. Европски Пакет за чисту енергију, </w:t>
            </w:r>
            <w:r w:rsidR="00A3074F" w:rsidRPr="00FF386D">
              <w:rPr>
                <w:rFonts w:ascii="Calibri Light" w:hAnsi="Calibri Light"/>
                <w:sz w:val="20"/>
              </w:rPr>
              <w:t xml:space="preserve">који је </w:t>
            </w:r>
            <w:r w:rsidRPr="00FF386D">
              <w:rPr>
                <w:rFonts w:ascii="Calibri Light" w:hAnsi="Calibri Light"/>
                <w:sz w:val="20"/>
              </w:rPr>
              <w:t xml:space="preserve">одобрен у мају 2019, </w:t>
            </w:r>
            <w:r w:rsidR="00A3074F" w:rsidRPr="00FF386D">
              <w:rPr>
                <w:rFonts w:ascii="Calibri Light" w:hAnsi="Calibri Light"/>
                <w:sz w:val="20"/>
              </w:rPr>
              <w:t xml:space="preserve">и </w:t>
            </w:r>
            <w:r w:rsidRPr="00FF386D">
              <w:rPr>
                <w:rFonts w:ascii="Calibri Light" w:hAnsi="Calibri Light"/>
                <w:sz w:val="20"/>
              </w:rPr>
              <w:t xml:space="preserve">тек треба да буде уведен у национално законодавство, дозвољава операторима преноса и дистрибуције да тек под изузетним околностима </w:t>
            </w:r>
            <w:r w:rsidR="00F217B1" w:rsidRPr="00FF386D">
              <w:rPr>
                <w:rFonts w:ascii="Calibri Light" w:hAnsi="Calibri Light"/>
                <w:sz w:val="20"/>
              </w:rPr>
              <w:t>поседују</w:t>
            </w:r>
            <w:r w:rsidRPr="00FF386D">
              <w:rPr>
                <w:rFonts w:ascii="Calibri Light" w:hAnsi="Calibri Light"/>
                <w:sz w:val="20"/>
              </w:rPr>
              <w:t xml:space="preserve"> складиште и управљају њиме. Складишта електричне енергије могу пружати услуге електричним мрежама, укључујући одлагање преноса и дистрибуције, заједно са флексибилношћу и енергетским услугама и услугама у погледу капацитета на балансним тржиштима</w:t>
            </w:r>
          </w:p>
        </w:tc>
      </w:tr>
      <w:tr w:rsidR="00854ADA" w:rsidRPr="00FF386D" w14:paraId="1D73A354"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3973C32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02" w:type="dxa"/>
            <w:gridSpan w:val="3"/>
            <w:tcBorders>
              <w:top w:val="single" w:sz="8" w:space="0" w:color="auto"/>
              <w:left w:val="nil"/>
              <w:bottom w:val="single" w:sz="8" w:space="0" w:color="auto"/>
              <w:right w:val="single" w:sz="8" w:space="0" w:color="000000"/>
            </w:tcBorders>
            <w:vAlign w:val="center"/>
            <w:hideMark/>
          </w:tcPr>
          <w:p w14:paraId="291172F3"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2021-2030.</w:t>
            </w:r>
          </w:p>
        </w:tc>
      </w:tr>
      <w:tr w:rsidR="00854ADA" w:rsidRPr="00FF386D" w14:paraId="5943F510"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784D993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02" w:type="dxa"/>
            <w:gridSpan w:val="3"/>
            <w:tcBorders>
              <w:top w:val="single" w:sz="8" w:space="0" w:color="auto"/>
              <w:left w:val="nil"/>
              <w:bottom w:val="single" w:sz="8" w:space="0" w:color="auto"/>
              <w:right w:val="single" w:sz="8" w:space="0" w:color="000000"/>
            </w:tcBorders>
            <w:vAlign w:val="center"/>
            <w:hideMark/>
          </w:tcPr>
          <w:p w14:paraId="53FAD82C"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Реформа</w:t>
            </w:r>
          </w:p>
        </w:tc>
      </w:tr>
      <w:tr w:rsidR="00854ADA" w:rsidRPr="00FF386D" w14:paraId="2ECDA323"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1F1D41E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02" w:type="dxa"/>
            <w:gridSpan w:val="3"/>
            <w:tcBorders>
              <w:top w:val="single" w:sz="8" w:space="0" w:color="auto"/>
              <w:left w:val="nil"/>
              <w:bottom w:val="single" w:sz="8" w:space="0" w:color="auto"/>
              <w:right w:val="single" w:sz="8" w:space="0" w:color="000000"/>
            </w:tcBorders>
            <w:vAlign w:val="center"/>
            <w:hideMark/>
          </w:tcPr>
          <w:p w14:paraId="4076F624"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Стамбени, јавни, комерцијални, индустријски</w:t>
            </w:r>
          </w:p>
        </w:tc>
      </w:tr>
      <w:tr w:rsidR="00854ADA" w:rsidRPr="00FF386D" w14:paraId="12CFA24E"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21F84A5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02" w:type="dxa"/>
            <w:gridSpan w:val="3"/>
            <w:tcBorders>
              <w:top w:val="single" w:sz="8" w:space="0" w:color="auto"/>
              <w:left w:val="nil"/>
              <w:bottom w:val="single" w:sz="8" w:space="0" w:color="auto"/>
              <w:right w:val="single" w:sz="8" w:space="0" w:color="000000"/>
            </w:tcBorders>
            <w:vAlign w:val="center"/>
            <w:hideMark/>
          </w:tcPr>
          <w:p w14:paraId="4D47954F" w14:textId="50948C60" w:rsidR="00854ADA" w:rsidRPr="00FF386D" w:rsidRDefault="00854ADA" w:rsidP="00854ADA">
            <w:pPr>
              <w:numPr>
                <w:ilvl w:val="0"/>
                <w:numId w:val="61"/>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Влада</w:t>
            </w:r>
            <w:r w:rsidR="00867FDB">
              <w:rPr>
                <w:rFonts w:ascii="Calibri Light" w:hAnsi="Calibri Light"/>
                <w:sz w:val="20"/>
              </w:rPr>
              <w:t xml:space="preserve"> Републике Србије</w:t>
            </w:r>
          </w:p>
          <w:p w14:paraId="4E37E505" w14:textId="77777777" w:rsidR="00854ADA" w:rsidRPr="00FF386D" w:rsidRDefault="00854ADA" w:rsidP="00854ADA">
            <w:pPr>
              <w:numPr>
                <w:ilvl w:val="0"/>
                <w:numId w:val="61"/>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Министарство рударства и енергетике</w:t>
            </w:r>
          </w:p>
          <w:p w14:paraId="5159CB2E" w14:textId="77777777" w:rsidR="00854ADA" w:rsidRPr="00FF386D" w:rsidRDefault="00854ADA" w:rsidP="00854ADA">
            <w:pPr>
              <w:numPr>
                <w:ilvl w:val="0"/>
                <w:numId w:val="61"/>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ЕМС</w:t>
            </w:r>
          </w:p>
          <w:p w14:paraId="7CD47FCB" w14:textId="1B16A58A" w:rsidR="00854ADA" w:rsidRPr="00FF386D" w:rsidRDefault="00854ADA" w:rsidP="00854ADA">
            <w:pPr>
              <w:numPr>
                <w:ilvl w:val="0"/>
                <w:numId w:val="61"/>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Оператер дистрибутивног система</w:t>
            </w:r>
            <w:r w:rsidR="00F026DB" w:rsidRPr="00FF386D">
              <w:rPr>
                <w:rFonts w:ascii="Calibri Light" w:hAnsi="Calibri Light"/>
                <w:sz w:val="20"/>
              </w:rPr>
              <w:t xml:space="preserve"> ЕДС</w:t>
            </w:r>
          </w:p>
          <w:p w14:paraId="7F379803" w14:textId="77777777" w:rsidR="00854ADA" w:rsidRPr="00FF386D" w:rsidRDefault="00854ADA" w:rsidP="00854ADA">
            <w:pPr>
              <w:numPr>
                <w:ilvl w:val="0"/>
                <w:numId w:val="61"/>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ЕПС</w:t>
            </w:r>
          </w:p>
        </w:tc>
      </w:tr>
      <w:tr w:rsidR="00854ADA" w:rsidRPr="00FF386D" w14:paraId="075FFDA1" w14:textId="77777777" w:rsidTr="0057310C">
        <w:trPr>
          <w:trHeight w:val="315"/>
        </w:trPr>
        <w:tc>
          <w:tcPr>
            <w:tcW w:w="3286" w:type="dxa"/>
            <w:tcBorders>
              <w:top w:val="nil"/>
              <w:left w:val="single" w:sz="8" w:space="0" w:color="auto"/>
              <w:bottom w:val="single" w:sz="8" w:space="0" w:color="auto"/>
              <w:right w:val="nil"/>
            </w:tcBorders>
            <w:shd w:val="clear" w:color="000000" w:fill="244062"/>
            <w:vAlign w:val="center"/>
            <w:hideMark/>
          </w:tcPr>
          <w:p w14:paraId="42923D8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02" w:type="dxa"/>
            <w:gridSpan w:val="3"/>
            <w:tcBorders>
              <w:top w:val="single" w:sz="8" w:space="0" w:color="auto"/>
              <w:left w:val="nil"/>
              <w:bottom w:val="single" w:sz="8" w:space="0" w:color="auto"/>
              <w:right w:val="single" w:sz="8" w:space="0" w:color="000000"/>
            </w:tcBorders>
            <w:vAlign w:val="center"/>
            <w:hideMark/>
          </w:tcPr>
          <w:p w14:paraId="7F4EA6C0" w14:textId="3E029CEF" w:rsidR="00854ADA" w:rsidRPr="00FF386D" w:rsidRDefault="00867FDB" w:rsidP="00854ADA">
            <w:pPr>
              <w:numPr>
                <w:ilvl w:val="0"/>
                <w:numId w:val="61"/>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Министарство рударства и енергетике</w:t>
            </w:r>
            <w:r w:rsidRPr="00FF386D" w:rsidDel="00867FDB">
              <w:rPr>
                <w:rFonts w:ascii="Calibri Light" w:eastAsia="Times New Roman" w:hAnsi="Calibri Light" w:cs="Calibri Light"/>
                <w:color w:val="000000"/>
                <w:sz w:val="20"/>
                <w:szCs w:val="20"/>
                <w:lang w:eastAsia="en-GB"/>
              </w:rPr>
              <w:t xml:space="preserve"> </w:t>
            </w:r>
          </w:p>
        </w:tc>
      </w:tr>
      <w:tr w:rsidR="00854ADA" w:rsidRPr="00FF386D" w14:paraId="04314CD6" w14:textId="77777777" w:rsidTr="0057310C">
        <w:trPr>
          <w:trHeight w:val="315"/>
        </w:trPr>
        <w:tc>
          <w:tcPr>
            <w:tcW w:w="3286" w:type="dxa"/>
            <w:tcBorders>
              <w:top w:val="nil"/>
              <w:left w:val="single" w:sz="8" w:space="0" w:color="auto"/>
              <w:bottom w:val="single" w:sz="8" w:space="0" w:color="auto"/>
              <w:right w:val="nil"/>
            </w:tcBorders>
            <w:shd w:val="clear" w:color="000000" w:fill="244062"/>
            <w:vAlign w:val="center"/>
            <w:hideMark/>
          </w:tcPr>
          <w:p w14:paraId="0891AFE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02" w:type="dxa"/>
            <w:gridSpan w:val="3"/>
            <w:tcBorders>
              <w:top w:val="single" w:sz="8" w:space="0" w:color="auto"/>
              <w:left w:val="nil"/>
              <w:bottom w:val="single" w:sz="8" w:space="0" w:color="auto"/>
              <w:right w:val="single" w:sz="8" w:space="0" w:color="000000"/>
            </w:tcBorders>
            <w:vAlign w:val="center"/>
            <w:hideMark/>
          </w:tcPr>
          <w:p w14:paraId="5816F7E7"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Капацитет складиштења (MWh) додат на преносне и дистрибутивне мреже, као и иза бројила</w:t>
            </w:r>
          </w:p>
        </w:tc>
      </w:tr>
      <w:tr w:rsidR="00854ADA" w:rsidRPr="00FF386D" w14:paraId="446DD007" w14:textId="77777777" w:rsidTr="0057310C">
        <w:trPr>
          <w:trHeight w:val="482"/>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725D612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Обухваћене релевантне димензије Енергетске уније</w:t>
            </w:r>
          </w:p>
        </w:tc>
        <w:tc>
          <w:tcPr>
            <w:tcW w:w="6202" w:type="dxa"/>
            <w:gridSpan w:val="3"/>
            <w:tcBorders>
              <w:top w:val="single" w:sz="8" w:space="0" w:color="auto"/>
              <w:left w:val="nil"/>
              <w:bottom w:val="single" w:sz="8" w:space="0" w:color="auto"/>
              <w:right w:val="single" w:sz="8" w:space="0" w:color="000000"/>
            </w:tcBorders>
            <w:vAlign w:val="center"/>
            <w:hideMark/>
          </w:tcPr>
          <w:p w14:paraId="15436068" w14:textId="77777777" w:rsidR="00854ADA" w:rsidRPr="000A2AFE" w:rsidRDefault="00854ADA" w:rsidP="00854ADA">
            <w:pPr>
              <w:numPr>
                <w:ilvl w:val="0"/>
                <w:numId w:val="61"/>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Енергетска </w:t>
            </w:r>
            <w:r w:rsidRPr="00FF386D">
              <w:rPr>
                <w:rFonts w:ascii="Calibri Light" w:hAnsi="Calibri Light"/>
                <w:color w:val="000000"/>
                <w:sz w:val="20"/>
              </w:rPr>
              <w:t>сигурност</w:t>
            </w:r>
          </w:p>
          <w:p w14:paraId="1DD6A817" w14:textId="77777777" w:rsidR="00566886" w:rsidRPr="000A2AFE" w:rsidRDefault="00566886" w:rsidP="00566886">
            <w:pPr>
              <w:numPr>
                <w:ilvl w:val="0"/>
                <w:numId w:val="61"/>
              </w:numPr>
              <w:spacing w:after="0" w:line="240" w:lineRule="auto"/>
              <w:contextualSpacing/>
              <w:jc w:val="both"/>
              <w:rPr>
                <w:rFonts w:ascii="Calibri Light" w:eastAsia="Times New Roman" w:hAnsi="Calibri Light" w:cs="Calibri Light"/>
                <w:color w:val="000000"/>
                <w:sz w:val="20"/>
                <w:szCs w:val="20"/>
                <w:lang w:eastAsia="en-GB"/>
              </w:rPr>
            </w:pPr>
            <w:r>
              <w:rPr>
                <w:rFonts w:ascii="Calibri Light" w:hAnsi="Calibri Light"/>
                <w:color w:val="000000"/>
                <w:sz w:val="20"/>
              </w:rPr>
              <w:t>Декарбонизација</w:t>
            </w:r>
          </w:p>
          <w:p w14:paraId="03649326" w14:textId="5B04EBFB" w:rsidR="00566886" w:rsidRPr="00566886" w:rsidRDefault="00566886" w:rsidP="00566886">
            <w:pPr>
              <w:numPr>
                <w:ilvl w:val="0"/>
                <w:numId w:val="61"/>
              </w:numPr>
              <w:spacing w:after="0" w:line="240" w:lineRule="auto"/>
              <w:contextualSpacing/>
              <w:jc w:val="both"/>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Енергетска ефикасност</w:t>
            </w:r>
          </w:p>
        </w:tc>
      </w:tr>
      <w:tr w:rsidR="00854ADA" w:rsidRPr="00FF386D" w14:paraId="1DF5C4BA" w14:textId="77777777" w:rsidTr="0057310C">
        <w:trPr>
          <w:trHeight w:val="450"/>
        </w:trPr>
        <w:tc>
          <w:tcPr>
            <w:tcW w:w="3286"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43D2715D" w14:textId="4BF8CAEE"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02"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B53C7EF" w14:textId="77777777" w:rsidR="00854ADA" w:rsidRPr="000A2AFE" w:rsidRDefault="00854ADA" w:rsidP="00854ADA">
            <w:pPr>
              <w:numPr>
                <w:ilvl w:val="0"/>
                <w:numId w:val="18"/>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Директива </w:t>
            </w:r>
            <w:r w:rsidRPr="000A2AFE">
              <w:rPr>
                <w:rFonts w:ascii="Calibri Light" w:eastAsia="Times New Roman" w:hAnsi="Calibri Light" w:cs="Calibri Light"/>
                <w:color w:val="000000"/>
                <w:sz w:val="20"/>
                <w:szCs w:val="20"/>
                <w:lang w:eastAsia="en-GB"/>
              </w:rPr>
              <w:t>2009/72/EЗ</w:t>
            </w:r>
          </w:p>
          <w:p w14:paraId="582A2325" w14:textId="77777777" w:rsidR="00854ADA" w:rsidRPr="000A2AFE" w:rsidRDefault="00854ADA" w:rsidP="00854ADA">
            <w:pPr>
              <w:numPr>
                <w:ilvl w:val="0"/>
                <w:numId w:val="18"/>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Директива </w:t>
            </w:r>
            <w:r w:rsidRPr="000A2AFE">
              <w:rPr>
                <w:rFonts w:ascii="Calibri Light" w:eastAsia="Times New Roman" w:hAnsi="Calibri Light" w:cs="Calibri Light"/>
                <w:color w:val="000000"/>
                <w:sz w:val="20"/>
                <w:szCs w:val="20"/>
                <w:lang w:eastAsia="en-GB"/>
              </w:rPr>
              <w:t>(ЕУ) 2019/944</w:t>
            </w:r>
          </w:p>
          <w:p w14:paraId="63931E14" w14:textId="77777777" w:rsidR="00854ADA" w:rsidRPr="00FF386D" w:rsidRDefault="00854ADA" w:rsidP="00854ADA">
            <w:pPr>
              <w:numPr>
                <w:ilvl w:val="0"/>
                <w:numId w:val="6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Уредба </w:t>
            </w:r>
            <w:r w:rsidRPr="000A2AFE">
              <w:rPr>
                <w:rFonts w:ascii="Calibri Light" w:eastAsia="Times New Roman" w:hAnsi="Calibri Light" w:cs="Calibri Light"/>
                <w:color w:val="000000"/>
                <w:sz w:val="20"/>
                <w:szCs w:val="20"/>
                <w:lang w:eastAsia="en-GB"/>
              </w:rPr>
              <w:t>(ЕУ) 2019/943</w:t>
            </w:r>
          </w:p>
        </w:tc>
      </w:tr>
      <w:tr w:rsidR="00854ADA" w:rsidRPr="00FF386D" w14:paraId="27E38E56"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7888D6C7"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02" w:type="dxa"/>
            <w:gridSpan w:val="3"/>
            <w:vMerge/>
            <w:tcBorders>
              <w:top w:val="single" w:sz="8" w:space="0" w:color="auto"/>
              <w:left w:val="single" w:sz="8" w:space="0" w:color="auto"/>
              <w:bottom w:val="single" w:sz="8" w:space="0" w:color="000000"/>
              <w:right w:val="single" w:sz="8" w:space="0" w:color="000000"/>
            </w:tcBorders>
            <w:vAlign w:val="center"/>
            <w:hideMark/>
          </w:tcPr>
          <w:p w14:paraId="34A48DE0"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2033ED78"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5FD8496A"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02" w:type="dxa"/>
            <w:gridSpan w:val="3"/>
            <w:vMerge/>
            <w:tcBorders>
              <w:top w:val="single" w:sz="8" w:space="0" w:color="auto"/>
              <w:left w:val="single" w:sz="8" w:space="0" w:color="auto"/>
              <w:bottom w:val="single" w:sz="8" w:space="0" w:color="000000"/>
              <w:right w:val="single" w:sz="8" w:space="0" w:color="000000"/>
            </w:tcBorders>
            <w:vAlign w:val="center"/>
            <w:hideMark/>
          </w:tcPr>
          <w:p w14:paraId="07854EFD"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47629484" w14:textId="77777777" w:rsidTr="0057310C">
        <w:trPr>
          <w:trHeight w:val="548"/>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0329D8D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02" w:type="dxa"/>
            <w:gridSpan w:val="3"/>
            <w:tcBorders>
              <w:top w:val="single" w:sz="8" w:space="0" w:color="auto"/>
              <w:left w:val="nil"/>
              <w:bottom w:val="single" w:sz="8" w:space="0" w:color="auto"/>
              <w:right w:val="single" w:sz="8" w:space="0" w:color="000000"/>
            </w:tcBorders>
            <w:vAlign w:val="center"/>
            <w:hideMark/>
          </w:tcPr>
          <w:p w14:paraId="77710F3D" w14:textId="77777777" w:rsidR="00854ADA" w:rsidRPr="00FF386D" w:rsidRDefault="00854ADA" w:rsidP="00854ADA">
            <w:pPr>
              <w:numPr>
                <w:ilvl w:val="0"/>
                <w:numId w:val="62"/>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енергетици</w:t>
            </w:r>
          </w:p>
        </w:tc>
      </w:tr>
      <w:tr w:rsidR="00854ADA" w:rsidRPr="00FF386D" w14:paraId="201EED26"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2BE8786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02" w:type="dxa"/>
            <w:gridSpan w:val="3"/>
            <w:tcBorders>
              <w:top w:val="single" w:sz="8" w:space="0" w:color="auto"/>
              <w:left w:val="nil"/>
              <w:bottom w:val="single" w:sz="8" w:space="0" w:color="auto"/>
              <w:right w:val="single" w:sz="8" w:space="0" w:color="000000"/>
            </w:tcBorders>
            <w:vAlign w:val="center"/>
            <w:hideMark/>
          </w:tcPr>
          <w:p w14:paraId="105ECE59"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0,2 милиона евра</w:t>
            </w:r>
          </w:p>
        </w:tc>
      </w:tr>
      <w:tr w:rsidR="00854ADA" w:rsidRPr="00FF386D" w14:paraId="0C4E16BD"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5D7C82D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02" w:type="dxa"/>
            <w:gridSpan w:val="3"/>
            <w:tcBorders>
              <w:top w:val="single" w:sz="8" w:space="0" w:color="auto"/>
              <w:left w:val="nil"/>
              <w:bottom w:val="single" w:sz="8" w:space="0" w:color="auto"/>
              <w:right w:val="single" w:sz="8" w:space="0" w:color="000000"/>
            </w:tcBorders>
            <w:vAlign w:val="center"/>
            <w:hideMark/>
          </w:tcPr>
          <w:p w14:paraId="0CB4B9F1" w14:textId="5E73F2AE"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F026DB" w:rsidRPr="00FF386D">
              <w:rPr>
                <w:rFonts w:ascii="Calibri Light" w:eastAsia="Times New Roman" w:hAnsi="Calibri Light" w:cs="Calibri Light"/>
                <w:color w:val="000000"/>
                <w:sz w:val="20"/>
                <w:szCs w:val="20"/>
                <w:lang w:eastAsia="en-GB"/>
              </w:rPr>
              <w:t>ска средства</w:t>
            </w:r>
          </w:p>
        </w:tc>
      </w:tr>
    </w:tbl>
    <w:p w14:paraId="2ACB0F60"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86"/>
        <w:gridCol w:w="1110"/>
        <w:gridCol w:w="934"/>
        <w:gridCol w:w="4158"/>
      </w:tblGrid>
      <w:tr w:rsidR="00854ADA" w:rsidRPr="00FF386D" w14:paraId="310DB160" w14:textId="77777777" w:rsidTr="0057310C">
        <w:trPr>
          <w:trHeight w:val="780"/>
        </w:trPr>
        <w:tc>
          <w:tcPr>
            <w:tcW w:w="3286"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4B19B0FD" w14:textId="0704326D"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110" w:type="dxa"/>
            <w:tcBorders>
              <w:top w:val="single" w:sz="8" w:space="0" w:color="auto"/>
              <w:left w:val="nil"/>
              <w:bottom w:val="single" w:sz="8" w:space="0" w:color="auto"/>
              <w:right w:val="single" w:sz="8" w:space="0" w:color="auto"/>
            </w:tcBorders>
            <w:shd w:val="clear" w:color="auto" w:fill="E7E6E6" w:themeFill="background2"/>
            <w:vAlign w:val="center"/>
            <w:hideMark/>
          </w:tcPr>
          <w:p w14:paraId="33A7AEF4" w14:textId="139C350C"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МП_УЕ</w:t>
            </w:r>
            <w:r w:rsidR="00F217B1" w:rsidRPr="00FF386D">
              <w:rPr>
                <w:rFonts w:ascii="Calibri Light" w:hAnsi="Calibri Light"/>
                <w:b/>
                <w:sz w:val="20"/>
              </w:rPr>
              <w:t>Т</w:t>
            </w:r>
            <w:r w:rsidRPr="00FF386D">
              <w:rPr>
                <w:rFonts w:ascii="Calibri Light" w:hAnsi="Calibri Light"/>
                <w:b/>
                <w:sz w:val="20"/>
              </w:rPr>
              <w:t>19</w:t>
            </w:r>
          </w:p>
        </w:tc>
        <w:tc>
          <w:tcPr>
            <w:tcW w:w="934" w:type="dxa"/>
            <w:tcBorders>
              <w:top w:val="single" w:sz="8" w:space="0" w:color="auto"/>
              <w:left w:val="nil"/>
              <w:bottom w:val="single" w:sz="8" w:space="0" w:color="auto"/>
              <w:right w:val="single" w:sz="8" w:space="0" w:color="auto"/>
            </w:tcBorders>
            <w:shd w:val="clear" w:color="auto" w:fill="244062"/>
            <w:vAlign w:val="center"/>
            <w:hideMark/>
          </w:tcPr>
          <w:p w14:paraId="42EFA6B3"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58" w:type="dxa"/>
            <w:tcBorders>
              <w:top w:val="single" w:sz="8" w:space="0" w:color="auto"/>
              <w:left w:val="nil"/>
              <w:bottom w:val="single" w:sz="8" w:space="0" w:color="auto"/>
              <w:right w:val="single" w:sz="8" w:space="0" w:color="auto"/>
            </w:tcBorders>
            <w:shd w:val="clear" w:color="auto" w:fill="E7E6E6" w:themeFill="background2"/>
            <w:vAlign w:val="center"/>
            <w:hideMark/>
          </w:tcPr>
          <w:p w14:paraId="7EDAF59E"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Развој регулаторног оквира за рад „агрегатора” (члан 169. у складу са изменама и допунама Закона о енергетици)</w:t>
            </w:r>
          </w:p>
        </w:tc>
      </w:tr>
      <w:tr w:rsidR="00854ADA" w:rsidRPr="00FF386D" w14:paraId="16CF8C43" w14:textId="77777777" w:rsidTr="000A2AFE">
        <w:trPr>
          <w:trHeight w:val="570"/>
        </w:trPr>
        <w:tc>
          <w:tcPr>
            <w:tcW w:w="3286" w:type="dxa"/>
            <w:tcBorders>
              <w:top w:val="nil"/>
              <w:left w:val="single" w:sz="8" w:space="0" w:color="auto"/>
              <w:bottom w:val="single" w:sz="8" w:space="0" w:color="auto"/>
              <w:right w:val="nil"/>
            </w:tcBorders>
            <w:shd w:val="clear" w:color="000000" w:fill="244062"/>
            <w:vAlign w:val="center"/>
            <w:hideMark/>
          </w:tcPr>
          <w:p w14:paraId="755A76D4" w14:textId="470F2E34"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02" w:type="dxa"/>
            <w:gridSpan w:val="3"/>
            <w:tcBorders>
              <w:top w:val="single" w:sz="8" w:space="0" w:color="auto"/>
              <w:left w:val="nil"/>
              <w:bottom w:val="single" w:sz="8" w:space="0" w:color="auto"/>
              <w:right w:val="single" w:sz="8" w:space="0" w:color="000000"/>
            </w:tcBorders>
            <w:vAlign w:val="center"/>
          </w:tcPr>
          <w:p w14:paraId="2A8DA3BE" w14:textId="5AC68D8D" w:rsidR="00854ADA" w:rsidRPr="00FF386D" w:rsidRDefault="008862E9"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Theme="majorHAnsi" w:eastAsia="Times New Roman" w:hAnsiTheme="majorHAnsi" w:cstheme="majorHAnsi"/>
                <w:color w:val="000000"/>
                <w:sz w:val="20"/>
                <w:szCs w:val="20"/>
                <w:lang w:eastAsia="en-GB"/>
              </w:rPr>
              <w:t>Повећана флексибилност система и квалитет снабдевања електричном енергијом, посебно применом политика и мера које се односе на формирање цена заснованих на тржишту у складу са важећим законом; интеграција и спајање тржишта с циљем да се повећају капацитети</w:t>
            </w:r>
            <w:r w:rsidR="001D36D0" w:rsidRPr="001D36D0">
              <w:rPr>
                <w:rFonts w:asciiTheme="majorHAnsi" w:eastAsia="Times New Roman" w:hAnsiTheme="majorHAnsi" w:cstheme="majorHAnsi"/>
                <w:color w:val="000000"/>
                <w:sz w:val="20"/>
                <w:szCs w:val="20"/>
                <w:lang w:eastAsia="en-GB"/>
              </w:rPr>
              <w:t xml:space="preserve"> за трговање</w:t>
            </w:r>
            <w:r w:rsidRPr="00FF386D">
              <w:rPr>
                <w:rFonts w:asciiTheme="majorHAnsi" w:eastAsia="Times New Roman" w:hAnsiTheme="majorHAnsi" w:cstheme="majorHAnsi"/>
                <w:color w:val="000000"/>
                <w:sz w:val="20"/>
                <w:szCs w:val="20"/>
                <w:lang w:eastAsia="en-GB"/>
              </w:rPr>
              <w:t xml:space="preserve"> постојећих интерконектора, паметних мрежа, агрегације, </w:t>
            </w:r>
            <w:r w:rsidR="001D36D0" w:rsidRPr="001D36D0">
              <w:rPr>
                <w:rFonts w:asciiTheme="majorHAnsi" w:eastAsia="Times New Roman" w:hAnsiTheme="majorHAnsi" w:cstheme="majorHAnsi"/>
                <w:color w:val="000000"/>
                <w:sz w:val="20"/>
                <w:szCs w:val="20"/>
                <w:lang w:eastAsia="en-GB"/>
              </w:rPr>
              <w:t>одзив</w:t>
            </w:r>
            <w:r w:rsidR="001D36D0">
              <w:rPr>
                <w:rFonts w:asciiTheme="majorHAnsi" w:eastAsia="Times New Roman" w:hAnsiTheme="majorHAnsi" w:cstheme="majorHAnsi"/>
                <w:color w:val="000000"/>
                <w:sz w:val="20"/>
                <w:szCs w:val="20"/>
                <w:lang w:eastAsia="en-GB"/>
              </w:rPr>
              <w:t>а</w:t>
            </w:r>
            <w:r w:rsidR="001D36D0" w:rsidRPr="001D36D0">
              <w:rPr>
                <w:rFonts w:asciiTheme="majorHAnsi" w:eastAsia="Times New Roman" w:hAnsiTheme="majorHAnsi" w:cstheme="majorHAnsi"/>
                <w:color w:val="000000"/>
                <w:sz w:val="20"/>
                <w:szCs w:val="20"/>
                <w:lang w:eastAsia="en-GB"/>
              </w:rPr>
              <w:t xml:space="preserve"> потрошње</w:t>
            </w:r>
            <w:r w:rsidRPr="00FF386D">
              <w:rPr>
                <w:rFonts w:asciiTheme="majorHAnsi" w:eastAsia="Times New Roman" w:hAnsiTheme="majorHAnsi" w:cstheme="majorHAnsi"/>
                <w:color w:val="000000"/>
                <w:sz w:val="20"/>
                <w:szCs w:val="20"/>
                <w:lang w:eastAsia="en-GB"/>
              </w:rPr>
              <w:t>, складиштења, дистрибуиране производње, механизама за диспеч</w:t>
            </w:r>
            <w:r w:rsidR="00566886">
              <w:rPr>
                <w:rFonts w:asciiTheme="majorHAnsi" w:eastAsia="Times New Roman" w:hAnsiTheme="majorHAnsi" w:cstheme="majorHAnsi"/>
                <w:color w:val="000000"/>
                <w:sz w:val="20"/>
                <w:szCs w:val="20"/>
                <w:lang w:eastAsia="en-GB"/>
              </w:rPr>
              <w:t>инг</w:t>
            </w:r>
            <w:r w:rsidRPr="00FF386D">
              <w:rPr>
                <w:rFonts w:asciiTheme="majorHAnsi" w:eastAsia="Times New Roman" w:hAnsiTheme="majorHAnsi" w:cstheme="majorHAnsi"/>
                <w:color w:val="000000"/>
                <w:sz w:val="20"/>
                <w:szCs w:val="20"/>
                <w:lang w:eastAsia="en-GB"/>
              </w:rPr>
              <w:t>, редиспеч</w:t>
            </w:r>
            <w:r w:rsidR="00566886">
              <w:rPr>
                <w:rFonts w:asciiTheme="majorHAnsi" w:eastAsia="Times New Roman" w:hAnsiTheme="majorHAnsi" w:cstheme="majorHAnsi"/>
                <w:color w:val="000000"/>
                <w:sz w:val="20"/>
                <w:szCs w:val="20"/>
                <w:lang w:eastAsia="en-GB"/>
              </w:rPr>
              <w:t>инг</w:t>
            </w:r>
            <w:r w:rsidRPr="00FF386D">
              <w:rPr>
                <w:rFonts w:asciiTheme="majorHAnsi" w:eastAsia="Times New Roman" w:hAnsiTheme="majorHAnsi" w:cstheme="majorHAnsi"/>
                <w:color w:val="000000"/>
                <w:sz w:val="20"/>
                <w:szCs w:val="20"/>
                <w:lang w:eastAsia="en-GB"/>
              </w:rPr>
              <w:t xml:space="preserve"> и ограничавања производње, као и ценовних сигнала у реалном времену.</w:t>
            </w:r>
          </w:p>
        </w:tc>
      </w:tr>
      <w:tr w:rsidR="00854ADA" w:rsidRPr="00FF386D" w14:paraId="52A09B67" w14:textId="77777777" w:rsidTr="0057310C">
        <w:trPr>
          <w:trHeight w:val="443"/>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3344B0D2" w14:textId="2C6C59FB"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02" w:type="dxa"/>
            <w:gridSpan w:val="3"/>
            <w:tcBorders>
              <w:top w:val="single" w:sz="8" w:space="0" w:color="auto"/>
              <w:left w:val="nil"/>
              <w:bottom w:val="single" w:sz="8" w:space="0" w:color="auto"/>
              <w:right w:val="single" w:sz="8" w:space="0" w:color="000000"/>
            </w:tcBorders>
            <w:vAlign w:val="center"/>
          </w:tcPr>
          <w:p w14:paraId="6D4030E4" w14:textId="53C4CAE6" w:rsidR="00854ADA" w:rsidRPr="00FF386D" w:rsidRDefault="00854ADA" w:rsidP="00854ADA">
            <w:pPr>
              <w:spacing w:after="0" w:line="240" w:lineRule="auto"/>
              <w:jc w:val="both"/>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 xml:space="preserve">Индикатори повећаног квалитета снабдевања, примена паметних мрежа, агрегација, услуга као одзив потрошње, као и </w:t>
            </w:r>
            <w:r w:rsidR="00F217B1" w:rsidRPr="00FF386D">
              <w:rPr>
                <w:rFonts w:asciiTheme="majorHAnsi" w:eastAsia="Times New Roman" w:hAnsiTheme="majorHAnsi" w:cstheme="majorHAnsi"/>
                <w:color w:val="000000"/>
                <w:sz w:val="20"/>
                <w:szCs w:val="20"/>
                <w:lang w:eastAsia="en-GB"/>
              </w:rPr>
              <w:t>складиштење</w:t>
            </w:r>
            <w:r w:rsidRPr="00FF386D">
              <w:rPr>
                <w:rFonts w:asciiTheme="majorHAnsi" w:eastAsia="Times New Roman" w:hAnsiTheme="majorHAnsi" w:cstheme="majorHAnsi"/>
                <w:color w:val="000000"/>
                <w:sz w:val="20"/>
                <w:szCs w:val="20"/>
                <w:lang w:eastAsia="en-GB"/>
              </w:rPr>
              <w:t xml:space="preserve"> и дистрибуирана производња.</w:t>
            </w:r>
          </w:p>
        </w:tc>
      </w:tr>
      <w:tr w:rsidR="00854ADA" w:rsidRPr="00FF386D" w14:paraId="248413EC" w14:textId="77777777" w:rsidTr="0057310C">
        <w:trPr>
          <w:trHeight w:val="584"/>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7676B2E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02" w:type="dxa"/>
            <w:gridSpan w:val="3"/>
            <w:tcBorders>
              <w:top w:val="single" w:sz="8" w:space="0" w:color="auto"/>
              <w:left w:val="nil"/>
              <w:bottom w:val="single" w:sz="8" w:space="0" w:color="auto"/>
              <w:right w:val="single" w:sz="8" w:space="0" w:color="000000"/>
            </w:tcBorders>
            <w:vAlign w:val="center"/>
            <w:hideMark/>
          </w:tcPr>
          <w:p w14:paraId="42BB3F9C" w14:textId="6F4C6B19"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МП_УЕ</w:t>
            </w:r>
            <w:r w:rsidR="00F217B1" w:rsidRPr="00FF386D">
              <w:rPr>
                <w:rFonts w:ascii="Calibri Light" w:hAnsi="Calibri Light"/>
                <w:sz w:val="20"/>
              </w:rPr>
              <w:t>Т</w:t>
            </w:r>
            <w:r w:rsidRPr="00FF386D">
              <w:rPr>
                <w:rFonts w:ascii="Calibri Light" w:hAnsi="Calibri Light"/>
                <w:sz w:val="20"/>
              </w:rPr>
              <w:t xml:space="preserve">19 нова Директива о електричној енергији у Пакету чисте енергије одређује да све државе чланице (и Србија, када </w:t>
            </w:r>
            <w:r w:rsidRPr="00FF386D">
              <w:rPr>
                <w:rFonts w:ascii="Calibri Light" w:eastAsia="NSimSun" w:hAnsi="Calibri Light" w:cs="Mangal"/>
                <w:kern w:val="2"/>
                <w:sz w:val="20"/>
                <w:szCs w:val="24"/>
                <w:lang w:eastAsia="zh-CN" w:bidi="hi-IN"/>
              </w:rPr>
              <w:t>Е</w:t>
            </w:r>
            <w:r w:rsidRPr="00FF386D">
              <w:rPr>
                <w:rFonts w:ascii="Calibri Light" w:hAnsi="Calibri Light"/>
                <w:sz w:val="20"/>
              </w:rPr>
              <w:t>нергетска заједница усвоји Пакет чисте енергије) обезбеђују да независни агрегатори, који пак чине учеснике на тржишту са одговорношћу балансирања, послују на фер и праведним основама на тржишту електричне енергије. Ово нужно доводи до примене механизма балансирања и поравнања који укључује две одговорне стране за балансирање у једној прикључној тачки. Потребно је да се улога и функција агрегатора на одговарајући начин одразе у тржишним и мрежним правилима у складу са искуством и праксом ЕУ у овом аспекту.</w:t>
            </w:r>
          </w:p>
        </w:tc>
      </w:tr>
      <w:tr w:rsidR="00854ADA" w:rsidRPr="00FF386D" w14:paraId="14A10D48"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79FD0CD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02" w:type="dxa"/>
            <w:gridSpan w:val="3"/>
            <w:tcBorders>
              <w:top w:val="single" w:sz="8" w:space="0" w:color="auto"/>
              <w:left w:val="nil"/>
              <w:bottom w:val="single" w:sz="8" w:space="0" w:color="auto"/>
              <w:right w:val="single" w:sz="8" w:space="0" w:color="000000"/>
            </w:tcBorders>
            <w:vAlign w:val="center"/>
            <w:hideMark/>
          </w:tcPr>
          <w:p w14:paraId="7BE17DB9"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2021-2030.</w:t>
            </w:r>
          </w:p>
        </w:tc>
      </w:tr>
      <w:tr w:rsidR="00854ADA" w:rsidRPr="00FF386D" w14:paraId="34F6005D"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01874C5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02" w:type="dxa"/>
            <w:gridSpan w:val="3"/>
            <w:tcBorders>
              <w:top w:val="single" w:sz="8" w:space="0" w:color="auto"/>
              <w:left w:val="nil"/>
              <w:bottom w:val="single" w:sz="8" w:space="0" w:color="auto"/>
              <w:right w:val="single" w:sz="8" w:space="0" w:color="000000"/>
            </w:tcBorders>
            <w:vAlign w:val="center"/>
            <w:hideMark/>
          </w:tcPr>
          <w:p w14:paraId="3E895105"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Реформа </w:t>
            </w:r>
          </w:p>
        </w:tc>
      </w:tr>
      <w:tr w:rsidR="00854ADA" w:rsidRPr="00FF386D" w14:paraId="43B1951F"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5C78C30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02" w:type="dxa"/>
            <w:gridSpan w:val="3"/>
            <w:tcBorders>
              <w:top w:val="single" w:sz="8" w:space="0" w:color="auto"/>
              <w:left w:val="nil"/>
              <w:bottom w:val="single" w:sz="8" w:space="0" w:color="auto"/>
              <w:right w:val="single" w:sz="8" w:space="0" w:color="000000"/>
            </w:tcBorders>
            <w:vAlign w:val="center"/>
            <w:hideMark/>
          </w:tcPr>
          <w:p w14:paraId="1FDEDC2E"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Стамбени, комерцијални</w:t>
            </w:r>
          </w:p>
        </w:tc>
      </w:tr>
      <w:tr w:rsidR="00854ADA" w:rsidRPr="00FF386D" w14:paraId="7561477D"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0EB299E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02" w:type="dxa"/>
            <w:gridSpan w:val="3"/>
            <w:tcBorders>
              <w:top w:val="single" w:sz="8" w:space="0" w:color="auto"/>
              <w:left w:val="nil"/>
              <w:bottom w:val="single" w:sz="8" w:space="0" w:color="auto"/>
              <w:right w:val="single" w:sz="8" w:space="0" w:color="000000"/>
            </w:tcBorders>
            <w:vAlign w:val="center"/>
            <w:hideMark/>
          </w:tcPr>
          <w:p w14:paraId="74C641D9" w14:textId="77777777" w:rsidR="00854ADA" w:rsidRPr="00FF386D" w:rsidRDefault="00854ADA" w:rsidP="00854ADA">
            <w:pPr>
              <w:numPr>
                <w:ilvl w:val="0"/>
                <w:numId w:val="6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Министарство рударства и енергетике</w:t>
            </w:r>
          </w:p>
          <w:p w14:paraId="74D91E5C" w14:textId="77777777" w:rsidR="00854ADA" w:rsidRPr="00FF386D" w:rsidRDefault="00854ADA" w:rsidP="00854ADA">
            <w:pPr>
              <w:numPr>
                <w:ilvl w:val="0"/>
                <w:numId w:val="6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АЕРС</w:t>
            </w:r>
          </w:p>
          <w:p w14:paraId="486EAB6E" w14:textId="77777777" w:rsidR="00854ADA" w:rsidRPr="00FF386D" w:rsidRDefault="00854ADA" w:rsidP="00854ADA">
            <w:pPr>
              <w:numPr>
                <w:ilvl w:val="0"/>
                <w:numId w:val="6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ЕМС</w:t>
            </w:r>
          </w:p>
          <w:p w14:paraId="58B3661D" w14:textId="77777777" w:rsidR="00854ADA" w:rsidRPr="00FF386D" w:rsidRDefault="00854ADA" w:rsidP="00854ADA">
            <w:pPr>
              <w:numPr>
                <w:ilvl w:val="0"/>
                <w:numId w:val="6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Оператор дистрибутивног система</w:t>
            </w:r>
          </w:p>
        </w:tc>
      </w:tr>
      <w:tr w:rsidR="00854ADA" w:rsidRPr="00FF386D" w14:paraId="63D3209B" w14:textId="77777777" w:rsidTr="0057310C">
        <w:trPr>
          <w:trHeight w:val="315"/>
        </w:trPr>
        <w:tc>
          <w:tcPr>
            <w:tcW w:w="3286" w:type="dxa"/>
            <w:tcBorders>
              <w:top w:val="nil"/>
              <w:left w:val="single" w:sz="8" w:space="0" w:color="auto"/>
              <w:bottom w:val="single" w:sz="8" w:space="0" w:color="auto"/>
              <w:right w:val="nil"/>
            </w:tcBorders>
            <w:shd w:val="clear" w:color="000000" w:fill="244062"/>
            <w:vAlign w:val="center"/>
            <w:hideMark/>
          </w:tcPr>
          <w:p w14:paraId="3000884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02" w:type="dxa"/>
            <w:gridSpan w:val="3"/>
            <w:tcBorders>
              <w:top w:val="single" w:sz="8" w:space="0" w:color="auto"/>
              <w:left w:val="nil"/>
              <w:bottom w:val="single" w:sz="8" w:space="0" w:color="auto"/>
              <w:right w:val="single" w:sz="8" w:space="0" w:color="000000"/>
            </w:tcBorders>
            <w:vAlign w:val="center"/>
            <w:hideMark/>
          </w:tcPr>
          <w:p w14:paraId="1F7843F0" w14:textId="77777777" w:rsidR="00854ADA" w:rsidRPr="00FF386D" w:rsidRDefault="00854ADA" w:rsidP="00854ADA">
            <w:pPr>
              <w:numPr>
                <w:ilvl w:val="0"/>
                <w:numId w:val="6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АЕРС</w:t>
            </w:r>
          </w:p>
        </w:tc>
      </w:tr>
      <w:tr w:rsidR="00854ADA" w:rsidRPr="00FF386D" w14:paraId="4BD477AA" w14:textId="77777777" w:rsidTr="0057310C">
        <w:trPr>
          <w:trHeight w:val="315"/>
        </w:trPr>
        <w:tc>
          <w:tcPr>
            <w:tcW w:w="3286" w:type="dxa"/>
            <w:tcBorders>
              <w:top w:val="nil"/>
              <w:left w:val="single" w:sz="8" w:space="0" w:color="auto"/>
              <w:bottom w:val="single" w:sz="8" w:space="0" w:color="auto"/>
              <w:right w:val="nil"/>
            </w:tcBorders>
            <w:shd w:val="clear" w:color="000000" w:fill="244062"/>
            <w:vAlign w:val="center"/>
            <w:hideMark/>
          </w:tcPr>
          <w:p w14:paraId="3596D30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02" w:type="dxa"/>
            <w:gridSpan w:val="3"/>
            <w:tcBorders>
              <w:top w:val="single" w:sz="8" w:space="0" w:color="auto"/>
              <w:left w:val="nil"/>
              <w:bottom w:val="single" w:sz="8" w:space="0" w:color="auto"/>
              <w:right w:val="single" w:sz="8" w:space="0" w:color="000000"/>
            </w:tcBorders>
            <w:vAlign w:val="center"/>
            <w:hideMark/>
          </w:tcPr>
          <w:p w14:paraId="762A3231" w14:textId="3FA8B5CB"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Број лиценцираних (за комерцијалну делатност) агрегатора и проценат потрошње и производње из ОИЕ (MWh) који они заступају на тржишту електричне </w:t>
            </w:r>
            <w:r w:rsidR="00F026DB" w:rsidRPr="00FF386D">
              <w:rPr>
                <w:rFonts w:ascii="Calibri Light" w:eastAsia="Times New Roman" w:hAnsi="Calibri Light" w:cs="Calibri Light"/>
                <w:color w:val="000000"/>
                <w:sz w:val="20"/>
                <w:szCs w:val="20"/>
                <w:lang w:eastAsia="en-GB"/>
              </w:rPr>
              <w:t>енергије</w:t>
            </w:r>
          </w:p>
        </w:tc>
      </w:tr>
      <w:tr w:rsidR="00854ADA" w:rsidRPr="00FF386D" w14:paraId="30DABB88" w14:textId="77777777" w:rsidTr="0057310C">
        <w:trPr>
          <w:trHeight w:val="193"/>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30FF83F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02" w:type="dxa"/>
            <w:gridSpan w:val="3"/>
            <w:tcBorders>
              <w:top w:val="single" w:sz="8" w:space="0" w:color="auto"/>
              <w:left w:val="nil"/>
              <w:bottom w:val="single" w:sz="8" w:space="0" w:color="auto"/>
              <w:right w:val="single" w:sz="8" w:space="0" w:color="000000"/>
            </w:tcBorders>
            <w:vAlign w:val="center"/>
            <w:hideMark/>
          </w:tcPr>
          <w:p w14:paraId="5576279E" w14:textId="18321B2F" w:rsidR="00854ADA" w:rsidRPr="000A2AFE" w:rsidRDefault="00566886" w:rsidP="000A2AFE">
            <w:pPr>
              <w:pStyle w:val="ListParagraph"/>
              <w:numPr>
                <w:ilvl w:val="0"/>
                <w:numId w:val="60"/>
              </w:numPr>
              <w:spacing w:after="0" w:line="240" w:lineRule="auto"/>
              <w:jc w:val="both"/>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Енергетска сигурност</w:t>
            </w:r>
          </w:p>
        </w:tc>
      </w:tr>
      <w:tr w:rsidR="00854ADA" w:rsidRPr="00FF386D" w14:paraId="66B62BE0" w14:textId="77777777" w:rsidTr="0057310C">
        <w:trPr>
          <w:trHeight w:val="450"/>
        </w:trPr>
        <w:tc>
          <w:tcPr>
            <w:tcW w:w="3286"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52590FCB" w14:textId="36C380ED"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02"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DBFD236" w14:textId="140B346E" w:rsidR="00854ADA" w:rsidRPr="000A2AFE" w:rsidRDefault="00854ADA" w:rsidP="00854ADA">
            <w:pPr>
              <w:numPr>
                <w:ilvl w:val="0"/>
                <w:numId w:val="18"/>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1D36D0">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2009/72/EЗ</w:t>
            </w:r>
          </w:p>
          <w:p w14:paraId="02F037F0" w14:textId="77777777" w:rsidR="00854ADA" w:rsidRPr="000A2AFE" w:rsidRDefault="00854ADA" w:rsidP="00854ADA">
            <w:pPr>
              <w:numPr>
                <w:ilvl w:val="0"/>
                <w:numId w:val="18"/>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lastRenderedPageBreak/>
              <w:t xml:space="preserve">Уредба </w:t>
            </w:r>
            <w:r w:rsidRPr="000A2AFE">
              <w:rPr>
                <w:rFonts w:ascii="Calibri Light" w:eastAsia="Times New Roman" w:hAnsi="Calibri Light" w:cs="Calibri Light"/>
                <w:color w:val="000000"/>
                <w:sz w:val="20"/>
                <w:szCs w:val="20"/>
                <w:lang w:eastAsia="en-GB"/>
              </w:rPr>
              <w:t>(ЕУ) 2019/944</w:t>
            </w:r>
          </w:p>
          <w:p w14:paraId="549EAF41" w14:textId="77777777" w:rsidR="00854ADA" w:rsidRPr="00FF386D" w:rsidRDefault="00854ADA" w:rsidP="00854ADA">
            <w:pPr>
              <w:numPr>
                <w:ilvl w:val="0"/>
                <w:numId w:val="6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Уредба </w:t>
            </w:r>
            <w:r w:rsidRPr="000A2AFE">
              <w:rPr>
                <w:rFonts w:ascii="Calibri Light" w:eastAsia="Times New Roman" w:hAnsi="Calibri Light" w:cs="Calibri Light"/>
                <w:color w:val="000000"/>
                <w:sz w:val="20"/>
                <w:szCs w:val="20"/>
                <w:lang w:eastAsia="en-GB"/>
              </w:rPr>
              <w:t>(ЕУ) 2019/943</w:t>
            </w:r>
          </w:p>
        </w:tc>
      </w:tr>
      <w:tr w:rsidR="00854ADA" w:rsidRPr="00FF386D" w14:paraId="139DA03B"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75BE2A5B"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02" w:type="dxa"/>
            <w:gridSpan w:val="3"/>
            <w:vMerge/>
            <w:tcBorders>
              <w:top w:val="single" w:sz="8" w:space="0" w:color="auto"/>
              <w:left w:val="single" w:sz="8" w:space="0" w:color="auto"/>
              <w:bottom w:val="single" w:sz="8" w:space="0" w:color="000000"/>
              <w:right w:val="single" w:sz="8" w:space="0" w:color="000000"/>
            </w:tcBorders>
            <w:vAlign w:val="center"/>
            <w:hideMark/>
          </w:tcPr>
          <w:p w14:paraId="1B6BDA2D"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2CD83CFD"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2118AD89"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02" w:type="dxa"/>
            <w:gridSpan w:val="3"/>
            <w:vMerge/>
            <w:tcBorders>
              <w:top w:val="single" w:sz="8" w:space="0" w:color="auto"/>
              <w:left w:val="single" w:sz="8" w:space="0" w:color="auto"/>
              <w:bottom w:val="single" w:sz="8" w:space="0" w:color="000000"/>
              <w:right w:val="single" w:sz="8" w:space="0" w:color="000000"/>
            </w:tcBorders>
            <w:vAlign w:val="center"/>
            <w:hideMark/>
          </w:tcPr>
          <w:p w14:paraId="4AC619CA"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580E7096" w14:textId="77777777" w:rsidTr="0057310C">
        <w:trPr>
          <w:trHeight w:val="780"/>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7EA8913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02" w:type="dxa"/>
            <w:gridSpan w:val="3"/>
            <w:tcBorders>
              <w:top w:val="single" w:sz="8" w:space="0" w:color="auto"/>
              <w:left w:val="nil"/>
              <w:bottom w:val="single" w:sz="8" w:space="0" w:color="auto"/>
              <w:right w:val="single" w:sz="8" w:space="0" w:color="000000"/>
            </w:tcBorders>
            <w:vAlign w:val="center"/>
            <w:hideMark/>
          </w:tcPr>
          <w:p w14:paraId="23D907D6" w14:textId="77777777" w:rsidR="00854ADA" w:rsidRPr="00FF386D" w:rsidRDefault="00854ADA" w:rsidP="00854ADA">
            <w:pPr>
              <w:numPr>
                <w:ilvl w:val="0"/>
                <w:numId w:val="63"/>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енергетици</w:t>
            </w:r>
          </w:p>
        </w:tc>
      </w:tr>
      <w:tr w:rsidR="00854ADA" w:rsidRPr="00FF386D" w14:paraId="0C0FE44B"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3D020E2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02" w:type="dxa"/>
            <w:gridSpan w:val="3"/>
            <w:tcBorders>
              <w:top w:val="single" w:sz="8" w:space="0" w:color="auto"/>
              <w:left w:val="nil"/>
              <w:bottom w:val="single" w:sz="8" w:space="0" w:color="auto"/>
              <w:right w:val="single" w:sz="8" w:space="0" w:color="000000"/>
            </w:tcBorders>
            <w:vAlign w:val="center"/>
            <w:hideMark/>
          </w:tcPr>
          <w:p w14:paraId="12E5919D"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0, 2 милиона евра</w:t>
            </w:r>
          </w:p>
        </w:tc>
      </w:tr>
      <w:tr w:rsidR="00854ADA" w:rsidRPr="00FF386D" w14:paraId="6682A070"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58B5C3D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02" w:type="dxa"/>
            <w:gridSpan w:val="3"/>
            <w:tcBorders>
              <w:top w:val="single" w:sz="8" w:space="0" w:color="auto"/>
              <w:left w:val="nil"/>
              <w:bottom w:val="single" w:sz="8" w:space="0" w:color="auto"/>
              <w:right w:val="single" w:sz="8" w:space="0" w:color="000000"/>
            </w:tcBorders>
            <w:vAlign w:val="center"/>
            <w:hideMark/>
          </w:tcPr>
          <w:p w14:paraId="5026406E" w14:textId="7456F0D8"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F026DB" w:rsidRPr="00FF386D">
              <w:rPr>
                <w:rFonts w:ascii="Calibri Light" w:eastAsia="Times New Roman" w:hAnsi="Calibri Light" w:cs="Calibri Light"/>
                <w:color w:val="000000"/>
                <w:sz w:val="20"/>
                <w:szCs w:val="20"/>
                <w:lang w:eastAsia="en-GB"/>
              </w:rPr>
              <w:t>ска средства</w:t>
            </w:r>
          </w:p>
        </w:tc>
      </w:tr>
    </w:tbl>
    <w:p w14:paraId="3C51D8C8"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58"/>
        <w:gridCol w:w="1207"/>
        <w:gridCol w:w="927"/>
        <w:gridCol w:w="4096"/>
      </w:tblGrid>
      <w:tr w:rsidR="00854ADA" w:rsidRPr="00FF386D" w14:paraId="3D4DCF33" w14:textId="77777777" w:rsidTr="0057310C">
        <w:trPr>
          <w:trHeight w:val="780"/>
        </w:trPr>
        <w:tc>
          <w:tcPr>
            <w:tcW w:w="3258"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2AF6404E" w14:textId="4652F73A"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2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440DCD66" w14:textId="0D4D01E0"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МП_УЕ</w:t>
            </w:r>
            <w:r w:rsidR="00F217B1" w:rsidRPr="00FF386D">
              <w:rPr>
                <w:rFonts w:ascii="Calibri Light" w:hAnsi="Calibri Light"/>
                <w:b/>
                <w:sz w:val="20"/>
              </w:rPr>
              <w:t>Т</w:t>
            </w:r>
            <w:r w:rsidRPr="00FF386D">
              <w:rPr>
                <w:rFonts w:ascii="Calibri Light" w:hAnsi="Calibri Light"/>
                <w:b/>
                <w:sz w:val="20"/>
              </w:rPr>
              <w:t>20</w:t>
            </w:r>
          </w:p>
        </w:tc>
        <w:tc>
          <w:tcPr>
            <w:tcW w:w="927" w:type="dxa"/>
            <w:tcBorders>
              <w:top w:val="single" w:sz="8" w:space="0" w:color="auto"/>
              <w:left w:val="nil"/>
              <w:bottom w:val="single" w:sz="8" w:space="0" w:color="auto"/>
              <w:right w:val="single" w:sz="8" w:space="0" w:color="auto"/>
            </w:tcBorders>
            <w:shd w:val="clear" w:color="auto" w:fill="244062"/>
            <w:vAlign w:val="center"/>
            <w:hideMark/>
          </w:tcPr>
          <w:p w14:paraId="608D8C75"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096" w:type="dxa"/>
            <w:tcBorders>
              <w:top w:val="single" w:sz="8" w:space="0" w:color="auto"/>
              <w:left w:val="nil"/>
              <w:bottom w:val="single" w:sz="8" w:space="0" w:color="auto"/>
              <w:right w:val="single" w:sz="8" w:space="0" w:color="auto"/>
            </w:tcBorders>
            <w:shd w:val="clear" w:color="auto" w:fill="E7E6E6" w:themeFill="background2"/>
            <w:vAlign w:val="center"/>
            <w:hideMark/>
          </w:tcPr>
          <w:p w14:paraId="31524C81" w14:textId="7658C260"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Развој регулаторног оквира за рад Заједница обновљивих извора енергије (</w:t>
            </w:r>
            <w:r w:rsidRPr="00FF386D">
              <w:rPr>
                <w:rFonts w:ascii="Calibri Light" w:eastAsia="NSimSun" w:hAnsi="Calibri Light" w:cs="Mangal"/>
                <w:b/>
                <w:kern w:val="2"/>
                <w:sz w:val="20"/>
                <w:szCs w:val="24"/>
                <w:lang w:eastAsia="zh-CN" w:bidi="hi-IN"/>
              </w:rPr>
              <w:t>ЗОИЕ</w:t>
            </w:r>
            <w:r w:rsidRPr="00FF386D">
              <w:rPr>
                <w:rFonts w:ascii="Calibri Light" w:hAnsi="Calibri Light"/>
                <w:b/>
                <w:sz w:val="20"/>
              </w:rPr>
              <w:t>) и енергетских заједница грађана (ЕЗГ) (чл</w:t>
            </w:r>
            <w:r w:rsidR="00F026DB" w:rsidRPr="00FF386D">
              <w:rPr>
                <w:rFonts w:ascii="Calibri Light" w:hAnsi="Calibri Light"/>
                <w:b/>
                <w:sz w:val="20"/>
              </w:rPr>
              <w:t>.</w:t>
            </w:r>
            <w:r w:rsidRPr="00FF386D">
              <w:rPr>
                <w:rFonts w:ascii="Calibri Light" w:hAnsi="Calibri Light"/>
                <w:b/>
                <w:sz w:val="20"/>
              </w:rPr>
              <w:t xml:space="preserve"> 62. до 66. </w:t>
            </w:r>
            <w:r w:rsidR="00F026DB" w:rsidRPr="00FF386D">
              <w:rPr>
                <w:rFonts w:ascii="Calibri Light" w:hAnsi="Calibri Light"/>
                <w:b/>
                <w:sz w:val="20"/>
              </w:rPr>
              <w:t xml:space="preserve">и чл. 77. </w:t>
            </w:r>
            <w:r w:rsidRPr="00FF386D">
              <w:rPr>
                <w:rFonts w:ascii="Calibri Light" w:hAnsi="Calibri Light"/>
                <w:b/>
                <w:sz w:val="20"/>
              </w:rPr>
              <w:t>Закона о коришћењу ОИЕ)</w:t>
            </w:r>
          </w:p>
        </w:tc>
      </w:tr>
      <w:tr w:rsidR="00854ADA" w:rsidRPr="00FF386D" w14:paraId="174D9D5C" w14:textId="77777777" w:rsidTr="0057310C">
        <w:trPr>
          <w:trHeight w:val="519"/>
        </w:trPr>
        <w:tc>
          <w:tcPr>
            <w:tcW w:w="3258" w:type="dxa"/>
            <w:tcBorders>
              <w:top w:val="nil"/>
              <w:left w:val="single" w:sz="8" w:space="0" w:color="auto"/>
              <w:bottom w:val="single" w:sz="8" w:space="0" w:color="auto"/>
              <w:right w:val="nil"/>
            </w:tcBorders>
            <w:shd w:val="clear" w:color="000000" w:fill="244062"/>
            <w:vAlign w:val="center"/>
            <w:hideMark/>
          </w:tcPr>
          <w:p w14:paraId="6D12A54D" w14:textId="77E334AC"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30" w:type="dxa"/>
            <w:gridSpan w:val="3"/>
            <w:tcBorders>
              <w:top w:val="single" w:sz="8" w:space="0" w:color="auto"/>
              <w:left w:val="nil"/>
              <w:bottom w:val="single" w:sz="8" w:space="0" w:color="auto"/>
              <w:right w:val="single" w:sz="8" w:space="0" w:color="000000"/>
            </w:tcBorders>
            <w:vAlign w:val="center"/>
            <w:hideMark/>
          </w:tcPr>
          <w:p w14:paraId="7F5C69A3" w14:textId="5E305132" w:rsidR="00854ADA" w:rsidRPr="00FF386D" w:rsidRDefault="008862E9"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Повећана флексибилност система и квалитет снабдевања електричном енергијом, посебно применом политика и мера које се односе на формирање цена заснованих на тржишту у складу са важећим законом; интеграција и спајање тржишта с циљем да се повећају капацитети </w:t>
            </w:r>
            <w:r w:rsidR="001D36D0" w:rsidRPr="001D36D0">
              <w:rPr>
                <w:rFonts w:asciiTheme="majorHAnsi" w:eastAsia="Times New Roman" w:hAnsiTheme="majorHAnsi" w:cstheme="majorHAnsi"/>
                <w:color w:val="000000"/>
                <w:sz w:val="20"/>
                <w:szCs w:val="20"/>
                <w:lang w:eastAsia="en-GB"/>
              </w:rPr>
              <w:t xml:space="preserve">за трговање </w:t>
            </w:r>
            <w:r w:rsidRPr="00FF386D">
              <w:rPr>
                <w:rFonts w:asciiTheme="majorHAnsi" w:eastAsia="Times New Roman" w:hAnsiTheme="majorHAnsi" w:cstheme="majorHAnsi"/>
                <w:color w:val="000000"/>
                <w:sz w:val="20"/>
                <w:szCs w:val="20"/>
                <w:lang w:eastAsia="en-GB"/>
              </w:rPr>
              <w:t xml:space="preserve">постојећих интерконектора, паметних мрежа, агрегације, </w:t>
            </w:r>
            <w:r w:rsidR="001D36D0" w:rsidRPr="001D36D0">
              <w:rPr>
                <w:rFonts w:asciiTheme="majorHAnsi" w:eastAsia="Times New Roman" w:hAnsiTheme="majorHAnsi" w:cstheme="majorHAnsi"/>
                <w:color w:val="000000"/>
                <w:sz w:val="20"/>
                <w:szCs w:val="20"/>
                <w:lang w:eastAsia="en-GB"/>
              </w:rPr>
              <w:t>одзив</w:t>
            </w:r>
            <w:r w:rsidR="001D36D0">
              <w:rPr>
                <w:rFonts w:asciiTheme="majorHAnsi" w:eastAsia="Times New Roman" w:hAnsiTheme="majorHAnsi" w:cstheme="majorHAnsi"/>
                <w:color w:val="000000"/>
                <w:sz w:val="20"/>
                <w:szCs w:val="20"/>
                <w:lang w:eastAsia="en-GB"/>
              </w:rPr>
              <w:t>а</w:t>
            </w:r>
            <w:r w:rsidR="001D36D0" w:rsidRPr="001D36D0">
              <w:rPr>
                <w:rFonts w:asciiTheme="majorHAnsi" w:eastAsia="Times New Roman" w:hAnsiTheme="majorHAnsi" w:cstheme="majorHAnsi"/>
                <w:color w:val="000000"/>
                <w:sz w:val="20"/>
                <w:szCs w:val="20"/>
                <w:lang w:eastAsia="en-GB"/>
              </w:rPr>
              <w:t xml:space="preserve"> потрошње</w:t>
            </w:r>
            <w:r w:rsidRPr="00FF386D">
              <w:rPr>
                <w:rFonts w:asciiTheme="majorHAnsi" w:eastAsia="Times New Roman" w:hAnsiTheme="majorHAnsi" w:cstheme="majorHAnsi"/>
                <w:color w:val="000000"/>
                <w:sz w:val="20"/>
                <w:szCs w:val="20"/>
                <w:lang w:eastAsia="en-GB"/>
              </w:rPr>
              <w:t>, складиштења, дистрибуиране производње, механизама за диспеч</w:t>
            </w:r>
            <w:r w:rsidR="00566886">
              <w:rPr>
                <w:rFonts w:asciiTheme="majorHAnsi" w:eastAsia="Times New Roman" w:hAnsiTheme="majorHAnsi" w:cstheme="majorHAnsi"/>
                <w:color w:val="000000"/>
                <w:sz w:val="20"/>
                <w:szCs w:val="20"/>
                <w:lang w:eastAsia="en-GB"/>
              </w:rPr>
              <w:t>инг</w:t>
            </w:r>
            <w:r w:rsidRPr="00FF386D">
              <w:rPr>
                <w:rFonts w:asciiTheme="majorHAnsi" w:eastAsia="Times New Roman" w:hAnsiTheme="majorHAnsi" w:cstheme="majorHAnsi"/>
                <w:color w:val="000000"/>
                <w:sz w:val="20"/>
                <w:szCs w:val="20"/>
                <w:lang w:eastAsia="en-GB"/>
              </w:rPr>
              <w:t>, редиспеч</w:t>
            </w:r>
            <w:r w:rsidR="00566886">
              <w:rPr>
                <w:rFonts w:asciiTheme="majorHAnsi" w:eastAsia="Times New Roman" w:hAnsiTheme="majorHAnsi" w:cstheme="majorHAnsi"/>
                <w:color w:val="000000"/>
                <w:sz w:val="20"/>
                <w:szCs w:val="20"/>
                <w:lang w:eastAsia="en-GB"/>
              </w:rPr>
              <w:t>инг</w:t>
            </w:r>
            <w:r w:rsidRPr="00FF386D">
              <w:rPr>
                <w:rFonts w:asciiTheme="majorHAnsi" w:eastAsia="Times New Roman" w:hAnsiTheme="majorHAnsi" w:cstheme="majorHAnsi"/>
                <w:color w:val="000000"/>
                <w:sz w:val="20"/>
                <w:szCs w:val="20"/>
                <w:lang w:eastAsia="en-GB"/>
              </w:rPr>
              <w:t xml:space="preserve"> и ограничавања производње, као и ценовних сигнала у реалном времену.</w:t>
            </w:r>
          </w:p>
        </w:tc>
      </w:tr>
      <w:tr w:rsidR="00854ADA" w:rsidRPr="00FF386D" w14:paraId="6711D72F" w14:textId="77777777" w:rsidTr="0057310C">
        <w:trPr>
          <w:trHeight w:val="315"/>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179A91BD" w14:textId="6268AB0F"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30" w:type="dxa"/>
            <w:gridSpan w:val="3"/>
            <w:tcBorders>
              <w:top w:val="single" w:sz="8" w:space="0" w:color="auto"/>
              <w:left w:val="nil"/>
              <w:bottom w:val="single" w:sz="8" w:space="0" w:color="auto"/>
              <w:right w:val="single" w:sz="8" w:space="0" w:color="000000"/>
            </w:tcBorders>
            <w:vAlign w:val="center"/>
            <w:hideMark/>
          </w:tcPr>
          <w:p w14:paraId="1FD5C5CC" w14:textId="56B949C8" w:rsidR="00854ADA" w:rsidRPr="00FF386D" w:rsidRDefault="00854ADA" w:rsidP="00854ADA">
            <w:pPr>
              <w:spacing w:after="0" w:line="240" w:lineRule="auto"/>
              <w:jc w:val="both"/>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Индикатори повећаног квалитета снабдевања, примена паметних мрежа, агрегација, услуга као одзив потрошње, склaдиштење и дистрибуирана производња.</w:t>
            </w:r>
          </w:p>
        </w:tc>
      </w:tr>
      <w:tr w:rsidR="00854ADA" w:rsidRPr="00FF386D" w14:paraId="49301E27" w14:textId="77777777" w:rsidTr="0057310C">
        <w:trPr>
          <w:trHeight w:val="443"/>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3279092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30" w:type="dxa"/>
            <w:gridSpan w:val="3"/>
            <w:tcBorders>
              <w:top w:val="single" w:sz="8" w:space="0" w:color="auto"/>
              <w:left w:val="nil"/>
              <w:bottom w:val="single" w:sz="8" w:space="0" w:color="auto"/>
              <w:right w:val="single" w:sz="8" w:space="0" w:color="000000"/>
            </w:tcBorders>
            <w:vAlign w:val="center"/>
            <w:hideMark/>
          </w:tcPr>
          <w:p w14:paraId="686015C5" w14:textId="7EA7D58F"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МП_УЕ</w:t>
            </w:r>
            <w:r w:rsidR="00F217B1" w:rsidRPr="00FF386D">
              <w:rPr>
                <w:rFonts w:ascii="Calibri Light" w:hAnsi="Calibri Light"/>
                <w:sz w:val="20"/>
              </w:rPr>
              <w:t>Т</w:t>
            </w:r>
            <w:r w:rsidRPr="00FF386D">
              <w:rPr>
                <w:rFonts w:ascii="Calibri Light" w:hAnsi="Calibri Light"/>
                <w:sz w:val="20"/>
              </w:rPr>
              <w:t xml:space="preserve">20 се </w:t>
            </w:r>
            <w:r w:rsidR="00F217B1" w:rsidRPr="00FF386D">
              <w:rPr>
                <w:rFonts w:ascii="Calibri Light" w:hAnsi="Calibri Light"/>
                <w:sz w:val="20"/>
              </w:rPr>
              <w:t>односи на</w:t>
            </w:r>
            <w:r w:rsidRPr="00FF386D">
              <w:rPr>
                <w:rFonts w:ascii="Calibri Light" w:hAnsi="Calibri Light"/>
                <w:sz w:val="20"/>
              </w:rPr>
              <w:t xml:space="preserve"> припрем</w:t>
            </w:r>
            <w:r w:rsidR="00F217B1" w:rsidRPr="00FF386D">
              <w:rPr>
                <w:rFonts w:ascii="Calibri Light" w:hAnsi="Calibri Light"/>
                <w:sz w:val="20"/>
              </w:rPr>
              <w:t>у</w:t>
            </w:r>
            <w:r w:rsidRPr="00FF386D">
              <w:rPr>
                <w:rFonts w:ascii="Calibri Light" w:hAnsi="Calibri Light"/>
                <w:sz w:val="20"/>
              </w:rPr>
              <w:t xml:space="preserve"> релевантног оквира који би требало да омогући колективно учешће и удео енергетских и финансијских користи категорија потрошача на нивоу заједнице </w:t>
            </w:r>
            <w:r w:rsidR="00F217B1" w:rsidRPr="00FF386D">
              <w:rPr>
                <w:rFonts w:ascii="Calibri Light" w:hAnsi="Calibri Light"/>
                <w:sz w:val="20"/>
              </w:rPr>
              <w:t>у којима</w:t>
            </w:r>
            <w:r w:rsidRPr="00FF386D">
              <w:rPr>
                <w:rFonts w:ascii="Calibri Light" w:hAnsi="Calibri Light"/>
                <w:sz w:val="20"/>
              </w:rPr>
              <w:t xml:space="preserve"> се </w:t>
            </w:r>
            <w:r w:rsidR="00F1411D">
              <w:rPr>
                <w:rFonts w:ascii="Calibri Light" w:hAnsi="Calibri Light"/>
                <w:sz w:val="20"/>
              </w:rPr>
              <w:t>енергенти</w:t>
            </w:r>
            <w:r w:rsidR="00F1411D" w:rsidRPr="00FF386D">
              <w:rPr>
                <w:rFonts w:ascii="Calibri Light" w:hAnsi="Calibri Light"/>
                <w:sz w:val="20"/>
              </w:rPr>
              <w:t xml:space="preserve"> </w:t>
            </w:r>
            <w:r w:rsidRPr="00FF386D">
              <w:rPr>
                <w:rFonts w:ascii="Calibri Light" w:hAnsi="Calibri Light"/>
                <w:sz w:val="20"/>
              </w:rPr>
              <w:t xml:space="preserve">и услуге енергије могу локално оптимизовати, а вишак размењивати </w:t>
            </w:r>
            <w:r w:rsidRPr="00FF386D">
              <w:rPr>
                <w:rFonts w:ascii="Calibri Light" w:eastAsia="NSimSun" w:hAnsi="Calibri Light" w:cs="Mangal"/>
                <w:kern w:val="2"/>
                <w:sz w:val="20"/>
                <w:szCs w:val="24"/>
                <w:lang w:eastAsia="zh-CN" w:bidi="hi-IN"/>
              </w:rPr>
              <w:t>у тржишном</w:t>
            </w:r>
            <w:r w:rsidRPr="00FF386D">
              <w:rPr>
                <w:rFonts w:ascii="Calibri Light" w:hAnsi="Calibri Light"/>
                <w:sz w:val="20"/>
              </w:rPr>
              <w:t xml:space="preserve"> оквиру, на велепродајном или малопродајном тржишту електричне енергије. </w:t>
            </w:r>
            <w:r w:rsidR="00F217B1" w:rsidRPr="00FF386D">
              <w:rPr>
                <w:rFonts w:ascii="Calibri Light" w:hAnsi="Calibri Light"/>
                <w:sz w:val="20"/>
              </w:rPr>
              <w:t>У складу са постојећим</w:t>
            </w:r>
            <w:r w:rsidRPr="00FF386D">
              <w:rPr>
                <w:rFonts w:ascii="Calibri Light" w:hAnsi="Calibri Light"/>
                <w:sz w:val="20"/>
              </w:rPr>
              <w:t xml:space="preserve"> оквир</w:t>
            </w:r>
            <w:r w:rsidR="00F217B1" w:rsidRPr="00FF386D">
              <w:rPr>
                <w:rFonts w:ascii="Calibri Light" w:hAnsi="Calibri Light"/>
                <w:sz w:val="20"/>
              </w:rPr>
              <w:t>ом</w:t>
            </w:r>
            <w:r w:rsidRPr="00FF386D">
              <w:rPr>
                <w:rFonts w:ascii="Calibri Light" w:hAnsi="Calibri Light"/>
                <w:sz w:val="20"/>
              </w:rPr>
              <w:t xml:space="preserve">, заједница може стећи статус привременог </w:t>
            </w:r>
            <w:r w:rsidRPr="00FF386D">
              <w:rPr>
                <w:rFonts w:ascii="Calibri Light" w:eastAsia="NSimSun" w:hAnsi="Calibri Light" w:cs="Mangal"/>
                <w:kern w:val="2"/>
                <w:sz w:val="20"/>
                <w:szCs w:val="24"/>
                <w:lang w:eastAsia="zh-CN" w:bidi="hi-IN"/>
              </w:rPr>
              <w:t>п</w:t>
            </w:r>
            <w:r w:rsidR="008C725F" w:rsidRPr="00FF386D">
              <w:rPr>
                <w:rFonts w:ascii="Calibri Light" w:eastAsia="NSimSun" w:hAnsi="Calibri Light" w:cs="Mangal"/>
                <w:kern w:val="2"/>
                <w:sz w:val="20"/>
                <w:szCs w:val="24"/>
                <w:lang w:eastAsia="zh-CN" w:bidi="hi-IN"/>
              </w:rPr>
              <w:t>овлашћеног</w:t>
            </w:r>
            <w:r w:rsidRPr="00FF386D">
              <w:rPr>
                <w:rFonts w:ascii="Calibri Light" w:hAnsi="Calibri Light"/>
                <w:sz w:val="20"/>
              </w:rPr>
              <w:t xml:space="preserve"> произвођача, односно статус </w:t>
            </w:r>
            <w:r w:rsidR="00F217B1" w:rsidRPr="00FF386D">
              <w:rPr>
                <w:rFonts w:ascii="Calibri Light" w:hAnsi="Calibri Light"/>
                <w:sz w:val="20"/>
              </w:rPr>
              <w:t xml:space="preserve">повлашћеног </w:t>
            </w:r>
            <w:r w:rsidRPr="00FF386D">
              <w:rPr>
                <w:rFonts w:ascii="Calibri Light" w:hAnsi="Calibri Light"/>
                <w:sz w:val="20"/>
              </w:rPr>
              <w:t xml:space="preserve">произвођача и статус произвођача електричне енергије из обновљивих извора енергије, </w:t>
            </w:r>
            <w:r w:rsidR="00F217B1" w:rsidRPr="00FF386D">
              <w:rPr>
                <w:rFonts w:ascii="Calibri Light" w:hAnsi="Calibri Light"/>
                <w:sz w:val="20"/>
              </w:rPr>
              <w:t>и</w:t>
            </w:r>
            <w:r w:rsidRPr="00FF386D">
              <w:rPr>
                <w:rFonts w:ascii="Calibri Light" w:hAnsi="Calibri Light"/>
                <w:sz w:val="20"/>
              </w:rPr>
              <w:t xml:space="preserve"> подстицајне мере у области топлотне енергије. Заједница може бити учесник на тржишту електричне енергије као произвођач електричне енергије из ОИЕ у систему подстицаја или у улози произвођача-</w:t>
            </w:r>
            <w:r w:rsidR="00F217B1" w:rsidRPr="00FF386D">
              <w:rPr>
                <w:rFonts w:ascii="Calibri Light" w:hAnsi="Calibri Light"/>
                <w:sz w:val="20"/>
              </w:rPr>
              <w:t>купца</w:t>
            </w:r>
            <w:r w:rsidRPr="00FF386D">
              <w:rPr>
                <w:rFonts w:ascii="Calibri Light" w:hAnsi="Calibri Light"/>
                <w:sz w:val="20"/>
              </w:rPr>
              <w:t>. Изазови се односе на интеграцију ОИЕ у систем, у смислу проширења, надоградње и модернизације</w:t>
            </w:r>
            <w:r w:rsidR="00F217B1" w:rsidRPr="00FF386D">
              <w:rPr>
                <w:rFonts w:ascii="Calibri Light" w:hAnsi="Calibri Light"/>
                <w:sz w:val="20"/>
              </w:rPr>
              <w:t xml:space="preserve"> мреже</w:t>
            </w:r>
            <w:r w:rsidRPr="00FF386D">
              <w:rPr>
                <w:rFonts w:ascii="Calibri Light" w:hAnsi="Calibri Light"/>
                <w:sz w:val="20"/>
              </w:rPr>
              <w:t>. Све претх</w:t>
            </w:r>
            <w:r w:rsidR="008C725F" w:rsidRPr="00FF386D">
              <w:rPr>
                <w:rFonts w:ascii="Calibri Light" w:hAnsi="Calibri Light"/>
                <w:sz w:val="20"/>
              </w:rPr>
              <w:t>о</w:t>
            </w:r>
            <w:r w:rsidRPr="00FF386D">
              <w:rPr>
                <w:rFonts w:ascii="Calibri Light" w:hAnsi="Calibri Light"/>
                <w:sz w:val="20"/>
              </w:rPr>
              <w:t>дно наведено мора на одговарајући начин да се одрази у тржишним и мрежним правилима</w:t>
            </w:r>
            <w:r w:rsidRPr="000A2AFE">
              <w:rPr>
                <w:rFonts w:ascii="Calibri Light" w:eastAsia="Times New Roman" w:hAnsi="Calibri Light" w:cs="Calibri Light"/>
                <w:color w:val="000000"/>
                <w:sz w:val="20"/>
                <w:szCs w:val="20"/>
                <w:lang w:eastAsia="en-GB"/>
              </w:rPr>
              <w:t>.</w:t>
            </w:r>
          </w:p>
        </w:tc>
      </w:tr>
      <w:tr w:rsidR="00854ADA" w:rsidRPr="00FF386D" w14:paraId="177EDE22" w14:textId="77777777" w:rsidTr="0057310C">
        <w:trPr>
          <w:trHeight w:val="315"/>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5601941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30" w:type="dxa"/>
            <w:gridSpan w:val="3"/>
            <w:tcBorders>
              <w:top w:val="single" w:sz="8" w:space="0" w:color="auto"/>
              <w:left w:val="nil"/>
              <w:bottom w:val="single" w:sz="8" w:space="0" w:color="auto"/>
              <w:right w:val="single" w:sz="8" w:space="0" w:color="000000"/>
            </w:tcBorders>
            <w:vAlign w:val="center"/>
            <w:hideMark/>
          </w:tcPr>
          <w:p w14:paraId="159BDD20"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2021-2030</w:t>
            </w:r>
          </w:p>
        </w:tc>
      </w:tr>
      <w:tr w:rsidR="00854ADA" w:rsidRPr="00FF386D" w14:paraId="470D8FCC" w14:textId="77777777" w:rsidTr="0057310C">
        <w:trPr>
          <w:trHeight w:val="315"/>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791C791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30" w:type="dxa"/>
            <w:gridSpan w:val="3"/>
            <w:tcBorders>
              <w:top w:val="single" w:sz="8" w:space="0" w:color="auto"/>
              <w:left w:val="nil"/>
              <w:bottom w:val="single" w:sz="8" w:space="0" w:color="auto"/>
              <w:right w:val="single" w:sz="8" w:space="0" w:color="000000"/>
            </w:tcBorders>
            <w:vAlign w:val="center"/>
            <w:hideMark/>
          </w:tcPr>
          <w:p w14:paraId="545E7724"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Реформа</w:t>
            </w:r>
          </w:p>
        </w:tc>
      </w:tr>
      <w:tr w:rsidR="00854ADA" w:rsidRPr="00FF386D" w14:paraId="046CB07A" w14:textId="77777777" w:rsidTr="0057310C">
        <w:trPr>
          <w:trHeight w:val="315"/>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6E52584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30" w:type="dxa"/>
            <w:gridSpan w:val="3"/>
            <w:tcBorders>
              <w:top w:val="single" w:sz="8" w:space="0" w:color="auto"/>
              <w:left w:val="nil"/>
              <w:bottom w:val="single" w:sz="8" w:space="0" w:color="auto"/>
              <w:right w:val="single" w:sz="8" w:space="0" w:color="000000"/>
            </w:tcBorders>
            <w:vAlign w:val="center"/>
            <w:hideMark/>
          </w:tcPr>
          <w:p w14:paraId="68118D75"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Стамбени, јавни, комерцијални, индустријски</w:t>
            </w:r>
          </w:p>
        </w:tc>
      </w:tr>
      <w:tr w:rsidR="00854ADA" w:rsidRPr="00FF386D" w14:paraId="11415D81" w14:textId="77777777" w:rsidTr="0057310C">
        <w:trPr>
          <w:trHeight w:val="315"/>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58BAEC2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30" w:type="dxa"/>
            <w:gridSpan w:val="3"/>
            <w:tcBorders>
              <w:top w:val="single" w:sz="8" w:space="0" w:color="auto"/>
              <w:left w:val="nil"/>
              <w:bottom w:val="single" w:sz="8" w:space="0" w:color="auto"/>
              <w:right w:val="single" w:sz="8" w:space="0" w:color="000000"/>
            </w:tcBorders>
            <w:vAlign w:val="center"/>
            <w:hideMark/>
          </w:tcPr>
          <w:p w14:paraId="16032223" w14:textId="77777777" w:rsidR="00854ADA" w:rsidRPr="00FF386D" w:rsidRDefault="00854ADA" w:rsidP="00854ADA">
            <w:pPr>
              <w:numPr>
                <w:ilvl w:val="0"/>
                <w:numId w:val="63"/>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рударства и енергетике</w:t>
            </w:r>
          </w:p>
        </w:tc>
      </w:tr>
      <w:tr w:rsidR="00854ADA" w:rsidRPr="00FF386D" w14:paraId="42395F65" w14:textId="77777777" w:rsidTr="0057310C">
        <w:trPr>
          <w:trHeight w:val="315"/>
        </w:trPr>
        <w:tc>
          <w:tcPr>
            <w:tcW w:w="3258" w:type="dxa"/>
            <w:tcBorders>
              <w:top w:val="nil"/>
              <w:left w:val="single" w:sz="8" w:space="0" w:color="auto"/>
              <w:bottom w:val="single" w:sz="8" w:space="0" w:color="auto"/>
              <w:right w:val="nil"/>
            </w:tcBorders>
            <w:shd w:val="clear" w:color="000000" w:fill="244062"/>
            <w:vAlign w:val="center"/>
            <w:hideMark/>
          </w:tcPr>
          <w:p w14:paraId="13ACC79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30" w:type="dxa"/>
            <w:gridSpan w:val="3"/>
            <w:tcBorders>
              <w:top w:val="single" w:sz="8" w:space="0" w:color="auto"/>
              <w:left w:val="nil"/>
              <w:bottom w:val="single" w:sz="8" w:space="0" w:color="auto"/>
              <w:right w:val="single" w:sz="8" w:space="0" w:color="000000"/>
            </w:tcBorders>
            <w:vAlign w:val="center"/>
            <w:hideMark/>
          </w:tcPr>
          <w:p w14:paraId="66721916" w14:textId="77777777" w:rsidR="00854ADA" w:rsidRPr="00FF386D" w:rsidRDefault="00854ADA" w:rsidP="00854ADA">
            <w:pPr>
              <w:numPr>
                <w:ilvl w:val="0"/>
                <w:numId w:val="63"/>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АЕРС</w:t>
            </w:r>
          </w:p>
        </w:tc>
      </w:tr>
      <w:tr w:rsidR="00854ADA" w:rsidRPr="00FF386D" w14:paraId="1A49ACB7" w14:textId="77777777" w:rsidTr="0057310C">
        <w:trPr>
          <w:trHeight w:val="315"/>
        </w:trPr>
        <w:tc>
          <w:tcPr>
            <w:tcW w:w="3258" w:type="dxa"/>
            <w:tcBorders>
              <w:top w:val="nil"/>
              <w:left w:val="single" w:sz="8" w:space="0" w:color="auto"/>
              <w:bottom w:val="single" w:sz="8" w:space="0" w:color="auto"/>
              <w:right w:val="nil"/>
            </w:tcBorders>
            <w:shd w:val="clear" w:color="000000" w:fill="244062"/>
            <w:vAlign w:val="center"/>
            <w:hideMark/>
          </w:tcPr>
          <w:p w14:paraId="2E0D8FF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30" w:type="dxa"/>
            <w:gridSpan w:val="3"/>
            <w:tcBorders>
              <w:top w:val="single" w:sz="8" w:space="0" w:color="auto"/>
              <w:left w:val="nil"/>
              <w:bottom w:val="single" w:sz="8" w:space="0" w:color="auto"/>
              <w:right w:val="single" w:sz="8" w:space="0" w:color="000000"/>
            </w:tcBorders>
            <w:vAlign w:val="center"/>
            <w:hideMark/>
          </w:tcPr>
          <w:p w14:paraId="5957D9C1"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Број лиценцираних (и комерцијално активних) ЗОЕИ и ЕЗГ и проценат потрошње и производње из ОИЕ (MWh) коју они чине на тржишту електричне енергије</w:t>
            </w:r>
          </w:p>
        </w:tc>
      </w:tr>
      <w:tr w:rsidR="00854ADA" w:rsidRPr="00FF386D" w14:paraId="0DCF89BA" w14:textId="77777777" w:rsidTr="0057310C">
        <w:trPr>
          <w:trHeight w:val="447"/>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177395A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30" w:type="dxa"/>
            <w:gridSpan w:val="3"/>
            <w:tcBorders>
              <w:top w:val="single" w:sz="8" w:space="0" w:color="auto"/>
              <w:left w:val="nil"/>
              <w:bottom w:val="single" w:sz="8" w:space="0" w:color="auto"/>
              <w:right w:val="single" w:sz="8" w:space="0" w:color="000000"/>
            </w:tcBorders>
            <w:vAlign w:val="center"/>
            <w:hideMark/>
          </w:tcPr>
          <w:p w14:paraId="4841628A" w14:textId="77777777" w:rsidR="00854ADA" w:rsidRPr="00FF386D" w:rsidRDefault="00854ADA" w:rsidP="00854ADA">
            <w:pPr>
              <w:numPr>
                <w:ilvl w:val="0"/>
                <w:numId w:val="63"/>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Енергетска ефикасност</w:t>
            </w:r>
          </w:p>
          <w:p w14:paraId="0F6E226D" w14:textId="77777777" w:rsidR="00854ADA" w:rsidRPr="00FF386D" w:rsidRDefault="00854ADA" w:rsidP="00854ADA">
            <w:pPr>
              <w:numPr>
                <w:ilvl w:val="0"/>
                <w:numId w:val="63"/>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Декарбонизација</w:t>
            </w:r>
          </w:p>
          <w:p w14:paraId="0F2B5E5B" w14:textId="77777777" w:rsidR="00854ADA" w:rsidRPr="00FF386D" w:rsidRDefault="00854ADA" w:rsidP="00854ADA">
            <w:pPr>
              <w:numPr>
                <w:ilvl w:val="0"/>
                <w:numId w:val="63"/>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Енергетска сигурност</w:t>
            </w:r>
          </w:p>
        </w:tc>
      </w:tr>
      <w:tr w:rsidR="00854ADA" w:rsidRPr="00FF386D" w14:paraId="28994543" w14:textId="77777777" w:rsidTr="0057310C">
        <w:trPr>
          <w:trHeight w:val="450"/>
        </w:trPr>
        <w:tc>
          <w:tcPr>
            <w:tcW w:w="3258"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6DE34EAD" w14:textId="7AAD7E9A"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30"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444E4632" w14:textId="77777777" w:rsidR="00854ADA" w:rsidRPr="000A2AFE" w:rsidRDefault="00854ADA" w:rsidP="00854ADA">
            <w:pPr>
              <w:numPr>
                <w:ilvl w:val="0"/>
                <w:numId w:val="60"/>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2009/72/EЗ</w:t>
            </w:r>
          </w:p>
          <w:p w14:paraId="09E7D60B" w14:textId="77777777" w:rsidR="00854ADA" w:rsidRPr="000A2AFE" w:rsidRDefault="00854ADA" w:rsidP="00854ADA">
            <w:pPr>
              <w:numPr>
                <w:ilvl w:val="0"/>
                <w:numId w:val="60"/>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lastRenderedPageBreak/>
              <w:t>Директива 2012/27/ЕУ</w:t>
            </w:r>
          </w:p>
          <w:p w14:paraId="1E0B0A5D" w14:textId="77777777" w:rsidR="00854ADA" w:rsidRPr="00FF386D" w:rsidRDefault="00854ADA" w:rsidP="00854ADA">
            <w:pPr>
              <w:numPr>
                <w:ilvl w:val="0"/>
                <w:numId w:val="60"/>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2018/2002/ΕУ</w:t>
            </w:r>
          </w:p>
        </w:tc>
      </w:tr>
      <w:tr w:rsidR="00854ADA" w:rsidRPr="00FF386D" w14:paraId="1980EDE9"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1B02ED04"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30" w:type="dxa"/>
            <w:gridSpan w:val="3"/>
            <w:vMerge/>
            <w:tcBorders>
              <w:top w:val="single" w:sz="8" w:space="0" w:color="auto"/>
              <w:left w:val="single" w:sz="8" w:space="0" w:color="auto"/>
              <w:bottom w:val="single" w:sz="8" w:space="0" w:color="000000"/>
              <w:right w:val="single" w:sz="8" w:space="0" w:color="000000"/>
            </w:tcBorders>
            <w:vAlign w:val="center"/>
            <w:hideMark/>
          </w:tcPr>
          <w:p w14:paraId="5A4B657A"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0AE03BCB"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0233CF67"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30" w:type="dxa"/>
            <w:gridSpan w:val="3"/>
            <w:vMerge/>
            <w:tcBorders>
              <w:top w:val="single" w:sz="8" w:space="0" w:color="auto"/>
              <w:left w:val="single" w:sz="8" w:space="0" w:color="auto"/>
              <w:bottom w:val="single" w:sz="8" w:space="0" w:color="000000"/>
              <w:right w:val="single" w:sz="8" w:space="0" w:color="000000"/>
            </w:tcBorders>
            <w:vAlign w:val="center"/>
            <w:hideMark/>
          </w:tcPr>
          <w:p w14:paraId="18A84809"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798B7AA3" w14:textId="77777777" w:rsidTr="0057310C">
        <w:trPr>
          <w:trHeight w:val="780"/>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57629FE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30" w:type="dxa"/>
            <w:gridSpan w:val="3"/>
            <w:tcBorders>
              <w:top w:val="single" w:sz="8" w:space="0" w:color="auto"/>
              <w:left w:val="nil"/>
              <w:bottom w:val="single" w:sz="8" w:space="0" w:color="auto"/>
              <w:right w:val="single" w:sz="8" w:space="0" w:color="000000"/>
            </w:tcBorders>
            <w:vAlign w:val="center"/>
            <w:hideMark/>
          </w:tcPr>
          <w:p w14:paraId="7D9D53DB" w14:textId="77777777" w:rsidR="00854ADA" w:rsidRPr="00FF386D" w:rsidRDefault="00854ADA" w:rsidP="00854ADA">
            <w:pPr>
              <w:numPr>
                <w:ilvl w:val="0"/>
                <w:numId w:val="6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енергетици</w:t>
            </w:r>
          </w:p>
          <w:p w14:paraId="17A6EAD4" w14:textId="77777777" w:rsidR="00854ADA" w:rsidRPr="00FF386D" w:rsidRDefault="00854ADA" w:rsidP="00854ADA">
            <w:pPr>
              <w:numPr>
                <w:ilvl w:val="0"/>
                <w:numId w:val="64"/>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ОИЕ</w:t>
            </w:r>
          </w:p>
        </w:tc>
      </w:tr>
      <w:tr w:rsidR="00854ADA" w:rsidRPr="00FF386D" w14:paraId="120BB08B" w14:textId="77777777" w:rsidTr="0057310C">
        <w:trPr>
          <w:trHeight w:val="315"/>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76ECC52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30" w:type="dxa"/>
            <w:gridSpan w:val="3"/>
            <w:tcBorders>
              <w:top w:val="single" w:sz="8" w:space="0" w:color="auto"/>
              <w:left w:val="nil"/>
              <w:bottom w:val="single" w:sz="8" w:space="0" w:color="auto"/>
              <w:right w:val="single" w:sz="8" w:space="0" w:color="000000"/>
            </w:tcBorders>
            <w:vAlign w:val="center"/>
            <w:hideMark/>
          </w:tcPr>
          <w:p w14:paraId="74559395" w14:textId="77777777" w:rsidR="00854ADA" w:rsidRPr="00FF386D" w:rsidRDefault="00854ADA" w:rsidP="00854ADA">
            <w:pPr>
              <w:spacing w:after="0" w:line="240" w:lineRule="auto"/>
              <w:jc w:val="both"/>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0,2 милиона евра</w:t>
            </w:r>
          </w:p>
        </w:tc>
      </w:tr>
      <w:tr w:rsidR="00854ADA" w:rsidRPr="00FF386D" w14:paraId="512A98F4" w14:textId="77777777" w:rsidTr="0057310C">
        <w:trPr>
          <w:trHeight w:val="315"/>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6580903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30" w:type="dxa"/>
            <w:gridSpan w:val="3"/>
            <w:tcBorders>
              <w:top w:val="single" w:sz="8" w:space="0" w:color="auto"/>
              <w:left w:val="nil"/>
              <w:bottom w:val="single" w:sz="8" w:space="0" w:color="auto"/>
              <w:right w:val="single" w:sz="8" w:space="0" w:color="000000"/>
            </w:tcBorders>
            <w:vAlign w:val="center"/>
            <w:hideMark/>
          </w:tcPr>
          <w:p w14:paraId="102AB33B" w14:textId="5F63E7E4" w:rsidR="00854ADA" w:rsidRPr="00FF386D" w:rsidRDefault="00854ADA" w:rsidP="00854ADA">
            <w:pPr>
              <w:spacing w:after="0" w:line="240" w:lineRule="auto"/>
              <w:jc w:val="both"/>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F026DB" w:rsidRPr="00FF386D">
              <w:rPr>
                <w:rFonts w:ascii="Calibri Light" w:eastAsia="Times New Roman" w:hAnsi="Calibri Light" w:cs="Calibri Light"/>
                <w:color w:val="000000"/>
                <w:sz w:val="20"/>
                <w:szCs w:val="20"/>
                <w:lang w:eastAsia="en-GB"/>
              </w:rPr>
              <w:t xml:space="preserve">ска средства </w:t>
            </w:r>
          </w:p>
        </w:tc>
      </w:tr>
    </w:tbl>
    <w:p w14:paraId="6A3A9D28"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17"/>
        <w:gridCol w:w="1309"/>
        <w:gridCol w:w="920"/>
        <w:gridCol w:w="4042"/>
      </w:tblGrid>
      <w:tr w:rsidR="00854ADA" w:rsidRPr="00FF386D" w14:paraId="5B342684" w14:textId="77777777" w:rsidTr="0057310C">
        <w:trPr>
          <w:trHeight w:val="780"/>
        </w:trPr>
        <w:tc>
          <w:tcPr>
            <w:tcW w:w="3217"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65AC0389" w14:textId="647752F6"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309" w:type="dxa"/>
            <w:tcBorders>
              <w:top w:val="single" w:sz="8" w:space="0" w:color="auto"/>
              <w:left w:val="nil"/>
              <w:bottom w:val="single" w:sz="8" w:space="0" w:color="auto"/>
              <w:right w:val="single" w:sz="8" w:space="0" w:color="auto"/>
            </w:tcBorders>
            <w:shd w:val="clear" w:color="auto" w:fill="E7E6E6" w:themeFill="background2"/>
            <w:vAlign w:val="center"/>
            <w:hideMark/>
          </w:tcPr>
          <w:p w14:paraId="13109037" w14:textId="42F66BF2"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МП_УЕ</w:t>
            </w:r>
            <w:r w:rsidR="00812BFA" w:rsidRPr="00FF386D">
              <w:rPr>
                <w:rFonts w:ascii="Calibri Light" w:hAnsi="Calibri Light"/>
                <w:b/>
                <w:sz w:val="20"/>
              </w:rPr>
              <w:t>Т</w:t>
            </w:r>
            <w:r w:rsidRPr="00FF386D">
              <w:rPr>
                <w:rFonts w:ascii="Calibri Light" w:hAnsi="Calibri Light"/>
                <w:b/>
                <w:sz w:val="20"/>
              </w:rPr>
              <w:t>21</w:t>
            </w:r>
          </w:p>
        </w:tc>
        <w:tc>
          <w:tcPr>
            <w:tcW w:w="920" w:type="dxa"/>
            <w:tcBorders>
              <w:top w:val="single" w:sz="8" w:space="0" w:color="auto"/>
              <w:left w:val="nil"/>
              <w:bottom w:val="single" w:sz="8" w:space="0" w:color="auto"/>
              <w:right w:val="single" w:sz="8" w:space="0" w:color="auto"/>
            </w:tcBorders>
            <w:shd w:val="clear" w:color="auto" w:fill="244062"/>
            <w:vAlign w:val="center"/>
            <w:hideMark/>
          </w:tcPr>
          <w:p w14:paraId="7D79419A"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042" w:type="dxa"/>
            <w:tcBorders>
              <w:top w:val="single" w:sz="8" w:space="0" w:color="auto"/>
              <w:left w:val="nil"/>
              <w:bottom w:val="single" w:sz="8" w:space="0" w:color="auto"/>
              <w:right w:val="single" w:sz="8" w:space="0" w:color="auto"/>
            </w:tcBorders>
            <w:shd w:val="clear" w:color="auto" w:fill="E7E6E6" w:themeFill="background2"/>
            <w:vAlign w:val="center"/>
            <w:hideMark/>
          </w:tcPr>
          <w:p w14:paraId="2FD6B6EB" w14:textId="50B69284"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 xml:space="preserve">Спровођење мрежних правила и смерница ЕУ за електричну енергију </w:t>
            </w:r>
            <w:r w:rsidR="00F22BCF">
              <w:rPr>
                <w:rFonts w:ascii="Calibri Light" w:hAnsi="Calibri Light"/>
                <w:b/>
                <w:sz w:val="20"/>
              </w:rPr>
              <w:t xml:space="preserve">путем </w:t>
            </w:r>
            <w:r w:rsidRPr="00FF386D">
              <w:rPr>
                <w:rFonts w:ascii="Calibri Light" w:hAnsi="Calibri Light"/>
                <w:b/>
                <w:sz w:val="20"/>
              </w:rPr>
              <w:t>одговарајућ</w:t>
            </w:r>
            <w:r w:rsidR="00812BFA" w:rsidRPr="00FF386D">
              <w:rPr>
                <w:rFonts w:ascii="Calibri Light" w:hAnsi="Calibri Light"/>
                <w:b/>
                <w:sz w:val="20"/>
              </w:rPr>
              <w:t>и</w:t>
            </w:r>
            <w:r w:rsidR="00F22BCF">
              <w:rPr>
                <w:rFonts w:ascii="Calibri Light" w:hAnsi="Calibri Light"/>
                <w:b/>
                <w:sz w:val="20"/>
              </w:rPr>
              <w:t>х</w:t>
            </w:r>
            <w:r w:rsidR="00812BFA" w:rsidRPr="00FF386D">
              <w:rPr>
                <w:rFonts w:ascii="Calibri Light" w:hAnsi="Calibri Light"/>
                <w:b/>
                <w:sz w:val="20"/>
              </w:rPr>
              <w:t xml:space="preserve"> </w:t>
            </w:r>
            <w:r w:rsidRPr="00FF386D">
              <w:rPr>
                <w:rFonts w:ascii="Calibri Light" w:hAnsi="Calibri Light"/>
                <w:b/>
                <w:sz w:val="20"/>
              </w:rPr>
              <w:t>измен</w:t>
            </w:r>
            <w:r w:rsidR="00812BFA" w:rsidRPr="00FF386D">
              <w:rPr>
                <w:rFonts w:ascii="Calibri Light" w:hAnsi="Calibri Light"/>
                <w:b/>
                <w:sz w:val="20"/>
              </w:rPr>
              <w:t>а и допуна</w:t>
            </w:r>
            <w:r w:rsidRPr="00FF386D">
              <w:rPr>
                <w:rFonts w:ascii="Calibri Light" w:hAnsi="Calibri Light"/>
                <w:b/>
                <w:sz w:val="20"/>
              </w:rPr>
              <w:t xml:space="preserve"> подзаконских аката и доношењем додатних правила, одлука и аката, где је то применљиво</w:t>
            </w:r>
            <w:r w:rsidRPr="000A2AFE">
              <w:rPr>
                <w:rFonts w:ascii="Calibri Light" w:eastAsia="Times New Roman" w:hAnsi="Calibri Light" w:cs="Calibri Light"/>
                <w:b/>
                <w:bCs/>
                <w:color w:val="000000"/>
                <w:sz w:val="20"/>
                <w:szCs w:val="20"/>
                <w:lang w:eastAsia="en-GB"/>
              </w:rPr>
              <w:t>.</w:t>
            </w:r>
          </w:p>
        </w:tc>
      </w:tr>
      <w:tr w:rsidR="00854ADA" w:rsidRPr="00FF386D" w14:paraId="56020035" w14:textId="77777777" w:rsidTr="0057310C">
        <w:trPr>
          <w:trHeight w:val="529"/>
        </w:trPr>
        <w:tc>
          <w:tcPr>
            <w:tcW w:w="3217" w:type="dxa"/>
            <w:tcBorders>
              <w:top w:val="nil"/>
              <w:left w:val="single" w:sz="8" w:space="0" w:color="auto"/>
              <w:bottom w:val="single" w:sz="8" w:space="0" w:color="auto"/>
              <w:right w:val="nil"/>
            </w:tcBorders>
            <w:shd w:val="clear" w:color="000000" w:fill="244062"/>
            <w:vAlign w:val="center"/>
            <w:hideMark/>
          </w:tcPr>
          <w:p w14:paraId="7AB68B4A" w14:textId="071FA20E"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71" w:type="dxa"/>
            <w:gridSpan w:val="3"/>
            <w:tcBorders>
              <w:top w:val="single" w:sz="8" w:space="0" w:color="auto"/>
              <w:left w:val="nil"/>
              <w:bottom w:val="single" w:sz="8" w:space="0" w:color="auto"/>
              <w:right w:val="single" w:sz="8" w:space="0" w:color="000000"/>
            </w:tcBorders>
            <w:vAlign w:val="center"/>
          </w:tcPr>
          <w:p w14:paraId="480A80F5" w14:textId="43698366" w:rsidR="00854ADA" w:rsidRPr="00FF386D" w:rsidRDefault="008862E9"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Повећана флексибилност система и квалитет снабдевања електричном енергијом, посебно применом политика и мера које се односе на формирање цена заснованих на тржишту у складу са важећим законом; интеграција и спајање тржишта с циљем да се повећају капацитети</w:t>
            </w:r>
            <w:r w:rsidR="001D36D0">
              <w:t xml:space="preserve"> </w:t>
            </w:r>
            <w:r w:rsidR="001D36D0" w:rsidRPr="001D36D0">
              <w:rPr>
                <w:rFonts w:ascii="Calibri Light" w:eastAsia="Times New Roman" w:hAnsi="Calibri Light" w:cs="Calibri Light"/>
                <w:color w:val="000000"/>
                <w:sz w:val="20"/>
                <w:szCs w:val="20"/>
                <w:lang w:eastAsia="en-GB"/>
              </w:rPr>
              <w:t>за трговање</w:t>
            </w:r>
            <w:r w:rsidRPr="00FF386D">
              <w:rPr>
                <w:rFonts w:ascii="Calibri Light" w:eastAsia="Times New Roman" w:hAnsi="Calibri Light" w:cs="Calibri Light"/>
                <w:color w:val="000000"/>
                <w:sz w:val="20"/>
                <w:szCs w:val="20"/>
                <w:lang w:eastAsia="en-GB"/>
              </w:rPr>
              <w:t xml:space="preserve"> постојећих интерконектора, паметних мрежа, агрегације, </w:t>
            </w:r>
            <w:r w:rsidR="001D36D0" w:rsidRPr="001D36D0">
              <w:rPr>
                <w:rFonts w:ascii="Calibri Light" w:eastAsia="Times New Roman" w:hAnsi="Calibri Light" w:cs="Calibri Light"/>
                <w:color w:val="000000"/>
                <w:sz w:val="20"/>
                <w:szCs w:val="20"/>
                <w:lang w:eastAsia="en-GB"/>
              </w:rPr>
              <w:t>одзив</w:t>
            </w:r>
            <w:r w:rsidR="001D36D0">
              <w:rPr>
                <w:rFonts w:ascii="Calibri Light" w:eastAsia="Times New Roman" w:hAnsi="Calibri Light" w:cs="Calibri Light"/>
                <w:color w:val="000000"/>
                <w:sz w:val="20"/>
                <w:szCs w:val="20"/>
                <w:lang w:eastAsia="en-GB"/>
              </w:rPr>
              <w:t>а</w:t>
            </w:r>
            <w:r w:rsidR="001D36D0" w:rsidRPr="001D36D0">
              <w:rPr>
                <w:rFonts w:ascii="Calibri Light" w:eastAsia="Times New Roman" w:hAnsi="Calibri Light" w:cs="Calibri Light"/>
                <w:color w:val="000000"/>
                <w:sz w:val="20"/>
                <w:szCs w:val="20"/>
                <w:lang w:eastAsia="en-GB"/>
              </w:rPr>
              <w:t xml:space="preserve"> потрошње</w:t>
            </w:r>
            <w:r w:rsidRPr="00FF386D">
              <w:rPr>
                <w:rFonts w:ascii="Calibri Light" w:eastAsia="Times New Roman" w:hAnsi="Calibri Light" w:cs="Calibri Light"/>
                <w:color w:val="000000"/>
                <w:sz w:val="20"/>
                <w:szCs w:val="20"/>
                <w:lang w:eastAsia="en-GB"/>
              </w:rPr>
              <w:t>, складиштења, дистрибуиране производње, механизама за диспеч</w:t>
            </w:r>
            <w:r w:rsidR="00566886">
              <w:rPr>
                <w:rFonts w:ascii="Calibri Light" w:eastAsia="Times New Roman" w:hAnsi="Calibri Light" w:cs="Calibri Light"/>
                <w:color w:val="000000"/>
                <w:sz w:val="20"/>
                <w:szCs w:val="20"/>
                <w:lang w:eastAsia="en-GB"/>
              </w:rPr>
              <w:t>инг</w:t>
            </w:r>
            <w:r w:rsidRPr="00FF386D">
              <w:rPr>
                <w:rFonts w:ascii="Calibri Light" w:eastAsia="Times New Roman" w:hAnsi="Calibri Light" w:cs="Calibri Light"/>
                <w:color w:val="000000"/>
                <w:sz w:val="20"/>
                <w:szCs w:val="20"/>
                <w:lang w:eastAsia="en-GB"/>
              </w:rPr>
              <w:t>, редиспеч</w:t>
            </w:r>
            <w:r w:rsidR="00566886">
              <w:rPr>
                <w:rFonts w:ascii="Calibri Light" w:eastAsia="Times New Roman" w:hAnsi="Calibri Light" w:cs="Calibri Light"/>
                <w:color w:val="000000"/>
                <w:sz w:val="20"/>
                <w:szCs w:val="20"/>
                <w:lang w:eastAsia="en-GB"/>
              </w:rPr>
              <w:t>инг</w:t>
            </w:r>
            <w:r w:rsidRPr="00FF386D">
              <w:rPr>
                <w:rFonts w:ascii="Calibri Light" w:eastAsia="Times New Roman" w:hAnsi="Calibri Light" w:cs="Calibri Light"/>
                <w:color w:val="000000"/>
                <w:sz w:val="20"/>
                <w:szCs w:val="20"/>
                <w:lang w:eastAsia="en-GB"/>
              </w:rPr>
              <w:t xml:space="preserve"> и ограничавања производње, као и ценовних сигнала у реалном времену.</w:t>
            </w:r>
          </w:p>
        </w:tc>
      </w:tr>
      <w:tr w:rsidR="00854ADA" w:rsidRPr="00FF386D" w14:paraId="473AC2CE"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25CEDCDA" w14:textId="6398AD3A"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71" w:type="dxa"/>
            <w:gridSpan w:val="3"/>
            <w:tcBorders>
              <w:top w:val="single" w:sz="8" w:space="0" w:color="auto"/>
              <w:left w:val="nil"/>
              <w:bottom w:val="single" w:sz="8" w:space="0" w:color="auto"/>
              <w:right w:val="single" w:sz="8" w:space="0" w:color="000000"/>
            </w:tcBorders>
            <w:vAlign w:val="center"/>
          </w:tcPr>
          <w:p w14:paraId="0BFB6ABE" w14:textId="7B7E6674" w:rsidR="00854ADA" w:rsidRPr="00FF386D" w:rsidRDefault="00854ADA" w:rsidP="00854ADA">
            <w:pPr>
              <w:spacing w:after="0" w:line="240" w:lineRule="auto"/>
              <w:jc w:val="both"/>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Спровођење правних тековина Енергетске заједнице</w:t>
            </w:r>
            <w:r w:rsidR="00566886">
              <w:rPr>
                <w:rFonts w:asciiTheme="majorHAnsi" w:eastAsia="Times New Roman" w:hAnsiTheme="majorHAnsi" w:cstheme="majorHAnsi"/>
                <w:color w:val="000000"/>
                <w:sz w:val="20"/>
                <w:szCs w:val="20"/>
                <w:lang w:eastAsia="en-GB"/>
              </w:rPr>
              <w:t xml:space="preserve"> (укључујући Пакет за интеграцију електричне енергије)</w:t>
            </w:r>
            <w:r w:rsidRPr="00FF386D">
              <w:rPr>
                <w:rFonts w:asciiTheme="majorHAnsi" w:eastAsia="Times New Roman" w:hAnsiTheme="majorHAnsi" w:cstheme="majorHAnsi"/>
                <w:color w:val="000000"/>
                <w:sz w:val="20"/>
                <w:szCs w:val="20"/>
                <w:lang w:eastAsia="en-GB"/>
              </w:rPr>
              <w:t xml:space="preserve">, повећано коришћење интерконектора на тржишту, конвергенција цена са суседном зоном </w:t>
            </w:r>
            <w:r w:rsidR="001D36D0" w:rsidRPr="001D36D0">
              <w:rPr>
                <w:rFonts w:asciiTheme="majorHAnsi" w:eastAsia="Times New Roman" w:hAnsiTheme="majorHAnsi" w:cstheme="majorHAnsi"/>
                <w:color w:val="000000"/>
                <w:sz w:val="20"/>
                <w:szCs w:val="20"/>
                <w:lang w:eastAsia="en-GB"/>
              </w:rPr>
              <w:t>трговања</w:t>
            </w:r>
            <w:r w:rsidRPr="00FF386D">
              <w:rPr>
                <w:rFonts w:asciiTheme="majorHAnsi" w:eastAsia="Times New Roman" w:hAnsiTheme="majorHAnsi" w:cstheme="majorHAnsi"/>
                <w:color w:val="000000"/>
                <w:sz w:val="20"/>
                <w:szCs w:val="20"/>
                <w:lang w:eastAsia="en-GB"/>
              </w:rPr>
              <w:t>, повећана интеграција ОИЕ базирана на тржишту у миксу електричне енергије</w:t>
            </w:r>
            <w:r w:rsidR="00566886">
              <w:rPr>
                <w:rFonts w:asciiTheme="majorHAnsi" w:eastAsia="Times New Roman" w:hAnsiTheme="majorHAnsi" w:cstheme="majorHAnsi"/>
                <w:color w:val="000000"/>
                <w:sz w:val="20"/>
                <w:szCs w:val="20"/>
                <w:lang w:eastAsia="en-GB"/>
              </w:rPr>
              <w:t xml:space="preserve">, испуњење циља минималног </w:t>
            </w:r>
            <w:r w:rsidR="00314881">
              <w:rPr>
                <w:rFonts w:asciiTheme="majorHAnsi" w:eastAsia="Times New Roman" w:hAnsiTheme="majorHAnsi" w:cstheme="majorHAnsi"/>
                <w:color w:val="000000"/>
                <w:sz w:val="20"/>
                <w:szCs w:val="20"/>
                <w:lang w:eastAsia="en-GB"/>
              </w:rPr>
              <w:t>прекограничног капацитета од 70%, могућност размене балансних ресурса</w:t>
            </w:r>
          </w:p>
        </w:tc>
      </w:tr>
      <w:tr w:rsidR="00854ADA" w:rsidRPr="00FF386D" w14:paraId="63EF8B0C" w14:textId="77777777" w:rsidTr="0057310C">
        <w:trPr>
          <w:trHeight w:val="443"/>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3450332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71" w:type="dxa"/>
            <w:gridSpan w:val="3"/>
            <w:tcBorders>
              <w:top w:val="single" w:sz="8" w:space="0" w:color="auto"/>
              <w:left w:val="nil"/>
              <w:bottom w:val="single" w:sz="8" w:space="0" w:color="auto"/>
              <w:right w:val="single" w:sz="8" w:space="0" w:color="000000"/>
            </w:tcBorders>
            <w:vAlign w:val="center"/>
            <w:hideMark/>
          </w:tcPr>
          <w:p w14:paraId="713B5A3F" w14:textId="6C3E7F8F" w:rsidR="00854ADA" w:rsidRDefault="00854ADA" w:rsidP="00854ADA">
            <w:pPr>
              <w:spacing w:after="0" w:line="240" w:lineRule="auto"/>
              <w:jc w:val="both"/>
              <w:rPr>
                <w:rFonts w:ascii="Calibri Light" w:hAnsi="Calibri Light"/>
                <w:sz w:val="20"/>
              </w:rPr>
            </w:pPr>
            <w:r w:rsidRPr="00FF386D">
              <w:rPr>
                <w:rFonts w:ascii="Calibri Light" w:hAnsi="Calibri Light"/>
                <w:sz w:val="20"/>
              </w:rPr>
              <w:t>МП_УЕ</w:t>
            </w:r>
            <w:r w:rsidR="00812BFA" w:rsidRPr="00FF386D">
              <w:rPr>
                <w:rFonts w:ascii="Calibri Light" w:hAnsi="Calibri Light"/>
                <w:sz w:val="20"/>
              </w:rPr>
              <w:t>Т</w:t>
            </w:r>
            <w:r w:rsidRPr="00FF386D">
              <w:rPr>
                <w:rFonts w:ascii="Calibri Light" w:hAnsi="Calibri Light"/>
                <w:sz w:val="20"/>
              </w:rPr>
              <w:t xml:space="preserve">21 </w:t>
            </w:r>
            <w:r w:rsidR="002C496D" w:rsidRPr="00FF386D">
              <w:rPr>
                <w:rFonts w:ascii="Calibri Light" w:hAnsi="Calibri Light"/>
                <w:sz w:val="20"/>
              </w:rPr>
              <w:t>је усмерена на</w:t>
            </w:r>
            <w:r w:rsidRPr="00FF386D">
              <w:rPr>
                <w:rFonts w:ascii="Calibri Light" w:hAnsi="Calibri Light"/>
                <w:sz w:val="20"/>
              </w:rPr>
              <w:t xml:space="preserve"> наставак рада на спровођењу правила и смерница ЕУ садржаних у оквирним условима ЕУ који </w:t>
            </w:r>
            <w:r w:rsidRPr="00FF386D">
              <w:rPr>
                <w:rFonts w:ascii="Calibri Light" w:eastAsia="NSimSun" w:hAnsi="Calibri Light" w:cs="Mangal"/>
                <w:kern w:val="2"/>
                <w:sz w:val="20"/>
                <w:szCs w:val="24"/>
                <w:lang w:eastAsia="zh-CN" w:bidi="hi-IN"/>
              </w:rPr>
              <w:t>обез</w:t>
            </w:r>
            <w:r w:rsidR="008C725F" w:rsidRPr="00FF386D">
              <w:rPr>
                <w:rFonts w:ascii="Calibri Light" w:eastAsia="NSimSun" w:hAnsi="Calibri Light" w:cs="Mangal"/>
                <w:kern w:val="2"/>
                <w:sz w:val="20"/>
                <w:szCs w:val="24"/>
                <w:lang w:eastAsia="zh-CN" w:bidi="hi-IN"/>
              </w:rPr>
              <w:t>б</w:t>
            </w:r>
            <w:r w:rsidRPr="00FF386D">
              <w:rPr>
                <w:rFonts w:ascii="Calibri Light" w:eastAsia="NSimSun" w:hAnsi="Calibri Light" w:cs="Mangal"/>
                <w:kern w:val="2"/>
                <w:sz w:val="20"/>
                <w:szCs w:val="24"/>
                <w:lang w:eastAsia="zh-CN" w:bidi="hi-IN"/>
              </w:rPr>
              <w:t>еђују</w:t>
            </w:r>
            <w:r w:rsidRPr="00FF386D">
              <w:rPr>
                <w:rFonts w:ascii="Calibri Light" w:hAnsi="Calibri Light"/>
                <w:sz w:val="20"/>
              </w:rPr>
              <w:t xml:space="preserve"> конкурентност, приступачност и сигурност. Њихов циљ је побољшање сигурности и квалитета снабдевања електричном енергијом, уз усклађивање оператора система са тржишним механизмима. Мрежна правила и смернице ЕУ, заједно са Директивом и Уредбом о електричној енергији у оквиру Пакета за зелену енергију, имају за циљ прелазак на чисту енергију у Европи путем боље тржишне интеграције обновљивих извора енергије. Енергетска заједница и измене и допуне Закона о енергетици су дефинисале захтев</w:t>
            </w:r>
            <w:r w:rsidR="00B4216E" w:rsidRPr="00FF386D">
              <w:rPr>
                <w:rFonts w:ascii="Calibri Light" w:hAnsi="Calibri Light"/>
                <w:sz w:val="20"/>
              </w:rPr>
              <w:t xml:space="preserve"> увођења</w:t>
            </w:r>
            <w:r w:rsidR="00314881">
              <w:rPr>
                <w:rFonts w:ascii="Calibri Light" w:hAnsi="Calibri Light"/>
                <w:sz w:val="20"/>
              </w:rPr>
              <w:t xml:space="preserve"> Уредбе (ЕУ) 2015/122</w:t>
            </w:r>
            <w:r w:rsidRPr="00FF386D">
              <w:rPr>
                <w:rFonts w:ascii="Calibri Light" w:hAnsi="Calibri Light"/>
                <w:sz w:val="20"/>
              </w:rPr>
              <w:t xml:space="preserve"> </w:t>
            </w:r>
            <w:r w:rsidRPr="00FF386D">
              <w:rPr>
                <w:rFonts w:ascii="Calibri Light" w:hAnsi="Calibri Light"/>
                <w:i/>
                <w:iCs/>
                <w:sz w:val="20"/>
              </w:rPr>
              <w:t>CACM</w:t>
            </w:r>
            <w:r w:rsidRPr="00FF386D">
              <w:rPr>
                <w:rFonts w:ascii="Calibri Light" w:hAnsi="Calibri Light"/>
                <w:sz w:val="20"/>
              </w:rPr>
              <w:t xml:space="preserve">, а такође би било препоручљиво да </w:t>
            </w:r>
            <w:r w:rsidR="00314881">
              <w:rPr>
                <w:rFonts w:ascii="Calibri Light" w:hAnsi="Calibri Light"/>
                <w:sz w:val="20"/>
              </w:rPr>
              <w:t>се</w:t>
            </w:r>
            <w:r w:rsidRPr="00FF386D">
              <w:rPr>
                <w:rFonts w:ascii="Calibri Light" w:hAnsi="Calibri Light"/>
                <w:sz w:val="20"/>
              </w:rPr>
              <w:t xml:space="preserve"> </w:t>
            </w:r>
            <w:r w:rsidR="002C496D" w:rsidRPr="00FF386D">
              <w:rPr>
                <w:rFonts w:ascii="Calibri Light" w:hAnsi="Calibri Light"/>
                <w:sz w:val="20"/>
              </w:rPr>
              <w:t>самостално</w:t>
            </w:r>
            <w:r w:rsidRPr="00FF386D">
              <w:rPr>
                <w:rFonts w:ascii="Calibri Light" w:hAnsi="Calibri Light"/>
                <w:sz w:val="20"/>
              </w:rPr>
              <w:t xml:space="preserve"> донесе </w:t>
            </w:r>
            <w:r w:rsidR="00314881">
              <w:rPr>
                <w:rFonts w:ascii="Calibri Light" w:hAnsi="Calibri Light"/>
                <w:sz w:val="20"/>
              </w:rPr>
              <w:t>Уредб</w:t>
            </w:r>
            <w:r w:rsidR="00566348">
              <w:rPr>
                <w:rFonts w:ascii="Calibri Light" w:hAnsi="Calibri Light"/>
                <w:sz w:val="20"/>
              </w:rPr>
              <w:t>у</w:t>
            </w:r>
            <w:r w:rsidR="00314881">
              <w:rPr>
                <w:rFonts w:ascii="Calibri Light" w:hAnsi="Calibri Light"/>
                <w:sz w:val="20"/>
              </w:rPr>
              <w:t xml:space="preserve"> (ЕУ) 2017/2195 </w:t>
            </w:r>
            <w:r w:rsidRPr="00FF386D">
              <w:rPr>
                <w:rFonts w:ascii="Calibri Light" w:hAnsi="Calibri Light"/>
                <w:i/>
                <w:iCs/>
                <w:sz w:val="20"/>
              </w:rPr>
              <w:t>EBGL</w:t>
            </w:r>
            <w:r w:rsidRPr="00FF386D">
              <w:rPr>
                <w:rFonts w:ascii="Calibri Light" w:hAnsi="Calibri Light"/>
                <w:sz w:val="20"/>
              </w:rPr>
              <w:t xml:space="preserve"> (члан 93а), у складу са Изменама и допунама Закона о енергетици</w:t>
            </w:r>
            <w:r w:rsidR="0000114B">
              <w:rPr>
                <w:rFonts w:ascii="Calibri Light" w:hAnsi="Calibri Light"/>
                <w:sz w:val="20"/>
              </w:rPr>
              <w:t>.</w:t>
            </w:r>
            <w:r w:rsidR="00314881">
              <w:rPr>
                <w:rFonts w:ascii="Calibri Light" w:hAnsi="Calibri Light"/>
                <w:sz w:val="20"/>
              </w:rPr>
              <w:t xml:space="preserve"> Ова МП ће такође омогућити спровођење следећих прописа ЕУ:</w:t>
            </w:r>
          </w:p>
          <w:p w14:paraId="2388B651" w14:textId="77777777" w:rsidR="00314881" w:rsidRPr="00314881" w:rsidRDefault="00314881" w:rsidP="00314881">
            <w:pPr>
              <w:numPr>
                <w:ilvl w:val="0"/>
                <w:numId w:val="66"/>
              </w:numPr>
              <w:spacing w:after="0" w:line="240" w:lineRule="auto"/>
              <w:jc w:val="both"/>
              <w:rPr>
                <w:rFonts w:ascii="Calibri Light" w:eastAsia="Times New Roman" w:hAnsi="Calibri Light" w:cs="Calibri Light"/>
                <w:color w:val="000000"/>
                <w:sz w:val="20"/>
                <w:szCs w:val="20"/>
                <w:lang w:val="en-GB" w:eastAsia="en-GB"/>
              </w:rPr>
            </w:pPr>
            <w:r w:rsidRPr="00314881">
              <w:rPr>
                <w:rFonts w:ascii="Calibri Light" w:eastAsia="Times New Roman" w:hAnsi="Calibri Light" w:cs="Calibri Light"/>
                <w:color w:val="000000"/>
                <w:sz w:val="20"/>
                <w:szCs w:val="20"/>
                <w:lang w:val="en-GB" w:eastAsia="en-GB"/>
              </w:rPr>
              <w:t>2017/1485 (</w:t>
            </w:r>
            <w:r w:rsidRPr="000A2AFE">
              <w:rPr>
                <w:rFonts w:ascii="Calibri Light" w:eastAsia="Times New Roman" w:hAnsi="Calibri Light" w:cs="Calibri Light"/>
                <w:i/>
                <w:iCs/>
                <w:color w:val="000000"/>
                <w:sz w:val="20"/>
                <w:szCs w:val="20"/>
                <w:lang w:val="en-GB" w:eastAsia="en-GB"/>
              </w:rPr>
              <w:t>SO GL</w:t>
            </w:r>
            <w:r w:rsidRPr="00314881">
              <w:rPr>
                <w:rFonts w:ascii="Calibri Light" w:eastAsia="Times New Roman" w:hAnsi="Calibri Light" w:cs="Calibri Light"/>
                <w:color w:val="000000"/>
                <w:sz w:val="20"/>
                <w:szCs w:val="20"/>
                <w:lang w:val="en-GB" w:eastAsia="en-GB"/>
              </w:rPr>
              <w:t>)</w:t>
            </w:r>
          </w:p>
          <w:p w14:paraId="4EC71725" w14:textId="77777777" w:rsidR="00314881" w:rsidRPr="00314881" w:rsidRDefault="00314881" w:rsidP="00314881">
            <w:pPr>
              <w:numPr>
                <w:ilvl w:val="0"/>
                <w:numId w:val="66"/>
              </w:numPr>
              <w:spacing w:after="0" w:line="240" w:lineRule="auto"/>
              <w:jc w:val="both"/>
              <w:rPr>
                <w:rFonts w:ascii="Calibri Light" w:eastAsia="Times New Roman" w:hAnsi="Calibri Light" w:cs="Calibri Light"/>
                <w:color w:val="000000"/>
                <w:sz w:val="20"/>
                <w:szCs w:val="20"/>
                <w:lang w:val="en-GB" w:eastAsia="en-GB"/>
              </w:rPr>
            </w:pPr>
            <w:r w:rsidRPr="00314881">
              <w:rPr>
                <w:rFonts w:ascii="Calibri Light" w:eastAsia="Times New Roman" w:hAnsi="Calibri Light" w:cs="Calibri Light"/>
                <w:color w:val="000000"/>
                <w:sz w:val="20"/>
                <w:szCs w:val="20"/>
                <w:lang w:val="en-GB" w:eastAsia="en-GB"/>
              </w:rPr>
              <w:t>2017/2196 (</w:t>
            </w:r>
            <w:r w:rsidRPr="000A2AFE">
              <w:rPr>
                <w:rFonts w:ascii="Calibri Light" w:eastAsia="Times New Roman" w:hAnsi="Calibri Light" w:cs="Calibri Light"/>
                <w:i/>
                <w:iCs/>
                <w:color w:val="000000"/>
                <w:sz w:val="20"/>
                <w:szCs w:val="20"/>
                <w:lang w:val="en-GB" w:eastAsia="en-GB"/>
              </w:rPr>
              <w:t>EN RC</w:t>
            </w:r>
            <w:r w:rsidRPr="00314881">
              <w:rPr>
                <w:rFonts w:ascii="Calibri Light" w:eastAsia="Times New Roman" w:hAnsi="Calibri Light" w:cs="Calibri Light"/>
                <w:color w:val="000000"/>
                <w:sz w:val="20"/>
                <w:szCs w:val="20"/>
                <w:lang w:val="en-GB" w:eastAsia="en-GB"/>
              </w:rPr>
              <w:t>)</w:t>
            </w:r>
          </w:p>
          <w:p w14:paraId="46CFB87D" w14:textId="77777777" w:rsidR="00314881" w:rsidRPr="00314881" w:rsidRDefault="00314881" w:rsidP="00314881">
            <w:pPr>
              <w:numPr>
                <w:ilvl w:val="0"/>
                <w:numId w:val="66"/>
              </w:numPr>
              <w:spacing w:after="0" w:line="240" w:lineRule="auto"/>
              <w:jc w:val="both"/>
              <w:rPr>
                <w:rFonts w:ascii="Calibri Light" w:eastAsia="Times New Roman" w:hAnsi="Calibri Light" w:cs="Calibri Light"/>
                <w:color w:val="000000"/>
                <w:sz w:val="20"/>
                <w:szCs w:val="20"/>
                <w:lang w:val="en-GB" w:eastAsia="en-GB"/>
              </w:rPr>
            </w:pPr>
            <w:r w:rsidRPr="00314881">
              <w:rPr>
                <w:rFonts w:ascii="Calibri Light" w:eastAsia="Times New Roman" w:hAnsi="Calibri Light" w:cs="Calibri Light"/>
                <w:color w:val="000000"/>
                <w:sz w:val="20"/>
                <w:szCs w:val="20"/>
                <w:lang w:val="en-GB" w:eastAsia="en-GB"/>
              </w:rPr>
              <w:t>2016/1719 (</w:t>
            </w:r>
            <w:r w:rsidRPr="000A2AFE">
              <w:rPr>
                <w:rFonts w:ascii="Calibri Light" w:eastAsia="Times New Roman" w:hAnsi="Calibri Light" w:cs="Calibri Light"/>
                <w:i/>
                <w:iCs/>
                <w:color w:val="000000"/>
                <w:sz w:val="20"/>
                <w:szCs w:val="20"/>
                <w:lang w:val="en-GB" w:eastAsia="en-GB"/>
              </w:rPr>
              <w:t>FCA GL</w:t>
            </w:r>
            <w:r w:rsidRPr="00314881">
              <w:rPr>
                <w:rFonts w:ascii="Calibri Light" w:eastAsia="Times New Roman" w:hAnsi="Calibri Light" w:cs="Calibri Light"/>
                <w:color w:val="000000"/>
                <w:sz w:val="20"/>
                <w:szCs w:val="20"/>
                <w:lang w:val="en-GB" w:eastAsia="en-GB"/>
              </w:rPr>
              <w:t>)</w:t>
            </w:r>
          </w:p>
          <w:p w14:paraId="29E56948" w14:textId="77777777" w:rsidR="00314881" w:rsidRDefault="00314881" w:rsidP="00314881">
            <w:pPr>
              <w:numPr>
                <w:ilvl w:val="0"/>
                <w:numId w:val="66"/>
              </w:numPr>
              <w:spacing w:after="0" w:line="240" w:lineRule="auto"/>
              <w:jc w:val="both"/>
              <w:rPr>
                <w:rFonts w:ascii="Calibri Light" w:eastAsia="Times New Roman" w:hAnsi="Calibri Light" w:cs="Calibri Light"/>
                <w:color w:val="000000"/>
                <w:sz w:val="20"/>
                <w:szCs w:val="20"/>
                <w:lang w:val="en-GB" w:eastAsia="en-GB"/>
              </w:rPr>
            </w:pPr>
            <w:r w:rsidRPr="00314881">
              <w:rPr>
                <w:rFonts w:ascii="Calibri Light" w:eastAsia="Times New Roman" w:hAnsi="Calibri Light" w:cs="Calibri Light"/>
                <w:color w:val="000000"/>
                <w:sz w:val="20"/>
                <w:szCs w:val="20"/>
                <w:lang w:val="en-GB" w:eastAsia="en-GB"/>
              </w:rPr>
              <w:t>2019/942 (</w:t>
            </w:r>
            <w:r w:rsidRPr="000A2AFE">
              <w:rPr>
                <w:rFonts w:ascii="Calibri Light" w:eastAsia="Times New Roman" w:hAnsi="Calibri Light" w:cs="Calibri Light"/>
                <w:i/>
                <w:iCs/>
                <w:color w:val="000000"/>
                <w:sz w:val="20"/>
                <w:szCs w:val="20"/>
                <w:lang w:val="en-GB" w:eastAsia="en-GB"/>
              </w:rPr>
              <w:t>ACER</w:t>
            </w:r>
            <w:r w:rsidRPr="00314881">
              <w:rPr>
                <w:rFonts w:ascii="Calibri Light" w:eastAsia="Times New Roman" w:hAnsi="Calibri Light" w:cs="Calibri Light"/>
                <w:color w:val="000000"/>
                <w:sz w:val="20"/>
                <w:szCs w:val="20"/>
                <w:lang w:val="en-GB" w:eastAsia="en-GB"/>
              </w:rPr>
              <w:t>)</w:t>
            </w:r>
          </w:p>
          <w:p w14:paraId="03C627BF" w14:textId="733A8879" w:rsidR="00314881" w:rsidRPr="00074ED3" w:rsidRDefault="00314881" w:rsidP="00565B02">
            <w:pPr>
              <w:numPr>
                <w:ilvl w:val="0"/>
                <w:numId w:val="66"/>
              </w:numPr>
              <w:spacing w:after="0" w:line="240" w:lineRule="auto"/>
              <w:jc w:val="both"/>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2019/943 за унутрашње тржиште електричне енергије</w:t>
            </w:r>
          </w:p>
        </w:tc>
      </w:tr>
      <w:tr w:rsidR="00854ADA" w:rsidRPr="00FF386D" w14:paraId="41CD7CAE"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77B6423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71" w:type="dxa"/>
            <w:gridSpan w:val="3"/>
            <w:tcBorders>
              <w:top w:val="single" w:sz="8" w:space="0" w:color="auto"/>
              <w:left w:val="nil"/>
              <w:bottom w:val="single" w:sz="8" w:space="0" w:color="auto"/>
              <w:right w:val="single" w:sz="8" w:space="0" w:color="000000"/>
            </w:tcBorders>
            <w:vAlign w:val="center"/>
            <w:hideMark/>
          </w:tcPr>
          <w:p w14:paraId="26165527"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2021-2030.</w:t>
            </w:r>
          </w:p>
        </w:tc>
      </w:tr>
      <w:tr w:rsidR="00854ADA" w:rsidRPr="00FF386D" w14:paraId="25DB4E38"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0334EBF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71" w:type="dxa"/>
            <w:gridSpan w:val="3"/>
            <w:tcBorders>
              <w:top w:val="single" w:sz="8" w:space="0" w:color="auto"/>
              <w:left w:val="nil"/>
              <w:bottom w:val="single" w:sz="8" w:space="0" w:color="auto"/>
              <w:right w:val="single" w:sz="8" w:space="0" w:color="000000"/>
            </w:tcBorders>
            <w:vAlign w:val="center"/>
            <w:hideMark/>
          </w:tcPr>
          <w:p w14:paraId="204C3007"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Реформа</w:t>
            </w:r>
          </w:p>
        </w:tc>
      </w:tr>
      <w:tr w:rsidR="00854ADA" w:rsidRPr="00FF386D" w14:paraId="10AB51D9"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6954845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71" w:type="dxa"/>
            <w:gridSpan w:val="3"/>
            <w:tcBorders>
              <w:top w:val="single" w:sz="8" w:space="0" w:color="auto"/>
              <w:left w:val="nil"/>
              <w:bottom w:val="single" w:sz="8" w:space="0" w:color="auto"/>
              <w:right w:val="single" w:sz="8" w:space="0" w:color="000000"/>
            </w:tcBorders>
            <w:vAlign w:val="center"/>
            <w:hideMark/>
          </w:tcPr>
          <w:p w14:paraId="6A671C08"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Електрична енергија</w:t>
            </w:r>
          </w:p>
        </w:tc>
      </w:tr>
      <w:tr w:rsidR="00854ADA" w:rsidRPr="00FF386D" w14:paraId="1B0EE319"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176FBDB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71" w:type="dxa"/>
            <w:gridSpan w:val="3"/>
            <w:tcBorders>
              <w:top w:val="single" w:sz="8" w:space="0" w:color="auto"/>
              <w:left w:val="nil"/>
              <w:bottom w:val="single" w:sz="8" w:space="0" w:color="auto"/>
              <w:right w:val="single" w:sz="8" w:space="0" w:color="000000"/>
            </w:tcBorders>
            <w:vAlign w:val="center"/>
            <w:hideMark/>
          </w:tcPr>
          <w:p w14:paraId="34CEAF36" w14:textId="77777777" w:rsidR="00854ADA" w:rsidRPr="00FF386D" w:rsidRDefault="00854ADA" w:rsidP="00854ADA">
            <w:pPr>
              <w:numPr>
                <w:ilvl w:val="0"/>
                <w:numId w:val="6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АЕРС</w:t>
            </w:r>
          </w:p>
          <w:p w14:paraId="78248341" w14:textId="77777777" w:rsidR="00854ADA" w:rsidRPr="00FF386D" w:rsidRDefault="00854ADA" w:rsidP="00854ADA">
            <w:pPr>
              <w:numPr>
                <w:ilvl w:val="0"/>
                <w:numId w:val="6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ЕМС</w:t>
            </w:r>
          </w:p>
          <w:p w14:paraId="2BCC503F" w14:textId="77777777" w:rsidR="00854ADA" w:rsidRPr="00FF386D" w:rsidRDefault="00854ADA" w:rsidP="00854ADA">
            <w:pPr>
              <w:numPr>
                <w:ilvl w:val="0"/>
                <w:numId w:val="6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рударства и енергетике</w:t>
            </w:r>
          </w:p>
          <w:p w14:paraId="582F4FA3" w14:textId="77777777" w:rsidR="00854ADA" w:rsidRPr="00FF386D" w:rsidRDefault="00854ADA" w:rsidP="00854ADA">
            <w:pPr>
              <w:numPr>
                <w:ilvl w:val="0"/>
                <w:numId w:val="6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lastRenderedPageBreak/>
              <w:t>ОДС</w:t>
            </w:r>
          </w:p>
          <w:p w14:paraId="2A0EF662" w14:textId="77777777" w:rsidR="00854ADA" w:rsidRPr="00FF386D" w:rsidRDefault="00854ADA" w:rsidP="00854ADA">
            <w:pPr>
              <w:numPr>
                <w:ilvl w:val="0"/>
                <w:numId w:val="6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i/>
                <w:iCs/>
                <w:color w:val="000000"/>
                <w:sz w:val="20"/>
                <w:szCs w:val="20"/>
                <w:lang w:eastAsia="en-GB"/>
              </w:rPr>
              <w:t>SEEPEX</w:t>
            </w:r>
          </w:p>
        </w:tc>
      </w:tr>
      <w:tr w:rsidR="00854ADA" w:rsidRPr="00FF386D" w14:paraId="5120DD0C" w14:textId="77777777" w:rsidTr="0057310C">
        <w:trPr>
          <w:trHeight w:val="315"/>
        </w:trPr>
        <w:tc>
          <w:tcPr>
            <w:tcW w:w="3217" w:type="dxa"/>
            <w:tcBorders>
              <w:top w:val="nil"/>
              <w:left w:val="single" w:sz="8" w:space="0" w:color="auto"/>
              <w:bottom w:val="single" w:sz="8" w:space="0" w:color="auto"/>
              <w:right w:val="nil"/>
            </w:tcBorders>
            <w:shd w:val="clear" w:color="000000" w:fill="244062"/>
            <w:vAlign w:val="center"/>
            <w:hideMark/>
          </w:tcPr>
          <w:p w14:paraId="252AF33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Тело за праћење</w:t>
            </w:r>
          </w:p>
        </w:tc>
        <w:tc>
          <w:tcPr>
            <w:tcW w:w="6271" w:type="dxa"/>
            <w:gridSpan w:val="3"/>
            <w:tcBorders>
              <w:top w:val="single" w:sz="8" w:space="0" w:color="auto"/>
              <w:left w:val="nil"/>
              <w:bottom w:val="single" w:sz="8" w:space="0" w:color="auto"/>
              <w:right w:val="single" w:sz="8" w:space="0" w:color="000000"/>
            </w:tcBorders>
            <w:vAlign w:val="center"/>
            <w:hideMark/>
          </w:tcPr>
          <w:p w14:paraId="3D42A23D" w14:textId="77777777" w:rsidR="00854ADA" w:rsidRDefault="00854ADA" w:rsidP="00854ADA">
            <w:pPr>
              <w:numPr>
                <w:ilvl w:val="0"/>
                <w:numId w:val="6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АЕРС</w:t>
            </w:r>
          </w:p>
          <w:p w14:paraId="7BC1B3EF" w14:textId="72D995E1" w:rsidR="00566886" w:rsidRPr="00FF386D" w:rsidRDefault="00566886" w:rsidP="000A2AFE">
            <w:pPr>
              <w:spacing w:after="0" w:line="240" w:lineRule="auto"/>
              <w:ind w:left="720"/>
              <w:contextualSpacing/>
              <w:rPr>
                <w:rFonts w:ascii="Calibri Light" w:eastAsia="Times New Roman" w:hAnsi="Calibri Light" w:cs="Calibri Light"/>
                <w:color w:val="000000"/>
                <w:sz w:val="20"/>
                <w:szCs w:val="20"/>
                <w:lang w:eastAsia="en-GB"/>
              </w:rPr>
            </w:pPr>
          </w:p>
        </w:tc>
      </w:tr>
      <w:tr w:rsidR="00854ADA" w:rsidRPr="00FF386D" w14:paraId="2FE1BD41" w14:textId="77777777" w:rsidTr="0057310C">
        <w:trPr>
          <w:trHeight w:val="315"/>
        </w:trPr>
        <w:tc>
          <w:tcPr>
            <w:tcW w:w="3217" w:type="dxa"/>
            <w:tcBorders>
              <w:top w:val="nil"/>
              <w:left w:val="single" w:sz="8" w:space="0" w:color="auto"/>
              <w:bottom w:val="single" w:sz="8" w:space="0" w:color="auto"/>
              <w:right w:val="nil"/>
            </w:tcBorders>
            <w:shd w:val="clear" w:color="000000" w:fill="244062"/>
            <w:vAlign w:val="center"/>
            <w:hideMark/>
          </w:tcPr>
          <w:p w14:paraId="74CCEDB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71" w:type="dxa"/>
            <w:gridSpan w:val="3"/>
            <w:tcBorders>
              <w:top w:val="single" w:sz="8" w:space="0" w:color="auto"/>
              <w:left w:val="nil"/>
              <w:bottom w:val="single" w:sz="8" w:space="0" w:color="auto"/>
              <w:right w:val="single" w:sz="8" w:space="0" w:color="000000"/>
            </w:tcBorders>
            <w:vAlign w:val="center"/>
            <w:hideMark/>
          </w:tcPr>
          <w:p w14:paraId="74C7CBC8"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Донет нови законодавни и регулаторни оквир са изменама постојећих мрежних и тржишних правила</w:t>
            </w:r>
          </w:p>
        </w:tc>
      </w:tr>
      <w:tr w:rsidR="00854ADA" w:rsidRPr="00FF386D" w14:paraId="534AAB63" w14:textId="77777777" w:rsidTr="0057310C">
        <w:trPr>
          <w:trHeight w:val="401"/>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02263B5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71" w:type="dxa"/>
            <w:gridSpan w:val="3"/>
            <w:tcBorders>
              <w:top w:val="single" w:sz="8" w:space="0" w:color="auto"/>
              <w:left w:val="nil"/>
              <w:bottom w:val="single" w:sz="8" w:space="0" w:color="auto"/>
              <w:right w:val="single" w:sz="8" w:space="0" w:color="000000"/>
            </w:tcBorders>
            <w:vAlign w:val="center"/>
            <w:hideMark/>
          </w:tcPr>
          <w:p w14:paraId="0B34C790" w14:textId="77777777" w:rsidR="00854ADA" w:rsidRPr="000A2AFE" w:rsidRDefault="00854ADA" w:rsidP="00854ADA">
            <w:pPr>
              <w:numPr>
                <w:ilvl w:val="0"/>
                <w:numId w:val="66"/>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Енергетска </w:t>
            </w:r>
            <w:r w:rsidRPr="00FF386D">
              <w:rPr>
                <w:rFonts w:ascii="Calibri Light" w:hAnsi="Calibri Light"/>
                <w:color w:val="000000"/>
                <w:sz w:val="20"/>
              </w:rPr>
              <w:t>сигурност</w:t>
            </w:r>
          </w:p>
          <w:p w14:paraId="74A6BE44" w14:textId="77777777" w:rsidR="00566886" w:rsidRPr="00FF386D" w:rsidRDefault="00566886" w:rsidP="00566886">
            <w:pPr>
              <w:numPr>
                <w:ilvl w:val="0"/>
                <w:numId w:val="63"/>
              </w:numPr>
              <w:spacing w:after="0" w:line="240" w:lineRule="auto"/>
              <w:contextualSpacing/>
              <w:jc w:val="both"/>
              <w:rPr>
                <w:rFonts w:ascii="Calibri Light" w:eastAsia="Times New Roman" w:hAnsi="Calibri Light" w:cs="Calibri Light"/>
                <w:color w:val="000000"/>
                <w:sz w:val="20"/>
                <w:szCs w:val="20"/>
                <w:lang w:eastAsia="en-GB"/>
              </w:rPr>
            </w:pPr>
            <w:r w:rsidRPr="0016523F">
              <w:rPr>
                <w:rFonts w:ascii="Calibri Light" w:eastAsia="Times New Roman" w:hAnsi="Calibri Light" w:cs="Calibri Light"/>
                <w:color w:val="000000"/>
                <w:sz w:val="20"/>
                <w:szCs w:val="20"/>
                <w:lang w:eastAsia="en-GB"/>
              </w:rPr>
              <w:t>Енергетска ефикасност</w:t>
            </w:r>
          </w:p>
          <w:p w14:paraId="3BDE3E79" w14:textId="77777777" w:rsidR="00566886" w:rsidRPr="00FF386D" w:rsidRDefault="00566886" w:rsidP="00566886">
            <w:pPr>
              <w:numPr>
                <w:ilvl w:val="0"/>
                <w:numId w:val="63"/>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Декарбонизација</w:t>
            </w:r>
          </w:p>
          <w:p w14:paraId="0FBFFC9C" w14:textId="77777777" w:rsidR="00566886" w:rsidRPr="00FF386D" w:rsidRDefault="00566886" w:rsidP="000A2AFE">
            <w:pPr>
              <w:spacing w:after="0" w:line="240" w:lineRule="auto"/>
              <w:ind w:left="720"/>
              <w:contextualSpacing/>
              <w:rPr>
                <w:rFonts w:ascii="Calibri Light" w:eastAsia="Times New Roman" w:hAnsi="Calibri Light" w:cs="Calibri Light"/>
                <w:color w:val="000000"/>
                <w:sz w:val="20"/>
                <w:szCs w:val="20"/>
                <w:lang w:eastAsia="en-GB"/>
              </w:rPr>
            </w:pPr>
          </w:p>
        </w:tc>
      </w:tr>
      <w:tr w:rsidR="00854ADA" w:rsidRPr="00FF386D" w14:paraId="023C6E38" w14:textId="77777777" w:rsidTr="0057310C">
        <w:trPr>
          <w:trHeight w:val="450"/>
        </w:trPr>
        <w:tc>
          <w:tcPr>
            <w:tcW w:w="3217"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729DE714" w14:textId="3D49AB35"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7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2EB6DC9C" w14:textId="751F1284" w:rsidR="00854ADA" w:rsidRPr="000A2AFE" w:rsidRDefault="00854ADA" w:rsidP="00854ADA">
            <w:pPr>
              <w:numPr>
                <w:ilvl w:val="0"/>
                <w:numId w:val="18"/>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Директива</w:t>
            </w:r>
            <w:r w:rsidR="00D47015">
              <w:rPr>
                <w:rFonts w:ascii="Calibri Light" w:hAnsi="Calibri Light"/>
                <w:color w:val="000000"/>
                <w:sz w:val="20"/>
              </w:rPr>
              <w:t xml:space="preserve"> </w:t>
            </w:r>
            <w:r w:rsidRPr="000A2AFE">
              <w:rPr>
                <w:rFonts w:ascii="Calibri Light" w:eastAsia="Times New Roman" w:hAnsi="Calibri Light" w:cs="Calibri Light"/>
                <w:color w:val="000000"/>
                <w:sz w:val="20"/>
                <w:szCs w:val="20"/>
                <w:lang w:eastAsia="en-GB"/>
              </w:rPr>
              <w:t>2009/72/EЗ</w:t>
            </w:r>
          </w:p>
          <w:p w14:paraId="383A0757" w14:textId="77777777" w:rsidR="00854ADA" w:rsidRPr="000A2AFE" w:rsidRDefault="00854ADA" w:rsidP="00854ADA">
            <w:pPr>
              <w:numPr>
                <w:ilvl w:val="0"/>
                <w:numId w:val="18"/>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Директива </w:t>
            </w:r>
            <w:r w:rsidRPr="000A2AFE">
              <w:rPr>
                <w:rFonts w:ascii="Calibri Light" w:eastAsia="Times New Roman" w:hAnsi="Calibri Light" w:cs="Calibri Light"/>
                <w:color w:val="000000"/>
                <w:sz w:val="20"/>
                <w:szCs w:val="20"/>
                <w:lang w:eastAsia="en-GB"/>
              </w:rPr>
              <w:t>(ЕУ) 2019/944</w:t>
            </w:r>
          </w:p>
          <w:p w14:paraId="25387710" w14:textId="77777777" w:rsidR="00854ADA" w:rsidRPr="00FF386D" w:rsidRDefault="00854ADA" w:rsidP="00854ADA">
            <w:pPr>
              <w:numPr>
                <w:ilvl w:val="0"/>
                <w:numId w:val="6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Уредба </w:t>
            </w:r>
            <w:r w:rsidRPr="000A2AFE">
              <w:rPr>
                <w:rFonts w:ascii="Calibri Light" w:eastAsia="Times New Roman" w:hAnsi="Calibri Light" w:cs="Calibri Light"/>
                <w:color w:val="000000"/>
                <w:sz w:val="20"/>
                <w:szCs w:val="20"/>
                <w:lang w:eastAsia="en-GB"/>
              </w:rPr>
              <w:t>(ЕУ) 2019/943</w:t>
            </w:r>
          </w:p>
        </w:tc>
      </w:tr>
      <w:tr w:rsidR="00854ADA" w:rsidRPr="00FF386D" w14:paraId="69572E34"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635CFFCE"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71" w:type="dxa"/>
            <w:gridSpan w:val="3"/>
            <w:vMerge/>
            <w:tcBorders>
              <w:top w:val="single" w:sz="8" w:space="0" w:color="auto"/>
              <w:left w:val="single" w:sz="8" w:space="0" w:color="auto"/>
              <w:bottom w:val="single" w:sz="8" w:space="0" w:color="000000"/>
              <w:right w:val="single" w:sz="8" w:space="0" w:color="000000"/>
            </w:tcBorders>
            <w:vAlign w:val="center"/>
            <w:hideMark/>
          </w:tcPr>
          <w:p w14:paraId="01CE7B27"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7CA7BF75"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50947315"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71" w:type="dxa"/>
            <w:gridSpan w:val="3"/>
            <w:vMerge/>
            <w:tcBorders>
              <w:top w:val="single" w:sz="8" w:space="0" w:color="auto"/>
              <w:left w:val="single" w:sz="8" w:space="0" w:color="auto"/>
              <w:bottom w:val="single" w:sz="8" w:space="0" w:color="000000"/>
              <w:right w:val="single" w:sz="8" w:space="0" w:color="000000"/>
            </w:tcBorders>
            <w:vAlign w:val="center"/>
            <w:hideMark/>
          </w:tcPr>
          <w:p w14:paraId="6A0FD693"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6C247F00" w14:textId="77777777" w:rsidTr="0057310C">
        <w:trPr>
          <w:trHeight w:val="576"/>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4A68E79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71" w:type="dxa"/>
            <w:gridSpan w:val="3"/>
            <w:tcBorders>
              <w:top w:val="single" w:sz="8" w:space="0" w:color="auto"/>
              <w:left w:val="nil"/>
              <w:bottom w:val="single" w:sz="8" w:space="0" w:color="auto"/>
              <w:right w:val="single" w:sz="8" w:space="0" w:color="000000"/>
            </w:tcBorders>
            <w:vAlign w:val="center"/>
            <w:hideMark/>
          </w:tcPr>
          <w:p w14:paraId="1EEA17E9" w14:textId="77777777" w:rsidR="00854ADA" w:rsidRDefault="00854ADA" w:rsidP="00854ADA">
            <w:pPr>
              <w:numPr>
                <w:ilvl w:val="0"/>
                <w:numId w:val="6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енергетици</w:t>
            </w:r>
          </w:p>
          <w:p w14:paraId="0CDCADC7" w14:textId="0E881C59" w:rsidR="00A00AF6" w:rsidRDefault="00A00AF6" w:rsidP="00854ADA">
            <w:pPr>
              <w:numPr>
                <w:ilvl w:val="0"/>
                <w:numId w:val="65"/>
              </w:numPr>
              <w:spacing w:after="0" w:line="240" w:lineRule="auto"/>
              <w:contextualSpacing/>
              <w:rPr>
                <w:rFonts w:ascii="Calibri Light" w:eastAsia="Times New Roman" w:hAnsi="Calibri Light" w:cs="Calibri Light"/>
                <w:color w:val="000000"/>
                <w:sz w:val="20"/>
                <w:szCs w:val="20"/>
                <w:lang w:eastAsia="en-GB"/>
              </w:rPr>
            </w:pPr>
            <w:r w:rsidRPr="00A00AF6">
              <w:rPr>
                <w:rFonts w:ascii="Calibri Light" w:eastAsia="Times New Roman" w:hAnsi="Calibri Light" w:cs="Calibri Light"/>
                <w:color w:val="000000"/>
                <w:sz w:val="20"/>
                <w:szCs w:val="20"/>
                <w:lang w:eastAsia="en-GB"/>
              </w:rPr>
              <w:t>Уредба о мрежним правилима која се односе на прикључење на мрежу једносмерних система високог напона</w:t>
            </w:r>
            <w:r>
              <w:rPr>
                <w:rStyle w:val="FootnoteReference"/>
                <w:rFonts w:ascii="Calibri Light" w:eastAsia="Times New Roman" w:hAnsi="Calibri Light" w:cs="Calibri Light"/>
                <w:color w:val="000000"/>
                <w:sz w:val="20"/>
                <w:szCs w:val="20"/>
                <w:lang w:eastAsia="en-GB"/>
              </w:rPr>
              <w:footnoteReference w:id="115"/>
            </w:r>
          </w:p>
          <w:p w14:paraId="62AAEC83" w14:textId="47492784" w:rsidR="00A00AF6" w:rsidRDefault="00A00AF6" w:rsidP="00854ADA">
            <w:pPr>
              <w:numPr>
                <w:ilvl w:val="0"/>
                <w:numId w:val="65"/>
              </w:numPr>
              <w:spacing w:after="0" w:line="240" w:lineRule="auto"/>
              <w:contextualSpacing/>
              <w:rPr>
                <w:rFonts w:ascii="Calibri Light" w:eastAsia="Times New Roman" w:hAnsi="Calibri Light" w:cs="Calibri Light"/>
                <w:color w:val="000000"/>
                <w:sz w:val="20"/>
                <w:szCs w:val="20"/>
                <w:lang w:eastAsia="en-GB"/>
              </w:rPr>
            </w:pPr>
            <w:r w:rsidRPr="00A00AF6">
              <w:rPr>
                <w:rFonts w:ascii="Calibri Light" w:eastAsia="Times New Roman" w:hAnsi="Calibri Light" w:cs="Calibri Light"/>
                <w:color w:val="000000"/>
                <w:sz w:val="20"/>
                <w:szCs w:val="20"/>
                <w:lang w:eastAsia="en-GB"/>
              </w:rPr>
              <w:t>Уредба о мрежним правилима која се односе на прикључење на мрежу објеката купаца</w:t>
            </w:r>
            <w:r>
              <w:rPr>
                <w:rStyle w:val="FootnoteReference"/>
                <w:rFonts w:ascii="Calibri Light" w:eastAsia="Times New Roman" w:hAnsi="Calibri Light" w:cs="Calibri Light"/>
                <w:color w:val="000000"/>
                <w:sz w:val="20"/>
                <w:szCs w:val="20"/>
                <w:lang w:eastAsia="en-GB"/>
              </w:rPr>
              <w:footnoteReference w:id="116"/>
            </w:r>
          </w:p>
          <w:p w14:paraId="3589378A" w14:textId="6FADCED5" w:rsidR="00A00AF6" w:rsidRPr="00FF386D" w:rsidRDefault="00A00AF6" w:rsidP="00854ADA">
            <w:pPr>
              <w:numPr>
                <w:ilvl w:val="0"/>
                <w:numId w:val="65"/>
              </w:numPr>
              <w:spacing w:after="0" w:line="240" w:lineRule="auto"/>
              <w:contextualSpacing/>
              <w:rPr>
                <w:rFonts w:ascii="Calibri Light" w:eastAsia="Times New Roman" w:hAnsi="Calibri Light" w:cs="Calibri Light"/>
                <w:color w:val="000000"/>
                <w:sz w:val="20"/>
                <w:szCs w:val="20"/>
                <w:lang w:eastAsia="en-GB"/>
              </w:rPr>
            </w:pPr>
            <w:r w:rsidRPr="00A00AF6">
              <w:rPr>
                <w:rFonts w:ascii="Calibri Light" w:eastAsia="Times New Roman" w:hAnsi="Calibri Light" w:cs="Calibri Light"/>
                <w:color w:val="000000"/>
                <w:sz w:val="20"/>
                <w:szCs w:val="20"/>
                <w:lang w:eastAsia="en-GB"/>
              </w:rPr>
              <w:t>Уредба о мрежним правилима која се односе на прикључење на мрежу производних јединица</w:t>
            </w:r>
            <w:r>
              <w:rPr>
                <w:rStyle w:val="FootnoteReference"/>
                <w:rFonts w:ascii="Calibri Light" w:eastAsia="Times New Roman" w:hAnsi="Calibri Light" w:cs="Calibri Light"/>
                <w:color w:val="000000"/>
                <w:sz w:val="20"/>
                <w:szCs w:val="20"/>
                <w:lang w:eastAsia="en-GB"/>
              </w:rPr>
              <w:footnoteReference w:id="117"/>
            </w:r>
          </w:p>
        </w:tc>
      </w:tr>
      <w:tr w:rsidR="00854ADA" w:rsidRPr="00FF386D" w14:paraId="69A79796"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4F2902F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71" w:type="dxa"/>
            <w:gridSpan w:val="3"/>
            <w:tcBorders>
              <w:top w:val="single" w:sz="8" w:space="0" w:color="auto"/>
              <w:left w:val="nil"/>
              <w:bottom w:val="single" w:sz="8" w:space="0" w:color="auto"/>
              <w:right w:val="single" w:sz="8" w:space="0" w:color="000000"/>
            </w:tcBorders>
            <w:vAlign w:val="center"/>
            <w:hideMark/>
          </w:tcPr>
          <w:p w14:paraId="73644B3F"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0,2 милиона евра</w:t>
            </w:r>
          </w:p>
        </w:tc>
      </w:tr>
      <w:tr w:rsidR="00854ADA" w:rsidRPr="00FF386D" w14:paraId="688031BE"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5D6F3E5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71" w:type="dxa"/>
            <w:gridSpan w:val="3"/>
            <w:tcBorders>
              <w:top w:val="single" w:sz="8" w:space="0" w:color="auto"/>
              <w:left w:val="nil"/>
              <w:bottom w:val="single" w:sz="8" w:space="0" w:color="auto"/>
              <w:right w:val="single" w:sz="8" w:space="0" w:color="000000"/>
            </w:tcBorders>
            <w:vAlign w:val="center"/>
            <w:hideMark/>
          </w:tcPr>
          <w:p w14:paraId="0FB687B0" w14:textId="351EA042"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Фондови ЕУ и други фондови</w:t>
            </w:r>
            <w:r w:rsidR="00460244" w:rsidRPr="00FF386D">
              <w:rPr>
                <w:rFonts w:ascii="Calibri Light" w:eastAsia="Times New Roman" w:hAnsi="Calibri Light" w:cs="Calibri Light"/>
                <w:color w:val="000000"/>
                <w:sz w:val="20"/>
                <w:szCs w:val="20"/>
                <w:lang w:eastAsia="en-GB"/>
              </w:rPr>
              <w:t>,</w:t>
            </w:r>
            <w:r w:rsidRPr="00FF386D">
              <w:rPr>
                <w:rFonts w:ascii="Calibri Light" w:eastAsia="Times New Roman" w:hAnsi="Calibri Light" w:cs="Calibri Light"/>
                <w:color w:val="000000"/>
                <w:sz w:val="20"/>
                <w:szCs w:val="20"/>
                <w:lang w:eastAsia="en-GB"/>
              </w:rPr>
              <w:t xml:space="preserve"> буџет</w:t>
            </w:r>
            <w:r w:rsidR="00460244" w:rsidRPr="00FF386D">
              <w:rPr>
                <w:rFonts w:ascii="Calibri Light" w:eastAsia="Times New Roman" w:hAnsi="Calibri Light" w:cs="Calibri Light"/>
                <w:color w:val="000000"/>
                <w:sz w:val="20"/>
                <w:szCs w:val="20"/>
                <w:lang w:eastAsia="en-GB"/>
              </w:rPr>
              <w:t>ска средства</w:t>
            </w:r>
          </w:p>
        </w:tc>
      </w:tr>
    </w:tbl>
    <w:p w14:paraId="190138D1"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24"/>
        <w:gridCol w:w="1309"/>
        <w:gridCol w:w="922"/>
        <w:gridCol w:w="4033"/>
      </w:tblGrid>
      <w:tr w:rsidR="00854ADA" w:rsidRPr="00FF386D" w14:paraId="4907C872" w14:textId="77777777" w:rsidTr="0057310C">
        <w:trPr>
          <w:trHeight w:val="555"/>
        </w:trPr>
        <w:tc>
          <w:tcPr>
            <w:tcW w:w="3224"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5EED67E4" w14:textId="27927435"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309" w:type="dxa"/>
            <w:tcBorders>
              <w:top w:val="single" w:sz="8" w:space="0" w:color="auto"/>
              <w:left w:val="nil"/>
              <w:bottom w:val="single" w:sz="8" w:space="0" w:color="auto"/>
              <w:right w:val="single" w:sz="8" w:space="0" w:color="auto"/>
            </w:tcBorders>
            <w:shd w:val="clear" w:color="auto" w:fill="E7E6E6" w:themeFill="background2"/>
            <w:vAlign w:val="center"/>
            <w:hideMark/>
          </w:tcPr>
          <w:p w14:paraId="54B777FC" w14:textId="59B024AB"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МП_УЕ</w:t>
            </w:r>
            <w:r w:rsidR="00B4216E" w:rsidRPr="00FF386D">
              <w:rPr>
                <w:rFonts w:ascii="Calibri Light" w:hAnsi="Calibri Light"/>
                <w:b/>
                <w:sz w:val="20"/>
              </w:rPr>
              <w:t>Т</w:t>
            </w:r>
            <w:r w:rsidRPr="00FF386D">
              <w:rPr>
                <w:rFonts w:ascii="Calibri Light" w:hAnsi="Calibri Light"/>
                <w:b/>
                <w:sz w:val="20"/>
              </w:rPr>
              <w:t>22</w:t>
            </w:r>
          </w:p>
        </w:tc>
        <w:tc>
          <w:tcPr>
            <w:tcW w:w="922" w:type="dxa"/>
            <w:tcBorders>
              <w:top w:val="single" w:sz="8" w:space="0" w:color="auto"/>
              <w:left w:val="nil"/>
              <w:bottom w:val="single" w:sz="8" w:space="0" w:color="auto"/>
              <w:right w:val="single" w:sz="8" w:space="0" w:color="auto"/>
            </w:tcBorders>
            <w:shd w:val="clear" w:color="auto" w:fill="244062"/>
            <w:vAlign w:val="center"/>
            <w:hideMark/>
          </w:tcPr>
          <w:p w14:paraId="1D82D671"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033" w:type="dxa"/>
            <w:tcBorders>
              <w:top w:val="single" w:sz="8" w:space="0" w:color="auto"/>
              <w:left w:val="nil"/>
              <w:bottom w:val="single" w:sz="8" w:space="0" w:color="auto"/>
              <w:right w:val="single" w:sz="8" w:space="0" w:color="auto"/>
            </w:tcBorders>
            <w:shd w:val="clear" w:color="auto" w:fill="E7E6E6" w:themeFill="background2"/>
            <w:vAlign w:val="center"/>
            <w:hideMark/>
          </w:tcPr>
          <w:p w14:paraId="3F696300"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Раздвајање и сертификација оператера преносног система</w:t>
            </w:r>
          </w:p>
        </w:tc>
      </w:tr>
      <w:tr w:rsidR="00854ADA" w:rsidRPr="00FF386D" w14:paraId="224E3117" w14:textId="77777777" w:rsidTr="0057310C">
        <w:trPr>
          <w:trHeight w:val="421"/>
        </w:trPr>
        <w:tc>
          <w:tcPr>
            <w:tcW w:w="3224" w:type="dxa"/>
            <w:tcBorders>
              <w:top w:val="nil"/>
              <w:left w:val="single" w:sz="8" w:space="0" w:color="auto"/>
              <w:bottom w:val="single" w:sz="8" w:space="0" w:color="auto"/>
              <w:right w:val="nil"/>
            </w:tcBorders>
            <w:shd w:val="clear" w:color="000000" w:fill="244062"/>
            <w:vAlign w:val="center"/>
            <w:hideMark/>
          </w:tcPr>
          <w:p w14:paraId="4AA1A843" w14:textId="3880DE9C"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64" w:type="dxa"/>
            <w:gridSpan w:val="3"/>
            <w:tcBorders>
              <w:top w:val="single" w:sz="8" w:space="0" w:color="auto"/>
              <w:left w:val="nil"/>
              <w:bottom w:val="single" w:sz="8" w:space="0" w:color="auto"/>
              <w:right w:val="single" w:sz="8" w:space="0" w:color="000000"/>
            </w:tcBorders>
            <w:vAlign w:val="center"/>
          </w:tcPr>
          <w:p w14:paraId="36C0ECEE"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Инфраструктура, политике и мере у погледу тржишног формирања цена</w:t>
            </w:r>
          </w:p>
        </w:tc>
      </w:tr>
      <w:tr w:rsidR="00854ADA" w:rsidRPr="00FF386D" w14:paraId="21E40BF2" w14:textId="77777777" w:rsidTr="0057310C">
        <w:trPr>
          <w:trHeight w:val="315"/>
        </w:trPr>
        <w:tc>
          <w:tcPr>
            <w:tcW w:w="3224" w:type="dxa"/>
            <w:tcBorders>
              <w:top w:val="nil"/>
              <w:left w:val="single" w:sz="8" w:space="0" w:color="auto"/>
              <w:bottom w:val="single" w:sz="8" w:space="0" w:color="auto"/>
              <w:right w:val="single" w:sz="8" w:space="0" w:color="auto"/>
            </w:tcBorders>
            <w:shd w:val="clear" w:color="000000" w:fill="244062"/>
            <w:vAlign w:val="center"/>
            <w:hideMark/>
          </w:tcPr>
          <w:p w14:paraId="2CBE15E6" w14:textId="42E8D9D8"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64" w:type="dxa"/>
            <w:gridSpan w:val="3"/>
            <w:tcBorders>
              <w:top w:val="single" w:sz="8" w:space="0" w:color="auto"/>
              <w:left w:val="nil"/>
              <w:bottom w:val="single" w:sz="8" w:space="0" w:color="auto"/>
              <w:right w:val="single" w:sz="8" w:space="0" w:color="000000"/>
            </w:tcBorders>
            <w:vAlign w:val="center"/>
          </w:tcPr>
          <w:p w14:paraId="135AEA87" w14:textId="77777777" w:rsidR="00854ADA" w:rsidRPr="00FF386D" w:rsidRDefault="00854ADA" w:rsidP="00854ADA">
            <w:pPr>
              <w:spacing w:after="0" w:line="240" w:lineRule="auto"/>
              <w:jc w:val="both"/>
              <w:rPr>
                <w:rFonts w:ascii="Calibri" w:eastAsia="Times New Roman" w:hAnsi="Calibri" w:cs="Calibri"/>
                <w:color w:val="000000"/>
                <w:lang w:eastAsia="en-GB"/>
              </w:rPr>
            </w:pPr>
            <w:r w:rsidRPr="00FF386D">
              <w:rPr>
                <w:rFonts w:ascii="Calibri Light" w:hAnsi="Calibri Light"/>
                <w:sz w:val="20"/>
              </w:rPr>
              <w:t>Издата решења о сертификацији</w:t>
            </w:r>
          </w:p>
        </w:tc>
      </w:tr>
      <w:tr w:rsidR="00854ADA" w:rsidRPr="00FF386D" w14:paraId="44428069" w14:textId="77777777" w:rsidTr="0057310C">
        <w:trPr>
          <w:trHeight w:val="1623"/>
        </w:trPr>
        <w:tc>
          <w:tcPr>
            <w:tcW w:w="3224" w:type="dxa"/>
            <w:tcBorders>
              <w:top w:val="nil"/>
              <w:left w:val="single" w:sz="8" w:space="0" w:color="auto"/>
              <w:bottom w:val="single" w:sz="8" w:space="0" w:color="auto"/>
              <w:right w:val="single" w:sz="8" w:space="0" w:color="auto"/>
            </w:tcBorders>
            <w:shd w:val="clear" w:color="000000" w:fill="244062"/>
            <w:vAlign w:val="center"/>
            <w:hideMark/>
          </w:tcPr>
          <w:p w14:paraId="44AB00A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64" w:type="dxa"/>
            <w:gridSpan w:val="3"/>
            <w:tcBorders>
              <w:top w:val="single" w:sz="8" w:space="0" w:color="auto"/>
              <w:left w:val="nil"/>
              <w:bottom w:val="single" w:sz="8" w:space="0" w:color="auto"/>
              <w:right w:val="single" w:sz="8" w:space="0" w:color="000000"/>
            </w:tcBorders>
            <w:vAlign w:val="center"/>
            <w:hideMark/>
          </w:tcPr>
          <w:p w14:paraId="6F44FA48" w14:textId="79F9FEC5"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Спроведено је власничко раздвајање Транспортгас Србија од Србијагаса, али Транспортгас Србија још увек није сертификован. Сертификација </w:t>
            </w:r>
            <w:r w:rsidR="00B4216E" w:rsidRPr="00FF386D">
              <w:rPr>
                <w:rFonts w:ascii="Calibri Light" w:hAnsi="Calibri Light"/>
                <w:sz w:val="20"/>
              </w:rPr>
              <w:t>Yugorosga</w:t>
            </w:r>
            <w:r w:rsidR="00B4216E" w:rsidRPr="000A2AFE">
              <w:rPr>
                <w:rFonts w:ascii="Calibri Light" w:hAnsi="Calibri Light"/>
                <w:sz w:val="20"/>
              </w:rPr>
              <w:t>z Transport-a</w:t>
            </w:r>
            <w:r w:rsidR="00B4216E" w:rsidRPr="00FF386D">
              <w:rPr>
                <w:rFonts w:ascii="Calibri Light" w:hAnsi="Calibri Light"/>
                <w:sz w:val="20"/>
              </w:rPr>
              <w:t xml:space="preserve"> </w:t>
            </w:r>
            <w:r w:rsidRPr="00FF386D">
              <w:rPr>
                <w:rFonts w:ascii="Calibri Light" w:hAnsi="Calibri Light"/>
                <w:sz w:val="20"/>
              </w:rPr>
              <w:t xml:space="preserve">је повучена, а његово раздвајање још није спроведено. Само је Гастранс сертификован као независни оператор транспорта (ОТС) одлуком АЕРС-а из 2020 године. Уопште, </w:t>
            </w:r>
            <w:r w:rsidR="00B4216E" w:rsidRPr="00FF386D">
              <w:rPr>
                <w:rFonts w:ascii="Calibri Light" w:hAnsi="Calibri Light"/>
                <w:sz w:val="20"/>
              </w:rPr>
              <w:t xml:space="preserve">поступак </w:t>
            </w:r>
            <w:r w:rsidRPr="00FF386D">
              <w:rPr>
                <w:rFonts w:ascii="Calibri Light" w:hAnsi="Calibri Light"/>
                <w:sz w:val="20"/>
              </w:rPr>
              <w:t>раздвајањ</w:t>
            </w:r>
            <w:r w:rsidR="00B4216E" w:rsidRPr="00FF386D">
              <w:rPr>
                <w:rFonts w:ascii="Calibri Light" w:hAnsi="Calibri Light"/>
                <w:sz w:val="20"/>
              </w:rPr>
              <w:t>а</w:t>
            </w:r>
            <w:r w:rsidRPr="00FF386D">
              <w:rPr>
                <w:rFonts w:ascii="Calibri Light" w:hAnsi="Calibri Light"/>
                <w:sz w:val="20"/>
              </w:rPr>
              <w:t xml:space="preserve"> и издавањ</w:t>
            </w:r>
            <w:r w:rsidR="00B4216E" w:rsidRPr="00FF386D">
              <w:rPr>
                <w:rFonts w:ascii="Calibri Light" w:hAnsi="Calibri Light"/>
                <w:sz w:val="20"/>
              </w:rPr>
              <w:t>а</w:t>
            </w:r>
            <w:r w:rsidRPr="00FF386D">
              <w:rPr>
                <w:rFonts w:ascii="Calibri Light" w:hAnsi="Calibri Light"/>
                <w:sz w:val="20"/>
              </w:rPr>
              <w:t xml:space="preserve"> сертификата предузећима Србијагас и </w:t>
            </w:r>
            <w:r w:rsidR="00B4216E" w:rsidRPr="00FF386D">
              <w:rPr>
                <w:rFonts w:ascii="Calibri Light" w:eastAsia="NSimSun" w:hAnsi="Calibri Light" w:cs="Mangal"/>
                <w:kern w:val="2"/>
                <w:sz w:val="20"/>
                <w:szCs w:val="24"/>
                <w:lang w:eastAsia="zh-CN" w:bidi="hi-IN"/>
              </w:rPr>
              <w:t>Yugorosga</w:t>
            </w:r>
            <w:r w:rsidR="00B4216E" w:rsidRPr="000A2AFE">
              <w:rPr>
                <w:rFonts w:ascii="Calibri Light" w:eastAsia="NSimSun" w:hAnsi="Calibri Light" w:cs="Mangal"/>
                <w:kern w:val="2"/>
                <w:sz w:val="20"/>
                <w:szCs w:val="24"/>
                <w:lang w:eastAsia="zh-CN" w:bidi="hi-IN"/>
              </w:rPr>
              <w:t>z</w:t>
            </w:r>
            <w:r w:rsidRPr="00FF386D">
              <w:rPr>
                <w:rFonts w:ascii="Calibri Light" w:hAnsi="Calibri Light"/>
                <w:sz w:val="20"/>
              </w:rPr>
              <w:t xml:space="preserve"> је још увек у току, а Секретаријат Енергетске заједнице оспорава сертификацију Гастранса. Неопходно је решити питање раздвајања и сертификације.</w:t>
            </w:r>
          </w:p>
        </w:tc>
      </w:tr>
      <w:tr w:rsidR="00854ADA" w:rsidRPr="00FF386D" w14:paraId="73D2218B" w14:textId="77777777" w:rsidTr="0057310C">
        <w:trPr>
          <w:trHeight w:val="315"/>
        </w:trPr>
        <w:tc>
          <w:tcPr>
            <w:tcW w:w="3224" w:type="dxa"/>
            <w:tcBorders>
              <w:top w:val="nil"/>
              <w:left w:val="single" w:sz="8" w:space="0" w:color="auto"/>
              <w:bottom w:val="single" w:sz="8" w:space="0" w:color="auto"/>
              <w:right w:val="single" w:sz="8" w:space="0" w:color="auto"/>
            </w:tcBorders>
            <w:shd w:val="clear" w:color="000000" w:fill="244062"/>
            <w:vAlign w:val="center"/>
            <w:hideMark/>
          </w:tcPr>
          <w:p w14:paraId="4645177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64" w:type="dxa"/>
            <w:gridSpan w:val="3"/>
            <w:tcBorders>
              <w:top w:val="single" w:sz="8" w:space="0" w:color="auto"/>
              <w:left w:val="nil"/>
              <w:bottom w:val="single" w:sz="8" w:space="0" w:color="auto"/>
              <w:right w:val="single" w:sz="8" w:space="0" w:color="000000"/>
            </w:tcBorders>
            <w:vAlign w:val="center"/>
            <w:hideMark/>
          </w:tcPr>
          <w:p w14:paraId="63A2B3A1"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2023.</w:t>
            </w:r>
          </w:p>
        </w:tc>
      </w:tr>
      <w:tr w:rsidR="00854ADA" w:rsidRPr="00FF386D" w14:paraId="3CBB996E" w14:textId="77777777" w:rsidTr="0057310C">
        <w:trPr>
          <w:trHeight w:val="315"/>
        </w:trPr>
        <w:tc>
          <w:tcPr>
            <w:tcW w:w="3224" w:type="dxa"/>
            <w:tcBorders>
              <w:top w:val="nil"/>
              <w:left w:val="single" w:sz="8" w:space="0" w:color="auto"/>
              <w:bottom w:val="single" w:sz="8" w:space="0" w:color="auto"/>
              <w:right w:val="single" w:sz="8" w:space="0" w:color="auto"/>
            </w:tcBorders>
            <w:shd w:val="clear" w:color="000000" w:fill="244062"/>
            <w:vAlign w:val="center"/>
            <w:hideMark/>
          </w:tcPr>
          <w:p w14:paraId="5F5DCD9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64" w:type="dxa"/>
            <w:gridSpan w:val="3"/>
            <w:tcBorders>
              <w:top w:val="single" w:sz="8" w:space="0" w:color="auto"/>
              <w:left w:val="nil"/>
              <w:bottom w:val="single" w:sz="8" w:space="0" w:color="auto"/>
              <w:right w:val="single" w:sz="8" w:space="0" w:color="000000"/>
            </w:tcBorders>
            <w:vAlign w:val="center"/>
            <w:hideMark/>
          </w:tcPr>
          <w:p w14:paraId="2CA478D0"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Реформа</w:t>
            </w:r>
          </w:p>
        </w:tc>
      </w:tr>
      <w:tr w:rsidR="00854ADA" w:rsidRPr="00FF386D" w14:paraId="79E82BDD" w14:textId="77777777" w:rsidTr="0057310C">
        <w:trPr>
          <w:trHeight w:val="315"/>
        </w:trPr>
        <w:tc>
          <w:tcPr>
            <w:tcW w:w="3224" w:type="dxa"/>
            <w:tcBorders>
              <w:top w:val="nil"/>
              <w:left w:val="single" w:sz="8" w:space="0" w:color="auto"/>
              <w:bottom w:val="single" w:sz="8" w:space="0" w:color="auto"/>
              <w:right w:val="single" w:sz="8" w:space="0" w:color="auto"/>
            </w:tcBorders>
            <w:shd w:val="clear" w:color="000000" w:fill="244062"/>
            <w:vAlign w:val="center"/>
            <w:hideMark/>
          </w:tcPr>
          <w:p w14:paraId="03F9F0F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64" w:type="dxa"/>
            <w:gridSpan w:val="3"/>
            <w:tcBorders>
              <w:top w:val="single" w:sz="8" w:space="0" w:color="auto"/>
              <w:left w:val="nil"/>
              <w:bottom w:val="single" w:sz="8" w:space="0" w:color="auto"/>
              <w:right w:val="single" w:sz="8" w:space="0" w:color="000000"/>
            </w:tcBorders>
            <w:vAlign w:val="center"/>
            <w:hideMark/>
          </w:tcPr>
          <w:p w14:paraId="269D418B"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Гас</w:t>
            </w:r>
          </w:p>
        </w:tc>
      </w:tr>
      <w:tr w:rsidR="00854ADA" w:rsidRPr="00FF386D" w14:paraId="1B9CB183" w14:textId="77777777" w:rsidTr="0057310C">
        <w:trPr>
          <w:trHeight w:val="315"/>
        </w:trPr>
        <w:tc>
          <w:tcPr>
            <w:tcW w:w="3224" w:type="dxa"/>
            <w:tcBorders>
              <w:top w:val="nil"/>
              <w:left w:val="single" w:sz="8" w:space="0" w:color="auto"/>
              <w:bottom w:val="single" w:sz="8" w:space="0" w:color="auto"/>
              <w:right w:val="single" w:sz="8" w:space="0" w:color="auto"/>
            </w:tcBorders>
            <w:shd w:val="clear" w:color="000000" w:fill="244062"/>
            <w:vAlign w:val="center"/>
            <w:hideMark/>
          </w:tcPr>
          <w:p w14:paraId="5AE7AA3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64" w:type="dxa"/>
            <w:gridSpan w:val="3"/>
            <w:tcBorders>
              <w:top w:val="single" w:sz="8" w:space="0" w:color="auto"/>
              <w:left w:val="nil"/>
              <w:bottom w:val="single" w:sz="8" w:space="0" w:color="auto"/>
              <w:right w:val="single" w:sz="8" w:space="0" w:color="000000"/>
            </w:tcBorders>
            <w:vAlign w:val="center"/>
            <w:hideMark/>
          </w:tcPr>
          <w:p w14:paraId="047A7779" w14:textId="77777777" w:rsidR="00854ADA" w:rsidRPr="00FF386D" w:rsidRDefault="00854ADA" w:rsidP="00854ADA">
            <w:pPr>
              <w:numPr>
                <w:ilvl w:val="0"/>
                <w:numId w:val="6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Србијагас</w:t>
            </w:r>
          </w:p>
          <w:p w14:paraId="69460EDB" w14:textId="77777777" w:rsidR="00854ADA" w:rsidRPr="00FF386D" w:rsidRDefault="00854ADA" w:rsidP="00854ADA">
            <w:pPr>
              <w:numPr>
                <w:ilvl w:val="0"/>
                <w:numId w:val="6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Транспортгас</w:t>
            </w:r>
          </w:p>
          <w:p w14:paraId="3FB4E6B6" w14:textId="0218FCA3" w:rsidR="00854ADA" w:rsidRPr="00FF386D" w:rsidRDefault="00B4216E" w:rsidP="00854ADA">
            <w:pPr>
              <w:numPr>
                <w:ilvl w:val="0"/>
                <w:numId w:val="65"/>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Yugorosgaz</w:t>
            </w:r>
          </w:p>
          <w:p w14:paraId="1A03B753" w14:textId="77777777" w:rsidR="00854ADA" w:rsidRPr="00FF386D" w:rsidRDefault="00854ADA" w:rsidP="00854ADA">
            <w:pPr>
              <w:numPr>
                <w:ilvl w:val="0"/>
                <w:numId w:val="6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АЕРС</w:t>
            </w:r>
          </w:p>
        </w:tc>
      </w:tr>
      <w:tr w:rsidR="00854ADA" w:rsidRPr="00FF386D" w14:paraId="71F89820" w14:textId="77777777" w:rsidTr="0057310C">
        <w:trPr>
          <w:trHeight w:val="315"/>
        </w:trPr>
        <w:tc>
          <w:tcPr>
            <w:tcW w:w="3224" w:type="dxa"/>
            <w:tcBorders>
              <w:top w:val="nil"/>
              <w:left w:val="single" w:sz="8" w:space="0" w:color="auto"/>
              <w:bottom w:val="single" w:sz="8" w:space="0" w:color="auto"/>
              <w:right w:val="nil"/>
            </w:tcBorders>
            <w:shd w:val="clear" w:color="000000" w:fill="244062"/>
            <w:vAlign w:val="center"/>
            <w:hideMark/>
          </w:tcPr>
          <w:p w14:paraId="6552B79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64" w:type="dxa"/>
            <w:gridSpan w:val="3"/>
            <w:tcBorders>
              <w:top w:val="single" w:sz="8" w:space="0" w:color="auto"/>
              <w:left w:val="nil"/>
              <w:bottom w:val="single" w:sz="8" w:space="0" w:color="auto"/>
              <w:right w:val="single" w:sz="8" w:space="0" w:color="000000"/>
            </w:tcBorders>
            <w:vAlign w:val="center"/>
            <w:hideMark/>
          </w:tcPr>
          <w:p w14:paraId="315932BB" w14:textId="77777777" w:rsidR="00854ADA" w:rsidRPr="00FF386D" w:rsidRDefault="00854ADA" w:rsidP="00854ADA">
            <w:pPr>
              <w:numPr>
                <w:ilvl w:val="0"/>
                <w:numId w:val="6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рударства и енергетике</w:t>
            </w:r>
          </w:p>
          <w:p w14:paraId="45FC0FD7" w14:textId="77777777" w:rsidR="00854ADA" w:rsidRPr="00FF386D" w:rsidRDefault="00854ADA" w:rsidP="00854ADA">
            <w:pPr>
              <w:numPr>
                <w:ilvl w:val="0"/>
                <w:numId w:val="65"/>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АЕРС</w:t>
            </w:r>
          </w:p>
        </w:tc>
      </w:tr>
      <w:tr w:rsidR="00854ADA" w:rsidRPr="00FF386D" w14:paraId="6FB0D7F9" w14:textId="77777777" w:rsidTr="0057310C">
        <w:trPr>
          <w:trHeight w:val="315"/>
        </w:trPr>
        <w:tc>
          <w:tcPr>
            <w:tcW w:w="3224" w:type="dxa"/>
            <w:tcBorders>
              <w:top w:val="nil"/>
              <w:left w:val="single" w:sz="8" w:space="0" w:color="auto"/>
              <w:bottom w:val="single" w:sz="8" w:space="0" w:color="auto"/>
              <w:right w:val="nil"/>
            </w:tcBorders>
            <w:shd w:val="clear" w:color="000000" w:fill="244062"/>
            <w:vAlign w:val="center"/>
            <w:hideMark/>
          </w:tcPr>
          <w:p w14:paraId="68F0E87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64" w:type="dxa"/>
            <w:gridSpan w:val="3"/>
            <w:tcBorders>
              <w:top w:val="single" w:sz="8" w:space="0" w:color="auto"/>
              <w:left w:val="nil"/>
              <w:bottom w:val="single" w:sz="8" w:space="0" w:color="auto"/>
              <w:right w:val="single" w:sz="8" w:space="0" w:color="000000"/>
            </w:tcBorders>
            <w:vAlign w:val="center"/>
            <w:hideMark/>
          </w:tcPr>
          <w:p w14:paraId="7D137D0A"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Одлука о сертификацији</w:t>
            </w:r>
          </w:p>
        </w:tc>
      </w:tr>
      <w:tr w:rsidR="00854ADA" w:rsidRPr="00FF386D" w14:paraId="21682DE3" w14:textId="77777777" w:rsidTr="0057310C">
        <w:trPr>
          <w:trHeight w:val="796"/>
        </w:trPr>
        <w:tc>
          <w:tcPr>
            <w:tcW w:w="3224" w:type="dxa"/>
            <w:tcBorders>
              <w:top w:val="nil"/>
              <w:left w:val="single" w:sz="8" w:space="0" w:color="auto"/>
              <w:bottom w:val="single" w:sz="8" w:space="0" w:color="auto"/>
              <w:right w:val="single" w:sz="8" w:space="0" w:color="auto"/>
            </w:tcBorders>
            <w:shd w:val="clear" w:color="000000" w:fill="244062"/>
            <w:vAlign w:val="center"/>
            <w:hideMark/>
          </w:tcPr>
          <w:p w14:paraId="6E5A68A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Обухваћене релевантне димензије Енергетске уније</w:t>
            </w:r>
          </w:p>
        </w:tc>
        <w:tc>
          <w:tcPr>
            <w:tcW w:w="6264" w:type="dxa"/>
            <w:gridSpan w:val="3"/>
            <w:tcBorders>
              <w:top w:val="single" w:sz="8" w:space="0" w:color="auto"/>
              <w:left w:val="nil"/>
              <w:bottom w:val="single" w:sz="8" w:space="0" w:color="auto"/>
              <w:right w:val="single" w:sz="8" w:space="0" w:color="000000"/>
            </w:tcBorders>
            <w:vAlign w:val="center"/>
            <w:hideMark/>
          </w:tcPr>
          <w:p w14:paraId="1D6E0951"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p>
        </w:tc>
      </w:tr>
      <w:tr w:rsidR="00854ADA" w:rsidRPr="00FF386D" w14:paraId="3DF26FC7" w14:textId="77777777" w:rsidTr="0057310C">
        <w:trPr>
          <w:trHeight w:val="450"/>
        </w:trPr>
        <w:tc>
          <w:tcPr>
            <w:tcW w:w="3224"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34B51F8D" w14:textId="1C698854"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64"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23884602" w14:textId="77777777" w:rsidR="00854ADA" w:rsidRPr="00FF386D" w:rsidRDefault="00854ADA" w:rsidP="00854ADA">
            <w:pPr>
              <w:numPr>
                <w:ilvl w:val="0"/>
                <w:numId w:val="65"/>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2009/73/EЗ</w:t>
            </w:r>
          </w:p>
        </w:tc>
      </w:tr>
      <w:tr w:rsidR="00854ADA" w:rsidRPr="00FF386D" w14:paraId="7C2096DF"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18B6EFD9"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64" w:type="dxa"/>
            <w:gridSpan w:val="3"/>
            <w:vMerge/>
            <w:tcBorders>
              <w:top w:val="single" w:sz="8" w:space="0" w:color="auto"/>
              <w:left w:val="single" w:sz="8" w:space="0" w:color="auto"/>
              <w:bottom w:val="single" w:sz="8" w:space="0" w:color="000000"/>
              <w:right w:val="single" w:sz="8" w:space="0" w:color="000000"/>
            </w:tcBorders>
            <w:vAlign w:val="center"/>
            <w:hideMark/>
          </w:tcPr>
          <w:p w14:paraId="3D1C2768"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7BC1CE90"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0948DDE7"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64" w:type="dxa"/>
            <w:gridSpan w:val="3"/>
            <w:vMerge/>
            <w:tcBorders>
              <w:top w:val="single" w:sz="8" w:space="0" w:color="auto"/>
              <w:left w:val="single" w:sz="8" w:space="0" w:color="auto"/>
              <w:bottom w:val="single" w:sz="8" w:space="0" w:color="000000"/>
              <w:right w:val="single" w:sz="8" w:space="0" w:color="000000"/>
            </w:tcBorders>
            <w:vAlign w:val="center"/>
            <w:hideMark/>
          </w:tcPr>
          <w:p w14:paraId="4B75A82E"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240A9130" w14:textId="77777777" w:rsidTr="0057310C">
        <w:trPr>
          <w:trHeight w:val="780"/>
        </w:trPr>
        <w:tc>
          <w:tcPr>
            <w:tcW w:w="3224" w:type="dxa"/>
            <w:tcBorders>
              <w:top w:val="nil"/>
              <w:left w:val="single" w:sz="8" w:space="0" w:color="auto"/>
              <w:bottom w:val="single" w:sz="8" w:space="0" w:color="auto"/>
              <w:right w:val="single" w:sz="8" w:space="0" w:color="auto"/>
            </w:tcBorders>
            <w:shd w:val="clear" w:color="000000" w:fill="244062"/>
            <w:vAlign w:val="center"/>
            <w:hideMark/>
          </w:tcPr>
          <w:p w14:paraId="551E730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64" w:type="dxa"/>
            <w:gridSpan w:val="3"/>
            <w:tcBorders>
              <w:top w:val="single" w:sz="8" w:space="0" w:color="auto"/>
              <w:left w:val="nil"/>
              <w:bottom w:val="single" w:sz="8" w:space="0" w:color="auto"/>
              <w:right w:val="single" w:sz="8" w:space="0" w:color="000000"/>
            </w:tcBorders>
            <w:vAlign w:val="center"/>
            <w:hideMark/>
          </w:tcPr>
          <w:p w14:paraId="0C30CCF6" w14:textId="77777777" w:rsidR="00854ADA" w:rsidRPr="00FF386D" w:rsidRDefault="00854ADA" w:rsidP="00854ADA">
            <w:pPr>
              <w:numPr>
                <w:ilvl w:val="0"/>
                <w:numId w:val="6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енергетици</w:t>
            </w:r>
          </w:p>
          <w:p w14:paraId="4733A9EC" w14:textId="72B915C9" w:rsidR="00854ADA" w:rsidRPr="00FF386D" w:rsidRDefault="00854ADA" w:rsidP="00854ADA">
            <w:pPr>
              <w:numPr>
                <w:ilvl w:val="0"/>
                <w:numId w:val="6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Aкциони план за спровођење </w:t>
            </w:r>
            <w:r w:rsidR="00AB7992" w:rsidRPr="00FF386D">
              <w:rPr>
                <w:rFonts w:ascii="Calibri Light" w:eastAsia="Times New Roman" w:hAnsi="Calibri Light" w:cs="Calibri Light"/>
                <w:color w:val="000000"/>
                <w:sz w:val="20"/>
                <w:szCs w:val="20"/>
                <w:lang w:eastAsia="en-GB"/>
              </w:rPr>
              <w:t>активности</w:t>
            </w:r>
            <w:r w:rsidRPr="00FF386D">
              <w:rPr>
                <w:rFonts w:ascii="Calibri Light" w:eastAsia="Times New Roman" w:hAnsi="Calibri Light" w:cs="Calibri Light"/>
                <w:color w:val="000000"/>
                <w:sz w:val="20"/>
                <w:szCs w:val="20"/>
                <w:lang w:eastAsia="en-GB"/>
              </w:rPr>
              <w:t xml:space="preserve"> у циљу реорганизације ЈП Србијагас и </w:t>
            </w:r>
            <w:r w:rsidR="00B4216E" w:rsidRPr="000A2AFE">
              <w:rPr>
                <w:rFonts w:ascii="Calibri Light" w:eastAsia="Times New Roman" w:hAnsi="Calibri Light" w:cs="Calibri Light"/>
                <w:color w:val="000000"/>
                <w:sz w:val="20"/>
                <w:szCs w:val="20"/>
                <w:lang w:eastAsia="en-GB"/>
              </w:rPr>
              <w:t>Yugorosgaz Transport</w:t>
            </w:r>
          </w:p>
        </w:tc>
      </w:tr>
      <w:tr w:rsidR="00854ADA" w:rsidRPr="00FF386D" w14:paraId="508E83A6" w14:textId="77777777" w:rsidTr="0057310C">
        <w:trPr>
          <w:trHeight w:val="315"/>
        </w:trPr>
        <w:tc>
          <w:tcPr>
            <w:tcW w:w="3224" w:type="dxa"/>
            <w:tcBorders>
              <w:top w:val="nil"/>
              <w:left w:val="single" w:sz="8" w:space="0" w:color="auto"/>
              <w:bottom w:val="single" w:sz="8" w:space="0" w:color="auto"/>
              <w:right w:val="single" w:sz="8" w:space="0" w:color="auto"/>
            </w:tcBorders>
            <w:shd w:val="clear" w:color="000000" w:fill="244062"/>
            <w:vAlign w:val="center"/>
            <w:hideMark/>
          </w:tcPr>
          <w:p w14:paraId="447098B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64" w:type="dxa"/>
            <w:gridSpan w:val="3"/>
            <w:tcBorders>
              <w:top w:val="single" w:sz="8" w:space="0" w:color="auto"/>
              <w:left w:val="nil"/>
              <w:bottom w:val="single" w:sz="8" w:space="0" w:color="auto"/>
              <w:right w:val="single" w:sz="8" w:space="0" w:color="000000"/>
            </w:tcBorders>
            <w:vAlign w:val="center"/>
            <w:hideMark/>
          </w:tcPr>
          <w:p w14:paraId="2EA023EA"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0,2 милиона евра</w:t>
            </w:r>
          </w:p>
        </w:tc>
      </w:tr>
      <w:tr w:rsidR="00854ADA" w:rsidRPr="00FF386D" w14:paraId="3820AB20" w14:textId="77777777" w:rsidTr="0057310C">
        <w:trPr>
          <w:trHeight w:val="315"/>
        </w:trPr>
        <w:tc>
          <w:tcPr>
            <w:tcW w:w="3224" w:type="dxa"/>
            <w:tcBorders>
              <w:top w:val="nil"/>
              <w:left w:val="single" w:sz="8" w:space="0" w:color="auto"/>
              <w:bottom w:val="single" w:sz="8" w:space="0" w:color="auto"/>
              <w:right w:val="single" w:sz="8" w:space="0" w:color="auto"/>
            </w:tcBorders>
            <w:shd w:val="clear" w:color="000000" w:fill="244062"/>
            <w:vAlign w:val="center"/>
            <w:hideMark/>
          </w:tcPr>
          <w:p w14:paraId="065D67A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64" w:type="dxa"/>
            <w:gridSpan w:val="3"/>
            <w:tcBorders>
              <w:top w:val="single" w:sz="8" w:space="0" w:color="auto"/>
              <w:left w:val="nil"/>
              <w:bottom w:val="single" w:sz="8" w:space="0" w:color="auto"/>
              <w:right w:val="single" w:sz="8" w:space="0" w:color="000000"/>
            </w:tcBorders>
            <w:vAlign w:val="center"/>
            <w:hideMark/>
          </w:tcPr>
          <w:p w14:paraId="485D2351" w14:textId="7A299951"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Фондови ЕУ и други фондови,</w:t>
            </w:r>
            <w:r w:rsidR="00460244" w:rsidRPr="00FF386D">
              <w:rPr>
                <w:rFonts w:ascii="Calibri Light" w:eastAsia="Times New Roman" w:hAnsi="Calibri Light" w:cs="Calibri Light"/>
                <w:color w:val="000000"/>
                <w:sz w:val="20"/>
                <w:szCs w:val="20"/>
                <w:lang w:eastAsia="en-GB"/>
              </w:rPr>
              <w:t xml:space="preserve"> </w:t>
            </w:r>
            <w:r w:rsidRPr="00FF386D">
              <w:rPr>
                <w:rFonts w:ascii="Calibri Light" w:eastAsia="Times New Roman" w:hAnsi="Calibri Light" w:cs="Calibri Light"/>
                <w:color w:val="000000"/>
                <w:sz w:val="20"/>
                <w:szCs w:val="20"/>
                <w:lang w:eastAsia="en-GB"/>
              </w:rPr>
              <w:t>буџет</w:t>
            </w:r>
            <w:r w:rsidR="00460244" w:rsidRPr="00FF386D">
              <w:rPr>
                <w:rFonts w:ascii="Calibri Light" w:eastAsia="Times New Roman" w:hAnsi="Calibri Light" w:cs="Calibri Light"/>
                <w:color w:val="000000"/>
                <w:sz w:val="20"/>
                <w:szCs w:val="20"/>
                <w:lang w:eastAsia="en-GB"/>
              </w:rPr>
              <w:t>ска средства</w:t>
            </w:r>
          </w:p>
        </w:tc>
      </w:tr>
    </w:tbl>
    <w:p w14:paraId="5851B627"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17"/>
        <w:gridCol w:w="1309"/>
        <w:gridCol w:w="920"/>
        <w:gridCol w:w="4042"/>
      </w:tblGrid>
      <w:tr w:rsidR="00854ADA" w:rsidRPr="00FF386D" w14:paraId="68EC500A" w14:textId="77777777" w:rsidTr="0057310C">
        <w:trPr>
          <w:trHeight w:val="523"/>
        </w:trPr>
        <w:tc>
          <w:tcPr>
            <w:tcW w:w="3217"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51C5D39A" w14:textId="06AFBA77"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309" w:type="dxa"/>
            <w:tcBorders>
              <w:top w:val="single" w:sz="8" w:space="0" w:color="auto"/>
              <w:left w:val="nil"/>
              <w:bottom w:val="single" w:sz="8" w:space="0" w:color="auto"/>
              <w:right w:val="single" w:sz="8" w:space="0" w:color="auto"/>
            </w:tcBorders>
            <w:shd w:val="clear" w:color="auto" w:fill="E7E6E6" w:themeFill="background2"/>
            <w:vAlign w:val="center"/>
            <w:hideMark/>
          </w:tcPr>
          <w:p w14:paraId="2D53A831" w14:textId="7834D94C"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МП_УЕ</w:t>
            </w:r>
            <w:r w:rsidR="00B4216E" w:rsidRPr="00FF386D">
              <w:rPr>
                <w:rFonts w:ascii="Calibri Light" w:hAnsi="Calibri Light"/>
                <w:b/>
                <w:sz w:val="20"/>
              </w:rPr>
              <w:t>Т</w:t>
            </w:r>
            <w:r w:rsidRPr="00FF386D">
              <w:rPr>
                <w:rFonts w:ascii="Calibri Light" w:hAnsi="Calibri Light"/>
                <w:b/>
                <w:sz w:val="20"/>
              </w:rPr>
              <w:t>23</w:t>
            </w:r>
          </w:p>
        </w:tc>
        <w:tc>
          <w:tcPr>
            <w:tcW w:w="920" w:type="dxa"/>
            <w:tcBorders>
              <w:top w:val="single" w:sz="8" w:space="0" w:color="auto"/>
              <w:left w:val="nil"/>
              <w:bottom w:val="single" w:sz="8" w:space="0" w:color="auto"/>
              <w:right w:val="single" w:sz="8" w:space="0" w:color="auto"/>
            </w:tcBorders>
            <w:shd w:val="clear" w:color="auto" w:fill="244062"/>
            <w:vAlign w:val="center"/>
            <w:hideMark/>
          </w:tcPr>
          <w:p w14:paraId="7D683331"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042" w:type="dxa"/>
            <w:tcBorders>
              <w:top w:val="single" w:sz="8" w:space="0" w:color="auto"/>
              <w:left w:val="nil"/>
              <w:bottom w:val="single" w:sz="8" w:space="0" w:color="auto"/>
              <w:right w:val="single" w:sz="8" w:space="0" w:color="auto"/>
            </w:tcBorders>
            <w:shd w:val="clear" w:color="auto" w:fill="E7E6E6" w:themeFill="background2"/>
            <w:vAlign w:val="center"/>
            <w:hideMark/>
          </w:tcPr>
          <w:p w14:paraId="2180E560"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Спровођење Уредбе (ЕУ) 2017/459</w:t>
            </w:r>
          </w:p>
        </w:tc>
      </w:tr>
      <w:tr w:rsidR="00854ADA" w:rsidRPr="00FF386D" w14:paraId="004B47E2" w14:textId="77777777" w:rsidTr="0057310C">
        <w:trPr>
          <w:trHeight w:val="960"/>
        </w:trPr>
        <w:tc>
          <w:tcPr>
            <w:tcW w:w="3217" w:type="dxa"/>
            <w:tcBorders>
              <w:top w:val="nil"/>
              <w:left w:val="single" w:sz="8" w:space="0" w:color="auto"/>
              <w:bottom w:val="single" w:sz="8" w:space="0" w:color="auto"/>
              <w:right w:val="nil"/>
            </w:tcBorders>
            <w:shd w:val="clear" w:color="000000" w:fill="244062"/>
            <w:vAlign w:val="center"/>
            <w:hideMark/>
          </w:tcPr>
          <w:p w14:paraId="4CC78A5D" w14:textId="1E91141D"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71" w:type="dxa"/>
            <w:gridSpan w:val="3"/>
            <w:tcBorders>
              <w:top w:val="single" w:sz="8" w:space="0" w:color="auto"/>
              <w:left w:val="nil"/>
              <w:bottom w:val="single" w:sz="8" w:space="0" w:color="auto"/>
              <w:right w:val="single" w:sz="8" w:space="0" w:color="000000"/>
            </w:tcBorders>
            <w:vAlign w:val="center"/>
          </w:tcPr>
          <w:p w14:paraId="1E13FFDB" w14:textId="071FDED6"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Инфраструктура, политике и мере у погледу тржишног формирања цена, интеграција тржишта с циљем да се повећају капацитети</w:t>
            </w:r>
            <w:r w:rsidR="00B4216E" w:rsidRPr="00FF386D">
              <w:rPr>
                <w:rFonts w:ascii="Calibri Light" w:hAnsi="Calibri Light"/>
                <w:sz w:val="20"/>
              </w:rPr>
              <w:t xml:space="preserve"> којима се тргује</w:t>
            </w:r>
            <w:r w:rsidRPr="00FF386D">
              <w:rPr>
                <w:rFonts w:ascii="Calibri Light" w:hAnsi="Calibri Light"/>
                <w:sz w:val="20"/>
              </w:rPr>
              <w:t>, заштита потрошача и побољшана конкуренција, као и регионална интеграција</w:t>
            </w:r>
          </w:p>
        </w:tc>
      </w:tr>
      <w:tr w:rsidR="00854ADA" w:rsidRPr="00FF386D" w14:paraId="74084056"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63115BFA" w14:textId="3EBD6ECF"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71" w:type="dxa"/>
            <w:gridSpan w:val="3"/>
            <w:tcBorders>
              <w:top w:val="single" w:sz="8" w:space="0" w:color="auto"/>
              <w:left w:val="nil"/>
              <w:bottom w:val="single" w:sz="8" w:space="0" w:color="auto"/>
              <w:right w:val="single" w:sz="8" w:space="0" w:color="000000"/>
            </w:tcBorders>
            <w:vAlign w:val="center"/>
          </w:tcPr>
          <w:p w14:paraId="2C026C7A" w14:textId="77777777" w:rsidR="00854ADA" w:rsidRPr="00FF386D" w:rsidRDefault="00854ADA" w:rsidP="00854ADA">
            <w:pPr>
              <w:spacing w:after="0" w:line="240" w:lineRule="auto"/>
              <w:jc w:val="both"/>
              <w:rPr>
                <w:rFonts w:ascii="Calibri" w:eastAsia="Times New Roman" w:hAnsi="Calibri" w:cs="Calibri"/>
                <w:color w:val="000000"/>
                <w:lang w:eastAsia="en-GB"/>
              </w:rPr>
            </w:pPr>
            <w:r w:rsidRPr="00FF386D">
              <w:rPr>
                <w:rFonts w:ascii="Calibri Light" w:hAnsi="Calibri Light"/>
                <w:sz w:val="20"/>
              </w:rPr>
              <w:t>Доношење Уредбе</w:t>
            </w:r>
          </w:p>
        </w:tc>
      </w:tr>
      <w:tr w:rsidR="00854ADA" w:rsidRPr="00FF386D" w14:paraId="0B0D69C7" w14:textId="77777777" w:rsidTr="0057310C">
        <w:trPr>
          <w:trHeight w:val="726"/>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7B99100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71" w:type="dxa"/>
            <w:gridSpan w:val="3"/>
            <w:tcBorders>
              <w:top w:val="single" w:sz="8" w:space="0" w:color="auto"/>
              <w:left w:val="nil"/>
              <w:bottom w:val="single" w:sz="8" w:space="0" w:color="auto"/>
              <w:right w:val="single" w:sz="8" w:space="0" w:color="000000"/>
            </w:tcBorders>
            <w:vAlign w:val="center"/>
            <w:hideMark/>
          </w:tcPr>
          <w:p w14:paraId="3A091F95" w14:textId="64233BB5"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Као уговорна страна Енергетске заједнице, Србија је била у обавези да спроведе Уредбу до 28. фебруара 2020. </w:t>
            </w:r>
            <w:r w:rsidR="00B4216E" w:rsidRPr="00FF386D">
              <w:rPr>
                <w:rFonts w:ascii="Calibri Light" w:hAnsi="Calibri Light"/>
                <w:sz w:val="20"/>
              </w:rPr>
              <w:t xml:space="preserve">године. </w:t>
            </w:r>
            <w:r w:rsidRPr="00FF386D">
              <w:rPr>
                <w:rFonts w:ascii="Calibri Light" w:hAnsi="Calibri Light"/>
                <w:sz w:val="20"/>
              </w:rPr>
              <w:t>Спровођење је још увек у току. Ова политика се односи на спровођење уредбе. Транспо</w:t>
            </w:r>
            <w:r w:rsidR="00B4216E" w:rsidRPr="00FF386D">
              <w:rPr>
                <w:rFonts w:ascii="Calibri Light" w:hAnsi="Calibri Light"/>
                <w:sz w:val="20"/>
              </w:rPr>
              <w:t>новање</w:t>
            </w:r>
            <w:r w:rsidRPr="00FF386D">
              <w:rPr>
                <w:rFonts w:ascii="Calibri Light" w:hAnsi="Calibri Light"/>
                <w:sz w:val="20"/>
              </w:rPr>
              <w:t xml:space="preserve"> и спровођење су још увек току.</w:t>
            </w:r>
          </w:p>
        </w:tc>
      </w:tr>
      <w:tr w:rsidR="00854ADA" w:rsidRPr="00FF386D" w14:paraId="0D7C1CFB"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1C9FB82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71" w:type="dxa"/>
            <w:gridSpan w:val="3"/>
            <w:tcBorders>
              <w:top w:val="single" w:sz="8" w:space="0" w:color="auto"/>
              <w:left w:val="nil"/>
              <w:bottom w:val="single" w:sz="8" w:space="0" w:color="auto"/>
              <w:right w:val="single" w:sz="8" w:space="0" w:color="000000"/>
            </w:tcBorders>
            <w:vAlign w:val="center"/>
            <w:hideMark/>
          </w:tcPr>
          <w:p w14:paraId="3669A217" w14:textId="44163FA6"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202</w:t>
            </w:r>
            <w:r w:rsidR="002D1B59">
              <w:rPr>
                <w:rFonts w:ascii="Calibri Light" w:hAnsi="Calibri Light"/>
                <w:sz w:val="20"/>
              </w:rPr>
              <w:t>4</w:t>
            </w:r>
            <w:r w:rsidRPr="00FF386D">
              <w:rPr>
                <w:rFonts w:ascii="Calibri Light" w:hAnsi="Calibri Light"/>
                <w:sz w:val="20"/>
              </w:rPr>
              <w:t>.</w:t>
            </w:r>
          </w:p>
        </w:tc>
      </w:tr>
      <w:tr w:rsidR="00854ADA" w:rsidRPr="00FF386D" w14:paraId="54FC81C9"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6D708DB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71" w:type="dxa"/>
            <w:gridSpan w:val="3"/>
            <w:tcBorders>
              <w:top w:val="single" w:sz="8" w:space="0" w:color="auto"/>
              <w:left w:val="nil"/>
              <w:bottom w:val="single" w:sz="8" w:space="0" w:color="auto"/>
              <w:right w:val="single" w:sz="8" w:space="0" w:color="000000"/>
            </w:tcBorders>
            <w:vAlign w:val="center"/>
            <w:hideMark/>
          </w:tcPr>
          <w:p w14:paraId="11FA9395"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Реформа</w:t>
            </w:r>
          </w:p>
        </w:tc>
      </w:tr>
      <w:tr w:rsidR="00854ADA" w:rsidRPr="00FF386D" w14:paraId="6F95B09C"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760BE0D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71" w:type="dxa"/>
            <w:gridSpan w:val="3"/>
            <w:tcBorders>
              <w:top w:val="single" w:sz="8" w:space="0" w:color="auto"/>
              <w:left w:val="nil"/>
              <w:bottom w:val="single" w:sz="8" w:space="0" w:color="auto"/>
              <w:right w:val="single" w:sz="8" w:space="0" w:color="000000"/>
            </w:tcBorders>
            <w:vAlign w:val="center"/>
            <w:hideMark/>
          </w:tcPr>
          <w:p w14:paraId="40BEB795"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Гас</w:t>
            </w:r>
          </w:p>
        </w:tc>
      </w:tr>
      <w:tr w:rsidR="00854ADA" w:rsidRPr="00FF386D" w14:paraId="1DD69839"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5CA5369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71" w:type="dxa"/>
            <w:gridSpan w:val="3"/>
            <w:tcBorders>
              <w:top w:val="single" w:sz="8" w:space="0" w:color="auto"/>
              <w:left w:val="nil"/>
              <w:bottom w:val="single" w:sz="8" w:space="0" w:color="auto"/>
              <w:right w:val="single" w:sz="8" w:space="0" w:color="000000"/>
            </w:tcBorders>
            <w:vAlign w:val="center"/>
            <w:hideMark/>
          </w:tcPr>
          <w:p w14:paraId="492B8071" w14:textId="77777777" w:rsidR="00854ADA" w:rsidRPr="00FF386D" w:rsidRDefault="00854ADA" w:rsidP="00854ADA">
            <w:pPr>
              <w:numPr>
                <w:ilvl w:val="0"/>
                <w:numId w:val="68"/>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АЕРС</w:t>
            </w:r>
          </w:p>
          <w:p w14:paraId="24EB3D21" w14:textId="77777777" w:rsidR="00854ADA" w:rsidRPr="00FF386D" w:rsidRDefault="00854ADA" w:rsidP="00854ADA">
            <w:pPr>
              <w:numPr>
                <w:ilvl w:val="0"/>
                <w:numId w:val="68"/>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Оператори транспортног система</w:t>
            </w:r>
          </w:p>
          <w:p w14:paraId="6F94D8CD" w14:textId="77777777" w:rsidR="00854ADA" w:rsidRPr="00FF386D" w:rsidRDefault="00854ADA" w:rsidP="00854ADA">
            <w:pPr>
              <w:numPr>
                <w:ilvl w:val="0"/>
                <w:numId w:val="68"/>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Министарство рударства и енергетике</w:t>
            </w:r>
          </w:p>
          <w:p w14:paraId="3C4E2B0E" w14:textId="77777777" w:rsidR="00854ADA" w:rsidRPr="00FF386D" w:rsidRDefault="00854ADA" w:rsidP="00854ADA">
            <w:pPr>
              <w:numPr>
                <w:ilvl w:val="0"/>
                <w:numId w:val="68"/>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Влада</w:t>
            </w:r>
          </w:p>
        </w:tc>
      </w:tr>
      <w:tr w:rsidR="00854ADA" w:rsidRPr="00FF386D" w14:paraId="04C08E44" w14:textId="77777777" w:rsidTr="0057310C">
        <w:trPr>
          <w:trHeight w:val="315"/>
        </w:trPr>
        <w:tc>
          <w:tcPr>
            <w:tcW w:w="3217" w:type="dxa"/>
            <w:tcBorders>
              <w:top w:val="nil"/>
              <w:left w:val="single" w:sz="8" w:space="0" w:color="auto"/>
              <w:bottom w:val="single" w:sz="8" w:space="0" w:color="auto"/>
              <w:right w:val="nil"/>
            </w:tcBorders>
            <w:shd w:val="clear" w:color="000000" w:fill="244062"/>
            <w:vAlign w:val="center"/>
            <w:hideMark/>
          </w:tcPr>
          <w:p w14:paraId="4C9A77E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71" w:type="dxa"/>
            <w:gridSpan w:val="3"/>
            <w:tcBorders>
              <w:top w:val="single" w:sz="8" w:space="0" w:color="auto"/>
              <w:left w:val="nil"/>
              <w:bottom w:val="single" w:sz="8" w:space="0" w:color="auto"/>
              <w:right w:val="single" w:sz="8" w:space="0" w:color="000000"/>
            </w:tcBorders>
            <w:vAlign w:val="center"/>
            <w:hideMark/>
          </w:tcPr>
          <w:p w14:paraId="5CF6D7C5" w14:textId="77777777" w:rsidR="00854ADA" w:rsidRPr="00FF386D" w:rsidRDefault="00854ADA" w:rsidP="00854ADA">
            <w:pPr>
              <w:numPr>
                <w:ilvl w:val="0"/>
                <w:numId w:val="68"/>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АЕРС</w:t>
            </w:r>
          </w:p>
        </w:tc>
      </w:tr>
      <w:tr w:rsidR="00854ADA" w:rsidRPr="00FF386D" w14:paraId="7B47E55C" w14:textId="77777777" w:rsidTr="0057310C">
        <w:trPr>
          <w:trHeight w:val="315"/>
        </w:trPr>
        <w:tc>
          <w:tcPr>
            <w:tcW w:w="3217" w:type="dxa"/>
            <w:tcBorders>
              <w:top w:val="nil"/>
              <w:left w:val="single" w:sz="8" w:space="0" w:color="auto"/>
              <w:bottom w:val="single" w:sz="8" w:space="0" w:color="auto"/>
              <w:right w:val="nil"/>
            </w:tcBorders>
            <w:shd w:val="clear" w:color="000000" w:fill="244062"/>
            <w:vAlign w:val="center"/>
            <w:hideMark/>
          </w:tcPr>
          <w:p w14:paraId="6A1E772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71" w:type="dxa"/>
            <w:gridSpan w:val="3"/>
            <w:tcBorders>
              <w:top w:val="single" w:sz="8" w:space="0" w:color="auto"/>
              <w:left w:val="nil"/>
              <w:bottom w:val="single" w:sz="8" w:space="0" w:color="auto"/>
              <w:right w:val="single" w:sz="8" w:space="0" w:color="000000"/>
            </w:tcBorders>
            <w:vAlign w:val="center"/>
            <w:hideMark/>
          </w:tcPr>
          <w:p w14:paraId="2DCF0D8F" w14:textId="277E66EC"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Трансп</w:t>
            </w:r>
            <w:r w:rsidR="00960586" w:rsidRPr="00FF386D">
              <w:rPr>
                <w:rFonts w:ascii="Calibri Light" w:hAnsi="Calibri Light"/>
                <w:sz w:val="20"/>
              </w:rPr>
              <w:t>оновање</w:t>
            </w:r>
            <w:r w:rsidRPr="00FF386D">
              <w:rPr>
                <w:rFonts w:ascii="Calibri Light" w:hAnsi="Calibri Light"/>
                <w:sz w:val="20"/>
              </w:rPr>
              <w:t xml:space="preserve"> Уредбе, понуда капацитета путем аукција на платформи за резервисање капацитета</w:t>
            </w:r>
          </w:p>
        </w:tc>
      </w:tr>
      <w:tr w:rsidR="00854ADA" w:rsidRPr="00FF386D" w14:paraId="66966555" w14:textId="77777777" w:rsidTr="0057310C">
        <w:trPr>
          <w:trHeight w:val="840"/>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1037066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71" w:type="dxa"/>
            <w:gridSpan w:val="3"/>
            <w:tcBorders>
              <w:top w:val="single" w:sz="8" w:space="0" w:color="auto"/>
              <w:left w:val="nil"/>
              <w:bottom w:val="single" w:sz="8" w:space="0" w:color="auto"/>
              <w:right w:val="single" w:sz="8" w:space="0" w:color="000000"/>
            </w:tcBorders>
            <w:vAlign w:val="center"/>
            <w:hideMark/>
          </w:tcPr>
          <w:p w14:paraId="29FCE97F"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p>
        </w:tc>
      </w:tr>
      <w:tr w:rsidR="00854ADA" w:rsidRPr="00FF386D" w14:paraId="1FC68371" w14:textId="77777777" w:rsidTr="0057310C">
        <w:trPr>
          <w:trHeight w:val="450"/>
        </w:trPr>
        <w:tc>
          <w:tcPr>
            <w:tcW w:w="3217"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32BA5090" w14:textId="6595E245"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7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0B16042" w14:textId="77777777" w:rsidR="00854ADA" w:rsidRPr="00FF386D" w:rsidRDefault="00854ADA" w:rsidP="00854ADA">
            <w:pPr>
              <w:numPr>
                <w:ilvl w:val="0"/>
                <w:numId w:val="68"/>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Уредба (ЕУ) 2017/459</w:t>
            </w:r>
          </w:p>
        </w:tc>
      </w:tr>
      <w:tr w:rsidR="00854ADA" w:rsidRPr="00FF386D" w14:paraId="76AE514E"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1DAD5A1F"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71" w:type="dxa"/>
            <w:gridSpan w:val="3"/>
            <w:vMerge/>
            <w:tcBorders>
              <w:top w:val="single" w:sz="8" w:space="0" w:color="auto"/>
              <w:left w:val="single" w:sz="8" w:space="0" w:color="auto"/>
              <w:bottom w:val="single" w:sz="8" w:space="0" w:color="000000"/>
              <w:right w:val="single" w:sz="8" w:space="0" w:color="000000"/>
            </w:tcBorders>
            <w:vAlign w:val="center"/>
            <w:hideMark/>
          </w:tcPr>
          <w:p w14:paraId="1E672976"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7381EB28"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18721B71"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71" w:type="dxa"/>
            <w:gridSpan w:val="3"/>
            <w:vMerge/>
            <w:tcBorders>
              <w:top w:val="single" w:sz="8" w:space="0" w:color="auto"/>
              <w:left w:val="single" w:sz="8" w:space="0" w:color="auto"/>
              <w:bottom w:val="single" w:sz="8" w:space="0" w:color="000000"/>
              <w:right w:val="single" w:sz="8" w:space="0" w:color="000000"/>
            </w:tcBorders>
            <w:vAlign w:val="center"/>
            <w:hideMark/>
          </w:tcPr>
          <w:p w14:paraId="6C938C80"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5EAA5399" w14:textId="77777777" w:rsidTr="0057310C">
        <w:trPr>
          <w:trHeight w:val="780"/>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5A2743A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71" w:type="dxa"/>
            <w:gridSpan w:val="3"/>
            <w:tcBorders>
              <w:top w:val="single" w:sz="8" w:space="0" w:color="auto"/>
              <w:left w:val="nil"/>
              <w:bottom w:val="single" w:sz="8" w:space="0" w:color="auto"/>
              <w:right w:val="single" w:sz="8" w:space="0" w:color="000000"/>
            </w:tcBorders>
            <w:vAlign w:val="center"/>
            <w:hideMark/>
          </w:tcPr>
          <w:p w14:paraId="2F5B740D" w14:textId="77777777" w:rsidR="00854ADA" w:rsidRPr="00FF386D" w:rsidRDefault="00854ADA" w:rsidP="00854ADA">
            <w:pPr>
              <w:numPr>
                <w:ilvl w:val="0"/>
                <w:numId w:val="67"/>
              </w:numPr>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енергетици</w:t>
            </w:r>
          </w:p>
          <w:p w14:paraId="627FDF67" w14:textId="77777777" w:rsidR="00854ADA" w:rsidRPr="00FF386D" w:rsidRDefault="00854ADA" w:rsidP="00854ADA">
            <w:pPr>
              <w:numPr>
                <w:ilvl w:val="0"/>
                <w:numId w:val="67"/>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Aкциони план за спровођење Активности у циљу реорганизације ЈП Србијагас</w:t>
            </w:r>
          </w:p>
        </w:tc>
      </w:tr>
      <w:tr w:rsidR="00854ADA" w:rsidRPr="00FF386D" w14:paraId="70B0FCC2"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475604F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71" w:type="dxa"/>
            <w:gridSpan w:val="3"/>
            <w:tcBorders>
              <w:top w:val="single" w:sz="8" w:space="0" w:color="auto"/>
              <w:left w:val="nil"/>
              <w:bottom w:val="single" w:sz="8" w:space="0" w:color="auto"/>
              <w:right w:val="single" w:sz="8" w:space="0" w:color="000000"/>
            </w:tcBorders>
            <w:vAlign w:val="center"/>
            <w:hideMark/>
          </w:tcPr>
          <w:p w14:paraId="4A09AFFB"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0,2 милиона евра</w:t>
            </w:r>
          </w:p>
        </w:tc>
      </w:tr>
      <w:tr w:rsidR="00854ADA" w:rsidRPr="00FF386D" w14:paraId="1CA889B3"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50DD90B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71" w:type="dxa"/>
            <w:gridSpan w:val="3"/>
            <w:tcBorders>
              <w:top w:val="single" w:sz="8" w:space="0" w:color="auto"/>
              <w:left w:val="nil"/>
              <w:bottom w:val="single" w:sz="8" w:space="0" w:color="auto"/>
              <w:right w:val="single" w:sz="8" w:space="0" w:color="000000"/>
            </w:tcBorders>
            <w:vAlign w:val="center"/>
            <w:hideMark/>
          </w:tcPr>
          <w:p w14:paraId="5F06A303" w14:textId="0082C592"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460244" w:rsidRPr="00FF386D">
              <w:rPr>
                <w:rFonts w:ascii="Calibri Light" w:eastAsia="Times New Roman" w:hAnsi="Calibri Light" w:cs="Calibri Light"/>
                <w:color w:val="000000"/>
                <w:sz w:val="20"/>
                <w:szCs w:val="20"/>
                <w:lang w:eastAsia="en-GB"/>
              </w:rPr>
              <w:t>ска средства</w:t>
            </w:r>
          </w:p>
        </w:tc>
      </w:tr>
    </w:tbl>
    <w:p w14:paraId="08B7692E"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17"/>
        <w:gridCol w:w="1309"/>
        <w:gridCol w:w="920"/>
        <w:gridCol w:w="4042"/>
      </w:tblGrid>
      <w:tr w:rsidR="00854ADA" w:rsidRPr="00FF386D" w14:paraId="09A66025" w14:textId="77777777" w:rsidTr="0057310C">
        <w:trPr>
          <w:trHeight w:val="780"/>
        </w:trPr>
        <w:tc>
          <w:tcPr>
            <w:tcW w:w="3217"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7F4AB252" w14:textId="0450BF9D"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309" w:type="dxa"/>
            <w:tcBorders>
              <w:top w:val="single" w:sz="8" w:space="0" w:color="auto"/>
              <w:left w:val="nil"/>
              <w:bottom w:val="single" w:sz="8" w:space="0" w:color="auto"/>
              <w:right w:val="single" w:sz="8" w:space="0" w:color="auto"/>
            </w:tcBorders>
            <w:shd w:val="clear" w:color="auto" w:fill="E7E6E6" w:themeFill="background2"/>
            <w:vAlign w:val="center"/>
            <w:hideMark/>
          </w:tcPr>
          <w:p w14:paraId="6FA7DEDC" w14:textId="3CD10A33"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МП_УЕ</w:t>
            </w:r>
            <w:r w:rsidR="00B4216E" w:rsidRPr="00FF386D">
              <w:rPr>
                <w:rFonts w:ascii="Calibri Light" w:hAnsi="Calibri Light"/>
                <w:b/>
                <w:sz w:val="20"/>
              </w:rPr>
              <w:t>Т</w:t>
            </w:r>
            <w:r w:rsidRPr="00FF386D">
              <w:rPr>
                <w:rFonts w:ascii="Calibri Light" w:hAnsi="Calibri Light"/>
                <w:b/>
                <w:sz w:val="20"/>
              </w:rPr>
              <w:t>24</w:t>
            </w:r>
          </w:p>
        </w:tc>
        <w:tc>
          <w:tcPr>
            <w:tcW w:w="920" w:type="dxa"/>
            <w:tcBorders>
              <w:top w:val="single" w:sz="8" w:space="0" w:color="auto"/>
              <w:left w:val="nil"/>
              <w:bottom w:val="single" w:sz="8" w:space="0" w:color="auto"/>
              <w:right w:val="single" w:sz="8" w:space="0" w:color="auto"/>
            </w:tcBorders>
            <w:shd w:val="clear" w:color="auto" w:fill="244062"/>
            <w:vAlign w:val="center"/>
            <w:hideMark/>
          </w:tcPr>
          <w:p w14:paraId="161D8D7E"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042" w:type="dxa"/>
            <w:tcBorders>
              <w:top w:val="single" w:sz="8" w:space="0" w:color="auto"/>
              <w:left w:val="nil"/>
              <w:bottom w:val="single" w:sz="8" w:space="0" w:color="auto"/>
              <w:right w:val="single" w:sz="8" w:space="0" w:color="auto"/>
            </w:tcBorders>
            <w:shd w:val="clear" w:color="auto" w:fill="E7E6E6" w:themeFill="background2"/>
            <w:vAlign w:val="center"/>
            <w:hideMark/>
          </w:tcPr>
          <w:p w14:paraId="06C9E016"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Спровођење Уредбе (ЕУ) 2017/460</w:t>
            </w:r>
          </w:p>
        </w:tc>
      </w:tr>
      <w:tr w:rsidR="00854ADA" w:rsidRPr="00FF386D" w14:paraId="6E99AAC4" w14:textId="77777777" w:rsidTr="0057310C">
        <w:trPr>
          <w:trHeight w:val="423"/>
        </w:trPr>
        <w:tc>
          <w:tcPr>
            <w:tcW w:w="3217" w:type="dxa"/>
            <w:tcBorders>
              <w:top w:val="nil"/>
              <w:left w:val="single" w:sz="8" w:space="0" w:color="auto"/>
              <w:bottom w:val="single" w:sz="8" w:space="0" w:color="auto"/>
              <w:right w:val="nil"/>
            </w:tcBorders>
            <w:shd w:val="clear" w:color="000000" w:fill="244062"/>
            <w:vAlign w:val="center"/>
            <w:hideMark/>
          </w:tcPr>
          <w:p w14:paraId="4EC32F1A" w14:textId="28D3974B"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71" w:type="dxa"/>
            <w:gridSpan w:val="3"/>
            <w:tcBorders>
              <w:top w:val="single" w:sz="8" w:space="0" w:color="auto"/>
              <w:left w:val="nil"/>
              <w:bottom w:val="single" w:sz="8" w:space="0" w:color="auto"/>
              <w:right w:val="single" w:sz="8" w:space="0" w:color="000000"/>
            </w:tcBorders>
            <w:vAlign w:val="center"/>
          </w:tcPr>
          <w:p w14:paraId="30F2D31C" w14:textId="06886594" w:rsidR="00854ADA" w:rsidRPr="00FF386D" w:rsidRDefault="00B4216E"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Инфраструктура, политике и мере у погледу тржишног формирања цена, интеграција тржишта с циљем да се повећају капацитети којима се тргује, заштита потрошача и побољшана конкуренција, као и регионална интеграција</w:t>
            </w:r>
          </w:p>
        </w:tc>
      </w:tr>
      <w:tr w:rsidR="00854ADA" w:rsidRPr="00FF386D" w14:paraId="57B69C5A"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183919FE" w14:textId="585FE6FF"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71" w:type="dxa"/>
            <w:gridSpan w:val="3"/>
            <w:tcBorders>
              <w:top w:val="single" w:sz="8" w:space="0" w:color="auto"/>
              <w:left w:val="nil"/>
              <w:bottom w:val="single" w:sz="8" w:space="0" w:color="auto"/>
              <w:right w:val="single" w:sz="8" w:space="0" w:color="000000"/>
            </w:tcBorders>
            <w:vAlign w:val="center"/>
          </w:tcPr>
          <w:p w14:paraId="61A6D141" w14:textId="759656B9" w:rsidR="00854ADA" w:rsidRPr="00FF386D" w:rsidRDefault="00854ADA" w:rsidP="00854ADA">
            <w:pPr>
              <w:spacing w:after="0" w:line="240" w:lineRule="auto"/>
              <w:jc w:val="both"/>
              <w:rPr>
                <w:rFonts w:ascii="Calibri" w:eastAsia="Times New Roman" w:hAnsi="Calibri" w:cs="Calibri"/>
                <w:color w:val="000000"/>
                <w:lang w:eastAsia="en-GB"/>
              </w:rPr>
            </w:pPr>
            <w:r w:rsidRPr="00FF386D">
              <w:rPr>
                <w:rFonts w:ascii="Calibri Light" w:hAnsi="Calibri Light"/>
                <w:sz w:val="20"/>
              </w:rPr>
              <w:t>Транспо</w:t>
            </w:r>
            <w:r w:rsidR="009C3E3C" w:rsidRPr="00FF386D">
              <w:rPr>
                <w:rFonts w:ascii="Calibri Light" w:hAnsi="Calibri Light"/>
                <w:sz w:val="20"/>
              </w:rPr>
              <w:t>новање</w:t>
            </w:r>
            <w:r w:rsidRPr="00FF386D">
              <w:rPr>
                <w:rFonts w:ascii="Calibri Light" w:hAnsi="Calibri Light"/>
                <w:sz w:val="20"/>
              </w:rPr>
              <w:t xml:space="preserve"> уредбе</w:t>
            </w:r>
          </w:p>
        </w:tc>
      </w:tr>
      <w:tr w:rsidR="00854ADA" w:rsidRPr="00FF386D" w14:paraId="5BEC628C" w14:textId="77777777" w:rsidTr="0057310C">
        <w:trPr>
          <w:trHeight w:val="632"/>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13991E9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71" w:type="dxa"/>
            <w:gridSpan w:val="3"/>
            <w:tcBorders>
              <w:top w:val="single" w:sz="8" w:space="0" w:color="auto"/>
              <w:left w:val="nil"/>
              <w:bottom w:val="single" w:sz="8" w:space="0" w:color="auto"/>
              <w:right w:val="single" w:sz="8" w:space="0" w:color="000000"/>
            </w:tcBorders>
            <w:vAlign w:val="center"/>
            <w:hideMark/>
          </w:tcPr>
          <w:p w14:paraId="74362312" w14:textId="48F508B6"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Као уговорна страна Енергетске заједнице, Србија је била у обавези да спроведе Уредбу до 28. фебруара 2020. </w:t>
            </w:r>
            <w:r w:rsidR="00D96608" w:rsidRPr="00D96608">
              <w:rPr>
                <w:rFonts w:ascii="Calibri Light" w:hAnsi="Calibri Light"/>
                <w:sz w:val="20"/>
              </w:rPr>
              <w:t>Ова политика се односи на спровођење уредбе</w:t>
            </w:r>
            <w:r w:rsidR="00D96608">
              <w:rPr>
                <w:rFonts w:ascii="Calibri Light" w:hAnsi="Calibri Light"/>
                <w:sz w:val="20"/>
              </w:rPr>
              <w:t xml:space="preserve">. </w:t>
            </w:r>
            <w:r w:rsidRPr="00FF386D">
              <w:rPr>
                <w:rFonts w:ascii="Calibri Light" w:hAnsi="Calibri Light"/>
                <w:sz w:val="20"/>
              </w:rPr>
              <w:t>Транспо</w:t>
            </w:r>
            <w:r w:rsidR="00B4216E" w:rsidRPr="00FF386D">
              <w:rPr>
                <w:rFonts w:ascii="Calibri Light" w:hAnsi="Calibri Light"/>
                <w:sz w:val="20"/>
              </w:rPr>
              <w:t>новање</w:t>
            </w:r>
            <w:r w:rsidRPr="00FF386D">
              <w:rPr>
                <w:rFonts w:ascii="Calibri Light" w:hAnsi="Calibri Light"/>
                <w:sz w:val="20"/>
              </w:rPr>
              <w:t xml:space="preserve"> и спровођење су још увек у току. Неопходно је да се настави п</w:t>
            </w:r>
            <w:r w:rsidR="00B4216E" w:rsidRPr="00FF386D">
              <w:rPr>
                <w:rFonts w:ascii="Calibri Light" w:hAnsi="Calibri Light"/>
                <w:sz w:val="20"/>
              </w:rPr>
              <w:t>оступ</w:t>
            </w:r>
            <w:r w:rsidR="009C3E3C" w:rsidRPr="00FF386D">
              <w:rPr>
                <w:rFonts w:ascii="Calibri Light" w:hAnsi="Calibri Light"/>
                <w:sz w:val="20"/>
              </w:rPr>
              <w:t>ак</w:t>
            </w:r>
            <w:r w:rsidRPr="00FF386D">
              <w:rPr>
                <w:rFonts w:ascii="Calibri Light" w:hAnsi="Calibri Light"/>
                <w:sz w:val="20"/>
              </w:rPr>
              <w:t xml:space="preserve"> спровођења мрежних правила.</w:t>
            </w:r>
            <w:r w:rsidR="00B4216E" w:rsidRPr="00FF386D">
              <w:rPr>
                <w:rFonts w:ascii="Calibri Light" w:hAnsi="Calibri Light"/>
                <w:sz w:val="20"/>
              </w:rPr>
              <w:t xml:space="preserve"> </w:t>
            </w:r>
          </w:p>
        </w:tc>
      </w:tr>
      <w:tr w:rsidR="00854ADA" w:rsidRPr="00FF386D" w14:paraId="15AA12BD"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168D7C3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71" w:type="dxa"/>
            <w:gridSpan w:val="3"/>
            <w:tcBorders>
              <w:top w:val="single" w:sz="8" w:space="0" w:color="auto"/>
              <w:left w:val="nil"/>
              <w:bottom w:val="single" w:sz="8" w:space="0" w:color="auto"/>
              <w:right w:val="single" w:sz="8" w:space="0" w:color="000000"/>
            </w:tcBorders>
            <w:vAlign w:val="center"/>
            <w:hideMark/>
          </w:tcPr>
          <w:p w14:paraId="4CE2036C" w14:textId="24949A26"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202</w:t>
            </w:r>
            <w:r w:rsidR="002D1B59">
              <w:rPr>
                <w:rFonts w:ascii="Calibri Light" w:hAnsi="Calibri Light"/>
                <w:sz w:val="20"/>
              </w:rPr>
              <w:t>4</w:t>
            </w:r>
            <w:r w:rsidRPr="00FF386D">
              <w:rPr>
                <w:rFonts w:ascii="Calibri Light" w:hAnsi="Calibri Light"/>
                <w:sz w:val="20"/>
              </w:rPr>
              <w:t>.</w:t>
            </w:r>
          </w:p>
        </w:tc>
      </w:tr>
      <w:tr w:rsidR="00854ADA" w:rsidRPr="00FF386D" w14:paraId="3427EFE1"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389DA19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71" w:type="dxa"/>
            <w:gridSpan w:val="3"/>
            <w:tcBorders>
              <w:top w:val="single" w:sz="8" w:space="0" w:color="auto"/>
              <w:left w:val="nil"/>
              <w:bottom w:val="single" w:sz="8" w:space="0" w:color="auto"/>
              <w:right w:val="single" w:sz="8" w:space="0" w:color="000000"/>
            </w:tcBorders>
            <w:vAlign w:val="center"/>
            <w:hideMark/>
          </w:tcPr>
          <w:p w14:paraId="124D2242"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Реформа</w:t>
            </w:r>
          </w:p>
        </w:tc>
      </w:tr>
      <w:tr w:rsidR="00854ADA" w:rsidRPr="00FF386D" w14:paraId="3CF0FE9C"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7B2A638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71" w:type="dxa"/>
            <w:gridSpan w:val="3"/>
            <w:tcBorders>
              <w:top w:val="single" w:sz="8" w:space="0" w:color="auto"/>
              <w:left w:val="nil"/>
              <w:bottom w:val="single" w:sz="8" w:space="0" w:color="auto"/>
              <w:right w:val="single" w:sz="8" w:space="0" w:color="000000"/>
            </w:tcBorders>
            <w:vAlign w:val="center"/>
            <w:hideMark/>
          </w:tcPr>
          <w:p w14:paraId="24391540"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Гас</w:t>
            </w:r>
          </w:p>
        </w:tc>
      </w:tr>
      <w:tr w:rsidR="00854ADA" w:rsidRPr="00FF386D" w14:paraId="36F05FD6"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04646FA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71" w:type="dxa"/>
            <w:gridSpan w:val="3"/>
            <w:tcBorders>
              <w:top w:val="single" w:sz="8" w:space="0" w:color="auto"/>
              <w:left w:val="nil"/>
              <w:bottom w:val="single" w:sz="8" w:space="0" w:color="auto"/>
              <w:right w:val="single" w:sz="8" w:space="0" w:color="000000"/>
            </w:tcBorders>
            <w:vAlign w:val="center"/>
            <w:hideMark/>
          </w:tcPr>
          <w:p w14:paraId="1C1C305D" w14:textId="77777777" w:rsidR="00854ADA" w:rsidRPr="00FF386D" w:rsidRDefault="00854ADA" w:rsidP="00854ADA">
            <w:pPr>
              <w:numPr>
                <w:ilvl w:val="0"/>
                <w:numId w:val="7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АЕРС</w:t>
            </w:r>
          </w:p>
          <w:p w14:paraId="00781956" w14:textId="77777777" w:rsidR="00854ADA" w:rsidRPr="00FF386D" w:rsidRDefault="00854ADA" w:rsidP="00854ADA">
            <w:pPr>
              <w:numPr>
                <w:ilvl w:val="0"/>
                <w:numId w:val="7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Оператори транспортног система</w:t>
            </w:r>
          </w:p>
          <w:p w14:paraId="1A70988A" w14:textId="77777777" w:rsidR="00854ADA" w:rsidRPr="00FF386D" w:rsidRDefault="00854ADA" w:rsidP="00854ADA">
            <w:pPr>
              <w:numPr>
                <w:ilvl w:val="0"/>
                <w:numId w:val="7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Министарство рударства и енергетике</w:t>
            </w:r>
          </w:p>
          <w:p w14:paraId="6C98A49F" w14:textId="77777777" w:rsidR="00854ADA" w:rsidRPr="00FF386D" w:rsidRDefault="00854ADA" w:rsidP="00854ADA">
            <w:pPr>
              <w:numPr>
                <w:ilvl w:val="0"/>
                <w:numId w:val="7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Влада</w:t>
            </w:r>
          </w:p>
        </w:tc>
      </w:tr>
      <w:tr w:rsidR="00854ADA" w:rsidRPr="00FF386D" w14:paraId="7E3EDC42" w14:textId="77777777" w:rsidTr="0057310C">
        <w:trPr>
          <w:trHeight w:val="315"/>
        </w:trPr>
        <w:tc>
          <w:tcPr>
            <w:tcW w:w="3217" w:type="dxa"/>
            <w:tcBorders>
              <w:top w:val="nil"/>
              <w:left w:val="single" w:sz="8" w:space="0" w:color="auto"/>
              <w:bottom w:val="single" w:sz="8" w:space="0" w:color="auto"/>
              <w:right w:val="nil"/>
            </w:tcBorders>
            <w:shd w:val="clear" w:color="000000" w:fill="244062"/>
            <w:vAlign w:val="center"/>
            <w:hideMark/>
          </w:tcPr>
          <w:p w14:paraId="3E995E8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71" w:type="dxa"/>
            <w:gridSpan w:val="3"/>
            <w:tcBorders>
              <w:top w:val="single" w:sz="8" w:space="0" w:color="auto"/>
              <w:left w:val="nil"/>
              <w:bottom w:val="single" w:sz="8" w:space="0" w:color="auto"/>
              <w:right w:val="single" w:sz="8" w:space="0" w:color="000000"/>
            </w:tcBorders>
            <w:vAlign w:val="center"/>
            <w:hideMark/>
          </w:tcPr>
          <w:p w14:paraId="1CCCF77B" w14:textId="77777777" w:rsidR="00854ADA" w:rsidRPr="00FF386D" w:rsidRDefault="00854ADA" w:rsidP="00854ADA">
            <w:pPr>
              <w:numPr>
                <w:ilvl w:val="0"/>
                <w:numId w:val="7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АЕРС</w:t>
            </w:r>
          </w:p>
        </w:tc>
      </w:tr>
      <w:tr w:rsidR="00854ADA" w:rsidRPr="00FF386D" w14:paraId="776C92B5" w14:textId="77777777" w:rsidTr="0057310C">
        <w:trPr>
          <w:trHeight w:val="315"/>
        </w:trPr>
        <w:tc>
          <w:tcPr>
            <w:tcW w:w="3217" w:type="dxa"/>
            <w:tcBorders>
              <w:top w:val="nil"/>
              <w:left w:val="single" w:sz="8" w:space="0" w:color="auto"/>
              <w:bottom w:val="single" w:sz="8" w:space="0" w:color="auto"/>
              <w:right w:val="nil"/>
            </w:tcBorders>
            <w:shd w:val="clear" w:color="000000" w:fill="244062"/>
            <w:vAlign w:val="center"/>
            <w:hideMark/>
          </w:tcPr>
          <w:p w14:paraId="4C94C11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71" w:type="dxa"/>
            <w:gridSpan w:val="3"/>
            <w:tcBorders>
              <w:top w:val="single" w:sz="8" w:space="0" w:color="auto"/>
              <w:left w:val="nil"/>
              <w:bottom w:val="single" w:sz="8" w:space="0" w:color="auto"/>
              <w:right w:val="single" w:sz="8" w:space="0" w:color="000000"/>
            </w:tcBorders>
            <w:vAlign w:val="center"/>
            <w:hideMark/>
          </w:tcPr>
          <w:p w14:paraId="01C18088" w14:textId="11846BE1"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Т</w:t>
            </w:r>
            <w:r w:rsidR="00960586" w:rsidRPr="00FF386D">
              <w:rPr>
                <w:rFonts w:ascii="Calibri Light" w:hAnsi="Calibri Light"/>
                <w:sz w:val="20"/>
              </w:rPr>
              <w:t>ранспоновање</w:t>
            </w:r>
            <w:r w:rsidRPr="00FF386D">
              <w:rPr>
                <w:rFonts w:ascii="Calibri Light" w:hAnsi="Calibri Light"/>
                <w:sz w:val="20"/>
              </w:rPr>
              <w:t xml:space="preserve"> уредбе, развој и усвајање нове тарифне методологије, одобравање тарифа на основу нове методологије</w:t>
            </w:r>
          </w:p>
        </w:tc>
      </w:tr>
      <w:tr w:rsidR="00854ADA" w:rsidRPr="00FF386D" w14:paraId="71B0166E" w14:textId="77777777" w:rsidTr="0057310C">
        <w:trPr>
          <w:trHeight w:val="634"/>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1B45178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71" w:type="dxa"/>
            <w:gridSpan w:val="3"/>
            <w:tcBorders>
              <w:top w:val="single" w:sz="8" w:space="0" w:color="auto"/>
              <w:left w:val="nil"/>
              <w:bottom w:val="single" w:sz="8" w:space="0" w:color="auto"/>
              <w:right w:val="single" w:sz="8" w:space="0" w:color="000000"/>
            </w:tcBorders>
            <w:vAlign w:val="center"/>
            <w:hideMark/>
          </w:tcPr>
          <w:p w14:paraId="44A4647E"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p>
        </w:tc>
      </w:tr>
      <w:tr w:rsidR="00854ADA" w:rsidRPr="00FF386D" w14:paraId="015A93FE" w14:textId="77777777" w:rsidTr="0057310C">
        <w:trPr>
          <w:trHeight w:val="450"/>
        </w:trPr>
        <w:tc>
          <w:tcPr>
            <w:tcW w:w="3217"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0B595FF1" w14:textId="6EEAD96E"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7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EC25C44" w14:textId="77777777" w:rsidR="00854ADA" w:rsidRPr="00FF386D" w:rsidRDefault="00854ADA" w:rsidP="00854ADA">
            <w:pPr>
              <w:numPr>
                <w:ilvl w:val="0"/>
                <w:numId w:val="70"/>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Уредба (ЕУ) 2017/460</w:t>
            </w:r>
          </w:p>
        </w:tc>
      </w:tr>
      <w:tr w:rsidR="00854ADA" w:rsidRPr="00FF386D" w14:paraId="52464F81"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0AEC3159"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71" w:type="dxa"/>
            <w:gridSpan w:val="3"/>
            <w:vMerge/>
            <w:tcBorders>
              <w:top w:val="single" w:sz="8" w:space="0" w:color="auto"/>
              <w:left w:val="single" w:sz="8" w:space="0" w:color="auto"/>
              <w:bottom w:val="single" w:sz="8" w:space="0" w:color="000000"/>
              <w:right w:val="single" w:sz="8" w:space="0" w:color="000000"/>
            </w:tcBorders>
            <w:vAlign w:val="center"/>
            <w:hideMark/>
          </w:tcPr>
          <w:p w14:paraId="222DCE0B"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554C2FB6"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6E64DF57"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71" w:type="dxa"/>
            <w:gridSpan w:val="3"/>
            <w:vMerge/>
            <w:tcBorders>
              <w:top w:val="single" w:sz="8" w:space="0" w:color="auto"/>
              <w:left w:val="single" w:sz="8" w:space="0" w:color="auto"/>
              <w:bottom w:val="single" w:sz="8" w:space="0" w:color="000000"/>
              <w:right w:val="single" w:sz="8" w:space="0" w:color="000000"/>
            </w:tcBorders>
            <w:vAlign w:val="center"/>
            <w:hideMark/>
          </w:tcPr>
          <w:p w14:paraId="2ED8FC1A"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54528C81" w14:textId="77777777" w:rsidTr="0057310C">
        <w:trPr>
          <w:trHeight w:val="780"/>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66CF30C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71" w:type="dxa"/>
            <w:gridSpan w:val="3"/>
            <w:tcBorders>
              <w:top w:val="single" w:sz="8" w:space="0" w:color="auto"/>
              <w:left w:val="nil"/>
              <w:bottom w:val="single" w:sz="8" w:space="0" w:color="auto"/>
              <w:right w:val="single" w:sz="8" w:space="0" w:color="000000"/>
            </w:tcBorders>
            <w:vAlign w:val="center"/>
            <w:hideMark/>
          </w:tcPr>
          <w:p w14:paraId="358F566D" w14:textId="77777777" w:rsidR="00854ADA" w:rsidRPr="00FF386D" w:rsidRDefault="00854ADA" w:rsidP="00854ADA">
            <w:pPr>
              <w:numPr>
                <w:ilvl w:val="0"/>
                <w:numId w:val="69"/>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енергетици</w:t>
            </w:r>
          </w:p>
          <w:p w14:paraId="56F37168" w14:textId="77777777" w:rsidR="00854ADA" w:rsidRPr="00FF386D" w:rsidRDefault="00854ADA" w:rsidP="00854ADA">
            <w:pPr>
              <w:numPr>
                <w:ilvl w:val="0"/>
                <w:numId w:val="69"/>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Aкциони план за спровођење Активности у циљу реорганизације ЈП Србијагас</w:t>
            </w:r>
          </w:p>
        </w:tc>
      </w:tr>
      <w:tr w:rsidR="00854ADA" w:rsidRPr="00FF386D" w14:paraId="53654DC4"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7DE5160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71" w:type="dxa"/>
            <w:gridSpan w:val="3"/>
            <w:tcBorders>
              <w:top w:val="single" w:sz="8" w:space="0" w:color="auto"/>
              <w:left w:val="nil"/>
              <w:bottom w:val="single" w:sz="8" w:space="0" w:color="auto"/>
              <w:right w:val="single" w:sz="8" w:space="0" w:color="000000"/>
            </w:tcBorders>
            <w:vAlign w:val="center"/>
            <w:hideMark/>
          </w:tcPr>
          <w:p w14:paraId="588A7988"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0,2 милиона евра</w:t>
            </w:r>
          </w:p>
        </w:tc>
      </w:tr>
      <w:tr w:rsidR="00854ADA" w:rsidRPr="00FF386D" w14:paraId="5038D4CB"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70653F9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71" w:type="dxa"/>
            <w:gridSpan w:val="3"/>
            <w:tcBorders>
              <w:top w:val="single" w:sz="8" w:space="0" w:color="auto"/>
              <w:left w:val="nil"/>
              <w:bottom w:val="single" w:sz="8" w:space="0" w:color="auto"/>
              <w:right w:val="single" w:sz="8" w:space="0" w:color="000000"/>
            </w:tcBorders>
            <w:vAlign w:val="center"/>
            <w:hideMark/>
          </w:tcPr>
          <w:p w14:paraId="7745EA42" w14:textId="3DFA3F19"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460244" w:rsidRPr="00FF386D">
              <w:rPr>
                <w:rFonts w:ascii="Calibri Light" w:eastAsia="Times New Roman" w:hAnsi="Calibri Light" w:cs="Calibri Light"/>
                <w:color w:val="000000"/>
                <w:sz w:val="20"/>
                <w:szCs w:val="20"/>
                <w:lang w:eastAsia="en-GB"/>
              </w:rPr>
              <w:t>ска средства</w:t>
            </w:r>
          </w:p>
        </w:tc>
      </w:tr>
    </w:tbl>
    <w:p w14:paraId="2F486276"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17"/>
        <w:gridCol w:w="1309"/>
        <w:gridCol w:w="920"/>
        <w:gridCol w:w="4042"/>
      </w:tblGrid>
      <w:tr w:rsidR="00854ADA" w:rsidRPr="00FF386D" w14:paraId="37E501D0" w14:textId="77777777" w:rsidTr="0057310C">
        <w:trPr>
          <w:trHeight w:val="780"/>
        </w:trPr>
        <w:tc>
          <w:tcPr>
            <w:tcW w:w="3217"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06F6263B" w14:textId="722D9ACD"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309" w:type="dxa"/>
            <w:tcBorders>
              <w:top w:val="single" w:sz="8" w:space="0" w:color="auto"/>
              <w:left w:val="nil"/>
              <w:bottom w:val="single" w:sz="8" w:space="0" w:color="auto"/>
              <w:right w:val="single" w:sz="8" w:space="0" w:color="auto"/>
            </w:tcBorders>
            <w:shd w:val="clear" w:color="auto" w:fill="E7E6E6" w:themeFill="background2"/>
            <w:vAlign w:val="center"/>
            <w:hideMark/>
          </w:tcPr>
          <w:p w14:paraId="2C256559" w14:textId="228050D5"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МП_УЕ</w:t>
            </w:r>
            <w:r w:rsidR="009C3E3C" w:rsidRPr="00FF386D">
              <w:rPr>
                <w:rFonts w:ascii="Calibri Light" w:hAnsi="Calibri Light"/>
                <w:b/>
                <w:sz w:val="20"/>
              </w:rPr>
              <w:t>Т</w:t>
            </w:r>
            <w:r w:rsidRPr="00FF386D">
              <w:rPr>
                <w:rFonts w:ascii="Calibri Light" w:hAnsi="Calibri Light"/>
                <w:b/>
                <w:sz w:val="20"/>
              </w:rPr>
              <w:t>25</w:t>
            </w:r>
          </w:p>
        </w:tc>
        <w:tc>
          <w:tcPr>
            <w:tcW w:w="920" w:type="dxa"/>
            <w:tcBorders>
              <w:top w:val="single" w:sz="8" w:space="0" w:color="auto"/>
              <w:left w:val="nil"/>
              <w:bottom w:val="single" w:sz="8" w:space="0" w:color="auto"/>
              <w:right w:val="single" w:sz="8" w:space="0" w:color="auto"/>
            </w:tcBorders>
            <w:shd w:val="clear" w:color="auto" w:fill="244062"/>
            <w:vAlign w:val="center"/>
            <w:hideMark/>
          </w:tcPr>
          <w:p w14:paraId="31ADDED9"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042" w:type="dxa"/>
            <w:tcBorders>
              <w:top w:val="single" w:sz="8" w:space="0" w:color="auto"/>
              <w:left w:val="nil"/>
              <w:bottom w:val="single" w:sz="8" w:space="0" w:color="auto"/>
              <w:right w:val="single" w:sz="8" w:space="0" w:color="auto"/>
            </w:tcBorders>
            <w:shd w:val="clear" w:color="auto" w:fill="E7E6E6" w:themeFill="background2"/>
            <w:vAlign w:val="center"/>
            <w:hideMark/>
          </w:tcPr>
          <w:p w14:paraId="764B0AAA"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Спровођење Уредбе (ЕУ) 2014/312</w:t>
            </w:r>
          </w:p>
        </w:tc>
      </w:tr>
      <w:tr w:rsidR="00854ADA" w:rsidRPr="00FF386D" w14:paraId="5CC4746B" w14:textId="77777777" w:rsidTr="0057310C">
        <w:trPr>
          <w:trHeight w:val="672"/>
        </w:trPr>
        <w:tc>
          <w:tcPr>
            <w:tcW w:w="3217" w:type="dxa"/>
            <w:tcBorders>
              <w:top w:val="nil"/>
              <w:left w:val="single" w:sz="8" w:space="0" w:color="auto"/>
              <w:bottom w:val="single" w:sz="8" w:space="0" w:color="auto"/>
              <w:right w:val="nil"/>
            </w:tcBorders>
            <w:shd w:val="clear" w:color="000000" w:fill="244062"/>
            <w:vAlign w:val="center"/>
            <w:hideMark/>
          </w:tcPr>
          <w:p w14:paraId="67834B52" w14:textId="5A98A654"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71" w:type="dxa"/>
            <w:gridSpan w:val="3"/>
            <w:tcBorders>
              <w:top w:val="single" w:sz="8" w:space="0" w:color="auto"/>
              <w:left w:val="nil"/>
              <w:bottom w:val="single" w:sz="8" w:space="0" w:color="auto"/>
              <w:right w:val="single" w:sz="8" w:space="0" w:color="000000"/>
            </w:tcBorders>
            <w:vAlign w:val="center"/>
          </w:tcPr>
          <w:p w14:paraId="32ED82EC" w14:textId="25E9E426"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Инфраструктура, политике и мере у погледу тржишног формирања цена, интеграција тржишта с циљем да се повећају капацитети</w:t>
            </w:r>
            <w:r w:rsidR="009C3E3C" w:rsidRPr="00FF386D">
              <w:rPr>
                <w:rFonts w:ascii="Calibri Light" w:hAnsi="Calibri Light"/>
                <w:sz w:val="20"/>
              </w:rPr>
              <w:t xml:space="preserve"> којима се тргује</w:t>
            </w:r>
            <w:r w:rsidRPr="00FF386D">
              <w:rPr>
                <w:rFonts w:ascii="Calibri Light" w:hAnsi="Calibri Light"/>
                <w:sz w:val="20"/>
              </w:rPr>
              <w:t>, заштита потрошача и побољшана конкуренција као и регионална интеграција</w:t>
            </w:r>
          </w:p>
        </w:tc>
      </w:tr>
      <w:tr w:rsidR="00854ADA" w:rsidRPr="00FF386D" w14:paraId="1C3B3341"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77B32128" w14:textId="2D31C819"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71" w:type="dxa"/>
            <w:gridSpan w:val="3"/>
            <w:tcBorders>
              <w:top w:val="single" w:sz="8" w:space="0" w:color="auto"/>
              <w:left w:val="nil"/>
              <w:bottom w:val="single" w:sz="8" w:space="0" w:color="auto"/>
              <w:right w:val="single" w:sz="8" w:space="0" w:color="000000"/>
            </w:tcBorders>
            <w:vAlign w:val="center"/>
          </w:tcPr>
          <w:p w14:paraId="2E0BF823" w14:textId="2F2074AE" w:rsidR="00854ADA" w:rsidRPr="00FF386D" w:rsidRDefault="00854ADA" w:rsidP="00854ADA">
            <w:pPr>
              <w:spacing w:after="0" w:line="240" w:lineRule="auto"/>
              <w:jc w:val="both"/>
              <w:rPr>
                <w:rFonts w:ascii="Calibri" w:eastAsia="Times New Roman" w:hAnsi="Calibri" w:cs="Calibri"/>
                <w:color w:val="000000"/>
                <w:lang w:eastAsia="en-GB"/>
              </w:rPr>
            </w:pPr>
            <w:r w:rsidRPr="00FF386D">
              <w:rPr>
                <w:rFonts w:ascii="Calibri Light" w:hAnsi="Calibri Light"/>
                <w:sz w:val="20"/>
              </w:rPr>
              <w:t>Транспо</w:t>
            </w:r>
            <w:r w:rsidR="009C3E3C" w:rsidRPr="00FF386D">
              <w:rPr>
                <w:rFonts w:ascii="Calibri Light" w:hAnsi="Calibri Light"/>
                <w:sz w:val="20"/>
              </w:rPr>
              <w:t>новање</w:t>
            </w:r>
            <w:r w:rsidRPr="00FF386D">
              <w:rPr>
                <w:rFonts w:ascii="Calibri Light" w:hAnsi="Calibri Light"/>
                <w:sz w:val="20"/>
              </w:rPr>
              <w:t xml:space="preserve"> уредбе</w:t>
            </w:r>
          </w:p>
        </w:tc>
      </w:tr>
      <w:tr w:rsidR="00854ADA" w:rsidRPr="00FF386D" w14:paraId="450965AC" w14:textId="77777777" w:rsidTr="0057310C">
        <w:trPr>
          <w:trHeight w:val="1059"/>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262A049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71" w:type="dxa"/>
            <w:gridSpan w:val="3"/>
            <w:tcBorders>
              <w:top w:val="single" w:sz="8" w:space="0" w:color="auto"/>
              <w:left w:val="nil"/>
              <w:bottom w:val="single" w:sz="8" w:space="0" w:color="auto"/>
              <w:right w:val="single" w:sz="8" w:space="0" w:color="000000"/>
            </w:tcBorders>
            <w:vAlign w:val="center"/>
            <w:hideMark/>
          </w:tcPr>
          <w:p w14:paraId="34FF666E" w14:textId="73EA6B49"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Као уговорна страна Енергетске заједнице, Србија је била у обавези да спроведе Уредбу до </w:t>
            </w:r>
            <w:r w:rsidR="00D96608">
              <w:rPr>
                <w:rFonts w:ascii="Calibri Light" w:hAnsi="Calibri Light"/>
                <w:sz w:val="20"/>
              </w:rPr>
              <w:t>12</w:t>
            </w:r>
            <w:r w:rsidRPr="00FF386D">
              <w:rPr>
                <w:rFonts w:ascii="Calibri Light" w:hAnsi="Calibri Light"/>
                <w:sz w:val="20"/>
              </w:rPr>
              <w:t xml:space="preserve">. </w:t>
            </w:r>
            <w:r w:rsidR="00D96608">
              <w:rPr>
                <w:rFonts w:ascii="Calibri Light" w:hAnsi="Calibri Light"/>
                <w:sz w:val="20"/>
              </w:rPr>
              <w:t>децембра</w:t>
            </w:r>
            <w:r w:rsidR="00D96608" w:rsidRPr="00FF386D">
              <w:rPr>
                <w:rFonts w:ascii="Calibri Light" w:hAnsi="Calibri Light"/>
                <w:sz w:val="20"/>
              </w:rPr>
              <w:t xml:space="preserve"> </w:t>
            </w:r>
            <w:r w:rsidRPr="00FF386D">
              <w:rPr>
                <w:rFonts w:ascii="Calibri Light" w:hAnsi="Calibri Light"/>
                <w:sz w:val="20"/>
              </w:rPr>
              <w:t xml:space="preserve">2020. </w:t>
            </w:r>
            <w:r w:rsidR="00D96608">
              <w:rPr>
                <w:rFonts w:ascii="Calibri Light" w:hAnsi="Calibri Light"/>
                <w:sz w:val="20"/>
              </w:rPr>
              <w:t xml:space="preserve">Имплементација је још увек у току. </w:t>
            </w:r>
            <w:r w:rsidR="00D96608" w:rsidRPr="00D96608">
              <w:rPr>
                <w:rFonts w:ascii="Calibri Light" w:hAnsi="Calibri Light"/>
                <w:sz w:val="20"/>
              </w:rPr>
              <w:t xml:space="preserve">Ова политика се односи на спровођење уредбе. </w:t>
            </w:r>
            <w:r w:rsidRPr="00FF386D">
              <w:rPr>
                <w:rFonts w:ascii="Calibri Light" w:hAnsi="Calibri Light"/>
                <w:sz w:val="20"/>
              </w:rPr>
              <w:t>Трансп</w:t>
            </w:r>
            <w:r w:rsidR="009C3E3C" w:rsidRPr="00FF386D">
              <w:rPr>
                <w:rFonts w:ascii="Calibri Light" w:hAnsi="Calibri Light"/>
                <w:sz w:val="20"/>
              </w:rPr>
              <w:t>оновање</w:t>
            </w:r>
            <w:r w:rsidRPr="00FF386D">
              <w:rPr>
                <w:rFonts w:ascii="Calibri Light" w:hAnsi="Calibri Light"/>
                <w:sz w:val="20"/>
              </w:rPr>
              <w:t xml:space="preserve"> и спровођење су још увек у току. Неопходно је да се настави п</w:t>
            </w:r>
            <w:r w:rsidR="009C3E3C" w:rsidRPr="00FF386D">
              <w:rPr>
                <w:rFonts w:ascii="Calibri Light" w:hAnsi="Calibri Light"/>
                <w:sz w:val="20"/>
              </w:rPr>
              <w:t>оступак</w:t>
            </w:r>
            <w:r w:rsidRPr="00FF386D">
              <w:rPr>
                <w:rFonts w:ascii="Calibri Light" w:hAnsi="Calibri Light"/>
                <w:sz w:val="20"/>
              </w:rPr>
              <w:t xml:space="preserve"> спровођења мрежних правила.</w:t>
            </w:r>
          </w:p>
        </w:tc>
      </w:tr>
      <w:tr w:rsidR="00854ADA" w:rsidRPr="00FF386D" w14:paraId="35BF2BAD"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148E5DE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71" w:type="dxa"/>
            <w:gridSpan w:val="3"/>
            <w:tcBorders>
              <w:top w:val="single" w:sz="8" w:space="0" w:color="auto"/>
              <w:left w:val="nil"/>
              <w:bottom w:val="single" w:sz="8" w:space="0" w:color="auto"/>
              <w:right w:val="single" w:sz="8" w:space="0" w:color="000000"/>
            </w:tcBorders>
            <w:vAlign w:val="center"/>
            <w:hideMark/>
          </w:tcPr>
          <w:p w14:paraId="34B59919" w14:textId="0322B44D"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202</w:t>
            </w:r>
            <w:r w:rsidR="002D1B59">
              <w:rPr>
                <w:rFonts w:ascii="Calibri Light" w:hAnsi="Calibri Light"/>
                <w:sz w:val="20"/>
              </w:rPr>
              <w:t>4</w:t>
            </w:r>
            <w:r w:rsidRPr="00FF386D">
              <w:rPr>
                <w:rFonts w:ascii="Calibri Light" w:hAnsi="Calibri Light"/>
                <w:sz w:val="20"/>
              </w:rPr>
              <w:t>.</w:t>
            </w:r>
          </w:p>
        </w:tc>
      </w:tr>
      <w:tr w:rsidR="00854ADA" w:rsidRPr="00FF386D" w14:paraId="455C1B21"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01FB4C4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71" w:type="dxa"/>
            <w:gridSpan w:val="3"/>
            <w:tcBorders>
              <w:top w:val="single" w:sz="8" w:space="0" w:color="auto"/>
              <w:left w:val="nil"/>
              <w:bottom w:val="single" w:sz="8" w:space="0" w:color="auto"/>
              <w:right w:val="single" w:sz="8" w:space="0" w:color="000000"/>
            </w:tcBorders>
            <w:vAlign w:val="center"/>
            <w:hideMark/>
          </w:tcPr>
          <w:p w14:paraId="20AA6E74"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Реформа</w:t>
            </w:r>
          </w:p>
        </w:tc>
      </w:tr>
      <w:tr w:rsidR="00854ADA" w:rsidRPr="00FF386D" w14:paraId="7E6CBC2A"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79899A4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71" w:type="dxa"/>
            <w:gridSpan w:val="3"/>
            <w:tcBorders>
              <w:top w:val="single" w:sz="8" w:space="0" w:color="auto"/>
              <w:left w:val="nil"/>
              <w:bottom w:val="single" w:sz="8" w:space="0" w:color="auto"/>
              <w:right w:val="single" w:sz="8" w:space="0" w:color="000000"/>
            </w:tcBorders>
            <w:vAlign w:val="center"/>
            <w:hideMark/>
          </w:tcPr>
          <w:p w14:paraId="2EF16998"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Гас</w:t>
            </w:r>
          </w:p>
        </w:tc>
      </w:tr>
      <w:tr w:rsidR="00854ADA" w:rsidRPr="00FF386D" w14:paraId="55B82A0F"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2C7B903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Извршни орган</w:t>
            </w:r>
          </w:p>
        </w:tc>
        <w:tc>
          <w:tcPr>
            <w:tcW w:w="6271" w:type="dxa"/>
            <w:gridSpan w:val="3"/>
            <w:tcBorders>
              <w:top w:val="single" w:sz="8" w:space="0" w:color="auto"/>
              <w:left w:val="nil"/>
              <w:bottom w:val="single" w:sz="8" w:space="0" w:color="auto"/>
              <w:right w:val="single" w:sz="8" w:space="0" w:color="000000"/>
            </w:tcBorders>
            <w:vAlign w:val="center"/>
            <w:hideMark/>
          </w:tcPr>
          <w:p w14:paraId="1B57883C" w14:textId="77777777" w:rsidR="00854ADA" w:rsidRPr="00FF386D" w:rsidRDefault="00854ADA" w:rsidP="00854ADA">
            <w:pPr>
              <w:numPr>
                <w:ilvl w:val="0"/>
                <w:numId w:val="72"/>
              </w:numPr>
              <w:contextualSpacing/>
              <w:jc w:val="both"/>
              <w:rPr>
                <w:rFonts w:ascii="Calibri Light" w:hAnsi="Calibri Light"/>
                <w:sz w:val="20"/>
              </w:rPr>
            </w:pPr>
            <w:r w:rsidRPr="00FF386D">
              <w:rPr>
                <w:rFonts w:ascii="Calibri Light" w:hAnsi="Calibri Light"/>
                <w:sz w:val="20"/>
              </w:rPr>
              <w:t>АЕРС</w:t>
            </w:r>
          </w:p>
          <w:p w14:paraId="081236DF" w14:textId="77777777" w:rsidR="00854ADA" w:rsidRPr="00FF386D" w:rsidRDefault="00854ADA" w:rsidP="00854ADA">
            <w:pPr>
              <w:numPr>
                <w:ilvl w:val="0"/>
                <w:numId w:val="72"/>
              </w:numPr>
              <w:contextualSpacing/>
              <w:jc w:val="both"/>
              <w:rPr>
                <w:rFonts w:ascii="Calibri Light" w:hAnsi="Calibri Light"/>
                <w:sz w:val="20"/>
              </w:rPr>
            </w:pPr>
            <w:r w:rsidRPr="00FF386D">
              <w:rPr>
                <w:rFonts w:ascii="Calibri Light" w:hAnsi="Calibri Light"/>
                <w:sz w:val="20"/>
              </w:rPr>
              <w:t>Оператори транспортног система</w:t>
            </w:r>
          </w:p>
          <w:p w14:paraId="3DCFD105" w14:textId="77777777" w:rsidR="00854ADA" w:rsidRPr="00FF386D" w:rsidRDefault="00854ADA" w:rsidP="00854ADA">
            <w:pPr>
              <w:numPr>
                <w:ilvl w:val="0"/>
                <w:numId w:val="72"/>
              </w:numPr>
              <w:contextualSpacing/>
              <w:jc w:val="both"/>
              <w:rPr>
                <w:rFonts w:ascii="Calibri Light" w:hAnsi="Calibri Light"/>
                <w:sz w:val="20"/>
              </w:rPr>
            </w:pPr>
            <w:r w:rsidRPr="00FF386D">
              <w:rPr>
                <w:rFonts w:ascii="Calibri Light" w:hAnsi="Calibri Light"/>
                <w:sz w:val="20"/>
              </w:rPr>
              <w:t>Министарство рударства и енергетике</w:t>
            </w:r>
          </w:p>
          <w:p w14:paraId="689275A5" w14:textId="77777777" w:rsidR="00854ADA" w:rsidRPr="00FF386D" w:rsidRDefault="00854ADA" w:rsidP="00854ADA">
            <w:pPr>
              <w:numPr>
                <w:ilvl w:val="0"/>
                <w:numId w:val="72"/>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Влада</w:t>
            </w:r>
          </w:p>
        </w:tc>
      </w:tr>
      <w:tr w:rsidR="00854ADA" w:rsidRPr="00FF386D" w14:paraId="7C82DD17" w14:textId="77777777" w:rsidTr="0057310C">
        <w:trPr>
          <w:trHeight w:val="315"/>
        </w:trPr>
        <w:tc>
          <w:tcPr>
            <w:tcW w:w="3217" w:type="dxa"/>
            <w:tcBorders>
              <w:top w:val="nil"/>
              <w:left w:val="single" w:sz="8" w:space="0" w:color="auto"/>
              <w:bottom w:val="single" w:sz="8" w:space="0" w:color="auto"/>
              <w:right w:val="nil"/>
            </w:tcBorders>
            <w:shd w:val="clear" w:color="000000" w:fill="244062"/>
            <w:vAlign w:val="center"/>
            <w:hideMark/>
          </w:tcPr>
          <w:p w14:paraId="1532699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71" w:type="dxa"/>
            <w:gridSpan w:val="3"/>
            <w:tcBorders>
              <w:top w:val="single" w:sz="8" w:space="0" w:color="auto"/>
              <w:left w:val="nil"/>
              <w:bottom w:val="single" w:sz="8" w:space="0" w:color="auto"/>
              <w:right w:val="single" w:sz="8" w:space="0" w:color="000000"/>
            </w:tcBorders>
            <w:vAlign w:val="center"/>
            <w:hideMark/>
          </w:tcPr>
          <w:p w14:paraId="4A09FEDA" w14:textId="77777777" w:rsidR="00854ADA" w:rsidRPr="00FF386D" w:rsidRDefault="00854ADA" w:rsidP="00854ADA">
            <w:pPr>
              <w:numPr>
                <w:ilvl w:val="0"/>
                <w:numId w:val="72"/>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АЕРС</w:t>
            </w:r>
          </w:p>
        </w:tc>
      </w:tr>
      <w:tr w:rsidR="00854ADA" w:rsidRPr="00FF386D" w14:paraId="529F9B83" w14:textId="77777777" w:rsidTr="0057310C">
        <w:trPr>
          <w:trHeight w:val="315"/>
        </w:trPr>
        <w:tc>
          <w:tcPr>
            <w:tcW w:w="3217" w:type="dxa"/>
            <w:tcBorders>
              <w:top w:val="nil"/>
              <w:left w:val="single" w:sz="8" w:space="0" w:color="auto"/>
              <w:bottom w:val="single" w:sz="8" w:space="0" w:color="auto"/>
              <w:right w:val="nil"/>
            </w:tcBorders>
            <w:shd w:val="clear" w:color="000000" w:fill="244062"/>
            <w:vAlign w:val="center"/>
            <w:hideMark/>
          </w:tcPr>
          <w:p w14:paraId="4368AAC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71" w:type="dxa"/>
            <w:gridSpan w:val="3"/>
            <w:tcBorders>
              <w:top w:val="single" w:sz="8" w:space="0" w:color="auto"/>
              <w:left w:val="nil"/>
              <w:bottom w:val="single" w:sz="8" w:space="0" w:color="auto"/>
              <w:right w:val="single" w:sz="8" w:space="0" w:color="000000"/>
            </w:tcBorders>
            <w:vAlign w:val="center"/>
            <w:hideMark/>
          </w:tcPr>
          <w:p w14:paraId="216C4BAB" w14:textId="026246FC"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Транспо</w:t>
            </w:r>
            <w:r w:rsidR="009C3E3C" w:rsidRPr="00FF386D">
              <w:rPr>
                <w:rFonts w:ascii="Calibri Light" w:hAnsi="Calibri Light"/>
                <w:sz w:val="20"/>
              </w:rPr>
              <w:t>новање</w:t>
            </w:r>
            <w:r w:rsidRPr="00FF386D">
              <w:rPr>
                <w:rFonts w:ascii="Calibri Light" w:hAnsi="Calibri Light"/>
                <w:sz w:val="20"/>
              </w:rPr>
              <w:t xml:space="preserve"> уредбе. Рад балансне платформе (ако треба да се примене привремене мере)</w:t>
            </w:r>
          </w:p>
        </w:tc>
      </w:tr>
      <w:tr w:rsidR="00854ADA" w:rsidRPr="00FF386D" w14:paraId="2666E8B8" w14:textId="77777777" w:rsidTr="0057310C">
        <w:trPr>
          <w:trHeight w:val="802"/>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501DD9D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71" w:type="dxa"/>
            <w:gridSpan w:val="3"/>
            <w:tcBorders>
              <w:top w:val="single" w:sz="8" w:space="0" w:color="auto"/>
              <w:left w:val="nil"/>
              <w:bottom w:val="single" w:sz="8" w:space="0" w:color="auto"/>
              <w:right w:val="single" w:sz="8" w:space="0" w:color="000000"/>
            </w:tcBorders>
            <w:vAlign w:val="center"/>
            <w:hideMark/>
          </w:tcPr>
          <w:p w14:paraId="243BD4FE"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p>
        </w:tc>
      </w:tr>
      <w:tr w:rsidR="00854ADA" w:rsidRPr="00FF386D" w14:paraId="30A6FB92" w14:textId="77777777" w:rsidTr="0057310C">
        <w:trPr>
          <w:trHeight w:val="450"/>
        </w:trPr>
        <w:tc>
          <w:tcPr>
            <w:tcW w:w="3217"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54FAA984" w14:textId="32B3E20F"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7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2F462284" w14:textId="77777777" w:rsidR="00854ADA" w:rsidRPr="00FF386D" w:rsidRDefault="00854ADA" w:rsidP="00854ADA">
            <w:pPr>
              <w:numPr>
                <w:ilvl w:val="0"/>
                <w:numId w:val="72"/>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Уредба (ЕУ) 2014/312</w:t>
            </w:r>
          </w:p>
        </w:tc>
      </w:tr>
      <w:tr w:rsidR="00854ADA" w:rsidRPr="00FF386D" w14:paraId="4092CDF5"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110DCCCF"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71" w:type="dxa"/>
            <w:gridSpan w:val="3"/>
            <w:vMerge/>
            <w:tcBorders>
              <w:top w:val="single" w:sz="8" w:space="0" w:color="auto"/>
              <w:left w:val="single" w:sz="8" w:space="0" w:color="auto"/>
              <w:bottom w:val="single" w:sz="8" w:space="0" w:color="000000"/>
              <w:right w:val="single" w:sz="8" w:space="0" w:color="000000"/>
            </w:tcBorders>
            <w:vAlign w:val="center"/>
            <w:hideMark/>
          </w:tcPr>
          <w:p w14:paraId="5976E096"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3BEF4E9B"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5AF40652"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71" w:type="dxa"/>
            <w:gridSpan w:val="3"/>
            <w:vMerge/>
            <w:tcBorders>
              <w:top w:val="single" w:sz="8" w:space="0" w:color="auto"/>
              <w:left w:val="single" w:sz="8" w:space="0" w:color="auto"/>
              <w:bottom w:val="single" w:sz="8" w:space="0" w:color="000000"/>
              <w:right w:val="single" w:sz="8" w:space="0" w:color="000000"/>
            </w:tcBorders>
            <w:vAlign w:val="center"/>
            <w:hideMark/>
          </w:tcPr>
          <w:p w14:paraId="5EA35B38"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7A103714" w14:textId="77777777" w:rsidTr="0057310C">
        <w:trPr>
          <w:trHeight w:val="780"/>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66A7734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71" w:type="dxa"/>
            <w:gridSpan w:val="3"/>
            <w:tcBorders>
              <w:top w:val="single" w:sz="8" w:space="0" w:color="auto"/>
              <w:left w:val="nil"/>
              <w:bottom w:val="single" w:sz="8" w:space="0" w:color="auto"/>
              <w:right w:val="single" w:sz="8" w:space="0" w:color="000000"/>
            </w:tcBorders>
            <w:vAlign w:val="center"/>
            <w:hideMark/>
          </w:tcPr>
          <w:p w14:paraId="40FEB5B3" w14:textId="77777777" w:rsidR="00854ADA" w:rsidRPr="00FF386D" w:rsidRDefault="00854ADA" w:rsidP="00854ADA">
            <w:pPr>
              <w:numPr>
                <w:ilvl w:val="0"/>
                <w:numId w:val="71"/>
              </w:numPr>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енергетици</w:t>
            </w:r>
          </w:p>
          <w:p w14:paraId="068D6960" w14:textId="77777777" w:rsidR="00854ADA" w:rsidRPr="00FF386D" w:rsidRDefault="00854ADA" w:rsidP="00854ADA">
            <w:pPr>
              <w:numPr>
                <w:ilvl w:val="0"/>
                <w:numId w:val="71"/>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Aкциони план за спровођење Активности у циљу реорганизације ЈП Србијагас</w:t>
            </w:r>
          </w:p>
        </w:tc>
      </w:tr>
      <w:tr w:rsidR="00854ADA" w:rsidRPr="00FF386D" w14:paraId="4E0FB8AC"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5B1DE4B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71" w:type="dxa"/>
            <w:gridSpan w:val="3"/>
            <w:tcBorders>
              <w:top w:val="single" w:sz="8" w:space="0" w:color="auto"/>
              <w:left w:val="nil"/>
              <w:bottom w:val="single" w:sz="8" w:space="0" w:color="auto"/>
              <w:right w:val="single" w:sz="8" w:space="0" w:color="000000"/>
            </w:tcBorders>
            <w:vAlign w:val="center"/>
            <w:hideMark/>
          </w:tcPr>
          <w:p w14:paraId="24DD04D9"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0,2 милиона евра</w:t>
            </w:r>
          </w:p>
        </w:tc>
      </w:tr>
      <w:tr w:rsidR="00854ADA" w:rsidRPr="00FF386D" w14:paraId="74660299" w14:textId="77777777" w:rsidTr="0057310C">
        <w:trPr>
          <w:trHeight w:val="315"/>
        </w:trPr>
        <w:tc>
          <w:tcPr>
            <w:tcW w:w="3217" w:type="dxa"/>
            <w:tcBorders>
              <w:top w:val="nil"/>
              <w:left w:val="single" w:sz="8" w:space="0" w:color="auto"/>
              <w:bottom w:val="single" w:sz="8" w:space="0" w:color="auto"/>
              <w:right w:val="single" w:sz="8" w:space="0" w:color="auto"/>
            </w:tcBorders>
            <w:shd w:val="clear" w:color="000000" w:fill="244062"/>
            <w:vAlign w:val="center"/>
            <w:hideMark/>
          </w:tcPr>
          <w:p w14:paraId="4C2C6F0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71" w:type="dxa"/>
            <w:gridSpan w:val="3"/>
            <w:tcBorders>
              <w:top w:val="single" w:sz="8" w:space="0" w:color="auto"/>
              <w:left w:val="nil"/>
              <w:bottom w:val="single" w:sz="8" w:space="0" w:color="auto"/>
              <w:right w:val="single" w:sz="8" w:space="0" w:color="000000"/>
            </w:tcBorders>
            <w:vAlign w:val="center"/>
            <w:hideMark/>
          </w:tcPr>
          <w:p w14:paraId="5FAC69DC" w14:textId="4ADF0EB3"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460244" w:rsidRPr="00FF386D">
              <w:rPr>
                <w:rFonts w:ascii="Calibri Light" w:eastAsia="Times New Roman" w:hAnsi="Calibri Light" w:cs="Calibri Light"/>
                <w:color w:val="000000"/>
                <w:sz w:val="20"/>
                <w:szCs w:val="20"/>
                <w:lang w:eastAsia="en-GB"/>
              </w:rPr>
              <w:t>ска средства</w:t>
            </w:r>
          </w:p>
        </w:tc>
      </w:tr>
    </w:tbl>
    <w:p w14:paraId="087E9415"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25"/>
        <w:gridCol w:w="1309"/>
        <w:gridCol w:w="923"/>
        <w:gridCol w:w="4031"/>
      </w:tblGrid>
      <w:tr w:rsidR="00854ADA" w:rsidRPr="00FF386D" w14:paraId="4CF0FD79" w14:textId="77777777" w:rsidTr="0057310C">
        <w:trPr>
          <w:trHeight w:val="780"/>
        </w:trPr>
        <w:tc>
          <w:tcPr>
            <w:tcW w:w="3225"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7B039DB3" w14:textId="69D629EA"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309" w:type="dxa"/>
            <w:tcBorders>
              <w:top w:val="single" w:sz="8" w:space="0" w:color="auto"/>
              <w:left w:val="nil"/>
              <w:bottom w:val="single" w:sz="8" w:space="0" w:color="auto"/>
              <w:right w:val="single" w:sz="8" w:space="0" w:color="auto"/>
            </w:tcBorders>
            <w:shd w:val="clear" w:color="auto" w:fill="E7E6E6" w:themeFill="background2"/>
            <w:vAlign w:val="center"/>
            <w:hideMark/>
          </w:tcPr>
          <w:p w14:paraId="54C5E572" w14:textId="1F545AD5"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МП_УЕ</w:t>
            </w:r>
            <w:r w:rsidR="009C3E3C" w:rsidRPr="00FF386D">
              <w:rPr>
                <w:rFonts w:ascii="Calibri Light" w:hAnsi="Calibri Light"/>
                <w:b/>
                <w:sz w:val="20"/>
              </w:rPr>
              <w:t>Т</w:t>
            </w:r>
            <w:r w:rsidRPr="00FF386D">
              <w:rPr>
                <w:rFonts w:ascii="Calibri Light" w:hAnsi="Calibri Light"/>
                <w:b/>
                <w:sz w:val="20"/>
              </w:rPr>
              <w:t>26</w:t>
            </w:r>
          </w:p>
        </w:tc>
        <w:tc>
          <w:tcPr>
            <w:tcW w:w="923" w:type="dxa"/>
            <w:tcBorders>
              <w:top w:val="single" w:sz="8" w:space="0" w:color="auto"/>
              <w:left w:val="nil"/>
              <w:bottom w:val="single" w:sz="8" w:space="0" w:color="auto"/>
              <w:right w:val="single" w:sz="8" w:space="0" w:color="auto"/>
            </w:tcBorders>
            <w:shd w:val="clear" w:color="auto" w:fill="244062"/>
            <w:vAlign w:val="center"/>
            <w:hideMark/>
          </w:tcPr>
          <w:p w14:paraId="47002559"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031" w:type="dxa"/>
            <w:tcBorders>
              <w:top w:val="single" w:sz="8" w:space="0" w:color="auto"/>
              <w:left w:val="nil"/>
              <w:bottom w:val="single" w:sz="8" w:space="0" w:color="auto"/>
              <w:right w:val="single" w:sz="8" w:space="0" w:color="auto"/>
            </w:tcBorders>
            <w:shd w:val="clear" w:color="auto" w:fill="E7E6E6" w:themeFill="background2"/>
            <w:vAlign w:val="center"/>
            <w:hideMark/>
          </w:tcPr>
          <w:p w14:paraId="6BA5A67D" w14:textId="133AEB79"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 xml:space="preserve">Реформа велепродајног тржишта </w:t>
            </w:r>
            <w:r w:rsidR="00460244" w:rsidRPr="00FF386D">
              <w:rPr>
                <w:rFonts w:ascii="Calibri Light" w:hAnsi="Calibri Light"/>
                <w:b/>
                <w:sz w:val="20"/>
              </w:rPr>
              <w:t>у циљу</w:t>
            </w:r>
            <w:r w:rsidRPr="00FF386D">
              <w:rPr>
                <w:rFonts w:ascii="Calibri Light" w:hAnsi="Calibri Light"/>
                <w:b/>
                <w:sz w:val="20"/>
              </w:rPr>
              <w:t xml:space="preserve"> подстицања конкурентности</w:t>
            </w:r>
          </w:p>
        </w:tc>
      </w:tr>
      <w:tr w:rsidR="00854ADA" w:rsidRPr="00FF386D" w14:paraId="46C7BCB5" w14:textId="77777777" w:rsidTr="0057310C">
        <w:trPr>
          <w:trHeight w:val="573"/>
        </w:trPr>
        <w:tc>
          <w:tcPr>
            <w:tcW w:w="3225" w:type="dxa"/>
            <w:tcBorders>
              <w:top w:val="nil"/>
              <w:left w:val="single" w:sz="8" w:space="0" w:color="auto"/>
              <w:bottom w:val="single" w:sz="8" w:space="0" w:color="auto"/>
              <w:right w:val="nil"/>
            </w:tcBorders>
            <w:shd w:val="clear" w:color="000000" w:fill="244062"/>
            <w:vAlign w:val="center"/>
            <w:hideMark/>
          </w:tcPr>
          <w:p w14:paraId="5438F2BB" w14:textId="5812F71C"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63" w:type="dxa"/>
            <w:gridSpan w:val="3"/>
            <w:tcBorders>
              <w:top w:val="single" w:sz="8" w:space="0" w:color="auto"/>
              <w:left w:val="nil"/>
              <w:bottom w:val="single" w:sz="8" w:space="0" w:color="auto"/>
              <w:right w:val="single" w:sz="8" w:space="0" w:color="000000"/>
            </w:tcBorders>
            <w:vAlign w:val="center"/>
          </w:tcPr>
          <w:p w14:paraId="27C4DFBA"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Политике и мере у вези са тржишним формирањем цена, заштитом потрошача и побољшањем конкуренције</w:t>
            </w:r>
          </w:p>
        </w:tc>
      </w:tr>
      <w:tr w:rsidR="00854ADA" w:rsidRPr="00FF386D" w14:paraId="0702328A" w14:textId="77777777" w:rsidTr="0057310C">
        <w:trPr>
          <w:trHeight w:val="315"/>
        </w:trPr>
        <w:tc>
          <w:tcPr>
            <w:tcW w:w="3225" w:type="dxa"/>
            <w:tcBorders>
              <w:top w:val="nil"/>
              <w:left w:val="single" w:sz="8" w:space="0" w:color="auto"/>
              <w:bottom w:val="single" w:sz="8" w:space="0" w:color="auto"/>
              <w:right w:val="single" w:sz="8" w:space="0" w:color="auto"/>
            </w:tcBorders>
            <w:shd w:val="clear" w:color="000000" w:fill="244062"/>
            <w:vAlign w:val="center"/>
            <w:hideMark/>
          </w:tcPr>
          <w:p w14:paraId="779F594C" w14:textId="6A9EC5BC"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63" w:type="dxa"/>
            <w:gridSpan w:val="3"/>
            <w:tcBorders>
              <w:top w:val="single" w:sz="8" w:space="0" w:color="auto"/>
              <w:left w:val="nil"/>
              <w:bottom w:val="single" w:sz="8" w:space="0" w:color="auto"/>
              <w:right w:val="single" w:sz="8" w:space="0" w:color="000000"/>
            </w:tcBorders>
            <w:vAlign w:val="center"/>
          </w:tcPr>
          <w:p w14:paraId="3731A7E1" w14:textId="63A26DE7" w:rsidR="00854ADA" w:rsidRPr="00FC6F5B" w:rsidRDefault="00854ADA" w:rsidP="00854ADA">
            <w:pPr>
              <w:spacing w:after="0" w:line="240" w:lineRule="auto"/>
              <w:jc w:val="both"/>
              <w:rPr>
                <w:rFonts w:ascii="Calibri" w:eastAsia="Times New Roman" w:hAnsi="Calibri" w:cs="Calibri"/>
                <w:color w:val="000000"/>
                <w:lang w:eastAsia="en-GB"/>
              </w:rPr>
            </w:pPr>
            <w:r w:rsidRPr="00FF386D">
              <w:rPr>
                <w:rFonts w:ascii="Calibri Light" w:hAnsi="Calibri Light"/>
                <w:sz w:val="20"/>
              </w:rPr>
              <w:t xml:space="preserve">Смањење распона између </w:t>
            </w:r>
            <w:r w:rsidRPr="00FF386D">
              <w:rPr>
                <w:rFonts w:ascii="Calibri Light" w:hAnsi="Calibri Light"/>
                <w:i/>
                <w:iCs/>
                <w:sz w:val="20"/>
              </w:rPr>
              <w:t>TTF</w:t>
            </w:r>
            <w:r w:rsidRPr="00FF386D">
              <w:rPr>
                <w:rFonts w:ascii="Calibri Light" w:hAnsi="Calibri Light"/>
                <w:sz w:val="20"/>
              </w:rPr>
              <w:t xml:space="preserve"> и увозне цене природног гаса у Србију</w:t>
            </w:r>
            <w:r w:rsidR="00FC6F5B">
              <w:rPr>
                <w:rFonts w:ascii="Calibri Light" w:hAnsi="Calibri Light"/>
                <w:sz w:val="20"/>
                <w:lang w:val="sr-Latn-RS"/>
              </w:rPr>
              <w:t xml:space="preserve">, </w:t>
            </w:r>
            <w:r w:rsidR="00FC6F5B">
              <w:rPr>
                <w:rFonts w:ascii="Calibri Light" w:hAnsi="Calibri Light"/>
                <w:sz w:val="20"/>
              </w:rPr>
              <w:t xml:space="preserve">узимајући у обзир да увозне цене природног гаса нису више од </w:t>
            </w:r>
            <w:r w:rsidR="00FC6F5B" w:rsidRPr="00FF386D">
              <w:rPr>
                <w:rFonts w:ascii="Calibri Light" w:hAnsi="Calibri Light"/>
                <w:i/>
                <w:iCs/>
                <w:sz w:val="20"/>
              </w:rPr>
              <w:t>TTF</w:t>
            </w:r>
          </w:p>
        </w:tc>
      </w:tr>
      <w:tr w:rsidR="00854ADA" w:rsidRPr="00FF386D" w14:paraId="5C960F65" w14:textId="77777777" w:rsidTr="0057310C">
        <w:trPr>
          <w:trHeight w:val="1338"/>
        </w:trPr>
        <w:tc>
          <w:tcPr>
            <w:tcW w:w="3225" w:type="dxa"/>
            <w:tcBorders>
              <w:top w:val="nil"/>
              <w:left w:val="single" w:sz="8" w:space="0" w:color="auto"/>
              <w:bottom w:val="single" w:sz="8" w:space="0" w:color="auto"/>
              <w:right w:val="single" w:sz="8" w:space="0" w:color="auto"/>
            </w:tcBorders>
            <w:shd w:val="clear" w:color="000000" w:fill="244062"/>
            <w:vAlign w:val="center"/>
            <w:hideMark/>
          </w:tcPr>
          <w:p w14:paraId="7A599CC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63" w:type="dxa"/>
            <w:gridSpan w:val="3"/>
            <w:tcBorders>
              <w:top w:val="single" w:sz="8" w:space="0" w:color="auto"/>
              <w:left w:val="nil"/>
              <w:bottom w:val="single" w:sz="8" w:space="0" w:color="auto"/>
              <w:right w:val="single" w:sz="8" w:space="0" w:color="000000"/>
            </w:tcBorders>
            <w:vAlign w:val="center"/>
            <w:hideMark/>
          </w:tcPr>
          <w:p w14:paraId="5ADFF3BA" w14:textId="656BAD49"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Виртуелно место </w:t>
            </w:r>
            <w:r w:rsidR="00A33496" w:rsidRPr="00FF386D">
              <w:rPr>
                <w:rFonts w:ascii="Calibri Light" w:hAnsi="Calibri Light"/>
                <w:sz w:val="20"/>
              </w:rPr>
              <w:t xml:space="preserve">трговања </w:t>
            </w:r>
            <w:r w:rsidRPr="00FF386D">
              <w:rPr>
                <w:rFonts w:ascii="Calibri Light" w:hAnsi="Calibri Light"/>
                <w:sz w:val="20"/>
              </w:rPr>
              <w:t xml:space="preserve">постоји у теорији, али није оперативно. АЕРС извештава да је највећи удео природног гаса, односно 1.691 </w:t>
            </w:r>
            <w:r w:rsidR="00460244" w:rsidRPr="00FF386D">
              <w:rPr>
                <w:rFonts w:ascii="Calibri Light" w:hAnsi="Calibri Light"/>
                <w:sz w:val="20"/>
              </w:rPr>
              <w:t>милиона</w:t>
            </w:r>
            <w:r w:rsidRPr="00FF386D">
              <w:rPr>
                <w:rFonts w:ascii="Calibri Light" w:hAnsi="Calibri Light"/>
                <w:sz w:val="20"/>
              </w:rPr>
              <w:t xml:space="preserve"> m</w:t>
            </w:r>
            <w:r w:rsidRPr="00FF386D">
              <w:rPr>
                <w:rFonts w:ascii="Calibri Light" w:hAnsi="Calibri Light"/>
                <w:sz w:val="20"/>
                <w:vertAlign w:val="superscript"/>
              </w:rPr>
              <w:t>3</w:t>
            </w:r>
            <w:r w:rsidRPr="00FF386D">
              <w:rPr>
                <w:rFonts w:ascii="Calibri Light" w:hAnsi="Calibri Light"/>
                <w:sz w:val="20"/>
              </w:rPr>
              <w:t xml:space="preserve"> (81% укупне количине)</w:t>
            </w:r>
            <w:r w:rsidR="00144ED6" w:rsidRPr="00FF386D">
              <w:rPr>
                <w:rFonts w:ascii="Calibri Light" w:hAnsi="Calibri Light"/>
                <w:sz w:val="20"/>
              </w:rPr>
              <w:t>,</w:t>
            </w:r>
            <w:r w:rsidRPr="00FF386D">
              <w:rPr>
                <w:rFonts w:ascii="Calibri Light" w:hAnsi="Calibri Light"/>
                <w:sz w:val="20"/>
              </w:rPr>
              <w:t xml:space="preserve"> продало предузеће ЈП Србијагас у 2019. години. Други највећи удео је продало предузеће ДЦ Нови Сад Гас и </w:t>
            </w:r>
            <w:r w:rsidR="00144ED6" w:rsidRPr="000A2AFE">
              <w:rPr>
                <w:rFonts w:ascii="Calibri Light" w:hAnsi="Calibri Light"/>
                <w:sz w:val="20"/>
              </w:rPr>
              <w:t>Yugorosgaz</w:t>
            </w:r>
            <w:r w:rsidRPr="00FF386D">
              <w:rPr>
                <w:rFonts w:ascii="Calibri Light" w:hAnsi="Calibri Light"/>
                <w:sz w:val="20"/>
              </w:rPr>
              <w:t xml:space="preserve"> АД. У циљу подстицања конкуренције потребно је створити ликвидност на тржишту</w:t>
            </w:r>
            <w:r w:rsidR="00FC6F5B">
              <w:rPr>
                <w:rFonts w:ascii="Calibri Light" w:hAnsi="Calibri Light"/>
                <w:sz w:val="20"/>
              </w:rPr>
              <w:t>, и како би се додатно подстицала конкурентност, приступ велепродајном тржишту у Србији мора бити омогућен већем броју трговаца</w:t>
            </w:r>
            <w:r w:rsidRPr="00FF386D">
              <w:rPr>
                <w:rFonts w:ascii="Calibri Light" w:hAnsi="Calibri Light"/>
                <w:sz w:val="20"/>
              </w:rPr>
              <w:t xml:space="preserve">. У оквиру овог задатка ће се размотрити и спровести мере за </w:t>
            </w:r>
            <w:r w:rsidR="00A33496" w:rsidRPr="00FF386D">
              <w:rPr>
                <w:rFonts w:ascii="Calibri Light" w:hAnsi="Calibri Light"/>
                <w:sz w:val="20"/>
              </w:rPr>
              <w:t>унапређење</w:t>
            </w:r>
            <w:r w:rsidRPr="00FF386D">
              <w:rPr>
                <w:rFonts w:ascii="Calibri Light" w:hAnsi="Calibri Light"/>
                <w:sz w:val="20"/>
              </w:rPr>
              <w:t xml:space="preserve"> конкуренције. Узеће се у обзир импликације примене </w:t>
            </w:r>
            <w:r w:rsidRPr="00FF386D">
              <w:rPr>
                <w:rFonts w:ascii="Calibri Light" w:hAnsi="Calibri Light"/>
                <w:b/>
                <w:bCs/>
                <w:sz w:val="20"/>
              </w:rPr>
              <w:t>МП</w:t>
            </w:r>
            <w:r w:rsidRPr="00FF386D">
              <w:rPr>
                <w:rFonts w:ascii="Calibri Light" w:hAnsi="Calibri Light"/>
                <w:b/>
                <w:sz w:val="20"/>
              </w:rPr>
              <w:t>_УЕ</w:t>
            </w:r>
            <w:r w:rsidR="00A33496" w:rsidRPr="00FF386D">
              <w:rPr>
                <w:rFonts w:ascii="Calibri Light" w:hAnsi="Calibri Light"/>
                <w:b/>
                <w:sz w:val="20"/>
              </w:rPr>
              <w:t>Т</w:t>
            </w:r>
            <w:r w:rsidRPr="00FF386D">
              <w:rPr>
                <w:rFonts w:ascii="Calibri Light" w:hAnsi="Calibri Light"/>
                <w:b/>
                <w:sz w:val="20"/>
              </w:rPr>
              <w:t xml:space="preserve">25 </w:t>
            </w:r>
            <w:r w:rsidRPr="00FF386D">
              <w:rPr>
                <w:rFonts w:ascii="Calibri Light" w:hAnsi="Calibri Light"/>
                <w:sz w:val="20"/>
              </w:rPr>
              <w:t>на балансирање и њен утицај на развој конкурен</w:t>
            </w:r>
            <w:r w:rsidR="00A33496" w:rsidRPr="00FF386D">
              <w:rPr>
                <w:rFonts w:ascii="Calibri Light" w:hAnsi="Calibri Light"/>
                <w:sz w:val="20"/>
              </w:rPr>
              <w:t>тности</w:t>
            </w:r>
            <w:r w:rsidRPr="00FF386D">
              <w:rPr>
                <w:rFonts w:ascii="Calibri Light" w:hAnsi="Calibri Light"/>
                <w:sz w:val="20"/>
              </w:rPr>
              <w:t>.</w:t>
            </w:r>
          </w:p>
        </w:tc>
      </w:tr>
      <w:tr w:rsidR="00854ADA" w:rsidRPr="00FF386D" w14:paraId="2B96EE35" w14:textId="77777777" w:rsidTr="0057310C">
        <w:trPr>
          <w:trHeight w:val="315"/>
        </w:trPr>
        <w:tc>
          <w:tcPr>
            <w:tcW w:w="3225" w:type="dxa"/>
            <w:tcBorders>
              <w:top w:val="nil"/>
              <w:left w:val="single" w:sz="8" w:space="0" w:color="auto"/>
              <w:bottom w:val="single" w:sz="8" w:space="0" w:color="auto"/>
              <w:right w:val="single" w:sz="8" w:space="0" w:color="auto"/>
            </w:tcBorders>
            <w:shd w:val="clear" w:color="000000" w:fill="244062"/>
            <w:vAlign w:val="center"/>
            <w:hideMark/>
          </w:tcPr>
          <w:p w14:paraId="03D973F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63" w:type="dxa"/>
            <w:gridSpan w:val="3"/>
            <w:tcBorders>
              <w:top w:val="single" w:sz="8" w:space="0" w:color="auto"/>
              <w:left w:val="nil"/>
              <w:bottom w:val="single" w:sz="8" w:space="0" w:color="auto"/>
              <w:right w:val="single" w:sz="8" w:space="0" w:color="000000"/>
            </w:tcBorders>
            <w:vAlign w:val="center"/>
            <w:hideMark/>
          </w:tcPr>
          <w:p w14:paraId="48421E73"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2021-2030.</w:t>
            </w:r>
          </w:p>
        </w:tc>
      </w:tr>
      <w:tr w:rsidR="00854ADA" w:rsidRPr="00FF386D" w14:paraId="21918165" w14:textId="77777777" w:rsidTr="0057310C">
        <w:trPr>
          <w:trHeight w:val="315"/>
        </w:trPr>
        <w:tc>
          <w:tcPr>
            <w:tcW w:w="3225" w:type="dxa"/>
            <w:tcBorders>
              <w:top w:val="nil"/>
              <w:left w:val="single" w:sz="8" w:space="0" w:color="auto"/>
              <w:bottom w:val="single" w:sz="8" w:space="0" w:color="auto"/>
              <w:right w:val="single" w:sz="8" w:space="0" w:color="auto"/>
            </w:tcBorders>
            <w:shd w:val="clear" w:color="000000" w:fill="244062"/>
            <w:vAlign w:val="center"/>
            <w:hideMark/>
          </w:tcPr>
          <w:p w14:paraId="583D253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63" w:type="dxa"/>
            <w:gridSpan w:val="3"/>
            <w:tcBorders>
              <w:top w:val="single" w:sz="8" w:space="0" w:color="auto"/>
              <w:left w:val="nil"/>
              <w:bottom w:val="single" w:sz="8" w:space="0" w:color="auto"/>
              <w:right w:val="single" w:sz="8" w:space="0" w:color="000000"/>
            </w:tcBorders>
            <w:vAlign w:val="center"/>
            <w:hideMark/>
          </w:tcPr>
          <w:p w14:paraId="3CC9B780"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Реформа</w:t>
            </w:r>
          </w:p>
        </w:tc>
      </w:tr>
      <w:tr w:rsidR="00854ADA" w:rsidRPr="00FF386D" w14:paraId="2B959F07" w14:textId="77777777" w:rsidTr="0057310C">
        <w:trPr>
          <w:trHeight w:val="315"/>
        </w:trPr>
        <w:tc>
          <w:tcPr>
            <w:tcW w:w="3225" w:type="dxa"/>
            <w:tcBorders>
              <w:top w:val="nil"/>
              <w:left w:val="single" w:sz="8" w:space="0" w:color="auto"/>
              <w:bottom w:val="single" w:sz="8" w:space="0" w:color="auto"/>
              <w:right w:val="single" w:sz="8" w:space="0" w:color="auto"/>
            </w:tcBorders>
            <w:shd w:val="clear" w:color="000000" w:fill="244062"/>
            <w:vAlign w:val="center"/>
            <w:hideMark/>
          </w:tcPr>
          <w:p w14:paraId="661DB5A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63" w:type="dxa"/>
            <w:gridSpan w:val="3"/>
            <w:tcBorders>
              <w:top w:val="single" w:sz="8" w:space="0" w:color="auto"/>
              <w:left w:val="nil"/>
              <w:bottom w:val="single" w:sz="8" w:space="0" w:color="auto"/>
              <w:right w:val="single" w:sz="8" w:space="0" w:color="000000"/>
            </w:tcBorders>
            <w:vAlign w:val="center"/>
            <w:hideMark/>
          </w:tcPr>
          <w:p w14:paraId="1CCE2607"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Гас</w:t>
            </w:r>
          </w:p>
        </w:tc>
      </w:tr>
      <w:tr w:rsidR="00854ADA" w:rsidRPr="00FF386D" w14:paraId="58D159DF" w14:textId="77777777" w:rsidTr="0057310C">
        <w:trPr>
          <w:trHeight w:val="315"/>
        </w:trPr>
        <w:tc>
          <w:tcPr>
            <w:tcW w:w="3225" w:type="dxa"/>
            <w:tcBorders>
              <w:top w:val="nil"/>
              <w:left w:val="single" w:sz="8" w:space="0" w:color="auto"/>
              <w:bottom w:val="single" w:sz="8" w:space="0" w:color="auto"/>
              <w:right w:val="single" w:sz="8" w:space="0" w:color="auto"/>
            </w:tcBorders>
            <w:shd w:val="clear" w:color="000000" w:fill="244062"/>
            <w:vAlign w:val="center"/>
            <w:hideMark/>
          </w:tcPr>
          <w:p w14:paraId="2602AA2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63" w:type="dxa"/>
            <w:gridSpan w:val="3"/>
            <w:tcBorders>
              <w:top w:val="single" w:sz="8" w:space="0" w:color="auto"/>
              <w:left w:val="nil"/>
              <w:bottom w:val="single" w:sz="8" w:space="0" w:color="auto"/>
              <w:right w:val="single" w:sz="8" w:space="0" w:color="000000"/>
            </w:tcBorders>
            <w:vAlign w:val="center"/>
            <w:hideMark/>
          </w:tcPr>
          <w:p w14:paraId="4F45A4FB" w14:textId="77777777" w:rsidR="00854ADA" w:rsidRPr="00FF386D" w:rsidRDefault="00854ADA" w:rsidP="00854ADA">
            <w:pPr>
              <w:numPr>
                <w:ilvl w:val="0"/>
                <w:numId w:val="73"/>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Енергетски субјекти</w:t>
            </w:r>
          </w:p>
          <w:p w14:paraId="3DD707BA" w14:textId="77777777" w:rsidR="00854ADA" w:rsidRPr="00FF386D" w:rsidRDefault="00854ADA" w:rsidP="00854ADA">
            <w:pPr>
              <w:numPr>
                <w:ilvl w:val="0"/>
                <w:numId w:val="73"/>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АЕРС</w:t>
            </w:r>
          </w:p>
          <w:p w14:paraId="7D503C8A" w14:textId="77777777" w:rsidR="00854ADA" w:rsidRPr="00FF386D" w:rsidRDefault="00854ADA" w:rsidP="00854ADA">
            <w:pPr>
              <w:numPr>
                <w:ilvl w:val="0"/>
                <w:numId w:val="73"/>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Министарство рударства и енергетике</w:t>
            </w:r>
          </w:p>
          <w:p w14:paraId="0A2F6F66" w14:textId="77777777" w:rsidR="00854ADA" w:rsidRPr="00FF386D" w:rsidRDefault="00854ADA" w:rsidP="00854ADA">
            <w:pPr>
              <w:numPr>
                <w:ilvl w:val="0"/>
                <w:numId w:val="73"/>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Влада</w:t>
            </w:r>
          </w:p>
        </w:tc>
      </w:tr>
      <w:tr w:rsidR="00854ADA" w:rsidRPr="00FF386D" w14:paraId="4CA14550" w14:textId="77777777" w:rsidTr="0057310C">
        <w:trPr>
          <w:trHeight w:val="315"/>
        </w:trPr>
        <w:tc>
          <w:tcPr>
            <w:tcW w:w="3225" w:type="dxa"/>
            <w:tcBorders>
              <w:top w:val="nil"/>
              <w:left w:val="single" w:sz="8" w:space="0" w:color="auto"/>
              <w:bottom w:val="single" w:sz="8" w:space="0" w:color="auto"/>
              <w:right w:val="nil"/>
            </w:tcBorders>
            <w:shd w:val="clear" w:color="000000" w:fill="244062"/>
            <w:vAlign w:val="center"/>
            <w:hideMark/>
          </w:tcPr>
          <w:p w14:paraId="7271943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63" w:type="dxa"/>
            <w:gridSpan w:val="3"/>
            <w:tcBorders>
              <w:top w:val="single" w:sz="8" w:space="0" w:color="auto"/>
              <w:left w:val="nil"/>
              <w:bottom w:val="single" w:sz="8" w:space="0" w:color="auto"/>
              <w:right w:val="single" w:sz="8" w:space="0" w:color="000000"/>
            </w:tcBorders>
            <w:vAlign w:val="center"/>
            <w:hideMark/>
          </w:tcPr>
          <w:p w14:paraId="0A507B92" w14:textId="77777777" w:rsidR="00854ADA" w:rsidRPr="00FF386D" w:rsidRDefault="00854ADA" w:rsidP="00854ADA">
            <w:pPr>
              <w:numPr>
                <w:ilvl w:val="0"/>
                <w:numId w:val="73"/>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АЕРС</w:t>
            </w:r>
          </w:p>
        </w:tc>
      </w:tr>
      <w:tr w:rsidR="00854ADA" w:rsidRPr="00FF386D" w14:paraId="7706320B" w14:textId="77777777" w:rsidTr="0057310C">
        <w:trPr>
          <w:trHeight w:val="315"/>
        </w:trPr>
        <w:tc>
          <w:tcPr>
            <w:tcW w:w="3225" w:type="dxa"/>
            <w:tcBorders>
              <w:top w:val="nil"/>
              <w:left w:val="single" w:sz="8" w:space="0" w:color="auto"/>
              <w:bottom w:val="single" w:sz="8" w:space="0" w:color="auto"/>
              <w:right w:val="nil"/>
            </w:tcBorders>
            <w:shd w:val="clear" w:color="000000" w:fill="244062"/>
            <w:vAlign w:val="center"/>
            <w:hideMark/>
          </w:tcPr>
          <w:p w14:paraId="61ECED8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63" w:type="dxa"/>
            <w:gridSpan w:val="3"/>
            <w:tcBorders>
              <w:top w:val="single" w:sz="8" w:space="0" w:color="auto"/>
              <w:left w:val="nil"/>
              <w:bottom w:val="single" w:sz="8" w:space="0" w:color="auto"/>
              <w:right w:val="single" w:sz="8" w:space="0" w:color="000000"/>
            </w:tcBorders>
            <w:vAlign w:val="center"/>
            <w:hideMark/>
          </w:tcPr>
          <w:p w14:paraId="5960F0E4"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Број и разноврсност извора снабдевања, концентрација у снабдевању (</w:t>
            </w:r>
            <w:r w:rsidRPr="00FF386D">
              <w:rPr>
                <w:rFonts w:ascii="Calibri Light" w:hAnsi="Calibri Light"/>
                <w:i/>
                <w:iCs/>
                <w:sz w:val="20"/>
              </w:rPr>
              <w:t>HHI),</w:t>
            </w:r>
            <w:r w:rsidRPr="00FF386D">
              <w:rPr>
                <w:rFonts w:ascii="Calibri Light" w:hAnsi="Calibri Light"/>
                <w:sz w:val="20"/>
              </w:rPr>
              <w:t xml:space="preserve"> индекс остатка снабдевања</w:t>
            </w:r>
          </w:p>
        </w:tc>
      </w:tr>
      <w:tr w:rsidR="00854ADA" w:rsidRPr="00FF386D" w14:paraId="7BF6C3B6" w14:textId="77777777" w:rsidTr="0057310C">
        <w:trPr>
          <w:trHeight w:val="313"/>
        </w:trPr>
        <w:tc>
          <w:tcPr>
            <w:tcW w:w="3225" w:type="dxa"/>
            <w:tcBorders>
              <w:top w:val="nil"/>
              <w:left w:val="single" w:sz="8" w:space="0" w:color="auto"/>
              <w:bottom w:val="single" w:sz="8" w:space="0" w:color="auto"/>
              <w:right w:val="single" w:sz="8" w:space="0" w:color="auto"/>
            </w:tcBorders>
            <w:shd w:val="clear" w:color="000000" w:fill="244062"/>
            <w:vAlign w:val="center"/>
            <w:hideMark/>
          </w:tcPr>
          <w:p w14:paraId="43BABA5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63" w:type="dxa"/>
            <w:gridSpan w:val="3"/>
            <w:tcBorders>
              <w:top w:val="single" w:sz="8" w:space="0" w:color="auto"/>
              <w:left w:val="nil"/>
              <w:bottom w:val="single" w:sz="8" w:space="0" w:color="auto"/>
              <w:right w:val="single" w:sz="8" w:space="0" w:color="000000"/>
            </w:tcBorders>
            <w:vAlign w:val="center"/>
            <w:hideMark/>
          </w:tcPr>
          <w:p w14:paraId="6D8AAC09"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p>
        </w:tc>
      </w:tr>
      <w:tr w:rsidR="00854ADA" w:rsidRPr="00FF386D" w14:paraId="066A6290" w14:textId="77777777" w:rsidTr="0057310C">
        <w:trPr>
          <w:trHeight w:val="450"/>
        </w:trPr>
        <w:tc>
          <w:tcPr>
            <w:tcW w:w="3225"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44BF136E" w14:textId="693DC598"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63"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159359B" w14:textId="77777777" w:rsidR="00854ADA" w:rsidRPr="00FF386D" w:rsidRDefault="00854ADA" w:rsidP="00854ADA">
            <w:pPr>
              <w:numPr>
                <w:ilvl w:val="0"/>
                <w:numId w:val="73"/>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2009/73/EЗ</w:t>
            </w:r>
          </w:p>
        </w:tc>
      </w:tr>
      <w:tr w:rsidR="00854ADA" w:rsidRPr="00FF386D" w14:paraId="2A017D6C"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3A53ED7A"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63" w:type="dxa"/>
            <w:gridSpan w:val="3"/>
            <w:vMerge/>
            <w:tcBorders>
              <w:top w:val="single" w:sz="8" w:space="0" w:color="auto"/>
              <w:left w:val="single" w:sz="8" w:space="0" w:color="auto"/>
              <w:bottom w:val="single" w:sz="8" w:space="0" w:color="000000"/>
              <w:right w:val="single" w:sz="8" w:space="0" w:color="000000"/>
            </w:tcBorders>
            <w:vAlign w:val="center"/>
            <w:hideMark/>
          </w:tcPr>
          <w:p w14:paraId="40CA3FE1" w14:textId="77777777" w:rsidR="00854ADA" w:rsidRPr="00FF386D" w:rsidRDefault="00854ADA" w:rsidP="00854ADA">
            <w:pPr>
              <w:numPr>
                <w:ilvl w:val="0"/>
                <w:numId w:val="73"/>
              </w:numPr>
              <w:spacing w:after="0" w:line="256" w:lineRule="auto"/>
              <w:contextualSpacing/>
              <w:rPr>
                <w:rFonts w:ascii="Calibri Light" w:eastAsia="Times New Roman" w:hAnsi="Calibri Light" w:cs="Calibri Light"/>
                <w:color w:val="000000"/>
                <w:sz w:val="20"/>
                <w:szCs w:val="20"/>
                <w:lang w:eastAsia="en-GB"/>
              </w:rPr>
            </w:pPr>
          </w:p>
        </w:tc>
      </w:tr>
      <w:tr w:rsidR="00854ADA" w:rsidRPr="00FF386D" w14:paraId="56711A6B"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1635542E"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63" w:type="dxa"/>
            <w:gridSpan w:val="3"/>
            <w:vMerge/>
            <w:tcBorders>
              <w:top w:val="single" w:sz="8" w:space="0" w:color="auto"/>
              <w:left w:val="single" w:sz="8" w:space="0" w:color="auto"/>
              <w:bottom w:val="single" w:sz="8" w:space="0" w:color="000000"/>
              <w:right w:val="single" w:sz="8" w:space="0" w:color="000000"/>
            </w:tcBorders>
            <w:vAlign w:val="center"/>
            <w:hideMark/>
          </w:tcPr>
          <w:p w14:paraId="16EB282E" w14:textId="77777777" w:rsidR="00854ADA" w:rsidRPr="00FF386D" w:rsidRDefault="00854ADA" w:rsidP="00854ADA">
            <w:pPr>
              <w:numPr>
                <w:ilvl w:val="0"/>
                <w:numId w:val="73"/>
              </w:numPr>
              <w:spacing w:after="0" w:line="256" w:lineRule="auto"/>
              <w:contextualSpacing/>
              <w:rPr>
                <w:rFonts w:ascii="Calibri Light" w:eastAsia="Times New Roman" w:hAnsi="Calibri Light" w:cs="Calibri Light"/>
                <w:color w:val="000000"/>
                <w:sz w:val="20"/>
                <w:szCs w:val="20"/>
                <w:lang w:eastAsia="en-GB"/>
              </w:rPr>
            </w:pPr>
          </w:p>
        </w:tc>
      </w:tr>
      <w:tr w:rsidR="00854ADA" w:rsidRPr="00FF386D" w14:paraId="31243CED" w14:textId="77777777" w:rsidTr="0057310C">
        <w:trPr>
          <w:trHeight w:val="780"/>
        </w:trPr>
        <w:tc>
          <w:tcPr>
            <w:tcW w:w="3225" w:type="dxa"/>
            <w:tcBorders>
              <w:top w:val="nil"/>
              <w:left w:val="single" w:sz="8" w:space="0" w:color="auto"/>
              <w:bottom w:val="single" w:sz="8" w:space="0" w:color="auto"/>
              <w:right w:val="single" w:sz="8" w:space="0" w:color="auto"/>
            </w:tcBorders>
            <w:shd w:val="clear" w:color="000000" w:fill="244062"/>
            <w:vAlign w:val="center"/>
            <w:hideMark/>
          </w:tcPr>
          <w:p w14:paraId="4C0F4D1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63" w:type="dxa"/>
            <w:gridSpan w:val="3"/>
            <w:tcBorders>
              <w:top w:val="single" w:sz="8" w:space="0" w:color="auto"/>
              <w:left w:val="nil"/>
              <w:bottom w:val="single" w:sz="8" w:space="0" w:color="auto"/>
              <w:right w:val="single" w:sz="8" w:space="0" w:color="000000"/>
            </w:tcBorders>
            <w:vAlign w:val="center"/>
            <w:hideMark/>
          </w:tcPr>
          <w:p w14:paraId="020C68FC" w14:textId="77777777" w:rsidR="00854ADA" w:rsidRPr="00FF386D" w:rsidRDefault="00854ADA" w:rsidP="00854ADA">
            <w:pPr>
              <w:numPr>
                <w:ilvl w:val="0"/>
                <w:numId w:val="73"/>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енергетици</w:t>
            </w:r>
          </w:p>
        </w:tc>
      </w:tr>
      <w:tr w:rsidR="00854ADA" w:rsidRPr="00FF386D" w14:paraId="7E2AD955" w14:textId="77777777" w:rsidTr="0057310C">
        <w:trPr>
          <w:trHeight w:val="315"/>
        </w:trPr>
        <w:tc>
          <w:tcPr>
            <w:tcW w:w="3225" w:type="dxa"/>
            <w:tcBorders>
              <w:top w:val="nil"/>
              <w:left w:val="single" w:sz="8" w:space="0" w:color="auto"/>
              <w:bottom w:val="single" w:sz="8" w:space="0" w:color="auto"/>
              <w:right w:val="single" w:sz="8" w:space="0" w:color="auto"/>
            </w:tcBorders>
            <w:shd w:val="clear" w:color="000000" w:fill="244062"/>
            <w:vAlign w:val="center"/>
            <w:hideMark/>
          </w:tcPr>
          <w:p w14:paraId="56421E7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63" w:type="dxa"/>
            <w:gridSpan w:val="3"/>
            <w:tcBorders>
              <w:top w:val="single" w:sz="8" w:space="0" w:color="auto"/>
              <w:left w:val="nil"/>
              <w:bottom w:val="single" w:sz="8" w:space="0" w:color="auto"/>
              <w:right w:val="single" w:sz="8" w:space="0" w:color="000000"/>
            </w:tcBorders>
            <w:vAlign w:val="center"/>
            <w:hideMark/>
          </w:tcPr>
          <w:p w14:paraId="4197F8A6"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0,2 милиона евра</w:t>
            </w:r>
          </w:p>
        </w:tc>
      </w:tr>
      <w:tr w:rsidR="00854ADA" w:rsidRPr="00FF386D" w14:paraId="6E531187" w14:textId="77777777" w:rsidTr="0057310C">
        <w:trPr>
          <w:trHeight w:val="315"/>
        </w:trPr>
        <w:tc>
          <w:tcPr>
            <w:tcW w:w="3225" w:type="dxa"/>
            <w:tcBorders>
              <w:top w:val="nil"/>
              <w:left w:val="single" w:sz="8" w:space="0" w:color="auto"/>
              <w:bottom w:val="single" w:sz="8" w:space="0" w:color="auto"/>
              <w:right w:val="single" w:sz="8" w:space="0" w:color="auto"/>
            </w:tcBorders>
            <w:shd w:val="clear" w:color="000000" w:fill="244062"/>
            <w:vAlign w:val="center"/>
            <w:hideMark/>
          </w:tcPr>
          <w:p w14:paraId="4CE09AB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63" w:type="dxa"/>
            <w:gridSpan w:val="3"/>
            <w:tcBorders>
              <w:top w:val="single" w:sz="8" w:space="0" w:color="auto"/>
              <w:left w:val="nil"/>
              <w:bottom w:val="single" w:sz="8" w:space="0" w:color="auto"/>
              <w:right w:val="single" w:sz="8" w:space="0" w:color="000000"/>
            </w:tcBorders>
            <w:vAlign w:val="center"/>
            <w:hideMark/>
          </w:tcPr>
          <w:p w14:paraId="5F9B9294" w14:textId="6814B1F5"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Фондови ЕУ и други фондови,</w:t>
            </w:r>
            <w:r w:rsidR="00460244" w:rsidRPr="00FF386D">
              <w:rPr>
                <w:rFonts w:ascii="Calibri Light" w:eastAsia="Times New Roman" w:hAnsi="Calibri Light" w:cs="Calibri Light"/>
                <w:color w:val="000000"/>
                <w:sz w:val="20"/>
                <w:szCs w:val="20"/>
                <w:lang w:eastAsia="en-GB"/>
              </w:rPr>
              <w:t xml:space="preserve"> </w:t>
            </w:r>
            <w:r w:rsidRPr="00FF386D">
              <w:rPr>
                <w:rFonts w:ascii="Calibri Light" w:eastAsia="Times New Roman" w:hAnsi="Calibri Light" w:cs="Calibri Light"/>
                <w:color w:val="000000"/>
                <w:sz w:val="20"/>
                <w:szCs w:val="20"/>
                <w:lang w:eastAsia="en-GB"/>
              </w:rPr>
              <w:t>буџет</w:t>
            </w:r>
            <w:r w:rsidR="00460244" w:rsidRPr="00FF386D">
              <w:rPr>
                <w:rFonts w:ascii="Calibri Light" w:eastAsia="Times New Roman" w:hAnsi="Calibri Light" w:cs="Calibri Light"/>
                <w:color w:val="000000"/>
                <w:sz w:val="20"/>
                <w:szCs w:val="20"/>
                <w:lang w:eastAsia="en-GB"/>
              </w:rPr>
              <w:t xml:space="preserve">ска </w:t>
            </w:r>
            <w:r w:rsidR="00020757" w:rsidRPr="00FF386D">
              <w:rPr>
                <w:rFonts w:ascii="Calibri Light" w:eastAsia="Times New Roman" w:hAnsi="Calibri Light" w:cs="Calibri Light"/>
                <w:color w:val="000000"/>
                <w:sz w:val="20"/>
                <w:szCs w:val="20"/>
                <w:lang w:eastAsia="en-GB"/>
              </w:rPr>
              <w:t>средства</w:t>
            </w:r>
          </w:p>
        </w:tc>
      </w:tr>
    </w:tbl>
    <w:p w14:paraId="03D4591D"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23"/>
        <w:gridCol w:w="1309"/>
        <w:gridCol w:w="922"/>
        <w:gridCol w:w="4034"/>
      </w:tblGrid>
      <w:tr w:rsidR="00854ADA" w:rsidRPr="00FF386D" w14:paraId="2550C799" w14:textId="77777777" w:rsidTr="0057310C">
        <w:trPr>
          <w:trHeight w:val="780"/>
        </w:trPr>
        <w:tc>
          <w:tcPr>
            <w:tcW w:w="3223"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046B64C3" w14:textId="7CFBFD16"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309" w:type="dxa"/>
            <w:tcBorders>
              <w:top w:val="single" w:sz="8" w:space="0" w:color="auto"/>
              <w:left w:val="nil"/>
              <w:bottom w:val="single" w:sz="8" w:space="0" w:color="auto"/>
              <w:right w:val="single" w:sz="8" w:space="0" w:color="auto"/>
            </w:tcBorders>
            <w:shd w:val="clear" w:color="auto" w:fill="E7E6E6" w:themeFill="background2"/>
            <w:vAlign w:val="center"/>
            <w:hideMark/>
          </w:tcPr>
          <w:p w14:paraId="27053B4C" w14:textId="2812CDB6"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МП_УЕ</w:t>
            </w:r>
            <w:r w:rsidR="00A33496" w:rsidRPr="00FF386D">
              <w:rPr>
                <w:rFonts w:ascii="Calibri Light" w:hAnsi="Calibri Light"/>
                <w:b/>
                <w:sz w:val="20"/>
              </w:rPr>
              <w:t>Т</w:t>
            </w:r>
            <w:r w:rsidRPr="00FF386D">
              <w:rPr>
                <w:rFonts w:ascii="Calibri Light" w:hAnsi="Calibri Light"/>
                <w:b/>
                <w:sz w:val="20"/>
              </w:rPr>
              <w:t>27</w:t>
            </w:r>
          </w:p>
        </w:tc>
        <w:tc>
          <w:tcPr>
            <w:tcW w:w="922" w:type="dxa"/>
            <w:tcBorders>
              <w:top w:val="single" w:sz="8" w:space="0" w:color="auto"/>
              <w:left w:val="nil"/>
              <w:bottom w:val="single" w:sz="8" w:space="0" w:color="auto"/>
              <w:right w:val="single" w:sz="8" w:space="0" w:color="auto"/>
            </w:tcBorders>
            <w:shd w:val="clear" w:color="auto" w:fill="244062"/>
            <w:vAlign w:val="center"/>
            <w:hideMark/>
          </w:tcPr>
          <w:p w14:paraId="0EC09DC4"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034" w:type="dxa"/>
            <w:tcBorders>
              <w:top w:val="single" w:sz="8" w:space="0" w:color="auto"/>
              <w:left w:val="nil"/>
              <w:bottom w:val="single" w:sz="8" w:space="0" w:color="auto"/>
              <w:right w:val="single" w:sz="8" w:space="0" w:color="auto"/>
            </w:tcBorders>
            <w:shd w:val="clear" w:color="auto" w:fill="E7E6E6" w:themeFill="background2"/>
            <w:vAlign w:val="center"/>
            <w:hideMark/>
          </w:tcPr>
          <w:p w14:paraId="0E7122CD"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Даље отварање малопродајног тржишта</w:t>
            </w:r>
          </w:p>
        </w:tc>
      </w:tr>
      <w:tr w:rsidR="00854ADA" w:rsidRPr="00FF386D" w14:paraId="7F3ED5CE" w14:textId="77777777" w:rsidTr="0057310C">
        <w:trPr>
          <w:trHeight w:val="496"/>
        </w:trPr>
        <w:tc>
          <w:tcPr>
            <w:tcW w:w="3223" w:type="dxa"/>
            <w:tcBorders>
              <w:top w:val="nil"/>
              <w:left w:val="single" w:sz="8" w:space="0" w:color="auto"/>
              <w:bottom w:val="single" w:sz="8" w:space="0" w:color="auto"/>
              <w:right w:val="nil"/>
            </w:tcBorders>
            <w:shd w:val="clear" w:color="000000" w:fill="244062"/>
            <w:vAlign w:val="center"/>
            <w:hideMark/>
          </w:tcPr>
          <w:p w14:paraId="27060A1B" w14:textId="6A292336"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65" w:type="dxa"/>
            <w:gridSpan w:val="3"/>
            <w:tcBorders>
              <w:top w:val="single" w:sz="8" w:space="0" w:color="auto"/>
              <w:left w:val="nil"/>
              <w:bottom w:val="single" w:sz="8" w:space="0" w:color="auto"/>
              <w:right w:val="single" w:sz="8" w:space="0" w:color="000000"/>
            </w:tcBorders>
            <w:vAlign w:val="center"/>
          </w:tcPr>
          <w:p w14:paraId="2DBE7943"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Заштита потрошача и побољшање конкуренције</w:t>
            </w:r>
          </w:p>
        </w:tc>
      </w:tr>
      <w:tr w:rsidR="00854ADA" w:rsidRPr="00FF386D" w14:paraId="00963040" w14:textId="77777777" w:rsidTr="0057310C">
        <w:trPr>
          <w:trHeight w:val="315"/>
        </w:trPr>
        <w:tc>
          <w:tcPr>
            <w:tcW w:w="3223" w:type="dxa"/>
            <w:tcBorders>
              <w:top w:val="nil"/>
              <w:left w:val="single" w:sz="8" w:space="0" w:color="auto"/>
              <w:bottom w:val="single" w:sz="8" w:space="0" w:color="auto"/>
              <w:right w:val="single" w:sz="8" w:space="0" w:color="auto"/>
            </w:tcBorders>
            <w:shd w:val="clear" w:color="000000" w:fill="244062"/>
            <w:vAlign w:val="center"/>
            <w:hideMark/>
          </w:tcPr>
          <w:p w14:paraId="289D3134" w14:textId="4738AFF3"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65" w:type="dxa"/>
            <w:gridSpan w:val="3"/>
            <w:tcBorders>
              <w:top w:val="single" w:sz="8" w:space="0" w:color="auto"/>
              <w:left w:val="nil"/>
              <w:bottom w:val="single" w:sz="8" w:space="0" w:color="auto"/>
              <w:right w:val="single" w:sz="8" w:space="0" w:color="000000"/>
            </w:tcBorders>
            <w:vAlign w:val="center"/>
          </w:tcPr>
          <w:p w14:paraId="31756AFD" w14:textId="77777777" w:rsidR="00854ADA" w:rsidRPr="00FF386D" w:rsidRDefault="00854ADA" w:rsidP="00854ADA">
            <w:pPr>
              <w:spacing w:after="0" w:line="240" w:lineRule="auto"/>
              <w:jc w:val="both"/>
              <w:rPr>
                <w:rFonts w:ascii="Calibri" w:eastAsia="Times New Roman" w:hAnsi="Calibri" w:cs="Calibri"/>
                <w:color w:val="000000"/>
                <w:lang w:eastAsia="en-GB"/>
              </w:rPr>
            </w:pPr>
            <w:r w:rsidRPr="00FF386D">
              <w:rPr>
                <w:rFonts w:ascii="Calibri Light" w:hAnsi="Calibri Light"/>
                <w:sz w:val="20"/>
              </w:rPr>
              <w:t>Побољшане стопе прелазака потрошача (на друге снабдеваче)</w:t>
            </w:r>
          </w:p>
        </w:tc>
      </w:tr>
      <w:tr w:rsidR="00854ADA" w:rsidRPr="00FF386D" w14:paraId="0A4CB9A9" w14:textId="77777777" w:rsidTr="0057310C">
        <w:trPr>
          <w:trHeight w:val="583"/>
        </w:trPr>
        <w:tc>
          <w:tcPr>
            <w:tcW w:w="3223" w:type="dxa"/>
            <w:tcBorders>
              <w:top w:val="nil"/>
              <w:left w:val="single" w:sz="8" w:space="0" w:color="auto"/>
              <w:bottom w:val="single" w:sz="8" w:space="0" w:color="auto"/>
              <w:right w:val="single" w:sz="8" w:space="0" w:color="auto"/>
            </w:tcBorders>
            <w:shd w:val="clear" w:color="000000" w:fill="244062"/>
            <w:vAlign w:val="center"/>
            <w:hideMark/>
          </w:tcPr>
          <w:p w14:paraId="1CC5AD8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65" w:type="dxa"/>
            <w:gridSpan w:val="3"/>
            <w:tcBorders>
              <w:top w:val="single" w:sz="8" w:space="0" w:color="auto"/>
              <w:left w:val="nil"/>
              <w:bottom w:val="single" w:sz="8" w:space="0" w:color="auto"/>
              <w:right w:val="single" w:sz="8" w:space="0" w:color="000000"/>
            </w:tcBorders>
            <w:vAlign w:val="center"/>
            <w:hideMark/>
          </w:tcPr>
          <w:p w14:paraId="669F5A01" w14:textId="6EE3B604"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eastAsia="NSimSun" w:hAnsi="Calibri Light" w:cs="Mangal"/>
                <w:kern w:val="2"/>
                <w:sz w:val="20"/>
                <w:szCs w:val="24"/>
                <w:lang w:eastAsia="zh-CN" w:bidi="hi-IN"/>
              </w:rPr>
              <w:t>Највећи део</w:t>
            </w:r>
            <w:r w:rsidRPr="00FF386D">
              <w:rPr>
                <w:rFonts w:ascii="Calibri Light" w:hAnsi="Calibri Light"/>
                <w:sz w:val="20"/>
              </w:rPr>
              <w:t xml:space="preserve"> тржишта се снабдева по нерегулисаним ценама. Сви купци испуњавају услове, али на малопродајном тржишту доминира Србијагас, како је наведено </w:t>
            </w:r>
            <w:r w:rsidR="00A33496" w:rsidRPr="00FF386D">
              <w:rPr>
                <w:rFonts w:ascii="Calibri Light" w:hAnsi="Calibri Light"/>
                <w:sz w:val="20"/>
              </w:rPr>
              <w:t>у оквиру</w:t>
            </w:r>
            <w:r w:rsidRPr="00FF386D">
              <w:rPr>
                <w:rFonts w:ascii="Calibri Light" w:hAnsi="Calibri Light"/>
                <w:sz w:val="20"/>
              </w:rPr>
              <w:t xml:space="preserve"> </w:t>
            </w:r>
            <w:r w:rsidR="006943F9" w:rsidRPr="006943F9">
              <w:rPr>
                <w:rFonts w:ascii="Calibri Light" w:hAnsi="Calibri Light"/>
                <w:sz w:val="20"/>
              </w:rPr>
              <w:t>МП_УЕТ</w:t>
            </w:r>
            <w:r w:rsidRPr="00FF386D">
              <w:rPr>
                <w:rFonts w:ascii="Calibri Light" w:hAnsi="Calibri Light"/>
                <w:sz w:val="20"/>
              </w:rPr>
              <w:t>27. Спроводе се мере заштите потрошача.</w:t>
            </w:r>
          </w:p>
        </w:tc>
      </w:tr>
      <w:tr w:rsidR="00854ADA" w:rsidRPr="00FF386D" w14:paraId="050DB7BE" w14:textId="77777777" w:rsidTr="0057310C">
        <w:trPr>
          <w:trHeight w:val="315"/>
        </w:trPr>
        <w:tc>
          <w:tcPr>
            <w:tcW w:w="3223" w:type="dxa"/>
            <w:tcBorders>
              <w:top w:val="nil"/>
              <w:left w:val="single" w:sz="8" w:space="0" w:color="auto"/>
              <w:bottom w:val="single" w:sz="8" w:space="0" w:color="auto"/>
              <w:right w:val="single" w:sz="8" w:space="0" w:color="auto"/>
            </w:tcBorders>
            <w:shd w:val="clear" w:color="000000" w:fill="244062"/>
            <w:vAlign w:val="center"/>
            <w:hideMark/>
          </w:tcPr>
          <w:p w14:paraId="3C7B49B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65" w:type="dxa"/>
            <w:gridSpan w:val="3"/>
            <w:tcBorders>
              <w:top w:val="single" w:sz="8" w:space="0" w:color="auto"/>
              <w:left w:val="nil"/>
              <w:bottom w:val="single" w:sz="8" w:space="0" w:color="auto"/>
              <w:right w:val="single" w:sz="8" w:space="0" w:color="000000"/>
            </w:tcBorders>
            <w:vAlign w:val="center"/>
            <w:hideMark/>
          </w:tcPr>
          <w:p w14:paraId="60C873C2"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2021-2030.</w:t>
            </w:r>
          </w:p>
        </w:tc>
      </w:tr>
      <w:tr w:rsidR="00854ADA" w:rsidRPr="00FF386D" w14:paraId="7DE28024" w14:textId="77777777" w:rsidTr="0057310C">
        <w:trPr>
          <w:trHeight w:val="315"/>
        </w:trPr>
        <w:tc>
          <w:tcPr>
            <w:tcW w:w="3223" w:type="dxa"/>
            <w:tcBorders>
              <w:top w:val="nil"/>
              <w:left w:val="single" w:sz="8" w:space="0" w:color="auto"/>
              <w:bottom w:val="single" w:sz="8" w:space="0" w:color="auto"/>
              <w:right w:val="single" w:sz="8" w:space="0" w:color="auto"/>
            </w:tcBorders>
            <w:shd w:val="clear" w:color="000000" w:fill="244062"/>
            <w:vAlign w:val="center"/>
            <w:hideMark/>
          </w:tcPr>
          <w:p w14:paraId="7A4E947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65" w:type="dxa"/>
            <w:gridSpan w:val="3"/>
            <w:tcBorders>
              <w:top w:val="single" w:sz="8" w:space="0" w:color="auto"/>
              <w:left w:val="nil"/>
              <w:bottom w:val="single" w:sz="8" w:space="0" w:color="auto"/>
              <w:right w:val="single" w:sz="8" w:space="0" w:color="000000"/>
            </w:tcBorders>
            <w:vAlign w:val="center"/>
            <w:hideMark/>
          </w:tcPr>
          <w:p w14:paraId="33A28C06"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Реформа</w:t>
            </w:r>
          </w:p>
        </w:tc>
      </w:tr>
      <w:tr w:rsidR="00854ADA" w:rsidRPr="00FF386D" w14:paraId="5EBE6415" w14:textId="77777777" w:rsidTr="0057310C">
        <w:trPr>
          <w:trHeight w:val="315"/>
        </w:trPr>
        <w:tc>
          <w:tcPr>
            <w:tcW w:w="3223" w:type="dxa"/>
            <w:tcBorders>
              <w:top w:val="nil"/>
              <w:left w:val="single" w:sz="8" w:space="0" w:color="auto"/>
              <w:bottom w:val="single" w:sz="8" w:space="0" w:color="auto"/>
              <w:right w:val="single" w:sz="8" w:space="0" w:color="auto"/>
            </w:tcBorders>
            <w:shd w:val="clear" w:color="000000" w:fill="244062"/>
            <w:vAlign w:val="center"/>
            <w:hideMark/>
          </w:tcPr>
          <w:p w14:paraId="755AED9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65" w:type="dxa"/>
            <w:gridSpan w:val="3"/>
            <w:tcBorders>
              <w:top w:val="single" w:sz="8" w:space="0" w:color="auto"/>
              <w:left w:val="nil"/>
              <w:bottom w:val="single" w:sz="8" w:space="0" w:color="auto"/>
              <w:right w:val="single" w:sz="8" w:space="0" w:color="000000"/>
            </w:tcBorders>
            <w:vAlign w:val="center"/>
            <w:hideMark/>
          </w:tcPr>
          <w:p w14:paraId="3C59DEA0"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Гас</w:t>
            </w:r>
          </w:p>
        </w:tc>
      </w:tr>
      <w:tr w:rsidR="00854ADA" w:rsidRPr="00FF386D" w14:paraId="7D2D7469" w14:textId="77777777" w:rsidTr="0057310C">
        <w:trPr>
          <w:trHeight w:val="315"/>
        </w:trPr>
        <w:tc>
          <w:tcPr>
            <w:tcW w:w="3223" w:type="dxa"/>
            <w:tcBorders>
              <w:top w:val="nil"/>
              <w:left w:val="single" w:sz="8" w:space="0" w:color="auto"/>
              <w:bottom w:val="single" w:sz="8" w:space="0" w:color="auto"/>
              <w:right w:val="single" w:sz="8" w:space="0" w:color="auto"/>
            </w:tcBorders>
            <w:shd w:val="clear" w:color="000000" w:fill="244062"/>
            <w:vAlign w:val="center"/>
            <w:hideMark/>
          </w:tcPr>
          <w:p w14:paraId="4912702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65" w:type="dxa"/>
            <w:gridSpan w:val="3"/>
            <w:tcBorders>
              <w:top w:val="single" w:sz="8" w:space="0" w:color="auto"/>
              <w:left w:val="nil"/>
              <w:bottom w:val="single" w:sz="8" w:space="0" w:color="auto"/>
              <w:right w:val="single" w:sz="8" w:space="0" w:color="000000"/>
            </w:tcBorders>
            <w:vAlign w:val="center"/>
            <w:hideMark/>
          </w:tcPr>
          <w:p w14:paraId="6365E2BB" w14:textId="77777777" w:rsidR="00854ADA" w:rsidRPr="00FF386D" w:rsidRDefault="00854ADA" w:rsidP="00854ADA">
            <w:pPr>
              <w:numPr>
                <w:ilvl w:val="0"/>
                <w:numId w:val="73"/>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Енергетски субјекти</w:t>
            </w:r>
          </w:p>
          <w:p w14:paraId="56B81A37" w14:textId="77777777" w:rsidR="00854ADA" w:rsidRPr="00FF386D" w:rsidRDefault="00854ADA" w:rsidP="00854ADA">
            <w:pPr>
              <w:numPr>
                <w:ilvl w:val="0"/>
                <w:numId w:val="73"/>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АЕРС</w:t>
            </w:r>
          </w:p>
          <w:p w14:paraId="6FD29A9A" w14:textId="77777777" w:rsidR="00854ADA" w:rsidRPr="00FF386D" w:rsidRDefault="00854ADA" w:rsidP="00854ADA">
            <w:pPr>
              <w:numPr>
                <w:ilvl w:val="0"/>
                <w:numId w:val="73"/>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Министарство рударства и енергетике</w:t>
            </w:r>
          </w:p>
          <w:p w14:paraId="7D81F1FD" w14:textId="77777777" w:rsidR="00854ADA" w:rsidRPr="00FF386D" w:rsidRDefault="00854ADA" w:rsidP="00854ADA">
            <w:pPr>
              <w:numPr>
                <w:ilvl w:val="0"/>
                <w:numId w:val="73"/>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Влада</w:t>
            </w:r>
          </w:p>
        </w:tc>
      </w:tr>
      <w:tr w:rsidR="00854ADA" w:rsidRPr="00FF386D" w14:paraId="4D9439A1" w14:textId="77777777" w:rsidTr="0057310C">
        <w:trPr>
          <w:trHeight w:val="315"/>
        </w:trPr>
        <w:tc>
          <w:tcPr>
            <w:tcW w:w="3223" w:type="dxa"/>
            <w:tcBorders>
              <w:top w:val="nil"/>
              <w:left w:val="single" w:sz="8" w:space="0" w:color="auto"/>
              <w:bottom w:val="single" w:sz="8" w:space="0" w:color="auto"/>
              <w:right w:val="nil"/>
            </w:tcBorders>
            <w:shd w:val="clear" w:color="000000" w:fill="244062"/>
            <w:vAlign w:val="center"/>
            <w:hideMark/>
          </w:tcPr>
          <w:p w14:paraId="53D7E9F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65" w:type="dxa"/>
            <w:gridSpan w:val="3"/>
            <w:tcBorders>
              <w:top w:val="single" w:sz="8" w:space="0" w:color="auto"/>
              <w:left w:val="nil"/>
              <w:bottom w:val="single" w:sz="8" w:space="0" w:color="auto"/>
              <w:right w:val="single" w:sz="8" w:space="0" w:color="000000"/>
            </w:tcBorders>
            <w:vAlign w:val="center"/>
            <w:hideMark/>
          </w:tcPr>
          <w:p w14:paraId="1D367787" w14:textId="77777777" w:rsidR="00854ADA" w:rsidRPr="00FF386D" w:rsidRDefault="00854ADA" w:rsidP="00854ADA">
            <w:pPr>
              <w:numPr>
                <w:ilvl w:val="0"/>
                <w:numId w:val="73"/>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АЕРС</w:t>
            </w:r>
          </w:p>
        </w:tc>
      </w:tr>
      <w:tr w:rsidR="00854ADA" w:rsidRPr="00FF386D" w14:paraId="54384ECB" w14:textId="77777777" w:rsidTr="0057310C">
        <w:trPr>
          <w:trHeight w:val="315"/>
        </w:trPr>
        <w:tc>
          <w:tcPr>
            <w:tcW w:w="3223" w:type="dxa"/>
            <w:tcBorders>
              <w:top w:val="nil"/>
              <w:left w:val="single" w:sz="8" w:space="0" w:color="auto"/>
              <w:bottom w:val="single" w:sz="8" w:space="0" w:color="auto"/>
              <w:right w:val="nil"/>
            </w:tcBorders>
            <w:shd w:val="clear" w:color="000000" w:fill="244062"/>
            <w:vAlign w:val="center"/>
            <w:hideMark/>
          </w:tcPr>
          <w:p w14:paraId="4A73A92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65" w:type="dxa"/>
            <w:gridSpan w:val="3"/>
            <w:tcBorders>
              <w:top w:val="single" w:sz="8" w:space="0" w:color="auto"/>
              <w:left w:val="nil"/>
              <w:bottom w:val="single" w:sz="8" w:space="0" w:color="auto"/>
              <w:right w:val="single" w:sz="8" w:space="0" w:color="000000"/>
            </w:tcBorders>
            <w:vAlign w:val="center"/>
            <w:hideMark/>
          </w:tcPr>
          <w:p w14:paraId="522E45CB"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С</w:t>
            </w:r>
            <w:r w:rsidRPr="00FF386D">
              <w:rPr>
                <w:rFonts w:ascii="Calibri Light" w:eastAsia="NSimSun" w:hAnsi="Calibri Light" w:cs="Mangal"/>
                <w:kern w:val="2"/>
                <w:sz w:val="20"/>
                <w:szCs w:val="24"/>
                <w:lang w:eastAsia="zh-CN" w:bidi="hi-IN"/>
              </w:rPr>
              <w:t>топе преласка потрошача</w:t>
            </w:r>
          </w:p>
        </w:tc>
      </w:tr>
      <w:tr w:rsidR="00854ADA" w:rsidRPr="00FF386D" w14:paraId="0D8D8772" w14:textId="77777777" w:rsidTr="0057310C">
        <w:trPr>
          <w:trHeight w:val="415"/>
        </w:trPr>
        <w:tc>
          <w:tcPr>
            <w:tcW w:w="3223" w:type="dxa"/>
            <w:tcBorders>
              <w:top w:val="nil"/>
              <w:left w:val="single" w:sz="8" w:space="0" w:color="auto"/>
              <w:bottom w:val="single" w:sz="8" w:space="0" w:color="auto"/>
              <w:right w:val="single" w:sz="8" w:space="0" w:color="auto"/>
            </w:tcBorders>
            <w:shd w:val="clear" w:color="000000" w:fill="244062"/>
            <w:vAlign w:val="center"/>
            <w:hideMark/>
          </w:tcPr>
          <w:p w14:paraId="0F33979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 Обухваћене релевантне димензије Енергетске уније</w:t>
            </w:r>
          </w:p>
        </w:tc>
        <w:tc>
          <w:tcPr>
            <w:tcW w:w="6265" w:type="dxa"/>
            <w:gridSpan w:val="3"/>
            <w:tcBorders>
              <w:top w:val="single" w:sz="8" w:space="0" w:color="auto"/>
              <w:left w:val="nil"/>
              <w:bottom w:val="single" w:sz="8" w:space="0" w:color="auto"/>
              <w:right w:val="single" w:sz="8" w:space="0" w:color="000000"/>
            </w:tcBorders>
            <w:vAlign w:val="center"/>
            <w:hideMark/>
          </w:tcPr>
          <w:p w14:paraId="494C4205"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p>
        </w:tc>
      </w:tr>
      <w:tr w:rsidR="00854ADA" w:rsidRPr="00FF386D" w14:paraId="2F2D4CD5" w14:textId="77777777" w:rsidTr="0057310C">
        <w:trPr>
          <w:trHeight w:val="450"/>
        </w:trPr>
        <w:tc>
          <w:tcPr>
            <w:tcW w:w="3223"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0991DAC9" w14:textId="7BF62BA8"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65"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B83179A" w14:textId="77777777" w:rsidR="00854ADA" w:rsidRPr="00FF386D" w:rsidRDefault="00854ADA" w:rsidP="00854ADA">
            <w:pPr>
              <w:numPr>
                <w:ilvl w:val="0"/>
                <w:numId w:val="73"/>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2009/73/EЗ</w:t>
            </w:r>
          </w:p>
        </w:tc>
      </w:tr>
      <w:tr w:rsidR="00854ADA" w:rsidRPr="00FF386D" w14:paraId="3EB09A8D"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77E951B4"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65" w:type="dxa"/>
            <w:gridSpan w:val="3"/>
            <w:vMerge/>
            <w:tcBorders>
              <w:top w:val="single" w:sz="8" w:space="0" w:color="auto"/>
              <w:left w:val="single" w:sz="8" w:space="0" w:color="auto"/>
              <w:bottom w:val="single" w:sz="8" w:space="0" w:color="000000"/>
              <w:right w:val="single" w:sz="8" w:space="0" w:color="000000"/>
            </w:tcBorders>
            <w:vAlign w:val="center"/>
            <w:hideMark/>
          </w:tcPr>
          <w:p w14:paraId="4CF06DC9" w14:textId="77777777" w:rsidR="00854ADA" w:rsidRPr="00FF386D" w:rsidRDefault="00854ADA" w:rsidP="00854ADA">
            <w:pPr>
              <w:numPr>
                <w:ilvl w:val="0"/>
                <w:numId w:val="73"/>
              </w:numPr>
              <w:spacing w:after="0" w:line="256" w:lineRule="auto"/>
              <w:contextualSpacing/>
              <w:rPr>
                <w:rFonts w:ascii="Calibri Light" w:eastAsia="Times New Roman" w:hAnsi="Calibri Light" w:cs="Calibri Light"/>
                <w:color w:val="000000"/>
                <w:sz w:val="20"/>
                <w:szCs w:val="20"/>
                <w:lang w:eastAsia="en-GB"/>
              </w:rPr>
            </w:pPr>
          </w:p>
        </w:tc>
      </w:tr>
      <w:tr w:rsidR="00854ADA" w:rsidRPr="00FF386D" w14:paraId="087C4C6C"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1825E798"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65" w:type="dxa"/>
            <w:gridSpan w:val="3"/>
            <w:vMerge/>
            <w:tcBorders>
              <w:top w:val="single" w:sz="8" w:space="0" w:color="auto"/>
              <w:left w:val="single" w:sz="8" w:space="0" w:color="auto"/>
              <w:bottom w:val="single" w:sz="8" w:space="0" w:color="000000"/>
              <w:right w:val="single" w:sz="8" w:space="0" w:color="000000"/>
            </w:tcBorders>
            <w:vAlign w:val="center"/>
            <w:hideMark/>
          </w:tcPr>
          <w:p w14:paraId="013279EE" w14:textId="77777777" w:rsidR="00854ADA" w:rsidRPr="00FF386D" w:rsidRDefault="00854ADA" w:rsidP="00854ADA">
            <w:pPr>
              <w:numPr>
                <w:ilvl w:val="0"/>
                <w:numId w:val="73"/>
              </w:numPr>
              <w:spacing w:after="0" w:line="256" w:lineRule="auto"/>
              <w:contextualSpacing/>
              <w:rPr>
                <w:rFonts w:ascii="Calibri Light" w:eastAsia="Times New Roman" w:hAnsi="Calibri Light" w:cs="Calibri Light"/>
                <w:color w:val="000000"/>
                <w:sz w:val="20"/>
                <w:szCs w:val="20"/>
                <w:lang w:eastAsia="en-GB"/>
              </w:rPr>
            </w:pPr>
          </w:p>
        </w:tc>
      </w:tr>
      <w:tr w:rsidR="00854ADA" w:rsidRPr="00FF386D" w14:paraId="200054CC" w14:textId="77777777" w:rsidTr="0057310C">
        <w:trPr>
          <w:trHeight w:val="780"/>
        </w:trPr>
        <w:tc>
          <w:tcPr>
            <w:tcW w:w="3223" w:type="dxa"/>
            <w:tcBorders>
              <w:top w:val="nil"/>
              <w:left w:val="single" w:sz="8" w:space="0" w:color="auto"/>
              <w:bottom w:val="single" w:sz="8" w:space="0" w:color="auto"/>
              <w:right w:val="single" w:sz="8" w:space="0" w:color="auto"/>
            </w:tcBorders>
            <w:shd w:val="clear" w:color="000000" w:fill="244062"/>
            <w:vAlign w:val="center"/>
            <w:hideMark/>
          </w:tcPr>
          <w:p w14:paraId="238C7E1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65" w:type="dxa"/>
            <w:gridSpan w:val="3"/>
            <w:tcBorders>
              <w:top w:val="single" w:sz="8" w:space="0" w:color="auto"/>
              <w:left w:val="nil"/>
              <w:bottom w:val="single" w:sz="8" w:space="0" w:color="auto"/>
              <w:right w:val="single" w:sz="8" w:space="0" w:color="000000"/>
            </w:tcBorders>
            <w:vAlign w:val="center"/>
            <w:hideMark/>
          </w:tcPr>
          <w:p w14:paraId="5FCEEA53" w14:textId="77777777" w:rsidR="00854ADA" w:rsidRPr="00FF386D" w:rsidRDefault="00854ADA" w:rsidP="00854ADA">
            <w:pPr>
              <w:numPr>
                <w:ilvl w:val="0"/>
                <w:numId w:val="73"/>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енергетици</w:t>
            </w:r>
          </w:p>
        </w:tc>
      </w:tr>
      <w:tr w:rsidR="00854ADA" w:rsidRPr="00FF386D" w14:paraId="36912C55" w14:textId="77777777" w:rsidTr="0057310C">
        <w:trPr>
          <w:trHeight w:val="315"/>
        </w:trPr>
        <w:tc>
          <w:tcPr>
            <w:tcW w:w="3223" w:type="dxa"/>
            <w:tcBorders>
              <w:top w:val="nil"/>
              <w:left w:val="single" w:sz="8" w:space="0" w:color="auto"/>
              <w:bottom w:val="single" w:sz="8" w:space="0" w:color="auto"/>
              <w:right w:val="single" w:sz="8" w:space="0" w:color="auto"/>
            </w:tcBorders>
            <w:shd w:val="clear" w:color="000000" w:fill="244062"/>
            <w:vAlign w:val="center"/>
            <w:hideMark/>
          </w:tcPr>
          <w:p w14:paraId="47C1E1C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65" w:type="dxa"/>
            <w:gridSpan w:val="3"/>
            <w:tcBorders>
              <w:top w:val="single" w:sz="8" w:space="0" w:color="auto"/>
              <w:left w:val="nil"/>
              <w:bottom w:val="single" w:sz="8" w:space="0" w:color="auto"/>
              <w:right w:val="single" w:sz="8" w:space="0" w:color="000000"/>
            </w:tcBorders>
            <w:vAlign w:val="center"/>
            <w:hideMark/>
          </w:tcPr>
          <w:p w14:paraId="73FFC764"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0,2 милиона евра</w:t>
            </w:r>
          </w:p>
        </w:tc>
      </w:tr>
      <w:tr w:rsidR="00854ADA" w:rsidRPr="00FF386D" w14:paraId="0EC827CE" w14:textId="77777777" w:rsidTr="0057310C">
        <w:trPr>
          <w:trHeight w:val="315"/>
        </w:trPr>
        <w:tc>
          <w:tcPr>
            <w:tcW w:w="3223" w:type="dxa"/>
            <w:tcBorders>
              <w:top w:val="nil"/>
              <w:left w:val="single" w:sz="8" w:space="0" w:color="auto"/>
              <w:bottom w:val="single" w:sz="8" w:space="0" w:color="auto"/>
              <w:right w:val="single" w:sz="8" w:space="0" w:color="auto"/>
            </w:tcBorders>
            <w:shd w:val="clear" w:color="000000" w:fill="244062"/>
            <w:vAlign w:val="center"/>
            <w:hideMark/>
          </w:tcPr>
          <w:p w14:paraId="7A5E8D0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65" w:type="dxa"/>
            <w:gridSpan w:val="3"/>
            <w:tcBorders>
              <w:top w:val="single" w:sz="8" w:space="0" w:color="auto"/>
              <w:left w:val="nil"/>
              <w:bottom w:val="single" w:sz="8" w:space="0" w:color="auto"/>
              <w:right w:val="single" w:sz="8" w:space="0" w:color="000000"/>
            </w:tcBorders>
            <w:vAlign w:val="center"/>
            <w:hideMark/>
          </w:tcPr>
          <w:p w14:paraId="1854F859" w14:textId="457AC1CA"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460244" w:rsidRPr="00FF386D">
              <w:rPr>
                <w:rFonts w:ascii="Calibri Light" w:eastAsia="Times New Roman" w:hAnsi="Calibri Light" w:cs="Calibri Light"/>
                <w:color w:val="000000"/>
                <w:sz w:val="20"/>
                <w:szCs w:val="20"/>
                <w:lang w:eastAsia="en-GB"/>
              </w:rPr>
              <w:t>ска средства</w:t>
            </w:r>
          </w:p>
        </w:tc>
      </w:tr>
    </w:tbl>
    <w:p w14:paraId="2FABC987"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22"/>
        <w:gridCol w:w="1309"/>
        <w:gridCol w:w="921"/>
        <w:gridCol w:w="4036"/>
      </w:tblGrid>
      <w:tr w:rsidR="00854ADA" w:rsidRPr="00FF386D" w14:paraId="33DD91D1" w14:textId="77777777" w:rsidTr="0057310C">
        <w:trPr>
          <w:trHeight w:val="780"/>
        </w:trPr>
        <w:tc>
          <w:tcPr>
            <w:tcW w:w="3222"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6C5F02A7" w14:textId="64C2D53E"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309" w:type="dxa"/>
            <w:tcBorders>
              <w:top w:val="single" w:sz="8" w:space="0" w:color="auto"/>
              <w:left w:val="nil"/>
              <w:bottom w:val="single" w:sz="8" w:space="0" w:color="auto"/>
              <w:right w:val="single" w:sz="8" w:space="0" w:color="auto"/>
            </w:tcBorders>
            <w:shd w:val="clear" w:color="auto" w:fill="E7E6E6" w:themeFill="background2"/>
            <w:vAlign w:val="center"/>
            <w:hideMark/>
          </w:tcPr>
          <w:p w14:paraId="13F5ACDE" w14:textId="4F5738D1"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МП_УЕ</w:t>
            </w:r>
            <w:r w:rsidR="00A33496" w:rsidRPr="00FF386D">
              <w:rPr>
                <w:rFonts w:ascii="Calibri Light" w:hAnsi="Calibri Light"/>
                <w:b/>
                <w:sz w:val="20"/>
              </w:rPr>
              <w:t>Т</w:t>
            </w:r>
            <w:r w:rsidRPr="00FF386D">
              <w:rPr>
                <w:rFonts w:ascii="Calibri Light" w:hAnsi="Calibri Light"/>
                <w:b/>
                <w:sz w:val="20"/>
              </w:rPr>
              <w:t>2</w:t>
            </w:r>
            <w:r w:rsidR="00460244" w:rsidRPr="00FF386D">
              <w:rPr>
                <w:rFonts w:ascii="Calibri Light" w:hAnsi="Calibri Light"/>
                <w:b/>
                <w:sz w:val="20"/>
              </w:rPr>
              <w:t>8</w:t>
            </w:r>
          </w:p>
        </w:tc>
        <w:tc>
          <w:tcPr>
            <w:tcW w:w="921" w:type="dxa"/>
            <w:tcBorders>
              <w:top w:val="single" w:sz="8" w:space="0" w:color="auto"/>
              <w:left w:val="nil"/>
              <w:bottom w:val="single" w:sz="8" w:space="0" w:color="auto"/>
              <w:right w:val="single" w:sz="8" w:space="0" w:color="auto"/>
            </w:tcBorders>
            <w:shd w:val="clear" w:color="auto" w:fill="244062"/>
            <w:vAlign w:val="center"/>
            <w:hideMark/>
          </w:tcPr>
          <w:p w14:paraId="52F57F36" w14:textId="77777777" w:rsidR="00854ADA" w:rsidRPr="00FF386D" w:rsidRDefault="00854ADA"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036" w:type="dxa"/>
            <w:tcBorders>
              <w:top w:val="single" w:sz="8" w:space="0" w:color="auto"/>
              <w:left w:val="nil"/>
              <w:bottom w:val="single" w:sz="8" w:space="0" w:color="auto"/>
              <w:right w:val="single" w:sz="8" w:space="0" w:color="auto"/>
            </w:tcBorders>
            <w:shd w:val="clear" w:color="auto" w:fill="E7E6E6" w:themeFill="background2"/>
            <w:vAlign w:val="center"/>
            <w:hideMark/>
          </w:tcPr>
          <w:p w14:paraId="2F1E2E28" w14:textId="71FBA6C3" w:rsidR="00854ADA" w:rsidRPr="00FF386D" w:rsidRDefault="00460244"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Израда</w:t>
            </w:r>
            <w:r w:rsidR="00854ADA" w:rsidRPr="00FF386D">
              <w:rPr>
                <w:rFonts w:ascii="Calibri Light" w:hAnsi="Calibri Light"/>
                <w:b/>
                <w:sz w:val="20"/>
              </w:rPr>
              <w:t xml:space="preserve"> Правила о раду Транспортгас Србија. </w:t>
            </w:r>
            <w:r w:rsidRPr="00FF386D">
              <w:rPr>
                <w:rFonts w:ascii="Calibri Light" w:hAnsi="Calibri Light"/>
                <w:b/>
                <w:sz w:val="20"/>
              </w:rPr>
              <w:t>Израда</w:t>
            </w:r>
            <w:r w:rsidR="00854ADA" w:rsidRPr="00FF386D">
              <w:rPr>
                <w:rFonts w:ascii="Calibri Light" w:hAnsi="Calibri Light"/>
                <w:b/>
                <w:sz w:val="20"/>
              </w:rPr>
              <w:t xml:space="preserve"> Правила о раду за </w:t>
            </w:r>
            <w:r w:rsidRPr="000A2AFE">
              <w:rPr>
                <w:rFonts w:ascii="Calibri Light" w:hAnsi="Calibri Light"/>
                <w:b/>
                <w:sz w:val="20"/>
              </w:rPr>
              <w:t>Yugorozgas</w:t>
            </w:r>
            <w:r w:rsidRPr="00FF386D">
              <w:rPr>
                <w:rFonts w:ascii="Calibri Light" w:hAnsi="Calibri Light"/>
                <w:b/>
                <w:sz w:val="20"/>
              </w:rPr>
              <w:t xml:space="preserve"> </w:t>
            </w:r>
            <w:r w:rsidRPr="000A2AFE">
              <w:rPr>
                <w:rFonts w:ascii="Calibri Light" w:hAnsi="Calibri Light"/>
                <w:b/>
                <w:sz w:val="20"/>
              </w:rPr>
              <w:t>Transport</w:t>
            </w:r>
          </w:p>
        </w:tc>
      </w:tr>
      <w:tr w:rsidR="00854ADA" w:rsidRPr="00FF386D" w14:paraId="54BEA4C8" w14:textId="77777777" w:rsidTr="0057310C">
        <w:trPr>
          <w:trHeight w:val="512"/>
        </w:trPr>
        <w:tc>
          <w:tcPr>
            <w:tcW w:w="3222" w:type="dxa"/>
            <w:tcBorders>
              <w:top w:val="nil"/>
              <w:left w:val="single" w:sz="8" w:space="0" w:color="auto"/>
              <w:bottom w:val="single" w:sz="8" w:space="0" w:color="auto"/>
              <w:right w:val="nil"/>
            </w:tcBorders>
            <w:shd w:val="clear" w:color="000000" w:fill="244062"/>
            <w:vAlign w:val="center"/>
            <w:hideMark/>
          </w:tcPr>
          <w:p w14:paraId="562FDE3C" w14:textId="217B8ECE"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66" w:type="dxa"/>
            <w:gridSpan w:val="3"/>
            <w:tcBorders>
              <w:top w:val="single" w:sz="8" w:space="0" w:color="auto"/>
              <w:left w:val="nil"/>
              <w:bottom w:val="single" w:sz="8" w:space="0" w:color="auto"/>
              <w:right w:val="single" w:sz="8" w:space="0" w:color="000000"/>
            </w:tcBorders>
            <w:vAlign w:val="center"/>
          </w:tcPr>
          <w:p w14:paraId="056D7F70"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Заштита потрошача и побољшање конкуренције, омогућавање ЕЕ на страни снабдевања (путем смањења губитака)</w:t>
            </w:r>
          </w:p>
        </w:tc>
      </w:tr>
      <w:tr w:rsidR="00854ADA" w:rsidRPr="00FF386D" w14:paraId="0938A6A2" w14:textId="77777777" w:rsidTr="0057310C">
        <w:trPr>
          <w:trHeight w:val="315"/>
        </w:trPr>
        <w:tc>
          <w:tcPr>
            <w:tcW w:w="3222" w:type="dxa"/>
            <w:tcBorders>
              <w:top w:val="nil"/>
              <w:left w:val="single" w:sz="8" w:space="0" w:color="auto"/>
              <w:bottom w:val="single" w:sz="8" w:space="0" w:color="auto"/>
              <w:right w:val="single" w:sz="8" w:space="0" w:color="auto"/>
            </w:tcBorders>
            <w:shd w:val="clear" w:color="000000" w:fill="244062"/>
            <w:vAlign w:val="center"/>
            <w:hideMark/>
          </w:tcPr>
          <w:p w14:paraId="30C4763B" w14:textId="1C22422A"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66" w:type="dxa"/>
            <w:gridSpan w:val="3"/>
            <w:tcBorders>
              <w:top w:val="single" w:sz="8" w:space="0" w:color="auto"/>
              <w:left w:val="nil"/>
              <w:bottom w:val="single" w:sz="8" w:space="0" w:color="auto"/>
              <w:right w:val="single" w:sz="8" w:space="0" w:color="000000"/>
            </w:tcBorders>
            <w:vAlign w:val="center"/>
          </w:tcPr>
          <w:p w14:paraId="7BF88CA6" w14:textId="77777777" w:rsidR="00854ADA" w:rsidRPr="00FF386D" w:rsidRDefault="00854ADA" w:rsidP="00854ADA">
            <w:pPr>
              <w:spacing w:after="0" w:line="240" w:lineRule="auto"/>
              <w:jc w:val="both"/>
              <w:rPr>
                <w:rFonts w:ascii="Calibri" w:eastAsia="Times New Roman" w:hAnsi="Calibri" w:cs="Calibri"/>
                <w:color w:val="000000"/>
                <w:lang w:eastAsia="en-GB"/>
              </w:rPr>
            </w:pPr>
          </w:p>
        </w:tc>
      </w:tr>
      <w:tr w:rsidR="00854ADA" w:rsidRPr="00FF386D" w14:paraId="79EF68D2" w14:textId="77777777" w:rsidTr="0057310C">
        <w:trPr>
          <w:trHeight w:val="481"/>
        </w:trPr>
        <w:tc>
          <w:tcPr>
            <w:tcW w:w="3222" w:type="dxa"/>
            <w:tcBorders>
              <w:top w:val="nil"/>
              <w:left w:val="single" w:sz="8" w:space="0" w:color="auto"/>
              <w:bottom w:val="single" w:sz="8" w:space="0" w:color="auto"/>
              <w:right w:val="single" w:sz="8" w:space="0" w:color="auto"/>
            </w:tcBorders>
            <w:shd w:val="clear" w:color="000000" w:fill="244062"/>
            <w:vAlign w:val="center"/>
            <w:hideMark/>
          </w:tcPr>
          <w:p w14:paraId="5D5D3EB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Опис:</w:t>
            </w:r>
          </w:p>
        </w:tc>
        <w:tc>
          <w:tcPr>
            <w:tcW w:w="6266" w:type="dxa"/>
            <w:gridSpan w:val="3"/>
            <w:tcBorders>
              <w:top w:val="single" w:sz="8" w:space="0" w:color="auto"/>
              <w:left w:val="nil"/>
              <w:bottom w:val="single" w:sz="8" w:space="0" w:color="auto"/>
              <w:right w:val="single" w:sz="8" w:space="0" w:color="000000"/>
            </w:tcBorders>
            <w:vAlign w:val="center"/>
            <w:hideMark/>
          </w:tcPr>
          <w:p w14:paraId="5D3CA0BD" w14:textId="69510A1D"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Потребно је да се израде Правила о раду транспортног система Транспортгас Србија, и да се ажурирају Правила о раду </w:t>
            </w:r>
            <w:r w:rsidR="00992B35" w:rsidRPr="000A2AFE">
              <w:rPr>
                <w:rFonts w:ascii="Calibri Light" w:hAnsi="Calibri Light"/>
                <w:bCs/>
                <w:sz w:val="20"/>
              </w:rPr>
              <w:t>Yugorozgas</w:t>
            </w:r>
            <w:r w:rsidR="00992B35" w:rsidRPr="00FF386D">
              <w:rPr>
                <w:rFonts w:ascii="Calibri Light" w:hAnsi="Calibri Light"/>
                <w:bCs/>
                <w:sz w:val="20"/>
              </w:rPr>
              <w:t xml:space="preserve"> </w:t>
            </w:r>
            <w:r w:rsidR="00992B35" w:rsidRPr="000A2AFE">
              <w:rPr>
                <w:rFonts w:ascii="Calibri Light" w:hAnsi="Calibri Light"/>
                <w:bCs/>
                <w:sz w:val="20"/>
              </w:rPr>
              <w:t>Transporta</w:t>
            </w:r>
            <w:r w:rsidR="00992B35" w:rsidRPr="00FF386D">
              <w:rPr>
                <w:rFonts w:ascii="Calibri Light" w:hAnsi="Calibri Light"/>
                <w:sz w:val="20"/>
              </w:rPr>
              <w:t xml:space="preserve"> </w:t>
            </w:r>
            <w:r w:rsidRPr="00FF386D">
              <w:rPr>
                <w:rFonts w:ascii="Calibri Light" w:hAnsi="Calibri Light"/>
                <w:sz w:val="20"/>
              </w:rPr>
              <w:t>како би се ускладил</w:t>
            </w:r>
            <w:r w:rsidR="005E3D7E" w:rsidRPr="00FF386D">
              <w:rPr>
                <w:rFonts w:ascii="Calibri Light" w:hAnsi="Calibri Light"/>
                <w:sz w:val="20"/>
              </w:rPr>
              <w:t>а</w:t>
            </w:r>
            <w:r w:rsidRPr="00FF386D">
              <w:rPr>
                <w:rFonts w:ascii="Calibri Light" w:hAnsi="Calibri Light"/>
                <w:sz w:val="20"/>
              </w:rPr>
              <w:t xml:space="preserve"> са свим одредбама Уредбе (ЕУ) 715/2009</w:t>
            </w:r>
            <w:r w:rsidR="00A33496" w:rsidRPr="00FF386D">
              <w:rPr>
                <w:rFonts w:ascii="Calibri Light" w:hAnsi="Calibri Light"/>
                <w:sz w:val="20"/>
              </w:rPr>
              <w:t xml:space="preserve"> и извршило</w:t>
            </w:r>
            <w:r w:rsidRPr="00FF386D">
              <w:rPr>
                <w:rFonts w:ascii="Calibri Light" w:hAnsi="Calibri Light"/>
                <w:sz w:val="20"/>
              </w:rPr>
              <w:t xml:space="preserve"> транспон</w:t>
            </w:r>
            <w:r w:rsidR="00A33496" w:rsidRPr="00FF386D">
              <w:rPr>
                <w:rFonts w:ascii="Calibri Light" w:hAnsi="Calibri Light"/>
                <w:sz w:val="20"/>
              </w:rPr>
              <w:t>овање</w:t>
            </w:r>
            <w:r w:rsidRPr="00FF386D">
              <w:rPr>
                <w:rFonts w:ascii="Calibri Light" w:hAnsi="Calibri Light"/>
                <w:sz w:val="20"/>
              </w:rPr>
              <w:t xml:space="preserve"> </w:t>
            </w:r>
            <w:r w:rsidR="001F7487" w:rsidRPr="00FF386D">
              <w:rPr>
                <w:rFonts w:ascii="Calibri Light" w:hAnsi="Calibri Light"/>
                <w:sz w:val="20"/>
              </w:rPr>
              <w:t>у</w:t>
            </w:r>
            <w:r w:rsidRPr="00FF386D">
              <w:rPr>
                <w:rFonts w:ascii="Calibri Light" w:hAnsi="Calibri Light"/>
                <w:sz w:val="20"/>
              </w:rPr>
              <w:t>редб</w:t>
            </w:r>
            <w:r w:rsidR="00992B35" w:rsidRPr="00FF386D">
              <w:rPr>
                <w:rFonts w:ascii="Calibri Light" w:hAnsi="Calibri Light"/>
                <w:sz w:val="20"/>
              </w:rPr>
              <w:t>и</w:t>
            </w:r>
            <w:r w:rsidRPr="00FF386D">
              <w:rPr>
                <w:rFonts w:ascii="Calibri Light" w:hAnsi="Calibri Light"/>
                <w:sz w:val="20"/>
              </w:rPr>
              <w:t xml:space="preserve"> (ЕУ) 459/2017 и 312/2014.</w:t>
            </w:r>
          </w:p>
        </w:tc>
      </w:tr>
      <w:tr w:rsidR="00854ADA" w:rsidRPr="00FF386D" w14:paraId="17CC26D3" w14:textId="77777777" w:rsidTr="0057310C">
        <w:trPr>
          <w:trHeight w:val="315"/>
        </w:trPr>
        <w:tc>
          <w:tcPr>
            <w:tcW w:w="3222" w:type="dxa"/>
            <w:tcBorders>
              <w:top w:val="nil"/>
              <w:left w:val="single" w:sz="8" w:space="0" w:color="auto"/>
              <w:bottom w:val="single" w:sz="8" w:space="0" w:color="auto"/>
              <w:right w:val="single" w:sz="8" w:space="0" w:color="auto"/>
            </w:tcBorders>
            <w:shd w:val="clear" w:color="000000" w:fill="244062"/>
            <w:vAlign w:val="center"/>
            <w:hideMark/>
          </w:tcPr>
          <w:p w14:paraId="70952B4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66" w:type="dxa"/>
            <w:gridSpan w:val="3"/>
            <w:tcBorders>
              <w:top w:val="single" w:sz="8" w:space="0" w:color="auto"/>
              <w:left w:val="nil"/>
              <w:bottom w:val="single" w:sz="8" w:space="0" w:color="auto"/>
              <w:right w:val="single" w:sz="8" w:space="0" w:color="000000"/>
            </w:tcBorders>
            <w:vAlign w:val="center"/>
            <w:hideMark/>
          </w:tcPr>
          <w:p w14:paraId="25AA780C"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2023.</w:t>
            </w:r>
          </w:p>
        </w:tc>
      </w:tr>
      <w:tr w:rsidR="00854ADA" w:rsidRPr="00FF386D" w14:paraId="00C98B56" w14:textId="77777777" w:rsidTr="0057310C">
        <w:trPr>
          <w:trHeight w:val="315"/>
        </w:trPr>
        <w:tc>
          <w:tcPr>
            <w:tcW w:w="3222" w:type="dxa"/>
            <w:tcBorders>
              <w:top w:val="nil"/>
              <w:left w:val="single" w:sz="8" w:space="0" w:color="auto"/>
              <w:bottom w:val="single" w:sz="8" w:space="0" w:color="auto"/>
              <w:right w:val="single" w:sz="8" w:space="0" w:color="auto"/>
            </w:tcBorders>
            <w:shd w:val="clear" w:color="000000" w:fill="244062"/>
            <w:vAlign w:val="center"/>
            <w:hideMark/>
          </w:tcPr>
          <w:p w14:paraId="0DFA248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66" w:type="dxa"/>
            <w:gridSpan w:val="3"/>
            <w:tcBorders>
              <w:top w:val="single" w:sz="8" w:space="0" w:color="auto"/>
              <w:left w:val="nil"/>
              <w:bottom w:val="single" w:sz="8" w:space="0" w:color="auto"/>
              <w:right w:val="single" w:sz="8" w:space="0" w:color="000000"/>
            </w:tcBorders>
            <w:vAlign w:val="center"/>
            <w:hideMark/>
          </w:tcPr>
          <w:p w14:paraId="5058FC07"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Реформа</w:t>
            </w:r>
          </w:p>
        </w:tc>
      </w:tr>
      <w:tr w:rsidR="00854ADA" w:rsidRPr="00FF386D" w14:paraId="6483667F" w14:textId="77777777" w:rsidTr="0057310C">
        <w:trPr>
          <w:trHeight w:val="315"/>
        </w:trPr>
        <w:tc>
          <w:tcPr>
            <w:tcW w:w="3222" w:type="dxa"/>
            <w:tcBorders>
              <w:top w:val="nil"/>
              <w:left w:val="single" w:sz="8" w:space="0" w:color="auto"/>
              <w:bottom w:val="single" w:sz="8" w:space="0" w:color="auto"/>
              <w:right w:val="single" w:sz="8" w:space="0" w:color="auto"/>
            </w:tcBorders>
            <w:shd w:val="clear" w:color="000000" w:fill="244062"/>
            <w:vAlign w:val="center"/>
            <w:hideMark/>
          </w:tcPr>
          <w:p w14:paraId="4EF3203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66" w:type="dxa"/>
            <w:gridSpan w:val="3"/>
            <w:tcBorders>
              <w:top w:val="single" w:sz="8" w:space="0" w:color="auto"/>
              <w:left w:val="nil"/>
              <w:bottom w:val="single" w:sz="8" w:space="0" w:color="auto"/>
              <w:right w:val="single" w:sz="8" w:space="0" w:color="000000"/>
            </w:tcBorders>
            <w:vAlign w:val="center"/>
            <w:hideMark/>
          </w:tcPr>
          <w:p w14:paraId="60277369"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Гас</w:t>
            </w:r>
          </w:p>
        </w:tc>
      </w:tr>
      <w:tr w:rsidR="00854ADA" w:rsidRPr="00FF386D" w14:paraId="1147744C" w14:textId="77777777" w:rsidTr="0057310C">
        <w:trPr>
          <w:trHeight w:val="315"/>
        </w:trPr>
        <w:tc>
          <w:tcPr>
            <w:tcW w:w="3222" w:type="dxa"/>
            <w:tcBorders>
              <w:top w:val="nil"/>
              <w:left w:val="single" w:sz="8" w:space="0" w:color="auto"/>
              <w:bottom w:val="single" w:sz="8" w:space="0" w:color="auto"/>
              <w:right w:val="single" w:sz="8" w:space="0" w:color="auto"/>
            </w:tcBorders>
            <w:shd w:val="clear" w:color="000000" w:fill="244062"/>
            <w:vAlign w:val="center"/>
            <w:hideMark/>
          </w:tcPr>
          <w:p w14:paraId="200010C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66" w:type="dxa"/>
            <w:gridSpan w:val="3"/>
            <w:tcBorders>
              <w:top w:val="single" w:sz="8" w:space="0" w:color="auto"/>
              <w:left w:val="nil"/>
              <w:bottom w:val="single" w:sz="8" w:space="0" w:color="auto"/>
              <w:right w:val="single" w:sz="8" w:space="0" w:color="000000"/>
            </w:tcBorders>
            <w:vAlign w:val="center"/>
            <w:hideMark/>
          </w:tcPr>
          <w:p w14:paraId="3D9122D9" w14:textId="77777777" w:rsidR="00854ADA" w:rsidRPr="00FF386D" w:rsidRDefault="00854ADA" w:rsidP="00854ADA">
            <w:pPr>
              <w:numPr>
                <w:ilvl w:val="0"/>
                <w:numId w:val="74"/>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Транспортгас</w:t>
            </w:r>
          </w:p>
          <w:p w14:paraId="03F2B647" w14:textId="63394482" w:rsidR="00854ADA" w:rsidRPr="00FF386D" w:rsidRDefault="001F7487" w:rsidP="00854ADA">
            <w:pPr>
              <w:numPr>
                <w:ilvl w:val="0"/>
                <w:numId w:val="74"/>
              </w:numPr>
              <w:spacing w:after="0" w:line="240" w:lineRule="auto"/>
              <w:contextualSpacing/>
              <w:jc w:val="both"/>
              <w:rPr>
                <w:rFonts w:ascii="Calibri Light" w:eastAsia="Times New Roman" w:hAnsi="Calibri Light" w:cs="Calibri Light"/>
                <w:bCs/>
                <w:color w:val="000000"/>
                <w:sz w:val="20"/>
                <w:szCs w:val="20"/>
                <w:lang w:eastAsia="en-GB"/>
              </w:rPr>
            </w:pPr>
            <w:r w:rsidRPr="000A2AFE">
              <w:rPr>
                <w:rFonts w:ascii="Calibri Light" w:hAnsi="Calibri Light"/>
                <w:bCs/>
                <w:sz w:val="20"/>
              </w:rPr>
              <w:t>Yugorozgas</w:t>
            </w:r>
            <w:r w:rsidRPr="00FF386D">
              <w:rPr>
                <w:rFonts w:ascii="Calibri Light" w:hAnsi="Calibri Light"/>
                <w:bCs/>
                <w:sz w:val="20"/>
              </w:rPr>
              <w:t xml:space="preserve"> </w:t>
            </w:r>
            <w:r w:rsidRPr="000A2AFE">
              <w:rPr>
                <w:rFonts w:ascii="Calibri Light" w:hAnsi="Calibri Light"/>
                <w:bCs/>
                <w:sz w:val="20"/>
              </w:rPr>
              <w:t>Transport</w:t>
            </w:r>
          </w:p>
        </w:tc>
      </w:tr>
      <w:tr w:rsidR="00854ADA" w:rsidRPr="00FF386D" w14:paraId="392F5B50" w14:textId="77777777" w:rsidTr="0057310C">
        <w:trPr>
          <w:trHeight w:val="315"/>
        </w:trPr>
        <w:tc>
          <w:tcPr>
            <w:tcW w:w="3222" w:type="dxa"/>
            <w:tcBorders>
              <w:top w:val="nil"/>
              <w:left w:val="single" w:sz="8" w:space="0" w:color="auto"/>
              <w:bottom w:val="single" w:sz="8" w:space="0" w:color="auto"/>
              <w:right w:val="nil"/>
            </w:tcBorders>
            <w:shd w:val="clear" w:color="000000" w:fill="244062"/>
            <w:vAlign w:val="center"/>
            <w:hideMark/>
          </w:tcPr>
          <w:p w14:paraId="7D454B6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66" w:type="dxa"/>
            <w:gridSpan w:val="3"/>
            <w:tcBorders>
              <w:top w:val="single" w:sz="8" w:space="0" w:color="auto"/>
              <w:left w:val="nil"/>
              <w:bottom w:val="single" w:sz="8" w:space="0" w:color="auto"/>
              <w:right w:val="single" w:sz="8" w:space="0" w:color="000000"/>
            </w:tcBorders>
            <w:vAlign w:val="center"/>
            <w:hideMark/>
          </w:tcPr>
          <w:p w14:paraId="666B3078" w14:textId="77777777" w:rsidR="00854ADA" w:rsidRPr="00FF386D" w:rsidRDefault="00854ADA" w:rsidP="00854ADA">
            <w:pPr>
              <w:numPr>
                <w:ilvl w:val="0"/>
                <w:numId w:val="74"/>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АЕРС</w:t>
            </w:r>
          </w:p>
        </w:tc>
      </w:tr>
      <w:tr w:rsidR="00854ADA" w:rsidRPr="00FF386D" w14:paraId="13E0C9FB" w14:textId="77777777" w:rsidTr="0057310C">
        <w:trPr>
          <w:trHeight w:val="315"/>
        </w:trPr>
        <w:tc>
          <w:tcPr>
            <w:tcW w:w="3222" w:type="dxa"/>
            <w:tcBorders>
              <w:top w:val="nil"/>
              <w:left w:val="single" w:sz="8" w:space="0" w:color="auto"/>
              <w:bottom w:val="single" w:sz="8" w:space="0" w:color="auto"/>
              <w:right w:val="nil"/>
            </w:tcBorders>
            <w:shd w:val="clear" w:color="000000" w:fill="244062"/>
            <w:vAlign w:val="center"/>
            <w:hideMark/>
          </w:tcPr>
          <w:p w14:paraId="68CEDF3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66" w:type="dxa"/>
            <w:gridSpan w:val="3"/>
            <w:tcBorders>
              <w:top w:val="single" w:sz="8" w:space="0" w:color="auto"/>
              <w:left w:val="nil"/>
              <w:bottom w:val="single" w:sz="8" w:space="0" w:color="auto"/>
              <w:right w:val="single" w:sz="8" w:space="0" w:color="000000"/>
            </w:tcBorders>
            <w:vAlign w:val="center"/>
            <w:hideMark/>
          </w:tcPr>
          <w:p w14:paraId="6356CC19" w14:textId="3B2F2DD9"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Усвајање Правила о раду Транспортгас Србија и ажурирање правила о раду </w:t>
            </w:r>
            <w:r w:rsidR="00275ED5" w:rsidRPr="000A2AFE">
              <w:rPr>
                <w:rFonts w:ascii="Calibri Light" w:hAnsi="Calibri Light"/>
                <w:bCs/>
                <w:sz w:val="20"/>
              </w:rPr>
              <w:t>Yugorozgas</w:t>
            </w:r>
            <w:r w:rsidR="00275ED5" w:rsidRPr="00FF386D">
              <w:rPr>
                <w:rFonts w:ascii="Calibri Light" w:hAnsi="Calibri Light"/>
                <w:bCs/>
                <w:sz w:val="20"/>
              </w:rPr>
              <w:t xml:space="preserve"> </w:t>
            </w:r>
            <w:r w:rsidR="00275ED5" w:rsidRPr="000A2AFE">
              <w:rPr>
                <w:rFonts w:ascii="Calibri Light" w:hAnsi="Calibri Light"/>
                <w:bCs/>
                <w:sz w:val="20"/>
              </w:rPr>
              <w:t>Transport</w:t>
            </w:r>
          </w:p>
        </w:tc>
      </w:tr>
      <w:tr w:rsidR="00854ADA" w:rsidRPr="00FF386D" w14:paraId="14312D31" w14:textId="77777777" w:rsidTr="0057310C">
        <w:trPr>
          <w:trHeight w:val="726"/>
        </w:trPr>
        <w:tc>
          <w:tcPr>
            <w:tcW w:w="3222" w:type="dxa"/>
            <w:tcBorders>
              <w:top w:val="nil"/>
              <w:left w:val="single" w:sz="8" w:space="0" w:color="auto"/>
              <w:bottom w:val="single" w:sz="8" w:space="0" w:color="auto"/>
              <w:right w:val="single" w:sz="8" w:space="0" w:color="auto"/>
            </w:tcBorders>
            <w:shd w:val="clear" w:color="000000" w:fill="244062"/>
            <w:vAlign w:val="center"/>
            <w:hideMark/>
          </w:tcPr>
          <w:p w14:paraId="31B14F1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66" w:type="dxa"/>
            <w:gridSpan w:val="3"/>
            <w:tcBorders>
              <w:top w:val="single" w:sz="8" w:space="0" w:color="auto"/>
              <w:left w:val="nil"/>
              <w:bottom w:val="single" w:sz="8" w:space="0" w:color="auto"/>
              <w:right w:val="single" w:sz="8" w:space="0" w:color="000000"/>
            </w:tcBorders>
            <w:vAlign w:val="center"/>
            <w:hideMark/>
          </w:tcPr>
          <w:p w14:paraId="7A331172" w14:textId="77777777"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p>
        </w:tc>
      </w:tr>
      <w:tr w:rsidR="00854ADA" w:rsidRPr="00FF386D" w14:paraId="45A8C168" w14:textId="77777777" w:rsidTr="0057310C">
        <w:trPr>
          <w:trHeight w:val="450"/>
        </w:trPr>
        <w:tc>
          <w:tcPr>
            <w:tcW w:w="3222"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3D9F5E22" w14:textId="4727FF63"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66"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25EB1412" w14:textId="77777777" w:rsidR="00854ADA" w:rsidRPr="000A2AFE" w:rsidRDefault="00854ADA" w:rsidP="00854ADA">
            <w:pPr>
              <w:numPr>
                <w:ilvl w:val="0"/>
                <w:numId w:val="74"/>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Уредба </w:t>
            </w:r>
            <w:r w:rsidRPr="000A2AFE">
              <w:rPr>
                <w:rFonts w:ascii="Calibri Light" w:eastAsia="Times New Roman" w:hAnsi="Calibri Light" w:cs="Calibri Light"/>
                <w:color w:val="000000"/>
                <w:sz w:val="20"/>
                <w:szCs w:val="20"/>
                <w:lang w:eastAsia="en-GB"/>
              </w:rPr>
              <w:t>2009/715</w:t>
            </w:r>
          </w:p>
          <w:p w14:paraId="466DC896" w14:textId="77777777" w:rsidR="00854ADA" w:rsidRPr="000A2AFE" w:rsidRDefault="00854ADA" w:rsidP="00854ADA">
            <w:pPr>
              <w:numPr>
                <w:ilvl w:val="0"/>
                <w:numId w:val="74"/>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Уредба </w:t>
            </w:r>
            <w:r w:rsidRPr="000A2AFE">
              <w:rPr>
                <w:rFonts w:ascii="Calibri Light" w:eastAsia="Times New Roman" w:hAnsi="Calibri Light" w:cs="Calibri Light"/>
                <w:color w:val="000000"/>
                <w:sz w:val="20"/>
                <w:szCs w:val="20"/>
                <w:lang w:eastAsia="en-GB"/>
              </w:rPr>
              <w:t>(</w:t>
            </w:r>
            <w:r w:rsidRPr="00FF386D">
              <w:rPr>
                <w:rFonts w:ascii="Calibri Light" w:hAnsi="Calibri Light"/>
                <w:color w:val="000000"/>
                <w:sz w:val="20"/>
              </w:rPr>
              <w:t>ЕУ</w:t>
            </w:r>
            <w:r w:rsidRPr="000A2AFE">
              <w:rPr>
                <w:rFonts w:ascii="Calibri Light" w:eastAsia="Times New Roman" w:hAnsi="Calibri Light" w:cs="Calibri Light"/>
                <w:color w:val="000000"/>
                <w:sz w:val="20"/>
                <w:szCs w:val="20"/>
                <w:lang w:eastAsia="en-GB"/>
              </w:rPr>
              <w:t>) 2017/459</w:t>
            </w:r>
          </w:p>
          <w:p w14:paraId="7CB4F85B" w14:textId="77777777" w:rsidR="00854ADA" w:rsidRPr="00FF386D" w:rsidRDefault="00854ADA" w:rsidP="00854ADA">
            <w:pPr>
              <w:numPr>
                <w:ilvl w:val="0"/>
                <w:numId w:val="74"/>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Уредба </w:t>
            </w:r>
            <w:r w:rsidRPr="000A2AFE">
              <w:rPr>
                <w:rFonts w:ascii="Calibri Light" w:eastAsia="Times New Roman" w:hAnsi="Calibri Light" w:cs="Calibri Light"/>
                <w:color w:val="000000"/>
                <w:sz w:val="20"/>
                <w:szCs w:val="20"/>
                <w:lang w:eastAsia="en-GB"/>
              </w:rPr>
              <w:t>(</w:t>
            </w:r>
            <w:r w:rsidRPr="00FF386D">
              <w:rPr>
                <w:rFonts w:ascii="Calibri Light" w:hAnsi="Calibri Light"/>
                <w:color w:val="000000"/>
                <w:sz w:val="20"/>
              </w:rPr>
              <w:t>ЕУ</w:t>
            </w:r>
            <w:r w:rsidRPr="000A2AFE">
              <w:rPr>
                <w:rFonts w:ascii="Calibri Light" w:eastAsia="Times New Roman" w:hAnsi="Calibri Light" w:cs="Calibri Light"/>
                <w:color w:val="000000"/>
                <w:sz w:val="20"/>
                <w:szCs w:val="20"/>
                <w:lang w:eastAsia="en-GB"/>
              </w:rPr>
              <w:t>) 2014/312</w:t>
            </w:r>
          </w:p>
        </w:tc>
      </w:tr>
      <w:tr w:rsidR="00854ADA" w:rsidRPr="00FF386D" w14:paraId="7DB6566C"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7610807B"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66" w:type="dxa"/>
            <w:gridSpan w:val="3"/>
            <w:vMerge/>
            <w:tcBorders>
              <w:top w:val="single" w:sz="8" w:space="0" w:color="auto"/>
              <w:left w:val="single" w:sz="8" w:space="0" w:color="auto"/>
              <w:bottom w:val="single" w:sz="8" w:space="0" w:color="000000"/>
              <w:right w:val="single" w:sz="8" w:space="0" w:color="000000"/>
            </w:tcBorders>
            <w:vAlign w:val="center"/>
            <w:hideMark/>
          </w:tcPr>
          <w:p w14:paraId="721DD662"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6297DB1F"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571E71EE"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66" w:type="dxa"/>
            <w:gridSpan w:val="3"/>
            <w:vMerge/>
            <w:tcBorders>
              <w:top w:val="single" w:sz="8" w:space="0" w:color="auto"/>
              <w:left w:val="single" w:sz="8" w:space="0" w:color="auto"/>
              <w:bottom w:val="single" w:sz="8" w:space="0" w:color="000000"/>
              <w:right w:val="single" w:sz="8" w:space="0" w:color="000000"/>
            </w:tcBorders>
            <w:vAlign w:val="center"/>
            <w:hideMark/>
          </w:tcPr>
          <w:p w14:paraId="4605ABAD"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232A046F" w14:textId="77777777" w:rsidTr="0057310C">
        <w:trPr>
          <w:trHeight w:val="780"/>
        </w:trPr>
        <w:tc>
          <w:tcPr>
            <w:tcW w:w="3222" w:type="dxa"/>
            <w:tcBorders>
              <w:top w:val="nil"/>
              <w:left w:val="single" w:sz="8" w:space="0" w:color="auto"/>
              <w:bottom w:val="single" w:sz="8" w:space="0" w:color="auto"/>
              <w:right w:val="single" w:sz="8" w:space="0" w:color="auto"/>
            </w:tcBorders>
            <w:shd w:val="clear" w:color="000000" w:fill="244062"/>
            <w:vAlign w:val="center"/>
            <w:hideMark/>
          </w:tcPr>
          <w:p w14:paraId="76BE14D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66" w:type="dxa"/>
            <w:gridSpan w:val="3"/>
            <w:tcBorders>
              <w:top w:val="single" w:sz="8" w:space="0" w:color="auto"/>
              <w:left w:val="nil"/>
              <w:bottom w:val="single" w:sz="8" w:space="0" w:color="auto"/>
              <w:right w:val="single" w:sz="8" w:space="0" w:color="000000"/>
            </w:tcBorders>
            <w:vAlign w:val="center"/>
            <w:hideMark/>
          </w:tcPr>
          <w:p w14:paraId="7532817A" w14:textId="77777777" w:rsidR="00854ADA" w:rsidRPr="00FF386D" w:rsidRDefault="00854ADA" w:rsidP="00854ADA">
            <w:pPr>
              <w:numPr>
                <w:ilvl w:val="0"/>
                <w:numId w:val="74"/>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Закон о енергетици</w:t>
            </w:r>
          </w:p>
          <w:p w14:paraId="2D9E0B73" w14:textId="77777777" w:rsidR="00854ADA" w:rsidRPr="00FF386D" w:rsidRDefault="00854ADA" w:rsidP="00854ADA">
            <w:pPr>
              <w:numPr>
                <w:ilvl w:val="0"/>
                <w:numId w:val="74"/>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Правила о раду Србијагаса</w:t>
            </w:r>
          </w:p>
        </w:tc>
      </w:tr>
      <w:tr w:rsidR="00854ADA" w:rsidRPr="00FF386D" w14:paraId="03F166E4" w14:textId="77777777" w:rsidTr="0057310C">
        <w:trPr>
          <w:trHeight w:val="315"/>
        </w:trPr>
        <w:tc>
          <w:tcPr>
            <w:tcW w:w="3222" w:type="dxa"/>
            <w:tcBorders>
              <w:top w:val="nil"/>
              <w:left w:val="single" w:sz="8" w:space="0" w:color="auto"/>
              <w:bottom w:val="single" w:sz="8" w:space="0" w:color="auto"/>
              <w:right w:val="single" w:sz="8" w:space="0" w:color="auto"/>
            </w:tcBorders>
            <w:shd w:val="clear" w:color="000000" w:fill="244062"/>
            <w:vAlign w:val="center"/>
            <w:hideMark/>
          </w:tcPr>
          <w:p w14:paraId="1DF8DF0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66" w:type="dxa"/>
            <w:gridSpan w:val="3"/>
            <w:tcBorders>
              <w:top w:val="single" w:sz="8" w:space="0" w:color="auto"/>
              <w:left w:val="nil"/>
              <w:bottom w:val="single" w:sz="8" w:space="0" w:color="auto"/>
              <w:right w:val="single" w:sz="8" w:space="0" w:color="000000"/>
            </w:tcBorders>
            <w:vAlign w:val="center"/>
            <w:hideMark/>
          </w:tcPr>
          <w:p w14:paraId="6F900A8B"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0,2 милиона евра</w:t>
            </w:r>
          </w:p>
        </w:tc>
      </w:tr>
      <w:tr w:rsidR="00854ADA" w:rsidRPr="00FF386D" w14:paraId="10434A51" w14:textId="77777777" w:rsidTr="0057310C">
        <w:trPr>
          <w:trHeight w:val="315"/>
        </w:trPr>
        <w:tc>
          <w:tcPr>
            <w:tcW w:w="3222" w:type="dxa"/>
            <w:tcBorders>
              <w:top w:val="nil"/>
              <w:left w:val="single" w:sz="8" w:space="0" w:color="auto"/>
              <w:bottom w:val="single" w:sz="8" w:space="0" w:color="auto"/>
              <w:right w:val="single" w:sz="8" w:space="0" w:color="auto"/>
            </w:tcBorders>
            <w:shd w:val="clear" w:color="000000" w:fill="244062"/>
            <w:vAlign w:val="center"/>
            <w:hideMark/>
          </w:tcPr>
          <w:p w14:paraId="5F04FDF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66" w:type="dxa"/>
            <w:gridSpan w:val="3"/>
            <w:tcBorders>
              <w:top w:val="single" w:sz="8" w:space="0" w:color="auto"/>
              <w:left w:val="nil"/>
              <w:bottom w:val="single" w:sz="8" w:space="0" w:color="auto"/>
              <w:right w:val="single" w:sz="8" w:space="0" w:color="000000"/>
            </w:tcBorders>
            <w:vAlign w:val="center"/>
            <w:hideMark/>
          </w:tcPr>
          <w:p w14:paraId="5D909F7C" w14:textId="4BC4A477"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460244" w:rsidRPr="00FF386D">
              <w:rPr>
                <w:rFonts w:ascii="Calibri Light" w:eastAsia="Times New Roman" w:hAnsi="Calibri Light" w:cs="Calibri Light"/>
                <w:color w:val="000000"/>
                <w:sz w:val="20"/>
                <w:szCs w:val="20"/>
                <w:lang w:eastAsia="en-GB"/>
              </w:rPr>
              <w:t>ска средства</w:t>
            </w:r>
          </w:p>
        </w:tc>
      </w:tr>
    </w:tbl>
    <w:p w14:paraId="0086B8FB"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27"/>
        <w:gridCol w:w="1309"/>
        <w:gridCol w:w="923"/>
        <w:gridCol w:w="4029"/>
      </w:tblGrid>
      <w:tr w:rsidR="00854ADA" w:rsidRPr="00FF386D" w14:paraId="4E5C530A" w14:textId="77777777" w:rsidTr="0057310C">
        <w:trPr>
          <w:trHeight w:val="780"/>
        </w:trPr>
        <w:tc>
          <w:tcPr>
            <w:tcW w:w="3227"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4B732776" w14:textId="64FDF7F7"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309" w:type="dxa"/>
            <w:tcBorders>
              <w:top w:val="single" w:sz="8" w:space="0" w:color="auto"/>
              <w:left w:val="nil"/>
              <w:bottom w:val="single" w:sz="8" w:space="0" w:color="auto"/>
              <w:right w:val="single" w:sz="8" w:space="0" w:color="auto"/>
            </w:tcBorders>
            <w:shd w:val="clear" w:color="auto" w:fill="E7E6E6" w:themeFill="background2"/>
            <w:vAlign w:val="center"/>
            <w:hideMark/>
          </w:tcPr>
          <w:p w14:paraId="1BBDAF24" w14:textId="40C40B10"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МП_</w:t>
            </w:r>
            <w:r w:rsidR="001F12FD" w:rsidRPr="00FF386D">
              <w:rPr>
                <w:rFonts w:ascii="Calibri Light" w:hAnsi="Calibri Light"/>
                <w:b/>
                <w:sz w:val="20"/>
              </w:rPr>
              <w:t>УЕТ</w:t>
            </w:r>
            <w:r w:rsidR="001F12FD">
              <w:rPr>
                <w:rFonts w:ascii="Calibri Light" w:hAnsi="Calibri Light"/>
                <w:b/>
                <w:sz w:val="20"/>
              </w:rPr>
              <w:t>10</w:t>
            </w:r>
          </w:p>
        </w:tc>
        <w:tc>
          <w:tcPr>
            <w:tcW w:w="923" w:type="dxa"/>
            <w:tcBorders>
              <w:top w:val="single" w:sz="8" w:space="0" w:color="auto"/>
              <w:left w:val="nil"/>
              <w:bottom w:val="single" w:sz="8" w:space="0" w:color="auto"/>
              <w:right w:val="single" w:sz="8" w:space="0" w:color="auto"/>
            </w:tcBorders>
            <w:shd w:val="clear" w:color="auto" w:fill="244062"/>
            <w:vAlign w:val="center"/>
            <w:hideMark/>
          </w:tcPr>
          <w:p w14:paraId="56F4ABC7" w14:textId="77777777" w:rsidR="00854ADA" w:rsidRPr="00FF386D" w:rsidRDefault="00854ADA" w:rsidP="00854ADA">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Назив</w:t>
            </w:r>
            <w:r w:rsidRPr="000A2AFE">
              <w:rPr>
                <w:rFonts w:asciiTheme="majorHAnsi" w:eastAsia="Times New Roman" w:hAnsiTheme="majorHAnsi" w:cstheme="majorHAnsi"/>
                <w:b/>
                <w:bCs/>
                <w:color w:val="FFFFFF"/>
                <w:sz w:val="20"/>
                <w:szCs w:val="20"/>
                <w:lang w:eastAsia="en-GB"/>
              </w:rPr>
              <w:t xml:space="preserve">: </w:t>
            </w:r>
          </w:p>
        </w:tc>
        <w:tc>
          <w:tcPr>
            <w:tcW w:w="4029" w:type="dxa"/>
            <w:tcBorders>
              <w:top w:val="single" w:sz="8" w:space="0" w:color="auto"/>
              <w:left w:val="nil"/>
              <w:bottom w:val="single" w:sz="8" w:space="0" w:color="auto"/>
              <w:right w:val="single" w:sz="8" w:space="0" w:color="auto"/>
            </w:tcBorders>
            <w:shd w:val="clear" w:color="auto" w:fill="E7E6E6" w:themeFill="background2"/>
            <w:vAlign w:val="center"/>
            <w:hideMark/>
          </w:tcPr>
          <w:p w14:paraId="036ED7E0" w14:textId="41677332"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 xml:space="preserve">Интензивирање напора за гасификацију </w:t>
            </w:r>
            <w:r w:rsidR="00460244" w:rsidRPr="00FF386D">
              <w:rPr>
                <w:rFonts w:ascii="Calibri Light" w:hAnsi="Calibri Light"/>
                <w:b/>
                <w:sz w:val="20"/>
              </w:rPr>
              <w:t>у Србији</w:t>
            </w:r>
          </w:p>
        </w:tc>
      </w:tr>
      <w:tr w:rsidR="00854ADA" w:rsidRPr="00FF386D" w14:paraId="0D91D830" w14:textId="77777777" w:rsidTr="0057310C">
        <w:trPr>
          <w:trHeight w:val="563"/>
        </w:trPr>
        <w:tc>
          <w:tcPr>
            <w:tcW w:w="3227" w:type="dxa"/>
            <w:tcBorders>
              <w:top w:val="nil"/>
              <w:left w:val="single" w:sz="8" w:space="0" w:color="auto"/>
              <w:bottom w:val="single" w:sz="8" w:space="0" w:color="auto"/>
              <w:right w:val="nil"/>
            </w:tcBorders>
            <w:shd w:val="clear" w:color="000000" w:fill="244062"/>
            <w:vAlign w:val="center"/>
            <w:hideMark/>
          </w:tcPr>
          <w:p w14:paraId="46EA75FB" w14:textId="7E1E9B1D"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61" w:type="dxa"/>
            <w:gridSpan w:val="3"/>
            <w:tcBorders>
              <w:top w:val="single" w:sz="8" w:space="0" w:color="auto"/>
              <w:left w:val="nil"/>
              <w:bottom w:val="single" w:sz="8" w:space="0" w:color="auto"/>
              <w:right w:val="single" w:sz="8" w:space="0" w:color="000000"/>
            </w:tcBorders>
            <w:vAlign w:val="center"/>
          </w:tcPr>
          <w:p w14:paraId="2BBD05BC"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Инфраструктура на нивоу дистрибуције</w:t>
            </w:r>
          </w:p>
        </w:tc>
      </w:tr>
      <w:tr w:rsidR="00854ADA" w:rsidRPr="00FF386D" w14:paraId="2E1F2A20" w14:textId="77777777" w:rsidTr="0057310C">
        <w:trPr>
          <w:trHeight w:val="315"/>
        </w:trPr>
        <w:tc>
          <w:tcPr>
            <w:tcW w:w="3227" w:type="dxa"/>
            <w:tcBorders>
              <w:top w:val="nil"/>
              <w:left w:val="single" w:sz="8" w:space="0" w:color="auto"/>
              <w:bottom w:val="single" w:sz="8" w:space="0" w:color="auto"/>
              <w:right w:val="single" w:sz="8" w:space="0" w:color="auto"/>
            </w:tcBorders>
            <w:shd w:val="clear" w:color="000000" w:fill="244062"/>
            <w:vAlign w:val="center"/>
            <w:hideMark/>
          </w:tcPr>
          <w:p w14:paraId="2F1F6994" w14:textId="7731A650"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61" w:type="dxa"/>
            <w:gridSpan w:val="3"/>
            <w:tcBorders>
              <w:top w:val="single" w:sz="8" w:space="0" w:color="auto"/>
              <w:left w:val="nil"/>
              <w:bottom w:val="single" w:sz="8" w:space="0" w:color="auto"/>
              <w:right w:val="single" w:sz="8" w:space="0" w:color="000000"/>
            </w:tcBorders>
            <w:vAlign w:val="center"/>
          </w:tcPr>
          <w:p w14:paraId="632218D2" w14:textId="3BE92DB8"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Гасификација у југозападн</w:t>
            </w:r>
            <w:r w:rsidR="001F12FD">
              <w:rPr>
                <w:rFonts w:ascii="Calibri Light" w:hAnsi="Calibri Light"/>
                <w:sz w:val="20"/>
              </w:rPr>
              <w:t>и</w:t>
            </w:r>
            <w:r w:rsidRPr="00FF386D">
              <w:rPr>
                <w:rFonts w:ascii="Calibri Light" w:hAnsi="Calibri Light"/>
                <w:sz w:val="20"/>
              </w:rPr>
              <w:t xml:space="preserve">м </w:t>
            </w:r>
            <w:r w:rsidR="001F12FD">
              <w:rPr>
                <w:rFonts w:ascii="Calibri Light" w:hAnsi="Calibri Light"/>
                <w:sz w:val="20"/>
              </w:rPr>
              <w:t xml:space="preserve">и југоисточним </w:t>
            </w:r>
            <w:r w:rsidRPr="00FF386D">
              <w:rPr>
                <w:rFonts w:ascii="Calibri Light" w:hAnsi="Calibri Light"/>
                <w:sz w:val="20"/>
              </w:rPr>
              <w:t>дел</w:t>
            </w:r>
            <w:r w:rsidR="001F12FD">
              <w:rPr>
                <w:rFonts w:ascii="Calibri Light" w:hAnsi="Calibri Light"/>
                <w:sz w:val="20"/>
              </w:rPr>
              <w:t>овима</w:t>
            </w:r>
            <w:r w:rsidRPr="00FF386D">
              <w:rPr>
                <w:rFonts w:ascii="Calibri Light" w:hAnsi="Calibri Light"/>
                <w:sz w:val="20"/>
              </w:rPr>
              <w:t xml:space="preserve"> Србије, смањење употребе других горива у јужном делу Републике Србије</w:t>
            </w:r>
          </w:p>
        </w:tc>
      </w:tr>
      <w:tr w:rsidR="00854ADA" w:rsidRPr="00FF386D" w14:paraId="622EFCD3" w14:textId="77777777" w:rsidTr="0057310C">
        <w:trPr>
          <w:trHeight w:val="738"/>
        </w:trPr>
        <w:tc>
          <w:tcPr>
            <w:tcW w:w="3227" w:type="dxa"/>
            <w:tcBorders>
              <w:top w:val="nil"/>
              <w:left w:val="single" w:sz="8" w:space="0" w:color="auto"/>
              <w:bottom w:val="single" w:sz="8" w:space="0" w:color="auto"/>
              <w:right w:val="single" w:sz="8" w:space="0" w:color="auto"/>
            </w:tcBorders>
            <w:shd w:val="clear" w:color="000000" w:fill="244062"/>
            <w:vAlign w:val="center"/>
            <w:hideMark/>
          </w:tcPr>
          <w:p w14:paraId="7C9FCE6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61" w:type="dxa"/>
            <w:gridSpan w:val="3"/>
            <w:tcBorders>
              <w:top w:val="single" w:sz="8" w:space="0" w:color="auto"/>
              <w:left w:val="nil"/>
              <w:bottom w:val="single" w:sz="8" w:space="0" w:color="auto"/>
              <w:right w:val="single" w:sz="8" w:space="0" w:color="000000"/>
            </w:tcBorders>
            <w:vAlign w:val="center"/>
            <w:hideMark/>
          </w:tcPr>
          <w:p w14:paraId="2F5F1962" w14:textId="77777777" w:rsidR="00854ADA" w:rsidRDefault="00854ADA" w:rsidP="002D1B59">
            <w:pPr>
              <w:spacing w:after="0" w:line="240" w:lineRule="auto"/>
              <w:jc w:val="both"/>
              <w:rPr>
                <w:rFonts w:ascii="Calibri Light" w:hAnsi="Calibri Light"/>
                <w:sz w:val="20"/>
              </w:rPr>
            </w:pPr>
            <w:r w:rsidRPr="00FF386D">
              <w:rPr>
                <w:rFonts w:ascii="Calibri Light" w:hAnsi="Calibri Light"/>
                <w:sz w:val="20"/>
              </w:rPr>
              <w:t>Предвиђен</w:t>
            </w:r>
            <w:r w:rsidR="005E3D7E" w:rsidRPr="00FF386D">
              <w:rPr>
                <w:rFonts w:ascii="Calibri Light" w:hAnsi="Calibri Light"/>
                <w:sz w:val="20"/>
              </w:rPr>
              <w:t>е</w:t>
            </w:r>
            <w:r w:rsidRPr="00FF386D">
              <w:rPr>
                <w:rFonts w:ascii="Calibri Light" w:hAnsi="Calibri Light"/>
                <w:sz w:val="20"/>
              </w:rPr>
              <w:t xml:space="preserve"> су три тачке интерконекције</w:t>
            </w:r>
            <w:r w:rsidRPr="00FF386D">
              <w:rPr>
                <w:rFonts w:ascii="Calibri Light" w:hAnsi="Calibri Light"/>
                <w:i/>
                <w:iCs/>
                <w:sz w:val="20"/>
              </w:rPr>
              <w:t xml:space="preserve"> </w:t>
            </w:r>
            <w:r w:rsidRPr="00FF386D">
              <w:rPr>
                <w:rFonts w:ascii="Calibri Light" w:hAnsi="Calibri Light"/>
                <w:sz w:val="20"/>
              </w:rPr>
              <w:t>дуж гасовода Гастранс</w:t>
            </w:r>
            <w:r w:rsidR="005E3D7E" w:rsidRPr="00FF386D">
              <w:rPr>
                <w:rFonts w:ascii="Calibri Light" w:hAnsi="Calibri Light"/>
                <w:sz w:val="20"/>
              </w:rPr>
              <w:t>а</w:t>
            </w:r>
            <w:r w:rsidRPr="00FF386D">
              <w:rPr>
                <w:rFonts w:ascii="Calibri Light" w:hAnsi="Calibri Light"/>
                <w:sz w:val="20"/>
              </w:rPr>
              <w:t xml:space="preserve"> за снабдевање гасом југоисточних подручја Србије која тренутно немају приступ гасној инфраструктури. Сврха ове мере</w:t>
            </w:r>
            <w:r w:rsidR="005E3D7E" w:rsidRPr="00FF386D">
              <w:rPr>
                <w:rFonts w:ascii="Calibri Light" w:hAnsi="Calibri Light"/>
                <w:sz w:val="20"/>
              </w:rPr>
              <w:t xml:space="preserve"> је</w:t>
            </w:r>
            <w:r w:rsidRPr="00FF386D">
              <w:rPr>
                <w:rFonts w:ascii="Calibri Light" w:hAnsi="Calibri Light"/>
                <w:sz w:val="20"/>
              </w:rPr>
              <w:t xml:space="preserve"> развој плана гасификације за ове регионе</w:t>
            </w:r>
            <w:r w:rsidR="001F12FD">
              <w:rPr>
                <w:rFonts w:ascii="Calibri Light" w:hAnsi="Calibri Light"/>
                <w:sz w:val="20"/>
              </w:rPr>
              <w:t>.</w:t>
            </w:r>
          </w:p>
          <w:p w14:paraId="19BF7D1A" w14:textId="46C631CA" w:rsidR="001F12FD" w:rsidRPr="00FF386D" w:rsidRDefault="001F12FD" w:rsidP="002D1B59">
            <w:pPr>
              <w:spacing w:after="0" w:line="240" w:lineRule="auto"/>
              <w:jc w:val="both"/>
              <w:rPr>
                <w:rFonts w:asciiTheme="majorHAnsi" w:eastAsia="Times New Roman" w:hAnsiTheme="majorHAnsi" w:cstheme="majorHAnsi"/>
                <w:color w:val="000000"/>
                <w:sz w:val="20"/>
                <w:szCs w:val="20"/>
                <w:lang w:eastAsia="en-GB"/>
              </w:rPr>
            </w:pPr>
            <w:r w:rsidRPr="001F12FD">
              <w:rPr>
                <w:rFonts w:asciiTheme="majorHAnsi" w:eastAsia="Times New Roman" w:hAnsiTheme="majorHAnsi" w:cstheme="majorHAnsi"/>
                <w:color w:val="000000"/>
                <w:sz w:val="20"/>
                <w:szCs w:val="20"/>
                <w:lang w:eastAsia="en-GB"/>
              </w:rPr>
              <w:t xml:space="preserve">Било који додатни </w:t>
            </w:r>
            <w:r w:rsidR="00020757" w:rsidRPr="001F12FD">
              <w:rPr>
                <w:rFonts w:asciiTheme="majorHAnsi" w:eastAsia="Times New Roman" w:hAnsiTheme="majorHAnsi" w:cstheme="majorHAnsi"/>
                <w:color w:val="000000"/>
                <w:sz w:val="20"/>
                <w:szCs w:val="20"/>
                <w:lang w:eastAsia="en-GB"/>
              </w:rPr>
              <w:t>инвестициони</w:t>
            </w:r>
            <w:r w:rsidRPr="001F12FD">
              <w:rPr>
                <w:rFonts w:asciiTheme="majorHAnsi" w:eastAsia="Times New Roman" w:hAnsiTheme="majorHAnsi" w:cstheme="majorHAnsi"/>
                <w:color w:val="000000"/>
                <w:sz w:val="20"/>
                <w:szCs w:val="20"/>
                <w:lang w:eastAsia="en-GB"/>
              </w:rPr>
              <w:t xml:space="preserve"> трошкови неопходни за имплементацију биће подвргнути темељној контроли у оквиру свеобухватних акционих планова.</w:t>
            </w:r>
          </w:p>
        </w:tc>
      </w:tr>
      <w:tr w:rsidR="00854ADA" w:rsidRPr="00FF386D" w14:paraId="3FD7576C" w14:textId="77777777" w:rsidTr="0057310C">
        <w:trPr>
          <w:trHeight w:val="315"/>
        </w:trPr>
        <w:tc>
          <w:tcPr>
            <w:tcW w:w="3227" w:type="dxa"/>
            <w:tcBorders>
              <w:top w:val="nil"/>
              <w:left w:val="single" w:sz="8" w:space="0" w:color="auto"/>
              <w:bottom w:val="single" w:sz="8" w:space="0" w:color="auto"/>
              <w:right w:val="single" w:sz="8" w:space="0" w:color="auto"/>
            </w:tcBorders>
            <w:shd w:val="clear" w:color="000000" w:fill="244062"/>
            <w:vAlign w:val="center"/>
            <w:hideMark/>
          </w:tcPr>
          <w:p w14:paraId="3FA6153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61" w:type="dxa"/>
            <w:gridSpan w:val="3"/>
            <w:tcBorders>
              <w:top w:val="single" w:sz="8" w:space="0" w:color="auto"/>
              <w:left w:val="nil"/>
              <w:bottom w:val="single" w:sz="8" w:space="0" w:color="auto"/>
              <w:right w:val="single" w:sz="8" w:space="0" w:color="000000"/>
            </w:tcBorders>
            <w:vAlign w:val="center"/>
            <w:hideMark/>
          </w:tcPr>
          <w:p w14:paraId="61882A9B"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2022-2025.</w:t>
            </w:r>
          </w:p>
        </w:tc>
      </w:tr>
      <w:tr w:rsidR="00854ADA" w:rsidRPr="00FF386D" w14:paraId="5212EDCA" w14:textId="77777777" w:rsidTr="0057310C">
        <w:trPr>
          <w:trHeight w:val="315"/>
        </w:trPr>
        <w:tc>
          <w:tcPr>
            <w:tcW w:w="3227" w:type="dxa"/>
            <w:tcBorders>
              <w:top w:val="nil"/>
              <w:left w:val="single" w:sz="8" w:space="0" w:color="auto"/>
              <w:bottom w:val="single" w:sz="8" w:space="0" w:color="auto"/>
              <w:right w:val="single" w:sz="8" w:space="0" w:color="auto"/>
            </w:tcBorders>
            <w:shd w:val="clear" w:color="000000" w:fill="244062"/>
            <w:vAlign w:val="center"/>
            <w:hideMark/>
          </w:tcPr>
          <w:p w14:paraId="43419F4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61" w:type="dxa"/>
            <w:gridSpan w:val="3"/>
            <w:tcBorders>
              <w:top w:val="single" w:sz="8" w:space="0" w:color="auto"/>
              <w:left w:val="nil"/>
              <w:bottom w:val="single" w:sz="8" w:space="0" w:color="auto"/>
              <w:right w:val="single" w:sz="8" w:space="0" w:color="000000"/>
            </w:tcBorders>
            <w:vAlign w:val="center"/>
            <w:hideMark/>
          </w:tcPr>
          <w:p w14:paraId="478846DA"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Реформа</w:t>
            </w:r>
          </w:p>
        </w:tc>
      </w:tr>
      <w:tr w:rsidR="00854ADA" w:rsidRPr="00FF386D" w14:paraId="13F81496" w14:textId="77777777" w:rsidTr="0057310C">
        <w:trPr>
          <w:trHeight w:val="315"/>
        </w:trPr>
        <w:tc>
          <w:tcPr>
            <w:tcW w:w="3227" w:type="dxa"/>
            <w:tcBorders>
              <w:top w:val="nil"/>
              <w:left w:val="single" w:sz="8" w:space="0" w:color="auto"/>
              <w:bottom w:val="single" w:sz="8" w:space="0" w:color="auto"/>
              <w:right w:val="single" w:sz="8" w:space="0" w:color="auto"/>
            </w:tcBorders>
            <w:shd w:val="clear" w:color="000000" w:fill="244062"/>
            <w:vAlign w:val="center"/>
            <w:hideMark/>
          </w:tcPr>
          <w:p w14:paraId="3B393AF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61" w:type="dxa"/>
            <w:gridSpan w:val="3"/>
            <w:tcBorders>
              <w:top w:val="single" w:sz="8" w:space="0" w:color="auto"/>
              <w:left w:val="nil"/>
              <w:bottom w:val="single" w:sz="8" w:space="0" w:color="auto"/>
              <w:right w:val="single" w:sz="8" w:space="0" w:color="000000"/>
            </w:tcBorders>
            <w:vAlign w:val="center"/>
            <w:hideMark/>
          </w:tcPr>
          <w:p w14:paraId="1D990F99"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Гас</w:t>
            </w:r>
          </w:p>
        </w:tc>
      </w:tr>
      <w:tr w:rsidR="00854ADA" w:rsidRPr="00FF386D" w14:paraId="5D248950" w14:textId="77777777" w:rsidTr="0057310C">
        <w:trPr>
          <w:trHeight w:val="315"/>
        </w:trPr>
        <w:tc>
          <w:tcPr>
            <w:tcW w:w="3227" w:type="dxa"/>
            <w:tcBorders>
              <w:top w:val="nil"/>
              <w:left w:val="single" w:sz="8" w:space="0" w:color="auto"/>
              <w:bottom w:val="single" w:sz="8" w:space="0" w:color="auto"/>
              <w:right w:val="single" w:sz="8" w:space="0" w:color="auto"/>
            </w:tcBorders>
            <w:shd w:val="clear" w:color="000000" w:fill="244062"/>
            <w:vAlign w:val="center"/>
            <w:hideMark/>
          </w:tcPr>
          <w:p w14:paraId="2F3A743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61" w:type="dxa"/>
            <w:gridSpan w:val="3"/>
            <w:tcBorders>
              <w:top w:val="single" w:sz="8" w:space="0" w:color="auto"/>
              <w:left w:val="nil"/>
              <w:bottom w:val="single" w:sz="8" w:space="0" w:color="auto"/>
              <w:right w:val="single" w:sz="8" w:space="0" w:color="000000"/>
            </w:tcBorders>
            <w:vAlign w:val="center"/>
            <w:hideMark/>
          </w:tcPr>
          <w:p w14:paraId="1B10B555" w14:textId="77777777" w:rsidR="00854ADA" w:rsidRPr="00FF386D" w:rsidRDefault="00854ADA" w:rsidP="00854ADA">
            <w:pPr>
              <w:numPr>
                <w:ilvl w:val="0"/>
                <w:numId w:val="76"/>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Транспортгас</w:t>
            </w:r>
          </w:p>
          <w:p w14:paraId="39E1DBB8" w14:textId="77777777" w:rsidR="00460244" w:rsidRPr="00FF386D" w:rsidRDefault="00460244" w:rsidP="00854ADA">
            <w:pPr>
              <w:numPr>
                <w:ilvl w:val="0"/>
                <w:numId w:val="76"/>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ЈП Србијагас</w:t>
            </w:r>
          </w:p>
          <w:p w14:paraId="708944E2" w14:textId="1DC3E96D" w:rsidR="00460244" w:rsidRPr="00FF386D" w:rsidRDefault="00460244" w:rsidP="00854ADA">
            <w:pPr>
              <w:numPr>
                <w:ilvl w:val="0"/>
                <w:numId w:val="76"/>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Yugorozgas</w:t>
            </w:r>
          </w:p>
        </w:tc>
      </w:tr>
      <w:tr w:rsidR="00854ADA" w:rsidRPr="00FF386D" w14:paraId="496109AF" w14:textId="77777777" w:rsidTr="0057310C">
        <w:trPr>
          <w:trHeight w:val="315"/>
        </w:trPr>
        <w:tc>
          <w:tcPr>
            <w:tcW w:w="3227" w:type="dxa"/>
            <w:tcBorders>
              <w:top w:val="nil"/>
              <w:left w:val="single" w:sz="8" w:space="0" w:color="auto"/>
              <w:bottom w:val="single" w:sz="8" w:space="0" w:color="auto"/>
              <w:right w:val="nil"/>
            </w:tcBorders>
            <w:shd w:val="clear" w:color="000000" w:fill="244062"/>
            <w:vAlign w:val="center"/>
            <w:hideMark/>
          </w:tcPr>
          <w:p w14:paraId="5DB49B9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61" w:type="dxa"/>
            <w:gridSpan w:val="3"/>
            <w:tcBorders>
              <w:top w:val="single" w:sz="8" w:space="0" w:color="auto"/>
              <w:left w:val="nil"/>
              <w:bottom w:val="single" w:sz="8" w:space="0" w:color="auto"/>
              <w:right w:val="single" w:sz="8" w:space="0" w:color="000000"/>
            </w:tcBorders>
            <w:vAlign w:val="center"/>
            <w:hideMark/>
          </w:tcPr>
          <w:p w14:paraId="74C23F1B" w14:textId="77777777" w:rsidR="00854ADA" w:rsidRPr="00FF386D" w:rsidRDefault="00854ADA" w:rsidP="00854ADA">
            <w:pPr>
              <w:numPr>
                <w:ilvl w:val="0"/>
                <w:numId w:val="76"/>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за рударство и енергетику</w:t>
            </w:r>
          </w:p>
          <w:p w14:paraId="5AFBD8AE" w14:textId="7B8BBB90" w:rsidR="00854ADA" w:rsidRPr="00FF386D" w:rsidRDefault="00854ADA" w:rsidP="00854ADA">
            <w:pPr>
              <w:numPr>
                <w:ilvl w:val="0"/>
                <w:numId w:val="76"/>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Министарство за инфраструктуру/ </w:t>
            </w:r>
            <w:r w:rsidR="001C3577" w:rsidRPr="001C3577">
              <w:rPr>
                <w:rFonts w:asciiTheme="majorHAnsi" w:eastAsia="Times New Roman" w:hAnsiTheme="majorHAnsi" w:cstheme="majorHAnsi"/>
                <w:color w:val="000000"/>
                <w:sz w:val="20"/>
                <w:szCs w:val="20"/>
                <w:lang w:eastAsia="en-GB"/>
              </w:rPr>
              <w:t>локалне самоуправе</w:t>
            </w:r>
          </w:p>
          <w:p w14:paraId="0AB47E61" w14:textId="77777777" w:rsidR="00854ADA" w:rsidRPr="00FF386D" w:rsidRDefault="00854ADA" w:rsidP="00854ADA">
            <w:pPr>
              <w:numPr>
                <w:ilvl w:val="0"/>
                <w:numId w:val="76"/>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АЕРС</w:t>
            </w:r>
          </w:p>
        </w:tc>
      </w:tr>
      <w:tr w:rsidR="00854ADA" w:rsidRPr="00FF386D" w14:paraId="12BF6409" w14:textId="77777777" w:rsidTr="0057310C">
        <w:trPr>
          <w:trHeight w:val="315"/>
        </w:trPr>
        <w:tc>
          <w:tcPr>
            <w:tcW w:w="3227" w:type="dxa"/>
            <w:tcBorders>
              <w:top w:val="nil"/>
              <w:left w:val="single" w:sz="8" w:space="0" w:color="auto"/>
              <w:bottom w:val="single" w:sz="8" w:space="0" w:color="auto"/>
              <w:right w:val="nil"/>
            </w:tcBorders>
            <w:shd w:val="clear" w:color="000000" w:fill="244062"/>
            <w:vAlign w:val="center"/>
            <w:hideMark/>
          </w:tcPr>
          <w:p w14:paraId="2ABD4C2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61" w:type="dxa"/>
            <w:gridSpan w:val="3"/>
            <w:tcBorders>
              <w:top w:val="single" w:sz="8" w:space="0" w:color="auto"/>
              <w:left w:val="nil"/>
              <w:bottom w:val="single" w:sz="8" w:space="0" w:color="auto"/>
              <w:right w:val="single" w:sz="8" w:space="0" w:color="000000"/>
            </w:tcBorders>
            <w:vAlign w:val="center"/>
            <w:hideMark/>
          </w:tcPr>
          <w:p w14:paraId="3B1E4164"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Дозволе за изградњу и дистрибуцију у новим подручјима</w:t>
            </w:r>
          </w:p>
        </w:tc>
      </w:tr>
      <w:tr w:rsidR="00854ADA" w:rsidRPr="00FF386D" w14:paraId="1C1DCA7C" w14:textId="77777777" w:rsidTr="0057310C">
        <w:trPr>
          <w:trHeight w:val="586"/>
        </w:trPr>
        <w:tc>
          <w:tcPr>
            <w:tcW w:w="3227" w:type="dxa"/>
            <w:tcBorders>
              <w:top w:val="nil"/>
              <w:left w:val="single" w:sz="8" w:space="0" w:color="auto"/>
              <w:bottom w:val="single" w:sz="8" w:space="0" w:color="auto"/>
              <w:right w:val="single" w:sz="8" w:space="0" w:color="auto"/>
            </w:tcBorders>
            <w:shd w:val="clear" w:color="000000" w:fill="244062"/>
            <w:vAlign w:val="center"/>
            <w:hideMark/>
          </w:tcPr>
          <w:p w14:paraId="536D646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Обухваћене релевантне димензије Енергетске уније</w:t>
            </w:r>
          </w:p>
        </w:tc>
        <w:tc>
          <w:tcPr>
            <w:tcW w:w="6261" w:type="dxa"/>
            <w:gridSpan w:val="3"/>
            <w:tcBorders>
              <w:top w:val="single" w:sz="8" w:space="0" w:color="auto"/>
              <w:left w:val="nil"/>
              <w:bottom w:val="single" w:sz="8" w:space="0" w:color="auto"/>
              <w:right w:val="single" w:sz="8" w:space="0" w:color="000000"/>
            </w:tcBorders>
            <w:vAlign w:val="center"/>
            <w:hideMark/>
          </w:tcPr>
          <w:p w14:paraId="26B22AB9" w14:textId="77777777" w:rsidR="00854ADA" w:rsidRPr="00FF386D" w:rsidRDefault="00854ADA" w:rsidP="00854ADA">
            <w:pPr>
              <w:numPr>
                <w:ilvl w:val="0"/>
                <w:numId w:val="76"/>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Декарбонизација</w:t>
            </w:r>
          </w:p>
        </w:tc>
      </w:tr>
      <w:tr w:rsidR="00854ADA" w:rsidRPr="00FF386D" w14:paraId="090F9840" w14:textId="77777777" w:rsidTr="0057310C">
        <w:trPr>
          <w:trHeight w:val="450"/>
        </w:trPr>
        <w:tc>
          <w:tcPr>
            <w:tcW w:w="3227"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3DEDB144" w14:textId="363AA1E1"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61"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2B65CB6" w14:textId="77777777" w:rsidR="00854ADA" w:rsidRPr="00FF386D" w:rsidRDefault="00854ADA" w:rsidP="00854ADA">
            <w:pPr>
              <w:numPr>
                <w:ilvl w:val="0"/>
                <w:numId w:val="76"/>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Мера је генерално усклађена са свим акцијама декарбонизације, при чему је природни гас прелазно гориво</w:t>
            </w:r>
          </w:p>
        </w:tc>
      </w:tr>
      <w:tr w:rsidR="00854ADA" w:rsidRPr="00FF386D" w14:paraId="1CA4C0A4"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36507278"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61" w:type="dxa"/>
            <w:gridSpan w:val="3"/>
            <w:vMerge/>
            <w:tcBorders>
              <w:top w:val="single" w:sz="8" w:space="0" w:color="auto"/>
              <w:left w:val="single" w:sz="8" w:space="0" w:color="auto"/>
              <w:bottom w:val="single" w:sz="8" w:space="0" w:color="000000"/>
              <w:right w:val="single" w:sz="8" w:space="0" w:color="000000"/>
            </w:tcBorders>
            <w:vAlign w:val="center"/>
            <w:hideMark/>
          </w:tcPr>
          <w:p w14:paraId="4744274E"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7BA2DCA6"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777F1D3B"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61" w:type="dxa"/>
            <w:gridSpan w:val="3"/>
            <w:vMerge/>
            <w:tcBorders>
              <w:top w:val="single" w:sz="8" w:space="0" w:color="auto"/>
              <w:left w:val="single" w:sz="8" w:space="0" w:color="auto"/>
              <w:bottom w:val="single" w:sz="8" w:space="0" w:color="000000"/>
              <w:right w:val="single" w:sz="8" w:space="0" w:color="000000"/>
            </w:tcBorders>
            <w:vAlign w:val="center"/>
            <w:hideMark/>
          </w:tcPr>
          <w:p w14:paraId="62914F7A"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1908C8DB" w14:textId="77777777" w:rsidTr="0057310C">
        <w:trPr>
          <w:trHeight w:val="780"/>
        </w:trPr>
        <w:tc>
          <w:tcPr>
            <w:tcW w:w="3227" w:type="dxa"/>
            <w:tcBorders>
              <w:top w:val="nil"/>
              <w:left w:val="single" w:sz="8" w:space="0" w:color="auto"/>
              <w:bottom w:val="single" w:sz="8" w:space="0" w:color="auto"/>
              <w:right w:val="single" w:sz="8" w:space="0" w:color="auto"/>
            </w:tcBorders>
            <w:shd w:val="clear" w:color="000000" w:fill="244062"/>
            <w:vAlign w:val="center"/>
            <w:hideMark/>
          </w:tcPr>
          <w:p w14:paraId="31F7CAA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61" w:type="dxa"/>
            <w:gridSpan w:val="3"/>
            <w:tcBorders>
              <w:top w:val="single" w:sz="8" w:space="0" w:color="auto"/>
              <w:left w:val="nil"/>
              <w:bottom w:val="single" w:sz="8" w:space="0" w:color="auto"/>
              <w:right w:val="single" w:sz="8" w:space="0" w:color="000000"/>
            </w:tcBorders>
            <w:vAlign w:val="center"/>
            <w:hideMark/>
          </w:tcPr>
          <w:p w14:paraId="0A258C49" w14:textId="77777777" w:rsidR="00854ADA" w:rsidRDefault="00854ADA" w:rsidP="00854ADA">
            <w:pPr>
              <w:numPr>
                <w:ilvl w:val="0"/>
                <w:numId w:val="75"/>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Закон о енергетици</w:t>
            </w:r>
          </w:p>
          <w:p w14:paraId="0B8A3D74" w14:textId="269E59F8" w:rsidR="001F12FD" w:rsidRPr="00FF386D" w:rsidRDefault="001F12FD" w:rsidP="00854ADA">
            <w:pPr>
              <w:numPr>
                <w:ilvl w:val="0"/>
                <w:numId w:val="75"/>
              </w:numPr>
              <w:spacing w:after="0" w:line="240" w:lineRule="auto"/>
              <w:contextualSpacing/>
              <w:jc w:val="both"/>
              <w:rPr>
                <w:rFonts w:asciiTheme="majorHAnsi" w:eastAsia="Times New Roman" w:hAnsiTheme="majorHAnsi" w:cstheme="majorHAnsi"/>
                <w:color w:val="000000"/>
                <w:sz w:val="20"/>
                <w:szCs w:val="20"/>
                <w:lang w:eastAsia="en-GB"/>
              </w:rPr>
            </w:pPr>
            <w:r w:rsidRPr="001F12FD">
              <w:rPr>
                <w:rFonts w:asciiTheme="majorHAnsi" w:eastAsia="Times New Roman" w:hAnsiTheme="majorHAnsi" w:cstheme="majorHAnsi"/>
                <w:color w:val="000000"/>
                <w:sz w:val="20"/>
                <w:szCs w:val="20"/>
                <w:lang w:eastAsia="en-GB"/>
              </w:rPr>
              <w:t>Одлука о изради Просторног плана подручја посебне намене мреже магистралних и разводних гасовода источне Србије са елементима детаљне регулације</w:t>
            </w:r>
            <w:r>
              <w:rPr>
                <w:rStyle w:val="FootnoteReference"/>
                <w:rFonts w:asciiTheme="majorHAnsi" w:eastAsia="Times New Roman" w:hAnsiTheme="majorHAnsi" w:cstheme="majorHAnsi"/>
                <w:color w:val="000000"/>
                <w:sz w:val="20"/>
                <w:szCs w:val="20"/>
                <w:lang w:eastAsia="en-GB"/>
              </w:rPr>
              <w:footnoteReference w:id="118"/>
            </w:r>
          </w:p>
          <w:p w14:paraId="5D83816B" w14:textId="7FDEA9CD" w:rsidR="00854ADA" w:rsidRPr="00FF386D" w:rsidRDefault="00854ADA" w:rsidP="00460244">
            <w:pPr>
              <w:spacing w:after="0" w:line="240" w:lineRule="auto"/>
              <w:ind w:left="720"/>
              <w:contextualSpacing/>
              <w:jc w:val="both"/>
              <w:rPr>
                <w:rFonts w:asciiTheme="majorHAnsi" w:eastAsia="Times New Roman" w:hAnsiTheme="majorHAnsi" w:cstheme="majorHAnsi"/>
                <w:color w:val="000000"/>
                <w:sz w:val="20"/>
                <w:szCs w:val="20"/>
                <w:lang w:eastAsia="en-GB"/>
              </w:rPr>
            </w:pPr>
          </w:p>
        </w:tc>
      </w:tr>
      <w:tr w:rsidR="00854ADA" w:rsidRPr="00FF386D" w14:paraId="467F62E5" w14:textId="77777777" w:rsidTr="0057310C">
        <w:trPr>
          <w:trHeight w:val="315"/>
        </w:trPr>
        <w:tc>
          <w:tcPr>
            <w:tcW w:w="3227" w:type="dxa"/>
            <w:tcBorders>
              <w:top w:val="nil"/>
              <w:left w:val="single" w:sz="8" w:space="0" w:color="auto"/>
              <w:bottom w:val="single" w:sz="8" w:space="0" w:color="auto"/>
              <w:right w:val="single" w:sz="8" w:space="0" w:color="auto"/>
            </w:tcBorders>
            <w:shd w:val="clear" w:color="000000" w:fill="244062"/>
            <w:vAlign w:val="center"/>
            <w:hideMark/>
          </w:tcPr>
          <w:p w14:paraId="010E2B0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61" w:type="dxa"/>
            <w:gridSpan w:val="3"/>
            <w:tcBorders>
              <w:top w:val="single" w:sz="8" w:space="0" w:color="auto"/>
              <w:left w:val="nil"/>
              <w:bottom w:val="single" w:sz="8" w:space="0" w:color="auto"/>
              <w:right w:val="single" w:sz="8" w:space="0" w:color="000000"/>
            </w:tcBorders>
            <w:vAlign w:val="center"/>
            <w:hideMark/>
          </w:tcPr>
          <w:p w14:paraId="1794E770"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0,2 милиона евра</w:t>
            </w:r>
          </w:p>
        </w:tc>
      </w:tr>
      <w:tr w:rsidR="00854ADA" w:rsidRPr="00FF386D" w14:paraId="221D2204" w14:textId="77777777" w:rsidTr="0057310C">
        <w:trPr>
          <w:trHeight w:val="315"/>
        </w:trPr>
        <w:tc>
          <w:tcPr>
            <w:tcW w:w="3227" w:type="dxa"/>
            <w:tcBorders>
              <w:top w:val="nil"/>
              <w:left w:val="single" w:sz="8" w:space="0" w:color="auto"/>
              <w:bottom w:val="single" w:sz="8" w:space="0" w:color="auto"/>
              <w:right w:val="single" w:sz="8" w:space="0" w:color="auto"/>
            </w:tcBorders>
            <w:shd w:val="clear" w:color="000000" w:fill="244062"/>
            <w:vAlign w:val="center"/>
            <w:hideMark/>
          </w:tcPr>
          <w:p w14:paraId="2001BAC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61" w:type="dxa"/>
            <w:gridSpan w:val="3"/>
            <w:tcBorders>
              <w:top w:val="single" w:sz="8" w:space="0" w:color="auto"/>
              <w:left w:val="nil"/>
              <w:bottom w:val="single" w:sz="8" w:space="0" w:color="auto"/>
              <w:right w:val="single" w:sz="8" w:space="0" w:color="000000"/>
            </w:tcBorders>
            <w:vAlign w:val="center"/>
            <w:hideMark/>
          </w:tcPr>
          <w:p w14:paraId="7D683744" w14:textId="3614E3B3"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Фондови ЕУ и други фондови,</w:t>
            </w:r>
            <w:r w:rsidR="00460244" w:rsidRPr="00FF386D">
              <w:rPr>
                <w:rFonts w:ascii="Calibri Light" w:eastAsia="Times New Roman" w:hAnsi="Calibri Light" w:cs="Calibri Light"/>
                <w:color w:val="000000"/>
                <w:sz w:val="20"/>
                <w:szCs w:val="20"/>
                <w:lang w:eastAsia="en-GB"/>
              </w:rPr>
              <w:t xml:space="preserve"> </w:t>
            </w:r>
            <w:r w:rsidRPr="00FF386D">
              <w:rPr>
                <w:rFonts w:ascii="Calibri Light" w:eastAsia="Times New Roman" w:hAnsi="Calibri Light" w:cs="Calibri Light"/>
                <w:color w:val="000000"/>
                <w:sz w:val="20"/>
                <w:szCs w:val="20"/>
                <w:lang w:eastAsia="en-GB"/>
              </w:rPr>
              <w:t>буџе</w:t>
            </w:r>
            <w:r w:rsidR="00460244" w:rsidRPr="00FF386D">
              <w:rPr>
                <w:rFonts w:ascii="Calibri Light" w:eastAsia="Times New Roman" w:hAnsi="Calibri Light" w:cs="Calibri Light"/>
                <w:color w:val="000000"/>
                <w:sz w:val="20"/>
                <w:szCs w:val="20"/>
                <w:lang w:eastAsia="en-GB"/>
              </w:rPr>
              <w:t>тска средства</w:t>
            </w:r>
          </w:p>
        </w:tc>
      </w:tr>
    </w:tbl>
    <w:p w14:paraId="52AEC619"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21"/>
        <w:gridCol w:w="44"/>
        <w:gridCol w:w="1207"/>
        <w:gridCol w:w="58"/>
        <w:gridCol w:w="873"/>
        <w:gridCol w:w="48"/>
        <w:gridCol w:w="4037"/>
      </w:tblGrid>
      <w:tr w:rsidR="00854ADA" w:rsidRPr="00FF386D" w14:paraId="3594006C" w14:textId="77777777" w:rsidTr="0057310C">
        <w:trPr>
          <w:trHeight w:val="780"/>
        </w:trPr>
        <w:tc>
          <w:tcPr>
            <w:tcW w:w="3221"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15F29456" w14:textId="3C70ED6C"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309" w:type="dxa"/>
            <w:gridSpan w:val="3"/>
            <w:tcBorders>
              <w:top w:val="single" w:sz="8" w:space="0" w:color="auto"/>
              <w:left w:val="nil"/>
              <w:bottom w:val="single" w:sz="8" w:space="0" w:color="auto"/>
              <w:right w:val="single" w:sz="8" w:space="0" w:color="auto"/>
            </w:tcBorders>
            <w:shd w:val="clear" w:color="auto" w:fill="E7E6E6" w:themeFill="background2"/>
            <w:vAlign w:val="center"/>
            <w:hideMark/>
          </w:tcPr>
          <w:p w14:paraId="16316642" w14:textId="585A6484" w:rsidR="00854ADA" w:rsidRPr="000A2AFE" w:rsidRDefault="00854ADA" w:rsidP="00854ADA">
            <w:pPr>
              <w:spacing w:after="0" w:line="240" w:lineRule="auto"/>
              <w:jc w:val="both"/>
              <w:rPr>
                <w:rFonts w:asciiTheme="majorHAnsi" w:eastAsia="Times New Roman" w:hAnsiTheme="majorHAnsi" w:cstheme="majorHAnsi"/>
                <w:b/>
                <w:bCs/>
                <w:color w:val="000000"/>
                <w:sz w:val="20"/>
                <w:szCs w:val="20"/>
                <w:lang w:val="sr-Latn-RS" w:eastAsia="en-GB"/>
              </w:rPr>
            </w:pPr>
            <w:r w:rsidRPr="00FF386D">
              <w:rPr>
                <w:rFonts w:ascii="Calibri Light" w:hAnsi="Calibri Light"/>
                <w:b/>
                <w:sz w:val="20"/>
              </w:rPr>
              <w:t>МП_</w:t>
            </w:r>
            <w:r w:rsidR="001F12FD" w:rsidRPr="00FF386D">
              <w:rPr>
                <w:rFonts w:ascii="Calibri Light" w:hAnsi="Calibri Light"/>
                <w:b/>
                <w:sz w:val="20"/>
              </w:rPr>
              <w:t>УЕТ</w:t>
            </w:r>
            <w:r w:rsidR="001F12FD">
              <w:rPr>
                <w:rFonts w:ascii="Calibri Light" w:hAnsi="Calibri Light"/>
                <w:b/>
                <w:sz w:val="20"/>
              </w:rPr>
              <w:t>29</w:t>
            </w:r>
          </w:p>
        </w:tc>
        <w:tc>
          <w:tcPr>
            <w:tcW w:w="921" w:type="dxa"/>
            <w:gridSpan w:val="2"/>
            <w:tcBorders>
              <w:top w:val="single" w:sz="8" w:space="0" w:color="auto"/>
              <w:left w:val="nil"/>
              <w:bottom w:val="single" w:sz="8" w:space="0" w:color="auto"/>
              <w:right w:val="single" w:sz="8" w:space="0" w:color="auto"/>
            </w:tcBorders>
            <w:shd w:val="clear" w:color="auto" w:fill="244062"/>
            <w:vAlign w:val="center"/>
            <w:hideMark/>
          </w:tcPr>
          <w:p w14:paraId="002CC29B" w14:textId="77777777" w:rsidR="00854ADA" w:rsidRPr="00FF386D" w:rsidRDefault="00854ADA" w:rsidP="00854ADA">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Назив</w:t>
            </w:r>
            <w:r w:rsidRPr="000A2AFE">
              <w:rPr>
                <w:rFonts w:asciiTheme="majorHAnsi" w:eastAsia="Times New Roman" w:hAnsiTheme="majorHAnsi" w:cstheme="majorHAnsi"/>
                <w:b/>
                <w:bCs/>
                <w:color w:val="FFFFFF"/>
                <w:sz w:val="20"/>
                <w:szCs w:val="20"/>
                <w:lang w:eastAsia="en-GB"/>
              </w:rPr>
              <w:t xml:space="preserve">: </w:t>
            </w:r>
          </w:p>
        </w:tc>
        <w:tc>
          <w:tcPr>
            <w:tcW w:w="4037" w:type="dxa"/>
            <w:tcBorders>
              <w:top w:val="single" w:sz="8" w:space="0" w:color="auto"/>
              <w:left w:val="nil"/>
              <w:bottom w:val="single" w:sz="8" w:space="0" w:color="auto"/>
              <w:right w:val="single" w:sz="8" w:space="0" w:color="auto"/>
            </w:tcBorders>
            <w:shd w:val="clear" w:color="auto" w:fill="E7E6E6" w:themeFill="background2"/>
            <w:vAlign w:val="center"/>
            <w:hideMark/>
          </w:tcPr>
          <w:p w14:paraId="50325281" w14:textId="77777777"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Развој регулаторног оквира за биометан</w:t>
            </w:r>
          </w:p>
        </w:tc>
      </w:tr>
      <w:tr w:rsidR="00854ADA" w:rsidRPr="00FF386D" w14:paraId="713D6701" w14:textId="77777777" w:rsidTr="0057310C">
        <w:trPr>
          <w:trHeight w:val="469"/>
        </w:trPr>
        <w:tc>
          <w:tcPr>
            <w:tcW w:w="3221" w:type="dxa"/>
            <w:tcBorders>
              <w:top w:val="nil"/>
              <w:left w:val="single" w:sz="8" w:space="0" w:color="auto"/>
              <w:bottom w:val="single" w:sz="8" w:space="0" w:color="auto"/>
              <w:right w:val="nil"/>
            </w:tcBorders>
            <w:shd w:val="clear" w:color="000000" w:fill="244062"/>
            <w:vAlign w:val="center"/>
            <w:hideMark/>
          </w:tcPr>
          <w:p w14:paraId="09E10422" w14:textId="5351164F"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67" w:type="dxa"/>
            <w:gridSpan w:val="6"/>
            <w:tcBorders>
              <w:top w:val="single" w:sz="8" w:space="0" w:color="auto"/>
              <w:left w:val="nil"/>
              <w:bottom w:val="single" w:sz="8" w:space="0" w:color="auto"/>
              <w:right w:val="single" w:sz="8" w:space="0" w:color="000000"/>
            </w:tcBorders>
            <w:vAlign w:val="center"/>
          </w:tcPr>
          <w:p w14:paraId="1868381D" w14:textId="6A7B71B8"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Заштита потрошача и побољшање конкуре</w:t>
            </w:r>
            <w:r w:rsidR="005E3D7E" w:rsidRPr="00FF386D">
              <w:rPr>
                <w:rFonts w:ascii="Calibri Light" w:hAnsi="Calibri Light"/>
                <w:sz w:val="20"/>
              </w:rPr>
              <w:t>нтности</w:t>
            </w:r>
            <w:r w:rsidRPr="00FF386D">
              <w:rPr>
                <w:rFonts w:ascii="Calibri Light" w:hAnsi="Calibri Light"/>
                <w:sz w:val="20"/>
              </w:rPr>
              <w:t>, смањење угљеничног отиска</w:t>
            </w:r>
          </w:p>
        </w:tc>
      </w:tr>
      <w:tr w:rsidR="00854ADA" w:rsidRPr="00FF386D" w14:paraId="18EDCF83" w14:textId="77777777" w:rsidTr="0057310C">
        <w:trPr>
          <w:trHeight w:val="315"/>
        </w:trPr>
        <w:tc>
          <w:tcPr>
            <w:tcW w:w="3221" w:type="dxa"/>
            <w:tcBorders>
              <w:top w:val="nil"/>
              <w:left w:val="single" w:sz="8" w:space="0" w:color="auto"/>
              <w:bottom w:val="single" w:sz="8" w:space="0" w:color="auto"/>
              <w:right w:val="single" w:sz="8" w:space="0" w:color="auto"/>
            </w:tcBorders>
            <w:shd w:val="clear" w:color="000000" w:fill="244062"/>
            <w:vAlign w:val="center"/>
            <w:hideMark/>
          </w:tcPr>
          <w:p w14:paraId="5BA59396" w14:textId="68D1B8E0"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67" w:type="dxa"/>
            <w:gridSpan w:val="6"/>
            <w:tcBorders>
              <w:top w:val="single" w:sz="8" w:space="0" w:color="auto"/>
              <w:left w:val="nil"/>
              <w:bottom w:val="single" w:sz="8" w:space="0" w:color="auto"/>
              <w:right w:val="single" w:sz="8" w:space="0" w:color="000000"/>
            </w:tcBorders>
            <w:vAlign w:val="center"/>
          </w:tcPr>
          <w:p w14:paraId="7A1BD601"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Производња биометана и других гасова са смањеним садржајем угљеника</w:t>
            </w:r>
          </w:p>
        </w:tc>
      </w:tr>
      <w:tr w:rsidR="00854ADA" w:rsidRPr="00FF386D" w14:paraId="1AAFC563" w14:textId="77777777" w:rsidTr="0057310C">
        <w:trPr>
          <w:trHeight w:val="674"/>
        </w:trPr>
        <w:tc>
          <w:tcPr>
            <w:tcW w:w="3221" w:type="dxa"/>
            <w:tcBorders>
              <w:top w:val="nil"/>
              <w:left w:val="single" w:sz="8" w:space="0" w:color="auto"/>
              <w:bottom w:val="single" w:sz="8" w:space="0" w:color="auto"/>
              <w:right w:val="single" w:sz="8" w:space="0" w:color="auto"/>
            </w:tcBorders>
            <w:shd w:val="clear" w:color="000000" w:fill="244062"/>
            <w:vAlign w:val="center"/>
            <w:hideMark/>
          </w:tcPr>
          <w:p w14:paraId="763EA4D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67" w:type="dxa"/>
            <w:gridSpan w:val="6"/>
            <w:tcBorders>
              <w:top w:val="single" w:sz="8" w:space="0" w:color="auto"/>
              <w:left w:val="nil"/>
              <w:bottom w:val="single" w:sz="8" w:space="0" w:color="auto"/>
              <w:right w:val="single" w:sz="8" w:space="0" w:color="000000"/>
            </w:tcBorders>
            <w:vAlign w:val="center"/>
            <w:hideMark/>
          </w:tcPr>
          <w:p w14:paraId="5C46942F" w14:textId="69B28EA5"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Као припрема у поступку решавања изазова енергетске транзиције, размотриће се законске и регулаторне могућности за п</w:t>
            </w:r>
            <w:r w:rsidR="00F20A69" w:rsidRPr="00FF386D">
              <w:rPr>
                <w:rFonts w:ascii="Calibri Light" w:hAnsi="Calibri Light"/>
                <w:sz w:val="20"/>
              </w:rPr>
              <w:t>одстицање</w:t>
            </w:r>
            <w:r w:rsidRPr="00FF386D">
              <w:rPr>
                <w:rFonts w:ascii="Calibri Light" w:hAnsi="Calibri Light"/>
                <w:sz w:val="20"/>
              </w:rPr>
              <w:t xml:space="preserve"> </w:t>
            </w:r>
            <w:r w:rsidRPr="00FF386D">
              <w:rPr>
                <w:rFonts w:ascii="Calibri Light" w:eastAsia="NSimSun" w:hAnsi="Calibri Light" w:cs="Mangal"/>
                <w:kern w:val="2"/>
                <w:sz w:val="20"/>
                <w:szCs w:val="24"/>
                <w:lang w:eastAsia="zh-CN" w:bidi="hi-IN"/>
              </w:rPr>
              <w:t>у</w:t>
            </w:r>
            <w:r w:rsidR="005E3D7E" w:rsidRPr="00FF386D">
              <w:rPr>
                <w:rFonts w:ascii="Calibri Light" w:eastAsia="NSimSun" w:hAnsi="Calibri Light" w:cs="Mangal"/>
                <w:kern w:val="2"/>
                <w:sz w:val="20"/>
                <w:szCs w:val="24"/>
                <w:lang w:eastAsia="zh-CN" w:bidi="hi-IN"/>
              </w:rPr>
              <w:t>пумпавања</w:t>
            </w:r>
            <w:r w:rsidRPr="00FF386D">
              <w:rPr>
                <w:rFonts w:ascii="Calibri Light" w:hAnsi="Calibri Light"/>
                <w:sz w:val="20"/>
              </w:rPr>
              <w:t xml:space="preserve"> биометана и других гасова са смањеним садржајем угљеника. Такве опције могу</w:t>
            </w:r>
            <w:r w:rsidR="005E3D7E" w:rsidRPr="00FF386D">
              <w:rPr>
                <w:rFonts w:ascii="Calibri Light" w:hAnsi="Calibri Light"/>
                <w:sz w:val="20"/>
              </w:rPr>
              <w:t>,</w:t>
            </w:r>
            <w:r w:rsidRPr="00FF386D">
              <w:rPr>
                <w:rFonts w:ascii="Calibri Light" w:hAnsi="Calibri Light"/>
                <w:sz w:val="20"/>
              </w:rPr>
              <w:t xml:space="preserve"> на пример</w:t>
            </w:r>
            <w:r w:rsidR="005E3D7E" w:rsidRPr="00FF386D">
              <w:rPr>
                <w:rFonts w:ascii="Calibri Light" w:hAnsi="Calibri Light"/>
                <w:sz w:val="20"/>
              </w:rPr>
              <w:t>,</w:t>
            </w:r>
            <w:r w:rsidRPr="00FF386D">
              <w:rPr>
                <w:rFonts w:ascii="Calibri Light" w:hAnsi="Calibri Light"/>
                <w:sz w:val="20"/>
              </w:rPr>
              <w:t xml:space="preserve"> укључивати шеме подршке, поједностављење правила повезивања и трошкова, приоритет при </w:t>
            </w:r>
            <w:r w:rsidR="005E3D7E" w:rsidRPr="00FF386D">
              <w:rPr>
                <w:rFonts w:ascii="Calibri Light" w:hAnsi="Calibri Light"/>
                <w:sz w:val="20"/>
              </w:rPr>
              <w:t>пумпању</w:t>
            </w:r>
            <w:r w:rsidRPr="00FF386D">
              <w:rPr>
                <w:rFonts w:ascii="Calibri Light" w:hAnsi="Calibri Light"/>
                <w:sz w:val="20"/>
              </w:rPr>
              <w:t>, једноставнија правила балансирања</w:t>
            </w:r>
          </w:p>
        </w:tc>
      </w:tr>
      <w:tr w:rsidR="00854ADA" w:rsidRPr="00FF386D" w14:paraId="2DB76539" w14:textId="77777777" w:rsidTr="0057310C">
        <w:trPr>
          <w:trHeight w:val="315"/>
        </w:trPr>
        <w:tc>
          <w:tcPr>
            <w:tcW w:w="3221" w:type="dxa"/>
            <w:tcBorders>
              <w:top w:val="nil"/>
              <w:left w:val="single" w:sz="8" w:space="0" w:color="auto"/>
              <w:bottom w:val="single" w:sz="8" w:space="0" w:color="auto"/>
              <w:right w:val="single" w:sz="8" w:space="0" w:color="auto"/>
            </w:tcBorders>
            <w:shd w:val="clear" w:color="000000" w:fill="244062"/>
            <w:vAlign w:val="center"/>
            <w:hideMark/>
          </w:tcPr>
          <w:p w14:paraId="6434398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67" w:type="dxa"/>
            <w:gridSpan w:val="6"/>
            <w:tcBorders>
              <w:top w:val="single" w:sz="8" w:space="0" w:color="auto"/>
              <w:left w:val="nil"/>
              <w:bottom w:val="single" w:sz="8" w:space="0" w:color="auto"/>
              <w:right w:val="single" w:sz="8" w:space="0" w:color="000000"/>
            </w:tcBorders>
            <w:vAlign w:val="center"/>
            <w:hideMark/>
          </w:tcPr>
          <w:p w14:paraId="42901D0D"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2021-2030.</w:t>
            </w:r>
          </w:p>
        </w:tc>
      </w:tr>
      <w:tr w:rsidR="00854ADA" w:rsidRPr="00FF386D" w14:paraId="6C97E1F0" w14:textId="77777777" w:rsidTr="0057310C">
        <w:trPr>
          <w:trHeight w:val="315"/>
        </w:trPr>
        <w:tc>
          <w:tcPr>
            <w:tcW w:w="3221" w:type="dxa"/>
            <w:tcBorders>
              <w:top w:val="nil"/>
              <w:left w:val="single" w:sz="8" w:space="0" w:color="auto"/>
              <w:bottom w:val="single" w:sz="8" w:space="0" w:color="auto"/>
              <w:right w:val="single" w:sz="8" w:space="0" w:color="auto"/>
            </w:tcBorders>
            <w:shd w:val="clear" w:color="000000" w:fill="244062"/>
            <w:vAlign w:val="center"/>
            <w:hideMark/>
          </w:tcPr>
          <w:p w14:paraId="6FB30BF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67" w:type="dxa"/>
            <w:gridSpan w:val="6"/>
            <w:tcBorders>
              <w:top w:val="single" w:sz="8" w:space="0" w:color="auto"/>
              <w:left w:val="nil"/>
              <w:bottom w:val="single" w:sz="8" w:space="0" w:color="auto"/>
              <w:right w:val="single" w:sz="8" w:space="0" w:color="000000"/>
            </w:tcBorders>
            <w:vAlign w:val="center"/>
            <w:hideMark/>
          </w:tcPr>
          <w:p w14:paraId="42DE7E16"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Реформа</w:t>
            </w:r>
          </w:p>
        </w:tc>
      </w:tr>
      <w:tr w:rsidR="00854ADA" w:rsidRPr="00FF386D" w14:paraId="4E9EA3BC" w14:textId="77777777" w:rsidTr="0057310C">
        <w:trPr>
          <w:trHeight w:val="315"/>
        </w:trPr>
        <w:tc>
          <w:tcPr>
            <w:tcW w:w="3221" w:type="dxa"/>
            <w:tcBorders>
              <w:top w:val="nil"/>
              <w:left w:val="single" w:sz="8" w:space="0" w:color="auto"/>
              <w:bottom w:val="single" w:sz="8" w:space="0" w:color="auto"/>
              <w:right w:val="single" w:sz="8" w:space="0" w:color="auto"/>
            </w:tcBorders>
            <w:shd w:val="clear" w:color="000000" w:fill="244062"/>
            <w:vAlign w:val="center"/>
            <w:hideMark/>
          </w:tcPr>
          <w:p w14:paraId="19C3AD2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67" w:type="dxa"/>
            <w:gridSpan w:val="6"/>
            <w:tcBorders>
              <w:top w:val="single" w:sz="8" w:space="0" w:color="auto"/>
              <w:left w:val="nil"/>
              <w:bottom w:val="single" w:sz="8" w:space="0" w:color="auto"/>
              <w:right w:val="single" w:sz="8" w:space="0" w:color="000000"/>
            </w:tcBorders>
            <w:vAlign w:val="center"/>
            <w:hideMark/>
          </w:tcPr>
          <w:p w14:paraId="02D55EB3"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Гас</w:t>
            </w:r>
          </w:p>
        </w:tc>
      </w:tr>
      <w:tr w:rsidR="00854ADA" w:rsidRPr="00FF386D" w14:paraId="11F032B2" w14:textId="77777777" w:rsidTr="0057310C">
        <w:trPr>
          <w:trHeight w:val="315"/>
        </w:trPr>
        <w:tc>
          <w:tcPr>
            <w:tcW w:w="3221" w:type="dxa"/>
            <w:tcBorders>
              <w:top w:val="nil"/>
              <w:left w:val="single" w:sz="8" w:space="0" w:color="auto"/>
              <w:bottom w:val="single" w:sz="8" w:space="0" w:color="auto"/>
              <w:right w:val="single" w:sz="8" w:space="0" w:color="auto"/>
            </w:tcBorders>
            <w:shd w:val="clear" w:color="000000" w:fill="244062"/>
            <w:vAlign w:val="center"/>
            <w:hideMark/>
          </w:tcPr>
          <w:p w14:paraId="36FC51A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67" w:type="dxa"/>
            <w:gridSpan w:val="6"/>
            <w:tcBorders>
              <w:top w:val="single" w:sz="8" w:space="0" w:color="auto"/>
              <w:left w:val="nil"/>
              <w:bottom w:val="single" w:sz="8" w:space="0" w:color="auto"/>
              <w:right w:val="single" w:sz="8" w:space="0" w:color="000000"/>
            </w:tcBorders>
            <w:vAlign w:val="center"/>
            <w:hideMark/>
          </w:tcPr>
          <w:p w14:paraId="08D5ECF5" w14:textId="77777777" w:rsidR="00854ADA" w:rsidRPr="00FF386D" w:rsidRDefault="00854ADA" w:rsidP="00854ADA">
            <w:pPr>
              <w:numPr>
                <w:ilvl w:val="0"/>
                <w:numId w:val="66"/>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Министарство рударства и енергетике</w:t>
            </w:r>
          </w:p>
        </w:tc>
      </w:tr>
      <w:tr w:rsidR="00854ADA" w:rsidRPr="00FF386D" w14:paraId="62E6250D" w14:textId="77777777" w:rsidTr="0057310C">
        <w:trPr>
          <w:trHeight w:val="315"/>
        </w:trPr>
        <w:tc>
          <w:tcPr>
            <w:tcW w:w="3221" w:type="dxa"/>
            <w:tcBorders>
              <w:top w:val="nil"/>
              <w:left w:val="single" w:sz="8" w:space="0" w:color="auto"/>
              <w:bottom w:val="single" w:sz="8" w:space="0" w:color="auto"/>
              <w:right w:val="nil"/>
            </w:tcBorders>
            <w:shd w:val="clear" w:color="000000" w:fill="244062"/>
            <w:vAlign w:val="center"/>
            <w:hideMark/>
          </w:tcPr>
          <w:p w14:paraId="46D5994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67" w:type="dxa"/>
            <w:gridSpan w:val="6"/>
            <w:tcBorders>
              <w:top w:val="single" w:sz="8" w:space="0" w:color="auto"/>
              <w:left w:val="nil"/>
              <w:bottom w:val="single" w:sz="8" w:space="0" w:color="auto"/>
              <w:right w:val="single" w:sz="8" w:space="0" w:color="000000"/>
            </w:tcBorders>
            <w:vAlign w:val="center"/>
            <w:hideMark/>
          </w:tcPr>
          <w:p w14:paraId="0B65FEA1" w14:textId="15CB6A5C" w:rsidR="00854ADA" w:rsidRPr="00FF386D" w:rsidRDefault="00BE3F52" w:rsidP="00854ADA">
            <w:pPr>
              <w:numPr>
                <w:ilvl w:val="0"/>
                <w:numId w:val="66"/>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рударства и енергетике</w:t>
            </w:r>
          </w:p>
        </w:tc>
      </w:tr>
      <w:tr w:rsidR="00854ADA" w:rsidRPr="00FF386D" w14:paraId="6BA8136E" w14:textId="77777777" w:rsidTr="0057310C">
        <w:trPr>
          <w:trHeight w:val="315"/>
        </w:trPr>
        <w:tc>
          <w:tcPr>
            <w:tcW w:w="3221" w:type="dxa"/>
            <w:tcBorders>
              <w:top w:val="nil"/>
              <w:left w:val="single" w:sz="8" w:space="0" w:color="auto"/>
              <w:bottom w:val="single" w:sz="8" w:space="0" w:color="auto"/>
              <w:right w:val="nil"/>
            </w:tcBorders>
            <w:shd w:val="clear" w:color="000000" w:fill="244062"/>
            <w:vAlign w:val="center"/>
            <w:hideMark/>
          </w:tcPr>
          <w:p w14:paraId="3228574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67" w:type="dxa"/>
            <w:gridSpan w:val="6"/>
            <w:tcBorders>
              <w:top w:val="single" w:sz="8" w:space="0" w:color="auto"/>
              <w:left w:val="nil"/>
              <w:bottom w:val="single" w:sz="8" w:space="0" w:color="auto"/>
              <w:right w:val="single" w:sz="8" w:space="0" w:color="000000"/>
            </w:tcBorders>
            <w:vAlign w:val="center"/>
            <w:hideMark/>
          </w:tcPr>
          <w:p w14:paraId="50A882A0"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Производња биометана и других гасова са смањеним садржајем угљеника као проценат укупног увоза гаса и националне производње</w:t>
            </w:r>
          </w:p>
        </w:tc>
      </w:tr>
      <w:tr w:rsidR="00854ADA" w:rsidRPr="00FF386D" w14:paraId="42B93819" w14:textId="77777777" w:rsidTr="0057310C">
        <w:trPr>
          <w:trHeight w:val="528"/>
        </w:trPr>
        <w:tc>
          <w:tcPr>
            <w:tcW w:w="3221" w:type="dxa"/>
            <w:tcBorders>
              <w:top w:val="nil"/>
              <w:left w:val="single" w:sz="8" w:space="0" w:color="auto"/>
              <w:bottom w:val="single" w:sz="8" w:space="0" w:color="auto"/>
              <w:right w:val="single" w:sz="8" w:space="0" w:color="auto"/>
            </w:tcBorders>
            <w:shd w:val="clear" w:color="000000" w:fill="244062"/>
            <w:vAlign w:val="center"/>
            <w:hideMark/>
          </w:tcPr>
          <w:p w14:paraId="29FE64F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67" w:type="dxa"/>
            <w:gridSpan w:val="6"/>
            <w:tcBorders>
              <w:top w:val="single" w:sz="8" w:space="0" w:color="auto"/>
              <w:left w:val="nil"/>
              <w:bottom w:val="single" w:sz="8" w:space="0" w:color="auto"/>
              <w:right w:val="single" w:sz="8" w:space="0" w:color="000000"/>
            </w:tcBorders>
            <w:vAlign w:val="center"/>
            <w:hideMark/>
          </w:tcPr>
          <w:p w14:paraId="1F7410E7" w14:textId="77777777" w:rsidR="00854ADA" w:rsidRPr="00FF386D" w:rsidRDefault="00854ADA" w:rsidP="00854ADA">
            <w:pPr>
              <w:numPr>
                <w:ilvl w:val="0"/>
                <w:numId w:val="78"/>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Декарбонизација</w:t>
            </w:r>
          </w:p>
        </w:tc>
      </w:tr>
      <w:tr w:rsidR="00854ADA" w:rsidRPr="00FF386D" w14:paraId="6F73B802" w14:textId="77777777" w:rsidTr="0057310C">
        <w:trPr>
          <w:trHeight w:val="450"/>
        </w:trPr>
        <w:tc>
          <w:tcPr>
            <w:tcW w:w="3221"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56A9EA2D" w14:textId="611CEE10"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67" w:type="dxa"/>
            <w:gridSpan w:val="6"/>
            <w:vMerge w:val="restart"/>
            <w:tcBorders>
              <w:top w:val="single" w:sz="8" w:space="0" w:color="auto"/>
              <w:left w:val="single" w:sz="8" w:space="0" w:color="auto"/>
              <w:bottom w:val="single" w:sz="8" w:space="0" w:color="000000"/>
              <w:right w:val="single" w:sz="8" w:space="0" w:color="000000"/>
            </w:tcBorders>
            <w:vAlign w:val="center"/>
            <w:hideMark/>
          </w:tcPr>
          <w:p w14:paraId="4F89AB0B" w14:textId="77777777" w:rsidR="00854ADA" w:rsidRPr="00FF386D" w:rsidRDefault="00854ADA" w:rsidP="00854ADA">
            <w:pPr>
              <w:numPr>
                <w:ilvl w:val="0"/>
                <w:numId w:val="77"/>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Директива 2009/73/EЗ</w:t>
            </w:r>
          </w:p>
        </w:tc>
      </w:tr>
      <w:tr w:rsidR="00854ADA" w:rsidRPr="00FF386D" w14:paraId="1E1789A7"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45671DF6"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67" w:type="dxa"/>
            <w:gridSpan w:val="6"/>
            <w:vMerge/>
            <w:tcBorders>
              <w:top w:val="single" w:sz="8" w:space="0" w:color="auto"/>
              <w:left w:val="single" w:sz="8" w:space="0" w:color="auto"/>
              <w:bottom w:val="single" w:sz="8" w:space="0" w:color="000000"/>
              <w:right w:val="single" w:sz="8" w:space="0" w:color="000000"/>
            </w:tcBorders>
            <w:vAlign w:val="center"/>
            <w:hideMark/>
          </w:tcPr>
          <w:p w14:paraId="1FF53C50"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24D74DC8"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0808952D"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67" w:type="dxa"/>
            <w:gridSpan w:val="6"/>
            <w:vMerge/>
            <w:tcBorders>
              <w:top w:val="single" w:sz="8" w:space="0" w:color="auto"/>
              <w:left w:val="single" w:sz="8" w:space="0" w:color="auto"/>
              <w:bottom w:val="single" w:sz="8" w:space="0" w:color="000000"/>
              <w:right w:val="single" w:sz="8" w:space="0" w:color="000000"/>
            </w:tcBorders>
            <w:vAlign w:val="center"/>
            <w:hideMark/>
          </w:tcPr>
          <w:p w14:paraId="4C4F9A17"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002FACD5" w14:textId="77777777" w:rsidTr="0057310C">
        <w:trPr>
          <w:trHeight w:val="780"/>
        </w:trPr>
        <w:tc>
          <w:tcPr>
            <w:tcW w:w="3221" w:type="dxa"/>
            <w:tcBorders>
              <w:top w:val="nil"/>
              <w:left w:val="single" w:sz="8" w:space="0" w:color="auto"/>
              <w:bottom w:val="single" w:sz="8" w:space="0" w:color="auto"/>
              <w:right w:val="single" w:sz="8" w:space="0" w:color="auto"/>
            </w:tcBorders>
            <w:shd w:val="clear" w:color="000000" w:fill="244062"/>
            <w:vAlign w:val="center"/>
            <w:hideMark/>
          </w:tcPr>
          <w:p w14:paraId="72CFBAE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67" w:type="dxa"/>
            <w:gridSpan w:val="6"/>
            <w:tcBorders>
              <w:top w:val="single" w:sz="8" w:space="0" w:color="auto"/>
              <w:left w:val="nil"/>
              <w:bottom w:val="single" w:sz="8" w:space="0" w:color="auto"/>
              <w:right w:val="single" w:sz="8" w:space="0" w:color="000000"/>
            </w:tcBorders>
            <w:vAlign w:val="center"/>
            <w:hideMark/>
          </w:tcPr>
          <w:p w14:paraId="26435564" w14:textId="77777777" w:rsidR="00854ADA" w:rsidRPr="00FF386D" w:rsidRDefault="00854ADA" w:rsidP="00854ADA">
            <w:pPr>
              <w:numPr>
                <w:ilvl w:val="0"/>
                <w:numId w:val="79"/>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Закон о енергетици</w:t>
            </w:r>
          </w:p>
        </w:tc>
      </w:tr>
      <w:tr w:rsidR="00854ADA" w:rsidRPr="00FF386D" w14:paraId="538339D8" w14:textId="77777777" w:rsidTr="0057310C">
        <w:trPr>
          <w:trHeight w:val="315"/>
        </w:trPr>
        <w:tc>
          <w:tcPr>
            <w:tcW w:w="3221" w:type="dxa"/>
            <w:tcBorders>
              <w:top w:val="nil"/>
              <w:left w:val="single" w:sz="8" w:space="0" w:color="auto"/>
              <w:bottom w:val="single" w:sz="8" w:space="0" w:color="auto"/>
              <w:right w:val="single" w:sz="8" w:space="0" w:color="auto"/>
            </w:tcBorders>
            <w:shd w:val="clear" w:color="000000" w:fill="244062"/>
            <w:vAlign w:val="center"/>
            <w:hideMark/>
          </w:tcPr>
          <w:p w14:paraId="4006102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67" w:type="dxa"/>
            <w:gridSpan w:val="6"/>
            <w:tcBorders>
              <w:top w:val="single" w:sz="8" w:space="0" w:color="auto"/>
              <w:left w:val="nil"/>
              <w:bottom w:val="single" w:sz="8" w:space="0" w:color="auto"/>
              <w:right w:val="single" w:sz="8" w:space="0" w:color="000000"/>
            </w:tcBorders>
            <w:vAlign w:val="center"/>
            <w:hideMark/>
          </w:tcPr>
          <w:p w14:paraId="43A607BA"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0,2 милиона евра</w:t>
            </w:r>
          </w:p>
        </w:tc>
      </w:tr>
      <w:tr w:rsidR="00854ADA" w:rsidRPr="00FF386D" w14:paraId="02B26D11" w14:textId="77777777" w:rsidTr="0057310C">
        <w:trPr>
          <w:trHeight w:val="315"/>
        </w:trPr>
        <w:tc>
          <w:tcPr>
            <w:tcW w:w="3221" w:type="dxa"/>
            <w:tcBorders>
              <w:top w:val="nil"/>
              <w:left w:val="single" w:sz="8" w:space="0" w:color="auto"/>
              <w:bottom w:val="single" w:sz="8" w:space="0" w:color="auto"/>
              <w:right w:val="single" w:sz="8" w:space="0" w:color="auto"/>
            </w:tcBorders>
            <w:shd w:val="clear" w:color="000000" w:fill="244062"/>
            <w:vAlign w:val="center"/>
            <w:hideMark/>
          </w:tcPr>
          <w:p w14:paraId="6C4EF40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67" w:type="dxa"/>
            <w:gridSpan w:val="6"/>
            <w:tcBorders>
              <w:top w:val="single" w:sz="8" w:space="0" w:color="auto"/>
              <w:left w:val="nil"/>
              <w:bottom w:val="single" w:sz="8" w:space="0" w:color="auto"/>
              <w:right w:val="single" w:sz="8" w:space="0" w:color="000000"/>
            </w:tcBorders>
            <w:vAlign w:val="center"/>
            <w:hideMark/>
          </w:tcPr>
          <w:p w14:paraId="2BF575BC" w14:textId="04F33016"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Фондови ЕУ и други фондови,</w:t>
            </w:r>
            <w:r w:rsidR="00BE3F52" w:rsidRPr="00FF386D">
              <w:rPr>
                <w:rFonts w:ascii="Calibri Light" w:eastAsia="Times New Roman" w:hAnsi="Calibri Light" w:cs="Calibri Light"/>
                <w:color w:val="000000"/>
                <w:sz w:val="20"/>
                <w:szCs w:val="20"/>
                <w:lang w:eastAsia="en-GB"/>
              </w:rPr>
              <w:t xml:space="preserve"> </w:t>
            </w:r>
            <w:r w:rsidRPr="00FF386D">
              <w:rPr>
                <w:rFonts w:ascii="Calibri Light" w:eastAsia="Times New Roman" w:hAnsi="Calibri Light" w:cs="Calibri Light"/>
                <w:color w:val="000000"/>
                <w:sz w:val="20"/>
                <w:szCs w:val="20"/>
                <w:lang w:eastAsia="en-GB"/>
              </w:rPr>
              <w:t>буџет</w:t>
            </w:r>
            <w:r w:rsidR="00BE3F52" w:rsidRPr="00FF386D">
              <w:rPr>
                <w:rFonts w:ascii="Calibri Light" w:eastAsia="Times New Roman" w:hAnsi="Calibri Light" w:cs="Calibri Light"/>
                <w:color w:val="000000"/>
                <w:sz w:val="20"/>
                <w:szCs w:val="20"/>
                <w:lang w:eastAsia="en-GB"/>
              </w:rPr>
              <w:t>ска средства</w:t>
            </w:r>
          </w:p>
        </w:tc>
      </w:tr>
      <w:tr w:rsidR="00854ADA" w:rsidRPr="00FF386D" w14:paraId="3A8CA32A" w14:textId="77777777" w:rsidTr="0057310C">
        <w:trPr>
          <w:trHeight w:val="780"/>
        </w:trPr>
        <w:tc>
          <w:tcPr>
            <w:tcW w:w="3265" w:type="dxa"/>
            <w:gridSpan w:val="2"/>
            <w:tcBorders>
              <w:top w:val="single" w:sz="8" w:space="0" w:color="auto"/>
              <w:left w:val="single" w:sz="8" w:space="0" w:color="auto"/>
              <w:bottom w:val="single" w:sz="8" w:space="0" w:color="auto"/>
              <w:right w:val="single" w:sz="8" w:space="0" w:color="auto"/>
            </w:tcBorders>
            <w:shd w:val="clear" w:color="000000" w:fill="244062"/>
            <w:vAlign w:val="center"/>
            <w:hideMark/>
          </w:tcPr>
          <w:p w14:paraId="5C2A8C68" w14:textId="50AE63F5"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2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675947B9" w14:textId="13B208DB" w:rsidR="00854ADA" w:rsidRPr="000A2AFE" w:rsidRDefault="00854ADA" w:rsidP="00854ADA">
            <w:pPr>
              <w:spacing w:after="0" w:line="240" w:lineRule="auto"/>
              <w:jc w:val="both"/>
              <w:rPr>
                <w:rFonts w:asciiTheme="majorHAnsi" w:eastAsia="Times New Roman" w:hAnsiTheme="majorHAnsi" w:cstheme="majorHAnsi"/>
                <w:b/>
                <w:bCs/>
                <w:color w:val="000000"/>
                <w:sz w:val="20"/>
                <w:szCs w:val="20"/>
                <w:lang w:val="sr-Latn-RS" w:eastAsia="en-GB"/>
              </w:rPr>
            </w:pPr>
            <w:r w:rsidRPr="00FF386D">
              <w:rPr>
                <w:rFonts w:ascii="Calibri Light" w:hAnsi="Calibri Light"/>
                <w:b/>
                <w:sz w:val="20"/>
              </w:rPr>
              <w:t>МП_</w:t>
            </w:r>
            <w:r w:rsidR="001F12FD" w:rsidRPr="00FF386D">
              <w:rPr>
                <w:rFonts w:ascii="Calibri Light" w:hAnsi="Calibri Light"/>
                <w:b/>
                <w:sz w:val="20"/>
              </w:rPr>
              <w:t>УЕТ3</w:t>
            </w:r>
            <w:r w:rsidR="001F12FD">
              <w:rPr>
                <w:rFonts w:ascii="Calibri Light" w:hAnsi="Calibri Light"/>
                <w:b/>
                <w:sz w:val="20"/>
                <w:lang w:val="sr-Latn-RS"/>
              </w:rPr>
              <w:t>0</w:t>
            </w:r>
          </w:p>
        </w:tc>
        <w:tc>
          <w:tcPr>
            <w:tcW w:w="931" w:type="dxa"/>
            <w:gridSpan w:val="2"/>
            <w:tcBorders>
              <w:top w:val="single" w:sz="8" w:space="0" w:color="auto"/>
              <w:left w:val="nil"/>
              <w:bottom w:val="single" w:sz="8" w:space="0" w:color="auto"/>
              <w:right w:val="single" w:sz="8" w:space="0" w:color="auto"/>
            </w:tcBorders>
            <w:shd w:val="clear" w:color="auto" w:fill="244062"/>
            <w:vAlign w:val="center"/>
            <w:hideMark/>
          </w:tcPr>
          <w:p w14:paraId="67216B28" w14:textId="77777777" w:rsidR="00854ADA" w:rsidRPr="00FF386D" w:rsidRDefault="00854ADA" w:rsidP="00854ADA">
            <w:pPr>
              <w:spacing w:after="0" w:line="240" w:lineRule="auto"/>
              <w:jc w:val="both"/>
              <w:rPr>
                <w:rFonts w:asciiTheme="majorHAnsi" w:eastAsia="Times New Roman" w:hAnsiTheme="majorHAnsi" w:cstheme="majorHAnsi"/>
                <w:b/>
                <w:bCs/>
                <w:color w:val="FFFFFF"/>
                <w:sz w:val="20"/>
                <w:szCs w:val="20"/>
                <w:lang w:eastAsia="en-GB"/>
              </w:rPr>
            </w:pPr>
            <w:r w:rsidRPr="000A2AFE">
              <w:rPr>
                <w:rFonts w:ascii="Calibri Light" w:eastAsia="Times New Roman" w:hAnsi="Calibri Light" w:cs="Calibri Light"/>
                <w:b/>
                <w:bCs/>
                <w:color w:val="FFFFFF"/>
                <w:sz w:val="20"/>
                <w:szCs w:val="20"/>
                <w:lang w:eastAsia="en-GB"/>
              </w:rPr>
              <w:t>Назив</w:t>
            </w:r>
            <w:r w:rsidRPr="000A2AFE">
              <w:rPr>
                <w:rFonts w:asciiTheme="majorHAnsi" w:eastAsia="Times New Roman" w:hAnsiTheme="majorHAnsi" w:cstheme="majorHAnsi"/>
                <w:b/>
                <w:bCs/>
                <w:color w:val="FFFFFF"/>
                <w:sz w:val="20"/>
                <w:szCs w:val="20"/>
                <w:lang w:eastAsia="en-GB"/>
              </w:rPr>
              <w:t xml:space="preserve">: </w:t>
            </w:r>
          </w:p>
        </w:tc>
        <w:tc>
          <w:tcPr>
            <w:tcW w:w="4085" w:type="dxa"/>
            <w:gridSpan w:val="2"/>
            <w:tcBorders>
              <w:top w:val="single" w:sz="8" w:space="0" w:color="auto"/>
              <w:left w:val="nil"/>
              <w:bottom w:val="single" w:sz="8" w:space="0" w:color="auto"/>
              <w:right w:val="single" w:sz="8" w:space="0" w:color="auto"/>
            </w:tcBorders>
            <w:shd w:val="clear" w:color="auto" w:fill="E7E6E6" w:themeFill="background2"/>
            <w:vAlign w:val="center"/>
            <w:hideMark/>
          </w:tcPr>
          <w:p w14:paraId="0818CD67" w14:textId="008874A4" w:rsidR="00854ADA" w:rsidRPr="00FF386D" w:rsidRDefault="00854ADA" w:rsidP="00854ADA">
            <w:pPr>
              <w:spacing w:after="0" w:line="240" w:lineRule="auto"/>
              <w:jc w:val="both"/>
              <w:rPr>
                <w:rFonts w:asciiTheme="majorHAnsi" w:eastAsia="Times New Roman" w:hAnsiTheme="majorHAnsi" w:cstheme="majorHAnsi"/>
                <w:b/>
                <w:bCs/>
                <w:color w:val="000000"/>
                <w:sz w:val="20"/>
                <w:szCs w:val="20"/>
                <w:lang w:eastAsia="en-GB"/>
              </w:rPr>
            </w:pPr>
            <w:r w:rsidRPr="00FF386D">
              <w:rPr>
                <w:rFonts w:ascii="Calibri Light" w:hAnsi="Calibri Light"/>
                <w:b/>
                <w:sz w:val="20"/>
              </w:rPr>
              <w:t>Спајање тржишта са тржиштем дан-унапред (</w:t>
            </w:r>
            <w:r w:rsidRPr="00FF386D">
              <w:rPr>
                <w:rFonts w:ascii="Calibri Light" w:hAnsi="Calibri Light"/>
                <w:b/>
                <w:i/>
                <w:iCs/>
                <w:sz w:val="20"/>
              </w:rPr>
              <w:t>SDAC</w:t>
            </w:r>
            <w:r w:rsidRPr="00FF386D">
              <w:rPr>
                <w:rFonts w:ascii="Calibri Light" w:hAnsi="Calibri Light"/>
                <w:b/>
                <w:sz w:val="20"/>
              </w:rPr>
              <w:t>)</w:t>
            </w:r>
          </w:p>
        </w:tc>
      </w:tr>
      <w:tr w:rsidR="00854ADA" w:rsidRPr="00FF386D" w14:paraId="4E6092BE" w14:textId="77777777" w:rsidTr="0057310C">
        <w:trPr>
          <w:trHeight w:val="443"/>
        </w:trPr>
        <w:tc>
          <w:tcPr>
            <w:tcW w:w="3265" w:type="dxa"/>
            <w:gridSpan w:val="2"/>
            <w:tcBorders>
              <w:top w:val="nil"/>
              <w:left w:val="single" w:sz="8" w:space="0" w:color="auto"/>
              <w:bottom w:val="single" w:sz="8" w:space="0" w:color="auto"/>
              <w:right w:val="nil"/>
            </w:tcBorders>
            <w:shd w:val="clear" w:color="000000" w:fill="244062"/>
            <w:vAlign w:val="center"/>
            <w:hideMark/>
          </w:tcPr>
          <w:p w14:paraId="405C4552" w14:textId="4D3D8E23"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23" w:type="dxa"/>
            <w:gridSpan w:val="5"/>
            <w:tcBorders>
              <w:top w:val="single" w:sz="8" w:space="0" w:color="auto"/>
              <w:left w:val="nil"/>
              <w:bottom w:val="single" w:sz="8" w:space="0" w:color="auto"/>
              <w:right w:val="single" w:sz="8" w:space="0" w:color="000000"/>
            </w:tcBorders>
            <w:vAlign w:val="center"/>
          </w:tcPr>
          <w:p w14:paraId="2EDC2412" w14:textId="19A99BDF" w:rsidR="00854ADA" w:rsidRPr="00FF386D" w:rsidRDefault="008862E9"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eastAsia="Times New Roman" w:hAnsi="Calibri Light" w:cs="Calibri Light"/>
                <w:color w:val="000000"/>
                <w:sz w:val="20"/>
                <w:szCs w:val="20"/>
                <w:lang w:eastAsia="en-GB"/>
              </w:rPr>
              <w:t>Повећана флексибилност система и квалитет снабдевања електричном енергијом, посебно применом политика и мера које се односе на формирање цена заснованих на тржишту у складу са важећим законом; интеграција и спајање тржишта с циљем да се повећају капацитети</w:t>
            </w:r>
            <w:r w:rsidR="001C3577" w:rsidRPr="001C3577">
              <w:rPr>
                <w:rFonts w:ascii="Calibri Light" w:eastAsia="Times New Roman" w:hAnsi="Calibri Light" w:cs="Calibri Light"/>
                <w:color w:val="000000"/>
                <w:sz w:val="20"/>
                <w:szCs w:val="20"/>
                <w:lang w:eastAsia="en-GB"/>
              </w:rPr>
              <w:t xml:space="preserve"> за трговање</w:t>
            </w:r>
            <w:r w:rsidRPr="00FF386D">
              <w:rPr>
                <w:rFonts w:ascii="Calibri Light" w:eastAsia="Times New Roman" w:hAnsi="Calibri Light" w:cs="Calibri Light"/>
                <w:color w:val="000000"/>
                <w:sz w:val="20"/>
                <w:szCs w:val="20"/>
                <w:lang w:eastAsia="en-GB"/>
              </w:rPr>
              <w:t xml:space="preserve"> постојећих интерконектора, паметних мрежа, агрегације, </w:t>
            </w:r>
            <w:r w:rsidR="001C3577" w:rsidRPr="001C3577">
              <w:rPr>
                <w:rFonts w:ascii="Calibri Light" w:eastAsia="Times New Roman" w:hAnsi="Calibri Light" w:cs="Calibri Light"/>
                <w:color w:val="000000"/>
                <w:sz w:val="20"/>
                <w:szCs w:val="20"/>
                <w:lang w:eastAsia="en-GB"/>
              </w:rPr>
              <w:t>одзив</w:t>
            </w:r>
            <w:r w:rsidR="001C3577">
              <w:rPr>
                <w:rFonts w:ascii="Calibri Light" w:eastAsia="Times New Roman" w:hAnsi="Calibri Light" w:cs="Calibri Light"/>
                <w:color w:val="000000"/>
                <w:sz w:val="20"/>
                <w:szCs w:val="20"/>
                <w:lang w:eastAsia="en-GB"/>
              </w:rPr>
              <w:t>а</w:t>
            </w:r>
            <w:r w:rsidR="001C3577" w:rsidRPr="001C3577">
              <w:rPr>
                <w:rFonts w:ascii="Calibri Light" w:eastAsia="Times New Roman" w:hAnsi="Calibri Light" w:cs="Calibri Light"/>
                <w:color w:val="000000"/>
                <w:sz w:val="20"/>
                <w:szCs w:val="20"/>
                <w:lang w:eastAsia="en-GB"/>
              </w:rPr>
              <w:t xml:space="preserve"> потрошње</w:t>
            </w:r>
            <w:r w:rsidRPr="00FF386D">
              <w:rPr>
                <w:rFonts w:ascii="Calibri Light" w:eastAsia="Times New Roman" w:hAnsi="Calibri Light" w:cs="Calibri Light"/>
                <w:color w:val="000000"/>
                <w:sz w:val="20"/>
                <w:szCs w:val="20"/>
                <w:lang w:eastAsia="en-GB"/>
              </w:rPr>
              <w:t>, складиштења, дистрибуиране производње, механизама за диспеч</w:t>
            </w:r>
            <w:r w:rsidR="002D1B59">
              <w:rPr>
                <w:rFonts w:ascii="Calibri Light" w:eastAsia="Times New Roman" w:hAnsi="Calibri Light" w:cs="Calibri Light"/>
                <w:color w:val="000000"/>
                <w:sz w:val="20"/>
                <w:szCs w:val="20"/>
                <w:lang w:eastAsia="en-GB"/>
              </w:rPr>
              <w:t>инг</w:t>
            </w:r>
            <w:r w:rsidRPr="00FF386D">
              <w:rPr>
                <w:rFonts w:ascii="Calibri Light" w:eastAsia="Times New Roman" w:hAnsi="Calibri Light" w:cs="Calibri Light"/>
                <w:color w:val="000000"/>
                <w:sz w:val="20"/>
                <w:szCs w:val="20"/>
                <w:lang w:eastAsia="en-GB"/>
              </w:rPr>
              <w:t>, редиспеч</w:t>
            </w:r>
            <w:r w:rsidR="002D1B59">
              <w:rPr>
                <w:rFonts w:ascii="Calibri Light" w:eastAsia="Times New Roman" w:hAnsi="Calibri Light" w:cs="Calibri Light"/>
                <w:color w:val="000000"/>
                <w:sz w:val="20"/>
                <w:szCs w:val="20"/>
                <w:lang w:eastAsia="en-GB"/>
              </w:rPr>
              <w:t>инг</w:t>
            </w:r>
            <w:r w:rsidRPr="00FF386D">
              <w:rPr>
                <w:rFonts w:ascii="Calibri Light" w:eastAsia="Times New Roman" w:hAnsi="Calibri Light" w:cs="Calibri Light"/>
                <w:color w:val="000000"/>
                <w:sz w:val="20"/>
                <w:szCs w:val="20"/>
                <w:lang w:eastAsia="en-GB"/>
              </w:rPr>
              <w:t xml:space="preserve"> и ограничавања производње, као и ценовних сигнала у реалном времену.</w:t>
            </w:r>
          </w:p>
        </w:tc>
      </w:tr>
      <w:tr w:rsidR="00854ADA" w:rsidRPr="00FF386D" w14:paraId="3F0E2097" w14:textId="77777777" w:rsidTr="0057310C">
        <w:trPr>
          <w:trHeight w:val="315"/>
        </w:trPr>
        <w:tc>
          <w:tcPr>
            <w:tcW w:w="3265" w:type="dxa"/>
            <w:gridSpan w:val="2"/>
            <w:tcBorders>
              <w:top w:val="nil"/>
              <w:left w:val="single" w:sz="8" w:space="0" w:color="auto"/>
              <w:bottom w:val="single" w:sz="8" w:space="0" w:color="auto"/>
              <w:right w:val="single" w:sz="8" w:space="0" w:color="auto"/>
            </w:tcBorders>
            <w:shd w:val="clear" w:color="000000" w:fill="244062"/>
            <w:vAlign w:val="center"/>
            <w:hideMark/>
          </w:tcPr>
          <w:p w14:paraId="69EA5272" w14:textId="4D82B04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23" w:type="dxa"/>
            <w:gridSpan w:val="5"/>
            <w:tcBorders>
              <w:top w:val="single" w:sz="8" w:space="0" w:color="auto"/>
              <w:left w:val="nil"/>
              <w:bottom w:val="single" w:sz="8" w:space="0" w:color="auto"/>
              <w:right w:val="single" w:sz="8" w:space="0" w:color="000000"/>
            </w:tcBorders>
            <w:vAlign w:val="center"/>
          </w:tcPr>
          <w:p w14:paraId="5D69CDEF" w14:textId="1ACD7296"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Спровођење правних тековина Енергетске заједнице, повећано коришћење интерконектора на тржишту, конвергенција цена са суседном зоном </w:t>
            </w:r>
            <w:r w:rsidR="001C3577" w:rsidRPr="001C3577">
              <w:rPr>
                <w:rFonts w:asciiTheme="majorHAnsi" w:eastAsia="Times New Roman" w:hAnsiTheme="majorHAnsi" w:cstheme="majorHAnsi"/>
                <w:color w:val="000000"/>
                <w:sz w:val="20"/>
                <w:szCs w:val="20"/>
                <w:lang w:eastAsia="en-GB"/>
              </w:rPr>
              <w:t>трговања</w:t>
            </w:r>
            <w:r w:rsidRPr="00FF386D">
              <w:rPr>
                <w:rFonts w:asciiTheme="majorHAnsi" w:eastAsia="Times New Roman" w:hAnsiTheme="majorHAnsi" w:cstheme="majorHAnsi"/>
                <w:color w:val="000000"/>
                <w:sz w:val="20"/>
                <w:szCs w:val="20"/>
                <w:lang w:eastAsia="en-GB"/>
              </w:rPr>
              <w:t>, повећано интеграција ОИЕ базирана на тржишту у миксу електричне енергије</w:t>
            </w:r>
            <w:r w:rsidR="00F20A69" w:rsidRPr="00FF386D">
              <w:rPr>
                <w:rFonts w:asciiTheme="majorHAnsi" w:eastAsia="Times New Roman" w:hAnsiTheme="majorHAnsi" w:cstheme="majorHAnsi"/>
                <w:color w:val="000000"/>
                <w:sz w:val="20"/>
                <w:szCs w:val="20"/>
                <w:lang w:eastAsia="en-GB"/>
              </w:rPr>
              <w:t xml:space="preserve"> </w:t>
            </w:r>
          </w:p>
        </w:tc>
      </w:tr>
      <w:tr w:rsidR="00854ADA" w:rsidRPr="00FF386D" w14:paraId="7335E59B" w14:textId="77777777" w:rsidTr="0057310C">
        <w:trPr>
          <w:trHeight w:val="443"/>
        </w:trPr>
        <w:tc>
          <w:tcPr>
            <w:tcW w:w="3265" w:type="dxa"/>
            <w:gridSpan w:val="2"/>
            <w:tcBorders>
              <w:top w:val="nil"/>
              <w:left w:val="single" w:sz="8" w:space="0" w:color="auto"/>
              <w:bottom w:val="single" w:sz="8" w:space="0" w:color="auto"/>
              <w:right w:val="single" w:sz="8" w:space="0" w:color="auto"/>
            </w:tcBorders>
            <w:shd w:val="clear" w:color="000000" w:fill="244062"/>
            <w:vAlign w:val="center"/>
            <w:hideMark/>
          </w:tcPr>
          <w:p w14:paraId="1C0527B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23" w:type="dxa"/>
            <w:gridSpan w:val="5"/>
            <w:tcBorders>
              <w:top w:val="single" w:sz="8" w:space="0" w:color="auto"/>
              <w:left w:val="nil"/>
              <w:bottom w:val="single" w:sz="8" w:space="0" w:color="auto"/>
              <w:right w:val="single" w:sz="8" w:space="0" w:color="000000"/>
            </w:tcBorders>
            <w:vAlign w:val="center"/>
            <w:hideMark/>
          </w:tcPr>
          <w:p w14:paraId="0CD219D6" w14:textId="29B16C49"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МП_УЕ</w:t>
            </w:r>
            <w:r w:rsidR="00F20A69" w:rsidRPr="00FF386D">
              <w:rPr>
                <w:rFonts w:ascii="Calibri Light" w:hAnsi="Calibri Light"/>
                <w:sz w:val="20"/>
              </w:rPr>
              <w:t>Т</w:t>
            </w:r>
            <w:r w:rsidRPr="00FF386D">
              <w:rPr>
                <w:rFonts w:ascii="Calibri Light" w:hAnsi="Calibri Light"/>
                <w:sz w:val="20"/>
              </w:rPr>
              <w:t>3</w:t>
            </w:r>
            <w:r w:rsidR="001F12FD">
              <w:rPr>
                <w:rFonts w:ascii="Calibri Light" w:hAnsi="Calibri Light"/>
                <w:sz w:val="20"/>
                <w:lang w:val="sr-Latn-RS"/>
              </w:rPr>
              <w:t>0</w:t>
            </w:r>
            <w:r w:rsidRPr="00FF386D">
              <w:rPr>
                <w:rFonts w:ascii="Calibri Light" w:hAnsi="Calibri Light"/>
                <w:sz w:val="20"/>
              </w:rPr>
              <w:t xml:space="preserve"> </w:t>
            </w:r>
            <w:r w:rsidR="00F20A69" w:rsidRPr="00FF386D">
              <w:rPr>
                <w:rFonts w:ascii="Calibri Light" w:hAnsi="Calibri Light"/>
                <w:sz w:val="20"/>
              </w:rPr>
              <w:t>настоји да</w:t>
            </w:r>
            <w:r w:rsidRPr="00FF386D">
              <w:rPr>
                <w:rFonts w:ascii="Calibri Light" w:hAnsi="Calibri Light"/>
                <w:sz w:val="20"/>
              </w:rPr>
              <w:t xml:space="preserve"> </w:t>
            </w:r>
            <w:r w:rsidR="00F20A69" w:rsidRPr="00FF386D">
              <w:rPr>
                <w:rFonts w:ascii="Calibri Light" w:hAnsi="Calibri Light"/>
                <w:sz w:val="20"/>
              </w:rPr>
              <w:t>спроведе додатну</w:t>
            </w:r>
            <w:r w:rsidRPr="00FF386D">
              <w:rPr>
                <w:rFonts w:ascii="Calibri Light" w:hAnsi="Calibri Light"/>
                <w:sz w:val="20"/>
              </w:rPr>
              <w:t xml:space="preserve"> интеграцију дан-унапред тржишта у Србији са Европским јединственим дан-унапред тржиштем (</w:t>
            </w:r>
            <w:r w:rsidR="001F12FD" w:rsidRPr="00FF386D">
              <w:rPr>
                <w:rFonts w:ascii="Calibri Light" w:hAnsi="Calibri Light"/>
                <w:i/>
                <w:iCs/>
                <w:sz w:val="20"/>
              </w:rPr>
              <w:t>S</w:t>
            </w:r>
            <w:r w:rsidR="001F12FD">
              <w:rPr>
                <w:rFonts w:ascii="Calibri Light" w:hAnsi="Calibri Light"/>
                <w:i/>
                <w:iCs/>
                <w:sz w:val="20"/>
                <w:lang w:val="sr-Latn-RS"/>
              </w:rPr>
              <w:t>DA</w:t>
            </w:r>
            <w:r w:rsidR="001F12FD" w:rsidRPr="00FF386D">
              <w:rPr>
                <w:rFonts w:ascii="Calibri Light" w:hAnsi="Calibri Light"/>
                <w:i/>
                <w:iCs/>
                <w:sz w:val="20"/>
              </w:rPr>
              <w:t>C</w:t>
            </w:r>
            <w:r w:rsidRPr="00FF386D">
              <w:rPr>
                <w:rFonts w:ascii="Calibri Light" w:hAnsi="Calibri Light"/>
                <w:sz w:val="20"/>
              </w:rPr>
              <w:t xml:space="preserve">). </w:t>
            </w:r>
            <w:r w:rsidR="001F12FD" w:rsidRPr="00FF386D">
              <w:rPr>
                <w:rFonts w:ascii="Calibri Light" w:hAnsi="Calibri Light"/>
                <w:i/>
                <w:iCs/>
                <w:sz w:val="20"/>
              </w:rPr>
              <w:t>S</w:t>
            </w:r>
            <w:r w:rsidR="001F12FD">
              <w:rPr>
                <w:rFonts w:ascii="Calibri Light" w:hAnsi="Calibri Light"/>
                <w:i/>
                <w:iCs/>
                <w:sz w:val="20"/>
                <w:lang w:val="sr-Latn-RS"/>
              </w:rPr>
              <w:t>DA</w:t>
            </w:r>
            <w:r w:rsidR="001F12FD" w:rsidRPr="00FF386D">
              <w:rPr>
                <w:rFonts w:ascii="Calibri Light" w:hAnsi="Calibri Light"/>
                <w:i/>
                <w:iCs/>
                <w:sz w:val="20"/>
              </w:rPr>
              <w:t>C</w:t>
            </w:r>
            <w:r w:rsidR="001F12FD" w:rsidRPr="00FF386D">
              <w:rPr>
                <w:rFonts w:ascii="Calibri Light" w:hAnsi="Calibri Light"/>
                <w:sz w:val="20"/>
              </w:rPr>
              <w:t xml:space="preserve"> </w:t>
            </w:r>
            <w:r w:rsidRPr="00FF386D">
              <w:rPr>
                <w:rFonts w:ascii="Calibri Light" w:hAnsi="Calibri Light"/>
                <w:sz w:val="20"/>
              </w:rPr>
              <w:t xml:space="preserve">ће створити јединствено паневропско </w:t>
            </w:r>
            <w:r w:rsidR="001F12FD">
              <w:rPr>
                <w:rFonts w:ascii="Calibri Light" w:hAnsi="Calibri Light"/>
                <w:sz w:val="20"/>
              </w:rPr>
              <w:t>регионално</w:t>
            </w:r>
            <w:r w:rsidR="001F12FD" w:rsidRPr="00FF386D">
              <w:rPr>
                <w:rFonts w:ascii="Calibri Light" w:hAnsi="Calibri Light"/>
                <w:sz w:val="20"/>
              </w:rPr>
              <w:t xml:space="preserve"> </w:t>
            </w:r>
            <w:r w:rsidRPr="00FF386D">
              <w:rPr>
                <w:rFonts w:ascii="Calibri Light" w:hAnsi="Calibri Light"/>
                <w:sz w:val="20"/>
              </w:rPr>
              <w:t>дан-унапред тржиште електричне енергије. Интегрисано дан-унапред тржиште повећава укупну ефикасност трговања промовисањем ефикасне конкуренције, повећањем ликвидности и омогућавањем ефикаснијег коришћења производних ресурса широм Европе. Пројекат привременог спајања има за циљ да повеже 4 тржишта држава чланица (чешко-словачко-мађарско-румунско тржиште) са мултирегионалним спајањем (</w:t>
            </w:r>
            <w:r w:rsidRPr="00FF386D">
              <w:rPr>
                <w:rFonts w:ascii="Calibri Light" w:hAnsi="Calibri Light"/>
                <w:i/>
                <w:iCs/>
                <w:sz w:val="20"/>
              </w:rPr>
              <w:t>MRC</w:t>
            </w:r>
            <w:r w:rsidRPr="00FF386D">
              <w:rPr>
                <w:rFonts w:ascii="Calibri Light" w:hAnsi="Calibri Light"/>
                <w:sz w:val="20"/>
              </w:rPr>
              <w:t xml:space="preserve">) кроз увођење имплицитне расподеле капацитета на основу нето преносних капацитета </w:t>
            </w:r>
            <w:r w:rsidRPr="00FF386D">
              <w:rPr>
                <w:rFonts w:ascii="Calibri Light" w:hAnsi="Calibri Light"/>
                <w:i/>
                <w:iCs/>
                <w:sz w:val="20"/>
              </w:rPr>
              <w:t>(NTC</w:t>
            </w:r>
            <w:r w:rsidRPr="00FF386D">
              <w:rPr>
                <w:rFonts w:ascii="Calibri Light" w:hAnsi="Calibri Light"/>
                <w:sz w:val="20"/>
              </w:rPr>
              <w:t xml:space="preserve">) на шест нових граница: </w:t>
            </w:r>
            <w:r w:rsidRPr="00FF386D">
              <w:rPr>
                <w:rFonts w:ascii="Calibri Light" w:hAnsi="Calibri Light"/>
                <w:i/>
                <w:iCs/>
                <w:sz w:val="20"/>
              </w:rPr>
              <w:t>PL-DE, PL-CZ, PL-SK, CZ-DE, CZ-АТ, HU-AT</w:t>
            </w:r>
            <w:r w:rsidRPr="00FF386D">
              <w:rPr>
                <w:rFonts w:ascii="Calibri Light" w:hAnsi="Calibri Light"/>
                <w:sz w:val="20"/>
              </w:rPr>
              <w:t>. Пројекат представља важан корак у погледу проширења Европског јединственог дан-унапред тржишта, као што је предвиђено Уредбом 2015/1222 (смернице о расподели капацитета и управљању загушењима/</w:t>
            </w:r>
            <w:r w:rsidRPr="00FF386D">
              <w:rPr>
                <w:rFonts w:ascii="Calibri Light" w:hAnsi="Calibri Light"/>
                <w:i/>
                <w:iCs/>
                <w:sz w:val="20"/>
              </w:rPr>
              <w:t>CACM</w:t>
            </w:r>
            <w:r w:rsidRPr="00FF386D">
              <w:rPr>
                <w:rFonts w:ascii="Calibri Light" w:hAnsi="Calibri Light"/>
                <w:sz w:val="20"/>
              </w:rPr>
              <w:t>).</w:t>
            </w:r>
          </w:p>
        </w:tc>
      </w:tr>
      <w:tr w:rsidR="00854ADA" w:rsidRPr="00FF386D" w14:paraId="1A339D55" w14:textId="77777777" w:rsidTr="0057310C">
        <w:trPr>
          <w:trHeight w:val="315"/>
        </w:trPr>
        <w:tc>
          <w:tcPr>
            <w:tcW w:w="3265" w:type="dxa"/>
            <w:gridSpan w:val="2"/>
            <w:tcBorders>
              <w:top w:val="nil"/>
              <w:left w:val="single" w:sz="8" w:space="0" w:color="auto"/>
              <w:bottom w:val="single" w:sz="8" w:space="0" w:color="auto"/>
              <w:right w:val="single" w:sz="8" w:space="0" w:color="auto"/>
            </w:tcBorders>
            <w:shd w:val="clear" w:color="000000" w:fill="244062"/>
            <w:vAlign w:val="center"/>
            <w:hideMark/>
          </w:tcPr>
          <w:p w14:paraId="75B6545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23" w:type="dxa"/>
            <w:gridSpan w:val="5"/>
            <w:tcBorders>
              <w:top w:val="single" w:sz="8" w:space="0" w:color="auto"/>
              <w:left w:val="nil"/>
              <w:bottom w:val="single" w:sz="8" w:space="0" w:color="auto"/>
              <w:right w:val="single" w:sz="8" w:space="0" w:color="000000"/>
            </w:tcBorders>
            <w:vAlign w:val="center"/>
            <w:hideMark/>
          </w:tcPr>
          <w:p w14:paraId="6ECF1A5F"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2021-2030.</w:t>
            </w:r>
          </w:p>
        </w:tc>
      </w:tr>
      <w:tr w:rsidR="00854ADA" w:rsidRPr="00FF386D" w14:paraId="3FA15806" w14:textId="77777777" w:rsidTr="0057310C">
        <w:trPr>
          <w:trHeight w:val="315"/>
        </w:trPr>
        <w:tc>
          <w:tcPr>
            <w:tcW w:w="3265" w:type="dxa"/>
            <w:gridSpan w:val="2"/>
            <w:tcBorders>
              <w:top w:val="nil"/>
              <w:left w:val="single" w:sz="8" w:space="0" w:color="auto"/>
              <w:bottom w:val="single" w:sz="8" w:space="0" w:color="auto"/>
              <w:right w:val="single" w:sz="8" w:space="0" w:color="auto"/>
            </w:tcBorders>
            <w:shd w:val="clear" w:color="000000" w:fill="244062"/>
            <w:vAlign w:val="center"/>
            <w:hideMark/>
          </w:tcPr>
          <w:p w14:paraId="4927923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23" w:type="dxa"/>
            <w:gridSpan w:val="5"/>
            <w:tcBorders>
              <w:top w:val="single" w:sz="8" w:space="0" w:color="auto"/>
              <w:left w:val="nil"/>
              <w:bottom w:val="single" w:sz="8" w:space="0" w:color="auto"/>
              <w:right w:val="single" w:sz="8" w:space="0" w:color="000000"/>
            </w:tcBorders>
            <w:vAlign w:val="center"/>
            <w:hideMark/>
          </w:tcPr>
          <w:p w14:paraId="0E21BECC"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Реформа</w:t>
            </w:r>
          </w:p>
        </w:tc>
      </w:tr>
      <w:tr w:rsidR="00854ADA" w:rsidRPr="00FF386D" w14:paraId="0F7EE731" w14:textId="77777777" w:rsidTr="0057310C">
        <w:trPr>
          <w:trHeight w:val="315"/>
        </w:trPr>
        <w:tc>
          <w:tcPr>
            <w:tcW w:w="3265" w:type="dxa"/>
            <w:gridSpan w:val="2"/>
            <w:tcBorders>
              <w:top w:val="nil"/>
              <w:left w:val="single" w:sz="8" w:space="0" w:color="auto"/>
              <w:bottom w:val="single" w:sz="8" w:space="0" w:color="auto"/>
              <w:right w:val="single" w:sz="8" w:space="0" w:color="auto"/>
            </w:tcBorders>
            <w:shd w:val="clear" w:color="000000" w:fill="244062"/>
            <w:vAlign w:val="center"/>
            <w:hideMark/>
          </w:tcPr>
          <w:p w14:paraId="2BBAB5B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23" w:type="dxa"/>
            <w:gridSpan w:val="5"/>
            <w:tcBorders>
              <w:top w:val="single" w:sz="8" w:space="0" w:color="auto"/>
              <w:left w:val="nil"/>
              <w:bottom w:val="single" w:sz="8" w:space="0" w:color="auto"/>
              <w:right w:val="single" w:sz="8" w:space="0" w:color="000000"/>
            </w:tcBorders>
            <w:vAlign w:val="center"/>
            <w:hideMark/>
          </w:tcPr>
          <w:p w14:paraId="34D94D80"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Електрична енергија</w:t>
            </w:r>
          </w:p>
        </w:tc>
      </w:tr>
      <w:tr w:rsidR="00854ADA" w:rsidRPr="00FF386D" w14:paraId="16E66462" w14:textId="77777777" w:rsidTr="0057310C">
        <w:trPr>
          <w:trHeight w:val="315"/>
        </w:trPr>
        <w:tc>
          <w:tcPr>
            <w:tcW w:w="3265" w:type="dxa"/>
            <w:gridSpan w:val="2"/>
            <w:tcBorders>
              <w:top w:val="nil"/>
              <w:left w:val="single" w:sz="8" w:space="0" w:color="auto"/>
              <w:bottom w:val="single" w:sz="8" w:space="0" w:color="auto"/>
              <w:right w:val="single" w:sz="8" w:space="0" w:color="auto"/>
            </w:tcBorders>
            <w:shd w:val="clear" w:color="000000" w:fill="244062"/>
            <w:vAlign w:val="center"/>
            <w:hideMark/>
          </w:tcPr>
          <w:p w14:paraId="1278056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23" w:type="dxa"/>
            <w:gridSpan w:val="5"/>
            <w:tcBorders>
              <w:top w:val="single" w:sz="8" w:space="0" w:color="auto"/>
              <w:left w:val="nil"/>
              <w:bottom w:val="single" w:sz="8" w:space="0" w:color="auto"/>
              <w:right w:val="single" w:sz="8" w:space="0" w:color="000000"/>
            </w:tcBorders>
            <w:vAlign w:val="center"/>
            <w:hideMark/>
          </w:tcPr>
          <w:p w14:paraId="55A8CBF2" w14:textId="67D98E5C" w:rsidR="00854ADA" w:rsidRPr="00FF386D" w:rsidRDefault="00854ADA" w:rsidP="00854ADA">
            <w:pPr>
              <w:numPr>
                <w:ilvl w:val="0"/>
                <w:numId w:val="79"/>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i/>
                <w:iCs/>
                <w:color w:val="000000"/>
                <w:sz w:val="20"/>
                <w:szCs w:val="20"/>
                <w:lang w:eastAsia="en-GB"/>
              </w:rPr>
              <w:t>SEEPEX</w:t>
            </w:r>
            <w:r w:rsidR="002D1B59">
              <w:rPr>
                <w:rFonts w:ascii="Calibri Light" w:hAnsi="Calibri Light"/>
                <w:sz w:val="20"/>
              </w:rPr>
              <w:t>„Електромрежа Србије”</w:t>
            </w:r>
            <w:r w:rsidR="002D1B59">
              <w:rPr>
                <w:rFonts w:ascii="Calibri Light" w:hAnsi="Calibri Light"/>
                <w:sz w:val="20"/>
                <w:lang w:val="en-US"/>
              </w:rPr>
              <w:t xml:space="preserve">- </w:t>
            </w:r>
            <w:r w:rsidR="00BE3F52" w:rsidRPr="00FF386D">
              <w:rPr>
                <w:rFonts w:ascii="Calibri Light" w:hAnsi="Calibri Light"/>
                <w:sz w:val="20"/>
              </w:rPr>
              <w:t>ЕМС</w:t>
            </w:r>
          </w:p>
          <w:p w14:paraId="47A4E033" w14:textId="77777777" w:rsidR="00854ADA" w:rsidRPr="00FF386D" w:rsidRDefault="00854ADA" w:rsidP="00854ADA">
            <w:pPr>
              <w:numPr>
                <w:ilvl w:val="0"/>
                <w:numId w:val="79"/>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рударства и енергетике</w:t>
            </w:r>
          </w:p>
          <w:p w14:paraId="1B39E3D7" w14:textId="4576992D" w:rsidR="00854ADA" w:rsidRPr="00FF386D" w:rsidRDefault="00854ADA" w:rsidP="00854ADA">
            <w:pPr>
              <w:numPr>
                <w:ilvl w:val="0"/>
                <w:numId w:val="79"/>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Влада </w:t>
            </w:r>
            <w:r w:rsidR="00DF57FE">
              <w:rPr>
                <w:rFonts w:ascii="Calibri Light" w:hAnsi="Calibri Light"/>
                <w:sz w:val="20"/>
              </w:rPr>
              <w:t xml:space="preserve">Републике </w:t>
            </w:r>
            <w:r w:rsidRPr="00FF386D">
              <w:rPr>
                <w:rFonts w:ascii="Calibri Light" w:hAnsi="Calibri Light"/>
                <w:sz w:val="20"/>
              </w:rPr>
              <w:t>Србије</w:t>
            </w:r>
          </w:p>
        </w:tc>
      </w:tr>
      <w:tr w:rsidR="00854ADA" w:rsidRPr="00FF386D" w14:paraId="51A81560" w14:textId="77777777" w:rsidTr="0057310C">
        <w:trPr>
          <w:trHeight w:val="315"/>
        </w:trPr>
        <w:tc>
          <w:tcPr>
            <w:tcW w:w="3265" w:type="dxa"/>
            <w:gridSpan w:val="2"/>
            <w:tcBorders>
              <w:top w:val="nil"/>
              <w:left w:val="single" w:sz="8" w:space="0" w:color="auto"/>
              <w:bottom w:val="single" w:sz="8" w:space="0" w:color="auto"/>
              <w:right w:val="nil"/>
            </w:tcBorders>
            <w:shd w:val="clear" w:color="000000" w:fill="244062"/>
            <w:vAlign w:val="center"/>
            <w:hideMark/>
          </w:tcPr>
          <w:p w14:paraId="1FA5BCB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23" w:type="dxa"/>
            <w:gridSpan w:val="5"/>
            <w:tcBorders>
              <w:top w:val="single" w:sz="8" w:space="0" w:color="auto"/>
              <w:left w:val="nil"/>
              <w:bottom w:val="single" w:sz="8" w:space="0" w:color="auto"/>
              <w:right w:val="single" w:sz="8" w:space="0" w:color="000000"/>
            </w:tcBorders>
            <w:vAlign w:val="center"/>
            <w:hideMark/>
          </w:tcPr>
          <w:p w14:paraId="3444E23D" w14:textId="203742A1" w:rsidR="00854ADA" w:rsidRPr="00FF386D" w:rsidRDefault="00DF57FE" w:rsidP="00854ADA">
            <w:pPr>
              <w:numPr>
                <w:ilvl w:val="0"/>
                <w:numId w:val="79"/>
              </w:numPr>
              <w:spacing w:after="0" w:line="240" w:lineRule="auto"/>
              <w:contextualSpacing/>
              <w:jc w:val="both"/>
              <w:rPr>
                <w:rFonts w:asciiTheme="majorHAnsi" w:eastAsia="Times New Roman" w:hAnsiTheme="majorHAnsi" w:cstheme="majorHAnsi"/>
                <w:color w:val="000000"/>
                <w:sz w:val="20"/>
                <w:szCs w:val="20"/>
                <w:lang w:eastAsia="en-GB"/>
              </w:rPr>
            </w:pPr>
            <w:r w:rsidRPr="00DF57FE">
              <w:rPr>
                <w:rFonts w:asciiTheme="majorHAnsi" w:eastAsia="Times New Roman" w:hAnsiTheme="majorHAnsi" w:cstheme="majorHAnsi"/>
                <w:color w:val="000000"/>
                <w:sz w:val="20"/>
                <w:szCs w:val="20"/>
                <w:lang w:eastAsia="en-GB"/>
              </w:rPr>
              <w:t>Министарство рударства и енергетике</w:t>
            </w:r>
          </w:p>
        </w:tc>
      </w:tr>
      <w:tr w:rsidR="00854ADA" w:rsidRPr="00FF386D" w14:paraId="15C6BC82" w14:textId="77777777" w:rsidTr="0057310C">
        <w:trPr>
          <w:trHeight w:val="315"/>
        </w:trPr>
        <w:tc>
          <w:tcPr>
            <w:tcW w:w="3265" w:type="dxa"/>
            <w:gridSpan w:val="2"/>
            <w:tcBorders>
              <w:top w:val="nil"/>
              <w:left w:val="single" w:sz="8" w:space="0" w:color="auto"/>
              <w:bottom w:val="single" w:sz="8" w:space="0" w:color="auto"/>
              <w:right w:val="nil"/>
            </w:tcBorders>
            <w:shd w:val="clear" w:color="000000" w:fill="244062"/>
            <w:vAlign w:val="center"/>
            <w:hideMark/>
          </w:tcPr>
          <w:p w14:paraId="3848EE3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23" w:type="dxa"/>
            <w:gridSpan w:val="5"/>
            <w:tcBorders>
              <w:top w:val="single" w:sz="8" w:space="0" w:color="auto"/>
              <w:left w:val="nil"/>
              <w:bottom w:val="single" w:sz="8" w:space="0" w:color="auto"/>
              <w:right w:val="single" w:sz="8" w:space="0" w:color="000000"/>
            </w:tcBorders>
            <w:vAlign w:val="center"/>
            <w:hideMark/>
          </w:tcPr>
          <w:p w14:paraId="60E6EAB3" w14:textId="0303E0DA" w:rsidR="00854ADA" w:rsidRPr="00FF386D" w:rsidRDefault="001C3577" w:rsidP="00854ADA">
            <w:pPr>
              <w:spacing w:after="0" w:line="240" w:lineRule="auto"/>
              <w:jc w:val="both"/>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Датум с</w:t>
            </w:r>
            <w:r w:rsidRPr="00FF386D">
              <w:rPr>
                <w:rFonts w:asciiTheme="majorHAnsi" w:eastAsia="Times New Roman" w:hAnsiTheme="majorHAnsi" w:cstheme="majorHAnsi"/>
                <w:color w:val="000000"/>
                <w:sz w:val="20"/>
                <w:szCs w:val="20"/>
                <w:lang w:eastAsia="en-GB"/>
              </w:rPr>
              <w:t>пајањ</w:t>
            </w:r>
            <w:r>
              <w:rPr>
                <w:rFonts w:asciiTheme="majorHAnsi" w:eastAsia="Times New Roman" w:hAnsiTheme="majorHAnsi" w:cstheme="majorHAnsi"/>
                <w:color w:val="000000"/>
                <w:sz w:val="20"/>
                <w:szCs w:val="20"/>
                <w:lang w:eastAsia="en-GB"/>
              </w:rPr>
              <w:t>а</w:t>
            </w:r>
            <w:r w:rsidRPr="00FF386D">
              <w:rPr>
                <w:rFonts w:asciiTheme="majorHAnsi" w:eastAsia="Times New Roman" w:hAnsiTheme="majorHAnsi" w:cstheme="majorHAnsi"/>
                <w:color w:val="000000"/>
                <w:sz w:val="20"/>
                <w:szCs w:val="20"/>
                <w:lang w:eastAsia="en-GB"/>
              </w:rPr>
              <w:t xml:space="preserve"> </w:t>
            </w:r>
            <w:r w:rsidR="00854ADA" w:rsidRPr="00FF386D">
              <w:rPr>
                <w:rFonts w:asciiTheme="majorHAnsi" w:eastAsia="Times New Roman" w:hAnsiTheme="majorHAnsi" w:cstheme="majorHAnsi"/>
                <w:color w:val="000000"/>
                <w:sz w:val="20"/>
                <w:szCs w:val="20"/>
                <w:lang w:eastAsia="en-GB"/>
              </w:rPr>
              <w:t>тржишта дан-унапред оперативно</w:t>
            </w:r>
          </w:p>
        </w:tc>
      </w:tr>
      <w:tr w:rsidR="00854ADA" w:rsidRPr="00FF386D" w14:paraId="5CE71AD7" w14:textId="77777777" w:rsidTr="0057310C">
        <w:trPr>
          <w:trHeight w:val="307"/>
        </w:trPr>
        <w:tc>
          <w:tcPr>
            <w:tcW w:w="3265" w:type="dxa"/>
            <w:gridSpan w:val="2"/>
            <w:tcBorders>
              <w:top w:val="nil"/>
              <w:left w:val="single" w:sz="8" w:space="0" w:color="auto"/>
              <w:bottom w:val="single" w:sz="8" w:space="0" w:color="auto"/>
              <w:right w:val="single" w:sz="8" w:space="0" w:color="auto"/>
            </w:tcBorders>
            <w:shd w:val="clear" w:color="000000" w:fill="244062"/>
            <w:vAlign w:val="center"/>
            <w:hideMark/>
          </w:tcPr>
          <w:p w14:paraId="043A74C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23" w:type="dxa"/>
            <w:gridSpan w:val="5"/>
            <w:tcBorders>
              <w:top w:val="single" w:sz="8" w:space="0" w:color="auto"/>
              <w:left w:val="nil"/>
              <w:bottom w:val="single" w:sz="8" w:space="0" w:color="auto"/>
              <w:right w:val="single" w:sz="8" w:space="0" w:color="000000"/>
            </w:tcBorders>
            <w:vAlign w:val="center"/>
            <w:hideMark/>
          </w:tcPr>
          <w:p w14:paraId="519F0747" w14:textId="77777777" w:rsidR="00854ADA" w:rsidRPr="00FF386D" w:rsidRDefault="00854ADA" w:rsidP="00854ADA">
            <w:pPr>
              <w:numPr>
                <w:ilvl w:val="0"/>
                <w:numId w:val="79"/>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Енергетска сигурност</w:t>
            </w:r>
          </w:p>
        </w:tc>
      </w:tr>
      <w:tr w:rsidR="00854ADA" w:rsidRPr="00FF386D" w14:paraId="42C36D65" w14:textId="77777777" w:rsidTr="0057310C">
        <w:trPr>
          <w:trHeight w:val="450"/>
        </w:trPr>
        <w:tc>
          <w:tcPr>
            <w:tcW w:w="3265" w:type="dxa"/>
            <w:gridSpan w:val="2"/>
            <w:vMerge w:val="restart"/>
            <w:tcBorders>
              <w:top w:val="nil"/>
              <w:left w:val="single" w:sz="8" w:space="0" w:color="auto"/>
              <w:bottom w:val="single" w:sz="8" w:space="0" w:color="000000"/>
              <w:right w:val="single" w:sz="8" w:space="0" w:color="auto"/>
            </w:tcBorders>
            <w:shd w:val="clear" w:color="000000" w:fill="244062"/>
            <w:vAlign w:val="center"/>
            <w:hideMark/>
          </w:tcPr>
          <w:p w14:paraId="28FD8119" w14:textId="6570170D"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23" w:type="dxa"/>
            <w:gridSpan w:val="5"/>
            <w:vMerge w:val="restart"/>
            <w:tcBorders>
              <w:top w:val="single" w:sz="8" w:space="0" w:color="auto"/>
              <w:left w:val="single" w:sz="8" w:space="0" w:color="auto"/>
              <w:bottom w:val="single" w:sz="8" w:space="0" w:color="000000"/>
              <w:right w:val="single" w:sz="8" w:space="0" w:color="000000"/>
            </w:tcBorders>
            <w:vAlign w:val="center"/>
            <w:hideMark/>
          </w:tcPr>
          <w:p w14:paraId="204E7181" w14:textId="77777777" w:rsidR="00854ADA" w:rsidRPr="000A2AFE" w:rsidRDefault="00854ADA" w:rsidP="00854ADA">
            <w:pPr>
              <w:numPr>
                <w:ilvl w:val="0"/>
                <w:numId w:val="80"/>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Директива</w:t>
            </w:r>
            <w:r w:rsidRPr="000A2AFE">
              <w:rPr>
                <w:rFonts w:asciiTheme="majorHAnsi" w:eastAsia="Times New Roman" w:hAnsiTheme="majorHAnsi" w:cstheme="majorHAnsi"/>
                <w:color w:val="000000"/>
                <w:sz w:val="20"/>
                <w:szCs w:val="20"/>
                <w:lang w:eastAsia="en-GB"/>
              </w:rPr>
              <w:t>2009/72/ЕЗ</w:t>
            </w:r>
          </w:p>
          <w:p w14:paraId="7C651808" w14:textId="77777777" w:rsidR="00854ADA" w:rsidRPr="000A2AFE" w:rsidRDefault="00854ADA" w:rsidP="00854ADA">
            <w:pPr>
              <w:numPr>
                <w:ilvl w:val="0"/>
                <w:numId w:val="80"/>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 xml:space="preserve">Директива </w:t>
            </w:r>
            <w:r w:rsidRPr="000A2AFE">
              <w:rPr>
                <w:rFonts w:asciiTheme="majorHAnsi" w:eastAsia="Times New Roman" w:hAnsiTheme="majorHAnsi" w:cstheme="majorHAnsi"/>
                <w:color w:val="000000"/>
                <w:sz w:val="20"/>
                <w:szCs w:val="20"/>
                <w:lang w:eastAsia="en-GB"/>
              </w:rPr>
              <w:t>(ЕУ) 2019/944</w:t>
            </w:r>
          </w:p>
          <w:p w14:paraId="4D57F79F" w14:textId="77777777" w:rsidR="00854ADA" w:rsidRPr="00FF386D" w:rsidRDefault="00854ADA" w:rsidP="00854ADA">
            <w:pPr>
              <w:numPr>
                <w:ilvl w:val="0"/>
                <w:numId w:val="80"/>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 xml:space="preserve">Уредба </w:t>
            </w:r>
            <w:r w:rsidRPr="000A2AFE">
              <w:rPr>
                <w:rFonts w:asciiTheme="majorHAnsi" w:eastAsia="Times New Roman" w:hAnsiTheme="majorHAnsi" w:cstheme="majorHAnsi"/>
                <w:color w:val="000000"/>
                <w:sz w:val="20"/>
                <w:szCs w:val="20"/>
                <w:lang w:eastAsia="en-GB"/>
              </w:rPr>
              <w:t>(ЕУ) 2019/943</w:t>
            </w:r>
          </w:p>
        </w:tc>
      </w:tr>
      <w:tr w:rsidR="00854ADA" w:rsidRPr="00FF386D" w14:paraId="0FB8A397" w14:textId="77777777" w:rsidTr="0057310C">
        <w:trPr>
          <w:trHeight w:val="450"/>
        </w:trPr>
        <w:tc>
          <w:tcPr>
            <w:tcW w:w="0" w:type="auto"/>
            <w:gridSpan w:val="2"/>
            <w:vMerge/>
            <w:tcBorders>
              <w:top w:val="nil"/>
              <w:left w:val="single" w:sz="8" w:space="0" w:color="auto"/>
              <w:bottom w:val="single" w:sz="8" w:space="0" w:color="000000"/>
              <w:right w:val="single" w:sz="8" w:space="0" w:color="auto"/>
            </w:tcBorders>
            <w:vAlign w:val="center"/>
            <w:hideMark/>
          </w:tcPr>
          <w:p w14:paraId="5E48A557"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23" w:type="dxa"/>
            <w:gridSpan w:val="5"/>
            <w:vMerge/>
            <w:tcBorders>
              <w:top w:val="single" w:sz="8" w:space="0" w:color="auto"/>
              <w:left w:val="single" w:sz="8" w:space="0" w:color="auto"/>
              <w:bottom w:val="single" w:sz="8" w:space="0" w:color="000000"/>
              <w:right w:val="single" w:sz="8" w:space="0" w:color="000000"/>
            </w:tcBorders>
            <w:vAlign w:val="center"/>
            <w:hideMark/>
          </w:tcPr>
          <w:p w14:paraId="23FBD8CB"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4B17692B" w14:textId="77777777" w:rsidTr="0057310C">
        <w:trPr>
          <w:trHeight w:val="450"/>
        </w:trPr>
        <w:tc>
          <w:tcPr>
            <w:tcW w:w="0" w:type="auto"/>
            <w:gridSpan w:val="2"/>
            <w:vMerge/>
            <w:tcBorders>
              <w:top w:val="nil"/>
              <w:left w:val="single" w:sz="8" w:space="0" w:color="auto"/>
              <w:bottom w:val="single" w:sz="8" w:space="0" w:color="000000"/>
              <w:right w:val="single" w:sz="8" w:space="0" w:color="auto"/>
            </w:tcBorders>
            <w:vAlign w:val="center"/>
            <w:hideMark/>
          </w:tcPr>
          <w:p w14:paraId="3968820A"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23" w:type="dxa"/>
            <w:gridSpan w:val="5"/>
            <w:vMerge/>
            <w:tcBorders>
              <w:top w:val="single" w:sz="8" w:space="0" w:color="auto"/>
              <w:left w:val="single" w:sz="8" w:space="0" w:color="auto"/>
              <w:bottom w:val="single" w:sz="8" w:space="0" w:color="000000"/>
              <w:right w:val="single" w:sz="8" w:space="0" w:color="000000"/>
            </w:tcBorders>
            <w:vAlign w:val="center"/>
            <w:hideMark/>
          </w:tcPr>
          <w:p w14:paraId="79519D95"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6EFB602F" w14:textId="77777777" w:rsidTr="0057310C">
        <w:trPr>
          <w:trHeight w:val="780"/>
        </w:trPr>
        <w:tc>
          <w:tcPr>
            <w:tcW w:w="3265" w:type="dxa"/>
            <w:gridSpan w:val="2"/>
            <w:tcBorders>
              <w:top w:val="nil"/>
              <w:left w:val="single" w:sz="8" w:space="0" w:color="auto"/>
              <w:bottom w:val="single" w:sz="8" w:space="0" w:color="auto"/>
              <w:right w:val="single" w:sz="8" w:space="0" w:color="auto"/>
            </w:tcBorders>
            <w:shd w:val="clear" w:color="000000" w:fill="244062"/>
            <w:vAlign w:val="center"/>
            <w:hideMark/>
          </w:tcPr>
          <w:p w14:paraId="5C2A833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23" w:type="dxa"/>
            <w:gridSpan w:val="5"/>
            <w:tcBorders>
              <w:top w:val="single" w:sz="8" w:space="0" w:color="auto"/>
              <w:left w:val="nil"/>
              <w:bottom w:val="single" w:sz="8" w:space="0" w:color="auto"/>
              <w:right w:val="single" w:sz="8" w:space="0" w:color="000000"/>
            </w:tcBorders>
            <w:vAlign w:val="center"/>
            <w:hideMark/>
          </w:tcPr>
          <w:p w14:paraId="65F7D035" w14:textId="77777777" w:rsidR="00854ADA" w:rsidRPr="00FF386D" w:rsidRDefault="00854ADA" w:rsidP="00854ADA">
            <w:pPr>
              <w:numPr>
                <w:ilvl w:val="0"/>
                <w:numId w:val="81"/>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Закон о енергетици</w:t>
            </w:r>
          </w:p>
        </w:tc>
      </w:tr>
      <w:tr w:rsidR="00854ADA" w:rsidRPr="00FF386D" w14:paraId="7553D098" w14:textId="77777777" w:rsidTr="0057310C">
        <w:trPr>
          <w:trHeight w:val="315"/>
        </w:trPr>
        <w:tc>
          <w:tcPr>
            <w:tcW w:w="3265" w:type="dxa"/>
            <w:gridSpan w:val="2"/>
            <w:tcBorders>
              <w:top w:val="nil"/>
              <w:left w:val="single" w:sz="8" w:space="0" w:color="auto"/>
              <w:bottom w:val="single" w:sz="8" w:space="0" w:color="auto"/>
              <w:right w:val="single" w:sz="8" w:space="0" w:color="auto"/>
            </w:tcBorders>
            <w:shd w:val="clear" w:color="000000" w:fill="244062"/>
            <w:vAlign w:val="center"/>
            <w:hideMark/>
          </w:tcPr>
          <w:p w14:paraId="3CA5F09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23" w:type="dxa"/>
            <w:gridSpan w:val="5"/>
            <w:tcBorders>
              <w:top w:val="single" w:sz="8" w:space="0" w:color="auto"/>
              <w:left w:val="nil"/>
              <w:bottom w:val="single" w:sz="8" w:space="0" w:color="auto"/>
              <w:right w:val="single" w:sz="8" w:space="0" w:color="000000"/>
            </w:tcBorders>
            <w:vAlign w:val="center"/>
            <w:hideMark/>
          </w:tcPr>
          <w:p w14:paraId="450BEB6F"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0,2 милиона евра</w:t>
            </w:r>
          </w:p>
        </w:tc>
      </w:tr>
      <w:tr w:rsidR="00854ADA" w:rsidRPr="00FF386D" w14:paraId="6EA206B3" w14:textId="77777777" w:rsidTr="0057310C">
        <w:trPr>
          <w:trHeight w:val="315"/>
        </w:trPr>
        <w:tc>
          <w:tcPr>
            <w:tcW w:w="3265" w:type="dxa"/>
            <w:gridSpan w:val="2"/>
            <w:tcBorders>
              <w:top w:val="nil"/>
              <w:left w:val="single" w:sz="8" w:space="0" w:color="auto"/>
              <w:bottom w:val="single" w:sz="8" w:space="0" w:color="auto"/>
              <w:right w:val="single" w:sz="8" w:space="0" w:color="auto"/>
            </w:tcBorders>
            <w:shd w:val="clear" w:color="000000" w:fill="244062"/>
            <w:vAlign w:val="center"/>
            <w:hideMark/>
          </w:tcPr>
          <w:p w14:paraId="2B765E2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23" w:type="dxa"/>
            <w:gridSpan w:val="5"/>
            <w:tcBorders>
              <w:top w:val="single" w:sz="8" w:space="0" w:color="auto"/>
              <w:left w:val="nil"/>
              <w:bottom w:val="single" w:sz="8" w:space="0" w:color="auto"/>
              <w:right w:val="single" w:sz="8" w:space="0" w:color="000000"/>
            </w:tcBorders>
            <w:vAlign w:val="center"/>
            <w:hideMark/>
          </w:tcPr>
          <w:p w14:paraId="77075057" w14:textId="1693F3DB" w:rsidR="00854ADA" w:rsidRPr="00FF386D" w:rsidRDefault="00854ADA" w:rsidP="00854ADA">
            <w:pPr>
              <w:spacing w:after="0" w:line="240" w:lineRule="auto"/>
              <w:jc w:val="both"/>
              <w:rPr>
                <w:rFonts w:asciiTheme="majorHAnsi" w:eastAsia="Times New Roman" w:hAnsiTheme="majorHAnsi" w:cstheme="majorHAnsi"/>
                <w:color w:val="000000"/>
                <w:sz w:val="20"/>
                <w:szCs w:val="20"/>
                <w:highlight w:val="yellow"/>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BE3F52" w:rsidRPr="00FF386D">
              <w:rPr>
                <w:rFonts w:ascii="Calibri Light" w:eastAsia="Times New Roman" w:hAnsi="Calibri Light" w:cs="Calibri Light"/>
                <w:color w:val="000000"/>
                <w:sz w:val="20"/>
                <w:szCs w:val="20"/>
                <w:lang w:eastAsia="en-GB"/>
              </w:rPr>
              <w:t>ска средства</w:t>
            </w:r>
          </w:p>
        </w:tc>
      </w:tr>
    </w:tbl>
    <w:p w14:paraId="58E7ECD9"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66"/>
        <w:gridCol w:w="1207"/>
        <w:gridCol w:w="930"/>
        <w:gridCol w:w="4085"/>
      </w:tblGrid>
      <w:tr w:rsidR="00854ADA" w:rsidRPr="00FF386D" w14:paraId="78202D71" w14:textId="77777777" w:rsidTr="0057310C">
        <w:trPr>
          <w:trHeight w:val="780"/>
        </w:trPr>
        <w:tc>
          <w:tcPr>
            <w:tcW w:w="3266"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5476295B" w14:textId="44FEC90A"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207" w:type="dxa"/>
            <w:tcBorders>
              <w:top w:val="single" w:sz="8" w:space="0" w:color="auto"/>
              <w:left w:val="nil"/>
              <w:bottom w:val="single" w:sz="8" w:space="0" w:color="auto"/>
              <w:right w:val="single" w:sz="8" w:space="0" w:color="auto"/>
            </w:tcBorders>
            <w:shd w:val="clear" w:color="auto" w:fill="E7E6E6" w:themeFill="background2"/>
            <w:vAlign w:val="center"/>
            <w:hideMark/>
          </w:tcPr>
          <w:p w14:paraId="541D70CF" w14:textId="73DD4386"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w:t>
            </w:r>
            <w:r w:rsidR="00F667CB" w:rsidRPr="00FF386D">
              <w:rPr>
                <w:rFonts w:ascii="Calibri Light" w:hAnsi="Calibri Light"/>
                <w:b/>
                <w:sz w:val="20"/>
              </w:rPr>
              <w:t>УЕТ3</w:t>
            </w:r>
            <w:r w:rsidR="00F667CB">
              <w:rPr>
                <w:rFonts w:ascii="Calibri Light" w:hAnsi="Calibri Light"/>
                <w:b/>
                <w:sz w:val="20"/>
              </w:rPr>
              <w:t>1</w:t>
            </w:r>
          </w:p>
        </w:tc>
        <w:tc>
          <w:tcPr>
            <w:tcW w:w="930" w:type="dxa"/>
            <w:tcBorders>
              <w:top w:val="single" w:sz="8" w:space="0" w:color="auto"/>
              <w:left w:val="nil"/>
              <w:bottom w:val="single" w:sz="8" w:space="0" w:color="auto"/>
              <w:right w:val="single" w:sz="8" w:space="0" w:color="auto"/>
            </w:tcBorders>
            <w:shd w:val="clear" w:color="auto" w:fill="244062"/>
            <w:vAlign w:val="center"/>
            <w:hideMark/>
          </w:tcPr>
          <w:p w14:paraId="087D8C7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085" w:type="dxa"/>
            <w:tcBorders>
              <w:top w:val="single" w:sz="8" w:space="0" w:color="auto"/>
              <w:left w:val="nil"/>
              <w:bottom w:val="single" w:sz="8" w:space="0" w:color="auto"/>
              <w:right w:val="single" w:sz="8" w:space="0" w:color="auto"/>
            </w:tcBorders>
            <w:shd w:val="clear" w:color="auto" w:fill="E7E6E6" w:themeFill="background2"/>
            <w:vAlign w:val="center"/>
            <w:hideMark/>
          </w:tcPr>
          <w:p w14:paraId="538388B3" w14:textId="4CB2F374" w:rsidR="00854ADA" w:rsidRPr="00FF386D" w:rsidRDefault="00854ADA" w:rsidP="00854ADA">
            <w:pPr>
              <w:spacing w:after="0" w:line="240" w:lineRule="auto"/>
              <w:rPr>
                <w:rFonts w:ascii="Calibri Light" w:eastAsia="Times New Roman" w:hAnsi="Calibri Light" w:cs="Calibri Light"/>
                <w:b/>
                <w:bCs/>
                <w:color w:val="000000"/>
                <w:sz w:val="20"/>
                <w:szCs w:val="20"/>
                <w:lang w:eastAsia="en-GB"/>
              </w:rPr>
            </w:pPr>
            <w:r w:rsidRPr="00FF386D">
              <w:rPr>
                <w:rFonts w:ascii="Calibri Light" w:hAnsi="Calibri Light"/>
                <w:b/>
                <w:sz w:val="20"/>
              </w:rPr>
              <w:t>Спајање тржишта са</w:t>
            </w:r>
            <w:r w:rsidR="00BE3F52" w:rsidRPr="00FF386D">
              <w:rPr>
                <w:rFonts w:ascii="Calibri Light" w:hAnsi="Calibri Light"/>
                <w:b/>
                <w:sz w:val="20"/>
              </w:rPr>
              <w:t xml:space="preserve"> јединственим</w:t>
            </w:r>
            <w:r w:rsidRPr="00FF386D">
              <w:rPr>
                <w:rFonts w:ascii="Calibri Light" w:hAnsi="Calibri Light"/>
                <w:b/>
                <w:sz w:val="20"/>
              </w:rPr>
              <w:t xml:space="preserve"> унутардневним тржиштем (</w:t>
            </w:r>
            <w:r w:rsidRPr="00FF386D">
              <w:rPr>
                <w:rFonts w:ascii="Calibri Light" w:hAnsi="Calibri Light"/>
                <w:b/>
                <w:i/>
                <w:iCs/>
                <w:sz w:val="20"/>
              </w:rPr>
              <w:t>SI</w:t>
            </w:r>
            <w:r w:rsidR="00246155" w:rsidRPr="000A2AFE">
              <w:rPr>
                <w:rFonts w:ascii="Calibri Light" w:hAnsi="Calibri Light"/>
                <w:b/>
                <w:i/>
                <w:iCs/>
                <w:sz w:val="20"/>
              </w:rPr>
              <w:t>D</w:t>
            </w:r>
            <w:r w:rsidRPr="00FF386D">
              <w:rPr>
                <w:rFonts w:ascii="Calibri Light" w:hAnsi="Calibri Light"/>
                <w:b/>
                <w:i/>
                <w:iCs/>
                <w:sz w:val="20"/>
              </w:rPr>
              <w:t>C</w:t>
            </w:r>
            <w:r w:rsidRPr="00FF386D">
              <w:rPr>
                <w:rFonts w:ascii="Calibri Light" w:hAnsi="Calibri Light"/>
                <w:b/>
                <w:sz w:val="20"/>
              </w:rPr>
              <w:t>)</w:t>
            </w:r>
          </w:p>
        </w:tc>
      </w:tr>
      <w:tr w:rsidR="003A4713" w:rsidRPr="00FF386D" w14:paraId="13E19630" w14:textId="77777777" w:rsidTr="0057310C">
        <w:trPr>
          <w:trHeight w:val="315"/>
        </w:trPr>
        <w:tc>
          <w:tcPr>
            <w:tcW w:w="3266" w:type="dxa"/>
            <w:tcBorders>
              <w:top w:val="nil"/>
              <w:left w:val="single" w:sz="8" w:space="0" w:color="auto"/>
              <w:bottom w:val="single" w:sz="8" w:space="0" w:color="auto"/>
              <w:right w:val="nil"/>
            </w:tcBorders>
            <w:shd w:val="clear" w:color="000000" w:fill="244062"/>
            <w:vAlign w:val="center"/>
            <w:hideMark/>
          </w:tcPr>
          <w:p w14:paraId="057C2FE8" w14:textId="7D734C1C" w:rsidR="003A4713" w:rsidRPr="00FF386D" w:rsidRDefault="003A4713" w:rsidP="003A4713">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22" w:type="dxa"/>
            <w:gridSpan w:val="3"/>
            <w:tcBorders>
              <w:top w:val="single" w:sz="8" w:space="0" w:color="auto"/>
              <w:left w:val="nil"/>
              <w:bottom w:val="single" w:sz="8" w:space="0" w:color="auto"/>
              <w:right w:val="single" w:sz="8" w:space="0" w:color="000000"/>
            </w:tcBorders>
            <w:vAlign w:val="center"/>
          </w:tcPr>
          <w:p w14:paraId="08468178" w14:textId="00D4EA49" w:rsidR="003A4713" w:rsidRPr="00FF386D" w:rsidRDefault="008862E9" w:rsidP="003A4713">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Повећана флексибилност система и квалитет снабдевања електричном енергијом, посебно применом политика и мера које се односе на формирање цена заснованих на тржишту у складу са важећим законом; интеграција и спајање тржишта с циљем да се повећају капацитети</w:t>
            </w:r>
            <w:r w:rsidR="001C3577" w:rsidRPr="001C3577">
              <w:rPr>
                <w:rFonts w:ascii="Calibri Light" w:eastAsia="Times New Roman" w:hAnsi="Calibri Light" w:cs="Calibri Light"/>
                <w:color w:val="000000"/>
                <w:sz w:val="20"/>
                <w:szCs w:val="20"/>
                <w:lang w:eastAsia="en-GB"/>
              </w:rPr>
              <w:t xml:space="preserve"> за трговање</w:t>
            </w:r>
            <w:r w:rsidRPr="00FF386D">
              <w:rPr>
                <w:rFonts w:ascii="Calibri Light" w:eastAsia="Times New Roman" w:hAnsi="Calibri Light" w:cs="Calibri Light"/>
                <w:color w:val="000000"/>
                <w:sz w:val="20"/>
                <w:szCs w:val="20"/>
                <w:lang w:eastAsia="en-GB"/>
              </w:rPr>
              <w:t xml:space="preserve"> постојећих интерконектора, паметних мрежа, агрегације, </w:t>
            </w:r>
            <w:r w:rsidR="001C3577" w:rsidRPr="001C3577">
              <w:rPr>
                <w:rFonts w:ascii="Calibri Light" w:eastAsia="Times New Roman" w:hAnsi="Calibri Light" w:cs="Calibri Light"/>
                <w:color w:val="000000"/>
                <w:sz w:val="20"/>
                <w:szCs w:val="20"/>
                <w:lang w:eastAsia="en-GB"/>
              </w:rPr>
              <w:t>одзив потрошње</w:t>
            </w:r>
            <w:r w:rsidRPr="00FF386D">
              <w:rPr>
                <w:rFonts w:ascii="Calibri Light" w:eastAsia="Times New Roman" w:hAnsi="Calibri Light" w:cs="Calibri Light"/>
                <w:color w:val="000000"/>
                <w:sz w:val="20"/>
                <w:szCs w:val="20"/>
                <w:lang w:eastAsia="en-GB"/>
              </w:rPr>
              <w:t>, складиштења, дистрибуиране производње, механизама за диспеч</w:t>
            </w:r>
            <w:r w:rsidR="002D1B59">
              <w:rPr>
                <w:rFonts w:ascii="Calibri Light" w:eastAsia="Times New Roman" w:hAnsi="Calibri Light" w:cs="Calibri Light"/>
                <w:color w:val="000000"/>
                <w:sz w:val="20"/>
                <w:szCs w:val="20"/>
                <w:lang w:eastAsia="en-GB"/>
              </w:rPr>
              <w:t>инг</w:t>
            </w:r>
            <w:r w:rsidRPr="00FF386D">
              <w:rPr>
                <w:rFonts w:ascii="Calibri Light" w:eastAsia="Times New Roman" w:hAnsi="Calibri Light" w:cs="Calibri Light"/>
                <w:color w:val="000000"/>
                <w:sz w:val="20"/>
                <w:szCs w:val="20"/>
                <w:lang w:eastAsia="en-GB"/>
              </w:rPr>
              <w:t>, редиспеч</w:t>
            </w:r>
            <w:r w:rsidR="002D1B59">
              <w:rPr>
                <w:rFonts w:ascii="Calibri Light" w:eastAsia="Times New Roman" w:hAnsi="Calibri Light" w:cs="Calibri Light"/>
                <w:color w:val="000000"/>
                <w:sz w:val="20"/>
                <w:szCs w:val="20"/>
                <w:lang w:eastAsia="en-GB"/>
              </w:rPr>
              <w:t xml:space="preserve">инг </w:t>
            </w:r>
            <w:r w:rsidRPr="00FF386D">
              <w:rPr>
                <w:rFonts w:ascii="Calibri Light" w:eastAsia="Times New Roman" w:hAnsi="Calibri Light" w:cs="Calibri Light"/>
                <w:color w:val="000000"/>
                <w:sz w:val="20"/>
                <w:szCs w:val="20"/>
                <w:lang w:eastAsia="en-GB"/>
              </w:rPr>
              <w:t>и ограничавања производње, као и ценовних сигнала у реалном времену.</w:t>
            </w:r>
          </w:p>
        </w:tc>
      </w:tr>
      <w:tr w:rsidR="003A4713" w:rsidRPr="00FF386D" w14:paraId="77175352" w14:textId="77777777" w:rsidTr="0057310C">
        <w:trPr>
          <w:trHeight w:val="315"/>
        </w:trPr>
        <w:tc>
          <w:tcPr>
            <w:tcW w:w="3266" w:type="dxa"/>
            <w:tcBorders>
              <w:top w:val="nil"/>
              <w:left w:val="single" w:sz="8" w:space="0" w:color="auto"/>
              <w:bottom w:val="single" w:sz="8" w:space="0" w:color="auto"/>
              <w:right w:val="single" w:sz="8" w:space="0" w:color="auto"/>
            </w:tcBorders>
            <w:shd w:val="clear" w:color="000000" w:fill="244062"/>
            <w:vAlign w:val="center"/>
            <w:hideMark/>
          </w:tcPr>
          <w:p w14:paraId="504B6EC0" w14:textId="4B3BD950" w:rsidR="003A4713" w:rsidRPr="00FF386D" w:rsidRDefault="003A4713" w:rsidP="003A4713">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22" w:type="dxa"/>
            <w:gridSpan w:val="3"/>
            <w:tcBorders>
              <w:top w:val="single" w:sz="8" w:space="0" w:color="auto"/>
              <w:left w:val="nil"/>
              <w:bottom w:val="single" w:sz="8" w:space="0" w:color="auto"/>
              <w:right w:val="single" w:sz="8" w:space="0" w:color="000000"/>
            </w:tcBorders>
            <w:vAlign w:val="center"/>
          </w:tcPr>
          <w:p w14:paraId="78E4A83E" w14:textId="520CB7BD" w:rsidR="003A4713" w:rsidRPr="00FF386D" w:rsidRDefault="003A4713" w:rsidP="003A4713">
            <w:pPr>
              <w:spacing w:after="0" w:line="240" w:lineRule="auto"/>
              <w:jc w:val="both"/>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Спровођење правних тековина Енергетске заједнице, повећано коришћење интерконектора на тржишту, конвергенција цена са суседном зоном</w:t>
            </w:r>
            <w:r w:rsidR="001C3577">
              <w:t xml:space="preserve"> </w:t>
            </w:r>
            <w:r w:rsidR="001C3577" w:rsidRPr="001C3577">
              <w:rPr>
                <w:rFonts w:asciiTheme="majorHAnsi" w:eastAsia="Times New Roman" w:hAnsiTheme="majorHAnsi" w:cstheme="majorHAnsi"/>
                <w:color w:val="000000"/>
                <w:sz w:val="20"/>
                <w:szCs w:val="20"/>
                <w:lang w:eastAsia="en-GB"/>
              </w:rPr>
              <w:t>трговања</w:t>
            </w:r>
            <w:r w:rsidRPr="00FF386D">
              <w:rPr>
                <w:rFonts w:asciiTheme="majorHAnsi" w:eastAsia="Times New Roman" w:hAnsiTheme="majorHAnsi" w:cstheme="majorHAnsi"/>
                <w:color w:val="000000"/>
                <w:sz w:val="20"/>
                <w:szCs w:val="20"/>
                <w:lang w:eastAsia="en-GB"/>
              </w:rPr>
              <w:t>, повећана интеграција ОИЕ базирана на тржишту у миксу електричне енергије</w:t>
            </w:r>
          </w:p>
        </w:tc>
      </w:tr>
      <w:tr w:rsidR="003A4713" w:rsidRPr="00FF386D" w14:paraId="523CF49E" w14:textId="77777777" w:rsidTr="0057310C">
        <w:trPr>
          <w:trHeight w:val="1128"/>
        </w:trPr>
        <w:tc>
          <w:tcPr>
            <w:tcW w:w="3266" w:type="dxa"/>
            <w:tcBorders>
              <w:top w:val="nil"/>
              <w:left w:val="single" w:sz="8" w:space="0" w:color="auto"/>
              <w:bottom w:val="single" w:sz="8" w:space="0" w:color="auto"/>
              <w:right w:val="single" w:sz="8" w:space="0" w:color="auto"/>
            </w:tcBorders>
            <w:shd w:val="clear" w:color="000000" w:fill="244062"/>
            <w:vAlign w:val="center"/>
            <w:hideMark/>
          </w:tcPr>
          <w:p w14:paraId="54E47A48" w14:textId="77777777" w:rsidR="003A4713" w:rsidRPr="00FF386D" w:rsidRDefault="003A4713" w:rsidP="003A4713">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22" w:type="dxa"/>
            <w:gridSpan w:val="3"/>
            <w:tcBorders>
              <w:top w:val="single" w:sz="8" w:space="0" w:color="auto"/>
              <w:left w:val="nil"/>
              <w:bottom w:val="single" w:sz="8" w:space="0" w:color="auto"/>
              <w:right w:val="single" w:sz="8" w:space="0" w:color="000000"/>
            </w:tcBorders>
            <w:vAlign w:val="center"/>
            <w:hideMark/>
          </w:tcPr>
          <w:p w14:paraId="5C3401FB" w14:textId="1953DF61" w:rsidR="003A4713" w:rsidRPr="00FF386D" w:rsidRDefault="003A4713" w:rsidP="003A4713">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МП_</w:t>
            </w:r>
            <w:r w:rsidR="00F667CB" w:rsidRPr="00FF386D">
              <w:rPr>
                <w:rFonts w:ascii="Calibri Light" w:hAnsi="Calibri Light"/>
                <w:sz w:val="20"/>
              </w:rPr>
              <w:t>УЕТ3</w:t>
            </w:r>
            <w:r w:rsidR="00F667CB">
              <w:rPr>
                <w:rFonts w:ascii="Calibri Light" w:hAnsi="Calibri Light"/>
                <w:sz w:val="20"/>
              </w:rPr>
              <w:t>1</w:t>
            </w:r>
            <w:r w:rsidR="00F667CB" w:rsidRPr="00FF386D">
              <w:rPr>
                <w:rFonts w:ascii="Calibri Light" w:hAnsi="Calibri Light"/>
                <w:sz w:val="20"/>
              </w:rPr>
              <w:t xml:space="preserve"> </w:t>
            </w:r>
            <w:r w:rsidRPr="00FF386D">
              <w:rPr>
                <w:rFonts w:ascii="Calibri Light" w:hAnsi="Calibri Light"/>
                <w:sz w:val="20"/>
              </w:rPr>
              <w:t>се може сматрати наставком МП_</w:t>
            </w:r>
            <w:r w:rsidR="00F667CB" w:rsidRPr="00FF386D">
              <w:rPr>
                <w:rFonts w:ascii="Calibri Light" w:hAnsi="Calibri Light"/>
                <w:sz w:val="20"/>
              </w:rPr>
              <w:t>УЕТ3</w:t>
            </w:r>
            <w:r w:rsidR="00F667CB">
              <w:rPr>
                <w:rFonts w:ascii="Calibri Light" w:hAnsi="Calibri Light"/>
                <w:sz w:val="20"/>
              </w:rPr>
              <w:t>0</w:t>
            </w:r>
            <w:r w:rsidRPr="00FF386D">
              <w:rPr>
                <w:rFonts w:ascii="Calibri Light" w:hAnsi="Calibri Light"/>
                <w:sz w:val="20"/>
              </w:rPr>
              <w:t>. Спајање унутардневног тржишта (</w:t>
            </w:r>
            <w:r w:rsidRPr="00FF386D">
              <w:rPr>
                <w:rFonts w:ascii="Calibri Light" w:hAnsi="Calibri Light"/>
                <w:i/>
                <w:iCs/>
                <w:sz w:val="20"/>
              </w:rPr>
              <w:t>SIDC</w:t>
            </w:r>
            <w:r w:rsidRPr="00FF386D">
              <w:rPr>
                <w:rFonts w:ascii="Calibri Light" w:hAnsi="Calibri Light"/>
                <w:sz w:val="20"/>
              </w:rPr>
              <w:t xml:space="preserve">) ће створити јединствено </w:t>
            </w:r>
            <w:r w:rsidR="00F667CB">
              <w:rPr>
                <w:rFonts w:ascii="Calibri Light" w:hAnsi="Calibri Light"/>
                <w:sz w:val="20"/>
              </w:rPr>
              <w:t>регионално</w:t>
            </w:r>
            <w:r w:rsidR="00F667CB" w:rsidRPr="00FF386D">
              <w:rPr>
                <w:rFonts w:ascii="Calibri Light" w:hAnsi="Calibri Light"/>
                <w:sz w:val="20"/>
              </w:rPr>
              <w:t xml:space="preserve"> </w:t>
            </w:r>
            <w:r w:rsidRPr="00FF386D">
              <w:rPr>
                <w:rFonts w:ascii="Calibri Light" w:hAnsi="Calibri Light"/>
                <w:sz w:val="20"/>
              </w:rPr>
              <w:t xml:space="preserve">унутардневно тржиште електричне енергије у ЕУ које допуњује активности спајања тржишта које су евентуално постигнуте у оквиру </w:t>
            </w:r>
            <w:r w:rsidR="00F667CB" w:rsidRPr="00FF386D">
              <w:rPr>
                <w:rFonts w:ascii="Calibri Light" w:hAnsi="Calibri Light"/>
                <w:i/>
                <w:iCs/>
                <w:sz w:val="20"/>
              </w:rPr>
              <w:t>S</w:t>
            </w:r>
            <w:r w:rsidR="00F667CB">
              <w:rPr>
                <w:rFonts w:ascii="Calibri Light" w:hAnsi="Calibri Light"/>
                <w:i/>
                <w:iCs/>
                <w:sz w:val="20"/>
                <w:lang w:val="sr-Latn-RS"/>
              </w:rPr>
              <w:t>DA</w:t>
            </w:r>
            <w:r w:rsidR="00F667CB" w:rsidRPr="00FF386D">
              <w:rPr>
                <w:rFonts w:ascii="Calibri Light" w:hAnsi="Calibri Light"/>
                <w:i/>
                <w:iCs/>
                <w:sz w:val="20"/>
              </w:rPr>
              <w:t>C</w:t>
            </w:r>
            <w:r w:rsidRPr="00FF386D">
              <w:rPr>
                <w:rFonts w:ascii="Calibri Light" w:hAnsi="Calibri Light"/>
                <w:sz w:val="20"/>
              </w:rPr>
              <w:t xml:space="preserve">. Мера зависи од МП_УЕТ16, односно именовања </w:t>
            </w:r>
            <w:r w:rsidRPr="00FF386D">
              <w:rPr>
                <w:rFonts w:ascii="Calibri Light" w:eastAsia="NSimSun" w:hAnsi="Calibri Light" w:cs="Mangal"/>
                <w:kern w:val="2"/>
                <w:sz w:val="20"/>
                <w:szCs w:val="24"/>
                <w:lang w:eastAsia="zh-CN" w:bidi="hi-IN"/>
              </w:rPr>
              <w:t>н</w:t>
            </w:r>
            <w:r w:rsidRPr="00FF386D">
              <w:rPr>
                <w:rFonts w:ascii="Calibri Light" w:hAnsi="Calibri Light"/>
                <w:sz w:val="20"/>
              </w:rPr>
              <w:t>оминованог оператора тржишта електричне енергије (</w:t>
            </w:r>
            <w:r w:rsidRPr="00FF386D">
              <w:rPr>
                <w:rFonts w:ascii="Calibri Light" w:hAnsi="Calibri Light"/>
                <w:i/>
                <w:iCs/>
                <w:sz w:val="20"/>
              </w:rPr>
              <w:t>NEMO</w:t>
            </w:r>
            <w:r w:rsidRPr="00FF386D">
              <w:rPr>
                <w:rFonts w:ascii="Calibri Light" w:hAnsi="Calibri Light"/>
                <w:sz w:val="20"/>
              </w:rPr>
              <w:t>) у Србији.</w:t>
            </w:r>
          </w:p>
        </w:tc>
      </w:tr>
      <w:tr w:rsidR="003A4713" w:rsidRPr="00FF386D" w14:paraId="1AA057EC" w14:textId="77777777" w:rsidTr="0057310C">
        <w:trPr>
          <w:trHeight w:val="315"/>
        </w:trPr>
        <w:tc>
          <w:tcPr>
            <w:tcW w:w="3266" w:type="dxa"/>
            <w:tcBorders>
              <w:top w:val="nil"/>
              <w:left w:val="single" w:sz="8" w:space="0" w:color="auto"/>
              <w:bottom w:val="single" w:sz="8" w:space="0" w:color="auto"/>
              <w:right w:val="single" w:sz="8" w:space="0" w:color="auto"/>
            </w:tcBorders>
            <w:shd w:val="clear" w:color="000000" w:fill="244062"/>
            <w:vAlign w:val="center"/>
            <w:hideMark/>
          </w:tcPr>
          <w:p w14:paraId="07812399" w14:textId="77777777" w:rsidR="003A4713" w:rsidRPr="00FF386D" w:rsidRDefault="003A4713" w:rsidP="003A4713">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22" w:type="dxa"/>
            <w:gridSpan w:val="3"/>
            <w:tcBorders>
              <w:top w:val="single" w:sz="8" w:space="0" w:color="auto"/>
              <w:left w:val="nil"/>
              <w:bottom w:val="single" w:sz="8" w:space="0" w:color="auto"/>
              <w:right w:val="single" w:sz="8" w:space="0" w:color="000000"/>
            </w:tcBorders>
            <w:vAlign w:val="center"/>
            <w:hideMark/>
          </w:tcPr>
          <w:p w14:paraId="003F6207" w14:textId="77777777" w:rsidR="003A4713" w:rsidRPr="00FF386D" w:rsidRDefault="003A4713" w:rsidP="003A4713">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2021-2030.</w:t>
            </w:r>
          </w:p>
        </w:tc>
      </w:tr>
      <w:tr w:rsidR="003A4713" w:rsidRPr="00FF386D" w14:paraId="35904F39" w14:textId="77777777" w:rsidTr="0057310C">
        <w:trPr>
          <w:trHeight w:val="315"/>
        </w:trPr>
        <w:tc>
          <w:tcPr>
            <w:tcW w:w="3266" w:type="dxa"/>
            <w:tcBorders>
              <w:top w:val="nil"/>
              <w:left w:val="single" w:sz="8" w:space="0" w:color="auto"/>
              <w:bottom w:val="single" w:sz="8" w:space="0" w:color="auto"/>
              <w:right w:val="single" w:sz="8" w:space="0" w:color="auto"/>
            </w:tcBorders>
            <w:shd w:val="clear" w:color="000000" w:fill="244062"/>
            <w:vAlign w:val="center"/>
            <w:hideMark/>
          </w:tcPr>
          <w:p w14:paraId="1459C71D" w14:textId="77777777" w:rsidR="003A4713" w:rsidRPr="00FF386D" w:rsidRDefault="003A4713" w:rsidP="003A4713">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22" w:type="dxa"/>
            <w:gridSpan w:val="3"/>
            <w:tcBorders>
              <w:top w:val="single" w:sz="8" w:space="0" w:color="auto"/>
              <w:left w:val="nil"/>
              <w:bottom w:val="single" w:sz="8" w:space="0" w:color="auto"/>
              <w:right w:val="single" w:sz="8" w:space="0" w:color="000000"/>
            </w:tcBorders>
            <w:vAlign w:val="center"/>
            <w:hideMark/>
          </w:tcPr>
          <w:p w14:paraId="5338653A" w14:textId="77777777" w:rsidR="003A4713" w:rsidRPr="00FF386D" w:rsidRDefault="003A4713" w:rsidP="003A4713">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Реформа</w:t>
            </w:r>
          </w:p>
        </w:tc>
      </w:tr>
      <w:tr w:rsidR="003A4713" w:rsidRPr="00FF386D" w14:paraId="2B7EC9E3" w14:textId="77777777" w:rsidTr="0057310C">
        <w:trPr>
          <w:trHeight w:val="315"/>
        </w:trPr>
        <w:tc>
          <w:tcPr>
            <w:tcW w:w="3266" w:type="dxa"/>
            <w:tcBorders>
              <w:top w:val="nil"/>
              <w:left w:val="single" w:sz="8" w:space="0" w:color="auto"/>
              <w:bottom w:val="single" w:sz="8" w:space="0" w:color="auto"/>
              <w:right w:val="single" w:sz="8" w:space="0" w:color="auto"/>
            </w:tcBorders>
            <w:shd w:val="clear" w:color="000000" w:fill="244062"/>
            <w:vAlign w:val="center"/>
            <w:hideMark/>
          </w:tcPr>
          <w:p w14:paraId="7C3C11FF" w14:textId="77777777" w:rsidR="003A4713" w:rsidRPr="00FF386D" w:rsidRDefault="003A4713" w:rsidP="003A4713">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22" w:type="dxa"/>
            <w:gridSpan w:val="3"/>
            <w:tcBorders>
              <w:top w:val="single" w:sz="8" w:space="0" w:color="auto"/>
              <w:left w:val="nil"/>
              <w:bottom w:val="single" w:sz="8" w:space="0" w:color="auto"/>
              <w:right w:val="single" w:sz="8" w:space="0" w:color="000000"/>
            </w:tcBorders>
            <w:vAlign w:val="center"/>
            <w:hideMark/>
          </w:tcPr>
          <w:p w14:paraId="278B711A" w14:textId="77777777" w:rsidR="003A4713" w:rsidRPr="00FF386D" w:rsidRDefault="003A4713" w:rsidP="003A4713">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Електрична енергија</w:t>
            </w:r>
          </w:p>
        </w:tc>
      </w:tr>
      <w:tr w:rsidR="003A4713" w:rsidRPr="00FF386D" w14:paraId="7FEBD8DA" w14:textId="77777777" w:rsidTr="0057310C">
        <w:trPr>
          <w:trHeight w:val="315"/>
        </w:trPr>
        <w:tc>
          <w:tcPr>
            <w:tcW w:w="3266" w:type="dxa"/>
            <w:tcBorders>
              <w:top w:val="nil"/>
              <w:left w:val="single" w:sz="8" w:space="0" w:color="auto"/>
              <w:bottom w:val="single" w:sz="8" w:space="0" w:color="auto"/>
              <w:right w:val="single" w:sz="8" w:space="0" w:color="auto"/>
            </w:tcBorders>
            <w:shd w:val="clear" w:color="000000" w:fill="244062"/>
            <w:vAlign w:val="center"/>
            <w:hideMark/>
          </w:tcPr>
          <w:p w14:paraId="3A13E255" w14:textId="77777777" w:rsidR="003A4713" w:rsidRPr="00FF386D" w:rsidRDefault="003A4713" w:rsidP="003A4713">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22" w:type="dxa"/>
            <w:gridSpan w:val="3"/>
            <w:tcBorders>
              <w:top w:val="single" w:sz="8" w:space="0" w:color="auto"/>
              <w:left w:val="nil"/>
              <w:bottom w:val="single" w:sz="8" w:space="0" w:color="auto"/>
              <w:right w:val="single" w:sz="8" w:space="0" w:color="000000"/>
            </w:tcBorders>
            <w:vAlign w:val="center"/>
            <w:hideMark/>
          </w:tcPr>
          <w:p w14:paraId="27DE9AB1" w14:textId="77777777" w:rsidR="003A4713" w:rsidRPr="00FF386D" w:rsidRDefault="003A4713" w:rsidP="003A4713">
            <w:pPr>
              <w:numPr>
                <w:ilvl w:val="0"/>
                <w:numId w:val="79"/>
              </w:numPr>
              <w:contextualSpacing/>
              <w:rPr>
                <w:rFonts w:ascii="Calibri Light" w:hAnsi="Calibri Light"/>
                <w:i/>
                <w:iCs/>
                <w:sz w:val="20"/>
              </w:rPr>
            </w:pPr>
            <w:r w:rsidRPr="00FF386D">
              <w:rPr>
                <w:rFonts w:ascii="Calibri Light" w:hAnsi="Calibri Light"/>
                <w:i/>
                <w:iCs/>
                <w:sz w:val="20"/>
              </w:rPr>
              <w:t>SEEPEX</w:t>
            </w:r>
          </w:p>
          <w:p w14:paraId="588F897D" w14:textId="07B568E2" w:rsidR="003A4713" w:rsidRPr="00FF386D" w:rsidRDefault="002D1B59" w:rsidP="003A4713">
            <w:pPr>
              <w:numPr>
                <w:ilvl w:val="0"/>
                <w:numId w:val="79"/>
              </w:numPr>
              <w:contextualSpacing/>
              <w:rPr>
                <w:rFonts w:ascii="Calibri Light" w:hAnsi="Calibri Light"/>
                <w:sz w:val="20"/>
              </w:rPr>
            </w:pPr>
            <w:r>
              <w:rPr>
                <w:rFonts w:ascii="Calibri Light" w:hAnsi="Calibri Light"/>
                <w:sz w:val="20"/>
              </w:rPr>
              <w:t xml:space="preserve">„Електромрежа Србије” </w:t>
            </w:r>
            <w:r>
              <w:rPr>
                <w:rFonts w:ascii="Calibri Light" w:hAnsi="Calibri Light"/>
                <w:sz w:val="20"/>
                <w:lang w:val="en-US"/>
              </w:rPr>
              <w:t xml:space="preserve">- </w:t>
            </w:r>
            <w:r>
              <w:rPr>
                <w:rFonts w:ascii="Calibri Light" w:hAnsi="Calibri Light"/>
                <w:sz w:val="20"/>
              </w:rPr>
              <w:t>ЕМС</w:t>
            </w:r>
          </w:p>
          <w:p w14:paraId="159A5395" w14:textId="77777777" w:rsidR="003A4713" w:rsidRPr="00FF386D" w:rsidRDefault="003A4713" w:rsidP="003A4713">
            <w:pPr>
              <w:numPr>
                <w:ilvl w:val="0"/>
                <w:numId w:val="79"/>
              </w:numPr>
              <w:contextualSpacing/>
              <w:rPr>
                <w:rFonts w:ascii="Calibri Light" w:hAnsi="Calibri Light"/>
                <w:sz w:val="20"/>
              </w:rPr>
            </w:pPr>
            <w:r w:rsidRPr="00FF386D">
              <w:rPr>
                <w:rFonts w:ascii="Calibri Light" w:hAnsi="Calibri Light"/>
                <w:sz w:val="20"/>
              </w:rPr>
              <w:t>Министарство рударства и енергетике</w:t>
            </w:r>
          </w:p>
          <w:p w14:paraId="5C85466E" w14:textId="22CF804E" w:rsidR="003A4713" w:rsidRPr="00FF386D" w:rsidRDefault="003A4713" w:rsidP="003A4713">
            <w:pPr>
              <w:numPr>
                <w:ilvl w:val="0"/>
                <w:numId w:val="79"/>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hAnsi="Calibri Light"/>
                <w:sz w:val="20"/>
              </w:rPr>
              <w:t xml:space="preserve">Влада </w:t>
            </w:r>
            <w:r w:rsidR="00F667CB">
              <w:rPr>
                <w:rFonts w:ascii="Calibri Light" w:hAnsi="Calibri Light"/>
                <w:sz w:val="20"/>
              </w:rPr>
              <w:t xml:space="preserve">Републике </w:t>
            </w:r>
            <w:r w:rsidRPr="00FF386D">
              <w:rPr>
                <w:rFonts w:ascii="Calibri Light" w:hAnsi="Calibri Light"/>
                <w:sz w:val="20"/>
              </w:rPr>
              <w:t>Србије</w:t>
            </w:r>
          </w:p>
        </w:tc>
      </w:tr>
      <w:tr w:rsidR="003A4713" w:rsidRPr="00FF386D" w14:paraId="237E1F74" w14:textId="77777777" w:rsidTr="0057310C">
        <w:trPr>
          <w:trHeight w:val="315"/>
        </w:trPr>
        <w:tc>
          <w:tcPr>
            <w:tcW w:w="3266" w:type="dxa"/>
            <w:tcBorders>
              <w:top w:val="nil"/>
              <w:left w:val="single" w:sz="8" w:space="0" w:color="auto"/>
              <w:bottom w:val="single" w:sz="8" w:space="0" w:color="auto"/>
              <w:right w:val="nil"/>
            </w:tcBorders>
            <w:shd w:val="clear" w:color="000000" w:fill="244062"/>
            <w:vAlign w:val="center"/>
            <w:hideMark/>
          </w:tcPr>
          <w:p w14:paraId="15EB1CCF" w14:textId="77777777" w:rsidR="003A4713" w:rsidRPr="00FF386D" w:rsidRDefault="003A4713" w:rsidP="003A4713">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22" w:type="dxa"/>
            <w:gridSpan w:val="3"/>
            <w:tcBorders>
              <w:top w:val="single" w:sz="8" w:space="0" w:color="auto"/>
              <w:left w:val="nil"/>
              <w:bottom w:val="single" w:sz="8" w:space="0" w:color="auto"/>
              <w:right w:val="single" w:sz="8" w:space="0" w:color="000000"/>
            </w:tcBorders>
            <w:vAlign w:val="center"/>
            <w:hideMark/>
          </w:tcPr>
          <w:p w14:paraId="77BCDD2E" w14:textId="184531FE" w:rsidR="003A4713" w:rsidRPr="000A2AFE" w:rsidRDefault="00F667CB" w:rsidP="000A2AFE">
            <w:pPr>
              <w:pStyle w:val="ListParagraph"/>
              <w:numPr>
                <w:ilvl w:val="0"/>
                <w:numId w:val="311"/>
              </w:num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Министарство рударства и енергетике</w:t>
            </w:r>
          </w:p>
        </w:tc>
      </w:tr>
      <w:tr w:rsidR="003A4713" w:rsidRPr="00FF386D" w14:paraId="4B654DD1" w14:textId="77777777" w:rsidTr="0057310C">
        <w:trPr>
          <w:trHeight w:val="315"/>
        </w:trPr>
        <w:tc>
          <w:tcPr>
            <w:tcW w:w="3266" w:type="dxa"/>
            <w:tcBorders>
              <w:top w:val="nil"/>
              <w:left w:val="single" w:sz="8" w:space="0" w:color="auto"/>
              <w:bottom w:val="single" w:sz="8" w:space="0" w:color="auto"/>
              <w:right w:val="nil"/>
            </w:tcBorders>
            <w:shd w:val="clear" w:color="000000" w:fill="244062"/>
            <w:vAlign w:val="center"/>
            <w:hideMark/>
          </w:tcPr>
          <w:p w14:paraId="388974CA" w14:textId="77777777" w:rsidR="003A4713" w:rsidRPr="00FF386D" w:rsidRDefault="003A4713" w:rsidP="003A4713">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22" w:type="dxa"/>
            <w:gridSpan w:val="3"/>
            <w:tcBorders>
              <w:top w:val="single" w:sz="8" w:space="0" w:color="auto"/>
              <w:left w:val="nil"/>
              <w:bottom w:val="single" w:sz="8" w:space="0" w:color="auto"/>
              <w:right w:val="single" w:sz="8" w:space="0" w:color="000000"/>
            </w:tcBorders>
            <w:vAlign w:val="center"/>
            <w:hideMark/>
          </w:tcPr>
          <w:p w14:paraId="0C524672" w14:textId="319B9373" w:rsidR="003A4713" w:rsidRPr="00FF386D" w:rsidRDefault="001C3577" w:rsidP="003A4713">
            <w:pPr>
              <w:spacing w:after="0" w:line="240" w:lineRule="auto"/>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Датум с</w:t>
            </w:r>
            <w:r w:rsidRPr="00FF386D">
              <w:rPr>
                <w:rFonts w:ascii="Calibri Light" w:eastAsia="Times New Roman" w:hAnsi="Calibri Light" w:cs="Calibri Light"/>
                <w:color w:val="000000"/>
                <w:sz w:val="20"/>
                <w:szCs w:val="20"/>
                <w:lang w:eastAsia="en-GB"/>
              </w:rPr>
              <w:t xml:space="preserve">пајање </w:t>
            </w:r>
            <w:r w:rsidR="003A4713" w:rsidRPr="00FF386D">
              <w:rPr>
                <w:rFonts w:ascii="Calibri Light" w:eastAsia="Times New Roman" w:hAnsi="Calibri Light" w:cs="Calibri Light"/>
                <w:color w:val="000000"/>
                <w:sz w:val="20"/>
                <w:szCs w:val="20"/>
                <w:lang w:eastAsia="en-GB"/>
              </w:rPr>
              <w:t>тржишта дан-унапред оперативно</w:t>
            </w:r>
          </w:p>
        </w:tc>
      </w:tr>
      <w:tr w:rsidR="003A4713" w:rsidRPr="00FF386D" w14:paraId="412D4C1A" w14:textId="77777777" w:rsidTr="0057310C">
        <w:trPr>
          <w:trHeight w:val="454"/>
        </w:trPr>
        <w:tc>
          <w:tcPr>
            <w:tcW w:w="3266" w:type="dxa"/>
            <w:tcBorders>
              <w:top w:val="nil"/>
              <w:left w:val="single" w:sz="8" w:space="0" w:color="auto"/>
              <w:bottom w:val="single" w:sz="8" w:space="0" w:color="auto"/>
              <w:right w:val="single" w:sz="8" w:space="0" w:color="auto"/>
            </w:tcBorders>
            <w:shd w:val="clear" w:color="000000" w:fill="244062"/>
            <w:vAlign w:val="center"/>
            <w:hideMark/>
          </w:tcPr>
          <w:p w14:paraId="086732EE" w14:textId="77777777" w:rsidR="003A4713" w:rsidRPr="00FF386D" w:rsidRDefault="003A4713" w:rsidP="003A4713">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22" w:type="dxa"/>
            <w:gridSpan w:val="3"/>
            <w:tcBorders>
              <w:top w:val="single" w:sz="8" w:space="0" w:color="auto"/>
              <w:left w:val="nil"/>
              <w:bottom w:val="single" w:sz="8" w:space="0" w:color="auto"/>
              <w:right w:val="single" w:sz="8" w:space="0" w:color="000000"/>
            </w:tcBorders>
            <w:vAlign w:val="center"/>
            <w:hideMark/>
          </w:tcPr>
          <w:p w14:paraId="7E7B857C" w14:textId="77777777" w:rsidR="003A4713" w:rsidRPr="000A2AFE" w:rsidRDefault="003A4713" w:rsidP="003A4713">
            <w:pPr>
              <w:numPr>
                <w:ilvl w:val="0"/>
                <w:numId w:val="81"/>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Енергетска сигурност</w:t>
            </w:r>
          </w:p>
          <w:p w14:paraId="7A198C6E" w14:textId="3AE3F407" w:rsidR="002D1B59" w:rsidRPr="00FF386D" w:rsidRDefault="002D1B59" w:rsidP="003A4713">
            <w:pPr>
              <w:numPr>
                <w:ilvl w:val="0"/>
                <w:numId w:val="81"/>
              </w:numPr>
              <w:spacing w:after="0" w:line="240" w:lineRule="auto"/>
              <w:contextualSpacing/>
              <w:rPr>
                <w:rFonts w:ascii="Calibri Light" w:eastAsia="Times New Roman" w:hAnsi="Calibri Light" w:cs="Calibri Light"/>
                <w:color w:val="000000"/>
                <w:sz w:val="20"/>
                <w:szCs w:val="20"/>
                <w:lang w:eastAsia="en-GB"/>
              </w:rPr>
            </w:pPr>
            <w:r>
              <w:rPr>
                <w:rFonts w:ascii="Calibri Light" w:eastAsia="Times New Roman" w:hAnsi="Calibri Light" w:cs="Calibri Light"/>
                <w:color w:val="000000"/>
                <w:sz w:val="20"/>
                <w:szCs w:val="20"/>
                <w:lang w:eastAsia="en-GB"/>
              </w:rPr>
              <w:t>Декарбонизација</w:t>
            </w:r>
          </w:p>
        </w:tc>
      </w:tr>
      <w:tr w:rsidR="003A4713" w:rsidRPr="00FF386D" w14:paraId="20057F10" w14:textId="77777777" w:rsidTr="0057310C">
        <w:trPr>
          <w:trHeight w:val="450"/>
        </w:trPr>
        <w:tc>
          <w:tcPr>
            <w:tcW w:w="3266"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01CD49E8" w14:textId="31B9061F" w:rsidR="003A4713" w:rsidRPr="00FF386D" w:rsidRDefault="003A4713" w:rsidP="003A4713">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Политике Уније која су резултирале имплементацијом политике и мере</w:t>
            </w:r>
          </w:p>
        </w:tc>
        <w:tc>
          <w:tcPr>
            <w:tcW w:w="6222"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3B98EF32" w14:textId="77777777" w:rsidR="003A4713" w:rsidRPr="000A2AFE" w:rsidRDefault="003A4713" w:rsidP="003A4713">
            <w:pPr>
              <w:numPr>
                <w:ilvl w:val="0"/>
                <w:numId w:val="80"/>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Директива</w:t>
            </w:r>
            <w:r w:rsidRPr="000A2AFE">
              <w:rPr>
                <w:rFonts w:asciiTheme="majorHAnsi" w:eastAsia="Times New Roman" w:hAnsiTheme="majorHAnsi" w:cstheme="majorHAnsi"/>
                <w:color w:val="000000"/>
                <w:sz w:val="20"/>
                <w:szCs w:val="20"/>
                <w:lang w:eastAsia="en-GB"/>
              </w:rPr>
              <w:t>2009/72/ЕЗ</w:t>
            </w:r>
          </w:p>
          <w:p w14:paraId="751D278E" w14:textId="77777777" w:rsidR="003A4713" w:rsidRPr="000A2AFE" w:rsidRDefault="003A4713" w:rsidP="003A4713">
            <w:pPr>
              <w:numPr>
                <w:ilvl w:val="0"/>
                <w:numId w:val="80"/>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color w:val="000000"/>
                <w:sz w:val="20"/>
              </w:rPr>
              <w:t xml:space="preserve">Директива </w:t>
            </w:r>
            <w:r w:rsidRPr="000A2AFE">
              <w:rPr>
                <w:rFonts w:asciiTheme="majorHAnsi" w:eastAsia="Times New Roman" w:hAnsiTheme="majorHAnsi" w:cstheme="majorHAnsi"/>
                <w:color w:val="000000"/>
                <w:sz w:val="20"/>
                <w:szCs w:val="20"/>
                <w:lang w:eastAsia="en-GB"/>
              </w:rPr>
              <w:t>(ЕУ) 2019/944</w:t>
            </w:r>
          </w:p>
          <w:p w14:paraId="7A8373FC" w14:textId="77777777" w:rsidR="003A4713" w:rsidRPr="00FF386D" w:rsidRDefault="003A4713" w:rsidP="003A4713">
            <w:pPr>
              <w:numPr>
                <w:ilvl w:val="0"/>
                <w:numId w:val="13"/>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color w:val="000000"/>
                <w:sz w:val="20"/>
              </w:rPr>
              <w:t xml:space="preserve">Уредба </w:t>
            </w:r>
            <w:r w:rsidRPr="000A2AFE">
              <w:rPr>
                <w:rFonts w:asciiTheme="majorHAnsi" w:eastAsia="Times New Roman" w:hAnsiTheme="majorHAnsi" w:cstheme="majorHAnsi"/>
                <w:color w:val="000000"/>
                <w:sz w:val="20"/>
                <w:szCs w:val="20"/>
                <w:lang w:eastAsia="en-GB"/>
              </w:rPr>
              <w:t>(ЕУ) 2019/943</w:t>
            </w:r>
          </w:p>
        </w:tc>
      </w:tr>
      <w:tr w:rsidR="003A4713" w:rsidRPr="00FF386D" w14:paraId="12B47B9D"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0DE84DAD" w14:textId="77777777" w:rsidR="003A4713" w:rsidRPr="00FF386D" w:rsidRDefault="003A4713" w:rsidP="003A4713">
            <w:pPr>
              <w:spacing w:after="0" w:line="256" w:lineRule="auto"/>
              <w:rPr>
                <w:rFonts w:ascii="Calibri Light" w:eastAsia="Times New Roman" w:hAnsi="Calibri Light" w:cs="Calibri Light"/>
                <w:b/>
                <w:bCs/>
                <w:color w:val="FFFFFF"/>
                <w:sz w:val="20"/>
                <w:szCs w:val="20"/>
                <w:lang w:eastAsia="en-GB"/>
              </w:rPr>
            </w:pPr>
          </w:p>
        </w:tc>
        <w:tc>
          <w:tcPr>
            <w:tcW w:w="6222" w:type="dxa"/>
            <w:gridSpan w:val="3"/>
            <w:vMerge/>
            <w:tcBorders>
              <w:top w:val="single" w:sz="8" w:space="0" w:color="auto"/>
              <w:left w:val="single" w:sz="8" w:space="0" w:color="auto"/>
              <w:bottom w:val="single" w:sz="8" w:space="0" w:color="000000"/>
              <w:right w:val="single" w:sz="8" w:space="0" w:color="000000"/>
            </w:tcBorders>
            <w:vAlign w:val="center"/>
            <w:hideMark/>
          </w:tcPr>
          <w:p w14:paraId="23F8968E" w14:textId="77777777" w:rsidR="003A4713" w:rsidRPr="00FF386D" w:rsidRDefault="003A4713" w:rsidP="003A4713">
            <w:pPr>
              <w:spacing w:after="0" w:line="256" w:lineRule="auto"/>
              <w:rPr>
                <w:rFonts w:ascii="Calibri Light" w:eastAsia="Times New Roman" w:hAnsi="Calibri Light" w:cs="Calibri Light"/>
                <w:color w:val="000000"/>
                <w:sz w:val="20"/>
                <w:szCs w:val="20"/>
                <w:lang w:eastAsia="en-GB"/>
              </w:rPr>
            </w:pPr>
          </w:p>
        </w:tc>
      </w:tr>
      <w:tr w:rsidR="003A4713" w:rsidRPr="00FF386D" w14:paraId="2A9ABFCF"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30F6E817" w14:textId="77777777" w:rsidR="003A4713" w:rsidRPr="00FF386D" w:rsidRDefault="003A4713" w:rsidP="003A4713">
            <w:pPr>
              <w:spacing w:after="0" w:line="256" w:lineRule="auto"/>
              <w:rPr>
                <w:rFonts w:ascii="Calibri Light" w:eastAsia="Times New Roman" w:hAnsi="Calibri Light" w:cs="Calibri Light"/>
                <w:b/>
                <w:bCs/>
                <w:color w:val="FFFFFF"/>
                <w:sz w:val="20"/>
                <w:szCs w:val="20"/>
                <w:lang w:eastAsia="en-GB"/>
              </w:rPr>
            </w:pPr>
          </w:p>
        </w:tc>
        <w:tc>
          <w:tcPr>
            <w:tcW w:w="6222" w:type="dxa"/>
            <w:gridSpan w:val="3"/>
            <w:vMerge/>
            <w:tcBorders>
              <w:top w:val="single" w:sz="8" w:space="0" w:color="auto"/>
              <w:left w:val="single" w:sz="8" w:space="0" w:color="auto"/>
              <w:bottom w:val="single" w:sz="8" w:space="0" w:color="000000"/>
              <w:right w:val="single" w:sz="8" w:space="0" w:color="000000"/>
            </w:tcBorders>
            <w:vAlign w:val="center"/>
            <w:hideMark/>
          </w:tcPr>
          <w:p w14:paraId="0B327AB9" w14:textId="77777777" w:rsidR="003A4713" w:rsidRPr="00FF386D" w:rsidRDefault="003A4713" w:rsidP="003A4713">
            <w:pPr>
              <w:spacing w:after="0" w:line="256" w:lineRule="auto"/>
              <w:rPr>
                <w:rFonts w:ascii="Calibri Light" w:eastAsia="Times New Roman" w:hAnsi="Calibri Light" w:cs="Calibri Light"/>
                <w:color w:val="000000"/>
                <w:sz w:val="20"/>
                <w:szCs w:val="20"/>
                <w:lang w:eastAsia="en-GB"/>
              </w:rPr>
            </w:pPr>
          </w:p>
        </w:tc>
      </w:tr>
      <w:tr w:rsidR="003A4713" w:rsidRPr="00FF386D" w14:paraId="1FE16010" w14:textId="77777777" w:rsidTr="0057310C">
        <w:trPr>
          <w:trHeight w:val="489"/>
        </w:trPr>
        <w:tc>
          <w:tcPr>
            <w:tcW w:w="3266" w:type="dxa"/>
            <w:tcBorders>
              <w:top w:val="nil"/>
              <w:left w:val="single" w:sz="8" w:space="0" w:color="auto"/>
              <w:bottom w:val="single" w:sz="8" w:space="0" w:color="auto"/>
              <w:right w:val="single" w:sz="8" w:space="0" w:color="auto"/>
            </w:tcBorders>
            <w:shd w:val="clear" w:color="000000" w:fill="244062"/>
            <w:vAlign w:val="center"/>
            <w:hideMark/>
          </w:tcPr>
          <w:p w14:paraId="0DBD2F4F" w14:textId="77777777" w:rsidR="003A4713" w:rsidRPr="00FF386D" w:rsidRDefault="003A4713" w:rsidP="003A4713">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22" w:type="dxa"/>
            <w:gridSpan w:val="3"/>
            <w:tcBorders>
              <w:top w:val="single" w:sz="8" w:space="0" w:color="auto"/>
              <w:left w:val="nil"/>
              <w:bottom w:val="single" w:sz="8" w:space="0" w:color="auto"/>
              <w:right w:val="single" w:sz="8" w:space="0" w:color="000000"/>
            </w:tcBorders>
            <w:vAlign w:val="center"/>
            <w:hideMark/>
          </w:tcPr>
          <w:p w14:paraId="2DCCABA3" w14:textId="77777777" w:rsidR="003A4713" w:rsidRPr="00FF386D" w:rsidRDefault="003A4713" w:rsidP="003A4713">
            <w:pPr>
              <w:numPr>
                <w:ilvl w:val="0"/>
                <w:numId w:val="17"/>
              </w:numPr>
              <w:spacing w:after="0" w:line="240" w:lineRule="auto"/>
              <w:contextualSpacing/>
              <w:rPr>
                <w:rFonts w:ascii="Calibri Light" w:eastAsia="Times New Roman" w:hAnsi="Calibri Light" w:cs="Calibri Light"/>
                <w:color w:val="000000"/>
                <w:sz w:val="20"/>
                <w:szCs w:val="20"/>
                <w:lang w:eastAsia="en-GB"/>
              </w:rPr>
            </w:pPr>
            <w:r w:rsidRPr="00FF386D">
              <w:rPr>
                <w:rFonts w:asciiTheme="majorHAnsi" w:eastAsia="Times New Roman" w:hAnsiTheme="majorHAnsi" w:cstheme="majorHAnsi"/>
                <w:color w:val="000000"/>
                <w:sz w:val="20"/>
                <w:szCs w:val="20"/>
                <w:lang w:eastAsia="en-GB"/>
              </w:rPr>
              <w:t>Закон о енергетици</w:t>
            </w:r>
          </w:p>
        </w:tc>
      </w:tr>
      <w:tr w:rsidR="003A4713" w:rsidRPr="00FF386D" w14:paraId="4B0019A7" w14:textId="77777777" w:rsidTr="0057310C">
        <w:trPr>
          <w:trHeight w:val="315"/>
        </w:trPr>
        <w:tc>
          <w:tcPr>
            <w:tcW w:w="3266" w:type="dxa"/>
            <w:tcBorders>
              <w:top w:val="nil"/>
              <w:left w:val="single" w:sz="8" w:space="0" w:color="auto"/>
              <w:bottom w:val="single" w:sz="8" w:space="0" w:color="auto"/>
              <w:right w:val="single" w:sz="8" w:space="0" w:color="auto"/>
            </w:tcBorders>
            <w:shd w:val="clear" w:color="000000" w:fill="244062"/>
            <w:vAlign w:val="center"/>
            <w:hideMark/>
          </w:tcPr>
          <w:p w14:paraId="242F031B" w14:textId="77777777" w:rsidR="003A4713" w:rsidRPr="00FF386D" w:rsidRDefault="003A4713" w:rsidP="003A4713">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22" w:type="dxa"/>
            <w:gridSpan w:val="3"/>
            <w:tcBorders>
              <w:top w:val="single" w:sz="8" w:space="0" w:color="auto"/>
              <w:left w:val="nil"/>
              <w:bottom w:val="single" w:sz="8" w:space="0" w:color="auto"/>
              <w:right w:val="single" w:sz="8" w:space="0" w:color="000000"/>
            </w:tcBorders>
            <w:vAlign w:val="center"/>
            <w:hideMark/>
          </w:tcPr>
          <w:p w14:paraId="3A96EC9D" w14:textId="77777777" w:rsidR="003A4713" w:rsidRPr="00FF386D" w:rsidRDefault="003A4713" w:rsidP="003A4713">
            <w:pPr>
              <w:spacing w:after="0" w:line="240" w:lineRule="auto"/>
              <w:rPr>
                <w:rFonts w:ascii="Calibri" w:eastAsia="Times New Roman" w:hAnsi="Calibri" w:cs="Calibri"/>
                <w:color w:val="000000"/>
                <w:sz w:val="20"/>
                <w:szCs w:val="20"/>
                <w:lang w:eastAsia="en-GB"/>
              </w:rPr>
            </w:pPr>
            <w:r w:rsidRPr="00FF386D">
              <w:rPr>
                <w:rFonts w:asciiTheme="majorHAnsi" w:eastAsia="Times New Roman" w:hAnsiTheme="majorHAnsi" w:cstheme="majorHAnsi"/>
                <w:color w:val="000000"/>
                <w:sz w:val="20"/>
                <w:szCs w:val="20"/>
                <w:lang w:eastAsia="en-GB"/>
              </w:rPr>
              <w:t>0,2 милиона евра</w:t>
            </w:r>
          </w:p>
        </w:tc>
      </w:tr>
      <w:tr w:rsidR="003A4713" w:rsidRPr="00FF386D" w14:paraId="228B5342" w14:textId="77777777" w:rsidTr="0057310C">
        <w:trPr>
          <w:trHeight w:val="315"/>
        </w:trPr>
        <w:tc>
          <w:tcPr>
            <w:tcW w:w="3266" w:type="dxa"/>
            <w:tcBorders>
              <w:top w:val="nil"/>
              <w:left w:val="single" w:sz="8" w:space="0" w:color="auto"/>
              <w:bottom w:val="single" w:sz="8" w:space="0" w:color="auto"/>
              <w:right w:val="single" w:sz="8" w:space="0" w:color="auto"/>
            </w:tcBorders>
            <w:shd w:val="clear" w:color="000000" w:fill="244062"/>
            <w:vAlign w:val="center"/>
            <w:hideMark/>
          </w:tcPr>
          <w:p w14:paraId="5DE4F49B" w14:textId="77777777" w:rsidR="003A4713" w:rsidRPr="00FF386D" w:rsidRDefault="003A4713" w:rsidP="003A4713">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22" w:type="dxa"/>
            <w:gridSpan w:val="3"/>
            <w:tcBorders>
              <w:top w:val="single" w:sz="8" w:space="0" w:color="auto"/>
              <w:left w:val="nil"/>
              <w:bottom w:val="single" w:sz="8" w:space="0" w:color="auto"/>
              <w:right w:val="single" w:sz="8" w:space="0" w:color="000000"/>
            </w:tcBorders>
            <w:vAlign w:val="center"/>
            <w:hideMark/>
          </w:tcPr>
          <w:p w14:paraId="3388CF74" w14:textId="01D24093" w:rsidR="003A4713" w:rsidRPr="00FF386D" w:rsidRDefault="003A4713" w:rsidP="003A4713">
            <w:pPr>
              <w:spacing w:after="0" w:line="240" w:lineRule="auto"/>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Фондови ЕУ и други фондови, буџетска средства</w:t>
            </w:r>
          </w:p>
        </w:tc>
      </w:tr>
    </w:tbl>
    <w:p w14:paraId="38BDF367" w14:textId="77777777" w:rsidR="00854ADA" w:rsidRPr="00FF386D" w:rsidRDefault="00854ADA" w:rsidP="00854ADA">
      <w:pPr>
        <w:keepNext/>
        <w:spacing w:before="240" w:after="60" w:line="240" w:lineRule="auto"/>
        <w:jc w:val="both"/>
        <w:outlineLvl w:val="2"/>
        <w:rPr>
          <w:rFonts w:asciiTheme="majorHAnsi" w:eastAsia="Times New Roman" w:hAnsiTheme="majorHAnsi" w:cs="Arial"/>
          <w:b/>
          <w:bCs/>
          <w:color w:val="01406B"/>
          <w:sz w:val="26"/>
          <w:szCs w:val="26"/>
          <w:lang w:eastAsia="tr-TR"/>
        </w:rPr>
      </w:pPr>
      <w:r w:rsidRPr="00FF386D">
        <w:rPr>
          <w:rFonts w:asciiTheme="majorHAnsi" w:eastAsia="Times New Roman" w:hAnsiTheme="majorHAnsi" w:cs="Arial"/>
          <w:b/>
          <w:bCs/>
          <w:color w:val="01406B"/>
          <w:sz w:val="26"/>
          <w:szCs w:val="26"/>
          <w:lang w:eastAsia="tr-TR"/>
        </w:rPr>
        <w:t>3</w:t>
      </w:r>
      <w:r w:rsidRPr="00FF386D">
        <w:rPr>
          <w:rStyle w:val="Heading3Char"/>
          <w:rFonts w:eastAsiaTheme="minorHAnsi"/>
        </w:rPr>
        <w:t>.4.4.</w:t>
      </w:r>
      <w:r w:rsidRPr="00FF386D">
        <w:rPr>
          <w:rStyle w:val="Heading3Char"/>
          <w:rFonts w:eastAsiaTheme="minorHAnsi"/>
        </w:rPr>
        <w:tab/>
        <w:t>Eнергетско сиромаштво</w:t>
      </w:r>
    </w:p>
    <w:p w14:paraId="6A2F937A" w14:textId="1B40C1C6" w:rsidR="00854ADA" w:rsidRPr="00FF386D" w:rsidRDefault="00854ADA" w:rsidP="00854ADA">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Биће уведен</w:t>
      </w:r>
      <w:r w:rsidR="003A4713" w:rsidRPr="00FF386D">
        <w:rPr>
          <w:rFonts w:asciiTheme="majorHAnsi" w:eastAsia="Times New Roman" w:hAnsiTheme="majorHAnsi" w:cstheme="majorHAnsi"/>
          <w:lang w:eastAsia="el-GR"/>
        </w:rPr>
        <w:t>а</w:t>
      </w:r>
      <w:r w:rsidRPr="00FF386D">
        <w:rPr>
          <w:rFonts w:asciiTheme="majorHAnsi" w:eastAsia="Times New Roman" w:hAnsiTheme="majorHAnsi" w:cstheme="majorHAnsi"/>
          <w:lang w:eastAsia="el-GR"/>
        </w:rPr>
        <w:t xml:space="preserve"> </w:t>
      </w:r>
      <w:r w:rsidR="00246155" w:rsidRPr="00FF386D">
        <w:rPr>
          <w:rFonts w:asciiTheme="majorHAnsi" w:eastAsia="Times New Roman" w:hAnsiTheme="majorHAnsi" w:cstheme="majorHAnsi"/>
          <w:lang w:eastAsia="el-GR"/>
        </w:rPr>
        <w:t>уравнотежена комбинација</w:t>
      </w:r>
      <w:r w:rsidRPr="00FF386D">
        <w:rPr>
          <w:rFonts w:asciiTheme="majorHAnsi" w:eastAsia="Times New Roman" w:hAnsiTheme="majorHAnsi" w:cstheme="majorHAnsi"/>
          <w:lang w:eastAsia="el-GR"/>
        </w:rPr>
        <w:t xml:space="preserve"> политика и мера за </w:t>
      </w:r>
      <w:r w:rsidR="00246155" w:rsidRPr="00FF386D">
        <w:rPr>
          <w:rFonts w:asciiTheme="majorHAnsi" w:eastAsia="Times New Roman" w:hAnsiTheme="majorHAnsi" w:cstheme="majorHAnsi"/>
          <w:lang w:eastAsia="el-GR"/>
        </w:rPr>
        <w:t xml:space="preserve">унапређено </w:t>
      </w:r>
      <w:r w:rsidRPr="00FF386D">
        <w:rPr>
          <w:rFonts w:asciiTheme="majorHAnsi" w:eastAsia="Times New Roman" w:hAnsiTheme="majorHAnsi" w:cstheme="majorHAnsi"/>
          <w:lang w:eastAsia="el-GR"/>
        </w:rPr>
        <w:t xml:space="preserve">ублажавање енергетског сиромаштва. </w:t>
      </w:r>
      <w:r w:rsidR="00246155" w:rsidRPr="00FF386D">
        <w:rPr>
          <w:rFonts w:asciiTheme="majorHAnsi" w:eastAsia="Times New Roman" w:hAnsiTheme="majorHAnsi" w:cstheme="majorHAnsi"/>
          <w:lang w:eastAsia="el-GR"/>
        </w:rPr>
        <w:t>Како би се обезбедил</w:t>
      </w:r>
      <w:r w:rsidR="00246155" w:rsidRPr="000A2AFE">
        <w:rPr>
          <w:rFonts w:asciiTheme="majorHAnsi" w:eastAsia="Times New Roman" w:hAnsiTheme="majorHAnsi" w:cstheme="majorHAnsi"/>
          <w:lang w:eastAsia="el-GR"/>
        </w:rPr>
        <w:t>a</w:t>
      </w:r>
      <w:r w:rsidR="00246155" w:rsidRPr="00FF386D">
        <w:rPr>
          <w:rFonts w:asciiTheme="majorHAnsi" w:eastAsia="Times New Roman" w:hAnsiTheme="majorHAnsi" w:cstheme="majorHAnsi"/>
          <w:lang w:eastAsia="el-GR"/>
        </w:rPr>
        <w:t xml:space="preserve"> унапређена заштита енергетски сиромашних домаћинстава</w:t>
      </w:r>
      <w:r w:rsidRPr="00FF386D">
        <w:rPr>
          <w:rFonts w:asciiTheme="majorHAnsi" w:eastAsia="Times New Roman" w:hAnsiTheme="majorHAnsi" w:cstheme="majorHAnsi"/>
          <w:lang w:eastAsia="el-GR"/>
        </w:rPr>
        <w:t xml:space="preserve"> </w:t>
      </w:r>
      <w:r w:rsidR="00246155" w:rsidRPr="00FF386D">
        <w:rPr>
          <w:rFonts w:asciiTheme="majorHAnsi" w:eastAsia="Times New Roman" w:hAnsiTheme="majorHAnsi" w:cstheme="majorHAnsi"/>
          <w:lang w:eastAsia="el-GR"/>
        </w:rPr>
        <w:t>биће ревидирана усвојена дефиниција овог појма</w:t>
      </w:r>
      <w:r w:rsidRPr="00FF386D">
        <w:rPr>
          <w:rFonts w:asciiTheme="majorHAnsi" w:eastAsia="Times New Roman" w:hAnsiTheme="majorHAnsi" w:cstheme="majorHAnsi"/>
          <w:lang w:eastAsia="el-GR"/>
        </w:rPr>
        <w:t xml:space="preserve"> и израђен акциони план за циљано и координисано суочавање са енергетским сиромаштвом. Планиране политике и мере ће бити специјализоване, </w:t>
      </w:r>
      <w:r w:rsidR="003A4713" w:rsidRPr="00FF386D">
        <w:rPr>
          <w:rFonts w:asciiTheme="majorHAnsi" w:eastAsia="Times New Roman" w:hAnsiTheme="majorHAnsi" w:cstheme="majorHAnsi"/>
          <w:lang w:eastAsia="el-GR"/>
        </w:rPr>
        <w:t>а</w:t>
      </w:r>
      <w:r w:rsidRPr="00FF386D">
        <w:rPr>
          <w:rFonts w:asciiTheme="majorHAnsi" w:eastAsia="Times New Roman" w:hAnsiTheme="majorHAnsi" w:cstheme="majorHAnsi"/>
          <w:lang w:eastAsia="el-GR"/>
        </w:rPr>
        <w:t xml:space="preserve"> развиће се </w:t>
      </w:r>
      <w:r w:rsidR="003A4713" w:rsidRPr="00FF386D">
        <w:rPr>
          <w:rFonts w:asciiTheme="majorHAnsi" w:eastAsia="Times New Roman" w:hAnsiTheme="majorHAnsi" w:cstheme="majorHAnsi"/>
          <w:lang w:eastAsia="el-GR"/>
        </w:rPr>
        <w:t xml:space="preserve">свеобухватни </w:t>
      </w:r>
      <w:r w:rsidRPr="00FF386D">
        <w:rPr>
          <w:rFonts w:asciiTheme="majorHAnsi" w:eastAsia="Times New Roman" w:hAnsiTheme="majorHAnsi" w:cstheme="majorHAnsi"/>
          <w:lang w:eastAsia="el-GR"/>
        </w:rPr>
        <w:t>механизам праћења према усвојеној националној дефиницији укључујући потребне алате и индикаторе.</w:t>
      </w:r>
    </w:p>
    <w:p w14:paraId="3E39A016" w14:textId="4A5F16B3" w:rsidR="00854ADA" w:rsidRPr="00FF386D" w:rsidRDefault="00854ADA" w:rsidP="00854ADA">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Биће донете конкретне регулаторне мере</w:t>
      </w:r>
      <w:r w:rsidR="003A4713"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lang w:eastAsia="el-GR"/>
        </w:rPr>
        <w:t>како би се заштитила енергетски сиромашна домаћинстава од потенцијалних искључења са мреже електричне енергије и природног гаса</w:t>
      </w:r>
      <w:r w:rsidR="003A4713" w:rsidRPr="00FF386D">
        <w:rPr>
          <w:rFonts w:asciiTheme="majorHAnsi" w:eastAsia="Times New Roman" w:hAnsiTheme="majorHAnsi" w:cstheme="majorHAnsi"/>
          <w:lang w:eastAsia="el-GR"/>
        </w:rPr>
        <w:t>,</w:t>
      </w:r>
      <w:r w:rsidRPr="00FF386D">
        <w:rPr>
          <w:rFonts w:asciiTheme="majorHAnsi" w:eastAsia="Times New Roman" w:hAnsiTheme="majorHAnsi" w:cstheme="majorHAnsi"/>
          <w:lang w:eastAsia="el-GR"/>
        </w:rPr>
        <w:t xml:space="preserve"> </w:t>
      </w:r>
      <w:r w:rsidR="003A4713" w:rsidRPr="00FF386D">
        <w:rPr>
          <w:rFonts w:asciiTheme="majorHAnsi" w:eastAsia="Times New Roman" w:hAnsiTheme="majorHAnsi" w:cstheme="majorHAnsi"/>
          <w:lang w:eastAsia="el-GR"/>
        </w:rPr>
        <w:t>и тиме допринело</w:t>
      </w:r>
      <w:r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lang w:eastAsia="el-GR"/>
        </w:rPr>
        <w:lastRenderedPageBreak/>
        <w:t>краткорочно</w:t>
      </w:r>
      <w:r w:rsidR="003A4713" w:rsidRPr="00FF386D">
        <w:rPr>
          <w:rFonts w:asciiTheme="majorHAnsi" w:eastAsia="Times New Roman" w:hAnsiTheme="majorHAnsi" w:cstheme="majorHAnsi"/>
          <w:lang w:eastAsia="el-GR"/>
        </w:rPr>
        <w:t>м</w:t>
      </w:r>
      <w:r w:rsidRPr="00FF386D">
        <w:rPr>
          <w:rFonts w:asciiTheme="majorHAnsi" w:eastAsia="Times New Roman" w:hAnsiTheme="majorHAnsi" w:cstheme="majorHAnsi"/>
          <w:lang w:eastAsia="el-GR"/>
        </w:rPr>
        <w:t xml:space="preserve"> ублажавањ</w:t>
      </w:r>
      <w:r w:rsidR="003A4713" w:rsidRPr="00FF386D">
        <w:rPr>
          <w:rFonts w:asciiTheme="majorHAnsi" w:eastAsia="Times New Roman" w:hAnsiTheme="majorHAnsi" w:cstheme="majorHAnsi"/>
          <w:lang w:eastAsia="el-GR"/>
        </w:rPr>
        <w:t>у</w:t>
      </w:r>
      <w:r w:rsidRPr="00FF386D">
        <w:rPr>
          <w:rFonts w:asciiTheme="majorHAnsi" w:eastAsia="Times New Roman" w:hAnsiTheme="majorHAnsi" w:cstheme="majorHAnsi"/>
          <w:lang w:eastAsia="el-GR"/>
        </w:rPr>
        <w:t xml:space="preserve"> енергетског сиромаштва. Такође, биће обезбеђени додатни финансијски подстицаји енергетски сиромашним домаћинствима за куповину енергената који ће се користити за </w:t>
      </w:r>
      <w:r w:rsidR="003A4713" w:rsidRPr="00FF386D">
        <w:rPr>
          <w:rFonts w:asciiTheme="majorHAnsi" w:eastAsia="Times New Roman" w:hAnsiTheme="majorHAnsi" w:cstheme="majorHAnsi"/>
          <w:lang w:eastAsia="el-GR"/>
        </w:rPr>
        <w:t>задовољавање</w:t>
      </w:r>
      <w:r w:rsidRPr="00FF386D">
        <w:rPr>
          <w:rFonts w:asciiTheme="majorHAnsi" w:eastAsia="Times New Roman" w:hAnsiTheme="majorHAnsi" w:cstheme="majorHAnsi"/>
          <w:lang w:eastAsia="el-GR"/>
        </w:rPr>
        <w:t xml:space="preserve"> стварних енергетских потреба.</w:t>
      </w:r>
    </w:p>
    <w:p w14:paraId="43BF53FE" w14:textId="56F5EDDF" w:rsidR="00854ADA" w:rsidRPr="00FF386D" w:rsidRDefault="00854ADA" w:rsidP="00854ADA">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Циљани финансијски инструменти ће бити осмишљени тако да </w:t>
      </w:r>
      <w:r w:rsidR="003A4713" w:rsidRPr="00FF386D">
        <w:rPr>
          <w:rFonts w:asciiTheme="majorHAnsi" w:eastAsia="Times New Roman" w:hAnsiTheme="majorHAnsi" w:cstheme="majorHAnsi"/>
          <w:lang w:eastAsia="el-GR"/>
        </w:rPr>
        <w:t>унапређују</w:t>
      </w:r>
      <w:r w:rsidRPr="00FF386D">
        <w:rPr>
          <w:rFonts w:asciiTheme="majorHAnsi" w:eastAsia="Times New Roman" w:hAnsiTheme="majorHAnsi" w:cstheme="majorHAnsi"/>
          <w:lang w:eastAsia="el-GR"/>
        </w:rPr>
        <w:t xml:space="preserve"> енергетску ефикасност и подстичу уградњу уређаја на ОИЕ у зграде енергетски сиромашних домаћинстава, доприносећи дугорочном ублажавању енергетског сиромаштва. Биће омогућен приступ енергетски сиромашних домаћинстава алтернативним изворима енерг</w:t>
      </w:r>
      <w:r w:rsidR="003A4713" w:rsidRPr="00FF386D">
        <w:rPr>
          <w:rFonts w:asciiTheme="majorHAnsi" w:eastAsia="Times New Roman" w:hAnsiTheme="majorHAnsi" w:cstheme="majorHAnsi"/>
          <w:lang w:eastAsia="el-GR"/>
        </w:rPr>
        <w:t>ије</w:t>
      </w:r>
      <w:r w:rsidR="00454BE6" w:rsidRPr="00FF386D">
        <w:rPr>
          <w:rFonts w:asciiTheme="majorHAnsi" w:eastAsia="Times New Roman" w:hAnsiTheme="majorHAnsi" w:cstheme="majorHAnsi"/>
          <w:lang w:eastAsia="el-GR"/>
        </w:rPr>
        <w:t xml:space="preserve">, такође </w:t>
      </w:r>
      <w:r w:rsidRPr="00FF386D">
        <w:rPr>
          <w:rFonts w:asciiTheme="majorHAnsi" w:eastAsia="Times New Roman" w:hAnsiTheme="majorHAnsi" w:cstheme="majorHAnsi"/>
          <w:lang w:eastAsia="el-GR"/>
        </w:rPr>
        <w:t>и због значајног смањења њихових трошкова за енергију.</w:t>
      </w:r>
    </w:p>
    <w:p w14:paraId="1E06159C" w14:textId="77777777" w:rsidR="00854ADA" w:rsidRPr="00FF386D" w:rsidRDefault="00854ADA" w:rsidP="00854ADA">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На крају, биће спроведени програми информисања, подизања свести, усмеравања или обуке који ће олакшати спровођење планираних политика и мера и допринети ефикасном ублажавању енергетског сиромаштва. Акценат ће бити стављен на спровођење поједностављених енергетских прегледа, увођење напредних мерних уређаја и пружање смерница и циљаних енергетских савета енергетски сиромашним домаћинствима.</w:t>
      </w:r>
    </w:p>
    <w:p w14:paraId="6A77CF72"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86"/>
        <w:gridCol w:w="1110"/>
        <w:gridCol w:w="939"/>
        <w:gridCol w:w="4153"/>
      </w:tblGrid>
      <w:tr w:rsidR="00854ADA" w:rsidRPr="00FF386D" w14:paraId="61404D58" w14:textId="77777777" w:rsidTr="0057310C">
        <w:trPr>
          <w:trHeight w:val="780"/>
        </w:trPr>
        <w:tc>
          <w:tcPr>
            <w:tcW w:w="3286"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115E3716" w14:textId="4CF1BA28"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110" w:type="dxa"/>
            <w:tcBorders>
              <w:top w:val="single" w:sz="8" w:space="0" w:color="auto"/>
              <w:left w:val="nil"/>
              <w:bottom w:val="single" w:sz="8" w:space="0" w:color="auto"/>
              <w:right w:val="single" w:sz="8" w:space="0" w:color="auto"/>
            </w:tcBorders>
            <w:shd w:val="clear" w:color="auto" w:fill="E7E6E6" w:themeFill="background2"/>
            <w:vAlign w:val="center"/>
            <w:hideMark/>
          </w:tcPr>
          <w:p w14:paraId="66740555" w14:textId="1C4856A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eastAsia="Times New Roman" w:hAnsi="Calibri Light" w:cs="Calibri Light"/>
                <w:b/>
                <w:bCs/>
                <w:color w:val="000000"/>
                <w:sz w:val="20"/>
                <w:szCs w:val="20"/>
                <w:lang w:eastAsia="en-GB"/>
              </w:rPr>
              <w:t>MП_</w:t>
            </w:r>
            <w:r w:rsidR="00F667CB" w:rsidRPr="00FF386D">
              <w:rPr>
                <w:rFonts w:ascii="Calibri Light" w:eastAsia="Times New Roman" w:hAnsi="Calibri Light" w:cs="Calibri Light"/>
                <w:b/>
                <w:bCs/>
                <w:color w:val="000000"/>
                <w:sz w:val="20"/>
                <w:szCs w:val="20"/>
                <w:lang w:eastAsia="en-GB"/>
              </w:rPr>
              <w:t>УЕТ3</w:t>
            </w:r>
            <w:r w:rsidR="00F667CB">
              <w:rPr>
                <w:rFonts w:ascii="Calibri Light" w:eastAsia="Times New Roman" w:hAnsi="Calibri Light" w:cs="Calibri Light"/>
                <w:b/>
                <w:bCs/>
                <w:color w:val="000000"/>
                <w:sz w:val="20"/>
                <w:szCs w:val="20"/>
                <w:lang w:eastAsia="en-GB"/>
              </w:rPr>
              <w:t>2</w:t>
            </w:r>
          </w:p>
        </w:tc>
        <w:tc>
          <w:tcPr>
            <w:tcW w:w="939" w:type="dxa"/>
            <w:tcBorders>
              <w:top w:val="single" w:sz="8" w:space="0" w:color="auto"/>
              <w:left w:val="nil"/>
              <w:bottom w:val="single" w:sz="8" w:space="0" w:color="auto"/>
              <w:right w:val="single" w:sz="8" w:space="0" w:color="auto"/>
            </w:tcBorders>
            <w:shd w:val="clear" w:color="auto" w:fill="244062"/>
            <w:vAlign w:val="center"/>
            <w:hideMark/>
          </w:tcPr>
          <w:p w14:paraId="0BFD6C8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eastAsia="Times New Roman" w:hAnsi="Calibri Light" w:cs="Calibri Light"/>
                <w:b/>
                <w:bCs/>
                <w:color w:val="FFFFFF"/>
                <w:sz w:val="20"/>
                <w:szCs w:val="20"/>
                <w:lang w:eastAsia="en-GB"/>
              </w:rPr>
              <w:t xml:space="preserve">Назив: </w:t>
            </w:r>
          </w:p>
        </w:tc>
        <w:tc>
          <w:tcPr>
            <w:tcW w:w="4153" w:type="dxa"/>
            <w:tcBorders>
              <w:top w:val="single" w:sz="8" w:space="0" w:color="auto"/>
              <w:left w:val="nil"/>
              <w:bottom w:val="single" w:sz="8" w:space="0" w:color="auto"/>
              <w:right w:val="single" w:sz="8" w:space="0" w:color="auto"/>
            </w:tcBorders>
            <w:shd w:val="clear" w:color="auto" w:fill="E7E6E6" w:themeFill="background2"/>
            <w:vAlign w:val="center"/>
            <w:hideMark/>
          </w:tcPr>
          <w:p w14:paraId="1438C73E"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eastAsia="Times New Roman" w:hAnsi="Calibri Light" w:cs="Calibri Light"/>
                <w:b/>
                <w:bCs/>
                <w:color w:val="000000"/>
                <w:sz w:val="20"/>
                <w:szCs w:val="20"/>
                <w:lang w:eastAsia="en-GB"/>
              </w:rPr>
              <w:t>Израда и усвајање акционог плана за смањење енергетског сиромаштва</w:t>
            </w:r>
          </w:p>
        </w:tc>
      </w:tr>
      <w:tr w:rsidR="00854ADA" w:rsidRPr="00FF386D" w14:paraId="5FC0D46F" w14:textId="77777777" w:rsidTr="0057310C">
        <w:trPr>
          <w:trHeight w:val="354"/>
        </w:trPr>
        <w:tc>
          <w:tcPr>
            <w:tcW w:w="3286" w:type="dxa"/>
            <w:tcBorders>
              <w:top w:val="nil"/>
              <w:left w:val="single" w:sz="8" w:space="0" w:color="auto"/>
              <w:bottom w:val="single" w:sz="8" w:space="0" w:color="auto"/>
              <w:right w:val="nil"/>
            </w:tcBorders>
            <w:shd w:val="clear" w:color="000000" w:fill="244062"/>
            <w:vAlign w:val="center"/>
            <w:hideMark/>
          </w:tcPr>
          <w:p w14:paraId="7AE40F2B" w14:textId="707F6AF8"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02" w:type="dxa"/>
            <w:gridSpan w:val="3"/>
            <w:tcBorders>
              <w:top w:val="single" w:sz="8" w:space="0" w:color="auto"/>
              <w:left w:val="nil"/>
              <w:bottom w:val="single" w:sz="8" w:space="0" w:color="auto"/>
              <w:right w:val="single" w:sz="8" w:space="0" w:color="000000"/>
            </w:tcBorders>
            <w:vAlign w:val="center"/>
            <w:hideMark/>
          </w:tcPr>
          <w:p w14:paraId="1A26DB89"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Ублажавање енергетског сиромаштва</w:t>
            </w:r>
          </w:p>
        </w:tc>
      </w:tr>
      <w:tr w:rsidR="00854ADA" w:rsidRPr="00FF386D" w14:paraId="396A0268"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03A292F9" w14:textId="63378F26"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02" w:type="dxa"/>
            <w:gridSpan w:val="3"/>
            <w:tcBorders>
              <w:top w:val="single" w:sz="8" w:space="0" w:color="auto"/>
              <w:left w:val="nil"/>
              <w:bottom w:val="single" w:sz="8" w:space="0" w:color="auto"/>
              <w:right w:val="single" w:sz="8" w:space="0" w:color="000000"/>
            </w:tcBorders>
            <w:vAlign w:val="center"/>
            <w:hideMark/>
          </w:tcPr>
          <w:p w14:paraId="0EED1C79"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Смањење енергетског сиромаштва</w:t>
            </w:r>
          </w:p>
        </w:tc>
      </w:tr>
      <w:tr w:rsidR="00854ADA" w:rsidRPr="00FF386D" w14:paraId="53BB0D67" w14:textId="77777777" w:rsidTr="0057310C">
        <w:trPr>
          <w:trHeight w:val="726"/>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32EB2F5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02" w:type="dxa"/>
            <w:gridSpan w:val="3"/>
            <w:tcBorders>
              <w:top w:val="single" w:sz="8" w:space="0" w:color="auto"/>
              <w:left w:val="nil"/>
              <w:bottom w:val="single" w:sz="8" w:space="0" w:color="auto"/>
              <w:right w:val="single" w:sz="8" w:space="0" w:color="000000"/>
            </w:tcBorders>
            <w:vAlign w:val="center"/>
            <w:hideMark/>
          </w:tcPr>
          <w:p w14:paraId="0383009C" w14:textId="62D31DE5"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МП_</w:t>
            </w:r>
            <w:r w:rsidR="00F667CB" w:rsidRPr="00FF386D">
              <w:rPr>
                <w:rFonts w:ascii="Calibri Light" w:eastAsia="Times New Roman" w:hAnsi="Calibri Light" w:cs="Calibri Light"/>
                <w:color w:val="000000"/>
                <w:sz w:val="20"/>
                <w:szCs w:val="20"/>
                <w:lang w:eastAsia="en-GB"/>
              </w:rPr>
              <w:t>УЕТ3</w:t>
            </w:r>
            <w:r w:rsidR="00F667CB">
              <w:rPr>
                <w:rFonts w:ascii="Calibri Light" w:eastAsia="Times New Roman" w:hAnsi="Calibri Light" w:cs="Calibri Light"/>
                <w:color w:val="000000"/>
                <w:sz w:val="20"/>
                <w:szCs w:val="20"/>
                <w:lang w:eastAsia="en-GB"/>
              </w:rPr>
              <w:t>2</w:t>
            </w:r>
            <w:r w:rsidR="00F667CB" w:rsidRPr="00FF386D">
              <w:rPr>
                <w:rFonts w:ascii="Calibri Light" w:eastAsia="Times New Roman" w:hAnsi="Calibri Light" w:cs="Calibri Light"/>
                <w:color w:val="000000"/>
                <w:sz w:val="20"/>
                <w:szCs w:val="20"/>
                <w:lang w:eastAsia="en-GB"/>
              </w:rPr>
              <w:t xml:space="preserve"> </w:t>
            </w:r>
            <w:r w:rsidRPr="00FF386D">
              <w:rPr>
                <w:rFonts w:ascii="Calibri Light" w:eastAsia="Times New Roman" w:hAnsi="Calibri Light" w:cs="Calibri Light"/>
                <w:color w:val="000000"/>
                <w:sz w:val="20"/>
                <w:szCs w:val="20"/>
                <w:lang w:eastAsia="en-GB"/>
              </w:rPr>
              <w:t xml:space="preserve">ће довести до израде и усвајања акционог плана за борбу против енергетског сиромаштва. Акциони план ће садржати посебне политике и мере које ће бити уведене до 2030. године са квантификованим циљевима и очекиваним утицајима. Поред тога, биће развијен </w:t>
            </w:r>
            <w:r w:rsidR="00454BE6" w:rsidRPr="00FF386D">
              <w:rPr>
                <w:rFonts w:ascii="Calibri Light" w:eastAsia="Times New Roman" w:hAnsi="Calibri Light" w:cs="Calibri Light"/>
                <w:color w:val="000000"/>
                <w:sz w:val="20"/>
                <w:szCs w:val="20"/>
                <w:lang w:eastAsia="en-GB"/>
              </w:rPr>
              <w:t>свеобухватан</w:t>
            </w:r>
            <w:r w:rsidRPr="00FF386D">
              <w:rPr>
                <w:rFonts w:ascii="Calibri Light" w:eastAsia="Times New Roman" w:hAnsi="Calibri Light" w:cs="Calibri Light"/>
                <w:color w:val="000000"/>
                <w:sz w:val="20"/>
                <w:szCs w:val="20"/>
                <w:lang w:eastAsia="en-GB"/>
              </w:rPr>
              <w:t xml:space="preserve"> механизам праћења у складу са националном дефиницијом и развијеним индикаторима у оквиру МП_</w:t>
            </w:r>
            <w:r w:rsidR="009753C1">
              <w:t xml:space="preserve"> </w:t>
            </w:r>
            <w:r w:rsidR="009753C1" w:rsidRPr="009753C1">
              <w:rPr>
                <w:rFonts w:ascii="Calibri Light" w:eastAsia="Times New Roman" w:hAnsi="Calibri Light" w:cs="Calibri Light"/>
                <w:color w:val="000000"/>
                <w:sz w:val="20"/>
                <w:szCs w:val="20"/>
                <w:lang w:eastAsia="en-GB"/>
              </w:rPr>
              <w:t>УЕТ</w:t>
            </w:r>
            <w:r w:rsidR="00F667CB" w:rsidRPr="00FF386D">
              <w:rPr>
                <w:rFonts w:ascii="Calibri Light" w:eastAsia="Times New Roman" w:hAnsi="Calibri Light" w:cs="Calibri Light"/>
                <w:color w:val="000000"/>
                <w:sz w:val="20"/>
                <w:szCs w:val="20"/>
                <w:lang w:eastAsia="en-GB"/>
              </w:rPr>
              <w:t>3</w:t>
            </w:r>
            <w:r w:rsidR="00F667CB">
              <w:rPr>
                <w:rFonts w:ascii="Calibri Light" w:eastAsia="Times New Roman" w:hAnsi="Calibri Light" w:cs="Calibri Light"/>
                <w:color w:val="000000"/>
                <w:sz w:val="20"/>
                <w:szCs w:val="20"/>
                <w:lang w:eastAsia="en-GB"/>
              </w:rPr>
              <w:t>3</w:t>
            </w:r>
            <w:r w:rsidRPr="00FF386D">
              <w:rPr>
                <w:rFonts w:ascii="Calibri Light" w:eastAsia="Times New Roman" w:hAnsi="Calibri Light" w:cs="Calibri Light"/>
                <w:color w:val="000000"/>
                <w:sz w:val="20"/>
                <w:szCs w:val="20"/>
                <w:lang w:eastAsia="en-GB"/>
              </w:rPr>
              <w:t xml:space="preserve">. Акценат ће бити стављен на континуирану процену планираних мера политике, како би се унапредиле или увеле нове ефикасније мере. На крају, биће утврђена </w:t>
            </w:r>
            <w:r w:rsidR="00454BE6" w:rsidRPr="00FF386D">
              <w:rPr>
                <w:rFonts w:ascii="Calibri Light" w:eastAsia="Times New Roman" w:hAnsi="Calibri Light" w:cs="Calibri Light"/>
                <w:color w:val="000000"/>
                <w:sz w:val="20"/>
                <w:szCs w:val="20"/>
                <w:lang w:eastAsia="en-GB"/>
              </w:rPr>
              <w:t>надлежна</w:t>
            </w:r>
            <w:r w:rsidRPr="00FF386D">
              <w:rPr>
                <w:rFonts w:ascii="Calibri Light" w:eastAsia="Times New Roman" w:hAnsi="Calibri Light" w:cs="Calibri Light"/>
                <w:color w:val="000000"/>
                <w:sz w:val="20"/>
                <w:szCs w:val="20"/>
                <w:lang w:eastAsia="en-GB"/>
              </w:rPr>
              <w:t xml:space="preserve"> тела и </w:t>
            </w:r>
            <w:r w:rsidR="00454BE6" w:rsidRPr="00FF386D">
              <w:rPr>
                <w:rFonts w:ascii="Calibri Light" w:eastAsia="Times New Roman" w:hAnsi="Calibri Light" w:cs="Calibri Light"/>
                <w:color w:val="000000"/>
                <w:sz w:val="20"/>
                <w:szCs w:val="20"/>
                <w:lang w:eastAsia="en-GB"/>
              </w:rPr>
              <w:t xml:space="preserve">дат </w:t>
            </w:r>
            <w:r w:rsidRPr="00FF386D">
              <w:rPr>
                <w:rFonts w:ascii="Calibri Light" w:eastAsia="Times New Roman" w:hAnsi="Calibri Light" w:cs="Calibri Light"/>
                <w:color w:val="000000"/>
                <w:sz w:val="20"/>
                <w:szCs w:val="20"/>
                <w:lang w:eastAsia="en-GB"/>
              </w:rPr>
              <w:t>детаљ</w:t>
            </w:r>
            <w:r w:rsidR="00454BE6" w:rsidRPr="00FF386D">
              <w:rPr>
                <w:rFonts w:ascii="Calibri Light" w:eastAsia="Times New Roman" w:hAnsi="Calibri Light" w:cs="Calibri Light"/>
                <w:color w:val="000000"/>
                <w:sz w:val="20"/>
                <w:szCs w:val="20"/>
                <w:lang w:eastAsia="en-GB"/>
              </w:rPr>
              <w:t>ан опис</w:t>
            </w:r>
            <w:r w:rsidRPr="00FF386D">
              <w:rPr>
                <w:rFonts w:ascii="Calibri Light" w:eastAsia="Times New Roman" w:hAnsi="Calibri Light" w:cs="Calibri Light"/>
                <w:color w:val="000000"/>
                <w:sz w:val="20"/>
                <w:szCs w:val="20"/>
                <w:lang w:eastAsia="en-GB"/>
              </w:rPr>
              <w:t xml:space="preserve"> њихових одговорности и дужности.</w:t>
            </w:r>
          </w:p>
        </w:tc>
      </w:tr>
      <w:tr w:rsidR="00854ADA" w:rsidRPr="00FF386D" w14:paraId="5B101E18"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49FE131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02" w:type="dxa"/>
            <w:gridSpan w:val="3"/>
            <w:tcBorders>
              <w:top w:val="single" w:sz="8" w:space="0" w:color="auto"/>
              <w:left w:val="nil"/>
              <w:bottom w:val="single" w:sz="8" w:space="0" w:color="auto"/>
              <w:right w:val="single" w:sz="8" w:space="0" w:color="000000"/>
            </w:tcBorders>
            <w:vAlign w:val="center"/>
            <w:hideMark/>
          </w:tcPr>
          <w:p w14:paraId="3330328D"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2021-2030</w:t>
            </w:r>
          </w:p>
        </w:tc>
      </w:tr>
      <w:tr w:rsidR="00854ADA" w:rsidRPr="00FF386D" w14:paraId="53E9520E"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145F548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02" w:type="dxa"/>
            <w:gridSpan w:val="3"/>
            <w:tcBorders>
              <w:top w:val="single" w:sz="8" w:space="0" w:color="auto"/>
              <w:left w:val="nil"/>
              <w:bottom w:val="single" w:sz="8" w:space="0" w:color="auto"/>
              <w:right w:val="single" w:sz="8" w:space="0" w:color="000000"/>
            </w:tcBorders>
            <w:vAlign w:val="center"/>
            <w:hideMark/>
          </w:tcPr>
          <w:p w14:paraId="2839FE9B"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Реформа</w:t>
            </w:r>
          </w:p>
        </w:tc>
      </w:tr>
      <w:tr w:rsidR="00854ADA" w:rsidRPr="00FF386D" w14:paraId="7949D871"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38FDC37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02" w:type="dxa"/>
            <w:gridSpan w:val="3"/>
            <w:tcBorders>
              <w:top w:val="single" w:sz="8" w:space="0" w:color="auto"/>
              <w:left w:val="nil"/>
              <w:bottom w:val="single" w:sz="8" w:space="0" w:color="auto"/>
              <w:right w:val="single" w:sz="8" w:space="0" w:color="000000"/>
            </w:tcBorders>
            <w:vAlign w:val="center"/>
            <w:hideMark/>
          </w:tcPr>
          <w:p w14:paraId="7A3FB684"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 xml:space="preserve">Стамбени </w:t>
            </w:r>
          </w:p>
        </w:tc>
      </w:tr>
      <w:tr w:rsidR="00854ADA" w:rsidRPr="00FF386D" w14:paraId="37380CAB"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210155D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02" w:type="dxa"/>
            <w:gridSpan w:val="3"/>
            <w:tcBorders>
              <w:top w:val="single" w:sz="8" w:space="0" w:color="auto"/>
              <w:left w:val="nil"/>
              <w:bottom w:val="single" w:sz="8" w:space="0" w:color="auto"/>
              <w:right w:val="single" w:sz="8" w:space="0" w:color="000000"/>
            </w:tcBorders>
            <w:vAlign w:val="center"/>
            <w:hideMark/>
          </w:tcPr>
          <w:p w14:paraId="4B48185D" w14:textId="77777777" w:rsidR="00854ADA" w:rsidRPr="00FF386D" w:rsidRDefault="00854ADA" w:rsidP="00854ADA">
            <w:pPr>
              <w:numPr>
                <w:ilvl w:val="0"/>
                <w:numId w:val="17"/>
              </w:numPr>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рударства и енергетике</w:t>
            </w:r>
          </w:p>
          <w:p w14:paraId="27DB8526" w14:textId="77777777" w:rsidR="00854ADA" w:rsidRPr="00FF386D" w:rsidRDefault="00854ADA" w:rsidP="00854ADA">
            <w:pPr>
              <w:numPr>
                <w:ilvl w:val="0"/>
                <w:numId w:val="17"/>
              </w:numPr>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финансија</w:t>
            </w:r>
          </w:p>
          <w:p w14:paraId="2B8FC2B8" w14:textId="77777777" w:rsidR="00854ADA" w:rsidRPr="00FF386D" w:rsidRDefault="00854ADA" w:rsidP="00854ADA">
            <w:pPr>
              <w:numPr>
                <w:ilvl w:val="0"/>
                <w:numId w:val="17"/>
              </w:numPr>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здравља</w:t>
            </w:r>
          </w:p>
          <w:p w14:paraId="452DE45C" w14:textId="77777777" w:rsidR="00854ADA" w:rsidRPr="00FF386D" w:rsidRDefault="00854ADA" w:rsidP="00854ADA">
            <w:pPr>
              <w:numPr>
                <w:ilvl w:val="0"/>
                <w:numId w:val="17"/>
              </w:numPr>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за рад</w:t>
            </w:r>
          </w:p>
          <w:p w14:paraId="0C9E7D42" w14:textId="580058D1" w:rsidR="00854ADA" w:rsidRPr="00FF386D" w:rsidRDefault="00854ADA" w:rsidP="00854ADA">
            <w:pPr>
              <w:numPr>
                <w:ilvl w:val="0"/>
                <w:numId w:val="17"/>
              </w:numPr>
              <w:spacing w:after="0" w:line="240" w:lineRule="auto"/>
              <w:contextualSpacing/>
              <w:jc w:val="both"/>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Национална коалиција за смањење енергетског сиромаштва</w:t>
            </w:r>
          </w:p>
        </w:tc>
      </w:tr>
      <w:tr w:rsidR="00854ADA" w:rsidRPr="00FF386D" w14:paraId="13D2EEEB" w14:textId="77777777" w:rsidTr="0057310C">
        <w:trPr>
          <w:trHeight w:val="315"/>
        </w:trPr>
        <w:tc>
          <w:tcPr>
            <w:tcW w:w="3286" w:type="dxa"/>
            <w:tcBorders>
              <w:top w:val="nil"/>
              <w:left w:val="single" w:sz="8" w:space="0" w:color="auto"/>
              <w:bottom w:val="single" w:sz="8" w:space="0" w:color="auto"/>
              <w:right w:val="nil"/>
            </w:tcBorders>
            <w:shd w:val="clear" w:color="000000" w:fill="244062"/>
            <w:vAlign w:val="center"/>
            <w:hideMark/>
          </w:tcPr>
          <w:p w14:paraId="7C4ABEB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02" w:type="dxa"/>
            <w:gridSpan w:val="3"/>
            <w:tcBorders>
              <w:top w:val="single" w:sz="8" w:space="0" w:color="auto"/>
              <w:left w:val="nil"/>
              <w:bottom w:val="single" w:sz="8" w:space="0" w:color="auto"/>
              <w:right w:val="single" w:sz="8" w:space="0" w:color="000000"/>
            </w:tcBorders>
            <w:vAlign w:val="center"/>
            <w:hideMark/>
          </w:tcPr>
          <w:p w14:paraId="5A83F821" w14:textId="657B83BD" w:rsidR="00854ADA" w:rsidRPr="00FF386D" w:rsidRDefault="00854ADA" w:rsidP="00565B02">
            <w:pPr>
              <w:spacing w:after="0" w:line="240" w:lineRule="auto"/>
              <w:rPr>
                <w:rFonts w:ascii="Calibri Light" w:eastAsia="Times New Roman" w:hAnsi="Calibri Light" w:cs="Calibri Light"/>
                <w:color w:val="000000"/>
                <w:sz w:val="20"/>
                <w:szCs w:val="20"/>
                <w:lang w:eastAsia="en-GB"/>
              </w:rPr>
            </w:pPr>
          </w:p>
        </w:tc>
      </w:tr>
      <w:tr w:rsidR="00854ADA" w:rsidRPr="00FF386D" w14:paraId="1B23ACC1" w14:textId="77777777" w:rsidTr="0057310C">
        <w:trPr>
          <w:trHeight w:val="315"/>
        </w:trPr>
        <w:tc>
          <w:tcPr>
            <w:tcW w:w="3286" w:type="dxa"/>
            <w:tcBorders>
              <w:top w:val="nil"/>
              <w:left w:val="single" w:sz="8" w:space="0" w:color="auto"/>
              <w:bottom w:val="single" w:sz="8" w:space="0" w:color="auto"/>
              <w:right w:val="nil"/>
            </w:tcBorders>
            <w:shd w:val="clear" w:color="000000" w:fill="244062"/>
            <w:vAlign w:val="center"/>
            <w:hideMark/>
          </w:tcPr>
          <w:p w14:paraId="1E247A8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02" w:type="dxa"/>
            <w:gridSpan w:val="3"/>
            <w:tcBorders>
              <w:top w:val="single" w:sz="8" w:space="0" w:color="auto"/>
              <w:left w:val="nil"/>
              <w:bottom w:val="single" w:sz="8" w:space="0" w:color="auto"/>
              <w:right w:val="single" w:sz="8" w:space="0" w:color="000000"/>
            </w:tcBorders>
            <w:vAlign w:val="center"/>
            <w:hideMark/>
          </w:tcPr>
          <w:p w14:paraId="787E2A24"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Израђен акциони план</w:t>
            </w:r>
          </w:p>
        </w:tc>
      </w:tr>
      <w:tr w:rsidR="00854ADA" w:rsidRPr="00FF386D" w14:paraId="69AA9ECE" w14:textId="77777777" w:rsidTr="0057310C">
        <w:trPr>
          <w:trHeight w:val="343"/>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42A71D6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02" w:type="dxa"/>
            <w:gridSpan w:val="3"/>
            <w:tcBorders>
              <w:top w:val="single" w:sz="8" w:space="0" w:color="auto"/>
              <w:left w:val="nil"/>
              <w:bottom w:val="single" w:sz="8" w:space="0" w:color="auto"/>
              <w:right w:val="single" w:sz="8" w:space="0" w:color="000000"/>
            </w:tcBorders>
            <w:vAlign w:val="center"/>
          </w:tcPr>
          <w:p w14:paraId="201F3E6D"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p>
        </w:tc>
      </w:tr>
      <w:tr w:rsidR="00854ADA" w:rsidRPr="00FF386D" w14:paraId="27F46DB3" w14:textId="77777777" w:rsidTr="0057310C">
        <w:trPr>
          <w:trHeight w:val="450"/>
        </w:trPr>
        <w:tc>
          <w:tcPr>
            <w:tcW w:w="3286" w:type="dxa"/>
            <w:vMerge w:val="restart"/>
            <w:tcBorders>
              <w:top w:val="nil"/>
              <w:left w:val="single" w:sz="8" w:space="0" w:color="auto"/>
              <w:bottom w:val="single" w:sz="8" w:space="0" w:color="auto"/>
              <w:right w:val="single" w:sz="8" w:space="0" w:color="auto"/>
            </w:tcBorders>
            <w:shd w:val="clear" w:color="000000" w:fill="244062"/>
            <w:vAlign w:val="center"/>
            <w:hideMark/>
          </w:tcPr>
          <w:p w14:paraId="519B426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p w14:paraId="4C4FC6D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02"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2B8BA98E" w14:textId="77777777" w:rsidR="00854ADA" w:rsidRPr="00FF386D" w:rsidRDefault="00854ADA" w:rsidP="00854ADA">
            <w:pPr>
              <w:numPr>
                <w:ilvl w:val="0"/>
                <w:numId w:val="1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Директива 2019/944/EU</w:t>
            </w:r>
          </w:p>
        </w:tc>
      </w:tr>
      <w:tr w:rsidR="00854ADA" w:rsidRPr="00FF386D" w14:paraId="4E70A0D1" w14:textId="77777777" w:rsidTr="0057310C">
        <w:trPr>
          <w:trHeight w:val="450"/>
        </w:trPr>
        <w:tc>
          <w:tcPr>
            <w:tcW w:w="0" w:type="auto"/>
            <w:vMerge/>
            <w:tcBorders>
              <w:top w:val="nil"/>
              <w:left w:val="single" w:sz="8" w:space="0" w:color="auto"/>
              <w:bottom w:val="single" w:sz="8" w:space="0" w:color="auto"/>
              <w:right w:val="single" w:sz="8" w:space="0" w:color="auto"/>
            </w:tcBorders>
            <w:shd w:val="clear" w:color="000000" w:fill="244062"/>
            <w:vAlign w:val="center"/>
            <w:hideMark/>
          </w:tcPr>
          <w:p w14:paraId="67213FF2"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02" w:type="dxa"/>
            <w:gridSpan w:val="3"/>
            <w:vMerge/>
            <w:tcBorders>
              <w:top w:val="single" w:sz="8" w:space="0" w:color="auto"/>
              <w:left w:val="single" w:sz="8" w:space="0" w:color="auto"/>
              <w:bottom w:val="single" w:sz="8" w:space="0" w:color="000000"/>
              <w:right w:val="single" w:sz="8" w:space="0" w:color="000000"/>
            </w:tcBorders>
            <w:vAlign w:val="center"/>
            <w:hideMark/>
          </w:tcPr>
          <w:p w14:paraId="019F118B"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4B85D222" w14:textId="77777777" w:rsidTr="0057310C">
        <w:trPr>
          <w:trHeight w:val="450"/>
        </w:trPr>
        <w:tc>
          <w:tcPr>
            <w:tcW w:w="0" w:type="auto"/>
            <w:vMerge/>
            <w:tcBorders>
              <w:top w:val="nil"/>
              <w:left w:val="single" w:sz="8" w:space="0" w:color="auto"/>
              <w:bottom w:val="single" w:sz="8" w:space="0" w:color="auto"/>
              <w:right w:val="single" w:sz="8" w:space="0" w:color="auto"/>
            </w:tcBorders>
            <w:shd w:val="clear" w:color="000000" w:fill="244062"/>
            <w:vAlign w:val="center"/>
            <w:hideMark/>
          </w:tcPr>
          <w:p w14:paraId="51D648EB"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02" w:type="dxa"/>
            <w:gridSpan w:val="3"/>
            <w:vMerge/>
            <w:tcBorders>
              <w:top w:val="single" w:sz="8" w:space="0" w:color="auto"/>
              <w:left w:val="single" w:sz="8" w:space="0" w:color="auto"/>
              <w:bottom w:val="single" w:sz="8" w:space="0" w:color="000000"/>
              <w:right w:val="single" w:sz="8" w:space="0" w:color="000000"/>
            </w:tcBorders>
            <w:vAlign w:val="center"/>
            <w:hideMark/>
          </w:tcPr>
          <w:p w14:paraId="24B84041"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7A8ED277" w14:textId="77777777" w:rsidTr="0057310C">
        <w:trPr>
          <w:trHeight w:val="377"/>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67DB37F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02" w:type="dxa"/>
            <w:gridSpan w:val="3"/>
            <w:tcBorders>
              <w:top w:val="single" w:sz="8" w:space="0" w:color="auto"/>
              <w:left w:val="nil"/>
              <w:bottom w:val="single" w:sz="8" w:space="0" w:color="auto"/>
              <w:right w:val="single" w:sz="8" w:space="0" w:color="000000"/>
            </w:tcBorders>
            <w:vAlign w:val="center"/>
          </w:tcPr>
          <w:p w14:paraId="5FFFFCB7"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p>
        </w:tc>
      </w:tr>
      <w:tr w:rsidR="00854ADA" w:rsidRPr="00FF386D" w14:paraId="0776079C"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542D253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02" w:type="dxa"/>
            <w:gridSpan w:val="3"/>
            <w:tcBorders>
              <w:top w:val="single" w:sz="8" w:space="0" w:color="auto"/>
              <w:left w:val="nil"/>
              <w:bottom w:val="single" w:sz="8" w:space="0" w:color="auto"/>
              <w:right w:val="single" w:sz="8" w:space="0" w:color="000000"/>
            </w:tcBorders>
            <w:vAlign w:val="center"/>
          </w:tcPr>
          <w:p w14:paraId="62F90D09"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0,2 милиона евра</w:t>
            </w:r>
          </w:p>
        </w:tc>
      </w:tr>
      <w:tr w:rsidR="00854ADA" w:rsidRPr="00FF386D" w14:paraId="416BB290"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560EB06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lastRenderedPageBreak/>
              <w:t>Извор(и) финансирања</w:t>
            </w:r>
          </w:p>
        </w:tc>
        <w:tc>
          <w:tcPr>
            <w:tcW w:w="6202" w:type="dxa"/>
            <w:gridSpan w:val="3"/>
            <w:tcBorders>
              <w:top w:val="single" w:sz="8" w:space="0" w:color="auto"/>
              <w:left w:val="nil"/>
              <w:bottom w:val="single" w:sz="8" w:space="0" w:color="auto"/>
              <w:right w:val="single" w:sz="8" w:space="0" w:color="000000"/>
            </w:tcBorders>
            <w:vAlign w:val="center"/>
            <w:hideMark/>
          </w:tcPr>
          <w:p w14:paraId="0C9168BC" w14:textId="4E79C8D2" w:rsidR="00854ADA" w:rsidRPr="00FF386D" w:rsidRDefault="00854ADA" w:rsidP="00854ADA">
            <w:pPr>
              <w:spacing w:after="0" w:line="240" w:lineRule="auto"/>
              <w:rPr>
                <w:rFonts w:ascii="Calibri" w:eastAsia="Times New Roman" w:hAnsi="Calibri" w:cs="Calibri"/>
                <w:color w:val="000000"/>
                <w:highlight w:val="yellow"/>
                <w:lang w:eastAsia="en-GB"/>
              </w:rPr>
            </w:pPr>
            <w:r w:rsidRPr="00FF386D">
              <w:rPr>
                <w:rFonts w:ascii="Calibri Light" w:eastAsia="Times New Roman" w:hAnsi="Calibri Light" w:cs="Calibri Light"/>
                <w:color w:val="000000"/>
                <w:sz w:val="20"/>
                <w:szCs w:val="20"/>
                <w:lang w:eastAsia="en-GB"/>
              </w:rPr>
              <w:t>Фондови ЕУ и други фондови, буџет</w:t>
            </w:r>
            <w:r w:rsidR="00246155" w:rsidRPr="00FF386D">
              <w:rPr>
                <w:rFonts w:ascii="Calibri Light" w:eastAsia="Times New Roman" w:hAnsi="Calibri Light" w:cs="Calibri Light"/>
                <w:color w:val="000000"/>
                <w:sz w:val="20"/>
                <w:szCs w:val="20"/>
                <w:lang w:eastAsia="en-GB"/>
              </w:rPr>
              <w:t>ска средства</w:t>
            </w:r>
          </w:p>
        </w:tc>
      </w:tr>
    </w:tbl>
    <w:p w14:paraId="5BAE15FA"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93"/>
        <w:gridCol w:w="1110"/>
        <w:gridCol w:w="936"/>
        <w:gridCol w:w="4149"/>
      </w:tblGrid>
      <w:tr w:rsidR="00854ADA" w:rsidRPr="00FF386D" w14:paraId="353160F9" w14:textId="77777777" w:rsidTr="0057310C">
        <w:trPr>
          <w:trHeight w:val="780"/>
        </w:trPr>
        <w:tc>
          <w:tcPr>
            <w:tcW w:w="3293"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408E0597" w14:textId="3119EDFE"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110" w:type="dxa"/>
            <w:tcBorders>
              <w:top w:val="single" w:sz="8" w:space="0" w:color="auto"/>
              <w:left w:val="nil"/>
              <w:bottom w:val="single" w:sz="8" w:space="0" w:color="auto"/>
              <w:right w:val="single" w:sz="8" w:space="0" w:color="auto"/>
            </w:tcBorders>
            <w:shd w:val="clear" w:color="auto" w:fill="E7E6E6" w:themeFill="background2"/>
            <w:vAlign w:val="center"/>
            <w:hideMark/>
          </w:tcPr>
          <w:p w14:paraId="23794FAB" w14:textId="32516E86"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w:t>
            </w:r>
            <w:r w:rsidR="00F667CB" w:rsidRPr="00FF386D">
              <w:rPr>
                <w:rFonts w:ascii="Calibri Light" w:hAnsi="Calibri Light"/>
                <w:b/>
                <w:sz w:val="20"/>
              </w:rPr>
              <w:t>УЕТ3</w:t>
            </w:r>
            <w:r w:rsidR="00F667CB">
              <w:rPr>
                <w:rFonts w:ascii="Calibri Light" w:hAnsi="Calibri Light"/>
                <w:b/>
                <w:sz w:val="20"/>
              </w:rPr>
              <w:t>3</w:t>
            </w:r>
          </w:p>
        </w:tc>
        <w:tc>
          <w:tcPr>
            <w:tcW w:w="936" w:type="dxa"/>
            <w:tcBorders>
              <w:top w:val="single" w:sz="8" w:space="0" w:color="auto"/>
              <w:left w:val="nil"/>
              <w:bottom w:val="single" w:sz="8" w:space="0" w:color="auto"/>
              <w:right w:val="single" w:sz="8" w:space="0" w:color="auto"/>
            </w:tcBorders>
            <w:shd w:val="clear" w:color="auto" w:fill="244062"/>
            <w:vAlign w:val="center"/>
            <w:hideMark/>
          </w:tcPr>
          <w:p w14:paraId="7FF2167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49" w:type="dxa"/>
            <w:tcBorders>
              <w:top w:val="single" w:sz="8" w:space="0" w:color="auto"/>
              <w:left w:val="nil"/>
              <w:bottom w:val="single" w:sz="8" w:space="0" w:color="auto"/>
              <w:right w:val="single" w:sz="8" w:space="0" w:color="auto"/>
            </w:tcBorders>
            <w:shd w:val="clear" w:color="auto" w:fill="E7E6E6" w:themeFill="background2"/>
            <w:vAlign w:val="center"/>
            <w:hideMark/>
          </w:tcPr>
          <w:p w14:paraId="055551D7" w14:textId="7BFEEB7C"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 xml:space="preserve">Регулаторне мере за заштиту енергетски сиромашних домаћинстава и </w:t>
            </w:r>
            <w:r w:rsidR="00454BE6" w:rsidRPr="00FF386D">
              <w:rPr>
                <w:rFonts w:ascii="Calibri Light" w:hAnsi="Calibri Light"/>
                <w:b/>
                <w:sz w:val="20"/>
              </w:rPr>
              <w:t>давање</w:t>
            </w:r>
            <w:r w:rsidRPr="00FF386D">
              <w:rPr>
                <w:rFonts w:ascii="Calibri Light" w:hAnsi="Calibri Light"/>
                <w:b/>
                <w:sz w:val="20"/>
              </w:rPr>
              <w:t xml:space="preserve"> накнада за краткорочно </w:t>
            </w:r>
            <w:r w:rsidRPr="00FF386D">
              <w:rPr>
                <w:rFonts w:ascii="Calibri Light" w:eastAsia="NSimSun" w:hAnsi="Calibri Light" w:cs="Mangal"/>
                <w:b/>
                <w:kern w:val="2"/>
                <w:sz w:val="20"/>
                <w:szCs w:val="24"/>
                <w:lang w:eastAsia="zh-CN" w:bidi="hi-IN"/>
              </w:rPr>
              <w:t>ублажавање</w:t>
            </w:r>
            <w:r w:rsidRPr="00FF386D">
              <w:rPr>
                <w:rFonts w:ascii="Calibri Light" w:hAnsi="Calibri Light"/>
                <w:b/>
                <w:sz w:val="20"/>
              </w:rPr>
              <w:t xml:space="preserve"> енергетског сиромаштва (</w:t>
            </w:r>
            <w:r w:rsidR="00454BE6" w:rsidRPr="00FF386D">
              <w:rPr>
                <w:rFonts w:ascii="Calibri Light" w:hAnsi="Calibri Light"/>
                <w:b/>
                <w:sz w:val="20"/>
              </w:rPr>
              <w:t>нпр.</w:t>
            </w:r>
            <w:r w:rsidRPr="00FF386D">
              <w:rPr>
                <w:rFonts w:ascii="Calibri Light" w:hAnsi="Calibri Light"/>
                <w:b/>
                <w:sz w:val="20"/>
              </w:rPr>
              <w:t xml:space="preserve"> </w:t>
            </w:r>
            <w:r w:rsidRPr="00FF386D">
              <w:rPr>
                <w:rFonts w:ascii="Calibri Light" w:eastAsia="NSimSun" w:hAnsi="Calibri Light" w:cs="Mangal"/>
                <w:b/>
                <w:kern w:val="2"/>
                <w:sz w:val="20"/>
                <w:szCs w:val="24"/>
                <w:lang w:eastAsia="zh-CN" w:bidi="hi-IN"/>
              </w:rPr>
              <w:t>е</w:t>
            </w:r>
            <w:r w:rsidRPr="00FF386D">
              <w:rPr>
                <w:rFonts w:ascii="Calibri Light" w:hAnsi="Calibri Light"/>
                <w:b/>
                <w:sz w:val="20"/>
              </w:rPr>
              <w:t>нергетск</w:t>
            </w:r>
            <w:r w:rsidR="00454BE6" w:rsidRPr="00FF386D">
              <w:rPr>
                <w:rFonts w:ascii="Calibri Light" w:hAnsi="Calibri Light"/>
                <w:b/>
                <w:sz w:val="20"/>
              </w:rPr>
              <w:t>е</w:t>
            </w:r>
            <w:r w:rsidRPr="00FF386D">
              <w:rPr>
                <w:rFonts w:ascii="Calibri Light" w:hAnsi="Calibri Light"/>
                <w:b/>
                <w:sz w:val="20"/>
              </w:rPr>
              <w:t xml:space="preserve"> картиц</w:t>
            </w:r>
            <w:r w:rsidR="00454BE6" w:rsidRPr="00FF386D">
              <w:rPr>
                <w:rFonts w:ascii="Calibri Light" w:hAnsi="Calibri Light"/>
                <w:b/>
                <w:sz w:val="20"/>
              </w:rPr>
              <w:t>е</w:t>
            </w:r>
            <w:r w:rsidRPr="00FF386D">
              <w:rPr>
                <w:rFonts w:ascii="Calibri Light" w:hAnsi="Calibri Light"/>
                <w:b/>
                <w:sz w:val="20"/>
              </w:rPr>
              <w:t xml:space="preserve"> или социјалн</w:t>
            </w:r>
            <w:r w:rsidR="00454BE6" w:rsidRPr="00FF386D">
              <w:rPr>
                <w:rFonts w:ascii="Calibri Light" w:hAnsi="Calibri Light"/>
                <w:b/>
                <w:sz w:val="20"/>
              </w:rPr>
              <w:t>е</w:t>
            </w:r>
            <w:r w:rsidRPr="00FF386D">
              <w:rPr>
                <w:rFonts w:ascii="Calibri Light" w:hAnsi="Calibri Light"/>
                <w:b/>
                <w:sz w:val="20"/>
              </w:rPr>
              <w:t xml:space="preserve"> тариф</w:t>
            </w:r>
            <w:r w:rsidR="00454BE6" w:rsidRPr="00FF386D">
              <w:rPr>
                <w:rFonts w:ascii="Calibri Light" w:hAnsi="Calibri Light"/>
                <w:b/>
                <w:sz w:val="20"/>
              </w:rPr>
              <w:t>е</w:t>
            </w:r>
            <w:r w:rsidRPr="00FF386D">
              <w:rPr>
                <w:rFonts w:ascii="Calibri Light" w:hAnsi="Calibri Light"/>
                <w:b/>
                <w:sz w:val="20"/>
              </w:rPr>
              <w:t>)</w:t>
            </w:r>
          </w:p>
        </w:tc>
      </w:tr>
      <w:tr w:rsidR="00854ADA" w:rsidRPr="00FF386D" w14:paraId="5D8A7538" w14:textId="77777777" w:rsidTr="0057310C">
        <w:trPr>
          <w:trHeight w:val="318"/>
        </w:trPr>
        <w:tc>
          <w:tcPr>
            <w:tcW w:w="3293" w:type="dxa"/>
            <w:tcBorders>
              <w:top w:val="nil"/>
              <w:left w:val="single" w:sz="8" w:space="0" w:color="auto"/>
              <w:bottom w:val="single" w:sz="8" w:space="0" w:color="auto"/>
              <w:right w:val="nil"/>
            </w:tcBorders>
            <w:shd w:val="clear" w:color="000000" w:fill="244062"/>
            <w:vAlign w:val="center"/>
            <w:hideMark/>
          </w:tcPr>
          <w:p w14:paraId="42620F51" w14:textId="4ACBEA9C"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195" w:type="dxa"/>
            <w:gridSpan w:val="3"/>
            <w:tcBorders>
              <w:top w:val="single" w:sz="8" w:space="0" w:color="auto"/>
              <w:left w:val="nil"/>
              <w:bottom w:val="single" w:sz="8" w:space="0" w:color="auto"/>
              <w:right w:val="single" w:sz="8" w:space="0" w:color="000000"/>
            </w:tcBorders>
            <w:vAlign w:val="center"/>
            <w:hideMark/>
          </w:tcPr>
          <w:p w14:paraId="46F26E9E"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Ублажавање енергетског сиромаштва</w:t>
            </w:r>
          </w:p>
        </w:tc>
      </w:tr>
      <w:tr w:rsidR="00854ADA" w:rsidRPr="00FF386D" w14:paraId="101AD019" w14:textId="77777777" w:rsidTr="0057310C">
        <w:trPr>
          <w:trHeight w:val="315"/>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23BFCCAC" w14:textId="0BF44B80"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195" w:type="dxa"/>
            <w:gridSpan w:val="3"/>
            <w:tcBorders>
              <w:top w:val="single" w:sz="8" w:space="0" w:color="auto"/>
              <w:left w:val="nil"/>
              <w:bottom w:val="single" w:sz="8" w:space="0" w:color="auto"/>
              <w:right w:val="single" w:sz="8" w:space="0" w:color="000000"/>
            </w:tcBorders>
            <w:vAlign w:val="center"/>
          </w:tcPr>
          <w:p w14:paraId="101BA878"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Смањење енергетског сиромаштва</w:t>
            </w:r>
          </w:p>
        </w:tc>
      </w:tr>
      <w:tr w:rsidR="00854ADA" w:rsidRPr="00FF386D" w14:paraId="0F1F82C1" w14:textId="77777777" w:rsidTr="0057310C">
        <w:trPr>
          <w:trHeight w:val="570"/>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6FAE140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195" w:type="dxa"/>
            <w:gridSpan w:val="3"/>
            <w:tcBorders>
              <w:top w:val="single" w:sz="8" w:space="0" w:color="auto"/>
              <w:left w:val="nil"/>
              <w:bottom w:val="single" w:sz="8" w:space="0" w:color="auto"/>
              <w:right w:val="single" w:sz="8" w:space="0" w:color="000000"/>
            </w:tcBorders>
            <w:vAlign w:val="center"/>
            <w:hideMark/>
          </w:tcPr>
          <w:p w14:paraId="0442BB7E" w14:textId="3CC03834"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МП_</w:t>
            </w:r>
            <w:r w:rsidR="00F667CB" w:rsidRPr="00FF386D">
              <w:rPr>
                <w:rFonts w:ascii="Calibri Light" w:hAnsi="Calibri Light"/>
                <w:sz w:val="20"/>
              </w:rPr>
              <w:t>УЕТ3</w:t>
            </w:r>
            <w:r w:rsidR="00F667CB">
              <w:rPr>
                <w:rFonts w:ascii="Calibri Light" w:hAnsi="Calibri Light"/>
                <w:sz w:val="20"/>
              </w:rPr>
              <w:t>3</w:t>
            </w:r>
            <w:r w:rsidR="00F667CB" w:rsidRPr="00FF386D">
              <w:rPr>
                <w:rFonts w:ascii="Calibri Light" w:hAnsi="Calibri Light"/>
                <w:sz w:val="20"/>
              </w:rPr>
              <w:t xml:space="preserve"> </w:t>
            </w:r>
            <w:r w:rsidRPr="00FF386D">
              <w:rPr>
                <w:rFonts w:ascii="Calibri Light" w:hAnsi="Calibri Light"/>
                <w:sz w:val="20"/>
              </w:rPr>
              <w:t xml:space="preserve">ће предвидети усвајање регулаторних мера за заштиту енергетски сиромашних домаћинстава од потенцијалних искључења електричне енергије и природног гаса. Поред тога, биће разматрано смањење месечне обавезе за одређене количине електричне енергије или природног гаса заједно са додатним финансијским подстицајима, као што су увођење социјалне тарифе и обезбеђивање енергетских картица које пружају могућност енергетски сиромашним домаћинствима </w:t>
            </w:r>
            <w:r w:rsidRPr="00FF386D">
              <w:rPr>
                <w:rFonts w:ascii="Calibri Light" w:eastAsia="NSimSun" w:hAnsi="Calibri Light" w:cs="Mangal"/>
                <w:kern w:val="2"/>
                <w:sz w:val="20"/>
                <w:szCs w:val="24"/>
                <w:lang w:eastAsia="zh-CN" w:bidi="hi-IN"/>
              </w:rPr>
              <w:t xml:space="preserve">да </w:t>
            </w:r>
            <w:r w:rsidRPr="00FF386D">
              <w:rPr>
                <w:rFonts w:ascii="Calibri Light" w:hAnsi="Calibri Light"/>
                <w:sz w:val="20"/>
              </w:rPr>
              <w:t xml:space="preserve">покрију стварне енергетске потребе. Треба напоменути да ће </w:t>
            </w:r>
            <w:r w:rsidR="00454BE6" w:rsidRPr="00FF386D">
              <w:rPr>
                <w:rFonts w:ascii="Calibri Light" w:hAnsi="Calibri Light"/>
                <w:sz w:val="20"/>
              </w:rPr>
              <w:t xml:space="preserve">се </w:t>
            </w:r>
            <w:r w:rsidRPr="00FF386D">
              <w:rPr>
                <w:rFonts w:ascii="Calibri Light" w:hAnsi="Calibri Light"/>
                <w:sz w:val="20"/>
              </w:rPr>
              <w:t>одредбе чл</w:t>
            </w:r>
            <w:r w:rsidR="00454BE6" w:rsidRPr="00FF386D">
              <w:rPr>
                <w:rFonts w:ascii="Calibri Light" w:hAnsi="Calibri Light"/>
                <w:sz w:val="20"/>
              </w:rPr>
              <w:t>.</w:t>
            </w:r>
            <w:r w:rsidRPr="00FF386D">
              <w:rPr>
                <w:rFonts w:ascii="Calibri Light" w:hAnsi="Calibri Light"/>
                <w:sz w:val="20"/>
              </w:rPr>
              <w:t xml:space="preserve"> 5 став </w:t>
            </w:r>
            <w:r w:rsidR="00454BE6" w:rsidRPr="00FF386D">
              <w:rPr>
                <w:rFonts w:ascii="Calibri Light" w:hAnsi="Calibri Light"/>
                <w:sz w:val="20"/>
              </w:rPr>
              <w:t>4</w:t>
            </w:r>
            <w:r w:rsidRPr="00FF386D">
              <w:rPr>
                <w:rFonts w:ascii="Calibri Light" w:hAnsi="Calibri Light"/>
                <w:sz w:val="20"/>
              </w:rPr>
              <w:t xml:space="preserve"> Директиве 944/2019/ЕУ узети у обзир у погледу јавних интервенција у одређивању цена за снабдевање електричном енергијом током израде шеме социјалне тарифе. Коначно, примена </w:t>
            </w:r>
            <w:r w:rsidR="00E074B0" w:rsidRPr="00FF386D">
              <w:rPr>
                <w:rFonts w:ascii="Calibri Light" w:hAnsi="Calibri Light"/>
                <w:sz w:val="20"/>
              </w:rPr>
              <w:t>напредних мерних уређаја</w:t>
            </w:r>
            <w:r w:rsidRPr="00FF386D">
              <w:rPr>
                <w:rFonts w:ascii="Calibri Light" w:hAnsi="Calibri Light"/>
                <w:sz w:val="20"/>
              </w:rPr>
              <w:t xml:space="preserve"> може </w:t>
            </w:r>
            <w:r w:rsidR="00E074B0" w:rsidRPr="00FF386D">
              <w:rPr>
                <w:rFonts w:ascii="Calibri Light" w:hAnsi="Calibri Light"/>
                <w:sz w:val="20"/>
              </w:rPr>
              <w:t xml:space="preserve">да </w:t>
            </w:r>
            <w:r w:rsidRPr="00FF386D">
              <w:rPr>
                <w:rFonts w:ascii="Calibri Light" w:hAnsi="Calibri Light"/>
                <w:sz w:val="20"/>
              </w:rPr>
              <w:t>омогући потрошњу унапред дефинисаних количина енергената.</w:t>
            </w:r>
          </w:p>
        </w:tc>
      </w:tr>
      <w:tr w:rsidR="00854ADA" w:rsidRPr="00FF386D" w14:paraId="7FE68CCB" w14:textId="77777777" w:rsidTr="0057310C">
        <w:trPr>
          <w:trHeight w:val="315"/>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46E7DF8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195" w:type="dxa"/>
            <w:gridSpan w:val="3"/>
            <w:tcBorders>
              <w:top w:val="single" w:sz="8" w:space="0" w:color="auto"/>
              <w:left w:val="nil"/>
              <w:bottom w:val="single" w:sz="8" w:space="0" w:color="auto"/>
              <w:right w:val="single" w:sz="8" w:space="0" w:color="000000"/>
            </w:tcBorders>
            <w:vAlign w:val="center"/>
            <w:hideMark/>
          </w:tcPr>
          <w:p w14:paraId="48765D4F"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2021-2030.</w:t>
            </w:r>
          </w:p>
        </w:tc>
      </w:tr>
      <w:tr w:rsidR="00854ADA" w:rsidRPr="00FF386D" w14:paraId="58FECF47" w14:textId="77777777" w:rsidTr="0057310C">
        <w:trPr>
          <w:trHeight w:val="315"/>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4AB4339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195" w:type="dxa"/>
            <w:gridSpan w:val="3"/>
            <w:tcBorders>
              <w:top w:val="single" w:sz="8" w:space="0" w:color="auto"/>
              <w:left w:val="nil"/>
              <w:bottom w:val="single" w:sz="8" w:space="0" w:color="auto"/>
              <w:right w:val="single" w:sz="8" w:space="0" w:color="000000"/>
            </w:tcBorders>
            <w:vAlign w:val="center"/>
            <w:hideMark/>
          </w:tcPr>
          <w:p w14:paraId="7E2B2A33"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Реформа</w:t>
            </w:r>
          </w:p>
        </w:tc>
      </w:tr>
      <w:tr w:rsidR="00854ADA" w:rsidRPr="00FF386D" w14:paraId="7BC99991" w14:textId="77777777" w:rsidTr="0057310C">
        <w:trPr>
          <w:trHeight w:val="315"/>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4262AE3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195" w:type="dxa"/>
            <w:gridSpan w:val="3"/>
            <w:tcBorders>
              <w:top w:val="single" w:sz="8" w:space="0" w:color="auto"/>
              <w:left w:val="nil"/>
              <w:bottom w:val="single" w:sz="8" w:space="0" w:color="auto"/>
              <w:right w:val="single" w:sz="8" w:space="0" w:color="000000"/>
            </w:tcBorders>
            <w:vAlign w:val="center"/>
            <w:hideMark/>
          </w:tcPr>
          <w:p w14:paraId="5EC30CA9"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Стамбени</w:t>
            </w:r>
          </w:p>
        </w:tc>
      </w:tr>
      <w:tr w:rsidR="00854ADA" w:rsidRPr="00FF386D" w14:paraId="6FC415F9" w14:textId="77777777" w:rsidTr="0057310C">
        <w:trPr>
          <w:trHeight w:val="315"/>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0015384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195" w:type="dxa"/>
            <w:gridSpan w:val="3"/>
            <w:tcBorders>
              <w:top w:val="single" w:sz="8" w:space="0" w:color="auto"/>
              <w:left w:val="nil"/>
              <w:bottom w:val="single" w:sz="8" w:space="0" w:color="auto"/>
              <w:right w:val="single" w:sz="8" w:space="0" w:color="000000"/>
            </w:tcBorders>
            <w:vAlign w:val="center"/>
          </w:tcPr>
          <w:p w14:paraId="491CC526" w14:textId="34DEEA19" w:rsidR="00854ADA" w:rsidRPr="00FF386D" w:rsidRDefault="00246155" w:rsidP="00246155">
            <w:pPr>
              <w:pStyle w:val="ListParagraph"/>
              <w:numPr>
                <w:ilvl w:val="0"/>
                <w:numId w:val="17"/>
              </w:num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енергетике и рударства</w:t>
            </w:r>
          </w:p>
        </w:tc>
      </w:tr>
      <w:tr w:rsidR="00854ADA" w:rsidRPr="00FF386D" w14:paraId="53EBF8BF" w14:textId="77777777" w:rsidTr="0057310C">
        <w:trPr>
          <w:trHeight w:val="315"/>
        </w:trPr>
        <w:tc>
          <w:tcPr>
            <w:tcW w:w="3293" w:type="dxa"/>
            <w:tcBorders>
              <w:top w:val="nil"/>
              <w:left w:val="single" w:sz="8" w:space="0" w:color="auto"/>
              <w:bottom w:val="single" w:sz="8" w:space="0" w:color="auto"/>
              <w:right w:val="nil"/>
            </w:tcBorders>
            <w:shd w:val="clear" w:color="000000" w:fill="244062"/>
            <w:vAlign w:val="center"/>
            <w:hideMark/>
          </w:tcPr>
          <w:p w14:paraId="508BF0C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195" w:type="dxa"/>
            <w:gridSpan w:val="3"/>
            <w:tcBorders>
              <w:top w:val="single" w:sz="8" w:space="0" w:color="auto"/>
              <w:left w:val="nil"/>
              <w:bottom w:val="single" w:sz="8" w:space="0" w:color="auto"/>
              <w:right w:val="single" w:sz="8" w:space="0" w:color="000000"/>
            </w:tcBorders>
            <w:vAlign w:val="center"/>
            <w:hideMark/>
          </w:tcPr>
          <w:p w14:paraId="23A033B2" w14:textId="77777777" w:rsidR="00854ADA" w:rsidRPr="00FF386D" w:rsidRDefault="00854ADA" w:rsidP="00854ADA">
            <w:pPr>
              <w:spacing w:after="0" w:line="240" w:lineRule="auto"/>
              <w:jc w:val="center"/>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w:t>
            </w:r>
          </w:p>
        </w:tc>
      </w:tr>
      <w:tr w:rsidR="00854ADA" w:rsidRPr="00FF386D" w14:paraId="00167EF5" w14:textId="77777777" w:rsidTr="0057310C">
        <w:trPr>
          <w:trHeight w:val="315"/>
        </w:trPr>
        <w:tc>
          <w:tcPr>
            <w:tcW w:w="3293" w:type="dxa"/>
            <w:tcBorders>
              <w:top w:val="nil"/>
              <w:left w:val="single" w:sz="8" w:space="0" w:color="auto"/>
              <w:bottom w:val="single" w:sz="8" w:space="0" w:color="auto"/>
              <w:right w:val="nil"/>
            </w:tcBorders>
            <w:shd w:val="clear" w:color="000000" w:fill="244062"/>
            <w:vAlign w:val="center"/>
            <w:hideMark/>
          </w:tcPr>
          <w:p w14:paraId="1EB2A35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195" w:type="dxa"/>
            <w:gridSpan w:val="3"/>
            <w:tcBorders>
              <w:top w:val="single" w:sz="8" w:space="0" w:color="auto"/>
              <w:left w:val="nil"/>
              <w:bottom w:val="single" w:sz="8" w:space="0" w:color="auto"/>
              <w:right w:val="single" w:sz="8" w:space="0" w:color="000000"/>
            </w:tcBorders>
            <w:vAlign w:val="center"/>
            <w:hideMark/>
          </w:tcPr>
          <w:p w14:paraId="4631D072" w14:textId="0816FE09"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Број обухваћених енергетски сиромашн</w:t>
            </w:r>
            <w:r w:rsidR="00E074B0" w:rsidRPr="00FF386D">
              <w:rPr>
                <w:rFonts w:ascii="Calibri Light" w:eastAsia="Times New Roman" w:hAnsi="Calibri Light" w:cs="Calibri Light"/>
                <w:color w:val="000000"/>
                <w:sz w:val="20"/>
                <w:szCs w:val="20"/>
                <w:lang w:eastAsia="en-GB"/>
              </w:rPr>
              <w:t>их</w:t>
            </w:r>
            <w:r w:rsidRPr="00FF386D">
              <w:rPr>
                <w:rFonts w:ascii="Calibri Light" w:eastAsia="Times New Roman" w:hAnsi="Calibri Light" w:cs="Calibri Light"/>
                <w:color w:val="000000"/>
                <w:sz w:val="20"/>
                <w:szCs w:val="20"/>
                <w:lang w:eastAsia="en-GB"/>
              </w:rPr>
              <w:t xml:space="preserve"> домаћинстава</w:t>
            </w:r>
          </w:p>
        </w:tc>
      </w:tr>
      <w:tr w:rsidR="00854ADA" w:rsidRPr="00FF386D" w14:paraId="4B6A4CC5" w14:textId="77777777" w:rsidTr="0057310C">
        <w:trPr>
          <w:trHeight w:val="429"/>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7A1132C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195" w:type="dxa"/>
            <w:gridSpan w:val="3"/>
            <w:tcBorders>
              <w:top w:val="single" w:sz="8" w:space="0" w:color="auto"/>
              <w:left w:val="nil"/>
              <w:bottom w:val="single" w:sz="8" w:space="0" w:color="auto"/>
              <w:right w:val="single" w:sz="8" w:space="0" w:color="000000"/>
            </w:tcBorders>
            <w:vAlign w:val="center"/>
          </w:tcPr>
          <w:p w14:paraId="00D6CC5A"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p>
        </w:tc>
      </w:tr>
      <w:tr w:rsidR="00854ADA" w:rsidRPr="00FF386D" w14:paraId="4F5E36D8" w14:textId="77777777" w:rsidTr="0057310C">
        <w:trPr>
          <w:trHeight w:val="450"/>
        </w:trPr>
        <w:tc>
          <w:tcPr>
            <w:tcW w:w="3293"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4810049F" w14:textId="26C5D272"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195"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298E3203" w14:textId="77777777" w:rsidR="00854ADA" w:rsidRPr="000A2AFE" w:rsidRDefault="00854ADA" w:rsidP="00854ADA">
            <w:pPr>
              <w:numPr>
                <w:ilvl w:val="0"/>
                <w:numId w:val="17"/>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2019/944/ЕУ</w:t>
            </w:r>
          </w:p>
          <w:p w14:paraId="4F21664B" w14:textId="77777777" w:rsidR="00854ADA" w:rsidRPr="00FF386D" w:rsidRDefault="00854ADA" w:rsidP="00854ADA">
            <w:pPr>
              <w:numPr>
                <w:ilvl w:val="0"/>
                <w:numId w:val="17"/>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2019/692/ЕУ</w:t>
            </w:r>
          </w:p>
        </w:tc>
      </w:tr>
      <w:tr w:rsidR="00854ADA" w:rsidRPr="00FF386D" w14:paraId="16C5653D"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6C6AD003"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195" w:type="dxa"/>
            <w:gridSpan w:val="3"/>
            <w:vMerge/>
            <w:tcBorders>
              <w:top w:val="single" w:sz="8" w:space="0" w:color="auto"/>
              <w:left w:val="single" w:sz="8" w:space="0" w:color="auto"/>
              <w:bottom w:val="single" w:sz="8" w:space="0" w:color="000000"/>
              <w:right w:val="single" w:sz="8" w:space="0" w:color="000000"/>
            </w:tcBorders>
            <w:vAlign w:val="center"/>
            <w:hideMark/>
          </w:tcPr>
          <w:p w14:paraId="58BAF13C" w14:textId="77777777" w:rsidR="00854ADA" w:rsidRPr="00FF386D" w:rsidRDefault="00854ADA" w:rsidP="00854ADA">
            <w:pPr>
              <w:numPr>
                <w:ilvl w:val="0"/>
                <w:numId w:val="17"/>
              </w:numPr>
              <w:spacing w:after="0" w:line="256" w:lineRule="auto"/>
              <w:contextualSpacing/>
              <w:rPr>
                <w:rFonts w:ascii="Calibri Light" w:eastAsia="Times New Roman" w:hAnsi="Calibri Light" w:cs="Calibri Light"/>
                <w:color w:val="000000"/>
                <w:sz w:val="20"/>
                <w:szCs w:val="20"/>
                <w:lang w:eastAsia="en-GB"/>
              </w:rPr>
            </w:pPr>
          </w:p>
        </w:tc>
      </w:tr>
      <w:tr w:rsidR="00854ADA" w:rsidRPr="00FF386D" w14:paraId="2F630C68"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2DC991DA"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195" w:type="dxa"/>
            <w:gridSpan w:val="3"/>
            <w:vMerge/>
            <w:tcBorders>
              <w:top w:val="single" w:sz="8" w:space="0" w:color="auto"/>
              <w:left w:val="single" w:sz="8" w:space="0" w:color="auto"/>
              <w:bottom w:val="single" w:sz="8" w:space="0" w:color="000000"/>
              <w:right w:val="single" w:sz="8" w:space="0" w:color="000000"/>
            </w:tcBorders>
            <w:vAlign w:val="center"/>
            <w:hideMark/>
          </w:tcPr>
          <w:p w14:paraId="28ED36FB" w14:textId="77777777" w:rsidR="00854ADA" w:rsidRPr="00FF386D" w:rsidRDefault="00854ADA" w:rsidP="00854ADA">
            <w:pPr>
              <w:numPr>
                <w:ilvl w:val="0"/>
                <w:numId w:val="17"/>
              </w:numPr>
              <w:spacing w:after="0" w:line="256" w:lineRule="auto"/>
              <w:contextualSpacing/>
              <w:rPr>
                <w:rFonts w:ascii="Calibri Light" w:eastAsia="Times New Roman" w:hAnsi="Calibri Light" w:cs="Calibri Light"/>
                <w:color w:val="000000"/>
                <w:sz w:val="20"/>
                <w:szCs w:val="20"/>
                <w:lang w:eastAsia="en-GB"/>
              </w:rPr>
            </w:pPr>
          </w:p>
        </w:tc>
      </w:tr>
      <w:tr w:rsidR="00854ADA" w:rsidRPr="00FF386D" w14:paraId="4C334D66" w14:textId="77777777" w:rsidTr="0057310C">
        <w:trPr>
          <w:trHeight w:val="477"/>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05DFC7B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95" w:type="dxa"/>
            <w:gridSpan w:val="3"/>
            <w:tcBorders>
              <w:top w:val="single" w:sz="8" w:space="0" w:color="auto"/>
              <w:left w:val="nil"/>
              <w:bottom w:val="single" w:sz="8" w:space="0" w:color="auto"/>
              <w:right w:val="single" w:sz="8" w:space="0" w:color="000000"/>
            </w:tcBorders>
            <w:vAlign w:val="center"/>
            <w:hideMark/>
          </w:tcPr>
          <w:p w14:paraId="74FDEB28" w14:textId="77777777" w:rsidR="00854ADA" w:rsidRPr="00FF386D" w:rsidRDefault="00854ADA" w:rsidP="00854ADA">
            <w:pPr>
              <w:numPr>
                <w:ilvl w:val="0"/>
                <w:numId w:val="1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Уредба о енергетски угроженом купцу</w:t>
            </w:r>
          </w:p>
        </w:tc>
      </w:tr>
      <w:tr w:rsidR="00854ADA" w:rsidRPr="00FF386D" w14:paraId="25A70DF6" w14:textId="77777777" w:rsidTr="0057310C">
        <w:trPr>
          <w:trHeight w:val="315"/>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672D233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95" w:type="dxa"/>
            <w:gridSpan w:val="3"/>
            <w:tcBorders>
              <w:top w:val="single" w:sz="8" w:space="0" w:color="auto"/>
              <w:left w:val="nil"/>
              <w:bottom w:val="single" w:sz="8" w:space="0" w:color="auto"/>
              <w:right w:val="single" w:sz="8" w:space="0" w:color="000000"/>
            </w:tcBorders>
            <w:vAlign w:val="center"/>
          </w:tcPr>
          <w:p w14:paraId="49ADA530" w14:textId="09C7EE0E" w:rsidR="00854ADA" w:rsidRPr="00FF386D" w:rsidRDefault="00E074B0"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У разматрању</w:t>
            </w:r>
          </w:p>
        </w:tc>
      </w:tr>
      <w:tr w:rsidR="00854ADA" w:rsidRPr="00FF386D" w14:paraId="546690D7" w14:textId="77777777" w:rsidTr="0057310C">
        <w:trPr>
          <w:trHeight w:val="315"/>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14CF62F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95" w:type="dxa"/>
            <w:gridSpan w:val="3"/>
            <w:tcBorders>
              <w:top w:val="single" w:sz="8" w:space="0" w:color="auto"/>
              <w:left w:val="nil"/>
              <w:bottom w:val="single" w:sz="8" w:space="0" w:color="auto"/>
              <w:right w:val="single" w:sz="8" w:space="0" w:color="000000"/>
            </w:tcBorders>
            <w:vAlign w:val="center"/>
            <w:hideMark/>
          </w:tcPr>
          <w:p w14:paraId="7313A9D0" w14:textId="7D82BF83" w:rsidR="00854ADA" w:rsidRPr="00FF386D" w:rsidRDefault="00E074B0"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У разматрању</w:t>
            </w:r>
          </w:p>
        </w:tc>
      </w:tr>
    </w:tbl>
    <w:p w14:paraId="7DCF60BE"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86"/>
        <w:gridCol w:w="1110"/>
        <w:gridCol w:w="938"/>
        <w:gridCol w:w="4154"/>
      </w:tblGrid>
      <w:tr w:rsidR="00854ADA" w:rsidRPr="00FF386D" w14:paraId="26F7CBF3" w14:textId="77777777" w:rsidTr="0057310C">
        <w:trPr>
          <w:trHeight w:val="780"/>
        </w:trPr>
        <w:tc>
          <w:tcPr>
            <w:tcW w:w="3286"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17BF54A8" w14:textId="36012566"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110" w:type="dxa"/>
            <w:tcBorders>
              <w:top w:val="single" w:sz="8" w:space="0" w:color="auto"/>
              <w:left w:val="nil"/>
              <w:bottom w:val="single" w:sz="8" w:space="0" w:color="auto"/>
              <w:right w:val="single" w:sz="8" w:space="0" w:color="auto"/>
            </w:tcBorders>
            <w:shd w:val="clear" w:color="auto" w:fill="E7E6E6" w:themeFill="background2"/>
            <w:vAlign w:val="center"/>
            <w:hideMark/>
          </w:tcPr>
          <w:p w14:paraId="221F7FC8" w14:textId="4B6BFF19" w:rsidR="00854ADA" w:rsidRPr="000A2AFE" w:rsidRDefault="00854ADA" w:rsidP="00854ADA">
            <w:pPr>
              <w:spacing w:after="0" w:line="240" w:lineRule="auto"/>
              <w:jc w:val="both"/>
              <w:rPr>
                <w:rFonts w:ascii="Calibri Light" w:eastAsia="Times New Roman" w:hAnsi="Calibri Light" w:cs="Calibri Light"/>
                <w:color w:val="000000"/>
                <w:sz w:val="20"/>
                <w:szCs w:val="20"/>
                <w:lang w:val="sr-Latn-RS" w:eastAsia="en-GB"/>
              </w:rPr>
            </w:pPr>
            <w:r w:rsidRPr="000A2AFE">
              <w:rPr>
                <w:rFonts w:ascii="Calibri Light" w:eastAsia="Times New Roman" w:hAnsi="Calibri Light" w:cs="Calibri Light"/>
                <w:b/>
                <w:bCs/>
                <w:color w:val="000000"/>
                <w:sz w:val="20"/>
                <w:szCs w:val="20"/>
                <w:lang w:eastAsia="en-GB"/>
              </w:rPr>
              <w:t>МП_</w:t>
            </w:r>
            <w:r w:rsidR="00F667CB" w:rsidRPr="000A2AFE">
              <w:rPr>
                <w:rFonts w:ascii="Calibri Light" w:eastAsia="Times New Roman" w:hAnsi="Calibri Light" w:cs="Calibri Light"/>
                <w:b/>
                <w:bCs/>
                <w:color w:val="000000"/>
                <w:sz w:val="20"/>
                <w:szCs w:val="20"/>
                <w:lang w:eastAsia="en-GB"/>
              </w:rPr>
              <w:t>УЕТ3</w:t>
            </w:r>
            <w:r w:rsidR="00F667CB">
              <w:rPr>
                <w:rFonts w:ascii="Calibri Light" w:eastAsia="Times New Roman" w:hAnsi="Calibri Light" w:cs="Calibri Light"/>
                <w:b/>
                <w:bCs/>
                <w:color w:val="000000"/>
                <w:sz w:val="20"/>
                <w:szCs w:val="20"/>
                <w:lang w:val="sr-Latn-RS" w:eastAsia="en-GB"/>
              </w:rPr>
              <w:t>4</w:t>
            </w:r>
          </w:p>
        </w:tc>
        <w:tc>
          <w:tcPr>
            <w:tcW w:w="938" w:type="dxa"/>
            <w:tcBorders>
              <w:top w:val="single" w:sz="8" w:space="0" w:color="auto"/>
              <w:left w:val="nil"/>
              <w:bottom w:val="single" w:sz="8" w:space="0" w:color="auto"/>
              <w:right w:val="single" w:sz="8" w:space="0" w:color="auto"/>
            </w:tcBorders>
            <w:shd w:val="clear" w:color="auto" w:fill="244062"/>
            <w:vAlign w:val="center"/>
            <w:hideMark/>
          </w:tcPr>
          <w:p w14:paraId="2D75F1D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54" w:type="dxa"/>
            <w:tcBorders>
              <w:top w:val="single" w:sz="8" w:space="0" w:color="auto"/>
              <w:left w:val="nil"/>
              <w:bottom w:val="single" w:sz="8" w:space="0" w:color="auto"/>
              <w:right w:val="single" w:sz="8" w:space="0" w:color="auto"/>
            </w:tcBorders>
            <w:shd w:val="clear" w:color="auto" w:fill="E7E6E6" w:themeFill="background2"/>
            <w:vAlign w:val="center"/>
            <w:hideMark/>
          </w:tcPr>
          <w:p w14:paraId="20CB0126" w14:textId="7157E489"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Припрема посебних програма за примену мера енергетске ефикасности и промовисање ОИЕ међу енергетски угроженим купцима за дугорочно суочавање са енергетским сиромаштвом</w:t>
            </w:r>
          </w:p>
        </w:tc>
      </w:tr>
      <w:tr w:rsidR="00854ADA" w:rsidRPr="00FF386D" w14:paraId="5398B12A" w14:textId="77777777" w:rsidTr="0057310C">
        <w:trPr>
          <w:trHeight w:val="377"/>
        </w:trPr>
        <w:tc>
          <w:tcPr>
            <w:tcW w:w="3286" w:type="dxa"/>
            <w:tcBorders>
              <w:top w:val="nil"/>
              <w:left w:val="single" w:sz="8" w:space="0" w:color="auto"/>
              <w:bottom w:val="single" w:sz="8" w:space="0" w:color="auto"/>
              <w:right w:val="nil"/>
            </w:tcBorders>
            <w:shd w:val="clear" w:color="000000" w:fill="244062"/>
            <w:vAlign w:val="center"/>
            <w:hideMark/>
          </w:tcPr>
          <w:p w14:paraId="0B57E526" w14:textId="650480DC"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02" w:type="dxa"/>
            <w:gridSpan w:val="3"/>
            <w:tcBorders>
              <w:top w:val="single" w:sz="8" w:space="0" w:color="auto"/>
              <w:left w:val="nil"/>
              <w:bottom w:val="single" w:sz="8" w:space="0" w:color="auto"/>
              <w:right w:val="single" w:sz="8" w:space="0" w:color="000000"/>
            </w:tcBorders>
            <w:vAlign w:val="center"/>
            <w:hideMark/>
          </w:tcPr>
          <w:p w14:paraId="45FE9B4D"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Ублажавање енергетског сиромаштва</w:t>
            </w:r>
          </w:p>
        </w:tc>
      </w:tr>
      <w:tr w:rsidR="00854ADA" w:rsidRPr="00FF386D" w14:paraId="1CBC5534"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23D16A15" w14:textId="78D06AB5"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02" w:type="dxa"/>
            <w:gridSpan w:val="3"/>
            <w:tcBorders>
              <w:top w:val="single" w:sz="8" w:space="0" w:color="auto"/>
              <w:left w:val="nil"/>
              <w:bottom w:val="single" w:sz="8" w:space="0" w:color="auto"/>
              <w:right w:val="single" w:sz="8" w:space="0" w:color="000000"/>
            </w:tcBorders>
            <w:vAlign w:val="center"/>
            <w:hideMark/>
          </w:tcPr>
          <w:p w14:paraId="33DF6898"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Смањење енергетског сиромаштва</w:t>
            </w:r>
          </w:p>
        </w:tc>
      </w:tr>
      <w:tr w:rsidR="00854ADA" w:rsidRPr="00FF386D" w14:paraId="794CFB29" w14:textId="77777777" w:rsidTr="0057310C">
        <w:trPr>
          <w:trHeight w:val="229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001D786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Опис:</w:t>
            </w:r>
          </w:p>
        </w:tc>
        <w:tc>
          <w:tcPr>
            <w:tcW w:w="6202" w:type="dxa"/>
            <w:gridSpan w:val="3"/>
            <w:tcBorders>
              <w:top w:val="single" w:sz="8" w:space="0" w:color="auto"/>
              <w:left w:val="nil"/>
              <w:bottom w:val="single" w:sz="8" w:space="0" w:color="auto"/>
              <w:right w:val="single" w:sz="8" w:space="0" w:color="000000"/>
            </w:tcBorders>
            <w:vAlign w:val="center"/>
            <w:hideMark/>
          </w:tcPr>
          <w:p w14:paraId="05A07FA1" w14:textId="5EBA0F56"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МП_</w:t>
            </w:r>
            <w:r w:rsidR="00F667CB" w:rsidRPr="00FF386D">
              <w:rPr>
                <w:rFonts w:ascii="Calibri Light" w:hAnsi="Calibri Light"/>
                <w:sz w:val="20"/>
              </w:rPr>
              <w:t>УЕТ3</w:t>
            </w:r>
            <w:r w:rsidR="00F667CB">
              <w:rPr>
                <w:rFonts w:ascii="Calibri Light" w:hAnsi="Calibri Light"/>
                <w:sz w:val="20"/>
                <w:lang w:val="sr-Latn-RS"/>
              </w:rPr>
              <w:t>4</w:t>
            </w:r>
            <w:r w:rsidR="00F667CB" w:rsidRPr="00FF386D">
              <w:rPr>
                <w:rFonts w:ascii="Calibri Light" w:hAnsi="Calibri Light"/>
                <w:sz w:val="20"/>
              </w:rPr>
              <w:t xml:space="preserve"> </w:t>
            </w:r>
            <w:r w:rsidRPr="00FF386D">
              <w:rPr>
                <w:rFonts w:ascii="Calibri Light" w:hAnsi="Calibri Light"/>
                <w:sz w:val="20"/>
              </w:rPr>
              <w:t xml:space="preserve">ће обезбедити субвенције за побољшање енергетске ефикасности и подстицање </w:t>
            </w:r>
            <w:r w:rsidRPr="00FF386D">
              <w:rPr>
                <w:rFonts w:ascii="Calibri Light" w:eastAsia="NSimSun" w:hAnsi="Calibri Light" w:cs="Mangal"/>
                <w:kern w:val="2"/>
                <w:sz w:val="20"/>
                <w:szCs w:val="24"/>
                <w:lang w:eastAsia="zh-CN" w:bidi="hi-IN"/>
              </w:rPr>
              <w:t xml:space="preserve">уградње </w:t>
            </w:r>
            <w:r w:rsidRPr="00FF386D">
              <w:rPr>
                <w:rFonts w:ascii="Calibri Light" w:hAnsi="Calibri Light"/>
                <w:sz w:val="20"/>
              </w:rPr>
              <w:t xml:space="preserve">уређаја ОИЕ у зградама енергетски сиромашних домаћинстава </w:t>
            </w:r>
            <w:r w:rsidR="00714B46" w:rsidRPr="00FF386D">
              <w:rPr>
                <w:rFonts w:ascii="Calibri Light" w:hAnsi="Calibri Light"/>
                <w:sz w:val="20"/>
              </w:rPr>
              <w:t>у циљу</w:t>
            </w:r>
            <w:r w:rsidRPr="00FF386D">
              <w:rPr>
                <w:rFonts w:ascii="Calibri Light" w:hAnsi="Calibri Light"/>
                <w:sz w:val="20"/>
              </w:rPr>
              <w:t xml:space="preserve"> дугорочне борбе против енергетског сиромаштва. Мере енергетске ефикасности обухватају и интервенције </w:t>
            </w:r>
            <w:r w:rsidR="00714B46" w:rsidRPr="00FF386D">
              <w:rPr>
                <w:rFonts w:ascii="Calibri Light" w:hAnsi="Calibri Light"/>
                <w:sz w:val="20"/>
              </w:rPr>
              <w:t>на</w:t>
            </w:r>
            <w:r w:rsidRPr="00FF386D">
              <w:rPr>
                <w:rFonts w:ascii="Calibri Light" w:hAnsi="Calibri Light"/>
                <w:sz w:val="20"/>
              </w:rPr>
              <w:t xml:space="preserve"> омотачу зграде и уградњу енергетски ефикасних система (грејање, хлађење и потрошна топла вода) и опреме (</w:t>
            </w:r>
            <w:r w:rsidR="00714B46" w:rsidRPr="00FF386D">
              <w:rPr>
                <w:rFonts w:ascii="Calibri Light" w:hAnsi="Calibri Light"/>
                <w:sz w:val="20"/>
              </w:rPr>
              <w:t>нпр.</w:t>
            </w:r>
            <w:r w:rsidRPr="00FF386D">
              <w:rPr>
                <w:rFonts w:ascii="Calibri Light" w:hAnsi="Calibri Light"/>
                <w:sz w:val="20"/>
              </w:rPr>
              <w:t xml:space="preserve"> сијалице, електрични апарати итд.). У погледу одабраних врста ОИЕ, нагласак</w:t>
            </w:r>
            <w:r w:rsidR="00714B46" w:rsidRPr="00FF386D">
              <w:rPr>
                <w:rFonts w:ascii="Calibri Light" w:hAnsi="Calibri Light"/>
                <w:sz w:val="20"/>
              </w:rPr>
              <w:t xml:space="preserve"> </w:t>
            </w:r>
            <w:r w:rsidRPr="00FF386D">
              <w:rPr>
                <w:rFonts w:ascii="Calibri Light" w:hAnsi="Calibri Light"/>
                <w:sz w:val="20"/>
              </w:rPr>
              <w:t xml:space="preserve">ће бити стављен на уградњу фотонапонских панела и соларних </w:t>
            </w:r>
            <w:r w:rsidRPr="00FF386D">
              <w:rPr>
                <w:rFonts w:ascii="Calibri Light" w:eastAsia="NSimSun" w:hAnsi="Calibri Light" w:cs="Mangal"/>
                <w:kern w:val="2"/>
                <w:sz w:val="20"/>
                <w:szCs w:val="24"/>
                <w:lang w:eastAsia="zh-CN" w:bidi="hi-IN"/>
              </w:rPr>
              <w:t>топлотних</w:t>
            </w:r>
            <w:r w:rsidRPr="00FF386D">
              <w:rPr>
                <w:rFonts w:ascii="Calibri Light" w:hAnsi="Calibri Light"/>
                <w:sz w:val="20"/>
              </w:rPr>
              <w:t xml:space="preserve"> грејача. </w:t>
            </w:r>
            <w:r w:rsidR="00714B46" w:rsidRPr="00FF386D">
              <w:rPr>
                <w:rFonts w:ascii="Calibri Light" w:hAnsi="Calibri Light"/>
                <w:sz w:val="20"/>
              </w:rPr>
              <w:t>На крају</w:t>
            </w:r>
            <w:r w:rsidRPr="00FF386D">
              <w:rPr>
                <w:rFonts w:ascii="Calibri Light" w:hAnsi="Calibri Light"/>
                <w:sz w:val="20"/>
              </w:rPr>
              <w:t>, мера ће бити осмишљена на одговарајући начин како би се повећала синергија са другим мерама политике у области енергетске ефикасности и ОИЕ, попут заједница ОИЕ и енергетских заједница грађана.</w:t>
            </w:r>
          </w:p>
        </w:tc>
      </w:tr>
      <w:tr w:rsidR="00854ADA" w:rsidRPr="00FF386D" w14:paraId="500BEABF"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194C3A8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02" w:type="dxa"/>
            <w:gridSpan w:val="3"/>
            <w:tcBorders>
              <w:top w:val="single" w:sz="8" w:space="0" w:color="auto"/>
              <w:left w:val="nil"/>
              <w:bottom w:val="single" w:sz="8" w:space="0" w:color="auto"/>
              <w:right w:val="single" w:sz="8" w:space="0" w:color="000000"/>
            </w:tcBorders>
            <w:vAlign w:val="center"/>
            <w:hideMark/>
          </w:tcPr>
          <w:p w14:paraId="1C6E56FD"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2021-2030.</w:t>
            </w:r>
          </w:p>
        </w:tc>
      </w:tr>
      <w:tr w:rsidR="00854ADA" w:rsidRPr="00FF386D" w14:paraId="44831640"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74397C1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02" w:type="dxa"/>
            <w:gridSpan w:val="3"/>
            <w:tcBorders>
              <w:top w:val="single" w:sz="8" w:space="0" w:color="auto"/>
              <w:left w:val="nil"/>
              <w:bottom w:val="single" w:sz="8" w:space="0" w:color="auto"/>
              <w:right w:val="single" w:sz="8" w:space="0" w:color="000000"/>
            </w:tcBorders>
            <w:vAlign w:val="center"/>
            <w:hideMark/>
          </w:tcPr>
          <w:p w14:paraId="5C5BB030"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Реформа</w:t>
            </w:r>
          </w:p>
        </w:tc>
      </w:tr>
      <w:tr w:rsidR="00854ADA" w:rsidRPr="00FF386D" w14:paraId="13E16510"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73F975E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02" w:type="dxa"/>
            <w:gridSpan w:val="3"/>
            <w:tcBorders>
              <w:top w:val="single" w:sz="8" w:space="0" w:color="auto"/>
              <w:left w:val="nil"/>
              <w:bottom w:val="single" w:sz="8" w:space="0" w:color="auto"/>
              <w:right w:val="single" w:sz="8" w:space="0" w:color="000000"/>
            </w:tcBorders>
            <w:vAlign w:val="center"/>
            <w:hideMark/>
          </w:tcPr>
          <w:p w14:paraId="442D2B42"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Стамбени</w:t>
            </w:r>
          </w:p>
        </w:tc>
      </w:tr>
      <w:tr w:rsidR="00854ADA" w:rsidRPr="00FF386D" w14:paraId="2B08432D"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48EEC15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02" w:type="dxa"/>
            <w:gridSpan w:val="3"/>
            <w:tcBorders>
              <w:top w:val="single" w:sz="8" w:space="0" w:color="auto"/>
              <w:left w:val="nil"/>
              <w:bottom w:val="single" w:sz="8" w:space="0" w:color="auto"/>
              <w:right w:val="single" w:sz="8" w:space="0" w:color="000000"/>
            </w:tcBorders>
            <w:vAlign w:val="center"/>
            <w:hideMark/>
          </w:tcPr>
          <w:p w14:paraId="0A7D39F3" w14:textId="77777777" w:rsidR="00854ADA" w:rsidRPr="00FF386D" w:rsidRDefault="00854ADA" w:rsidP="00854ADA">
            <w:pPr>
              <w:numPr>
                <w:ilvl w:val="0"/>
                <w:numId w:val="1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Министарство рударства и енергетике</w:t>
            </w:r>
          </w:p>
          <w:p w14:paraId="0124C9FE" w14:textId="77777777" w:rsidR="00854ADA" w:rsidRPr="00FF386D" w:rsidRDefault="00854ADA" w:rsidP="00854ADA">
            <w:pPr>
              <w:numPr>
                <w:ilvl w:val="0"/>
                <w:numId w:val="1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Министарство финансија</w:t>
            </w:r>
          </w:p>
          <w:p w14:paraId="7B65B6EA" w14:textId="77777777" w:rsidR="00854ADA" w:rsidRPr="00FF386D" w:rsidRDefault="00854ADA" w:rsidP="00854ADA">
            <w:pPr>
              <w:numPr>
                <w:ilvl w:val="0"/>
                <w:numId w:val="1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Министарство здравља</w:t>
            </w:r>
          </w:p>
          <w:p w14:paraId="08271E35" w14:textId="18C5576F" w:rsidR="00854ADA" w:rsidRPr="00FF386D" w:rsidRDefault="00854ADA" w:rsidP="00854ADA">
            <w:pPr>
              <w:numPr>
                <w:ilvl w:val="0"/>
                <w:numId w:val="1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Министарство за рад</w:t>
            </w:r>
            <w:r w:rsidR="00E074B0" w:rsidRPr="00FF386D">
              <w:rPr>
                <w:rFonts w:ascii="Calibri Light" w:hAnsi="Calibri Light"/>
                <w:sz w:val="20"/>
              </w:rPr>
              <w:t>, запошљавање, борачка и социјална питања</w:t>
            </w:r>
          </w:p>
          <w:p w14:paraId="5FBE852F" w14:textId="6E9AAC72" w:rsidR="00854ADA" w:rsidRPr="00FF386D" w:rsidRDefault="00854ADA" w:rsidP="00854ADA">
            <w:pPr>
              <w:numPr>
                <w:ilvl w:val="0"/>
                <w:numId w:val="17"/>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Национална коалиција за смањење енергетског сиромаштва</w:t>
            </w:r>
          </w:p>
        </w:tc>
      </w:tr>
      <w:tr w:rsidR="00854ADA" w:rsidRPr="00FF386D" w14:paraId="47168D36" w14:textId="77777777" w:rsidTr="0057310C">
        <w:trPr>
          <w:trHeight w:val="315"/>
        </w:trPr>
        <w:tc>
          <w:tcPr>
            <w:tcW w:w="3286" w:type="dxa"/>
            <w:tcBorders>
              <w:top w:val="nil"/>
              <w:left w:val="single" w:sz="8" w:space="0" w:color="auto"/>
              <w:bottom w:val="single" w:sz="8" w:space="0" w:color="auto"/>
              <w:right w:val="nil"/>
            </w:tcBorders>
            <w:shd w:val="clear" w:color="000000" w:fill="244062"/>
            <w:vAlign w:val="center"/>
            <w:hideMark/>
          </w:tcPr>
          <w:p w14:paraId="7705ECC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02" w:type="dxa"/>
            <w:gridSpan w:val="3"/>
            <w:tcBorders>
              <w:top w:val="single" w:sz="8" w:space="0" w:color="auto"/>
              <w:left w:val="nil"/>
              <w:bottom w:val="single" w:sz="8" w:space="0" w:color="auto"/>
              <w:right w:val="single" w:sz="8" w:space="0" w:color="000000"/>
            </w:tcBorders>
            <w:vAlign w:val="center"/>
            <w:hideMark/>
          </w:tcPr>
          <w:p w14:paraId="3959DA40" w14:textId="3ED673A5" w:rsidR="00854ADA" w:rsidRPr="00FF386D" w:rsidRDefault="00854ADA" w:rsidP="00565B02">
            <w:pPr>
              <w:spacing w:after="0" w:line="240" w:lineRule="auto"/>
              <w:rPr>
                <w:rFonts w:ascii="Calibri Light" w:eastAsia="Times New Roman" w:hAnsi="Calibri Light" w:cs="Calibri Light"/>
                <w:color w:val="000000"/>
                <w:sz w:val="20"/>
                <w:szCs w:val="20"/>
                <w:lang w:eastAsia="en-GB"/>
              </w:rPr>
            </w:pPr>
          </w:p>
        </w:tc>
      </w:tr>
      <w:tr w:rsidR="00854ADA" w:rsidRPr="00FF386D" w14:paraId="25F1E7D8" w14:textId="77777777" w:rsidTr="0057310C">
        <w:trPr>
          <w:trHeight w:val="315"/>
        </w:trPr>
        <w:tc>
          <w:tcPr>
            <w:tcW w:w="3286" w:type="dxa"/>
            <w:tcBorders>
              <w:top w:val="nil"/>
              <w:left w:val="single" w:sz="8" w:space="0" w:color="auto"/>
              <w:bottom w:val="single" w:sz="8" w:space="0" w:color="auto"/>
              <w:right w:val="nil"/>
            </w:tcBorders>
            <w:shd w:val="clear" w:color="000000" w:fill="244062"/>
            <w:vAlign w:val="center"/>
            <w:hideMark/>
          </w:tcPr>
          <w:p w14:paraId="473420C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02" w:type="dxa"/>
            <w:gridSpan w:val="3"/>
            <w:tcBorders>
              <w:top w:val="single" w:sz="8" w:space="0" w:color="auto"/>
              <w:left w:val="nil"/>
              <w:bottom w:val="single" w:sz="8" w:space="0" w:color="auto"/>
              <w:right w:val="single" w:sz="8" w:space="0" w:color="000000"/>
            </w:tcBorders>
            <w:vAlign w:val="center"/>
            <w:hideMark/>
          </w:tcPr>
          <w:p w14:paraId="35DACCDC"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Број угрожених енергетски сиромашних домаћинстава</w:t>
            </w:r>
          </w:p>
        </w:tc>
      </w:tr>
      <w:tr w:rsidR="00854ADA" w:rsidRPr="00FF386D" w14:paraId="47BE69BF" w14:textId="77777777" w:rsidTr="0057310C">
        <w:trPr>
          <w:trHeight w:val="30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4C580DB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02" w:type="dxa"/>
            <w:gridSpan w:val="3"/>
            <w:tcBorders>
              <w:top w:val="single" w:sz="8" w:space="0" w:color="auto"/>
              <w:left w:val="nil"/>
              <w:bottom w:val="single" w:sz="8" w:space="0" w:color="auto"/>
              <w:right w:val="single" w:sz="8" w:space="0" w:color="000000"/>
            </w:tcBorders>
            <w:vAlign w:val="center"/>
            <w:hideMark/>
          </w:tcPr>
          <w:p w14:paraId="6913849D" w14:textId="77777777" w:rsidR="00854ADA" w:rsidRPr="000A2AFE" w:rsidRDefault="00854ADA" w:rsidP="00854ADA">
            <w:pPr>
              <w:numPr>
                <w:ilvl w:val="0"/>
                <w:numId w:val="17"/>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Енергетска ефикасност</w:t>
            </w:r>
          </w:p>
          <w:p w14:paraId="2CD37864" w14:textId="77777777" w:rsidR="00854ADA" w:rsidRPr="00FF386D" w:rsidRDefault="00854ADA" w:rsidP="00854ADA">
            <w:pPr>
              <w:numPr>
                <w:ilvl w:val="0"/>
                <w:numId w:val="17"/>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Декарбонизација</w:t>
            </w:r>
          </w:p>
        </w:tc>
      </w:tr>
      <w:tr w:rsidR="00854ADA" w:rsidRPr="00FF386D" w14:paraId="101611BE" w14:textId="77777777" w:rsidTr="0057310C">
        <w:trPr>
          <w:trHeight w:val="450"/>
        </w:trPr>
        <w:tc>
          <w:tcPr>
            <w:tcW w:w="3286"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6EEBA0EC" w14:textId="11594976"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02"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0896416" w14:textId="61953C4F" w:rsidR="00854ADA" w:rsidRPr="000A2AFE" w:rsidRDefault="00854ADA" w:rsidP="00854ADA">
            <w:pPr>
              <w:numPr>
                <w:ilvl w:val="0"/>
                <w:numId w:val="17"/>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2019/944</w:t>
            </w:r>
            <w:r w:rsidR="009753C1" w:rsidRPr="009753C1">
              <w:rPr>
                <w:rFonts w:ascii="Calibri Light" w:eastAsia="Times New Roman" w:hAnsi="Calibri Light" w:cs="Calibri Light"/>
                <w:color w:val="000000"/>
                <w:sz w:val="20"/>
                <w:szCs w:val="20"/>
                <w:lang w:eastAsia="en-GB"/>
              </w:rPr>
              <w:t>/ΕУ</w:t>
            </w:r>
          </w:p>
          <w:p w14:paraId="11D17EA1" w14:textId="77777777" w:rsidR="00854ADA" w:rsidRPr="000A2AFE" w:rsidRDefault="00854ADA" w:rsidP="00854ADA">
            <w:pPr>
              <w:numPr>
                <w:ilvl w:val="0"/>
                <w:numId w:val="17"/>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2012/27/ΕУ</w:t>
            </w:r>
          </w:p>
          <w:p w14:paraId="2CF3A9C6" w14:textId="77777777" w:rsidR="00854ADA" w:rsidRPr="000A2AFE" w:rsidRDefault="00854ADA" w:rsidP="00854ADA">
            <w:pPr>
              <w:numPr>
                <w:ilvl w:val="0"/>
                <w:numId w:val="17"/>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2018/2002/ΕУ</w:t>
            </w:r>
          </w:p>
          <w:p w14:paraId="1AC4EF1E" w14:textId="77777777" w:rsidR="00854ADA" w:rsidRPr="00FF386D" w:rsidRDefault="00854ADA" w:rsidP="00854ADA">
            <w:pPr>
              <w:numPr>
                <w:ilvl w:val="0"/>
                <w:numId w:val="17"/>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2018/2001/ΕУ</w:t>
            </w:r>
          </w:p>
        </w:tc>
      </w:tr>
      <w:tr w:rsidR="00854ADA" w:rsidRPr="00FF386D" w14:paraId="691E07EE"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39B35035"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02" w:type="dxa"/>
            <w:gridSpan w:val="3"/>
            <w:vMerge/>
            <w:tcBorders>
              <w:top w:val="single" w:sz="8" w:space="0" w:color="auto"/>
              <w:left w:val="single" w:sz="8" w:space="0" w:color="auto"/>
              <w:bottom w:val="single" w:sz="8" w:space="0" w:color="000000"/>
              <w:right w:val="single" w:sz="8" w:space="0" w:color="000000"/>
            </w:tcBorders>
            <w:vAlign w:val="center"/>
            <w:hideMark/>
          </w:tcPr>
          <w:p w14:paraId="2F18E536"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4197681B"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402321F5"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02" w:type="dxa"/>
            <w:gridSpan w:val="3"/>
            <w:vMerge/>
            <w:tcBorders>
              <w:top w:val="single" w:sz="8" w:space="0" w:color="auto"/>
              <w:left w:val="single" w:sz="8" w:space="0" w:color="auto"/>
              <w:bottom w:val="single" w:sz="8" w:space="0" w:color="000000"/>
              <w:right w:val="single" w:sz="8" w:space="0" w:color="000000"/>
            </w:tcBorders>
            <w:vAlign w:val="center"/>
            <w:hideMark/>
          </w:tcPr>
          <w:p w14:paraId="1EDA8E72"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5BDABEFE" w14:textId="77777777" w:rsidTr="0057310C">
        <w:trPr>
          <w:trHeight w:val="780"/>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6881B29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02" w:type="dxa"/>
            <w:gridSpan w:val="3"/>
            <w:tcBorders>
              <w:top w:val="single" w:sz="8" w:space="0" w:color="auto"/>
              <w:left w:val="nil"/>
              <w:bottom w:val="single" w:sz="8" w:space="0" w:color="auto"/>
              <w:right w:val="single" w:sz="8" w:space="0" w:color="000000"/>
            </w:tcBorders>
            <w:vAlign w:val="center"/>
            <w:hideMark/>
          </w:tcPr>
          <w:p w14:paraId="52AD4271"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p>
        </w:tc>
      </w:tr>
      <w:tr w:rsidR="00854ADA" w:rsidRPr="00FF386D" w14:paraId="3020DF96"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71DDFD3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02" w:type="dxa"/>
            <w:gridSpan w:val="3"/>
            <w:tcBorders>
              <w:top w:val="single" w:sz="8" w:space="0" w:color="auto"/>
              <w:left w:val="nil"/>
              <w:bottom w:val="single" w:sz="8" w:space="0" w:color="auto"/>
              <w:right w:val="single" w:sz="8" w:space="0" w:color="000000"/>
            </w:tcBorders>
            <w:vAlign w:val="center"/>
          </w:tcPr>
          <w:p w14:paraId="6C486393" w14:textId="4AA072FF" w:rsidR="00854ADA" w:rsidRPr="00FF386D" w:rsidRDefault="00184837" w:rsidP="00854ADA">
            <w:pPr>
              <w:spacing w:after="0" w:line="240" w:lineRule="auto"/>
              <w:rPr>
                <w:rFonts w:asciiTheme="majorHAnsi" w:eastAsia="Times New Roman" w:hAnsiTheme="majorHAnsi" w:cstheme="majorHAnsi"/>
                <w:color w:val="000000"/>
                <w:sz w:val="20"/>
                <w:szCs w:val="20"/>
                <w:highlight w:val="yellow"/>
                <w:lang w:eastAsia="en-GB"/>
              </w:rPr>
            </w:pPr>
            <w:r w:rsidRPr="00FF386D">
              <w:rPr>
                <w:rFonts w:asciiTheme="majorHAnsi" w:eastAsia="Times New Roman" w:hAnsiTheme="majorHAnsi" w:cstheme="majorHAnsi"/>
                <w:color w:val="000000"/>
                <w:sz w:val="20"/>
                <w:szCs w:val="20"/>
                <w:lang w:eastAsia="en-GB"/>
              </w:rPr>
              <w:t>У разматрању</w:t>
            </w:r>
          </w:p>
        </w:tc>
      </w:tr>
      <w:tr w:rsidR="00854ADA" w:rsidRPr="00FF386D" w14:paraId="44590293" w14:textId="77777777" w:rsidTr="0057310C">
        <w:trPr>
          <w:trHeight w:val="315"/>
        </w:trPr>
        <w:tc>
          <w:tcPr>
            <w:tcW w:w="3286" w:type="dxa"/>
            <w:tcBorders>
              <w:top w:val="nil"/>
              <w:left w:val="single" w:sz="8" w:space="0" w:color="auto"/>
              <w:bottom w:val="single" w:sz="8" w:space="0" w:color="auto"/>
              <w:right w:val="single" w:sz="8" w:space="0" w:color="auto"/>
            </w:tcBorders>
            <w:shd w:val="clear" w:color="000000" w:fill="244062"/>
            <w:vAlign w:val="center"/>
            <w:hideMark/>
          </w:tcPr>
          <w:p w14:paraId="782E4798" w14:textId="77777777" w:rsidR="00854ADA" w:rsidRPr="000A2AFE" w:rsidRDefault="00854ADA" w:rsidP="00854ADA">
            <w:pPr>
              <w:spacing w:after="0" w:line="240" w:lineRule="auto"/>
              <w:rPr>
                <w:rFonts w:asciiTheme="majorHAnsi" w:eastAsia="Times New Roman" w:hAnsiTheme="majorHAnsi" w:cstheme="majorHAnsi"/>
                <w:b/>
                <w:bCs/>
                <w:color w:val="FFFFFF"/>
                <w:sz w:val="20"/>
                <w:szCs w:val="20"/>
                <w:lang w:eastAsia="en-GB"/>
              </w:rPr>
            </w:pPr>
            <w:r w:rsidRPr="00F83DAA">
              <w:rPr>
                <w:rFonts w:asciiTheme="majorHAnsi" w:eastAsia="Times New Roman" w:hAnsiTheme="majorHAnsi" w:cstheme="majorHAnsi"/>
                <w:b/>
                <w:bCs/>
                <w:color w:val="FFFFFF"/>
                <w:sz w:val="20"/>
                <w:szCs w:val="20"/>
                <w:lang w:eastAsia="en-GB"/>
              </w:rPr>
              <w:t>Извор(и) финансирања</w:t>
            </w:r>
          </w:p>
        </w:tc>
        <w:tc>
          <w:tcPr>
            <w:tcW w:w="6202" w:type="dxa"/>
            <w:gridSpan w:val="3"/>
            <w:tcBorders>
              <w:top w:val="single" w:sz="8" w:space="0" w:color="auto"/>
              <w:left w:val="nil"/>
              <w:bottom w:val="single" w:sz="8" w:space="0" w:color="auto"/>
              <w:right w:val="single" w:sz="8" w:space="0" w:color="000000"/>
            </w:tcBorders>
            <w:vAlign w:val="center"/>
          </w:tcPr>
          <w:p w14:paraId="227D84B6" w14:textId="58446709" w:rsidR="00854ADA" w:rsidRPr="000A2AFE" w:rsidRDefault="00F83DAA" w:rsidP="00854ADA">
            <w:pPr>
              <w:spacing w:after="0" w:line="240" w:lineRule="auto"/>
              <w:rPr>
                <w:rFonts w:asciiTheme="majorHAnsi" w:eastAsia="Times New Roman" w:hAnsiTheme="majorHAnsi" w:cstheme="majorHAnsi"/>
                <w:color w:val="000000"/>
                <w:sz w:val="20"/>
                <w:szCs w:val="20"/>
                <w:lang w:eastAsia="en-GB"/>
              </w:rPr>
            </w:pPr>
            <w:r w:rsidRPr="000A2AFE">
              <w:rPr>
                <w:rFonts w:asciiTheme="majorHAnsi" w:eastAsia="Times New Roman" w:hAnsiTheme="majorHAnsi" w:cstheme="majorHAnsi"/>
                <w:color w:val="000000"/>
                <w:sz w:val="20"/>
                <w:szCs w:val="20"/>
                <w:lang w:eastAsia="en-GB"/>
              </w:rPr>
              <w:t>У разматрању</w:t>
            </w:r>
          </w:p>
        </w:tc>
      </w:tr>
    </w:tbl>
    <w:p w14:paraId="25C48DAE"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94"/>
        <w:gridCol w:w="1110"/>
        <w:gridCol w:w="936"/>
        <w:gridCol w:w="4148"/>
      </w:tblGrid>
      <w:tr w:rsidR="00854ADA" w:rsidRPr="00FF386D" w14:paraId="49F1237C" w14:textId="77777777" w:rsidTr="0057310C">
        <w:trPr>
          <w:trHeight w:val="780"/>
        </w:trPr>
        <w:tc>
          <w:tcPr>
            <w:tcW w:w="3294"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007C229C" w14:textId="441F5FE0"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110" w:type="dxa"/>
            <w:tcBorders>
              <w:top w:val="single" w:sz="8" w:space="0" w:color="auto"/>
              <w:left w:val="nil"/>
              <w:bottom w:val="single" w:sz="8" w:space="0" w:color="auto"/>
              <w:right w:val="single" w:sz="8" w:space="0" w:color="auto"/>
            </w:tcBorders>
            <w:shd w:val="clear" w:color="auto" w:fill="E7E6E6" w:themeFill="background2"/>
            <w:vAlign w:val="center"/>
            <w:hideMark/>
          </w:tcPr>
          <w:p w14:paraId="35485858" w14:textId="097FF4AD" w:rsidR="00854ADA" w:rsidRPr="000A2AFE" w:rsidRDefault="00854ADA" w:rsidP="00854ADA">
            <w:pPr>
              <w:spacing w:after="0" w:line="240" w:lineRule="auto"/>
              <w:jc w:val="both"/>
              <w:rPr>
                <w:rFonts w:ascii="Calibri Light" w:eastAsia="Times New Roman" w:hAnsi="Calibri Light" w:cs="Calibri Light"/>
                <w:b/>
                <w:bCs/>
                <w:color w:val="000000"/>
                <w:sz w:val="20"/>
                <w:szCs w:val="20"/>
                <w:lang w:val="sr-Latn-RS" w:eastAsia="en-GB"/>
              </w:rPr>
            </w:pPr>
            <w:r w:rsidRPr="000A2AFE">
              <w:rPr>
                <w:rFonts w:ascii="Calibri Light" w:eastAsia="Times New Roman" w:hAnsi="Calibri Light" w:cs="Calibri Light"/>
                <w:b/>
                <w:bCs/>
                <w:color w:val="000000"/>
                <w:sz w:val="20"/>
                <w:szCs w:val="20"/>
                <w:lang w:eastAsia="en-GB"/>
              </w:rPr>
              <w:t>МП_</w:t>
            </w:r>
            <w:r w:rsidR="00F667CB" w:rsidRPr="000A2AFE">
              <w:rPr>
                <w:rFonts w:ascii="Calibri Light" w:eastAsia="Times New Roman" w:hAnsi="Calibri Light" w:cs="Calibri Light"/>
                <w:b/>
                <w:bCs/>
                <w:color w:val="000000"/>
                <w:sz w:val="20"/>
                <w:szCs w:val="20"/>
                <w:lang w:eastAsia="en-GB"/>
              </w:rPr>
              <w:t>УЕТ3</w:t>
            </w:r>
            <w:r w:rsidR="00F667CB">
              <w:rPr>
                <w:rFonts w:ascii="Calibri Light" w:eastAsia="Times New Roman" w:hAnsi="Calibri Light" w:cs="Calibri Light"/>
                <w:b/>
                <w:bCs/>
                <w:color w:val="000000"/>
                <w:sz w:val="20"/>
                <w:szCs w:val="20"/>
                <w:lang w:val="sr-Latn-RS" w:eastAsia="en-GB"/>
              </w:rPr>
              <w:t>5</w:t>
            </w:r>
          </w:p>
        </w:tc>
        <w:tc>
          <w:tcPr>
            <w:tcW w:w="936" w:type="dxa"/>
            <w:tcBorders>
              <w:top w:val="single" w:sz="8" w:space="0" w:color="auto"/>
              <w:left w:val="nil"/>
              <w:bottom w:val="single" w:sz="8" w:space="0" w:color="auto"/>
              <w:right w:val="single" w:sz="8" w:space="0" w:color="auto"/>
            </w:tcBorders>
            <w:shd w:val="clear" w:color="auto" w:fill="244062"/>
            <w:vAlign w:val="center"/>
            <w:hideMark/>
          </w:tcPr>
          <w:p w14:paraId="3371FF1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48" w:type="dxa"/>
            <w:tcBorders>
              <w:top w:val="single" w:sz="8" w:space="0" w:color="auto"/>
              <w:left w:val="nil"/>
              <w:bottom w:val="single" w:sz="8" w:space="0" w:color="auto"/>
              <w:right w:val="single" w:sz="8" w:space="0" w:color="auto"/>
            </w:tcBorders>
            <w:shd w:val="clear" w:color="auto" w:fill="E7E6E6" w:themeFill="background2"/>
            <w:vAlign w:val="center"/>
            <w:hideMark/>
          </w:tcPr>
          <w:p w14:paraId="3754C407" w14:textId="2DE065CA"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О</w:t>
            </w:r>
            <w:r w:rsidR="00714B46" w:rsidRPr="000A2AFE">
              <w:rPr>
                <w:rFonts w:ascii="Calibri Light" w:eastAsia="Times New Roman" w:hAnsi="Calibri Light" w:cs="Calibri Light"/>
                <w:b/>
                <w:bCs/>
                <w:color w:val="000000"/>
                <w:sz w:val="20"/>
                <w:szCs w:val="20"/>
                <w:lang w:eastAsia="en-GB"/>
              </w:rPr>
              <w:t>могућавање</w:t>
            </w:r>
            <w:r w:rsidRPr="000A2AFE">
              <w:rPr>
                <w:rFonts w:ascii="Calibri Light" w:eastAsia="Times New Roman" w:hAnsi="Calibri Light" w:cs="Calibri Light"/>
                <w:b/>
                <w:bCs/>
                <w:color w:val="000000"/>
                <w:sz w:val="20"/>
                <w:szCs w:val="20"/>
                <w:lang w:eastAsia="en-GB"/>
              </w:rPr>
              <w:t xml:space="preserve"> приступа алтернативним изворима енергије енергетски угроженим </w:t>
            </w:r>
            <w:r w:rsidR="004609F7">
              <w:rPr>
                <w:rFonts w:ascii="Calibri Light" w:eastAsia="Times New Roman" w:hAnsi="Calibri Light" w:cs="Calibri Light"/>
                <w:b/>
                <w:bCs/>
                <w:color w:val="000000"/>
                <w:sz w:val="20"/>
                <w:szCs w:val="20"/>
                <w:lang w:eastAsia="en-GB"/>
              </w:rPr>
              <w:t>купц</w:t>
            </w:r>
            <w:r w:rsidR="004609F7" w:rsidRPr="000A2AFE">
              <w:rPr>
                <w:rFonts w:ascii="Calibri Light" w:eastAsia="Times New Roman" w:hAnsi="Calibri Light" w:cs="Calibri Light"/>
                <w:b/>
                <w:bCs/>
                <w:color w:val="000000"/>
                <w:sz w:val="20"/>
                <w:szCs w:val="20"/>
                <w:lang w:eastAsia="en-GB"/>
              </w:rPr>
              <w:t xml:space="preserve">има </w:t>
            </w:r>
            <w:r w:rsidRPr="000A2AFE">
              <w:rPr>
                <w:rFonts w:ascii="Calibri Light" w:eastAsia="Times New Roman" w:hAnsi="Calibri Light" w:cs="Calibri Light"/>
                <w:b/>
                <w:bCs/>
                <w:color w:val="000000"/>
                <w:sz w:val="20"/>
                <w:szCs w:val="20"/>
                <w:lang w:eastAsia="en-GB"/>
              </w:rPr>
              <w:t xml:space="preserve">и другим </w:t>
            </w:r>
            <w:r w:rsidR="004609F7">
              <w:rPr>
                <w:rFonts w:ascii="Calibri Light" w:eastAsia="Times New Roman" w:hAnsi="Calibri Light" w:cs="Calibri Light"/>
                <w:b/>
                <w:bCs/>
                <w:color w:val="000000"/>
                <w:sz w:val="20"/>
                <w:szCs w:val="20"/>
                <w:lang w:eastAsia="en-GB"/>
              </w:rPr>
              <w:t>купц</w:t>
            </w:r>
            <w:r w:rsidR="004609F7" w:rsidRPr="000A2AFE">
              <w:rPr>
                <w:rFonts w:ascii="Calibri Light" w:eastAsia="Times New Roman" w:hAnsi="Calibri Light" w:cs="Calibri Light"/>
                <w:b/>
                <w:bCs/>
                <w:color w:val="000000"/>
                <w:sz w:val="20"/>
                <w:szCs w:val="20"/>
                <w:lang w:eastAsia="en-GB"/>
              </w:rPr>
              <w:t xml:space="preserve">има </w:t>
            </w:r>
            <w:r w:rsidRPr="000A2AFE">
              <w:rPr>
                <w:rFonts w:ascii="Calibri Light" w:eastAsia="Times New Roman" w:hAnsi="Calibri Light" w:cs="Calibri Light"/>
                <w:b/>
                <w:bCs/>
                <w:color w:val="000000"/>
                <w:sz w:val="20"/>
                <w:szCs w:val="20"/>
                <w:lang w:eastAsia="en-GB"/>
              </w:rPr>
              <w:t>како би се умањило енергетско сиромаштво</w:t>
            </w:r>
          </w:p>
        </w:tc>
      </w:tr>
      <w:tr w:rsidR="00854ADA" w:rsidRPr="00FF386D" w14:paraId="0320951A" w14:textId="77777777" w:rsidTr="0057310C">
        <w:trPr>
          <w:trHeight w:val="217"/>
        </w:trPr>
        <w:tc>
          <w:tcPr>
            <w:tcW w:w="3294" w:type="dxa"/>
            <w:tcBorders>
              <w:top w:val="nil"/>
              <w:left w:val="single" w:sz="8" w:space="0" w:color="auto"/>
              <w:bottom w:val="single" w:sz="8" w:space="0" w:color="auto"/>
              <w:right w:val="nil"/>
            </w:tcBorders>
            <w:shd w:val="clear" w:color="000000" w:fill="244062"/>
            <w:vAlign w:val="center"/>
            <w:hideMark/>
          </w:tcPr>
          <w:p w14:paraId="42EB3399" w14:textId="02ADF38A"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194" w:type="dxa"/>
            <w:gridSpan w:val="3"/>
            <w:tcBorders>
              <w:top w:val="single" w:sz="8" w:space="0" w:color="auto"/>
              <w:left w:val="nil"/>
              <w:bottom w:val="single" w:sz="8" w:space="0" w:color="auto"/>
              <w:right w:val="single" w:sz="8" w:space="0" w:color="000000"/>
            </w:tcBorders>
            <w:vAlign w:val="center"/>
            <w:hideMark/>
          </w:tcPr>
          <w:p w14:paraId="54274F78"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Ублажавање енергетског сиромаштва</w:t>
            </w:r>
          </w:p>
        </w:tc>
      </w:tr>
      <w:tr w:rsidR="00854ADA" w:rsidRPr="00FF386D" w14:paraId="2544A70A" w14:textId="77777777" w:rsidTr="0057310C">
        <w:trPr>
          <w:trHeight w:val="315"/>
        </w:trPr>
        <w:tc>
          <w:tcPr>
            <w:tcW w:w="3294" w:type="dxa"/>
            <w:tcBorders>
              <w:top w:val="nil"/>
              <w:left w:val="single" w:sz="8" w:space="0" w:color="auto"/>
              <w:bottom w:val="single" w:sz="8" w:space="0" w:color="auto"/>
              <w:right w:val="single" w:sz="8" w:space="0" w:color="auto"/>
            </w:tcBorders>
            <w:shd w:val="clear" w:color="000000" w:fill="244062"/>
            <w:vAlign w:val="center"/>
            <w:hideMark/>
          </w:tcPr>
          <w:p w14:paraId="1404A625" w14:textId="66649C78"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194" w:type="dxa"/>
            <w:gridSpan w:val="3"/>
            <w:tcBorders>
              <w:top w:val="single" w:sz="8" w:space="0" w:color="auto"/>
              <w:left w:val="nil"/>
              <w:bottom w:val="single" w:sz="8" w:space="0" w:color="auto"/>
              <w:right w:val="single" w:sz="8" w:space="0" w:color="000000"/>
            </w:tcBorders>
            <w:vAlign w:val="center"/>
          </w:tcPr>
          <w:p w14:paraId="1166868E"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Смањење енергетског сиромаштва</w:t>
            </w:r>
          </w:p>
        </w:tc>
      </w:tr>
      <w:tr w:rsidR="00854ADA" w:rsidRPr="00FF386D" w14:paraId="73BC936F" w14:textId="77777777" w:rsidTr="0057310C">
        <w:trPr>
          <w:trHeight w:val="1176"/>
        </w:trPr>
        <w:tc>
          <w:tcPr>
            <w:tcW w:w="3294" w:type="dxa"/>
            <w:tcBorders>
              <w:top w:val="nil"/>
              <w:left w:val="single" w:sz="8" w:space="0" w:color="auto"/>
              <w:bottom w:val="single" w:sz="8" w:space="0" w:color="auto"/>
              <w:right w:val="single" w:sz="8" w:space="0" w:color="auto"/>
            </w:tcBorders>
            <w:shd w:val="clear" w:color="000000" w:fill="244062"/>
            <w:vAlign w:val="center"/>
            <w:hideMark/>
          </w:tcPr>
          <w:p w14:paraId="55C8FFF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194" w:type="dxa"/>
            <w:gridSpan w:val="3"/>
            <w:tcBorders>
              <w:top w:val="single" w:sz="8" w:space="0" w:color="auto"/>
              <w:left w:val="nil"/>
              <w:bottom w:val="single" w:sz="8" w:space="0" w:color="auto"/>
              <w:right w:val="single" w:sz="8" w:space="0" w:color="000000"/>
            </w:tcBorders>
            <w:vAlign w:val="center"/>
            <w:hideMark/>
          </w:tcPr>
          <w:p w14:paraId="1B10EF64" w14:textId="21CBCD38"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МП_</w:t>
            </w:r>
            <w:r w:rsidR="00F667CB" w:rsidRPr="00FF386D">
              <w:rPr>
                <w:rFonts w:ascii="Calibri Light" w:hAnsi="Calibri Light"/>
                <w:sz w:val="20"/>
              </w:rPr>
              <w:t>УЕТ3</w:t>
            </w:r>
            <w:r w:rsidR="00F667CB">
              <w:rPr>
                <w:rFonts w:ascii="Calibri Light" w:hAnsi="Calibri Light"/>
                <w:sz w:val="20"/>
                <w:lang w:val="sr-Latn-RS"/>
              </w:rPr>
              <w:t>5</w:t>
            </w:r>
            <w:r w:rsidR="00F667CB" w:rsidRPr="00FF386D">
              <w:rPr>
                <w:rFonts w:ascii="Calibri Light" w:hAnsi="Calibri Light"/>
                <w:sz w:val="20"/>
              </w:rPr>
              <w:t xml:space="preserve"> </w:t>
            </w:r>
            <w:r w:rsidRPr="00FF386D">
              <w:rPr>
                <w:rFonts w:ascii="Calibri Light" w:hAnsi="Calibri Light"/>
                <w:sz w:val="20"/>
              </w:rPr>
              <w:t>ће о</w:t>
            </w:r>
            <w:r w:rsidR="00714B46" w:rsidRPr="00FF386D">
              <w:rPr>
                <w:rFonts w:ascii="Calibri Light" w:hAnsi="Calibri Light"/>
                <w:sz w:val="20"/>
              </w:rPr>
              <w:t>могућити</w:t>
            </w:r>
            <w:r w:rsidRPr="00FF386D">
              <w:rPr>
                <w:rFonts w:ascii="Calibri Light" w:hAnsi="Calibri Light"/>
                <w:sz w:val="20"/>
              </w:rPr>
              <w:t xml:space="preserve"> приступ енергетски сиромашни</w:t>
            </w:r>
            <w:r w:rsidR="00714B46" w:rsidRPr="00FF386D">
              <w:rPr>
                <w:rFonts w:ascii="Calibri Light" w:hAnsi="Calibri Light"/>
                <w:sz w:val="20"/>
              </w:rPr>
              <w:t>х</w:t>
            </w:r>
            <w:r w:rsidRPr="00FF386D">
              <w:rPr>
                <w:rFonts w:ascii="Calibri Light" w:hAnsi="Calibri Light"/>
                <w:sz w:val="20"/>
              </w:rPr>
              <w:t xml:space="preserve"> </w:t>
            </w:r>
            <w:r w:rsidR="00246155" w:rsidRPr="00FF386D">
              <w:rPr>
                <w:rFonts w:ascii="Calibri Light" w:hAnsi="Calibri Light"/>
                <w:sz w:val="20"/>
              </w:rPr>
              <w:t>домаћинст</w:t>
            </w:r>
            <w:r w:rsidR="00714B46" w:rsidRPr="00FF386D">
              <w:rPr>
                <w:rFonts w:ascii="Calibri Light" w:hAnsi="Calibri Light"/>
                <w:sz w:val="20"/>
              </w:rPr>
              <w:t>ава</w:t>
            </w:r>
            <w:r w:rsidRPr="00FF386D">
              <w:rPr>
                <w:rFonts w:ascii="Calibri Light" w:hAnsi="Calibri Light"/>
                <w:sz w:val="20"/>
              </w:rPr>
              <w:t xml:space="preserve"> алтернативним изворима енергије </w:t>
            </w:r>
            <w:r w:rsidR="00714B46" w:rsidRPr="00FF386D">
              <w:rPr>
                <w:rFonts w:ascii="Calibri Light" w:hAnsi="Calibri Light"/>
                <w:sz w:val="20"/>
              </w:rPr>
              <w:t>у циљу</w:t>
            </w:r>
            <w:r w:rsidRPr="00FF386D">
              <w:rPr>
                <w:rFonts w:ascii="Calibri Light" w:hAnsi="Calibri Light"/>
                <w:sz w:val="20"/>
              </w:rPr>
              <w:t xml:space="preserve"> значајно</w:t>
            </w:r>
            <w:r w:rsidR="00714B46" w:rsidRPr="00FF386D">
              <w:rPr>
                <w:rFonts w:ascii="Calibri Light" w:hAnsi="Calibri Light"/>
                <w:sz w:val="20"/>
              </w:rPr>
              <w:t>г</w:t>
            </w:r>
            <w:r w:rsidRPr="00FF386D">
              <w:rPr>
                <w:rFonts w:ascii="Calibri Light" w:hAnsi="Calibri Light"/>
                <w:sz w:val="20"/>
              </w:rPr>
              <w:t xml:space="preserve"> </w:t>
            </w:r>
            <w:r w:rsidRPr="00FF386D">
              <w:rPr>
                <w:rFonts w:ascii="Calibri Light" w:eastAsia="NSimSun" w:hAnsi="Calibri Light" w:cs="Mangal"/>
                <w:kern w:val="2"/>
                <w:sz w:val="20"/>
                <w:szCs w:val="24"/>
                <w:lang w:eastAsia="zh-CN" w:bidi="hi-IN"/>
              </w:rPr>
              <w:t>у</w:t>
            </w:r>
            <w:r w:rsidRPr="00FF386D">
              <w:rPr>
                <w:rFonts w:ascii="Calibri Light" w:hAnsi="Calibri Light"/>
                <w:sz w:val="20"/>
              </w:rPr>
              <w:t>мањ</w:t>
            </w:r>
            <w:r w:rsidR="00714B46" w:rsidRPr="00FF386D">
              <w:rPr>
                <w:rFonts w:ascii="Calibri Light" w:hAnsi="Calibri Light"/>
                <w:sz w:val="20"/>
              </w:rPr>
              <w:t>ења</w:t>
            </w:r>
            <w:r w:rsidRPr="00FF386D">
              <w:rPr>
                <w:rFonts w:ascii="Calibri Light" w:hAnsi="Calibri Light"/>
                <w:sz w:val="20"/>
              </w:rPr>
              <w:t xml:space="preserve"> повезани</w:t>
            </w:r>
            <w:r w:rsidR="00714B46" w:rsidRPr="00FF386D">
              <w:rPr>
                <w:rFonts w:ascii="Calibri Light" w:hAnsi="Calibri Light"/>
                <w:sz w:val="20"/>
              </w:rPr>
              <w:t>х</w:t>
            </w:r>
            <w:r w:rsidRPr="00FF386D">
              <w:rPr>
                <w:rFonts w:ascii="Calibri Light" w:hAnsi="Calibri Light"/>
                <w:sz w:val="20"/>
              </w:rPr>
              <w:t xml:space="preserve"> трошков</w:t>
            </w:r>
            <w:r w:rsidR="00714B46" w:rsidRPr="00FF386D">
              <w:rPr>
                <w:rFonts w:ascii="Calibri Light" w:hAnsi="Calibri Light"/>
                <w:sz w:val="20"/>
              </w:rPr>
              <w:t>а</w:t>
            </w:r>
            <w:r w:rsidRPr="00FF386D">
              <w:rPr>
                <w:rFonts w:ascii="Calibri Light" w:hAnsi="Calibri Light"/>
                <w:sz w:val="20"/>
              </w:rPr>
              <w:t xml:space="preserve"> енергије и борбе против енергетског сиромаштва. Постојеће мреже даљинског грејања и природног гаса се могу проширити, чиме би се пружила могућност енергетски сиромашним домаћинствима да </w:t>
            </w:r>
            <w:r w:rsidR="00714B46" w:rsidRPr="00FF386D">
              <w:rPr>
                <w:rFonts w:ascii="Calibri Light" w:hAnsi="Calibri Light"/>
                <w:sz w:val="20"/>
              </w:rPr>
              <w:t>користе</w:t>
            </w:r>
            <w:r w:rsidRPr="00FF386D">
              <w:rPr>
                <w:rFonts w:ascii="Calibri Light" w:hAnsi="Calibri Light"/>
                <w:sz w:val="20"/>
              </w:rPr>
              <w:t xml:space="preserve"> јефтиније </w:t>
            </w:r>
            <w:r w:rsidRPr="00FF386D">
              <w:rPr>
                <w:rFonts w:ascii="Calibri Light" w:eastAsia="NSimSun" w:hAnsi="Calibri Light" w:cs="Mangal"/>
                <w:kern w:val="2"/>
                <w:sz w:val="20"/>
                <w:szCs w:val="24"/>
                <w:lang w:eastAsia="zh-CN" w:bidi="hi-IN"/>
              </w:rPr>
              <w:t>енергенте</w:t>
            </w:r>
            <w:r w:rsidRPr="00FF386D">
              <w:rPr>
                <w:rFonts w:ascii="Calibri Light" w:hAnsi="Calibri Light"/>
                <w:sz w:val="20"/>
              </w:rPr>
              <w:t>.</w:t>
            </w:r>
          </w:p>
        </w:tc>
      </w:tr>
      <w:tr w:rsidR="00854ADA" w:rsidRPr="00FF386D" w14:paraId="330446A4" w14:textId="77777777" w:rsidTr="0057310C">
        <w:trPr>
          <w:trHeight w:val="315"/>
        </w:trPr>
        <w:tc>
          <w:tcPr>
            <w:tcW w:w="3294" w:type="dxa"/>
            <w:tcBorders>
              <w:top w:val="nil"/>
              <w:left w:val="single" w:sz="8" w:space="0" w:color="auto"/>
              <w:bottom w:val="single" w:sz="8" w:space="0" w:color="auto"/>
              <w:right w:val="single" w:sz="8" w:space="0" w:color="auto"/>
            </w:tcBorders>
            <w:shd w:val="clear" w:color="000000" w:fill="244062"/>
            <w:vAlign w:val="center"/>
            <w:hideMark/>
          </w:tcPr>
          <w:p w14:paraId="24710DC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194" w:type="dxa"/>
            <w:gridSpan w:val="3"/>
            <w:tcBorders>
              <w:top w:val="single" w:sz="8" w:space="0" w:color="auto"/>
              <w:left w:val="nil"/>
              <w:bottom w:val="single" w:sz="8" w:space="0" w:color="auto"/>
              <w:right w:val="single" w:sz="8" w:space="0" w:color="000000"/>
            </w:tcBorders>
            <w:vAlign w:val="center"/>
            <w:hideMark/>
          </w:tcPr>
          <w:p w14:paraId="202B2A58"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2021-2030.</w:t>
            </w:r>
          </w:p>
        </w:tc>
      </w:tr>
      <w:tr w:rsidR="00854ADA" w:rsidRPr="00FF386D" w14:paraId="7C87D0A6" w14:textId="77777777" w:rsidTr="0057310C">
        <w:trPr>
          <w:trHeight w:val="315"/>
        </w:trPr>
        <w:tc>
          <w:tcPr>
            <w:tcW w:w="3294" w:type="dxa"/>
            <w:tcBorders>
              <w:top w:val="nil"/>
              <w:left w:val="single" w:sz="8" w:space="0" w:color="auto"/>
              <w:bottom w:val="single" w:sz="8" w:space="0" w:color="auto"/>
              <w:right w:val="single" w:sz="8" w:space="0" w:color="auto"/>
            </w:tcBorders>
            <w:shd w:val="clear" w:color="000000" w:fill="244062"/>
            <w:vAlign w:val="center"/>
            <w:hideMark/>
          </w:tcPr>
          <w:p w14:paraId="4616BEC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194" w:type="dxa"/>
            <w:gridSpan w:val="3"/>
            <w:tcBorders>
              <w:top w:val="single" w:sz="8" w:space="0" w:color="auto"/>
              <w:left w:val="nil"/>
              <w:bottom w:val="single" w:sz="8" w:space="0" w:color="auto"/>
              <w:right w:val="single" w:sz="8" w:space="0" w:color="000000"/>
            </w:tcBorders>
            <w:vAlign w:val="center"/>
            <w:hideMark/>
          </w:tcPr>
          <w:p w14:paraId="71A25AF1"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Инвестиција</w:t>
            </w:r>
          </w:p>
        </w:tc>
      </w:tr>
      <w:tr w:rsidR="00854ADA" w:rsidRPr="00FF386D" w14:paraId="3D131E91" w14:textId="77777777" w:rsidTr="0057310C">
        <w:trPr>
          <w:trHeight w:val="315"/>
        </w:trPr>
        <w:tc>
          <w:tcPr>
            <w:tcW w:w="3294" w:type="dxa"/>
            <w:tcBorders>
              <w:top w:val="nil"/>
              <w:left w:val="single" w:sz="8" w:space="0" w:color="auto"/>
              <w:bottom w:val="single" w:sz="8" w:space="0" w:color="auto"/>
              <w:right w:val="single" w:sz="8" w:space="0" w:color="auto"/>
            </w:tcBorders>
            <w:shd w:val="clear" w:color="000000" w:fill="244062"/>
            <w:vAlign w:val="center"/>
            <w:hideMark/>
          </w:tcPr>
          <w:p w14:paraId="015C6F5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194" w:type="dxa"/>
            <w:gridSpan w:val="3"/>
            <w:tcBorders>
              <w:top w:val="single" w:sz="8" w:space="0" w:color="auto"/>
              <w:left w:val="nil"/>
              <w:bottom w:val="single" w:sz="8" w:space="0" w:color="auto"/>
              <w:right w:val="single" w:sz="8" w:space="0" w:color="000000"/>
            </w:tcBorders>
            <w:vAlign w:val="center"/>
            <w:hideMark/>
          </w:tcPr>
          <w:p w14:paraId="5226FF0B"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Стамбени</w:t>
            </w:r>
          </w:p>
        </w:tc>
      </w:tr>
      <w:tr w:rsidR="00854ADA" w:rsidRPr="00FF386D" w14:paraId="653D877E" w14:textId="77777777" w:rsidTr="0057310C">
        <w:trPr>
          <w:trHeight w:val="315"/>
        </w:trPr>
        <w:tc>
          <w:tcPr>
            <w:tcW w:w="3294" w:type="dxa"/>
            <w:tcBorders>
              <w:top w:val="nil"/>
              <w:left w:val="single" w:sz="8" w:space="0" w:color="auto"/>
              <w:bottom w:val="single" w:sz="8" w:space="0" w:color="auto"/>
              <w:right w:val="single" w:sz="8" w:space="0" w:color="auto"/>
            </w:tcBorders>
            <w:shd w:val="clear" w:color="000000" w:fill="244062"/>
            <w:vAlign w:val="center"/>
            <w:hideMark/>
          </w:tcPr>
          <w:p w14:paraId="2188704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Извршни орган</w:t>
            </w:r>
          </w:p>
        </w:tc>
        <w:tc>
          <w:tcPr>
            <w:tcW w:w="6194" w:type="dxa"/>
            <w:gridSpan w:val="3"/>
            <w:tcBorders>
              <w:top w:val="single" w:sz="8" w:space="0" w:color="auto"/>
              <w:left w:val="nil"/>
              <w:bottom w:val="single" w:sz="8" w:space="0" w:color="auto"/>
              <w:right w:val="single" w:sz="8" w:space="0" w:color="000000"/>
            </w:tcBorders>
            <w:vAlign w:val="center"/>
          </w:tcPr>
          <w:p w14:paraId="0A471D59" w14:textId="52B4FDD9" w:rsidR="00854ADA" w:rsidRPr="00FF386D" w:rsidRDefault="00246155" w:rsidP="00246155">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Биће одређено заједно са Министарство рударства и енергетике</w:t>
            </w:r>
          </w:p>
        </w:tc>
      </w:tr>
      <w:tr w:rsidR="00854ADA" w:rsidRPr="00FF386D" w14:paraId="2DAC8307" w14:textId="77777777" w:rsidTr="0057310C">
        <w:trPr>
          <w:trHeight w:val="315"/>
        </w:trPr>
        <w:tc>
          <w:tcPr>
            <w:tcW w:w="3294" w:type="dxa"/>
            <w:tcBorders>
              <w:top w:val="nil"/>
              <w:left w:val="single" w:sz="8" w:space="0" w:color="auto"/>
              <w:bottom w:val="single" w:sz="8" w:space="0" w:color="auto"/>
              <w:right w:val="nil"/>
            </w:tcBorders>
            <w:shd w:val="clear" w:color="000000" w:fill="244062"/>
            <w:vAlign w:val="center"/>
            <w:hideMark/>
          </w:tcPr>
          <w:p w14:paraId="0483D46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194" w:type="dxa"/>
            <w:gridSpan w:val="3"/>
            <w:tcBorders>
              <w:top w:val="single" w:sz="8" w:space="0" w:color="auto"/>
              <w:left w:val="nil"/>
              <w:bottom w:val="single" w:sz="8" w:space="0" w:color="auto"/>
              <w:right w:val="single" w:sz="8" w:space="0" w:color="000000"/>
            </w:tcBorders>
            <w:vAlign w:val="center"/>
            <w:hideMark/>
          </w:tcPr>
          <w:p w14:paraId="50782EE9" w14:textId="77777777" w:rsidR="00854ADA" w:rsidRPr="00FF386D" w:rsidRDefault="00854ADA" w:rsidP="00565B02">
            <w:pPr>
              <w:spacing w:after="0" w:line="240" w:lineRule="auto"/>
              <w:rPr>
                <w:rFonts w:ascii="Calibri Light" w:eastAsia="Times New Roman" w:hAnsi="Calibri Light" w:cs="Calibri Light"/>
                <w:color w:val="000000"/>
                <w:sz w:val="20"/>
                <w:szCs w:val="20"/>
                <w:lang w:eastAsia="en-GB"/>
              </w:rPr>
            </w:pPr>
          </w:p>
        </w:tc>
      </w:tr>
      <w:tr w:rsidR="00854ADA" w:rsidRPr="00FF386D" w14:paraId="366C3723" w14:textId="77777777" w:rsidTr="0057310C">
        <w:trPr>
          <w:trHeight w:val="315"/>
        </w:trPr>
        <w:tc>
          <w:tcPr>
            <w:tcW w:w="3294" w:type="dxa"/>
            <w:tcBorders>
              <w:top w:val="nil"/>
              <w:left w:val="single" w:sz="8" w:space="0" w:color="auto"/>
              <w:bottom w:val="single" w:sz="8" w:space="0" w:color="auto"/>
              <w:right w:val="nil"/>
            </w:tcBorders>
            <w:shd w:val="clear" w:color="000000" w:fill="244062"/>
            <w:vAlign w:val="center"/>
            <w:hideMark/>
          </w:tcPr>
          <w:p w14:paraId="4E2B69F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194" w:type="dxa"/>
            <w:gridSpan w:val="3"/>
            <w:tcBorders>
              <w:top w:val="single" w:sz="8" w:space="0" w:color="auto"/>
              <w:left w:val="nil"/>
              <w:bottom w:val="single" w:sz="8" w:space="0" w:color="auto"/>
              <w:right w:val="single" w:sz="8" w:space="0" w:color="000000"/>
            </w:tcBorders>
            <w:vAlign w:val="center"/>
            <w:hideMark/>
          </w:tcPr>
          <w:p w14:paraId="728D6BC4"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Број обухваћених енергетски сиромашних домаћинстава</w:t>
            </w:r>
          </w:p>
        </w:tc>
      </w:tr>
      <w:tr w:rsidR="00854ADA" w:rsidRPr="00FF386D" w14:paraId="636623E4" w14:textId="77777777" w:rsidTr="0057310C">
        <w:trPr>
          <w:trHeight w:val="415"/>
        </w:trPr>
        <w:tc>
          <w:tcPr>
            <w:tcW w:w="3294" w:type="dxa"/>
            <w:tcBorders>
              <w:top w:val="nil"/>
              <w:left w:val="single" w:sz="8" w:space="0" w:color="auto"/>
              <w:bottom w:val="single" w:sz="8" w:space="0" w:color="auto"/>
              <w:right w:val="single" w:sz="8" w:space="0" w:color="auto"/>
            </w:tcBorders>
            <w:shd w:val="clear" w:color="000000" w:fill="244062"/>
            <w:vAlign w:val="center"/>
            <w:hideMark/>
          </w:tcPr>
          <w:p w14:paraId="708C1A2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194" w:type="dxa"/>
            <w:gridSpan w:val="3"/>
            <w:tcBorders>
              <w:top w:val="single" w:sz="8" w:space="0" w:color="auto"/>
              <w:left w:val="nil"/>
              <w:bottom w:val="single" w:sz="8" w:space="0" w:color="auto"/>
              <w:right w:val="single" w:sz="8" w:space="0" w:color="000000"/>
            </w:tcBorders>
            <w:vAlign w:val="center"/>
          </w:tcPr>
          <w:p w14:paraId="49D3F4E0"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p>
        </w:tc>
      </w:tr>
      <w:tr w:rsidR="00854ADA" w:rsidRPr="00FF386D" w14:paraId="268E0D72" w14:textId="77777777" w:rsidTr="0057310C">
        <w:trPr>
          <w:trHeight w:val="450"/>
        </w:trPr>
        <w:tc>
          <w:tcPr>
            <w:tcW w:w="3294"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607BDEF5" w14:textId="7A5299C1"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194"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0B2543E2" w14:textId="77777777" w:rsidR="00854ADA" w:rsidRPr="00FF386D" w:rsidRDefault="00854ADA" w:rsidP="00854ADA">
            <w:pPr>
              <w:numPr>
                <w:ilvl w:val="0"/>
                <w:numId w:val="38"/>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2019/944/ЕУ</w:t>
            </w:r>
          </w:p>
          <w:p w14:paraId="2FA9F7A4" w14:textId="77777777" w:rsidR="00854ADA" w:rsidRPr="00FF386D" w:rsidRDefault="00854ADA" w:rsidP="00854ADA">
            <w:pPr>
              <w:numPr>
                <w:ilvl w:val="0"/>
                <w:numId w:val="38"/>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Директива 2019/692/ЕУ</w:t>
            </w:r>
          </w:p>
        </w:tc>
      </w:tr>
      <w:tr w:rsidR="00854ADA" w:rsidRPr="00FF386D" w14:paraId="5767D4B1"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32A6911A"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194" w:type="dxa"/>
            <w:gridSpan w:val="3"/>
            <w:vMerge/>
            <w:tcBorders>
              <w:top w:val="single" w:sz="8" w:space="0" w:color="auto"/>
              <w:left w:val="single" w:sz="8" w:space="0" w:color="auto"/>
              <w:bottom w:val="single" w:sz="8" w:space="0" w:color="000000"/>
              <w:right w:val="single" w:sz="8" w:space="0" w:color="000000"/>
            </w:tcBorders>
            <w:vAlign w:val="center"/>
            <w:hideMark/>
          </w:tcPr>
          <w:p w14:paraId="3B195F3F"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1EF4B318"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45577E37"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194" w:type="dxa"/>
            <w:gridSpan w:val="3"/>
            <w:vMerge/>
            <w:tcBorders>
              <w:top w:val="single" w:sz="8" w:space="0" w:color="auto"/>
              <w:left w:val="single" w:sz="8" w:space="0" w:color="auto"/>
              <w:bottom w:val="single" w:sz="8" w:space="0" w:color="000000"/>
              <w:right w:val="single" w:sz="8" w:space="0" w:color="000000"/>
            </w:tcBorders>
            <w:vAlign w:val="center"/>
            <w:hideMark/>
          </w:tcPr>
          <w:p w14:paraId="4891DDBF" w14:textId="77777777" w:rsidR="00854ADA" w:rsidRPr="00FF386D" w:rsidRDefault="00854ADA" w:rsidP="00854ADA">
            <w:pPr>
              <w:spacing w:after="0" w:line="256" w:lineRule="auto"/>
              <w:rPr>
                <w:rFonts w:ascii="Calibri Light" w:eastAsia="Times New Roman" w:hAnsi="Calibri Light" w:cs="Calibri Light"/>
                <w:color w:val="000000"/>
                <w:sz w:val="20"/>
                <w:szCs w:val="20"/>
                <w:lang w:eastAsia="en-GB"/>
              </w:rPr>
            </w:pPr>
          </w:p>
        </w:tc>
      </w:tr>
      <w:tr w:rsidR="00854ADA" w:rsidRPr="00FF386D" w14:paraId="5C490DC6" w14:textId="77777777" w:rsidTr="0057310C">
        <w:trPr>
          <w:trHeight w:val="165"/>
        </w:trPr>
        <w:tc>
          <w:tcPr>
            <w:tcW w:w="3294" w:type="dxa"/>
            <w:tcBorders>
              <w:top w:val="nil"/>
              <w:left w:val="single" w:sz="8" w:space="0" w:color="auto"/>
              <w:bottom w:val="single" w:sz="8" w:space="0" w:color="auto"/>
              <w:right w:val="single" w:sz="8" w:space="0" w:color="auto"/>
            </w:tcBorders>
            <w:shd w:val="clear" w:color="000000" w:fill="244062"/>
            <w:vAlign w:val="center"/>
            <w:hideMark/>
          </w:tcPr>
          <w:p w14:paraId="2C8756D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94" w:type="dxa"/>
            <w:gridSpan w:val="3"/>
            <w:tcBorders>
              <w:top w:val="single" w:sz="8" w:space="0" w:color="auto"/>
              <w:left w:val="nil"/>
              <w:bottom w:val="single" w:sz="8" w:space="0" w:color="auto"/>
              <w:right w:val="single" w:sz="8" w:space="0" w:color="000000"/>
            </w:tcBorders>
            <w:vAlign w:val="center"/>
          </w:tcPr>
          <w:p w14:paraId="5F1C507F"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p>
        </w:tc>
      </w:tr>
      <w:tr w:rsidR="00854ADA" w:rsidRPr="00FF386D" w14:paraId="114B80B6" w14:textId="77777777" w:rsidTr="0057310C">
        <w:trPr>
          <w:trHeight w:val="315"/>
        </w:trPr>
        <w:tc>
          <w:tcPr>
            <w:tcW w:w="3294" w:type="dxa"/>
            <w:tcBorders>
              <w:top w:val="nil"/>
              <w:left w:val="single" w:sz="8" w:space="0" w:color="auto"/>
              <w:bottom w:val="single" w:sz="8" w:space="0" w:color="auto"/>
              <w:right w:val="single" w:sz="8" w:space="0" w:color="auto"/>
            </w:tcBorders>
            <w:shd w:val="clear" w:color="000000" w:fill="244062"/>
            <w:vAlign w:val="center"/>
            <w:hideMark/>
          </w:tcPr>
          <w:p w14:paraId="79A2458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94" w:type="dxa"/>
            <w:gridSpan w:val="3"/>
            <w:tcBorders>
              <w:top w:val="single" w:sz="8" w:space="0" w:color="auto"/>
              <w:left w:val="nil"/>
              <w:bottom w:val="single" w:sz="8" w:space="0" w:color="auto"/>
              <w:right w:val="single" w:sz="8" w:space="0" w:color="000000"/>
            </w:tcBorders>
            <w:vAlign w:val="center"/>
          </w:tcPr>
          <w:p w14:paraId="61519199" w14:textId="131A7BC7" w:rsidR="00854ADA" w:rsidRPr="00FF386D" w:rsidRDefault="00714B46"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У разматрању</w:t>
            </w:r>
          </w:p>
        </w:tc>
      </w:tr>
      <w:tr w:rsidR="00854ADA" w:rsidRPr="00FF386D" w14:paraId="418242F7" w14:textId="77777777" w:rsidTr="0057310C">
        <w:trPr>
          <w:trHeight w:val="315"/>
        </w:trPr>
        <w:tc>
          <w:tcPr>
            <w:tcW w:w="3294" w:type="dxa"/>
            <w:tcBorders>
              <w:top w:val="nil"/>
              <w:left w:val="single" w:sz="8" w:space="0" w:color="auto"/>
              <w:bottom w:val="single" w:sz="8" w:space="0" w:color="auto"/>
              <w:right w:val="single" w:sz="8" w:space="0" w:color="auto"/>
            </w:tcBorders>
            <w:shd w:val="clear" w:color="000000" w:fill="244062"/>
            <w:vAlign w:val="center"/>
            <w:hideMark/>
          </w:tcPr>
          <w:p w14:paraId="18958FB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94" w:type="dxa"/>
            <w:gridSpan w:val="3"/>
            <w:tcBorders>
              <w:top w:val="single" w:sz="8" w:space="0" w:color="auto"/>
              <w:left w:val="nil"/>
              <w:bottom w:val="single" w:sz="8" w:space="0" w:color="auto"/>
              <w:right w:val="single" w:sz="8" w:space="0" w:color="000000"/>
            </w:tcBorders>
            <w:vAlign w:val="center"/>
          </w:tcPr>
          <w:p w14:paraId="3CB687BD"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p>
        </w:tc>
      </w:tr>
    </w:tbl>
    <w:p w14:paraId="3D4FC763"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91"/>
        <w:gridCol w:w="1110"/>
        <w:gridCol w:w="934"/>
        <w:gridCol w:w="4153"/>
      </w:tblGrid>
      <w:tr w:rsidR="00854ADA" w:rsidRPr="00FF386D" w14:paraId="43894B61" w14:textId="77777777" w:rsidTr="0057310C">
        <w:trPr>
          <w:trHeight w:val="780"/>
        </w:trPr>
        <w:tc>
          <w:tcPr>
            <w:tcW w:w="3291"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38A0E9A5" w14:textId="3CD38F4C"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110" w:type="dxa"/>
            <w:tcBorders>
              <w:top w:val="single" w:sz="8" w:space="0" w:color="auto"/>
              <w:left w:val="nil"/>
              <w:bottom w:val="single" w:sz="8" w:space="0" w:color="auto"/>
              <w:right w:val="single" w:sz="8" w:space="0" w:color="auto"/>
            </w:tcBorders>
            <w:shd w:val="clear" w:color="auto" w:fill="E7E6E6" w:themeFill="background2"/>
            <w:vAlign w:val="center"/>
            <w:hideMark/>
          </w:tcPr>
          <w:p w14:paraId="10304020" w14:textId="130527AF" w:rsidR="00854ADA" w:rsidRPr="000A2AFE" w:rsidRDefault="00854ADA" w:rsidP="00854ADA">
            <w:pPr>
              <w:spacing w:after="0" w:line="240" w:lineRule="auto"/>
              <w:jc w:val="both"/>
              <w:rPr>
                <w:rFonts w:ascii="Calibri Light" w:eastAsia="Times New Roman" w:hAnsi="Calibri Light" w:cs="Calibri Light"/>
                <w:b/>
                <w:bCs/>
                <w:color w:val="000000"/>
                <w:sz w:val="20"/>
                <w:szCs w:val="20"/>
                <w:lang w:val="sr-Latn-RS" w:eastAsia="en-GB"/>
              </w:rPr>
            </w:pPr>
            <w:r w:rsidRPr="000A2AFE">
              <w:rPr>
                <w:rFonts w:ascii="Calibri Light" w:eastAsia="Times New Roman" w:hAnsi="Calibri Light" w:cs="Calibri Light"/>
                <w:b/>
                <w:bCs/>
                <w:color w:val="000000"/>
                <w:sz w:val="20"/>
                <w:szCs w:val="20"/>
                <w:lang w:eastAsia="en-GB"/>
              </w:rPr>
              <w:t>МП_</w:t>
            </w:r>
            <w:r w:rsidR="00F667CB" w:rsidRPr="000A2AFE">
              <w:rPr>
                <w:rFonts w:ascii="Calibri Light" w:eastAsia="Times New Roman" w:hAnsi="Calibri Light" w:cs="Calibri Light"/>
                <w:b/>
                <w:bCs/>
                <w:color w:val="000000"/>
                <w:sz w:val="20"/>
                <w:szCs w:val="20"/>
                <w:lang w:eastAsia="en-GB"/>
              </w:rPr>
              <w:t>УЕТ3</w:t>
            </w:r>
            <w:r w:rsidR="00F667CB">
              <w:rPr>
                <w:rFonts w:ascii="Calibri Light" w:eastAsia="Times New Roman" w:hAnsi="Calibri Light" w:cs="Calibri Light"/>
                <w:b/>
                <w:bCs/>
                <w:color w:val="000000"/>
                <w:sz w:val="20"/>
                <w:szCs w:val="20"/>
                <w:lang w:val="sr-Latn-RS" w:eastAsia="en-GB"/>
              </w:rPr>
              <w:t>6</w:t>
            </w:r>
          </w:p>
        </w:tc>
        <w:tc>
          <w:tcPr>
            <w:tcW w:w="934" w:type="dxa"/>
            <w:tcBorders>
              <w:top w:val="single" w:sz="8" w:space="0" w:color="auto"/>
              <w:left w:val="nil"/>
              <w:bottom w:val="single" w:sz="8" w:space="0" w:color="auto"/>
              <w:right w:val="single" w:sz="8" w:space="0" w:color="auto"/>
            </w:tcBorders>
            <w:shd w:val="clear" w:color="auto" w:fill="244062"/>
            <w:vAlign w:val="center"/>
            <w:hideMark/>
          </w:tcPr>
          <w:p w14:paraId="2618D5A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53" w:type="dxa"/>
            <w:tcBorders>
              <w:top w:val="single" w:sz="8" w:space="0" w:color="auto"/>
              <w:left w:val="nil"/>
              <w:bottom w:val="single" w:sz="8" w:space="0" w:color="auto"/>
              <w:right w:val="single" w:sz="8" w:space="0" w:color="auto"/>
            </w:tcBorders>
            <w:shd w:val="clear" w:color="auto" w:fill="E7E6E6" w:themeFill="background2"/>
            <w:vAlign w:val="center"/>
            <w:hideMark/>
          </w:tcPr>
          <w:p w14:paraId="21C95331" w14:textId="24C394CC" w:rsidR="00854ADA" w:rsidRPr="00FF386D" w:rsidRDefault="00714B46" w:rsidP="00854ADA">
            <w:pPr>
              <w:spacing w:after="0" w:line="240" w:lineRule="auto"/>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 xml:space="preserve">Унапређење </w:t>
            </w:r>
            <w:r w:rsidR="00854ADA" w:rsidRPr="000A2AFE">
              <w:rPr>
                <w:rFonts w:ascii="Calibri Light" w:eastAsia="Times New Roman" w:hAnsi="Calibri Light" w:cs="Calibri Light"/>
                <w:b/>
                <w:bCs/>
                <w:color w:val="000000"/>
                <w:sz w:val="20"/>
                <w:szCs w:val="20"/>
                <w:lang w:eastAsia="en-GB"/>
              </w:rPr>
              <w:t>алата и методологије за прикупљање података релевантних за праћење енергетског сиромаштва</w:t>
            </w:r>
          </w:p>
        </w:tc>
      </w:tr>
      <w:tr w:rsidR="00854ADA" w:rsidRPr="00FF386D" w14:paraId="6C84A2E9" w14:textId="77777777" w:rsidTr="0057310C">
        <w:trPr>
          <w:trHeight w:val="261"/>
        </w:trPr>
        <w:tc>
          <w:tcPr>
            <w:tcW w:w="3291" w:type="dxa"/>
            <w:tcBorders>
              <w:top w:val="nil"/>
              <w:left w:val="single" w:sz="8" w:space="0" w:color="auto"/>
              <w:bottom w:val="single" w:sz="8" w:space="0" w:color="auto"/>
              <w:right w:val="nil"/>
            </w:tcBorders>
            <w:shd w:val="clear" w:color="000000" w:fill="244062"/>
            <w:vAlign w:val="center"/>
            <w:hideMark/>
          </w:tcPr>
          <w:p w14:paraId="051D9425" w14:textId="1B2D3014"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197" w:type="dxa"/>
            <w:gridSpan w:val="3"/>
            <w:tcBorders>
              <w:top w:val="single" w:sz="8" w:space="0" w:color="auto"/>
              <w:left w:val="nil"/>
              <w:bottom w:val="single" w:sz="8" w:space="0" w:color="auto"/>
              <w:right w:val="single" w:sz="8" w:space="0" w:color="000000"/>
            </w:tcBorders>
            <w:vAlign w:val="center"/>
            <w:hideMark/>
          </w:tcPr>
          <w:p w14:paraId="5AC902FE"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Ублажавање енергетског сиромаштва</w:t>
            </w:r>
          </w:p>
        </w:tc>
      </w:tr>
      <w:tr w:rsidR="00854ADA" w:rsidRPr="00FF386D" w14:paraId="0022D4AB" w14:textId="77777777" w:rsidTr="0057310C">
        <w:trPr>
          <w:trHeight w:val="315"/>
        </w:trPr>
        <w:tc>
          <w:tcPr>
            <w:tcW w:w="3291" w:type="dxa"/>
            <w:tcBorders>
              <w:top w:val="nil"/>
              <w:left w:val="single" w:sz="8" w:space="0" w:color="auto"/>
              <w:bottom w:val="single" w:sz="8" w:space="0" w:color="auto"/>
              <w:right w:val="single" w:sz="8" w:space="0" w:color="auto"/>
            </w:tcBorders>
            <w:shd w:val="clear" w:color="000000" w:fill="244062"/>
            <w:vAlign w:val="center"/>
            <w:hideMark/>
          </w:tcPr>
          <w:p w14:paraId="376AC047" w14:textId="2F9A1E19"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197" w:type="dxa"/>
            <w:gridSpan w:val="3"/>
            <w:tcBorders>
              <w:top w:val="single" w:sz="8" w:space="0" w:color="auto"/>
              <w:left w:val="nil"/>
              <w:bottom w:val="single" w:sz="8" w:space="0" w:color="auto"/>
              <w:right w:val="single" w:sz="8" w:space="0" w:color="000000"/>
            </w:tcBorders>
            <w:vAlign w:val="center"/>
          </w:tcPr>
          <w:p w14:paraId="155F328C"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Праћење енергетског сиромаштва</w:t>
            </w:r>
          </w:p>
        </w:tc>
      </w:tr>
      <w:tr w:rsidR="00854ADA" w:rsidRPr="00FF386D" w14:paraId="452559BB" w14:textId="77777777" w:rsidTr="0057310C">
        <w:trPr>
          <w:trHeight w:val="301"/>
        </w:trPr>
        <w:tc>
          <w:tcPr>
            <w:tcW w:w="3291" w:type="dxa"/>
            <w:tcBorders>
              <w:top w:val="nil"/>
              <w:left w:val="single" w:sz="8" w:space="0" w:color="auto"/>
              <w:bottom w:val="single" w:sz="8" w:space="0" w:color="auto"/>
              <w:right w:val="single" w:sz="8" w:space="0" w:color="auto"/>
            </w:tcBorders>
            <w:shd w:val="clear" w:color="000000" w:fill="244062"/>
            <w:vAlign w:val="center"/>
            <w:hideMark/>
          </w:tcPr>
          <w:p w14:paraId="5345534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197" w:type="dxa"/>
            <w:gridSpan w:val="3"/>
            <w:tcBorders>
              <w:top w:val="single" w:sz="8" w:space="0" w:color="auto"/>
              <w:left w:val="nil"/>
              <w:bottom w:val="single" w:sz="8" w:space="0" w:color="auto"/>
              <w:right w:val="single" w:sz="8" w:space="0" w:color="000000"/>
            </w:tcBorders>
            <w:vAlign w:val="center"/>
            <w:hideMark/>
          </w:tcPr>
          <w:p w14:paraId="2597A1C2" w14:textId="342B36A4"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МП_</w:t>
            </w:r>
            <w:r w:rsidR="00F667CB" w:rsidRPr="00FF386D">
              <w:rPr>
                <w:rFonts w:ascii="Calibri Light" w:hAnsi="Calibri Light"/>
                <w:sz w:val="20"/>
              </w:rPr>
              <w:t>УЕТ3</w:t>
            </w:r>
            <w:r w:rsidR="00F667CB">
              <w:rPr>
                <w:rFonts w:ascii="Calibri Light" w:hAnsi="Calibri Light"/>
                <w:sz w:val="20"/>
                <w:lang w:val="sr-Latn-RS"/>
              </w:rPr>
              <w:t>6</w:t>
            </w:r>
            <w:r w:rsidR="00F667CB" w:rsidRPr="00FF386D">
              <w:rPr>
                <w:rFonts w:ascii="Calibri Light" w:hAnsi="Calibri Light"/>
                <w:sz w:val="20"/>
              </w:rPr>
              <w:t xml:space="preserve"> </w:t>
            </w:r>
            <w:r w:rsidRPr="00FF386D">
              <w:rPr>
                <w:rFonts w:ascii="Calibri Light" w:hAnsi="Calibri Light"/>
                <w:sz w:val="20"/>
              </w:rPr>
              <w:t xml:space="preserve">предвиђа </w:t>
            </w:r>
            <w:r w:rsidR="00513428" w:rsidRPr="00FF386D">
              <w:rPr>
                <w:rFonts w:ascii="Calibri Light" w:hAnsi="Calibri Light"/>
                <w:sz w:val="20"/>
              </w:rPr>
              <w:t>детаљно навођење</w:t>
            </w:r>
            <w:r w:rsidRPr="00FF386D">
              <w:rPr>
                <w:rFonts w:ascii="Calibri Light" w:hAnsi="Calibri Light"/>
                <w:sz w:val="20"/>
              </w:rPr>
              <w:t xml:space="preserve"> неопходног поступка прикупљања података у циљу спровођења развијене процедуре праћења. Поред тога, биће развијен специјализовани алат који ће омогућити праћење енергетског сиромаштва и евалуацију спроведених политика и мера. Коначно, биће припремљени извештаји о напретку који ће пруж</w:t>
            </w:r>
            <w:r w:rsidR="00714B46" w:rsidRPr="00FF386D">
              <w:rPr>
                <w:rFonts w:ascii="Calibri Light" w:hAnsi="Calibri Light"/>
                <w:sz w:val="20"/>
              </w:rPr>
              <w:t>ити</w:t>
            </w:r>
            <w:r w:rsidRPr="00FF386D">
              <w:rPr>
                <w:rFonts w:ascii="Calibri Light" w:hAnsi="Calibri Light"/>
                <w:sz w:val="20"/>
              </w:rPr>
              <w:t xml:space="preserve"> вредан увид свим заинтересованим странама у остварени напредак у области смањења енергетског сиромаштва.</w:t>
            </w:r>
          </w:p>
        </w:tc>
      </w:tr>
      <w:tr w:rsidR="00854ADA" w:rsidRPr="00FF386D" w14:paraId="55F16801" w14:textId="77777777" w:rsidTr="0057310C">
        <w:trPr>
          <w:trHeight w:val="315"/>
        </w:trPr>
        <w:tc>
          <w:tcPr>
            <w:tcW w:w="3291" w:type="dxa"/>
            <w:tcBorders>
              <w:top w:val="nil"/>
              <w:left w:val="single" w:sz="8" w:space="0" w:color="auto"/>
              <w:bottom w:val="single" w:sz="8" w:space="0" w:color="auto"/>
              <w:right w:val="single" w:sz="8" w:space="0" w:color="auto"/>
            </w:tcBorders>
            <w:shd w:val="clear" w:color="000000" w:fill="244062"/>
            <w:vAlign w:val="center"/>
            <w:hideMark/>
          </w:tcPr>
          <w:p w14:paraId="44F034F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197" w:type="dxa"/>
            <w:gridSpan w:val="3"/>
            <w:tcBorders>
              <w:top w:val="single" w:sz="8" w:space="0" w:color="auto"/>
              <w:left w:val="nil"/>
              <w:bottom w:val="single" w:sz="8" w:space="0" w:color="auto"/>
              <w:right w:val="single" w:sz="8" w:space="0" w:color="000000"/>
            </w:tcBorders>
            <w:vAlign w:val="center"/>
            <w:hideMark/>
          </w:tcPr>
          <w:p w14:paraId="4E2E0137"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2021-2030.</w:t>
            </w:r>
          </w:p>
        </w:tc>
      </w:tr>
      <w:tr w:rsidR="00854ADA" w:rsidRPr="00FF386D" w14:paraId="14450108" w14:textId="77777777" w:rsidTr="0057310C">
        <w:trPr>
          <w:trHeight w:val="315"/>
        </w:trPr>
        <w:tc>
          <w:tcPr>
            <w:tcW w:w="3291" w:type="dxa"/>
            <w:tcBorders>
              <w:top w:val="nil"/>
              <w:left w:val="single" w:sz="8" w:space="0" w:color="auto"/>
              <w:bottom w:val="single" w:sz="8" w:space="0" w:color="auto"/>
              <w:right w:val="single" w:sz="8" w:space="0" w:color="auto"/>
            </w:tcBorders>
            <w:shd w:val="clear" w:color="000000" w:fill="244062"/>
            <w:vAlign w:val="center"/>
            <w:hideMark/>
          </w:tcPr>
          <w:p w14:paraId="292FE41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197" w:type="dxa"/>
            <w:gridSpan w:val="3"/>
            <w:tcBorders>
              <w:top w:val="single" w:sz="8" w:space="0" w:color="auto"/>
              <w:left w:val="nil"/>
              <w:bottom w:val="single" w:sz="8" w:space="0" w:color="auto"/>
              <w:right w:val="single" w:sz="8" w:space="0" w:color="000000"/>
            </w:tcBorders>
            <w:vAlign w:val="center"/>
          </w:tcPr>
          <w:p w14:paraId="2D4D9474"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Инвестиција</w:t>
            </w:r>
          </w:p>
        </w:tc>
      </w:tr>
      <w:tr w:rsidR="00854ADA" w:rsidRPr="00FF386D" w14:paraId="118FB658" w14:textId="77777777" w:rsidTr="0057310C">
        <w:trPr>
          <w:trHeight w:val="315"/>
        </w:trPr>
        <w:tc>
          <w:tcPr>
            <w:tcW w:w="3291" w:type="dxa"/>
            <w:tcBorders>
              <w:top w:val="nil"/>
              <w:left w:val="single" w:sz="8" w:space="0" w:color="auto"/>
              <w:bottom w:val="single" w:sz="8" w:space="0" w:color="auto"/>
              <w:right w:val="single" w:sz="8" w:space="0" w:color="auto"/>
            </w:tcBorders>
            <w:shd w:val="clear" w:color="000000" w:fill="244062"/>
            <w:vAlign w:val="center"/>
            <w:hideMark/>
          </w:tcPr>
          <w:p w14:paraId="3645500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197" w:type="dxa"/>
            <w:gridSpan w:val="3"/>
            <w:tcBorders>
              <w:top w:val="single" w:sz="8" w:space="0" w:color="auto"/>
              <w:left w:val="nil"/>
              <w:bottom w:val="single" w:sz="8" w:space="0" w:color="auto"/>
              <w:right w:val="single" w:sz="8" w:space="0" w:color="000000"/>
            </w:tcBorders>
            <w:vAlign w:val="center"/>
            <w:hideMark/>
          </w:tcPr>
          <w:p w14:paraId="1C1CA26B"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Стамбени</w:t>
            </w:r>
          </w:p>
        </w:tc>
      </w:tr>
      <w:tr w:rsidR="00246155" w:rsidRPr="00FF386D" w14:paraId="731579EB" w14:textId="77777777" w:rsidTr="0057310C">
        <w:trPr>
          <w:trHeight w:val="315"/>
        </w:trPr>
        <w:tc>
          <w:tcPr>
            <w:tcW w:w="3291" w:type="dxa"/>
            <w:tcBorders>
              <w:top w:val="nil"/>
              <w:left w:val="single" w:sz="8" w:space="0" w:color="auto"/>
              <w:bottom w:val="single" w:sz="8" w:space="0" w:color="auto"/>
              <w:right w:val="single" w:sz="8" w:space="0" w:color="auto"/>
            </w:tcBorders>
            <w:shd w:val="clear" w:color="000000" w:fill="244062"/>
            <w:vAlign w:val="center"/>
            <w:hideMark/>
          </w:tcPr>
          <w:p w14:paraId="51530EC8" w14:textId="77777777" w:rsidR="00246155" w:rsidRPr="00FF386D" w:rsidRDefault="00246155" w:rsidP="00246155">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197" w:type="dxa"/>
            <w:gridSpan w:val="3"/>
            <w:tcBorders>
              <w:top w:val="single" w:sz="8" w:space="0" w:color="auto"/>
              <w:left w:val="nil"/>
              <w:bottom w:val="single" w:sz="8" w:space="0" w:color="auto"/>
              <w:right w:val="single" w:sz="8" w:space="0" w:color="000000"/>
            </w:tcBorders>
            <w:vAlign w:val="center"/>
            <w:hideMark/>
          </w:tcPr>
          <w:p w14:paraId="7A6AED10" w14:textId="38546F64" w:rsidR="00246155" w:rsidRPr="00FF386D" w:rsidRDefault="00246155" w:rsidP="00246155">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Биће одређено заједно са Министарство рударства и енергетике</w:t>
            </w:r>
          </w:p>
        </w:tc>
      </w:tr>
      <w:tr w:rsidR="00246155" w:rsidRPr="00FF386D" w14:paraId="4F23D2A7" w14:textId="77777777" w:rsidTr="0057310C">
        <w:trPr>
          <w:trHeight w:val="315"/>
        </w:trPr>
        <w:tc>
          <w:tcPr>
            <w:tcW w:w="3291" w:type="dxa"/>
            <w:tcBorders>
              <w:top w:val="nil"/>
              <w:left w:val="single" w:sz="8" w:space="0" w:color="auto"/>
              <w:bottom w:val="single" w:sz="8" w:space="0" w:color="auto"/>
              <w:right w:val="nil"/>
            </w:tcBorders>
            <w:shd w:val="clear" w:color="000000" w:fill="244062"/>
            <w:vAlign w:val="center"/>
            <w:hideMark/>
          </w:tcPr>
          <w:p w14:paraId="19F316FF" w14:textId="77777777" w:rsidR="00246155" w:rsidRPr="00FF386D" w:rsidRDefault="00246155" w:rsidP="00246155">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197" w:type="dxa"/>
            <w:gridSpan w:val="3"/>
            <w:tcBorders>
              <w:top w:val="single" w:sz="8" w:space="0" w:color="auto"/>
              <w:left w:val="nil"/>
              <w:bottom w:val="single" w:sz="8" w:space="0" w:color="auto"/>
              <w:right w:val="single" w:sz="8" w:space="0" w:color="000000"/>
            </w:tcBorders>
            <w:vAlign w:val="center"/>
            <w:hideMark/>
          </w:tcPr>
          <w:p w14:paraId="1DC5FA66" w14:textId="77777777" w:rsidR="00246155" w:rsidRPr="00FF386D" w:rsidRDefault="00246155" w:rsidP="00565B02">
            <w:pPr>
              <w:spacing w:after="0" w:line="240" w:lineRule="auto"/>
              <w:rPr>
                <w:rFonts w:ascii="Calibri Light" w:eastAsia="Times New Roman" w:hAnsi="Calibri Light" w:cs="Calibri Light"/>
                <w:color w:val="000000"/>
                <w:sz w:val="20"/>
                <w:szCs w:val="20"/>
                <w:lang w:eastAsia="en-GB"/>
              </w:rPr>
            </w:pPr>
          </w:p>
        </w:tc>
      </w:tr>
      <w:tr w:rsidR="00246155" w:rsidRPr="00FF386D" w14:paraId="2AB7BF69" w14:textId="77777777" w:rsidTr="0057310C">
        <w:trPr>
          <w:trHeight w:val="315"/>
        </w:trPr>
        <w:tc>
          <w:tcPr>
            <w:tcW w:w="3291" w:type="dxa"/>
            <w:tcBorders>
              <w:top w:val="nil"/>
              <w:left w:val="single" w:sz="8" w:space="0" w:color="auto"/>
              <w:bottom w:val="single" w:sz="8" w:space="0" w:color="auto"/>
              <w:right w:val="nil"/>
            </w:tcBorders>
            <w:shd w:val="clear" w:color="000000" w:fill="244062"/>
            <w:vAlign w:val="center"/>
            <w:hideMark/>
          </w:tcPr>
          <w:p w14:paraId="2C5521F7" w14:textId="77777777" w:rsidR="00246155" w:rsidRPr="00FF386D" w:rsidRDefault="00246155" w:rsidP="00246155">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197" w:type="dxa"/>
            <w:gridSpan w:val="3"/>
            <w:tcBorders>
              <w:top w:val="single" w:sz="8" w:space="0" w:color="auto"/>
              <w:left w:val="nil"/>
              <w:bottom w:val="single" w:sz="8" w:space="0" w:color="auto"/>
              <w:right w:val="single" w:sz="8" w:space="0" w:color="000000"/>
            </w:tcBorders>
            <w:vAlign w:val="center"/>
            <w:hideMark/>
          </w:tcPr>
          <w:p w14:paraId="5904DDA4" w14:textId="77777777" w:rsidR="00246155" w:rsidRPr="00FF386D" w:rsidRDefault="00246155" w:rsidP="00246155">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Развијени алат и методологија за праћење</w:t>
            </w:r>
          </w:p>
        </w:tc>
      </w:tr>
      <w:tr w:rsidR="00246155" w:rsidRPr="00FF386D" w14:paraId="1C3DFC06" w14:textId="77777777" w:rsidTr="0057310C">
        <w:trPr>
          <w:trHeight w:val="405"/>
        </w:trPr>
        <w:tc>
          <w:tcPr>
            <w:tcW w:w="3291" w:type="dxa"/>
            <w:tcBorders>
              <w:top w:val="nil"/>
              <w:left w:val="single" w:sz="8" w:space="0" w:color="auto"/>
              <w:bottom w:val="single" w:sz="8" w:space="0" w:color="auto"/>
              <w:right w:val="single" w:sz="8" w:space="0" w:color="auto"/>
            </w:tcBorders>
            <w:shd w:val="clear" w:color="000000" w:fill="244062"/>
            <w:vAlign w:val="center"/>
            <w:hideMark/>
          </w:tcPr>
          <w:p w14:paraId="6636E906" w14:textId="77777777" w:rsidR="00246155" w:rsidRPr="00FF386D" w:rsidRDefault="00246155" w:rsidP="00246155">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197" w:type="dxa"/>
            <w:gridSpan w:val="3"/>
            <w:tcBorders>
              <w:top w:val="single" w:sz="8" w:space="0" w:color="auto"/>
              <w:left w:val="nil"/>
              <w:bottom w:val="single" w:sz="8" w:space="0" w:color="auto"/>
              <w:right w:val="single" w:sz="8" w:space="0" w:color="000000"/>
            </w:tcBorders>
            <w:vAlign w:val="center"/>
          </w:tcPr>
          <w:p w14:paraId="639668C3" w14:textId="77777777" w:rsidR="00246155" w:rsidRPr="00FF386D" w:rsidRDefault="00246155" w:rsidP="00246155">
            <w:pPr>
              <w:spacing w:after="0" w:line="240" w:lineRule="auto"/>
              <w:rPr>
                <w:rFonts w:ascii="Calibri Light" w:eastAsia="Times New Roman" w:hAnsi="Calibri Light" w:cs="Calibri Light"/>
                <w:color w:val="000000"/>
                <w:sz w:val="20"/>
                <w:szCs w:val="20"/>
                <w:lang w:eastAsia="en-GB"/>
              </w:rPr>
            </w:pPr>
          </w:p>
        </w:tc>
      </w:tr>
      <w:tr w:rsidR="00246155" w:rsidRPr="00FF386D" w14:paraId="574BDB3B" w14:textId="77777777" w:rsidTr="0057310C">
        <w:trPr>
          <w:trHeight w:val="450"/>
        </w:trPr>
        <w:tc>
          <w:tcPr>
            <w:tcW w:w="3291"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10FA3D56" w14:textId="60EB3DFF" w:rsidR="00246155" w:rsidRPr="00FF386D" w:rsidRDefault="00246155" w:rsidP="00246155">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Политике Уније која су резултирале имплементацијом политике и мере</w:t>
            </w:r>
          </w:p>
        </w:tc>
        <w:tc>
          <w:tcPr>
            <w:tcW w:w="6197"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6B0FC6D5" w14:textId="77777777" w:rsidR="00246155" w:rsidRPr="00FF386D" w:rsidRDefault="00246155" w:rsidP="00246155">
            <w:pPr>
              <w:numPr>
                <w:ilvl w:val="0"/>
                <w:numId w:val="38"/>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2019/944/ЕУ</w:t>
            </w:r>
          </w:p>
        </w:tc>
      </w:tr>
      <w:tr w:rsidR="00246155" w:rsidRPr="00FF386D" w14:paraId="554931DC"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14263809" w14:textId="77777777" w:rsidR="00246155" w:rsidRPr="00FF386D" w:rsidRDefault="00246155" w:rsidP="00246155">
            <w:pPr>
              <w:spacing w:after="0" w:line="256" w:lineRule="auto"/>
              <w:rPr>
                <w:rFonts w:ascii="Calibri Light" w:eastAsia="Times New Roman" w:hAnsi="Calibri Light" w:cs="Calibri Light"/>
                <w:b/>
                <w:bCs/>
                <w:color w:val="FFFFFF"/>
                <w:sz w:val="20"/>
                <w:szCs w:val="20"/>
                <w:lang w:eastAsia="en-GB"/>
              </w:rPr>
            </w:pPr>
          </w:p>
        </w:tc>
        <w:tc>
          <w:tcPr>
            <w:tcW w:w="6197" w:type="dxa"/>
            <w:gridSpan w:val="3"/>
            <w:vMerge/>
            <w:tcBorders>
              <w:top w:val="single" w:sz="8" w:space="0" w:color="auto"/>
              <w:left w:val="single" w:sz="8" w:space="0" w:color="auto"/>
              <w:bottom w:val="single" w:sz="8" w:space="0" w:color="000000"/>
              <w:right w:val="single" w:sz="8" w:space="0" w:color="000000"/>
            </w:tcBorders>
            <w:vAlign w:val="center"/>
            <w:hideMark/>
          </w:tcPr>
          <w:p w14:paraId="19405D54" w14:textId="77777777" w:rsidR="00246155" w:rsidRPr="00FF386D" w:rsidRDefault="00246155" w:rsidP="00246155">
            <w:pPr>
              <w:spacing w:after="0" w:line="256" w:lineRule="auto"/>
              <w:rPr>
                <w:rFonts w:ascii="Calibri Light" w:eastAsia="Times New Roman" w:hAnsi="Calibri Light" w:cs="Calibri Light"/>
                <w:color w:val="000000"/>
                <w:sz w:val="20"/>
                <w:szCs w:val="20"/>
                <w:lang w:eastAsia="en-GB"/>
              </w:rPr>
            </w:pPr>
          </w:p>
        </w:tc>
      </w:tr>
      <w:tr w:rsidR="00246155" w:rsidRPr="00FF386D" w14:paraId="759C1E2C"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740AB6A9" w14:textId="77777777" w:rsidR="00246155" w:rsidRPr="00FF386D" w:rsidRDefault="00246155" w:rsidP="00246155">
            <w:pPr>
              <w:spacing w:after="0" w:line="256" w:lineRule="auto"/>
              <w:rPr>
                <w:rFonts w:ascii="Calibri Light" w:eastAsia="Times New Roman" w:hAnsi="Calibri Light" w:cs="Calibri Light"/>
                <w:b/>
                <w:bCs/>
                <w:color w:val="FFFFFF"/>
                <w:sz w:val="20"/>
                <w:szCs w:val="20"/>
                <w:lang w:eastAsia="en-GB"/>
              </w:rPr>
            </w:pPr>
          </w:p>
        </w:tc>
        <w:tc>
          <w:tcPr>
            <w:tcW w:w="6197" w:type="dxa"/>
            <w:gridSpan w:val="3"/>
            <w:vMerge/>
            <w:tcBorders>
              <w:top w:val="single" w:sz="8" w:space="0" w:color="auto"/>
              <w:left w:val="single" w:sz="8" w:space="0" w:color="auto"/>
              <w:bottom w:val="single" w:sz="8" w:space="0" w:color="000000"/>
              <w:right w:val="single" w:sz="8" w:space="0" w:color="000000"/>
            </w:tcBorders>
            <w:vAlign w:val="center"/>
            <w:hideMark/>
          </w:tcPr>
          <w:p w14:paraId="5A0E6741" w14:textId="77777777" w:rsidR="00246155" w:rsidRPr="00FF386D" w:rsidRDefault="00246155" w:rsidP="00246155">
            <w:pPr>
              <w:spacing w:after="0" w:line="256" w:lineRule="auto"/>
              <w:rPr>
                <w:rFonts w:ascii="Calibri Light" w:eastAsia="Times New Roman" w:hAnsi="Calibri Light" w:cs="Calibri Light"/>
                <w:color w:val="000000"/>
                <w:sz w:val="20"/>
                <w:szCs w:val="20"/>
                <w:lang w:eastAsia="en-GB"/>
              </w:rPr>
            </w:pPr>
          </w:p>
        </w:tc>
      </w:tr>
      <w:tr w:rsidR="00246155" w:rsidRPr="00FF386D" w14:paraId="3E0BD2E4" w14:textId="77777777" w:rsidTr="0057310C">
        <w:trPr>
          <w:trHeight w:val="271"/>
        </w:trPr>
        <w:tc>
          <w:tcPr>
            <w:tcW w:w="3291" w:type="dxa"/>
            <w:tcBorders>
              <w:top w:val="nil"/>
              <w:left w:val="single" w:sz="8" w:space="0" w:color="auto"/>
              <w:bottom w:val="single" w:sz="8" w:space="0" w:color="auto"/>
              <w:right w:val="single" w:sz="8" w:space="0" w:color="auto"/>
            </w:tcBorders>
            <w:shd w:val="clear" w:color="000000" w:fill="244062"/>
            <w:vAlign w:val="center"/>
            <w:hideMark/>
          </w:tcPr>
          <w:p w14:paraId="013E7DF7" w14:textId="77777777" w:rsidR="00246155" w:rsidRPr="00FF386D" w:rsidRDefault="00246155" w:rsidP="00246155">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97" w:type="dxa"/>
            <w:gridSpan w:val="3"/>
            <w:tcBorders>
              <w:top w:val="single" w:sz="8" w:space="0" w:color="auto"/>
              <w:left w:val="nil"/>
              <w:bottom w:val="single" w:sz="8" w:space="0" w:color="auto"/>
              <w:right w:val="single" w:sz="8" w:space="0" w:color="000000"/>
            </w:tcBorders>
            <w:vAlign w:val="center"/>
          </w:tcPr>
          <w:p w14:paraId="5573297F" w14:textId="77777777" w:rsidR="00246155" w:rsidRPr="00FF386D" w:rsidRDefault="00246155" w:rsidP="00246155">
            <w:pPr>
              <w:spacing w:after="0" w:line="240" w:lineRule="auto"/>
              <w:rPr>
                <w:rFonts w:ascii="Calibri Light" w:eastAsia="Times New Roman" w:hAnsi="Calibri Light" w:cs="Calibri Light"/>
                <w:color w:val="000000"/>
                <w:sz w:val="20"/>
                <w:szCs w:val="20"/>
                <w:lang w:eastAsia="en-GB"/>
              </w:rPr>
            </w:pPr>
          </w:p>
        </w:tc>
      </w:tr>
      <w:tr w:rsidR="00246155" w:rsidRPr="00FF386D" w14:paraId="6C6487FE" w14:textId="77777777" w:rsidTr="0057310C">
        <w:trPr>
          <w:trHeight w:val="315"/>
        </w:trPr>
        <w:tc>
          <w:tcPr>
            <w:tcW w:w="3291" w:type="dxa"/>
            <w:tcBorders>
              <w:top w:val="nil"/>
              <w:left w:val="single" w:sz="8" w:space="0" w:color="auto"/>
              <w:bottom w:val="single" w:sz="8" w:space="0" w:color="auto"/>
              <w:right w:val="single" w:sz="8" w:space="0" w:color="auto"/>
            </w:tcBorders>
            <w:shd w:val="clear" w:color="000000" w:fill="244062"/>
            <w:vAlign w:val="center"/>
            <w:hideMark/>
          </w:tcPr>
          <w:p w14:paraId="66A64D64" w14:textId="77777777" w:rsidR="00246155" w:rsidRPr="00FF386D" w:rsidRDefault="00246155" w:rsidP="00246155">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97" w:type="dxa"/>
            <w:gridSpan w:val="3"/>
            <w:tcBorders>
              <w:top w:val="single" w:sz="8" w:space="0" w:color="auto"/>
              <w:left w:val="nil"/>
              <w:bottom w:val="single" w:sz="8" w:space="0" w:color="auto"/>
              <w:right w:val="single" w:sz="8" w:space="0" w:color="000000"/>
            </w:tcBorders>
            <w:vAlign w:val="center"/>
          </w:tcPr>
          <w:p w14:paraId="14F3E9FF" w14:textId="77777777" w:rsidR="00246155" w:rsidRPr="00FF386D" w:rsidRDefault="00246155" w:rsidP="00246155">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1,5 милиона евра</w:t>
            </w:r>
          </w:p>
        </w:tc>
      </w:tr>
      <w:tr w:rsidR="00246155" w:rsidRPr="00FF386D" w14:paraId="1B8ACBC7" w14:textId="77777777" w:rsidTr="0057310C">
        <w:trPr>
          <w:trHeight w:val="315"/>
        </w:trPr>
        <w:tc>
          <w:tcPr>
            <w:tcW w:w="3291" w:type="dxa"/>
            <w:tcBorders>
              <w:top w:val="nil"/>
              <w:left w:val="single" w:sz="8" w:space="0" w:color="auto"/>
              <w:bottom w:val="single" w:sz="8" w:space="0" w:color="auto"/>
              <w:right w:val="single" w:sz="8" w:space="0" w:color="auto"/>
            </w:tcBorders>
            <w:shd w:val="clear" w:color="000000" w:fill="244062"/>
            <w:vAlign w:val="center"/>
            <w:hideMark/>
          </w:tcPr>
          <w:p w14:paraId="67C2097E" w14:textId="77777777" w:rsidR="00246155" w:rsidRPr="00FF386D" w:rsidRDefault="00246155" w:rsidP="00246155">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97" w:type="dxa"/>
            <w:gridSpan w:val="3"/>
            <w:tcBorders>
              <w:top w:val="single" w:sz="8" w:space="0" w:color="auto"/>
              <w:left w:val="nil"/>
              <w:bottom w:val="single" w:sz="8" w:space="0" w:color="auto"/>
              <w:right w:val="single" w:sz="8" w:space="0" w:color="000000"/>
            </w:tcBorders>
            <w:vAlign w:val="center"/>
            <w:hideMark/>
          </w:tcPr>
          <w:p w14:paraId="19F3081C" w14:textId="00E25AD9" w:rsidR="00246155" w:rsidRPr="00FF386D" w:rsidRDefault="00246155" w:rsidP="00246155">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 xml:space="preserve">Фондови ЕУ и други фондови, буџетска средства </w:t>
            </w:r>
          </w:p>
        </w:tc>
      </w:tr>
    </w:tbl>
    <w:p w14:paraId="36B84E36" w14:textId="77777777" w:rsidR="00854ADA" w:rsidRPr="00FF386D" w:rsidRDefault="00854ADA" w:rsidP="00854ADA">
      <w:pPr>
        <w:spacing w:before="120" w:after="120" w:line="240" w:lineRule="auto"/>
        <w:jc w:val="both"/>
        <w:rPr>
          <w:rFonts w:ascii="Calibri" w:eastAsia="Times New Roman" w:hAnsi="Calibri" w:cs="Arial"/>
          <w:lang w:eastAsia="el-GR"/>
        </w:rPr>
      </w:pPr>
    </w:p>
    <w:tbl>
      <w:tblPr>
        <w:tblW w:w="9488" w:type="dxa"/>
        <w:tblLook w:val="04A0" w:firstRow="1" w:lastRow="0" w:firstColumn="1" w:lastColumn="0" w:noHBand="0" w:noVBand="1"/>
      </w:tblPr>
      <w:tblGrid>
        <w:gridCol w:w="3293"/>
        <w:gridCol w:w="1110"/>
        <w:gridCol w:w="936"/>
        <w:gridCol w:w="4149"/>
      </w:tblGrid>
      <w:tr w:rsidR="00854ADA" w:rsidRPr="00FF386D" w14:paraId="3DAF3998" w14:textId="77777777" w:rsidTr="0057310C">
        <w:trPr>
          <w:trHeight w:val="780"/>
        </w:trPr>
        <w:tc>
          <w:tcPr>
            <w:tcW w:w="3293"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579D3AF1" w14:textId="46816CB7"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110" w:type="dxa"/>
            <w:tcBorders>
              <w:top w:val="single" w:sz="8" w:space="0" w:color="auto"/>
              <w:left w:val="nil"/>
              <w:bottom w:val="single" w:sz="8" w:space="0" w:color="auto"/>
              <w:right w:val="single" w:sz="8" w:space="0" w:color="auto"/>
            </w:tcBorders>
            <w:shd w:val="clear" w:color="auto" w:fill="E7E6E6" w:themeFill="background2"/>
            <w:vAlign w:val="center"/>
            <w:hideMark/>
          </w:tcPr>
          <w:p w14:paraId="45EB1AC6" w14:textId="588A16BA" w:rsidR="00854ADA" w:rsidRPr="000A2AFE" w:rsidRDefault="00854ADA" w:rsidP="00854ADA">
            <w:pPr>
              <w:spacing w:after="0" w:line="240" w:lineRule="auto"/>
              <w:jc w:val="both"/>
              <w:rPr>
                <w:rFonts w:ascii="Calibri Light" w:eastAsia="Times New Roman" w:hAnsi="Calibri Light" w:cs="Calibri Light"/>
                <w:b/>
                <w:bCs/>
                <w:color w:val="000000"/>
                <w:sz w:val="20"/>
                <w:szCs w:val="20"/>
                <w:lang w:val="sr-Latn-RS" w:eastAsia="en-GB"/>
              </w:rPr>
            </w:pPr>
            <w:r w:rsidRPr="000A2AFE">
              <w:rPr>
                <w:rFonts w:ascii="Calibri Light" w:eastAsia="Times New Roman" w:hAnsi="Calibri Light" w:cs="Calibri Light"/>
                <w:b/>
                <w:bCs/>
                <w:color w:val="000000"/>
                <w:sz w:val="20"/>
                <w:szCs w:val="20"/>
                <w:lang w:eastAsia="en-GB"/>
              </w:rPr>
              <w:t>МП_</w:t>
            </w:r>
            <w:r w:rsidR="00F667CB" w:rsidRPr="000A2AFE">
              <w:rPr>
                <w:rFonts w:ascii="Calibri Light" w:eastAsia="Times New Roman" w:hAnsi="Calibri Light" w:cs="Calibri Light"/>
                <w:b/>
                <w:bCs/>
                <w:color w:val="000000"/>
                <w:sz w:val="20"/>
                <w:szCs w:val="20"/>
                <w:lang w:eastAsia="en-GB"/>
              </w:rPr>
              <w:t>УЕТ3</w:t>
            </w:r>
            <w:r w:rsidR="00F667CB">
              <w:rPr>
                <w:rFonts w:ascii="Calibri Light" w:eastAsia="Times New Roman" w:hAnsi="Calibri Light" w:cs="Calibri Light"/>
                <w:b/>
                <w:bCs/>
                <w:color w:val="000000"/>
                <w:sz w:val="20"/>
                <w:szCs w:val="20"/>
                <w:lang w:val="sr-Latn-RS" w:eastAsia="en-GB"/>
              </w:rPr>
              <w:t>7</w:t>
            </w:r>
          </w:p>
        </w:tc>
        <w:tc>
          <w:tcPr>
            <w:tcW w:w="936" w:type="dxa"/>
            <w:tcBorders>
              <w:top w:val="single" w:sz="8" w:space="0" w:color="auto"/>
              <w:left w:val="nil"/>
              <w:bottom w:val="single" w:sz="8" w:space="0" w:color="auto"/>
              <w:right w:val="single" w:sz="8" w:space="0" w:color="auto"/>
            </w:tcBorders>
            <w:shd w:val="clear" w:color="auto" w:fill="244062"/>
            <w:vAlign w:val="center"/>
            <w:hideMark/>
          </w:tcPr>
          <w:p w14:paraId="676EF4F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49" w:type="dxa"/>
            <w:tcBorders>
              <w:top w:val="single" w:sz="8" w:space="0" w:color="auto"/>
              <w:left w:val="nil"/>
              <w:bottom w:val="single" w:sz="8" w:space="0" w:color="auto"/>
              <w:right w:val="single" w:sz="8" w:space="0" w:color="auto"/>
            </w:tcBorders>
            <w:shd w:val="clear" w:color="auto" w:fill="E7E6E6" w:themeFill="background2"/>
            <w:vAlign w:val="center"/>
            <w:hideMark/>
          </w:tcPr>
          <w:p w14:paraId="26B9B706" w14:textId="6550CCFB"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Мере подизања свести и информисања у циљу ублажавања енергетског сиромаштва</w:t>
            </w:r>
          </w:p>
        </w:tc>
      </w:tr>
      <w:tr w:rsidR="00854ADA" w:rsidRPr="00FF386D" w14:paraId="132A56D9" w14:textId="77777777" w:rsidTr="0057310C">
        <w:trPr>
          <w:trHeight w:val="289"/>
        </w:trPr>
        <w:tc>
          <w:tcPr>
            <w:tcW w:w="3293" w:type="dxa"/>
            <w:tcBorders>
              <w:top w:val="nil"/>
              <w:left w:val="single" w:sz="8" w:space="0" w:color="auto"/>
              <w:bottom w:val="single" w:sz="8" w:space="0" w:color="auto"/>
              <w:right w:val="nil"/>
            </w:tcBorders>
            <w:shd w:val="clear" w:color="000000" w:fill="244062"/>
            <w:vAlign w:val="center"/>
            <w:hideMark/>
          </w:tcPr>
          <w:p w14:paraId="064162F3" w14:textId="6E3474D4"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195" w:type="dxa"/>
            <w:gridSpan w:val="3"/>
            <w:tcBorders>
              <w:top w:val="single" w:sz="8" w:space="0" w:color="auto"/>
              <w:left w:val="nil"/>
              <w:bottom w:val="single" w:sz="8" w:space="0" w:color="auto"/>
              <w:right w:val="single" w:sz="8" w:space="0" w:color="000000"/>
            </w:tcBorders>
            <w:vAlign w:val="center"/>
            <w:hideMark/>
          </w:tcPr>
          <w:p w14:paraId="157DB8E1"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Ублажавање енергетског сиромаштва</w:t>
            </w:r>
          </w:p>
        </w:tc>
      </w:tr>
      <w:tr w:rsidR="00854ADA" w:rsidRPr="00FF386D" w14:paraId="14F298CD" w14:textId="77777777" w:rsidTr="0057310C">
        <w:trPr>
          <w:trHeight w:val="315"/>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5A5284C5" w14:textId="6D72ECBD"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195" w:type="dxa"/>
            <w:gridSpan w:val="3"/>
            <w:tcBorders>
              <w:top w:val="single" w:sz="8" w:space="0" w:color="auto"/>
              <w:left w:val="nil"/>
              <w:bottom w:val="single" w:sz="8" w:space="0" w:color="auto"/>
              <w:right w:val="single" w:sz="8" w:space="0" w:color="000000"/>
            </w:tcBorders>
            <w:vAlign w:val="center"/>
          </w:tcPr>
          <w:p w14:paraId="2ABC4D6A" w14:textId="77777777" w:rsidR="00854ADA" w:rsidRPr="00FF386D" w:rsidRDefault="00854ADA" w:rsidP="00854ADA">
            <w:pPr>
              <w:spacing w:after="0" w:line="240" w:lineRule="auto"/>
              <w:rPr>
                <w:rFonts w:ascii="Calibri" w:eastAsia="Times New Roman" w:hAnsi="Calibri" w:cs="Calibri"/>
                <w:color w:val="000000"/>
                <w:lang w:eastAsia="en-GB"/>
              </w:rPr>
            </w:pPr>
            <w:r w:rsidRPr="00FF386D">
              <w:rPr>
                <w:rFonts w:asciiTheme="majorHAnsi" w:eastAsia="Times New Roman" w:hAnsiTheme="majorHAnsi" w:cstheme="majorHAnsi"/>
                <w:color w:val="000000"/>
                <w:sz w:val="20"/>
                <w:szCs w:val="20"/>
                <w:lang w:eastAsia="en-GB"/>
              </w:rPr>
              <w:t>Смањење енергетског сиромаштва</w:t>
            </w:r>
          </w:p>
        </w:tc>
      </w:tr>
      <w:tr w:rsidR="00854ADA" w:rsidRPr="00FF386D" w14:paraId="185FF116" w14:textId="77777777" w:rsidTr="0057310C">
        <w:trPr>
          <w:trHeight w:val="726"/>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39DCBA4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195" w:type="dxa"/>
            <w:gridSpan w:val="3"/>
            <w:tcBorders>
              <w:top w:val="single" w:sz="8" w:space="0" w:color="auto"/>
              <w:left w:val="nil"/>
              <w:bottom w:val="single" w:sz="8" w:space="0" w:color="auto"/>
              <w:right w:val="single" w:sz="8" w:space="0" w:color="000000"/>
            </w:tcBorders>
            <w:vAlign w:val="center"/>
            <w:hideMark/>
          </w:tcPr>
          <w:p w14:paraId="63E30C69" w14:textId="694050EE"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FF386D">
              <w:rPr>
                <w:rFonts w:ascii="Calibri Light" w:hAnsi="Calibri Light"/>
                <w:sz w:val="20"/>
              </w:rPr>
              <w:t>МП_</w:t>
            </w:r>
            <w:r w:rsidR="00F667CB" w:rsidRPr="00FF386D">
              <w:rPr>
                <w:rFonts w:ascii="Calibri Light" w:hAnsi="Calibri Light"/>
                <w:sz w:val="20"/>
              </w:rPr>
              <w:t>УЕТ3</w:t>
            </w:r>
            <w:r w:rsidR="00F667CB">
              <w:rPr>
                <w:rFonts w:ascii="Calibri Light" w:hAnsi="Calibri Light"/>
                <w:sz w:val="20"/>
                <w:lang w:val="sr-Latn-RS"/>
              </w:rPr>
              <w:t>7</w:t>
            </w:r>
            <w:r w:rsidR="00F667CB" w:rsidRPr="00FF386D">
              <w:rPr>
                <w:rFonts w:ascii="Calibri Light" w:hAnsi="Calibri Light"/>
                <w:sz w:val="20"/>
              </w:rPr>
              <w:t xml:space="preserve"> </w:t>
            </w:r>
            <w:r w:rsidRPr="00FF386D">
              <w:rPr>
                <w:rFonts w:ascii="Calibri Light" w:hAnsi="Calibri Light"/>
                <w:sz w:val="20"/>
              </w:rPr>
              <w:t xml:space="preserve">ће подстицати спровођење програма информисања, подизања свести, </w:t>
            </w:r>
            <w:r w:rsidR="004222DC" w:rsidRPr="00FF386D">
              <w:rPr>
                <w:rFonts w:ascii="Calibri Light" w:hAnsi="Calibri Light"/>
                <w:sz w:val="20"/>
              </w:rPr>
              <w:t>саветовања</w:t>
            </w:r>
            <w:r w:rsidRPr="00FF386D">
              <w:rPr>
                <w:rFonts w:ascii="Calibri Light" w:hAnsi="Calibri Light"/>
                <w:sz w:val="20"/>
              </w:rPr>
              <w:t xml:space="preserve"> или обуке како би се омогућила примена планираних политика и мера и допринело ефикасном ублажавању енергетског сиромаштва. Осмишљене мере се неће фокусирати само на енергетски сиромашна домаћинства него ће омогућити учешће свих заинтересованих страна. Спровођење поједностављених енергетских прегледа ће представљати главни инструмент </w:t>
            </w:r>
            <w:r w:rsidR="004222DC" w:rsidRPr="00FF386D">
              <w:rPr>
                <w:rFonts w:ascii="Calibri Light" w:hAnsi="Calibri Light"/>
                <w:sz w:val="20"/>
              </w:rPr>
              <w:t>информисања</w:t>
            </w:r>
            <w:r w:rsidRPr="00FF386D">
              <w:rPr>
                <w:rFonts w:ascii="Calibri Light" w:hAnsi="Calibri Light"/>
                <w:sz w:val="20"/>
              </w:rPr>
              <w:t xml:space="preserve"> што ће довести до давања специјализованих енергетских савета, док се најефикасније приступачне интервенције могу финансирати циљаним финансијским инструментом. Увођење напредних мерних уређаја ће омогућити пружање смерница и циљаних енергетских савета енергетски сиромашним домаћинствима. На крају, нагласак ће бити на обуци енергетских стручњака у неколико области, као што су идентификација енергетски сиромашних домаћинстава, избегавање појава попут стигматизације, родна равноправност итд.</w:t>
            </w:r>
          </w:p>
        </w:tc>
      </w:tr>
      <w:tr w:rsidR="00854ADA" w:rsidRPr="00FF386D" w14:paraId="603A1316" w14:textId="77777777" w:rsidTr="0057310C">
        <w:trPr>
          <w:trHeight w:val="315"/>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33B0A3C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195" w:type="dxa"/>
            <w:gridSpan w:val="3"/>
            <w:tcBorders>
              <w:top w:val="single" w:sz="8" w:space="0" w:color="auto"/>
              <w:left w:val="nil"/>
              <w:bottom w:val="single" w:sz="8" w:space="0" w:color="auto"/>
              <w:right w:val="single" w:sz="8" w:space="0" w:color="000000"/>
            </w:tcBorders>
            <w:vAlign w:val="center"/>
            <w:hideMark/>
          </w:tcPr>
          <w:p w14:paraId="1A87A10C"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2021-2030.</w:t>
            </w:r>
          </w:p>
        </w:tc>
      </w:tr>
      <w:tr w:rsidR="00854ADA" w:rsidRPr="00FF386D" w14:paraId="44C16800" w14:textId="77777777" w:rsidTr="0057310C">
        <w:trPr>
          <w:trHeight w:val="315"/>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2EFB290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195" w:type="dxa"/>
            <w:gridSpan w:val="3"/>
            <w:tcBorders>
              <w:top w:val="single" w:sz="8" w:space="0" w:color="auto"/>
              <w:left w:val="nil"/>
              <w:bottom w:val="single" w:sz="8" w:space="0" w:color="auto"/>
              <w:right w:val="single" w:sz="8" w:space="0" w:color="000000"/>
            </w:tcBorders>
            <w:vAlign w:val="center"/>
            <w:hideMark/>
          </w:tcPr>
          <w:p w14:paraId="7460E86C"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Реформа</w:t>
            </w:r>
          </w:p>
        </w:tc>
      </w:tr>
      <w:tr w:rsidR="00854ADA" w:rsidRPr="00FF386D" w14:paraId="4B71F0E8" w14:textId="77777777" w:rsidTr="0057310C">
        <w:trPr>
          <w:trHeight w:val="315"/>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4ABFB01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195" w:type="dxa"/>
            <w:gridSpan w:val="3"/>
            <w:tcBorders>
              <w:top w:val="single" w:sz="8" w:space="0" w:color="auto"/>
              <w:left w:val="nil"/>
              <w:bottom w:val="single" w:sz="8" w:space="0" w:color="auto"/>
              <w:right w:val="single" w:sz="8" w:space="0" w:color="000000"/>
            </w:tcBorders>
            <w:vAlign w:val="center"/>
            <w:hideMark/>
          </w:tcPr>
          <w:p w14:paraId="36D2AE35"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Стамбени</w:t>
            </w:r>
          </w:p>
        </w:tc>
      </w:tr>
      <w:tr w:rsidR="00246155" w:rsidRPr="00FF386D" w14:paraId="1EA65559" w14:textId="77777777" w:rsidTr="0057310C">
        <w:trPr>
          <w:trHeight w:val="315"/>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6D33E353" w14:textId="77777777" w:rsidR="00246155" w:rsidRPr="00FF386D" w:rsidRDefault="00246155" w:rsidP="00246155">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195" w:type="dxa"/>
            <w:gridSpan w:val="3"/>
            <w:tcBorders>
              <w:top w:val="single" w:sz="8" w:space="0" w:color="auto"/>
              <w:left w:val="nil"/>
              <w:bottom w:val="single" w:sz="8" w:space="0" w:color="auto"/>
              <w:right w:val="single" w:sz="8" w:space="0" w:color="000000"/>
            </w:tcBorders>
            <w:vAlign w:val="center"/>
          </w:tcPr>
          <w:p w14:paraId="7AA4C855" w14:textId="1F9C3AD6" w:rsidR="00246155" w:rsidRPr="00FF386D" w:rsidRDefault="00246155" w:rsidP="00246155">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Биће одређено заједно са Министарство рударства и енергетике</w:t>
            </w:r>
          </w:p>
        </w:tc>
      </w:tr>
      <w:tr w:rsidR="00246155" w:rsidRPr="00FF386D" w14:paraId="74613C51" w14:textId="77777777" w:rsidTr="0057310C">
        <w:trPr>
          <w:trHeight w:val="315"/>
        </w:trPr>
        <w:tc>
          <w:tcPr>
            <w:tcW w:w="3293" w:type="dxa"/>
            <w:tcBorders>
              <w:top w:val="nil"/>
              <w:left w:val="single" w:sz="8" w:space="0" w:color="auto"/>
              <w:bottom w:val="single" w:sz="8" w:space="0" w:color="auto"/>
              <w:right w:val="nil"/>
            </w:tcBorders>
            <w:shd w:val="clear" w:color="000000" w:fill="244062"/>
            <w:vAlign w:val="center"/>
            <w:hideMark/>
          </w:tcPr>
          <w:p w14:paraId="6E250388" w14:textId="77777777" w:rsidR="00246155" w:rsidRPr="00FF386D" w:rsidRDefault="00246155" w:rsidP="00246155">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195" w:type="dxa"/>
            <w:gridSpan w:val="3"/>
            <w:tcBorders>
              <w:top w:val="single" w:sz="8" w:space="0" w:color="auto"/>
              <w:left w:val="nil"/>
              <w:bottom w:val="single" w:sz="8" w:space="0" w:color="auto"/>
              <w:right w:val="single" w:sz="8" w:space="0" w:color="000000"/>
            </w:tcBorders>
            <w:vAlign w:val="center"/>
          </w:tcPr>
          <w:p w14:paraId="1D056E32" w14:textId="77777777" w:rsidR="00246155" w:rsidRPr="00FF386D" w:rsidRDefault="00246155" w:rsidP="00565B02">
            <w:pPr>
              <w:spacing w:after="0" w:line="240" w:lineRule="auto"/>
              <w:rPr>
                <w:rFonts w:ascii="Calibri Light" w:eastAsia="Times New Roman" w:hAnsi="Calibri Light" w:cs="Calibri Light"/>
                <w:color w:val="000000"/>
                <w:sz w:val="20"/>
                <w:szCs w:val="20"/>
                <w:lang w:eastAsia="en-GB"/>
              </w:rPr>
            </w:pPr>
          </w:p>
        </w:tc>
      </w:tr>
      <w:tr w:rsidR="00246155" w:rsidRPr="00FF386D" w14:paraId="6D835981" w14:textId="77777777" w:rsidTr="0057310C">
        <w:trPr>
          <w:trHeight w:val="315"/>
        </w:trPr>
        <w:tc>
          <w:tcPr>
            <w:tcW w:w="3293" w:type="dxa"/>
            <w:tcBorders>
              <w:top w:val="nil"/>
              <w:left w:val="single" w:sz="8" w:space="0" w:color="auto"/>
              <w:bottom w:val="single" w:sz="8" w:space="0" w:color="auto"/>
              <w:right w:val="nil"/>
            </w:tcBorders>
            <w:shd w:val="clear" w:color="000000" w:fill="244062"/>
            <w:vAlign w:val="center"/>
            <w:hideMark/>
          </w:tcPr>
          <w:p w14:paraId="5153EC8E" w14:textId="77777777" w:rsidR="00246155" w:rsidRPr="00FF386D" w:rsidRDefault="00246155" w:rsidP="00246155">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195" w:type="dxa"/>
            <w:gridSpan w:val="3"/>
            <w:tcBorders>
              <w:top w:val="single" w:sz="8" w:space="0" w:color="auto"/>
              <w:left w:val="nil"/>
              <w:bottom w:val="single" w:sz="8" w:space="0" w:color="auto"/>
              <w:right w:val="single" w:sz="8" w:space="0" w:color="000000"/>
            </w:tcBorders>
            <w:vAlign w:val="center"/>
            <w:hideMark/>
          </w:tcPr>
          <w:p w14:paraId="1BA6EA9D" w14:textId="77777777" w:rsidR="00246155" w:rsidRPr="00FF386D" w:rsidRDefault="00246155" w:rsidP="00246155">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Број обухваћених енергетски сиромашних домаћинстава</w:t>
            </w:r>
          </w:p>
        </w:tc>
      </w:tr>
      <w:tr w:rsidR="00246155" w:rsidRPr="00FF386D" w14:paraId="015CE081" w14:textId="77777777" w:rsidTr="0057310C">
        <w:trPr>
          <w:trHeight w:val="341"/>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630DAD36" w14:textId="77777777" w:rsidR="00246155" w:rsidRPr="00FF386D" w:rsidRDefault="00246155" w:rsidP="00246155">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195" w:type="dxa"/>
            <w:gridSpan w:val="3"/>
            <w:tcBorders>
              <w:top w:val="single" w:sz="8" w:space="0" w:color="auto"/>
              <w:left w:val="nil"/>
              <w:bottom w:val="single" w:sz="8" w:space="0" w:color="auto"/>
              <w:right w:val="single" w:sz="8" w:space="0" w:color="000000"/>
            </w:tcBorders>
            <w:vAlign w:val="center"/>
          </w:tcPr>
          <w:p w14:paraId="1EBADA7E" w14:textId="77777777" w:rsidR="00246155" w:rsidRPr="00FF386D" w:rsidRDefault="00246155" w:rsidP="00246155">
            <w:pPr>
              <w:spacing w:after="0" w:line="240" w:lineRule="auto"/>
              <w:rPr>
                <w:rFonts w:ascii="Calibri Light" w:eastAsia="Times New Roman" w:hAnsi="Calibri Light" w:cs="Calibri Light"/>
                <w:color w:val="000000"/>
                <w:sz w:val="20"/>
                <w:szCs w:val="20"/>
                <w:lang w:eastAsia="en-GB"/>
              </w:rPr>
            </w:pPr>
          </w:p>
        </w:tc>
      </w:tr>
      <w:tr w:rsidR="00246155" w:rsidRPr="00FF386D" w14:paraId="69DCBFA5" w14:textId="77777777" w:rsidTr="0057310C">
        <w:trPr>
          <w:trHeight w:val="450"/>
        </w:trPr>
        <w:tc>
          <w:tcPr>
            <w:tcW w:w="3293"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631D6856" w14:textId="5B2653B4" w:rsidR="00246155" w:rsidRPr="00FF386D" w:rsidRDefault="00246155" w:rsidP="00246155">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Политике Уније која су резултирале имплементацијом политике и мере</w:t>
            </w:r>
          </w:p>
        </w:tc>
        <w:tc>
          <w:tcPr>
            <w:tcW w:w="6195" w:type="dxa"/>
            <w:gridSpan w:val="3"/>
            <w:vMerge w:val="restart"/>
            <w:tcBorders>
              <w:top w:val="single" w:sz="8" w:space="0" w:color="auto"/>
              <w:left w:val="single" w:sz="8" w:space="0" w:color="auto"/>
              <w:bottom w:val="single" w:sz="8" w:space="0" w:color="000000"/>
              <w:right w:val="single" w:sz="8" w:space="0" w:color="000000"/>
            </w:tcBorders>
            <w:vAlign w:val="center"/>
            <w:hideMark/>
          </w:tcPr>
          <w:p w14:paraId="7A38A346" w14:textId="636DB5DE" w:rsidR="00246155" w:rsidRPr="00FF386D" w:rsidRDefault="00246155" w:rsidP="00246155">
            <w:pPr>
              <w:numPr>
                <w:ilvl w:val="0"/>
                <w:numId w:val="38"/>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Директива 2019/944</w:t>
            </w:r>
            <w:r w:rsidR="0016113F" w:rsidRPr="0016113F">
              <w:rPr>
                <w:rFonts w:ascii="Calibri Light" w:eastAsia="Times New Roman" w:hAnsi="Calibri Light" w:cs="Calibri Light"/>
                <w:color w:val="000000"/>
                <w:sz w:val="20"/>
                <w:szCs w:val="20"/>
                <w:lang w:eastAsia="en-GB"/>
              </w:rPr>
              <w:t>/ΕУ</w:t>
            </w:r>
          </w:p>
        </w:tc>
      </w:tr>
      <w:tr w:rsidR="00246155" w:rsidRPr="00FF386D" w14:paraId="0F80345B"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54B109A9" w14:textId="77777777" w:rsidR="00246155" w:rsidRPr="00FF386D" w:rsidRDefault="00246155" w:rsidP="00246155">
            <w:pPr>
              <w:spacing w:after="0" w:line="256" w:lineRule="auto"/>
              <w:rPr>
                <w:rFonts w:ascii="Calibri Light" w:eastAsia="Times New Roman" w:hAnsi="Calibri Light" w:cs="Calibri Light"/>
                <w:b/>
                <w:bCs/>
                <w:color w:val="FFFFFF"/>
                <w:sz w:val="20"/>
                <w:szCs w:val="20"/>
                <w:lang w:eastAsia="en-GB"/>
              </w:rPr>
            </w:pPr>
          </w:p>
        </w:tc>
        <w:tc>
          <w:tcPr>
            <w:tcW w:w="6195" w:type="dxa"/>
            <w:gridSpan w:val="3"/>
            <w:vMerge/>
            <w:tcBorders>
              <w:top w:val="single" w:sz="8" w:space="0" w:color="auto"/>
              <w:left w:val="single" w:sz="8" w:space="0" w:color="auto"/>
              <w:bottom w:val="single" w:sz="8" w:space="0" w:color="000000"/>
              <w:right w:val="single" w:sz="8" w:space="0" w:color="000000"/>
            </w:tcBorders>
            <w:vAlign w:val="center"/>
            <w:hideMark/>
          </w:tcPr>
          <w:p w14:paraId="26CC87BD" w14:textId="77777777" w:rsidR="00246155" w:rsidRPr="00FF386D" w:rsidRDefault="00246155" w:rsidP="00246155">
            <w:pPr>
              <w:numPr>
                <w:ilvl w:val="0"/>
                <w:numId w:val="38"/>
              </w:numPr>
              <w:spacing w:after="0" w:line="256" w:lineRule="auto"/>
              <w:contextualSpacing/>
              <w:rPr>
                <w:rFonts w:ascii="Calibri Light" w:eastAsia="Times New Roman" w:hAnsi="Calibri Light" w:cs="Calibri Light"/>
                <w:color w:val="000000"/>
                <w:sz w:val="20"/>
                <w:szCs w:val="20"/>
                <w:lang w:eastAsia="en-GB"/>
              </w:rPr>
            </w:pPr>
          </w:p>
        </w:tc>
      </w:tr>
      <w:tr w:rsidR="00246155" w:rsidRPr="00FF386D" w14:paraId="03052897"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4465409B" w14:textId="77777777" w:rsidR="00246155" w:rsidRPr="00FF386D" w:rsidRDefault="00246155" w:rsidP="00246155">
            <w:pPr>
              <w:spacing w:after="0" w:line="256" w:lineRule="auto"/>
              <w:rPr>
                <w:rFonts w:ascii="Calibri Light" w:eastAsia="Times New Roman" w:hAnsi="Calibri Light" w:cs="Calibri Light"/>
                <w:b/>
                <w:bCs/>
                <w:color w:val="FFFFFF"/>
                <w:sz w:val="20"/>
                <w:szCs w:val="20"/>
                <w:lang w:eastAsia="en-GB"/>
              </w:rPr>
            </w:pPr>
          </w:p>
        </w:tc>
        <w:tc>
          <w:tcPr>
            <w:tcW w:w="6195" w:type="dxa"/>
            <w:gridSpan w:val="3"/>
            <w:vMerge/>
            <w:tcBorders>
              <w:top w:val="single" w:sz="8" w:space="0" w:color="auto"/>
              <w:left w:val="single" w:sz="8" w:space="0" w:color="auto"/>
              <w:bottom w:val="single" w:sz="8" w:space="0" w:color="000000"/>
              <w:right w:val="single" w:sz="8" w:space="0" w:color="000000"/>
            </w:tcBorders>
            <w:vAlign w:val="center"/>
            <w:hideMark/>
          </w:tcPr>
          <w:p w14:paraId="7B6C40F6" w14:textId="77777777" w:rsidR="00246155" w:rsidRPr="00FF386D" w:rsidRDefault="00246155" w:rsidP="00246155">
            <w:pPr>
              <w:numPr>
                <w:ilvl w:val="0"/>
                <w:numId w:val="38"/>
              </w:numPr>
              <w:spacing w:after="0" w:line="256" w:lineRule="auto"/>
              <w:contextualSpacing/>
              <w:rPr>
                <w:rFonts w:ascii="Calibri Light" w:eastAsia="Times New Roman" w:hAnsi="Calibri Light" w:cs="Calibri Light"/>
                <w:color w:val="000000"/>
                <w:sz w:val="20"/>
                <w:szCs w:val="20"/>
                <w:lang w:eastAsia="en-GB"/>
              </w:rPr>
            </w:pPr>
          </w:p>
        </w:tc>
      </w:tr>
      <w:tr w:rsidR="00246155" w:rsidRPr="00FF386D" w14:paraId="5D15D81E" w14:textId="77777777" w:rsidTr="0057310C">
        <w:trPr>
          <w:trHeight w:val="388"/>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77F2C8D9" w14:textId="77777777" w:rsidR="00246155" w:rsidRPr="00FF386D" w:rsidRDefault="00246155" w:rsidP="00246155">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95" w:type="dxa"/>
            <w:gridSpan w:val="3"/>
            <w:tcBorders>
              <w:top w:val="single" w:sz="8" w:space="0" w:color="auto"/>
              <w:left w:val="nil"/>
              <w:bottom w:val="single" w:sz="8" w:space="0" w:color="auto"/>
              <w:right w:val="single" w:sz="8" w:space="0" w:color="000000"/>
            </w:tcBorders>
            <w:vAlign w:val="center"/>
            <w:hideMark/>
          </w:tcPr>
          <w:p w14:paraId="38101C2E" w14:textId="77777777" w:rsidR="00246155" w:rsidRPr="00FF386D" w:rsidRDefault="00246155" w:rsidP="00246155">
            <w:pPr>
              <w:numPr>
                <w:ilvl w:val="0"/>
                <w:numId w:val="38"/>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Национална коалиција за смањење енергетског сиромаштва</w:t>
            </w:r>
          </w:p>
        </w:tc>
      </w:tr>
      <w:tr w:rsidR="00246155" w:rsidRPr="00FF386D" w14:paraId="09BAE67A" w14:textId="77777777" w:rsidTr="0057310C">
        <w:trPr>
          <w:trHeight w:val="315"/>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2A10D4B6" w14:textId="77777777" w:rsidR="00246155" w:rsidRPr="00FF386D" w:rsidRDefault="00246155" w:rsidP="00246155">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95" w:type="dxa"/>
            <w:gridSpan w:val="3"/>
            <w:tcBorders>
              <w:top w:val="single" w:sz="8" w:space="0" w:color="auto"/>
              <w:left w:val="nil"/>
              <w:bottom w:val="single" w:sz="8" w:space="0" w:color="auto"/>
              <w:right w:val="single" w:sz="8" w:space="0" w:color="000000"/>
            </w:tcBorders>
            <w:vAlign w:val="center"/>
            <w:hideMark/>
          </w:tcPr>
          <w:p w14:paraId="62BD0D7A" w14:textId="205E6A0C" w:rsidR="00246155" w:rsidRPr="00FF386D" w:rsidRDefault="00246155" w:rsidP="00246155">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0,7 милиона евра</w:t>
            </w:r>
          </w:p>
        </w:tc>
      </w:tr>
      <w:tr w:rsidR="00246155" w:rsidRPr="00FF386D" w14:paraId="02D9DA06" w14:textId="77777777" w:rsidTr="0057310C">
        <w:trPr>
          <w:trHeight w:val="315"/>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62289209" w14:textId="77777777" w:rsidR="00246155" w:rsidRPr="00FF386D" w:rsidRDefault="00246155" w:rsidP="00246155">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95" w:type="dxa"/>
            <w:gridSpan w:val="3"/>
            <w:tcBorders>
              <w:top w:val="single" w:sz="8" w:space="0" w:color="auto"/>
              <w:left w:val="nil"/>
              <w:bottom w:val="single" w:sz="8" w:space="0" w:color="auto"/>
              <w:right w:val="single" w:sz="8" w:space="0" w:color="000000"/>
            </w:tcBorders>
            <w:vAlign w:val="center"/>
            <w:hideMark/>
          </w:tcPr>
          <w:p w14:paraId="49775A8E" w14:textId="7EA4CC56" w:rsidR="00246155" w:rsidRPr="00FF386D" w:rsidRDefault="00246155" w:rsidP="00246155">
            <w:pPr>
              <w:spacing w:after="0" w:line="240" w:lineRule="auto"/>
              <w:rPr>
                <w:rFonts w:ascii="Calibri" w:eastAsia="Times New Roman" w:hAnsi="Calibri" w:cs="Calibri"/>
                <w:color w:val="000000"/>
                <w:lang w:eastAsia="en-GB"/>
              </w:rPr>
            </w:pPr>
            <w:r w:rsidRPr="00FF386D">
              <w:rPr>
                <w:rFonts w:ascii="Calibri Light" w:eastAsia="Times New Roman" w:hAnsi="Calibri Light" w:cs="Calibri Light"/>
                <w:color w:val="000000"/>
                <w:sz w:val="20"/>
                <w:szCs w:val="20"/>
                <w:lang w:eastAsia="en-GB"/>
              </w:rPr>
              <w:t>Фондови ЕУ и други фондови, буџетска средства</w:t>
            </w:r>
          </w:p>
        </w:tc>
      </w:tr>
    </w:tbl>
    <w:p w14:paraId="2B7A6CD7" w14:textId="27E2A485" w:rsidR="00854ADA" w:rsidRPr="00FF386D" w:rsidRDefault="00854ADA" w:rsidP="00854ADA">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Осим мера наведених у претходним табелама, на димензију унутрашње енергетско тржиште утичу и мере из осталих димензија</w:t>
      </w:r>
      <w:r w:rsidR="004222DC" w:rsidRPr="00FF386D">
        <w:rPr>
          <w:rFonts w:asciiTheme="majorHAnsi" w:eastAsia="Times New Roman" w:hAnsiTheme="majorHAnsi" w:cstheme="majorHAnsi"/>
          <w:lang w:eastAsia="el-GR"/>
        </w:rPr>
        <w:t>,</w:t>
      </w:r>
      <w:r w:rsidRPr="00FF386D">
        <w:rPr>
          <w:rFonts w:asciiTheme="majorHAnsi" w:eastAsia="Times New Roman" w:hAnsiTheme="majorHAnsi" w:cstheme="majorHAnsi"/>
          <w:lang w:eastAsia="el-GR"/>
        </w:rPr>
        <w:t xml:space="preserve"> које доприносе постизању циљева димензије унутрашње енергетско тржиште, и то:</w:t>
      </w:r>
    </w:p>
    <w:p w14:paraId="3F174674" w14:textId="6F072558" w:rsidR="00854ADA" w:rsidRPr="00FF386D" w:rsidRDefault="00854ADA" w:rsidP="00854ADA">
      <w:pPr>
        <w:numPr>
          <w:ilvl w:val="0"/>
          <w:numId w:val="5"/>
        </w:numPr>
        <w:spacing w:before="120" w:after="120" w:line="240" w:lineRule="auto"/>
        <w:jc w:val="both"/>
        <w:rPr>
          <w:rFonts w:asciiTheme="majorHAnsi" w:eastAsia="Times New Roman" w:hAnsiTheme="majorHAnsi" w:cstheme="majorHAnsi"/>
          <w:b/>
          <w:bCs/>
          <w:lang w:eastAsia="el-GR"/>
        </w:rPr>
      </w:pPr>
      <w:r w:rsidRPr="00FF386D">
        <w:rPr>
          <w:rFonts w:asciiTheme="majorHAnsi" w:eastAsia="Times New Roman" w:hAnsiTheme="majorHAnsi" w:cstheme="majorHAnsi"/>
          <w:lang w:eastAsia="el-GR"/>
        </w:rPr>
        <w:t xml:space="preserve">Димензија декарбонизације: </w:t>
      </w:r>
      <w:r w:rsidRPr="00FF386D">
        <w:rPr>
          <w:rFonts w:asciiTheme="majorHAnsi" w:eastAsia="Times New Roman" w:hAnsiTheme="majorHAnsi" w:cstheme="majorHAnsi"/>
          <w:b/>
          <w:bCs/>
          <w:lang w:eastAsia="el-GR"/>
        </w:rPr>
        <w:t>MП_Д20</w:t>
      </w:r>
      <w:r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b/>
          <w:bCs/>
          <w:lang w:eastAsia="el-GR"/>
        </w:rPr>
        <w:t>MП_Д23</w:t>
      </w:r>
      <w:r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b/>
          <w:bCs/>
          <w:lang w:eastAsia="el-GR"/>
        </w:rPr>
        <w:t>MП_</w:t>
      </w:r>
      <w:r w:rsidR="00F667CB" w:rsidRPr="00FF386D">
        <w:rPr>
          <w:rFonts w:asciiTheme="majorHAnsi" w:eastAsia="Times New Roman" w:hAnsiTheme="majorHAnsi" w:cstheme="majorHAnsi"/>
          <w:b/>
          <w:bCs/>
          <w:lang w:eastAsia="el-GR"/>
        </w:rPr>
        <w:t>Д3</w:t>
      </w:r>
      <w:r w:rsidR="00F667CB">
        <w:rPr>
          <w:rFonts w:asciiTheme="majorHAnsi" w:eastAsia="Times New Roman" w:hAnsiTheme="majorHAnsi" w:cstheme="majorHAnsi"/>
          <w:b/>
          <w:bCs/>
          <w:lang w:val="sr-Latn-RS" w:eastAsia="el-GR"/>
        </w:rPr>
        <w:t>6</w:t>
      </w:r>
      <w:r w:rsidR="00F667CB" w:rsidRPr="00FF386D">
        <w:rPr>
          <w:rFonts w:asciiTheme="majorHAnsi" w:eastAsia="Times New Roman" w:hAnsiTheme="majorHAnsi" w:cstheme="majorHAnsi"/>
          <w:b/>
          <w:bCs/>
          <w:lang w:eastAsia="el-GR"/>
        </w:rPr>
        <w:t xml:space="preserve"> </w:t>
      </w:r>
      <w:r w:rsidRPr="00FF386D">
        <w:rPr>
          <w:rFonts w:asciiTheme="majorHAnsi" w:eastAsia="Times New Roman" w:hAnsiTheme="majorHAnsi" w:cstheme="majorHAnsi"/>
          <w:lang w:eastAsia="el-GR"/>
        </w:rPr>
        <w:t xml:space="preserve">и </w:t>
      </w:r>
      <w:r w:rsidRPr="00FF386D">
        <w:rPr>
          <w:rFonts w:asciiTheme="majorHAnsi" w:eastAsia="Times New Roman" w:hAnsiTheme="majorHAnsi" w:cstheme="majorHAnsi"/>
          <w:b/>
          <w:bCs/>
          <w:lang w:eastAsia="el-GR"/>
        </w:rPr>
        <w:t>МП_</w:t>
      </w:r>
      <w:r w:rsidR="00F667CB" w:rsidRPr="00FF386D">
        <w:rPr>
          <w:rFonts w:asciiTheme="majorHAnsi" w:eastAsia="Times New Roman" w:hAnsiTheme="majorHAnsi" w:cstheme="majorHAnsi"/>
          <w:b/>
          <w:bCs/>
          <w:lang w:eastAsia="el-GR"/>
        </w:rPr>
        <w:t>Д3</w:t>
      </w:r>
      <w:r w:rsidR="00F667CB">
        <w:rPr>
          <w:rFonts w:asciiTheme="majorHAnsi" w:eastAsia="Times New Roman" w:hAnsiTheme="majorHAnsi" w:cstheme="majorHAnsi"/>
          <w:b/>
          <w:bCs/>
          <w:lang w:val="sr-Latn-RS" w:eastAsia="el-GR"/>
        </w:rPr>
        <w:t>7</w:t>
      </w:r>
    </w:p>
    <w:p w14:paraId="7AF6B91D" w14:textId="0030A3F3" w:rsidR="00854ADA" w:rsidRPr="00FF386D" w:rsidRDefault="00854ADA" w:rsidP="00854ADA">
      <w:pPr>
        <w:numPr>
          <w:ilvl w:val="0"/>
          <w:numId w:val="5"/>
        </w:num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Димензија енергетска сигурност: </w:t>
      </w:r>
      <w:r w:rsidRPr="00FF386D">
        <w:rPr>
          <w:rFonts w:asciiTheme="majorHAnsi" w:eastAsia="Times New Roman" w:hAnsiTheme="majorHAnsi" w:cstheme="majorHAnsi"/>
          <w:b/>
          <w:bCs/>
          <w:lang w:eastAsia="el-GR"/>
        </w:rPr>
        <w:t>MП_</w:t>
      </w:r>
      <w:r w:rsidR="007644B7" w:rsidRPr="00FF386D">
        <w:rPr>
          <w:rFonts w:asciiTheme="majorHAnsi" w:eastAsia="Times New Roman" w:hAnsiTheme="majorHAnsi" w:cstheme="majorHAnsi"/>
          <w:b/>
          <w:bCs/>
          <w:lang w:eastAsia="el-GR"/>
        </w:rPr>
        <w:t>ЕС</w:t>
      </w:r>
      <w:r w:rsidR="007644B7">
        <w:rPr>
          <w:rFonts w:asciiTheme="majorHAnsi" w:eastAsia="Times New Roman" w:hAnsiTheme="majorHAnsi" w:cstheme="majorHAnsi"/>
          <w:b/>
          <w:bCs/>
          <w:lang w:eastAsia="el-GR"/>
        </w:rPr>
        <w:t>2</w:t>
      </w:r>
      <w:r w:rsidR="007644B7" w:rsidRPr="00FF386D">
        <w:rPr>
          <w:rFonts w:asciiTheme="majorHAnsi" w:eastAsia="Times New Roman" w:hAnsiTheme="majorHAnsi" w:cstheme="majorHAnsi"/>
          <w:b/>
          <w:bCs/>
          <w:lang w:eastAsia="el-GR"/>
        </w:rPr>
        <w:t xml:space="preserve"> </w:t>
      </w:r>
      <w:r w:rsidRPr="00FF386D">
        <w:rPr>
          <w:rFonts w:asciiTheme="majorHAnsi" w:eastAsia="Times New Roman" w:hAnsiTheme="majorHAnsi" w:cstheme="majorHAnsi"/>
          <w:b/>
          <w:bCs/>
          <w:lang w:eastAsia="el-GR"/>
        </w:rPr>
        <w:t>– МП_EС3</w:t>
      </w:r>
      <w:r w:rsidRPr="00FF386D">
        <w:rPr>
          <w:rFonts w:asciiTheme="majorHAnsi" w:eastAsia="Times New Roman" w:hAnsiTheme="majorHAnsi" w:cstheme="majorHAnsi"/>
          <w:lang w:eastAsia="el-GR"/>
        </w:rPr>
        <w:t xml:space="preserve">, </w:t>
      </w:r>
      <w:r w:rsidRPr="00FF386D">
        <w:rPr>
          <w:rFonts w:asciiTheme="majorHAnsi" w:eastAsia="Times New Roman" w:hAnsiTheme="majorHAnsi" w:cstheme="majorHAnsi"/>
          <w:b/>
          <w:bCs/>
          <w:lang w:eastAsia="el-GR"/>
        </w:rPr>
        <w:t xml:space="preserve">MП_EС3.1 </w:t>
      </w:r>
      <w:r w:rsidRPr="00FF386D">
        <w:rPr>
          <w:rFonts w:asciiTheme="majorHAnsi" w:eastAsia="Times New Roman" w:hAnsiTheme="majorHAnsi" w:cstheme="majorHAnsi"/>
          <w:lang w:eastAsia="el-GR"/>
        </w:rPr>
        <w:t>и</w:t>
      </w:r>
      <w:r w:rsidRPr="00FF386D">
        <w:rPr>
          <w:rFonts w:asciiTheme="majorHAnsi" w:eastAsia="Times New Roman" w:hAnsiTheme="majorHAnsi" w:cstheme="majorHAnsi"/>
          <w:b/>
          <w:bCs/>
          <w:lang w:eastAsia="el-GR"/>
        </w:rPr>
        <w:t xml:space="preserve"> MП_EС6</w:t>
      </w:r>
    </w:p>
    <w:p w14:paraId="662879BB" w14:textId="77777777" w:rsidR="00854ADA" w:rsidRPr="00FF386D" w:rsidRDefault="00854ADA" w:rsidP="00854ADA">
      <w:pPr>
        <w:numPr>
          <w:ilvl w:val="0"/>
          <w:numId w:val="5"/>
        </w:num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 xml:space="preserve">Димензија истраживање, иновације и конкурентност: </w:t>
      </w:r>
      <w:r w:rsidRPr="00FF386D">
        <w:rPr>
          <w:rFonts w:asciiTheme="majorHAnsi" w:eastAsia="Times New Roman" w:hAnsiTheme="majorHAnsi" w:cstheme="majorHAnsi"/>
          <w:b/>
          <w:bCs/>
          <w:lang w:eastAsia="el-GR"/>
        </w:rPr>
        <w:t>MП_ИИК1 – MП_ИИК20</w:t>
      </w:r>
    </w:p>
    <w:p w14:paraId="69E2EE76" w14:textId="77777777" w:rsidR="00854ADA" w:rsidRPr="00565B02" w:rsidRDefault="00854ADA" w:rsidP="00F83802">
      <w:pPr>
        <w:pStyle w:val="Heading2"/>
        <w:rPr>
          <w:lang w:val="sr-Cyrl-RS"/>
        </w:rPr>
      </w:pPr>
      <w:bookmarkStart w:id="132" w:name="_Toc153901547"/>
      <w:bookmarkStart w:id="133" w:name="_Toc115351873"/>
      <w:bookmarkStart w:id="134" w:name="_Toc137457027"/>
      <w:bookmarkStart w:id="135" w:name="_Toc153901548"/>
      <w:bookmarkEnd w:id="132"/>
      <w:r w:rsidRPr="00565B02">
        <w:rPr>
          <w:lang w:val="sr-Cyrl-RS"/>
        </w:rPr>
        <w:t>Димензија истраживање, иновације и конкурентност</w:t>
      </w:r>
      <w:bookmarkEnd w:id="133"/>
      <w:bookmarkEnd w:id="134"/>
      <w:bookmarkEnd w:id="135"/>
    </w:p>
    <w:p w14:paraId="41E30227" w14:textId="76EC88CE" w:rsidR="00854ADA" w:rsidRPr="00FF386D" w:rsidRDefault="00854ADA" w:rsidP="00854ADA">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t>Треба напоменути да, на основу прогноза БДП</w:t>
      </w:r>
      <w:r w:rsidR="004222DC" w:rsidRPr="00FF386D">
        <w:rPr>
          <w:rFonts w:asciiTheme="majorHAnsi" w:eastAsia="Times New Roman" w:hAnsiTheme="majorHAnsi" w:cstheme="majorHAnsi"/>
          <w:lang w:eastAsia="el-GR"/>
        </w:rPr>
        <w:t>-а</w:t>
      </w:r>
      <w:r w:rsidRPr="00FF386D">
        <w:rPr>
          <w:rFonts w:asciiTheme="majorHAnsi" w:eastAsia="Times New Roman" w:hAnsiTheme="majorHAnsi" w:cstheme="majorHAnsi"/>
          <w:lang w:eastAsia="el-GR"/>
        </w:rPr>
        <w:t xml:space="preserve"> за 2020, 2025. и 2030. годину, </w:t>
      </w:r>
      <w:r w:rsidR="004222DC" w:rsidRPr="00FF386D">
        <w:rPr>
          <w:rFonts w:asciiTheme="majorHAnsi" w:eastAsia="Times New Roman" w:hAnsiTheme="majorHAnsi" w:cstheme="majorHAnsi"/>
          <w:lang w:eastAsia="el-GR"/>
        </w:rPr>
        <w:t xml:space="preserve">које се наводе </w:t>
      </w:r>
      <w:r w:rsidRPr="00FF386D">
        <w:rPr>
          <w:rFonts w:asciiTheme="majorHAnsi" w:eastAsia="Times New Roman" w:hAnsiTheme="majorHAnsi" w:cstheme="majorHAnsi"/>
          <w:lang w:eastAsia="el-GR"/>
        </w:rPr>
        <w:t xml:space="preserve">у 4. поглављу </w:t>
      </w:r>
      <w:r w:rsidR="004222DC" w:rsidRPr="00FF386D">
        <w:rPr>
          <w:rFonts w:asciiTheme="majorHAnsi" w:eastAsia="Times New Roman" w:hAnsiTheme="majorHAnsi" w:cstheme="majorHAnsi"/>
          <w:lang w:eastAsia="el-GR"/>
        </w:rPr>
        <w:t>И</w:t>
      </w:r>
      <w:r w:rsidRPr="00FF386D">
        <w:rPr>
          <w:rFonts w:asciiTheme="majorHAnsi" w:eastAsia="Times New Roman" w:hAnsiTheme="majorHAnsi" w:cstheme="majorHAnsi"/>
          <w:lang w:eastAsia="el-GR"/>
        </w:rPr>
        <w:t xml:space="preserve">НЕКП-а, након одговарајућих прорачуна бруто домаћих трошкова за истраживање и технолошки развој (БДТИТР) у области „Енергија – животна средина“ за 2020, 2025. и 2030. годину, и уз </w:t>
      </w:r>
      <w:r w:rsidRPr="00FF386D">
        <w:rPr>
          <w:rFonts w:asciiTheme="majorHAnsi" w:eastAsia="Times New Roman" w:hAnsiTheme="majorHAnsi" w:cstheme="majorHAnsi"/>
          <w:lang w:eastAsia="el-GR"/>
        </w:rPr>
        <w:lastRenderedPageBreak/>
        <w:t xml:space="preserve">претпоставку да ће БДТИТР у сектору „Енергија – животна средина“ у 2030. години остати стабилни на нивоу из 2020. године, односно, </w:t>
      </w:r>
      <w:r w:rsidR="004222DC" w:rsidRPr="00FF386D">
        <w:rPr>
          <w:rFonts w:asciiTheme="majorHAnsi" w:eastAsia="Times New Roman" w:hAnsiTheme="majorHAnsi" w:cstheme="majorHAnsi"/>
          <w:lang w:eastAsia="el-GR"/>
        </w:rPr>
        <w:t>да ће износити</w:t>
      </w:r>
      <w:r w:rsidRPr="00FF386D">
        <w:rPr>
          <w:rFonts w:asciiTheme="majorHAnsi" w:eastAsia="Times New Roman" w:hAnsiTheme="majorHAnsi" w:cstheme="majorHAnsi"/>
          <w:lang w:eastAsia="el-GR"/>
        </w:rPr>
        <w:t xml:space="preserve"> 0,53% БДП-а (извор: Републички завод за статистику Републике Србије), укупан износ од 111,4 милиона евра ће бити намењен за активности / мере истраживања и развоја у периоду 2022-2030. године.</w:t>
      </w:r>
    </w:p>
    <w:p w14:paraId="3CD6717A" w14:textId="650E58F2" w:rsidR="00854ADA" w:rsidRPr="00FF386D" w:rsidRDefault="00854ADA" w:rsidP="004222DC">
      <w:pPr>
        <w:pStyle w:val="ListParagraph"/>
        <w:keepNext/>
        <w:keepLines/>
        <w:numPr>
          <w:ilvl w:val="0"/>
          <w:numId w:val="300"/>
        </w:numPr>
        <w:spacing w:before="200" w:after="0" w:line="240" w:lineRule="auto"/>
        <w:outlineLvl w:val="3"/>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t xml:space="preserve">Политике и мере укључујући и оне за </w:t>
      </w:r>
      <w:r w:rsidR="004222DC" w:rsidRPr="00FF386D">
        <w:rPr>
          <w:rFonts w:asciiTheme="majorHAnsi" w:eastAsiaTheme="majorEastAsia" w:hAnsiTheme="majorHAnsi" w:cstheme="majorBidi"/>
          <w:b/>
          <w:bCs/>
          <w:iCs/>
          <w:color w:val="01406B"/>
          <w:szCs w:val="24"/>
        </w:rPr>
        <w:t xml:space="preserve">остварење </w:t>
      </w:r>
      <w:r w:rsidRPr="00FF386D">
        <w:rPr>
          <w:rFonts w:asciiTheme="majorHAnsi" w:eastAsiaTheme="majorEastAsia" w:hAnsiTheme="majorHAnsi" w:cstheme="majorBidi"/>
          <w:b/>
          <w:bCs/>
          <w:iCs/>
          <w:color w:val="01406B"/>
          <w:szCs w:val="24"/>
        </w:rPr>
        <w:t>циљева наведених у 2.</w:t>
      </w:r>
      <w:r w:rsidR="00F667CB">
        <w:rPr>
          <w:rFonts w:asciiTheme="majorHAnsi" w:eastAsiaTheme="majorEastAsia" w:hAnsiTheme="majorHAnsi" w:cstheme="majorBidi"/>
          <w:b/>
          <w:bCs/>
          <w:iCs/>
          <w:color w:val="01406B"/>
          <w:szCs w:val="24"/>
          <w:lang w:val="sr-Latn-RS"/>
        </w:rPr>
        <w:t>6</w:t>
      </w:r>
    </w:p>
    <w:p w14:paraId="09CC30F6" w14:textId="77777777" w:rsidR="00854ADA" w:rsidRPr="00FF386D" w:rsidRDefault="00854ADA" w:rsidP="00854ADA">
      <w:pPr>
        <w:spacing w:before="160"/>
        <w:jc w:val="both"/>
        <w:rPr>
          <w:rFonts w:asciiTheme="majorHAnsi" w:hAnsiTheme="majorHAnsi" w:cstheme="majorHAnsi"/>
          <w:b/>
          <w:bCs/>
          <w:i/>
          <w:iCs/>
          <w:color w:val="000000"/>
        </w:rPr>
      </w:pPr>
      <w:r w:rsidRPr="00FF386D">
        <w:rPr>
          <w:rFonts w:asciiTheme="majorHAnsi" w:hAnsiTheme="majorHAnsi" w:cstheme="majorHAnsi"/>
          <w:b/>
          <w:bCs/>
          <w:i/>
          <w:iCs/>
          <w:color w:val="000000"/>
        </w:rPr>
        <w:t>Политике и мере којима се промовишу истраживање и иновације</w:t>
      </w:r>
    </w:p>
    <w:p w14:paraId="797F0676" w14:textId="43878609"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Актуелна политика Републике Србије у области истраживања и иновација је усмерена на креирање подстицаја и подршке за усвајање нових технологија с општим циљем да се остваре уштеде трошкова енергије, увођењем нових стандарда енергетске ефикасности и омогућавањем преласка на нижу и одрживију потрошњу енергије у земљи.</w:t>
      </w:r>
    </w:p>
    <w:p w14:paraId="1927C672" w14:textId="72773A8B"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Република Србија сматра </w:t>
      </w:r>
      <w:r w:rsidR="00DF4BBD" w:rsidRPr="00FF386D">
        <w:rPr>
          <w:rFonts w:asciiTheme="majorHAnsi" w:hAnsiTheme="majorHAnsi" w:cstheme="majorHAnsi"/>
          <w:color w:val="000000"/>
        </w:rPr>
        <w:t xml:space="preserve">да су </w:t>
      </w:r>
      <w:r w:rsidRPr="00FF386D">
        <w:rPr>
          <w:rFonts w:asciiTheme="majorHAnsi" w:hAnsiTheme="majorHAnsi" w:cstheme="majorHAnsi"/>
          <w:color w:val="000000"/>
        </w:rPr>
        <w:t xml:space="preserve">истраживање и иновације </w:t>
      </w:r>
      <w:r w:rsidR="00DF4BBD" w:rsidRPr="00FF386D">
        <w:rPr>
          <w:rFonts w:asciiTheme="majorHAnsi" w:hAnsiTheme="majorHAnsi" w:cstheme="majorHAnsi"/>
          <w:color w:val="000000"/>
        </w:rPr>
        <w:t>прилика да се унапреди</w:t>
      </w:r>
      <w:r w:rsidRPr="00FF386D">
        <w:rPr>
          <w:rFonts w:asciiTheme="majorHAnsi" w:hAnsiTheme="majorHAnsi" w:cstheme="majorHAnsi"/>
          <w:color w:val="000000"/>
        </w:rPr>
        <w:t xml:space="preserve"> конкурентност националне привреде, </w:t>
      </w:r>
      <w:r w:rsidR="005F5622" w:rsidRPr="00FF386D">
        <w:rPr>
          <w:rFonts w:asciiTheme="majorHAnsi" w:hAnsiTheme="majorHAnsi" w:cstheme="majorHAnsi"/>
          <w:color w:val="000000"/>
        </w:rPr>
        <w:t>која</w:t>
      </w:r>
      <w:r w:rsidR="00DF4BBD" w:rsidRPr="00FF386D">
        <w:rPr>
          <w:rFonts w:asciiTheme="majorHAnsi" w:hAnsiTheme="majorHAnsi" w:cstheme="majorHAnsi"/>
          <w:color w:val="000000"/>
        </w:rPr>
        <w:t xml:space="preserve"> </w:t>
      </w:r>
      <w:r w:rsidR="00820EBB" w:rsidRPr="00FF386D">
        <w:rPr>
          <w:rFonts w:asciiTheme="majorHAnsi" w:hAnsiTheme="majorHAnsi" w:cstheme="majorHAnsi"/>
          <w:color w:val="000000"/>
        </w:rPr>
        <w:t>постај</w:t>
      </w:r>
      <w:r w:rsidR="005F5622" w:rsidRPr="00FF386D">
        <w:rPr>
          <w:rFonts w:asciiTheme="majorHAnsi" w:hAnsiTheme="majorHAnsi" w:cstheme="majorHAnsi"/>
          <w:color w:val="000000"/>
        </w:rPr>
        <w:t>е</w:t>
      </w:r>
      <w:r w:rsidRPr="00FF386D">
        <w:rPr>
          <w:rFonts w:asciiTheme="majorHAnsi" w:hAnsiTheme="majorHAnsi" w:cstheme="majorHAnsi"/>
          <w:color w:val="000000"/>
        </w:rPr>
        <w:t xml:space="preserve"> фактор подстицаја </w:t>
      </w:r>
      <w:r w:rsidR="00820EBB" w:rsidRPr="00FF386D">
        <w:rPr>
          <w:rFonts w:asciiTheme="majorHAnsi" w:hAnsiTheme="majorHAnsi" w:cstheme="majorHAnsi"/>
          <w:color w:val="000000"/>
        </w:rPr>
        <w:t>привредног</w:t>
      </w:r>
      <w:r w:rsidRPr="00FF386D">
        <w:rPr>
          <w:rFonts w:asciiTheme="majorHAnsi" w:hAnsiTheme="majorHAnsi" w:cstheme="majorHAnsi"/>
          <w:color w:val="000000"/>
        </w:rPr>
        <w:t xml:space="preserve"> раста и отварања нових радних места. Предложена политика истраживања и иновација у области енергетике настоји да промовише, између осталог, примену високо ефикасних енергетских технологија, увођење паметних мрежа и технологија за складиштење енергије, као и истраживање могућности примене пуњивих батерија, водоника и технологије горивних ћелија.</w:t>
      </w:r>
    </w:p>
    <w:p w14:paraId="25F4B458" w14:textId="6B493F8B"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У погледу истраживања и иновација, </w:t>
      </w:r>
      <w:r w:rsidR="00DF4BBD" w:rsidRPr="00FF386D">
        <w:rPr>
          <w:rFonts w:asciiTheme="majorHAnsi" w:hAnsiTheme="majorHAnsi" w:cstheme="majorHAnsi"/>
          <w:color w:val="000000"/>
        </w:rPr>
        <w:t>у наставку је дат оквиран</w:t>
      </w:r>
      <w:r w:rsidRPr="00FF386D">
        <w:rPr>
          <w:rFonts w:asciiTheme="majorHAnsi" w:hAnsiTheme="majorHAnsi" w:cstheme="majorHAnsi"/>
          <w:color w:val="000000"/>
        </w:rPr>
        <w:t xml:space="preserve"> број предложених мера политике како би се:</w:t>
      </w:r>
    </w:p>
    <w:p w14:paraId="37B75EE6" w14:textId="595985C4" w:rsidR="00854ADA" w:rsidRPr="00FF386D" w:rsidRDefault="00854ADA" w:rsidP="00854ADA">
      <w:pPr>
        <w:numPr>
          <w:ilvl w:val="0"/>
          <w:numId w:val="219"/>
        </w:numPr>
        <w:spacing w:before="160"/>
        <w:jc w:val="both"/>
        <w:rPr>
          <w:rFonts w:asciiTheme="majorHAnsi" w:hAnsiTheme="majorHAnsi" w:cstheme="majorHAnsi"/>
          <w:color w:val="000000"/>
        </w:rPr>
      </w:pPr>
      <w:r w:rsidRPr="00FF386D">
        <w:rPr>
          <w:rFonts w:asciiTheme="majorHAnsi" w:hAnsiTheme="majorHAnsi" w:cstheme="majorHAnsi"/>
          <w:color w:val="000000"/>
        </w:rPr>
        <w:t>повећао број иновативних стартап</w:t>
      </w:r>
      <w:r w:rsidR="00DF4BBD" w:rsidRPr="00FF386D">
        <w:rPr>
          <w:rFonts w:asciiTheme="majorHAnsi" w:hAnsiTheme="majorHAnsi" w:cstheme="majorHAnsi"/>
          <w:color w:val="000000"/>
        </w:rPr>
        <w:t>а</w:t>
      </w:r>
      <w:r w:rsidRPr="00FF386D">
        <w:rPr>
          <w:rFonts w:asciiTheme="majorHAnsi" w:hAnsiTheme="majorHAnsi" w:cstheme="majorHAnsi"/>
          <w:color w:val="000000"/>
        </w:rPr>
        <w:t>, спинофа/спинаута итд. у високотехнолошким и интензивним секторима у складу са Стратегијом паметне специјализације</w:t>
      </w:r>
    </w:p>
    <w:p w14:paraId="10C0699C" w14:textId="77777777" w:rsidR="00854ADA" w:rsidRPr="00FF386D" w:rsidRDefault="00854ADA" w:rsidP="00854ADA">
      <w:pPr>
        <w:numPr>
          <w:ilvl w:val="0"/>
          <w:numId w:val="219"/>
        </w:numPr>
        <w:spacing w:before="160"/>
        <w:jc w:val="both"/>
        <w:rPr>
          <w:rFonts w:asciiTheme="majorHAnsi" w:hAnsiTheme="majorHAnsi" w:cstheme="majorHAnsi"/>
          <w:color w:val="000000"/>
        </w:rPr>
      </w:pPr>
      <w:r w:rsidRPr="00FF386D">
        <w:rPr>
          <w:rFonts w:asciiTheme="majorHAnsi" w:hAnsiTheme="majorHAnsi" w:cstheme="majorHAnsi"/>
          <w:color w:val="000000"/>
        </w:rPr>
        <w:t>повећалa ефикасност истраживања фокусирањем на резултате и пружањем подстицаја (као што су међународна сарадња и мобилност, сарадња са предузећима, итд.) у циљу привлачења висококвалификованих истраживачких тимова</w:t>
      </w:r>
    </w:p>
    <w:p w14:paraId="40A04729" w14:textId="77777777" w:rsidR="00854ADA" w:rsidRPr="00FF386D" w:rsidRDefault="00854ADA" w:rsidP="00854ADA">
      <w:pPr>
        <w:numPr>
          <w:ilvl w:val="0"/>
          <w:numId w:val="219"/>
        </w:numPr>
        <w:spacing w:before="160"/>
        <w:jc w:val="both"/>
        <w:rPr>
          <w:rFonts w:asciiTheme="majorHAnsi" w:hAnsiTheme="majorHAnsi" w:cstheme="majorHAnsi"/>
          <w:color w:val="000000"/>
        </w:rPr>
      </w:pPr>
      <w:r w:rsidRPr="00FF386D">
        <w:rPr>
          <w:rFonts w:asciiTheme="majorHAnsi" w:hAnsiTheme="majorHAnsi" w:cstheme="majorHAnsi"/>
          <w:color w:val="000000"/>
        </w:rPr>
        <w:t>развиле вештине на нивоу универзитета и истраживачких институција које повећавају комерцијалну одрживост и тржишни значај њихових истраживачких пројеката и способност да учествују у истраживачким конзорцијумима</w:t>
      </w:r>
    </w:p>
    <w:p w14:paraId="5FD6C04A" w14:textId="616C16CF" w:rsidR="00854ADA" w:rsidRPr="00FF386D" w:rsidRDefault="00854ADA" w:rsidP="00854ADA">
      <w:pPr>
        <w:numPr>
          <w:ilvl w:val="0"/>
          <w:numId w:val="219"/>
        </w:numPr>
        <w:spacing w:before="160"/>
        <w:jc w:val="both"/>
        <w:rPr>
          <w:rFonts w:asciiTheme="majorHAnsi" w:hAnsiTheme="majorHAnsi" w:cstheme="majorHAnsi"/>
          <w:color w:val="000000"/>
        </w:rPr>
      </w:pPr>
      <w:r w:rsidRPr="00FF386D">
        <w:rPr>
          <w:rFonts w:asciiTheme="majorHAnsi" w:hAnsiTheme="majorHAnsi" w:cstheme="majorHAnsi"/>
          <w:color w:val="000000"/>
        </w:rPr>
        <w:t xml:space="preserve">подржала сарадња између истраживачких института и предузећа у трансферу технологије и </w:t>
      </w:r>
      <w:r w:rsidR="005F5622" w:rsidRPr="00FF386D">
        <w:rPr>
          <w:rFonts w:asciiTheme="majorHAnsi" w:hAnsiTheme="majorHAnsi" w:cstheme="majorHAnsi"/>
          <w:color w:val="000000"/>
        </w:rPr>
        <w:t>коришћењу</w:t>
      </w:r>
      <w:r w:rsidRPr="00FF386D">
        <w:rPr>
          <w:rFonts w:asciiTheme="majorHAnsi" w:hAnsiTheme="majorHAnsi" w:cstheme="majorHAnsi"/>
          <w:color w:val="000000"/>
        </w:rPr>
        <w:t xml:space="preserve"> резултата истраживања</w:t>
      </w:r>
    </w:p>
    <w:p w14:paraId="4C9BD343" w14:textId="77777777"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Очекује се да ће се Република Србија у наредним годинама фокусирати на примену нових технологија за уштеду енергије са значајним доприносом смањењу емисије угљеника у ваздух, сузбијању ефекта стаклене баште и спречавању прегревања зграда. Циљ је да се значајно смање трошкови енергије обезбеђујући релативно брз повраћај инвестиција у циљу побољшања животног и радног окружења за грађане Србије.</w:t>
      </w:r>
    </w:p>
    <w:p w14:paraId="11049F43" w14:textId="3F9725A2"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Један од кључних приоритета истраживања и иновација за наредни период у области енергетских мрежа </w:t>
      </w:r>
      <w:r w:rsidR="005F5622" w:rsidRPr="00FF386D">
        <w:rPr>
          <w:rFonts w:asciiTheme="majorHAnsi" w:hAnsiTheme="majorHAnsi" w:cstheme="majorHAnsi"/>
          <w:color w:val="000000"/>
        </w:rPr>
        <w:t>представљају</w:t>
      </w:r>
      <w:r w:rsidRPr="00FF386D">
        <w:rPr>
          <w:rFonts w:asciiTheme="majorHAnsi" w:hAnsiTheme="majorHAnsi" w:cstheme="majorHAnsi"/>
          <w:color w:val="000000"/>
        </w:rPr>
        <w:t xml:space="preserve"> изазови дигитализације и паметних мрежа. Поред тога, биће подржане иновативне акције које се односе на електрична возила и стратегије њиховог допуњавања, а </w:t>
      </w:r>
      <w:r w:rsidR="00AB7992" w:rsidRPr="00FF386D">
        <w:rPr>
          <w:rFonts w:asciiTheme="majorHAnsi" w:hAnsiTheme="majorHAnsi" w:cstheme="majorHAnsi"/>
          <w:color w:val="000000"/>
        </w:rPr>
        <w:t>нагласак</w:t>
      </w:r>
      <w:r w:rsidRPr="00FF386D">
        <w:rPr>
          <w:rFonts w:asciiTheme="majorHAnsi" w:hAnsiTheme="majorHAnsi" w:cstheme="majorHAnsi"/>
          <w:color w:val="000000"/>
        </w:rPr>
        <w:t xml:space="preserve"> ће бити стављен на чињеницу да потрошена електрична енергија треба да потиче из ОИЕ и водоника који се производи различитим облицима енергије.</w:t>
      </w:r>
    </w:p>
    <w:p w14:paraId="795E92B8" w14:textId="77777777"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Што се тиче складиштења енергије, треба предузети мере у циљу јачања развоја нових или побољшаних технологија складиштења електричне или топлотне енергије са већом ефикасношћу, доступношћу, отпорношћу и безбедношћу, и по најнижој цени. Иновативне апликације ће такође допринети ублажавању утицаја предузећа на животну средину и утицаја климатских промена на урбану средину, као и промовисању циркуларне економије, са нагласком на рециклажи материјала и поврату и поновној употреби енергије, као и иновативном техникама хватања и/или поновне употребе CO</w:t>
      </w:r>
      <w:r w:rsidRPr="00FF386D">
        <w:rPr>
          <w:rFonts w:asciiTheme="majorHAnsi" w:hAnsiTheme="majorHAnsi" w:cstheme="majorHAnsi"/>
          <w:color w:val="000000"/>
          <w:vertAlign w:val="subscript"/>
        </w:rPr>
        <w:t>2</w:t>
      </w:r>
      <w:r w:rsidRPr="00FF386D">
        <w:rPr>
          <w:rFonts w:asciiTheme="majorHAnsi" w:hAnsiTheme="majorHAnsi" w:cstheme="majorHAnsi"/>
          <w:color w:val="000000"/>
        </w:rPr>
        <w:t>.</w:t>
      </w:r>
    </w:p>
    <w:p w14:paraId="3C2FA4B0" w14:textId="77777777" w:rsidR="00854ADA" w:rsidRPr="00FF386D" w:rsidRDefault="00854ADA" w:rsidP="00854ADA">
      <w:pPr>
        <w:spacing w:before="160"/>
        <w:jc w:val="both"/>
        <w:rPr>
          <w:rFonts w:asciiTheme="majorHAnsi" w:hAnsiTheme="majorHAnsi" w:cstheme="majorHAnsi"/>
          <w:i/>
          <w:iCs/>
          <w:color w:val="000000"/>
          <w:u w:val="single"/>
        </w:rPr>
      </w:pPr>
      <w:r w:rsidRPr="00FF386D">
        <w:rPr>
          <w:rFonts w:asciiTheme="majorHAnsi" w:hAnsiTheme="majorHAnsi" w:cstheme="majorHAnsi"/>
          <w:i/>
          <w:iCs/>
          <w:color w:val="000000"/>
          <w:u w:val="single"/>
        </w:rPr>
        <w:lastRenderedPageBreak/>
        <w:t>Tабеле за MП_ИИК1 – МП_ИИК16</w:t>
      </w:r>
    </w:p>
    <w:tbl>
      <w:tblPr>
        <w:tblW w:w="9488" w:type="dxa"/>
        <w:tblLook w:val="04A0" w:firstRow="1" w:lastRow="0" w:firstColumn="1" w:lastColumn="0" w:noHBand="0" w:noVBand="1"/>
      </w:tblPr>
      <w:tblGrid>
        <w:gridCol w:w="3296"/>
        <w:gridCol w:w="1071"/>
        <w:gridCol w:w="940"/>
        <w:gridCol w:w="4181"/>
      </w:tblGrid>
      <w:tr w:rsidR="00854ADA" w:rsidRPr="00FF386D" w14:paraId="364CA917" w14:textId="77777777" w:rsidTr="0057310C">
        <w:trPr>
          <w:trHeight w:val="780"/>
        </w:trPr>
        <w:tc>
          <w:tcPr>
            <w:tcW w:w="3296"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0ACDD9EB" w14:textId="7417A94F"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071" w:type="dxa"/>
            <w:tcBorders>
              <w:top w:val="single" w:sz="8" w:space="0" w:color="auto"/>
              <w:left w:val="nil"/>
              <w:bottom w:val="single" w:sz="8" w:space="0" w:color="auto"/>
              <w:right w:val="single" w:sz="8" w:space="0" w:color="auto"/>
            </w:tcBorders>
            <w:shd w:val="clear" w:color="auto" w:fill="E7E6E6" w:themeFill="background2"/>
            <w:vAlign w:val="center"/>
            <w:hideMark/>
          </w:tcPr>
          <w:p w14:paraId="162DC804"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МП_ИИК1</w:t>
            </w:r>
          </w:p>
        </w:tc>
        <w:tc>
          <w:tcPr>
            <w:tcW w:w="940" w:type="dxa"/>
            <w:tcBorders>
              <w:top w:val="single" w:sz="8" w:space="0" w:color="auto"/>
              <w:left w:val="nil"/>
              <w:bottom w:val="single" w:sz="8" w:space="0" w:color="auto"/>
              <w:right w:val="single" w:sz="8" w:space="0" w:color="auto"/>
            </w:tcBorders>
            <w:shd w:val="clear" w:color="auto" w:fill="244062"/>
            <w:vAlign w:val="center"/>
            <w:hideMark/>
          </w:tcPr>
          <w:p w14:paraId="755F0B6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81" w:type="dxa"/>
            <w:tcBorders>
              <w:top w:val="single" w:sz="8" w:space="0" w:color="auto"/>
              <w:left w:val="nil"/>
              <w:bottom w:val="single" w:sz="8" w:space="0" w:color="auto"/>
              <w:right w:val="single" w:sz="8" w:space="0" w:color="auto"/>
            </w:tcBorders>
            <w:shd w:val="clear" w:color="auto" w:fill="E7E6E6" w:themeFill="background2"/>
            <w:vAlign w:val="center"/>
            <w:hideMark/>
          </w:tcPr>
          <w:p w14:paraId="5A457955"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Унапређење правног оквира за подстицање истраживања и иновација</w:t>
            </w:r>
          </w:p>
        </w:tc>
      </w:tr>
      <w:tr w:rsidR="00854ADA" w:rsidRPr="00FF386D" w14:paraId="085685AF" w14:textId="77777777" w:rsidTr="0057310C">
        <w:trPr>
          <w:trHeight w:val="321"/>
        </w:trPr>
        <w:tc>
          <w:tcPr>
            <w:tcW w:w="3296" w:type="dxa"/>
            <w:tcBorders>
              <w:top w:val="nil"/>
              <w:left w:val="single" w:sz="8" w:space="0" w:color="auto"/>
              <w:bottom w:val="single" w:sz="8" w:space="0" w:color="auto"/>
              <w:right w:val="nil"/>
            </w:tcBorders>
            <w:shd w:val="clear" w:color="000000" w:fill="244062"/>
            <w:vAlign w:val="center"/>
            <w:hideMark/>
          </w:tcPr>
          <w:p w14:paraId="35FFB0D2" w14:textId="4AC7389B"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192" w:type="dxa"/>
            <w:gridSpan w:val="3"/>
            <w:tcBorders>
              <w:top w:val="single" w:sz="8" w:space="0" w:color="auto"/>
              <w:left w:val="nil"/>
              <w:bottom w:val="single" w:sz="8" w:space="0" w:color="auto"/>
              <w:right w:val="single" w:sz="8" w:space="0" w:color="000000"/>
            </w:tcBorders>
            <w:vAlign w:val="center"/>
            <w:hideMark/>
          </w:tcPr>
          <w:p w14:paraId="2D2F3D7C" w14:textId="0D8FAF6A"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Измене прописа, п</w:t>
            </w:r>
            <w:r w:rsidR="005F5622" w:rsidRPr="000A2AFE">
              <w:rPr>
                <w:rFonts w:ascii="Calibri Light" w:eastAsia="Times New Roman" w:hAnsi="Calibri Light" w:cs="Calibri Light"/>
                <w:color w:val="000000"/>
                <w:sz w:val="20"/>
                <w:szCs w:val="20"/>
                <w:lang w:eastAsia="en-GB"/>
              </w:rPr>
              <w:t>одстицање</w:t>
            </w:r>
            <w:r w:rsidRPr="000A2AFE">
              <w:rPr>
                <w:rFonts w:ascii="Calibri Light" w:eastAsia="Times New Roman" w:hAnsi="Calibri Light" w:cs="Calibri Light"/>
                <w:color w:val="000000"/>
                <w:sz w:val="20"/>
                <w:szCs w:val="20"/>
                <w:lang w:eastAsia="en-GB"/>
              </w:rPr>
              <w:t xml:space="preserve"> истраживања и иновација</w:t>
            </w:r>
          </w:p>
        </w:tc>
      </w:tr>
      <w:tr w:rsidR="00854ADA" w:rsidRPr="00FF386D" w14:paraId="593069E9" w14:textId="77777777" w:rsidTr="0057310C">
        <w:trPr>
          <w:trHeight w:val="315"/>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7A53308F" w14:textId="57D3645B"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192" w:type="dxa"/>
            <w:gridSpan w:val="3"/>
            <w:tcBorders>
              <w:top w:val="single" w:sz="8" w:space="0" w:color="auto"/>
              <w:left w:val="nil"/>
              <w:bottom w:val="single" w:sz="8" w:space="0" w:color="auto"/>
              <w:right w:val="single" w:sz="8" w:space="0" w:color="000000"/>
            </w:tcBorders>
            <w:vAlign w:val="center"/>
          </w:tcPr>
          <w:p w14:paraId="647AE1AC"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Повећање нивоа технолошке спремности у области енергетике (квалитативан циљ)</w:t>
            </w:r>
          </w:p>
        </w:tc>
      </w:tr>
      <w:tr w:rsidR="00854ADA" w:rsidRPr="00FF386D" w14:paraId="56858849" w14:textId="77777777" w:rsidTr="0057310C">
        <w:trPr>
          <w:trHeight w:val="708"/>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315BF51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192" w:type="dxa"/>
            <w:gridSpan w:val="3"/>
            <w:tcBorders>
              <w:top w:val="single" w:sz="8" w:space="0" w:color="auto"/>
              <w:left w:val="nil"/>
              <w:bottom w:val="single" w:sz="8" w:space="0" w:color="auto"/>
              <w:right w:val="single" w:sz="8" w:space="0" w:color="000000"/>
            </w:tcBorders>
            <w:vAlign w:val="center"/>
            <w:hideMark/>
          </w:tcPr>
          <w:p w14:paraId="2FD697AD" w14:textId="63BDCCED"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 xml:space="preserve">МП_ИИК1 ће </w:t>
            </w:r>
            <w:r w:rsidR="005F5622" w:rsidRPr="000A2AFE">
              <w:rPr>
                <w:rFonts w:ascii="Calibri Light" w:eastAsia="Times New Roman" w:hAnsi="Calibri Light" w:cs="Calibri Light"/>
                <w:color w:val="000000"/>
                <w:sz w:val="20"/>
                <w:szCs w:val="20"/>
                <w:lang w:eastAsia="en-GB"/>
              </w:rPr>
              <w:t>унапредити</w:t>
            </w:r>
            <w:r w:rsidRPr="000A2AFE">
              <w:rPr>
                <w:rFonts w:ascii="Calibri Light" w:eastAsia="Times New Roman" w:hAnsi="Calibri Light" w:cs="Calibri Light"/>
                <w:color w:val="000000"/>
                <w:sz w:val="20"/>
                <w:szCs w:val="20"/>
                <w:lang w:eastAsia="en-GB"/>
              </w:rPr>
              <w:t xml:space="preserve"> правни оквир како би се додатно п</w:t>
            </w:r>
            <w:r w:rsidR="005F5622" w:rsidRPr="000A2AFE">
              <w:rPr>
                <w:rFonts w:ascii="Calibri Light" w:eastAsia="Times New Roman" w:hAnsi="Calibri Light" w:cs="Calibri Light"/>
                <w:color w:val="000000"/>
                <w:sz w:val="20"/>
                <w:szCs w:val="20"/>
                <w:lang w:eastAsia="en-GB"/>
              </w:rPr>
              <w:t xml:space="preserve">одстицали </w:t>
            </w:r>
            <w:r w:rsidRPr="000A2AFE">
              <w:rPr>
                <w:rFonts w:ascii="Calibri Light" w:eastAsia="Times New Roman" w:hAnsi="Calibri Light" w:cs="Calibri Light"/>
                <w:color w:val="000000"/>
                <w:sz w:val="20"/>
                <w:szCs w:val="20"/>
                <w:lang w:eastAsia="en-GB"/>
              </w:rPr>
              <w:t xml:space="preserve">истраживање и иновације, осигуравајући да ново законодавство буде </w:t>
            </w:r>
            <w:r w:rsidR="005F5622" w:rsidRPr="000A2AFE">
              <w:rPr>
                <w:rFonts w:ascii="Calibri Light" w:eastAsia="Times New Roman" w:hAnsi="Calibri Light" w:cs="Calibri Light"/>
                <w:color w:val="000000"/>
                <w:sz w:val="20"/>
                <w:szCs w:val="20"/>
                <w:lang w:eastAsia="en-GB"/>
              </w:rPr>
              <w:t xml:space="preserve">осмишљено </w:t>
            </w:r>
            <w:r w:rsidRPr="000A2AFE">
              <w:rPr>
                <w:rFonts w:ascii="Calibri Light" w:eastAsia="Times New Roman" w:hAnsi="Calibri Light" w:cs="Calibri Light"/>
                <w:color w:val="000000"/>
                <w:sz w:val="20"/>
                <w:szCs w:val="20"/>
                <w:lang w:eastAsia="en-GB"/>
              </w:rPr>
              <w:t>тако да ствара најбоље могуће услове за напредак истраживања и иновација.</w:t>
            </w:r>
          </w:p>
        </w:tc>
      </w:tr>
      <w:tr w:rsidR="00854ADA" w:rsidRPr="00FF386D" w14:paraId="131CAF4E" w14:textId="77777777" w:rsidTr="0057310C">
        <w:trPr>
          <w:trHeight w:val="315"/>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5BCA3A7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192" w:type="dxa"/>
            <w:gridSpan w:val="3"/>
            <w:tcBorders>
              <w:top w:val="single" w:sz="8" w:space="0" w:color="auto"/>
              <w:left w:val="nil"/>
              <w:bottom w:val="single" w:sz="8" w:space="0" w:color="auto"/>
              <w:right w:val="single" w:sz="8" w:space="0" w:color="000000"/>
            </w:tcBorders>
            <w:vAlign w:val="center"/>
            <w:hideMark/>
          </w:tcPr>
          <w:p w14:paraId="78313720" w14:textId="4698A41B"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202</w:t>
            </w:r>
            <w:r w:rsidR="00246155" w:rsidRPr="00FF386D">
              <w:rPr>
                <w:rFonts w:ascii="Calibri Light" w:hAnsi="Calibri Light"/>
                <w:sz w:val="20"/>
              </w:rPr>
              <w:t>3</w:t>
            </w:r>
            <w:r w:rsidRPr="00FF386D">
              <w:rPr>
                <w:rFonts w:ascii="Calibri Light" w:hAnsi="Calibri Light"/>
                <w:sz w:val="20"/>
              </w:rPr>
              <w:t>-2030.</w:t>
            </w:r>
          </w:p>
        </w:tc>
      </w:tr>
      <w:tr w:rsidR="00854ADA" w:rsidRPr="00FF386D" w14:paraId="647AC7F6" w14:textId="77777777" w:rsidTr="0057310C">
        <w:trPr>
          <w:trHeight w:val="315"/>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4E7DED5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192" w:type="dxa"/>
            <w:gridSpan w:val="3"/>
            <w:tcBorders>
              <w:top w:val="single" w:sz="8" w:space="0" w:color="auto"/>
              <w:left w:val="nil"/>
              <w:bottom w:val="single" w:sz="8" w:space="0" w:color="auto"/>
              <w:right w:val="single" w:sz="8" w:space="0" w:color="000000"/>
            </w:tcBorders>
            <w:vAlign w:val="center"/>
            <w:hideMark/>
          </w:tcPr>
          <w:p w14:paraId="50082B87" w14:textId="630DCDAC" w:rsidR="00854ADA" w:rsidRPr="00FF386D" w:rsidRDefault="0016113F" w:rsidP="00854ADA">
            <w:pPr>
              <w:spacing w:after="0" w:line="240" w:lineRule="auto"/>
              <w:rPr>
                <w:rFonts w:asciiTheme="majorHAnsi" w:eastAsia="Times New Roman" w:hAnsiTheme="majorHAnsi" w:cstheme="majorHAnsi"/>
                <w:color w:val="000000"/>
                <w:sz w:val="20"/>
                <w:szCs w:val="20"/>
                <w:lang w:eastAsia="en-GB"/>
              </w:rPr>
            </w:pPr>
            <w:r>
              <w:rPr>
                <w:rFonts w:asciiTheme="majorHAnsi" w:eastAsia="Times New Roman" w:hAnsiTheme="majorHAnsi" w:cstheme="majorHAnsi"/>
                <w:color w:val="000000"/>
                <w:sz w:val="20"/>
                <w:szCs w:val="20"/>
                <w:lang w:eastAsia="en-GB"/>
              </w:rPr>
              <w:t>Реформа</w:t>
            </w:r>
          </w:p>
        </w:tc>
      </w:tr>
      <w:tr w:rsidR="00854ADA" w:rsidRPr="00FF386D" w14:paraId="7845455A" w14:textId="77777777" w:rsidTr="0057310C">
        <w:trPr>
          <w:trHeight w:val="315"/>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5556141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192" w:type="dxa"/>
            <w:gridSpan w:val="3"/>
            <w:tcBorders>
              <w:top w:val="single" w:sz="8" w:space="0" w:color="auto"/>
              <w:left w:val="nil"/>
              <w:bottom w:val="single" w:sz="8" w:space="0" w:color="auto"/>
              <w:right w:val="single" w:sz="8" w:space="0" w:color="000000"/>
            </w:tcBorders>
            <w:vAlign w:val="center"/>
            <w:hideMark/>
          </w:tcPr>
          <w:p w14:paraId="624E7E04" w14:textId="00D74FC1"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Све области </w:t>
            </w:r>
            <w:r w:rsidR="005F5622" w:rsidRPr="00FF386D">
              <w:rPr>
                <w:rFonts w:ascii="Calibri Light" w:hAnsi="Calibri Light"/>
                <w:sz w:val="20"/>
              </w:rPr>
              <w:t>И</w:t>
            </w:r>
            <w:r w:rsidRPr="00FF386D">
              <w:rPr>
                <w:rFonts w:ascii="Calibri Light" w:hAnsi="Calibri Light"/>
                <w:sz w:val="20"/>
              </w:rPr>
              <w:t>НЕКП-а</w:t>
            </w:r>
          </w:p>
        </w:tc>
      </w:tr>
      <w:tr w:rsidR="00854ADA" w:rsidRPr="00FF386D" w14:paraId="141C4296" w14:textId="77777777" w:rsidTr="0057310C">
        <w:trPr>
          <w:trHeight w:val="315"/>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14828F1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192" w:type="dxa"/>
            <w:gridSpan w:val="3"/>
            <w:tcBorders>
              <w:top w:val="single" w:sz="8" w:space="0" w:color="auto"/>
              <w:left w:val="nil"/>
              <w:bottom w:val="single" w:sz="8" w:space="0" w:color="auto"/>
              <w:right w:val="single" w:sz="8" w:space="0" w:color="000000"/>
            </w:tcBorders>
            <w:vAlign w:val="center"/>
            <w:hideMark/>
          </w:tcPr>
          <w:p w14:paraId="6FB8803B" w14:textId="77777777" w:rsidR="00854ADA" w:rsidRPr="00FF386D" w:rsidRDefault="00854ADA" w:rsidP="00854ADA">
            <w:pPr>
              <w:numPr>
                <w:ilvl w:val="0"/>
                <w:numId w:val="38"/>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просвете, науке и технолошког развоја</w:t>
            </w:r>
            <w:r w:rsidRPr="00FF386D" w:rsidDel="00300573">
              <w:rPr>
                <w:rFonts w:asciiTheme="majorHAnsi" w:eastAsia="Times New Roman" w:hAnsiTheme="majorHAnsi" w:cstheme="majorHAnsi"/>
                <w:color w:val="000000"/>
                <w:sz w:val="20"/>
                <w:szCs w:val="20"/>
                <w:lang w:eastAsia="en-GB"/>
              </w:rPr>
              <w:t xml:space="preserve"> </w:t>
            </w:r>
            <w:r w:rsidRPr="00FF386D">
              <w:rPr>
                <w:rFonts w:asciiTheme="majorHAnsi" w:eastAsia="Times New Roman" w:hAnsiTheme="majorHAnsi" w:cstheme="majorHAnsi"/>
                <w:color w:val="000000"/>
                <w:sz w:val="20"/>
                <w:szCs w:val="20"/>
                <w:lang w:eastAsia="en-GB"/>
              </w:rPr>
              <w:t>Министарство рударства и енергетике</w:t>
            </w:r>
          </w:p>
        </w:tc>
      </w:tr>
      <w:tr w:rsidR="00854ADA" w:rsidRPr="00FF386D" w14:paraId="7C541496" w14:textId="77777777" w:rsidTr="0057310C">
        <w:trPr>
          <w:trHeight w:val="315"/>
        </w:trPr>
        <w:tc>
          <w:tcPr>
            <w:tcW w:w="3296" w:type="dxa"/>
            <w:tcBorders>
              <w:top w:val="nil"/>
              <w:left w:val="single" w:sz="8" w:space="0" w:color="auto"/>
              <w:bottom w:val="single" w:sz="8" w:space="0" w:color="auto"/>
              <w:right w:val="nil"/>
            </w:tcBorders>
            <w:shd w:val="clear" w:color="000000" w:fill="244062"/>
            <w:vAlign w:val="center"/>
            <w:hideMark/>
          </w:tcPr>
          <w:p w14:paraId="1B331E6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192" w:type="dxa"/>
            <w:gridSpan w:val="3"/>
            <w:tcBorders>
              <w:top w:val="single" w:sz="8" w:space="0" w:color="auto"/>
              <w:left w:val="nil"/>
              <w:bottom w:val="single" w:sz="8" w:space="0" w:color="auto"/>
              <w:right w:val="single" w:sz="8" w:space="0" w:color="000000"/>
            </w:tcBorders>
            <w:vAlign w:val="center"/>
            <w:hideMark/>
          </w:tcPr>
          <w:p w14:paraId="13213753" w14:textId="77777777" w:rsidR="00854ADA" w:rsidRPr="00FF386D" w:rsidRDefault="00854ADA" w:rsidP="00854ADA">
            <w:pPr>
              <w:numPr>
                <w:ilvl w:val="0"/>
                <w:numId w:val="186"/>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просвете, науке и технолошког развоја</w:t>
            </w:r>
          </w:p>
        </w:tc>
      </w:tr>
      <w:tr w:rsidR="00854ADA" w:rsidRPr="00FF386D" w14:paraId="0C80A194" w14:textId="77777777" w:rsidTr="0057310C">
        <w:trPr>
          <w:trHeight w:val="315"/>
        </w:trPr>
        <w:tc>
          <w:tcPr>
            <w:tcW w:w="3296" w:type="dxa"/>
            <w:tcBorders>
              <w:top w:val="nil"/>
              <w:left w:val="single" w:sz="8" w:space="0" w:color="auto"/>
              <w:bottom w:val="single" w:sz="8" w:space="0" w:color="auto"/>
              <w:right w:val="nil"/>
            </w:tcBorders>
            <w:shd w:val="clear" w:color="000000" w:fill="244062"/>
            <w:vAlign w:val="center"/>
            <w:hideMark/>
          </w:tcPr>
          <w:p w14:paraId="40A6A97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192" w:type="dxa"/>
            <w:gridSpan w:val="3"/>
            <w:tcBorders>
              <w:top w:val="single" w:sz="8" w:space="0" w:color="auto"/>
              <w:left w:val="nil"/>
              <w:bottom w:val="single" w:sz="8" w:space="0" w:color="auto"/>
              <w:right w:val="single" w:sz="8" w:space="0" w:color="000000"/>
            </w:tcBorders>
            <w:vAlign w:val="center"/>
            <w:hideMark/>
          </w:tcPr>
          <w:p w14:paraId="54C108EF"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Нови закони и измена постојећих</w:t>
            </w:r>
          </w:p>
        </w:tc>
      </w:tr>
      <w:tr w:rsidR="00854ADA" w:rsidRPr="00FF386D" w14:paraId="71B54145" w14:textId="77777777" w:rsidTr="0057310C">
        <w:trPr>
          <w:trHeight w:val="427"/>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3DC35BB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192" w:type="dxa"/>
            <w:gridSpan w:val="3"/>
            <w:tcBorders>
              <w:top w:val="single" w:sz="8" w:space="0" w:color="auto"/>
              <w:left w:val="nil"/>
              <w:bottom w:val="single" w:sz="8" w:space="0" w:color="auto"/>
              <w:right w:val="single" w:sz="8" w:space="0" w:color="000000"/>
            </w:tcBorders>
            <w:vAlign w:val="center"/>
            <w:hideMark/>
          </w:tcPr>
          <w:p w14:paraId="0AA18699" w14:textId="23981DF9" w:rsidR="00854ADA" w:rsidRPr="00FF386D" w:rsidRDefault="00854ADA" w:rsidP="00854ADA">
            <w:pPr>
              <w:numPr>
                <w:ilvl w:val="0"/>
                <w:numId w:val="38"/>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Унутрашње </w:t>
            </w:r>
            <w:r w:rsidR="001876A2">
              <w:rPr>
                <w:rFonts w:asciiTheme="majorHAnsi" w:eastAsia="Times New Roman" w:hAnsiTheme="majorHAnsi" w:cstheme="majorHAnsi"/>
                <w:color w:val="000000"/>
                <w:sz w:val="20"/>
                <w:szCs w:val="20"/>
                <w:lang w:eastAsia="en-GB"/>
              </w:rPr>
              <w:t xml:space="preserve">енергетско </w:t>
            </w:r>
            <w:r w:rsidRPr="00FF386D">
              <w:rPr>
                <w:rFonts w:asciiTheme="majorHAnsi" w:eastAsia="Times New Roman" w:hAnsiTheme="majorHAnsi" w:cstheme="majorHAnsi"/>
                <w:color w:val="000000"/>
                <w:sz w:val="20"/>
                <w:szCs w:val="20"/>
                <w:lang w:eastAsia="en-GB"/>
              </w:rPr>
              <w:t>тржиште</w:t>
            </w:r>
          </w:p>
        </w:tc>
      </w:tr>
      <w:tr w:rsidR="00854ADA" w:rsidRPr="00FF386D" w14:paraId="527AEAFB" w14:textId="77777777" w:rsidTr="0057310C">
        <w:trPr>
          <w:trHeight w:val="450"/>
        </w:trPr>
        <w:tc>
          <w:tcPr>
            <w:tcW w:w="3296"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5195DBEB" w14:textId="2D17C5C5"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192" w:type="dxa"/>
            <w:gridSpan w:val="3"/>
            <w:vMerge w:val="restart"/>
            <w:tcBorders>
              <w:top w:val="single" w:sz="8" w:space="0" w:color="auto"/>
              <w:left w:val="single" w:sz="8" w:space="0" w:color="auto"/>
              <w:bottom w:val="single" w:sz="8" w:space="0" w:color="000000"/>
              <w:right w:val="single" w:sz="8" w:space="0" w:color="000000"/>
            </w:tcBorders>
            <w:vAlign w:val="center"/>
          </w:tcPr>
          <w:p w14:paraId="7D2296EA" w14:textId="77777777" w:rsidR="00854ADA" w:rsidRPr="000A2AFE" w:rsidRDefault="00854ADA" w:rsidP="00854ADA">
            <w:pPr>
              <w:numPr>
                <w:ilvl w:val="0"/>
                <w:numId w:val="17"/>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Правне тековине ЕУ</w:t>
            </w:r>
          </w:p>
          <w:p w14:paraId="33049954" w14:textId="77777777" w:rsidR="00854ADA" w:rsidRPr="00FF386D" w:rsidRDefault="00854ADA" w:rsidP="00854ADA">
            <w:pPr>
              <w:numPr>
                <w:ilvl w:val="0"/>
                <w:numId w:val="38"/>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Европски стратешки план за енергетске технологије (план СЕТ)</w:t>
            </w:r>
          </w:p>
        </w:tc>
      </w:tr>
      <w:tr w:rsidR="00854ADA" w:rsidRPr="00FF386D" w14:paraId="33D62701"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50957341"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192" w:type="dxa"/>
            <w:gridSpan w:val="3"/>
            <w:vMerge/>
            <w:tcBorders>
              <w:top w:val="single" w:sz="8" w:space="0" w:color="auto"/>
              <w:left w:val="single" w:sz="8" w:space="0" w:color="auto"/>
              <w:bottom w:val="single" w:sz="8" w:space="0" w:color="000000"/>
              <w:right w:val="single" w:sz="8" w:space="0" w:color="000000"/>
            </w:tcBorders>
            <w:vAlign w:val="center"/>
          </w:tcPr>
          <w:p w14:paraId="107356D0"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3DEF47C4"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39A3291B"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192" w:type="dxa"/>
            <w:gridSpan w:val="3"/>
            <w:vMerge/>
            <w:tcBorders>
              <w:top w:val="single" w:sz="8" w:space="0" w:color="auto"/>
              <w:left w:val="single" w:sz="8" w:space="0" w:color="auto"/>
              <w:bottom w:val="single" w:sz="8" w:space="0" w:color="000000"/>
              <w:right w:val="single" w:sz="8" w:space="0" w:color="000000"/>
            </w:tcBorders>
            <w:vAlign w:val="center"/>
          </w:tcPr>
          <w:p w14:paraId="436CBF2F"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253B902A" w14:textId="77777777" w:rsidTr="0057310C">
        <w:trPr>
          <w:trHeight w:val="474"/>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1FA0EDF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92" w:type="dxa"/>
            <w:gridSpan w:val="3"/>
            <w:tcBorders>
              <w:top w:val="single" w:sz="8" w:space="0" w:color="auto"/>
              <w:left w:val="nil"/>
              <w:bottom w:val="single" w:sz="8" w:space="0" w:color="auto"/>
              <w:right w:val="single" w:sz="8" w:space="0" w:color="000000"/>
            </w:tcBorders>
            <w:vAlign w:val="center"/>
          </w:tcPr>
          <w:p w14:paraId="7BD4F1D1" w14:textId="77777777" w:rsidR="00854ADA" w:rsidRPr="000A2AFE" w:rsidRDefault="00854ADA">
            <w:pPr>
              <w:numPr>
                <w:ilvl w:val="0"/>
                <w:numId w:val="241"/>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Закон о Фонду за науку</w:t>
            </w:r>
          </w:p>
          <w:p w14:paraId="334DD2C4" w14:textId="77777777" w:rsidR="00854ADA" w:rsidRPr="000A2AFE" w:rsidRDefault="00854ADA">
            <w:pPr>
              <w:numPr>
                <w:ilvl w:val="0"/>
                <w:numId w:val="241"/>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Закон о науци и истраживању</w:t>
            </w:r>
          </w:p>
          <w:p w14:paraId="4B9B7C26" w14:textId="1DC28ECF" w:rsidR="00854ADA" w:rsidRPr="000A2AFE" w:rsidRDefault="00854ADA">
            <w:pPr>
              <w:numPr>
                <w:ilvl w:val="0"/>
                <w:numId w:val="241"/>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Стратегија научног и технолошког развоја Републике Србије за период од 2021. до 2025. године са мотом</w:t>
            </w:r>
            <w:r w:rsidR="00853A07">
              <w:rPr>
                <w:rFonts w:ascii="Calibri Light" w:eastAsia="Times New Roman" w:hAnsi="Calibri Light" w:cs="Calibri Light"/>
                <w:color w:val="000000"/>
                <w:sz w:val="20"/>
                <w:szCs w:val="20"/>
                <w:lang w:val="sr-Latn-RS" w:eastAsia="en-GB"/>
              </w:rPr>
              <w:t xml:space="preserve">. </w:t>
            </w:r>
            <w:r w:rsidRPr="000A2AFE">
              <w:rPr>
                <w:rFonts w:ascii="Calibri Light" w:eastAsia="Times New Roman" w:hAnsi="Calibri Light" w:cs="Calibri Light"/>
                <w:color w:val="000000"/>
                <w:sz w:val="20"/>
                <w:szCs w:val="20"/>
                <w:lang w:eastAsia="en-GB"/>
              </w:rPr>
              <w:t>Моћ знања”</w:t>
            </w:r>
          </w:p>
          <w:p w14:paraId="26F69A91" w14:textId="77777777" w:rsidR="00854ADA" w:rsidRPr="000A2AFE" w:rsidRDefault="00854ADA">
            <w:pPr>
              <w:numPr>
                <w:ilvl w:val="0"/>
                <w:numId w:val="241"/>
              </w:numPr>
              <w:spacing w:after="0" w:line="240" w:lineRule="auto"/>
              <w:contextualSpacing/>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Стратегија паметне специјализације Републике Србије (4С) за период 2020-2027.</w:t>
            </w:r>
          </w:p>
          <w:p w14:paraId="5D948191" w14:textId="77777777" w:rsidR="00854ADA" w:rsidRPr="00FF386D" w:rsidRDefault="00854ADA" w:rsidP="00854ADA">
            <w:pPr>
              <w:numPr>
                <w:ilvl w:val="0"/>
                <w:numId w:val="82"/>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Стратегија индустријске политике од 2021. до 2030. године</w:t>
            </w:r>
          </w:p>
        </w:tc>
      </w:tr>
      <w:tr w:rsidR="00854ADA" w:rsidRPr="00FF386D" w14:paraId="05BDB643" w14:textId="77777777" w:rsidTr="0057310C">
        <w:trPr>
          <w:trHeight w:val="315"/>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791651B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92" w:type="dxa"/>
            <w:gridSpan w:val="3"/>
            <w:tcBorders>
              <w:top w:val="single" w:sz="8" w:space="0" w:color="auto"/>
              <w:left w:val="nil"/>
              <w:bottom w:val="single" w:sz="8" w:space="0" w:color="auto"/>
              <w:right w:val="single" w:sz="8" w:space="0" w:color="000000"/>
            </w:tcBorders>
            <w:vAlign w:val="center"/>
          </w:tcPr>
          <w:p w14:paraId="684A4ECB"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0,1 милиона евра</w:t>
            </w:r>
          </w:p>
        </w:tc>
      </w:tr>
      <w:tr w:rsidR="00854ADA" w:rsidRPr="00FF386D" w14:paraId="6F2FFDB6" w14:textId="77777777" w:rsidTr="0057310C">
        <w:trPr>
          <w:trHeight w:val="315"/>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5A05ED1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92" w:type="dxa"/>
            <w:gridSpan w:val="3"/>
            <w:tcBorders>
              <w:top w:val="single" w:sz="8" w:space="0" w:color="auto"/>
              <w:left w:val="nil"/>
              <w:bottom w:val="single" w:sz="8" w:space="0" w:color="auto"/>
              <w:right w:val="single" w:sz="8" w:space="0" w:color="000000"/>
            </w:tcBorders>
            <w:shd w:val="clear" w:color="auto" w:fill="auto"/>
            <w:vAlign w:val="center"/>
          </w:tcPr>
          <w:p w14:paraId="3066B4BA" w14:textId="6BD2FECA" w:rsidR="00854ADA" w:rsidRPr="00FF386D" w:rsidRDefault="001876A2" w:rsidP="00854ADA">
            <w:pPr>
              <w:spacing w:after="0" w:line="240" w:lineRule="auto"/>
              <w:rPr>
                <w:rFonts w:asciiTheme="majorHAnsi" w:eastAsia="Times New Roman" w:hAnsiTheme="majorHAnsi" w:cstheme="majorHAnsi"/>
                <w:color w:val="000000"/>
                <w:lang w:eastAsia="en-GB"/>
              </w:rPr>
            </w:pPr>
            <w:r>
              <w:rPr>
                <w:rFonts w:asciiTheme="majorHAnsi" w:eastAsia="Times New Roman" w:hAnsiTheme="majorHAnsi" w:cstheme="majorHAnsi"/>
                <w:color w:val="000000"/>
                <w:sz w:val="20"/>
                <w:szCs w:val="20"/>
                <w:lang w:eastAsia="en-GB"/>
              </w:rPr>
              <w:t>Б</w:t>
            </w:r>
            <w:r w:rsidR="00854ADA" w:rsidRPr="00FF386D">
              <w:rPr>
                <w:rFonts w:asciiTheme="majorHAnsi" w:eastAsia="Times New Roman" w:hAnsiTheme="majorHAnsi" w:cstheme="majorHAnsi"/>
                <w:color w:val="000000"/>
                <w:sz w:val="20"/>
                <w:szCs w:val="20"/>
                <w:lang w:eastAsia="en-GB"/>
              </w:rPr>
              <w:t>уџет</w:t>
            </w:r>
            <w:r w:rsidR="00246155" w:rsidRPr="00FF386D">
              <w:rPr>
                <w:rFonts w:asciiTheme="majorHAnsi" w:eastAsia="Times New Roman" w:hAnsiTheme="majorHAnsi" w:cstheme="majorHAnsi"/>
                <w:color w:val="000000"/>
                <w:sz w:val="20"/>
                <w:szCs w:val="20"/>
                <w:lang w:eastAsia="en-GB"/>
              </w:rPr>
              <w:t>ска средства</w:t>
            </w:r>
          </w:p>
        </w:tc>
      </w:tr>
    </w:tbl>
    <w:p w14:paraId="1F252D86" w14:textId="77777777" w:rsidR="00854ADA" w:rsidRPr="00FF386D" w:rsidRDefault="00854ADA" w:rsidP="00854ADA">
      <w:pPr>
        <w:spacing w:before="120" w:after="120" w:line="240" w:lineRule="auto"/>
        <w:rPr>
          <w:rFonts w:ascii="Calibri" w:eastAsia="Times New Roman" w:hAnsi="Calibri" w:cs="Arial"/>
          <w:highlight w:val="green"/>
          <w:lang w:eastAsia="el-GR"/>
        </w:rPr>
      </w:pPr>
    </w:p>
    <w:tbl>
      <w:tblPr>
        <w:tblW w:w="9488" w:type="dxa"/>
        <w:tblLook w:val="04A0" w:firstRow="1" w:lastRow="0" w:firstColumn="1" w:lastColumn="0" w:noHBand="0" w:noVBand="1"/>
      </w:tblPr>
      <w:tblGrid>
        <w:gridCol w:w="3295"/>
        <w:gridCol w:w="1071"/>
        <w:gridCol w:w="939"/>
        <w:gridCol w:w="4183"/>
      </w:tblGrid>
      <w:tr w:rsidR="00854ADA" w:rsidRPr="00FF386D" w14:paraId="16DC6178" w14:textId="77777777" w:rsidTr="0057310C">
        <w:trPr>
          <w:trHeight w:val="780"/>
        </w:trPr>
        <w:tc>
          <w:tcPr>
            <w:tcW w:w="3295"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705031A3" w14:textId="036B8016"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071" w:type="dxa"/>
            <w:tcBorders>
              <w:top w:val="single" w:sz="8" w:space="0" w:color="auto"/>
              <w:left w:val="nil"/>
              <w:bottom w:val="single" w:sz="8" w:space="0" w:color="auto"/>
              <w:right w:val="single" w:sz="8" w:space="0" w:color="auto"/>
            </w:tcBorders>
            <w:shd w:val="clear" w:color="auto" w:fill="E7E6E6" w:themeFill="background2"/>
            <w:vAlign w:val="center"/>
            <w:hideMark/>
          </w:tcPr>
          <w:p w14:paraId="4F8D30C0"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МП_ИИК2</w:t>
            </w:r>
          </w:p>
        </w:tc>
        <w:tc>
          <w:tcPr>
            <w:tcW w:w="939" w:type="dxa"/>
            <w:tcBorders>
              <w:top w:val="single" w:sz="8" w:space="0" w:color="auto"/>
              <w:left w:val="nil"/>
              <w:bottom w:val="single" w:sz="8" w:space="0" w:color="auto"/>
              <w:right w:val="single" w:sz="8" w:space="0" w:color="auto"/>
            </w:tcBorders>
            <w:shd w:val="clear" w:color="auto" w:fill="244062"/>
            <w:vAlign w:val="center"/>
            <w:hideMark/>
          </w:tcPr>
          <w:p w14:paraId="76941D5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83" w:type="dxa"/>
            <w:tcBorders>
              <w:top w:val="single" w:sz="8" w:space="0" w:color="auto"/>
              <w:left w:val="nil"/>
              <w:bottom w:val="single" w:sz="8" w:space="0" w:color="auto"/>
              <w:right w:val="single" w:sz="8" w:space="0" w:color="auto"/>
            </w:tcBorders>
            <w:shd w:val="clear" w:color="auto" w:fill="E7E6E6" w:themeFill="background2"/>
            <w:vAlign w:val="center"/>
            <w:hideMark/>
          </w:tcPr>
          <w:p w14:paraId="2B37CDBC"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Успостављање Заједничке акције државне помоћи за истраживање и иновације у области енергетике</w:t>
            </w:r>
          </w:p>
        </w:tc>
      </w:tr>
      <w:tr w:rsidR="00854ADA" w:rsidRPr="00FF386D" w14:paraId="5F9BFEFD" w14:textId="77777777" w:rsidTr="0057310C">
        <w:trPr>
          <w:trHeight w:val="339"/>
        </w:trPr>
        <w:tc>
          <w:tcPr>
            <w:tcW w:w="3295" w:type="dxa"/>
            <w:tcBorders>
              <w:top w:val="nil"/>
              <w:left w:val="single" w:sz="8" w:space="0" w:color="auto"/>
              <w:bottom w:val="single" w:sz="8" w:space="0" w:color="auto"/>
              <w:right w:val="nil"/>
            </w:tcBorders>
            <w:shd w:val="clear" w:color="000000" w:fill="244062"/>
            <w:vAlign w:val="center"/>
            <w:hideMark/>
          </w:tcPr>
          <w:p w14:paraId="1F93E69A" w14:textId="4E1D7341"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193" w:type="dxa"/>
            <w:gridSpan w:val="3"/>
            <w:tcBorders>
              <w:top w:val="single" w:sz="8" w:space="0" w:color="auto"/>
              <w:left w:val="nil"/>
              <w:bottom w:val="single" w:sz="8" w:space="0" w:color="auto"/>
              <w:right w:val="single" w:sz="8" w:space="0" w:color="000000"/>
            </w:tcBorders>
            <w:vAlign w:val="center"/>
            <w:hideMark/>
          </w:tcPr>
          <w:p w14:paraId="080269A8"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Измене прописа, промоција истраживања и иновација</w:t>
            </w:r>
          </w:p>
        </w:tc>
      </w:tr>
      <w:tr w:rsidR="00854ADA" w:rsidRPr="00FF386D" w14:paraId="1BBDA5A7" w14:textId="77777777" w:rsidTr="0057310C">
        <w:trPr>
          <w:trHeight w:val="315"/>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7E920925" w14:textId="5ADB6558"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193" w:type="dxa"/>
            <w:gridSpan w:val="3"/>
            <w:tcBorders>
              <w:top w:val="single" w:sz="8" w:space="0" w:color="auto"/>
              <w:left w:val="nil"/>
              <w:bottom w:val="single" w:sz="8" w:space="0" w:color="auto"/>
              <w:right w:val="single" w:sz="8" w:space="0" w:color="000000"/>
            </w:tcBorders>
            <w:vAlign w:val="center"/>
          </w:tcPr>
          <w:p w14:paraId="4375DD75"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Повећање нивоа технолошке спремности у области енергетике (квалитативан циљ)</w:t>
            </w:r>
          </w:p>
        </w:tc>
      </w:tr>
      <w:tr w:rsidR="00854ADA" w:rsidRPr="00FF386D" w14:paraId="6D9E84E8" w14:textId="77777777" w:rsidTr="00565B02">
        <w:trPr>
          <w:trHeight w:val="1113"/>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5588AA7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193" w:type="dxa"/>
            <w:gridSpan w:val="3"/>
            <w:tcBorders>
              <w:top w:val="single" w:sz="8" w:space="0" w:color="auto"/>
              <w:left w:val="nil"/>
              <w:bottom w:val="single" w:sz="8" w:space="0" w:color="auto"/>
              <w:right w:val="single" w:sz="8" w:space="0" w:color="000000"/>
            </w:tcBorders>
            <w:vAlign w:val="center"/>
            <w:hideMark/>
          </w:tcPr>
          <w:p w14:paraId="77009D46" w14:textId="7DEA6A3B"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ПМ_ИИК2 ће промовисати успостављање Заједничке акције државне помоћи за истраживање и иновације која има за циљ повезивање истраживања и развоја са предузетништвом и јачање конкурентности, продуктивности и отворености предузећа према међународним тржиштима, са циљем преласка на квалитетно иновативно предузетништво и повећање домаће додате вредности. Конкретн</w:t>
            </w:r>
            <w:r w:rsidR="003421A3" w:rsidRPr="000A2AFE">
              <w:rPr>
                <w:rFonts w:ascii="Calibri Light" w:eastAsia="Times New Roman" w:hAnsi="Calibri Light" w:cs="Calibri Light"/>
                <w:color w:val="000000"/>
                <w:sz w:val="20"/>
                <w:szCs w:val="20"/>
                <w:lang w:eastAsia="en-GB"/>
              </w:rPr>
              <w:t>е</w:t>
            </w:r>
            <w:r w:rsidRPr="000A2AFE">
              <w:rPr>
                <w:rFonts w:ascii="Calibri Light" w:eastAsia="Times New Roman" w:hAnsi="Calibri Light" w:cs="Calibri Light"/>
                <w:color w:val="000000"/>
                <w:sz w:val="20"/>
                <w:szCs w:val="20"/>
                <w:lang w:eastAsia="en-GB"/>
              </w:rPr>
              <w:t xml:space="preserve"> интервенције Акције обухватају: (а) истраживање и развој </w:t>
            </w:r>
            <w:r w:rsidR="003421A3" w:rsidRPr="000A2AFE">
              <w:rPr>
                <w:rFonts w:ascii="Calibri Light" w:eastAsia="Times New Roman" w:hAnsi="Calibri Light" w:cs="Calibri Light"/>
                <w:color w:val="000000"/>
                <w:sz w:val="20"/>
                <w:szCs w:val="20"/>
                <w:lang w:eastAsia="en-GB"/>
              </w:rPr>
              <w:t xml:space="preserve">у оквиру </w:t>
            </w:r>
            <w:r w:rsidRPr="000A2AFE">
              <w:rPr>
                <w:rFonts w:ascii="Calibri Light" w:eastAsia="Times New Roman" w:hAnsi="Calibri Light" w:cs="Calibri Light"/>
                <w:color w:val="000000"/>
                <w:sz w:val="20"/>
                <w:szCs w:val="20"/>
                <w:lang w:eastAsia="en-GB"/>
              </w:rPr>
              <w:t xml:space="preserve">малих и средњих предузећа, </w:t>
            </w:r>
            <w:r w:rsidR="003421A3" w:rsidRPr="000A2AFE">
              <w:rPr>
                <w:rFonts w:ascii="Calibri Light" w:eastAsia="Times New Roman" w:hAnsi="Calibri Light" w:cs="Calibri Light"/>
                <w:color w:val="000000"/>
                <w:sz w:val="20"/>
                <w:szCs w:val="20"/>
                <w:lang w:eastAsia="en-GB"/>
              </w:rPr>
              <w:t>уз</w:t>
            </w:r>
            <w:r w:rsidRPr="000A2AFE">
              <w:rPr>
                <w:rFonts w:ascii="Calibri Light" w:eastAsia="Times New Roman" w:hAnsi="Calibri Light" w:cs="Calibri Light"/>
                <w:color w:val="000000"/>
                <w:sz w:val="20"/>
                <w:szCs w:val="20"/>
                <w:lang w:eastAsia="en-GB"/>
              </w:rPr>
              <w:t xml:space="preserve"> подр</w:t>
            </w:r>
            <w:r w:rsidR="003421A3" w:rsidRPr="000A2AFE">
              <w:rPr>
                <w:rFonts w:ascii="Calibri Light" w:eastAsia="Times New Roman" w:hAnsi="Calibri Light" w:cs="Calibri Light"/>
                <w:color w:val="000000"/>
                <w:sz w:val="20"/>
                <w:szCs w:val="20"/>
                <w:lang w:eastAsia="en-GB"/>
              </w:rPr>
              <w:t>шку</w:t>
            </w:r>
            <w:r w:rsidRPr="000A2AFE">
              <w:rPr>
                <w:rFonts w:ascii="Calibri Light" w:eastAsia="Times New Roman" w:hAnsi="Calibri Light" w:cs="Calibri Light"/>
                <w:color w:val="000000"/>
                <w:sz w:val="20"/>
                <w:szCs w:val="20"/>
                <w:lang w:eastAsia="en-GB"/>
              </w:rPr>
              <w:t xml:space="preserve"> индустријск</w:t>
            </w:r>
            <w:r w:rsidR="003421A3" w:rsidRPr="000A2AFE">
              <w:rPr>
                <w:rFonts w:ascii="Calibri Light" w:eastAsia="Times New Roman" w:hAnsi="Calibri Light" w:cs="Calibri Light"/>
                <w:color w:val="000000"/>
                <w:sz w:val="20"/>
                <w:szCs w:val="20"/>
                <w:lang w:eastAsia="en-GB"/>
              </w:rPr>
              <w:t>им</w:t>
            </w:r>
            <w:r w:rsidRPr="000A2AFE">
              <w:rPr>
                <w:rFonts w:ascii="Calibri Light" w:eastAsia="Times New Roman" w:hAnsi="Calibri Light" w:cs="Calibri Light"/>
                <w:color w:val="000000"/>
                <w:sz w:val="20"/>
                <w:szCs w:val="20"/>
                <w:lang w:eastAsia="en-GB"/>
              </w:rPr>
              <w:t xml:space="preserve"> истраживањ</w:t>
            </w:r>
            <w:r w:rsidR="003421A3" w:rsidRPr="000A2AFE">
              <w:rPr>
                <w:rFonts w:ascii="Calibri Light" w:eastAsia="Times New Roman" w:hAnsi="Calibri Light" w:cs="Calibri Light"/>
                <w:color w:val="000000"/>
                <w:sz w:val="20"/>
                <w:szCs w:val="20"/>
                <w:lang w:eastAsia="en-GB"/>
              </w:rPr>
              <w:t>има</w:t>
            </w:r>
            <w:r w:rsidRPr="000A2AFE">
              <w:rPr>
                <w:rFonts w:ascii="Calibri Light" w:eastAsia="Times New Roman" w:hAnsi="Calibri Light" w:cs="Calibri Light"/>
                <w:color w:val="000000"/>
                <w:sz w:val="20"/>
                <w:szCs w:val="20"/>
                <w:lang w:eastAsia="en-GB"/>
              </w:rPr>
              <w:t xml:space="preserve"> заснован</w:t>
            </w:r>
            <w:r w:rsidR="003421A3" w:rsidRPr="000A2AFE">
              <w:rPr>
                <w:rFonts w:ascii="Calibri Light" w:eastAsia="Times New Roman" w:hAnsi="Calibri Light" w:cs="Calibri Light"/>
                <w:color w:val="000000"/>
                <w:sz w:val="20"/>
                <w:szCs w:val="20"/>
                <w:lang w:eastAsia="en-GB"/>
              </w:rPr>
              <w:t>им</w:t>
            </w:r>
            <w:r w:rsidRPr="000A2AFE">
              <w:rPr>
                <w:rFonts w:ascii="Calibri Light" w:eastAsia="Times New Roman" w:hAnsi="Calibri Light" w:cs="Calibri Light"/>
                <w:color w:val="000000"/>
                <w:sz w:val="20"/>
                <w:szCs w:val="20"/>
                <w:lang w:eastAsia="en-GB"/>
              </w:rPr>
              <w:t xml:space="preserve"> на широком спектру сектора, промоцију иновација и пословно умрежавање, (б) пословна партнерства са </w:t>
            </w:r>
            <w:r w:rsidRPr="000A2AFE">
              <w:rPr>
                <w:rFonts w:ascii="Calibri Light" w:eastAsia="Times New Roman" w:hAnsi="Calibri Light" w:cs="Calibri Light"/>
                <w:color w:val="000000"/>
                <w:sz w:val="20"/>
                <w:szCs w:val="20"/>
                <w:lang w:eastAsia="en-GB"/>
              </w:rPr>
              <w:lastRenderedPageBreak/>
              <w:t>истраживачким организацијама у којима се промовише сарадња на пројектима истраживања и развоја између предузећа и истраживачких институција и (в) искоришћавање резултата истраживања добијених из претходних истраживачких пројеката.</w:t>
            </w:r>
          </w:p>
        </w:tc>
      </w:tr>
      <w:tr w:rsidR="00854ADA" w:rsidRPr="00FF386D" w14:paraId="1722180D" w14:textId="77777777" w:rsidTr="0057310C">
        <w:trPr>
          <w:trHeight w:val="315"/>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755DA97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Временски оквир имплементације</w:t>
            </w:r>
          </w:p>
        </w:tc>
        <w:tc>
          <w:tcPr>
            <w:tcW w:w="6193" w:type="dxa"/>
            <w:gridSpan w:val="3"/>
            <w:tcBorders>
              <w:top w:val="single" w:sz="8" w:space="0" w:color="auto"/>
              <w:left w:val="nil"/>
              <w:bottom w:val="single" w:sz="8" w:space="0" w:color="auto"/>
              <w:right w:val="single" w:sz="8" w:space="0" w:color="000000"/>
            </w:tcBorders>
            <w:vAlign w:val="center"/>
            <w:hideMark/>
          </w:tcPr>
          <w:p w14:paraId="253C58A9" w14:textId="0A4F68FB"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202</w:t>
            </w:r>
            <w:r w:rsidR="00246155" w:rsidRPr="000A2AFE">
              <w:rPr>
                <w:rFonts w:ascii="Calibri Light" w:eastAsia="Times New Roman" w:hAnsi="Calibri Light" w:cs="Calibri Light"/>
                <w:color w:val="000000"/>
                <w:sz w:val="20"/>
                <w:szCs w:val="20"/>
                <w:lang w:eastAsia="en-GB"/>
              </w:rPr>
              <w:t>3</w:t>
            </w:r>
            <w:r w:rsidRPr="000A2AFE">
              <w:rPr>
                <w:rFonts w:ascii="Calibri Light" w:eastAsia="Times New Roman" w:hAnsi="Calibri Light" w:cs="Calibri Light"/>
                <w:color w:val="000000"/>
                <w:sz w:val="20"/>
                <w:szCs w:val="20"/>
                <w:lang w:eastAsia="en-GB"/>
              </w:rPr>
              <w:t>-2030.</w:t>
            </w:r>
          </w:p>
        </w:tc>
      </w:tr>
      <w:tr w:rsidR="00854ADA" w:rsidRPr="00FF386D" w14:paraId="32EBB216" w14:textId="77777777" w:rsidTr="0057310C">
        <w:trPr>
          <w:trHeight w:val="315"/>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1201573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193" w:type="dxa"/>
            <w:gridSpan w:val="3"/>
            <w:tcBorders>
              <w:top w:val="single" w:sz="8" w:space="0" w:color="auto"/>
              <w:left w:val="nil"/>
              <w:bottom w:val="single" w:sz="8" w:space="0" w:color="auto"/>
              <w:right w:val="single" w:sz="8" w:space="0" w:color="000000"/>
            </w:tcBorders>
            <w:vAlign w:val="center"/>
            <w:hideMark/>
          </w:tcPr>
          <w:p w14:paraId="587C483A"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Инвестиција</w:t>
            </w:r>
          </w:p>
        </w:tc>
      </w:tr>
      <w:tr w:rsidR="00854ADA" w:rsidRPr="00FF386D" w14:paraId="36514FEC" w14:textId="77777777" w:rsidTr="0057310C">
        <w:trPr>
          <w:trHeight w:val="315"/>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171BC7B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193" w:type="dxa"/>
            <w:gridSpan w:val="3"/>
            <w:tcBorders>
              <w:top w:val="single" w:sz="8" w:space="0" w:color="auto"/>
              <w:left w:val="nil"/>
              <w:bottom w:val="single" w:sz="8" w:space="0" w:color="auto"/>
              <w:right w:val="single" w:sz="8" w:space="0" w:color="000000"/>
            </w:tcBorders>
            <w:vAlign w:val="center"/>
            <w:hideMark/>
          </w:tcPr>
          <w:p w14:paraId="1FCA7E05" w14:textId="5F1B62B2"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Све области </w:t>
            </w:r>
            <w:r w:rsidR="005F5622" w:rsidRPr="00FF386D">
              <w:rPr>
                <w:rFonts w:ascii="Calibri Light" w:hAnsi="Calibri Light"/>
                <w:sz w:val="20"/>
              </w:rPr>
              <w:t>И</w:t>
            </w:r>
            <w:r w:rsidRPr="00FF386D">
              <w:rPr>
                <w:rFonts w:ascii="Calibri Light" w:hAnsi="Calibri Light"/>
                <w:sz w:val="20"/>
              </w:rPr>
              <w:t>НЕКП-а</w:t>
            </w:r>
          </w:p>
        </w:tc>
      </w:tr>
      <w:tr w:rsidR="00854ADA" w:rsidRPr="00FF386D" w14:paraId="313E0142" w14:textId="77777777" w:rsidTr="0057310C">
        <w:trPr>
          <w:trHeight w:val="315"/>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6873DCD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193" w:type="dxa"/>
            <w:gridSpan w:val="3"/>
            <w:tcBorders>
              <w:top w:val="single" w:sz="8" w:space="0" w:color="auto"/>
              <w:left w:val="nil"/>
              <w:bottom w:val="single" w:sz="8" w:space="0" w:color="auto"/>
              <w:right w:val="single" w:sz="8" w:space="0" w:color="000000"/>
            </w:tcBorders>
            <w:vAlign w:val="center"/>
            <w:hideMark/>
          </w:tcPr>
          <w:p w14:paraId="3FECD2BE" w14:textId="77777777" w:rsidR="00854ADA" w:rsidRPr="00FF386D" w:rsidRDefault="00854ADA" w:rsidP="00854ADA">
            <w:pPr>
              <w:numPr>
                <w:ilvl w:val="0"/>
                <w:numId w:val="187"/>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рударства и енергетике</w:t>
            </w:r>
          </w:p>
          <w:p w14:paraId="7B5D8F4C" w14:textId="77777777" w:rsidR="00854ADA" w:rsidRPr="00FF386D" w:rsidRDefault="00854ADA" w:rsidP="00854ADA">
            <w:pPr>
              <w:numPr>
                <w:ilvl w:val="0"/>
                <w:numId w:val="187"/>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финансија</w:t>
            </w:r>
          </w:p>
          <w:p w14:paraId="4F4F535D" w14:textId="77777777" w:rsidR="00854ADA" w:rsidRPr="00FF386D" w:rsidRDefault="00854ADA" w:rsidP="00854ADA">
            <w:pPr>
              <w:numPr>
                <w:ilvl w:val="0"/>
                <w:numId w:val="187"/>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просвете, науке и технолошког развоја</w:t>
            </w:r>
          </w:p>
        </w:tc>
      </w:tr>
      <w:tr w:rsidR="00854ADA" w:rsidRPr="00FF386D" w14:paraId="606D7BBD" w14:textId="77777777" w:rsidTr="0057310C">
        <w:trPr>
          <w:trHeight w:val="315"/>
        </w:trPr>
        <w:tc>
          <w:tcPr>
            <w:tcW w:w="3295" w:type="dxa"/>
            <w:tcBorders>
              <w:top w:val="nil"/>
              <w:left w:val="single" w:sz="8" w:space="0" w:color="auto"/>
              <w:bottom w:val="single" w:sz="8" w:space="0" w:color="auto"/>
              <w:right w:val="nil"/>
            </w:tcBorders>
            <w:shd w:val="clear" w:color="000000" w:fill="244062"/>
            <w:vAlign w:val="center"/>
            <w:hideMark/>
          </w:tcPr>
          <w:p w14:paraId="32C31F1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193" w:type="dxa"/>
            <w:gridSpan w:val="3"/>
            <w:tcBorders>
              <w:top w:val="single" w:sz="8" w:space="0" w:color="auto"/>
              <w:left w:val="nil"/>
              <w:bottom w:val="single" w:sz="8" w:space="0" w:color="auto"/>
              <w:right w:val="single" w:sz="8" w:space="0" w:color="000000"/>
            </w:tcBorders>
            <w:vAlign w:val="center"/>
            <w:hideMark/>
          </w:tcPr>
          <w:p w14:paraId="028C6E3B" w14:textId="77777777" w:rsidR="00854ADA" w:rsidRPr="00FF386D" w:rsidRDefault="00854ADA" w:rsidP="00854ADA">
            <w:pPr>
              <w:numPr>
                <w:ilvl w:val="0"/>
                <w:numId w:val="188"/>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просвете, науке и технолошког развоја</w:t>
            </w:r>
          </w:p>
        </w:tc>
      </w:tr>
      <w:tr w:rsidR="00854ADA" w:rsidRPr="00FF386D" w14:paraId="10F2A276" w14:textId="77777777" w:rsidTr="0057310C">
        <w:trPr>
          <w:trHeight w:val="315"/>
        </w:trPr>
        <w:tc>
          <w:tcPr>
            <w:tcW w:w="3295" w:type="dxa"/>
            <w:tcBorders>
              <w:top w:val="nil"/>
              <w:left w:val="single" w:sz="8" w:space="0" w:color="auto"/>
              <w:bottom w:val="single" w:sz="8" w:space="0" w:color="auto"/>
              <w:right w:val="nil"/>
            </w:tcBorders>
            <w:shd w:val="clear" w:color="000000" w:fill="244062"/>
            <w:vAlign w:val="center"/>
            <w:hideMark/>
          </w:tcPr>
          <w:p w14:paraId="6330E53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193" w:type="dxa"/>
            <w:gridSpan w:val="3"/>
            <w:tcBorders>
              <w:top w:val="single" w:sz="8" w:space="0" w:color="auto"/>
              <w:left w:val="nil"/>
              <w:bottom w:val="single" w:sz="8" w:space="0" w:color="auto"/>
              <w:right w:val="single" w:sz="8" w:space="0" w:color="000000"/>
            </w:tcBorders>
            <w:vAlign w:val="center"/>
            <w:hideMark/>
          </w:tcPr>
          <w:p w14:paraId="65D7555C"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Нови прописи и /или нормативни акти, успостављање заједничке акције државне помоћи, рад током година</w:t>
            </w:r>
          </w:p>
        </w:tc>
      </w:tr>
      <w:tr w:rsidR="00854ADA" w:rsidRPr="00FF386D" w14:paraId="7A996A9F" w14:textId="77777777" w:rsidTr="0057310C">
        <w:trPr>
          <w:trHeight w:val="377"/>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474F3BE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193" w:type="dxa"/>
            <w:gridSpan w:val="3"/>
            <w:tcBorders>
              <w:top w:val="single" w:sz="8" w:space="0" w:color="auto"/>
              <w:left w:val="nil"/>
              <w:bottom w:val="single" w:sz="8" w:space="0" w:color="auto"/>
              <w:right w:val="single" w:sz="8" w:space="0" w:color="000000"/>
            </w:tcBorders>
            <w:vAlign w:val="center"/>
          </w:tcPr>
          <w:p w14:paraId="45B98E6B" w14:textId="18858957" w:rsidR="00854ADA" w:rsidRPr="00FF386D" w:rsidRDefault="00854ADA" w:rsidP="00854ADA">
            <w:pPr>
              <w:numPr>
                <w:ilvl w:val="0"/>
                <w:numId w:val="172"/>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Унутрашње </w:t>
            </w:r>
            <w:r w:rsidR="001876A2">
              <w:rPr>
                <w:rFonts w:asciiTheme="majorHAnsi" w:eastAsia="Times New Roman" w:hAnsiTheme="majorHAnsi" w:cstheme="majorHAnsi"/>
                <w:color w:val="000000"/>
                <w:sz w:val="20"/>
                <w:szCs w:val="20"/>
                <w:lang w:eastAsia="en-GB"/>
              </w:rPr>
              <w:t xml:space="preserve">енергетско </w:t>
            </w:r>
            <w:r w:rsidRPr="00FF386D">
              <w:rPr>
                <w:rFonts w:asciiTheme="majorHAnsi" w:eastAsia="Times New Roman" w:hAnsiTheme="majorHAnsi" w:cstheme="majorHAnsi"/>
                <w:color w:val="000000"/>
                <w:sz w:val="20"/>
                <w:szCs w:val="20"/>
                <w:lang w:eastAsia="en-GB"/>
              </w:rPr>
              <w:t>тржиште</w:t>
            </w:r>
          </w:p>
        </w:tc>
      </w:tr>
      <w:tr w:rsidR="00854ADA" w:rsidRPr="00FF386D" w14:paraId="775FBFB1" w14:textId="77777777" w:rsidTr="0057310C">
        <w:trPr>
          <w:trHeight w:val="450"/>
        </w:trPr>
        <w:tc>
          <w:tcPr>
            <w:tcW w:w="3295"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6A9C481A" w14:textId="2E79E836"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193" w:type="dxa"/>
            <w:gridSpan w:val="3"/>
            <w:vMerge w:val="restart"/>
            <w:tcBorders>
              <w:top w:val="single" w:sz="8" w:space="0" w:color="auto"/>
              <w:left w:val="single" w:sz="8" w:space="0" w:color="auto"/>
              <w:bottom w:val="single" w:sz="8" w:space="0" w:color="000000"/>
              <w:right w:val="single" w:sz="8" w:space="0" w:color="000000"/>
            </w:tcBorders>
            <w:vAlign w:val="center"/>
          </w:tcPr>
          <w:p w14:paraId="0886EE7B" w14:textId="77777777" w:rsidR="00854ADA" w:rsidRPr="000A2AFE" w:rsidRDefault="00854ADA">
            <w:pPr>
              <w:numPr>
                <w:ilvl w:val="0"/>
                <w:numId w:val="242"/>
              </w:numPr>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Правна тековина ЕУ</w:t>
            </w:r>
          </w:p>
          <w:p w14:paraId="3B77A0C7" w14:textId="77777777" w:rsidR="00854ADA" w:rsidRPr="00FF386D" w:rsidRDefault="00854ADA" w:rsidP="00854ADA">
            <w:pPr>
              <w:numPr>
                <w:ilvl w:val="0"/>
                <w:numId w:val="83"/>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Европски стратешки план за енергетске технологије (план СЕТ)</w:t>
            </w:r>
          </w:p>
        </w:tc>
      </w:tr>
      <w:tr w:rsidR="00854ADA" w:rsidRPr="00FF386D" w14:paraId="3710C69B"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2F49DB7E"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193" w:type="dxa"/>
            <w:gridSpan w:val="3"/>
            <w:vMerge/>
            <w:tcBorders>
              <w:top w:val="single" w:sz="8" w:space="0" w:color="auto"/>
              <w:left w:val="single" w:sz="8" w:space="0" w:color="auto"/>
              <w:bottom w:val="single" w:sz="8" w:space="0" w:color="000000"/>
              <w:right w:val="single" w:sz="8" w:space="0" w:color="000000"/>
            </w:tcBorders>
            <w:vAlign w:val="center"/>
          </w:tcPr>
          <w:p w14:paraId="3F7643B8"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003EFDEE"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199FFD34"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193" w:type="dxa"/>
            <w:gridSpan w:val="3"/>
            <w:vMerge/>
            <w:tcBorders>
              <w:top w:val="single" w:sz="8" w:space="0" w:color="auto"/>
              <w:left w:val="single" w:sz="8" w:space="0" w:color="auto"/>
              <w:bottom w:val="single" w:sz="8" w:space="0" w:color="000000"/>
              <w:right w:val="single" w:sz="8" w:space="0" w:color="000000"/>
            </w:tcBorders>
            <w:vAlign w:val="center"/>
          </w:tcPr>
          <w:p w14:paraId="29C18604"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5ABE1EF5" w14:textId="77777777" w:rsidTr="0057310C">
        <w:trPr>
          <w:trHeight w:val="445"/>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0BA048F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93" w:type="dxa"/>
            <w:gridSpan w:val="3"/>
            <w:tcBorders>
              <w:top w:val="single" w:sz="8" w:space="0" w:color="auto"/>
              <w:left w:val="nil"/>
              <w:bottom w:val="single" w:sz="8" w:space="0" w:color="auto"/>
              <w:right w:val="single" w:sz="8" w:space="0" w:color="000000"/>
            </w:tcBorders>
            <w:vAlign w:val="center"/>
          </w:tcPr>
          <w:p w14:paraId="1F1BD35F" w14:textId="77777777" w:rsidR="00854ADA" w:rsidRPr="000A2AFE" w:rsidRDefault="00854ADA">
            <w:pPr>
              <w:numPr>
                <w:ilvl w:val="0"/>
                <w:numId w:val="242"/>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Закон о Фонду за науку</w:t>
            </w:r>
          </w:p>
          <w:p w14:paraId="0988A8BD" w14:textId="77777777" w:rsidR="00854ADA" w:rsidRPr="00FF386D" w:rsidRDefault="00854ADA" w:rsidP="00854ADA">
            <w:pPr>
              <w:numPr>
                <w:ilvl w:val="0"/>
                <w:numId w:val="84"/>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Закон о науци и истраживању</w:t>
            </w:r>
          </w:p>
        </w:tc>
      </w:tr>
      <w:tr w:rsidR="00854ADA" w:rsidRPr="00FF386D" w14:paraId="06359FBE" w14:textId="77777777" w:rsidTr="0057310C">
        <w:trPr>
          <w:trHeight w:val="315"/>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4AB6795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93" w:type="dxa"/>
            <w:gridSpan w:val="3"/>
            <w:tcBorders>
              <w:top w:val="single" w:sz="8" w:space="0" w:color="auto"/>
              <w:left w:val="nil"/>
              <w:bottom w:val="single" w:sz="8" w:space="0" w:color="auto"/>
              <w:right w:val="single" w:sz="8" w:space="0" w:color="000000"/>
            </w:tcBorders>
            <w:vAlign w:val="center"/>
          </w:tcPr>
          <w:p w14:paraId="555A59D8"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2,7 милиона евра</w:t>
            </w:r>
          </w:p>
        </w:tc>
      </w:tr>
      <w:tr w:rsidR="00854ADA" w:rsidRPr="00FF386D" w14:paraId="2310C807" w14:textId="77777777" w:rsidTr="0057310C">
        <w:trPr>
          <w:trHeight w:val="315"/>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523E018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93" w:type="dxa"/>
            <w:gridSpan w:val="3"/>
            <w:tcBorders>
              <w:top w:val="single" w:sz="8" w:space="0" w:color="auto"/>
              <w:left w:val="nil"/>
              <w:bottom w:val="single" w:sz="8" w:space="0" w:color="auto"/>
              <w:right w:val="single" w:sz="8" w:space="0" w:color="000000"/>
            </w:tcBorders>
            <w:shd w:val="clear" w:color="auto" w:fill="auto"/>
            <w:vAlign w:val="center"/>
          </w:tcPr>
          <w:p w14:paraId="2FCE9401" w14:textId="55F28F1E" w:rsidR="00854ADA" w:rsidRPr="00FF386D" w:rsidRDefault="00854ADA" w:rsidP="00854ADA">
            <w:pPr>
              <w:spacing w:after="0" w:line="240" w:lineRule="auto"/>
              <w:rPr>
                <w:rFonts w:asciiTheme="majorHAnsi" w:eastAsia="Times New Roman" w:hAnsiTheme="majorHAnsi" w:cstheme="majorHAnsi"/>
                <w:color w:val="000000"/>
                <w:lang w:eastAsia="en-GB"/>
              </w:rPr>
            </w:pPr>
            <w:r w:rsidRPr="00FF386D">
              <w:rPr>
                <w:rFonts w:asciiTheme="majorHAnsi" w:eastAsia="Times New Roman" w:hAnsiTheme="majorHAnsi" w:cstheme="majorHAnsi"/>
                <w:color w:val="000000"/>
                <w:sz w:val="20"/>
                <w:szCs w:val="20"/>
                <w:lang w:eastAsia="en-GB"/>
              </w:rPr>
              <w:t>Фондови ЕУ</w:t>
            </w:r>
            <w:r w:rsidR="001876A2">
              <w:rPr>
                <w:rFonts w:asciiTheme="majorHAnsi" w:eastAsia="Times New Roman" w:hAnsiTheme="majorHAnsi" w:cstheme="majorHAnsi"/>
                <w:color w:val="000000"/>
                <w:sz w:val="20"/>
                <w:szCs w:val="20"/>
                <w:lang w:eastAsia="en-GB"/>
              </w:rPr>
              <w:t xml:space="preserve">, сопствене средства, </w:t>
            </w:r>
            <w:r w:rsidRPr="00FF386D">
              <w:rPr>
                <w:rFonts w:asciiTheme="majorHAnsi" w:eastAsia="Times New Roman" w:hAnsiTheme="majorHAnsi" w:cstheme="majorHAnsi"/>
                <w:color w:val="000000"/>
                <w:sz w:val="20"/>
                <w:szCs w:val="20"/>
                <w:lang w:eastAsia="en-GB"/>
              </w:rPr>
              <w:t>буџет</w:t>
            </w:r>
            <w:r w:rsidR="00246155" w:rsidRPr="00FF386D">
              <w:rPr>
                <w:rFonts w:asciiTheme="majorHAnsi" w:eastAsia="Times New Roman" w:hAnsiTheme="majorHAnsi" w:cstheme="majorHAnsi"/>
                <w:color w:val="000000"/>
                <w:sz w:val="20"/>
                <w:szCs w:val="20"/>
                <w:lang w:eastAsia="en-GB"/>
              </w:rPr>
              <w:t>ска средства</w:t>
            </w:r>
          </w:p>
        </w:tc>
      </w:tr>
    </w:tbl>
    <w:p w14:paraId="55D669F7" w14:textId="77777777" w:rsidR="00854ADA" w:rsidRPr="00FF386D" w:rsidRDefault="00854ADA" w:rsidP="00854ADA">
      <w:pPr>
        <w:spacing w:before="120" w:after="120" w:line="240" w:lineRule="auto"/>
        <w:rPr>
          <w:rFonts w:ascii="Calibri" w:eastAsia="Times New Roman" w:hAnsi="Calibri" w:cs="Arial"/>
          <w:highlight w:val="green"/>
          <w:lang w:eastAsia="el-GR"/>
        </w:rPr>
      </w:pPr>
    </w:p>
    <w:tbl>
      <w:tblPr>
        <w:tblW w:w="9488" w:type="dxa"/>
        <w:tblLook w:val="04A0" w:firstRow="1" w:lastRow="0" w:firstColumn="1" w:lastColumn="0" w:noHBand="0" w:noVBand="1"/>
      </w:tblPr>
      <w:tblGrid>
        <w:gridCol w:w="3294"/>
        <w:gridCol w:w="1071"/>
        <w:gridCol w:w="939"/>
        <w:gridCol w:w="4184"/>
      </w:tblGrid>
      <w:tr w:rsidR="00854ADA" w:rsidRPr="00FF386D" w14:paraId="1C0C78F2" w14:textId="77777777" w:rsidTr="0057310C">
        <w:trPr>
          <w:trHeight w:val="780"/>
        </w:trPr>
        <w:tc>
          <w:tcPr>
            <w:tcW w:w="3294"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1DAC1621" w14:textId="2DCBCDEA"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071" w:type="dxa"/>
            <w:tcBorders>
              <w:top w:val="single" w:sz="8" w:space="0" w:color="auto"/>
              <w:left w:val="nil"/>
              <w:bottom w:val="single" w:sz="8" w:space="0" w:color="auto"/>
              <w:right w:val="single" w:sz="8" w:space="0" w:color="auto"/>
            </w:tcBorders>
            <w:shd w:val="clear" w:color="auto" w:fill="FFFFFF" w:themeFill="background1"/>
            <w:vAlign w:val="center"/>
            <w:hideMark/>
          </w:tcPr>
          <w:p w14:paraId="6DD9AAF4"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МП_ИИК3</w:t>
            </w:r>
          </w:p>
        </w:tc>
        <w:tc>
          <w:tcPr>
            <w:tcW w:w="939" w:type="dxa"/>
            <w:tcBorders>
              <w:top w:val="single" w:sz="8" w:space="0" w:color="auto"/>
              <w:left w:val="nil"/>
              <w:bottom w:val="single" w:sz="8" w:space="0" w:color="auto"/>
              <w:right w:val="single" w:sz="8" w:space="0" w:color="auto"/>
            </w:tcBorders>
            <w:shd w:val="clear" w:color="auto" w:fill="244062"/>
            <w:vAlign w:val="center"/>
            <w:hideMark/>
          </w:tcPr>
          <w:p w14:paraId="528050F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84" w:type="dxa"/>
            <w:tcBorders>
              <w:top w:val="single" w:sz="8" w:space="0" w:color="auto"/>
              <w:left w:val="nil"/>
              <w:bottom w:val="single" w:sz="8" w:space="0" w:color="auto"/>
              <w:right w:val="single" w:sz="8" w:space="0" w:color="auto"/>
            </w:tcBorders>
            <w:shd w:val="clear" w:color="auto" w:fill="E7E6E6" w:themeFill="background2"/>
            <w:vAlign w:val="center"/>
            <w:hideMark/>
          </w:tcPr>
          <w:p w14:paraId="1FAF1D87"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Успостављање Вишегодишњег инвестиционог плана за јачање инфраструктуре за истраживање и развој</w:t>
            </w:r>
          </w:p>
        </w:tc>
      </w:tr>
      <w:tr w:rsidR="00854ADA" w:rsidRPr="00FF386D" w14:paraId="1D146D0E" w14:textId="77777777" w:rsidTr="0057310C">
        <w:trPr>
          <w:trHeight w:val="353"/>
        </w:trPr>
        <w:tc>
          <w:tcPr>
            <w:tcW w:w="3294" w:type="dxa"/>
            <w:tcBorders>
              <w:top w:val="nil"/>
              <w:left w:val="single" w:sz="8" w:space="0" w:color="auto"/>
              <w:bottom w:val="single" w:sz="8" w:space="0" w:color="auto"/>
              <w:right w:val="nil"/>
            </w:tcBorders>
            <w:shd w:val="clear" w:color="000000" w:fill="244062"/>
            <w:vAlign w:val="center"/>
            <w:hideMark/>
          </w:tcPr>
          <w:p w14:paraId="25889888" w14:textId="7EA767E4"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194" w:type="dxa"/>
            <w:gridSpan w:val="3"/>
            <w:tcBorders>
              <w:top w:val="single" w:sz="8" w:space="0" w:color="auto"/>
              <w:left w:val="nil"/>
              <w:bottom w:val="single" w:sz="8" w:space="0" w:color="auto"/>
              <w:right w:val="single" w:sz="8" w:space="0" w:color="000000"/>
            </w:tcBorders>
            <w:vAlign w:val="center"/>
            <w:hideMark/>
          </w:tcPr>
          <w:p w14:paraId="0450713A"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Измене прописа, промовисање истраживања и иновација</w:t>
            </w:r>
          </w:p>
        </w:tc>
      </w:tr>
      <w:tr w:rsidR="00854ADA" w:rsidRPr="00FF386D" w14:paraId="40CA072B" w14:textId="77777777" w:rsidTr="0057310C">
        <w:trPr>
          <w:trHeight w:val="315"/>
        </w:trPr>
        <w:tc>
          <w:tcPr>
            <w:tcW w:w="3294" w:type="dxa"/>
            <w:tcBorders>
              <w:top w:val="nil"/>
              <w:left w:val="single" w:sz="8" w:space="0" w:color="auto"/>
              <w:bottom w:val="single" w:sz="8" w:space="0" w:color="auto"/>
              <w:right w:val="single" w:sz="8" w:space="0" w:color="auto"/>
            </w:tcBorders>
            <w:shd w:val="clear" w:color="000000" w:fill="244062"/>
            <w:vAlign w:val="center"/>
            <w:hideMark/>
          </w:tcPr>
          <w:p w14:paraId="33A8614B" w14:textId="77498684"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194" w:type="dxa"/>
            <w:gridSpan w:val="3"/>
            <w:tcBorders>
              <w:top w:val="single" w:sz="8" w:space="0" w:color="auto"/>
              <w:left w:val="nil"/>
              <w:bottom w:val="single" w:sz="8" w:space="0" w:color="auto"/>
              <w:right w:val="single" w:sz="8" w:space="0" w:color="000000"/>
            </w:tcBorders>
            <w:vAlign w:val="center"/>
            <w:hideMark/>
          </w:tcPr>
          <w:p w14:paraId="5DA93E5B"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Повећање нивоа технолошке спремности у области енергетике (квалитативан циљ)</w:t>
            </w:r>
          </w:p>
        </w:tc>
      </w:tr>
      <w:tr w:rsidR="00854ADA" w:rsidRPr="00FF386D" w14:paraId="53F2D5A6" w14:textId="77777777" w:rsidTr="0057310C">
        <w:trPr>
          <w:trHeight w:val="429"/>
        </w:trPr>
        <w:tc>
          <w:tcPr>
            <w:tcW w:w="3294" w:type="dxa"/>
            <w:tcBorders>
              <w:top w:val="nil"/>
              <w:left w:val="single" w:sz="8" w:space="0" w:color="auto"/>
              <w:bottom w:val="single" w:sz="8" w:space="0" w:color="auto"/>
              <w:right w:val="single" w:sz="8" w:space="0" w:color="auto"/>
            </w:tcBorders>
            <w:shd w:val="clear" w:color="000000" w:fill="244062"/>
            <w:vAlign w:val="center"/>
            <w:hideMark/>
          </w:tcPr>
          <w:p w14:paraId="2181DBD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194" w:type="dxa"/>
            <w:gridSpan w:val="3"/>
            <w:tcBorders>
              <w:top w:val="single" w:sz="8" w:space="0" w:color="auto"/>
              <w:left w:val="nil"/>
              <w:bottom w:val="single" w:sz="8" w:space="0" w:color="auto"/>
              <w:right w:val="single" w:sz="8" w:space="0" w:color="000000"/>
            </w:tcBorders>
            <w:vAlign w:val="center"/>
            <w:hideMark/>
          </w:tcPr>
          <w:p w14:paraId="0DDC353B" w14:textId="6C2D7ECF"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МП_ИИК3 ће промовисати израду Вишегодишњег инвестиционог плана за подршку инфраструктури за истраживање и развој, </w:t>
            </w:r>
            <w:r w:rsidR="003421A3" w:rsidRPr="00FF386D">
              <w:rPr>
                <w:rFonts w:ascii="Calibri Light" w:hAnsi="Calibri Light"/>
                <w:sz w:val="20"/>
              </w:rPr>
              <w:t>с циљем да се унапреди</w:t>
            </w:r>
            <w:r w:rsidRPr="00FF386D">
              <w:rPr>
                <w:rFonts w:ascii="Calibri Light" w:hAnsi="Calibri Light"/>
                <w:sz w:val="20"/>
              </w:rPr>
              <w:t xml:space="preserve"> стратешк</w:t>
            </w:r>
            <w:r w:rsidR="003421A3" w:rsidRPr="00FF386D">
              <w:rPr>
                <w:rFonts w:ascii="Calibri Light" w:hAnsi="Calibri Light"/>
                <w:sz w:val="20"/>
              </w:rPr>
              <w:t>а</w:t>
            </w:r>
            <w:r w:rsidRPr="00FF386D">
              <w:rPr>
                <w:rFonts w:ascii="Calibri Light" w:hAnsi="Calibri Light"/>
                <w:sz w:val="20"/>
              </w:rPr>
              <w:t xml:space="preserve"> инфраструктур</w:t>
            </w:r>
            <w:r w:rsidR="003421A3" w:rsidRPr="00FF386D">
              <w:rPr>
                <w:rFonts w:ascii="Calibri Light" w:hAnsi="Calibri Light"/>
                <w:sz w:val="20"/>
              </w:rPr>
              <w:t>а</w:t>
            </w:r>
            <w:r w:rsidRPr="00FF386D">
              <w:rPr>
                <w:rFonts w:ascii="Calibri Light" w:hAnsi="Calibri Light"/>
                <w:sz w:val="20"/>
              </w:rPr>
              <w:t xml:space="preserve"> за истраживање и развој у области енергетике</w:t>
            </w:r>
          </w:p>
        </w:tc>
      </w:tr>
      <w:tr w:rsidR="00854ADA" w:rsidRPr="00FF386D" w14:paraId="5304F982" w14:textId="77777777" w:rsidTr="0057310C">
        <w:trPr>
          <w:trHeight w:val="315"/>
        </w:trPr>
        <w:tc>
          <w:tcPr>
            <w:tcW w:w="3294" w:type="dxa"/>
            <w:tcBorders>
              <w:top w:val="nil"/>
              <w:left w:val="single" w:sz="8" w:space="0" w:color="auto"/>
              <w:bottom w:val="single" w:sz="8" w:space="0" w:color="auto"/>
              <w:right w:val="single" w:sz="8" w:space="0" w:color="auto"/>
            </w:tcBorders>
            <w:shd w:val="clear" w:color="000000" w:fill="244062"/>
            <w:vAlign w:val="center"/>
            <w:hideMark/>
          </w:tcPr>
          <w:p w14:paraId="25FB2A8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194" w:type="dxa"/>
            <w:gridSpan w:val="3"/>
            <w:tcBorders>
              <w:top w:val="single" w:sz="8" w:space="0" w:color="auto"/>
              <w:left w:val="nil"/>
              <w:bottom w:val="single" w:sz="8" w:space="0" w:color="auto"/>
              <w:right w:val="single" w:sz="8" w:space="0" w:color="000000"/>
            </w:tcBorders>
            <w:vAlign w:val="center"/>
            <w:hideMark/>
          </w:tcPr>
          <w:p w14:paraId="2F9A719A" w14:textId="30B4A1AA"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202</w:t>
            </w:r>
            <w:r w:rsidR="007A186C" w:rsidRPr="000A2AFE">
              <w:rPr>
                <w:rFonts w:ascii="Calibri Light" w:hAnsi="Calibri Light"/>
                <w:sz w:val="20"/>
              </w:rPr>
              <w:t>3</w:t>
            </w:r>
            <w:r w:rsidRPr="00FF386D">
              <w:rPr>
                <w:rFonts w:ascii="Calibri Light" w:hAnsi="Calibri Light"/>
                <w:sz w:val="20"/>
              </w:rPr>
              <w:t>-2030.</w:t>
            </w:r>
          </w:p>
        </w:tc>
      </w:tr>
      <w:tr w:rsidR="00854ADA" w:rsidRPr="00FF386D" w14:paraId="40CCD615" w14:textId="77777777" w:rsidTr="0057310C">
        <w:trPr>
          <w:trHeight w:val="315"/>
        </w:trPr>
        <w:tc>
          <w:tcPr>
            <w:tcW w:w="3294" w:type="dxa"/>
            <w:tcBorders>
              <w:top w:val="nil"/>
              <w:left w:val="single" w:sz="8" w:space="0" w:color="auto"/>
              <w:bottom w:val="single" w:sz="8" w:space="0" w:color="auto"/>
              <w:right w:val="single" w:sz="8" w:space="0" w:color="auto"/>
            </w:tcBorders>
            <w:shd w:val="clear" w:color="000000" w:fill="244062"/>
            <w:vAlign w:val="center"/>
            <w:hideMark/>
          </w:tcPr>
          <w:p w14:paraId="00E4E4E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194" w:type="dxa"/>
            <w:gridSpan w:val="3"/>
            <w:tcBorders>
              <w:top w:val="single" w:sz="8" w:space="0" w:color="auto"/>
              <w:left w:val="nil"/>
              <w:bottom w:val="single" w:sz="8" w:space="0" w:color="auto"/>
              <w:right w:val="single" w:sz="8" w:space="0" w:color="000000"/>
            </w:tcBorders>
            <w:vAlign w:val="center"/>
            <w:hideMark/>
          </w:tcPr>
          <w:p w14:paraId="682DD18C"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Реформа</w:t>
            </w:r>
          </w:p>
        </w:tc>
      </w:tr>
      <w:tr w:rsidR="00854ADA" w:rsidRPr="00FF386D" w14:paraId="05345C86" w14:textId="77777777" w:rsidTr="0057310C">
        <w:trPr>
          <w:trHeight w:val="315"/>
        </w:trPr>
        <w:tc>
          <w:tcPr>
            <w:tcW w:w="3294" w:type="dxa"/>
            <w:tcBorders>
              <w:top w:val="nil"/>
              <w:left w:val="single" w:sz="8" w:space="0" w:color="auto"/>
              <w:bottom w:val="single" w:sz="8" w:space="0" w:color="auto"/>
              <w:right w:val="single" w:sz="8" w:space="0" w:color="auto"/>
            </w:tcBorders>
            <w:shd w:val="clear" w:color="000000" w:fill="244062"/>
            <w:vAlign w:val="center"/>
            <w:hideMark/>
          </w:tcPr>
          <w:p w14:paraId="0D3DA9F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194" w:type="dxa"/>
            <w:gridSpan w:val="3"/>
            <w:tcBorders>
              <w:top w:val="single" w:sz="8" w:space="0" w:color="auto"/>
              <w:left w:val="nil"/>
              <w:bottom w:val="single" w:sz="8" w:space="0" w:color="auto"/>
              <w:right w:val="single" w:sz="8" w:space="0" w:color="000000"/>
            </w:tcBorders>
            <w:vAlign w:val="center"/>
            <w:hideMark/>
          </w:tcPr>
          <w:p w14:paraId="11AF17E5" w14:textId="55695ACC"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Све области </w:t>
            </w:r>
            <w:r w:rsidR="00170CE9">
              <w:rPr>
                <w:rFonts w:ascii="Calibri Light" w:hAnsi="Calibri Light"/>
                <w:sz w:val="20"/>
              </w:rPr>
              <w:t>И</w:t>
            </w:r>
            <w:r w:rsidRPr="00FF386D">
              <w:rPr>
                <w:rFonts w:ascii="Calibri Light" w:hAnsi="Calibri Light"/>
                <w:sz w:val="20"/>
              </w:rPr>
              <w:t>НЕКП-а</w:t>
            </w:r>
          </w:p>
        </w:tc>
      </w:tr>
      <w:tr w:rsidR="00854ADA" w:rsidRPr="00FF386D" w14:paraId="358D203E" w14:textId="77777777" w:rsidTr="0057310C">
        <w:trPr>
          <w:trHeight w:val="315"/>
        </w:trPr>
        <w:tc>
          <w:tcPr>
            <w:tcW w:w="3294" w:type="dxa"/>
            <w:tcBorders>
              <w:top w:val="nil"/>
              <w:left w:val="single" w:sz="8" w:space="0" w:color="auto"/>
              <w:bottom w:val="single" w:sz="8" w:space="0" w:color="auto"/>
              <w:right w:val="single" w:sz="8" w:space="0" w:color="auto"/>
            </w:tcBorders>
            <w:shd w:val="clear" w:color="000000" w:fill="244062"/>
            <w:vAlign w:val="center"/>
            <w:hideMark/>
          </w:tcPr>
          <w:p w14:paraId="44CE3A3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194" w:type="dxa"/>
            <w:gridSpan w:val="3"/>
            <w:tcBorders>
              <w:top w:val="single" w:sz="8" w:space="0" w:color="auto"/>
              <w:left w:val="nil"/>
              <w:bottom w:val="single" w:sz="8" w:space="0" w:color="auto"/>
              <w:right w:val="single" w:sz="8" w:space="0" w:color="000000"/>
            </w:tcBorders>
            <w:vAlign w:val="center"/>
            <w:hideMark/>
          </w:tcPr>
          <w:p w14:paraId="369C89BB" w14:textId="77777777" w:rsidR="00854ADA" w:rsidRPr="00FF386D" w:rsidRDefault="00854ADA" w:rsidP="00854ADA">
            <w:pPr>
              <w:numPr>
                <w:ilvl w:val="0"/>
                <w:numId w:val="189"/>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рударства и енергетике</w:t>
            </w:r>
          </w:p>
          <w:p w14:paraId="2E5C896D" w14:textId="5ABA7D59" w:rsidR="00854ADA" w:rsidRPr="00FF386D" w:rsidRDefault="00854ADA" w:rsidP="00854ADA">
            <w:pPr>
              <w:numPr>
                <w:ilvl w:val="0"/>
                <w:numId w:val="189"/>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финансија</w:t>
            </w:r>
          </w:p>
          <w:p w14:paraId="2F10E0CF" w14:textId="77777777" w:rsidR="00854ADA" w:rsidRPr="00FF386D" w:rsidRDefault="00854ADA" w:rsidP="00854ADA">
            <w:pPr>
              <w:numPr>
                <w:ilvl w:val="0"/>
                <w:numId w:val="189"/>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просвете, науке и технолошког развоја</w:t>
            </w:r>
          </w:p>
        </w:tc>
      </w:tr>
      <w:tr w:rsidR="00854ADA" w:rsidRPr="00FF386D" w14:paraId="5CE88376" w14:textId="77777777" w:rsidTr="0057310C">
        <w:trPr>
          <w:trHeight w:val="315"/>
        </w:trPr>
        <w:tc>
          <w:tcPr>
            <w:tcW w:w="3294" w:type="dxa"/>
            <w:tcBorders>
              <w:top w:val="nil"/>
              <w:left w:val="single" w:sz="8" w:space="0" w:color="auto"/>
              <w:bottom w:val="single" w:sz="8" w:space="0" w:color="auto"/>
              <w:right w:val="nil"/>
            </w:tcBorders>
            <w:shd w:val="clear" w:color="000000" w:fill="244062"/>
            <w:vAlign w:val="center"/>
            <w:hideMark/>
          </w:tcPr>
          <w:p w14:paraId="021AC97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194" w:type="dxa"/>
            <w:gridSpan w:val="3"/>
            <w:tcBorders>
              <w:top w:val="single" w:sz="8" w:space="0" w:color="auto"/>
              <w:left w:val="nil"/>
              <w:bottom w:val="single" w:sz="8" w:space="0" w:color="auto"/>
              <w:right w:val="single" w:sz="8" w:space="0" w:color="000000"/>
            </w:tcBorders>
            <w:vAlign w:val="center"/>
            <w:hideMark/>
          </w:tcPr>
          <w:p w14:paraId="58AF6CA9"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просвете, науке и технолошког развоја</w:t>
            </w:r>
          </w:p>
        </w:tc>
      </w:tr>
      <w:tr w:rsidR="00854ADA" w:rsidRPr="00FF386D" w14:paraId="0628CD2D" w14:textId="77777777" w:rsidTr="0057310C">
        <w:trPr>
          <w:trHeight w:val="315"/>
        </w:trPr>
        <w:tc>
          <w:tcPr>
            <w:tcW w:w="3294" w:type="dxa"/>
            <w:tcBorders>
              <w:top w:val="nil"/>
              <w:left w:val="single" w:sz="8" w:space="0" w:color="auto"/>
              <w:bottom w:val="single" w:sz="8" w:space="0" w:color="auto"/>
              <w:right w:val="nil"/>
            </w:tcBorders>
            <w:shd w:val="clear" w:color="000000" w:fill="244062"/>
            <w:vAlign w:val="center"/>
            <w:hideMark/>
          </w:tcPr>
          <w:p w14:paraId="5F081E3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194" w:type="dxa"/>
            <w:gridSpan w:val="3"/>
            <w:tcBorders>
              <w:top w:val="single" w:sz="8" w:space="0" w:color="auto"/>
              <w:left w:val="nil"/>
              <w:bottom w:val="single" w:sz="8" w:space="0" w:color="auto"/>
              <w:right w:val="single" w:sz="8" w:space="0" w:color="000000"/>
            </w:tcBorders>
            <w:vAlign w:val="center"/>
            <w:hideMark/>
          </w:tcPr>
          <w:p w14:paraId="557BB703" w14:textId="3F67A1DD"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Нови прописи и/или нормативна акта</w:t>
            </w:r>
          </w:p>
        </w:tc>
      </w:tr>
      <w:tr w:rsidR="00854ADA" w:rsidRPr="00FF386D" w14:paraId="29330172" w14:textId="77777777" w:rsidTr="0057310C">
        <w:trPr>
          <w:trHeight w:val="195"/>
        </w:trPr>
        <w:tc>
          <w:tcPr>
            <w:tcW w:w="3294" w:type="dxa"/>
            <w:tcBorders>
              <w:top w:val="nil"/>
              <w:left w:val="single" w:sz="8" w:space="0" w:color="auto"/>
              <w:bottom w:val="single" w:sz="8" w:space="0" w:color="auto"/>
              <w:right w:val="single" w:sz="8" w:space="0" w:color="auto"/>
            </w:tcBorders>
            <w:shd w:val="clear" w:color="000000" w:fill="244062"/>
            <w:vAlign w:val="center"/>
            <w:hideMark/>
          </w:tcPr>
          <w:p w14:paraId="6653FE1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194" w:type="dxa"/>
            <w:gridSpan w:val="3"/>
            <w:tcBorders>
              <w:top w:val="single" w:sz="8" w:space="0" w:color="auto"/>
              <w:left w:val="nil"/>
              <w:bottom w:val="single" w:sz="8" w:space="0" w:color="auto"/>
              <w:right w:val="single" w:sz="8" w:space="0" w:color="000000"/>
            </w:tcBorders>
            <w:vAlign w:val="center"/>
          </w:tcPr>
          <w:p w14:paraId="3F473116" w14:textId="77777777" w:rsidR="00854ADA" w:rsidRPr="00FF386D" w:rsidRDefault="00854ADA" w:rsidP="00854ADA">
            <w:pPr>
              <w:numPr>
                <w:ilvl w:val="0"/>
                <w:numId w:val="173"/>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Унутрашње тржиште енергије</w:t>
            </w:r>
          </w:p>
        </w:tc>
      </w:tr>
      <w:tr w:rsidR="00854ADA" w:rsidRPr="00FF386D" w14:paraId="0C444E8D" w14:textId="77777777" w:rsidTr="0057310C">
        <w:trPr>
          <w:trHeight w:val="450"/>
        </w:trPr>
        <w:tc>
          <w:tcPr>
            <w:tcW w:w="3294"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24CB2DD6" w14:textId="208B1131"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194" w:type="dxa"/>
            <w:gridSpan w:val="3"/>
            <w:vMerge w:val="restart"/>
            <w:tcBorders>
              <w:top w:val="single" w:sz="8" w:space="0" w:color="auto"/>
              <w:left w:val="single" w:sz="8" w:space="0" w:color="auto"/>
              <w:bottom w:val="single" w:sz="8" w:space="0" w:color="000000"/>
              <w:right w:val="single" w:sz="8" w:space="0" w:color="000000"/>
            </w:tcBorders>
            <w:vAlign w:val="center"/>
          </w:tcPr>
          <w:p w14:paraId="21AA1FCB" w14:textId="77777777" w:rsidR="00854ADA" w:rsidRPr="000A2AFE" w:rsidRDefault="00854ADA">
            <w:pPr>
              <w:numPr>
                <w:ilvl w:val="0"/>
                <w:numId w:val="242"/>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Правна тековина ЕУ</w:t>
            </w:r>
          </w:p>
          <w:p w14:paraId="1692794D" w14:textId="77777777" w:rsidR="00854ADA" w:rsidRPr="00FF386D" w:rsidRDefault="00854ADA" w:rsidP="00854ADA">
            <w:pPr>
              <w:numPr>
                <w:ilvl w:val="0"/>
                <w:numId w:val="85"/>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Европски стратешки план за енергетске технологије (план СЕТ)</w:t>
            </w:r>
          </w:p>
        </w:tc>
      </w:tr>
      <w:tr w:rsidR="00854ADA" w:rsidRPr="00FF386D" w14:paraId="287E8BE3"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338626F4"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194" w:type="dxa"/>
            <w:gridSpan w:val="3"/>
            <w:vMerge/>
            <w:tcBorders>
              <w:top w:val="single" w:sz="8" w:space="0" w:color="auto"/>
              <w:left w:val="single" w:sz="8" w:space="0" w:color="auto"/>
              <w:bottom w:val="single" w:sz="8" w:space="0" w:color="000000"/>
              <w:right w:val="single" w:sz="8" w:space="0" w:color="000000"/>
            </w:tcBorders>
            <w:vAlign w:val="center"/>
          </w:tcPr>
          <w:p w14:paraId="3C912D2A" w14:textId="77777777" w:rsidR="00854ADA" w:rsidRPr="00FF386D" w:rsidRDefault="00854ADA" w:rsidP="00854ADA">
            <w:pPr>
              <w:numPr>
                <w:ilvl w:val="0"/>
                <w:numId w:val="85"/>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6C9DDF65"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19C93EF6"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194" w:type="dxa"/>
            <w:gridSpan w:val="3"/>
            <w:vMerge/>
            <w:tcBorders>
              <w:top w:val="single" w:sz="8" w:space="0" w:color="auto"/>
              <w:left w:val="single" w:sz="8" w:space="0" w:color="auto"/>
              <w:bottom w:val="single" w:sz="8" w:space="0" w:color="000000"/>
              <w:right w:val="single" w:sz="8" w:space="0" w:color="000000"/>
            </w:tcBorders>
            <w:vAlign w:val="center"/>
          </w:tcPr>
          <w:p w14:paraId="58811F62" w14:textId="77777777" w:rsidR="00854ADA" w:rsidRPr="00FF386D" w:rsidRDefault="00854ADA" w:rsidP="00854ADA">
            <w:pPr>
              <w:numPr>
                <w:ilvl w:val="0"/>
                <w:numId w:val="85"/>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2447D012" w14:textId="77777777" w:rsidTr="0057310C">
        <w:trPr>
          <w:trHeight w:val="301"/>
        </w:trPr>
        <w:tc>
          <w:tcPr>
            <w:tcW w:w="3294" w:type="dxa"/>
            <w:tcBorders>
              <w:top w:val="nil"/>
              <w:left w:val="single" w:sz="8" w:space="0" w:color="auto"/>
              <w:bottom w:val="single" w:sz="8" w:space="0" w:color="auto"/>
              <w:right w:val="single" w:sz="8" w:space="0" w:color="auto"/>
            </w:tcBorders>
            <w:shd w:val="clear" w:color="000000" w:fill="244062"/>
            <w:vAlign w:val="center"/>
            <w:hideMark/>
          </w:tcPr>
          <w:p w14:paraId="7F901C0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94" w:type="dxa"/>
            <w:gridSpan w:val="3"/>
            <w:tcBorders>
              <w:top w:val="single" w:sz="8" w:space="0" w:color="auto"/>
              <w:left w:val="nil"/>
              <w:bottom w:val="single" w:sz="8" w:space="0" w:color="auto"/>
              <w:right w:val="single" w:sz="8" w:space="0" w:color="000000"/>
            </w:tcBorders>
            <w:vAlign w:val="center"/>
          </w:tcPr>
          <w:p w14:paraId="568F2502" w14:textId="77777777" w:rsidR="00854ADA" w:rsidRPr="000A2AFE" w:rsidRDefault="00854ADA">
            <w:pPr>
              <w:numPr>
                <w:ilvl w:val="0"/>
                <w:numId w:val="242"/>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Закон о Фонду за науку</w:t>
            </w:r>
          </w:p>
          <w:p w14:paraId="4C8BA50D" w14:textId="77777777" w:rsidR="00854ADA" w:rsidRPr="00FF386D" w:rsidRDefault="00854ADA" w:rsidP="00854ADA">
            <w:pPr>
              <w:numPr>
                <w:ilvl w:val="0"/>
                <w:numId w:val="85"/>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Закон о науци и истраживању</w:t>
            </w:r>
          </w:p>
        </w:tc>
      </w:tr>
      <w:tr w:rsidR="00854ADA" w:rsidRPr="00FF386D" w14:paraId="43FDD17F" w14:textId="77777777" w:rsidTr="0057310C">
        <w:trPr>
          <w:trHeight w:val="315"/>
        </w:trPr>
        <w:tc>
          <w:tcPr>
            <w:tcW w:w="3294" w:type="dxa"/>
            <w:tcBorders>
              <w:top w:val="nil"/>
              <w:left w:val="single" w:sz="8" w:space="0" w:color="auto"/>
              <w:bottom w:val="single" w:sz="8" w:space="0" w:color="auto"/>
              <w:right w:val="single" w:sz="8" w:space="0" w:color="auto"/>
            </w:tcBorders>
            <w:shd w:val="clear" w:color="000000" w:fill="244062"/>
            <w:vAlign w:val="center"/>
            <w:hideMark/>
          </w:tcPr>
          <w:p w14:paraId="72060F0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94" w:type="dxa"/>
            <w:gridSpan w:val="3"/>
            <w:tcBorders>
              <w:top w:val="single" w:sz="8" w:space="0" w:color="auto"/>
              <w:left w:val="nil"/>
              <w:bottom w:val="single" w:sz="8" w:space="0" w:color="auto"/>
              <w:right w:val="single" w:sz="8" w:space="0" w:color="000000"/>
            </w:tcBorders>
            <w:vAlign w:val="center"/>
          </w:tcPr>
          <w:p w14:paraId="6D7BDDED"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0,1 милиона евра</w:t>
            </w:r>
          </w:p>
        </w:tc>
      </w:tr>
      <w:tr w:rsidR="00854ADA" w:rsidRPr="00FF386D" w14:paraId="6BF55B7F" w14:textId="77777777" w:rsidTr="0057310C">
        <w:trPr>
          <w:trHeight w:val="315"/>
        </w:trPr>
        <w:tc>
          <w:tcPr>
            <w:tcW w:w="3294" w:type="dxa"/>
            <w:tcBorders>
              <w:top w:val="nil"/>
              <w:left w:val="single" w:sz="8" w:space="0" w:color="auto"/>
              <w:bottom w:val="single" w:sz="8" w:space="0" w:color="auto"/>
              <w:right w:val="single" w:sz="8" w:space="0" w:color="auto"/>
            </w:tcBorders>
            <w:shd w:val="clear" w:color="000000" w:fill="244062"/>
            <w:vAlign w:val="center"/>
            <w:hideMark/>
          </w:tcPr>
          <w:p w14:paraId="7B5ACD7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94" w:type="dxa"/>
            <w:gridSpan w:val="3"/>
            <w:tcBorders>
              <w:top w:val="single" w:sz="8" w:space="0" w:color="auto"/>
              <w:left w:val="nil"/>
              <w:bottom w:val="single" w:sz="8" w:space="0" w:color="auto"/>
              <w:right w:val="single" w:sz="8" w:space="0" w:color="000000"/>
            </w:tcBorders>
            <w:shd w:val="clear" w:color="auto" w:fill="auto"/>
            <w:vAlign w:val="center"/>
            <w:hideMark/>
          </w:tcPr>
          <w:p w14:paraId="6589A114" w14:textId="45CD2956" w:rsidR="00854ADA" w:rsidRPr="00FF386D" w:rsidRDefault="00854ADA" w:rsidP="00854ADA">
            <w:pPr>
              <w:spacing w:after="0" w:line="240" w:lineRule="auto"/>
              <w:rPr>
                <w:rFonts w:asciiTheme="majorHAnsi" w:eastAsia="Times New Roman" w:hAnsiTheme="majorHAnsi" w:cstheme="majorHAnsi"/>
                <w:color w:val="000000"/>
                <w:lang w:eastAsia="en-GB"/>
              </w:rPr>
            </w:pPr>
            <w:r w:rsidRPr="00FF386D">
              <w:rPr>
                <w:rFonts w:asciiTheme="majorHAnsi" w:eastAsia="Times New Roman" w:hAnsiTheme="majorHAnsi" w:cstheme="majorHAnsi"/>
                <w:color w:val="000000"/>
                <w:sz w:val="20"/>
                <w:szCs w:val="20"/>
                <w:lang w:eastAsia="en-GB"/>
              </w:rPr>
              <w:t>Фондови ЕУ, буџет</w:t>
            </w:r>
            <w:r w:rsidR="007A186C" w:rsidRPr="00FF386D">
              <w:rPr>
                <w:rFonts w:asciiTheme="majorHAnsi" w:eastAsia="Times New Roman" w:hAnsiTheme="majorHAnsi" w:cstheme="majorHAnsi"/>
                <w:color w:val="000000"/>
                <w:sz w:val="20"/>
                <w:szCs w:val="20"/>
                <w:lang w:eastAsia="en-GB"/>
              </w:rPr>
              <w:t>ска средства</w:t>
            </w:r>
          </w:p>
        </w:tc>
      </w:tr>
    </w:tbl>
    <w:p w14:paraId="3EC4122B" w14:textId="77777777" w:rsidR="00854ADA" w:rsidRPr="00FF386D" w:rsidRDefault="00854ADA" w:rsidP="00854ADA">
      <w:pPr>
        <w:spacing w:before="120" w:after="120" w:line="240" w:lineRule="auto"/>
        <w:rPr>
          <w:rFonts w:ascii="Calibri" w:eastAsia="Times New Roman" w:hAnsi="Calibri" w:cs="Arial"/>
          <w:highlight w:val="green"/>
          <w:lang w:eastAsia="el-GR"/>
        </w:rPr>
      </w:pPr>
    </w:p>
    <w:tbl>
      <w:tblPr>
        <w:tblW w:w="9488" w:type="dxa"/>
        <w:tblLook w:val="04A0" w:firstRow="1" w:lastRow="0" w:firstColumn="1" w:lastColumn="0" w:noHBand="0" w:noVBand="1"/>
      </w:tblPr>
      <w:tblGrid>
        <w:gridCol w:w="3296"/>
        <w:gridCol w:w="1071"/>
        <w:gridCol w:w="940"/>
        <w:gridCol w:w="4181"/>
      </w:tblGrid>
      <w:tr w:rsidR="00854ADA" w:rsidRPr="00FF386D" w14:paraId="7B4F9309" w14:textId="77777777" w:rsidTr="0057310C">
        <w:trPr>
          <w:trHeight w:val="780"/>
        </w:trPr>
        <w:tc>
          <w:tcPr>
            <w:tcW w:w="3296"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02F9DF5B" w14:textId="05B96FA9"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071" w:type="dxa"/>
            <w:tcBorders>
              <w:top w:val="single" w:sz="8" w:space="0" w:color="auto"/>
              <w:left w:val="nil"/>
              <w:bottom w:val="single" w:sz="8" w:space="0" w:color="auto"/>
              <w:right w:val="single" w:sz="8" w:space="0" w:color="auto"/>
            </w:tcBorders>
            <w:shd w:val="clear" w:color="auto" w:fill="E7E6E6" w:themeFill="background2"/>
            <w:vAlign w:val="center"/>
            <w:hideMark/>
          </w:tcPr>
          <w:p w14:paraId="46FA5078"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МП_ИИК4</w:t>
            </w:r>
          </w:p>
        </w:tc>
        <w:tc>
          <w:tcPr>
            <w:tcW w:w="940" w:type="dxa"/>
            <w:tcBorders>
              <w:top w:val="single" w:sz="8" w:space="0" w:color="auto"/>
              <w:left w:val="nil"/>
              <w:bottom w:val="single" w:sz="8" w:space="0" w:color="auto"/>
              <w:right w:val="single" w:sz="8" w:space="0" w:color="auto"/>
            </w:tcBorders>
            <w:shd w:val="clear" w:color="auto" w:fill="244062"/>
            <w:vAlign w:val="center"/>
            <w:hideMark/>
          </w:tcPr>
          <w:p w14:paraId="0BEDDE1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81" w:type="dxa"/>
            <w:tcBorders>
              <w:top w:val="single" w:sz="8" w:space="0" w:color="auto"/>
              <w:left w:val="nil"/>
              <w:bottom w:val="single" w:sz="8" w:space="0" w:color="auto"/>
              <w:right w:val="single" w:sz="8" w:space="0" w:color="auto"/>
            </w:tcBorders>
            <w:shd w:val="clear" w:color="auto" w:fill="E7E6E6" w:themeFill="background2"/>
            <w:vAlign w:val="center"/>
            <w:hideMark/>
          </w:tcPr>
          <w:p w14:paraId="3F6E08AC" w14:textId="30EBB63F"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 xml:space="preserve">Интеграција Србије у Европски истраживачки простор и </w:t>
            </w:r>
            <w:r w:rsidR="003421A3" w:rsidRPr="000A2AFE">
              <w:rPr>
                <w:rFonts w:ascii="Calibri Light" w:eastAsia="Times New Roman" w:hAnsi="Calibri Light" w:cs="Calibri Light"/>
                <w:b/>
                <w:bCs/>
                <w:color w:val="000000"/>
                <w:sz w:val="20"/>
                <w:szCs w:val="20"/>
                <w:lang w:eastAsia="en-GB"/>
              </w:rPr>
              <w:t>унапређено</w:t>
            </w:r>
            <w:r w:rsidRPr="000A2AFE">
              <w:rPr>
                <w:rFonts w:ascii="Calibri Light" w:eastAsia="Times New Roman" w:hAnsi="Calibri Light" w:cs="Calibri Light"/>
                <w:b/>
                <w:bCs/>
                <w:color w:val="000000"/>
                <w:sz w:val="20"/>
                <w:szCs w:val="20"/>
                <w:lang w:eastAsia="en-GB"/>
              </w:rPr>
              <w:t xml:space="preserve"> учешће у енергетским програмима за истраживање и развој које финансира ЕУ</w:t>
            </w:r>
          </w:p>
        </w:tc>
      </w:tr>
      <w:tr w:rsidR="00854ADA" w:rsidRPr="00FF386D" w14:paraId="79486A16" w14:textId="77777777" w:rsidTr="0057310C">
        <w:trPr>
          <w:trHeight w:val="245"/>
        </w:trPr>
        <w:tc>
          <w:tcPr>
            <w:tcW w:w="3296" w:type="dxa"/>
            <w:tcBorders>
              <w:top w:val="nil"/>
              <w:left w:val="single" w:sz="8" w:space="0" w:color="auto"/>
              <w:bottom w:val="single" w:sz="8" w:space="0" w:color="auto"/>
              <w:right w:val="nil"/>
            </w:tcBorders>
            <w:shd w:val="clear" w:color="000000" w:fill="244062"/>
            <w:vAlign w:val="center"/>
            <w:hideMark/>
          </w:tcPr>
          <w:p w14:paraId="36C8B755" w14:textId="35FD47BD"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192" w:type="dxa"/>
            <w:gridSpan w:val="3"/>
            <w:tcBorders>
              <w:top w:val="single" w:sz="8" w:space="0" w:color="auto"/>
              <w:left w:val="nil"/>
              <w:bottom w:val="single" w:sz="8" w:space="0" w:color="auto"/>
              <w:right w:val="single" w:sz="8" w:space="0" w:color="000000"/>
            </w:tcBorders>
            <w:vAlign w:val="center"/>
            <w:hideMark/>
          </w:tcPr>
          <w:p w14:paraId="4D2E037B"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Промоција истраживања и иновација</w:t>
            </w:r>
          </w:p>
        </w:tc>
      </w:tr>
      <w:tr w:rsidR="00854ADA" w:rsidRPr="00FF386D" w14:paraId="13B4D5AE" w14:textId="77777777" w:rsidTr="0057310C">
        <w:trPr>
          <w:trHeight w:val="315"/>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6A1AB71D" w14:textId="50B5F0FB"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192" w:type="dxa"/>
            <w:gridSpan w:val="3"/>
            <w:tcBorders>
              <w:top w:val="single" w:sz="8" w:space="0" w:color="auto"/>
              <w:left w:val="nil"/>
              <w:bottom w:val="single" w:sz="8" w:space="0" w:color="auto"/>
              <w:right w:val="single" w:sz="8" w:space="0" w:color="000000"/>
            </w:tcBorders>
            <w:vAlign w:val="center"/>
            <w:hideMark/>
          </w:tcPr>
          <w:p w14:paraId="1DEFCDBF"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Повећање нивоа технолошке спремности у области енергетике (квалитативан циљ)</w:t>
            </w:r>
          </w:p>
        </w:tc>
      </w:tr>
      <w:tr w:rsidR="00854ADA" w:rsidRPr="00FF386D" w14:paraId="0B2DE97C" w14:textId="77777777" w:rsidTr="0057310C">
        <w:trPr>
          <w:trHeight w:val="1487"/>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1B763E0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192" w:type="dxa"/>
            <w:gridSpan w:val="3"/>
            <w:tcBorders>
              <w:top w:val="single" w:sz="8" w:space="0" w:color="auto"/>
              <w:left w:val="nil"/>
              <w:bottom w:val="single" w:sz="8" w:space="0" w:color="auto"/>
              <w:right w:val="single" w:sz="8" w:space="0" w:color="000000"/>
            </w:tcBorders>
            <w:vAlign w:val="center"/>
            <w:hideMark/>
          </w:tcPr>
          <w:p w14:paraId="2235F613" w14:textId="6BD8BD65"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МП_ИИК4 ће обезбедити бољу позицију Србије у области истраживања и развоја у Европи (нпр. у Европској алијанси истраживања у енергетици). На пример, у циљу припреме за учешће земље у Оквирном програму истраживања и иновација Хоризонт Европе, потребно је да се оснују бројне радне групе, које ће обухватити, између осталих, органе власти и истраживаче. Циљ ових радних група је да се побољша учешће Србије у европским оквирним истраживачким програмима, како би се Србија боље интегрисала у европску динамику,</w:t>
            </w:r>
            <w:r w:rsidR="003421A3" w:rsidRPr="00FF386D">
              <w:rPr>
                <w:rFonts w:ascii="Calibri Light" w:hAnsi="Calibri Light"/>
                <w:sz w:val="20"/>
              </w:rPr>
              <w:t xml:space="preserve"> </w:t>
            </w:r>
            <w:r w:rsidRPr="00FF386D">
              <w:rPr>
                <w:rFonts w:ascii="Calibri Light" w:hAnsi="Calibri Light"/>
                <w:sz w:val="20"/>
              </w:rPr>
              <w:t>унапредила стручност и конкурентност, створила синергиј</w:t>
            </w:r>
            <w:r w:rsidR="003421A3" w:rsidRPr="00FF386D">
              <w:rPr>
                <w:rFonts w:ascii="Calibri Light" w:hAnsi="Calibri Light"/>
                <w:sz w:val="20"/>
              </w:rPr>
              <w:t>е</w:t>
            </w:r>
            <w:r w:rsidRPr="00FF386D">
              <w:rPr>
                <w:rFonts w:ascii="Calibri Light" w:hAnsi="Calibri Light"/>
                <w:sz w:val="20"/>
              </w:rPr>
              <w:t xml:space="preserve"> и стекла приступ ширим тржиштима.</w:t>
            </w:r>
          </w:p>
        </w:tc>
      </w:tr>
      <w:tr w:rsidR="00854ADA" w:rsidRPr="00FF386D" w14:paraId="7F8DD522" w14:textId="77777777" w:rsidTr="0057310C">
        <w:trPr>
          <w:trHeight w:val="315"/>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7B62DE7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192" w:type="dxa"/>
            <w:gridSpan w:val="3"/>
            <w:tcBorders>
              <w:top w:val="single" w:sz="8" w:space="0" w:color="auto"/>
              <w:left w:val="nil"/>
              <w:bottom w:val="single" w:sz="8" w:space="0" w:color="auto"/>
              <w:right w:val="single" w:sz="8" w:space="0" w:color="000000"/>
            </w:tcBorders>
            <w:vAlign w:val="center"/>
            <w:hideMark/>
          </w:tcPr>
          <w:p w14:paraId="1AFD3959" w14:textId="0BB83659"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202</w:t>
            </w:r>
            <w:r w:rsidR="007A186C" w:rsidRPr="00FF386D">
              <w:rPr>
                <w:rFonts w:ascii="Calibri Light" w:hAnsi="Calibri Light"/>
                <w:sz w:val="20"/>
              </w:rPr>
              <w:t>3</w:t>
            </w:r>
            <w:r w:rsidRPr="00FF386D">
              <w:rPr>
                <w:rFonts w:ascii="Calibri Light" w:hAnsi="Calibri Light"/>
                <w:sz w:val="20"/>
              </w:rPr>
              <w:t>-2030.</w:t>
            </w:r>
          </w:p>
        </w:tc>
      </w:tr>
      <w:tr w:rsidR="00854ADA" w:rsidRPr="00FF386D" w14:paraId="60760A24" w14:textId="77777777" w:rsidTr="0057310C">
        <w:trPr>
          <w:trHeight w:val="315"/>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7F36765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192" w:type="dxa"/>
            <w:gridSpan w:val="3"/>
            <w:tcBorders>
              <w:top w:val="single" w:sz="8" w:space="0" w:color="auto"/>
              <w:left w:val="nil"/>
              <w:bottom w:val="single" w:sz="8" w:space="0" w:color="auto"/>
              <w:right w:val="single" w:sz="8" w:space="0" w:color="000000"/>
            </w:tcBorders>
            <w:vAlign w:val="center"/>
            <w:hideMark/>
          </w:tcPr>
          <w:p w14:paraId="676673D1"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Реформа</w:t>
            </w:r>
          </w:p>
        </w:tc>
      </w:tr>
      <w:tr w:rsidR="00854ADA" w:rsidRPr="00FF386D" w14:paraId="2AB1D8B1" w14:textId="77777777" w:rsidTr="0057310C">
        <w:trPr>
          <w:trHeight w:val="315"/>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2B6FF28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192" w:type="dxa"/>
            <w:gridSpan w:val="3"/>
            <w:tcBorders>
              <w:top w:val="single" w:sz="8" w:space="0" w:color="auto"/>
              <w:left w:val="nil"/>
              <w:bottom w:val="single" w:sz="8" w:space="0" w:color="auto"/>
              <w:right w:val="single" w:sz="8" w:space="0" w:color="000000"/>
            </w:tcBorders>
            <w:vAlign w:val="center"/>
            <w:hideMark/>
          </w:tcPr>
          <w:p w14:paraId="00B7EAA8" w14:textId="74E6C526"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Све области </w:t>
            </w:r>
            <w:r w:rsidR="003421A3" w:rsidRPr="00FF386D">
              <w:rPr>
                <w:rFonts w:ascii="Calibri Light" w:hAnsi="Calibri Light"/>
                <w:sz w:val="20"/>
              </w:rPr>
              <w:t>И</w:t>
            </w:r>
            <w:r w:rsidRPr="00FF386D">
              <w:rPr>
                <w:rFonts w:ascii="Calibri Light" w:hAnsi="Calibri Light"/>
                <w:sz w:val="20"/>
              </w:rPr>
              <w:t>НЕКП-а</w:t>
            </w:r>
          </w:p>
        </w:tc>
      </w:tr>
      <w:tr w:rsidR="00854ADA" w:rsidRPr="00FF386D" w14:paraId="145FA963" w14:textId="77777777" w:rsidTr="0057310C">
        <w:trPr>
          <w:trHeight w:val="315"/>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03D2D7D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192" w:type="dxa"/>
            <w:gridSpan w:val="3"/>
            <w:tcBorders>
              <w:top w:val="single" w:sz="8" w:space="0" w:color="auto"/>
              <w:left w:val="nil"/>
              <w:bottom w:val="single" w:sz="8" w:space="0" w:color="auto"/>
              <w:right w:val="single" w:sz="8" w:space="0" w:color="000000"/>
            </w:tcBorders>
            <w:vAlign w:val="center"/>
            <w:hideMark/>
          </w:tcPr>
          <w:p w14:paraId="4AAF3AC5" w14:textId="77777777" w:rsidR="00854ADA" w:rsidRPr="00FF386D" w:rsidRDefault="00854ADA" w:rsidP="00854ADA">
            <w:pPr>
              <w:numPr>
                <w:ilvl w:val="0"/>
                <w:numId w:val="190"/>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рударства и енергетике</w:t>
            </w:r>
          </w:p>
          <w:p w14:paraId="3F6E69BA" w14:textId="77777777" w:rsidR="00854ADA" w:rsidRPr="00FF386D" w:rsidRDefault="00854ADA" w:rsidP="00854ADA">
            <w:pPr>
              <w:numPr>
                <w:ilvl w:val="0"/>
                <w:numId w:val="190"/>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финансија</w:t>
            </w:r>
          </w:p>
          <w:p w14:paraId="09DAD1C0" w14:textId="77777777" w:rsidR="00854ADA" w:rsidRPr="00FF386D" w:rsidRDefault="00854ADA" w:rsidP="00854ADA">
            <w:pPr>
              <w:numPr>
                <w:ilvl w:val="0"/>
                <w:numId w:val="190"/>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просвете, науке и технолошког развоја</w:t>
            </w:r>
          </w:p>
          <w:p w14:paraId="2AAD69AD" w14:textId="073F97C0" w:rsidR="00854ADA" w:rsidRPr="00FF386D" w:rsidRDefault="00854ADA" w:rsidP="00854ADA">
            <w:pPr>
              <w:numPr>
                <w:ilvl w:val="0"/>
                <w:numId w:val="190"/>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Привредна комора Србије</w:t>
            </w:r>
          </w:p>
          <w:p w14:paraId="59BBCACB" w14:textId="77777777" w:rsidR="00854ADA" w:rsidRPr="00FF386D" w:rsidRDefault="00854ADA" w:rsidP="00854ADA">
            <w:pPr>
              <w:numPr>
                <w:ilvl w:val="0"/>
                <w:numId w:val="190"/>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Центар за промоцију науке</w:t>
            </w:r>
          </w:p>
        </w:tc>
      </w:tr>
      <w:tr w:rsidR="00854ADA" w:rsidRPr="00FF386D" w14:paraId="6EC23665" w14:textId="77777777" w:rsidTr="0057310C">
        <w:trPr>
          <w:trHeight w:val="315"/>
        </w:trPr>
        <w:tc>
          <w:tcPr>
            <w:tcW w:w="3296" w:type="dxa"/>
            <w:tcBorders>
              <w:top w:val="nil"/>
              <w:left w:val="single" w:sz="8" w:space="0" w:color="auto"/>
              <w:bottom w:val="single" w:sz="8" w:space="0" w:color="auto"/>
              <w:right w:val="nil"/>
            </w:tcBorders>
            <w:shd w:val="clear" w:color="000000" w:fill="244062"/>
            <w:vAlign w:val="center"/>
            <w:hideMark/>
          </w:tcPr>
          <w:p w14:paraId="34F1F41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192" w:type="dxa"/>
            <w:gridSpan w:val="3"/>
            <w:tcBorders>
              <w:top w:val="single" w:sz="8" w:space="0" w:color="auto"/>
              <w:left w:val="nil"/>
              <w:bottom w:val="single" w:sz="8" w:space="0" w:color="auto"/>
              <w:right w:val="single" w:sz="8" w:space="0" w:color="000000"/>
            </w:tcBorders>
            <w:vAlign w:val="center"/>
            <w:hideMark/>
          </w:tcPr>
          <w:p w14:paraId="412CCD06" w14:textId="77777777" w:rsidR="00854ADA" w:rsidRPr="00FF386D" w:rsidRDefault="00854ADA" w:rsidP="00854ADA">
            <w:pPr>
              <w:numPr>
                <w:ilvl w:val="0"/>
                <w:numId w:val="191"/>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просвете, науке и технолошког развоја</w:t>
            </w:r>
          </w:p>
        </w:tc>
      </w:tr>
      <w:tr w:rsidR="00854ADA" w:rsidRPr="00FF386D" w14:paraId="0437297A" w14:textId="77777777" w:rsidTr="0057310C">
        <w:trPr>
          <w:trHeight w:val="315"/>
        </w:trPr>
        <w:tc>
          <w:tcPr>
            <w:tcW w:w="3296" w:type="dxa"/>
            <w:tcBorders>
              <w:top w:val="nil"/>
              <w:left w:val="single" w:sz="8" w:space="0" w:color="auto"/>
              <w:bottom w:val="single" w:sz="8" w:space="0" w:color="auto"/>
              <w:right w:val="nil"/>
            </w:tcBorders>
            <w:shd w:val="clear" w:color="000000" w:fill="244062"/>
            <w:vAlign w:val="center"/>
            <w:hideMark/>
          </w:tcPr>
          <w:p w14:paraId="2BADAB0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192" w:type="dxa"/>
            <w:gridSpan w:val="3"/>
            <w:tcBorders>
              <w:top w:val="single" w:sz="8" w:space="0" w:color="auto"/>
              <w:left w:val="nil"/>
              <w:bottom w:val="single" w:sz="8" w:space="0" w:color="auto"/>
              <w:right w:val="single" w:sz="8" w:space="0" w:color="000000"/>
            </w:tcBorders>
            <w:vAlign w:val="center"/>
            <w:hideMark/>
          </w:tcPr>
          <w:p w14:paraId="408688B4"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Број пријава, пројеката, компанија, конзорцијума у програму Хоризонт Европе, који укључују тимове из Републике Србије на годишњем нивоу</w:t>
            </w:r>
          </w:p>
        </w:tc>
      </w:tr>
      <w:tr w:rsidR="00854ADA" w:rsidRPr="00FF386D" w14:paraId="19823BB3" w14:textId="77777777" w:rsidTr="0057310C">
        <w:trPr>
          <w:trHeight w:val="375"/>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533ED6C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192" w:type="dxa"/>
            <w:gridSpan w:val="3"/>
            <w:tcBorders>
              <w:top w:val="single" w:sz="8" w:space="0" w:color="auto"/>
              <w:left w:val="nil"/>
              <w:bottom w:val="single" w:sz="8" w:space="0" w:color="auto"/>
              <w:right w:val="single" w:sz="8" w:space="0" w:color="000000"/>
            </w:tcBorders>
            <w:vAlign w:val="center"/>
          </w:tcPr>
          <w:p w14:paraId="2CC1951D" w14:textId="77777777" w:rsidR="00854ADA" w:rsidRPr="00FF386D" w:rsidRDefault="00854ADA" w:rsidP="00854ADA">
            <w:pPr>
              <w:numPr>
                <w:ilvl w:val="0"/>
                <w:numId w:val="174"/>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Унутрашње тржиште енергије</w:t>
            </w:r>
          </w:p>
        </w:tc>
      </w:tr>
      <w:tr w:rsidR="00854ADA" w:rsidRPr="00FF386D" w14:paraId="4CC8DC67" w14:textId="77777777" w:rsidTr="0057310C">
        <w:trPr>
          <w:trHeight w:val="450"/>
        </w:trPr>
        <w:tc>
          <w:tcPr>
            <w:tcW w:w="3296"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3439046A" w14:textId="54205D8F"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192" w:type="dxa"/>
            <w:gridSpan w:val="3"/>
            <w:vMerge w:val="restart"/>
            <w:tcBorders>
              <w:top w:val="single" w:sz="8" w:space="0" w:color="auto"/>
              <w:left w:val="single" w:sz="8" w:space="0" w:color="auto"/>
              <w:bottom w:val="single" w:sz="8" w:space="0" w:color="000000"/>
              <w:right w:val="single" w:sz="8" w:space="0" w:color="000000"/>
            </w:tcBorders>
            <w:vAlign w:val="center"/>
          </w:tcPr>
          <w:p w14:paraId="0A6B2DCE" w14:textId="77777777" w:rsidR="00854ADA" w:rsidRPr="00FF386D" w:rsidRDefault="00854ADA" w:rsidP="00854ADA">
            <w:pPr>
              <w:numPr>
                <w:ilvl w:val="0"/>
                <w:numId w:val="86"/>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Европски стратешки план за енергетске технологије (план СЕТ)</w:t>
            </w:r>
          </w:p>
        </w:tc>
      </w:tr>
      <w:tr w:rsidR="00854ADA" w:rsidRPr="00FF386D" w14:paraId="708DFBCF"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50BC2778"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192" w:type="dxa"/>
            <w:gridSpan w:val="3"/>
            <w:vMerge/>
            <w:tcBorders>
              <w:top w:val="single" w:sz="8" w:space="0" w:color="auto"/>
              <w:left w:val="single" w:sz="8" w:space="0" w:color="auto"/>
              <w:bottom w:val="single" w:sz="8" w:space="0" w:color="000000"/>
              <w:right w:val="single" w:sz="8" w:space="0" w:color="000000"/>
            </w:tcBorders>
            <w:vAlign w:val="center"/>
          </w:tcPr>
          <w:p w14:paraId="5D430E71" w14:textId="77777777" w:rsidR="00854ADA" w:rsidRPr="00FF386D" w:rsidRDefault="00854ADA" w:rsidP="00854ADA">
            <w:pPr>
              <w:numPr>
                <w:ilvl w:val="0"/>
                <w:numId w:val="86"/>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3E11A452"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12023095"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192" w:type="dxa"/>
            <w:gridSpan w:val="3"/>
            <w:vMerge/>
            <w:tcBorders>
              <w:top w:val="single" w:sz="8" w:space="0" w:color="auto"/>
              <w:left w:val="single" w:sz="8" w:space="0" w:color="auto"/>
              <w:bottom w:val="single" w:sz="8" w:space="0" w:color="000000"/>
              <w:right w:val="single" w:sz="8" w:space="0" w:color="000000"/>
            </w:tcBorders>
            <w:vAlign w:val="center"/>
          </w:tcPr>
          <w:p w14:paraId="790E8BAF" w14:textId="77777777" w:rsidR="00854ADA" w:rsidRPr="00FF386D" w:rsidRDefault="00854ADA" w:rsidP="00854ADA">
            <w:pPr>
              <w:numPr>
                <w:ilvl w:val="0"/>
                <w:numId w:val="86"/>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07972ED6" w14:textId="77777777" w:rsidTr="0057310C">
        <w:trPr>
          <w:trHeight w:val="306"/>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45D9BF6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92" w:type="dxa"/>
            <w:gridSpan w:val="3"/>
            <w:tcBorders>
              <w:top w:val="single" w:sz="8" w:space="0" w:color="auto"/>
              <w:left w:val="nil"/>
              <w:bottom w:val="single" w:sz="8" w:space="0" w:color="auto"/>
              <w:right w:val="single" w:sz="8" w:space="0" w:color="000000"/>
            </w:tcBorders>
            <w:vAlign w:val="center"/>
          </w:tcPr>
          <w:p w14:paraId="4D915FB6" w14:textId="77777777" w:rsidR="00854ADA" w:rsidRPr="000A2AFE" w:rsidRDefault="00854ADA">
            <w:pPr>
              <w:numPr>
                <w:ilvl w:val="0"/>
                <w:numId w:val="242"/>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Закон о Фонду за науку</w:t>
            </w:r>
          </w:p>
          <w:p w14:paraId="5D119BE9" w14:textId="77777777" w:rsidR="00854ADA" w:rsidRPr="00FF386D" w:rsidRDefault="00854ADA" w:rsidP="00854ADA">
            <w:pPr>
              <w:numPr>
                <w:ilvl w:val="0"/>
                <w:numId w:val="86"/>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Закон о науци и истраживању</w:t>
            </w:r>
          </w:p>
        </w:tc>
      </w:tr>
      <w:tr w:rsidR="00854ADA" w:rsidRPr="00FF386D" w14:paraId="165BD709" w14:textId="77777777" w:rsidTr="0057310C">
        <w:trPr>
          <w:trHeight w:val="315"/>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4DEC7E8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92" w:type="dxa"/>
            <w:gridSpan w:val="3"/>
            <w:tcBorders>
              <w:top w:val="single" w:sz="8" w:space="0" w:color="auto"/>
              <w:left w:val="nil"/>
              <w:bottom w:val="single" w:sz="8" w:space="0" w:color="auto"/>
              <w:right w:val="single" w:sz="8" w:space="0" w:color="000000"/>
            </w:tcBorders>
            <w:vAlign w:val="center"/>
          </w:tcPr>
          <w:p w14:paraId="04BE5F54"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0,1 милиона евра</w:t>
            </w:r>
          </w:p>
        </w:tc>
      </w:tr>
      <w:tr w:rsidR="00854ADA" w:rsidRPr="00FF386D" w14:paraId="156AA7BC" w14:textId="77777777" w:rsidTr="0057310C">
        <w:trPr>
          <w:trHeight w:val="315"/>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5C552C9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92" w:type="dxa"/>
            <w:gridSpan w:val="3"/>
            <w:tcBorders>
              <w:top w:val="single" w:sz="8" w:space="0" w:color="auto"/>
              <w:left w:val="nil"/>
              <w:bottom w:val="single" w:sz="8" w:space="0" w:color="auto"/>
              <w:right w:val="single" w:sz="8" w:space="0" w:color="000000"/>
            </w:tcBorders>
            <w:shd w:val="clear" w:color="auto" w:fill="auto"/>
            <w:vAlign w:val="center"/>
            <w:hideMark/>
          </w:tcPr>
          <w:p w14:paraId="4A9D73A7" w14:textId="6AB7B14A" w:rsidR="00854ADA" w:rsidRPr="00FF386D" w:rsidRDefault="00854ADA" w:rsidP="00854ADA">
            <w:pPr>
              <w:spacing w:after="0" w:line="240" w:lineRule="auto"/>
              <w:rPr>
                <w:rFonts w:asciiTheme="majorHAnsi" w:eastAsia="Times New Roman" w:hAnsiTheme="majorHAnsi" w:cstheme="majorHAnsi"/>
                <w:color w:val="000000"/>
                <w:lang w:eastAsia="en-GB"/>
              </w:rPr>
            </w:pPr>
            <w:r w:rsidRPr="00FF386D">
              <w:rPr>
                <w:rFonts w:asciiTheme="majorHAnsi" w:eastAsia="Times New Roman" w:hAnsiTheme="majorHAnsi" w:cstheme="majorHAnsi"/>
                <w:color w:val="000000"/>
                <w:sz w:val="20"/>
                <w:szCs w:val="20"/>
                <w:lang w:eastAsia="en-GB"/>
              </w:rPr>
              <w:t>Фондови ЕУ, буџет</w:t>
            </w:r>
            <w:r w:rsidR="007A186C" w:rsidRPr="00FF386D">
              <w:rPr>
                <w:rFonts w:asciiTheme="majorHAnsi" w:eastAsia="Times New Roman" w:hAnsiTheme="majorHAnsi" w:cstheme="majorHAnsi"/>
                <w:color w:val="000000"/>
                <w:sz w:val="20"/>
                <w:szCs w:val="20"/>
                <w:lang w:eastAsia="en-GB"/>
              </w:rPr>
              <w:t>ска средства</w:t>
            </w:r>
          </w:p>
        </w:tc>
      </w:tr>
    </w:tbl>
    <w:p w14:paraId="37B19783" w14:textId="77777777" w:rsidR="00854ADA" w:rsidRPr="00FF386D" w:rsidRDefault="00854ADA" w:rsidP="00854ADA">
      <w:pPr>
        <w:spacing w:before="120" w:after="120" w:line="240" w:lineRule="auto"/>
        <w:rPr>
          <w:rFonts w:ascii="Calibri" w:eastAsia="Times New Roman" w:hAnsi="Calibri" w:cs="Arial"/>
          <w:highlight w:val="green"/>
          <w:lang w:eastAsia="el-GR"/>
        </w:rPr>
      </w:pPr>
    </w:p>
    <w:tbl>
      <w:tblPr>
        <w:tblW w:w="9488" w:type="dxa"/>
        <w:tblLook w:val="04A0" w:firstRow="1" w:lastRow="0" w:firstColumn="1" w:lastColumn="0" w:noHBand="0" w:noVBand="1"/>
      </w:tblPr>
      <w:tblGrid>
        <w:gridCol w:w="3296"/>
        <w:gridCol w:w="1071"/>
        <w:gridCol w:w="940"/>
        <w:gridCol w:w="4181"/>
      </w:tblGrid>
      <w:tr w:rsidR="00854ADA" w:rsidRPr="00FF386D" w14:paraId="7B1F447A" w14:textId="77777777" w:rsidTr="0057310C">
        <w:trPr>
          <w:trHeight w:val="780"/>
        </w:trPr>
        <w:tc>
          <w:tcPr>
            <w:tcW w:w="3296"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330E499E" w14:textId="6EEAA66C"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071" w:type="dxa"/>
            <w:tcBorders>
              <w:top w:val="single" w:sz="8" w:space="0" w:color="auto"/>
              <w:left w:val="nil"/>
              <w:bottom w:val="single" w:sz="8" w:space="0" w:color="auto"/>
              <w:right w:val="single" w:sz="8" w:space="0" w:color="auto"/>
            </w:tcBorders>
            <w:shd w:val="clear" w:color="auto" w:fill="E7E6E6" w:themeFill="background2"/>
            <w:vAlign w:val="center"/>
            <w:hideMark/>
          </w:tcPr>
          <w:p w14:paraId="462B01BF"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МП_ИИК5</w:t>
            </w:r>
          </w:p>
        </w:tc>
        <w:tc>
          <w:tcPr>
            <w:tcW w:w="940" w:type="dxa"/>
            <w:tcBorders>
              <w:top w:val="single" w:sz="8" w:space="0" w:color="auto"/>
              <w:left w:val="nil"/>
              <w:bottom w:val="single" w:sz="8" w:space="0" w:color="auto"/>
              <w:right w:val="single" w:sz="8" w:space="0" w:color="auto"/>
            </w:tcBorders>
            <w:shd w:val="clear" w:color="auto" w:fill="244062"/>
            <w:vAlign w:val="center"/>
            <w:hideMark/>
          </w:tcPr>
          <w:p w14:paraId="7AEEE3E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81" w:type="dxa"/>
            <w:tcBorders>
              <w:top w:val="single" w:sz="8" w:space="0" w:color="auto"/>
              <w:left w:val="nil"/>
              <w:bottom w:val="single" w:sz="8" w:space="0" w:color="auto"/>
              <w:right w:val="single" w:sz="8" w:space="0" w:color="auto"/>
            </w:tcBorders>
            <w:shd w:val="clear" w:color="auto" w:fill="E7E6E6" w:themeFill="background2"/>
            <w:vAlign w:val="center"/>
            <w:hideMark/>
          </w:tcPr>
          <w:p w14:paraId="39AB4914" w14:textId="6A9E8B15"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eastAsia="Times New Roman" w:hAnsi="Calibri Light" w:cs="Calibri Light"/>
                <w:b/>
                <w:bCs/>
                <w:color w:val="000000"/>
                <w:sz w:val="20"/>
                <w:szCs w:val="20"/>
                <w:lang w:eastAsia="en-GB"/>
              </w:rPr>
              <w:t>Развој инова</w:t>
            </w:r>
            <w:r w:rsidR="00B36155" w:rsidRPr="00FF386D">
              <w:rPr>
                <w:rFonts w:ascii="Calibri Light" w:eastAsia="Times New Roman" w:hAnsi="Calibri Light" w:cs="Calibri Light"/>
                <w:b/>
                <w:bCs/>
                <w:color w:val="000000"/>
                <w:sz w:val="20"/>
                <w:szCs w:val="20"/>
                <w:lang w:eastAsia="en-GB"/>
              </w:rPr>
              <w:t>ционих</w:t>
            </w:r>
            <w:r w:rsidR="008C725F" w:rsidRPr="00FF386D">
              <w:rPr>
                <w:rFonts w:ascii="Calibri Light" w:eastAsia="Times New Roman" w:hAnsi="Calibri Light" w:cs="Calibri Light"/>
                <w:b/>
                <w:bCs/>
                <w:color w:val="000000"/>
                <w:sz w:val="20"/>
                <w:szCs w:val="20"/>
                <w:lang w:eastAsia="en-GB"/>
              </w:rPr>
              <w:t xml:space="preserve"> центара</w:t>
            </w:r>
            <w:r w:rsidRPr="00FF386D">
              <w:rPr>
                <w:rFonts w:ascii="Calibri Light" w:eastAsia="Times New Roman" w:hAnsi="Calibri Light" w:cs="Calibri Light"/>
                <w:b/>
                <w:bCs/>
                <w:color w:val="000000"/>
                <w:sz w:val="20"/>
                <w:szCs w:val="20"/>
                <w:lang w:eastAsia="en-GB"/>
              </w:rPr>
              <w:t>/ кластера, стартап</w:t>
            </w:r>
            <w:r w:rsidR="007D6369" w:rsidRPr="00FF386D">
              <w:rPr>
                <w:rFonts w:ascii="Calibri Light" w:eastAsia="Times New Roman" w:hAnsi="Calibri Light" w:cs="Calibri Light"/>
                <w:b/>
                <w:bCs/>
                <w:color w:val="000000"/>
                <w:sz w:val="20"/>
                <w:szCs w:val="20"/>
                <w:lang w:eastAsia="en-GB"/>
              </w:rPr>
              <w:t>а</w:t>
            </w:r>
            <w:r w:rsidRPr="00FF386D">
              <w:rPr>
                <w:rFonts w:ascii="Calibri Light" w:eastAsia="Times New Roman" w:hAnsi="Calibri Light" w:cs="Calibri Light"/>
                <w:b/>
                <w:bCs/>
                <w:color w:val="000000"/>
                <w:sz w:val="20"/>
                <w:szCs w:val="20"/>
                <w:lang w:eastAsia="en-GB"/>
              </w:rPr>
              <w:t>, спиноф</w:t>
            </w:r>
            <w:r w:rsidR="007D6369" w:rsidRPr="00FF386D">
              <w:rPr>
                <w:rFonts w:ascii="Calibri Light" w:eastAsia="Times New Roman" w:hAnsi="Calibri Light" w:cs="Calibri Light"/>
                <w:b/>
                <w:bCs/>
                <w:color w:val="000000"/>
                <w:sz w:val="20"/>
                <w:szCs w:val="20"/>
                <w:lang w:eastAsia="en-GB"/>
              </w:rPr>
              <w:t>а</w:t>
            </w:r>
            <w:r w:rsidRPr="00FF386D">
              <w:rPr>
                <w:rFonts w:ascii="Calibri Light" w:eastAsia="Times New Roman" w:hAnsi="Calibri Light" w:cs="Calibri Light"/>
                <w:b/>
                <w:bCs/>
                <w:color w:val="000000"/>
                <w:sz w:val="20"/>
                <w:szCs w:val="20"/>
                <w:lang w:eastAsia="en-GB"/>
              </w:rPr>
              <w:t>, спинаута</w:t>
            </w:r>
          </w:p>
        </w:tc>
      </w:tr>
      <w:tr w:rsidR="00854ADA" w:rsidRPr="00FF386D" w14:paraId="2B9D04DC" w14:textId="77777777" w:rsidTr="0057310C">
        <w:trPr>
          <w:trHeight w:val="377"/>
        </w:trPr>
        <w:tc>
          <w:tcPr>
            <w:tcW w:w="3296" w:type="dxa"/>
            <w:tcBorders>
              <w:top w:val="nil"/>
              <w:left w:val="single" w:sz="8" w:space="0" w:color="auto"/>
              <w:bottom w:val="single" w:sz="8" w:space="0" w:color="auto"/>
              <w:right w:val="nil"/>
            </w:tcBorders>
            <w:shd w:val="clear" w:color="000000" w:fill="244062"/>
            <w:vAlign w:val="center"/>
            <w:hideMark/>
          </w:tcPr>
          <w:p w14:paraId="7992EFB5" w14:textId="3AFF63E3"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Главни циљ:</w:t>
            </w:r>
          </w:p>
        </w:tc>
        <w:tc>
          <w:tcPr>
            <w:tcW w:w="6192" w:type="dxa"/>
            <w:gridSpan w:val="3"/>
            <w:tcBorders>
              <w:top w:val="single" w:sz="8" w:space="0" w:color="auto"/>
              <w:left w:val="nil"/>
              <w:bottom w:val="single" w:sz="8" w:space="0" w:color="auto"/>
              <w:right w:val="single" w:sz="8" w:space="0" w:color="000000"/>
            </w:tcBorders>
            <w:vAlign w:val="center"/>
            <w:hideMark/>
          </w:tcPr>
          <w:p w14:paraId="1502E878"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Промоција истраживања и иновација</w:t>
            </w:r>
          </w:p>
        </w:tc>
      </w:tr>
      <w:tr w:rsidR="00854ADA" w:rsidRPr="00FF386D" w14:paraId="2BF3C443" w14:textId="77777777" w:rsidTr="0057310C">
        <w:trPr>
          <w:trHeight w:val="315"/>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41D0276A" w14:textId="72A7CF9B"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192" w:type="dxa"/>
            <w:gridSpan w:val="3"/>
            <w:tcBorders>
              <w:top w:val="single" w:sz="8" w:space="0" w:color="auto"/>
              <w:left w:val="nil"/>
              <w:bottom w:val="single" w:sz="8" w:space="0" w:color="auto"/>
              <w:right w:val="single" w:sz="8" w:space="0" w:color="000000"/>
            </w:tcBorders>
            <w:vAlign w:val="center"/>
          </w:tcPr>
          <w:p w14:paraId="6984EFE3" w14:textId="77777777" w:rsidR="00854ADA" w:rsidRPr="00FF386D" w:rsidRDefault="00854ADA" w:rsidP="00854ADA">
            <w:pPr>
              <w:spacing w:after="0" w:line="240" w:lineRule="auto"/>
              <w:jc w:val="both"/>
              <w:rPr>
                <w:rFonts w:asciiTheme="majorHAnsi" w:eastAsia="Times New Roman" w:hAnsiTheme="majorHAnsi" w:cstheme="majorHAnsi"/>
                <w:color w:val="000000"/>
                <w:lang w:eastAsia="en-GB"/>
              </w:rPr>
            </w:pPr>
            <w:r w:rsidRPr="00FF386D">
              <w:rPr>
                <w:rFonts w:asciiTheme="majorHAnsi" w:eastAsia="Times New Roman" w:hAnsiTheme="majorHAnsi" w:cstheme="majorHAnsi"/>
                <w:color w:val="000000"/>
                <w:sz w:val="20"/>
                <w:szCs w:val="20"/>
                <w:lang w:eastAsia="en-GB"/>
              </w:rPr>
              <w:t>Повећање нивоа технолошке спремности у области енергетике (квалитативан циљ)</w:t>
            </w:r>
          </w:p>
        </w:tc>
      </w:tr>
      <w:tr w:rsidR="00854ADA" w:rsidRPr="00FF386D" w14:paraId="2229E56D" w14:textId="77777777" w:rsidTr="0057310C">
        <w:trPr>
          <w:trHeight w:val="1189"/>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41BD0E4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192" w:type="dxa"/>
            <w:gridSpan w:val="3"/>
            <w:tcBorders>
              <w:top w:val="single" w:sz="8" w:space="0" w:color="auto"/>
              <w:left w:val="nil"/>
              <w:bottom w:val="single" w:sz="8" w:space="0" w:color="auto"/>
              <w:right w:val="single" w:sz="8" w:space="0" w:color="000000"/>
            </w:tcBorders>
            <w:vAlign w:val="center"/>
            <w:hideMark/>
          </w:tcPr>
          <w:p w14:paraId="0CD9FF75" w14:textId="765BD881"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МП_ИИК5 ће промовисати оснивање и развој стартап</w:t>
            </w:r>
            <w:r w:rsidR="007D6369"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утемељ</w:t>
            </w:r>
            <w:r w:rsidR="00E77EED">
              <w:rPr>
                <w:rFonts w:ascii="Calibri Light" w:eastAsia="Times New Roman" w:hAnsi="Calibri Light" w:cs="Calibri Light"/>
                <w:color w:val="000000"/>
                <w:sz w:val="20"/>
                <w:szCs w:val="20"/>
                <w:lang w:eastAsia="en-GB"/>
              </w:rPr>
              <w:t>е</w:t>
            </w:r>
            <w:r w:rsidRPr="000A2AFE">
              <w:rPr>
                <w:rFonts w:ascii="Calibri Light" w:eastAsia="Times New Roman" w:hAnsi="Calibri Light" w:cs="Calibri Light"/>
                <w:color w:val="000000"/>
                <w:sz w:val="20"/>
                <w:szCs w:val="20"/>
                <w:lang w:eastAsia="en-GB"/>
              </w:rPr>
              <w:t xml:space="preserve">них на знању </w:t>
            </w:r>
            <w:r w:rsidR="007D6369" w:rsidRPr="000A2AFE">
              <w:rPr>
                <w:rFonts w:ascii="Calibri Light" w:eastAsia="Times New Roman" w:hAnsi="Calibri Light" w:cs="Calibri Light"/>
                <w:color w:val="000000"/>
                <w:sz w:val="20"/>
                <w:szCs w:val="20"/>
                <w:lang w:eastAsia="en-GB"/>
              </w:rPr>
              <w:t>од стране</w:t>
            </w:r>
            <w:r w:rsidRPr="000A2AFE">
              <w:rPr>
                <w:rFonts w:ascii="Calibri Light" w:eastAsia="Times New Roman" w:hAnsi="Calibri Light" w:cs="Calibri Light"/>
                <w:color w:val="000000"/>
                <w:sz w:val="20"/>
                <w:szCs w:val="20"/>
                <w:lang w:eastAsia="en-GB"/>
              </w:rPr>
              <w:t xml:space="preserve"> универзитет</w:t>
            </w:r>
            <w:r w:rsidR="00A37477"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технолошких образовних института, истраживачких центара, предузећа и независних истраживача, спиноф</w:t>
            </w:r>
            <w:r w:rsidR="007D6369"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/спинаута, иновационих </w:t>
            </w:r>
            <w:r w:rsidR="007D6369" w:rsidRPr="000A2AFE">
              <w:rPr>
                <w:rFonts w:ascii="Calibri Light" w:eastAsia="Times New Roman" w:hAnsi="Calibri Light" w:cs="Calibri Light"/>
                <w:color w:val="000000"/>
                <w:sz w:val="20"/>
                <w:szCs w:val="20"/>
                <w:lang w:eastAsia="en-GB"/>
              </w:rPr>
              <w:t>центара</w:t>
            </w:r>
            <w:r w:rsidRPr="000A2AFE">
              <w:rPr>
                <w:rFonts w:ascii="Calibri Light" w:eastAsia="Times New Roman" w:hAnsi="Calibri Light" w:cs="Calibri Light"/>
                <w:color w:val="000000"/>
                <w:sz w:val="20"/>
                <w:szCs w:val="20"/>
                <w:lang w:eastAsia="en-GB"/>
              </w:rPr>
              <w:t>, као и кластера за трговање/комерцијализацију зрелих резултата истраживања и иновативних идеја.</w:t>
            </w:r>
          </w:p>
        </w:tc>
      </w:tr>
      <w:tr w:rsidR="00854ADA" w:rsidRPr="00FF386D" w14:paraId="5FB69FF0" w14:textId="77777777" w:rsidTr="0057310C">
        <w:trPr>
          <w:trHeight w:val="315"/>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3C5349B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192" w:type="dxa"/>
            <w:gridSpan w:val="3"/>
            <w:tcBorders>
              <w:top w:val="single" w:sz="8" w:space="0" w:color="auto"/>
              <w:left w:val="nil"/>
              <w:bottom w:val="single" w:sz="8" w:space="0" w:color="auto"/>
              <w:right w:val="single" w:sz="8" w:space="0" w:color="000000"/>
            </w:tcBorders>
            <w:vAlign w:val="center"/>
            <w:hideMark/>
          </w:tcPr>
          <w:p w14:paraId="6240818B" w14:textId="72AD79CF"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202</w:t>
            </w:r>
            <w:r w:rsidR="007A186C" w:rsidRPr="00FF386D">
              <w:rPr>
                <w:rFonts w:ascii="Calibri Light" w:hAnsi="Calibri Light"/>
                <w:sz w:val="20"/>
              </w:rPr>
              <w:t>3</w:t>
            </w:r>
            <w:r w:rsidRPr="00FF386D">
              <w:rPr>
                <w:rFonts w:ascii="Calibri Light" w:hAnsi="Calibri Light"/>
                <w:sz w:val="20"/>
              </w:rPr>
              <w:t>-2030.</w:t>
            </w:r>
          </w:p>
        </w:tc>
      </w:tr>
      <w:tr w:rsidR="00854ADA" w:rsidRPr="00FF386D" w14:paraId="3C754C0B" w14:textId="77777777" w:rsidTr="0057310C">
        <w:trPr>
          <w:trHeight w:val="315"/>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7C22B05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192" w:type="dxa"/>
            <w:gridSpan w:val="3"/>
            <w:tcBorders>
              <w:top w:val="single" w:sz="8" w:space="0" w:color="auto"/>
              <w:left w:val="nil"/>
              <w:bottom w:val="single" w:sz="8" w:space="0" w:color="auto"/>
              <w:right w:val="single" w:sz="8" w:space="0" w:color="000000"/>
            </w:tcBorders>
            <w:vAlign w:val="center"/>
            <w:hideMark/>
          </w:tcPr>
          <w:p w14:paraId="59D43154"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Инвестиција</w:t>
            </w:r>
          </w:p>
        </w:tc>
      </w:tr>
      <w:tr w:rsidR="00854ADA" w:rsidRPr="00FF386D" w14:paraId="78D4EE31" w14:textId="77777777" w:rsidTr="0057310C">
        <w:trPr>
          <w:trHeight w:val="315"/>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7AF3046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192" w:type="dxa"/>
            <w:gridSpan w:val="3"/>
            <w:tcBorders>
              <w:top w:val="single" w:sz="8" w:space="0" w:color="auto"/>
              <w:left w:val="nil"/>
              <w:bottom w:val="single" w:sz="8" w:space="0" w:color="auto"/>
              <w:right w:val="single" w:sz="8" w:space="0" w:color="000000"/>
            </w:tcBorders>
            <w:vAlign w:val="center"/>
            <w:hideMark/>
          </w:tcPr>
          <w:p w14:paraId="57FBFAE4" w14:textId="57812010"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Све области </w:t>
            </w:r>
            <w:r w:rsidR="007D6369" w:rsidRPr="00FF386D">
              <w:rPr>
                <w:rFonts w:ascii="Calibri Light" w:hAnsi="Calibri Light"/>
                <w:sz w:val="20"/>
              </w:rPr>
              <w:t>И</w:t>
            </w:r>
            <w:r w:rsidRPr="00FF386D">
              <w:rPr>
                <w:rFonts w:ascii="Calibri Light" w:hAnsi="Calibri Light"/>
                <w:sz w:val="20"/>
              </w:rPr>
              <w:t>НЕКП-а</w:t>
            </w:r>
          </w:p>
        </w:tc>
      </w:tr>
      <w:tr w:rsidR="00854ADA" w:rsidRPr="00FF386D" w14:paraId="29547F51" w14:textId="77777777" w:rsidTr="0057310C">
        <w:trPr>
          <w:trHeight w:val="315"/>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1BC2C73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192" w:type="dxa"/>
            <w:gridSpan w:val="3"/>
            <w:tcBorders>
              <w:top w:val="single" w:sz="8" w:space="0" w:color="auto"/>
              <w:left w:val="nil"/>
              <w:bottom w:val="single" w:sz="8" w:space="0" w:color="auto"/>
              <w:right w:val="single" w:sz="8" w:space="0" w:color="000000"/>
            </w:tcBorders>
            <w:vAlign w:val="center"/>
            <w:hideMark/>
          </w:tcPr>
          <w:p w14:paraId="1A6039CE" w14:textId="77777777" w:rsidR="00854ADA" w:rsidRPr="00FF386D" w:rsidRDefault="00854ADA" w:rsidP="00854ADA">
            <w:pPr>
              <w:numPr>
                <w:ilvl w:val="0"/>
                <w:numId w:val="19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рударства и енергетике</w:t>
            </w:r>
          </w:p>
          <w:p w14:paraId="7896649B" w14:textId="77777777" w:rsidR="00854ADA" w:rsidRPr="00FF386D" w:rsidRDefault="00854ADA" w:rsidP="00854ADA">
            <w:pPr>
              <w:numPr>
                <w:ilvl w:val="0"/>
                <w:numId w:val="19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просвете, науке и технолошког развоја</w:t>
            </w:r>
          </w:p>
          <w:p w14:paraId="3C9E872B" w14:textId="07489F49" w:rsidR="00854ADA" w:rsidRPr="00FF386D" w:rsidRDefault="00854ADA" w:rsidP="00854ADA">
            <w:pPr>
              <w:numPr>
                <w:ilvl w:val="0"/>
                <w:numId w:val="19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Привредна комора Србије</w:t>
            </w:r>
          </w:p>
          <w:p w14:paraId="28B45603" w14:textId="77777777" w:rsidR="00854ADA" w:rsidRPr="00FF386D" w:rsidRDefault="00854ADA" w:rsidP="00854ADA">
            <w:pPr>
              <w:numPr>
                <w:ilvl w:val="0"/>
                <w:numId w:val="19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Центар за промоцију науке</w:t>
            </w:r>
          </w:p>
        </w:tc>
      </w:tr>
      <w:tr w:rsidR="00854ADA" w:rsidRPr="00FF386D" w14:paraId="5C5352D2" w14:textId="77777777" w:rsidTr="0057310C">
        <w:trPr>
          <w:trHeight w:val="315"/>
        </w:trPr>
        <w:tc>
          <w:tcPr>
            <w:tcW w:w="3296" w:type="dxa"/>
            <w:tcBorders>
              <w:top w:val="nil"/>
              <w:left w:val="single" w:sz="8" w:space="0" w:color="auto"/>
              <w:bottom w:val="single" w:sz="8" w:space="0" w:color="auto"/>
              <w:right w:val="nil"/>
            </w:tcBorders>
            <w:shd w:val="clear" w:color="000000" w:fill="244062"/>
            <w:vAlign w:val="center"/>
            <w:hideMark/>
          </w:tcPr>
          <w:p w14:paraId="29A5122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192" w:type="dxa"/>
            <w:gridSpan w:val="3"/>
            <w:tcBorders>
              <w:top w:val="single" w:sz="8" w:space="0" w:color="auto"/>
              <w:left w:val="nil"/>
              <w:bottom w:val="single" w:sz="8" w:space="0" w:color="auto"/>
              <w:right w:val="single" w:sz="8" w:space="0" w:color="000000"/>
            </w:tcBorders>
            <w:vAlign w:val="center"/>
            <w:hideMark/>
          </w:tcPr>
          <w:p w14:paraId="3CB73AB0" w14:textId="77777777" w:rsidR="00854ADA" w:rsidRPr="00FF386D" w:rsidRDefault="00854ADA" w:rsidP="00854ADA">
            <w:pPr>
              <w:numPr>
                <w:ilvl w:val="0"/>
                <w:numId w:val="193"/>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просвете, науке и технолошког развоја</w:t>
            </w:r>
          </w:p>
        </w:tc>
      </w:tr>
      <w:tr w:rsidR="00854ADA" w:rsidRPr="00FF386D" w14:paraId="360BA18C" w14:textId="77777777" w:rsidTr="0057310C">
        <w:trPr>
          <w:trHeight w:val="315"/>
        </w:trPr>
        <w:tc>
          <w:tcPr>
            <w:tcW w:w="3296" w:type="dxa"/>
            <w:tcBorders>
              <w:top w:val="nil"/>
              <w:left w:val="single" w:sz="8" w:space="0" w:color="auto"/>
              <w:bottom w:val="single" w:sz="8" w:space="0" w:color="auto"/>
              <w:right w:val="nil"/>
            </w:tcBorders>
            <w:shd w:val="clear" w:color="000000" w:fill="244062"/>
            <w:vAlign w:val="center"/>
            <w:hideMark/>
          </w:tcPr>
          <w:p w14:paraId="039D16D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192" w:type="dxa"/>
            <w:gridSpan w:val="3"/>
            <w:tcBorders>
              <w:top w:val="single" w:sz="8" w:space="0" w:color="auto"/>
              <w:left w:val="nil"/>
              <w:bottom w:val="single" w:sz="8" w:space="0" w:color="auto"/>
              <w:right w:val="single" w:sz="8" w:space="0" w:color="000000"/>
            </w:tcBorders>
            <w:vAlign w:val="center"/>
            <w:hideMark/>
          </w:tcPr>
          <w:p w14:paraId="3C80D8D8" w14:textId="425851CF"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Број иновационих </w:t>
            </w:r>
            <w:r w:rsidR="007D6369" w:rsidRPr="00FF386D">
              <w:rPr>
                <w:rFonts w:ascii="Calibri Light" w:hAnsi="Calibri Light"/>
                <w:sz w:val="20"/>
              </w:rPr>
              <w:t>центара</w:t>
            </w:r>
            <w:r w:rsidRPr="00FF386D">
              <w:rPr>
                <w:rFonts w:ascii="Calibri Light" w:hAnsi="Calibri Light"/>
                <w:sz w:val="20"/>
              </w:rPr>
              <w:t xml:space="preserve"> / кластера, </w:t>
            </w:r>
            <w:r w:rsidRPr="00FF386D">
              <w:rPr>
                <w:rFonts w:ascii="Calibri Light" w:eastAsia="NSimSun" w:hAnsi="Calibri Light" w:cs="Mangal"/>
                <w:kern w:val="2"/>
                <w:sz w:val="20"/>
                <w:szCs w:val="24"/>
                <w:lang w:eastAsia="zh-CN" w:bidi="hi-IN"/>
              </w:rPr>
              <w:t>стартап</w:t>
            </w:r>
            <w:r w:rsidR="007D6369" w:rsidRPr="00FF386D">
              <w:rPr>
                <w:rFonts w:ascii="Calibri Light" w:eastAsia="NSimSun" w:hAnsi="Calibri Light" w:cs="Mangal"/>
                <w:kern w:val="2"/>
                <w:sz w:val="20"/>
                <w:szCs w:val="24"/>
                <w:lang w:eastAsia="zh-CN" w:bidi="hi-IN"/>
              </w:rPr>
              <w:t>а</w:t>
            </w:r>
            <w:r w:rsidRPr="00FF386D">
              <w:rPr>
                <w:rFonts w:ascii="Calibri Light" w:hAnsi="Calibri Light"/>
                <w:sz w:val="20"/>
              </w:rPr>
              <w:t>, спиноф</w:t>
            </w:r>
            <w:r w:rsidR="007D6369" w:rsidRPr="00FF386D">
              <w:rPr>
                <w:rFonts w:ascii="Calibri Light" w:hAnsi="Calibri Light"/>
                <w:sz w:val="20"/>
              </w:rPr>
              <w:t>а</w:t>
            </w:r>
            <w:r w:rsidRPr="00FF386D">
              <w:rPr>
                <w:rFonts w:ascii="Calibri Light" w:hAnsi="Calibri Light"/>
                <w:sz w:val="20"/>
              </w:rPr>
              <w:t>/спинаута на годишњем нивоу</w:t>
            </w:r>
          </w:p>
        </w:tc>
      </w:tr>
      <w:tr w:rsidR="00854ADA" w:rsidRPr="00FF386D" w14:paraId="0188AD34" w14:textId="77777777" w:rsidTr="0057310C">
        <w:trPr>
          <w:trHeight w:val="443"/>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774151D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192" w:type="dxa"/>
            <w:gridSpan w:val="3"/>
            <w:tcBorders>
              <w:top w:val="single" w:sz="8" w:space="0" w:color="auto"/>
              <w:left w:val="nil"/>
              <w:bottom w:val="single" w:sz="8" w:space="0" w:color="auto"/>
              <w:right w:val="single" w:sz="8" w:space="0" w:color="000000"/>
            </w:tcBorders>
            <w:vAlign w:val="center"/>
          </w:tcPr>
          <w:p w14:paraId="1FEDD171" w14:textId="77777777" w:rsidR="00854ADA" w:rsidRPr="00FF386D" w:rsidRDefault="00854ADA" w:rsidP="00854ADA">
            <w:pPr>
              <w:numPr>
                <w:ilvl w:val="0"/>
                <w:numId w:val="175"/>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Унутрашње тржиште енергије</w:t>
            </w:r>
          </w:p>
        </w:tc>
      </w:tr>
      <w:tr w:rsidR="00854ADA" w:rsidRPr="00FF386D" w14:paraId="484A9D25" w14:textId="77777777" w:rsidTr="0057310C">
        <w:trPr>
          <w:trHeight w:val="450"/>
        </w:trPr>
        <w:tc>
          <w:tcPr>
            <w:tcW w:w="3296"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73694C80" w14:textId="60F055ED"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192" w:type="dxa"/>
            <w:gridSpan w:val="3"/>
            <w:vMerge w:val="restart"/>
            <w:tcBorders>
              <w:top w:val="single" w:sz="8" w:space="0" w:color="auto"/>
              <w:left w:val="single" w:sz="8" w:space="0" w:color="auto"/>
              <w:bottom w:val="single" w:sz="8" w:space="0" w:color="000000"/>
              <w:right w:val="single" w:sz="8" w:space="0" w:color="000000"/>
            </w:tcBorders>
            <w:vAlign w:val="center"/>
          </w:tcPr>
          <w:p w14:paraId="29A8B593" w14:textId="77777777" w:rsidR="00854ADA" w:rsidRPr="00FF386D" w:rsidRDefault="00854ADA" w:rsidP="00854ADA">
            <w:pPr>
              <w:numPr>
                <w:ilvl w:val="0"/>
                <w:numId w:val="87"/>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Европски стратешки план за енергетске технологије (план СЕТ)</w:t>
            </w:r>
          </w:p>
        </w:tc>
      </w:tr>
      <w:tr w:rsidR="00854ADA" w:rsidRPr="00FF386D" w14:paraId="4F378919"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717B7EFD"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192" w:type="dxa"/>
            <w:gridSpan w:val="3"/>
            <w:vMerge/>
            <w:tcBorders>
              <w:top w:val="single" w:sz="8" w:space="0" w:color="auto"/>
              <w:left w:val="single" w:sz="8" w:space="0" w:color="auto"/>
              <w:bottom w:val="single" w:sz="8" w:space="0" w:color="000000"/>
              <w:right w:val="single" w:sz="8" w:space="0" w:color="000000"/>
            </w:tcBorders>
            <w:vAlign w:val="center"/>
          </w:tcPr>
          <w:p w14:paraId="29C394FD" w14:textId="77777777" w:rsidR="00854ADA" w:rsidRPr="00FF386D" w:rsidRDefault="00854ADA" w:rsidP="00854ADA">
            <w:pPr>
              <w:numPr>
                <w:ilvl w:val="0"/>
                <w:numId w:val="87"/>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62EE8600"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20936019"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192" w:type="dxa"/>
            <w:gridSpan w:val="3"/>
            <w:vMerge/>
            <w:tcBorders>
              <w:top w:val="single" w:sz="8" w:space="0" w:color="auto"/>
              <w:left w:val="single" w:sz="8" w:space="0" w:color="auto"/>
              <w:bottom w:val="single" w:sz="8" w:space="0" w:color="000000"/>
              <w:right w:val="single" w:sz="8" w:space="0" w:color="000000"/>
            </w:tcBorders>
            <w:vAlign w:val="center"/>
          </w:tcPr>
          <w:p w14:paraId="50DA54A8" w14:textId="77777777" w:rsidR="00854ADA" w:rsidRPr="00FF386D" w:rsidRDefault="00854ADA" w:rsidP="00854ADA">
            <w:pPr>
              <w:numPr>
                <w:ilvl w:val="0"/>
                <w:numId w:val="87"/>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637CB8C5" w14:textId="77777777" w:rsidTr="0057310C">
        <w:trPr>
          <w:trHeight w:val="413"/>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7397871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92" w:type="dxa"/>
            <w:gridSpan w:val="3"/>
            <w:tcBorders>
              <w:top w:val="single" w:sz="8" w:space="0" w:color="auto"/>
              <w:left w:val="nil"/>
              <w:bottom w:val="single" w:sz="8" w:space="0" w:color="auto"/>
              <w:right w:val="single" w:sz="8" w:space="0" w:color="000000"/>
            </w:tcBorders>
            <w:vAlign w:val="center"/>
          </w:tcPr>
          <w:p w14:paraId="17265613" w14:textId="77777777" w:rsidR="00854ADA" w:rsidRPr="000A2AFE" w:rsidRDefault="00854ADA">
            <w:pPr>
              <w:numPr>
                <w:ilvl w:val="0"/>
                <w:numId w:val="242"/>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Закон о Фонду за науку</w:t>
            </w:r>
          </w:p>
          <w:p w14:paraId="34C0CCC7" w14:textId="77777777" w:rsidR="00854ADA" w:rsidRPr="00FF386D" w:rsidRDefault="00854ADA" w:rsidP="00854ADA">
            <w:pPr>
              <w:numPr>
                <w:ilvl w:val="0"/>
                <w:numId w:val="87"/>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Закон о науци и истраживању</w:t>
            </w:r>
          </w:p>
        </w:tc>
      </w:tr>
      <w:tr w:rsidR="00854ADA" w:rsidRPr="00FF386D" w14:paraId="2BE17AB3" w14:textId="77777777" w:rsidTr="0057310C">
        <w:trPr>
          <w:trHeight w:val="315"/>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42C94C8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92" w:type="dxa"/>
            <w:gridSpan w:val="3"/>
            <w:tcBorders>
              <w:top w:val="single" w:sz="8" w:space="0" w:color="auto"/>
              <w:left w:val="nil"/>
              <w:bottom w:val="single" w:sz="8" w:space="0" w:color="auto"/>
              <w:right w:val="single" w:sz="8" w:space="0" w:color="000000"/>
            </w:tcBorders>
            <w:vAlign w:val="center"/>
          </w:tcPr>
          <w:p w14:paraId="3F89FDFC"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5,4 милиона евра</w:t>
            </w:r>
          </w:p>
        </w:tc>
      </w:tr>
      <w:tr w:rsidR="00854ADA" w:rsidRPr="00FF386D" w14:paraId="47AA53E7" w14:textId="77777777" w:rsidTr="0057310C">
        <w:trPr>
          <w:trHeight w:val="315"/>
        </w:trPr>
        <w:tc>
          <w:tcPr>
            <w:tcW w:w="3296" w:type="dxa"/>
            <w:tcBorders>
              <w:top w:val="nil"/>
              <w:left w:val="single" w:sz="8" w:space="0" w:color="auto"/>
              <w:bottom w:val="single" w:sz="8" w:space="0" w:color="auto"/>
              <w:right w:val="single" w:sz="8" w:space="0" w:color="auto"/>
            </w:tcBorders>
            <w:shd w:val="clear" w:color="000000" w:fill="244062"/>
            <w:vAlign w:val="center"/>
            <w:hideMark/>
          </w:tcPr>
          <w:p w14:paraId="042CE9D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92" w:type="dxa"/>
            <w:gridSpan w:val="3"/>
            <w:tcBorders>
              <w:top w:val="single" w:sz="8" w:space="0" w:color="auto"/>
              <w:left w:val="nil"/>
              <w:bottom w:val="single" w:sz="8" w:space="0" w:color="auto"/>
              <w:right w:val="single" w:sz="8" w:space="0" w:color="000000"/>
            </w:tcBorders>
            <w:shd w:val="clear" w:color="auto" w:fill="auto"/>
            <w:vAlign w:val="center"/>
            <w:hideMark/>
          </w:tcPr>
          <w:p w14:paraId="4A12A0A9" w14:textId="7B2D482A" w:rsidR="00854ADA" w:rsidRPr="00FF386D" w:rsidRDefault="00854ADA" w:rsidP="00854ADA">
            <w:pPr>
              <w:spacing w:after="0" w:line="240" w:lineRule="auto"/>
              <w:rPr>
                <w:rFonts w:asciiTheme="majorHAnsi" w:eastAsia="Times New Roman" w:hAnsiTheme="majorHAnsi" w:cstheme="majorHAnsi"/>
                <w:color w:val="000000"/>
                <w:lang w:eastAsia="en-GB"/>
              </w:rPr>
            </w:pPr>
            <w:r w:rsidRPr="00FF386D">
              <w:rPr>
                <w:rFonts w:asciiTheme="majorHAnsi" w:eastAsia="Times New Roman" w:hAnsiTheme="majorHAnsi" w:cstheme="majorHAnsi"/>
                <w:color w:val="000000"/>
                <w:sz w:val="20"/>
                <w:szCs w:val="20"/>
                <w:lang w:eastAsia="en-GB"/>
              </w:rPr>
              <w:t>Фондови ЕУ</w:t>
            </w:r>
            <w:r w:rsidR="001876A2">
              <w:rPr>
                <w:rFonts w:asciiTheme="majorHAnsi" w:eastAsia="Times New Roman" w:hAnsiTheme="majorHAnsi" w:cstheme="majorHAnsi"/>
                <w:color w:val="000000"/>
                <w:sz w:val="20"/>
                <w:szCs w:val="20"/>
                <w:lang w:eastAsia="en-GB"/>
              </w:rPr>
              <w:t>, грантови, буџетска и сопствена средтсва, повољни кредити, програми за истраживање и развој</w:t>
            </w:r>
          </w:p>
        </w:tc>
      </w:tr>
    </w:tbl>
    <w:p w14:paraId="6C619CF5" w14:textId="77777777" w:rsidR="00854ADA" w:rsidRPr="00FF386D" w:rsidRDefault="00854ADA" w:rsidP="00854ADA">
      <w:pPr>
        <w:spacing w:before="120" w:after="120" w:line="240" w:lineRule="auto"/>
        <w:rPr>
          <w:rFonts w:ascii="Calibri" w:eastAsia="Times New Roman" w:hAnsi="Calibri" w:cs="Arial"/>
          <w:highlight w:val="green"/>
          <w:lang w:eastAsia="el-GR"/>
        </w:rPr>
      </w:pPr>
    </w:p>
    <w:tbl>
      <w:tblPr>
        <w:tblW w:w="9488" w:type="dxa"/>
        <w:tblLook w:val="04A0" w:firstRow="1" w:lastRow="0" w:firstColumn="1" w:lastColumn="0" w:noHBand="0" w:noVBand="1"/>
      </w:tblPr>
      <w:tblGrid>
        <w:gridCol w:w="3293"/>
        <w:gridCol w:w="1071"/>
        <w:gridCol w:w="939"/>
        <w:gridCol w:w="4185"/>
      </w:tblGrid>
      <w:tr w:rsidR="00854ADA" w:rsidRPr="00FF386D" w14:paraId="39772B26" w14:textId="77777777" w:rsidTr="0057310C">
        <w:trPr>
          <w:trHeight w:val="780"/>
        </w:trPr>
        <w:tc>
          <w:tcPr>
            <w:tcW w:w="3293"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77CF4D40" w14:textId="2AD46CD7"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071" w:type="dxa"/>
            <w:tcBorders>
              <w:top w:val="single" w:sz="8" w:space="0" w:color="auto"/>
              <w:left w:val="nil"/>
              <w:bottom w:val="single" w:sz="8" w:space="0" w:color="auto"/>
              <w:right w:val="single" w:sz="8" w:space="0" w:color="auto"/>
            </w:tcBorders>
            <w:shd w:val="clear" w:color="auto" w:fill="E7E6E6" w:themeFill="background2"/>
            <w:vAlign w:val="center"/>
            <w:hideMark/>
          </w:tcPr>
          <w:p w14:paraId="66D37FF7"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МП_ИИК6</w:t>
            </w:r>
          </w:p>
        </w:tc>
        <w:tc>
          <w:tcPr>
            <w:tcW w:w="939" w:type="dxa"/>
            <w:tcBorders>
              <w:top w:val="single" w:sz="8" w:space="0" w:color="auto"/>
              <w:left w:val="nil"/>
              <w:bottom w:val="single" w:sz="8" w:space="0" w:color="auto"/>
              <w:right w:val="single" w:sz="8" w:space="0" w:color="auto"/>
            </w:tcBorders>
            <w:shd w:val="clear" w:color="auto" w:fill="244062"/>
            <w:vAlign w:val="center"/>
            <w:hideMark/>
          </w:tcPr>
          <w:p w14:paraId="5AE1205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85" w:type="dxa"/>
            <w:tcBorders>
              <w:top w:val="single" w:sz="8" w:space="0" w:color="auto"/>
              <w:left w:val="nil"/>
              <w:bottom w:val="single" w:sz="8" w:space="0" w:color="auto"/>
              <w:right w:val="single" w:sz="8" w:space="0" w:color="auto"/>
            </w:tcBorders>
            <w:shd w:val="clear" w:color="auto" w:fill="E7E6E6" w:themeFill="background2"/>
            <w:vAlign w:val="center"/>
            <w:hideMark/>
          </w:tcPr>
          <w:p w14:paraId="09A27BE1"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Развој специјализованих центара компетентности</w:t>
            </w:r>
          </w:p>
        </w:tc>
      </w:tr>
      <w:tr w:rsidR="00854ADA" w:rsidRPr="00FF386D" w14:paraId="1AAF8481" w14:textId="77777777" w:rsidTr="0057310C">
        <w:trPr>
          <w:trHeight w:val="289"/>
        </w:trPr>
        <w:tc>
          <w:tcPr>
            <w:tcW w:w="3293" w:type="dxa"/>
            <w:tcBorders>
              <w:top w:val="nil"/>
              <w:left w:val="single" w:sz="8" w:space="0" w:color="auto"/>
              <w:bottom w:val="single" w:sz="8" w:space="0" w:color="auto"/>
              <w:right w:val="nil"/>
            </w:tcBorders>
            <w:shd w:val="clear" w:color="000000" w:fill="244062"/>
            <w:vAlign w:val="center"/>
            <w:hideMark/>
          </w:tcPr>
          <w:p w14:paraId="2BBF246D" w14:textId="32602D94"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195" w:type="dxa"/>
            <w:gridSpan w:val="3"/>
            <w:tcBorders>
              <w:top w:val="single" w:sz="8" w:space="0" w:color="auto"/>
              <w:left w:val="nil"/>
              <w:bottom w:val="single" w:sz="8" w:space="0" w:color="auto"/>
              <w:right w:val="single" w:sz="8" w:space="0" w:color="000000"/>
            </w:tcBorders>
            <w:vAlign w:val="center"/>
            <w:hideMark/>
          </w:tcPr>
          <w:p w14:paraId="5EE53859"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Промоција истраживања и иновација</w:t>
            </w:r>
          </w:p>
        </w:tc>
      </w:tr>
      <w:tr w:rsidR="00854ADA" w:rsidRPr="00FF386D" w14:paraId="28A5EA87" w14:textId="77777777" w:rsidTr="0057310C">
        <w:trPr>
          <w:trHeight w:val="315"/>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5A7AF7FE" w14:textId="2EC14675"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195" w:type="dxa"/>
            <w:gridSpan w:val="3"/>
            <w:tcBorders>
              <w:top w:val="single" w:sz="8" w:space="0" w:color="auto"/>
              <w:left w:val="nil"/>
              <w:bottom w:val="single" w:sz="8" w:space="0" w:color="auto"/>
              <w:right w:val="single" w:sz="8" w:space="0" w:color="000000"/>
            </w:tcBorders>
            <w:vAlign w:val="center"/>
            <w:hideMark/>
          </w:tcPr>
          <w:p w14:paraId="3A88AEC7" w14:textId="77777777" w:rsidR="00854ADA" w:rsidRPr="00FF386D" w:rsidRDefault="00854ADA" w:rsidP="00854ADA">
            <w:pPr>
              <w:spacing w:after="0" w:line="240" w:lineRule="auto"/>
              <w:jc w:val="both"/>
              <w:rPr>
                <w:rFonts w:asciiTheme="majorHAnsi" w:eastAsia="Times New Roman" w:hAnsiTheme="majorHAnsi" w:cstheme="majorHAnsi"/>
                <w:color w:val="000000"/>
                <w:lang w:eastAsia="en-GB"/>
              </w:rPr>
            </w:pPr>
            <w:r w:rsidRPr="00FF386D">
              <w:rPr>
                <w:rFonts w:asciiTheme="majorHAnsi" w:eastAsia="Times New Roman" w:hAnsiTheme="majorHAnsi" w:cstheme="majorHAnsi"/>
                <w:color w:val="000000"/>
                <w:sz w:val="20"/>
                <w:szCs w:val="20"/>
                <w:lang w:eastAsia="en-GB"/>
              </w:rPr>
              <w:t>Повећање нивоа технолошке спремности у области енергетике (квалитативан циљ)</w:t>
            </w:r>
          </w:p>
        </w:tc>
      </w:tr>
      <w:tr w:rsidR="00854ADA" w:rsidRPr="00FF386D" w14:paraId="257E4CFA" w14:textId="77777777" w:rsidTr="0057310C">
        <w:trPr>
          <w:trHeight w:val="1512"/>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0022F58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195" w:type="dxa"/>
            <w:gridSpan w:val="3"/>
            <w:tcBorders>
              <w:top w:val="single" w:sz="8" w:space="0" w:color="auto"/>
              <w:left w:val="nil"/>
              <w:bottom w:val="single" w:sz="8" w:space="0" w:color="auto"/>
              <w:right w:val="single" w:sz="8" w:space="0" w:color="000000"/>
            </w:tcBorders>
            <w:vAlign w:val="center"/>
            <w:hideMark/>
          </w:tcPr>
          <w:p w14:paraId="58328752" w14:textId="32A22002"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 xml:space="preserve">МП_ИИК6 ће промовисати оснивање специјализованих центара компетентности са циљем да се побољшају аналитички алати који се могу применити на било коју област политике, укључујући енергетику и животну средину, окупљајући на једном месту свеобухватну </w:t>
            </w:r>
            <w:r w:rsidR="00A37477" w:rsidRPr="000A2AFE">
              <w:rPr>
                <w:rFonts w:ascii="Calibri Light" w:eastAsia="Times New Roman" w:hAnsi="Calibri Light" w:cs="Calibri Light"/>
                <w:color w:val="000000"/>
                <w:sz w:val="20"/>
                <w:szCs w:val="20"/>
                <w:lang w:eastAsia="en-GB"/>
              </w:rPr>
              <w:t>стручност</w:t>
            </w:r>
            <w:r w:rsidRPr="000A2AFE">
              <w:rPr>
                <w:rFonts w:ascii="Calibri Light" w:eastAsia="Times New Roman" w:hAnsi="Calibri Light" w:cs="Calibri Light"/>
                <w:color w:val="000000"/>
                <w:sz w:val="20"/>
                <w:szCs w:val="20"/>
                <w:lang w:eastAsia="en-GB"/>
              </w:rPr>
              <w:t xml:space="preserve"> у овој области. О</w:t>
            </w:r>
            <w:r w:rsidR="00A37477" w:rsidRPr="000A2AFE">
              <w:rPr>
                <w:rFonts w:ascii="Calibri Light" w:eastAsia="Times New Roman" w:hAnsi="Calibri Light" w:cs="Calibri Light"/>
                <w:color w:val="000000"/>
                <w:sz w:val="20"/>
                <w:szCs w:val="20"/>
                <w:lang w:eastAsia="en-GB"/>
              </w:rPr>
              <w:t>ви центри</w:t>
            </w:r>
            <w:r w:rsidRPr="000A2AFE">
              <w:rPr>
                <w:rFonts w:ascii="Calibri Light" w:eastAsia="Times New Roman" w:hAnsi="Calibri Light" w:cs="Calibri Light"/>
                <w:color w:val="000000"/>
                <w:sz w:val="20"/>
                <w:szCs w:val="20"/>
                <w:lang w:eastAsia="en-GB"/>
              </w:rPr>
              <w:t xml:space="preserve"> ће пружати обуку за </w:t>
            </w:r>
            <w:r w:rsidR="00A37477" w:rsidRPr="000A2AFE">
              <w:rPr>
                <w:rFonts w:ascii="Calibri Light" w:eastAsia="Times New Roman" w:hAnsi="Calibri Light" w:cs="Calibri Light"/>
                <w:color w:val="000000"/>
                <w:sz w:val="20"/>
                <w:szCs w:val="20"/>
                <w:lang w:eastAsia="en-GB"/>
              </w:rPr>
              <w:t>коришћење</w:t>
            </w:r>
            <w:r w:rsidRPr="000A2AFE">
              <w:rPr>
                <w:rFonts w:ascii="Calibri Light" w:eastAsia="Times New Roman" w:hAnsi="Calibri Light" w:cs="Calibri Light"/>
                <w:color w:val="000000"/>
                <w:sz w:val="20"/>
                <w:szCs w:val="20"/>
                <w:lang w:eastAsia="en-GB"/>
              </w:rPr>
              <w:t xml:space="preserve"> алата креирања политике, као и савете о избору алата. Центри компетентности ће нудити будућим клијентима, креаторима пројеката и другим заинтересованим странама, свеобухватне информације о техникама, производима, подршци и трендовима у сектору од интереса за истраживање и развој.</w:t>
            </w:r>
          </w:p>
        </w:tc>
      </w:tr>
      <w:tr w:rsidR="00854ADA" w:rsidRPr="00FF386D" w14:paraId="0D4F3A07" w14:textId="77777777" w:rsidTr="0057310C">
        <w:trPr>
          <w:trHeight w:val="315"/>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795BE22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195" w:type="dxa"/>
            <w:gridSpan w:val="3"/>
            <w:tcBorders>
              <w:top w:val="single" w:sz="8" w:space="0" w:color="auto"/>
              <w:left w:val="nil"/>
              <w:bottom w:val="single" w:sz="8" w:space="0" w:color="auto"/>
              <w:right w:val="single" w:sz="8" w:space="0" w:color="000000"/>
            </w:tcBorders>
            <w:vAlign w:val="center"/>
            <w:hideMark/>
          </w:tcPr>
          <w:p w14:paraId="5500732C" w14:textId="354B1E94"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202</w:t>
            </w:r>
            <w:r w:rsidR="007A186C" w:rsidRPr="00FF386D">
              <w:rPr>
                <w:rFonts w:ascii="Calibri Light" w:hAnsi="Calibri Light"/>
                <w:sz w:val="20"/>
              </w:rPr>
              <w:t>3</w:t>
            </w:r>
            <w:r w:rsidRPr="00FF386D">
              <w:rPr>
                <w:rFonts w:ascii="Calibri Light" w:hAnsi="Calibri Light"/>
                <w:sz w:val="20"/>
              </w:rPr>
              <w:t>-2030.</w:t>
            </w:r>
          </w:p>
        </w:tc>
      </w:tr>
      <w:tr w:rsidR="00854ADA" w:rsidRPr="00FF386D" w14:paraId="6BCC32F7" w14:textId="77777777" w:rsidTr="0057310C">
        <w:trPr>
          <w:trHeight w:val="315"/>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3371C64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195" w:type="dxa"/>
            <w:gridSpan w:val="3"/>
            <w:tcBorders>
              <w:top w:val="single" w:sz="8" w:space="0" w:color="auto"/>
              <w:left w:val="nil"/>
              <w:bottom w:val="single" w:sz="8" w:space="0" w:color="auto"/>
              <w:right w:val="single" w:sz="8" w:space="0" w:color="000000"/>
            </w:tcBorders>
            <w:vAlign w:val="center"/>
            <w:hideMark/>
          </w:tcPr>
          <w:p w14:paraId="2ECF8FCB"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Инвестиција</w:t>
            </w:r>
          </w:p>
        </w:tc>
      </w:tr>
      <w:tr w:rsidR="00854ADA" w:rsidRPr="00FF386D" w14:paraId="31A8E732" w14:textId="77777777" w:rsidTr="0057310C">
        <w:trPr>
          <w:trHeight w:val="315"/>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13CC0DD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195" w:type="dxa"/>
            <w:gridSpan w:val="3"/>
            <w:tcBorders>
              <w:top w:val="single" w:sz="8" w:space="0" w:color="auto"/>
              <w:left w:val="nil"/>
              <w:bottom w:val="single" w:sz="8" w:space="0" w:color="auto"/>
              <w:right w:val="single" w:sz="8" w:space="0" w:color="000000"/>
            </w:tcBorders>
            <w:vAlign w:val="center"/>
            <w:hideMark/>
          </w:tcPr>
          <w:p w14:paraId="163CB2ED" w14:textId="10B2BFE6"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Све области </w:t>
            </w:r>
            <w:r w:rsidR="00A37477" w:rsidRPr="00FF386D">
              <w:rPr>
                <w:rFonts w:ascii="Calibri Light" w:hAnsi="Calibri Light"/>
                <w:sz w:val="20"/>
              </w:rPr>
              <w:t>И</w:t>
            </w:r>
            <w:r w:rsidRPr="00FF386D">
              <w:rPr>
                <w:rFonts w:ascii="Calibri Light" w:hAnsi="Calibri Light"/>
                <w:sz w:val="20"/>
              </w:rPr>
              <w:t>НЕКП-а</w:t>
            </w:r>
          </w:p>
        </w:tc>
      </w:tr>
      <w:tr w:rsidR="00854ADA" w:rsidRPr="00FF386D" w14:paraId="373F37F3" w14:textId="77777777" w:rsidTr="0057310C">
        <w:trPr>
          <w:trHeight w:val="315"/>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37BA2C6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Извршни орган</w:t>
            </w:r>
          </w:p>
        </w:tc>
        <w:tc>
          <w:tcPr>
            <w:tcW w:w="6195" w:type="dxa"/>
            <w:gridSpan w:val="3"/>
            <w:tcBorders>
              <w:top w:val="single" w:sz="8" w:space="0" w:color="auto"/>
              <w:left w:val="nil"/>
              <w:bottom w:val="single" w:sz="8" w:space="0" w:color="auto"/>
              <w:right w:val="single" w:sz="8" w:space="0" w:color="000000"/>
            </w:tcBorders>
            <w:vAlign w:val="center"/>
            <w:hideMark/>
          </w:tcPr>
          <w:p w14:paraId="7C453617" w14:textId="77777777" w:rsidR="00854ADA" w:rsidRPr="00FF386D" w:rsidRDefault="00854ADA" w:rsidP="00854ADA">
            <w:pPr>
              <w:numPr>
                <w:ilvl w:val="0"/>
                <w:numId w:val="19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рударства и енергетике</w:t>
            </w:r>
          </w:p>
          <w:p w14:paraId="0638FAAF" w14:textId="77777777" w:rsidR="00854ADA" w:rsidRPr="00FF386D" w:rsidRDefault="00854ADA" w:rsidP="00854ADA">
            <w:pPr>
              <w:numPr>
                <w:ilvl w:val="0"/>
                <w:numId w:val="19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просвете, науке и технолошког развоја</w:t>
            </w:r>
          </w:p>
          <w:p w14:paraId="52F5B575" w14:textId="47B8B91D" w:rsidR="00854ADA" w:rsidRPr="00FF386D" w:rsidRDefault="00854ADA" w:rsidP="00854ADA">
            <w:pPr>
              <w:numPr>
                <w:ilvl w:val="0"/>
                <w:numId w:val="194"/>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Привредна комора</w:t>
            </w:r>
          </w:p>
        </w:tc>
      </w:tr>
      <w:tr w:rsidR="00854ADA" w:rsidRPr="00FF386D" w14:paraId="0A87D415" w14:textId="77777777" w:rsidTr="0057310C">
        <w:trPr>
          <w:trHeight w:val="315"/>
        </w:trPr>
        <w:tc>
          <w:tcPr>
            <w:tcW w:w="3293" w:type="dxa"/>
            <w:tcBorders>
              <w:top w:val="nil"/>
              <w:left w:val="single" w:sz="8" w:space="0" w:color="auto"/>
              <w:bottom w:val="single" w:sz="8" w:space="0" w:color="auto"/>
              <w:right w:val="nil"/>
            </w:tcBorders>
            <w:shd w:val="clear" w:color="000000" w:fill="244062"/>
            <w:vAlign w:val="center"/>
            <w:hideMark/>
          </w:tcPr>
          <w:p w14:paraId="0F52351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195" w:type="dxa"/>
            <w:gridSpan w:val="3"/>
            <w:tcBorders>
              <w:top w:val="single" w:sz="8" w:space="0" w:color="auto"/>
              <w:left w:val="nil"/>
              <w:bottom w:val="single" w:sz="8" w:space="0" w:color="auto"/>
              <w:right w:val="single" w:sz="8" w:space="0" w:color="000000"/>
            </w:tcBorders>
            <w:vAlign w:val="center"/>
            <w:hideMark/>
          </w:tcPr>
          <w:p w14:paraId="5FCB04E6" w14:textId="77777777" w:rsidR="00854ADA" w:rsidRPr="00FF386D" w:rsidRDefault="00854ADA" w:rsidP="00854ADA">
            <w:pPr>
              <w:numPr>
                <w:ilvl w:val="0"/>
                <w:numId w:val="195"/>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просвете, науке и технолошког развоја</w:t>
            </w:r>
          </w:p>
        </w:tc>
      </w:tr>
      <w:tr w:rsidR="00854ADA" w:rsidRPr="00FF386D" w14:paraId="11B76651" w14:textId="77777777" w:rsidTr="0057310C">
        <w:trPr>
          <w:trHeight w:val="315"/>
        </w:trPr>
        <w:tc>
          <w:tcPr>
            <w:tcW w:w="3293" w:type="dxa"/>
            <w:tcBorders>
              <w:top w:val="nil"/>
              <w:left w:val="single" w:sz="8" w:space="0" w:color="auto"/>
              <w:bottom w:val="single" w:sz="8" w:space="0" w:color="auto"/>
              <w:right w:val="nil"/>
            </w:tcBorders>
            <w:shd w:val="clear" w:color="000000" w:fill="244062"/>
            <w:vAlign w:val="center"/>
            <w:hideMark/>
          </w:tcPr>
          <w:p w14:paraId="17DFEC0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195" w:type="dxa"/>
            <w:gridSpan w:val="3"/>
            <w:tcBorders>
              <w:top w:val="single" w:sz="8" w:space="0" w:color="auto"/>
              <w:left w:val="nil"/>
              <w:bottom w:val="single" w:sz="8" w:space="0" w:color="auto"/>
              <w:right w:val="single" w:sz="8" w:space="0" w:color="000000"/>
            </w:tcBorders>
            <w:vAlign w:val="center"/>
            <w:hideMark/>
          </w:tcPr>
          <w:p w14:paraId="046E2CC0" w14:textId="14A279BC"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Број специјализованих центара компетентности на годишњем нив</w:t>
            </w:r>
            <w:r w:rsidR="00E77EED">
              <w:rPr>
                <w:rFonts w:ascii="Calibri Light" w:hAnsi="Calibri Light"/>
                <w:sz w:val="20"/>
              </w:rPr>
              <w:t>о</w:t>
            </w:r>
            <w:r w:rsidRPr="00FF386D">
              <w:rPr>
                <w:rFonts w:ascii="Calibri Light" w:hAnsi="Calibri Light"/>
                <w:sz w:val="20"/>
              </w:rPr>
              <w:t>у</w:t>
            </w:r>
          </w:p>
        </w:tc>
      </w:tr>
      <w:tr w:rsidR="00854ADA" w:rsidRPr="00FF386D" w14:paraId="48D37D62" w14:textId="77777777" w:rsidTr="0057310C">
        <w:trPr>
          <w:trHeight w:val="415"/>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43DCFD7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195" w:type="dxa"/>
            <w:gridSpan w:val="3"/>
            <w:tcBorders>
              <w:top w:val="single" w:sz="8" w:space="0" w:color="auto"/>
              <w:left w:val="nil"/>
              <w:bottom w:val="single" w:sz="8" w:space="0" w:color="auto"/>
              <w:right w:val="single" w:sz="8" w:space="0" w:color="000000"/>
            </w:tcBorders>
            <w:vAlign w:val="center"/>
          </w:tcPr>
          <w:p w14:paraId="0FF5192D" w14:textId="1336672D" w:rsidR="00854ADA" w:rsidRPr="00FF386D" w:rsidRDefault="00854ADA" w:rsidP="00854ADA">
            <w:pPr>
              <w:numPr>
                <w:ilvl w:val="0"/>
                <w:numId w:val="176"/>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Унутрашње </w:t>
            </w:r>
            <w:r w:rsidR="00CE229F">
              <w:rPr>
                <w:rFonts w:asciiTheme="majorHAnsi" w:eastAsia="Times New Roman" w:hAnsiTheme="majorHAnsi" w:cstheme="majorHAnsi"/>
                <w:color w:val="000000"/>
                <w:sz w:val="20"/>
                <w:szCs w:val="20"/>
                <w:lang w:eastAsia="en-GB"/>
              </w:rPr>
              <w:t xml:space="preserve">енергетско </w:t>
            </w:r>
            <w:r w:rsidRPr="00FF386D">
              <w:rPr>
                <w:rFonts w:asciiTheme="majorHAnsi" w:eastAsia="Times New Roman" w:hAnsiTheme="majorHAnsi" w:cstheme="majorHAnsi"/>
                <w:color w:val="000000"/>
                <w:sz w:val="20"/>
                <w:szCs w:val="20"/>
                <w:lang w:eastAsia="en-GB"/>
              </w:rPr>
              <w:t>тржиште</w:t>
            </w:r>
          </w:p>
        </w:tc>
      </w:tr>
      <w:tr w:rsidR="00854ADA" w:rsidRPr="00FF386D" w14:paraId="67FD3C3F" w14:textId="77777777" w:rsidTr="0057310C">
        <w:trPr>
          <w:trHeight w:val="450"/>
        </w:trPr>
        <w:tc>
          <w:tcPr>
            <w:tcW w:w="3293"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747DEE9E" w14:textId="21FE381A"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195" w:type="dxa"/>
            <w:gridSpan w:val="3"/>
            <w:vMerge w:val="restart"/>
            <w:tcBorders>
              <w:top w:val="single" w:sz="8" w:space="0" w:color="auto"/>
              <w:left w:val="single" w:sz="8" w:space="0" w:color="auto"/>
              <w:bottom w:val="single" w:sz="8" w:space="0" w:color="000000"/>
              <w:right w:val="single" w:sz="8" w:space="0" w:color="000000"/>
            </w:tcBorders>
            <w:vAlign w:val="center"/>
          </w:tcPr>
          <w:p w14:paraId="1E381152" w14:textId="77777777" w:rsidR="00854ADA" w:rsidRPr="00FF386D" w:rsidRDefault="00854ADA" w:rsidP="00854ADA">
            <w:pPr>
              <w:numPr>
                <w:ilvl w:val="0"/>
                <w:numId w:val="88"/>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Европски стратешки план за енергетске технологије (план СЕТ)</w:t>
            </w:r>
          </w:p>
        </w:tc>
      </w:tr>
      <w:tr w:rsidR="00854ADA" w:rsidRPr="00FF386D" w14:paraId="44BB5FAB"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78FD2555"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195" w:type="dxa"/>
            <w:gridSpan w:val="3"/>
            <w:vMerge/>
            <w:tcBorders>
              <w:top w:val="single" w:sz="8" w:space="0" w:color="auto"/>
              <w:left w:val="single" w:sz="8" w:space="0" w:color="auto"/>
              <w:bottom w:val="single" w:sz="8" w:space="0" w:color="000000"/>
              <w:right w:val="single" w:sz="8" w:space="0" w:color="000000"/>
            </w:tcBorders>
            <w:vAlign w:val="center"/>
            <w:hideMark/>
          </w:tcPr>
          <w:p w14:paraId="228E3607" w14:textId="77777777" w:rsidR="00854ADA" w:rsidRPr="00FF386D" w:rsidRDefault="00854ADA" w:rsidP="00854ADA">
            <w:pPr>
              <w:numPr>
                <w:ilvl w:val="0"/>
                <w:numId w:val="88"/>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11F7DE29"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6351F4A4"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195" w:type="dxa"/>
            <w:gridSpan w:val="3"/>
            <w:vMerge/>
            <w:tcBorders>
              <w:top w:val="single" w:sz="8" w:space="0" w:color="auto"/>
              <w:left w:val="single" w:sz="8" w:space="0" w:color="auto"/>
              <w:bottom w:val="single" w:sz="8" w:space="0" w:color="000000"/>
              <w:right w:val="single" w:sz="8" w:space="0" w:color="000000"/>
            </w:tcBorders>
            <w:vAlign w:val="center"/>
            <w:hideMark/>
          </w:tcPr>
          <w:p w14:paraId="5A232965" w14:textId="77777777" w:rsidR="00854ADA" w:rsidRPr="00FF386D" w:rsidRDefault="00854ADA" w:rsidP="00854ADA">
            <w:pPr>
              <w:numPr>
                <w:ilvl w:val="0"/>
                <w:numId w:val="88"/>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122B4B34" w14:textId="77777777" w:rsidTr="0057310C">
        <w:trPr>
          <w:trHeight w:val="605"/>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6D1295E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95" w:type="dxa"/>
            <w:gridSpan w:val="3"/>
            <w:tcBorders>
              <w:top w:val="single" w:sz="8" w:space="0" w:color="auto"/>
              <w:left w:val="nil"/>
              <w:bottom w:val="single" w:sz="8" w:space="0" w:color="auto"/>
              <w:right w:val="single" w:sz="8" w:space="0" w:color="000000"/>
            </w:tcBorders>
            <w:vAlign w:val="center"/>
          </w:tcPr>
          <w:p w14:paraId="7D0D6B92" w14:textId="77777777" w:rsidR="00854ADA" w:rsidRPr="000A2AFE" w:rsidRDefault="00854ADA">
            <w:pPr>
              <w:numPr>
                <w:ilvl w:val="0"/>
                <w:numId w:val="242"/>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Закон о Фонду за науку</w:t>
            </w:r>
          </w:p>
          <w:p w14:paraId="06E4CA23" w14:textId="77777777" w:rsidR="00854ADA" w:rsidRPr="00FF386D" w:rsidRDefault="00854ADA" w:rsidP="00854ADA">
            <w:pPr>
              <w:numPr>
                <w:ilvl w:val="0"/>
                <w:numId w:val="88"/>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Закон о науци и истраживању</w:t>
            </w:r>
          </w:p>
        </w:tc>
      </w:tr>
      <w:tr w:rsidR="00854ADA" w:rsidRPr="00FF386D" w14:paraId="2F69903A" w14:textId="77777777" w:rsidTr="0057310C">
        <w:trPr>
          <w:trHeight w:val="315"/>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21F0BCF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95" w:type="dxa"/>
            <w:gridSpan w:val="3"/>
            <w:tcBorders>
              <w:top w:val="single" w:sz="8" w:space="0" w:color="auto"/>
              <w:left w:val="nil"/>
              <w:bottom w:val="single" w:sz="8" w:space="0" w:color="auto"/>
              <w:right w:val="single" w:sz="8" w:space="0" w:color="000000"/>
            </w:tcBorders>
            <w:vAlign w:val="center"/>
          </w:tcPr>
          <w:p w14:paraId="2B8F3178"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3,6 милиона евра</w:t>
            </w:r>
          </w:p>
        </w:tc>
      </w:tr>
      <w:tr w:rsidR="00854ADA" w:rsidRPr="00FF386D" w14:paraId="3E30FEA5" w14:textId="77777777" w:rsidTr="0057310C">
        <w:trPr>
          <w:trHeight w:val="315"/>
        </w:trPr>
        <w:tc>
          <w:tcPr>
            <w:tcW w:w="3293" w:type="dxa"/>
            <w:tcBorders>
              <w:top w:val="nil"/>
              <w:left w:val="single" w:sz="8" w:space="0" w:color="auto"/>
              <w:bottom w:val="single" w:sz="8" w:space="0" w:color="auto"/>
              <w:right w:val="single" w:sz="8" w:space="0" w:color="auto"/>
            </w:tcBorders>
            <w:shd w:val="clear" w:color="000000" w:fill="244062"/>
            <w:vAlign w:val="center"/>
            <w:hideMark/>
          </w:tcPr>
          <w:p w14:paraId="7FCECD6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95" w:type="dxa"/>
            <w:gridSpan w:val="3"/>
            <w:tcBorders>
              <w:top w:val="single" w:sz="8" w:space="0" w:color="auto"/>
              <w:left w:val="nil"/>
              <w:bottom w:val="single" w:sz="8" w:space="0" w:color="auto"/>
              <w:right w:val="single" w:sz="8" w:space="0" w:color="000000"/>
            </w:tcBorders>
            <w:shd w:val="clear" w:color="auto" w:fill="auto"/>
            <w:vAlign w:val="center"/>
            <w:hideMark/>
          </w:tcPr>
          <w:p w14:paraId="3BAB8598" w14:textId="363F63CC" w:rsidR="00854ADA" w:rsidRPr="00FF386D" w:rsidRDefault="00854ADA" w:rsidP="00854ADA">
            <w:pPr>
              <w:spacing w:after="0" w:line="240" w:lineRule="auto"/>
              <w:rPr>
                <w:rFonts w:asciiTheme="majorHAnsi" w:eastAsia="Times New Roman" w:hAnsiTheme="majorHAnsi" w:cstheme="majorHAnsi"/>
                <w:color w:val="000000"/>
                <w:lang w:eastAsia="en-GB"/>
              </w:rPr>
            </w:pPr>
            <w:r w:rsidRPr="00FF386D">
              <w:rPr>
                <w:rFonts w:asciiTheme="majorHAnsi" w:eastAsia="Times New Roman" w:hAnsiTheme="majorHAnsi" w:cstheme="majorHAnsi"/>
                <w:color w:val="000000"/>
                <w:sz w:val="20"/>
                <w:szCs w:val="20"/>
                <w:lang w:eastAsia="en-GB"/>
              </w:rPr>
              <w:t>Фондови ЕУ</w:t>
            </w:r>
            <w:r w:rsidR="00CE229F">
              <w:rPr>
                <w:rFonts w:asciiTheme="majorHAnsi" w:eastAsia="Times New Roman" w:hAnsiTheme="majorHAnsi" w:cstheme="majorHAnsi"/>
                <w:color w:val="000000"/>
                <w:sz w:val="20"/>
                <w:szCs w:val="20"/>
                <w:lang w:eastAsia="en-GB"/>
              </w:rPr>
              <w:t xml:space="preserve">, грантови, сопствена и </w:t>
            </w:r>
            <w:r w:rsidRPr="00FF386D">
              <w:rPr>
                <w:rFonts w:asciiTheme="majorHAnsi" w:eastAsia="Times New Roman" w:hAnsiTheme="majorHAnsi" w:cstheme="majorHAnsi"/>
                <w:color w:val="000000"/>
                <w:sz w:val="20"/>
                <w:szCs w:val="20"/>
                <w:lang w:eastAsia="en-GB"/>
              </w:rPr>
              <w:t>буџет</w:t>
            </w:r>
            <w:r w:rsidR="007A186C" w:rsidRPr="00FF386D">
              <w:rPr>
                <w:rFonts w:asciiTheme="majorHAnsi" w:eastAsia="Times New Roman" w:hAnsiTheme="majorHAnsi" w:cstheme="majorHAnsi"/>
                <w:color w:val="000000"/>
                <w:sz w:val="20"/>
                <w:szCs w:val="20"/>
                <w:lang w:eastAsia="en-GB"/>
              </w:rPr>
              <w:t xml:space="preserve">ска </w:t>
            </w:r>
            <w:r w:rsidRPr="00FF386D">
              <w:rPr>
                <w:rFonts w:asciiTheme="majorHAnsi" w:eastAsia="Times New Roman" w:hAnsiTheme="majorHAnsi" w:cstheme="majorHAnsi"/>
                <w:color w:val="000000"/>
                <w:sz w:val="20"/>
                <w:szCs w:val="20"/>
                <w:lang w:eastAsia="en-GB"/>
              </w:rPr>
              <w:t>средства</w:t>
            </w:r>
            <w:r w:rsidR="00CE229F">
              <w:rPr>
                <w:rFonts w:asciiTheme="majorHAnsi" w:eastAsia="Times New Roman" w:hAnsiTheme="majorHAnsi" w:cstheme="majorHAnsi"/>
                <w:color w:val="000000"/>
                <w:sz w:val="20"/>
                <w:szCs w:val="20"/>
                <w:lang w:eastAsia="en-GB"/>
              </w:rPr>
              <w:t xml:space="preserve">, </w:t>
            </w:r>
            <w:r w:rsidR="00CE229F" w:rsidRPr="00CE229F">
              <w:rPr>
                <w:rFonts w:asciiTheme="majorHAnsi" w:eastAsia="Times New Roman" w:hAnsiTheme="majorHAnsi" w:cstheme="majorHAnsi"/>
                <w:color w:val="000000"/>
                <w:sz w:val="20"/>
                <w:szCs w:val="20"/>
                <w:lang w:eastAsia="en-GB"/>
              </w:rPr>
              <w:t>програми за истраживање и развој</w:t>
            </w:r>
            <w:r w:rsidR="00CE229F">
              <w:rPr>
                <w:rFonts w:asciiTheme="majorHAnsi" w:eastAsia="Times New Roman" w:hAnsiTheme="majorHAnsi" w:cstheme="majorHAnsi"/>
                <w:color w:val="000000"/>
                <w:sz w:val="20"/>
                <w:szCs w:val="20"/>
                <w:lang w:eastAsia="en-GB"/>
              </w:rPr>
              <w:t>, донатори</w:t>
            </w:r>
          </w:p>
        </w:tc>
      </w:tr>
    </w:tbl>
    <w:p w14:paraId="78A5E564" w14:textId="77777777" w:rsidR="00854ADA" w:rsidRPr="00FF386D" w:rsidRDefault="00854ADA" w:rsidP="00854ADA">
      <w:pPr>
        <w:spacing w:before="120" w:after="120" w:line="240" w:lineRule="auto"/>
        <w:rPr>
          <w:rFonts w:ascii="Calibri" w:eastAsia="Times New Roman" w:hAnsi="Calibri" w:cs="Arial"/>
          <w:highlight w:val="green"/>
          <w:lang w:eastAsia="el-GR"/>
        </w:rPr>
      </w:pPr>
    </w:p>
    <w:tbl>
      <w:tblPr>
        <w:tblW w:w="9488" w:type="dxa"/>
        <w:tblLook w:val="04A0" w:firstRow="1" w:lastRow="0" w:firstColumn="1" w:lastColumn="0" w:noHBand="0" w:noVBand="1"/>
      </w:tblPr>
      <w:tblGrid>
        <w:gridCol w:w="3295"/>
        <w:gridCol w:w="1071"/>
        <w:gridCol w:w="940"/>
        <w:gridCol w:w="4182"/>
      </w:tblGrid>
      <w:tr w:rsidR="00854ADA" w:rsidRPr="00FF386D" w14:paraId="01FC45DE" w14:textId="77777777" w:rsidTr="0057310C">
        <w:trPr>
          <w:trHeight w:val="780"/>
        </w:trPr>
        <w:tc>
          <w:tcPr>
            <w:tcW w:w="3295"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0F5E2B49" w14:textId="3824DFDD"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071" w:type="dxa"/>
            <w:tcBorders>
              <w:top w:val="single" w:sz="8" w:space="0" w:color="auto"/>
              <w:left w:val="nil"/>
              <w:bottom w:val="single" w:sz="8" w:space="0" w:color="auto"/>
              <w:right w:val="single" w:sz="8" w:space="0" w:color="auto"/>
            </w:tcBorders>
            <w:shd w:val="clear" w:color="auto" w:fill="E7E6E6" w:themeFill="background2"/>
            <w:vAlign w:val="center"/>
            <w:hideMark/>
          </w:tcPr>
          <w:p w14:paraId="2AAF5009"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МП_ИИК7</w:t>
            </w:r>
          </w:p>
        </w:tc>
        <w:tc>
          <w:tcPr>
            <w:tcW w:w="940" w:type="dxa"/>
            <w:tcBorders>
              <w:top w:val="single" w:sz="8" w:space="0" w:color="auto"/>
              <w:left w:val="nil"/>
              <w:bottom w:val="single" w:sz="8" w:space="0" w:color="auto"/>
              <w:right w:val="single" w:sz="8" w:space="0" w:color="auto"/>
            </w:tcBorders>
            <w:shd w:val="clear" w:color="auto" w:fill="244062"/>
            <w:vAlign w:val="center"/>
            <w:hideMark/>
          </w:tcPr>
          <w:p w14:paraId="229E2BC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82" w:type="dxa"/>
            <w:tcBorders>
              <w:top w:val="single" w:sz="8" w:space="0" w:color="auto"/>
              <w:left w:val="nil"/>
              <w:bottom w:val="single" w:sz="8" w:space="0" w:color="auto"/>
              <w:right w:val="single" w:sz="8" w:space="0" w:color="auto"/>
            </w:tcBorders>
            <w:shd w:val="clear" w:color="auto" w:fill="E7E6E6" w:themeFill="background2"/>
            <w:vAlign w:val="center"/>
            <w:hideMark/>
          </w:tcPr>
          <w:p w14:paraId="29036311"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Омогућавање формирања регионалних центара истраживачке изузетности</w:t>
            </w:r>
          </w:p>
        </w:tc>
      </w:tr>
      <w:tr w:rsidR="00854ADA" w:rsidRPr="00FF386D" w14:paraId="67F57506" w14:textId="77777777" w:rsidTr="0057310C">
        <w:trPr>
          <w:trHeight w:val="185"/>
        </w:trPr>
        <w:tc>
          <w:tcPr>
            <w:tcW w:w="3295" w:type="dxa"/>
            <w:tcBorders>
              <w:top w:val="nil"/>
              <w:left w:val="single" w:sz="8" w:space="0" w:color="auto"/>
              <w:bottom w:val="single" w:sz="8" w:space="0" w:color="auto"/>
              <w:right w:val="nil"/>
            </w:tcBorders>
            <w:shd w:val="clear" w:color="000000" w:fill="244062"/>
            <w:vAlign w:val="center"/>
            <w:hideMark/>
          </w:tcPr>
          <w:p w14:paraId="4610FC16" w14:textId="79ACEE75"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193" w:type="dxa"/>
            <w:gridSpan w:val="3"/>
            <w:tcBorders>
              <w:top w:val="single" w:sz="8" w:space="0" w:color="auto"/>
              <w:left w:val="nil"/>
              <w:bottom w:val="single" w:sz="8" w:space="0" w:color="auto"/>
              <w:right w:val="single" w:sz="8" w:space="0" w:color="000000"/>
            </w:tcBorders>
            <w:vAlign w:val="center"/>
            <w:hideMark/>
          </w:tcPr>
          <w:p w14:paraId="14A3B8CE"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Промоција истраживања и иновација</w:t>
            </w:r>
          </w:p>
        </w:tc>
      </w:tr>
      <w:tr w:rsidR="00854ADA" w:rsidRPr="00FF386D" w14:paraId="50979C28" w14:textId="77777777" w:rsidTr="0057310C">
        <w:trPr>
          <w:trHeight w:val="315"/>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4E975E3D" w14:textId="7A450226"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193" w:type="dxa"/>
            <w:gridSpan w:val="3"/>
            <w:tcBorders>
              <w:top w:val="single" w:sz="8" w:space="0" w:color="auto"/>
              <w:left w:val="nil"/>
              <w:bottom w:val="single" w:sz="8" w:space="0" w:color="auto"/>
              <w:right w:val="single" w:sz="8" w:space="0" w:color="000000"/>
            </w:tcBorders>
            <w:vAlign w:val="center"/>
            <w:hideMark/>
          </w:tcPr>
          <w:p w14:paraId="20073C0E" w14:textId="77777777" w:rsidR="00854ADA" w:rsidRPr="00FF386D" w:rsidRDefault="00854ADA" w:rsidP="00854ADA">
            <w:pPr>
              <w:spacing w:after="0" w:line="240" w:lineRule="auto"/>
              <w:jc w:val="both"/>
              <w:rPr>
                <w:rFonts w:asciiTheme="majorHAnsi" w:eastAsia="Times New Roman" w:hAnsiTheme="majorHAnsi" w:cstheme="majorHAnsi"/>
                <w:color w:val="000000"/>
                <w:lang w:eastAsia="en-GB"/>
              </w:rPr>
            </w:pPr>
            <w:r w:rsidRPr="00FF386D">
              <w:rPr>
                <w:rFonts w:asciiTheme="majorHAnsi" w:eastAsia="Times New Roman" w:hAnsiTheme="majorHAnsi" w:cstheme="majorHAnsi"/>
                <w:color w:val="000000"/>
                <w:sz w:val="20"/>
                <w:szCs w:val="20"/>
                <w:lang w:eastAsia="en-GB"/>
              </w:rPr>
              <w:t>Повећање нивоа технолошке спремности у области енергетике (квалитативан циљ)</w:t>
            </w:r>
          </w:p>
        </w:tc>
      </w:tr>
      <w:tr w:rsidR="00854ADA" w:rsidRPr="00FF386D" w14:paraId="7552C024" w14:textId="77777777" w:rsidTr="0057310C">
        <w:trPr>
          <w:trHeight w:val="443"/>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634E97C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193" w:type="dxa"/>
            <w:gridSpan w:val="3"/>
            <w:tcBorders>
              <w:top w:val="single" w:sz="8" w:space="0" w:color="auto"/>
              <w:left w:val="nil"/>
              <w:bottom w:val="single" w:sz="8" w:space="0" w:color="auto"/>
              <w:right w:val="single" w:sz="8" w:space="0" w:color="000000"/>
            </w:tcBorders>
            <w:vAlign w:val="center"/>
            <w:hideMark/>
          </w:tcPr>
          <w:p w14:paraId="592180B0" w14:textId="4D43F6FC"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МП_ИИК7 ће омогућити формирање центара изузетности у истраживању. Ови центри су осмишљени да подстакну изузетна истраживања обезбеђивањем дугорочних средства великог обима за одређене истраживачке јединице. Они</w:t>
            </w:r>
            <w:r w:rsidR="00855A4F" w:rsidRPr="000A2AFE">
              <w:rPr>
                <w:rFonts w:ascii="Calibri Light" w:eastAsia="Times New Roman" w:hAnsi="Calibri Light" w:cs="Calibri Light"/>
                <w:color w:val="000000"/>
                <w:sz w:val="20"/>
                <w:szCs w:val="20"/>
                <w:lang w:eastAsia="en-GB"/>
              </w:rPr>
              <w:t xml:space="preserve"> о</w:t>
            </w:r>
            <w:r w:rsidRPr="000A2AFE">
              <w:rPr>
                <w:rFonts w:ascii="Calibri Light" w:eastAsia="Times New Roman" w:hAnsi="Calibri Light" w:cs="Calibri Light"/>
                <w:color w:val="000000"/>
                <w:sz w:val="20"/>
                <w:szCs w:val="20"/>
                <w:lang w:eastAsia="en-GB"/>
              </w:rPr>
              <w:t>безбеђ</w:t>
            </w:r>
            <w:r w:rsidR="00855A4F" w:rsidRPr="000A2AFE">
              <w:rPr>
                <w:rFonts w:ascii="Calibri Light" w:eastAsia="Times New Roman" w:hAnsi="Calibri Light" w:cs="Calibri Light"/>
                <w:color w:val="000000"/>
                <w:sz w:val="20"/>
                <w:szCs w:val="20"/>
                <w:lang w:eastAsia="en-GB"/>
              </w:rPr>
              <w:t>ују</w:t>
            </w:r>
            <w:r w:rsidRPr="000A2AFE">
              <w:rPr>
                <w:rFonts w:ascii="Calibri Light" w:eastAsia="Times New Roman" w:hAnsi="Calibri Light" w:cs="Calibri Light"/>
                <w:color w:val="000000"/>
                <w:sz w:val="20"/>
                <w:szCs w:val="20"/>
                <w:lang w:eastAsia="en-GB"/>
              </w:rPr>
              <w:t xml:space="preserve"> средства за истраживање и </w:t>
            </w:r>
            <w:r w:rsidR="00131420" w:rsidRPr="000A2AFE">
              <w:rPr>
                <w:rFonts w:ascii="Calibri Light" w:eastAsia="Times New Roman" w:hAnsi="Calibri Light" w:cs="Calibri Light"/>
                <w:color w:val="000000"/>
                <w:sz w:val="20"/>
                <w:szCs w:val="20"/>
                <w:lang w:eastAsia="en-GB"/>
              </w:rPr>
              <w:t>сродне</w:t>
            </w:r>
            <w:r w:rsidRPr="000A2AFE">
              <w:rPr>
                <w:rFonts w:ascii="Calibri Light" w:eastAsia="Times New Roman" w:hAnsi="Calibri Light" w:cs="Calibri Light"/>
                <w:color w:val="000000"/>
                <w:sz w:val="20"/>
                <w:szCs w:val="20"/>
                <w:lang w:eastAsia="en-GB"/>
              </w:rPr>
              <w:t xml:space="preserve"> мере, као што су побољшање или проширење физичке инфраструктуре, запошљавање </w:t>
            </w:r>
            <w:r w:rsidR="00131420" w:rsidRPr="000A2AFE">
              <w:rPr>
                <w:rFonts w:ascii="Calibri Light" w:eastAsia="Times New Roman" w:hAnsi="Calibri Light" w:cs="Calibri Light"/>
                <w:color w:val="000000"/>
                <w:sz w:val="20"/>
                <w:szCs w:val="20"/>
                <w:lang w:eastAsia="en-GB"/>
              </w:rPr>
              <w:t>водећих</w:t>
            </w:r>
            <w:r w:rsidRPr="000A2AFE">
              <w:rPr>
                <w:rFonts w:ascii="Calibri Light" w:eastAsia="Times New Roman" w:hAnsi="Calibri Light" w:cs="Calibri Light"/>
                <w:color w:val="000000"/>
                <w:sz w:val="20"/>
                <w:szCs w:val="20"/>
                <w:lang w:eastAsia="en-GB"/>
              </w:rPr>
              <w:t xml:space="preserve"> истраживача из иностранства и обуку истраживача.</w:t>
            </w:r>
          </w:p>
        </w:tc>
      </w:tr>
      <w:tr w:rsidR="00854ADA" w:rsidRPr="00FF386D" w14:paraId="4D4CD598" w14:textId="77777777" w:rsidTr="0057310C">
        <w:trPr>
          <w:trHeight w:val="315"/>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02A22DF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193" w:type="dxa"/>
            <w:gridSpan w:val="3"/>
            <w:tcBorders>
              <w:top w:val="single" w:sz="8" w:space="0" w:color="auto"/>
              <w:left w:val="nil"/>
              <w:bottom w:val="single" w:sz="8" w:space="0" w:color="auto"/>
              <w:right w:val="single" w:sz="8" w:space="0" w:color="000000"/>
            </w:tcBorders>
            <w:vAlign w:val="center"/>
            <w:hideMark/>
          </w:tcPr>
          <w:p w14:paraId="22CA7DE7"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2022-2030.</w:t>
            </w:r>
          </w:p>
        </w:tc>
      </w:tr>
      <w:tr w:rsidR="00854ADA" w:rsidRPr="00FF386D" w14:paraId="13317D9D" w14:textId="77777777" w:rsidTr="0057310C">
        <w:trPr>
          <w:trHeight w:val="315"/>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17AB0E6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193" w:type="dxa"/>
            <w:gridSpan w:val="3"/>
            <w:tcBorders>
              <w:top w:val="single" w:sz="8" w:space="0" w:color="auto"/>
              <w:left w:val="nil"/>
              <w:bottom w:val="single" w:sz="8" w:space="0" w:color="auto"/>
              <w:right w:val="single" w:sz="8" w:space="0" w:color="000000"/>
            </w:tcBorders>
            <w:vAlign w:val="center"/>
            <w:hideMark/>
          </w:tcPr>
          <w:p w14:paraId="185515C9"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Инвестиција</w:t>
            </w:r>
          </w:p>
        </w:tc>
      </w:tr>
      <w:tr w:rsidR="00854ADA" w:rsidRPr="00FF386D" w14:paraId="3B4B0074" w14:textId="77777777" w:rsidTr="0057310C">
        <w:trPr>
          <w:trHeight w:val="315"/>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6CACAF5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193" w:type="dxa"/>
            <w:gridSpan w:val="3"/>
            <w:tcBorders>
              <w:top w:val="single" w:sz="8" w:space="0" w:color="auto"/>
              <w:left w:val="nil"/>
              <w:bottom w:val="single" w:sz="8" w:space="0" w:color="auto"/>
              <w:right w:val="single" w:sz="8" w:space="0" w:color="000000"/>
            </w:tcBorders>
            <w:vAlign w:val="center"/>
            <w:hideMark/>
          </w:tcPr>
          <w:p w14:paraId="37CFD5D4" w14:textId="43670DAB"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Све области </w:t>
            </w:r>
            <w:r w:rsidR="00131420" w:rsidRPr="00FF386D">
              <w:rPr>
                <w:rFonts w:ascii="Calibri Light" w:hAnsi="Calibri Light"/>
                <w:sz w:val="20"/>
              </w:rPr>
              <w:t>И</w:t>
            </w:r>
            <w:r w:rsidRPr="00FF386D">
              <w:rPr>
                <w:rFonts w:ascii="Calibri Light" w:hAnsi="Calibri Light"/>
                <w:sz w:val="20"/>
              </w:rPr>
              <w:t>НЕКП-а</w:t>
            </w:r>
          </w:p>
        </w:tc>
      </w:tr>
      <w:tr w:rsidR="00854ADA" w:rsidRPr="00FF386D" w14:paraId="2F74F5DF" w14:textId="77777777" w:rsidTr="0057310C">
        <w:trPr>
          <w:trHeight w:val="315"/>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475D453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193" w:type="dxa"/>
            <w:gridSpan w:val="3"/>
            <w:tcBorders>
              <w:top w:val="single" w:sz="8" w:space="0" w:color="auto"/>
              <w:left w:val="nil"/>
              <w:bottom w:val="single" w:sz="8" w:space="0" w:color="auto"/>
              <w:right w:val="single" w:sz="8" w:space="0" w:color="000000"/>
            </w:tcBorders>
            <w:vAlign w:val="center"/>
            <w:hideMark/>
          </w:tcPr>
          <w:p w14:paraId="60346DF2" w14:textId="77777777" w:rsidR="00854ADA" w:rsidRPr="00FF386D" w:rsidRDefault="00854ADA" w:rsidP="00854ADA">
            <w:pPr>
              <w:numPr>
                <w:ilvl w:val="0"/>
                <w:numId w:val="196"/>
              </w:numPr>
              <w:contextualSpacing/>
              <w:rPr>
                <w:rFonts w:ascii="Calibri Light" w:hAnsi="Calibri Light"/>
                <w:sz w:val="20"/>
              </w:rPr>
            </w:pPr>
            <w:r w:rsidRPr="00FF386D">
              <w:rPr>
                <w:rFonts w:ascii="Calibri Light" w:hAnsi="Calibri Light"/>
                <w:sz w:val="20"/>
              </w:rPr>
              <w:t>Министарство рударства и енергетике</w:t>
            </w:r>
          </w:p>
          <w:p w14:paraId="566AD480" w14:textId="77777777" w:rsidR="00854ADA" w:rsidRPr="00FF386D" w:rsidRDefault="00854ADA" w:rsidP="00854ADA">
            <w:pPr>
              <w:numPr>
                <w:ilvl w:val="0"/>
                <w:numId w:val="196"/>
              </w:numPr>
              <w:contextualSpacing/>
              <w:rPr>
                <w:rFonts w:ascii="Calibri Light" w:hAnsi="Calibri Light"/>
                <w:sz w:val="20"/>
              </w:rPr>
            </w:pPr>
            <w:r w:rsidRPr="00FF386D">
              <w:rPr>
                <w:rFonts w:ascii="Calibri Light" w:hAnsi="Calibri Light"/>
                <w:sz w:val="20"/>
              </w:rPr>
              <w:t>Министарство просвете, науке и технолошког развоја</w:t>
            </w:r>
          </w:p>
          <w:p w14:paraId="5B670871" w14:textId="38E45BD5" w:rsidR="00854ADA" w:rsidRPr="00FF386D" w:rsidRDefault="004F14D0" w:rsidP="00854ADA">
            <w:pPr>
              <w:numPr>
                <w:ilvl w:val="0"/>
                <w:numId w:val="196"/>
              </w:numPr>
              <w:spacing w:after="0" w:line="240" w:lineRule="auto"/>
              <w:contextualSpacing/>
              <w:jc w:val="both"/>
              <w:rPr>
                <w:rFonts w:asciiTheme="majorHAnsi" w:eastAsia="Times New Roman" w:hAnsiTheme="majorHAnsi" w:cstheme="majorHAnsi"/>
                <w:color w:val="000000"/>
                <w:sz w:val="20"/>
                <w:szCs w:val="20"/>
                <w:lang w:eastAsia="en-GB"/>
              </w:rPr>
            </w:pPr>
            <w:r>
              <w:rPr>
                <w:rFonts w:ascii="Calibri Light" w:hAnsi="Calibri Light"/>
                <w:sz w:val="20"/>
              </w:rPr>
              <w:t>Привредна комора</w:t>
            </w:r>
            <w:r w:rsidR="00854ADA" w:rsidRPr="00FF386D">
              <w:rPr>
                <w:rFonts w:ascii="Calibri Light" w:hAnsi="Calibri Light"/>
                <w:sz w:val="20"/>
              </w:rPr>
              <w:t xml:space="preserve"> Србије</w:t>
            </w:r>
          </w:p>
          <w:p w14:paraId="1ABBBE01" w14:textId="77777777" w:rsidR="00854ADA" w:rsidRPr="00FF386D" w:rsidRDefault="00854ADA" w:rsidP="00854ADA">
            <w:pPr>
              <w:numPr>
                <w:ilvl w:val="0"/>
                <w:numId w:val="196"/>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Центар за промоцију науке</w:t>
            </w:r>
          </w:p>
        </w:tc>
      </w:tr>
      <w:tr w:rsidR="00854ADA" w:rsidRPr="00FF386D" w14:paraId="6E2EAE69" w14:textId="77777777" w:rsidTr="0057310C">
        <w:trPr>
          <w:trHeight w:val="315"/>
        </w:trPr>
        <w:tc>
          <w:tcPr>
            <w:tcW w:w="3295" w:type="dxa"/>
            <w:tcBorders>
              <w:top w:val="nil"/>
              <w:left w:val="single" w:sz="8" w:space="0" w:color="auto"/>
              <w:bottom w:val="single" w:sz="8" w:space="0" w:color="auto"/>
              <w:right w:val="nil"/>
            </w:tcBorders>
            <w:shd w:val="clear" w:color="000000" w:fill="244062"/>
            <w:vAlign w:val="center"/>
            <w:hideMark/>
          </w:tcPr>
          <w:p w14:paraId="350926C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193" w:type="dxa"/>
            <w:gridSpan w:val="3"/>
            <w:tcBorders>
              <w:top w:val="single" w:sz="8" w:space="0" w:color="auto"/>
              <w:left w:val="nil"/>
              <w:bottom w:val="single" w:sz="8" w:space="0" w:color="auto"/>
              <w:right w:val="single" w:sz="8" w:space="0" w:color="000000"/>
            </w:tcBorders>
            <w:vAlign w:val="center"/>
            <w:hideMark/>
          </w:tcPr>
          <w:p w14:paraId="3B20A38A" w14:textId="77777777" w:rsidR="00854ADA" w:rsidRPr="00FF386D" w:rsidRDefault="00854ADA" w:rsidP="00854ADA">
            <w:pPr>
              <w:numPr>
                <w:ilvl w:val="0"/>
                <w:numId w:val="196"/>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просвете, науке и технолошког развоја</w:t>
            </w:r>
          </w:p>
        </w:tc>
      </w:tr>
      <w:tr w:rsidR="00854ADA" w:rsidRPr="00FF386D" w14:paraId="3CA62186" w14:textId="77777777" w:rsidTr="0057310C">
        <w:trPr>
          <w:trHeight w:val="315"/>
        </w:trPr>
        <w:tc>
          <w:tcPr>
            <w:tcW w:w="3295" w:type="dxa"/>
            <w:tcBorders>
              <w:top w:val="nil"/>
              <w:left w:val="single" w:sz="8" w:space="0" w:color="auto"/>
              <w:bottom w:val="single" w:sz="8" w:space="0" w:color="auto"/>
              <w:right w:val="nil"/>
            </w:tcBorders>
            <w:shd w:val="clear" w:color="000000" w:fill="244062"/>
            <w:vAlign w:val="center"/>
            <w:hideMark/>
          </w:tcPr>
          <w:p w14:paraId="0FE5E4B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193" w:type="dxa"/>
            <w:gridSpan w:val="3"/>
            <w:tcBorders>
              <w:top w:val="single" w:sz="8" w:space="0" w:color="auto"/>
              <w:left w:val="nil"/>
              <w:bottom w:val="single" w:sz="8" w:space="0" w:color="auto"/>
              <w:right w:val="single" w:sz="8" w:space="0" w:color="000000"/>
            </w:tcBorders>
            <w:vAlign w:val="center"/>
            <w:hideMark/>
          </w:tcPr>
          <w:p w14:paraId="0183E99F" w14:textId="27607AC2"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Број регионалних центара истраживачке из</w:t>
            </w:r>
            <w:r w:rsidR="00131420" w:rsidRPr="00FF386D">
              <w:rPr>
                <w:rFonts w:ascii="Calibri Light" w:hAnsi="Calibri Light"/>
                <w:sz w:val="20"/>
              </w:rPr>
              <w:t>узетности</w:t>
            </w:r>
            <w:r w:rsidRPr="00FF386D">
              <w:rPr>
                <w:rFonts w:ascii="Calibri Light" w:hAnsi="Calibri Light"/>
                <w:sz w:val="20"/>
              </w:rPr>
              <w:t xml:space="preserve"> на годишњем нивоу</w:t>
            </w:r>
          </w:p>
        </w:tc>
      </w:tr>
      <w:tr w:rsidR="00854ADA" w:rsidRPr="00FF386D" w14:paraId="5459C002" w14:textId="77777777" w:rsidTr="0057310C">
        <w:trPr>
          <w:trHeight w:val="467"/>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4C60E45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193" w:type="dxa"/>
            <w:gridSpan w:val="3"/>
            <w:tcBorders>
              <w:top w:val="single" w:sz="8" w:space="0" w:color="auto"/>
              <w:left w:val="nil"/>
              <w:bottom w:val="single" w:sz="8" w:space="0" w:color="auto"/>
              <w:right w:val="single" w:sz="8" w:space="0" w:color="000000"/>
            </w:tcBorders>
            <w:vAlign w:val="center"/>
          </w:tcPr>
          <w:p w14:paraId="3C2436DE" w14:textId="77777777" w:rsidR="00854ADA" w:rsidRPr="00FF386D" w:rsidRDefault="00854ADA" w:rsidP="00854ADA">
            <w:pPr>
              <w:numPr>
                <w:ilvl w:val="0"/>
                <w:numId w:val="177"/>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Унутрашње тржиште енергије</w:t>
            </w:r>
          </w:p>
        </w:tc>
      </w:tr>
      <w:tr w:rsidR="00854ADA" w:rsidRPr="00FF386D" w14:paraId="69394B92" w14:textId="77777777" w:rsidTr="0057310C">
        <w:trPr>
          <w:trHeight w:val="450"/>
        </w:trPr>
        <w:tc>
          <w:tcPr>
            <w:tcW w:w="3295"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1227F302" w14:textId="0F37D9B8"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193" w:type="dxa"/>
            <w:gridSpan w:val="3"/>
            <w:vMerge w:val="restart"/>
            <w:tcBorders>
              <w:top w:val="single" w:sz="8" w:space="0" w:color="auto"/>
              <w:left w:val="single" w:sz="8" w:space="0" w:color="auto"/>
              <w:bottom w:val="single" w:sz="8" w:space="0" w:color="000000"/>
              <w:right w:val="single" w:sz="8" w:space="0" w:color="000000"/>
            </w:tcBorders>
            <w:vAlign w:val="center"/>
          </w:tcPr>
          <w:p w14:paraId="21A244E2" w14:textId="77777777" w:rsidR="00854ADA" w:rsidRPr="00FF386D" w:rsidRDefault="00854ADA" w:rsidP="00854ADA">
            <w:pPr>
              <w:numPr>
                <w:ilvl w:val="0"/>
                <w:numId w:val="89"/>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Европски стратешки план за енергетске технологије (план СЕТ)</w:t>
            </w:r>
          </w:p>
        </w:tc>
      </w:tr>
      <w:tr w:rsidR="00854ADA" w:rsidRPr="00FF386D" w14:paraId="737C47B6"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56150617"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193" w:type="dxa"/>
            <w:gridSpan w:val="3"/>
            <w:vMerge/>
            <w:tcBorders>
              <w:top w:val="single" w:sz="8" w:space="0" w:color="auto"/>
              <w:left w:val="single" w:sz="8" w:space="0" w:color="auto"/>
              <w:bottom w:val="single" w:sz="8" w:space="0" w:color="000000"/>
              <w:right w:val="single" w:sz="8" w:space="0" w:color="000000"/>
            </w:tcBorders>
            <w:vAlign w:val="center"/>
          </w:tcPr>
          <w:p w14:paraId="7F978954" w14:textId="77777777" w:rsidR="00854ADA" w:rsidRPr="00FF386D" w:rsidRDefault="00854ADA" w:rsidP="00854ADA">
            <w:pPr>
              <w:numPr>
                <w:ilvl w:val="0"/>
                <w:numId w:val="89"/>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0755FFEF"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01D7F60D"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193" w:type="dxa"/>
            <w:gridSpan w:val="3"/>
            <w:vMerge/>
            <w:tcBorders>
              <w:top w:val="single" w:sz="8" w:space="0" w:color="auto"/>
              <w:left w:val="single" w:sz="8" w:space="0" w:color="auto"/>
              <w:bottom w:val="single" w:sz="8" w:space="0" w:color="000000"/>
              <w:right w:val="single" w:sz="8" w:space="0" w:color="000000"/>
            </w:tcBorders>
            <w:vAlign w:val="center"/>
          </w:tcPr>
          <w:p w14:paraId="5506F79C" w14:textId="77777777" w:rsidR="00854ADA" w:rsidRPr="00FF386D" w:rsidRDefault="00854ADA" w:rsidP="00854ADA">
            <w:pPr>
              <w:numPr>
                <w:ilvl w:val="0"/>
                <w:numId w:val="89"/>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7B02922F" w14:textId="77777777" w:rsidTr="0057310C">
        <w:trPr>
          <w:trHeight w:val="556"/>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0948194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93" w:type="dxa"/>
            <w:gridSpan w:val="3"/>
            <w:tcBorders>
              <w:top w:val="single" w:sz="8" w:space="0" w:color="auto"/>
              <w:left w:val="nil"/>
              <w:bottom w:val="single" w:sz="8" w:space="0" w:color="auto"/>
              <w:right w:val="single" w:sz="8" w:space="0" w:color="000000"/>
            </w:tcBorders>
            <w:vAlign w:val="center"/>
          </w:tcPr>
          <w:p w14:paraId="2DFEFED4" w14:textId="77777777" w:rsidR="00854ADA" w:rsidRPr="000A2AFE" w:rsidRDefault="00854ADA">
            <w:pPr>
              <w:numPr>
                <w:ilvl w:val="0"/>
                <w:numId w:val="242"/>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Закон о Фонду за науку</w:t>
            </w:r>
          </w:p>
          <w:p w14:paraId="2A82E7C7" w14:textId="77777777" w:rsidR="00854ADA" w:rsidRPr="00FF386D" w:rsidRDefault="00854ADA" w:rsidP="00854ADA">
            <w:pPr>
              <w:numPr>
                <w:ilvl w:val="0"/>
                <w:numId w:val="89"/>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Закон о науци и истраживању</w:t>
            </w:r>
          </w:p>
        </w:tc>
      </w:tr>
      <w:tr w:rsidR="00854ADA" w:rsidRPr="00FF386D" w14:paraId="12A611E2" w14:textId="77777777" w:rsidTr="0057310C">
        <w:trPr>
          <w:trHeight w:val="315"/>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2CAF0D8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lastRenderedPageBreak/>
              <w:t>Трошкови имплементације</w:t>
            </w:r>
          </w:p>
        </w:tc>
        <w:tc>
          <w:tcPr>
            <w:tcW w:w="6193" w:type="dxa"/>
            <w:gridSpan w:val="3"/>
            <w:tcBorders>
              <w:top w:val="single" w:sz="8" w:space="0" w:color="auto"/>
              <w:left w:val="nil"/>
              <w:bottom w:val="single" w:sz="8" w:space="0" w:color="auto"/>
              <w:right w:val="single" w:sz="8" w:space="0" w:color="000000"/>
            </w:tcBorders>
            <w:vAlign w:val="center"/>
          </w:tcPr>
          <w:p w14:paraId="52A803C9"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3,4 милиона евра</w:t>
            </w:r>
          </w:p>
        </w:tc>
      </w:tr>
      <w:tr w:rsidR="00854ADA" w:rsidRPr="00FF386D" w14:paraId="2B2FE060" w14:textId="77777777" w:rsidTr="0057310C">
        <w:trPr>
          <w:trHeight w:val="315"/>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0808D91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93" w:type="dxa"/>
            <w:gridSpan w:val="3"/>
            <w:tcBorders>
              <w:top w:val="single" w:sz="8" w:space="0" w:color="auto"/>
              <w:left w:val="nil"/>
              <w:bottom w:val="single" w:sz="8" w:space="0" w:color="auto"/>
              <w:right w:val="single" w:sz="8" w:space="0" w:color="000000"/>
            </w:tcBorders>
            <w:shd w:val="clear" w:color="auto" w:fill="auto"/>
            <w:vAlign w:val="center"/>
            <w:hideMark/>
          </w:tcPr>
          <w:p w14:paraId="567D97A8" w14:textId="20C8F008" w:rsidR="00854ADA" w:rsidRPr="00FF386D" w:rsidRDefault="00CE229F" w:rsidP="00854ADA">
            <w:pPr>
              <w:spacing w:after="0" w:line="240" w:lineRule="auto"/>
              <w:rPr>
                <w:rFonts w:asciiTheme="majorHAnsi" w:eastAsia="Times New Roman" w:hAnsiTheme="majorHAnsi" w:cstheme="majorHAnsi"/>
                <w:color w:val="000000"/>
                <w:lang w:eastAsia="en-GB"/>
              </w:rPr>
            </w:pPr>
            <w:r w:rsidRPr="00CE229F">
              <w:rPr>
                <w:rFonts w:asciiTheme="majorHAnsi" w:eastAsia="Times New Roman" w:hAnsiTheme="majorHAnsi" w:cstheme="majorHAnsi"/>
                <w:color w:val="000000"/>
                <w:sz w:val="20"/>
                <w:szCs w:val="20"/>
                <w:lang w:eastAsia="en-GB"/>
              </w:rPr>
              <w:t>Фондови ЕУ, грантови, сопствена и буџетска средства, програми за истраживање и развој, донатори</w:t>
            </w:r>
          </w:p>
        </w:tc>
      </w:tr>
    </w:tbl>
    <w:p w14:paraId="66BF7C45" w14:textId="77777777" w:rsidR="00854ADA" w:rsidRPr="00FF386D" w:rsidRDefault="00854ADA" w:rsidP="00854ADA">
      <w:pPr>
        <w:spacing w:before="120" w:after="120" w:line="240" w:lineRule="auto"/>
        <w:rPr>
          <w:rFonts w:ascii="Calibri" w:eastAsia="Times New Roman" w:hAnsi="Calibri" w:cs="Arial"/>
          <w:highlight w:val="green"/>
          <w:lang w:eastAsia="el-GR"/>
        </w:rPr>
      </w:pPr>
    </w:p>
    <w:tbl>
      <w:tblPr>
        <w:tblW w:w="9488" w:type="dxa"/>
        <w:tblLook w:val="04A0" w:firstRow="1" w:lastRow="0" w:firstColumn="1" w:lastColumn="0" w:noHBand="0" w:noVBand="1"/>
      </w:tblPr>
      <w:tblGrid>
        <w:gridCol w:w="3295"/>
        <w:gridCol w:w="1071"/>
        <w:gridCol w:w="938"/>
        <w:gridCol w:w="4184"/>
      </w:tblGrid>
      <w:tr w:rsidR="00854ADA" w:rsidRPr="00FF386D" w14:paraId="3A4423CE" w14:textId="77777777" w:rsidTr="0057310C">
        <w:trPr>
          <w:trHeight w:val="780"/>
        </w:trPr>
        <w:tc>
          <w:tcPr>
            <w:tcW w:w="3295"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5B0F4226" w14:textId="4470718D"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071" w:type="dxa"/>
            <w:tcBorders>
              <w:top w:val="single" w:sz="8" w:space="0" w:color="auto"/>
              <w:left w:val="nil"/>
              <w:bottom w:val="single" w:sz="8" w:space="0" w:color="auto"/>
              <w:right w:val="single" w:sz="8" w:space="0" w:color="auto"/>
            </w:tcBorders>
            <w:shd w:val="clear" w:color="auto" w:fill="E7E6E6" w:themeFill="background2"/>
            <w:vAlign w:val="center"/>
            <w:hideMark/>
          </w:tcPr>
          <w:p w14:paraId="736998E6"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МП_ИИК8</w:t>
            </w:r>
          </w:p>
        </w:tc>
        <w:tc>
          <w:tcPr>
            <w:tcW w:w="938" w:type="dxa"/>
            <w:tcBorders>
              <w:top w:val="single" w:sz="8" w:space="0" w:color="auto"/>
              <w:left w:val="nil"/>
              <w:bottom w:val="single" w:sz="8" w:space="0" w:color="auto"/>
              <w:right w:val="single" w:sz="8" w:space="0" w:color="auto"/>
            </w:tcBorders>
            <w:shd w:val="clear" w:color="auto" w:fill="244062"/>
            <w:vAlign w:val="center"/>
            <w:hideMark/>
          </w:tcPr>
          <w:p w14:paraId="351B9B6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84" w:type="dxa"/>
            <w:tcBorders>
              <w:top w:val="single" w:sz="8" w:space="0" w:color="auto"/>
              <w:left w:val="nil"/>
              <w:bottom w:val="single" w:sz="8" w:space="0" w:color="auto"/>
              <w:right w:val="single" w:sz="8" w:space="0" w:color="auto"/>
            </w:tcBorders>
            <w:shd w:val="clear" w:color="auto" w:fill="E7E6E6" w:themeFill="background2"/>
            <w:vAlign w:val="center"/>
            <w:hideMark/>
          </w:tcPr>
          <w:p w14:paraId="7F249A65"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shd w:val="clear" w:color="auto" w:fill="E7E6E6" w:themeFill="background2"/>
                <w:lang w:eastAsia="en-GB"/>
              </w:rPr>
              <w:t>Оснивање и умрежавања канцеларија за трансфер технологије истраживачких организација / института и научно -технолошких паркова</w:t>
            </w:r>
          </w:p>
        </w:tc>
      </w:tr>
      <w:tr w:rsidR="00854ADA" w:rsidRPr="00FF386D" w14:paraId="0B72B835" w14:textId="77777777" w:rsidTr="0057310C">
        <w:trPr>
          <w:trHeight w:val="355"/>
        </w:trPr>
        <w:tc>
          <w:tcPr>
            <w:tcW w:w="3295" w:type="dxa"/>
            <w:tcBorders>
              <w:top w:val="nil"/>
              <w:left w:val="single" w:sz="8" w:space="0" w:color="auto"/>
              <w:bottom w:val="single" w:sz="8" w:space="0" w:color="auto"/>
              <w:right w:val="nil"/>
            </w:tcBorders>
            <w:shd w:val="clear" w:color="000000" w:fill="244062"/>
            <w:vAlign w:val="center"/>
            <w:hideMark/>
          </w:tcPr>
          <w:p w14:paraId="631E6D47" w14:textId="28C110E8"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193" w:type="dxa"/>
            <w:gridSpan w:val="3"/>
            <w:tcBorders>
              <w:top w:val="single" w:sz="8" w:space="0" w:color="auto"/>
              <w:left w:val="nil"/>
              <w:bottom w:val="single" w:sz="8" w:space="0" w:color="auto"/>
              <w:right w:val="single" w:sz="8" w:space="0" w:color="000000"/>
            </w:tcBorders>
            <w:vAlign w:val="center"/>
            <w:hideMark/>
          </w:tcPr>
          <w:p w14:paraId="215315A9"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Промоција истраживања и иновација</w:t>
            </w:r>
          </w:p>
        </w:tc>
      </w:tr>
      <w:tr w:rsidR="00854ADA" w:rsidRPr="00FF386D" w14:paraId="425A0729" w14:textId="77777777" w:rsidTr="0057310C">
        <w:trPr>
          <w:trHeight w:val="315"/>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4B118B7D" w14:textId="11B2503A"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193" w:type="dxa"/>
            <w:gridSpan w:val="3"/>
            <w:tcBorders>
              <w:top w:val="single" w:sz="8" w:space="0" w:color="auto"/>
              <w:left w:val="nil"/>
              <w:bottom w:val="single" w:sz="8" w:space="0" w:color="auto"/>
              <w:right w:val="single" w:sz="8" w:space="0" w:color="000000"/>
            </w:tcBorders>
            <w:vAlign w:val="center"/>
          </w:tcPr>
          <w:p w14:paraId="7B212A20" w14:textId="77777777" w:rsidR="00854ADA" w:rsidRPr="00FF386D" w:rsidRDefault="00854ADA" w:rsidP="00854ADA">
            <w:pPr>
              <w:spacing w:after="0" w:line="240" w:lineRule="auto"/>
              <w:jc w:val="both"/>
              <w:rPr>
                <w:rFonts w:asciiTheme="majorHAnsi" w:eastAsia="Times New Roman" w:hAnsiTheme="majorHAnsi" w:cstheme="majorHAnsi"/>
                <w:color w:val="000000"/>
                <w:lang w:eastAsia="en-GB"/>
              </w:rPr>
            </w:pPr>
            <w:r w:rsidRPr="00FF386D">
              <w:rPr>
                <w:rFonts w:asciiTheme="majorHAnsi" w:eastAsia="Times New Roman" w:hAnsiTheme="majorHAnsi" w:cstheme="majorHAnsi"/>
                <w:color w:val="000000"/>
                <w:sz w:val="20"/>
                <w:szCs w:val="20"/>
                <w:lang w:eastAsia="en-GB"/>
              </w:rPr>
              <w:t>Повећање нивоа технолошке спремности у области енергетике (квалитативан циљ)</w:t>
            </w:r>
          </w:p>
        </w:tc>
      </w:tr>
      <w:tr w:rsidR="00854ADA" w:rsidRPr="00FF386D" w14:paraId="097E127B" w14:textId="77777777" w:rsidTr="0057310C">
        <w:trPr>
          <w:trHeight w:val="1437"/>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12D17B5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193" w:type="dxa"/>
            <w:gridSpan w:val="3"/>
            <w:tcBorders>
              <w:top w:val="single" w:sz="8" w:space="0" w:color="auto"/>
              <w:left w:val="nil"/>
              <w:bottom w:val="single" w:sz="8" w:space="0" w:color="auto"/>
              <w:right w:val="single" w:sz="8" w:space="0" w:color="000000"/>
            </w:tcBorders>
            <w:vAlign w:val="center"/>
            <w:hideMark/>
          </w:tcPr>
          <w:p w14:paraId="0975DBCE" w14:textId="033AC433"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МП_ИИК8 ће подстицати (додатно) оснивање канцеларија за технолошки трансфер и научно -технолошких паркова, који ће пружати инфраструктурне и стручне услуге субјектима који обављају иновационе делатности, у смислу умрежавања, развоја, креирања и брзог коришћења нових технологија. Овим би се могла створити прилика за повећање конкурентности нискоугљеничних технологија п</w:t>
            </w:r>
            <w:r w:rsidR="00131420" w:rsidRPr="000A2AFE">
              <w:rPr>
                <w:rFonts w:ascii="Calibri Light" w:eastAsia="Times New Roman" w:hAnsi="Calibri Light" w:cs="Calibri Light"/>
                <w:color w:val="000000"/>
                <w:sz w:val="20"/>
                <w:szCs w:val="20"/>
                <w:lang w:eastAsia="en-GB"/>
              </w:rPr>
              <w:t>реко</w:t>
            </w:r>
            <w:r w:rsidRPr="000A2AFE">
              <w:rPr>
                <w:rFonts w:ascii="Calibri Light" w:eastAsia="Times New Roman" w:hAnsi="Calibri Light" w:cs="Calibri Light"/>
                <w:color w:val="000000"/>
                <w:sz w:val="20"/>
                <w:szCs w:val="20"/>
                <w:lang w:eastAsia="en-GB"/>
              </w:rPr>
              <w:t xml:space="preserve"> центара за трансфер технологије, који би могли да омогуће умрежавање и размену знања између научног сектора, академске заједнице и пословног сектора.</w:t>
            </w:r>
          </w:p>
        </w:tc>
      </w:tr>
      <w:tr w:rsidR="00854ADA" w:rsidRPr="00FF386D" w14:paraId="37945A04" w14:textId="77777777" w:rsidTr="0057310C">
        <w:trPr>
          <w:trHeight w:val="315"/>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4497A55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193" w:type="dxa"/>
            <w:gridSpan w:val="3"/>
            <w:tcBorders>
              <w:top w:val="single" w:sz="8" w:space="0" w:color="auto"/>
              <w:left w:val="nil"/>
              <w:bottom w:val="single" w:sz="8" w:space="0" w:color="auto"/>
              <w:right w:val="single" w:sz="8" w:space="0" w:color="000000"/>
            </w:tcBorders>
            <w:vAlign w:val="center"/>
            <w:hideMark/>
          </w:tcPr>
          <w:p w14:paraId="08AEDE57" w14:textId="3B21CB69"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202</w:t>
            </w:r>
            <w:r w:rsidR="007A186C" w:rsidRPr="000A2AFE">
              <w:rPr>
                <w:rFonts w:ascii="Calibri Light" w:eastAsia="Times New Roman" w:hAnsi="Calibri Light" w:cs="Calibri Light"/>
                <w:color w:val="000000"/>
                <w:sz w:val="20"/>
                <w:szCs w:val="20"/>
                <w:lang w:eastAsia="en-GB"/>
              </w:rPr>
              <w:t>3</w:t>
            </w:r>
            <w:r w:rsidRPr="000A2AFE">
              <w:rPr>
                <w:rFonts w:ascii="Calibri Light" w:eastAsia="Times New Roman" w:hAnsi="Calibri Light" w:cs="Calibri Light"/>
                <w:color w:val="000000"/>
                <w:sz w:val="20"/>
                <w:szCs w:val="20"/>
                <w:lang w:eastAsia="en-GB"/>
              </w:rPr>
              <w:t>-2030.</w:t>
            </w:r>
          </w:p>
        </w:tc>
      </w:tr>
      <w:tr w:rsidR="00854ADA" w:rsidRPr="00FF386D" w14:paraId="70B8AA79" w14:textId="77777777" w:rsidTr="0057310C">
        <w:trPr>
          <w:trHeight w:val="315"/>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514E1DF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193" w:type="dxa"/>
            <w:gridSpan w:val="3"/>
            <w:tcBorders>
              <w:top w:val="single" w:sz="8" w:space="0" w:color="auto"/>
              <w:left w:val="nil"/>
              <w:bottom w:val="single" w:sz="8" w:space="0" w:color="auto"/>
              <w:right w:val="single" w:sz="8" w:space="0" w:color="000000"/>
            </w:tcBorders>
            <w:vAlign w:val="center"/>
            <w:hideMark/>
          </w:tcPr>
          <w:p w14:paraId="3CDFCC98"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Инвестиција</w:t>
            </w:r>
          </w:p>
        </w:tc>
      </w:tr>
      <w:tr w:rsidR="00854ADA" w:rsidRPr="00FF386D" w14:paraId="32F1B26D" w14:textId="77777777" w:rsidTr="0057310C">
        <w:trPr>
          <w:trHeight w:val="315"/>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7770DA3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193" w:type="dxa"/>
            <w:gridSpan w:val="3"/>
            <w:tcBorders>
              <w:top w:val="single" w:sz="8" w:space="0" w:color="auto"/>
              <w:left w:val="nil"/>
              <w:bottom w:val="single" w:sz="8" w:space="0" w:color="auto"/>
              <w:right w:val="single" w:sz="8" w:space="0" w:color="000000"/>
            </w:tcBorders>
            <w:vAlign w:val="center"/>
            <w:hideMark/>
          </w:tcPr>
          <w:p w14:paraId="3F6F7BEB" w14:textId="4BF40D73"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Све области </w:t>
            </w:r>
            <w:r w:rsidR="00663718" w:rsidRPr="00FF386D">
              <w:rPr>
                <w:rFonts w:ascii="Calibri Light" w:hAnsi="Calibri Light"/>
                <w:sz w:val="20"/>
              </w:rPr>
              <w:t>И</w:t>
            </w:r>
            <w:r w:rsidRPr="00FF386D">
              <w:rPr>
                <w:rFonts w:ascii="Calibri Light" w:hAnsi="Calibri Light"/>
                <w:sz w:val="20"/>
              </w:rPr>
              <w:t>НЕКП-а</w:t>
            </w:r>
          </w:p>
        </w:tc>
      </w:tr>
      <w:tr w:rsidR="00854ADA" w:rsidRPr="00FF386D" w14:paraId="4FCCE21A" w14:textId="77777777" w:rsidTr="0057310C">
        <w:trPr>
          <w:trHeight w:val="315"/>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7D56C11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193" w:type="dxa"/>
            <w:gridSpan w:val="3"/>
            <w:tcBorders>
              <w:top w:val="single" w:sz="8" w:space="0" w:color="auto"/>
              <w:left w:val="nil"/>
              <w:bottom w:val="single" w:sz="8" w:space="0" w:color="auto"/>
              <w:right w:val="single" w:sz="8" w:space="0" w:color="000000"/>
            </w:tcBorders>
            <w:vAlign w:val="center"/>
            <w:hideMark/>
          </w:tcPr>
          <w:p w14:paraId="043A3965" w14:textId="00BC808A" w:rsidR="00854ADA" w:rsidRPr="00FF386D" w:rsidRDefault="00854ADA" w:rsidP="00854ADA">
            <w:pPr>
              <w:numPr>
                <w:ilvl w:val="0"/>
                <w:numId w:val="197"/>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рударства и енергетике</w:t>
            </w:r>
          </w:p>
          <w:p w14:paraId="48B8876C" w14:textId="77777777" w:rsidR="00854ADA" w:rsidRPr="00FF386D" w:rsidRDefault="00854ADA" w:rsidP="00854ADA">
            <w:pPr>
              <w:numPr>
                <w:ilvl w:val="0"/>
                <w:numId w:val="197"/>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просвете, науке и технолошког развоја</w:t>
            </w:r>
          </w:p>
          <w:p w14:paraId="6A3008C2" w14:textId="57AD2FDB" w:rsidR="00854ADA" w:rsidRPr="00FF386D" w:rsidRDefault="004F14D0" w:rsidP="00854ADA">
            <w:pPr>
              <w:numPr>
                <w:ilvl w:val="0"/>
                <w:numId w:val="197"/>
              </w:numPr>
              <w:spacing w:after="0" w:line="240" w:lineRule="auto"/>
              <w:contextualSpacing/>
              <w:jc w:val="both"/>
              <w:rPr>
                <w:rFonts w:asciiTheme="majorHAnsi" w:eastAsia="Times New Roman" w:hAnsiTheme="majorHAnsi" w:cstheme="majorHAnsi"/>
                <w:color w:val="000000"/>
                <w:sz w:val="20"/>
                <w:szCs w:val="20"/>
                <w:lang w:eastAsia="en-GB"/>
              </w:rPr>
            </w:pPr>
            <w:r>
              <w:rPr>
                <w:rFonts w:ascii="Calibri Light" w:hAnsi="Calibri Light"/>
                <w:sz w:val="20"/>
              </w:rPr>
              <w:t>Привредна комора</w:t>
            </w:r>
            <w:r w:rsidR="00854ADA" w:rsidRPr="00FF386D">
              <w:rPr>
                <w:rFonts w:ascii="Calibri Light" w:hAnsi="Calibri Light"/>
                <w:sz w:val="20"/>
              </w:rPr>
              <w:t xml:space="preserve"> Србије</w:t>
            </w:r>
          </w:p>
        </w:tc>
      </w:tr>
      <w:tr w:rsidR="00854ADA" w:rsidRPr="00FF386D" w14:paraId="14A94E7F" w14:textId="77777777" w:rsidTr="0057310C">
        <w:trPr>
          <w:trHeight w:val="315"/>
        </w:trPr>
        <w:tc>
          <w:tcPr>
            <w:tcW w:w="3295" w:type="dxa"/>
            <w:tcBorders>
              <w:top w:val="nil"/>
              <w:left w:val="single" w:sz="8" w:space="0" w:color="auto"/>
              <w:bottom w:val="single" w:sz="8" w:space="0" w:color="auto"/>
              <w:right w:val="nil"/>
            </w:tcBorders>
            <w:shd w:val="clear" w:color="000000" w:fill="244062"/>
            <w:vAlign w:val="center"/>
            <w:hideMark/>
          </w:tcPr>
          <w:p w14:paraId="020AE14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193" w:type="dxa"/>
            <w:gridSpan w:val="3"/>
            <w:tcBorders>
              <w:top w:val="single" w:sz="8" w:space="0" w:color="auto"/>
              <w:left w:val="nil"/>
              <w:bottom w:val="single" w:sz="8" w:space="0" w:color="auto"/>
              <w:right w:val="single" w:sz="8" w:space="0" w:color="000000"/>
            </w:tcBorders>
            <w:vAlign w:val="center"/>
            <w:hideMark/>
          </w:tcPr>
          <w:p w14:paraId="7672295A" w14:textId="77777777" w:rsidR="00854ADA" w:rsidRPr="00FF386D" w:rsidRDefault="00854ADA" w:rsidP="00854ADA">
            <w:pPr>
              <w:numPr>
                <w:ilvl w:val="0"/>
                <w:numId w:val="197"/>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просвете, науке и технолошког развоја</w:t>
            </w:r>
          </w:p>
        </w:tc>
      </w:tr>
      <w:tr w:rsidR="00854ADA" w:rsidRPr="00FF386D" w14:paraId="610C16E6" w14:textId="77777777" w:rsidTr="0057310C">
        <w:trPr>
          <w:trHeight w:val="315"/>
        </w:trPr>
        <w:tc>
          <w:tcPr>
            <w:tcW w:w="3295" w:type="dxa"/>
            <w:tcBorders>
              <w:top w:val="nil"/>
              <w:left w:val="single" w:sz="8" w:space="0" w:color="auto"/>
              <w:bottom w:val="single" w:sz="8" w:space="0" w:color="auto"/>
              <w:right w:val="nil"/>
            </w:tcBorders>
            <w:shd w:val="clear" w:color="000000" w:fill="244062"/>
            <w:vAlign w:val="center"/>
            <w:hideMark/>
          </w:tcPr>
          <w:p w14:paraId="3E351EC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193" w:type="dxa"/>
            <w:gridSpan w:val="3"/>
            <w:tcBorders>
              <w:top w:val="single" w:sz="8" w:space="0" w:color="auto"/>
              <w:left w:val="nil"/>
              <w:bottom w:val="single" w:sz="8" w:space="0" w:color="auto"/>
              <w:right w:val="single" w:sz="8" w:space="0" w:color="000000"/>
            </w:tcBorders>
            <w:vAlign w:val="center"/>
            <w:hideMark/>
          </w:tcPr>
          <w:p w14:paraId="16EB6EF3"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Број нових заједничких пројеката канцеларија за трансфер технологије у склопу истраживачких организација/ института и научно -технолошких паркова на годишњем нивоу</w:t>
            </w:r>
          </w:p>
        </w:tc>
      </w:tr>
      <w:tr w:rsidR="00854ADA" w:rsidRPr="00FF386D" w14:paraId="09708EE4" w14:textId="77777777" w:rsidTr="0057310C">
        <w:trPr>
          <w:trHeight w:val="481"/>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27D75F5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193" w:type="dxa"/>
            <w:gridSpan w:val="3"/>
            <w:tcBorders>
              <w:top w:val="single" w:sz="8" w:space="0" w:color="auto"/>
              <w:left w:val="nil"/>
              <w:bottom w:val="single" w:sz="8" w:space="0" w:color="auto"/>
              <w:right w:val="single" w:sz="8" w:space="0" w:color="000000"/>
            </w:tcBorders>
            <w:vAlign w:val="center"/>
          </w:tcPr>
          <w:p w14:paraId="0C71EBD2" w14:textId="2E69CEF7" w:rsidR="00854ADA" w:rsidRPr="00FF386D" w:rsidRDefault="00854ADA" w:rsidP="00854ADA">
            <w:pPr>
              <w:numPr>
                <w:ilvl w:val="0"/>
                <w:numId w:val="178"/>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Унутрашње енерг</w:t>
            </w:r>
            <w:r w:rsidR="00663718" w:rsidRPr="00FF386D">
              <w:rPr>
                <w:rFonts w:asciiTheme="majorHAnsi" w:eastAsia="Times New Roman" w:hAnsiTheme="majorHAnsi" w:cstheme="majorHAnsi"/>
                <w:color w:val="000000"/>
                <w:sz w:val="20"/>
                <w:szCs w:val="20"/>
                <w:lang w:eastAsia="en-GB"/>
              </w:rPr>
              <w:t>етско тржиште</w:t>
            </w:r>
          </w:p>
        </w:tc>
      </w:tr>
      <w:tr w:rsidR="00854ADA" w:rsidRPr="00FF386D" w14:paraId="36BA4C95" w14:textId="77777777" w:rsidTr="0057310C">
        <w:trPr>
          <w:trHeight w:val="450"/>
        </w:trPr>
        <w:tc>
          <w:tcPr>
            <w:tcW w:w="3295"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3E266BC3" w14:textId="09AE1923"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193" w:type="dxa"/>
            <w:gridSpan w:val="3"/>
            <w:vMerge w:val="restart"/>
            <w:tcBorders>
              <w:top w:val="single" w:sz="8" w:space="0" w:color="auto"/>
              <w:left w:val="single" w:sz="8" w:space="0" w:color="auto"/>
              <w:bottom w:val="single" w:sz="8" w:space="0" w:color="000000"/>
              <w:right w:val="single" w:sz="8" w:space="0" w:color="000000"/>
            </w:tcBorders>
            <w:vAlign w:val="center"/>
          </w:tcPr>
          <w:p w14:paraId="6300F4C0" w14:textId="77777777" w:rsidR="00854ADA" w:rsidRPr="00FF386D" w:rsidRDefault="00854ADA" w:rsidP="00854ADA">
            <w:pPr>
              <w:numPr>
                <w:ilvl w:val="0"/>
                <w:numId w:val="90"/>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Европски стратешки план за енергетске технологије (план СЕТ)</w:t>
            </w:r>
          </w:p>
        </w:tc>
      </w:tr>
      <w:tr w:rsidR="00854ADA" w:rsidRPr="00FF386D" w14:paraId="41D91DE2"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2418BA03"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193" w:type="dxa"/>
            <w:gridSpan w:val="3"/>
            <w:vMerge/>
            <w:tcBorders>
              <w:top w:val="single" w:sz="8" w:space="0" w:color="auto"/>
              <w:left w:val="single" w:sz="8" w:space="0" w:color="auto"/>
              <w:bottom w:val="single" w:sz="8" w:space="0" w:color="000000"/>
              <w:right w:val="single" w:sz="8" w:space="0" w:color="000000"/>
            </w:tcBorders>
            <w:vAlign w:val="center"/>
          </w:tcPr>
          <w:p w14:paraId="63A4BC4F" w14:textId="77777777" w:rsidR="00854ADA" w:rsidRPr="00FF386D" w:rsidRDefault="00854ADA" w:rsidP="00854ADA">
            <w:pPr>
              <w:numPr>
                <w:ilvl w:val="0"/>
                <w:numId w:val="90"/>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7E1B6486"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415C3241"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193" w:type="dxa"/>
            <w:gridSpan w:val="3"/>
            <w:vMerge/>
            <w:tcBorders>
              <w:top w:val="single" w:sz="8" w:space="0" w:color="auto"/>
              <w:left w:val="single" w:sz="8" w:space="0" w:color="auto"/>
              <w:bottom w:val="single" w:sz="8" w:space="0" w:color="000000"/>
              <w:right w:val="single" w:sz="8" w:space="0" w:color="000000"/>
            </w:tcBorders>
            <w:vAlign w:val="center"/>
          </w:tcPr>
          <w:p w14:paraId="0900C893" w14:textId="77777777" w:rsidR="00854ADA" w:rsidRPr="00FF386D" w:rsidRDefault="00854ADA" w:rsidP="00854ADA">
            <w:pPr>
              <w:numPr>
                <w:ilvl w:val="0"/>
                <w:numId w:val="90"/>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05F7D689" w14:textId="77777777" w:rsidTr="0057310C">
        <w:trPr>
          <w:trHeight w:val="411"/>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7BEC609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93" w:type="dxa"/>
            <w:gridSpan w:val="3"/>
            <w:tcBorders>
              <w:top w:val="single" w:sz="8" w:space="0" w:color="auto"/>
              <w:left w:val="nil"/>
              <w:bottom w:val="single" w:sz="8" w:space="0" w:color="auto"/>
              <w:right w:val="single" w:sz="8" w:space="0" w:color="000000"/>
            </w:tcBorders>
            <w:vAlign w:val="center"/>
          </w:tcPr>
          <w:p w14:paraId="36416621" w14:textId="77777777" w:rsidR="00854ADA" w:rsidRPr="00FF386D" w:rsidRDefault="00854ADA" w:rsidP="00854ADA">
            <w:pPr>
              <w:numPr>
                <w:ilvl w:val="0"/>
                <w:numId w:val="90"/>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Закон о науци и истраживању</w:t>
            </w:r>
          </w:p>
        </w:tc>
      </w:tr>
      <w:tr w:rsidR="00854ADA" w:rsidRPr="00FF386D" w14:paraId="7ED053D1" w14:textId="77777777" w:rsidTr="0057310C">
        <w:trPr>
          <w:trHeight w:val="315"/>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0FEDF16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93" w:type="dxa"/>
            <w:gridSpan w:val="3"/>
            <w:tcBorders>
              <w:top w:val="single" w:sz="8" w:space="0" w:color="auto"/>
              <w:left w:val="nil"/>
              <w:bottom w:val="single" w:sz="8" w:space="0" w:color="auto"/>
              <w:right w:val="single" w:sz="8" w:space="0" w:color="000000"/>
            </w:tcBorders>
            <w:vAlign w:val="center"/>
          </w:tcPr>
          <w:p w14:paraId="3651E524"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15,3 милиона евра</w:t>
            </w:r>
          </w:p>
        </w:tc>
      </w:tr>
      <w:tr w:rsidR="00854ADA" w:rsidRPr="00FF386D" w14:paraId="15996707" w14:textId="77777777" w:rsidTr="0057310C">
        <w:trPr>
          <w:trHeight w:val="315"/>
        </w:trPr>
        <w:tc>
          <w:tcPr>
            <w:tcW w:w="3295" w:type="dxa"/>
            <w:tcBorders>
              <w:top w:val="nil"/>
              <w:left w:val="single" w:sz="8" w:space="0" w:color="auto"/>
              <w:bottom w:val="single" w:sz="8" w:space="0" w:color="auto"/>
              <w:right w:val="single" w:sz="8" w:space="0" w:color="auto"/>
            </w:tcBorders>
            <w:shd w:val="clear" w:color="000000" w:fill="244062"/>
            <w:vAlign w:val="center"/>
            <w:hideMark/>
          </w:tcPr>
          <w:p w14:paraId="192C6C8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93" w:type="dxa"/>
            <w:gridSpan w:val="3"/>
            <w:tcBorders>
              <w:top w:val="single" w:sz="8" w:space="0" w:color="auto"/>
              <w:left w:val="nil"/>
              <w:bottom w:val="single" w:sz="8" w:space="0" w:color="auto"/>
              <w:right w:val="single" w:sz="8" w:space="0" w:color="000000"/>
            </w:tcBorders>
            <w:shd w:val="clear" w:color="auto" w:fill="auto"/>
            <w:vAlign w:val="center"/>
            <w:hideMark/>
          </w:tcPr>
          <w:p w14:paraId="584CCE76" w14:textId="53830C2A" w:rsidR="00854ADA" w:rsidRPr="00FF386D" w:rsidRDefault="00CE229F" w:rsidP="00854ADA">
            <w:pPr>
              <w:spacing w:after="0" w:line="240" w:lineRule="auto"/>
              <w:rPr>
                <w:rFonts w:asciiTheme="majorHAnsi" w:eastAsia="Times New Roman" w:hAnsiTheme="majorHAnsi" w:cstheme="majorHAnsi"/>
                <w:color w:val="000000"/>
                <w:lang w:eastAsia="en-GB"/>
              </w:rPr>
            </w:pPr>
            <w:r w:rsidRPr="00CE229F">
              <w:rPr>
                <w:rFonts w:asciiTheme="majorHAnsi" w:eastAsia="Times New Roman" w:hAnsiTheme="majorHAnsi" w:cstheme="majorHAnsi"/>
                <w:color w:val="000000"/>
                <w:sz w:val="20"/>
                <w:szCs w:val="20"/>
                <w:lang w:eastAsia="en-GB"/>
              </w:rPr>
              <w:t>Фондови ЕУ, грантови, сопствена и буџетска средства, програми за истраживање и развој, донатори</w:t>
            </w:r>
          </w:p>
        </w:tc>
      </w:tr>
    </w:tbl>
    <w:p w14:paraId="39122912" w14:textId="77777777" w:rsidR="00854ADA" w:rsidRPr="00FF386D" w:rsidRDefault="00854ADA" w:rsidP="00854ADA">
      <w:pPr>
        <w:spacing w:before="120" w:after="120" w:line="240" w:lineRule="auto"/>
        <w:rPr>
          <w:rFonts w:ascii="Calibri" w:eastAsia="Times New Roman" w:hAnsi="Calibri" w:cs="Arial"/>
          <w:highlight w:val="green"/>
          <w:lang w:eastAsia="el-GR"/>
        </w:rPr>
      </w:pPr>
    </w:p>
    <w:tbl>
      <w:tblPr>
        <w:tblW w:w="9488" w:type="dxa"/>
        <w:tblLook w:val="04A0" w:firstRow="1" w:lastRow="0" w:firstColumn="1" w:lastColumn="0" w:noHBand="0" w:noVBand="1"/>
      </w:tblPr>
      <w:tblGrid>
        <w:gridCol w:w="3297"/>
        <w:gridCol w:w="1071"/>
        <w:gridCol w:w="939"/>
        <w:gridCol w:w="4181"/>
      </w:tblGrid>
      <w:tr w:rsidR="00854ADA" w:rsidRPr="00FF386D" w14:paraId="32C8A912" w14:textId="77777777" w:rsidTr="0057310C">
        <w:trPr>
          <w:trHeight w:val="780"/>
        </w:trPr>
        <w:tc>
          <w:tcPr>
            <w:tcW w:w="3297"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08BE73DB" w14:textId="5A9BDBD6"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071" w:type="dxa"/>
            <w:tcBorders>
              <w:top w:val="single" w:sz="8" w:space="0" w:color="auto"/>
              <w:left w:val="nil"/>
              <w:bottom w:val="single" w:sz="8" w:space="0" w:color="auto"/>
              <w:right w:val="single" w:sz="8" w:space="0" w:color="auto"/>
            </w:tcBorders>
            <w:shd w:val="clear" w:color="auto" w:fill="E7E6E6" w:themeFill="background2"/>
            <w:vAlign w:val="center"/>
            <w:hideMark/>
          </w:tcPr>
          <w:p w14:paraId="0D6F43A5"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МП_ИИК9</w:t>
            </w:r>
          </w:p>
        </w:tc>
        <w:tc>
          <w:tcPr>
            <w:tcW w:w="939" w:type="dxa"/>
            <w:tcBorders>
              <w:top w:val="single" w:sz="8" w:space="0" w:color="auto"/>
              <w:left w:val="nil"/>
              <w:bottom w:val="single" w:sz="8" w:space="0" w:color="auto"/>
              <w:right w:val="single" w:sz="8" w:space="0" w:color="auto"/>
            </w:tcBorders>
            <w:shd w:val="clear" w:color="auto" w:fill="244062"/>
            <w:vAlign w:val="center"/>
            <w:hideMark/>
          </w:tcPr>
          <w:p w14:paraId="0082D56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81" w:type="dxa"/>
            <w:tcBorders>
              <w:top w:val="single" w:sz="8" w:space="0" w:color="auto"/>
              <w:left w:val="nil"/>
              <w:bottom w:val="single" w:sz="8" w:space="0" w:color="auto"/>
              <w:right w:val="single" w:sz="8" w:space="0" w:color="auto"/>
            </w:tcBorders>
            <w:shd w:val="clear" w:color="auto" w:fill="E7E6E6" w:themeFill="background2"/>
            <w:vAlign w:val="center"/>
            <w:hideMark/>
          </w:tcPr>
          <w:p w14:paraId="36429130"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Подршка сарадњи између истраживачких института и предузећа у трансферу технологије и коришћењу резултата истраживања</w:t>
            </w:r>
          </w:p>
        </w:tc>
      </w:tr>
      <w:tr w:rsidR="00854ADA" w:rsidRPr="00FF386D" w14:paraId="2526FD19" w14:textId="77777777" w:rsidTr="0057310C">
        <w:trPr>
          <w:trHeight w:val="327"/>
        </w:trPr>
        <w:tc>
          <w:tcPr>
            <w:tcW w:w="3297" w:type="dxa"/>
            <w:tcBorders>
              <w:top w:val="nil"/>
              <w:left w:val="single" w:sz="8" w:space="0" w:color="auto"/>
              <w:bottom w:val="single" w:sz="8" w:space="0" w:color="auto"/>
              <w:right w:val="nil"/>
            </w:tcBorders>
            <w:shd w:val="clear" w:color="000000" w:fill="244062"/>
            <w:vAlign w:val="center"/>
            <w:hideMark/>
          </w:tcPr>
          <w:p w14:paraId="570AD32E" w14:textId="284D994E"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191" w:type="dxa"/>
            <w:gridSpan w:val="3"/>
            <w:tcBorders>
              <w:top w:val="single" w:sz="8" w:space="0" w:color="auto"/>
              <w:left w:val="nil"/>
              <w:bottom w:val="single" w:sz="8" w:space="0" w:color="auto"/>
              <w:right w:val="single" w:sz="8" w:space="0" w:color="000000"/>
            </w:tcBorders>
            <w:vAlign w:val="center"/>
            <w:hideMark/>
          </w:tcPr>
          <w:p w14:paraId="55547C07"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Промоција истраживања и иновација</w:t>
            </w:r>
          </w:p>
        </w:tc>
      </w:tr>
      <w:tr w:rsidR="00854ADA" w:rsidRPr="00FF386D" w14:paraId="33B35483" w14:textId="77777777" w:rsidTr="0057310C">
        <w:trPr>
          <w:trHeight w:val="315"/>
        </w:trPr>
        <w:tc>
          <w:tcPr>
            <w:tcW w:w="3297" w:type="dxa"/>
            <w:tcBorders>
              <w:top w:val="nil"/>
              <w:left w:val="single" w:sz="8" w:space="0" w:color="auto"/>
              <w:bottom w:val="single" w:sz="8" w:space="0" w:color="auto"/>
              <w:right w:val="single" w:sz="8" w:space="0" w:color="auto"/>
            </w:tcBorders>
            <w:shd w:val="clear" w:color="000000" w:fill="244062"/>
            <w:vAlign w:val="center"/>
            <w:hideMark/>
          </w:tcPr>
          <w:p w14:paraId="63C878C7" w14:textId="43FF0E3E"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191" w:type="dxa"/>
            <w:gridSpan w:val="3"/>
            <w:tcBorders>
              <w:top w:val="single" w:sz="8" w:space="0" w:color="auto"/>
              <w:left w:val="nil"/>
              <w:bottom w:val="single" w:sz="8" w:space="0" w:color="auto"/>
              <w:right w:val="single" w:sz="8" w:space="0" w:color="000000"/>
            </w:tcBorders>
            <w:vAlign w:val="center"/>
            <w:hideMark/>
          </w:tcPr>
          <w:p w14:paraId="1CCE5C30" w14:textId="77777777" w:rsidR="00854ADA" w:rsidRPr="00FF386D" w:rsidRDefault="00854ADA" w:rsidP="00854ADA">
            <w:pPr>
              <w:spacing w:after="0" w:line="240" w:lineRule="auto"/>
              <w:jc w:val="both"/>
              <w:rPr>
                <w:rFonts w:asciiTheme="majorHAnsi" w:eastAsia="Times New Roman" w:hAnsiTheme="majorHAnsi" w:cstheme="majorHAnsi"/>
                <w:color w:val="000000"/>
                <w:lang w:eastAsia="en-GB"/>
              </w:rPr>
            </w:pPr>
            <w:r w:rsidRPr="00FF386D">
              <w:rPr>
                <w:rFonts w:asciiTheme="majorHAnsi" w:eastAsia="Times New Roman" w:hAnsiTheme="majorHAnsi" w:cstheme="majorHAnsi"/>
                <w:color w:val="000000"/>
                <w:sz w:val="20"/>
                <w:szCs w:val="20"/>
                <w:lang w:eastAsia="en-GB"/>
              </w:rPr>
              <w:t>Повећање нивоа технолошке спремности у области енергетике (квалитативан циљ)</w:t>
            </w:r>
          </w:p>
        </w:tc>
      </w:tr>
      <w:tr w:rsidR="00854ADA" w:rsidRPr="00FF386D" w14:paraId="3711A9E8" w14:textId="77777777" w:rsidTr="0057310C">
        <w:trPr>
          <w:trHeight w:val="1010"/>
        </w:trPr>
        <w:tc>
          <w:tcPr>
            <w:tcW w:w="3297" w:type="dxa"/>
            <w:tcBorders>
              <w:top w:val="nil"/>
              <w:left w:val="single" w:sz="8" w:space="0" w:color="auto"/>
              <w:bottom w:val="single" w:sz="8" w:space="0" w:color="auto"/>
              <w:right w:val="single" w:sz="8" w:space="0" w:color="auto"/>
            </w:tcBorders>
            <w:shd w:val="clear" w:color="000000" w:fill="244062"/>
            <w:vAlign w:val="center"/>
            <w:hideMark/>
          </w:tcPr>
          <w:p w14:paraId="01BDEC7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Опис:</w:t>
            </w:r>
          </w:p>
        </w:tc>
        <w:tc>
          <w:tcPr>
            <w:tcW w:w="6191" w:type="dxa"/>
            <w:gridSpan w:val="3"/>
            <w:tcBorders>
              <w:top w:val="single" w:sz="8" w:space="0" w:color="auto"/>
              <w:left w:val="nil"/>
              <w:bottom w:val="single" w:sz="8" w:space="0" w:color="auto"/>
              <w:right w:val="single" w:sz="8" w:space="0" w:color="000000"/>
            </w:tcBorders>
            <w:vAlign w:val="center"/>
            <w:hideMark/>
          </w:tcPr>
          <w:p w14:paraId="6E25B15A" w14:textId="1CDA0529"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МП_ИИК9 ће подстаћи сарадњу између истраживачких института и индустрије </w:t>
            </w:r>
            <w:r w:rsidR="00B50EE3" w:rsidRPr="00FF386D">
              <w:rPr>
                <w:rFonts w:ascii="Calibri Light" w:hAnsi="Calibri Light"/>
                <w:sz w:val="20"/>
              </w:rPr>
              <w:t>у циљу оптималног искоришћавања</w:t>
            </w:r>
            <w:r w:rsidRPr="00FF386D">
              <w:rPr>
                <w:rFonts w:ascii="Calibri Light" w:hAnsi="Calibri Light"/>
                <w:sz w:val="20"/>
              </w:rPr>
              <w:t xml:space="preserve"> резултата истраживања. Потребно је да стручно особље идентификује ресурсе знања са пословним потенцијалом и </w:t>
            </w:r>
            <w:r w:rsidR="00B50EE3" w:rsidRPr="00FF386D">
              <w:rPr>
                <w:rFonts w:ascii="Calibri Light" w:hAnsi="Calibri Light"/>
                <w:sz w:val="20"/>
              </w:rPr>
              <w:t xml:space="preserve">да </w:t>
            </w:r>
            <w:r w:rsidRPr="00FF386D">
              <w:rPr>
                <w:rFonts w:ascii="Calibri Light" w:hAnsi="Calibri Light"/>
                <w:sz w:val="20"/>
              </w:rPr>
              <w:t xml:space="preserve">управља њима, односно, </w:t>
            </w:r>
            <w:r w:rsidR="004A0297" w:rsidRPr="00FF386D">
              <w:rPr>
                <w:rFonts w:ascii="Calibri Light" w:hAnsi="Calibri Light"/>
                <w:sz w:val="20"/>
              </w:rPr>
              <w:t>да идентификује најбољи начин да се</w:t>
            </w:r>
            <w:r w:rsidRPr="00FF386D">
              <w:rPr>
                <w:rFonts w:ascii="Calibri Light" w:hAnsi="Calibri Light"/>
                <w:sz w:val="20"/>
              </w:rPr>
              <w:t xml:space="preserve"> нова идеја пласира на тржиште, обезбеде одговарајући ресурси (финансирање, услуге подршке итд.) за њену реализацију и добије адекватна подршка свих заинтересованих страна.</w:t>
            </w:r>
          </w:p>
        </w:tc>
      </w:tr>
      <w:tr w:rsidR="00854ADA" w:rsidRPr="00FF386D" w14:paraId="2C417CD6" w14:textId="77777777" w:rsidTr="0057310C">
        <w:trPr>
          <w:trHeight w:val="315"/>
        </w:trPr>
        <w:tc>
          <w:tcPr>
            <w:tcW w:w="3297" w:type="dxa"/>
            <w:tcBorders>
              <w:top w:val="nil"/>
              <w:left w:val="single" w:sz="8" w:space="0" w:color="auto"/>
              <w:bottom w:val="single" w:sz="8" w:space="0" w:color="auto"/>
              <w:right w:val="single" w:sz="8" w:space="0" w:color="auto"/>
            </w:tcBorders>
            <w:shd w:val="clear" w:color="000000" w:fill="244062"/>
            <w:vAlign w:val="center"/>
            <w:hideMark/>
          </w:tcPr>
          <w:p w14:paraId="3BAFFC8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191" w:type="dxa"/>
            <w:gridSpan w:val="3"/>
            <w:tcBorders>
              <w:top w:val="single" w:sz="8" w:space="0" w:color="auto"/>
              <w:left w:val="nil"/>
              <w:bottom w:val="single" w:sz="8" w:space="0" w:color="auto"/>
              <w:right w:val="single" w:sz="8" w:space="0" w:color="000000"/>
            </w:tcBorders>
            <w:vAlign w:val="center"/>
            <w:hideMark/>
          </w:tcPr>
          <w:p w14:paraId="69779950" w14:textId="355DFF21"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202</w:t>
            </w:r>
            <w:r w:rsidR="007A186C" w:rsidRPr="00FF386D">
              <w:rPr>
                <w:rFonts w:ascii="Calibri Light" w:hAnsi="Calibri Light"/>
                <w:sz w:val="20"/>
              </w:rPr>
              <w:t>3</w:t>
            </w:r>
            <w:r w:rsidRPr="00FF386D">
              <w:rPr>
                <w:rFonts w:ascii="Calibri Light" w:hAnsi="Calibri Light"/>
                <w:sz w:val="20"/>
              </w:rPr>
              <w:t>-2030.</w:t>
            </w:r>
          </w:p>
        </w:tc>
      </w:tr>
      <w:tr w:rsidR="00854ADA" w:rsidRPr="00FF386D" w14:paraId="7C849CEF" w14:textId="77777777" w:rsidTr="0057310C">
        <w:trPr>
          <w:trHeight w:val="315"/>
        </w:trPr>
        <w:tc>
          <w:tcPr>
            <w:tcW w:w="3297" w:type="dxa"/>
            <w:tcBorders>
              <w:top w:val="nil"/>
              <w:left w:val="single" w:sz="8" w:space="0" w:color="auto"/>
              <w:bottom w:val="single" w:sz="8" w:space="0" w:color="auto"/>
              <w:right w:val="single" w:sz="8" w:space="0" w:color="auto"/>
            </w:tcBorders>
            <w:shd w:val="clear" w:color="000000" w:fill="244062"/>
            <w:vAlign w:val="center"/>
            <w:hideMark/>
          </w:tcPr>
          <w:p w14:paraId="675EF15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191" w:type="dxa"/>
            <w:gridSpan w:val="3"/>
            <w:tcBorders>
              <w:top w:val="single" w:sz="8" w:space="0" w:color="auto"/>
              <w:left w:val="nil"/>
              <w:bottom w:val="single" w:sz="8" w:space="0" w:color="auto"/>
              <w:right w:val="single" w:sz="8" w:space="0" w:color="000000"/>
            </w:tcBorders>
            <w:vAlign w:val="center"/>
            <w:hideMark/>
          </w:tcPr>
          <w:p w14:paraId="405E4B89"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Инвестиција</w:t>
            </w:r>
          </w:p>
        </w:tc>
      </w:tr>
      <w:tr w:rsidR="00854ADA" w:rsidRPr="00FF386D" w14:paraId="7139C494" w14:textId="77777777" w:rsidTr="0057310C">
        <w:trPr>
          <w:trHeight w:val="315"/>
        </w:trPr>
        <w:tc>
          <w:tcPr>
            <w:tcW w:w="3297" w:type="dxa"/>
            <w:tcBorders>
              <w:top w:val="nil"/>
              <w:left w:val="single" w:sz="8" w:space="0" w:color="auto"/>
              <w:bottom w:val="single" w:sz="8" w:space="0" w:color="auto"/>
              <w:right w:val="single" w:sz="8" w:space="0" w:color="auto"/>
            </w:tcBorders>
            <w:shd w:val="clear" w:color="000000" w:fill="244062"/>
            <w:vAlign w:val="center"/>
            <w:hideMark/>
          </w:tcPr>
          <w:p w14:paraId="068578A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191" w:type="dxa"/>
            <w:gridSpan w:val="3"/>
            <w:tcBorders>
              <w:top w:val="single" w:sz="8" w:space="0" w:color="auto"/>
              <w:left w:val="nil"/>
              <w:bottom w:val="single" w:sz="8" w:space="0" w:color="auto"/>
              <w:right w:val="single" w:sz="8" w:space="0" w:color="000000"/>
            </w:tcBorders>
            <w:vAlign w:val="center"/>
            <w:hideMark/>
          </w:tcPr>
          <w:p w14:paraId="49738ECA" w14:textId="7304C564"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Све области </w:t>
            </w:r>
            <w:r w:rsidR="00B50EE3" w:rsidRPr="00FF386D">
              <w:rPr>
                <w:rFonts w:ascii="Calibri Light" w:hAnsi="Calibri Light"/>
                <w:sz w:val="20"/>
              </w:rPr>
              <w:t>И</w:t>
            </w:r>
            <w:r w:rsidRPr="00FF386D">
              <w:rPr>
                <w:rFonts w:ascii="Calibri Light" w:hAnsi="Calibri Light"/>
                <w:sz w:val="20"/>
              </w:rPr>
              <w:t>НЕКП-а</w:t>
            </w:r>
          </w:p>
        </w:tc>
      </w:tr>
      <w:tr w:rsidR="00854ADA" w:rsidRPr="00FF386D" w14:paraId="33D23A8A" w14:textId="77777777" w:rsidTr="0057310C">
        <w:trPr>
          <w:trHeight w:val="315"/>
        </w:trPr>
        <w:tc>
          <w:tcPr>
            <w:tcW w:w="3297" w:type="dxa"/>
            <w:tcBorders>
              <w:top w:val="nil"/>
              <w:left w:val="single" w:sz="8" w:space="0" w:color="auto"/>
              <w:bottom w:val="single" w:sz="8" w:space="0" w:color="auto"/>
              <w:right w:val="single" w:sz="8" w:space="0" w:color="auto"/>
            </w:tcBorders>
            <w:shd w:val="clear" w:color="000000" w:fill="244062"/>
            <w:vAlign w:val="center"/>
            <w:hideMark/>
          </w:tcPr>
          <w:p w14:paraId="503762D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191" w:type="dxa"/>
            <w:gridSpan w:val="3"/>
            <w:tcBorders>
              <w:top w:val="single" w:sz="8" w:space="0" w:color="auto"/>
              <w:left w:val="nil"/>
              <w:bottom w:val="single" w:sz="8" w:space="0" w:color="auto"/>
              <w:right w:val="single" w:sz="8" w:space="0" w:color="000000"/>
            </w:tcBorders>
            <w:vAlign w:val="center"/>
            <w:hideMark/>
          </w:tcPr>
          <w:p w14:paraId="77D8B749" w14:textId="77777777" w:rsidR="00854ADA" w:rsidRPr="00FF386D" w:rsidRDefault="00854ADA" w:rsidP="00854ADA">
            <w:pPr>
              <w:numPr>
                <w:ilvl w:val="0"/>
                <w:numId w:val="90"/>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рударства и енергетике</w:t>
            </w:r>
          </w:p>
          <w:p w14:paraId="4FFC6727" w14:textId="77777777" w:rsidR="00854ADA" w:rsidRPr="00FF386D" w:rsidRDefault="00854ADA" w:rsidP="00854ADA">
            <w:pPr>
              <w:numPr>
                <w:ilvl w:val="0"/>
                <w:numId w:val="90"/>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просвете, науке и технолошког развоја</w:t>
            </w:r>
          </w:p>
          <w:p w14:paraId="210E11EB" w14:textId="657681EB" w:rsidR="00854ADA" w:rsidRPr="00FF386D" w:rsidRDefault="004F14D0" w:rsidP="00854ADA">
            <w:pPr>
              <w:numPr>
                <w:ilvl w:val="0"/>
                <w:numId w:val="90"/>
              </w:numPr>
              <w:spacing w:after="0" w:line="240" w:lineRule="auto"/>
              <w:contextualSpacing/>
              <w:jc w:val="both"/>
              <w:rPr>
                <w:rFonts w:asciiTheme="majorHAnsi" w:eastAsia="Times New Roman" w:hAnsiTheme="majorHAnsi" w:cstheme="majorHAnsi"/>
                <w:color w:val="000000"/>
                <w:sz w:val="20"/>
                <w:szCs w:val="20"/>
                <w:lang w:eastAsia="en-GB"/>
              </w:rPr>
            </w:pPr>
            <w:r>
              <w:rPr>
                <w:rFonts w:ascii="Calibri Light" w:hAnsi="Calibri Light"/>
                <w:sz w:val="20"/>
              </w:rPr>
              <w:t>Привредна комора</w:t>
            </w:r>
            <w:r w:rsidR="00854ADA" w:rsidRPr="00FF386D">
              <w:rPr>
                <w:rFonts w:ascii="Calibri Light" w:hAnsi="Calibri Light"/>
                <w:sz w:val="20"/>
              </w:rPr>
              <w:t xml:space="preserve"> Србије</w:t>
            </w:r>
          </w:p>
        </w:tc>
      </w:tr>
      <w:tr w:rsidR="00854ADA" w:rsidRPr="00FF386D" w14:paraId="46C948B8" w14:textId="77777777" w:rsidTr="0057310C">
        <w:trPr>
          <w:trHeight w:val="315"/>
        </w:trPr>
        <w:tc>
          <w:tcPr>
            <w:tcW w:w="3297" w:type="dxa"/>
            <w:tcBorders>
              <w:top w:val="nil"/>
              <w:left w:val="single" w:sz="8" w:space="0" w:color="auto"/>
              <w:bottom w:val="single" w:sz="8" w:space="0" w:color="auto"/>
              <w:right w:val="nil"/>
            </w:tcBorders>
            <w:shd w:val="clear" w:color="000000" w:fill="244062"/>
            <w:vAlign w:val="center"/>
            <w:hideMark/>
          </w:tcPr>
          <w:p w14:paraId="231C95A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191" w:type="dxa"/>
            <w:gridSpan w:val="3"/>
            <w:tcBorders>
              <w:top w:val="single" w:sz="8" w:space="0" w:color="auto"/>
              <w:left w:val="nil"/>
              <w:bottom w:val="single" w:sz="8" w:space="0" w:color="auto"/>
              <w:right w:val="single" w:sz="8" w:space="0" w:color="000000"/>
            </w:tcBorders>
            <w:vAlign w:val="center"/>
            <w:hideMark/>
          </w:tcPr>
          <w:p w14:paraId="1AA4FEA2" w14:textId="77777777" w:rsidR="00854ADA" w:rsidRPr="00FF386D" w:rsidRDefault="00854ADA" w:rsidP="00854ADA">
            <w:pPr>
              <w:numPr>
                <w:ilvl w:val="0"/>
                <w:numId w:val="90"/>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просвете, науке и технолошког развоја</w:t>
            </w:r>
          </w:p>
        </w:tc>
      </w:tr>
      <w:tr w:rsidR="00854ADA" w:rsidRPr="00FF386D" w14:paraId="58FC33F3" w14:textId="77777777" w:rsidTr="0057310C">
        <w:trPr>
          <w:trHeight w:val="315"/>
        </w:trPr>
        <w:tc>
          <w:tcPr>
            <w:tcW w:w="3297" w:type="dxa"/>
            <w:tcBorders>
              <w:top w:val="nil"/>
              <w:left w:val="single" w:sz="8" w:space="0" w:color="auto"/>
              <w:bottom w:val="single" w:sz="8" w:space="0" w:color="auto"/>
              <w:right w:val="nil"/>
            </w:tcBorders>
            <w:shd w:val="clear" w:color="000000" w:fill="244062"/>
            <w:vAlign w:val="center"/>
            <w:hideMark/>
          </w:tcPr>
          <w:p w14:paraId="32F799B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191" w:type="dxa"/>
            <w:gridSpan w:val="3"/>
            <w:tcBorders>
              <w:top w:val="single" w:sz="8" w:space="0" w:color="auto"/>
              <w:left w:val="nil"/>
              <w:bottom w:val="single" w:sz="8" w:space="0" w:color="auto"/>
              <w:right w:val="single" w:sz="8" w:space="0" w:color="000000"/>
            </w:tcBorders>
            <w:vAlign w:val="center"/>
            <w:hideMark/>
          </w:tcPr>
          <w:p w14:paraId="5FD06694"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Повећање годишњих прихода постигнуто путем: лиценцирања патената, преноса технологије, споразума о коришћењу или развоју технологије, саветодавних услуга, итд.</w:t>
            </w:r>
          </w:p>
        </w:tc>
      </w:tr>
      <w:tr w:rsidR="00854ADA" w:rsidRPr="00FF386D" w14:paraId="4E76A1BF" w14:textId="77777777" w:rsidTr="0057310C">
        <w:trPr>
          <w:trHeight w:val="479"/>
        </w:trPr>
        <w:tc>
          <w:tcPr>
            <w:tcW w:w="3297" w:type="dxa"/>
            <w:tcBorders>
              <w:top w:val="nil"/>
              <w:left w:val="single" w:sz="8" w:space="0" w:color="auto"/>
              <w:bottom w:val="single" w:sz="8" w:space="0" w:color="auto"/>
              <w:right w:val="single" w:sz="8" w:space="0" w:color="auto"/>
            </w:tcBorders>
            <w:shd w:val="clear" w:color="000000" w:fill="244062"/>
            <w:vAlign w:val="center"/>
            <w:hideMark/>
          </w:tcPr>
          <w:p w14:paraId="5E61D89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191" w:type="dxa"/>
            <w:gridSpan w:val="3"/>
            <w:tcBorders>
              <w:top w:val="single" w:sz="8" w:space="0" w:color="auto"/>
              <w:left w:val="nil"/>
              <w:bottom w:val="single" w:sz="8" w:space="0" w:color="auto"/>
              <w:right w:val="single" w:sz="8" w:space="0" w:color="000000"/>
            </w:tcBorders>
            <w:vAlign w:val="center"/>
          </w:tcPr>
          <w:p w14:paraId="6ABF784A" w14:textId="191582D2" w:rsidR="00F526CF" w:rsidRPr="00FF386D" w:rsidRDefault="00854ADA" w:rsidP="00B50EE3">
            <w:pPr>
              <w:numPr>
                <w:ilvl w:val="0"/>
                <w:numId w:val="90"/>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Унутрашње </w:t>
            </w:r>
            <w:r w:rsidR="00F526CF" w:rsidRPr="00FF386D">
              <w:rPr>
                <w:rFonts w:asciiTheme="majorHAnsi" w:eastAsia="Times New Roman" w:hAnsiTheme="majorHAnsi" w:cstheme="majorHAnsi"/>
                <w:color w:val="000000"/>
                <w:sz w:val="20"/>
                <w:szCs w:val="20"/>
                <w:lang w:eastAsia="en-GB"/>
              </w:rPr>
              <w:t xml:space="preserve">енергетско </w:t>
            </w:r>
            <w:r w:rsidRPr="00FF386D">
              <w:rPr>
                <w:rFonts w:asciiTheme="majorHAnsi" w:eastAsia="Times New Roman" w:hAnsiTheme="majorHAnsi" w:cstheme="majorHAnsi"/>
                <w:color w:val="000000"/>
                <w:sz w:val="20"/>
                <w:szCs w:val="20"/>
                <w:lang w:eastAsia="en-GB"/>
              </w:rPr>
              <w:t>тржиште</w:t>
            </w:r>
          </w:p>
        </w:tc>
      </w:tr>
      <w:tr w:rsidR="00854ADA" w:rsidRPr="00FF386D" w14:paraId="235A12F1" w14:textId="77777777" w:rsidTr="0057310C">
        <w:trPr>
          <w:trHeight w:val="450"/>
        </w:trPr>
        <w:tc>
          <w:tcPr>
            <w:tcW w:w="3297"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382807AF" w14:textId="6155CF5F"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191" w:type="dxa"/>
            <w:gridSpan w:val="3"/>
            <w:vMerge w:val="restart"/>
            <w:tcBorders>
              <w:top w:val="single" w:sz="8" w:space="0" w:color="auto"/>
              <w:left w:val="single" w:sz="8" w:space="0" w:color="auto"/>
              <w:bottom w:val="single" w:sz="8" w:space="0" w:color="000000"/>
              <w:right w:val="single" w:sz="8" w:space="0" w:color="000000"/>
            </w:tcBorders>
            <w:vAlign w:val="center"/>
          </w:tcPr>
          <w:p w14:paraId="72BBA29B" w14:textId="77777777" w:rsidR="00854ADA" w:rsidRPr="00FF386D" w:rsidRDefault="00854ADA" w:rsidP="00854ADA">
            <w:pPr>
              <w:numPr>
                <w:ilvl w:val="0"/>
                <w:numId w:val="90"/>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Европски стратешки план зе енергетске технологије (план СЕТ)</w:t>
            </w:r>
          </w:p>
        </w:tc>
      </w:tr>
      <w:tr w:rsidR="00854ADA" w:rsidRPr="00FF386D" w14:paraId="0A3939B0"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51955A20"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191" w:type="dxa"/>
            <w:gridSpan w:val="3"/>
            <w:vMerge/>
            <w:tcBorders>
              <w:top w:val="single" w:sz="8" w:space="0" w:color="auto"/>
              <w:left w:val="single" w:sz="8" w:space="0" w:color="auto"/>
              <w:bottom w:val="single" w:sz="8" w:space="0" w:color="000000"/>
              <w:right w:val="single" w:sz="8" w:space="0" w:color="000000"/>
            </w:tcBorders>
            <w:vAlign w:val="center"/>
          </w:tcPr>
          <w:p w14:paraId="69AF6EC4" w14:textId="77777777" w:rsidR="00854ADA" w:rsidRPr="00FF386D" w:rsidRDefault="00854ADA" w:rsidP="00854ADA">
            <w:pPr>
              <w:numPr>
                <w:ilvl w:val="0"/>
                <w:numId w:val="90"/>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54713B9B"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5066B84E"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191" w:type="dxa"/>
            <w:gridSpan w:val="3"/>
            <w:vMerge/>
            <w:tcBorders>
              <w:top w:val="single" w:sz="8" w:space="0" w:color="auto"/>
              <w:left w:val="single" w:sz="8" w:space="0" w:color="auto"/>
              <w:bottom w:val="single" w:sz="8" w:space="0" w:color="000000"/>
              <w:right w:val="single" w:sz="8" w:space="0" w:color="000000"/>
            </w:tcBorders>
            <w:vAlign w:val="center"/>
          </w:tcPr>
          <w:p w14:paraId="0FB957FD" w14:textId="77777777" w:rsidR="00854ADA" w:rsidRPr="00FF386D" w:rsidRDefault="00854ADA" w:rsidP="00854ADA">
            <w:pPr>
              <w:numPr>
                <w:ilvl w:val="0"/>
                <w:numId w:val="90"/>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1BDB2641" w14:textId="77777777" w:rsidTr="0057310C">
        <w:trPr>
          <w:trHeight w:val="371"/>
        </w:trPr>
        <w:tc>
          <w:tcPr>
            <w:tcW w:w="3297" w:type="dxa"/>
            <w:tcBorders>
              <w:top w:val="nil"/>
              <w:left w:val="single" w:sz="8" w:space="0" w:color="auto"/>
              <w:bottom w:val="single" w:sz="8" w:space="0" w:color="auto"/>
              <w:right w:val="single" w:sz="8" w:space="0" w:color="auto"/>
            </w:tcBorders>
            <w:shd w:val="clear" w:color="000000" w:fill="244062"/>
            <w:vAlign w:val="center"/>
            <w:hideMark/>
          </w:tcPr>
          <w:p w14:paraId="17089A1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191" w:type="dxa"/>
            <w:gridSpan w:val="3"/>
            <w:tcBorders>
              <w:top w:val="single" w:sz="8" w:space="0" w:color="auto"/>
              <w:left w:val="nil"/>
              <w:bottom w:val="single" w:sz="8" w:space="0" w:color="auto"/>
              <w:right w:val="single" w:sz="8" w:space="0" w:color="000000"/>
            </w:tcBorders>
            <w:vAlign w:val="center"/>
          </w:tcPr>
          <w:p w14:paraId="400BB2E7" w14:textId="77777777" w:rsidR="00854ADA" w:rsidRPr="00FF386D" w:rsidRDefault="00854ADA" w:rsidP="00854ADA">
            <w:pPr>
              <w:numPr>
                <w:ilvl w:val="0"/>
                <w:numId w:val="90"/>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Закон о науци и истраживању</w:t>
            </w:r>
          </w:p>
        </w:tc>
      </w:tr>
      <w:tr w:rsidR="00854ADA" w:rsidRPr="00FF386D" w14:paraId="449D408E" w14:textId="77777777" w:rsidTr="0057310C">
        <w:trPr>
          <w:trHeight w:val="315"/>
        </w:trPr>
        <w:tc>
          <w:tcPr>
            <w:tcW w:w="3297" w:type="dxa"/>
            <w:tcBorders>
              <w:top w:val="nil"/>
              <w:left w:val="single" w:sz="8" w:space="0" w:color="auto"/>
              <w:bottom w:val="single" w:sz="8" w:space="0" w:color="auto"/>
              <w:right w:val="single" w:sz="8" w:space="0" w:color="auto"/>
            </w:tcBorders>
            <w:shd w:val="clear" w:color="000000" w:fill="244062"/>
            <w:vAlign w:val="center"/>
            <w:hideMark/>
          </w:tcPr>
          <w:p w14:paraId="4157596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191" w:type="dxa"/>
            <w:gridSpan w:val="3"/>
            <w:tcBorders>
              <w:top w:val="single" w:sz="8" w:space="0" w:color="auto"/>
              <w:left w:val="nil"/>
              <w:bottom w:val="single" w:sz="8" w:space="0" w:color="auto"/>
              <w:right w:val="single" w:sz="8" w:space="0" w:color="000000"/>
            </w:tcBorders>
            <w:vAlign w:val="center"/>
          </w:tcPr>
          <w:p w14:paraId="4F0D19A2" w14:textId="77777777" w:rsidR="00854ADA" w:rsidRPr="00FF386D" w:rsidRDefault="00854ADA" w:rsidP="00854ADA">
            <w:pPr>
              <w:spacing w:after="0" w:line="240" w:lineRule="auto"/>
              <w:rPr>
                <w:rFonts w:asciiTheme="majorHAnsi" w:eastAsia="Times New Roman" w:hAnsiTheme="majorHAnsi" w:cstheme="majorHAnsi"/>
                <w:color w:val="000000"/>
                <w:lang w:eastAsia="en-GB"/>
              </w:rPr>
            </w:pPr>
            <w:r w:rsidRPr="00FF386D">
              <w:rPr>
                <w:rFonts w:asciiTheme="majorHAnsi" w:eastAsia="Times New Roman" w:hAnsiTheme="majorHAnsi" w:cstheme="majorHAnsi"/>
                <w:color w:val="000000"/>
                <w:sz w:val="20"/>
                <w:szCs w:val="20"/>
                <w:lang w:eastAsia="en-GB"/>
              </w:rPr>
              <w:t>3,2 милиона евра</w:t>
            </w:r>
          </w:p>
        </w:tc>
      </w:tr>
      <w:tr w:rsidR="00854ADA" w:rsidRPr="00FF386D" w14:paraId="6A4DFD75" w14:textId="77777777" w:rsidTr="0057310C">
        <w:trPr>
          <w:trHeight w:val="315"/>
        </w:trPr>
        <w:tc>
          <w:tcPr>
            <w:tcW w:w="3297" w:type="dxa"/>
            <w:tcBorders>
              <w:top w:val="nil"/>
              <w:left w:val="single" w:sz="8" w:space="0" w:color="auto"/>
              <w:bottom w:val="single" w:sz="8" w:space="0" w:color="auto"/>
              <w:right w:val="single" w:sz="8" w:space="0" w:color="auto"/>
            </w:tcBorders>
            <w:shd w:val="clear" w:color="000000" w:fill="244062"/>
            <w:vAlign w:val="center"/>
            <w:hideMark/>
          </w:tcPr>
          <w:p w14:paraId="5FC2663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191" w:type="dxa"/>
            <w:gridSpan w:val="3"/>
            <w:tcBorders>
              <w:top w:val="single" w:sz="8" w:space="0" w:color="auto"/>
              <w:left w:val="nil"/>
              <w:bottom w:val="single" w:sz="8" w:space="0" w:color="auto"/>
              <w:right w:val="single" w:sz="8" w:space="0" w:color="000000"/>
            </w:tcBorders>
            <w:shd w:val="clear" w:color="auto" w:fill="auto"/>
            <w:vAlign w:val="center"/>
            <w:hideMark/>
          </w:tcPr>
          <w:p w14:paraId="3FD85BFE" w14:textId="0E630C56" w:rsidR="00854ADA" w:rsidRPr="00FF386D" w:rsidRDefault="00854ADA" w:rsidP="00854ADA">
            <w:pPr>
              <w:spacing w:after="0" w:line="240" w:lineRule="auto"/>
              <w:rPr>
                <w:rFonts w:asciiTheme="majorHAnsi" w:eastAsia="Times New Roman" w:hAnsiTheme="majorHAnsi" w:cstheme="majorHAnsi"/>
                <w:color w:val="000000"/>
                <w:lang w:eastAsia="en-GB"/>
              </w:rPr>
            </w:pPr>
            <w:r w:rsidRPr="00FF386D">
              <w:rPr>
                <w:rFonts w:asciiTheme="majorHAnsi" w:eastAsia="Times New Roman" w:hAnsiTheme="majorHAnsi" w:cstheme="majorHAnsi"/>
                <w:color w:val="000000"/>
                <w:sz w:val="20"/>
                <w:szCs w:val="20"/>
                <w:lang w:eastAsia="en-GB"/>
              </w:rPr>
              <w:t>Фондови ЕУ</w:t>
            </w:r>
            <w:r w:rsidR="00CE229F">
              <w:rPr>
                <w:rFonts w:asciiTheme="majorHAnsi" w:eastAsia="Times New Roman" w:hAnsiTheme="majorHAnsi" w:cstheme="majorHAnsi"/>
                <w:color w:val="000000"/>
                <w:sz w:val="20"/>
                <w:szCs w:val="20"/>
                <w:lang w:eastAsia="en-GB"/>
              </w:rPr>
              <w:t>, сопствена и</w:t>
            </w:r>
            <w:r w:rsidRPr="00FF386D">
              <w:rPr>
                <w:rFonts w:asciiTheme="majorHAnsi" w:eastAsia="Times New Roman" w:hAnsiTheme="majorHAnsi" w:cstheme="majorHAnsi"/>
                <w:color w:val="000000"/>
                <w:sz w:val="20"/>
                <w:szCs w:val="20"/>
                <w:lang w:eastAsia="en-GB"/>
              </w:rPr>
              <w:t xml:space="preserve"> буџет</w:t>
            </w:r>
            <w:r w:rsidR="007A186C" w:rsidRPr="00FF386D">
              <w:rPr>
                <w:rFonts w:asciiTheme="majorHAnsi" w:eastAsia="Times New Roman" w:hAnsiTheme="majorHAnsi" w:cstheme="majorHAnsi"/>
                <w:color w:val="000000"/>
                <w:sz w:val="20"/>
                <w:szCs w:val="20"/>
                <w:lang w:eastAsia="en-GB"/>
              </w:rPr>
              <w:t>ска средства</w:t>
            </w:r>
            <w:r w:rsidR="00CE229F">
              <w:rPr>
                <w:rFonts w:asciiTheme="majorHAnsi" w:eastAsia="Times New Roman" w:hAnsiTheme="majorHAnsi" w:cstheme="majorHAnsi"/>
                <w:color w:val="000000"/>
                <w:sz w:val="20"/>
                <w:szCs w:val="20"/>
                <w:lang w:eastAsia="en-GB"/>
              </w:rPr>
              <w:t xml:space="preserve">, </w:t>
            </w:r>
            <w:r w:rsidR="00CE229F" w:rsidRPr="00CE229F">
              <w:rPr>
                <w:rFonts w:asciiTheme="majorHAnsi" w:eastAsia="Times New Roman" w:hAnsiTheme="majorHAnsi" w:cstheme="majorHAnsi"/>
                <w:color w:val="000000"/>
                <w:sz w:val="20"/>
                <w:szCs w:val="20"/>
                <w:lang w:eastAsia="en-GB"/>
              </w:rPr>
              <w:t>програми за истраживање и развој</w:t>
            </w:r>
          </w:p>
        </w:tc>
      </w:tr>
    </w:tbl>
    <w:p w14:paraId="4D0157B5" w14:textId="77777777" w:rsidR="00854ADA" w:rsidRPr="00FF386D" w:rsidRDefault="00854ADA" w:rsidP="00854ADA">
      <w:pPr>
        <w:spacing w:before="120" w:after="120" w:line="240" w:lineRule="auto"/>
        <w:rPr>
          <w:rFonts w:ascii="Calibri" w:eastAsia="Times New Roman" w:hAnsi="Calibri" w:cs="Arial"/>
          <w:highlight w:val="green"/>
          <w:lang w:eastAsia="el-GR"/>
        </w:rPr>
      </w:pPr>
    </w:p>
    <w:tbl>
      <w:tblPr>
        <w:tblW w:w="9488" w:type="dxa"/>
        <w:tblLook w:val="04A0" w:firstRow="1" w:lastRow="0" w:firstColumn="1" w:lastColumn="0" w:noHBand="0" w:noVBand="1"/>
      </w:tblPr>
      <w:tblGrid>
        <w:gridCol w:w="3268"/>
        <w:gridCol w:w="1173"/>
        <w:gridCol w:w="934"/>
        <w:gridCol w:w="4113"/>
      </w:tblGrid>
      <w:tr w:rsidR="00854ADA" w:rsidRPr="00FF386D" w14:paraId="529C7509" w14:textId="77777777" w:rsidTr="0057310C">
        <w:trPr>
          <w:trHeight w:val="780"/>
        </w:trPr>
        <w:tc>
          <w:tcPr>
            <w:tcW w:w="3268"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478E8B4D" w14:textId="2AD23040"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173" w:type="dxa"/>
            <w:tcBorders>
              <w:top w:val="single" w:sz="8" w:space="0" w:color="auto"/>
              <w:left w:val="nil"/>
              <w:bottom w:val="single" w:sz="8" w:space="0" w:color="auto"/>
              <w:right w:val="single" w:sz="8" w:space="0" w:color="auto"/>
            </w:tcBorders>
            <w:shd w:val="clear" w:color="auto" w:fill="E7E6E6" w:themeFill="background2"/>
            <w:vAlign w:val="center"/>
            <w:hideMark/>
          </w:tcPr>
          <w:p w14:paraId="4282ECED"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МП_ИИК10</w:t>
            </w:r>
          </w:p>
        </w:tc>
        <w:tc>
          <w:tcPr>
            <w:tcW w:w="934" w:type="dxa"/>
            <w:tcBorders>
              <w:top w:val="single" w:sz="8" w:space="0" w:color="auto"/>
              <w:left w:val="nil"/>
              <w:bottom w:val="single" w:sz="8" w:space="0" w:color="auto"/>
              <w:right w:val="single" w:sz="8" w:space="0" w:color="auto"/>
            </w:tcBorders>
            <w:shd w:val="clear" w:color="auto" w:fill="244062"/>
            <w:vAlign w:val="center"/>
            <w:hideMark/>
          </w:tcPr>
          <w:p w14:paraId="33C825C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13" w:type="dxa"/>
            <w:tcBorders>
              <w:top w:val="single" w:sz="8" w:space="0" w:color="auto"/>
              <w:left w:val="nil"/>
              <w:bottom w:val="single" w:sz="8" w:space="0" w:color="auto"/>
              <w:right w:val="single" w:sz="8" w:space="0" w:color="auto"/>
            </w:tcBorders>
            <w:shd w:val="clear" w:color="auto" w:fill="E7E6E6" w:themeFill="background2"/>
            <w:vAlign w:val="center"/>
            <w:hideMark/>
          </w:tcPr>
          <w:p w14:paraId="205E096E"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eastAsia="Times New Roman" w:hAnsi="Calibri Light" w:cs="Calibri Light"/>
                <w:b/>
                <w:bCs/>
                <w:color w:val="000000"/>
                <w:sz w:val="20"/>
                <w:szCs w:val="20"/>
                <w:lang w:eastAsia="en-GB"/>
              </w:rPr>
              <w:t>Развој иновативних технологија за уштеду енергије</w:t>
            </w:r>
          </w:p>
        </w:tc>
      </w:tr>
      <w:tr w:rsidR="00854ADA" w:rsidRPr="00FF386D" w14:paraId="00E5836A" w14:textId="77777777" w:rsidTr="0057310C">
        <w:trPr>
          <w:trHeight w:val="325"/>
        </w:trPr>
        <w:tc>
          <w:tcPr>
            <w:tcW w:w="3268" w:type="dxa"/>
            <w:tcBorders>
              <w:top w:val="nil"/>
              <w:left w:val="single" w:sz="8" w:space="0" w:color="auto"/>
              <w:bottom w:val="single" w:sz="8" w:space="0" w:color="auto"/>
              <w:right w:val="nil"/>
            </w:tcBorders>
            <w:shd w:val="clear" w:color="000000" w:fill="244062"/>
            <w:vAlign w:val="center"/>
            <w:hideMark/>
          </w:tcPr>
          <w:p w14:paraId="5742BD53" w14:textId="5C91C4EA"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20" w:type="dxa"/>
            <w:gridSpan w:val="3"/>
            <w:tcBorders>
              <w:top w:val="single" w:sz="8" w:space="0" w:color="auto"/>
              <w:left w:val="nil"/>
              <w:bottom w:val="single" w:sz="8" w:space="0" w:color="auto"/>
              <w:right w:val="single" w:sz="8" w:space="0" w:color="000000"/>
            </w:tcBorders>
            <w:vAlign w:val="center"/>
            <w:hideMark/>
          </w:tcPr>
          <w:p w14:paraId="3665F7F0"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Промоција истраживања и иновација</w:t>
            </w:r>
          </w:p>
        </w:tc>
      </w:tr>
      <w:tr w:rsidR="00854ADA" w:rsidRPr="00FF386D" w14:paraId="728B73F4" w14:textId="77777777" w:rsidTr="0057310C">
        <w:trPr>
          <w:trHeight w:val="315"/>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7FEF2915" w14:textId="5F3C31A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20" w:type="dxa"/>
            <w:gridSpan w:val="3"/>
            <w:tcBorders>
              <w:top w:val="single" w:sz="8" w:space="0" w:color="auto"/>
              <w:left w:val="nil"/>
              <w:bottom w:val="single" w:sz="8" w:space="0" w:color="auto"/>
              <w:right w:val="single" w:sz="8" w:space="0" w:color="000000"/>
            </w:tcBorders>
            <w:vAlign w:val="center"/>
          </w:tcPr>
          <w:p w14:paraId="150817F3" w14:textId="1E3BBB52"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 xml:space="preserve">Повећање нивоа технолошке спремности </w:t>
            </w:r>
            <w:r w:rsidR="00F9422C" w:rsidRPr="00F9422C">
              <w:rPr>
                <w:rFonts w:asciiTheme="majorHAnsi" w:eastAsia="Times New Roman" w:hAnsiTheme="majorHAnsi" w:cstheme="majorHAnsi"/>
                <w:color w:val="000000"/>
                <w:sz w:val="20"/>
                <w:szCs w:val="20"/>
                <w:lang w:eastAsia="en-GB"/>
              </w:rPr>
              <w:t>по типу технолошке области</w:t>
            </w:r>
            <w:r w:rsidR="00F9422C" w:rsidRPr="00F9422C" w:rsidDel="00F9422C">
              <w:rPr>
                <w:rFonts w:asciiTheme="majorHAnsi" w:eastAsia="Times New Roman" w:hAnsiTheme="majorHAnsi" w:cstheme="majorHAnsi"/>
                <w:color w:val="000000"/>
                <w:sz w:val="20"/>
                <w:szCs w:val="20"/>
                <w:lang w:eastAsia="en-GB"/>
              </w:rPr>
              <w:t xml:space="preserve"> </w:t>
            </w:r>
            <w:r w:rsidRPr="00FF386D">
              <w:rPr>
                <w:rFonts w:asciiTheme="majorHAnsi" w:eastAsia="Times New Roman" w:hAnsiTheme="majorHAnsi" w:cstheme="majorHAnsi"/>
                <w:color w:val="000000"/>
                <w:sz w:val="20"/>
                <w:szCs w:val="20"/>
                <w:lang w:eastAsia="en-GB"/>
              </w:rPr>
              <w:t>(квалитативан циљ)</w:t>
            </w:r>
          </w:p>
        </w:tc>
      </w:tr>
      <w:tr w:rsidR="00854ADA" w:rsidRPr="00FF386D" w14:paraId="49421235" w14:textId="77777777" w:rsidTr="0057310C">
        <w:trPr>
          <w:trHeight w:val="1185"/>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6AEC5E0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20" w:type="dxa"/>
            <w:gridSpan w:val="3"/>
            <w:tcBorders>
              <w:top w:val="single" w:sz="8" w:space="0" w:color="auto"/>
              <w:left w:val="nil"/>
              <w:bottom w:val="single" w:sz="8" w:space="0" w:color="auto"/>
              <w:right w:val="single" w:sz="8" w:space="0" w:color="000000"/>
            </w:tcBorders>
            <w:vAlign w:val="center"/>
            <w:hideMark/>
          </w:tcPr>
          <w:p w14:paraId="08E1608F" w14:textId="4923BCBD"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МП_ИИК10 ће </w:t>
            </w:r>
            <w:r w:rsidR="00A54BFF" w:rsidRPr="00FF386D">
              <w:rPr>
                <w:rFonts w:ascii="Calibri Light" w:hAnsi="Calibri Light"/>
                <w:sz w:val="20"/>
              </w:rPr>
              <w:t>унапредити</w:t>
            </w:r>
            <w:r w:rsidRPr="00FF386D">
              <w:rPr>
                <w:rFonts w:ascii="Calibri Light" w:hAnsi="Calibri Light"/>
                <w:sz w:val="20"/>
              </w:rPr>
              <w:t xml:space="preserve"> истраживачко-развојне активности у области зграда које се односе на нове материјале, монтажне активне елементе за фасаде и кровове, исплативе, интелигентне, флексибилне топлотне пумпе и топлотне пумпе за високе температуре и дигитално програмирање и оптимизацију зграда. У индустријском сектору ће бити подржане енергетски ефикасне технологије грејања и хлађења, повраћај грејања и хлађења и интеграција система.</w:t>
            </w:r>
          </w:p>
        </w:tc>
      </w:tr>
      <w:tr w:rsidR="00854ADA" w:rsidRPr="00FF386D" w14:paraId="01319827" w14:textId="77777777" w:rsidTr="0057310C">
        <w:trPr>
          <w:trHeight w:val="315"/>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06C1674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20" w:type="dxa"/>
            <w:gridSpan w:val="3"/>
            <w:tcBorders>
              <w:top w:val="single" w:sz="8" w:space="0" w:color="auto"/>
              <w:left w:val="nil"/>
              <w:bottom w:val="single" w:sz="8" w:space="0" w:color="auto"/>
              <w:right w:val="single" w:sz="8" w:space="0" w:color="000000"/>
            </w:tcBorders>
            <w:vAlign w:val="center"/>
            <w:hideMark/>
          </w:tcPr>
          <w:p w14:paraId="44A4CBF7" w14:textId="056B02D9"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202</w:t>
            </w:r>
            <w:r w:rsidR="007A186C" w:rsidRPr="00FF386D">
              <w:rPr>
                <w:rFonts w:ascii="Calibri Light" w:hAnsi="Calibri Light"/>
                <w:sz w:val="20"/>
              </w:rPr>
              <w:t>3</w:t>
            </w:r>
            <w:r w:rsidRPr="00FF386D">
              <w:rPr>
                <w:rFonts w:ascii="Calibri Light" w:hAnsi="Calibri Light"/>
                <w:sz w:val="20"/>
              </w:rPr>
              <w:t>-2030.</w:t>
            </w:r>
          </w:p>
        </w:tc>
      </w:tr>
      <w:tr w:rsidR="00854ADA" w:rsidRPr="00FF386D" w14:paraId="4036E9F4" w14:textId="77777777" w:rsidTr="0057310C">
        <w:trPr>
          <w:trHeight w:val="315"/>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66A6C65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20" w:type="dxa"/>
            <w:gridSpan w:val="3"/>
            <w:tcBorders>
              <w:top w:val="single" w:sz="8" w:space="0" w:color="auto"/>
              <w:left w:val="nil"/>
              <w:bottom w:val="single" w:sz="8" w:space="0" w:color="auto"/>
              <w:right w:val="single" w:sz="8" w:space="0" w:color="000000"/>
            </w:tcBorders>
            <w:vAlign w:val="center"/>
            <w:hideMark/>
          </w:tcPr>
          <w:p w14:paraId="2713DDF6"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Инвестиција</w:t>
            </w:r>
          </w:p>
        </w:tc>
      </w:tr>
      <w:tr w:rsidR="00854ADA" w:rsidRPr="00FF386D" w14:paraId="638F9869" w14:textId="77777777" w:rsidTr="0057310C">
        <w:trPr>
          <w:trHeight w:val="315"/>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15BA095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20" w:type="dxa"/>
            <w:gridSpan w:val="3"/>
            <w:tcBorders>
              <w:top w:val="single" w:sz="8" w:space="0" w:color="auto"/>
              <w:left w:val="nil"/>
              <w:bottom w:val="single" w:sz="8" w:space="0" w:color="auto"/>
              <w:right w:val="single" w:sz="8" w:space="0" w:color="000000"/>
            </w:tcBorders>
            <w:vAlign w:val="center"/>
            <w:hideMark/>
          </w:tcPr>
          <w:p w14:paraId="1D04FDF6"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Енергетска ефикасност, зграде, индустрија</w:t>
            </w:r>
          </w:p>
        </w:tc>
      </w:tr>
      <w:tr w:rsidR="00854ADA" w:rsidRPr="00FF386D" w14:paraId="0E1FAD5C" w14:textId="77777777" w:rsidTr="0057310C">
        <w:trPr>
          <w:trHeight w:val="315"/>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16D6F06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20" w:type="dxa"/>
            <w:gridSpan w:val="3"/>
            <w:tcBorders>
              <w:top w:val="single" w:sz="8" w:space="0" w:color="auto"/>
              <w:left w:val="nil"/>
              <w:bottom w:val="single" w:sz="8" w:space="0" w:color="auto"/>
              <w:right w:val="single" w:sz="8" w:space="0" w:color="000000"/>
            </w:tcBorders>
            <w:vAlign w:val="center"/>
            <w:hideMark/>
          </w:tcPr>
          <w:p w14:paraId="4ED072DC" w14:textId="77777777" w:rsidR="00854ADA" w:rsidRPr="00FF386D" w:rsidRDefault="00854ADA" w:rsidP="00854ADA">
            <w:pPr>
              <w:numPr>
                <w:ilvl w:val="0"/>
                <w:numId w:val="90"/>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енергетике и рударства</w:t>
            </w:r>
          </w:p>
          <w:p w14:paraId="2DD32F8D" w14:textId="77777777" w:rsidR="00854ADA" w:rsidRPr="00FF386D" w:rsidRDefault="00854ADA" w:rsidP="00854ADA">
            <w:pPr>
              <w:numPr>
                <w:ilvl w:val="0"/>
                <w:numId w:val="90"/>
              </w:numPr>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образовања, науке и технолошког развоја</w:t>
            </w:r>
          </w:p>
          <w:p w14:paraId="727503CC" w14:textId="11D7A98D" w:rsidR="00854ADA" w:rsidRPr="00FF386D" w:rsidRDefault="00854ADA" w:rsidP="007A186C">
            <w:pPr>
              <w:numPr>
                <w:ilvl w:val="0"/>
                <w:numId w:val="90"/>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финансија</w:t>
            </w:r>
          </w:p>
        </w:tc>
      </w:tr>
      <w:tr w:rsidR="00854ADA" w:rsidRPr="00FF386D" w14:paraId="20867737" w14:textId="77777777" w:rsidTr="0057310C">
        <w:trPr>
          <w:trHeight w:val="315"/>
        </w:trPr>
        <w:tc>
          <w:tcPr>
            <w:tcW w:w="3268" w:type="dxa"/>
            <w:tcBorders>
              <w:top w:val="nil"/>
              <w:left w:val="single" w:sz="8" w:space="0" w:color="auto"/>
              <w:bottom w:val="single" w:sz="8" w:space="0" w:color="auto"/>
              <w:right w:val="nil"/>
            </w:tcBorders>
            <w:shd w:val="clear" w:color="000000" w:fill="244062"/>
            <w:vAlign w:val="center"/>
            <w:hideMark/>
          </w:tcPr>
          <w:p w14:paraId="704A6CD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20" w:type="dxa"/>
            <w:gridSpan w:val="3"/>
            <w:tcBorders>
              <w:top w:val="single" w:sz="8" w:space="0" w:color="auto"/>
              <w:left w:val="nil"/>
              <w:bottom w:val="single" w:sz="8" w:space="0" w:color="auto"/>
              <w:right w:val="single" w:sz="8" w:space="0" w:color="000000"/>
            </w:tcBorders>
            <w:vAlign w:val="center"/>
            <w:hideMark/>
          </w:tcPr>
          <w:p w14:paraId="723DC2A6" w14:textId="77777777" w:rsidR="00854ADA" w:rsidRPr="00FF386D" w:rsidRDefault="00854ADA" w:rsidP="00854ADA">
            <w:pPr>
              <w:numPr>
                <w:ilvl w:val="0"/>
                <w:numId w:val="197"/>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просвете, науке и технолошког развоја</w:t>
            </w:r>
          </w:p>
          <w:p w14:paraId="46615F01" w14:textId="77777777" w:rsidR="00854ADA" w:rsidRPr="00FF386D" w:rsidRDefault="00854ADA" w:rsidP="00854ADA">
            <w:pPr>
              <w:numPr>
                <w:ilvl w:val="0"/>
                <w:numId w:val="197"/>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lastRenderedPageBreak/>
              <w:t>Министарство енергетике и рударства</w:t>
            </w:r>
          </w:p>
        </w:tc>
      </w:tr>
      <w:tr w:rsidR="00854ADA" w:rsidRPr="00FF386D" w14:paraId="13784B2D" w14:textId="77777777" w:rsidTr="0057310C">
        <w:trPr>
          <w:trHeight w:val="315"/>
        </w:trPr>
        <w:tc>
          <w:tcPr>
            <w:tcW w:w="3268" w:type="dxa"/>
            <w:tcBorders>
              <w:top w:val="nil"/>
              <w:left w:val="single" w:sz="8" w:space="0" w:color="auto"/>
              <w:bottom w:val="single" w:sz="8" w:space="0" w:color="auto"/>
              <w:right w:val="nil"/>
            </w:tcBorders>
            <w:shd w:val="clear" w:color="000000" w:fill="244062"/>
            <w:vAlign w:val="center"/>
            <w:hideMark/>
          </w:tcPr>
          <w:p w14:paraId="6198484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Индикатори напретка</w:t>
            </w:r>
          </w:p>
        </w:tc>
        <w:tc>
          <w:tcPr>
            <w:tcW w:w="6220" w:type="dxa"/>
            <w:gridSpan w:val="3"/>
            <w:tcBorders>
              <w:top w:val="single" w:sz="8" w:space="0" w:color="auto"/>
              <w:left w:val="nil"/>
              <w:bottom w:val="single" w:sz="8" w:space="0" w:color="auto"/>
              <w:right w:val="single" w:sz="8" w:space="0" w:color="000000"/>
            </w:tcBorders>
            <w:vAlign w:val="center"/>
            <w:hideMark/>
          </w:tcPr>
          <w:p w14:paraId="2A18C633"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Број развијених истраживачких пројеката у области иновационих технологија за уштеду енергије на годишњем нивоу</w:t>
            </w:r>
          </w:p>
        </w:tc>
      </w:tr>
      <w:tr w:rsidR="00854ADA" w:rsidRPr="00FF386D" w14:paraId="0BA9E8FA" w14:textId="77777777" w:rsidTr="0057310C">
        <w:trPr>
          <w:trHeight w:val="609"/>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08E8BD1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20" w:type="dxa"/>
            <w:gridSpan w:val="3"/>
            <w:tcBorders>
              <w:top w:val="single" w:sz="8" w:space="0" w:color="auto"/>
              <w:left w:val="nil"/>
              <w:bottom w:val="single" w:sz="8" w:space="0" w:color="auto"/>
              <w:right w:val="single" w:sz="8" w:space="0" w:color="000000"/>
            </w:tcBorders>
            <w:vAlign w:val="center"/>
          </w:tcPr>
          <w:p w14:paraId="63ABCB1D" w14:textId="77777777" w:rsidR="00854ADA" w:rsidRPr="00FF386D" w:rsidRDefault="00854ADA" w:rsidP="00854ADA">
            <w:pPr>
              <w:numPr>
                <w:ilvl w:val="0"/>
                <w:numId w:val="90"/>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Унутрашње тржиште енергије</w:t>
            </w:r>
          </w:p>
          <w:p w14:paraId="509BFF9C" w14:textId="77777777" w:rsidR="00854ADA" w:rsidRPr="00FF386D" w:rsidRDefault="00854ADA" w:rsidP="00854ADA">
            <w:pPr>
              <w:numPr>
                <w:ilvl w:val="0"/>
                <w:numId w:val="90"/>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Енергетска сигурност</w:t>
            </w:r>
          </w:p>
        </w:tc>
      </w:tr>
      <w:tr w:rsidR="00854ADA" w:rsidRPr="00FF386D" w14:paraId="2E22931B" w14:textId="77777777" w:rsidTr="0057310C">
        <w:trPr>
          <w:trHeight w:val="450"/>
        </w:trPr>
        <w:tc>
          <w:tcPr>
            <w:tcW w:w="3268"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105B887A" w14:textId="32563D20"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20" w:type="dxa"/>
            <w:gridSpan w:val="3"/>
            <w:vMerge w:val="restart"/>
            <w:tcBorders>
              <w:top w:val="single" w:sz="8" w:space="0" w:color="auto"/>
              <w:left w:val="single" w:sz="8" w:space="0" w:color="auto"/>
              <w:bottom w:val="single" w:sz="8" w:space="0" w:color="000000"/>
              <w:right w:val="single" w:sz="8" w:space="0" w:color="000000"/>
            </w:tcBorders>
            <w:vAlign w:val="center"/>
          </w:tcPr>
          <w:p w14:paraId="228F7901" w14:textId="77777777" w:rsidR="00854ADA" w:rsidRPr="000A2AFE" w:rsidRDefault="00854ADA">
            <w:pPr>
              <w:numPr>
                <w:ilvl w:val="0"/>
                <w:numId w:val="243"/>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Европски стратешки план за енергетске технологије (план СЕТ)</w:t>
            </w:r>
          </w:p>
          <w:p w14:paraId="7521D62E" w14:textId="77777777" w:rsidR="00854ADA" w:rsidRPr="00FF386D" w:rsidRDefault="00854ADA" w:rsidP="00854ADA">
            <w:pPr>
              <w:numPr>
                <w:ilvl w:val="0"/>
                <w:numId w:val="90"/>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Стратегије истраживања и иновација за паметну специјализацију (</w:t>
            </w:r>
            <w:r w:rsidRPr="000A2AFE">
              <w:rPr>
                <w:rFonts w:ascii="Calibri Light" w:eastAsia="Times New Roman" w:hAnsi="Calibri Light" w:cs="Calibri Light"/>
                <w:i/>
                <w:iCs/>
                <w:color w:val="000000"/>
                <w:sz w:val="20"/>
                <w:szCs w:val="20"/>
                <w:lang w:eastAsia="en-GB"/>
              </w:rPr>
              <w:t>RIS</w:t>
            </w:r>
            <w:r w:rsidRPr="000A2AFE">
              <w:rPr>
                <w:rFonts w:ascii="Calibri Light" w:eastAsia="Times New Roman" w:hAnsi="Calibri Light" w:cs="Calibri Light"/>
                <w:color w:val="000000"/>
                <w:sz w:val="20"/>
                <w:szCs w:val="20"/>
                <w:lang w:eastAsia="en-GB"/>
              </w:rPr>
              <w:t>3)</w:t>
            </w:r>
          </w:p>
        </w:tc>
      </w:tr>
      <w:tr w:rsidR="00854ADA" w:rsidRPr="00FF386D" w14:paraId="53191F89"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7F7237F7"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20" w:type="dxa"/>
            <w:gridSpan w:val="3"/>
            <w:vMerge/>
            <w:tcBorders>
              <w:top w:val="single" w:sz="8" w:space="0" w:color="auto"/>
              <w:left w:val="single" w:sz="8" w:space="0" w:color="auto"/>
              <w:bottom w:val="single" w:sz="8" w:space="0" w:color="000000"/>
              <w:right w:val="single" w:sz="8" w:space="0" w:color="000000"/>
            </w:tcBorders>
            <w:vAlign w:val="center"/>
          </w:tcPr>
          <w:p w14:paraId="5BD9F1AB" w14:textId="77777777" w:rsidR="00854ADA" w:rsidRPr="00FF386D" w:rsidRDefault="00854ADA" w:rsidP="00854ADA">
            <w:pPr>
              <w:numPr>
                <w:ilvl w:val="0"/>
                <w:numId w:val="90"/>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01A350EB"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05DBB2A0"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20" w:type="dxa"/>
            <w:gridSpan w:val="3"/>
            <w:vMerge/>
            <w:tcBorders>
              <w:top w:val="single" w:sz="8" w:space="0" w:color="auto"/>
              <w:left w:val="single" w:sz="8" w:space="0" w:color="auto"/>
              <w:bottom w:val="single" w:sz="8" w:space="0" w:color="000000"/>
              <w:right w:val="single" w:sz="8" w:space="0" w:color="000000"/>
            </w:tcBorders>
            <w:vAlign w:val="center"/>
          </w:tcPr>
          <w:p w14:paraId="58604E29" w14:textId="77777777" w:rsidR="00854ADA" w:rsidRPr="00FF386D" w:rsidRDefault="00854ADA" w:rsidP="00854ADA">
            <w:pPr>
              <w:numPr>
                <w:ilvl w:val="0"/>
                <w:numId w:val="90"/>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72F3E472" w14:textId="77777777" w:rsidTr="0057310C">
        <w:trPr>
          <w:trHeight w:val="517"/>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7163E89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20" w:type="dxa"/>
            <w:gridSpan w:val="3"/>
            <w:tcBorders>
              <w:top w:val="single" w:sz="8" w:space="0" w:color="auto"/>
              <w:left w:val="nil"/>
              <w:bottom w:val="single" w:sz="8" w:space="0" w:color="auto"/>
              <w:right w:val="single" w:sz="8" w:space="0" w:color="000000"/>
            </w:tcBorders>
            <w:vAlign w:val="center"/>
          </w:tcPr>
          <w:p w14:paraId="20DDC810" w14:textId="77777777" w:rsidR="00854ADA" w:rsidRPr="000A2AFE" w:rsidRDefault="00854ADA">
            <w:pPr>
              <w:numPr>
                <w:ilvl w:val="0"/>
                <w:numId w:val="243"/>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Закон о Фонду за науку</w:t>
            </w:r>
          </w:p>
          <w:p w14:paraId="7750D478" w14:textId="77777777" w:rsidR="00854ADA" w:rsidRPr="00FF386D" w:rsidRDefault="00854ADA" w:rsidP="00854ADA">
            <w:pPr>
              <w:numPr>
                <w:ilvl w:val="0"/>
                <w:numId w:val="90"/>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Закон о науци и истраживању</w:t>
            </w:r>
          </w:p>
        </w:tc>
      </w:tr>
      <w:tr w:rsidR="00854ADA" w:rsidRPr="00FF386D" w14:paraId="42ADF43A" w14:textId="77777777" w:rsidTr="0057310C">
        <w:trPr>
          <w:trHeight w:val="315"/>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118FD62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20" w:type="dxa"/>
            <w:gridSpan w:val="3"/>
            <w:tcBorders>
              <w:top w:val="single" w:sz="8" w:space="0" w:color="auto"/>
              <w:left w:val="nil"/>
              <w:bottom w:val="single" w:sz="8" w:space="0" w:color="auto"/>
              <w:right w:val="single" w:sz="8" w:space="0" w:color="000000"/>
            </w:tcBorders>
            <w:vAlign w:val="center"/>
          </w:tcPr>
          <w:p w14:paraId="5616C5C5"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7,2 милиона евра</w:t>
            </w:r>
          </w:p>
        </w:tc>
      </w:tr>
      <w:tr w:rsidR="00854ADA" w:rsidRPr="00FF386D" w14:paraId="355027F9" w14:textId="77777777" w:rsidTr="0057310C">
        <w:trPr>
          <w:trHeight w:val="315"/>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267F30D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20" w:type="dxa"/>
            <w:gridSpan w:val="3"/>
            <w:tcBorders>
              <w:top w:val="single" w:sz="8" w:space="0" w:color="auto"/>
              <w:left w:val="nil"/>
              <w:bottom w:val="single" w:sz="8" w:space="0" w:color="auto"/>
              <w:right w:val="single" w:sz="8" w:space="0" w:color="000000"/>
            </w:tcBorders>
            <w:shd w:val="clear" w:color="auto" w:fill="auto"/>
            <w:vAlign w:val="center"/>
            <w:hideMark/>
          </w:tcPr>
          <w:p w14:paraId="78822EF3" w14:textId="0742B520" w:rsidR="00854ADA" w:rsidRPr="00FF386D" w:rsidRDefault="00854ADA" w:rsidP="00854ADA">
            <w:pPr>
              <w:spacing w:after="0" w:line="240" w:lineRule="auto"/>
              <w:rPr>
                <w:rFonts w:asciiTheme="majorHAnsi" w:eastAsia="Times New Roman" w:hAnsiTheme="majorHAnsi" w:cstheme="majorHAnsi"/>
                <w:color w:val="000000"/>
                <w:lang w:eastAsia="en-GB"/>
              </w:rPr>
            </w:pPr>
            <w:r w:rsidRPr="00FF386D">
              <w:rPr>
                <w:rFonts w:asciiTheme="majorHAnsi" w:eastAsia="Times New Roman" w:hAnsiTheme="majorHAnsi" w:cstheme="majorHAnsi"/>
                <w:color w:val="000000"/>
                <w:sz w:val="20"/>
                <w:szCs w:val="20"/>
                <w:lang w:eastAsia="en-GB"/>
              </w:rPr>
              <w:t>Фондови ЕУ</w:t>
            </w:r>
            <w:r w:rsidR="00CE229F">
              <w:rPr>
                <w:rFonts w:asciiTheme="majorHAnsi" w:eastAsia="Times New Roman" w:hAnsiTheme="majorHAnsi" w:cstheme="majorHAnsi"/>
                <w:color w:val="000000"/>
                <w:sz w:val="20"/>
                <w:szCs w:val="20"/>
                <w:lang w:eastAsia="en-GB"/>
              </w:rPr>
              <w:t xml:space="preserve">, сопствена и </w:t>
            </w:r>
            <w:r w:rsidRPr="00FF386D">
              <w:rPr>
                <w:rFonts w:asciiTheme="majorHAnsi" w:eastAsia="Times New Roman" w:hAnsiTheme="majorHAnsi" w:cstheme="majorHAnsi"/>
                <w:color w:val="000000"/>
                <w:sz w:val="20"/>
                <w:szCs w:val="20"/>
                <w:lang w:eastAsia="en-GB"/>
              </w:rPr>
              <w:t>буџет</w:t>
            </w:r>
            <w:r w:rsidR="007A186C" w:rsidRPr="00FF386D">
              <w:rPr>
                <w:rFonts w:asciiTheme="majorHAnsi" w:eastAsia="Times New Roman" w:hAnsiTheme="majorHAnsi" w:cstheme="majorHAnsi"/>
                <w:color w:val="000000"/>
                <w:sz w:val="20"/>
                <w:szCs w:val="20"/>
                <w:lang w:eastAsia="en-GB"/>
              </w:rPr>
              <w:t>ска</w:t>
            </w:r>
            <w:r w:rsidRPr="00FF386D">
              <w:rPr>
                <w:rFonts w:asciiTheme="majorHAnsi" w:eastAsia="Times New Roman" w:hAnsiTheme="majorHAnsi" w:cstheme="majorHAnsi"/>
                <w:color w:val="000000"/>
                <w:sz w:val="20"/>
                <w:szCs w:val="20"/>
                <w:lang w:eastAsia="en-GB"/>
              </w:rPr>
              <w:t xml:space="preserve"> средства</w:t>
            </w:r>
            <w:r w:rsidR="00CE229F">
              <w:rPr>
                <w:rFonts w:asciiTheme="majorHAnsi" w:eastAsia="Times New Roman" w:hAnsiTheme="majorHAnsi" w:cstheme="majorHAnsi"/>
                <w:color w:val="000000"/>
                <w:sz w:val="20"/>
                <w:szCs w:val="20"/>
                <w:lang w:eastAsia="en-GB"/>
              </w:rPr>
              <w:t xml:space="preserve">, </w:t>
            </w:r>
            <w:r w:rsidR="00CE229F" w:rsidRPr="00CE229F">
              <w:rPr>
                <w:rFonts w:asciiTheme="majorHAnsi" w:eastAsia="Times New Roman" w:hAnsiTheme="majorHAnsi" w:cstheme="majorHAnsi"/>
                <w:color w:val="000000"/>
                <w:sz w:val="20"/>
                <w:szCs w:val="20"/>
                <w:lang w:eastAsia="en-GB"/>
              </w:rPr>
              <w:t>програми за истраживање и развој</w:t>
            </w:r>
          </w:p>
        </w:tc>
      </w:tr>
    </w:tbl>
    <w:p w14:paraId="5F1A537F" w14:textId="77777777" w:rsidR="00854ADA" w:rsidRPr="00FF386D" w:rsidRDefault="00854ADA" w:rsidP="00854ADA">
      <w:pPr>
        <w:spacing w:before="120" w:after="120" w:line="240" w:lineRule="auto"/>
        <w:rPr>
          <w:rFonts w:ascii="Calibri" w:eastAsia="Times New Roman" w:hAnsi="Calibri" w:cs="Arial"/>
          <w:highlight w:val="green"/>
          <w:lang w:eastAsia="el-GR"/>
        </w:rPr>
      </w:pPr>
    </w:p>
    <w:tbl>
      <w:tblPr>
        <w:tblW w:w="9488" w:type="dxa"/>
        <w:tblLook w:val="04A0" w:firstRow="1" w:lastRow="0" w:firstColumn="1" w:lastColumn="0" w:noHBand="0" w:noVBand="1"/>
      </w:tblPr>
      <w:tblGrid>
        <w:gridCol w:w="3258"/>
        <w:gridCol w:w="1173"/>
        <w:gridCol w:w="934"/>
        <w:gridCol w:w="4123"/>
      </w:tblGrid>
      <w:tr w:rsidR="00854ADA" w:rsidRPr="00FF386D" w14:paraId="3B72769C" w14:textId="77777777" w:rsidTr="0057310C">
        <w:trPr>
          <w:trHeight w:val="780"/>
        </w:trPr>
        <w:tc>
          <w:tcPr>
            <w:tcW w:w="3258"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10021963" w14:textId="2349BC0C"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173" w:type="dxa"/>
            <w:tcBorders>
              <w:top w:val="single" w:sz="8" w:space="0" w:color="auto"/>
              <w:left w:val="nil"/>
              <w:bottom w:val="single" w:sz="8" w:space="0" w:color="auto"/>
              <w:right w:val="single" w:sz="8" w:space="0" w:color="auto"/>
            </w:tcBorders>
            <w:shd w:val="clear" w:color="auto" w:fill="E7E6E6" w:themeFill="background2"/>
            <w:vAlign w:val="center"/>
            <w:hideMark/>
          </w:tcPr>
          <w:p w14:paraId="3B94B42C"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МП_ИИК11</w:t>
            </w:r>
          </w:p>
        </w:tc>
        <w:tc>
          <w:tcPr>
            <w:tcW w:w="934" w:type="dxa"/>
            <w:tcBorders>
              <w:top w:val="single" w:sz="8" w:space="0" w:color="auto"/>
              <w:left w:val="nil"/>
              <w:bottom w:val="single" w:sz="8" w:space="0" w:color="auto"/>
              <w:right w:val="single" w:sz="8" w:space="0" w:color="auto"/>
            </w:tcBorders>
            <w:shd w:val="clear" w:color="auto" w:fill="244062"/>
            <w:vAlign w:val="center"/>
            <w:hideMark/>
          </w:tcPr>
          <w:p w14:paraId="52D0C13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23" w:type="dxa"/>
            <w:tcBorders>
              <w:top w:val="single" w:sz="8" w:space="0" w:color="auto"/>
              <w:left w:val="nil"/>
              <w:bottom w:val="single" w:sz="8" w:space="0" w:color="auto"/>
              <w:right w:val="single" w:sz="8" w:space="0" w:color="auto"/>
            </w:tcBorders>
            <w:shd w:val="clear" w:color="auto" w:fill="E7E6E6" w:themeFill="background2"/>
            <w:vAlign w:val="center"/>
            <w:hideMark/>
          </w:tcPr>
          <w:p w14:paraId="2D9154E4" w14:textId="14437840"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Развој иновативних технологија декарбонизације, са нагласком на ОИЕ за производњу електричне енергије, грејање/хлађење, производњу водоника,</w:t>
            </w:r>
            <w:r w:rsidR="007A186C" w:rsidRPr="000A2AFE">
              <w:rPr>
                <w:rFonts w:ascii="Calibri Light" w:eastAsia="Times New Roman" w:hAnsi="Calibri Light" w:cs="Calibri Light"/>
                <w:b/>
                <w:bCs/>
                <w:color w:val="000000"/>
                <w:sz w:val="20"/>
                <w:szCs w:val="20"/>
                <w:lang w:eastAsia="en-GB"/>
              </w:rPr>
              <w:t xml:space="preserve"> детекцију емисија,</w:t>
            </w:r>
            <w:r w:rsidRPr="000A2AFE">
              <w:rPr>
                <w:rFonts w:ascii="Calibri Light" w:eastAsia="Times New Roman" w:hAnsi="Calibri Light" w:cs="Calibri Light"/>
                <w:b/>
                <w:bCs/>
                <w:color w:val="000000"/>
                <w:sz w:val="20"/>
                <w:szCs w:val="20"/>
                <w:lang w:eastAsia="en-GB"/>
              </w:rPr>
              <w:t xml:space="preserve"> хватање, складиштење и коришћење угљеника (</w:t>
            </w:r>
            <w:r w:rsidRPr="000A2AFE">
              <w:rPr>
                <w:rFonts w:ascii="Calibri Light" w:eastAsia="Times New Roman" w:hAnsi="Calibri Light" w:cs="Calibri Light"/>
                <w:b/>
                <w:bCs/>
                <w:i/>
                <w:iCs/>
                <w:color w:val="000000"/>
                <w:sz w:val="20"/>
                <w:szCs w:val="20"/>
                <w:lang w:eastAsia="en-GB"/>
              </w:rPr>
              <w:t>C</w:t>
            </w:r>
            <w:r w:rsidR="00672F1C" w:rsidRPr="000A2AFE">
              <w:rPr>
                <w:rFonts w:ascii="Calibri Light" w:eastAsia="Times New Roman" w:hAnsi="Calibri Light" w:cs="Calibri Light"/>
                <w:b/>
                <w:bCs/>
                <w:i/>
                <w:iCs/>
                <w:color w:val="000000"/>
                <w:sz w:val="20"/>
                <w:szCs w:val="20"/>
                <w:lang w:eastAsia="en-GB"/>
              </w:rPr>
              <w:t>C</w:t>
            </w:r>
            <w:r w:rsidRPr="000A2AFE">
              <w:rPr>
                <w:rFonts w:ascii="Calibri Light" w:eastAsia="Times New Roman" w:hAnsi="Calibri Light" w:cs="Calibri Light"/>
                <w:b/>
                <w:bCs/>
                <w:i/>
                <w:iCs/>
                <w:color w:val="000000"/>
                <w:sz w:val="20"/>
                <w:szCs w:val="20"/>
                <w:lang w:eastAsia="en-GB"/>
              </w:rPr>
              <w:t>US</w:t>
            </w:r>
            <w:r w:rsidRPr="000A2AFE">
              <w:rPr>
                <w:rFonts w:ascii="Calibri Light" w:eastAsia="Times New Roman" w:hAnsi="Calibri Light" w:cs="Calibri Light"/>
                <w:b/>
                <w:bCs/>
                <w:color w:val="000000"/>
                <w:sz w:val="20"/>
                <w:szCs w:val="20"/>
                <w:lang w:eastAsia="en-GB"/>
              </w:rPr>
              <w:t>)</w:t>
            </w:r>
          </w:p>
        </w:tc>
      </w:tr>
      <w:tr w:rsidR="00854ADA" w:rsidRPr="00FF386D" w14:paraId="0848FE14" w14:textId="77777777" w:rsidTr="0057310C">
        <w:trPr>
          <w:trHeight w:val="401"/>
        </w:trPr>
        <w:tc>
          <w:tcPr>
            <w:tcW w:w="3258" w:type="dxa"/>
            <w:tcBorders>
              <w:top w:val="nil"/>
              <w:left w:val="single" w:sz="8" w:space="0" w:color="auto"/>
              <w:bottom w:val="single" w:sz="8" w:space="0" w:color="auto"/>
              <w:right w:val="nil"/>
            </w:tcBorders>
            <w:shd w:val="clear" w:color="000000" w:fill="244062"/>
            <w:vAlign w:val="center"/>
            <w:hideMark/>
          </w:tcPr>
          <w:p w14:paraId="313D18F6" w14:textId="5EBFCCCF"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30" w:type="dxa"/>
            <w:gridSpan w:val="3"/>
            <w:tcBorders>
              <w:top w:val="single" w:sz="8" w:space="0" w:color="auto"/>
              <w:left w:val="nil"/>
              <w:bottom w:val="single" w:sz="8" w:space="0" w:color="auto"/>
              <w:right w:val="single" w:sz="8" w:space="0" w:color="000000"/>
            </w:tcBorders>
            <w:vAlign w:val="center"/>
            <w:hideMark/>
          </w:tcPr>
          <w:p w14:paraId="0FF36A7D"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Промоција истраживања и иновација, развој нискоугљеничних технологија</w:t>
            </w:r>
          </w:p>
        </w:tc>
      </w:tr>
      <w:tr w:rsidR="00854ADA" w:rsidRPr="00FF386D" w14:paraId="6F5B6BCB" w14:textId="77777777" w:rsidTr="0057310C">
        <w:trPr>
          <w:trHeight w:val="315"/>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7347EF5F" w14:textId="7F2100BB"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30" w:type="dxa"/>
            <w:gridSpan w:val="3"/>
            <w:tcBorders>
              <w:top w:val="single" w:sz="8" w:space="0" w:color="auto"/>
              <w:left w:val="nil"/>
              <w:bottom w:val="single" w:sz="8" w:space="0" w:color="auto"/>
              <w:right w:val="single" w:sz="8" w:space="0" w:color="000000"/>
            </w:tcBorders>
            <w:vAlign w:val="center"/>
          </w:tcPr>
          <w:p w14:paraId="29B712DD"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Повећање нивоа технолошке спремности по врсти технологије (квалитативан циљ)</w:t>
            </w:r>
          </w:p>
        </w:tc>
      </w:tr>
      <w:tr w:rsidR="00854ADA" w:rsidRPr="00FF386D" w14:paraId="6A2A69CC" w14:textId="77777777" w:rsidTr="0057310C">
        <w:trPr>
          <w:trHeight w:val="301"/>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21433DD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30" w:type="dxa"/>
            <w:gridSpan w:val="3"/>
            <w:tcBorders>
              <w:top w:val="single" w:sz="8" w:space="0" w:color="auto"/>
              <w:left w:val="nil"/>
              <w:bottom w:val="single" w:sz="8" w:space="0" w:color="auto"/>
              <w:right w:val="single" w:sz="8" w:space="0" w:color="000000"/>
            </w:tcBorders>
            <w:vAlign w:val="center"/>
            <w:hideMark/>
          </w:tcPr>
          <w:p w14:paraId="2BA81495" w14:textId="3025F67A" w:rsidR="00854ADA" w:rsidRPr="00421D3F"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МП_ИИК11 ће унапредити истраживање и развој у области соларне енергије, како за централизоване соларне т</w:t>
            </w:r>
            <w:r w:rsidR="007A186C" w:rsidRPr="00FF386D">
              <w:rPr>
                <w:rFonts w:ascii="Calibri Light" w:hAnsi="Calibri Light"/>
                <w:sz w:val="20"/>
              </w:rPr>
              <w:t xml:space="preserve">оплотне </w:t>
            </w:r>
            <w:r w:rsidRPr="00FF386D">
              <w:rPr>
                <w:rFonts w:ascii="Calibri Light" w:hAnsi="Calibri Light"/>
                <w:sz w:val="20"/>
              </w:rPr>
              <w:t>системе</w:t>
            </w:r>
            <w:r w:rsidR="007A186C" w:rsidRPr="00FF386D">
              <w:rPr>
                <w:rFonts w:ascii="Calibri Light" w:hAnsi="Calibri Light"/>
                <w:sz w:val="20"/>
              </w:rPr>
              <w:t xml:space="preserve"> </w:t>
            </w:r>
            <w:r w:rsidRPr="00FF386D">
              <w:rPr>
                <w:rFonts w:ascii="Calibri Light" w:hAnsi="Calibri Light"/>
                <w:sz w:val="20"/>
              </w:rPr>
              <w:t xml:space="preserve">тако и за </w:t>
            </w:r>
            <w:r w:rsidR="00210317">
              <w:rPr>
                <w:rFonts w:ascii="Calibri Light" w:hAnsi="Calibri Light"/>
                <w:sz w:val="20"/>
              </w:rPr>
              <w:t xml:space="preserve">примену у </w:t>
            </w:r>
            <w:r w:rsidRPr="00FF386D">
              <w:rPr>
                <w:rFonts w:ascii="Calibri Light" w:hAnsi="Calibri Light"/>
                <w:sz w:val="20"/>
              </w:rPr>
              <w:t>грејањ</w:t>
            </w:r>
            <w:r w:rsidR="00210317">
              <w:rPr>
                <w:rFonts w:ascii="Calibri Light" w:hAnsi="Calibri Light"/>
                <w:sz w:val="20"/>
              </w:rPr>
              <w:t>у</w:t>
            </w:r>
            <w:r w:rsidRPr="00FF386D">
              <w:rPr>
                <w:rFonts w:ascii="Calibri Light" w:hAnsi="Calibri Light"/>
                <w:sz w:val="20"/>
              </w:rPr>
              <w:t xml:space="preserve"> и хлађењ</w:t>
            </w:r>
            <w:r w:rsidR="00210317">
              <w:rPr>
                <w:rFonts w:ascii="Calibri Light" w:hAnsi="Calibri Light"/>
                <w:sz w:val="20"/>
              </w:rPr>
              <w:t>у</w:t>
            </w:r>
            <w:r w:rsidRPr="00FF386D">
              <w:rPr>
                <w:rFonts w:ascii="Calibri Light" w:hAnsi="Calibri Light"/>
                <w:sz w:val="20"/>
              </w:rPr>
              <w:t xml:space="preserve">. </w:t>
            </w:r>
            <w:r w:rsidR="007A186C" w:rsidRPr="00FF386D">
              <w:rPr>
                <w:rFonts w:ascii="Calibri Light" w:hAnsi="Calibri Light"/>
                <w:sz w:val="20"/>
              </w:rPr>
              <w:t xml:space="preserve">Када је у питању </w:t>
            </w:r>
            <w:r w:rsidRPr="00FF386D">
              <w:rPr>
                <w:rFonts w:ascii="Calibri Light" w:hAnsi="Calibri Light"/>
                <w:sz w:val="20"/>
              </w:rPr>
              <w:t>енергиј</w:t>
            </w:r>
            <w:r w:rsidR="007A186C" w:rsidRPr="00FF386D">
              <w:rPr>
                <w:rFonts w:ascii="Calibri Light" w:hAnsi="Calibri Light"/>
                <w:sz w:val="20"/>
              </w:rPr>
              <w:t xml:space="preserve">а </w:t>
            </w:r>
            <w:r w:rsidRPr="00FF386D">
              <w:rPr>
                <w:rFonts w:ascii="Calibri Light" w:hAnsi="Calibri Light"/>
                <w:sz w:val="20"/>
              </w:rPr>
              <w:t xml:space="preserve">ветра, биће промовисане активности које се </w:t>
            </w:r>
            <w:r w:rsidR="007A186C" w:rsidRPr="00FF386D">
              <w:rPr>
                <w:rFonts w:ascii="Calibri Light" w:hAnsi="Calibri Light"/>
                <w:sz w:val="20"/>
              </w:rPr>
              <w:t xml:space="preserve">односе на </w:t>
            </w:r>
            <w:r w:rsidRPr="00FF386D">
              <w:rPr>
                <w:rFonts w:ascii="Calibri Light" w:hAnsi="Calibri Light"/>
                <w:sz w:val="20"/>
              </w:rPr>
              <w:t>електричн</w:t>
            </w:r>
            <w:r w:rsidR="007A186C" w:rsidRPr="00FF386D">
              <w:rPr>
                <w:rFonts w:ascii="Calibri Light" w:hAnsi="Calibri Light"/>
                <w:sz w:val="20"/>
              </w:rPr>
              <w:t>у</w:t>
            </w:r>
            <w:r w:rsidRPr="00FF386D">
              <w:rPr>
                <w:rFonts w:ascii="Calibri Light" w:hAnsi="Calibri Light"/>
                <w:sz w:val="20"/>
              </w:rPr>
              <w:t xml:space="preserve"> опрем</w:t>
            </w:r>
            <w:r w:rsidR="007A186C" w:rsidRPr="00FF386D">
              <w:rPr>
                <w:rFonts w:ascii="Calibri Light" w:hAnsi="Calibri Light"/>
                <w:sz w:val="20"/>
              </w:rPr>
              <w:t>у</w:t>
            </w:r>
            <w:r w:rsidRPr="00FF386D">
              <w:rPr>
                <w:rFonts w:ascii="Calibri Light" w:hAnsi="Calibri Light"/>
                <w:sz w:val="20"/>
              </w:rPr>
              <w:t xml:space="preserve"> ветроелектрана, рад и одржавање ветроелектрана, мале ветротурбине и друга питања, као што су методологије и алати за интегрисано снимање и процену утицаја ветроелектрана на околину, системи управљања крајем</w:t>
            </w:r>
            <w:r w:rsidRPr="00FF386D">
              <w:rPr>
                <w:rFonts w:ascii="Calibri Light" w:eastAsia="NSimSun" w:hAnsi="Calibri Light" w:cs="Mangal"/>
                <w:kern w:val="2"/>
                <w:sz w:val="20"/>
                <w:szCs w:val="24"/>
                <w:lang w:eastAsia="zh-CN" w:bidi="hi-IN"/>
              </w:rPr>
              <w:t xml:space="preserve"> радног века</w:t>
            </w:r>
            <w:r w:rsidRPr="00FF386D">
              <w:rPr>
                <w:rFonts w:ascii="Calibri Light" w:hAnsi="Calibri Light"/>
                <w:sz w:val="20"/>
              </w:rPr>
              <w:t xml:space="preserve"> ветропаркова итд. Активности истраживања и развоја соларних фотонапонских система се </w:t>
            </w:r>
            <w:r w:rsidR="00A54BFF" w:rsidRPr="00FF386D">
              <w:rPr>
                <w:rFonts w:ascii="Calibri Light" w:hAnsi="Calibri Light"/>
                <w:sz w:val="20"/>
              </w:rPr>
              <w:t>односе на</w:t>
            </w:r>
            <w:r w:rsidRPr="00FF386D">
              <w:rPr>
                <w:rFonts w:ascii="Calibri Light" w:hAnsi="Calibri Light"/>
                <w:sz w:val="20"/>
              </w:rPr>
              <w:t xml:space="preserve"> интеграциј</w:t>
            </w:r>
            <w:r w:rsidR="00A54BFF" w:rsidRPr="00FF386D">
              <w:rPr>
                <w:rFonts w:ascii="Calibri Light" w:hAnsi="Calibri Light"/>
                <w:sz w:val="20"/>
              </w:rPr>
              <w:t>у</w:t>
            </w:r>
            <w:r w:rsidRPr="00FF386D">
              <w:rPr>
                <w:rFonts w:ascii="Calibri Light" w:hAnsi="Calibri Light"/>
                <w:sz w:val="20"/>
              </w:rPr>
              <w:t xml:space="preserve"> фотонапонских система у зграде и другу инфраструктуру, развој високоефикасних соларних ћелија и система за надзор и рад соларних фотонапонских инсталација. Истраживачко-развојне активности у области биоенергије се односе на развој високоефикасне когенерације топлотне и електричне енергије коришћењем биомасе, као и на развој, демонстрацију и повећање чврсте, течне и гасовите биоенергије/биохемијске/хемијске конверзије из одрживе биомасе. Биће унапређиване активности које се односе на геотермално грејање у урбаним подручјима, материјал</w:t>
            </w:r>
            <w:r w:rsidR="00B234D9" w:rsidRPr="00FF386D">
              <w:rPr>
                <w:rFonts w:ascii="Calibri Light" w:hAnsi="Calibri Light"/>
                <w:sz w:val="20"/>
              </w:rPr>
              <w:t>е</w:t>
            </w:r>
            <w:r w:rsidRPr="00FF386D">
              <w:rPr>
                <w:rFonts w:ascii="Calibri Light" w:hAnsi="Calibri Light"/>
                <w:sz w:val="20"/>
              </w:rPr>
              <w:t>, методе и опрем</w:t>
            </w:r>
            <w:r w:rsidR="00B234D9" w:rsidRPr="00FF386D">
              <w:rPr>
                <w:rFonts w:ascii="Calibri Light" w:hAnsi="Calibri Light"/>
                <w:sz w:val="20"/>
              </w:rPr>
              <w:t>у</w:t>
            </w:r>
            <w:r w:rsidRPr="00FF386D">
              <w:rPr>
                <w:rFonts w:ascii="Calibri Light" w:hAnsi="Calibri Light"/>
                <w:sz w:val="20"/>
              </w:rPr>
              <w:t xml:space="preserve"> у циљу побољшања његовог рада, </w:t>
            </w:r>
            <w:r w:rsidR="00B234D9" w:rsidRPr="00FF386D">
              <w:rPr>
                <w:rFonts w:ascii="Calibri Light" w:hAnsi="Calibri Light"/>
                <w:sz w:val="20"/>
              </w:rPr>
              <w:t>као и</w:t>
            </w:r>
            <w:r w:rsidRPr="00FF386D">
              <w:rPr>
                <w:rFonts w:ascii="Calibri Light" w:hAnsi="Calibri Light"/>
                <w:sz w:val="20"/>
              </w:rPr>
              <w:t xml:space="preserve"> </w:t>
            </w:r>
            <w:r w:rsidR="00FC1C05" w:rsidRPr="00FF386D">
              <w:rPr>
                <w:rFonts w:ascii="Calibri Light" w:hAnsi="Calibri Light"/>
                <w:sz w:val="20"/>
              </w:rPr>
              <w:t xml:space="preserve">на </w:t>
            </w:r>
            <w:r w:rsidRPr="00FF386D">
              <w:rPr>
                <w:rFonts w:ascii="Calibri Light" w:hAnsi="Calibri Light"/>
                <w:sz w:val="20"/>
              </w:rPr>
              <w:t>пропустљивост конвенционалних геотермалних резервоара</w:t>
            </w:r>
            <w:r w:rsidR="00FC1C05" w:rsidRPr="00FF386D">
              <w:rPr>
                <w:rFonts w:ascii="Calibri Light" w:hAnsi="Calibri Light"/>
                <w:sz w:val="20"/>
              </w:rPr>
              <w:t xml:space="preserve"> </w:t>
            </w:r>
            <w:r w:rsidRPr="00FF386D">
              <w:rPr>
                <w:rFonts w:ascii="Calibri Light" w:hAnsi="Calibri Light"/>
                <w:sz w:val="20"/>
              </w:rPr>
              <w:t xml:space="preserve">и ефикасност конверзије и директног коришћења топлоте, развијаће се нове технике за бољу идентификацију геотермалног потенцијала, јачаће се интеграција геотермалне топлотне и електричне енергије у систем и развој геотермалне електране са нултом емисијом. Такође ће се промовисати активности истраживања и развоја у области водоника са ниским садржајем угљеника који </w:t>
            </w:r>
            <w:r w:rsidRPr="00FF386D">
              <w:rPr>
                <w:rFonts w:ascii="Calibri Light" w:eastAsia="NSimSun" w:hAnsi="Calibri Light" w:cs="Mangal"/>
                <w:kern w:val="2"/>
                <w:sz w:val="20"/>
                <w:szCs w:val="24"/>
                <w:lang w:eastAsia="zh-CN" w:bidi="hi-IN"/>
              </w:rPr>
              <w:t>емитује</w:t>
            </w:r>
            <w:r w:rsidRPr="00FF386D">
              <w:rPr>
                <w:rFonts w:ascii="Calibri Light" w:hAnsi="Calibri Light"/>
                <w:sz w:val="20"/>
              </w:rPr>
              <w:t xml:space="preserve"> мало или нимало гасова са ефектом стаклене баште. Поред тога, биће промовисане циљане активности истраживања и развоја како би се проценила и применила технологија </w:t>
            </w:r>
            <w:r w:rsidRPr="00FF386D">
              <w:rPr>
                <w:rFonts w:ascii="Calibri Light" w:hAnsi="Calibri Light"/>
                <w:sz w:val="20"/>
              </w:rPr>
              <w:lastRenderedPageBreak/>
              <w:t>хватања, коришћења и складиштења угљеника (</w:t>
            </w:r>
            <w:r w:rsidRPr="00FF386D">
              <w:rPr>
                <w:rFonts w:ascii="Calibri Light" w:hAnsi="Calibri Light"/>
                <w:i/>
                <w:iCs/>
                <w:sz w:val="20"/>
              </w:rPr>
              <w:t>CCUS</w:t>
            </w:r>
            <w:r w:rsidRPr="00FF386D">
              <w:rPr>
                <w:rFonts w:ascii="Calibri Light" w:hAnsi="Calibri Light"/>
                <w:sz w:val="20"/>
              </w:rPr>
              <w:t xml:space="preserve">), и </w:t>
            </w:r>
            <w:r w:rsidR="007A186C" w:rsidRPr="00FF386D">
              <w:rPr>
                <w:rFonts w:ascii="Calibri Light" w:hAnsi="Calibri Light"/>
                <w:sz w:val="20"/>
              </w:rPr>
              <w:t>директног</w:t>
            </w:r>
            <w:r w:rsidRPr="00FF386D">
              <w:rPr>
                <w:rFonts w:ascii="Calibri Light" w:hAnsi="Calibri Light"/>
                <w:sz w:val="20"/>
              </w:rPr>
              <w:t xml:space="preserve"> хватања ваздуха (</w:t>
            </w:r>
            <w:r w:rsidRPr="00FF386D">
              <w:rPr>
                <w:rFonts w:ascii="Calibri Light" w:hAnsi="Calibri Light"/>
                <w:i/>
                <w:iCs/>
                <w:sz w:val="20"/>
              </w:rPr>
              <w:t>DAC</w:t>
            </w:r>
            <w:r w:rsidRPr="00FF386D">
              <w:rPr>
                <w:rFonts w:ascii="Calibri Light" w:hAnsi="Calibri Light"/>
                <w:sz w:val="20"/>
              </w:rPr>
              <w:t>) као и ултра-суперкритична технологија у термоелектранама која побољшава њихову ефикасност, при чему су посебне емисије CO</w:t>
            </w:r>
            <w:r w:rsidRPr="00FF386D">
              <w:rPr>
                <w:rFonts w:ascii="Calibri Light" w:hAnsi="Calibri Light"/>
                <w:sz w:val="20"/>
                <w:vertAlign w:val="subscript"/>
              </w:rPr>
              <w:t xml:space="preserve">2 </w:t>
            </w:r>
            <w:r w:rsidRPr="00FF386D">
              <w:rPr>
                <w:rFonts w:ascii="Calibri Light" w:hAnsi="Calibri Light"/>
                <w:sz w:val="20"/>
              </w:rPr>
              <w:t xml:space="preserve">знатно смањене. На крају, биће </w:t>
            </w:r>
            <w:r w:rsidR="007A186C" w:rsidRPr="00FF386D">
              <w:rPr>
                <w:rFonts w:ascii="Calibri Light" w:hAnsi="Calibri Light"/>
                <w:sz w:val="20"/>
              </w:rPr>
              <w:t>разматране</w:t>
            </w:r>
            <w:r w:rsidRPr="00FF386D">
              <w:rPr>
                <w:rFonts w:ascii="Calibri Light" w:hAnsi="Calibri Light"/>
                <w:sz w:val="20"/>
              </w:rPr>
              <w:t xml:space="preserve"> нове </w:t>
            </w:r>
            <w:r w:rsidR="00FC1C05" w:rsidRPr="00FF386D">
              <w:rPr>
                <w:rFonts w:ascii="Calibri Light" w:hAnsi="Calibri Light"/>
                <w:sz w:val="20"/>
              </w:rPr>
              <w:t>посебне</w:t>
            </w:r>
            <w:r w:rsidRPr="00FF386D">
              <w:rPr>
                <w:rFonts w:ascii="Calibri Light" w:hAnsi="Calibri Light"/>
                <w:sz w:val="20"/>
              </w:rPr>
              <w:t xml:space="preserve"> технологије за детекцију емисија, као и друге технологије са фокусом на постројења природног гаса.</w:t>
            </w:r>
            <w:r w:rsidR="00421D3F">
              <w:rPr>
                <w:rFonts w:ascii="Calibri Light" w:hAnsi="Calibri Light"/>
                <w:sz w:val="20"/>
              </w:rPr>
              <w:t xml:space="preserve"> У конкретном случају </w:t>
            </w:r>
            <w:r w:rsidR="00421D3F" w:rsidRPr="00D35856">
              <w:rPr>
                <w:rFonts w:ascii="Calibri Light" w:hAnsi="Calibri Light"/>
                <w:i/>
                <w:iCs/>
                <w:sz w:val="20"/>
                <w:lang w:val="en-US"/>
              </w:rPr>
              <w:t>CCUS</w:t>
            </w:r>
            <w:r w:rsidR="00421D3F">
              <w:rPr>
                <w:rFonts w:ascii="Calibri Light" w:hAnsi="Calibri Light"/>
                <w:sz w:val="20"/>
                <w:lang w:val="en-US"/>
              </w:rPr>
              <w:t xml:space="preserve">, </w:t>
            </w:r>
            <w:r w:rsidR="00421D3F">
              <w:rPr>
                <w:rFonts w:ascii="Calibri Light" w:hAnsi="Calibri Light"/>
                <w:sz w:val="20"/>
              </w:rPr>
              <w:t xml:space="preserve">потребно је развити детаљну студију за потенцијал складиштења </w:t>
            </w:r>
            <w:r w:rsidR="00421D3F">
              <w:rPr>
                <w:rFonts w:ascii="Calibri Light" w:hAnsi="Calibri Light"/>
                <w:sz w:val="20"/>
                <w:lang w:val="en-US"/>
              </w:rPr>
              <w:t>CO</w:t>
            </w:r>
            <w:r w:rsidR="00421D3F">
              <w:rPr>
                <w:rFonts w:ascii="Calibri Light" w:hAnsi="Calibri Light"/>
                <w:sz w:val="20"/>
                <w:vertAlign w:val="subscript"/>
                <w:lang w:val="en-US"/>
              </w:rPr>
              <w:t>2</w:t>
            </w:r>
            <w:r w:rsidR="00421D3F">
              <w:rPr>
                <w:rFonts w:ascii="Calibri Light" w:hAnsi="Calibri Light"/>
                <w:sz w:val="20"/>
                <w:lang w:val="en-US"/>
              </w:rPr>
              <w:t xml:space="preserve"> </w:t>
            </w:r>
            <w:r w:rsidR="00421D3F">
              <w:rPr>
                <w:rFonts w:ascii="Calibri Light" w:hAnsi="Calibri Light"/>
                <w:sz w:val="20"/>
              </w:rPr>
              <w:t>у Србији, као и иновативне начине сакупљањ</w:t>
            </w:r>
            <w:r w:rsidR="00D35856">
              <w:rPr>
                <w:rFonts w:ascii="Calibri Light" w:hAnsi="Calibri Light"/>
                <w:sz w:val="20"/>
              </w:rPr>
              <w:t>а</w:t>
            </w:r>
            <w:r w:rsidR="00421D3F">
              <w:rPr>
                <w:rFonts w:ascii="Calibri Light" w:hAnsi="Calibri Light"/>
                <w:sz w:val="20"/>
              </w:rPr>
              <w:t xml:space="preserve"> </w:t>
            </w:r>
            <w:r w:rsidR="00421D3F">
              <w:rPr>
                <w:rFonts w:ascii="Calibri Light" w:hAnsi="Calibri Light"/>
                <w:sz w:val="20"/>
                <w:lang w:val="en-US"/>
              </w:rPr>
              <w:t>CO</w:t>
            </w:r>
            <w:r w:rsidR="00421D3F">
              <w:rPr>
                <w:rFonts w:ascii="Calibri Light" w:hAnsi="Calibri Light"/>
                <w:sz w:val="20"/>
                <w:vertAlign w:val="subscript"/>
                <w:lang w:val="en-US"/>
              </w:rPr>
              <w:t>2</w:t>
            </w:r>
            <w:r w:rsidR="00421D3F">
              <w:rPr>
                <w:rFonts w:ascii="Calibri Light" w:hAnsi="Calibri Light"/>
                <w:sz w:val="20"/>
                <w:lang w:val="en-US"/>
              </w:rPr>
              <w:t xml:space="preserve"> </w:t>
            </w:r>
            <w:r w:rsidR="00D35856">
              <w:rPr>
                <w:rFonts w:ascii="Calibri Light" w:hAnsi="Calibri Light"/>
                <w:sz w:val="20"/>
              </w:rPr>
              <w:t>за</w:t>
            </w:r>
            <w:r w:rsidR="00421D3F">
              <w:rPr>
                <w:rFonts w:ascii="Calibri Light" w:hAnsi="Calibri Light"/>
                <w:sz w:val="20"/>
              </w:rPr>
              <w:t xml:space="preserve"> индустријск</w:t>
            </w:r>
            <w:r w:rsidR="00D35856">
              <w:rPr>
                <w:rFonts w:ascii="Calibri Light" w:hAnsi="Calibri Light"/>
                <w:sz w:val="20"/>
              </w:rPr>
              <w:t>у</w:t>
            </w:r>
            <w:r w:rsidR="00421D3F">
              <w:rPr>
                <w:rFonts w:ascii="Calibri Light" w:hAnsi="Calibri Light"/>
                <w:sz w:val="20"/>
              </w:rPr>
              <w:t xml:space="preserve"> и хемијск</w:t>
            </w:r>
            <w:r w:rsidR="00D35856">
              <w:rPr>
                <w:rFonts w:ascii="Calibri Light" w:hAnsi="Calibri Light"/>
                <w:sz w:val="20"/>
              </w:rPr>
              <w:t>у примену</w:t>
            </w:r>
            <w:r w:rsidR="00421D3F">
              <w:rPr>
                <w:rFonts w:ascii="Calibri Light" w:hAnsi="Calibri Light"/>
                <w:sz w:val="20"/>
              </w:rPr>
              <w:t xml:space="preserve"> и </w:t>
            </w:r>
            <w:r w:rsidR="00D35856">
              <w:rPr>
                <w:rFonts w:ascii="Calibri Light" w:hAnsi="Calibri Light"/>
                <w:sz w:val="20"/>
              </w:rPr>
              <w:t>за</w:t>
            </w:r>
            <w:r w:rsidR="00421D3F">
              <w:rPr>
                <w:rFonts w:ascii="Calibri Light" w:hAnsi="Calibri Light"/>
                <w:sz w:val="20"/>
              </w:rPr>
              <w:t xml:space="preserve"> производњ</w:t>
            </w:r>
            <w:r w:rsidR="00D35856">
              <w:rPr>
                <w:rFonts w:ascii="Calibri Light" w:hAnsi="Calibri Light"/>
                <w:sz w:val="20"/>
              </w:rPr>
              <w:t>у</w:t>
            </w:r>
            <w:r w:rsidR="00421D3F">
              <w:rPr>
                <w:rFonts w:ascii="Calibri Light" w:hAnsi="Calibri Light"/>
                <w:sz w:val="20"/>
              </w:rPr>
              <w:t xml:space="preserve"> синтетичких горива.</w:t>
            </w:r>
          </w:p>
        </w:tc>
      </w:tr>
      <w:tr w:rsidR="00854ADA" w:rsidRPr="00FF386D" w14:paraId="39F50F58" w14:textId="77777777" w:rsidTr="0057310C">
        <w:trPr>
          <w:trHeight w:val="315"/>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7829B6D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Временски оквир имплементације</w:t>
            </w:r>
          </w:p>
        </w:tc>
        <w:tc>
          <w:tcPr>
            <w:tcW w:w="6230" w:type="dxa"/>
            <w:gridSpan w:val="3"/>
            <w:tcBorders>
              <w:top w:val="single" w:sz="8" w:space="0" w:color="auto"/>
              <w:left w:val="nil"/>
              <w:bottom w:val="single" w:sz="8" w:space="0" w:color="auto"/>
              <w:right w:val="single" w:sz="8" w:space="0" w:color="000000"/>
            </w:tcBorders>
            <w:vAlign w:val="center"/>
            <w:hideMark/>
          </w:tcPr>
          <w:p w14:paraId="73590A82" w14:textId="3EE38D03"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202</w:t>
            </w:r>
            <w:r w:rsidR="007A186C" w:rsidRPr="00FF386D">
              <w:rPr>
                <w:rFonts w:ascii="Calibri Light" w:hAnsi="Calibri Light"/>
                <w:sz w:val="20"/>
              </w:rPr>
              <w:t>3</w:t>
            </w:r>
            <w:r w:rsidRPr="00FF386D">
              <w:rPr>
                <w:rFonts w:ascii="Calibri Light" w:hAnsi="Calibri Light"/>
                <w:sz w:val="20"/>
              </w:rPr>
              <w:t>-2030.</w:t>
            </w:r>
          </w:p>
        </w:tc>
      </w:tr>
      <w:tr w:rsidR="00854ADA" w:rsidRPr="00FF386D" w14:paraId="62DA4284" w14:textId="77777777" w:rsidTr="0057310C">
        <w:trPr>
          <w:trHeight w:val="315"/>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095A6F0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30" w:type="dxa"/>
            <w:gridSpan w:val="3"/>
            <w:tcBorders>
              <w:top w:val="single" w:sz="8" w:space="0" w:color="auto"/>
              <w:left w:val="nil"/>
              <w:bottom w:val="single" w:sz="8" w:space="0" w:color="auto"/>
              <w:right w:val="single" w:sz="8" w:space="0" w:color="000000"/>
            </w:tcBorders>
            <w:vAlign w:val="center"/>
            <w:hideMark/>
          </w:tcPr>
          <w:p w14:paraId="6D61FAAA"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Инвестиција</w:t>
            </w:r>
          </w:p>
        </w:tc>
      </w:tr>
      <w:tr w:rsidR="00854ADA" w:rsidRPr="00FF386D" w14:paraId="4241D7BF" w14:textId="77777777" w:rsidTr="0057310C">
        <w:trPr>
          <w:trHeight w:val="315"/>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6A36BE6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30" w:type="dxa"/>
            <w:gridSpan w:val="3"/>
            <w:tcBorders>
              <w:top w:val="single" w:sz="8" w:space="0" w:color="auto"/>
              <w:left w:val="nil"/>
              <w:bottom w:val="single" w:sz="8" w:space="0" w:color="auto"/>
              <w:right w:val="single" w:sz="8" w:space="0" w:color="000000"/>
            </w:tcBorders>
            <w:vAlign w:val="center"/>
            <w:hideMark/>
          </w:tcPr>
          <w:p w14:paraId="513390AB" w14:textId="46D1B4BF"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ОИЕ, производња електричне енергије у ТЕ, индустријски процеси (цемент, хемикалије, гвожђе</w:t>
            </w:r>
            <w:r w:rsidR="00210317">
              <w:rPr>
                <w:rFonts w:asciiTheme="majorHAnsi" w:eastAsia="Times New Roman" w:hAnsiTheme="majorHAnsi" w:cstheme="majorHAnsi"/>
                <w:color w:val="000000"/>
                <w:sz w:val="20"/>
                <w:szCs w:val="20"/>
                <w:lang w:eastAsia="en-GB"/>
              </w:rPr>
              <w:t xml:space="preserve"> </w:t>
            </w:r>
            <w:r w:rsidR="00210317" w:rsidRPr="00210317">
              <w:rPr>
                <w:rFonts w:asciiTheme="majorHAnsi" w:eastAsia="Times New Roman" w:hAnsiTheme="majorHAnsi" w:cstheme="majorHAnsi"/>
                <w:color w:val="000000"/>
                <w:sz w:val="20"/>
                <w:szCs w:val="20"/>
                <w:lang w:eastAsia="en-GB"/>
              </w:rPr>
              <w:t>и челик</w:t>
            </w:r>
            <w:r w:rsidRPr="00FF386D">
              <w:rPr>
                <w:rFonts w:asciiTheme="majorHAnsi" w:eastAsia="Times New Roman" w:hAnsiTheme="majorHAnsi" w:cstheme="majorHAnsi"/>
                <w:color w:val="000000"/>
                <w:sz w:val="20"/>
                <w:szCs w:val="20"/>
                <w:lang w:eastAsia="en-GB"/>
              </w:rPr>
              <w:t xml:space="preserve">, </w:t>
            </w:r>
            <w:r w:rsidR="00FC1C05" w:rsidRPr="00FF386D">
              <w:rPr>
                <w:rFonts w:asciiTheme="majorHAnsi" w:eastAsia="Times New Roman" w:hAnsiTheme="majorHAnsi" w:cstheme="majorHAnsi"/>
                <w:color w:val="000000"/>
                <w:sz w:val="20"/>
                <w:szCs w:val="20"/>
                <w:lang w:eastAsia="en-GB"/>
              </w:rPr>
              <w:t>целулоза</w:t>
            </w:r>
            <w:r w:rsidRPr="00FF386D">
              <w:rPr>
                <w:rFonts w:asciiTheme="majorHAnsi" w:eastAsia="Times New Roman" w:hAnsiTheme="majorHAnsi" w:cstheme="majorHAnsi"/>
                <w:color w:val="000000"/>
                <w:sz w:val="20"/>
                <w:szCs w:val="20"/>
                <w:lang w:eastAsia="en-GB"/>
              </w:rPr>
              <w:t xml:space="preserve"> и папир, рафинерије, саобраћај, итд).</w:t>
            </w:r>
          </w:p>
        </w:tc>
      </w:tr>
      <w:tr w:rsidR="00854ADA" w:rsidRPr="00FF386D" w14:paraId="075C0DE5" w14:textId="77777777" w:rsidTr="0057310C">
        <w:trPr>
          <w:trHeight w:val="315"/>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72FE9C3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30" w:type="dxa"/>
            <w:gridSpan w:val="3"/>
            <w:tcBorders>
              <w:top w:val="single" w:sz="8" w:space="0" w:color="auto"/>
              <w:left w:val="nil"/>
              <w:bottom w:val="single" w:sz="8" w:space="0" w:color="auto"/>
              <w:right w:val="single" w:sz="8" w:space="0" w:color="000000"/>
            </w:tcBorders>
            <w:vAlign w:val="center"/>
            <w:hideMark/>
          </w:tcPr>
          <w:p w14:paraId="2CBCD8E8" w14:textId="77777777" w:rsidR="00854ADA" w:rsidRPr="00FF386D" w:rsidRDefault="00854ADA" w:rsidP="00854ADA">
            <w:pPr>
              <w:numPr>
                <w:ilvl w:val="0"/>
                <w:numId w:val="198"/>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рударства и енергетике</w:t>
            </w:r>
          </w:p>
          <w:p w14:paraId="63DA02C9" w14:textId="77777777" w:rsidR="00854ADA" w:rsidRPr="00FF386D" w:rsidRDefault="00854ADA" w:rsidP="00854ADA">
            <w:pPr>
              <w:numPr>
                <w:ilvl w:val="0"/>
                <w:numId w:val="198"/>
              </w:numPr>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просвете, науке и технолошког развоја</w:t>
            </w:r>
          </w:p>
          <w:p w14:paraId="378F166C" w14:textId="4C860E08" w:rsidR="00854ADA" w:rsidRPr="00FF386D" w:rsidRDefault="00854ADA" w:rsidP="007A186C">
            <w:pPr>
              <w:numPr>
                <w:ilvl w:val="0"/>
                <w:numId w:val="198"/>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финансија</w:t>
            </w:r>
          </w:p>
        </w:tc>
      </w:tr>
      <w:tr w:rsidR="00854ADA" w:rsidRPr="00FF386D" w14:paraId="385B48CA" w14:textId="77777777" w:rsidTr="0057310C">
        <w:trPr>
          <w:trHeight w:val="315"/>
        </w:trPr>
        <w:tc>
          <w:tcPr>
            <w:tcW w:w="3258" w:type="dxa"/>
            <w:tcBorders>
              <w:top w:val="nil"/>
              <w:left w:val="single" w:sz="8" w:space="0" w:color="auto"/>
              <w:bottom w:val="single" w:sz="8" w:space="0" w:color="auto"/>
              <w:right w:val="nil"/>
            </w:tcBorders>
            <w:shd w:val="clear" w:color="000000" w:fill="244062"/>
            <w:vAlign w:val="center"/>
            <w:hideMark/>
          </w:tcPr>
          <w:p w14:paraId="718DC9C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30" w:type="dxa"/>
            <w:gridSpan w:val="3"/>
            <w:tcBorders>
              <w:top w:val="single" w:sz="8" w:space="0" w:color="auto"/>
              <w:left w:val="nil"/>
              <w:bottom w:val="single" w:sz="8" w:space="0" w:color="auto"/>
              <w:right w:val="single" w:sz="8" w:space="0" w:color="000000"/>
            </w:tcBorders>
            <w:vAlign w:val="center"/>
            <w:hideMark/>
          </w:tcPr>
          <w:p w14:paraId="6783C5D7" w14:textId="77777777" w:rsidR="00854ADA" w:rsidRPr="00FF386D" w:rsidRDefault="00854ADA" w:rsidP="00854ADA">
            <w:pPr>
              <w:numPr>
                <w:ilvl w:val="0"/>
                <w:numId w:val="197"/>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просвете, науке и технолошког развоја</w:t>
            </w:r>
          </w:p>
          <w:p w14:paraId="4549B96C" w14:textId="77777777" w:rsidR="00854ADA" w:rsidRPr="00FF386D" w:rsidRDefault="00854ADA" w:rsidP="00854ADA">
            <w:pPr>
              <w:numPr>
                <w:ilvl w:val="0"/>
                <w:numId w:val="197"/>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рударства и енергетике</w:t>
            </w:r>
          </w:p>
        </w:tc>
      </w:tr>
      <w:tr w:rsidR="00854ADA" w:rsidRPr="00FF386D" w14:paraId="1DBE16F8" w14:textId="77777777" w:rsidTr="0057310C">
        <w:trPr>
          <w:trHeight w:val="315"/>
        </w:trPr>
        <w:tc>
          <w:tcPr>
            <w:tcW w:w="3258" w:type="dxa"/>
            <w:tcBorders>
              <w:top w:val="nil"/>
              <w:left w:val="single" w:sz="8" w:space="0" w:color="auto"/>
              <w:bottom w:val="single" w:sz="8" w:space="0" w:color="auto"/>
              <w:right w:val="nil"/>
            </w:tcBorders>
            <w:shd w:val="clear" w:color="000000" w:fill="244062"/>
            <w:vAlign w:val="center"/>
            <w:hideMark/>
          </w:tcPr>
          <w:p w14:paraId="21043E1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30" w:type="dxa"/>
            <w:gridSpan w:val="3"/>
            <w:tcBorders>
              <w:top w:val="single" w:sz="8" w:space="0" w:color="auto"/>
              <w:left w:val="nil"/>
              <w:bottom w:val="single" w:sz="8" w:space="0" w:color="auto"/>
              <w:right w:val="single" w:sz="8" w:space="0" w:color="000000"/>
            </w:tcBorders>
            <w:vAlign w:val="center"/>
            <w:hideMark/>
          </w:tcPr>
          <w:p w14:paraId="3ACE7728"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Број развијених истраживачких пројеката у области технологија декарбонизације на годишњем нивоу</w:t>
            </w:r>
          </w:p>
        </w:tc>
      </w:tr>
      <w:tr w:rsidR="00854ADA" w:rsidRPr="00FF386D" w14:paraId="23D5B9F9" w14:textId="77777777" w:rsidTr="0057310C">
        <w:trPr>
          <w:trHeight w:val="415"/>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2083EEF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30" w:type="dxa"/>
            <w:gridSpan w:val="3"/>
            <w:tcBorders>
              <w:top w:val="single" w:sz="8" w:space="0" w:color="auto"/>
              <w:left w:val="nil"/>
              <w:bottom w:val="single" w:sz="8" w:space="0" w:color="auto"/>
              <w:right w:val="single" w:sz="8" w:space="0" w:color="000000"/>
            </w:tcBorders>
            <w:vAlign w:val="center"/>
          </w:tcPr>
          <w:p w14:paraId="0073C038" w14:textId="77777777" w:rsidR="00854ADA" w:rsidRPr="00FF386D" w:rsidRDefault="00854ADA" w:rsidP="00854ADA">
            <w:pPr>
              <w:numPr>
                <w:ilvl w:val="0"/>
                <w:numId w:val="90"/>
              </w:numPr>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Унутрашње тржиште енергије</w:t>
            </w:r>
          </w:p>
          <w:p w14:paraId="73A1DE30" w14:textId="77777777" w:rsidR="00854ADA" w:rsidRPr="00FF386D" w:rsidRDefault="00854ADA" w:rsidP="00854ADA">
            <w:pPr>
              <w:numPr>
                <w:ilvl w:val="0"/>
                <w:numId w:val="90"/>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Енергетска сигурност</w:t>
            </w:r>
          </w:p>
        </w:tc>
      </w:tr>
      <w:tr w:rsidR="00854ADA" w:rsidRPr="00FF386D" w14:paraId="5093C0E5" w14:textId="77777777" w:rsidTr="0057310C">
        <w:trPr>
          <w:trHeight w:val="450"/>
        </w:trPr>
        <w:tc>
          <w:tcPr>
            <w:tcW w:w="3258"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594C3F13" w14:textId="3FF5DD3C"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30" w:type="dxa"/>
            <w:gridSpan w:val="3"/>
            <w:vMerge w:val="restart"/>
            <w:tcBorders>
              <w:top w:val="single" w:sz="8" w:space="0" w:color="auto"/>
              <w:left w:val="single" w:sz="8" w:space="0" w:color="auto"/>
              <w:bottom w:val="single" w:sz="8" w:space="0" w:color="000000"/>
              <w:right w:val="single" w:sz="8" w:space="0" w:color="000000"/>
            </w:tcBorders>
            <w:vAlign w:val="center"/>
          </w:tcPr>
          <w:p w14:paraId="5D1CAFE4" w14:textId="77777777" w:rsidR="00854ADA" w:rsidRPr="000A2AFE" w:rsidRDefault="00854ADA">
            <w:pPr>
              <w:numPr>
                <w:ilvl w:val="0"/>
                <w:numId w:val="243"/>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Европски стратешки план зе енергетске технологије (план СЕТ)</w:t>
            </w:r>
          </w:p>
          <w:p w14:paraId="30949E90" w14:textId="77777777" w:rsidR="00854ADA" w:rsidRPr="00FF386D" w:rsidRDefault="00854ADA" w:rsidP="00854ADA">
            <w:pPr>
              <w:numPr>
                <w:ilvl w:val="0"/>
                <w:numId w:val="91"/>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Стратегије истраживања и иновација за паметну специјализацију (</w:t>
            </w:r>
            <w:r w:rsidRPr="000A2AFE">
              <w:rPr>
                <w:rFonts w:ascii="Calibri Light" w:eastAsia="Times New Roman" w:hAnsi="Calibri Light" w:cs="Calibri Light"/>
                <w:i/>
                <w:iCs/>
                <w:color w:val="000000"/>
                <w:sz w:val="20"/>
                <w:szCs w:val="20"/>
                <w:lang w:eastAsia="en-GB"/>
              </w:rPr>
              <w:t>RIS</w:t>
            </w:r>
            <w:r w:rsidRPr="000A2AFE">
              <w:rPr>
                <w:rFonts w:ascii="Calibri Light" w:eastAsia="Times New Roman" w:hAnsi="Calibri Light" w:cs="Calibri Light"/>
                <w:color w:val="000000"/>
                <w:sz w:val="20"/>
                <w:szCs w:val="20"/>
                <w:lang w:eastAsia="en-GB"/>
              </w:rPr>
              <w:t xml:space="preserve"> 3)</w:t>
            </w:r>
          </w:p>
        </w:tc>
      </w:tr>
      <w:tr w:rsidR="00854ADA" w:rsidRPr="00FF386D" w14:paraId="47575440"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4F5BEF13"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30" w:type="dxa"/>
            <w:gridSpan w:val="3"/>
            <w:vMerge/>
            <w:tcBorders>
              <w:top w:val="single" w:sz="8" w:space="0" w:color="auto"/>
              <w:left w:val="single" w:sz="8" w:space="0" w:color="auto"/>
              <w:bottom w:val="single" w:sz="8" w:space="0" w:color="000000"/>
              <w:right w:val="single" w:sz="8" w:space="0" w:color="000000"/>
            </w:tcBorders>
            <w:vAlign w:val="center"/>
          </w:tcPr>
          <w:p w14:paraId="14EF9C99" w14:textId="77777777" w:rsidR="00854ADA" w:rsidRPr="00FF386D" w:rsidRDefault="00854ADA" w:rsidP="00854ADA">
            <w:pPr>
              <w:numPr>
                <w:ilvl w:val="0"/>
                <w:numId w:val="91"/>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6310886F"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7C47FDB4"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30" w:type="dxa"/>
            <w:gridSpan w:val="3"/>
            <w:vMerge/>
            <w:tcBorders>
              <w:top w:val="single" w:sz="8" w:space="0" w:color="auto"/>
              <w:left w:val="single" w:sz="8" w:space="0" w:color="auto"/>
              <w:bottom w:val="single" w:sz="8" w:space="0" w:color="000000"/>
              <w:right w:val="single" w:sz="8" w:space="0" w:color="000000"/>
            </w:tcBorders>
            <w:vAlign w:val="center"/>
          </w:tcPr>
          <w:p w14:paraId="70DCD627" w14:textId="77777777" w:rsidR="00854ADA" w:rsidRPr="00FF386D" w:rsidRDefault="00854ADA" w:rsidP="00854ADA">
            <w:pPr>
              <w:numPr>
                <w:ilvl w:val="0"/>
                <w:numId w:val="91"/>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020B29BB" w14:textId="77777777" w:rsidTr="0057310C">
        <w:trPr>
          <w:trHeight w:val="307"/>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0C4EE45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30" w:type="dxa"/>
            <w:gridSpan w:val="3"/>
            <w:tcBorders>
              <w:top w:val="single" w:sz="8" w:space="0" w:color="auto"/>
              <w:left w:val="nil"/>
              <w:bottom w:val="single" w:sz="8" w:space="0" w:color="auto"/>
              <w:right w:val="single" w:sz="8" w:space="0" w:color="000000"/>
            </w:tcBorders>
            <w:vAlign w:val="center"/>
          </w:tcPr>
          <w:p w14:paraId="4999B0AC" w14:textId="77777777" w:rsidR="00854ADA" w:rsidRPr="000A2AFE" w:rsidRDefault="00854ADA">
            <w:pPr>
              <w:numPr>
                <w:ilvl w:val="0"/>
                <w:numId w:val="243"/>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Закон о Фонду за науку</w:t>
            </w:r>
          </w:p>
          <w:p w14:paraId="281B87A2" w14:textId="77777777" w:rsidR="00854ADA" w:rsidRPr="00FF386D" w:rsidRDefault="00854ADA" w:rsidP="00854ADA">
            <w:pPr>
              <w:numPr>
                <w:ilvl w:val="0"/>
                <w:numId w:val="91"/>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Закон о науци и истраживању</w:t>
            </w:r>
          </w:p>
          <w:p w14:paraId="432F20D3" w14:textId="77777777" w:rsidR="00854ADA" w:rsidRPr="00FF386D" w:rsidRDefault="00854ADA" w:rsidP="00854ADA">
            <w:pPr>
              <w:numPr>
                <w:ilvl w:val="0"/>
                <w:numId w:val="91"/>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Закон о рударству и геолошким истраживањима</w:t>
            </w:r>
          </w:p>
        </w:tc>
      </w:tr>
      <w:tr w:rsidR="00854ADA" w:rsidRPr="00FF386D" w14:paraId="19F14BB2" w14:textId="77777777" w:rsidTr="0057310C">
        <w:trPr>
          <w:trHeight w:val="315"/>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014C8DB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30" w:type="dxa"/>
            <w:gridSpan w:val="3"/>
            <w:tcBorders>
              <w:top w:val="single" w:sz="8" w:space="0" w:color="auto"/>
              <w:left w:val="nil"/>
              <w:bottom w:val="single" w:sz="8" w:space="0" w:color="auto"/>
              <w:right w:val="single" w:sz="8" w:space="0" w:color="000000"/>
            </w:tcBorders>
            <w:vAlign w:val="center"/>
          </w:tcPr>
          <w:p w14:paraId="70E4F0A8"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25,2 милиона евра</w:t>
            </w:r>
          </w:p>
        </w:tc>
      </w:tr>
      <w:tr w:rsidR="00854ADA" w:rsidRPr="00FF386D" w14:paraId="28765C30" w14:textId="77777777" w:rsidTr="0057310C">
        <w:trPr>
          <w:trHeight w:val="315"/>
        </w:trPr>
        <w:tc>
          <w:tcPr>
            <w:tcW w:w="3258" w:type="dxa"/>
            <w:tcBorders>
              <w:top w:val="nil"/>
              <w:left w:val="single" w:sz="8" w:space="0" w:color="auto"/>
              <w:bottom w:val="single" w:sz="8" w:space="0" w:color="auto"/>
              <w:right w:val="single" w:sz="8" w:space="0" w:color="auto"/>
            </w:tcBorders>
            <w:shd w:val="clear" w:color="000000" w:fill="244062"/>
            <w:vAlign w:val="center"/>
            <w:hideMark/>
          </w:tcPr>
          <w:p w14:paraId="58F1BD4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30" w:type="dxa"/>
            <w:gridSpan w:val="3"/>
            <w:tcBorders>
              <w:top w:val="single" w:sz="8" w:space="0" w:color="auto"/>
              <w:left w:val="nil"/>
              <w:bottom w:val="single" w:sz="8" w:space="0" w:color="auto"/>
              <w:right w:val="single" w:sz="8" w:space="0" w:color="000000"/>
            </w:tcBorders>
            <w:shd w:val="clear" w:color="auto" w:fill="auto"/>
            <w:vAlign w:val="center"/>
            <w:hideMark/>
          </w:tcPr>
          <w:p w14:paraId="4CF685C3" w14:textId="13334F51"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Фондови ЕУ</w:t>
            </w:r>
            <w:r w:rsidR="00CE229F">
              <w:rPr>
                <w:rFonts w:asciiTheme="majorHAnsi" w:eastAsia="Times New Roman" w:hAnsiTheme="majorHAnsi" w:cstheme="majorHAnsi"/>
                <w:color w:val="000000"/>
                <w:sz w:val="20"/>
                <w:szCs w:val="20"/>
                <w:lang w:eastAsia="en-GB"/>
              </w:rPr>
              <w:t>, сопствена</w:t>
            </w:r>
            <w:r w:rsidRPr="00FF386D">
              <w:rPr>
                <w:rFonts w:asciiTheme="majorHAnsi" w:eastAsia="Times New Roman" w:hAnsiTheme="majorHAnsi" w:cstheme="majorHAnsi"/>
                <w:color w:val="000000"/>
                <w:sz w:val="20"/>
                <w:szCs w:val="20"/>
                <w:lang w:eastAsia="en-GB"/>
              </w:rPr>
              <w:t xml:space="preserve"> и</w:t>
            </w:r>
            <w:r w:rsidR="00CE229F">
              <w:rPr>
                <w:rFonts w:asciiTheme="majorHAnsi" w:eastAsia="Times New Roman" w:hAnsiTheme="majorHAnsi" w:cstheme="majorHAnsi"/>
                <w:color w:val="000000"/>
                <w:sz w:val="20"/>
                <w:szCs w:val="20"/>
                <w:lang w:eastAsia="en-GB"/>
              </w:rPr>
              <w:t xml:space="preserve"> </w:t>
            </w:r>
            <w:r w:rsidRPr="00FF386D">
              <w:rPr>
                <w:rFonts w:asciiTheme="majorHAnsi" w:eastAsia="Times New Roman" w:hAnsiTheme="majorHAnsi" w:cstheme="majorHAnsi"/>
                <w:color w:val="000000"/>
                <w:sz w:val="20"/>
                <w:szCs w:val="20"/>
                <w:lang w:eastAsia="en-GB"/>
              </w:rPr>
              <w:t>буџет</w:t>
            </w:r>
            <w:r w:rsidR="00672F1C" w:rsidRPr="00FF386D">
              <w:rPr>
                <w:rFonts w:asciiTheme="majorHAnsi" w:eastAsia="Times New Roman" w:hAnsiTheme="majorHAnsi" w:cstheme="majorHAnsi"/>
                <w:color w:val="000000"/>
                <w:sz w:val="20"/>
                <w:szCs w:val="20"/>
                <w:lang w:eastAsia="en-GB"/>
              </w:rPr>
              <w:t>ска</w:t>
            </w:r>
            <w:r w:rsidRPr="00FF386D">
              <w:rPr>
                <w:rFonts w:asciiTheme="majorHAnsi" w:eastAsia="Times New Roman" w:hAnsiTheme="majorHAnsi" w:cstheme="majorHAnsi"/>
                <w:color w:val="000000"/>
                <w:sz w:val="20"/>
                <w:szCs w:val="20"/>
                <w:lang w:eastAsia="en-GB"/>
              </w:rPr>
              <w:t xml:space="preserve"> средства</w:t>
            </w:r>
            <w:r w:rsidR="00CE229F">
              <w:rPr>
                <w:rFonts w:asciiTheme="majorHAnsi" w:eastAsia="Times New Roman" w:hAnsiTheme="majorHAnsi" w:cstheme="majorHAnsi"/>
                <w:color w:val="000000"/>
                <w:sz w:val="20"/>
                <w:szCs w:val="20"/>
                <w:lang w:eastAsia="en-GB"/>
              </w:rPr>
              <w:t xml:space="preserve">, </w:t>
            </w:r>
            <w:r w:rsidR="00CE229F" w:rsidRPr="00CE229F">
              <w:rPr>
                <w:rFonts w:asciiTheme="majorHAnsi" w:eastAsia="Times New Roman" w:hAnsiTheme="majorHAnsi" w:cstheme="majorHAnsi"/>
                <w:color w:val="000000"/>
                <w:sz w:val="20"/>
                <w:szCs w:val="20"/>
                <w:lang w:eastAsia="en-GB"/>
              </w:rPr>
              <w:t>програми за истраживање и развој</w:t>
            </w:r>
          </w:p>
        </w:tc>
      </w:tr>
    </w:tbl>
    <w:p w14:paraId="5FBB68D0" w14:textId="77777777" w:rsidR="00854ADA" w:rsidRPr="00FF386D" w:rsidRDefault="00854ADA" w:rsidP="00854ADA">
      <w:pPr>
        <w:spacing w:before="120" w:after="120" w:line="240" w:lineRule="auto"/>
        <w:rPr>
          <w:rFonts w:ascii="Calibri" w:eastAsia="Times New Roman" w:hAnsi="Calibri" w:cs="Arial"/>
          <w:highlight w:val="green"/>
          <w:lang w:eastAsia="el-GR"/>
        </w:rPr>
      </w:pPr>
    </w:p>
    <w:tbl>
      <w:tblPr>
        <w:tblW w:w="9488" w:type="dxa"/>
        <w:tblLook w:val="04A0" w:firstRow="1" w:lastRow="0" w:firstColumn="1" w:lastColumn="0" w:noHBand="0" w:noVBand="1"/>
      </w:tblPr>
      <w:tblGrid>
        <w:gridCol w:w="3267"/>
        <w:gridCol w:w="1173"/>
        <w:gridCol w:w="933"/>
        <w:gridCol w:w="4115"/>
      </w:tblGrid>
      <w:tr w:rsidR="00854ADA" w:rsidRPr="00FF386D" w14:paraId="2DAB14CB" w14:textId="77777777" w:rsidTr="0057310C">
        <w:trPr>
          <w:trHeight w:val="780"/>
        </w:trPr>
        <w:tc>
          <w:tcPr>
            <w:tcW w:w="3267"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33B0E96D" w14:textId="3B6D7991"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173" w:type="dxa"/>
            <w:tcBorders>
              <w:top w:val="single" w:sz="8" w:space="0" w:color="auto"/>
              <w:left w:val="nil"/>
              <w:bottom w:val="single" w:sz="8" w:space="0" w:color="auto"/>
              <w:right w:val="single" w:sz="8" w:space="0" w:color="auto"/>
            </w:tcBorders>
            <w:shd w:val="clear" w:color="auto" w:fill="E7E6E6" w:themeFill="background2"/>
            <w:vAlign w:val="center"/>
            <w:hideMark/>
          </w:tcPr>
          <w:p w14:paraId="24F7C9B9"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МП_ИИК12</w:t>
            </w:r>
          </w:p>
        </w:tc>
        <w:tc>
          <w:tcPr>
            <w:tcW w:w="933" w:type="dxa"/>
            <w:tcBorders>
              <w:top w:val="single" w:sz="8" w:space="0" w:color="auto"/>
              <w:left w:val="nil"/>
              <w:bottom w:val="single" w:sz="8" w:space="0" w:color="auto"/>
              <w:right w:val="single" w:sz="8" w:space="0" w:color="auto"/>
            </w:tcBorders>
            <w:shd w:val="clear" w:color="auto" w:fill="244062"/>
            <w:vAlign w:val="center"/>
            <w:hideMark/>
          </w:tcPr>
          <w:p w14:paraId="510290D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15" w:type="dxa"/>
            <w:tcBorders>
              <w:top w:val="single" w:sz="8" w:space="0" w:color="auto"/>
              <w:left w:val="nil"/>
              <w:bottom w:val="single" w:sz="8" w:space="0" w:color="auto"/>
              <w:right w:val="single" w:sz="8" w:space="0" w:color="auto"/>
            </w:tcBorders>
            <w:shd w:val="clear" w:color="auto" w:fill="E7E6E6" w:themeFill="background2"/>
            <w:vAlign w:val="center"/>
            <w:hideMark/>
          </w:tcPr>
          <w:p w14:paraId="6A7BE272"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Истраживање у области дигитализације енергетских мрежа и развоја паметних мрежа</w:t>
            </w:r>
          </w:p>
        </w:tc>
      </w:tr>
      <w:tr w:rsidR="00854ADA" w:rsidRPr="00FF386D" w14:paraId="023A711A" w14:textId="77777777" w:rsidTr="0057310C">
        <w:trPr>
          <w:trHeight w:val="262"/>
        </w:trPr>
        <w:tc>
          <w:tcPr>
            <w:tcW w:w="3267" w:type="dxa"/>
            <w:tcBorders>
              <w:top w:val="nil"/>
              <w:left w:val="single" w:sz="8" w:space="0" w:color="auto"/>
              <w:bottom w:val="single" w:sz="8" w:space="0" w:color="auto"/>
              <w:right w:val="nil"/>
            </w:tcBorders>
            <w:shd w:val="clear" w:color="000000" w:fill="244062"/>
            <w:vAlign w:val="center"/>
            <w:hideMark/>
          </w:tcPr>
          <w:p w14:paraId="1749805F" w14:textId="71DD81F2"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21" w:type="dxa"/>
            <w:gridSpan w:val="3"/>
            <w:tcBorders>
              <w:top w:val="single" w:sz="8" w:space="0" w:color="auto"/>
              <w:left w:val="nil"/>
              <w:bottom w:val="single" w:sz="8" w:space="0" w:color="auto"/>
              <w:right w:val="single" w:sz="8" w:space="0" w:color="000000"/>
            </w:tcBorders>
            <w:vAlign w:val="center"/>
            <w:hideMark/>
          </w:tcPr>
          <w:p w14:paraId="79CE8111"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Промоција истраживања и иновација</w:t>
            </w:r>
          </w:p>
        </w:tc>
      </w:tr>
      <w:tr w:rsidR="00854ADA" w:rsidRPr="00FF386D" w14:paraId="1AD9422B" w14:textId="77777777" w:rsidTr="0057310C">
        <w:trPr>
          <w:trHeight w:val="315"/>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171192BE" w14:textId="59CF0BB0"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21" w:type="dxa"/>
            <w:gridSpan w:val="3"/>
            <w:tcBorders>
              <w:top w:val="single" w:sz="8" w:space="0" w:color="auto"/>
              <w:left w:val="nil"/>
              <w:bottom w:val="single" w:sz="8" w:space="0" w:color="auto"/>
              <w:right w:val="single" w:sz="8" w:space="0" w:color="000000"/>
            </w:tcBorders>
            <w:vAlign w:val="center"/>
            <w:hideMark/>
          </w:tcPr>
          <w:p w14:paraId="18374185" w14:textId="77777777" w:rsidR="00854ADA" w:rsidRPr="00FF386D" w:rsidRDefault="00854ADA" w:rsidP="00854ADA">
            <w:pPr>
              <w:spacing w:after="0" w:line="240" w:lineRule="auto"/>
              <w:rPr>
                <w:rFonts w:ascii="Calibri" w:eastAsia="Times New Roman" w:hAnsi="Calibri" w:cs="Calibri"/>
                <w:color w:val="000000"/>
                <w:sz w:val="20"/>
                <w:szCs w:val="20"/>
                <w:lang w:eastAsia="en-GB"/>
              </w:rPr>
            </w:pPr>
            <w:r w:rsidRPr="00FF386D">
              <w:rPr>
                <w:rFonts w:asciiTheme="majorHAnsi" w:eastAsia="Times New Roman" w:hAnsiTheme="majorHAnsi" w:cstheme="majorHAnsi"/>
                <w:color w:val="000000"/>
                <w:sz w:val="20"/>
                <w:szCs w:val="20"/>
                <w:lang w:eastAsia="en-GB"/>
              </w:rPr>
              <w:t>Повећање нивоа технолошке спремности у области енергетике (квалитативан циљ)</w:t>
            </w:r>
          </w:p>
        </w:tc>
      </w:tr>
      <w:tr w:rsidR="00854ADA" w:rsidRPr="00FF386D" w14:paraId="6F3526B0" w14:textId="77777777" w:rsidTr="00565B02">
        <w:trPr>
          <w:trHeight w:val="546"/>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1BCC1D9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21" w:type="dxa"/>
            <w:gridSpan w:val="3"/>
            <w:tcBorders>
              <w:top w:val="single" w:sz="8" w:space="0" w:color="auto"/>
              <w:left w:val="nil"/>
              <w:bottom w:val="single" w:sz="8" w:space="0" w:color="auto"/>
              <w:right w:val="single" w:sz="8" w:space="0" w:color="000000"/>
            </w:tcBorders>
            <w:vAlign w:val="center"/>
            <w:hideMark/>
          </w:tcPr>
          <w:p w14:paraId="00985658" w14:textId="3A29D1B9" w:rsidR="00854ADA" w:rsidRPr="00FF386D" w:rsidRDefault="00854ADA" w:rsidP="00854ADA">
            <w:pPr>
              <w:spacing w:after="0" w:line="240" w:lineRule="auto"/>
              <w:jc w:val="both"/>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 xml:space="preserve">ПМ_ИИК12 ће јачати циљане истраживачке иницијативе усмерене на дигитализацију енергетских мрежа и развој паметних мрежа, </w:t>
            </w:r>
            <w:r w:rsidR="000106FF" w:rsidRPr="000A2AFE">
              <w:rPr>
                <w:rFonts w:ascii="Calibri Light" w:eastAsia="Times New Roman" w:hAnsi="Calibri Light" w:cs="Calibri Light"/>
                <w:color w:val="000000"/>
                <w:sz w:val="20"/>
                <w:szCs w:val="20"/>
                <w:lang w:eastAsia="en-GB"/>
              </w:rPr>
              <w:t>а</w:t>
            </w:r>
            <w:r w:rsidRPr="000A2AFE">
              <w:rPr>
                <w:rFonts w:ascii="Calibri Light" w:eastAsia="Times New Roman" w:hAnsi="Calibri Light" w:cs="Calibri Light"/>
                <w:color w:val="000000"/>
                <w:sz w:val="20"/>
                <w:szCs w:val="20"/>
                <w:lang w:eastAsia="en-GB"/>
              </w:rPr>
              <w:t xml:space="preserve"> конкретн</w:t>
            </w:r>
            <w:r w:rsidR="000106FF" w:rsidRPr="000A2AFE">
              <w:rPr>
                <w:rFonts w:ascii="Calibri Light" w:eastAsia="Times New Roman" w:hAnsi="Calibri Light" w:cs="Calibri Light"/>
                <w:color w:val="000000"/>
                <w:sz w:val="20"/>
                <w:szCs w:val="20"/>
                <w:lang w:eastAsia="en-GB"/>
              </w:rPr>
              <w:t>о</w:t>
            </w:r>
            <w:r w:rsidRPr="000A2AFE">
              <w:rPr>
                <w:rFonts w:ascii="Calibri Light" w:eastAsia="Times New Roman" w:hAnsi="Calibri Light" w:cs="Calibri Light"/>
                <w:color w:val="000000"/>
                <w:sz w:val="20"/>
                <w:szCs w:val="20"/>
                <w:lang w:eastAsia="en-GB"/>
              </w:rPr>
              <w:t xml:space="preserve"> на (а) стварање иновационог окружења за развој паметних услуга, (б) развој оптимизоване електроенергетске мреже кроз примену решења </w:t>
            </w:r>
            <w:r w:rsidR="000106FF" w:rsidRPr="000A2AFE">
              <w:rPr>
                <w:rFonts w:ascii="Calibri Light" w:eastAsia="Times New Roman" w:hAnsi="Calibri Light" w:cs="Calibri Light"/>
                <w:color w:val="000000"/>
                <w:sz w:val="20"/>
                <w:szCs w:val="20"/>
                <w:lang w:eastAsia="en-GB"/>
              </w:rPr>
              <w:t xml:space="preserve">којима се </w:t>
            </w:r>
            <w:r w:rsidRPr="000A2AFE">
              <w:rPr>
                <w:rFonts w:ascii="Calibri Light" w:eastAsia="Times New Roman" w:hAnsi="Calibri Light" w:cs="Calibri Light"/>
                <w:color w:val="000000"/>
                <w:sz w:val="20"/>
                <w:szCs w:val="20"/>
                <w:lang w:eastAsia="en-GB"/>
              </w:rPr>
              <w:t>повећа</w:t>
            </w:r>
            <w:r w:rsidR="000106FF" w:rsidRPr="000A2AFE">
              <w:rPr>
                <w:rFonts w:ascii="Calibri Light" w:eastAsia="Times New Roman" w:hAnsi="Calibri Light" w:cs="Calibri Light"/>
                <w:color w:val="000000"/>
                <w:sz w:val="20"/>
                <w:szCs w:val="20"/>
                <w:lang w:eastAsia="en-GB"/>
              </w:rPr>
              <w:t>ва</w:t>
            </w:r>
            <w:r w:rsidRPr="000A2AFE">
              <w:rPr>
                <w:rFonts w:ascii="Calibri Light" w:eastAsia="Times New Roman" w:hAnsi="Calibri Light" w:cs="Calibri Light"/>
                <w:color w:val="000000"/>
                <w:sz w:val="20"/>
                <w:szCs w:val="20"/>
                <w:lang w:eastAsia="en-GB"/>
              </w:rPr>
              <w:t xml:space="preserve"> видљивости и </w:t>
            </w:r>
            <w:r w:rsidR="000106FF" w:rsidRPr="000A2AFE">
              <w:rPr>
                <w:rFonts w:ascii="Calibri Light" w:eastAsia="Times New Roman" w:hAnsi="Calibri Light" w:cs="Calibri Light"/>
                <w:color w:val="000000"/>
                <w:sz w:val="20"/>
                <w:szCs w:val="20"/>
                <w:lang w:eastAsia="en-GB"/>
              </w:rPr>
              <w:t xml:space="preserve">ниво </w:t>
            </w:r>
            <w:r w:rsidRPr="000A2AFE">
              <w:rPr>
                <w:rFonts w:ascii="Calibri Light" w:eastAsia="Times New Roman" w:hAnsi="Calibri Light" w:cs="Calibri Light"/>
                <w:color w:val="000000"/>
                <w:sz w:val="20"/>
                <w:szCs w:val="20"/>
                <w:lang w:eastAsia="en-GB"/>
              </w:rPr>
              <w:t>конт</w:t>
            </w:r>
            <w:r w:rsidR="000106FF" w:rsidRPr="000A2AFE">
              <w:rPr>
                <w:rFonts w:ascii="Calibri Light" w:eastAsia="Times New Roman" w:hAnsi="Calibri Light" w:cs="Calibri Light"/>
                <w:color w:val="000000"/>
                <w:sz w:val="20"/>
                <w:szCs w:val="20"/>
                <w:lang w:eastAsia="en-GB"/>
              </w:rPr>
              <w:t>роле</w:t>
            </w:r>
            <w:r w:rsidRPr="000A2AFE">
              <w:rPr>
                <w:rFonts w:ascii="Calibri Light" w:eastAsia="Times New Roman" w:hAnsi="Calibri Light" w:cs="Calibri Light"/>
                <w:color w:val="000000"/>
                <w:sz w:val="20"/>
                <w:szCs w:val="20"/>
                <w:lang w:eastAsia="en-GB"/>
              </w:rPr>
              <w:t xml:space="preserve"> енергетског система </w:t>
            </w:r>
            <w:r w:rsidR="000106FF" w:rsidRPr="000A2AFE">
              <w:rPr>
                <w:rFonts w:ascii="Calibri Light" w:eastAsia="Times New Roman" w:hAnsi="Calibri Light" w:cs="Calibri Light"/>
                <w:color w:val="000000"/>
                <w:sz w:val="20"/>
                <w:szCs w:val="20"/>
                <w:lang w:eastAsia="en-GB"/>
              </w:rPr>
              <w:t>у циљу</w:t>
            </w:r>
            <w:r w:rsidRPr="000A2AFE">
              <w:rPr>
                <w:rFonts w:ascii="Calibri Light" w:eastAsia="Times New Roman" w:hAnsi="Calibri Light" w:cs="Calibri Light"/>
                <w:color w:val="000000"/>
                <w:sz w:val="20"/>
                <w:szCs w:val="20"/>
                <w:lang w:eastAsia="en-GB"/>
              </w:rPr>
              <w:t xml:space="preserve"> боље</w:t>
            </w:r>
            <w:r w:rsidR="000106FF" w:rsidRPr="000A2AFE">
              <w:rPr>
                <w:rFonts w:ascii="Calibri Light" w:eastAsia="Times New Roman" w:hAnsi="Calibri Light" w:cs="Calibri Light"/>
                <w:color w:val="000000"/>
                <w:sz w:val="20"/>
                <w:szCs w:val="20"/>
                <w:lang w:eastAsia="en-GB"/>
              </w:rPr>
              <w:t>г</w:t>
            </w:r>
            <w:r w:rsidRPr="000A2AFE">
              <w:rPr>
                <w:rFonts w:ascii="Calibri Light" w:eastAsia="Times New Roman" w:hAnsi="Calibri Light" w:cs="Calibri Light"/>
                <w:color w:val="000000"/>
                <w:sz w:val="20"/>
                <w:szCs w:val="20"/>
                <w:lang w:eastAsia="en-GB"/>
              </w:rPr>
              <w:t xml:space="preserve"> управљање профилом оптерећења кроз одзив потрошње како би се повећала флексибилност свих врста производње и смањили трошкови свих решења за складиштење енергије минимизовањем укупних трошкова система и (в) развој интегрисаних локалних и регионалних енергетских система кроз интеграцију ОИЕ на регионалном и локалном нивоу, обухватањем различитих енергетских оператера и стварањем иновационог </w:t>
            </w:r>
            <w:r w:rsidRPr="000A2AFE">
              <w:rPr>
                <w:rFonts w:ascii="Calibri Light" w:eastAsia="Times New Roman" w:hAnsi="Calibri Light" w:cs="Calibri Light"/>
                <w:color w:val="000000"/>
                <w:sz w:val="20"/>
                <w:szCs w:val="20"/>
                <w:lang w:eastAsia="en-GB"/>
              </w:rPr>
              <w:lastRenderedPageBreak/>
              <w:t>окружења за паметне услуге у сарадњи са пружаоцима решења на платформи ИКТ.</w:t>
            </w:r>
          </w:p>
        </w:tc>
      </w:tr>
      <w:tr w:rsidR="00854ADA" w:rsidRPr="00FF386D" w14:paraId="55E68D1A" w14:textId="77777777" w:rsidTr="0057310C">
        <w:trPr>
          <w:trHeight w:val="315"/>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651A1B0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Временски оквир имплементације</w:t>
            </w:r>
          </w:p>
        </w:tc>
        <w:tc>
          <w:tcPr>
            <w:tcW w:w="6221" w:type="dxa"/>
            <w:gridSpan w:val="3"/>
            <w:tcBorders>
              <w:top w:val="single" w:sz="8" w:space="0" w:color="auto"/>
              <w:left w:val="nil"/>
              <w:bottom w:val="single" w:sz="8" w:space="0" w:color="auto"/>
              <w:right w:val="single" w:sz="8" w:space="0" w:color="000000"/>
            </w:tcBorders>
            <w:vAlign w:val="center"/>
            <w:hideMark/>
          </w:tcPr>
          <w:p w14:paraId="358BF945" w14:textId="59B41C23"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202</w:t>
            </w:r>
            <w:r w:rsidR="00672F1C" w:rsidRPr="000A2AFE">
              <w:rPr>
                <w:rFonts w:ascii="Calibri Light" w:eastAsia="Times New Roman" w:hAnsi="Calibri Light" w:cs="Calibri Light"/>
                <w:color w:val="000000"/>
                <w:sz w:val="20"/>
                <w:szCs w:val="20"/>
                <w:lang w:eastAsia="en-GB"/>
              </w:rPr>
              <w:t>3</w:t>
            </w:r>
            <w:r w:rsidRPr="000A2AFE">
              <w:rPr>
                <w:rFonts w:ascii="Calibri Light" w:eastAsia="Times New Roman" w:hAnsi="Calibri Light" w:cs="Calibri Light"/>
                <w:color w:val="000000"/>
                <w:sz w:val="20"/>
                <w:szCs w:val="20"/>
                <w:lang w:eastAsia="en-GB"/>
              </w:rPr>
              <w:t>-2030.</w:t>
            </w:r>
          </w:p>
        </w:tc>
      </w:tr>
      <w:tr w:rsidR="00854ADA" w:rsidRPr="00FF386D" w14:paraId="0FD80605" w14:textId="77777777" w:rsidTr="0057310C">
        <w:trPr>
          <w:trHeight w:val="315"/>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08C011C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21" w:type="dxa"/>
            <w:gridSpan w:val="3"/>
            <w:tcBorders>
              <w:top w:val="single" w:sz="8" w:space="0" w:color="auto"/>
              <w:left w:val="nil"/>
              <w:bottom w:val="single" w:sz="8" w:space="0" w:color="auto"/>
              <w:right w:val="single" w:sz="8" w:space="0" w:color="000000"/>
            </w:tcBorders>
            <w:vAlign w:val="center"/>
            <w:hideMark/>
          </w:tcPr>
          <w:p w14:paraId="4B762E38" w14:textId="77777777"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Инвестиција</w:t>
            </w:r>
          </w:p>
        </w:tc>
      </w:tr>
      <w:tr w:rsidR="00854ADA" w:rsidRPr="00FF386D" w14:paraId="63D948D9" w14:textId="77777777" w:rsidTr="0057310C">
        <w:trPr>
          <w:trHeight w:val="315"/>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6D6BA1F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21" w:type="dxa"/>
            <w:gridSpan w:val="3"/>
            <w:tcBorders>
              <w:top w:val="single" w:sz="8" w:space="0" w:color="auto"/>
              <w:left w:val="nil"/>
              <w:bottom w:val="single" w:sz="8" w:space="0" w:color="auto"/>
              <w:right w:val="single" w:sz="8" w:space="0" w:color="000000"/>
            </w:tcBorders>
            <w:vAlign w:val="center"/>
            <w:hideMark/>
          </w:tcPr>
          <w:p w14:paraId="55316AC1" w14:textId="3D080F9D"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Паметни енергетски систем усмере</w:t>
            </w:r>
            <w:r w:rsidR="000106FF" w:rsidRPr="00FF386D">
              <w:rPr>
                <w:rFonts w:ascii="Calibri Light" w:hAnsi="Calibri Light"/>
                <w:sz w:val="20"/>
              </w:rPr>
              <w:t>н</w:t>
            </w:r>
            <w:r w:rsidRPr="00FF386D">
              <w:rPr>
                <w:rFonts w:ascii="Calibri Light" w:hAnsi="Calibri Light"/>
                <w:sz w:val="20"/>
              </w:rPr>
              <w:t xml:space="preserve"> на потрошаче</w:t>
            </w:r>
          </w:p>
        </w:tc>
      </w:tr>
      <w:tr w:rsidR="00854ADA" w:rsidRPr="00FF386D" w14:paraId="18F9E564" w14:textId="77777777" w:rsidTr="0057310C">
        <w:trPr>
          <w:trHeight w:val="315"/>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21CCABC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21" w:type="dxa"/>
            <w:gridSpan w:val="3"/>
            <w:tcBorders>
              <w:top w:val="single" w:sz="8" w:space="0" w:color="auto"/>
              <w:left w:val="nil"/>
              <w:bottom w:val="single" w:sz="8" w:space="0" w:color="auto"/>
              <w:right w:val="single" w:sz="8" w:space="0" w:color="000000"/>
            </w:tcBorders>
            <w:vAlign w:val="center"/>
            <w:hideMark/>
          </w:tcPr>
          <w:p w14:paraId="43E62624" w14:textId="77777777" w:rsidR="00854ADA" w:rsidRPr="00FF386D" w:rsidRDefault="00854ADA" w:rsidP="00854ADA">
            <w:pPr>
              <w:numPr>
                <w:ilvl w:val="0"/>
                <w:numId w:val="91"/>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hAnsi="Calibri Light"/>
                <w:sz w:val="20"/>
              </w:rPr>
              <w:t>Министарство рударства и енергетике</w:t>
            </w:r>
          </w:p>
          <w:p w14:paraId="6F5205CC" w14:textId="77777777" w:rsidR="00854ADA" w:rsidRPr="00FF386D" w:rsidRDefault="00854ADA" w:rsidP="00854ADA">
            <w:pPr>
              <w:numPr>
                <w:ilvl w:val="0"/>
                <w:numId w:val="91"/>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просвете, науке и технолошког развоја</w:t>
            </w:r>
          </w:p>
          <w:p w14:paraId="38B55154" w14:textId="77777777" w:rsidR="00854ADA" w:rsidRPr="00FF386D" w:rsidRDefault="00854ADA" w:rsidP="00854ADA">
            <w:pPr>
              <w:numPr>
                <w:ilvl w:val="0"/>
                <w:numId w:val="91"/>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Министарство финансија</w:t>
            </w:r>
          </w:p>
          <w:p w14:paraId="1EFDE4DA" w14:textId="2C3C0BA1" w:rsidR="00854ADA" w:rsidRPr="00FF386D" w:rsidRDefault="00854ADA" w:rsidP="00854ADA">
            <w:pPr>
              <w:numPr>
                <w:ilvl w:val="0"/>
                <w:numId w:val="91"/>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ОДС</w:t>
            </w:r>
            <w:r w:rsidR="00672F1C" w:rsidRPr="00FF386D">
              <w:rPr>
                <w:rFonts w:ascii="Calibri Light" w:eastAsia="Times New Roman" w:hAnsi="Calibri Light" w:cs="Calibri Light"/>
                <w:color w:val="000000"/>
                <w:sz w:val="20"/>
                <w:szCs w:val="20"/>
                <w:lang w:eastAsia="en-GB"/>
              </w:rPr>
              <w:t xml:space="preserve"> ЕДС</w:t>
            </w:r>
          </w:p>
          <w:p w14:paraId="0D4130CD" w14:textId="6CE76EDD" w:rsidR="00854ADA" w:rsidRPr="00FF386D" w:rsidRDefault="00854ADA" w:rsidP="00854ADA">
            <w:pPr>
              <w:numPr>
                <w:ilvl w:val="0"/>
                <w:numId w:val="91"/>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ОПС</w:t>
            </w:r>
            <w:r w:rsidR="00672F1C" w:rsidRPr="00FF386D">
              <w:rPr>
                <w:rFonts w:ascii="Calibri Light" w:eastAsia="Times New Roman" w:hAnsi="Calibri Light" w:cs="Calibri Light"/>
                <w:color w:val="000000"/>
                <w:sz w:val="20"/>
                <w:szCs w:val="20"/>
                <w:lang w:eastAsia="en-GB"/>
              </w:rPr>
              <w:t xml:space="preserve"> ЕМС</w:t>
            </w:r>
          </w:p>
        </w:tc>
      </w:tr>
      <w:tr w:rsidR="00854ADA" w:rsidRPr="00FF386D" w14:paraId="0ED9A595" w14:textId="77777777" w:rsidTr="0057310C">
        <w:trPr>
          <w:trHeight w:val="315"/>
        </w:trPr>
        <w:tc>
          <w:tcPr>
            <w:tcW w:w="3267" w:type="dxa"/>
            <w:tcBorders>
              <w:top w:val="nil"/>
              <w:left w:val="single" w:sz="8" w:space="0" w:color="auto"/>
              <w:bottom w:val="single" w:sz="8" w:space="0" w:color="auto"/>
              <w:right w:val="nil"/>
            </w:tcBorders>
            <w:shd w:val="clear" w:color="000000" w:fill="244062"/>
            <w:vAlign w:val="center"/>
            <w:hideMark/>
          </w:tcPr>
          <w:p w14:paraId="45E1FAA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21" w:type="dxa"/>
            <w:gridSpan w:val="3"/>
            <w:tcBorders>
              <w:top w:val="single" w:sz="8" w:space="0" w:color="auto"/>
              <w:left w:val="nil"/>
              <w:bottom w:val="single" w:sz="8" w:space="0" w:color="auto"/>
              <w:right w:val="single" w:sz="8" w:space="0" w:color="000000"/>
            </w:tcBorders>
            <w:vAlign w:val="center"/>
            <w:hideMark/>
          </w:tcPr>
          <w:p w14:paraId="0959C3E5" w14:textId="77777777" w:rsidR="00854ADA" w:rsidRPr="00FF386D" w:rsidRDefault="00854ADA" w:rsidP="00854ADA">
            <w:pPr>
              <w:numPr>
                <w:ilvl w:val="0"/>
                <w:numId w:val="197"/>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просвете, науке и технолошког развоја</w:t>
            </w:r>
          </w:p>
          <w:p w14:paraId="53BCD8E5" w14:textId="77777777" w:rsidR="00854ADA" w:rsidRPr="00FF386D" w:rsidRDefault="00854ADA" w:rsidP="00854ADA">
            <w:pPr>
              <w:numPr>
                <w:ilvl w:val="0"/>
                <w:numId w:val="197"/>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рударства и енергетике</w:t>
            </w:r>
          </w:p>
        </w:tc>
      </w:tr>
      <w:tr w:rsidR="00854ADA" w:rsidRPr="00FF386D" w14:paraId="578651A6" w14:textId="77777777" w:rsidTr="0057310C">
        <w:trPr>
          <w:trHeight w:val="315"/>
        </w:trPr>
        <w:tc>
          <w:tcPr>
            <w:tcW w:w="3267" w:type="dxa"/>
            <w:tcBorders>
              <w:top w:val="nil"/>
              <w:left w:val="single" w:sz="8" w:space="0" w:color="auto"/>
              <w:bottom w:val="single" w:sz="8" w:space="0" w:color="auto"/>
              <w:right w:val="nil"/>
            </w:tcBorders>
            <w:shd w:val="clear" w:color="000000" w:fill="244062"/>
            <w:vAlign w:val="center"/>
            <w:hideMark/>
          </w:tcPr>
          <w:p w14:paraId="4EB1F72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21" w:type="dxa"/>
            <w:gridSpan w:val="3"/>
            <w:tcBorders>
              <w:top w:val="single" w:sz="8" w:space="0" w:color="auto"/>
              <w:left w:val="nil"/>
              <w:bottom w:val="single" w:sz="8" w:space="0" w:color="auto"/>
              <w:right w:val="single" w:sz="8" w:space="0" w:color="000000"/>
            </w:tcBorders>
            <w:vAlign w:val="center"/>
            <w:hideMark/>
          </w:tcPr>
          <w:p w14:paraId="1C648671" w14:textId="29BE49D1" w:rsidR="00854ADA" w:rsidRPr="00FF386D" w:rsidRDefault="00854ADA" w:rsidP="00854ADA">
            <w:pPr>
              <w:spacing w:after="0" w:line="240" w:lineRule="auto"/>
              <w:rPr>
                <w:rFonts w:ascii="Calibri Light" w:eastAsia="Times New Roman" w:hAnsi="Calibri Light" w:cs="Calibri Light"/>
                <w:color w:val="000000"/>
                <w:sz w:val="20"/>
                <w:szCs w:val="20"/>
                <w:lang w:eastAsia="en-GB"/>
              </w:rPr>
            </w:pPr>
            <w:r w:rsidRPr="00FF386D">
              <w:rPr>
                <w:rFonts w:ascii="Calibri Light" w:hAnsi="Calibri Light"/>
                <w:sz w:val="20"/>
              </w:rPr>
              <w:t xml:space="preserve">Број </w:t>
            </w:r>
            <w:r w:rsidR="00051895" w:rsidRPr="00FF386D">
              <w:rPr>
                <w:rFonts w:ascii="Calibri Light" w:hAnsi="Calibri Light"/>
                <w:sz w:val="20"/>
              </w:rPr>
              <w:t xml:space="preserve">развијених </w:t>
            </w:r>
            <w:r w:rsidRPr="00FF386D">
              <w:rPr>
                <w:rFonts w:ascii="Calibri Light" w:hAnsi="Calibri Light"/>
                <w:sz w:val="20"/>
              </w:rPr>
              <w:t xml:space="preserve">истраживачких пројеката </w:t>
            </w:r>
            <w:r w:rsidR="00051895" w:rsidRPr="00FF386D">
              <w:rPr>
                <w:rFonts w:ascii="Calibri Light" w:hAnsi="Calibri Light"/>
                <w:sz w:val="20"/>
              </w:rPr>
              <w:t>за</w:t>
            </w:r>
            <w:r w:rsidRPr="00FF386D">
              <w:rPr>
                <w:rFonts w:ascii="Calibri Light" w:hAnsi="Calibri Light"/>
                <w:sz w:val="20"/>
              </w:rPr>
              <w:t xml:space="preserve"> технологиј</w:t>
            </w:r>
            <w:r w:rsidR="00051895" w:rsidRPr="00FF386D">
              <w:rPr>
                <w:rFonts w:ascii="Calibri Light" w:hAnsi="Calibri Light"/>
                <w:sz w:val="20"/>
              </w:rPr>
              <w:t xml:space="preserve">е </w:t>
            </w:r>
            <w:r w:rsidRPr="00FF386D">
              <w:rPr>
                <w:rFonts w:ascii="Calibri Light" w:hAnsi="Calibri Light"/>
                <w:sz w:val="20"/>
              </w:rPr>
              <w:t>дигитализације на годишњој основи</w:t>
            </w:r>
          </w:p>
        </w:tc>
      </w:tr>
      <w:tr w:rsidR="00854ADA" w:rsidRPr="00FF386D" w14:paraId="7F2EFC72" w14:textId="77777777" w:rsidTr="0057310C">
        <w:trPr>
          <w:trHeight w:val="309"/>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56F73AC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21" w:type="dxa"/>
            <w:gridSpan w:val="3"/>
            <w:tcBorders>
              <w:top w:val="single" w:sz="8" w:space="0" w:color="auto"/>
              <w:left w:val="nil"/>
              <w:bottom w:val="single" w:sz="8" w:space="0" w:color="auto"/>
              <w:right w:val="single" w:sz="8" w:space="0" w:color="000000"/>
            </w:tcBorders>
            <w:vAlign w:val="center"/>
          </w:tcPr>
          <w:p w14:paraId="6596A63A" w14:textId="77777777" w:rsidR="00854ADA" w:rsidRPr="00FF386D" w:rsidRDefault="00854ADA" w:rsidP="00854ADA">
            <w:pPr>
              <w:numPr>
                <w:ilvl w:val="0"/>
                <w:numId w:val="9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Унутрашње тржиште енергије</w:t>
            </w:r>
          </w:p>
          <w:p w14:paraId="5F73F947" w14:textId="77777777" w:rsidR="00854ADA" w:rsidRPr="00FF386D" w:rsidRDefault="00854ADA" w:rsidP="00854ADA">
            <w:pPr>
              <w:numPr>
                <w:ilvl w:val="0"/>
                <w:numId w:val="90"/>
              </w:numPr>
              <w:spacing w:after="0" w:line="240" w:lineRule="auto"/>
              <w:contextualSpacing/>
              <w:rPr>
                <w:rFonts w:ascii="Calibri Light" w:eastAsia="Times New Roman" w:hAnsi="Calibri Light" w:cs="Calibri Light"/>
                <w:color w:val="000000"/>
                <w:sz w:val="20"/>
                <w:szCs w:val="20"/>
                <w:lang w:eastAsia="en-GB"/>
              </w:rPr>
            </w:pPr>
            <w:r w:rsidRPr="00FF386D">
              <w:rPr>
                <w:rFonts w:ascii="Calibri Light" w:eastAsia="Times New Roman" w:hAnsi="Calibri Light" w:cs="Calibri Light"/>
                <w:color w:val="000000"/>
                <w:sz w:val="20"/>
                <w:szCs w:val="20"/>
                <w:lang w:eastAsia="en-GB"/>
              </w:rPr>
              <w:t>Енергетска сигурност</w:t>
            </w:r>
          </w:p>
        </w:tc>
      </w:tr>
      <w:tr w:rsidR="00854ADA" w:rsidRPr="00FF386D" w14:paraId="011C3230" w14:textId="77777777" w:rsidTr="0057310C">
        <w:trPr>
          <w:trHeight w:val="450"/>
        </w:trPr>
        <w:tc>
          <w:tcPr>
            <w:tcW w:w="3267"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48979195" w14:textId="4E4BE93B"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21" w:type="dxa"/>
            <w:gridSpan w:val="3"/>
            <w:vMerge w:val="restart"/>
            <w:tcBorders>
              <w:top w:val="single" w:sz="8" w:space="0" w:color="auto"/>
              <w:left w:val="single" w:sz="8" w:space="0" w:color="auto"/>
              <w:bottom w:val="single" w:sz="8" w:space="0" w:color="000000"/>
              <w:right w:val="single" w:sz="8" w:space="0" w:color="000000"/>
            </w:tcBorders>
            <w:vAlign w:val="center"/>
          </w:tcPr>
          <w:p w14:paraId="79B8D7D1" w14:textId="77777777" w:rsidR="00854ADA" w:rsidRPr="000A2AFE" w:rsidRDefault="00854ADA">
            <w:pPr>
              <w:numPr>
                <w:ilvl w:val="0"/>
                <w:numId w:val="243"/>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Европски стратешки план енергетске технологије (план СЕТ)</w:t>
            </w:r>
          </w:p>
          <w:p w14:paraId="433C7333" w14:textId="77777777" w:rsidR="00854ADA" w:rsidRPr="00FF386D" w:rsidRDefault="00854ADA" w:rsidP="00854ADA">
            <w:pPr>
              <w:numPr>
                <w:ilvl w:val="0"/>
                <w:numId w:val="92"/>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Стратегије истраживања и иновација за паметну специјализацију (</w:t>
            </w:r>
            <w:r w:rsidRPr="000A2AFE">
              <w:rPr>
                <w:rFonts w:ascii="Calibri Light" w:eastAsia="Times New Roman" w:hAnsi="Calibri Light" w:cs="Calibri Light"/>
                <w:i/>
                <w:iCs/>
                <w:color w:val="000000"/>
                <w:sz w:val="20"/>
                <w:szCs w:val="20"/>
                <w:lang w:eastAsia="en-GB"/>
              </w:rPr>
              <w:t>RIS 3</w:t>
            </w:r>
            <w:r w:rsidRPr="000A2AFE">
              <w:rPr>
                <w:rFonts w:ascii="Calibri Light" w:eastAsia="Times New Roman" w:hAnsi="Calibri Light" w:cs="Calibri Light"/>
                <w:color w:val="000000"/>
                <w:sz w:val="20"/>
                <w:szCs w:val="20"/>
                <w:lang w:eastAsia="en-GB"/>
              </w:rPr>
              <w:t>)</w:t>
            </w:r>
          </w:p>
        </w:tc>
      </w:tr>
      <w:tr w:rsidR="00854ADA" w:rsidRPr="00FF386D" w14:paraId="3A15DE08"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31BE19EE"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21" w:type="dxa"/>
            <w:gridSpan w:val="3"/>
            <w:vMerge/>
            <w:tcBorders>
              <w:top w:val="single" w:sz="8" w:space="0" w:color="auto"/>
              <w:left w:val="single" w:sz="8" w:space="0" w:color="auto"/>
              <w:bottom w:val="single" w:sz="8" w:space="0" w:color="000000"/>
              <w:right w:val="single" w:sz="8" w:space="0" w:color="000000"/>
            </w:tcBorders>
            <w:vAlign w:val="center"/>
          </w:tcPr>
          <w:p w14:paraId="64F585AB" w14:textId="77777777" w:rsidR="00854ADA" w:rsidRPr="00FF386D" w:rsidRDefault="00854ADA" w:rsidP="00854ADA">
            <w:pPr>
              <w:numPr>
                <w:ilvl w:val="0"/>
                <w:numId w:val="92"/>
              </w:numPr>
              <w:spacing w:after="0" w:line="256" w:lineRule="auto"/>
              <w:contextualSpacing/>
              <w:rPr>
                <w:rFonts w:ascii="Calibri Light" w:eastAsia="Times New Roman" w:hAnsi="Calibri Light" w:cs="Calibri Light"/>
                <w:color w:val="000000"/>
                <w:sz w:val="20"/>
                <w:szCs w:val="20"/>
                <w:lang w:eastAsia="en-GB"/>
              </w:rPr>
            </w:pPr>
          </w:p>
        </w:tc>
      </w:tr>
      <w:tr w:rsidR="00854ADA" w:rsidRPr="00FF386D" w14:paraId="2026E924"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73F3A016"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21" w:type="dxa"/>
            <w:gridSpan w:val="3"/>
            <w:vMerge/>
            <w:tcBorders>
              <w:top w:val="single" w:sz="8" w:space="0" w:color="auto"/>
              <w:left w:val="single" w:sz="8" w:space="0" w:color="auto"/>
              <w:bottom w:val="single" w:sz="8" w:space="0" w:color="000000"/>
              <w:right w:val="single" w:sz="8" w:space="0" w:color="000000"/>
            </w:tcBorders>
            <w:vAlign w:val="center"/>
          </w:tcPr>
          <w:p w14:paraId="64515B42" w14:textId="77777777" w:rsidR="00854ADA" w:rsidRPr="00FF386D" w:rsidRDefault="00854ADA" w:rsidP="00854ADA">
            <w:pPr>
              <w:numPr>
                <w:ilvl w:val="0"/>
                <w:numId w:val="92"/>
              </w:numPr>
              <w:spacing w:after="0" w:line="256" w:lineRule="auto"/>
              <w:contextualSpacing/>
              <w:rPr>
                <w:rFonts w:ascii="Calibri Light" w:eastAsia="Times New Roman" w:hAnsi="Calibri Light" w:cs="Calibri Light"/>
                <w:color w:val="000000"/>
                <w:sz w:val="20"/>
                <w:szCs w:val="20"/>
                <w:lang w:eastAsia="en-GB"/>
              </w:rPr>
            </w:pPr>
          </w:p>
        </w:tc>
      </w:tr>
      <w:tr w:rsidR="00854ADA" w:rsidRPr="00FF386D" w14:paraId="60879DF5" w14:textId="77777777" w:rsidTr="0057310C">
        <w:trPr>
          <w:trHeight w:val="495"/>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0FCACEB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21" w:type="dxa"/>
            <w:gridSpan w:val="3"/>
            <w:tcBorders>
              <w:top w:val="single" w:sz="8" w:space="0" w:color="auto"/>
              <w:left w:val="nil"/>
              <w:bottom w:val="single" w:sz="8" w:space="0" w:color="auto"/>
              <w:right w:val="single" w:sz="8" w:space="0" w:color="000000"/>
            </w:tcBorders>
            <w:vAlign w:val="center"/>
          </w:tcPr>
          <w:p w14:paraId="726904A4" w14:textId="77777777" w:rsidR="00854ADA" w:rsidRPr="000A2AFE" w:rsidRDefault="00854ADA">
            <w:pPr>
              <w:numPr>
                <w:ilvl w:val="0"/>
                <w:numId w:val="243"/>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Закон о Фонду за науку</w:t>
            </w:r>
          </w:p>
          <w:p w14:paraId="41E3F054" w14:textId="77777777" w:rsidR="00854ADA" w:rsidRPr="00FF386D" w:rsidRDefault="00854ADA" w:rsidP="00854ADA">
            <w:pPr>
              <w:numPr>
                <w:ilvl w:val="0"/>
                <w:numId w:val="92"/>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Закон о науци и истраживању</w:t>
            </w:r>
          </w:p>
        </w:tc>
      </w:tr>
      <w:tr w:rsidR="00854ADA" w:rsidRPr="00FF386D" w14:paraId="33916EE4" w14:textId="77777777" w:rsidTr="0057310C">
        <w:trPr>
          <w:trHeight w:val="315"/>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4DC398D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21" w:type="dxa"/>
            <w:gridSpan w:val="3"/>
            <w:tcBorders>
              <w:top w:val="single" w:sz="8" w:space="0" w:color="auto"/>
              <w:left w:val="nil"/>
              <w:bottom w:val="single" w:sz="8" w:space="0" w:color="auto"/>
              <w:right w:val="single" w:sz="8" w:space="0" w:color="000000"/>
            </w:tcBorders>
            <w:vAlign w:val="center"/>
          </w:tcPr>
          <w:p w14:paraId="63CC66D2"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9 милиона евра</w:t>
            </w:r>
          </w:p>
        </w:tc>
      </w:tr>
      <w:tr w:rsidR="00854ADA" w:rsidRPr="00FF386D" w14:paraId="3C0A9C57" w14:textId="77777777" w:rsidTr="0057310C">
        <w:trPr>
          <w:trHeight w:val="315"/>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6D57EA2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21" w:type="dxa"/>
            <w:gridSpan w:val="3"/>
            <w:tcBorders>
              <w:top w:val="single" w:sz="8" w:space="0" w:color="auto"/>
              <w:left w:val="nil"/>
              <w:bottom w:val="single" w:sz="8" w:space="0" w:color="auto"/>
              <w:right w:val="single" w:sz="8" w:space="0" w:color="000000"/>
            </w:tcBorders>
            <w:shd w:val="clear" w:color="auto" w:fill="auto"/>
            <w:vAlign w:val="center"/>
            <w:hideMark/>
          </w:tcPr>
          <w:p w14:paraId="60BFE03E" w14:textId="0C6C485D" w:rsidR="00854ADA" w:rsidRPr="00FF386D" w:rsidRDefault="00854ADA" w:rsidP="00854ADA">
            <w:pPr>
              <w:spacing w:after="0" w:line="240" w:lineRule="auto"/>
              <w:rPr>
                <w:rFonts w:ascii="Calibri" w:eastAsia="Times New Roman" w:hAnsi="Calibri" w:cs="Calibri"/>
                <w:color w:val="000000"/>
                <w:sz w:val="20"/>
                <w:szCs w:val="20"/>
                <w:lang w:eastAsia="en-GB"/>
              </w:rPr>
            </w:pPr>
            <w:r w:rsidRPr="00FF386D">
              <w:rPr>
                <w:rFonts w:asciiTheme="majorHAnsi" w:eastAsia="Times New Roman" w:hAnsiTheme="majorHAnsi" w:cstheme="majorHAnsi"/>
                <w:color w:val="000000"/>
                <w:sz w:val="20"/>
                <w:szCs w:val="20"/>
                <w:lang w:eastAsia="en-GB"/>
              </w:rPr>
              <w:t>Фондови ЕУ</w:t>
            </w:r>
            <w:r w:rsidR="00CE229F">
              <w:rPr>
                <w:rFonts w:asciiTheme="majorHAnsi" w:eastAsia="Times New Roman" w:hAnsiTheme="majorHAnsi" w:cstheme="majorHAnsi"/>
                <w:color w:val="000000"/>
                <w:sz w:val="20"/>
                <w:szCs w:val="20"/>
                <w:lang w:eastAsia="en-GB"/>
              </w:rPr>
              <w:t>, сопствена и</w:t>
            </w:r>
            <w:r w:rsidRPr="00FF386D">
              <w:rPr>
                <w:rFonts w:asciiTheme="majorHAnsi" w:eastAsia="Times New Roman" w:hAnsiTheme="majorHAnsi" w:cstheme="majorHAnsi"/>
                <w:color w:val="000000"/>
                <w:sz w:val="20"/>
                <w:szCs w:val="20"/>
                <w:lang w:eastAsia="en-GB"/>
              </w:rPr>
              <w:t xml:space="preserve"> буџет</w:t>
            </w:r>
            <w:r w:rsidR="00672F1C" w:rsidRPr="00FF386D">
              <w:rPr>
                <w:rFonts w:asciiTheme="majorHAnsi" w:eastAsia="Times New Roman" w:hAnsiTheme="majorHAnsi" w:cstheme="majorHAnsi"/>
                <w:color w:val="000000"/>
                <w:sz w:val="20"/>
                <w:szCs w:val="20"/>
                <w:lang w:eastAsia="en-GB"/>
              </w:rPr>
              <w:t>ска</w:t>
            </w:r>
            <w:r w:rsidRPr="00FF386D">
              <w:rPr>
                <w:rFonts w:asciiTheme="majorHAnsi" w:eastAsia="Times New Roman" w:hAnsiTheme="majorHAnsi" w:cstheme="majorHAnsi"/>
                <w:color w:val="000000"/>
                <w:sz w:val="20"/>
                <w:szCs w:val="20"/>
                <w:lang w:eastAsia="en-GB"/>
              </w:rPr>
              <w:t xml:space="preserve"> средства</w:t>
            </w:r>
            <w:r w:rsidR="00CE229F">
              <w:rPr>
                <w:rFonts w:asciiTheme="majorHAnsi" w:eastAsia="Times New Roman" w:hAnsiTheme="majorHAnsi" w:cstheme="majorHAnsi"/>
                <w:color w:val="000000"/>
                <w:sz w:val="20"/>
                <w:szCs w:val="20"/>
                <w:lang w:eastAsia="en-GB"/>
              </w:rPr>
              <w:t xml:space="preserve">, </w:t>
            </w:r>
            <w:r w:rsidR="00CE229F" w:rsidRPr="00CE229F">
              <w:rPr>
                <w:rFonts w:asciiTheme="majorHAnsi" w:eastAsia="Times New Roman" w:hAnsiTheme="majorHAnsi" w:cstheme="majorHAnsi"/>
                <w:color w:val="000000"/>
                <w:sz w:val="20"/>
                <w:szCs w:val="20"/>
                <w:lang w:eastAsia="en-GB"/>
              </w:rPr>
              <w:t>програми за истраживање и развој</w:t>
            </w:r>
          </w:p>
        </w:tc>
      </w:tr>
    </w:tbl>
    <w:p w14:paraId="7E1C8C12" w14:textId="77777777" w:rsidR="00854ADA" w:rsidRPr="00FF386D" w:rsidRDefault="00854ADA" w:rsidP="00854ADA">
      <w:pPr>
        <w:spacing w:before="120" w:after="120" w:line="240" w:lineRule="auto"/>
        <w:rPr>
          <w:rFonts w:ascii="Calibri" w:eastAsia="Times New Roman" w:hAnsi="Calibri" w:cs="Arial"/>
          <w:highlight w:val="green"/>
          <w:lang w:eastAsia="el-GR"/>
        </w:rPr>
      </w:pPr>
    </w:p>
    <w:tbl>
      <w:tblPr>
        <w:tblW w:w="9488" w:type="dxa"/>
        <w:tblLook w:val="04A0" w:firstRow="1" w:lastRow="0" w:firstColumn="1" w:lastColumn="0" w:noHBand="0" w:noVBand="1"/>
      </w:tblPr>
      <w:tblGrid>
        <w:gridCol w:w="3209"/>
        <w:gridCol w:w="1173"/>
        <w:gridCol w:w="960"/>
        <w:gridCol w:w="4146"/>
      </w:tblGrid>
      <w:tr w:rsidR="00854ADA" w:rsidRPr="00FF386D" w14:paraId="51F306F5" w14:textId="77777777" w:rsidTr="0057310C">
        <w:trPr>
          <w:trHeight w:val="780"/>
        </w:trPr>
        <w:tc>
          <w:tcPr>
            <w:tcW w:w="3209"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28367FE8" w14:textId="770032A1"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173" w:type="dxa"/>
            <w:tcBorders>
              <w:top w:val="single" w:sz="8" w:space="0" w:color="auto"/>
              <w:left w:val="nil"/>
              <w:bottom w:val="single" w:sz="8" w:space="0" w:color="auto"/>
              <w:right w:val="single" w:sz="8" w:space="0" w:color="auto"/>
            </w:tcBorders>
            <w:shd w:val="clear" w:color="auto" w:fill="E7E6E6" w:themeFill="background2"/>
            <w:vAlign w:val="center"/>
            <w:hideMark/>
          </w:tcPr>
          <w:p w14:paraId="4DD5BA60"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МП_ИИК13</w:t>
            </w:r>
          </w:p>
        </w:tc>
        <w:tc>
          <w:tcPr>
            <w:tcW w:w="960" w:type="dxa"/>
            <w:tcBorders>
              <w:top w:val="single" w:sz="8" w:space="0" w:color="auto"/>
              <w:left w:val="nil"/>
              <w:bottom w:val="single" w:sz="8" w:space="0" w:color="auto"/>
              <w:right w:val="single" w:sz="8" w:space="0" w:color="auto"/>
            </w:tcBorders>
            <w:shd w:val="clear" w:color="auto" w:fill="244062"/>
            <w:vAlign w:val="center"/>
            <w:hideMark/>
          </w:tcPr>
          <w:p w14:paraId="1B5BDF9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46" w:type="dxa"/>
            <w:tcBorders>
              <w:top w:val="single" w:sz="8" w:space="0" w:color="auto"/>
              <w:left w:val="nil"/>
              <w:bottom w:val="single" w:sz="8" w:space="0" w:color="auto"/>
              <w:right w:val="single" w:sz="8" w:space="0" w:color="auto"/>
            </w:tcBorders>
            <w:shd w:val="clear" w:color="auto" w:fill="E7E6E6" w:themeFill="background2"/>
            <w:vAlign w:val="center"/>
            <w:hideMark/>
          </w:tcPr>
          <w:p w14:paraId="2E9CD70E"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Развој иновативних технологија у саобраћају и апликација за микромобилност</w:t>
            </w:r>
          </w:p>
        </w:tc>
      </w:tr>
      <w:tr w:rsidR="00854ADA" w:rsidRPr="00FF386D" w14:paraId="366B865F" w14:textId="77777777" w:rsidTr="0057310C">
        <w:trPr>
          <w:trHeight w:val="289"/>
        </w:trPr>
        <w:tc>
          <w:tcPr>
            <w:tcW w:w="3209" w:type="dxa"/>
            <w:tcBorders>
              <w:top w:val="nil"/>
              <w:left w:val="single" w:sz="8" w:space="0" w:color="auto"/>
              <w:bottom w:val="single" w:sz="8" w:space="0" w:color="auto"/>
              <w:right w:val="nil"/>
            </w:tcBorders>
            <w:shd w:val="clear" w:color="000000" w:fill="244062"/>
            <w:vAlign w:val="center"/>
            <w:hideMark/>
          </w:tcPr>
          <w:p w14:paraId="735EBACB" w14:textId="5DA34691"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79" w:type="dxa"/>
            <w:gridSpan w:val="3"/>
            <w:tcBorders>
              <w:top w:val="single" w:sz="8" w:space="0" w:color="auto"/>
              <w:left w:val="nil"/>
              <w:bottom w:val="single" w:sz="8" w:space="0" w:color="auto"/>
              <w:right w:val="single" w:sz="8" w:space="0" w:color="000000"/>
            </w:tcBorders>
            <w:vAlign w:val="center"/>
            <w:hideMark/>
          </w:tcPr>
          <w:p w14:paraId="1430FD21"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Подстицање истраживања и иновација и развој нискоугљеничних технологија</w:t>
            </w:r>
          </w:p>
        </w:tc>
      </w:tr>
      <w:tr w:rsidR="00854ADA" w:rsidRPr="00FF386D" w14:paraId="09772607" w14:textId="77777777" w:rsidTr="0057310C">
        <w:trPr>
          <w:trHeight w:val="315"/>
        </w:trPr>
        <w:tc>
          <w:tcPr>
            <w:tcW w:w="3209" w:type="dxa"/>
            <w:tcBorders>
              <w:top w:val="nil"/>
              <w:left w:val="single" w:sz="8" w:space="0" w:color="auto"/>
              <w:bottom w:val="single" w:sz="8" w:space="0" w:color="auto"/>
              <w:right w:val="single" w:sz="8" w:space="0" w:color="auto"/>
            </w:tcBorders>
            <w:shd w:val="clear" w:color="000000" w:fill="244062"/>
            <w:vAlign w:val="center"/>
            <w:hideMark/>
          </w:tcPr>
          <w:p w14:paraId="560ECADE" w14:textId="5BD72116"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79" w:type="dxa"/>
            <w:gridSpan w:val="3"/>
            <w:tcBorders>
              <w:top w:val="single" w:sz="8" w:space="0" w:color="auto"/>
              <w:left w:val="nil"/>
              <w:bottom w:val="single" w:sz="8" w:space="0" w:color="auto"/>
              <w:right w:val="single" w:sz="8" w:space="0" w:color="000000"/>
            </w:tcBorders>
            <w:vAlign w:val="center"/>
            <w:hideMark/>
          </w:tcPr>
          <w:p w14:paraId="1089971E"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Повећање нивоа технолошке спремности у области енергетике (квалитативан циљ)</w:t>
            </w:r>
          </w:p>
        </w:tc>
      </w:tr>
      <w:tr w:rsidR="00854ADA" w:rsidRPr="00FF386D" w14:paraId="4B26912F" w14:textId="77777777" w:rsidTr="0057310C">
        <w:trPr>
          <w:trHeight w:val="301"/>
        </w:trPr>
        <w:tc>
          <w:tcPr>
            <w:tcW w:w="3209" w:type="dxa"/>
            <w:tcBorders>
              <w:top w:val="nil"/>
              <w:left w:val="single" w:sz="8" w:space="0" w:color="auto"/>
              <w:bottom w:val="single" w:sz="8" w:space="0" w:color="auto"/>
              <w:right w:val="single" w:sz="8" w:space="0" w:color="auto"/>
            </w:tcBorders>
            <w:shd w:val="clear" w:color="000000" w:fill="244062"/>
            <w:vAlign w:val="center"/>
            <w:hideMark/>
          </w:tcPr>
          <w:p w14:paraId="3AFAA30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79" w:type="dxa"/>
            <w:gridSpan w:val="3"/>
            <w:tcBorders>
              <w:top w:val="single" w:sz="8" w:space="0" w:color="auto"/>
              <w:left w:val="nil"/>
              <w:bottom w:val="single" w:sz="8" w:space="0" w:color="auto"/>
              <w:right w:val="single" w:sz="8" w:space="0" w:color="000000"/>
            </w:tcBorders>
            <w:vAlign w:val="center"/>
            <w:hideMark/>
          </w:tcPr>
          <w:p w14:paraId="3C4C0347"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 xml:space="preserve">МП_ИИК13 ће подржати иновативне акције везане за електрична возила, као и њихове стратегије пуњења, при чему ће нагласак бити на потрошњи електричне енергије из ОИЕ, као и на водонику произведеном из ОИЕ. Биће подржане одговарајуће акције за развој иновативних технологија за биогорива као обновљива горива за одрживи саобраћај (горива за друмски и ваздушни саобраћај), и то: (1) развој напредних течних и гасовитих биогорива путем биохемијских или из аутохтоних микроорганизама и примарне енергије из ОИЕ, (2) демонстрација напредних течних и гасовитих биогорива путем биохемијске/термохемијске/хемијске конверзије из одрживе биомасе и/или из аутохтоних микроорганизама и примарне енергије из ОИЕ, (3) развој других течних и гасовитих горива (искључујући водоник) путем термохемијске/ хемијске/ биохемијске/ електрохемијске конверзије неутралних енергената са ОИЕ, (4) демонстрација других течних и гасовитих горива (искључујући водоник) путем термохемијске/хемијске/биохемијске/електрохемијске конверзије неутралних енергената са ОИЕ, (5) производња обновљивог водоника из електролизе воде и електричне енергије из ОИЕ. Такође ће бити </w:t>
            </w:r>
            <w:r w:rsidRPr="000A2AFE">
              <w:rPr>
                <w:rFonts w:ascii="Calibri Light" w:eastAsia="Times New Roman" w:hAnsi="Calibri Light" w:cs="Calibri Light"/>
                <w:color w:val="000000"/>
                <w:sz w:val="20"/>
                <w:szCs w:val="20"/>
                <w:lang w:eastAsia="en-GB"/>
              </w:rPr>
              <w:lastRenderedPageBreak/>
              <w:t>подржане акције за пројектовање ефикасних складишта ТПГ за пуњење бродова горивом.</w:t>
            </w:r>
          </w:p>
        </w:tc>
      </w:tr>
      <w:tr w:rsidR="00854ADA" w:rsidRPr="00FF386D" w14:paraId="73DC496F" w14:textId="77777777" w:rsidTr="0057310C">
        <w:trPr>
          <w:trHeight w:val="315"/>
        </w:trPr>
        <w:tc>
          <w:tcPr>
            <w:tcW w:w="3209" w:type="dxa"/>
            <w:tcBorders>
              <w:top w:val="nil"/>
              <w:left w:val="single" w:sz="8" w:space="0" w:color="auto"/>
              <w:bottom w:val="single" w:sz="8" w:space="0" w:color="auto"/>
              <w:right w:val="single" w:sz="8" w:space="0" w:color="auto"/>
            </w:tcBorders>
            <w:shd w:val="clear" w:color="000000" w:fill="244062"/>
            <w:vAlign w:val="center"/>
            <w:hideMark/>
          </w:tcPr>
          <w:p w14:paraId="219CA27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Временски оквир имплементације</w:t>
            </w:r>
          </w:p>
        </w:tc>
        <w:tc>
          <w:tcPr>
            <w:tcW w:w="6279" w:type="dxa"/>
            <w:gridSpan w:val="3"/>
            <w:tcBorders>
              <w:top w:val="single" w:sz="8" w:space="0" w:color="auto"/>
              <w:left w:val="nil"/>
              <w:bottom w:val="single" w:sz="8" w:space="0" w:color="auto"/>
              <w:right w:val="single" w:sz="8" w:space="0" w:color="000000"/>
            </w:tcBorders>
            <w:vAlign w:val="center"/>
            <w:hideMark/>
          </w:tcPr>
          <w:p w14:paraId="1111D31A" w14:textId="1C381DA0"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202</w:t>
            </w:r>
            <w:r w:rsidR="00672F1C" w:rsidRPr="00FF386D">
              <w:rPr>
                <w:rFonts w:ascii="Calibri Light" w:hAnsi="Calibri Light"/>
                <w:sz w:val="20"/>
              </w:rPr>
              <w:t>3</w:t>
            </w:r>
            <w:r w:rsidRPr="00FF386D">
              <w:rPr>
                <w:rFonts w:ascii="Calibri Light" w:hAnsi="Calibri Light"/>
                <w:sz w:val="20"/>
              </w:rPr>
              <w:t>-2030.</w:t>
            </w:r>
          </w:p>
        </w:tc>
      </w:tr>
      <w:tr w:rsidR="00854ADA" w:rsidRPr="00FF386D" w14:paraId="0DCD84D6" w14:textId="77777777" w:rsidTr="0057310C">
        <w:trPr>
          <w:trHeight w:val="315"/>
        </w:trPr>
        <w:tc>
          <w:tcPr>
            <w:tcW w:w="3209" w:type="dxa"/>
            <w:tcBorders>
              <w:top w:val="nil"/>
              <w:left w:val="single" w:sz="8" w:space="0" w:color="auto"/>
              <w:bottom w:val="single" w:sz="8" w:space="0" w:color="auto"/>
              <w:right w:val="single" w:sz="8" w:space="0" w:color="auto"/>
            </w:tcBorders>
            <w:shd w:val="clear" w:color="000000" w:fill="244062"/>
            <w:vAlign w:val="center"/>
            <w:hideMark/>
          </w:tcPr>
          <w:p w14:paraId="64FA21F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79" w:type="dxa"/>
            <w:gridSpan w:val="3"/>
            <w:tcBorders>
              <w:top w:val="single" w:sz="8" w:space="0" w:color="auto"/>
              <w:left w:val="nil"/>
              <w:bottom w:val="single" w:sz="8" w:space="0" w:color="auto"/>
              <w:right w:val="single" w:sz="8" w:space="0" w:color="000000"/>
            </w:tcBorders>
            <w:vAlign w:val="center"/>
            <w:hideMark/>
          </w:tcPr>
          <w:p w14:paraId="6AF6815C"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Инвестиција</w:t>
            </w:r>
          </w:p>
        </w:tc>
      </w:tr>
      <w:tr w:rsidR="00854ADA" w:rsidRPr="00FF386D" w14:paraId="4BCD3147" w14:textId="77777777" w:rsidTr="0057310C">
        <w:trPr>
          <w:trHeight w:val="315"/>
        </w:trPr>
        <w:tc>
          <w:tcPr>
            <w:tcW w:w="3209" w:type="dxa"/>
            <w:tcBorders>
              <w:top w:val="nil"/>
              <w:left w:val="single" w:sz="8" w:space="0" w:color="auto"/>
              <w:bottom w:val="single" w:sz="8" w:space="0" w:color="auto"/>
              <w:right w:val="single" w:sz="8" w:space="0" w:color="auto"/>
            </w:tcBorders>
            <w:shd w:val="clear" w:color="000000" w:fill="244062"/>
            <w:vAlign w:val="center"/>
            <w:hideMark/>
          </w:tcPr>
          <w:p w14:paraId="206DB42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79" w:type="dxa"/>
            <w:gridSpan w:val="3"/>
            <w:tcBorders>
              <w:top w:val="single" w:sz="8" w:space="0" w:color="auto"/>
              <w:left w:val="nil"/>
              <w:bottom w:val="single" w:sz="8" w:space="0" w:color="auto"/>
              <w:right w:val="single" w:sz="8" w:space="0" w:color="000000"/>
            </w:tcBorders>
            <w:vAlign w:val="center"/>
            <w:hideMark/>
          </w:tcPr>
          <w:p w14:paraId="2BA3F3D0"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Одрживи саобраћај</w:t>
            </w:r>
          </w:p>
        </w:tc>
      </w:tr>
      <w:tr w:rsidR="00854ADA" w:rsidRPr="00FF386D" w14:paraId="02F477F9" w14:textId="77777777" w:rsidTr="0057310C">
        <w:trPr>
          <w:trHeight w:val="315"/>
        </w:trPr>
        <w:tc>
          <w:tcPr>
            <w:tcW w:w="3209" w:type="dxa"/>
            <w:tcBorders>
              <w:top w:val="nil"/>
              <w:left w:val="single" w:sz="8" w:space="0" w:color="auto"/>
              <w:bottom w:val="single" w:sz="8" w:space="0" w:color="auto"/>
              <w:right w:val="single" w:sz="8" w:space="0" w:color="auto"/>
            </w:tcBorders>
            <w:shd w:val="clear" w:color="000000" w:fill="244062"/>
            <w:vAlign w:val="center"/>
            <w:hideMark/>
          </w:tcPr>
          <w:p w14:paraId="19E84BE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79" w:type="dxa"/>
            <w:gridSpan w:val="3"/>
            <w:tcBorders>
              <w:top w:val="single" w:sz="8" w:space="0" w:color="auto"/>
              <w:left w:val="nil"/>
              <w:bottom w:val="single" w:sz="8" w:space="0" w:color="auto"/>
              <w:right w:val="single" w:sz="8" w:space="0" w:color="000000"/>
            </w:tcBorders>
            <w:vAlign w:val="center"/>
            <w:hideMark/>
          </w:tcPr>
          <w:p w14:paraId="7FB4D852" w14:textId="77777777" w:rsidR="00854ADA" w:rsidRPr="00FF386D" w:rsidRDefault="00854ADA" w:rsidP="00854ADA">
            <w:pPr>
              <w:numPr>
                <w:ilvl w:val="0"/>
                <w:numId w:val="197"/>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рударства и енергетике</w:t>
            </w:r>
          </w:p>
          <w:p w14:paraId="57DBC836" w14:textId="77777777" w:rsidR="00854ADA" w:rsidRPr="00FF386D" w:rsidRDefault="00854ADA" w:rsidP="00854ADA">
            <w:pPr>
              <w:numPr>
                <w:ilvl w:val="0"/>
                <w:numId w:val="197"/>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грађевинарства, саобраћаја и инфраструктуре Министарство просвете, науке и технолошког развоја</w:t>
            </w:r>
          </w:p>
          <w:p w14:paraId="259C945D" w14:textId="77777777" w:rsidR="00854ADA" w:rsidRPr="00FF386D" w:rsidRDefault="00854ADA" w:rsidP="00854ADA">
            <w:pPr>
              <w:numPr>
                <w:ilvl w:val="0"/>
                <w:numId w:val="197"/>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финансија</w:t>
            </w:r>
          </w:p>
        </w:tc>
      </w:tr>
      <w:tr w:rsidR="00854ADA" w:rsidRPr="00FF386D" w14:paraId="7AD984D9" w14:textId="77777777" w:rsidTr="0057310C">
        <w:trPr>
          <w:trHeight w:val="315"/>
        </w:trPr>
        <w:tc>
          <w:tcPr>
            <w:tcW w:w="3209" w:type="dxa"/>
            <w:tcBorders>
              <w:top w:val="nil"/>
              <w:left w:val="single" w:sz="8" w:space="0" w:color="auto"/>
              <w:bottom w:val="single" w:sz="8" w:space="0" w:color="auto"/>
              <w:right w:val="nil"/>
            </w:tcBorders>
            <w:shd w:val="clear" w:color="000000" w:fill="244062"/>
            <w:vAlign w:val="center"/>
            <w:hideMark/>
          </w:tcPr>
          <w:p w14:paraId="77AB4A2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79" w:type="dxa"/>
            <w:gridSpan w:val="3"/>
            <w:tcBorders>
              <w:top w:val="single" w:sz="8" w:space="0" w:color="auto"/>
              <w:left w:val="nil"/>
              <w:bottom w:val="single" w:sz="8" w:space="0" w:color="auto"/>
              <w:right w:val="single" w:sz="8" w:space="0" w:color="000000"/>
            </w:tcBorders>
            <w:vAlign w:val="center"/>
            <w:hideMark/>
          </w:tcPr>
          <w:p w14:paraId="0149551B" w14:textId="77777777" w:rsidR="00854ADA" w:rsidRPr="00FF386D" w:rsidRDefault="00854ADA" w:rsidP="00854ADA">
            <w:pPr>
              <w:numPr>
                <w:ilvl w:val="0"/>
                <w:numId w:val="199"/>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просвете, науке и технолошког развоја</w:t>
            </w:r>
          </w:p>
          <w:p w14:paraId="75528C33" w14:textId="77777777" w:rsidR="00854ADA" w:rsidRPr="00FF386D" w:rsidRDefault="00854ADA" w:rsidP="00854ADA">
            <w:pPr>
              <w:numPr>
                <w:ilvl w:val="0"/>
                <w:numId w:val="199"/>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рударства и енергетике</w:t>
            </w:r>
          </w:p>
        </w:tc>
      </w:tr>
      <w:tr w:rsidR="00854ADA" w:rsidRPr="00FF386D" w14:paraId="12E3A571" w14:textId="77777777" w:rsidTr="0057310C">
        <w:trPr>
          <w:trHeight w:val="315"/>
        </w:trPr>
        <w:tc>
          <w:tcPr>
            <w:tcW w:w="3209" w:type="dxa"/>
            <w:tcBorders>
              <w:top w:val="nil"/>
              <w:left w:val="single" w:sz="8" w:space="0" w:color="auto"/>
              <w:bottom w:val="single" w:sz="8" w:space="0" w:color="auto"/>
              <w:right w:val="nil"/>
            </w:tcBorders>
            <w:shd w:val="clear" w:color="000000" w:fill="244062"/>
            <w:vAlign w:val="center"/>
            <w:hideMark/>
          </w:tcPr>
          <w:p w14:paraId="05CA7C0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79" w:type="dxa"/>
            <w:gridSpan w:val="3"/>
            <w:tcBorders>
              <w:top w:val="single" w:sz="8" w:space="0" w:color="auto"/>
              <w:left w:val="nil"/>
              <w:bottom w:val="single" w:sz="8" w:space="0" w:color="auto"/>
              <w:right w:val="single" w:sz="8" w:space="0" w:color="000000"/>
            </w:tcBorders>
            <w:vAlign w:val="center"/>
            <w:hideMark/>
          </w:tcPr>
          <w:p w14:paraId="44051AD8" w14:textId="07A62A1F"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Број развијених истраживачких пројеката за технологије у саобраћају и апликације микромобилност</w:t>
            </w:r>
            <w:r w:rsidR="00051895" w:rsidRPr="00FF386D">
              <w:rPr>
                <w:rFonts w:ascii="Calibri Light" w:hAnsi="Calibri Light"/>
                <w:sz w:val="20"/>
              </w:rPr>
              <w:t>и</w:t>
            </w:r>
            <w:r w:rsidRPr="00FF386D">
              <w:rPr>
                <w:rFonts w:ascii="Calibri Light" w:hAnsi="Calibri Light"/>
                <w:sz w:val="20"/>
              </w:rPr>
              <w:t xml:space="preserve"> </w:t>
            </w:r>
            <w:r w:rsidRPr="00FF386D">
              <w:rPr>
                <w:rFonts w:asciiTheme="majorHAnsi" w:hAnsiTheme="majorHAnsi" w:cstheme="majorHAnsi"/>
                <w:sz w:val="20"/>
                <w:szCs w:val="20"/>
              </w:rPr>
              <w:t>на годишњем нивоу</w:t>
            </w:r>
          </w:p>
        </w:tc>
      </w:tr>
      <w:tr w:rsidR="00854ADA" w:rsidRPr="00FF386D" w14:paraId="50417335" w14:textId="77777777" w:rsidTr="0057310C">
        <w:trPr>
          <w:trHeight w:val="443"/>
        </w:trPr>
        <w:tc>
          <w:tcPr>
            <w:tcW w:w="3209" w:type="dxa"/>
            <w:tcBorders>
              <w:top w:val="nil"/>
              <w:left w:val="single" w:sz="8" w:space="0" w:color="auto"/>
              <w:bottom w:val="single" w:sz="8" w:space="0" w:color="auto"/>
              <w:right w:val="single" w:sz="8" w:space="0" w:color="auto"/>
            </w:tcBorders>
            <w:shd w:val="clear" w:color="000000" w:fill="244062"/>
            <w:vAlign w:val="center"/>
            <w:hideMark/>
          </w:tcPr>
          <w:p w14:paraId="424E92C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79" w:type="dxa"/>
            <w:gridSpan w:val="3"/>
            <w:tcBorders>
              <w:top w:val="single" w:sz="8" w:space="0" w:color="auto"/>
              <w:left w:val="nil"/>
              <w:bottom w:val="single" w:sz="8" w:space="0" w:color="auto"/>
              <w:right w:val="single" w:sz="8" w:space="0" w:color="000000"/>
            </w:tcBorders>
            <w:vAlign w:val="center"/>
          </w:tcPr>
          <w:p w14:paraId="5B61B502" w14:textId="77777777" w:rsidR="00854ADA" w:rsidRPr="00FF386D" w:rsidRDefault="00854ADA" w:rsidP="00854ADA">
            <w:pPr>
              <w:numPr>
                <w:ilvl w:val="0"/>
                <w:numId w:val="90"/>
              </w:numPr>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Унутрашње тржиште енергије</w:t>
            </w:r>
          </w:p>
          <w:p w14:paraId="4E69E9F6" w14:textId="77777777" w:rsidR="00854ADA" w:rsidRPr="00FF386D" w:rsidRDefault="00854ADA" w:rsidP="00854ADA">
            <w:pPr>
              <w:numPr>
                <w:ilvl w:val="0"/>
                <w:numId w:val="90"/>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Енергетска сигурност</w:t>
            </w:r>
          </w:p>
        </w:tc>
      </w:tr>
      <w:tr w:rsidR="00854ADA" w:rsidRPr="00FF386D" w14:paraId="7DCC2F3F" w14:textId="77777777" w:rsidTr="0057310C">
        <w:trPr>
          <w:trHeight w:val="450"/>
        </w:trPr>
        <w:tc>
          <w:tcPr>
            <w:tcW w:w="3209"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79EDA738" w14:textId="09362691"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79" w:type="dxa"/>
            <w:gridSpan w:val="3"/>
            <w:vMerge w:val="restart"/>
            <w:tcBorders>
              <w:top w:val="single" w:sz="8" w:space="0" w:color="auto"/>
              <w:left w:val="single" w:sz="8" w:space="0" w:color="auto"/>
              <w:bottom w:val="single" w:sz="8" w:space="0" w:color="000000"/>
              <w:right w:val="single" w:sz="8" w:space="0" w:color="000000"/>
            </w:tcBorders>
            <w:vAlign w:val="center"/>
          </w:tcPr>
          <w:p w14:paraId="2D350FEC" w14:textId="77777777" w:rsidR="00854ADA" w:rsidRPr="000A2AFE" w:rsidRDefault="00854ADA">
            <w:pPr>
              <w:numPr>
                <w:ilvl w:val="0"/>
                <w:numId w:val="243"/>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Европски стратешки план за енергетске технологије (план СЕТ)</w:t>
            </w:r>
          </w:p>
          <w:p w14:paraId="67B09EE2" w14:textId="77777777" w:rsidR="00854ADA" w:rsidRPr="00FF386D" w:rsidRDefault="00854ADA" w:rsidP="00854ADA">
            <w:pPr>
              <w:numPr>
                <w:ilvl w:val="0"/>
                <w:numId w:val="93"/>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Стратегије истраживања и иновација за паметну специјализацију (</w:t>
            </w:r>
            <w:r w:rsidRPr="000A2AFE">
              <w:rPr>
                <w:rFonts w:ascii="Calibri Light" w:eastAsia="Times New Roman" w:hAnsi="Calibri Light" w:cs="Calibri Light"/>
                <w:i/>
                <w:iCs/>
                <w:color w:val="000000"/>
                <w:sz w:val="20"/>
                <w:szCs w:val="20"/>
                <w:lang w:eastAsia="en-GB"/>
              </w:rPr>
              <w:t>RIS 3</w:t>
            </w:r>
            <w:r w:rsidRPr="000A2AFE">
              <w:rPr>
                <w:rFonts w:ascii="Calibri Light" w:eastAsia="Times New Roman" w:hAnsi="Calibri Light" w:cs="Calibri Light"/>
                <w:color w:val="000000"/>
                <w:sz w:val="20"/>
                <w:szCs w:val="20"/>
                <w:lang w:eastAsia="en-GB"/>
              </w:rPr>
              <w:t>)</w:t>
            </w:r>
          </w:p>
        </w:tc>
      </w:tr>
      <w:tr w:rsidR="00854ADA" w:rsidRPr="00FF386D" w14:paraId="36105805"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1D3D7A5A"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79" w:type="dxa"/>
            <w:gridSpan w:val="3"/>
            <w:vMerge/>
            <w:tcBorders>
              <w:top w:val="single" w:sz="8" w:space="0" w:color="auto"/>
              <w:left w:val="single" w:sz="8" w:space="0" w:color="auto"/>
              <w:bottom w:val="single" w:sz="8" w:space="0" w:color="000000"/>
              <w:right w:val="single" w:sz="8" w:space="0" w:color="000000"/>
            </w:tcBorders>
            <w:vAlign w:val="center"/>
          </w:tcPr>
          <w:p w14:paraId="5A8B88EA" w14:textId="77777777" w:rsidR="00854ADA" w:rsidRPr="00FF386D" w:rsidRDefault="00854ADA" w:rsidP="00854ADA">
            <w:pPr>
              <w:numPr>
                <w:ilvl w:val="0"/>
                <w:numId w:val="93"/>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7DA4FFD3"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2C0D7795"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79" w:type="dxa"/>
            <w:gridSpan w:val="3"/>
            <w:vMerge/>
            <w:tcBorders>
              <w:top w:val="single" w:sz="8" w:space="0" w:color="auto"/>
              <w:left w:val="single" w:sz="8" w:space="0" w:color="auto"/>
              <w:bottom w:val="single" w:sz="8" w:space="0" w:color="000000"/>
              <w:right w:val="single" w:sz="8" w:space="0" w:color="000000"/>
            </w:tcBorders>
            <w:vAlign w:val="center"/>
          </w:tcPr>
          <w:p w14:paraId="1BB158B6" w14:textId="77777777" w:rsidR="00854ADA" w:rsidRPr="00FF386D" w:rsidRDefault="00854ADA" w:rsidP="00854ADA">
            <w:pPr>
              <w:numPr>
                <w:ilvl w:val="0"/>
                <w:numId w:val="93"/>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3B918BE7" w14:textId="77777777" w:rsidTr="0057310C">
        <w:trPr>
          <w:trHeight w:val="515"/>
        </w:trPr>
        <w:tc>
          <w:tcPr>
            <w:tcW w:w="3209" w:type="dxa"/>
            <w:tcBorders>
              <w:top w:val="nil"/>
              <w:left w:val="single" w:sz="8" w:space="0" w:color="auto"/>
              <w:bottom w:val="single" w:sz="8" w:space="0" w:color="auto"/>
              <w:right w:val="single" w:sz="8" w:space="0" w:color="auto"/>
            </w:tcBorders>
            <w:shd w:val="clear" w:color="000000" w:fill="244062"/>
            <w:vAlign w:val="center"/>
            <w:hideMark/>
          </w:tcPr>
          <w:p w14:paraId="3DF74D5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79" w:type="dxa"/>
            <w:gridSpan w:val="3"/>
            <w:tcBorders>
              <w:top w:val="single" w:sz="8" w:space="0" w:color="auto"/>
              <w:left w:val="nil"/>
              <w:bottom w:val="single" w:sz="8" w:space="0" w:color="auto"/>
              <w:right w:val="single" w:sz="8" w:space="0" w:color="000000"/>
            </w:tcBorders>
            <w:vAlign w:val="center"/>
          </w:tcPr>
          <w:p w14:paraId="535E0C71" w14:textId="77777777" w:rsidR="00854ADA" w:rsidRPr="000A2AFE" w:rsidRDefault="00854ADA">
            <w:pPr>
              <w:numPr>
                <w:ilvl w:val="0"/>
                <w:numId w:val="243"/>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Закон о Фонду за науку</w:t>
            </w:r>
          </w:p>
          <w:p w14:paraId="5A103A18" w14:textId="77777777" w:rsidR="00854ADA" w:rsidRPr="00FF386D" w:rsidRDefault="00854ADA" w:rsidP="00854ADA">
            <w:pPr>
              <w:numPr>
                <w:ilvl w:val="0"/>
                <w:numId w:val="93"/>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Закон о науци и истраживању</w:t>
            </w:r>
          </w:p>
        </w:tc>
      </w:tr>
      <w:tr w:rsidR="00854ADA" w:rsidRPr="00FF386D" w14:paraId="68A83E43" w14:textId="77777777" w:rsidTr="0057310C">
        <w:trPr>
          <w:trHeight w:val="315"/>
        </w:trPr>
        <w:tc>
          <w:tcPr>
            <w:tcW w:w="3209" w:type="dxa"/>
            <w:tcBorders>
              <w:top w:val="nil"/>
              <w:left w:val="single" w:sz="8" w:space="0" w:color="auto"/>
              <w:bottom w:val="single" w:sz="8" w:space="0" w:color="auto"/>
              <w:right w:val="single" w:sz="8" w:space="0" w:color="auto"/>
            </w:tcBorders>
            <w:shd w:val="clear" w:color="000000" w:fill="244062"/>
            <w:vAlign w:val="center"/>
            <w:hideMark/>
          </w:tcPr>
          <w:p w14:paraId="59B0E6F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79" w:type="dxa"/>
            <w:gridSpan w:val="3"/>
            <w:tcBorders>
              <w:top w:val="single" w:sz="8" w:space="0" w:color="auto"/>
              <w:left w:val="nil"/>
              <w:bottom w:val="single" w:sz="8" w:space="0" w:color="auto"/>
              <w:right w:val="single" w:sz="8" w:space="0" w:color="000000"/>
            </w:tcBorders>
            <w:vAlign w:val="center"/>
          </w:tcPr>
          <w:p w14:paraId="7298BD6F"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10,9 милиона евра</w:t>
            </w:r>
          </w:p>
        </w:tc>
      </w:tr>
      <w:tr w:rsidR="00854ADA" w:rsidRPr="00FF386D" w14:paraId="05868D22" w14:textId="77777777" w:rsidTr="0057310C">
        <w:trPr>
          <w:trHeight w:val="315"/>
        </w:trPr>
        <w:tc>
          <w:tcPr>
            <w:tcW w:w="3209" w:type="dxa"/>
            <w:tcBorders>
              <w:top w:val="nil"/>
              <w:left w:val="single" w:sz="8" w:space="0" w:color="auto"/>
              <w:bottom w:val="single" w:sz="8" w:space="0" w:color="auto"/>
              <w:right w:val="single" w:sz="8" w:space="0" w:color="auto"/>
            </w:tcBorders>
            <w:shd w:val="clear" w:color="000000" w:fill="244062"/>
            <w:vAlign w:val="center"/>
            <w:hideMark/>
          </w:tcPr>
          <w:p w14:paraId="196982C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79" w:type="dxa"/>
            <w:gridSpan w:val="3"/>
            <w:tcBorders>
              <w:top w:val="single" w:sz="8" w:space="0" w:color="auto"/>
              <w:left w:val="nil"/>
              <w:bottom w:val="single" w:sz="8" w:space="0" w:color="auto"/>
              <w:right w:val="single" w:sz="8" w:space="0" w:color="000000"/>
            </w:tcBorders>
            <w:shd w:val="clear" w:color="auto" w:fill="auto"/>
            <w:vAlign w:val="center"/>
            <w:hideMark/>
          </w:tcPr>
          <w:p w14:paraId="7FCA0DF6" w14:textId="53928A75"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Фондови ЕУ</w:t>
            </w:r>
            <w:r w:rsidR="00CE229F">
              <w:rPr>
                <w:rFonts w:asciiTheme="majorHAnsi" w:eastAsia="Times New Roman" w:hAnsiTheme="majorHAnsi" w:cstheme="majorHAnsi"/>
                <w:color w:val="000000"/>
                <w:sz w:val="20"/>
                <w:szCs w:val="20"/>
                <w:lang w:eastAsia="en-GB"/>
              </w:rPr>
              <w:t>, сопствена и</w:t>
            </w:r>
            <w:r w:rsidRPr="00FF386D">
              <w:rPr>
                <w:rFonts w:asciiTheme="majorHAnsi" w:eastAsia="Times New Roman" w:hAnsiTheme="majorHAnsi" w:cstheme="majorHAnsi"/>
                <w:color w:val="000000"/>
                <w:sz w:val="20"/>
                <w:szCs w:val="20"/>
                <w:lang w:eastAsia="en-GB"/>
              </w:rPr>
              <w:t xml:space="preserve"> буџет</w:t>
            </w:r>
            <w:r w:rsidR="00672F1C" w:rsidRPr="00FF386D">
              <w:rPr>
                <w:rFonts w:asciiTheme="majorHAnsi" w:eastAsia="Times New Roman" w:hAnsiTheme="majorHAnsi" w:cstheme="majorHAnsi"/>
                <w:color w:val="000000"/>
                <w:sz w:val="20"/>
                <w:szCs w:val="20"/>
                <w:lang w:eastAsia="en-GB"/>
              </w:rPr>
              <w:t>ска</w:t>
            </w:r>
            <w:r w:rsidRPr="00FF386D">
              <w:rPr>
                <w:rFonts w:asciiTheme="majorHAnsi" w:eastAsia="Times New Roman" w:hAnsiTheme="majorHAnsi" w:cstheme="majorHAnsi"/>
                <w:color w:val="000000"/>
                <w:sz w:val="20"/>
                <w:szCs w:val="20"/>
                <w:lang w:eastAsia="en-GB"/>
              </w:rPr>
              <w:t xml:space="preserve"> средства</w:t>
            </w:r>
            <w:r w:rsidR="00CE229F">
              <w:rPr>
                <w:rFonts w:asciiTheme="majorHAnsi" w:eastAsia="Times New Roman" w:hAnsiTheme="majorHAnsi" w:cstheme="majorHAnsi"/>
                <w:color w:val="000000"/>
                <w:sz w:val="20"/>
                <w:szCs w:val="20"/>
                <w:lang w:eastAsia="en-GB"/>
              </w:rPr>
              <w:t xml:space="preserve">, </w:t>
            </w:r>
            <w:r w:rsidR="00CE229F" w:rsidRPr="00CE229F">
              <w:rPr>
                <w:rFonts w:asciiTheme="majorHAnsi" w:eastAsia="Times New Roman" w:hAnsiTheme="majorHAnsi" w:cstheme="majorHAnsi"/>
                <w:color w:val="000000"/>
                <w:sz w:val="20"/>
                <w:szCs w:val="20"/>
                <w:lang w:eastAsia="en-GB"/>
              </w:rPr>
              <w:t>програми за истраживање и развој</w:t>
            </w:r>
          </w:p>
        </w:tc>
      </w:tr>
    </w:tbl>
    <w:p w14:paraId="15E10115" w14:textId="77777777" w:rsidR="00854ADA" w:rsidRPr="00FF386D" w:rsidRDefault="00854ADA" w:rsidP="00854ADA">
      <w:pPr>
        <w:spacing w:before="120" w:after="120" w:line="240" w:lineRule="auto"/>
        <w:rPr>
          <w:rFonts w:ascii="Calibri" w:eastAsia="Times New Roman" w:hAnsi="Calibri" w:cs="Arial"/>
          <w:highlight w:val="green"/>
          <w:lang w:eastAsia="el-GR"/>
        </w:rPr>
      </w:pPr>
    </w:p>
    <w:tbl>
      <w:tblPr>
        <w:tblW w:w="9488" w:type="dxa"/>
        <w:tblLook w:val="04A0" w:firstRow="1" w:lastRow="0" w:firstColumn="1" w:lastColumn="0" w:noHBand="0" w:noVBand="1"/>
      </w:tblPr>
      <w:tblGrid>
        <w:gridCol w:w="3267"/>
        <w:gridCol w:w="1173"/>
        <w:gridCol w:w="934"/>
        <w:gridCol w:w="4114"/>
      </w:tblGrid>
      <w:tr w:rsidR="00854ADA" w:rsidRPr="00FF386D" w14:paraId="449E75D7" w14:textId="77777777" w:rsidTr="0057310C">
        <w:trPr>
          <w:trHeight w:val="780"/>
        </w:trPr>
        <w:tc>
          <w:tcPr>
            <w:tcW w:w="3267"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73F35127" w14:textId="671D1EDC"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173" w:type="dxa"/>
            <w:tcBorders>
              <w:top w:val="single" w:sz="8" w:space="0" w:color="auto"/>
              <w:left w:val="nil"/>
              <w:bottom w:val="single" w:sz="8" w:space="0" w:color="auto"/>
              <w:right w:val="single" w:sz="8" w:space="0" w:color="auto"/>
            </w:tcBorders>
            <w:shd w:val="clear" w:color="auto" w:fill="E7E6E6" w:themeFill="background2"/>
            <w:vAlign w:val="center"/>
            <w:hideMark/>
          </w:tcPr>
          <w:p w14:paraId="587D2CCB"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МП_ИИК14</w:t>
            </w:r>
          </w:p>
        </w:tc>
        <w:tc>
          <w:tcPr>
            <w:tcW w:w="934" w:type="dxa"/>
            <w:tcBorders>
              <w:top w:val="single" w:sz="8" w:space="0" w:color="auto"/>
              <w:left w:val="nil"/>
              <w:bottom w:val="single" w:sz="8" w:space="0" w:color="auto"/>
              <w:right w:val="single" w:sz="8" w:space="0" w:color="auto"/>
            </w:tcBorders>
            <w:shd w:val="clear" w:color="auto" w:fill="244062"/>
            <w:vAlign w:val="center"/>
            <w:hideMark/>
          </w:tcPr>
          <w:p w14:paraId="552C49A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1F135B33" w14:textId="77777777" w:rsidR="00854ADA" w:rsidRPr="00FF386D" w:rsidRDefault="00854ADA" w:rsidP="00854ADA">
            <w:pPr>
              <w:spacing w:after="0" w:line="240" w:lineRule="auto"/>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Развој иновативних апликација за складиштење енергије</w:t>
            </w:r>
          </w:p>
        </w:tc>
      </w:tr>
      <w:tr w:rsidR="00854ADA" w:rsidRPr="00FF386D" w14:paraId="6C970EC4" w14:textId="77777777" w:rsidTr="0057310C">
        <w:trPr>
          <w:trHeight w:val="289"/>
        </w:trPr>
        <w:tc>
          <w:tcPr>
            <w:tcW w:w="3267" w:type="dxa"/>
            <w:tcBorders>
              <w:top w:val="nil"/>
              <w:left w:val="single" w:sz="8" w:space="0" w:color="auto"/>
              <w:bottom w:val="single" w:sz="8" w:space="0" w:color="auto"/>
              <w:right w:val="nil"/>
            </w:tcBorders>
            <w:shd w:val="clear" w:color="000000" w:fill="244062"/>
            <w:vAlign w:val="center"/>
            <w:hideMark/>
          </w:tcPr>
          <w:p w14:paraId="0E1B896F" w14:textId="6335BDE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21" w:type="dxa"/>
            <w:gridSpan w:val="3"/>
            <w:tcBorders>
              <w:top w:val="single" w:sz="8" w:space="0" w:color="auto"/>
              <w:left w:val="nil"/>
              <w:bottom w:val="single" w:sz="8" w:space="0" w:color="auto"/>
              <w:right w:val="single" w:sz="8" w:space="0" w:color="000000"/>
            </w:tcBorders>
            <w:vAlign w:val="center"/>
            <w:hideMark/>
          </w:tcPr>
          <w:p w14:paraId="51741002"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Подстицање истраживања и иновација и развој нискоугљеничних технологија</w:t>
            </w:r>
          </w:p>
        </w:tc>
      </w:tr>
      <w:tr w:rsidR="00854ADA" w:rsidRPr="00FF386D" w14:paraId="149065E0" w14:textId="77777777" w:rsidTr="0057310C">
        <w:trPr>
          <w:trHeight w:val="315"/>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7A1E6092" w14:textId="1FC33AE9"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21" w:type="dxa"/>
            <w:gridSpan w:val="3"/>
            <w:tcBorders>
              <w:top w:val="single" w:sz="8" w:space="0" w:color="auto"/>
              <w:left w:val="nil"/>
              <w:bottom w:val="single" w:sz="8" w:space="0" w:color="auto"/>
              <w:right w:val="single" w:sz="8" w:space="0" w:color="000000"/>
            </w:tcBorders>
            <w:vAlign w:val="center"/>
          </w:tcPr>
          <w:p w14:paraId="7A6BCC7A"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Повећање нивоа технолошке спремности у области енергетике (квалитативан циљ)</w:t>
            </w:r>
          </w:p>
        </w:tc>
      </w:tr>
      <w:tr w:rsidR="00854ADA" w:rsidRPr="00FF386D" w14:paraId="579DEFC2" w14:textId="77777777" w:rsidTr="0057310C">
        <w:trPr>
          <w:trHeight w:val="1229"/>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02A0F81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21" w:type="dxa"/>
            <w:gridSpan w:val="3"/>
            <w:tcBorders>
              <w:top w:val="single" w:sz="8" w:space="0" w:color="auto"/>
              <w:left w:val="nil"/>
              <w:bottom w:val="single" w:sz="8" w:space="0" w:color="auto"/>
              <w:right w:val="single" w:sz="8" w:space="0" w:color="000000"/>
            </w:tcBorders>
            <w:vAlign w:val="center"/>
            <w:hideMark/>
          </w:tcPr>
          <w:p w14:paraId="745AB9FC" w14:textId="73194C12"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МП_ИИК14 ће бити усмерена на развој нових технологија складиштења или побољшање постојећих технологија са већ</w:t>
            </w:r>
            <w:r w:rsidR="000B1FC7" w:rsidRPr="00FF386D">
              <w:rPr>
                <w:rFonts w:ascii="Calibri Light" w:hAnsi="Calibri Light"/>
                <w:sz w:val="20"/>
              </w:rPr>
              <w:t>им нивоом</w:t>
            </w:r>
            <w:r w:rsidRPr="00FF386D">
              <w:rPr>
                <w:rFonts w:ascii="Calibri Light" w:hAnsi="Calibri Light"/>
                <w:sz w:val="20"/>
              </w:rPr>
              <w:t xml:space="preserve"> ефикасно</w:t>
            </w:r>
            <w:r w:rsidR="000B1FC7" w:rsidRPr="00FF386D">
              <w:rPr>
                <w:rFonts w:ascii="Calibri Light" w:hAnsi="Calibri Light"/>
                <w:sz w:val="20"/>
              </w:rPr>
              <w:t>сти</w:t>
            </w:r>
            <w:r w:rsidRPr="00FF386D">
              <w:rPr>
                <w:rFonts w:ascii="Calibri Light" w:hAnsi="Calibri Light"/>
                <w:sz w:val="20"/>
              </w:rPr>
              <w:t>, доступно</w:t>
            </w:r>
            <w:r w:rsidR="000B1FC7" w:rsidRPr="00FF386D">
              <w:rPr>
                <w:rFonts w:ascii="Calibri Light" w:hAnsi="Calibri Light"/>
                <w:sz w:val="20"/>
              </w:rPr>
              <w:t>сти</w:t>
            </w:r>
            <w:r w:rsidRPr="00FF386D">
              <w:rPr>
                <w:rFonts w:ascii="Calibri Light" w:hAnsi="Calibri Light"/>
                <w:sz w:val="20"/>
              </w:rPr>
              <w:t>, издржљиво</w:t>
            </w:r>
            <w:r w:rsidR="000B1FC7" w:rsidRPr="00FF386D">
              <w:rPr>
                <w:rFonts w:ascii="Calibri Light" w:hAnsi="Calibri Light"/>
                <w:sz w:val="20"/>
              </w:rPr>
              <w:t>сти</w:t>
            </w:r>
            <w:r w:rsidRPr="00FF386D">
              <w:rPr>
                <w:rFonts w:ascii="Calibri Light" w:hAnsi="Calibri Light"/>
                <w:sz w:val="20"/>
              </w:rPr>
              <w:t>, сигурно</w:t>
            </w:r>
            <w:r w:rsidR="000B1FC7" w:rsidRPr="00FF386D">
              <w:rPr>
                <w:rFonts w:ascii="Calibri Light" w:hAnsi="Calibri Light"/>
                <w:sz w:val="20"/>
              </w:rPr>
              <w:t xml:space="preserve">сти </w:t>
            </w:r>
            <w:r w:rsidRPr="00FF386D">
              <w:rPr>
                <w:rFonts w:ascii="Calibri Light" w:hAnsi="Calibri Light"/>
                <w:sz w:val="20"/>
              </w:rPr>
              <w:t>уз најниже могуће трошкове. Биће подржане технологије за складиштење електрохемијске енергије,</w:t>
            </w:r>
            <w:r w:rsidR="000B1FC7" w:rsidRPr="00FF386D">
              <w:rPr>
                <w:rFonts w:ascii="Calibri Light" w:hAnsi="Calibri Light"/>
                <w:sz w:val="20"/>
              </w:rPr>
              <w:t xml:space="preserve"> које ће се</w:t>
            </w:r>
            <w:r w:rsidRPr="00FF386D">
              <w:rPr>
                <w:rFonts w:ascii="Calibri Light" w:hAnsi="Calibri Light"/>
                <w:sz w:val="20"/>
              </w:rPr>
              <w:t xml:space="preserve"> углавном односити на апликације ОИЕ за употребу у неинтерконектованој електричној мрежи или у удаљеним деловима мреже електричне енергије.</w:t>
            </w:r>
          </w:p>
        </w:tc>
      </w:tr>
      <w:tr w:rsidR="00854ADA" w:rsidRPr="00FF386D" w14:paraId="2F847B74" w14:textId="77777777" w:rsidTr="0057310C">
        <w:trPr>
          <w:trHeight w:val="315"/>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6103D5F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21" w:type="dxa"/>
            <w:gridSpan w:val="3"/>
            <w:tcBorders>
              <w:top w:val="single" w:sz="8" w:space="0" w:color="auto"/>
              <w:left w:val="nil"/>
              <w:bottom w:val="single" w:sz="8" w:space="0" w:color="auto"/>
              <w:right w:val="single" w:sz="8" w:space="0" w:color="000000"/>
            </w:tcBorders>
            <w:vAlign w:val="center"/>
            <w:hideMark/>
          </w:tcPr>
          <w:p w14:paraId="6B33710A" w14:textId="37D68D7C" w:rsidR="00854ADA" w:rsidRPr="00FF386D" w:rsidRDefault="00210317"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202</w:t>
            </w:r>
            <w:r>
              <w:rPr>
                <w:rFonts w:ascii="Calibri Light" w:hAnsi="Calibri Light"/>
                <w:sz w:val="20"/>
              </w:rPr>
              <w:t>3</w:t>
            </w:r>
            <w:r w:rsidR="00854ADA" w:rsidRPr="00FF386D">
              <w:rPr>
                <w:rFonts w:ascii="Calibri Light" w:hAnsi="Calibri Light"/>
                <w:sz w:val="20"/>
              </w:rPr>
              <w:t>-2030.</w:t>
            </w:r>
          </w:p>
        </w:tc>
      </w:tr>
      <w:tr w:rsidR="00854ADA" w:rsidRPr="00FF386D" w14:paraId="5F4AE6A1" w14:textId="77777777" w:rsidTr="0057310C">
        <w:trPr>
          <w:trHeight w:val="315"/>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0880DD7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21" w:type="dxa"/>
            <w:gridSpan w:val="3"/>
            <w:tcBorders>
              <w:top w:val="single" w:sz="8" w:space="0" w:color="auto"/>
              <w:left w:val="nil"/>
              <w:bottom w:val="single" w:sz="8" w:space="0" w:color="auto"/>
              <w:right w:val="single" w:sz="8" w:space="0" w:color="000000"/>
            </w:tcBorders>
            <w:vAlign w:val="center"/>
            <w:hideMark/>
          </w:tcPr>
          <w:p w14:paraId="52BE0822"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Инвестиција</w:t>
            </w:r>
          </w:p>
        </w:tc>
      </w:tr>
      <w:tr w:rsidR="00854ADA" w:rsidRPr="00FF386D" w14:paraId="72F8C837" w14:textId="77777777" w:rsidTr="0057310C">
        <w:trPr>
          <w:trHeight w:val="315"/>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577E860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21" w:type="dxa"/>
            <w:gridSpan w:val="3"/>
            <w:tcBorders>
              <w:top w:val="single" w:sz="8" w:space="0" w:color="auto"/>
              <w:left w:val="nil"/>
              <w:bottom w:val="single" w:sz="8" w:space="0" w:color="auto"/>
              <w:right w:val="single" w:sz="8" w:space="0" w:color="000000"/>
            </w:tcBorders>
            <w:vAlign w:val="center"/>
            <w:hideMark/>
          </w:tcPr>
          <w:p w14:paraId="2BE7B433"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Одрживи саобраћај, паметан енергетски систем, </w:t>
            </w:r>
            <w:r w:rsidRPr="00FF386D">
              <w:rPr>
                <w:rFonts w:ascii="Calibri Light" w:hAnsi="Calibri Light"/>
                <w:i/>
                <w:iCs/>
                <w:sz w:val="20"/>
              </w:rPr>
              <w:t>CCUS</w:t>
            </w:r>
          </w:p>
        </w:tc>
      </w:tr>
      <w:tr w:rsidR="00854ADA" w:rsidRPr="00FF386D" w14:paraId="1DC9A7E3" w14:textId="77777777" w:rsidTr="0057310C">
        <w:trPr>
          <w:trHeight w:val="315"/>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4D25CEF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21" w:type="dxa"/>
            <w:gridSpan w:val="3"/>
            <w:tcBorders>
              <w:top w:val="single" w:sz="8" w:space="0" w:color="auto"/>
              <w:left w:val="nil"/>
              <w:bottom w:val="single" w:sz="8" w:space="0" w:color="auto"/>
              <w:right w:val="single" w:sz="8" w:space="0" w:color="000000"/>
            </w:tcBorders>
            <w:vAlign w:val="center"/>
            <w:hideMark/>
          </w:tcPr>
          <w:p w14:paraId="3E8152EA" w14:textId="77777777" w:rsidR="00854ADA" w:rsidRPr="00FF386D" w:rsidRDefault="00854ADA" w:rsidP="00854ADA">
            <w:pPr>
              <w:numPr>
                <w:ilvl w:val="0"/>
                <w:numId w:val="200"/>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рударства и енергетике</w:t>
            </w:r>
          </w:p>
          <w:p w14:paraId="0256A08C" w14:textId="77777777" w:rsidR="00854ADA" w:rsidRPr="00FF386D" w:rsidRDefault="00854ADA" w:rsidP="00854ADA">
            <w:pPr>
              <w:numPr>
                <w:ilvl w:val="0"/>
                <w:numId w:val="200"/>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просвете, науке и технолошког развоја</w:t>
            </w:r>
          </w:p>
          <w:p w14:paraId="5059BD8D" w14:textId="77777777" w:rsidR="00854ADA" w:rsidRPr="00FF386D" w:rsidRDefault="00854ADA" w:rsidP="00854ADA">
            <w:pPr>
              <w:numPr>
                <w:ilvl w:val="0"/>
                <w:numId w:val="200"/>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финансија</w:t>
            </w:r>
          </w:p>
        </w:tc>
      </w:tr>
      <w:tr w:rsidR="00854ADA" w:rsidRPr="00FF386D" w14:paraId="77A63253" w14:textId="77777777" w:rsidTr="0057310C">
        <w:trPr>
          <w:trHeight w:val="315"/>
        </w:trPr>
        <w:tc>
          <w:tcPr>
            <w:tcW w:w="3267" w:type="dxa"/>
            <w:tcBorders>
              <w:top w:val="nil"/>
              <w:left w:val="single" w:sz="8" w:space="0" w:color="auto"/>
              <w:bottom w:val="single" w:sz="8" w:space="0" w:color="auto"/>
              <w:right w:val="nil"/>
            </w:tcBorders>
            <w:shd w:val="clear" w:color="000000" w:fill="244062"/>
            <w:vAlign w:val="center"/>
            <w:hideMark/>
          </w:tcPr>
          <w:p w14:paraId="5C3A7BE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21" w:type="dxa"/>
            <w:gridSpan w:val="3"/>
            <w:tcBorders>
              <w:top w:val="single" w:sz="8" w:space="0" w:color="auto"/>
              <w:left w:val="nil"/>
              <w:bottom w:val="single" w:sz="8" w:space="0" w:color="auto"/>
              <w:right w:val="single" w:sz="8" w:space="0" w:color="000000"/>
            </w:tcBorders>
            <w:vAlign w:val="center"/>
            <w:hideMark/>
          </w:tcPr>
          <w:p w14:paraId="4AAFBE28" w14:textId="77777777" w:rsidR="00854ADA" w:rsidRPr="00FF386D" w:rsidRDefault="00854ADA" w:rsidP="00854ADA">
            <w:pPr>
              <w:numPr>
                <w:ilvl w:val="0"/>
                <w:numId w:val="200"/>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просвете, науке и технолошког развоја</w:t>
            </w:r>
          </w:p>
          <w:p w14:paraId="6384C5D4" w14:textId="3CFEA5DD" w:rsidR="00854ADA" w:rsidRPr="00210317" w:rsidRDefault="00854ADA" w:rsidP="000A2AFE">
            <w:pPr>
              <w:numPr>
                <w:ilvl w:val="0"/>
                <w:numId w:val="200"/>
              </w:numPr>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рударства и енергетике</w:t>
            </w:r>
          </w:p>
        </w:tc>
      </w:tr>
      <w:tr w:rsidR="00854ADA" w:rsidRPr="00FF386D" w14:paraId="24297971" w14:textId="77777777" w:rsidTr="0057310C">
        <w:trPr>
          <w:trHeight w:val="315"/>
        </w:trPr>
        <w:tc>
          <w:tcPr>
            <w:tcW w:w="3267" w:type="dxa"/>
            <w:tcBorders>
              <w:top w:val="nil"/>
              <w:left w:val="single" w:sz="8" w:space="0" w:color="auto"/>
              <w:bottom w:val="single" w:sz="8" w:space="0" w:color="auto"/>
              <w:right w:val="nil"/>
            </w:tcBorders>
            <w:shd w:val="clear" w:color="000000" w:fill="244062"/>
            <w:vAlign w:val="center"/>
            <w:hideMark/>
          </w:tcPr>
          <w:p w14:paraId="3DE591F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21" w:type="dxa"/>
            <w:gridSpan w:val="3"/>
            <w:tcBorders>
              <w:top w:val="single" w:sz="8" w:space="0" w:color="auto"/>
              <w:left w:val="nil"/>
              <w:bottom w:val="single" w:sz="8" w:space="0" w:color="auto"/>
              <w:right w:val="single" w:sz="8" w:space="0" w:color="000000"/>
            </w:tcBorders>
            <w:vAlign w:val="center"/>
            <w:hideMark/>
          </w:tcPr>
          <w:p w14:paraId="2B1D754B"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Број развијених истраживачких пројеката за апликације складиштења енергије на годишњем нивоу</w:t>
            </w:r>
          </w:p>
        </w:tc>
      </w:tr>
      <w:tr w:rsidR="00854ADA" w:rsidRPr="00FF386D" w14:paraId="69423CBD" w14:textId="77777777" w:rsidTr="0057310C">
        <w:trPr>
          <w:trHeight w:val="455"/>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6624AA8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21" w:type="dxa"/>
            <w:gridSpan w:val="3"/>
            <w:tcBorders>
              <w:top w:val="single" w:sz="8" w:space="0" w:color="auto"/>
              <w:left w:val="nil"/>
              <w:bottom w:val="single" w:sz="8" w:space="0" w:color="auto"/>
              <w:right w:val="single" w:sz="8" w:space="0" w:color="000000"/>
            </w:tcBorders>
            <w:vAlign w:val="center"/>
          </w:tcPr>
          <w:p w14:paraId="27B006DE" w14:textId="77777777" w:rsidR="00854ADA" w:rsidRPr="00FF386D" w:rsidRDefault="00854ADA" w:rsidP="00854ADA">
            <w:pPr>
              <w:numPr>
                <w:ilvl w:val="0"/>
                <w:numId w:val="90"/>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Унутрашње тржиште енергије</w:t>
            </w:r>
          </w:p>
          <w:p w14:paraId="2704411A" w14:textId="77777777" w:rsidR="00854ADA" w:rsidRPr="00FF386D" w:rsidRDefault="00854ADA" w:rsidP="00854ADA">
            <w:pPr>
              <w:numPr>
                <w:ilvl w:val="0"/>
                <w:numId w:val="90"/>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Енергетска сигурност</w:t>
            </w:r>
          </w:p>
        </w:tc>
      </w:tr>
      <w:tr w:rsidR="00854ADA" w:rsidRPr="00FF386D" w14:paraId="61C0D6F2" w14:textId="77777777" w:rsidTr="0057310C">
        <w:trPr>
          <w:trHeight w:val="450"/>
        </w:trPr>
        <w:tc>
          <w:tcPr>
            <w:tcW w:w="3267"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2D2104A4" w14:textId="2257F765"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21" w:type="dxa"/>
            <w:gridSpan w:val="3"/>
            <w:vMerge w:val="restart"/>
            <w:tcBorders>
              <w:top w:val="single" w:sz="8" w:space="0" w:color="auto"/>
              <w:left w:val="single" w:sz="8" w:space="0" w:color="auto"/>
              <w:bottom w:val="single" w:sz="8" w:space="0" w:color="000000"/>
              <w:right w:val="single" w:sz="8" w:space="0" w:color="000000"/>
            </w:tcBorders>
            <w:vAlign w:val="center"/>
          </w:tcPr>
          <w:p w14:paraId="66BBC338" w14:textId="77777777" w:rsidR="00854ADA" w:rsidRPr="000A2AFE" w:rsidRDefault="00854ADA">
            <w:pPr>
              <w:numPr>
                <w:ilvl w:val="0"/>
                <w:numId w:val="243"/>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Европски стратешки план за енергетске технологије (план СЕТ)</w:t>
            </w:r>
          </w:p>
          <w:p w14:paraId="4C3D2BA9" w14:textId="77777777" w:rsidR="00854ADA" w:rsidRPr="00FF386D" w:rsidRDefault="00854ADA" w:rsidP="00854ADA">
            <w:pPr>
              <w:numPr>
                <w:ilvl w:val="0"/>
                <w:numId w:val="94"/>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 xml:space="preserve">Стратегије истраживања и иновација за паметну специјализацију </w:t>
            </w:r>
            <w:r w:rsidRPr="000A2AFE">
              <w:rPr>
                <w:rFonts w:ascii="Calibri Light" w:eastAsia="Times New Roman" w:hAnsi="Calibri Light" w:cs="Calibri Light"/>
                <w:i/>
                <w:iCs/>
                <w:color w:val="000000"/>
                <w:sz w:val="20"/>
                <w:szCs w:val="20"/>
                <w:lang w:eastAsia="en-GB"/>
              </w:rPr>
              <w:t>(RIS 3</w:t>
            </w:r>
            <w:r w:rsidRPr="000A2AFE">
              <w:rPr>
                <w:rFonts w:ascii="Calibri Light" w:eastAsia="Times New Roman" w:hAnsi="Calibri Light" w:cs="Calibri Light"/>
                <w:color w:val="000000"/>
                <w:sz w:val="20"/>
                <w:szCs w:val="20"/>
                <w:lang w:eastAsia="en-GB"/>
              </w:rPr>
              <w:t>)</w:t>
            </w:r>
          </w:p>
        </w:tc>
      </w:tr>
      <w:tr w:rsidR="00854ADA" w:rsidRPr="00FF386D" w14:paraId="5B94E5C4"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3E02F8FA"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21" w:type="dxa"/>
            <w:gridSpan w:val="3"/>
            <w:vMerge/>
            <w:tcBorders>
              <w:top w:val="single" w:sz="8" w:space="0" w:color="auto"/>
              <w:left w:val="single" w:sz="8" w:space="0" w:color="auto"/>
              <w:bottom w:val="single" w:sz="8" w:space="0" w:color="000000"/>
              <w:right w:val="single" w:sz="8" w:space="0" w:color="000000"/>
            </w:tcBorders>
            <w:vAlign w:val="center"/>
          </w:tcPr>
          <w:p w14:paraId="13165A5A" w14:textId="77777777" w:rsidR="00854ADA" w:rsidRPr="00FF386D" w:rsidRDefault="00854ADA" w:rsidP="00854ADA">
            <w:pPr>
              <w:numPr>
                <w:ilvl w:val="0"/>
                <w:numId w:val="94"/>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095B1045"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7A3F7D72"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21" w:type="dxa"/>
            <w:gridSpan w:val="3"/>
            <w:vMerge/>
            <w:tcBorders>
              <w:top w:val="single" w:sz="8" w:space="0" w:color="auto"/>
              <w:left w:val="single" w:sz="8" w:space="0" w:color="auto"/>
              <w:bottom w:val="single" w:sz="8" w:space="0" w:color="000000"/>
              <w:right w:val="single" w:sz="8" w:space="0" w:color="000000"/>
            </w:tcBorders>
            <w:vAlign w:val="center"/>
          </w:tcPr>
          <w:p w14:paraId="70BC782B" w14:textId="77777777" w:rsidR="00854ADA" w:rsidRPr="00FF386D" w:rsidRDefault="00854ADA" w:rsidP="00854ADA">
            <w:pPr>
              <w:numPr>
                <w:ilvl w:val="0"/>
                <w:numId w:val="94"/>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0DCFE2E6" w14:textId="77777777" w:rsidTr="0057310C">
        <w:trPr>
          <w:trHeight w:val="488"/>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058BEA4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21" w:type="dxa"/>
            <w:gridSpan w:val="3"/>
            <w:tcBorders>
              <w:top w:val="single" w:sz="8" w:space="0" w:color="auto"/>
              <w:left w:val="nil"/>
              <w:bottom w:val="single" w:sz="8" w:space="0" w:color="auto"/>
              <w:right w:val="single" w:sz="8" w:space="0" w:color="000000"/>
            </w:tcBorders>
            <w:vAlign w:val="center"/>
          </w:tcPr>
          <w:p w14:paraId="63A77D02" w14:textId="77777777" w:rsidR="00854ADA" w:rsidRPr="000A2AFE" w:rsidRDefault="00854ADA">
            <w:pPr>
              <w:numPr>
                <w:ilvl w:val="0"/>
                <w:numId w:val="243"/>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Закон о Фонду за науку</w:t>
            </w:r>
          </w:p>
          <w:p w14:paraId="2B73A00D" w14:textId="77777777" w:rsidR="00854ADA" w:rsidRPr="00FF386D" w:rsidRDefault="00854ADA" w:rsidP="00854ADA">
            <w:pPr>
              <w:numPr>
                <w:ilvl w:val="0"/>
                <w:numId w:val="94"/>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Закон о науци и истраживању</w:t>
            </w:r>
          </w:p>
        </w:tc>
      </w:tr>
      <w:tr w:rsidR="00854ADA" w:rsidRPr="00FF386D" w14:paraId="1D48F042" w14:textId="77777777" w:rsidTr="0057310C">
        <w:trPr>
          <w:trHeight w:val="315"/>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7B4052A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21" w:type="dxa"/>
            <w:gridSpan w:val="3"/>
            <w:tcBorders>
              <w:top w:val="single" w:sz="8" w:space="0" w:color="auto"/>
              <w:left w:val="nil"/>
              <w:bottom w:val="single" w:sz="8" w:space="0" w:color="auto"/>
              <w:right w:val="single" w:sz="8" w:space="0" w:color="000000"/>
            </w:tcBorders>
            <w:vAlign w:val="center"/>
          </w:tcPr>
          <w:p w14:paraId="6DB03E0A"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9 милиона евра</w:t>
            </w:r>
          </w:p>
        </w:tc>
      </w:tr>
      <w:tr w:rsidR="00854ADA" w:rsidRPr="00FF386D" w14:paraId="04F7B847" w14:textId="77777777" w:rsidTr="0057310C">
        <w:trPr>
          <w:trHeight w:val="315"/>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1235D9B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21" w:type="dxa"/>
            <w:gridSpan w:val="3"/>
            <w:tcBorders>
              <w:top w:val="single" w:sz="8" w:space="0" w:color="auto"/>
              <w:left w:val="nil"/>
              <w:bottom w:val="single" w:sz="8" w:space="0" w:color="auto"/>
              <w:right w:val="single" w:sz="8" w:space="0" w:color="000000"/>
            </w:tcBorders>
            <w:shd w:val="clear" w:color="auto" w:fill="auto"/>
            <w:vAlign w:val="center"/>
            <w:hideMark/>
          </w:tcPr>
          <w:p w14:paraId="36EEDF42" w14:textId="4BA8CA0E" w:rsidR="00854ADA" w:rsidRPr="00FF386D" w:rsidRDefault="00CE229F" w:rsidP="00854ADA">
            <w:pPr>
              <w:spacing w:after="0" w:line="240" w:lineRule="auto"/>
              <w:rPr>
                <w:rFonts w:asciiTheme="majorHAnsi" w:eastAsia="Times New Roman" w:hAnsiTheme="majorHAnsi" w:cstheme="majorHAnsi"/>
                <w:color w:val="000000"/>
                <w:sz w:val="20"/>
                <w:szCs w:val="20"/>
                <w:lang w:eastAsia="en-GB"/>
              </w:rPr>
            </w:pPr>
            <w:r w:rsidRPr="00CE229F">
              <w:rPr>
                <w:rFonts w:asciiTheme="majorHAnsi" w:eastAsia="Times New Roman" w:hAnsiTheme="majorHAnsi" w:cstheme="majorHAnsi"/>
                <w:color w:val="000000"/>
                <w:sz w:val="20"/>
                <w:szCs w:val="20"/>
                <w:lang w:eastAsia="en-GB"/>
              </w:rPr>
              <w:t>Фондови ЕУ, сопствена и буџетска средства, програми за истраживање и развој</w:t>
            </w:r>
          </w:p>
        </w:tc>
      </w:tr>
    </w:tbl>
    <w:p w14:paraId="2E653258" w14:textId="77777777" w:rsidR="00854ADA" w:rsidRPr="00FF386D" w:rsidRDefault="00854ADA" w:rsidP="00854ADA">
      <w:pPr>
        <w:spacing w:before="120" w:after="120" w:line="240" w:lineRule="auto"/>
        <w:rPr>
          <w:rFonts w:ascii="Calibri" w:eastAsia="Times New Roman" w:hAnsi="Calibri" w:cs="Arial"/>
          <w:highlight w:val="green"/>
          <w:lang w:eastAsia="el-GR"/>
        </w:rPr>
      </w:pPr>
    </w:p>
    <w:tbl>
      <w:tblPr>
        <w:tblW w:w="9488" w:type="dxa"/>
        <w:tblLook w:val="04A0" w:firstRow="1" w:lastRow="0" w:firstColumn="1" w:lastColumn="0" w:noHBand="0" w:noVBand="1"/>
      </w:tblPr>
      <w:tblGrid>
        <w:gridCol w:w="3268"/>
        <w:gridCol w:w="1173"/>
        <w:gridCol w:w="933"/>
        <w:gridCol w:w="4114"/>
      </w:tblGrid>
      <w:tr w:rsidR="00854ADA" w:rsidRPr="00FF386D" w14:paraId="3A92EED4" w14:textId="77777777" w:rsidTr="0057310C">
        <w:trPr>
          <w:trHeight w:val="780"/>
        </w:trPr>
        <w:tc>
          <w:tcPr>
            <w:tcW w:w="3268"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7B49166F" w14:textId="1FB7B704"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173" w:type="dxa"/>
            <w:tcBorders>
              <w:top w:val="single" w:sz="8" w:space="0" w:color="auto"/>
              <w:left w:val="nil"/>
              <w:bottom w:val="single" w:sz="8" w:space="0" w:color="auto"/>
              <w:right w:val="single" w:sz="8" w:space="0" w:color="auto"/>
            </w:tcBorders>
            <w:shd w:val="clear" w:color="auto" w:fill="E7E6E6" w:themeFill="background2"/>
            <w:vAlign w:val="center"/>
            <w:hideMark/>
          </w:tcPr>
          <w:p w14:paraId="3DEE9091"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МП_ИИК15</w:t>
            </w:r>
          </w:p>
        </w:tc>
        <w:tc>
          <w:tcPr>
            <w:tcW w:w="933" w:type="dxa"/>
            <w:tcBorders>
              <w:top w:val="single" w:sz="8" w:space="0" w:color="auto"/>
              <w:left w:val="nil"/>
              <w:bottom w:val="single" w:sz="8" w:space="0" w:color="auto"/>
              <w:right w:val="single" w:sz="8" w:space="0" w:color="auto"/>
            </w:tcBorders>
            <w:shd w:val="clear" w:color="auto" w:fill="244062"/>
            <w:vAlign w:val="center"/>
            <w:hideMark/>
          </w:tcPr>
          <w:p w14:paraId="042CE86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14" w:type="dxa"/>
            <w:tcBorders>
              <w:top w:val="single" w:sz="8" w:space="0" w:color="auto"/>
              <w:left w:val="nil"/>
              <w:bottom w:val="single" w:sz="8" w:space="0" w:color="auto"/>
              <w:right w:val="single" w:sz="8" w:space="0" w:color="auto"/>
            </w:tcBorders>
            <w:shd w:val="clear" w:color="auto" w:fill="E7E6E6" w:themeFill="background2"/>
            <w:vAlign w:val="center"/>
            <w:hideMark/>
          </w:tcPr>
          <w:p w14:paraId="49DCE6E6"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Промовисање међусекторске и географске мобилности истраживача</w:t>
            </w:r>
          </w:p>
        </w:tc>
      </w:tr>
      <w:tr w:rsidR="00854ADA" w:rsidRPr="00FF386D" w14:paraId="3D3A0A58" w14:textId="77777777" w:rsidTr="0057310C">
        <w:trPr>
          <w:trHeight w:val="327"/>
        </w:trPr>
        <w:tc>
          <w:tcPr>
            <w:tcW w:w="3268" w:type="dxa"/>
            <w:tcBorders>
              <w:top w:val="nil"/>
              <w:left w:val="single" w:sz="8" w:space="0" w:color="auto"/>
              <w:bottom w:val="single" w:sz="8" w:space="0" w:color="auto"/>
              <w:right w:val="nil"/>
            </w:tcBorders>
            <w:shd w:val="clear" w:color="000000" w:fill="244062"/>
            <w:vAlign w:val="center"/>
            <w:hideMark/>
          </w:tcPr>
          <w:p w14:paraId="31E11CB9" w14:textId="65F4DB09"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20" w:type="dxa"/>
            <w:gridSpan w:val="3"/>
            <w:tcBorders>
              <w:top w:val="single" w:sz="8" w:space="0" w:color="auto"/>
              <w:left w:val="nil"/>
              <w:bottom w:val="single" w:sz="8" w:space="0" w:color="auto"/>
              <w:right w:val="single" w:sz="8" w:space="0" w:color="000000"/>
            </w:tcBorders>
            <w:vAlign w:val="center"/>
            <w:hideMark/>
          </w:tcPr>
          <w:p w14:paraId="2417B9A7" w14:textId="06284314"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Промо</w:t>
            </w:r>
            <w:r w:rsidR="000B1FC7" w:rsidRPr="000A2AFE">
              <w:rPr>
                <w:rFonts w:ascii="Calibri Light" w:eastAsia="Times New Roman" w:hAnsi="Calibri Light" w:cs="Calibri Light"/>
                <w:color w:val="000000"/>
                <w:sz w:val="20"/>
                <w:szCs w:val="20"/>
                <w:lang w:eastAsia="en-GB"/>
              </w:rPr>
              <w:t xml:space="preserve">висање </w:t>
            </w:r>
            <w:r w:rsidRPr="000A2AFE">
              <w:rPr>
                <w:rFonts w:ascii="Calibri Light" w:eastAsia="Times New Roman" w:hAnsi="Calibri Light" w:cs="Calibri Light"/>
                <w:color w:val="000000"/>
                <w:sz w:val="20"/>
                <w:szCs w:val="20"/>
                <w:lang w:eastAsia="en-GB"/>
              </w:rPr>
              <w:t>истраживања и иновација</w:t>
            </w:r>
          </w:p>
        </w:tc>
      </w:tr>
      <w:tr w:rsidR="00854ADA" w:rsidRPr="00FF386D" w14:paraId="4FD888ED" w14:textId="77777777" w:rsidTr="0057310C">
        <w:trPr>
          <w:trHeight w:val="551"/>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76ABA12A" w14:textId="7D83C62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20" w:type="dxa"/>
            <w:gridSpan w:val="3"/>
            <w:tcBorders>
              <w:top w:val="single" w:sz="8" w:space="0" w:color="auto"/>
              <w:left w:val="nil"/>
              <w:bottom w:val="single" w:sz="8" w:space="0" w:color="auto"/>
              <w:right w:val="single" w:sz="8" w:space="0" w:color="000000"/>
            </w:tcBorders>
            <w:vAlign w:val="center"/>
          </w:tcPr>
          <w:p w14:paraId="3152C83D"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Повећање нивоа технолошке спремности у области енергетике (квалитативан циљ)</w:t>
            </w:r>
          </w:p>
        </w:tc>
      </w:tr>
      <w:tr w:rsidR="00854ADA" w:rsidRPr="00FF386D" w14:paraId="796EEAEC" w14:textId="77777777" w:rsidTr="0057310C">
        <w:trPr>
          <w:trHeight w:val="918"/>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4109D1D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20" w:type="dxa"/>
            <w:gridSpan w:val="3"/>
            <w:tcBorders>
              <w:top w:val="single" w:sz="8" w:space="0" w:color="auto"/>
              <w:left w:val="nil"/>
              <w:bottom w:val="single" w:sz="8" w:space="0" w:color="auto"/>
              <w:right w:val="single" w:sz="8" w:space="0" w:color="000000"/>
            </w:tcBorders>
            <w:vAlign w:val="center"/>
            <w:hideMark/>
          </w:tcPr>
          <w:p w14:paraId="30C4654C" w14:textId="1AE75184"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 xml:space="preserve">МП_ИИК15 ће омогућити </w:t>
            </w:r>
            <w:r w:rsidR="000B1FC7" w:rsidRPr="000A2AFE">
              <w:rPr>
                <w:rFonts w:ascii="Calibri Light" w:eastAsia="Times New Roman" w:hAnsi="Calibri Light" w:cs="Calibri Light"/>
                <w:color w:val="000000"/>
                <w:sz w:val="20"/>
                <w:szCs w:val="20"/>
                <w:lang w:eastAsia="en-GB"/>
              </w:rPr>
              <w:t>трансфер</w:t>
            </w:r>
            <w:r w:rsidRPr="000A2AFE">
              <w:rPr>
                <w:rFonts w:ascii="Calibri Light" w:eastAsia="Times New Roman" w:hAnsi="Calibri Light" w:cs="Calibri Light"/>
                <w:color w:val="000000"/>
                <w:sz w:val="20"/>
                <w:szCs w:val="20"/>
                <w:lang w:eastAsia="en-GB"/>
              </w:rPr>
              <w:t xml:space="preserve"> знања и искуства између истраживача из индустрије и академске заједнице, као и улазну и излазну мобилност потребну за изградњу интерних капацитета. На пример, на највишем образовном нивоу</w:t>
            </w:r>
            <w:r w:rsidR="000B1FC7" w:rsidRPr="000A2AFE">
              <w:rPr>
                <w:rFonts w:ascii="Calibri Light" w:eastAsia="Times New Roman" w:hAnsi="Calibri Light" w:cs="Calibri Light"/>
                <w:color w:val="000000"/>
                <w:sz w:val="20"/>
                <w:szCs w:val="20"/>
                <w:lang w:eastAsia="en-GB"/>
              </w:rPr>
              <w:t xml:space="preserve"> се</w:t>
            </w:r>
            <w:r w:rsidRPr="000A2AFE">
              <w:rPr>
                <w:rFonts w:ascii="Calibri Light" w:eastAsia="Times New Roman" w:hAnsi="Calibri Light" w:cs="Calibri Light"/>
                <w:color w:val="000000"/>
                <w:sz w:val="20"/>
                <w:szCs w:val="20"/>
                <w:lang w:eastAsia="en-GB"/>
              </w:rPr>
              <w:t xml:space="preserve"> могу промовисати докторати у области индустрије као средство за подршку науци утемељеној на индустрији.</w:t>
            </w:r>
          </w:p>
        </w:tc>
      </w:tr>
      <w:tr w:rsidR="00854ADA" w:rsidRPr="00FF386D" w14:paraId="316AE230" w14:textId="77777777" w:rsidTr="0057310C">
        <w:trPr>
          <w:trHeight w:val="315"/>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2F37698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20" w:type="dxa"/>
            <w:gridSpan w:val="3"/>
            <w:tcBorders>
              <w:top w:val="single" w:sz="8" w:space="0" w:color="auto"/>
              <w:left w:val="nil"/>
              <w:bottom w:val="single" w:sz="8" w:space="0" w:color="auto"/>
              <w:right w:val="single" w:sz="8" w:space="0" w:color="000000"/>
            </w:tcBorders>
            <w:vAlign w:val="center"/>
            <w:hideMark/>
          </w:tcPr>
          <w:p w14:paraId="7BD83B61" w14:textId="6F0873EB"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202</w:t>
            </w:r>
            <w:r w:rsidR="00672F1C" w:rsidRPr="00FF386D">
              <w:rPr>
                <w:rFonts w:ascii="Calibri Light" w:hAnsi="Calibri Light"/>
                <w:sz w:val="20"/>
              </w:rPr>
              <w:t>3</w:t>
            </w:r>
            <w:r w:rsidRPr="00FF386D">
              <w:rPr>
                <w:rFonts w:ascii="Calibri Light" w:hAnsi="Calibri Light"/>
                <w:sz w:val="20"/>
              </w:rPr>
              <w:t>-2030.</w:t>
            </w:r>
          </w:p>
        </w:tc>
      </w:tr>
      <w:tr w:rsidR="00854ADA" w:rsidRPr="00FF386D" w14:paraId="79832583" w14:textId="77777777" w:rsidTr="0057310C">
        <w:trPr>
          <w:trHeight w:val="315"/>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6C741F4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20" w:type="dxa"/>
            <w:gridSpan w:val="3"/>
            <w:tcBorders>
              <w:top w:val="single" w:sz="8" w:space="0" w:color="auto"/>
              <w:left w:val="nil"/>
              <w:bottom w:val="single" w:sz="8" w:space="0" w:color="auto"/>
              <w:right w:val="single" w:sz="8" w:space="0" w:color="000000"/>
            </w:tcBorders>
            <w:vAlign w:val="center"/>
            <w:hideMark/>
          </w:tcPr>
          <w:p w14:paraId="3DE0F0D0"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Инвестиција</w:t>
            </w:r>
          </w:p>
        </w:tc>
      </w:tr>
      <w:tr w:rsidR="00854ADA" w:rsidRPr="00FF386D" w14:paraId="542E135E" w14:textId="77777777" w:rsidTr="0057310C">
        <w:trPr>
          <w:trHeight w:val="315"/>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37431D8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20" w:type="dxa"/>
            <w:gridSpan w:val="3"/>
            <w:tcBorders>
              <w:top w:val="single" w:sz="8" w:space="0" w:color="auto"/>
              <w:left w:val="nil"/>
              <w:bottom w:val="single" w:sz="8" w:space="0" w:color="auto"/>
              <w:right w:val="single" w:sz="8" w:space="0" w:color="000000"/>
            </w:tcBorders>
            <w:vAlign w:val="center"/>
            <w:hideMark/>
          </w:tcPr>
          <w:p w14:paraId="24CFD514" w14:textId="372EE429"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Све области </w:t>
            </w:r>
            <w:r w:rsidR="000B1FC7" w:rsidRPr="00FF386D">
              <w:rPr>
                <w:rFonts w:ascii="Calibri Light" w:hAnsi="Calibri Light"/>
                <w:sz w:val="20"/>
              </w:rPr>
              <w:t>И</w:t>
            </w:r>
            <w:r w:rsidRPr="00FF386D">
              <w:rPr>
                <w:rFonts w:ascii="Calibri Light" w:hAnsi="Calibri Light"/>
                <w:sz w:val="20"/>
              </w:rPr>
              <w:t>НЕКП-а</w:t>
            </w:r>
          </w:p>
        </w:tc>
      </w:tr>
      <w:tr w:rsidR="00854ADA" w:rsidRPr="00FF386D" w14:paraId="16AB9508" w14:textId="77777777" w:rsidTr="0057310C">
        <w:trPr>
          <w:trHeight w:val="315"/>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06A9D25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20" w:type="dxa"/>
            <w:gridSpan w:val="3"/>
            <w:tcBorders>
              <w:top w:val="single" w:sz="8" w:space="0" w:color="auto"/>
              <w:left w:val="nil"/>
              <w:bottom w:val="single" w:sz="8" w:space="0" w:color="auto"/>
              <w:right w:val="single" w:sz="8" w:space="0" w:color="000000"/>
            </w:tcBorders>
            <w:vAlign w:val="center"/>
            <w:hideMark/>
          </w:tcPr>
          <w:p w14:paraId="3BF7419A" w14:textId="77777777" w:rsidR="00854ADA" w:rsidRPr="00FF386D" w:rsidRDefault="00854ADA" w:rsidP="00854ADA">
            <w:pPr>
              <w:numPr>
                <w:ilvl w:val="0"/>
                <w:numId w:val="201"/>
              </w:numPr>
              <w:spacing w:after="0" w:line="240" w:lineRule="auto"/>
              <w:contextualSpacing/>
              <w:jc w:val="both"/>
              <w:rPr>
                <w:rFonts w:ascii="Calibri Light" w:hAnsi="Calibri Light"/>
                <w:sz w:val="20"/>
              </w:rPr>
            </w:pPr>
            <w:r w:rsidRPr="00FF386D">
              <w:rPr>
                <w:rFonts w:ascii="Calibri Light" w:hAnsi="Calibri Light"/>
                <w:sz w:val="20"/>
              </w:rPr>
              <w:t>Министарство рударства и енергетике</w:t>
            </w:r>
          </w:p>
          <w:p w14:paraId="179C7D4D" w14:textId="77777777" w:rsidR="00854ADA" w:rsidRPr="00FF386D" w:rsidRDefault="00854ADA" w:rsidP="00854ADA">
            <w:pPr>
              <w:numPr>
                <w:ilvl w:val="0"/>
                <w:numId w:val="201"/>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просвете, науке и технолошког развоја</w:t>
            </w:r>
          </w:p>
          <w:p w14:paraId="697FA9F8" w14:textId="4355B6DC" w:rsidR="00854ADA" w:rsidRPr="00FF386D" w:rsidRDefault="00854ADA" w:rsidP="00854ADA">
            <w:pPr>
              <w:numPr>
                <w:ilvl w:val="0"/>
                <w:numId w:val="201"/>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Привредна комора,</w:t>
            </w:r>
          </w:p>
          <w:p w14:paraId="61A8755E" w14:textId="77777777" w:rsidR="00854ADA" w:rsidRPr="00FF386D" w:rsidRDefault="00854ADA" w:rsidP="00854ADA">
            <w:pPr>
              <w:numPr>
                <w:ilvl w:val="0"/>
                <w:numId w:val="201"/>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Центар за промоцију науке</w:t>
            </w:r>
          </w:p>
        </w:tc>
      </w:tr>
      <w:tr w:rsidR="00854ADA" w:rsidRPr="00FF386D" w14:paraId="66B5CA12" w14:textId="77777777" w:rsidTr="0057310C">
        <w:trPr>
          <w:trHeight w:val="315"/>
        </w:trPr>
        <w:tc>
          <w:tcPr>
            <w:tcW w:w="3268" w:type="dxa"/>
            <w:tcBorders>
              <w:top w:val="nil"/>
              <w:left w:val="single" w:sz="8" w:space="0" w:color="auto"/>
              <w:bottom w:val="single" w:sz="8" w:space="0" w:color="auto"/>
              <w:right w:val="nil"/>
            </w:tcBorders>
            <w:shd w:val="clear" w:color="000000" w:fill="244062"/>
            <w:vAlign w:val="center"/>
            <w:hideMark/>
          </w:tcPr>
          <w:p w14:paraId="4F810D6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20" w:type="dxa"/>
            <w:gridSpan w:val="3"/>
            <w:tcBorders>
              <w:top w:val="single" w:sz="8" w:space="0" w:color="auto"/>
              <w:left w:val="nil"/>
              <w:bottom w:val="single" w:sz="8" w:space="0" w:color="auto"/>
              <w:right w:val="single" w:sz="8" w:space="0" w:color="000000"/>
            </w:tcBorders>
            <w:vAlign w:val="center"/>
            <w:hideMark/>
          </w:tcPr>
          <w:p w14:paraId="24EB01EE" w14:textId="77777777" w:rsidR="00854ADA" w:rsidRPr="00FF386D" w:rsidRDefault="00854ADA" w:rsidP="00854ADA">
            <w:pPr>
              <w:numPr>
                <w:ilvl w:val="0"/>
                <w:numId w:val="201"/>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просвете, науке и технолошког развоја</w:t>
            </w:r>
          </w:p>
        </w:tc>
      </w:tr>
      <w:tr w:rsidR="00854ADA" w:rsidRPr="00FF386D" w14:paraId="3FCCAB3F" w14:textId="77777777" w:rsidTr="0057310C">
        <w:trPr>
          <w:trHeight w:val="315"/>
        </w:trPr>
        <w:tc>
          <w:tcPr>
            <w:tcW w:w="3268" w:type="dxa"/>
            <w:tcBorders>
              <w:top w:val="nil"/>
              <w:left w:val="single" w:sz="8" w:space="0" w:color="auto"/>
              <w:bottom w:val="single" w:sz="8" w:space="0" w:color="auto"/>
              <w:right w:val="nil"/>
            </w:tcBorders>
            <w:shd w:val="clear" w:color="000000" w:fill="244062"/>
            <w:vAlign w:val="center"/>
            <w:hideMark/>
          </w:tcPr>
          <w:p w14:paraId="671600B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20" w:type="dxa"/>
            <w:gridSpan w:val="3"/>
            <w:tcBorders>
              <w:top w:val="single" w:sz="8" w:space="0" w:color="auto"/>
              <w:left w:val="nil"/>
              <w:bottom w:val="single" w:sz="8" w:space="0" w:color="auto"/>
              <w:right w:val="single" w:sz="8" w:space="0" w:color="000000"/>
            </w:tcBorders>
            <w:vAlign w:val="center"/>
            <w:hideMark/>
          </w:tcPr>
          <w:p w14:paraId="52271139"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Број доктората у области индустрије на годишњем нивоу</w:t>
            </w:r>
          </w:p>
        </w:tc>
      </w:tr>
      <w:tr w:rsidR="00854ADA" w:rsidRPr="00FF386D" w14:paraId="5884E8E2" w14:textId="77777777" w:rsidTr="0057310C">
        <w:trPr>
          <w:trHeight w:val="425"/>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29D26D2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20" w:type="dxa"/>
            <w:gridSpan w:val="3"/>
            <w:tcBorders>
              <w:top w:val="single" w:sz="8" w:space="0" w:color="auto"/>
              <w:left w:val="nil"/>
              <w:bottom w:val="single" w:sz="8" w:space="0" w:color="auto"/>
              <w:right w:val="single" w:sz="8" w:space="0" w:color="000000"/>
            </w:tcBorders>
            <w:vAlign w:val="center"/>
          </w:tcPr>
          <w:p w14:paraId="08B3104C" w14:textId="77777777" w:rsidR="00854ADA" w:rsidRPr="00FF386D" w:rsidRDefault="00854ADA" w:rsidP="00854ADA">
            <w:pPr>
              <w:numPr>
                <w:ilvl w:val="0"/>
                <w:numId w:val="179"/>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Унутрашње тржиште енергије</w:t>
            </w:r>
          </w:p>
        </w:tc>
      </w:tr>
      <w:tr w:rsidR="00854ADA" w:rsidRPr="00FF386D" w14:paraId="339873F9" w14:textId="77777777" w:rsidTr="0057310C">
        <w:trPr>
          <w:trHeight w:val="450"/>
        </w:trPr>
        <w:tc>
          <w:tcPr>
            <w:tcW w:w="3268"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7DE7058F" w14:textId="48FDDDAB"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20" w:type="dxa"/>
            <w:gridSpan w:val="3"/>
            <w:vMerge w:val="restart"/>
            <w:tcBorders>
              <w:top w:val="single" w:sz="8" w:space="0" w:color="auto"/>
              <w:left w:val="single" w:sz="8" w:space="0" w:color="auto"/>
              <w:bottom w:val="single" w:sz="8" w:space="0" w:color="000000"/>
              <w:right w:val="single" w:sz="8" w:space="0" w:color="000000"/>
            </w:tcBorders>
            <w:vAlign w:val="center"/>
          </w:tcPr>
          <w:p w14:paraId="22CD2886" w14:textId="77777777" w:rsidR="00854ADA" w:rsidRPr="00FF386D" w:rsidRDefault="00854ADA" w:rsidP="00854ADA">
            <w:pPr>
              <w:numPr>
                <w:ilvl w:val="0"/>
                <w:numId w:val="95"/>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Европско законодавство</w:t>
            </w:r>
          </w:p>
        </w:tc>
      </w:tr>
      <w:tr w:rsidR="00854ADA" w:rsidRPr="00FF386D" w14:paraId="703BCD60"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7AA5E262"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20" w:type="dxa"/>
            <w:gridSpan w:val="3"/>
            <w:vMerge/>
            <w:tcBorders>
              <w:top w:val="single" w:sz="8" w:space="0" w:color="auto"/>
              <w:left w:val="single" w:sz="8" w:space="0" w:color="auto"/>
              <w:bottom w:val="single" w:sz="8" w:space="0" w:color="000000"/>
              <w:right w:val="single" w:sz="8" w:space="0" w:color="000000"/>
            </w:tcBorders>
            <w:vAlign w:val="center"/>
          </w:tcPr>
          <w:p w14:paraId="48EABC04" w14:textId="77777777" w:rsidR="00854ADA" w:rsidRPr="00FF386D" w:rsidRDefault="00854ADA" w:rsidP="00854ADA">
            <w:pPr>
              <w:numPr>
                <w:ilvl w:val="0"/>
                <w:numId w:val="95"/>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4FAC35ED"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4142D99B"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20" w:type="dxa"/>
            <w:gridSpan w:val="3"/>
            <w:vMerge/>
            <w:tcBorders>
              <w:top w:val="single" w:sz="8" w:space="0" w:color="auto"/>
              <w:left w:val="single" w:sz="8" w:space="0" w:color="auto"/>
              <w:bottom w:val="single" w:sz="8" w:space="0" w:color="000000"/>
              <w:right w:val="single" w:sz="8" w:space="0" w:color="000000"/>
            </w:tcBorders>
            <w:vAlign w:val="center"/>
          </w:tcPr>
          <w:p w14:paraId="3CA2E15B" w14:textId="77777777" w:rsidR="00854ADA" w:rsidRPr="00FF386D" w:rsidRDefault="00854ADA" w:rsidP="00854ADA">
            <w:pPr>
              <w:numPr>
                <w:ilvl w:val="0"/>
                <w:numId w:val="95"/>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57AE86EA" w14:textId="77777777" w:rsidTr="0057310C">
        <w:trPr>
          <w:trHeight w:val="459"/>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1C9DA51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20" w:type="dxa"/>
            <w:gridSpan w:val="3"/>
            <w:tcBorders>
              <w:top w:val="single" w:sz="8" w:space="0" w:color="auto"/>
              <w:left w:val="nil"/>
              <w:bottom w:val="single" w:sz="8" w:space="0" w:color="auto"/>
              <w:right w:val="single" w:sz="8" w:space="0" w:color="000000"/>
            </w:tcBorders>
            <w:vAlign w:val="center"/>
          </w:tcPr>
          <w:p w14:paraId="66D2E441" w14:textId="77777777" w:rsidR="00854ADA" w:rsidRPr="000A2AFE" w:rsidRDefault="00854ADA">
            <w:pPr>
              <w:numPr>
                <w:ilvl w:val="0"/>
                <w:numId w:val="243"/>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Закон о Фонду за науку</w:t>
            </w:r>
          </w:p>
          <w:p w14:paraId="438B7259" w14:textId="77777777" w:rsidR="00854ADA" w:rsidRPr="00FF386D" w:rsidRDefault="00854ADA" w:rsidP="00854ADA">
            <w:pPr>
              <w:numPr>
                <w:ilvl w:val="0"/>
                <w:numId w:val="95"/>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Закон о науци и истраживању</w:t>
            </w:r>
          </w:p>
        </w:tc>
      </w:tr>
      <w:tr w:rsidR="00854ADA" w:rsidRPr="00FF386D" w14:paraId="47B01A59" w14:textId="77777777" w:rsidTr="0057310C">
        <w:trPr>
          <w:trHeight w:val="315"/>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5D7A9CE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20" w:type="dxa"/>
            <w:gridSpan w:val="3"/>
            <w:tcBorders>
              <w:top w:val="single" w:sz="8" w:space="0" w:color="auto"/>
              <w:left w:val="nil"/>
              <w:bottom w:val="single" w:sz="8" w:space="0" w:color="auto"/>
              <w:right w:val="single" w:sz="8" w:space="0" w:color="000000"/>
            </w:tcBorders>
            <w:vAlign w:val="center"/>
          </w:tcPr>
          <w:p w14:paraId="43E1C785"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1,6 милиона евра</w:t>
            </w:r>
          </w:p>
        </w:tc>
      </w:tr>
      <w:tr w:rsidR="00854ADA" w:rsidRPr="00FF386D" w14:paraId="322AEED9" w14:textId="77777777" w:rsidTr="0057310C">
        <w:trPr>
          <w:trHeight w:val="315"/>
        </w:trPr>
        <w:tc>
          <w:tcPr>
            <w:tcW w:w="3268" w:type="dxa"/>
            <w:tcBorders>
              <w:top w:val="nil"/>
              <w:left w:val="single" w:sz="8" w:space="0" w:color="auto"/>
              <w:bottom w:val="single" w:sz="8" w:space="0" w:color="auto"/>
              <w:right w:val="single" w:sz="8" w:space="0" w:color="auto"/>
            </w:tcBorders>
            <w:shd w:val="clear" w:color="000000" w:fill="244062"/>
            <w:vAlign w:val="center"/>
            <w:hideMark/>
          </w:tcPr>
          <w:p w14:paraId="49EFAAC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20" w:type="dxa"/>
            <w:gridSpan w:val="3"/>
            <w:tcBorders>
              <w:top w:val="single" w:sz="8" w:space="0" w:color="auto"/>
              <w:left w:val="nil"/>
              <w:bottom w:val="single" w:sz="8" w:space="0" w:color="auto"/>
              <w:right w:val="single" w:sz="8" w:space="0" w:color="000000"/>
            </w:tcBorders>
            <w:shd w:val="clear" w:color="auto" w:fill="auto"/>
            <w:vAlign w:val="center"/>
            <w:hideMark/>
          </w:tcPr>
          <w:p w14:paraId="0A77D4CA" w14:textId="255C6590" w:rsidR="00854ADA" w:rsidRPr="00FF386D" w:rsidRDefault="00CE229F" w:rsidP="00854ADA">
            <w:pPr>
              <w:spacing w:after="0" w:line="240" w:lineRule="auto"/>
              <w:rPr>
                <w:rFonts w:asciiTheme="majorHAnsi" w:eastAsia="Times New Roman" w:hAnsiTheme="majorHAnsi" w:cstheme="majorHAnsi"/>
                <w:color w:val="000000"/>
                <w:sz w:val="20"/>
                <w:szCs w:val="20"/>
                <w:lang w:eastAsia="en-GB"/>
              </w:rPr>
            </w:pPr>
            <w:r w:rsidRPr="00CE229F">
              <w:rPr>
                <w:rFonts w:asciiTheme="majorHAnsi" w:eastAsia="Times New Roman" w:hAnsiTheme="majorHAnsi" w:cstheme="majorHAnsi"/>
                <w:color w:val="000000"/>
                <w:sz w:val="20"/>
                <w:szCs w:val="20"/>
                <w:lang w:eastAsia="en-GB"/>
              </w:rPr>
              <w:t>Фондови ЕУ, сопствена и буџетска средства, програми за истраживање и развој</w:t>
            </w:r>
          </w:p>
        </w:tc>
      </w:tr>
    </w:tbl>
    <w:p w14:paraId="3419CDC7" w14:textId="77777777" w:rsidR="00854ADA" w:rsidRPr="00FF386D" w:rsidRDefault="00854ADA" w:rsidP="00854ADA">
      <w:pPr>
        <w:spacing w:before="120" w:after="120" w:line="240" w:lineRule="auto"/>
        <w:rPr>
          <w:rFonts w:ascii="Calibri" w:eastAsia="Times New Roman" w:hAnsi="Calibri" w:cs="Arial"/>
          <w:highlight w:val="green"/>
          <w:lang w:eastAsia="el-GR"/>
        </w:rPr>
      </w:pPr>
    </w:p>
    <w:tbl>
      <w:tblPr>
        <w:tblW w:w="9488" w:type="dxa"/>
        <w:tblLook w:val="04A0" w:firstRow="1" w:lastRow="0" w:firstColumn="1" w:lastColumn="0" w:noHBand="0" w:noVBand="1"/>
      </w:tblPr>
      <w:tblGrid>
        <w:gridCol w:w="3267"/>
        <w:gridCol w:w="1173"/>
        <w:gridCol w:w="933"/>
        <w:gridCol w:w="4115"/>
      </w:tblGrid>
      <w:tr w:rsidR="00854ADA" w:rsidRPr="00FF386D" w14:paraId="459C1CD9" w14:textId="77777777" w:rsidTr="0057310C">
        <w:trPr>
          <w:trHeight w:val="780"/>
        </w:trPr>
        <w:tc>
          <w:tcPr>
            <w:tcW w:w="3267"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5CF8280E" w14:textId="4A54F6F4"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173" w:type="dxa"/>
            <w:tcBorders>
              <w:top w:val="single" w:sz="8" w:space="0" w:color="auto"/>
              <w:left w:val="nil"/>
              <w:bottom w:val="single" w:sz="8" w:space="0" w:color="auto"/>
              <w:right w:val="single" w:sz="8" w:space="0" w:color="auto"/>
            </w:tcBorders>
            <w:shd w:val="clear" w:color="auto" w:fill="E7E6E6" w:themeFill="background2"/>
            <w:vAlign w:val="center"/>
            <w:hideMark/>
          </w:tcPr>
          <w:p w14:paraId="372575FB"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МП_ИИК16</w:t>
            </w:r>
          </w:p>
        </w:tc>
        <w:tc>
          <w:tcPr>
            <w:tcW w:w="933" w:type="dxa"/>
            <w:tcBorders>
              <w:top w:val="single" w:sz="8" w:space="0" w:color="auto"/>
              <w:left w:val="nil"/>
              <w:bottom w:val="single" w:sz="8" w:space="0" w:color="auto"/>
              <w:right w:val="single" w:sz="8" w:space="0" w:color="auto"/>
            </w:tcBorders>
            <w:shd w:val="clear" w:color="auto" w:fill="244062"/>
            <w:vAlign w:val="center"/>
            <w:hideMark/>
          </w:tcPr>
          <w:p w14:paraId="332BF04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15" w:type="dxa"/>
            <w:tcBorders>
              <w:top w:val="single" w:sz="8" w:space="0" w:color="auto"/>
              <w:left w:val="nil"/>
              <w:bottom w:val="single" w:sz="8" w:space="0" w:color="auto"/>
              <w:right w:val="single" w:sz="8" w:space="0" w:color="auto"/>
            </w:tcBorders>
            <w:shd w:val="clear" w:color="auto" w:fill="E7E6E6" w:themeFill="background2"/>
            <w:vAlign w:val="center"/>
            <w:hideMark/>
          </w:tcPr>
          <w:p w14:paraId="37AEBD2C" w14:textId="67CC1B8D" w:rsidR="00854ADA" w:rsidRPr="00FF386D" w:rsidRDefault="00672F1C"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 xml:space="preserve">Унапређење </w:t>
            </w:r>
            <w:r w:rsidR="00854ADA" w:rsidRPr="000A2AFE">
              <w:rPr>
                <w:rFonts w:ascii="Calibri Light" w:eastAsia="Times New Roman" w:hAnsi="Calibri Light" w:cs="Calibri Light"/>
                <w:b/>
                <w:bCs/>
                <w:color w:val="000000"/>
                <w:sz w:val="20"/>
                <w:szCs w:val="20"/>
                <w:lang w:eastAsia="en-GB"/>
              </w:rPr>
              <w:t>образовања/ обуке за подршку енергетској транзицији</w:t>
            </w:r>
          </w:p>
        </w:tc>
      </w:tr>
      <w:tr w:rsidR="00854ADA" w:rsidRPr="00FF386D" w14:paraId="00240F33" w14:textId="77777777" w:rsidTr="0057310C">
        <w:trPr>
          <w:trHeight w:val="354"/>
        </w:trPr>
        <w:tc>
          <w:tcPr>
            <w:tcW w:w="3267" w:type="dxa"/>
            <w:tcBorders>
              <w:top w:val="nil"/>
              <w:left w:val="single" w:sz="8" w:space="0" w:color="auto"/>
              <w:bottom w:val="single" w:sz="8" w:space="0" w:color="auto"/>
              <w:right w:val="nil"/>
            </w:tcBorders>
            <w:shd w:val="clear" w:color="000000" w:fill="244062"/>
            <w:vAlign w:val="center"/>
            <w:hideMark/>
          </w:tcPr>
          <w:p w14:paraId="110B7ED6" w14:textId="3892D119"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Главни циљ:</w:t>
            </w:r>
          </w:p>
        </w:tc>
        <w:tc>
          <w:tcPr>
            <w:tcW w:w="6221" w:type="dxa"/>
            <w:gridSpan w:val="3"/>
            <w:tcBorders>
              <w:top w:val="single" w:sz="8" w:space="0" w:color="auto"/>
              <w:left w:val="nil"/>
              <w:bottom w:val="single" w:sz="8" w:space="0" w:color="auto"/>
              <w:right w:val="single" w:sz="8" w:space="0" w:color="000000"/>
            </w:tcBorders>
            <w:vAlign w:val="center"/>
            <w:hideMark/>
          </w:tcPr>
          <w:p w14:paraId="010D8E98"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Промоција истраживања и иновација</w:t>
            </w:r>
          </w:p>
        </w:tc>
      </w:tr>
      <w:tr w:rsidR="00854ADA" w:rsidRPr="00FF386D" w14:paraId="5E65830D" w14:textId="77777777" w:rsidTr="0057310C">
        <w:trPr>
          <w:trHeight w:val="315"/>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0267D0ED" w14:textId="736C797B"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21" w:type="dxa"/>
            <w:gridSpan w:val="3"/>
            <w:tcBorders>
              <w:top w:val="single" w:sz="8" w:space="0" w:color="auto"/>
              <w:left w:val="nil"/>
              <w:bottom w:val="single" w:sz="8" w:space="0" w:color="auto"/>
              <w:right w:val="single" w:sz="8" w:space="0" w:color="000000"/>
            </w:tcBorders>
            <w:vAlign w:val="center"/>
            <w:hideMark/>
          </w:tcPr>
          <w:p w14:paraId="63C6D851"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Повећање нивоа технолошке спремности у области енергетике (квалитативан циљ)</w:t>
            </w:r>
          </w:p>
        </w:tc>
      </w:tr>
      <w:tr w:rsidR="00854ADA" w:rsidRPr="00FF386D" w14:paraId="27AB4B50" w14:textId="77777777" w:rsidTr="0057310C">
        <w:trPr>
          <w:trHeight w:val="443"/>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77616B9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21" w:type="dxa"/>
            <w:gridSpan w:val="3"/>
            <w:tcBorders>
              <w:top w:val="single" w:sz="8" w:space="0" w:color="auto"/>
              <w:left w:val="nil"/>
              <w:bottom w:val="single" w:sz="8" w:space="0" w:color="auto"/>
              <w:right w:val="single" w:sz="8" w:space="0" w:color="000000"/>
            </w:tcBorders>
            <w:vAlign w:val="center"/>
            <w:hideMark/>
          </w:tcPr>
          <w:p w14:paraId="6F68EF25"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МП_ИИК16 ће подржати подстицање преласка на климатски неутралну и циркуларну економију фокусирајући се на потребне вештине и квалитетна радна места која стварају већу додатну вредност, значајно смањују штетне утицаје на животну средину, пружају одговарајуће услове за адекватну накнаду и квалитетно радно окружење.</w:t>
            </w:r>
          </w:p>
        </w:tc>
      </w:tr>
      <w:tr w:rsidR="00854ADA" w:rsidRPr="00FF386D" w14:paraId="57D39266" w14:textId="77777777" w:rsidTr="0057310C">
        <w:trPr>
          <w:trHeight w:val="315"/>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7175130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21" w:type="dxa"/>
            <w:gridSpan w:val="3"/>
            <w:tcBorders>
              <w:top w:val="single" w:sz="8" w:space="0" w:color="auto"/>
              <w:left w:val="nil"/>
              <w:bottom w:val="single" w:sz="8" w:space="0" w:color="auto"/>
              <w:right w:val="single" w:sz="8" w:space="0" w:color="000000"/>
            </w:tcBorders>
            <w:vAlign w:val="center"/>
            <w:hideMark/>
          </w:tcPr>
          <w:p w14:paraId="3368D581" w14:textId="7CA73A20"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202</w:t>
            </w:r>
            <w:r w:rsidR="00672F1C" w:rsidRPr="00FF386D">
              <w:rPr>
                <w:rFonts w:ascii="Calibri Light" w:hAnsi="Calibri Light"/>
                <w:sz w:val="20"/>
              </w:rPr>
              <w:t>3</w:t>
            </w:r>
            <w:r w:rsidRPr="00FF386D">
              <w:rPr>
                <w:rFonts w:ascii="Calibri Light" w:hAnsi="Calibri Light"/>
                <w:sz w:val="20"/>
              </w:rPr>
              <w:t>-2030.</w:t>
            </w:r>
          </w:p>
        </w:tc>
      </w:tr>
      <w:tr w:rsidR="00854ADA" w:rsidRPr="00FF386D" w14:paraId="2DAAF16B" w14:textId="77777777" w:rsidTr="0057310C">
        <w:trPr>
          <w:trHeight w:val="315"/>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6AA4396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21" w:type="dxa"/>
            <w:gridSpan w:val="3"/>
            <w:tcBorders>
              <w:top w:val="single" w:sz="8" w:space="0" w:color="auto"/>
              <w:left w:val="nil"/>
              <w:bottom w:val="single" w:sz="8" w:space="0" w:color="auto"/>
              <w:right w:val="single" w:sz="8" w:space="0" w:color="000000"/>
            </w:tcBorders>
            <w:vAlign w:val="center"/>
            <w:hideMark/>
          </w:tcPr>
          <w:p w14:paraId="393B2944"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Инвестиција</w:t>
            </w:r>
          </w:p>
        </w:tc>
      </w:tr>
      <w:tr w:rsidR="00854ADA" w:rsidRPr="00FF386D" w14:paraId="0BAD5663" w14:textId="77777777" w:rsidTr="0057310C">
        <w:trPr>
          <w:trHeight w:val="315"/>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11FC55F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21" w:type="dxa"/>
            <w:gridSpan w:val="3"/>
            <w:tcBorders>
              <w:top w:val="single" w:sz="8" w:space="0" w:color="auto"/>
              <w:left w:val="nil"/>
              <w:bottom w:val="single" w:sz="8" w:space="0" w:color="auto"/>
              <w:right w:val="single" w:sz="8" w:space="0" w:color="000000"/>
            </w:tcBorders>
            <w:vAlign w:val="center"/>
            <w:hideMark/>
          </w:tcPr>
          <w:p w14:paraId="18799748" w14:textId="64B0FD0F"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Све области </w:t>
            </w:r>
            <w:r w:rsidR="00170CE9">
              <w:rPr>
                <w:rFonts w:ascii="Calibri Light" w:hAnsi="Calibri Light"/>
                <w:sz w:val="20"/>
              </w:rPr>
              <w:t>И</w:t>
            </w:r>
            <w:r w:rsidRPr="00FF386D">
              <w:rPr>
                <w:rFonts w:ascii="Calibri Light" w:hAnsi="Calibri Light"/>
                <w:sz w:val="20"/>
              </w:rPr>
              <w:t>НЕКП-а</w:t>
            </w:r>
          </w:p>
        </w:tc>
      </w:tr>
      <w:tr w:rsidR="00854ADA" w:rsidRPr="00FF386D" w14:paraId="5F7FCB6E" w14:textId="77777777" w:rsidTr="0057310C">
        <w:trPr>
          <w:trHeight w:val="315"/>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13D7D46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21" w:type="dxa"/>
            <w:gridSpan w:val="3"/>
            <w:tcBorders>
              <w:top w:val="single" w:sz="8" w:space="0" w:color="auto"/>
              <w:left w:val="nil"/>
              <w:bottom w:val="single" w:sz="8" w:space="0" w:color="auto"/>
              <w:right w:val="single" w:sz="8" w:space="0" w:color="000000"/>
            </w:tcBorders>
            <w:vAlign w:val="center"/>
            <w:hideMark/>
          </w:tcPr>
          <w:p w14:paraId="59FC5559" w14:textId="77777777" w:rsidR="00854ADA" w:rsidRPr="00FF386D" w:rsidRDefault="00854ADA" w:rsidP="00854ADA">
            <w:pPr>
              <w:numPr>
                <w:ilvl w:val="0"/>
                <w:numId w:val="202"/>
              </w:numPr>
              <w:spacing w:after="0" w:line="240" w:lineRule="auto"/>
              <w:contextualSpacing/>
              <w:jc w:val="both"/>
              <w:rPr>
                <w:rFonts w:ascii="Calibri Light" w:hAnsi="Calibri Light"/>
                <w:sz w:val="20"/>
              </w:rPr>
            </w:pPr>
            <w:r w:rsidRPr="00FF386D">
              <w:rPr>
                <w:rFonts w:ascii="Calibri Light" w:hAnsi="Calibri Light"/>
                <w:sz w:val="20"/>
              </w:rPr>
              <w:t>Министарство рударства и енергетике</w:t>
            </w:r>
          </w:p>
          <w:p w14:paraId="406320AE" w14:textId="77777777" w:rsidR="00854ADA" w:rsidRPr="00FF386D" w:rsidRDefault="00854ADA" w:rsidP="00854ADA">
            <w:pPr>
              <w:numPr>
                <w:ilvl w:val="0"/>
                <w:numId w:val="20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просвете, науке и технолошког развоја</w:t>
            </w:r>
          </w:p>
          <w:p w14:paraId="35E99BE3" w14:textId="237D55E0" w:rsidR="00854ADA" w:rsidRPr="00FF386D" w:rsidRDefault="00854ADA" w:rsidP="00854ADA">
            <w:pPr>
              <w:numPr>
                <w:ilvl w:val="0"/>
                <w:numId w:val="20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Привредна комора Србије</w:t>
            </w:r>
          </w:p>
          <w:p w14:paraId="5E0E23C9" w14:textId="77777777" w:rsidR="00854ADA" w:rsidRPr="00FF386D" w:rsidRDefault="00854ADA" w:rsidP="00854ADA">
            <w:pPr>
              <w:numPr>
                <w:ilvl w:val="0"/>
                <w:numId w:val="202"/>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Центар за промоцију науке</w:t>
            </w:r>
          </w:p>
        </w:tc>
      </w:tr>
      <w:tr w:rsidR="00854ADA" w:rsidRPr="00FF386D" w14:paraId="0809FD1A" w14:textId="77777777" w:rsidTr="0057310C">
        <w:trPr>
          <w:trHeight w:val="315"/>
        </w:trPr>
        <w:tc>
          <w:tcPr>
            <w:tcW w:w="3267" w:type="dxa"/>
            <w:tcBorders>
              <w:top w:val="nil"/>
              <w:left w:val="single" w:sz="8" w:space="0" w:color="auto"/>
              <w:bottom w:val="single" w:sz="8" w:space="0" w:color="auto"/>
              <w:right w:val="nil"/>
            </w:tcBorders>
            <w:shd w:val="clear" w:color="000000" w:fill="244062"/>
            <w:vAlign w:val="center"/>
            <w:hideMark/>
          </w:tcPr>
          <w:p w14:paraId="44AC2D0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21" w:type="dxa"/>
            <w:gridSpan w:val="3"/>
            <w:tcBorders>
              <w:top w:val="single" w:sz="8" w:space="0" w:color="auto"/>
              <w:left w:val="nil"/>
              <w:bottom w:val="single" w:sz="8" w:space="0" w:color="auto"/>
              <w:right w:val="single" w:sz="8" w:space="0" w:color="000000"/>
            </w:tcBorders>
            <w:vAlign w:val="center"/>
            <w:hideMark/>
          </w:tcPr>
          <w:p w14:paraId="1C474460" w14:textId="77777777" w:rsidR="00854ADA" w:rsidRPr="00FF386D" w:rsidRDefault="00854ADA" w:rsidP="00854ADA">
            <w:pPr>
              <w:numPr>
                <w:ilvl w:val="0"/>
                <w:numId w:val="202"/>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просвете, науке и технолошког развоја</w:t>
            </w:r>
          </w:p>
          <w:p w14:paraId="7516D583" w14:textId="77777777" w:rsidR="00854ADA" w:rsidRPr="00FF386D" w:rsidRDefault="00854ADA" w:rsidP="00854ADA">
            <w:pPr>
              <w:numPr>
                <w:ilvl w:val="0"/>
                <w:numId w:val="202"/>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рударства и енергетике</w:t>
            </w:r>
          </w:p>
        </w:tc>
      </w:tr>
      <w:tr w:rsidR="00854ADA" w:rsidRPr="00FF386D" w14:paraId="157D7C0D" w14:textId="77777777" w:rsidTr="0057310C">
        <w:trPr>
          <w:trHeight w:val="315"/>
        </w:trPr>
        <w:tc>
          <w:tcPr>
            <w:tcW w:w="3267" w:type="dxa"/>
            <w:tcBorders>
              <w:top w:val="nil"/>
              <w:left w:val="single" w:sz="8" w:space="0" w:color="auto"/>
              <w:bottom w:val="single" w:sz="8" w:space="0" w:color="auto"/>
              <w:right w:val="nil"/>
            </w:tcBorders>
            <w:shd w:val="clear" w:color="000000" w:fill="244062"/>
            <w:vAlign w:val="center"/>
            <w:hideMark/>
          </w:tcPr>
          <w:p w14:paraId="023F815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21" w:type="dxa"/>
            <w:gridSpan w:val="3"/>
            <w:tcBorders>
              <w:top w:val="single" w:sz="8" w:space="0" w:color="auto"/>
              <w:left w:val="nil"/>
              <w:bottom w:val="single" w:sz="8" w:space="0" w:color="auto"/>
              <w:right w:val="single" w:sz="8" w:space="0" w:color="000000"/>
            </w:tcBorders>
            <w:vAlign w:val="center"/>
          </w:tcPr>
          <w:p w14:paraId="59510D71"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Број наставних програма за енергетску транзицију на годишњем нивоу</w:t>
            </w:r>
          </w:p>
        </w:tc>
      </w:tr>
      <w:tr w:rsidR="00854ADA" w:rsidRPr="00FF386D" w14:paraId="4B3771AC" w14:textId="77777777" w:rsidTr="0057310C">
        <w:trPr>
          <w:trHeight w:val="566"/>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0A0CBA9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21" w:type="dxa"/>
            <w:gridSpan w:val="3"/>
            <w:tcBorders>
              <w:top w:val="single" w:sz="8" w:space="0" w:color="auto"/>
              <w:left w:val="nil"/>
              <w:bottom w:val="single" w:sz="8" w:space="0" w:color="auto"/>
              <w:right w:val="single" w:sz="8" w:space="0" w:color="000000"/>
            </w:tcBorders>
            <w:vAlign w:val="center"/>
          </w:tcPr>
          <w:p w14:paraId="255F11B7" w14:textId="77777777" w:rsidR="00854ADA" w:rsidRPr="00FF386D" w:rsidRDefault="00854ADA" w:rsidP="00854ADA">
            <w:pPr>
              <w:numPr>
                <w:ilvl w:val="0"/>
                <w:numId w:val="180"/>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Унутрашње тржиште енергије</w:t>
            </w:r>
          </w:p>
        </w:tc>
      </w:tr>
      <w:tr w:rsidR="00854ADA" w:rsidRPr="00FF386D" w14:paraId="3C61A7BE" w14:textId="77777777" w:rsidTr="0057310C">
        <w:trPr>
          <w:trHeight w:val="450"/>
        </w:trPr>
        <w:tc>
          <w:tcPr>
            <w:tcW w:w="3267"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2910A54F" w14:textId="4F99C6A3"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21" w:type="dxa"/>
            <w:gridSpan w:val="3"/>
            <w:vMerge w:val="restart"/>
            <w:tcBorders>
              <w:top w:val="single" w:sz="8" w:space="0" w:color="auto"/>
              <w:left w:val="single" w:sz="8" w:space="0" w:color="auto"/>
              <w:bottom w:val="single" w:sz="8" w:space="0" w:color="000000"/>
              <w:right w:val="single" w:sz="8" w:space="0" w:color="000000"/>
            </w:tcBorders>
            <w:vAlign w:val="center"/>
          </w:tcPr>
          <w:p w14:paraId="7EA288A9" w14:textId="77777777" w:rsidR="00854ADA" w:rsidRPr="00FF386D" w:rsidRDefault="00854ADA" w:rsidP="00854ADA">
            <w:pPr>
              <w:numPr>
                <w:ilvl w:val="0"/>
                <w:numId w:val="96"/>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Европско законодавство</w:t>
            </w:r>
          </w:p>
        </w:tc>
      </w:tr>
      <w:tr w:rsidR="00854ADA" w:rsidRPr="00FF386D" w14:paraId="1C4E3BA4"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096CF0AE"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21" w:type="dxa"/>
            <w:gridSpan w:val="3"/>
            <w:vMerge/>
            <w:tcBorders>
              <w:top w:val="single" w:sz="8" w:space="0" w:color="auto"/>
              <w:left w:val="single" w:sz="8" w:space="0" w:color="auto"/>
              <w:bottom w:val="single" w:sz="8" w:space="0" w:color="000000"/>
              <w:right w:val="single" w:sz="8" w:space="0" w:color="000000"/>
            </w:tcBorders>
            <w:vAlign w:val="center"/>
          </w:tcPr>
          <w:p w14:paraId="3359EFB8" w14:textId="77777777" w:rsidR="00854ADA" w:rsidRPr="00FF386D" w:rsidRDefault="00854ADA" w:rsidP="00854ADA">
            <w:pPr>
              <w:numPr>
                <w:ilvl w:val="0"/>
                <w:numId w:val="96"/>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04994713"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0052B53C"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21" w:type="dxa"/>
            <w:gridSpan w:val="3"/>
            <w:vMerge/>
            <w:tcBorders>
              <w:top w:val="single" w:sz="8" w:space="0" w:color="auto"/>
              <w:left w:val="single" w:sz="8" w:space="0" w:color="auto"/>
              <w:bottom w:val="single" w:sz="8" w:space="0" w:color="000000"/>
              <w:right w:val="single" w:sz="8" w:space="0" w:color="000000"/>
            </w:tcBorders>
            <w:vAlign w:val="center"/>
          </w:tcPr>
          <w:p w14:paraId="7FFF6A2D" w14:textId="77777777" w:rsidR="00854ADA" w:rsidRPr="00FF386D" w:rsidRDefault="00854ADA" w:rsidP="00854ADA">
            <w:pPr>
              <w:numPr>
                <w:ilvl w:val="0"/>
                <w:numId w:val="96"/>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547014EB" w14:textId="77777777" w:rsidTr="0057310C">
        <w:trPr>
          <w:trHeight w:val="247"/>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0748560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21" w:type="dxa"/>
            <w:gridSpan w:val="3"/>
            <w:tcBorders>
              <w:top w:val="single" w:sz="8" w:space="0" w:color="auto"/>
              <w:left w:val="nil"/>
              <w:bottom w:val="single" w:sz="8" w:space="0" w:color="auto"/>
              <w:right w:val="single" w:sz="8" w:space="0" w:color="000000"/>
            </w:tcBorders>
            <w:vAlign w:val="center"/>
          </w:tcPr>
          <w:p w14:paraId="7D19383C" w14:textId="77777777" w:rsidR="00854ADA" w:rsidRPr="000A2AFE" w:rsidRDefault="00854ADA">
            <w:pPr>
              <w:numPr>
                <w:ilvl w:val="0"/>
                <w:numId w:val="243"/>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Закон о Фонду за науку</w:t>
            </w:r>
          </w:p>
          <w:p w14:paraId="4B8F5300" w14:textId="77777777" w:rsidR="00854ADA" w:rsidRPr="00FF386D" w:rsidRDefault="00854ADA" w:rsidP="00854ADA">
            <w:pPr>
              <w:numPr>
                <w:ilvl w:val="0"/>
                <w:numId w:val="96"/>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Закон о науци и истраживању</w:t>
            </w:r>
          </w:p>
        </w:tc>
      </w:tr>
      <w:tr w:rsidR="00854ADA" w:rsidRPr="00FF386D" w14:paraId="361E2E37" w14:textId="77777777" w:rsidTr="0057310C">
        <w:trPr>
          <w:trHeight w:val="315"/>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6ADF671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21" w:type="dxa"/>
            <w:gridSpan w:val="3"/>
            <w:tcBorders>
              <w:top w:val="single" w:sz="8" w:space="0" w:color="auto"/>
              <w:left w:val="nil"/>
              <w:bottom w:val="single" w:sz="8" w:space="0" w:color="auto"/>
              <w:right w:val="single" w:sz="8" w:space="0" w:color="000000"/>
            </w:tcBorders>
            <w:vAlign w:val="center"/>
          </w:tcPr>
          <w:p w14:paraId="1783CB62"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2,2 милиона евра</w:t>
            </w:r>
          </w:p>
        </w:tc>
      </w:tr>
      <w:tr w:rsidR="00854ADA" w:rsidRPr="00FF386D" w14:paraId="0C2A46D8" w14:textId="77777777" w:rsidTr="0057310C">
        <w:trPr>
          <w:trHeight w:val="315"/>
        </w:trPr>
        <w:tc>
          <w:tcPr>
            <w:tcW w:w="3267" w:type="dxa"/>
            <w:tcBorders>
              <w:top w:val="nil"/>
              <w:left w:val="single" w:sz="8" w:space="0" w:color="auto"/>
              <w:bottom w:val="single" w:sz="8" w:space="0" w:color="auto"/>
              <w:right w:val="single" w:sz="8" w:space="0" w:color="auto"/>
            </w:tcBorders>
            <w:shd w:val="clear" w:color="000000" w:fill="244062"/>
            <w:vAlign w:val="center"/>
            <w:hideMark/>
          </w:tcPr>
          <w:p w14:paraId="3EDFD5F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21" w:type="dxa"/>
            <w:gridSpan w:val="3"/>
            <w:tcBorders>
              <w:top w:val="single" w:sz="8" w:space="0" w:color="auto"/>
              <w:left w:val="nil"/>
              <w:bottom w:val="single" w:sz="8" w:space="0" w:color="auto"/>
              <w:right w:val="single" w:sz="8" w:space="0" w:color="000000"/>
            </w:tcBorders>
            <w:shd w:val="clear" w:color="auto" w:fill="auto"/>
            <w:vAlign w:val="center"/>
            <w:hideMark/>
          </w:tcPr>
          <w:p w14:paraId="2C2114DE" w14:textId="74E907AE"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Фондови ЕУ</w:t>
            </w:r>
            <w:r w:rsidR="00CE229F">
              <w:rPr>
                <w:rFonts w:asciiTheme="majorHAnsi" w:eastAsia="Times New Roman" w:hAnsiTheme="majorHAnsi" w:cstheme="majorHAnsi"/>
                <w:color w:val="000000"/>
                <w:sz w:val="20"/>
                <w:szCs w:val="20"/>
                <w:lang w:eastAsia="en-GB"/>
              </w:rPr>
              <w:t xml:space="preserve">, сопствена и </w:t>
            </w:r>
            <w:r w:rsidRPr="00FF386D">
              <w:rPr>
                <w:rFonts w:asciiTheme="majorHAnsi" w:eastAsia="Times New Roman" w:hAnsiTheme="majorHAnsi" w:cstheme="majorHAnsi"/>
                <w:color w:val="000000"/>
                <w:sz w:val="20"/>
                <w:szCs w:val="20"/>
                <w:lang w:eastAsia="en-GB"/>
              </w:rPr>
              <w:t>буџет</w:t>
            </w:r>
            <w:r w:rsidR="00672F1C" w:rsidRPr="00FF386D">
              <w:rPr>
                <w:rFonts w:asciiTheme="majorHAnsi" w:eastAsia="Times New Roman" w:hAnsiTheme="majorHAnsi" w:cstheme="majorHAnsi"/>
                <w:color w:val="000000"/>
                <w:sz w:val="20"/>
                <w:szCs w:val="20"/>
                <w:lang w:eastAsia="en-GB"/>
              </w:rPr>
              <w:t>ска средства</w:t>
            </w:r>
          </w:p>
        </w:tc>
      </w:tr>
    </w:tbl>
    <w:p w14:paraId="4CEC76CE" w14:textId="77777777" w:rsidR="00854ADA" w:rsidRPr="00FF386D" w:rsidRDefault="00854ADA" w:rsidP="00854ADA">
      <w:pPr>
        <w:spacing w:before="160"/>
        <w:jc w:val="both"/>
        <w:rPr>
          <w:rFonts w:asciiTheme="majorHAnsi" w:hAnsiTheme="majorHAnsi" w:cstheme="majorHAnsi"/>
          <w:b/>
          <w:bCs/>
          <w:i/>
          <w:iCs/>
          <w:color w:val="000000"/>
        </w:rPr>
      </w:pPr>
      <w:r w:rsidRPr="00FF386D">
        <w:rPr>
          <w:rFonts w:asciiTheme="majorHAnsi" w:hAnsiTheme="majorHAnsi" w:cstheme="majorHAnsi"/>
          <w:b/>
          <w:bCs/>
          <w:i/>
          <w:iCs/>
          <w:color w:val="000000"/>
        </w:rPr>
        <w:t>Политике и мере за промовисање конкурентности</w:t>
      </w:r>
    </w:p>
    <w:p w14:paraId="2696885E" w14:textId="4C29684E"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Подстицање предузетништва представља приоритет, </w:t>
      </w:r>
      <w:r w:rsidR="004324C2" w:rsidRPr="00FF386D">
        <w:rPr>
          <w:rFonts w:asciiTheme="majorHAnsi" w:hAnsiTheme="majorHAnsi" w:cstheme="majorHAnsi"/>
          <w:color w:val="000000"/>
        </w:rPr>
        <w:t>који</w:t>
      </w:r>
      <w:r w:rsidRPr="00FF386D">
        <w:rPr>
          <w:rFonts w:asciiTheme="majorHAnsi" w:hAnsiTheme="majorHAnsi" w:cstheme="majorHAnsi"/>
          <w:color w:val="000000"/>
        </w:rPr>
        <w:t xml:space="preserve"> </w:t>
      </w:r>
      <w:r w:rsidR="004324C2" w:rsidRPr="00FF386D">
        <w:rPr>
          <w:rFonts w:asciiTheme="majorHAnsi" w:hAnsiTheme="majorHAnsi" w:cstheme="majorHAnsi"/>
          <w:color w:val="000000"/>
        </w:rPr>
        <w:t xml:space="preserve">даје </w:t>
      </w:r>
      <w:r w:rsidRPr="00FF386D">
        <w:rPr>
          <w:rFonts w:asciiTheme="majorHAnsi" w:hAnsiTheme="majorHAnsi" w:cstheme="majorHAnsi"/>
          <w:color w:val="000000"/>
        </w:rPr>
        <w:t>дире</w:t>
      </w:r>
      <w:r w:rsidR="004324C2" w:rsidRPr="00FF386D">
        <w:rPr>
          <w:rFonts w:asciiTheme="majorHAnsi" w:hAnsiTheme="majorHAnsi" w:cstheme="majorHAnsi"/>
          <w:color w:val="000000"/>
        </w:rPr>
        <w:t>ктан допринос</w:t>
      </w:r>
      <w:r w:rsidRPr="00FF386D">
        <w:rPr>
          <w:rFonts w:asciiTheme="majorHAnsi" w:hAnsiTheme="majorHAnsi" w:cstheme="majorHAnsi"/>
          <w:color w:val="000000"/>
        </w:rPr>
        <w:t xml:space="preserve"> компоненти конкурентности. У том контексту, планирано је:</w:t>
      </w:r>
    </w:p>
    <w:p w14:paraId="77FA3538" w14:textId="5F775BF1"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(а) да се о</w:t>
      </w:r>
      <w:r w:rsidR="004324C2" w:rsidRPr="00FF386D">
        <w:rPr>
          <w:rFonts w:asciiTheme="majorHAnsi" w:hAnsiTheme="majorHAnsi" w:cstheme="majorHAnsi"/>
          <w:color w:val="000000"/>
        </w:rPr>
        <w:t>бразују</w:t>
      </w:r>
      <w:r w:rsidRPr="00FF386D">
        <w:rPr>
          <w:rFonts w:asciiTheme="majorHAnsi" w:hAnsiTheme="majorHAnsi" w:cstheme="majorHAnsi"/>
          <w:color w:val="000000"/>
        </w:rPr>
        <w:t xml:space="preserve"> и воде посебни фондови за подстицање истраживања и иновација у МСП, сарадњ</w:t>
      </w:r>
      <w:r w:rsidR="004324C2" w:rsidRPr="00FF386D">
        <w:rPr>
          <w:rFonts w:asciiTheme="majorHAnsi" w:hAnsiTheme="majorHAnsi" w:cstheme="majorHAnsi"/>
          <w:color w:val="000000"/>
        </w:rPr>
        <w:t>а</w:t>
      </w:r>
      <w:r w:rsidRPr="00FF386D">
        <w:rPr>
          <w:rFonts w:asciiTheme="majorHAnsi" w:hAnsiTheme="majorHAnsi" w:cstheme="majorHAnsi"/>
          <w:color w:val="000000"/>
        </w:rPr>
        <w:t xml:space="preserve"> са истраживачким центрима и обезбеђивање услова за успешно улагање, и</w:t>
      </w:r>
    </w:p>
    <w:p w14:paraId="54D89297" w14:textId="77777777"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(б) искоришћавање патентних права, лиценцирања итд.</w:t>
      </w:r>
    </w:p>
    <w:p w14:paraId="137C7E67" w14:textId="491D61C4"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Поред тога, треба пружити подршку стварању иновативних кластера компанија и истраживачких </w:t>
      </w:r>
      <w:r w:rsidR="004324C2" w:rsidRPr="00FF386D">
        <w:rPr>
          <w:rFonts w:asciiTheme="majorHAnsi" w:hAnsiTheme="majorHAnsi" w:cstheme="majorHAnsi"/>
          <w:color w:val="000000"/>
        </w:rPr>
        <w:t>субјеката</w:t>
      </w:r>
      <w:r w:rsidRPr="00FF386D">
        <w:rPr>
          <w:rFonts w:asciiTheme="majorHAnsi" w:hAnsiTheme="majorHAnsi" w:cstheme="majorHAnsi"/>
          <w:color w:val="000000"/>
        </w:rPr>
        <w:t xml:space="preserve"> у циљу подстицања предузетништва и оснивање стартап</w:t>
      </w:r>
      <w:r w:rsidR="004324C2" w:rsidRPr="00FF386D">
        <w:rPr>
          <w:rFonts w:asciiTheme="majorHAnsi" w:hAnsiTheme="majorHAnsi" w:cstheme="majorHAnsi"/>
          <w:color w:val="000000"/>
        </w:rPr>
        <w:t>а</w:t>
      </w:r>
      <w:r w:rsidRPr="00FF386D">
        <w:rPr>
          <w:rFonts w:asciiTheme="majorHAnsi" w:hAnsiTheme="majorHAnsi" w:cstheme="majorHAnsi"/>
          <w:color w:val="000000"/>
        </w:rPr>
        <w:t xml:space="preserve"> за комерцијалну експлоатацију зрелих истраживачких резултата и иновативних идеја, као и за развој предузетничких структура подршке, као што су инкубатори, технолошки паркови, заједнички радни простори (</w:t>
      </w:r>
      <w:r w:rsidRPr="00FF386D">
        <w:rPr>
          <w:rFonts w:asciiTheme="majorHAnsi" w:hAnsiTheme="majorHAnsi" w:cstheme="majorHAnsi"/>
          <w:i/>
          <w:iCs/>
          <w:color w:val="000000"/>
        </w:rPr>
        <w:t>co-working)</w:t>
      </w:r>
      <w:r w:rsidRPr="00FF386D">
        <w:rPr>
          <w:rFonts w:asciiTheme="majorHAnsi" w:hAnsiTheme="majorHAnsi" w:cstheme="majorHAnsi"/>
          <w:color w:val="000000"/>
        </w:rPr>
        <w:t>, итд.</w:t>
      </w:r>
    </w:p>
    <w:p w14:paraId="2A09FD33" w14:textId="7CF4C631"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Јачање конкурентности захтева унапређење постојећег регулаторног оквира за спровођење улагања у индустријска постројења и МСП како би се створио стабилан и транспарент</w:t>
      </w:r>
      <w:r w:rsidR="00842AFD" w:rsidRPr="00FF386D">
        <w:rPr>
          <w:rFonts w:asciiTheme="majorHAnsi" w:hAnsiTheme="majorHAnsi" w:cstheme="majorHAnsi"/>
          <w:color w:val="000000"/>
        </w:rPr>
        <w:t>ан</w:t>
      </w:r>
      <w:r w:rsidRPr="00FF386D">
        <w:rPr>
          <w:rFonts w:asciiTheme="majorHAnsi" w:hAnsiTheme="majorHAnsi" w:cstheme="majorHAnsi"/>
          <w:color w:val="000000"/>
        </w:rPr>
        <w:t xml:space="preserve"> оквир правила, процедура и административних структура, </w:t>
      </w:r>
      <w:r w:rsidR="00842AFD" w:rsidRPr="00FF386D">
        <w:rPr>
          <w:rFonts w:asciiTheme="majorHAnsi" w:hAnsiTheme="majorHAnsi" w:cstheme="majorHAnsi"/>
          <w:color w:val="000000"/>
        </w:rPr>
        <w:t xml:space="preserve">у циљу </w:t>
      </w:r>
      <w:r w:rsidRPr="00FF386D">
        <w:rPr>
          <w:rFonts w:asciiTheme="majorHAnsi" w:hAnsiTheme="majorHAnsi" w:cstheme="majorHAnsi"/>
          <w:color w:val="000000"/>
        </w:rPr>
        <w:t>не</w:t>
      </w:r>
      <w:r w:rsidR="00842AFD" w:rsidRPr="00FF386D">
        <w:rPr>
          <w:rFonts w:asciiTheme="majorHAnsi" w:hAnsiTheme="majorHAnsi" w:cstheme="majorHAnsi"/>
          <w:color w:val="000000"/>
        </w:rPr>
        <w:t>сметаног</w:t>
      </w:r>
      <w:r w:rsidRPr="00FF386D">
        <w:rPr>
          <w:rFonts w:asciiTheme="majorHAnsi" w:hAnsiTheme="majorHAnsi" w:cstheme="majorHAnsi"/>
          <w:color w:val="000000"/>
        </w:rPr>
        <w:t xml:space="preserve"> завршетка великих јавних и приватних пројеката. Поред тога, да би се обезбедио додатни приватни капитал, процениће се ефикасност постојећих шема помоћи приватним инвестицијама како би се наставила примена најефикаснијих међу њима и/или </w:t>
      </w:r>
      <w:r w:rsidR="00842AFD" w:rsidRPr="00FF386D">
        <w:rPr>
          <w:rFonts w:asciiTheme="majorHAnsi" w:hAnsiTheme="majorHAnsi" w:cstheme="majorHAnsi"/>
          <w:color w:val="000000"/>
        </w:rPr>
        <w:t>покушала реализација</w:t>
      </w:r>
      <w:r w:rsidRPr="00FF386D">
        <w:rPr>
          <w:rFonts w:asciiTheme="majorHAnsi" w:hAnsiTheme="majorHAnsi" w:cstheme="majorHAnsi"/>
          <w:color w:val="000000"/>
        </w:rPr>
        <w:t xml:space="preserve"> нов</w:t>
      </w:r>
      <w:r w:rsidR="00842AFD" w:rsidRPr="00FF386D">
        <w:rPr>
          <w:rFonts w:asciiTheme="majorHAnsi" w:hAnsiTheme="majorHAnsi" w:cstheme="majorHAnsi"/>
          <w:color w:val="000000"/>
        </w:rPr>
        <w:t>их</w:t>
      </w:r>
      <w:r w:rsidRPr="00FF386D">
        <w:rPr>
          <w:rFonts w:asciiTheme="majorHAnsi" w:hAnsiTheme="majorHAnsi" w:cstheme="majorHAnsi"/>
          <w:color w:val="000000"/>
        </w:rPr>
        <w:t xml:space="preserve"> шем</w:t>
      </w:r>
      <w:r w:rsidR="00842AFD" w:rsidRPr="00FF386D">
        <w:rPr>
          <w:rFonts w:asciiTheme="majorHAnsi" w:hAnsiTheme="majorHAnsi" w:cstheme="majorHAnsi"/>
          <w:color w:val="000000"/>
        </w:rPr>
        <w:t>а</w:t>
      </w:r>
      <w:r w:rsidRPr="00FF386D">
        <w:rPr>
          <w:rFonts w:asciiTheme="majorHAnsi" w:hAnsiTheme="majorHAnsi" w:cstheme="majorHAnsi"/>
          <w:color w:val="000000"/>
        </w:rPr>
        <w:t>.</w:t>
      </w:r>
    </w:p>
    <w:p w14:paraId="5C4367D1" w14:textId="0CF28377"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lastRenderedPageBreak/>
        <w:t>Улога посебних циљних фондова биће значајна за омогућавање концесионог финансирања привреде (посебно МСП) и за преузимање дела пословног ризика који не преузимају финансијске институције, уз обезбеђивање неопходних гаранција.</w:t>
      </w:r>
    </w:p>
    <w:p w14:paraId="20F2920C" w14:textId="77777777"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Сматра се да је допринос циркуларне економије унапређењу конкурентности од великог значаја и стога је неопходно промовисати конкретне акције које се фокусирају на развој иновативних технологија за постизање циљева Националне мапе пута за циркуларну економију.</w:t>
      </w:r>
    </w:p>
    <w:p w14:paraId="7A8391A6" w14:textId="77777777" w:rsidR="00854ADA" w:rsidRPr="00FF386D" w:rsidRDefault="00854ADA" w:rsidP="00854ADA">
      <w:pPr>
        <w:spacing w:before="160"/>
        <w:jc w:val="both"/>
        <w:rPr>
          <w:rFonts w:asciiTheme="majorHAnsi" w:hAnsiTheme="majorHAnsi" w:cstheme="majorHAnsi"/>
          <w:i/>
          <w:iCs/>
          <w:color w:val="000000"/>
          <w:u w:val="single"/>
        </w:rPr>
      </w:pPr>
      <w:r w:rsidRPr="00FF386D">
        <w:rPr>
          <w:rFonts w:asciiTheme="majorHAnsi" w:hAnsiTheme="majorHAnsi" w:cstheme="majorHAnsi"/>
          <w:i/>
          <w:iCs/>
          <w:color w:val="000000"/>
          <w:u w:val="single"/>
        </w:rPr>
        <w:t>Tабела за МП_ИИК17 – МП_ИИК20</w:t>
      </w:r>
    </w:p>
    <w:tbl>
      <w:tblPr>
        <w:tblW w:w="9488" w:type="dxa"/>
        <w:tblLook w:val="04A0" w:firstRow="1" w:lastRow="0" w:firstColumn="1" w:lastColumn="0" w:noHBand="0" w:noVBand="1"/>
      </w:tblPr>
      <w:tblGrid>
        <w:gridCol w:w="3260"/>
        <w:gridCol w:w="1173"/>
        <w:gridCol w:w="932"/>
        <w:gridCol w:w="4123"/>
      </w:tblGrid>
      <w:tr w:rsidR="00854ADA" w:rsidRPr="00FF386D" w14:paraId="3ACDC99B" w14:textId="77777777" w:rsidTr="0057310C">
        <w:trPr>
          <w:trHeight w:val="780"/>
        </w:trPr>
        <w:tc>
          <w:tcPr>
            <w:tcW w:w="3260"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247790A8" w14:textId="1A544553"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173" w:type="dxa"/>
            <w:tcBorders>
              <w:top w:val="single" w:sz="8" w:space="0" w:color="auto"/>
              <w:left w:val="nil"/>
              <w:bottom w:val="single" w:sz="8" w:space="0" w:color="auto"/>
              <w:right w:val="single" w:sz="8" w:space="0" w:color="auto"/>
            </w:tcBorders>
            <w:shd w:val="clear" w:color="auto" w:fill="E7E6E6" w:themeFill="background2"/>
            <w:vAlign w:val="center"/>
            <w:hideMark/>
          </w:tcPr>
          <w:p w14:paraId="19F5408B"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eastAsia="Times New Roman" w:hAnsi="Calibri Light" w:cs="Calibri Light"/>
                <w:b/>
                <w:bCs/>
                <w:color w:val="000000"/>
                <w:sz w:val="20"/>
                <w:szCs w:val="20"/>
                <w:lang w:eastAsia="en-GB"/>
              </w:rPr>
              <w:t>MП_ИИК17</w:t>
            </w:r>
          </w:p>
        </w:tc>
        <w:tc>
          <w:tcPr>
            <w:tcW w:w="932" w:type="dxa"/>
            <w:tcBorders>
              <w:top w:val="single" w:sz="8" w:space="0" w:color="auto"/>
              <w:left w:val="nil"/>
              <w:bottom w:val="single" w:sz="8" w:space="0" w:color="auto"/>
              <w:right w:val="single" w:sz="8" w:space="0" w:color="auto"/>
            </w:tcBorders>
            <w:shd w:val="clear" w:color="auto" w:fill="244062"/>
            <w:vAlign w:val="center"/>
            <w:hideMark/>
          </w:tcPr>
          <w:p w14:paraId="70B9E13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Calibri Light" w:eastAsia="Times New Roman" w:hAnsi="Calibri Light" w:cs="Calibri Light"/>
                <w:b/>
                <w:bCs/>
                <w:color w:val="FFFFFF"/>
                <w:sz w:val="20"/>
                <w:szCs w:val="20"/>
                <w:lang w:eastAsia="en-GB"/>
              </w:rPr>
              <w:t xml:space="preserve">Назив: </w:t>
            </w:r>
          </w:p>
        </w:tc>
        <w:tc>
          <w:tcPr>
            <w:tcW w:w="4123" w:type="dxa"/>
            <w:tcBorders>
              <w:top w:val="single" w:sz="8" w:space="0" w:color="auto"/>
              <w:left w:val="nil"/>
              <w:bottom w:val="single" w:sz="8" w:space="0" w:color="auto"/>
              <w:right w:val="single" w:sz="8" w:space="0" w:color="auto"/>
            </w:tcBorders>
            <w:shd w:val="clear" w:color="auto" w:fill="E7E6E6" w:themeFill="background2"/>
            <w:vAlign w:val="center"/>
            <w:hideMark/>
          </w:tcPr>
          <w:p w14:paraId="2602218C" w14:textId="2BE43215" w:rsidR="00854ADA" w:rsidRPr="00FF386D" w:rsidRDefault="00842AFD"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eastAsia="Times New Roman" w:hAnsi="Calibri Light" w:cs="Calibri Light"/>
                <w:b/>
                <w:bCs/>
                <w:color w:val="000000"/>
                <w:sz w:val="20"/>
                <w:szCs w:val="20"/>
                <w:lang w:eastAsia="en-GB"/>
              </w:rPr>
              <w:t>Подстицање предузетништва преко активности истраживања и иновација интегрисаних у рад тржишта</w:t>
            </w:r>
          </w:p>
        </w:tc>
      </w:tr>
      <w:tr w:rsidR="00854ADA" w:rsidRPr="00FF386D" w14:paraId="1E5D5633" w14:textId="77777777" w:rsidTr="0057310C">
        <w:trPr>
          <w:trHeight w:val="340"/>
        </w:trPr>
        <w:tc>
          <w:tcPr>
            <w:tcW w:w="3260" w:type="dxa"/>
            <w:tcBorders>
              <w:top w:val="nil"/>
              <w:left w:val="single" w:sz="8" w:space="0" w:color="auto"/>
              <w:bottom w:val="single" w:sz="8" w:space="0" w:color="auto"/>
              <w:right w:val="nil"/>
            </w:tcBorders>
            <w:shd w:val="clear" w:color="000000" w:fill="244062"/>
            <w:vAlign w:val="center"/>
            <w:hideMark/>
          </w:tcPr>
          <w:p w14:paraId="03BC1FAC" w14:textId="2DF4378D"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28" w:type="dxa"/>
            <w:gridSpan w:val="3"/>
            <w:tcBorders>
              <w:top w:val="single" w:sz="8" w:space="0" w:color="auto"/>
              <w:left w:val="nil"/>
              <w:bottom w:val="single" w:sz="8" w:space="0" w:color="auto"/>
              <w:right w:val="single" w:sz="8" w:space="0" w:color="000000"/>
            </w:tcBorders>
            <w:vAlign w:val="center"/>
            <w:hideMark/>
          </w:tcPr>
          <w:p w14:paraId="6317AD39"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Унапређење конкурентности</w:t>
            </w:r>
          </w:p>
        </w:tc>
      </w:tr>
      <w:tr w:rsidR="00854ADA" w:rsidRPr="00FF386D" w14:paraId="4D8BE232" w14:textId="77777777" w:rsidTr="0057310C">
        <w:trPr>
          <w:trHeight w:val="315"/>
        </w:trPr>
        <w:tc>
          <w:tcPr>
            <w:tcW w:w="3260" w:type="dxa"/>
            <w:tcBorders>
              <w:top w:val="nil"/>
              <w:left w:val="single" w:sz="8" w:space="0" w:color="auto"/>
              <w:bottom w:val="single" w:sz="8" w:space="0" w:color="auto"/>
              <w:right w:val="single" w:sz="8" w:space="0" w:color="auto"/>
            </w:tcBorders>
            <w:shd w:val="clear" w:color="000000" w:fill="244062"/>
            <w:vAlign w:val="center"/>
            <w:hideMark/>
          </w:tcPr>
          <w:p w14:paraId="7DC0AAFB" w14:textId="0D03F11F"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28" w:type="dxa"/>
            <w:gridSpan w:val="3"/>
            <w:tcBorders>
              <w:top w:val="single" w:sz="8" w:space="0" w:color="auto"/>
              <w:left w:val="nil"/>
              <w:bottom w:val="single" w:sz="8" w:space="0" w:color="auto"/>
              <w:right w:val="single" w:sz="8" w:space="0" w:color="000000"/>
            </w:tcBorders>
            <w:vAlign w:val="center"/>
            <w:hideMark/>
          </w:tcPr>
          <w:p w14:paraId="636C51D2"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Повећање нивоа конкурентности у области енергетике (квалитативан циљ)</w:t>
            </w:r>
          </w:p>
        </w:tc>
      </w:tr>
      <w:tr w:rsidR="00854ADA" w:rsidRPr="00FF386D" w14:paraId="22EF5E24" w14:textId="77777777" w:rsidTr="0057310C">
        <w:trPr>
          <w:trHeight w:val="2295"/>
        </w:trPr>
        <w:tc>
          <w:tcPr>
            <w:tcW w:w="3260" w:type="dxa"/>
            <w:tcBorders>
              <w:top w:val="nil"/>
              <w:left w:val="single" w:sz="8" w:space="0" w:color="auto"/>
              <w:bottom w:val="single" w:sz="8" w:space="0" w:color="auto"/>
              <w:right w:val="single" w:sz="8" w:space="0" w:color="auto"/>
            </w:tcBorders>
            <w:shd w:val="clear" w:color="000000" w:fill="244062"/>
            <w:vAlign w:val="center"/>
            <w:hideMark/>
          </w:tcPr>
          <w:p w14:paraId="0A716A2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28" w:type="dxa"/>
            <w:gridSpan w:val="3"/>
            <w:tcBorders>
              <w:top w:val="single" w:sz="8" w:space="0" w:color="auto"/>
              <w:left w:val="nil"/>
              <w:bottom w:val="single" w:sz="8" w:space="0" w:color="auto"/>
              <w:right w:val="single" w:sz="8" w:space="0" w:color="000000"/>
            </w:tcBorders>
            <w:vAlign w:val="center"/>
            <w:hideMark/>
          </w:tcPr>
          <w:p w14:paraId="3C018F9D" w14:textId="2AD8993F"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ПМ_ИИК17 ће бити усмерена на оснивање и рад посебних фондова у циљу подстицања истраживања и иновација у малим и средњим предузећима, обезбеђивање услова за стварање успешних инвестиција, експлоатацију патената, уступање права итд. Такође ће подржати стварање иновативних кооперативних кластера компанија и истраживачких институција у циљу промоције предузетништва. На крају, оснаживаће се оснивање старт</w:t>
            </w:r>
            <w:r w:rsidR="00210317" w:rsidRPr="00210317">
              <w:rPr>
                <w:rFonts w:ascii="Calibri Light" w:hAnsi="Calibri Light"/>
                <w:sz w:val="20"/>
              </w:rPr>
              <w:t>апов</w:t>
            </w:r>
            <w:r w:rsidRPr="00FF386D">
              <w:rPr>
                <w:rFonts w:ascii="Calibri Light" w:hAnsi="Calibri Light"/>
                <w:sz w:val="20"/>
              </w:rPr>
              <w:t xml:space="preserve">а утемељених на знању за комерцијалну употребу и комерцијализацију зрелих резултата истраживања и иновативних идеја, као и развој структура за подршку предузетништву, попут инкубатора, технолошких паркова, </w:t>
            </w:r>
            <w:r w:rsidR="00842AFD" w:rsidRPr="00FF386D">
              <w:rPr>
                <w:rFonts w:ascii="Calibri Light" w:hAnsi="Calibri Light"/>
                <w:sz w:val="20"/>
              </w:rPr>
              <w:t>области</w:t>
            </w:r>
            <w:r w:rsidRPr="00FF386D">
              <w:rPr>
                <w:rFonts w:ascii="Calibri Light" w:hAnsi="Calibri Light"/>
                <w:sz w:val="20"/>
              </w:rPr>
              <w:t xml:space="preserve"> сарадње итд.</w:t>
            </w:r>
          </w:p>
        </w:tc>
      </w:tr>
      <w:tr w:rsidR="00854ADA" w:rsidRPr="00FF386D" w14:paraId="63D7CAC1" w14:textId="77777777" w:rsidTr="0057310C">
        <w:trPr>
          <w:trHeight w:val="315"/>
        </w:trPr>
        <w:tc>
          <w:tcPr>
            <w:tcW w:w="3260" w:type="dxa"/>
            <w:tcBorders>
              <w:top w:val="nil"/>
              <w:left w:val="single" w:sz="8" w:space="0" w:color="auto"/>
              <w:bottom w:val="single" w:sz="8" w:space="0" w:color="auto"/>
              <w:right w:val="single" w:sz="8" w:space="0" w:color="auto"/>
            </w:tcBorders>
            <w:shd w:val="clear" w:color="000000" w:fill="244062"/>
            <w:vAlign w:val="center"/>
            <w:hideMark/>
          </w:tcPr>
          <w:p w14:paraId="53FB585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28" w:type="dxa"/>
            <w:gridSpan w:val="3"/>
            <w:tcBorders>
              <w:top w:val="single" w:sz="8" w:space="0" w:color="auto"/>
              <w:left w:val="nil"/>
              <w:bottom w:val="single" w:sz="8" w:space="0" w:color="auto"/>
              <w:right w:val="single" w:sz="8" w:space="0" w:color="000000"/>
            </w:tcBorders>
            <w:vAlign w:val="center"/>
            <w:hideMark/>
          </w:tcPr>
          <w:p w14:paraId="6C7872C4" w14:textId="527BC341" w:rsidR="00854ADA" w:rsidRPr="00FF386D" w:rsidRDefault="00210317"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202</w:t>
            </w:r>
            <w:r>
              <w:rPr>
                <w:rFonts w:ascii="Calibri Light" w:hAnsi="Calibri Light"/>
                <w:sz w:val="20"/>
              </w:rPr>
              <w:t>3</w:t>
            </w:r>
            <w:r w:rsidR="00854ADA" w:rsidRPr="00FF386D">
              <w:rPr>
                <w:rFonts w:ascii="Calibri Light" w:hAnsi="Calibri Light"/>
                <w:sz w:val="20"/>
              </w:rPr>
              <w:t>-2030.</w:t>
            </w:r>
          </w:p>
        </w:tc>
      </w:tr>
      <w:tr w:rsidR="00854ADA" w:rsidRPr="00FF386D" w14:paraId="6919782B" w14:textId="77777777" w:rsidTr="0057310C">
        <w:trPr>
          <w:trHeight w:val="315"/>
        </w:trPr>
        <w:tc>
          <w:tcPr>
            <w:tcW w:w="3260" w:type="dxa"/>
            <w:tcBorders>
              <w:top w:val="nil"/>
              <w:left w:val="single" w:sz="8" w:space="0" w:color="auto"/>
              <w:bottom w:val="single" w:sz="8" w:space="0" w:color="auto"/>
              <w:right w:val="single" w:sz="8" w:space="0" w:color="auto"/>
            </w:tcBorders>
            <w:shd w:val="clear" w:color="000000" w:fill="244062"/>
            <w:vAlign w:val="center"/>
            <w:hideMark/>
          </w:tcPr>
          <w:p w14:paraId="688A2A3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28" w:type="dxa"/>
            <w:gridSpan w:val="3"/>
            <w:tcBorders>
              <w:top w:val="single" w:sz="8" w:space="0" w:color="auto"/>
              <w:left w:val="nil"/>
              <w:bottom w:val="single" w:sz="8" w:space="0" w:color="auto"/>
              <w:right w:val="single" w:sz="8" w:space="0" w:color="000000"/>
            </w:tcBorders>
            <w:vAlign w:val="center"/>
            <w:hideMark/>
          </w:tcPr>
          <w:p w14:paraId="1781C96F"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Инвестиција</w:t>
            </w:r>
          </w:p>
        </w:tc>
      </w:tr>
      <w:tr w:rsidR="00854ADA" w:rsidRPr="00FF386D" w14:paraId="326DF917" w14:textId="77777777" w:rsidTr="0057310C">
        <w:trPr>
          <w:trHeight w:val="315"/>
        </w:trPr>
        <w:tc>
          <w:tcPr>
            <w:tcW w:w="3260" w:type="dxa"/>
            <w:tcBorders>
              <w:top w:val="nil"/>
              <w:left w:val="single" w:sz="8" w:space="0" w:color="auto"/>
              <w:bottom w:val="single" w:sz="8" w:space="0" w:color="auto"/>
              <w:right w:val="single" w:sz="8" w:space="0" w:color="auto"/>
            </w:tcBorders>
            <w:shd w:val="clear" w:color="000000" w:fill="244062"/>
            <w:vAlign w:val="center"/>
            <w:hideMark/>
          </w:tcPr>
          <w:p w14:paraId="1124097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28" w:type="dxa"/>
            <w:gridSpan w:val="3"/>
            <w:tcBorders>
              <w:top w:val="single" w:sz="8" w:space="0" w:color="auto"/>
              <w:left w:val="nil"/>
              <w:bottom w:val="single" w:sz="8" w:space="0" w:color="auto"/>
              <w:right w:val="single" w:sz="8" w:space="0" w:color="000000"/>
            </w:tcBorders>
            <w:vAlign w:val="center"/>
            <w:hideMark/>
          </w:tcPr>
          <w:p w14:paraId="2E8B55F9" w14:textId="70FE6562"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Све области </w:t>
            </w:r>
            <w:r w:rsidR="00210317">
              <w:rPr>
                <w:rFonts w:ascii="Calibri Light" w:hAnsi="Calibri Light"/>
                <w:sz w:val="20"/>
              </w:rPr>
              <w:t>И</w:t>
            </w:r>
            <w:r w:rsidRPr="00FF386D">
              <w:rPr>
                <w:rFonts w:ascii="Calibri Light" w:hAnsi="Calibri Light"/>
                <w:sz w:val="20"/>
              </w:rPr>
              <w:t>НЕКП-а</w:t>
            </w:r>
          </w:p>
        </w:tc>
      </w:tr>
      <w:tr w:rsidR="00854ADA" w:rsidRPr="00FF386D" w14:paraId="04954A33" w14:textId="77777777" w:rsidTr="0057310C">
        <w:trPr>
          <w:trHeight w:val="315"/>
        </w:trPr>
        <w:tc>
          <w:tcPr>
            <w:tcW w:w="3260" w:type="dxa"/>
            <w:tcBorders>
              <w:top w:val="nil"/>
              <w:left w:val="single" w:sz="8" w:space="0" w:color="auto"/>
              <w:bottom w:val="single" w:sz="8" w:space="0" w:color="auto"/>
              <w:right w:val="single" w:sz="8" w:space="0" w:color="auto"/>
            </w:tcBorders>
            <w:shd w:val="clear" w:color="000000" w:fill="244062"/>
            <w:vAlign w:val="center"/>
            <w:hideMark/>
          </w:tcPr>
          <w:p w14:paraId="3FF9B3B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28" w:type="dxa"/>
            <w:gridSpan w:val="3"/>
            <w:tcBorders>
              <w:top w:val="single" w:sz="8" w:space="0" w:color="auto"/>
              <w:left w:val="nil"/>
              <w:bottom w:val="single" w:sz="8" w:space="0" w:color="auto"/>
              <w:right w:val="single" w:sz="8" w:space="0" w:color="000000"/>
            </w:tcBorders>
            <w:vAlign w:val="center"/>
            <w:hideMark/>
          </w:tcPr>
          <w:p w14:paraId="6970041D" w14:textId="77777777" w:rsidR="00854ADA" w:rsidRPr="00FF386D" w:rsidRDefault="00854ADA" w:rsidP="00854ADA">
            <w:pPr>
              <w:numPr>
                <w:ilvl w:val="0"/>
                <w:numId w:val="203"/>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Министарство финансија</w:t>
            </w:r>
          </w:p>
          <w:p w14:paraId="095AB2D1" w14:textId="6B45DE04" w:rsidR="00854ADA" w:rsidRPr="00FF386D" w:rsidRDefault="00854ADA" w:rsidP="00854ADA">
            <w:pPr>
              <w:numPr>
                <w:ilvl w:val="0"/>
                <w:numId w:val="203"/>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Комисија за заштиту конкуренције,</w:t>
            </w:r>
          </w:p>
          <w:p w14:paraId="778AAD13" w14:textId="726342A6" w:rsidR="00854ADA" w:rsidRPr="00FF386D" w:rsidRDefault="00854ADA" w:rsidP="00854ADA">
            <w:pPr>
              <w:numPr>
                <w:ilvl w:val="0"/>
                <w:numId w:val="203"/>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Развојна агенција Србије,</w:t>
            </w:r>
          </w:p>
          <w:p w14:paraId="1E1EB81A" w14:textId="6A845975" w:rsidR="00854ADA" w:rsidRPr="00FF386D" w:rsidRDefault="004F14D0" w:rsidP="00854ADA">
            <w:pPr>
              <w:numPr>
                <w:ilvl w:val="0"/>
                <w:numId w:val="203"/>
              </w:numPr>
              <w:spacing w:after="0" w:line="240" w:lineRule="auto"/>
              <w:contextualSpacing/>
              <w:jc w:val="both"/>
              <w:rPr>
                <w:rFonts w:asciiTheme="majorHAnsi" w:eastAsia="Times New Roman" w:hAnsiTheme="majorHAnsi" w:cstheme="majorHAnsi"/>
                <w:color w:val="000000"/>
                <w:sz w:val="20"/>
                <w:szCs w:val="20"/>
                <w:lang w:eastAsia="en-GB"/>
              </w:rPr>
            </w:pPr>
            <w:r>
              <w:rPr>
                <w:rFonts w:ascii="Calibri Light" w:hAnsi="Calibri Light"/>
                <w:sz w:val="20"/>
              </w:rPr>
              <w:t>Привредна комора</w:t>
            </w:r>
            <w:r w:rsidR="00854ADA" w:rsidRPr="00FF386D">
              <w:rPr>
                <w:rFonts w:ascii="Calibri Light" w:hAnsi="Calibri Light"/>
                <w:sz w:val="20"/>
              </w:rPr>
              <w:t xml:space="preserve"> Србије,</w:t>
            </w:r>
          </w:p>
          <w:p w14:paraId="1B897D36" w14:textId="77777777" w:rsidR="00854ADA" w:rsidRPr="00FF386D" w:rsidRDefault="00854ADA" w:rsidP="00854ADA">
            <w:pPr>
              <w:numPr>
                <w:ilvl w:val="0"/>
                <w:numId w:val="203"/>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Центар за промоцију науке</w:t>
            </w:r>
          </w:p>
        </w:tc>
      </w:tr>
      <w:tr w:rsidR="00854ADA" w:rsidRPr="00FF386D" w14:paraId="5A826BE2" w14:textId="77777777" w:rsidTr="0057310C">
        <w:trPr>
          <w:trHeight w:val="315"/>
        </w:trPr>
        <w:tc>
          <w:tcPr>
            <w:tcW w:w="3260" w:type="dxa"/>
            <w:tcBorders>
              <w:top w:val="nil"/>
              <w:left w:val="single" w:sz="8" w:space="0" w:color="auto"/>
              <w:bottom w:val="single" w:sz="8" w:space="0" w:color="auto"/>
              <w:right w:val="nil"/>
            </w:tcBorders>
            <w:shd w:val="clear" w:color="000000" w:fill="244062"/>
            <w:vAlign w:val="center"/>
            <w:hideMark/>
          </w:tcPr>
          <w:p w14:paraId="6E4C483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28" w:type="dxa"/>
            <w:gridSpan w:val="3"/>
            <w:tcBorders>
              <w:top w:val="single" w:sz="8" w:space="0" w:color="auto"/>
              <w:left w:val="nil"/>
              <w:bottom w:val="single" w:sz="8" w:space="0" w:color="auto"/>
              <w:right w:val="single" w:sz="8" w:space="0" w:color="000000"/>
            </w:tcBorders>
            <w:vAlign w:val="center"/>
            <w:hideMark/>
          </w:tcPr>
          <w:p w14:paraId="7F7C3176" w14:textId="77777777" w:rsidR="00854ADA" w:rsidRPr="00FF386D" w:rsidRDefault="00854ADA" w:rsidP="00854ADA">
            <w:pPr>
              <w:numPr>
                <w:ilvl w:val="0"/>
                <w:numId w:val="203"/>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Комисија за заштиту конкуренције</w:t>
            </w:r>
          </w:p>
        </w:tc>
      </w:tr>
      <w:tr w:rsidR="00854ADA" w:rsidRPr="00FF386D" w14:paraId="4C60760B" w14:textId="77777777" w:rsidTr="0057310C">
        <w:trPr>
          <w:trHeight w:val="315"/>
        </w:trPr>
        <w:tc>
          <w:tcPr>
            <w:tcW w:w="3260" w:type="dxa"/>
            <w:tcBorders>
              <w:top w:val="nil"/>
              <w:left w:val="single" w:sz="8" w:space="0" w:color="auto"/>
              <w:bottom w:val="single" w:sz="8" w:space="0" w:color="auto"/>
              <w:right w:val="nil"/>
            </w:tcBorders>
            <w:shd w:val="clear" w:color="000000" w:fill="244062"/>
            <w:vAlign w:val="center"/>
            <w:hideMark/>
          </w:tcPr>
          <w:p w14:paraId="5871AC38"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28" w:type="dxa"/>
            <w:gridSpan w:val="3"/>
            <w:tcBorders>
              <w:top w:val="single" w:sz="8" w:space="0" w:color="auto"/>
              <w:left w:val="nil"/>
              <w:bottom w:val="single" w:sz="8" w:space="0" w:color="auto"/>
              <w:right w:val="single" w:sz="8" w:space="0" w:color="000000"/>
            </w:tcBorders>
            <w:vAlign w:val="center"/>
            <w:hideMark/>
          </w:tcPr>
          <w:p w14:paraId="1BE8C87F"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Број акција у области чисте енергије на годишњем нивоу</w:t>
            </w:r>
          </w:p>
        </w:tc>
      </w:tr>
      <w:tr w:rsidR="00854ADA" w:rsidRPr="00FF386D" w14:paraId="439DE78C" w14:textId="77777777" w:rsidTr="0057310C">
        <w:trPr>
          <w:trHeight w:val="479"/>
        </w:trPr>
        <w:tc>
          <w:tcPr>
            <w:tcW w:w="3260" w:type="dxa"/>
            <w:tcBorders>
              <w:top w:val="nil"/>
              <w:left w:val="single" w:sz="8" w:space="0" w:color="auto"/>
              <w:bottom w:val="single" w:sz="8" w:space="0" w:color="auto"/>
              <w:right w:val="single" w:sz="8" w:space="0" w:color="auto"/>
            </w:tcBorders>
            <w:shd w:val="clear" w:color="000000" w:fill="244062"/>
            <w:vAlign w:val="center"/>
            <w:hideMark/>
          </w:tcPr>
          <w:p w14:paraId="2B9D6FE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28" w:type="dxa"/>
            <w:gridSpan w:val="3"/>
            <w:tcBorders>
              <w:top w:val="single" w:sz="8" w:space="0" w:color="auto"/>
              <w:left w:val="nil"/>
              <w:bottom w:val="single" w:sz="8" w:space="0" w:color="auto"/>
              <w:right w:val="single" w:sz="8" w:space="0" w:color="000000"/>
            </w:tcBorders>
            <w:vAlign w:val="center"/>
          </w:tcPr>
          <w:p w14:paraId="51DA6D3F" w14:textId="77777777" w:rsidR="00854ADA" w:rsidRPr="00FF386D" w:rsidRDefault="00854ADA" w:rsidP="00854ADA">
            <w:pPr>
              <w:numPr>
                <w:ilvl w:val="0"/>
                <w:numId w:val="181"/>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Унутрашње тржиште енергије</w:t>
            </w:r>
          </w:p>
        </w:tc>
      </w:tr>
      <w:tr w:rsidR="00854ADA" w:rsidRPr="00FF386D" w14:paraId="14ADF894" w14:textId="77777777" w:rsidTr="0057310C">
        <w:trPr>
          <w:trHeight w:val="450"/>
        </w:trPr>
        <w:tc>
          <w:tcPr>
            <w:tcW w:w="3260"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1BC8C1A6" w14:textId="436F9057"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28" w:type="dxa"/>
            <w:gridSpan w:val="3"/>
            <w:vMerge w:val="restart"/>
            <w:tcBorders>
              <w:top w:val="single" w:sz="8" w:space="0" w:color="auto"/>
              <w:left w:val="single" w:sz="8" w:space="0" w:color="auto"/>
              <w:bottom w:val="single" w:sz="8" w:space="0" w:color="000000"/>
              <w:right w:val="single" w:sz="8" w:space="0" w:color="000000"/>
            </w:tcBorders>
            <w:vAlign w:val="center"/>
          </w:tcPr>
          <w:p w14:paraId="7FB9C455" w14:textId="77777777" w:rsidR="00854ADA" w:rsidRPr="00FF386D" w:rsidRDefault="00854ADA" w:rsidP="00854ADA">
            <w:pPr>
              <w:numPr>
                <w:ilvl w:val="0"/>
                <w:numId w:val="181"/>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Европско законодавство</w:t>
            </w:r>
          </w:p>
        </w:tc>
      </w:tr>
      <w:tr w:rsidR="00854ADA" w:rsidRPr="00FF386D" w14:paraId="0A501755"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7125F771"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28" w:type="dxa"/>
            <w:gridSpan w:val="3"/>
            <w:vMerge/>
            <w:tcBorders>
              <w:top w:val="single" w:sz="8" w:space="0" w:color="auto"/>
              <w:left w:val="single" w:sz="8" w:space="0" w:color="auto"/>
              <w:bottom w:val="single" w:sz="8" w:space="0" w:color="000000"/>
              <w:right w:val="single" w:sz="8" w:space="0" w:color="000000"/>
            </w:tcBorders>
            <w:vAlign w:val="center"/>
          </w:tcPr>
          <w:p w14:paraId="5892944C"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63B3960D"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3D9BC4B0"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28" w:type="dxa"/>
            <w:gridSpan w:val="3"/>
            <w:vMerge/>
            <w:tcBorders>
              <w:top w:val="single" w:sz="8" w:space="0" w:color="auto"/>
              <w:left w:val="single" w:sz="8" w:space="0" w:color="auto"/>
              <w:bottom w:val="single" w:sz="8" w:space="0" w:color="000000"/>
              <w:right w:val="single" w:sz="8" w:space="0" w:color="000000"/>
            </w:tcBorders>
            <w:vAlign w:val="center"/>
          </w:tcPr>
          <w:p w14:paraId="1BD55F3E"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00158672" w14:textId="77777777" w:rsidTr="0057310C">
        <w:trPr>
          <w:trHeight w:val="780"/>
        </w:trPr>
        <w:tc>
          <w:tcPr>
            <w:tcW w:w="3260" w:type="dxa"/>
            <w:tcBorders>
              <w:top w:val="nil"/>
              <w:left w:val="single" w:sz="8" w:space="0" w:color="auto"/>
              <w:bottom w:val="single" w:sz="8" w:space="0" w:color="auto"/>
              <w:right w:val="single" w:sz="8" w:space="0" w:color="auto"/>
            </w:tcBorders>
            <w:shd w:val="clear" w:color="000000" w:fill="244062"/>
            <w:vAlign w:val="center"/>
            <w:hideMark/>
          </w:tcPr>
          <w:p w14:paraId="7B906A5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28" w:type="dxa"/>
            <w:gridSpan w:val="3"/>
            <w:tcBorders>
              <w:top w:val="single" w:sz="8" w:space="0" w:color="auto"/>
              <w:left w:val="nil"/>
              <w:bottom w:val="single" w:sz="8" w:space="0" w:color="auto"/>
              <w:right w:val="single" w:sz="8" w:space="0" w:color="000000"/>
            </w:tcBorders>
            <w:vAlign w:val="center"/>
          </w:tcPr>
          <w:p w14:paraId="6E4C1126" w14:textId="77777777" w:rsidR="00854ADA" w:rsidRPr="000A2AFE" w:rsidRDefault="00854ADA">
            <w:pPr>
              <w:numPr>
                <w:ilvl w:val="0"/>
                <w:numId w:val="24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Закон о Фонду за науку</w:t>
            </w:r>
          </w:p>
          <w:p w14:paraId="773AC9B9" w14:textId="77777777" w:rsidR="00854ADA" w:rsidRPr="000A2AFE" w:rsidRDefault="00854ADA">
            <w:pPr>
              <w:numPr>
                <w:ilvl w:val="0"/>
                <w:numId w:val="244"/>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Закон о науци и истраживању</w:t>
            </w:r>
          </w:p>
          <w:p w14:paraId="2559C634" w14:textId="77777777" w:rsidR="00854ADA" w:rsidRPr="00FF386D" w:rsidRDefault="00854ADA" w:rsidP="00854ADA">
            <w:pPr>
              <w:numPr>
                <w:ilvl w:val="0"/>
                <w:numId w:val="97"/>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Стратегија индустријске политике (2021-2030)</w:t>
            </w:r>
          </w:p>
        </w:tc>
      </w:tr>
      <w:tr w:rsidR="00854ADA" w:rsidRPr="00FF386D" w14:paraId="4878DDA3" w14:textId="77777777" w:rsidTr="0057310C">
        <w:trPr>
          <w:trHeight w:val="315"/>
        </w:trPr>
        <w:tc>
          <w:tcPr>
            <w:tcW w:w="3260" w:type="dxa"/>
            <w:tcBorders>
              <w:top w:val="nil"/>
              <w:left w:val="single" w:sz="8" w:space="0" w:color="auto"/>
              <w:bottom w:val="single" w:sz="8" w:space="0" w:color="auto"/>
              <w:right w:val="single" w:sz="8" w:space="0" w:color="auto"/>
            </w:tcBorders>
            <w:shd w:val="clear" w:color="000000" w:fill="244062"/>
            <w:vAlign w:val="center"/>
            <w:hideMark/>
          </w:tcPr>
          <w:p w14:paraId="54D376D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28" w:type="dxa"/>
            <w:gridSpan w:val="3"/>
            <w:tcBorders>
              <w:top w:val="single" w:sz="8" w:space="0" w:color="auto"/>
              <w:left w:val="nil"/>
              <w:bottom w:val="single" w:sz="8" w:space="0" w:color="auto"/>
              <w:right w:val="single" w:sz="8" w:space="0" w:color="000000"/>
            </w:tcBorders>
            <w:vAlign w:val="center"/>
          </w:tcPr>
          <w:p w14:paraId="4F81FAA1"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1,8 милиона евра</w:t>
            </w:r>
          </w:p>
        </w:tc>
      </w:tr>
      <w:tr w:rsidR="00854ADA" w:rsidRPr="00FF386D" w14:paraId="73433814" w14:textId="77777777" w:rsidTr="0057310C">
        <w:trPr>
          <w:trHeight w:val="315"/>
        </w:trPr>
        <w:tc>
          <w:tcPr>
            <w:tcW w:w="3260" w:type="dxa"/>
            <w:tcBorders>
              <w:top w:val="nil"/>
              <w:left w:val="single" w:sz="8" w:space="0" w:color="auto"/>
              <w:bottom w:val="single" w:sz="8" w:space="0" w:color="auto"/>
              <w:right w:val="single" w:sz="8" w:space="0" w:color="auto"/>
            </w:tcBorders>
            <w:shd w:val="clear" w:color="000000" w:fill="244062"/>
            <w:vAlign w:val="center"/>
            <w:hideMark/>
          </w:tcPr>
          <w:p w14:paraId="5FDB865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28" w:type="dxa"/>
            <w:gridSpan w:val="3"/>
            <w:tcBorders>
              <w:top w:val="single" w:sz="8" w:space="0" w:color="auto"/>
              <w:left w:val="nil"/>
              <w:bottom w:val="single" w:sz="8" w:space="0" w:color="auto"/>
              <w:right w:val="single" w:sz="8" w:space="0" w:color="000000"/>
            </w:tcBorders>
            <w:shd w:val="clear" w:color="auto" w:fill="auto"/>
            <w:vAlign w:val="center"/>
            <w:hideMark/>
          </w:tcPr>
          <w:p w14:paraId="03BC8B93" w14:textId="7268DD41" w:rsidR="00854ADA" w:rsidRPr="00FF386D" w:rsidRDefault="00CE229F" w:rsidP="00854ADA">
            <w:pPr>
              <w:spacing w:after="0" w:line="240" w:lineRule="auto"/>
              <w:rPr>
                <w:rFonts w:asciiTheme="majorHAnsi" w:eastAsia="Times New Roman" w:hAnsiTheme="majorHAnsi" w:cstheme="majorHAnsi"/>
                <w:color w:val="000000"/>
                <w:sz w:val="20"/>
                <w:szCs w:val="20"/>
                <w:lang w:eastAsia="en-GB"/>
              </w:rPr>
            </w:pPr>
            <w:r w:rsidRPr="00CE229F">
              <w:rPr>
                <w:rFonts w:asciiTheme="majorHAnsi" w:eastAsia="Times New Roman" w:hAnsiTheme="majorHAnsi" w:cstheme="majorHAnsi"/>
                <w:color w:val="000000"/>
                <w:sz w:val="20"/>
                <w:szCs w:val="20"/>
                <w:lang w:eastAsia="en-GB"/>
              </w:rPr>
              <w:t>Фондови ЕУ, сопствена и буџетска средства</w:t>
            </w:r>
          </w:p>
        </w:tc>
      </w:tr>
    </w:tbl>
    <w:p w14:paraId="74CB4183" w14:textId="77777777" w:rsidR="00854ADA" w:rsidRPr="00FF386D" w:rsidRDefault="00854ADA" w:rsidP="00854ADA">
      <w:pPr>
        <w:spacing w:before="120" w:after="120" w:line="240" w:lineRule="auto"/>
        <w:rPr>
          <w:rFonts w:ascii="Calibri" w:eastAsia="Times New Roman" w:hAnsi="Calibri" w:cs="Arial"/>
          <w:highlight w:val="green"/>
          <w:lang w:eastAsia="el-GR"/>
        </w:rPr>
      </w:pPr>
    </w:p>
    <w:tbl>
      <w:tblPr>
        <w:tblW w:w="9488" w:type="dxa"/>
        <w:tblLook w:val="04A0" w:firstRow="1" w:lastRow="0" w:firstColumn="1" w:lastColumn="0" w:noHBand="0" w:noVBand="1"/>
      </w:tblPr>
      <w:tblGrid>
        <w:gridCol w:w="3262"/>
        <w:gridCol w:w="1173"/>
        <w:gridCol w:w="932"/>
        <w:gridCol w:w="4121"/>
      </w:tblGrid>
      <w:tr w:rsidR="00854ADA" w:rsidRPr="00FF386D" w14:paraId="70EB7A73" w14:textId="77777777" w:rsidTr="0057310C">
        <w:trPr>
          <w:trHeight w:val="780"/>
        </w:trPr>
        <w:tc>
          <w:tcPr>
            <w:tcW w:w="3262"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349D2E4F" w14:textId="6500DC9A"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173" w:type="dxa"/>
            <w:tcBorders>
              <w:top w:val="single" w:sz="8" w:space="0" w:color="auto"/>
              <w:left w:val="nil"/>
              <w:bottom w:val="single" w:sz="8" w:space="0" w:color="auto"/>
              <w:right w:val="single" w:sz="8" w:space="0" w:color="auto"/>
            </w:tcBorders>
            <w:shd w:val="clear" w:color="auto" w:fill="E7E6E6" w:themeFill="background2"/>
            <w:vAlign w:val="center"/>
            <w:hideMark/>
          </w:tcPr>
          <w:p w14:paraId="0D065FF3"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FF386D">
              <w:rPr>
                <w:rFonts w:ascii="Calibri Light" w:hAnsi="Calibri Light"/>
                <w:b/>
                <w:sz w:val="20"/>
              </w:rPr>
              <w:t>МП_ИИК18</w:t>
            </w:r>
          </w:p>
        </w:tc>
        <w:tc>
          <w:tcPr>
            <w:tcW w:w="932" w:type="dxa"/>
            <w:tcBorders>
              <w:top w:val="single" w:sz="8" w:space="0" w:color="auto"/>
              <w:left w:val="nil"/>
              <w:bottom w:val="single" w:sz="8" w:space="0" w:color="auto"/>
              <w:right w:val="single" w:sz="8" w:space="0" w:color="auto"/>
            </w:tcBorders>
            <w:shd w:val="clear" w:color="auto" w:fill="244062"/>
            <w:vAlign w:val="center"/>
            <w:hideMark/>
          </w:tcPr>
          <w:p w14:paraId="489B992F"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21" w:type="dxa"/>
            <w:tcBorders>
              <w:top w:val="single" w:sz="8" w:space="0" w:color="auto"/>
              <w:left w:val="nil"/>
              <w:bottom w:val="single" w:sz="8" w:space="0" w:color="auto"/>
              <w:right w:val="single" w:sz="8" w:space="0" w:color="auto"/>
            </w:tcBorders>
            <w:shd w:val="clear" w:color="auto" w:fill="E7E6E6" w:themeFill="background2"/>
            <w:vAlign w:val="center"/>
            <w:hideMark/>
          </w:tcPr>
          <w:p w14:paraId="14508ADA"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Оптимизовање оквира подршке и шема за подстицање инвестиција у циљу јачања конкурентности</w:t>
            </w:r>
          </w:p>
        </w:tc>
      </w:tr>
      <w:tr w:rsidR="00854ADA" w:rsidRPr="00FF386D" w14:paraId="1355FE01" w14:textId="77777777" w:rsidTr="0057310C">
        <w:trPr>
          <w:trHeight w:val="325"/>
        </w:trPr>
        <w:tc>
          <w:tcPr>
            <w:tcW w:w="3262" w:type="dxa"/>
            <w:tcBorders>
              <w:top w:val="nil"/>
              <w:left w:val="single" w:sz="8" w:space="0" w:color="auto"/>
              <w:bottom w:val="single" w:sz="8" w:space="0" w:color="auto"/>
              <w:right w:val="nil"/>
            </w:tcBorders>
            <w:shd w:val="clear" w:color="000000" w:fill="244062"/>
            <w:vAlign w:val="center"/>
            <w:hideMark/>
          </w:tcPr>
          <w:p w14:paraId="14C582E5" w14:textId="6D1BFB5A"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26" w:type="dxa"/>
            <w:gridSpan w:val="3"/>
            <w:tcBorders>
              <w:top w:val="single" w:sz="8" w:space="0" w:color="auto"/>
              <w:left w:val="nil"/>
              <w:bottom w:val="single" w:sz="8" w:space="0" w:color="auto"/>
              <w:right w:val="single" w:sz="8" w:space="0" w:color="000000"/>
            </w:tcBorders>
            <w:vAlign w:val="center"/>
            <w:hideMark/>
          </w:tcPr>
          <w:p w14:paraId="783B3B11"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Побољшање конкурентности</w:t>
            </w:r>
          </w:p>
        </w:tc>
      </w:tr>
      <w:tr w:rsidR="00854ADA" w:rsidRPr="00FF386D" w14:paraId="702DB75F" w14:textId="77777777" w:rsidTr="0057310C">
        <w:trPr>
          <w:trHeight w:val="315"/>
        </w:trPr>
        <w:tc>
          <w:tcPr>
            <w:tcW w:w="3262" w:type="dxa"/>
            <w:tcBorders>
              <w:top w:val="nil"/>
              <w:left w:val="single" w:sz="8" w:space="0" w:color="auto"/>
              <w:bottom w:val="single" w:sz="8" w:space="0" w:color="auto"/>
              <w:right w:val="single" w:sz="8" w:space="0" w:color="auto"/>
            </w:tcBorders>
            <w:shd w:val="clear" w:color="000000" w:fill="244062"/>
            <w:vAlign w:val="center"/>
            <w:hideMark/>
          </w:tcPr>
          <w:p w14:paraId="64FE2588" w14:textId="65868BC0"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26" w:type="dxa"/>
            <w:gridSpan w:val="3"/>
            <w:tcBorders>
              <w:top w:val="single" w:sz="8" w:space="0" w:color="auto"/>
              <w:left w:val="nil"/>
              <w:bottom w:val="single" w:sz="8" w:space="0" w:color="auto"/>
              <w:right w:val="single" w:sz="8" w:space="0" w:color="000000"/>
            </w:tcBorders>
            <w:vAlign w:val="center"/>
            <w:hideMark/>
          </w:tcPr>
          <w:p w14:paraId="04F2C2F4"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Повећање нивоа конкурентности у области енергетике (квалитативан циљ)</w:t>
            </w:r>
          </w:p>
        </w:tc>
      </w:tr>
      <w:tr w:rsidR="00854ADA" w:rsidRPr="00FF386D" w14:paraId="357F2FF0" w14:textId="77777777" w:rsidTr="0057310C">
        <w:trPr>
          <w:trHeight w:val="287"/>
        </w:trPr>
        <w:tc>
          <w:tcPr>
            <w:tcW w:w="3262" w:type="dxa"/>
            <w:tcBorders>
              <w:top w:val="nil"/>
              <w:left w:val="single" w:sz="8" w:space="0" w:color="auto"/>
              <w:bottom w:val="single" w:sz="8" w:space="0" w:color="auto"/>
              <w:right w:val="single" w:sz="8" w:space="0" w:color="auto"/>
            </w:tcBorders>
            <w:shd w:val="clear" w:color="000000" w:fill="244062"/>
            <w:vAlign w:val="center"/>
            <w:hideMark/>
          </w:tcPr>
          <w:p w14:paraId="24E0A23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26" w:type="dxa"/>
            <w:gridSpan w:val="3"/>
            <w:tcBorders>
              <w:top w:val="single" w:sz="8" w:space="0" w:color="auto"/>
              <w:left w:val="nil"/>
              <w:bottom w:val="single" w:sz="8" w:space="0" w:color="auto"/>
              <w:right w:val="single" w:sz="8" w:space="0" w:color="000000"/>
            </w:tcBorders>
            <w:vAlign w:val="center"/>
            <w:hideMark/>
          </w:tcPr>
          <w:p w14:paraId="58BBBE45" w14:textId="2F77871E"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МП_ИИК18 ће унапредити постојећи регулаторни оквир за улагања у индустријска постројења и мала и средња предузећа како би створио стабилан и транспарентан оквир за улагање који ће обухватити правила, процедуре и административне структуре </w:t>
            </w:r>
            <w:r w:rsidR="00842AFD" w:rsidRPr="00FF386D">
              <w:rPr>
                <w:rFonts w:ascii="Calibri Light" w:hAnsi="Calibri Light"/>
                <w:sz w:val="20"/>
              </w:rPr>
              <w:t>у циљу</w:t>
            </w:r>
            <w:r w:rsidRPr="00FF386D">
              <w:rPr>
                <w:rFonts w:ascii="Calibri Light" w:hAnsi="Calibri Light"/>
                <w:sz w:val="20"/>
              </w:rPr>
              <w:t xml:space="preserve"> несметаног завршетка великих јавних и приватних пројеката. Осим тога, </w:t>
            </w:r>
            <w:r w:rsidR="00842AFD" w:rsidRPr="00FF386D">
              <w:rPr>
                <w:rFonts w:ascii="Calibri Light" w:hAnsi="Calibri Light"/>
                <w:sz w:val="20"/>
              </w:rPr>
              <w:t>с циљем да се</w:t>
            </w:r>
            <w:r w:rsidRPr="00FF386D">
              <w:rPr>
                <w:rFonts w:ascii="Calibri Light" w:hAnsi="Calibri Light"/>
                <w:sz w:val="20"/>
              </w:rPr>
              <w:t xml:space="preserve"> повећа </w:t>
            </w:r>
            <w:r w:rsidRPr="00FF386D">
              <w:rPr>
                <w:rFonts w:ascii="Calibri Light" w:eastAsia="NSimSun" w:hAnsi="Calibri Light" w:cs="Mangal"/>
                <w:kern w:val="2"/>
                <w:sz w:val="20"/>
                <w:szCs w:val="24"/>
                <w:lang w:eastAsia="zh-CN" w:bidi="hi-IN"/>
              </w:rPr>
              <w:t>утицај</w:t>
            </w:r>
            <w:r w:rsidRPr="00FF386D">
              <w:rPr>
                <w:rFonts w:ascii="Calibri Light" w:hAnsi="Calibri Light"/>
                <w:sz w:val="20"/>
              </w:rPr>
              <w:t xml:space="preserve"> приватног капитала, процењиваће се ефикасност постојећих шема подршке за приватна улагања како би се наставила примена нај</w:t>
            </w:r>
            <w:r w:rsidR="00842AFD" w:rsidRPr="00FF386D">
              <w:rPr>
                <w:rFonts w:ascii="Calibri Light" w:hAnsi="Calibri Light"/>
                <w:sz w:val="20"/>
              </w:rPr>
              <w:t>исплативијих</w:t>
            </w:r>
            <w:r w:rsidRPr="00FF386D">
              <w:rPr>
                <w:rFonts w:ascii="Calibri Light" w:hAnsi="Calibri Light"/>
                <w:sz w:val="20"/>
              </w:rPr>
              <w:t xml:space="preserve"> шема и/или покушал</w:t>
            </w:r>
            <w:r w:rsidR="00842AFD" w:rsidRPr="00FF386D">
              <w:rPr>
                <w:rFonts w:ascii="Calibri Light" w:hAnsi="Calibri Light"/>
                <w:sz w:val="20"/>
              </w:rPr>
              <w:t>а</w:t>
            </w:r>
            <w:r w:rsidRPr="00FF386D">
              <w:rPr>
                <w:rFonts w:ascii="Calibri Light" w:hAnsi="Calibri Light"/>
                <w:sz w:val="20"/>
              </w:rPr>
              <w:t xml:space="preserve"> </w:t>
            </w:r>
            <w:r w:rsidR="00842AFD" w:rsidRPr="00FF386D">
              <w:rPr>
                <w:rFonts w:ascii="Calibri Light" w:hAnsi="Calibri Light"/>
                <w:sz w:val="20"/>
              </w:rPr>
              <w:t>реализација</w:t>
            </w:r>
            <w:r w:rsidRPr="00FF386D">
              <w:rPr>
                <w:rFonts w:ascii="Calibri Light" w:hAnsi="Calibri Light"/>
                <w:sz w:val="20"/>
              </w:rPr>
              <w:t xml:space="preserve"> нових шема.</w:t>
            </w:r>
          </w:p>
        </w:tc>
      </w:tr>
      <w:tr w:rsidR="00854ADA" w:rsidRPr="00FF386D" w14:paraId="330D6B46" w14:textId="77777777" w:rsidTr="0057310C">
        <w:trPr>
          <w:trHeight w:val="315"/>
        </w:trPr>
        <w:tc>
          <w:tcPr>
            <w:tcW w:w="3262" w:type="dxa"/>
            <w:tcBorders>
              <w:top w:val="nil"/>
              <w:left w:val="single" w:sz="8" w:space="0" w:color="auto"/>
              <w:bottom w:val="single" w:sz="8" w:space="0" w:color="auto"/>
              <w:right w:val="single" w:sz="8" w:space="0" w:color="auto"/>
            </w:tcBorders>
            <w:shd w:val="clear" w:color="000000" w:fill="244062"/>
            <w:vAlign w:val="center"/>
            <w:hideMark/>
          </w:tcPr>
          <w:p w14:paraId="6B5EDFF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26" w:type="dxa"/>
            <w:gridSpan w:val="3"/>
            <w:tcBorders>
              <w:top w:val="single" w:sz="8" w:space="0" w:color="auto"/>
              <w:left w:val="nil"/>
              <w:bottom w:val="single" w:sz="8" w:space="0" w:color="auto"/>
              <w:right w:val="single" w:sz="8" w:space="0" w:color="000000"/>
            </w:tcBorders>
            <w:vAlign w:val="center"/>
            <w:hideMark/>
          </w:tcPr>
          <w:p w14:paraId="31C37933" w14:textId="31DF6A3C"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202</w:t>
            </w:r>
            <w:r w:rsidR="00672F1C" w:rsidRPr="00FF386D">
              <w:rPr>
                <w:rFonts w:ascii="Calibri Light" w:hAnsi="Calibri Light"/>
                <w:sz w:val="20"/>
              </w:rPr>
              <w:t>3</w:t>
            </w:r>
            <w:r w:rsidRPr="00FF386D">
              <w:rPr>
                <w:rFonts w:ascii="Calibri Light" w:hAnsi="Calibri Light"/>
                <w:sz w:val="20"/>
              </w:rPr>
              <w:t>-2030.</w:t>
            </w:r>
          </w:p>
        </w:tc>
      </w:tr>
      <w:tr w:rsidR="00854ADA" w:rsidRPr="00FF386D" w14:paraId="71DA1689" w14:textId="77777777" w:rsidTr="0057310C">
        <w:trPr>
          <w:trHeight w:val="315"/>
        </w:trPr>
        <w:tc>
          <w:tcPr>
            <w:tcW w:w="3262" w:type="dxa"/>
            <w:tcBorders>
              <w:top w:val="nil"/>
              <w:left w:val="single" w:sz="8" w:space="0" w:color="auto"/>
              <w:bottom w:val="single" w:sz="8" w:space="0" w:color="auto"/>
              <w:right w:val="single" w:sz="8" w:space="0" w:color="auto"/>
            </w:tcBorders>
            <w:shd w:val="clear" w:color="000000" w:fill="244062"/>
            <w:vAlign w:val="center"/>
            <w:hideMark/>
          </w:tcPr>
          <w:p w14:paraId="24D93CC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26" w:type="dxa"/>
            <w:gridSpan w:val="3"/>
            <w:tcBorders>
              <w:top w:val="single" w:sz="8" w:space="0" w:color="auto"/>
              <w:left w:val="nil"/>
              <w:bottom w:val="single" w:sz="8" w:space="0" w:color="auto"/>
              <w:right w:val="single" w:sz="8" w:space="0" w:color="000000"/>
            </w:tcBorders>
            <w:vAlign w:val="center"/>
            <w:hideMark/>
          </w:tcPr>
          <w:p w14:paraId="3CFDDB7D"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Реформа</w:t>
            </w:r>
          </w:p>
        </w:tc>
      </w:tr>
      <w:tr w:rsidR="00854ADA" w:rsidRPr="00FF386D" w14:paraId="00F77B9E" w14:textId="77777777" w:rsidTr="0057310C">
        <w:trPr>
          <w:trHeight w:val="315"/>
        </w:trPr>
        <w:tc>
          <w:tcPr>
            <w:tcW w:w="3262" w:type="dxa"/>
            <w:tcBorders>
              <w:top w:val="nil"/>
              <w:left w:val="single" w:sz="8" w:space="0" w:color="auto"/>
              <w:bottom w:val="single" w:sz="8" w:space="0" w:color="auto"/>
              <w:right w:val="single" w:sz="8" w:space="0" w:color="auto"/>
            </w:tcBorders>
            <w:shd w:val="clear" w:color="000000" w:fill="244062"/>
            <w:vAlign w:val="center"/>
            <w:hideMark/>
          </w:tcPr>
          <w:p w14:paraId="569F749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26" w:type="dxa"/>
            <w:gridSpan w:val="3"/>
            <w:tcBorders>
              <w:top w:val="single" w:sz="8" w:space="0" w:color="auto"/>
              <w:left w:val="nil"/>
              <w:bottom w:val="single" w:sz="8" w:space="0" w:color="auto"/>
              <w:right w:val="single" w:sz="8" w:space="0" w:color="000000"/>
            </w:tcBorders>
            <w:vAlign w:val="center"/>
            <w:hideMark/>
          </w:tcPr>
          <w:p w14:paraId="3E489135" w14:textId="3BFCFB34"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Све области </w:t>
            </w:r>
            <w:r w:rsidR="00170CE9">
              <w:rPr>
                <w:rFonts w:ascii="Calibri Light" w:hAnsi="Calibri Light"/>
                <w:sz w:val="20"/>
              </w:rPr>
              <w:t>И</w:t>
            </w:r>
            <w:r w:rsidRPr="00FF386D">
              <w:rPr>
                <w:rFonts w:ascii="Calibri Light" w:hAnsi="Calibri Light"/>
                <w:sz w:val="20"/>
              </w:rPr>
              <w:t>НЕКП-а</w:t>
            </w:r>
          </w:p>
        </w:tc>
      </w:tr>
      <w:tr w:rsidR="00854ADA" w:rsidRPr="00FF386D" w14:paraId="03EFC8C9" w14:textId="77777777" w:rsidTr="0057310C">
        <w:trPr>
          <w:trHeight w:val="315"/>
        </w:trPr>
        <w:tc>
          <w:tcPr>
            <w:tcW w:w="3262" w:type="dxa"/>
            <w:tcBorders>
              <w:top w:val="nil"/>
              <w:left w:val="single" w:sz="8" w:space="0" w:color="auto"/>
              <w:bottom w:val="single" w:sz="8" w:space="0" w:color="auto"/>
              <w:right w:val="single" w:sz="8" w:space="0" w:color="auto"/>
            </w:tcBorders>
            <w:shd w:val="clear" w:color="000000" w:fill="244062"/>
            <w:vAlign w:val="center"/>
            <w:hideMark/>
          </w:tcPr>
          <w:p w14:paraId="314E1C5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26" w:type="dxa"/>
            <w:gridSpan w:val="3"/>
            <w:tcBorders>
              <w:top w:val="single" w:sz="8" w:space="0" w:color="auto"/>
              <w:left w:val="nil"/>
              <w:bottom w:val="single" w:sz="8" w:space="0" w:color="auto"/>
              <w:right w:val="single" w:sz="8" w:space="0" w:color="000000"/>
            </w:tcBorders>
            <w:vAlign w:val="center"/>
            <w:hideMark/>
          </w:tcPr>
          <w:p w14:paraId="1CA10095" w14:textId="77777777" w:rsidR="00854ADA" w:rsidRPr="00FF386D" w:rsidRDefault="00854ADA" w:rsidP="00854ADA">
            <w:pPr>
              <w:numPr>
                <w:ilvl w:val="0"/>
                <w:numId w:val="204"/>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Комисија за заштиту конкуренције</w:t>
            </w:r>
          </w:p>
          <w:p w14:paraId="67A01919" w14:textId="77777777" w:rsidR="00854ADA" w:rsidRPr="00FF386D" w:rsidRDefault="00854ADA" w:rsidP="00854ADA">
            <w:pPr>
              <w:numPr>
                <w:ilvl w:val="0"/>
                <w:numId w:val="204"/>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финансија</w:t>
            </w:r>
          </w:p>
        </w:tc>
      </w:tr>
      <w:tr w:rsidR="00854ADA" w:rsidRPr="00FF386D" w14:paraId="3A7B1CF5" w14:textId="77777777" w:rsidTr="0057310C">
        <w:trPr>
          <w:trHeight w:val="315"/>
        </w:trPr>
        <w:tc>
          <w:tcPr>
            <w:tcW w:w="3262" w:type="dxa"/>
            <w:tcBorders>
              <w:top w:val="nil"/>
              <w:left w:val="single" w:sz="8" w:space="0" w:color="auto"/>
              <w:bottom w:val="single" w:sz="8" w:space="0" w:color="auto"/>
              <w:right w:val="nil"/>
            </w:tcBorders>
            <w:shd w:val="clear" w:color="000000" w:fill="244062"/>
            <w:vAlign w:val="center"/>
            <w:hideMark/>
          </w:tcPr>
          <w:p w14:paraId="20F68A0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26" w:type="dxa"/>
            <w:gridSpan w:val="3"/>
            <w:tcBorders>
              <w:top w:val="single" w:sz="8" w:space="0" w:color="auto"/>
              <w:left w:val="nil"/>
              <w:bottom w:val="single" w:sz="8" w:space="0" w:color="auto"/>
              <w:right w:val="single" w:sz="8" w:space="0" w:color="000000"/>
            </w:tcBorders>
            <w:vAlign w:val="center"/>
            <w:hideMark/>
          </w:tcPr>
          <w:p w14:paraId="2D19310A" w14:textId="77777777" w:rsidR="00854ADA" w:rsidRPr="00FF386D" w:rsidRDefault="00854ADA" w:rsidP="00854ADA">
            <w:pPr>
              <w:numPr>
                <w:ilvl w:val="0"/>
                <w:numId w:val="204"/>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Комисија за заштиту конкуренције</w:t>
            </w:r>
          </w:p>
        </w:tc>
      </w:tr>
      <w:tr w:rsidR="00854ADA" w:rsidRPr="00FF386D" w14:paraId="6F82BA36" w14:textId="77777777" w:rsidTr="0057310C">
        <w:trPr>
          <w:trHeight w:val="315"/>
        </w:trPr>
        <w:tc>
          <w:tcPr>
            <w:tcW w:w="3262" w:type="dxa"/>
            <w:tcBorders>
              <w:top w:val="nil"/>
              <w:left w:val="single" w:sz="8" w:space="0" w:color="auto"/>
              <w:bottom w:val="single" w:sz="8" w:space="0" w:color="auto"/>
              <w:right w:val="nil"/>
            </w:tcBorders>
            <w:shd w:val="clear" w:color="000000" w:fill="244062"/>
            <w:vAlign w:val="center"/>
            <w:hideMark/>
          </w:tcPr>
          <w:p w14:paraId="2012B20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26" w:type="dxa"/>
            <w:gridSpan w:val="3"/>
            <w:tcBorders>
              <w:top w:val="single" w:sz="8" w:space="0" w:color="auto"/>
              <w:left w:val="nil"/>
              <w:bottom w:val="single" w:sz="8" w:space="0" w:color="auto"/>
              <w:right w:val="single" w:sz="8" w:space="0" w:color="000000"/>
            </w:tcBorders>
            <w:vAlign w:val="center"/>
            <w:hideMark/>
          </w:tcPr>
          <w:p w14:paraId="08458EC4"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Нове шеме подршке и измене постојећих</w:t>
            </w:r>
          </w:p>
        </w:tc>
      </w:tr>
      <w:tr w:rsidR="00854ADA" w:rsidRPr="00FF386D" w14:paraId="4AADC672" w14:textId="77777777" w:rsidTr="0057310C">
        <w:trPr>
          <w:trHeight w:val="415"/>
        </w:trPr>
        <w:tc>
          <w:tcPr>
            <w:tcW w:w="3262" w:type="dxa"/>
            <w:tcBorders>
              <w:top w:val="nil"/>
              <w:left w:val="single" w:sz="8" w:space="0" w:color="auto"/>
              <w:bottom w:val="single" w:sz="8" w:space="0" w:color="auto"/>
              <w:right w:val="single" w:sz="8" w:space="0" w:color="auto"/>
            </w:tcBorders>
            <w:shd w:val="clear" w:color="000000" w:fill="244062"/>
            <w:vAlign w:val="center"/>
            <w:hideMark/>
          </w:tcPr>
          <w:p w14:paraId="052E8EA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26" w:type="dxa"/>
            <w:gridSpan w:val="3"/>
            <w:tcBorders>
              <w:top w:val="single" w:sz="8" w:space="0" w:color="auto"/>
              <w:left w:val="nil"/>
              <w:bottom w:val="single" w:sz="8" w:space="0" w:color="auto"/>
              <w:right w:val="single" w:sz="8" w:space="0" w:color="000000"/>
            </w:tcBorders>
            <w:vAlign w:val="center"/>
          </w:tcPr>
          <w:p w14:paraId="66223DE7" w14:textId="77777777" w:rsidR="00854ADA" w:rsidRPr="00FF386D" w:rsidRDefault="00854ADA" w:rsidP="00854ADA">
            <w:pPr>
              <w:numPr>
                <w:ilvl w:val="0"/>
                <w:numId w:val="182"/>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Унутрашње тржиште енергије</w:t>
            </w:r>
          </w:p>
        </w:tc>
      </w:tr>
      <w:tr w:rsidR="00854ADA" w:rsidRPr="00FF386D" w14:paraId="04008562" w14:textId="77777777" w:rsidTr="0057310C">
        <w:trPr>
          <w:trHeight w:val="450"/>
        </w:trPr>
        <w:tc>
          <w:tcPr>
            <w:tcW w:w="3262"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07A2E31A" w14:textId="0C5B9FDD"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26" w:type="dxa"/>
            <w:gridSpan w:val="3"/>
            <w:vMerge w:val="restart"/>
            <w:tcBorders>
              <w:top w:val="single" w:sz="8" w:space="0" w:color="auto"/>
              <w:left w:val="single" w:sz="8" w:space="0" w:color="auto"/>
              <w:bottom w:val="single" w:sz="8" w:space="0" w:color="000000"/>
              <w:right w:val="single" w:sz="8" w:space="0" w:color="000000"/>
            </w:tcBorders>
            <w:vAlign w:val="center"/>
          </w:tcPr>
          <w:p w14:paraId="0EEF0E33" w14:textId="77777777" w:rsidR="00854ADA" w:rsidRPr="00FF386D" w:rsidRDefault="00854ADA" w:rsidP="00854ADA">
            <w:pPr>
              <w:numPr>
                <w:ilvl w:val="0"/>
                <w:numId w:val="182"/>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Европско законодавство</w:t>
            </w:r>
          </w:p>
        </w:tc>
      </w:tr>
      <w:tr w:rsidR="00854ADA" w:rsidRPr="00FF386D" w14:paraId="7BF4E8E1"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2309C5B0"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26" w:type="dxa"/>
            <w:gridSpan w:val="3"/>
            <w:vMerge/>
            <w:tcBorders>
              <w:top w:val="single" w:sz="8" w:space="0" w:color="auto"/>
              <w:left w:val="single" w:sz="8" w:space="0" w:color="auto"/>
              <w:bottom w:val="single" w:sz="8" w:space="0" w:color="000000"/>
              <w:right w:val="single" w:sz="8" w:space="0" w:color="000000"/>
            </w:tcBorders>
            <w:vAlign w:val="center"/>
          </w:tcPr>
          <w:p w14:paraId="48F1B68C"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5D10A67A"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7D96FFA3"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26" w:type="dxa"/>
            <w:gridSpan w:val="3"/>
            <w:vMerge/>
            <w:tcBorders>
              <w:top w:val="single" w:sz="8" w:space="0" w:color="auto"/>
              <w:left w:val="single" w:sz="8" w:space="0" w:color="auto"/>
              <w:bottom w:val="single" w:sz="8" w:space="0" w:color="000000"/>
              <w:right w:val="single" w:sz="8" w:space="0" w:color="000000"/>
            </w:tcBorders>
            <w:vAlign w:val="center"/>
          </w:tcPr>
          <w:p w14:paraId="24DA12D1"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690ADA8B" w14:textId="77777777" w:rsidTr="0057310C">
        <w:trPr>
          <w:trHeight w:val="391"/>
        </w:trPr>
        <w:tc>
          <w:tcPr>
            <w:tcW w:w="3262" w:type="dxa"/>
            <w:tcBorders>
              <w:top w:val="nil"/>
              <w:left w:val="single" w:sz="8" w:space="0" w:color="auto"/>
              <w:bottom w:val="single" w:sz="8" w:space="0" w:color="auto"/>
              <w:right w:val="single" w:sz="8" w:space="0" w:color="auto"/>
            </w:tcBorders>
            <w:shd w:val="clear" w:color="000000" w:fill="244062"/>
            <w:vAlign w:val="center"/>
            <w:hideMark/>
          </w:tcPr>
          <w:p w14:paraId="62CF8C4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26" w:type="dxa"/>
            <w:gridSpan w:val="3"/>
            <w:tcBorders>
              <w:top w:val="single" w:sz="8" w:space="0" w:color="auto"/>
              <w:left w:val="nil"/>
              <w:bottom w:val="single" w:sz="8" w:space="0" w:color="auto"/>
              <w:right w:val="single" w:sz="8" w:space="0" w:color="000000"/>
            </w:tcBorders>
            <w:vAlign w:val="center"/>
          </w:tcPr>
          <w:p w14:paraId="4F449612" w14:textId="77777777" w:rsidR="00854ADA" w:rsidRPr="000A2AFE" w:rsidRDefault="00854ADA">
            <w:pPr>
              <w:numPr>
                <w:ilvl w:val="0"/>
                <w:numId w:val="245"/>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Закон о Фонду за науку</w:t>
            </w:r>
          </w:p>
          <w:p w14:paraId="153DFF11" w14:textId="77777777" w:rsidR="00854ADA" w:rsidRPr="000A2AFE" w:rsidRDefault="00854ADA">
            <w:pPr>
              <w:numPr>
                <w:ilvl w:val="0"/>
                <w:numId w:val="245"/>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Закон о науци и истраживању</w:t>
            </w:r>
          </w:p>
          <w:p w14:paraId="066EF071" w14:textId="77777777" w:rsidR="00854ADA" w:rsidRPr="00FF386D" w:rsidRDefault="00854ADA" w:rsidP="00854ADA">
            <w:pPr>
              <w:numPr>
                <w:ilvl w:val="0"/>
                <w:numId w:val="98"/>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Стратегија индустријске политике (2021-2030)</w:t>
            </w:r>
          </w:p>
        </w:tc>
      </w:tr>
      <w:tr w:rsidR="00854ADA" w:rsidRPr="00FF386D" w14:paraId="120755F0" w14:textId="77777777" w:rsidTr="0057310C">
        <w:trPr>
          <w:trHeight w:val="315"/>
        </w:trPr>
        <w:tc>
          <w:tcPr>
            <w:tcW w:w="3262" w:type="dxa"/>
            <w:tcBorders>
              <w:top w:val="nil"/>
              <w:left w:val="single" w:sz="8" w:space="0" w:color="auto"/>
              <w:bottom w:val="single" w:sz="8" w:space="0" w:color="auto"/>
              <w:right w:val="single" w:sz="8" w:space="0" w:color="auto"/>
            </w:tcBorders>
            <w:shd w:val="clear" w:color="000000" w:fill="244062"/>
            <w:vAlign w:val="center"/>
            <w:hideMark/>
          </w:tcPr>
          <w:p w14:paraId="606EE8E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26" w:type="dxa"/>
            <w:gridSpan w:val="3"/>
            <w:tcBorders>
              <w:top w:val="single" w:sz="8" w:space="0" w:color="auto"/>
              <w:left w:val="nil"/>
              <w:bottom w:val="single" w:sz="8" w:space="0" w:color="auto"/>
              <w:right w:val="single" w:sz="8" w:space="0" w:color="000000"/>
            </w:tcBorders>
            <w:vAlign w:val="center"/>
          </w:tcPr>
          <w:p w14:paraId="19E8C62C"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0,1 милиона евра</w:t>
            </w:r>
          </w:p>
        </w:tc>
      </w:tr>
      <w:tr w:rsidR="00854ADA" w:rsidRPr="00FF386D" w14:paraId="1EBE97F5" w14:textId="77777777" w:rsidTr="0057310C">
        <w:trPr>
          <w:trHeight w:val="315"/>
        </w:trPr>
        <w:tc>
          <w:tcPr>
            <w:tcW w:w="3262" w:type="dxa"/>
            <w:tcBorders>
              <w:top w:val="nil"/>
              <w:left w:val="single" w:sz="8" w:space="0" w:color="auto"/>
              <w:bottom w:val="single" w:sz="8" w:space="0" w:color="auto"/>
              <w:right w:val="single" w:sz="8" w:space="0" w:color="auto"/>
            </w:tcBorders>
            <w:shd w:val="clear" w:color="000000" w:fill="244062"/>
            <w:vAlign w:val="center"/>
            <w:hideMark/>
          </w:tcPr>
          <w:p w14:paraId="3E78846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26" w:type="dxa"/>
            <w:gridSpan w:val="3"/>
            <w:tcBorders>
              <w:top w:val="single" w:sz="8" w:space="0" w:color="auto"/>
              <w:left w:val="nil"/>
              <w:bottom w:val="single" w:sz="8" w:space="0" w:color="auto"/>
              <w:right w:val="single" w:sz="8" w:space="0" w:color="000000"/>
            </w:tcBorders>
            <w:shd w:val="clear" w:color="auto" w:fill="auto"/>
            <w:vAlign w:val="center"/>
            <w:hideMark/>
          </w:tcPr>
          <w:p w14:paraId="307BF6FA" w14:textId="733DC5A4" w:rsidR="00854ADA" w:rsidRPr="00FF386D" w:rsidRDefault="00CE229F" w:rsidP="00854ADA">
            <w:pPr>
              <w:spacing w:after="0" w:line="240" w:lineRule="auto"/>
              <w:rPr>
                <w:rFonts w:asciiTheme="majorHAnsi" w:eastAsia="Times New Roman" w:hAnsiTheme="majorHAnsi" w:cstheme="majorHAnsi"/>
                <w:color w:val="000000"/>
                <w:sz w:val="20"/>
                <w:szCs w:val="20"/>
                <w:lang w:eastAsia="en-GB"/>
              </w:rPr>
            </w:pPr>
            <w:r w:rsidRPr="00CE229F">
              <w:rPr>
                <w:rFonts w:asciiTheme="majorHAnsi" w:eastAsia="Times New Roman" w:hAnsiTheme="majorHAnsi" w:cstheme="majorHAnsi"/>
                <w:color w:val="000000"/>
                <w:sz w:val="20"/>
                <w:szCs w:val="20"/>
                <w:lang w:eastAsia="en-GB"/>
              </w:rPr>
              <w:t>Фондови ЕУ, сопствена и буџетска средства</w:t>
            </w:r>
          </w:p>
        </w:tc>
      </w:tr>
    </w:tbl>
    <w:p w14:paraId="10D86241" w14:textId="77777777" w:rsidR="00854ADA" w:rsidRPr="00FF386D" w:rsidRDefault="00854ADA" w:rsidP="00854ADA">
      <w:pPr>
        <w:spacing w:before="120" w:after="120" w:line="240" w:lineRule="auto"/>
        <w:rPr>
          <w:rFonts w:ascii="Calibri" w:eastAsia="Times New Roman" w:hAnsi="Calibri" w:cs="Arial"/>
          <w:highlight w:val="green"/>
          <w:lang w:eastAsia="el-GR"/>
        </w:rPr>
      </w:pPr>
    </w:p>
    <w:tbl>
      <w:tblPr>
        <w:tblW w:w="9488" w:type="dxa"/>
        <w:tblLook w:val="04A0" w:firstRow="1" w:lastRow="0" w:firstColumn="1" w:lastColumn="0" w:noHBand="0" w:noVBand="1"/>
      </w:tblPr>
      <w:tblGrid>
        <w:gridCol w:w="3260"/>
        <w:gridCol w:w="1173"/>
        <w:gridCol w:w="932"/>
        <w:gridCol w:w="4123"/>
      </w:tblGrid>
      <w:tr w:rsidR="00854ADA" w:rsidRPr="00FF386D" w14:paraId="5698F7F3" w14:textId="77777777" w:rsidTr="0057310C">
        <w:trPr>
          <w:trHeight w:val="780"/>
        </w:trPr>
        <w:tc>
          <w:tcPr>
            <w:tcW w:w="3260"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583E1FB1" w14:textId="75AC3FDB"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173" w:type="dxa"/>
            <w:tcBorders>
              <w:top w:val="single" w:sz="8" w:space="0" w:color="auto"/>
              <w:left w:val="nil"/>
              <w:bottom w:val="single" w:sz="8" w:space="0" w:color="auto"/>
              <w:right w:val="single" w:sz="8" w:space="0" w:color="auto"/>
            </w:tcBorders>
            <w:shd w:val="clear" w:color="auto" w:fill="E7E6E6" w:themeFill="background2"/>
            <w:vAlign w:val="center"/>
            <w:hideMark/>
          </w:tcPr>
          <w:p w14:paraId="6252BF76"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МП_ИИК19</w:t>
            </w:r>
          </w:p>
        </w:tc>
        <w:tc>
          <w:tcPr>
            <w:tcW w:w="932" w:type="dxa"/>
            <w:tcBorders>
              <w:top w:val="single" w:sz="8" w:space="0" w:color="auto"/>
              <w:left w:val="nil"/>
              <w:bottom w:val="single" w:sz="8" w:space="0" w:color="auto"/>
              <w:right w:val="single" w:sz="8" w:space="0" w:color="auto"/>
            </w:tcBorders>
            <w:shd w:val="clear" w:color="auto" w:fill="244062"/>
            <w:vAlign w:val="center"/>
            <w:hideMark/>
          </w:tcPr>
          <w:p w14:paraId="1B87FCDE"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23" w:type="dxa"/>
            <w:tcBorders>
              <w:top w:val="single" w:sz="8" w:space="0" w:color="auto"/>
              <w:left w:val="nil"/>
              <w:bottom w:val="single" w:sz="8" w:space="0" w:color="auto"/>
              <w:right w:val="single" w:sz="8" w:space="0" w:color="auto"/>
            </w:tcBorders>
            <w:shd w:val="clear" w:color="auto" w:fill="E7E6E6" w:themeFill="background2"/>
            <w:vAlign w:val="center"/>
            <w:hideMark/>
          </w:tcPr>
          <w:p w14:paraId="4AFC92CF"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 xml:space="preserve">Јачање конкурентности путем оснивања и вођења посебних циљних фондова </w:t>
            </w:r>
          </w:p>
        </w:tc>
      </w:tr>
      <w:tr w:rsidR="00854ADA" w:rsidRPr="00FF386D" w14:paraId="18C9F126" w14:textId="77777777" w:rsidTr="0057310C">
        <w:trPr>
          <w:trHeight w:val="313"/>
        </w:trPr>
        <w:tc>
          <w:tcPr>
            <w:tcW w:w="3260" w:type="dxa"/>
            <w:tcBorders>
              <w:top w:val="nil"/>
              <w:left w:val="single" w:sz="8" w:space="0" w:color="auto"/>
              <w:bottom w:val="single" w:sz="8" w:space="0" w:color="auto"/>
              <w:right w:val="nil"/>
            </w:tcBorders>
            <w:shd w:val="clear" w:color="000000" w:fill="244062"/>
            <w:vAlign w:val="center"/>
            <w:hideMark/>
          </w:tcPr>
          <w:p w14:paraId="456CFC92" w14:textId="6C1A9F1B"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28" w:type="dxa"/>
            <w:gridSpan w:val="3"/>
            <w:tcBorders>
              <w:top w:val="single" w:sz="8" w:space="0" w:color="auto"/>
              <w:left w:val="nil"/>
              <w:bottom w:val="single" w:sz="8" w:space="0" w:color="auto"/>
              <w:right w:val="single" w:sz="8" w:space="0" w:color="000000"/>
            </w:tcBorders>
            <w:vAlign w:val="center"/>
            <w:hideMark/>
          </w:tcPr>
          <w:p w14:paraId="012237F9"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Унапређење конкурентности</w:t>
            </w:r>
          </w:p>
        </w:tc>
      </w:tr>
      <w:tr w:rsidR="00854ADA" w:rsidRPr="00FF386D" w14:paraId="1726851C" w14:textId="77777777" w:rsidTr="0057310C">
        <w:trPr>
          <w:trHeight w:val="315"/>
        </w:trPr>
        <w:tc>
          <w:tcPr>
            <w:tcW w:w="3260" w:type="dxa"/>
            <w:tcBorders>
              <w:top w:val="nil"/>
              <w:left w:val="single" w:sz="8" w:space="0" w:color="auto"/>
              <w:bottom w:val="single" w:sz="8" w:space="0" w:color="auto"/>
              <w:right w:val="single" w:sz="8" w:space="0" w:color="auto"/>
            </w:tcBorders>
            <w:shd w:val="clear" w:color="000000" w:fill="244062"/>
            <w:vAlign w:val="center"/>
            <w:hideMark/>
          </w:tcPr>
          <w:p w14:paraId="1635004C" w14:textId="5456B409"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28" w:type="dxa"/>
            <w:gridSpan w:val="3"/>
            <w:tcBorders>
              <w:top w:val="single" w:sz="8" w:space="0" w:color="auto"/>
              <w:left w:val="nil"/>
              <w:bottom w:val="single" w:sz="8" w:space="0" w:color="auto"/>
              <w:right w:val="single" w:sz="8" w:space="0" w:color="000000"/>
            </w:tcBorders>
            <w:vAlign w:val="center"/>
            <w:hideMark/>
          </w:tcPr>
          <w:p w14:paraId="0A591926"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Повећање нивоа конкурентности у области енергетике (квалитативан циљ)</w:t>
            </w:r>
          </w:p>
        </w:tc>
      </w:tr>
      <w:tr w:rsidR="00854ADA" w:rsidRPr="00FF386D" w14:paraId="1F612445" w14:textId="77777777" w:rsidTr="0057310C">
        <w:trPr>
          <w:trHeight w:val="686"/>
        </w:trPr>
        <w:tc>
          <w:tcPr>
            <w:tcW w:w="3260" w:type="dxa"/>
            <w:tcBorders>
              <w:top w:val="nil"/>
              <w:left w:val="single" w:sz="8" w:space="0" w:color="auto"/>
              <w:bottom w:val="single" w:sz="8" w:space="0" w:color="auto"/>
              <w:right w:val="single" w:sz="8" w:space="0" w:color="auto"/>
            </w:tcBorders>
            <w:shd w:val="clear" w:color="000000" w:fill="244062"/>
            <w:vAlign w:val="center"/>
            <w:hideMark/>
          </w:tcPr>
          <w:p w14:paraId="3BCD4B2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28" w:type="dxa"/>
            <w:gridSpan w:val="3"/>
            <w:tcBorders>
              <w:top w:val="single" w:sz="8" w:space="0" w:color="auto"/>
              <w:left w:val="nil"/>
              <w:bottom w:val="single" w:sz="8" w:space="0" w:color="auto"/>
              <w:right w:val="single" w:sz="8" w:space="0" w:color="000000"/>
            </w:tcBorders>
            <w:vAlign w:val="center"/>
            <w:hideMark/>
          </w:tcPr>
          <w:p w14:paraId="4DC87C9B" w14:textId="284F506A"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МП_ИИК19 ће оснажити улогу посебних циљних фондова оснивањем и вођењем посебних нових фондова за предузетништво и конкурентност, како би </w:t>
            </w:r>
            <w:r w:rsidR="00842AFD" w:rsidRPr="00FF386D">
              <w:rPr>
                <w:rFonts w:ascii="Calibri Light" w:hAnsi="Calibri Light"/>
                <w:sz w:val="20"/>
              </w:rPr>
              <w:t xml:space="preserve">се </w:t>
            </w:r>
            <w:r w:rsidRPr="00FF386D">
              <w:rPr>
                <w:rFonts w:ascii="Calibri Light" w:hAnsi="Calibri Light"/>
                <w:sz w:val="20"/>
              </w:rPr>
              <w:t>омогућило повољно финансирање малих и средњих предузећа и преузео део пословног ризика који не сносе финансијске институције, уз пружање неопходних гаранција.</w:t>
            </w:r>
          </w:p>
        </w:tc>
      </w:tr>
      <w:tr w:rsidR="00854ADA" w:rsidRPr="00FF386D" w14:paraId="50E7C77E" w14:textId="77777777" w:rsidTr="0057310C">
        <w:trPr>
          <w:trHeight w:val="315"/>
        </w:trPr>
        <w:tc>
          <w:tcPr>
            <w:tcW w:w="3260" w:type="dxa"/>
            <w:tcBorders>
              <w:top w:val="nil"/>
              <w:left w:val="single" w:sz="8" w:space="0" w:color="auto"/>
              <w:bottom w:val="single" w:sz="8" w:space="0" w:color="auto"/>
              <w:right w:val="single" w:sz="8" w:space="0" w:color="auto"/>
            </w:tcBorders>
            <w:shd w:val="clear" w:color="000000" w:fill="244062"/>
            <w:vAlign w:val="center"/>
            <w:hideMark/>
          </w:tcPr>
          <w:p w14:paraId="6CB93C5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28" w:type="dxa"/>
            <w:gridSpan w:val="3"/>
            <w:tcBorders>
              <w:top w:val="single" w:sz="8" w:space="0" w:color="auto"/>
              <w:left w:val="nil"/>
              <w:bottom w:val="single" w:sz="8" w:space="0" w:color="auto"/>
              <w:right w:val="single" w:sz="8" w:space="0" w:color="000000"/>
            </w:tcBorders>
            <w:vAlign w:val="center"/>
            <w:hideMark/>
          </w:tcPr>
          <w:p w14:paraId="194D98B3" w14:textId="7F36793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202</w:t>
            </w:r>
            <w:r w:rsidR="00672F1C" w:rsidRPr="00FF386D">
              <w:rPr>
                <w:rFonts w:ascii="Calibri Light" w:hAnsi="Calibri Light"/>
                <w:sz w:val="20"/>
              </w:rPr>
              <w:t>3</w:t>
            </w:r>
            <w:r w:rsidRPr="00FF386D">
              <w:rPr>
                <w:rFonts w:ascii="Calibri Light" w:hAnsi="Calibri Light"/>
                <w:sz w:val="20"/>
              </w:rPr>
              <w:t>-2030.</w:t>
            </w:r>
          </w:p>
        </w:tc>
      </w:tr>
      <w:tr w:rsidR="00854ADA" w:rsidRPr="00FF386D" w14:paraId="13A15474" w14:textId="77777777" w:rsidTr="0057310C">
        <w:trPr>
          <w:trHeight w:val="315"/>
        </w:trPr>
        <w:tc>
          <w:tcPr>
            <w:tcW w:w="3260" w:type="dxa"/>
            <w:tcBorders>
              <w:top w:val="nil"/>
              <w:left w:val="single" w:sz="8" w:space="0" w:color="auto"/>
              <w:bottom w:val="single" w:sz="8" w:space="0" w:color="auto"/>
              <w:right w:val="single" w:sz="8" w:space="0" w:color="auto"/>
            </w:tcBorders>
            <w:shd w:val="clear" w:color="000000" w:fill="244062"/>
            <w:vAlign w:val="center"/>
            <w:hideMark/>
          </w:tcPr>
          <w:p w14:paraId="66DD1D0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28" w:type="dxa"/>
            <w:gridSpan w:val="3"/>
            <w:tcBorders>
              <w:top w:val="single" w:sz="8" w:space="0" w:color="auto"/>
              <w:left w:val="nil"/>
              <w:bottom w:val="single" w:sz="8" w:space="0" w:color="auto"/>
              <w:right w:val="single" w:sz="8" w:space="0" w:color="000000"/>
            </w:tcBorders>
            <w:vAlign w:val="center"/>
            <w:hideMark/>
          </w:tcPr>
          <w:p w14:paraId="4BAF000A"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Реформа</w:t>
            </w:r>
          </w:p>
        </w:tc>
      </w:tr>
      <w:tr w:rsidR="00854ADA" w:rsidRPr="00FF386D" w14:paraId="53FC8561" w14:textId="77777777" w:rsidTr="0057310C">
        <w:trPr>
          <w:trHeight w:val="315"/>
        </w:trPr>
        <w:tc>
          <w:tcPr>
            <w:tcW w:w="3260" w:type="dxa"/>
            <w:tcBorders>
              <w:top w:val="nil"/>
              <w:left w:val="single" w:sz="8" w:space="0" w:color="auto"/>
              <w:bottom w:val="single" w:sz="8" w:space="0" w:color="auto"/>
              <w:right w:val="single" w:sz="8" w:space="0" w:color="auto"/>
            </w:tcBorders>
            <w:shd w:val="clear" w:color="000000" w:fill="244062"/>
            <w:vAlign w:val="center"/>
            <w:hideMark/>
          </w:tcPr>
          <w:p w14:paraId="2F31B14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28" w:type="dxa"/>
            <w:gridSpan w:val="3"/>
            <w:tcBorders>
              <w:top w:val="single" w:sz="8" w:space="0" w:color="auto"/>
              <w:left w:val="nil"/>
              <w:bottom w:val="single" w:sz="8" w:space="0" w:color="auto"/>
              <w:right w:val="single" w:sz="8" w:space="0" w:color="000000"/>
            </w:tcBorders>
            <w:vAlign w:val="center"/>
            <w:hideMark/>
          </w:tcPr>
          <w:p w14:paraId="206B6B35" w14:textId="23D416EC" w:rsidR="00854ADA" w:rsidRPr="000A2AFE" w:rsidRDefault="00854ADA" w:rsidP="00854ADA">
            <w:pPr>
              <w:spacing w:after="0" w:line="240" w:lineRule="auto"/>
              <w:rPr>
                <w:rFonts w:ascii="Calibri Light" w:hAnsi="Calibri Light"/>
                <w:sz w:val="20"/>
              </w:rPr>
            </w:pPr>
            <w:r w:rsidRPr="00FF386D">
              <w:rPr>
                <w:rFonts w:ascii="Calibri Light" w:hAnsi="Calibri Light"/>
                <w:sz w:val="20"/>
              </w:rPr>
              <w:t xml:space="preserve">Све области </w:t>
            </w:r>
            <w:r w:rsidR="00170CE9">
              <w:rPr>
                <w:rFonts w:ascii="Calibri Light" w:hAnsi="Calibri Light"/>
                <w:sz w:val="20"/>
              </w:rPr>
              <w:t>И</w:t>
            </w:r>
            <w:r w:rsidRPr="00FF386D">
              <w:rPr>
                <w:rFonts w:ascii="Calibri Light" w:hAnsi="Calibri Light"/>
                <w:sz w:val="20"/>
              </w:rPr>
              <w:t>НЕКП-а</w:t>
            </w:r>
          </w:p>
        </w:tc>
      </w:tr>
      <w:tr w:rsidR="00854ADA" w:rsidRPr="00FF386D" w14:paraId="4BC2FD11" w14:textId="77777777" w:rsidTr="0057310C">
        <w:trPr>
          <w:trHeight w:val="315"/>
        </w:trPr>
        <w:tc>
          <w:tcPr>
            <w:tcW w:w="3260" w:type="dxa"/>
            <w:tcBorders>
              <w:top w:val="nil"/>
              <w:left w:val="single" w:sz="8" w:space="0" w:color="auto"/>
              <w:bottom w:val="single" w:sz="8" w:space="0" w:color="auto"/>
              <w:right w:val="single" w:sz="8" w:space="0" w:color="auto"/>
            </w:tcBorders>
            <w:shd w:val="clear" w:color="000000" w:fill="244062"/>
            <w:vAlign w:val="center"/>
            <w:hideMark/>
          </w:tcPr>
          <w:p w14:paraId="1995ABC3"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28" w:type="dxa"/>
            <w:gridSpan w:val="3"/>
            <w:tcBorders>
              <w:top w:val="single" w:sz="8" w:space="0" w:color="auto"/>
              <w:left w:val="nil"/>
              <w:bottom w:val="single" w:sz="8" w:space="0" w:color="auto"/>
              <w:right w:val="single" w:sz="8" w:space="0" w:color="000000"/>
            </w:tcBorders>
            <w:vAlign w:val="center"/>
            <w:hideMark/>
          </w:tcPr>
          <w:p w14:paraId="1DEB234C" w14:textId="77777777" w:rsidR="00854ADA" w:rsidRPr="00FF386D" w:rsidRDefault="00854ADA" w:rsidP="00854ADA">
            <w:pPr>
              <w:numPr>
                <w:ilvl w:val="0"/>
                <w:numId w:val="205"/>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Комисија за заштиту конкуренције</w:t>
            </w:r>
          </w:p>
          <w:p w14:paraId="60B5CAB6" w14:textId="1D45A665" w:rsidR="00854ADA" w:rsidRPr="00FF386D" w:rsidRDefault="00854ADA" w:rsidP="00854ADA">
            <w:pPr>
              <w:numPr>
                <w:ilvl w:val="0"/>
                <w:numId w:val="205"/>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Фонд за науку</w:t>
            </w:r>
          </w:p>
          <w:p w14:paraId="392E997C" w14:textId="77777777" w:rsidR="00854ADA" w:rsidRPr="00FF386D" w:rsidRDefault="00854ADA" w:rsidP="00854ADA">
            <w:pPr>
              <w:numPr>
                <w:ilvl w:val="0"/>
                <w:numId w:val="205"/>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lastRenderedPageBreak/>
              <w:t>Фонд за иновације</w:t>
            </w:r>
          </w:p>
        </w:tc>
      </w:tr>
      <w:tr w:rsidR="00854ADA" w:rsidRPr="00FF386D" w14:paraId="57FE2495" w14:textId="77777777" w:rsidTr="0057310C">
        <w:trPr>
          <w:trHeight w:val="315"/>
        </w:trPr>
        <w:tc>
          <w:tcPr>
            <w:tcW w:w="3260" w:type="dxa"/>
            <w:tcBorders>
              <w:top w:val="nil"/>
              <w:left w:val="single" w:sz="8" w:space="0" w:color="auto"/>
              <w:bottom w:val="single" w:sz="8" w:space="0" w:color="auto"/>
              <w:right w:val="nil"/>
            </w:tcBorders>
            <w:shd w:val="clear" w:color="000000" w:fill="244062"/>
            <w:vAlign w:val="center"/>
            <w:hideMark/>
          </w:tcPr>
          <w:p w14:paraId="127358E9"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lastRenderedPageBreak/>
              <w:t>Тело за праћење</w:t>
            </w:r>
          </w:p>
        </w:tc>
        <w:tc>
          <w:tcPr>
            <w:tcW w:w="6228" w:type="dxa"/>
            <w:gridSpan w:val="3"/>
            <w:tcBorders>
              <w:top w:val="single" w:sz="8" w:space="0" w:color="auto"/>
              <w:left w:val="nil"/>
              <w:bottom w:val="single" w:sz="8" w:space="0" w:color="auto"/>
              <w:right w:val="single" w:sz="8" w:space="0" w:color="000000"/>
            </w:tcBorders>
            <w:vAlign w:val="center"/>
            <w:hideMark/>
          </w:tcPr>
          <w:p w14:paraId="6E268D0D" w14:textId="77777777" w:rsidR="00854ADA" w:rsidRPr="00FF386D" w:rsidRDefault="00854ADA" w:rsidP="00854ADA">
            <w:pPr>
              <w:numPr>
                <w:ilvl w:val="0"/>
                <w:numId w:val="205"/>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Комисија за заштиту конкуренције</w:t>
            </w:r>
          </w:p>
        </w:tc>
      </w:tr>
      <w:tr w:rsidR="00854ADA" w:rsidRPr="00FF386D" w14:paraId="1BDBF540" w14:textId="77777777" w:rsidTr="0057310C">
        <w:trPr>
          <w:trHeight w:val="315"/>
        </w:trPr>
        <w:tc>
          <w:tcPr>
            <w:tcW w:w="3260" w:type="dxa"/>
            <w:tcBorders>
              <w:top w:val="nil"/>
              <w:left w:val="single" w:sz="8" w:space="0" w:color="auto"/>
              <w:bottom w:val="single" w:sz="8" w:space="0" w:color="auto"/>
              <w:right w:val="nil"/>
            </w:tcBorders>
            <w:shd w:val="clear" w:color="000000" w:fill="244062"/>
            <w:vAlign w:val="center"/>
            <w:hideMark/>
          </w:tcPr>
          <w:p w14:paraId="4BCE4185"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28" w:type="dxa"/>
            <w:gridSpan w:val="3"/>
            <w:tcBorders>
              <w:top w:val="single" w:sz="8" w:space="0" w:color="auto"/>
              <w:left w:val="nil"/>
              <w:bottom w:val="single" w:sz="8" w:space="0" w:color="auto"/>
              <w:right w:val="single" w:sz="8" w:space="0" w:color="000000"/>
            </w:tcBorders>
            <w:vAlign w:val="center"/>
            <w:hideMark/>
          </w:tcPr>
          <w:p w14:paraId="42B4598B"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Нови прописи и/или нормативна акта</w:t>
            </w:r>
          </w:p>
        </w:tc>
      </w:tr>
      <w:tr w:rsidR="00854ADA" w:rsidRPr="00FF386D" w14:paraId="1FEB9629" w14:textId="77777777" w:rsidTr="0057310C">
        <w:trPr>
          <w:trHeight w:val="584"/>
        </w:trPr>
        <w:tc>
          <w:tcPr>
            <w:tcW w:w="3260" w:type="dxa"/>
            <w:tcBorders>
              <w:top w:val="nil"/>
              <w:left w:val="single" w:sz="8" w:space="0" w:color="auto"/>
              <w:bottom w:val="single" w:sz="8" w:space="0" w:color="auto"/>
              <w:right w:val="single" w:sz="8" w:space="0" w:color="auto"/>
            </w:tcBorders>
            <w:shd w:val="clear" w:color="000000" w:fill="244062"/>
            <w:vAlign w:val="center"/>
            <w:hideMark/>
          </w:tcPr>
          <w:p w14:paraId="605C643A"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28" w:type="dxa"/>
            <w:gridSpan w:val="3"/>
            <w:tcBorders>
              <w:top w:val="single" w:sz="8" w:space="0" w:color="auto"/>
              <w:left w:val="nil"/>
              <w:bottom w:val="single" w:sz="8" w:space="0" w:color="auto"/>
              <w:right w:val="single" w:sz="8" w:space="0" w:color="000000"/>
            </w:tcBorders>
            <w:vAlign w:val="center"/>
          </w:tcPr>
          <w:p w14:paraId="537DE5F4" w14:textId="77777777" w:rsidR="00854ADA" w:rsidRPr="00FF386D" w:rsidRDefault="00854ADA" w:rsidP="00854ADA">
            <w:pPr>
              <w:numPr>
                <w:ilvl w:val="0"/>
                <w:numId w:val="183"/>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Унутрашње тржиште енергије</w:t>
            </w:r>
          </w:p>
        </w:tc>
      </w:tr>
      <w:tr w:rsidR="00854ADA" w:rsidRPr="00FF386D" w14:paraId="07761E9C" w14:textId="77777777" w:rsidTr="0057310C">
        <w:trPr>
          <w:trHeight w:val="450"/>
        </w:trPr>
        <w:tc>
          <w:tcPr>
            <w:tcW w:w="3260"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2BEC788A" w14:textId="4224C322"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28" w:type="dxa"/>
            <w:gridSpan w:val="3"/>
            <w:vMerge w:val="restart"/>
            <w:tcBorders>
              <w:top w:val="single" w:sz="8" w:space="0" w:color="auto"/>
              <w:left w:val="single" w:sz="8" w:space="0" w:color="auto"/>
              <w:bottom w:val="single" w:sz="8" w:space="0" w:color="000000"/>
              <w:right w:val="single" w:sz="8" w:space="0" w:color="000000"/>
            </w:tcBorders>
            <w:vAlign w:val="center"/>
          </w:tcPr>
          <w:p w14:paraId="29D91136" w14:textId="77777777" w:rsidR="00854ADA" w:rsidRPr="00FF386D" w:rsidRDefault="00854ADA" w:rsidP="00854ADA">
            <w:pPr>
              <w:numPr>
                <w:ilvl w:val="0"/>
                <w:numId w:val="99"/>
              </w:numPr>
              <w:spacing w:after="0" w:line="240" w:lineRule="auto"/>
              <w:contextualSpacing/>
              <w:jc w:val="both"/>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Европско законодавство</w:t>
            </w:r>
          </w:p>
        </w:tc>
      </w:tr>
      <w:tr w:rsidR="00854ADA" w:rsidRPr="00FF386D" w14:paraId="604EDC4A"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5980FFEA"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28" w:type="dxa"/>
            <w:gridSpan w:val="3"/>
            <w:vMerge/>
            <w:tcBorders>
              <w:top w:val="single" w:sz="8" w:space="0" w:color="auto"/>
              <w:left w:val="single" w:sz="8" w:space="0" w:color="auto"/>
              <w:bottom w:val="single" w:sz="8" w:space="0" w:color="000000"/>
              <w:right w:val="single" w:sz="8" w:space="0" w:color="000000"/>
            </w:tcBorders>
            <w:vAlign w:val="center"/>
          </w:tcPr>
          <w:p w14:paraId="44E6AB85" w14:textId="77777777" w:rsidR="00854ADA" w:rsidRPr="00FF386D" w:rsidRDefault="00854ADA" w:rsidP="00854ADA">
            <w:pPr>
              <w:numPr>
                <w:ilvl w:val="0"/>
                <w:numId w:val="99"/>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640D91FA"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4C65EDF4"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28" w:type="dxa"/>
            <w:gridSpan w:val="3"/>
            <w:vMerge/>
            <w:tcBorders>
              <w:top w:val="single" w:sz="8" w:space="0" w:color="auto"/>
              <w:left w:val="single" w:sz="8" w:space="0" w:color="auto"/>
              <w:bottom w:val="single" w:sz="8" w:space="0" w:color="000000"/>
              <w:right w:val="single" w:sz="8" w:space="0" w:color="000000"/>
            </w:tcBorders>
            <w:vAlign w:val="center"/>
          </w:tcPr>
          <w:p w14:paraId="7D669921" w14:textId="77777777" w:rsidR="00854ADA" w:rsidRPr="00FF386D" w:rsidRDefault="00854ADA" w:rsidP="00854ADA">
            <w:pPr>
              <w:numPr>
                <w:ilvl w:val="0"/>
                <w:numId w:val="99"/>
              </w:numPr>
              <w:spacing w:after="0" w:line="256" w:lineRule="auto"/>
              <w:contextualSpacing/>
              <w:rPr>
                <w:rFonts w:asciiTheme="majorHAnsi" w:eastAsia="Times New Roman" w:hAnsiTheme="majorHAnsi" w:cstheme="majorHAnsi"/>
                <w:color w:val="000000"/>
                <w:sz w:val="20"/>
                <w:szCs w:val="20"/>
                <w:lang w:eastAsia="en-GB"/>
              </w:rPr>
            </w:pPr>
          </w:p>
        </w:tc>
      </w:tr>
      <w:tr w:rsidR="00854ADA" w:rsidRPr="00FF386D" w14:paraId="5E2B670B" w14:textId="77777777" w:rsidTr="0057310C">
        <w:trPr>
          <w:trHeight w:val="303"/>
        </w:trPr>
        <w:tc>
          <w:tcPr>
            <w:tcW w:w="3260" w:type="dxa"/>
            <w:tcBorders>
              <w:top w:val="nil"/>
              <w:left w:val="single" w:sz="8" w:space="0" w:color="auto"/>
              <w:bottom w:val="single" w:sz="8" w:space="0" w:color="auto"/>
              <w:right w:val="single" w:sz="8" w:space="0" w:color="auto"/>
            </w:tcBorders>
            <w:shd w:val="clear" w:color="000000" w:fill="244062"/>
            <w:vAlign w:val="center"/>
            <w:hideMark/>
          </w:tcPr>
          <w:p w14:paraId="77A621E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28" w:type="dxa"/>
            <w:gridSpan w:val="3"/>
            <w:tcBorders>
              <w:top w:val="single" w:sz="8" w:space="0" w:color="auto"/>
              <w:left w:val="nil"/>
              <w:bottom w:val="single" w:sz="8" w:space="0" w:color="auto"/>
              <w:right w:val="single" w:sz="8" w:space="0" w:color="000000"/>
            </w:tcBorders>
            <w:vAlign w:val="center"/>
          </w:tcPr>
          <w:p w14:paraId="3B704F79" w14:textId="77777777" w:rsidR="00854ADA" w:rsidRPr="000A2AFE" w:rsidRDefault="00854ADA">
            <w:pPr>
              <w:numPr>
                <w:ilvl w:val="0"/>
                <w:numId w:val="245"/>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Закон о Фонду за науку</w:t>
            </w:r>
          </w:p>
          <w:p w14:paraId="5EA5AECB" w14:textId="77777777" w:rsidR="00854ADA" w:rsidRPr="000A2AFE" w:rsidRDefault="00854ADA">
            <w:pPr>
              <w:numPr>
                <w:ilvl w:val="0"/>
                <w:numId w:val="245"/>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Закон о науци и истраживању</w:t>
            </w:r>
          </w:p>
          <w:p w14:paraId="152F99C9" w14:textId="77777777" w:rsidR="00854ADA" w:rsidRPr="00FF386D" w:rsidRDefault="00854ADA" w:rsidP="00854ADA">
            <w:pPr>
              <w:numPr>
                <w:ilvl w:val="0"/>
                <w:numId w:val="99"/>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Стратегија индустријске политике (2021-2030)</w:t>
            </w:r>
          </w:p>
        </w:tc>
      </w:tr>
      <w:tr w:rsidR="00854ADA" w:rsidRPr="00FF386D" w14:paraId="43C497DD" w14:textId="77777777" w:rsidTr="0057310C">
        <w:trPr>
          <w:trHeight w:val="315"/>
        </w:trPr>
        <w:tc>
          <w:tcPr>
            <w:tcW w:w="3260" w:type="dxa"/>
            <w:tcBorders>
              <w:top w:val="nil"/>
              <w:left w:val="single" w:sz="8" w:space="0" w:color="auto"/>
              <w:bottom w:val="single" w:sz="8" w:space="0" w:color="auto"/>
              <w:right w:val="single" w:sz="8" w:space="0" w:color="auto"/>
            </w:tcBorders>
            <w:shd w:val="clear" w:color="000000" w:fill="244062"/>
            <w:vAlign w:val="center"/>
            <w:hideMark/>
          </w:tcPr>
          <w:p w14:paraId="421D0596"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28" w:type="dxa"/>
            <w:gridSpan w:val="3"/>
            <w:tcBorders>
              <w:top w:val="single" w:sz="8" w:space="0" w:color="auto"/>
              <w:left w:val="nil"/>
              <w:bottom w:val="single" w:sz="8" w:space="0" w:color="auto"/>
              <w:right w:val="single" w:sz="8" w:space="0" w:color="000000"/>
            </w:tcBorders>
            <w:vAlign w:val="center"/>
          </w:tcPr>
          <w:p w14:paraId="6E6C173E"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0,1 милиона евра</w:t>
            </w:r>
          </w:p>
        </w:tc>
      </w:tr>
      <w:tr w:rsidR="00854ADA" w:rsidRPr="00FF386D" w14:paraId="1532A681" w14:textId="77777777" w:rsidTr="0057310C">
        <w:trPr>
          <w:trHeight w:val="315"/>
        </w:trPr>
        <w:tc>
          <w:tcPr>
            <w:tcW w:w="3260" w:type="dxa"/>
            <w:tcBorders>
              <w:top w:val="nil"/>
              <w:left w:val="single" w:sz="8" w:space="0" w:color="auto"/>
              <w:bottom w:val="single" w:sz="8" w:space="0" w:color="auto"/>
              <w:right w:val="single" w:sz="8" w:space="0" w:color="auto"/>
            </w:tcBorders>
            <w:shd w:val="clear" w:color="000000" w:fill="244062"/>
            <w:vAlign w:val="center"/>
            <w:hideMark/>
          </w:tcPr>
          <w:p w14:paraId="6802DA51"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28" w:type="dxa"/>
            <w:gridSpan w:val="3"/>
            <w:tcBorders>
              <w:top w:val="single" w:sz="8" w:space="0" w:color="auto"/>
              <w:left w:val="nil"/>
              <w:bottom w:val="single" w:sz="8" w:space="0" w:color="auto"/>
              <w:right w:val="single" w:sz="8" w:space="0" w:color="000000"/>
            </w:tcBorders>
            <w:shd w:val="clear" w:color="auto" w:fill="auto"/>
            <w:vAlign w:val="center"/>
            <w:hideMark/>
          </w:tcPr>
          <w:p w14:paraId="507E37E2" w14:textId="1A801668" w:rsidR="00854ADA" w:rsidRPr="00FF386D" w:rsidRDefault="00CE229F" w:rsidP="00854ADA">
            <w:pPr>
              <w:spacing w:after="0" w:line="240" w:lineRule="auto"/>
              <w:rPr>
                <w:rFonts w:asciiTheme="majorHAnsi" w:eastAsia="Times New Roman" w:hAnsiTheme="majorHAnsi" w:cstheme="majorHAnsi"/>
                <w:color w:val="000000"/>
                <w:sz w:val="20"/>
                <w:szCs w:val="20"/>
                <w:lang w:eastAsia="en-GB"/>
              </w:rPr>
            </w:pPr>
            <w:r w:rsidRPr="00CE229F">
              <w:rPr>
                <w:rFonts w:asciiTheme="majorHAnsi" w:eastAsia="Times New Roman" w:hAnsiTheme="majorHAnsi" w:cstheme="majorHAnsi"/>
                <w:color w:val="000000"/>
                <w:sz w:val="20"/>
                <w:szCs w:val="20"/>
                <w:lang w:eastAsia="en-GB"/>
              </w:rPr>
              <w:t>Фондови ЕУ, сопствена и буџетска средства</w:t>
            </w:r>
          </w:p>
        </w:tc>
      </w:tr>
    </w:tbl>
    <w:p w14:paraId="532A6EB1" w14:textId="77777777" w:rsidR="00854ADA" w:rsidRPr="00FF386D" w:rsidRDefault="00854ADA" w:rsidP="00854ADA">
      <w:pPr>
        <w:spacing w:before="120" w:after="120" w:line="240" w:lineRule="auto"/>
        <w:rPr>
          <w:rFonts w:ascii="Calibri" w:eastAsia="Times New Roman" w:hAnsi="Calibri" w:cs="Arial"/>
          <w:highlight w:val="green"/>
          <w:lang w:eastAsia="el-GR"/>
        </w:rPr>
      </w:pPr>
    </w:p>
    <w:tbl>
      <w:tblPr>
        <w:tblW w:w="9488" w:type="dxa"/>
        <w:tblLook w:val="04A0" w:firstRow="1" w:lastRow="0" w:firstColumn="1" w:lastColumn="0" w:noHBand="0" w:noVBand="1"/>
      </w:tblPr>
      <w:tblGrid>
        <w:gridCol w:w="3262"/>
        <w:gridCol w:w="1173"/>
        <w:gridCol w:w="932"/>
        <w:gridCol w:w="4121"/>
      </w:tblGrid>
      <w:tr w:rsidR="00854ADA" w:rsidRPr="00FF386D" w14:paraId="22EAC3AF" w14:textId="77777777" w:rsidTr="0057310C">
        <w:trPr>
          <w:trHeight w:val="780"/>
        </w:trPr>
        <w:tc>
          <w:tcPr>
            <w:tcW w:w="3262" w:type="dxa"/>
            <w:tcBorders>
              <w:top w:val="single" w:sz="8" w:space="0" w:color="auto"/>
              <w:left w:val="single" w:sz="8" w:space="0" w:color="auto"/>
              <w:bottom w:val="single" w:sz="8" w:space="0" w:color="auto"/>
              <w:right w:val="single" w:sz="8" w:space="0" w:color="auto"/>
            </w:tcBorders>
            <w:shd w:val="clear" w:color="000000" w:fill="244062"/>
            <w:vAlign w:val="center"/>
            <w:hideMark/>
          </w:tcPr>
          <w:p w14:paraId="1DE54F40" w14:textId="140D4477" w:rsidR="00854ADA" w:rsidRPr="00FF386D" w:rsidRDefault="00DB1C84" w:rsidP="00854ADA">
            <w:pPr>
              <w:spacing w:after="0" w:line="240" w:lineRule="auto"/>
              <w:jc w:val="both"/>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Шифра мере политике</w:t>
            </w:r>
            <w:r w:rsidR="00854ADA" w:rsidRPr="000A2AFE">
              <w:rPr>
                <w:rFonts w:ascii="Calibri Light" w:eastAsia="Times New Roman" w:hAnsi="Calibri Light" w:cs="Calibri Light"/>
                <w:b/>
                <w:bCs/>
                <w:color w:val="FFFFFF"/>
                <w:sz w:val="20"/>
                <w:szCs w:val="20"/>
                <w:lang w:eastAsia="en-GB"/>
              </w:rPr>
              <w:t>:</w:t>
            </w:r>
          </w:p>
        </w:tc>
        <w:tc>
          <w:tcPr>
            <w:tcW w:w="1173" w:type="dxa"/>
            <w:tcBorders>
              <w:top w:val="single" w:sz="8" w:space="0" w:color="auto"/>
              <w:left w:val="nil"/>
              <w:bottom w:val="single" w:sz="8" w:space="0" w:color="auto"/>
              <w:right w:val="single" w:sz="8" w:space="0" w:color="auto"/>
            </w:tcBorders>
            <w:shd w:val="clear" w:color="auto" w:fill="E7E6E6" w:themeFill="background2"/>
            <w:vAlign w:val="center"/>
            <w:hideMark/>
          </w:tcPr>
          <w:p w14:paraId="011E00A7" w14:textId="77777777"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МП_ИИК20</w:t>
            </w:r>
          </w:p>
        </w:tc>
        <w:tc>
          <w:tcPr>
            <w:tcW w:w="932" w:type="dxa"/>
            <w:tcBorders>
              <w:top w:val="single" w:sz="8" w:space="0" w:color="auto"/>
              <w:left w:val="nil"/>
              <w:bottom w:val="single" w:sz="8" w:space="0" w:color="auto"/>
              <w:right w:val="single" w:sz="8" w:space="0" w:color="auto"/>
            </w:tcBorders>
            <w:shd w:val="clear" w:color="auto" w:fill="244062"/>
            <w:vAlign w:val="center"/>
            <w:hideMark/>
          </w:tcPr>
          <w:p w14:paraId="770BB53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Назив: </w:t>
            </w:r>
          </w:p>
        </w:tc>
        <w:tc>
          <w:tcPr>
            <w:tcW w:w="4121" w:type="dxa"/>
            <w:tcBorders>
              <w:top w:val="single" w:sz="8" w:space="0" w:color="auto"/>
              <w:left w:val="nil"/>
              <w:bottom w:val="single" w:sz="8" w:space="0" w:color="auto"/>
              <w:right w:val="single" w:sz="8" w:space="0" w:color="auto"/>
            </w:tcBorders>
            <w:shd w:val="clear" w:color="auto" w:fill="E7E6E6" w:themeFill="background2"/>
            <w:vAlign w:val="center"/>
            <w:hideMark/>
          </w:tcPr>
          <w:p w14:paraId="173337A7" w14:textId="06A5552D" w:rsidR="00854ADA" w:rsidRPr="00FF386D" w:rsidRDefault="00854ADA" w:rsidP="00854ADA">
            <w:pPr>
              <w:spacing w:after="0" w:line="240" w:lineRule="auto"/>
              <w:jc w:val="both"/>
              <w:rPr>
                <w:rFonts w:ascii="Calibri Light" w:eastAsia="Times New Roman" w:hAnsi="Calibri Light" w:cs="Calibri Light"/>
                <w:b/>
                <w:bCs/>
                <w:color w:val="000000"/>
                <w:sz w:val="20"/>
                <w:szCs w:val="20"/>
                <w:lang w:eastAsia="en-GB"/>
              </w:rPr>
            </w:pPr>
            <w:r w:rsidRPr="000A2AFE">
              <w:rPr>
                <w:rFonts w:ascii="Calibri Light" w:eastAsia="Times New Roman" w:hAnsi="Calibri Light" w:cs="Calibri Light"/>
                <w:b/>
                <w:bCs/>
                <w:color w:val="000000"/>
                <w:sz w:val="20"/>
                <w:szCs w:val="20"/>
                <w:lang w:eastAsia="en-GB"/>
              </w:rPr>
              <w:t xml:space="preserve">Подстицање иновативних технологија циркуларне економије </w:t>
            </w:r>
            <w:r w:rsidR="00E43A88" w:rsidRPr="000A2AFE">
              <w:rPr>
                <w:rFonts w:ascii="Calibri Light" w:eastAsia="Times New Roman" w:hAnsi="Calibri Light" w:cs="Calibri Light"/>
                <w:b/>
                <w:bCs/>
                <w:color w:val="000000"/>
                <w:sz w:val="20"/>
                <w:szCs w:val="20"/>
                <w:lang w:eastAsia="en-GB"/>
              </w:rPr>
              <w:t>у циљу</w:t>
            </w:r>
            <w:r w:rsidRPr="000A2AFE">
              <w:rPr>
                <w:rFonts w:ascii="Calibri Light" w:eastAsia="Times New Roman" w:hAnsi="Calibri Light" w:cs="Calibri Light"/>
                <w:b/>
                <w:bCs/>
                <w:color w:val="000000"/>
                <w:sz w:val="20"/>
                <w:szCs w:val="20"/>
                <w:lang w:eastAsia="en-GB"/>
              </w:rPr>
              <w:t xml:space="preserve"> побољшања конкурентности предузећа</w:t>
            </w:r>
          </w:p>
        </w:tc>
      </w:tr>
      <w:tr w:rsidR="00854ADA" w:rsidRPr="00FF386D" w14:paraId="6B9B74A8" w14:textId="77777777" w:rsidTr="0057310C">
        <w:trPr>
          <w:trHeight w:val="431"/>
        </w:trPr>
        <w:tc>
          <w:tcPr>
            <w:tcW w:w="3262" w:type="dxa"/>
            <w:tcBorders>
              <w:top w:val="nil"/>
              <w:left w:val="single" w:sz="8" w:space="0" w:color="auto"/>
              <w:bottom w:val="single" w:sz="8" w:space="0" w:color="auto"/>
              <w:right w:val="nil"/>
            </w:tcBorders>
            <w:shd w:val="clear" w:color="000000" w:fill="244062"/>
            <w:vAlign w:val="center"/>
            <w:hideMark/>
          </w:tcPr>
          <w:p w14:paraId="2361C507" w14:textId="5C083F8D"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Главни циљ:</w:t>
            </w:r>
          </w:p>
        </w:tc>
        <w:tc>
          <w:tcPr>
            <w:tcW w:w="6226" w:type="dxa"/>
            <w:gridSpan w:val="3"/>
            <w:tcBorders>
              <w:top w:val="single" w:sz="8" w:space="0" w:color="auto"/>
              <w:left w:val="nil"/>
              <w:bottom w:val="single" w:sz="8" w:space="0" w:color="auto"/>
              <w:right w:val="single" w:sz="8" w:space="0" w:color="000000"/>
            </w:tcBorders>
            <w:vAlign w:val="center"/>
            <w:hideMark/>
          </w:tcPr>
          <w:p w14:paraId="78D056B6"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Побољшање конкурентности</w:t>
            </w:r>
          </w:p>
        </w:tc>
      </w:tr>
      <w:tr w:rsidR="00854ADA" w:rsidRPr="00FF386D" w14:paraId="026F1A7B" w14:textId="77777777" w:rsidTr="0057310C">
        <w:trPr>
          <w:trHeight w:val="315"/>
        </w:trPr>
        <w:tc>
          <w:tcPr>
            <w:tcW w:w="3262" w:type="dxa"/>
            <w:tcBorders>
              <w:top w:val="nil"/>
              <w:left w:val="single" w:sz="8" w:space="0" w:color="auto"/>
              <w:bottom w:val="single" w:sz="8" w:space="0" w:color="auto"/>
              <w:right w:val="single" w:sz="8" w:space="0" w:color="auto"/>
            </w:tcBorders>
            <w:shd w:val="clear" w:color="000000" w:fill="244062"/>
            <w:vAlign w:val="center"/>
            <w:hideMark/>
          </w:tcPr>
          <w:p w14:paraId="45D74AA4" w14:textId="437AF883"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Квантификовани циљ:</w:t>
            </w:r>
          </w:p>
        </w:tc>
        <w:tc>
          <w:tcPr>
            <w:tcW w:w="6226" w:type="dxa"/>
            <w:gridSpan w:val="3"/>
            <w:tcBorders>
              <w:top w:val="single" w:sz="8" w:space="0" w:color="auto"/>
              <w:left w:val="nil"/>
              <w:bottom w:val="single" w:sz="8" w:space="0" w:color="auto"/>
              <w:right w:val="single" w:sz="8" w:space="0" w:color="000000"/>
            </w:tcBorders>
            <w:vAlign w:val="center"/>
            <w:hideMark/>
          </w:tcPr>
          <w:p w14:paraId="6F5747EC" w14:textId="3EE84FE0"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Повећање нивоа конкурентности (квалитативан циљ)</w:t>
            </w:r>
          </w:p>
        </w:tc>
      </w:tr>
      <w:tr w:rsidR="00854ADA" w:rsidRPr="00FF386D" w14:paraId="1828FC04" w14:textId="77777777" w:rsidTr="0057310C">
        <w:trPr>
          <w:trHeight w:val="768"/>
        </w:trPr>
        <w:tc>
          <w:tcPr>
            <w:tcW w:w="3262" w:type="dxa"/>
            <w:tcBorders>
              <w:top w:val="nil"/>
              <w:left w:val="single" w:sz="8" w:space="0" w:color="auto"/>
              <w:bottom w:val="single" w:sz="8" w:space="0" w:color="auto"/>
              <w:right w:val="single" w:sz="8" w:space="0" w:color="auto"/>
            </w:tcBorders>
            <w:shd w:val="clear" w:color="000000" w:fill="244062"/>
            <w:vAlign w:val="center"/>
            <w:hideMark/>
          </w:tcPr>
          <w:p w14:paraId="7B5789F7"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Опис:</w:t>
            </w:r>
          </w:p>
        </w:tc>
        <w:tc>
          <w:tcPr>
            <w:tcW w:w="6226" w:type="dxa"/>
            <w:gridSpan w:val="3"/>
            <w:tcBorders>
              <w:top w:val="single" w:sz="8" w:space="0" w:color="auto"/>
              <w:left w:val="nil"/>
              <w:bottom w:val="single" w:sz="8" w:space="0" w:color="auto"/>
              <w:right w:val="single" w:sz="8" w:space="0" w:color="000000"/>
            </w:tcBorders>
            <w:vAlign w:val="center"/>
            <w:hideMark/>
          </w:tcPr>
          <w:p w14:paraId="6854CC28" w14:textId="77777777"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МП_ИИК20 ће подстицати посебне акције усмерене на развој иновативних технологија како би се постигли циљеви мапе пута за циркуларну економију у Србији.</w:t>
            </w:r>
          </w:p>
        </w:tc>
      </w:tr>
      <w:tr w:rsidR="00854ADA" w:rsidRPr="00FF386D" w14:paraId="7C992E36" w14:textId="77777777" w:rsidTr="0057310C">
        <w:trPr>
          <w:trHeight w:val="315"/>
        </w:trPr>
        <w:tc>
          <w:tcPr>
            <w:tcW w:w="3262" w:type="dxa"/>
            <w:tcBorders>
              <w:top w:val="nil"/>
              <w:left w:val="single" w:sz="8" w:space="0" w:color="auto"/>
              <w:bottom w:val="single" w:sz="8" w:space="0" w:color="auto"/>
              <w:right w:val="single" w:sz="8" w:space="0" w:color="auto"/>
            </w:tcBorders>
            <w:shd w:val="clear" w:color="000000" w:fill="244062"/>
            <w:vAlign w:val="center"/>
            <w:hideMark/>
          </w:tcPr>
          <w:p w14:paraId="7758E4F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Временски оквир имплементације</w:t>
            </w:r>
          </w:p>
        </w:tc>
        <w:tc>
          <w:tcPr>
            <w:tcW w:w="6226" w:type="dxa"/>
            <w:gridSpan w:val="3"/>
            <w:tcBorders>
              <w:top w:val="single" w:sz="8" w:space="0" w:color="auto"/>
              <w:left w:val="nil"/>
              <w:bottom w:val="single" w:sz="8" w:space="0" w:color="auto"/>
              <w:right w:val="single" w:sz="8" w:space="0" w:color="000000"/>
            </w:tcBorders>
            <w:vAlign w:val="center"/>
            <w:hideMark/>
          </w:tcPr>
          <w:p w14:paraId="2855BF50" w14:textId="62DE8F39"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202</w:t>
            </w:r>
            <w:r w:rsidR="00672F1C" w:rsidRPr="00FF386D">
              <w:rPr>
                <w:rFonts w:ascii="Calibri Light" w:hAnsi="Calibri Light"/>
                <w:sz w:val="20"/>
              </w:rPr>
              <w:t>3</w:t>
            </w:r>
            <w:r w:rsidRPr="00FF386D">
              <w:rPr>
                <w:rFonts w:ascii="Calibri Light" w:hAnsi="Calibri Light"/>
                <w:sz w:val="20"/>
              </w:rPr>
              <w:t>-2030.</w:t>
            </w:r>
          </w:p>
        </w:tc>
      </w:tr>
      <w:tr w:rsidR="00854ADA" w:rsidRPr="00FF386D" w14:paraId="0551B53A" w14:textId="77777777" w:rsidTr="0057310C">
        <w:trPr>
          <w:trHeight w:val="315"/>
        </w:trPr>
        <w:tc>
          <w:tcPr>
            <w:tcW w:w="3262" w:type="dxa"/>
            <w:tcBorders>
              <w:top w:val="nil"/>
              <w:left w:val="single" w:sz="8" w:space="0" w:color="auto"/>
              <w:bottom w:val="single" w:sz="8" w:space="0" w:color="auto"/>
              <w:right w:val="single" w:sz="8" w:space="0" w:color="auto"/>
            </w:tcBorders>
            <w:shd w:val="clear" w:color="000000" w:fill="244062"/>
            <w:vAlign w:val="center"/>
            <w:hideMark/>
          </w:tcPr>
          <w:p w14:paraId="1B8EB8C4"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Тип мере</w:t>
            </w:r>
          </w:p>
        </w:tc>
        <w:tc>
          <w:tcPr>
            <w:tcW w:w="6226" w:type="dxa"/>
            <w:gridSpan w:val="3"/>
            <w:tcBorders>
              <w:top w:val="single" w:sz="8" w:space="0" w:color="auto"/>
              <w:left w:val="nil"/>
              <w:bottom w:val="single" w:sz="8" w:space="0" w:color="auto"/>
              <w:right w:val="single" w:sz="8" w:space="0" w:color="000000"/>
            </w:tcBorders>
            <w:vAlign w:val="center"/>
            <w:hideMark/>
          </w:tcPr>
          <w:p w14:paraId="4D530773"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Инвестиције</w:t>
            </w:r>
          </w:p>
        </w:tc>
      </w:tr>
      <w:tr w:rsidR="00854ADA" w:rsidRPr="00FF386D" w14:paraId="0B74F673" w14:textId="77777777" w:rsidTr="0057310C">
        <w:trPr>
          <w:trHeight w:val="315"/>
        </w:trPr>
        <w:tc>
          <w:tcPr>
            <w:tcW w:w="3262" w:type="dxa"/>
            <w:tcBorders>
              <w:top w:val="nil"/>
              <w:left w:val="single" w:sz="8" w:space="0" w:color="auto"/>
              <w:bottom w:val="single" w:sz="8" w:space="0" w:color="auto"/>
              <w:right w:val="single" w:sz="8" w:space="0" w:color="auto"/>
            </w:tcBorders>
            <w:shd w:val="clear" w:color="000000" w:fill="244062"/>
            <w:vAlign w:val="center"/>
            <w:hideMark/>
          </w:tcPr>
          <w:p w14:paraId="2AA21B8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Обухваћени сектори</w:t>
            </w:r>
          </w:p>
        </w:tc>
        <w:tc>
          <w:tcPr>
            <w:tcW w:w="6226" w:type="dxa"/>
            <w:gridSpan w:val="3"/>
            <w:tcBorders>
              <w:top w:val="single" w:sz="8" w:space="0" w:color="auto"/>
              <w:left w:val="nil"/>
              <w:bottom w:val="single" w:sz="8" w:space="0" w:color="auto"/>
              <w:right w:val="single" w:sz="8" w:space="0" w:color="000000"/>
            </w:tcBorders>
            <w:vAlign w:val="center"/>
            <w:hideMark/>
          </w:tcPr>
          <w:p w14:paraId="28060EDD" w14:textId="714D11C6"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Calibri Light" w:hAnsi="Calibri Light"/>
                <w:sz w:val="20"/>
              </w:rPr>
              <w:t xml:space="preserve">Све области </w:t>
            </w:r>
            <w:r w:rsidR="00170CE9">
              <w:rPr>
                <w:rFonts w:ascii="Calibri Light" w:hAnsi="Calibri Light"/>
                <w:sz w:val="20"/>
              </w:rPr>
              <w:t>И</w:t>
            </w:r>
            <w:r w:rsidRPr="00FF386D">
              <w:rPr>
                <w:rFonts w:ascii="Calibri Light" w:hAnsi="Calibri Light"/>
                <w:sz w:val="20"/>
              </w:rPr>
              <w:t>НЕКП-а</w:t>
            </w:r>
          </w:p>
        </w:tc>
      </w:tr>
      <w:tr w:rsidR="00854ADA" w:rsidRPr="00FF386D" w14:paraId="728CC254" w14:textId="77777777" w:rsidTr="0057310C">
        <w:trPr>
          <w:trHeight w:val="315"/>
        </w:trPr>
        <w:tc>
          <w:tcPr>
            <w:tcW w:w="3262" w:type="dxa"/>
            <w:tcBorders>
              <w:top w:val="nil"/>
              <w:left w:val="single" w:sz="8" w:space="0" w:color="auto"/>
              <w:bottom w:val="single" w:sz="8" w:space="0" w:color="auto"/>
              <w:right w:val="single" w:sz="8" w:space="0" w:color="auto"/>
            </w:tcBorders>
            <w:shd w:val="clear" w:color="000000" w:fill="244062"/>
            <w:vAlign w:val="center"/>
            <w:hideMark/>
          </w:tcPr>
          <w:p w14:paraId="211F5C2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Извршни орган</w:t>
            </w:r>
          </w:p>
        </w:tc>
        <w:tc>
          <w:tcPr>
            <w:tcW w:w="6226" w:type="dxa"/>
            <w:gridSpan w:val="3"/>
            <w:tcBorders>
              <w:top w:val="single" w:sz="8" w:space="0" w:color="auto"/>
              <w:left w:val="nil"/>
              <w:bottom w:val="single" w:sz="8" w:space="0" w:color="auto"/>
              <w:right w:val="single" w:sz="8" w:space="0" w:color="000000"/>
            </w:tcBorders>
            <w:vAlign w:val="center"/>
            <w:hideMark/>
          </w:tcPr>
          <w:p w14:paraId="4B1F8E8D" w14:textId="77777777" w:rsidR="00854ADA" w:rsidRPr="00FF386D" w:rsidRDefault="00854ADA" w:rsidP="00854ADA">
            <w:pPr>
              <w:numPr>
                <w:ilvl w:val="0"/>
                <w:numId w:val="206"/>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Комисија за заштиту конкуренције</w:t>
            </w:r>
          </w:p>
          <w:p w14:paraId="14AC8227" w14:textId="77777777" w:rsidR="00854ADA" w:rsidRPr="00FF386D" w:rsidRDefault="00854ADA" w:rsidP="00854ADA">
            <w:pPr>
              <w:numPr>
                <w:ilvl w:val="0"/>
                <w:numId w:val="206"/>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Министарство финансија</w:t>
            </w:r>
          </w:p>
          <w:p w14:paraId="3909DE39" w14:textId="77777777" w:rsidR="00854ADA" w:rsidRPr="00FF386D" w:rsidRDefault="00854ADA" w:rsidP="00854ADA">
            <w:pPr>
              <w:numPr>
                <w:ilvl w:val="0"/>
                <w:numId w:val="206"/>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Развојна агенција Србије</w:t>
            </w:r>
          </w:p>
          <w:p w14:paraId="4A9EF232" w14:textId="34AFCB1F" w:rsidR="00854ADA" w:rsidRPr="00FF386D" w:rsidRDefault="004F14D0" w:rsidP="00854ADA">
            <w:pPr>
              <w:numPr>
                <w:ilvl w:val="0"/>
                <w:numId w:val="206"/>
              </w:numPr>
              <w:spacing w:after="0" w:line="240" w:lineRule="auto"/>
              <w:contextualSpacing/>
              <w:jc w:val="both"/>
              <w:rPr>
                <w:rFonts w:asciiTheme="majorHAnsi" w:eastAsia="Times New Roman" w:hAnsiTheme="majorHAnsi" w:cstheme="majorHAnsi"/>
                <w:color w:val="000000"/>
                <w:sz w:val="20"/>
                <w:szCs w:val="20"/>
                <w:lang w:eastAsia="en-GB"/>
              </w:rPr>
            </w:pPr>
            <w:r>
              <w:rPr>
                <w:rFonts w:ascii="Calibri Light" w:hAnsi="Calibri Light"/>
                <w:sz w:val="20"/>
              </w:rPr>
              <w:t>Привредна комора</w:t>
            </w:r>
            <w:r w:rsidR="00854ADA" w:rsidRPr="00FF386D">
              <w:rPr>
                <w:rFonts w:ascii="Calibri Light" w:hAnsi="Calibri Light"/>
                <w:sz w:val="20"/>
              </w:rPr>
              <w:t xml:space="preserve"> Србије</w:t>
            </w:r>
          </w:p>
          <w:p w14:paraId="4EBE3890" w14:textId="77777777" w:rsidR="00854ADA" w:rsidRPr="00FF386D" w:rsidRDefault="00854ADA" w:rsidP="00854ADA">
            <w:pPr>
              <w:numPr>
                <w:ilvl w:val="0"/>
                <w:numId w:val="206"/>
              </w:numPr>
              <w:spacing w:after="0" w:line="240" w:lineRule="auto"/>
              <w:contextualSpacing/>
              <w:jc w:val="both"/>
              <w:rPr>
                <w:rFonts w:asciiTheme="majorHAnsi" w:eastAsia="Times New Roman" w:hAnsiTheme="majorHAnsi" w:cstheme="majorHAnsi"/>
                <w:color w:val="000000"/>
                <w:sz w:val="20"/>
                <w:szCs w:val="20"/>
                <w:lang w:eastAsia="en-GB"/>
              </w:rPr>
            </w:pPr>
            <w:r w:rsidRPr="00FF386D">
              <w:rPr>
                <w:rFonts w:ascii="Calibri Light" w:hAnsi="Calibri Light"/>
                <w:sz w:val="20"/>
              </w:rPr>
              <w:t>Центар за промоцију науке</w:t>
            </w:r>
          </w:p>
        </w:tc>
      </w:tr>
      <w:tr w:rsidR="00854ADA" w:rsidRPr="00FF386D" w14:paraId="0BAF77E5" w14:textId="77777777" w:rsidTr="0057310C">
        <w:trPr>
          <w:trHeight w:val="315"/>
        </w:trPr>
        <w:tc>
          <w:tcPr>
            <w:tcW w:w="3262" w:type="dxa"/>
            <w:tcBorders>
              <w:top w:val="nil"/>
              <w:left w:val="single" w:sz="8" w:space="0" w:color="auto"/>
              <w:bottom w:val="single" w:sz="8" w:space="0" w:color="auto"/>
              <w:right w:val="nil"/>
            </w:tcBorders>
            <w:shd w:val="clear" w:color="000000" w:fill="244062"/>
            <w:vAlign w:val="center"/>
            <w:hideMark/>
          </w:tcPr>
          <w:p w14:paraId="1D07FE70"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Тело за праћење</w:t>
            </w:r>
          </w:p>
        </w:tc>
        <w:tc>
          <w:tcPr>
            <w:tcW w:w="6226" w:type="dxa"/>
            <w:gridSpan w:val="3"/>
            <w:tcBorders>
              <w:top w:val="single" w:sz="8" w:space="0" w:color="auto"/>
              <w:left w:val="nil"/>
              <w:bottom w:val="single" w:sz="8" w:space="0" w:color="auto"/>
              <w:right w:val="single" w:sz="8" w:space="0" w:color="000000"/>
            </w:tcBorders>
            <w:vAlign w:val="center"/>
            <w:hideMark/>
          </w:tcPr>
          <w:p w14:paraId="56B8D425" w14:textId="77777777" w:rsidR="00854ADA" w:rsidRPr="00FF386D" w:rsidRDefault="00854ADA" w:rsidP="00854ADA">
            <w:pPr>
              <w:numPr>
                <w:ilvl w:val="0"/>
                <w:numId w:val="206"/>
              </w:numPr>
              <w:spacing w:after="0" w:line="240" w:lineRule="auto"/>
              <w:contextualSpacing/>
              <w:rPr>
                <w:rFonts w:asciiTheme="majorHAnsi" w:eastAsia="Times New Roman" w:hAnsiTheme="majorHAnsi" w:cstheme="majorHAnsi"/>
                <w:color w:val="000000"/>
                <w:sz w:val="20"/>
                <w:szCs w:val="20"/>
                <w:lang w:eastAsia="en-GB"/>
              </w:rPr>
            </w:pPr>
            <w:r w:rsidRPr="00FF386D">
              <w:rPr>
                <w:rFonts w:ascii="Calibri Light" w:hAnsi="Calibri Light"/>
                <w:sz w:val="20"/>
              </w:rPr>
              <w:t>Комисија за заштиту конкуренције</w:t>
            </w:r>
          </w:p>
        </w:tc>
      </w:tr>
      <w:tr w:rsidR="00854ADA" w:rsidRPr="00FF386D" w14:paraId="4453A18C" w14:textId="77777777" w:rsidTr="0057310C">
        <w:trPr>
          <w:trHeight w:val="315"/>
        </w:trPr>
        <w:tc>
          <w:tcPr>
            <w:tcW w:w="3262" w:type="dxa"/>
            <w:tcBorders>
              <w:top w:val="nil"/>
              <w:left w:val="single" w:sz="8" w:space="0" w:color="auto"/>
              <w:bottom w:val="single" w:sz="8" w:space="0" w:color="auto"/>
              <w:right w:val="nil"/>
            </w:tcBorders>
            <w:shd w:val="clear" w:color="000000" w:fill="244062"/>
            <w:vAlign w:val="center"/>
            <w:hideMark/>
          </w:tcPr>
          <w:p w14:paraId="6597479C"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Индикатори напретка</w:t>
            </w:r>
          </w:p>
        </w:tc>
        <w:tc>
          <w:tcPr>
            <w:tcW w:w="6226" w:type="dxa"/>
            <w:gridSpan w:val="3"/>
            <w:tcBorders>
              <w:top w:val="single" w:sz="8" w:space="0" w:color="auto"/>
              <w:left w:val="nil"/>
              <w:bottom w:val="single" w:sz="8" w:space="0" w:color="auto"/>
              <w:right w:val="single" w:sz="8" w:space="0" w:color="000000"/>
            </w:tcBorders>
            <w:vAlign w:val="center"/>
            <w:hideMark/>
          </w:tcPr>
          <w:p w14:paraId="77A30715" w14:textId="2E2E5BDE" w:rsidR="00854ADA" w:rsidRPr="00FF386D" w:rsidRDefault="00854ADA" w:rsidP="00854ADA">
            <w:pPr>
              <w:spacing w:after="0" w:line="240" w:lineRule="auto"/>
              <w:jc w:val="both"/>
              <w:rPr>
                <w:rFonts w:asciiTheme="majorHAnsi" w:eastAsia="Times New Roman" w:hAnsiTheme="majorHAnsi" w:cstheme="majorHAnsi"/>
                <w:color w:val="000000"/>
                <w:sz w:val="20"/>
                <w:szCs w:val="20"/>
                <w:lang w:eastAsia="en-GB"/>
              </w:rPr>
            </w:pPr>
            <w:r w:rsidRPr="00FF386D">
              <w:rPr>
                <w:rFonts w:ascii="Calibri Light" w:hAnsi="Calibri Light"/>
                <w:sz w:val="20"/>
              </w:rPr>
              <w:t>Број акција које се односе на рецикл</w:t>
            </w:r>
            <w:r w:rsidR="00E43A88" w:rsidRPr="00FF386D">
              <w:rPr>
                <w:rFonts w:ascii="Calibri Light" w:hAnsi="Calibri Light"/>
                <w:sz w:val="20"/>
              </w:rPr>
              <w:t>ажу</w:t>
            </w:r>
            <w:r w:rsidRPr="00FF386D">
              <w:rPr>
                <w:rFonts w:ascii="Calibri Light" w:hAnsi="Calibri Light"/>
                <w:sz w:val="20"/>
              </w:rPr>
              <w:t xml:space="preserve"> и секундарне сировине на годишњем нивоу</w:t>
            </w:r>
          </w:p>
        </w:tc>
      </w:tr>
      <w:tr w:rsidR="00854ADA" w:rsidRPr="00FF386D" w14:paraId="16FB984A" w14:textId="77777777" w:rsidTr="0057310C">
        <w:trPr>
          <w:trHeight w:val="343"/>
        </w:trPr>
        <w:tc>
          <w:tcPr>
            <w:tcW w:w="3262" w:type="dxa"/>
            <w:tcBorders>
              <w:top w:val="nil"/>
              <w:left w:val="single" w:sz="8" w:space="0" w:color="auto"/>
              <w:bottom w:val="single" w:sz="8" w:space="0" w:color="auto"/>
              <w:right w:val="single" w:sz="8" w:space="0" w:color="auto"/>
            </w:tcBorders>
            <w:shd w:val="clear" w:color="000000" w:fill="244062"/>
            <w:vAlign w:val="center"/>
            <w:hideMark/>
          </w:tcPr>
          <w:p w14:paraId="5769478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Обухваћене релевантне димензије Енергетске уније</w:t>
            </w:r>
          </w:p>
        </w:tc>
        <w:tc>
          <w:tcPr>
            <w:tcW w:w="6226" w:type="dxa"/>
            <w:gridSpan w:val="3"/>
            <w:tcBorders>
              <w:top w:val="single" w:sz="8" w:space="0" w:color="auto"/>
              <w:left w:val="nil"/>
              <w:bottom w:val="single" w:sz="8" w:space="0" w:color="auto"/>
              <w:right w:val="single" w:sz="8" w:space="0" w:color="000000"/>
            </w:tcBorders>
            <w:vAlign w:val="center"/>
          </w:tcPr>
          <w:p w14:paraId="7CE92349" w14:textId="143BA350" w:rsidR="00854ADA" w:rsidRPr="00FF386D" w:rsidRDefault="00854ADA" w:rsidP="00854ADA">
            <w:pPr>
              <w:numPr>
                <w:ilvl w:val="0"/>
                <w:numId w:val="184"/>
              </w:numPr>
              <w:spacing w:after="0" w:line="240" w:lineRule="auto"/>
              <w:contextualSpacing/>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Унутрашње енерг</w:t>
            </w:r>
            <w:r w:rsidR="00E43A88" w:rsidRPr="00FF386D">
              <w:rPr>
                <w:rFonts w:asciiTheme="majorHAnsi" w:eastAsia="Times New Roman" w:hAnsiTheme="majorHAnsi" w:cstheme="majorHAnsi"/>
                <w:color w:val="000000"/>
                <w:sz w:val="20"/>
                <w:szCs w:val="20"/>
                <w:lang w:eastAsia="en-GB"/>
              </w:rPr>
              <w:t>етско</w:t>
            </w:r>
            <w:r w:rsidR="00210317">
              <w:rPr>
                <w:rFonts w:asciiTheme="majorHAnsi" w:eastAsia="Times New Roman" w:hAnsiTheme="majorHAnsi" w:cstheme="majorHAnsi"/>
                <w:color w:val="000000"/>
                <w:sz w:val="20"/>
                <w:szCs w:val="20"/>
                <w:lang w:eastAsia="en-GB"/>
              </w:rPr>
              <w:t xml:space="preserve"> </w:t>
            </w:r>
            <w:r w:rsidR="00210317" w:rsidRPr="00210317">
              <w:rPr>
                <w:rFonts w:asciiTheme="majorHAnsi" w:eastAsia="Times New Roman" w:hAnsiTheme="majorHAnsi" w:cstheme="majorHAnsi"/>
                <w:color w:val="000000"/>
                <w:sz w:val="20"/>
                <w:szCs w:val="20"/>
                <w:lang w:eastAsia="en-GB"/>
              </w:rPr>
              <w:t>тржиште енергије</w:t>
            </w:r>
          </w:p>
        </w:tc>
      </w:tr>
      <w:tr w:rsidR="00854ADA" w:rsidRPr="00FF386D" w14:paraId="1478EA56" w14:textId="77777777" w:rsidTr="0057310C">
        <w:trPr>
          <w:trHeight w:val="450"/>
        </w:trPr>
        <w:tc>
          <w:tcPr>
            <w:tcW w:w="3262" w:type="dxa"/>
            <w:vMerge w:val="restart"/>
            <w:tcBorders>
              <w:top w:val="nil"/>
              <w:left w:val="single" w:sz="8" w:space="0" w:color="auto"/>
              <w:bottom w:val="single" w:sz="8" w:space="0" w:color="000000"/>
              <w:right w:val="single" w:sz="8" w:space="0" w:color="auto"/>
            </w:tcBorders>
            <w:shd w:val="clear" w:color="000000" w:fill="244062"/>
            <w:vAlign w:val="center"/>
            <w:hideMark/>
          </w:tcPr>
          <w:p w14:paraId="4D0E1098" w14:textId="27AD0D41" w:rsidR="00854ADA" w:rsidRPr="00FF386D" w:rsidRDefault="004D35DC" w:rsidP="00854ADA">
            <w:pPr>
              <w:spacing w:after="0" w:line="240" w:lineRule="auto"/>
              <w:rPr>
                <w:rFonts w:ascii="Calibri Light" w:eastAsia="Times New Roman" w:hAnsi="Calibri Light" w:cs="Calibri Light"/>
                <w:b/>
                <w:bCs/>
                <w:color w:val="FFFFFF"/>
                <w:sz w:val="20"/>
                <w:szCs w:val="20"/>
                <w:lang w:eastAsia="en-GB"/>
              </w:rPr>
            </w:pPr>
            <w:r w:rsidRPr="000A2AFE">
              <w:rPr>
                <w:rFonts w:ascii="Calibri Light" w:eastAsia="Times New Roman" w:hAnsi="Calibri Light" w:cs="Calibri Light"/>
                <w:b/>
                <w:bCs/>
                <w:color w:val="FFFFFF"/>
                <w:sz w:val="20"/>
                <w:szCs w:val="20"/>
                <w:lang w:eastAsia="en-GB"/>
              </w:rPr>
              <w:t xml:space="preserve">Политике Уније која су </w:t>
            </w:r>
            <w:r w:rsidR="003F1C65" w:rsidRPr="000A2AFE">
              <w:rPr>
                <w:rFonts w:ascii="Calibri Light" w:eastAsia="Times New Roman" w:hAnsi="Calibri Light" w:cs="Calibri Light"/>
                <w:b/>
                <w:bCs/>
                <w:color w:val="FFFFFF"/>
                <w:sz w:val="20"/>
                <w:szCs w:val="20"/>
                <w:lang w:eastAsia="en-GB"/>
              </w:rPr>
              <w:t>резултирале имплементацијом</w:t>
            </w:r>
            <w:r w:rsidR="00854ADA" w:rsidRPr="000A2AFE">
              <w:rPr>
                <w:rFonts w:ascii="Calibri Light" w:eastAsia="Times New Roman" w:hAnsi="Calibri Light" w:cs="Calibri Light"/>
                <w:b/>
                <w:bCs/>
                <w:color w:val="FFFFFF"/>
                <w:sz w:val="20"/>
                <w:szCs w:val="20"/>
                <w:lang w:eastAsia="en-GB"/>
              </w:rPr>
              <w:t xml:space="preserve"> политике и мере</w:t>
            </w:r>
          </w:p>
        </w:tc>
        <w:tc>
          <w:tcPr>
            <w:tcW w:w="6226" w:type="dxa"/>
            <w:gridSpan w:val="3"/>
            <w:vMerge w:val="restart"/>
            <w:tcBorders>
              <w:top w:val="single" w:sz="8" w:space="0" w:color="auto"/>
              <w:left w:val="single" w:sz="8" w:space="0" w:color="auto"/>
              <w:bottom w:val="single" w:sz="8" w:space="0" w:color="000000"/>
              <w:right w:val="single" w:sz="8" w:space="0" w:color="000000"/>
            </w:tcBorders>
            <w:vAlign w:val="center"/>
          </w:tcPr>
          <w:p w14:paraId="2F9F7C86" w14:textId="77777777" w:rsidR="00854ADA" w:rsidRPr="00FF386D" w:rsidRDefault="00854ADA" w:rsidP="00854ADA">
            <w:pPr>
              <w:numPr>
                <w:ilvl w:val="0"/>
                <w:numId w:val="101"/>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Европско законодавство</w:t>
            </w:r>
          </w:p>
        </w:tc>
      </w:tr>
      <w:tr w:rsidR="00854ADA" w:rsidRPr="00FF386D" w14:paraId="2F7D5C7A"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7DC2ADEB"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26" w:type="dxa"/>
            <w:gridSpan w:val="3"/>
            <w:vMerge/>
            <w:tcBorders>
              <w:top w:val="single" w:sz="8" w:space="0" w:color="auto"/>
              <w:left w:val="single" w:sz="8" w:space="0" w:color="auto"/>
              <w:bottom w:val="single" w:sz="8" w:space="0" w:color="000000"/>
              <w:right w:val="single" w:sz="8" w:space="0" w:color="000000"/>
            </w:tcBorders>
            <w:vAlign w:val="center"/>
          </w:tcPr>
          <w:p w14:paraId="309717EB"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4412BE26" w14:textId="77777777" w:rsidTr="0057310C">
        <w:trPr>
          <w:trHeight w:val="450"/>
        </w:trPr>
        <w:tc>
          <w:tcPr>
            <w:tcW w:w="0" w:type="auto"/>
            <w:vMerge/>
            <w:tcBorders>
              <w:top w:val="nil"/>
              <w:left w:val="single" w:sz="8" w:space="0" w:color="auto"/>
              <w:bottom w:val="single" w:sz="8" w:space="0" w:color="000000"/>
              <w:right w:val="single" w:sz="8" w:space="0" w:color="auto"/>
            </w:tcBorders>
            <w:vAlign w:val="center"/>
            <w:hideMark/>
          </w:tcPr>
          <w:p w14:paraId="77518072" w14:textId="77777777" w:rsidR="00854ADA" w:rsidRPr="00FF386D" w:rsidRDefault="00854ADA" w:rsidP="00854ADA">
            <w:pPr>
              <w:spacing w:after="0" w:line="256" w:lineRule="auto"/>
              <w:rPr>
                <w:rFonts w:ascii="Calibri Light" w:eastAsia="Times New Roman" w:hAnsi="Calibri Light" w:cs="Calibri Light"/>
                <w:b/>
                <w:bCs/>
                <w:color w:val="FFFFFF"/>
                <w:sz w:val="20"/>
                <w:szCs w:val="20"/>
                <w:lang w:eastAsia="en-GB"/>
              </w:rPr>
            </w:pPr>
          </w:p>
        </w:tc>
        <w:tc>
          <w:tcPr>
            <w:tcW w:w="6226" w:type="dxa"/>
            <w:gridSpan w:val="3"/>
            <w:vMerge/>
            <w:tcBorders>
              <w:top w:val="single" w:sz="8" w:space="0" w:color="auto"/>
              <w:left w:val="single" w:sz="8" w:space="0" w:color="auto"/>
              <w:bottom w:val="single" w:sz="8" w:space="0" w:color="000000"/>
              <w:right w:val="single" w:sz="8" w:space="0" w:color="000000"/>
            </w:tcBorders>
            <w:vAlign w:val="center"/>
          </w:tcPr>
          <w:p w14:paraId="0CB9843D" w14:textId="77777777" w:rsidR="00854ADA" w:rsidRPr="00FF386D" w:rsidRDefault="00854ADA" w:rsidP="00854ADA">
            <w:pPr>
              <w:spacing w:after="0" w:line="256" w:lineRule="auto"/>
              <w:rPr>
                <w:rFonts w:asciiTheme="majorHAnsi" w:eastAsia="Times New Roman" w:hAnsiTheme="majorHAnsi" w:cstheme="majorHAnsi"/>
                <w:color w:val="000000"/>
                <w:sz w:val="20"/>
                <w:szCs w:val="20"/>
                <w:lang w:eastAsia="en-GB"/>
              </w:rPr>
            </w:pPr>
          </w:p>
        </w:tc>
      </w:tr>
      <w:tr w:rsidR="00854ADA" w:rsidRPr="00FF386D" w14:paraId="143123C1" w14:textId="77777777" w:rsidTr="0057310C">
        <w:trPr>
          <w:trHeight w:val="249"/>
        </w:trPr>
        <w:tc>
          <w:tcPr>
            <w:tcW w:w="3262" w:type="dxa"/>
            <w:tcBorders>
              <w:top w:val="nil"/>
              <w:left w:val="single" w:sz="8" w:space="0" w:color="auto"/>
              <w:bottom w:val="single" w:sz="8" w:space="0" w:color="auto"/>
              <w:right w:val="single" w:sz="8" w:space="0" w:color="auto"/>
            </w:tcBorders>
            <w:shd w:val="clear" w:color="000000" w:fill="244062"/>
            <w:vAlign w:val="center"/>
            <w:hideMark/>
          </w:tcPr>
          <w:p w14:paraId="1E15952B"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Релевантни национални плански документ (правни, регулаторни акти, итд)</w:t>
            </w:r>
          </w:p>
        </w:tc>
        <w:tc>
          <w:tcPr>
            <w:tcW w:w="6226" w:type="dxa"/>
            <w:gridSpan w:val="3"/>
            <w:tcBorders>
              <w:top w:val="single" w:sz="8" w:space="0" w:color="auto"/>
              <w:left w:val="nil"/>
              <w:bottom w:val="single" w:sz="8" w:space="0" w:color="auto"/>
              <w:right w:val="single" w:sz="8" w:space="0" w:color="000000"/>
            </w:tcBorders>
            <w:vAlign w:val="center"/>
          </w:tcPr>
          <w:p w14:paraId="3D085289" w14:textId="77777777" w:rsidR="00854ADA" w:rsidRPr="000A2AFE" w:rsidRDefault="00854ADA">
            <w:pPr>
              <w:numPr>
                <w:ilvl w:val="0"/>
                <w:numId w:val="245"/>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Закон о Фонду за науку</w:t>
            </w:r>
          </w:p>
          <w:p w14:paraId="0353294A" w14:textId="77777777" w:rsidR="00854ADA" w:rsidRPr="000A2AFE" w:rsidRDefault="00854ADA">
            <w:pPr>
              <w:numPr>
                <w:ilvl w:val="0"/>
                <w:numId w:val="245"/>
              </w:numPr>
              <w:spacing w:after="0" w:line="240" w:lineRule="auto"/>
              <w:contextualSpacing/>
              <w:rPr>
                <w:rFonts w:ascii="Calibri Light" w:eastAsia="Times New Roman" w:hAnsi="Calibri Light" w:cs="Calibri Light"/>
                <w:color w:val="000000"/>
                <w:sz w:val="20"/>
                <w:szCs w:val="20"/>
                <w:lang w:eastAsia="en-GB"/>
              </w:rPr>
            </w:pPr>
            <w:r w:rsidRPr="000A2AFE">
              <w:rPr>
                <w:rFonts w:ascii="Calibri Light" w:eastAsia="Times New Roman" w:hAnsi="Calibri Light" w:cs="Calibri Light"/>
                <w:color w:val="000000"/>
                <w:sz w:val="20"/>
                <w:szCs w:val="20"/>
                <w:lang w:eastAsia="en-GB"/>
              </w:rPr>
              <w:t>Закон о науци и истраживању</w:t>
            </w:r>
          </w:p>
          <w:p w14:paraId="2863B55B" w14:textId="77777777" w:rsidR="00854ADA" w:rsidRPr="00FF386D" w:rsidRDefault="00854ADA" w:rsidP="00854ADA">
            <w:pPr>
              <w:numPr>
                <w:ilvl w:val="0"/>
                <w:numId w:val="100"/>
              </w:numPr>
              <w:spacing w:after="0" w:line="240" w:lineRule="auto"/>
              <w:contextualSpacing/>
              <w:rPr>
                <w:rFonts w:asciiTheme="majorHAnsi" w:eastAsia="Times New Roman" w:hAnsiTheme="majorHAnsi" w:cstheme="majorHAnsi"/>
                <w:color w:val="000000"/>
                <w:sz w:val="20"/>
                <w:szCs w:val="20"/>
                <w:lang w:eastAsia="en-GB"/>
              </w:rPr>
            </w:pPr>
            <w:r w:rsidRPr="000A2AFE">
              <w:rPr>
                <w:rFonts w:ascii="Calibri Light" w:eastAsia="Times New Roman" w:hAnsi="Calibri Light" w:cs="Calibri Light"/>
                <w:color w:val="000000"/>
                <w:sz w:val="20"/>
                <w:szCs w:val="20"/>
                <w:lang w:eastAsia="en-GB"/>
              </w:rPr>
              <w:t>Стратегија индустријске политике (2021-2030)</w:t>
            </w:r>
          </w:p>
        </w:tc>
      </w:tr>
      <w:tr w:rsidR="00854ADA" w:rsidRPr="00FF386D" w14:paraId="3F78C6C3" w14:textId="77777777" w:rsidTr="0057310C">
        <w:trPr>
          <w:trHeight w:val="315"/>
        </w:trPr>
        <w:tc>
          <w:tcPr>
            <w:tcW w:w="3262" w:type="dxa"/>
            <w:tcBorders>
              <w:top w:val="nil"/>
              <w:left w:val="single" w:sz="8" w:space="0" w:color="auto"/>
              <w:bottom w:val="single" w:sz="8" w:space="0" w:color="auto"/>
              <w:right w:val="single" w:sz="8" w:space="0" w:color="auto"/>
            </w:tcBorders>
            <w:shd w:val="clear" w:color="000000" w:fill="244062"/>
            <w:vAlign w:val="center"/>
            <w:hideMark/>
          </w:tcPr>
          <w:p w14:paraId="3C35565D"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hAnsiTheme="majorHAnsi" w:cstheme="majorHAnsi"/>
                <w:b/>
                <w:bCs/>
                <w:sz w:val="20"/>
                <w:szCs w:val="20"/>
              </w:rPr>
              <w:t>Трошкови имплементације</w:t>
            </w:r>
          </w:p>
        </w:tc>
        <w:tc>
          <w:tcPr>
            <w:tcW w:w="6226" w:type="dxa"/>
            <w:gridSpan w:val="3"/>
            <w:tcBorders>
              <w:top w:val="single" w:sz="8" w:space="0" w:color="auto"/>
              <w:left w:val="nil"/>
              <w:bottom w:val="single" w:sz="8" w:space="0" w:color="auto"/>
              <w:right w:val="single" w:sz="8" w:space="0" w:color="000000"/>
            </w:tcBorders>
            <w:vAlign w:val="center"/>
          </w:tcPr>
          <w:p w14:paraId="653F10EA" w14:textId="77777777" w:rsidR="00854ADA" w:rsidRPr="00FF386D" w:rsidRDefault="00854ADA" w:rsidP="00854ADA">
            <w:pPr>
              <w:spacing w:after="0" w:line="240" w:lineRule="auto"/>
              <w:rPr>
                <w:rFonts w:asciiTheme="majorHAnsi" w:eastAsia="Times New Roman" w:hAnsiTheme="majorHAnsi" w:cstheme="majorHAnsi"/>
                <w:color w:val="000000"/>
                <w:sz w:val="20"/>
                <w:szCs w:val="20"/>
                <w:lang w:eastAsia="en-GB"/>
              </w:rPr>
            </w:pPr>
            <w:r w:rsidRPr="00FF386D">
              <w:rPr>
                <w:rFonts w:asciiTheme="majorHAnsi" w:eastAsia="Times New Roman" w:hAnsiTheme="majorHAnsi" w:cstheme="majorHAnsi"/>
                <w:color w:val="000000"/>
                <w:sz w:val="20"/>
                <w:szCs w:val="20"/>
                <w:lang w:eastAsia="en-GB"/>
              </w:rPr>
              <w:t>4,5 милиона евра</w:t>
            </w:r>
          </w:p>
        </w:tc>
      </w:tr>
      <w:tr w:rsidR="00854ADA" w:rsidRPr="00FF386D" w14:paraId="1EC33A15" w14:textId="77777777" w:rsidTr="0057310C">
        <w:trPr>
          <w:trHeight w:val="315"/>
        </w:trPr>
        <w:tc>
          <w:tcPr>
            <w:tcW w:w="3262" w:type="dxa"/>
            <w:tcBorders>
              <w:top w:val="nil"/>
              <w:left w:val="single" w:sz="8" w:space="0" w:color="auto"/>
              <w:bottom w:val="single" w:sz="8" w:space="0" w:color="auto"/>
              <w:right w:val="single" w:sz="8" w:space="0" w:color="auto"/>
            </w:tcBorders>
            <w:shd w:val="clear" w:color="000000" w:fill="244062"/>
            <w:vAlign w:val="center"/>
            <w:hideMark/>
          </w:tcPr>
          <w:p w14:paraId="176DF3F2" w14:textId="77777777" w:rsidR="00854ADA" w:rsidRPr="00FF386D" w:rsidRDefault="00854ADA" w:rsidP="00854ADA">
            <w:pPr>
              <w:spacing w:after="0" w:line="240" w:lineRule="auto"/>
              <w:rPr>
                <w:rFonts w:ascii="Calibri Light" w:eastAsia="Times New Roman" w:hAnsi="Calibri Light" w:cs="Calibri Light"/>
                <w:b/>
                <w:bCs/>
                <w:color w:val="FFFFFF"/>
                <w:sz w:val="20"/>
                <w:szCs w:val="20"/>
                <w:lang w:eastAsia="en-GB"/>
              </w:rPr>
            </w:pPr>
            <w:r w:rsidRPr="00FF386D">
              <w:rPr>
                <w:rFonts w:asciiTheme="majorHAnsi" w:eastAsia="Times New Roman" w:hAnsiTheme="majorHAnsi" w:cstheme="majorHAnsi"/>
                <w:b/>
                <w:bCs/>
                <w:color w:val="FFFFFF"/>
                <w:sz w:val="20"/>
                <w:szCs w:val="20"/>
                <w:lang w:eastAsia="en-GB"/>
              </w:rPr>
              <w:t>Извор(и) финансирања</w:t>
            </w:r>
          </w:p>
        </w:tc>
        <w:tc>
          <w:tcPr>
            <w:tcW w:w="6226" w:type="dxa"/>
            <w:gridSpan w:val="3"/>
            <w:tcBorders>
              <w:top w:val="single" w:sz="8" w:space="0" w:color="auto"/>
              <w:left w:val="nil"/>
              <w:bottom w:val="single" w:sz="8" w:space="0" w:color="auto"/>
              <w:right w:val="single" w:sz="8" w:space="0" w:color="000000"/>
            </w:tcBorders>
            <w:vAlign w:val="center"/>
            <w:hideMark/>
          </w:tcPr>
          <w:p w14:paraId="70343ADE" w14:textId="65867358" w:rsidR="00854ADA" w:rsidRPr="00FF386D" w:rsidRDefault="00CE229F" w:rsidP="00854ADA">
            <w:pPr>
              <w:spacing w:after="0" w:line="240" w:lineRule="auto"/>
              <w:rPr>
                <w:rFonts w:asciiTheme="majorHAnsi" w:eastAsia="Times New Roman" w:hAnsiTheme="majorHAnsi" w:cstheme="majorHAnsi"/>
                <w:color w:val="000000"/>
                <w:sz w:val="20"/>
                <w:szCs w:val="20"/>
                <w:lang w:eastAsia="en-GB"/>
              </w:rPr>
            </w:pPr>
            <w:r w:rsidRPr="00CE229F">
              <w:rPr>
                <w:rFonts w:asciiTheme="majorHAnsi" w:eastAsia="Times New Roman" w:hAnsiTheme="majorHAnsi" w:cstheme="majorHAnsi"/>
                <w:color w:val="000000"/>
                <w:sz w:val="20"/>
                <w:szCs w:val="20"/>
                <w:lang w:eastAsia="en-GB"/>
              </w:rPr>
              <w:t>Фондови ЕУ, сопствена и буџетска средства</w:t>
            </w:r>
          </w:p>
        </w:tc>
      </w:tr>
    </w:tbl>
    <w:p w14:paraId="4297EC9A" w14:textId="5F41AEF3" w:rsidR="00854ADA" w:rsidRPr="00FF386D" w:rsidRDefault="00854ADA" w:rsidP="00854ADA">
      <w:pPr>
        <w:spacing w:before="120" w:after="120" w:line="240" w:lineRule="auto"/>
        <w:jc w:val="both"/>
        <w:rPr>
          <w:rFonts w:asciiTheme="majorHAnsi" w:eastAsia="Times New Roman" w:hAnsiTheme="majorHAnsi" w:cstheme="majorHAnsi"/>
          <w:lang w:eastAsia="el-GR"/>
        </w:rPr>
      </w:pPr>
      <w:r w:rsidRPr="00FF386D">
        <w:rPr>
          <w:rFonts w:asciiTheme="majorHAnsi" w:eastAsia="Times New Roman" w:hAnsiTheme="majorHAnsi" w:cstheme="majorHAnsi"/>
          <w:lang w:eastAsia="el-GR"/>
        </w:rPr>
        <w:lastRenderedPageBreak/>
        <w:t xml:space="preserve">Осим мера наведених у претходним табелама, следеће мере у оквиру осталих димензија утичу и на димензију истраживања, иновација и конкурентности и доприносе </w:t>
      </w:r>
      <w:r w:rsidR="00E43A88" w:rsidRPr="00FF386D">
        <w:rPr>
          <w:rFonts w:asciiTheme="majorHAnsi" w:eastAsia="Times New Roman" w:hAnsiTheme="majorHAnsi" w:cstheme="majorHAnsi"/>
          <w:lang w:eastAsia="el-GR"/>
        </w:rPr>
        <w:t xml:space="preserve">остварењу </w:t>
      </w:r>
      <w:r w:rsidRPr="00FF386D">
        <w:rPr>
          <w:rFonts w:asciiTheme="majorHAnsi" w:eastAsia="Times New Roman" w:hAnsiTheme="majorHAnsi" w:cstheme="majorHAnsi"/>
          <w:lang w:eastAsia="el-GR"/>
        </w:rPr>
        <w:t>циљева истраживања, иновација и конкурентности:</w:t>
      </w:r>
    </w:p>
    <w:p w14:paraId="595CB9E5" w14:textId="77777777" w:rsidR="00854ADA" w:rsidRPr="00FF386D" w:rsidRDefault="00854ADA" w:rsidP="00672F1C">
      <w:pPr>
        <w:pStyle w:val="ListParagraph"/>
        <w:widowControl w:val="0"/>
        <w:numPr>
          <w:ilvl w:val="0"/>
          <w:numId w:val="100"/>
        </w:numPr>
        <w:spacing w:after="0" w:line="276" w:lineRule="auto"/>
        <w:jc w:val="both"/>
        <w:rPr>
          <w:rFonts w:asciiTheme="majorHAnsi" w:eastAsia="Times New Roman" w:hAnsiTheme="majorHAnsi" w:cstheme="majorHAnsi"/>
          <w:i/>
          <w:iCs/>
          <w:color w:val="000000"/>
          <w:u w:val="single"/>
          <w:lang w:eastAsia="en-GB"/>
        </w:rPr>
      </w:pPr>
      <w:r w:rsidRPr="00FF386D">
        <w:rPr>
          <w:rFonts w:asciiTheme="majorHAnsi" w:eastAsia="Times New Roman" w:hAnsiTheme="majorHAnsi" w:cstheme="majorHAnsi"/>
          <w:lang w:eastAsia="en-GB"/>
        </w:rPr>
        <w:t xml:space="preserve">Димензија енергетска ефикасност: </w:t>
      </w:r>
      <w:r w:rsidRPr="00FF386D">
        <w:rPr>
          <w:rFonts w:asciiTheme="majorHAnsi" w:eastAsia="Times New Roman" w:hAnsiTheme="majorHAnsi" w:cstheme="majorHAnsi"/>
          <w:b/>
          <w:bCs/>
          <w:lang w:eastAsia="en-GB"/>
        </w:rPr>
        <w:t>MП_EE38</w:t>
      </w:r>
    </w:p>
    <w:p w14:paraId="0F3A64B7" w14:textId="77777777" w:rsidR="00672F1C" w:rsidRPr="00FF386D" w:rsidRDefault="00672F1C" w:rsidP="00672F1C">
      <w:pPr>
        <w:pStyle w:val="ListParagraph"/>
        <w:widowControl w:val="0"/>
        <w:spacing w:after="0" w:line="276" w:lineRule="auto"/>
        <w:jc w:val="both"/>
        <w:rPr>
          <w:rFonts w:asciiTheme="majorHAnsi" w:eastAsia="Times New Roman" w:hAnsiTheme="majorHAnsi" w:cstheme="majorHAnsi"/>
          <w:i/>
          <w:iCs/>
          <w:color w:val="000000"/>
          <w:u w:val="single"/>
          <w:lang w:eastAsia="en-GB"/>
        </w:rPr>
      </w:pPr>
    </w:p>
    <w:p w14:paraId="555459E3" w14:textId="260EA4BD" w:rsidR="00854ADA" w:rsidRPr="00FF386D" w:rsidRDefault="00854ADA">
      <w:pPr>
        <w:pStyle w:val="ListParagraph"/>
        <w:keepNext/>
        <w:keepLines/>
        <w:numPr>
          <w:ilvl w:val="0"/>
          <w:numId w:val="292"/>
        </w:numPr>
        <w:spacing w:before="200" w:after="0" w:line="240" w:lineRule="auto"/>
        <w:outlineLvl w:val="3"/>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t xml:space="preserve">Сарадња са другим државама чланицама у овој области, укључујући информације о томе како се циљеви и политике Плана </w:t>
      </w:r>
      <w:r w:rsidRPr="00FF386D">
        <w:rPr>
          <w:rFonts w:asciiTheme="majorHAnsi" w:eastAsiaTheme="majorEastAsia" w:hAnsiTheme="majorHAnsi" w:cstheme="majorBidi"/>
          <w:b/>
          <w:bCs/>
          <w:i/>
          <w:color w:val="01406B"/>
          <w:szCs w:val="24"/>
        </w:rPr>
        <w:t>SET</w:t>
      </w:r>
      <w:r w:rsidRPr="00FF386D">
        <w:rPr>
          <w:rFonts w:asciiTheme="majorHAnsi" w:eastAsiaTheme="majorEastAsia" w:hAnsiTheme="majorHAnsi" w:cstheme="majorBidi"/>
          <w:b/>
          <w:bCs/>
          <w:iCs/>
          <w:color w:val="01406B"/>
          <w:szCs w:val="24"/>
        </w:rPr>
        <w:t xml:space="preserve"> пре</w:t>
      </w:r>
      <w:r w:rsidR="00672F1C" w:rsidRPr="00FF386D">
        <w:rPr>
          <w:rFonts w:asciiTheme="majorHAnsi" w:eastAsiaTheme="majorEastAsia" w:hAnsiTheme="majorHAnsi" w:cstheme="majorBidi"/>
          <w:b/>
          <w:bCs/>
          <w:iCs/>
          <w:color w:val="01406B"/>
          <w:szCs w:val="24"/>
        </w:rPr>
        <w:t>носе</w:t>
      </w:r>
      <w:r w:rsidRPr="00FF386D">
        <w:rPr>
          <w:rFonts w:asciiTheme="majorHAnsi" w:eastAsiaTheme="majorEastAsia" w:hAnsiTheme="majorHAnsi" w:cstheme="majorBidi"/>
          <w:b/>
          <w:bCs/>
          <w:iCs/>
          <w:color w:val="01406B"/>
          <w:szCs w:val="24"/>
        </w:rPr>
        <w:t xml:space="preserve"> у национални контекст</w:t>
      </w:r>
    </w:p>
    <w:p w14:paraId="20092F2F" w14:textId="40C7E8F6"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У циљу подстицања економичног развоја нискоугљеничких технологија, Република Србија ће се ослањати на план </w:t>
      </w:r>
      <w:r w:rsidRPr="00FF386D">
        <w:rPr>
          <w:rFonts w:asciiTheme="majorHAnsi" w:hAnsiTheme="majorHAnsi" w:cstheme="majorHAnsi"/>
          <w:i/>
          <w:iCs/>
          <w:color w:val="000000"/>
        </w:rPr>
        <w:t xml:space="preserve">SET </w:t>
      </w:r>
      <w:r w:rsidR="00E43A88" w:rsidRPr="00FF386D">
        <w:rPr>
          <w:rFonts w:asciiTheme="majorHAnsi" w:hAnsiTheme="majorHAnsi" w:cstheme="majorHAnsi"/>
          <w:color w:val="000000"/>
        </w:rPr>
        <w:t>који је</w:t>
      </w:r>
      <w:r w:rsidR="00E43A88" w:rsidRPr="00FF386D">
        <w:rPr>
          <w:rFonts w:asciiTheme="majorHAnsi" w:hAnsiTheme="majorHAnsi" w:cstheme="majorHAnsi"/>
          <w:i/>
          <w:iCs/>
          <w:color w:val="000000"/>
        </w:rPr>
        <w:t xml:space="preserve"> </w:t>
      </w:r>
      <w:r w:rsidRPr="00FF386D">
        <w:rPr>
          <w:rFonts w:asciiTheme="majorHAnsi" w:hAnsiTheme="majorHAnsi" w:cstheme="majorHAnsi"/>
          <w:color w:val="000000"/>
        </w:rPr>
        <w:t>развијен на нивоу ЕУ</w:t>
      </w:r>
      <w:r w:rsidR="00E43A88" w:rsidRPr="00FF386D">
        <w:rPr>
          <w:rFonts w:asciiTheme="majorHAnsi" w:hAnsiTheme="majorHAnsi" w:cstheme="majorHAnsi"/>
          <w:color w:val="000000"/>
        </w:rPr>
        <w:t xml:space="preserve"> и који</w:t>
      </w:r>
      <w:r w:rsidRPr="00FF386D">
        <w:rPr>
          <w:rFonts w:asciiTheme="majorHAnsi" w:hAnsiTheme="majorHAnsi" w:cstheme="majorHAnsi"/>
          <w:color w:val="000000"/>
        </w:rPr>
        <w:t xml:space="preserve"> подстиче међусекторску сарадњу у области иновација.</w:t>
      </w:r>
    </w:p>
    <w:p w14:paraId="1B63F020" w14:textId="751CDD20" w:rsidR="00854ADA" w:rsidRPr="00FF386D" w:rsidRDefault="00854ADA" w:rsidP="00854ADA">
      <w:pPr>
        <w:spacing w:before="160"/>
        <w:jc w:val="both"/>
        <w:rPr>
          <w:rFonts w:asciiTheme="majorHAnsi" w:hAnsiTheme="majorHAnsi" w:cstheme="majorHAnsi"/>
          <w:color w:val="000000"/>
        </w:rPr>
      </w:pPr>
      <w:r w:rsidRPr="00FF386D">
        <w:rPr>
          <w:rFonts w:asciiTheme="majorHAnsi" w:hAnsiTheme="majorHAnsi" w:cstheme="majorHAnsi"/>
          <w:color w:val="000000"/>
        </w:rPr>
        <w:t xml:space="preserve">Република Србија је од 2014. године учетворостручила свој учинак у програму Хоризонт 2020, као најуспешнија </w:t>
      </w:r>
      <w:r w:rsidR="00DD5F82" w:rsidRPr="00FF386D">
        <w:rPr>
          <w:rFonts w:asciiTheme="majorHAnsi" w:hAnsiTheme="majorHAnsi" w:cstheme="majorHAnsi"/>
          <w:color w:val="000000"/>
        </w:rPr>
        <w:t>земља региона</w:t>
      </w:r>
      <w:r w:rsidRPr="00FF386D">
        <w:rPr>
          <w:rFonts w:asciiTheme="majorHAnsi" w:hAnsiTheme="majorHAnsi" w:cstheme="majorHAnsi"/>
          <w:color w:val="000000"/>
        </w:rPr>
        <w:t xml:space="preserve"> Западног Балкана. Области у којима посебно бележи успех у Хоризонту 2020 укључују информационо-комуникационе технологије (ИКТ) и пољопривредна истраживања, као и научну сарадњу у области енергетике. Националне активности за подршку иновацијама су постале веома успешне, а допуњава их Стратегија паметне специјализације.</w:t>
      </w:r>
    </w:p>
    <w:p w14:paraId="63FFAB21" w14:textId="7BFE4639" w:rsidR="00854ADA" w:rsidRPr="00FF386D" w:rsidRDefault="00E43A88" w:rsidP="00854ADA">
      <w:pPr>
        <w:spacing w:before="160"/>
        <w:jc w:val="both"/>
        <w:rPr>
          <w:rFonts w:asciiTheme="majorHAnsi" w:hAnsiTheme="majorHAnsi" w:cstheme="majorHAnsi"/>
          <w:color w:val="000000"/>
        </w:rPr>
      </w:pPr>
      <w:r w:rsidRPr="00FF386D">
        <w:rPr>
          <w:rFonts w:asciiTheme="majorHAnsi" w:hAnsiTheme="majorHAnsi" w:cstheme="majorHAnsi"/>
          <w:color w:val="000000"/>
        </w:rPr>
        <w:t>Поред тога</w:t>
      </w:r>
      <w:r w:rsidR="00854ADA" w:rsidRPr="00FF386D">
        <w:rPr>
          <w:rFonts w:asciiTheme="majorHAnsi" w:hAnsiTheme="majorHAnsi" w:cstheme="majorHAnsi"/>
          <w:color w:val="000000"/>
        </w:rPr>
        <w:t>, Република Србија је развила интензивну сарадњу са Заједничким истраживачким центром (</w:t>
      </w:r>
      <w:r w:rsidR="00854ADA" w:rsidRPr="00FF386D">
        <w:rPr>
          <w:rFonts w:asciiTheme="majorHAnsi" w:hAnsiTheme="majorHAnsi" w:cstheme="majorHAnsi"/>
          <w:i/>
          <w:iCs/>
          <w:color w:val="000000"/>
        </w:rPr>
        <w:t>JRC</w:t>
      </w:r>
      <w:r w:rsidR="00854ADA" w:rsidRPr="00FF386D">
        <w:rPr>
          <w:rFonts w:asciiTheme="majorHAnsi" w:hAnsiTheme="majorHAnsi" w:cstheme="majorHAnsi"/>
          <w:color w:val="000000"/>
        </w:rPr>
        <w:t>) Европске комисије на више нивоа, посебно у енергетском сектору, а такође показује и висок ниво активности у програму ЕУРЕКА.</w:t>
      </w:r>
    </w:p>
    <w:p w14:paraId="6254F0F8" w14:textId="039F0939" w:rsidR="00854ADA" w:rsidRPr="00FF386D" w:rsidRDefault="00854ADA">
      <w:pPr>
        <w:pStyle w:val="ListParagraph"/>
        <w:keepNext/>
        <w:keepLines/>
        <w:numPr>
          <w:ilvl w:val="0"/>
          <w:numId w:val="293"/>
        </w:numPr>
        <w:spacing w:before="200" w:after="0" w:line="240" w:lineRule="auto"/>
        <w:outlineLvl w:val="3"/>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t>Мере финансирања, укључујући подршку ЕУ и коришћење фондова ЕУ</w:t>
      </w:r>
      <w:r w:rsidR="00E43A88" w:rsidRPr="00FF386D">
        <w:rPr>
          <w:rFonts w:asciiTheme="majorHAnsi" w:eastAsiaTheme="majorEastAsia" w:hAnsiTheme="majorHAnsi" w:cstheme="majorBidi"/>
          <w:b/>
          <w:bCs/>
          <w:iCs/>
          <w:color w:val="01406B"/>
          <w:szCs w:val="24"/>
        </w:rPr>
        <w:t xml:space="preserve">, </w:t>
      </w:r>
      <w:r w:rsidRPr="00FF386D">
        <w:rPr>
          <w:rFonts w:asciiTheme="majorHAnsi" w:eastAsiaTheme="majorEastAsia" w:hAnsiTheme="majorHAnsi" w:cstheme="majorBidi"/>
          <w:b/>
          <w:bCs/>
          <w:iCs/>
          <w:color w:val="01406B"/>
          <w:szCs w:val="24"/>
        </w:rPr>
        <w:t>у овој области на националном нивоу, уколико је применљиво</w:t>
      </w:r>
    </w:p>
    <w:p w14:paraId="6FAD4E15" w14:textId="77777777" w:rsidR="00854ADA" w:rsidRPr="00FF386D" w:rsidRDefault="00854ADA" w:rsidP="00854ADA"/>
    <w:p w14:paraId="66995C5C" w14:textId="5F9C8FD5" w:rsidR="00854ADA" w:rsidRPr="00FF386D" w:rsidRDefault="00854ADA" w:rsidP="00854ADA">
      <w:pPr>
        <w:spacing w:after="120"/>
        <w:jc w:val="both"/>
        <w:rPr>
          <w:rFonts w:asciiTheme="majorHAnsi" w:hAnsiTheme="majorHAnsi" w:cstheme="majorHAnsi"/>
          <w:color w:val="000000"/>
        </w:rPr>
      </w:pPr>
      <w:r w:rsidRPr="00FF386D">
        <w:rPr>
          <w:rFonts w:asciiTheme="majorHAnsi" w:hAnsiTheme="majorHAnsi" w:cstheme="majorHAnsi"/>
          <w:color w:val="000000"/>
        </w:rPr>
        <w:t>Кључни финансијски инструменти у области истраживања, иновација и конкурентности у енергетици обухватају:</w:t>
      </w:r>
    </w:p>
    <w:p w14:paraId="24792272" w14:textId="6918E59D" w:rsidR="00854ADA" w:rsidRPr="00FF386D" w:rsidRDefault="00672F1C" w:rsidP="00854ADA">
      <w:pPr>
        <w:numPr>
          <w:ilvl w:val="0"/>
          <w:numId w:val="219"/>
        </w:numPr>
        <w:spacing w:before="120" w:after="120" w:line="240" w:lineRule="auto"/>
        <w:ind w:left="714" w:hanging="357"/>
        <w:jc w:val="both"/>
        <w:rPr>
          <w:rFonts w:asciiTheme="majorHAnsi" w:hAnsiTheme="majorHAnsi" w:cstheme="majorHAnsi"/>
        </w:rPr>
      </w:pPr>
      <w:r w:rsidRPr="00FF386D">
        <w:rPr>
          <w:rFonts w:asciiTheme="majorHAnsi" w:hAnsiTheme="majorHAnsi" w:cstheme="majorHAnsi"/>
          <w:color w:val="000000"/>
        </w:rPr>
        <w:t>Расположива буџетска и сопствена средства</w:t>
      </w:r>
    </w:p>
    <w:p w14:paraId="562B2DE7" w14:textId="4B3256AB" w:rsidR="00854ADA" w:rsidRPr="00FF386D" w:rsidRDefault="00854ADA" w:rsidP="00854ADA">
      <w:pPr>
        <w:numPr>
          <w:ilvl w:val="0"/>
          <w:numId w:val="219"/>
        </w:numPr>
        <w:spacing w:before="120" w:after="120" w:line="240" w:lineRule="auto"/>
        <w:ind w:left="714" w:hanging="357"/>
        <w:jc w:val="both"/>
        <w:rPr>
          <w:rFonts w:asciiTheme="majorHAnsi" w:hAnsiTheme="majorHAnsi" w:cstheme="majorHAnsi"/>
        </w:rPr>
      </w:pPr>
      <w:r w:rsidRPr="00FF386D">
        <w:rPr>
          <w:rFonts w:asciiTheme="majorHAnsi" w:hAnsiTheme="majorHAnsi" w:cstheme="majorHAnsi"/>
          <w:color w:val="000000"/>
        </w:rPr>
        <w:t>Оперативне програме у оквиру новог програмског периода 2021-2027</w:t>
      </w:r>
      <w:r w:rsidR="00E43A88" w:rsidRPr="00FF386D">
        <w:rPr>
          <w:rFonts w:asciiTheme="majorHAnsi" w:hAnsiTheme="majorHAnsi" w:cstheme="majorHAnsi"/>
          <w:color w:val="000000"/>
        </w:rPr>
        <w:t>. године</w:t>
      </w:r>
    </w:p>
    <w:p w14:paraId="518CE37D" w14:textId="77777777" w:rsidR="00854ADA" w:rsidRPr="00FF386D" w:rsidRDefault="00854ADA" w:rsidP="00854ADA">
      <w:pPr>
        <w:numPr>
          <w:ilvl w:val="0"/>
          <w:numId w:val="219"/>
        </w:numPr>
        <w:spacing w:before="120" w:after="120" w:line="240" w:lineRule="auto"/>
        <w:ind w:left="714" w:hanging="357"/>
        <w:jc w:val="both"/>
        <w:rPr>
          <w:rFonts w:asciiTheme="majorHAnsi" w:hAnsiTheme="majorHAnsi" w:cstheme="majorHAnsi"/>
        </w:rPr>
      </w:pPr>
      <w:r w:rsidRPr="00FF386D">
        <w:rPr>
          <w:rFonts w:asciiTheme="majorHAnsi" w:hAnsiTheme="majorHAnsi" w:cstheme="majorHAnsi"/>
          <w:color w:val="000000"/>
        </w:rPr>
        <w:t>Посебне оперативне фондове са јавним и приватним капиталом</w:t>
      </w:r>
    </w:p>
    <w:p w14:paraId="250013D2" w14:textId="77777777" w:rsidR="00854ADA" w:rsidRPr="00FF386D" w:rsidRDefault="00854ADA" w:rsidP="00854ADA">
      <w:pPr>
        <w:numPr>
          <w:ilvl w:val="0"/>
          <w:numId w:val="219"/>
        </w:numPr>
        <w:spacing w:before="120" w:after="0" w:line="240" w:lineRule="auto"/>
        <w:ind w:left="714" w:hanging="357"/>
        <w:jc w:val="both"/>
      </w:pPr>
      <w:r w:rsidRPr="00FF386D">
        <w:rPr>
          <w:rFonts w:asciiTheme="majorHAnsi" w:hAnsiTheme="majorHAnsi" w:cstheme="majorHAnsi"/>
          <w:color w:val="000000"/>
        </w:rPr>
        <w:t>Националне, европске, транснационалне и међународне програме за подршку истраживању и имплементацији иновативних и пилот апликација.</w:t>
      </w:r>
    </w:p>
    <w:p w14:paraId="0F0517DD" w14:textId="77777777" w:rsidR="00854ADA" w:rsidRPr="00FF386D" w:rsidRDefault="00854ADA" w:rsidP="00854ADA">
      <w:pPr>
        <w:spacing w:after="120"/>
        <w:jc w:val="both"/>
        <w:rPr>
          <w:rFonts w:cstheme="minorHAnsi"/>
          <w:color w:val="000000"/>
        </w:rPr>
      </w:pPr>
    </w:p>
    <w:p w14:paraId="51713214" w14:textId="77777777" w:rsidR="00854ADA" w:rsidRPr="00FF386D" w:rsidRDefault="00854ADA" w:rsidP="00854ADA">
      <w:pPr>
        <w:spacing w:before="120" w:after="120" w:line="240" w:lineRule="auto"/>
        <w:jc w:val="both"/>
        <w:rPr>
          <w:rFonts w:asciiTheme="majorHAnsi" w:eastAsia="Times New Roman" w:hAnsiTheme="majorHAnsi" w:cstheme="majorHAnsi"/>
          <w:sz w:val="52"/>
          <w:szCs w:val="52"/>
          <w:highlight w:val="green"/>
          <w:lang w:eastAsia="el-GR"/>
        </w:rPr>
      </w:pPr>
      <w:r w:rsidRPr="00FF386D">
        <w:rPr>
          <w:rFonts w:ascii="Calibri" w:eastAsia="Times New Roman" w:hAnsi="Calibri" w:cs="Arial"/>
          <w:highlight w:val="green"/>
          <w:lang w:eastAsia="el-GR"/>
        </w:rPr>
        <w:br w:type="page"/>
      </w:r>
    </w:p>
    <w:p w14:paraId="6193ADC0" w14:textId="77777777" w:rsidR="00F35891" w:rsidRPr="00FF386D" w:rsidRDefault="00F35891" w:rsidP="00351DC9">
      <w:pPr>
        <w:rPr>
          <w:rFonts w:asciiTheme="majorHAnsi" w:hAnsiTheme="majorHAnsi" w:cstheme="majorHAnsi"/>
          <w:sz w:val="52"/>
          <w:szCs w:val="52"/>
          <w:highlight w:val="green"/>
          <w:lang w:eastAsia="el-GR"/>
        </w:rPr>
      </w:pPr>
    </w:p>
    <w:p w14:paraId="797D8B9E" w14:textId="77777777" w:rsidR="00F35891" w:rsidRPr="00FF386D" w:rsidRDefault="00F35891" w:rsidP="00351DC9">
      <w:pPr>
        <w:rPr>
          <w:rFonts w:asciiTheme="majorHAnsi" w:hAnsiTheme="majorHAnsi" w:cstheme="majorHAnsi"/>
          <w:sz w:val="52"/>
          <w:szCs w:val="52"/>
          <w:highlight w:val="green"/>
          <w:lang w:eastAsia="el-GR"/>
        </w:rPr>
      </w:pPr>
    </w:p>
    <w:p w14:paraId="606229AD" w14:textId="77777777" w:rsidR="00F35891" w:rsidRPr="00FF386D" w:rsidRDefault="00F35891" w:rsidP="00351DC9">
      <w:pPr>
        <w:rPr>
          <w:rFonts w:asciiTheme="majorHAnsi" w:hAnsiTheme="majorHAnsi" w:cstheme="majorHAnsi"/>
          <w:sz w:val="52"/>
          <w:szCs w:val="52"/>
          <w:highlight w:val="green"/>
          <w:lang w:eastAsia="el-GR"/>
        </w:rPr>
      </w:pPr>
    </w:p>
    <w:p w14:paraId="30E5C6A9" w14:textId="77777777" w:rsidR="00F35891" w:rsidRPr="00FF386D" w:rsidRDefault="00F35891" w:rsidP="00351DC9">
      <w:pPr>
        <w:rPr>
          <w:rFonts w:asciiTheme="majorHAnsi" w:hAnsiTheme="majorHAnsi" w:cstheme="majorHAnsi"/>
          <w:sz w:val="52"/>
          <w:szCs w:val="52"/>
          <w:highlight w:val="green"/>
          <w:lang w:eastAsia="el-GR"/>
        </w:rPr>
      </w:pPr>
    </w:p>
    <w:p w14:paraId="7A03220C" w14:textId="77777777" w:rsidR="00F35891" w:rsidRPr="00FF386D" w:rsidRDefault="00F35891" w:rsidP="00351DC9">
      <w:pPr>
        <w:rPr>
          <w:rFonts w:asciiTheme="majorHAnsi" w:hAnsiTheme="majorHAnsi" w:cstheme="majorHAnsi"/>
          <w:sz w:val="52"/>
          <w:szCs w:val="52"/>
          <w:highlight w:val="green"/>
          <w:lang w:eastAsia="el-GR"/>
        </w:rPr>
      </w:pPr>
    </w:p>
    <w:p w14:paraId="653E32B3" w14:textId="77777777" w:rsidR="00F35891" w:rsidRPr="00FF386D" w:rsidRDefault="00F35891" w:rsidP="00351DC9">
      <w:pPr>
        <w:rPr>
          <w:rFonts w:asciiTheme="majorHAnsi" w:hAnsiTheme="majorHAnsi" w:cstheme="majorHAnsi"/>
          <w:sz w:val="52"/>
          <w:szCs w:val="52"/>
          <w:highlight w:val="green"/>
          <w:lang w:eastAsia="el-GR"/>
        </w:rPr>
      </w:pPr>
    </w:p>
    <w:p w14:paraId="1E2BDF1C" w14:textId="77777777" w:rsidR="00F35891" w:rsidRPr="00FF386D" w:rsidRDefault="00F35891" w:rsidP="00351DC9">
      <w:pPr>
        <w:rPr>
          <w:rFonts w:asciiTheme="majorHAnsi" w:hAnsiTheme="majorHAnsi" w:cstheme="majorHAnsi"/>
          <w:sz w:val="52"/>
          <w:szCs w:val="52"/>
          <w:highlight w:val="green"/>
          <w:lang w:eastAsia="el-GR"/>
        </w:rPr>
      </w:pPr>
    </w:p>
    <w:p w14:paraId="141B0619" w14:textId="527D42D0" w:rsidR="00351DC9" w:rsidRPr="00FF386D" w:rsidRDefault="00331283" w:rsidP="00351DC9">
      <w:pPr>
        <w:rPr>
          <w:rFonts w:asciiTheme="majorHAnsi" w:hAnsiTheme="majorHAnsi" w:cstheme="majorHAnsi"/>
          <w:b/>
          <w:bCs/>
          <w:sz w:val="52"/>
          <w:szCs w:val="52"/>
          <w:lang w:eastAsia="el-GR"/>
        </w:rPr>
      </w:pPr>
      <w:r w:rsidRPr="00FF386D">
        <w:rPr>
          <w:rFonts w:asciiTheme="majorHAnsi" w:hAnsiTheme="majorHAnsi" w:cstheme="majorHAnsi"/>
          <w:b/>
          <w:bCs/>
          <w:sz w:val="52"/>
          <w:szCs w:val="52"/>
          <w:lang w:eastAsia="el-GR"/>
        </w:rPr>
        <w:t>ОДЕЉАК Б</w:t>
      </w:r>
      <w:r w:rsidR="00386771" w:rsidRPr="00FF386D">
        <w:rPr>
          <w:rFonts w:asciiTheme="majorHAnsi" w:hAnsiTheme="majorHAnsi" w:cstheme="majorHAnsi"/>
          <w:b/>
          <w:bCs/>
          <w:sz w:val="52"/>
          <w:szCs w:val="52"/>
          <w:lang w:eastAsia="el-GR"/>
        </w:rPr>
        <w:t>: A</w:t>
      </w:r>
      <w:r w:rsidRPr="00FF386D">
        <w:rPr>
          <w:rFonts w:asciiTheme="majorHAnsi" w:hAnsiTheme="majorHAnsi" w:cstheme="majorHAnsi"/>
          <w:b/>
          <w:bCs/>
          <w:sz w:val="52"/>
          <w:szCs w:val="52"/>
          <w:lang w:eastAsia="el-GR"/>
        </w:rPr>
        <w:t>НАЛИТИЧКА ОСНОВА</w:t>
      </w:r>
    </w:p>
    <w:p w14:paraId="6BC5A726" w14:textId="77777777" w:rsidR="00386771" w:rsidRPr="00FF386D" w:rsidRDefault="00386771">
      <w:pPr>
        <w:spacing w:line="259" w:lineRule="auto"/>
        <w:rPr>
          <w:highlight w:val="green"/>
          <w:lang w:eastAsia="el-GR"/>
        </w:rPr>
      </w:pPr>
      <w:r w:rsidRPr="00FF386D">
        <w:rPr>
          <w:highlight w:val="green"/>
          <w:lang w:eastAsia="el-GR"/>
        </w:rPr>
        <w:br w:type="page"/>
      </w:r>
    </w:p>
    <w:p w14:paraId="18AA543E" w14:textId="3544F0E5" w:rsidR="00386771" w:rsidRPr="00FF386D" w:rsidRDefault="00EA4087" w:rsidP="00F83802">
      <w:pPr>
        <w:pStyle w:val="Heading1"/>
      </w:pPr>
      <w:bookmarkStart w:id="136" w:name="_Toc137457028"/>
      <w:bookmarkStart w:id="137" w:name="_Toc153901549"/>
      <w:r w:rsidRPr="00FF386D">
        <w:lastRenderedPageBreak/>
        <w:t>ТРЕНУТНО СТАЊЕ И ПРОЈЕКЦИЈЕ СА ПОСТОЈЕЋИМ ПОЛИТИКАМА И МЕРАМА</w:t>
      </w:r>
      <w:bookmarkEnd w:id="136"/>
      <w:bookmarkEnd w:id="137"/>
    </w:p>
    <w:p w14:paraId="57281BBC" w14:textId="7EB8F2AE" w:rsidR="003F5721" w:rsidRDefault="00E51A5B" w:rsidP="003F5721">
      <w:pPr>
        <w:pStyle w:val="LDKBody1"/>
      </w:pPr>
      <w:r>
        <w:t>Анализа утицаја политика и мера описан</w:t>
      </w:r>
      <w:r w:rsidR="002266FA">
        <w:t>их</w:t>
      </w:r>
      <w:r>
        <w:t xml:space="preserve"> у Поглављу 2 </w:t>
      </w:r>
      <w:r w:rsidR="00936D14">
        <w:t>извршена</w:t>
      </w:r>
      <w:r w:rsidR="002266FA">
        <w:t xml:space="preserve"> је</w:t>
      </w:r>
      <w:r w:rsidR="00936D14">
        <w:t xml:space="preserve"> </w:t>
      </w:r>
      <w:r w:rsidR="000D000F">
        <w:t>формулацијом два алтернативна сценарија:</w:t>
      </w:r>
    </w:p>
    <w:p w14:paraId="65DEE6B7" w14:textId="787AA97C" w:rsidR="000D000F" w:rsidRPr="000A2AFE" w:rsidRDefault="007B1676" w:rsidP="000D000F">
      <w:pPr>
        <w:pStyle w:val="LDKBody1"/>
        <w:numPr>
          <w:ilvl w:val="0"/>
          <w:numId w:val="384"/>
        </w:numPr>
      </w:pPr>
      <w:r>
        <w:rPr>
          <w:b/>
          <w:bCs/>
        </w:rPr>
        <w:t xml:space="preserve">Сценарио </w:t>
      </w:r>
      <w:r w:rsidR="009C03BB">
        <w:rPr>
          <w:b/>
          <w:bCs/>
        </w:rPr>
        <w:t>са</w:t>
      </w:r>
      <w:r w:rsidR="000D000F" w:rsidRPr="000A2AFE">
        <w:rPr>
          <w:b/>
          <w:bCs/>
        </w:rPr>
        <w:t xml:space="preserve"> постојећим мерама (</w:t>
      </w:r>
      <w:r w:rsidR="000D000F" w:rsidRPr="000A2AFE">
        <w:rPr>
          <w:b/>
          <w:bCs/>
          <w:i/>
          <w:iCs/>
          <w:lang w:val="en-US"/>
        </w:rPr>
        <w:t>WEM</w:t>
      </w:r>
      <w:r w:rsidR="000D000F" w:rsidRPr="000A2AFE">
        <w:rPr>
          <w:b/>
          <w:bCs/>
          <w:lang w:val="en-US"/>
        </w:rPr>
        <w:t>),</w:t>
      </w:r>
      <w:r w:rsidR="000D000F">
        <w:rPr>
          <w:lang w:val="en-US"/>
        </w:rPr>
        <w:t xml:space="preserve"> </w:t>
      </w:r>
      <w:r w:rsidR="002266FA">
        <w:t xml:space="preserve">који врши пројекцију развоја енергетског сектора и других емисија у оквиру постојећих политика и мера. Овај сценарио не води до остваривања циљева ИНЕКП-а, већ служи као референца. Детаљи овог сценарија су приказани у </w:t>
      </w:r>
      <w:r w:rsidR="002266FA" w:rsidRPr="000A2AFE">
        <w:rPr>
          <w:b/>
          <w:bCs/>
        </w:rPr>
        <w:t>овом поглављу.</w:t>
      </w:r>
    </w:p>
    <w:p w14:paraId="51CC1AC9" w14:textId="6628C692" w:rsidR="000D000F" w:rsidRDefault="007B1676" w:rsidP="000D000F">
      <w:pPr>
        <w:pStyle w:val="LDKBody1"/>
        <w:numPr>
          <w:ilvl w:val="0"/>
          <w:numId w:val="384"/>
        </w:numPr>
      </w:pPr>
      <w:r>
        <w:rPr>
          <w:b/>
          <w:bCs/>
        </w:rPr>
        <w:t xml:space="preserve">Сценарио </w:t>
      </w:r>
      <w:r w:rsidR="009C03BB">
        <w:rPr>
          <w:b/>
          <w:bCs/>
        </w:rPr>
        <w:t>са</w:t>
      </w:r>
      <w:r w:rsidR="000D000F" w:rsidRPr="000A2AFE">
        <w:rPr>
          <w:b/>
          <w:bCs/>
        </w:rPr>
        <w:t xml:space="preserve"> додатним мерама</w:t>
      </w:r>
      <w:r w:rsidR="006F77D4">
        <w:t xml:space="preserve"> </w:t>
      </w:r>
      <w:r w:rsidR="000D000F">
        <w:t xml:space="preserve">обухвата све планиране додатне политике и мере које доприносе остваривању циљева </w:t>
      </w:r>
      <w:r w:rsidR="002266FA">
        <w:t xml:space="preserve">ИНЕКП-а. Овај </w:t>
      </w:r>
      <w:r>
        <w:t xml:space="preserve">Сценарио </w:t>
      </w:r>
      <w:r w:rsidR="009C03BB">
        <w:t>се</w:t>
      </w:r>
      <w:r w:rsidR="002266FA">
        <w:t xml:space="preserve"> назива </w:t>
      </w:r>
      <w:r>
        <w:rPr>
          <w:b/>
          <w:bCs/>
        </w:rPr>
        <w:t>Сценарио S</w:t>
      </w:r>
      <w:r w:rsidR="002266FA">
        <w:t xml:space="preserve"> и описан је у </w:t>
      </w:r>
      <w:r w:rsidR="002266FA" w:rsidRPr="000A2AFE">
        <w:rPr>
          <w:b/>
          <w:bCs/>
        </w:rPr>
        <w:t>Поглављу 5</w:t>
      </w:r>
      <w:r w:rsidR="002266FA">
        <w:t xml:space="preserve">, а </w:t>
      </w:r>
      <w:r w:rsidR="006F77D4">
        <w:t>врши</w:t>
      </w:r>
      <w:r w:rsidR="002266FA">
        <w:t xml:space="preserve"> се његово поређење са </w:t>
      </w:r>
      <w:r w:rsidR="006F77D4">
        <w:t>сценаријом</w:t>
      </w:r>
      <w:r w:rsidR="002266FA">
        <w:t xml:space="preserve"> </w:t>
      </w:r>
      <w:r w:rsidR="002266FA">
        <w:rPr>
          <w:lang w:val="en-US"/>
        </w:rPr>
        <w:t xml:space="preserve">WEM </w:t>
      </w:r>
      <w:r w:rsidR="002266FA">
        <w:t>како би се приказали додатни напори неопходни за његово остваривање.</w:t>
      </w:r>
    </w:p>
    <w:p w14:paraId="312F8361" w14:textId="4556CB32" w:rsidR="002266FA" w:rsidRDefault="002266FA" w:rsidP="002266FA">
      <w:pPr>
        <w:pStyle w:val="LDKBody1"/>
      </w:pPr>
      <w:r>
        <w:t xml:space="preserve">У овој </w:t>
      </w:r>
      <w:r w:rsidR="00E32E35">
        <w:t xml:space="preserve">анализи постоје одређени егзогени фактори који утичу на развој енергетског система и емисија </w:t>
      </w:r>
      <w:r w:rsidR="00E32E35" w:rsidRPr="000A2AFE">
        <w:rPr>
          <w:i/>
          <w:iCs/>
          <w:lang w:val="en-US"/>
        </w:rPr>
        <w:t xml:space="preserve">GHG </w:t>
      </w:r>
      <w:r w:rsidR="00E32E35">
        <w:t xml:space="preserve">уопште. </w:t>
      </w:r>
      <w:r w:rsidR="00E32E35" w:rsidRPr="000A2AFE">
        <w:rPr>
          <w:b/>
          <w:bCs/>
        </w:rPr>
        <w:t>Ови фактори су коришћени као заједнички улазни подаци за сва сценарија, и њихов опис је дат у</w:t>
      </w:r>
      <w:r w:rsidR="00E32E35">
        <w:t xml:space="preserve"> </w:t>
      </w:r>
      <w:r w:rsidR="00E32E35" w:rsidRPr="000A2AFE">
        <w:rPr>
          <w:b/>
          <w:bCs/>
        </w:rPr>
        <w:t>одељку 4.1.</w:t>
      </w:r>
    </w:p>
    <w:p w14:paraId="5339D3BB" w14:textId="56C820DC" w:rsidR="00786861" w:rsidRDefault="00786861" w:rsidP="002266FA">
      <w:pPr>
        <w:pStyle w:val="LDKBody1"/>
        <w:rPr>
          <w:b/>
          <w:bCs/>
        </w:rPr>
      </w:pPr>
      <w:r>
        <w:t xml:space="preserve">Пројекције за различите димензије у оквиру сценарија </w:t>
      </w:r>
      <w:r w:rsidRPr="000A2AFE">
        <w:rPr>
          <w:i/>
          <w:iCs/>
          <w:lang w:val="en-US"/>
        </w:rPr>
        <w:t>WEM</w:t>
      </w:r>
      <w:r>
        <w:rPr>
          <w:lang w:val="en-US"/>
        </w:rPr>
        <w:t xml:space="preserve">, </w:t>
      </w:r>
      <w:r>
        <w:t xml:space="preserve">што значи са постојећим политикама и мерама су приказани у наредним </w:t>
      </w:r>
      <w:r w:rsidRPr="000A2AFE">
        <w:rPr>
          <w:b/>
          <w:bCs/>
        </w:rPr>
        <w:t>одељцима 4.2 и 4.5</w:t>
      </w:r>
      <w:r>
        <w:rPr>
          <w:b/>
          <w:bCs/>
        </w:rPr>
        <w:t>.</w:t>
      </w:r>
    </w:p>
    <w:p w14:paraId="493568FE" w14:textId="6B194A7C" w:rsidR="006F77D4" w:rsidRDefault="006F77D4" w:rsidP="006F77D4">
      <w:pPr>
        <w:spacing w:before="120" w:after="120" w:line="240" w:lineRule="auto"/>
        <w:jc w:val="both"/>
        <w:rPr>
          <w:rFonts w:asciiTheme="majorHAnsi" w:eastAsia="Times New Roman" w:hAnsiTheme="majorHAnsi" w:cstheme="majorHAnsi"/>
          <w:lang w:eastAsia="el-GR"/>
        </w:rPr>
      </w:pPr>
      <w:r>
        <w:rPr>
          <w:rFonts w:asciiTheme="majorHAnsi" w:eastAsia="Times New Roman" w:hAnsiTheme="majorHAnsi" w:cstheme="majorHAnsi"/>
          <w:lang w:eastAsia="el-GR"/>
        </w:rPr>
        <w:t>Квантитативна анализа пројекција сценарија за процену утицаја политика и мера у процесу израде ИНЕКП-а Републике Србије спроведена је коришћењем три алата за моделирање:</w:t>
      </w:r>
    </w:p>
    <w:p w14:paraId="2109B842" w14:textId="77777777" w:rsidR="006F77D4" w:rsidRPr="00F64CBE" w:rsidRDefault="006F77D4" w:rsidP="006F77D4">
      <w:pPr>
        <w:pStyle w:val="ListParagraph"/>
        <w:numPr>
          <w:ilvl w:val="0"/>
          <w:numId w:val="386"/>
        </w:numPr>
        <w:spacing w:before="120" w:after="120" w:line="240" w:lineRule="auto"/>
        <w:jc w:val="both"/>
        <w:rPr>
          <w:rFonts w:asciiTheme="majorHAnsi" w:eastAsia="Times New Roman" w:hAnsiTheme="majorHAnsi" w:cstheme="majorHAnsi"/>
          <w:lang w:val="en-US" w:eastAsia="el-GR"/>
        </w:rPr>
      </w:pPr>
      <w:r w:rsidRPr="00F64CBE">
        <w:rPr>
          <w:rFonts w:asciiTheme="majorHAnsi" w:eastAsia="Times New Roman" w:hAnsiTheme="majorHAnsi" w:cstheme="majorHAnsi"/>
          <w:b/>
          <w:bCs/>
          <w:lang w:eastAsia="el-GR"/>
        </w:rPr>
        <w:t>Систем за енергетско моделирање Србије (СЕМС),</w:t>
      </w:r>
      <w:r>
        <w:rPr>
          <w:rFonts w:asciiTheme="majorHAnsi" w:eastAsia="Times New Roman" w:hAnsiTheme="majorHAnsi" w:cstheme="majorHAnsi"/>
          <w:lang w:eastAsia="el-GR"/>
        </w:rPr>
        <w:t xml:space="preserve"> заснован на оквиру</w:t>
      </w:r>
      <w:r w:rsidRPr="00F64CBE">
        <w:rPr>
          <w:rFonts w:asciiTheme="majorHAnsi" w:eastAsia="Times New Roman" w:hAnsiTheme="majorHAnsi" w:cstheme="majorHAnsi"/>
          <w:i/>
          <w:iCs/>
          <w:lang w:eastAsia="el-GR"/>
        </w:rPr>
        <w:t xml:space="preserve"> </w:t>
      </w:r>
      <w:r w:rsidRPr="00F64CBE">
        <w:rPr>
          <w:rFonts w:asciiTheme="majorHAnsi" w:eastAsia="Times New Roman" w:hAnsiTheme="majorHAnsi" w:cstheme="majorHAnsi"/>
          <w:i/>
          <w:iCs/>
          <w:lang w:val="en-US" w:eastAsia="el-GR"/>
        </w:rPr>
        <w:t>TIMES</w:t>
      </w:r>
      <w:r>
        <w:rPr>
          <w:rFonts w:asciiTheme="majorHAnsi" w:eastAsia="Times New Roman" w:hAnsiTheme="majorHAnsi" w:cstheme="majorHAnsi"/>
          <w:lang w:eastAsia="el-GR"/>
        </w:rPr>
        <w:t>, покрива развој целокупног енергетског система</w:t>
      </w:r>
    </w:p>
    <w:p w14:paraId="0CEE899B" w14:textId="2DBE162E" w:rsidR="006F77D4" w:rsidRDefault="006F77D4" w:rsidP="006F77D4">
      <w:pPr>
        <w:pStyle w:val="ListParagraph"/>
        <w:numPr>
          <w:ilvl w:val="0"/>
          <w:numId w:val="386"/>
        </w:numPr>
        <w:spacing w:before="120" w:after="120" w:line="240" w:lineRule="auto"/>
        <w:jc w:val="both"/>
        <w:rPr>
          <w:rFonts w:asciiTheme="majorHAnsi" w:eastAsia="Times New Roman" w:hAnsiTheme="majorHAnsi" w:cstheme="majorHAnsi"/>
          <w:lang w:val="en-US" w:eastAsia="el-GR"/>
        </w:rPr>
      </w:pPr>
      <w:r>
        <w:rPr>
          <w:rFonts w:asciiTheme="majorHAnsi" w:eastAsia="Times New Roman" w:hAnsiTheme="majorHAnsi" w:cstheme="majorHAnsi"/>
          <w:b/>
          <w:bCs/>
          <w:lang w:eastAsia="el-GR"/>
        </w:rPr>
        <w:t xml:space="preserve">Алат за макроекономску анализу </w:t>
      </w:r>
      <w:r>
        <w:rPr>
          <w:rFonts w:asciiTheme="majorHAnsi" w:eastAsia="Times New Roman" w:hAnsiTheme="majorHAnsi" w:cstheme="majorHAnsi"/>
          <w:lang w:eastAsia="el-GR"/>
        </w:rPr>
        <w:t xml:space="preserve">заснован на Примењеном моделу опште равнотеже ублажавање, адаптација и нове технологије (енг. </w:t>
      </w:r>
      <w:r>
        <w:rPr>
          <w:rFonts w:asciiTheme="majorHAnsi" w:eastAsia="Times New Roman" w:hAnsiTheme="majorHAnsi" w:cstheme="majorHAnsi"/>
          <w:lang w:val="en-US" w:eastAsia="el-GR"/>
        </w:rPr>
        <w:t xml:space="preserve">Mitigation, Adaptation and New Technologies Applied General Equilibrium Model - </w:t>
      </w:r>
      <w:r w:rsidRPr="00F64CBE">
        <w:rPr>
          <w:rFonts w:asciiTheme="majorHAnsi" w:eastAsia="Times New Roman" w:hAnsiTheme="majorHAnsi" w:cstheme="majorHAnsi"/>
          <w:i/>
          <w:iCs/>
          <w:lang w:val="en-US" w:eastAsia="el-GR"/>
        </w:rPr>
        <w:t>MANAGE</w:t>
      </w:r>
      <w:r>
        <w:rPr>
          <w:rFonts w:asciiTheme="majorHAnsi" w:eastAsia="Times New Roman" w:hAnsiTheme="majorHAnsi" w:cstheme="majorHAnsi"/>
          <w:lang w:val="en-US" w:eastAsia="el-GR"/>
        </w:rPr>
        <w:t>)</w:t>
      </w:r>
    </w:p>
    <w:p w14:paraId="3621B9AE" w14:textId="77777777" w:rsidR="006F77D4" w:rsidRDefault="006F77D4" w:rsidP="006F77D4">
      <w:pPr>
        <w:pStyle w:val="ListParagraph"/>
        <w:numPr>
          <w:ilvl w:val="0"/>
          <w:numId w:val="386"/>
        </w:numPr>
        <w:spacing w:before="120" w:after="120" w:line="240" w:lineRule="auto"/>
        <w:jc w:val="both"/>
        <w:rPr>
          <w:rFonts w:asciiTheme="majorHAnsi" w:eastAsia="Times New Roman" w:hAnsiTheme="majorHAnsi" w:cstheme="majorHAnsi"/>
          <w:lang w:val="en-US" w:eastAsia="el-GR"/>
        </w:rPr>
      </w:pPr>
      <w:r w:rsidRPr="00F64CBE">
        <w:rPr>
          <w:rFonts w:asciiTheme="majorHAnsi" w:eastAsia="Times New Roman" w:hAnsiTheme="majorHAnsi" w:cstheme="majorHAnsi"/>
          <w:b/>
          <w:bCs/>
          <w:lang w:eastAsia="el-GR"/>
        </w:rPr>
        <w:t>Алат за анализу високог удела ОИЕ у електроенергетском систему</w:t>
      </w:r>
      <w:r>
        <w:rPr>
          <w:rFonts w:asciiTheme="majorHAnsi" w:eastAsia="Times New Roman" w:hAnsiTheme="majorHAnsi" w:cstheme="majorHAnsi"/>
          <w:lang w:eastAsia="el-GR"/>
        </w:rPr>
        <w:t xml:space="preserve">, заснован на софтверу </w:t>
      </w:r>
      <w:r w:rsidRPr="00F64CBE">
        <w:rPr>
          <w:rFonts w:asciiTheme="majorHAnsi" w:eastAsia="Times New Roman" w:hAnsiTheme="majorHAnsi" w:cstheme="majorHAnsi"/>
          <w:i/>
          <w:iCs/>
          <w:lang w:val="en-US" w:eastAsia="el-GR"/>
        </w:rPr>
        <w:t>ANTARES</w:t>
      </w:r>
      <w:r>
        <w:rPr>
          <w:rFonts w:asciiTheme="majorHAnsi" w:eastAsia="Times New Roman" w:hAnsiTheme="majorHAnsi" w:cstheme="majorHAnsi"/>
          <w:lang w:val="en-US" w:eastAsia="el-GR"/>
        </w:rPr>
        <w:t>.</w:t>
      </w:r>
    </w:p>
    <w:p w14:paraId="4A056537" w14:textId="6B0CCD84" w:rsidR="006F77D4" w:rsidRDefault="006F77D4" w:rsidP="002266FA">
      <w:pPr>
        <w:pStyle w:val="LDKBody1"/>
      </w:pPr>
      <w:r>
        <w:t xml:space="preserve">У оквиру пројекта ИПА 2013 „Даљи развој капацитета за енергетско планирање”, израђен је Систем енергетског моделирања Србије (СЕМС) </w:t>
      </w:r>
      <w:r w:rsidR="00561B54">
        <w:t>који је</w:t>
      </w:r>
      <w:r>
        <w:t xml:space="preserve"> инсталиран на серверу МРЕ. СЕМС је национални модел </w:t>
      </w:r>
      <w:r w:rsidR="00A54EDF">
        <w:t>утемељен</w:t>
      </w:r>
      <w:r>
        <w:t xml:space="preserve"> на генератору модела </w:t>
      </w:r>
      <w:r w:rsidRPr="000A2AFE">
        <w:rPr>
          <w:i/>
          <w:iCs/>
          <w:lang w:val="en-US"/>
        </w:rPr>
        <w:t>TIMES</w:t>
      </w:r>
      <w:r>
        <w:rPr>
          <w:lang w:val="en-US"/>
        </w:rPr>
        <w:t>,</w:t>
      </w:r>
      <w:r w:rsidR="00A54EDF">
        <w:t xml:space="preserve"> који примењује приступ „одоздо према горе” и предст</w:t>
      </w:r>
      <w:r w:rsidR="00A54EDF">
        <w:rPr>
          <w:lang w:val="en-US"/>
        </w:rPr>
        <w:t>a</w:t>
      </w:r>
      <w:r w:rsidR="00A54EDF">
        <w:t xml:space="preserve">вља </w:t>
      </w:r>
      <w:r w:rsidR="00A54EDF" w:rsidRPr="00A54EDF">
        <w:t>технолошки напредан алат</w:t>
      </w:r>
      <w:r w:rsidR="00A54EDF">
        <w:t xml:space="preserve"> и оквир за оптимизацију базиран на принципу најмањег трошка</w:t>
      </w:r>
      <w:r w:rsidR="00561B54">
        <w:t>, који је израдила и одржава Међународна агенција за енергетику (</w:t>
      </w:r>
      <w:r w:rsidR="00561B54" w:rsidRPr="000A2AFE">
        <w:rPr>
          <w:i/>
          <w:iCs/>
          <w:lang w:val="en-US"/>
        </w:rPr>
        <w:t>IEA</w:t>
      </w:r>
      <w:r w:rsidR="00561B54">
        <w:rPr>
          <w:lang w:val="en-US"/>
        </w:rPr>
        <w:t xml:space="preserve">). </w:t>
      </w:r>
      <w:r w:rsidR="00561B54">
        <w:t xml:space="preserve">Модел обухвата целокупни енергетски систем, од екстракције енергената, увоза, сектора трансформације и сектора финалне потрошње енергије. Временски период анализе је до 2050. године, а може се продужити како би обухвати дужи временски период. СЕМС се користи за вршење пројекција развоја укупног енергетског система Србије </w:t>
      </w:r>
      <w:r w:rsidR="00332280">
        <w:t xml:space="preserve">у оквиру неколико алтернативних сценарија за разматрање будућих опција и </w:t>
      </w:r>
      <w:r w:rsidR="00995B32">
        <w:t xml:space="preserve">најекономичнијих реакција на одређене инпуте политика. </w:t>
      </w:r>
      <w:r w:rsidR="00332280">
        <w:t xml:space="preserve">Модел је заснован на потражњи, што значи да </w:t>
      </w:r>
      <w:r w:rsidR="00995B32">
        <w:t>су егзогене пројекције дате за најважније покретаче потражње који обухватају становништво, БДП по сектору, пројекције индустријске производње. Поред тога, СЕМС је калибрисан коришћењем најновијих расположивих статистичких података, који представљају постојећи енергетски систем Србије.</w:t>
      </w:r>
    </w:p>
    <w:p w14:paraId="7497A21C" w14:textId="5E1389D5" w:rsidR="00102A82" w:rsidRDefault="00995B32" w:rsidP="002266FA">
      <w:pPr>
        <w:pStyle w:val="LDKBody1"/>
      </w:pPr>
      <w:r>
        <w:t xml:space="preserve">Како би се анализирао економски утицај економских политика и политика у области животне средине, коришћен је мултисекторски </w:t>
      </w:r>
      <w:r w:rsidR="005B63A7">
        <w:t>рекурзивни динамички модел опште равнотеже (</w:t>
      </w:r>
      <w:r w:rsidR="005B63A7" w:rsidRPr="000A2AFE">
        <w:rPr>
          <w:i/>
          <w:iCs/>
          <w:lang w:val="en-US"/>
        </w:rPr>
        <w:t>CGE</w:t>
      </w:r>
      <w:r w:rsidR="005B63A7">
        <w:rPr>
          <w:lang w:val="en-US"/>
        </w:rPr>
        <w:t xml:space="preserve">) </w:t>
      </w:r>
      <w:r w:rsidR="005B63A7">
        <w:t>како би се проширио обим пројекције сценарија СЕМС-а. М</w:t>
      </w:r>
      <w:r w:rsidR="00102A82">
        <w:t xml:space="preserve">акроеконоски </w:t>
      </w:r>
      <w:r w:rsidR="005B63A7">
        <w:t>алат је базиран на</w:t>
      </w:r>
      <w:r w:rsidR="00102A82">
        <w:t xml:space="preserve"> моделу опште равнотеже, ублажавање, адаптација и нове технологије </w:t>
      </w:r>
      <w:r w:rsidR="00102A82" w:rsidRPr="00102A82">
        <w:t xml:space="preserve">(енг. </w:t>
      </w:r>
      <w:r w:rsidR="00102A82" w:rsidRPr="00102A82">
        <w:rPr>
          <w:lang w:val="en-US"/>
        </w:rPr>
        <w:t xml:space="preserve">Mitigation, Adaptation and New Technologies Applied General Equilibrium Model - </w:t>
      </w:r>
      <w:r w:rsidR="00102A82" w:rsidRPr="00102A82">
        <w:rPr>
          <w:i/>
          <w:iCs/>
          <w:lang w:val="en-US"/>
        </w:rPr>
        <w:t>MANAGE</w:t>
      </w:r>
      <w:r w:rsidR="00102A82" w:rsidRPr="00102A82">
        <w:rPr>
          <w:lang w:val="en-US"/>
        </w:rPr>
        <w:t>)</w:t>
      </w:r>
      <w:r w:rsidR="00102A82">
        <w:t xml:space="preserve">. Модел је израдио </w:t>
      </w:r>
      <w:r w:rsidR="00102A82" w:rsidRPr="000A2AFE">
        <w:rPr>
          <w:i/>
          <w:iCs/>
          <w:lang w:val="en-US"/>
        </w:rPr>
        <w:t>GTAP</w:t>
      </w:r>
      <w:r w:rsidR="00102A82">
        <w:rPr>
          <w:lang w:val="en-US"/>
        </w:rPr>
        <w:t xml:space="preserve"> </w:t>
      </w:r>
      <w:r w:rsidR="00102A82">
        <w:rPr>
          <w:lang w:val="sr-Latn-RS"/>
        </w:rPr>
        <w:t>(</w:t>
      </w:r>
      <w:r w:rsidR="00102A82">
        <w:t xml:space="preserve">Универзитет Пердју). </w:t>
      </w:r>
      <w:r w:rsidR="009301E4">
        <w:rPr>
          <w:lang w:val="sr-Latn-RS"/>
        </w:rPr>
        <w:t>M</w:t>
      </w:r>
      <w:r w:rsidR="009301E4">
        <w:t xml:space="preserve">одел је посебно израђен за анализу разних питања повезаних са економском страном политика у области климатских промена и животне средине, укључујући базне емисије </w:t>
      </w:r>
      <w:r w:rsidR="009301E4" w:rsidRPr="009301E4">
        <w:rPr>
          <w:lang w:val="en-GB"/>
        </w:rPr>
        <w:t>CO</w:t>
      </w:r>
      <w:r w:rsidR="009301E4" w:rsidRPr="009301E4">
        <w:rPr>
          <w:vertAlign w:val="subscript"/>
          <w:lang w:val="en-GB"/>
        </w:rPr>
        <w:t>2</w:t>
      </w:r>
      <w:r w:rsidR="009301E4">
        <w:rPr>
          <w:vertAlign w:val="subscript"/>
        </w:rPr>
        <w:t xml:space="preserve"> </w:t>
      </w:r>
      <w:r w:rsidR="009301E4">
        <w:t>и других гасова са ефектом стаклене баште</w:t>
      </w:r>
      <w:r w:rsidR="00B853E6">
        <w:t xml:space="preserve">; </w:t>
      </w:r>
      <w:r w:rsidR="00B853E6">
        <w:lastRenderedPageBreak/>
        <w:t xml:space="preserve">политике ублажавања у погледу гасова са ефектом стаклене баште: таксе, </w:t>
      </w:r>
      <w:r w:rsidR="0025791E">
        <w:t xml:space="preserve">трговање </w:t>
      </w:r>
      <w:r w:rsidR="00AA23A1">
        <w:t>емисијама</w:t>
      </w:r>
      <w:r w:rsidR="0025791E">
        <w:t>; утицаји политика у области животне средине</w:t>
      </w:r>
      <w:r w:rsidR="00AA23A1">
        <w:t xml:space="preserve">. Обухватање међусекторских веза и високог нивоа секторских детаља укључених у модел </w:t>
      </w:r>
      <w:r w:rsidR="00AA23A1" w:rsidRPr="000A2AFE">
        <w:rPr>
          <w:i/>
          <w:iCs/>
          <w:lang w:val="en-US"/>
        </w:rPr>
        <w:t>MANAGE</w:t>
      </w:r>
      <w:r w:rsidR="00AA23A1">
        <w:rPr>
          <w:lang w:val="en-US"/>
        </w:rPr>
        <w:t xml:space="preserve">, </w:t>
      </w:r>
      <w:r w:rsidR="007200C1">
        <w:t>обезбеди</w:t>
      </w:r>
      <w:r w:rsidR="00BA1D31">
        <w:t>ће</w:t>
      </w:r>
      <w:r w:rsidR="007200C1">
        <w:t xml:space="preserve"> прецизну верификацију различит</w:t>
      </w:r>
      <w:r w:rsidR="00BA1D31">
        <w:t>их</w:t>
      </w:r>
      <w:r w:rsidR="007200C1">
        <w:t xml:space="preserve"> квантита</w:t>
      </w:r>
      <w:r w:rsidR="00BA1D31">
        <w:t>тивних</w:t>
      </w:r>
      <w:r w:rsidR="007200C1">
        <w:t xml:space="preserve"> хипотез</w:t>
      </w:r>
      <w:r w:rsidR="00BA1D31">
        <w:t>а повезаних са економским профилима и профилима животне средине енергетских путања Србије.</w:t>
      </w:r>
    </w:p>
    <w:p w14:paraId="166855A8" w14:textId="5627FFDE" w:rsidR="00BA1D31" w:rsidRDefault="00BA1D31" w:rsidP="002266FA">
      <w:pPr>
        <w:pStyle w:val="LDKBody1"/>
      </w:pPr>
      <w:r>
        <w:t xml:space="preserve">Дугорочни енергетски модели попут СЕМС-а се користе у студијама које анализирају енергетску транзицију ка нискоугљеничном енергетском систему. Међутим, за рад електроенергетских система са високим уделом варијабилних извора енергије, потребан је </w:t>
      </w:r>
      <w:r w:rsidR="00CB46DA">
        <w:t>специјализован софтвер за вршење детаљне анализе. Због варијабилног карактера енергије ветра и соларне фотонапо</w:t>
      </w:r>
      <w:r w:rsidR="008B0548">
        <w:t>нске</w:t>
      </w:r>
      <w:r w:rsidR="00CB46DA">
        <w:t xml:space="preserve"> енергије, њихова велика употреба у будућности ће у великој мери утицати на рад електроенергетског система па је у том смислу потребно да се ураде одговарајуће процене како би доносиоци политика могли да обезбеде реалистичне мапе пута за њихову примену у ИНЕКП-у. Из тога разлога је израђен модел електроенергетског система Србије, заснован на алату </w:t>
      </w:r>
      <w:r w:rsidR="00CB46DA" w:rsidRPr="000A2AFE">
        <w:rPr>
          <w:i/>
          <w:iCs/>
          <w:lang w:val="en-US"/>
        </w:rPr>
        <w:t xml:space="preserve">ANTARES </w:t>
      </w:r>
      <w:r w:rsidR="00CB46DA">
        <w:rPr>
          <w:lang w:val="en-US"/>
        </w:rPr>
        <w:t>(</w:t>
      </w:r>
      <w:r w:rsidR="00D53ABC">
        <w:t>развио</w:t>
      </w:r>
      <w:r w:rsidR="00CB46DA">
        <w:t xml:space="preserve"> и</w:t>
      </w:r>
      <w:r w:rsidR="00D53ABC">
        <w:t xml:space="preserve"> одржава </w:t>
      </w:r>
      <w:r w:rsidR="00D53ABC" w:rsidRPr="000A2AFE">
        <w:rPr>
          <w:i/>
          <w:iCs/>
          <w:lang w:val="en-US"/>
        </w:rPr>
        <w:t>R</w:t>
      </w:r>
      <w:r w:rsidR="00D53ABC" w:rsidRPr="000A2AFE">
        <w:rPr>
          <w:i/>
          <w:iCs/>
        </w:rPr>
        <w:t>ТЕ</w:t>
      </w:r>
      <w:r w:rsidR="00D53ABC">
        <w:rPr>
          <w:lang w:val="en-US"/>
        </w:rPr>
        <w:t>)</w:t>
      </w:r>
      <w:r w:rsidR="00D53ABC">
        <w:t>. Ова анализа за развој електроенергетског система са велики растом ОИЕ у производњи електричне енергије је пружила аргументе за утврђивање достижне мапе пута у оквиру ИНЕКП-а за период 2021-2030. године са дугорочном перспективом до 2050. године.</w:t>
      </w:r>
    </w:p>
    <w:p w14:paraId="7E170A16" w14:textId="0283AE18" w:rsidR="00D53ABC" w:rsidRDefault="00D53ABC" w:rsidP="002266FA">
      <w:pPr>
        <w:pStyle w:val="LDKBody1"/>
        <w:rPr>
          <w:lang w:val="en-US"/>
        </w:rPr>
      </w:pPr>
      <w:r>
        <w:t xml:space="preserve">Преглед међусобних веза између алата примењених за квантитативну анализу приказану у ИНЕКП-у може се видети на следећој слици док је </w:t>
      </w:r>
      <w:r w:rsidR="008B0548">
        <w:t>детаљнији</w:t>
      </w:r>
      <w:r>
        <w:t xml:space="preserve"> опис дат у Анексу </w:t>
      </w:r>
      <w:r>
        <w:rPr>
          <w:lang w:val="en-US"/>
        </w:rPr>
        <w:t>III.</w:t>
      </w:r>
    </w:p>
    <w:p w14:paraId="0FE01A5C" w14:textId="33866984" w:rsidR="00796337" w:rsidRDefault="00796337" w:rsidP="00565B02">
      <w:pPr>
        <w:pStyle w:val="Caption"/>
        <w:keepNext/>
        <w:jc w:val="both"/>
      </w:pPr>
      <w:bookmarkStart w:id="138" w:name="_Toc153901347"/>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1</w:t>
      </w:r>
      <w:r w:rsidR="00F35B2C">
        <w:fldChar w:fldCharType="end"/>
      </w:r>
      <w:r>
        <w:t xml:space="preserve">: </w:t>
      </w:r>
      <w:r w:rsidRPr="00796337">
        <w:t>Међусобна повезаност између алата за моделирање за развој ИНЕКП-а</w:t>
      </w:r>
      <w:bookmarkEnd w:id="138"/>
    </w:p>
    <w:p w14:paraId="2EDEF262" w14:textId="3CE45230" w:rsidR="00D53ABC" w:rsidRPr="000A2AFE" w:rsidRDefault="008B0548" w:rsidP="000A2AFE">
      <w:pPr>
        <w:pStyle w:val="LDKBody1"/>
        <w:rPr>
          <w:b/>
          <w:lang w:val="en-US"/>
        </w:rPr>
      </w:pPr>
      <w:r>
        <w:rPr>
          <w:noProof/>
          <w:lang w:val="en-US" w:eastAsia="en-US"/>
        </w:rPr>
        <w:drawing>
          <wp:inline distT="0" distB="0" distL="0" distR="0" wp14:anchorId="41C51AA3" wp14:editId="5E7801A7">
            <wp:extent cx="6073140" cy="2377440"/>
            <wp:effectExtent l="0" t="0" r="0" b="0"/>
            <wp:docPr id="1995644296" name="Picture 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644296" name="Picture 1" descr="A diagram of a company&#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73140" cy="2377440"/>
                    </a:xfrm>
                    <a:prstGeom prst="rect">
                      <a:avLst/>
                    </a:prstGeom>
                    <a:noFill/>
                    <a:ln>
                      <a:noFill/>
                    </a:ln>
                  </pic:spPr>
                </pic:pic>
              </a:graphicData>
            </a:graphic>
          </wp:inline>
        </w:drawing>
      </w:r>
    </w:p>
    <w:p w14:paraId="596E96AE" w14:textId="3030B1F7" w:rsidR="00386771" w:rsidRPr="00565B02" w:rsidRDefault="00EA4087" w:rsidP="00F83802">
      <w:pPr>
        <w:pStyle w:val="Heading2"/>
        <w:rPr>
          <w:lang w:val="sr-Cyrl-RS"/>
        </w:rPr>
      </w:pPr>
      <w:bookmarkStart w:id="139" w:name="_Toc137457029"/>
      <w:bookmarkStart w:id="140" w:name="_Toc153901550"/>
      <w:r w:rsidRPr="00565B02">
        <w:rPr>
          <w:lang w:val="sr-Cyrl-RS"/>
        </w:rPr>
        <w:t>Пр</w:t>
      </w:r>
      <w:r w:rsidR="005D310E" w:rsidRPr="00565B02">
        <w:rPr>
          <w:lang w:val="sr-Cyrl-RS"/>
        </w:rPr>
        <w:t xml:space="preserve">ојектовани </w:t>
      </w:r>
      <w:r w:rsidRPr="00565B02">
        <w:rPr>
          <w:lang w:val="sr-Cyrl-RS"/>
        </w:rPr>
        <w:t>развој главних егзогених фактора који утичу на развој енергетског система и емисије GHG</w:t>
      </w:r>
      <w:bookmarkEnd w:id="139"/>
      <w:bookmarkEnd w:id="140"/>
    </w:p>
    <w:p w14:paraId="3BA6D02D" w14:textId="0B7F91F1" w:rsidR="006B23E6" w:rsidRPr="007008EF" w:rsidRDefault="006B23E6" w:rsidP="006B23E6">
      <w:pPr>
        <w:pStyle w:val="LDKBody1"/>
      </w:pPr>
      <w:r>
        <w:t xml:space="preserve">Овај одељак даје кратак приказ најважнијих улазних параметара и основних претпоставки које се користе за формулацију сценарија </w:t>
      </w:r>
      <w:r w:rsidRPr="000A2AFE">
        <w:rPr>
          <w:i/>
          <w:iCs/>
          <w:lang w:val="en-US"/>
        </w:rPr>
        <w:t>WEM</w:t>
      </w:r>
      <w:r>
        <w:rPr>
          <w:lang w:val="en-US"/>
        </w:rPr>
        <w:t xml:space="preserve"> </w:t>
      </w:r>
      <w:r>
        <w:t>за енергетски систем у Републици Србији. Овај сценарио је коришћен као рефере</w:t>
      </w:r>
      <w:r w:rsidR="00F87B87">
        <w:t>нтни сценарио</w:t>
      </w:r>
      <w:r>
        <w:t xml:space="preserve"> за поређење са пројекцијама приказаним у Поглављу 5, у кој</w:t>
      </w:r>
      <w:r w:rsidR="00F87B87">
        <w:t>има</w:t>
      </w:r>
      <w:r>
        <w:t xml:space="preserve"> су обухваћене све додатне мере како би се </w:t>
      </w:r>
      <w:r w:rsidR="00F87B87">
        <w:t>постигли</w:t>
      </w:r>
      <w:r>
        <w:t xml:space="preserve"> циљеви за смањење емисија, удео обновљивих извора енергије и енергетск</w:t>
      </w:r>
      <w:r w:rsidR="00F87B87">
        <w:t>у</w:t>
      </w:r>
      <w:r>
        <w:t xml:space="preserve"> ефикасност. </w:t>
      </w:r>
      <w:r w:rsidR="007B1676">
        <w:t xml:space="preserve">Сценарио </w:t>
      </w:r>
      <w:r w:rsidR="00555057">
        <w:t>са</w:t>
      </w:r>
      <w:r>
        <w:t xml:space="preserve"> постојећим мерама </w:t>
      </w:r>
      <w:r>
        <w:rPr>
          <w:lang w:val="en-US"/>
        </w:rPr>
        <w:t>(</w:t>
      </w:r>
      <w:r w:rsidRPr="000A2AFE">
        <w:rPr>
          <w:i/>
          <w:iCs/>
          <w:lang w:val="en-US"/>
        </w:rPr>
        <w:t>WEM</w:t>
      </w:r>
      <w:r>
        <w:rPr>
          <w:lang w:val="en-US"/>
        </w:rPr>
        <w:t xml:space="preserve">) </w:t>
      </w:r>
      <w:r w:rsidR="007008EF">
        <w:t xml:space="preserve">не обухвата цену угљеника, а постоји низак ниво амбиције у погледу ОИЕ (фиксни капацитети за пројекте), који подразумева могућност додавања до 200 </w:t>
      </w:r>
      <w:r w:rsidR="007008EF">
        <w:rPr>
          <w:lang w:val="en-US"/>
        </w:rPr>
        <w:t xml:space="preserve">MW </w:t>
      </w:r>
      <w:r w:rsidR="00467AE8">
        <w:t xml:space="preserve">капацитета </w:t>
      </w:r>
      <w:r w:rsidR="007008EF">
        <w:t xml:space="preserve">ветра и 200 </w:t>
      </w:r>
      <w:r w:rsidR="007008EF">
        <w:rPr>
          <w:lang w:val="en-US"/>
        </w:rPr>
        <w:t xml:space="preserve">MW </w:t>
      </w:r>
      <w:r w:rsidR="00467AE8">
        <w:t>соларних</w:t>
      </w:r>
      <w:r w:rsidR="007008EF">
        <w:t xml:space="preserve"> капацитета за период од 5 година након 2030. године. </w:t>
      </w:r>
      <w:r w:rsidR="00F87B87">
        <w:t>Т</w:t>
      </w:r>
      <w:r w:rsidR="007008EF">
        <w:t xml:space="preserve">акође обухвата низак удео ОИЕ у даљинском грејању (око 3% </w:t>
      </w:r>
      <w:r w:rsidR="00F87B87">
        <w:t>грејања</w:t>
      </w:r>
      <w:r w:rsidR="007008EF">
        <w:t xml:space="preserve"> из ОИЕ у 2030. години) и низак ниво амбиције у погледу енергетске ефикасности.</w:t>
      </w:r>
    </w:p>
    <w:p w14:paraId="029767FB" w14:textId="71C9A59B" w:rsidR="00506B97" w:rsidRPr="00565B02" w:rsidRDefault="00EA4087">
      <w:pPr>
        <w:pStyle w:val="Heading4"/>
        <w:numPr>
          <w:ilvl w:val="0"/>
          <w:numId w:val="249"/>
        </w:numPr>
        <w:rPr>
          <w:lang w:val="sr-Cyrl-RS"/>
        </w:rPr>
      </w:pPr>
      <w:r w:rsidRPr="00565B02">
        <w:rPr>
          <w:lang w:val="sr-Cyrl-RS"/>
        </w:rPr>
        <w:t>Макроекономске прогнозе</w:t>
      </w:r>
      <w:r w:rsidR="00506B97" w:rsidRPr="00565B02">
        <w:rPr>
          <w:lang w:val="sr-Cyrl-RS"/>
        </w:rPr>
        <w:t xml:space="preserve"> (</w:t>
      </w:r>
      <w:r w:rsidRPr="00565B02">
        <w:rPr>
          <w:lang w:val="sr-Cyrl-RS"/>
        </w:rPr>
        <w:t xml:space="preserve">БДП и </w:t>
      </w:r>
      <w:r w:rsidR="005D310E" w:rsidRPr="00565B02">
        <w:rPr>
          <w:lang w:val="sr-Cyrl-RS"/>
        </w:rPr>
        <w:t>пораст броја</w:t>
      </w:r>
      <w:r w:rsidRPr="00565B02">
        <w:rPr>
          <w:lang w:val="sr-Cyrl-RS"/>
        </w:rPr>
        <w:t xml:space="preserve"> становни</w:t>
      </w:r>
      <w:r w:rsidR="00DF1B0D" w:rsidRPr="00565B02">
        <w:rPr>
          <w:lang w:val="sr-Cyrl-RS"/>
        </w:rPr>
        <w:t>ка</w:t>
      </w:r>
      <w:r w:rsidR="00A23014" w:rsidRPr="00565B02">
        <w:rPr>
          <w:lang w:val="sr-Cyrl-RS"/>
        </w:rPr>
        <w:t>)</w:t>
      </w:r>
    </w:p>
    <w:p w14:paraId="1FD1323F" w14:textId="0D2ADF10" w:rsidR="00F63D7F" w:rsidRPr="00F63D7F" w:rsidRDefault="00F63D7F" w:rsidP="00DF1B0D">
      <w:pPr>
        <w:pStyle w:val="LDKbody"/>
        <w:rPr>
          <w:rFonts w:ascii="Calibri Light" w:eastAsia="Calibri" w:hAnsi="Calibri Light" w:cs="Calibri Light"/>
          <w:lang w:val="sr-Cyrl-RS" w:eastAsia="en-US" w:bidi="sr-Cyrl-CS"/>
        </w:rPr>
      </w:pPr>
      <w:bookmarkStart w:id="141" w:name="_Ref78444677"/>
      <w:r>
        <w:rPr>
          <w:rFonts w:ascii="Calibri Light" w:eastAsia="Calibri" w:hAnsi="Calibri Light" w:cs="Calibri Light"/>
          <w:lang w:val="sr-Cyrl-RS" w:eastAsia="en-US" w:bidi="sr-Cyrl-CS"/>
        </w:rPr>
        <w:t>.</w:t>
      </w:r>
    </w:p>
    <w:p w14:paraId="66707778" w14:textId="1FEB99DF" w:rsidR="00DF1B0D" w:rsidRPr="00FF386D" w:rsidRDefault="00DF1B0D" w:rsidP="00DF1B0D">
      <w:pPr>
        <w:pStyle w:val="LDKbody"/>
        <w:rPr>
          <w:rFonts w:ascii="Calibri Light" w:hAnsi="Calibri Light" w:cs="Calibri Light"/>
          <w:lang w:val="sr-Cyrl-RS"/>
        </w:rPr>
      </w:pPr>
      <w:r w:rsidRPr="00FF386D">
        <w:rPr>
          <w:rFonts w:ascii="Calibri Light" w:eastAsia="Calibri" w:hAnsi="Calibri Light" w:cs="Calibri Light"/>
          <w:lang w:val="sr-Cyrl-RS" w:eastAsia="en-US" w:bidi="sr-Cyrl-CS"/>
        </w:rPr>
        <w:lastRenderedPageBreak/>
        <w:t>Најважнији фактори подстицаја потражње за енергијом су развој БДП-а и тренд броја становника до 2050. године. Као што је приказано на</w:t>
      </w:r>
      <w:r w:rsidR="00796337" w:rsidRPr="00565B02">
        <w:rPr>
          <w:rFonts w:ascii="Calibri Light" w:eastAsia="Calibri" w:hAnsi="Calibri Light" w:cs="Calibri Light"/>
          <w:lang w:val="sr-Cyrl-RS" w:eastAsia="en-US" w:bidi="sr-Cyrl-CS"/>
        </w:rPr>
        <w:t xml:space="preserve"> </w:t>
      </w:r>
      <w:r w:rsidR="00796337" w:rsidRPr="00565B02">
        <w:rPr>
          <w:rFonts w:ascii="Calibri Light" w:eastAsia="Calibri" w:hAnsi="Calibri Light" w:cs="Calibri Light"/>
          <w:lang w:val="sr-Cyrl-RS" w:eastAsia="en-US" w:bidi="sr-Cyrl-CS"/>
        </w:rPr>
        <w:fldChar w:fldCharType="begin"/>
      </w:r>
      <w:r w:rsidR="00796337" w:rsidRPr="00565B02">
        <w:rPr>
          <w:rFonts w:ascii="Calibri Light" w:eastAsia="Calibri" w:hAnsi="Calibri Light" w:cs="Calibri Light"/>
          <w:lang w:val="sr-Cyrl-RS" w:eastAsia="en-US" w:bidi="sr-Cyrl-CS"/>
        </w:rPr>
        <w:instrText xml:space="preserve"> REF _Ref153808263 \h </w:instrText>
      </w:r>
      <w:r w:rsidR="00796337">
        <w:rPr>
          <w:rFonts w:ascii="Calibri Light" w:eastAsia="Calibri" w:hAnsi="Calibri Light" w:cs="Calibri Light"/>
          <w:lang w:val="sr-Cyrl-RS" w:eastAsia="en-US" w:bidi="sr-Cyrl-CS"/>
        </w:rPr>
        <w:instrText xml:space="preserve"> \* MERGEFORMAT </w:instrText>
      </w:r>
      <w:r w:rsidR="00796337" w:rsidRPr="00565B02">
        <w:rPr>
          <w:rFonts w:ascii="Calibri Light" w:eastAsia="Calibri" w:hAnsi="Calibri Light" w:cs="Calibri Light"/>
          <w:lang w:val="sr-Cyrl-RS" w:eastAsia="en-US" w:bidi="sr-Cyrl-CS"/>
        </w:rPr>
      </w:r>
      <w:r w:rsidR="00796337" w:rsidRPr="00565B02">
        <w:rPr>
          <w:rFonts w:ascii="Calibri Light" w:eastAsia="Calibri" w:hAnsi="Calibri Light" w:cs="Calibri Light"/>
          <w:lang w:val="sr-Cyrl-RS" w:eastAsia="en-US" w:bidi="sr-Cyrl-CS"/>
        </w:rPr>
        <w:fldChar w:fldCharType="separate"/>
      </w:r>
      <w:r w:rsidR="00796337" w:rsidRPr="00565B02">
        <w:rPr>
          <w:rFonts w:ascii="Calibri Light" w:eastAsia="Calibri" w:hAnsi="Calibri Light" w:cs="Calibri Light"/>
          <w:lang w:val="sr-Cyrl-RS" w:eastAsia="en-US" w:bidi="sr-Cyrl-CS"/>
        </w:rPr>
        <w:t>слици 4.2</w:t>
      </w:r>
      <w:r w:rsidR="00796337" w:rsidRPr="00565B02">
        <w:rPr>
          <w:rFonts w:ascii="Calibri Light" w:eastAsia="Calibri" w:hAnsi="Calibri Light" w:cs="Calibri Light"/>
          <w:lang w:val="sr-Cyrl-RS" w:eastAsia="en-US" w:bidi="sr-Cyrl-CS"/>
        </w:rPr>
        <w:fldChar w:fldCharType="end"/>
      </w:r>
      <w:r w:rsidR="006D48D9" w:rsidRPr="00565B02">
        <w:rPr>
          <w:rFonts w:ascii="Calibri Light" w:eastAsia="Calibri" w:hAnsi="Calibri Light" w:cs="Calibri Light"/>
          <w:lang w:val="sr-Cyrl-RS" w:eastAsia="en-US" w:bidi="sr-Cyrl-CS"/>
        </w:rPr>
        <w:t>,</w:t>
      </w:r>
      <w:r w:rsidR="00EA4087" w:rsidRPr="00565B02">
        <w:rPr>
          <w:rFonts w:ascii="Calibri Light" w:eastAsia="Calibri" w:hAnsi="Calibri Light" w:cs="Calibri Light"/>
          <w:lang w:val="sr-Cyrl-RS" w:eastAsia="en-US" w:bidi="sr-Cyrl-CS"/>
        </w:rPr>
        <w:t xml:space="preserve"> </w:t>
      </w:r>
      <w:r w:rsidRPr="00565B02">
        <w:rPr>
          <w:rFonts w:ascii="Calibri Light" w:eastAsia="Calibri" w:hAnsi="Calibri Light" w:cs="Calibri Light"/>
          <w:lang w:val="sr-Cyrl-RS" w:eastAsia="en-US" w:bidi="sr-Cyrl-CS"/>
        </w:rPr>
        <w:t>забележен</w:t>
      </w:r>
      <w:r w:rsidRPr="00FF386D">
        <w:rPr>
          <w:rFonts w:asciiTheme="majorHAnsi" w:hAnsiTheme="majorHAnsi" w:cstheme="majorHAnsi"/>
          <w:lang w:val="sr-Cyrl-RS" w:bidi="sr-Cyrl-CS"/>
        </w:rPr>
        <w:t xml:space="preserve"> је константан пад</w:t>
      </w:r>
      <w:r w:rsidRPr="00FF386D">
        <w:rPr>
          <w:lang w:val="sr-Cyrl-RS" w:bidi="sr-Cyrl-CS"/>
        </w:rPr>
        <w:t xml:space="preserve"> </w:t>
      </w:r>
      <w:r w:rsidRPr="00FF386D">
        <w:rPr>
          <w:rFonts w:ascii="Calibri Light" w:hAnsi="Calibri Light" w:cs="Calibri Light"/>
          <w:lang w:val="sr-Cyrl-RS" w:bidi="sr-Cyrl-CS"/>
        </w:rPr>
        <w:t>броја становника Републике Србије у периоду 2010-20</w:t>
      </w:r>
      <w:r w:rsidR="00E1207D" w:rsidRPr="00FF386D">
        <w:rPr>
          <w:rFonts w:ascii="Calibri Light" w:hAnsi="Calibri Light" w:cs="Calibri Light"/>
          <w:lang w:val="sr-Cyrl-RS" w:bidi="sr-Cyrl-CS"/>
        </w:rPr>
        <w:t>20</w:t>
      </w:r>
      <w:r w:rsidRPr="00FF386D">
        <w:rPr>
          <w:rFonts w:ascii="Calibri Light" w:hAnsi="Calibri Light" w:cs="Calibri Light"/>
          <w:lang w:val="sr-Cyrl-RS" w:bidi="sr-Cyrl-CS"/>
        </w:rPr>
        <w:t>. године, и то са 7,3 милиона у 2010. години на 6,93 милиона у 2020. години, док је годишњи БДП, у текућим ценама, порастао током поменутог периода са 31,5 милијарде евра у 2010. години на 46,8 милијарди евра у 2020. години.</w:t>
      </w:r>
    </w:p>
    <w:p w14:paraId="30F1CC5A" w14:textId="16185B8A" w:rsidR="00796337" w:rsidRDefault="00796337" w:rsidP="00565B02">
      <w:pPr>
        <w:pStyle w:val="Caption"/>
        <w:keepNext/>
      </w:pPr>
      <w:bookmarkStart w:id="142" w:name="_Ref153808263"/>
      <w:bookmarkStart w:id="143" w:name="_Toc153901348"/>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2</w:t>
      </w:r>
      <w:r w:rsidR="00F35B2C">
        <w:fldChar w:fldCharType="end"/>
      </w:r>
      <w:bookmarkEnd w:id="142"/>
      <w:r>
        <w:t xml:space="preserve">: </w:t>
      </w:r>
      <w:r w:rsidRPr="00796337">
        <w:t>Историјски подаци о БДП-у и броју становника у периоду 2010-2020. године (Извори: Републички завод за статистику, Министарство финансија, Народна банка)</w:t>
      </w:r>
      <w:bookmarkEnd w:id="143"/>
    </w:p>
    <w:p w14:paraId="1295991B" w14:textId="62D98543" w:rsidR="000161BB" w:rsidRPr="00FF386D" w:rsidRDefault="000161BB" w:rsidP="000161BB">
      <w:pPr>
        <w:jc w:val="center"/>
        <w:rPr>
          <w:lang w:bidi="sr-Cyrl-CS"/>
        </w:rPr>
      </w:pPr>
      <w:r w:rsidRPr="004F53D7">
        <w:rPr>
          <w:noProof/>
          <w:lang w:val="en-US"/>
        </w:rPr>
        <w:drawing>
          <wp:inline distT="0" distB="0" distL="0" distR="0" wp14:anchorId="7A627338" wp14:editId="5D43C09D">
            <wp:extent cx="5234305" cy="2594669"/>
            <wp:effectExtent l="0" t="0" r="0" b="0"/>
            <wp:docPr id="1344945103" name="Picture 1344945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43317" cy="2599136"/>
                    </a:xfrm>
                    <a:prstGeom prst="rect">
                      <a:avLst/>
                    </a:prstGeom>
                    <a:noFill/>
                  </pic:spPr>
                </pic:pic>
              </a:graphicData>
            </a:graphic>
          </wp:inline>
        </w:drawing>
      </w:r>
    </w:p>
    <w:p w14:paraId="63A84EC9" w14:textId="7AA15867" w:rsidR="007264C1" w:rsidRPr="00FF386D" w:rsidRDefault="00DF1B0D" w:rsidP="007264C1">
      <w:pPr>
        <w:pStyle w:val="LDKbody"/>
        <w:rPr>
          <w:rFonts w:asciiTheme="majorHAnsi" w:hAnsiTheme="majorHAnsi" w:cstheme="majorHAnsi"/>
          <w:lang w:val="sr-Cyrl-RS"/>
        </w:rPr>
      </w:pPr>
      <w:r w:rsidRPr="00FF386D">
        <w:rPr>
          <w:rFonts w:ascii="Calibri Light" w:eastAsia="Calibri" w:hAnsi="Calibri Light" w:cs="Calibri Light"/>
          <w:lang w:val="sr-Cyrl-RS" w:eastAsia="en-US" w:bidi="sr-Cyrl-CS"/>
        </w:rPr>
        <w:t xml:space="preserve">Пројекција броја становника приказана је на </w:t>
      </w:r>
      <w:r w:rsidR="00796337">
        <w:rPr>
          <w:rFonts w:ascii="Calibri Light" w:eastAsia="Calibri" w:hAnsi="Calibri Light" w:cs="Calibri Light"/>
          <w:lang w:val="sr-Cyrl-RS" w:eastAsia="en-US" w:bidi="sr-Cyrl-CS"/>
        </w:rPr>
        <w:fldChar w:fldCharType="begin"/>
      </w:r>
      <w:r w:rsidR="00796337">
        <w:rPr>
          <w:rFonts w:ascii="Calibri Light" w:eastAsia="Calibri" w:hAnsi="Calibri Light" w:cs="Calibri Light"/>
          <w:lang w:val="sr-Cyrl-RS" w:eastAsia="en-US" w:bidi="sr-Cyrl-CS"/>
        </w:rPr>
        <w:instrText xml:space="preserve"> REF _Ref153808303 \h  \* MERGEFORMAT </w:instrText>
      </w:r>
      <w:r w:rsidR="00796337">
        <w:rPr>
          <w:rFonts w:ascii="Calibri Light" w:eastAsia="Calibri" w:hAnsi="Calibri Light" w:cs="Calibri Light"/>
          <w:lang w:val="sr-Cyrl-RS" w:eastAsia="en-US" w:bidi="sr-Cyrl-CS"/>
        </w:rPr>
      </w:r>
      <w:r w:rsidR="00796337">
        <w:rPr>
          <w:rFonts w:ascii="Calibri Light" w:eastAsia="Calibri" w:hAnsi="Calibri Light" w:cs="Calibri Light"/>
          <w:lang w:val="sr-Cyrl-RS" w:eastAsia="en-US" w:bidi="sr-Cyrl-CS"/>
        </w:rPr>
        <w:fldChar w:fldCharType="separate"/>
      </w:r>
      <w:r w:rsidR="00796337" w:rsidRPr="00565B02">
        <w:rPr>
          <w:rFonts w:ascii="Calibri Light" w:eastAsia="Calibri" w:hAnsi="Calibri Light" w:cs="Calibri Light"/>
          <w:lang w:val="sr-Cyrl-RS" w:eastAsia="en-US" w:bidi="sr-Cyrl-CS"/>
        </w:rPr>
        <w:t>слици 4.3</w:t>
      </w:r>
      <w:r w:rsidR="00796337">
        <w:rPr>
          <w:rFonts w:ascii="Calibri Light" w:eastAsia="Calibri" w:hAnsi="Calibri Light" w:cs="Calibri Light"/>
          <w:lang w:val="sr-Cyrl-RS" w:eastAsia="en-US" w:bidi="sr-Cyrl-CS"/>
        </w:rPr>
        <w:fldChar w:fldCharType="end"/>
      </w:r>
      <w:r w:rsidR="00796337">
        <w:rPr>
          <w:rFonts w:ascii="Calibri Light" w:eastAsia="Calibri" w:hAnsi="Calibri Light" w:cs="Calibri Light"/>
          <w:lang w:val="sr-Cyrl-RS" w:eastAsia="en-US" w:bidi="sr-Cyrl-CS"/>
        </w:rPr>
        <w:t xml:space="preserve"> </w:t>
      </w:r>
      <w:r w:rsidR="005D310E" w:rsidRPr="00FF386D">
        <w:rPr>
          <w:rFonts w:asciiTheme="majorHAnsi" w:hAnsiTheme="majorHAnsi" w:cstheme="majorHAnsi"/>
          <w:lang w:val="sr-Cyrl-RS" w:bidi="sr-Cyrl-CS"/>
        </w:rPr>
        <w:t xml:space="preserve">и </w:t>
      </w:r>
      <w:r w:rsidR="005D310E" w:rsidRPr="00565B02">
        <w:rPr>
          <w:rFonts w:ascii="Calibri Light" w:eastAsia="Calibri" w:hAnsi="Calibri Light" w:cs="Calibri Light"/>
          <w:lang w:val="sr-Cyrl-RS" w:eastAsia="en-US" w:bidi="sr-Cyrl-CS"/>
        </w:rPr>
        <w:t>у</w:t>
      </w:r>
      <w:r w:rsidR="00FF3C4A" w:rsidRPr="00565B02">
        <w:rPr>
          <w:rFonts w:ascii="Calibri Light" w:eastAsia="Calibri" w:hAnsi="Calibri Light" w:cs="Calibri Light"/>
          <w:lang w:val="sr-Cyrl-RS" w:eastAsia="en-US" w:bidi="sr-Cyrl-CS"/>
        </w:rPr>
        <w:t xml:space="preserve"> </w:t>
      </w:r>
      <w:r w:rsidR="00FF3C4A" w:rsidRPr="00565B02">
        <w:rPr>
          <w:rFonts w:ascii="Calibri Light" w:eastAsia="Calibri" w:hAnsi="Calibri Light" w:cs="Calibri Light"/>
          <w:lang w:val="sr-Cyrl-RS" w:eastAsia="en-US" w:bidi="sr-Cyrl-CS"/>
        </w:rPr>
        <w:fldChar w:fldCharType="begin"/>
      </w:r>
      <w:r w:rsidR="00FF3C4A" w:rsidRPr="00565B02">
        <w:rPr>
          <w:rFonts w:ascii="Calibri Light" w:eastAsia="Calibri" w:hAnsi="Calibri Light" w:cs="Calibri Light"/>
          <w:lang w:val="sr-Cyrl-RS" w:eastAsia="en-US" w:bidi="sr-Cyrl-CS"/>
        </w:rPr>
        <w:instrText xml:space="preserve"> REF _Ref153809617 \h </w:instrText>
      </w:r>
      <w:r w:rsidR="00FF3C4A">
        <w:rPr>
          <w:rFonts w:ascii="Calibri Light" w:eastAsia="Calibri" w:hAnsi="Calibri Light" w:cs="Calibri Light"/>
          <w:lang w:val="sr-Cyrl-RS" w:eastAsia="en-US" w:bidi="sr-Cyrl-CS"/>
        </w:rPr>
        <w:instrText xml:space="preserve"> \* MERGEFORMAT </w:instrText>
      </w:r>
      <w:r w:rsidR="00FF3C4A" w:rsidRPr="00565B02">
        <w:rPr>
          <w:rFonts w:ascii="Calibri Light" w:eastAsia="Calibri" w:hAnsi="Calibri Light" w:cs="Calibri Light"/>
          <w:lang w:val="sr-Cyrl-RS" w:eastAsia="en-US" w:bidi="sr-Cyrl-CS"/>
        </w:rPr>
      </w:r>
      <w:r w:rsidR="00FF3C4A" w:rsidRPr="00565B02">
        <w:rPr>
          <w:rFonts w:ascii="Calibri Light" w:eastAsia="Calibri" w:hAnsi="Calibri Light" w:cs="Calibri Light"/>
          <w:lang w:val="sr-Cyrl-RS" w:eastAsia="en-US" w:bidi="sr-Cyrl-CS"/>
        </w:rPr>
        <w:fldChar w:fldCharType="separate"/>
      </w:r>
      <w:r w:rsidR="00FF3C4A" w:rsidRPr="00565B02">
        <w:rPr>
          <w:rFonts w:ascii="Calibri Light" w:eastAsia="Calibri" w:hAnsi="Calibri Light" w:cs="Calibri Light"/>
          <w:lang w:val="sr-Cyrl-RS" w:eastAsia="en-US" w:bidi="sr-Cyrl-CS"/>
        </w:rPr>
        <w:t>табели 4.1</w:t>
      </w:r>
      <w:r w:rsidR="00FF3C4A" w:rsidRPr="00565B02">
        <w:rPr>
          <w:rFonts w:ascii="Calibri Light" w:eastAsia="Calibri" w:hAnsi="Calibri Light" w:cs="Calibri Light"/>
          <w:lang w:val="sr-Cyrl-RS" w:eastAsia="en-US" w:bidi="sr-Cyrl-CS"/>
        </w:rPr>
        <w:fldChar w:fldCharType="end"/>
      </w:r>
      <w:r w:rsidR="00EF7753" w:rsidRPr="00565B02">
        <w:rPr>
          <w:rFonts w:ascii="Calibri Light" w:eastAsia="Calibri" w:hAnsi="Calibri Light" w:cs="Calibri Light"/>
          <w:lang w:val="sr-Cyrl-RS" w:eastAsia="en-US" w:bidi="sr-Cyrl-CS"/>
        </w:rPr>
        <w:t xml:space="preserve"> </w:t>
      </w:r>
      <w:r w:rsidR="007264C1" w:rsidRPr="00565B02">
        <w:rPr>
          <w:rFonts w:ascii="Calibri Light" w:eastAsia="Calibri" w:hAnsi="Calibri Light" w:cs="Calibri Light"/>
          <w:lang w:val="sr-Cyrl-RS" w:eastAsia="en-US" w:bidi="sr-Cyrl-CS"/>
        </w:rPr>
        <w:t>на основу</w:t>
      </w:r>
      <w:r w:rsidR="007264C1" w:rsidRPr="00FF386D">
        <w:rPr>
          <w:rFonts w:asciiTheme="majorHAnsi" w:hAnsiTheme="majorHAnsi" w:cstheme="majorHAnsi"/>
          <w:lang w:val="sr-Cyrl-RS" w:bidi="sr-Cyrl-CS"/>
        </w:rPr>
        <w:t xml:space="preserve"> </w:t>
      </w:r>
      <w:r w:rsidR="005D310E" w:rsidRPr="00FF386D">
        <w:rPr>
          <w:rFonts w:asciiTheme="majorHAnsi" w:hAnsiTheme="majorHAnsi" w:cstheme="majorHAnsi"/>
          <w:lang w:val="sr-Cyrl-RS" w:bidi="sr-Cyrl-CS"/>
        </w:rPr>
        <w:t xml:space="preserve">средњорочног </w:t>
      </w:r>
      <w:r w:rsidR="007264C1" w:rsidRPr="00FF386D">
        <w:rPr>
          <w:rFonts w:asciiTheme="majorHAnsi" w:hAnsiTheme="majorHAnsi" w:cstheme="majorHAnsi"/>
          <w:lang w:val="sr-Cyrl-RS" w:bidi="sr-Cyrl-CS"/>
        </w:rPr>
        <w:t xml:space="preserve">сценарија Републичког завода за статистику (РЗС). Краткорочну пројекцију БДП-а (до 2026. године) </w:t>
      </w:r>
      <w:r w:rsidR="005D310E" w:rsidRPr="00FF386D">
        <w:rPr>
          <w:rFonts w:asciiTheme="majorHAnsi" w:hAnsiTheme="majorHAnsi" w:cstheme="majorHAnsi"/>
          <w:lang w:val="sr-Cyrl-RS" w:bidi="sr-Cyrl-CS"/>
        </w:rPr>
        <w:t xml:space="preserve">је </w:t>
      </w:r>
      <w:r w:rsidR="007264C1" w:rsidRPr="00FF386D">
        <w:rPr>
          <w:rFonts w:asciiTheme="majorHAnsi" w:hAnsiTheme="majorHAnsi" w:cstheme="majorHAnsi"/>
          <w:lang w:val="sr-Cyrl-RS" w:bidi="sr-Cyrl-CS"/>
        </w:rPr>
        <w:t>изв</w:t>
      </w:r>
      <w:r w:rsidR="005D310E" w:rsidRPr="00FF386D">
        <w:rPr>
          <w:rFonts w:asciiTheme="majorHAnsi" w:hAnsiTheme="majorHAnsi" w:cstheme="majorHAnsi"/>
          <w:lang w:val="sr-Cyrl-RS" w:bidi="sr-Cyrl-CS"/>
        </w:rPr>
        <w:t xml:space="preserve">ела </w:t>
      </w:r>
      <w:r w:rsidR="007264C1" w:rsidRPr="00FF386D">
        <w:rPr>
          <w:rFonts w:asciiTheme="majorHAnsi" w:hAnsiTheme="majorHAnsi" w:cstheme="majorHAnsi"/>
          <w:lang w:val="sr-Cyrl-RS" w:bidi="sr-Cyrl-CS"/>
        </w:rPr>
        <w:t>Народна банка Србије, док су сценарији Заједничких социо-економских путања (</w:t>
      </w:r>
      <w:r w:rsidR="007264C1" w:rsidRPr="00FF386D">
        <w:rPr>
          <w:rFonts w:asciiTheme="majorHAnsi" w:hAnsiTheme="majorHAnsi" w:cstheme="majorHAnsi"/>
          <w:i/>
          <w:lang w:val="sr-Cyrl-RS" w:bidi="sr-Cyrl-CS"/>
        </w:rPr>
        <w:t>SSP</w:t>
      </w:r>
      <w:r w:rsidR="007264C1" w:rsidRPr="00FF386D">
        <w:rPr>
          <w:rFonts w:asciiTheme="majorHAnsi" w:hAnsiTheme="majorHAnsi" w:cstheme="majorHAnsi"/>
          <w:lang w:val="sr-Cyrl-RS" w:bidi="sr-Cyrl-CS"/>
        </w:rPr>
        <w:t>)</w:t>
      </w:r>
      <w:r w:rsidR="007264C1" w:rsidRPr="00FF386D">
        <w:rPr>
          <w:rFonts w:asciiTheme="majorHAnsi" w:hAnsiTheme="majorHAnsi" w:cstheme="majorHAnsi"/>
          <w:vertAlign w:val="superscript"/>
          <w:lang w:val="sr-Cyrl-RS" w:bidi="sr-Cyrl-CS"/>
        </w:rPr>
        <w:footnoteReference w:id="119"/>
      </w:r>
      <w:r w:rsidR="007264C1" w:rsidRPr="00FF386D">
        <w:rPr>
          <w:rFonts w:asciiTheme="majorHAnsi" w:hAnsiTheme="majorHAnsi" w:cstheme="majorHAnsi"/>
          <w:lang w:val="sr-Cyrl-RS" w:bidi="sr-Cyrl-CS"/>
        </w:rPr>
        <w:t xml:space="preserve"> узети у обзир </w:t>
      </w:r>
      <w:r w:rsidR="005D310E" w:rsidRPr="00FF386D">
        <w:rPr>
          <w:rFonts w:asciiTheme="majorHAnsi" w:hAnsiTheme="majorHAnsi" w:cstheme="majorHAnsi"/>
          <w:lang w:val="sr-Cyrl-RS" w:bidi="sr-Cyrl-CS"/>
        </w:rPr>
        <w:t>приликом</w:t>
      </w:r>
      <w:r w:rsidR="007264C1" w:rsidRPr="00FF386D">
        <w:rPr>
          <w:rFonts w:asciiTheme="majorHAnsi" w:hAnsiTheme="majorHAnsi" w:cstheme="majorHAnsi"/>
          <w:lang w:val="sr-Cyrl-RS" w:bidi="sr-Cyrl-CS"/>
        </w:rPr>
        <w:t xml:space="preserve"> средњорочне и дугорочне пројекције БДП-а.</w:t>
      </w:r>
    </w:p>
    <w:p w14:paraId="21B81EE0" w14:textId="31D967CF" w:rsidR="00796337" w:rsidRDefault="00796337" w:rsidP="00565B02">
      <w:pPr>
        <w:pStyle w:val="Caption"/>
        <w:keepNext/>
      </w:pPr>
      <w:bookmarkStart w:id="144" w:name="_Ref153808303"/>
      <w:bookmarkStart w:id="145" w:name="_Toc153901349"/>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3</w:t>
      </w:r>
      <w:r w:rsidR="00F35B2C">
        <w:fldChar w:fldCharType="end"/>
      </w:r>
      <w:bookmarkEnd w:id="144"/>
      <w:r>
        <w:t xml:space="preserve">: </w:t>
      </w:r>
      <w:r w:rsidRPr="00796337">
        <w:t>Развој БДП-а (у константном Евро 2015) и броја становника у периоду 2020-2050. године (Извори: Републички завод за статистику, Министарство финансија, Народна банка, пројекције на основу SSP)</w:t>
      </w:r>
      <w:bookmarkEnd w:id="145"/>
    </w:p>
    <w:p w14:paraId="3BABBEB8" w14:textId="5EBFC399" w:rsidR="00030EFC" w:rsidRPr="00FF386D" w:rsidRDefault="00030EFC" w:rsidP="00030EFC">
      <w:pPr>
        <w:jc w:val="center"/>
      </w:pPr>
      <w:r w:rsidRPr="004F53D7">
        <w:rPr>
          <w:noProof/>
          <w:lang w:val="en-US"/>
        </w:rPr>
        <w:drawing>
          <wp:inline distT="0" distB="0" distL="0" distR="0" wp14:anchorId="0A856432" wp14:editId="2345C581">
            <wp:extent cx="4767580" cy="262128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67580" cy="2621280"/>
                    </a:xfrm>
                    <a:prstGeom prst="rect">
                      <a:avLst/>
                    </a:prstGeom>
                    <a:noFill/>
                  </pic:spPr>
                </pic:pic>
              </a:graphicData>
            </a:graphic>
          </wp:inline>
        </w:drawing>
      </w:r>
    </w:p>
    <w:p w14:paraId="53481E47" w14:textId="274FB8B7" w:rsidR="00FF3C4A" w:rsidRDefault="00FF3C4A" w:rsidP="00565B02">
      <w:pPr>
        <w:pStyle w:val="Caption"/>
        <w:keepNext/>
      </w:pPr>
      <w:bookmarkStart w:id="146" w:name="_Ref153809617"/>
      <w:bookmarkStart w:id="147" w:name="_Toc153901473"/>
      <w:r>
        <w:lastRenderedPageBreak/>
        <w:t xml:space="preserve">Табела </w:t>
      </w:r>
      <w:r w:rsidR="00873C40">
        <w:fldChar w:fldCharType="begin"/>
      </w:r>
      <w:r w:rsidR="00873C40">
        <w:instrText xml:space="preserve"> STYLEREF 1 \s </w:instrText>
      </w:r>
      <w:r w:rsidR="00873C40">
        <w:fldChar w:fldCharType="separate"/>
      </w:r>
      <w:r w:rsidR="00873C40">
        <w:rPr>
          <w:noProof/>
        </w:rPr>
        <w:t>4</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1</w:t>
      </w:r>
      <w:r w:rsidR="00873C40">
        <w:fldChar w:fldCharType="end"/>
      </w:r>
      <w:bookmarkEnd w:id="146"/>
      <w:r>
        <w:t xml:space="preserve">: </w:t>
      </w:r>
      <w:r w:rsidRPr="00FF3C4A">
        <w:t>Нумерички развој БДП-а и становника у периоду 2020-2050. година (Извори: Републички завод за статистику, Министарство финансија, Народна банка, пројекције на основу SSP)</w:t>
      </w:r>
      <w:bookmarkEnd w:id="147"/>
    </w:p>
    <w:tbl>
      <w:tblPr>
        <w:tblStyle w:val="TableGrid"/>
        <w:tblW w:w="0" w:type="auto"/>
        <w:jc w:val="center"/>
        <w:tblLook w:val="04A0" w:firstRow="1" w:lastRow="0" w:firstColumn="1" w:lastColumn="0" w:noHBand="0" w:noVBand="1"/>
      </w:tblPr>
      <w:tblGrid>
        <w:gridCol w:w="1414"/>
        <w:gridCol w:w="980"/>
        <w:gridCol w:w="980"/>
        <w:gridCol w:w="980"/>
        <w:gridCol w:w="980"/>
        <w:gridCol w:w="980"/>
        <w:gridCol w:w="980"/>
        <w:gridCol w:w="1000"/>
      </w:tblGrid>
      <w:tr w:rsidR="006D48D9" w:rsidRPr="00FF386D" w14:paraId="6F112135" w14:textId="77777777" w:rsidTr="00FF03FA">
        <w:trPr>
          <w:trHeight w:val="300"/>
          <w:jc w:val="center"/>
        </w:trPr>
        <w:tc>
          <w:tcPr>
            <w:tcW w:w="1414" w:type="dxa"/>
            <w:noWrap/>
            <w:vAlign w:val="center"/>
            <w:hideMark/>
          </w:tcPr>
          <w:p w14:paraId="38DA6C2B" w14:textId="77777777" w:rsidR="006D48D9" w:rsidRPr="00FF386D" w:rsidRDefault="006D48D9" w:rsidP="00FF03FA">
            <w:pPr>
              <w:pStyle w:val="Caption"/>
              <w:jc w:val="center"/>
              <w:rPr>
                <w:lang w:eastAsia="el-GR"/>
              </w:rPr>
            </w:pPr>
          </w:p>
        </w:tc>
        <w:tc>
          <w:tcPr>
            <w:tcW w:w="980" w:type="dxa"/>
            <w:noWrap/>
            <w:vAlign w:val="center"/>
            <w:hideMark/>
          </w:tcPr>
          <w:p w14:paraId="2E748597" w14:textId="6B7B9FED" w:rsidR="006D48D9" w:rsidRPr="00FF386D" w:rsidRDefault="006D48D9" w:rsidP="00FF03FA">
            <w:pPr>
              <w:pStyle w:val="Caption"/>
              <w:jc w:val="center"/>
              <w:rPr>
                <w:lang w:eastAsia="el-GR"/>
              </w:rPr>
            </w:pPr>
            <w:r w:rsidRPr="00FF386D">
              <w:rPr>
                <w:lang w:eastAsia="el-GR"/>
              </w:rPr>
              <w:t>2020</w:t>
            </w:r>
            <w:r w:rsidR="00080193" w:rsidRPr="00FF386D">
              <w:rPr>
                <w:lang w:eastAsia="el-GR"/>
              </w:rPr>
              <w:t>.</w:t>
            </w:r>
          </w:p>
        </w:tc>
        <w:tc>
          <w:tcPr>
            <w:tcW w:w="980" w:type="dxa"/>
            <w:noWrap/>
            <w:vAlign w:val="center"/>
            <w:hideMark/>
          </w:tcPr>
          <w:p w14:paraId="4735AEC6" w14:textId="00B341AF" w:rsidR="006D48D9" w:rsidRPr="00FF386D" w:rsidRDefault="006D48D9" w:rsidP="00FF03FA">
            <w:pPr>
              <w:pStyle w:val="Caption"/>
              <w:jc w:val="center"/>
              <w:rPr>
                <w:lang w:eastAsia="el-GR"/>
              </w:rPr>
            </w:pPr>
            <w:r w:rsidRPr="00FF386D">
              <w:rPr>
                <w:lang w:eastAsia="el-GR"/>
              </w:rPr>
              <w:t>2025</w:t>
            </w:r>
            <w:r w:rsidR="00080193" w:rsidRPr="00FF386D">
              <w:rPr>
                <w:lang w:eastAsia="el-GR"/>
              </w:rPr>
              <w:t>.</w:t>
            </w:r>
          </w:p>
        </w:tc>
        <w:tc>
          <w:tcPr>
            <w:tcW w:w="980" w:type="dxa"/>
            <w:noWrap/>
            <w:vAlign w:val="center"/>
            <w:hideMark/>
          </w:tcPr>
          <w:p w14:paraId="717EAF41" w14:textId="77EB9057" w:rsidR="006D48D9" w:rsidRPr="00FF386D" w:rsidRDefault="006D48D9" w:rsidP="00FF03FA">
            <w:pPr>
              <w:pStyle w:val="Caption"/>
              <w:jc w:val="center"/>
              <w:rPr>
                <w:lang w:eastAsia="el-GR"/>
              </w:rPr>
            </w:pPr>
            <w:r w:rsidRPr="00FF386D">
              <w:rPr>
                <w:lang w:eastAsia="el-GR"/>
              </w:rPr>
              <w:t>2030</w:t>
            </w:r>
            <w:r w:rsidR="00080193" w:rsidRPr="00FF386D">
              <w:rPr>
                <w:lang w:eastAsia="el-GR"/>
              </w:rPr>
              <w:t>.</w:t>
            </w:r>
          </w:p>
        </w:tc>
        <w:tc>
          <w:tcPr>
            <w:tcW w:w="980" w:type="dxa"/>
            <w:noWrap/>
            <w:vAlign w:val="center"/>
            <w:hideMark/>
          </w:tcPr>
          <w:p w14:paraId="24163BD6" w14:textId="230D5B89" w:rsidR="006D48D9" w:rsidRPr="00FF386D" w:rsidRDefault="006D48D9" w:rsidP="00FF03FA">
            <w:pPr>
              <w:pStyle w:val="Caption"/>
              <w:jc w:val="center"/>
              <w:rPr>
                <w:lang w:eastAsia="el-GR"/>
              </w:rPr>
            </w:pPr>
            <w:r w:rsidRPr="00FF386D">
              <w:rPr>
                <w:lang w:eastAsia="el-GR"/>
              </w:rPr>
              <w:t>2035</w:t>
            </w:r>
            <w:r w:rsidR="00080193" w:rsidRPr="00FF386D">
              <w:rPr>
                <w:lang w:eastAsia="el-GR"/>
              </w:rPr>
              <w:t>.</w:t>
            </w:r>
          </w:p>
        </w:tc>
        <w:tc>
          <w:tcPr>
            <w:tcW w:w="980" w:type="dxa"/>
            <w:noWrap/>
            <w:vAlign w:val="center"/>
            <w:hideMark/>
          </w:tcPr>
          <w:p w14:paraId="040257E3" w14:textId="527D546F" w:rsidR="006D48D9" w:rsidRPr="00FF386D" w:rsidRDefault="006D48D9" w:rsidP="00FF03FA">
            <w:pPr>
              <w:pStyle w:val="Caption"/>
              <w:jc w:val="center"/>
              <w:rPr>
                <w:lang w:eastAsia="el-GR"/>
              </w:rPr>
            </w:pPr>
            <w:r w:rsidRPr="00FF386D">
              <w:rPr>
                <w:lang w:eastAsia="el-GR"/>
              </w:rPr>
              <w:t>2040</w:t>
            </w:r>
            <w:r w:rsidR="00080193" w:rsidRPr="00FF386D">
              <w:rPr>
                <w:lang w:eastAsia="el-GR"/>
              </w:rPr>
              <w:t>.</w:t>
            </w:r>
          </w:p>
        </w:tc>
        <w:tc>
          <w:tcPr>
            <w:tcW w:w="980" w:type="dxa"/>
            <w:noWrap/>
            <w:vAlign w:val="center"/>
            <w:hideMark/>
          </w:tcPr>
          <w:p w14:paraId="68F25C74" w14:textId="2D1D12F9" w:rsidR="006D48D9" w:rsidRPr="00FF386D" w:rsidRDefault="006D48D9" w:rsidP="00FF03FA">
            <w:pPr>
              <w:pStyle w:val="Caption"/>
              <w:jc w:val="center"/>
              <w:rPr>
                <w:lang w:eastAsia="el-GR"/>
              </w:rPr>
            </w:pPr>
            <w:r w:rsidRPr="00FF386D">
              <w:rPr>
                <w:lang w:eastAsia="el-GR"/>
              </w:rPr>
              <w:t>2045</w:t>
            </w:r>
            <w:r w:rsidR="00080193" w:rsidRPr="00FF386D">
              <w:rPr>
                <w:lang w:eastAsia="el-GR"/>
              </w:rPr>
              <w:t>.</w:t>
            </w:r>
          </w:p>
        </w:tc>
        <w:tc>
          <w:tcPr>
            <w:tcW w:w="1000" w:type="dxa"/>
            <w:noWrap/>
            <w:vAlign w:val="center"/>
            <w:hideMark/>
          </w:tcPr>
          <w:p w14:paraId="34D1C8CD" w14:textId="4F6D9C78" w:rsidR="006D48D9" w:rsidRPr="00FF386D" w:rsidRDefault="006D48D9" w:rsidP="00FF03FA">
            <w:pPr>
              <w:pStyle w:val="Caption"/>
              <w:jc w:val="center"/>
              <w:rPr>
                <w:lang w:eastAsia="el-GR"/>
              </w:rPr>
            </w:pPr>
            <w:r w:rsidRPr="00FF386D">
              <w:rPr>
                <w:lang w:eastAsia="el-GR"/>
              </w:rPr>
              <w:t>2050</w:t>
            </w:r>
            <w:r w:rsidR="00080193" w:rsidRPr="00FF386D">
              <w:rPr>
                <w:lang w:eastAsia="el-GR"/>
              </w:rPr>
              <w:t>.</w:t>
            </w:r>
          </w:p>
        </w:tc>
      </w:tr>
      <w:tr w:rsidR="00965706" w:rsidRPr="00FF386D" w14:paraId="09EF9063" w14:textId="77777777" w:rsidTr="00FF03FA">
        <w:trPr>
          <w:trHeight w:val="300"/>
          <w:jc w:val="center"/>
        </w:trPr>
        <w:tc>
          <w:tcPr>
            <w:tcW w:w="1414" w:type="dxa"/>
            <w:noWrap/>
            <w:vAlign w:val="center"/>
            <w:hideMark/>
          </w:tcPr>
          <w:p w14:paraId="7F33EC0E" w14:textId="2830C469" w:rsidR="00965706" w:rsidRPr="00FF386D" w:rsidRDefault="00080193" w:rsidP="00965706">
            <w:pPr>
              <w:pStyle w:val="Caption"/>
              <w:jc w:val="center"/>
              <w:rPr>
                <w:lang w:eastAsia="el-GR"/>
              </w:rPr>
            </w:pPr>
            <w:r w:rsidRPr="00FF386D">
              <w:rPr>
                <w:lang w:bidi="sr-Cyrl-CS"/>
              </w:rPr>
              <w:t xml:space="preserve">Број становника </w:t>
            </w:r>
            <w:r w:rsidR="00965706" w:rsidRPr="00FF386D">
              <w:rPr>
                <w:lang w:bidi="sr-Cyrl-CS"/>
              </w:rPr>
              <w:t>(</w:t>
            </w:r>
            <w:r w:rsidRPr="00FF386D">
              <w:rPr>
                <w:lang w:bidi="sr-Cyrl-CS"/>
              </w:rPr>
              <w:t xml:space="preserve">у </w:t>
            </w:r>
            <w:r w:rsidR="00965706" w:rsidRPr="00FF386D">
              <w:rPr>
                <w:lang w:bidi="sr-Cyrl-CS"/>
              </w:rPr>
              <w:t>милион</w:t>
            </w:r>
            <w:r w:rsidRPr="00FF386D">
              <w:rPr>
                <w:lang w:bidi="sr-Cyrl-CS"/>
              </w:rPr>
              <w:t>има</w:t>
            </w:r>
            <w:r w:rsidR="00965706" w:rsidRPr="00FF386D">
              <w:rPr>
                <w:lang w:bidi="sr-Cyrl-CS"/>
              </w:rPr>
              <w:t>)</w:t>
            </w:r>
          </w:p>
        </w:tc>
        <w:tc>
          <w:tcPr>
            <w:tcW w:w="980" w:type="dxa"/>
            <w:noWrap/>
            <w:vAlign w:val="center"/>
            <w:hideMark/>
          </w:tcPr>
          <w:p w14:paraId="05F3D465" w14:textId="77777777" w:rsidR="00965706" w:rsidRPr="00FF386D" w:rsidRDefault="00965706" w:rsidP="00965706">
            <w:pPr>
              <w:pStyle w:val="Caption"/>
              <w:jc w:val="center"/>
              <w:rPr>
                <w:lang w:eastAsia="el-GR"/>
              </w:rPr>
            </w:pPr>
            <w:r w:rsidRPr="00FF386D">
              <w:rPr>
                <w:lang w:eastAsia="el-GR"/>
              </w:rPr>
              <w:t>6928,0</w:t>
            </w:r>
          </w:p>
        </w:tc>
        <w:tc>
          <w:tcPr>
            <w:tcW w:w="980" w:type="dxa"/>
            <w:noWrap/>
            <w:vAlign w:val="center"/>
            <w:hideMark/>
          </w:tcPr>
          <w:p w14:paraId="7627CB2E" w14:textId="77777777" w:rsidR="00965706" w:rsidRPr="00FF386D" w:rsidRDefault="00965706" w:rsidP="00965706">
            <w:pPr>
              <w:pStyle w:val="Caption"/>
              <w:jc w:val="center"/>
              <w:rPr>
                <w:lang w:eastAsia="el-GR"/>
              </w:rPr>
            </w:pPr>
            <w:r w:rsidRPr="00FF386D">
              <w:rPr>
                <w:lang w:eastAsia="el-GR"/>
              </w:rPr>
              <w:t>6829,2</w:t>
            </w:r>
          </w:p>
        </w:tc>
        <w:tc>
          <w:tcPr>
            <w:tcW w:w="980" w:type="dxa"/>
            <w:noWrap/>
            <w:vAlign w:val="center"/>
            <w:hideMark/>
          </w:tcPr>
          <w:p w14:paraId="6FAA8F28" w14:textId="77777777" w:rsidR="00965706" w:rsidRPr="00FF386D" w:rsidRDefault="00965706" w:rsidP="00965706">
            <w:pPr>
              <w:pStyle w:val="Caption"/>
              <w:jc w:val="center"/>
              <w:rPr>
                <w:lang w:eastAsia="el-GR"/>
              </w:rPr>
            </w:pPr>
            <w:r w:rsidRPr="00FF386D">
              <w:rPr>
                <w:lang w:eastAsia="el-GR"/>
              </w:rPr>
              <w:t>6815,0</w:t>
            </w:r>
          </w:p>
        </w:tc>
        <w:tc>
          <w:tcPr>
            <w:tcW w:w="980" w:type="dxa"/>
            <w:noWrap/>
            <w:vAlign w:val="center"/>
            <w:hideMark/>
          </w:tcPr>
          <w:p w14:paraId="7D42DDA6" w14:textId="77777777" w:rsidR="00965706" w:rsidRPr="00FF386D" w:rsidRDefault="00965706" w:rsidP="00965706">
            <w:pPr>
              <w:pStyle w:val="Caption"/>
              <w:jc w:val="center"/>
              <w:rPr>
                <w:lang w:eastAsia="el-GR"/>
              </w:rPr>
            </w:pPr>
            <w:r w:rsidRPr="00FF386D">
              <w:rPr>
                <w:lang w:eastAsia="el-GR"/>
              </w:rPr>
              <w:t>6791,7</w:t>
            </w:r>
          </w:p>
        </w:tc>
        <w:tc>
          <w:tcPr>
            <w:tcW w:w="980" w:type="dxa"/>
            <w:noWrap/>
            <w:vAlign w:val="center"/>
            <w:hideMark/>
          </w:tcPr>
          <w:p w14:paraId="093E2DB5" w14:textId="77777777" w:rsidR="00965706" w:rsidRPr="00FF386D" w:rsidRDefault="00965706" w:rsidP="00965706">
            <w:pPr>
              <w:pStyle w:val="Caption"/>
              <w:jc w:val="center"/>
              <w:rPr>
                <w:lang w:eastAsia="el-GR"/>
              </w:rPr>
            </w:pPr>
            <w:r w:rsidRPr="00FF386D">
              <w:rPr>
                <w:lang w:eastAsia="el-GR"/>
              </w:rPr>
              <w:t>6830,0</w:t>
            </w:r>
          </w:p>
        </w:tc>
        <w:tc>
          <w:tcPr>
            <w:tcW w:w="980" w:type="dxa"/>
            <w:noWrap/>
            <w:vAlign w:val="center"/>
            <w:hideMark/>
          </w:tcPr>
          <w:p w14:paraId="316C2ABB" w14:textId="77777777" w:rsidR="00965706" w:rsidRPr="00FF386D" w:rsidRDefault="00965706" w:rsidP="00965706">
            <w:pPr>
              <w:pStyle w:val="Caption"/>
              <w:jc w:val="center"/>
              <w:rPr>
                <w:lang w:eastAsia="el-GR"/>
              </w:rPr>
            </w:pPr>
            <w:r w:rsidRPr="00FF386D">
              <w:rPr>
                <w:lang w:eastAsia="el-GR"/>
              </w:rPr>
              <w:t>6843,6</w:t>
            </w:r>
          </w:p>
        </w:tc>
        <w:tc>
          <w:tcPr>
            <w:tcW w:w="1000" w:type="dxa"/>
            <w:noWrap/>
            <w:vAlign w:val="center"/>
            <w:hideMark/>
          </w:tcPr>
          <w:p w14:paraId="1DB027B2" w14:textId="77777777" w:rsidR="00965706" w:rsidRPr="00FF386D" w:rsidRDefault="00965706" w:rsidP="00965706">
            <w:pPr>
              <w:pStyle w:val="Caption"/>
              <w:jc w:val="center"/>
              <w:rPr>
                <w:lang w:eastAsia="el-GR"/>
              </w:rPr>
            </w:pPr>
            <w:r w:rsidRPr="00FF386D">
              <w:rPr>
                <w:lang w:eastAsia="el-GR"/>
              </w:rPr>
              <w:t>6861,3</w:t>
            </w:r>
          </w:p>
        </w:tc>
      </w:tr>
      <w:tr w:rsidR="00965706" w:rsidRPr="00FF386D" w14:paraId="70F965E6" w14:textId="77777777" w:rsidTr="00FF03FA">
        <w:trPr>
          <w:trHeight w:val="300"/>
          <w:jc w:val="center"/>
        </w:trPr>
        <w:tc>
          <w:tcPr>
            <w:tcW w:w="1414" w:type="dxa"/>
            <w:noWrap/>
            <w:vAlign w:val="center"/>
            <w:hideMark/>
          </w:tcPr>
          <w:p w14:paraId="4682ECB2" w14:textId="55CE6EC0" w:rsidR="00965706" w:rsidRPr="00FF386D" w:rsidRDefault="00965706" w:rsidP="00965706">
            <w:pPr>
              <w:pStyle w:val="Caption"/>
              <w:jc w:val="center"/>
              <w:rPr>
                <w:lang w:eastAsia="el-GR"/>
              </w:rPr>
            </w:pPr>
            <w:r w:rsidRPr="00FF386D">
              <w:rPr>
                <w:lang w:bidi="sr-Cyrl-CS"/>
              </w:rPr>
              <w:t>БДП (</w:t>
            </w:r>
            <w:r w:rsidR="00080193" w:rsidRPr="00FF386D">
              <w:rPr>
                <w:lang w:bidi="sr-Cyrl-CS"/>
              </w:rPr>
              <w:t xml:space="preserve">у </w:t>
            </w:r>
            <w:r w:rsidRPr="00FF386D">
              <w:rPr>
                <w:lang w:bidi="sr-Cyrl-CS"/>
              </w:rPr>
              <w:t>милијард</w:t>
            </w:r>
            <w:r w:rsidR="00080193" w:rsidRPr="00FF386D">
              <w:rPr>
                <w:lang w:bidi="sr-Cyrl-CS"/>
              </w:rPr>
              <w:t>ама</w:t>
            </w:r>
            <w:r w:rsidRPr="00FF386D">
              <w:rPr>
                <w:lang w:bidi="sr-Cyrl-CS"/>
              </w:rPr>
              <w:t xml:space="preserve"> евра)</w:t>
            </w:r>
          </w:p>
        </w:tc>
        <w:tc>
          <w:tcPr>
            <w:tcW w:w="980" w:type="dxa"/>
            <w:noWrap/>
            <w:vAlign w:val="center"/>
            <w:hideMark/>
          </w:tcPr>
          <w:p w14:paraId="27BF547D" w14:textId="77777777" w:rsidR="00965706" w:rsidRPr="00FF386D" w:rsidRDefault="00965706" w:rsidP="00965706">
            <w:pPr>
              <w:pStyle w:val="Caption"/>
              <w:jc w:val="center"/>
              <w:rPr>
                <w:lang w:eastAsia="el-GR"/>
              </w:rPr>
            </w:pPr>
            <w:r w:rsidRPr="00FF386D">
              <w:rPr>
                <w:lang w:eastAsia="el-GR"/>
              </w:rPr>
              <w:t>40676,2</w:t>
            </w:r>
          </w:p>
        </w:tc>
        <w:tc>
          <w:tcPr>
            <w:tcW w:w="980" w:type="dxa"/>
            <w:noWrap/>
            <w:vAlign w:val="center"/>
            <w:hideMark/>
          </w:tcPr>
          <w:p w14:paraId="7219017F" w14:textId="77777777" w:rsidR="00965706" w:rsidRPr="00FF386D" w:rsidRDefault="00965706" w:rsidP="00965706">
            <w:pPr>
              <w:pStyle w:val="Caption"/>
              <w:jc w:val="center"/>
              <w:rPr>
                <w:lang w:eastAsia="el-GR"/>
              </w:rPr>
            </w:pPr>
            <w:r w:rsidRPr="00FF386D">
              <w:rPr>
                <w:lang w:eastAsia="el-GR"/>
              </w:rPr>
              <w:t>50689,9</w:t>
            </w:r>
          </w:p>
        </w:tc>
        <w:tc>
          <w:tcPr>
            <w:tcW w:w="980" w:type="dxa"/>
            <w:noWrap/>
            <w:vAlign w:val="center"/>
            <w:hideMark/>
          </w:tcPr>
          <w:p w14:paraId="445B46EB" w14:textId="77777777" w:rsidR="00965706" w:rsidRPr="00FF386D" w:rsidRDefault="00965706" w:rsidP="00965706">
            <w:pPr>
              <w:pStyle w:val="Caption"/>
              <w:jc w:val="center"/>
              <w:rPr>
                <w:lang w:eastAsia="el-GR"/>
              </w:rPr>
            </w:pPr>
            <w:r w:rsidRPr="00FF386D">
              <w:rPr>
                <w:lang w:eastAsia="el-GR"/>
              </w:rPr>
              <w:t>60866,5</w:t>
            </w:r>
          </w:p>
        </w:tc>
        <w:tc>
          <w:tcPr>
            <w:tcW w:w="980" w:type="dxa"/>
            <w:noWrap/>
            <w:vAlign w:val="center"/>
            <w:hideMark/>
          </w:tcPr>
          <w:p w14:paraId="7CBC80DB" w14:textId="77777777" w:rsidR="00965706" w:rsidRPr="00FF386D" w:rsidRDefault="00965706" w:rsidP="00965706">
            <w:pPr>
              <w:pStyle w:val="Caption"/>
              <w:jc w:val="center"/>
              <w:rPr>
                <w:lang w:eastAsia="el-GR"/>
              </w:rPr>
            </w:pPr>
            <w:r w:rsidRPr="00FF386D">
              <w:rPr>
                <w:lang w:eastAsia="el-GR"/>
              </w:rPr>
              <w:t>71439,2</w:t>
            </w:r>
          </w:p>
        </w:tc>
        <w:tc>
          <w:tcPr>
            <w:tcW w:w="980" w:type="dxa"/>
            <w:noWrap/>
            <w:vAlign w:val="center"/>
            <w:hideMark/>
          </w:tcPr>
          <w:p w14:paraId="66A84971" w14:textId="77777777" w:rsidR="00965706" w:rsidRPr="00FF386D" w:rsidRDefault="00965706" w:rsidP="00965706">
            <w:pPr>
              <w:pStyle w:val="Caption"/>
              <w:jc w:val="center"/>
              <w:rPr>
                <w:lang w:eastAsia="el-GR"/>
              </w:rPr>
            </w:pPr>
            <w:r w:rsidRPr="00FF386D">
              <w:rPr>
                <w:lang w:eastAsia="el-GR"/>
              </w:rPr>
              <w:t>82595,9</w:t>
            </w:r>
          </w:p>
        </w:tc>
        <w:tc>
          <w:tcPr>
            <w:tcW w:w="980" w:type="dxa"/>
            <w:noWrap/>
            <w:vAlign w:val="center"/>
            <w:hideMark/>
          </w:tcPr>
          <w:p w14:paraId="611665DD" w14:textId="77777777" w:rsidR="00965706" w:rsidRPr="00FF386D" w:rsidRDefault="00965706" w:rsidP="00965706">
            <w:pPr>
              <w:pStyle w:val="Caption"/>
              <w:jc w:val="center"/>
              <w:rPr>
                <w:lang w:eastAsia="el-GR"/>
              </w:rPr>
            </w:pPr>
            <w:r w:rsidRPr="00FF386D">
              <w:rPr>
                <w:lang w:eastAsia="el-GR"/>
              </w:rPr>
              <w:t>94064,2</w:t>
            </w:r>
          </w:p>
        </w:tc>
        <w:tc>
          <w:tcPr>
            <w:tcW w:w="1000" w:type="dxa"/>
            <w:noWrap/>
            <w:vAlign w:val="center"/>
            <w:hideMark/>
          </w:tcPr>
          <w:p w14:paraId="334ECC1E" w14:textId="77777777" w:rsidR="00965706" w:rsidRPr="00FF386D" w:rsidRDefault="00965706" w:rsidP="00965706">
            <w:pPr>
              <w:pStyle w:val="Caption"/>
              <w:jc w:val="center"/>
              <w:rPr>
                <w:lang w:eastAsia="el-GR"/>
              </w:rPr>
            </w:pPr>
            <w:r w:rsidRPr="00FF386D">
              <w:rPr>
                <w:lang w:eastAsia="el-GR"/>
              </w:rPr>
              <w:t>105515,0</w:t>
            </w:r>
          </w:p>
        </w:tc>
      </w:tr>
    </w:tbl>
    <w:p w14:paraId="7945D280" w14:textId="5C571D02" w:rsidR="00FF3C4A" w:rsidRDefault="00FF3C4A" w:rsidP="00565B02">
      <w:pPr>
        <w:pStyle w:val="Caption"/>
        <w:keepNext/>
        <w:spacing w:before="240"/>
      </w:pPr>
      <w:bookmarkStart w:id="148" w:name="_Ref153809755"/>
      <w:bookmarkStart w:id="149" w:name="_Toc153901350"/>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4</w:t>
      </w:r>
      <w:r w:rsidR="00F35B2C">
        <w:fldChar w:fldCharType="end"/>
      </w:r>
      <w:bookmarkEnd w:id="148"/>
      <w:r>
        <w:t xml:space="preserve">: </w:t>
      </w:r>
      <w:r w:rsidRPr="00FF3C4A">
        <w:t>Развој бруто додате вредности (БДВ) за различите секторе привредне делатности до 2050. године (Извори: Републички завод за статистику, Министарство финансија, Народна банка, пројекције на основу SSP)</w:t>
      </w:r>
      <w:bookmarkEnd w:id="149"/>
    </w:p>
    <w:p w14:paraId="281B5B66" w14:textId="12AD3142" w:rsidR="00030EFC" w:rsidRPr="00FF386D" w:rsidRDefault="00030EFC" w:rsidP="006D48D9">
      <w:pPr>
        <w:jc w:val="center"/>
        <w:rPr>
          <w:lang w:eastAsia="el-GR"/>
        </w:rPr>
      </w:pPr>
      <w:r w:rsidRPr="004F53D7">
        <w:rPr>
          <w:noProof/>
          <w:lang w:val="en-US"/>
        </w:rPr>
        <w:drawing>
          <wp:inline distT="0" distB="0" distL="0" distR="0" wp14:anchorId="31B342B1" wp14:editId="4E25940A">
            <wp:extent cx="4755515" cy="246888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55515" cy="2468880"/>
                    </a:xfrm>
                    <a:prstGeom prst="rect">
                      <a:avLst/>
                    </a:prstGeom>
                    <a:noFill/>
                  </pic:spPr>
                </pic:pic>
              </a:graphicData>
            </a:graphic>
          </wp:inline>
        </w:drawing>
      </w:r>
    </w:p>
    <w:p w14:paraId="289C9D7F" w14:textId="034AA699" w:rsidR="00DF1B0D" w:rsidRPr="00FF386D" w:rsidRDefault="00DF1B0D" w:rsidP="00DF1B0D">
      <w:pPr>
        <w:spacing w:before="120" w:after="120" w:line="240" w:lineRule="auto"/>
        <w:jc w:val="both"/>
        <w:rPr>
          <w:rFonts w:ascii="Calibri Light" w:eastAsia="Times New Roman" w:hAnsi="Calibri Light" w:cs="Calibri Light"/>
          <w:lang w:eastAsia="el-GR" w:bidi="sr-Cyrl-CS"/>
        </w:rPr>
      </w:pPr>
      <w:r w:rsidRPr="00FF386D">
        <w:rPr>
          <w:rFonts w:ascii="Calibri Light" w:eastAsia="Times New Roman" w:hAnsi="Calibri Light" w:cs="Calibri Light"/>
          <w:lang w:eastAsia="el-GR" w:bidi="sr-Cyrl-CS"/>
        </w:rPr>
        <w:t xml:space="preserve">Пројекције бруто додате вредности (БДВ-а) по сектору привредне делатности, према резултату макроекономског модела за Србију заснованог на моделу </w:t>
      </w:r>
      <w:r w:rsidRPr="00FF386D">
        <w:rPr>
          <w:rFonts w:ascii="Calibri Light" w:eastAsia="Times New Roman" w:hAnsi="Calibri Light" w:cs="Calibri Light"/>
          <w:i/>
          <w:iCs/>
          <w:lang w:eastAsia="el-GR"/>
        </w:rPr>
        <w:t>MANAGE</w:t>
      </w:r>
      <w:r w:rsidRPr="00FF386D">
        <w:rPr>
          <w:rFonts w:ascii="Calibri Light" w:eastAsia="Times New Roman" w:hAnsi="Calibri Light" w:cs="Calibri Light"/>
          <w:lang w:eastAsia="el-GR" w:bidi="sr-Cyrl-CS"/>
        </w:rPr>
        <w:t>, приказане су на</w:t>
      </w:r>
      <w:r w:rsidR="00FF3C4A">
        <w:rPr>
          <w:rFonts w:ascii="Calibri Light" w:eastAsia="Times New Roman" w:hAnsi="Calibri Light" w:cs="Calibri Light"/>
          <w:lang w:eastAsia="el-GR" w:bidi="sr-Cyrl-CS"/>
        </w:rPr>
        <w:t xml:space="preserve"> </w:t>
      </w:r>
      <w:r w:rsidR="00FF3C4A">
        <w:rPr>
          <w:rFonts w:ascii="Calibri Light" w:eastAsia="Times New Roman" w:hAnsi="Calibri Light" w:cs="Calibri Light"/>
          <w:lang w:eastAsia="el-GR" w:bidi="sr-Cyrl-CS"/>
        </w:rPr>
        <w:fldChar w:fldCharType="begin"/>
      </w:r>
      <w:r w:rsidR="00FF3C4A">
        <w:rPr>
          <w:rFonts w:ascii="Calibri Light" w:eastAsia="Times New Roman" w:hAnsi="Calibri Light" w:cs="Calibri Light"/>
          <w:lang w:eastAsia="el-GR" w:bidi="sr-Cyrl-CS"/>
        </w:rPr>
        <w:instrText xml:space="preserve"> REF _Ref153809755 \h  \* MERGEFORMAT </w:instrText>
      </w:r>
      <w:r w:rsidR="00FF3C4A">
        <w:rPr>
          <w:rFonts w:ascii="Calibri Light" w:eastAsia="Times New Roman" w:hAnsi="Calibri Light" w:cs="Calibri Light"/>
          <w:lang w:eastAsia="el-GR" w:bidi="sr-Cyrl-CS"/>
        </w:rPr>
      </w:r>
      <w:r w:rsidR="00FF3C4A">
        <w:rPr>
          <w:rFonts w:ascii="Calibri Light" w:eastAsia="Times New Roman" w:hAnsi="Calibri Light" w:cs="Calibri Light"/>
          <w:lang w:eastAsia="el-GR" w:bidi="sr-Cyrl-CS"/>
        </w:rPr>
        <w:fldChar w:fldCharType="separate"/>
      </w:r>
      <w:r w:rsidR="00FF3C4A" w:rsidRPr="00565B02">
        <w:rPr>
          <w:rFonts w:ascii="Calibri Light" w:eastAsia="Times New Roman" w:hAnsi="Calibri Light" w:cs="Calibri Light"/>
          <w:lang w:eastAsia="el-GR" w:bidi="sr-Cyrl-CS"/>
        </w:rPr>
        <w:t>слици 4.4</w:t>
      </w:r>
      <w:r w:rsidR="00FF3C4A">
        <w:rPr>
          <w:rFonts w:ascii="Calibri Light" w:eastAsia="Times New Roman" w:hAnsi="Calibri Light" w:cs="Calibri Light"/>
          <w:lang w:eastAsia="el-GR" w:bidi="sr-Cyrl-CS"/>
        </w:rPr>
        <w:fldChar w:fldCharType="end"/>
      </w:r>
      <w:r w:rsidRPr="00FF386D">
        <w:rPr>
          <w:rFonts w:ascii="Calibri Light" w:eastAsia="Times New Roman" w:hAnsi="Calibri Light" w:cs="Calibri Light"/>
          <w:lang w:eastAsia="el-GR" w:bidi="sr-Cyrl-CS"/>
        </w:rPr>
        <w:t>. Требало би напоменути да у Републици Србији недостају студије макроекономске анализе са средњорочним до дугорочним хоризонтом</w:t>
      </w:r>
      <w:r w:rsidR="00A23014">
        <w:rPr>
          <w:rFonts w:ascii="Calibri Light" w:eastAsia="Times New Roman" w:hAnsi="Calibri Light" w:cs="Calibri Light"/>
          <w:lang w:eastAsia="el-GR" w:bidi="sr-Cyrl-CS"/>
        </w:rPr>
        <w:t xml:space="preserve"> за секторе, тачније недостају квантитативне пројекције за бруто додатну вредност у подсектору индустрије</w:t>
      </w:r>
      <w:r w:rsidRPr="00FF386D">
        <w:rPr>
          <w:rFonts w:ascii="Calibri Light" w:eastAsia="Times New Roman" w:hAnsi="Calibri Light" w:cs="Calibri Light"/>
          <w:lang w:eastAsia="el-GR" w:bidi="sr-Cyrl-CS"/>
        </w:rPr>
        <w:t xml:space="preserve">. Стога су коришћене пројекције из модела </w:t>
      </w:r>
      <w:r w:rsidRPr="00FF386D">
        <w:rPr>
          <w:rFonts w:ascii="Calibri Light" w:eastAsia="Times New Roman" w:hAnsi="Calibri Light" w:cs="Calibri Light"/>
          <w:i/>
          <w:lang w:eastAsia="el-GR" w:bidi="sr-Cyrl-CS"/>
        </w:rPr>
        <w:t>MANAGE</w:t>
      </w:r>
      <w:r w:rsidRPr="00FF386D">
        <w:rPr>
          <w:rFonts w:ascii="Calibri Light" w:eastAsia="Times New Roman" w:hAnsi="Calibri Light" w:cs="Calibri Light"/>
          <w:lang w:eastAsia="el-GR" w:bidi="sr-Cyrl-CS"/>
        </w:rPr>
        <w:t>, заједно са путањама пројекције укупног БДП-а о којем је било речи у претходном пасусу.</w:t>
      </w:r>
    </w:p>
    <w:p w14:paraId="52DF12FC" w14:textId="3116ACCB" w:rsidR="00DF1B0D" w:rsidRPr="00FF386D" w:rsidRDefault="00DF1B0D" w:rsidP="00DF1B0D">
      <w:pPr>
        <w:pStyle w:val="LDKbody"/>
        <w:rPr>
          <w:rFonts w:ascii="Calibri Light" w:hAnsi="Calibri Light" w:cs="Calibri Light"/>
          <w:lang w:val="sr-Cyrl-RS" w:bidi="sr-Cyrl-CS"/>
        </w:rPr>
      </w:pPr>
      <w:r w:rsidRPr="00FF386D">
        <w:rPr>
          <w:rFonts w:ascii="Calibri Light" w:eastAsia="Calibri" w:hAnsi="Calibri Light" w:cs="Calibri Light"/>
          <w:lang w:val="sr-Cyrl-RS" w:eastAsia="en-US" w:bidi="sr-Cyrl-CS"/>
        </w:rPr>
        <w:t>За енергетски интензивне секторе цемента, гвожђа и челика, бакра, олова, цинка, других обојених метала, стакла, керамике и других неметалних минерала, физички резултати су коришћени као покретачи потражње за енергијом у сваком подсектору</w:t>
      </w:r>
      <w:r w:rsidR="00251505">
        <w:rPr>
          <w:rFonts w:ascii="Calibri Light" w:eastAsia="Calibri" w:hAnsi="Calibri Light" w:cs="Calibri Light"/>
          <w:lang w:val="en-US" w:eastAsia="en-US" w:bidi="sr-Cyrl-CS"/>
        </w:rPr>
        <w:t>.</w:t>
      </w:r>
      <w:r w:rsidR="00965706" w:rsidRPr="00FF386D">
        <w:rPr>
          <w:rFonts w:asciiTheme="majorHAnsi" w:hAnsiTheme="majorHAnsi" w:cstheme="majorHAnsi"/>
          <w:lang w:val="sr-Cyrl-RS"/>
        </w:rPr>
        <w:t xml:space="preserve"> </w:t>
      </w:r>
      <w:r w:rsidRPr="00FF386D">
        <w:rPr>
          <w:rFonts w:ascii="Calibri Light" w:hAnsi="Calibri Light" w:cs="Calibri Light"/>
          <w:lang w:val="sr-Cyrl-RS" w:bidi="sr-Cyrl-CS"/>
        </w:rPr>
        <w:t>Пројекција физичке производње је одабрана за енергетски интензивне секторе због чињенице да се физичка величина сматра реалнијим покретачем пројекције потражње за енергијом у поређењу са додатом вредношћу сектора избегавајући потенцијалне варијације из других економских разлога (нпр. промене цене производа, а не само стварне промене учинка).</w:t>
      </w:r>
    </w:p>
    <w:p w14:paraId="726AA988" w14:textId="4CC067BE" w:rsidR="006D48D9" w:rsidRPr="00565B02" w:rsidRDefault="00DF1B0D" w:rsidP="006D48D9">
      <w:pPr>
        <w:pStyle w:val="LDKbody"/>
        <w:rPr>
          <w:rFonts w:ascii="Calibri Light" w:eastAsia="Calibri" w:hAnsi="Calibri Light" w:cs="Calibri Light"/>
          <w:lang w:val="sr-Cyrl-RS" w:eastAsia="en-US" w:bidi="sr-Cyrl-CS"/>
        </w:rPr>
      </w:pPr>
      <w:r w:rsidRPr="00FF386D">
        <w:rPr>
          <w:rFonts w:ascii="Calibri Light" w:eastAsia="Calibri" w:hAnsi="Calibri Light" w:cs="Calibri Light"/>
          <w:lang w:val="sr-Cyrl-RS" w:eastAsia="en-US" w:bidi="sr-Cyrl-CS"/>
        </w:rPr>
        <w:t>За друге индустријске подсекторе, додата вредност је коришћена као покретач потражње, а одговарајуће пројекције су приказане по подсекторима на</w:t>
      </w:r>
      <w:r w:rsidR="0087240E">
        <w:rPr>
          <w:rFonts w:ascii="Calibri Light" w:eastAsia="Calibri" w:hAnsi="Calibri Light" w:cs="Calibri Light"/>
          <w:lang w:val="sr-Cyrl-RS" w:eastAsia="en-US" w:bidi="sr-Cyrl-CS"/>
        </w:rPr>
        <w:t xml:space="preserve"> </w:t>
      </w:r>
      <w:r w:rsidR="0087240E">
        <w:rPr>
          <w:rFonts w:ascii="Calibri Light" w:eastAsia="Calibri" w:hAnsi="Calibri Light" w:cs="Calibri Light"/>
          <w:lang w:val="sr-Cyrl-RS" w:eastAsia="en-US" w:bidi="sr-Cyrl-CS"/>
        </w:rPr>
        <w:fldChar w:fldCharType="begin"/>
      </w:r>
      <w:r w:rsidR="0087240E">
        <w:rPr>
          <w:rFonts w:ascii="Calibri Light" w:eastAsia="Calibri" w:hAnsi="Calibri Light" w:cs="Calibri Light"/>
          <w:lang w:val="sr-Cyrl-RS" w:eastAsia="en-US" w:bidi="sr-Cyrl-CS"/>
        </w:rPr>
        <w:instrText xml:space="preserve"> REF _Ref153810044 \h  \* MERGEFORMAT </w:instrText>
      </w:r>
      <w:r w:rsidR="0087240E">
        <w:rPr>
          <w:rFonts w:ascii="Calibri Light" w:eastAsia="Calibri" w:hAnsi="Calibri Light" w:cs="Calibri Light"/>
          <w:lang w:val="sr-Cyrl-RS" w:eastAsia="en-US" w:bidi="sr-Cyrl-CS"/>
        </w:rPr>
      </w:r>
      <w:r w:rsidR="0087240E">
        <w:rPr>
          <w:rFonts w:ascii="Calibri Light" w:eastAsia="Calibri" w:hAnsi="Calibri Light" w:cs="Calibri Light"/>
          <w:lang w:val="sr-Cyrl-RS" w:eastAsia="en-US" w:bidi="sr-Cyrl-CS"/>
        </w:rPr>
        <w:fldChar w:fldCharType="separate"/>
      </w:r>
      <w:r w:rsidR="0087240E" w:rsidRPr="00565B02">
        <w:rPr>
          <w:rFonts w:ascii="Calibri Light" w:eastAsia="Calibri" w:hAnsi="Calibri Light" w:cs="Calibri Light"/>
          <w:lang w:val="sr-Cyrl-RS" w:eastAsia="en-US" w:bidi="sr-Cyrl-CS"/>
        </w:rPr>
        <w:t>слици 4.5</w:t>
      </w:r>
      <w:r w:rsidR="0087240E">
        <w:rPr>
          <w:rFonts w:ascii="Calibri Light" w:eastAsia="Calibri" w:hAnsi="Calibri Light" w:cs="Calibri Light"/>
          <w:lang w:val="sr-Cyrl-RS" w:eastAsia="en-US" w:bidi="sr-Cyrl-CS"/>
        </w:rPr>
        <w:fldChar w:fldCharType="end"/>
      </w:r>
      <w:r w:rsidR="006D48D9" w:rsidRPr="00565B02">
        <w:rPr>
          <w:rFonts w:ascii="Calibri Light" w:eastAsia="Calibri" w:hAnsi="Calibri Light" w:cs="Calibri Light"/>
          <w:lang w:val="sr-Cyrl-RS" w:eastAsia="en-US" w:bidi="sr-Cyrl-CS"/>
        </w:rPr>
        <w:t>.</w:t>
      </w:r>
    </w:p>
    <w:p w14:paraId="4CD4C9CF" w14:textId="380E02A4" w:rsidR="0087240E" w:rsidRPr="0087240E" w:rsidRDefault="0087240E" w:rsidP="00565B02">
      <w:pPr>
        <w:pStyle w:val="Caption"/>
        <w:keepNext/>
      </w:pPr>
      <w:bookmarkStart w:id="150" w:name="_Ref153810044"/>
      <w:bookmarkStart w:id="151" w:name="_Toc153901351"/>
      <w:r>
        <w:lastRenderedPageBreak/>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5</w:t>
      </w:r>
      <w:r w:rsidR="00F35B2C">
        <w:fldChar w:fldCharType="end"/>
      </w:r>
      <w:bookmarkEnd w:id="150"/>
      <w:r>
        <w:t xml:space="preserve">: </w:t>
      </w:r>
      <w:r w:rsidRPr="0087240E">
        <w:t>Развој додате вредности других индустријских подсектора до 2050. године (Извори: пројекције засноване на сценаријима SSP-а)</w:t>
      </w:r>
      <w:bookmarkEnd w:id="151"/>
    </w:p>
    <w:p w14:paraId="2C1D12DD" w14:textId="145800DB" w:rsidR="00030EFC" w:rsidRPr="00FF386D" w:rsidRDefault="00030EFC" w:rsidP="00DB34B1">
      <w:pPr>
        <w:jc w:val="center"/>
        <w:rPr>
          <w:lang w:eastAsia="el-GR"/>
        </w:rPr>
      </w:pPr>
      <w:r w:rsidRPr="004F53D7">
        <w:rPr>
          <w:noProof/>
          <w:lang w:val="en-US"/>
        </w:rPr>
        <w:drawing>
          <wp:inline distT="0" distB="0" distL="0" distR="0" wp14:anchorId="3D49C668" wp14:editId="21753335">
            <wp:extent cx="5028675" cy="28384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42521" cy="2846266"/>
                    </a:xfrm>
                    <a:prstGeom prst="rect">
                      <a:avLst/>
                    </a:prstGeom>
                    <a:noFill/>
                  </pic:spPr>
                </pic:pic>
              </a:graphicData>
            </a:graphic>
          </wp:inline>
        </w:drawing>
      </w:r>
    </w:p>
    <w:bookmarkEnd w:id="141"/>
    <w:p w14:paraId="2DC982F1" w14:textId="290F903E" w:rsidR="00506B97" w:rsidRPr="00565B02" w:rsidRDefault="00E662F7">
      <w:pPr>
        <w:pStyle w:val="Heading4"/>
        <w:numPr>
          <w:ilvl w:val="0"/>
          <w:numId w:val="249"/>
        </w:numPr>
        <w:rPr>
          <w:lang w:val="sr-Cyrl-RS"/>
        </w:rPr>
      </w:pPr>
      <w:r w:rsidRPr="00565B02">
        <w:rPr>
          <w:lang w:val="sr-Cyrl-RS"/>
        </w:rPr>
        <w:t>Секторске промене за које се о</w:t>
      </w:r>
      <w:r w:rsidR="00966BCC" w:rsidRPr="00565B02">
        <w:rPr>
          <w:lang w:val="sr-Cyrl-RS"/>
        </w:rPr>
        <w:t xml:space="preserve">чекује да ће утицати на енергетски систем и емисије </w:t>
      </w:r>
      <w:r w:rsidR="00966BCC" w:rsidRPr="00565B02">
        <w:rPr>
          <w:i/>
          <w:iCs w:val="0"/>
          <w:lang w:val="sr-Cyrl-RS"/>
        </w:rPr>
        <w:t>GHG</w:t>
      </w:r>
    </w:p>
    <w:p w14:paraId="26B127C3" w14:textId="668A2492" w:rsidR="00506B97" w:rsidRPr="00FF386D" w:rsidRDefault="00966BCC" w:rsidP="00506B97">
      <w:pPr>
        <w:pStyle w:val="LDKbody"/>
        <w:rPr>
          <w:rFonts w:asciiTheme="majorHAnsi" w:hAnsiTheme="majorHAnsi" w:cstheme="majorHAnsi"/>
          <w:lang w:val="sr-Cyrl-RS"/>
        </w:rPr>
      </w:pPr>
      <w:r w:rsidRPr="00FF386D">
        <w:rPr>
          <w:rFonts w:asciiTheme="majorHAnsi" w:hAnsiTheme="majorHAnsi" w:cstheme="majorHAnsi"/>
          <w:lang w:val="sr-Cyrl-RS"/>
        </w:rPr>
        <w:t xml:space="preserve">Као што се може видети у претходном </w:t>
      </w:r>
      <w:r w:rsidR="00E662F7" w:rsidRPr="00FF386D">
        <w:rPr>
          <w:rFonts w:asciiTheme="majorHAnsi" w:hAnsiTheme="majorHAnsi" w:cstheme="majorHAnsi"/>
          <w:lang w:val="sr-Cyrl-RS"/>
        </w:rPr>
        <w:t>одељку</w:t>
      </w:r>
      <w:r w:rsidRPr="00FF386D">
        <w:rPr>
          <w:rFonts w:asciiTheme="majorHAnsi" w:hAnsiTheme="majorHAnsi" w:cstheme="majorHAnsi"/>
          <w:lang w:val="sr-Cyrl-RS"/>
        </w:rPr>
        <w:t xml:space="preserve">, развој БДВ-а </w:t>
      </w:r>
      <w:r w:rsidR="00E662F7" w:rsidRPr="00FF386D">
        <w:rPr>
          <w:rFonts w:asciiTheme="majorHAnsi" w:hAnsiTheme="majorHAnsi" w:cstheme="majorHAnsi"/>
          <w:lang w:val="sr-Cyrl-RS"/>
        </w:rPr>
        <w:t xml:space="preserve">по сектору </w:t>
      </w:r>
      <w:r w:rsidRPr="00FF386D">
        <w:rPr>
          <w:rFonts w:asciiTheme="majorHAnsi" w:hAnsiTheme="majorHAnsi" w:cstheme="majorHAnsi"/>
          <w:lang w:val="sr-Cyrl-RS"/>
        </w:rPr>
        <w:t xml:space="preserve">не предвиђа никакве значајне секторске промене које би могле да утичу на енергетски систем и емисије </w:t>
      </w:r>
      <w:r w:rsidRPr="00FF386D">
        <w:rPr>
          <w:rFonts w:asciiTheme="majorHAnsi" w:hAnsiTheme="majorHAnsi" w:cstheme="majorHAnsi"/>
          <w:i/>
          <w:iCs/>
          <w:lang w:val="sr-Cyrl-RS"/>
        </w:rPr>
        <w:t>GHG</w:t>
      </w:r>
      <w:r w:rsidRPr="00FF386D">
        <w:rPr>
          <w:rFonts w:asciiTheme="majorHAnsi" w:hAnsiTheme="majorHAnsi" w:cstheme="majorHAnsi"/>
          <w:lang w:val="sr-Cyrl-RS"/>
        </w:rPr>
        <w:t>.</w:t>
      </w:r>
    </w:p>
    <w:p w14:paraId="754F3B9E" w14:textId="07B72A55" w:rsidR="00506B97" w:rsidRPr="00565B02" w:rsidRDefault="00966BCC">
      <w:pPr>
        <w:pStyle w:val="Heading4"/>
        <w:numPr>
          <w:ilvl w:val="0"/>
          <w:numId w:val="249"/>
        </w:numPr>
        <w:rPr>
          <w:lang w:val="sr-Cyrl-RS"/>
        </w:rPr>
      </w:pPr>
      <w:r w:rsidRPr="00565B02">
        <w:rPr>
          <w:lang w:val="sr-Cyrl-RS"/>
        </w:rPr>
        <w:t xml:space="preserve">Глобални енергетски трендови, међународне цене фосилних горива, </w:t>
      </w:r>
      <w:r w:rsidR="00E662F7" w:rsidRPr="00565B02">
        <w:rPr>
          <w:lang w:val="sr-Cyrl-RS"/>
        </w:rPr>
        <w:t>такса на CO</w:t>
      </w:r>
      <w:r w:rsidR="00E662F7" w:rsidRPr="00565B02">
        <w:rPr>
          <w:vertAlign w:val="subscript"/>
          <w:lang w:val="sr-Cyrl-RS"/>
        </w:rPr>
        <w:t xml:space="preserve">2 </w:t>
      </w:r>
      <w:r w:rsidRPr="00565B02">
        <w:rPr>
          <w:lang w:val="sr-Cyrl-RS"/>
        </w:rPr>
        <w:t>у систему трговине емисијама (</w:t>
      </w:r>
      <w:r w:rsidRPr="00565B02">
        <w:rPr>
          <w:i/>
          <w:iCs w:val="0"/>
          <w:lang w:val="sr-Cyrl-RS"/>
        </w:rPr>
        <w:t>ETS</w:t>
      </w:r>
      <w:r w:rsidRPr="00565B02">
        <w:rPr>
          <w:lang w:val="sr-Cyrl-RS"/>
        </w:rPr>
        <w:t>)</w:t>
      </w:r>
    </w:p>
    <w:p w14:paraId="7AAB5763" w14:textId="645C0B90" w:rsidR="00DF1B0D" w:rsidRPr="00FF386D" w:rsidRDefault="00DF1B0D" w:rsidP="00DF1B0D">
      <w:pPr>
        <w:pStyle w:val="LDKbody"/>
        <w:rPr>
          <w:rFonts w:asciiTheme="majorHAnsi" w:hAnsiTheme="majorHAnsi" w:cstheme="majorHAnsi"/>
          <w:lang w:val="sr-Cyrl-RS" w:bidi="sr-Cyrl-CS"/>
        </w:rPr>
      </w:pPr>
      <w:r w:rsidRPr="00FF386D">
        <w:rPr>
          <w:rFonts w:asciiTheme="majorHAnsi" w:hAnsiTheme="majorHAnsi" w:cstheme="majorHAnsi"/>
          <w:lang w:val="sr-Cyrl-RS" w:bidi="sr-Cyrl-CS"/>
        </w:rPr>
        <w:t xml:space="preserve">Тренутна дешавања у току 2022. године у контексту рата у Украјини и шире енергетске кризе чине </w:t>
      </w:r>
      <w:r w:rsidR="000A1E36" w:rsidRPr="00FF386D">
        <w:rPr>
          <w:rFonts w:asciiTheme="majorHAnsi" w:hAnsiTheme="majorHAnsi" w:cstheme="majorHAnsi"/>
          <w:lang w:val="sr-Cyrl-RS" w:bidi="sr-Cyrl-CS"/>
        </w:rPr>
        <w:t xml:space="preserve">да </w:t>
      </w:r>
      <w:r w:rsidRPr="00FF386D">
        <w:rPr>
          <w:rFonts w:asciiTheme="majorHAnsi" w:hAnsiTheme="majorHAnsi" w:cstheme="majorHAnsi"/>
          <w:lang w:val="sr-Cyrl-RS" w:bidi="sr-Cyrl-CS"/>
        </w:rPr>
        <w:t>свак</w:t>
      </w:r>
      <w:r w:rsidR="000A1E36" w:rsidRPr="00FF386D">
        <w:rPr>
          <w:rFonts w:asciiTheme="majorHAnsi" w:hAnsiTheme="majorHAnsi" w:cstheme="majorHAnsi"/>
          <w:lang w:val="sr-Cyrl-RS" w:bidi="sr-Cyrl-CS"/>
        </w:rPr>
        <w:t xml:space="preserve">а </w:t>
      </w:r>
      <w:r w:rsidRPr="00FF386D">
        <w:rPr>
          <w:rFonts w:asciiTheme="majorHAnsi" w:hAnsiTheme="majorHAnsi" w:cstheme="majorHAnsi"/>
          <w:lang w:val="sr-Cyrl-RS" w:bidi="sr-Cyrl-CS"/>
        </w:rPr>
        <w:t>пројекциј</w:t>
      </w:r>
      <w:r w:rsidR="000A1E36" w:rsidRPr="00FF386D">
        <w:rPr>
          <w:rFonts w:asciiTheme="majorHAnsi" w:hAnsiTheme="majorHAnsi" w:cstheme="majorHAnsi"/>
          <w:lang w:val="sr-Cyrl-RS" w:bidi="sr-Cyrl-CS"/>
        </w:rPr>
        <w:t>а</w:t>
      </w:r>
      <w:r w:rsidRPr="00FF386D">
        <w:rPr>
          <w:rFonts w:asciiTheme="majorHAnsi" w:hAnsiTheme="majorHAnsi" w:cstheme="majorHAnsi"/>
          <w:lang w:val="sr-Cyrl-RS" w:bidi="sr-Cyrl-CS"/>
        </w:rPr>
        <w:t xml:space="preserve"> цена </w:t>
      </w:r>
      <w:r w:rsidR="000A1E36" w:rsidRPr="00FF386D">
        <w:rPr>
          <w:rFonts w:asciiTheme="majorHAnsi" w:hAnsiTheme="majorHAnsi" w:cstheme="majorHAnsi"/>
          <w:lang w:val="sr-Cyrl-RS" w:bidi="sr-Cyrl-CS"/>
        </w:rPr>
        <w:t xml:space="preserve">буде </w:t>
      </w:r>
      <w:r w:rsidRPr="00FF386D">
        <w:rPr>
          <w:rFonts w:asciiTheme="majorHAnsi" w:hAnsiTheme="majorHAnsi" w:cstheme="majorHAnsi"/>
          <w:lang w:val="sr-Cyrl-RS" w:bidi="sr-Cyrl-CS"/>
        </w:rPr>
        <w:t>крајње не</w:t>
      </w:r>
      <w:r w:rsidR="000A1E36" w:rsidRPr="00FF386D">
        <w:rPr>
          <w:rFonts w:asciiTheme="majorHAnsi" w:hAnsiTheme="majorHAnsi" w:cstheme="majorHAnsi"/>
          <w:lang w:val="sr-Cyrl-RS" w:bidi="sr-Cyrl-CS"/>
        </w:rPr>
        <w:t>сигурна</w:t>
      </w:r>
      <w:r w:rsidRPr="00FF386D">
        <w:rPr>
          <w:rFonts w:asciiTheme="majorHAnsi" w:hAnsiTheme="majorHAnsi" w:cstheme="majorHAnsi"/>
          <w:lang w:val="sr-Cyrl-RS" w:bidi="sr-Cyrl-CS"/>
        </w:rPr>
        <w:t xml:space="preserve">. У овој неизвесној ситуацији, анализа </w:t>
      </w:r>
      <w:r w:rsidR="0087240E">
        <w:rPr>
          <w:rFonts w:asciiTheme="majorHAnsi" w:hAnsiTheme="majorHAnsi" w:cstheme="majorHAnsi"/>
          <w:lang w:val="sr-Cyrl-RS" w:bidi="sr-Cyrl-CS"/>
        </w:rPr>
        <w:t>И</w:t>
      </w:r>
      <w:r w:rsidRPr="00FF386D">
        <w:rPr>
          <w:rFonts w:asciiTheme="majorHAnsi" w:hAnsiTheme="majorHAnsi" w:cstheme="majorHAnsi"/>
          <w:lang w:val="sr-Cyrl-RS" w:bidi="sr-Cyrl-CS"/>
        </w:rPr>
        <w:t>НЕКП је урађена коришћењем пројекција међународних цена гаса у складу са студијом „</w:t>
      </w:r>
      <w:r w:rsidRPr="00FF386D">
        <w:rPr>
          <w:rFonts w:ascii="Calibri Light" w:eastAsia="Calibri" w:hAnsi="Calibri Light" w:cs="Calibri Light"/>
          <w:lang w:val="sr-Cyrl-RS" w:eastAsia="en-US"/>
        </w:rPr>
        <w:t xml:space="preserve">Препоручени параметри за извештавање о пројекцијама </w:t>
      </w:r>
      <w:r w:rsidRPr="00FF386D">
        <w:rPr>
          <w:rFonts w:ascii="Calibri Light" w:eastAsia="Calibri" w:hAnsi="Calibri Light" w:cs="Calibri Light"/>
          <w:i/>
          <w:iCs/>
          <w:lang w:val="sr-Cyrl-RS" w:eastAsia="en-US"/>
        </w:rPr>
        <w:t>GHG</w:t>
      </w:r>
      <w:r w:rsidRPr="00FF386D">
        <w:rPr>
          <w:rFonts w:ascii="Calibri Light" w:eastAsia="Calibri" w:hAnsi="Calibri Light" w:cs="Calibri Light"/>
          <w:lang w:val="sr-Cyrl-RS" w:eastAsia="en-US"/>
        </w:rPr>
        <w:t xml:space="preserve"> у 2023. години”, EК ГД Климатска акција (Recommended parameters for reporting on GHG projections in 2023,DG Climate Action)</w:t>
      </w:r>
      <w:r w:rsidRPr="00FF386D">
        <w:rPr>
          <w:rFonts w:asciiTheme="majorHAnsi" w:hAnsiTheme="majorHAnsi" w:cstheme="majorHAnsi"/>
          <w:lang w:val="sr-Cyrl-RS" w:bidi="sr-Cyrl-CS"/>
        </w:rPr>
        <w:t xml:space="preserve"> “ коју је </w:t>
      </w:r>
      <w:r w:rsidR="00991C80" w:rsidRPr="00FF386D">
        <w:rPr>
          <w:rFonts w:asciiTheme="majorHAnsi" w:hAnsiTheme="majorHAnsi" w:cstheme="majorHAnsi"/>
          <w:lang w:val="sr-Cyrl-RS" w:bidi="sr-Cyrl-CS"/>
        </w:rPr>
        <w:t>обезбедила</w:t>
      </w:r>
      <w:r w:rsidRPr="00FF386D">
        <w:rPr>
          <w:rFonts w:asciiTheme="majorHAnsi" w:hAnsiTheme="majorHAnsi" w:cstheme="majorHAnsi"/>
          <w:lang w:val="sr-Cyrl-RS" w:bidi="sr-Cyrl-CS"/>
        </w:rPr>
        <w:t xml:space="preserve"> ЕУ с циљем да подржи државе чланице и друга тела у ЕУ (нпр. Секретаријат Енергетске заједнице) </w:t>
      </w:r>
      <w:r w:rsidR="000A1E36" w:rsidRPr="00FF386D">
        <w:rPr>
          <w:rFonts w:asciiTheme="majorHAnsi" w:hAnsiTheme="majorHAnsi" w:cstheme="majorHAnsi"/>
          <w:lang w:val="sr-Cyrl-RS" w:bidi="sr-Cyrl-CS"/>
        </w:rPr>
        <w:t>у</w:t>
      </w:r>
      <w:r w:rsidR="00991C80" w:rsidRPr="00FF386D">
        <w:rPr>
          <w:rFonts w:asciiTheme="majorHAnsi" w:hAnsiTheme="majorHAnsi" w:cstheme="majorHAnsi"/>
          <w:lang w:val="sr-Cyrl-RS" w:bidi="sr-Cyrl-CS"/>
        </w:rPr>
        <w:t xml:space="preserve"> ревизиј</w:t>
      </w:r>
      <w:r w:rsidR="000A1E36" w:rsidRPr="00FF386D">
        <w:rPr>
          <w:rFonts w:asciiTheme="majorHAnsi" w:hAnsiTheme="majorHAnsi" w:cstheme="majorHAnsi"/>
          <w:lang w:val="sr-Cyrl-RS" w:bidi="sr-Cyrl-CS"/>
        </w:rPr>
        <w:t>и</w:t>
      </w:r>
      <w:r w:rsidR="00991C80" w:rsidRPr="00FF386D">
        <w:rPr>
          <w:rFonts w:asciiTheme="majorHAnsi" w:hAnsiTheme="majorHAnsi" w:cstheme="majorHAnsi"/>
          <w:lang w:val="sr-Cyrl-RS" w:bidi="sr-Cyrl-CS"/>
        </w:rPr>
        <w:t xml:space="preserve"> њихових </w:t>
      </w:r>
      <w:r w:rsidR="00170CE9">
        <w:rPr>
          <w:rFonts w:asciiTheme="majorHAnsi" w:hAnsiTheme="majorHAnsi" w:cstheme="majorHAnsi"/>
          <w:lang w:val="sr-Cyrl-RS" w:bidi="sr-Cyrl-CS"/>
        </w:rPr>
        <w:t>И</w:t>
      </w:r>
      <w:r w:rsidR="00991C80" w:rsidRPr="00FF386D">
        <w:rPr>
          <w:rFonts w:asciiTheme="majorHAnsi" w:hAnsiTheme="majorHAnsi" w:cstheme="majorHAnsi"/>
          <w:lang w:val="sr-Cyrl-RS" w:bidi="sr-Cyrl-CS"/>
        </w:rPr>
        <w:t>НЕКП-а.</w:t>
      </w:r>
    </w:p>
    <w:p w14:paraId="6870A5BF" w14:textId="7BDC82BC" w:rsidR="0087240E" w:rsidRDefault="0087240E" w:rsidP="00565B02">
      <w:pPr>
        <w:pStyle w:val="Caption"/>
        <w:keepNext/>
      </w:pPr>
      <w:bookmarkStart w:id="152" w:name="_Toc153901474"/>
      <w:r>
        <w:t xml:space="preserve">Табела </w:t>
      </w:r>
      <w:r w:rsidR="00873C40">
        <w:fldChar w:fldCharType="begin"/>
      </w:r>
      <w:r w:rsidR="00873C40">
        <w:instrText xml:space="preserve"> STYLEREF 1 \s </w:instrText>
      </w:r>
      <w:r w:rsidR="00873C40">
        <w:fldChar w:fldCharType="separate"/>
      </w:r>
      <w:r w:rsidR="00873C40">
        <w:rPr>
          <w:noProof/>
        </w:rPr>
        <w:t>4</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2</w:t>
      </w:r>
      <w:r w:rsidR="00873C40">
        <w:fldChar w:fldCharType="end"/>
      </w:r>
      <w:r>
        <w:t xml:space="preserve">: </w:t>
      </w:r>
      <w:r w:rsidRPr="0087240E">
        <w:t>Пројекције међународних цена горива до 2050. године</w:t>
      </w:r>
      <w:bookmarkEnd w:id="152"/>
    </w:p>
    <w:tbl>
      <w:tblPr>
        <w:tblW w:w="74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6"/>
        <w:gridCol w:w="772"/>
        <w:gridCol w:w="828"/>
        <w:gridCol w:w="828"/>
        <w:gridCol w:w="828"/>
        <w:gridCol w:w="828"/>
        <w:gridCol w:w="828"/>
        <w:gridCol w:w="828"/>
      </w:tblGrid>
      <w:tr w:rsidR="00DF1B0D" w:rsidRPr="00FF386D" w14:paraId="63D9B6BB" w14:textId="77777777" w:rsidTr="00DF1B0D">
        <w:trPr>
          <w:trHeight w:val="300"/>
          <w:jc w:val="center"/>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120F8BF8" w14:textId="77777777" w:rsidR="00DF1B0D" w:rsidRPr="00FF386D" w:rsidRDefault="00DF1B0D" w:rsidP="00DF1B0D">
            <w:pPr>
              <w:spacing w:after="0" w:line="240" w:lineRule="auto"/>
              <w:rPr>
                <w:rFonts w:ascii="Calibri" w:eastAsia="Calibri" w:hAnsi="Calibri" w:cs="Calibri"/>
                <w:b/>
                <w:bCs/>
                <w:lang w:eastAsia="en-GB"/>
              </w:rPr>
            </w:pPr>
            <w:r w:rsidRPr="00FF386D">
              <w:rPr>
                <w:rFonts w:ascii="Calibri" w:eastAsia="Calibri" w:hAnsi="Calibri" w:cs="Times New Roman"/>
                <w:b/>
                <w:lang w:bidi="sr-Cyrl-CS"/>
              </w:rPr>
              <w:t>Евро2015/GJ</w:t>
            </w:r>
          </w:p>
        </w:tc>
        <w:tc>
          <w:tcPr>
            <w:tcW w:w="772" w:type="dxa"/>
            <w:tcBorders>
              <w:top w:val="single" w:sz="4" w:space="0" w:color="auto"/>
              <w:left w:val="single" w:sz="4" w:space="0" w:color="auto"/>
              <w:bottom w:val="single" w:sz="4" w:space="0" w:color="auto"/>
              <w:right w:val="single" w:sz="4" w:space="0" w:color="auto"/>
            </w:tcBorders>
            <w:noWrap/>
            <w:vAlign w:val="bottom"/>
            <w:hideMark/>
          </w:tcPr>
          <w:p w14:paraId="7979572C" w14:textId="77777777" w:rsidR="00DF1B0D" w:rsidRPr="00FF386D" w:rsidRDefault="00DF1B0D" w:rsidP="00DF1B0D">
            <w:pPr>
              <w:spacing w:after="0" w:line="240" w:lineRule="auto"/>
              <w:jc w:val="right"/>
              <w:rPr>
                <w:rFonts w:ascii="Calibri" w:eastAsia="Calibri" w:hAnsi="Calibri" w:cs="Calibri"/>
                <w:b/>
                <w:bCs/>
                <w:lang w:eastAsia="en-GB"/>
              </w:rPr>
            </w:pPr>
            <w:r w:rsidRPr="00FF386D">
              <w:rPr>
                <w:rFonts w:ascii="Calibri" w:eastAsia="Calibri" w:hAnsi="Calibri" w:cs="Times New Roman"/>
                <w:b/>
                <w:lang w:bidi="sr-Cyrl-CS"/>
              </w:rPr>
              <w:t>2020.</w:t>
            </w:r>
          </w:p>
        </w:tc>
        <w:tc>
          <w:tcPr>
            <w:tcW w:w="828" w:type="dxa"/>
            <w:tcBorders>
              <w:top w:val="single" w:sz="4" w:space="0" w:color="auto"/>
              <w:left w:val="single" w:sz="4" w:space="0" w:color="auto"/>
              <w:bottom w:val="single" w:sz="4" w:space="0" w:color="auto"/>
              <w:right w:val="single" w:sz="4" w:space="0" w:color="auto"/>
            </w:tcBorders>
            <w:noWrap/>
            <w:vAlign w:val="bottom"/>
            <w:hideMark/>
          </w:tcPr>
          <w:p w14:paraId="3F122806" w14:textId="77777777" w:rsidR="00DF1B0D" w:rsidRPr="00FF386D" w:rsidRDefault="00DF1B0D" w:rsidP="00DF1B0D">
            <w:pPr>
              <w:spacing w:after="0" w:line="240" w:lineRule="auto"/>
              <w:jc w:val="right"/>
              <w:rPr>
                <w:rFonts w:ascii="Calibri" w:eastAsia="Calibri" w:hAnsi="Calibri" w:cs="Calibri"/>
                <w:b/>
                <w:bCs/>
                <w:lang w:eastAsia="en-GB"/>
              </w:rPr>
            </w:pPr>
            <w:r w:rsidRPr="00FF386D">
              <w:rPr>
                <w:rFonts w:ascii="Calibri" w:eastAsia="Calibri" w:hAnsi="Calibri" w:cs="Times New Roman"/>
                <w:b/>
                <w:lang w:bidi="sr-Cyrl-CS"/>
              </w:rPr>
              <w:t>2025.</w:t>
            </w:r>
          </w:p>
        </w:tc>
        <w:tc>
          <w:tcPr>
            <w:tcW w:w="828" w:type="dxa"/>
            <w:tcBorders>
              <w:top w:val="single" w:sz="4" w:space="0" w:color="auto"/>
              <w:left w:val="single" w:sz="4" w:space="0" w:color="auto"/>
              <w:bottom w:val="single" w:sz="4" w:space="0" w:color="auto"/>
              <w:right w:val="single" w:sz="4" w:space="0" w:color="auto"/>
            </w:tcBorders>
            <w:noWrap/>
            <w:vAlign w:val="bottom"/>
            <w:hideMark/>
          </w:tcPr>
          <w:p w14:paraId="36963D88" w14:textId="77777777" w:rsidR="00DF1B0D" w:rsidRPr="00FF386D" w:rsidRDefault="00DF1B0D" w:rsidP="00DF1B0D">
            <w:pPr>
              <w:spacing w:after="0" w:line="240" w:lineRule="auto"/>
              <w:jc w:val="right"/>
              <w:rPr>
                <w:rFonts w:ascii="Calibri" w:eastAsia="Calibri" w:hAnsi="Calibri" w:cs="Calibri"/>
                <w:b/>
                <w:bCs/>
                <w:lang w:eastAsia="en-GB"/>
              </w:rPr>
            </w:pPr>
            <w:r w:rsidRPr="00FF386D">
              <w:rPr>
                <w:rFonts w:ascii="Calibri" w:eastAsia="Calibri" w:hAnsi="Calibri" w:cs="Times New Roman"/>
                <w:b/>
                <w:lang w:bidi="sr-Cyrl-CS"/>
              </w:rPr>
              <w:t>2030.</w:t>
            </w:r>
          </w:p>
        </w:tc>
        <w:tc>
          <w:tcPr>
            <w:tcW w:w="828" w:type="dxa"/>
            <w:tcBorders>
              <w:top w:val="single" w:sz="4" w:space="0" w:color="auto"/>
              <w:left w:val="single" w:sz="4" w:space="0" w:color="auto"/>
              <w:bottom w:val="single" w:sz="4" w:space="0" w:color="auto"/>
              <w:right w:val="single" w:sz="4" w:space="0" w:color="auto"/>
            </w:tcBorders>
            <w:noWrap/>
            <w:vAlign w:val="bottom"/>
            <w:hideMark/>
          </w:tcPr>
          <w:p w14:paraId="3CC34B98" w14:textId="77777777" w:rsidR="00DF1B0D" w:rsidRPr="00FF386D" w:rsidRDefault="00DF1B0D" w:rsidP="00DF1B0D">
            <w:pPr>
              <w:spacing w:after="0" w:line="240" w:lineRule="auto"/>
              <w:jc w:val="right"/>
              <w:rPr>
                <w:rFonts w:ascii="Calibri" w:eastAsia="Calibri" w:hAnsi="Calibri" w:cs="Calibri"/>
                <w:b/>
                <w:bCs/>
                <w:lang w:eastAsia="en-GB"/>
              </w:rPr>
            </w:pPr>
            <w:r w:rsidRPr="00FF386D">
              <w:rPr>
                <w:rFonts w:ascii="Calibri" w:eastAsia="Calibri" w:hAnsi="Calibri" w:cs="Times New Roman"/>
                <w:b/>
                <w:lang w:bidi="sr-Cyrl-CS"/>
              </w:rPr>
              <w:t>2035.</w:t>
            </w:r>
          </w:p>
        </w:tc>
        <w:tc>
          <w:tcPr>
            <w:tcW w:w="828" w:type="dxa"/>
            <w:tcBorders>
              <w:top w:val="single" w:sz="4" w:space="0" w:color="auto"/>
              <w:left w:val="single" w:sz="4" w:space="0" w:color="auto"/>
              <w:bottom w:val="single" w:sz="4" w:space="0" w:color="auto"/>
              <w:right w:val="single" w:sz="4" w:space="0" w:color="auto"/>
            </w:tcBorders>
            <w:noWrap/>
            <w:vAlign w:val="bottom"/>
            <w:hideMark/>
          </w:tcPr>
          <w:p w14:paraId="2B37E11C" w14:textId="77777777" w:rsidR="00DF1B0D" w:rsidRPr="00FF386D" w:rsidRDefault="00DF1B0D" w:rsidP="00DF1B0D">
            <w:pPr>
              <w:spacing w:after="0" w:line="240" w:lineRule="auto"/>
              <w:jc w:val="right"/>
              <w:rPr>
                <w:rFonts w:ascii="Calibri" w:eastAsia="Calibri" w:hAnsi="Calibri" w:cs="Calibri"/>
                <w:b/>
                <w:bCs/>
                <w:lang w:eastAsia="en-GB"/>
              </w:rPr>
            </w:pPr>
            <w:r w:rsidRPr="00FF386D">
              <w:rPr>
                <w:rFonts w:ascii="Calibri" w:eastAsia="Calibri" w:hAnsi="Calibri" w:cs="Times New Roman"/>
                <w:b/>
                <w:lang w:bidi="sr-Cyrl-CS"/>
              </w:rPr>
              <w:t>2040.</w:t>
            </w:r>
          </w:p>
        </w:tc>
        <w:tc>
          <w:tcPr>
            <w:tcW w:w="828" w:type="dxa"/>
            <w:tcBorders>
              <w:top w:val="single" w:sz="4" w:space="0" w:color="auto"/>
              <w:left w:val="single" w:sz="4" w:space="0" w:color="auto"/>
              <w:bottom w:val="single" w:sz="4" w:space="0" w:color="auto"/>
              <w:right w:val="single" w:sz="4" w:space="0" w:color="auto"/>
            </w:tcBorders>
            <w:noWrap/>
            <w:vAlign w:val="bottom"/>
            <w:hideMark/>
          </w:tcPr>
          <w:p w14:paraId="19C3AF50" w14:textId="77777777" w:rsidR="00DF1B0D" w:rsidRPr="00FF386D" w:rsidRDefault="00DF1B0D" w:rsidP="00DF1B0D">
            <w:pPr>
              <w:spacing w:after="0" w:line="240" w:lineRule="auto"/>
              <w:jc w:val="right"/>
              <w:rPr>
                <w:rFonts w:ascii="Calibri" w:eastAsia="Calibri" w:hAnsi="Calibri" w:cs="Calibri"/>
                <w:b/>
                <w:bCs/>
                <w:lang w:eastAsia="en-GB"/>
              </w:rPr>
            </w:pPr>
            <w:r w:rsidRPr="00FF386D">
              <w:rPr>
                <w:rFonts w:ascii="Calibri" w:eastAsia="Calibri" w:hAnsi="Calibri" w:cs="Times New Roman"/>
                <w:b/>
                <w:lang w:bidi="sr-Cyrl-CS"/>
              </w:rPr>
              <w:t>2045.</w:t>
            </w:r>
          </w:p>
        </w:tc>
        <w:tc>
          <w:tcPr>
            <w:tcW w:w="828" w:type="dxa"/>
            <w:tcBorders>
              <w:top w:val="single" w:sz="4" w:space="0" w:color="auto"/>
              <w:left w:val="single" w:sz="4" w:space="0" w:color="auto"/>
              <w:bottom w:val="single" w:sz="4" w:space="0" w:color="auto"/>
              <w:right w:val="single" w:sz="4" w:space="0" w:color="auto"/>
            </w:tcBorders>
            <w:noWrap/>
            <w:vAlign w:val="bottom"/>
            <w:hideMark/>
          </w:tcPr>
          <w:p w14:paraId="03295620" w14:textId="77777777" w:rsidR="00DF1B0D" w:rsidRPr="00FF386D" w:rsidRDefault="00DF1B0D" w:rsidP="00DF1B0D">
            <w:pPr>
              <w:spacing w:after="0" w:line="240" w:lineRule="auto"/>
              <w:jc w:val="right"/>
              <w:rPr>
                <w:rFonts w:ascii="Calibri" w:eastAsia="Calibri" w:hAnsi="Calibri" w:cs="Calibri"/>
                <w:b/>
                <w:bCs/>
                <w:lang w:eastAsia="en-GB"/>
              </w:rPr>
            </w:pPr>
            <w:r w:rsidRPr="00FF386D">
              <w:rPr>
                <w:rFonts w:ascii="Calibri" w:eastAsia="Calibri" w:hAnsi="Calibri" w:cs="Times New Roman"/>
                <w:b/>
                <w:lang w:bidi="sr-Cyrl-CS"/>
              </w:rPr>
              <w:t>2050.</w:t>
            </w:r>
          </w:p>
        </w:tc>
      </w:tr>
      <w:tr w:rsidR="00DF1B0D" w:rsidRPr="00FF386D" w14:paraId="288BBB93" w14:textId="77777777" w:rsidTr="00DF1B0D">
        <w:trPr>
          <w:trHeight w:val="300"/>
          <w:jc w:val="center"/>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32440B1D" w14:textId="77777777" w:rsidR="00DF1B0D" w:rsidRPr="00FF386D" w:rsidRDefault="00DF1B0D" w:rsidP="00DF1B0D">
            <w:pPr>
              <w:spacing w:after="0" w:line="240" w:lineRule="auto"/>
              <w:rPr>
                <w:rFonts w:ascii="Calibri" w:eastAsia="Calibri" w:hAnsi="Calibri" w:cs="Calibri"/>
                <w:lang w:eastAsia="en-GB"/>
              </w:rPr>
            </w:pPr>
            <w:r w:rsidRPr="00FF386D">
              <w:rPr>
                <w:rFonts w:ascii="Calibri" w:eastAsia="Calibri" w:hAnsi="Calibri" w:cs="Times New Roman"/>
                <w:lang w:bidi="sr-Cyrl-CS"/>
              </w:rPr>
              <w:t>Сирова нафта</w:t>
            </w:r>
          </w:p>
        </w:tc>
        <w:tc>
          <w:tcPr>
            <w:tcW w:w="772" w:type="dxa"/>
            <w:tcBorders>
              <w:top w:val="single" w:sz="4" w:space="0" w:color="auto"/>
              <w:left w:val="single" w:sz="4" w:space="0" w:color="auto"/>
              <w:bottom w:val="single" w:sz="4" w:space="0" w:color="auto"/>
              <w:right w:val="single" w:sz="4" w:space="0" w:color="auto"/>
            </w:tcBorders>
            <w:noWrap/>
            <w:hideMark/>
          </w:tcPr>
          <w:p w14:paraId="776B2695" w14:textId="291B990B" w:rsidR="00DF1B0D" w:rsidRPr="00FF386D" w:rsidRDefault="00DF1B0D" w:rsidP="00DF1B0D">
            <w:pPr>
              <w:spacing w:after="0" w:line="240" w:lineRule="auto"/>
              <w:jc w:val="right"/>
              <w:rPr>
                <w:rFonts w:ascii="Calibri" w:eastAsia="Calibri" w:hAnsi="Calibri" w:cs="Calibri"/>
                <w:lang w:eastAsia="en-GB"/>
              </w:rPr>
            </w:pPr>
            <w:r w:rsidRPr="00FF386D">
              <w:rPr>
                <w:rFonts w:ascii="Calibri" w:eastAsia="Calibri" w:hAnsi="Calibri" w:cs="Times New Roman"/>
              </w:rPr>
              <w:t>6,04</w:t>
            </w:r>
          </w:p>
        </w:tc>
        <w:tc>
          <w:tcPr>
            <w:tcW w:w="828" w:type="dxa"/>
            <w:tcBorders>
              <w:top w:val="single" w:sz="4" w:space="0" w:color="auto"/>
              <w:left w:val="single" w:sz="4" w:space="0" w:color="auto"/>
              <w:bottom w:val="single" w:sz="4" w:space="0" w:color="auto"/>
              <w:right w:val="single" w:sz="4" w:space="0" w:color="auto"/>
            </w:tcBorders>
            <w:noWrap/>
            <w:hideMark/>
          </w:tcPr>
          <w:p w14:paraId="64B4142B" w14:textId="22CB1224" w:rsidR="00DF1B0D" w:rsidRPr="00FF386D" w:rsidRDefault="00DF1B0D" w:rsidP="00DF1B0D">
            <w:pPr>
              <w:spacing w:after="0" w:line="240" w:lineRule="auto"/>
              <w:jc w:val="right"/>
              <w:rPr>
                <w:rFonts w:ascii="Calibri" w:eastAsia="Calibri" w:hAnsi="Calibri" w:cs="Calibri"/>
                <w:lang w:eastAsia="en-GB"/>
              </w:rPr>
            </w:pPr>
            <w:r w:rsidRPr="00FF386D">
              <w:rPr>
                <w:rFonts w:ascii="Calibri" w:eastAsia="Calibri" w:hAnsi="Calibri" w:cs="Times New Roman"/>
              </w:rPr>
              <w:t>14,54</w:t>
            </w:r>
          </w:p>
        </w:tc>
        <w:tc>
          <w:tcPr>
            <w:tcW w:w="828" w:type="dxa"/>
            <w:tcBorders>
              <w:top w:val="single" w:sz="4" w:space="0" w:color="auto"/>
              <w:left w:val="single" w:sz="4" w:space="0" w:color="auto"/>
              <w:bottom w:val="single" w:sz="4" w:space="0" w:color="auto"/>
              <w:right w:val="single" w:sz="4" w:space="0" w:color="auto"/>
            </w:tcBorders>
            <w:noWrap/>
            <w:hideMark/>
          </w:tcPr>
          <w:p w14:paraId="6B76A124" w14:textId="4D6D02D5" w:rsidR="00DF1B0D" w:rsidRPr="00FF386D" w:rsidRDefault="00DF1B0D" w:rsidP="00DF1B0D">
            <w:pPr>
              <w:spacing w:after="0" w:line="240" w:lineRule="auto"/>
              <w:jc w:val="right"/>
              <w:rPr>
                <w:rFonts w:ascii="Calibri" w:eastAsia="Calibri" w:hAnsi="Calibri" w:cs="Calibri"/>
                <w:lang w:eastAsia="en-GB"/>
              </w:rPr>
            </w:pPr>
            <w:r w:rsidRPr="00FF386D">
              <w:rPr>
                <w:rFonts w:ascii="Calibri" w:eastAsia="Calibri" w:hAnsi="Calibri" w:cs="Times New Roman"/>
              </w:rPr>
              <w:t>14,54</w:t>
            </w:r>
          </w:p>
        </w:tc>
        <w:tc>
          <w:tcPr>
            <w:tcW w:w="828" w:type="dxa"/>
            <w:tcBorders>
              <w:top w:val="single" w:sz="4" w:space="0" w:color="auto"/>
              <w:left w:val="single" w:sz="4" w:space="0" w:color="auto"/>
              <w:bottom w:val="single" w:sz="4" w:space="0" w:color="auto"/>
              <w:right w:val="single" w:sz="4" w:space="0" w:color="auto"/>
            </w:tcBorders>
            <w:noWrap/>
            <w:hideMark/>
          </w:tcPr>
          <w:p w14:paraId="4110D505" w14:textId="64A4221F" w:rsidR="00DF1B0D" w:rsidRPr="00FF386D" w:rsidRDefault="00DF1B0D" w:rsidP="00DF1B0D">
            <w:pPr>
              <w:spacing w:after="0" w:line="240" w:lineRule="auto"/>
              <w:jc w:val="right"/>
              <w:rPr>
                <w:rFonts w:ascii="Calibri" w:eastAsia="Calibri" w:hAnsi="Calibri" w:cs="Calibri"/>
                <w:lang w:eastAsia="en-GB"/>
              </w:rPr>
            </w:pPr>
            <w:r w:rsidRPr="00FF386D">
              <w:rPr>
                <w:rFonts w:ascii="Calibri" w:eastAsia="Calibri" w:hAnsi="Calibri" w:cs="Times New Roman"/>
              </w:rPr>
              <w:t>14,54</w:t>
            </w:r>
          </w:p>
        </w:tc>
        <w:tc>
          <w:tcPr>
            <w:tcW w:w="828" w:type="dxa"/>
            <w:tcBorders>
              <w:top w:val="single" w:sz="4" w:space="0" w:color="auto"/>
              <w:left w:val="single" w:sz="4" w:space="0" w:color="auto"/>
              <w:bottom w:val="single" w:sz="4" w:space="0" w:color="auto"/>
              <w:right w:val="single" w:sz="4" w:space="0" w:color="auto"/>
            </w:tcBorders>
            <w:noWrap/>
            <w:hideMark/>
          </w:tcPr>
          <w:p w14:paraId="3DC8ECDE" w14:textId="1ED8EB96" w:rsidR="00DF1B0D" w:rsidRPr="00FF386D" w:rsidRDefault="00DF1B0D" w:rsidP="00DF1B0D">
            <w:pPr>
              <w:spacing w:after="0" w:line="240" w:lineRule="auto"/>
              <w:jc w:val="right"/>
              <w:rPr>
                <w:rFonts w:ascii="Calibri" w:eastAsia="Calibri" w:hAnsi="Calibri" w:cs="Calibri"/>
                <w:lang w:eastAsia="en-GB"/>
              </w:rPr>
            </w:pPr>
            <w:r w:rsidRPr="00FF386D">
              <w:rPr>
                <w:rFonts w:ascii="Calibri" w:eastAsia="Calibri" w:hAnsi="Calibri" w:cs="Times New Roman"/>
              </w:rPr>
              <w:t>15,39</w:t>
            </w:r>
          </w:p>
        </w:tc>
        <w:tc>
          <w:tcPr>
            <w:tcW w:w="828" w:type="dxa"/>
            <w:tcBorders>
              <w:top w:val="single" w:sz="4" w:space="0" w:color="auto"/>
              <w:left w:val="single" w:sz="4" w:space="0" w:color="auto"/>
              <w:bottom w:val="single" w:sz="4" w:space="0" w:color="auto"/>
              <w:right w:val="single" w:sz="4" w:space="0" w:color="auto"/>
            </w:tcBorders>
            <w:noWrap/>
            <w:hideMark/>
          </w:tcPr>
          <w:p w14:paraId="6033E87F" w14:textId="64AD1E49" w:rsidR="00DF1B0D" w:rsidRPr="00FF386D" w:rsidRDefault="00DF1B0D" w:rsidP="00DF1B0D">
            <w:pPr>
              <w:spacing w:after="0" w:line="240" w:lineRule="auto"/>
              <w:jc w:val="right"/>
              <w:rPr>
                <w:rFonts w:ascii="Calibri" w:eastAsia="Calibri" w:hAnsi="Calibri" w:cs="Calibri"/>
                <w:lang w:eastAsia="en-GB"/>
              </w:rPr>
            </w:pPr>
            <w:r w:rsidRPr="00FF386D">
              <w:rPr>
                <w:rFonts w:ascii="Calibri" w:eastAsia="Calibri" w:hAnsi="Calibri" w:cs="Times New Roman"/>
              </w:rPr>
              <w:t>16,61</w:t>
            </w:r>
          </w:p>
        </w:tc>
        <w:tc>
          <w:tcPr>
            <w:tcW w:w="828" w:type="dxa"/>
            <w:tcBorders>
              <w:top w:val="single" w:sz="4" w:space="0" w:color="auto"/>
              <w:left w:val="single" w:sz="4" w:space="0" w:color="auto"/>
              <w:bottom w:val="single" w:sz="4" w:space="0" w:color="auto"/>
              <w:right w:val="single" w:sz="4" w:space="0" w:color="auto"/>
            </w:tcBorders>
            <w:noWrap/>
            <w:hideMark/>
          </w:tcPr>
          <w:p w14:paraId="426B46E6" w14:textId="3C8D8B64" w:rsidR="00DF1B0D" w:rsidRPr="00FF386D" w:rsidRDefault="00DF1B0D" w:rsidP="00DF1B0D">
            <w:pPr>
              <w:spacing w:after="0" w:line="240" w:lineRule="auto"/>
              <w:jc w:val="right"/>
              <w:rPr>
                <w:rFonts w:ascii="Calibri" w:eastAsia="Calibri" w:hAnsi="Calibri" w:cs="Calibri"/>
                <w:lang w:eastAsia="en-GB"/>
              </w:rPr>
            </w:pPr>
            <w:r w:rsidRPr="00FF386D">
              <w:rPr>
                <w:rFonts w:ascii="Calibri" w:eastAsia="Calibri" w:hAnsi="Calibri" w:cs="Times New Roman"/>
              </w:rPr>
              <w:t>18,60</w:t>
            </w:r>
          </w:p>
        </w:tc>
      </w:tr>
      <w:tr w:rsidR="00DF1B0D" w:rsidRPr="00FF386D" w14:paraId="114C04C0" w14:textId="77777777" w:rsidTr="00DF1B0D">
        <w:trPr>
          <w:trHeight w:val="300"/>
          <w:jc w:val="center"/>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13A7BDF6" w14:textId="77777777" w:rsidR="00DF1B0D" w:rsidRPr="00FF386D" w:rsidRDefault="00DF1B0D" w:rsidP="00DF1B0D">
            <w:pPr>
              <w:spacing w:after="0" w:line="240" w:lineRule="auto"/>
              <w:rPr>
                <w:rFonts w:ascii="Calibri" w:eastAsia="Calibri" w:hAnsi="Calibri" w:cs="Calibri"/>
                <w:lang w:eastAsia="en-GB"/>
              </w:rPr>
            </w:pPr>
            <w:r w:rsidRPr="00FF386D">
              <w:rPr>
                <w:rFonts w:ascii="Calibri" w:eastAsia="Calibri" w:hAnsi="Calibri" w:cs="Times New Roman"/>
                <w:lang w:bidi="sr-Cyrl-CS"/>
              </w:rPr>
              <w:t>Природни гас</w:t>
            </w:r>
          </w:p>
        </w:tc>
        <w:tc>
          <w:tcPr>
            <w:tcW w:w="772" w:type="dxa"/>
            <w:tcBorders>
              <w:top w:val="single" w:sz="4" w:space="0" w:color="auto"/>
              <w:left w:val="single" w:sz="4" w:space="0" w:color="auto"/>
              <w:bottom w:val="single" w:sz="4" w:space="0" w:color="auto"/>
              <w:right w:val="single" w:sz="4" w:space="0" w:color="auto"/>
            </w:tcBorders>
            <w:noWrap/>
            <w:hideMark/>
          </w:tcPr>
          <w:p w14:paraId="252F4BC1" w14:textId="57810F9A" w:rsidR="00DF1B0D" w:rsidRPr="00FF386D" w:rsidRDefault="00DF1B0D" w:rsidP="00DF1B0D">
            <w:pPr>
              <w:spacing w:after="0" w:line="240" w:lineRule="auto"/>
              <w:jc w:val="right"/>
              <w:rPr>
                <w:rFonts w:ascii="Calibri" w:eastAsia="Calibri" w:hAnsi="Calibri" w:cs="Calibri"/>
                <w:lang w:eastAsia="en-GB"/>
              </w:rPr>
            </w:pPr>
            <w:r w:rsidRPr="00FF386D">
              <w:rPr>
                <w:rFonts w:ascii="Calibri" w:eastAsia="Calibri" w:hAnsi="Calibri" w:cs="Times New Roman"/>
              </w:rPr>
              <w:t>2,93</w:t>
            </w:r>
          </w:p>
        </w:tc>
        <w:tc>
          <w:tcPr>
            <w:tcW w:w="828" w:type="dxa"/>
            <w:tcBorders>
              <w:top w:val="single" w:sz="4" w:space="0" w:color="auto"/>
              <w:left w:val="single" w:sz="4" w:space="0" w:color="auto"/>
              <w:bottom w:val="single" w:sz="4" w:space="0" w:color="auto"/>
              <w:right w:val="single" w:sz="4" w:space="0" w:color="auto"/>
            </w:tcBorders>
            <w:noWrap/>
            <w:hideMark/>
          </w:tcPr>
          <w:p w14:paraId="2279E63C" w14:textId="78A89DE1" w:rsidR="00DF1B0D" w:rsidRPr="00FF386D" w:rsidRDefault="00DF1B0D" w:rsidP="00DF1B0D">
            <w:pPr>
              <w:spacing w:after="0" w:line="240" w:lineRule="auto"/>
              <w:jc w:val="right"/>
              <w:rPr>
                <w:rFonts w:ascii="Calibri" w:eastAsia="Calibri" w:hAnsi="Calibri" w:cs="Calibri"/>
                <w:lang w:eastAsia="en-GB"/>
              </w:rPr>
            </w:pPr>
            <w:r w:rsidRPr="00FF386D">
              <w:rPr>
                <w:rFonts w:ascii="Calibri" w:eastAsia="Calibri" w:hAnsi="Calibri" w:cs="Times New Roman"/>
              </w:rPr>
              <w:t>12,46</w:t>
            </w:r>
          </w:p>
        </w:tc>
        <w:tc>
          <w:tcPr>
            <w:tcW w:w="828" w:type="dxa"/>
            <w:tcBorders>
              <w:top w:val="single" w:sz="4" w:space="0" w:color="auto"/>
              <w:left w:val="single" w:sz="4" w:space="0" w:color="auto"/>
              <w:bottom w:val="single" w:sz="4" w:space="0" w:color="auto"/>
              <w:right w:val="single" w:sz="4" w:space="0" w:color="auto"/>
            </w:tcBorders>
            <w:noWrap/>
            <w:hideMark/>
          </w:tcPr>
          <w:p w14:paraId="39824B56" w14:textId="454F32EB" w:rsidR="00DF1B0D" w:rsidRPr="00FF386D" w:rsidRDefault="00DF1B0D" w:rsidP="00DF1B0D">
            <w:pPr>
              <w:spacing w:after="0" w:line="240" w:lineRule="auto"/>
              <w:jc w:val="right"/>
              <w:rPr>
                <w:rFonts w:ascii="Calibri" w:eastAsia="Calibri" w:hAnsi="Calibri" w:cs="Calibri"/>
                <w:lang w:eastAsia="en-GB"/>
              </w:rPr>
            </w:pPr>
            <w:r w:rsidRPr="00FF386D">
              <w:rPr>
                <w:rFonts w:ascii="Calibri" w:eastAsia="Calibri" w:hAnsi="Calibri" w:cs="Times New Roman"/>
              </w:rPr>
              <w:t>10,67</w:t>
            </w:r>
          </w:p>
        </w:tc>
        <w:tc>
          <w:tcPr>
            <w:tcW w:w="828" w:type="dxa"/>
            <w:tcBorders>
              <w:top w:val="single" w:sz="4" w:space="0" w:color="auto"/>
              <w:left w:val="single" w:sz="4" w:space="0" w:color="auto"/>
              <w:bottom w:val="single" w:sz="4" w:space="0" w:color="auto"/>
              <w:right w:val="single" w:sz="4" w:space="0" w:color="auto"/>
            </w:tcBorders>
            <w:noWrap/>
            <w:hideMark/>
          </w:tcPr>
          <w:p w14:paraId="5690FD47" w14:textId="5031CC64" w:rsidR="00DF1B0D" w:rsidRPr="00FF386D" w:rsidRDefault="00DF1B0D" w:rsidP="00DF1B0D">
            <w:pPr>
              <w:spacing w:after="0" w:line="240" w:lineRule="auto"/>
              <w:jc w:val="right"/>
              <w:rPr>
                <w:rFonts w:ascii="Calibri" w:eastAsia="Calibri" w:hAnsi="Calibri" w:cs="Calibri"/>
                <w:lang w:eastAsia="en-GB"/>
              </w:rPr>
            </w:pPr>
            <w:r w:rsidRPr="00FF386D">
              <w:rPr>
                <w:rFonts w:ascii="Calibri" w:eastAsia="Calibri" w:hAnsi="Calibri" w:cs="Times New Roman"/>
              </w:rPr>
              <w:t>10,67</w:t>
            </w:r>
          </w:p>
        </w:tc>
        <w:tc>
          <w:tcPr>
            <w:tcW w:w="828" w:type="dxa"/>
            <w:tcBorders>
              <w:top w:val="single" w:sz="4" w:space="0" w:color="auto"/>
              <w:left w:val="single" w:sz="4" w:space="0" w:color="auto"/>
              <w:bottom w:val="single" w:sz="4" w:space="0" w:color="auto"/>
              <w:right w:val="single" w:sz="4" w:space="0" w:color="auto"/>
            </w:tcBorders>
            <w:noWrap/>
            <w:hideMark/>
          </w:tcPr>
          <w:p w14:paraId="1351813C" w14:textId="05446650" w:rsidR="00DF1B0D" w:rsidRPr="00FF386D" w:rsidRDefault="00DF1B0D" w:rsidP="00DF1B0D">
            <w:pPr>
              <w:spacing w:after="0" w:line="240" w:lineRule="auto"/>
              <w:jc w:val="right"/>
              <w:rPr>
                <w:rFonts w:ascii="Calibri" w:eastAsia="Calibri" w:hAnsi="Calibri" w:cs="Calibri"/>
                <w:lang w:eastAsia="en-GB"/>
              </w:rPr>
            </w:pPr>
            <w:r w:rsidRPr="00FF386D">
              <w:rPr>
                <w:rFonts w:ascii="Calibri" w:eastAsia="Calibri" w:hAnsi="Calibri" w:cs="Times New Roman"/>
              </w:rPr>
              <w:t>10,67</w:t>
            </w:r>
          </w:p>
        </w:tc>
        <w:tc>
          <w:tcPr>
            <w:tcW w:w="828" w:type="dxa"/>
            <w:tcBorders>
              <w:top w:val="single" w:sz="4" w:space="0" w:color="auto"/>
              <w:left w:val="single" w:sz="4" w:space="0" w:color="auto"/>
              <w:bottom w:val="single" w:sz="4" w:space="0" w:color="auto"/>
              <w:right w:val="single" w:sz="4" w:space="0" w:color="auto"/>
            </w:tcBorders>
            <w:noWrap/>
            <w:hideMark/>
          </w:tcPr>
          <w:p w14:paraId="38D7989D" w14:textId="5A4F7963" w:rsidR="00DF1B0D" w:rsidRPr="00FF386D" w:rsidRDefault="00DF1B0D" w:rsidP="00DF1B0D">
            <w:pPr>
              <w:spacing w:after="0" w:line="240" w:lineRule="auto"/>
              <w:jc w:val="right"/>
              <w:rPr>
                <w:rFonts w:ascii="Calibri" w:eastAsia="Calibri" w:hAnsi="Calibri" w:cs="Calibri"/>
                <w:lang w:eastAsia="en-GB"/>
              </w:rPr>
            </w:pPr>
            <w:r w:rsidRPr="00FF386D">
              <w:rPr>
                <w:rFonts w:ascii="Calibri" w:eastAsia="Calibri" w:hAnsi="Calibri" w:cs="Times New Roman"/>
              </w:rPr>
              <w:t>10,67</w:t>
            </w:r>
          </w:p>
        </w:tc>
        <w:tc>
          <w:tcPr>
            <w:tcW w:w="828" w:type="dxa"/>
            <w:tcBorders>
              <w:top w:val="single" w:sz="4" w:space="0" w:color="auto"/>
              <w:left w:val="single" w:sz="4" w:space="0" w:color="auto"/>
              <w:bottom w:val="single" w:sz="4" w:space="0" w:color="auto"/>
              <w:right w:val="single" w:sz="4" w:space="0" w:color="auto"/>
            </w:tcBorders>
            <w:noWrap/>
            <w:hideMark/>
          </w:tcPr>
          <w:p w14:paraId="42069341" w14:textId="6FD1D7C2" w:rsidR="00DF1B0D" w:rsidRPr="00FF386D" w:rsidRDefault="00DF1B0D" w:rsidP="00DF1B0D">
            <w:pPr>
              <w:spacing w:after="0" w:line="240" w:lineRule="auto"/>
              <w:jc w:val="right"/>
              <w:rPr>
                <w:rFonts w:ascii="Calibri" w:eastAsia="Calibri" w:hAnsi="Calibri" w:cs="Calibri"/>
                <w:lang w:eastAsia="en-GB"/>
              </w:rPr>
            </w:pPr>
            <w:r w:rsidRPr="00FF386D">
              <w:rPr>
                <w:rFonts w:ascii="Calibri" w:eastAsia="Calibri" w:hAnsi="Calibri" w:cs="Times New Roman"/>
              </w:rPr>
              <w:t>11,14</w:t>
            </w:r>
          </w:p>
        </w:tc>
      </w:tr>
      <w:tr w:rsidR="00DF1B0D" w:rsidRPr="00FF386D" w14:paraId="1D698B41" w14:textId="77777777" w:rsidTr="00DF1B0D">
        <w:trPr>
          <w:trHeight w:val="300"/>
          <w:jc w:val="center"/>
        </w:trPr>
        <w:tc>
          <w:tcPr>
            <w:tcW w:w="1706" w:type="dxa"/>
            <w:tcBorders>
              <w:top w:val="single" w:sz="4" w:space="0" w:color="auto"/>
              <w:left w:val="single" w:sz="4" w:space="0" w:color="auto"/>
              <w:bottom w:val="single" w:sz="4" w:space="0" w:color="auto"/>
              <w:right w:val="single" w:sz="4" w:space="0" w:color="auto"/>
            </w:tcBorders>
            <w:noWrap/>
            <w:vAlign w:val="bottom"/>
            <w:hideMark/>
          </w:tcPr>
          <w:p w14:paraId="2C5EEEF3" w14:textId="77777777" w:rsidR="00DF1B0D" w:rsidRPr="00FF386D" w:rsidRDefault="00DF1B0D" w:rsidP="00DF1B0D">
            <w:pPr>
              <w:spacing w:after="0" w:line="240" w:lineRule="auto"/>
              <w:rPr>
                <w:rFonts w:ascii="Calibri" w:eastAsia="Calibri" w:hAnsi="Calibri" w:cs="Calibri"/>
                <w:lang w:eastAsia="en-GB"/>
              </w:rPr>
            </w:pPr>
            <w:r w:rsidRPr="00FF386D">
              <w:rPr>
                <w:rFonts w:ascii="Calibri" w:eastAsia="Calibri" w:hAnsi="Calibri" w:cs="Times New Roman"/>
                <w:lang w:bidi="sr-Cyrl-CS"/>
              </w:rPr>
              <w:t>Камени угаљ</w:t>
            </w:r>
          </w:p>
        </w:tc>
        <w:tc>
          <w:tcPr>
            <w:tcW w:w="772" w:type="dxa"/>
            <w:tcBorders>
              <w:top w:val="single" w:sz="4" w:space="0" w:color="auto"/>
              <w:left w:val="single" w:sz="4" w:space="0" w:color="auto"/>
              <w:bottom w:val="single" w:sz="4" w:space="0" w:color="auto"/>
              <w:right w:val="single" w:sz="4" w:space="0" w:color="auto"/>
            </w:tcBorders>
            <w:noWrap/>
            <w:hideMark/>
          </w:tcPr>
          <w:p w14:paraId="5101B8C4" w14:textId="578FC9DB" w:rsidR="00DF1B0D" w:rsidRPr="00FF386D" w:rsidRDefault="00DF1B0D" w:rsidP="00DF1B0D">
            <w:pPr>
              <w:spacing w:after="0" w:line="240" w:lineRule="auto"/>
              <w:jc w:val="right"/>
              <w:rPr>
                <w:rFonts w:ascii="Calibri" w:eastAsia="Calibri" w:hAnsi="Calibri" w:cs="Calibri"/>
                <w:lang w:eastAsia="en-GB"/>
              </w:rPr>
            </w:pPr>
            <w:r w:rsidRPr="00FF386D">
              <w:rPr>
                <w:rFonts w:ascii="Calibri" w:eastAsia="Calibri" w:hAnsi="Calibri" w:cs="Times New Roman"/>
              </w:rPr>
              <w:t>1,51</w:t>
            </w:r>
          </w:p>
        </w:tc>
        <w:tc>
          <w:tcPr>
            <w:tcW w:w="828" w:type="dxa"/>
            <w:tcBorders>
              <w:top w:val="single" w:sz="4" w:space="0" w:color="auto"/>
              <w:left w:val="single" w:sz="4" w:space="0" w:color="auto"/>
              <w:bottom w:val="single" w:sz="4" w:space="0" w:color="auto"/>
              <w:right w:val="single" w:sz="4" w:space="0" w:color="auto"/>
            </w:tcBorders>
            <w:noWrap/>
            <w:hideMark/>
          </w:tcPr>
          <w:p w14:paraId="4A1A24E6" w14:textId="20ACA73D" w:rsidR="00DF1B0D" w:rsidRPr="00FF386D" w:rsidRDefault="00DF1B0D" w:rsidP="00DF1B0D">
            <w:pPr>
              <w:spacing w:after="0" w:line="240" w:lineRule="auto"/>
              <w:jc w:val="right"/>
              <w:rPr>
                <w:rFonts w:ascii="Calibri" w:eastAsia="Calibri" w:hAnsi="Calibri" w:cs="Calibri"/>
                <w:lang w:eastAsia="en-GB"/>
              </w:rPr>
            </w:pPr>
            <w:r w:rsidRPr="00FF386D">
              <w:rPr>
                <w:rFonts w:ascii="Calibri" w:eastAsia="Calibri" w:hAnsi="Calibri" w:cs="Times New Roman"/>
              </w:rPr>
              <w:t>2,93</w:t>
            </w:r>
          </w:p>
        </w:tc>
        <w:tc>
          <w:tcPr>
            <w:tcW w:w="828" w:type="dxa"/>
            <w:tcBorders>
              <w:top w:val="single" w:sz="4" w:space="0" w:color="auto"/>
              <w:left w:val="single" w:sz="4" w:space="0" w:color="auto"/>
              <w:bottom w:val="single" w:sz="4" w:space="0" w:color="auto"/>
              <w:right w:val="single" w:sz="4" w:space="0" w:color="auto"/>
            </w:tcBorders>
            <w:noWrap/>
            <w:hideMark/>
          </w:tcPr>
          <w:p w14:paraId="68066265" w14:textId="6859D311" w:rsidR="00DF1B0D" w:rsidRPr="00FF386D" w:rsidRDefault="00DF1B0D" w:rsidP="00DF1B0D">
            <w:pPr>
              <w:spacing w:after="0" w:line="240" w:lineRule="auto"/>
              <w:jc w:val="right"/>
              <w:rPr>
                <w:rFonts w:ascii="Calibri" w:eastAsia="Calibri" w:hAnsi="Calibri" w:cs="Calibri"/>
                <w:lang w:eastAsia="en-GB"/>
              </w:rPr>
            </w:pPr>
            <w:r w:rsidRPr="00FF386D">
              <w:rPr>
                <w:rFonts w:ascii="Calibri" w:eastAsia="Calibri" w:hAnsi="Calibri" w:cs="Times New Roman"/>
              </w:rPr>
              <w:t>2,93</w:t>
            </w:r>
          </w:p>
        </w:tc>
        <w:tc>
          <w:tcPr>
            <w:tcW w:w="828" w:type="dxa"/>
            <w:tcBorders>
              <w:top w:val="single" w:sz="4" w:space="0" w:color="auto"/>
              <w:left w:val="single" w:sz="4" w:space="0" w:color="auto"/>
              <w:bottom w:val="single" w:sz="4" w:space="0" w:color="auto"/>
              <w:right w:val="single" w:sz="4" w:space="0" w:color="auto"/>
            </w:tcBorders>
            <w:noWrap/>
            <w:hideMark/>
          </w:tcPr>
          <w:p w14:paraId="57F9AA89" w14:textId="65FA39E8" w:rsidR="00DF1B0D" w:rsidRPr="00FF386D" w:rsidRDefault="00DF1B0D" w:rsidP="00DF1B0D">
            <w:pPr>
              <w:spacing w:after="0" w:line="240" w:lineRule="auto"/>
              <w:jc w:val="right"/>
              <w:rPr>
                <w:rFonts w:ascii="Calibri" w:eastAsia="Calibri" w:hAnsi="Calibri" w:cs="Calibri"/>
                <w:lang w:eastAsia="en-GB"/>
              </w:rPr>
            </w:pPr>
            <w:r w:rsidRPr="00FF386D">
              <w:rPr>
                <w:rFonts w:ascii="Calibri" w:eastAsia="Calibri" w:hAnsi="Calibri" w:cs="Times New Roman"/>
              </w:rPr>
              <w:t>2,93</w:t>
            </w:r>
          </w:p>
        </w:tc>
        <w:tc>
          <w:tcPr>
            <w:tcW w:w="828" w:type="dxa"/>
            <w:tcBorders>
              <w:top w:val="single" w:sz="4" w:space="0" w:color="auto"/>
              <w:left w:val="single" w:sz="4" w:space="0" w:color="auto"/>
              <w:bottom w:val="single" w:sz="4" w:space="0" w:color="auto"/>
              <w:right w:val="single" w:sz="4" w:space="0" w:color="auto"/>
            </w:tcBorders>
            <w:noWrap/>
            <w:hideMark/>
          </w:tcPr>
          <w:p w14:paraId="20102E8D" w14:textId="64405CB2" w:rsidR="00DF1B0D" w:rsidRPr="00FF386D" w:rsidRDefault="00DF1B0D" w:rsidP="00DF1B0D">
            <w:pPr>
              <w:spacing w:after="0" w:line="240" w:lineRule="auto"/>
              <w:jc w:val="right"/>
              <w:rPr>
                <w:rFonts w:ascii="Calibri" w:eastAsia="Calibri" w:hAnsi="Calibri" w:cs="Calibri"/>
                <w:lang w:eastAsia="en-GB"/>
              </w:rPr>
            </w:pPr>
            <w:r w:rsidRPr="00FF386D">
              <w:rPr>
                <w:rFonts w:ascii="Calibri" w:eastAsia="Calibri" w:hAnsi="Calibri" w:cs="Times New Roman"/>
              </w:rPr>
              <w:t>3,12</w:t>
            </w:r>
          </w:p>
        </w:tc>
        <w:tc>
          <w:tcPr>
            <w:tcW w:w="828" w:type="dxa"/>
            <w:tcBorders>
              <w:top w:val="single" w:sz="4" w:space="0" w:color="auto"/>
              <w:left w:val="single" w:sz="4" w:space="0" w:color="auto"/>
              <w:bottom w:val="single" w:sz="4" w:space="0" w:color="auto"/>
              <w:right w:val="single" w:sz="4" w:space="0" w:color="auto"/>
            </w:tcBorders>
            <w:noWrap/>
            <w:hideMark/>
          </w:tcPr>
          <w:p w14:paraId="27D69677" w14:textId="37049751" w:rsidR="00DF1B0D" w:rsidRPr="00FF386D" w:rsidRDefault="00DF1B0D" w:rsidP="00DF1B0D">
            <w:pPr>
              <w:spacing w:after="0" w:line="240" w:lineRule="auto"/>
              <w:jc w:val="right"/>
              <w:rPr>
                <w:rFonts w:ascii="Calibri" w:eastAsia="Calibri" w:hAnsi="Calibri" w:cs="Calibri"/>
                <w:lang w:eastAsia="en-GB"/>
              </w:rPr>
            </w:pPr>
            <w:r w:rsidRPr="00FF386D">
              <w:rPr>
                <w:rFonts w:ascii="Calibri" w:eastAsia="Calibri" w:hAnsi="Calibri" w:cs="Times New Roman"/>
              </w:rPr>
              <w:t>3,30</w:t>
            </w:r>
          </w:p>
        </w:tc>
        <w:tc>
          <w:tcPr>
            <w:tcW w:w="828" w:type="dxa"/>
            <w:tcBorders>
              <w:top w:val="single" w:sz="4" w:space="0" w:color="auto"/>
              <w:left w:val="single" w:sz="4" w:space="0" w:color="auto"/>
              <w:bottom w:val="single" w:sz="4" w:space="0" w:color="auto"/>
              <w:right w:val="single" w:sz="4" w:space="0" w:color="auto"/>
            </w:tcBorders>
            <w:noWrap/>
            <w:hideMark/>
          </w:tcPr>
          <w:p w14:paraId="6E571264" w14:textId="462DD9D7" w:rsidR="00DF1B0D" w:rsidRPr="00FF386D" w:rsidRDefault="00DF1B0D" w:rsidP="00DF1B0D">
            <w:pPr>
              <w:spacing w:after="0" w:line="240" w:lineRule="auto"/>
              <w:jc w:val="right"/>
              <w:rPr>
                <w:rFonts w:ascii="Calibri" w:eastAsia="Calibri" w:hAnsi="Calibri" w:cs="Calibri"/>
                <w:lang w:eastAsia="en-GB"/>
              </w:rPr>
            </w:pPr>
            <w:r w:rsidRPr="00FF386D">
              <w:rPr>
                <w:rFonts w:ascii="Calibri" w:eastAsia="Calibri" w:hAnsi="Calibri" w:cs="Times New Roman"/>
              </w:rPr>
              <w:t>3,49</w:t>
            </w:r>
          </w:p>
        </w:tc>
      </w:tr>
    </w:tbl>
    <w:p w14:paraId="5F539847" w14:textId="77777777" w:rsidR="004A6F16" w:rsidRPr="00FF386D" w:rsidRDefault="004A6F16" w:rsidP="004A6F16">
      <w:pPr>
        <w:pStyle w:val="LDKBody1"/>
      </w:pPr>
    </w:p>
    <w:p w14:paraId="5BC0AFF6" w14:textId="53AAED04" w:rsidR="004A6F16" w:rsidRPr="00FF386D" w:rsidRDefault="004A6F16" w:rsidP="004A6F16">
      <w:pPr>
        <w:pStyle w:val="LDKBody1"/>
      </w:pPr>
      <w:r w:rsidRPr="00FF386D">
        <w:t>У анализи сценарија са постојећим мерама (</w:t>
      </w:r>
      <w:r w:rsidRPr="00FF386D">
        <w:rPr>
          <w:i/>
        </w:rPr>
        <w:t>WEM</w:t>
      </w:r>
      <w:r w:rsidRPr="00FF386D">
        <w:t>) претпоставља се да у Републици Србији не постоје таксе на CO</w:t>
      </w:r>
      <w:r w:rsidRPr="00FF386D">
        <w:rPr>
          <w:vertAlign w:val="subscript"/>
        </w:rPr>
        <w:t>2</w:t>
      </w:r>
      <w:r w:rsidRPr="00FF386D">
        <w:t>.</w:t>
      </w:r>
    </w:p>
    <w:p w14:paraId="1EE8AD22" w14:textId="680AD7A8" w:rsidR="00506B97" w:rsidRPr="00565B02" w:rsidRDefault="00966BCC">
      <w:pPr>
        <w:pStyle w:val="Heading4"/>
        <w:numPr>
          <w:ilvl w:val="0"/>
          <w:numId w:val="249"/>
        </w:numPr>
        <w:rPr>
          <w:lang w:val="sr-Cyrl-RS"/>
        </w:rPr>
      </w:pPr>
      <w:r w:rsidRPr="00565B02">
        <w:rPr>
          <w:lang w:val="sr-Cyrl-RS"/>
        </w:rPr>
        <w:t>Развој трошкова технологија</w:t>
      </w:r>
    </w:p>
    <w:p w14:paraId="76D6214F" w14:textId="7376E4F6" w:rsidR="00261225" w:rsidRPr="00FF386D" w:rsidRDefault="00261225" w:rsidP="00261225">
      <w:pPr>
        <w:pStyle w:val="LDKbody"/>
        <w:rPr>
          <w:rFonts w:asciiTheme="majorHAnsi" w:hAnsiTheme="majorHAnsi" w:cstheme="majorHAnsi"/>
          <w:lang w:val="sr-Cyrl-RS"/>
        </w:rPr>
      </w:pPr>
      <w:r w:rsidRPr="00FF386D">
        <w:rPr>
          <w:rFonts w:asciiTheme="majorHAnsi" w:hAnsiTheme="majorHAnsi" w:cstheme="majorHAnsi"/>
          <w:lang w:val="sr-Cyrl-RS"/>
        </w:rPr>
        <w:t>Пројекције инвестиционих трошкова технологија ОИЕ за производњу електричне енергије, за које се очекује да буду технологије са највећим потенцијалом за смањење трошкова, приказане су у</w:t>
      </w:r>
      <w:r w:rsidR="0087240E">
        <w:rPr>
          <w:rFonts w:asciiTheme="majorHAnsi" w:hAnsiTheme="majorHAnsi" w:cstheme="majorHAnsi"/>
          <w:lang w:val="sr-Cyrl-RS"/>
        </w:rPr>
        <w:t xml:space="preserve"> </w:t>
      </w:r>
      <w:r w:rsidR="0087240E">
        <w:rPr>
          <w:rFonts w:asciiTheme="majorHAnsi" w:hAnsiTheme="majorHAnsi" w:cstheme="majorHAnsi"/>
          <w:lang w:val="sr-Cyrl-RS"/>
        </w:rPr>
        <w:fldChar w:fldCharType="begin"/>
      </w:r>
      <w:r w:rsidR="0087240E">
        <w:rPr>
          <w:rFonts w:asciiTheme="majorHAnsi" w:hAnsiTheme="majorHAnsi" w:cstheme="majorHAnsi"/>
          <w:lang w:val="sr-Cyrl-RS"/>
        </w:rPr>
        <w:instrText xml:space="preserve"> REF _Ref153810295 \h  \* MERGEFORMAT </w:instrText>
      </w:r>
      <w:r w:rsidR="0087240E">
        <w:rPr>
          <w:rFonts w:asciiTheme="majorHAnsi" w:hAnsiTheme="majorHAnsi" w:cstheme="majorHAnsi"/>
          <w:lang w:val="sr-Cyrl-RS"/>
        </w:rPr>
      </w:r>
      <w:r w:rsidR="0087240E">
        <w:rPr>
          <w:rFonts w:asciiTheme="majorHAnsi" w:hAnsiTheme="majorHAnsi" w:cstheme="majorHAnsi"/>
          <w:lang w:val="sr-Cyrl-RS"/>
        </w:rPr>
        <w:fldChar w:fldCharType="separate"/>
      </w:r>
      <w:r w:rsidR="0087240E" w:rsidRPr="00565B02">
        <w:rPr>
          <w:rFonts w:asciiTheme="majorHAnsi" w:hAnsiTheme="majorHAnsi" w:cstheme="majorHAnsi"/>
          <w:lang w:val="sr-Cyrl-RS"/>
        </w:rPr>
        <w:t>табели 4.3</w:t>
      </w:r>
      <w:r w:rsidR="0087240E">
        <w:rPr>
          <w:rFonts w:asciiTheme="majorHAnsi" w:hAnsiTheme="majorHAnsi" w:cstheme="majorHAnsi"/>
          <w:lang w:val="sr-Cyrl-RS"/>
        </w:rPr>
        <w:fldChar w:fldCharType="end"/>
      </w:r>
      <w:r w:rsidRPr="00FF386D">
        <w:rPr>
          <w:rFonts w:asciiTheme="majorHAnsi" w:hAnsiTheme="majorHAnsi" w:cstheme="majorHAnsi"/>
          <w:lang w:val="sr-Cyrl-RS"/>
        </w:rPr>
        <w:t>. Обухваћена су три нивоа трошкова за ветроелектране како би се моделирала „крива понуде“ за потенцијал ветра.</w:t>
      </w:r>
      <w:r w:rsidR="004A6F16" w:rsidRPr="00FF386D">
        <w:rPr>
          <w:rFonts w:asciiTheme="majorHAnsi" w:hAnsiTheme="majorHAnsi" w:cstheme="majorHAnsi"/>
          <w:lang w:val="sr-Cyrl-RS"/>
        </w:rPr>
        <w:t xml:space="preserve"> Основна претпоставка је да први ниво трошкова одговара локацијама које имају </w:t>
      </w:r>
      <w:r w:rsidR="00A44D6C" w:rsidRPr="00FF386D">
        <w:rPr>
          <w:rFonts w:asciiTheme="majorHAnsi" w:hAnsiTheme="majorHAnsi" w:cstheme="majorHAnsi"/>
          <w:lang w:val="sr-Cyrl-RS"/>
        </w:rPr>
        <w:t xml:space="preserve">једноставан </w:t>
      </w:r>
      <w:r w:rsidR="004A6F16" w:rsidRPr="00FF386D">
        <w:rPr>
          <w:rFonts w:asciiTheme="majorHAnsi" w:hAnsiTheme="majorHAnsi" w:cstheme="majorHAnsi"/>
          <w:lang w:val="sr-Cyrl-RS"/>
        </w:rPr>
        <w:t xml:space="preserve">приступ инфраструктури (близу путева и преносне мреже) а следећи ниво трошкова се </w:t>
      </w:r>
      <w:r w:rsidR="004A6F16" w:rsidRPr="00FF386D">
        <w:rPr>
          <w:rFonts w:asciiTheme="majorHAnsi" w:hAnsiTheme="majorHAnsi" w:cstheme="majorHAnsi"/>
          <w:lang w:val="sr-Cyrl-RS"/>
        </w:rPr>
        <w:lastRenderedPageBreak/>
        <w:t>односи на локације које с</w:t>
      </w:r>
      <w:r w:rsidR="00A44D6C" w:rsidRPr="00FF386D">
        <w:rPr>
          <w:rFonts w:asciiTheme="majorHAnsi" w:hAnsiTheme="majorHAnsi" w:cstheme="majorHAnsi"/>
          <w:lang w:val="sr-Cyrl-RS"/>
        </w:rPr>
        <w:t>у</w:t>
      </w:r>
      <w:r w:rsidR="004A6F16" w:rsidRPr="00FF386D">
        <w:rPr>
          <w:rFonts w:asciiTheme="majorHAnsi" w:hAnsiTheme="majorHAnsi" w:cstheme="majorHAnsi"/>
          <w:lang w:val="sr-Cyrl-RS"/>
        </w:rPr>
        <w:t xml:space="preserve"> </w:t>
      </w:r>
      <w:r w:rsidR="00A44D6C" w:rsidRPr="00FF386D">
        <w:rPr>
          <w:rFonts w:asciiTheme="majorHAnsi" w:hAnsiTheme="majorHAnsi" w:cstheme="majorHAnsi"/>
          <w:lang w:val="sr-Cyrl-RS"/>
        </w:rPr>
        <w:t>удаљеније</w:t>
      </w:r>
      <w:r w:rsidR="004A6F16" w:rsidRPr="00FF386D">
        <w:rPr>
          <w:rFonts w:asciiTheme="majorHAnsi" w:hAnsiTheme="majorHAnsi" w:cstheme="majorHAnsi"/>
          <w:lang w:val="sr-Cyrl-RS"/>
        </w:rPr>
        <w:t xml:space="preserve"> због чега су трошкови инвестиција за десет процената виши у однос</w:t>
      </w:r>
      <w:r w:rsidR="00A44D6C" w:rsidRPr="00FF386D">
        <w:rPr>
          <w:rFonts w:asciiTheme="majorHAnsi" w:hAnsiTheme="majorHAnsi" w:cstheme="majorHAnsi"/>
          <w:lang w:val="sr-Cyrl-RS"/>
        </w:rPr>
        <w:t>у</w:t>
      </w:r>
      <w:r w:rsidR="004A6F16" w:rsidRPr="00FF386D">
        <w:rPr>
          <w:rFonts w:asciiTheme="majorHAnsi" w:hAnsiTheme="majorHAnsi" w:cstheme="majorHAnsi"/>
          <w:lang w:val="sr-Cyrl-RS"/>
        </w:rPr>
        <w:t xml:space="preserve"> на претходни ниво трошкова</w:t>
      </w:r>
      <w:r w:rsidR="00A23014">
        <w:rPr>
          <w:rStyle w:val="FootnoteReference"/>
          <w:rFonts w:asciiTheme="majorHAnsi" w:hAnsiTheme="majorHAnsi" w:cstheme="majorHAnsi"/>
        </w:rPr>
        <w:footnoteReference w:id="120"/>
      </w:r>
      <w:r w:rsidR="004A6F16" w:rsidRPr="00FF386D">
        <w:rPr>
          <w:rFonts w:asciiTheme="majorHAnsi" w:hAnsiTheme="majorHAnsi" w:cstheme="majorHAnsi"/>
          <w:lang w:val="sr-Cyrl-RS"/>
        </w:rPr>
        <w:t>.</w:t>
      </w:r>
    </w:p>
    <w:p w14:paraId="3251D018" w14:textId="167C5A4C" w:rsidR="0087240E" w:rsidRDefault="0087240E" w:rsidP="00565B02">
      <w:pPr>
        <w:pStyle w:val="Caption"/>
        <w:keepNext/>
      </w:pPr>
      <w:bookmarkStart w:id="153" w:name="_Ref153810295"/>
      <w:bookmarkStart w:id="154" w:name="_Toc153901475"/>
      <w:r>
        <w:t xml:space="preserve">Табела </w:t>
      </w:r>
      <w:r w:rsidR="00873C40">
        <w:fldChar w:fldCharType="begin"/>
      </w:r>
      <w:r w:rsidR="00873C40">
        <w:instrText xml:space="preserve"> STYLEREF 1 \s </w:instrText>
      </w:r>
      <w:r w:rsidR="00873C40">
        <w:fldChar w:fldCharType="separate"/>
      </w:r>
      <w:r w:rsidR="00873C40">
        <w:rPr>
          <w:noProof/>
        </w:rPr>
        <w:t>4</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3</w:t>
      </w:r>
      <w:r w:rsidR="00873C40">
        <w:fldChar w:fldCharType="end"/>
      </w:r>
      <w:bookmarkEnd w:id="153"/>
      <w:r>
        <w:t xml:space="preserve">: </w:t>
      </w:r>
      <w:r w:rsidRPr="0087240E">
        <w:t>Пројекције преконоћних трошкова инвестирања у технологије обновљиве енергије</w:t>
      </w:r>
      <w:bookmarkEnd w:id="154"/>
    </w:p>
    <w:tbl>
      <w:tblPr>
        <w:tblStyle w:val="PlainTable51"/>
        <w:tblW w:w="8490" w:type="dxa"/>
        <w:jc w:val="center"/>
        <w:tblLook w:val="04A0" w:firstRow="1" w:lastRow="0" w:firstColumn="1" w:lastColumn="0" w:noHBand="0" w:noVBand="1"/>
      </w:tblPr>
      <w:tblGrid>
        <w:gridCol w:w="5402"/>
        <w:gridCol w:w="772"/>
        <w:gridCol w:w="772"/>
        <w:gridCol w:w="772"/>
        <w:gridCol w:w="772"/>
      </w:tblGrid>
      <w:tr w:rsidR="00966BCC" w:rsidRPr="00251505" w14:paraId="40B46682" w14:textId="77777777" w:rsidTr="004A6F16">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5402" w:type="dxa"/>
          </w:tcPr>
          <w:p w14:paraId="3495A608" w14:textId="036E3AD7" w:rsidR="00966BCC" w:rsidRPr="000A2AFE" w:rsidRDefault="00E662F7" w:rsidP="00966BCC">
            <w:pPr>
              <w:jc w:val="center"/>
              <w:rPr>
                <w:rFonts w:cstheme="majorHAnsi"/>
                <w:b/>
                <w:bCs/>
                <w:sz w:val="20"/>
                <w:szCs w:val="20"/>
              </w:rPr>
            </w:pPr>
            <w:r w:rsidRPr="000A2AFE">
              <w:rPr>
                <w:rFonts w:cstheme="majorHAnsi"/>
                <w:b/>
                <w:bCs/>
                <w:sz w:val="20"/>
                <w:szCs w:val="20"/>
              </w:rPr>
              <w:t xml:space="preserve">Преконоћни трошкови инвестирања у </w:t>
            </w:r>
            <w:r w:rsidR="00966BCC" w:rsidRPr="000A2AFE">
              <w:rPr>
                <w:rFonts w:cstheme="majorHAnsi"/>
                <w:b/>
                <w:bCs/>
                <w:sz w:val="20"/>
                <w:szCs w:val="20"/>
              </w:rPr>
              <w:t>Евро/kW</w:t>
            </w:r>
          </w:p>
        </w:tc>
        <w:tc>
          <w:tcPr>
            <w:tcW w:w="772" w:type="dxa"/>
          </w:tcPr>
          <w:p w14:paraId="6C0F5F63" w14:textId="0D0BB97F" w:rsidR="00966BCC" w:rsidRPr="000A2AFE" w:rsidRDefault="00966BCC" w:rsidP="00966BCC">
            <w:pPr>
              <w:cnfStyle w:val="100000000000" w:firstRow="1" w:lastRow="0" w:firstColumn="0" w:lastColumn="0" w:oddVBand="0" w:evenVBand="0" w:oddHBand="0" w:evenHBand="0" w:firstRowFirstColumn="0" w:firstRowLastColumn="0" w:lastRowFirstColumn="0" w:lastRowLastColumn="0"/>
              <w:rPr>
                <w:rFonts w:cstheme="majorHAnsi"/>
                <w:b/>
                <w:bCs/>
                <w:sz w:val="20"/>
                <w:szCs w:val="20"/>
              </w:rPr>
            </w:pPr>
            <w:r w:rsidRPr="000A2AFE">
              <w:rPr>
                <w:rFonts w:cstheme="majorHAnsi"/>
                <w:b/>
                <w:bCs/>
                <w:sz w:val="20"/>
                <w:szCs w:val="20"/>
              </w:rPr>
              <w:t>2025</w:t>
            </w:r>
            <w:r w:rsidR="00E662F7" w:rsidRPr="000A2AFE">
              <w:rPr>
                <w:rFonts w:cstheme="majorHAnsi"/>
                <w:b/>
                <w:bCs/>
                <w:sz w:val="20"/>
                <w:szCs w:val="20"/>
              </w:rPr>
              <w:t>.</w:t>
            </w:r>
          </w:p>
        </w:tc>
        <w:tc>
          <w:tcPr>
            <w:tcW w:w="772" w:type="dxa"/>
          </w:tcPr>
          <w:p w14:paraId="24CB5B0B" w14:textId="15D7F303" w:rsidR="00966BCC" w:rsidRPr="000A2AFE" w:rsidRDefault="00966BCC" w:rsidP="00966BCC">
            <w:pPr>
              <w:cnfStyle w:val="100000000000" w:firstRow="1" w:lastRow="0" w:firstColumn="0" w:lastColumn="0" w:oddVBand="0" w:evenVBand="0" w:oddHBand="0" w:evenHBand="0" w:firstRowFirstColumn="0" w:firstRowLastColumn="0" w:lastRowFirstColumn="0" w:lastRowLastColumn="0"/>
              <w:rPr>
                <w:rFonts w:cstheme="majorHAnsi"/>
                <w:b/>
                <w:bCs/>
                <w:sz w:val="20"/>
                <w:szCs w:val="20"/>
              </w:rPr>
            </w:pPr>
            <w:r w:rsidRPr="000A2AFE">
              <w:rPr>
                <w:rFonts w:cstheme="majorHAnsi"/>
                <w:b/>
                <w:bCs/>
                <w:sz w:val="20"/>
                <w:szCs w:val="20"/>
              </w:rPr>
              <w:t>2030</w:t>
            </w:r>
            <w:r w:rsidR="00E662F7" w:rsidRPr="000A2AFE">
              <w:rPr>
                <w:rFonts w:cstheme="majorHAnsi"/>
                <w:b/>
                <w:bCs/>
                <w:sz w:val="20"/>
                <w:szCs w:val="20"/>
              </w:rPr>
              <w:t>.</w:t>
            </w:r>
          </w:p>
        </w:tc>
        <w:tc>
          <w:tcPr>
            <w:tcW w:w="772" w:type="dxa"/>
          </w:tcPr>
          <w:p w14:paraId="28707510" w14:textId="18928492" w:rsidR="00966BCC" w:rsidRPr="000A2AFE" w:rsidRDefault="00966BCC" w:rsidP="00966BCC">
            <w:pPr>
              <w:cnfStyle w:val="100000000000" w:firstRow="1" w:lastRow="0" w:firstColumn="0" w:lastColumn="0" w:oddVBand="0" w:evenVBand="0" w:oddHBand="0" w:evenHBand="0" w:firstRowFirstColumn="0" w:firstRowLastColumn="0" w:lastRowFirstColumn="0" w:lastRowLastColumn="0"/>
              <w:rPr>
                <w:rFonts w:cstheme="majorHAnsi"/>
                <w:b/>
                <w:bCs/>
                <w:sz w:val="20"/>
                <w:szCs w:val="20"/>
              </w:rPr>
            </w:pPr>
            <w:r w:rsidRPr="000A2AFE">
              <w:rPr>
                <w:rFonts w:cstheme="majorHAnsi"/>
                <w:b/>
                <w:bCs/>
                <w:sz w:val="20"/>
                <w:szCs w:val="20"/>
              </w:rPr>
              <w:t>2040</w:t>
            </w:r>
            <w:r w:rsidR="00E662F7" w:rsidRPr="000A2AFE">
              <w:rPr>
                <w:rFonts w:cstheme="majorHAnsi"/>
                <w:b/>
                <w:bCs/>
                <w:sz w:val="20"/>
                <w:szCs w:val="20"/>
              </w:rPr>
              <w:t>.</w:t>
            </w:r>
          </w:p>
        </w:tc>
        <w:tc>
          <w:tcPr>
            <w:tcW w:w="772" w:type="dxa"/>
          </w:tcPr>
          <w:p w14:paraId="7D47A5E6" w14:textId="47F49DA5" w:rsidR="00966BCC" w:rsidRPr="000A2AFE" w:rsidRDefault="00966BCC" w:rsidP="00966BCC">
            <w:pPr>
              <w:cnfStyle w:val="100000000000" w:firstRow="1" w:lastRow="0" w:firstColumn="0" w:lastColumn="0" w:oddVBand="0" w:evenVBand="0" w:oddHBand="0" w:evenHBand="0" w:firstRowFirstColumn="0" w:firstRowLastColumn="0" w:lastRowFirstColumn="0" w:lastRowLastColumn="0"/>
              <w:rPr>
                <w:rFonts w:cstheme="majorHAnsi"/>
                <w:b/>
                <w:bCs/>
                <w:sz w:val="20"/>
                <w:szCs w:val="20"/>
              </w:rPr>
            </w:pPr>
            <w:r w:rsidRPr="000A2AFE">
              <w:rPr>
                <w:rFonts w:cstheme="majorHAnsi"/>
                <w:b/>
                <w:bCs/>
                <w:sz w:val="20"/>
                <w:szCs w:val="20"/>
              </w:rPr>
              <w:t>2050</w:t>
            </w:r>
            <w:r w:rsidR="00E662F7" w:rsidRPr="000A2AFE">
              <w:rPr>
                <w:rFonts w:cstheme="majorHAnsi"/>
                <w:b/>
                <w:bCs/>
                <w:sz w:val="20"/>
                <w:szCs w:val="20"/>
              </w:rPr>
              <w:t>.</w:t>
            </w:r>
          </w:p>
        </w:tc>
      </w:tr>
      <w:tr w:rsidR="00966BCC" w:rsidRPr="00251505" w14:paraId="7350A189" w14:textId="77777777" w:rsidTr="004A6F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02" w:type="dxa"/>
          </w:tcPr>
          <w:p w14:paraId="63CD701A" w14:textId="16D16402" w:rsidR="00966BCC" w:rsidRPr="000A2AFE" w:rsidRDefault="00966BCC" w:rsidP="00966BCC">
            <w:pPr>
              <w:rPr>
                <w:rFonts w:cstheme="majorHAnsi"/>
                <w:sz w:val="20"/>
                <w:szCs w:val="20"/>
              </w:rPr>
            </w:pPr>
            <w:r w:rsidRPr="000A2AFE">
              <w:rPr>
                <w:rFonts w:cstheme="majorHAnsi"/>
                <w:sz w:val="20"/>
                <w:szCs w:val="20"/>
              </w:rPr>
              <w:t>Соларна електрана (Фотонап</w:t>
            </w:r>
            <w:r w:rsidR="009260AE" w:rsidRPr="000A2AFE">
              <w:rPr>
                <w:rFonts w:cstheme="majorHAnsi"/>
                <w:sz w:val="20"/>
                <w:szCs w:val="20"/>
              </w:rPr>
              <w:t>онска</w:t>
            </w:r>
            <w:r w:rsidRPr="000A2AFE">
              <w:rPr>
                <w:rFonts w:cstheme="majorHAnsi"/>
                <w:sz w:val="20"/>
                <w:szCs w:val="20"/>
              </w:rPr>
              <w:t>)</w:t>
            </w:r>
            <w:r w:rsidR="004A6F16" w:rsidRPr="000A2AFE">
              <w:rPr>
                <w:rFonts w:cstheme="majorHAnsi"/>
                <w:sz w:val="20"/>
                <w:szCs w:val="20"/>
              </w:rPr>
              <w:t xml:space="preserve"> </w:t>
            </w:r>
            <w:r w:rsidRPr="000A2AFE">
              <w:rPr>
                <w:rFonts w:cstheme="majorHAnsi"/>
                <w:sz w:val="20"/>
                <w:szCs w:val="20"/>
              </w:rPr>
              <w:t>– Величина постројења</w:t>
            </w:r>
          </w:p>
        </w:tc>
        <w:tc>
          <w:tcPr>
            <w:tcW w:w="772" w:type="dxa"/>
            <w:vAlign w:val="center"/>
          </w:tcPr>
          <w:p w14:paraId="5B527E58" w14:textId="77777777" w:rsidR="00966BCC" w:rsidRPr="000A2AFE" w:rsidRDefault="00966BCC" w:rsidP="00966BCC">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0A2AFE">
              <w:rPr>
                <w:rFonts w:asciiTheme="majorHAnsi" w:hAnsiTheme="majorHAnsi" w:cstheme="majorHAnsi"/>
                <w:sz w:val="20"/>
                <w:szCs w:val="20"/>
              </w:rPr>
              <w:t>575</w:t>
            </w:r>
          </w:p>
        </w:tc>
        <w:tc>
          <w:tcPr>
            <w:tcW w:w="772" w:type="dxa"/>
            <w:vAlign w:val="center"/>
          </w:tcPr>
          <w:p w14:paraId="06C5DB33" w14:textId="77777777" w:rsidR="00966BCC" w:rsidRPr="000A2AFE" w:rsidRDefault="00966BCC" w:rsidP="00966BCC">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0A2AFE">
              <w:rPr>
                <w:rFonts w:asciiTheme="majorHAnsi" w:hAnsiTheme="majorHAnsi" w:cstheme="majorHAnsi"/>
                <w:sz w:val="20"/>
                <w:szCs w:val="20"/>
              </w:rPr>
              <w:t>550</w:t>
            </w:r>
          </w:p>
        </w:tc>
        <w:tc>
          <w:tcPr>
            <w:tcW w:w="772" w:type="dxa"/>
            <w:vAlign w:val="center"/>
          </w:tcPr>
          <w:p w14:paraId="6F76F636" w14:textId="77777777" w:rsidR="00966BCC" w:rsidRPr="000A2AFE" w:rsidRDefault="00966BCC" w:rsidP="00966BCC">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0A2AFE">
              <w:rPr>
                <w:rFonts w:asciiTheme="majorHAnsi" w:hAnsiTheme="majorHAnsi" w:cstheme="majorHAnsi"/>
                <w:sz w:val="20"/>
                <w:szCs w:val="20"/>
              </w:rPr>
              <w:t>500</w:t>
            </w:r>
          </w:p>
        </w:tc>
        <w:tc>
          <w:tcPr>
            <w:tcW w:w="772" w:type="dxa"/>
            <w:vAlign w:val="center"/>
          </w:tcPr>
          <w:p w14:paraId="41D068C8" w14:textId="77777777" w:rsidR="00966BCC" w:rsidRPr="000A2AFE" w:rsidRDefault="00966BCC" w:rsidP="00966BCC">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0A2AFE">
              <w:rPr>
                <w:rFonts w:asciiTheme="majorHAnsi" w:hAnsiTheme="majorHAnsi" w:cstheme="majorHAnsi"/>
                <w:sz w:val="20"/>
                <w:szCs w:val="20"/>
              </w:rPr>
              <w:t>350</w:t>
            </w:r>
          </w:p>
        </w:tc>
      </w:tr>
      <w:tr w:rsidR="00966BCC" w:rsidRPr="00251505" w14:paraId="191F2D5F" w14:textId="77777777" w:rsidTr="004A6F16">
        <w:trPr>
          <w:jc w:val="center"/>
        </w:trPr>
        <w:tc>
          <w:tcPr>
            <w:cnfStyle w:val="001000000000" w:firstRow="0" w:lastRow="0" w:firstColumn="1" w:lastColumn="0" w:oddVBand="0" w:evenVBand="0" w:oddHBand="0" w:evenHBand="0" w:firstRowFirstColumn="0" w:firstRowLastColumn="0" w:lastRowFirstColumn="0" w:lastRowLastColumn="0"/>
            <w:tcW w:w="5402" w:type="dxa"/>
          </w:tcPr>
          <w:p w14:paraId="7751FFA6" w14:textId="691E53AA" w:rsidR="00966BCC" w:rsidRPr="000A2AFE" w:rsidRDefault="00966BCC" w:rsidP="00966BCC">
            <w:pPr>
              <w:rPr>
                <w:rFonts w:cstheme="majorHAnsi"/>
                <w:sz w:val="20"/>
                <w:szCs w:val="20"/>
              </w:rPr>
            </w:pPr>
            <w:r w:rsidRPr="000A2AFE">
              <w:rPr>
                <w:rFonts w:cstheme="majorHAnsi"/>
                <w:sz w:val="20"/>
                <w:szCs w:val="20"/>
              </w:rPr>
              <w:t>Кровни соларни панели (Фотонап</w:t>
            </w:r>
            <w:r w:rsidR="009260AE" w:rsidRPr="000A2AFE">
              <w:rPr>
                <w:rFonts w:cstheme="majorHAnsi"/>
                <w:sz w:val="20"/>
                <w:szCs w:val="20"/>
              </w:rPr>
              <w:t>онски</w:t>
            </w:r>
            <w:r w:rsidRPr="000A2AFE">
              <w:rPr>
                <w:rFonts w:cstheme="majorHAnsi"/>
                <w:sz w:val="20"/>
                <w:szCs w:val="20"/>
              </w:rPr>
              <w:t>)</w:t>
            </w:r>
          </w:p>
        </w:tc>
        <w:tc>
          <w:tcPr>
            <w:tcW w:w="772" w:type="dxa"/>
            <w:vAlign w:val="center"/>
          </w:tcPr>
          <w:p w14:paraId="1FC97F50" w14:textId="77777777" w:rsidR="00966BCC" w:rsidRPr="000A2AFE" w:rsidRDefault="00966BCC" w:rsidP="00966BC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0A2AFE">
              <w:rPr>
                <w:rFonts w:asciiTheme="majorHAnsi" w:hAnsiTheme="majorHAnsi" w:cstheme="majorHAnsi"/>
                <w:sz w:val="20"/>
                <w:szCs w:val="20"/>
              </w:rPr>
              <w:t>690</w:t>
            </w:r>
          </w:p>
        </w:tc>
        <w:tc>
          <w:tcPr>
            <w:tcW w:w="772" w:type="dxa"/>
            <w:vAlign w:val="center"/>
          </w:tcPr>
          <w:p w14:paraId="1025EB38" w14:textId="77777777" w:rsidR="00966BCC" w:rsidRPr="000A2AFE" w:rsidRDefault="00966BCC" w:rsidP="00966BC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0A2AFE">
              <w:rPr>
                <w:rFonts w:asciiTheme="majorHAnsi" w:hAnsiTheme="majorHAnsi" w:cstheme="majorHAnsi"/>
                <w:sz w:val="20"/>
                <w:szCs w:val="20"/>
              </w:rPr>
              <w:t>660</w:t>
            </w:r>
          </w:p>
        </w:tc>
        <w:tc>
          <w:tcPr>
            <w:tcW w:w="772" w:type="dxa"/>
            <w:vAlign w:val="center"/>
          </w:tcPr>
          <w:p w14:paraId="19BD7DF1" w14:textId="77777777" w:rsidR="00966BCC" w:rsidRPr="000A2AFE" w:rsidRDefault="00966BCC" w:rsidP="00966BC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0A2AFE">
              <w:rPr>
                <w:rFonts w:asciiTheme="majorHAnsi" w:hAnsiTheme="majorHAnsi" w:cstheme="majorHAnsi"/>
                <w:sz w:val="20"/>
                <w:szCs w:val="20"/>
              </w:rPr>
              <w:t>600</w:t>
            </w:r>
          </w:p>
        </w:tc>
        <w:tc>
          <w:tcPr>
            <w:tcW w:w="772" w:type="dxa"/>
            <w:vAlign w:val="center"/>
          </w:tcPr>
          <w:p w14:paraId="15953BAE" w14:textId="77777777" w:rsidR="00966BCC" w:rsidRPr="000A2AFE" w:rsidRDefault="00966BCC" w:rsidP="00966BC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0A2AFE">
              <w:rPr>
                <w:rFonts w:asciiTheme="majorHAnsi" w:hAnsiTheme="majorHAnsi" w:cstheme="majorHAnsi"/>
                <w:sz w:val="20"/>
                <w:szCs w:val="20"/>
              </w:rPr>
              <w:t>420</w:t>
            </w:r>
          </w:p>
        </w:tc>
      </w:tr>
      <w:tr w:rsidR="00966BCC" w:rsidRPr="00251505" w14:paraId="41EEF54A" w14:textId="77777777" w:rsidTr="004A6F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02" w:type="dxa"/>
          </w:tcPr>
          <w:p w14:paraId="5C1C60F7" w14:textId="4DBFFC57" w:rsidR="00966BCC" w:rsidRPr="000A2AFE" w:rsidRDefault="00966BCC" w:rsidP="00966BCC">
            <w:pPr>
              <w:rPr>
                <w:rFonts w:cstheme="majorHAnsi"/>
                <w:sz w:val="20"/>
                <w:szCs w:val="20"/>
              </w:rPr>
            </w:pPr>
            <w:r w:rsidRPr="000A2AFE">
              <w:rPr>
                <w:rFonts w:cstheme="majorHAnsi"/>
                <w:sz w:val="20"/>
                <w:szCs w:val="20"/>
              </w:rPr>
              <w:t>Ветроелектране Ниво трошкова 1</w:t>
            </w:r>
          </w:p>
        </w:tc>
        <w:tc>
          <w:tcPr>
            <w:tcW w:w="772" w:type="dxa"/>
            <w:vAlign w:val="center"/>
          </w:tcPr>
          <w:p w14:paraId="47C0BA33" w14:textId="77777777" w:rsidR="00966BCC" w:rsidRPr="000A2AFE" w:rsidRDefault="00966BCC" w:rsidP="00966BCC">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0A2AFE">
              <w:rPr>
                <w:rFonts w:asciiTheme="majorHAnsi" w:hAnsiTheme="majorHAnsi" w:cstheme="majorHAnsi"/>
                <w:sz w:val="20"/>
                <w:szCs w:val="20"/>
              </w:rPr>
              <w:t>1150</w:t>
            </w:r>
          </w:p>
        </w:tc>
        <w:tc>
          <w:tcPr>
            <w:tcW w:w="772" w:type="dxa"/>
            <w:vAlign w:val="center"/>
          </w:tcPr>
          <w:p w14:paraId="47B40188" w14:textId="77777777" w:rsidR="00966BCC" w:rsidRPr="000A2AFE" w:rsidRDefault="00966BCC" w:rsidP="00966BCC">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0A2AFE">
              <w:rPr>
                <w:rFonts w:asciiTheme="majorHAnsi" w:hAnsiTheme="majorHAnsi" w:cstheme="majorHAnsi"/>
                <w:sz w:val="20"/>
                <w:szCs w:val="20"/>
              </w:rPr>
              <w:t>1000</w:t>
            </w:r>
          </w:p>
        </w:tc>
        <w:tc>
          <w:tcPr>
            <w:tcW w:w="772" w:type="dxa"/>
            <w:vAlign w:val="center"/>
          </w:tcPr>
          <w:p w14:paraId="5FAB916D" w14:textId="77777777" w:rsidR="00966BCC" w:rsidRPr="000A2AFE" w:rsidRDefault="00966BCC" w:rsidP="00966BCC">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0A2AFE">
              <w:rPr>
                <w:rFonts w:asciiTheme="majorHAnsi" w:hAnsiTheme="majorHAnsi" w:cstheme="majorHAnsi"/>
                <w:sz w:val="20"/>
                <w:szCs w:val="20"/>
              </w:rPr>
              <w:t>950</w:t>
            </w:r>
          </w:p>
        </w:tc>
        <w:tc>
          <w:tcPr>
            <w:tcW w:w="772" w:type="dxa"/>
            <w:vAlign w:val="center"/>
          </w:tcPr>
          <w:p w14:paraId="53F6E654" w14:textId="77777777" w:rsidR="00966BCC" w:rsidRPr="000A2AFE" w:rsidRDefault="00966BCC" w:rsidP="00966BCC">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0A2AFE">
              <w:rPr>
                <w:rFonts w:asciiTheme="majorHAnsi" w:hAnsiTheme="majorHAnsi" w:cstheme="majorHAnsi"/>
                <w:sz w:val="20"/>
                <w:szCs w:val="20"/>
              </w:rPr>
              <w:t>900</w:t>
            </w:r>
          </w:p>
        </w:tc>
      </w:tr>
      <w:tr w:rsidR="00966BCC" w:rsidRPr="00251505" w14:paraId="3592667C" w14:textId="77777777" w:rsidTr="004A6F16">
        <w:trPr>
          <w:jc w:val="center"/>
        </w:trPr>
        <w:tc>
          <w:tcPr>
            <w:cnfStyle w:val="001000000000" w:firstRow="0" w:lastRow="0" w:firstColumn="1" w:lastColumn="0" w:oddVBand="0" w:evenVBand="0" w:oddHBand="0" w:evenHBand="0" w:firstRowFirstColumn="0" w:firstRowLastColumn="0" w:lastRowFirstColumn="0" w:lastRowLastColumn="0"/>
            <w:tcW w:w="5402" w:type="dxa"/>
          </w:tcPr>
          <w:p w14:paraId="0744EA62" w14:textId="199587DB" w:rsidR="00966BCC" w:rsidRPr="000A2AFE" w:rsidRDefault="00966BCC" w:rsidP="00966BCC">
            <w:pPr>
              <w:rPr>
                <w:rFonts w:cstheme="majorHAnsi"/>
                <w:sz w:val="20"/>
                <w:szCs w:val="20"/>
              </w:rPr>
            </w:pPr>
            <w:r w:rsidRPr="000A2AFE">
              <w:rPr>
                <w:rFonts w:cstheme="majorHAnsi"/>
                <w:sz w:val="20"/>
                <w:szCs w:val="20"/>
              </w:rPr>
              <w:t>Ветроелектране Ниво трошкова 2</w:t>
            </w:r>
          </w:p>
        </w:tc>
        <w:tc>
          <w:tcPr>
            <w:tcW w:w="772" w:type="dxa"/>
            <w:vAlign w:val="center"/>
          </w:tcPr>
          <w:p w14:paraId="79E0648D" w14:textId="77777777" w:rsidR="00966BCC" w:rsidRPr="000A2AFE" w:rsidRDefault="00966BCC" w:rsidP="00966BC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0A2AFE">
              <w:rPr>
                <w:rFonts w:asciiTheme="majorHAnsi" w:hAnsiTheme="majorHAnsi" w:cstheme="majorHAnsi"/>
                <w:sz w:val="20"/>
                <w:szCs w:val="20"/>
              </w:rPr>
              <w:t>1265</w:t>
            </w:r>
          </w:p>
        </w:tc>
        <w:tc>
          <w:tcPr>
            <w:tcW w:w="772" w:type="dxa"/>
            <w:vAlign w:val="center"/>
          </w:tcPr>
          <w:p w14:paraId="307E62D8" w14:textId="77777777" w:rsidR="00966BCC" w:rsidRPr="000A2AFE" w:rsidRDefault="00966BCC" w:rsidP="00966BC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0A2AFE">
              <w:rPr>
                <w:rFonts w:asciiTheme="majorHAnsi" w:hAnsiTheme="majorHAnsi" w:cstheme="majorHAnsi"/>
                <w:sz w:val="20"/>
                <w:szCs w:val="20"/>
              </w:rPr>
              <w:t>1100</w:t>
            </w:r>
          </w:p>
        </w:tc>
        <w:tc>
          <w:tcPr>
            <w:tcW w:w="772" w:type="dxa"/>
            <w:vAlign w:val="center"/>
          </w:tcPr>
          <w:p w14:paraId="7BA2C86A" w14:textId="77777777" w:rsidR="00966BCC" w:rsidRPr="000A2AFE" w:rsidRDefault="00966BCC" w:rsidP="00966BC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0A2AFE">
              <w:rPr>
                <w:rFonts w:asciiTheme="majorHAnsi" w:hAnsiTheme="majorHAnsi" w:cstheme="majorHAnsi"/>
                <w:sz w:val="20"/>
                <w:szCs w:val="20"/>
              </w:rPr>
              <w:t>1045</w:t>
            </w:r>
          </w:p>
        </w:tc>
        <w:tc>
          <w:tcPr>
            <w:tcW w:w="772" w:type="dxa"/>
            <w:vAlign w:val="center"/>
          </w:tcPr>
          <w:p w14:paraId="2EEF8372" w14:textId="77777777" w:rsidR="00966BCC" w:rsidRPr="000A2AFE" w:rsidRDefault="00966BCC" w:rsidP="00966BC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0A2AFE">
              <w:rPr>
                <w:rFonts w:asciiTheme="majorHAnsi" w:hAnsiTheme="majorHAnsi" w:cstheme="majorHAnsi"/>
                <w:sz w:val="20"/>
                <w:szCs w:val="20"/>
              </w:rPr>
              <w:t>990</w:t>
            </w:r>
          </w:p>
        </w:tc>
      </w:tr>
      <w:tr w:rsidR="00966BCC" w:rsidRPr="00251505" w14:paraId="259DB31B" w14:textId="77777777" w:rsidTr="004A6F1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02" w:type="dxa"/>
            <w:tcBorders>
              <w:bottom w:val="single" w:sz="4" w:space="0" w:color="auto"/>
            </w:tcBorders>
          </w:tcPr>
          <w:p w14:paraId="4C72741E" w14:textId="6F7EA56A" w:rsidR="00966BCC" w:rsidRPr="000A2AFE" w:rsidRDefault="00966BCC" w:rsidP="00966BCC">
            <w:pPr>
              <w:rPr>
                <w:rFonts w:cstheme="majorHAnsi"/>
                <w:sz w:val="20"/>
                <w:szCs w:val="20"/>
              </w:rPr>
            </w:pPr>
            <w:r w:rsidRPr="000A2AFE">
              <w:rPr>
                <w:rFonts w:cstheme="majorHAnsi"/>
                <w:sz w:val="20"/>
                <w:szCs w:val="20"/>
              </w:rPr>
              <w:t>Ветроелектране Ниво трошкова 3</w:t>
            </w:r>
          </w:p>
        </w:tc>
        <w:tc>
          <w:tcPr>
            <w:tcW w:w="772" w:type="dxa"/>
            <w:tcBorders>
              <w:bottom w:val="single" w:sz="4" w:space="0" w:color="auto"/>
            </w:tcBorders>
            <w:vAlign w:val="center"/>
          </w:tcPr>
          <w:p w14:paraId="5DDD9144" w14:textId="77777777" w:rsidR="00966BCC" w:rsidRPr="000A2AFE" w:rsidRDefault="00966BCC" w:rsidP="00966BCC">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0A2AFE">
              <w:rPr>
                <w:rFonts w:asciiTheme="majorHAnsi" w:hAnsiTheme="majorHAnsi" w:cstheme="majorHAnsi"/>
                <w:sz w:val="20"/>
                <w:szCs w:val="20"/>
              </w:rPr>
              <w:t>1520</w:t>
            </w:r>
          </w:p>
        </w:tc>
        <w:tc>
          <w:tcPr>
            <w:tcW w:w="772" w:type="dxa"/>
            <w:tcBorders>
              <w:bottom w:val="single" w:sz="4" w:space="0" w:color="auto"/>
            </w:tcBorders>
            <w:vAlign w:val="center"/>
          </w:tcPr>
          <w:p w14:paraId="181ACCE6" w14:textId="77777777" w:rsidR="00966BCC" w:rsidRPr="000A2AFE" w:rsidRDefault="00966BCC" w:rsidP="00966BCC">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0A2AFE">
              <w:rPr>
                <w:rFonts w:asciiTheme="majorHAnsi" w:hAnsiTheme="majorHAnsi" w:cstheme="majorHAnsi"/>
                <w:sz w:val="20"/>
                <w:szCs w:val="20"/>
              </w:rPr>
              <w:t>1320</w:t>
            </w:r>
          </w:p>
        </w:tc>
        <w:tc>
          <w:tcPr>
            <w:tcW w:w="772" w:type="dxa"/>
            <w:tcBorders>
              <w:bottom w:val="single" w:sz="4" w:space="0" w:color="auto"/>
            </w:tcBorders>
            <w:vAlign w:val="center"/>
          </w:tcPr>
          <w:p w14:paraId="57335C4F" w14:textId="77777777" w:rsidR="00966BCC" w:rsidRPr="000A2AFE" w:rsidRDefault="00966BCC" w:rsidP="00966BCC">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0A2AFE">
              <w:rPr>
                <w:rFonts w:asciiTheme="majorHAnsi" w:hAnsiTheme="majorHAnsi" w:cstheme="majorHAnsi"/>
                <w:sz w:val="20"/>
                <w:szCs w:val="20"/>
              </w:rPr>
              <w:t>1254</w:t>
            </w:r>
          </w:p>
        </w:tc>
        <w:tc>
          <w:tcPr>
            <w:tcW w:w="772" w:type="dxa"/>
            <w:tcBorders>
              <w:bottom w:val="single" w:sz="4" w:space="0" w:color="auto"/>
            </w:tcBorders>
            <w:vAlign w:val="center"/>
          </w:tcPr>
          <w:p w14:paraId="68692AD9" w14:textId="77777777" w:rsidR="00966BCC" w:rsidRPr="000A2AFE" w:rsidRDefault="00966BCC" w:rsidP="00966BCC">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0A2AFE">
              <w:rPr>
                <w:rFonts w:asciiTheme="majorHAnsi" w:hAnsiTheme="majorHAnsi" w:cstheme="majorHAnsi"/>
                <w:sz w:val="20"/>
                <w:szCs w:val="20"/>
              </w:rPr>
              <w:t>1188</w:t>
            </w:r>
          </w:p>
        </w:tc>
      </w:tr>
    </w:tbl>
    <w:p w14:paraId="72347105" w14:textId="4049017E" w:rsidR="00386771" w:rsidRPr="00FF386D" w:rsidRDefault="00782A7E" w:rsidP="00F83802">
      <w:pPr>
        <w:pStyle w:val="Heading2"/>
      </w:pPr>
      <w:bookmarkStart w:id="155" w:name="_Toc153901551"/>
      <w:bookmarkStart w:id="156" w:name="_Toc79772560"/>
      <w:bookmarkStart w:id="157" w:name="_Toc137457030"/>
      <w:bookmarkStart w:id="158" w:name="_Toc153901552"/>
      <w:bookmarkEnd w:id="155"/>
      <w:r w:rsidRPr="00FF386D">
        <w:t>Димензија декарбонизације</w:t>
      </w:r>
      <w:bookmarkEnd w:id="156"/>
      <w:bookmarkEnd w:id="157"/>
      <w:bookmarkEnd w:id="158"/>
    </w:p>
    <w:p w14:paraId="60E0D0D7" w14:textId="285B6941" w:rsidR="00386771" w:rsidRPr="00FF386D" w:rsidRDefault="00782A7E" w:rsidP="00F83802">
      <w:pPr>
        <w:pStyle w:val="Heading3"/>
      </w:pPr>
      <w:r w:rsidRPr="00FF386D">
        <w:t xml:space="preserve">Емисије и уклањање </w:t>
      </w:r>
      <w:r w:rsidR="00386771" w:rsidRPr="00FF386D">
        <w:t>GHG</w:t>
      </w:r>
    </w:p>
    <w:p w14:paraId="50EF5E08" w14:textId="4AA39D7A" w:rsidR="00782A7E" w:rsidRPr="00FF386D" w:rsidRDefault="00782A7E">
      <w:pPr>
        <w:pStyle w:val="Heading4"/>
        <w:numPr>
          <w:ilvl w:val="0"/>
          <w:numId w:val="248"/>
        </w:numPr>
      </w:pPr>
      <w:r w:rsidRPr="00FF386D">
        <w:rPr>
          <w:lang w:bidi="sr-Cyrl-CS"/>
        </w:rPr>
        <w:t xml:space="preserve">Трендови тренутних емисија </w:t>
      </w:r>
      <w:r w:rsidRPr="00FF386D">
        <w:rPr>
          <w:i/>
          <w:lang w:bidi="sr-Cyrl-CS"/>
        </w:rPr>
        <w:t xml:space="preserve">GHG </w:t>
      </w:r>
      <w:r w:rsidRPr="00FF386D">
        <w:rPr>
          <w:lang w:bidi="sr-Cyrl-CS"/>
        </w:rPr>
        <w:t xml:space="preserve">и уклањања у </w:t>
      </w:r>
      <w:r w:rsidR="00E662F7" w:rsidRPr="00FF386D">
        <w:rPr>
          <w:lang w:bidi="sr-Cyrl-CS"/>
        </w:rPr>
        <w:t xml:space="preserve">оквиру </w:t>
      </w:r>
      <w:r w:rsidRPr="00FF386D">
        <w:rPr>
          <w:i/>
          <w:lang w:bidi="sr-Cyrl-CS"/>
        </w:rPr>
        <w:t>ETS</w:t>
      </w:r>
      <w:r w:rsidR="00E662F7" w:rsidRPr="00FF386D">
        <w:rPr>
          <w:i/>
          <w:lang w:bidi="sr-Cyrl-CS"/>
        </w:rPr>
        <w:t>-</w:t>
      </w:r>
      <w:r w:rsidR="00E662F7" w:rsidRPr="00FF386D">
        <w:rPr>
          <w:iCs w:val="0"/>
          <w:lang w:bidi="sr-Cyrl-CS"/>
        </w:rPr>
        <w:t>а</w:t>
      </w:r>
      <w:r w:rsidRPr="00FF386D">
        <w:rPr>
          <w:iCs w:val="0"/>
          <w:lang w:bidi="sr-Cyrl-CS"/>
        </w:rPr>
        <w:t>,</w:t>
      </w:r>
      <w:r w:rsidRPr="00FF386D">
        <w:rPr>
          <w:lang w:bidi="sr-Cyrl-CS"/>
        </w:rPr>
        <w:t xml:space="preserve"> Уредб</w:t>
      </w:r>
      <w:r w:rsidR="00E662F7" w:rsidRPr="00FF386D">
        <w:rPr>
          <w:lang w:bidi="sr-Cyrl-CS"/>
        </w:rPr>
        <w:t>е</w:t>
      </w:r>
      <w:r w:rsidRPr="00FF386D">
        <w:rPr>
          <w:lang w:bidi="sr-Cyrl-CS"/>
        </w:rPr>
        <w:t xml:space="preserve"> о подели напора и секторима коришћења земљишта, промене </w:t>
      </w:r>
      <w:r w:rsidR="00E662F7" w:rsidRPr="00FF386D">
        <w:rPr>
          <w:lang w:bidi="sr-Cyrl-CS"/>
        </w:rPr>
        <w:t>намене</w:t>
      </w:r>
      <w:r w:rsidRPr="00FF386D">
        <w:rPr>
          <w:lang w:bidi="sr-Cyrl-CS"/>
        </w:rPr>
        <w:t xml:space="preserve"> земљишта и шумарства (</w:t>
      </w:r>
      <w:r w:rsidRPr="00FF386D">
        <w:rPr>
          <w:i/>
          <w:lang w:bidi="sr-Cyrl-CS"/>
        </w:rPr>
        <w:t>LULUCF</w:t>
      </w:r>
      <w:r w:rsidRPr="00FF386D">
        <w:rPr>
          <w:lang w:bidi="sr-Cyrl-CS"/>
        </w:rPr>
        <w:t>) и различитим енергетским секторима</w:t>
      </w:r>
    </w:p>
    <w:p w14:paraId="691467B4" w14:textId="248B9B82" w:rsidR="00261225" w:rsidRPr="00FF386D" w:rsidRDefault="00261225" w:rsidP="00261225">
      <w:pPr>
        <w:pStyle w:val="LDKbody"/>
        <w:rPr>
          <w:rFonts w:ascii="Calibri Light" w:hAnsi="Calibri Light" w:cs="Calibri Light"/>
          <w:lang w:val="sr-Cyrl-RS" w:bidi="sr-Cyrl-CS"/>
        </w:rPr>
      </w:pPr>
      <w:r w:rsidRPr="00FF386D">
        <w:rPr>
          <w:rFonts w:ascii="Calibri Light" w:eastAsia="Calibri" w:hAnsi="Calibri Light" w:cs="Calibri Light"/>
          <w:lang w:val="sr-Cyrl-RS" w:eastAsia="en-US" w:bidi="sr-Cyrl-CS"/>
        </w:rPr>
        <w:t xml:space="preserve">Кретања укупних емисија </w:t>
      </w:r>
      <w:r w:rsidRPr="00FF386D">
        <w:rPr>
          <w:rFonts w:ascii="Calibri Light" w:eastAsia="Calibri" w:hAnsi="Calibri Light" w:cs="Calibri Light"/>
          <w:i/>
          <w:lang w:val="sr-Cyrl-RS" w:eastAsia="en-US" w:bidi="sr-Cyrl-CS"/>
        </w:rPr>
        <w:t>GHG</w:t>
      </w:r>
      <w:r w:rsidRPr="00FF386D">
        <w:rPr>
          <w:rFonts w:ascii="Calibri Light" w:eastAsia="Calibri" w:hAnsi="Calibri Light" w:cs="Calibri Light"/>
          <w:lang w:val="sr-Cyrl-RS" w:eastAsia="en-US" w:bidi="sr-Cyrl-CS"/>
        </w:rPr>
        <w:t xml:space="preserve">, са </w:t>
      </w:r>
      <w:r w:rsidRPr="00FF386D">
        <w:rPr>
          <w:rFonts w:ascii="Calibri Light" w:eastAsia="Calibri" w:hAnsi="Calibri Light" w:cs="Calibri Light"/>
          <w:i/>
          <w:lang w:val="sr-Cyrl-RS" w:eastAsia="en-US" w:bidi="sr-Cyrl-CS"/>
        </w:rPr>
        <w:t>LULUCF</w:t>
      </w:r>
      <w:r w:rsidRPr="00FF386D">
        <w:rPr>
          <w:rFonts w:ascii="Calibri Light" w:eastAsia="Calibri" w:hAnsi="Calibri Light" w:cs="Calibri Light"/>
          <w:lang w:val="sr-Cyrl-RS" w:eastAsia="en-US" w:bidi="sr-Cyrl-CS"/>
        </w:rPr>
        <w:t>-ом</w:t>
      </w:r>
      <w:r w:rsidRPr="00FF386D">
        <w:rPr>
          <w:rFonts w:ascii="Calibri Light" w:eastAsia="Calibri" w:hAnsi="Calibri Light" w:cs="Calibri Light"/>
          <w:i/>
          <w:lang w:val="sr-Cyrl-RS" w:eastAsia="en-US" w:bidi="sr-Cyrl-CS"/>
        </w:rPr>
        <w:t xml:space="preserve"> </w:t>
      </w:r>
      <w:r w:rsidRPr="00FF386D">
        <w:rPr>
          <w:rFonts w:ascii="Calibri Light" w:eastAsia="Calibri" w:hAnsi="Calibri Light" w:cs="Calibri Light"/>
          <w:lang w:val="sr-Cyrl-RS" w:eastAsia="en-US" w:bidi="sr-Cyrl-CS"/>
        </w:rPr>
        <w:t xml:space="preserve">и без њега, прате сличан тренд у периоду 2010-2019. године. Иако је током ове деценије забележено неколико одступања, укупне емисије </w:t>
      </w:r>
      <w:r w:rsidRPr="00FF386D">
        <w:rPr>
          <w:rFonts w:ascii="Calibri Light" w:eastAsia="Calibri" w:hAnsi="Calibri Light" w:cs="Calibri Light"/>
          <w:i/>
          <w:lang w:val="sr-Cyrl-RS" w:eastAsia="en-US" w:bidi="sr-Cyrl-CS"/>
        </w:rPr>
        <w:t>GHG</w:t>
      </w:r>
      <w:r w:rsidRPr="00FF386D">
        <w:rPr>
          <w:rFonts w:ascii="Calibri Light" w:eastAsia="Calibri" w:hAnsi="Calibri Light" w:cs="Calibri Light"/>
          <w:lang w:val="sr-Cyrl-RS" w:eastAsia="en-US" w:bidi="sr-Cyrl-CS"/>
        </w:rPr>
        <w:t xml:space="preserve"> су износиле 56,6 Mt CO</w:t>
      </w:r>
      <w:r w:rsidRPr="00FF386D">
        <w:rPr>
          <w:rFonts w:ascii="Calibri Light" w:eastAsia="Calibri" w:hAnsi="Calibri Light" w:cs="Calibri Light"/>
          <w:vertAlign w:val="subscript"/>
          <w:lang w:val="sr-Cyrl-RS" w:eastAsia="en-US" w:bidi="sr-Cyrl-CS"/>
        </w:rPr>
        <w:t>2e</w:t>
      </w:r>
      <w:r w:rsidRPr="00FF386D">
        <w:rPr>
          <w:rFonts w:ascii="Calibri Light" w:eastAsia="Calibri" w:hAnsi="Calibri Light" w:cs="Calibri Light"/>
          <w:lang w:val="sr-Cyrl-RS" w:eastAsia="en-US" w:bidi="sr-Cyrl-CS"/>
        </w:rPr>
        <w:t xml:space="preserve"> (укључујући </w:t>
      </w:r>
      <w:r w:rsidRPr="00FF386D">
        <w:rPr>
          <w:rFonts w:ascii="Calibri Light" w:eastAsia="Calibri" w:hAnsi="Calibri Light" w:cs="Calibri Light"/>
          <w:i/>
          <w:lang w:val="sr-Cyrl-RS" w:eastAsia="en-US" w:bidi="sr-Cyrl-CS"/>
        </w:rPr>
        <w:t>LULUCF</w:t>
      </w:r>
      <w:r w:rsidRPr="00FF386D">
        <w:rPr>
          <w:rFonts w:ascii="Calibri Light" w:eastAsia="Calibri" w:hAnsi="Calibri Light" w:cs="Calibri Light"/>
          <w:lang w:val="sr-Cyrl-RS" w:eastAsia="en-US" w:bidi="sr-Cyrl-CS"/>
        </w:rPr>
        <w:t>) и 61,5 Mt CO</w:t>
      </w:r>
      <w:r w:rsidRPr="00FF386D">
        <w:rPr>
          <w:rFonts w:ascii="Calibri Light" w:eastAsia="Calibri" w:hAnsi="Calibri Light" w:cs="Calibri Light"/>
          <w:vertAlign w:val="subscript"/>
          <w:lang w:val="sr-Cyrl-RS" w:eastAsia="en-US" w:bidi="sr-Cyrl-CS"/>
        </w:rPr>
        <w:t xml:space="preserve">2e </w:t>
      </w:r>
      <w:r w:rsidRPr="00FF386D">
        <w:rPr>
          <w:rFonts w:ascii="Calibri Light" w:eastAsia="Calibri" w:hAnsi="Calibri Light" w:cs="Calibri Light"/>
          <w:lang w:val="sr-Cyrl-RS" w:eastAsia="en-US" w:bidi="sr-Cyrl-CS"/>
        </w:rPr>
        <w:t xml:space="preserve">(без </w:t>
      </w:r>
      <w:r w:rsidRPr="00FF386D">
        <w:rPr>
          <w:rFonts w:ascii="Calibri Light" w:eastAsia="Calibri" w:hAnsi="Calibri Light" w:cs="Calibri Light"/>
          <w:i/>
          <w:lang w:val="sr-Cyrl-RS" w:eastAsia="en-US" w:bidi="sr-Cyrl-CS"/>
        </w:rPr>
        <w:t>LULUCF</w:t>
      </w:r>
      <w:r w:rsidRPr="00FF386D">
        <w:rPr>
          <w:rFonts w:ascii="Calibri Light" w:eastAsia="Calibri" w:hAnsi="Calibri Light" w:cs="Calibri Light"/>
          <w:lang w:val="sr-Cyrl-RS" w:eastAsia="en-US" w:bidi="sr-Cyrl-CS"/>
        </w:rPr>
        <w:t>-а) у 2019</w:t>
      </w:r>
      <w:r w:rsidR="00D90012" w:rsidRPr="00FF386D">
        <w:rPr>
          <w:rStyle w:val="FootnoteReference"/>
          <w:rFonts w:asciiTheme="majorHAnsi" w:hAnsiTheme="majorHAnsi" w:cstheme="majorHAnsi"/>
          <w:lang w:val="sr-Cyrl-RS"/>
        </w:rPr>
        <w:footnoteReference w:id="121"/>
      </w:r>
      <w:r w:rsidR="00D90012" w:rsidRPr="00FF386D">
        <w:rPr>
          <w:rFonts w:asciiTheme="majorHAnsi" w:hAnsiTheme="majorHAnsi" w:cstheme="majorHAnsi"/>
          <w:lang w:val="sr-Cyrl-RS"/>
        </w:rPr>
        <w:t>,</w:t>
      </w:r>
      <w:r w:rsidRPr="00FF386D">
        <w:rPr>
          <w:rFonts w:ascii="Calibri Light" w:eastAsia="Calibri" w:hAnsi="Calibri Light" w:cs="Calibri Light"/>
          <w:lang w:val="sr-Cyrl-RS" w:eastAsia="en-US" w:bidi="sr-Cyrl-CS"/>
        </w:rPr>
        <w:t>. години, што је слично нивоима из 2010. године од 57,2 Mt CO</w:t>
      </w:r>
      <w:r w:rsidRPr="00FF386D">
        <w:rPr>
          <w:rFonts w:ascii="Calibri Light" w:eastAsia="Calibri" w:hAnsi="Calibri Light" w:cs="Calibri Light"/>
          <w:vertAlign w:val="subscript"/>
          <w:lang w:val="sr-Cyrl-RS" w:eastAsia="en-US" w:bidi="sr-Cyrl-CS"/>
        </w:rPr>
        <w:t>2e</w:t>
      </w:r>
      <w:r w:rsidRPr="00FF386D">
        <w:rPr>
          <w:rFonts w:ascii="Calibri Light" w:eastAsia="Calibri" w:hAnsi="Calibri Light" w:cs="Calibri Light"/>
          <w:lang w:val="sr-Cyrl-RS" w:eastAsia="en-US" w:bidi="sr-Cyrl-CS"/>
        </w:rPr>
        <w:t xml:space="preserve"> (укључујући </w:t>
      </w:r>
      <w:r w:rsidRPr="00FF386D">
        <w:rPr>
          <w:rFonts w:ascii="Calibri Light" w:eastAsia="Calibri" w:hAnsi="Calibri Light" w:cs="Calibri Light"/>
          <w:i/>
          <w:lang w:val="sr-Cyrl-RS" w:eastAsia="en-US" w:bidi="sr-Cyrl-CS"/>
        </w:rPr>
        <w:t>LULUCF</w:t>
      </w:r>
      <w:r w:rsidRPr="00FF386D">
        <w:rPr>
          <w:rFonts w:ascii="Calibri Light" w:eastAsia="Calibri" w:hAnsi="Calibri Light" w:cs="Calibri Light"/>
          <w:lang w:val="sr-Cyrl-RS" w:eastAsia="en-US" w:bidi="sr-Cyrl-CS"/>
        </w:rPr>
        <w:t>), односно 63,3 Mt CO</w:t>
      </w:r>
      <w:r w:rsidRPr="00FF386D">
        <w:rPr>
          <w:rFonts w:ascii="Calibri Light" w:eastAsia="Calibri" w:hAnsi="Calibri Light" w:cs="Calibri Light"/>
          <w:vertAlign w:val="subscript"/>
          <w:lang w:val="sr-Cyrl-RS" w:eastAsia="en-US" w:bidi="sr-Cyrl-CS"/>
        </w:rPr>
        <w:t>2e</w:t>
      </w:r>
      <w:r w:rsidRPr="00FF386D">
        <w:rPr>
          <w:rFonts w:ascii="Calibri Light" w:eastAsia="Calibri" w:hAnsi="Calibri Light" w:cs="Calibri Light"/>
          <w:lang w:val="sr-Cyrl-RS" w:eastAsia="en-US" w:bidi="sr-Cyrl-CS"/>
        </w:rPr>
        <w:t xml:space="preserve"> (без </w:t>
      </w:r>
      <w:r w:rsidRPr="00FF386D">
        <w:rPr>
          <w:rFonts w:ascii="Calibri Light" w:eastAsia="Calibri" w:hAnsi="Calibri Light" w:cs="Calibri Light"/>
          <w:i/>
          <w:lang w:val="sr-Cyrl-RS" w:eastAsia="en-US" w:bidi="sr-Cyrl-CS"/>
        </w:rPr>
        <w:t>LULUCF</w:t>
      </w:r>
      <w:r w:rsidRPr="00FF386D">
        <w:rPr>
          <w:rFonts w:ascii="Calibri Light" w:eastAsia="Calibri" w:hAnsi="Calibri Light" w:cs="Calibri Light"/>
          <w:lang w:val="sr-Cyrl-RS" w:eastAsia="en-US" w:bidi="sr-Cyrl-CS"/>
        </w:rPr>
        <w:t>-а), као што је приказано на</w:t>
      </w:r>
      <w:r w:rsidR="00AB7992" w:rsidRPr="00FF386D">
        <w:rPr>
          <w:rFonts w:ascii="Calibri Light" w:eastAsia="Calibri" w:hAnsi="Calibri Light" w:cs="Calibri Light"/>
          <w:lang w:val="sr-Cyrl-RS" w:eastAsia="en-US" w:bidi="sr-Cyrl-CS"/>
        </w:rPr>
        <w:t xml:space="preserve"> </w:t>
      </w:r>
      <w:r w:rsidR="00782A7E" w:rsidRPr="004F53D7">
        <w:rPr>
          <w:lang w:val="sr-Cyrl-RS"/>
        </w:rPr>
        <w:fldChar w:fldCharType="begin" w:fldLock="1"/>
      </w:r>
      <w:r w:rsidR="00782A7E" w:rsidRPr="00FF386D">
        <w:rPr>
          <w:lang w:val="sr-Cyrl-RS"/>
        </w:rPr>
        <w:instrText xml:space="preserve"> REF _Ref113633616 \h  \* MERGEFORMAT </w:instrText>
      </w:r>
      <w:r w:rsidR="00782A7E" w:rsidRPr="004F53D7">
        <w:rPr>
          <w:lang w:val="sr-Cyrl-RS"/>
        </w:rPr>
      </w:r>
      <w:r w:rsidR="00782A7E" w:rsidRPr="004F53D7">
        <w:rPr>
          <w:lang w:val="sr-Cyrl-RS"/>
        </w:rPr>
        <w:fldChar w:fldCharType="separate"/>
      </w:r>
      <w:r w:rsidR="00782A7E" w:rsidRPr="00FF386D">
        <w:rPr>
          <w:rFonts w:asciiTheme="majorHAnsi" w:hAnsiTheme="majorHAnsi" w:cstheme="majorHAnsi"/>
          <w:lang w:val="sr-Cyrl-RS"/>
        </w:rPr>
        <w:t>слици</w:t>
      </w:r>
      <w:r w:rsidR="00DE1F54" w:rsidRPr="00FF386D">
        <w:rPr>
          <w:rFonts w:asciiTheme="majorHAnsi" w:hAnsiTheme="majorHAnsi" w:cstheme="majorHAnsi"/>
          <w:lang w:val="sr-Cyrl-RS"/>
        </w:rPr>
        <w:t xml:space="preserve"> 4.6</w:t>
      </w:r>
      <w:r w:rsidR="00782A7E" w:rsidRPr="004F53D7">
        <w:rPr>
          <w:lang w:val="sr-Cyrl-RS"/>
        </w:rPr>
        <w:fldChar w:fldCharType="end"/>
      </w:r>
      <w:r w:rsidR="00AF3D73" w:rsidRPr="00FF386D">
        <w:rPr>
          <w:rFonts w:asciiTheme="majorHAnsi" w:hAnsiTheme="majorHAnsi" w:cstheme="majorHAnsi"/>
          <w:lang w:val="sr-Cyrl-RS"/>
        </w:rPr>
        <w:t xml:space="preserve">, </w:t>
      </w:r>
      <w:r w:rsidRPr="00FF386D">
        <w:rPr>
          <w:rFonts w:ascii="Calibri Light" w:hAnsi="Calibri Light" w:cs="Calibri Light"/>
          <w:lang w:val="sr-Cyrl-RS" w:bidi="sr-Cyrl-CS"/>
        </w:rPr>
        <w:t xml:space="preserve">упркос значајном повећању БДП-а. Додатна употреба природног гаса и подстицање енергетске ефикасности и технологија ОИЕ у свим секторима крајње потрошње су успели да ограниче повећање емисија </w:t>
      </w:r>
      <w:r w:rsidRPr="00FF386D">
        <w:rPr>
          <w:rFonts w:ascii="Calibri Light" w:hAnsi="Calibri Light" w:cs="Calibri Light"/>
          <w:i/>
          <w:iCs/>
          <w:lang w:val="sr-Cyrl-RS" w:bidi="sr-Cyrl-CS"/>
        </w:rPr>
        <w:t>GHG</w:t>
      </w:r>
      <w:r w:rsidRPr="00FF386D">
        <w:rPr>
          <w:rFonts w:ascii="Calibri Light" w:hAnsi="Calibri Light" w:cs="Calibri Light"/>
          <w:lang w:val="sr-Cyrl-RS" w:bidi="sr-Cyrl-CS"/>
        </w:rPr>
        <w:t>.</w:t>
      </w:r>
    </w:p>
    <w:p w14:paraId="6A93F284" w14:textId="67DAE912" w:rsidR="0087240E" w:rsidRDefault="0087240E" w:rsidP="00565B02">
      <w:pPr>
        <w:pStyle w:val="Caption"/>
        <w:keepNext/>
        <w:jc w:val="center"/>
      </w:pPr>
      <w:bookmarkStart w:id="159" w:name="_Toc153901352"/>
      <w:r>
        <w:lastRenderedPageBreak/>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6</w:t>
      </w:r>
      <w:r w:rsidR="00F35B2C">
        <w:fldChar w:fldCharType="end"/>
      </w:r>
      <w:r>
        <w:t>:</w:t>
      </w:r>
      <w:r w:rsidRPr="0087240E">
        <w:t xml:space="preserve"> Укупне емисије GHG (са LULUCF-ом и без њега) у периоду 2010-2019. година</w:t>
      </w:r>
      <w:bookmarkEnd w:id="159"/>
    </w:p>
    <w:p w14:paraId="0C8D370F" w14:textId="4B4AF7DF" w:rsidR="00BD72D6" w:rsidRPr="00FF386D" w:rsidRDefault="00BD72D6" w:rsidP="006D48D9">
      <w:pPr>
        <w:keepNext/>
        <w:jc w:val="center"/>
      </w:pPr>
      <w:r w:rsidRPr="004F53D7">
        <w:rPr>
          <w:noProof/>
          <w:lang w:val="en-US"/>
        </w:rPr>
        <w:drawing>
          <wp:inline distT="0" distB="0" distL="0" distR="0" wp14:anchorId="4E2D8173" wp14:editId="1E07E92B">
            <wp:extent cx="4090670" cy="263969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90670" cy="2639695"/>
                    </a:xfrm>
                    <a:prstGeom prst="rect">
                      <a:avLst/>
                    </a:prstGeom>
                    <a:noFill/>
                  </pic:spPr>
                </pic:pic>
              </a:graphicData>
            </a:graphic>
          </wp:inline>
        </w:drawing>
      </w:r>
    </w:p>
    <w:p w14:paraId="4BE9FE9E" w14:textId="3815ADF0" w:rsidR="00782A7E" w:rsidRPr="00565B02" w:rsidRDefault="00782A7E">
      <w:pPr>
        <w:pStyle w:val="Heading4"/>
        <w:numPr>
          <w:ilvl w:val="0"/>
          <w:numId w:val="248"/>
        </w:numPr>
        <w:rPr>
          <w:lang w:val="sr-Cyrl-RS"/>
        </w:rPr>
      </w:pPr>
      <w:r w:rsidRPr="00565B02">
        <w:rPr>
          <w:lang w:val="sr-Cyrl-RS" w:bidi="sr-Cyrl-CS"/>
        </w:rPr>
        <w:t xml:space="preserve">Пројекције секторских кретања са постојећим политикама и мерама </w:t>
      </w:r>
      <w:r w:rsidR="00CB62C7" w:rsidRPr="00565B02">
        <w:rPr>
          <w:lang w:val="sr-Cyrl-RS" w:bidi="sr-Cyrl-CS"/>
        </w:rPr>
        <w:t xml:space="preserve">на националном нивоу и нивоу ЕУ </w:t>
      </w:r>
      <w:r w:rsidRPr="00565B02">
        <w:rPr>
          <w:lang w:val="sr-Cyrl-RS" w:bidi="sr-Cyrl-CS"/>
        </w:rPr>
        <w:t>најмање до 2040. године (укључујући и оне за 2030. годину)</w:t>
      </w:r>
    </w:p>
    <w:p w14:paraId="76986FD5" w14:textId="54D8DF62" w:rsidR="00261225" w:rsidRPr="00FF386D" w:rsidRDefault="00782A7E" w:rsidP="00261225">
      <w:pPr>
        <w:pStyle w:val="LDKbody"/>
        <w:rPr>
          <w:rFonts w:ascii="Calibri Light" w:hAnsi="Calibri Light" w:cs="Calibri Light"/>
          <w:lang w:val="sr-Cyrl-RS" w:bidi="sr-Cyrl-CS"/>
        </w:rPr>
      </w:pPr>
      <w:r w:rsidRPr="00FF386D">
        <w:rPr>
          <w:rFonts w:asciiTheme="majorHAnsi" w:hAnsiTheme="majorHAnsi" w:cstheme="majorHAnsi"/>
          <w:lang w:val="sr-Cyrl-RS" w:bidi="sr-Cyrl-CS"/>
        </w:rPr>
        <w:t>Као што је приказано на</w:t>
      </w:r>
      <w:r w:rsidR="00041ECA" w:rsidRPr="00565B02">
        <w:rPr>
          <w:rFonts w:asciiTheme="majorHAnsi" w:hAnsiTheme="majorHAnsi" w:cstheme="majorHAnsi"/>
          <w:lang w:val="sr-Cyrl-RS" w:bidi="sr-Cyrl-CS"/>
        </w:rPr>
        <w:t xml:space="preserve"> </w:t>
      </w:r>
      <w:r w:rsidR="00041ECA">
        <w:rPr>
          <w:rFonts w:asciiTheme="majorHAnsi" w:hAnsiTheme="majorHAnsi" w:cstheme="majorHAnsi"/>
          <w:lang w:val="sr-Cyrl-RS" w:bidi="sr-Cyrl-CS"/>
        </w:rPr>
        <w:fldChar w:fldCharType="begin"/>
      </w:r>
      <w:r w:rsidR="00041ECA">
        <w:rPr>
          <w:rFonts w:asciiTheme="majorHAnsi" w:hAnsiTheme="majorHAnsi" w:cstheme="majorHAnsi"/>
          <w:lang w:val="sr-Cyrl-RS" w:bidi="sr-Cyrl-CS"/>
        </w:rPr>
        <w:instrText xml:space="preserve"> REF _Ref153811660 \h  \* MERGEFORMAT </w:instrText>
      </w:r>
      <w:r w:rsidR="00041ECA">
        <w:rPr>
          <w:rFonts w:asciiTheme="majorHAnsi" w:hAnsiTheme="majorHAnsi" w:cstheme="majorHAnsi"/>
          <w:lang w:val="sr-Cyrl-RS" w:bidi="sr-Cyrl-CS"/>
        </w:rPr>
      </w:r>
      <w:r w:rsidR="00041ECA">
        <w:rPr>
          <w:rFonts w:asciiTheme="majorHAnsi" w:hAnsiTheme="majorHAnsi" w:cstheme="majorHAnsi"/>
          <w:lang w:val="sr-Cyrl-RS" w:bidi="sr-Cyrl-CS"/>
        </w:rPr>
        <w:fldChar w:fldCharType="separate"/>
      </w:r>
      <w:r w:rsidR="00041ECA" w:rsidRPr="00565B02">
        <w:rPr>
          <w:rFonts w:asciiTheme="majorHAnsi" w:hAnsiTheme="majorHAnsi" w:cstheme="majorHAnsi"/>
          <w:lang w:val="sr-Cyrl-RS" w:bidi="sr-Cyrl-CS"/>
        </w:rPr>
        <w:t>слици 4.7</w:t>
      </w:r>
      <w:r w:rsidR="00041ECA">
        <w:rPr>
          <w:rFonts w:asciiTheme="majorHAnsi" w:hAnsiTheme="majorHAnsi" w:cstheme="majorHAnsi"/>
          <w:lang w:val="sr-Cyrl-RS" w:bidi="sr-Cyrl-CS"/>
        </w:rPr>
        <w:fldChar w:fldCharType="end"/>
      </w:r>
      <w:r w:rsidR="006D48D9" w:rsidRPr="00FF386D">
        <w:rPr>
          <w:rFonts w:asciiTheme="majorHAnsi" w:hAnsiTheme="majorHAnsi" w:cstheme="majorHAnsi"/>
          <w:lang w:val="sr-Cyrl-RS" w:bidi="sr-Cyrl-CS"/>
        </w:rPr>
        <w:t xml:space="preserve">, </w:t>
      </w:r>
      <w:r w:rsidR="00261225" w:rsidRPr="00565B02">
        <w:rPr>
          <w:rFonts w:asciiTheme="majorHAnsi" w:hAnsiTheme="majorHAnsi" w:cstheme="majorHAnsi"/>
          <w:lang w:val="sr-Cyrl-RS" w:bidi="sr-Cyrl-CS"/>
        </w:rPr>
        <w:t>пројектовано</w:t>
      </w:r>
      <w:r w:rsidR="00261225" w:rsidRPr="00FF386D">
        <w:rPr>
          <w:rFonts w:ascii="Calibri Light" w:hAnsi="Calibri Light" w:cs="Calibri Light"/>
          <w:lang w:val="sr-Cyrl-RS"/>
        </w:rPr>
        <w:t xml:space="preserve"> је повећање </w:t>
      </w:r>
      <w:r w:rsidR="00261225" w:rsidRPr="00FF386D">
        <w:rPr>
          <w:rFonts w:ascii="Calibri Light" w:hAnsi="Calibri Light" w:cs="Calibri Light"/>
          <w:lang w:val="sr-Cyrl-RS" w:bidi="sr-Cyrl-CS"/>
        </w:rPr>
        <w:t>емисиј</w:t>
      </w:r>
      <w:r w:rsidR="00D90012" w:rsidRPr="00FF386D">
        <w:rPr>
          <w:rFonts w:ascii="Calibri Light" w:hAnsi="Calibri Light" w:cs="Calibri Light"/>
          <w:lang w:val="sr-Cyrl-RS" w:bidi="sr-Cyrl-CS"/>
        </w:rPr>
        <w:t>а</w:t>
      </w:r>
      <w:r w:rsidR="00261225" w:rsidRPr="00FF386D">
        <w:rPr>
          <w:rFonts w:ascii="Calibri Light" w:hAnsi="Calibri Light" w:cs="Calibri Light"/>
          <w:lang w:val="sr-Cyrl-RS" w:bidi="sr-Cyrl-CS"/>
        </w:rPr>
        <w:t xml:space="preserve"> CO</w:t>
      </w:r>
      <w:r w:rsidR="00261225" w:rsidRPr="00FF386D">
        <w:rPr>
          <w:rFonts w:ascii="Calibri Light" w:hAnsi="Calibri Light" w:cs="Calibri Light"/>
          <w:vertAlign w:val="subscript"/>
          <w:lang w:val="sr-Cyrl-RS" w:bidi="sr-Cyrl-CS"/>
        </w:rPr>
        <w:t>2</w:t>
      </w:r>
      <w:r w:rsidR="00261225" w:rsidRPr="00FF386D">
        <w:rPr>
          <w:rFonts w:ascii="Calibri Light" w:hAnsi="Calibri Light" w:cs="Calibri Light"/>
          <w:lang w:val="sr-Cyrl-RS" w:bidi="sr-Cyrl-CS"/>
        </w:rPr>
        <w:t xml:space="preserve"> </w:t>
      </w:r>
      <w:r w:rsidR="00D90012" w:rsidRPr="00FF386D">
        <w:rPr>
          <w:rFonts w:ascii="Calibri Light" w:hAnsi="Calibri Light" w:cs="Calibri Light"/>
          <w:lang w:val="sr-Cyrl-RS" w:bidi="sr-Cyrl-CS"/>
        </w:rPr>
        <w:t xml:space="preserve">из коришћења енергије </w:t>
      </w:r>
      <w:r w:rsidR="00261225" w:rsidRPr="00FF386D">
        <w:rPr>
          <w:rFonts w:ascii="Calibri Light" w:hAnsi="Calibri Light" w:cs="Calibri Light"/>
          <w:lang w:val="sr-Cyrl-RS" w:bidi="sr-Cyrl-CS"/>
        </w:rPr>
        <w:t>за 17,7 % на ниво од 60,4 Mt CO</w:t>
      </w:r>
      <w:r w:rsidR="00261225" w:rsidRPr="00FF386D">
        <w:rPr>
          <w:rFonts w:ascii="Calibri Light" w:hAnsi="Calibri Light" w:cs="Calibri Light"/>
          <w:vertAlign w:val="subscript"/>
          <w:lang w:val="sr-Cyrl-RS" w:bidi="sr-Cyrl-CS"/>
        </w:rPr>
        <w:t>2</w:t>
      </w:r>
      <w:r w:rsidR="00261225" w:rsidRPr="00FF386D">
        <w:rPr>
          <w:rFonts w:ascii="Calibri Light" w:hAnsi="Calibri Light" w:cs="Calibri Light"/>
          <w:lang w:val="sr-Cyrl-RS" w:bidi="sr-Cyrl-CS"/>
        </w:rPr>
        <w:t xml:space="preserve"> у 2030. години и за 32,3 % на ниво од 67,9 Mt CO</w:t>
      </w:r>
      <w:r w:rsidR="00261225" w:rsidRPr="00FF386D">
        <w:rPr>
          <w:rFonts w:ascii="Calibri Light" w:hAnsi="Calibri Light" w:cs="Calibri Light"/>
          <w:vertAlign w:val="subscript"/>
          <w:lang w:val="sr-Cyrl-RS" w:bidi="sr-Cyrl-CS"/>
        </w:rPr>
        <w:t>2</w:t>
      </w:r>
      <w:r w:rsidR="00261225" w:rsidRPr="00FF386D">
        <w:rPr>
          <w:rFonts w:ascii="Calibri Light" w:hAnsi="Calibri Light" w:cs="Calibri Light"/>
          <w:lang w:val="sr-Cyrl-RS" w:bidi="sr-Cyrl-CS"/>
        </w:rPr>
        <w:t xml:space="preserve"> у 2040. години, у поређењу са нивоима из 2020. године. Предвиђа се узлазни тренд између 2025. и 2045. године углавном због економског развоја, на шта указује повећање различитих параметара као што су БДП, секторски БДВ и БДП по глави становника и наставак коришћења електрана на бази лигнита. Смањење емисије CO</w:t>
      </w:r>
      <w:r w:rsidR="00261225" w:rsidRPr="00FF386D">
        <w:rPr>
          <w:rFonts w:ascii="Calibri Light" w:hAnsi="Calibri Light" w:cs="Calibri Light"/>
          <w:vertAlign w:val="subscript"/>
          <w:lang w:val="sr-Cyrl-RS" w:bidi="sr-Cyrl-CS"/>
        </w:rPr>
        <w:t>2</w:t>
      </w:r>
      <w:r w:rsidR="00261225" w:rsidRPr="00FF386D">
        <w:rPr>
          <w:rFonts w:ascii="Calibri Light" w:hAnsi="Calibri Light" w:cs="Calibri Light"/>
          <w:lang w:val="sr-Cyrl-RS" w:bidi="sr-Cyrl-CS"/>
        </w:rPr>
        <w:t xml:space="preserve"> од 2045. до 2050. године се објашњава значајном применом побољшаних и напредних технологија и носилаца енергије са мањим угљеничним интензитетом или без њега, као што су обновљиви извори енергије и природни гас, као део свеукупне технолошке замене. На крају, пројектовано је да ће се емисије CO</w:t>
      </w:r>
      <w:r w:rsidR="00261225" w:rsidRPr="00FF386D">
        <w:rPr>
          <w:rFonts w:ascii="Calibri Light" w:hAnsi="Calibri Light" w:cs="Calibri Light"/>
          <w:vertAlign w:val="subscript"/>
          <w:lang w:val="sr-Cyrl-RS" w:bidi="sr-Cyrl-CS"/>
        </w:rPr>
        <w:t>2</w:t>
      </w:r>
      <w:r w:rsidR="00261225" w:rsidRPr="00FF386D">
        <w:rPr>
          <w:rFonts w:ascii="Calibri Light" w:hAnsi="Calibri Light" w:cs="Calibri Light"/>
          <w:lang w:val="sr-Cyrl-RS" w:bidi="sr-Cyrl-CS"/>
        </w:rPr>
        <w:t xml:space="preserve"> стабилизовати на нивоу од 66,9 Mt CO</w:t>
      </w:r>
      <w:r w:rsidR="00261225" w:rsidRPr="00FF386D">
        <w:rPr>
          <w:rFonts w:ascii="Calibri Light" w:hAnsi="Calibri Light" w:cs="Calibri Light"/>
          <w:vertAlign w:val="subscript"/>
          <w:lang w:val="sr-Cyrl-RS" w:bidi="sr-Cyrl-CS"/>
        </w:rPr>
        <w:t>2</w:t>
      </w:r>
      <w:r w:rsidR="00261225" w:rsidRPr="00FF386D">
        <w:rPr>
          <w:rFonts w:ascii="Calibri Light" w:hAnsi="Calibri Light" w:cs="Calibri Light"/>
          <w:lang w:val="sr-Cyrl-RS" w:bidi="sr-Cyrl-CS"/>
        </w:rPr>
        <w:t xml:space="preserve"> у 2050. години.</w:t>
      </w:r>
    </w:p>
    <w:p w14:paraId="51074121" w14:textId="77777777" w:rsidR="00261225" w:rsidRPr="00FF386D" w:rsidRDefault="00261225" w:rsidP="00261225">
      <w:pPr>
        <w:spacing w:before="120" w:after="120" w:line="240" w:lineRule="auto"/>
        <w:jc w:val="both"/>
        <w:rPr>
          <w:rFonts w:ascii="Calibri Light" w:eastAsia="Times New Roman" w:hAnsi="Calibri Light" w:cs="Calibri Light"/>
          <w:lang w:eastAsia="el-GR" w:bidi="sr-Cyrl-CS"/>
        </w:rPr>
      </w:pPr>
      <w:r w:rsidRPr="00FF386D">
        <w:rPr>
          <w:rFonts w:ascii="Calibri Light" w:eastAsia="Times New Roman" w:hAnsi="Calibri Light" w:cs="Calibri Light"/>
          <w:lang w:eastAsia="el-GR" w:bidi="sr-Cyrl-CS"/>
        </w:rPr>
        <w:t>Највећи допринос емисији CO</w:t>
      </w:r>
      <w:r w:rsidRPr="00FF386D">
        <w:rPr>
          <w:rFonts w:ascii="Calibri Light" w:eastAsia="Times New Roman" w:hAnsi="Calibri Light" w:cs="Calibri Light"/>
          <w:vertAlign w:val="subscript"/>
          <w:lang w:eastAsia="el-GR" w:bidi="sr-Cyrl-CS"/>
        </w:rPr>
        <w:t>2</w:t>
      </w:r>
      <w:r w:rsidRPr="00FF386D">
        <w:rPr>
          <w:rFonts w:ascii="Calibri Light" w:eastAsia="Times New Roman" w:hAnsi="Calibri Light" w:cs="Calibri Light"/>
          <w:lang w:eastAsia="el-GR" w:bidi="sr-Cyrl-CS"/>
        </w:rPr>
        <w:t xml:space="preserve"> има сектор електроенергетике, а пројектовано је значајно повећање његовог удела са 35,0 Mt CO</w:t>
      </w:r>
      <w:r w:rsidRPr="00FF386D">
        <w:rPr>
          <w:rFonts w:ascii="Calibri Light" w:eastAsia="Times New Roman" w:hAnsi="Calibri Light" w:cs="Calibri Light"/>
          <w:vertAlign w:val="subscript"/>
          <w:lang w:eastAsia="el-GR" w:bidi="sr-Cyrl-CS"/>
        </w:rPr>
        <w:t>2</w:t>
      </w:r>
      <w:r w:rsidRPr="00FF386D">
        <w:rPr>
          <w:rFonts w:ascii="Calibri Light" w:eastAsia="Times New Roman" w:hAnsi="Calibri Light" w:cs="Calibri Light"/>
          <w:lang w:eastAsia="el-GR" w:bidi="sr-Cyrl-CS"/>
        </w:rPr>
        <w:t xml:space="preserve"> у 2030. години на 38,9 Mt CO</w:t>
      </w:r>
      <w:r w:rsidRPr="00FF386D">
        <w:rPr>
          <w:rFonts w:ascii="Calibri Light" w:eastAsia="Times New Roman" w:hAnsi="Calibri Light" w:cs="Calibri Light"/>
          <w:vertAlign w:val="subscript"/>
          <w:lang w:eastAsia="el-GR" w:bidi="sr-Cyrl-CS"/>
        </w:rPr>
        <w:t>2</w:t>
      </w:r>
      <w:r w:rsidRPr="00FF386D">
        <w:rPr>
          <w:rFonts w:ascii="Calibri Light" w:eastAsia="Times New Roman" w:hAnsi="Calibri Light" w:cs="Calibri Light"/>
          <w:lang w:eastAsia="el-GR" w:bidi="sr-Cyrl-CS"/>
        </w:rPr>
        <w:t xml:space="preserve"> у 2040. години, што је повезано са наставком коришћења електрана на бази лигнита. Ипак, допринос сектора електроенергетике емисији CO</w:t>
      </w:r>
      <w:r w:rsidRPr="00FF386D">
        <w:rPr>
          <w:rFonts w:ascii="Calibri Light" w:eastAsia="Times New Roman" w:hAnsi="Calibri Light" w:cs="Calibri Light"/>
          <w:vertAlign w:val="subscript"/>
          <w:lang w:eastAsia="el-GR" w:bidi="sr-Cyrl-CS"/>
        </w:rPr>
        <w:t>2</w:t>
      </w:r>
      <w:r w:rsidRPr="00FF386D">
        <w:rPr>
          <w:rFonts w:ascii="Calibri Light" w:eastAsia="Times New Roman" w:hAnsi="Calibri Light" w:cs="Calibri Light"/>
          <w:lang w:eastAsia="el-GR" w:bidi="sr-Cyrl-CS"/>
        </w:rPr>
        <w:t xml:space="preserve"> ће се смањити на 34,4 Mt CO</w:t>
      </w:r>
      <w:r w:rsidRPr="00FF386D">
        <w:rPr>
          <w:rFonts w:ascii="Calibri Light" w:eastAsia="Times New Roman" w:hAnsi="Calibri Light" w:cs="Calibri Light"/>
          <w:vertAlign w:val="subscript"/>
          <w:lang w:eastAsia="el-GR" w:bidi="sr-Cyrl-CS"/>
        </w:rPr>
        <w:t>2</w:t>
      </w:r>
      <w:r w:rsidRPr="00FF386D">
        <w:rPr>
          <w:rFonts w:ascii="Calibri Light" w:eastAsia="Times New Roman" w:hAnsi="Calibri Light" w:cs="Calibri Light"/>
          <w:lang w:eastAsia="el-GR" w:bidi="sr-Cyrl-CS"/>
        </w:rPr>
        <w:t xml:space="preserve"> у 2050. години углавном због додатне употребе ОИЕ.</w:t>
      </w:r>
    </w:p>
    <w:p w14:paraId="1E5A677B" w14:textId="77777777" w:rsidR="00261225" w:rsidRPr="00FF386D" w:rsidRDefault="00261225" w:rsidP="00261225">
      <w:pPr>
        <w:spacing w:before="120" w:after="120" w:line="240" w:lineRule="auto"/>
        <w:jc w:val="both"/>
        <w:rPr>
          <w:rFonts w:ascii="Calibri Light" w:eastAsia="Times New Roman" w:hAnsi="Calibri Light" w:cs="Calibri Light"/>
          <w:lang w:eastAsia="el-GR" w:bidi="sr-Cyrl-CS"/>
        </w:rPr>
      </w:pPr>
      <w:r w:rsidRPr="00FF386D">
        <w:rPr>
          <w:rFonts w:ascii="Calibri Light" w:eastAsia="Times New Roman" w:hAnsi="Calibri Light" w:cs="Calibri Light"/>
          <w:lang w:eastAsia="el-GR" w:bidi="sr-Cyrl-CS"/>
        </w:rPr>
        <w:t>Пројектовано је да ће емисије CO</w:t>
      </w:r>
      <w:r w:rsidRPr="00FF386D">
        <w:rPr>
          <w:rFonts w:ascii="Calibri Light" w:eastAsia="Times New Roman" w:hAnsi="Calibri Light" w:cs="Calibri Light"/>
          <w:vertAlign w:val="subscript"/>
          <w:lang w:eastAsia="el-GR" w:bidi="sr-Cyrl-CS"/>
        </w:rPr>
        <w:t>2</w:t>
      </w:r>
      <w:r w:rsidRPr="00FF386D">
        <w:rPr>
          <w:rFonts w:ascii="Calibri Light" w:eastAsia="Times New Roman" w:hAnsi="Calibri Light" w:cs="Calibri Light"/>
          <w:lang w:eastAsia="el-GR" w:bidi="sr-Cyrl-CS"/>
        </w:rPr>
        <w:t xml:space="preserve"> из сектора индустрије и саобраћаја расти од 2020. до 2050. године. Тачније, емисије CO</w:t>
      </w:r>
      <w:r w:rsidRPr="00FF386D">
        <w:rPr>
          <w:rFonts w:ascii="Calibri Light" w:eastAsia="Times New Roman" w:hAnsi="Calibri Light" w:cs="Calibri Light"/>
          <w:vertAlign w:val="subscript"/>
          <w:lang w:eastAsia="el-GR" w:bidi="sr-Cyrl-CS"/>
        </w:rPr>
        <w:t>2</w:t>
      </w:r>
      <w:r w:rsidRPr="00FF386D">
        <w:rPr>
          <w:rFonts w:ascii="Calibri Light" w:eastAsia="Times New Roman" w:hAnsi="Calibri Light" w:cs="Calibri Light"/>
          <w:lang w:eastAsia="el-GR" w:bidi="sr-Cyrl-CS"/>
        </w:rPr>
        <w:t xml:space="preserve"> индустријског сектора ће се скоро удвостручити; са 7,9 Mt CO</w:t>
      </w:r>
      <w:r w:rsidRPr="00FF386D">
        <w:rPr>
          <w:rFonts w:ascii="Calibri Light" w:eastAsia="Times New Roman" w:hAnsi="Calibri Light" w:cs="Calibri Light"/>
          <w:vertAlign w:val="subscript"/>
          <w:lang w:eastAsia="el-GR" w:bidi="sr-Cyrl-CS"/>
        </w:rPr>
        <w:t>2</w:t>
      </w:r>
      <w:r w:rsidRPr="00FF386D">
        <w:rPr>
          <w:rFonts w:ascii="Calibri Light" w:eastAsia="Times New Roman" w:hAnsi="Calibri Light" w:cs="Calibri Light"/>
          <w:lang w:eastAsia="el-GR" w:bidi="sr-Cyrl-CS"/>
        </w:rPr>
        <w:t xml:space="preserve"> у 2020. години на 14,7 Mt CO</w:t>
      </w:r>
      <w:r w:rsidRPr="00FF386D">
        <w:rPr>
          <w:rFonts w:ascii="Calibri Light" w:eastAsia="Times New Roman" w:hAnsi="Calibri Light" w:cs="Calibri Light"/>
          <w:vertAlign w:val="subscript"/>
          <w:lang w:eastAsia="el-GR" w:bidi="sr-Cyrl-CS"/>
        </w:rPr>
        <w:t>2</w:t>
      </w:r>
      <w:r w:rsidRPr="00FF386D">
        <w:rPr>
          <w:rFonts w:ascii="Calibri Light" w:eastAsia="Times New Roman" w:hAnsi="Calibri Light" w:cs="Calibri Light"/>
          <w:lang w:eastAsia="el-GR" w:bidi="sr-Cyrl-CS"/>
        </w:rPr>
        <w:t xml:space="preserve"> у 2050. години, а иста путања отприлике важи и за сектор саобраћаја; са 7,0 Mt CO</w:t>
      </w:r>
      <w:r w:rsidRPr="00FF386D">
        <w:rPr>
          <w:rFonts w:ascii="Calibri Light" w:eastAsia="Times New Roman" w:hAnsi="Calibri Light" w:cs="Calibri Light"/>
          <w:vertAlign w:val="subscript"/>
          <w:lang w:eastAsia="el-GR" w:bidi="sr-Cyrl-CS"/>
        </w:rPr>
        <w:t>2</w:t>
      </w:r>
      <w:r w:rsidRPr="00FF386D">
        <w:rPr>
          <w:rFonts w:ascii="Calibri Light" w:eastAsia="Times New Roman" w:hAnsi="Calibri Light" w:cs="Calibri Light"/>
          <w:lang w:eastAsia="el-GR" w:bidi="sr-Cyrl-CS"/>
        </w:rPr>
        <w:t xml:space="preserve"> у 2020. години на 10,7 Mt CO</w:t>
      </w:r>
      <w:r w:rsidRPr="00FF386D">
        <w:rPr>
          <w:rFonts w:ascii="Calibri Light" w:eastAsia="Times New Roman" w:hAnsi="Calibri Light" w:cs="Calibri Light"/>
          <w:vertAlign w:val="subscript"/>
          <w:lang w:eastAsia="el-GR" w:bidi="sr-Cyrl-CS"/>
        </w:rPr>
        <w:t>2</w:t>
      </w:r>
      <w:r w:rsidRPr="00FF386D">
        <w:rPr>
          <w:rFonts w:ascii="Calibri Light" w:eastAsia="Times New Roman" w:hAnsi="Calibri Light" w:cs="Calibri Light"/>
          <w:lang w:eastAsia="el-GR" w:bidi="sr-Cyrl-CS"/>
        </w:rPr>
        <w:t xml:space="preserve"> у 2050. години. Емисије CO</w:t>
      </w:r>
      <w:r w:rsidRPr="00FF386D">
        <w:rPr>
          <w:rFonts w:ascii="Calibri Light" w:eastAsia="Times New Roman" w:hAnsi="Calibri Light" w:cs="Calibri Light"/>
          <w:vertAlign w:val="subscript"/>
          <w:lang w:eastAsia="el-GR" w:bidi="sr-Cyrl-CS"/>
        </w:rPr>
        <w:t>2</w:t>
      </w:r>
      <w:r w:rsidRPr="00FF386D">
        <w:rPr>
          <w:rFonts w:ascii="Calibri Light" w:eastAsia="Times New Roman" w:hAnsi="Calibri Light" w:cs="Calibri Light"/>
          <w:lang w:eastAsia="el-GR" w:bidi="sr-Cyrl-CS"/>
        </w:rPr>
        <w:t xml:space="preserve"> индустријског сектора ће се повећати, углавном због пораста производње индустријског сектора, те самим тим и његове повећане активности. Слично, предвиђено повећање БДП-а ће значајно повећати и саобраћајну активност. Примена мера енергетске ефикасности и коришћење горива погодних за животну средину, на нивоу који је сагледан у оквиру </w:t>
      </w:r>
      <w:r w:rsidRPr="00FF386D">
        <w:rPr>
          <w:rFonts w:ascii="Calibri Light" w:eastAsia="Times New Roman" w:hAnsi="Calibri Light" w:cs="Calibri Light"/>
          <w:i/>
          <w:lang w:eastAsia="el-GR" w:bidi="sr-Cyrl-CS"/>
        </w:rPr>
        <w:t>WEM-</w:t>
      </w:r>
      <w:r w:rsidRPr="00FF386D">
        <w:rPr>
          <w:rFonts w:ascii="Calibri Light" w:eastAsia="Times New Roman" w:hAnsi="Calibri Light" w:cs="Calibri Light"/>
          <w:lang w:eastAsia="el-GR" w:bidi="sr-Cyrl-CS"/>
        </w:rPr>
        <w:t>а, нису у стању да ограниче повећање емисија CO</w:t>
      </w:r>
      <w:r w:rsidRPr="00FF386D">
        <w:rPr>
          <w:rFonts w:ascii="Calibri Light" w:eastAsia="Times New Roman" w:hAnsi="Calibri Light" w:cs="Calibri Light"/>
          <w:vertAlign w:val="subscript"/>
          <w:lang w:eastAsia="el-GR" w:bidi="sr-Cyrl-CS"/>
        </w:rPr>
        <w:t>2</w:t>
      </w:r>
      <w:r w:rsidRPr="00FF386D">
        <w:rPr>
          <w:rFonts w:ascii="Calibri Light" w:eastAsia="Times New Roman" w:hAnsi="Calibri Light" w:cs="Calibri Light"/>
          <w:lang w:eastAsia="el-GR" w:bidi="sr-Cyrl-CS"/>
        </w:rPr>
        <w:t>.</w:t>
      </w:r>
    </w:p>
    <w:p w14:paraId="74B1FF51" w14:textId="6CC9AFEC" w:rsidR="00041ECA" w:rsidRDefault="00041ECA" w:rsidP="00565B02">
      <w:pPr>
        <w:pStyle w:val="Caption"/>
        <w:keepNext/>
      </w:pPr>
      <w:bookmarkStart w:id="160" w:name="_Ref153811660"/>
      <w:bookmarkStart w:id="161" w:name="_Toc153901353"/>
      <w:r>
        <w:lastRenderedPageBreak/>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7</w:t>
      </w:r>
      <w:r w:rsidR="00F35B2C">
        <w:fldChar w:fldCharType="end"/>
      </w:r>
      <w:bookmarkEnd w:id="160"/>
      <w:r w:rsidRPr="00041ECA">
        <w:t>: Емисије CO2 по секторима у периоду 2020-2050. године у сценарију са постојећим мерама (WEM)</w:t>
      </w:r>
      <w:bookmarkEnd w:id="161"/>
    </w:p>
    <w:p w14:paraId="4DA7FBC9" w14:textId="1BE85D0A" w:rsidR="001C6D08" w:rsidRPr="00FF386D" w:rsidRDefault="00041ECA" w:rsidP="00BD72D6">
      <w:pPr>
        <w:jc w:val="center"/>
        <w:rPr>
          <w:lang w:eastAsia="el-GR" w:bidi="sr-Cyrl-CS"/>
        </w:rPr>
      </w:pPr>
      <w:r>
        <w:rPr>
          <w:noProof/>
          <w:lang w:val="en-US"/>
        </w:rPr>
        <mc:AlternateContent>
          <mc:Choice Requires="wps">
            <w:drawing>
              <wp:anchor distT="0" distB="0" distL="114300" distR="114300" simplePos="0" relativeHeight="251671552" behindDoc="0" locked="0" layoutInCell="1" allowOverlap="1" wp14:anchorId="1E146C22" wp14:editId="43E54D61">
                <wp:simplePos x="0" y="0"/>
                <wp:positionH relativeFrom="column">
                  <wp:posOffset>1160780</wp:posOffset>
                </wp:positionH>
                <wp:positionV relativeFrom="paragraph">
                  <wp:posOffset>297996</wp:posOffset>
                </wp:positionV>
                <wp:extent cx="2803525" cy="2582545"/>
                <wp:effectExtent l="0" t="0" r="0" b="0"/>
                <wp:wrapNone/>
                <wp:docPr id="929716383" name="Text Box 929716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3525" cy="2582545"/>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type w14:anchorId="56AC900F" id="_x0000_t202" coordsize="21600,21600" o:spt="202" path="m,l,21600r21600,l21600,xe">
                <v:stroke joinstyle="miter"/>
                <v:path gradientshapeok="t" o:connecttype="rect"/>
              </v:shapetype>
              <v:shape id="Text Box 929716383" o:spid="_x0000_s1026" type="#_x0000_t202" style="position:absolute;margin-left:91.4pt;margin-top:23.45pt;width:220.75pt;height:203.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" fillcolor="#a6a6a6" stroked="f">
                <v:fill opacity="32896f"/>
              </v:shape>
            </w:pict>
          </mc:Fallback>
        </mc:AlternateContent>
      </w:r>
      <w:r w:rsidR="001C6D08" w:rsidRPr="004F53D7">
        <w:rPr>
          <w:noProof/>
          <w:lang w:val="en-US"/>
        </w:rPr>
        <w:drawing>
          <wp:inline distT="0" distB="0" distL="0" distR="0" wp14:anchorId="6DDE7591" wp14:editId="2ED2BFA9">
            <wp:extent cx="5557635" cy="4010660"/>
            <wp:effectExtent l="0" t="0" r="0" b="0"/>
            <wp:docPr id="504637721" name="Picture 504637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92249" cy="4035639"/>
                    </a:xfrm>
                    <a:prstGeom prst="rect">
                      <a:avLst/>
                    </a:prstGeom>
                    <a:noFill/>
                  </pic:spPr>
                </pic:pic>
              </a:graphicData>
            </a:graphic>
          </wp:inline>
        </w:drawing>
      </w:r>
    </w:p>
    <w:p w14:paraId="57B748A1" w14:textId="0C793FC7" w:rsidR="00261225" w:rsidRPr="00FF386D" w:rsidRDefault="004B7CD9" w:rsidP="00261225">
      <w:pPr>
        <w:pStyle w:val="LDKbody"/>
        <w:rPr>
          <w:rFonts w:ascii="Calibri Light" w:hAnsi="Calibri Light" w:cs="Calibri Light"/>
          <w:lang w:val="sr-Cyrl-RS"/>
        </w:rPr>
      </w:pPr>
      <w:r w:rsidRPr="00FF386D">
        <w:rPr>
          <w:rFonts w:asciiTheme="majorHAnsi" w:hAnsiTheme="majorHAnsi" w:cstheme="majorHAnsi"/>
          <w:lang w:val="sr-Cyrl-RS" w:bidi="sr-Cyrl-CS"/>
        </w:rPr>
        <w:t>Као што је приказано на</w:t>
      </w:r>
      <w:r w:rsidR="00041ECA">
        <w:rPr>
          <w:rFonts w:asciiTheme="majorHAnsi" w:hAnsiTheme="majorHAnsi" w:cstheme="majorHAnsi"/>
          <w:lang w:val="sr-Cyrl-RS" w:bidi="sr-Cyrl-CS"/>
        </w:rPr>
        <w:t xml:space="preserve"> </w:t>
      </w:r>
      <w:r w:rsidR="00041ECA">
        <w:rPr>
          <w:rFonts w:asciiTheme="majorHAnsi" w:hAnsiTheme="majorHAnsi" w:cstheme="majorHAnsi"/>
          <w:lang w:val="sr-Cyrl-RS" w:bidi="sr-Cyrl-CS"/>
        </w:rPr>
        <w:fldChar w:fldCharType="begin"/>
      </w:r>
      <w:r w:rsidR="00041ECA">
        <w:rPr>
          <w:rFonts w:asciiTheme="majorHAnsi" w:hAnsiTheme="majorHAnsi" w:cstheme="majorHAnsi"/>
          <w:lang w:val="sr-Cyrl-RS" w:bidi="sr-Cyrl-CS"/>
        </w:rPr>
        <w:instrText xml:space="preserve"> REF _Ref153811747 \h  \* MERGEFORMAT </w:instrText>
      </w:r>
      <w:r w:rsidR="00041ECA">
        <w:rPr>
          <w:rFonts w:asciiTheme="majorHAnsi" w:hAnsiTheme="majorHAnsi" w:cstheme="majorHAnsi"/>
          <w:lang w:val="sr-Cyrl-RS" w:bidi="sr-Cyrl-CS"/>
        </w:rPr>
      </w:r>
      <w:r w:rsidR="00041ECA">
        <w:rPr>
          <w:rFonts w:asciiTheme="majorHAnsi" w:hAnsiTheme="majorHAnsi" w:cstheme="majorHAnsi"/>
          <w:lang w:val="sr-Cyrl-RS" w:bidi="sr-Cyrl-CS"/>
        </w:rPr>
        <w:fldChar w:fldCharType="separate"/>
      </w:r>
      <w:r w:rsidR="00041ECA" w:rsidRPr="00565B02">
        <w:rPr>
          <w:rFonts w:asciiTheme="majorHAnsi" w:hAnsiTheme="majorHAnsi" w:cstheme="majorHAnsi"/>
          <w:lang w:val="sr-Cyrl-RS" w:bidi="sr-Cyrl-CS"/>
        </w:rPr>
        <w:t>слици 4.8</w:t>
      </w:r>
      <w:r w:rsidR="00041ECA">
        <w:rPr>
          <w:rFonts w:asciiTheme="majorHAnsi" w:hAnsiTheme="majorHAnsi" w:cstheme="majorHAnsi"/>
          <w:lang w:val="sr-Cyrl-RS" w:bidi="sr-Cyrl-CS"/>
        </w:rPr>
        <w:fldChar w:fldCharType="end"/>
      </w:r>
      <w:r w:rsidR="006D48D9" w:rsidRPr="00FF386D">
        <w:rPr>
          <w:rFonts w:asciiTheme="majorHAnsi" w:hAnsiTheme="majorHAnsi" w:cstheme="majorHAnsi"/>
          <w:lang w:val="sr-Cyrl-RS" w:bidi="sr-Cyrl-CS"/>
        </w:rPr>
        <w:t xml:space="preserve">, </w:t>
      </w:r>
      <w:r w:rsidR="00261225" w:rsidRPr="00565B02">
        <w:rPr>
          <w:rFonts w:asciiTheme="majorHAnsi" w:hAnsiTheme="majorHAnsi" w:cstheme="majorHAnsi"/>
          <w:lang w:val="sr-Cyrl-RS" w:bidi="sr-Cyrl-CS"/>
        </w:rPr>
        <w:t>очекује</w:t>
      </w:r>
      <w:r w:rsidR="00261225" w:rsidRPr="00FF386D">
        <w:rPr>
          <w:rFonts w:ascii="Calibri Light" w:hAnsi="Calibri Light" w:cs="Calibri Light"/>
          <w:lang w:val="sr-Cyrl-RS" w:bidi="sr-Cyrl-CS"/>
        </w:rPr>
        <w:t xml:space="preserve"> се да ће се емисије CH</w:t>
      </w:r>
      <w:r w:rsidR="00261225" w:rsidRPr="00FF386D">
        <w:rPr>
          <w:rFonts w:ascii="Calibri Light" w:hAnsi="Calibri Light" w:cs="Calibri Light"/>
          <w:vertAlign w:val="subscript"/>
          <w:lang w:val="sr-Cyrl-RS" w:bidi="sr-Cyrl-CS"/>
        </w:rPr>
        <w:t>4</w:t>
      </w:r>
      <w:r w:rsidR="00261225" w:rsidRPr="00FF386D">
        <w:rPr>
          <w:rFonts w:ascii="Calibri Light" w:hAnsi="Calibri Light" w:cs="Calibri Light"/>
          <w:lang w:val="sr-Cyrl-RS" w:bidi="sr-Cyrl-CS"/>
        </w:rPr>
        <w:t xml:space="preserve"> значајно смањити након 2027. године због процеса декарбонизације, приказујући повећање од 3,9% у 2030. години и смањење од 10,9% у 2040. и 27% у 2050. години, у поређењу са 2020. годином, што ће резултирати са 116,1 kt CH</w:t>
      </w:r>
      <w:r w:rsidR="00261225" w:rsidRPr="00FF386D">
        <w:rPr>
          <w:rFonts w:ascii="Calibri Light" w:hAnsi="Calibri Light" w:cs="Calibri Light"/>
          <w:vertAlign w:val="subscript"/>
          <w:lang w:val="sr-Cyrl-RS" w:bidi="sr-Cyrl-CS"/>
        </w:rPr>
        <w:t>4</w:t>
      </w:r>
      <w:r w:rsidR="00261225" w:rsidRPr="00FF386D">
        <w:rPr>
          <w:rFonts w:ascii="Calibri Light" w:hAnsi="Calibri Light" w:cs="Calibri Light"/>
          <w:lang w:val="sr-Cyrl-RS" w:bidi="sr-Cyrl-CS"/>
        </w:rPr>
        <w:t xml:space="preserve"> у 2030. години и 81,8 kt CH</w:t>
      </w:r>
      <w:r w:rsidR="00261225" w:rsidRPr="00FF386D">
        <w:rPr>
          <w:rFonts w:ascii="Calibri Light" w:hAnsi="Calibri Light" w:cs="Calibri Light"/>
          <w:vertAlign w:val="subscript"/>
          <w:lang w:val="sr-Cyrl-RS" w:bidi="sr-Cyrl-CS"/>
        </w:rPr>
        <w:t>4</w:t>
      </w:r>
      <w:r w:rsidR="00261225" w:rsidRPr="00FF386D">
        <w:rPr>
          <w:rFonts w:ascii="Calibri Light" w:hAnsi="Calibri Light" w:cs="Calibri Light"/>
          <w:lang w:val="sr-Cyrl-RS" w:bidi="sr-Cyrl-CS"/>
        </w:rPr>
        <w:t xml:space="preserve"> у 2050. години. Екстракција и прерада угља имају највећи допринос емисијама CH</w:t>
      </w:r>
      <w:r w:rsidR="00261225" w:rsidRPr="00FF386D">
        <w:rPr>
          <w:rFonts w:ascii="Calibri Light" w:hAnsi="Calibri Light" w:cs="Calibri Light"/>
          <w:vertAlign w:val="subscript"/>
          <w:lang w:val="sr-Cyrl-RS" w:bidi="sr-Cyrl-CS"/>
        </w:rPr>
        <w:t>4</w:t>
      </w:r>
      <w:r w:rsidR="00261225" w:rsidRPr="00FF386D">
        <w:rPr>
          <w:rFonts w:ascii="Calibri Light" w:hAnsi="Calibri Light" w:cs="Calibri Light"/>
          <w:lang w:val="sr-Cyrl-RS" w:bidi="sr-Cyrl-CS"/>
        </w:rPr>
        <w:t xml:space="preserve"> (метан се ослобађа као директан резултат физичког процеса екстракције угља како се уклањају слојеви површине угља), у распону од 48,9 kt CH</w:t>
      </w:r>
      <w:r w:rsidR="00261225" w:rsidRPr="00FF386D">
        <w:rPr>
          <w:rFonts w:ascii="Calibri Light" w:hAnsi="Calibri Light" w:cs="Calibri Light"/>
          <w:vertAlign w:val="subscript"/>
          <w:lang w:val="sr-Cyrl-RS" w:bidi="sr-Cyrl-CS"/>
        </w:rPr>
        <w:t>4</w:t>
      </w:r>
      <w:r w:rsidR="00261225" w:rsidRPr="00FF386D">
        <w:rPr>
          <w:rFonts w:ascii="Calibri Light" w:hAnsi="Calibri Light" w:cs="Calibri Light"/>
          <w:lang w:val="sr-Cyrl-RS" w:bidi="sr-Cyrl-CS"/>
        </w:rPr>
        <w:t xml:space="preserve"> у 2020. години до 53,08 kt CH</w:t>
      </w:r>
      <w:r w:rsidR="00261225" w:rsidRPr="00FF386D">
        <w:rPr>
          <w:rFonts w:ascii="Calibri Light" w:hAnsi="Calibri Light" w:cs="Calibri Light"/>
          <w:vertAlign w:val="subscript"/>
          <w:lang w:val="sr-Cyrl-RS" w:bidi="sr-Cyrl-CS"/>
        </w:rPr>
        <w:t>4</w:t>
      </w:r>
      <w:r w:rsidR="00261225" w:rsidRPr="00FF386D">
        <w:rPr>
          <w:rFonts w:ascii="Calibri Light" w:hAnsi="Calibri Light" w:cs="Calibri Light"/>
          <w:lang w:val="sr-Cyrl-RS" w:bidi="sr-Cyrl-CS"/>
        </w:rPr>
        <w:t xml:space="preserve"> у 2050. години, а затим следе екстракција и прерада нафте и гаса, које ће приказати смањење са 39,9 kt CH</w:t>
      </w:r>
      <w:r w:rsidR="00261225" w:rsidRPr="00FF386D">
        <w:rPr>
          <w:rFonts w:ascii="Calibri Light" w:hAnsi="Calibri Light" w:cs="Calibri Light"/>
          <w:vertAlign w:val="subscript"/>
          <w:lang w:val="sr-Cyrl-RS" w:bidi="sr-Cyrl-CS"/>
        </w:rPr>
        <w:t>4</w:t>
      </w:r>
      <w:r w:rsidR="00261225" w:rsidRPr="00FF386D">
        <w:rPr>
          <w:rFonts w:ascii="Calibri Light" w:hAnsi="Calibri Light" w:cs="Calibri Light"/>
          <w:lang w:val="sr-Cyrl-RS" w:bidi="sr-Cyrl-CS"/>
        </w:rPr>
        <w:t xml:space="preserve"> у 2020. години на 8,55 kt CH</w:t>
      </w:r>
      <w:r w:rsidR="00261225" w:rsidRPr="00FF386D">
        <w:rPr>
          <w:rFonts w:ascii="Calibri Light" w:hAnsi="Calibri Light" w:cs="Calibri Light"/>
          <w:vertAlign w:val="subscript"/>
          <w:lang w:val="sr-Cyrl-RS" w:bidi="sr-Cyrl-CS"/>
        </w:rPr>
        <w:t>4</w:t>
      </w:r>
      <w:r w:rsidR="00261225" w:rsidRPr="00FF386D">
        <w:rPr>
          <w:rFonts w:ascii="Calibri Light" w:hAnsi="Calibri Light" w:cs="Calibri Light"/>
          <w:lang w:val="sr-Cyrl-RS" w:bidi="sr-Cyrl-CS"/>
        </w:rPr>
        <w:t xml:space="preserve"> у 2050. години.</w:t>
      </w:r>
    </w:p>
    <w:p w14:paraId="16CF5780" w14:textId="31242F24" w:rsidR="00041ECA" w:rsidRDefault="00041ECA" w:rsidP="00BD72D6">
      <w:pPr>
        <w:jc w:val="center"/>
      </w:pPr>
    </w:p>
    <w:p w14:paraId="2B5C8213" w14:textId="28CEFCA8" w:rsidR="00041ECA" w:rsidRDefault="00041ECA" w:rsidP="00565B02">
      <w:pPr>
        <w:pStyle w:val="Caption"/>
        <w:keepNext/>
      </w:pPr>
      <w:bookmarkStart w:id="162" w:name="_Ref153811747"/>
      <w:bookmarkStart w:id="163" w:name="_Toc153901354"/>
      <w:r>
        <w:lastRenderedPageBreak/>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8</w:t>
      </w:r>
      <w:r w:rsidR="00F35B2C">
        <w:fldChar w:fldCharType="end"/>
      </w:r>
      <w:bookmarkEnd w:id="162"/>
      <w:r>
        <w:t xml:space="preserve">: </w:t>
      </w:r>
      <w:r w:rsidRPr="00041ECA">
        <w:t>Емисије CH4 по секторима у периоду 2020-2050. године у сценарију са постојећим мерама (WEM)</w:t>
      </w:r>
      <w:bookmarkEnd w:id="163"/>
    </w:p>
    <w:p w14:paraId="1B3CCBF2" w14:textId="51E4954B" w:rsidR="000F3D03" w:rsidRPr="00FF386D" w:rsidRDefault="00041ECA" w:rsidP="00BD72D6">
      <w:pPr>
        <w:jc w:val="center"/>
        <w:rPr>
          <w:lang w:eastAsia="el-GR"/>
        </w:rPr>
      </w:pPr>
      <w:r>
        <w:rPr>
          <w:noProof/>
          <w:lang w:val="en-US"/>
        </w:rPr>
        <mc:AlternateContent>
          <mc:Choice Requires="wps">
            <w:drawing>
              <wp:anchor distT="0" distB="0" distL="114300" distR="114300" simplePos="0" relativeHeight="251665408" behindDoc="0" locked="0" layoutInCell="1" allowOverlap="1" wp14:anchorId="20EE348B" wp14:editId="50544F87">
                <wp:simplePos x="0" y="0"/>
                <wp:positionH relativeFrom="column">
                  <wp:posOffset>1158875</wp:posOffset>
                </wp:positionH>
                <wp:positionV relativeFrom="paragraph">
                  <wp:posOffset>2268</wp:posOffset>
                </wp:positionV>
                <wp:extent cx="2907665" cy="2958465"/>
                <wp:effectExtent l="0" t="0" r="0" b="0"/>
                <wp:wrapNone/>
                <wp:docPr id="122872450" name="Text Box 122872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7665" cy="2958465"/>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33BA8AF3" id="Text Box 122872450" o:spid="_x0000_s1026" type="#_x0000_t202" style="position:absolute;margin-left:91.25pt;margin-top:.2pt;width:228.95pt;height:232.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" fillcolor="#a6a6a6" stroked="f">
                <v:fill opacity="32896f"/>
              </v:shape>
            </w:pict>
          </mc:Fallback>
        </mc:AlternateContent>
      </w:r>
      <w:r w:rsidR="00E27DC9" w:rsidRPr="004F53D7">
        <w:rPr>
          <w:noProof/>
          <w:lang w:val="en-US"/>
        </w:rPr>
        <w:drawing>
          <wp:inline distT="0" distB="0" distL="0" distR="0" wp14:anchorId="3063A2CF" wp14:editId="52D0A478">
            <wp:extent cx="6246929" cy="4247331"/>
            <wp:effectExtent l="0" t="0" r="0" b="0"/>
            <wp:docPr id="1183406912" name="Picture 1183406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58444" cy="4255160"/>
                    </a:xfrm>
                    <a:prstGeom prst="rect">
                      <a:avLst/>
                    </a:prstGeom>
                    <a:noFill/>
                  </pic:spPr>
                </pic:pic>
              </a:graphicData>
            </a:graphic>
          </wp:inline>
        </w:drawing>
      </w:r>
    </w:p>
    <w:p w14:paraId="267E29F0" w14:textId="5DA2AABB" w:rsidR="00261225" w:rsidRPr="00FF386D" w:rsidRDefault="00261225" w:rsidP="00261225">
      <w:pPr>
        <w:pStyle w:val="LDKbody"/>
        <w:rPr>
          <w:rFonts w:ascii="Calibri Light" w:hAnsi="Calibri Light" w:cs="Calibri Light"/>
          <w:lang w:val="sr-Cyrl-RS"/>
        </w:rPr>
      </w:pPr>
      <w:r w:rsidRPr="00FF386D">
        <w:rPr>
          <w:rFonts w:ascii="Calibri Light" w:eastAsia="Calibri" w:hAnsi="Calibri Light" w:cs="Calibri Light"/>
          <w:lang w:val="sr-Cyrl-RS" w:eastAsia="en-US" w:bidi="sr-Cyrl-CS"/>
        </w:rPr>
        <w:t>Очекује се да ће емисије N</w:t>
      </w:r>
      <w:r w:rsidRPr="00FF386D">
        <w:rPr>
          <w:rFonts w:ascii="Calibri Light" w:eastAsia="Calibri" w:hAnsi="Calibri Light" w:cs="Calibri Light"/>
          <w:vertAlign w:val="subscript"/>
          <w:lang w:val="sr-Cyrl-RS" w:eastAsia="en-US" w:bidi="sr-Cyrl-CS"/>
        </w:rPr>
        <w:t>2</w:t>
      </w:r>
      <w:r w:rsidRPr="00FF386D">
        <w:rPr>
          <w:rFonts w:ascii="Calibri Light" w:eastAsia="Calibri" w:hAnsi="Calibri Light" w:cs="Calibri Light"/>
          <w:lang w:val="sr-Cyrl-RS" w:eastAsia="en-US" w:bidi="sr-Cyrl-CS"/>
        </w:rPr>
        <w:t xml:space="preserve">O значајно порасти у сценарију </w:t>
      </w:r>
      <w:r w:rsidRPr="00FF386D">
        <w:rPr>
          <w:rFonts w:ascii="Calibri Light" w:eastAsia="Calibri" w:hAnsi="Calibri Light" w:cs="Calibri Light"/>
          <w:i/>
          <w:lang w:val="sr-Cyrl-RS" w:eastAsia="en-US" w:bidi="sr-Cyrl-CS"/>
        </w:rPr>
        <w:t>WEM,</w:t>
      </w:r>
      <w:r w:rsidRPr="00FF386D">
        <w:rPr>
          <w:rFonts w:ascii="Calibri Light" w:eastAsia="Calibri" w:hAnsi="Calibri Light" w:cs="Calibri Light"/>
          <w:lang w:val="sr-Cyrl-RS" w:eastAsia="en-US" w:bidi="sr-Cyrl-CS"/>
        </w:rPr>
        <w:t xml:space="preserve"> приказујући пораст од 14,3% у 2030, 22,9% у 2040. и 24,3% у 2050. години, у поређењу са 2020. годином, што ће резултирати са 3,2 kt N</w:t>
      </w:r>
      <w:r w:rsidRPr="00FF386D">
        <w:rPr>
          <w:rFonts w:ascii="Calibri Light" w:eastAsia="Calibri" w:hAnsi="Calibri Light" w:cs="Calibri Light"/>
          <w:vertAlign w:val="subscript"/>
          <w:lang w:val="sr-Cyrl-RS" w:eastAsia="en-US" w:bidi="sr-Cyrl-CS"/>
        </w:rPr>
        <w:t>2</w:t>
      </w:r>
      <w:r w:rsidRPr="00FF386D">
        <w:rPr>
          <w:rFonts w:ascii="Calibri Light" w:eastAsia="Calibri" w:hAnsi="Calibri Light" w:cs="Calibri Light"/>
          <w:lang w:val="sr-Cyrl-RS" w:eastAsia="en-US" w:bidi="sr-Cyrl-CS"/>
        </w:rPr>
        <w:t>O у 2030. години и 3,5 kt N</w:t>
      </w:r>
      <w:r w:rsidRPr="00FF386D">
        <w:rPr>
          <w:rFonts w:ascii="Calibri Light" w:eastAsia="Calibri" w:hAnsi="Calibri Light" w:cs="Calibri Light"/>
          <w:vertAlign w:val="subscript"/>
          <w:lang w:val="sr-Cyrl-RS" w:eastAsia="en-US" w:bidi="sr-Cyrl-CS"/>
        </w:rPr>
        <w:t>2</w:t>
      </w:r>
      <w:r w:rsidRPr="00FF386D">
        <w:rPr>
          <w:rFonts w:ascii="Calibri Light" w:eastAsia="Calibri" w:hAnsi="Calibri Light" w:cs="Calibri Light"/>
          <w:lang w:val="sr-Cyrl-RS" w:eastAsia="en-US" w:bidi="sr-Cyrl-CS"/>
        </w:rPr>
        <w:t xml:space="preserve">O у 2050. години, као што је приказано </w:t>
      </w:r>
      <w:r w:rsidR="00810379" w:rsidRPr="00FF386D">
        <w:rPr>
          <w:rFonts w:ascii="Calibri Light" w:eastAsia="Calibri" w:hAnsi="Calibri Light" w:cs="Calibri Light"/>
          <w:lang w:val="sr-Cyrl-RS" w:eastAsia="en-US" w:bidi="sr-Cyrl-CS"/>
        </w:rPr>
        <w:t>на</w:t>
      </w:r>
      <w:r w:rsidR="00041ECA">
        <w:rPr>
          <w:rFonts w:ascii="Calibri Light" w:eastAsia="Calibri" w:hAnsi="Calibri Light" w:cs="Calibri Light"/>
          <w:lang w:val="sr-Cyrl-RS" w:eastAsia="en-US" w:bidi="sr-Cyrl-CS"/>
        </w:rPr>
        <w:t xml:space="preserve"> </w:t>
      </w:r>
      <w:r w:rsidR="00041ECA">
        <w:rPr>
          <w:rFonts w:ascii="Calibri Light" w:eastAsia="Calibri" w:hAnsi="Calibri Light" w:cs="Calibri Light"/>
          <w:lang w:val="sr-Cyrl-RS" w:eastAsia="en-US" w:bidi="sr-Cyrl-CS"/>
        </w:rPr>
        <w:fldChar w:fldCharType="begin"/>
      </w:r>
      <w:r w:rsidR="00041ECA">
        <w:rPr>
          <w:rFonts w:ascii="Calibri Light" w:eastAsia="Calibri" w:hAnsi="Calibri Light" w:cs="Calibri Light"/>
          <w:lang w:val="sr-Cyrl-RS" w:eastAsia="en-US" w:bidi="sr-Cyrl-CS"/>
        </w:rPr>
        <w:instrText xml:space="preserve"> REF _Ref153811815 \h  \* MERGEFORMAT </w:instrText>
      </w:r>
      <w:r w:rsidR="00041ECA">
        <w:rPr>
          <w:rFonts w:ascii="Calibri Light" w:eastAsia="Calibri" w:hAnsi="Calibri Light" w:cs="Calibri Light"/>
          <w:lang w:val="sr-Cyrl-RS" w:eastAsia="en-US" w:bidi="sr-Cyrl-CS"/>
        </w:rPr>
      </w:r>
      <w:r w:rsidR="00041ECA">
        <w:rPr>
          <w:rFonts w:ascii="Calibri Light" w:eastAsia="Calibri" w:hAnsi="Calibri Light" w:cs="Calibri Light"/>
          <w:lang w:val="sr-Cyrl-RS" w:eastAsia="en-US" w:bidi="sr-Cyrl-CS"/>
        </w:rPr>
        <w:fldChar w:fldCharType="separate"/>
      </w:r>
      <w:r w:rsidR="00041ECA" w:rsidRPr="00565B02">
        <w:rPr>
          <w:rFonts w:ascii="Calibri Light" w:eastAsia="Calibri" w:hAnsi="Calibri Light" w:cs="Calibri Light"/>
          <w:lang w:val="sr-Cyrl-RS" w:eastAsia="en-US" w:bidi="sr-Cyrl-CS"/>
        </w:rPr>
        <w:t>слици 4.9</w:t>
      </w:r>
      <w:r w:rsidR="00041ECA">
        <w:rPr>
          <w:rFonts w:ascii="Calibri Light" w:eastAsia="Calibri" w:hAnsi="Calibri Light" w:cs="Calibri Light"/>
          <w:lang w:val="sr-Cyrl-RS" w:eastAsia="en-US" w:bidi="sr-Cyrl-CS"/>
        </w:rPr>
        <w:fldChar w:fldCharType="end"/>
      </w:r>
      <w:r w:rsidR="006D48D9" w:rsidRPr="00565B02">
        <w:rPr>
          <w:rFonts w:ascii="Calibri Light" w:eastAsia="Calibri" w:hAnsi="Calibri Light" w:cs="Calibri Light"/>
          <w:lang w:val="sr-Cyrl-RS" w:eastAsia="en-US" w:bidi="sr-Cyrl-CS"/>
        </w:rPr>
        <w:t>.</w:t>
      </w:r>
      <w:r w:rsidR="006D48D9" w:rsidRPr="00FF386D">
        <w:rPr>
          <w:rFonts w:asciiTheme="majorHAnsi" w:hAnsiTheme="majorHAnsi" w:cstheme="majorHAnsi"/>
          <w:lang w:val="sr-Cyrl-RS"/>
        </w:rPr>
        <w:t xml:space="preserve"> </w:t>
      </w:r>
      <w:r w:rsidRPr="00FF386D">
        <w:rPr>
          <w:rFonts w:ascii="Calibri Light" w:hAnsi="Calibri Light" w:cs="Calibri Light"/>
          <w:lang w:val="sr-Cyrl-RS" w:bidi="sr-Cyrl-CS"/>
        </w:rPr>
        <w:t>Емисије N</w:t>
      </w:r>
      <w:r w:rsidRPr="00FF386D">
        <w:rPr>
          <w:rFonts w:ascii="Calibri Light" w:hAnsi="Calibri Light" w:cs="Calibri Light"/>
          <w:vertAlign w:val="subscript"/>
          <w:lang w:val="sr-Cyrl-RS" w:bidi="sr-Cyrl-CS"/>
        </w:rPr>
        <w:t>2</w:t>
      </w:r>
      <w:r w:rsidRPr="00FF386D">
        <w:rPr>
          <w:rFonts w:ascii="Calibri Light" w:hAnsi="Calibri Light" w:cs="Calibri Light"/>
          <w:lang w:val="sr-Cyrl-RS" w:bidi="sr-Cyrl-CS"/>
        </w:rPr>
        <w:t>O из сектора индустрије, саобраћаја и производње електричне енергије приказују највећи удео у укупним емисијама N</w:t>
      </w:r>
      <w:r w:rsidRPr="00FF386D">
        <w:rPr>
          <w:rFonts w:ascii="Calibri Light" w:hAnsi="Calibri Light" w:cs="Calibri Light"/>
          <w:vertAlign w:val="subscript"/>
          <w:lang w:val="sr-Cyrl-RS" w:bidi="sr-Cyrl-CS"/>
        </w:rPr>
        <w:t>2</w:t>
      </w:r>
      <w:r w:rsidRPr="00FF386D">
        <w:rPr>
          <w:rFonts w:ascii="Calibri Light" w:hAnsi="Calibri Light" w:cs="Calibri Light"/>
          <w:lang w:val="sr-Cyrl-RS" w:bidi="sr-Cyrl-CS"/>
        </w:rPr>
        <w:t>O у 2050. години (63%, 15% односно 14%), бележећи тренд сталног раста.</w:t>
      </w:r>
    </w:p>
    <w:p w14:paraId="4B5FE8CE" w14:textId="1C48E407" w:rsidR="00041ECA" w:rsidRDefault="00041ECA" w:rsidP="006A7D95">
      <w:pPr>
        <w:jc w:val="center"/>
      </w:pPr>
    </w:p>
    <w:p w14:paraId="397314E8" w14:textId="4300C2CB" w:rsidR="00041ECA" w:rsidRDefault="00041ECA" w:rsidP="00565B02">
      <w:pPr>
        <w:pStyle w:val="Caption"/>
        <w:keepNext/>
      </w:pPr>
      <w:bookmarkStart w:id="164" w:name="_Ref153811815"/>
      <w:bookmarkStart w:id="165" w:name="_Toc153901355"/>
      <w:r>
        <w:lastRenderedPageBreak/>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9</w:t>
      </w:r>
      <w:r w:rsidR="00F35B2C">
        <w:fldChar w:fldCharType="end"/>
      </w:r>
      <w:bookmarkEnd w:id="164"/>
      <w:r w:rsidRPr="00041ECA">
        <w:t>: Емисије N2O по секторима у периоду 2020-2050. године у сценарију са постојећим мерама (WEM)</w:t>
      </w:r>
      <w:bookmarkEnd w:id="165"/>
    </w:p>
    <w:p w14:paraId="78309058" w14:textId="5A525AD1" w:rsidR="0068673B" w:rsidRPr="00FF386D" w:rsidRDefault="00041ECA" w:rsidP="006A7D95">
      <w:pPr>
        <w:jc w:val="center"/>
        <w:rPr>
          <w:lang w:eastAsia="el-GR"/>
        </w:rPr>
      </w:pPr>
      <w:r>
        <w:rPr>
          <w:noProof/>
          <w:lang w:val="en-US"/>
        </w:rPr>
        <mc:AlternateContent>
          <mc:Choice Requires="wps">
            <w:drawing>
              <wp:anchor distT="0" distB="0" distL="114300" distR="114300" simplePos="0" relativeHeight="251672576" behindDoc="0" locked="0" layoutInCell="1" allowOverlap="1" wp14:anchorId="1A0BE1ED" wp14:editId="7E56D35A">
                <wp:simplePos x="0" y="0"/>
                <wp:positionH relativeFrom="column">
                  <wp:posOffset>1345474</wp:posOffset>
                </wp:positionH>
                <wp:positionV relativeFrom="paragraph">
                  <wp:posOffset>167912</wp:posOffset>
                </wp:positionV>
                <wp:extent cx="2517775" cy="2394585"/>
                <wp:effectExtent l="0" t="0" r="0" b="0"/>
                <wp:wrapNone/>
                <wp:docPr id="1716790676" name="Text Box 1716790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7775" cy="2394585"/>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0316E045" id="Text Box 1716790676" o:spid="_x0000_s1026" type="#_x0000_t202" style="position:absolute;margin-left:105.95pt;margin-top:13.2pt;width:198.25pt;height:188.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" fillcolor="#a6a6a6" stroked="f">
                <v:fill opacity="32896f"/>
              </v:shape>
            </w:pict>
          </mc:Fallback>
        </mc:AlternateContent>
      </w:r>
      <w:r w:rsidR="0068673B" w:rsidRPr="004F53D7">
        <w:rPr>
          <w:noProof/>
          <w:lang w:val="en-US"/>
        </w:rPr>
        <w:drawing>
          <wp:inline distT="0" distB="0" distL="0" distR="0" wp14:anchorId="7C258C63" wp14:editId="11DE6EDB">
            <wp:extent cx="5123180" cy="3352092"/>
            <wp:effectExtent l="0" t="0" r="0" b="0"/>
            <wp:docPr id="1908024412" name="Picture 1908024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41433" cy="3364035"/>
                    </a:xfrm>
                    <a:prstGeom prst="rect">
                      <a:avLst/>
                    </a:prstGeom>
                    <a:noFill/>
                  </pic:spPr>
                </pic:pic>
              </a:graphicData>
            </a:graphic>
          </wp:inline>
        </w:drawing>
      </w:r>
    </w:p>
    <w:p w14:paraId="707918FB" w14:textId="321334E4" w:rsidR="00251505" w:rsidRDefault="00251505" w:rsidP="00261225">
      <w:pPr>
        <w:pStyle w:val="LDKbody"/>
        <w:rPr>
          <w:rFonts w:asciiTheme="majorHAnsi" w:hAnsiTheme="majorHAnsi" w:cstheme="majorHAnsi"/>
          <w:lang w:val="sr-Cyrl-RS" w:bidi="sr-Cyrl-CS"/>
        </w:rPr>
      </w:pPr>
      <w:r>
        <w:rPr>
          <w:rFonts w:asciiTheme="majorHAnsi" w:hAnsiTheme="majorHAnsi" w:cstheme="majorHAnsi"/>
          <w:lang w:val="sr-Cyrl-RS" w:bidi="sr-Cyrl-CS"/>
        </w:rPr>
        <w:t xml:space="preserve">Укупне емисије укључујући емисије из пољопривреде и отпада и </w:t>
      </w:r>
      <w:r w:rsidRPr="000A2AFE">
        <w:rPr>
          <w:rFonts w:asciiTheme="majorHAnsi" w:hAnsiTheme="majorHAnsi" w:cstheme="majorHAnsi"/>
          <w:i/>
          <w:iCs/>
          <w:lang w:val="en-US" w:bidi="sr-Cyrl-CS"/>
        </w:rPr>
        <w:t>LULUCF</w:t>
      </w:r>
      <w:r>
        <w:rPr>
          <w:rFonts w:asciiTheme="majorHAnsi" w:hAnsiTheme="majorHAnsi" w:cstheme="majorHAnsi"/>
          <w:lang w:val="en-US" w:bidi="sr-Cyrl-CS"/>
        </w:rPr>
        <w:t xml:space="preserve"> </w:t>
      </w:r>
      <w:r>
        <w:rPr>
          <w:rFonts w:asciiTheme="majorHAnsi" w:hAnsiTheme="majorHAnsi" w:cstheme="majorHAnsi"/>
          <w:lang w:val="sr-Cyrl-RS" w:bidi="sr-Cyrl-CS"/>
        </w:rPr>
        <w:t xml:space="preserve">су пројектоване тако да се повећавају у сценарију </w:t>
      </w:r>
      <w:r w:rsidRPr="000A2AFE">
        <w:rPr>
          <w:rFonts w:asciiTheme="majorHAnsi" w:hAnsiTheme="majorHAnsi" w:cstheme="majorHAnsi"/>
          <w:i/>
          <w:iCs/>
          <w:lang w:val="en-US" w:bidi="sr-Cyrl-CS"/>
        </w:rPr>
        <w:t>WEM</w:t>
      </w:r>
      <w:r>
        <w:rPr>
          <w:rFonts w:asciiTheme="majorHAnsi" w:hAnsiTheme="majorHAnsi" w:cstheme="majorHAnsi"/>
          <w:lang w:val="en-US" w:bidi="sr-Cyrl-CS"/>
        </w:rPr>
        <w:t xml:space="preserve"> </w:t>
      </w:r>
      <w:r>
        <w:rPr>
          <w:rFonts w:asciiTheme="majorHAnsi" w:hAnsiTheme="majorHAnsi" w:cstheme="majorHAnsi"/>
          <w:lang w:val="sr-Cyrl-RS" w:bidi="sr-Cyrl-CS"/>
        </w:rPr>
        <w:t>за 15% у 2030. години у односу на 2020. годину и за 30% у 2050. години.</w:t>
      </w:r>
    </w:p>
    <w:p w14:paraId="6FBCD112" w14:textId="3FE4D208" w:rsidR="00971237" w:rsidRDefault="00971237" w:rsidP="00565B02">
      <w:pPr>
        <w:pStyle w:val="Caption"/>
        <w:keepNext/>
      </w:pPr>
      <w:bookmarkStart w:id="166" w:name="_Toc153901356"/>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10</w:t>
      </w:r>
      <w:r w:rsidR="00F35B2C">
        <w:fldChar w:fldCharType="end"/>
      </w:r>
      <w:r>
        <w:t xml:space="preserve">: </w:t>
      </w:r>
      <w:r w:rsidRPr="00971237">
        <w:t>Укупне емисије GHG у периоду 2020-2050 у сценарију са постојећим мерама (WEM)</w:t>
      </w:r>
      <w:bookmarkEnd w:id="166"/>
    </w:p>
    <w:p w14:paraId="594C912F" w14:textId="3CFF5AA9" w:rsidR="00251505" w:rsidRPr="00251505" w:rsidRDefault="00251505" w:rsidP="00261225">
      <w:pPr>
        <w:pStyle w:val="LDKbody"/>
        <w:rPr>
          <w:rFonts w:asciiTheme="majorHAnsi" w:hAnsiTheme="majorHAnsi" w:cstheme="majorHAnsi"/>
          <w:lang w:val="sr-Cyrl-RS" w:bidi="sr-Cyrl-CS"/>
        </w:rPr>
      </w:pPr>
      <w:r>
        <w:rPr>
          <w:rFonts w:asciiTheme="majorHAnsi" w:hAnsiTheme="majorHAnsi" w:cstheme="majorHAnsi"/>
          <w:noProof/>
          <w:lang w:val="en-US" w:eastAsia="en-US"/>
        </w:rPr>
        <w:drawing>
          <wp:inline distT="0" distB="0" distL="0" distR="0" wp14:anchorId="332BD42F" wp14:editId="3149B908">
            <wp:extent cx="5744102" cy="3180919"/>
            <wp:effectExtent l="0" t="0" r="0" b="0"/>
            <wp:docPr id="1692675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1606" cy="3185074"/>
                    </a:xfrm>
                    <a:prstGeom prst="rect">
                      <a:avLst/>
                    </a:prstGeom>
                    <a:noFill/>
                  </pic:spPr>
                </pic:pic>
              </a:graphicData>
            </a:graphic>
          </wp:inline>
        </w:drawing>
      </w:r>
    </w:p>
    <w:p w14:paraId="67403C74" w14:textId="50006CC1" w:rsidR="00757F88" w:rsidRDefault="00757F88" w:rsidP="00261225">
      <w:pPr>
        <w:pStyle w:val="LDKbody"/>
        <w:rPr>
          <w:rFonts w:asciiTheme="majorHAnsi" w:hAnsiTheme="majorHAnsi" w:cstheme="majorHAnsi"/>
          <w:lang w:val="sr-Cyrl-RS" w:bidi="sr-Cyrl-CS"/>
        </w:rPr>
      </w:pPr>
      <w:r>
        <w:rPr>
          <w:rFonts w:asciiTheme="majorHAnsi" w:hAnsiTheme="majorHAnsi" w:cstheme="majorHAnsi"/>
          <w:lang w:val="sr-Cyrl-RS" w:bidi="sr-Cyrl-CS"/>
        </w:rPr>
        <w:t xml:space="preserve">Пројектовано је смањење емисија из сектора пољопривреде за 12% у 2030. години у односу на нивое из 2020. године достижући готово 4,5 </w:t>
      </w:r>
      <w:r>
        <w:rPr>
          <w:rFonts w:asciiTheme="majorHAnsi" w:hAnsiTheme="majorHAnsi" w:cstheme="majorHAnsi"/>
          <w:lang w:val="en-US" w:bidi="sr-Cyrl-CS"/>
        </w:rPr>
        <w:t>MtonCO</w:t>
      </w:r>
      <w:r>
        <w:rPr>
          <w:rFonts w:asciiTheme="majorHAnsi" w:hAnsiTheme="majorHAnsi" w:cstheme="majorHAnsi"/>
          <w:vertAlign w:val="subscript"/>
          <w:lang w:val="en-US" w:bidi="sr-Cyrl-CS"/>
        </w:rPr>
        <w:t>2</w:t>
      </w:r>
      <w:r>
        <w:rPr>
          <w:rFonts w:asciiTheme="majorHAnsi" w:hAnsiTheme="majorHAnsi" w:cstheme="majorHAnsi"/>
          <w:lang w:val="en-US" w:bidi="sr-Cyrl-CS"/>
        </w:rPr>
        <w:t xml:space="preserve"> </w:t>
      </w:r>
      <w:r w:rsidR="00F32CF2">
        <w:rPr>
          <w:rFonts w:asciiTheme="majorHAnsi" w:hAnsiTheme="majorHAnsi" w:cstheme="majorHAnsi"/>
          <w:lang w:val="sr-Cyrl-RS" w:bidi="sr-Cyrl-CS"/>
        </w:rPr>
        <w:t>међутим емисије настављају са растом,</w:t>
      </w:r>
      <w:r>
        <w:rPr>
          <w:rFonts w:asciiTheme="majorHAnsi" w:hAnsiTheme="majorHAnsi" w:cstheme="majorHAnsi"/>
          <w:lang w:val="sr-Cyrl-RS" w:bidi="sr-Cyrl-CS"/>
        </w:rPr>
        <w:t xml:space="preserve"> достижући 5,4 </w:t>
      </w:r>
      <w:r>
        <w:rPr>
          <w:rFonts w:asciiTheme="majorHAnsi" w:hAnsiTheme="majorHAnsi" w:cstheme="majorHAnsi"/>
          <w:lang w:val="en-US" w:bidi="sr-Cyrl-CS"/>
        </w:rPr>
        <w:t>Mton</w:t>
      </w:r>
      <w:r w:rsidRPr="00757F88">
        <w:rPr>
          <w:rFonts w:asciiTheme="majorHAnsi" w:eastAsiaTheme="minorHAnsi" w:hAnsiTheme="majorHAnsi" w:cstheme="majorHAnsi"/>
          <w:lang w:val="en-US" w:eastAsia="en-US" w:bidi="sr-Cyrl-CS"/>
        </w:rPr>
        <w:t xml:space="preserve"> </w:t>
      </w:r>
      <w:r w:rsidRPr="00757F88">
        <w:rPr>
          <w:rFonts w:asciiTheme="majorHAnsi" w:hAnsiTheme="majorHAnsi" w:cstheme="majorHAnsi"/>
          <w:lang w:val="en-US" w:bidi="sr-Cyrl-CS"/>
        </w:rPr>
        <w:t>CO</w:t>
      </w:r>
      <w:r w:rsidRPr="00757F88">
        <w:rPr>
          <w:rFonts w:asciiTheme="majorHAnsi" w:hAnsiTheme="majorHAnsi" w:cstheme="majorHAnsi"/>
          <w:vertAlign w:val="subscript"/>
          <w:lang w:val="en-US" w:bidi="sr-Cyrl-CS"/>
        </w:rPr>
        <w:t>2</w:t>
      </w:r>
      <w:r>
        <w:rPr>
          <w:rFonts w:asciiTheme="majorHAnsi" w:hAnsiTheme="majorHAnsi" w:cstheme="majorHAnsi"/>
          <w:lang w:val="en-US" w:bidi="sr-Cyrl-CS"/>
        </w:rPr>
        <w:t xml:space="preserve">eq </w:t>
      </w:r>
      <w:r>
        <w:rPr>
          <w:rFonts w:asciiTheme="majorHAnsi" w:hAnsiTheme="majorHAnsi" w:cstheme="majorHAnsi"/>
          <w:lang w:val="sr-Cyrl-RS" w:bidi="sr-Cyrl-CS"/>
        </w:rPr>
        <w:t xml:space="preserve">до 2050. године. Пројектовано је смањење емисија из отпада за 14% у 2030. години у односу на 2020. годину на ниво од 2,4 </w:t>
      </w:r>
      <w:r w:rsidRPr="00757F88">
        <w:rPr>
          <w:rFonts w:asciiTheme="majorHAnsi" w:hAnsiTheme="majorHAnsi" w:cstheme="majorHAnsi"/>
          <w:lang w:val="en-US" w:bidi="sr-Cyrl-CS"/>
        </w:rPr>
        <w:t>MtonCO</w:t>
      </w:r>
      <w:r w:rsidRPr="00757F88">
        <w:rPr>
          <w:rFonts w:asciiTheme="majorHAnsi" w:hAnsiTheme="majorHAnsi" w:cstheme="majorHAnsi"/>
          <w:vertAlign w:val="subscript"/>
          <w:lang w:val="en-US" w:bidi="sr-Cyrl-CS"/>
        </w:rPr>
        <w:t>2</w:t>
      </w:r>
      <w:r>
        <w:rPr>
          <w:rFonts w:asciiTheme="majorHAnsi" w:hAnsiTheme="majorHAnsi" w:cstheme="majorHAnsi"/>
          <w:vertAlign w:val="subscript"/>
          <w:lang w:val="sr-Cyrl-RS" w:bidi="sr-Cyrl-CS"/>
        </w:rPr>
        <w:t xml:space="preserve"> </w:t>
      </w:r>
      <w:r>
        <w:rPr>
          <w:rFonts w:asciiTheme="majorHAnsi" w:hAnsiTheme="majorHAnsi" w:cstheme="majorHAnsi"/>
          <w:lang w:val="sr-Cyrl-RS" w:bidi="sr-Cyrl-CS"/>
        </w:rPr>
        <w:t xml:space="preserve">као и додатно смањење на 1,9 </w:t>
      </w:r>
      <w:r w:rsidRPr="00757F88">
        <w:rPr>
          <w:rFonts w:asciiTheme="majorHAnsi" w:hAnsiTheme="majorHAnsi" w:cstheme="majorHAnsi"/>
          <w:lang w:val="en-US" w:bidi="sr-Cyrl-CS"/>
        </w:rPr>
        <w:t>MtonCO</w:t>
      </w:r>
      <w:r w:rsidRPr="00757F88">
        <w:rPr>
          <w:rFonts w:asciiTheme="majorHAnsi" w:hAnsiTheme="majorHAnsi" w:cstheme="majorHAnsi"/>
          <w:vertAlign w:val="subscript"/>
          <w:lang w:val="en-US" w:bidi="sr-Cyrl-CS"/>
        </w:rPr>
        <w:t>2</w:t>
      </w:r>
      <w:r>
        <w:rPr>
          <w:rFonts w:asciiTheme="majorHAnsi" w:hAnsiTheme="majorHAnsi" w:cstheme="majorHAnsi"/>
          <w:lang w:val="sr-Cyrl-RS" w:bidi="sr-Cyrl-CS"/>
        </w:rPr>
        <w:t xml:space="preserve"> до 2050. године.</w:t>
      </w:r>
    </w:p>
    <w:p w14:paraId="4756A4DA" w14:textId="545D4265" w:rsidR="00757F88" w:rsidRDefault="00757F88" w:rsidP="00261225">
      <w:pPr>
        <w:pStyle w:val="LDKbody"/>
        <w:rPr>
          <w:rFonts w:asciiTheme="majorHAnsi" w:hAnsiTheme="majorHAnsi" w:cstheme="majorHAnsi"/>
          <w:lang w:val="sr-Cyrl-RS" w:bidi="sr-Cyrl-CS"/>
        </w:rPr>
      </w:pPr>
      <w:r>
        <w:rPr>
          <w:rFonts w:asciiTheme="majorHAnsi" w:hAnsiTheme="majorHAnsi" w:cstheme="majorHAnsi"/>
          <w:lang w:val="sr-Cyrl-RS" w:bidi="sr-Cyrl-CS"/>
        </w:rPr>
        <w:t xml:space="preserve">Пројектовано је да </w:t>
      </w:r>
      <w:r w:rsidRPr="000A2AFE">
        <w:rPr>
          <w:rFonts w:asciiTheme="majorHAnsi" w:hAnsiTheme="majorHAnsi" w:cstheme="majorHAnsi"/>
          <w:i/>
          <w:iCs/>
          <w:lang w:val="en-US" w:bidi="sr-Cyrl-CS"/>
        </w:rPr>
        <w:t xml:space="preserve">LULUCF </w:t>
      </w:r>
      <w:r>
        <w:rPr>
          <w:rFonts w:asciiTheme="majorHAnsi" w:hAnsiTheme="majorHAnsi" w:cstheme="majorHAnsi"/>
          <w:lang w:val="sr-Cyrl-RS" w:bidi="sr-Cyrl-CS"/>
        </w:rPr>
        <w:t xml:space="preserve">допринесе </w:t>
      </w:r>
      <w:r w:rsidR="00F32CF2">
        <w:rPr>
          <w:rFonts w:asciiTheme="majorHAnsi" w:hAnsiTheme="majorHAnsi" w:cstheme="majorHAnsi"/>
          <w:lang w:val="sr-Cyrl-RS" w:bidi="sr-Cyrl-CS"/>
        </w:rPr>
        <w:t xml:space="preserve">уклањању емисија </w:t>
      </w:r>
      <w:r w:rsidR="00F32CF2" w:rsidRPr="000A2AFE">
        <w:rPr>
          <w:rFonts w:asciiTheme="majorHAnsi" w:hAnsiTheme="majorHAnsi" w:cstheme="majorHAnsi"/>
          <w:i/>
          <w:iCs/>
          <w:lang w:val="en-US" w:bidi="sr-Cyrl-CS"/>
        </w:rPr>
        <w:t>GHG</w:t>
      </w:r>
      <w:r w:rsidR="00F32CF2">
        <w:rPr>
          <w:rFonts w:asciiTheme="majorHAnsi" w:hAnsiTheme="majorHAnsi" w:cstheme="majorHAnsi"/>
          <w:lang w:val="en-US" w:bidi="sr-Cyrl-CS"/>
        </w:rPr>
        <w:t xml:space="preserve"> </w:t>
      </w:r>
      <w:r w:rsidR="00F32CF2">
        <w:rPr>
          <w:rFonts w:asciiTheme="majorHAnsi" w:hAnsiTheme="majorHAnsi" w:cstheme="majorHAnsi"/>
          <w:lang w:val="sr-Cyrl-RS" w:bidi="sr-Cyrl-CS"/>
        </w:rPr>
        <w:t xml:space="preserve">за цео временски хоризонт до 2050. године, међутим </w:t>
      </w:r>
      <w:r w:rsidR="00062DF8">
        <w:rPr>
          <w:rFonts w:asciiTheme="majorHAnsi" w:hAnsiTheme="majorHAnsi" w:cstheme="majorHAnsi"/>
          <w:lang w:val="sr-Cyrl-RS" w:bidi="sr-Cyrl-CS"/>
        </w:rPr>
        <w:t>бележећи пад са нивоа од</w:t>
      </w:r>
      <w:r w:rsidR="00F32CF2">
        <w:rPr>
          <w:rFonts w:asciiTheme="majorHAnsi" w:hAnsiTheme="majorHAnsi" w:cstheme="majorHAnsi"/>
          <w:lang w:val="sr-Cyrl-RS" w:bidi="sr-Cyrl-CS"/>
        </w:rPr>
        <w:t xml:space="preserve"> -6,5 </w:t>
      </w:r>
      <w:r w:rsidR="00F32CF2" w:rsidRPr="00F32CF2">
        <w:rPr>
          <w:rFonts w:asciiTheme="majorHAnsi" w:hAnsiTheme="majorHAnsi" w:cstheme="majorHAnsi"/>
          <w:lang w:val="en-US" w:bidi="sr-Cyrl-CS"/>
        </w:rPr>
        <w:t>Mton CO</w:t>
      </w:r>
      <w:r w:rsidR="00F32CF2" w:rsidRPr="00F32CF2">
        <w:rPr>
          <w:rFonts w:asciiTheme="majorHAnsi" w:hAnsiTheme="majorHAnsi" w:cstheme="majorHAnsi"/>
          <w:vertAlign w:val="subscript"/>
          <w:lang w:val="en-US" w:bidi="sr-Cyrl-CS"/>
        </w:rPr>
        <w:t>2</w:t>
      </w:r>
      <w:r w:rsidR="00F32CF2" w:rsidRPr="00F32CF2">
        <w:rPr>
          <w:rFonts w:asciiTheme="majorHAnsi" w:hAnsiTheme="majorHAnsi" w:cstheme="majorHAnsi"/>
          <w:lang w:val="en-US" w:bidi="sr-Cyrl-CS"/>
        </w:rPr>
        <w:t>eq</w:t>
      </w:r>
      <w:r w:rsidR="00F32CF2">
        <w:rPr>
          <w:rFonts w:asciiTheme="majorHAnsi" w:hAnsiTheme="majorHAnsi" w:cstheme="majorHAnsi"/>
          <w:lang w:val="sr-Cyrl-RS" w:bidi="sr-Cyrl-CS"/>
        </w:rPr>
        <w:t xml:space="preserve"> у 2030. години и -4,4 </w:t>
      </w:r>
      <w:r w:rsidR="00F32CF2" w:rsidRPr="00F32CF2">
        <w:rPr>
          <w:rFonts w:asciiTheme="majorHAnsi" w:hAnsiTheme="majorHAnsi" w:cstheme="majorHAnsi"/>
          <w:lang w:val="en-US" w:bidi="sr-Cyrl-CS"/>
        </w:rPr>
        <w:t>Mton CO</w:t>
      </w:r>
      <w:r w:rsidR="00F32CF2" w:rsidRPr="00F32CF2">
        <w:rPr>
          <w:rFonts w:asciiTheme="majorHAnsi" w:hAnsiTheme="majorHAnsi" w:cstheme="majorHAnsi"/>
          <w:vertAlign w:val="subscript"/>
          <w:lang w:val="en-US" w:bidi="sr-Cyrl-CS"/>
        </w:rPr>
        <w:t>2</w:t>
      </w:r>
      <w:r w:rsidR="00F32CF2" w:rsidRPr="00F32CF2">
        <w:rPr>
          <w:rFonts w:asciiTheme="majorHAnsi" w:hAnsiTheme="majorHAnsi" w:cstheme="majorHAnsi"/>
          <w:lang w:val="en-US" w:bidi="sr-Cyrl-CS"/>
        </w:rPr>
        <w:t>eq</w:t>
      </w:r>
      <w:r w:rsidR="00F32CF2">
        <w:rPr>
          <w:rFonts w:asciiTheme="majorHAnsi" w:hAnsiTheme="majorHAnsi" w:cstheme="majorHAnsi"/>
          <w:lang w:val="sr-Cyrl-RS" w:bidi="sr-Cyrl-CS"/>
        </w:rPr>
        <w:t xml:space="preserve"> у 2050. години.</w:t>
      </w:r>
    </w:p>
    <w:p w14:paraId="2C487FCE" w14:textId="7EB58B8A" w:rsidR="00971237" w:rsidRDefault="00971237" w:rsidP="00565B02">
      <w:pPr>
        <w:pStyle w:val="Caption"/>
        <w:keepNext/>
        <w:jc w:val="both"/>
      </w:pPr>
      <w:bookmarkStart w:id="167" w:name="_Toc153901357"/>
      <w:r>
        <w:lastRenderedPageBreak/>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11</w:t>
      </w:r>
      <w:r w:rsidR="00F35B2C">
        <w:fldChar w:fldCharType="end"/>
      </w:r>
      <w:r>
        <w:t xml:space="preserve">: </w:t>
      </w:r>
      <w:r w:rsidRPr="00971237">
        <w:t>Емисије GHG у периоду 2020-2050 за неенергетске секторе у сценарију са постојећим мерама (WEM)</w:t>
      </w:r>
      <w:bookmarkEnd w:id="167"/>
    </w:p>
    <w:p w14:paraId="04951AFB" w14:textId="48E83084" w:rsidR="00F32CF2" w:rsidRPr="00F32CF2" w:rsidRDefault="00062DF8" w:rsidP="00261225">
      <w:pPr>
        <w:pStyle w:val="LDKbody"/>
        <w:rPr>
          <w:rFonts w:asciiTheme="majorHAnsi" w:hAnsiTheme="majorHAnsi" w:cstheme="majorHAnsi"/>
          <w:lang w:val="sr-Cyrl-RS" w:bidi="sr-Cyrl-CS"/>
        </w:rPr>
      </w:pPr>
      <w:r>
        <w:rPr>
          <w:rFonts w:asciiTheme="majorHAnsi" w:hAnsiTheme="majorHAnsi" w:cstheme="majorHAnsi"/>
          <w:noProof/>
          <w:lang w:val="en-US" w:eastAsia="en-US"/>
        </w:rPr>
        <w:drawing>
          <wp:inline distT="0" distB="0" distL="0" distR="0" wp14:anchorId="037554D6" wp14:editId="2806F79D">
            <wp:extent cx="5821680" cy="2503464"/>
            <wp:effectExtent l="0" t="0" r="0" b="0"/>
            <wp:docPr id="1971228077" name="Picture 1971228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38502" cy="2510698"/>
                    </a:xfrm>
                    <a:prstGeom prst="rect">
                      <a:avLst/>
                    </a:prstGeom>
                    <a:noFill/>
                  </pic:spPr>
                </pic:pic>
              </a:graphicData>
            </a:graphic>
          </wp:inline>
        </w:drawing>
      </w:r>
    </w:p>
    <w:p w14:paraId="0C5C79B5" w14:textId="55B42375" w:rsidR="00261225" w:rsidRPr="00FF386D" w:rsidRDefault="0021254A" w:rsidP="00261225">
      <w:pPr>
        <w:pStyle w:val="LDKbody"/>
        <w:rPr>
          <w:rFonts w:ascii="Calibri Light" w:hAnsi="Calibri Light" w:cs="Calibri Light"/>
          <w:lang w:val="sr-Cyrl-RS"/>
        </w:rPr>
      </w:pPr>
      <w:r w:rsidRPr="00FF386D">
        <w:rPr>
          <w:rFonts w:asciiTheme="majorHAnsi" w:hAnsiTheme="majorHAnsi" w:cstheme="majorHAnsi"/>
          <w:lang w:val="sr-Cyrl-RS" w:bidi="sr-Cyrl-CS"/>
        </w:rPr>
        <w:t>Као што је приказано на</w:t>
      </w:r>
      <w:r w:rsidR="00971237">
        <w:rPr>
          <w:rFonts w:asciiTheme="majorHAnsi" w:hAnsiTheme="majorHAnsi" w:cstheme="majorHAnsi"/>
          <w:lang w:val="sr-Cyrl-RS"/>
        </w:rPr>
        <w:t xml:space="preserve"> </w:t>
      </w:r>
      <w:r w:rsidR="00971237">
        <w:rPr>
          <w:rFonts w:asciiTheme="majorHAnsi" w:hAnsiTheme="majorHAnsi" w:cstheme="majorHAnsi"/>
          <w:lang w:val="sr-Cyrl-RS" w:bidi="sr-Cyrl-CS"/>
        </w:rPr>
        <w:fldChar w:fldCharType="begin"/>
      </w:r>
      <w:r w:rsidR="00971237">
        <w:rPr>
          <w:rFonts w:asciiTheme="majorHAnsi" w:hAnsiTheme="majorHAnsi" w:cstheme="majorHAnsi"/>
          <w:lang w:val="sr-Cyrl-RS" w:bidi="sr-Cyrl-CS"/>
        </w:rPr>
        <w:instrText xml:space="preserve"> REF _Ref153812364 \h  \* MERGEFORMAT </w:instrText>
      </w:r>
      <w:r w:rsidR="00971237">
        <w:rPr>
          <w:rFonts w:asciiTheme="majorHAnsi" w:hAnsiTheme="majorHAnsi" w:cstheme="majorHAnsi"/>
          <w:lang w:val="sr-Cyrl-RS" w:bidi="sr-Cyrl-CS"/>
        </w:rPr>
      </w:r>
      <w:r w:rsidR="00971237">
        <w:rPr>
          <w:rFonts w:asciiTheme="majorHAnsi" w:hAnsiTheme="majorHAnsi" w:cstheme="majorHAnsi"/>
          <w:lang w:val="sr-Cyrl-RS" w:bidi="sr-Cyrl-CS"/>
        </w:rPr>
        <w:fldChar w:fldCharType="separate"/>
      </w:r>
      <w:r w:rsidR="00971237" w:rsidRPr="00565B02">
        <w:rPr>
          <w:rFonts w:asciiTheme="majorHAnsi" w:hAnsiTheme="majorHAnsi" w:cstheme="majorHAnsi"/>
          <w:lang w:val="sr-Cyrl-RS" w:bidi="sr-Cyrl-CS"/>
        </w:rPr>
        <w:t>слици 4.12</w:t>
      </w:r>
      <w:r w:rsidR="00971237">
        <w:rPr>
          <w:rFonts w:asciiTheme="majorHAnsi" w:hAnsiTheme="majorHAnsi" w:cstheme="majorHAnsi"/>
          <w:lang w:val="sr-Cyrl-RS" w:bidi="sr-Cyrl-CS"/>
        </w:rPr>
        <w:fldChar w:fldCharType="end"/>
      </w:r>
      <w:r w:rsidR="006D48D9" w:rsidRPr="00FF386D">
        <w:rPr>
          <w:rFonts w:asciiTheme="majorHAnsi" w:hAnsiTheme="majorHAnsi" w:cstheme="majorHAnsi"/>
          <w:lang w:val="sr-Cyrl-RS"/>
        </w:rPr>
        <w:t xml:space="preserve">, </w:t>
      </w:r>
      <w:r w:rsidR="00261225" w:rsidRPr="00FF386D">
        <w:rPr>
          <w:rFonts w:ascii="Calibri Light" w:hAnsi="Calibri Light" w:cs="Calibri Light"/>
          <w:lang w:val="sr-Cyrl-RS"/>
        </w:rPr>
        <w:t xml:space="preserve">пројектовано је да ће </w:t>
      </w:r>
      <w:r w:rsidR="00261225" w:rsidRPr="00FF386D">
        <w:rPr>
          <w:rFonts w:ascii="Calibri Light" w:hAnsi="Calibri Light" w:cs="Calibri Light"/>
          <w:lang w:val="sr-Cyrl-RS" w:bidi="sr-Cyrl-CS"/>
        </w:rPr>
        <w:t>интензитет емисија CO</w:t>
      </w:r>
      <w:r w:rsidR="00261225" w:rsidRPr="00FF386D">
        <w:rPr>
          <w:rFonts w:ascii="Calibri Light" w:hAnsi="Calibri Light" w:cs="Calibri Light"/>
          <w:vertAlign w:val="subscript"/>
          <w:lang w:val="sr-Cyrl-RS" w:bidi="sr-Cyrl-CS"/>
        </w:rPr>
        <w:t>2</w:t>
      </w:r>
      <w:r w:rsidR="00261225" w:rsidRPr="00FF386D">
        <w:rPr>
          <w:rFonts w:ascii="Calibri Light" w:hAnsi="Calibri Light" w:cs="Calibri Light"/>
          <w:lang w:val="sr-Cyrl-RS" w:bidi="sr-Cyrl-CS"/>
        </w:rPr>
        <w:t>, који представља обим емисија CO</w:t>
      </w:r>
      <w:r w:rsidR="00261225" w:rsidRPr="00FF386D">
        <w:rPr>
          <w:rFonts w:ascii="Calibri Light" w:hAnsi="Calibri Light" w:cs="Calibri Light"/>
          <w:vertAlign w:val="subscript"/>
          <w:lang w:val="sr-Cyrl-RS" w:bidi="sr-Cyrl-CS"/>
        </w:rPr>
        <w:t>2</w:t>
      </w:r>
      <w:r w:rsidR="00261225" w:rsidRPr="00FF386D">
        <w:rPr>
          <w:rFonts w:ascii="Calibri Light" w:hAnsi="Calibri Light" w:cs="Calibri Light"/>
          <w:lang w:val="sr-Cyrl-RS" w:bidi="sr-Cyrl-CS"/>
        </w:rPr>
        <w:t xml:space="preserve"> по јединици БДП-а, значајно опасти до 2050. године, јер ће се смањити за 20% у 2030. години, 34% у 2040. години и 49% у 2050. години у односу на 20</w:t>
      </w:r>
      <w:r w:rsidR="009260AE" w:rsidRPr="00FF386D">
        <w:rPr>
          <w:rFonts w:ascii="Calibri Light" w:hAnsi="Calibri Light" w:cs="Calibri Light"/>
          <w:lang w:val="sr-Cyrl-RS" w:bidi="sr-Cyrl-CS"/>
        </w:rPr>
        <w:t>20</w:t>
      </w:r>
      <w:r w:rsidR="00261225" w:rsidRPr="00FF386D">
        <w:rPr>
          <w:rFonts w:ascii="Calibri Light" w:hAnsi="Calibri Light" w:cs="Calibri Light"/>
          <w:lang w:val="sr-Cyrl-RS" w:bidi="sr-Cyrl-CS"/>
        </w:rPr>
        <w:t>. годину. Интензитет емисија CO</w:t>
      </w:r>
      <w:r w:rsidR="00261225" w:rsidRPr="00FF386D">
        <w:rPr>
          <w:rFonts w:ascii="Calibri Light" w:hAnsi="Calibri Light" w:cs="Calibri Light"/>
          <w:vertAlign w:val="subscript"/>
          <w:lang w:val="sr-Cyrl-RS" w:bidi="sr-Cyrl-CS"/>
        </w:rPr>
        <w:t>2</w:t>
      </w:r>
      <w:r w:rsidR="00261225" w:rsidRPr="00FF386D">
        <w:rPr>
          <w:rFonts w:ascii="Calibri Light" w:hAnsi="Calibri Light" w:cs="Calibri Light"/>
          <w:lang w:val="sr-Cyrl-RS" w:bidi="sr-Cyrl-CS"/>
        </w:rPr>
        <w:t xml:space="preserve"> ће бити побољшан, показујући да ће енергетски систем Републике Србије постепено постати чистији и ефикаснији, релативно споријим темпом, због технолошког напретка и увођења енергетске ефикасности и технологија ОИЕ у све секторе крајње потрошње.</w:t>
      </w:r>
    </w:p>
    <w:p w14:paraId="07A5A10B" w14:textId="61B2A7A5" w:rsidR="00971237" w:rsidRPr="00971237" w:rsidRDefault="00971237" w:rsidP="00565B02">
      <w:bookmarkStart w:id="168" w:name="_Ref153812364"/>
      <w:bookmarkStart w:id="169" w:name="_Toc153901358"/>
      <w:r w:rsidRPr="00971237">
        <w:rPr>
          <w:rFonts w:ascii="Calibri Light" w:hAnsi="Calibri Light" w:cs="Times New Roman"/>
          <w:b/>
          <w:bCs/>
          <w:color w:val="01406B"/>
        </w:rPr>
        <w:t xml:space="preserve">Слика </w:t>
      </w:r>
      <w:r w:rsidR="00F35B2C">
        <w:rPr>
          <w:rFonts w:ascii="Calibri Light" w:hAnsi="Calibri Light" w:cs="Times New Roman"/>
          <w:b/>
          <w:bCs/>
          <w:color w:val="01406B"/>
        </w:rPr>
        <w:fldChar w:fldCharType="begin"/>
      </w:r>
      <w:r w:rsidR="00F35B2C">
        <w:rPr>
          <w:rFonts w:ascii="Calibri Light" w:hAnsi="Calibri Light" w:cs="Times New Roman"/>
          <w:b/>
          <w:bCs/>
          <w:color w:val="01406B"/>
        </w:rPr>
        <w:instrText xml:space="preserve"> STYLEREF 1 \s </w:instrText>
      </w:r>
      <w:r w:rsidR="00F35B2C">
        <w:rPr>
          <w:rFonts w:ascii="Calibri Light" w:hAnsi="Calibri Light" w:cs="Times New Roman"/>
          <w:b/>
          <w:bCs/>
          <w:color w:val="01406B"/>
        </w:rPr>
        <w:fldChar w:fldCharType="separate"/>
      </w:r>
      <w:r w:rsidR="00F35B2C">
        <w:rPr>
          <w:rFonts w:ascii="Calibri Light" w:hAnsi="Calibri Light" w:cs="Times New Roman"/>
          <w:b/>
          <w:bCs/>
          <w:noProof/>
          <w:color w:val="01406B"/>
        </w:rPr>
        <w:t>4</w:t>
      </w:r>
      <w:r w:rsidR="00F35B2C">
        <w:rPr>
          <w:rFonts w:ascii="Calibri Light" w:hAnsi="Calibri Light" w:cs="Times New Roman"/>
          <w:b/>
          <w:bCs/>
          <w:color w:val="01406B"/>
        </w:rPr>
        <w:fldChar w:fldCharType="end"/>
      </w:r>
      <w:r w:rsidR="00F35B2C">
        <w:rPr>
          <w:rFonts w:ascii="Calibri Light" w:hAnsi="Calibri Light" w:cs="Times New Roman"/>
          <w:b/>
          <w:bCs/>
          <w:color w:val="01406B"/>
        </w:rPr>
        <w:t>.</w:t>
      </w:r>
      <w:r w:rsidR="00F35B2C">
        <w:rPr>
          <w:rFonts w:ascii="Calibri Light" w:hAnsi="Calibri Light" w:cs="Times New Roman"/>
          <w:b/>
          <w:bCs/>
          <w:color w:val="01406B"/>
        </w:rPr>
        <w:fldChar w:fldCharType="begin"/>
      </w:r>
      <w:r w:rsidR="00F35B2C">
        <w:rPr>
          <w:rFonts w:ascii="Calibri Light" w:hAnsi="Calibri Light" w:cs="Times New Roman"/>
          <w:b/>
          <w:bCs/>
          <w:color w:val="01406B"/>
        </w:rPr>
        <w:instrText xml:space="preserve"> SEQ Слика \* ARABIC \s 1 </w:instrText>
      </w:r>
      <w:r w:rsidR="00F35B2C">
        <w:rPr>
          <w:rFonts w:ascii="Calibri Light" w:hAnsi="Calibri Light" w:cs="Times New Roman"/>
          <w:b/>
          <w:bCs/>
          <w:color w:val="01406B"/>
        </w:rPr>
        <w:fldChar w:fldCharType="separate"/>
      </w:r>
      <w:r w:rsidR="00F35B2C">
        <w:rPr>
          <w:rFonts w:ascii="Calibri Light" w:hAnsi="Calibri Light" w:cs="Times New Roman"/>
          <w:b/>
          <w:bCs/>
          <w:noProof/>
          <w:color w:val="01406B"/>
        </w:rPr>
        <w:t>12</w:t>
      </w:r>
      <w:r w:rsidR="00F35B2C">
        <w:rPr>
          <w:rFonts w:ascii="Calibri Light" w:hAnsi="Calibri Light" w:cs="Times New Roman"/>
          <w:b/>
          <w:bCs/>
          <w:color w:val="01406B"/>
        </w:rPr>
        <w:fldChar w:fldCharType="end"/>
      </w:r>
      <w:bookmarkEnd w:id="168"/>
      <w:r w:rsidRPr="00971237">
        <w:rPr>
          <w:rFonts w:ascii="Calibri Light" w:hAnsi="Calibri Light" w:cs="Times New Roman"/>
          <w:b/>
          <w:bCs/>
          <w:color w:val="01406B"/>
        </w:rPr>
        <w:t>: Интензитет емисије CO2 по јединици БДП-а (kg CO2 из извора енергије / € БДП) у периоду 2020-2050. године у сценарију са постојећим мерама (WEM)</w:t>
      </w:r>
      <w:bookmarkEnd w:id="169"/>
    </w:p>
    <w:p w14:paraId="271600F6" w14:textId="3C075BFA" w:rsidR="0068673B" w:rsidRPr="00FF386D" w:rsidRDefault="00971237" w:rsidP="00BD72D6">
      <w:pPr>
        <w:jc w:val="center"/>
        <w:rPr>
          <w:lang w:eastAsia="el-GR" w:bidi="sr-Cyrl-CS"/>
        </w:rPr>
      </w:pPr>
      <w:r>
        <w:rPr>
          <w:noProof/>
          <w:lang w:val="en-US"/>
        </w:rPr>
        <mc:AlternateContent>
          <mc:Choice Requires="wps">
            <w:drawing>
              <wp:anchor distT="0" distB="0" distL="114300" distR="114300" simplePos="0" relativeHeight="251677696" behindDoc="0" locked="0" layoutInCell="1" allowOverlap="1" wp14:anchorId="548D63EF" wp14:editId="0F1E94B5">
                <wp:simplePos x="0" y="0"/>
                <wp:positionH relativeFrom="column">
                  <wp:posOffset>1284605</wp:posOffset>
                </wp:positionH>
                <wp:positionV relativeFrom="paragraph">
                  <wp:posOffset>256903</wp:posOffset>
                </wp:positionV>
                <wp:extent cx="2491105" cy="2057400"/>
                <wp:effectExtent l="0" t="0" r="0" b="0"/>
                <wp:wrapNone/>
                <wp:docPr id="1475167581" name="Text Box 1475167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91105" cy="2057400"/>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53A92455" id="Text Box 1475167581" o:spid="_x0000_s1026" type="#_x0000_t202" style="position:absolute;margin-left:101.15pt;margin-top:20.25pt;width:196.15pt;height:16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" fillcolor="#a6a6a6" stroked="f">
                <v:fill opacity="32896f"/>
              </v:shape>
            </w:pict>
          </mc:Fallback>
        </mc:AlternateContent>
      </w:r>
      <w:r w:rsidR="0068673B" w:rsidRPr="004F53D7">
        <w:rPr>
          <w:noProof/>
          <w:lang w:val="en-US"/>
        </w:rPr>
        <w:drawing>
          <wp:inline distT="0" distB="0" distL="0" distR="0" wp14:anchorId="485E22EA" wp14:editId="153ADCD6">
            <wp:extent cx="5375684" cy="2825115"/>
            <wp:effectExtent l="0" t="0" r="0" b="0"/>
            <wp:docPr id="192952757" name="Picture 19295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96046" cy="2835816"/>
                    </a:xfrm>
                    <a:prstGeom prst="rect">
                      <a:avLst/>
                    </a:prstGeom>
                    <a:noFill/>
                  </pic:spPr>
                </pic:pic>
              </a:graphicData>
            </a:graphic>
          </wp:inline>
        </w:drawing>
      </w:r>
    </w:p>
    <w:p w14:paraId="626C60C0" w14:textId="75E8B293" w:rsidR="00386771" w:rsidRPr="00565B02" w:rsidRDefault="00C2753C" w:rsidP="00F83802">
      <w:pPr>
        <w:pStyle w:val="Heading3"/>
        <w:rPr>
          <w:lang w:val="sr-Cyrl-RS"/>
        </w:rPr>
      </w:pPr>
      <w:r w:rsidRPr="00565B02">
        <w:rPr>
          <w:lang w:val="sr-Cyrl-RS"/>
        </w:rPr>
        <w:t>Обновљива енергије</w:t>
      </w:r>
    </w:p>
    <w:p w14:paraId="328BDA3F" w14:textId="04C9206A" w:rsidR="00C2753C" w:rsidRPr="00565B02" w:rsidRDefault="00C2753C">
      <w:pPr>
        <w:pStyle w:val="Heading4"/>
        <w:numPr>
          <w:ilvl w:val="0"/>
          <w:numId w:val="250"/>
        </w:numPr>
        <w:rPr>
          <w:lang w:val="sr-Cyrl-RS"/>
        </w:rPr>
      </w:pPr>
      <w:r w:rsidRPr="00565B02">
        <w:rPr>
          <w:lang w:val="sr-Cyrl-RS" w:bidi="sr-Cyrl-CS"/>
        </w:rPr>
        <w:t xml:space="preserve">Тренутни удео обновљиве енергије у бруто финалној потрошњи енергије и у различитим секторима (грејање и хлађење, електрична енергија и </w:t>
      </w:r>
      <w:r w:rsidR="00810379" w:rsidRPr="00565B02">
        <w:rPr>
          <w:lang w:val="sr-Cyrl-RS" w:bidi="sr-Cyrl-CS"/>
        </w:rPr>
        <w:t>саобраћај</w:t>
      </w:r>
      <w:r w:rsidRPr="00565B02">
        <w:rPr>
          <w:lang w:val="sr-Cyrl-RS" w:bidi="sr-Cyrl-CS"/>
        </w:rPr>
        <w:t>), као и по технологији у сваком од ових сектора</w:t>
      </w:r>
    </w:p>
    <w:p w14:paraId="6F103F5A" w14:textId="60679A83" w:rsidR="00261225" w:rsidRPr="00FF386D" w:rsidRDefault="00C2753C" w:rsidP="00261225">
      <w:pPr>
        <w:pStyle w:val="LDKbody"/>
        <w:rPr>
          <w:rFonts w:ascii="Calibri Light" w:hAnsi="Calibri Light" w:cs="Calibri Light"/>
          <w:lang w:val="sr-Cyrl-RS"/>
        </w:rPr>
      </w:pPr>
      <w:r w:rsidRPr="00FF386D">
        <w:rPr>
          <w:rFonts w:asciiTheme="majorHAnsi" w:hAnsiTheme="majorHAnsi" w:cstheme="majorHAnsi"/>
          <w:lang w:val="sr-Cyrl-RS" w:bidi="sr-Cyrl-CS"/>
        </w:rPr>
        <w:t>Као што је приказано на</w:t>
      </w:r>
      <w:r w:rsidR="00971237">
        <w:rPr>
          <w:rFonts w:asciiTheme="majorHAnsi" w:hAnsiTheme="majorHAnsi" w:cstheme="majorHAnsi"/>
          <w:lang w:val="sr-Cyrl-RS" w:bidi="sr-Cyrl-CS"/>
        </w:rPr>
        <w:t xml:space="preserve"> </w:t>
      </w:r>
      <w:r w:rsidR="00971237">
        <w:rPr>
          <w:rFonts w:asciiTheme="majorHAnsi" w:hAnsiTheme="majorHAnsi" w:cstheme="majorHAnsi"/>
          <w:lang w:val="sr-Cyrl-RS" w:bidi="sr-Cyrl-CS"/>
        </w:rPr>
        <w:fldChar w:fldCharType="begin"/>
      </w:r>
      <w:r w:rsidR="00971237">
        <w:rPr>
          <w:rFonts w:asciiTheme="majorHAnsi" w:hAnsiTheme="majorHAnsi" w:cstheme="majorHAnsi"/>
          <w:lang w:val="sr-Cyrl-RS" w:bidi="sr-Cyrl-CS"/>
        </w:rPr>
        <w:instrText xml:space="preserve"> REF _Ref153812443 \h  \* MERGEFORMAT </w:instrText>
      </w:r>
      <w:r w:rsidR="00971237">
        <w:rPr>
          <w:rFonts w:asciiTheme="majorHAnsi" w:hAnsiTheme="majorHAnsi" w:cstheme="majorHAnsi"/>
          <w:lang w:val="sr-Cyrl-RS" w:bidi="sr-Cyrl-CS"/>
        </w:rPr>
      </w:r>
      <w:r w:rsidR="00971237">
        <w:rPr>
          <w:rFonts w:asciiTheme="majorHAnsi" w:hAnsiTheme="majorHAnsi" w:cstheme="majorHAnsi"/>
          <w:lang w:val="sr-Cyrl-RS" w:bidi="sr-Cyrl-CS"/>
        </w:rPr>
        <w:fldChar w:fldCharType="separate"/>
      </w:r>
      <w:r w:rsidR="00971237" w:rsidRPr="00565B02">
        <w:rPr>
          <w:rFonts w:asciiTheme="majorHAnsi" w:hAnsiTheme="majorHAnsi" w:cstheme="majorHAnsi"/>
          <w:lang w:val="sr-Cyrl-RS" w:bidi="sr-Cyrl-CS"/>
        </w:rPr>
        <w:t>слици 4.13</w:t>
      </w:r>
      <w:r w:rsidR="00971237">
        <w:rPr>
          <w:rFonts w:asciiTheme="majorHAnsi" w:hAnsiTheme="majorHAnsi" w:cstheme="majorHAnsi"/>
          <w:lang w:val="sr-Cyrl-RS" w:bidi="sr-Cyrl-CS"/>
        </w:rPr>
        <w:fldChar w:fldCharType="end"/>
      </w:r>
      <w:r w:rsidR="006D48D9" w:rsidRPr="00FF386D">
        <w:rPr>
          <w:rFonts w:asciiTheme="majorHAnsi" w:hAnsiTheme="majorHAnsi" w:cstheme="majorHAnsi"/>
          <w:lang w:val="sr-Cyrl-RS" w:bidi="sr-Cyrl-CS"/>
        </w:rPr>
        <w:t>,</w:t>
      </w:r>
      <w:r w:rsidR="006D48D9" w:rsidRPr="00FF386D">
        <w:rPr>
          <w:rFonts w:asciiTheme="majorHAnsi" w:hAnsiTheme="majorHAnsi" w:cstheme="majorHAnsi"/>
          <w:lang w:val="sr-Cyrl-RS"/>
        </w:rPr>
        <w:t xml:space="preserve"> </w:t>
      </w:r>
      <w:r w:rsidR="00261225" w:rsidRPr="00FF386D">
        <w:rPr>
          <w:rFonts w:ascii="Calibri Light" w:hAnsi="Calibri Light" w:cs="Calibri Light"/>
          <w:lang w:val="sr-Cyrl-RS" w:bidi="sr-Cyrl-CS"/>
        </w:rPr>
        <w:t xml:space="preserve">бруто производња електричне енергије је остала скоро стабилна у 2020. години, у поређењу са 2010. годином, на нивоу од око 3,3 Mtoe, упркос неколико флуктуација у том периоду. Чврста фосилна горива и ОИЕ (углавном хидроенергија) су главни извори који значајно </w:t>
      </w:r>
      <w:r w:rsidR="00261225" w:rsidRPr="00FF386D">
        <w:rPr>
          <w:rFonts w:ascii="Calibri Light" w:hAnsi="Calibri Light" w:cs="Calibri Light"/>
          <w:lang w:val="sr-Cyrl-RS" w:bidi="sr-Cyrl-CS"/>
        </w:rPr>
        <w:lastRenderedPageBreak/>
        <w:t>доприносе бруто производњи електричне енергије током последње деценије, са 65,7%, односно 33% у 2010. години и са 70%, односно 29% у 2020. години.</w:t>
      </w:r>
    </w:p>
    <w:p w14:paraId="38E8EEB6" w14:textId="64255724" w:rsidR="00971237" w:rsidRDefault="00971237" w:rsidP="00565B02">
      <w:pPr>
        <w:pStyle w:val="Caption"/>
        <w:keepNext/>
      </w:pPr>
      <w:bookmarkStart w:id="170" w:name="_Ref153812443"/>
      <w:bookmarkStart w:id="171" w:name="_Toc153901359"/>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13</w:t>
      </w:r>
      <w:r w:rsidR="00F35B2C">
        <w:fldChar w:fldCharType="end"/>
      </w:r>
      <w:bookmarkEnd w:id="170"/>
      <w:r>
        <w:t xml:space="preserve">: </w:t>
      </w:r>
      <w:r w:rsidRPr="00971237">
        <w:t>Бруто производња електричне енергије у периоду 2010-2020. године (Извор: Евростат, 2023. година)</w:t>
      </w:r>
      <w:bookmarkEnd w:id="171"/>
    </w:p>
    <w:p w14:paraId="0D9E1ABB" w14:textId="0231CF9D" w:rsidR="005916D7" w:rsidRPr="00FF386D" w:rsidRDefault="005916D7" w:rsidP="00BD72D6">
      <w:pPr>
        <w:jc w:val="center"/>
        <w:rPr>
          <w:lang w:eastAsia="el-GR" w:bidi="sr-Cyrl-CS"/>
        </w:rPr>
      </w:pPr>
      <w:r w:rsidRPr="004F53D7">
        <w:rPr>
          <w:noProof/>
          <w:lang w:val="en-US"/>
        </w:rPr>
        <w:drawing>
          <wp:inline distT="0" distB="0" distL="0" distR="0" wp14:anchorId="443768B3" wp14:editId="7165F9A5">
            <wp:extent cx="5711190" cy="3787032"/>
            <wp:effectExtent l="0" t="0" r="0" b="0"/>
            <wp:docPr id="1039989632" name="Picture 1039989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9747" cy="3792706"/>
                    </a:xfrm>
                    <a:prstGeom prst="rect">
                      <a:avLst/>
                    </a:prstGeom>
                    <a:noFill/>
                  </pic:spPr>
                </pic:pic>
              </a:graphicData>
            </a:graphic>
          </wp:inline>
        </w:drawing>
      </w:r>
    </w:p>
    <w:p w14:paraId="42545BCC" w14:textId="7F6907C2" w:rsidR="00261225" w:rsidRPr="00FF386D" w:rsidRDefault="00261225" w:rsidP="00261225">
      <w:pPr>
        <w:pStyle w:val="LDKbody"/>
        <w:rPr>
          <w:rFonts w:ascii="Calibri Light" w:hAnsi="Calibri Light" w:cs="Calibri Light"/>
          <w:lang w:val="sr-Cyrl-RS"/>
        </w:rPr>
      </w:pPr>
      <w:r w:rsidRPr="00FF386D">
        <w:rPr>
          <w:rFonts w:ascii="Calibri Light" w:eastAsia="Calibri" w:hAnsi="Calibri Light" w:cs="Calibri Light"/>
          <w:lang w:val="sr-Cyrl-RS" w:eastAsia="en-US" w:bidi="sr-Cyrl-CS"/>
        </w:rPr>
        <w:t>Поред тога, бруто производња топлотне енергије је опала за 4,8% између 2010. и 2020. године; са 905,0 ktoe у 2010. години на 861,1 ktoe у 2020. години, као што је приказано на</w:t>
      </w:r>
      <w:r w:rsidR="00971237">
        <w:rPr>
          <w:rFonts w:ascii="Calibri Light" w:eastAsia="Calibri" w:hAnsi="Calibri Light" w:cs="Calibri Light"/>
          <w:lang w:val="sr-Cyrl-RS" w:eastAsia="en-US" w:bidi="sr-Cyrl-CS"/>
        </w:rPr>
        <w:t xml:space="preserve"> </w:t>
      </w:r>
      <w:r w:rsidR="00971237">
        <w:rPr>
          <w:rFonts w:ascii="Calibri Light" w:eastAsia="Calibri" w:hAnsi="Calibri Light" w:cs="Calibri Light"/>
          <w:lang w:val="sr-Cyrl-RS" w:eastAsia="en-US" w:bidi="sr-Cyrl-CS"/>
        </w:rPr>
        <w:fldChar w:fldCharType="begin"/>
      </w:r>
      <w:r w:rsidR="00971237">
        <w:rPr>
          <w:rFonts w:ascii="Calibri Light" w:eastAsia="Calibri" w:hAnsi="Calibri Light" w:cs="Calibri Light"/>
          <w:lang w:val="sr-Cyrl-RS" w:eastAsia="en-US" w:bidi="sr-Cyrl-CS"/>
        </w:rPr>
        <w:instrText xml:space="preserve"> REF _Ref153812524 \h  \* MERGEFORMAT </w:instrText>
      </w:r>
      <w:r w:rsidR="00971237">
        <w:rPr>
          <w:rFonts w:ascii="Calibri Light" w:eastAsia="Calibri" w:hAnsi="Calibri Light" w:cs="Calibri Light"/>
          <w:lang w:val="sr-Cyrl-RS" w:eastAsia="en-US" w:bidi="sr-Cyrl-CS"/>
        </w:rPr>
      </w:r>
      <w:r w:rsidR="00971237">
        <w:rPr>
          <w:rFonts w:ascii="Calibri Light" w:eastAsia="Calibri" w:hAnsi="Calibri Light" w:cs="Calibri Light"/>
          <w:lang w:val="sr-Cyrl-RS" w:eastAsia="en-US" w:bidi="sr-Cyrl-CS"/>
        </w:rPr>
        <w:fldChar w:fldCharType="separate"/>
      </w:r>
      <w:r w:rsidR="00971237" w:rsidRPr="00565B02">
        <w:rPr>
          <w:rFonts w:ascii="Calibri Light" w:eastAsia="Calibri" w:hAnsi="Calibri Light" w:cs="Calibri Light"/>
          <w:lang w:val="sr-Cyrl-RS" w:eastAsia="en-US" w:bidi="sr-Cyrl-CS"/>
        </w:rPr>
        <w:t>слици 4.14</w:t>
      </w:r>
      <w:r w:rsidR="00971237">
        <w:rPr>
          <w:rFonts w:ascii="Calibri Light" w:eastAsia="Calibri" w:hAnsi="Calibri Light" w:cs="Calibri Light"/>
          <w:lang w:val="sr-Cyrl-RS" w:eastAsia="en-US" w:bidi="sr-Cyrl-CS"/>
        </w:rPr>
        <w:fldChar w:fldCharType="end"/>
      </w:r>
      <w:r w:rsidR="00971237">
        <w:rPr>
          <w:rFonts w:ascii="Calibri Light" w:eastAsia="Calibri" w:hAnsi="Calibri Light" w:cs="Calibri Light"/>
          <w:lang w:val="sr-Cyrl-RS" w:eastAsia="en-US" w:bidi="sr-Cyrl-CS"/>
        </w:rPr>
        <w:t>.</w:t>
      </w:r>
      <w:r w:rsidR="00971237">
        <w:rPr>
          <w:rFonts w:ascii="Calibri Light" w:eastAsia="Calibri" w:hAnsi="Calibri Light" w:cs="Calibri Light"/>
          <w:lang w:val="sr-Cyrl-RS" w:eastAsia="en-US"/>
        </w:rPr>
        <w:t xml:space="preserve"> </w:t>
      </w:r>
      <w:r w:rsidRPr="00FF386D">
        <w:rPr>
          <w:rFonts w:ascii="Calibri Light" w:hAnsi="Calibri Light" w:cs="Calibri Light"/>
          <w:lang w:val="sr-Cyrl-RS" w:bidi="sr-Cyrl-CS"/>
        </w:rPr>
        <w:t>Природни гас и чврста фосилна горива су дали значајан допринос бруто производњи топлотне енергије у последњој деценији, са 48,8%, односно 16,8% у 2010. години и са 66,09%, односно 17,01% у 2020. години.</w:t>
      </w:r>
    </w:p>
    <w:p w14:paraId="7D2B8001" w14:textId="1A62D27C" w:rsidR="00971237" w:rsidRDefault="00971237" w:rsidP="00565B02">
      <w:pPr>
        <w:pStyle w:val="Caption"/>
        <w:keepNext/>
      </w:pPr>
      <w:bookmarkStart w:id="172" w:name="_Ref153812524"/>
      <w:bookmarkStart w:id="173" w:name="_Toc153901360"/>
      <w:r>
        <w:lastRenderedPageBreak/>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14</w:t>
      </w:r>
      <w:r w:rsidR="00F35B2C">
        <w:fldChar w:fldCharType="end"/>
      </w:r>
      <w:bookmarkEnd w:id="172"/>
      <w:r w:rsidRPr="00971237">
        <w:t>: Бруто производња топлотне енергије у периоду 2010-2020. године (Извор: Евростат, 2023. година)</w:t>
      </w:r>
      <w:bookmarkEnd w:id="173"/>
    </w:p>
    <w:p w14:paraId="4E76A14B" w14:textId="2727EA59" w:rsidR="000341E4" w:rsidRPr="00FF386D" w:rsidRDefault="000341E4" w:rsidP="006D48D9">
      <w:pPr>
        <w:keepNext/>
        <w:jc w:val="center"/>
      </w:pPr>
      <w:r w:rsidRPr="004F53D7">
        <w:rPr>
          <w:noProof/>
          <w:lang w:val="en-US"/>
        </w:rPr>
        <w:drawing>
          <wp:inline distT="0" distB="0" distL="0" distR="0" wp14:anchorId="41561C24" wp14:editId="4AA11DE6">
            <wp:extent cx="6120130" cy="3105150"/>
            <wp:effectExtent l="0" t="0" r="0" b="0"/>
            <wp:docPr id="105185269" name="Chart 105185269">
              <a:extLst xmlns:a="http://schemas.openxmlformats.org/drawingml/2006/main">
                <a:ext uri="{FF2B5EF4-FFF2-40B4-BE49-F238E27FC236}">
                  <a16:creationId xmlns:a16="http://schemas.microsoft.com/office/drawing/2014/main" id="{00000000-0008-0000-0900-00004068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C8EC194" w14:textId="7EEEB777" w:rsidR="00261225" w:rsidRPr="00FF386D" w:rsidRDefault="00E877DE" w:rsidP="00261225">
      <w:pPr>
        <w:pStyle w:val="LDKbody"/>
        <w:rPr>
          <w:rFonts w:ascii="Calibri Light" w:hAnsi="Calibri Light" w:cs="Calibri Light"/>
          <w:lang w:val="sr-Cyrl-RS"/>
        </w:rPr>
      </w:pPr>
      <w:r w:rsidRPr="00FF386D">
        <w:rPr>
          <w:rFonts w:asciiTheme="majorHAnsi" w:hAnsiTheme="majorHAnsi" w:cstheme="majorHAnsi"/>
          <w:lang w:val="sr-Cyrl-RS" w:bidi="sr-Cyrl-CS"/>
        </w:rPr>
        <w:t>Као што је приказано на</w:t>
      </w:r>
      <w:r w:rsidR="00971237">
        <w:rPr>
          <w:rFonts w:asciiTheme="majorHAnsi" w:hAnsiTheme="majorHAnsi" w:cstheme="majorHAnsi"/>
          <w:lang w:val="sr-Cyrl-RS" w:bidi="sr-Cyrl-CS"/>
        </w:rPr>
        <w:t xml:space="preserve"> </w:t>
      </w:r>
      <w:r w:rsidR="00971237">
        <w:rPr>
          <w:rFonts w:asciiTheme="majorHAnsi" w:hAnsiTheme="majorHAnsi" w:cstheme="majorHAnsi"/>
          <w:lang w:val="sr-Cyrl-RS" w:bidi="sr-Cyrl-CS"/>
        </w:rPr>
        <w:fldChar w:fldCharType="begin"/>
      </w:r>
      <w:r w:rsidR="00971237">
        <w:rPr>
          <w:rFonts w:asciiTheme="majorHAnsi" w:hAnsiTheme="majorHAnsi" w:cstheme="majorHAnsi"/>
          <w:lang w:val="sr-Cyrl-RS" w:bidi="sr-Cyrl-CS"/>
        </w:rPr>
        <w:instrText xml:space="preserve"> REF _Ref153812602 \h  \* MERGEFORMAT </w:instrText>
      </w:r>
      <w:r w:rsidR="00971237">
        <w:rPr>
          <w:rFonts w:asciiTheme="majorHAnsi" w:hAnsiTheme="majorHAnsi" w:cstheme="majorHAnsi"/>
          <w:lang w:val="sr-Cyrl-RS" w:bidi="sr-Cyrl-CS"/>
        </w:rPr>
      </w:r>
      <w:r w:rsidR="00971237">
        <w:rPr>
          <w:rFonts w:asciiTheme="majorHAnsi" w:hAnsiTheme="majorHAnsi" w:cstheme="majorHAnsi"/>
          <w:lang w:val="sr-Cyrl-RS" w:bidi="sr-Cyrl-CS"/>
        </w:rPr>
        <w:fldChar w:fldCharType="separate"/>
      </w:r>
      <w:r w:rsidR="00971237" w:rsidRPr="00565B02">
        <w:rPr>
          <w:rFonts w:asciiTheme="majorHAnsi" w:hAnsiTheme="majorHAnsi" w:cstheme="majorHAnsi"/>
          <w:lang w:val="sr-Cyrl-RS" w:bidi="sr-Cyrl-CS"/>
        </w:rPr>
        <w:t>слици 4.15</w:t>
      </w:r>
      <w:r w:rsidR="00971237">
        <w:rPr>
          <w:rFonts w:asciiTheme="majorHAnsi" w:hAnsiTheme="majorHAnsi" w:cstheme="majorHAnsi"/>
          <w:lang w:val="sr-Cyrl-RS" w:bidi="sr-Cyrl-CS"/>
        </w:rPr>
        <w:fldChar w:fldCharType="end"/>
      </w:r>
      <w:r w:rsidR="006D48D9" w:rsidRPr="00FF386D">
        <w:rPr>
          <w:rFonts w:asciiTheme="majorHAnsi" w:hAnsiTheme="majorHAnsi" w:cstheme="majorHAnsi"/>
          <w:lang w:val="sr-Cyrl-RS" w:bidi="sr-Cyrl-CS"/>
        </w:rPr>
        <w:t xml:space="preserve">, </w:t>
      </w:r>
      <w:bookmarkStart w:id="174" w:name="_Ref113633839"/>
      <w:r w:rsidR="00261225" w:rsidRPr="00565B02">
        <w:rPr>
          <w:rFonts w:asciiTheme="majorHAnsi" w:hAnsiTheme="majorHAnsi" w:cstheme="majorHAnsi"/>
          <w:lang w:val="sr-Cyrl-RS" w:bidi="sr-Cyrl-CS"/>
        </w:rPr>
        <w:t>удео</w:t>
      </w:r>
      <w:r w:rsidR="00261225" w:rsidRPr="00FF386D">
        <w:rPr>
          <w:rFonts w:ascii="Calibri Light" w:hAnsi="Calibri Light" w:cs="Calibri Light"/>
          <w:lang w:val="sr-Cyrl-RS" w:bidi="sr-Cyrl-CS"/>
        </w:rPr>
        <w:t xml:space="preserve"> ОИЕ у бруто потрошњи електричне енергије је повећан током 2010-2020. године са 28% у 2010. години на 31% у 2020. години, док је удео енергије из ОИЕ као проценат бруто финалне потрошње енергије такође повећан, са 19,8 % у 2010. години на 26,3% у 2020. години.</w:t>
      </w:r>
    </w:p>
    <w:p w14:paraId="47C6D0D1" w14:textId="0FF6AB0E" w:rsidR="00971237" w:rsidRDefault="00971237" w:rsidP="00565B02">
      <w:pPr>
        <w:pStyle w:val="Caption"/>
        <w:keepNext/>
        <w:jc w:val="center"/>
      </w:pPr>
      <w:bookmarkStart w:id="175" w:name="_Ref153812602"/>
      <w:bookmarkStart w:id="176" w:name="_Toc153901361"/>
      <w:bookmarkEnd w:id="174"/>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15</w:t>
      </w:r>
      <w:r w:rsidR="00F35B2C">
        <w:fldChar w:fldCharType="end"/>
      </w:r>
      <w:bookmarkEnd w:id="175"/>
      <w:r w:rsidRPr="00971237">
        <w:t>: Удео енергије из ОИЕ у периоду 2010-2020. године (Извор: Евростат, 2023. година)</w:t>
      </w:r>
      <w:bookmarkEnd w:id="176"/>
    </w:p>
    <w:p w14:paraId="66657C26" w14:textId="12CA0914" w:rsidR="000867EC" w:rsidRPr="00FF386D" w:rsidRDefault="000867EC" w:rsidP="006D48D9">
      <w:pPr>
        <w:keepNext/>
        <w:jc w:val="center"/>
      </w:pPr>
      <w:r w:rsidRPr="004F53D7">
        <w:rPr>
          <w:noProof/>
          <w:lang w:val="en-US"/>
        </w:rPr>
        <w:drawing>
          <wp:inline distT="0" distB="0" distL="0" distR="0" wp14:anchorId="28FEBB93" wp14:editId="293FE1E6">
            <wp:extent cx="4596765" cy="2743200"/>
            <wp:effectExtent l="0" t="0" r="0" b="0"/>
            <wp:docPr id="462288161" name="Picture 462288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96765" cy="2743200"/>
                    </a:xfrm>
                    <a:prstGeom prst="rect">
                      <a:avLst/>
                    </a:prstGeom>
                    <a:noFill/>
                  </pic:spPr>
                </pic:pic>
              </a:graphicData>
            </a:graphic>
          </wp:inline>
        </w:drawing>
      </w:r>
    </w:p>
    <w:p w14:paraId="57041459" w14:textId="6C5C975C" w:rsidR="00E877DE" w:rsidRPr="00565B02" w:rsidRDefault="00E877DE" w:rsidP="000A2AFE">
      <w:pPr>
        <w:pStyle w:val="Heading4"/>
        <w:numPr>
          <w:ilvl w:val="0"/>
          <w:numId w:val="250"/>
        </w:numPr>
        <w:rPr>
          <w:lang w:val="sr-Cyrl-RS"/>
        </w:rPr>
      </w:pPr>
      <w:r w:rsidRPr="00565B02">
        <w:rPr>
          <w:lang w:val="sr-Cyrl-RS" w:bidi="sr-Cyrl-CS"/>
        </w:rPr>
        <w:t>Пројекције развоја са постојећим политикама и мерама најмање до 2040. године (укључујући и оне за 2030. годину)</w:t>
      </w:r>
    </w:p>
    <w:p w14:paraId="3488AC87" w14:textId="255F48BA" w:rsidR="006D48D9" w:rsidRPr="00565B02" w:rsidRDefault="00DD1DAE" w:rsidP="006D48D9">
      <w:pPr>
        <w:pStyle w:val="LDKbody"/>
        <w:rPr>
          <w:rFonts w:ascii="Calibri Light" w:eastAsia="Calibri" w:hAnsi="Calibri Light" w:cs="Calibri Light"/>
          <w:lang w:val="sr-Cyrl-RS" w:eastAsia="en-US"/>
        </w:rPr>
      </w:pPr>
      <w:r w:rsidRPr="00FF386D">
        <w:rPr>
          <w:rFonts w:ascii="Calibri Light" w:eastAsia="Calibri" w:hAnsi="Calibri Light" w:cs="Calibri Light"/>
          <w:lang w:val="sr-Cyrl-RS" w:eastAsia="en-US"/>
        </w:rPr>
        <w:t>Очекује се да ће удео ОИЕ у бруто финалној потрошњи енергије (према Директиви 2009/28/ЕЗ о подстицању коришћења енергије из обновљивих извора енергије) остати релативно константан између 2020. и 2050. године, у распону од 26% у 202</w:t>
      </w:r>
      <w:r w:rsidR="00BE2ACF" w:rsidRPr="00FF386D">
        <w:rPr>
          <w:rFonts w:ascii="Calibri Light" w:eastAsia="Calibri" w:hAnsi="Calibri Light" w:cs="Calibri Light"/>
          <w:lang w:val="sr-Cyrl-RS" w:eastAsia="en-US"/>
        </w:rPr>
        <w:t>0</w:t>
      </w:r>
      <w:r w:rsidRPr="00FF386D">
        <w:rPr>
          <w:rFonts w:ascii="Calibri Light" w:eastAsia="Calibri" w:hAnsi="Calibri Light" w:cs="Calibri Light"/>
          <w:lang w:val="sr-Cyrl-RS" w:eastAsia="en-US"/>
        </w:rPr>
        <w:t>. години до 27% у 2050. години, док се привремено смањење очекује између 2030. и 2045. године (од 27% у 2030. години до 24% у 2045. години), како је представљено на</w:t>
      </w:r>
      <w:r w:rsidR="004737A9">
        <w:rPr>
          <w:rFonts w:ascii="Calibri Light" w:eastAsia="Calibri" w:hAnsi="Calibri Light" w:cs="Calibri Light"/>
          <w:lang w:val="sr-Cyrl-RS" w:eastAsia="en-US"/>
        </w:rPr>
        <w:t xml:space="preserve"> </w:t>
      </w:r>
      <w:r w:rsidR="004737A9">
        <w:rPr>
          <w:rFonts w:ascii="Calibri Light" w:eastAsia="Calibri" w:hAnsi="Calibri Light" w:cs="Calibri Light"/>
          <w:lang w:val="sr-Cyrl-RS" w:eastAsia="en-US"/>
        </w:rPr>
        <w:fldChar w:fldCharType="begin"/>
      </w:r>
      <w:r w:rsidR="004737A9">
        <w:rPr>
          <w:rFonts w:ascii="Calibri Light" w:eastAsia="Calibri" w:hAnsi="Calibri Light" w:cs="Calibri Light"/>
          <w:lang w:val="sr-Cyrl-RS" w:eastAsia="en-US"/>
        </w:rPr>
        <w:instrText xml:space="preserve"> REF _Ref153812691 \h </w:instrText>
      </w:r>
      <w:r w:rsidR="00EA327C">
        <w:rPr>
          <w:rFonts w:ascii="Calibri Light" w:eastAsia="Calibri" w:hAnsi="Calibri Light" w:cs="Calibri Light"/>
          <w:lang w:val="sr-Cyrl-RS" w:eastAsia="en-US"/>
        </w:rPr>
        <w:instrText xml:space="preserve"> \* MERGEFORMAT </w:instrText>
      </w:r>
      <w:r w:rsidR="004737A9">
        <w:rPr>
          <w:rFonts w:ascii="Calibri Light" w:eastAsia="Calibri" w:hAnsi="Calibri Light" w:cs="Calibri Light"/>
          <w:lang w:val="sr-Cyrl-RS" w:eastAsia="en-US"/>
        </w:rPr>
      </w:r>
      <w:r w:rsidR="004737A9">
        <w:rPr>
          <w:rFonts w:ascii="Calibri Light" w:eastAsia="Calibri" w:hAnsi="Calibri Light" w:cs="Calibri Light"/>
          <w:lang w:val="sr-Cyrl-RS" w:eastAsia="en-US"/>
        </w:rPr>
        <w:fldChar w:fldCharType="separate"/>
      </w:r>
      <w:r w:rsidR="004737A9" w:rsidRPr="00565B02">
        <w:rPr>
          <w:rFonts w:ascii="Calibri Light" w:eastAsia="Calibri" w:hAnsi="Calibri Light" w:cs="Calibri Light"/>
          <w:lang w:val="sr-Cyrl-RS" w:eastAsia="en-US"/>
        </w:rPr>
        <w:t>слици 4.16</w:t>
      </w:r>
      <w:r w:rsidR="004737A9">
        <w:rPr>
          <w:rFonts w:ascii="Calibri Light" w:eastAsia="Calibri" w:hAnsi="Calibri Light" w:cs="Calibri Light"/>
          <w:lang w:val="sr-Cyrl-RS" w:eastAsia="en-US"/>
        </w:rPr>
        <w:fldChar w:fldCharType="end"/>
      </w:r>
      <w:r w:rsidR="006D48D9" w:rsidRPr="00565B02">
        <w:rPr>
          <w:rFonts w:ascii="Calibri Light" w:eastAsia="Calibri" w:hAnsi="Calibri Light" w:cs="Calibri Light"/>
          <w:lang w:val="sr-Cyrl-RS" w:eastAsia="en-US"/>
        </w:rPr>
        <w:t>.</w:t>
      </w:r>
    </w:p>
    <w:p w14:paraId="1F87DA4C" w14:textId="77FB99C9" w:rsidR="004737A9" w:rsidRDefault="004737A9" w:rsidP="00565B02">
      <w:pPr>
        <w:pStyle w:val="Caption"/>
        <w:keepNext/>
      </w:pPr>
      <w:bookmarkStart w:id="177" w:name="_Ref153812691"/>
      <w:bookmarkStart w:id="178" w:name="_Toc153901362"/>
      <w:r>
        <w:lastRenderedPageBreak/>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16</w:t>
      </w:r>
      <w:r w:rsidR="00F35B2C">
        <w:fldChar w:fldCharType="end"/>
      </w:r>
      <w:bookmarkEnd w:id="177"/>
      <w:r w:rsidRPr="004737A9">
        <w:t xml:space="preserve"> : Удео ОИЕ у бруто финалној потрошњи енергије у периоду 2020-2050. године у сценарију са постојећим мерама (WEM)</w:t>
      </w:r>
      <w:bookmarkEnd w:id="178"/>
    </w:p>
    <w:p w14:paraId="175F9E34" w14:textId="26031E11" w:rsidR="000341E4" w:rsidRPr="00FF386D" w:rsidRDefault="000341E4" w:rsidP="007C1B05">
      <w:pPr>
        <w:jc w:val="center"/>
        <w:rPr>
          <w:lang w:eastAsia="el-GR"/>
        </w:rPr>
      </w:pPr>
      <w:r w:rsidRPr="004F53D7">
        <w:rPr>
          <w:noProof/>
          <w:lang w:val="en-US"/>
        </w:rPr>
        <w:drawing>
          <wp:inline distT="0" distB="0" distL="0" distR="0" wp14:anchorId="60A537A2" wp14:editId="6E16C0C0">
            <wp:extent cx="5615940" cy="2933700"/>
            <wp:effectExtent l="0" t="0" r="3810" b="0"/>
            <wp:docPr id="633315214" name="Chart 633315214">
              <a:extLst xmlns:a="http://schemas.openxmlformats.org/drawingml/2006/main">
                <a:ext uri="{FF2B5EF4-FFF2-40B4-BE49-F238E27FC236}">
                  <a16:creationId xmlns:a16="http://schemas.microsoft.com/office/drawing/2014/main" id="{00000000-0008-0000-1300-00002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02DFC07" w14:textId="5E3AC0B2" w:rsidR="00EA327C" w:rsidRDefault="00E877DE" w:rsidP="00565B02">
      <w:pPr>
        <w:pStyle w:val="LDKbody"/>
      </w:pPr>
      <w:r w:rsidRPr="00FF386D">
        <w:rPr>
          <w:rFonts w:asciiTheme="majorHAnsi" w:hAnsiTheme="majorHAnsi" w:cstheme="majorHAnsi"/>
          <w:lang w:val="sr-Cyrl-RS" w:bidi="sr-Cyrl-CS"/>
        </w:rPr>
        <w:t>Као што је приказано на</w:t>
      </w:r>
      <w:r w:rsidR="00EA327C">
        <w:rPr>
          <w:rFonts w:asciiTheme="majorHAnsi" w:hAnsiTheme="majorHAnsi" w:cstheme="majorHAnsi"/>
          <w:lang w:val="sr-Cyrl-RS" w:bidi="sr-Cyrl-CS"/>
        </w:rPr>
        <w:t xml:space="preserve"> </w:t>
      </w:r>
      <w:r w:rsidR="00EA327C">
        <w:rPr>
          <w:rFonts w:asciiTheme="majorHAnsi" w:hAnsiTheme="majorHAnsi" w:cstheme="majorHAnsi"/>
          <w:lang w:bidi="sr-Cyrl-CS"/>
        </w:rPr>
        <w:fldChar w:fldCharType="begin"/>
      </w:r>
      <w:r w:rsidR="00EA327C">
        <w:rPr>
          <w:rFonts w:asciiTheme="majorHAnsi" w:hAnsiTheme="majorHAnsi" w:cstheme="majorHAnsi"/>
          <w:lang w:val="sr-Cyrl-RS" w:bidi="sr-Cyrl-CS"/>
        </w:rPr>
        <w:instrText xml:space="preserve"> REF _Ref153812784 \h  \* MERGEFORMAT </w:instrText>
      </w:r>
      <w:r w:rsidR="00EA327C">
        <w:rPr>
          <w:rFonts w:asciiTheme="majorHAnsi" w:hAnsiTheme="majorHAnsi" w:cstheme="majorHAnsi"/>
          <w:lang w:bidi="sr-Cyrl-CS"/>
        </w:rPr>
      </w:r>
      <w:r w:rsidR="00EA327C">
        <w:rPr>
          <w:rFonts w:asciiTheme="majorHAnsi" w:hAnsiTheme="majorHAnsi" w:cstheme="majorHAnsi"/>
          <w:lang w:bidi="sr-Cyrl-CS"/>
        </w:rPr>
        <w:fldChar w:fldCharType="separate"/>
      </w:r>
      <w:r w:rsidR="00EA327C" w:rsidRPr="00565B02">
        <w:rPr>
          <w:rFonts w:asciiTheme="majorHAnsi" w:hAnsiTheme="majorHAnsi" w:cstheme="majorHAnsi"/>
          <w:lang w:bidi="sr-Cyrl-CS"/>
        </w:rPr>
        <w:t>с</w:t>
      </w:r>
      <w:r w:rsidR="00EA327C" w:rsidRPr="00565B02">
        <w:rPr>
          <w:rFonts w:asciiTheme="majorHAnsi" w:hAnsiTheme="majorHAnsi" w:cstheme="majorHAnsi"/>
          <w:lang w:val="sr-Cyrl-RS" w:bidi="sr-Cyrl-CS"/>
        </w:rPr>
        <w:t>ли</w:t>
      </w:r>
      <w:r w:rsidR="00EA327C" w:rsidRPr="00565B02">
        <w:rPr>
          <w:rFonts w:asciiTheme="majorHAnsi" w:hAnsiTheme="majorHAnsi" w:cstheme="majorHAnsi"/>
          <w:lang w:bidi="sr-Cyrl-CS"/>
        </w:rPr>
        <w:t>ци</w:t>
      </w:r>
      <w:r w:rsidR="00EA327C" w:rsidRPr="00565B02">
        <w:rPr>
          <w:rFonts w:asciiTheme="majorHAnsi" w:hAnsiTheme="majorHAnsi" w:cstheme="majorHAnsi"/>
          <w:lang w:val="sr-Cyrl-RS" w:bidi="sr-Cyrl-CS"/>
        </w:rPr>
        <w:t xml:space="preserve"> 4.17</w:t>
      </w:r>
      <w:r w:rsidR="00EA327C">
        <w:rPr>
          <w:rFonts w:asciiTheme="majorHAnsi" w:hAnsiTheme="majorHAnsi" w:cstheme="majorHAnsi"/>
          <w:lang w:bidi="sr-Cyrl-CS"/>
        </w:rPr>
        <w:fldChar w:fldCharType="end"/>
      </w:r>
      <w:r w:rsidR="006D48D9" w:rsidRPr="00FF386D">
        <w:rPr>
          <w:rFonts w:asciiTheme="majorHAnsi" w:hAnsiTheme="majorHAnsi" w:cstheme="majorHAnsi"/>
          <w:lang w:val="sr-Cyrl-RS" w:bidi="sr-Cyrl-CS"/>
        </w:rPr>
        <w:t>,</w:t>
      </w:r>
      <w:r w:rsidR="002A1A23" w:rsidRPr="00565B02">
        <w:rPr>
          <w:rFonts w:asciiTheme="majorHAnsi" w:hAnsiTheme="majorHAnsi" w:cstheme="majorHAnsi"/>
          <w:lang w:bidi="sr-Cyrl-CS"/>
        </w:rPr>
        <w:t xml:space="preserve"> </w:t>
      </w:r>
      <w:bookmarkStart w:id="179" w:name="_Ref113633891"/>
      <w:r w:rsidR="00DD1DAE" w:rsidRPr="00565B02">
        <w:rPr>
          <w:rFonts w:asciiTheme="majorHAnsi" w:hAnsiTheme="majorHAnsi" w:cstheme="majorHAnsi"/>
          <w:lang w:bidi="sr-Cyrl-CS"/>
        </w:rPr>
        <w:t>предвиђа</w:t>
      </w:r>
      <w:r w:rsidR="00DD1DAE" w:rsidRPr="00FF386D">
        <w:rPr>
          <w:rFonts w:ascii="Calibri Light" w:hAnsi="Calibri Light" w:cs="Calibri Light"/>
          <w:lang w:val="sr-Cyrl-RS" w:bidi="sr-Cyrl-CS"/>
        </w:rPr>
        <w:t xml:space="preserve"> се да ће се учешће ОИЕ у укупној производњи електричне енергије повећати са 27% у 2020. години на 38% у 2050. години, што указује на допринос постојећих политика и мера. Ипак, увођење ОИЕ ће остати релативно стабилно, око 30% у просеку у периоду 2025-2045. године.</w:t>
      </w:r>
      <w:bookmarkEnd w:id="179"/>
    </w:p>
    <w:p w14:paraId="5F2A7501" w14:textId="6BA7AA25" w:rsidR="00EA327C" w:rsidRDefault="00EA327C" w:rsidP="00565B02">
      <w:pPr>
        <w:pStyle w:val="Caption"/>
        <w:keepNext/>
      </w:pPr>
      <w:bookmarkStart w:id="180" w:name="_Ref153812784"/>
      <w:bookmarkStart w:id="181" w:name="_Toc153901363"/>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17</w:t>
      </w:r>
      <w:r w:rsidR="00F35B2C">
        <w:fldChar w:fldCharType="end"/>
      </w:r>
      <w:bookmarkEnd w:id="180"/>
      <w:r w:rsidRPr="00EA327C">
        <w:t>: Удео ОИЕ у укупној производњи електричне енергије у периоду 2020-2050. године у сценарију са постојећим мерама (WEM)</w:t>
      </w:r>
      <w:bookmarkEnd w:id="181"/>
    </w:p>
    <w:p w14:paraId="1C92261C" w14:textId="2F481173" w:rsidR="002A6440" w:rsidRPr="00FF386D" w:rsidRDefault="00EA327C" w:rsidP="007C1B05">
      <w:pPr>
        <w:jc w:val="center"/>
        <w:rPr>
          <w:lang w:eastAsia="el-GR"/>
        </w:rPr>
      </w:pPr>
      <w:r>
        <w:rPr>
          <w:noProof/>
        </w:rPr>
        <mc:AlternateContent>
          <mc:Choice Requires="wps">
            <w:drawing>
              <wp:anchor distT="0" distB="0" distL="114300" distR="114300" simplePos="0" relativeHeight="251679744" behindDoc="0" locked="0" layoutInCell="1" allowOverlap="1" wp14:anchorId="2BB1292F" wp14:editId="6B8C5B77">
                <wp:simplePos x="0" y="0"/>
                <wp:positionH relativeFrom="column">
                  <wp:posOffset>1116874</wp:posOffset>
                </wp:positionH>
                <wp:positionV relativeFrom="paragraph">
                  <wp:posOffset>238941</wp:posOffset>
                </wp:positionV>
                <wp:extent cx="2661557" cy="2125436"/>
                <wp:effectExtent l="0" t="0" r="5715" b="8255"/>
                <wp:wrapNone/>
                <wp:docPr id="1575882354" name="Text Box 1575882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1557" cy="2125436"/>
                        </a:xfrm>
                        <a:prstGeom prst="rect">
                          <a:avLst/>
                        </a:prstGeom>
                        <a:solidFill>
                          <a:schemeClr val="bg1">
                            <a:lumMod val="65000"/>
                            <a:alpha val="50000"/>
                          </a:schemeClr>
                        </a:solidFill>
                        <a:ln>
                          <a:noFill/>
                        </a:ln>
                      </wps:spPr>
                      <wps:style>
                        <a:lnRef idx="0">
                          <a:scrgbClr r="0" g="0" b="0"/>
                        </a:lnRef>
                        <a:fillRef idx="0">
                          <a:scrgbClr r="0" g="0" b="0"/>
                        </a:fillRef>
                        <a:effectRef idx="0">
                          <a:scrgbClr r="0" g="0" b="0"/>
                        </a:effectRef>
                        <a:fontRef idx="minor">
                          <a:schemeClr val="lt1"/>
                        </a:fontRef>
                      </wps:style>
                      <wps:bodyPr wrap="square" rtlCol="0"/>
                    </wps:wsp>
                  </a:graphicData>
                </a:graphic>
                <wp14:sizeRelH relativeFrom="page">
                  <wp14:pctWidth>0</wp14:pctWidth>
                </wp14:sizeRelH>
                <wp14:sizeRelV relativeFrom="page">
                  <wp14:pctHeight>0</wp14:pctHeight>
                </wp14:sizeRelV>
              </wp:anchor>
            </w:drawing>
          </mc:Choice>
          <mc:Fallback>
            <w:pict>
              <v:shape w14:anchorId="75A27830" id="Text Box 1575882354" o:spid="_x0000_s1026" type="#_x0000_t202" style="position:absolute;margin-left:87.95pt;margin-top:18.8pt;width:209.55pt;height:167.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" fillcolor="#a5a5a5 [2092]" stroked="f">
                <v:fill opacity="32896f"/>
              </v:shape>
            </w:pict>
          </mc:Fallback>
        </mc:AlternateContent>
      </w:r>
      <w:r w:rsidR="002A6440" w:rsidRPr="004F53D7">
        <w:rPr>
          <w:noProof/>
          <w:lang w:val="en-US"/>
        </w:rPr>
        <w:drawing>
          <wp:inline distT="0" distB="0" distL="0" distR="0" wp14:anchorId="7B812690" wp14:editId="2F40908D">
            <wp:extent cx="5509260" cy="2887980"/>
            <wp:effectExtent l="0" t="0" r="15240" b="7620"/>
            <wp:docPr id="889203697" name="Chart 889203697">
              <a:extLst xmlns:a="http://schemas.openxmlformats.org/drawingml/2006/main">
                <a:ext uri="{FF2B5EF4-FFF2-40B4-BE49-F238E27FC236}">
                  <a16:creationId xmlns:a16="http://schemas.microsoft.com/office/drawing/2014/main" id="{00000000-0008-0000-1300-00003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AD16ECF" w14:textId="33E389CC" w:rsidR="00DD1DAE" w:rsidRPr="00FF386D" w:rsidRDefault="00DD1DAE" w:rsidP="00DD1DAE">
      <w:pPr>
        <w:pStyle w:val="LDKbody"/>
        <w:rPr>
          <w:rFonts w:ascii="Calibri Light" w:hAnsi="Calibri Light" w:cs="Calibri Light"/>
          <w:lang w:val="sr-Cyrl-RS" w:bidi="sr-Cyrl-CS"/>
        </w:rPr>
      </w:pPr>
      <w:bookmarkStart w:id="182" w:name="_Ref113633906"/>
      <w:r w:rsidRPr="00FF386D">
        <w:rPr>
          <w:rFonts w:ascii="Calibri Light" w:eastAsia="Calibri" w:hAnsi="Calibri Light" w:cs="Calibri Light"/>
          <w:lang w:val="sr-Cyrl-RS" w:bidi="sr-Cyrl-CS"/>
        </w:rPr>
        <w:t>Пројектовано је да ће се укупни инсталисани капацитет за производњу електричне енергије повећати са 8,2 GW у 2020. и 9,3 GW у 2030. години на 10,4 GW у 2040. години и 13,4 GW у 2050. години, као што је приказано на</w:t>
      </w:r>
      <w:r w:rsidR="00EA327C">
        <w:rPr>
          <w:rFonts w:ascii="Calibri Light" w:eastAsia="Calibri" w:hAnsi="Calibri Light" w:cs="Calibri Light"/>
          <w:lang w:val="sr-Cyrl-RS" w:bidi="sr-Cyrl-CS"/>
        </w:rPr>
        <w:t xml:space="preserve"> </w:t>
      </w:r>
      <w:r w:rsidR="00EA327C">
        <w:rPr>
          <w:rFonts w:ascii="Calibri Light" w:eastAsia="Calibri" w:hAnsi="Calibri Light" w:cs="Calibri Light"/>
          <w:lang w:val="sr-Cyrl-RS" w:bidi="sr-Cyrl-CS"/>
        </w:rPr>
        <w:fldChar w:fldCharType="begin"/>
      </w:r>
      <w:r w:rsidR="00EA327C">
        <w:rPr>
          <w:rFonts w:ascii="Calibri Light" w:eastAsia="Calibri" w:hAnsi="Calibri Light" w:cs="Calibri Light"/>
          <w:lang w:val="sr-Cyrl-RS" w:bidi="sr-Cyrl-CS"/>
        </w:rPr>
        <w:instrText xml:space="preserve"> REF _Ref153813147 \h  \* MERGEFORMAT </w:instrText>
      </w:r>
      <w:r w:rsidR="00EA327C">
        <w:rPr>
          <w:rFonts w:ascii="Calibri Light" w:eastAsia="Calibri" w:hAnsi="Calibri Light" w:cs="Calibri Light"/>
          <w:lang w:val="sr-Cyrl-RS" w:bidi="sr-Cyrl-CS"/>
        </w:rPr>
      </w:r>
      <w:r w:rsidR="00EA327C">
        <w:rPr>
          <w:rFonts w:ascii="Calibri Light" w:eastAsia="Calibri" w:hAnsi="Calibri Light" w:cs="Calibri Light"/>
          <w:lang w:val="sr-Cyrl-RS" w:bidi="sr-Cyrl-CS"/>
        </w:rPr>
        <w:fldChar w:fldCharType="separate"/>
      </w:r>
      <w:r w:rsidR="00EA327C" w:rsidRPr="00565B02">
        <w:rPr>
          <w:rFonts w:ascii="Calibri Light" w:eastAsia="Calibri" w:hAnsi="Calibri Light" w:cs="Calibri Light"/>
          <w:lang w:val="sr-Cyrl-RS" w:bidi="sr-Cyrl-CS"/>
        </w:rPr>
        <w:t>слици 4.18</w:t>
      </w:r>
      <w:r w:rsidR="00EA327C">
        <w:rPr>
          <w:rFonts w:ascii="Calibri Light" w:eastAsia="Calibri" w:hAnsi="Calibri Light" w:cs="Calibri Light"/>
          <w:lang w:val="sr-Cyrl-RS" w:bidi="sr-Cyrl-CS"/>
        </w:rPr>
        <w:fldChar w:fldCharType="end"/>
      </w:r>
      <w:r w:rsidR="00A501CB" w:rsidRPr="00565B02">
        <w:rPr>
          <w:rFonts w:ascii="Calibri Light" w:eastAsia="Calibri" w:hAnsi="Calibri Light" w:cs="Calibri Light"/>
          <w:lang w:val="sr-Cyrl-RS" w:bidi="sr-Cyrl-CS"/>
        </w:rPr>
        <w:t xml:space="preserve">. </w:t>
      </w:r>
      <w:r w:rsidRPr="00565B02">
        <w:rPr>
          <w:rFonts w:ascii="Calibri Light" w:eastAsia="Calibri" w:hAnsi="Calibri Light" w:cs="Calibri Light"/>
          <w:lang w:val="sr-Cyrl-RS" w:bidi="sr-Cyrl-CS"/>
        </w:rPr>
        <w:t>О</w:t>
      </w:r>
      <w:r w:rsidRPr="00FF386D">
        <w:rPr>
          <w:rFonts w:ascii="Calibri Light" w:hAnsi="Calibri Light" w:cs="Calibri Light"/>
          <w:lang w:val="sr-Cyrl-RS" w:bidi="sr-Cyrl-CS"/>
        </w:rPr>
        <w:t>чекивани раст се углавном приписује увођењу технологија ОИЕ у производњи електричне енергије, које генерално имају нижи фактор искоришћења или капацитета од конвенционалних технологија и стога захтевају више инсталисаних капацитета од конвенционалних електрана за исту производњу електричне енергије.</w:t>
      </w:r>
    </w:p>
    <w:p w14:paraId="0F94C442" w14:textId="3B2A1EE4" w:rsidR="00DD1DAE" w:rsidRPr="00FF386D" w:rsidRDefault="00DD1DAE" w:rsidP="00DD1DAE">
      <w:pPr>
        <w:spacing w:before="120" w:after="120" w:line="240" w:lineRule="auto"/>
        <w:jc w:val="both"/>
        <w:rPr>
          <w:rFonts w:ascii="Calibri Light" w:eastAsia="Times New Roman" w:hAnsi="Calibri Light" w:cs="Calibri Light"/>
          <w:lang w:eastAsia="el-GR" w:bidi="sr-Cyrl-CS"/>
        </w:rPr>
      </w:pPr>
      <w:r w:rsidRPr="00FF386D">
        <w:rPr>
          <w:rFonts w:ascii="Calibri Light" w:eastAsia="Times New Roman" w:hAnsi="Calibri Light" w:cs="Calibri Light"/>
          <w:lang w:eastAsia="el-GR" w:bidi="sr-Cyrl-CS"/>
        </w:rPr>
        <w:lastRenderedPageBreak/>
        <w:t>Вреди напоменути да ће се већа трансформација електроенергетског сектора показати уз значајно смањење конвенционалних електрана и значајно повећање обновљивих извора. Тачније, очекује се да ће се инсталисани капацитет електричне енергије која долази из електрана на лигнит повећати у малој мери са 3,6 GW у 2020. години на 4,5 GW у 2050. години, показујући највећи допринос у укупном инсталисаном капацитету за електричну енергију.</w:t>
      </w:r>
    </w:p>
    <w:p w14:paraId="3647DC0D" w14:textId="59EFEB1E" w:rsidR="00DD1DAE" w:rsidRPr="00FF386D" w:rsidRDefault="00DD1DAE" w:rsidP="00DD1DAE">
      <w:pPr>
        <w:pStyle w:val="LDKbody"/>
        <w:rPr>
          <w:rFonts w:ascii="Calibri Light" w:hAnsi="Calibri Light" w:cs="Calibri Light"/>
          <w:lang w:val="sr-Cyrl-RS" w:bidi="sr-Cyrl-CS"/>
        </w:rPr>
      </w:pPr>
      <w:r w:rsidRPr="00FF386D">
        <w:rPr>
          <w:rFonts w:ascii="Calibri Light" w:eastAsia="Calibri" w:hAnsi="Calibri Light" w:cs="Calibri Light"/>
          <w:lang w:val="sr-Cyrl-RS" w:bidi="sr-Cyrl-CS"/>
        </w:rPr>
        <w:t xml:space="preserve">Пројектовано је да ће допринос технологија ОИЕ укупном инсталисаном капацитету Републике Србије износити 43% у 2030. години и 54% у 2050. години, у односу на 40% у 2020. години. Очекује се да ће се инсталисани капацитет ОИЕ повећати са 3,5 GW у 2020. години на 4,2 GW у 2030. години и на 7,3 GW у 2050. години </w:t>
      </w:r>
      <w:r w:rsidR="00A501CB" w:rsidRPr="00FF386D">
        <w:rPr>
          <w:rFonts w:ascii="Calibri Light" w:hAnsi="Calibri Light" w:cs="Calibri Light"/>
          <w:lang w:val="sr-Cyrl-RS"/>
        </w:rPr>
        <w:t>(</w:t>
      </w:r>
      <w:r w:rsidR="00EA327C" w:rsidRPr="00565B02">
        <w:rPr>
          <w:rFonts w:ascii="Calibri Light" w:eastAsia="Calibri" w:hAnsi="Calibri Light" w:cs="Calibri Light"/>
          <w:lang w:val="sr-Cyrl-RS" w:bidi="sr-Cyrl-CS"/>
        </w:rPr>
        <w:fldChar w:fldCharType="begin"/>
      </w:r>
      <w:r w:rsidR="00EA327C" w:rsidRPr="00565B02">
        <w:rPr>
          <w:rFonts w:ascii="Calibri Light" w:eastAsia="Calibri" w:hAnsi="Calibri Light" w:cs="Calibri Light"/>
          <w:lang w:val="sr-Cyrl-RS" w:bidi="sr-Cyrl-CS"/>
        </w:rPr>
        <w:instrText xml:space="preserve"> REF _Ref153813281 \h </w:instrText>
      </w:r>
      <w:r w:rsidR="00EA327C">
        <w:rPr>
          <w:rFonts w:ascii="Calibri Light" w:eastAsia="Calibri" w:hAnsi="Calibri Light" w:cs="Calibri Light"/>
          <w:lang w:val="sr-Cyrl-RS" w:bidi="sr-Cyrl-CS"/>
        </w:rPr>
        <w:instrText xml:space="preserve"> \* MERGEFORMAT </w:instrText>
      </w:r>
      <w:r w:rsidR="00EA327C" w:rsidRPr="00565B02">
        <w:rPr>
          <w:rFonts w:ascii="Calibri Light" w:eastAsia="Calibri" w:hAnsi="Calibri Light" w:cs="Calibri Light"/>
          <w:lang w:val="sr-Cyrl-RS" w:bidi="sr-Cyrl-CS"/>
        </w:rPr>
      </w:r>
      <w:r w:rsidR="00EA327C" w:rsidRPr="00565B02">
        <w:rPr>
          <w:rFonts w:ascii="Calibri Light" w:eastAsia="Calibri" w:hAnsi="Calibri Light" w:cs="Calibri Light"/>
          <w:lang w:val="sr-Cyrl-RS" w:bidi="sr-Cyrl-CS"/>
        </w:rPr>
        <w:fldChar w:fldCharType="separate"/>
      </w:r>
      <w:r w:rsidR="00EA327C" w:rsidRPr="00565B02">
        <w:rPr>
          <w:rFonts w:ascii="Calibri Light" w:eastAsia="Calibri" w:hAnsi="Calibri Light" w:cs="Calibri Light"/>
          <w:lang w:val="sr-Cyrl-RS" w:bidi="sr-Cyrl-CS"/>
        </w:rPr>
        <w:t>Слика 4.19</w:t>
      </w:r>
      <w:r w:rsidR="00EA327C" w:rsidRPr="00565B02">
        <w:rPr>
          <w:rFonts w:ascii="Calibri Light" w:eastAsia="Calibri" w:hAnsi="Calibri Light" w:cs="Calibri Light"/>
          <w:lang w:val="sr-Cyrl-RS" w:bidi="sr-Cyrl-CS"/>
        </w:rPr>
        <w:fldChar w:fldCharType="end"/>
      </w:r>
      <w:r w:rsidR="00A501CB" w:rsidRPr="00565B02">
        <w:rPr>
          <w:rFonts w:ascii="Calibri Light" w:eastAsia="Calibri" w:hAnsi="Calibri Light" w:cs="Calibri Light"/>
          <w:lang w:val="sr-Cyrl-RS" w:bidi="sr-Cyrl-CS"/>
        </w:rPr>
        <w:t xml:space="preserve">). </w:t>
      </w:r>
      <w:r w:rsidRPr="00565B02">
        <w:rPr>
          <w:rFonts w:ascii="Calibri Light" w:eastAsia="Calibri" w:hAnsi="Calibri Light" w:cs="Calibri Light"/>
          <w:lang w:val="sr-Cyrl-RS" w:bidi="sr-Cyrl-CS"/>
        </w:rPr>
        <w:t>Предвиђено</w:t>
      </w:r>
      <w:r w:rsidRPr="00FF386D">
        <w:rPr>
          <w:rFonts w:ascii="Calibri Light" w:hAnsi="Calibri Light" w:cs="Calibri Light"/>
          <w:lang w:val="sr-Cyrl-RS" w:bidi="sr-Cyrl-CS"/>
        </w:rPr>
        <w:t xml:space="preserve"> је мало додатно улагање у хидроелектране током посматраног периода, при чему ће се њихов инсталисани капацитет повећати са 2,5 GW у 2020. години на 2,9 GW у 2040. години и остати релативно константан до 2050. године (3,3 GW). Штавише, пројектовано је да инсталисани капацитет инсталација на ветар и соларних (фотонапонских) </w:t>
      </w:r>
      <w:r w:rsidR="004C074B" w:rsidRPr="00FF386D">
        <w:rPr>
          <w:rFonts w:ascii="Calibri Light" w:hAnsi="Calibri Light" w:cs="Calibri Light"/>
          <w:lang w:val="sr-Cyrl-RS" w:bidi="sr-Cyrl-CS"/>
        </w:rPr>
        <w:t xml:space="preserve">електрана </w:t>
      </w:r>
      <w:r w:rsidRPr="00FF386D">
        <w:rPr>
          <w:rFonts w:ascii="Calibri Light" w:hAnsi="Calibri Light" w:cs="Calibri Light"/>
          <w:lang w:val="sr-Cyrl-RS" w:bidi="sr-Cyrl-CS"/>
        </w:rPr>
        <w:t>износи око 1,8 GW за сваку од њих у 2050. години у поређењу са веома ниским нивоом у 2020. години.</w:t>
      </w:r>
    </w:p>
    <w:p w14:paraId="1CF2D102" w14:textId="15A9D229" w:rsidR="00EA327C" w:rsidRPr="00EA327C" w:rsidRDefault="00EA327C" w:rsidP="00565B02">
      <w:pPr>
        <w:pStyle w:val="LDKFigure"/>
      </w:pPr>
      <w:bookmarkStart w:id="183" w:name="_Ref153813147"/>
      <w:bookmarkStart w:id="184" w:name="_Toc153901364"/>
      <w:bookmarkEnd w:id="182"/>
      <w:r w:rsidRPr="00EA327C">
        <w:rPr>
          <w:rFonts w:eastAsiaTheme="minorHAnsi"/>
          <w:iCs w:val="0"/>
          <w:color w:val="01406B"/>
          <w:sz w:val="22"/>
          <w:szCs w:val="22"/>
          <w:lang w:val="sr-Cyrl-RS" w:eastAsia="en-US"/>
        </w:rPr>
        <w:t xml:space="preserve">Слика </w:t>
      </w:r>
      <w:r w:rsidR="00F35B2C">
        <w:rPr>
          <w:rFonts w:eastAsiaTheme="minorHAnsi"/>
          <w:iCs w:val="0"/>
          <w:color w:val="01406B"/>
          <w:sz w:val="22"/>
          <w:szCs w:val="22"/>
          <w:lang w:val="sr-Cyrl-RS" w:eastAsia="en-US"/>
        </w:rPr>
        <w:fldChar w:fldCharType="begin"/>
      </w:r>
      <w:r w:rsidR="00F35B2C">
        <w:rPr>
          <w:rFonts w:eastAsiaTheme="minorHAnsi"/>
          <w:iCs w:val="0"/>
          <w:color w:val="01406B"/>
          <w:sz w:val="22"/>
          <w:szCs w:val="22"/>
          <w:lang w:val="sr-Cyrl-RS" w:eastAsia="en-US"/>
        </w:rPr>
        <w:instrText xml:space="preserve"> STYLEREF 1 \s </w:instrText>
      </w:r>
      <w:r w:rsidR="00F35B2C">
        <w:rPr>
          <w:rFonts w:eastAsiaTheme="minorHAnsi"/>
          <w:iCs w:val="0"/>
          <w:color w:val="01406B"/>
          <w:sz w:val="22"/>
          <w:szCs w:val="22"/>
          <w:lang w:val="sr-Cyrl-RS" w:eastAsia="en-US"/>
        </w:rPr>
        <w:fldChar w:fldCharType="separate"/>
      </w:r>
      <w:r w:rsidR="00F35B2C">
        <w:rPr>
          <w:rFonts w:eastAsiaTheme="minorHAnsi"/>
          <w:iCs w:val="0"/>
          <w:noProof/>
          <w:color w:val="01406B"/>
          <w:sz w:val="22"/>
          <w:szCs w:val="22"/>
          <w:lang w:val="sr-Cyrl-RS" w:eastAsia="en-US"/>
        </w:rPr>
        <w:t>4</w:t>
      </w:r>
      <w:r w:rsidR="00F35B2C">
        <w:rPr>
          <w:rFonts w:eastAsiaTheme="minorHAnsi"/>
          <w:iCs w:val="0"/>
          <w:color w:val="01406B"/>
          <w:sz w:val="22"/>
          <w:szCs w:val="22"/>
          <w:lang w:val="sr-Cyrl-RS" w:eastAsia="en-US"/>
        </w:rPr>
        <w:fldChar w:fldCharType="end"/>
      </w:r>
      <w:r w:rsidR="00F35B2C">
        <w:rPr>
          <w:rFonts w:eastAsiaTheme="minorHAnsi"/>
          <w:iCs w:val="0"/>
          <w:color w:val="01406B"/>
          <w:sz w:val="22"/>
          <w:szCs w:val="22"/>
          <w:lang w:val="sr-Cyrl-RS" w:eastAsia="en-US"/>
        </w:rPr>
        <w:t>.</w:t>
      </w:r>
      <w:r w:rsidR="00F35B2C">
        <w:rPr>
          <w:rFonts w:eastAsiaTheme="minorHAnsi"/>
          <w:iCs w:val="0"/>
          <w:color w:val="01406B"/>
          <w:sz w:val="22"/>
          <w:szCs w:val="22"/>
          <w:lang w:val="sr-Cyrl-RS" w:eastAsia="en-US"/>
        </w:rPr>
        <w:fldChar w:fldCharType="begin"/>
      </w:r>
      <w:r w:rsidR="00F35B2C">
        <w:rPr>
          <w:rFonts w:eastAsiaTheme="minorHAnsi"/>
          <w:iCs w:val="0"/>
          <w:color w:val="01406B"/>
          <w:sz w:val="22"/>
          <w:szCs w:val="22"/>
          <w:lang w:val="sr-Cyrl-RS" w:eastAsia="en-US"/>
        </w:rPr>
        <w:instrText xml:space="preserve"> SEQ Слика \* ARABIC \s 1 </w:instrText>
      </w:r>
      <w:r w:rsidR="00F35B2C">
        <w:rPr>
          <w:rFonts w:eastAsiaTheme="minorHAnsi"/>
          <w:iCs w:val="0"/>
          <w:color w:val="01406B"/>
          <w:sz w:val="22"/>
          <w:szCs w:val="22"/>
          <w:lang w:val="sr-Cyrl-RS" w:eastAsia="en-US"/>
        </w:rPr>
        <w:fldChar w:fldCharType="separate"/>
      </w:r>
      <w:r w:rsidR="00F35B2C">
        <w:rPr>
          <w:rFonts w:eastAsiaTheme="minorHAnsi"/>
          <w:iCs w:val="0"/>
          <w:noProof/>
          <w:color w:val="01406B"/>
          <w:sz w:val="22"/>
          <w:szCs w:val="22"/>
          <w:lang w:val="sr-Cyrl-RS" w:eastAsia="en-US"/>
        </w:rPr>
        <w:t>18</w:t>
      </w:r>
      <w:r w:rsidR="00F35B2C">
        <w:rPr>
          <w:rFonts w:eastAsiaTheme="minorHAnsi"/>
          <w:iCs w:val="0"/>
          <w:color w:val="01406B"/>
          <w:sz w:val="22"/>
          <w:szCs w:val="22"/>
          <w:lang w:val="sr-Cyrl-RS" w:eastAsia="en-US"/>
        </w:rPr>
        <w:fldChar w:fldCharType="end"/>
      </w:r>
      <w:bookmarkEnd w:id="183"/>
      <w:r w:rsidRPr="00EA327C">
        <w:rPr>
          <w:rFonts w:eastAsiaTheme="minorHAnsi"/>
          <w:iCs w:val="0"/>
          <w:color w:val="01406B"/>
          <w:sz w:val="22"/>
          <w:szCs w:val="22"/>
          <w:lang w:val="sr-Cyrl-RS" w:eastAsia="en-US"/>
        </w:rPr>
        <w:t>: Инсталисани капацитет по технологији у електроенергетском сектору у периоду 2020-2050. године у сценарију са постојећим мерама (WEM)</w:t>
      </w:r>
      <w:bookmarkEnd w:id="184"/>
    </w:p>
    <w:p w14:paraId="28770883" w14:textId="1C705523" w:rsidR="00BE468D" w:rsidRPr="00FF386D" w:rsidRDefault="00EA327C" w:rsidP="00BE468D">
      <w:pPr>
        <w:pStyle w:val="LDKFigure"/>
        <w:jc w:val="center"/>
        <w:rPr>
          <w:rFonts w:eastAsia="Calibri"/>
          <w:sz w:val="22"/>
          <w:szCs w:val="22"/>
          <w:lang w:val="sr-Cyrl-RS" w:bidi="sr-Cyrl-CS"/>
        </w:rPr>
      </w:pPr>
      <w:r w:rsidRPr="00565B02">
        <w:rPr>
          <w:rFonts w:eastAsiaTheme="minorHAnsi"/>
          <w:iCs w:val="0"/>
          <w:noProof/>
          <w:color w:val="01406B"/>
          <w:sz w:val="22"/>
          <w:szCs w:val="22"/>
          <w:lang w:val="sr-Cyrl-RS" w:eastAsia="en-US"/>
        </w:rPr>
        <mc:AlternateContent>
          <mc:Choice Requires="wps">
            <w:drawing>
              <wp:anchor distT="0" distB="0" distL="114300" distR="114300" simplePos="0" relativeHeight="251667456" behindDoc="0" locked="0" layoutInCell="1" allowOverlap="1" wp14:anchorId="705B99E5" wp14:editId="71DC2DCE">
                <wp:simplePos x="0" y="0"/>
                <wp:positionH relativeFrom="column">
                  <wp:posOffset>979170</wp:posOffset>
                </wp:positionH>
                <wp:positionV relativeFrom="paragraph">
                  <wp:posOffset>911679</wp:posOffset>
                </wp:positionV>
                <wp:extent cx="3139440" cy="2785110"/>
                <wp:effectExtent l="0" t="0" r="0" b="0"/>
                <wp:wrapNone/>
                <wp:docPr id="1704069623" name="Text Box 1704069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9440" cy="2785110"/>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1A39C950" id="Text Box 1704069623" o:spid="_x0000_s1026" type="#_x0000_t202" style="position:absolute;margin-left:77.1pt;margin-top:71.8pt;width:247.2pt;height:219.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" fillcolor="#a6a6a6" stroked="f">
                <v:fill opacity="32896f"/>
              </v:shape>
            </w:pict>
          </mc:Fallback>
        </mc:AlternateContent>
      </w:r>
      <w:r w:rsidR="00457A22" w:rsidRPr="004F53D7">
        <w:rPr>
          <w:rFonts w:eastAsia="Calibri"/>
          <w:noProof/>
          <w:sz w:val="22"/>
          <w:szCs w:val="22"/>
          <w:lang w:val="en-US" w:eastAsia="en-US"/>
        </w:rPr>
        <w:drawing>
          <wp:inline distT="0" distB="0" distL="0" distR="0" wp14:anchorId="2517ADFA" wp14:editId="70F8B943">
            <wp:extent cx="6439930" cy="4469840"/>
            <wp:effectExtent l="0" t="0" r="0" b="0"/>
            <wp:docPr id="522436877" name="Picture 522436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61613" cy="4484890"/>
                    </a:xfrm>
                    <a:prstGeom prst="rect">
                      <a:avLst/>
                    </a:prstGeom>
                    <a:noFill/>
                  </pic:spPr>
                </pic:pic>
              </a:graphicData>
            </a:graphic>
          </wp:inline>
        </w:drawing>
      </w:r>
    </w:p>
    <w:p w14:paraId="70A901A9" w14:textId="2EF20BC5" w:rsidR="00EA327C" w:rsidRDefault="00EA327C" w:rsidP="008E6290">
      <w:pPr>
        <w:jc w:val="center"/>
      </w:pPr>
    </w:p>
    <w:p w14:paraId="0D311D67" w14:textId="2866E90F" w:rsidR="00EA327C" w:rsidRDefault="00EA327C" w:rsidP="00565B02">
      <w:pPr>
        <w:pStyle w:val="Caption"/>
        <w:keepNext/>
      </w:pPr>
      <w:bookmarkStart w:id="185" w:name="_Ref153813281"/>
      <w:bookmarkStart w:id="186" w:name="_Toc153901365"/>
      <w:r>
        <w:lastRenderedPageBreak/>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19</w:t>
      </w:r>
      <w:r w:rsidR="00F35B2C">
        <w:fldChar w:fldCharType="end"/>
      </w:r>
      <w:bookmarkEnd w:id="185"/>
      <w:r w:rsidRPr="00EA327C">
        <w:t>: Инсталисани капацитет ОИЕ по технологији у периоду 2020-2050. године у сценарију са постојећим мерама (WEM)</w:t>
      </w:r>
      <w:bookmarkEnd w:id="186"/>
    </w:p>
    <w:p w14:paraId="36FD1657" w14:textId="57543F79" w:rsidR="00725413" w:rsidRPr="00FF386D" w:rsidRDefault="00EA327C" w:rsidP="008E6290">
      <w:pPr>
        <w:jc w:val="center"/>
        <w:rPr>
          <w:lang w:eastAsia="el-GR"/>
        </w:rPr>
      </w:pPr>
      <w:r>
        <w:rPr>
          <w:noProof/>
          <w:lang w:val="en-US"/>
        </w:rPr>
        <mc:AlternateContent>
          <mc:Choice Requires="wps">
            <w:drawing>
              <wp:anchor distT="0" distB="0" distL="114300" distR="114300" simplePos="0" relativeHeight="251681792" behindDoc="0" locked="0" layoutInCell="1" allowOverlap="1" wp14:anchorId="5BFE4ABA" wp14:editId="73A03DFF">
                <wp:simplePos x="0" y="0"/>
                <wp:positionH relativeFrom="column">
                  <wp:posOffset>985520</wp:posOffset>
                </wp:positionH>
                <wp:positionV relativeFrom="paragraph">
                  <wp:posOffset>1586139</wp:posOffset>
                </wp:positionV>
                <wp:extent cx="2887980" cy="2157730"/>
                <wp:effectExtent l="0" t="0" r="0" b="0"/>
                <wp:wrapNone/>
                <wp:docPr id="1628016416" name="Text Box 1628016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7980" cy="2157730"/>
                        </a:xfrm>
                        <a:prstGeom prst="rect">
                          <a:avLst/>
                        </a:prstGeom>
                        <a:solidFill>
                          <a:sysClr val="window" lastClr="FFFFFF">
                            <a:lumMod val="65000"/>
                            <a:alpha val="50000"/>
                          </a:sysClr>
                        </a:solidFill>
                        <a:ln>
                          <a:noFill/>
                        </a:ln>
                        <a:effectLst/>
                      </wps:spPr>
                      <wps:bodyPr wrap="square" rtlCol="0"/>
                    </wps:wsp>
                  </a:graphicData>
                </a:graphic>
                <wp14:sizeRelH relativeFrom="page">
                  <wp14:pctWidth>0</wp14:pctWidth>
                </wp14:sizeRelH>
                <wp14:sizeRelV relativeFrom="page">
                  <wp14:pctHeight>0</wp14:pctHeight>
                </wp14:sizeRelV>
              </wp:anchor>
            </w:drawing>
          </mc:Choice>
          <mc:Fallback>
            <w:pict>
              <v:shape w14:anchorId="711B29AC" id="Text Box 1628016416" o:spid="_x0000_s1026" type="#_x0000_t202" style="position:absolute;margin-left:77.6pt;margin-top:124.9pt;width:227.4pt;height:169.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" fillcolor="#a6a6a6" stroked="f">
                <v:fill opacity="32896f"/>
              </v:shape>
            </w:pict>
          </mc:Fallback>
        </mc:AlternateContent>
      </w:r>
      <w:r w:rsidR="00725413" w:rsidRPr="004F53D7">
        <w:rPr>
          <w:noProof/>
          <w:lang w:val="en-US"/>
        </w:rPr>
        <w:drawing>
          <wp:inline distT="0" distB="0" distL="0" distR="0" wp14:anchorId="15C77A91" wp14:editId="71219BD3">
            <wp:extent cx="5872016" cy="4109580"/>
            <wp:effectExtent l="0" t="0" r="0" b="0"/>
            <wp:docPr id="2008840222" name="Picture 200884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87339" cy="4120304"/>
                    </a:xfrm>
                    <a:prstGeom prst="rect">
                      <a:avLst/>
                    </a:prstGeom>
                    <a:noFill/>
                  </pic:spPr>
                </pic:pic>
              </a:graphicData>
            </a:graphic>
          </wp:inline>
        </w:drawing>
      </w:r>
    </w:p>
    <w:p w14:paraId="05DBFFA6" w14:textId="77C970C2" w:rsidR="007B0B63" w:rsidRPr="00FF386D" w:rsidRDefault="007B0B63" w:rsidP="007B0B63">
      <w:pPr>
        <w:pStyle w:val="LDKbody"/>
        <w:rPr>
          <w:rFonts w:ascii="Calibri Light" w:hAnsi="Calibri Light" w:cs="Calibri Light"/>
          <w:lang w:val="sr-Cyrl-RS"/>
        </w:rPr>
      </w:pPr>
      <w:r w:rsidRPr="00FF386D">
        <w:rPr>
          <w:rFonts w:ascii="Calibri Light" w:eastAsia="Calibri" w:hAnsi="Calibri Light" w:cs="Calibri Light"/>
          <w:lang w:val="sr-Cyrl-RS" w:bidi="sr-Cyrl-CS"/>
        </w:rPr>
        <w:t xml:space="preserve">Поред тога, пројектовано је да ће се удео ОИЕ у сектору грејања и хлађења повећати са 35,7% у 2020. години на 37,9% у 2030. години, пре него што достигне 30,3% у 2050. години, како је приказано на </w:t>
      </w:r>
      <w:r w:rsidR="00EA327C">
        <w:rPr>
          <w:rFonts w:ascii="Calibri Light" w:eastAsia="Calibri" w:hAnsi="Calibri Light" w:cs="Calibri Light"/>
          <w:lang w:val="sr-Cyrl-RS" w:bidi="sr-Cyrl-CS"/>
        </w:rPr>
        <w:fldChar w:fldCharType="begin"/>
      </w:r>
      <w:r w:rsidR="00EA327C">
        <w:rPr>
          <w:rFonts w:ascii="Calibri Light" w:eastAsia="Calibri" w:hAnsi="Calibri Light" w:cs="Calibri Light"/>
          <w:lang w:val="sr-Cyrl-RS" w:bidi="sr-Cyrl-CS"/>
        </w:rPr>
        <w:instrText xml:space="preserve"> REF _Ref153813419 \h  \* MERGEFORMAT </w:instrText>
      </w:r>
      <w:r w:rsidR="00EA327C">
        <w:rPr>
          <w:rFonts w:ascii="Calibri Light" w:eastAsia="Calibri" w:hAnsi="Calibri Light" w:cs="Calibri Light"/>
          <w:lang w:val="sr-Cyrl-RS" w:bidi="sr-Cyrl-CS"/>
        </w:rPr>
      </w:r>
      <w:r w:rsidR="00EA327C">
        <w:rPr>
          <w:rFonts w:ascii="Calibri Light" w:eastAsia="Calibri" w:hAnsi="Calibri Light" w:cs="Calibri Light"/>
          <w:lang w:val="sr-Cyrl-RS" w:bidi="sr-Cyrl-CS"/>
        </w:rPr>
        <w:fldChar w:fldCharType="separate"/>
      </w:r>
      <w:r w:rsidR="00EA327C" w:rsidRPr="00565B02">
        <w:rPr>
          <w:rFonts w:ascii="Calibri Light" w:eastAsia="Calibri" w:hAnsi="Calibri Light" w:cs="Calibri Light"/>
          <w:lang w:val="sr-Cyrl-RS" w:bidi="sr-Cyrl-CS"/>
        </w:rPr>
        <w:t>слици 4.20</w:t>
      </w:r>
      <w:r w:rsidR="00EA327C">
        <w:rPr>
          <w:rFonts w:ascii="Calibri Light" w:eastAsia="Calibri" w:hAnsi="Calibri Light" w:cs="Calibri Light"/>
          <w:lang w:val="sr-Cyrl-RS" w:bidi="sr-Cyrl-CS"/>
        </w:rPr>
        <w:fldChar w:fldCharType="end"/>
      </w:r>
      <w:r w:rsidR="002A1A23" w:rsidRPr="00565B02">
        <w:rPr>
          <w:rFonts w:ascii="Calibri Light" w:eastAsia="Calibri" w:hAnsi="Calibri Light" w:cs="Calibri Light"/>
          <w:lang w:val="sr-Cyrl-RS" w:bidi="sr-Cyrl-CS"/>
        </w:rPr>
        <w:fldChar w:fldCharType="begin" w:fldLock="1"/>
      </w:r>
      <w:r w:rsidR="002A1A23" w:rsidRPr="00565B02">
        <w:rPr>
          <w:rFonts w:ascii="Calibri Light" w:eastAsia="Calibri" w:hAnsi="Calibri Light" w:cs="Calibri Light"/>
          <w:lang w:val="sr-Cyrl-RS" w:bidi="sr-Cyrl-CS"/>
        </w:rPr>
        <w:instrText xml:space="preserve"> REF _Ref113633934 \h  \* MERGEFORMAT </w:instrText>
      </w:r>
      <w:r w:rsidR="002A1A23" w:rsidRPr="00565B02">
        <w:rPr>
          <w:rFonts w:ascii="Calibri Light" w:eastAsia="Calibri" w:hAnsi="Calibri Light" w:cs="Calibri Light"/>
          <w:lang w:val="sr-Cyrl-RS" w:bidi="sr-Cyrl-CS"/>
        </w:rPr>
      </w:r>
      <w:r w:rsidR="002A1A23" w:rsidRPr="00565B02">
        <w:rPr>
          <w:rFonts w:ascii="Calibri Light" w:eastAsia="Calibri" w:hAnsi="Calibri Light" w:cs="Calibri Light"/>
          <w:lang w:val="sr-Cyrl-RS" w:bidi="sr-Cyrl-CS"/>
        </w:rPr>
        <w:fldChar w:fldCharType="separate"/>
      </w:r>
      <w:r w:rsidR="002A1A23" w:rsidRPr="00565B02">
        <w:rPr>
          <w:rFonts w:ascii="Calibri Light" w:eastAsia="Calibri" w:hAnsi="Calibri Light" w:cs="Calibri Light"/>
          <w:lang w:val="sr-Cyrl-RS" w:bidi="sr-Cyrl-CS"/>
        </w:rPr>
        <w:fldChar w:fldCharType="end"/>
      </w:r>
      <w:r w:rsidR="002A1A23" w:rsidRPr="00565B02">
        <w:rPr>
          <w:rFonts w:ascii="Calibri Light" w:eastAsia="Calibri" w:hAnsi="Calibri Light" w:cs="Calibri Light"/>
          <w:lang w:val="sr-Cyrl-RS" w:bidi="sr-Cyrl-CS"/>
        </w:rPr>
        <w:t xml:space="preserve">, </w:t>
      </w:r>
      <w:r w:rsidRPr="00565B02">
        <w:rPr>
          <w:rFonts w:ascii="Calibri Light" w:eastAsia="Calibri" w:hAnsi="Calibri Light" w:cs="Calibri Light"/>
          <w:lang w:val="sr-Cyrl-RS" w:bidi="sr-Cyrl-CS"/>
        </w:rPr>
        <w:t>углавном</w:t>
      </w:r>
      <w:r w:rsidRPr="00FF386D">
        <w:rPr>
          <w:rFonts w:ascii="Calibri Light" w:hAnsi="Calibri Light" w:cs="Calibri Light"/>
          <w:lang w:val="sr-Cyrl-RS" w:bidi="sr-Cyrl-CS"/>
        </w:rPr>
        <w:t xml:space="preserve"> због значајног искоришћења биомасе за грејање. У сценарију </w:t>
      </w:r>
      <w:r w:rsidRPr="00FF386D">
        <w:rPr>
          <w:rFonts w:ascii="Calibri Light" w:hAnsi="Calibri Light" w:cs="Calibri Light"/>
          <w:i/>
          <w:lang w:val="sr-Cyrl-RS" w:bidi="sr-Cyrl-CS"/>
        </w:rPr>
        <w:t>WEM</w:t>
      </w:r>
      <w:r w:rsidRPr="00FF386D">
        <w:rPr>
          <w:rFonts w:ascii="Calibri Light" w:hAnsi="Calibri Light" w:cs="Calibri Light"/>
          <w:lang w:val="sr-Cyrl-RS" w:bidi="sr-Cyrl-CS"/>
        </w:rPr>
        <w:t xml:space="preserve"> нису предвиђене нове мере након 2030. године, тако да је предвиђено повећање потражње за грејањем покривено конвенционалним горивима што доводи до смањења процента ОИЕ у грејању.</w:t>
      </w:r>
    </w:p>
    <w:p w14:paraId="51D7B4D1" w14:textId="069A3728" w:rsidR="00EA327C" w:rsidRDefault="00EA327C" w:rsidP="00565B02">
      <w:pPr>
        <w:pStyle w:val="Caption"/>
        <w:keepNext/>
      </w:pPr>
      <w:bookmarkStart w:id="187" w:name="_Ref153813419"/>
      <w:bookmarkStart w:id="188" w:name="_Toc153901366"/>
      <w:r>
        <w:lastRenderedPageBreak/>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20</w:t>
      </w:r>
      <w:r w:rsidR="00F35B2C">
        <w:fldChar w:fldCharType="end"/>
      </w:r>
      <w:bookmarkEnd w:id="187"/>
      <w:r w:rsidRPr="00EA327C">
        <w:t>: Удео ОИЕ у грејању и хлађењу у периоду 2020-2050. године у сценарију са постојећим мерама (WEM)</w:t>
      </w:r>
      <w:bookmarkEnd w:id="188"/>
    </w:p>
    <w:p w14:paraId="0A99036C" w14:textId="14B862BF" w:rsidR="003E392D" w:rsidRPr="00FF386D" w:rsidRDefault="00EA327C" w:rsidP="003705F8">
      <w:pPr>
        <w:jc w:val="center"/>
        <w:rPr>
          <w:lang w:eastAsia="el-GR"/>
        </w:rPr>
      </w:pPr>
      <w:r>
        <w:rPr>
          <w:noProof/>
          <w:lang w:val="en-US"/>
        </w:rPr>
        <mc:AlternateContent>
          <mc:Choice Requires="wps">
            <w:drawing>
              <wp:anchor distT="0" distB="0" distL="114300" distR="114300" simplePos="0" relativeHeight="251683840" behindDoc="0" locked="0" layoutInCell="1" allowOverlap="1" wp14:anchorId="6E4CAEDC" wp14:editId="3A683DCA">
                <wp:simplePos x="0" y="0"/>
                <wp:positionH relativeFrom="column">
                  <wp:posOffset>1263831</wp:posOffset>
                </wp:positionH>
                <wp:positionV relativeFrom="paragraph">
                  <wp:posOffset>297815</wp:posOffset>
                </wp:positionV>
                <wp:extent cx="2498272" cy="2429691"/>
                <wp:effectExtent l="0" t="0" r="0" b="8890"/>
                <wp:wrapNone/>
                <wp:docPr id="945246501" name="Text Box 945246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98272" cy="2429691"/>
                        </a:xfrm>
                        <a:prstGeom prst="rect">
                          <a:avLst/>
                        </a:prstGeom>
                        <a:solidFill>
                          <a:sysClr val="window" lastClr="FFFFFF">
                            <a:lumMod val="65000"/>
                            <a:alpha val="50000"/>
                          </a:sysClr>
                        </a:solidFill>
                        <a:ln>
                          <a:noFill/>
                        </a:ln>
                        <a:effectLst/>
                      </wps:spPr>
                      <wps:bodyPr wrap="square" rtlCol="0"/>
                    </wps:wsp>
                  </a:graphicData>
                </a:graphic>
                <wp14:sizeRelH relativeFrom="page">
                  <wp14:pctWidth>0</wp14:pctWidth>
                </wp14:sizeRelH>
                <wp14:sizeRelV relativeFrom="page">
                  <wp14:pctHeight>0</wp14:pctHeight>
                </wp14:sizeRelV>
              </wp:anchor>
            </w:drawing>
          </mc:Choice>
          <mc:Fallback>
            <w:pict>
              <v:shape w14:anchorId="3CC488F8" id="Text Box 945246501" o:spid="_x0000_s1026" type="#_x0000_t202" style="position:absolute;margin-left:99.5pt;margin-top:23.45pt;width:196.7pt;height:191.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" fillcolor="#a6a6a6" stroked="f">
                <v:fill opacity="32896f"/>
              </v:shape>
            </w:pict>
          </mc:Fallback>
        </mc:AlternateContent>
      </w:r>
      <w:r w:rsidR="00725413" w:rsidRPr="004F53D7">
        <w:rPr>
          <w:noProof/>
          <w:lang w:val="en-US"/>
        </w:rPr>
        <w:drawing>
          <wp:inline distT="0" distB="0" distL="0" distR="0" wp14:anchorId="307F8E1D" wp14:editId="535F9B13">
            <wp:extent cx="5164611" cy="3336925"/>
            <wp:effectExtent l="0" t="0" r="0" b="0"/>
            <wp:docPr id="970772655" name="Picture 970772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188612" cy="3352432"/>
                    </a:xfrm>
                    <a:prstGeom prst="rect">
                      <a:avLst/>
                    </a:prstGeom>
                    <a:noFill/>
                  </pic:spPr>
                </pic:pic>
              </a:graphicData>
            </a:graphic>
          </wp:inline>
        </w:drawing>
      </w:r>
    </w:p>
    <w:p w14:paraId="430BD8B5" w14:textId="4119BDDB" w:rsidR="007B0B63" w:rsidRPr="00FF386D" w:rsidRDefault="002A1A23" w:rsidP="007B0B63">
      <w:pPr>
        <w:spacing w:before="120" w:after="120" w:line="240" w:lineRule="auto"/>
        <w:jc w:val="both"/>
        <w:rPr>
          <w:rFonts w:ascii="Calibri Light" w:eastAsia="Calibri" w:hAnsi="Calibri Light" w:cs="Calibri Light"/>
          <w:lang w:bidi="sr-Cyrl-CS"/>
        </w:rPr>
      </w:pPr>
      <w:r w:rsidRPr="00FF386D">
        <w:rPr>
          <w:rFonts w:ascii="Calibri Light" w:eastAsia="Times New Roman" w:hAnsi="Calibri Light" w:cs="Calibri Light"/>
          <w:lang w:eastAsia="el-GR" w:bidi="sr-Cyrl-CS"/>
        </w:rPr>
        <w:t xml:space="preserve">Као што је приказано </w:t>
      </w:r>
      <w:r w:rsidRPr="00565B02">
        <w:rPr>
          <w:rFonts w:ascii="Calibri Light" w:eastAsia="Calibri" w:hAnsi="Calibri Light" w:cs="Calibri Light"/>
          <w:lang w:bidi="sr-Cyrl-CS"/>
        </w:rPr>
        <w:t xml:space="preserve">на </w:t>
      </w:r>
      <w:r w:rsidR="005373AF" w:rsidRPr="00565B02">
        <w:rPr>
          <w:rFonts w:ascii="Calibri Light" w:eastAsia="Calibri" w:hAnsi="Calibri Light" w:cs="Calibri Light"/>
          <w:lang w:bidi="sr-Cyrl-CS"/>
        </w:rPr>
        <w:fldChar w:fldCharType="begin"/>
      </w:r>
      <w:r w:rsidR="005373AF" w:rsidRPr="00565B02">
        <w:rPr>
          <w:rFonts w:ascii="Calibri Light" w:eastAsia="Calibri" w:hAnsi="Calibri Light" w:cs="Calibri Light"/>
          <w:lang w:bidi="sr-Cyrl-CS"/>
        </w:rPr>
        <w:instrText xml:space="preserve"> REF _Ref153813529 \h </w:instrText>
      </w:r>
      <w:r w:rsidR="005373AF">
        <w:rPr>
          <w:rFonts w:ascii="Calibri Light" w:eastAsia="Calibri" w:hAnsi="Calibri Light" w:cs="Calibri Light"/>
          <w:lang w:bidi="sr-Cyrl-CS"/>
        </w:rPr>
        <w:instrText xml:space="preserve"> \* MERGEFORMAT </w:instrText>
      </w:r>
      <w:r w:rsidR="005373AF" w:rsidRPr="00565B02">
        <w:rPr>
          <w:rFonts w:ascii="Calibri Light" w:eastAsia="Calibri" w:hAnsi="Calibri Light" w:cs="Calibri Light"/>
          <w:lang w:bidi="sr-Cyrl-CS"/>
        </w:rPr>
      </w:r>
      <w:r w:rsidR="005373AF" w:rsidRPr="00565B02">
        <w:rPr>
          <w:rFonts w:ascii="Calibri Light" w:eastAsia="Calibri" w:hAnsi="Calibri Light" w:cs="Calibri Light"/>
          <w:lang w:bidi="sr-Cyrl-CS"/>
        </w:rPr>
        <w:fldChar w:fldCharType="separate"/>
      </w:r>
      <w:r w:rsidR="005373AF">
        <w:rPr>
          <w:rFonts w:ascii="Calibri Light" w:eastAsia="Calibri" w:hAnsi="Calibri Light" w:cs="Calibri Light"/>
          <w:lang w:bidi="sr-Cyrl-CS"/>
        </w:rPr>
        <w:t>с</w:t>
      </w:r>
      <w:r w:rsidR="005373AF" w:rsidRPr="00565B02">
        <w:rPr>
          <w:rFonts w:ascii="Calibri Light" w:eastAsia="Calibri" w:hAnsi="Calibri Light" w:cs="Calibri Light"/>
          <w:lang w:bidi="sr-Cyrl-CS"/>
        </w:rPr>
        <w:t>ли</w:t>
      </w:r>
      <w:r w:rsidR="005373AF">
        <w:rPr>
          <w:rFonts w:ascii="Calibri Light" w:eastAsia="Calibri" w:hAnsi="Calibri Light" w:cs="Calibri Light"/>
          <w:lang w:bidi="sr-Cyrl-CS"/>
        </w:rPr>
        <w:t>ци</w:t>
      </w:r>
      <w:r w:rsidR="005373AF" w:rsidRPr="00565B02">
        <w:rPr>
          <w:rFonts w:ascii="Calibri Light" w:eastAsia="Calibri" w:hAnsi="Calibri Light" w:cs="Calibri Light"/>
          <w:lang w:bidi="sr-Cyrl-CS"/>
        </w:rPr>
        <w:t xml:space="preserve"> 4.21</w:t>
      </w:r>
      <w:r w:rsidR="005373AF" w:rsidRPr="00565B02">
        <w:rPr>
          <w:rFonts w:ascii="Calibri Light" w:eastAsia="Calibri" w:hAnsi="Calibri Light" w:cs="Calibri Light"/>
          <w:lang w:bidi="sr-Cyrl-CS"/>
        </w:rPr>
        <w:fldChar w:fldCharType="end"/>
      </w:r>
      <w:r w:rsidRPr="00565B02">
        <w:rPr>
          <w:rFonts w:ascii="Calibri Light" w:eastAsia="Calibri" w:hAnsi="Calibri Light" w:cs="Calibri Light"/>
          <w:lang w:bidi="sr-Cyrl-CS"/>
        </w:rPr>
        <w:fldChar w:fldCharType="begin" w:fldLock="1"/>
      </w:r>
      <w:r w:rsidRPr="00565B02">
        <w:rPr>
          <w:rFonts w:ascii="Calibri Light" w:eastAsia="Calibri" w:hAnsi="Calibri Light" w:cs="Calibri Light"/>
          <w:lang w:bidi="sr-Cyrl-CS"/>
        </w:rPr>
        <w:instrText xml:space="preserve"> REF _Ref113633945 \h  \* MERGEFORMAT </w:instrText>
      </w:r>
      <w:r w:rsidRPr="00565B02">
        <w:rPr>
          <w:rFonts w:ascii="Calibri Light" w:eastAsia="Calibri" w:hAnsi="Calibri Light" w:cs="Calibri Light"/>
          <w:lang w:bidi="sr-Cyrl-CS"/>
        </w:rPr>
      </w:r>
      <w:r w:rsidRPr="00565B02">
        <w:rPr>
          <w:rFonts w:ascii="Calibri Light" w:eastAsia="Calibri" w:hAnsi="Calibri Light" w:cs="Calibri Light"/>
          <w:lang w:bidi="sr-Cyrl-CS"/>
        </w:rPr>
        <w:fldChar w:fldCharType="separate"/>
      </w:r>
      <w:r w:rsidRPr="00565B02">
        <w:rPr>
          <w:rFonts w:ascii="Calibri Light" w:eastAsia="Calibri" w:hAnsi="Calibri Light" w:cs="Calibri Light"/>
          <w:lang w:bidi="sr-Cyrl-CS"/>
        </w:rPr>
        <w:fldChar w:fldCharType="end"/>
      </w:r>
      <w:r w:rsidRPr="00565B02">
        <w:rPr>
          <w:rFonts w:ascii="Calibri Light" w:eastAsia="Calibri" w:hAnsi="Calibri Light" w:cs="Calibri Light"/>
          <w:lang w:bidi="sr-Cyrl-CS"/>
        </w:rPr>
        <w:t xml:space="preserve">, </w:t>
      </w:r>
      <w:r w:rsidR="007B0B63" w:rsidRPr="00FF386D">
        <w:rPr>
          <w:rFonts w:ascii="Calibri Light" w:eastAsia="Calibri" w:hAnsi="Calibri Light" w:cs="Calibri Light"/>
          <w:lang w:bidi="sr-Cyrl-CS"/>
        </w:rPr>
        <w:t xml:space="preserve">удео ОИЕ у саобраћају (без мултипликатора) ће бити занемарљив у 2020. години, пре него што порасте на </w:t>
      </w:r>
      <w:r w:rsidR="00D90012" w:rsidRPr="00FF386D">
        <w:rPr>
          <w:rFonts w:ascii="Calibri Light" w:eastAsia="Calibri" w:hAnsi="Calibri Light" w:cs="Calibri Light"/>
          <w:lang w:bidi="sr-Cyrl-CS"/>
        </w:rPr>
        <w:t>3,7</w:t>
      </w:r>
      <w:r w:rsidR="007B0B63" w:rsidRPr="00FF386D">
        <w:rPr>
          <w:rFonts w:ascii="Calibri Light" w:eastAsia="Calibri" w:hAnsi="Calibri Light" w:cs="Calibri Light"/>
          <w:lang w:bidi="sr-Cyrl-CS"/>
        </w:rPr>
        <w:t>% у 2030. години, остаће стабилан на овом нивоу до 2045. године, а достићи ће 5% 2050. године. Електрификација сектора саобраћаја доприноси повећању удела ОИЕ у спрези са повећањем удела ОИЕ у производњи електричне енергије, што утиче на електричну енергију која се користи у саобраћају.</w:t>
      </w:r>
    </w:p>
    <w:p w14:paraId="648303F8" w14:textId="4F4CA515" w:rsidR="005373AF" w:rsidRPr="005373AF" w:rsidRDefault="005373AF" w:rsidP="00565B02">
      <w:bookmarkStart w:id="189" w:name="_Ref153813529"/>
      <w:bookmarkStart w:id="190" w:name="_Toc153901367"/>
      <w:r w:rsidRPr="005373AF">
        <w:rPr>
          <w:rFonts w:ascii="Calibri Light" w:hAnsi="Calibri Light" w:cs="Times New Roman"/>
          <w:b/>
          <w:bCs/>
          <w:color w:val="01406B"/>
        </w:rPr>
        <w:t xml:space="preserve">Слика </w:t>
      </w:r>
      <w:r w:rsidR="00F35B2C">
        <w:rPr>
          <w:rFonts w:ascii="Calibri Light" w:hAnsi="Calibri Light" w:cs="Times New Roman"/>
          <w:b/>
          <w:bCs/>
          <w:color w:val="01406B"/>
        </w:rPr>
        <w:fldChar w:fldCharType="begin"/>
      </w:r>
      <w:r w:rsidR="00F35B2C">
        <w:rPr>
          <w:rFonts w:ascii="Calibri Light" w:hAnsi="Calibri Light" w:cs="Times New Roman"/>
          <w:b/>
          <w:bCs/>
          <w:color w:val="01406B"/>
        </w:rPr>
        <w:instrText xml:space="preserve"> STYLEREF 1 \s </w:instrText>
      </w:r>
      <w:r w:rsidR="00F35B2C">
        <w:rPr>
          <w:rFonts w:ascii="Calibri Light" w:hAnsi="Calibri Light" w:cs="Times New Roman"/>
          <w:b/>
          <w:bCs/>
          <w:color w:val="01406B"/>
        </w:rPr>
        <w:fldChar w:fldCharType="separate"/>
      </w:r>
      <w:r w:rsidR="00F35B2C">
        <w:rPr>
          <w:rFonts w:ascii="Calibri Light" w:hAnsi="Calibri Light" w:cs="Times New Roman"/>
          <w:b/>
          <w:bCs/>
          <w:noProof/>
          <w:color w:val="01406B"/>
        </w:rPr>
        <w:t>4</w:t>
      </w:r>
      <w:r w:rsidR="00F35B2C">
        <w:rPr>
          <w:rFonts w:ascii="Calibri Light" w:hAnsi="Calibri Light" w:cs="Times New Roman"/>
          <w:b/>
          <w:bCs/>
          <w:color w:val="01406B"/>
        </w:rPr>
        <w:fldChar w:fldCharType="end"/>
      </w:r>
      <w:r w:rsidR="00F35B2C">
        <w:rPr>
          <w:rFonts w:ascii="Calibri Light" w:hAnsi="Calibri Light" w:cs="Times New Roman"/>
          <w:b/>
          <w:bCs/>
          <w:color w:val="01406B"/>
        </w:rPr>
        <w:t>.</w:t>
      </w:r>
      <w:r w:rsidR="00F35B2C">
        <w:rPr>
          <w:rFonts w:ascii="Calibri Light" w:hAnsi="Calibri Light" w:cs="Times New Roman"/>
          <w:b/>
          <w:bCs/>
          <w:color w:val="01406B"/>
        </w:rPr>
        <w:fldChar w:fldCharType="begin"/>
      </w:r>
      <w:r w:rsidR="00F35B2C">
        <w:rPr>
          <w:rFonts w:ascii="Calibri Light" w:hAnsi="Calibri Light" w:cs="Times New Roman"/>
          <w:b/>
          <w:bCs/>
          <w:color w:val="01406B"/>
        </w:rPr>
        <w:instrText xml:space="preserve"> SEQ Слика \* ARABIC \s 1 </w:instrText>
      </w:r>
      <w:r w:rsidR="00F35B2C">
        <w:rPr>
          <w:rFonts w:ascii="Calibri Light" w:hAnsi="Calibri Light" w:cs="Times New Roman"/>
          <w:b/>
          <w:bCs/>
          <w:color w:val="01406B"/>
        </w:rPr>
        <w:fldChar w:fldCharType="separate"/>
      </w:r>
      <w:r w:rsidR="00F35B2C">
        <w:rPr>
          <w:rFonts w:ascii="Calibri Light" w:hAnsi="Calibri Light" w:cs="Times New Roman"/>
          <w:b/>
          <w:bCs/>
          <w:noProof/>
          <w:color w:val="01406B"/>
        </w:rPr>
        <w:t>21</w:t>
      </w:r>
      <w:r w:rsidR="00F35B2C">
        <w:rPr>
          <w:rFonts w:ascii="Calibri Light" w:hAnsi="Calibri Light" w:cs="Times New Roman"/>
          <w:b/>
          <w:bCs/>
          <w:color w:val="01406B"/>
        </w:rPr>
        <w:fldChar w:fldCharType="end"/>
      </w:r>
      <w:bookmarkEnd w:id="189"/>
      <w:r w:rsidRPr="005373AF">
        <w:rPr>
          <w:rFonts w:ascii="Calibri Light" w:hAnsi="Calibri Light" w:cs="Times New Roman"/>
          <w:b/>
          <w:bCs/>
          <w:color w:val="01406B"/>
        </w:rPr>
        <w:t>: Удео ОИЕ у саобраћају (без мултипликатора) у периоду 2020-2050. године у сценарију са постојећим мерама (WEM)</w:t>
      </w:r>
      <w:bookmarkEnd w:id="190"/>
    </w:p>
    <w:p w14:paraId="323F208A" w14:textId="07A1031F" w:rsidR="002A1A23" w:rsidRPr="00FF386D" w:rsidRDefault="005373AF" w:rsidP="002A1A23">
      <w:pPr>
        <w:jc w:val="center"/>
        <w:rPr>
          <w:rFonts w:ascii="Calibri" w:eastAsia="Calibri" w:hAnsi="Calibri" w:cs="Times New Roman"/>
          <w:lang w:eastAsia="el-GR" w:bidi="sr-Cyrl-CS"/>
        </w:rPr>
      </w:pPr>
      <w:r w:rsidRPr="00565B02">
        <w:rPr>
          <w:rFonts w:ascii="Calibri Light" w:hAnsi="Calibri Light" w:cs="Times New Roman"/>
          <w:b/>
          <w:bCs/>
          <w:noProof/>
          <w:color w:val="01406B"/>
        </w:rPr>
        <mc:AlternateContent>
          <mc:Choice Requires="wps">
            <w:drawing>
              <wp:anchor distT="0" distB="0" distL="114300" distR="114300" simplePos="0" relativeHeight="251685888" behindDoc="0" locked="0" layoutInCell="1" allowOverlap="1" wp14:anchorId="61AFDB4F" wp14:editId="5395274B">
                <wp:simplePos x="0" y="0"/>
                <wp:positionH relativeFrom="column">
                  <wp:posOffset>1041037</wp:posOffset>
                </wp:positionH>
                <wp:positionV relativeFrom="paragraph">
                  <wp:posOffset>497296</wp:posOffset>
                </wp:positionV>
                <wp:extent cx="2724150" cy="2011680"/>
                <wp:effectExtent l="0" t="0" r="0" b="0"/>
                <wp:wrapNone/>
                <wp:docPr id="514714208" name="Text Box 514714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4150" cy="2011680"/>
                        </a:xfrm>
                        <a:prstGeom prst="rect">
                          <a:avLst/>
                        </a:prstGeom>
                        <a:solidFill>
                          <a:sysClr val="window" lastClr="FFFFFF">
                            <a:lumMod val="65000"/>
                            <a:alpha val="50000"/>
                          </a:sysClr>
                        </a:solidFill>
                        <a:ln>
                          <a:noFill/>
                        </a:ln>
                        <a:effectLst/>
                      </wps:spPr>
                      <wps:bodyPr wrap="square" rtlCol="0"/>
                    </wps:wsp>
                  </a:graphicData>
                </a:graphic>
                <wp14:sizeRelH relativeFrom="page">
                  <wp14:pctWidth>0</wp14:pctWidth>
                </wp14:sizeRelH>
                <wp14:sizeRelV relativeFrom="page">
                  <wp14:pctHeight>0</wp14:pctHeight>
                </wp14:sizeRelV>
              </wp:anchor>
            </w:drawing>
          </mc:Choice>
          <mc:Fallback>
            <w:pict>
              <v:shape w14:anchorId="5DF225AD" id="Text Box 514714208" o:spid="_x0000_s1026" type="#_x0000_t202" style="position:absolute;margin-left:81.95pt;margin-top:39.15pt;width:214.5pt;height:158.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" fillcolor="#a6a6a6" stroked="f">
                <v:fill opacity="32896f"/>
              </v:shape>
            </w:pict>
          </mc:Fallback>
        </mc:AlternateContent>
      </w:r>
      <w:r w:rsidR="00725413" w:rsidRPr="004F53D7">
        <w:rPr>
          <w:rFonts w:ascii="Calibri" w:eastAsia="Calibri" w:hAnsi="Calibri" w:cs="Times New Roman"/>
          <w:noProof/>
          <w:lang w:val="en-US"/>
        </w:rPr>
        <w:drawing>
          <wp:inline distT="0" distB="0" distL="0" distR="0" wp14:anchorId="52BD151E" wp14:editId="19435368">
            <wp:extent cx="5496379" cy="3016250"/>
            <wp:effectExtent l="0" t="0" r="0" b="0"/>
            <wp:docPr id="1298659011" name="Picture 1298659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12268" cy="3024970"/>
                    </a:xfrm>
                    <a:prstGeom prst="rect">
                      <a:avLst/>
                    </a:prstGeom>
                    <a:noFill/>
                  </pic:spPr>
                </pic:pic>
              </a:graphicData>
            </a:graphic>
          </wp:inline>
        </w:drawing>
      </w:r>
    </w:p>
    <w:p w14:paraId="73FDC4A4" w14:textId="62EA69C9" w:rsidR="007B0B63" w:rsidRPr="00FF386D" w:rsidRDefault="007B0B63" w:rsidP="007B0B63">
      <w:pPr>
        <w:pStyle w:val="LDKbody"/>
        <w:rPr>
          <w:rFonts w:asciiTheme="minorHAnsi" w:hAnsiTheme="minorHAnsi" w:cstheme="minorHAnsi"/>
          <w:lang w:val="sr-Cyrl-RS"/>
        </w:rPr>
      </w:pPr>
      <w:r w:rsidRPr="00FF386D">
        <w:rPr>
          <w:rFonts w:ascii="Calibri Light" w:eastAsia="Calibri" w:hAnsi="Calibri Light" w:cs="Calibri Light"/>
          <w:lang w:val="sr-Cyrl-RS" w:bidi="sr-Cyrl-CS"/>
        </w:rPr>
        <w:t>Поред тога, увођење биогорива у сектор саобраћаја ће се повећати до 2050. године, приказујући удео једнак 73,33 ktoe у 2030. и 94,11 ktoe у 2050. години, у поређењу са нултим нивоима у 2020. години, као што је приказано на</w:t>
      </w:r>
      <w:r w:rsidR="005373AF">
        <w:rPr>
          <w:rFonts w:ascii="Calibri Light" w:eastAsia="Calibri" w:hAnsi="Calibri Light" w:cs="Calibri Light"/>
          <w:lang w:val="sr-Cyrl-RS" w:bidi="sr-Cyrl-CS"/>
        </w:rPr>
        <w:t xml:space="preserve"> </w:t>
      </w:r>
      <w:r w:rsidR="005373AF">
        <w:rPr>
          <w:rFonts w:ascii="Calibri Light" w:eastAsia="Calibri" w:hAnsi="Calibri Light" w:cs="Calibri Light"/>
          <w:lang w:val="sr-Cyrl-RS" w:bidi="sr-Cyrl-CS"/>
        </w:rPr>
        <w:fldChar w:fldCharType="begin"/>
      </w:r>
      <w:r w:rsidR="005373AF">
        <w:rPr>
          <w:rFonts w:ascii="Calibri Light" w:eastAsia="Calibri" w:hAnsi="Calibri Light" w:cs="Calibri Light"/>
          <w:lang w:val="sr-Cyrl-RS" w:bidi="sr-Cyrl-CS"/>
        </w:rPr>
        <w:instrText xml:space="preserve"> REF _Ref153813657 \h  \* MERGEFORMAT </w:instrText>
      </w:r>
      <w:r w:rsidR="005373AF">
        <w:rPr>
          <w:rFonts w:ascii="Calibri Light" w:eastAsia="Calibri" w:hAnsi="Calibri Light" w:cs="Calibri Light"/>
          <w:lang w:val="sr-Cyrl-RS" w:bidi="sr-Cyrl-CS"/>
        </w:rPr>
      </w:r>
      <w:r w:rsidR="005373AF">
        <w:rPr>
          <w:rFonts w:ascii="Calibri Light" w:eastAsia="Calibri" w:hAnsi="Calibri Light" w:cs="Calibri Light"/>
          <w:lang w:val="sr-Cyrl-RS" w:bidi="sr-Cyrl-CS"/>
        </w:rPr>
        <w:fldChar w:fldCharType="separate"/>
      </w:r>
      <w:r w:rsidR="005373AF" w:rsidRPr="00565B02">
        <w:rPr>
          <w:rFonts w:ascii="Calibri Light" w:eastAsia="Calibri" w:hAnsi="Calibri Light" w:cs="Calibri Light"/>
          <w:lang w:val="sr-Cyrl-RS" w:bidi="sr-Cyrl-CS"/>
        </w:rPr>
        <w:t>слици 4.22</w:t>
      </w:r>
      <w:r w:rsidR="005373AF">
        <w:rPr>
          <w:rFonts w:ascii="Calibri Light" w:eastAsia="Calibri" w:hAnsi="Calibri Light" w:cs="Calibri Light"/>
          <w:lang w:val="sr-Cyrl-RS" w:bidi="sr-Cyrl-CS"/>
        </w:rPr>
        <w:fldChar w:fldCharType="end"/>
      </w:r>
      <w:r w:rsidR="002A1A23" w:rsidRPr="00565B02">
        <w:rPr>
          <w:rFonts w:ascii="Calibri Light" w:eastAsia="Calibri" w:hAnsi="Calibri Light" w:cs="Calibri Light"/>
          <w:lang w:val="sr-Cyrl-RS" w:bidi="sr-Cyrl-CS"/>
        </w:rPr>
        <w:t xml:space="preserve">. </w:t>
      </w:r>
      <w:r w:rsidRPr="00565B02">
        <w:rPr>
          <w:rFonts w:ascii="Calibri Light" w:eastAsia="Calibri" w:hAnsi="Calibri Light" w:cs="Calibri Light"/>
          <w:lang w:val="sr-Cyrl-RS" w:bidi="sr-Cyrl-CS"/>
        </w:rPr>
        <w:t>Очекује</w:t>
      </w:r>
      <w:r w:rsidRPr="00FF386D">
        <w:rPr>
          <w:rFonts w:ascii="Calibri Light" w:hAnsi="Calibri Light" w:cs="Calibri Light"/>
          <w:lang w:val="sr-Cyrl-RS"/>
        </w:rPr>
        <w:t xml:space="preserve"> се да ће </w:t>
      </w:r>
      <w:r w:rsidRPr="00FF386D">
        <w:rPr>
          <w:rFonts w:ascii="Calibri Light" w:hAnsi="Calibri Light" w:cs="Calibri Light"/>
          <w:lang w:val="sr-Cyrl-RS" w:bidi="sr-Cyrl-CS"/>
        </w:rPr>
        <w:t xml:space="preserve">потрошња електричне енергије из обновљивих извора </w:t>
      </w:r>
      <w:r w:rsidRPr="00FF386D">
        <w:rPr>
          <w:rFonts w:ascii="Calibri Light" w:hAnsi="Calibri Light" w:cs="Calibri Light"/>
          <w:lang w:val="sr-Cyrl-RS" w:bidi="sr-Cyrl-CS"/>
        </w:rPr>
        <w:lastRenderedPageBreak/>
        <w:t xml:space="preserve">у недрумском саобраћају порасти са 9,6 ktoe у 2020. години на 13,6 ktoe у 2030. години и на 19,2 ktoe у 2050. години, што је повезано са делимичном електрификацијом </w:t>
      </w:r>
      <w:r w:rsidRPr="00FF386D">
        <w:rPr>
          <w:rFonts w:asciiTheme="majorHAnsi" w:hAnsiTheme="majorHAnsi" w:cstheme="majorHAnsi"/>
          <w:lang w:val="sr-Cyrl-RS" w:bidi="sr-Cyrl-CS"/>
        </w:rPr>
        <w:t>железнице.</w:t>
      </w:r>
    </w:p>
    <w:p w14:paraId="27527B17" w14:textId="36864FA5" w:rsidR="005373AF" w:rsidRPr="005373AF" w:rsidRDefault="005373AF" w:rsidP="00565B02">
      <w:pPr>
        <w:spacing w:after="200" w:line="240" w:lineRule="auto"/>
      </w:pPr>
      <w:bookmarkStart w:id="191" w:name="_Ref153813657"/>
      <w:bookmarkStart w:id="192" w:name="_Toc153901368"/>
      <w:r w:rsidRPr="005373AF">
        <w:rPr>
          <w:rFonts w:ascii="Calibri Light" w:hAnsi="Calibri Light" w:cs="Times New Roman"/>
          <w:b/>
          <w:bCs/>
          <w:color w:val="01406B"/>
        </w:rPr>
        <w:t xml:space="preserve">Слика </w:t>
      </w:r>
      <w:r w:rsidR="00F35B2C">
        <w:rPr>
          <w:rFonts w:ascii="Calibri Light" w:hAnsi="Calibri Light" w:cs="Times New Roman"/>
          <w:b/>
          <w:bCs/>
          <w:color w:val="01406B"/>
        </w:rPr>
        <w:fldChar w:fldCharType="begin"/>
      </w:r>
      <w:r w:rsidR="00F35B2C">
        <w:rPr>
          <w:rFonts w:ascii="Calibri Light" w:hAnsi="Calibri Light" w:cs="Times New Roman"/>
          <w:b/>
          <w:bCs/>
          <w:color w:val="01406B"/>
        </w:rPr>
        <w:instrText xml:space="preserve"> STYLEREF 1 \s </w:instrText>
      </w:r>
      <w:r w:rsidR="00F35B2C">
        <w:rPr>
          <w:rFonts w:ascii="Calibri Light" w:hAnsi="Calibri Light" w:cs="Times New Roman"/>
          <w:b/>
          <w:bCs/>
          <w:color w:val="01406B"/>
        </w:rPr>
        <w:fldChar w:fldCharType="separate"/>
      </w:r>
      <w:r w:rsidR="00F35B2C">
        <w:rPr>
          <w:rFonts w:ascii="Calibri Light" w:hAnsi="Calibri Light" w:cs="Times New Roman"/>
          <w:b/>
          <w:bCs/>
          <w:noProof/>
          <w:color w:val="01406B"/>
        </w:rPr>
        <w:t>4</w:t>
      </w:r>
      <w:r w:rsidR="00F35B2C">
        <w:rPr>
          <w:rFonts w:ascii="Calibri Light" w:hAnsi="Calibri Light" w:cs="Times New Roman"/>
          <w:b/>
          <w:bCs/>
          <w:color w:val="01406B"/>
        </w:rPr>
        <w:fldChar w:fldCharType="end"/>
      </w:r>
      <w:r w:rsidR="00F35B2C">
        <w:rPr>
          <w:rFonts w:ascii="Calibri Light" w:hAnsi="Calibri Light" w:cs="Times New Roman"/>
          <w:b/>
          <w:bCs/>
          <w:color w:val="01406B"/>
        </w:rPr>
        <w:t>.</w:t>
      </w:r>
      <w:r w:rsidR="00F35B2C">
        <w:rPr>
          <w:rFonts w:ascii="Calibri Light" w:hAnsi="Calibri Light" w:cs="Times New Roman"/>
          <w:b/>
          <w:bCs/>
          <w:color w:val="01406B"/>
        </w:rPr>
        <w:fldChar w:fldCharType="begin"/>
      </w:r>
      <w:r w:rsidR="00F35B2C">
        <w:rPr>
          <w:rFonts w:ascii="Calibri Light" w:hAnsi="Calibri Light" w:cs="Times New Roman"/>
          <w:b/>
          <w:bCs/>
          <w:color w:val="01406B"/>
        </w:rPr>
        <w:instrText xml:space="preserve"> SEQ Слика \* ARABIC \s 1 </w:instrText>
      </w:r>
      <w:r w:rsidR="00F35B2C">
        <w:rPr>
          <w:rFonts w:ascii="Calibri Light" w:hAnsi="Calibri Light" w:cs="Times New Roman"/>
          <w:b/>
          <w:bCs/>
          <w:color w:val="01406B"/>
        </w:rPr>
        <w:fldChar w:fldCharType="separate"/>
      </w:r>
      <w:r w:rsidR="00F35B2C">
        <w:rPr>
          <w:rFonts w:ascii="Calibri Light" w:hAnsi="Calibri Light" w:cs="Times New Roman"/>
          <w:b/>
          <w:bCs/>
          <w:noProof/>
          <w:color w:val="01406B"/>
        </w:rPr>
        <w:t>22</w:t>
      </w:r>
      <w:r w:rsidR="00F35B2C">
        <w:rPr>
          <w:rFonts w:ascii="Calibri Light" w:hAnsi="Calibri Light" w:cs="Times New Roman"/>
          <w:b/>
          <w:bCs/>
          <w:color w:val="01406B"/>
        </w:rPr>
        <w:fldChar w:fldCharType="end"/>
      </w:r>
      <w:bookmarkEnd w:id="191"/>
      <w:r w:rsidRPr="005373AF">
        <w:rPr>
          <w:rFonts w:ascii="Calibri Light" w:hAnsi="Calibri Light" w:cs="Times New Roman"/>
          <w:b/>
          <w:bCs/>
          <w:color w:val="01406B"/>
        </w:rPr>
        <w:t>: Потрошња електричне енергије из ОИЕ у саобраћају у периоду 2020-2050. године у сценарију са постојећим мерама (WEM)</w:t>
      </w:r>
      <w:bookmarkEnd w:id="192"/>
    </w:p>
    <w:p w14:paraId="43AF0DAC" w14:textId="1B771A4D" w:rsidR="001D62E7" w:rsidRPr="00FF386D" w:rsidRDefault="005373AF" w:rsidP="001D62E7">
      <w:pPr>
        <w:spacing w:after="200" w:line="240" w:lineRule="auto"/>
        <w:jc w:val="center"/>
        <w:rPr>
          <w:rFonts w:asciiTheme="majorHAnsi" w:eastAsia="Calibri" w:hAnsiTheme="majorHAnsi" w:cstheme="majorHAnsi"/>
          <w:b/>
          <w:bCs/>
          <w:color w:val="01406B"/>
          <w:lang w:eastAsia="el-GR"/>
        </w:rPr>
      </w:pPr>
      <w:r w:rsidRPr="00565B02">
        <w:rPr>
          <w:rFonts w:ascii="Calibri Light" w:hAnsi="Calibri Light" w:cs="Times New Roman"/>
          <w:b/>
          <w:bCs/>
          <w:noProof/>
          <w:color w:val="01406B"/>
        </w:rPr>
        <mc:AlternateContent>
          <mc:Choice Requires="wps">
            <w:drawing>
              <wp:anchor distT="0" distB="0" distL="114300" distR="114300" simplePos="0" relativeHeight="251669504" behindDoc="0" locked="0" layoutInCell="1" allowOverlap="1" wp14:anchorId="240F3F0A" wp14:editId="12513C8C">
                <wp:simplePos x="0" y="0"/>
                <wp:positionH relativeFrom="column">
                  <wp:posOffset>937260</wp:posOffset>
                </wp:positionH>
                <wp:positionV relativeFrom="paragraph">
                  <wp:posOffset>1407341</wp:posOffset>
                </wp:positionV>
                <wp:extent cx="3027861" cy="2179320"/>
                <wp:effectExtent l="0" t="0" r="1270" b="0"/>
                <wp:wrapNone/>
                <wp:docPr id="322672380" name="Text Box 322672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7861" cy="2179320"/>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page">
                  <wp14:pctHeight>0</wp14:pctHeight>
                </wp14:sizeRelV>
              </wp:anchor>
            </w:drawing>
          </mc:Choice>
          <mc:Fallback>
            <w:pict>
              <v:shape w14:anchorId="702CA670" id="Text Box 322672380" o:spid="_x0000_s1026" type="#_x0000_t202" style="position:absolute;margin-left:73.8pt;margin-top:110.8pt;width:238.4pt;height:171.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" fillcolor="#a6a6a6" stroked="f">
                <v:fill opacity="32896f"/>
              </v:shape>
            </w:pict>
          </mc:Fallback>
        </mc:AlternateContent>
      </w:r>
      <w:r w:rsidR="00326943" w:rsidRPr="004F53D7">
        <w:rPr>
          <w:rFonts w:asciiTheme="majorHAnsi" w:eastAsia="Calibri" w:hAnsiTheme="majorHAnsi" w:cstheme="majorHAnsi"/>
          <w:b/>
          <w:bCs/>
          <w:noProof/>
          <w:color w:val="01406B"/>
          <w:lang w:val="en-US"/>
        </w:rPr>
        <w:drawing>
          <wp:inline distT="0" distB="0" distL="0" distR="0" wp14:anchorId="569364F2" wp14:editId="4DB2A7FB">
            <wp:extent cx="6202680" cy="4015447"/>
            <wp:effectExtent l="0" t="0" r="0" b="0"/>
            <wp:docPr id="886049633" name="Picture 886049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220056" cy="4026696"/>
                    </a:xfrm>
                    <a:prstGeom prst="rect">
                      <a:avLst/>
                    </a:prstGeom>
                    <a:noFill/>
                  </pic:spPr>
                </pic:pic>
              </a:graphicData>
            </a:graphic>
          </wp:inline>
        </w:drawing>
      </w:r>
    </w:p>
    <w:p w14:paraId="1C0B4972" w14:textId="5D4A7998" w:rsidR="007B0B63" w:rsidRPr="00FF386D" w:rsidRDefault="002A1A23" w:rsidP="007B0B63">
      <w:pPr>
        <w:pStyle w:val="LDKbody"/>
        <w:rPr>
          <w:rFonts w:ascii="Calibri Light" w:hAnsi="Calibri Light" w:cs="Calibri Light"/>
          <w:lang w:val="sr-Cyrl-RS"/>
        </w:rPr>
      </w:pPr>
      <w:r w:rsidRPr="00FF386D">
        <w:rPr>
          <w:rFonts w:ascii="Calibri Light" w:hAnsi="Calibri Light" w:cs="Calibri Light"/>
          <w:lang w:val="sr-Cyrl-RS" w:bidi="sr-Cyrl-CS"/>
        </w:rPr>
        <w:t>Што се тиче инсталисаног капацитета по извору горива у топланама</w:t>
      </w:r>
      <w:r w:rsidR="00A534CF">
        <w:rPr>
          <w:rStyle w:val="FootnoteReference"/>
          <w:rFonts w:ascii="Calibri Light" w:hAnsi="Calibri Light" w:cs="Calibri Light"/>
          <w:lang w:bidi="sr-Cyrl-CS"/>
        </w:rPr>
        <w:footnoteReference w:id="122"/>
      </w:r>
      <w:r w:rsidRPr="00FF386D">
        <w:rPr>
          <w:rFonts w:ascii="Calibri Light" w:hAnsi="Calibri Light" w:cs="Calibri Light"/>
          <w:lang w:val="sr-Cyrl-RS" w:bidi="sr-Cyrl-CS"/>
        </w:rPr>
        <w:t>,</w:t>
      </w:r>
      <w:r w:rsidR="007B0B63" w:rsidRPr="00FF386D">
        <w:rPr>
          <w:rFonts w:ascii="Calibri Light" w:hAnsi="Calibri Light" w:cs="Calibri Light"/>
          <w:lang w:val="sr-Cyrl-RS" w:bidi="sr-Cyrl-CS"/>
        </w:rPr>
        <w:t xml:space="preserve"> природни гас </w:t>
      </w:r>
      <w:r w:rsidR="00852174">
        <w:rPr>
          <w:rFonts w:ascii="Calibri Light" w:hAnsi="Calibri Light" w:cs="Calibri Light"/>
          <w:lang w:val="sr-Cyrl-RS" w:bidi="sr-Cyrl-CS"/>
        </w:rPr>
        <w:t xml:space="preserve">ће </w:t>
      </w:r>
      <w:r w:rsidR="007B0B63" w:rsidRPr="00FF386D">
        <w:rPr>
          <w:rFonts w:ascii="Calibri Light" w:hAnsi="Calibri Light" w:cs="Calibri Light"/>
          <w:lang w:val="sr-Cyrl-RS" w:bidi="sr-Cyrl-CS"/>
        </w:rPr>
        <w:t>остати доминантно гориво током читавог посматраног периода (2020-2050. године)</w:t>
      </w:r>
      <w:r w:rsidR="00B24AFA">
        <w:rPr>
          <w:rFonts w:ascii="Calibri Light" w:hAnsi="Calibri Light" w:cs="Calibri Light"/>
          <w:lang w:val="sr-Cyrl-RS" w:bidi="sr-Cyrl-CS"/>
        </w:rPr>
        <w:t>,</w:t>
      </w:r>
      <w:r w:rsidR="00852174">
        <w:rPr>
          <w:rFonts w:ascii="Calibri Light" w:hAnsi="Calibri Light" w:cs="Calibri Light"/>
          <w:lang w:val="sr-Cyrl-RS" w:bidi="sr-Cyrl-CS"/>
        </w:rPr>
        <w:t xml:space="preserve"> а</w:t>
      </w:r>
      <w:r w:rsidR="007B0B63" w:rsidRPr="00FF386D">
        <w:rPr>
          <w:rFonts w:ascii="Calibri Light" w:hAnsi="Calibri Light" w:cs="Calibri Light"/>
          <w:lang w:val="sr-Cyrl-RS" w:bidi="sr-Cyrl-CS"/>
        </w:rPr>
        <w:t xml:space="preserve"> удели </w:t>
      </w:r>
      <w:r w:rsidR="005F78B2">
        <w:rPr>
          <w:rFonts w:ascii="Calibri Light" w:hAnsi="Calibri Light" w:cs="Calibri Light"/>
          <w:lang w:val="sr-Cyrl-RS" w:bidi="sr-Cyrl-CS"/>
        </w:rPr>
        <w:t xml:space="preserve">капацитета </w:t>
      </w:r>
      <w:r w:rsidR="007B0B63" w:rsidRPr="00FF386D">
        <w:rPr>
          <w:rFonts w:ascii="Calibri Light" w:hAnsi="Calibri Light" w:cs="Calibri Light"/>
          <w:lang w:val="sr-Cyrl-RS" w:bidi="sr-Cyrl-CS"/>
        </w:rPr>
        <w:t xml:space="preserve">деривата </w:t>
      </w:r>
      <w:r w:rsidR="00852174">
        <w:rPr>
          <w:rFonts w:ascii="Calibri Light" w:hAnsi="Calibri Light" w:cs="Calibri Light"/>
          <w:lang w:val="sr-Cyrl-RS" w:bidi="sr-Cyrl-CS"/>
        </w:rPr>
        <w:t xml:space="preserve">нафте </w:t>
      </w:r>
      <w:r w:rsidR="007B0B63" w:rsidRPr="00FF386D">
        <w:rPr>
          <w:rFonts w:ascii="Calibri Light" w:hAnsi="Calibri Light" w:cs="Calibri Light"/>
          <w:lang w:val="sr-Cyrl-RS" w:bidi="sr-Cyrl-CS"/>
        </w:rPr>
        <w:t>и чврстих горива ће остати непромењени од 2020. до 2050. године</w:t>
      </w:r>
      <w:r w:rsidR="005F78B2">
        <w:rPr>
          <w:rFonts w:ascii="Calibri Light" w:hAnsi="Calibri Light" w:cs="Calibri Light"/>
          <w:lang w:val="sr-Cyrl-RS" w:bidi="sr-Cyrl-CS"/>
        </w:rPr>
        <w:t xml:space="preserve"> без додатних мера за замену</w:t>
      </w:r>
      <w:r w:rsidR="007B0B63" w:rsidRPr="00FF386D">
        <w:rPr>
          <w:rFonts w:ascii="Calibri Light" w:hAnsi="Calibri Light" w:cs="Calibri Light"/>
          <w:lang w:val="sr-Cyrl-RS" w:bidi="sr-Cyrl-CS"/>
        </w:rPr>
        <w:t>.</w:t>
      </w:r>
    </w:p>
    <w:p w14:paraId="3392882F" w14:textId="19918D27" w:rsidR="002A1A23" w:rsidRPr="00565B02" w:rsidRDefault="002A1A23" w:rsidP="00F83802">
      <w:pPr>
        <w:pStyle w:val="Heading2"/>
        <w:rPr>
          <w:lang w:val="sr-Cyrl-RS"/>
        </w:rPr>
      </w:pPr>
      <w:bookmarkStart w:id="193" w:name="_Toc151488565"/>
      <w:bookmarkStart w:id="194" w:name="_Toc151488566"/>
      <w:bookmarkStart w:id="195" w:name="_Toc137457031"/>
      <w:bookmarkStart w:id="196" w:name="_Toc153901553"/>
      <w:bookmarkEnd w:id="193"/>
      <w:bookmarkEnd w:id="194"/>
      <w:r w:rsidRPr="00565B02">
        <w:rPr>
          <w:lang w:val="sr-Cyrl-RS"/>
        </w:rPr>
        <w:t>Димензија енергетска ефикасност</w:t>
      </w:r>
      <w:bookmarkEnd w:id="195"/>
      <w:bookmarkEnd w:id="196"/>
    </w:p>
    <w:p w14:paraId="083E3A19" w14:textId="75B8AD52" w:rsidR="00A40DCE" w:rsidRPr="00565B02" w:rsidRDefault="00A40DCE" w:rsidP="000A2AFE">
      <w:pPr>
        <w:pStyle w:val="Heading4"/>
        <w:numPr>
          <w:ilvl w:val="0"/>
          <w:numId w:val="307"/>
        </w:numPr>
        <w:rPr>
          <w:lang w:val="sr-Cyrl-RS"/>
        </w:rPr>
      </w:pPr>
      <w:r w:rsidRPr="00565B02">
        <w:rPr>
          <w:lang w:val="sr-Cyrl-RS" w:bidi="sr-Cyrl-CS"/>
        </w:rPr>
        <w:t>Тренутна потрошња примарне енергије и финална потрошња енергије у привреди и по секторима (укључујући индустрију, стамбени сектор, услуге и саобраћај)</w:t>
      </w:r>
    </w:p>
    <w:p w14:paraId="1272283B" w14:textId="5D25E12D" w:rsidR="00A40DCE" w:rsidRPr="00FF386D" w:rsidRDefault="00A40DCE" w:rsidP="00A40DCE">
      <w:pPr>
        <w:pStyle w:val="LDKbody"/>
        <w:rPr>
          <w:rFonts w:ascii="Calibri Light" w:eastAsia="Calibri" w:hAnsi="Calibri Light" w:cs="Calibri Light"/>
          <w:lang w:val="sr-Cyrl-RS"/>
        </w:rPr>
      </w:pPr>
      <w:r w:rsidRPr="00FF386D">
        <w:rPr>
          <w:rFonts w:ascii="Calibri Light" w:eastAsia="Calibri" w:hAnsi="Calibri Light" w:cs="Calibri Light"/>
          <w:lang w:val="sr-Cyrl-RS" w:bidi="sr-Cyrl-CS"/>
        </w:rPr>
        <w:t>У периоду од 2010. до 2020. године, бруто домаћа потрошња енергије је остала скоро константна (ниво од 15,6 Mtoe у 2010. години и 15,9 Mtoe у 2020. години), бележећи само нагло и привремено смањење у 2014. години због привременог пада БДП-а. Као што је приказано на</w:t>
      </w:r>
      <w:r w:rsidR="00371A1C" w:rsidRPr="00565B02">
        <w:rPr>
          <w:rFonts w:ascii="Calibri Light" w:eastAsia="Calibri" w:hAnsi="Calibri Light" w:cs="Calibri Light"/>
          <w:lang w:val="sr-Cyrl-RS" w:bidi="sr-Cyrl-CS"/>
        </w:rPr>
        <w:t xml:space="preserve"> </w:t>
      </w:r>
      <w:r w:rsidR="00371A1C" w:rsidRPr="00565B02">
        <w:rPr>
          <w:rFonts w:ascii="Calibri Light" w:eastAsia="Calibri" w:hAnsi="Calibri Light" w:cs="Calibri Light"/>
          <w:lang w:val="sr-Cyrl-RS" w:bidi="sr-Cyrl-CS"/>
        </w:rPr>
        <w:fldChar w:fldCharType="begin"/>
      </w:r>
      <w:r w:rsidR="00371A1C" w:rsidRPr="00565B02">
        <w:rPr>
          <w:rFonts w:ascii="Calibri Light" w:eastAsia="Calibri" w:hAnsi="Calibri Light" w:cs="Calibri Light"/>
          <w:lang w:val="sr-Cyrl-RS" w:bidi="sr-Cyrl-CS"/>
        </w:rPr>
        <w:instrText xml:space="preserve"> REF _Ref153814405 \h </w:instrText>
      </w:r>
      <w:r w:rsidR="00371A1C">
        <w:rPr>
          <w:rFonts w:ascii="Calibri Light" w:eastAsia="Calibri" w:hAnsi="Calibri Light" w:cs="Calibri Light"/>
          <w:lang w:val="sr-Cyrl-RS" w:bidi="sr-Cyrl-CS"/>
        </w:rPr>
        <w:instrText xml:space="preserve"> \* MERGEFORMAT </w:instrText>
      </w:r>
      <w:r w:rsidR="00371A1C" w:rsidRPr="00565B02">
        <w:rPr>
          <w:rFonts w:ascii="Calibri Light" w:eastAsia="Calibri" w:hAnsi="Calibri Light" w:cs="Calibri Light"/>
          <w:lang w:val="sr-Cyrl-RS" w:bidi="sr-Cyrl-CS"/>
        </w:rPr>
      </w:r>
      <w:r w:rsidR="00371A1C" w:rsidRPr="00565B02">
        <w:rPr>
          <w:rFonts w:ascii="Calibri Light" w:eastAsia="Calibri" w:hAnsi="Calibri Light" w:cs="Calibri Light"/>
          <w:lang w:val="sr-Cyrl-RS" w:bidi="sr-Cyrl-CS"/>
        </w:rPr>
        <w:fldChar w:fldCharType="separate"/>
      </w:r>
      <w:r w:rsidR="00371A1C" w:rsidRPr="00565B02">
        <w:rPr>
          <w:rFonts w:ascii="Calibri Light" w:eastAsia="Calibri" w:hAnsi="Calibri Light" w:cs="Calibri Light"/>
          <w:lang w:val="sr-Cyrl-RS" w:bidi="sr-Cyrl-CS"/>
        </w:rPr>
        <w:t>слици 4.23</w:t>
      </w:r>
      <w:r w:rsidR="00371A1C" w:rsidRPr="00565B02">
        <w:rPr>
          <w:rFonts w:ascii="Calibri Light" w:eastAsia="Calibri" w:hAnsi="Calibri Light" w:cs="Calibri Light"/>
          <w:lang w:val="sr-Cyrl-RS" w:bidi="sr-Cyrl-CS"/>
        </w:rPr>
        <w:fldChar w:fldCharType="end"/>
      </w:r>
      <w:r w:rsidR="002A1A23" w:rsidRPr="00FF386D">
        <w:rPr>
          <w:rFonts w:ascii="Calibri Light" w:eastAsia="Calibri" w:hAnsi="Calibri Light" w:cs="Calibri Light"/>
          <w:lang w:val="sr-Cyrl-RS" w:bidi="sr-Cyrl-CS"/>
        </w:rPr>
        <w:t xml:space="preserve">, </w:t>
      </w:r>
      <w:r w:rsidRPr="00FF386D">
        <w:rPr>
          <w:rFonts w:ascii="Calibri Light" w:eastAsia="Calibri" w:hAnsi="Calibri Light" w:cs="Calibri Light"/>
          <w:lang w:val="sr-Cyrl-RS" w:bidi="sr-Cyrl-CS"/>
        </w:rPr>
        <w:t>чврста фосилна горива и нафта и нафтни деривати су имали доминантну улогу у бруто домаћој потрошњи, са учешћем од 50% и 25% у 2010. години и 50% и 23% у 2020. години, док је удео ОИЕ и биогорива, као и природног гаса био нижи на нивоу од око 16% односно 12% у 2010. односно 2020. години.</w:t>
      </w:r>
    </w:p>
    <w:p w14:paraId="2330E6B7" w14:textId="3C5FB4FD" w:rsidR="00371A1C" w:rsidRPr="00565B02" w:rsidRDefault="00371A1C" w:rsidP="00565B02">
      <w:pPr>
        <w:pStyle w:val="Caption"/>
        <w:keepNext/>
        <w:rPr>
          <w:lang w:val="en-US"/>
        </w:rPr>
      </w:pPr>
      <w:bookmarkStart w:id="197" w:name="_Ref153814405"/>
      <w:bookmarkStart w:id="198" w:name="_Toc153901369"/>
      <w:r>
        <w:lastRenderedPageBreak/>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23</w:t>
      </w:r>
      <w:r w:rsidR="00F35B2C">
        <w:fldChar w:fldCharType="end"/>
      </w:r>
      <w:bookmarkEnd w:id="197"/>
      <w:r>
        <w:rPr>
          <w:lang w:val="en-US"/>
        </w:rPr>
        <w:t xml:space="preserve">: </w:t>
      </w:r>
      <w:r w:rsidRPr="00565B02">
        <w:t>Бруто домаћа потрошња у периоду 2010-2020. године (Извор: Евростат, 2023. година)</w:t>
      </w:r>
      <w:bookmarkEnd w:id="198"/>
    </w:p>
    <w:p w14:paraId="1A5D7890" w14:textId="7730A8A6" w:rsidR="009F25AA" w:rsidRPr="00FF386D" w:rsidRDefault="009F25AA" w:rsidP="002A1A23">
      <w:pPr>
        <w:keepNext/>
        <w:jc w:val="center"/>
        <w:rPr>
          <w:rFonts w:ascii="Calibri" w:eastAsia="Calibri" w:hAnsi="Calibri" w:cs="Times New Roman"/>
        </w:rPr>
      </w:pPr>
      <w:r w:rsidRPr="004F53D7">
        <w:rPr>
          <w:noProof/>
          <w:lang w:val="en-US"/>
        </w:rPr>
        <w:drawing>
          <wp:inline distT="0" distB="0" distL="0" distR="0" wp14:anchorId="20C2CD76" wp14:editId="4CE17C48">
            <wp:extent cx="5236210" cy="2847340"/>
            <wp:effectExtent l="0" t="0" r="0" b="0"/>
            <wp:docPr id="1307706289" name="Chart 1307706289">
              <a:extLst xmlns:a="http://schemas.openxmlformats.org/drawingml/2006/main">
                <a:ext uri="{FF2B5EF4-FFF2-40B4-BE49-F238E27FC236}">
                  <a16:creationId xmlns:a16="http://schemas.microsoft.com/office/drawing/2014/main" id="{00000000-0008-0000-0100-00003418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EC2B4E7" w14:textId="0D51A80E" w:rsidR="002A1A23" w:rsidRPr="00FF386D" w:rsidRDefault="00A40DCE" w:rsidP="002A1A23">
      <w:pPr>
        <w:spacing w:before="120" w:after="120" w:line="240" w:lineRule="auto"/>
        <w:jc w:val="both"/>
        <w:rPr>
          <w:rFonts w:ascii="Calibri Light" w:eastAsia="Calibri" w:hAnsi="Calibri Light" w:cs="Calibri Light"/>
          <w:lang w:eastAsia="el-GR"/>
        </w:rPr>
      </w:pPr>
      <w:r w:rsidRPr="00FF386D">
        <w:rPr>
          <w:rFonts w:ascii="Calibri Light" w:eastAsia="Calibri" w:hAnsi="Calibri Light" w:cs="Calibri Light"/>
          <w:lang w:bidi="sr-Cyrl-CS"/>
        </w:rPr>
        <w:t>Потрошња примарне енергије и финална потрошња енергије су биле стабилне, на нивоу од око 15,0 Mtoe, односно 9,0 Mtoe, током 2010-2020. године, како је приказано на</w:t>
      </w:r>
      <w:r w:rsidR="00C93770">
        <w:rPr>
          <w:rFonts w:ascii="Calibri Light" w:eastAsia="Calibri" w:hAnsi="Calibri Light" w:cs="Calibri Light"/>
          <w:lang w:bidi="sr-Cyrl-CS"/>
        </w:rPr>
        <w:t xml:space="preserve"> </w:t>
      </w:r>
      <w:r w:rsidR="00C93770">
        <w:rPr>
          <w:rFonts w:ascii="Calibri Light" w:eastAsia="Calibri" w:hAnsi="Calibri Light" w:cs="Calibri Light"/>
          <w:lang w:bidi="sr-Cyrl-CS"/>
        </w:rPr>
        <w:fldChar w:fldCharType="begin"/>
      </w:r>
      <w:r w:rsidR="00C93770">
        <w:rPr>
          <w:rFonts w:ascii="Calibri Light" w:eastAsia="Calibri" w:hAnsi="Calibri Light" w:cs="Calibri Light"/>
          <w:lang w:bidi="sr-Cyrl-CS"/>
        </w:rPr>
        <w:instrText xml:space="preserve"> REF _Ref153814910 \h  \* MERGEFORMAT </w:instrText>
      </w:r>
      <w:r w:rsidR="00C93770">
        <w:rPr>
          <w:rFonts w:ascii="Calibri Light" w:eastAsia="Calibri" w:hAnsi="Calibri Light" w:cs="Calibri Light"/>
          <w:lang w:bidi="sr-Cyrl-CS"/>
        </w:rPr>
      </w:r>
      <w:r w:rsidR="00C93770">
        <w:rPr>
          <w:rFonts w:ascii="Calibri Light" w:eastAsia="Calibri" w:hAnsi="Calibri Light" w:cs="Calibri Light"/>
          <w:lang w:bidi="sr-Cyrl-CS"/>
        </w:rPr>
        <w:fldChar w:fldCharType="separate"/>
      </w:r>
      <w:r w:rsidR="00C93770" w:rsidRPr="00565B02">
        <w:rPr>
          <w:rFonts w:ascii="Calibri Light" w:eastAsia="Calibri" w:hAnsi="Calibri Light" w:cs="Calibri Light"/>
          <w:lang w:bidi="sr-Cyrl-CS"/>
        </w:rPr>
        <w:t>слици 4.24</w:t>
      </w:r>
      <w:r w:rsidR="00C93770">
        <w:rPr>
          <w:rFonts w:ascii="Calibri Light" w:eastAsia="Calibri" w:hAnsi="Calibri Light" w:cs="Calibri Light"/>
          <w:lang w:bidi="sr-Cyrl-CS"/>
        </w:rPr>
        <w:fldChar w:fldCharType="end"/>
      </w:r>
      <w:r w:rsidR="002A1A23" w:rsidRPr="00FF386D">
        <w:rPr>
          <w:rFonts w:ascii="Calibri Light" w:eastAsia="Calibri" w:hAnsi="Calibri Light" w:cs="Calibri Light"/>
          <w:lang w:bidi="sr-Cyrl-CS"/>
        </w:rPr>
        <w:t>.</w:t>
      </w:r>
      <w:r w:rsidR="002A1A23" w:rsidRPr="00FF386D">
        <w:rPr>
          <w:rFonts w:ascii="Calibri Light" w:eastAsia="Calibri" w:hAnsi="Calibri Light" w:cs="Calibri Light"/>
          <w:lang w:eastAsia="el-GR"/>
        </w:rPr>
        <w:t xml:space="preserve"> </w:t>
      </w:r>
      <w:r w:rsidR="002A1A23" w:rsidRPr="00FF386D">
        <w:rPr>
          <w:rFonts w:ascii="Calibri Light" w:eastAsia="Calibri" w:hAnsi="Calibri Light" w:cs="Calibri Light"/>
          <w:lang w:eastAsia="el-GR" w:bidi="sr-Cyrl-CS"/>
        </w:rPr>
        <w:t>Тачније, потрошња примарне енергије и финална потрошња енергије је порасла од 2010. до 2011. године, а затим је забележен тренд пада до 2014. године. Од 2015. до 20</w:t>
      </w:r>
      <w:r w:rsidR="001A71AD" w:rsidRPr="00FF386D">
        <w:rPr>
          <w:rFonts w:ascii="Calibri Light" w:eastAsia="Calibri" w:hAnsi="Calibri Light" w:cs="Calibri Light"/>
          <w:lang w:eastAsia="el-GR" w:bidi="sr-Cyrl-CS"/>
        </w:rPr>
        <w:t>20</w:t>
      </w:r>
      <w:r w:rsidR="002A1A23" w:rsidRPr="00FF386D">
        <w:rPr>
          <w:rFonts w:ascii="Calibri Light" w:eastAsia="Calibri" w:hAnsi="Calibri Light" w:cs="Calibri Light"/>
          <w:lang w:eastAsia="el-GR" w:bidi="sr-Cyrl-CS"/>
        </w:rPr>
        <w:t xml:space="preserve">. године је дошло до благог повећања; са 14,2 Mtoe у 2015. години на </w:t>
      </w:r>
      <w:r w:rsidR="001A71AD" w:rsidRPr="00FF386D">
        <w:rPr>
          <w:rFonts w:ascii="Calibri Light" w:eastAsia="Calibri" w:hAnsi="Calibri Light" w:cs="Calibri Light"/>
          <w:lang w:eastAsia="el-GR" w:bidi="sr-Cyrl-CS"/>
        </w:rPr>
        <w:t>15,2</w:t>
      </w:r>
      <w:r w:rsidR="002A1A23" w:rsidRPr="00FF386D">
        <w:rPr>
          <w:rFonts w:ascii="Calibri Light" w:eastAsia="Calibri" w:hAnsi="Calibri Light" w:cs="Calibri Light"/>
          <w:lang w:eastAsia="el-GR" w:bidi="sr-Cyrl-CS"/>
        </w:rPr>
        <w:t xml:space="preserve"> Mtoe у 20</w:t>
      </w:r>
      <w:r w:rsidR="001A71AD" w:rsidRPr="00FF386D">
        <w:rPr>
          <w:rFonts w:ascii="Calibri Light" w:eastAsia="Calibri" w:hAnsi="Calibri Light" w:cs="Calibri Light"/>
          <w:lang w:eastAsia="el-GR" w:bidi="sr-Cyrl-CS"/>
        </w:rPr>
        <w:t>20</w:t>
      </w:r>
      <w:r w:rsidR="002A1A23" w:rsidRPr="00FF386D">
        <w:rPr>
          <w:rFonts w:ascii="Calibri Light" w:eastAsia="Calibri" w:hAnsi="Calibri Light" w:cs="Calibri Light"/>
          <w:lang w:eastAsia="el-GR" w:bidi="sr-Cyrl-CS"/>
        </w:rPr>
        <w:t>. години за потрошњу примарне енергије и са 8,2 Mtoe у 2015. години на 9,</w:t>
      </w:r>
      <w:r w:rsidR="001A71AD" w:rsidRPr="00FF386D">
        <w:rPr>
          <w:rFonts w:ascii="Calibri Light" w:eastAsia="Calibri" w:hAnsi="Calibri Light" w:cs="Calibri Light"/>
          <w:lang w:eastAsia="el-GR" w:bidi="sr-Cyrl-CS"/>
        </w:rPr>
        <w:t>1</w:t>
      </w:r>
      <w:r w:rsidR="002A1A23" w:rsidRPr="00FF386D">
        <w:rPr>
          <w:rFonts w:ascii="Calibri Light" w:eastAsia="Calibri" w:hAnsi="Calibri Light" w:cs="Calibri Light"/>
          <w:lang w:eastAsia="el-GR" w:bidi="sr-Cyrl-CS"/>
        </w:rPr>
        <w:t xml:space="preserve"> Mtoe у 20</w:t>
      </w:r>
      <w:r w:rsidR="001A71AD" w:rsidRPr="00FF386D">
        <w:rPr>
          <w:rFonts w:ascii="Calibri Light" w:eastAsia="Calibri" w:hAnsi="Calibri Light" w:cs="Calibri Light"/>
          <w:lang w:eastAsia="el-GR" w:bidi="sr-Cyrl-CS"/>
        </w:rPr>
        <w:t>20</w:t>
      </w:r>
      <w:r w:rsidR="002A1A23" w:rsidRPr="00FF386D">
        <w:rPr>
          <w:rFonts w:ascii="Calibri Light" w:eastAsia="Calibri" w:hAnsi="Calibri Light" w:cs="Calibri Light"/>
          <w:lang w:eastAsia="el-GR" w:bidi="sr-Cyrl-CS"/>
        </w:rPr>
        <w:t xml:space="preserve">. години за финалну потрошњу енергије. Требало би напоменути да је потрошња примарне енергије изведена из бруто домаће потрошње, искључујући сву неенергетску употребу </w:t>
      </w:r>
      <w:r w:rsidR="004C074B" w:rsidRPr="00FF386D">
        <w:rPr>
          <w:rFonts w:ascii="Calibri Light" w:eastAsia="Calibri" w:hAnsi="Calibri Light" w:cs="Calibri Light"/>
          <w:lang w:eastAsia="el-GR" w:bidi="sr-Cyrl-CS"/>
        </w:rPr>
        <w:t>енергената</w:t>
      </w:r>
      <w:r w:rsidR="002A1A23" w:rsidRPr="00FF386D">
        <w:rPr>
          <w:rFonts w:ascii="Calibri Light" w:eastAsia="Calibri" w:hAnsi="Calibri Light" w:cs="Calibri Light"/>
          <w:lang w:eastAsia="el-GR" w:bidi="sr-Cyrl-CS"/>
        </w:rPr>
        <w:t xml:space="preserve"> (нпр. природни гас који се не користи за сагоревање већ за производњу хемикалија).</w:t>
      </w:r>
    </w:p>
    <w:p w14:paraId="1644E0DD" w14:textId="60E72284" w:rsidR="00C93770" w:rsidRDefault="00C93770" w:rsidP="00565B02">
      <w:pPr>
        <w:pStyle w:val="Caption"/>
        <w:keepNext/>
      </w:pPr>
      <w:bookmarkStart w:id="199" w:name="_Ref153814910"/>
      <w:bookmarkStart w:id="200" w:name="_Toc153901370"/>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24</w:t>
      </w:r>
      <w:r w:rsidR="00F35B2C">
        <w:fldChar w:fldCharType="end"/>
      </w:r>
      <w:bookmarkEnd w:id="199"/>
      <w:r w:rsidRPr="00C93770">
        <w:t>: Потрошња примарне енергија и финална потрошња енергије у периоду 2010-2020. године (Извор: Евростат, 2023. година)</w:t>
      </w:r>
      <w:bookmarkEnd w:id="200"/>
    </w:p>
    <w:p w14:paraId="132A91A3" w14:textId="18FBAEEF" w:rsidR="001A71AD" w:rsidRPr="00FF386D" w:rsidRDefault="001A71AD" w:rsidP="002A1A23">
      <w:pPr>
        <w:keepNext/>
        <w:spacing w:after="120"/>
        <w:jc w:val="center"/>
        <w:rPr>
          <w:rFonts w:ascii="Calibri" w:eastAsia="Calibri" w:hAnsi="Calibri" w:cs="Times New Roman"/>
        </w:rPr>
      </w:pPr>
      <w:r w:rsidRPr="004F53D7">
        <w:rPr>
          <w:rFonts w:ascii="Calibri" w:eastAsia="Calibri" w:hAnsi="Calibri" w:cs="Times New Roman"/>
          <w:noProof/>
          <w:lang w:val="en-US"/>
        </w:rPr>
        <w:drawing>
          <wp:inline distT="0" distB="0" distL="0" distR="0" wp14:anchorId="22C5D202" wp14:editId="29F78D7D">
            <wp:extent cx="4511675" cy="2707005"/>
            <wp:effectExtent l="0" t="0" r="0" b="0"/>
            <wp:docPr id="973268843" name="Picture 973268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11675" cy="2707005"/>
                    </a:xfrm>
                    <a:prstGeom prst="rect">
                      <a:avLst/>
                    </a:prstGeom>
                    <a:noFill/>
                  </pic:spPr>
                </pic:pic>
              </a:graphicData>
            </a:graphic>
          </wp:inline>
        </w:drawing>
      </w:r>
    </w:p>
    <w:p w14:paraId="4585D6E7" w14:textId="58389C49" w:rsidR="002A1A23" w:rsidRPr="00FF386D" w:rsidRDefault="002A1A23" w:rsidP="002A1A23">
      <w:pPr>
        <w:spacing w:before="120" w:after="120" w:line="240" w:lineRule="auto"/>
        <w:jc w:val="both"/>
        <w:rPr>
          <w:rFonts w:ascii="Calibri Light" w:eastAsia="Calibri" w:hAnsi="Calibri Light" w:cs="Calibri Light"/>
          <w:lang w:eastAsia="el-GR"/>
        </w:rPr>
      </w:pPr>
      <w:r w:rsidRPr="00FF386D">
        <w:rPr>
          <w:rFonts w:ascii="Calibri Light" w:eastAsia="Calibri" w:hAnsi="Calibri Light" w:cs="Calibri Light"/>
          <w:lang w:eastAsia="el-GR" w:bidi="sr-Cyrl-CS"/>
        </w:rPr>
        <w:t>Као што је приказано на</w:t>
      </w:r>
      <w:r w:rsidR="00C93770">
        <w:rPr>
          <w:rFonts w:ascii="Calibri Light" w:eastAsia="Calibri" w:hAnsi="Calibri Light" w:cs="Calibri Light"/>
          <w:lang w:eastAsia="el-GR" w:bidi="sr-Cyrl-CS"/>
        </w:rPr>
        <w:t xml:space="preserve"> </w:t>
      </w:r>
      <w:r w:rsidR="00C93770">
        <w:rPr>
          <w:rFonts w:ascii="Calibri Light" w:eastAsia="Calibri" w:hAnsi="Calibri Light" w:cs="Calibri Light"/>
          <w:lang w:eastAsia="el-GR" w:bidi="sr-Cyrl-CS"/>
        </w:rPr>
        <w:fldChar w:fldCharType="begin"/>
      </w:r>
      <w:r w:rsidR="00C93770">
        <w:rPr>
          <w:rFonts w:ascii="Calibri Light" w:eastAsia="Calibri" w:hAnsi="Calibri Light" w:cs="Calibri Light"/>
          <w:lang w:eastAsia="el-GR" w:bidi="sr-Cyrl-CS"/>
        </w:rPr>
        <w:instrText xml:space="preserve"> REF _Ref153814991 \h  \* MERGEFORMAT </w:instrText>
      </w:r>
      <w:r w:rsidR="00C93770">
        <w:rPr>
          <w:rFonts w:ascii="Calibri Light" w:eastAsia="Calibri" w:hAnsi="Calibri Light" w:cs="Calibri Light"/>
          <w:lang w:eastAsia="el-GR" w:bidi="sr-Cyrl-CS"/>
        </w:rPr>
      </w:r>
      <w:r w:rsidR="00C93770">
        <w:rPr>
          <w:rFonts w:ascii="Calibri Light" w:eastAsia="Calibri" w:hAnsi="Calibri Light" w:cs="Calibri Light"/>
          <w:lang w:eastAsia="el-GR" w:bidi="sr-Cyrl-CS"/>
        </w:rPr>
        <w:fldChar w:fldCharType="separate"/>
      </w:r>
      <w:r w:rsidR="00C93770" w:rsidRPr="00565B02">
        <w:rPr>
          <w:rFonts w:ascii="Calibri Light" w:eastAsia="Calibri" w:hAnsi="Calibri Light" w:cs="Calibri Light"/>
          <w:lang w:eastAsia="el-GR" w:bidi="sr-Cyrl-CS"/>
        </w:rPr>
        <w:t>слици 4.25</w:t>
      </w:r>
      <w:r w:rsidR="00C93770">
        <w:rPr>
          <w:rFonts w:ascii="Calibri Light" w:eastAsia="Calibri" w:hAnsi="Calibri Light" w:cs="Calibri Light"/>
          <w:lang w:eastAsia="el-GR" w:bidi="sr-Cyrl-CS"/>
        </w:rPr>
        <w:fldChar w:fldCharType="end"/>
      </w:r>
      <w:r w:rsidRPr="00FF386D">
        <w:rPr>
          <w:rFonts w:ascii="Calibri Light" w:eastAsia="Calibri" w:hAnsi="Calibri Light" w:cs="Calibri Light"/>
          <w:lang w:eastAsia="el-GR" w:bidi="sr-Cyrl-CS"/>
        </w:rPr>
        <w:t xml:space="preserve">, финална потрошња енергије је смањена за </w:t>
      </w:r>
      <w:r w:rsidR="004A1048" w:rsidRPr="00FF386D">
        <w:rPr>
          <w:rFonts w:ascii="Calibri Light" w:eastAsia="Calibri" w:hAnsi="Calibri Light" w:cs="Calibri Light"/>
          <w:lang w:eastAsia="el-GR" w:bidi="sr-Cyrl-CS"/>
        </w:rPr>
        <w:t>0,5</w:t>
      </w:r>
      <w:r w:rsidRPr="00FF386D">
        <w:rPr>
          <w:rFonts w:ascii="Calibri Light" w:eastAsia="Calibri" w:hAnsi="Calibri Light" w:cs="Calibri Light"/>
          <w:lang w:eastAsia="el-GR" w:bidi="sr-Cyrl-CS"/>
        </w:rPr>
        <w:t>% у периоду 2010-20</w:t>
      </w:r>
      <w:r w:rsidR="004A1048" w:rsidRPr="00FF386D">
        <w:rPr>
          <w:rFonts w:ascii="Calibri Light" w:eastAsia="Calibri" w:hAnsi="Calibri Light" w:cs="Calibri Light"/>
          <w:lang w:eastAsia="el-GR" w:bidi="sr-Cyrl-CS"/>
        </w:rPr>
        <w:t>20</w:t>
      </w:r>
      <w:r w:rsidRPr="00FF386D">
        <w:rPr>
          <w:rFonts w:ascii="Calibri Light" w:eastAsia="Calibri" w:hAnsi="Calibri Light" w:cs="Calibri Light"/>
          <w:lang w:eastAsia="el-GR" w:bidi="sr-Cyrl-CS"/>
        </w:rPr>
        <w:t>. године. Тачније, финална потрошња енергије је бележила пад у периоду 2012-2014. године, након привременог повећања у 2011. години, док је тренд раста уочен од 2015. до 20</w:t>
      </w:r>
      <w:r w:rsidR="004A1048" w:rsidRPr="00FF386D">
        <w:rPr>
          <w:rFonts w:ascii="Calibri Light" w:eastAsia="Calibri" w:hAnsi="Calibri Light" w:cs="Calibri Light"/>
          <w:lang w:eastAsia="el-GR" w:bidi="sr-Cyrl-CS"/>
        </w:rPr>
        <w:t>20</w:t>
      </w:r>
      <w:r w:rsidRPr="00FF386D">
        <w:rPr>
          <w:rFonts w:ascii="Calibri Light" w:eastAsia="Calibri" w:hAnsi="Calibri Light" w:cs="Calibri Light"/>
          <w:lang w:eastAsia="el-GR" w:bidi="sr-Cyrl-CS"/>
        </w:rPr>
        <w:t>. године. Удео различитих енергената је остао скоро идентичан у 20</w:t>
      </w:r>
      <w:r w:rsidR="004A1048" w:rsidRPr="00FF386D">
        <w:rPr>
          <w:rFonts w:ascii="Calibri Light" w:eastAsia="Calibri" w:hAnsi="Calibri Light" w:cs="Calibri Light"/>
          <w:lang w:eastAsia="el-GR" w:bidi="sr-Cyrl-CS"/>
        </w:rPr>
        <w:t>20</w:t>
      </w:r>
      <w:r w:rsidRPr="00FF386D">
        <w:rPr>
          <w:rFonts w:ascii="Calibri Light" w:eastAsia="Calibri" w:hAnsi="Calibri Light" w:cs="Calibri Light"/>
          <w:lang w:eastAsia="el-GR" w:bidi="sr-Cyrl-CS"/>
        </w:rPr>
        <w:t>. години у поређењу са 2010. годином</w:t>
      </w:r>
      <w:r w:rsidR="004A1048" w:rsidRPr="00FF386D">
        <w:rPr>
          <w:rFonts w:ascii="Calibri Light" w:eastAsia="Calibri" w:hAnsi="Calibri Light" w:cs="Calibri Light"/>
          <w:lang w:eastAsia="el-GR" w:bidi="sr-Cyrl-CS"/>
        </w:rPr>
        <w:t>.</w:t>
      </w:r>
    </w:p>
    <w:p w14:paraId="3A924891" w14:textId="1A9BCB34" w:rsidR="002A1A23" w:rsidRPr="00FF386D" w:rsidRDefault="002A1A23" w:rsidP="002A1A23">
      <w:pPr>
        <w:spacing w:before="120" w:after="120" w:line="240" w:lineRule="auto"/>
        <w:jc w:val="both"/>
        <w:rPr>
          <w:rFonts w:ascii="Calibri Light" w:eastAsia="Calibri" w:hAnsi="Calibri Light" w:cs="Calibri Light"/>
          <w:lang w:eastAsia="el-GR"/>
        </w:rPr>
      </w:pPr>
      <w:r w:rsidRPr="00FF386D">
        <w:rPr>
          <w:rFonts w:ascii="Calibri Light" w:eastAsia="Calibri" w:hAnsi="Calibri Light" w:cs="Calibri Light"/>
          <w:lang w:eastAsia="el-GR" w:bidi="sr-Cyrl-CS"/>
        </w:rPr>
        <w:lastRenderedPageBreak/>
        <w:t>Чињеница да је потрошња примарне и финална потрошња енергије остала релативно константна упркос значајном повећању БДП-а, указује на допринос п</w:t>
      </w:r>
      <w:r w:rsidR="00E43C82" w:rsidRPr="00FF386D">
        <w:rPr>
          <w:rFonts w:ascii="Calibri Light" w:eastAsia="Calibri" w:hAnsi="Calibri Light" w:cs="Calibri Light"/>
          <w:lang w:eastAsia="el-GR" w:bidi="sr-Cyrl-CS"/>
        </w:rPr>
        <w:t>одстицаних</w:t>
      </w:r>
      <w:r w:rsidRPr="00FF386D">
        <w:rPr>
          <w:rFonts w:ascii="Calibri Light" w:eastAsia="Calibri" w:hAnsi="Calibri Light" w:cs="Calibri Light"/>
          <w:lang w:eastAsia="el-GR" w:bidi="sr-Cyrl-CS"/>
        </w:rPr>
        <w:t xml:space="preserve"> енергетски ефикасних технологија и опреме у свим секторима финалне потрошње.</w:t>
      </w:r>
    </w:p>
    <w:p w14:paraId="3DE5C8D6" w14:textId="582C50D3" w:rsidR="00C93770" w:rsidRDefault="00C93770" w:rsidP="00565B02">
      <w:pPr>
        <w:pStyle w:val="Caption"/>
        <w:keepNext/>
      </w:pPr>
      <w:bookmarkStart w:id="201" w:name="_Ref153814991"/>
      <w:bookmarkStart w:id="202" w:name="_Toc153901371"/>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25</w:t>
      </w:r>
      <w:r w:rsidR="00F35B2C">
        <w:fldChar w:fldCharType="end"/>
      </w:r>
      <w:bookmarkEnd w:id="201"/>
      <w:r>
        <w:t xml:space="preserve">: </w:t>
      </w:r>
      <w:r w:rsidRPr="00C93770">
        <w:t>Финална потрошња енергије по гориву у периоду 2010-20120. године (Извор: Евростат, 2023. година)</w:t>
      </w:r>
      <w:bookmarkEnd w:id="202"/>
    </w:p>
    <w:p w14:paraId="3B73A054" w14:textId="4C5DA03C" w:rsidR="00182DAA" w:rsidRPr="00FF386D" w:rsidRDefault="00182DAA" w:rsidP="00182DAA">
      <w:pPr>
        <w:spacing w:after="200" w:line="240" w:lineRule="auto"/>
        <w:jc w:val="center"/>
        <w:rPr>
          <w:rFonts w:ascii="Calibri Light" w:eastAsia="Calibri" w:hAnsi="Calibri Light" w:cs="Times New Roman"/>
          <w:b/>
          <w:bCs/>
          <w:color w:val="01406B"/>
        </w:rPr>
      </w:pPr>
      <w:r w:rsidRPr="004F53D7">
        <w:rPr>
          <w:rFonts w:ascii="Calibri Light" w:eastAsia="Calibri" w:hAnsi="Calibri Light" w:cs="Times New Roman"/>
          <w:b/>
          <w:bCs/>
          <w:noProof/>
          <w:color w:val="01406B"/>
          <w:lang w:val="en-US"/>
        </w:rPr>
        <w:drawing>
          <wp:inline distT="0" distB="0" distL="0" distR="0" wp14:anchorId="7E22ABA0" wp14:editId="3043D1F5">
            <wp:extent cx="5711446" cy="3139440"/>
            <wp:effectExtent l="0" t="0" r="0" b="0"/>
            <wp:docPr id="1205976774" name="Picture 1205976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29893" cy="3149580"/>
                    </a:xfrm>
                    <a:prstGeom prst="rect">
                      <a:avLst/>
                    </a:prstGeom>
                    <a:noFill/>
                  </pic:spPr>
                </pic:pic>
              </a:graphicData>
            </a:graphic>
          </wp:inline>
        </w:drawing>
      </w:r>
    </w:p>
    <w:p w14:paraId="72355754" w14:textId="49B5812E" w:rsidR="00E43C82" w:rsidRPr="00FF386D" w:rsidRDefault="00E43C82" w:rsidP="00E43C82">
      <w:pPr>
        <w:pStyle w:val="LDKbody"/>
        <w:rPr>
          <w:rFonts w:ascii="Calibri Light" w:eastAsia="Calibri" w:hAnsi="Calibri Light" w:cs="Calibri Light"/>
          <w:lang w:val="sr-Cyrl-RS" w:bidi="sr-Cyrl-CS"/>
        </w:rPr>
      </w:pPr>
      <w:bookmarkStart w:id="203" w:name="_Hlk135812485"/>
      <w:r w:rsidRPr="00FF386D">
        <w:rPr>
          <w:rFonts w:ascii="Calibri Light" w:eastAsia="Calibri" w:hAnsi="Calibri Light" w:cs="Calibri Light"/>
          <w:lang w:val="sr-Cyrl-RS" w:bidi="sr-Cyrl-CS"/>
        </w:rPr>
        <w:t>У 2020. години, финална потрошња енергије у стамбеном сектору је износила 40%, док је индустријски сектор имао удео од 23%, а сектор саобраћаја 25%, као што је приказано на</w:t>
      </w:r>
      <w:bookmarkEnd w:id="203"/>
      <w:r w:rsidR="00021937">
        <w:rPr>
          <w:rFonts w:ascii="Calibri Light" w:eastAsia="Calibri" w:hAnsi="Calibri Light" w:cs="Calibri Light"/>
          <w:lang w:val="sr-Cyrl-RS" w:bidi="sr-Cyrl-CS"/>
        </w:rPr>
        <w:t xml:space="preserve"> </w:t>
      </w:r>
      <w:r w:rsidR="00021937">
        <w:rPr>
          <w:rFonts w:ascii="Calibri Light" w:eastAsia="Calibri" w:hAnsi="Calibri Light" w:cs="Calibri Light"/>
          <w:lang w:val="sr-Cyrl-RS" w:bidi="sr-Cyrl-CS"/>
        </w:rPr>
        <w:fldChar w:fldCharType="begin"/>
      </w:r>
      <w:r w:rsidR="00021937">
        <w:rPr>
          <w:rFonts w:ascii="Calibri Light" w:eastAsia="Calibri" w:hAnsi="Calibri Light" w:cs="Calibri Light"/>
          <w:lang w:val="sr-Cyrl-RS" w:bidi="sr-Cyrl-CS"/>
        </w:rPr>
        <w:instrText xml:space="preserve"> REF _Ref153815063 \h  \* MERGEFORMAT </w:instrText>
      </w:r>
      <w:r w:rsidR="00021937">
        <w:rPr>
          <w:rFonts w:ascii="Calibri Light" w:eastAsia="Calibri" w:hAnsi="Calibri Light" w:cs="Calibri Light"/>
          <w:lang w:val="sr-Cyrl-RS" w:bidi="sr-Cyrl-CS"/>
        </w:rPr>
      </w:r>
      <w:r w:rsidR="00021937">
        <w:rPr>
          <w:rFonts w:ascii="Calibri Light" w:eastAsia="Calibri" w:hAnsi="Calibri Light" w:cs="Calibri Light"/>
          <w:lang w:val="sr-Cyrl-RS" w:bidi="sr-Cyrl-CS"/>
        </w:rPr>
        <w:fldChar w:fldCharType="separate"/>
      </w:r>
      <w:r w:rsidR="00021937" w:rsidRPr="00565B02">
        <w:rPr>
          <w:rFonts w:ascii="Calibri Light" w:eastAsia="Calibri" w:hAnsi="Calibri Light" w:cs="Calibri Light"/>
          <w:lang w:val="sr-Cyrl-RS" w:bidi="sr-Cyrl-CS"/>
        </w:rPr>
        <w:t>слици 4.26</w:t>
      </w:r>
      <w:r w:rsidR="00021937">
        <w:rPr>
          <w:rFonts w:ascii="Calibri Light" w:eastAsia="Calibri" w:hAnsi="Calibri Light" w:cs="Calibri Light"/>
          <w:lang w:val="sr-Cyrl-RS" w:bidi="sr-Cyrl-CS"/>
        </w:rPr>
        <w:fldChar w:fldCharType="end"/>
      </w:r>
      <w:r w:rsidR="002A1A23" w:rsidRPr="00FF386D">
        <w:rPr>
          <w:rFonts w:ascii="Calibri Light" w:eastAsia="Calibri" w:hAnsi="Calibri Light" w:cs="Calibri Light"/>
          <w:lang w:val="sr-Cyrl-RS" w:bidi="sr-Cyrl-CS"/>
        </w:rPr>
        <w:t>.</w:t>
      </w:r>
      <w:r w:rsidR="002A1A23" w:rsidRPr="00FF386D">
        <w:rPr>
          <w:rFonts w:ascii="Calibri Light" w:eastAsia="Calibri" w:hAnsi="Calibri Light" w:cs="Calibri Light"/>
          <w:lang w:val="sr-Cyrl-RS"/>
        </w:rPr>
        <w:t xml:space="preserve"> </w:t>
      </w:r>
      <w:bookmarkStart w:id="204" w:name="_Hlk135812502"/>
      <w:r w:rsidRPr="00FF386D">
        <w:rPr>
          <w:rFonts w:ascii="Calibri Light" w:eastAsia="Calibri" w:hAnsi="Calibri Light" w:cs="Calibri Light"/>
          <w:lang w:val="sr-Cyrl-RS" w:bidi="sr-Cyrl-CS"/>
        </w:rPr>
        <w:t>Финална потрошња енергије је смањена у периоду 2010-2020. године, и то за 17% у индустријском сектору и за 1,5% у сектору саобраћаја, док је у истом периоду финална потрошња енергије у стамбеном сектору повећана за 13,3%. Допринос сектора услуга и пољопривреде финалној потрошњи енергије је био знатно мањи у периоду 2010-2020. године у поређењу са другим секторима финалне потрошње.</w:t>
      </w:r>
      <w:bookmarkEnd w:id="204"/>
    </w:p>
    <w:p w14:paraId="7CB9AEA6" w14:textId="6EAF6D67" w:rsidR="00021937" w:rsidRDefault="00021937" w:rsidP="00565B02">
      <w:pPr>
        <w:pStyle w:val="Caption"/>
        <w:keepNext/>
      </w:pPr>
      <w:bookmarkStart w:id="205" w:name="_Ref153815063"/>
      <w:bookmarkStart w:id="206" w:name="_Toc153901372"/>
      <w:r>
        <w:lastRenderedPageBreak/>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26</w:t>
      </w:r>
      <w:r w:rsidR="00F35B2C">
        <w:fldChar w:fldCharType="end"/>
      </w:r>
      <w:bookmarkEnd w:id="205"/>
      <w:r w:rsidRPr="00021937">
        <w:t>: Финална потрошња енергије по сектору крајње потрошње у периоду 2010-2020. године (Извор: Евростат, 2023. година)</w:t>
      </w:r>
      <w:bookmarkEnd w:id="206"/>
    </w:p>
    <w:p w14:paraId="06E263CA" w14:textId="63F5A612" w:rsidR="00132039" w:rsidRPr="00FF386D" w:rsidRDefault="00132039" w:rsidP="002A1A23">
      <w:pPr>
        <w:keepNext/>
        <w:jc w:val="center"/>
        <w:rPr>
          <w:rFonts w:ascii="Calibri" w:eastAsia="Calibri" w:hAnsi="Calibri" w:cs="Times New Roman"/>
        </w:rPr>
      </w:pPr>
      <w:r w:rsidRPr="004F53D7">
        <w:rPr>
          <w:rFonts w:ascii="Calibri" w:eastAsia="Calibri" w:hAnsi="Calibri" w:cs="Times New Roman"/>
          <w:noProof/>
          <w:lang w:val="en-US"/>
        </w:rPr>
        <w:drawing>
          <wp:inline distT="0" distB="0" distL="0" distR="0" wp14:anchorId="73967CE9" wp14:editId="348222E1">
            <wp:extent cx="5129812" cy="3110230"/>
            <wp:effectExtent l="0" t="0" r="0" b="0"/>
            <wp:docPr id="2029116369" name="Picture 2029116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44580" cy="3119184"/>
                    </a:xfrm>
                    <a:prstGeom prst="rect">
                      <a:avLst/>
                    </a:prstGeom>
                    <a:noFill/>
                  </pic:spPr>
                </pic:pic>
              </a:graphicData>
            </a:graphic>
          </wp:inline>
        </w:drawing>
      </w:r>
    </w:p>
    <w:p w14:paraId="51E40005" w14:textId="245C2188" w:rsidR="002A1A23" w:rsidRPr="000A2AFE" w:rsidRDefault="002A1A23" w:rsidP="000A2AFE">
      <w:pPr>
        <w:pStyle w:val="ListParagraph"/>
        <w:keepNext/>
        <w:keepLines/>
        <w:numPr>
          <w:ilvl w:val="0"/>
          <w:numId w:val="307"/>
        </w:numPr>
        <w:spacing w:before="200" w:after="0" w:line="240" w:lineRule="auto"/>
        <w:outlineLvl w:val="3"/>
        <w:rPr>
          <w:rFonts w:ascii="Calibri Light" w:eastAsia="Times New Roman" w:hAnsi="Calibri Light" w:cs="Times New Roman"/>
          <w:b/>
          <w:bCs/>
          <w:iCs/>
          <w:color w:val="01406B"/>
          <w:szCs w:val="24"/>
        </w:rPr>
      </w:pPr>
      <w:r w:rsidRPr="000A2AFE">
        <w:rPr>
          <w:rFonts w:ascii="Calibri Light" w:eastAsia="Times New Roman" w:hAnsi="Calibri Light" w:cs="Times New Roman"/>
          <w:b/>
          <w:bCs/>
          <w:iCs/>
          <w:color w:val="01406B"/>
          <w:szCs w:val="24"/>
          <w:lang w:bidi="sr-Cyrl-CS"/>
        </w:rPr>
        <w:t>Тренутни потенцијал за примену високоефикасне когенерације и ефикасног даљинског грејања и хлађења</w:t>
      </w:r>
    </w:p>
    <w:p w14:paraId="5D97768E" w14:textId="362B9C47" w:rsidR="00E43C82" w:rsidRPr="00FF386D" w:rsidRDefault="00E43C82" w:rsidP="00565B02">
      <w:pPr>
        <w:spacing w:before="160"/>
        <w:jc w:val="both"/>
        <w:rPr>
          <w:rFonts w:ascii="Calibri Light" w:hAnsi="Calibri Light" w:cs="Calibri Light"/>
        </w:rPr>
      </w:pPr>
      <w:bookmarkStart w:id="207" w:name="_Hlk135812787"/>
      <w:r w:rsidRPr="00FF386D">
        <w:rPr>
          <w:rFonts w:ascii="Calibri Light" w:hAnsi="Calibri Light" w:cs="Calibri Light"/>
        </w:rPr>
        <w:t>Даљинско хлађење се не разматра као опција у периоду до 2030. године.</w:t>
      </w:r>
    </w:p>
    <w:p w14:paraId="16AC189B" w14:textId="12C86E94" w:rsidR="00E43C82" w:rsidRPr="00FF386D" w:rsidRDefault="00E43C82" w:rsidP="00E43C82">
      <w:pPr>
        <w:jc w:val="both"/>
      </w:pPr>
      <w:r w:rsidRPr="00FF386D">
        <w:rPr>
          <w:rFonts w:ascii="Calibri Light" w:hAnsi="Calibri Light" w:cs="Calibri Light"/>
        </w:rPr>
        <w:t>Високоефикасн</w:t>
      </w:r>
      <w:r w:rsidR="00250CA9" w:rsidRPr="00FF386D">
        <w:rPr>
          <w:rFonts w:ascii="Calibri Light" w:hAnsi="Calibri Light" w:cs="Calibri Light"/>
        </w:rPr>
        <w:t>а</w:t>
      </w:r>
      <w:r w:rsidRPr="00FF386D">
        <w:rPr>
          <w:rFonts w:ascii="Calibri Light" w:hAnsi="Calibri Light" w:cs="Calibri Light"/>
        </w:rPr>
        <w:t xml:space="preserve"> когенерацион</w:t>
      </w:r>
      <w:r w:rsidR="00250CA9" w:rsidRPr="00FF386D">
        <w:rPr>
          <w:rFonts w:ascii="Calibri Light" w:hAnsi="Calibri Light" w:cs="Calibri Light"/>
        </w:rPr>
        <w:t>а постројења</w:t>
      </w:r>
      <w:r w:rsidRPr="00FF386D">
        <w:rPr>
          <w:rFonts w:ascii="Calibri Light" w:hAnsi="Calibri Light" w:cs="Calibri Light"/>
        </w:rPr>
        <w:t xml:space="preserve"> на гас се разматрају као опција за системе даљинског грејања заједно са </w:t>
      </w:r>
      <w:r w:rsidR="00250CA9" w:rsidRPr="00FF386D">
        <w:rPr>
          <w:rFonts w:ascii="Calibri Light" w:hAnsi="Calibri Light" w:cs="Calibri Light"/>
        </w:rPr>
        <w:t>постројењима</w:t>
      </w:r>
      <w:r w:rsidRPr="00FF386D">
        <w:rPr>
          <w:rFonts w:ascii="Calibri Light" w:hAnsi="Calibri Light" w:cs="Calibri Light"/>
        </w:rPr>
        <w:t xml:space="preserve"> на биомасу и биогас. Очекује се да ће удео у сценарију </w:t>
      </w:r>
      <w:r w:rsidRPr="00FF386D">
        <w:rPr>
          <w:rFonts w:ascii="Calibri Light" w:hAnsi="Calibri Light" w:cs="Calibri Light"/>
          <w:i/>
          <w:iCs/>
        </w:rPr>
        <w:t>WEM</w:t>
      </w:r>
      <w:r w:rsidRPr="00FF386D">
        <w:rPr>
          <w:rFonts w:ascii="Calibri Light" w:hAnsi="Calibri Light" w:cs="Calibri Light"/>
        </w:rPr>
        <w:t xml:space="preserve"> бити ограничен, али у сценарију са додатним мерама (</w:t>
      </w:r>
      <w:r w:rsidRPr="00FF386D">
        <w:rPr>
          <w:rFonts w:ascii="Calibri Light" w:hAnsi="Calibri Light" w:cs="Calibri Light"/>
          <w:i/>
          <w:iCs/>
        </w:rPr>
        <w:t>WAM</w:t>
      </w:r>
      <w:r w:rsidRPr="00FF386D">
        <w:rPr>
          <w:rFonts w:ascii="Calibri Light" w:hAnsi="Calibri Light" w:cs="Calibri Light"/>
        </w:rPr>
        <w:t>) постоји потенцијал когенерације на гас (</w:t>
      </w:r>
      <w:r w:rsidRPr="00FF386D">
        <w:rPr>
          <w:rFonts w:ascii="Calibri Light" w:hAnsi="Calibri Light" w:cs="Calibri Light"/>
          <w:i/>
          <w:iCs/>
        </w:rPr>
        <w:t>CHP</w:t>
      </w:r>
      <w:r w:rsidRPr="00FF386D">
        <w:rPr>
          <w:rFonts w:ascii="Calibri Light" w:hAnsi="Calibri Light" w:cs="Calibri Light"/>
        </w:rPr>
        <w:t xml:space="preserve">) који покрива до 3% укупне производње даљинског грејања и потенцијал да топлотна енергија произведена у когенерацијским </w:t>
      </w:r>
      <w:r w:rsidR="00250CA9" w:rsidRPr="00FF386D">
        <w:rPr>
          <w:rFonts w:ascii="Calibri Light" w:hAnsi="Calibri Light" w:cs="Calibri Light"/>
        </w:rPr>
        <w:t xml:space="preserve">постројењима </w:t>
      </w:r>
      <w:r w:rsidRPr="00FF386D">
        <w:rPr>
          <w:rFonts w:ascii="Calibri Light" w:hAnsi="Calibri Light" w:cs="Calibri Light"/>
        </w:rPr>
        <w:t xml:space="preserve">које користе биоенергију, покрије до </w:t>
      </w:r>
      <w:r w:rsidR="00D90012" w:rsidRPr="00FF386D">
        <w:rPr>
          <w:rFonts w:ascii="Calibri Light" w:hAnsi="Calibri Light" w:cs="Calibri Light"/>
        </w:rPr>
        <w:t>5</w:t>
      </w:r>
      <w:r w:rsidRPr="00FF386D">
        <w:rPr>
          <w:rFonts w:ascii="Calibri Light" w:hAnsi="Calibri Light" w:cs="Calibri Light"/>
        </w:rPr>
        <w:t>% укупне производње топлотне енергије у системима даљинског грејања (ДГ).</w:t>
      </w:r>
      <w:bookmarkEnd w:id="207"/>
    </w:p>
    <w:p w14:paraId="342AC1F3" w14:textId="72FF116F" w:rsidR="002A1A23" w:rsidRPr="00FF386D" w:rsidRDefault="002A1A23" w:rsidP="000A2AFE">
      <w:pPr>
        <w:keepNext/>
        <w:keepLines/>
        <w:numPr>
          <w:ilvl w:val="0"/>
          <w:numId w:val="307"/>
        </w:numPr>
        <w:spacing w:before="200" w:after="0" w:line="240" w:lineRule="auto"/>
        <w:outlineLvl w:val="3"/>
        <w:rPr>
          <w:rFonts w:ascii="Calibri Light" w:eastAsia="Times New Roman" w:hAnsi="Calibri Light" w:cs="Times New Roman"/>
          <w:b/>
          <w:bCs/>
          <w:iCs/>
          <w:color w:val="01406B"/>
          <w:szCs w:val="24"/>
        </w:rPr>
      </w:pPr>
      <w:r w:rsidRPr="00FF386D">
        <w:rPr>
          <w:rFonts w:ascii="Calibri Light" w:eastAsia="Times New Roman" w:hAnsi="Calibri Light" w:cs="Times New Roman"/>
          <w:b/>
          <w:bCs/>
          <w:iCs/>
          <w:color w:val="01406B"/>
          <w:szCs w:val="24"/>
          <w:lang w:bidi="sr-Cyrl-CS"/>
        </w:rPr>
        <w:t>Пројекције узимајући у обзир постојеће политике, мере и програме енергетске ефикасности како је описано у одељку 1.2. ii) за потрошњу примарне енергије и финалну потрошњу енергије у сваком сектору најмање до 2040. године (укључујући и 2030. годину)</w:t>
      </w:r>
    </w:p>
    <w:p w14:paraId="749FACE0" w14:textId="1FF102B1" w:rsidR="00E43C82" w:rsidRPr="00FF386D" w:rsidRDefault="002A1A23" w:rsidP="00E43C82">
      <w:pPr>
        <w:pStyle w:val="LDKbody"/>
        <w:rPr>
          <w:rFonts w:ascii="Calibri Light" w:eastAsia="Calibri" w:hAnsi="Calibri Light" w:cs="Calibri Light"/>
          <w:lang w:val="sr-Cyrl-RS"/>
        </w:rPr>
      </w:pPr>
      <w:r w:rsidRPr="00FF386D">
        <w:rPr>
          <w:rFonts w:ascii="Calibri Light" w:eastAsia="Calibri" w:hAnsi="Calibri Light" w:cs="Calibri Light"/>
          <w:lang w:val="sr-Cyrl-RS" w:bidi="sr-Cyrl-CS"/>
        </w:rPr>
        <w:t>Као што је приказано на</w:t>
      </w:r>
      <w:r w:rsidR="00021937">
        <w:rPr>
          <w:rFonts w:ascii="Calibri Light" w:eastAsia="Calibri" w:hAnsi="Calibri Light" w:cs="Calibri Light"/>
          <w:lang w:val="sr-Cyrl-RS" w:bidi="sr-Cyrl-CS"/>
        </w:rPr>
        <w:t xml:space="preserve"> </w:t>
      </w:r>
      <w:r w:rsidR="00021937">
        <w:rPr>
          <w:rFonts w:ascii="Calibri Light" w:eastAsia="Calibri" w:hAnsi="Calibri Light" w:cs="Calibri Light"/>
          <w:lang w:val="sr-Cyrl-RS" w:bidi="sr-Cyrl-CS"/>
        </w:rPr>
        <w:fldChar w:fldCharType="begin"/>
      </w:r>
      <w:r w:rsidR="00021937">
        <w:rPr>
          <w:rFonts w:ascii="Calibri Light" w:eastAsia="Calibri" w:hAnsi="Calibri Light" w:cs="Calibri Light"/>
          <w:lang w:val="sr-Cyrl-RS" w:bidi="sr-Cyrl-CS"/>
        </w:rPr>
        <w:instrText xml:space="preserve"> REF _Ref153815159 \h  \* MERGEFORMAT </w:instrText>
      </w:r>
      <w:r w:rsidR="00021937">
        <w:rPr>
          <w:rFonts w:ascii="Calibri Light" w:eastAsia="Calibri" w:hAnsi="Calibri Light" w:cs="Calibri Light"/>
          <w:lang w:val="sr-Cyrl-RS" w:bidi="sr-Cyrl-CS"/>
        </w:rPr>
      </w:r>
      <w:r w:rsidR="00021937">
        <w:rPr>
          <w:rFonts w:ascii="Calibri Light" w:eastAsia="Calibri" w:hAnsi="Calibri Light" w:cs="Calibri Light"/>
          <w:lang w:val="sr-Cyrl-RS" w:bidi="sr-Cyrl-CS"/>
        </w:rPr>
        <w:fldChar w:fldCharType="separate"/>
      </w:r>
      <w:r w:rsidR="00021937" w:rsidRPr="00565B02">
        <w:rPr>
          <w:rFonts w:ascii="Calibri Light" w:eastAsia="Calibri" w:hAnsi="Calibri Light" w:cs="Calibri Light"/>
          <w:lang w:val="sr-Cyrl-RS" w:bidi="sr-Cyrl-CS"/>
        </w:rPr>
        <w:t>слици 4.27</w:t>
      </w:r>
      <w:r w:rsidR="00021937">
        <w:rPr>
          <w:rFonts w:ascii="Calibri Light" w:eastAsia="Calibri" w:hAnsi="Calibri Light" w:cs="Calibri Light"/>
          <w:lang w:val="sr-Cyrl-RS" w:bidi="sr-Cyrl-CS"/>
        </w:rPr>
        <w:fldChar w:fldCharType="end"/>
      </w:r>
      <w:r w:rsidRPr="00FF386D">
        <w:rPr>
          <w:rFonts w:ascii="Calibri Light" w:eastAsia="Calibri" w:hAnsi="Calibri Light" w:cs="Calibri Light"/>
          <w:lang w:val="sr-Cyrl-RS" w:bidi="sr-Cyrl-CS"/>
        </w:rPr>
        <w:t>,</w:t>
      </w:r>
      <w:r w:rsidRPr="00565B02">
        <w:rPr>
          <w:rFonts w:ascii="Calibri Light" w:eastAsia="Calibri" w:hAnsi="Calibri Light" w:cs="Calibri Light"/>
          <w:lang w:val="sr-Cyrl-RS" w:bidi="sr-Cyrl-CS"/>
        </w:rPr>
        <w:t xml:space="preserve"> </w:t>
      </w:r>
      <w:r w:rsidR="00E43C82" w:rsidRPr="00FF386D">
        <w:rPr>
          <w:rFonts w:ascii="Calibri Light" w:eastAsia="Calibri" w:hAnsi="Calibri Light" w:cs="Calibri Light"/>
          <w:lang w:val="sr-Cyrl-RS" w:bidi="sr-Cyrl-CS"/>
        </w:rPr>
        <w:t>очекује се да ће потрошња примарне енергије и финална потрошња енергије пратити скоро исти тренд раста у периоду 2020-2050. године. Тачније, пројектовано је да се финална потрошња енергије повећа са 8,9 Mtoe у 2020. години на 10,8 Mtoe у 2030. години и на 13,2 Mtoe у 2050. години, приказујући стабилнији тренд раста у поређењу са потрошњом примарне енергије, коју ће карактерисати смањење са 19,6% у 2045. години на 19,3% у 2050. години. Међутим, очекује се да ће потрошња примарне енергије порасти са 15,0 Mtoe у 2020. години на 17,5 Mtoe у 2030. години и на 19,3 Mtoe у 2050. години, како би се покрила повећана финална потрошња енергије (ФПЕ). Бележи се благо смањење између 2045. и 2050. године углавном због удела ОИЕ у производњи електричне енергије. Евидентно је да примена постојећих енергетски ефикасних политика и мера не може да заустави утицај који повећани БДП има на потрошњу енергије, што се очекује до 2050. године.</w:t>
      </w:r>
    </w:p>
    <w:p w14:paraId="2D2DD3FE" w14:textId="7EB3D36A" w:rsidR="00021937" w:rsidRDefault="00021937" w:rsidP="00565B02">
      <w:pPr>
        <w:pStyle w:val="Caption"/>
        <w:keepNext/>
      </w:pPr>
      <w:bookmarkStart w:id="208" w:name="_Ref153815159"/>
      <w:bookmarkStart w:id="209" w:name="_Toc153901373"/>
      <w:r>
        <w:lastRenderedPageBreak/>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27</w:t>
      </w:r>
      <w:r w:rsidR="00F35B2C">
        <w:fldChar w:fldCharType="end"/>
      </w:r>
      <w:bookmarkEnd w:id="208"/>
      <w:r w:rsidRPr="00021937">
        <w:t>: Потрошња примарне и финалне енергије у периоду 2020-2050. године у сценарију са постојећим мерама (WEM)</w:t>
      </w:r>
      <w:bookmarkEnd w:id="209"/>
    </w:p>
    <w:p w14:paraId="1A0E9896" w14:textId="4FE4CADE" w:rsidR="00132039" w:rsidRPr="00FF386D" w:rsidRDefault="00021937" w:rsidP="002A1A23">
      <w:pPr>
        <w:jc w:val="center"/>
        <w:rPr>
          <w:rFonts w:ascii="Calibri" w:eastAsia="Calibri" w:hAnsi="Calibri" w:cs="Times New Roman"/>
          <w:lang w:eastAsia="el-GR"/>
        </w:rPr>
      </w:pPr>
      <w:r>
        <w:rPr>
          <w:noProof/>
          <w:lang w:val="en-US"/>
        </w:rPr>
        <mc:AlternateContent>
          <mc:Choice Requires="wps">
            <w:drawing>
              <wp:anchor distT="0" distB="0" distL="114300" distR="114300" simplePos="0" relativeHeight="251798528" behindDoc="0" locked="0" layoutInCell="1" allowOverlap="1" wp14:anchorId="025E8B93" wp14:editId="6F9C7F05">
                <wp:simplePos x="0" y="0"/>
                <wp:positionH relativeFrom="column">
                  <wp:posOffset>1353639</wp:posOffset>
                </wp:positionH>
                <wp:positionV relativeFrom="paragraph">
                  <wp:posOffset>134530</wp:posOffset>
                </wp:positionV>
                <wp:extent cx="2423160" cy="2245088"/>
                <wp:effectExtent l="0" t="0" r="0" b="3175"/>
                <wp:wrapNone/>
                <wp:docPr id="839732291" name="Text Box 839732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160" cy="2245088"/>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01079F87" id="Text Box 839732291" o:spid="_x0000_s1026" type="#_x0000_t202" style="position:absolute;margin-left:106.6pt;margin-top:10.6pt;width:190.8pt;height:176.8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" fillcolor="#a6a6a6" stroked="f">
                <v:fill opacity="32896f"/>
              </v:shape>
            </w:pict>
          </mc:Fallback>
        </mc:AlternateContent>
      </w:r>
      <w:r w:rsidR="00132039" w:rsidRPr="004F53D7">
        <w:rPr>
          <w:rFonts w:ascii="Calibri" w:eastAsia="Calibri" w:hAnsi="Calibri" w:cs="Times New Roman"/>
          <w:noProof/>
          <w:lang w:val="en-US"/>
        </w:rPr>
        <w:drawing>
          <wp:inline distT="0" distB="0" distL="0" distR="0" wp14:anchorId="5545F664" wp14:editId="71DF4BC4">
            <wp:extent cx="5063735" cy="2894246"/>
            <wp:effectExtent l="0" t="0" r="0" b="0"/>
            <wp:docPr id="834666265" name="Picture 834666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84536" cy="2906135"/>
                    </a:xfrm>
                    <a:prstGeom prst="rect">
                      <a:avLst/>
                    </a:prstGeom>
                    <a:noFill/>
                  </pic:spPr>
                </pic:pic>
              </a:graphicData>
            </a:graphic>
          </wp:inline>
        </w:drawing>
      </w:r>
    </w:p>
    <w:p w14:paraId="318458F7" w14:textId="5B07FAD9" w:rsidR="00CA20F4" w:rsidRPr="00FF386D" w:rsidRDefault="00CA20F4" w:rsidP="00CA20F4">
      <w:pPr>
        <w:pStyle w:val="LDKbody"/>
        <w:rPr>
          <w:rFonts w:ascii="Calibri Light" w:eastAsia="Calibri" w:hAnsi="Calibri Light" w:cs="Calibri Light"/>
          <w:lang w:val="sr-Cyrl-RS" w:bidi="sr-Cyrl-CS"/>
        </w:rPr>
      </w:pPr>
      <w:bookmarkStart w:id="210" w:name="_Hlk135812897"/>
      <w:r w:rsidRPr="00FF386D">
        <w:rPr>
          <w:rFonts w:ascii="Calibri Light" w:eastAsia="Calibri" w:hAnsi="Calibri Light" w:cs="Calibri Light"/>
          <w:lang w:val="sr-Cyrl-RS" w:bidi="sr-Cyrl-CS"/>
        </w:rPr>
        <w:t>У финалној потрошњи енергије тренутно преовлађују нафта и нафтни деривати, који покривају 33% укупне потражње, а затим следи електрична енергија која покрива 26% у 2020. години</w:t>
      </w:r>
      <w:bookmarkEnd w:id="210"/>
      <w:r w:rsidRPr="00FF386D">
        <w:rPr>
          <w:rFonts w:ascii="Calibri Light" w:eastAsia="Calibri" w:hAnsi="Calibri Light" w:cs="Calibri Light"/>
          <w:lang w:val="sr-Cyrl-RS" w:bidi="sr-Cyrl-CS"/>
        </w:rPr>
        <w:t xml:space="preserve"> </w:t>
      </w:r>
      <w:r w:rsidR="002A1A23" w:rsidRPr="00FF386D">
        <w:rPr>
          <w:rFonts w:ascii="Calibri Light" w:eastAsia="Calibri" w:hAnsi="Calibri Light" w:cs="Calibri Light"/>
          <w:lang w:val="sr-Cyrl-RS" w:bidi="sr-Cyrl-CS"/>
        </w:rPr>
        <w:t>(</w:t>
      </w:r>
      <w:r w:rsidR="00F77AAE">
        <w:rPr>
          <w:rFonts w:ascii="Calibri Light" w:eastAsia="Calibri" w:hAnsi="Calibri Light" w:cs="Calibri Light"/>
          <w:lang w:val="sr-Cyrl-RS" w:bidi="sr-Cyrl-CS"/>
        </w:rPr>
        <w:fldChar w:fldCharType="begin"/>
      </w:r>
      <w:r w:rsidR="00F77AAE">
        <w:rPr>
          <w:rFonts w:ascii="Calibri Light" w:eastAsia="Calibri" w:hAnsi="Calibri Light" w:cs="Calibri Light"/>
          <w:lang w:val="sr-Cyrl-RS" w:bidi="sr-Cyrl-CS"/>
        </w:rPr>
        <w:instrText xml:space="preserve"> REF _Ref153870372 \h  \* MERGEFORMAT </w:instrText>
      </w:r>
      <w:r w:rsidR="00F77AAE">
        <w:rPr>
          <w:rFonts w:ascii="Calibri Light" w:eastAsia="Calibri" w:hAnsi="Calibri Light" w:cs="Calibri Light"/>
          <w:lang w:val="sr-Cyrl-RS" w:bidi="sr-Cyrl-CS"/>
        </w:rPr>
      </w:r>
      <w:r w:rsidR="00F77AAE">
        <w:rPr>
          <w:rFonts w:ascii="Calibri Light" w:eastAsia="Calibri" w:hAnsi="Calibri Light" w:cs="Calibri Light"/>
          <w:lang w:val="sr-Cyrl-RS" w:bidi="sr-Cyrl-CS"/>
        </w:rPr>
        <w:fldChar w:fldCharType="separate"/>
      </w:r>
      <w:r w:rsidR="00F77AAE" w:rsidRPr="00565B02">
        <w:rPr>
          <w:rFonts w:ascii="Calibri Light" w:eastAsia="Calibri" w:hAnsi="Calibri Light" w:cs="Calibri Light"/>
          <w:lang w:val="sr-Cyrl-RS" w:bidi="sr-Cyrl-CS"/>
        </w:rPr>
        <w:t>Слика 4.28</w:t>
      </w:r>
      <w:r w:rsidR="00F77AAE">
        <w:rPr>
          <w:rFonts w:ascii="Calibri Light" w:eastAsia="Calibri" w:hAnsi="Calibri Light" w:cs="Calibri Light"/>
          <w:lang w:val="sr-Cyrl-RS" w:bidi="sr-Cyrl-CS"/>
        </w:rPr>
        <w:fldChar w:fldCharType="end"/>
      </w:r>
      <w:r w:rsidR="002A1A23" w:rsidRPr="00FF386D">
        <w:rPr>
          <w:rFonts w:ascii="Calibri Light" w:eastAsia="Calibri" w:hAnsi="Calibri Light" w:cs="Calibri Light"/>
          <w:lang w:val="sr-Cyrl-RS" w:bidi="sr-Cyrl-CS"/>
        </w:rPr>
        <w:t xml:space="preserve">). </w:t>
      </w:r>
      <w:bookmarkStart w:id="211" w:name="_Hlk135812908"/>
      <w:r w:rsidRPr="00FF386D">
        <w:rPr>
          <w:rFonts w:ascii="Calibri Light" w:eastAsia="Calibri" w:hAnsi="Calibri Light" w:cs="Calibri Light"/>
          <w:lang w:val="sr-Cyrl-RS" w:bidi="sr-Cyrl-CS"/>
        </w:rPr>
        <w:t>Очекује се стабилан раст потрошње нафте и нафтних деривата са 2,9 Mtoe у 2020. години на 3,3 Mtoe у 2030. години и на 4,1 Mtoe у 2050. години, што представља незнатно мањи удео (3</w:t>
      </w:r>
      <w:r w:rsidR="00250CA9" w:rsidRPr="00FF386D">
        <w:rPr>
          <w:rFonts w:ascii="Calibri Light" w:eastAsia="Calibri" w:hAnsi="Calibri Light" w:cs="Calibri Light"/>
          <w:lang w:val="sr-Cyrl-RS" w:bidi="sr-Cyrl-CS"/>
        </w:rPr>
        <w:t>2</w:t>
      </w:r>
      <w:r w:rsidRPr="00FF386D">
        <w:rPr>
          <w:rFonts w:ascii="Calibri Light" w:eastAsia="Calibri" w:hAnsi="Calibri Light" w:cs="Calibri Light"/>
          <w:lang w:val="sr-Cyrl-RS" w:bidi="sr-Cyrl-CS"/>
        </w:rPr>
        <w:t>%). Слично томе, очекује се да ће потрошња електричне енергије порасти са 2,2 Mtoe у 2020. години на 3,0 Mtoe у 2030. години и на 3,6 Mtoe у 2050. години, што ће довести до учешћа од 28%. Удео ОИЕ у финалној потрошњи енергије остаје релативно константан (око 17% у просеку) и достиже 1,6 Mtoe у 2050. години. Најзад, потрошња природног гаса ће се повећати са 938 ktoe у 2020. години на 1,2 Mtoe у 2030. години и на 2,2 Mtoe у 2050. години, достижући удео од 17% у финалној потрошњи енергије у 2050. години.</w:t>
      </w:r>
    </w:p>
    <w:p w14:paraId="50CB5451" w14:textId="267DA933" w:rsidR="00F77AAE" w:rsidRPr="00F77AAE" w:rsidRDefault="00F77AAE" w:rsidP="00565B02">
      <w:pPr>
        <w:spacing w:after="200" w:line="240" w:lineRule="auto"/>
      </w:pPr>
      <w:bookmarkStart w:id="212" w:name="_Ref153870372"/>
      <w:bookmarkStart w:id="213" w:name="_Toc153901374"/>
      <w:bookmarkEnd w:id="211"/>
      <w:r w:rsidRPr="00F77AAE">
        <w:rPr>
          <w:rFonts w:ascii="Calibri Light" w:hAnsi="Calibri Light" w:cs="Times New Roman"/>
          <w:b/>
          <w:bCs/>
          <w:color w:val="01406B"/>
        </w:rPr>
        <w:t xml:space="preserve">Слика </w:t>
      </w:r>
      <w:r w:rsidR="00F35B2C">
        <w:rPr>
          <w:rFonts w:ascii="Calibri Light" w:hAnsi="Calibri Light" w:cs="Times New Roman"/>
          <w:b/>
          <w:bCs/>
          <w:color w:val="01406B"/>
        </w:rPr>
        <w:fldChar w:fldCharType="begin"/>
      </w:r>
      <w:r w:rsidR="00F35B2C">
        <w:rPr>
          <w:rFonts w:ascii="Calibri Light" w:hAnsi="Calibri Light" w:cs="Times New Roman"/>
          <w:b/>
          <w:bCs/>
          <w:color w:val="01406B"/>
        </w:rPr>
        <w:instrText xml:space="preserve"> STYLEREF 1 \s </w:instrText>
      </w:r>
      <w:r w:rsidR="00F35B2C">
        <w:rPr>
          <w:rFonts w:ascii="Calibri Light" w:hAnsi="Calibri Light" w:cs="Times New Roman"/>
          <w:b/>
          <w:bCs/>
          <w:color w:val="01406B"/>
        </w:rPr>
        <w:fldChar w:fldCharType="separate"/>
      </w:r>
      <w:r w:rsidR="00F35B2C">
        <w:rPr>
          <w:rFonts w:ascii="Calibri Light" w:hAnsi="Calibri Light" w:cs="Times New Roman"/>
          <w:b/>
          <w:bCs/>
          <w:noProof/>
          <w:color w:val="01406B"/>
        </w:rPr>
        <w:t>4</w:t>
      </w:r>
      <w:r w:rsidR="00F35B2C">
        <w:rPr>
          <w:rFonts w:ascii="Calibri Light" w:hAnsi="Calibri Light" w:cs="Times New Roman"/>
          <w:b/>
          <w:bCs/>
          <w:color w:val="01406B"/>
        </w:rPr>
        <w:fldChar w:fldCharType="end"/>
      </w:r>
      <w:r w:rsidR="00F35B2C">
        <w:rPr>
          <w:rFonts w:ascii="Calibri Light" w:hAnsi="Calibri Light" w:cs="Times New Roman"/>
          <w:b/>
          <w:bCs/>
          <w:color w:val="01406B"/>
        </w:rPr>
        <w:t>.</w:t>
      </w:r>
      <w:r w:rsidR="00F35B2C">
        <w:rPr>
          <w:rFonts w:ascii="Calibri Light" w:hAnsi="Calibri Light" w:cs="Times New Roman"/>
          <w:b/>
          <w:bCs/>
          <w:color w:val="01406B"/>
        </w:rPr>
        <w:fldChar w:fldCharType="begin"/>
      </w:r>
      <w:r w:rsidR="00F35B2C">
        <w:rPr>
          <w:rFonts w:ascii="Calibri Light" w:hAnsi="Calibri Light" w:cs="Times New Roman"/>
          <w:b/>
          <w:bCs/>
          <w:color w:val="01406B"/>
        </w:rPr>
        <w:instrText xml:space="preserve"> SEQ Слика \* ARABIC \s 1 </w:instrText>
      </w:r>
      <w:r w:rsidR="00F35B2C">
        <w:rPr>
          <w:rFonts w:ascii="Calibri Light" w:hAnsi="Calibri Light" w:cs="Times New Roman"/>
          <w:b/>
          <w:bCs/>
          <w:color w:val="01406B"/>
        </w:rPr>
        <w:fldChar w:fldCharType="separate"/>
      </w:r>
      <w:r w:rsidR="00F35B2C">
        <w:rPr>
          <w:rFonts w:ascii="Calibri Light" w:hAnsi="Calibri Light" w:cs="Times New Roman"/>
          <w:b/>
          <w:bCs/>
          <w:noProof/>
          <w:color w:val="01406B"/>
        </w:rPr>
        <w:t>28</w:t>
      </w:r>
      <w:r w:rsidR="00F35B2C">
        <w:rPr>
          <w:rFonts w:ascii="Calibri Light" w:hAnsi="Calibri Light" w:cs="Times New Roman"/>
          <w:b/>
          <w:bCs/>
          <w:color w:val="01406B"/>
        </w:rPr>
        <w:fldChar w:fldCharType="end"/>
      </w:r>
      <w:bookmarkEnd w:id="212"/>
      <w:r w:rsidRPr="00F77AAE">
        <w:rPr>
          <w:rFonts w:ascii="Calibri Light" w:hAnsi="Calibri Light" w:cs="Times New Roman"/>
          <w:b/>
          <w:bCs/>
          <w:color w:val="01406B"/>
        </w:rPr>
        <w:t>: Финална потрошња енергије по гориву у периоду 2020-2050. године у сценарију са постојећим мерама (WEM)</w:t>
      </w:r>
      <w:bookmarkEnd w:id="213"/>
    </w:p>
    <w:p w14:paraId="500A9A04" w14:textId="17BD659D" w:rsidR="00DB5290" w:rsidRPr="00FF386D" w:rsidRDefault="00F77AAE" w:rsidP="002A1A23">
      <w:pPr>
        <w:spacing w:after="200" w:line="240" w:lineRule="auto"/>
        <w:jc w:val="center"/>
        <w:rPr>
          <w:rFonts w:ascii="Calibri Light" w:eastAsia="Calibri" w:hAnsi="Calibri Light" w:cs="Times New Roman"/>
          <w:b/>
          <w:bCs/>
          <w:color w:val="01406B"/>
        </w:rPr>
      </w:pPr>
      <w:r w:rsidRPr="00565B02">
        <w:rPr>
          <w:rFonts w:ascii="Calibri Light" w:hAnsi="Calibri Light" w:cs="Times New Roman"/>
          <w:b/>
          <w:bCs/>
          <w:noProof/>
          <w:color w:val="01406B"/>
        </w:rPr>
        <mc:AlternateContent>
          <mc:Choice Requires="wps">
            <w:drawing>
              <wp:anchor distT="0" distB="0" distL="114300" distR="114300" simplePos="0" relativeHeight="251689984" behindDoc="0" locked="0" layoutInCell="1" allowOverlap="1" wp14:anchorId="32A43E5C" wp14:editId="536E8D6D">
                <wp:simplePos x="0" y="0"/>
                <wp:positionH relativeFrom="column">
                  <wp:posOffset>1049655</wp:posOffset>
                </wp:positionH>
                <wp:positionV relativeFrom="paragraph">
                  <wp:posOffset>410845</wp:posOffset>
                </wp:positionV>
                <wp:extent cx="2727960" cy="2141220"/>
                <wp:effectExtent l="0" t="0" r="0" b="0"/>
                <wp:wrapNone/>
                <wp:docPr id="845417908" name="Text Box 845417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7960" cy="2141220"/>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type w14:anchorId="0081E844" id="_x0000_t202" coordsize="21600,21600" o:spt="202" path="m,l,21600r21600,l21600,xe">
                <v:stroke joinstyle="miter"/>
                <v:path gradientshapeok="t" o:connecttype="rect"/>
              </v:shapetype>
              <v:shape id="Text Box 845417908" o:spid="_x0000_s1026" type="#_x0000_t202" style="position:absolute;margin-left:82.65pt;margin-top:32.35pt;width:214.8pt;height:168.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" fillcolor="#a6a6a6" stroked="f">
                <v:fill opacity="32896f"/>
              </v:shape>
            </w:pict>
          </mc:Fallback>
        </mc:AlternateContent>
      </w:r>
      <w:r w:rsidR="00904C5C" w:rsidRPr="004F53D7">
        <w:rPr>
          <w:rFonts w:ascii="Calibri Light" w:eastAsia="Calibri" w:hAnsi="Calibri Light" w:cs="Times New Roman"/>
          <w:b/>
          <w:bCs/>
          <w:noProof/>
          <w:color w:val="01406B"/>
          <w:lang w:val="en-US"/>
        </w:rPr>
        <w:drawing>
          <wp:inline distT="0" distB="0" distL="0" distR="0" wp14:anchorId="2782D0D1" wp14:editId="05DDD708">
            <wp:extent cx="5770400" cy="3309620"/>
            <wp:effectExtent l="0" t="0" r="0" b="0"/>
            <wp:docPr id="609987488" name="Picture 609987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78442" cy="3314233"/>
                    </a:xfrm>
                    <a:prstGeom prst="rect">
                      <a:avLst/>
                    </a:prstGeom>
                    <a:noFill/>
                  </pic:spPr>
                </pic:pic>
              </a:graphicData>
            </a:graphic>
          </wp:inline>
        </w:drawing>
      </w:r>
    </w:p>
    <w:p w14:paraId="373BFE64" w14:textId="5A2A71A7" w:rsidR="00F77AAE" w:rsidRPr="00FF386D" w:rsidRDefault="00CA20F4" w:rsidP="00CA20F4">
      <w:pPr>
        <w:pStyle w:val="LDKbody"/>
        <w:rPr>
          <w:rFonts w:ascii="Calibri Light" w:hAnsi="Calibri Light" w:cs="Calibri Light"/>
          <w:lang w:val="sr-Cyrl-RS"/>
        </w:rPr>
      </w:pPr>
      <w:bookmarkStart w:id="214" w:name="_Hlk135812933"/>
      <w:r w:rsidRPr="00FF386D">
        <w:rPr>
          <w:rFonts w:ascii="Calibri Light" w:eastAsia="Calibri" w:hAnsi="Calibri Light" w:cs="Calibri Light"/>
          <w:lang w:val="sr-Cyrl-RS" w:bidi="sr-Cyrl-CS"/>
        </w:rPr>
        <w:lastRenderedPageBreak/>
        <w:t>Пројектовано је да ће се интензитет финалне енергије смањити до 2050. године, јер ће бити смањен за 18% у 2030. години, 33% у 2040. години и 42% у 2050. години, у поређењу са 2020. годином, као што је приказано на</w:t>
      </w:r>
      <w:bookmarkEnd w:id="214"/>
      <w:r w:rsidR="00F77AAE">
        <w:rPr>
          <w:rFonts w:ascii="Calibri Light" w:eastAsia="Calibri" w:hAnsi="Calibri Light" w:cs="Calibri Light"/>
          <w:lang w:val="sr-Cyrl-RS" w:bidi="sr-Cyrl-CS"/>
        </w:rPr>
        <w:t xml:space="preserve"> </w:t>
      </w:r>
      <w:r w:rsidR="00F77AAE">
        <w:rPr>
          <w:rFonts w:ascii="Calibri Light" w:eastAsia="Calibri" w:hAnsi="Calibri Light" w:cs="Calibri Light"/>
          <w:lang w:bidi="sr-Cyrl-CS"/>
        </w:rPr>
        <w:fldChar w:fldCharType="begin"/>
      </w:r>
      <w:r w:rsidR="00F77AAE">
        <w:rPr>
          <w:rFonts w:ascii="Calibri Light" w:eastAsia="Calibri" w:hAnsi="Calibri Light" w:cs="Calibri Light"/>
          <w:lang w:val="sr-Cyrl-RS" w:bidi="sr-Cyrl-CS"/>
        </w:rPr>
        <w:instrText xml:space="preserve"> REF _Ref153870586 \h  \* MERGEFORMAT </w:instrText>
      </w:r>
      <w:r w:rsidR="00F77AAE">
        <w:rPr>
          <w:rFonts w:ascii="Calibri Light" w:eastAsia="Calibri" w:hAnsi="Calibri Light" w:cs="Calibri Light"/>
          <w:lang w:bidi="sr-Cyrl-CS"/>
        </w:rPr>
      </w:r>
      <w:r w:rsidR="00F77AAE">
        <w:rPr>
          <w:rFonts w:ascii="Calibri Light" w:eastAsia="Calibri" w:hAnsi="Calibri Light" w:cs="Calibri Light"/>
          <w:lang w:bidi="sr-Cyrl-CS"/>
        </w:rPr>
        <w:fldChar w:fldCharType="separate"/>
      </w:r>
      <w:r w:rsidR="00F77AAE">
        <w:rPr>
          <w:rFonts w:ascii="Calibri Light" w:eastAsia="Calibri" w:hAnsi="Calibri Light" w:cs="Calibri Light"/>
          <w:lang w:val="sr-Cyrl-RS" w:bidi="sr-Cyrl-CS"/>
        </w:rPr>
        <w:t>с</w:t>
      </w:r>
      <w:r w:rsidR="00F77AAE" w:rsidRPr="00565B02">
        <w:rPr>
          <w:rFonts w:ascii="Calibri Light" w:eastAsia="Calibri" w:hAnsi="Calibri Light" w:cs="Calibri Light"/>
          <w:lang w:val="sr-Cyrl-RS" w:bidi="sr-Cyrl-CS"/>
        </w:rPr>
        <w:t>ли</w:t>
      </w:r>
      <w:r w:rsidR="00F77AAE">
        <w:rPr>
          <w:rFonts w:ascii="Calibri Light" w:eastAsia="Calibri" w:hAnsi="Calibri Light" w:cs="Calibri Light"/>
          <w:lang w:val="sr-Cyrl-RS" w:bidi="sr-Cyrl-CS"/>
        </w:rPr>
        <w:t>ци</w:t>
      </w:r>
      <w:r w:rsidR="00F77AAE" w:rsidRPr="00565B02">
        <w:rPr>
          <w:rFonts w:ascii="Calibri Light" w:eastAsia="Calibri" w:hAnsi="Calibri Light" w:cs="Calibri Light"/>
          <w:lang w:val="sr-Cyrl-RS" w:bidi="sr-Cyrl-CS"/>
        </w:rPr>
        <w:t xml:space="preserve"> 4.29</w:t>
      </w:r>
      <w:r w:rsidR="00F77AAE">
        <w:rPr>
          <w:rFonts w:ascii="Calibri Light" w:eastAsia="Calibri" w:hAnsi="Calibri Light" w:cs="Calibri Light"/>
          <w:lang w:bidi="sr-Cyrl-CS"/>
        </w:rPr>
        <w:fldChar w:fldCharType="end"/>
      </w:r>
      <w:r w:rsidR="002A1A23" w:rsidRPr="00565B02">
        <w:rPr>
          <w:rFonts w:ascii="Calibri Light" w:eastAsia="Calibri" w:hAnsi="Calibri Light" w:cs="Calibri Light"/>
          <w:lang w:bidi="sr-Cyrl-CS"/>
        </w:rPr>
        <w:t xml:space="preserve">, </w:t>
      </w:r>
      <w:bookmarkStart w:id="215" w:name="_Hlk135812941"/>
      <w:r w:rsidRPr="00565B02">
        <w:rPr>
          <w:rFonts w:ascii="Calibri Light" w:eastAsia="Calibri" w:hAnsi="Calibri Light" w:cs="Calibri Light"/>
          <w:lang w:bidi="sr-Cyrl-CS"/>
        </w:rPr>
        <w:t>што</w:t>
      </w:r>
      <w:r w:rsidRPr="00FF386D">
        <w:rPr>
          <w:rFonts w:ascii="Calibri Light" w:hAnsi="Calibri Light" w:cs="Calibri Light"/>
          <w:lang w:val="sr-Cyrl-RS" w:bidi="sr-Cyrl-CS"/>
        </w:rPr>
        <w:t xml:space="preserve"> наглашава суштински допринос постојећих политика и мера енергетске ефикасности.</w:t>
      </w:r>
      <w:bookmarkEnd w:id="215"/>
    </w:p>
    <w:p w14:paraId="0270578E" w14:textId="31A916F5" w:rsidR="00F77AAE" w:rsidRPr="00F77AAE" w:rsidRDefault="00F77AAE" w:rsidP="00565B02">
      <w:bookmarkStart w:id="216" w:name="_Ref153870586"/>
      <w:bookmarkStart w:id="217" w:name="_Toc153901375"/>
      <w:r w:rsidRPr="00F77AAE">
        <w:rPr>
          <w:rFonts w:ascii="Calibri Light" w:hAnsi="Calibri Light" w:cs="Times New Roman"/>
          <w:b/>
          <w:bCs/>
          <w:color w:val="01406B"/>
        </w:rPr>
        <w:t xml:space="preserve">Слика </w:t>
      </w:r>
      <w:r w:rsidR="00F35B2C">
        <w:rPr>
          <w:rFonts w:ascii="Calibri Light" w:hAnsi="Calibri Light" w:cs="Times New Roman"/>
          <w:b/>
          <w:bCs/>
          <w:color w:val="01406B"/>
        </w:rPr>
        <w:fldChar w:fldCharType="begin"/>
      </w:r>
      <w:r w:rsidR="00F35B2C">
        <w:rPr>
          <w:rFonts w:ascii="Calibri Light" w:hAnsi="Calibri Light" w:cs="Times New Roman"/>
          <w:b/>
          <w:bCs/>
          <w:color w:val="01406B"/>
        </w:rPr>
        <w:instrText xml:space="preserve"> STYLEREF 1 \s </w:instrText>
      </w:r>
      <w:r w:rsidR="00F35B2C">
        <w:rPr>
          <w:rFonts w:ascii="Calibri Light" w:hAnsi="Calibri Light" w:cs="Times New Roman"/>
          <w:b/>
          <w:bCs/>
          <w:color w:val="01406B"/>
        </w:rPr>
        <w:fldChar w:fldCharType="separate"/>
      </w:r>
      <w:r w:rsidR="00F35B2C">
        <w:rPr>
          <w:rFonts w:ascii="Calibri Light" w:hAnsi="Calibri Light" w:cs="Times New Roman"/>
          <w:b/>
          <w:bCs/>
          <w:noProof/>
          <w:color w:val="01406B"/>
        </w:rPr>
        <w:t>4</w:t>
      </w:r>
      <w:r w:rsidR="00F35B2C">
        <w:rPr>
          <w:rFonts w:ascii="Calibri Light" w:hAnsi="Calibri Light" w:cs="Times New Roman"/>
          <w:b/>
          <w:bCs/>
          <w:color w:val="01406B"/>
        </w:rPr>
        <w:fldChar w:fldCharType="end"/>
      </w:r>
      <w:r w:rsidR="00F35B2C">
        <w:rPr>
          <w:rFonts w:ascii="Calibri Light" w:hAnsi="Calibri Light" w:cs="Times New Roman"/>
          <w:b/>
          <w:bCs/>
          <w:color w:val="01406B"/>
        </w:rPr>
        <w:t>.</w:t>
      </w:r>
      <w:r w:rsidR="00F35B2C">
        <w:rPr>
          <w:rFonts w:ascii="Calibri Light" w:hAnsi="Calibri Light" w:cs="Times New Roman"/>
          <w:b/>
          <w:bCs/>
          <w:color w:val="01406B"/>
        </w:rPr>
        <w:fldChar w:fldCharType="begin"/>
      </w:r>
      <w:r w:rsidR="00F35B2C">
        <w:rPr>
          <w:rFonts w:ascii="Calibri Light" w:hAnsi="Calibri Light" w:cs="Times New Roman"/>
          <w:b/>
          <w:bCs/>
          <w:color w:val="01406B"/>
        </w:rPr>
        <w:instrText xml:space="preserve"> SEQ Слика \* ARABIC \s 1 </w:instrText>
      </w:r>
      <w:r w:rsidR="00F35B2C">
        <w:rPr>
          <w:rFonts w:ascii="Calibri Light" w:hAnsi="Calibri Light" w:cs="Times New Roman"/>
          <w:b/>
          <w:bCs/>
          <w:color w:val="01406B"/>
        </w:rPr>
        <w:fldChar w:fldCharType="separate"/>
      </w:r>
      <w:r w:rsidR="00F35B2C">
        <w:rPr>
          <w:rFonts w:ascii="Calibri Light" w:hAnsi="Calibri Light" w:cs="Times New Roman"/>
          <w:b/>
          <w:bCs/>
          <w:noProof/>
          <w:color w:val="01406B"/>
        </w:rPr>
        <w:t>29</w:t>
      </w:r>
      <w:r w:rsidR="00F35B2C">
        <w:rPr>
          <w:rFonts w:ascii="Calibri Light" w:hAnsi="Calibri Light" w:cs="Times New Roman"/>
          <w:b/>
          <w:bCs/>
          <w:color w:val="01406B"/>
        </w:rPr>
        <w:fldChar w:fldCharType="end"/>
      </w:r>
      <w:bookmarkEnd w:id="216"/>
      <w:r w:rsidRPr="00F77AAE">
        <w:rPr>
          <w:rFonts w:ascii="Calibri Light" w:hAnsi="Calibri Light" w:cs="Times New Roman"/>
          <w:b/>
          <w:bCs/>
          <w:color w:val="01406B"/>
        </w:rPr>
        <w:t>: Интензитет финалне енергије у периоду 2020-2050. године у сценарију са постојећим мерама (WEM)</w:t>
      </w:r>
      <w:bookmarkEnd w:id="217"/>
    </w:p>
    <w:p w14:paraId="5E9DC9B8" w14:textId="1ACDCAA4" w:rsidR="002A1A23" w:rsidRPr="00FF386D" w:rsidRDefault="00F77AAE" w:rsidP="002A1A23">
      <w:pPr>
        <w:jc w:val="center"/>
        <w:rPr>
          <w:rFonts w:ascii="Calibri" w:eastAsia="Calibri" w:hAnsi="Calibri" w:cs="Times New Roman"/>
          <w:lang w:eastAsia="el-GR"/>
        </w:rPr>
      </w:pPr>
      <w:r w:rsidRPr="00565B02">
        <w:rPr>
          <w:rFonts w:ascii="Calibri Light" w:hAnsi="Calibri Light" w:cs="Times New Roman"/>
          <w:b/>
          <w:bCs/>
          <w:noProof/>
          <w:color w:val="01406B"/>
        </w:rPr>
        <mc:AlternateContent>
          <mc:Choice Requires="wps">
            <w:drawing>
              <wp:anchor distT="0" distB="0" distL="114300" distR="114300" simplePos="0" relativeHeight="251692032" behindDoc="0" locked="0" layoutInCell="1" allowOverlap="1" wp14:anchorId="35BB1ECD" wp14:editId="0E6BA12F">
                <wp:simplePos x="0" y="0"/>
                <wp:positionH relativeFrom="column">
                  <wp:posOffset>1348740</wp:posOffset>
                </wp:positionH>
                <wp:positionV relativeFrom="paragraph">
                  <wp:posOffset>253365</wp:posOffset>
                </wp:positionV>
                <wp:extent cx="2339340" cy="2301240"/>
                <wp:effectExtent l="0" t="0" r="0" b="0"/>
                <wp:wrapNone/>
                <wp:docPr id="2121751053" name="Text Box 2121751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9340" cy="2301240"/>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19DB8CCA" id="Text Box 2121751053" o:spid="_x0000_s1026" type="#_x0000_t202" style="position:absolute;margin-left:106.2pt;margin-top:19.95pt;width:184.2pt;height:181.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" fillcolor="#a6a6a6" stroked="f">
                <v:fill opacity="32896f"/>
              </v:shape>
            </w:pict>
          </mc:Fallback>
        </mc:AlternateContent>
      </w:r>
      <w:r w:rsidR="00904C5C" w:rsidRPr="004F53D7">
        <w:rPr>
          <w:rFonts w:ascii="Calibri" w:eastAsia="Calibri" w:hAnsi="Calibri" w:cs="Times New Roman"/>
          <w:noProof/>
          <w:lang w:val="en-US"/>
        </w:rPr>
        <w:drawing>
          <wp:inline distT="0" distB="0" distL="0" distR="0" wp14:anchorId="2933A44E" wp14:editId="331ECD06">
            <wp:extent cx="4876800" cy="3126972"/>
            <wp:effectExtent l="0" t="0" r="0" b="0"/>
            <wp:docPr id="1693602228" name="Picture 169360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891945" cy="3136683"/>
                    </a:xfrm>
                    <a:prstGeom prst="rect">
                      <a:avLst/>
                    </a:prstGeom>
                    <a:noFill/>
                  </pic:spPr>
                </pic:pic>
              </a:graphicData>
            </a:graphic>
          </wp:inline>
        </w:drawing>
      </w:r>
    </w:p>
    <w:p w14:paraId="4D68E235" w14:textId="3FB90DDD" w:rsidR="00CA20F4" w:rsidRPr="00FF386D" w:rsidRDefault="002A1A23" w:rsidP="00CA20F4">
      <w:pPr>
        <w:pStyle w:val="LDKbody"/>
        <w:rPr>
          <w:rFonts w:ascii="Calibri Light" w:eastAsia="Calibri" w:hAnsi="Calibri Light" w:cs="Calibri Light"/>
          <w:lang w:val="sr-Cyrl-RS"/>
        </w:rPr>
      </w:pPr>
      <w:r w:rsidRPr="00FF386D">
        <w:rPr>
          <w:rFonts w:ascii="Calibri Light" w:eastAsia="Calibri" w:hAnsi="Calibri Light" w:cs="Calibri Light"/>
          <w:lang w:val="sr-Cyrl-RS" w:bidi="sr-Cyrl-CS"/>
        </w:rPr>
        <w:t>Као што је приказано на</w:t>
      </w:r>
      <w:r w:rsidR="00F77AAE">
        <w:rPr>
          <w:rFonts w:ascii="Calibri Light" w:eastAsia="Calibri" w:hAnsi="Calibri Light" w:cs="Calibri Light"/>
          <w:lang w:val="sr-Cyrl-RS" w:bidi="sr-Cyrl-CS"/>
        </w:rPr>
        <w:t xml:space="preserve"> </w:t>
      </w:r>
      <w:r w:rsidR="00F77AAE">
        <w:rPr>
          <w:rFonts w:ascii="Calibri Light" w:eastAsia="Calibri" w:hAnsi="Calibri Light" w:cs="Calibri Light"/>
          <w:lang w:val="sr-Cyrl-RS" w:bidi="sr-Cyrl-CS"/>
        </w:rPr>
        <w:fldChar w:fldCharType="begin"/>
      </w:r>
      <w:r w:rsidR="00F77AAE">
        <w:rPr>
          <w:rFonts w:ascii="Calibri Light" w:eastAsia="Calibri" w:hAnsi="Calibri Light" w:cs="Calibri Light"/>
          <w:lang w:val="sr-Cyrl-RS" w:bidi="sr-Cyrl-CS"/>
        </w:rPr>
        <w:instrText xml:space="preserve"> REF _Ref153870650 \h  \* MERGEFORMAT </w:instrText>
      </w:r>
      <w:r w:rsidR="00F77AAE">
        <w:rPr>
          <w:rFonts w:ascii="Calibri Light" w:eastAsia="Calibri" w:hAnsi="Calibri Light" w:cs="Calibri Light"/>
          <w:lang w:val="sr-Cyrl-RS" w:bidi="sr-Cyrl-CS"/>
        </w:rPr>
      </w:r>
      <w:r w:rsidR="00F77AAE">
        <w:rPr>
          <w:rFonts w:ascii="Calibri Light" w:eastAsia="Calibri" w:hAnsi="Calibri Light" w:cs="Calibri Light"/>
          <w:lang w:val="sr-Cyrl-RS" w:bidi="sr-Cyrl-CS"/>
        </w:rPr>
        <w:fldChar w:fldCharType="separate"/>
      </w:r>
      <w:r w:rsidR="00F77AAE" w:rsidRPr="00565B02">
        <w:rPr>
          <w:rFonts w:ascii="Calibri Light" w:eastAsia="Calibri" w:hAnsi="Calibri Light" w:cs="Calibri Light"/>
          <w:lang w:val="sr-Cyrl-RS" w:bidi="sr-Cyrl-CS"/>
        </w:rPr>
        <w:t>слици 4.30</w:t>
      </w:r>
      <w:r w:rsidR="00F77AAE">
        <w:rPr>
          <w:rFonts w:ascii="Calibri Light" w:eastAsia="Calibri" w:hAnsi="Calibri Light" w:cs="Calibri Light"/>
          <w:lang w:val="sr-Cyrl-RS" w:bidi="sr-Cyrl-CS"/>
        </w:rPr>
        <w:fldChar w:fldCharType="end"/>
      </w:r>
      <w:r w:rsidRPr="00FF386D">
        <w:rPr>
          <w:rFonts w:ascii="Calibri Light" w:eastAsia="Calibri" w:hAnsi="Calibri Light" w:cs="Calibri Light"/>
          <w:lang w:val="sr-Cyrl-RS" w:bidi="sr-Cyrl-CS"/>
        </w:rPr>
        <w:t xml:space="preserve">, </w:t>
      </w:r>
      <w:bookmarkStart w:id="218" w:name="_Hlk135813012"/>
      <w:r w:rsidR="00CA20F4" w:rsidRPr="00FF386D">
        <w:rPr>
          <w:rFonts w:ascii="Calibri Light" w:eastAsia="Calibri" w:hAnsi="Calibri Light" w:cs="Calibri Light"/>
          <w:lang w:val="sr-Cyrl-RS" w:bidi="sr-Cyrl-CS"/>
        </w:rPr>
        <w:t>очекује се да ће се бруто домаћа потрошња повећати за 31% достижући 20,6 Mtoe до 2050. године, у поређењу са 2020. годином, и бележећи само привремено смањење између 2045. и 2050. године; са 20,9 Mtoe у 2045. години на 20,6 Mtoe у 2050. години. Чврста фосилна горива и нафта и нафтни деривати имају доминантну улогу у бруто домаћој потрошњи, са уделом од 48% и 23% у 2020. години, 45% и 24% у 2030. години, 45% и 2</w:t>
      </w:r>
      <w:r w:rsidR="00250CA9" w:rsidRPr="00FF386D">
        <w:rPr>
          <w:rFonts w:ascii="Calibri Light" w:eastAsia="Calibri" w:hAnsi="Calibri Light" w:cs="Calibri Light"/>
          <w:lang w:val="sr-Cyrl-RS" w:bidi="sr-Cyrl-CS"/>
        </w:rPr>
        <w:t>3</w:t>
      </w:r>
      <w:r w:rsidR="00CA20F4" w:rsidRPr="00FF386D">
        <w:rPr>
          <w:rFonts w:ascii="Calibri Light" w:eastAsia="Calibri" w:hAnsi="Calibri Light" w:cs="Calibri Light"/>
          <w:lang w:val="sr-Cyrl-RS" w:bidi="sr-Cyrl-CS"/>
        </w:rPr>
        <w:t>% у 2040. години и 39% и 26% у 2050. години. Очекује се да ће се удео природног гаса, као и ОИЕ и отпада повећати током посматраног периода; са 14% односно 16% у 2020. години на 20%, односно 17% у 2050. години.</w:t>
      </w:r>
      <w:bookmarkEnd w:id="218"/>
    </w:p>
    <w:p w14:paraId="1EA83F56" w14:textId="0A505B96" w:rsidR="00F77AAE" w:rsidRDefault="00F77AAE" w:rsidP="00565B02">
      <w:pPr>
        <w:pStyle w:val="Caption"/>
        <w:keepNext/>
      </w:pPr>
      <w:bookmarkStart w:id="219" w:name="_Ref153870650"/>
      <w:bookmarkStart w:id="220" w:name="_Toc153901376"/>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30</w:t>
      </w:r>
      <w:r w:rsidR="00F35B2C">
        <w:fldChar w:fldCharType="end"/>
      </w:r>
      <w:bookmarkEnd w:id="219"/>
      <w:r>
        <w:t>:</w:t>
      </w:r>
      <w:r w:rsidRPr="00F77AAE">
        <w:t xml:space="preserve"> Бруто домаћа потрошња горива у периоду 2020-2050. годинe у сценарију са постојећим мерама (WEM)</w:t>
      </w:r>
      <w:bookmarkEnd w:id="220"/>
    </w:p>
    <w:p w14:paraId="1B88BCD4" w14:textId="5C94AF53" w:rsidR="009F5958" w:rsidRPr="00FF386D" w:rsidRDefault="00F77AAE" w:rsidP="002A1A23">
      <w:pPr>
        <w:jc w:val="center"/>
        <w:rPr>
          <w:rFonts w:ascii="Calibri" w:eastAsia="Calibri" w:hAnsi="Calibri" w:cs="Times New Roman"/>
          <w:lang w:eastAsia="el-GR"/>
        </w:rPr>
      </w:pPr>
      <w:r>
        <w:rPr>
          <w:noProof/>
          <w:lang w:val="en-US"/>
        </w:rPr>
        <mc:AlternateContent>
          <mc:Choice Requires="wps">
            <w:drawing>
              <wp:anchor distT="0" distB="0" distL="114300" distR="114300" simplePos="0" relativeHeight="251702272" behindDoc="0" locked="0" layoutInCell="1" allowOverlap="1" wp14:anchorId="46D37A4B" wp14:editId="3AB59644">
                <wp:simplePos x="0" y="0"/>
                <wp:positionH relativeFrom="column">
                  <wp:posOffset>1158240</wp:posOffset>
                </wp:positionH>
                <wp:positionV relativeFrom="paragraph">
                  <wp:posOffset>378460</wp:posOffset>
                </wp:positionV>
                <wp:extent cx="2626995" cy="2023745"/>
                <wp:effectExtent l="0" t="0" r="0" b="0"/>
                <wp:wrapNone/>
                <wp:docPr id="1201563504" name="Text Box 1201563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6995" cy="2023745"/>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page">
                  <wp14:pctHeight>0</wp14:pctHeight>
                </wp14:sizeRelV>
              </wp:anchor>
            </w:drawing>
          </mc:Choice>
          <mc:Fallback>
            <w:pict>
              <v:shape w14:anchorId="3D7C90BB" id="Text Box 1201563504" o:spid="_x0000_s1026" type="#_x0000_t202" style="position:absolute;margin-left:91.2pt;margin-top:29.8pt;width:206.85pt;height:159.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" fillcolor="#a6a6a6" stroked="f">
                <v:fill opacity="32896f"/>
              </v:shape>
            </w:pict>
          </mc:Fallback>
        </mc:AlternateContent>
      </w:r>
      <w:r w:rsidR="009F5958" w:rsidRPr="004F53D7">
        <w:rPr>
          <w:rFonts w:ascii="Calibri" w:eastAsia="Calibri" w:hAnsi="Calibri" w:cs="Times New Roman"/>
          <w:noProof/>
          <w:lang w:val="en-US"/>
        </w:rPr>
        <w:drawing>
          <wp:inline distT="0" distB="0" distL="0" distR="0" wp14:anchorId="694A66ED" wp14:editId="53DA18DD">
            <wp:extent cx="5682615" cy="2943441"/>
            <wp:effectExtent l="0" t="0" r="0" b="0"/>
            <wp:docPr id="556006642" name="Picture 556006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11287" cy="2958292"/>
                    </a:xfrm>
                    <a:prstGeom prst="rect">
                      <a:avLst/>
                    </a:prstGeom>
                    <a:noFill/>
                  </pic:spPr>
                </pic:pic>
              </a:graphicData>
            </a:graphic>
          </wp:inline>
        </w:drawing>
      </w:r>
    </w:p>
    <w:p w14:paraId="32AA45A3" w14:textId="36AA698E" w:rsidR="00F77AAE" w:rsidRDefault="00CA20F4" w:rsidP="00565B02">
      <w:pPr>
        <w:pStyle w:val="LDKbody"/>
      </w:pPr>
      <w:bookmarkStart w:id="221" w:name="_Hlk135813039"/>
      <w:r w:rsidRPr="00FF386D">
        <w:rPr>
          <w:rFonts w:ascii="Calibri Light" w:eastAsia="Calibri" w:hAnsi="Calibri Light" w:cs="Calibri Light"/>
          <w:lang w:val="sr-Cyrl-RS" w:bidi="sr-Cyrl-CS"/>
        </w:rPr>
        <w:lastRenderedPageBreak/>
        <w:t>Финална потрошња енергије по сектору финалне потрошње ће се повећати (21% у 2030. години, 35% у 2040. години и 48% у 2050. години, у поређењу са 2020. годином), што ће резултирати са приближно 12,9 Mtoe у 2050. години, као што је приказано на</w:t>
      </w:r>
      <w:bookmarkEnd w:id="221"/>
      <w:r w:rsidR="00F77AAE">
        <w:rPr>
          <w:rFonts w:ascii="Calibri Light" w:eastAsia="Calibri" w:hAnsi="Calibri Light" w:cs="Calibri Light"/>
          <w:lang w:val="sr-Cyrl-RS" w:bidi="sr-Cyrl-CS"/>
        </w:rPr>
        <w:t xml:space="preserve"> </w:t>
      </w:r>
      <w:r w:rsidR="00F77AAE">
        <w:rPr>
          <w:rFonts w:ascii="Calibri Light" w:eastAsia="Calibri" w:hAnsi="Calibri Light" w:cs="Calibri Light"/>
          <w:lang w:bidi="sr-Cyrl-CS"/>
        </w:rPr>
        <w:fldChar w:fldCharType="begin"/>
      </w:r>
      <w:r w:rsidR="00F77AAE">
        <w:rPr>
          <w:rFonts w:ascii="Calibri Light" w:eastAsia="Calibri" w:hAnsi="Calibri Light" w:cs="Calibri Light"/>
          <w:lang w:val="sr-Cyrl-RS" w:bidi="sr-Cyrl-CS"/>
        </w:rPr>
        <w:instrText xml:space="preserve"> REF _Ref153870727 \h  \* MERGEFORMAT </w:instrText>
      </w:r>
      <w:r w:rsidR="00F77AAE">
        <w:rPr>
          <w:rFonts w:ascii="Calibri Light" w:eastAsia="Calibri" w:hAnsi="Calibri Light" w:cs="Calibri Light"/>
          <w:lang w:bidi="sr-Cyrl-CS"/>
        </w:rPr>
      </w:r>
      <w:r w:rsidR="00F77AAE">
        <w:rPr>
          <w:rFonts w:ascii="Calibri Light" w:eastAsia="Calibri" w:hAnsi="Calibri Light" w:cs="Calibri Light"/>
          <w:lang w:bidi="sr-Cyrl-CS"/>
        </w:rPr>
        <w:fldChar w:fldCharType="separate"/>
      </w:r>
      <w:r w:rsidR="00F77AAE" w:rsidRPr="00565B02">
        <w:rPr>
          <w:rFonts w:ascii="Calibri Light" w:eastAsia="Calibri" w:hAnsi="Calibri Light" w:cs="Calibri Light"/>
          <w:lang w:bidi="sr-Cyrl-CS"/>
        </w:rPr>
        <w:t>с</w:t>
      </w:r>
      <w:r w:rsidR="00F77AAE" w:rsidRPr="00565B02">
        <w:rPr>
          <w:rFonts w:ascii="Calibri Light" w:eastAsia="Calibri" w:hAnsi="Calibri Light" w:cs="Calibri Light"/>
          <w:lang w:val="sr-Cyrl-RS" w:bidi="sr-Cyrl-CS"/>
        </w:rPr>
        <w:t>ли</w:t>
      </w:r>
      <w:r w:rsidR="00F77AAE" w:rsidRPr="00565B02">
        <w:rPr>
          <w:rFonts w:ascii="Calibri Light" w:eastAsia="Calibri" w:hAnsi="Calibri Light" w:cs="Calibri Light"/>
          <w:lang w:bidi="sr-Cyrl-CS"/>
        </w:rPr>
        <w:t>ци</w:t>
      </w:r>
      <w:r w:rsidR="00F77AAE" w:rsidRPr="00565B02">
        <w:rPr>
          <w:rFonts w:ascii="Calibri Light" w:eastAsia="Calibri" w:hAnsi="Calibri Light" w:cs="Calibri Light"/>
          <w:lang w:val="sr-Cyrl-RS" w:bidi="sr-Cyrl-CS"/>
        </w:rPr>
        <w:t xml:space="preserve"> 4.31</w:t>
      </w:r>
      <w:r w:rsidR="00F77AAE">
        <w:rPr>
          <w:rFonts w:ascii="Calibri Light" w:eastAsia="Calibri" w:hAnsi="Calibri Light" w:cs="Calibri Light"/>
          <w:lang w:bidi="sr-Cyrl-CS"/>
        </w:rPr>
        <w:fldChar w:fldCharType="end"/>
      </w:r>
      <w:r w:rsidR="002A1A23" w:rsidRPr="00565B02">
        <w:rPr>
          <w:rFonts w:ascii="Calibri Light" w:eastAsia="Calibri" w:hAnsi="Calibri Light" w:cs="Calibri Light"/>
          <w:lang w:bidi="sr-Cyrl-CS"/>
        </w:rPr>
        <w:t xml:space="preserve">. </w:t>
      </w:r>
      <w:bookmarkStart w:id="222" w:name="_Hlk135813052"/>
      <w:r w:rsidRPr="00565B02">
        <w:rPr>
          <w:rFonts w:ascii="Calibri Light" w:eastAsia="Calibri" w:hAnsi="Calibri Light" w:cs="Calibri Light"/>
          <w:lang w:bidi="sr-Cyrl-CS"/>
        </w:rPr>
        <w:t>Сектор саобр</w:t>
      </w:r>
      <w:r w:rsidRPr="00FF386D">
        <w:rPr>
          <w:rFonts w:ascii="Calibri Light" w:hAnsi="Calibri Light" w:cs="Calibri Light"/>
          <w:lang w:val="sr-Cyrl-RS" w:bidi="sr-Cyrl-CS"/>
        </w:rPr>
        <w:t>аћаја и стамбени и индустријски сектор задржавају највећи допринос у финалној потрошњи енергије током читавог периода 2020-2050. године, достижући нивое од 3,7 Mtoe, 3,7 Mtoe, односно 3,8 Mtoe у 2050. години. Требало би напоменути да одговарајући удели у разматраним секторима финалне потрошње остају релативно константни.</w:t>
      </w:r>
      <w:bookmarkEnd w:id="222"/>
    </w:p>
    <w:p w14:paraId="493E489E" w14:textId="0EC2688A" w:rsidR="00F77AAE" w:rsidRDefault="00F77AAE" w:rsidP="00565B02">
      <w:pPr>
        <w:pStyle w:val="Caption"/>
        <w:keepNext/>
      </w:pPr>
      <w:bookmarkStart w:id="223" w:name="_Ref153870727"/>
      <w:bookmarkStart w:id="224" w:name="_Toc153901377"/>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31</w:t>
      </w:r>
      <w:r w:rsidR="00F35B2C">
        <w:fldChar w:fldCharType="end"/>
      </w:r>
      <w:bookmarkEnd w:id="223"/>
      <w:r>
        <w:t xml:space="preserve">: </w:t>
      </w:r>
      <w:r w:rsidRPr="00F77AAE">
        <w:t>Финална потрошња енергије по сектору финалне потрошње у периоду 2020-2050. године</w:t>
      </w:r>
      <w:bookmarkEnd w:id="224"/>
    </w:p>
    <w:p w14:paraId="261A76A2" w14:textId="0A763AB5" w:rsidR="002A1A23" w:rsidRPr="00FF386D" w:rsidRDefault="00F77AAE" w:rsidP="00E65B12">
      <w:pPr>
        <w:jc w:val="center"/>
        <w:rPr>
          <w:rFonts w:ascii="Calibri" w:eastAsia="Calibri" w:hAnsi="Calibri" w:cs="Times New Roman"/>
          <w:lang w:eastAsia="el-GR" w:bidi="sr-Cyrl-CS"/>
        </w:rPr>
      </w:pPr>
      <w:r>
        <w:rPr>
          <w:noProof/>
        </w:rPr>
        <mc:AlternateContent>
          <mc:Choice Requires="wps">
            <w:drawing>
              <wp:anchor distT="0" distB="0" distL="114300" distR="114300" simplePos="0" relativeHeight="251704320" behindDoc="0" locked="0" layoutInCell="1" allowOverlap="1" wp14:anchorId="0F8F1D2C" wp14:editId="53EBA340">
                <wp:simplePos x="0" y="0"/>
                <wp:positionH relativeFrom="column">
                  <wp:posOffset>1290320</wp:posOffset>
                </wp:positionH>
                <wp:positionV relativeFrom="paragraph">
                  <wp:posOffset>287020</wp:posOffset>
                </wp:positionV>
                <wp:extent cx="2447290" cy="2298700"/>
                <wp:effectExtent l="0" t="0" r="0" b="0"/>
                <wp:wrapNone/>
                <wp:docPr id="680250670" name="Text Box 680250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7290" cy="2298700"/>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0B319B0F" id="Text Box 680250670" o:spid="_x0000_s1026" type="#_x0000_t202" style="position:absolute;margin-left:101.6pt;margin-top:22.6pt;width:192.7pt;height:18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" fillcolor="#a6a6a6" stroked="f">
                <v:fill opacity="32896f"/>
              </v:shape>
            </w:pict>
          </mc:Fallback>
        </mc:AlternateContent>
      </w:r>
      <w:r w:rsidR="00E65B12" w:rsidRPr="004F53D7">
        <w:rPr>
          <w:rFonts w:ascii="Calibri" w:eastAsia="Calibri" w:hAnsi="Calibri" w:cs="Times New Roman"/>
          <w:noProof/>
          <w:lang w:val="en-US"/>
        </w:rPr>
        <w:drawing>
          <wp:inline distT="0" distB="0" distL="0" distR="0" wp14:anchorId="6D5B46CD" wp14:editId="79C9F572">
            <wp:extent cx="4958052" cy="3099325"/>
            <wp:effectExtent l="0" t="0" r="0" b="0"/>
            <wp:docPr id="1070870538" name="Picture 107087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975489" cy="3110225"/>
                    </a:xfrm>
                    <a:prstGeom prst="rect">
                      <a:avLst/>
                    </a:prstGeom>
                    <a:noFill/>
                  </pic:spPr>
                </pic:pic>
              </a:graphicData>
            </a:graphic>
          </wp:inline>
        </w:drawing>
      </w:r>
    </w:p>
    <w:p w14:paraId="7ABC12E7" w14:textId="557FC456" w:rsidR="00F77AAE" w:rsidRDefault="002A1A23" w:rsidP="00565B02">
      <w:pPr>
        <w:pStyle w:val="LDKbody"/>
      </w:pPr>
      <w:r w:rsidRPr="00FF386D">
        <w:rPr>
          <w:rFonts w:ascii="Calibri Light" w:hAnsi="Calibri Light" w:cs="Calibri Light"/>
          <w:lang w:val="sr-Cyrl-RS" w:bidi="sr-Cyrl-CS"/>
        </w:rPr>
        <w:t>Као што је приказано на</w:t>
      </w:r>
      <w:r w:rsidR="00F77AAE">
        <w:rPr>
          <w:rFonts w:ascii="Calibri Light" w:hAnsi="Calibri Light" w:cs="Calibri Light"/>
          <w:lang w:val="sr-Cyrl-RS" w:bidi="sr-Cyrl-CS"/>
        </w:rPr>
        <w:t xml:space="preserve"> </w:t>
      </w:r>
      <w:r w:rsidR="00F77AAE">
        <w:rPr>
          <w:rFonts w:ascii="Calibri Light" w:hAnsi="Calibri Light" w:cs="Calibri Light"/>
          <w:lang w:bidi="sr-Cyrl-CS"/>
        </w:rPr>
        <w:fldChar w:fldCharType="begin"/>
      </w:r>
      <w:r w:rsidR="00F77AAE">
        <w:rPr>
          <w:rFonts w:ascii="Calibri Light" w:hAnsi="Calibri Light" w:cs="Calibri Light"/>
          <w:lang w:val="sr-Cyrl-RS" w:bidi="sr-Cyrl-CS"/>
        </w:rPr>
        <w:instrText xml:space="preserve"> REF _Ref153870807 \h  \* MERGEFORMAT </w:instrText>
      </w:r>
      <w:r w:rsidR="00F77AAE">
        <w:rPr>
          <w:rFonts w:ascii="Calibri Light" w:hAnsi="Calibri Light" w:cs="Calibri Light"/>
          <w:lang w:bidi="sr-Cyrl-CS"/>
        </w:rPr>
      </w:r>
      <w:r w:rsidR="00F77AAE">
        <w:rPr>
          <w:rFonts w:ascii="Calibri Light" w:hAnsi="Calibri Light" w:cs="Calibri Light"/>
          <w:lang w:bidi="sr-Cyrl-CS"/>
        </w:rPr>
        <w:fldChar w:fldCharType="separate"/>
      </w:r>
      <w:r w:rsidR="00F77AAE" w:rsidRPr="00565B02">
        <w:rPr>
          <w:rFonts w:ascii="Calibri Light" w:hAnsi="Calibri Light" w:cs="Calibri Light"/>
          <w:lang w:bidi="sr-Cyrl-CS"/>
        </w:rPr>
        <w:t>с</w:t>
      </w:r>
      <w:r w:rsidR="00F77AAE" w:rsidRPr="00565B02">
        <w:rPr>
          <w:rFonts w:ascii="Calibri Light" w:hAnsi="Calibri Light" w:cs="Calibri Light"/>
          <w:lang w:val="sr-Cyrl-RS" w:bidi="sr-Cyrl-CS"/>
        </w:rPr>
        <w:t>ли</w:t>
      </w:r>
      <w:r w:rsidR="00F77AAE" w:rsidRPr="00565B02">
        <w:rPr>
          <w:rFonts w:ascii="Calibri Light" w:hAnsi="Calibri Light" w:cs="Calibri Light"/>
          <w:lang w:bidi="sr-Cyrl-CS"/>
        </w:rPr>
        <w:t>ци</w:t>
      </w:r>
      <w:r w:rsidR="00F77AAE" w:rsidRPr="00565B02">
        <w:rPr>
          <w:rFonts w:ascii="Calibri Light" w:hAnsi="Calibri Light" w:cs="Calibri Light"/>
          <w:lang w:val="sr-Cyrl-RS" w:bidi="sr-Cyrl-CS"/>
        </w:rPr>
        <w:t xml:space="preserve"> 4.32</w:t>
      </w:r>
      <w:r w:rsidR="00F77AAE">
        <w:rPr>
          <w:rFonts w:ascii="Calibri Light" w:hAnsi="Calibri Light" w:cs="Calibri Light"/>
          <w:lang w:bidi="sr-Cyrl-CS"/>
        </w:rPr>
        <w:fldChar w:fldCharType="end"/>
      </w:r>
      <w:r w:rsidRPr="00FF386D">
        <w:rPr>
          <w:rFonts w:ascii="Calibri Light" w:hAnsi="Calibri Light" w:cs="Calibri Light"/>
          <w:lang w:val="sr-Cyrl-RS" w:bidi="sr-Cyrl-CS"/>
        </w:rPr>
        <w:t xml:space="preserve">, </w:t>
      </w:r>
      <w:bookmarkStart w:id="225" w:name="_Hlk135813090"/>
      <w:r w:rsidR="00CA20F4" w:rsidRPr="00FF386D">
        <w:rPr>
          <w:rFonts w:ascii="Calibri Light" w:hAnsi="Calibri Light" w:cs="Calibri Light"/>
          <w:lang w:val="sr-Cyrl-RS" w:bidi="sr-Cyrl-CS"/>
        </w:rPr>
        <w:t>очекује се повећање финалне потрошње енергије по гориву у индустријском сектору до 2050. године; са 2,2 Mtoe у 2020. години на 2,7 Mtoe у 2030. години и на 3,8 Mtoe у 2050. години. Не уочава се значајна диференцијација у појединачним уделима већине коришћених горива. Ипак, и природни гас и електрична енергија бележе раст својих удела, као најдоминантнија горива у индустрији. Тачније, забележени ниво потрошње природног гаса и електричне енергије износи 687 ktoe, односно 1,0 Мtoe у 2030. години и 1,3 Mtoe, односно 1,2 Mtoe у 2050. години).</w:t>
      </w:r>
      <w:bookmarkEnd w:id="225"/>
    </w:p>
    <w:p w14:paraId="1C2E2161" w14:textId="31F57840" w:rsidR="00F77AAE" w:rsidRDefault="00F77AAE" w:rsidP="00565B02">
      <w:pPr>
        <w:pStyle w:val="Caption"/>
        <w:keepNext/>
      </w:pPr>
      <w:bookmarkStart w:id="226" w:name="_Ref153870807"/>
      <w:bookmarkStart w:id="227" w:name="_Toc153901378"/>
      <w:r>
        <w:lastRenderedPageBreak/>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32</w:t>
      </w:r>
      <w:r w:rsidR="00F35B2C">
        <w:fldChar w:fldCharType="end"/>
      </w:r>
      <w:bookmarkEnd w:id="226"/>
      <w:r>
        <w:t xml:space="preserve">: </w:t>
      </w:r>
      <w:r w:rsidRPr="00F77AAE">
        <w:t>Финална потрошња енергије по гориву у индустријском сектору у периоду 2020-2050. година у сценарију са постојећим мерама (WEM)</w:t>
      </w:r>
      <w:bookmarkEnd w:id="227"/>
    </w:p>
    <w:p w14:paraId="12154B40" w14:textId="05E52A6D" w:rsidR="002F1C64" w:rsidRPr="00FF386D" w:rsidRDefault="00F77AAE" w:rsidP="002A1A23">
      <w:pPr>
        <w:jc w:val="center"/>
        <w:rPr>
          <w:rFonts w:ascii="Calibri" w:eastAsia="Calibri" w:hAnsi="Calibri" w:cs="Times New Roman"/>
          <w:lang w:eastAsia="el-GR"/>
        </w:rPr>
      </w:pPr>
      <w:r>
        <w:rPr>
          <w:noProof/>
          <w:lang w:val="en-US"/>
        </w:rPr>
        <mc:AlternateContent>
          <mc:Choice Requires="wps">
            <w:drawing>
              <wp:anchor distT="0" distB="0" distL="114300" distR="114300" simplePos="0" relativeHeight="251706368" behindDoc="0" locked="0" layoutInCell="1" allowOverlap="1" wp14:anchorId="660DD054" wp14:editId="3887EA15">
                <wp:simplePos x="0" y="0"/>
                <wp:positionH relativeFrom="column">
                  <wp:posOffset>849630</wp:posOffset>
                </wp:positionH>
                <wp:positionV relativeFrom="paragraph">
                  <wp:posOffset>607695</wp:posOffset>
                </wp:positionV>
                <wp:extent cx="3122930" cy="1924050"/>
                <wp:effectExtent l="0" t="0" r="0" b="0"/>
                <wp:wrapNone/>
                <wp:docPr id="850312353" name="Text Box 850312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2930" cy="1924050"/>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page">
                  <wp14:pctHeight>0</wp14:pctHeight>
                </wp14:sizeRelV>
              </wp:anchor>
            </w:drawing>
          </mc:Choice>
          <mc:Fallback>
            <w:pict>
              <v:shape w14:anchorId="30166360" id="Text Box 850312353" o:spid="_x0000_s1026" type="#_x0000_t202" style="position:absolute;margin-left:66.9pt;margin-top:47.85pt;width:245.9pt;height:15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" fillcolor="#a6a6a6" stroked="f">
                <v:fill opacity="32896f"/>
              </v:shape>
            </w:pict>
          </mc:Fallback>
        </mc:AlternateContent>
      </w:r>
      <w:r w:rsidR="002F1C64" w:rsidRPr="004F53D7">
        <w:rPr>
          <w:rFonts w:ascii="Calibri" w:eastAsia="Calibri" w:hAnsi="Calibri" w:cs="Times New Roman"/>
          <w:noProof/>
          <w:lang w:val="en-US"/>
        </w:rPr>
        <w:drawing>
          <wp:inline distT="0" distB="0" distL="0" distR="0" wp14:anchorId="201B2457" wp14:editId="1DD1F932">
            <wp:extent cx="6131548" cy="3079312"/>
            <wp:effectExtent l="0" t="0" r="0" b="0"/>
            <wp:docPr id="1842226914" name="Picture 1842226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62211" cy="3094711"/>
                    </a:xfrm>
                    <a:prstGeom prst="rect">
                      <a:avLst/>
                    </a:prstGeom>
                    <a:noFill/>
                  </pic:spPr>
                </pic:pic>
              </a:graphicData>
            </a:graphic>
          </wp:inline>
        </w:drawing>
      </w:r>
    </w:p>
    <w:p w14:paraId="45A563CF" w14:textId="299A1BA8" w:rsidR="00F77AAE" w:rsidRDefault="00CA20F4" w:rsidP="00565B02">
      <w:pPr>
        <w:pStyle w:val="LDKbody"/>
      </w:pPr>
      <w:bookmarkStart w:id="228" w:name="_Hlk135813127"/>
      <w:r w:rsidRPr="00FF386D">
        <w:rPr>
          <w:rFonts w:ascii="Calibri Light" w:eastAsia="Calibri" w:hAnsi="Calibri Light" w:cs="Calibri Light"/>
          <w:lang w:val="sr-Cyrl-RS" w:bidi="sr-Cyrl-CS"/>
        </w:rPr>
        <w:t>Очекује се да ће финална потрошња енергије у различитим подсекторима индустријског сектора порасти до 2050. године, док се очекује да ће појединачни удели остати релативно стабилни до 2050. године, као што је приказано на</w:t>
      </w:r>
      <w:bookmarkEnd w:id="228"/>
      <w:r w:rsidR="00F77AAE">
        <w:rPr>
          <w:rFonts w:ascii="Calibri Light" w:eastAsia="Calibri" w:hAnsi="Calibri Light" w:cs="Calibri Light"/>
          <w:lang w:val="sr-Cyrl-RS" w:bidi="sr-Cyrl-CS"/>
        </w:rPr>
        <w:t xml:space="preserve"> </w:t>
      </w:r>
      <w:r w:rsidR="00F77AAE">
        <w:rPr>
          <w:rFonts w:ascii="Calibri Light" w:eastAsia="Calibri" w:hAnsi="Calibri Light" w:cs="Calibri Light"/>
          <w:lang w:bidi="sr-Cyrl-CS"/>
        </w:rPr>
        <w:fldChar w:fldCharType="begin"/>
      </w:r>
      <w:r w:rsidR="00F77AAE">
        <w:rPr>
          <w:rFonts w:ascii="Calibri Light" w:eastAsia="Calibri" w:hAnsi="Calibri Light" w:cs="Calibri Light"/>
          <w:lang w:val="sr-Cyrl-RS" w:bidi="sr-Cyrl-CS"/>
        </w:rPr>
        <w:instrText xml:space="preserve"> REF _Ref153870866 \h  \* MERGEFORMAT </w:instrText>
      </w:r>
      <w:r w:rsidR="00F77AAE">
        <w:rPr>
          <w:rFonts w:ascii="Calibri Light" w:eastAsia="Calibri" w:hAnsi="Calibri Light" w:cs="Calibri Light"/>
          <w:lang w:bidi="sr-Cyrl-CS"/>
        </w:rPr>
      </w:r>
      <w:r w:rsidR="00F77AAE">
        <w:rPr>
          <w:rFonts w:ascii="Calibri Light" w:eastAsia="Calibri" w:hAnsi="Calibri Light" w:cs="Calibri Light"/>
          <w:lang w:bidi="sr-Cyrl-CS"/>
        </w:rPr>
        <w:fldChar w:fldCharType="separate"/>
      </w:r>
      <w:r w:rsidR="00F77AAE" w:rsidRPr="00565B02">
        <w:rPr>
          <w:rFonts w:ascii="Calibri Light" w:eastAsia="Calibri" w:hAnsi="Calibri Light" w:cs="Calibri Light"/>
          <w:lang w:bidi="sr-Cyrl-CS"/>
        </w:rPr>
        <w:t>с</w:t>
      </w:r>
      <w:r w:rsidR="00F77AAE" w:rsidRPr="00565B02">
        <w:rPr>
          <w:rFonts w:ascii="Calibri Light" w:eastAsia="Calibri" w:hAnsi="Calibri Light" w:cs="Calibri Light"/>
          <w:lang w:val="sr-Cyrl-RS" w:bidi="sr-Cyrl-CS"/>
        </w:rPr>
        <w:t>ли</w:t>
      </w:r>
      <w:r w:rsidR="00F77AAE" w:rsidRPr="00565B02">
        <w:rPr>
          <w:rFonts w:ascii="Calibri Light" w:eastAsia="Calibri" w:hAnsi="Calibri Light" w:cs="Calibri Light"/>
          <w:lang w:bidi="sr-Cyrl-CS"/>
        </w:rPr>
        <w:t>ци</w:t>
      </w:r>
      <w:r w:rsidR="00F77AAE" w:rsidRPr="00565B02">
        <w:rPr>
          <w:rFonts w:ascii="Calibri Light" w:eastAsia="Calibri" w:hAnsi="Calibri Light" w:cs="Calibri Light"/>
          <w:lang w:val="sr-Cyrl-RS" w:bidi="sr-Cyrl-CS"/>
        </w:rPr>
        <w:t xml:space="preserve"> 4.33</w:t>
      </w:r>
      <w:r w:rsidR="00F77AAE">
        <w:rPr>
          <w:rFonts w:ascii="Calibri Light" w:eastAsia="Calibri" w:hAnsi="Calibri Light" w:cs="Calibri Light"/>
          <w:lang w:bidi="sr-Cyrl-CS"/>
        </w:rPr>
        <w:fldChar w:fldCharType="end"/>
      </w:r>
      <w:r w:rsidR="002A1A23" w:rsidRPr="00565B02">
        <w:rPr>
          <w:rFonts w:ascii="Calibri Light" w:eastAsia="Calibri" w:hAnsi="Calibri Light" w:cs="Calibri Light"/>
          <w:lang w:bidi="sr-Cyrl-CS"/>
        </w:rPr>
        <w:t xml:space="preserve">. </w:t>
      </w:r>
      <w:bookmarkStart w:id="229" w:name="_Hlk135813135"/>
      <w:r w:rsidRPr="00565B02">
        <w:rPr>
          <w:rFonts w:ascii="Calibri Light" w:eastAsia="Calibri" w:hAnsi="Calibri Light" w:cs="Calibri Light"/>
          <w:lang w:bidi="sr-Cyrl-CS"/>
        </w:rPr>
        <w:t>Највећ</w:t>
      </w:r>
      <w:r w:rsidRPr="00FF386D">
        <w:rPr>
          <w:rFonts w:ascii="Calibri Light" w:hAnsi="Calibri Light" w:cs="Calibri Light"/>
          <w:lang w:val="sr-Cyrl-RS" w:bidi="sr-Cyrl-CS"/>
        </w:rPr>
        <w:t>и удео у финалној потрошњи енергији у различитим подсекторима имају неметални минерали, укључујући цемент, стакло, грнчарију и грађевинске материјале, на нивоу од 436 ktoe у 2020. години, при чему се очекује да ће овај удео скоро удвостручити и износити 798 ktoe у 2050. години.</w:t>
      </w:r>
      <w:bookmarkEnd w:id="229"/>
    </w:p>
    <w:p w14:paraId="74F2C926" w14:textId="79E35053" w:rsidR="00F77AAE" w:rsidRDefault="00F77AAE" w:rsidP="00565B02">
      <w:pPr>
        <w:pStyle w:val="Caption"/>
        <w:keepNext/>
      </w:pPr>
      <w:bookmarkStart w:id="230" w:name="_Ref153870866"/>
      <w:bookmarkStart w:id="231" w:name="_Toc153901379"/>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33</w:t>
      </w:r>
      <w:r w:rsidR="00F35B2C">
        <w:fldChar w:fldCharType="end"/>
      </w:r>
      <w:bookmarkEnd w:id="230"/>
      <w:r>
        <w:t xml:space="preserve">: </w:t>
      </w:r>
      <w:r w:rsidRPr="00F77AAE">
        <w:t>Финална потрошња енергије по подсектору у индустријском сектору у периоду 2020-2050. године</w:t>
      </w:r>
      <w:bookmarkEnd w:id="231"/>
    </w:p>
    <w:p w14:paraId="57BE1A66" w14:textId="2FA3F789" w:rsidR="00C6452C" w:rsidRPr="00FF386D" w:rsidRDefault="00F77AAE" w:rsidP="002A1A23">
      <w:pPr>
        <w:jc w:val="center"/>
        <w:rPr>
          <w:rFonts w:ascii="Calibri" w:eastAsia="Calibri" w:hAnsi="Calibri" w:cs="Times New Roman"/>
          <w:lang w:eastAsia="el-GR"/>
        </w:rPr>
      </w:pPr>
      <w:r>
        <w:rPr>
          <w:noProof/>
        </w:rPr>
        <mc:AlternateContent>
          <mc:Choice Requires="wps">
            <w:drawing>
              <wp:anchor distT="0" distB="0" distL="114300" distR="114300" simplePos="0" relativeHeight="251708416" behindDoc="0" locked="0" layoutInCell="1" allowOverlap="1" wp14:anchorId="27A8488C" wp14:editId="4ECA534E">
                <wp:simplePos x="0" y="0"/>
                <wp:positionH relativeFrom="column">
                  <wp:posOffset>889635</wp:posOffset>
                </wp:positionH>
                <wp:positionV relativeFrom="paragraph">
                  <wp:posOffset>919585</wp:posOffset>
                </wp:positionV>
                <wp:extent cx="2993390" cy="1923396"/>
                <wp:effectExtent l="0" t="0" r="0" b="1270"/>
                <wp:wrapNone/>
                <wp:docPr id="1726570824" name="Text Box 1726570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3390" cy="1923396"/>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5F0168C2" id="Text Box 1726570824" o:spid="_x0000_s1026" type="#_x0000_t202" style="position:absolute;margin-left:70.05pt;margin-top:72.4pt;width:235.7pt;height:151.4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" fillcolor="#a6a6a6" stroked="f">
                <v:fill opacity="32896f"/>
              </v:shape>
            </w:pict>
          </mc:Fallback>
        </mc:AlternateContent>
      </w:r>
      <w:r w:rsidR="00C6452C" w:rsidRPr="004F53D7">
        <w:rPr>
          <w:rFonts w:ascii="Calibri" w:eastAsia="Calibri" w:hAnsi="Calibri" w:cs="Times New Roman"/>
          <w:noProof/>
          <w:lang w:val="en-US"/>
        </w:rPr>
        <w:drawing>
          <wp:inline distT="0" distB="0" distL="0" distR="0" wp14:anchorId="1372BDDB" wp14:editId="3633C0EC">
            <wp:extent cx="6151008" cy="3419060"/>
            <wp:effectExtent l="0" t="0" r="0" b="0"/>
            <wp:docPr id="1504450835" name="Picture 1504450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90136" cy="3440809"/>
                    </a:xfrm>
                    <a:prstGeom prst="rect">
                      <a:avLst/>
                    </a:prstGeom>
                    <a:noFill/>
                  </pic:spPr>
                </pic:pic>
              </a:graphicData>
            </a:graphic>
          </wp:inline>
        </w:drawing>
      </w:r>
    </w:p>
    <w:p w14:paraId="01E710B5" w14:textId="74EE27FE" w:rsidR="006F7AC3" w:rsidRDefault="002A1A23" w:rsidP="00565B02">
      <w:pPr>
        <w:pStyle w:val="LDKbody"/>
      </w:pPr>
      <w:r w:rsidRPr="00FF386D">
        <w:rPr>
          <w:rFonts w:ascii="Calibri Light" w:hAnsi="Calibri Light" w:cs="Calibri Light"/>
          <w:lang w:val="sr-Cyrl-RS" w:bidi="sr-Cyrl-CS"/>
        </w:rPr>
        <w:t>Као што је приказано на</w:t>
      </w:r>
      <w:r w:rsidRPr="00FF386D">
        <w:rPr>
          <w:rFonts w:ascii="Calibri Light" w:hAnsi="Calibri Light" w:cs="Calibri Light"/>
          <w:lang w:val="sr-Cyrl-RS"/>
        </w:rPr>
        <w:t xml:space="preserve"> </w:t>
      </w:r>
      <w:r w:rsidRPr="004F53D7">
        <w:fldChar w:fldCharType="begin" w:fldLock="1"/>
      </w:r>
      <w:r w:rsidRPr="00FF386D">
        <w:rPr>
          <w:lang w:val="sr-Cyrl-RS"/>
        </w:rPr>
        <w:instrText xml:space="preserve"> REF _Ref113634171 \h  \* MERGEFORMAT </w:instrText>
      </w:r>
      <w:r w:rsidRPr="004F53D7">
        <w:fldChar w:fldCharType="separate"/>
      </w:r>
      <w:r w:rsidRPr="00FF386D">
        <w:rPr>
          <w:rFonts w:ascii="Calibri Light" w:hAnsi="Calibri Light" w:cs="Calibri Light"/>
          <w:lang w:val="sr-Cyrl-RS"/>
        </w:rPr>
        <w:t>слици 4.3</w:t>
      </w:r>
      <w:r w:rsidR="00B24AFA" w:rsidRPr="00C312D6">
        <w:rPr>
          <w:rFonts w:ascii="Calibri Light" w:hAnsi="Calibri Light" w:cs="Calibri Light"/>
          <w:lang w:val="sr-Cyrl-RS"/>
        </w:rPr>
        <w:t>4</w:t>
      </w:r>
      <w:r w:rsidRPr="004F53D7">
        <w:fldChar w:fldCharType="end"/>
      </w:r>
      <w:r w:rsidRPr="00FF386D">
        <w:rPr>
          <w:rFonts w:ascii="Calibri Light" w:hAnsi="Calibri Light" w:cs="Calibri Light"/>
          <w:lang w:val="sr-Cyrl-RS"/>
        </w:rPr>
        <w:t xml:space="preserve">, </w:t>
      </w:r>
      <w:bookmarkStart w:id="232" w:name="_Hlk135813165"/>
      <w:r w:rsidR="00CA20F4" w:rsidRPr="00FF386D">
        <w:rPr>
          <w:rFonts w:ascii="Calibri Light" w:eastAsia="Calibri" w:hAnsi="Calibri Light" w:cs="Calibri Light"/>
          <w:lang w:val="sr-Cyrl-RS" w:bidi="sr-Cyrl-CS"/>
        </w:rPr>
        <w:t xml:space="preserve">очекује се и повећање финалне потрошње енергије у сектору саобраћаја по гориву током посматраног периода; са 2,4 Mtoe у 2020. години на 2,8 Mtoe у 2030. години </w:t>
      </w:r>
      <w:r w:rsidR="00CA20F4" w:rsidRPr="00FF386D">
        <w:rPr>
          <w:rFonts w:ascii="Calibri Light" w:eastAsia="Calibri" w:hAnsi="Calibri Light" w:cs="Calibri Light"/>
          <w:lang w:val="sr-Cyrl-RS" w:bidi="sr-Cyrl-CS"/>
        </w:rPr>
        <w:lastRenderedPageBreak/>
        <w:t>и на 3,7 Mtoe у 2050. години.</w:t>
      </w:r>
      <w:r w:rsidR="00CA20F4" w:rsidRPr="00FF386D">
        <w:rPr>
          <w:rFonts w:ascii="Calibri Light" w:eastAsia="Calibri" w:hAnsi="Calibri Light" w:cs="Calibri Light"/>
          <w:lang w:val="sr-Cyrl-RS"/>
        </w:rPr>
        <w:t xml:space="preserve"> На</w:t>
      </w:r>
      <w:bookmarkEnd w:id="232"/>
      <w:r w:rsidR="00CA20F4" w:rsidRPr="00FF386D">
        <w:rPr>
          <w:rFonts w:ascii="Calibri Light" w:eastAsia="Calibri" w:hAnsi="Calibri Light" w:cs="Calibri Light"/>
          <w:lang w:val="sr-Cyrl-RS"/>
        </w:rPr>
        <w:t xml:space="preserve"> </w:t>
      </w:r>
      <w:r w:rsidR="006F7AC3">
        <w:rPr>
          <w:rFonts w:ascii="Calibri Light" w:eastAsia="Calibri" w:hAnsi="Calibri Light" w:cs="Calibri Light"/>
          <w:lang w:bidi="sr-Cyrl-CS"/>
        </w:rPr>
        <w:fldChar w:fldCharType="begin"/>
      </w:r>
      <w:r w:rsidR="006F7AC3">
        <w:rPr>
          <w:rFonts w:ascii="Calibri Light" w:eastAsia="Calibri" w:hAnsi="Calibri Light" w:cs="Calibri Light"/>
          <w:lang w:val="sr-Cyrl-RS" w:bidi="sr-Cyrl-CS"/>
        </w:rPr>
        <w:instrText xml:space="preserve"> REF _Ref153870970 \h  \* MERGEFORMAT </w:instrText>
      </w:r>
      <w:r w:rsidR="006F7AC3">
        <w:rPr>
          <w:rFonts w:ascii="Calibri Light" w:eastAsia="Calibri" w:hAnsi="Calibri Light" w:cs="Calibri Light"/>
          <w:lang w:bidi="sr-Cyrl-CS"/>
        </w:rPr>
      </w:r>
      <w:r w:rsidR="006F7AC3">
        <w:rPr>
          <w:rFonts w:ascii="Calibri Light" w:eastAsia="Calibri" w:hAnsi="Calibri Light" w:cs="Calibri Light"/>
          <w:lang w:bidi="sr-Cyrl-CS"/>
        </w:rPr>
        <w:fldChar w:fldCharType="separate"/>
      </w:r>
      <w:r w:rsidR="006F7AC3" w:rsidRPr="00565B02">
        <w:rPr>
          <w:rFonts w:ascii="Calibri Light" w:eastAsia="Calibri" w:hAnsi="Calibri Light" w:cs="Calibri Light"/>
          <w:lang w:bidi="sr-Cyrl-CS"/>
        </w:rPr>
        <w:t>с</w:t>
      </w:r>
      <w:r w:rsidR="006F7AC3" w:rsidRPr="00565B02">
        <w:rPr>
          <w:rFonts w:ascii="Calibri Light" w:eastAsia="Calibri" w:hAnsi="Calibri Light" w:cs="Calibri Light"/>
          <w:lang w:val="sr-Cyrl-RS" w:bidi="sr-Cyrl-CS"/>
        </w:rPr>
        <w:t>ли</w:t>
      </w:r>
      <w:r w:rsidR="006F7AC3" w:rsidRPr="00565B02">
        <w:rPr>
          <w:rFonts w:ascii="Calibri Light" w:eastAsia="Calibri" w:hAnsi="Calibri Light" w:cs="Calibri Light"/>
          <w:lang w:bidi="sr-Cyrl-CS"/>
        </w:rPr>
        <w:t>ци</w:t>
      </w:r>
      <w:r w:rsidR="006F7AC3" w:rsidRPr="00565B02">
        <w:rPr>
          <w:rFonts w:ascii="Calibri Light" w:eastAsia="Calibri" w:hAnsi="Calibri Light" w:cs="Calibri Light"/>
          <w:lang w:val="sr-Cyrl-RS" w:bidi="sr-Cyrl-CS"/>
        </w:rPr>
        <w:t xml:space="preserve"> 4.34</w:t>
      </w:r>
      <w:r w:rsidR="006F7AC3">
        <w:rPr>
          <w:rFonts w:ascii="Calibri Light" w:eastAsia="Calibri" w:hAnsi="Calibri Light" w:cs="Calibri Light"/>
          <w:lang w:bidi="sr-Cyrl-CS"/>
        </w:rPr>
        <w:fldChar w:fldCharType="end"/>
      </w:r>
      <w:r w:rsidR="006F7AC3">
        <w:rPr>
          <w:rFonts w:ascii="Calibri Light" w:eastAsia="Calibri" w:hAnsi="Calibri Light" w:cs="Calibri Light"/>
          <w:lang w:val="sr-Cyrl-RS" w:bidi="sr-Cyrl-CS"/>
        </w:rPr>
        <w:t xml:space="preserve"> </w:t>
      </w:r>
      <w:bookmarkStart w:id="233" w:name="_Hlk135813178"/>
      <w:r w:rsidR="00CA20F4" w:rsidRPr="00565B02">
        <w:rPr>
          <w:rFonts w:ascii="Calibri Light" w:eastAsia="Calibri" w:hAnsi="Calibri Light" w:cs="Calibri Light"/>
          <w:lang w:bidi="sr-Cyrl-CS"/>
        </w:rPr>
        <w:t>се у</w:t>
      </w:r>
      <w:r w:rsidR="00CA20F4" w:rsidRPr="00FF386D">
        <w:rPr>
          <w:rFonts w:ascii="Calibri Light" w:hAnsi="Calibri Light" w:cs="Calibri Light"/>
          <w:lang w:val="sr-Cyrl-RS" w:bidi="sr-Cyrl-CS"/>
        </w:rPr>
        <w:t>очава доминантна потрошња нафте и нафтних деривата, између осталих горива, а очекује се да ће се она значајно повећати: са 2,3 Mtoe у 2020. години на 2,6 Mtoe у 2030. години и 3,4 Mtoe у 2050. години. Удео природног гаса је прилично низак без могућности да се заустави повећана саобраћајна активност услед континуираног повећања БДП-а до 2050. године. Исти закључак се може извести и за нова купљена возила, која не успевају да у значајној мери смање финалну потрошњу енергије.</w:t>
      </w:r>
      <w:bookmarkEnd w:id="233"/>
    </w:p>
    <w:p w14:paraId="1878A94D" w14:textId="6D11F92D" w:rsidR="006F7AC3" w:rsidRDefault="006F7AC3" w:rsidP="00565B02">
      <w:pPr>
        <w:pStyle w:val="Caption"/>
        <w:keepNext/>
      </w:pPr>
      <w:bookmarkStart w:id="234" w:name="_Ref153870970"/>
      <w:bookmarkStart w:id="235" w:name="_Toc153901380"/>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34</w:t>
      </w:r>
      <w:r w:rsidR="00F35B2C">
        <w:fldChar w:fldCharType="end"/>
      </w:r>
      <w:bookmarkEnd w:id="234"/>
      <w:r>
        <w:t xml:space="preserve">: </w:t>
      </w:r>
      <w:r w:rsidRPr="006F7AC3">
        <w:t>Финална потрошња енергије по извору енергије у сектору саобраћаја у периоду 2020-2050. године у сценарију са постојећим мерама (WEM)</w:t>
      </w:r>
      <w:bookmarkEnd w:id="235"/>
    </w:p>
    <w:p w14:paraId="023A6FED" w14:textId="1280136E" w:rsidR="00C6452C" w:rsidRPr="00FF386D" w:rsidRDefault="006F7AC3" w:rsidP="002A1A23">
      <w:pPr>
        <w:jc w:val="center"/>
        <w:rPr>
          <w:rFonts w:ascii="Calibri" w:eastAsia="Calibri" w:hAnsi="Calibri" w:cs="Times New Roman"/>
          <w:lang w:eastAsia="el-GR"/>
        </w:rPr>
      </w:pPr>
      <w:r>
        <w:rPr>
          <w:noProof/>
        </w:rPr>
        <mc:AlternateContent>
          <mc:Choice Requires="wps">
            <w:drawing>
              <wp:anchor distT="0" distB="0" distL="114300" distR="114300" simplePos="0" relativeHeight="251710464" behindDoc="0" locked="0" layoutInCell="1" allowOverlap="1" wp14:anchorId="2FF76C3E" wp14:editId="4CF6090F">
                <wp:simplePos x="0" y="0"/>
                <wp:positionH relativeFrom="column">
                  <wp:posOffset>1048859</wp:posOffset>
                </wp:positionH>
                <wp:positionV relativeFrom="paragraph">
                  <wp:posOffset>625475</wp:posOffset>
                </wp:positionV>
                <wp:extent cx="2777490" cy="2208530"/>
                <wp:effectExtent l="0" t="0" r="3810" b="1270"/>
                <wp:wrapNone/>
                <wp:docPr id="1465233426" name="Text Box 1465233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7490" cy="2208530"/>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53F01FD7" id="Text Box 1465233426" o:spid="_x0000_s1026" type="#_x0000_t202" style="position:absolute;margin-left:82.6pt;margin-top:49.25pt;width:218.7pt;height:173.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" fillcolor="#a6a6a6" stroked="f">
                <v:fill opacity="32896f"/>
              </v:shape>
            </w:pict>
          </mc:Fallback>
        </mc:AlternateContent>
      </w:r>
      <w:r w:rsidR="00C6452C" w:rsidRPr="004F53D7">
        <w:rPr>
          <w:rFonts w:ascii="Calibri" w:eastAsia="Calibri" w:hAnsi="Calibri" w:cs="Times New Roman"/>
          <w:noProof/>
          <w:lang w:val="en-US"/>
        </w:rPr>
        <w:drawing>
          <wp:inline distT="0" distB="0" distL="0" distR="0" wp14:anchorId="01209BC1" wp14:editId="6DA8BDD3">
            <wp:extent cx="5906789" cy="3204375"/>
            <wp:effectExtent l="0" t="0" r="0" b="0"/>
            <wp:docPr id="349863936" name="Picture 349863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4911" cy="3219631"/>
                    </a:xfrm>
                    <a:prstGeom prst="rect">
                      <a:avLst/>
                    </a:prstGeom>
                    <a:noFill/>
                  </pic:spPr>
                </pic:pic>
              </a:graphicData>
            </a:graphic>
          </wp:inline>
        </w:drawing>
      </w:r>
    </w:p>
    <w:p w14:paraId="5A768AD5" w14:textId="7767488A" w:rsidR="00CA20F4" w:rsidRPr="00FF386D" w:rsidRDefault="00CA20F4" w:rsidP="00CA20F4">
      <w:pPr>
        <w:pStyle w:val="LDKbody"/>
        <w:rPr>
          <w:rFonts w:ascii="Calibri Light" w:hAnsi="Calibri Light" w:cs="Calibri Light"/>
          <w:lang w:val="sr-Cyrl-RS"/>
        </w:rPr>
      </w:pPr>
      <w:bookmarkStart w:id="236" w:name="_Hlk135813211"/>
      <w:r w:rsidRPr="00FF386D">
        <w:rPr>
          <w:rFonts w:ascii="Calibri Light" w:eastAsia="Calibri" w:hAnsi="Calibri Light" w:cs="Calibri Light"/>
          <w:lang w:val="sr-Cyrl-RS" w:bidi="sr-Cyrl-CS"/>
        </w:rPr>
        <w:t>Очекује се да ће финална потрошња енергије свих видова саобраћаја значајно порасти до 2050. године, у поређењу са 2020. годином, као што је приказано на</w:t>
      </w:r>
      <w:bookmarkEnd w:id="236"/>
      <w:r w:rsidR="006F7AC3">
        <w:rPr>
          <w:rFonts w:ascii="Calibri Light" w:eastAsia="Calibri" w:hAnsi="Calibri Light" w:cs="Calibri Light"/>
          <w:lang w:val="sr-Cyrl-RS"/>
        </w:rPr>
        <w:t xml:space="preserve"> </w:t>
      </w:r>
      <w:r w:rsidR="006F7AC3">
        <w:rPr>
          <w:rFonts w:ascii="Calibri Light" w:eastAsia="Calibri" w:hAnsi="Calibri Light" w:cs="Calibri Light"/>
          <w:lang w:val="sr-Cyrl-RS" w:bidi="sr-Cyrl-CS"/>
        </w:rPr>
        <w:fldChar w:fldCharType="begin"/>
      </w:r>
      <w:r w:rsidR="006F7AC3">
        <w:rPr>
          <w:rFonts w:ascii="Calibri Light" w:eastAsia="Calibri" w:hAnsi="Calibri Light" w:cs="Calibri Light"/>
          <w:lang w:val="sr-Cyrl-RS" w:bidi="sr-Cyrl-CS"/>
        </w:rPr>
        <w:instrText xml:space="preserve"> REF _Ref153871051 \h  \* MERGEFORMAT </w:instrText>
      </w:r>
      <w:r w:rsidR="006F7AC3">
        <w:rPr>
          <w:rFonts w:ascii="Calibri Light" w:eastAsia="Calibri" w:hAnsi="Calibri Light" w:cs="Calibri Light"/>
          <w:lang w:val="sr-Cyrl-RS" w:bidi="sr-Cyrl-CS"/>
        </w:rPr>
      </w:r>
      <w:r w:rsidR="006F7AC3">
        <w:rPr>
          <w:rFonts w:ascii="Calibri Light" w:eastAsia="Calibri" w:hAnsi="Calibri Light" w:cs="Calibri Light"/>
          <w:lang w:val="sr-Cyrl-RS" w:bidi="sr-Cyrl-CS"/>
        </w:rPr>
        <w:fldChar w:fldCharType="separate"/>
      </w:r>
      <w:r w:rsidR="006F7AC3">
        <w:rPr>
          <w:rFonts w:ascii="Calibri Light" w:eastAsia="Calibri" w:hAnsi="Calibri Light" w:cs="Calibri Light"/>
          <w:lang w:val="sr-Cyrl-RS" w:bidi="sr-Cyrl-CS"/>
        </w:rPr>
        <w:t>с</w:t>
      </w:r>
      <w:r w:rsidR="006F7AC3" w:rsidRPr="00565B02">
        <w:rPr>
          <w:rFonts w:ascii="Calibri Light" w:eastAsia="Calibri" w:hAnsi="Calibri Light" w:cs="Calibri Light"/>
          <w:lang w:val="sr-Cyrl-RS" w:bidi="sr-Cyrl-CS"/>
        </w:rPr>
        <w:t>ли</w:t>
      </w:r>
      <w:r w:rsidR="006F7AC3">
        <w:rPr>
          <w:rFonts w:ascii="Calibri Light" w:eastAsia="Calibri" w:hAnsi="Calibri Light" w:cs="Calibri Light"/>
          <w:lang w:val="sr-Cyrl-RS" w:bidi="sr-Cyrl-CS"/>
        </w:rPr>
        <w:t>ци</w:t>
      </w:r>
      <w:r w:rsidR="006F7AC3" w:rsidRPr="00565B02">
        <w:rPr>
          <w:rFonts w:ascii="Calibri Light" w:eastAsia="Calibri" w:hAnsi="Calibri Light" w:cs="Calibri Light"/>
          <w:lang w:val="sr-Cyrl-RS" w:bidi="sr-Cyrl-CS"/>
        </w:rPr>
        <w:t xml:space="preserve"> 4.35</w:t>
      </w:r>
      <w:r w:rsidR="006F7AC3">
        <w:rPr>
          <w:rFonts w:ascii="Calibri Light" w:eastAsia="Calibri" w:hAnsi="Calibri Light" w:cs="Calibri Light"/>
          <w:lang w:val="sr-Cyrl-RS" w:bidi="sr-Cyrl-CS"/>
        </w:rPr>
        <w:fldChar w:fldCharType="end"/>
      </w:r>
      <w:r w:rsidRPr="00565B02">
        <w:rPr>
          <w:rFonts w:ascii="Calibri Light" w:eastAsia="Calibri" w:hAnsi="Calibri Light" w:cs="Calibri Light"/>
          <w:lang w:val="sr-Cyrl-RS" w:bidi="sr-Cyrl-CS"/>
        </w:rPr>
        <w:t xml:space="preserve">; </w:t>
      </w:r>
      <w:bookmarkStart w:id="237" w:name="_Hlk135813223"/>
      <w:r w:rsidRPr="00565B02">
        <w:rPr>
          <w:rFonts w:ascii="Calibri Light" w:eastAsia="Calibri" w:hAnsi="Calibri Light" w:cs="Calibri Light"/>
          <w:lang w:val="sr-Cyrl-RS" w:bidi="sr-Cyrl-CS"/>
        </w:rPr>
        <w:t>са</w:t>
      </w:r>
      <w:r w:rsidRPr="00FF386D">
        <w:rPr>
          <w:rFonts w:ascii="Calibri Light" w:hAnsi="Calibri Light" w:cs="Calibri Light"/>
          <w:lang w:val="sr-Cyrl-RS" w:bidi="sr-Cyrl-CS"/>
        </w:rPr>
        <w:t xml:space="preserve"> 2,4 Mtoe у 2020. години на 2,8 Mtoe у 2030. години и на 3,7 Mtoe у 2050. години. Очекује се да ће удео друмског саобраћаја, који убедљиво највише доприноси укупној финалној потрошњи енергије, порасти са 2,2 Mtoe у 2020. години на 2,5 Mtoe у 2030. години и на 3,3 Mtoe у 2050. години. Међутим, у погледу удела у укупној финалној потрошњи енергије, предвиђа се да ће удео друмског саобраћај забележити пад са 92% у 2020. години на 90% у 2030. години и на 88% у 2050. години.</w:t>
      </w:r>
      <w:bookmarkEnd w:id="237"/>
    </w:p>
    <w:p w14:paraId="3AA6F918" w14:textId="37649AB0" w:rsidR="006F7AC3" w:rsidRDefault="006F7AC3" w:rsidP="00565B02">
      <w:pPr>
        <w:pStyle w:val="Caption"/>
        <w:keepNext/>
      </w:pPr>
      <w:bookmarkStart w:id="238" w:name="_Ref153871051"/>
      <w:bookmarkStart w:id="239" w:name="_Toc153901381"/>
      <w:r>
        <w:lastRenderedPageBreak/>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35</w:t>
      </w:r>
      <w:r w:rsidR="00F35B2C">
        <w:fldChar w:fldCharType="end"/>
      </w:r>
      <w:bookmarkEnd w:id="238"/>
      <w:r>
        <w:t xml:space="preserve">: </w:t>
      </w:r>
      <w:r w:rsidRPr="006F7AC3">
        <w:t>Финална потрошња енергије по подсектору у сектору саобраћаја у периоду 2020-2050. године у сценарију са постојећим мерама (WEM)</w:t>
      </w:r>
      <w:bookmarkEnd w:id="239"/>
    </w:p>
    <w:p w14:paraId="174B2A09" w14:textId="5CFE5510" w:rsidR="0015708B" w:rsidRPr="00FF386D" w:rsidRDefault="006F7AC3" w:rsidP="0015708B">
      <w:pPr>
        <w:jc w:val="center"/>
        <w:rPr>
          <w:rFonts w:ascii="Calibri" w:eastAsia="Calibri" w:hAnsi="Calibri" w:cs="Times New Roman"/>
          <w:lang w:eastAsia="el-GR" w:bidi="sr-Cyrl-CS"/>
        </w:rPr>
      </w:pPr>
      <w:r>
        <w:rPr>
          <w:noProof/>
          <w:lang w:val="en-US"/>
        </w:rPr>
        <mc:AlternateContent>
          <mc:Choice Requires="wps">
            <w:drawing>
              <wp:anchor distT="0" distB="0" distL="114300" distR="114300" simplePos="0" relativeHeight="251712512" behindDoc="0" locked="0" layoutInCell="1" allowOverlap="1" wp14:anchorId="33F42D21" wp14:editId="42CD3D7A">
                <wp:simplePos x="0" y="0"/>
                <wp:positionH relativeFrom="column">
                  <wp:posOffset>829386</wp:posOffset>
                </wp:positionH>
                <wp:positionV relativeFrom="paragraph">
                  <wp:posOffset>844162</wp:posOffset>
                </wp:positionV>
                <wp:extent cx="3004820" cy="3032125"/>
                <wp:effectExtent l="0" t="0" r="0" b="0"/>
                <wp:wrapNone/>
                <wp:docPr id="716375849" name="Text Box 7163758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4820" cy="3032125"/>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3894CB03" id="Text Box 716375849" o:spid="_x0000_s1026" type="#_x0000_t202" style="position:absolute;margin-left:65.3pt;margin-top:66.45pt;width:236.6pt;height:238.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" fillcolor="#a6a6a6" stroked="f">
                <v:fill opacity="32896f"/>
              </v:shape>
            </w:pict>
          </mc:Fallback>
        </mc:AlternateContent>
      </w:r>
      <w:r w:rsidR="0015708B" w:rsidRPr="004F53D7">
        <w:rPr>
          <w:rFonts w:ascii="Calibri" w:eastAsia="Calibri" w:hAnsi="Calibri" w:cs="Times New Roman"/>
          <w:noProof/>
          <w:lang w:val="en-US"/>
        </w:rPr>
        <w:drawing>
          <wp:inline distT="0" distB="0" distL="0" distR="0" wp14:anchorId="7495F50B" wp14:editId="5BB2EA0E">
            <wp:extent cx="6012512" cy="4246171"/>
            <wp:effectExtent l="0" t="0" r="0" b="0"/>
            <wp:docPr id="1028776624" name="Picture 1028776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023599" cy="4254001"/>
                    </a:xfrm>
                    <a:prstGeom prst="rect">
                      <a:avLst/>
                    </a:prstGeom>
                    <a:noFill/>
                  </pic:spPr>
                </pic:pic>
              </a:graphicData>
            </a:graphic>
          </wp:inline>
        </w:drawing>
      </w:r>
    </w:p>
    <w:p w14:paraId="0A725592" w14:textId="5AEED3A8" w:rsidR="006F7AC3" w:rsidRDefault="002A1A23" w:rsidP="00565B02">
      <w:pPr>
        <w:pStyle w:val="LDKbody"/>
      </w:pPr>
      <w:r w:rsidRPr="00FF386D">
        <w:rPr>
          <w:rFonts w:ascii="Calibri Light" w:hAnsi="Calibri Light" w:cs="Calibri Light"/>
          <w:lang w:val="sr-Cyrl-RS" w:bidi="sr-Cyrl-CS"/>
        </w:rPr>
        <w:t>Као што је приказано на</w:t>
      </w:r>
      <w:r w:rsidR="006F7AC3">
        <w:rPr>
          <w:rFonts w:ascii="Calibri Light" w:hAnsi="Calibri Light" w:cs="Calibri Light"/>
          <w:lang w:val="sr-Cyrl-RS"/>
        </w:rPr>
        <w:t xml:space="preserve"> </w:t>
      </w:r>
      <w:r w:rsidR="006F7AC3">
        <w:rPr>
          <w:rFonts w:ascii="Calibri Light" w:hAnsi="Calibri Light" w:cs="Calibri Light"/>
          <w:lang w:bidi="sr-Cyrl-CS"/>
        </w:rPr>
        <w:fldChar w:fldCharType="begin"/>
      </w:r>
      <w:r w:rsidR="006F7AC3">
        <w:rPr>
          <w:rFonts w:ascii="Calibri Light" w:hAnsi="Calibri Light" w:cs="Calibri Light"/>
          <w:lang w:val="sr-Cyrl-RS" w:bidi="sr-Cyrl-CS"/>
        </w:rPr>
        <w:instrText xml:space="preserve"> REF _Ref153871123 \h  \* MERGEFORMAT </w:instrText>
      </w:r>
      <w:r w:rsidR="006F7AC3">
        <w:rPr>
          <w:rFonts w:ascii="Calibri Light" w:hAnsi="Calibri Light" w:cs="Calibri Light"/>
          <w:lang w:bidi="sr-Cyrl-CS"/>
        </w:rPr>
      </w:r>
      <w:r w:rsidR="006F7AC3">
        <w:rPr>
          <w:rFonts w:ascii="Calibri Light" w:hAnsi="Calibri Light" w:cs="Calibri Light"/>
          <w:lang w:bidi="sr-Cyrl-CS"/>
        </w:rPr>
        <w:fldChar w:fldCharType="separate"/>
      </w:r>
      <w:r w:rsidR="006F7AC3" w:rsidRPr="00565B02">
        <w:rPr>
          <w:rFonts w:ascii="Calibri Light" w:hAnsi="Calibri Light" w:cs="Calibri Light"/>
          <w:lang w:bidi="sr-Cyrl-CS"/>
        </w:rPr>
        <w:t>с</w:t>
      </w:r>
      <w:r w:rsidR="006F7AC3" w:rsidRPr="00565B02">
        <w:rPr>
          <w:rFonts w:ascii="Calibri Light" w:hAnsi="Calibri Light" w:cs="Calibri Light"/>
          <w:lang w:val="sr-Cyrl-RS" w:bidi="sr-Cyrl-CS"/>
        </w:rPr>
        <w:t>ли</w:t>
      </w:r>
      <w:r w:rsidR="006F7AC3" w:rsidRPr="00565B02">
        <w:rPr>
          <w:rFonts w:ascii="Calibri Light" w:hAnsi="Calibri Light" w:cs="Calibri Light"/>
          <w:lang w:bidi="sr-Cyrl-CS"/>
        </w:rPr>
        <w:t>ци</w:t>
      </w:r>
      <w:r w:rsidR="006F7AC3" w:rsidRPr="00565B02">
        <w:rPr>
          <w:rFonts w:ascii="Calibri Light" w:hAnsi="Calibri Light" w:cs="Calibri Light"/>
          <w:lang w:val="sr-Cyrl-RS" w:bidi="sr-Cyrl-CS"/>
        </w:rPr>
        <w:t xml:space="preserve"> 4.36</w:t>
      </w:r>
      <w:r w:rsidR="006F7AC3">
        <w:rPr>
          <w:rFonts w:ascii="Calibri Light" w:hAnsi="Calibri Light" w:cs="Calibri Light"/>
          <w:lang w:bidi="sr-Cyrl-CS"/>
        </w:rPr>
        <w:fldChar w:fldCharType="end"/>
      </w:r>
      <w:r w:rsidRPr="00FF386D">
        <w:rPr>
          <w:rFonts w:ascii="Calibri Light" w:hAnsi="Calibri Light" w:cs="Calibri Light"/>
          <w:lang w:val="sr-Cyrl-RS" w:bidi="sr-Cyrl-CS"/>
        </w:rPr>
        <w:t xml:space="preserve">, </w:t>
      </w:r>
      <w:bookmarkStart w:id="240" w:name="_Hlk135813258"/>
      <w:r w:rsidR="00CA20F4" w:rsidRPr="00FF386D">
        <w:rPr>
          <w:rFonts w:ascii="Calibri Light" w:hAnsi="Calibri Light" w:cs="Calibri Light"/>
          <w:lang w:val="sr-Cyrl-RS" w:bidi="sr-Cyrl-CS"/>
        </w:rPr>
        <w:t>очекује се да ће финална потрошња енергије у сектору услуга по извору енергије порасти са 760 ktoe у 2020. години на 1,1 Mtoe у 2030. години и на 1,6 Mtoe у 2050. години упркос тренутној политици и трендовима енергетске ефикасности. Потрошња електричне енергије ће и даље имати највећи допринос до 2050. године, са 388 ktoe у 2020. години на 574 ktoe у 2030. години и 798 ktoe у 2050. години. Поред тога, природни гас остаје друго најкоришћеније гориво у сектору услуга до 2050. године, са уделом у распону од 18% до 29% до 2050. године.</w:t>
      </w:r>
      <w:bookmarkEnd w:id="240"/>
    </w:p>
    <w:p w14:paraId="5F497091" w14:textId="27322AD0" w:rsidR="006F7AC3" w:rsidRDefault="006F7AC3" w:rsidP="00565B02">
      <w:pPr>
        <w:pStyle w:val="Caption"/>
        <w:keepNext/>
      </w:pPr>
      <w:bookmarkStart w:id="241" w:name="_Ref153871123"/>
      <w:bookmarkStart w:id="242" w:name="_Toc153901382"/>
      <w:r>
        <w:lastRenderedPageBreak/>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36</w:t>
      </w:r>
      <w:r w:rsidR="00F35B2C">
        <w:fldChar w:fldCharType="end"/>
      </w:r>
      <w:bookmarkEnd w:id="241"/>
      <w:r>
        <w:t xml:space="preserve">: </w:t>
      </w:r>
      <w:r w:rsidRPr="006F7AC3">
        <w:t>Финална потрошња енергије по извору енергије у сектору услуга у периоду 2020-2050. године у сценарију са постојећим мерама (WEM)</w:t>
      </w:r>
      <w:bookmarkEnd w:id="242"/>
    </w:p>
    <w:p w14:paraId="4DFC2E1A" w14:textId="161AB35B" w:rsidR="002A1A23" w:rsidRPr="00FF386D" w:rsidRDefault="006F7AC3" w:rsidP="002A1A23">
      <w:pPr>
        <w:jc w:val="center"/>
        <w:rPr>
          <w:rFonts w:ascii="Calibri" w:eastAsia="Calibri" w:hAnsi="Calibri" w:cs="Times New Roman"/>
          <w:lang w:eastAsia="el-GR"/>
        </w:rPr>
      </w:pPr>
      <w:r>
        <w:rPr>
          <w:noProof/>
          <w:lang w:val="en-US"/>
        </w:rPr>
        <mc:AlternateContent>
          <mc:Choice Requires="wps">
            <w:drawing>
              <wp:anchor distT="0" distB="0" distL="114300" distR="114300" simplePos="0" relativeHeight="251714560" behindDoc="0" locked="0" layoutInCell="1" allowOverlap="1" wp14:anchorId="09EBA1C0" wp14:editId="06F2BD44">
                <wp:simplePos x="0" y="0"/>
                <wp:positionH relativeFrom="column">
                  <wp:posOffset>1054119</wp:posOffset>
                </wp:positionH>
                <wp:positionV relativeFrom="paragraph">
                  <wp:posOffset>703835</wp:posOffset>
                </wp:positionV>
                <wp:extent cx="2726690" cy="1901825"/>
                <wp:effectExtent l="0" t="0" r="0" b="0"/>
                <wp:wrapNone/>
                <wp:docPr id="89595238" name="Text Box 89595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6690" cy="1901825"/>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page">
                  <wp14:pctHeight>0</wp14:pctHeight>
                </wp14:sizeRelV>
              </wp:anchor>
            </w:drawing>
          </mc:Choice>
          <mc:Fallback>
            <w:pict>
              <v:shape w14:anchorId="6CADFABA" id="Text Box 89595238" o:spid="_x0000_s1026" type="#_x0000_t202" style="position:absolute;margin-left:83pt;margin-top:55.4pt;width:214.7pt;height:149.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" fillcolor="#a6a6a6" stroked="f">
                <v:fill opacity="32896f"/>
              </v:shape>
            </w:pict>
          </mc:Fallback>
        </mc:AlternateContent>
      </w:r>
      <w:r w:rsidR="00305BF9" w:rsidRPr="004F53D7">
        <w:rPr>
          <w:rFonts w:ascii="Calibri" w:eastAsia="Calibri" w:hAnsi="Calibri" w:cs="Times New Roman"/>
          <w:noProof/>
          <w:lang w:val="en-US"/>
        </w:rPr>
        <w:drawing>
          <wp:inline distT="0" distB="0" distL="0" distR="0" wp14:anchorId="22511492" wp14:editId="5547B02F">
            <wp:extent cx="5549188" cy="3230549"/>
            <wp:effectExtent l="0" t="0" r="0" b="0"/>
            <wp:docPr id="798709560" name="Picture 798709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78317" cy="3247507"/>
                    </a:xfrm>
                    <a:prstGeom prst="rect">
                      <a:avLst/>
                    </a:prstGeom>
                    <a:noFill/>
                  </pic:spPr>
                </pic:pic>
              </a:graphicData>
            </a:graphic>
          </wp:inline>
        </w:drawing>
      </w:r>
    </w:p>
    <w:p w14:paraId="75841C79" w14:textId="757C3AB3" w:rsidR="006F7AC3" w:rsidRDefault="00CA20F4" w:rsidP="00565B02">
      <w:pPr>
        <w:jc w:val="both"/>
      </w:pPr>
      <w:bookmarkStart w:id="243" w:name="_Hlk135813298"/>
      <w:r w:rsidRPr="00FF386D">
        <w:rPr>
          <w:rFonts w:ascii="Calibri Light" w:eastAsia="Calibri" w:hAnsi="Calibri Light" w:cs="Calibri Light"/>
          <w:lang w:bidi="sr-Cyrl-CS"/>
        </w:rPr>
        <w:t xml:space="preserve">Пројектовано је да ће се финална потрошња енергије по извору енергије у стамбеном сектору у одређеној мери повећати током анализираног периода са 3,3 Mtoe у 2020. години на 3,7 Mtoe у 2050. години, као што се може видети </w:t>
      </w:r>
      <w:bookmarkEnd w:id="243"/>
      <w:r w:rsidR="002A1A23" w:rsidRPr="00FF386D">
        <w:rPr>
          <w:rFonts w:ascii="Calibri Light" w:hAnsi="Calibri Light" w:cs="Calibri Light"/>
          <w:lang w:bidi="sr-Cyrl-CS"/>
        </w:rPr>
        <w:t>на</w:t>
      </w:r>
      <w:r w:rsidR="006F7AC3">
        <w:rPr>
          <w:rFonts w:ascii="Calibri Light" w:hAnsi="Calibri Light" w:cs="Calibri Light"/>
          <w:lang w:bidi="sr-Cyrl-CS"/>
        </w:rPr>
        <w:t xml:space="preserve"> </w:t>
      </w:r>
      <w:r w:rsidR="006F7AC3" w:rsidRPr="00565B02">
        <w:rPr>
          <w:rFonts w:ascii="Calibri Light" w:eastAsia="Calibri" w:hAnsi="Calibri Light" w:cs="Calibri Light"/>
          <w:lang w:val="da-DK" w:eastAsia="el-GR" w:bidi="sr-Cyrl-CS"/>
        </w:rPr>
        <w:fldChar w:fldCharType="begin"/>
      </w:r>
      <w:r w:rsidR="006F7AC3" w:rsidRPr="00565B02">
        <w:rPr>
          <w:rFonts w:ascii="Calibri Light" w:eastAsia="Calibri" w:hAnsi="Calibri Light" w:cs="Calibri Light"/>
          <w:lang w:val="da-DK" w:eastAsia="el-GR" w:bidi="sr-Cyrl-CS"/>
        </w:rPr>
        <w:instrText xml:space="preserve"> REF _Ref153871237 \h </w:instrText>
      </w:r>
      <w:r w:rsidR="006F7AC3">
        <w:rPr>
          <w:rFonts w:ascii="Calibri Light" w:eastAsia="Calibri" w:hAnsi="Calibri Light" w:cs="Calibri Light"/>
          <w:lang w:bidi="sr-Cyrl-CS"/>
        </w:rPr>
        <w:instrText xml:space="preserve"> \* MERGEFORMAT </w:instrText>
      </w:r>
      <w:r w:rsidR="006F7AC3" w:rsidRPr="00565B02">
        <w:rPr>
          <w:rFonts w:ascii="Calibri Light" w:eastAsia="Calibri" w:hAnsi="Calibri Light" w:cs="Calibri Light"/>
          <w:lang w:val="da-DK" w:eastAsia="el-GR" w:bidi="sr-Cyrl-CS"/>
        </w:rPr>
      </w:r>
      <w:r w:rsidR="006F7AC3" w:rsidRPr="00565B02">
        <w:rPr>
          <w:rFonts w:ascii="Calibri Light" w:eastAsia="Calibri" w:hAnsi="Calibri Light" w:cs="Calibri Light"/>
          <w:lang w:val="da-DK" w:eastAsia="el-GR" w:bidi="sr-Cyrl-CS"/>
        </w:rPr>
        <w:fldChar w:fldCharType="separate"/>
      </w:r>
      <w:r w:rsidR="006F7AC3" w:rsidRPr="00565B02">
        <w:rPr>
          <w:rFonts w:ascii="Calibri Light" w:eastAsia="Calibri" w:hAnsi="Calibri Light" w:cs="Calibri Light"/>
          <w:lang w:val="da-DK" w:eastAsia="el-GR" w:bidi="sr-Cyrl-CS"/>
        </w:rPr>
        <w:t>слици 4.37</w:t>
      </w:r>
      <w:r w:rsidR="006F7AC3" w:rsidRPr="00565B02">
        <w:rPr>
          <w:rFonts w:ascii="Calibri Light" w:eastAsia="Calibri" w:hAnsi="Calibri Light" w:cs="Calibri Light"/>
          <w:lang w:val="da-DK" w:eastAsia="el-GR" w:bidi="sr-Cyrl-CS"/>
        </w:rPr>
        <w:fldChar w:fldCharType="end"/>
      </w:r>
      <w:r w:rsidR="002A1A23" w:rsidRPr="00565B02">
        <w:rPr>
          <w:rFonts w:ascii="Calibri Light" w:eastAsia="Calibri" w:hAnsi="Calibri Light" w:cs="Calibri Light"/>
          <w:lang w:val="da-DK" w:eastAsia="el-GR" w:bidi="sr-Cyrl-CS"/>
        </w:rPr>
        <w:t xml:space="preserve">, </w:t>
      </w:r>
      <w:bookmarkStart w:id="244" w:name="_Hlk135813324"/>
      <w:r w:rsidRPr="00565B02">
        <w:rPr>
          <w:rFonts w:ascii="Calibri Light" w:eastAsia="Calibri" w:hAnsi="Calibri Light" w:cs="Calibri Light"/>
          <w:lang w:val="da-DK" w:eastAsia="el-GR" w:bidi="sr-Cyrl-CS"/>
        </w:rPr>
        <w:t>упр</w:t>
      </w:r>
      <w:r w:rsidRPr="00FF386D">
        <w:rPr>
          <w:rFonts w:ascii="Calibri Light" w:hAnsi="Calibri Light" w:cs="Calibri Light"/>
          <w:lang w:bidi="sr-Cyrl-CS"/>
        </w:rPr>
        <w:t>кос замени старих технологија ефикаснијим технологијама које користе електричну енергију, усвајању понашања у погледу уштеде енергије и ограниченом реновирању омотача зграде. Што се тиче потрошње електричне енергије, очекује се значајно повећање до 2050. године, што ће довести до потрошње од 1,4 Mtoe у 2030. години и 1,3 Mtoe у 2050. години. Слично томе, очекује се да ће потрошња обновљивих извора енергије и биогорива порасти за 16% у 2030. години а да ће се смањити</w:t>
      </w:r>
      <w:r w:rsidR="001B109D" w:rsidRPr="00FF386D">
        <w:rPr>
          <w:rFonts w:ascii="Calibri Light" w:hAnsi="Calibri Light" w:cs="Calibri Light"/>
          <w:lang w:bidi="sr-Cyrl-CS"/>
        </w:rPr>
        <w:t xml:space="preserve"> </w:t>
      </w:r>
      <w:r w:rsidRPr="00FF386D">
        <w:rPr>
          <w:rFonts w:ascii="Calibri Light" w:hAnsi="Calibri Light" w:cs="Calibri Light"/>
          <w:lang w:bidi="sr-Cyrl-CS"/>
        </w:rPr>
        <w:t xml:space="preserve">за 0,5% у 2050. години, у поређењу са 2020. годином, </w:t>
      </w:r>
      <w:r w:rsidR="001B109D" w:rsidRPr="00FF386D">
        <w:rPr>
          <w:rFonts w:ascii="Calibri Light" w:hAnsi="Calibri Light" w:cs="Calibri Light"/>
          <w:lang w:bidi="sr-Cyrl-CS"/>
        </w:rPr>
        <w:t xml:space="preserve">чинећи их </w:t>
      </w:r>
      <w:r w:rsidRPr="00FF386D">
        <w:rPr>
          <w:rFonts w:ascii="Calibri Light" w:hAnsi="Calibri Light" w:cs="Calibri Light"/>
          <w:lang w:bidi="sr-Cyrl-CS"/>
        </w:rPr>
        <w:t>најкоришћениј</w:t>
      </w:r>
      <w:r w:rsidR="001B109D" w:rsidRPr="00FF386D">
        <w:rPr>
          <w:rFonts w:ascii="Calibri Light" w:hAnsi="Calibri Light" w:cs="Calibri Light"/>
          <w:lang w:bidi="sr-Cyrl-CS"/>
        </w:rPr>
        <w:t>им</w:t>
      </w:r>
      <w:r w:rsidRPr="00FF386D">
        <w:rPr>
          <w:rFonts w:ascii="Calibri Light" w:hAnsi="Calibri Light" w:cs="Calibri Light"/>
          <w:lang w:bidi="sr-Cyrl-CS"/>
        </w:rPr>
        <w:t xml:space="preserve"> горив</w:t>
      </w:r>
      <w:r w:rsidR="001B109D" w:rsidRPr="00FF386D">
        <w:rPr>
          <w:rFonts w:ascii="Calibri Light" w:hAnsi="Calibri Light" w:cs="Calibri Light"/>
          <w:lang w:bidi="sr-Cyrl-CS"/>
        </w:rPr>
        <w:t>ом</w:t>
      </w:r>
      <w:r w:rsidRPr="00FF386D">
        <w:rPr>
          <w:rFonts w:ascii="Calibri Light" w:hAnsi="Calibri Light" w:cs="Calibri Light"/>
          <w:lang w:bidi="sr-Cyrl-CS"/>
        </w:rPr>
        <w:t xml:space="preserve"> у стамбеном сектору до 2050. године, праћен</w:t>
      </w:r>
      <w:r w:rsidR="001B109D" w:rsidRPr="00FF386D">
        <w:rPr>
          <w:rFonts w:ascii="Calibri Light" w:hAnsi="Calibri Light" w:cs="Calibri Light"/>
          <w:lang w:bidi="sr-Cyrl-CS"/>
        </w:rPr>
        <w:t>им</w:t>
      </w:r>
      <w:r w:rsidRPr="00FF386D">
        <w:rPr>
          <w:rFonts w:ascii="Calibri Light" w:hAnsi="Calibri Light" w:cs="Calibri Light"/>
          <w:lang w:bidi="sr-Cyrl-CS"/>
        </w:rPr>
        <w:t xml:space="preserve"> електричном енергијом и добијеном топлотном енергијом. Потрошња добијене топлотне енергије у даљинског грејању ће расти до 2030. године, у поређењу са 2020. годином, достижући ниво од 506 ktoe, док се смањење примећује током 2030-2050. године, углавном због повећаног коришћења ОИЕ и природног гаса.</w:t>
      </w:r>
      <w:bookmarkEnd w:id="244"/>
      <w:r w:rsidR="00B806CE">
        <w:rPr>
          <w:rFonts w:ascii="Calibri Light" w:hAnsi="Calibri Light" w:cs="Calibri Light"/>
          <w:lang w:bidi="sr-Cyrl-CS"/>
        </w:rPr>
        <w:t xml:space="preserve"> Обнова зграда се спроводи у две основне категорије: зграде комерцијалног/</w:t>
      </w:r>
      <w:r w:rsidR="00256F95">
        <w:rPr>
          <w:rFonts w:ascii="Calibri Light" w:hAnsi="Calibri Light" w:cs="Calibri Light"/>
          <w:lang w:bidi="sr-Cyrl-CS"/>
        </w:rPr>
        <w:t xml:space="preserve">услужног </w:t>
      </w:r>
      <w:r w:rsidR="00B806CE">
        <w:rPr>
          <w:rFonts w:ascii="Calibri Light" w:hAnsi="Calibri Light" w:cs="Calibri Light"/>
          <w:lang w:bidi="sr-Cyrl-CS"/>
        </w:rPr>
        <w:t>сектора и јавног сектора и стамбене зграде. У свим сценаријима је узета у обзир обнова</w:t>
      </w:r>
      <w:r w:rsidR="00A62023">
        <w:rPr>
          <w:rFonts w:ascii="Calibri Light" w:hAnsi="Calibri Light" w:cs="Calibri Light"/>
          <w:lang w:bidi="sr-Cyrl-CS"/>
        </w:rPr>
        <w:t xml:space="preserve"> постојећих</w:t>
      </w:r>
      <w:r w:rsidR="00B806CE">
        <w:rPr>
          <w:rFonts w:ascii="Calibri Light" w:hAnsi="Calibri Light" w:cs="Calibri Light"/>
          <w:lang w:bidi="sr-Cyrl-CS"/>
        </w:rPr>
        <w:t xml:space="preserve"> зграда у </w:t>
      </w:r>
      <w:r w:rsidR="00A62023">
        <w:rPr>
          <w:rFonts w:ascii="Calibri Light" w:hAnsi="Calibri Light" w:cs="Calibri Light"/>
          <w:lang w:bidi="sr-Cyrl-CS"/>
        </w:rPr>
        <w:t xml:space="preserve">2020. години. Фонд постојећих зграда </w:t>
      </w:r>
      <w:r w:rsidR="00A62023" w:rsidRPr="00A62023">
        <w:rPr>
          <w:rFonts w:ascii="Calibri Light" w:hAnsi="Calibri Light" w:cs="Calibri Light"/>
          <w:lang w:bidi="sr-Cyrl-CS"/>
        </w:rPr>
        <w:t>комерцијалног/</w:t>
      </w:r>
      <w:r w:rsidR="00256F95">
        <w:rPr>
          <w:rFonts w:ascii="Calibri Light" w:hAnsi="Calibri Light" w:cs="Calibri Light"/>
          <w:lang w:bidi="sr-Cyrl-CS"/>
        </w:rPr>
        <w:t xml:space="preserve">услужног </w:t>
      </w:r>
      <w:r w:rsidR="00A62023" w:rsidRPr="00A62023">
        <w:rPr>
          <w:rFonts w:ascii="Calibri Light" w:hAnsi="Calibri Light" w:cs="Calibri Light"/>
          <w:lang w:bidi="sr-Cyrl-CS"/>
        </w:rPr>
        <w:t>сектора и јавног сектора</w:t>
      </w:r>
      <w:r w:rsidR="00A62023">
        <w:rPr>
          <w:rFonts w:ascii="Calibri Light" w:hAnsi="Calibri Light" w:cs="Calibri Light"/>
          <w:lang w:bidi="sr-Cyrl-CS"/>
        </w:rPr>
        <w:t xml:space="preserve"> у 2020. години </w:t>
      </w:r>
      <w:r w:rsidR="00AE6891">
        <w:rPr>
          <w:rFonts w:ascii="Calibri Light" w:hAnsi="Calibri Light" w:cs="Calibri Light"/>
          <w:lang w:bidi="sr-Cyrl-CS"/>
        </w:rPr>
        <w:t>износио</w:t>
      </w:r>
      <w:r w:rsidR="00A62023">
        <w:rPr>
          <w:rFonts w:ascii="Calibri Light" w:hAnsi="Calibri Light" w:cs="Calibri Light"/>
          <w:lang w:bidi="sr-Cyrl-CS"/>
        </w:rPr>
        <w:t xml:space="preserve"> је 45.250.000 </w:t>
      </w:r>
      <w:r w:rsidR="00A62023" w:rsidRPr="00A62023">
        <w:rPr>
          <w:rFonts w:ascii="Calibri Light" w:hAnsi="Calibri Light" w:cs="Calibri Light"/>
          <w:lang w:bidi="sr-Cyrl-CS"/>
        </w:rPr>
        <w:t>m</w:t>
      </w:r>
      <w:r w:rsidR="00A62023" w:rsidRPr="000A2AFE">
        <w:rPr>
          <w:rFonts w:ascii="Calibri Light" w:hAnsi="Calibri Light" w:cs="Calibri Light"/>
          <w:vertAlign w:val="superscript"/>
          <w:lang w:bidi="sr-Cyrl-CS"/>
        </w:rPr>
        <w:t>2</w:t>
      </w:r>
      <w:r w:rsidR="00A62023">
        <w:rPr>
          <w:rFonts w:ascii="Calibri Light" w:hAnsi="Calibri Light" w:cs="Calibri Light"/>
          <w:lang w:bidi="sr-Cyrl-CS"/>
        </w:rPr>
        <w:t xml:space="preserve"> и није пројектовано да </w:t>
      </w:r>
      <w:r w:rsidR="00256F95">
        <w:rPr>
          <w:rFonts w:ascii="Calibri Light" w:hAnsi="Calibri Light" w:cs="Calibri Light"/>
          <w:lang w:bidi="sr-Cyrl-CS"/>
        </w:rPr>
        <w:t xml:space="preserve">се </w:t>
      </w:r>
      <w:r w:rsidR="00A62023">
        <w:rPr>
          <w:rFonts w:ascii="Calibri Light" w:hAnsi="Calibri Light" w:cs="Calibri Light"/>
          <w:lang w:bidi="sr-Cyrl-CS"/>
        </w:rPr>
        <w:t xml:space="preserve">мења у периоду између 2021-2050. </w:t>
      </w:r>
      <w:r w:rsidR="00256F95">
        <w:rPr>
          <w:rFonts w:ascii="Calibri Light" w:hAnsi="Calibri Light" w:cs="Calibri Light"/>
          <w:lang w:bidi="sr-Cyrl-CS"/>
        </w:rPr>
        <w:t xml:space="preserve">године. </w:t>
      </w:r>
      <w:r w:rsidR="00A62023">
        <w:rPr>
          <w:rFonts w:ascii="Calibri Light" w:hAnsi="Calibri Light" w:cs="Calibri Light"/>
          <w:lang w:bidi="sr-Cyrl-CS"/>
        </w:rPr>
        <w:t xml:space="preserve">За стамбене зграде пројектовано је релативно смањење због рушења одређеног броја најстаријих зграда до 2050. године (промена од 2.365.000 </w:t>
      </w:r>
      <w:r w:rsidR="00B83ABA">
        <w:rPr>
          <w:rFonts w:ascii="Calibri Light" w:hAnsi="Calibri Light" w:cs="Calibri Light"/>
          <w:lang w:bidi="sr-Cyrl-CS"/>
        </w:rPr>
        <w:t xml:space="preserve">постојећих стамбених </w:t>
      </w:r>
      <w:r w:rsidR="00A62023">
        <w:rPr>
          <w:rFonts w:ascii="Calibri Light" w:hAnsi="Calibri Light" w:cs="Calibri Light"/>
          <w:lang w:bidi="sr-Cyrl-CS"/>
        </w:rPr>
        <w:t>зграда</w:t>
      </w:r>
      <w:r w:rsidR="00B83ABA">
        <w:rPr>
          <w:rFonts w:ascii="Calibri Light" w:hAnsi="Calibri Light" w:cs="Calibri Light"/>
          <w:lang w:bidi="sr-Cyrl-CS"/>
        </w:rPr>
        <w:t xml:space="preserve"> у 2020. години на 1.466.000 </w:t>
      </w:r>
      <w:r w:rsidR="00B83ABA" w:rsidRPr="00B83ABA">
        <w:rPr>
          <w:rFonts w:ascii="Calibri Light" w:hAnsi="Calibri Light" w:cs="Calibri Light"/>
          <w:lang w:bidi="sr-Cyrl-CS"/>
        </w:rPr>
        <w:t>стамбених зграда у</w:t>
      </w:r>
      <w:r w:rsidR="00B83ABA">
        <w:rPr>
          <w:rFonts w:ascii="Calibri Light" w:hAnsi="Calibri Light" w:cs="Calibri Light"/>
          <w:lang w:bidi="sr-Cyrl-CS"/>
        </w:rPr>
        <w:t xml:space="preserve"> 2050. години).</w:t>
      </w:r>
    </w:p>
    <w:p w14:paraId="68454A7C" w14:textId="51918A04" w:rsidR="006F7AC3" w:rsidRDefault="006F7AC3" w:rsidP="00565B02">
      <w:pPr>
        <w:pStyle w:val="Caption"/>
        <w:keepNext/>
      </w:pPr>
      <w:bookmarkStart w:id="245" w:name="_Ref153871237"/>
      <w:bookmarkStart w:id="246" w:name="_Toc153901383"/>
      <w:r>
        <w:lastRenderedPageBreak/>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37</w:t>
      </w:r>
      <w:r w:rsidR="00F35B2C">
        <w:fldChar w:fldCharType="end"/>
      </w:r>
      <w:bookmarkEnd w:id="245"/>
      <w:r>
        <w:t xml:space="preserve">: </w:t>
      </w:r>
      <w:r w:rsidRPr="006F7AC3">
        <w:t>Финална потрошња енергије по извору енергије у стамбеном сектору у периоду 2020-2050. године у сценарију са постојећим мерама (WEM)</w:t>
      </w:r>
      <w:bookmarkEnd w:id="246"/>
    </w:p>
    <w:p w14:paraId="3648D105" w14:textId="0647AFBC" w:rsidR="00C73340" w:rsidRPr="00FF386D" w:rsidRDefault="006F7AC3" w:rsidP="002A1A23">
      <w:pPr>
        <w:jc w:val="center"/>
        <w:rPr>
          <w:rFonts w:ascii="Calibri" w:eastAsia="Calibri" w:hAnsi="Calibri" w:cs="Times New Roman"/>
          <w:lang w:eastAsia="el-GR"/>
        </w:rPr>
      </w:pPr>
      <w:r>
        <w:rPr>
          <w:noProof/>
          <w:lang w:val="en-US"/>
        </w:rPr>
        <mc:AlternateContent>
          <mc:Choice Requires="wps">
            <w:drawing>
              <wp:anchor distT="0" distB="0" distL="114300" distR="114300" simplePos="0" relativeHeight="251716608" behindDoc="0" locked="0" layoutInCell="1" allowOverlap="1" wp14:anchorId="646FCF8D" wp14:editId="0EC524B7">
                <wp:simplePos x="0" y="0"/>
                <wp:positionH relativeFrom="column">
                  <wp:posOffset>1125286</wp:posOffset>
                </wp:positionH>
                <wp:positionV relativeFrom="paragraph">
                  <wp:posOffset>31257</wp:posOffset>
                </wp:positionV>
                <wp:extent cx="2570480" cy="2383790"/>
                <wp:effectExtent l="0" t="0" r="0" b="0"/>
                <wp:wrapNone/>
                <wp:docPr id="1933041171" name="Text Box 1933041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0480" cy="2383790"/>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7750A6A7" id="Text Box 1933041171" o:spid="_x0000_s1026" type="#_x0000_t202" style="position:absolute;margin-left:88.6pt;margin-top:2.45pt;width:202.4pt;height:187.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" fillcolor="#a6a6a6" stroked="f">
                <v:fill opacity="32896f"/>
              </v:shape>
            </w:pict>
          </mc:Fallback>
        </mc:AlternateContent>
      </w:r>
      <w:r w:rsidR="00C73340" w:rsidRPr="004F53D7">
        <w:rPr>
          <w:rFonts w:ascii="Calibri" w:eastAsia="Calibri" w:hAnsi="Calibri" w:cs="Times New Roman"/>
          <w:noProof/>
          <w:lang w:val="en-US"/>
        </w:rPr>
        <w:drawing>
          <wp:inline distT="0" distB="0" distL="0" distR="0" wp14:anchorId="20C36AAC" wp14:editId="0FE88EA0">
            <wp:extent cx="5279666" cy="2891992"/>
            <wp:effectExtent l="0" t="0" r="0" b="0"/>
            <wp:docPr id="570683936" name="Picture 570683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308710" cy="2907901"/>
                    </a:xfrm>
                    <a:prstGeom prst="rect">
                      <a:avLst/>
                    </a:prstGeom>
                    <a:noFill/>
                  </pic:spPr>
                </pic:pic>
              </a:graphicData>
            </a:graphic>
          </wp:inline>
        </w:drawing>
      </w:r>
    </w:p>
    <w:p w14:paraId="4D8923F8" w14:textId="00B47520" w:rsidR="00CA20F4" w:rsidRPr="00FF386D" w:rsidRDefault="00CA20F4" w:rsidP="00CA20F4">
      <w:pPr>
        <w:spacing w:before="120" w:after="120" w:line="240" w:lineRule="auto"/>
        <w:jc w:val="both"/>
        <w:rPr>
          <w:rFonts w:ascii="Calibri Light" w:eastAsia="Calibri" w:hAnsi="Calibri Light" w:cs="Calibri Light"/>
          <w:lang w:bidi="sr-Cyrl-CS"/>
        </w:rPr>
      </w:pPr>
      <w:bookmarkStart w:id="247" w:name="_Hlk135813358"/>
      <w:r w:rsidRPr="00FF386D">
        <w:rPr>
          <w:rFonts w:ascii="Calibri Light" w:eastAsia="Calibri" w:hAnsi="Calibri Light" w:cs="Calibri Light"/>
          <w:lang w:bidi="sr-Cyrl-CS"/>
        </w:rPr>
        <w:t>Пројектовано је да ће се финална потрошња енергије у сектору пољопривреде/шумарства повећати (13% у 2030. години, 19% у 2040. години и 20% у 2050. години, у поређењу са 2020. годином), и износиће приближно 169 ktoe у 2050. години, као што се очекује на основу повећања потражње због привредног развоја</w:t>
      </w:r>
      <w:bookmarkEnd w:id="247"/>
      <w:r w:rsidRPr="00FF386D">
        <w:rPr>
          <w:rFonts w:ascii="Calibri Light" w:eastAsia="Calibri" w:hAnsi="Calibri Light" w:cs="Calibri Light"/>
          <w:lang w:bidi="sr-Cyrl-CS"/>
        </w:rPr>
        <w:t xml:space="preserve"> </w:t>
      </w:r>
      <w:r w:rsidR="002A1A23" w:rsidRPr="00565B02">
        <w:rPr>
          <w:rFonts w:ascii="Calibri Light" w:eastAsia="Calibri" w:hAnsi="Calibri Light" w:cs="Calibri Light"/>
          <w:lang w:bidi="sr-Cyrl-CS"/>
        </w:rPr>
        <w:t>(</w:t>
      </w:r>
      <w:r w:rsidR="006F7AC3" w:rsidRPr="00565B02">
        <w:rPr>
          <w:rFonts w:ascii="Calibri Light" w:eastAsia="Calibri" w:hAnsi="Calibri Light" w:cs="Calibri Light"/>
          <w:lang w:bidi="sr-Cyrl-CS"/>
        </w:rPr>
        <w:fldChar w:fldCharType="begin"/>
      </w:r>
      <w:r w:rsidR="006F7AC3" w:rsidRPr="00565B02">
        <w:rPr>
          <w:rFonts w:ascii="Calibri Light" w:eastAsia="Calibri" w:hAnsi="Calibri Light" w:cs="Calibri Light"/>
          <w:lang w:bidi="sr-Cyrl-CS"/>
        </w:rPr>
        <w:instrText xml:space="preserve"> REF _Ref153871337 \h </w:instrText>
      </w:r>
      <w:r w:rsidR="006F7AC3">
        <w:rPr>
          <w:rFonts w:ascii="Calibri Light" w:eastAsia="Calibri" w:hAnsi="Calibri Light" w:cs="Calibri Light"/>
          <w:lang w:bidi="sr-Cyrl-CS"/>
        </w:rPr>
        <w:instrText xml:space="preserve"> \* MERGEFORMAT </w:instrText>
      </w:r>
      <w:r w:rsidR="006F7AC3" w:rsidRPr="00565B02">
        <w:rPr>
          <w:rFonts w:ascii="Calibri Light" w:eastAsia="Calibri" w:hAnsi="Calibri Light" w:cs="Calibri Light"/>
          <w:lang w:bidi="sr-Cyrl-CS"/>
        </w:rPr>
      </w:r>
      <w:r w:rsidR="006F7AC3" w:rsidRPr="00565B02">
        <w:rPr>
          <w:rFonts w:ascii="Calibri Light" w:eastAsia="Calibri" w:hAnsi="Calibri Light" w:cs="Calibri Light"/>
          <w:lang w:bidi="sr-Cyrl-CS"/>
        </w:rPr>
        <w:fldChar w:fldCharType="separate"/>
      </w:r>
      <w:r w:rsidR="006F7AC3" w:rsidRPr="00565B02">
        <w:rPr>
          <w:rFonts w:ascii="Calibri Light" w:eastAsia="Calibri" w:hAnsi="Calibri Light" w:cs="Calibri Light"/>
          <w:lang w:bidi="sr-Cyrl-CS"/>
        </w:rPr>
        <w:t>Слика 4.38</w:t>
      </w:r>
      <w:r w:rsidR="006F7AC3" w:rsidRPr="00565B02">
        <w:rPr>
          <w:rFonts w:ascii="Calibri Light" w:eastAsia="Calibri" w:hAnsi="Calibri Light" w:cs="Calibri Light"/>
          <w:lang w:bidi="sr-Cyrl-CS"/>
        </w:rPr>
        <w:fldChar w:fldCharType="end"/>
      </w:r>
      <w:r w:rsidR="002A1A23" w:rsidRPr="00565B02">
        <w:rPr>
          <w:rFonts w:ascii="Calibri Light" w:eastAsia="Calibri" w:hAnsi="Calibri Light" w:cs="Calibri Light"/>
          <w:lang w:bidi="sr-Cyrl-CS"/>
        </w:rPr>
        <w:t xml:space="preserve">) </w:t>
      </w:r>
      <w:bookmarkStart w:id="248" w:name="_Hlk135813366"/>
      <w:r w:rsidRPr="00FF386D">
        <w:rPr>
          <w:rFonts w:ascii="Calibri Light" w:eastAsia="Calibri" w:hAnsi="Calibri Light" w:cs="Calibri Light"/>
          <w:lang w:bidi="sr-Cyrl-CS"/>
        </w:rPr>
        <w:t>и непостојања циљаних политика и мера. Нафта и нафтни деривати и даље имају највећи допринос до 2050. године у сектору пољопривреде/шумарства и достићи ће ниво од 96 ktoe у 2030. години и 101 ktoe у 2050. години.</w:t>
      </w:r>
      <w:bookmarkEnd w:id="248"/>
    </w:p>
    <w:p w14:paraId="61BC217E" w14:textId="6F0740B0" w:rsidR="006F7AC3" w:rsidRDefault="006F7AC3" w:rsidP="00565B02">
      <w:pPr>
        <w:pStyle w:val="Caption"/>
        <w:keepNext/>
      </w:pPr>
      <w:bookmarkStart w:id="249" w:name="_Ref153871337"/>
      <w:bookmarkStart w:id="250" w:name="_Toc153901384"/>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38</w:t>
      </w:r>
      <w:r w:rsidR="00F35B2C">
        <w:fldChar w:fldCharType="end"/>
      </w:r>
      <w:bookmarkEnd w:id="249"/>
      <w:r>
        <w:t xml:space="preserve">: </w:t>
      </w:r>
      <w:r w:rsidRPr="006F7AC3">
        <w:t>Финална потрошња енергије по извору енергије у сектору пољопривреде/шумарства у периоду 2020-2050. године у сценарију са постојећим мерама (WEM)</w:t>
      </w:r>
      <w:bookmarkEnd w:id="250"/>
    </w:p>
    <w:p w14:paraId="794B1AC8" w14:textId="3AFB41D5" w:rsidR="002A1A23" w:rsidRPr="00FF386D" w:rsidRDefault="006F7AC3" w:rsidP="002A1A23">
      <w:pPr>
        <w:jc w:val="center"/>
        <w:rPr>
          <w:rFonts w:ascii="Calibri" w:eastAsia="Calibri" w:hAnsi="Calibri" w:cs="Times New Roman"/>
          <w:lang w:eastAsia="el-GR"/>
        </w:rPr>
      </w:pPr>
      <w:r>
        <w:rPr>
          <w:noProof/>
          <w:lang w:val="en-US"/>
        </w:rPr>
        <mc:AlternateContent>
          <mc:Choice Requires="wps">
            <w:drawing>
              <wp:anchor distT="0" distB="0" distL="114300" distR="114300" simplePos="0" relativeHeight="251718656" behindDoc="0" locked="0" layoutInCell="1" allowOverlap="1" wp14:anchorId="2E577310" wp14:editId="2FF4CBC8">
                <wp:simplePos x="0" y="0"/>
                <wp:positionH relativeFrom="column">
                  <wp:posOffset>882669</wp:posOffset>
                </wp:positionH>
                <wp:positionV relativeFrom="paragraph">
                  <wp:posOffset>278225</wp:posOffset>
                </wp:positionV>
                <wp:extent cx="2940050" cy="3413125"/>
                <wp:effectExtent l="0" t="0" r="0" b="0"/>
                <wp:wrapNone/>
                <wp:docPr id="161167102" name="Text Box 161167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0050" cy="3413125"/>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47CE69DF" id="Text Box 161167102" o:spid="_x0000_s1026" type="#_x0000_t202" style="position:absolute;margin-left:69.5pt;margin-top:21.9pt;width:231.5pt;height:268.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" fillcolor="#a6a6a6" stroked="f">
                <v:fill opacity="32896f"/>
              </v:shape>
            </w:pict>
          </mc:Fallback>
        </mc:AlternateContent>
      </w:r>
      <w:r w:rsidR="00C73340" w:rsidRPr="004F53D7">
        <w:rPr>
          <w:rFonts w:ascii="Calibri" w:eastAsia="Calibri" w:hAnsi="Calibri" w:cs="Times New Roman"/>
          <w:noProof/>
          <w:lang w:val="en-US"/>
        </w:rPr>
        <w:drawing>
          <wp:inline distT="0" distB="0" distL="0" distR="0" wp14:anchorId="03C4EAD1" wp14:editId="31BF8AFF">
            <wp:extent cx="5971429" cy="4133745"/>
            <wp:effectExtent l="0" t="0" r="0" b="0"/>
            <wp:docPr id="2021541003" name="Picture 202154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88568" cy="4145610"/>
                    </a:xfrm>
                    <a:prstGeom prst="rect">
                      <a:avLst/>
                    </a:prstGeom>
                    <a:noFill/>
                  </pic:spPr>
                </pic:pic>
              </a:graphicData>
            </a:graphic>
          </wp:inline>
        </w:drawing>
      </w:r>
    </w:p>
    <w:p w14:paraId="514F562D" w14:textId="4D976825" w:rsidR="002A1A23" w:rsidRPr="000A2AFE" w:rsidRDefault="002A1A23" w:rsidP="000A2AFE">
      <w:pPr>
        <w:pStyle w:val="ListParagraph"/>
        <w:keepNext/>
        <w:keepLines/>
        <w:numPr>
          <w:ilvl w:val="0"/>
          <w:numId w:val="307"/>
        </w:numPr>
        <w:shd w:val="clear" w:color="auto" w:fill="FFFFFF"/>
        <w:spacing w:before="200" w:after="0" w:line="240" w:lineRule="auto"/>
        <w:outlineLvl w:val="3"/>
        <w:rPr>
          <w:rFonts w:ascii="Calibri Light" w:eastAsia="Times New Roman" w:hAnsi="Calibri Light" w:cs="Times New Roman"/>
          <w:b/>
          <w:bCs/>
          <w:iCs/>
          <w:color w:val="01406B"/>
          <w:szCs w:val="24"/>
        </w:rPr>
      </w:pPr>
      <w:r w:rsidRPr="000A2AFE">
        <w:rPr>
          <w:rFonts w:ascii="Calibri Light" w:eastAsia="Times New Roman" w:hAnsi="Calibri Light" w:cs="Times New Roman"/>
          <w:b/>
          <w:bCs/>
          <w:iCs/>
          <w:color w:val="01406B"/>
          <w:szCs w:val="24"/>
          <w:lang w:bidi="sr-Cyrl-CS"/>
        </w:rPr>
        <w:lastRenderedPageBreak/>
        <w:t>Трошковно оптимални нивои минималних захтева у погледу енергетских својстава који произилазе из националних прорачуна, према члану 5. Директиве 2010/31/ЕУ</w:t>
      </w:r>
    </w:p>
    <w:p w14:paraId="1487E8B0" w14:textId="503C691B" w:rsidR="00CA20F4" w:rsidRPr="00FF386D" w:rsidRDefault="00CA20F4" w:rsidP="00CA20F4">
      <w:pPr>
        <w:pStyle w:val="LDKbody"/>
        <w:rPr>
          <w:rFonts w:asciiTheme="majorHAnsi" w:hAnsiTheme="majorHAnsi" w:cstheme="majorHAnsi"/>
          <w:lang w:val="sr-Cyrl-RS"/>
        </w:rPr>
      </w:pPr>
      <w:bookmarkStart w:id="251" w:name="_Hlk135813465"/>
      <w:r w:rsidRPr="00FF386D">
        <w:rPr>
          <w:rFonts w:asciiTheme="majorHAnsi" w:hAnsiTheme="majorHAnsi" w:cstheme="majorHAnsi"/>
          <w:lang w:val="sr-Cyrl-RS" w:bidi="sr-Cyrl-CS"/>
        </w:rPr>
        <w:t>Циљ Дугорочне стратегије за подстицање улагања у обнову националног фонда зграда Републике Србије до 2050. године</w:t>
      </w:r>
      <w:r w:rsidR="00EF15CC">
        <w:rPr>
          <w:rFonts w:asciiTheme="majorHAnsi" w:hAnsiTheme="majorHAnsi" w:cstheme="majorHAnsi"/>
          <w:lang w:val="sr-Latn-RS" w:bidi="sr-Cyrl-CS"/>
        </w:rPr>
        <w:t xml:space="preserve"> (</w:t>
      </w:r>
      <w:r w:rsidR="00EF15CC">
        <w:rPr>
          <w:rFonts w:asciiTheme="majorHAnsi" w:hAnsiTheme="majorHAnsi" w:cstheme="majorHAnsi"/>
          <w:lang w:val="sr-Cyrl-RS" w:bidi="sr-Cyrl-CS"/>
        </w:rPr>
        <w:t>Дугорочна стратегија обнове зграда ДСОЗ усвојена је у фебруару 2022. године</w:t>
      </w:r>
      <w:r w:rsidR="00EF15CC">
        <w:rPr>
          <w:rFonts w:asciiTheme="majorHAnsi" w:hAnsiTheme="majorHAnsi" w:cstheme="majorHAnsi"/>
          <w:lang w:val="sr-Latn-RS" w:bidi="sr-Cyrl-CS"/>
        </w:rPr>
        <w:t>)</w:t>
      </w:r>
      <w:r w:rsidRPr="00FF386D">
        <w:rPr>
          <w:rFonts w:asciiTheme="majorHAnsi" w:hAnsiTheme="majorHAnsi" w:cstheme="majorHAnsi"/>
          <w:lang w:val="sr-Cyrl-RS" w:bidi="sr-Cyrl-CS"/>
        </w:rPr>
        <w:t xml:space="preserve"> је дефинисање мера енергетске ефикасности и пакета мера за обнову зграда, на основу утврђених карактеристика фонда зграда, дефинисаних референтних зграда и трошковно-оптималних анализа које су за њих урађене.</w:t>
      </w:r>
    </w:p>
    <w:p w14:paraId="3CF67377" w14:textId="38990B8C" w:rsidR="00CA20F4" w:rsidRPr="00FF386D" w:rsidRDefault="00EF15CC" w:rsidP="00CA20F4">
      <w:pPr>
        <w:pStyle w:val="LDKbody"/>
        <w:rPr>
          <w:rFonts w:asciiTheme="majorHAnsi" w:hAnsiTheme="majorHAnsi" w:cstheme="majorHAnsi"/>
          <w:lang w:val="sr-Cyrl-RS"/>
        </w:rPr>
      </w:pPr>
      <w:r>
        <w:rPr>
          <w:rFonts w:asciiTheme="majorHAnsi" w:hAnsiTheme="majorHAnsi" w:cstheme="majorHAnsi"/>
          <w:lang w:val="sr-Cyrl-RS" w:bidi="sr-Cyrl-CS"/>
        </w:rPr>
        <w:t>У Дугорочној стратегији обнове зграда, п</w:t>
      </w:r>
      <w:r w:rsidRPr="00FF386D">
        <w:rPr>
          <w:rFonts w:asciiTheme="majorHAnsi" w:hAnsiTheme="majorHAnsi" w:cstheme="majorHAnsi"/>
          <w:lang w:val="sr-Cyrl-RS" w:bidi="sr-Cyrl-CS"/>
        </w:rPr>
        <w:t xml:space="preserve">олазна </w:t>
      </w:r>
      <w:r w:rsidR="00CA20F4" w:rsidRPr="00FF386D">
        <w:rPr>
          <w:rFonts w:asciiTheme="majorHAnsi" w:hAnsiTheme="majorHAnsi" w:cstheme="majorHAnsi"/>
          <w:lang w:val="sr-Cyrl-RS" w:bidi="sr-Cyrl-CS"/>
        </w:rPr>
        <w:t>основа за формирање Сценарија обнове су трошковно-оптималне анализе за стамбене и нестамбене зграде, спроведене током 2019–2020. године. У складу са методолошким принципима донетим у ЕУ, дефинисани су следећи типови зграда: зграде за породично становање и вишепородично становање, као и три типа зграда за пословне намене који представљају типове јавних и комерцијалних зграда, и то за три различита периода изградње – периода до 1960. године, периода између 1961. и 2012. године, и последњег периода изградње након увођења прописа о енергетској ефикасности зграда, почев од 2013. године.</w:t>
      </w:r>
    </w:p>
    <w:p w14:paraId="55B879AA" w14:textId="7E50AD53" w:rsidR="00CA20F4" w:rsidRPr="00FF386D" w:rsidRDefault="00CA20F4" w:rsidP="00CA20F4">
      <w:pPr>
        <w:pStyle w:val="LDKbody"/>
        <w:rPr>
          <w:rFonts w:asciiTheme="majorHAnsi" w:hAnsiTheme="majorHAnsi" w:cstheme="majorHAnsi"/>
          <w:lang w:val="sr-Cyrl-RS"/>
        </w:rPr>
      </w:pPr>
      <w:r w:rsidRPr="00FF386D">
        <w:rPr>
          <w:rFonts w:asciiTheme="majorHAnsi" w:hAnsiTheme="majorHAnsi" w:cstheme="majorHAnsi"/>
          <w:lang w:val="sr-Cyrl-RS" w:bidi="sr-Cyrl-CS"/>
        </w:rPr>
        <w:t xml:space="preserve">Одређивање које зграде ће бити референтне </w:t>
      </w:r>
      <w:r w:rsidR="00EF15CC">
        <w:rPr>
          <w:rFonts w:asciiTheme="majorHAnsi" w:hAnsiTheme="majorHAnsi" w:cstheme="majorHAnsi"/>
          <w:lang w:val="sr-Cyrl-RS" w:bidi="sr-Cyrl-CS"/>
        </w:rPr>
        <w:t xml:space="preserve">у </w:t>
      </w:r>
      <w:r w:rsidR="00EF15CC" w:rsidRPr="00EF15CC">
        <w:rPr>
          <w:rFonts w:asciiTheme="majorHAnsi" w:hAnsiTheme="majorHAnsi" w:cstheme="majorHAnsi"/>
          <w:lang w:val="sr-Cyrl-RS" w:bidi="sr-Cyrl-CS"/>
        </w:rPr>
        <w:t xml:space="preserve">ДСОЗ </w:t>
      </w:r>
      <w:r w:rsidRPr="00FF386D">
        <w:rPr>
          <w:rFonts w:asciiTheme="majorHAnsi" w:hAnsiTheme="majorHAnsi" w:cstheme="majorHAnsi"/>
          <w:lang w:val="sr-Cyrl-RS" w:bidi="sr-Cyrl-CS"/>
        </w:rPr>
        <w:t>рађено је на основу њихов</w:t>
      </w:r>
      <w:r w:rsidR="000D73C7" w:rsidRPr="00FF386D">
        <w:rPr>
          <w:rFonts w:asciiTheme="majorHAnsi" w:hAnsiTheme="majorHAnsi" w:cstheme="majorHAnsi"/>
          <w:lang w:val="sr-Cyrl-RS" w:bidi="sr-Cyrl-CS"/>
        </w:rPr>
        <w:t>их</w:t>
      </w:r>
      <w:r w:rsidRPr="00FF386D">
        <w:rPr>
          <w:rFonts w:asciiTheme="majorHAnsi" w:hAnsiTheme="majorHAnsi" w:cstheme="majorHAnsi"/>
          <w:lang w:val="sr-Cyrl-RS" w:bidi="sr-Cyrl-CS"/>
        </w:rPr>
        <w:t xml:space="preserve"> материјалн</w:t>
      </w:r>
      <w:r w:rsidR="000D73C7" w:rsidRPr="00FF386D">
        <w:rPr>
          <w:rFonts w:asciiTheme="majorHAnsi" w:hAnsiTheme="majorHAnsi" w:cstheme="majorHAnsi"/>
          <w:lang w:val="sr-Cyrl-RS" w:bidi="sr-Cyrl-CS"/>
        </w:rPr>
        <w:t>их,</w:t>
      </w:r>
      <w:r w:rsidRPr="00FF386D">
        <w:rPr>
          <w:rFonts w:asciiTheme="majorHAnsi" w:hAnsiTheme="majorHAnsi" w:cstheme="majorHAnsi"/>
          <w:lang w:val="sr-Cyrl-RS" w:bidi="sr-Cyrl-CS"/>
        </w:rPr>
        <w:t xml:space="preserve"> физичких и архитектонс</w:t>
      </w:r>
      <w:r w:rsidR="000D73C7" w:rsidRPr="00FF386D">
        <w:rPr>
          <w:rFonts w:asciiTheme="majorHAnsi" w:hAnsiTheme="majorHAnsi" w:cstheme="majorHAnsi"/>
          <w:lang w:val="sr-Cyrl-RS" w:bidi="sr-Cyrl-CS"/>
        </w:rPr>
        <w:t>ких</w:t>
      </w:r>
      <w:r w:rsidRPr="00FF386D">
        <w:rPr>
          <w:rFonts w:asciiTheme="majorHAnsi" w:hAnsiTheme="majorHAnsi" w:cstheme="majorHAnsi"/>
          <w:lang w:val="sr-Cyrl-RS" w:bidi="sr-Cyrl-CS"/>
        </w:rPr>
        <w:t xml:space="preserve"> карактеристика. Осим тога, дефинисане су мере енергетске ефикасности за све прегледане зграде и утврђени пакети мера. Припремљено је пет могућих сценарија обнове</w:t>
      </w:r>
      <w:r w:rsidR="00EF15CC">
        <w:rPr>
          <w:rFonts w:asciiTheme="majorHAnsi" w:hAnsiTheme="majorHAnsi" w:cstheme="majorHAnsi"/>
          <w:lang w:val="sr-Cyrl-RS" w:bidi="sr-Cyrl-CS"/>
        </w:rPr>
        <w:t xml:space="preserve"> у </w:t>
      </w:r>
      <w:r w:rsidR="00EF15CC" w:rsidRPr="00EF15CC">
        <w:rPr>
          <w:rFonts w:asciiTheme="majorHAnsi" w:hAnsiTheme="majorHAnsi" w:cstheme="majorHAnsi"/>
          <w:lang w:val="sr-Cyrl-RS" w:bidi="sr-Cyrl-CS"/>
        </w:rPr>
        <w:t>ДСОЗ</w:t>
      </w:r>
      <w:r w:rsidRPr="00FF386D">
        <w:rPr>
          <w:rFonts w:asciiTheme="majorHAnsi" w:hAnsiTheme="majorHAnsi" w:cstheme="majorHAnsi"/>
          <w:lang w:val="sr-Cyrl-RS" w:bidi="sr-Cyrl-CS"/>
        </w:rPr>
        <w:t>, од којих је први, основни сценарио, подразумева несубвенционисану обнову и изградњу по важећим прописима, а последњи, најнапреднији, предвиђа обнову зграда на нивоу скоро нулте енергије (није дефинисано важећим прописима о енергетској ефикасности).</w:t>
      </w:r>
    </w:p>
    <w:p w14:paraId="21205C01" w14:textId="632A9B5E" w:rsidR="00CA20F4" w:rsidRPr="00FF386D" w:rsidRDefault="00CA20F4" w:rsidP="00CA20F4">
      <w:pPr>
        <w:pStyle w:val="LDKbody"/>
        <w:rPr>
          <w:rFonts w:asciiTheme="majorHAnsi" w:hAnsiTheme="majorHAnsi" w:cstheme="majorHAnsi"/>
          <w:lang w:val="sr-Cyrl-RS" w:bidi="sr-Cyrl-CS"/>
        </w:rPr>
      </w:pPr>
      <w:r w:rsidRPr="00FF386D">
        <w:rPr>
          <w:rFonts w:asciiTheme="majorHAnsi" w:hAnsiTheme="majorHAnsi" w:cstheme="majorHAnsi"/>
          <w:lang w:val="sr-Cyrl-RS" w:bidi="sr-Cyrl-CS"/>
        </w:rPr>
        <w:t xml:space="preserve">Анализа испитаних сценарија </w:t>
      </w:r>
      <w:r w:rsidR="00EF15CC">
        <w:rPr>
          <w:rFonts w:asciiTheme="majorHAnsi" w:hAnsiTheme="majorHAnsi" w:cstheme="majorHAnsi"/>
          <w:lang w:val="sr-Cyrl-RS" w:bidi="sr-Cyrl-CS"/>
        </w:rPr>
        <w:t xml:space="preserve">која је представљена у </w:t>
      </w:r>
      <w:r w:rsidR="00EF15CC" w:rsidRPr="00EF15CC">
        <w:rPr>
          <w:rFonts w:asciiTheme="majorHAnsi" w:hAnsiTheme="majorHAnsi" w:cstheme="majorHAnsi"/>
          <w:lang w:val="sr-Cyrl-RS" w:bidi="sr-Cyrl-CS"/>
        </w:rPr>
        <w:t xml:space="preserve">ДСОЗ </w:t>
      </w:r>
      <w:r w:rsidRPr="00FF386D">
        <w:rPr>
          <w:rFonts w:asciiTheme="majorHAnsi" w:hAnsiTheme="majorHAnsi" w:cstheme="majorHAnsi"/>
          <w:lang w:val="sr-Cyrl-RS" w:bidi="sr-Cyrl-CS"/>
        </w:rPr>
        <w:t xml:space="preserve">урађена </w:t>
      </w:r>
      <w:r w:rsidR="00EF15CC">
        <w:rPr>
          <w:rFonts w:asciiTheme="majorHAnsi" w:hAnsiTheme="majorHAnsi" w:cstheme="majorHAnsi"/>
          <w:lang w:val="sr-Cyrl-RS" w:bidi="sr-Cyrl-CS"/>
        </w:rPr>
        <w:t xml:space="preserve">је </w:t>
      </w:r>
      <w:r w:rsidRPr="00FF386D">
        <w:rPr>
          <w:rFonts w:asciiTheme="majorHAnsi" w:hAnsiTheme="majorHAnsi" w:cstheme="majorHAnsi"/>
          <w:lang w:val="sr-Cyrl-RS" w:bidi="sr-Cyrl-CS"/>
        </w:rPr>
        <w:t>кроз израчунавање различитих параметара, укључујући и ефекте на емисију CO</w:t>
      </w:r>
      <w:r w:rsidRPr="00FF386D">
        <w:rPr>
          <w:rFonts w:asciiTheme="majorHAnsi" w:hAnsiTheme="majorHAnsi" w:cstheme="majorHAnsi"/>
          <w:vertAlign w:val="subscript"/>
          <w:lang w:val="sr-Cyrl-RS" w:bidi="sr-Cyrl-CS"/>
        </w:rPr>
        <w:t>2</w:t>
      </w:r>
      <w:r w:rsidRPr="00FF386D">
        <w:rPr>
          <w:rFonts w:asciiTheme="majorHAnsi" w:hAnsiTheme="majorHAnsi" w:cstheme="majorHAnsi"/>
          <w:lang w:val="sr-Cyrl-RS" w:bidi="sr-Cyrl-CS"/>
        </w:rPr>
        <w:t xml:space="preserve"> и потрошњу примарне енергије до 2050. године. Закључено је да само </w:t>
      </w:r>
      <w:r w:rsidR="00EF15CC" w:rsidRPr="00EF15CC">
        <w:rPr>
          <w:rFonts w:asciiTheme="majorHAnsi" w:hAnsiTheme="majorHAnsi" w:cstheme="majorHAnsi"/>
          <w:lang w:val="sr-Cyrl-RS" w:bidi="sr-Cyrl-CS"/>
        </w:rPr>
        <w:t xml:space="preserve">ДСОЗ </w:t>
      </w:r>
      <w:r w:rsidRPr="00FF386D">
        <w:rPr>
          <w:rFonts w:asciiTheme="majorHAnsi" w:hAnsiTheme="majorHAnsi" w:cstheme="majorHAnsi"/>
          <w:lang w:val="sr-Cyrl-RS" w:bidi="sr-Cyrl-CS"/>
        </w:rPr>
        <w:t>сценарији 4. и 5. воде ка истовременом смањењу емисије CO</w:t>
      </w:r>
      <w:r w:rsidRPr="00FF386D">
        <w:rPr>
          <w:rFonts w:asciiTheme="majorHAnsi" w:hAnsiTheme="majorHAnsi" w:cstheme="majorHAnsi"/>
          <w:vertAlign w:val="subscript"/>
          <w:lang w:val="sr-Cyrl-RS" w:bidi="sr-Cyrl-CS"/>
        </w:rPr>
        <w:t>2</w:t>
      </w:r>
      <w:r w:rsidRPr="00FF386D">
        <w:rPr>
          <w:rFonts w:asciiTheme="majorHAnsi" w:hAnsiTheme="majorHAnsi" w:cstheme="majorHAnsi"/>
          <w:lang w:val="sr-Cyrl-RS" w:bidi="sr-Cyrl-CS"/>
        </w:rPr>
        <w:t xml:space="preserve"> и смањењу потрошње примарне енергије. Узимајући у обзир економску анализу, </w:t>
      </w:r>
      <w:r w:rsidR="00EF15CC" w:rsidRPr="00EF15CC">
        <w:rPr>
          <w:rFonts w:asciiTheme="majorHAnsi" w:hAnsiTheme="majorHAnsi" w:cstheme="majorHAnsi"/>
          <w:lang w:val="sr-Cyrl-RS" w:bidi="sr-Cyrl-CS"/>
        </w:rPr>
        <w:t xml:space="preserve">ДСОЗ </w:t>
      </w:r>
      <w:r w:rsidRPr="00FF386D">
        <w:rPr>
          <w:rFonts w:asciiTheme="majorHAnsi" w:hAnsiTheme="majorHAnsi" w:cstheme="majorHAnsi"/>
          <w:lang w:val="sr-Cyrl-RS" w:bidi="sr-Cyrl-CS"/>
        </w:rPr>
        <w:t xml:space="preserve">сценарији 4. и 5. се издвајају као сценарији са највећим економским користима, уз напомену да су економски трошкови за </w:t>
      </w:r>
      <w:r w:rsidR="00EF15CC" w:rsidRPr="00EF15CC">
        <w:rPr>
          <w:rFonts w:asciiTheme="majorHAnsi" w:hAnsiTheme="majorHAnsi" w:cstheme="majorHAnsi"/>
          <w:lang w:val="sr-Cyrl-RS" w:bidi="sr-Cyrl-CS"/>
        </w:rPr>
        <w:t xml:space="preserve">ДСОЗ </w:t>
      </w:r>
      <w:r w:rsidRPr="00FF386D">
        <w:rPr>
          <w:rFonts w:asciiTheme="majorHAnsi" w:hAnsiTheme="majorHAnsi" w:cstheme="majorHAnsi"/>
          <w:lang w:val="sr-Cyrl-RS" w:bidi="sr-Cyrl-CS"/>
        </w:rPr>
        <w:t xml:space="preserve">сценарио 5. знатно већи у односу на </w:t>
      </w:r>
      <w:r w:rsidR="00EF15CC" w:rsidRPr="00EF15CC">
        <w:rPr>
          <w:rFonts w:asciiTheme="majorHAnsi" w:hAnsiTheme="majorHAnsi" w:cstheme="majorHAnsi"/>
          <w:lang w:val="sr-Cyrl-RS" w:bidi="sr-Cyrl-CS"/>
        </w:rPr>
        <w:t xml:space="preserve">ДСОЗ </w:t>
      </w:r>
      <w:r w:rsidRPr="00FF386D">
        <w:rPr>
          <w:rFonts w:asciiTheme="majorHAnsi" w:hAnsiTheme="majorHAnsi" w:cstheme="majorHAnsi"/>
          <w:lang w:val="sr-Cyrl-RS" w:bidi="sr-Cyrl-CS"/>
        </w:rPr>
        <w:t>сценарио 4. Ако се изузме сценарио 5, сценарио 4. предвиђа већи ниво коришћења усвојених пакета мера што би довело до повећаног смањења емисије CO</w:t>
      </w:r>
      <w:r w:rsidRPr="00FF386D">
        <w:rPr>
          <w:rFonts w:asciiTheme="majorHAnsi" w:hAnsiTheme="majorHAnsi" w:cstheme="majorHAnsi"/>
          <w:vertAlign w:val="subscript"/>
          <w:lang w:val="sr-Cyrl-RS" w:bidi="sr-Cyrl-CS"/>
        </w:rPr>
        <w:t>2</w:t>
      </w:r>
      <w:r w:rsidRPr="00FF386D">
        <w:rPr>
          <w:rFonts w:asciiTheme="majorHAnsi" w:hAnsiTheme="majorHAnsi" w:cstheme="majorHAnsi"/>
          <w:lang w:val="sr-Cyrl-RS" w:bidi="sr-Cyrl-CS"/>
        </w:rPr>
        <w:t xml:space="preserve"> које износи 31% у односу на 2020. годину, док би смањење потрошње примарне енергије у 2050. години било 38% у односу на потрошњу из 2020. годин</w:t>
      </w:r>
      <w:r w:rsidR="000D73C7" w:rsidRPr="00FF386D">
        <w:rPr>
          <w:rFonts w:asciiTheme="majorHAnsi" w:hAnsiTheme="majorHAnsi" w:cstheme="majorHAnsi"/>
          <w:lang w:val="sr-Cyrl-RS" w:bidi="sr-Cyrl-CS"/>
        </w:rPr>
        <w:t>е</w:t>
      </w:r>
      <w:r w:rsidRPr="00FF386D">
        <w:rPr>
          <w:rFonts w:asciiTheme="majorHAnsi" w:hAnsiTheme="majorHAnsi" w:cstheme="majorHAnsi"/>
          <w:lang w:val="sr-Cyrl-RS" w:bidi="sr-Cyrl-CS"/>
        </w:rPr>
        <w:t>.</w:t>
      </w:r>
    </w:p>
    <w:p w14:paraId="02995A4E" w14:textId="44834495" w:rsidR="002A1A23" w:rsidRPr="00FF386D" w:rsidRDefault="00CA20F4" w:rsidP="00565B02">
      <w:pPr>
        <w:pStyle w:val="LDKbody"/>
      </w:pPr>
      <w:r w:rsidRPr="00FF386D">
        <w:rPr>
          <w:rFonts w:asciiTheme="majorHAnsi" w:hAnsiTheme="majorHAnsi" w:cstheme="majorHAnsi"/>
          <w:lang w:val="sr-Cyrl-RS" w:bidi="sr-Cyrl-CS"/>
        </w:rPr>
        <w:t xml:space="preserve">На крају, као основа за стратешки циљ Републике Србије је предложен </w:t>
      </w:r>
      <w:r w:rsidR="00EF15CC" w:rsidRPr="00EF15CC">
        <w:rPr>
          <w:rFonts w:asciiTheme="majorHAnsi" w:hAnsiTheme="majorHAnsi" w:cstheme="majorHAnsi"/>
          <w:lang w:val="sr-Cyrl-RS" w:bidi="sr-Cyrl-CS"/>
        </w:rPr>
        <w:t xml:space="preserve">ДСОЗ </w:t>
      </w:r>
      <w:r w:rsidR="000D73C7" w:rsidRPr="00FF386D">
        <w:rPr>
          <w:rFonts w:asciiTheme="majorHAnsi" w:hAnsiTheme="majorHAnsi" w:cstheme="majorHAnsi"/>
          <w:lang w:val="sr-Cyrl-RS" w:bidi="sr-Cyrl-CS"/>
        </w:rPr>
        <w:t>с</w:t>
      </w:r>
      <w:r w:rsidRPr="00FF386D">
        <w:rPr>
          <w:rFonts w:asciiTheme="majorHAnsi" w:hAnsiTheme="majorHAnsi" w:cstheme="majorHAnsi"/>
          <w:lang w:val="sr-Cyrl-RS" w:bidi="sr-Cyrl-CS"/>
        </w:rPr>
        <w:t>ценарио 4. Да би се постигао ниво уштеда предвиђен у сценарију 4, потребно је омогућити обнову постојећег фонда зграда на нивоу од 4,1÷6,0 милиона m², док би очекивана површина новоизграђених објеката требало да достигне ниво од 2,2 милиона m² годишње.</w:t>
      </w:r>
      <w:bookmarkEnd w:id="251"/>
    </w:p>
    <w:p w14:paraId="502A25C5" w14:textId="052127D4" w:rsidR="002A1A23" w:rsidRPr="00565B02" w:rsidRDefault="002A1A23">
      <w:pPr>
        <w:pStyle w:val="Heading2"/>
        <w:numPr>
          <w:ilvl w:val="1"/>
          <w:numId w:val="253"/>
        </w:numPr>
        <w:rPr>
          <w:lang w:val="sr-Cyrl-RS"/>
        </w:rPr>
      </w:pPr>
      <w:bookmarkStart w:id="252" w:name="_Toc137457032"/>
      <w:bookmarkStart w:id="253" w:name="_Toc153901554"/>
      <w:r w:rsidRPr="00565B02">
        <w:rPr>
          <w:lang w:val="sr-Cyrl-RS"/>
        </w:rPr>
        <w:t>Димензија енергетске сигурности</w:t>
      </w:r>
      <w:bookmarkEnd w:id="252"/>
      <w:bookmarkEnd w:id="253"/>
    </w:p>
    <w:p w14:paraId="7BF7E2B0" w14:textId="77777777" w:rsidR="002A1A23" w:rsidRPr="00FF386D" w:rsidRDefault="002A1A23">
      <w:pPr>
        <w:keepNext/>
        <w:keepLines/>
        <w:numPr>
          <w:ilvl w:val="0"/>
          <w:numId w:val="254"/>
        </w:numPr>
        <w:spacing w:before="200" w:after="0" w:line="240" w:lineRule="auto"/>
        <w:outlineLvl w:val="3"/>
        <w:rPr>
          <w:rFonts w:ascii="Calibri Light" w:eastAsia="Times New Roman" w:hAnsi="Calibri Light" w:cs="Times New Roman"/>
          <w:b/>
          <w:bCs/>
          <w:iCs/>
          <w:color w:val="01406B"/>
          <w:szCs w:val="24"/>
        </w:rPr>
      </w:pPr>
      <w:r w:rsidRPr="00FF386D">
        <w:rPr>
          <w:rFonts w:ascii="Calibri Light" w:eastAsia="Times New Roman" w:hAnsi="Calibri Light" w:cs="Times New Roman"/>
          <w:b/>
          <w:bCs/>
          <w:iCs/>
          <w:color w:val="01406B"/>
          <w:szCs w:val="24"/>
          <w:lang w:bidi="sr-Cyrl-CS"/>
        </w:rPr>
        <w:t>Тренутни енергетски микс, домаћи енергетски ресурси, зависност од увоза, укључујући и релевантне ризике</w:t>
      </w:r>
    </w:p>
    <w:p w14:paraId="65BDDB7C" w14:textId="552DAF33" w:rsidR="002A1A23" w:rsidRPr="00FF386D" w:rsidRDefault="00CA20F4" w:rsidP="00565B02">
      <w:pPr>
        <w:pStyle w:val="LDKbody"/>
        <w:rPr>
          <w:rFonts w:eastAsia="Calibri"/>
        </w:rPr>
      </w:pPr>
      <w:bookmarkStart w:id="254" w:name="_Hlk135813527"/>
      <w:r w:rsidRPr="00FF386D">
        <w:rPr>
          <w:rFonts w:ascii="Calibri Light" w:eastAsia="Calibri" w:hAnsi="Calibri Light" w:cs="Calibri Light"/>
          <w:lang w:val="sr-Cyrl-RS" w:bidi="sr-Cyrl-CS"/>
        </w:rPr>
        <w:t>У пер</w:t>
      </w:r>
      <w:r w:rsidR="00DD61FD">
        <w:rPr>
          <w:rFonts w:ascii="Calibri Light" w:eastAsia="Calibri" w:hAnsi="Calibri Light" w:cs="Calibri Light"/>
          <w:lang w:val="sr-Cyrl-RS" w:bidi="sr-Cyrl-CS"/>
        </w:rPr>
        <w:t>и</w:t>
      </w:r>
      <w:r w:rsidRPr="00FF386D">
        <w:rPr>
          <w:rFonts w:ascii="Calibri Light" w:eastAsia="Calibri" w:hAnsi="Calibri Light" w:cs="Calibri Light"/>
          <w:lang w:val="sr-Cyrl-RS" w:bidi="sr-Cyrl-CS"/>
        </w:rPr>
        <w:t>оду 2010-2020. године, производња примарне енергије је остала скоро стабилна на око 10,5 Mtoe, осим 2014. године, када је забележен нагли и привремени пад, као што је приказано на</w:t>
      </w:r>
      <w:bookmarkEnd w:id="254"/>
      <w:r w:rsidR="006F7AC3">
        <w:rPr>
          <w:rFonts w:ascii="Calibri Light" w:eastAsia="Calibri" w:hAnsi="Calibri Light" w:cs="Calibri Light"/>
          <w:lang w:val="sr-Cyrl-RS" w:bidi="sr-Cyrl-CS"/>
        </w:rPr>
        <w:t xml:space="preserve"> </w:t>
      </w:r>
      <w:r w:rsidR="006F7AC3">
        <w:rPr>
          <w:rFonts w:ascii="Calibri Light" w:eastAsia="Calibri" w:hAnsi="Calibri Light" w:cs="Calibri Light"/>
          <w:lang w:bidi="sr-Cyrl-CS"/>
        </w:rPr>
        <w:fldChar w:fldCharType="begin"/>
      </w:r>
      <w:r w:rsidR="006F7AC3">
        <w:rPr>
          <w:rFonts w:ascii="Calibri Light" w:eastAsia="Calibri" w:hAnsi="Calibri Light" w:cs="Calibri Light"/>
          <w:lang w:val="sr-Cyrl-RS" w:bidi="sr-Cyrl-CS"/>
        </w:rPr>
        <w:instrText xml:space="preserve"> REF _Ref153871417 \h  \* MERGEFORMAT </w:instrText>
      </w:r>
      <w:r w:rsidR="006F7AC3">
        <w:rPr>
          <w:rFonts w:ascii="Calibri Light" w:eastAsia="Calibri" w:hAnsi="Calibri Light" w:cs="Calibri Light"/>
          <w:lang w:bidi="sr-Cyrl-CS"/>
        </w:rPr>
      </w:r>
      <w:r w:rsidR="006F7AC3">
        <w:rPr>
          <w:rFonts w:ascii="Calibri Light" w:eastAsia="Calibri" w:hAnsi="Calibri Light" w:cs="Calibri Light"/>
          <w:lang w:bidi="sr-Cyrl-CS"/>
        </w:rPr>
        <w:fldChar w:fldCharType="separate"/>
      </w:r>
      <w:r w:rsidR="006F7AC3" w:rsidRPr="00565B02">
        <w:rPr>
          <w:rFonts w:ascii="Calibri Light" w:eastAsia="Calibri" w:hAnsi="Calibri Light" w:cs="Calibri Light"/>
          <w:lang w:bidi="sr-Cyrl-CS"/>
        </w:rPr>
        <w:t>с</w:t>
      </w:r>
      <w:r w:rsidR="006F7AC3" w:rsidRPr="00565B02">
        <w:rPr>
          <w:rFonts w:ascii="Calibri Light" w:eastAsia="Calibri" w:hAnsi="Calibri Light" w:cs="Calibri Light"/>
          <w:lang w:val="sr-Cyrl-RS" w:bidi="sr-Cyrl-CS"/>
        </w:rPr>
        <w:t>ли</w:t>
      </w:r>
      <w:r w:rsidR="006F7AC3" w:rsidRPr="00565B02">
        <w:rPr>
          <w:rFonts w:ascii="Calibri Light" w:eastAsia="Calibri" w:hAnsi="Calibri Light" w:cs="Calibri Light"/>
          <w:lang w:bidi="sr-Cyrl-CS"/>
        </w:rPr>
        <w:t>ци</w:t>
      </w:r>
      <w:r w:rsidR="006F7AC3" w:rsidRPr="00565B02">
        <w:rPr>
          <w:rFonts w:ascii="Calibri Light" w:eastAsia="Calibri" w:hAnsi="Calibri Light" w:cs="Calibri Light"/>
          <w:lang w:val="sr-Cyrl-RS" w:bidi="sr-Cyrl-CS"/>
        </w:rPr>
        <w:t xml:space="preserve"> 4.39</w:t>
      </w:r>
      <w:r w:rsidR="006F7AC3">
        <w:rPr>
          <w:rFonts w:ascii="Calibri Light" w:eastAsia="Calibri" w:hAnsi="Calibri Light" w:cs="Calibri Light"/>
          <w:lang w:bidi="sr-Cyrl-CS"/>
        </w:rPr>
        <w:fldChar w:fldCharType="end"/>
      </w:r>
      <w:r w:rsidR="002A1A23" w:rsidRPr="00FF386D">
        <w:rPr>
          <w:rFonts w:ascii="Calibri Light" w:eastAsia="Calibri" w:hAnsi="Calibri Light" w:cs="Calibri Light"/>
          <w:lang w:val="sr-Cyrl-RS" w:bidi="sr-Cyrl-CS"/>
        </w:rPr>
        <w:t>.</w:t>
      </w:r>
      <w:r w:rsidR="002A1A23" w:rsidRPr="00FF386D">
        <w:rPr>
          <w:rFonts w:eastAsia="Calibri" w:cs="Times New Roman"/>
          <w:lang w:val="sr-Cyrl-RS" w:bidi="sr-Cyrl-CS"/>
        </w:rPr>
        <w:t xml:space="preserve"> </w:t>
      </w:r>
      <w:bookmarkStart w:id="255" w:name="_Hlk135813535"/>
      <w:r w:rsidRPr="00FF386D">
        <w:rPr>
          <w:rFonts w:ascii="Calibri Light" w:eastAsia="Calibri" w:hAnsi="Calibri Light" w:cs="Calibri Light"/>
          <w:lang w:val="sr-Cyrl-RS" w:bidi="sr-Cyrl-CS"/>
        </w:rPr>
        <w:t>Чврста фосилна горива, углавном лигнит, представљају преовлађујући тип горива у производњи примарне енергије, уз мањи пад њиховог удела са 68,5% у 2010. години на 65,7% у 2020. години. ОИЕ и биогорива имају важну улогу у производњи примарне енергије, док је њихов допринос повећан са 19,6% у 2010. години на 22,9% у 2020. години</w:t>
      </w:r>
      <w:bookmarkEnd w:id="255"/>
      <w:r w:rsidR="006F7AC3">
        <w:rPr>
          <w:rFonts w:ascii="Calibri Light" w:eastAsia="Calibri" w:hAnsi="Calibri Light" w:cs="Calibri Light"/>
          <w:lang w:val="sr-Cyrl-RS" w:bidi="sr-Cyrl-CS"/>
        </w:rPr>
        <w:t>.</w:t>
      </w:r>
    </w:p>
    <w:p w14:paraId="351616BC" w14:textId="086A7297" w:rsidR="006F7AC3" w:rsidRDefault="006F7AC3" w:rsidP="00565B02">
      <w:pPr>
        <w:pStyle w:val="Caption"/>
        <w:keepNext/>
      </w:pPr>
      <w:bookmarkStart w:id="256" w:name="_Ref153871417"/>
      <w:bookmarkStart w:id="257" w:name="_Toc153901385"/>
      <w:r>
        <w:lastRenderedPageBreak/>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39</w:t>
      </w:r>
      <w:r w:rsidR="00F35B2C">
        <w:fldChar w:fldCharType="end"/>
      </w:r>
      <w:bookmarkEnd w:id="256"/>
      <w:r>
        <w:t xml:space="preserve">: </w:t>
      </w:r>
      <w:r w:rsidRPr="006F7AC3">
        <w:t>Производња примарне енергије у периоду 2010-2020. године (Извор: Евростат, 2023. година)</w:t>
      </w:r>
      <w:bookmarkEnd w:id="257"/>
    </w:p>
    <w:p w14:paraId="70FC7FD8" w14:textId="17C26B23" w:rsidR="00C73340" w:rsidRPr="00FF386D" w:rsidRDefault="00C73340" w:rsidP="002A1A23">
      <w:pPr>
        <w:keepNext/>
        <w:jc w:val="center"/>
        <w:rPr>
          <w:rFonts w:ascii="Calibri" w:eastAsia="Calibri" w:hAnsi="Calibri" w:cs="Times New Roman"/>
        </w:rPr>
      </w:pPr>
      <w:r w:rsidRPr="004F53D7">
        <w:rPr>
          <w:rFonts w:ascii="Calibri" w:eastAsia="Calibri" w:hAnsi="Calibri" w:cs="Times New Roman"/>
          <w:noProof/>
          <w:lang w:val="en-US"/>
        </w:rPr>
        <w:drawing>
          <wp:inline distT="0" distB="0" distL="0" distR="0" wp14:anchorId="17AF7433" wp14:editId="1D840F8B">
            <wp:extent cx="5526930" cy="2430384"/>
            <wp:effectExtent l="0" t="0" r="0" b="0"/>
            <wp:docPr id="1740329162" name="Picture 1740329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39480" cy="2435903"/>
                    </a:xfrm>
                    <a:prstGeom prst="rect">
                      <a:avLst/>
                    </a:prstGeom>
                    <a:noFill/>
                  </pic:spPr>
                </pic:pic>
              </a:graphicData>
            </a:graphic>
          </wp:inline>
        </w:drawing>
      </w:r>
    </w:p>
    <w:p w14:paraId="204E79C5" w14:textId="287980DF" w:rsidR="00CA20F4" w:rsidRPr="00FF386D" w:rsidRDefault="00CA20F4" w:rsidP="00CA20F4">
      <w:pPr>
        <w:pStyle w:val="LDKbody"/>
        <w:rPr>
          <w:rFonts w:ascii="Calibri Light" w:hAnsi="Calibri Light" w:cs="Calibri Light"/>
          <w:lang w:val="sr-Cyrl-RS" w:bidi="sr-Cyrl-CS"/>
        </w:rPr>
      </w:pPr>
      <w:bookmarkStart w:id="258" w:name="_Hlk135813564"/>
      <w:r w:rsidRPr="00FF386D">
        <w:rPr>
          <w:rFonts w:ascii="Calibri Light" w:eastAsia="Calibri" w:hAnsi="Calibri Light" w:cs="Calibri Light"/>
          <w:lang w:val="sr-Cyrl-RS" w:bidi="sr-Cyrl-CS"/>
        </w:rPr>
        <w:t>У 2020. години, укупан трансформациони улаз у смислу коришћења енергије остао је на 13,7 Mtoe, што је за око 9,6% више, у поређењу са нивоом из 2010. године (12,5 Mtoe), као што је приказано на</w:t>
      </w:r>
      <w:bookmarkEnd w:id="258"/>
      <w:r w:rsidR="003E614F">
        <w:rPr>
          <w:rFonts w:ascii="Calibri Light" w:eastAsia="Calibri" w:hAnsi="Calibri Light" w:cs="Calibri Light"/>
          <w:lang w:val="sr-Cyrl-RS" w:bidi="sr-Cyrl-CS"/>
        </w:rPr>
        <w:t xml:space="preserve"> </w:t>
      </w:r>
      <w:r w:rsidR="003E614F">
        <w:rPr>
          <w:rFonts w:ascii="Calibri Light" w:eastAsia="Calibri" w:hAnsi="Calibri Light" w:cs="Calibri Light"/>
          <w:lang w:val="sr-Cyrl-RS" w:bidi="sr-Cyrl-CS"/>
        </w:rPr>
        <w:fldChar w:fldCharType="begin"/>
      </w:r>
      <w:r w:rsidR="003E614F">
        <w:rPr>
          <w:rFonts w:ascii="Calibri Light" w:eastAsia="Calibri" w:hAnsi="Calibri Light" w:cs="Calibri Light"/>
          <w:lang w:val="sr-Cyrl-RS" w:bidi="sr-Cyrl-CS"/>
        </w:rPr>
        <w:instrText xml:space="preserve"> REF _Ref153871501 \h  \* MERGEFORMAT </w:instrText>
      </w:r>
      <w:r w:rsidR="003E614F">
        <w:rPr>
          <w:rFonts w:ascii="Calibri Light" w:eastAsia="Calibri" w:hAnsi="Calibri Light" w:cs="Calibri Light"/>
          <w:lang w:val="sr-Cyrl-RS" w:bidi="sr-Cyrl-CS"/>
        </w:rPr>
      </w:r>
      <w:r w:rsidR="003E614F">
        <w:rPr>
          <w:rFonts w:ascii="Calibri Light" w:eastAsia="Calibri" w:hAnsi="Calibri Light" w:cs="Calibri Light"/>
          <w:lang w:val="sr-Cyrl-RS" w:bidi="sr-Cyrl-CS"/>
        </w:rPr>
        <w:fldChar w:fldCharType="separate"/>
      </w:r>
      <w:r w:rsidR="003E614F" w:rsidRPr="00565B02">
        <w:rPr>
          <w:rFonts w:ascii="Calibri Light" w:eastAsia="Calibri" w:hAnsi="Calibri Light" w:cs="Calibri Light"/>
          <w:lang w:val="sr-Cyrl-RS" w:bidi="sr-Cyrl-CS"/>
        </w:rPr>
        <w:t>слици 4.40</w:t>
      </w:r>
      <w:r w:rsidR="003E614F">
        <w:rPr>
          <w:rFonts w:ascii="Calibri Light" w:eastAsia="Calibri" w:hAnsi="Calibri Light" w:cs="Calibri Light"/>
          <w:lang w:val="sr-Cyrl-RS" w:bidi="sr-Cyrl-CS"/>
        </w:rPr>
        <w:fldChar w:fldCharType="end"/>
      </w:r>
      <w:r w:rsidR="002A1A23" w:rsidRPr="00565B02">
        <w:rPr>
          <w:rFonts w:ascii="Calibri Light" w:eastAsia="Calibri" w:hAnsi="Calibri Light" w:cs="Calibri Light"/>
          <w:lang w:val="sr-Cyrl-RS" w:bidi="sr-Cyrl-CS"/>
        </w:rPr>
        <w:t xml:space="preserve">. </w:t>
      </w:r>
      <w:bookmarkStart w:id="259" w:name="_Hlk135813576"/>
      <w:r w:rsidRPr="00565B02">
        <w:rPr>
          <w:rFonts w:ascii="Calibri Light" w:eastAsia="Calibri" w:hAnsi="Calibri Light" w:cs="Calibri Light"/>
          <w:lang w:val="sr-Cyrl-RS" w:bidi="sr-Cyrl-CS"/>
        </w:rPr>
        <w:t>Чв</w:t>
      </w:r>
      <w:r w:rsidRPr="00FF386D">
        <w:rPr>
          <w:rFonts w:ascii="Calibri Light" w:hAnsi="Calibri Light" w:cs="Calibri Light"/>
          <w:lang w:val="sr-Cyrl-RS" w:bidi="sr-Cyrl-CS"/>
        </w:rPr>
        <w:t>рста фосилна горива и нафта и нафтни деривати представљали су преовлађујући тип горива у смислу трансформационог улаза (7,4 Mtoe и 4,4 Mtoe у 2020. години). Поред тога, удео чврстих фосилних горива је опао са 57,4% у 2010. години на 53,7% у 2020. години, док је удео нафте и нафтних деривата повећан са нивоа од 27,8% у 2010. години на 32,4% у 2020. години.</w:t>
      </w:r>
      <w:bookmarkEnd w:id="259"/>
    </w:p>
    <w:p w14:paraId="00C8B20C" w14:textId="7AF6B705" w:rsidR="003E614F" w:rsidRDefault="003E614F" w:rsidP="00565B02">
      <w:pPr>
        <w:pStyle w:val="Caption"/>
        <w:keepNext/>
        <w:jc w:val="center"/>
      </w:pPr>
      <w:bookmarkStart w:id="260" w:name="_Ref153871501"/>
      <w:bookmarkStart w:id="261" w:name="_Toc153901386"/>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40</w:t>
      </w:r>
      <w:r w:rsidR="00F35B2C">
        <w:fldChar w:fldCharType="end"/>
      </w:r>
      <w:bookmarkEnd w:id="260"/>
      <w:r w:rsidRPr="003E614F">
        <w:t>: Трансформациони улаз у периоду 2010-2020. године (Извор: Евростат, 2023. година)</w:t>
      </w:r>
      <w:bookmarkEnd w:id="261"/>
    </w:p>
    <w:p w14:paraId="0315B03A" w14:textId="71EEFE17" w:rsidR="00C73340" w:rsidRPr="00FF386D" w:rsidRDefault="00C73340" w:rsidP="002A1A23">
      <w:pPr>
        <w:keepNext/>
        <w:jc w:val="center"/>
        <w:rPr>
          <w:rFonts w:ascii="Calibri" w:eastAsia="Calibri" w:hAnsi="Calibri" w:cs="Times New Roman"/>
        </w:rPr>
      </w:pPr>
      <w:r w:rsidRPr="004F53D7">
        <w:rPr>
          <w:rFonts w:ascii="Calibri" w:eastAsia="Calibri" w:hAnsi="Calibri" w:cs="Times New Roman"/>
          <w:noProof/>
          <w:lang w:val="en-US"/>
        </w:rPr>
        <w:drawing>
          <wp:inline distT="0" distB="0" distL="0" distR="0" wp14:anchorId="1819A5AE" wp14:editId="6085AEA1">
            <wp:extent cx="5383033" cy="2352675"/>
            <wp:effectExtent l="0" t="0" r="0" b="0"/>
            <wp:docPr id="1823905703" name="Picture 1823905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02054" cy="2360988"/>
                    </a:xfrm>
                    <a:prstGeom prst="rect">
                      <a:avLst/>
                    </a:prstGeom>
                    <a:noFill/>
                  </pic:spPr>
                </pic:pic>
              </a:graphicData>
            </a:graphic>
          </wp:inline>
        </w:drawing>
      </w:r>
    </w:p>
    <w:p w14:paraId="619704D3" w14:textId="7DA1E905" w:rsidR="00CA20F4" w:rsidRPr="00FF386D" w:rsidRDefault="002A1A23" w:rsidP="00CA20F4">
      <w:pPr>
        <w:pStyle w:val="LDKbody"/>
        <w:rPr>
          <w:rFonts w:ascii="Calibri Light" w:hAnsi="Calibri Light" w:cs="Calibri Light"/>
          <w:lang w:val="sr-Cyrl-RS" w:bidi="sr-Cyrl-CS"/>
        </w:rPr>
      </w:pPr>
      <w:r w:rsidRPr="00FF386D">
        <w:rPr>
          <w:rFonts w:ascii="Calibri Light" w:hAnsi="Calibri Light" w:cs="Calibri Light"/>
          <w:lang w:val="sr-Cyrl-RS" w:bidi="sr-Cyrl-CS"/>
        </w:rPr>
        <w:t>Иста тенденција је забележена и у случају трансформационог излаза (производња електричне и топлотне енергије и нафтни деривати из рафинерија, као што је приказано на</w:t>
      </w:r>
      <w:r w:rsidR="0028091B">
        <w:rPr>
          <w:rFonts w:ascii="Calibri Light" w:hAnsi="Calibri Light" w:cs="Calibri Light"/>
          <w:lang w:val="sr-Cyrl-RS" w:bidi="sr-Cyrl-CS"/>
        </w:rPr>
        <w:t xml:space="preserve"> </w:t>
      </w:r>
      <w:r w:rsidR="0028091B">
        <w:rPr>
          <w:rFonts w:ascii="Calibri Light" w:hAnsi="Calibri Light" w:cs="Calibri Light"/>
          <w:lang w:val="sr-Cyrl-RS" w:bidi="sr-Cyrl-CS"/>
        </w:rPr>
        <w:fldChar w:fldCharType="begin"/>
      </w:r>
      <w:r w:rsidR="0028091B">
        <w:rPr>
          <w:rFonts w:ascii="Calibri Light" w:hAnsi="Calibri Light" w:cs="Calibri Light"/>
          <w:lang w:val="sr-Cyrl-RS" w:bidi="sr-Cyrl-CS"/>
        </w:rPr>
        <w:instrText xml:space="preserve"> REF _Ref153871565 \h  \* MERGEFORMAT </w:instrText>
      </w:r>
      <w:r w:rsidR="0028091B">
        <w:rPr>
          <w:rFonts w:ascii="Calibri Light" w:hAnsi="Calibri Light" w:cs="Calibri Light"/>
          <w:lang w:val="sr-Cyrl-RS" w:bidi="sr-Cyrl-CS"/>
        </w:rPr>
      </w:r>
      <w:r w:rsidR="0028091B">
        <w:rPr>
          <w:rFonts w:ascii="Calibri Light" w:hAnsi="Calibri Light" w:cs="Calibri Light"/>
          <w:lang w:val="sr-Cyrl-RS" w:bidi="sr-Cyrl-CS"/>
        </w:rPr>
        <w:fldChar w:fldCharType="separate"/>
      </w:r>
      <w:r w:rsidR="0028091B" w:rsidRPr="00565B02">
        <w:rPr>
          <w:rFonts w:ascii="Calibri Light" w:hAnsi="Calibri Light" w:cs="Calibri Light"/>
          <w:lang w:val="sr-Cyrl-RS" w:bidi="sr-Cyrl-CS"/>
        </w:rPr>
        <w:t>слици 4.41</w:t>
      </w:r>
      <w:r w:rsidR="0028091B">
        <w:rPr>
          <w:rFonts w:ascii="Calibri Light" w:hAnsi="Calibri Light" w:cs="Calibri Light"/>
          <w:lang w:val="sr-Cyrl-RS" w:bidi="sr-Cyrl-CS"/>
        </w:rPr>
        <w:fldChar w:fldCharType="end"/>
      </w:r>
      <w:r w:rsidRPr="00FF386D">
        <w:rPr>
          <w:rFonts w:ascii="Calibri Light" w:hAnsi="Calibri Light" w:cs="Calibri Light"/>
          <w:lang w:val="sr-Cyrl-RS" w:bidi="sr-Cyrl-CS"/>
        </w:rPr>
        <w:t>).</w:t>
      </w:r>
      <w:r w:rsidRPr="00565B02">
        <w:rPr>
          <w:rFonts w:ascii="Calibri Light" w:hAnsi="Calibri Light" w:cs="Calibri Light"/>
          <w:lang w:val="sr-Cyrl-RS" w:bidi="sr-Cyrl-CS"/>
        </w:rPr>
        <w:t xml:space="preserve"> </w:t>
      </w:r>
      <w:bookmarkStart w:id="262" w:name="_Hlk135813657"/>
      <w:r w:rsidR="00CA20F4" w:rsidRPr="00FF386D">
        <w:rPr>
          <w:rFonts w:ascii="Calibri Light" w:hAnsi="Calibri Light" w:cs="Calibri Light"/>
          <w:lang w:val="sr-Cyrl-RS" w:bidi="sr-Cyrl-CS"/>
        </w:rPr>
        <w:t>У 2020. години, укупни трансформациони излаз у смислу коришћења енергије био је 8,7 Mtoe, односно око 13% виши у поређењу са нивоом из 2010. године (7,7 Mtoe). Електрична енергија и нафта и нафтни деривати достигли су 3,3 Mtoe, односно 4,2 Mtoe у 2020. години. Осим тога, удео електричне енергије је смањен са 42,4% у 2010. години на 37,4% у 2020. години, док је удео нафте и нафтних деривата порастао са 42,4% у 2010. години на 37,4% у 2020. години.</w:t>
      </w:r>
      <w:bookmarkEnd w:id="262"/>
    </w:p>
    <w:p w14:paraId="56536E65" w14:textId="0033AA9E" w:rsidR="0028091B" w:rsidRDefault="0028091B" w:rsidP="00565B02">
      <w:pPr>
        <w:pStyle w:val="Caption"/>
        <w:keepNext/>
        <w:jc w:val="center"/>
      </w:pPr>
      <w:bookmarkStart w:id="263" w:name="_Ref153871565"/>
      <w:bookmarkStart w:id="264" w:name="_Toc153901387"/>
      <w:r>
        <w:lastRenderedPageBreak/>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41</w:t>
      </w:r>
      <w:r w:rsidR="00F35B2C">
        <w:fldChar w:fldCharType="end"/>
      </w:r>
      <w:bookmarkEnd w:id="263"/>
      <w:r>
        <w:t xml:space="preserve">: </w:t>
      </w:r>
      <w:r w:rsidRPr="0028091B">
        <w:t>Трансформациони излаз у периоду 2010-2020. године (Извор: Евростат, 2023. година)</w:t>
      </w:r>
      <w:bookmarkEnd w:id="264"/>
    </w:p>
    <w:p w14:paraId="016ABE3D" w14:textId="4AA51C8F" w:rsidR="00BC49C6" w:rsidRPr="00FF386D" w:rsidRDefault="00BC49C6" w:rsidP="002A1A23">
      <w:pPr>
        <w:spacing w:before="120" w:after="120" w:line="240" w:lineRule="auto"/>
        <w:jc w:val="center"/>
        <w:rPr>
          <w:rFonts w:ascii="Calibri" w:eastAsia="Times New Roman" w:hAnsi="Calibri" w:cs="Arial"/>
          <w:lang w:eastAsia="el-GR"/>
        </w:rPr>
      </w:pPr>
      <w:r w:rsidRPr="004F53D7">
        <w:rPr>
          <w:rFonts w:ascii="Calibri" w:eastAsia="Times New Roman" w:hAnsi="Calibri" w:cs="Arial"/>
          <w:noProof/>
          <w:lang w:val="en-US"/>
        </w:rPr>
        <w:drawing>
          <wp:inline distT="0" distB="0" distL="0" distR="0" wp14:anchorId="35822C33" wp14:editId="330CAA25">
            <wp:extent cx="6243904" cy="3124421"/>
            <wp:effectExtent l="0" t="0" r="0" b="0"/>
            <wp:docPr id="1417085673" name="Picture 1417085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78692" cy="3141829"/>
                    </a:xfrm>
                    <a:prstGeom prst="rect">
                      <a:avLst/>
                    </a:prstGeom>
                    <a:noFill/>
                  </pic:spPr>
                </pic:pic>
              </a:graphicData>
            </a:graphic>
          </wp:inline>
        </w:drawing>
      </w:r>
    </w:p>
    <w:p w14:paraId="6F546B3B" w14:textId="4FDCB5A3" w:rsidR="002A1A23" w:rsidRPr="00FF386D" w:rsidRDefault="002A1A23">
      <w:pPr>
        <w:keepNext/>
        <w:keepLines/>
        <w:numPr>
          <w:ilvl w:val="0"/>
          <w:numId w:val="254"/>
        </w:numPr>
        <w:spacing w:before="200" w:after="0" w:line="240" w:lineRule="auto"/>
        <w:outlineLvl w:val="3"/>
        <w:rPr>
          <w:rFonts w:ascii="Calibri Light" w:eastAsia="Times New Roman" w:hAnsi="Calibri Light" w:cs="Times New Roman"/>
          <w:b/>
          <w:bCs/>
          <w:iCs/>
          <w:color w:val="01406B"/>
          <w:szCs w:val="24"/>
        </w:rPr>
      </w:pPr>
      <w:r w:rsidRPr="00FF386D">
        <w:rPr>
          <w:rFonts w:ascii="Calibri Light" w:eastAsia="Times New Roman" w:hAnsi="Calibri Light" w:cs="Times New Roman"/>
          <w:b/>
          <w:bCs/>
          <w:iCs/>
          <w:color w:val="01406B"/>
          <w:szCs w:val="24"/>
          <w:lang w:bidi="sr-Cyrl-CS"/>
        </w:rPr>
        <w:t xml:space="preserve">Пројекције развоја уз постојеће политике и мере </w:t>
      </w:r>
      <w:r w:rsidR="00A0370B" w:rsidRPr="00FF386D">
        <w:rPr>
          <w:rFonts w:ascii="Calibri Light" w:eastAsia="Times New Roman" w:hAnsi="Calibri Light" w:cs="Times New Roman"/>
          <w:b/>
          <w:bCs/>
          <w:iCs/>
          <w:color w:val="01406B"/>
          <w:szCs w:val="24"/>
          <w:lang w:bidi="sr-Cyrl-CS"/>
        </w:rPr>
        <w:t xml:space="preserve">најмање </w:t>
      </w:r>
      <w:r w:rsidRPr="00FF386D">
        <w:rPr>
          <w:rFonts w:ascii="Calibri Light" w:eastAsia="Times New Roman" w:hAnsi="Calibri Light" w:cs="Times New Roman"/>
          <w:b/>
          <w:bCs/>
          <w:iCs/>
          <w:color w:val="01406B"/>
          <w:szCs w:val="24"/>
          <w:lang w:bidi="sr-Cyrl-CS"/>
        </w:rPr>
        <w:t>до 2040. године (укључујући и оне за 2030. годину)</w:t>
      </w:r>
    </w:p>
    <w:p w14:paraId="14BC9D6D" w14:textId="329E60C8" w:rsidR="00A0370B" w:rsidRPr="00FF386D" w:rsidRDefault="002A1A23" w:rsidP="00A0370B">
      <w:pPr>
        <w:pStyle w:val="LDKbody"/>
        <w:rPr>
          <w:rFonts w:ascii="Calibri Light" w:hAnsi="Calibri Light" w:cs="Calibri Light"/>
          <w:lang w:val="sr-Cyrl-RS"/>
        </w:rPr>
      </w:pPr>
      <w:r w:rsidRPr="00FF386D">
        <w:rPr>
          <w:rFonts w:ascii="Calibri Light" w:hAnsi="Calibri Light" w:cs="Calibri Light"/>
          <w:lang w:val="sr-Cyrl-RS" w:bidi="sr-Cyrl-CS"/>
        </w:rPr>
        <w:t>Као што је приказано на</w:t>
      </w:r>
      <w:r w:rsidR="00D647AD">
        <w:rPr>
          <w:rFonts w:ascii="Calibri Light" w:hAnsi="Calibri Light" w:cs="Calibri Light"/>
          <w:lang w:val="sr-Cyrl-RS" w:bidi="sr-Cyrl-CS"/>
        </w:rPr>
        <w:t xml:space="preserve"> </w:t>
      </w:r>
      <w:r w:rsidR="00D647AD">
        <w:rPr>
          <w:rFonts w:ascii="Calibri Light" w:hAnsi="Calibri Light" w:cs="Calibri Light"/>
          <w:lang w:val="sr-Cyrl-RS" w:bidi="sr-Cyrl-CS"/>
        </w:rPr>
        <w:fldChar w:fldCharType="begin"/>
      </w:r>
      <w:r w:rsidR="00D647AD">
        <w:rPr>
          <w:rFonts w:ascii="Calibri Light" w:hAnsi="Calibri Light" w:cs="Calibri Light"/>
          <w:lang w:val="sr-Cyrl-RS" w:bidi="sr-Cyrl-CS"/>
        </w:rPr>
        <w:instrText xml:space="preserve"> REF _Ref153871704 \h  \* MERGEFORMAT </w:instrText>
      </w:r>
      <w:r w:rsidR="00D647AD">
        <w:rPr>
          <w:rFonts w:ascii="Calibri Light" w:hAnsi="Calibri Light" w:cs="Calibri Light"/>
          <w:lang w:val="sr-Cyrl-RS" w:bidi="sr-Cyrl-CS"/>
        </w:rPr>
      </w:r>
      <w:r w:rsidR="00D647AD">
        <w:rPr>
          <w:rFonts w:ascii="Calibri Light" w:hAnsi="Calibri Light" w:cs="Calibri Light"/>
          <w:lang w:val="sr-Cyrl-RS" w:bidi="sr-Cyrl-CS"/>
        </w:rPr>
        <w:fldChar w:fldCharType="separate"/>
      </w:r>
      <w:r w:rsidR="00D647AD" w:rsidRPr="00565B02">
        <w:rPr>
          <w:rFonts w:ascii="Calibri Light" w:hAnsi="Calibri Light" w:cs="Calibri Light"/>
          <w:lang w:val="sr-Cyrl-RS" w:bidi="sr-Cyrl-CS"/>
        </w:rPr>
        <w:t>слици 4.42</w:t>
      </w:r>
      <w:r w:rsidR="00D647AD">
        <w:rPr>
          <w:rFonts w:ascii="Calibri Light" w:hAnsi="Calibri Light" w:cs="Calibri Light"/>
          <w:lang w:val="sr-Cyrl-RS" w:bidi="sr-Cyrl-CS"/>
        </w:rPr>
        <w:fldChar w:fldCharType="end"/>
      </w:r>
      <w:r w:rsidRPr="00FF386D">
        <w:rPr>
          <w:rFonts w:ascii="Calibri Light" w:hAnsi="Calibri Light" w:cs="Calibri Light"/>
          <w:lang w:val="sr-Cyrl-RS" w:bidi="sr-Cyrl-CS"/>
        </w:rPr>
        <w:t>,</w:t>
      </w:r>
      <w:r w:rsidRPr="00565B02">
        <w:rPr>
          <w:rFonts w:ascii="Calibri Light" w:hAnsi="Calibri Light" w:cs="Calibri Light"/>
          <w:lang w:val="sr-Cyrl-RS" w:bidi="sr-Cyrl-CS"/>
        </w:rPr>
        <w:t xml:space="preserve"> </w:t>
      </w:r>
      <w:bookmarkStart w:id="265" w:name="_Hlk135813747"/>
      <w:r w:rsidR="00A0370B" w:rsidRPr="00FF386D">
        <w:rPr>
          <w:rFonts w:ascii="Calibri Light" w:hAnsi="Calibri Light" w:cs="Calibri Light"/>
          <w:lang w:val="sr-Cyrl-RS" w:bidi="sr-Cyrl-CS"/>
        </w:rPr>
        <w:t>зависност од увоза енергије показује растући тренд ка 2050. години у односу на 2020. годину. У ствари, док је зависност од увоза енергије у 2020. години износила 33%, очекује се да ће порасти до 36% у 2030. години и до 45% до 2050. године, углавном због повећане употребе природног гаса и нафтних деривата.</w:t>
      </w:r>
      <w:bookmarkEnd w:id="265"/>
    </w:p>
    <w:p w14:paraId="1D199FA5" w14:textId="34DC6C5B" w:rsidR="00D647AD" w:rsidRDefault="00D647AD" w:rsidP="00565B02">
      <w:pPr>
        <w:pStyle w:val="Caption"/>
        <w:keepNext/>
      </w:pPr>
      <w:bookmarkStart w:id="266" w:name="_Ref153871704"/>
      <w:bookmarkStart w:id="267" w:name="_Toc153901388"/>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42</w:t>
      </w:r>
      <w:r w:rsidR="00F35B2C">
        <w:fldChar w:fldCharType="end"/>
      </w:r>
      <w:bookmarkEnd w:id="266"/>
      <w:r>
        <w:t xml:space="preserve">: </w:t>
      </w:r>
      <w:r w:rsidRPr="00D647AD">
        <w:t>Зависност од увоза енергије у периоду 2020-2050. године у сценарију са постојећим мерама (WEM)</w:t>
      </w:r>
      <w:bookmarkEnd w:id="267"/>
    </w:p>
    <w:p w14:paraId="0D360CC8" w14:textId="37703E3A" w:rsidR="005D7CF0" w:rsidRPr="00FF386D" w:rsidRDefault="00AF1E4B" w:rsidP="002A1A23">
      <w:pPr>
        <w:jc w:val="center"/>
        <w:rPr>
          <w:rFonts w:ascii="Calibri" w:eastAsia="Calibri" w:hAnsi="Calibri" w:cs="Times New Roman"/>
          <w:lang w:eastAsia="el-GR"/>
        </w:rPr>
      </w:pPr>
      <w:r>
        <w:rPr>
          <w:noProof/>
          <w:lang w:val="en-US"/>
        </w:rPr>
        <mc:AlternateContent>
          <mc:Choice Requires="wps">
            <w:drawing>
              <wp:anchor distT="0" distB="0" distL="114300" distR="114300" simplePos="0" relativeHeight="251849728" behindDoc="0" locked="0" layoutInCell="1" allowOverlap="1" wp14:anchorId="2569634B" wp14:editId="1BC55861">
                <wp:simplePos x="0" y="0"/>
                <wp:positionH relativeFrom="column">
                  <wp:posOffset>1640973</wp:posOffset>
                </wp:positionH>
                <wp:positionV relativeFrom="paragraph">
                  <wp:posOffset>1354948</wp:posOffset>
                </wp:positionV>
                <wp:extent cx="1985749" cy="1651379"/>
                <wp:effectExtent l="0" t="0" r="0" b="6350"/>
                <wp:wrapNone/>
                <wp:docPr id="1592448587" name="Text Box 1592448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5749" cy="1651379"/>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30259FAF" id="Text Box 1592448587" o:spid="_x0000_s1026" type="#_x0000_t202" style="position:absolute;margin-left:129.2pt;margin-top:106.7pt;width:156.35pt;height:130.0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" fillcolor="#a6a6a6" stroked="f">
                <v:fill opacity="32896f"/>
              </v:shape>
            </w:pict>
          </mc:Fallback>
        </mc:AlternateContent>
      </w:r>
      <w:r w:rsidR="005D7CF0" w:rsidRPr="004F53D7">
        <w:rPr>
          <w:rFonts w:ascii="Calibri" w:eastAsia="Calibri" w:hAnsi="Calibri" w:cs="Times New Roman"/>
          <w:noProof/>
          <w:lang w:val="en-US"/>
        </w:rPr>
        <w:drawing>
          <wp:inline distT="0" distB="0" distL="0" distR="0" wp14:anchorId="6137AE9F" wp14:editId="3FE08C4B">
            <wp:extent cx="4142630" cy="3638342"/>
            <wp:effectExtent l="0" t="0" r="0" b="0"/>
            <wp:docPr id="814419961" name="Picture 814419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61917" cy="3655282"/>
                    </a:xfrm>
                    <a:prstGeom prst="rect">
                      <a:avLst/>
                    </a:prstGeom>
                    <a:noFill/>
                  </pic:spPr>
                </pic:pic>
              </a:graphicData>
            </a:graphic>
          </wp:inline>
        </w:drawing>
      </w:r>
    </w:p>
    <w:p w14:paraId="37D3EF54" w14:textId="160D7169" w:rsidR="00A0370B" w:rsidRPr="00FF386D" w:rsidRDefault="002A1A23" w:rsidP="00A0370B">
      <w:pPr>
        <w:pStyle w:val="LDKbody"/>
        <w:rPr>
          <w:rFonts w:ascii="Calibri Light" w:hAnsi="Calibri Light" w:cs="Calibri Light"/>
          <w:lang w:val="sr-Cyrl-RS"/>
        </w:rPr>
      </w:pPr>
      <w:r w:rsidRPr="00FF386D">
        <w:rPr>
          <w:rFonts w:ascii="Calibri Light" w:hAnsi="Calibri Light" w:cs="Calibri Light"/>
          <w:lang w:val="sr-Cyrl-RS" w:bidi="sr-Cyrl-CS"/>
        </w:rPr>
        <w:lastRenderedPageBreak/>
        <w:t>Очекује се да ће зависност од увоза и нафте и нафтних деривата као и природног гаса пратити скоро исти тренд раста, као што је приказано на</w:t>
      </w:r>
      <w:r w:rsidR="00AF1E4B">
        <w:rPr>
          <w:rFonts w:ascii="Calibri Light" w:hAnsi="Calibri Light" w:cs="Calibri Light"/>
          <w:lang w:val="sr-Cyrl-RS" w:bidi="sr-Cyrl-CS"/>
        </w:rPr>
        <w:t xml:space="preserve"> </w:t>
      </w:r>
      <w:r w:rsidR="00AF1E4B">
        <w:rPr>
          <w:rFonts w:ascii="Calibri Light" w:hAnsi="Calibri Light" w:cs="Calibri Light"/>
          <w:lang w:val="sr-Cyrl-RS" w:bidi="sr-Cyrl-CS"/>
        </w:rPr>
        <w:fldChar w:fldCharType="begin"/>
      </w:r>
      <w:r w:rsidR="00AF1E4B">
        <w:rPr>
          <w:rFonts w:ascii="Calibri Light" w:hAnsi="Calibri Light" w:cs="Calibri Light"/>
          <w:lang w:val="sr-Cyrl-RS" w:bidi="sr-Cyrl-CS"/>
        </w:rPr>
        <w:instrText xml:space="preserve"> REF _Ref153871885 \h  \* MERGEFORMAT </w:instrText>
      </w:r>
      <w:r w:rsidR="00AF1E4B">
        <w:rPr>
          <w:rFonts w:ascii="Calibri Light" w:hAnsi="Calibri Light" w:cs="Calibri Light"/>
          <w:lang w:val="sr-Cyrl-RS" w:bidi="sr-Cyrl-CS"/>
        </w:rPr>
      </w:r>
      <w:r w:rsidR="00AF1E4B">
        <w:rPr>
          <w:rFonts w:ascii="Calibri Light" w:hAnsi="Calibri Light" w:cs="Calibri Light"/>
          <w:lang w:val="sr-Cyrl-RS" w:bidi="sr-Cyrl-CS"/>
        </w:rPr>
        <w:fldChar w:fldCharType="separate"/>
      </w:r>
      <w:r w:rsidR="00AF1E4B" w:rsidRPr="00565B02">
        <w:rPr>
          <w:rFonts w:ascii="Calibri Light" w:hAnsi="Calibri Light" w:cs="Calibri Light"/>
          <w:lang w:val="sr-Cyrl-RS" w:bidi="sr-Cyrl-CS"/>
        </w:rPr>
        <w:t>слици 4.43</w:t>
      </w:r>
      <w:r w:rsidR="00AF1E4B">
        <w:rPr>
          <w:rFonts w:ascii="Calibri Light" w:hAnsi="Calibri Light" w:cs="Calibri Light"/>
          <w:lang w:val="sr-Cyrl-RS" w:bidi="sr-Cyrl-CS"/>
        </w:rPr>
        <w:fldChar w:fldCharType="end"/>
      </w:r>
      <w:r w:rsidRPr="00FF386D">
        <w:rPr>
          <w:rFonts w:ascii="Calibri Light" w:hAnsi="Calibri Light" w:cs="Calibri Light"/>
          <w:lang w:val="sr-Cyrl-RS" w:bidi="sr-Cyrl-CS"/>
        </w:rPr>
        <w:t xml:space="preserve">. </w:t>
      </w:r>
      <w:bookmarkStart w:id="268" w:name="_Hlk135814159"/>
      <w:r w:rsidR="00A0370B" w:rsidRPr="00FF386D">
        <w:rPr>
          <w:rFonts w:ascii="Calibri Light" w:hAnsi="Calibri Light" w:cs="Calibri Light"/>
          <w:lang w:val="sr-Cyrl-RS" w:bidi="sr-Cyrl-CS"/>
        </w:rPr>
        <w:t xml:space="preserve">Међутим, увозна зависност електричне енергије ће ићи ка негативним процентима; са </w:t>
      </w:r>
      <w:r w:rsidR="0050533B" w:rsidRPr="00FF386D">
        <w:rPr>
          <w:rFonts w:ascii="Calibri Light" w:hAnsi="Calibri Light" w:cs="Calibri Light"/>
          <w:lang w:val="sr-Cyrl-RS" w:bidi="sr-Cyrl-CS"/>
        </w:rPr>
        <w:t>-1</w:t>
      </w:r>
      <w:r w:rsidR="00A0370B" w:rsidRPr="00FF386D">
        <w:rPr>
          <w:rFonts w:ascii="Calibri Light" w:hAnsi="Calibri Light" w:cs="Calibri Light"/>
          <w:lang w:val="sr-Cyrl-RS" w:bidi="sr-Cyrl-CS"/>
        </w:rPr>
        <w:t>% у 2020. години на -4% у 2030. години и на -</w:t>
      </w:r>
      <w:r w:rsidR="0050533B" w:rsidRPr="00FF386D">
        <w:rPr>
          <w:rFonts w:ascii="Calibri Light" w:hAnsi="Calibri Light" w:cs="Calibri Light"/>
          <w:lang w:val="sr-Cyrl-RS" w:bidi="sr-Cyrl-CS"/>
        </w:rPr>
        <w:t>5</w:t>
      </w:r>
      <w:r w:rsidR="00A0370B" w:rsidRPr="00FF386D">
        <w:rPr>
          <w:rFonts w:ascii="Calibri Light" w:hAnsi="Calibri Light" w:cs="Calibri Light"/>
          <w:lang w:val="sr-Cyrl-RS" w:bidi="sr-Cyrl-CS"/>
        </w:rPr>
        <w:t>% у 2050. години, указујући да се очекује да Република Србија буде извозник нето електричне енергије до 2050. године.</w:t>
      </w:r>
      <w:bookmarkEnd w:id="268"/>
    </w:p>
    <w:p w14:paraId="4C1386A1" w14:textId="498858B0" w:rsidR="00AF1E4B" w:rsidRDefault="00AF1E4B" w:rsidP="00AF1E4B">
      <w:pPr>
        <w:pStyle w:val="Caption"/>
      </w:pPr>
      <w:bookmarkStart w:id="269" w:name="_Ref153871885"/>
      <w:bookmarkStart w:id="270" w:name="_Toc153901389"/>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43</w:t>
      </w:r>
      <w:r w:rsidR="00F35B2C">
        <w:fldChar w:fldCharType="end"/>
      </w:r>
      <w:bookmarkEnd w:id="269"/>
      <w:r>
        <w:t xml:space="preserve">: </w:t>
      </w:r>
      <w:r w:rsidRPr="00AF1E4B">
        <w:t>Зависност од увоза нафте и нафтних деривата, природног гаса и електричне енергије у периоду 2020-2050. године у сценарију са постојећим мерама (WEM)</w:t>
      </w:r>
      <w:bookmarkEnd w:id="270"/>
    </w:p>
    <w:p w14:paraId="68681A48" w14:textId="5AAA321A" w:rsidR="007C1299" w:rsidRPr="00FF386D" w:rsidRDefault="00AF1E4B" w:rsidP="002A1A23">
      <w:pPr>
        <w:jc w:val="center"/>
        <w:rPr>
          <w:rFonts w:ascii="Calibri" w:eastAsia="Calibri" w:hAnsi="Calibri" w:cs="Times New Roman"/>
          <w:lang w:eastAsia="el-GR"/>
        </w:rPr>
      </w:pPr>
      <w:r>
        <w:rPr>
          <w:noProof/>
          <w:lang w:val="en-US"/>
        </w:rPr>
        <mc:AlternateContent>
          <mc:Choice Requires="wps">
            <w:drawing>
              <wp:anchor distT="0" distB="0" distL="114300" distR="114300" simplePos="0" relativeHeight="251722752" behindDoc="0" locked="0" layoutInCell="1" allowOverlap="1" wp14:anchorId="78B83AB4" wp14:editId="17A435CC">
                <wp:simplePos x="0" y="0"/>
                <wp:positionH relativeFrom="column">
                  <wp:posOffset>1231540</wp:posOffset>
                </wp:positionH>
                <wp:positionV relativeFrom="paragraph">
                  <wp:posOffset>141832</wp:posOffset>
                </wp:positionV>
                <wp:extent cx="2636520" cy="3828084"/>
                <wp:effectExtent l="0" t="0" r="0" b="1270"/>
                <wp:wrapNone/>
                <wp:docPr id="790596736" name="Text Box 790596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6520" cy="3828084"/>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1E933C5E" id="Text Box 790596736" o:spid="_x0000_s1026" type="#_x0000_t202" style="position:absolute;margin-left:96.95pt;margin-top:11.15pt;width:207.6pt;height:301.4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" fillcolor="#a6a6a6" stroked="f">
                <v:fill opacity="32896f"/>
              </v:shape>
            </w:pict>
          </mc:Fallback>
        </mc:AlternateContent>
      </w:r>
      <w:r w:rsidR="007C1299" w:rsidRPr="004F53D7">
        <w:rPr>
          <w:rFonts w:ascii="Calibri" w:eastAsia="Calibri" w:hAnsi="Calibri" w:cs="Times New Roman"/>
          <w:noProof/>
          <w:lang w:val="en-US"/>
        </w:rPr>
        <w:drawing>
          <wp:inline distT="0" distB="0" distL="0" distR="0" wp14:anchorId="337BC02F" wp14:editId="09AC1DE5">
            <wp:extent cx="5438140" cy="4791710"/>
            <wp:effectExtent l="0" t="0" r="0" b="0"/>
            <wp:docPr id="1167757080" name="Picture 1167757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38140" cy="4791710"/>
                    </a:xfrm>
                    <a:prstGeom prst="rect">
                      <a:avLst/>
                    </a:prstGeom>
                    <a:noFill/>
                  </pic:spPr>
                </pic:pic>
              </a:graphicData>
            </a:graphic>
          </wp:inline>
        </w:drawing>
      </w:r>
    </w:p>
    <w:p w14:paraId="094453D0" w14:textId="4D76BEF7" w:rsidR="00A0370B" w:rsidRPr="00FF386D" w:rsidRDefault="00A0370B" w:rsidP="00A0370B">
      <w:pPr>
        <w:pStyle w:val="LDKbody"/>
        <w:rPr>
          <w:rFonts w:ascii="Calibri Light" w:hAnsi="Calibri Light" w:cs="Calibri Light"/>
          <w:lang w:val="sr-Cyrl-RS"/>
        </w:rPr>
      </w:pPr>
      <w:bookmarkStart w:id="271" w:name="_Hlk135814194"/>
      <w:r w:rsidRPr="00FF386D">
        <w:rPr>
          <w:rFonts w:ascii="Calibri Light" w:eastAsia="Calibri" w:hAnsi="Calibri Light" w:cs="Calibri Light"/>
          <w:lang w:val="sr-Cyrl-RS" w:bidi="sr-Cyrl-CS"/>
        </w:rPr>
        <w:t>Очекује се да ће примарна производња порасти до 2050. године; са 10,5 Mtoe у 2020. години на 11,8 Mtoe у 2030. години и на 11,3 Mtoe у 2050. години, као што је приказано на</w:t>
      </w:r>
      <w:bookmarkEnd w:id="271"/>
      <w:r w:rsidR="0004569E">
        <w:rPr>
          <w:rFonts w:ascii="Calibri Light" w:eastAsia="Calibri" w:hAnsi="Calibri Light" w:cs="Calibri Light"/>
          <w:lang w:val="sr-Cyrl-RS" w:bidi="sr-Cyrl-CS"/>
        </w:rPr>
        <w:t xml:space="preserve"> </w:t>
      </w:r>
      <w:r w:rsidR="0004569E">
        <w:rPr>
          <w:rFonts w:ascii="Calibri Light" w:eastAsia="Calibri" w:hAnsi="Calibri Light" w:cs="Calibri Light"/>
          <w:lang w:val="sr-Cyrl-RS" w:bidi="sr-Cyrl-CS"/>
        </w:rPr>
        <w:fldChar w:fldCharType="begin"/>
      </w:r>
      <w:r w:rsidR="0004569E">
        <w:rPr>
          <w:rFonts w:ascii="Calibri Light" w:eastAsia="Calibri" w:hAnsi="Calibri Light" w:cs="Calibri Light"/>
          <w:lang w:val="sr-Cyrl-RS" w:bidi="sr-Cyrl-CS"/>
        </w:rPr>
        <w:instrText xml:space="preserve"> REF _Ref153871958 \h  \* MERGEFORMAT </w:instrText>
      </w:r>
      <w:r w:rsidR="0004569E">
        <w:rPr>
          <w:rFonts w:ascii="Calibri Light" w:eastAsia="Calibri" w:hAnsi="Calibri Light" w:cs="Calibri Light"/>
          <w:lang w:val="sr-Cyrl-RS" w:bidi="sr-Cyrl-CS"/>
        </w:rPr>
      </w:r>
      <w:r w:rsidR="0004569E">
        <w:rPr>
          <w:rFonts w:ascii="Calibri Light" w:eastAsia="Calibri" w:hAnsi="Calibri Light" w:cs="Calibri Light"/>
          <w:lang w:val="sr-Cyrl-RS" w:bidi="sr-Cyrl-CS"/>
        </w:rPr>
        <w:fldChar w:fldCharType="separate"/>
      </w:r>
      <w:r w:rsidR="0004569E" w:rsidRPr="00565B02">
        <w:rPr>
          <w:rFonts w:ascii="Calibri Light" w:eastAsia="Calibri" w:hAnsi="Calibri Light" w:cs="Calibri Light"/>
          <w:lang w:val="sr-Cyrl-RS" w:bidi="sr-Cyrl-CS"/>
        </w:rPr>
        <w:t>слици 4.44</w:t>
      </w:r>
      <w:r w:rsidR="0004569E">
        <w:rPr>
          <w:rFonts w:ascii="Calibri Light" w:eastAsia="Calibri" w:hAnsi="Calibri Light" w:cs="Calibri Light"/>
          <w:lang w:val="sr-Cyrl-RS" w:bidi="sr-Cyrl-CS"/>
        </w:rPr>
        <w:fldChar w:fldCharType="end"/>
      </w:r>
      <w:r w:rsidR="002A1A23" w:rsidRPr="00565B02">
        <w:rPr>
          <w:rFonts w:ascii="Calibri Light" w:eastAsia="Calibri" w:hAnsi="Calibri Light" w:cs="Calibri Light"/>
          <w:lang w:val="sr-Cyrl-RS" w:bidi="sr-Cyrl-CS"/>
        </w:rPr>
        <w:t xml:space="preserve">. </w:t>
      </w:r>
      <w:bookmarkStart w:id="272" w:name="_Hlk135814202"/>
      <w:r w:rsidRPr="00565B02">
        <w:rPr>
          <w:rFonts w:ascii="Calibri Light" w:eastAsia="Calibri" w:hAnsi="Calibri Light" w:cs="Calibri Light"/>
          <w:lang w:val="sr-Cyrl-RS" w:bidi="sr-Cyrl-CS"/>
        </w:rPr>
        <w:t>Требало</w:t>
      </w:r>
      <w:r w:rsidRPr="00FF386D">
        <w:rPr>
          <w:rFonts w:ascii="Calibri Light" w:hAnsi="Calibri Light" w:cs="Calibri Light"/>
          <w:lang w:val="sr-Cyrl-RS" w:bidi="sr-Cyrl-CS"/>
        </w:rPr>
        <w:t xml:space="preserve"> би напоменути да се повећање уочава до 2045. године (12,3 Mtoe), док се пад предвиђа до 2050. године. Чврста горива, као и ОИЕ и отпад представљају изворе енергије са највећим доприносом до 2050. године, показујући пораст од 9%, односно 38% у поређењу са 2020. годином</w:t>
      </w:r>
      <w:r w:rsidRPr="00FF386D">
        <w:rPr>
          <w:rFonts w:ascii="Calibri Light" w:hAnsi="Calibri Light" w:cs="Calibri Light"/>
          <w:lang w:val="sr-Cyrl-RS"/>
        </w:rPr>
        <w:t>.</w:t>
      </w:r>
      <w:bookmarkEnd w:id="272"/>
    </w:p>
    <w:p w14:paraId="0024511B" w14:textId="45201705" w:rsidR="0004569E" w:rsidRDefault="0004569E" w:rsidP="00565B02">
      <w:pPr>
        <w:pStyle w:val="Caption"/>
        <w:keepNext/>
      </w:pPr>
      <w:bookmarkStart w:id="273" w:name="_Ref153871958"/>
      <w:bookmarkStart w:id="274" w:name="_Toc153901390"/>
      <w:r>
        <w:lastRenderedPageBreak/>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44</w:t>
      </w:r>
      <w:r w:rsidR="00F35B2C">
        <w:fldChar w:fldCharType="end"/>
      </w:r>
      <w:bookmarkEnd w:id="273"/>
      <w:r>
        <w:t xml:space="preserve">: </w:t>
      </w:r>
      <w:r w:rsidRPr="0004569E">
        <w:t>Производња примарне енергије у периоду 2020-2050. године у сценарију са постојећим мерама (WEM)</w:t>
      </w:r>
      <w:bookmarkEnd w:id="274"/>
    </w:p>
    <w:p w14:paraId="6DF6046B" w14:textId="3AAE3F7E" w:rsidR="007C1299" w:rsidRPr="00FF386D" w:rsidRDefault="0004569E" w:rsidP="002A1A23">
      <w:pPr>
        <w:jc w:val="center"/>
        <w:rPr>
          <w:rFonts w:ascii="Calibri" w:eastAsia="Calibri" w:hAnsi="Calibri" w:cs="Times New Roman"/>
          <w:lang w:eastAsia="el-GR"/>
        </w:rPr>
      </w:pPr>
      <w:r>
        <w:rPr>
          <w:noProof/>
          <w:lang w:val="en-US"/>
        </w:rPr>
        <mc:AlternateContent>
          <mc:Choice Requires="wps">
            <w:drawing>
              <wp:anchor distT="0" distB="0" distL="114300" distR="114300" simplePos="0" relativeHeight="251724800" behindDoc="0" locked="0" layoutInCell="1" allowOverlap="1" wp14:anchorId="72C6D049" wp14:editId="0AAF176B">
                <wp:simplePos x="0" y="0"/>
                <wp:positionH relativeFrom="column">
                  <wp:posOffset>1420002</wp:posOffset>
                </wp:positionH>
                <wp:positionV relativeFrom="paragraph">
                  <wp:posOffset>352586</wp:posOffset>
                </wp:positionV>
                <wp:extent cx="2377440" cy="2500630"/>
                <wp:effectExtent l="0" t="0" r="0" b="0"/>
                <wp:wrapNone/>
                <wp:docPr id="267096320" name="Text Box 267096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7440" cy="2500630"/>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41928A72" id="Text Box 267096320" o:spid="_x0000_s1026" type="#_x0000_t202" style="position:absolute;margin-left:111.8pt;margin-top:27.75pt;width:187.2pt;height:196.9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" fillcolor="#a6a6a6" stroked="f">
                <v:fill opacity="32896f"/>
              </v:shape>
            </w:pict>
          </mc:Fallback>
        </mc:AlternateContent>
      </w:r>
      <w:r w:rsidR="007C1299" w:rsidRPr="004F53D7">
        <w:rPr>
          <w:rFonts w:ascii="Calibri" w:eastAsia="Calibri" w:hAnsi="Calibri" w:cs="Times New Roman"/>
          <w:noProof/>
          <w:lang w:val="en-US"/>
        </w:rPr>
        <w:drawing>
          <wp:inline distT="0" distB="0" distL="0" distR="0" wp14:anchorId="370953E9" wp14:editId="5A038DCB">
            <wp:extent cx="5094771" cy="3349283"/>
            <wp:effectExtent l="0" t="0" r="0" b="0"/>
            <wp:docPr id="1182195638" name="Picture 1182195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98837" cy="3351956"/>
                    </a:xfrm>
                    <a:prstGeom prst="rect">
                      <a:avLst/>
                    </a:prstGeom>
                    <a:noFill/>
                  </pic:spPr>
                </pic:pic>
              </a:graphicData>
            </a:graphic>
          </wp:inline>
        </w:drawing>
      </w:r>
    </w:p>
    <w:p w14:paraId="60D28EFB" w14:textId="1494ABDE" w:rsidR="0004569E" w:rsidRDefault="00A0370B" w:rsidP="00565B02">
      <w:pPr>
        <w:spacing w:before="120" w:after="120" w:line="240" w:lineRule="auto"/>
        <w:jc w:val="both"/>
      </w:pPr>
      <w:bookmarkStart w:id="275" w:name="_Hlk135814237"/>
      <w:r w:rsidRPr="00FF386D">
        <w:rPr>
          <w:rFonts w:ascii="Calibri Light" w:eastAsia="Calibri" w:hAnsi="Calibri Light" w:cs="Calibri Light"/>
          <w:lang w:bidi="sr-Cyrl-CS"/>
        </w:rPr>
        <w:t>Домаће потребе за снабдевање</w:t>
      </w:r>
      <w:r w:rsidR="00020A32" w:rsidRPr="00FF386D">
        <w:rPr>
          <w:rFonts w:ascii="Calibri Light" w:eastAsia="Calibri" w:hAnsi="Calibri Light" w:cs="Calibri Light"/>
          <w:lang w:bidi="sr-Cyrl-CS"/>
        </w:rPr>
        <w:t>м</w:t>
      </w:r>
      <w:r w:rsidRPr="00FF386D">
        <w:rPr>
          <w:rFonts w:ascii="Calibri Light" w:eastAsia="Calibri" w:hAnsi="Calibri Light" w:cs="Calibri Light"/>
          <w:lang w:bidi="sr-Cyrl-CS"/>
        </w:rPr>
        <w:t xml:space="preserve"> енергијом биће допуњене увезеном енергијом, узимајући у обзир извоз и промене резерви. Начелно, очекује се раст увоза енергије и смањење извоза енергије, што ће довести до општег повећања укупног нето увоза, како би се допунило смањење </w:t>
      </w:r>
      <w:r w:rsidR="00020A32" w:rsidRPr="00FF386D">
        <w:rPr>
          <w:rFonts w:ascii="Calibri Light" w:eastAsia="Calibri" w:hAnsi="Calibri Light" w:cs="Calibri Light"/>
          <w:lang w:bidi="sr-Cyrl-CS"/>
        </w:rPr>
        <w:t>домаће</w:t>
      </w:r>
      <w:r w:rsidRPr="00FF386D">
        <w:rPr>
          <w:rFonts w:ascii="Calibri Light" w:eastAsia="Calibri" w:hAnsi="Calibri Light" w:cs="Calibri Light"/>
          <w:lang w:bidi="sr-Cyrl-CS"/>
        </w:rPr>
        <w:t xml:space="preserve"> производње за покривање бруто </w:t>
      </w:r>
      <w:r w:rsidR="007C1299" w:rsidRPr="00FF386D">
        <w:rPr>
          <w:rFonts w:ascii="Calibri Light" w:eastAsia="Calibri" w:hAnsi="Calibri Light" w:cs="Calibri Light"/>
          <w:lang w:bidi="sr-Cyrl-CS"/>
        </w:rPr>
        <w:t xml:space="preserve">домаће </w:t>
      </w:r>
      <w:r w:rsidRPr="00FF386D">
        <w:rPr>
          <w:rFonts w:ascii="Calibri Light" w:eastAsia="Calibri" w:hAnsi="Calibri Light" w:cs="Calibri Light"/>
          <w:lang w:bidi="sr-Cyrl-CS"/>
        </w:rPr>
        <w:t xml:space="preserve">потрошње. У ствари, пројектовано је да ће се увоз енергије повећати са 6,3 Mtoe у 2020. години на 7,6 Mtoe у 2030. години и на 9,8 Mtoe у 2050. години, као што је приказано </w:t>
      </w:r>
      <w:bookmarkEnd w:id="275"/>
      <w:r w:rsidR="002A1A23" w:rsidRPr="00FF386D">
        <w:rPr>
          <w:rFonts w:ascii="Calibri Light" w:eastAsia="Times New Roman" w:hAnsi="Calibri Light" w:cs="Calibri Light"/>
          <w:lang w:eastAsia="el-GR" w:bidi="sr-Cyrl-CS"/>
        </w:rPr>
        <w:t>на</w:t>
      </w:r>
      <w:r w:rsidR="0004569E">
        <w:rPr>
          <w:rFonts w:ascii="Calibri Light" w:eastAsia="Times New Roman" w:hAnsi="Calibri Light" w:cs="Calibri Light"/>
          <w:lang w:eastAsia="el-GR" w:bidi="sr-Cyrl-CS"/>
        </w:rPr>
        <w:t xml:space="preserve"> </w:t>
      </w:r>
      <w:r w:rsidR="0004569E" w:rsidRPr="00565B02">
        <w:rPr>
          <w:rFonts w:ascii="Calibri Light" w:eastAsia="Calibri" w:hAnsi="Calibri Light" w:cs="Calibri Light"/>
          <w:lang w:bidi="sr-Cyrl-CS"/>
        </w:rPr>
        <w:fldChar w:fldCharType="begin"/>
      </w:r>
      <w:r w:rsidR="0004569E" w:rsidRPr="00565B02">
        <w:rPr>
          <w:rFonts w:ascii="Calibri Light" w:eastAsia="Calibri" w:hAnsi="Calibri Light" w:cs="Calibri Light"/>
          <w:lang w:bidi="sr-Cyrl-CS"/>
        </w:rPr>
        <w:instrText xml:space="preserve"> REF _Ref153872051 \h </w:instrText>
      </w:r>
      <w:r w:rsidR="0004569E">
        <w:rPr>
          <w:rFonts w:ascii="Calibri Light" w:eastAsia="Calibri" w:hAnsi="Calibri Light" w:cs="Calibri Light"/>
          <w:lang w:bidi="sr-Cyrl-CS"/>
        </w:rPr>
        <w:instrText xml:space="preserve"> \* MERGEFORMAT </w:instrText>
      </w:r>
      <w:r w:rsidR="0004569E" w:rsidRPr="00565B02">
        <w:rPr>
          <w:rFonts w:ascii="Calibri Light" w:eastAsia="Calibri" w:hAnsi="Calibri Light" w:cs="Calibri Light"/>
          <w:lang w:bidi="sr-Cyrl-CS"/>
        </w:rPr>
      </w:r>
      <w:r w:rsidR="0004569E" w:rsidRPr="00565B02">
        <w:rPr>
          <w:rFonts w:ascii="Calibri Light" w:eastAsia="Calibri" w:hAnsi="Calibri Light" w:cs="Calibri Light"/>
          <w:lang w:bidi="sr-Cyrl-CS"/>
        </w:rPr>
        <w:fldChar w:fldCharType="separate"/>
      </w:r>
      <w:r w:rsidR="0004569E" w:rsidRPr="00565B02">
        <w:rPr>
          <w:rFonts w:ascii="Calibri Light" w:eastAsia="Calibri" w:hAnsi="Calibri Light" w:cs="Calibri Light"/>
          <w:lang w:bidi="sr-Cyrl-CS"/>
        </w:rPr>
        <w:t>слици 4.45</w:t>
      </w:r>
      <w:r w:rsidR="0004569E" w:rsidRPr="00565B02">
        <w:rPr>
          <w:rFonts w:ascii="Calibri Light" w:eastAsia="Calibri" w:hAnsi="Calibri Light" w:cs="Calibri Light"/>
          <w:lang w:bidi="sr-Cyrl-CS"/>
        </w:rPr>
        <w:fldChar w:fldCharType="end"/>
      </w:r>
      <w:r w:rsidR="002A1A23" w:rsidRPr="00565B02">
        <w:rPr>
          <w:rFonts w:ascii="Calibri Light" w:eastAsia="Calibri" w:hAnsi="Calibri Light" w:cs="Calibri Light"/>
          <w:lang w:bidi="sr-Cyrl-CS"/>
        </w:rPr>
        <w:t>.</w:t>
      </w:r>
    </w:p>
    <w:p w14:paraId="08C4144B" w14:textId="6FCA06EF" w:rsidR="0004569E" w:rsidRDefault="0004569E" w:rsidP="00565B02">
      <w:pPr>
        <w:pStyle w:val="Caption"/>
        <w:keepNext/>
      </w:pPr>
      <w:bookmarkStart w:id="276" w:name="_Ref153872051"/>
      <w:bookmarkStart w:id="277" w:name="_Toc153901391"/>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45</w:t>
      </w:r>
      <w:r w:rsidR="00F35B2C">
        <w:fldChar w:fldCharType="end"/>
      </w:r>
      <w:bookmarkEnd w:id="276"/>
      <w:r>
        <w:t xml:space="preserve">: </w:t>
      </w:r>
      <w:r w:rsidRPr="0004569E">
        <w:t>Увоз енергије по врсти горива у период 2020-2050. године у сценарију са постојећим мерама (WEM)</w:t>
      </w:r>
      <w:bookmarkEnd w:id="277"/>
    </w:p>
    <w:p w14:paraId="61588340" w14:textId="688AA877" w:rsidR="007C1299" w:rsidRPr="00FF386D" w:rsidRDefault="0004569E" w:rsidP="002A1A23">
      <w:pPr>
        <w:jc w:val="center"/>
        <w:rPr>
          <w:rFonts w:ascii="Calibri" w:eastAsia="Calibri" w:hAnsi="Calibri" w:cs="Times New Roman"/>
          <w:lang w:eastAsia="el-GR"/>
        </w:rPr>
      </w:pPr>
      <w:r>
        <w:rPr>
          <w:noProof/>
          <w:lang w:val="en-US"/>
        </w:rPr>
        <mc:AlternateContent>
          <mc:Choice Requires="wps">
            <w:drawing>
              <wp:anchor distT="0" distB="0" distL="114300" distR="114300" simplePos="0" relativeHeight="251726848" behindDoc="0" locked="0" layoutInCell="1" allowOverlap="1" wp14:anchorId="63A0EB7F" wp14:editId="20C69BC7">
                <wp:simplePos x="0" y="0"/>
                <wp:positionH relativeFrom="column">
                  <wp:posOffset>1443079</wp:posOffset>
                </wp:positionH>
                <wp:positionV relativeFrom="paragraph">
                  <wp:posOffset>818136</wp:posOffset>
                </wp:positionV>
                <wp:extent cx="2374123" cy="2131060"/>
                <wp:effectExtent l="0" t="0" r="7620" b="2540"/>
                <wp:wrapNone/>
                <wp:docPr id="1360733542" name="Text Box 1360733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123" cy="2131060"/>
                        </a:xfrm>
                        <a:prstGeom prst="rect">
                          <a:avLst/>
                        </a:prstGeom>
                        <a:solidFill>
                          <a:sysClr val="window" lastClr="FFFFFF">
                            <a:lumMod val="65000"/>
                            <a:alpha val="50000"/>
                          </a:sysClr>
                        </a:solidFill>
                        <a:ln>
                          <a:noFill/>
                        </a:ln>
                        <a:effectLst/>
                      </wps:spPr>
                      <wps:bodyPr vertOverflow="clip" wrap="square" rtlCol="0"/>
                    </wps:wsp>
                  </a:graphicData>
                </a:graphic>
                <wp14:sizeRelH relativeFrom="page">
                  <wp14:pctWidth>0</wp14:pctWidth>
                </wp14:sizeRelH>
                <wp14:sizeRelV relativeFrom="page">
                  <wp14:pctHeight>0</wp14:pctHeight>
                </wp14:sizeRelV>
              </wp:anchor>
            </w:drawing>
          </mc:Choice>
          <mc:Fallback>
            <w:pict>
              <v:shape w14:anchorId="53C835E7" id="Text Box 1360733542" o:spid="_x0000_s1026" type="#_x0000_t202" style="position:absolute;margin-left:113.65pt;margin-top:64.4pt;width:186.95pt;height:167.8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" fillcolor="#a6a6a6" stroked="f">
                <v:fill opacity="32896f"/>
              </v:shape>
            </w:pict>
          </mc:Fallback>
        </mc:AlternateContent>
      </w:r>
      <w:r w:rsidR="007C1299" w:rsidRPr="004F53D7">
        <w:rPr>
          <w:rFonts w:ascii="Calibri" w:eastAsia="Calibri" w:hAnsi="Calibri" w:cs="Times New Roman"/>
          <w:noProof/>
          <w:lang w:val="en-US"/>
        </w:rPr>
        <w:drawing>
          <wp:inline distT="0" distB="0" distL="0" distR="0" wp14:anchorId="4E7A8643" wp14:editId="7B355F0C">
            <wp:extent cx="5096091" cy="3607403"/>
            <wp:effectExtent l="0" t="0" r="0" b="0"/>
            <wp:docPr id="155449261" name="Picture 155449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101478" cy="3611217"/>
                    </a:xfrm>
                    <a:prstGeom prst="rect">
                      <a:avLst/>
                    </a:prstGeom>
                    <a:noFill/>
                  </pic:spPr>
                </pic:pic>
              </a:graphicData>
            </a:graphic>
          </wp:inline>
        </w:drawing>
      </w:r>
    </w:p>
    <w:p w14:paraId="084D1D5D" w14:textId="0B0248B4" w:rsidR="0004569E" w:rsidRDefault="00A0370B" w:rsidP="00565B02">
      <w:pPr>
        <w:spacing w:before="120" w:after="120" w:line="240" w:lineRule="auto"/>
        <w:jc w:val="both"/>
      </w:pPr>
      <w:bookmarkStart w:id="278" w:name="_Hlk135814307"/>
      <w:r w:rsidRPr="00FF386D">
        <w:rPr>
          <w:rFonts w:ascii="Calibri Light" w:eastAsia="Calibri" w:hAnsi="Calibri Light" w:cs="Calibri Light"/>
          <w:lang w:bidi="sr-Cyrl-CS"/>
        </w:rPr>
        <w:lastRenderedPageBreak/>
        <w:t xml:space="preserve">С друге стране, очекује се да ће извоз енергије опасти са 1,1 Mtoe у 2020. години на 0,9 Mtoe у 2030. години и на 0,5 Mtoe у 2050. години, као што је приказано </w:t>
      </w:r>
      <w:bookmarkEnd w:id="278"/>
      <w:r w:rsidR="002A1A23" w:rsidRPr="00565B02">
        <w:rPr>
          <w:rFonts w:ascii="Calibri Light" w:eastAsia="Calibri" w:hAnsi="Calibri Light" w:cs="Calibri Light"/>
          <w:lang w:bidi="sr-Cyrl-CS"/>
        </w:rPr>
        <w:t>на</w:t>
      </w:r>
      <w:r w:rsidR="0004569E" w:rsidRPr="00565B02">
        <w:rPr>
          <w:rFonts w:ascii="Calibri Light" w:eastAsia="Calibri" w:hAnsi="Calibri Light" w:cs="Calibri Light"/>
          <w:lang w:bidi="sr-Cyrl-CS"/>
        </w:rPr>
        <w:t xml:space="preserve"> </w:t>
      </w:r>
      <w:r w:rsidR="0004569E" w:rsidRPr="00565B02">
        <w:rPr>
          <w:rFonts w:ascii="Calibri Light" w:eastAsia="Calibri" w:hAnsi="Calibri Light" w:cs="Calibri Light"/>
          <w:lang w:bidi="sr-Cyrl-CS"/>
        </w:rPr>
        <w:fldChar w:fldCharType="begin"/>
      </w:r>
      <w:r w:rsidR="0004569E" w:rsidRPr="00565B02">
        <w:rPr>
          <w:rFonts w:ascii="Calibri Light" w:eastAsia="Calibri" w:hAnsi="Calibri Light" w:cs="Calibri Light"/>
          <w:lang w:bidi="sr-Cyrl-CS"/>
        </w:rPr>
        <w:instrText xml:space="preserve"> REF _Ref153872117 \h </w:instrText>
      </w:r>
      <w:r w:rsidR="0004569E">
        <w:rPr>
          <w:rFonts w:ascii="Calibri Light" w:eastAsia="Calibri" w:hAnsi="Calibri Light" w:cs="Calibri Light"/>
          <w:lang w:bidi="sr-Cyrl-CS"/>
        </w:rPr>
        <w:instrText xml:space="preserve"> \* MERGEFORMAT </w:instrText>
      </w:r>
      <w:r w:rsidR="0004569E" w:rsidRPr="00565B02">
        <w:rPr>
          <w:rFonts w:ascii="Calibri Light" w:eastAsia="Calibri" w:hAnsi="Calibri Light" w:cs="Calibri Light"/>
          <w:lang w:bidi="sr-Cyrl-CS"/>
        </w:rPr>
      </w:r>
      <w:r w:rsidR="0004569E" w:rsidRPr="00565B02">
        <w:rPr>
          <w:rFonts w:ascii="Calibri Light" w:eastAsia="Calibri" w:hAnsi="Calibri Light" w:cs="Calibri Light"/>
          <w:lang w:bidi="sr-Cyrl-CS"/>
        </w:rPr>
        <w:fldChar w:fldCharType="separate"/>
      </w:r>
      <w:r w:rsidR="0004569E" w:rsidRPr="00565B02">
        <w:rPr>
          <w:rFonts w:ascii="Calibri Light" w:eastAsia="Calibri" w:hAnsi="Calibri Light" w:cs="Calibri Light"/>
          <w:lang w:bidi="sr-Cyrl-CS"/>
        </w:rPr>
        <w:t>слици 4.46</w:t>
      </w:r>
      <w:r w:rsidR="0004569E" w:rsidRPr="00565B02">
        <w:rPr>
          <w:rFonts w:ascii="Calibri Light" w:eastAsia="Calibri" w:hAnsi="Calibri Light" w:cs="Calibri Light"/>
          <w:lang w:bidi="sr-Cyrl-CS"/>
        </w:rPr>
        <w:fldChar w:fldCharType="end"/>
      </w:r>
      <w:r w:rsidR="002A1A23" w:rsidRPr="00565B02">
        <w:rPr>
          <w:rFonts w:ascii="Calibri Light" w:eastAsia="Calibri" w:hAnsi="Calibri Light" w:cs="Calibri Light"/>
          <w:lang w:bidi="sr-Cyrl-CS"/>
        </w:rPr>
        <w:t>.</w:t>
      </w:r>
    </w:p>
    <w:p w14:paraId="116C333B" w14:textId="58FE1AFF" w:rsidR="0004569E" w:rsidRDefault="0004569E" w:rsidP="00565B02">
      <w:pPr>
        <w:pStyle w:val="Caption"/>
        <w:keepNext/>
      </w:pPr>
      <w:bookmarkStart w:id="279" w:name="_Ref153872117"/>
      <w:bookmarkStart w:id="280" w:name="_Toc153901392"/>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46</w:t>
      </w:r>
      <w:r w:rsidR="00F35B2C">
        <w:fldChar w:fldCharType="end"/>
      </w:r>
      <w:bookmarkEnd w:id="279"/>
      <w:r>
        <w:t xml:space="preserve">: </w:t>
      </w:r>
      <w:r w:rsidRPr="0004569E">
        <w:t>Извоз енергије по врсти горива у периоду 2020-2050. године у сценарију са постојећим мерама (WEM)</w:t>
      </w:r>
      <w:bookmarkEnd w:id="280"/>
    </w:p>
    <w:p w14:paraId="5865993C" w14:textId="7C77C0B0" w:rsidR="00EA6F74" w:rsidRPr="00FF386D" w:rsidRDefault="0004569E" w:rsidP="00EA6F74">
      <w:pPr>
        <w:jc w:val="center"/>
        <w:rPr>
          <w:rFonts w:ascii="Calibri" w:eastAsia="Calibri" w:hAnsi="Calibri" w:cs="Times New Roman"/>
          <w:lang w:eastAsia="el-GR" w:bidi="sr-Cyrl-CS"/>
        </w:rPr>
      </w:pPr>
      <w:r>
        <w:rPr>
          <w:noProof/>
          <w:lang w:val="en-US"/>
        </w:rPr>
        <mc:AlternateContent>
          <mc:Choice Requires="wps">
            <w:drawing>
              <wp:anchor distT="0" distB="0" distL="114300" distR="114300" simplePos="0" relativeHeight="251728896" behindDoc="0" locked="0" layoutInCell="1" allowOverlap="1" wp14:anchorId="0F1D0332" wp14:editId="38097317">
                <wp:simplePos x="0" y="0"/>
                <wp:positionH relativeFrom="column">
                  <wp:posOffset>1360805</wp:posOffset>
                </wp:positionH>
                <wp:positionV relativeFrom="paragraph">
                  <wp:posOffset>593573</wp:posOffset>
                </wp:positionV>
                <wp:extent cx="2506980" cy="2386965"/>
                <wp:effectExtent l="0" t="0" r="0" b="0"/>
                <wp:wrapNone/>
                <wp:docPr id="1682277363" name="Text Box 1682277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6980" cy="2386965"/>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175CC1FD" id="Text Box 1682277363" o:spid="_x0000_s1026" type="#_x0000_t202" style="position:absolute;margin-left:107.15pt;margin-top:46.75pt;width:197.4pt;height:187.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" fillcolor="#a6a6a6" stroked="f">
                <v:fill opacity="32896f"/>
              </v:shape>
            </w:pict>
          </mc:Fallback>
        </mc:AlternateContent>
      </w:r>
      <w:r w:rsidR="00EA6F74" w:rsidRPr="004F53D7">
        <w:rPr>
          <w:rFonts w:ascii="Calibri" w:eastAsia="Calibri" w:hAnsi="Calibri" w:cs="Times New Roman"/>
          <w:noProof/>
          <w:lang w:val="en-US"/>
        </w:rPr>
        <w:drawing>
          <wp:inline distT="0" distB="0" distL="0" distR="0" wp14:anchorId="29ABC33B" wp14:editId="373E6EC7">
            <wp:extent cx="5398935" cy="3680982"/>
            <wp:effectExtent l="0" t="0" r="0" b="0"/>
            <wp:docPr id="919478212" name="Picture 919478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7525" cy="3686839"/>
                    </a:xfrm>
                    <a:prstGeom prst="rect">
                      <a:avLst/>
                    </a:prstGeom>
                    <a:noFill/>
                  </pic:spPr>
                </pic:pic>
              </a:graphicData>
            </a:graphic>
          </wp:inline>
        </w:drawing>
      </w:r>
    </w:p>
    <w:p w14:paraId="16A67076" w14:textId="4728C0A7" w:rsidR="002A1A23" w:rsidRPr="00565B02" w:rsidRDefault="00A0370B" w:rsidP="002A1A23">
      <w:pPr>
        <w:spacing w:before="120" w:after="120" w:line="240" w:lineRule="auto"/>
        <w:jc w:val="both"/>
        <w:rPr>
          <w:rFonts w:ascii="Calibri Light" w:eastAsia="Calibri" w:hAnsi="Calibri Light" w:cs="Calibri Light"/>
          <w:lang w:bidi="sr-Cyrl-CS"/>
        </w:rPr>
      </w:pPr>
      <w:bookmarkStart w:id="281" w:name="_Hlk135814344"/>
      <w:r w:rsidRPr="00FF386D">
        <w:rPr>
          <w:rFonts w:ascii="Calibri Light" w:eastAsia="Calibri" w:hAnsi="Calibri Light" w:cs="Calibri Light"/>
          <w:lang w:bidi="sr-Cyrl-CS"/>
        </w:rPr>
        <w:t>Стога се закључује да се очекује да ће се нето увоз енергије повећати са 5,2 Mtoe у 2020. години на 6,7 Mtoe у 2030. години и на 9,3 Mtoe у 2050. години, те ће доћи до повећања од 81% у 2050. години у поређењу са 2020. годином, као што је приказано на</w:t>
      </w:r>
      <w:bookmarkEnd w:id="281"/>
      <w:r w:rsidR="0004569E">
        <w:rPr>
          <w:rFonts w:ascii="Calibri Light" w:eastAsia="Calibri" w:hAnsi="Calibri Light" w:cs="Calibri Light"/>
          <w:lang w:bidi="sr-Cyrl-CS"/>
        </w:rPr>
        <w:t xml:space="preserve"> </w:t>
      </w:r>
      <w:r w:rsidR="0004569E">
        <w:rPr>
          <w:rFonts w:ascii="Calibri Light" w:eastAsia="Calibri" w:hAnsi="Calibri Light" w:cs="Calibri Light"/>
          <w:lang w:bidi="sr-Cyrl-CS"/>
        </w:rPr>
        <w:fldChar w:fldCharType="begin"/>
      </w:r>
      <w:r w:rsidR="0004569E">
        <w:rPr>
          <w:rFonts w:ascii="Calibri Light" w:eastAsia="Calibri" w:hAnsi="Calibri Light" w:cs="Calibri Light"/>
          <w:lang w:bidi="sr-Cyrl-CS"/>
        </w:rPr>
        <w:instrText xml:space="preserve"> REF _Ref153872234 \h  \* MERGEFORMAT </w:instrText>
      </w:r>
      <w:r w:rsidR="0004569E">
        <w:rPr>
          <w:rFonts w:ascii="Calibri Light" w:eastAsia="Calibri" w:hAnsi="Calibri Light" w:cs="Calibri Light"/>
          <w:lang w:bidi="sr-Cyrl-CS"/>
        </w:rPr>
      </w:r>
      <w:r w:rsidR="0004569E">
        <w:rPr>
          <w:rFonts w:ascii="Calibri Light" w:eastAsia="Calibri" w:hAnsi="Calibri Light" w:cs="Calibri Light"/>
          <w:lang w:bidi="sr-Cyrl-CS"/>
        </w:rPr>
        <w:fldChar w:fldCharType="separate"/>
      </w:r>
      <w:r w:rsidR="0004569E" w:rsidRPr="00565B02">
        <w:rPr>
          <w:rFonts w:ascii="Calibri Light" w:eastAsia="Calibri" w:hAnsi="Calibri Light" w:cs="Calibri Light"/>
          <w:lang w:bidi="sr-Cyrl-CS"/>
        </w:rPr>
        <w:t>слици 4.47</w:t>
      </w:r>
      <w:r w:rsidR="0004569E">
        <w:rPr>
          <w:rFonts w:ascii="Calibri Light" w:eastAsia="Calibri" w:hAnsi="Calibri Light" w:cs="Calibri Light"/>
          <w:lang w:bidi="sr-Cyrl-CS"/>
        </w:rPr>
        <w:fldChar w:fldCharType="end"/>
      </w:r>
      <w:r w:rsidR="002A1A23" w:rsidRPr="00565B02">
        <w:rPr>
          <w:rFonts w:ascii="Calibri Light" w:eastAsia="Calibri" w:hAnsi="Calibri Light" w:cs="Calibri Light"/>
          <w:lang w:bidi="sr-Cyrl-CS"/>
        </w:rPr>
        <w:t>.</w:t>
      </w:r>
    </w:p>
    <w:p w14:paraId="774FED64" w14:textId="225DB9A3" w:rsidR="0004569E" w:rsidRDefault="0004569E" w:rsidP="00565B02">
      <w:pPr>
        <w:pStyle w:val="Caption"/>
        <w:keepNext/>
      </w:pPr>
      <w:bookmarkStart w:id="282" w:name="_Ref153872234"/>
      <w:bookmarkStart w:id="283" w:name="_Toc153901393"/>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47</w:t>
      </w:r>
      <w:r w:rsidR="00F35B2C">
        <w:fldChar w:fldCharType="end"/>
      </w:r>
      <w:bookmarkEnd w:id="282"/>
      <w:r>
        <w:t xml:space="preserve">: </w:t>
      </w:r>
      <w:r w:rsidRPr="0004569E">
        <w:t>Увоз, извоз и нето увоз у периоду 2020-2050. године у сценарију са постојећим мерама (WEM)</w:t>
      </w:r>
      <w:bookmarkEnd w:id="283"/>
    </w:p>
    <w:p w14:paraId="2AF16A14" w14:textId="270905A6" w:rsidR="00EA6F74" w:rsidRPr="00FF386D" w:rsidRDefault="0004569E" w:rsidP="00EA6F74">
      <w:pPr>
        <w:jc w:val="center"/>
        <w:rPr>
          <w:rFonts w:ascii="Calibri" w:eastAsia="Calibri" w:hAnsi="Calibri" w:cs="Times New Roman"/>
          <w:lang w:eastAsia="el-GR" w:bidi="sr-Cyrl-CS"/>
        </w:rPr>
      </w:pPr>
      <w:r>
        <w:rPr>
          <w:noProof/>
          <w:lang w:val="en-US"/>
        </w:rPr>
        <mc:AlternateContent>
          <mc:Choice Requires="wps">
            <w:drawing>
              <wp:anchor distT="0" distB="0" distL="114300" distR="114300" simplePos="0" relativeHeight="251851776" behindDoc="0" locked="0" layoutInCell="1" allowOverlap="1" wp14:anchorId="202A76C4" wp14:editId="765CF598">
                <wp:simplePos x="0" y="0"/>
                <wp:positionH relativeFrom="column">
                  <wp:posOffset>1292955</wp:posOffset>
                </wp:positionH>
                <wp:positionV relativeFrom="paragraph">
                  <wp:posOffset>540973</wp:posOffset>
                </wp:positionV>
                <wp:extent cx="2506980" cy="2141305"/>
                <wp:effectExtent l="0" t="0" r="7620" b="0"/>
                <wp:wrapNone/>
                <wp:docPr id="1773802617" name="Text Box 1773802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6980" cy="2141305"/>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266E5162" id="Text Box 1773802617" o:spid="_x0000_s1026" type="#_x0000_t202" style="position:absolute;margin-left:101.8pt;margin-top:42.6pt;width:197.4pt;height:168.6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" fillcolor="#a6a6a6" stroked="f">
                <v:fill opacity="32896f"/>
              </v:shape>
            </w:pict>
          </mc:Fallback>
        </mc:AlternateContent>
      </w:r>
      <w:r w:rsidR="00EA6F74" w:rsidRPr="004F53D7">
        <w:rPr>
          <w:rFonts w:ascii="Calibri" w:eastAsia="Calibri" w:hAnsi="Calibri" w:cs="Times New Roman"/>
          <w:noProof/>
          <w:lang w:val="en-US"/>
        </w:rPr>
        <w:drawing>
          <wp:inline distT="0" distB="0" distL="0" distR="0" wp14:anchorId="50056CF1" wp14:editId="1BE70526">
            <wp:extent cx="5400190" cy="3121762"/>
            <wp:effectExtent l="0" t="0" r="0" b="0"/>
            <wp:docPr id="1282932990" name="Picture 1282932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14820" cy="3130219"/>
                    </a:xfrm>
                    <a:prstGeom prst="rect">
                      <a:avLst/>
                    </a:prstGeom>
                    <a:noFill/>
                  </pic:spPr>
                </pic:pic>
              </a:graphicData>
            </a:graphic>
          </wp:inline>
        </w:drawing>
      </w:r>
    </w:p>
    <w:p w14:paraId="0B121672" w14:textId="0F12AB06" w:rsidR="00E44B77" w:rsidRDefault="00A0370B" w:rsidP="00565B02">
      <w:pPr>
        <w:spacing w:before="120" w:after="120" w:line="240" w:lineRule="auto"/>
        <w:jc w:val="both"/>
      </w:pPr>
      <w:bookmarkStart w:id="284" w:name="_Hlk135814549"/>
      <w:r w:rsidRPr="00FF386D">
        <w:rPr>
          <w:rFonts w:ascii="Calibri Light" w:eastAsia="Times New Roman" w:hAnsi="Calibri Light" w:cs="Calibri Light"/>
          <w:lang w:eastAsia="el-GR" w:bidi="sr-Cyrl-CS"/>
        </w:rPr>
        <w:lastRenderedPageBreak/>
        <w:t>У 2020. години, транформациони улаз у производњи електричне енергије износио је 6,9 Mtoe, а ова цифра ће се повећати на 7,9 Mtoe у 2030. години пре него што достигне ниво од 7,8 Mtoe у 2050. години. Удео произвођача којима је то главна делатност, попут конвеционалних термоелектрана, остаће стабилан на нивоу од око 98% у 2050. години.</w:t>
      </w:r>
      <w:bookmarkEnd w:id="284"/>
    </w:p>
    <w:p w14:paraId="4FF3D640" w14:textId="05CEA945" w:rsidR="00E44B77" w:rsidRPr="00E44B77" w:rsidRDefault="00E44B77" w:rsidP="00565B02">
      <w:pPr>
        <w:pStyle w:val="Caption"/>
        <w:keepNext/>
      </w:pPr>
      <w:bookmarkStart w:id="285" w:name="_Toc153901394"/>
      <w:r w:rsidRPr="00E44B77">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48</w:t>
      </w:r>
      <w:r w:rsidR="00F35B2C">
        <w:fldChar w:fldCharType="end"/>
      </w:r>
      <w:r w:rsidRPr="00565B02">
        <w:t>: Трансформациони улаз у сектору електричне енергије у периоду 2020-2050. године у сценарију са постојећим мерама (WEM)</w:t>
      </w:r>
      <w:bookmarkEnd w:id="285"/>
    </w:p>
    <w:p w14:paraId="477DB067" w14:textId="34E196EB" w:rsidR="00EA6F74" w:rsidRPr="00FF386D" w:rsidRDefault="00E44B77" w:rsidP="00EA6F74">
      <w:pPr>
        <w:jc w:val="center"/>
        <w:rPr>
          <w:rFonts w:ascii="Calibri" w:eastAsia="Calibri" w:hAnsi="Calibri" w:cs="Times New Roman"/>
          <w:lang w:eastAsia="el-GR" w:bidi="sr-Cyrl-CS"/>
        </w:rPr>
      </w:pPr>
      <w:r>
        <w:rPr>
          <w:noProof/>
          <w:lang w:val="en-US"/>
        </w:rPr>
        <mc:AlternateContent>
          <mc:Choice Requires="wps">
            <w:drawing>
              <wp:anchor distT="0" distB="0" distL="114300" distR="114300" simplePos="0" relativeHeight="251743232" behindDoc="0" locked="0" layoutInCell="1" allowOverlap="1" wp14:anchorId="034F7CF3" wp14:editId="0331A153">
                <wp:simplePos x="0" y="0"/>
                <wp:positionH relativeFrom="column">
                  <wp:posOffset>1020000</wp:posOffset>
                </wp:positionH>
                <wp:positionV relativeFrom="paragraph">
                  <wp:posOffset>459759</wp:posOffset>
                </wp:positionV>
                <wp:extent cx="2809240" cy="2246630"/>
                <wp:effectExtent l="0" t="0" r="0" b="1270"/>
                <wp:wrapNone/>
                <wp:docPr id="948496155" name="Text Box 948496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9240" cy="2246630"/>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page">
                  <wp14:pctHeight>0</wp14:pctHeight>
                </wp14:sizeRelV>
              </wp:anchor>
            </w:drawing>
          </mc:Choice>
          <mc:Fallback>
            <w:pict>
              <v:shape w14:anchorId="5094977B" id="Text Box 948496155" o:spid="_x0000_s1026" type="#_x0000_t202" style="position:absolute;margin-left:80.3pt;margin-top:36.2pt;width:221.2pt;height:176.9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" fillcolor="#a6a6a6" stroked="f">
                <v:fill opacity="32896f"/>
              </v:shape>
            </w:pict>
          </mc:Fallback>
        </mc:AlternateContent>
      </w:r>
      <w:r w:rsidR="00EA6F74" w:rsidRPr="004F53D7">
        <w:rPr>
          <w:rFonts w:ascii="Calibri" w:eastAsia="Calibri" w:hAnsi="Calibri" w:cs="Times New Roman"/>
          <w:noProof/>
          <w:lang w:val="en-US"/>
        </w:rPr>
        <w:drawing>
          <wp:inline distT="0" distB="0" distL="0" distR="0" wp14:anchorId="652B5B21" wp14:editId="334A9EA9">
            <wp:extent cx="5738017" cy="3769166"/>
            <wp:effectExtent l="0" t="0" r="0" b="0"/>
            <wp:docPr id="1141480571" name="Picture 1141480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59276" cy="3783131"/>
                    </a:xfrm>
                    <a:prstGeom prst="rect">
                      <a:avLst/>
                    </a:prstGeom>
                    <a:noFill/>
                  </pic:spPr>
                </pic:pic>
              </a:graphicData>
            </a:graphic>
          </wp:inline>
        </w:drawing>
      </w:r>
    </w:p>
    <w:p w14:paraId="10B96316" w14:textId="0980615A" w:rsidR="00E44B77" w:rsidRDefault="00A0370B" w:rsidP="00565B02">
      <w:pPr>
        <w:spacing w:before="120" w:after="120" w:line="240" w:lineRule="auto"/>
        <w:jc w:val="both"/>
      </w:pPr>
      <w:r w:rsidRPr="00FF386D">
        <w:rPr>
          <w:rFonts w:ascii="Calibri Light" w:eastAsia="Calibri" w:hAnsi="Calibri Light" w:cs="Calibri Light"/>
          <w:lang w:bidi="sr-Cyrl-CS"/>
        </w:rPr>
        <w:t xml:space="preserve">Слично томе, трансформациони излаз </w:t>
      </w:r>
      <w:r w:rsidR="00D90012" w:rsidRPr="00FF386D">
        <w:rPr>
          <w:rFonts w:ascii="Calibri Light" w:eastAsia="Calibri" w:hAnsi="Calibri Light" w:cs="Calibri Light"/>
          <w:lang w:bidi="sr-Cyrl-CS"/>
        </w:rPr>
        <w:t>из</w:t>
      </w:r>
      <w:r w:rsidRPr="00FF386D">
        <w:rPr>
          <w:rFonts w:ascii="Calibri Light" w:eastAsia="Calibri" w:hAnsi="Calibri Light" w:cs="Calibri Light"/>
          <w:lang w:bidi="sr-Cyrl-CS"/>
        </w:rPr>
        <w:t xml:space="preserve"> сектор</w:t>
      </w:r>
      <w:r w:rsidR="00D90012" w:rsidRPr="00FF386D">
        <w:rPr>
          <w:rFonts w:ascii="Calibri Light" w:eastAsia="Calibri" w:hAnsi="Calibri Light" w:cs="Calibri Light"/>
          <w:lang w:bidi="sr-Cyrl-CS"/>
        </w:rPr>
        <w:t>а</w:t>
      </w:r>
      <w:r w:rsidRPr="00FF386D">
        <w:rPr>
          <w:rFonts w:ascii="Calibri Light" w:eastAsia="Calibri" w:hAnsi="Calibri Light" w:cs="Calibri Light"/>
          <w:lang w:bidi="sr-Cyrl-CS"/>
        </w:rPr>
        <w:t xml:space="preserve"> електричне енергије износио је 2,4 Mtoe у 2020. години, а очекује се да ће порасти до 3,3 Mtoe у 2045. години, пре него што до 2050. године падне на 3,0 Mtoe, као што је приказано на</w:t>
      </w:r>
      <w:r w:rsidR="00E44B77">
        <w:rPr>
          <w:rFonts w:ascii="Calibri Light" w:eastAsia="Calibri" w:hAnsi="Calibri Light" w:cs="Calibri Light"/>
          <w:lang w:bidi="sr-Cyrl-CS"/>
        </w:rPr>
        <w:t xml:space="preserve"> </w:t>
      </w:r>
      <w:r w:rsidR="00E44B77">
        <w:rPr>
          <w:rFonts w:ascii="Calibri Light" w:eastAsia="Calibri" w:hAnsi="Calibri Light" w:cs="Calibri Light"/>
          <w:lang w:bidi="sr-Cyrl-CS"/>
        </w:rPr>
        <w:fldChar w:fldCharType="begin"/>
      </w:r>
      <w:r w:rsidR="00E44B77">
        <w:rPr>
          <w:rFonts w:ascii="Calibri Light" w:eastAsia="Calibri" w:hAnsi="Calibri Light" w:cs="Calibri Light"/>
          <w:lang w:bidi="sr-Cyrl-CS"/>
        </w:rPr>
        <w:instrText xml:space="preserve"> REF _Ref153872579 \h  \* MERGEFORMAT </w:instrText>
      </w:r>
      <w:r w:rsidR="00E44B77">
        <w:rPr>
          <w:rFonts w:ascii="Calibri Light" w:eastAsia="Calibri" w:hAnsi="Calibri Light" w:cs="Calibri Light"/>
          <w:lang w:bidi="sr-Cyrl-CS"/>
        </w:rPr>
      </w:r>
      <w:r w:rsidR="00E44B77">
        <w:rPr>
          <w:rFonts w:ascii="Calibri Light" w:eastAsia="Calibri" w:hAnsi="Calibri Light" w:cs="Calibri Light"/>
          <w:lang w:bidi="sr-Cyrl-CS"/>
        </w:rPr>
        <w:fldChar w:fldCharType="separate"/>
      </w:r>
      <w:r w:rsidR="00E44B77">
        <w:rPr>
          <w:rFonts w:ascii="Calibri Light" w:eastAsia="Calibri" w:hAnsi="Calibri Light" w:cs="Calibri Light"/>
          <w:lang w:bidi="sr-Cyrl-CS"/>
        </w:rPr>
        <w:t>с</w:t>
      </w:r>
      <w:r w:rsidR="00E44B77" w:rsidRPr="00565B02">
        <w:rPr>
          <w:rFonts w:ascii="Calibri Light" w:eastAsia="Calibri" w:hAnsi="Calibri Light" w:cs="Calibri Light"/>
          <w:lang w:bidi="sr-Cyrl-CS"/>
        </w:rPr>
        <w:t>ли</w:t>
      </w:r>
      <w:r w:rsidR="00E44B77">
        <w:rPr>
          <w:rFonts w:ascii="Calibri Light" w:eastAsia="Calibri" w:hAnsi="Calibri Light" w:cs="Calibri Light"/>
          <w:lang w:bidi="sr-Cyrl-CS"/>
        </w:rPr>
        <w:t>ци</w:t>
      </w:r>
      <w:r w:rsidR="00E44B77" w:rsidRPr="00565B02">
        <w:rPr>
          <w:rFonts w:ascii="Calibri Light" w:eastAsia="Calibri" w:hAnsi="Calibri Light" w:cs="Calibri Light"/>
          <w:lang w:bidi="sr-Cyrl-CS"/>
        </w:rPr>
        <w:t xml:space="preserve"> 4.49</w:t>
      </w:r>
      <w:r w:rsidR="00E44B77">
        <w:rPr>
          <w:rFonts w:ascii="Calibri Light" w:eastAsia="Calibri" w:hAnsi="Calibri Light" w:cs="Calibri Light"/>
          <w:lang w:bidi="sr-Cyrl-CS"/>
        </w:rPr>
        <w:fldChar w:fldCharType="end"/>
      </w:r>
      <w:r w:rsidR="002A1A23" w:rsidRPr="00FF386D">
        <w:rPr>
          <w:rFonts w:ascii="Calibri Light" w:eastAsia="Times New Roman" w:hAnsi="Calibri Light" w:cs="Calibri Light"/>
          <w:lang w:eastAsia="el-GR"/>
        </w:rPr>
        <w:t xml:space="preserve">. </w:t>
      </w:r>
      <w:r w:rsidRPr="00FF386D">
        <w:rPr>
          <w:rFonts w:ascii="Calibri Light" w:eastAsia="Calibri" w:hAnsi="Calibri Light" w:cs="Calibri Light"/>
          <w:lang w:bidi="sr-Cyrl-CS"/>
        </w:rPr>
        <w:t>Очекује се да ће удео произвођача којима је то главна делатност, односно конвеционалних термоелектрана, бити смањен са 9</w:t>
      </w:r>
      <w:r w:rsidR="00020A32" w:rsidRPr="00FF386D">
        <w:rPr>
          <w:rFonts w:ascii="Calibri Light" w:eastAsia="Calibri" w:hAnsi="Calibri Light" w:cs="Calibri Light"/>
          <w:lang w:bidi="sr-Cyrl-CS"/>
        </w:rPr>
        <w:t>5</w:t>
      </w:r>
      <w:r w:rsidRPr="00FF386D">
        <w:rPr>
          <w:rFonts w:ascii="Calibri Light" w:eastAsia="Calibri" w:hAnsi="Calibri Light" w:cs="Calibri Light"/>
          <w:lang w:bidi="sr-Cyrl-CS"/>
        </w:rPr>
        <w:t>% у 2020. години на 94% у 2030. години, пре коначног раста до 97% у 2050. години.</w:t>
      </w:r>
    </w:p>
    <w:p w14:paraId="331AF20C" w14:textId="652F3D0D" w:rsidR="00E44B77" w:rsidRPr="00E44B77" w:rsidRDefault="00E44B77" w:rsidP="00565B02">
      <w:pPr>
        <w:pStyle w:val="Caption"/>
        <w:keepNext/>
      </w:pPr>
      <w:bookmarkStart w:id="286" w:name="_Ref153872579"/>
      <w:bookmarkStart w:id="287" w:name="_Toc153901395"/>
      <w:r w:rsidRPr="00E44B77">
        <w:lastRenderedPageBreak/>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49</w:t>
      </w:r>
      <w:r w:rsidR="00F35B2C">
        <w:fldChar w:fldCharType="end"/>
      </w:r>
      <w:bookmarkEnd w:id="286"/>
      <w:r w:rsidRPr="00565B02">
        <w:t>: Трансформациони излаз у сектору електричне енергије у периоду 2020-2050. године у сценарију са постојећим мерама (WEM)</w:t>
      </w:r>
      <w:bookmarkEnd w:id="287"/>
    </w:p>
    <w:p w14:paraId="0A4E9458" w14:textId="28E4C3E7" w:rsidR="002A1A23" w:rsidRPr="00FF386D" w:rsidRDefault="00E44B77" w:rsidP="002A1A23">
      <w:pPr>
        <w:jc w:val="center"/>
        <w:rPr>
          <w:rFonts w:ascii="Calibri" w:eastAsia="Calibri" w:hAnsi="Calibri" w:cs="Times New Roman"/>
          <w:lang w:eastAsia="el-GR"/>
        </w:rPr>
      </w:pPr>
      <w:r>
        <w:rPr>
          <w:noProof/>
          <w:lang w:val="en-US"/>
        </w:rPr>
        <mc:AlternateContent>
          <mc:Choice Requires="wps">
            <w:drawing>
              <wp:anchor distT="0" distB="0" distL="114300" distR="114300" simplePos="0" relativeHeight="251741184" behindDoc="0" locked="0" layoutInCell="1" allowOverlap="1" wp14:anchorId="41907EFF" wp14:editId="27D62938">
                <wp:simplePos x="0" y="0"/>
                <wp:positionH relativeFrom="column">
                  <wp:posOffset>881768</wp:posOffset>
                </wp:positionH>
                <wp:positionV relativeFrom="paragraph">
                  <wp:posOffset>586219</wp:posOffset>
                </wp:positionV>
                <wp:extent cx="3046730" cy="3041650"/>
                <wp:effectExtent l="0" t="0" r="0" b="0"/>
                <wp:wrapNone/>
                <wp:docPr id="816755116" name="Text Box 816755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6730" cy="3041650"/>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page">
                  <wp14:pctHeight>0</wp14:pctHeight>
                </wp14:sizeRelV>
              </wp:anchor>
            </w:drawing>
          </mc:Choice>
          <mc:Fallback>
            <w:pict>
              <v:shape w14:anchorId="30A977F1" id="Text Box 816755116" o:spid="_x0000_s1026" type="#_x0000_t202" style="position:absolute;margin-left:69.45pt;margin-top:46.15pt;width:239.9pt;height:23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" fillcolor="#a6a6a6" stroked="f">
                <v:fill opacity="32896f"/>
              </v:shape>
            </w:pict>
          </mc:Fallback>
        </mc:AlternateContent>
      </w:r>
      <w:r w:rsidR="001470A0" w:rsidRPr="004F53D7">
        <w:rPr>
          <w:rFonts w:ascii="Calibri" w:eastAsia="Calibri" w:hAnsi="Calibri" w:cs="Times New Roman"/>
          <w:noProof/>
          <w:lang w:val="en-US"/>
        </w:rPr>
        <w:drawing>
          <wp:inline distT="0" distB="0" distL="0" distR="0" wp14:anchorId="2ED330EA" wp14:editId="7ED1BAF7">
            <wp:extent cx="6287490" cy="4039262"/>
            <wp:effectExtent l="0" t="0" r="0" b="0"/>
            <wp:docPr id="2038086951" name="Picture 2038086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304349" cy="4050093"/>
                    </a:xfrm>
                    <a:prstGeom prst="rect">
                      <a:avLst/>
                    </a:prstGeom>
                    <a:noFill/>
                  </pic:spPr>
                </pic:pic>
              </a:graphicData>
            </a:graphic>
          </wp:inline>
        </w:drawing>
      </w:r>
    </w:p>
    <w:p w14:paraId="2752B7BE" w14:textId="60A30FD6" w:rsidR="00292EB1" w:rsidRDefault="00A0370B" w:rsidP="00565B02">
      <w:pPr>
        <w:pStyle w:val="LDKbody"/>
      </w:pPr>
      <w:bookmarkStart w:id="288" w:name="_Hlk135814862"/>
      <w:r w:rsidRPr="00FF386D">
        <w:rPr>
          <w:rFonts w:ascii="Calibri Light" w:eastAsia="Calibri" w:hAnsi="Calibri Light" w:cs="Calibri Light"/>
          <w:lang w:val="sr-Cyrl-RS" w:bidi="sr-Cyrl-CS"/>
        </w:rPr>
        <w:t xml:space="preserve">Пројектовано је да ће се ефикасност националне електромреже унапредити до 2050. године кроз спровођење пројеката за унапређење електромреже, као што је приказано </w:t>
      </w:r>
      <w:bookmarkEnd w:id="288"/>
      <w:r w:rsidRPr="00FF386D">
        <w:rPr>
          <w:rFonts w:ascii="Calibri Light" w:eastAsia="Calibri" w:hAnsi="Calibri Light" w:cs="Calibri Light"/>
          <w:lang w:val="sr-Cyrl-RS" w:bidi="sr-Cyrl-CS"/>
        </w:rPr>
        <w:t>на</w:t>
      </w:r>
      <w:r w:rsidR="00292EB1">
        <w:rPr>
          <w:rFonts w:ascii="Calibri Light" w:eastAsia="Calibri" w:hAnsi="Calibri Light" w:cs="Calibri Light"/>
          <w:lang w:val="sr-Cyrl-RS" w:bidi="sr-Cyrl-CS"/>
        </w:rPr>
        <w:t xml:space="preserve"> </w:t>
      </w:r>
      <w:r w:rsidR="00292EB1">
        <w:rPr>
          <w:rFonts w:ascii="Calibri Light" w:eastAsia="Calibri" w:hAnsi="Calibri Light" w:cs="Calibri Light"/>
          <w:lang w:bidi="sr-Cyrl-CS"/>
        </w:rPr>
        <w:fldChar w:fldCharType="begin"/>
      </w:r>
      <w:r w:rsidR="00292EB1">
        <w:rPr>
          <w:rFonts w:ascii="Calibri Light" w:eastAsia="Calibri" w:hAnsi="Calibri Light" w:cs="Calibri Light"/>
          <w:lang w:val="sr-Cyrl-RS" w:bidi="sr-Cyrl-CS"/>
        </w:rPr>
        <w:instrText xml:space="preserve"> REF _Ref153883644 \h  \* MERGEFORMAT </w:instrText>
      </w:r>
      <w:r w:rsidR="00292EB1">
        <w:rPr>
          <w:rFonts w:ascii="Calibri Light" w:eastAsia="Calibri" w:hAnsi="Calibri Light" w:cs="Calibri Light"/>
          <w:lang w:bidi="sr-Cyrl-CS"/>
        </w:rPr>
      </w:r>
      <w:r w:rsidR="00292EB1">
        <w:rPr>
          <w:rFonts w:ascii="Calibri Light" w:eastAsia="Calibri" w:hAnsi="Calibri Light" w:cs="Calibri Light"/>
          <w:lang w:bidi="sr-Cyrl-CS"/>
        </w:rPr>
        <w:fldChar w:fldCharType="separate"/>
      </w:r>
      <w:r w:rsidR="00292EB1" w:rsidRPr="00565B02">
        <w:rPr>
          <w:rFonts w:ascii="Calibri Light" w:eastAsia="Calibri" w:hAnsi="Calibri Light" w:cs="Calibri Light"/>
          <w:lang w:bidi="sr-Cyrl-CS"/>
        </w:rPr>
        <w:t>слици 4.50</w:t>
      </w:r>
      <w:r w:rsidR="00292EB1">
        <w:rPr>
          <w:rFonts w:ascii="Calibri Light" w:eastAsia="Calibri" w:hAnsi="Calibri Light" w:cs="Calibri Light"/>
          <w:lang w:bidi="sr-Cyrl-CS"/>
        </w:rPr>
        <w:fldChar w:fldCharType="end"/>
      </w:r>
      <w:r w:rsidR="002A1A23" w:rsidRPr="00565B02">
        <w:rPr>
          <w:rFonts w:ascii="Calibri Light" w:eastAsia="Calibri" w:hAnsi="Calibri Light" w:cs="Calibri Light"/>
          <w:lang w:bidi="sr-Cyrl-CS"/>
        </w:rPr>
        <w:t xml:space="preserve">. </w:t>
      </w:r>
      <w:r w:rsidRPr="00565B02">
        <w:rPr>
          <w:rFonts w:ascii="Calibri Light" w:eastAsia="Calibri" w:hAnsi="Calibri Light" w:cs="Calibri Light"/>
          <w:lang w:bidi="sr-Cyrl-CS"/>
        </w:rPr>
        <w:t>У</w:t>
      </w:r>
      <w:r w:rsidRPr="00FF386D">
        <w:rPr>
          <w:rFonts w:ascii="Calibri Light" w:hAnsi="Calibri Light" w:cs="Calibri Light"/>
          <w:lang w:val="sr-Cyrl-RS" w:bidi="sr-Cyrl-CS"/>
        </w:rPr>
        <w:t xml:space="preserve"> ствари, предвиђа се да ће губици на мрежи за пренос електричне енергије бити незнатно смањени за 0,1% у 2050. години као проценат укупне производње, у поређењу са 2020. годином (2,</w:t>
      </w:r>
      <w:r w:rsidR="008254A0" w:rsidRPr="00FF386D">
        <w:rPr>
          <w:rFonts w:ascii="Calibri Light" w:hAnsi="Calibri Light" w:cs="Calibri Light"/>
          <w:lang w:val="sr-Cyrl-RS" w:bidi="sr-Cyrl-CS"/>
        </w:rPr>
        <w:t>6</w:t>
      </w:r>
      <w:r w:rsidRPr="00FF386D">
        <w:rPr>
          <w:rFonts w:ascii="Calibri Light" w:hAnsi="Calibri Light" w:cs="Calibri Light"/>
          <w:lang w:val="sr-Cyrl-RS" w:bidi="sr-Cyrl-CS"/>
        </w:rPr>
        <w:t xml:space="preserve">%), док ће губици у дистрибутивној мрежи електричне енергије бити смањени до </w:t>
      </w:r>
      <w:r w:rsidR="008254A0" w:rsidRPr="00FF386D">
        <w:rPr>
          <w:rFonts w:ascii="Calibri Light" w:hAnsi="Calibri Light" w:cs="Calibri Light"/>
          <w:lang w:val="sr-Cyrl-RS" w:bidi="sr-Cyrl-CS"/>
        </w:rPr>
        <w:t>9</w:t>
      </w:r>
      <w:r w:rsidR="00020A32" w:rsidRPr="00FF386D">
        <w:rPr>
          <w:rFonts w:ascii="Calibri Light" w:hAnsi="Calibri Light" w:cs="Calibri Light"/>
          <w:lang w:val="sr-Cyrl-RS" w:bidi="sr-Cyrl-CS"/>
        </w:rPr>
        <w:t>,1</w:t>
      </w:r>
      <w:r w:rsidRPr="00FF386D">
        <w:rPr>
          <w:rFonts w:ascii="Calibri Light" w:hAnsi="Calibri Light" w:cs="Calibri Light"/>
          <w:lang w:val="sr-Cyrl-RS" w:bidi="sr-Cyrl-CS"/>
        </w:rPr>
        <w:t>% у 2050. години, у поређењу са 2020. годином (</w:t>
      </w:r>
      <w:r w:rsidR="005B44B9" w:rsidRPr="00FF386D">
        <w:rPr>
          <w:rFonts w:ascii="Calibri Light" w:hAnsi="Calibri Light" w:cs="Calibri Light"/>
          <w:lang w:val="sr-Cyrl-RS" w:bidi="sr-Cyrl-CS"/>
        </w:rPr>
        <w:t>1</w:t>
      </w:r>
      <w:r w:rsidR="005B44B9">
        <w:rPr>
          <w:rFonts w:ascii="Calibri Light" w:hAnsi="Calibri Light" w:cs="Calibri Light"/>
          <w:lang w:val="sr-Latn-RS" w:bidi="sr-Cyrl-CS"/>
        </w:rPr>
        <w:t>1</w:t>
      </w:r>
      <w:r w:rsidR="00020A32" w:rsidRPr="00FF386D">
        <w:rPr>
          <w:rFonts w:ascii="Calibri Light" w:hAnsi="Calibri Light" w:cs="Calibri Light"/>
          <w:lang w:val="sr-Cyrl-RS" w:bidi="sr-Cyrl-CS"/>
        </w:rPr>
        <w:t>,</w:t>
      </w:r>
      <w:r w:rsidR="005B44B9">
        <w:rPr>
          <w:rFonts w:ascii="Calibri Light" w:hAnsi="Calibri Light" w:cs="Calibri Light"/>
          <w:lang w:val="sr-Latn-RS" w:bidi="sr-Cyrl-CS"/>
        </w:rPr>
        <w:t>23</w:t>
      </w:r>
      <w:r w:rsidRPr="00FF386D">
        <w:rPr>
          <w:rFonts w:ascii="Calibri Light" w:hAnsi="Calibri Light" w:cs="Calibri Light"/>
          <w:lang w:val="sr-Cyrl-RS" w:bidi="sr-Cyrl-CS"/>
        </w:rPr>
        <w:t>%).</w:t>
      </w:r>
    </w:p>
    <w:p w14:paraId="2B5FBB22" w14:textId="15BF7929" w:rsidR="00292EB1" w:rsidRPr="00292EB1" w:rsidRDefault="00292EB1" w:rsidP="00565B02">
      <w:pPr>
        <w:pStyle w:val="Caption"/>
        <w:keepNext/>
      </w:pPr>
      <w:bookmarkStart w:id="289" w:name="_Ref153883644"/>
      <w:bookmarkStart w:id="290" w:name="_Toc153901396"/>
      <w:r w:rsidRPr="00292EB1">
        <w:lastRenderedPageBreak/>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50</w:t>
      </w:r>
      <w:r w:rsidR="00F35B2C">
        <w:fldChar w:fldCharType="end"/>
      </w:r>
      <w:bookmarkEnd w:id="289"/>
      <w:r w:rsidRPr="00565B02">
        <w:t>: Укупни губици електромреже у периоду 2020-2050. године у сценарију са постојећим мерама (WEM)</w:t>
      </w:r>
      <w:bookmarkEnd w:id="290"/>
    </w:p>
    <w:p w14:paraId="5105F455" w14:textId="28788CE8" w:rsidR="0064551D" w:rsidRPr="00FF386D" w:rsidRDefault="00292EB1" w:rsidP="000A2AFE">
      <w:pPr>
        <w:jc w:val="center"/>
        <w:rPr>
          <w:rFonts w:ascii="Calibri" w:eastAsia="Calibri" w:hAnsi="Calibri" w:cs="Times New Roman"/>
          <w:lang w:eastAsia="el-GR" w:bidi="sr-Cyrl-CS"/>
        </w:rPr>
      </w:pPr>
      <w:r>
        <w:rPr>
          <w:noProof/>
        </w:rPr>
        <mc:AlternateContent>
          <mc:Choice Requires="wps">
            <w:drawing>
              <wp:anchor distT="0" distB="0" distL="114300" distR="114300" simplePos="0" relativeHeight="251845632" behindDoc="0" locked="0" layoutInCell="1" allowOverlap="1" wp14:anchorId="2BDAE419" wp14:editId="21331543">
                <wp:simplePos x="0" y="0"/>
                <wp:positionH relativeFrom="column">
                  <wp:posOffset>1279734</wp:posOffset>
                </wp:positionH>
                <wp:positionV relativeFrom="paragraph">
                  <wp:posOffset>387871</wp:posOffset>
                </wp:positionV>
                <wp:extent cx="1685290" cy="2849880"/>
                <wp:effectExtent l="0" t="0" r="0" b="0"/>
                <wp:wrapNone/>
                <wp:docPr id="332041729"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5290" cy="2849880"/>
                        </a:xfrm>
                        <a:prstGeom prst="rect">
                          <a:avLst/>
                        </a:prstGeom>
                        <a:solidFill>
                          <a:sysClr val="window" lastClr="FFFFFF">
                            <a:lumMod val="65000"/>
                            <a:alpha val="50000"/>
                          </a:sysClr>
                        </a:solidFill>
                        <a:ln>
                          <a:noFill/>
                        </a:ln>
                        <a:effectLst/>
                      </wps:spPr>
                      <wps:bodyPr wrap="square" rtlCol="0"/>
                    </wps:wsp>
                  </a:graphicData>
                </a:graphic>
                <wp14:sizeRelH relativeFrom="page">
                  <wp14:pctWidth>0</wp14:pctWidth>
                </wp14:sizeRelH>
                <wp14:sizeRelV relativeFrom="page">
                  <wp14:pctHeight>0</wp14:pctHeight>
                </wp14:sizeRelV>
              </wp:anchor>
            </w:drawing>
          </mc:Choice>
          <mc:Fallback>
            <w:pict>
              <v:shape w14:anchorId="23E1008E" id="Text Box 51" o:spid="_x0000_s1026" type="#_x0000_t202" style="position:absolute;margin-left:100.75pt;margin-top:30.55pt;width:132.7pt;height:224.4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" fillcolor="#a6a6a6" stroked="f">
                <v:fill opacity="32896f"/>
              </v:shape>
            </w:pict>
          </mc:Fallback>
        </mc:AlternateContent>
      </w:r>
      <w:r w:rsidR="00F539B6" w:rsidRPr="00F539B6">
        <w:rPr>
          <w:rFonts w:ascii="Calibri" w:eastAsia="Calibri" w:hAnsi="Calibri" w:cs="Times New Roman"/>
          <w:noProof/>
          <w:lang w:val="en-US"/>
        </w:rPr>
        <w:drawing>
          <wp:inline distT="0" distB="0" distL="0" distR="0" wp14:anchorId="4AC2D4AC" wp14:editId="55F33270">
            <wp:extent cx="5001260" cy="3450590"/>
            <wp:effectExtent l="0" t="0" r="8890" b="16510"/>
            <wp:docPr id="1784919378" name="Chart 1">
              <a:extLst xmlns:a="http://schemas.openxmlformats.org/drawingml/2006/main">
                <a:ext uri="{FF2B5EF4-FFF2-40B4-BE49-F238E27FC236}">
                  <a16:creationId xmlns:a16="http://schemas.microsoft.com/office/drawing/2014/main" id="{00000000-0008-0000-0D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298FAEAD" w14:textId="122DA739" w:rsidR="00A0370B" w:rsidRPr="000A2AFE" w:rsidRDefault="00A0370B" w:rsidP="00A0370B">
      <w:pPr>
        <w:spacing w:before="120" w:after="120" w:line="240" w:lineRule="auto"/>
        <w:jc w:val="both"/>
        <w:rPr>
          <w:rFonts w:ascii="Calibri Light" w:eastAsia="Times New Roman" w:hAnsi="Calibri Light" w:cs="Calibri Light"/>
          <w:lang w:val="sr-Latn-RS" w:eastAsia="el-GR"/>
        </w:rPr>
      </w:pPr>
      <w:bookmarkStart w:id="291" w:name="_Hlk135814941"/>
      <w:r w:rsidRPr="00FF386D">
        <w:rPr>
          <w:rFonts w:ascii="Calibri Light" w:eastAsia="Times New Roman" w:hAnsi="Calibri Light" w:cs="Calibri Light"/>
          <w:lang w:eastAsia="el-GR" w:bidi="sr-Cyrl-CS"/>
        </w:rPr>
        <w:t>Исто тако, очекује се да ће губици мреже за транспорт гаса остати незнатни као проценат од укупно пренесеног гаса, са губицима на нивоу близу 1% током посматраног периода.</w:t>
      </w:r>
      <w:bookmarkEnd w:id="291"/>
    </w:p>
    <w:p w14:paraId="41631767" w14:textId="6DE75871" w:rsidR="00292EB1" w:rsidRDefault="00292EB1" w:rsidP="00565B02">
      <w:pPr>
        <w:pStyle w:val="Caption"/>
        <w:keepNext/>
      </w:pPr>
      <w:bookmarkStart w:id="292" w:name="_Toc153901397"/>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51</w:t>
      </w:r>
      <w:r w:rsidR="00F35B2C">
        <w:fldChar w:fldCharType="end"/>
      </w:r>
      <w:r>
        <w:t xml:space="preserve">: </w:t>
      </w:r>
      <w:r w:rsidRPr="00292EB1">
        <w:t>Укупни губици у систему гаса у периоду 2020-2050. године у сценарију са постојећим мерама (WEM)</w:t>
      </w:r>
      <w:bookmarkEnd w:id="292"/>
    </w:p>
    <w:p w14:paraId="68E400F4" w14:textId="20E21E62" w:rsidR="00F41F3E" w:rsidRPr="00FF386D" w:rsidRDefault="00F41F3E" w:rsidP="002A1A23">
      <w:pPr>
        <w:jc w:val="center"/>
        <w:rPr>
          <w:rFonts w:ascii="Calibri" w:eastAsia="Calibri" w:hAnsi="Calibri" w:cs="Times New Roman"/>
          <w:lang w:eastAsia="el-GR" w:bidi="sr-Cyrl-CS"/>
        </w:rPr>
      </w:pPr>
      <w:r w:rsidRPr="004F53D7">
        <w:rPr>
          <w:rFonts w:ascii="Calibri" w:eastAsia="Calibri" w:hAnsi="Calibri" w:cs="Times New Roman"/>
          <w:noProof/>
          <w:lang w:val="en-US"/>
        </w:rPr>
        <w:drawing>
          <wp:inline distT="0" distB="0" distL="0" distR="0" wp14:anchorId="0339E6AF" wp14:editId="6AA97A74">
            <wp:extent cx="5147702" cy="3260034"/>
            <wp:effectExtent l="0" t="0" r="0" b="0"/>
            <wp:docPr id="1924425487" name="Picture 1924425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52672" cy="3263182"/>
                    </a:xfrm>
                    <a:prstGeom prst="rect">
                      <a:avLst/>
                    </a:prstGeom>
                    <a:noFill/>
                  </pic:spPr>
                </pic:pic>
              </a:graphicData>
            </a:graphic>
          </wp:inline>
        </w:drawing>
      </w:r>
    </w:p>
    <w:p w14:paraId="149831A7" w14:textId="69930A18" w:rsidR="002A1A23" w:rsidRPr="00FF386D" w:rsidRDefault="002A1A23" w:rsidP="002A1A23">
      <w:pPr>
        <w:jc w:val="center"/>
        <w:rPr>
          <w:rFonts w:ascii="Calibri" w:eastAsia="Calibri" w:hAnsi="Calibri" w:cs="Times New Roman"/>
          <w:lang w:eastAsia="el-GR" w:bidi="sr-Cyrl-CS"/>
        </w:rPr>
      </w:pPr>
    </w:p>
    <w:p w14:paraId="2DB597A1" w14:textId="7DA03CDA" w:rsidR="002A1A23" w:rsidRPr="00565B02" w:rsidRDefault="002A1A23" w:rsidP="00F83802">
      <w:pPr>
        <w:pStyle w:val="Heading2"/>
        <w:rPr>
          <w:lang w:val="sr-Cyrl-RS"/>
        </w:rPr>
      </w:pPr>
      <w:bookmarkStart w:id="293" w:name="_Toc137457033"/>
      <w:bookmarkStart w:id="294" w:name="_Toc153901555"/>
      <w:r w:rsidRPr="00565B02">
        <w:rPr>
          <w:lang w:val="sr-Cyrl-RS"/>
        </w:rPr>
        <w:lastRenderedPageBreak/>
        <w:t>Димензија унутрашњег енергетског тржишта</w:t>
      </w:r>
      <w:bookmarkEnd w:id="293"/>
      <w:bookmarkEnd w:id="294"/>
    </w:p>
    <w:p w14:paraId="2A86CBAA" w14:textId="44C82E12" w:rsidR="002A1A23" w:rsidRPr="00565B02" w:rsidRDefault="002A1A23" w:rsidP="00F83802">
      <w:pPr>
        <w:pStyle w:val="Heading3"/>
        <w:rPr>
          <w:lang w:val="sr-Cyrl-RS"/>
        </w:rPr>
      </w:pPr>
      <w:r w:rsidRPr="00565B02">
        <w:rPr>
          <w:lang w:val="sr-Cyrl-RS"/>
        </w:rPr>
        <w:t>Интерконективност електричне енергије</w:t>
      </w:r>
    </w:p>
    <w:p w14:paraId="103FF9E0" w14:textId="77777777" w:rsidR="002A1A23" w:rsidRPr="00FF386D" w:rsidRDefault="002A1A23">
      <w:pPr>
        <w:keepNext/>
        <w:keepLines/>
        <w:numPr>
          <w:ilvl w:val="0"/>
          <w:numId w:val="251"/>
        </w:numPr>
        <w:spacing w:before="200" w:after="0" w:line="240" w:lineRule="auto"/>
        <w:outlineLvl w:val="3"/>
        <w:rPr>
          <w:rFonts w:ascii="Calibri Light" w:eastAsia="Times New Roman" w:hAnsi="Calibri Light" w:cs="Times New Roman"/>
          <w:b/>
          <w:bCs/>
          <w:iCs/>
          <w:color w:val="01406B"/>
          <w:szCs w:val="24"/>
        </w:rPr>
      </w:pPr>
      <w:r w:rsidRPr="00FF386D">
        <w:rPr>
          <w:rFonts w:ascii="Calibri Light" w:eastAsia="Times New Roman" w:hAnsi="Calibri Light" w:cs="Times New Roman"/>
          <w:b/>
          <w:bCs/>
          <w:iCs/>
          <w:color w:val="01406B"/>
          <w:szCs w:val="24"/>
          <w:lang w:bidi="sr-Cyrl-CS"/>
        </w:rPr>
        <w:t>Тренутни ниво интерконекције и главни интерконектори</w:t>
      </w:r>
    </w:p>
    <w:p w14:paraId="42F437C6" w14:textId="535175AE" w:rsidR="00A0370B" w:rsidRPr="00FF386D" w:rsidRDefault="00A0370B" w:rsidP="00A0370B">
      <w:pPr>
        <w:pStyle w:val="LDKBody1"/>
        <w:rPr>
          <w:rFonts w:asciiTheme="majorHAnsi" w:hAnsiTheme="majorHAnsi" w:cstheme="majorHAnsi"/>
        </w:rPr>
      </w:pPr>
      <w:r w:rsidRPr="00FF386D">
        <w:rPr>
          <w:lang w:bidi="sr-Cyrl-CS"/>
        </w:rPr>
        <w:t>Мрежа за пренос електричне енергије Републике Србије има висок степен интерконективности са свим електроенергетским системима суседних земаља. Србија је повезана прекограничним надземним водовима од 400 kV, 220 kV и 110 kV са свих 8 суседних земаља (Хрватском (ХР), Мађарском (</w:t>
      </w:r>
      <w:r w:rsidR="00E07F6F">
        <w:rPr>
          <w:lang w:bidi="sr-Cyrl-CS"/>
        </w:rPr>
        <w:t>ХУ</w:t>
      </w:r>
      <w:r w:rsidRPr="00FF386D">
        <w:rPr>
          <w:lang w:bidi="sr-Cyrl-CS"/>
        </w:rPr>
        <w:t>), Румунијом (</w:t>
      </w:r>
      <w:r w:rsidR="00E07F6F" w:rsidRPr="00FF386D">
        <w:rPr>
          <w:lang w:bidi="sr-Cyrl-CS"/>
        </w:rPr>
        <w:t>Р</w:t>
      </w:r>
      <w:r w:rsidR="00E07F6F">
        <w:rPr>
          <w:lang w:bidi="sr-Cyrl-CS"/>
        </w:rPr>
        <w:t>О</w:t>
      </w:r>
      <w:r w:rsidRPr="00FF386D">
        <w:rPr>
          <w:lang w:bidi="sr-Cyrl-CS"/>
        </w:rPr>
        <w:t xml:space="preserve">), Бугарском (БГ), Северном Македонијом (СМ), Албанијом (АЛ), </w:t>
      </w:r>
      <w:r w:rsidRPr="00FF386D">
        <w:rPr>
          <w:rFonts w:asciiTheme="majorHAnsi" w:hAnsiTheme="majorHAnsi" w:cstheme="majorHAnsi"/>
          <w:lang w:bidi="sr-Cyrl-CS"/>
        </w:rPr>
        <w:t>Црном Гором (</w:t>
      </w:r>
      <w:r w:rsidR="00E07F6F">
        <w:rPr>
          <w:rFonts w:asciiTheme="majorHAnsi" w:hAnsiTheme="majorHAnsi" w:cstheme="majorHAnsi"/>
          <w:lang w:bidi="sr-Cyrl-CS"/>
        </w:rPr>
        <w:t>МЕ</w:t>
      </w:r>
      <w:r w:rsidRPr="00FF386D">
        <w:rPr>
          <w:rFonts w:asciiTheme="majorHAnsi" w:hAnsiTheme="majorHAnsi" w:cstheme="majorHAnsi"/>
          <w:lang w:bidi="sr-Cyrl-CS"/>
        </w:rPr>
        <w:t xml:space="preserve">) и Босном и Херцеговином (БиХ)). Због свог географског положаја, преносни систем Србије је веома важан саставни део регионалног електроенергетског система на Балкану, и само тржиште електричне енергије </w:t>
      </w:r>
      <w:r w:rsidR="00020A32" w:rsidRPr="00FF386D">
        <w:rPr>
          <w:rFonts w:asciiTheme="majorHAnsi" w:hAnsiTheme="majorHAnsi" w:cstheme="majorHAnsi"/>
          <w:lang w:bidi="sr-Cyrl-CS"/>
        </w:rPr>
        <w:t xml:space="preserve">Србије </w:t>
      </w:r>
      <w:r w:rsidRPr="00FF386D">
        <w:rPr>
          <w:rFonts w:asciiTheme="majorHAnsi" w:hAnsiTheme="majorHAnsi" w:cstheme="majorHAnsi"/>
          <w:lang w:bidi="sr-Cyrl-CS"/>
        </w:rPr>
        <w:t>показује значајну активност на основу које се земља утврђује као кључни играч у трговини електричном енергијом у региону и подржава постепено повећање интеграције тржишта електричне енергије.</w:t>
      </w:r>
    </w:p>
    <w:p w14:paraId="2E0C8E42" w14:textId="1A1E0A3B" w:rsidR="00A0370B" w:rsidRPr="00FF386D" w:rsidRDefault="00A0370B" w:rsidP="00E07F6F">
      <w:pPr>
        <w:pStyle w:val="LDKBody1"/>
        <w:rPr>
          <w:rFonts w:asciiTheme="majorHAnsi" w:hAnsiTheme="majorHAnsi" w:cstheme="majorHAnsi"/>
          <w:lang w:bidi="sr-Cyrl-CS"/>
        </w:rPr>
      </w:pPr>
      <w:r w:rsidRPr="00FF386D">
        <w:rPr>
          <w:rFonts w:asciiTheme="majorHAnsi" w:hAnsiTheme="majorHAnsi" w:cstheme="majorHAnsi"/>
          <w:lang w:bidi="sr-Cyrl-CS"/>
        </w:rPr>
        <w:t xml:space="preserve">Акционарско друштво „Електромрежа Србије“ (ЕМС) је оператор преносног система за електричну енергију одговоран за развој преносне мреже и управља са четири регионална центра како би се обезбедило сигурно функционисање целокупног сектора електричне енергије. ЕМС је такође одговоран за </w:t>
      </w:r>
      <w:r w:rsidR="00E07F6F" w:rsidRPr="00E07F6F">
        <w:rPr>
          <w:rFonts w:asciiTheme="majorHAnsi" w:hAnsiTheme="majorHAnsi" w:cstheme="majorHAnsi"/>
          <w:lang w:bidi="sr-Cyrl-CS"/>
        </w:rPr>
        <w:t>организовање и администрирање</w:t>
      </w:r>
      <w:r w:rsidR="00E07F6F">
        <w:rPr>
          <w:rFonts w:asciiTheme="majorHAnsi" w:hAnsiTheme="majorHAnsi" w:cstheme="majorHAnsi"/>
          <w:lang w:bidi="sr-Cyrl-CS"/>
        </w:rPr>
        <w:t xml:space="preserve"> </w:t>
      </w:r>
      <w:r w:rsidR="00E07F6F" w:rsidRPr="00E07F6F">
        <w:rPr>
          <w:rFonts w:asciiTheme="majorHAnsi" w:hAnsiTheme="majorHAnsi" w:cstheme="majorHAnsi"/>
          <w:lang w:bidi="sr-Cyrl-CS"/>
        </w:rPr>
        <w:t>балансног тржишта електричне енергије</w:t>
      </w:r>
      <w:r w:rsidR="00E07F6F">
        <w:rPr>
          <w:rFonts w:asciiTheme="majorHAnsi" w:hAnsiTheme="majorHAnsi" w:cstheme="majorHAnsi"/>
          <w:lang w:bidi="sr-Cyrl-CS"/>
        </w:rPr>
        <w:t xml:space="preserve"> </w:t>
      </w:r>
      <w:r w:rsidRPr="00FF386D">
        <w:rPr>
          <w:rFonts w:asciiTheme="majorHAnsi" w:hAnsiTheme="majorHAnsi" w:cstheme="majorHAnsi"/>
          <w:lang w:bidi="sr-Cyrl-CS"/>
        </w:rPr>
        <w:t xml:space="preserve">и </w:t>
      </w:r>
      <w:r w:rsidR="00E07F6F">
        <w:rPr>
          <w:rFonts w:asciiTheme="majorHAnsi" w:hAnsiTheme="majorHAnsi" w:cstheme="majorHAnsi"/>
          <w:lang w:bidi="sr-Cyrl-CS"/>
        </w:rPr>
        <w:t>набавку</w:t>
      </w:r>
      <w:r w:rsidRPr="00FF386D">
        <w:rPr>
          <w:rFonts w:asciiTheme="majorHAnsi" w:hAnsiTheme="majorHAnsi" w:cstheme="majorHAnsi"/>
          <w:lang w:bidi="sr-Cyrl-CS"/>
        </w:rPr>
        <w:t xml:space="preserve"> помоћних услуга за регулацију фреквенције и напона, као и за координацију прекограничних размена електричне енергије у складу са обавезама Европске мреже оператора преносног система за електричну енергију (</w:t>
      </w:r>
      <w:r w:rsidRPr="00FF386D">
        <w:rPr>
          <w:rFonts w:asciiTheme="majorHAnsi" w:hAnsiTheme="majorHAnsi" w:cstheme="majorHAnsi"/>
          <w:i/>
          <w:lang w:bidi="sr-Cyrl-CS"/>
        </w:rPr>
        <w:t>ENTSO-E</w:t>
      </w:r>
      <w:r w:rsidRPr="00FF386D">
        <w:rPr>
          <w:rFonts w:asciiTheme="majorHAnsi" w:hAnsiTheme="majorHAnsi" w:cstheme="majorHAnsi"/>
          <w:lang w:bidi="sr-Cyrl-CS"/>
        </w:rPr>
        <w:t>).</w:t>
      </w:r>
    </w:p>
    <w:p w14:paraId="56A4EF60" w14:textId="3FDB428C" w:rsidR="00A0370B" w:rsidRPr="00FF386D" w:rsidRDefault="00A0370B" w:rsidP="00A0370B">
      <w:pPr>
        <w:pStyle w:val="LDKBody1"/>
        <w:rPr>
          <w:rFonts w:asciiTheme="majorHAnsi" w:hAnsiTheme="majorHAnsi" w:cstheme="majorHAnsi"/>
        </w:rPr>
      </w:pPr>
      <w:r w:rsidRPr="00FF386D">
        <w:rPr>
          <w:rFonts w:asciiTheme="majorHAnsi" w:hAnsiTheme="majorHAnsi" w:cstheme="majorHAnsi"/>
          <w:lang w:bidi="sr-Cyrl-CS"/>
        </w:rPr>
        <w:t>Пријављени индекс интерконективности преносног система Србије (изражен као однос између збира максималних вредности нето преносног капацитета (</w:t>
      </w:r>
      <w:r w:rsidRPr="00FF386D">
        <w:rPr>
          <w:rFonts w:asciiTheme="majorHAnsi" w:hAnsiTheme="majorHAnsi" w:cstheme="majorHAnsi"/>
          <w:i/>
          <w:lang w:bidi="sr-Cyrl-CS"/>
        </w:rPr>
        <w:t>NTC</w:t>
      </w:r>
      <w:r w:rsidRPr="00FF386D">
        <w:rPr>
          <w:rFonts w:asciiTheme="majorHAnsi" w:hAnsiTheme="majorHAnsi" w:cstheme="majorHAnsi"/>
          <w:lang w:bidi="sr-Cyrl-CS"/>
        </w:rPr>
        <w:t>) на границама и укупног инсталисаног производног капацитета) је 50</w:t>
      </w:r>
      <w:r w:rsidR="002A1A23" w:rsidRPr="00FF386D">
        <w:rPr>
          <w:lang w:bidi="sr-Cyrl-CS"/>
        </w:rPr>
        <w:t>%</w:t>
      </w:r>
      <w:r w:rsidR="002A1A23" w:rsidRPr="00FF386D">
        <w:rPr>
          <w:vertAlign w:val="superscript"/>
          <w:lang w:bidi="sr-Cyrl-CS"/>
        </w:rPr>
        <w:footnoteReference w:id="123"/>
      </w:r>
      <w:r w:rsidR="002A1A23" w:rsidRPr="00FF386D">
        <w:rPr>
          <w:lang w:bidi="sr-Cyrl-CS"/>
        </w:rPr>
        <w:t xml:space="preserve">, </w:t>
      </w:r>
      <w:r w:rsidRPr="00FF386D">
        <w:rPr>
          <w:lang w:bidi="sr-Cyrl-CS"/>
        </w:rPr>
        <w:t>односно много виш</w:t>
      </w:r>
      <w:r w:rsidR="00020A32" w:rsidRPr="00FF386D">
        <w:rPr>
          <w:lang w:bidi="sr-Cyrl-CS"/>
        </w:rPr>
        <w:t>и</w:t>
      </w:r>
      <w:r w:rsidRPr="00FF386D">
        <w:rPr>
          <w:lang w:bidi="sr-Cyrl-CS"/>
        </w:rPr>
        <w:t xml:space="preserve"> од одговарајућег краткорочног циља од 10% за 2020. годину за земље чланице ЕУ. Очекује се да ће се овај високи ниво интерконективности ефикасније користити како интеграција регионалног тржишта електричне енергије буде напредовала. </w:t>
      </w:r>
      <w:r w:rsidRPr="00FF386D">
        <w:rPr>
          <w:rFonts w:asciiTheme="majorHAnsi" w:hAnsiTheme="majorHAnsi" w:cstheme="majorHAnsi"/>
          <w:lang w:bidi="sr-Cyrl-CS"/>
        </w:rPr>
        <w:t>Остварени физички транзит електричне енергије у 2020. години износио је 4.532 GWh.</w:t>
      </w:r>
    </w:p>
    <w:p w14:paraId="1D62BB0C" w14:textId="7EE84237" w:rsidR="00A0370B" w:rsidRPr="00FF386D" w:rsidRDefault="00A0370B" w:rsidP="00A0370B">
      <w:pPr>
        <w:pStyle w:val="LDKBody1"/>
      </w:pPr>
      <w:r w:rsidRPr="00FF386D">
        <w:rPr>
          <w:rFonts w:asciiTheme="majorHAnsi" w:eastAsia="Calibri" w:hAnsiTheme="majorHAnsi" w:cstheme="majorHAnsi"/>
          <w:lang w:bidi="sr-Cyrl-CS"/>
        </w:rPr>
        <w:t>У циљу увида у искоришћеност интерконективних капацитета</w:t>
      </w:r>
      <w:r w:rsidRPr="00FF386D">
        <w:rPr>
          <w:rFonts w:asciiTheme="majorHAnsi" w:eastAsia="Calibri" w:hAnsiTheme="majorHAnsi" w:cstheme="majorHAnsi"/>
        </w:rPr>
        <w:t>,</w:t>
      </w:r>
      <w:r w:rsidR="002A1A23" w:rsidRPr="00FF386D">
        <w:t xml:space="preserve"> у </w:t>
      </w:r>
      <w:r w:rsidR="00BA1D4B">
        <w:fldChar w:fldCharType="begin"/>
      </w:r>
      <w:r w:rsidR="00BA1D4B">
        <w:instrText xml:space="preserve"> REF _Ref153883767 \h </w:instrText>
      </w:r>
      <w:r w:rsidR="00BA1D4B">
        <w:fldChar w:fldCharType="separate"/>
      </w:r>
      <w:r w:rsidR="00BA1D4B">
        <w:t xml:space="preserve">табели </w:t>
      </w:r>
      <w:r w:rsidR="00BA1D4B">
        <w:rPr>
          <w:noProof/>
        </w:rPr>
        <w:t>4</w:t>
      </w:r>
      <w:r w:rsidR="00BA1D4B">
        <w:t>.</w:t>
      </w:r>
      <w:r w:rsidR="00BA1D4B">
        <w:rPr>
          <w:noProof/>
        </w:rPr>
        <w:t>4</w:t>
      </w:r>
      <w:r w:rsidR="00BA1D4B">
        <w:fldChar w:fldCharType="end"/>
      </w:r>
      <w:r w:rsidR="00BA1D4B">
        <w:t xml:space="preserve"> </w:t>
      </w:r>
      <w:bookmarkStart w:id="295" w:name="_Hlk135815308"/>
      <w:r w:rsidRPr="00FF386D">
        <w:rPr>
          <w:lang w:bidi="sr-Cyrl-CS"/>
        </w:rPr>
        <w:t>је</w:t>
      </w:r>
      <w:r w:rsidR="00020A32" w:rsidRPr="00FF386D">
        <w:rPr>
          <w:lang w:bidi="sr-Cyrl-CS"/>
        </w:rPr>
        <w:t xml:space="preserve"> дат</w:t>
      </w:r>
      <w:r w:rsidRPr="00FF386D">
        <w:rPr>
          <w:lang w:bidi="sr-Cyrl-CS"/>
        </w:rPr>
        <w:t xml:space="preserve"> преглед капацитета са свим суседним електроенергетским системима</w:t>
      </w:r>
      <w:bookmarkEnd w:id="295"/>
      <w:r w:rsidRPr="00FF386D">
        <w:rPr>
          <w:vertAlign w:val="superscript"/>
        </w:rPr>
        <w:footnoteReference w:id="124"/>
      </w:r>
      <w:r w:rsidRPr="00FF386D">
        <w:t xml:space="preserve">. </w:t>
      </w:r>
      <w:r w:rsidRPr="00FF386D">
        <w:rPr>
          <w:lang w:bidi="sr-Cyrl-CS"/>
        </w:rPr>
        <w:t>Капацитети приказани у овој табели представљају збир т</w:t>
      </w:r>
      <w:r w:rsidR="001B6591" w:rsidRPr="00FF386D">
        <w:rPr>
          <w:lang w:bidi="sr-Cyrl-CS"/>
        </w:rPr>
        <w:t>оплотних</w:t>
      </w:r>
      <w:r w:rsidRPr="00FF386D">
        <w:rPr>
          <w:lang w:bidi="sr-Cyrl-CS"/>
        </w:rPr>
        <w:t xml:space="preserve"> ограничења свих далековода, који се разликују у зимском и летњем периоду. Требало би напоменути да коришћење постојећих интерконективних далековода зависи како од ограничења у националној преносној мрежи, тако и од ограничења које постављају оператори преносних система (ОПС) суседних система.</w:t>
      </w:r>
    </w:p>
    <w:p w14:paraId="1077A89B" w14:textId="6FD52127" w:rsidR="00BA1D4B" w:rsidRDefault="00BA1D4B" w:rsidP="00565B02">
      <w:pPr>
        <w:pStyle w:val="Caption"/>
        <w:keepNext/>
      </w:pPr>
      <w:bookmarkStart w:id="296" w:name="_Ref153883767"/>
      <w:bookmarkStart w:id="297" w:name="_Toc153901476"/>
      <w:r>
        <w:t xml:space="preserve">Табела </w:t>
      </w:r>
      <w:r w:rsidR="00873C40">
        <w:fldChar w:fldCharType="begin"/>
      </w:r>
      <w:r w:rsidR="00873C40">
        <w:instrText xml:space="preserve"> STYLEREF 1 \s </w:instrText>
      </w:r>
      <w:r w:rsidR="00873C40">
        <w:fldChar w:fldCharType="separate"/>
      </w:r>
      <w:r w:rsidR="00873C40">
        <w:rPr>
          <w:noProof/>
        </w:rPr>
        <w:t>4</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4</w:t>
      </w:r>
      <w:r w:rsidR="00873C40">
        <w:fldChar w:fldCharType="end"/>
      </w:r>
      <w:bookmarkEnd w:id="296"/>
      <w:r>
        <w:t xml:space="preserve">: </w:t>
      </w:r>
      <w:r w:rsidRPr="00BA1D4B">
        <w:t>Топлотни капацитети интерконективних далековода по границама</w:t>
      </w:r>
      <w:bookmarkEnd w:id="297"/>
    </w:p>
    <w:tbl>
      <w:tblPr>
        <w:tblStyle w:val="TableGrid"/>
        <w:tblW w:w="0" w:type="auto"/>
        <w:jc w:val="center"/>
        <w:tblLook w:val="04A0" w:firstRow="1" w:lastRow="0" w:firstColumn="1" w:lastColumn="0" w:noHBand="0" w:noVBand="1"/>
      </w:tblPr>
      <w:tblGrid>
        <w:gridCol w:w="3256"/>
        <w:gridCol w:w="1701"/>
        <w:gridCol w:w="1559"/>
      </w:tblGrid>
      <w:tr w:rsidR="002A1A23" w:rsidRPr="00FF386D" w14:paraId="32B20DB1" w14:textId="77777777" w:rsidTr="0057310C">
        <w:trPr>
          <w:trHeight w:val="358"/>
          <w:jc w:val="center"/>
        </w:trPr>
        <w:tc>
          <w:tcPr>
            <w:tcW w:w="3256" w:type="dxa"/>
            <w:shd w:val="clear" w:color="auto" w:fill="002060"/>
          </w:tcPr>
          <w:p w14:paraId="5D2B443D" w14:textId="77777777" w:rsidR="002A1A23" w:rsidRPr="00FF386D" w:rsidRDefault="002A1A23" w:rsidP="002A1A23">
            <w:pPr>
              <w:rPr>
                <w:rFonts w:ascii="Calibri Light" w:hAnsi="Calibri Light" w:cs="Calibri Light"/>
                <w:b/>
                <w:bCs/>
              </w:rPr>
            </w:pPr>
            <w:r w:rsidRPr="00FF386D">
              <w:rPr>
                <w:rFonts w:ascii="Calibri Light" w:hAnsi="Calibri Light" w:cs="Calibri Light"/>
                <w:b/>
              </w:rPr>
              <w:t>Граница</w:t>
            </w:r>
          </w:p>
        </w:tc>
        <w:tc>
          <w:tcPr>
            <w:tcW w:w="1701" w:type="dxa"/>
            <w:shd w:val="clear" w:color="auto" w:fill="002060"/>
          </w:tcPr>
          <w:p w14:paraId="5FE5B84B" w14:textId="77777777" w:rsidR="002A1A23" w:rsidRPr="00FF386D" w:rsidRDefault="002A1A23" w:rsidP="002A1A23">
            <w:pPr>
              <w:jc w:val="center"/>
              <w:rPr>
                <w:rFonts w:ascii="Calibri Light" w:hAnsi="Calibri Light" w:cs="Calibri Light"/>
                <w:b/>
                <w:bCs/>
              </w:rPr>
            </w:pPr>
            <w:r w:rsidRPr="00FF386D">
              <w:rPr>
                <w:b/>
                <w:lang w:bidi="sr-Cyrl-CS"/>
              </w:rPr>
              <w:t>Летњи капацитет [MVA]</w:t>
            </w:r>
          </w:p>
        </w:tc>
        <w:tc>
          <w:tcPr>
            <w:tcW w:w="1559" w:type="dxa"/>
            <w:shd w:val="clear" w:color="auto" w:fill="002060"/>
          </w:tcPr>
          <w:p w14:paraId="0ADBF0D0" w14:textId="77777777" w:rsidR="002A1A23" w:rsidRPr="00FF386D" w:rsidRDefault="002A1A23" w:rsidP="002A1A23">
            <w:pPr>
              <w:jc w:val="center"/>
              <w:rPr>
                <w:rFonts w:ascii="Calibri Light" w:hAnsi="Calibri Light" w:cs="Calibri Light"/>
                <w:b/>
                <w:bCs/>
              </w:rPr>
            </w:pPr>
            <w:r w:rsidRPr="00FF386D">
              <w:rPr>
                <w:b/>
                <w:lang w:bidi="sr-Cyrl-CS"/>
              </w:rPr>
              <w:t>Зимски капацитет [MVA]</w:t>
            </w:r>
          </w:p>
        </w:tc>
      </w:tr>
      <w:tr w:rsidR="002A1A23" w:rsidRPr="00FF386D" w14:paraId="06B35718" w14:textId="77777777" w:rsidTr="002A1A23">
        <w:trPr>
          <w:trHeight w:val="358"/>
          <w:jc w:val="center"/>
        </w:trPr>
        <w:tc>
          <w:tcPr>
            <w:tcW w:w="3256" w:type="dxa"/>
            <w:shd w:val="clear" w:color="auto" w:fill="D9D9D9"/>
          </w:tcPr>
          <w:p w14:paraId="73C406A1" w14:textId="77777777" w:rsidR="002A1A23" w:rsidRPr="00FF386D" w:rsidRDefault="002A1A23" w:rsidP="002A1A23">
            <w:pPr>
              <w:rPr>
                <w:rFonts w:ascii="Calibri Light" w:hAnsi="Calibri Light" w:cs="Calibri Light"/>
              </w:rPr>
            </w:pPr>
            <w:r w:rsidRPr="00FF386D">
              <w:rPr>
                <w:rFonts w:ascii="Calibri Light" w:hAnsi="Calibri Light" w:cs="Calibri Light"/>
              </w:rPr>
              <w:t>Албанија – Србија</w:t>
            </w:r>
          </w:p>
        </w:tc>
        <w:tc>
          <w:tcPr>
            <w:tcW w:w="1701" w:type="dxa"/>
          </w:tcPr>
          <w:p w14:paraId="423F4BB2" w14:textId="77777777" w:rsidR="002A1A23" w:rsidRPr="00FF386D" w:rsidRDefault="002A1A23" w:rsidP="002A1A23">
            <w:pPr>
              <w:jc w:val="center"/>
              <w:rPr>
                <w:rFonts w:ascii="Calibri Light" w:hAnsi="Calibri Light" w:cs="Calibri Light"/>
              </w:rPr>
            </w:pPr>
            <w:r w:rsidRPr="00FF386D">
              <w:rPr>
                <w:rFonts w:ascii="Calibri Light" w:hAnsi="Calibri Light" w:cs="Calibri Light"/>
              </w:rPr>
              <w:t>1675</w:t>
            </w:r>
          </w:p>
        </w:tc>
        <w:tc>
          <w:tcPr>
            <w:tcW w:w="1559" w:type="dxa"/>
          </w:tcPr>
          <w:p w14:paraId="1147B339" w14:textId="77777777" w:rsidR="002A1A23" w:rsidRPr="00FF386D" w:rsidRDefault="002A1A23" w:rsidP="002A1A23">
            <w:pPr>
              <w:jc w:val="center"/>
              <w:rPr>
                <w:rFonts w:ascii="Calibri Light" w:hAnsi="Calibri Light" w:cs="Calibri Light"/>
              </w:rPr>
            </w:pPr>
            <w:r w:rsidRPr="00FF386D">
              <w:rPr>
                <w:rFonts w:ascii="Calibri Light" w:hAnsi="Calibri Light" w:cs="Calibri Light"/>
              </w:rPr>
              <w:t>1675</w:t>
            </w:r>
          </w:p>
        </w:tc>
      </w:tr>
      <w:tr w:rsidR="002A1A23" w:rsidRPr="00FF386D" w14:paraId="0F0EC456" w14:textId="77777777" w:rsidTr="002A1A23">
        <w:trPr>
          <w:trHeight w:val="358"/>
          <w:jc w:val="center"/>
        </w:trPr>
        <w:tc>
          <w:tcPr>
            <w:tcW w:w="3256" w:type="dxa"/>
            <w:shd w:val="clear" w:color="auto" w:fill="D9D9D9"/>
          </w:tcPr>
          <w:p w14:paraId="2920EED7" w14:textId="77777777" w:rsidR="002A1A23" w:rsidRPr="00FF386D" w:rsidRDefault="002A1A23" w:rsidP="002A1A23">
            <w:pPr>
              <w:rPr>
                <w:rFonts w:ascii="Calibri Light" w:hAnsi="Calibri Light" w:cs="Calibri Light"/>
              </w:rPr>
            </w:pPr>
            <w:r w:rsidRPr="00FF386D">
              <w:rPr>
                <w:rFonts w:ascii="Calibri Light" w:hAnsi="Calibri Light" w:cs="Calibri Light"/>
              </w:rPr>
              <w:t>Црна Гора – Србија</w:t>
            </w:r>
          </w:p>
        </w:tc>
        <w:tc>
          <w:tcPr>
            <w:tcW w:w="1701" w:type="dxa"/>
          </w:tcPr>
          <w:p w14:paraId="6F776DA4" w14:textId="77777777" w:rsidR="002A1A23" w:rsidRPr="00FF386D" w:rsidRDefault="002A1A23" w:rsidP="002A1A23">
            <w:pPr>
              <w:jc w:val="center"/>
              <w:rPr>
                <w:rFonts w:ascii="Calibri Light" w:hAnsi="Calibri Light" w:cs="Calibri Light"/>
              </w:rPr>
            </w:pPr>
            <w:r w:rsidRPr="00FF386D">
              <w:rPr>
                <w:rFonts w:ascii="Calibri Light" w:hAnsi="Calibri Light" w:cs="Calibri Light"/>
              </w:rPr>
              <w:t>1874</w:t>
            </w:r>
          </w:p>
        </w:tc>
        <w:tc>
          <w:tcPr>
            <w:tcW w:w="1559" w:type="dxa"/>
          </w:tcPr>
          <w:p w14:paraId="53B62DFA" w14:textId="77777777" w:rsidR="002A1A23" w:rsidRPr="00FF386D" w:rsidRDefault="002A1A23" w:rsidP="002A1A23">
            <w:pPr>
              <w:jc w:val="center"/>
              <w:rPr>
                <w:rFonts w:ascii="Calibri Light" w:hAnsi="Calibri Light" w:cs="Calibri Light"/>
              </w:rPr>
            </w:pPr>
            <w:r w:rsidRPr="00FF386D">
              <w:rPr>
                <w:rFonts w:ascii="Calibri Light" w:hAnsi="Calibri Light" w:cs="Calibri Light"/>
              </w:rPr>
              <w:t>2094</w:t>
            </w:r>
          </w:p>
        </w:tc>
      </w:tr>
      <w:tr w:rsidR="002A1A23" w:rsidRPr="00FF386D" w14:paraId="6ADB5008" w14:textId="77777777" w:rsidTr="002A1A23">
        <w:trPr>
          <w:trHeight w:val="358"/>
          <w:jc w:val="center"/>
        </w:trPr>
        <w:tc>
          <w:tcPr>
            <w:tcW w:w="3256" w:type="dxa"/>
            <w:shd w:val="clear" w:color="auto" w:fill="D9D9D9"/>
          </w:tcPr>
          <w:p w14:paraId="448EDC07" w14:textId="77777777" w:rsidR="002A1A23" w:rsidRPr="00FF386D" w:rsidRDefault="002A1A23" w:rsidP="002A1A23">
            <w:pPr>
              <w:rPr>
                <w:rFonts w:ascii="Calibri Light" w:hAnsi="Calibri Light" w:cs="Calibri Light"/>
              </w:rPr>
            </w:pPr>
            <w:r w:rsidRPr="00FF386D">
              <w:rPr>
                <w:rFonts w:ascii="Calibri Light" w:hAnsi="Calibri Light" w:cs="Calibri Light"/>
              </w:rPr>
              <w:t>Северна Македонија – Србија</w:t>
            </w:r>
          </w:p>
        </w:tc>
        <w:tc>
          <w:tcPr>
            <w:tcW w:w="1701" w:type="dxa"/>
          </w:tcPr>
          <w:p w14:paraId="379BC8A4" w14:textId="77777777" w:rsidR="002A1A23" w:rsidRPr="00FF386D" w:rsidRDefault="002A1A23" w:rsidP="002A1A23">
            <w:pPr>
              <w:jc w:val="center"/>
              <w:rPr>
                <w:rFonts w:ascii="Calibri Light" w:hAnsi="Calibri Light" w:cs="Calibri Light"/>
              </w:rPr>
            </w:pPr>
            <w:r w:rsidRPr="00FF386D">
              <w:rPr>
                <w:rFonts w:ascii="Calibri Light" w:hAnsi="Calibri Light" w:cs="Calibri Light"/>
              </w:rPr>
              <w:t>2424</w:t>
            </w:r>
          </w:p>
        </w:tc>
        <w:tc>
          <w:tcPr>
            <w:tcW w:w="1559" w:type="dxa"/>
          </w:tcPr>
          <w:p w14:paraId="6E6D1C15" w14:textId="77777777" w:rsidR="002A1A23" w:rsidRPr="00FF386D" w:rsidRDefault="002A1A23" w:rsidP="002A1A23">
            <w:pPr>
              <w:jc w:val="center"/>
              <w:rPr>
                <w:rFonts w:ascii="Calibri Light" w:hAnsi="Calibri Light" w:cs="Calibri Light"/>
              </w:rPr>
            </w:pPr>
            <w:r w:rsidRPr="00FF386D">
              <w:rPr>
                <w:rFonts w:ascii="Calibri Light" w:hAnsi="Calibri Light" w:cs="Calibri Light"/>
              </w:rPr>
              <w:t>2548</w:t>
            </w:r>
          </w:p>
        </w:tc>
      </w:tr>
      <w:tr w:rsidR="002A1A23" w:rsidRPr="00FF386D" w14:paraId="0AF039B4" w14:textId="77777777" w:rsidTr="002A1A23">
        <w:trPr>
          <w:trHeight w:val="344"/>
          <w:jc w:val="center"/>
        </w:trPr>
        <w:tc>
          <w:tcPr>
            <w:tcW w:w="3256" w:type="dxa"/>
            <w:shd w:val="clear" w:color="auto" w:fill="D9D9D9"/>
          </w:tcPr>
          <w:p w14:paraId="7A9A2D3A" w14:textId="77777777" w:rsidR="002A1A23" w:rsidRPr="00FF386D" w:rsidRDefault="002A1A23" w:rsidP="002A1A23">
            <w:pPr>
              <w:rPr>
                <w:rFonts w:ascii="Calibri Light" w:hAnsi="Calibri Light" w:cs="Calibri Light"/>
              </w:rPr>
            </w:pPr>
            <w:r w:rsidRPr="00FF386D">
              <w:rPr>
                <w:rFonts w:ascii="Calibri Light" w:hAnsi="Calibri Light" w:cs="Calibri Light"/>
              </w:rPr>
              <w:t>Мађарска – Србија</w:t>
            </w:r>
          </w:p>
        </w:tc>
        <w:tc>
          <w:tcPr>
            <w:tcW w:w="1701" w:type="dxa"/>
          </w:tcPr>
          <w:p w14:paraId="07C600B0" w14:textId="77777777" w:rsidR="002A1A23" w:rsidRPr="00FF386D" w:rsidRDefault="002A1A23" w:rsidP="002A1A23">
            <w:pPr>
              <w:jc w:val="center"/>
              <w:rPr>
                <w:rFonts w:ascii="Calibri Light" w:hAnsi="Calibri Light" w:cs="Calibri Light"/>
              </w:rPr>
            </w:pPr>
            <w:r w:rsidRPr="00FF386D">
              <w:rPr>
                <w:rFonts w:ascii="Calibri Light" w:hAnsi="Calibri Light" w:cs="Calibri Light"/>
              </w:rPr>
              <w:t>1206</w:t>
            </w:r>
          </w:p>
        </w:tc>
        <w:tc>
          <w:tcPr>
            <w:tcW w:w="1559" w:type="dxa"/>
          </w:tcPr>
          <w:p w14:paraId="521501BB" w14:textId="77777777" w:rsidR="002A1A23" w:rsidRPr="00FF386D" w:rsidRDefault="002A1A23" w:rsidP="002A1A23">
            <w:pPr>
              <w:jc w:val="center"/>
              <w:rPr>
                <w:rFonts w:ascii="Calibri Light" w:hAnsi="Calibri Light" w:cs="Calibri Light"/>
              </w:rPr>
            </w:pPr>
            <w:r w:rsidRPr="00FF386D">
              <w:rPr>
                <w:rFonts w:ascii="Calibri Light" w:hAnsi="Calibri Light" w:cs="Calibri Light"/>
              </w:rPr>
              <w:t>1330</w:t>
            </w:r>
          </w:p>
        </w:tc>
      </w:tr>
      <w:tr w:rsidR="002A1A23" w:rsidRPr="00FF386D" w14:paraId="32E71838" w14:textId="77777777" w:rsidTr="002A1A23">
        <w:trPr>
          <w:trHeight w:val="358"/>
          <w:jc w:val="center"/>
        </w:trPr>
        <w:tc>
          <w:tcPr>
            <w:tcW w:w="3256" w:type="dxa"/>
            <w:shd w:val="clear" w:color="auto" w:fill="D9D9D9"/>
          </w:tcPr>
          <w:p w14:paraId="3CE26EE8" w14:textId="77777777" w:rsidR="002A1A23" w:rsidRPr="00FF386D" w:rsidRDefault="002A1A23" w:rsidP="002A1A23">
            <w:pPr>
              <w:rPr>
                <w:rFonts w:ascii="Calibri Light" w:hAnsi="Calibri Light" w:cs="Calibri Light"/>
              </w:rPr>
            </w:pPr>
            <w:r w:rsidRPr="00FF386D">
              <w:rPr>
                <w:rFonts w:ascii="Calibri Light" w:hAnsi="Calibri Light" w:cs="Calibri Light"/>
              </w:rPr>
              <w:t>Босна и Херцеговина – Србија</w:t>
            </w:r>
          </w:p>
        </w:tc>
        <w:tc>
          <w:tcPr>
            <w:tcW w:w="1701" w:type="dxa"/>
          </w:tcPr>
          <w:p w14:paraId="55C57CD1" w14:textId="77777777" w:rsidR="002A1A23" w:rsidRPr="00FF386D" w:rsidRDefault="002A1A23" w:rsidP="002A1A23">
            <w:pPr>
              <w:jc w:val="center"/>
              <w:rPr>
                <w:rFonts w:ascii="Calibri Light" w:hAnsi="Calibri Light" w:cs="Calibri Light"/>
              </w:rPr>
            </w:pPr>
            <w:r w:rsidRPr="00FF386D">
              <w:rPr>
                <w:rFonts w:ascii="Calibri Light" w:hAnsi="Calibri Light" w:cs="Calibri Light"/>
              </w:rPr>
              <w:t>1456</w:t>
            </w:r>
          </w:p>
        </w:tc>
        <w:tc>
          <w:tcPr>
            <w:tcW w:w="1559" w:type="dxa"/>
          </w:tcPr>
          <w:p w14:paraId="14524328" w14:textId="77777777" w:rsidR="002A1A23" w:rsidRPr="00FF386D" w:rsidRDefault="002A1A23" w:rsidP="002A1A23">
            <w:pPr>
              <w:jc w:val="center"/>
              <w:rPr>
                <w:rFonts w:ascii="Calibri Light" w:hAnsi="Calibri Light" w:cs="Calibri Light"/>
              </w:rPr>
            </w:pPr>
            <w:r w:rsidRPr="00FF386D">
              <w:rPr>
                <w:rFonts w:ascii="Calibri Light" w:hAnsi="Calibri Light" w:cs="Calibri Light"/>
              </w:rPr>
              <w:t>1631</w:t>
            </w:r>
          </w:p>
        </w:tc>
      </w:tr>
      <w:tr w:rsidR="002A1A23" w:rsidRPr="00FF386D" w14:paraId="365D3F3D" w14:textId="77777777" w:rsidTr="002A1A23">
        <w:trPr>
          <w:trHeight w:val="358"/>
          <w:jc w:val="center"/>
        </w:trPr>
        <w:tc>
          <w:tcPr>
            <w:tcW w:w="3256" w:type="dxa"/>
            <w:shd w:val="clear" w:color="auto" w:fill="D9D9D9"/>
          </w:tcPr>
          <w:p w14:paraId="6698E925" w14:textId="77777777" w:rsidR="002A1A23" w:rsidRPr="00FF386D" w:rsidRDefault="002A1A23" w:rsidP="002A1A23">
            <w:pPr>
              <w:rPr>
                <w:rFonts w:ascii="Calibri Light" w:hAnsi="Calibri Light" w:cs="Calibri Light"/>
              </w:rPr>
            </w:pPr>
            <w:r w:rsidRPr="00FF386D">
              <w:rPr>
                <w:rFonts w:ascii="Calibri Light" w:hAnsi="Calibri Light" w:cs="Calibri Light"/>
              </w:rPr>
              <w:t>Румунија – Србија</w:t>
            </w:r>
          </w:p>
        </w:tc>
        <w:tc>
          <w:tcPr>
            <w:tcW w:w="1701" w:type="dxa"/>
          </w:tcPr>
          <w:p w14:paraId="13351140" w14:textId="77777777" w:rsidR="002A1A23" w:rsidRPr="00FF386D" w:rsidRDefault="002A1A23" w:rsidP="002A1A23">
            <w:pPr>
              <w:jc w:val="center"/>
              <w:rPr>
                <w:rFonts w:ascii="Calibri Light" w:hAnsi="Calibri Light" w:cs="Calibri Light"/>
              </w:rPr>
            </w:pPr>
            <w:r w:rsidRPr="00FF386D">
              <w:rPr>
                <w:rFonts w:ascii="Calibri Light" w:hAnsi="Calibri Light" w:cs="Calibri Light"/>
              </w:rPr>
              <w:t>901</w:t>
            </w:r>
          </w:p>
        </w:tc>
        <w:tc>
          <w:tcPr>
            <w:tcW w:w="1559" w:type="dxa"/>
          </w:tcPr>
          <w:p w14:paraId="75E391CC" w14:textId="77777777" w:rsidR="002A1A23" w:rsidRPr="00FF386D" w:rsidRDefault="002A1A23" w:rsidP="002A1A23">
            <w:pPr>
              <w:jc w:val="center"/>
              <w:rPr>
                <w:rFonts w:ascii="Calibri Light" w:hAnsi="Calibri Light" w:cs="Calibri Light"/>
              </w:rPr>
            </w:pPr>
            <w:r w:rsidRPr="00FF386D">
              <w:rPr>
                <w:rFonts w:ascii="Calibri Light" w:hAnsi="Calibri Light" w:cs="Calibri Light"/>
              </w:rPr>
              <w:t>1247</w:t>
            </w:r>
          </w:p>
        </w:tc>
      </w:tr>
      <w:tr w:rsidR="002A1A23" w:rsidRPr="00FF386D" w14:paraId="18E5F80D" w14:textId="77777777" w:rsidTr="002A1A23">
        <w:trPr>
          <w:trHeight w:val="358"/>
          <w:jc w:val="center"/>
        </w:trPr>
        <w:tc>
          <w:tcPr>
            <w:tcW w:w="3256" w:type="dxa"/>
            <w:shd w:val="clear" w:color="auto" w:fill="D9D9D9"/>
          </w:tcPr>
          <w:p w14:paraId="324FD204" w14:textId="77777777" w:rsidR="002A1A23" w:rsidRPr="00FF386D" w:rsidRDefault="002A1A23" w:rsidP="002A1A23">
            <w:pPr>
              <w:rPr>
                <w:rFonts w:ascii="Calibri Light" w:hAnsi="Calibri Light" w:cs="Calibri Light"/>
              </w:rPr>
            </w:pPr>
            <w:r w:rsidRPr="00FF386D">
              <w:rPr>
                <w:rFonts w:ascii="Calibri Light" w:hAnsi="Calibri Light" w:cs="Calibri Light"/>
              </w:rPr>
              <w:t>Бугарска – Србија</w:t>
            </w:r>
          </w:p>
        </w:tc>
        <w:tc>
          <w:tcPr>
            <w:tcW w:w="1701" w:type="dxa"/>
          </w:tcPr>
          <w:p w14:paraId="3B38A88A" w14:textId="77777777" w:rsidR="002A1A23" w:rsidRPr="00FF386D" w:rsidRDefault="002A1A23" w:rsidP="002A1A23">
            <w:pPr>
              <w:jc w:val="center"/>
              <w:rPr>
                <w:rFonts w:ascii="Calibri Light" w:hAnsi="Calibri Light" w:cs="Calibri Light"/>
              </w:rPr>
            </w:pPr>
            <w:r w:rsidRPr="00FF386D">
              <w:rPr>
                <w:rFonts w:ascii="Calibri Light" w:hAnsi="Calibri Light" w:cs="Calibri Light"/>
              </w:rPr>
              <w:t>1206</w:t>
            </w:r>
          </w:p>
        </w:tc>
        <w:tc>
          <w:tcPr>
            <w:tcW w:w="1559" w:type="dxa"/>
          </w:tcPr>
          <w:p w14:paraId="07A67BBF" w14:textId="77777777" w:rsidR="002A1A23" w:rsidRPr="00FF386D" w:rsidRDefault="002A1A23" w:rsidP="002A1A23">
            <w:pPr>
              <w:jc w:val="center"/>
              <w:rPr>
                <w:rFonts w:ascii="Calibri Light" w:hAnsi="Calibri Light" w:cs="Calibri Light"/>
              </w:rPr>
            </w:pPr>
            <w:r w:rsidRPr="00FF386D">
              <w:rPr>
                <w:rFonts w:ascii="Calibri Light" w:hAnsi="Calibri Light" w:cs="Calibri Light"/>
              </w:rPr>
              <w:t>1330</w:t>
            </w:r>
          </w:p>
        </w:tc>
      </w:tr>
      <w:tr w:rsidR="002A1A23" w:rsidRPr="00FF386D" w14:paraId="7CAD89DB" w14:textId="77777777" w:rsidTr="002A1A23">
        <w:trPr>
          <w:trHeight w:val="358"/>
          <w:jc w:val="center"/>
        </w:trPr>
        <w:tc>
          <w:tcPr>
            <w:tcW w:w="3256" w:type="dxa"/>
            <w:shd w:val="clear" w:color="auto" w:fill="D9D9D9"/>
          </w:tcPr>
          <w:p w14:paraId="4969BDE6" w14:textId="77777777" w:rsidR="002A1A23" w:rsidRPr="00FF386D" w:rsidRDefault="002A1A23" w:rsidP="002A1A23">
            <w:pPr>
              <w:rPr>
                <w:rFonts w:ascii="Calibri Light" w:hAnsi="Calibri Light" w:cs="Calibri Light"/>
              </w:rPr>
            </w:pPr>
            <w:r w:rsidRPr="00FF386D">
              <w:rPr>
                <w:rFonts w:ascii="Calibri Light" w:hAnsi="Calibri Light" w:cs="Calibri Light"/>
              </w:rPr>
              <w:lastRenderedPageBreak/>
              <w:t>Хрватска – Србија</w:t>
            </w:r>
          </w:p>
        </w:tc>
        <w:tc>
          <w:tcPr>
            <w:tcW w:w="1701" w:type="dxa"/>
          </w:tcPr>
          <w:p w14:paraId="78A6FCB7" w14:textId="77777777" w:rsidR="002A1A23" w:rsidRPr="00FF386D" w:rsidRDefault="002A1A23" w:rsidP="002A1A23">
            <w:pPr>
              <w:jc w:val="center"/>
              <w:rPr>
                <w:rFonts w:ascii="Calibri Light" w:hAnsi="Calibri Light" w:cs="Calibri Light"/>
              </w:rPr>
            </w:pPr>
            <w:r w:rsidRPr="00FF386D">
              <w:rPr>
                <w:rFonts w:ascii="Calibri Light" w:hAnsi="Calibri Light" w:cs="Calibri Light"/>
              </w:rPr>
              <w:t>1206</w:t>
            </w:r>
          </w:p>
        </w:tc>
        <w:tc>
          <w:tcPr>
            <w:tcW w:w="1559" w:type="dxa"/>
          </w:tcPr>
          <w:p w14:paraId="3939E25B" w14:textId="77777777" w:rsidR="002A1A23" w:rsidRPr="00FF386D" w:rsidRDefault="002A1A23" w:rsidP="002A1A23">
            <w:pPr>
              <w:jc w:val="center"/>
              <w:rPr>
                <w:rFonts w:ascii="Calibri Light" w:hAnsi="Calibri Light" w:cs="Calibri Light"/>
              </w:rPr>
            </w:pPr>
            <w:r w:rsidRPr="00FF386D">
              <w:rPr>
                <w:rFonts w:ascii="Calibri Light" w:hAnsi="Calibri Light" w:cs="Calibri Light"/>
              </w:rPr>
              <w:t>1330</w:t>
            </w:r>
          </w:p>
        </w:tc>
      </w:tr>
    </w:tbl>
    <w:p w14:paraId="0245DC7D" w14:textId="6969D16C" w:rsidR="002A1A23" w:rsidRPr="00FF386D" w:rsidRDefault="002A1A23">
      <w:pPr>
        <w:keepNext/>
        <w:keepLines/>
        <w:numPr>
          <w:ilvl w:val="0"/>
          <w:numId w:val="251"/>
        </w:numPr>
        <w:spacing w:before="200" w:after="0" w:line="240" w:lineRule="auto"/>
        <w:outlineLvl w:val="3"/>
        <w:rPr>
          <w:rFonts w:ascii="Calibri Light" w:eastAsia="Times New Roman" w:hAnsi="Calibri Light" w:cs="Times New Roman"/>
          <w:b/>
          <w:bCs/>
          <w:iCs/>
          <w:color w:val="01406B"/>
          <w:szCs w:val="24"/>
        </w:rPr>
      </w:pPr>
      <w:r w:rsidRPr="00FF386D">
        <w:rPr>
          <w:rFonts w:ascii="Calibri Light" w:eastAsia="Times New Roman" w:hAnsi="Calibri Light" w:cs="Times New Roman"/>
          <w:b/>
          <w:bCs/>
          <w:iCs/>
          <w:color w:val="01406B"/>
          <w:szCs w:val="24"/>
          <w:lang w:bidi="sr-Cyrl-CS"/>
        </w:rPr>
        <w:t xml:space="preserve">Пројекције </w:t>
      </w:r>
      <w:r w:rsidR="002B4031" w:rsidRPr="00FF386D">
        <w:rPr>
          <w:rFonts w:ascii="Calibri Light" w:eastAsia="Times New Roman" w:hAnsi="Calibri Light" w:cs="Times New Roman"/>
          <w:b/>
          <w:bCs/>
          <w:iCs/>
          <w:color w:val="01406B"/>
          <w:szCs w:val="24"/>
          <w:lang w:bidi="sr-Cyrl-CS"/>
        </w:rPr>
        <w:t xml:space="preserve">потреба </w:t>
      </w:r>
      <w:r w:rsidRPr="00FF386D">
        <w:rPr>
          <w:rFonts w:ascii="Calibri Light" w:eastAsia="Times New Roman" w:hAnsi="Calibri Light" w:cs="Times New Roman"/>
          <w:b/>
          <w:bCs/>
          <w:iCs/>
          <w:color w:val="01406B"/>
          <w:szCs w:val="24"/>
          <w:lang w:bidi="sr-Cyrl-CS"/>
        </w:rPr>
        <w:t xml:space="preserve">у погледу проширења интерконектора до </w:t>
      </w:r>
      <w:r w:rsidR="00A0370B" w:rsidRPr="00FF386D">
        <w:rPr>
          <w:rFonts w:ascii="Calibri Light" w:eastAsia="Times New Roman" w:hAnsi="Calibri Light" w:cs="Times New Roman"/>
          <w:b/>
          <w:bCs/>
          <w:iCs/>
          <w:color w:val="01406B"/>
          <w:szCs w:val="24"/>
          <w:lang w:bidi="sr-Cyrl-CS"/>
        </w:rPr>
        <w:t>најмање</w:t>
      </w:r>
      <w:r w:rsidRPr="00FF386D">
        <w:rPr>
          <w:rFonts w:ascii="Calibri Light" w:eastAsia="Times New Roman" w:hAnsi="Calibri Light" w:cs="Times New Roman"/>
          <w:b/>
          <w:bCs/>
          <w:iCs/>
          <w:color w:val="01406B"/>
          <w:szCs w:val="24"/>
          <w:lang w:bidi="sr-Cyrl-CS"/>
        </w:rPr>
        <w:t xml:space="preserve"> 2040. године (укључујући и оне за 2030. годину)</w:t>
      </w:r>
    </w:p>
    <w:p w14:paraId="2030A845" w14:textId="4AF94270" w:rsidR="002A1A23" w:rsidRPr="00FF386D" w:rsidRDefault="00A0370B" w:rsidP="00565B02">
      <w:pPr>
        <w:widowControl w:val="0"/>
        <w:spacing w:after="120" w:line="240" w:lineRule="auto"/>
        <w:jc w:val="both"/>
      </w:pPr>
      <w:r w:rsidRPr="00FF386D">
        <w:rPr>
          <w:rFonts w:asciiTheme="majorHAnsi" w:eastAsia="Calibri" w:hAnsiTheme="majorHAnsi" w:cstheme="majorHAnsi"/>
          <w:lang w:bidi="sr-Cyrl-CS"/>
        </w:rPr>
        <w:t xml:space="preserve">Пројекције </w:t>
      </w:r>
      <w:r w:rsidR="002B4031" w:rsidRPr="00FF386D">
        <w:rPr>
          <w:rFonts w:asciiTheme="majorHAnsi" w:eastAsia="Calibri" w:hAnsiTheme="majorHAnsi" w:cstheme="majorHAnsi"/>
          <w:lang w:bidi="sr-Cyrl-CS"/>
        </w:rPr>
        <w:t>потреба</w:t>
      </w:r>
      <w:r w:rsidRPr="00FF386D">
        <w:rPr>
          <w:rFonts w:asciiTheme="majorHAnsi" w:eastAsia="Calibri" w:hAnsiTheme="majorHAnsi" w:cstheme="majorHAnsi"/>
          <w:lang w:bidi="sr-Cyrl-CS"/>
        </w:rPr>
        <w:t xml:space="preserve"> за проширење</w:t>
      </w:r>
      <w:r w:rsidR="002B4031" w:rsidRPr="00FF386D">
        <w:rPr>
          <w:rFonts w:asciiTheme="majorHAnsi" w:eastAsia="Calibri" w:hAnsiTheme="majorHAnsi" w:cstheme="majorHAnsi"/>
          <w:lang w:bidi="sr-Cyrl-CS"/>
        </w:rPr>
        <w:t>м</w:t>
      </w:r>
      <w:r w:rsidRPr="00FF386D">
        <w:rPr>
          <w:rFonts w:asciiTheme="majorHAnsi" w:eastAsia="Calibri" w:hAnsiTheme="majorHAnsi" w:cstheme="majorHAnsi"/>
          <w:lang w:bidi="sr-Cyrl-CS"/>
        </w:rPr>
        <w:t xml:space="preserve"> интерконектора раде се сваке две године као део студија планирања </w:t>
      </w:r>
      <w:r w:rsidRPr="00FF386D">
        <w:rPr>
          <w:rFonts w:asciiTheme="majorHAnsi" w:eastAsia="Calibri" w:hAnsiTheme="majorHAnsi" w:cstheme="majorHAnsi"/>
          <w:i/>
          <w:lang w:bidi="sr-Cyrl-CS"/>
        </w:rPr>
        <w:t xml:space="preserve">ENTSO-E </w:t>
      </w:r>
      <w:r w:rsidRPr="00FF386D">
        <w:rPr>
          <w:rFonts w:asciiTheme="majorHAnsi" w:eastAsia="Calibri" w:hAnsiTheme="majorHAnsi" w:cstheme="majorHAnsi"/>
          <w:lang w:bidi="sr-Cyrl-CS"/>
        </w:rPr>
        <w:t>и укључене су у Пан-европски десетогодишњи план развоја преносног система (</w:t>
      </w:r>
      <w:r w:rsidRPr="00FF386D">
        <w:rPr>
          <w:rFonts w:asciiTheme="majorHAnsi" w:eastAsia="Calibri" w:hAnsiTheme="majorHAnsi" w:cstheme="majorHAnsi"/>
          <w:i/>
          <w:lang w:bidi="sr-Cyrl-CS"/>
        </w:rPr>
        <w:t>TYNDP</w:t>
      </w:r>
      <w:r w:rsidRPr="00FF386D">
        <w:rPr>
          <w:rFonts w:asciiTheme="majorHAnsi" w:eastAsia="Calibri" w:hAnsiTheme="majorHAnsi" w:cstheme="majorHAnsi"/>
          <w:lang w:bidi="sr-Cyrl-CS"/>
        </w:rPr>
        <w:t xml:space="preserve">) у виду препознавања потреба система. У најновијој верзији </w:t>
      </w:r>
      <w:r w:rsidRPr="00FF386D">
        <w:rPr>
          <w:rFonts w:asciiTheme="majorHAnsi" w:eastAsia="Calibri" w:hAnsiTheme="majorHAnsi" w:cstheme="majorHAnsi"/>
          <w:i/>
          <w:lang w:bidi="sr-Cyrl-CS"/>
        </w:rPr>
        <w:t>TYNDP 2020</w:t>
      </w:r>
      <w:r w:rsidRPr="00FF386D">
        <w:rPr>
          <w:rFonts w:asciiTheme="majorHAnsi" w:eastAsia="Calibri" w:hAnsiTheme="majorHAnsi" w:cstheme="majorHAnsi"/>
          <w:lang w:bidi="sr-Cyrl-CS"/>
        </w:rPr>
        <w:t xml:space="preserve">, у сценаријима за 2030. и 2040. годину дошло је до утврђивања потенцијалних потреба у вези са повећањем капацитета интерконекције унутар </w:t>
      </w:r>
      <w:r w:rsidRPr="00FF386D">
        <w:rPr>
          <w:rFonts w:asciiTheme="majorHAnsi" w:eastAsia="Calibri" w:hAnsiTheme="majorHAnsi" w:cstheme="majorHAnsi"/>
          <w:i/>
          <w:lang w:bidi="sr-Cyrl-CS"/>
        </w:rPr>
        <w:t>ENTSO-E</w:t>
      </w:r>
      <w:r w:rsidRPr="00FF386D">
        <w:rPr>
          <w:rFonts w:asciiTheme="majorHAnsi" w:eastAsia="Calibri" w:hAnsiTheme="majorHAnsi" w:cstheme="majorHAnsi"/>
          <w:lang w:bidi="sr-Cyrl-CS"/>
        </w:rPr>
        <w:t xml:space="preserve"> у датом временском оквиру</w:t>
      </w:r>
      <w:r w:rsidRPr="00FF386D">
        <w:rPr>
          <w:rFonts w:eastAsia="Calibri" w:cstheme="minorHAnsi"/>
        </w:rPr>
        <w:t xml:space="preserve">. </w:t>
      </w:r>
      <w:r w:rsidRPr="00FF386D">
        <w:rPr>
          <w:rFonts w:asciiTheme="majorHAnsi" w:eastAsia="Calibri" w:hAnsiTheme="majorHAnsi" w:cstheme="majorHAnsi"/>
          <w:lang w:bidi="sr-Cyrl-CS"/>
        </w:rPr>
        <w:t xml:space="preserve">На </w:t>
      </w:r>
      <w:r w:rsidR="00BA1D4B">
        <w:rPr>
          <w:rFonts w:asciiTheme="majorHAnsi" w:eastAsia="Calibri" w:hAnsiTheme="majorHAnsi" w:cstheme="majorHAnsi"/>
          <w:lang w:bidi="sr-Cyrl-CS"/>
        </w:rPr>
        <w:fldChar w:fldCharType="begin"/>
      </w:r>
      <w:r w:rsidR="00BA1D4B">
        <w:rPr>
          <w:rFonts w:asciiTheme="majorHAnsi" w:eastAsia="Calibri" w:hAnsiTheme="majorHAnsi" w:cstheme="majorHAnsi"/>
          <w:lang w:bidi="sr-Cyrl-CS"/>
        </w:rPr>
        <w:instrText xml:space="preserve"> REF _Ref153883851 \h  \* MERGEFORMAT </w:instrText>
      </w:r>
      <w:r w:rsidR="00BA1D4B">
        <w:rPr>
          <w:rFonts w:asciiTheme="majorHAnsi" w:eastAsia="Calibri" w:hAnsiTheme="majorHAnsi" w:cstheme="majorHAnsi"/>
          <w:lang w:bidi="sr-Cyrl-CS"/>
        </w:rPr>
      </w:r>
      <w:r w:rsidR="00BA1D4B">
        <w:rPr>
          <w:rFonts w:asciiTheme="majorHAnsi" w:eastAsia="Calibri" w:hAnsiTheme="majorHAnsi" w:cstheme="majorHAnsi"/>
          <w:lang w:bidi="sr-Cyrl-CS"/>
        </w:rPr>
        <w:fldChar w:fldCharType="separate"/>
      </w:r>
      <w:r w:rsidR="00BA1D4B" w:rsidRPr="00565B02">
        <w:rPr>
          <w:rFonts w:asciiTheme="majorHAnsi" w:eastAsia="Calibri" w:hAnsiTheme="majorHAnsi" w:cstheme="majorHAnsi"/>
          <w:lang w:bidi="sr-Cyrl-CS"/>
        </w:rPr>
        <w:t>слици 4.52</w:t>
      </w:r>
      <w:r w:rsidR="00BA1D4B">
        <w:rPr>
          <w:rFonts w:asciiTheme="majorHAnsi" w:eastAsia="Calibri" w:hAnsiTheme="majorHAnsi" w:cstheme="majorHAnsi"/>
          <w:lang w:bidi="sr-Cyrl-CS"/>
        </w:rPr>
        <w:fldChar w:fldCharType="end"/>
      </w:r>
      <w:r w:rsidR="00BA1D4B">
        <w:rPr>
          <w:rFonts w:asciiTheme="majorHAnsi" w:eastAsia="Calibri" w:hAnsiTheme="majorHAnsi" w:cstheme="majorHAnsi"/>
          <w:lang w:bidi="sr-Cyrl-CS"/>
        </w:rPr>
        <w:t xml:space="preserve"> </w:t>
      </w:r>
      <w:r w:rsidR="002A1A23" w:rsidRPr="00565B02">
        <w:rPr>
          <w:rFonts w:asciiTheme="majorHAnsi" w:eastAsia="Calibri" w:hAnsiTheme="majorHAnsi" w:cstheme="majorHAnsi"/>
          <w:lang w:bidi="sr-Cyrl-CS"/>
        </w:rPr>
        <w:t>дат је п</w:t>
      </w:r>
      <w:r w:rsidR="002A1A23" w:rsidRPr="00FF386D">
        <w:rPr>
          <w:rFonts w:ascii="Calibri Light" w:eastAsia="Times New Roman" w:hAnsi="Calibri Light" w:cs="Calibri Light"/>
          <w:szCs w:val="20"/>
          <w:lang w:eastAsia="el-GR" w:bidi="sr-Cyrl-CS"/>
        </w:rPr>
        <w:t>реглед свих системских потреба утврђених за 2030. и 2040. годину у региону Балкана.</w:t>
      </w:r>
    </w:p>
    <w:p w14:paraId="245AB197" w14:textId="5F8ED8E4" w:rsidR="00BA1D4B" w:rsidRDefault="00BA1D4B" w:rsidP="00565B02">
      <w:pPr>
        <w:pStyle w:val="Caption"/>
        <w:keepNext/>
      </w:pPr>
      <w:bookmarkStart w:id="298" w:name="_Ref153883851"/>
      <w:bookmarkStart w:id="299" w:name="_Toc153901398"/>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52</w:t>
      </w:r>
      <w:r w:rsidR="00F35B2C">
        <w:fldChar w:fldCharType="end"/>
      </w:r>
      <w:bookmarkEnd w:id="298"/>
      <w:r>
        <w:t xml:space="preserve">: </w:t>
      </w:r>
      <w:r w:rsidRPr="00BA1D4B">
        <w:t>ENTSO-E TYNDP 2020 идентификација системских потреба за 2030. и 2040. годину (извор: ENTSO-E)</w:t>
      </w:r>
      <w:bookmarkEnd w:id="29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2A1A23" w:rsidRPr="00FF386D" w14:paraId="2887FC17" w14:textId="77777777" w:rsidTr="0057310C">
        <w:tc>
          <w:tcPr>
            <w:tcW w:w="4814" w:type="dxa"/>
          </w:tcPr>
          <w:p w14:paraId="05B42D38" w14:textId="77777777" w:rsidR="002A1A23" w:rsidRPr="00FF386D" w:rsidRDefault="002A1A23" w:rsidP="002A1A23">
            <w:r w:rsidRPr="004F53D7">
              <w:rPr>
                <w:noProof/>
                <w:lang w:val="en-US"/>
              </w:rPr>
              <w:drawing>
                <wp:inline distT="0" distB="0" distL="0" distR="0" wp14:anchorId="7EAC6E5C" wp14:editId="3812B8E2">
                  <wp:extent cx="2821737" cy="2194033"/>
                  <wp:effectExtent l="0" t="0" r="0" b="0"/>
                  <wp:docPr id="1893506867" name="Picture 1893506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831324" cy="2201488"/>
                          </a:xfrm>
                          <a:prstGeom prst="rect">
                            <a:avLst/>
                          </a:prstGeom>
                        </pic:spPr>
                      </pic:pic>
                    </a:graphicData>
                  </a:graphic>
                </wp:inline>
              </w:drawing>
            </w:r>
          </w:p>
        </w:tc>
        <w:tc>
          <w:tcPr>
            <w:tcW w:w="4814" w:type="dxa"/>
          </w:tcPr>
          <w:p w14:paraId="6C378220" w14:textId="77777777" w:rsidR="002A1A23" w:rsidRPr="00FF386D" w:rsidRDefault="002A1A23" w:rsidP="002A1A23">
            <w:r w:rsidRPr="004F53D7">
              <w:rPr>
                <w:noProof/>
                <w:lang w:val="en-US"/>
              </w:rPr>
              <w:drawing>
                <wp:inline distT="0" distB="0" distL="0" distR="0" wp14:anchorId="414B7A83" wp14:editId="07A7C737">
                  <wp:extent cx="2885717" cy="2183202"/>
                  <wp:effectExtent l="0" t="0" r="0" b="7620"/>
                  <wp:docPr id="1426338853" name="Picture 1426338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897079" cy="2191798"/>
                          </a:xfrm>
                          <a:prstGeom prst="rect">
                            <a:avLst/>
                          </a:prstGeom>
                        </pic:spPr>
                      </pic:pic>
                    </a:graphicData>
                  </a:graphic>
                </wp:inline>
              </w:drawing>
            </w:r>
          </w:p>
        </w:tc>
      </w:tr>
      <w:tr w:rsidR="002A1A23" w:rsidRPr="00FF386D" w14:paraId="64A4A845" w14:textId="77777777" w:rsidTr="0057310C">
        <w:tc>
          <w:tcPr>
            <w:tcW w:w="4814" w:type="dxa"/>
          </w:tcPr>
          <w:p w14:paraId="03DEB894" w14:textId="77777777" w:rsidR="002A1A23" w:rsidRPr="00FF386D" w:rsidRDefault="002A1A23" w:rsidP="002A1A23">
            <w:pPr>
              <w:jc w:val="center"/>
              <w:rPr>
                <w:rFonts w:ascii="Calibri Light" w:hAnsi="Calibri Light" w:cs="Calibri Light"/>
                <w:b/>
                <w:bCs/>
                <w:sz w:val="22"/>
                <w:szCs w:val="22"/>
              </w:rPr>
            </w:pPr>
            <w:r w:rsidRPr="00FF386D">
              <w:rPr>
                <w:rFonts w:ascii="Calibri Light" w:hAnsi="Calibri Light" w:cs="Calibri Light"/>
                <w:b/>
                <w:bCs/>
              </w:rPr>
              <w:t>2030</w:t>
            </w:r>
          </w:p>
        </w:tc>
        <w:tc>
          <w:tcPr>
            <w:tcW w:w="4814" w:type="dxa"/>
          </w:tcPr>
          <w:p w14:paraId="125BBE6A" w14:textId="77777777" w:rsidR="002A1A23" w:rsidRPr="00FF386D" w:rsidRDefault="002A1A23" w:rsidP="002A1A23">
            <w:pPr>
              <w:jc w:val="center"/>
              <w:rPr>
                <w:rFonts w:ascii="Calibri Light" w:hAnsi="Calibri Light" w:cs="Calibri Light"/>
                <w:b/>
                <w:bCs/>
                <w:sz w:val="22"/>
                <w:szCs w:val="22"/>
              </w:rPr>
            </w:pPr>
            <w:r w:rsidRPr="00FF386D">
              <w:rPr>
                <w:rFonts w:ascii="Calibri Light" w:hAnsi="Calibri Light" w:cs="Calibri Light"/>
                <w:b/>
                <w:bCs/>
              </w:rPr>
              <w:t>2040</w:t>
            </w:r>
          </w:p>
        </w:tc>
      </w:tr>
    </w:tbl>
    <w:p w14:paraId="1BD84F03" w14:textId="77777777" w:rsidR="002A1A23" w:rsidRPr="00FF386D" w:rsidRDefault="002A1A23" w:rsidP="002A1A23">
      <w:pPr>
        <w:jc w:val="both"/>
        <w:rPr>
          <w:rFonts w:ascii="Calibri Light" w:eastAsia="Calibri" w:hAnsi="Calibri Light" w:cs="Calibri Light"/>
          <w:lang w:bidi="sr-Cyrl-CS"/>
        </w:rPr>
      </w:pPr>
    </w:p>
    <w:p w14:paraId="545BE7CD" w14:textId="7829B3CC" w:rsidR="002A1A23" w:rsidRPr="00FF386D" w:rsidRDefault="002A1A23" w:rsidP="002A1A23">
      <w:pPr>
        <w:jc w:val="both"/>
        <w:rPr>
          <w:rFonts w:ascii="Calibri Light" w:eastAsia="Calibri" w:hAnsi="Calibri Light" w:cs="Calibri Light"/>
        </w:rPr>
      </w:pPr>
      <w:r w:rsidRPr="00FF386D">
        <w:rPr>
          <w:rFonts w:ascii="Calibri Light" w:eastAsia="Calibri" w:hAnsi="Calibri Light" w:cs="Calibri Light"/>
          <w:lang w:bidi="sr-Cyrl-CS"/>
        </w:rPr>
        <w:t xml:space="preserve">Осим тога, прекогранични капацитети за које се очекује да ће бити пуштени у рад до 2025. године дати су на </w:t>
      </w:r>
      <w:r w:rsidR="00BA1D4B">
        <w:rPr>
          <w:rFonts w:ascii="Calibri Light" w:eastAsia="Calibri" w:hAnsi="Calibri Light" w:cs="Calibri Light"/>
          <w:lang w:bidi="sr-Cyrl-CS"/>
        </w:rPr>
        <w:fldChar w:fldCharType="begin"/>
      </w:r>
      <w:r w:rsidR="00BA1D4B">
        <w:rPr>
          <w:rFonts w:ascii="Calibri Light" w:eastAsia="Calibri" w:hAnsi="Calibri Light" w:cs="Calibri Light"/>
          <w:lang w:bidi="sr-Cyrl-CS"/>
        </w:rPr>
        <w:instrText xml:space="preserve"> REF _Ref153883904 \h  \* MERGEFORMAT </w:instrText>
      </w:r>
      <w:r w:rsidR="00BA1D4B">
        <w:rPr>
          <w:rFonts w:ascii="Calibri Light" w:eastAsia="Calibri" w:hAnsi="Calibri Light" w:cs="Calibri Light"/>
          <w:lang w:bidi="sr-Cyrl-CS"/>
        </w:rPr>
      </w:r>
      <w:r w:rsidR="00BA1D4B">
        <w:rPr>
          <w:rFonts w:ascii="Calibri Light" w:eastAsia="Calibri" w:hAnsi="Calibri Light" w:cs="Calibri Light"/>
          <w:lang w:bidi="sr-Cyrl-CS"/>
        </w:rPr>
        <w:fldChar w:fldCharType="separate"/>
      </w:r>
      <w:r w:rsidR="00BA1D4B" w:rsidRPr="00565B02">
        <w:rPr>
          <w:rFonts w:ascii="Calibri Light" w:eastAsia="Calibri" w:hAnsi="Calibri Light" w:cs="Calibri Light"/>
          <w:lang w:bidi="sr-Cyrl-CS"/>
        </w:rPr>
        <w:t>слици 4.53</w:t>
      </w:r>
      <w:r w:rsidR="00BA1D4B">
        <w:rPr>
          <w:rFonts w:ascii="Calibri Light" w:eastAsia="Calibri" w:hAnsi="Calibri Light" w:cs="Calibri Light"/>
          <w:lang w:bidi="sr-Cyrl-CS"/>
        </w:rPr>
        <w:fldChar w:fldCharType="end"/>
      </w:r>
      <w:r w:rsidRPr="00565B02">
        <w:rPr>
          <w:rFonts w:ascii="Calibri Light" w:eastAsia="Calibri" w:hAnsi="Calibri Light" w:cs="Calibri Light"/>
          <w:lang w:bidi="sr-Cyrl-CS"/>
        </w:rPr>
        <w:fldChar w:fldCharType="begin" w:fldLock="1"/>
      </w:r>
      <w:r w:rsidRPr="00565B02">
        <w:rPr>
          <w:rFonts w:ascii="Calibri Light" w:eastAsia="Calibri" w:hAnsi="Calibri Light" w:cs="Calibri Light"/>
          <w:lang w:bidi="sr-Cyrl-CS"/>
        </w:rPr>
        <w:instrText xml:space="preserve"> REF _Ref113372098 \h  \* MERGEFORMAT </w:instrText>
      </w:r>
      <w:r w:rsidRPr="00565B02">
        <w:rPr>
          <w:rFonts w:ascii="Calibri Light" w:eastAsia="Calibri" w:hAnsi="Calibri Light" w:cs="Calibri Light"/>
          <w:lang w:bidi="sr-Cyrl-CS"/>
        </w:rPr>
      </w:r>
      <w:r w:rsidRPr="00565B02">
        <w:rPr>
          <w:rFonts w:ascii="Calibri Light" w:eastAsia="Calibri" w:hAnsi="Calibri Light" w:cs="Calibri Light"/>
          <w:lang w:bidi="sr-Cyrl-CS"/>
        </w:rPr>
        <w:fldChar w:fldCharType="separate"/>
      </w:r>
      <w:r w:rsidRPr="00565B02">
        <w:rPr>
          <w:rFonts w:ascii="Calibri Light" w:eastAsia="Calibri" w:hAnsi="Calibri Light" w:cs="Calibri Light"/>
          <w:lang w:bidi="sr-Cyrl-CS"/>
        </w:rPr>
        <w:fldChar w:fldCharType="end"/>
      </w:r>
      <w:r w:rsidRPr="00FF386D">
        <w:rPr>
          <w:rFonts w:ascii="Calibri Light" w:eastAsia="Calibri" w:hAnsi="Calibri Light" w:cs="Calibri Light"/>
          <w:lang w:bidi="sr-Cyrl-CS"/>
        </w:rPr>
        <w:t xml:space="preserve"> на основу </w:t>
      </w:r>
      <w:r w:rsidRPr="00FF386D">
        <w:rPr>
          <w:rFonts w:ascii="Calibri Light" w:eastAsia="Calibri" w:hAnsi="Calibri Light" w:cs="Calibri Light"/>
          <w:i/>
          <w:lang w:bidi="sr-Cyrl-CS"/>
        </w:rPr>
        <w:t>ENTSO-E TYNDP 202</w:t>
      </w:r>
      <w:r w:rsidR="00E07F6F">
        <w:rPr>
          <w:rFonts w:ascii="Calibri Light" w:eastAsia="Calibri" w:hAnsi="Calibri Light" w:cs="Calibri Light"/>
          <w:i/>
          <w:lang w:bidi="sr-Cyrl-CS"/>
        </w:rPr>
        <w:t>2</w:t>
      </w:r>
      <w:r w:rsidRPr="00FF386D">
        <w:rPr>
          <w:rFonts w:ascii="Calibri Light" w:eastAsia="Calibri" w:hAnsi="Calibri Light" w:cs="Calibri Light"/>
          <w:lang w:bidi="sr-Cyrl-CS"/>
        </w:rPr>
        <w:t>.</w:t>
      </w:r>
    </w:p>
    <w:p w14:paraId="13C5E9C6" w14:textId="512AD4CB" w:rsidR="00BA1D4B" w:rsidRDefault="00BA1D4B" w:rsidP="00565B02">
      <w:pPr>
        <w:pStyle w:val="Caption"/>
        <w:keepNext/>
      </w:pPr>
      <w:bookmarkStart w:id="300" w:name="_Ref153883904"/>
      <w:bookmarkStart w:id="301" w:name="_Toc153901399"/>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53</w:t>
      </w:r>
      <w:r w:rsidR="00F35B2C">
        <w:fldChar w:fldCharType="end"/>
      </w:r>
      <w:bookmarkEnd w:id="300"/>
      <w:r>
        <w:t xml:space="preserve">: </w:t>
      </w:r>
      <w:r w:rsidRPr="00BA1D4B">
        <w:t>Повећање прекограничних капацитета до 2025. године (извор: ENTSO-E)</w:t>
      </w:r>
      <w:bookmarkEnd w:id="301"/>
    </w:p>
    <w:p w14:paraId="0D46DD98" w14:textId="35DFFDEE" w:rsidR="0090350F" w:rsidRPr="00FF386D" w:rsidRDefault="0090350F" w:rsidP="000A2AFE">
      <w:pPr>
        <w:spacing w:after="200" w:line="240" w:lineRule="auto"/>
        <w:jc w:val="center"/>
        <w:rPr>
          <w:rFonts w:ascii="Calibri Light" w:eastAsia="Calibri" w:hAnsi="Calibri Light" w:cs="Times New Roman"/>
          <w:b/>
          <w:bCs/>
          <w:color w:val="01406B"/>
        </w:rPr>
      </w:pPr>
      <w:r>
        <w:rPr>
          <w:noProof/>
          <w:lang w:val="en-US"/>
        </w:rPr>
        <w:drawing>
          <wp:inline distT="0" distB="0" distL="0" distR="0" wp14:anchorId="6D1D6AFA" wp14:editId="1C9DD8A8">
            <wp:extent cx="5043608" cy="2981325"/>
            <wp:effectExtent l="0" t="0" r="5080" b="0"/>
            <wp:docPr id="282976313" name="Picture 282976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69998" cy="2996925"/>
                    </a:xfrm>
                    <a:prstGeom prst="rect">
                      <a:avLst/>
                    </a:prstGeom>
                    <a:noFill/>
                  </pic:spPr>
                </pic:pic>
              </a:graphicData>
            </a:graphic>
          </wp:inline>
        </w:drawing>
      </w:r>
    </w:p>
    <w:p w14:paraId="39150A39" w14:textId="1D4FB76A" w:rsidR="00A0370B" w:rsidRPr="00FF386D" w:rsidRDefault="00A0370B" w:rsidP="00A0370B">
      <w:pPr>
        <w:pStyle w:val="LDKBody1"/>
      </w:pPr>
      <w:bookmarkStart w:id="302" w:name="_Hlk135816071"/>
      <w:r w:rsidRPr="00FF386D">
        <w:rPr>
          <w:lang w:bidi="sr-Cyrl-CS"/>
        </w:rPr>
        <w:t xml:space="preserve">Слично томе, и у координацији са студијама планирања које је урадио </w:t>
      </w:r>
      <w:r w:rsidRPr="00FF386D">
        <w:rPr>
          <w:i/>
          <w:lang w:bidi="sr-Cyrl-CS"/>
        </w:rPr>
        <w:t>ENTSO-E</w:t>
      </w:r>
      <w:r w:rsidRPr="00FF386D">
        <w:rPr>
          <w:lang w:bidi="sr-Cyrl-CS"/>
        </w:rPr>
        <w:t xml:space="preserve">, </w:t>
      </w:r>
      <w:r w:rsidRPr="00FF386D">
        <w:rPr>
          <w:i/>
          <w:lang w:bidi="sr-Cyrl-CS"/>
        </w:rPr>
        <w:t>TYNDP</w:t>
      </w:r>
      <w:r w:rsidRPr="00FF386D">
        <w:rPr>
          <w:lang w:bidi="sr-Cyrl-CS"/>
        </w:rPr>
        <w:t xml:space="preserve"> за Србију </w:t>
      </w:r>
      <w:r w:rsidR="002B4031" w:rsidRPr="00FF386D">
        <w:rPr>
          <w:lang w:bidi="sr-Cyrl-CS"/>
        </w:rPr>
        <w:t>садржи</w:t>
      </w:r>
      <w:r w:rsidRPr="00FF386D">
        <w:rPr>
          <w:lang w:bidi="sr-Cyrl-CS"/>
        </w:rPr>
        <w:t xml:space="preserve"> </w:t>
      </w:r>
      <w:r w:rsidR="002B4031" w:rsidRPr="00FF386D">
        <w:rPr>
          <w:lang w:bidi="sr-Cyrl-CS"/>
        </w:rPr>
        <w:lastRenderedPageBreak/>
        <w:t xml:space="preserve">идентификоване </w:t>
      </w:r>
      <w:r w:rsidRPr="00FF386D">
        <w:rPr>
          <w:lang w:bidi="sr-Cyrl-CS"/>
        </w:rPr>
        <w:t>пројек</w:t>
      </w:r>
      <w:r w:rsidR="002B4031" w:rsidRPr="00FF386D">
        <w:rPr>
          <w:lang w:bidi="sr-Cyrl-CS"/>
        </w:rPr>
        <w:t>те</w:t>
      </w:r>
      <w:r w:rsidRPr="00FF386D">
        <w:rPr>
          <w:lang w:bidi="sr-Cyrl-CS"/>
        </w:rPr>
        <w:t xml:space="preserve">, узимајући у обзир очекиване потребе система за предстојећи период. Србија планира </w:t>
      </w:r>
      <w:r w:rsidR="00B12AD1">
        <w:rPr>
          <w:lang w:bidi="sr-Cyrl-CS"/>
        </w:rPr>
        <w:t>следеће</w:t>
      </w:r>
      <w:r w:rsidRPr="00FF386D">
        <w:rPr>
          <w:lang w:bidi="sr-Cyrl-CS"/>
        </w:rPr>
        <w:t xml:space="preserve"> </w:t>
      </w:r>
      <w:r w:rsidR="00B12AD1" w:rsidRPr="00FF386D">
        <w:rPr>
          <w:lang w:bidi="sr-Cyrl-CS"/>
        </w:rPr>
        <w:t>електроенергетск</w:t>
      </w:r>
      <w:r w:rsidR="00B12AD1">
        <w:rPr>
          <w:lang w:bidi="sr-Cyrl-CS"/>
        </w:rPr>
        <w:t>е</w:t>
      </w:r>
      <w:r w:rsidR="00B12AD1" w:rsidRPr="00FF386D">
        <w:rPr>
          <w:lang w:bidi="sr-Cyrl-CS"/>
        </w:rPr>
        <w:t xml:space="preserve"> интерконекциј</w:t>
      </w:r>
      <w:r w:rsidR="00B12AD1">
        <w:rPr>
          <w:lang w:bidi="sr-Cyrl-CS"/>
        </w:rPr>
        <w:t>е</w:t>
      </w:r>
      <w:r w:rsidR="00B12AD1" w:rsidRPr="00FF386D">
        <w:rPr>
          <w:lang w:bidi="sr-Cyrl-CS"/>
        </w:rPr>
        <w:t xml:space="preserve"> </w:t>
      </w:r>
      <w:r w:rsidRPr="00FF386D">
        <w:rPr>
          <w:lang w:bidi="sr-Cyrl-CS"/>
        </w:rPr>
        <w:t>са суседним земљама:</w:t>
      </w:r>
    </w:p>
    <w:bookmarkEnd w:id="302"/>
    <w:p w14:paraId="77360C8A" w14:textId="248B375D" w:rsidR="00A0370B" w:rsidRPr="00FF386D" w:rsidRDefault="00A0370B">
      <w:pPr>
        <w:pStyle w:val="LDKBullets-main"/>
        <w:numPr>
          <w:ilvl w:val="0"/>
          <w:numId w:val="252"/>
        </w:numPr>
      </w:pPr>
      <w:r w:rsidRPr="00FF386D">
        <w:rPr>
          <w:lang w:bidi="sr-Cyrl-CS"/>
        </w:rPr>
        <w:t>Трансбалкански коридор,</w:t>
      </w:r>
    </w:p>
    <w:p w14:paraId="6F8BF02F" w14:textId="77777777" w:rsidR="00A0370B" w:rsidRPr="00FF386D" w:rsidRDefault="00A0370B">
      <w:pPr>
        <w:pStyle w:val="LDKBullets-main"/>
        <w:numPr>
          <w:ilvl w:val="0"/>
          <w:numId w:val="252"/>
        </w:numPr>
      </w:pPr>
      <w:r w:rsidRPr="00FF386D">
        <w:t>Панонски коридор,</w:t>
      </w:r>
    </w:p>
    <w:p w14:paraId="668A2432" w14:textId="23776D98" w:rsidR="00A0370B" w:rsidRPr="00FF386D" w:rsidRDefault="00A0370B">
      <w:pPr>
        <w:pStyle w:val="LDKBullets-main"/>
        <w:numPr>
          <w:ilvl w:val="0"/>
          <w:numId w:val="252"/>
        </w:numPr>
      </w:pPr>
      <w:r w:rsidRPr="00FF386D">
        <w:rPr>
          <w:lang w:bidi="sr-Cyrl-CS"/>
        </w:rPr>
        <w:t>Северни коридор,</w:t>
      </w:r>
    </w:p>
    <w:p w14:paraId="5C9B8C5F" w14:textId="31F12A03" w:rsidR="00A0370B" w:rsidRDefault="00A0370B" w:rsidP="000A2AFE">
      <w:pPr>
        <w:pStyle w:val="LDKBullets-main"/>
        <w:numPr>
          <w:ilvl w:val="0"/>
          <w:numId w:val="252"/>
        </w:numPr>
        <w:ind w:left="357" w:hanging="357"/>
      </w:pPr>
      <w:r w:rsidRPr="00FF386D">
        <w:rPr>
          <w:lang w:bidi="sr-Cyrl-CS"/>
        </w:rPr>
        <w:t>Централно-балкански коридор</w:t>
      </w:r>
      <w:r w:rsidR="00B12AD1">
        <w:rPr>
          <w:lang w:bidi="sr-Cyrl-CS"/>
        </w:rPr>
        <w:t xml:space="preserve"> и</w:t>
      </w:r>
    </w:p>
    <w:p w14:paraId="72149F46" w14:textId="37B42BAC" w:rsidR="00B12AD1" w:rsidRPr="00FF386D" w:rsidRDefault="00B12AD1">
      <w:pPr>
        <w:pStyle w:val="LDKBullets-main"/>
        <w:numPr>
          <w:ilvl w:val="0"/>
          <w:numId w:val="252"/>
        </w:numPr>
        <w:spacing w:after="160"/>
        <w:ind w:left="357" w:hanging="357"/>
      </w:pPr>
      <w:r>
        <w:rPr>
          <w:lang w:bidi="sr-Cyrl-CS"/>
        </w:rPr>
        <w:t>400</w:t>
      </w:r>
      <w:r>
        <w:rPr>
          <w:lang w:val="sr-Latn-RS" w:bidi="sr-Cyrl-CS"/>
        </w:rPr>
        <w:t>kV</w:t>
      </w:r>
      <w:r>
        <w:rPr>
          <w:lang w:bidi="sr-Cyrl-CS"/>
        </w:rPr>
        <w:t xml:space="preserve"> интерконективни далековод између Србије и Хрватске (ТС Сомбор </w:t>
      </w:r>
      <w:r w:rsidR="00F32FA4">
        <w:rPr>
          <w:lang w:bidi="sr-Cyrl-CS"/>
        </w:rPr>
        <w:t xml:space="preserve">3 </w:t>
      </w:r>
      <w:r>
        <w:rPr>
          <w:lang w:bidi="sr-Cyrl-CS"/>
        </w:rPr>
        <w:t>– ТС Ернестиново).</w:t>
      </w:r>
    </w:p>
    <w:p w14:paraId="54482A8C" w14:textId="6A385E00" w:rsidR="002A1A23" w:rsidRPr="00FF386D" w:rsidRDefault="00BA1D4B" w:rsidP="000A2AFE">
      <w:pPr>
        <w:jc w:val="both"/>
        <w:rPr>
          <w:rFonts w:ascii="Calibri Light" w:eastAsia="Calibri" w:hAnsi="Calibri Light" w:cs="Calibri Light"/>
        </w:rPr>
      </w:pPr>
      <w:r>
        <w:rPr>
          <w:rFonts w:ascii="Calibri Light" w:eastAsia="Calibri" w:hAnsi="Calibri Light" w:cs="Calibri Light"/>
          <w:lang w:bidi="sr-Cyrl-CS"/>
        </w:rPr>
        <w:fldChar w:fldCharType="begin"/>
      </w:r>
      <w:r>
        <w:rPr>
          <w:rFonts w:ascii="Calibri Light" w:eastAsia="Calibri" w:hAnsi="Calibri Light" w:cs="Calibri Light"/>
          <w:lang w:bidi="sr-Cyrl-CS"/>
        </w:rPr>
        <w:instrText xml:space="preserve"> REF _Ref153883957 \h  \* MERGEFORMAT </w:instrText>
      </w:r>
      <w:r>
        <w:rPr>
          <w:rFonts w:ascii="Calibri Light" w:eastAsia="Calibri" w:hAnsi="Calibri Light" w:cs="Calibri Light"/>
          <w:lang w:bidi="sr-Cyrl-CS"/>
        </w:rPr>
      </w:r>
      <w:r>
        <w:rPr>
          <w:rFonts w:ascii="Calibri Light" w:eastAsia="Calibri" w:hAnsi="Calibri Light" w:cs="Calibri Light"/>
          <w:lang w:bidi="sr-Cyrl-CS"/>
        </w:rPr>
        <w:fldChar w:fldCharType="separate"/>
      </w:r>
      <w:r w:rsidRPr="00565B02">
        <w:rPr>
          <w:rFonts w:ascii="Calibri Light" w:eastAsia="Calibri" w:hAnsi="Calibri Light" w:cs="Calibri Light"/>
          <w:lang w:bidi="sr-Cyrl-CS"/>
        </w:rPr>
        <w:t>Слика 4.54</w:t>
      </w:r>
      <w:r>
        <w:rPr>
          <w:rFonts w:ascii="Calibri Light" w:eastAsia="Calibri" w:hAnsi="Calibri Light" w:cs="Calibri Light"/>
          <w:lang w:bidi="sr-Cyrl-CS"/>
        </w:rPr>
        <w:fldChar w:fldCharType="end"/>
      </w:r>
      <w:r>
        <w:rPr>
          <w:rFonts w:ascii="Calibri Light" w:eastAsia="Calibri" w:hAnsi="Calibri Light" w:cs="Calibri Light"/>
          <w:lang w:bidi="sr-Cyrl-CS"/>
        </w:rPr>
        <w:t xml:space="preserve"> </w:t>
      </w:r>
      <w:r w:rsidR="002A1A23" w:rsidRPr="00FF386D">
        <w:rPr>
          <w:rFonts w:ascii="Calibri Light" w:eastAsia="Calibri" w:hAnsi="Calibri Light" w:cs="Calibri Light"/>
          <w:lang w:bidi="sr-Cyrl-CS"/>
        </w:rPr>
        <w:t>приказује поједностављену топологију мреже пројеката коридора мреже за пренос електричне енергије са свим интерконекцијама и далеководима унутар земље.</w:t>
      </w:r>
    </w:p>
    <w:p w14:paraId="6BB97102" w14:textId="6FA3E379" w:rsidR="00BA1D4B" w:rsidRDefault="00BA1D4B" w:rsidP="00565B02">
      <w:pPr>
        <w:pStyle w:val="Caption"/>
        <w:keepNext/>
      </w:pPr>
      <w:bookmarkStart w:id="303" w:name="_Ref153883957"/>
      <w:bookmarkStart w:id="304" w:name="_Toc153901400"/>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54</w:t>
      </w:r>
      <w:r w:rsidR="00F35B2C">
        <w:fldChar w:fldCharType="end"/>
      </w:r>
      <w:bookmarkEnd w:id="303"/>
      <w:r>
        <w:t xml:space="preserve">: </w:t>
      </w:r>
      <w:r w:rsidRPr="00BA1D4B">
        <w:t>Пројекат коридора мреже за пренос електричне енергије (извор: ЕМС)</w:t>
      </w:r>
      <w:bookmarkEnd w:id="304"/>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134"/>
      </w:tblGrid>
      <w:tr w:rsidR="0090350F" w:rsidRPr="00A21789" w14:paraId="2FEFB5D6" w14:textId="77777777" w:rsidTr="0090350F">
        <w:trPr>
          <w:jc w:val="center"/>
        </w:trPr>
        <w:tc>
          <w:tcPr>
            <w:tcW w:w="4508" w:type="dxa"/>
          </w:tcPr>
          <w:p w14:paraId="3A2C1277" w14:textId="4F2EEEF6" w:rsidR="0090350F" w:rsidRPr="00A21789" w:rsidRDefault="0090350F" w:rsidP="0057310C">
            <w:pPr>
              <w:jc w:val="center"/>
              <w:rPr>
                <w:rFonts w:asciiTheme="majorHAnsi" w:eastAsiaTheme="minorHAnsi" w:hAnsiTheme="majorHAnsi" w:cstheme="majorHAnsi"/>
                <w:sz w:val="22"/>
                <w:szCs w:val="22"/>
                <w:lang w:val="en-GB" w:eastAsia="en-US"/>
              </w:rPr>
            </w:pPr>
            <w:r w:rsidRPr="004F14D0">
              <w:rPr>
                <w:rFonts w:asciiTheme="majorHAnsi" w:hAnsiTheme="majorHAnsi" w:cstheme="majorHAnsi"/>
                <w:noProof/>
                <w:lang w:val="en-US"/>
              </w:rPr>
              <w:drawing>
                <wp:inline distT="0" distB="0" distL="0" distR="0" wp14:anchorId="7D4A811A" wp14:editId="2E47B430">
                  <wp:extent cx="2150669" cy="2329580"/>
                  <wp:effectExtent l="0" t="0" r="2540" b="0"/>
                  <wp:docPr id="1917303201" name="Picture 191730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303201" name=""/>
                          <pic:cNvPicPr/>
                        </pic:nvPicPr>
                        <pic:blipFill>
                          <a:blip r:embed="rId82"/>
                          <a:stretch>
                            <a:fillRect/>
                          </a:stretch>
                        </pic:blipFill>
                        <pic:spPr>
                          <a:xfrm>
                            <a:off x="0" y="0"/>
                            <a:ext cx="2167051" cy="2347325"/>
                          </a:xfrm>
                          <a:prstGeom prst="rect">
                            <a:avLst/>
                          </a:prstGeom>
                        </pic:spPr>
                      </pic:pic>
                    </a:graphicData>
                  </a:graphic>
                </wp:inline>
              </w:drawing>
            </w:r>
          </w:p>
          <w:p w14:paraId="47CD2045" w14:textId="22E3DF8B" w:rsidR="0090350F" w:rsidRPr="00A21789" w:rsidRDefault="0090350F" w:rsidP="0090350F">
            <w:pPr>
              <w:pStyle w:val="ListParagraph"/>
              <w:numPr>
                <w:ilvl w:val="0"/>
                <w:numId w:val="301"/>
              </w:numPr>
              <w:spacing w:before="120" w:after="120" w:line="320" w:lineRule="atLeast"/>
              <w:jc w:val="both"/>
              <w:rPr>
                <w:rFonts w:asciiTheme="majorHAnsi" w:eastAsiaTheme="minorHAnsi" w:hAnsiTheme="majorHAnsi" w:cstheme="majorHAnsi"/>
                <w:sz w:val="22"/>
                <w:szCs w:val="22"/>
                <w:lang w:val="en-GB" w:eastAsia="en-US"/>
              </w:rPr>
            </w:pPr>
            <w:r w:rsidRPr="00A21789">
              <w:rPr>
                <w:rFonts w:asciiTheme="majorHAnsi" w:hAnsiTheme="majorHAnsi" w:cstheme="majorHAnsi"/>
              </w:rPr>
              <w:t>Трансбалкански коридор</w:t>
            </w:r>
          </w:p>
        </w:tc>
        <w:tc>
          <w:tcPr>
            <w:tcW w:w="4134" w:type="dxa"/>
          </w:tcPr>
          <w:p w14:paraId="235BC405" w14:textId="77777777" w:rsidR="0090350F" w:rsidRPr="00A21789" w:rsidRDefault="0090350F" w:rsidP="0057310C">
            <w:pPr>
              <w:jc w:val="center"/>
              <w:rPr>
                <w:rFonts w:asciiTheme="majorHAnsi" w:eastAsiaTheme="minorHAnsi" w:hAnsiTheme="majorHAnsi" w:cstheme="majorHAnsi"/>
                <w:sz w:val="22"/>
                <w:szCs w:val="22"/>
                <w:lang w:val="en-GB" w:eastAsia="en-US"/>
              </w:rPr>
            </w:pPr>
            <w:r w:rsidRPr="004F14D0">
              <w:rPr>
                <w:rFonts w:asciiTheme="majorHAnsi" w:hAnsiTheme="majorHAnsi" w:cstheme="majorHAnsi"/>
                <w:noProof/>
                <w:lang w:val="en-US"/>
              </w:rPr>
              <w:drawing>
                <wp:inline distT="0" distB="0" distL="0" distR="0" wp14:anchorId="0FD86517" wp14:editId="64622605">
                  <wp:extent cx="1868557" cy="2343253"/>
                  <wp:effectExtent l="0" t="0" r="0" b="0"/>
                  <wp:docPr id="1248752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752253" name=""/>
                          <pic:cNvPicPr/>
                        </pic:nvPicPr>
                        <pic:blipFill>
                          <a:blip r:embed="rId83"/>
                          <a:stretch>
                            <a:fillRect/>
                          </a:stretch>
                        </pic:blipFill>
                        <pic:spPr>
                          <a:xfrm>
                            <a:off x="0" y="0"/>
                            <a:ext cx="1892691" cy="2373518"/>
                          </a:xfrm>
                          <a:prstGeom prst="rect">
                            <a:avLst/>
                          </a:prstGeom>
                        </pic:spPr>
                      </pic:pic>
                    </a:graphicData>
                  </a:graphic>
                </wp:inline>
              </w:drawing>
            </w:r>
          </w:p>
          <w:p w14:paraId="127BBC33" w14:textId="6EE04395" w:rsidR="0090350F" w:rsidRPr="00A21789" w:rsidRDefault="0090350F" w:rsidP="0090350F">
            <w:pPr>
              <w:pStyle w:val="ListParagraph"/>
              <w:numPr>
                <w:ilvl w:val="0"/>
                <w:numId w:val="301"/>
              </w:numPr>
              <w:spacing w:before="120" w:after="120" w:line="320" w:lineRule="atLeast"/>
              <w:jc w:val="both"/>
              <w:rPr>
                <w:rFonts w:asciiTheme="majorHAnsi" w:eastAsiaTheme="minorHAnsi" w:hAnsiTheme="majorHAnsi" w:cstheme="majorHAnsi"/>
                <w:sz w:val="22"/>
                <w:szCs w:val="22"/>
                <w:lang w:val="en-GB" w:eastAsia="en-US"/>
              </w:rPr>
            </w:pPr>
            <w:r w:rsidRPr="00A21789">
              <w:rPr>
                <w:rFonts w:asciiTheme="majorHAnsi" w:hAnsiTheme="majorHAnsi" w:cstheme="majorHAnsi"/>
              </w:rPr>
              <w:t>Северни коридор</w:t>
            </w:r>
          </w:p>
        </w:tc>
      </w:tr>
      <w:tr w:rsidR="00461519" w:rsidRPr="00A21789" w14:paraId="4A52BC3F" w14:textId="77777777" w:rsidTr="00C90EE4">
        <w:trPr>
          <w:jc w:val="center"/>
        </w:trPr>
        <w:tc>
          <w:tcPr>
            <w:tcW w:w="4508" w:type="dxa"/>
          </w:tcPr>
          <w:p w14:paraId="0173B0A2" w14:textId="77777777" w:rsidR="00461519" w:rsidRPr="00A21789" w:rsidRDefault="00461519" w:rsidP="0057310C">
            <w:pPr>
              <w:jc w:val="center"/>
              <w:rPr>
                <w:rFonts w:asciiTheme="majorHAnsi" w:eastAsiaTheme="minorHAnsi" w:hAnsiTheme="majorHAnsi" w:cstheme="majorHAnsi"/>
                <w:sz w:val="22"/>
                <w:szCs w:val="22"/>
                <w:lang w:val="en-GB" w:eastAsia="en-US"/>
              </w:rPr>
            </w:pPr>
            <w:r w:rsidRPr="004F14D0">
              <w:rPr>
                <w:rFonts w:asciiTheme="majorHAnsi" w:hAnsiTheme="majorHAnsi" w:cstheme="majorHAnsi"/>
                <w:noProof/>
                <w:lang w:val="en-US"/>
              </w:rPr>
              <w:drawing>
                <wp:inline distT="0" distB="0" distL="0" distR="0" wp14:anchorId="630C99DF" wp14:editId="7577E9CF">
                  <wp:extent cx="2192413" cy="2267712"/>
                  <wp:effectExtent l="0" t="0" r="0" b="0"/>
                  <wp:docPr id="198870396" name="Picture 198870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70396" name=""/>
                          <pic:cNvPicPr/>
                        </pic:nvPicPr>
                        <pic:blipFill>
                          <a:blip r:embed="rId84"/>
                          <a:stretch>
                            <a:fillRect/>
                          </a:stretch>
                        </pic:blipFill>
                        <pic:spPr>
                          <a:xfrm>
                            <a:off x="0" y="0"/>
                            <a:ext cx="2201258" cy="2276860"/>
                          </a:xfrm>
                          <a:prstGeom prst="rect">
                            <a:avLst/>
                          </a:prstGeom>
                        </pic:spPr>
                      </pic:pic>
                    </a:graphicData>
                  </a:graphic>
                </wp:inline>
              </w:drawing>
            </w:r>
          </w:p>
          <w:p w14:paraId="4E4BE4B5" w14:textId="77777777" w:rsidR="00461519" w:rsidRPr="000A2AFE" w:rsidRDefault="00461519" w:rsidP="0090350F">
            <w:pPr>
              <w:pStyle w:val="ListParagraph"/>
              <w:numPr>
                <w:ilvl w:val="0"/>
                <w:numId w:val="301"/>
              </w:numPr>
              <w:spacing w:before="120" w:after="120" w:line="320" w:lineRule="atLeast"/>
              <w:jc w:val="both"/>
              <w:rPr>
                <w:rFonts w:ascii="Calibri Light" w:eastAsia="Times New Roman" w:hAnsi="Calibri Light" w:cs="Calibri Light"/>
                <w:sz w:val="22"/>
                <w:szCs w:val="22"/>
              </w:rPr>
            </w:pPr>
            <w:r w:rsidRPr="000A2AFE">
              <w:rPr>
                <w:rFonts w:asciiTheme="majorHAnsi" w:hAnsiTheme="majorHAnsi" w:cstheme="majorHAnsi"/>
              </w:rPr>
              <w:t>Централно-балкански коридор</w:t>
            </w:r>
          </w:p>
        </w:tc>
        <w:tc>
          <w:tcPr>
            <w:tcW w:w="4134" w:type="dxa"/>
          </w:tcPr>
          <w:p w14:paraId="5091D3E3" w14:textId="77777777" w:rsidR="00461519" w:rsidRPr="00A21789" w:rsidRDefault="00461519" w:rsidP="0057310C">
            <w:pPr>
              <w:jc w:val="center"/>
              <w:rPr>
                <w:rFonts w:asciiTheme="majorHAnsi" w:eastAsiaTheme="minorHAnsi" w:hAnsiTheme="majorHAnsi" w:cstheme="majorHAnsi"/>
                <w:sz w:val="22"/>
                <w:szCs w:val="22"/>
                <w:lang w:val="en-GB" w:eastAsia="en-US"/>
              </w:rPr>
            </w:pPr>
            <w:r w:rsidRPr="004F14D0">
              <w:rPr>
                <w:rFonts w:asciiTheme="majorHAnsi" w:hAnsiTheme="majorHAnsi" w:cstheme="majorHAnsi"/>
                <w:noProof/>
                <w:lang w:val="en-US"/>
              </w:rPr>
              <w:drawing>
                <wp:inline distT="0" distB="0" distL="0" distR="0" wp14:anchorId="14519653" wp14:editId="1900A5D4">
                  <wp:extent cx="1780972" cy="2274459"/>
                  <wp:effectExtent l="0" t="0" r="0" b="0"/>
                  <wp:docPr id="1889860736" name="Picture 1889860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860736" name=""/>
                          <pic:cNvPicPr/>
                        </pic:nvPicPr>
                        <pic:blipFill>
                          <a:blip r:embed="rId85"/>
                          <a:stretch>
                            <a:fillRect/>
                          </a:stretch>
                        </pic:blipFill>
                        <pic:spPr>
                          <a:xfrm>
                            <a:off x="0" y="0"/>
                            <a:ext cx="1797500" cy="2295567"/>
                          </a:xfrm>
                          <a:prstGeom prst="rect">
                            <a:avLst/>
                          </a:prstGeom>
                        </pic:spPr>
                      </pic:pic>
                    </a:graphicData>
                  </a:graphic>
                </wp:inline>
              </w:drawing>
            </w:r>
          </w:p>
          <w:p w14:paraId="057A927F" w14:textId="77777777" w:rsidR="00461519" w:rsidRPr="00A21789" w:rsidRDefault="00461519" w:rsidP="0090350F">
            <w:pPr>
              <w:pStyle w:val="ListParagraph"/>
              <w:numPr>
                <w:ilvl w:val="0"/>
                <w:numId w:val="301"/>
              </w:numPr>
              <w:spacing w:before="120" w:after="120" w:line="320" w:lineRule="atLeast"/>
              <w:jc w:val="both"/>
              <w:rPr>
                <w:rFonts w:asciiTheme="majorHAnsi" w:eastAsiaTheme="minorHAnsi" w:hAnsiTheme="majorHAnsi" w:cstheme="majorHAnsi"/>
                <w:sz w:val="22"/>
                <w:szCs w:val="22"/>
                <w:lang w:val="en-GB" w:eastAsia="en-US"/>
              </w:rPr>
            </w:pPr>
            <w:r w:rsidRPr="00A21789">
              <w:rPr>
                <w:rFonts w:asciiTheme="majorHAnsi" w:hAnsiTheme="majorHAnsi" w:cstheme="majorHAnsi"/>
              </w:rPr>
              <w:t>Панонски коридор</w:t>
            </w:r>
          </w:p>
        </w:tc>
      </w:tr>
    </w:tbl>
    <w:p w14:paraId="6AC7E58B" w14:textId="0F2CD15B" w:rsidR="002A1A23" w:rsidRPr="00FF386D" w:rsidRDefault="000F133E">
      <w:pPr>
        <w:keepNext/>
        <w:numPr>
          <w:ilvl w:val="2"/>
          <w:numId w:val="5"/>
        </w:numPr>
        <w:spacing w:before="240" w:after="60" w:line="240" w:lineRule="auto"/>
        <w:jc w:val="both"/>
        <w:outlineLvl w:val="2"/>
        <w:rPr>
          <w:rFonts w:ascii="Calibri Light" w:eastAsia="Times New Roman" w:hAnsi="Calibri Light" w:cs="Arial"/>
          <w:b/>
          <w:bCs/>
          <w:color w:val="01406B"/>
          <w:sz w:val="26"/>
          <w:szCs w:val="26"/>
          <w:lang w:eastAsia="tr-TR"/>
        </w:rPr>
      </w:pPr>
      <w:r w:rsidRPr="00FF386D">
        <w:rPr>
          <w:rFonts w:ascii="Calibri Light" w:eastAsia="Times New Roman" w:hAnsi="Calibri Light" w:cs="Arial"/>
          <w:b/>
          <w:bCs/>
          <w:color w:val="01406B"/>
          <w:sz w:val="26"/>
          <w:szCs w:val="26"/>
          <w:lang w:eastAsia="tr-TR"/>
        </w:rPr>
        <w:t>4.5.2</w:t>
      </w:r>
      <w:r w:rsidRPr="00FF386D">
        <w:rPr>
          <w:rFonts w:ascii="Calibri Light" w:eastAsia="Times New Roman" w:hAnsi="Calibri Light" w:cs="Arial"/>
          <w:b/>
          <w:bCs/>
          <w:color w:val="01406B"/>
          <w:sz w:val="26"/>
          <w:szCs w:val="26"/>
          <w:lang w:eastAsia="tr-TR"/>
        </w:rPr>
        <w:tab/>
      </w:r>
      <w:r w:rsidR="002A1A23" w:rsidRPr="00FF386D">
        <w:rPr>
          <w:rFonts w:ascii="Calibri Light" w:eastAsia="Times New Roman" w:hAnsi="Calibri Light" w:cs="Arial"/>
          <w:b/>
          <w:bCs/>
          <w:color w:val="01406B"/>
          <w:sz w:val="26"/>
          <w:szCs w:val="26"/>
          <w:lang w:eastAsia="tr-TR"/>
        </w:rPr>
        <w:t>Инфраструктура за пренос енергије</w:t>
      </w:r>
    </w:p>
    <w:p w14:paraId="11BDF777" w14:textId="77777777" w:rsidR="002A1A23" w:rsidRPr="00FF386D" w:rsidRDefault="002A1A23">
      <w:pPr>
        <w:keepNext/>
        <w:keepLines/>
        <w:numPr>
          <w:ilvl w:val="0"/>
          <w:numId w:val="255"/>
        </w:numPr>
        <w:spacing w:before="200" w:after="0" w:line="240" w:lineRule="auto"/>
        <w:outlineLvl w:val="3"/>
        <w:rPr>
          <w:rFonts w:ascii="Calibri Light" w:eastAsia="Times New Roman" w:hAnsi="Calibri Light" w:cs="Times New Roman"/>
          <w:b/>
          <w:bCs/>
          <w:iCs/>
          <w:color w:val="01406B"/>
          <w:szCs w:val="24"/>
        </w:rPr>
      </w:pPr>
      <w:r w:rsidRPr="00FF386D">
        <w:rPr>
          <w:rFonts w:ascii="Calibri Light" w:eastAsia="Times New Roman" w:hAnsi="Calibri Light" w:cs="Times New Roman"/>
          <w:b/>
          <w:bCs/>
          <w:iCs/>
          <w:color w:val="01406B"/>
          <w:szCs w:val="24"/>
          <w:lang w:bidi="sr-Cyrl-CS"/>
        </w:rPr>
        <w:t>Кључне карактеристике постојеће инфраструктуре за пренос електричне енергије и гаса</w:t>
      </w:r>
    </w:p>
    <w:p w14:paraId="2379AD38" w14:textId="601150D4" w:rsidR="00A861E8" w:rsidRPr="00FF386D" w:rsidRDefault="00F1286D" w:rsidP="000A2AFE">
      <w:pPr>
        <w:pStyle w:val="LDKBody1"/>
        <w:spacing w:before="100" w:beforeAutospacing="1"/>
        <w:rPr>
          <w:lang w:bidi="sr-Cyrl-CS"/>
        </w:rPr>
      </w:pPr>
      <w:bookmarkStart w:id="305" w:name="_Hlk135816156"/>
      <w:r w:rsidRPr="00FF386D">
        <w:rPr>
          <w:lang w:bidi="sr-Cyrl-CS"/>
        </w:rPr>
        <w:t>Мрежу за пренос електричне енергије у Републици Србији чине водови, по</w:t>
      </w:r>
      <w:r w:rsidR="002B4031" w:rsidRPr="00FF386D">
        <w:rPr>
          <w:lang w:bidi="sr-Cyrl-CS"/>
        </w:rPr>
        <w:t xml:space="preserve">дстанице </w:t>
      </w:r>
      <w:r w:rsidRPr="00FF386D">
        <w:rPr>
          <w:lang w:bidi="sr-Cyrl-CS"/>
        </w:rPr>
        <w:t>и остал</w:t>
      </w:r>
      <w:r w:rsidR="002B4031" w:rsidRPr="00FF386D">
        <w:rPr>
          <w:lang w:bidi="sr-Cyrl-CS"/>
        </w:rPr>
        <w:t>а напонска опрема</w:t>
      </w:r>
      <w:r w:rsidRPr="00FF386D">
        <w:rPr>
          <w:lang w:bidi="sr-Cyrl-CS"/>
        </w:rPr>
        <w:t xml:space="preserve"> која рад</w:t>
      </w:r>
      <w:r w:rsidR="002B4031" w:rsidRPr="00FF386D">
        <w:rPr>
          <w:lang w:bidi="sr-Cyrl-CS"/>
        </w:rPr>
        <w:t>и</w:t>
      </w:r>
      <w:r w:rsidRPr="00FF386D">
        <w:rPr>
          <w:lang w:bidi="sr-Cyrl-CS"/>
        </w:rPr>
        <w:t xml:space="preserve"> на напонским нивоима од 400 kV, 220 kV и 110 kV. Укупна дужина свих напонских водова износи 10866 km у 2019. години и има укупно 42 постројења и 74 трансформатора.</w:t>
      </w:r>
      <w:bookmarkEnd w:id="305"/>
    </w:p>
    <w:p w14:paraId="7589760F" w14:textId="027B76D5" w:rsidR="002A1A23" w:rsidRPr="00FF386D" w:rsidRDefault="00F1286D" w:rsidP="00F1286D">
      <w:pPr>
        <w:pStyle w:val="LDKBody1"/>
      </w:pPr>
      <w:r w:rsidRPr="00FF386D">
        <w:rPr>
          <w:lang w:bidi="sr-Cyrl-CS"/>
        </w:rPr>
        <w:lastRenderedPageBreak/>
        <w:t>Преглед система преноса електричне енергије у Србији је приказан на</w:t>
      </w:r>
      <w:r w:rsidR="00BA1D4B">
        <w:rPr>
          <w:lang w:bidi="sr-Cyrl-CS"/>
        </w:rPr>
        <w:t xml:space="preserve"> </w:t>
      </w:r>
      <w:r w:rsidR="00BA1D4B">
        <w:rPr>
          <w:lang w:bidi="sr-Cyrl-CS"/>
        </w:rPr>
        <w:fldChar w:fldCharType="begin"/>
      </w:r>
      <w:r w:rsidR="00BA1D4B">
        <w:rPr>
          <w:lang w:bidi="sr-Cyrl-CS"/>
        </w:rPr>
        <w:instrText xml:space="preserve"> REF _Ref153884014 \h </w:instrText>
      </w:r>
      <w:r w:rsidR="00BA1D4B">
        <w:rPr>
          <w:lang w:bidi="sr-Cyrl-CS"/>
        </w:rPr>
      </w:r>
      <w:r w:rsidR="00BA1D4B">
        <w:rPr>
          <w:lang w:bidi="sr-Cyrl-CS"/>
        </w:rPr>
        <w:fldChar w:fldCharType="separate"/>
      </w:r>
      <w:r w:rsidR="00BA1D4B">
        <w:t xml:space="preserve">слици </w:t>
      </w:r>
      <w:r w:rsidR="00BA1D4B">
        <w:rPr>
          <w:noProof/>
        </w:rPr>
        <w:t>4</w:t>
      </w:r>
      <w:r w:rsidR="00BA1D4B">
        <w:t>.</w:t>
      </w:r>
      <w:r w:rsidR="00BA1D4B">
        <w:rPr>
          <w:noProof/>
        </w:rPr>
        <w:t>55</w:t>
      </w:r>
      <w:r w:rsidR="00BA1D4B">
        <w:rPr>
          <w:lang w:bidi="sr-Cyrl-CS"/>
        </w:rPr>
        <w:fldChar w:fldCharType="end"/>
      </w:r>
      <w:r w:rsidR="002A1A23" w:rsidRPr="00FF386D">
        <w:t xml:space="preserve">. </w:t>
      </w:r>
      <w:r w:rsidR="002A1A23" w:rsidRPr="00FF386D">
        <w:rPr>
          <w:lang w:bidi="sr-Cyrl-CS"/>
        </w:rPr>
        <w:t xml:space="preserve">Укупна инсталисана снага свих </w:t>
      </w:r>
      <w:bookmarkStart w:id="306" w:name="_Hlk135816179"/>
      <w:r w:rsidRPr="00FF386D">
        <w:rPr>
          <w:rFonts w:asciiTheme="majorHAnsi" w:eastAsia="Calibri" w:hAnsiTheme="majorHAnsi" w:cstheme="majorHAnsi"/>
          <w:szCs w:val="22"/>
          <w:lang w:eastAsia="en-US" w:bidi="sr-Cyrl-CS"/>
        </w:rPr>
        <w:t>подстаница и трансформатора</w:t>
      </w:r>
      <w:bookmarkEnd w:id="306"/>
      <w:r w:rsidR="002A1A23" w:rsidRPr="00FF386D">
        <w:rPr>
          <w:lang w:bidi="sr-Cyrl-CS"/>
        </w:rPr>
        <w:t xml:space="preserve"> у 201</w:t>
      </w:r>
      <w:r w:rsidRPr="00FF386D">
        <w:rPr>
          <w:lang w:bidi="sr-Cyrl-CS"/>
        </w:rPr>
        <w:t>9</w:t>
      </w:r>
      <w:r w:rsidR="002A1A23" w:rsidRPr="00FF386D">
        <w:rPr>
          <w:lang w:bidi="sr-Cyrl-CS"/>
        </w:rPr>
        <w:t>. години износила је 17.624 MVA</w:t>
      </w:r>
      <w:r w:rsidRPr="00FF386D">
        <w:rPr>
          <w:lang w:bidi="sr-Cyrl-CS"/>
        </w:rPr>
        <w:t>.</w:t>
      </w:r>
    </w:p>
    <w:p w14:paraId="05175091" w14:textId="28876280" w:rsidR="00BA1D4B" w:rsidRDefault="00BA1D4B" w:rsidP="00565B02">
      <w:pPr>
        <w:pStyle w:val="Caption"/>
        <w:keepNext/>
      </w:pPr>
      <w:bookmarkStart w:id="307" w:name="_Ref153884014"/>
      <w:bookmarkStart w:id="308" w:name="_Toc153901401"/>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55</w:t>
      </w:r>
      <w:r w:rsidR="00F35B2C">
        <w:fldChar w:fldCharType="end"/>
      </w:r>
      <w:bookmarkEnd w:id="307"/>
      <w:r>
        <w:t xml:space="preserve">: </w:t>
      </w:r>
      <w:r w:rsidRPr="00BA1D4B">
        <w:t>Електроенергетски систем Србије (извор: ЕМС) )</w:t>
      </w:r>
      <w:bookmarkEnd w:id="308"/>
    </w:p>
    <w:p w14:paraId="73DEBEBC" w14:textId="77777777" w:rsidR="002A1A23" w:rsidRPr="00FF386D" w:rsidRDefault="002A1A23" w:rsidP="002A1A23">
      <w:pPr>
        <w:jc w:val="center"/>
        <w:rPr>
          <w:rFonts w:ascii="Calibri" w:eastAsia="Calibri" w:hAnsi="Calibri" w:cs="Times New Roman"/>
        </w:rPr>
      </w:pPr>
      <w:r w:rsidRPr="004F53D7">
        <w:rPr>
          <w:rFonts w:ascii="Calibri" w:eastAsia="Calibri" w:hAnsi="Calibri" w:cs="Times New Roman"/>
          <w:noProof/>
          <w:lang w:val="en-US"/>
        </w:rPr>
        <w:drawing>
          <wp:inline distT="0" distB="0" distL="0" distR="0" wp14:anchorId="5B49F74B" wp14:editId="3FA0DC93">
            <wp:extent cx="2936952" cy="4131174"/>
            <wp:effectExtent l="0" t="0" r="0" b="3175"/>
            <wp:docPr id="511682247" name="Picture 51168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51908" cy="4152212"/>
                    </a:xfrm>
                    <a:prstGeom prst="rect">
                      <a:avLst/>
                    </a:prstGeom>
                    <a:noFill/>
                    <a:ln>
                      <a:noFill/>
                    </a:ln>
                  </pic:spPr>
                </pic:pic>
              </a:graphicData>
            </a:graphic>
          </wp:inline>
        </w:drawing>
      </w:r>
    </w:p>
    <w:p w14:paraId="013890B1" w14:textId="77777777" w:rsidR="00F1286D" w:rsidRPr="00FF386D" w:rsidRDefault="00F1286D" w:rsidP="00F1286D">
      <w:pPr>
        <w:widowControl w:val="0"/>
        <w:spacing w:after="120" w:line="240" w:lineRule="auto"/>
        <w:jc w:val="both"/>
        <w:rPr>
          <w:rFonts w:ascii="Calibri Light" w:eastAsia="Times New Roman" w:hAnsi="Calibri Light" w:cs="Calibri Light"/>
          <w:szCs w:val="20"/>
          <w:lang w:eastAsia="el-GR"/>
        </w:rPr>
      </w:pPr>
      <w:bookmarkStart w:id="309" w:name="_Hlk135816224"/>
      <w:r w:rsidRPr="00FF386D">
        <w:rPr>
          <w:rFonts w:ascii="Calibri Light" w:eastAsia="Times New Roman" w:hAnsi="Calibri Light" w:cs="Calibri Light"/>
          <w:szCs w:val="20"/>
          <w:lang w:eastAsia="el-GR" w:bidi="sr-Cyrl-CS"/>
        </w:rPr>
        <w:t>Стално се ради на реконструкцији и адаптацији имовине преносне мреже из различитих разлога, као што је обнављање века трајања имовине, повећање преносног капацитета, повећање безбедности и поузданости, као и интероперабилности са осталим постројењима и апаратуре на мрежи. На основу свих кључних показатеља учинка, очигледно је да ЕМС спроводи адекватно планирање развоја преносног система што доводи до смањења кварова и смањења губитака у преносном систему.</w:t>
      </w:r>
    </w:p>
    <w:p w14:paraId="72137E9C" w14:textId="43500A35" w:rsidR="00F1286D" w:rsidRPr="00FF386D" w:rsidRDefault="00F1286D" w:rsidP="00F1286D">
      <w:pPr>
        <w:widowControl w:val="0"/>
        <w:spacing w:after="120" w:line="240" w:lineRule="auto"/>
        <w:jc w:val="both"/>
        <w:rPr>
          <w:rFonts w:ascii="Calibri Light" w:eastAsia="Times New Roman" w:hAnsi="Calibri Light" w:cs="Calibri Light"/>
          <w:szCs w:val="20"/>
          <w:lang w:eastAsia="el-GR"/>
        </w:rPr>
      </w:pPr>
      <w:r w:rsidRPr="00FF386D">
        <w:rPr>
          <w:rFonts w:ascii="Calibri Light" w:eastAsia="Times New Roman" w:hAnsi="Calibri Light" w:cs="Calibri Light"/>
          <w:szCs w:val="20"/>
          <w:lang w:eastAsia="el-GR" w:bidi="sr-Cyrl-CS"/>
        </w:rPr>
        <w:t>Системом транспорта природног гаса управљају три оператора транспортног система. Систем има 2414 km у северној и централној Србији којим управља „Транспортгас Србија“ и додатних 125 km у југоисточној Србији којом управља „</w:t>
      </w:r>
      <w:r w:rsidRPr="00FF386D">
        <w:rPr>
          <w:rFonts w:ascii="Calibri Light" w:eastAsia="Times New Roman" w:hAnsi="Calibri Light" w:cs="Calibri Light"/>
          <w:szCs w:val="20"/>
          <w:lang w:eastAsia="el-GR"/>
        </w:rPr>
        <w:t xml:space="preserve"> </w:t>
      </w:r>
      <w:r w:rsidRPr="00FF386D">
        <w:rPr>
          <w:rFonts w:ascii="Calibri Light" w:eastAsia="Times New Roman" w:hAnsi="Calibri Light" w:cs="Calibri Light"/>
          <w:szCs w:val="20"/>
          <w:lang w:eastAsia="el-GR" w:bidi="sr-Cyrl-CS"/>
        </w:rPr>
        <w:t>Yugorosgaz</w:t>
      </w:r>
      <w:r w:rsidR="00A861E8" w:rsidRPr="00FF386D">
        <w:rPr>
          <w:rFonts w:ascii="Calibri Light" w:eastAsia="Times New Roman" w:hAnsi="Calibri Light" w:cs="Calibri Light"/>
          <w:szCs w:val="20"/>
          <w:lang w:eastAsia="el-GR" w:bidi="sr-Cyrl-CS"/>
        </w:rPr>
        <w:t xml:space="preserve"> Тransport</w:t>
      </w:r>
      <w:r w:rsidRPr="00FF386D">
        <w:rPr>
          <w:rFonts w:ascii="Calibri Light" w:eastAsia="Times New Roman" w:hAnsi="Calibri Light" w:cs="Calibri Light"/>
          <w:szCs w:val="20"/>
          <w:lang w:eastAsia="el-GR" w:bidi="sr-Cyrl-CS"/>
        </w:rPr>
        <w:t>“. У 2020. години потрошено је укупно 2.483 милиона m</w:t>
      </w:r>
      <w:r w:rsidRPr="00FF386D">
        <w:rPr>
          <w:rFonts w:ascii="Calibri Light" w:eastAsia="Times New Roman" w:hAnsi="Calibri Light" w:cs="Calibri Light"/>
          <w:szCs w:val="20"/>
          <w:vertAlign w:val="superscript"/>
          <w:lang w:eastAsia="el-GR" w:bidi="sr-Cyrl-CS"/>
        </w:rPr>
        <w:t>3</w:t>
      </w:r>
      <w:r w:rsidRPr="00FF386D">
        <w:rPr>
          <w:rFonts w:ascii="Calibri Light" w:eastAsia="Times New Roman" w:hAnsi="Calibri Light" w:cs="Calibri Light"/>
          <w:szCs w:val="20"/>
          <w:lang w:eastAsia="el-GR" w:bidi="sr-Cyrl-CS"/>
        </w:rPr>
        <w:t xml:space="preserve"> природног гаса, а 2.708 милиона m</w:t>
      </w:r>
      <w:r w:rsidRPr="00FF386D">
        <w:rPr>
          <w:rFonts w:ascii="Calibri Light" w:eastAsia="Times New Roman" w:hAnsi="Calibri Light" w:cs="Calibri Light"/>
          <w:szCs w:val="20"/>
          <w:vertAlign w:val="superscript"/>
          <w:lang w:eastAsia="el-GR" w:bidi="sr-Cyrl-CS"/>
        </w:rPr>
        <w:t>3</w:t>
      </w:r>
      <w:r w:rsidRPr="00FF386D">
        <w:rPr>
          <w:rFonts w:ascii="Calibri Light" w:eastAsia="Times New Roman" w:hAnsi="Calibri Light" w:cs="Calibri Light"/>
          <w:szCs w:val="20"/>
          <w:lang w:eastAsia="el-GR" w:bidi="sr-Cyrl-CS"/>
        </w:rPr>
        <w:t xml:space="preserve"> природног гаса је било обезбеђено из увоза, локалне производње и подземног складиштења.</w:t>
      </w:r>
    </w:p>
    <w:p w14:paraId="70ED1C3C" w14:textId="70A45D48" w:rsidR="00F1286D" w:rsidRPr="00FF386D" w:rsidRDefault="00F1286D" w:rsidP="00F1286D">
      <w:pPr>
        <w:widowControl w:val="0"/>
        <w:spacing w:after="120" w:line="240" w:lineRule="auto"/>
        <w:jc w:val="both"/>
        <w:rPr>
          <w:rFonts w:ascii="Calibri Light" w:eastAsia="Times New Roman" w:hAnsi="Calibri Light" w:cs="Calibri Light"/>
          <w:szCs w:val="20"/>
          <w:lang w:eastAsia="el-GR"/>
        </w:rPr>
      </w:pPr>
      <w:r w:rsidRPr="00FF386D">
        <w:rPr>
          <w:rFonts w:ascii="Calibri Light" w:eastAsia="Times New Roman" w:hAnsi="Calibri Light" w:cs="Calibri Light"/>
          <w:szCs w:val="20"/>
          <w:lang w:eastAsia="el-GR" w:bidi="sr-Cyrl-CS"/>
        </w:rPr>
        <w:t>Гастранс д.о.о. је независни оператор преноса интерконективног гасовода од Бугарске до Мађарске у дужини од 402 km.</w:t>
      </w:r>
      <w:bookmarkEnd w:id="309"/>
    </w:p>
    <w:p w14:paraId="3CAEBEDC" w14:textId="308F0F2A" w:rsidR="002A1A23" w:rsidRPr="00FF386D" w:rsidRDefault="002A1A23">
      <w:pPr>
        <w:keepNext/>
        <w:keepLines/>
        <w:numPr>
          <w:ilvl w:val="0"/>
          <w:numId w:val="255"/>
        </w:numPr>
        <w:spacing w:before="200" w:line="240" w:lineRule="auto"/>
        <w:outlineLvl w:val="3"/>
        <w:rPr>
          <w:rFonts w:ascii="Calibri Light" w:eastAsia="Times New Roman" w:hAnsi="Calibri Light" w:cs="Times New Roman"/>
          <w:b/>
          <w:bCs/>
          <w:iCs/>
          <w:color w:val="01406B"/>
          <w:szCs w:val="24"/>
        </w:rPr>
      </w:pPr>
      <w:r w:rsidRPr="00FF386D">
        <w:rPr>
          <w:rFonts w:ascii="Calibri Light" w:eastAsia="Times New Roman" w:hAnsi="Calibri Light" w:cs="Times New Roman"/>
          <w:b/>
          <w:bCs/>
          <w:iCs/>
          <w:color w:val="01406B"/>
          <w:szCs w:val="24"/>
        </w:rPr>
        <w:t xml:space="preserve">Пројекције потреба за проширењем мреже до </w:t>
      </w:r>
      <w:r w:rsidR="00F1286D" w:rsidRPr="00FF386D">
        <w:rPr>
          <w:rFonts w:ascii="Calibri Light" w:eastAsia="Times New Roman" w:hAnsi="Calibri Light" w:cs="Times New Roman"/>
          <w:b/>
          <w:bCs/>
          <w:iCs/>
          <w:color w:val="01406B"/>
          <w:szCs w:val="24"/>
        </w:rPr>
        <w:t xml:space="preserve">најмање </w:t>
      </w:r>
      <w:r w:rsidRPr="00FF386D">
        <w:rPr>
          <w:rFonts w:ascii="Calibri Light" w:eastAsia="Times New Roman" w:hAnsi="Calibri Light" w:cs="Times New Roman"/>
          <w:b/>
          <w:bCs/>
          <w:iCs/>
          <w:color w:val="01406B"/>
          <w:szCs w:val="24"/>
        </w:rPr>
        <w:t>2040. године (укључујући и 2030. годину)</w:t>
      </w:r>
    </w:p>
    <w:p w14:paraId="78E72D72" w14:textId="099AC7BD" w:rsidR="00F1286D" w:rsidRPr="00FF386D" w:rsidRDefault="00F1286D" w:rsidP="00F1286D">
      <w:pPr>
        <w:pStyle w:val="LDKBody1"/>
      </w:pPr>
      <w:bookmarkStart w:id="310" w:name="_Hlk135816327"/>
      <w:r w:rsidRPr="00FF386D">
        <w:rPr>
          <w:lang w:bidi="sr-Cyrl-CS"/>
        </w:rPr>
        <w:t>До 2030. године и на даље, у мрежи за пренос електричне енергије планиран</w:t>
      </w:r>
      <w:r w:rsidR="00A861E8" w:rsidRPr="00FF386D">
        <w:rPr>
          <w:lang w:bidi="sr-Cyrl-CS"/>
        </w:rPr>
        <w:t xml:space="preserve">а су </w:t>
      </w:r>
      <w:r w:rsidR="00763F13" w:rsidRPr="00FF386D">
        <w:rPr>
          <w:lang w:bidi="sr-Cyrl-CS"/>
        </w:rPr>
        <w:t xml:space="preserve">и спровешће се </w:t>
      </w:r>
      <w:r w:rsidR="00A861E8" w:rsidRPr="00FF386D">
        <w:rPr>
          <w:lang w:bidi="sr-Cyrl-CS"/>
        </w:rPr>
        <w:t>велика улагања</w:t>
      </w:r>
      <w:r w:rsidRPr="00FF386D">
        <w:rPr>
          <w:lang w:bidi="sr-Cyrl-CS"/>
        </w:rPr>
        <w:t xml:space="preserve"> која укључују јачање мреже и нове интерконекције. На појединачним интерконективним водовима разматрају се додатне нове интерконекције:</w:t>
      </w:r>
    </w:p>
    <w:bookmarkEnd w:id="310"/>
    <w:p w14:paraId="180E1F2E" w14:textId="0DF076CB" w:rsidR="00F1286D" w:rsidRPr="00FF386D" w:rsidRDefault="00F1286D">
      <w:pPr>
        <w:pStyle w:val="LDKBullets-main"/>
        <w:numPr>
          <w:ilvl w:val="0"/>
          <w:numId w:val="252"/>
        </w:numPr>
      </w:pPr>
      <w:r w:rsidRPr="00FF386D">
        <w:rPr>
          <w:lang w:bidi="sr-Cyrl-CS"/>
        </w:rPr>
        <w:t>Србија - Босна и Херцеговина 110 kV ТС Љубовија – ТС Сребреница</w:t>
      </w:r>
    </w:p>
    <w:p w14:paraId="70CEF316" w14:textId="78972740" w:rsidR="00F1286D" w:rsidRPr="00FF386D" w:rsidRDefault="00F1286D">
      <w:pPr>
        <w:pStyle w:val="LDKBullets-main"/>
        <w:numPr>
          <w:ilvl w:val="0"/>
          <w:numId w:val="252"/>
        </w:numPr>
      </w:pPr>
      <w:r w:rsidRPr="00FF386D">
        <w:rPr>
          <w:lang w:bidi="sr-Cyrl-CS"/>
        </w:rPr>
        <w:t xml:space="preserve">Србија – </w:t>
      </w:r>
      <w:r w:rsidR="00854329" w:rsidRPr="00FF386D">
        <w:rPr>
          <w:lang w:bidi="sr-Cyrl-CS"/>
        </w:rPr>
        <w:t xml:space="preserve">Босна и Херцеговина – </w:t>
      </w:r>
      <w:r w:rsidRPr="00FF386D">
        <w:rPr>
          <w:lang w:bidi="sr-Cyrl-CS"/>
        </w:rPr>
        <w:t>Црна Гора 2x400 kV Србија-БиХ-ЦГ</w:t>
      </w:r>
    </w:p>
    <w:p w14:paraId="4E5088DB" w14:textId="77777777" w:rsidR="00F1286D" w:rsidRPr="00FF386D" w:rsidRDefault="00F1286D">
      <w:pPr>
        <w:pStyle w:val="LDKBullets-main"/>
        <w:numPr>
          <w:ilvl w:val="0"/>
          <w:numId w:val="252"/>
        </w:numPr>
      </w:pPr>
      <w:r w:rsidRPr="00FF386D">
        <w:rPr>
          <w:lang w:bidi="sr-Cyrl-CS"/>
        </w:rPr>
        <w:t>Србија – Хрватска 400 kV ТС Сомбор 3 – ТС Ернестиново</w:t>
      </w:r>
    </w:p>
    <w:p w14:paraId="029F08C3" w14:textId="77777777" w:rsidR="00F1286D" w:rsidRPr="00FF386D" w:rsidRDefault="00F1286D">
      <w:pPr>
        <w:pStyle w:val="LDKBullets-main"/>
        <w:numPr>
          <w:ilvl w:val="0"/>
          <w:numId w:val="252"/>
        </w:numPr>
      </w:pPr>
      <w:r w:rsidRPr="00FF386D">
        <w:rPr>
          <w:lang w:bidi="sr-Cyrl-CS"/>
        </w:rPr>
        <w:lastRenderedPageBreak/>
        <w:t>Србија – Бугарска 400 kV ТС Лесковац – ТС Бобов Дол</w:t>
      </w:r>
    </w:p>
    <w:p w14:paraId="2A1FD418" w14:textId="5D09F80D" w:rsidR="00F1286D" w:rsidRPr="00FF386D" w:rsidRDefault="00F1286D">
      <w:pPr>
        <w:pStyle w:val="LDKBullets-main"/>
        <w:numPr>
          <w:ilvl w:val="0"/>
          <w:numId w:val="252"/>
        </w:numPr>
      </w:pPr>
      <w:r w:rsidRPr="00FF386D">
        <w:rPr>
          <w:lang w:bidi="sr-Cyrl-CS"/>
        </w:rPr>
        <w:t xml:space="preserve">Србија – Румунија 400 kV ТС Ђердап 1 – ТС </w:t>
      </w:r>
      <w:r w:rsidR="00F32FA4" w:rsidRPr="00F32FA4">
        <w:rPr>
          <w:lang w:bidi="sr-Cyrl-CS"/>
        </w:rPr>
        <w:t>Портиле де Фиер</w:t>
      </w:r>
    </w:p>
    <w:p w14:paraId="2218597D" w14:textId="0B22D3E2" w:rsidR="00F1286D" w:rsidRPr="00FF386D" w:rsidRDefault="00F1286D">
      <w:pPr>
        <w:pStyle w:val="LDKBullets-main"/>
        <w:numPr>
          <w:ilvl w:val="0"/>
          <w:numId w:val="252"/>
        </w:numPr>
      </w:pPr>
      <w:r w:rsidRPr="00FF386D">
        <w:rPr>
          <w:lang w:bidi="sr-Cyrl-CS"/>
        </w:rPr>
        <w:t>Србија – Црна Гора 110 kV ТС Тутин – ТС Рожаје</w:t>
      </w:r>
    </w:p>
    <w:p w14:paraId="1B2DE6CE" w14:textId="52272E50" w:rsidR="00F1286D" w:rsidRPr="00FF386D" w:rsidRDefault="00F1286D">
      <w:pPr>
        <w:pStyle w:val="LDKBullets-main"/>
        <w:numPr>
          <w:ilvl w:val="0"/>
          <w:numId w:val="252"/>
        </w:numPr>
      </w:pPr>
      <w:r w:rsidRPr="00FF386D">
        <w:rPr>
          <w:lang w:bidi="sr-Cyrl-CS"/>
        </w:rPr>
        <w:t xml:space="preserve">Србија – Мађарска 400 kV TС Суботица 2 – </w:t>
      </w:r>
      <w:r w:rsidR="00F32FA4">
        <w:rPr>
          <w:lang w:bidi="sr-Cyrl-CS"/>
        </w:rPr>
        <w:t xml:space="preserve">ТС </w:t>
      </w:r>
      <w:r w:rsidRPr="00FF386D">
        <w:rPr>
          <w:lang w:bidi="sr-Cyrl-CS"/>
        </w:rPr>
        <w:t>Шандорфалва</w:t>
      </w:r>
    </w:p>
    <w:p w14:paraId="47EBB227" w14:textId="66B6A4F0" w:rsidR="00F1286D" w:rsidRPr="00FF386D" w:rsidRDefault="00F1286D" w:rsidP="00F1286D">
      <w:pPr>
        <w:pStyle w:val="LDKbody"/>
        <w:rPr>
          <w:rFonts w:asciiTheme="majorHAnsi" w:hAnsiTheme="majorHAnsi" w:cstheme="majorHAnsi"/>
          <w:lang w:val="sr-Cyrl-RS"/>
        </w:rPr>
      </w:pPr>
      <w:bookmarkStart w:id="311" w:name="_Hlk135816379"/>
      <w:r w:rsidRPr="00FF386D">
        <w:rPr>
          <w:rFonts w:asciiTheme="majorHAnsi" w:hAnsiTheme="majorHAnsi" w:cstheme="majorHAnsi"/>
          <w:lang w:val="sr-Cyrl-RS"/>
        </w:rPr>
        <w:t>Због очекиваног повећања производних капацитета обновљивих извора енергије и све веће потребе за унапређењем преносног капацитета на територији Србије, у оквиру постојећих пројеката Коридора</w:t>
      </w:r>
      <w:r w:rsidR="00A21789">
        <w:rPr>
          <w:rFonts w:asciiTheme="majorHAnsi" w:hAnsiTheme="majorHAnsi" w:cstheme="majorHAnsi"/>
          <w:lang w:val="sr-Cyrl-RS"/>
        </w:rPr>
        <w:t xml:space="preserve"> </w:t>
      </w:r>
      <w:r w:rsidR="00A21789" w:rsidRPr="00A21789">
        <w:rPr>
          <w:rFonts w:asciiTheme="majorHAnsi" w:hAnsiTheme="majorHAnsi" w:cstheme="majorHAnsi"/>
          <w:lang w:val="sr-Cyrl-RS"/>
        </w:rPr>
        <w:t>мреже за пренос електричне енергије</w:t>
      </w:r>
      <w:r w:rsidRPr="00FF386D">
        <w:rPr>
          <w:rFonts w:asciiTheme="majorHAnsi" w:hAnsiTheme="majorHAnsi" w:cstheme="majorHAnsi"/>
          <w:lang w:val="sr-Cyrl-RS"/>
        </w:rPr>
        <w:t xml:space="preserve"> утврђена су следећа три пројекта:</w:t>
      </w:r>
    </w:p>
    <w:p w14:paraId="381E6586" w14:textId="77777777" w:rsidR="00F1286D" w:rsidRPr="00FF386D" w:rsidRDefault="00F1286D">
      <w:pPr>
        <w:pStyle w:val="LDKBullets-main"/>
        <w:numPr>
          <w:ilvl w:val="0"/>
          <w:numId w:val="252"/>
        </w:numPr>
      </w:pPr>
      <w:r w:rsidRPr="00FF386D">
        <w:t>Спровођење Трансбалканског коридора: Надземни вод (НВ) ТС Крагујевац (РС) - Краљево (РС)</w:t>
      </w:r>
    </w:p>
    <w:p w14:paraId="012999FA" w14:textId="77777777" w:rsidR="00F1286D" w:rsidRPr="00FF386D" w:rsidRDefault="00F1286D">
      <w:pPr>
        <w:pStyle w:val="LDKBullets-main"/>
        <w:numPr>
          <w:ilvl w:val="0"/>
          <w:numId w:val="252"/>
        </w:numPr>
      </w:pPr>
      <w:r w:rsidRPr="00FF386D">
        <w:t>Спровођење Трансбалканског коридора: НВ Обреновац (РС) - Бајина Башта (РС)</w:t>
      </w:r>
    </w:p>
    <w:p w14:paraId="3404CC8F" w14:textId="77777777" w:rsidR="00F1286D" w:rsidRPr="000A2AFE" w:rsidRDefault="00F1286D">
      <w:pPr>
        <w:pStyle w:val="LDKBullets-main"/>
        <w:numPr>
          <w:ilvl w:val="0"/>
          <w:numId w:val="252"/>
        </w:numPr>
        <w:rPr>
          <w:rFonts w:asciiTheme="majorHAnsi" w:hAnsiTheme="majorHAnsi" w:cstheme="majorHAnsi"/>
        </w:rPr>
      </w:pPr>
      <w:r w:rsidRPr="00FF386D">
        <w:t>Кластер мрежних инфраструктурних пројеката на ширем подручју Београда (</w:t>
      </w:r>
      <w:r w:rsidRPr="00FF386D">
        <w:rPr>
          <w:i/>
        </w:rPr>
        <w:t>BEOGRID</w:t>
      </w:r>
      <w:r w:rsidRPr="00FF386D">
        <w:t>)</w:t>
      </w:r>
    </w:p>
    <w:p w14:paraId="46A55DDD" w14:textId="44288928" w:rsidR="00F32FA4" w:rsidRPr="00F32FA4" w:rsidRDefault="00F32FA4" w:rsidP="00F32FA4">
      <w:pPr>
        <w:pStyle w:val="LDKBullets-main"/>
        <w:rPr>
          <w:rFonts w:asciiTheme="majorHAnsi" w:hAnsiTheme="majorHAnsi" w:cstheme="majorHAnsi"/>
        </w:rPr>
      </w:pPr>
      <w:r w:rsidRPr="00F32FA4">
        <w:rPr>
          <w:rFonts w:asciiTheme="majorHAnsi" w:hAnsiTheme="majorHAnsi" w:cstheme="majorHAnsi"/>
        </w:rPr>
        <w:t>Панонски коридор:</w:t>
      </w:r>
      <w:r>
        <w:rPr>
          <w:rFonts w:asciiTheme="majorHAnsi" w:hAnsiTheme="majorHAnsi" w:cstheme="majorHAnsi"/>
          <w:lang w:val="sr-Latn-RS"/>
        </w:rPr>
        <w:t xml:space="preserve"> </w:t>
      </w:r>
      <w:r w:rsidRPr="00F32FA4">
        <w:rPr>
          <w:rFonts w:asciiTheme="majorHAnsi" w:hAnsiTheme="majorHAnsi" w:cstheme="majorHAnsi"/>
        </w:rPr>
        <w:t>400 kV ДВ Сомбор - Нови Сад 3 и 2x400 kV ДВ Београд 50 – Сремска Митровица 2</w:t>
      </w:r>
    </w:p>
    <w:p w14:paraId="3D84D0BC" w14:textId="079363A0" w:rsidR="00F32FA4" w:rsidRPr="00FF386D" w:rsidRDefault="00F32FA4" w:rsidP="000A2AFE">
      <w:pPr>
        <w:pStyle w:val="LDKBullets-main"/>
        <w:spacing w:after="200"/>
        <w:ind w:left="357" w:hanging="357"/>
        <w:rPr>
          <w:rFonts w:asciiTheme="majorHAnsi" w:hAnsiTheme="majorHAnsi" w:cstheme="majorHAnsi"/>
        </w:rPr>
      </w:pPr>
      <w:r w:rsidRPr="00F32FA4">
        <w:rPr>
          <w:rFonts w:asciiTheme="majorHAnsi" w:hAnsiTheme="majorHAnsi" w:cstheme="majorHAnsi"/>
        </w:rPr>
        <w:t xml:space="preserve">Централнобалкански коридор: 400 kV ДВ Ниш 2 – Крушевац </w:t>
      </w:r>
      <w:r>
        <w:rPr>
          <w:rFonts w:asciiTheme="majorHAnsi" w:hAnsiTheme="majorHAnsi" w:cstheme="majorHAnsi"/>
        </w:rPr>
        <w:t>–</w:t>
      </w:r>
      <w:r>
        <w:rPr>
          <w:rFonts w:asciiTheme="majorHAnsi" w:hAnsiTheme="majorHAnsi" w:cstheme="majorHAnsi"/>
          <w:lang w:val="sr-Latn-RS"/>
        </w:rPr>
        <w:t xml:space="preserve"> </w:t>
      </w:r>
      <w:r w:rsidRPr="00F32FA4">
        <w:rPr>
          <w:rFonts w:asciiTheme="majorHAnsi" w:hAnsiTheme="majorHAnsi" w:cstheme="majorHAnsi"/>
        </w:rPr>
        <w:t>Краљево – Пожега – Вардиште и 400 kV ДВ Пожаревац 3 – Јагодина 4</w:t>
      </w:r>
    </w:p>
    <w:p w14:paraId="37286164" w14:textId="749FDD8E" w:rsidR="00F1286D" w:rsidRPr="00FF386D" w:rsidRDefault="00F32FA4" w:rsidP="000A2AFE">
      <w:pPr>
        <w:pStyle w:val="LDKBullets-main"/>
        <w:numPr>
          <w:ilvl w:val="0"/>
          <w:numId w:val="0"/>
        </w:numPr>
        <w:tabs>
          <w:tab w:val="left" w:pos="708"/>
        </w:tabs>
        <w:spacing w:after="200"/>
      </w:pPr>
      <w:r w:rsidRPr="00F32FA4">
        <w:t>ЕМС у оквиру Плана развоја преносног система 2023-2032 (поглавље Анализа адекватности производње) наводи да по поднетим захтевима за прикључење има 19,3 GW ОИЕ до 2032. године (1,9 GW на дистрибутивном систему и 17,4 GW на преносном систему), од чега је у уговорни однос са операторима система ушло 0,8 GW (ЕДС) и 4,5 GW (ЕМС).</w:t>
      </w:r>
    </w:p>
    <w:p w14:paraId="232D1DB2" w14:textId="6222920E" w:rsidR="00F1286D" w:rsidRPr="00FF386D" w:rsidRDefault="00F1286D" w:rsidP="00F1286D">
      <w:pPr>
        <w:pStyle w:val="LDKBullets-main"/>
        <w:numPr>
          <w:ilvl w:val="0"/>
          <w:numId w:val="0"/>
        </w:numPr>
        <w:tabs>
          <w:tab w:val="left" w:pos="708"/>
        </w:tabs>
        <w:rPr>
          <w:rFonts w:asciiTheme="majorHAnsi" w:hAnsiTheme="majorHAnsi" w:cstheme="majorHAnsi"/>
        </w:rPr>
      </w:pPr>
      <w:r w:rsidRPr="00FF386D">
        <w:rPr>
          <w:rFonts w:asciiTheme="majorHAnsi" w:hAnsiTheme="majorHAnsi" w:cstheme="majorHAnsi"/>
          <w:lang w:bidi="sr-Cyrl-CS"/>
        </w:rPr>
        <w:t>Реализација пројекта гасне интерконекције Србије и Бугарске један је од најновијих инвестиционих пројеката у систему транспорта природног гаса који је тренутно у фази развоја. Ови пројекти интерконекције се налазе у будућим пројекцијама како би се подстакла дивер</w:t>
      </w:r>
      <w:r w:rsidR="00DA7AC7">
        <w:rPr>
          <w:rFonts w:asciiTheme="majorHAnsi" w:hAnsiTheme="majorHAnsi" w:cstheme="majorHAnsi"/>
          <w:lang w:bidi="sr-Cyrl-CS"/>
        </w:rPr>
        <w:t>с</w:t>
      </w:r>
      <w:r w:rsidRPr="00FF386D">
        <w:rPr>
          <w:rFonts w:asciiTheme="majorHAnsi" w:hAnsiTheme="majorHAnsi" w:cstheme="majorHAnsi"/>
          <w:lang w:bidi="sr-Cyrl-CS"/>
        </w:rPr>
        <w:t>ификација снабдевања природним гасом и омогућила шира интерконекција са суседним системима:</w:t>
      </w:r>
    </w:p>
    <w:p w14:paraId="14D90817" w14:textId="77777777" w:rsidR="00F1286D" w:rsidRPr="00FF386D" w:rsidRDefault="00F1286D" w:rsidP="00F1286D">
      <w:pPr>
        <w:pStyle w:val="LDKBullets-main"/>
        <w:numPr>
          <w:ilvl w:val="0"/>
          <w:numId w:val="0"/>
        </w:numPr>
        <w:tabs>
          <w:tab w:val="left" w:pos="708"/>
        </w:tabs>
        <w:rPr>
          <w:rFonts w:asciiTheme="majorHAnsi" w:hAnsiTheme="majorHAnsi" w:cstheme="majorHAnsi"/>
        </w:rPr>
      </w:pPr>
    </w:p>
    <w:p w14:paraId="65180656" w14:textId="77777777" w:rsidR="00F1286D" w:rsidRPr="00FF386D" w:rsidRDefault="00F1286D">
      <w:pPr>
        <w:pStyle w:val="LDKBullets-main"/>
        <w:numPr>
          <w:ilvl w:val="0"/>
          <w:numId w:val="252"/>
        </w:numPr>
        <w:tabs>
          <w:tab w:val="clear" w:pos="360"/>
          <w:tab w:val="left" w:pos="708"/>
        </w:tabs>
      </w:pPr>
      <w:r w:rsidRPr="00FF386D">
        <w:rPr>
          <w:lang w:bidi="sr-Cyrl-CS"/>
        </w:rPr>
        <w:t>Пројекат гасне интерконекције Србија-Румунија 85,5 km (од чега је 12,8 km на територији Републике Србије), капацитета 1,2 милијарде m3/годишње</w:t>
      </w:r>
    </w:p>
    <w:p w14:paraId="65B802FB" w14:textId="77777777" w:rsidR="00F1286D" w:rsidRPr="00FF386D" w:rsidRDefault="00F1286D">
      <w:pPr>
        <w:pStyle w:val="LDKBullets-main"/>
        <w:numPr>
          <w:ilvl w:val="0"/>
          <w:numId w:val="252"/>
        </w:numPr>
        <w:tabs>
          <w:tab w:val="clear" w:pos="360"/>
          <w:tab w:val="left" w:pos="708"/>
        </w:tabs>
      </w:pPr>
      <w:r w:rsidRPr="00FF386D">
        <w:rPr>
          <w:lang w:bidi="sr-Cyrl-CS"/>
        </w:rPr>
        <w:t>Пројекат гасне интерконекције Србија-Хрватска (95 km, капацитета 1,5 милијарди m3/годишње)</w:t>
      </w:r>
    </w:p>
    <w:p w14:paraId="5F574D0B" w14:textId="77777777" w:rsidR="00F1286D" w:rsidRPr="00FF386D" w:rsidRDefault="00F1286D">
      <w:pPr>
        <w:pStyle w:val="LDKBullets-main"/>
        <w:numPr>
          <w:ilvl w:val="0"/>
          <w:numId w:val="252"/>
        </w:numPr>
        <w:tabs>
          <w:tab w:val="clear" w:pos="360"/>
          <w:tab w:val="left" w:pos="708"/>
        </w:tabs>
      </w:pPr>
      <w:r w:rsidRPr="00FF386D">
        <w:rPr>
          <w:lang w:bidi="sr-Cyrl-CS"/>
        </w:rPr>
        <w:t>Пројекат гасне интерконекције Србија-БиХ од 90 km, капацитета 1,2 милијарде m3/годишње</w:t>
      </w:r>
    </w:p>
    <w:p w14:paraId="3333947C" w14:textId="77777777" w:rsidR="00F1286D" w:rsidRPr="00FF386D" w:rsidRDefault="00F1286D">
      <w:pPr>
        <w:pStyle w:val="LDKBullets-main"/>
        <w:numPr>
          <w:ilvl w:val="0"/>
          <w:numId w:val="252"/>
        </w:numPr>
        <w:tabs>
          <w:tab w:val="clear" w:pos="360"/>
          <w:tab w:val="left" w:pos="708"/>
        </w:tabs>
      </w:pPr>
      <w:r w:rsidRPr="00FF386D">
        <w:rPr>
          <w:lang w:bidi="sr-Cyrl-CS"/>
        </w:rPr>
        <w:t>Гасовод - интерконекција са Црном Гором</w:t>
      </w:r>
    </w:p>
    <w:p w14:paraId="5CD42BB1" w14:textId="77777777" w:rsidR="00F1286D" w:rsidRPr="00FF386D" w:rsidRDefault="00F1286D">
      <w:pPr>
        <w:pStyle w:val="LDKBullets-main"/>
        <w:numPr>
          <w:ilvl w:val="0"/>
          <w:numId w:val="252"/>
        </w:numPr>
        <w:tabs>
          <w:tab w:val="clear" w:pos="360"/>
          <w:tab w:val="left" w:pos="708"/>
        </w:tabs>
      </w:pPr>
      <w:r w:rsidRPr="00FF386D">
        <w:rPr>
          <w:lang w:bidi="sr-Cyrl-CS"/>
        </w:rPr>
        <w:t>Пројекат гасне интерконекције Србија-Македонија 70,7 km, капацитета 0,8 милијарди m3/годишње</w:t>
      </w:r>
    </w:p>
    <w:p w14:paraId="529D0C8D" w14:textId="77777777" w:rsidR="00F1286D" w:rsidRPr="00FF386D" w:rsidRDefault="00F1286D">
      <w:pPr>
        <w:pStyle w:val="LDKBullets-main"/>
        <w:numPr>
          <w:ilvl w:val="0"/>
          <w:numId w:val="252"/>
        </w:numPr>
        <w:tabs>
          <w:tab w:val="clear" w:pos="360"/>
          <w:tab w:val="left" w:pos="708"/>
        </w:tabs>
      </w:pPr>
      <w:r w:rsidRPr="00FF386D">
        <w:rPr>
          <w:lang w:bidi="sr-Cyrl-CS"/>
        </w:rPr>
        <w:t>Пројекат изградње гасовода Ниш-Приштина дужине 65 km, капацитета 0,8 милијарди m3/годишње</w:t>
      </w:r>
    </w:p>
    <w:p w14:paraId="6DF76299" w14:textId="77777777" w:rsidR="00F1286D" w:rsidRPr="00FF386D" w:rsidRDefault="00F1286D" w:rsidP="00F1286D">
      <w:pPr>
        <w:pStyle w:val="LDKBullets-main"/>
        <w:numPr>
          <w:ilvl w:val="0"/>
          <w:numId w:val="0"/>
        </w:numPr>
        <w:tabs>
          <w:tab w:val="left" w:pos="708"/>
        </w:tabs>
        <w:ind w:left="360" w:hanging="360"/>
      </w:pPr>
    </w:p>
    <w:p w14:paraId="468E7E91" w14:textId="14BC008C" w:rsidR="00F1286D" w:rsidRPr="00FF386D" w:rsidRDefault="00F1286D" w:rsidP="00F1286D">
      <w:pPr>
        <w:pStyle w:val="LDKBody1"/>
      </w:pPr>
      <w:r w:rsidRPr="00FF386D">
        <w:rPr>
          <w:lang w:bidi="sr-Cyrl-CS"/>
        </w:rPr>
        <w:t xml:space="preserve">Да би се омогућила гасификација југа Србије, у оквиру граница земље изградиће се </w:t>
      </w:r>
      <w:r w:rsidR="00A545C2" w:rsidRPr="00FF386D">
        <w:rPr>
          <w:lang w:bidi="sr-Cyrl-CS"/>
        </w:rPr>
        <w:t>разводни</w:t>
      </w:r>
      <w:r w:rsidRPr="00FF386D">
        <w:rPr>
          <w:lang w:bidi="sr-Cyrl-CS"/>
        </w:rPr>
        <w:t xml:space="preserve"> гасовод РГ 11-02 Лесковац-Владичин Хан-Врање, дужине 71 km и капацитета 1,5 милијарди m3/годишње.</w:t>
      </w:r>
      <w:bookmarkEnd w:id="311"/>
    </w:p>
    <w:p w14:paraId="09E16538" w14:textId="77777777" w:rsidR="002A1A23" w:rsidRPr="00FF386D" w:rsidRDefault="002A1A23" w:rsidP="002A1A23">
      <w:pPr>
        <w:widowControl w:val="0"/>
        <w:spacing w:after="120" w:line="240" w:lineRule="auto"/>
        <w:jc w:val="both"/>
        <w:rPr>
          <w:rFonts w:ascii="Calibri Light" w:eastAsia="Times New Roman" w:hAnsi="Calibri Light" w:cs="Calibri Light"/>
          <w:szCs w:val="20"/>
          <w:lang w:eastAsia="el-GR"/>
        </w:rPr>
      </w:pPr>
    </w:p>
    <w:p w14:paraId="26F4DA81" w14:textId="77777777" w:rsidR="002A1A23" w:rsidRPr="00FF386D" w:rsidRDefault="002A1A23">
      <w:pPr>
        <w:keepNext/>
        <w:numPr>
          <w:ilvl w:val="2"/>
          <w:numId w:val="246"/>
        </w:numPr>
        <w:spacing w:before="240" w:after="60" w:line="240" w:lineRule="auto"/>
        <w:jc w:val="both"/>
        <w:outlineLvl w:val="2"/>
        <w:rPr>
          <w:rFonts w:ascii="Calibri Light" w:eastAsia="Times New Roman" w:hAnsi="Calibri Light" w:cs="Arial"/>
          <w:b/>
          <w:bCs/>
          <w:color w:val="01406B"/>
          <w:sz w:val="26"/>
          <w:szCs w:val="26"/>
          <w:lang w:eastAsia="tr-TR"/>
        </w:rPr>
      </w:pPr>
      <w:r w:rsidRPr="00FF386D">
        <w:rPr>
          <w:rFonts w:ascii="Calibri Light" w:eastAsia="Times New Roman" w:hAnsi="Calibri Light" w:cs="Arial"/>
          <w:b/>
          <w:bCs/>
          <w:color w:val="01406B"/>
          <w:sz w:val="26"/>
          <w:szCs w:val="26"/>
          <w:lang w:eastAsia="tr-TR" w:bidi="sr-Cyrl-CS"/>
        </w:rPr>
        <w:t>Тржишта електричне енергије и гаса, цене енергије</w:t>
      </w:r>
    </w:p>
    <w:p w14:paraId="1A6F5371" w14:textId="502B8BEF" w:rsidR="002A1A23" w:rsidRPr="00FF386D" w:rsidRDefault="002A1A23">
      <w:pPr>
        <w:keepNext/>
        <w:keepLines/>
        <w:numPr>
          <w:ilvl w:val="0"/>
          <w:numId w:val="256"/>
        </w:numPr>
        <w:spacing w:before="200" w:after="0" w:line="240" w:lineRule="auto"/>
        <w:outlineLvl w:val="3"/>
        <w:rPr>
          <w:rFonts w:ascii="Calibri Light" w:eastAsia="Times New Roman" w:hAnsi="Calibri Light" w:cs="Times New Roman"/>
          <w:b/>
          <w:bCs/>
          <w:iCs/>
          <w:color w:val="01406B"/>
          <w:szCs w:val="24"/>
        </w:rPr>
      </w:pPr>
      <w:r w:rsidRPr="00FF386D">
        <w:rPr>
          <w:rFonts w:ascii="Calibri Light" w:eastAsia="Times New Roman" w:hAnsi="Calibri Light" w:cs="Times New Roman"/>
          <w:b/>
          <w:bCs/>
          <w:iCs/>
          <w:color w:val="01406B"/>
          <w:szCs w:val="24"/>
          <w:lang w:bidi="sr-Cyrl-CS"/>
        </w:rPr>
        <w:t>Тренутно стање тржишта електричне енергије и гаса, укључујући цене енергије</w:t>
      </w:r>
    </w:p>
    <w:p w14:paraId="2A61E228" w14:textId="77777777" w:rsidR="00F1286D" w:rsidRPr="00FF386D" w:rsidRDefault="00F1286D" w:rsidP="00F1286D">
      <w:pPr>
        <w:pStyle w:val="LDKBody1"/>
      </w:pPr>
      <w:r w:rsidRPr="00FF386D">
        <w:rPr>
          <w:lang w:bidi="sr-Cyrl-CS"/>
        </w:rPr>
        <w:t>У Србији тржиштем електричне енергије дан-унапред управља Берза електричне енергије за Југоисточну Европу (</w:t>
      </w:r>
      <w:r w:rsidRPr="00FF386D">
        <w:rPr>
          <w:i/>
          <w:lang w:bidi="sr-Cyrl-CS"/>
        </w:rPr>
        <w:t>SEEPEX</w:t>
      </w:r>
      <w:r w:rsidRPr="00FF386D">
        <w:rPr>
          <w:lang w:bidi="sr-Cyrl-CS"/>
        </w:rPr>
        <w:t>) која је основана 2015. године на основу партнерства ЕМС АД и Европске берзе електричне енергије (</w:t>
      </w:r>
      <w:r w:rsidRPr="00FF386D">
        <w:rPr>
          <w:i/>
          <w:lang w:bidi="sr-Cyrl-CS"/>
        </w:rPr>
        <w:t>EPEX SPOT</w:t>
      </w:r>
      <w:r w:rsidRPr="00FF386D">
        <w:rPr>
          <w:lang w:bidi="sr-Cyrl-CS"/>
        </w:rPr>
        <w:t xml:space="preserve">) у Француској, као акционарско друштво у већинском власништву српске стране. Има дозволу за рад организованих тржишта електричне енергије. У 2020. години, тржиште електричне енергије дан-унапред које је пословало на берзи имало је регистрована 22 учесника / што је за три учесника више у односу на 2019. годину. У обе референтне године, просечно 18 </w:t>
      </w:r>
      <w:r w:rsidRPr="00FF386D">
        <w:rPr>
          <w:lang w:bidi="sr-Cyrl-CS"/>
        </w:rPr>
        <w:lastRenderedPageBreak/>
        <w:t>учесника је било активно укључено у свакодневне трговинске активности.</w:t>
      </w:r>
    </w:p>
    <w:p w14:paraId="082DEF60" w14:textId="31A42325" w:rsidR="00F1286D" w:rsidRPr="00FF386D" w:rsidRDefault="00F1286D" w:rsidP="00F1286D">
      <w:pPr>
        <w:spacing w:after="0" w:line="240" w:lineRule="auto"/>
        <w:jc w:val="both"/>
        <w:rPr>
          <w:rFonts w:ascii="Calibri Light" w:hAnsi="Calibri Light" w:cs="Calibri Light"/>
          <w:sz w:val="24"/>
          <w:szCs w:val="24"/>
          <w:lang w:eastAsia="sr-Latn-RS"/>
        </w:rPr>
      </w:pPr>
      <w:r w:rsidRPr="00FF386D">
        <w:rPr>
          <w:rFonts w:ascii="Calibri Light" w:hAnsi="Calibri Light" w:cs="Calibri Light"/>
          <w:lang w:bidi="sr-Cyrl-CS"/>
        </w:rPr>
        <w:t xml:space="preserve">У 2020. години, снабдевачи су се углавном међусобно надметали и трговали на велепродајном тржишту електричне енергије, јер се производња </w:t>
      </w:r>
      <w:r w:rsidR="00763F13" w:rsidRPr="00FF386D">
        <w:rPr>
          <w:rFonts w:ascii="Calibri Light" w:hAnsi="Calibri Light" w:cs="Calibri Light"/>
          <w:lang w:bidi="sr-Cyrl-CS"/>
        </w:rPr>
        <w:t xml:space="preserve">(ван ЕПС-а) </w:t>
      </w:r>
      <w:r w:rsidRPr="00FF386D">
        <w:rPr>
          <w:rFonts w:ascii="Calibri Light" w:hAnsi="Calibri Light" w:cs="Calibri Light"/>
          <w:lang w:bidi="sr-Cyrl-CS"/>
        </w:rPr>
        <w:t>која обухвата постојеће ветропарков</w:t>
      </w:r>
      <w:r w:rsidR="00763F13" w:rsidRPr="00FF386D">
        <w:rPr>
          <w:rFonts w:ascii="Calibri Light" w:hAnsi="Calibri Light" w:cs="Calibri Light"/>
          <w:lang w:bidi="sr-Cyrl-CS"/>
        </w:rPr>
        <w:t>е</w:t>
      </w:r>
      <w:r w:rsidRPr="00FF386D">
        <w:rPr>
          <w:rFonts w:ascii="Calibri Light" w:hAnsi="Calibri Light" w:cs="Calibri Light"/>
          <w:lang w:bidi="sr-Cyrl-CS"/>
        </w:rPr>
        <w:t xml:space="preserve">, припада повлашћеним произвођачима који продају електричну енергију гарантованом снабдевачу по фиксним фид-ин тарифама. Делатност снабдевача на отвореном тржишту је била веома активна у области прекограничне размене, пре свега у циљу омогућавања транзита кроз Србију. Ова прилика се јавља као доминантан избор снабдевача који организују транзитне размене због централног географског положаја електроенергетског система Србије у региону. </w:t>
      </w:r>
      <w:r w:rsidRPr="00FF386D">
        <w:rPr>
          <w:rFonts w:ascii="Calibri Light" w:eastAsia="Calibri" w:hAnsi="Calibri Light" w:cs="Calibri Light"/>
        </w:rPr>
        <w:t>У складу са Годишњим извештајем Агенције за енергетику</w:t>
      </w:r>
      <w:r w:rsidRPr="00FF386D">
        <w:rPr>
          <w:rFonts w:ascii="Calibri Light" w:eastAsia="Calibri" w:hAnsi="Calibri Light" w:cs="Calibri Light"/>
          <w:vertAlign w:val="superscript"/>
        </w:rPr>
        <w:footnoteReference w:id="125"/>
      </w:r>
      <w:r w:rsidRPr="00FF386D">
        <w:rPr>
          <w:rFonts w:ascii="Calibri Light" w:eastAsia="Calibri" w:hAnsi="Calibri Light" w:cs="Calibri Light"/>
        </w:rPr>
        <w:t>у</w:t>
      </w:r>
      <w:r w:rsidRPr="00FF386D">
        <w:rPr>
          <w:rFonts w:ascii="Calibri Light" w:hAnsi="Calibri Light" w:cs="Calibri Light"/>
          <w:lang w:bidi="sr-Cyrl-CS"/>
        </w:rPr>
        <w:t xml:space="preserve"> 2020. години, активност</w:t>
      </w:r>
      <w:r w:rsidR="00763F13" w:rsidRPr="00FF386D">
        <w:rPr>
          <w:rFonts w:ascii="Calibri Light" w:hAnsi="Calibri Light" w:cs="Calibri Light"/>
          <w:lang w:bidi="sr-Cyrl-CS"/>
        </w:rPr>
        <w:t xml:space="preserve"> снабдевача</w:t>
      </w:r>
      <w:r w:rsidRPr="00FF386D">
        <w:rPr>
          <w:rFonts w:ascii="Calibri Light" w:hAnsi="Calibri Light" w:cs="Calibri Light"/>
          <w:lang w:bidi="sr-Cyrl-CS"/>
        </w:rPr>
        <w:t xml:space="preserve"> износила је око 14,7 TWh. Снабдевањем крајњих купаца на отвореном тржишту у 2020. години бавило се 57 активних учесника на тржишту и 11 </w:t>
      </w:r>
      <w:r w:rsidR="00763F13" w:rsidRPr="00FF386D">
        <w:rPr>
          <w:rFonts w:ascii="Calibri Light" w:hAnsi="Calibri Light" w:cs="Calibri Light"/>
          <w:lang w:bidi="sr-Cyrl-CS"/>
        </w:rPr>
        <w:t>снабдевача</w:t>
      </w:r>
      <w:r w:rsidRPr="00FF386D">
        <w:rPr>
          <w:rFonts w:ascii="Calibri Light" w:hAnsi="Calibri Light" w:cs="Calibri Light"/>
          <w:lang w:bidi="sr-Cyrl-CS"/>
        </w:rPr>
        <w:t xml:space="preserve">. Делатности снабдевања електричном енергијом углавном су се односиле на комерцијалне потрошаче. Дозволе за снабдевање имала су 64 енергетска субјекта, од којих је 11 било активно у снабдевању крајњих </w:t>
      </w:r>
      <w:r w:rsidR="004609F7">
        <w:rPr>
          <w:rFonts w:ascii="Calibri Light" w:hAnsi="Calibri Light" w:cs="Calibri Light"/>
          <w:lang w:bidi="sr-Cyrl-CS"/>
        </w:rPr>
        <w:t>купац</w:t>
      </w:r>
      <w:r w:rsidR="004609F7" w:rsidRPr="00FF386D">
        <w:rPr>
          <w:rFonts w:ascii="Calibri Light" w:hAnsi="Calibri Light" w:cs="Calibri Light"/>
          <w:lang w:bidi="sr-Cyrl-CS"/>
        </w:rPr>
        <w:t>а</w:t>
      </w:r>
      <w:r w:rsidRPr="00FF386D">
        <w:rPr>
          <w:rFonts w:ascii="Calibri Light" w:hAnsi="Calibri Light" w:cs="Calibri Light"/>
          <w:lang w:bidi="sr-Cyrl-CS"/>
        </w:rPr>
        <w:t xml:space="preserve">. Доминантни снабдевач електричном енергијом је ЕПС са тржишним уделом који обухвата више од 95% електричне енергије продате крајњим </w:t>
      </w:r>
      <w:r w:rsidR="005815F4">
        <w:rPr>
          <w:rFonts w:ascii="Calibri Light" w:hAnsi="Calibri Light" w:cs="Calibri Light"/>
          <w:lang w:bidi="sr-Cyrl-CS"/>
        </w:rPr>
        <w:t>купц</w:t>
      </w:r>
      <w:r w:rsidR="005815F4" w:rsidRPr="00FF386D">
        <w:rPr>
          <w:rFonts w:ascii="Calibri Light" w:hAnsi="Calibri Light" w:cs="Calibri Light"/>
          <w:lang w:bidi="sr-Cyrl-CS"/>
        </w:rPr>
        <w:t>има</w:t>
      </w:r>
      <w:r w:rsidRPr="00FF386D">
        <w:rPr>
          <w:rFonts w:ascii="Calibri Light" w:hAnsi="Calibri Light" w:cs="Calibri Light"/>
          <w:lang w:bidi="sr-Cyrl-CS"/>
        </w:rPr>
        <w:t>.</w:t>
      </w:r>
    </w:p>
    <w:p w14:paraId="3D49278E" w14:textId="25FA83BE" w:rsidR="002A1A23" w:rsidRPr="00FF386D" w:rsidRDefault="00FB021C" w:rsidP="00F1286D">
      <w:pPr>
        <w:widowControl w:val="0"/>
        <w:spacing w:after="120" w:line="240" w:lineRule="auto"/>
        <w:jc w:val="both"/>
        <w:rPr>
          <w:rFonts w:ascii="Calibri Light" w:eastAsia="Times New Roman" w:hAnsi="Calibri Light" w:cs="Calibri Light"/>
          <w:szCs w:val="20"/>
          <w:lang w:eastAsia="el-GR"/>
        </w:rPr>
      </w:pPr>
      <w:r w:rsidRPr="00565B02">
        <w:rPr>
          <w:rFonts w:ascii="Calibri Light" w:eastAsia="Calibri" w:hAnsi="Calibri Light" w:cs="Calibri Light"/>
          <w:lang w:bidi="sr-Cyrl-CS"/>
        </w:rPr>
        <w:fldChar w:fldCharType="begin"/>
      </w:r>
      <w:r w:rsidRPr="00565B02">
        <w:rPr>
          <w:rFonts w:ascii="Calibri Light" w:eastAsia="Calibri" w:hAnsi="Calibri Light" w:cs="Calibri Light"/>
          <w:lang w:bidi="sr-Cyrl-CS"/>
        </w:rPr>
        <w:instrText xml:space="preserve"> REF _Ref153884078 \h </w:instrText>
      </w:r>
      <w:r>
        <w:rPr>
          <w:rFonts w:ascii="Calibri Light" w:eastAsia="Calibri" w:hAnsi="Calibri Light" w:cs="Calibri Light"/>
          <w:lang w:bidi="sr-Cyrl-CS"/>
        </w:rPr>
        <w:instrText xml:space="preserve"> \* MERGEFORMAT </w:instrText>
      </w:r>
      <w:r w:rsidRPr="00565B02">
        <w:rPr>
          <w:rFonts w:ascii="Calibri Light" w:eastAsia="Calibri" w:hAnsi="Calibri Light" w:cs="Calibri Light"/>
          <w:lang w:bidi="sr-Cyrl-CS"/>
        </w:rPr>
      </w:r>
      <w:r w:rsidRPr="00565B02">
        <w:rPr>
          <w:rFonts w:ascii="Calibri Light" w:eastAsia="Calibri" w:hAnsi="Calibri Light" w:cs="Calibri Light"/>
          <w:lang w:bidi="sr-Cyrl-CS"/>
        </w:rPr>
        <w:fldChar w:fldCharType="separate"/>
      </w:r>
      <w:r w:rsidRPr="00565B02">
        <w:rPr>
          <w:rFonts w:ascii="Calibri Light" w:eastAsia="Calibri" w:hAnsi="Calibri Light" w:cs="Calibri Light"/>
          <w:lang w:bidi="sr-Cyrl-CS"/>
        </w:rPr>
        <w:t>Слика 4.56</w:t>
      </w:r>
      <w:r w:rsidRPr="00565B02">
        <w:rPr>
          <w:rFonts w:ascii="Calibri Light" w:eastAsia="Calibri" w:hAnsi="Calibri Light" w:cs="Calibri Light"/>
          <w:lang w:bidi="sr-Cyrl-CS"/>
        </w:rPr>
        <w:fldChar w:fldCharType="end"/>
      </w:r>
      <w:r w:rsidRPr="00565B02">
        <w:rPr>
          <w:rFonts w:ascii="Calibri Light" w:eastAsia="Calibri" w:hAnsi="Calibri Light" w:cs="Calibri Light"/>
          <w:lang w:bidi="sr-Cyrl-CS"/>
        </w:rPr>
        <w:t xml:space="preserve"> </w:t>
      </w:r>
      <w:bookmarkStart w:id="312" w:name="_Hlk135816471"/>
      <w:r w:rsidR="00F1286D" w:rsidRPr="00FF386D">
        <w:rPr>
          <w:rFonts w:ascii="Calibri Light" w:eastAsia="Calibri" w:hAnsi="Calibri Light" w:cs="Calibri Light"/>
          <w:lang w:bidi="sr-Cyrl-CS"/>
        </w:rPr>
        <w:t xml:space="preserve">приказује просечне малопродајне цене у конкурентском сегменту малопродајног тржишта електричне енергије, без ПДВ-а и такси. Домаћинства и мали </w:t>
      </w:r>
      <w:r w:rsidR="005815F4">
        <w:rPr>
          <w:rFonts w:ascii="Calibri Light" w:eastAsia="Calibri" w:hAnsi="Calibri Light" w:cs="Calibri Light"/>
          <w:lang w:bidi="sr-Cyrl-CS"/>
        </w:rPr>
        <w:t>купц</w:t>
      </w:r>
      <w:r w:rsidR="005815F4" w:rsidRPr="00FF386D">
        <w:rPr>
          <w:rFonts w:ascii="Calibri Light" w:eastAsia="Calibri" w:hAnsi="Calibri Light" w:cs="Calibri Light"/>
          <w:lang w:bidi="sr-Cyrl-CS"/>
        </w:rPr>
        <w:t xml:space="preserve">и </w:t>
      </w:r>
      <w:r w:rsidR="00F1286D" w:rsidRPr="00FF386D">
        <w:rPr>
          <w:rFonts w:ascii="Calibri Light" w:eastAsia="Calibri" w:hAnsi="Calibri Light" w:cs="Calibri Light"/>
          <w:lang w:bidi="sr-Cyrl-CS"/>
        </w:rPr>
        <w:t xml:space="preserve">имају право на гарантовано снабдевање које подразумева снабдевање електричном енергијом по регулисаним ценама. Кретање цена електричне енергије за домаћинства приказано је на </w:t>
      </w:r>
      <w:bookmarkEnd w:id="312"/>
      <w:r>
        <w:rPr>
          <w:rFonts w:ascii="Calibri Light" w:eastAsia="Calibri" w:hAnsi="Calibri Light" w:cs="Calibri Light"/>
          <w:lang w:bidi="sr-Cyrl-CS"/>
        </w:rPr>
        <w:fldChar w:fldCharType="begin"/>
      </w:r>
      <w:r>
        <w:rPr>
          <w:rFonts w:ascii="Calibri Light" w:eastAsia="Calibri" w:hAnsi="Calibri Light" w:cs="Calibri Light"/>
          <w:lang w:bidi="sr-Cyrl-CS"/>
        </w:rPr>
        <w:instrText xml:space="preserve"> REF _Ref153884127 \h  \* MERGEFORMAT </w:instrText>
      </w:r>
      <w:r>
        <w:rPr>
          <w:rFonts w:ascii="Calibri Light" w:eastAsia="Calibri" w:hAnsi="Calibri Light" w:cs="Calibri Light"/>
          <w:lang w:bidi="sr-Cyrl-CS"/>
        </w:rPr>
      </w:r>
      <w:r>
        <w:rPr>
          <w:rFonts w:ascii="Calibri Light" w:eastAsia="Calibri" w:hAnsi="Calibri Light" w:cs="Calibri Light"/>
          <w:lang w:bidi="sr-Cyrl-CS"/>
        </w:rPr>
        <w:fldChar w:fldCharType="separate"/>
      </w:r>
      <w:r w:rsidRPr="00565B02">
        <w:rPr>
          <w:rFonts w:ascii="Calibri Light" w:eastAsia="Calibri" w:hAnsi="Calibri Light" w:cs="Calibri Light"/>
          <w:lang w:bidi="sr-Cyrl-CS"/>
        </w:rPr>
        <w:t>слици 4.57</w:t>
      </w:r>
      <w:r>
        <w:rPr>
          <w:rFonts w:ascii="Calibri Light" w:eastAsia="Calibri" w:hAnsi="Calibri Light" w:cs="Calibri Light"/>
          <w:lang w:bidi="sr-Cyrl-CS"/>
        </w:rPr>
        <w:fldChar w:fldCharType="end"/>
      </w:r>
      <w:r w:rsidR="002A1A23" w:rsidRPr="004F53D7">
        <w:rPr>
          <w:rFonts w:ascii="Calibri Light" w:eastAsia="Times New Roman" w:hAnsi="Calibri Light" w:cs="Calibri Light"/>
          <w:szCs w:val="20"/>
          <w:lang w:eastAsia="el-GR"/>
        </w:rPr>
        <w:fldChar w:fldCharType="begin" w:fldLock="1"/>
      </w:r>
      <w:r w:rsidR="002A1A23" w:rsidRPr="00FF386D">
        <w:rPr>
          <w:rFonts w:ascii="Calibri Light" w:eastAsia="Times New Roman" w:hAnsi="Calibri Light" w:cs="Calibri Light"/>
          <w:szCs w:val="20"/>
          <w:lang w:eastAsia="el-GR"/>
        </w:rPr>
        <w:instrText xml:space="preserve"> REF _Ref113478014 \h </w:instrText>
      </w:r>
      <w:r w:rsidR="00F1286D" w:rsidRPr="00FF386D">
        <w:rPr>
          <w:rFonts w:ascii="Calibri Light" w:eastAsia="Times New Roman" w:hAnsi="Calibri Light" w:cs="Calibri Light"/>
          <w:szCs w:val="20"/>
          <w:lang w:eastAsia="el-GR"/>
        </w:rPr>
        <w:instrText xml:space="preserve"> \* MERGEFORMAT </w:instrText>
      </w:r>
      <w:r w:rsidR="002A1A23" w:rsidRPr="004F53D7">
        <w:rPr>
          <w:rFonts w:ascii="Calibri Light" w:eastAsia="Times New Roman" w:hAnsi="Calibri Light" w:cs="Calibri Light"/>
          <w:szCs w:val="20"/>
          <w:lang w:eastAsia="el-GR"/>
        </w:rPr>
      </w:r>
      <w:r w:rsidR="002A1A23" w:rsidRPr="004F53D7">
        <w:rPr>
          <w:rFonts w:ascii="Calibri Light" w:eastAsia="Times New Roman" w:hAnsi="Calibri Light" w:cs="Calibri Light"/>
          <w:szCs w:val="20"/>
          <w:lang w:eastAsia="el-GR"/>
        </w:rPr>
        <w:fldChar w:fldCharType="separate"/>
      </w:r>
      <w:r w:rsidR="002A1A23" w:rsidRPr="004F53D7">
        <w:rPr>
          <w:rFonts w:ascii="Calibri Light" w:eastAsia="Times New Roman" w:hAnsi="Calibri Light" w:cs="Calibri Light"/>
          <w:szCs w:val="20"/>
          <w:lang w:eastAsia="el-GR"/>
        </w:rPr>
        <w:fldChar w:fldCharType="end"/>
      </w:r>
      <w:r w:rsidR="002A1A23" w:rsidRPr="00FF386D">
        <w:rPr>
          <w:rFonts w:ascii="Calibri Light" w:eastAsia="Times New Roman" w:hAnsi="Calibri Light" w:cs="Calibri Light"/>
          <w:szCs w:val="20"/>
          <w:lang w:eastAsia="el-GR"/>
        </w:rPr>
        <w:t>.</w:t>
      </w:r>
    </w:p>
    <w:p w14:paraId="4FEA0EDE" w14:textId="7939C785" w:rsidR="00FB021C" w:rsidRDefault="00FB021C" w:rsidP="00565B02">
      <w:pPr>
        <w:pStyle w:val="Caption"/>
        <w:keepNext/>
      </w:pPr>
      <w:bookmarkStart w:id="313" w:name="_Ref153884078"/>
      <w:bookmarkStart w:id="314" w:name="_Toc153901402"/>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56</w:t>
      </w:r>
      <w:r w:rsidR="00F35B2C">
        <w:fldChar w:fldCharType="end"/>
      </w:r>
      <w:bookmarkEnd w:id="313"/>
      <w:r>
        <w:t xml:space="preserve">: </w:t>
      </w:r>
      <w:r w:rsidRPr="00FB021C">
        <w:t>Просечне годишње малопродајне цене за конкурентну електричну енергију, без ПДВ-а и такси (извор: АЕРС)</w:t>
      </w:r>
      <w:bookmarkEnd w:id="314"/>
    </w:p>
    <w:p w14:paraId="4075C557" w14:textId="77777777" w:rsidR="002A1A23" w:rsidRPr="00FF386D" w:rsidRDefault="002A1A23" w:rsidP="002A1A23">
      <w:pPr>
        <w:widowControl w:val="0"/>
        <w:spacing w:after="120" w:line="240" w:lineRule="auto"/>
        <w:jc w:val="center"/>
        <w:rPr>
          <w:rFonts w:ascii="Calibri Light" w:eastAsia="Times New Roman" w:hAnsi="Calibri Light" w:cs="Calibri Light"/>
          <w:szCs w:val="20"/>
          <w:lang w:eastAsia="el-GR"/>
        </w:rPr>
      </w:pPr>
      <w:r w:rsidRPr="004F53D7">
        <w:rPr>
          <w:rFonts w:ascii="Calibri Light" w:eastAsia="Times New Roman" w:hAnsi="Calibri Light" w:cs="Calibri Light"/>
          <w:noProof/>
          <w:szCs w:val="20"/>
          <w:lang w:val="en-US"/>
        </w:rPr>
        <w:drawing>
          <wp:inline distT="0" distB="0" distL="0" distR="0" wp14:anchorId="3650626B" wp14:editId="44DC7452">
            <wp:extent cx="5487035" cy="2682240"/>
            <wp:effectExtent l="0" t="0" r="0" b="0"/>
            <wp:docPr id="1909581971" name="Picture 190958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87035" cy="2682240"/>
                    </a:xfrm>
                    <a:prstGeom prst="rect">
                      <a:avLst/>
                    </a:prstGeom>
                    <a:noFill/>
                  </pic:spPr>
                </pic:pic>
              </a:graphicData>
            </a:graphic>
          </wp:inline>
        </w:drawing>
      </w:r>
    </w:p>
    <w:p w14:paraId="0E5B891F" w14:textId="3E2A53B8" w:rsidR="00FB021C" w:rsidRDefault="00FB021C" w:rsidP="00565B02">
      <w:pPr>
        <w:pStyle w:val="Caption"/>
        <w:keepNext/>
      </w:pPr>
      <w:bookmarkStart w:id="315" w:name="_Ref153884127"/>
      <w:bookmarkStart w:id="316" w:name="_Toc153901403"/>
      <w:r>
        <w:lastRenderedPageBreak/>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57</w:t>
      </w:r>
      <w:r w:rsidR="00F35B2C">
        <w:fldChar w:fldCharType="end"/>
      </w:r>
      <w:bookmarkEnd w:id="315"/>
      <w:r>
        <w:t xml:space="preserve">: </w:t>
      </w:r>
      <w:r w:rsidRPr="00FB021C">
        <w:t>Просечне годишње малопродајне цене на регулисаном тржишту, без ПДВ-а и такси (извор: АЕРС)</w:t>
      </w:r>
      <w:bookmarkEnd w:id="316"/>
    </w:p>
    <w:p w14:paraId="5370DE7C" w14:textId="77777777" w:rsidR="002A1A23" w:rsidRPr="00FF386D" w:rsidRDefault="002A1A23" w:rsidP="002A1A23">
      <w:pPr>
        <w:jc w:val="center"/>
        <w:rPr>
          <w:rFonts w:ascii="Calibri" w:eastAsia="Calibri" w:hAnsi="Calibri" w:cs="Times New Roman"/>
        </w:rPr>
      </w:pPr>
      <w:r w:rsidRPr="004F53D7">
        <w:rPr>
          <w:rFonts w:ascii="Calibri" w:eastAsia="Calibri" w:hAnsi="Calibri" w:cs="Times New Roman"/>
          <w:noProof/>
          <w:lang w:val="en-US"/>
        </w:rPr>
        <w:drawing>
          <wp:inline distT="0" distB="0" distL="0" distR="0" wp14:anchorId="58673DBD" wp14:editId="0BB84E3C">
            <wp:extent cx="5400000" cy="2880000"/>
            <wp:effectExtent l="0" t="0" r="10795" b="15875"/>
            <wp:docPr id="994436831" name="Chart 994436831">
              <a:extLst xmlns:a="http://schemas.openxmlformats.org/drawingml/2006/main">
                <a:ext uri="{FF2B5EF4-FFF2-40B4-BE49-F238E27FC236}">
                  <a16:creationId xmlns:a16="http://schemas.microsoft.com/office/drawing/2014/main" id="{07430604-4E61-4008-BFE9-346F6BAC4B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6D7CFBEE" w14:textId="77777777" w:rsidR="00EE059E" w:rsidRPr="00FF386D" w:rsidRDefault="00EE059E" w:rsidP="00EE059E">
      <w:pPr>
        <w:widowControl w:val="0"/>
        <w:spacing w:after="120" w:line="240" w:lineRule="auto"/>
        <w:jc w:val="both"/>
        <w:rPr>
          <w:rFonts w:ascii="Calibri Light" w:eastAsia="Times New Roman" w:hAnsi="Calibri Light" w:cs="Calibri Light"/>
          <w:szCs w:val="20"/>
          <w:lang w:eastAsia="el-GR"/>
        </w:rPr>
      </w:pPr>
      <w:bookmarkStart w:id="317" w:name="_Hlk135816914"/>
      <w:r w:rsidRPr="00FF386D">
        <w:rPr>
          <w:rFonts w:ascii="Calibri Light" w:eastAsia="Times New Roman" w:hAnsi="Calibri Light" w:cs="Calibri Light"/>
          <w:szCs w:val="20"/>
          <w:lang w:eastAsia="el-GR" w:bidi="sr-Cyrl-CS"/>
        </w:rPr>
        <w:t>На велепродајном тржишту природног гаса постоје три лиценцирана снабдевача природног гаса и један произвођач који су били активни у 2020. години, док се трговина одвија путем билатералних уговора. До успостављања конкурентног тржишта природног гаса, Влада Републике Србије именује снабдевача за јавне снабдеваче. На отвореном тржишту било је 26 активних снабдевача који су се бавили малопродајом у 2020. години, док је 31 јавни снабдевач био и дистрибутер природног гаса. У наставку су приказани историјски подаци о цени јавног снабдевања природним гасим и просечној пондерисаној малопродајној цени на регулисаном тржишту.</w:t>
      </w:r>
      <w:bookmarkEnd w:id="317"/>
    </w:p>
    <w:p w14:paraId="5DD2F659" w14:textId="14669C51" w:rsidR="00672357" w:rsidRDefault="00672357" w:rsidP="00565B02">
      <w:pPr>
        <w:pStyle w:val="Caption"/>
        <w:keepNext/>
      </w:pPr>
      <w:bookmarkStart w:id="318" w:name="_Toc153901404"/>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58</w:t>
      </w:r>
      <w:r w:rsidR="00F35B2C">
        <w:fldChar w:fldCharType="end"/>
      </w:r>
      <w:r>
        <w:t xml:space="preserve">: </w:t>
      </w:r>
      <w:r w:rsidRPr="00672357">
        <w:t>Просечна одобрена цена за јавно снабдевање природним гасом у РСД/m3 (извор: АЕРС)</w:t>
      </w:r>
      <w:bookmarkEnd w:id="318"/>
    </w:p>
    <w:p w14:paraId="51918FD9" w14:textId="77777777" w:rsidR="002A1A23" w:rsidRPr="00FF386D" w:rsidRDefault="002A1A23" w:rsidP="002A1A23">
      <w:pPr>
        <w:jc w:val="center"/>
        <w:rPr>
          <w:rFonts w:ascii="Calibri" w:eastAsia="Calibri" w:hAnsi="Calibri" w:cs="Times New Roman"/>
        </w:rPr>
      </w:pPr>
      <w:r w:rsidRPr="004F53D7">
        <w:rPr>
          <w:rFonts w:ascii="Calibri" w:eastAsia="Calibri" w:hAnsi="Calibri" w:cs="Times New Roman"/>
          <w:noProof/>
          <w:lang w:val="en-US"/>
        </w:rPr>
        <w:drawing>
          <wp:inline distT="0" distB="0" distL="0" distR="0" wp14:anchorId="389E0DB8" wp14:editId="22810EFB">
            <wp:extent cx="5489747" cy="2813050"/>
            <wp:effectExtent l="0" t="0" r="0" b="0"/>
            <wp:docPr id="241716322" name="Picture 241716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92805" cy="2814617"/>
                    </a:xfrm>
                    <a:prstGeom prst="rect">
                      <a:avLst/>
                    </a:prstGeom>
                    <a:noFill/>
                  </pic:spPr>
                </pic:pic>
              </a:graphicData>
            </a:graphic>
          </wp:inline>
        </w:drawing>
      </w:r>
    </w:p>
    <w:p w14:paraId="6F03B83C" w14:textId="25C35EA2" w:rsidR="00672357" w:rsidRDefault="00672357" w:rsidP="00565B02">
      <w:pPr>
        <w:pStyle w:val="Caption"/>
        <w:keepNext/>
      </w:pPr>
      <w:bookmarkStart w:id="319" w:name="_Toc153901405"/>
      <w:r>
        <w:lastRenderedPageBreak/>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59</w:t>
      </w:r>
      <w:r w:rsidR="00F35B2C">
        <w:fldChar w:fldCharType="end"/>
      </w:r>
      <w:r>
        <w:t xml:space="preserve">: </w:t>
      </w:r>
      <w:r w:rsidRPr="00672357">
        <w:t>Просечна пондерисана малопродајна цена на регулисаном тржишту у РСД/m3 (извор: АЕРС)</w:t>
      </w:r>
      <w:bookmarkEnd w:id="319"/>
    </w:p>
    <w:p w14:paraId="4E058721" w14:textId="1977741B" w:rsidR="002A1A23" w:rsidRPr="00FF386D" w:rsidRDefault="0091543A" w:rsidP="002A1A23">
      <w:pPr>
        <w:jc w:val="center"/>
        <w:rPr>
          <w:rFonts w:ascii="Calibri" w:eastAsia="Calibri" w:hAnsi="Calibri" w:cs="Times New Roman"/>
        </w:rPr>
      </w:pPr>
      <w:r w:rsidRPr="004F53D7">
        <w:rPr>
          <w:rFonts w:ascii="Calibri" w:eastAsia="Calibri" w:hAnsi="Calibri" w:cs="Times New Roman"/>
          <w:noProof/>
          <w:lang w:val="en-US"/>
        </w:rPr>
        <w:drawing>
          <wp:inline distT="0" distB="0" distL="0" distR="0" wp14:anchorId="0BC1952D" wp14:editId="3D0239FD">
            <wp:extent cx="5414010" cy="2463165"/>
            <wp:effectExtent l="0" t="0" r="0" b="0"/>
            <wp:docPr id="1105577456" name="Picture 1105577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14010" cy="2463165"/>
                    </a:xfrm>
                    <a:prstGeom prst="rect">
                      <a:avLst/>
                    </a:prstGeom>
                    <a:noFill/>
                  </pic:spPr>
                </pic:pic>
              </a:graphicData>
            </a:graphic>
          </wp:inline>
        </w:drawing>
      </w:r>
    </w:p>
    <w:p w14:paraId="451DE8CF" w14:textId="01DEE48D" w:rsidR="002A1A23" w:rsidRPr="00FF386D" w:rsidRDefault="002A1A23">
      <w:pPr>
        <w:keepNext/>
        <w:keepLines/>
        <w:numPr>
          <w:ilvl w:val="0"/>
          <w:numId w:val="256"/>
        </w:numPr>
        <w:spacing w:before="200" w:after="0" w:line="240" w:lineRule="auto"/>
        <w:outlineLvl w:val="3"/>
        <w:rPr>
          <w:rFonts w:ascii="Calibri Light" w:eastAsia="Times New Roman" w:hAnsi="Calibri Light" w:cs="Times New Roman"/>
          <w:b/>
          <w:bCs/>
          <w:iCs/>
          <w:color w:val="01406B"/>
          <w:szCs w:val="24"/>
        </w:rPr>
      </w:pPr>
      <w:r w:rsidRPr="00FF386D">
        <w:rPr>
          <w:rFonts w:ascii="Calibri Light" w:eastAsia="Times New Roman" w:hAnsi="Calibri Light" w:cs="Times New Roman"/>
          <w:b/>
          <w:bCs/>
          <w:iCs/>
          <w:color w:val="01406B"/>
          <w:szCs w:val="24"/>
          <w:lang w:bidi="sr-Cyrl-CS"/>
        </w:rPr>
        <w:t>Пројекције развоја са постојећим политикама и мерама до бар 2040. године (укључујући и оне за 2030. годину)</w:t>
      </w:r>
    </w:p>
    <w:p w14:paraId="6FBF0E96" w14:textId="32E6A93B" w:rsidR="00EE059E" w:rsidRPr="00FF386D" w:rsidRDefault="00EE059E" w:rsidP="00565B02">
      <w:pPr>
        <w:pStyle w:val="LDKbody"/>
        <w:spacing w:line="276" w:lineRule="auto"/>
        <w:rPr>
          <w:rFonts w:asciiTheme="majorHAnsi" w:hAnsiTheme="majorHAnsi" w:cstheme="majorHAnsi"/>
          <w:lang w:val="sr-Cyrl-RS"/>
        </w:rPr>
      </w:pPr>
      <w:bookmarkStart w:id="320" w:name="_Hlk135817043"/>
      <w:r w:rsidRPr="00FF386D">
        <w:rPr>
          <w:rFonts w:asciiTheme="majorHAnsi" w:hAnsiTheme="majorHAnsi" w:cstheme="majorHAnsi"/>
          <w:lang w:val="sr-Cyrl-RS" w:bidi="sr-Cyrl-CS"/>
        </w:rPr>
        <w:t xml:space="preserve">Главни циљ развоја </w:t>
      </w:r>
      <w:r w:rsidRPr="00FF386D">
        <w:rPr>
          <w:rFonts w:asciiTheme="majorHAnsi" w:hAnsiTheme="majorHAnsi" w:cstheme="majorHAnsi"/>
          <w:i/>
          <w:lang w:val="sr-Cyrl-RS" w:bidi="sr-Cyrl-CS"/>
        </w:rPr>
        <w:t>SEEPEX-</w:t>
      </w:r>
      <w:r w:rsidRPr="00FF386D">
        <w:rPr>
          <w:rFonts w:asciiTheme="majorHAnsi" w:hAnsiTheme="majorHAnsi" w:cstheme="majorHAnsi"/>
          <w:lang w:val="sr-Cyrl-RS" w:bidi="sr-Cyrl-CS"/>
        </w:rPr>
        <w:t xml:space="preserve">а наредних година тиче се спајања тржишта дан-унапред и унутар-дневног </w:t>
      </w:r>
      <w:r w:rsidR="00C41305" w:rsidRPr="00FF386D">
        <w:rPr>
          <w:rFonts w:asciiTheme="majorHAnsi" w:hAnsiTheme="majorHAnsi" w:cstheme="majorHAnsi"/>
          <w:lang w:val="sr-Cyrl-RS" w:bidi="sr-Cyrl-CS"/>
        </w:rPr>
        <w:t xml:space="preserve">тржишта </w:t>
      </w:r>
      <w:r w:rsidRPr="00FF386D">
        <w:rPr>
          <w:rFonts w:asciiTheme="majorHAnsi" w:hAnsiTheme="majorHAnsi" w:cstheme="majorHAnsi"/>
          <w:lang w:val="sr-Cyrl-RS" w:bidi="sr-Cyrl-CS"/>
        </w:rPr>
        <w:t>са организованим тржиштима у суседним земљама. Према најављеним плановима до 2025. године требало би да буду завршени следећи пројекти:</w:t>
      </w:r>
    </w:p>
    <w:p w14:paraId="0F9F8828" w14:textId="77777777" w:rsidR="00EE059E" w:rsidRPr="00FF386D" w:rsidRDefault="00EE059E">
      <w:pPr>
        <w:pStyle w:val="LDKBullets-main"/>
        <w:numPr>
          <w:ilvl w:val="0"/>
          <w:numId w:val="252"/>
        </w:numPr>
        <w:tabs>
          <w:tab w:val="clear" w:pos="360"/>
          <w:tab w:val="left" w:pos="708"/>
        </w:tabs>
        <w:spacing w:after="160"/>
        <w:ind w:left="0" w:firstLine="0"/>
      </w:pPr>
      <w:r w:rsidRPr="00FF386D">
        <w:rPr>
          <w:lang w:bidi="sr-Cyrl-CS"/>
        </w:rPr>
        <w:t>Спајање тржишта дан-унапред између Србије и тржишта Мађарске и Румуније;</w:t>
      </w:r>
    </w:p>
    <w:p w14:paraId="76371D27" w14:textId="77777777" w:rsidR="00EE059E" w:rsidRPr="00FF386D" w:rsidRDefault="00EE059E">
      <w:pPr>
        <w:pStyle w:val="LDKBullets-main"/>
        <w:numPr>
          <w:ilvl w:val="0"/>
          <w:numId w:val="252"/>
        </w:numPr>
        <w:tabs>
          <w:tab w:val="clear" w:pos="360"/>
          <w:tab w:val="left" w:pos="708"/>
        </w:tabs>
        <w:spacing w:after="160"/>
        <w:ind w:left="0" w:firstLine="0"/>
      </w:pPr>
      <w:r w:rsidRPr="00FF386D">
        <w:rPr>
          <w:lang w:bidi="sr-Cyrl-CS"/>
        </w:rPr>
        <w:t>Спајање тржишта дан-унапред између Србије и тржишта Хрватске и Бугарске;</w:t>
      </w:r>
    </w:p>
    <w:p w14:paraId="3B664AF8" w14:textId="524FE21D" w:rsidR="00EE059E" w:rsidRPr="00FF386D" w:rsidRDefault="00EE059E">
      <w:pPr>
        <w:pStyle w:val="LDKBullets-main"/>
        <w:numPr>
          <w:ilvl w:val="0"/>
          <w:numId w:val="252"/>
        </w:numPr>
        <w:tabs>
          <w:tab w:val="clear" w:pos="360"/>
          <w:tab w:val="left" w:pos="708"/>
        </w:tabs>
        <w:ind w:left="0" w:firstLine="0"/>
      </w:pPr>
      <w:r w:rsidRPr="00FF386D">
        <w:rPr>
          <w:lang w:bidi="sr-Cyrl-CS"/>
        </w:rPr>
        <w:t xml:space="preserve">Спајање тржишта дан-унапред између Србије и тржишта </w:t>
      </w:r>
      <w:r w:rsidR="00C41305" w:rsidRPr="00FF386D">
        <w:rPr>
          <w:lang w:bidi="sr-Cyrl-CS"/>
        </w:rPr>
        <w:t xml:space="preserve">Црне Горе </w:t>
      </w:r>
      <w:r w:rsidRPr="00FF386D">
        <w:rPr>
          <w:lang w:bidi="sr-Cyrl-CS"/>
        </w:rPr>
        <w:t>(имплицитно, и са италијанским тржиштем).</w:t>
      </w:r>
    </w:p>
    <w:p w14:paraId="6BEBFD0F" w14:textId="24C18681" w:rsidR="00EE059E" w:rsidRPr="00FF386D" w:rsidRDefault="00EE059E" w:rsidP="00565B02">
      <w:pPr>
        <w:pStyle w:val="LDKBullets-main"/>
        <w:numPr>
          <w:ilvl w:val="0"/>
          <w:numId w:val="0"/>
        </w:numPr>
        <w:tabs>
          <w:tab w:val="left" w:pos="708"/>
        </w:tabs>
        <w:spacing w:before="160" w:after="160"/>
      </w:pPr>
      <w:bookmarkStart w:id="321" w:name="_Hlk135817058"/>
      <w:bookmarkEnd w:id="320"/>
      <w:r w:rsidRPr="00FF386D">
        <w:rPr>
          <w:lang w:bidi="sr-Cyrl-CS"/>
        </w:rPr>
        <w:t xml:space="preserve">Процена развоја просечне цене снабдевања електричном енергијом за </w:t>
      </w:r>
      <w:r w:rsidR="007B1676">
        <w:rPr>
          <w:lang w:bidi="sr-Cyrl-CS"/>
        </w:rPr>
        <w:t xml:space="preserve">Сценарио </w:t>
      </w:r>
      <w:r w:rsidR="00DA7AC7">
        <w:rPr>
          <w:lang w:bidi="sr-Cyrl-CS"/>
        </w:rPr>
        <w:t>са</w:t>
      </w:r>
      <w:r w:rsidRPr="00FF386D">
        <w:rPr>
          <w:lang w:bidi="sr-Cyrl-CS"/>
        </w:rPr>
        <w:t xml:space="preserve"> постојећим мерама на основу очекиваног развоја приказана је на</w:t>
      </w:r>
      <w:bookmarkEnd w:id="321"/>
      <w:r w:rsidR="00E06443">
        <w:rPr>
          <w:lang w:bidi="sr-Cyrl-CS"/>
        </w:rPr>
        <w:t xml:space="preserve"> </w:t>
      </w:r>
      <w:r w:rsidR="00E06443">
        <w:rPr>
          <w:lang w:bidi="sr-Cyrl-CS"/>
        </w:rPr>
        <w:fldChar w:fldCharType="begin"/>
      </w:r>
      <w:r w:rsidR="00E06443">
        <w:rPr>
          <w:lang w:bidi="sr-Cyrl-CS"/>
        </w:rPr>
        <w:instrText xml:space="preserve"> REF _Ref153884326 \h </w:instrText>
      </w:r>
      <w:r w:rsidR="00E06443">
        <w:rPr>
          <w:lang w:bidi="sr-Cyrl-CS"/>
        </w:rPr>
      </w:r>
      <w:r w:rsidR="00E06443">
        <w:rPr>
          <w:lang w:bidi="sr-Cyrl-CS"/>
        </w:rPr>
        <w:fldChar w:fldCharType="separate"/>
      </w:r>
      <w:r w:rsidR="00E06443">
        <w:t xml:space="preserve">слици </w:t>
      </w:r>
      <w:r w:rsidR="00E06443">
        <w:rPr>
          <w:noProof/>
        </w:rPr>
        <w:t>4</w:t>
      </w:r>
      <w:r w:rsidR="00E06443">
        <w:t>.</w:t>
      </w:r>
      <w:r w:rsidR="00E06443">
        <w:rPr>
          <w:noProof/>
        </w:rPr>
        <w:t>60</w:t>
      </w:r>
      <w:r w:rsidR="00E06443">
        <w:rPr>
          <w:lang w:bidi="sr-Cyrl-CS"/>
        </w:rPr>
        <w:fldChar w:fldCharType="end"/>
      </w:r>
      <w:r w:rsidR="002A1A23" w:rsidRPr="00FF386D">
        <w:t xml:space="preserve">. </w:t>
      </w:r>
      <w:bookmarkStart w:id="322" w:name="_Hlk135817065"/>
      <w:r w:rsidRPr="00FF386D">
        <w:rPr>
          <w:lang w:bidi="sr-Cyrl-CS"/>
        </w:rPr>
        <w:t>Процена ових трошкова подразумевала је анализу предвидивих улагања у вези са изградњом нових електрана, као и пројекције и претпоставке о трошковима горива и другим оперативним трошковима свих електрана. Процена трошкова не подразумева трошкове ануитете за постројења која већ раде и не укључује таксе на CO</w:t>
      </w:r>
      <w:r w:rsidRPr="00FF386D">
        <w:rPr>
          <w:vertAlign w:val="subscript"/>
          <w:lang w:bidi="sr-Cyrl-CS"/>
        </w:rPr>
        <w:t>2</w:t>
      </w:r>
      <w:r w:rsidRPr="00FF386D">
        <w:rPr>
          <w:lang w:bidi="sr-Cyrl-CS"/>
        </w:rPr>
        <w:t xml:space="preserve"> јер ово није узето у разматрање у </w:t>
      </w:r>
      <w:r w:rsidRPr="00FF386D">
        <w:rPr>
          <w:i/>
          <w:lang w:bidi="sr-Cyrl-CS"/>
        </w:rPr>
        <w:t>WEM</w:t>
      </w:r>
      <w:r w:rsidRPr="00FF386D">
        <w:rPr>
          <w:lang w:bidi="sr-Cyrl-CS"/>
        </w:rPr>
        <w:t xml:space="preserve"> анализи.</w:t>
      </w:r>
      <w:bookmarkEnd w:id="322"/>
    </w:p>
    <w:p w14:paraId="76D66C82" w14:textId="65078EE8" w:rsidR="00E06443" w:rsidRDefault="00E06443" w:rsidP="00565B02">
      <w:pPr>
        <w:pStyle w:val="Caption"/>
        <w:keepNext/>
      </w:pPr>
      <w:bookmarkStart w:id="323" w:name="_Ref153884326"/>
      <w:bookmarkStart w:id="324" w:name="_Toc153901406"/>
      <w:r>
        <w:lastRenderedPageBreak/>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60</w:t>
      </w:r>
      <w:r w:rsidR="00F35B2C">
        <w:fldChar w:fldCharType="end"/>
      </w:r>
      <w:bookmarkEnd w:id="323"/>
      <w:r>
        <w:t xml:space="preserve">: </w:t>
      </w:r>
      <w:r w:rsidRPr="00E06443">
        <w:t>Процењена просечна цена снабдевања електричном енергијом у сценарију са постојећим мерама (WEM)</w:t>
      </w:r>
      <w:bookmarkEnd w:id="324"/>
    </w:p>
    <w:p w14:paraId="41347400" w14:textId="373960A4" w:rsidR="0091543A" w:rsidRPr="00FF386D" w:rsidRDefault="0091543A" w:rsidP="002A1A23">
      <w:pPr>
        <w:jc w:val="center"/>
        <w:rPr>
          <w:rFonts w:ascii="Calibri" w:eastAsia="Calibri" w:hAnsi="Calibri" w:cs="Times New Roman"/>
          <w:lang w:eastAsia="el-GR"/>
        </w:rPr>
      </w:pPr>
      <w:r w:rsidRPr="004F53D7">
        <w:rPr>
          <w:rFonts w:ascii="Calibri" w:eastAsia="Calibri" w:hAnsi="Calibri" w:cs="Times New Roman"/>
          <w:noProof/>
          <w:lang w:val="en-US"/>
        </w:rPr>
        <w:drawing>
          <wp:inline distT="0" distB="0" distL="0" distR="0" wp14:anchorId="4C712ED7" wp14:editId="0E1F0461">
            <wp:extent cx="4984390" cy="2467474"/>
            <wp:effectExtent l="0" t="0" r="6985" b="9525"/>
            <wp:docPr id="366453575" name="Picture 366453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99406" cy="2474908"/>
                    </a:xfrm>
                    <a:prstGeom prst="rect">
                      <a:avLst/>
                    </a:prstGeom>
                    <a:noFill/>
                  </pic:spPr>
                </pic:pic>
              </a:graphicData>
            </a:graphic>
          </wp:inline>
        </w:drawing>
      </w:r>
    </w:p>
    <w:p w14:paraId="18AA8337" w14:textId="77777777" w:rsidR="00A324D4" w:rsidRPr="00FF386D" w:rsidRDefault="00A324D4" w:rsidP="00A324D4">
      <w:pPr>
        <w:widowControl w:val="0"/>
        <w:spacing w:after="120" w:line="240" w:lineRule="auto"/>
        <w:jc w:val="both"/>
        <w:rPr>
          <w:rFonts w:ascii="Calibri Light" w:eastAsia="Times New Roman" w:hAnsi="Calibri Light" w:cs="Calibri Light"/>
          <w:szCs w:val="20"/>
          <w:lang w:eastAsia="el-GR"/>
        </w:rPr>
      </w:pPr>
      <w:bookmarkStart w:id="325" w:name="_Hlk135817088"/>
      <w:r w:rsidRPr="00FF386D">
        <w:rPr>
          <w:rFonts w:ascii="Calibri Light" w:eastAsia="Times New Roman" w:hAnsi="Calibri Light" w:cs="Calibri Light"/>
          <w:szCs w:val="20"/>
          <w:lang w:eastAsia="el-GR" w:bidi="sr-Cyrl-CS"/>
        </w:rPr>
        <w:t>Очекује се да сектор природног гаса у Србији прође кроз реформу велепродајног тржишта у циљу подстицања конкуренције, успостављања берзе природног гаса и раздвајања снабдевања од дистрибутивних активности.</w:t>
      </w:r>
    </w:p>
    <w:p w14:paraId="4F53AD4E" w14:textId="320A7451" w:rsidR="00F87AC2" w:rsidRPr="00FF386D" w:rsidRDefault="00A324D4" w:rsidP="00F87AC2">
      <w:pPr>
        <w:widowControl w:val="0"/>
        <w:jc w:val="both"/>
        <w:rPr>
          <w:rFonts w:ascii="Calibri Light" w:hAnsi="Calibri Light" w:cs="Calibri Light"/>
          <w:szCs w:val="20"/>
          <w:lang w:bidi="sr-Cyrl-CS"/>
        </w:rPr>
      </w:pPr>
      <w:r w:rsidRPr="00FF386D">
        <w:rPr>
          <w:rFonts w:ascii="Calibri Light" w:eastAsia="Times New Roman" w:hAnsi="Calibri Light" w:cs="Calibri Light"/>
          <w:szCs w:val="20"/>
          <w:lang w:eastAsia="el-GR" w:bidi="sr-Cyrl-CS"/>
        </w:rPr>
        <w:t xml:space="preserve">У погледу пројекција развоја цена природног гаса, просечне годишње увозне цене приказане су на </w:t>
      </w:r>
      <w:r w:rsidR="00E06443">
        <w:rPr>
          <w:rFonts w:ascii="Calibri Light" w:eastAsia="Times New Roman" w:hAnsi="Calibri Light" w:cs="Calibri Light"/>
          <w:szCs w:val="20"/>
          <w:lang w:eastAsia="el-GR" w:bidi="sr-Cyrl-CS"/>
        </w:rPr>
        <w:fldChar w:fldCharType="begin"/>
      </w:r>
      <w:r w:rsidR="00E06443">
        <w:rPr>
          <w:rFonts w:ascii="Calibri Light" w:eastAsia="Times New Roman" w:hAnsi="Calibri Light" w:cs="Calibri Light"/>
          <w:szCs w:val="20"/>
          <w:lang w:eastAsia="el-GR" w:bidi="sr-Cyrl-CS"/>
        </w:rPr>
        <w:instrText xml:space="preserve"> REF _Ref153884404 \h  \* MERGEFORMAT </w:instrText>
      </w:r>
      <w:r w:rsidR="00E06443">
        <w:rPr>
          <w:rFonts w:ascii="Calibri Light" w:eastAsia="Times New Roman" w:hAnsi="Calibri Light" w:cs="Calibri Light"/>
          <w:szCs w:val="20"/>
          <w:lang w:eastAsia="el-GR" w:bidi="sr-Cyrl-CS"/>
        </w:rPr>
      </w:r>
      <w:r w:rsidR="00E06443">
        <w:rPr>
          <w:rFonts w:ascii="Calibri Light" w:eastAsia="Times New Roman" w:hAnsi="Calibri Light" w:cs="Calibri Light"/>
          <w:szCs w:val="20"/>
          <w:lang w:eastAsia="el-GR" w:bidi="sr-Cyrl-CS"/>
        </w:rPr>
        <w:fldChar w:fldCharType="separate"/>
      </w:r>
      <w:r w:rsidR="00E06443" w:rsidRPr="00565B02">
        <w:rPr>
          <w:rFonts w:ascii="Calibri Light" w:eastAsia="Times New Roman" w:hAnsi="Calibri Light" w:cs="Calibri Light"/>
          <w:szCs w:val="20"/>
          <w:lang w:eastAsia="el-GR" w:bidi="sr-Cyrl-CS"/>
        </w:rPr>
        <w:t>слици 4.61</w:t>
      </w:r>
      <w:r w:rsidR="00E06443">
        <w:rPr>
          <w:rFonts w:ascii="Calibri Light" w:eastAsia="Times New Roman" w:hAnsi="Calibri Light" w:cs="Calibri Light"/>
          <w:szCs w:val="20"/>
          <w:lang w:eastAsia="el-GR" w:bidi="sr-Cyrl-CS"/>
        </w:rPr>
        <w:fldChar w:fldCharType="end"/>
      </w:r>
      <w:r w:rsidRPr="00FF386D">
        <w:rPr>
          <w:rFonts w:ascii="Calibri Light" w:eastAsia="Times New Roman" w:hAnsi="Calibri Light" w:cs="Calibri Light"/>
          <w:szCs w:val="20"/>
          <w:lang w:eastAsia="el-GR" w:bidi="sr-Cyrl-CS"/>
        </w:rPr>
        <w:t xml:space="preserve">. </w:t>
      </w:r>
      <w:bookmarkEnd w:id="325"/>
      <w:r w:rsidR="00F87AC2" w:rsidRPr="00FF386D">
        <w:rPr>
          <w:rFonts w:ascii="Calibri Light" w:eastAsia="Times New Roman" w:hAnsi="Calibri Light" w:cs="Calibri Light"/>
          <w:szCs w:val="20"/>
          <w:lang w:eastAsia="el-GR" w:bidi="sr-Cyrl-CS"/>
        </w:rPr>
        <w:t xml:space="preserve">Пројекције међународних цена гаса </w:t>
      </w:r>
      <w:r w:rsidR="00F87AC2" w:rsidRPr="00FF386D">
        <w:rPr>
          <w:rFonts w:ascii="Calibri Light" w:hAnsi="Calibri Light" w:cs="Calibri Light"/>
          <w:szCs w:val="20"/>
          <w:lang w:bidi="sr-Cyrl-CS"/>
        </w:rPr>
        <w:t xml:space="preserve">су у складу са </w:t>
      </w:r>
      <w:r w:rsidR="00181C5C" w:rsidRPr="00FF386D">
        <w:rPr>
          <w:rFonts w:ascii="Calibri Light" w:hAnsi="Calibri Light" w:cs="Calibri Light"/>
          <w:szCs w:val="20"/>
          <w:lang w:bidi="sr-Cyrl-CS"/>
        </w:rPr>
        <w:t xml:space="preserve">студијом </w:t>
      </w:r>
      <w:r w:rsidR="00F87AC2" w:rsidRPr="00FF386D">
        <w:rPr>
          <w:rFonts w:ascii="Calibri Light" w:hAnsi="Calibri Light" w:cs="Calibri Light"/>
          <w:szCs w:val="20"/>
          <w:lang w:bidi="sr-Cyrl-CS"/>
        </w:rPr>
        <w:t>„</w:t>
      </w:r>
      <w:r w:rsidR="00F87AC2" w:rsidRPr="00FF386D">
        <w:rPr>
          <w:rFonts w:ascii="Calibri Light" w:eastAsia="Times New Roman" w:hAnsi="Calibri Light" w:cs="Calibri Light"/>
          <w:szCs w:val="20"/>
          <w:lang w:bidi="sr-Cyrl-CS"/>
        </w:rPr>
        <w:t xml:space="preserve">Препоручени параметри за извештавање о пројекцијама </w:t>
      </w:r>
      <w:r w:rsidR="00F87AC2" w:rsidRPr="00FF386D">
        <w:rPr>
          <w:rFonts w:ascii="Calibri Light" w:eastAsia="Times New Roman" w:hAnsi="Calibri Light" w:cs="Calibri Light"/>
          <w:i/>
          <w:iCs/>
          <w:szCs w:val="20"/>
          <w:lang w:bidi="sr-Cyrl-CS"/>
        </w:rPr>
        <w:t>GHG</w:t>
      </w:r>
      <w:r w:rsidR="00F87AC2" w:rsidRPr="00FF386D">
        <w:rPr>
          <w:rFonts w:ascii="Calibri Light" w:eastAsia="Times New Roman" w:hAnsi="Calibri Light" w:cs="Calibri Light"/>
          <w:szCs w:val="20"/>
          <w:lang w:bidi="sr-Cyrl-CS"/>
        </w:rPr>
        <w:t xml:space="preserve"> у 2023. години”, EК ГД Климатска акција (Recommended parameters for reporting on GHG projections in 2023,</w:t>
      </w:r>
      <w:r w:rsidR="00E4051C">
        <w:rPr>
          <w:rFonts w:ascii="Calibri Light" w:eastAsia="Times New Roman" w:hAnsi="Calibri Light" w:cs="Calibri Light"/>
          <w:szCs w:val="20"/>
          <w:lang w:bidi="sr-Cyrl-CS"/>
        </w:rPr>
        <w:t xml:space="preserve"> </w:t>
      </w:r>
      <w:r w:rsidR="00F87AC2" w:rsidRPr="00FF386D">
        <w:rPr>
          <w:rFonts w:ascii="Calibri Light" w:eastAsia="Times New Roman" w:hAnsi="Calibri Light" w:cs="Calibri Light"/>
          <w:szCs w:val="20"/>
          <w:lang w:bidi="sr-Cyrl-CS"/>
        </w:rPr>
        <w:t>DG Climate Action)</w:t>
      </w:r>
      <w:r w:rsidR="00F87AC2" w:rsidRPr="00FF386D">
        <w:rPr>
          <w:rFonts w:ascii="Calibri Light" w:hAnsi="Calibri Light" w:cs="Calibri Light"/>
          <w:szCs w:val="20"/>
          <w:lang w:bidi="sr-Cyrl-CS"/>
        </w:rPr>
        <w:t xml:space="preserve"> коју је обезбедила </w:t>
      </w:r>
      <w:r w:rsidR="00E4051C" w:rsidRPr="00FF386D">
        <w:rPr>
          <w:rFonts w:ascii="Calibri Light" w:hAnsi="Calibri Light" w:cs="Calibri Light"/>
          <w:szCs w:val="20"/>
          <w:lang w:bidi="sr-Cyrl-CS"/>
        </w:rPr>
        <w:t>Е</w:t>
      </w:r>
      <w:r w:rsidR="00E4051C">
        <w:rPr>
          <w:rFonts w:ascii="Calibri Light" w:hAnsi="Calibri Light" w:cs="Calibri Light"/>
          <w:szCs w:val="20"/>
          <w:lang w:bidi="sr-Cyrl-CS"/>
        </w:rPr>
        <w:t>К</w:t>
      </w:r>
      <w:r w:rsidR="00E4051C" w:rsidRPr="00FF386D">
        <w:rPr>
          <w:rFonts w:ascii="Calibri Light" w:hAnsi="Calibri Light" w:cs="Calibri Light"/>
          <w:szCs w:val="20"/>
          <w:lang w:bidi="sr-Cyrl-CS"/>
        </w:rPr>
        <w:t xml:space="preserve"> </w:t>
      </w:r>
      <w:r w:rsidR="00F87AC2" w:rsidRPr="00FF386D">
        <w:rPr>
          <w:rFonts w:ascii="Calibri Light" w:hAnsi="Calibri Light" w:cs="Calibri Light"/>
          <w:szCs w:val="20"/>
          <w:lang w:bidi="sr-Cyrl-CS"/>
        </w:rPr>
        <w:t xml:space="preserve">с циљем да подржи државе чланице и друга тела у ЕУ (нпр. Секретаријат Енергетске заједнице) приликом ревизије њихових </w:t>
      </w:r>
      <w:r w:rsidR="00E4051C">
        <w:rPr>
          <w:rFonts w:ascii="Calibri Light" w:hAnsi="Calibri Light" w:cs="Calibri Light"/>
          <w:szCs w:val="20"/>
          <w:lang w:bidi="sr-Cyrl-CS"/>
        </w:rPr>
        <w:t>И</w:t>
      </w:r>
      <w:r w:rsidR="00F87AC2" w:rsidRPr="00FF386D">
        <w:rPr>
          <w:rFonts w:ascii="Calibri Light" w:hAnsi="Calibri Light" w:cs="Calibri Light"/>
          <w:szCs w:val="20"/>
          <w:lang w:bidi="sr-Cyrl-CS"/>
        </w:rPr>
        <w:t>НЕКП-а.</w:t>
      </w:r>
    </w:p>
    <w:p w14:paraId="40C0097D" w14:textId="6672941E" w:rsidR="00E06443" w:rsidRDefault="00E06443" w:rsidP="00565B02">
      <w:pPr>
        <w:pStyle w:val="Caption"/>
        <w:keepNext/>
      </w:pPr>
      <w:bookmarkStart w:id="326" w:name="_Ref153884404"/>
      <w:bookmarkStart w:id="327" w:name="_Toc153901407"/>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61</w:t>
      </w:r>
      <w:r w:rsidR="00F35B2C">
        <w:fldChar w:fldCharType="end"/>
      </w:r>
      <w:bookmarkEnd w:id="326"/>
      <w:r>
        <w:t xml:space="preserve">: </w:t>
      </w:r>
      <w:r w:rsidRPr="00E06443">
        <w:t>Просечне годишње увозне цене природног гаса у сценарију са постојећим мерама (WEM)</w:t>
      </w:r>
      <w:bookmarkEnd w:id="327"/>
    </w:p>
    <w:p w14:paraId="4419758D" w14:textId="68C93767" w:rsidR="0091543A" w:rsidRDefault="0091543A" w:rsidP="002A1A23">
      <w:pPr>
        <w:jc w:val="center"/>
        <w:rPr>
          <w:rFonts w:ascii="Calibri" w:eastAsia="Calibri" w:hAnsi="Calibri" w:cs="Times New Roman"/>
        </w:rPr>
      </w:pPr>
      <w:r w:rsidRPr="004F53D7">
        <w:rPr>
          <w:rFonts w:ascii="Calibri" w:eastAsia="Calibri" w:hAnsi="Calibri" w:cs="Times New Roman"/>
          <w:noProof/>
          <w:lang w:val="en-US"/>
        </w:rPr>
        <w:drawing>
          <wp:inline distT="0" distB="0" distL="0" distR="0" wp14:anchorId="129C65BE" wp14:editId="200B33A6">
            <wp:extent cx="5450205" cy="2536190"/>
            <wp:effectExtent l="0" t="0" r="0" b="0"/>
            <wp:docPr id="294587041" name="Picture 294587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50205" cy="2536190"/>
                    </a:xfrm>
                    <a:prstGeom prst="rect">
                      <a:avLst/>
                    </a:prstGeom>
                    <a:noFill/>
                  </pic:spPr>
                </pic:pic>
              </a:graphicData>
            </a:graphic>
          </wp:inline>
        </w:drawing>
      </w:r>
    </w:p>
    <w:p w14:paraId="6B6843F2" w14:textId="777EEA59" w:rsidR="0035784B" w:rsidRPr="00565B02" w:rsidRDefault="0035784B" w:rsidP="000A2AFE">
      <w:pPr>
        <w:pStyle w:val="ListParagraph"/>
        <w:numPr>
          <w:ilvl w:val="0"/>
          <w:numId w:val="256"/>
        </w:numPr>
        <w:spacing w:before="120" w:after="120" w:line="240" w:lineRule="auto"/>
        <w:jc w:val="both"/>
        <w:rPr>
          <w:rFonts w:ascii="Calibri Light" w:eastAsia="Times New Roman" w:hAnsi="Calibri Light" w:cs="Times New Roman"/>
          <w:b/>
          <w:bCs/>
          <w:iCs/>
          <w:color w:val="01406B"/>
          <w:szCs w:val="24"/>
          <w:lang w:bidi="sr-Cyrl-CS"/>
        </w:rPr>
      </w:pPr>
      <w:r w:rsidRPr="00565B02">
        <w:rPr>
          <w:rFonts w:ascii="Calibri Light" w:eastAsia="Times New Roman" w:hAnsi="Calibri Light" w:cs="Times New Roman"/>
          <w:b/>
          <w:bCs/>
          <w:iCs/>
          <w:color w:val="01406B"/>
          <w:szCs w:val="24"/>
          <w:lang w:bidi="sr-Cyrl-CS"/>
        </w:rPr>
        <w:t>Преглед постојећих елемената цене који чине три најважније компоненте цене</w:t>
      </w:r>
    </w:p>
    <w:p w14:paraId="5311BFF3" w14:textId="6DDBB3B8" w:rsidR="0035784B" w:rsidRPr="00E4051C" w:rsidRDefault="0035784B" w:rsidP="0035784B">
      <w:pPr>
        <w:spacing w:before="120" w:after="120" w:line="240" w:lineRule="auto"/>
        <w:jc w:val="both"/>
        <w:rPr>
          <w:rFonts w:ascii="Calibri Light" w:eastAsia="Times New Roman" w:hAnsi="Calibri Light" w:cs="Calibri Light"/>
          <w:b/>
          <w:lang w:eastAsia="el-GR"/>
        </w:rPr>
      </w:pPr>
      <w:r w:rsidRPr="00FF386D">
        <w:rPr>
          <w:rFonts w:ascii="Calibri Light" w:eastAsia="Times New Roman" w:hAnsi="Calibri Light" w:cs="Calibri Light"/>
          <w:b/>
          <w:lang w:eastAsia="el-GR"/>
        </w:rPr>
        <w:t>Електрична енергиј</w:t>
      </w:r>
      <w:r>
        <w:rPr>
          <w:rFonts w:ascii="Calibri Light" w:eastAsia="Times New Roman" w:hAnsi="Calibri Light" w:cs="Calibri Light"/>
          <w:b/>
          <w:lang w:eastAsia="el-GR"/>
        </w:rPr>
        <w:t>а</w:t>
      </w:r>
    </w:p>
    <w:p w14:paraId="6AFDA17F" w14:textId="208A81D9" w:rsidR="0035784B" w:rsidRPr="00FF386D" w:rsidRDefault="0035784B" w:rsidP="0035784B">
      <w:pPr>
        <w:spacing w:before="120" w:after="120" w:line="240" w:lineRule="auto"/>
        <w:jc w:val="both"/>
        <w:rPr>
          <w:rFonts w:ascii="Calibri Light" w:eastAsia="Times New Roman" w:hAnsi="Calibri Light" w:cs="Calibri Light"/>
          <w:bCs/>
          <w:lang w:eastAsia="el-GR" w:bidi="sr-Cyrl-CS"/>
        </w:rPr>
      </w:pPr>
      <w:bookmarkStart w:id="328" w:name="_Hlk135817394"/>
      <w:r w:rsidRPr="00FF386D">
        <w:rPr>
          <w:rFonts w:ascii="Calibri Light" w:eastAsia="Times New Roman" w:hAnsi="Calibri Light" w:cs="Calibri Light"/>
          <w:bCs/>
          <w:lang w:eastAsia="el-GR" w:bidi="sr-Cyrl-CS"/>
        </w:rPr>
        <w:t xml:space="preserve">На основу Методологије за утврђивање цене електричне енергије за гарантовано снабдевање Агенције за енергетику Републике Србије, структуру цене електричне енергије чине фиксни део и део по основу потрошње, који варира у зависности од врсте и категорије потрошача. Тарифом електричне енергије за јавно снабдевање прописане су три категорије потрошача – потрошња ниског напона, домаћинства и јавна расвета. За нисконапонске категорије потрошње, </w:t>
      </w:r>
      <w:r>
        <w:rPr>
          <w:rFonts w:ascii="Calibri Light" w:eastAsia="Times New Roman" w:hAnsi="Calibri Light" w:cs="Calibri Light"/>
          <w:bCs/>
          <w:lang w:eastAsia="el-GR" w:bidi="sr-Cyrl-CS"/>
        </w:rPr>
        <w:t>купц</w:t>
      </w:r>
      <w:r w:rsidRPr="00FF386D">
        <w:rPr>
          <w:rFonts w:ascii="Calibri Light" w:eastAsia="Times New Roman" w:hAnsi="Calibri Light" w:cs="Calibri Light"/>
          <w:bCs/>
          <w:lang w:eastAsia="el-GR" w:bidi="sr-Cyrl-CS"/>
        </w:rPr>
        <w:t xml:space="preserve">и су дужни да плаћају јавном снабдевачу </w:t>
      </w:r>
      <w:r w:rsidRPr="00FF386D">
        <w:rPr>
          <w:rFonts w:ascii="Calibri Light" w:eastAsia="Times New Roman" w:hAnsi="Calibri Light" w:cs="Calibri Light"/>
          <w:bCs/>
          <w:lang w:eastAsia="el-GR" w:bidi="sr-Cyrl-CS"/>
        </w:rPr>
        <w:lastRenderedPageBreak/>
        <w:t>накнаде које чине фиксни део, и део по основу потрошње за обрачунску и прекомерну снагу, реактивну и прекомерну реактивну енергију, као и активну енергију, и те се накнаде деле на високу дневну тарифу и ниску дневну тарифу.</w:t>
      </w:r>
    </w:p>
    <w:p w14:paraId="1F296546" w14:textId="1FBA24D1" w:rsidR="0035784B" w:rsidRPr="00FF386D" w:rsidRDefault="0035784B" w:rsidP="0035784B">
      <w:pPr>
        <w:spacing w:before="120" w:after="120" w:line="240" w:lineRule="auto"/>
        <w:jc w:val="both"/>
        <w:rPr>
          <w:rFonts w:ascii="Calibri Light" w:eastAsia="Times New Roman" w:hAnsi="Calibri Light" w:cs="Calibri Light"/>
          <w:bCs/>
          <w:lang w:eastAsia="el-GR" w:bidi="sr-Cyrl-CS"/>
        </w:rPr>
      </w:pPr>
      <w:r w:rsidRPr="00FF386D">
        <w:rPr>
          <w:rFonts w:ascii="Calibri Light" w:eastAsia="Times New Roman" w:hAnsi="Calibri Light" w:cs="Calibri Light"/>
          <w:bCs/>
          <w:lang w:eastAsia="el-GR" w:bidi="sr-Cyrl-CS"/>
        </w:rPr>
        <w:t>За домаћинства, у фиксни део укључене су накнаде јавног снабдевача, док део по основу потрошње укључује активну енергију и обрачунску снагу. Утрошена електрична енергија има неколико категорија, по принципима мерења - једнотарифно мерење, двотарифно мерење, контролисана потрошња и контролисана потрошња са посебним мерењем. Виша и нижа тарифа се различито обрачунавају у зависности од дела земље. Србија је подељена на три зоне - Војводину, Београд и Централну Србију. Тако се нижа тарифа примењује у периоду 22:00 – 06:00 часова за Централну Србију, у периоду 23:00 – 07:00 часова за Војводину и у периоду 24:00 – 08:00 часова за Београд. Такође, утрошена електрична енергија се обрачунава према три различите ценовне зоне – зеленој, плавој и црвеној. Цене за зоне се дефинишу на основу нивоа потрошње, где је зелена зона до 350 kWh, плава 351 - 1.600 kWh и црвена преко 1.600 kWh.</w:t>
      </w:r>
    </w:p>
    <w:p w14:paraId="121EE3B5" w14:textId="43232CBC" w:rsidR="0035784B" w:rsidRPr="00FF386D" w:rsidRDefault="0035784B" w:rsidP="0035784B">
      <w:pPr>
        <w:spacing w:before="120" w:after="120" w:line="240" w:lineRule="auto"/>
        <w:jc w:val="both"/>
        <w:rPr>
          <w:rFonts w:ascii="Calibri Light" w:eastAsia="Times New Roman" w:hAnsi="Calibri Light" w:cs="Calibri Light"/>
          <w:bCs/>
          <w:lang w:eastAsia="el-GR"/>
        </w:rPr>
      </w:pPr>
      <w:r w:rsidRPr="00FF386D">
        <w:rPr>
          <w:rFonts w:ascii="Calibri Light" w:eastAsia="Times New Roman" w:hAnsi="Calibri Light" w:cs="Calibri Light"/>
          <w:bCs/>
          <w:lang w:eastAsia="el-GR" w:bidi="sr-Cyrl-CS"/>
        </w:rPr>
        <w:t>Када су у питању други елементи, и накнада за подстицај повлашћеним произвођачима електричне енергије и накнада за унапређење енергетске ефикасности примењују се као јединична цена у односу на потрошњу, како је дефинисано Уредбом о висини посебне накнаде за подстицај повлашћених произвођача електричне енергије и новим Законом о накнадама за коришћење јавних добара. На крају, цене укључују и акцизе (7,5%) и ПДВ (20%).</w:t>
      </w:r>
    </w:p>
    <w:p w14:paraId="46124FD9" w14:textId="3777F4B9" w:rsidR="0035784B" w:rsidRPr="00FF386D" w:rsidRDefault="0035784B" w:rsidP="0035784B">
      <w:pPr>
        <w:spacing w:before="120" w:after="120" w:line="240" w:lineRule="auto"/>
        <w:jc w:val="both"/>
        <w:rPr>
          <w:rFonts w:ascii="Calibri Light" w:eastAsia="Times New Roman" w:hAnsi="Calibri Light" w:cs="Calibri Light"/>
          <w:bCs/>
          <w:lang w:eastAsia="el-GR"/>
        </w:rPr>
      </w:pPr>
      <w:r w:rsidRPr="00FF386D">
        <w:rPr>
          <w:rFonts w:ascii="Calibri Light" w:eastAsia="Times New Roman" w:hAnsi="Calibri Light" w:cs="Calibri Light"/>
          <w:bCs/>
          <w:lang w:eastAsia="el-GR" w:bidi="sr-Cyrl-CS"/>
        </w:rPr>
        <w:t>Што се тиче индустрије, цене укључују део трошкова који се односе на дистрибутивни систем дефинисан Ценовником за приступ дистрибутивном систему, утрошену електричну енергију, накнаде за повлашћене произвођаче и енергетску ефикасност, и акцизе и ПДВ. Утрошена електрична енергија за индустрију обрачунава се по уговореној цени.</w:t>
      </w:r>
      <w:bookmarkEnd w:id="328"/>
    </w:p>
    <w:p w14:paraId="478E2168" w14:textId="77777777" w:rsidR="0035784B" w:rsidRPr="00FF386D" w:rsidRDefault="0035784B" w:rsidP="0035784B">
      <w:pPr>
        <w:spacing w:before="120" w:after="120" w:line="240" w:lineRule="auto"/>
        <w:jc w:val="both"/>
        <w:rPr>
          <w:rFonts w:ascii="Calibri Light" w:eastAsia="Times New Roman" w:hAnsi="Calibri Light" w:cs="Calibri Light"/>
          <w:b/>
          <w:bCs/>
          <w:lang w:eastAsia="el-GR"/>
        </w:rPr>
      </w:pPr>
      <w:r w:rsidRPr="00FF386D">
        <w:rPr>
          <w:rFonts w:ascii="Calibri Light" w:eastAsia="Times New Roman" w:hAnsi="Calibri Light" w:cs="Calibri Light"/>
          <w:b/>
          <w:bCs/>
          <w:lang w:eastAsia="el-GR"/>
        </w:rPr>
        <w:t>Природни гас</w:t>
      </w:r>
    </w:p>
    <w:p w14:paraId="32A46A00" w14:textId="7CA419CD" w:rsidR="0035784B" w:rsidRPr="00FF386D" w:rsidRDefault="0035784B" w:rsidP="0035784B">
      <w:pPr>
        <w:spacing w:before="120" w:after="120" w:line="240" w:lineRule="auto"/>
        <w:jc w:val="both"/>
        <w:rPr>
          <w:rFonts w:ascii="Calibri Light" w:eastAsia="Times New Roman" w:hAnsi="Calibri Light" w:cs="Calibri Light"/>
          <w:lang w:eastAsia="el-GR"/>
        </w:rPr>
      </w:pPr>
      <w:bookmarkStart w:id="329" w:name="_Hlk135817407"/>
      <w:r w:rsidRPr="00FF386D">
        <w:rPr>
          <w:rFonts w:ascii="Calibri Light" w:eastAsia="Times New Roman" w:hAnsi="Calibri Light" w:cs="Calibri Light"/>
          <w:lang w:eastAsia="el-GR" w:bidi="sr-Cyrl-CS"/>
        </w:rPr>
        <w:t>Трошкове прикључења на систем за транспорт утврђује ОПС на основу елемената из захтева за прикључење и на основу Методологије за одређивање трошкова прикључења на систем за транспорт и дистрибуцију природног гаса коју је донео АЕРС. Трошкове прикључења на дистрибутивни систем утврђује оператор дистрибутивног система (ОДС) на основу елемената из зах</w:t>
      </w:r>
      <w:r>
        <w:rPr>
          <w:rFonts w:ascii="Calibri Light" w:eastAsia="Times New Roman" w:hAnsi="Calibri Light" w:cs="Calibri Light"/>
          <w:lang w:eastAsia="el-GR" w:bidi="sr-Cyrl-CS"/>
        </w:rPr>
        <w:t>те</w:t>
      </w:r>
      <w:r w:rsidRPr="00FF386D">
        <w:rPr>
          <w:rFonts w:ascii="Calibri Light" w:eastAsia="Times New Roman" w:hAnsi="Calibri Light" w:cs="Calibri Light"/>
          <w:lang w:eastAsia="el-GR" w:bidi="sr-Cyrl-CS"/>
        </w:rPr>
        <w:t>ва за прикључење и Методологије за одређивање трошкова прикључења на систем за транспорт и дистрибуцију природног гаса коју је донео АЕРС. Варијације у накнадама за коришћење дистрибутивног система код различитих ОДС-а резултат су величине и карактеристика дистрибутивних система, структуре и броја купаца, старости дистрибутивног система и других фактора.</w:t>
      </w:r>
      <w:bookmarkEnd w:id="329"/>
    </w:p>
    <w:p w14:paraId="688345F5" w14:textId="1CB617BA" w:rsidR="0035784B" w:rsidRPr="00565B02" w:rsidRDefault="0035784B" w:rsidP="000A2AFE">
      <w:pPr>
        <w:pStyle w:val="ListParagraph"/>
        <w:numPr>
          <w:ilvl w:val="0"/>
          <w:numId w:val="256"/>
        </w:numPr>
        <w:spacing w:before="120" w:after="120" w:line="240" w:lineRule="auto"/>
        <w:jc w:val="both"/>
        <w:rPr>
          <w:rFonts w:ascii="Calibri Light" w:eastAsia="Times New Roman" w:hAnsi="Calibri Light" w:cs="Times New Roman"/>
          <w:b/>
          <w:bCs/>
          <w:iCs/>
          <w:color w:val="01406B"/>
          <w:szCs w:val="24"/>
          <w:lang w:bidi="sr-Cyrl-CS"/>
        </w:rPr>
      </w:pPr>
      <w:r w:rsidRPr="00565B02">
        <w:rPr>
          <w:rFonts w:ascii="Calibri Light" w:eastAsia="Times New Roman" w:hAnsi="Calibri Light" w:cs="Times New Roman"/>
          <w:b/>
          <w:bCs/>
          <w:iCs/>
          <w:color w:val="01406B"/>
          <w:szCs w:val="24"/>
          <w:lang w:bidi="sr-Cyrl-CS"/>
        </w:rPr>
        <w:t>Опис субвенција за енергију, укључујући фосилна горива</w:t>
      </w:r>
    </w:p>
    <w:p w14:paraId="4FDD9B9C" w14:textId="77777777" w:rsidR="0035784B" w:rsidRPr="00695B3D" w:rsidRDefault="0035784B" w:rsidP="0035784B">
      <w:pPr>
        <w:pStyle w:val="LDKbody"/>
        <w:rPr>
          <w:rFonts w:asciiTheme="majorHAnsi" w:hAnsiTheme="majorHAnsi" w:cstheme="majorHAnsi"/>
          <w:lang w:val="sr-Cyrl-RS"/>
        </w:rPr>
      </w:pPr>
      <w:bookmarkStart w:id="330" w:name="_Hlk135817460"/>
      <w:r w:rsidRPr="00FF386D">
        <w:rPr>
          <w:rFonts w:asciiTheme="majorHAnsi" w:hAnsiTheme="majorHAnsi" w:cstheme="majorHAnsi"/>
          <w:lang w:val="sr-Cyrl-RS" w:bidi="sr-Cyrl-CS"/>
        </w:rPr>
        <w:t xml:space="preserve">У Србији је 2009. године уведен систем подстицања коришћења обновљивих извора енергије за производњу електричне енергије, који омогућава произвођачима електричне енергије из ОИЕ да добијају фид-ин тарифе за произведени киловат-сат електричне енергије, у зависности од обновљивог извора енергије који се користи и технологије. Од 2021. године, доношењем Закона о коришћењу обновљивих извора енергије, Уредбе о тржишној премији и фид-ин тарифи и Уредбе о моделу уговора о тржишној премији, Србија је успоставила нови подстицајни оквир у виду премијског система. Поред тржишне премије, Закон о коришћењу обновљивих извора енергије предвиђа и да систем фид-ин тарифе остане доступан само за мала постројења и демонстрационе пројекте. Истим законом уведен је и концепт купца-произвођача, омогућавајући купцима да буду произвођачи и да вишкове испоручују мрежи. </w:t>
      </w:r>
      <w:r>
        <w:rPr>
          <w:rFonts w:asciiTheme="majorHAnsi" w:hAnsiTheme="majorHAnsi" w:cstheme="majorHAnsi"/>
          <w:lang w:val="sr-Cyrl-RS" w:bidi="sr-Cyrl-CS"/>
        </w:rPr>
        <w:t>Такође, усвојена је Уредба о преузимању балансне одговорности и моделу уговора о преузимању балансне одговорности</w:t>
      </w:r>
      <w:r>
        <w:rPr>
          <w:rStyle w:val="FootnoteReference"/>
          <w:rFonts w:asciiTheme="majorHAnsi" w:hAnsiTheme="majorHAnsi" w:cstheme="majorHAnsi"/>
          <w:lang w:bidi="sr-Cyrl-CS"/>
        </w:rPr>
        <w:footnoteReference w:id="126"/>
      </w:r>
      <w:r>
        <w:rPr>
          <w:rFonts w:asciiTheme="majorHAnsi" w:hAnsiTheme="majorHAnsi" w:cstheme="majorHAnsi"/>
          <w:lang w:val="sr-Cyrl-RS" w:bidi="sr-Cyrl-CS"/>
        </w:rPr>
        <w:t>.</w:t>
      </w:r>
    </w:p>
    <w:p w14:paraId="03A78398" w14:textId="77777777" w:rsidR="0035784B" w:rsidRPr="00FF386D" w:rsidRDefault="0035784B" w:rsidP="0035784B">
      <w:pPr>
        <w:pStyle w:val="LDKbody"/>
        <w:rPr>
          <w:rFonts w:asciiTheme="majorHAnsi" w:hAnsiTheme="majorHAnsi" w:cstheme="majorHAnsi"/>
          <w:lang w:val="sr-Cyrl-RS"/>
        </w:rPr>
      </w:pPr>
      <w:r w:rsidRPr="00FF386D">
        <w:rPr>
          <w:rFonts w:asciiTheme="majorHAnsi" w:hAnsiTheme="majorHAnsi" w:cstheme="majorHAnsi"/>
          <w:lang w:val="sr-Cyrl-RS" w:bidi="sr-Cyrl-CS"/>
        </w:rPr>
        <w:t xml:space="preserve">Са циљем да подржи енергетску транзицију кроз уштеду енергије, Србија је увела механизам оријентисан на домаћинства, који обезбеђује субвенције за повећање енергетске ефикасности. У сарадњи са локалним самоуправама, обезбеђивањем средстава Влада стимулише грађане да улажу у </w:t>
      </w:r>
      <w:r w:rsidRPr="00FF386D">
        <w:rPr>
          <w:rFonts w:asciiTheme="majorHAnsi" w:hAnsiTheme="majorHAnsi" w:cstheme="majorHAnsi"/>
          <w:lang w:val="sr-Cyrl-RS" w:bidi="sr-Cyrl-CS"/>
        </w:rPr>
        <w:lastRenderedPageBreak/>
        <w:t>замену врата и прозора, постављање изолације, уградњу бојлера и шпорета на чистија горива, као и уградњу соларних колектора и соларних панела.</w:t>
      </w:r>
    </w:p>
    <w:p w14:paraId="4C70227A" w14:textId="0A7BCB1E" w:rsidR="0035784B" w:rsidRPr="00FF386D" w:rsidRDefault="0035784B" w:rsidP="0035784B">
      <w:pPr>
        <w:pStyle w:val="LDKbody"/>
        <w:rPr>
          <w:rFonts w:asciiTheme="majorHAnsi" w:hAnsiTheme="majorHAnsi" w:cstheme="majorHAnsi"/>
          <w:lang w:val="sr-Cyrl-RS"/>
        </w:rPr>
      </w:pPr>
      <w:r w:rsidRPr="00FF386D">
        <w:rPr>
          <w:rFonts w:asciiTheme="majorHAnsi" w:hAnsiTheme="majorHAnsi" w:cstheme="majorHAnsi"/>
          <w:lang w:val="sr-Cyrl-RS" w:bidi="sr-Cyrl-CS"/>
        </w:rPr>
        <w:t>Србија је 202</w:t>
      </w:r>
      <w:r>
        <w:rPr>
          <w:rFonts w:asciiTheme="majorHAnsi" w:hAnsiTheme="majorHAnsi" w:cstheme="majorHAnsi"/>
          <w:lang w:val="en-US" w:bidi="sr-Cyrl-CS"/>
        </w:rPr>
        <w:t>3</w:t>
      </w:r>
      <w:r w:rsidRPr="00FF386D">
        <w:rPr>
          <w:rFonts w:asciiTheme="majorHAnsi" w:hAnsiTheme="majorHAnsi" w:cstheme="majorHAnsi"/>
          <w:lang w:val="sr-Cyrl-RS" w:bidi="sr-Cyrl-CS"/>
        </w:rPr>
        <w:t>. године донела Уредбу о условима и начину спровођења субвенционисане куповинe нових возила која имају искључиво електрични погон, као и возила која уз мотор са унутрашњим сагоревањем покреће и електрични погон (хибридни погон</w:t>
      </w:r>
      <w:bookmarkEnd w:id="330"/>
      <w:r w:rsidRPr="00FF386D">
        <w:rPr>
          <w:rFonts w:asciiTheme="majorHAnsi" w:hAnsiTheme="majorHAnsi" w:cstheme="majorHAnsi"/>
          <w:lang w:val="sr-Cyrl-RS" w:bidi="sr-Cyrl-CS"/>
        </w:rPr>
        <w:t>)</w:t>
      </w:r>
      <w:r w:rsidRPr="00FF386D">
        <w:rPr>
          <w:rStyle w:val="FootnoteReference"/>
          <w:rFonts w:eastAsiaTheme="majorEastAsia" w:cstheme="majorHAnsi"/>
          <w:lang w:val="sr-Cyrl-RS"/>
        </w:rPr>
        <w:footnoteReference w:id="127"/>
      </w:r>
      <w:r w:rsidRPr="00FF386D">
        <w:rPr>
          <w:rFonts w:asciiTheme="majorHAnsi" w:hAnsiTheme="majorHAnsi" w:cstheme="majorHAnsi"/>
          <w:lang w:val="sr-Cyrl-RS"/>
        </w:rPr>
        <w:t xml:space="preserve"> </w:t>
      </w:r>
      <w:bookmarkStart w:id="331" w:name="_Hlk135817473"/>
      <w:r w:rsidRPr="00FF386D">
        <w:rPr>
          <w:rFonts w:asciiTheme="majorHAnsi" w:hAnsiTheme="majorHAnsi" w:cstheme="majorHAnsi"/>
          <w:lang w:val="sr-Cyrl-RS" w:bidi="sr-Cyrl-CS"/>
        </w:rPr>
        <w:t xml:space="preserve">који прописује систем подстицаја за куповину нових еколошки прихватљивих возила – електричних и хибридних, уз субвенцију која се креће од 250 до 5.000 евра у зависности од врсте возила. Систем обухвата пет категорија возила, које обухватају мопеде и лаке трицикле, мотоцикле, путничка и лака теретна возила искључиво на електрични погон, возила на хибридну вучу уз обавезу да се пуњење </w:t>
      </w:r>
      <w:r>
        <w:rPr>
          <w:rFonts w:asciiTheme="majorHAnsi" w:hAnsiTheme="majorHAnsi" w:cstheme="majorHAnsi"/>
          <w:lang w:val="sr-Cyrl-RS" w:bidi="sr-Cyrl-CS"/>
        </w:rPr>
        <w:t>може остварити и</w:t>
      </w:r>
      <w:r w:rsidRPr="00FF386D">
        <w:rPr>
          <w:rFonts w:asciiTheme="majorHAnsi" w:hAnsiTheme="majorHAnsi" w:cstheme="majorHAnsi"/>
          <w:lang w:val="sr-Cyrl-RS" w:bidi="sr-Cyrl-CS"/>
        </w:rPr>
        <w:t xml:space="preserve"> из спољног извора електричне енергије, као и електрична возила са интегрисаним саставом за про</w:t>
      </w:r>
      <w:r>
        <w:rPr>
          <w:rFonts w:asciiTheme="majorHAnsi" w:hAnsiTheme="majorHAnsi" w:cstheme="majorHAnsi"/>
          <w:lang w:val="sr-Cyrl-RS" w:bidi="sr-Cyrl-CS"/>
        </w:rPr>
        <w:t xml:space="preserve">дужење аутономије кретања са </w:t>
      </w:r>
      <w:r w:rsidRPr="00FF386D">
        <w:rPr>
          <w:rFonts w:asciiTheme="majorHAnsi" w:hAnsiTheme="majorHAnsi" w:cstheme="majorHAnsi"/>
          <w:lang w:val="sr-Cyrl-RS" w:bidi="sr-Cyrl-CS"/>
        </w:rPr>
        <w:t>емисијом CO</w:t>
      </w:r>
      <w:r w:rsidRPr="00FF386D">
        <w:rPr>
          <w:rFonts w:asciiTheme="majorHAnsi" w:hAnsiTheme="majorHAnsi" w:cstheme="majorHAnsi"/>
          <w:vertAlign w:val="subscript"/>
          <w:lang w:val="sr-Cyrl-RS" w:bidi="sr-Cyrl-CS"/>
        </w:rPr>
        <w:t>2</w:t>
      </w:r>
      <w:r w:rsidRPr="00FF386D">
        <w:rPr>
          <w:rFonts w:asciiTheme="majorHAnsi" w:hAnsiTheme="majorHAnsi" w:cstheme="majorHAnsi"/>
          <w:lang w:val="sr-Cyrl-RS" w:bidi="sr-Cyrl-CS"/>
        </w:rPr>
        <w:t>/km до 50 g/km и возила са хибридном вучом која поред мотора са унутрашњим сагоревањем имају најмање један електромотор и могу да возе без рада мотора са унутрашњим сагоревањем одређено време и искључиво на електровучу, при чему се производња електричне енергије за пуњење батерије врши унутар возила.</w:t>
      </w:r>
    </w:p>
    <w:p w14:paraId="23CBB5B9" w14:textId="77777777" w:rsidR="002A1A23" w:rsidRPr="00565B02" w:rsidRDefault="002A1A23" w:rsidP="00F83802">
      <w:pPr>
        <w:pStyle w:val="Heading2"/>
        <w:rPr>
          <w:lang w:val="sr-Cyrl-RS"/>
        </w:rPr>
      </w:pPr>
      <w:bookmarkStart w:id="332" w:name="_Toc151488570"/>
      <w:bookmarkStart w:id="333" w:name="_Toc153901556"/>
      <w:bookmarkEnd w:id="331"/>
      <w:bookmarkEnd w:id="332"/>
      <w:r w:rsidRPr="00565B02">
        <w:rPr>
          <w:lang w:val="sr-Cyrl-RS"/>
        </w:rPr>
        <w:t>Димензија истраживања, иновације и конкурентности</w:t>
      </w:r>
      <w:bookmarkEnd w:id="333"/>
    </w:p>
    <w:p w14:paraId="59074968" w14:textId="77777777" w:rsidR="002A1A23" w:rsidRPr="00FF386D" w:rsidRDefault="002A1A23">
      <w:pPr>
        <w:keepNext/>
        <w:keepLines/>
        <w:numPr>
          <w:ilvl w:val="0"/>
          <w:numId w:val="257"/>
        </w:numPr>
        <w:spacing w:before="200" w:after="0" w:line="240" w:lineRule="auto"/>
        <w:outlineLvl w:val="3"/>
        <w:rPr>
          <w:rFonts w:ascii="Calibri Light" w:eastAsia="Times New Roman" w:hAnsi="Calibri Light" w:cs="Times New Roman"/>
          <w:b/>
          <w:bCs/>
          <w:iCs/>
          <w:color w:val="01406B"/>
          <w:szCs w:val="24"/>
        </w:rPr>
      </w:pPr>
      <w:r w:rsidRPr="00FF386D">
        <w:rPr>
          <w:rFonts w:ascii="Calibri Light" w:eastAsia="Times New Roman" w:hAnsi="Calibri Light" w:cs="Times New Roman"/>
          <w:b/>
          <w:bCs/>
          <w:iCs/>
          <w:color w:val="01406B"/>
          <w:szCs w:val="24"/>
          <w:lang w:bidi="sr-Cyrl-CS"/>
        </w:rPr>
        <w:t>Актуелно стање сектора нискоугљеничних технологија и његова позиција на глобалном тржишту</w:t>
      </w:r>
    </w:p>
    <w:p w14:paraId="02781F18" w14:textId="6AD92889" w:rsidR="00A324D4" w:rsidRPr="00FF386D" w:rsidRDefault="00A324D4" w:rsidP="00565B02">
      <w:pPr>
        <w:spacing w:before="120"/>
        <w:jc w:val="both"/>
        <w:rPr>
          <w:rFonts w:asciiTheme="majorHAnsi" w:hAnsiTheme="majorHAnsi" w:cstheme="majorHAnsi"/>
        </w:rPr>
      </w:pPr>
      <w:bookmarkStart w:id="334" w:name="_Hlk135817142"/>
      <w:r w:rsidRPr="00FF386D">
        <w:rPr>
          <w:rFonts w:asciiTheme="majorHAnsi" w:hAnsiTheme="majorHAnsi" w:cstheme="majorHAnsi"/>
          <w:lang w:bidi="sr-Cyrl-CS"/>
        </w:rPr>
        <w:t>Тренутно у Србији постоје ограничене активности у вези са истраживањем и развојем у енергетском сектору и ограничен број произвођача који имају технологије са ниским нивоом емисија угљеника. Последњих година, постоји снажан фокус на ширу употребу алтернативних извора, а то је делимично због еколошких обавеза</w:t>
      </w:r>
      <w:r w:rsidR="00C41305" w:rsidRPr="00FF386D">
        <w:rPr>
          <w:rFonts w:asciiTheme="majorHAnsi" w:hAnsiTheme="majorHAnsi" w:cstheme="majorHAnsi"/>
          <w:lang w:bidi="sr-Cyrl-CS"/>
        </w:rPr>
        <w:t xml:space="preserve"> </w:t>
      </w:r>
      <w:r w:rsidRPr="00FF386D">
        <w:rPr>
          <w:rFonts w:asciiTheme="majorHAnsi" w:hAnsiTheme="majorHAnsi" w:cstheme="majorHAnsi"/>
          <w:lang w:bidi="sr-Cyrl-CS"/>
        </w:rPr>
        <w:t xml:space="preserve">које </w:t>
      </w:r>
      <w:r w:rsidR="00C41305" w:rsidRPr="00FF386D">
        <w:rPr>
          <w:rFonts w:asciiTheme="majorHAnsi" w:hAnsiTheme="majorHAnsi" w:cstheme="majorHAnsi"/>
          <w:lang w:bidi="sr-Cyrl-CS"/>
        </w:rPr>
        <w:t xml:space="preserve">су </w:t>
      </w:r>
      <w:r w:rsidRPr="00FF386D">
        <w:rPr>
          <w:rFonts w:asciiTheme="majorHAnsi" w:hAnsiTheme="majorHAnsi" w:cstheme="majorHAnsi"/>
          <w:lang w:bidi="sr-Cyrl-CS"/>
        </w:rPr>
        <w:t>покренуле нову технолошку потражњу. Тренутни кључни приоритети енергетских истраживања у Србији су енергетска ефикасност и обновљиви извори енергије, паметни градови и мобилност, као и складиштење енергије, али је већина привредних друштава у енергетском сектору оријентисана на услуге, углавном у ОИЕ и ЕЕ. Стога постоји значајан потенцијал за скалирање нискоугљеничних и енергетски ефикасних решења, почевши од демонстрационе и кључне фазе до тржишта технологија обновљивих извора енергије и остваривања значајнијих уштеда енергије.</w:t>
      </w:r>
      <w:bookmarkEnd w:id="334"/>
    </w:p>
    <w:p w14:paraId="6B87A9D2" w14:textId="77777777" w:rsidR="002A1A23" w:rsidRPr="00FF386D" w:rsidRDefault="002A1A23">
      <w:pPr>
        <w:keepNext/>
        <w:keepLines/>
        <w:numPr>
          <w:ilvl w:val="0"/>
          <w:numId w:val="257"/>
        </w:numPr>
        <w:spacing w:before="200" w:after="0" w:line="240" w:lineRule="auto"/>
        <w:outlineLvl w:val="3"/>
        <w:rPr>
          <w:rFonts w:ascii="Calibri Light" w:eastAsia="Times New Roman" w:hAnsi="Calibri Light" w:cs="Times New Roman"/>
          <w:b/>
          <w:bCs/>
          <w:iCs/>
          <w:color w:val="01406B"/>
          <w:szCs w:val="24"/>
        </w:rPr>
      </w:pPr>
      <w:r w:rsidRPr="00FF386D">
        <w:rPr>
          <w:rFonts w:ascii="Calibri Light" w:eastAsia="Times New Roman" w:hAnsi="Calibri Light" w:cs="Times New Roman"/>
          <w:b/>
          <w:bCs/>
          <w:iCs/>
          <w:color w:val="01406B"/>
          <w:szCs w:val="24"/>
          <w:lang w:bidi="sr-Cyrl-CS"/>
        </w:rPr>
        <w:t>Тренутни ниво јавне и приватне потрошње у области истраживања и иновације у вези са нискоугљеничним технологијама, тренутни број патената и тренутни број истраживача</w:t>
      </w:r>
    </w:p>
    <w:p w14:paraId="7CA048F2" w14:textId="12494D9A" w:rsidR="00A324D4" w:rsidRPr="00FF386D" w:rsidRDefault="00A324D4" w:rsidP="00565B02">
      <w:pPr>
        <w:spacing w:before="120"/>
        <w:jc w:val="both"/>
        <w:rPr>
          <w:rFonts w:asciiTheme="majorHAnsi" w:hAnsiTheme="majorHAnsi" w:cstheme="majorHAnsi"/>
        </w:rPr>
      </w:pPr>
      <w:bookmarkStart w:id="335" w:name="_Hlk135817205"/>
      <w:r w:rsidRPr="00FF386D">
        <w:rPr>
          <w:rFonts w:asciiTheme="majorHAnsi" w:hAnsiTheme="majorHAnsi" w:cstheme="majorHAnsi"/>
          <w:lang w:bidi="sr-Cyrl-CS"/>
        </w:rPr>
        <w:t>Укупни издаци за истраживачко-развојне активности у 2020. години износили су 0,91% БДП-а. Учешће укупних буџетских средстава за истраживање и развој у БДП-у достигло је 0,46% у 2020. години. Највећи проценат буџетских средстава за истраживање и развој припао је владином сектору (64,4%), а затим сектору високог образовања (23%). Средства међународних организација учествују са 9,3% у укупним средствима за финансирање научноистраживачког рада, нефинансијски (пословни) сектор учествује са 2,1%, док је за непрофитни сектор опредељено 1,1% средстава. Србија је 2020. године имала 335 организација активних у истраживању и развоју, од којих је већина радила у пословном сектору, док једна трећина припада сектору терцијарног образовања.</w:t>
      </w:r>
      <w:bookmarkEnd w:id="335"/>
    </w:p>
    <w:p w14:paraId="5F36254B" w14:textId="163C1927" w:rsidR="00E06443" w:rsidRDefault="00E06443" w:rsidP="00565B02">
      <w:pPr>
        <w:pStyle w:val="Caption"/>
        <w:keepNext/>
      </w:pPr>
      <w:bookmarkStart w:id="336" w:name="_Toc153901408"/>
      <w:r>
        <w:lastRenderedPageBreak/>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62</w:t>
      </w:r>
      <w:r w:rsidR="00F35B2C">
        <w:fldChar w:fldCharType="end"/>
      </w:r>
      <w:r>
        <w:t xml:space="preserve">: </w:t>
      </w:r>
      <w:r w:rsidRPr="00E06443">
        <w:t>Преглед организација за истраживање и развој по секторима (извор: Републички завод за статистику)</w:t>
      </w:r>
      <w:bookmarkEnd w:id="336"/>
    </w:p>
    <w:p w14:paraId="231A3B45" w14:textId="77777777" w:rsidR="002A1A23" w:rsidRPr="00FF386D" w:rsidRDefault="002A1A23" w:rsidP="002A1A23">
      <w:pPr>
        <w:jc w:val="center"/>
        <w:rPr>
          <w:rFonts w:ascii="Calibri" w:eastAsia="Calibri" w:hAnsi="Calibri" w:cs="Times New Roman"/>
        </w:rPr>
      </w:pPr>
      <w:r w:rsidRPr="004F53D7">
        <w:rPr>
          <w:rFonts w:ascii="Calibri" w:eastAsia="Calibri" w:hAnsi="Calibri" w:cs="Times New Roman"/>
          <w:noProof/>
          <w:lang w:val="en-US"/>
        </w:rPr>
        <w:drawing>
          <wp:inline distT="0" distB="0" distL="0" distR="0" wp14:anchorId="101B9A11" wp14:editId="675B095E">
            <wp:extent cx="4097020" cy="2231390"/>
            <wp:effectExtent l="0" t="0" r="0" b="0"/>
            <wp:docPr id="127220038" name="Picture 12722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097020" cy="2231390"/>
                    </a:xfrm>
                    <a:prstGeom prst="rect">
                      <a:avLst/>
                    </a:prstGeom>
                    <a:noFill/>
                  </pic:spPr>
                </pic:pic>
              </a:graphicData>
            </a:graphic>
          </wp:inline>
        </w:drawing>
      </w:r>
    </w:p>
    <w:p w14:paraId="40607BB7" w14:textId="31C87BE3" w:rsidR="002A1A23" w:rsidRPr="00FF386D" w:rsidRDefault="002A1A23" w:rsidP="002A1A23">
      <w:pPr>
        <w:jc w:val="both"/>
        <w:rPr>
          <w:rFonts w:asciiTheme="majorHAnsi" w:eastAsia="Calibri" w:hAnsiTheme="majorHAnsi" w:cstheme="majorHAnsi"/>
        </w:rPr>
      </w:pPr>
      <w:r w:rsidRPr="00FF386D">
        <w:rPr>
          <w:rFonts w:ascii="Calibri Light" w:eastAsia="Calibri" w:hAnsi="Calibri Light" w:cs="Calibri Light"/>
          <w:lang w:bidi="sr-Cyrl-CS"/>
        </w:rPr>
        <w:t xml:space="preserve">Посматрајући области науке, већина организација је усмерена на инжењерство и технологију (128), заједно са друштвеним наукама (72) и природним наукама (63). Детаљан преглед дат је </w:t>
      </w:r>
      <w:r w:rsidRPr="00565B02">
        <w:rPr>
          <w:rFonts w:ascii="Calibri Light" w:eastAsia="Calibri" w:hAnsi="Calibri Light" w:cs="Calibri Light"/>
          <w:lang w:bidi="sr-Cyrl-CS"/>
        </w:rPr>
        <w:t xml:space="preserve">на </w:t>
      </w:r>
      <w:r w:rsidR="00E06443" w:rsidRPr="00565B02">
        <w:rPr>
          <w:rFonts w:ascii="Calibri Light" w:eastAsia="Calibri" w:hAnsi="Calibri Light" w:cs="Calibri Light"/>
          <w:lang w:bidi="sr-Cyrl-CS"/>
        </w:rPr>
        <w:fldChar w:fldCharType="begin"/>
      </w:r>
      <w:r w:rsidR="00E06443" w:rsidRPr="00565B02">
        <w:rPr>
          <w:rFonts w:ascii="Calibri Light" w:eastAsia="Calibri" w:hAnsi="Calibri Light" w:cs="Calibri Light"/>
          <w:lang w:bidi="sr-Cyrl-CS"/>
        </w:rPr>
        <w:instrText xml:space="preserve"> REF _Ref153884627 \h </w:instrText>
      </w:r>
      <w:r w:rsidR="00E06443">
        <w:rPr>
          <w:rFonts w:ascii="Calibri Light" w:eastAsia="Calibri" w:hAnsi="Calibri Light" w:cs="Calibri Light"/>
          <w:lang w:bidi="sr-Cyrl-CS"/>
        </w:rPr>
        <w:instrText xml:space="preserve"> \* MERGEFORMAT </w:instrText>
      </w:r>
      <w:r w:rsidR="00E06443" w:rsidRPr="00565B02">
        <w:rPr>
          <w:rFonts w:ascii="Calibri Light" w:eastAsia="Calibri" w:hAnsi="Calibri Light" w:cs="Calibri Light"/>
          <w:lang w:bidi="sr-Cyrl-CS"/>
        </w:rPr>
      </w:r>
      <w:r w:rsidR="00E06443" w:rsidRPr="00565B02">
        <w:rPr>
          <w:rFonts w:ascii="Calibri Light" w:eastAsia="Calibri" w:hAnsi="Calibri Light" w:cs="Calibri Light"/>
          <w:lang w:bidi="sr-Cyrl-CS"/>
        </w:rPr>
        <w:fldChar w:fldCharType="separate"/>
      </w:r>
      <w:r w:rsidR="00E06443" w:rsidRPr="00565B02">
        <w:rPr>
          <w:rFonts w:ascii="Calibri Light" w:eastAsia="Calibri" w:hAnsi="Calibri Light" w:cs="Calibri Light"/>
          <w:lang w:bidi="sr-Cyrl-CS"/>
        </w:rPr>
        <w:t>слици 4.63</w:t>
      </w:r>
      <w:r w:rsidR="00E06443" w:rsidRPr="00565B02">
        <w:rPr>
          <w:rFonts w:ascii="Calibri Light" w:eastAsia="Calibri" w:hAnsi="Calibri Light" w:cs="Calibri Light"/>
          <w:lang w:bidi="sr-Cyrl-CS"/>
        </w:rPr>
        <w:fldChar w:fldCharType="end"/>
      </w:r>
      <w:r w:rsidR="00E06443">
        <w:rPr>
          <w:rFonts w:asciiTheme="majorHAnsi" w:eastAsia="Calibri" w:hAnsiTheme="majorHAnsi" w:cstheme="majorHAnsi"/>
          <w:lang w:bidi="sr-Cyrl-CS"/>
        </w:rPr>
        <w:t xml:space="preserve"> </w:t>
      </w:r>
      <w:r w:rsidRPr="00FF386D">
        <w:rPr>
          <w:rFonts w:asciiTheme="majorHAnsi" w:eastAsia="Calibri" w:hAnsiTheme="majorHAnsi" w:cstheme="majorHAnsi"/>
        </w:rPr>
        <w:t>у наставку.</w:t>
      </w:r>
    </w:p>
    <w:p w14:paraId="2878522E" w14:textId="2E6C2955" w:rsidR="00E06443" w:rsidRDefault="00E06443" w:rsidP="00565B02">
      <w:pPr>
        <w:pStyle w:val="Caption"/>
        <w:keepNext/>
      </w:pPr>
      <w:bookmarkStart w:id="337" w:name="_Ref153884627"/>
      <w:bookmarkStart w:id="338" w:name="_Toc153901409"/>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63</w:t>
      </w:r>
      <w:r w:rsidR="00F35B2C">
        <w:fldChar w:fldCharType="end"/>
      </w:r>
      <w:bookmarkEnd w:id="337"/>
      <w:r>
        <w:t xml:space="preserve">: </w:t>
      </w:r>
      <w:r w:rsidRPr="00E06443">
        <w:t>Преглед организација за истраживање и развој по областима науке (извор: Републички завод за статистику)</w:t>
      </w:r>
      <w:bookmarkEnd w:id="338"/>
    </w:p>
    <w:p w14:paraId="7EFE98D6" w14:textId="77777777" w:rsidR="002A1A23" w:rsidRPr="00FF386D" w:rsidRDefault="002A1A23" w:rsidP="002A1A23">
      <w:pPr>
        <w:jc w:val="center"/>
        <w:rPr>
          <w:rFonts w:ascii="Calibri" w:eastAsia="Calibri" w:hAnsi="Calibri" w:cs="Times New Roman"/>
          <w:lang w:bidi="sr-Cyrl-CS"/>
        </w:rPr>
      </w:pPr>
      <w:r w:rsidRPr="004F53D7">
        <w:rPr>
          <w:rFonts w:ascii="Calibri" w:eastAsia="Calibri" w:hAnsi="Calibri" w:cs="Times New Roman"/>
          <w:noProof/>
          <w:lang w:val="en-US"/>
        </w:rPr>
        <w:drawing>
          <wp:inline distT="0" distB="0" distL="0" distR="0" wp14:anchorId="1EE36B4B" wp14:editId="1597CD07">
            <wp:extent cx="4444365" cy="2566670"/>
            <wp:effectExtent l="0" t="0" r="0" b="0"/>
            <wp:docPr id="622761973" name="Picture 62276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44365" cy="2566670"/>
                    </a:xfrm>
                    <a:prstGeom prst="rect">
                      <a:avLst/>
                    </a:prstGeom>
                    <a:noFill/>
                  </pic:spPr>
                </pic:pic>
              </a:graphicData>
            </a:graphic>
          </wp:inline>
        </w:drawing>
      </w:r>
    </w:p>
    <w:p w14:paraId="083A4933" w14:textId="21FB58A1" w:rsidR="002A1A23" w:rsidRPr="00FF386D" w:rsidRDefault="00A324D4" w:rsidP="002A1A23">
      <w:pPr>
        <w:jc w:val="both"/>
        <w:rPr>
          <w:rFonts w:ascii="Calibri Light" w:eastAsia="Calibri" w:hAnsi="Calibri Light" w:cs="Calibri Light"/>
        </w:rPr>
      </w:pPr>
      <w:bookmarkStart w:id="339" w:name="_Hlk135817261"/>
      <w:r w:rsidRPr="00FF386D">
        <w:rPr>
          <w:rFonts w:ascii="Calibri Light" w:eastAsia="Calibri" w:hAnsi="Calibri Light" w:cs="Calibri Light"/>
          <w:lang w:bidi="sr-Cyrl-CS"/>
        </w:rPr>
        <w:t xml:space="preserve">Србија је 2020. године имала 23.524 стално запослена и хонорарно запослена лица ангажована у активностима истраживања и развоја, од којих је 62,4% било запослено у сектору терцијарног образовања, 23,5% у владином сектору и 14,1% у пословном сектору. Детаљан преглед запослених по секторима и областима дат је на </w:t>
      </w:r>
      <w:bookmarkEnd w:id="339"/>
      <w:r w:rsidR="00E06443">
        <w:rPr>
          <w:rFonts w:ascii="Calibri Light" w:eastAsia="Calibri" w:hAnsi="Calibri Light" w:cs="Calibri Light"/>
          <w:lang w:bidi="sr-Cyrl-CS"/>
        </w:rPr>
        <w:fldChar w:fldCharType="begin"/>
      </w:r>
      <w:r w:rsidR="00E06443">
        <w:rPr>
          <w:rFonts w:ascii="Calibri Light" w:eastAsia="Calibri" w:hAnsi="Calibri Light" w:cs="Calibri Light"/>
          <w:lang w:bidi="sr-Cyrl-CS"/>
        </w:rPr>
        <w:instrText xml:space="preserve"> REF _Ref153884696 \h  \* MERGEFORMAT </w:instrText>
      </w:r>
      <w:r w:rsidR="00E06443">
        <w:rPr>
          <w:rFonts w:ascii="Calibri Light" w:eastAsia="Calibri" w:hAnsi="Calibri Light" w:cs="Calibri Light"/>
          <w:lang w:bidi="sr-Cyrl-CS"/>
        </w:rPr>
      </w:r>
      <w:r w:rsidR="00E06443">
        <w:rPr>
          <w:rFonts w:ascii="Calibri Light" w:eastAsia="Calibri" w:hAnsi="Calibri Light" w:cs="Calibri Light"/>
          <w:lang w:bidi="sr-Cyrl-CS"/>
        </w:rPr>
        <w:fldChar w:fldCharType="separate"/>
      </w:r>
      <w:r w:rsidR="00E06443" w:rsidRPr="00565B02">
        <w:rPr>
          <w:rFonts w:ascii="Calibri Light" w:eastAsia="Calibri" w:hAnsi="Calibri Light" w:cs="Calibri Light"/>
          <w:lang w:bidi="sr-Cyrl-CS"/>
        </w:rPr>
        <w:t>слици 4.64</w:t>
      </w:r>
      <w:r w:rsidR="00E06443">
        <w:rPr>
          <w:rFonts w:ascii="Calibri Light" w:eastAsia="Calibri" w:hAnsi="Calibri Light" w:cs="Calibri Light"/>
          <w:lang w:bidi="sr-Cyrl-CS"/>
        </w:rPr>
        <w:fldChar w:fldCharType="end"/>
      </w:r>
      <w:r w:rsidR="00E06443">
        <w:rPr>
          <w:rFonts w:ascii="Calibri Light" w:eastAsia="Calibri" w:hAnsi="Calibri Light" w:cs="Calibri Light"/>
          <w:lang w:bidi="sr-Cyrl-CS"/>
        </w:rPr>
        <w:t xml:space="preserve"> </w:t>
      </w:r>
      <w:r w:rsidR="002A1A23" w:rsidRPr="00FF386D">
        <w:rPr>
          <w:rFonts w:ascii="Calibri Light" w:eastAsia="Calibri" w:hAnsi="Calibri Light" w:cs="Calibri Light"/>
        </w:rPr>
        <w:t>у наставку.</w:t>
      </w:r>
    </w:p>
    <w:p w14:paraId="4E943B96" w14:textId="013C2D19" w:rsidR="00E06443" w:rsidRDefault="00E06443" w:rsidP="00565B02">
      <w:pPr>
        <w:pStyle w:val="Caption"/>
        <w:keepNext/>
      </w:pPr>
      <w:bookmarkStart w:id="340" w:name="_Ref153884696"/>
      <w:bookmarkStart w:id="341" w:name="_Toc153901410"/>
      <w:r>
        <w:lastRenderedPageBreak/>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64</w:t>
      </w:r>
      <w:r w:rsidR="00F35B2C">
        <w:fldChar w:fldCharType="end"/>
      </w:r>
      <w:bookmarkEnd w:id="340"/>
      <w:r>
        <w:t xml:space="preserve">: </w:t>
      </w:r>
      <w:r w:rsidRPr="00E06443">
        <w:t>Број запослених ангажованих у активностима истраживања и развоја (извор: Републички завод за статистику)</w:t>
      </w:r>
      <w:bookmarkEnd w:id="341"/>
    </w:p>
    <w:p w14:paraId="6B0102D8" w14:textId="77777777" w:rsidR="002A1A23" w:rsidRPr="00FF386D" w:rsidRDefault="002A1A23" w:rsidP="00565B02">
      <w:pPr>
        <w:jc w:val="center"/>
        <w:rPr>
          <w:rFonts w:ascii="Calibri" w:eastAsia="Calibri" w:hAnsi="Calibri" w:cs="Times New Roman"/>
          <w:lang w:bidi="sr-Cyrl-CS"/>
        </w:rPr>
      </w:pPr>
      <w:r w:rsidRPr="004F53D7">
        <w:rPr>
          <w:rFonts w:ascii="Calibri" w:eastAsia="Calibri" w:hAnsi="Calibri" w:cs="Times New Roman"/>
          <w:noProof/>
          <w:lang w:val="en-US"/>
        </w:rPr>
        <w:drawing>
          <wp:inline distT="0" distB="0" distL="0" distR="0" wp14:anchorId="7BA14288" wp14:editId="74825610">
            <wp:extent cx="5517515" cy="2859405"/>
            <wp:effectExtent l="0" t="0" r="0" b="0"/>
            <wp:docPr id="141653718" name="Picture 14165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517515" cy="2859405"/>
                    </a:xfrm>
                    <a:prstGeom prst="rect">
                      <a:avLst/>
                    </a:prstGeom>
                    <a:noFill/>
                  </pic:spPr>
                </pic:pic>
              </a:graphicData>
            </a:graphic>
          </wp:inline>
        </w:drawing>
      </w:r>
    </w:p>
    <w:p w14:paraId="20D70531" w14:textId="070D312B" w:rsidR="002A1A23" w:rsidRPr="00FF386D" w:rsidRDefault="00A324D4" w:rsidP="002A1A23">
      <w:pPr>
        <w:jc w:val="both"/>
        <w:rPr>
          <w:rFonts w:ascii="Calibri Light" w:eastAsia="Calibri" w:hAnsi="Calibri Light" w:cs="Calibri Light"/>
        </w:rPr>
      </w:pPr>
      <w:r w:rsidRPr="00FF386D">
        <w:rPr>
          <w:rFonts w:ascii="Calibri Light" w:eastAsia="Calibri" w:hAnsi="Calibri Light" w:cs="Calibri Light"/>
          <w:lang w:bidi="sr-Cyrl-CS"/>
        </w:rPr>
        <w:t>У 2020. години преовлађују основни истраживачки радови (54,3%), док значајни удео имају примењени истраживачки радови (29,8%), а најмање развојно истраживачки радови (15,9%). Међутим, сектор високог образовања био је најпродуктивнији по броју изведених истраживачких радова (7.731 пројекат и студија), а следи га владин сектор (3.860 пројеката и студија). У оба сектора приоритет су били основни истраживачки радови, 60,2% у владином сектору и 59,2% у сектору терцијарног образовања. На крају, пословни сектор је усмерен на раст продуктивности, са 54,7% примењених истраживачких радова и 34,9% развојних пројеката и студија</w:t>
      </w:r>
      <w:r w:rsidR="002A1A23" w:rsidRPr="00FF386D">
        <w:rPr>
          <w:rFonts w:ascii="Calibri Light" w:eastAsia="Calibri" w:hAnsi="Calibri Light" w:cs="Calibri Light"/>
          <w:lang w:bidi="sr-Cyrl-CS"/>
        </w:rPr>
        <w:t xml:space="preserve">. </w:t>
      </w:r>
      <w:r w:rsidR="00E06443">
        <w:rPr>
          <w:rFonts w:ascii="Calibri Light" w:eastAsia="Calibri" w:hAnsi="Calibri Light" w:cs="Calibri Light"/>
          <w:lang w:bidi="sr-Cyrl-CS"/>
        </w:rPr>
        <w:fldChar w:fldCharType="begin"/>
      </w:r>
      <w:r w:rsidR="00E06443">
        <w:rPr>
          <w:rFonts w:ascii="Calibri Light" w:eastAsia="Calibri" w:hAnsi="Calibri Light" w:cs="Calibri Light"/>
          <w:lang w:bidi="sr-Cyrl-CS"/>
        </w:rPr>
        <w:instrText xml:space="preserve"> REF _Ref153884757 \h  \* MERGEFORMAT </w:instrText>
      </w:r>
      <w:r w:rsidR="00E06443">
        <w:rPr>
          <w:rFonts w:ascii="Calibri Light" w:eastAsia="Calibri" w:hAnsi="Calibri Light" w:cs="Calibri Light"/>
          <w:lang w:bidi="sr-Cyrl-CS"/>
        </w:rPr>
      </w:r>
      <w:r w:rsidR="00E06443">
        <w:rPr>
          <w:rFonts w:ascii="Calibri Light" w:eastAsia="Calibri" w:hAnsi="Calibri Light" w:cs="Calibri Light"/>
          <w:lang w:bidi="sr-Cyrl-CS"/>
        </w:rPr>
        <w:fldChar w:fldCharType="separate"/>
      </w:r>
      <w:r w:rsidR="00E06443" w:rsidRPr="00565B02">
        <w:rPr>
          <w:rFonts w:ascii="Calibri Light" w:eastAsia="Calibri" w:hAnsi="Calibri Light" w:cs="Calibri Light"/>
          <w:lang w:bidi="sr-Cyrl-CS"/>
        </w:rPr>
        <w:t>Слика 4.65</w:t>
      </w:r>
      <w:r w:rsidR="00E06443">
        <w:rPr>
          <w:rFonts w:ascii="Calibri Light" w:eastAsia="Calibri" w:hAnsi="Calibri Light" w:cs="Calibri Light"/>
          <w:lang w:bidi="sr-Cyrl-CS"/>
        </w:rPr>
        <w:fldChar w:fldCharType="end"/>
      </w:r>
      <w:r w:rsidR="00E06443">
        <w:rPr>
          <w:rFonts w:ascii="Calibri Light" w:eastAsia="Calibri" w:hAnsi="Calibri Light" w:cs="Calibri Light"/>
          <w:lang w:bidi="sr-Cyrl-CS"/>
        </w:rPr>
        <w:t xml:space="preserve"> </w:t>
      </w:r>
      <w:r w:rsidR="002A1A23" w:rsidRPr="00FF386D">
        <w:rPr>
          <w:rFonts w:ascii="Calibri Light" w:eastAsia="Calibri" w:hAnsi="Calibri Light" w:cs="Calibri Light"/>
          <w:lang w:bidi="sr-Cyrl-CS"/>
        </w:rPr>
        <w:t>у наставку представља анализу истраживачких радова на нивоу земље по врсти и области.</w:t>
      </w:r>
    </w:p>
    <w:p w14:paraId="00859DB6" w14:textId="64DACE42" w:rsidR="00E06443" w:rsidRDefault="00E06443" w:rsidP="00565B02">
      <w:pPr>
        <w:pStyle w:val="Caption"/>
        <w:keepNext/>
      </w:pPr>
      <w:bookmarkStart w:id="342" w:name="_Ref153884757"/>
      <w:bookmarkStart w:id="343" w:name="_Toc153901411"/>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65</w:t>
      </w:r>
      <w:r w:rsidR="00F35B2C">
        <w:fldChar w:fldCharType="end"/>
      </w:r>
      <w:bookmarkEnd w:id="342"/>
      <w:r>
        <w:t xml:space="preserve">: </w:t>
      </w:r>
      <w:r w:rsidRPr="00E06443">
        <w:t>Преглед истраживачких радова по областима науке и врсти (извор: Републички завод за статистику)</w:t>
      </w:r>
      <w:bookmarkEnd w:id="343"/>
    </w:p>
    <w:p w14:paraId="00300C49" w14:textId="77777777" w:rsidR="002A1A23" w:rsidRPr="00FF386D" w:rsidRDefault="002A1A23" w:rsidP="002A1A23">
      <w:pPr>
        <w:jc w:val="center"/>
        <w:rPr>
          <w:rFonts w:ascii="Calibri" w:eastAsia="Calibri" w:hAnsi="Calibri" w:cs="Times New Roman"/>
          <w:lang w:bidi="sr-Cyrl-CS"/>
        </w:rPr>
      </w:pPr>
      <w:r w:rsidRPr="004F53D7">
        <w:rPr>
          <w:rFonts w:ascii="Calibri" w:eastAsia="Calibri" w:hAnsi="Calibri" w:cs="Times New Roman"/>
          <w:noProof/>
          <w:lang w:val="en-US"/>
        </w:rPr>
        <w:drawing>
          <wp:inline distT="0" distB="0" distL="0" distR="0" wp14:anchorId="472C8AFD" wp14:editId="12DCEA66">
            <wp:extent cx="5414010" cy="2944495"/>
            <wp:effectExtent l="0" t="0" r="0" b="0"/>
            <wp:docPr id="997946734" name="Picture 997946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14010" cy="2944495"/>
                    </a:xfrm>
                    <a:prstGeom prst="rect">
                      <a:avLst/>
                    </a:prstGeom>
                    <a:noFill/>
                  </pic:spPr>
                </pic:pic>
              </a:graphicData>
            </a:graphic>
          </wp:inline>
        </w:drawing>
      </w:r>
    </w:p>
    <w:p w14:paraId="4E53FB20" w14:textId="2E031BCB" w:rsidR="002A1A23" w:rsidRPr="00FF386D" w:rsidRDefault="00A324D4" w:rsidP="002A1A23">
      <w:pPr>
        <w:jc w:val="both"/>
        <w:rPr>
          <w:rFonts w:ascii="Calibri Light" w:eastAsia="Calibri" w:hAnsi="Calibri Light" w:cs="Calibri Light"/>
        </w:rPr>
      </w:pPr>
      <w:bookmarkStart w:id="344" w:name="_Hlk135817307"/>
      <w:r w:rsidRPr="00FF386D">
        <w:rPr>
          <w:rFonts w:ascii="Calibri Light" w:eastAsia="Calibri" w:hAnsi="Calibri Light" w:cs="Calibri Light"/>
          <w:lang w:bidi="sr-Cyrl-CS"/>
        </w:rPr>
        <w:t xml:space="preserve">Према званичној статистици, у 2020. години било је 21.877 предузећа, од чега су 84% велика предузећа, 13% средња предузећа и 3% мала предузећа. Учешће тих привредних субјеката са барем једном врстом иновације је 54,79%. Више од 69% великих привредних субјеката је иновативно, као и око 58% средњих </w:t>
      </w:r>
      <w:r w:rsidRPr="00FF386D">
        <w:rPr>
          <w:rFonts w:ascii="Calibri Light" w:eastAsia="Calibri" w:hAnsi="Calibri Light" w:cs="Calibri Light"/>
          <w:lang w:bidi="sr-Cyrl-CS"/>
        </w:rPr>
        <w:lastRenderedPageBreak/>
        <w:t>привредних субјеката и око 54% малих привредних субјеката</w:t>
      </w:r>
      <w:bookmarkEnd w:id="344"/>
      <w:r w:rsidRPr="00FF386D">
        <w:rPr>
          <w:rFonts w:ascii="Calibri Light" w:eastAsia="Calibri" w:hAnsi="Calibri Light" w:cs="Calibri Light"/>
          <w:lang w:bidi="sr-Cyrl-CS"/>
        </w:rPr>
        <w:t xml:space="preserve">. </w:t>
      </w:r>
      <w:r w:rsidR="002A1A23" w:rsidRPr="00FF386D">
        <w:rPr>
          <w:rFonts w:ascii="Calibri Light" w:eastAsia="Calibri" w:hAnsi="Calibri Light" w:cs="Calibri Light"/>
        </w:rPr>
        <w:t xml:space="preserve">На </w:t>
      </w:r>
      <w:r w:rsidR="00774832">
        <w:rPr>
          <w:rFonts w:ascii="Calibri Light" w:eastAsia="Calibri" w:hAnsi="Calibri Light" w:cs="Calibri Light"/>
        </w:rPr>
        <w:fldChar w:fldCharType="begin"/>
      </w:r>
      <w:r w:rsidR="00774832">
        <w:rPr>
          <w:rFonts w:ascii="Calibri Light" w:eastAsia="Calibri" w:hAnsi="Calibri Light" w:cs="Calibri Light"/>
        </w:rPr>
        <w:instrText xml:space="preserve"> REF _Ref153884826 \h </w:instrText>
      </w:r>
      <w:r w:rsidR="00774832">
        <w:rPr>
          <w:rFonts w:ascii="Calibri Light" w:eastAsia="Calibri" w:hAnsi="Calibri Light" w:cs="Calibri Light"/>
        </w:rPr>
      </w:r>
      <w:r w:rsidR="00774832">
        <w:rPr>
          <w:rFonts w:ascii="Calibri Light" w:eastAsia="Calibri" w:hAnsi="Calibri Light" w:cs="Calibri Light"/>
        </w:rPr>
        <w:fldChar w:fldCharType="separate"/>
      </w:r>
      <w:r w:rsidR="00774832">
        <w:t xml:space="preserve">слици </w:t>
      </w:r>
      <w:r w:rsidR="00774832">
        <w:rPr>
          <w:noProof/>
        </w:rPr>
        <w:t>4</w:t>
      </w:r>
      <w:r w:rsidR="00774832">
        <w:t>.</w:t>
      </w:r>
      <w:r w:rsidR="00774832">
        <w:rPr>
          <w:noProof/>
        </w:rPr>
        <w:t>66</w:t>
      </w:r>
      <w:r w:rsidR="00774832">
        <w:rPr>
          <w:rFonts w:ascii="Calibri Light" w:eastAsia="Calibri" w:hAnsi="Calibri Light" w:cs="Calibri Light"/>
        </w:rPr>
        <w:fldChar w:fldCharType="end"/>
      </w:r>
      <w:r w:rsidR="00774832">
        <w:rPr>
          <w:rFonts w:ascii="Calibri Light" w:eastAsia="Calibri" w:hAnsi="Calibri Light" w:cs="Calibri Light"/>
        </w:rPr>
        <w:t xml:space="preserve"> </w:t>
      </w:r>
      <w:r w:rsidR="002A1A23" w:rsidRPr="00FF386D">
        <w:rPr>
          <w:rFonts w:ascii="Calibri Light" w:eastAsia="Calibri" w:hAnsi="Calibri Light" w:cs="Calibri Light"/>
        </w:rPr>
        <w:t xml:space="preserve">у наставку </w:t>
      </w:r>
      <w:r w:rsidR="002A1A23" w:rsidRPr="00FF386D">
        <w:rPr>
          <w:rFonts w:ascii="Calibri Light" w:eastAsia="Calibri" w:hAnsi="Calibri Light" w:cs="Calibri Light"/>
          <w:lang w:bidi="sr-Cyrl-CS"/>
        </w:rPr>
        <w:t>приказан је преглед иновативних предузећа по сектору.</w:t>
      </w:r>
    </w:p>
    <w:p w14:paraId="2C9AF26B" w14:textId="60C96EA9" w:rsidR="00774832" w:rsidRDefault="00774832" w:rsidP="00565B02">
      <w:pPr>
        <w:pStyle w:val="Caption"/>
        <w:keepNext/>
      </w:pPr>
      <w:bookmarkStart w:id="345" w:name="_Ref153884826"/>
      <w:bookmarkStart w:id="346" w:name="_Toc153901412"/>
      <w:r>
        <w:t xml:space="preserve">Слика </w:t>
      </w:r>
      <w:r w:rsidR="00F35B2C">
        <w:fldChar w:fldCharType="begin"/>
      </w:r>
      <w:r w:rsidR="00F35B2C">
        <w:instrText xml:space="preserve"> STYLEREF 1 \s </w:instrText>
      </w:r>
      <w:r w:rsidR="00F35B2C">
        <w:fldChar w:fldCharType="separate"/>
      </w:r>
      <w:r w:rsidR="00F35B2C">
        <w:rPr>
          <w:noProof/>
        </w:rPr>
        <w:t>4</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66</w:t>
      </w:r>
      <w:r w:rsidR="00F35B2C">
        <w:fldChar w:fldCharType="end"/>
      </w:r>
      <w:bookmarkEnd w:id="345"/>
      <w:r>
        <w:t xml:space="preserve">: </w:t>
      </w:r>
      <w:r w:rsidRPr="00774832">
        <w:t>Преглед иновативних предузећа по делатностима (извор: Завод за интелектуалну својину Републике Србије)</w:t>
      </w:r>
      <w:bookmarkEnd w:id="346"/>
    </w:p>
    <w:p w14:paraId="5427FA95" w14:textId="77777777" w:rsidR="002A1A23" w:rsidRPr="00FF386D" w:rsidRDefault="002A1A23" w:rsidP="002A1A23">
      <w:pPr>
        <w:jc w:val="center"/>
        <w:rPr>
          <w:rFonts w:ascii="Calibri" w:eastAsia="Calibri" w:hAnsi="Calibri" w:cs="Times New Roman"/>
          <w:lang w:bidi="sr-Cyrl-CS"/>
        </w:rPr>
      </w:pPr>
      <w:r w:rsidRPr="004F53D7">
        <w:rPr>
          <w:rFonts w:ascii="Calibri" w:eastAsia="Calibri" w:hAnsi="Calibri" w:cs="Times New Roman"/>
          <w:noProof/>
          <w:lang w:val="en-US"/>
        </w:rPr>
        <w:drawing>
          <wp:inline distT="0" distB="0" distL="0" distR="0" wp14:anchorId="40190067" wp14:editId="1A3155D9">
            <wp:extent cx="5956300" cy="2889885"/>
            <wp:effectExtent l="0" t="0" r="0" b="0"/>
            <wp:docPr id="1644364317" name="Picture 1644364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56300" cy="2889885"/>
                    </a:xfrm>
                    <a:prstGeom prst="rect">
                      <a:avLst/>
                    </a:prstGeom>
                    <a:noFill/>
                  </pic:spPr>
                </pic:pic>
              </a:graphicData>
            </a:graphic>
          </wp:inline>
        </w:drawing>
      </w:r>
    </w:p>
    <w:p w14:paraId="074C2A86" w14:textId="77777777" w:rsidR="00A324D4" w:rsidRPr="00FF386D" w:rsidRDefault="00A324D4" w:rsidP="00A324D4">
      <w:pPr>
        <w:jc w:val="both"/>
        <w:rPr>
          <w:rFonts w:asciiTheme="majorHAnsi" w:hAnsiTheme="majorHAnsi" w:cstheme="majorHAnsi"/>
        </w:rPr>
      </w:pPr>
      <w:bookmarkStart w:id="347" w:name="_Hlk135817328"/>
      <w:r w:rsidRPr="00FF386D">
        <w:rPr>
          <w:rFonts w:asciiTheme="majorHAnsi" w:hAnsiTheme="majorHAnsi" w:cstheme="majorHAnsi"/>
          <w:lang w:bidi="sr-Cyrl-CS"/>
        </w:rPr>
        <w:t>У 2020. години укупан број регистрованих патената био је 1.546 патената, од чега 56 признатих по националном поступку, 28 уписаних у Регистар на основу Споразума о сарадњи и проширењу са Европским заводом за патенте и 1.462 на основу Закона о потврђивању Конвенцијe о признавању европских патената. Од 56 одобрених патената, 52 су била патенти резидената и 4 нерезидената. Од укупног броја патената признатих у националном поступку, 84,2% су патенти физичких лица, а 15,8% правних лица.</w:t>
      </w:r>
      <w:bookmarkEnd w:id="347"/>
    </w:p>
    <w:p w14:paraId="06B0545E" w14:textId="77777777" w:rsidR="00895DC4" w:rsidRPr="00FF386D" w:rsidRDefault="00895DC4">
      <w:pPr>
        <w:spacing w:line="259" w:lineRule="auto"/>
        <w:rPr>
          <w:lang w:eastAsia="el-GR"/>
        </w:rPr>
      </w:pPr>
      <w:r w:rsidRPr="00FF386D">
        <w:rPr>
          <w:lang w:eastAsia="el-GR"/>
        </w:rPr>
        <w:br w:type="page"/>
      </w:r>
    </w:p>
    <w:p w14:paraId="35A1587D" w14:textId="4A1D3810" w:rsidR="00895DC4" w:rsidRPr="00FF386D" w:rsidRDefault="00331283" w:rsidP="00F83802">
      <w:pPr>
        <w:pStyle w:val="Heading1"/>
      </w:pPr>
      <w:bookmarkStart w:id="348" w:name="_Toc137457035"/>
      <w:bookmarkStart w:id="349" w:name="_Toc153901557"/>
      <w:r w:rsidRPr="00FF386D">
        <w:lastRenderedPageBreak/>
        <w:t>ПРОЦЕНА УТИЦАЈА ПЛАНИРАНИХ ПОЛИТИКА И МЕР</w:t>
      </w:r>
      <w:r w:rsidR="00416143" w:rsidRPr="00FF386D">
        <w:t>A</w:t>
      </w:r>
      <w:bookmarkEnd w:id="348"/>
      <w:bookmarkEnd w:id="349"/>
    </w:p>
    <w:p w14:paraId="2303B9F7" w14:textId="64F0D7E1" w:rsidR="00416143" w:rsidRPr="00FF386D" w:rsidRDefault="0035784B" w:rsidP="0057310C">
      <w:pPr>
        <w:jc w:val="both"/>
        <w:rPr>
          <w:rFonts w:ascii="Calibri Light" w:eastAsia="Calibri" w:hAnsi="Calibri Light" w:cs="Calibri Light"/>
        </w:rPr>
      </w:pPr>
      <w:bookmarkStart w:id="350" w:name="_Toc79772566"/>
      <w:r>
        <w:rPr>
          <w:rFonts w:ascii="Calibri Light" w:eastAsia="Calibri" w:hAnsi="Calibri Light" w:cs="Calibri Light"/>
          <w:lang w:bidi="sr-Cyrl-CS"/>
        </w:rPr>
        <w:t xml:space="preserve">Процена утицаја додатних, </w:t>
      </w:r>
      <w:r w:rsidRPr="000A2AFE">
        <w:rPr>
          <w:rFonts w:ascii="Calibri Light" w:eastAsia="Calibri" w:hAnsi="Calibri Light" w:cs="Calibri Light"/>
          <w:b/>
          <w:bCs/>
          <w:lang w:bidi="sr-Cyrl-CS"/>
        </w:rPr>
        <w:t>планираних политика и мера,</w:t>
      </w:r>
      <w:r>
        <w:rPr>
          <w:rFonts w:ascii="Calibri Light" w:eastAsia="Calibri" w:hAnsi="Calibri Light" w:cs="Calibri Light"/>
          <w:lang w:bidi="sr-Cyrl-CS"/>
        </w:rPr>
        <w:t xml:space="preserve"> квантификованих коришћењем алата за моделирање, приказана је у постојећем поглављу. Како је поменуто раније, ова пројекција одговара имплементацији додатних мера, </w:t>
      </w:r>
      <w:r w:rsidR="00416143" w:rsidRPr="00FF386D">
        <w:rPr>
          <w:rFonts w:ascii="Calibri Light" w:eastAsia="Calibri" w:hAnsi="Calibri Light" w:cs="Calibri Light"/>
          <w:lang w:bidi="sr-Cyrl-CS"/>
        </w:rPr>
        <w:t>чији је циљ смањење емисија и повећање ОИЕ и ЕЕ до 2030. године,</w:t>
      </w:r>
      <w:r w:rsidR="00CB7A08">
        <w:rPr>
          <w:rFonts w:ascii="Calibri Light" w:eastAsia="Calibri" w:hAnsi="Calibri Light" w:cs="Calibri Light"/>
          <w:lang w:val="en-US" w:bidi="sr-Cyrl-CS"/>
        </w:rPr>
        <w:t xml:space="preserve"> a</w:t>
      </w:r>
      <w:r w:rsidR="00416143" w:rsidRPr="00FF386D">
        <w:rPr>
          <w:rFonts w:ascii="Calibri Light" w:eastAsia="Calibri" w:hAnsi="Calibri Light" w:cs="Calibri Light"/>
          <w:lang w:bidi="sr-Cyrl-CS"/>
        </w:rPr>
        <w:t xml:space="preserve"> означен</w:t>
      </w:r>
      <w:r w:rsidR="00CB7A08">
        <w:rPr>
          <w:rFonts w:ascii="Calibri Light" w:eastAsia="Calibri" w:hAnsi="Calibri Light" w:cs="Calibri Light"/>
          <w:lang w:val="en-US" w:bidi="sr-Cyrl-CS"/>
        </w:rPr>
        <w:t>a</w:t>
      </w:r>
      <w:r w:rsidR="00416143" w:rsidRPr="00FF386D">
        <w:rPr>
          <w:rFonts w:ascii="Calibri Light" w:eastAsia="Calibri" w:hAnsi="Calibri Light" w:cs="Calibri Light"/>
          <w:lang w:bidi="sr-Cyrl-CS"/>
        </w:rPr>
        <w:t xml:space="preserve"> је </w:t>
      </w:r>
      <w:r w:rsidR="00416143" w:rsidRPr="00FF386D">
        <w:rPr>
          <w:rFonts w:ascii="Calibri Light" w:eastAsia="Calibri" w:hAnsi="Calibri Light" w:cs="Calibri Light"/>
        </w:rPr>
        <w:t xml:space="preserve">у </w:t>
      </w:r>
      <w:r w:rsidR="00416143" w:rsidRPr="00FF386D">
        <w:rPr>
          <w:rFonts w:ascii="Calibri Light" w:eastAsia="Calibri" w:hAnsi="Calibri Light" w:cs="Calibri Light"/>
          <w:lang w:bidi="sr-Cyrl-CS"/>
        </w:rPr>
        <w:t xml:space="preserve">наредним одељцима као </w:t>
      </w:r>
      <w:r w:rsidR="00416143" w:rsidRPr="00FF386D">
        <w:rPr>
          <w:rFonts w:ascii="Calibri Light" w:eastAsia="Calibri" w:hAnsi="Calibri Light" w:cs="Calibri Light"/>
          <w:b/>
          <w:i/>
          <w:lang w:bidi="sr-Cyrl-CS"/>
        </w:rPr>
        <w:t>Сценарио S</w:t>
      </w:r>
      <w:r w:rsidR="00416143" w:rsidRPr="00FF386D">
        <w:rPr>
          <w:rFonts w:ascii="Calibri Light" w:eastAsia="Calibri" w:hAnsi="Calibri Light" w:cs="Calibri Light"/>
          <w:lang w:bidi="sr-Cyrl-CS"/>
        </w:rPr>
        <w:t>. У овом сценарију се спроводи низ мера, са циљем постепеног смањења емисија до 2030. године, док се процес декарбонизације интензивира, да би након тога фокус био на ниском нивоу емисија до 2050. године.</w:t>
      </w:r>
    </w:p>
    <w:p w14:paraId="6101EDEE" w14:textId="0696AEC2" w:rsidR="00416143" w:rsidRPr="00CB7A08" w:rsidRDefault="00416143" w:rsidP="0057310C">
      <w:pPr>
        <w:jc w:val="both"/>
        <w:rPr>
          <w:rFonts w:ascii="Calibri Light" w:eastAsia="Calibri" w:hAnsi="Calibri Light" w:cs="Calibri Light"/>
        </w:rPr>
      </w:pPr>
      <w:r w:rsidRPr="00FF386D">
        <w:rPr>
          <w:rFonts w:ascii="Calibri Light" w:eastAsia="Calibri" w:hAnsi="Calibri Light" w:cs="Calibri Light"/>
          <w:lang w:bidi="sr-Cyrl-CS"/>
        </w:rPr>
        <w:t xml:space="preserve">Варијација сценарија </w:t>
      </w:r>
      <w:r w:rsidRPr="00FF386D">
        <w:rPr>
          <w:rFonts w:ascii="Calibri Light" w:eastAsia="Calibri" w:hAnsi="Calibri Light" w:cs="Calibri Light"/>
          <w:i/>
          <w:lang w:bidi="sr-Cyrl-CS"/>
        </w:rPr>
        <w:t>S</w:t>
      </w:r>
      <w:r w:rsidR="00CB7A08">
        <w:rPr>
          <w:rFonts w:ascii="Calibri Light" w:eastAsia="Calibri" w:hAnsi="Calibri Light" w:cs="Calibri Light"/>
          <w:lang w:val="en-US" w:bidi="sr-Cyrl-CS"/>
        </w:rPr>
        <w:t>,</w:t>
      </w:r>
      <w:r w:rsidRPr="00FF386D">
        <w:rPr>
          <w:rFonts w:ascii="Calibri Light" w:eastAsia="Calibri" w:hAnsi="Calibri Light" w:cs="Calibri Light"/>
          <w:lang w:bidi="sr-Cyrl-CS"/>
        </w:rPr>
        <w:t xml:space="preserve">означена као </w:t>
      </w:r>
      <w:r w:rsidRPr="00FF386D">
        <w:rPr>
          <w:rFonts w:ascii="Calibri Light" w:eastAsia="Calibri" w:hAnsi="Calibri Light" w:cs="Calibri Light"/>
          <w:b/>
          <w:i/>
          <w:lang w:bidi="sr-Cyrl-CS"/>
        </w:rPr>
        <w:t>Сценарио S-N</w:t>
      </w:r>
      <w:r w:rsidR="00CB7A08">
        <w:rPr>
          <w:rFonts w:ascii="Calibri Light" w:eastAsia="Calibri" w:hAnsi="Calibri Light" w:cs="Calibri Light"/>
          <w:lang w:val="en-US" w:bidi="sr-Cyrl-CS"/>
        </w:rPr>
        <w:t>,</w:t>
      </w:r>
      <w:r w:rsidRPr="00FF386D">
        <w:rPr>
          <w:rFonts w:ascii="Calibri Light" w:eastAsia="Calibri" w:hAnsi="Calibri Light" w:cs="Calibri Light"/>
          <w:lang w:bidi="sr-Cyrl-CS"/>
        </w:rPr>
        <w:t xml:space="preserve">разматра увођење нуклеарних електрана </w:t>
      </w:r>
      <w:r w:rsidR="00BF718A">
        <w:rPr>
          <w:rFonts w:ascii="Calibri Light" w:eastAsia="Calibri" w:hAnsi="Calibri Light" w:cs="Calibri Light"/>
          <w:lang w:bidi="sr-Cyrl-CS"/>
        </w:rPr>
        <w:t xml:space="preserve">укупног </w:t>
      </w:r>
      <w:r w:rsidRPr="00FF386D">
        <w:rPr>
          <w:rFonts w:ascii="Calibri Light" w:eastAsia="Calibri" w:hAnsi="Calibri Light" w:cs="Calibri Light"/>
          <w:lang w:bidi="sr-Cyrl-CS"/>
        </w:rPr>
        <w:t>капацитета до 1.</w:t>
      </w:r>
      <w:r w:rsidR="00927F4B" w:rsidRPr="00FF386D">
        <w:rPr>
          <w:rFonts w:ascii="Calibri Light" w:eastAsia="Calibri" w:hAnsi="Calibri Light" w:cs="Calibri Light"/>
          <w:lang w:bidi="sr-Cyrl-CS"/>
        </w:rPr>
        <w:t>0</w:t>
      </w:r>
      <w:r w:rsidRPr="00FF386D">
        <w:rPr>
          <w:rFonts w:ascii="Calibri Light" w:eastAsia="Calibri" w:hAnsi="Calibri Light" w:cs="Calibri Light"/>
          <w:lang w:bidi="sr-Cyrl-CS"/>
        </w:rPr>
        <w:t>00 МW у електроенергетски систем Србије</w:t>
      </w:r>
      <w:r w:rsidR="00E54A39" w:rsidRPr="00FF386D">
        <w:rPr>
          <w:rFonts w:ascii="Calibri Light" w:eastAsia="Calibri" w:hAnsi="Calibri Light" w:cs="Calibri Light"/>
          <w:lang w:bidi="sr-Cyrl-CS"/>
        </w:rPr>
        <w:t xml:space="preserve"> након 2040. године</w:t>
      </w:r>
      <w:r w:rsidRPr="00FF386D">
        <w:rPr>
          <w:rFonts w:ascii="Calibri Light" w:eastAsia="Calibri" w:hAnsi="Calibri Light" w:cs="Calibri Light"/>
          <w:lang w:bidi="sr-Cyrl-CS"/>
        </w:rPr>
        <w:t xml:space="preserve">, како би се </w:t>
      </w:r>
      <w:r w:rsidR="00CB7A08">
        <w:rPr>
          <w:rFonts w:ascii="Calibri Light" w:eastAsia="Calibri" w:hAnsi="Calibri Light" w:cs="Calibri Light"/>
          <w:lang w:bidi="sr-Cyrl-CS"/>
        </w:rPr>
        <w:t>размотрио могући допринос</w:t>
      </w:r>
      <w:r w:rsidRPr="00FF386D">
        <w:rPr>
          <w:rFonts w:ascii="Calibri Light" w:eastAsia="Calibri" w:hAnsi="Calibri Light" w:cs="Calibri Light"/>
          <w:lang w:bidi="sr-Cyrl-CS"/>
        </w:rPr>
        <w:t xml:space="preserve"> пут</w:t>
      </w:r>
      <w:r w:rsidR="00CB7A08">
        <w:rPr>
          <w:rFonts w:ascii="Calibri Light" w:eastAsia="Calibri" w:hAnsi="Calibri Light" w:cs="Calibri Light"/>
          <w:lang w:bidi="sr-Cyrl-CS"/>
        </w:rPr>
        <w:t>у</w:t>
      </w:r>
      <w:r w:rsidRPr="00FF386D">
        <w:rPr>
          <w:rFonts w:ascii="Calibri Light" w:eastAsia="Calibri" w:hAnsi="Calibri Light" w:cs="Calibri Light"/>
          <w:lang w:bidi="sr-Cyrl-CS"/>
        </w:rPr>
        <w:t xml:space="preserve"> декарбонизације до 2050. године. </w:t>
      </w:r>
      <w:r w:rsidR="00CB7A08">
        <w:rPr>
          <w:rFonts w:ascii="Calibri Light" w:eastAsia="Calibri" w:hAnsi="Calibri Light" w:cs="Calibri Light"/>
          <w:lang w:bidi="sr-Cyrl-CS"/>
        </w:rPr>
        <w:t xml:space="preserve">У следећим одељцима пројекције за </w:t>
      </w:r>
      <w:r w:rsidR="007B1676">
        <w:rPr>
          <w:rFonts w:ascii="Calibri Light" w:eastAsia="Calibri" w:hAnsi="Calibri Light" w:cs="Calibri Light"/>
          <w:lang w:bidi="sr-Cyrl-CS"/>
        </w:rPr>
        <w:t xml:space="preserve">Сценарио </w:t>
      </w:r>
      <w:r w:rsidR="007B1676" w:rsidRPr="000A2AFE">
        <w:rPr>
          <w:rFonts w:ascii="Calibri Light" w:eastAsia="Calibri" w:hAnsi="Calibri Light" w:cs="Calibri Light"/>
          <w:i/>
          <w:iCs/>
          <w:lang w:bidi="sr-Cyrl-CS"/>
        </w:rPr>
        <w:t>S</w:t>
      </w:r>
      <w:r w:rsidR="00CB7A08">
        <w:rPr>
          <w:rFonts w:ascii="Calibri Light" w:eastAsia="Calibri" w:hAnsi="Calibri Light" w:cs="Calibri Light"/>
          <w:lang w:bidi="sr-Cyrl-CS"/>
        </w:rPr>
        <w:t xml:space="preserve"> </w:t>
      </w:r>
      <w:r w:rsidR="00CB7A08" w:rsidRPr="000A2AFE">
        <w:rPr>
          <w:rFonts w:ascii="Calibri Light" w:eastAsia="Calibri" w:hAnsi="Calibri Light" w:cs="Calibri Light"/>
          <w:b/>
          <w:bCs/>
          <w:lang w:bidi="sr-Cyrl-CS"/>
        </w:rPr>
        <w:t>се пореде</w:t>
      </w:r>
      <w:r w:rsidR="00CB7A08">
        <w:rPr>
          <w:rFonts w:ascii="Calibri Light" w:eastAsia="Calibri" w:hAnsi="Calibri Light" w:cs="Calibri Light"/>
          <w:lang w:bidi="sr-Cyrl-CS"/>
        </w:rPr>
        <w:t xml:space="preserve"> са пројекцијама сценарија </w:t>
      </w:r>
      <w:r w:rsidR="00CB7A08" w:rsidRPr="000A2AFE">
        <w:rPr>
          <w:rFonts w:ascii="Calibri Light" w:eastAsia="Calibri" w:hAnsi="Calibri Light" w:cs="Calibri Light"/>
          <w:i/>
          <w:iCs/>
          <w:lang w:val="en-US" w:bidi="sr-Cyrl-CS"/>
        </w:rPr>
        <w:t xml:space="preserve">WEM </w:t>
      </w:r>
      <w:r w:rsidR="00CB7A08">
        <w:rPr>
          <w:rFonts w:ascii="Calibri Light" w:eastAsia="Calibri" w:hAnsi="Calibri Light" w:cs="Calibri Light"/>
          <w:lang w:val="en-US" w:bidi="sr-Cyrl-CS"/>
        </w:rPr>
        <w:t>(</w:t>
      </w:r>
      <w:r w:rsidR="00CB7A08">
        <w:rPr>
          <w:rFonts w:ascii="Calibri Light" w:eastAsia="Calibri" w:hAnsi="Calibri Light" w:cs="Calibri Light"/>
          <w:lang w:bidi="sr-Cyrl-CS"/>
        </w:rPr>
        <w:t>који је детаљно описан у Поглављу 4) како би се приказали додатни напори које је потребно уложити у свакој од димензија за постизање циљева ИНЕКП-а.</w:t>
      </w:r>
    </w:p>
    <w:p w14:paraId="22119BF4" w14:textId="6763C833" w:rsidR="00416143" w:rsidRPr="00FF386D" w:rsidRDefault="00CB7A08" w:rsidP="0057310C">
      <w:pPr>
        <w:jc w:val="both"/>
        <w:rPr>
          <w:rFonts w:ascii="Calibri Light" w:eastAsia="Calibri" w:hAnsi="Calibri Light" w:cs="Calibri Light"/>
        </w:rPr>
      </w:pPr>
      <w:r>
        <w:rPr>
          <w:rFonts w:ascii="Calibri Light" w:eastAsia="Calibri" w:hAnsi="Calibri Light" w:cs="Calibri Light"/>
          <w:lang w:bidi="sr-Cyrl-CS"/>
        </w:rPr>
        <w:t>Неки од најважнијих инпута овог сценарија обухватају о</w:t>
      </w:r>
      <w:r w:rsidR="00BF718A">
        <w:rPr>
          <w:rFonts w:ascii="Calibri Light" w:eastAsia="Calibri" w:hAnsi="Calibri Light" w:cs="Calibri Light"/>
          <w:lang w:bidi="sr-Cyrl-CS"/>
        </w:rPr>
        <w:t>бнов</w:t>
      </w:r>
      <w:r>
        <w:rPr>
          <w:rFonts w:ascii="Calibri Light" w:eastAsia="Calibri" w:hAnsi="Calibri Light" w:cs="Calibri Light"/>
          <w:lang w:bidi="sr-Cyrl-CS"/>
        </w:rPr>
        <w:t>у</w:t>
      </w:r>
      <w:r w:rsidR="00BF718A" w:rsidRPr="00FF386D">
        <w:rPr>
          <w:rFonts w:ascii="Calibri Light" w:eastAsia="Calibri" w:hAnsi="Calibri Light" w:cs="Calibri Light"/>
          <w:lang w:bidi="sr-Cyrl-CS"/>
        </w:rPr>
        <w:t xml:space="preserve"> </w:t>
      </w:r>
      <w:r w:rsidR="00416143" w:rsidRPr="00FF386D">
        <w:rPr>
          <w:rFonts w:ascii="Calibri Light" w:eastAsia="Calibri" w:hAnsi="Calibri Light" w:cs="Calibri Light"/>
          <w:lang w:bidi="sr-Cyrl-CS"/>
        </w:rPr>
        <w:t>зграда</w:t>
      </w:r>
      <w:r>
        <w:rPr>
          <w:rFonts w:ascii="Calibri Light" w:eastAsia="Calibri" w:hAnsi="Calibri Light" w:cs="Calibri Light"/>
          <w:lang w:bidi="sr-Cyrl-CS"/>
        </w:rPr>
        <w:t>, која</w:t>
      </w:r>
      <w:r w:rsidR="00416143" w:rsidRPr="00FF386D">
        <w:rPr>
          <w:rFonts w:ascii="Calibri Light" w:eastAsia="Calibri" w:hAnsi="Calibri Light" w:cs="Calibri Light"/>
          <w:lang w:bidi="sr-Cyrl-CS"/>
        </w:rPr>
        <w:t xml:space="preserve"> се активно промовише, како за стамбене зграде (са годишњом стопом од 1%</w:t>
      </w:r>
      <w:r w:rsidR="00E54A39" w:rsidRPr="00FF386D">
        <w:rPr>
          <w:rFonts w:ascii="Calibri Light" w:eastAsia="Calibri" w:hAnsi="Calibri Light" w:cs="Calibri Light"/>
          <w:lang w:bidi="sr-Cyrl-CS"/>
        </w:rPr>
        <w:t xml:space="preserve"> до 1,5% за вишепородичне зграде и 0,5 % за породичне објекте</w:t>
      </w:r>
      <w:r w:rsidR="00416143" w:rsidRPr="00FF386D">
        <w:rPr>
          <w:rFonts w:ascii="Calibri Light" w:eastAsia="Calibri" w:hAnsi="Calibri Light" w:cs="Calibri Light"/>
          <w:lang w:bidi="sr-Cyrl-CS"/>
        </w:rPr>
        <w:t xml:space="preserve">), тако и за, претежно, зграде јавног сектора (годишња стопа </w:t>
      </w:r>
      <w:r w:rsidR="00BF718A">
        <w:rPr>
          <w:rFonts w:ascii="Calibri Light" w:eastAsia="Calibri" w:hAnsi="Calibri Light" w:cs="Calibri Light"/>
          <w:lang w:bidi="sr-Cyrl-CS"/>
        </w:rPr>
        <w:t>обнове</w:t>
      </w:r>
      <w:r w:rsidR="00BF718A" w:rsidRPr="00FF386D">
        <w:rPr>
          <w:rFonts w:ascii="Calibri Light" w:eastAsia="Calibri" w:hAnsi="Calibri Light" w:cs="Calibri Light"/>
          <w:lang w:bidi="sr-Cyrl-CS"/>
        </w:rPr>
        <w:t xml:space="preserve"> </w:t>
      </w:r>
      <w:r w:rsidR="00416143" w:rsidRPr="00FF386D">
        <w:rPr>
          <w:rFonts w:ascii="Calibri Light" w:eastAsia="Calibri" w:hAnsi="Calibri Light" w:cs="Calibri Light"/>
          <w:lang w:bidi="sr-Cyrl-CS"/>
        </w:rPr>
        <w:t>до 2030. године од 3</w:t>
      </w:r>
      <w:r w:rsidR="00E54A39" w:rsidRPr="00FF386D">
        <w:rPr>
          <w:rFonts w:ascii="Calibri Light" w:eastAsia="Calibri" w:hAnsi="Calibri Light" w:cs="Calibri Light"/>
          <w:lang w:bidi="sr-Cyrl-CS"/>
        </w:rPr>
        <w:t>,3</w:t>
      </w:r>
      <w:r w:rsidR="00416143" w:rsidRPr="00FF386D">
        <w:rPr>
          <w:rFonts w:ascii="Calibri Light" w:eastAsia="Calibri" w:hAnsi="Calibri Light" w:cs="Calibri Light"/>
          <w:lang w:bidi="sr-Cyrl-CS"/>
        </w:rPr>
        <w:t>%)</w:t>
      </w:r>
      <w:r w:rsidR="00E54A39" w:rsidRPr="00FF386D">
        <w:rPr>
          <w:rFonts w:ascii="Calibri Light" w:eastAsia="Calibri" w:hAnsi="Calibri Light" w:cs="Calibri Light"/>
          <w:lang w:bidi="sr-Cyrl-CS"/>
        </w:rPr>
        <w:t xml:space="preserve"> и друге нестамбене зграде (2,3% годишња стопа </w:t>
      </w:r>
      <w:r w:rsidR="00BF718A">
        <w:rPr>
          <w:rFonts w:ascii="Calibri Light" w:eastAsia="Calibri" w:hAnsi="Calibri Light" w:cs="Calibri Light"/>
          <w:lang w:bidi="sr-Cyrl-CS"/>
        </w:rPr>
        <w:t>обнове</w:t>
      </w:r>
      <w:r w:rsidR="00BF718A" w:rsidRPr="00FF386D">
        <w:rPr>
          <w:rFonts w:ascii="Calibri Light" w:eastAsia="Calibri" w:hAnsi="Calibri Light" w:cs="Calibri Light"/>
          <w:lang w:bidi="sr-Cyrl-CS"/>
        </w:rPr>
        <w:t xml:space="preserve"> </w:t>
      </w:r>
      <w:r w:rsidR="00E54A39" w:rsidRPr="00FF386D">
        <w:rPr>
          <w:rFonts w:ascii="Calibri Light" w:eastAsia="Calibri" w:hAnsi="Calibri Light" w:cs="Calibri Light"/>
          <w:lang w:bidi="sr-Cyrl-CS"/>
        </w:rPr>
        <w:t xml:space="preserve">до 2030. године), </w:t>
      </w:r>
      <w:r w:rsidR="00416143" w:rsidRPr="00FF386D">
        <w:rPr>
          <w:rFonts w:ascii="Calibri Light" w:eastAsia="Calibri" w:hAnsi="Calibri Light" w:cs="Calibri Light"/>
          <w:lang w:bidi="sr-Cyrl-CS"/>
        </w:rPr>
        <w:t xml:space="preserve">при чему се ова стопа удвостручава до 2050. године. Електрификација грејања и саобраћаја је повезана са повећаним уделом ОИЕ у производњи електричне енергије, док се </w:t>
      </w:r>
      <w:r w:rsidR="00A012CF">
        <w:rPr>
          <w:rFonts w:ascii="Calibri Light" w:eastAsia="Calibri" w:hAnsi="Calibri Light" w:cs="Calibri Light"/>
          <w:lang w:bidi="sr-Cyrl-CS"/>
        </w:rPr>
        <w:t>обновљиви</w:t>
      </w:r>
      <w:r w:rsidR="00A012CF" w:rsidRPr="00FF386D">
        <w:rPr>
          <w:rFonts w:ascii="Calibri Light" w:eastAsia="Calibri" w:hAnsi="Calibri Light" w:cs="Calibri Light"/>
          <w:lang w:bidi="sr-Cyrl-CS"/>
        </w:rPr>
        <w:t xml:space="preserve"> </w:t>
      </w:r>
      <w:r w:rsidR="00416143" w:rsidRPr="00FF386D">
        <w:rPr>
          <w:rFonts w:ascii="Calibri Light" w:eastAsia="Calibri" w:hAnsi="Calibri Light" w:cs="Calibri Light"/>
          <w:lang w:bidi="sr-Cyrl-CS"/>
        </w:rPr>
        <w:t>водоник увод</w:t>
      </w:r>
      <w:r w:rsidR="00E54A39" w:rsidRPr="00FF386D">
        <w:rPr>
          <w:rFonts w:ascii="Calibri Light" w:eastAsia="Calibri" w:hAnsi="Calibri Light" w:cs="Calibri Light"/>
          <w:lang w:bidi="sr-Cyrl-CS"/>
        </w:rPr>
        <w:t>и</w:t>
      </w:r>
      <w:r w:rsidR="00416143" w:rsidRPr="00FF386D">
        <w:rPr>
          <w:rFonts w:ascii="Calibri Light" w:eastAsia="Calibri" w:hAnsi="Calibri Light" w:cs="Calibri Light"/>
          <w:lang w:bidi="sr-Cyrl-CS"/>
        </w:rPr>
        <w:t xml:space="preserve"> </w:t>
      </w:r>
      <w:r w:rsidR="00AD20F9" w:rsidRPr="00FF386D">
        <w:rPr>
          <w:rFonts w:ascii="Calibri Light" w:eastAsia="Calibri" w:hAnsi="Calibri Light" w:cs="Calibri Light"/>
          <w:lang w:bidi="sr-Cyrl-CS"/>
        </w:rPr>
        <w:t>иницијално</w:t>
      </w:r>
      <w:r w:rsidR="00416143" w:rsidRPr="00FF386D">
        <w:rPr>
          <w:rFonts w:ascii="Calibri Light" w:eastAsia="Calibri" w:hAnsi="Calibri Light" w:cs="Calibri Light"/>
          <w:lang w:bidi="sr-Cyrl-CS"/>
        </w:rPr>
        <w:t xml:space="preserve"> </w:t>
      </w:r>
      <w:r w:rsidR="00E54A39" w:rsidRPr="00FF386D">
        <w:rPr>
          <w:rFonts w:ascii="Calibri Light" w:eastAsia="Calibri" w:hAnsi="Calibri Light" w:cs="Calibri Light"/>
          <w:lang w:bidi="sr-Cyrl-CS"/>
        </w:rPr>
        <w:t>у демонстрационе пројекте</w:t>
      </w:r>
      <w:r w:rsidR="00416143" w:rsidRPr="00FF386D">
        <w:rPr>
          <w:rFonts w:ascii="Calibri Light" w:eastAsia="Calibri" w:hAnsi="Calibri Light" w:cs="Calibri Light"/>
          <w:lang w:bidi="sr-Cyrl-CS"/>
        </w:rPr>
        <w:t xml:space="preserve">, а после 2030. године се </w:t>
      </w:r>
      <w:r w:rsidR="00A012CF" w:rsidRPr="00FF386D">
        <w:rPr>
          <w:rFonts w:ascii="Calibri Light" w:eastAsia="Calibri" w:hAnsi="Calibri Light" w:cs="Calibri Light"/>
          <w:lang w:bidi="sr-Cyrl-CS"/>
        </w:rPr>
        <w:t>корист</w:t>
      </w:r>
      <w:r w:rsidR="00A012CF">
        <w:rPr>
          <w:rFonts w:ascii="Calibri Light" w:eastAsia="Calibri" w:hAnsi="Calibri Light" w:cs="Calibri Light"/>
          <w:lang w:bidi="sr-Cyrl-CS"/>
        </w:rPr>
        <w:t>и</w:t>
      </w:r>
      <w:r w:rsidR="00A012CF" w:rsidRPr="00FF386D">
        <w:rPr>
          <w:rFonts w:ascii="Calibri Light" w:eastAsia="Calibri" w:hAnsi="Calibri Light" w:cs="Calibri Light"/>
          <w:lang w:bidi="sr-Cyrl-CS"/>
        </w:rPr>
        <w:t xml:space="preserve"> </w:t>
      </w:r>
      <w:r w:rsidR="00416143" w:rsidRPr="00FF386D">
        <w:rPr>
          <w:rFonts w:ascii="Calibri Light" w:eastAsia="Calibri" w:hAnsi="Calibri Light" w:cs="Calibri Light"/>
          <w:lang w:bidi="sr-Cyrl-CS"/>
        </w:rPr>
        <w:t xml:space="preserve">у већем обиму. </w:t>
      </w:r>
      <w:r w:rsidR="003B5631" w:rsidRPr="00FF386D">
        <w:rPr>
          <w:rFonts w:ascii="Calibri Light" w:eastAsia="Calibri" w:hAnsi="Calibri Light" w:cs="Calibri Light"/>
          <w:lang w:bidi="sr-Cyrl-CS"/>
        </w:rPr>
        <w:t xml:space="preserve">Биометан се постепено </w:t>
      </w:r>
      <w:r w:rsidR="00F523F2" w:rsidRPr="00FF386D">
        <w:rPr>
          <w:rFonts w:ascii="Calibri Light" w:eastAsia="Calibri" w:hAnsi="Calibri Light" w:cs="Calibri Light"/>
          <w:lang w:bidi="sr-Cyrl-CS"/>
        </w:rPr>
        <w:t xml:space="preserve">уводи </w:t>
      </w:r>
      <w:r w:rsidR="003B5631" w:rsidRPr="00FF386D">
        <w:rPr>
          <w:rFonts w:ascii="Calibri Light" w:eastAsia="Calibri" w:hAnsi="Calibri Light" w:cs="Calibri Light"/>
          <w:lang w:bidi="sr-Cyrl-CS"/>
        </w:rPr>
        <w:t xml:space="preserve">у </w:t>
      </w:r>
      <w:r w:rsidR="00F523F2" w:rsidRPr="00FF386D">
        <w:rPr>
          <w:rFonts w:ascii="Calibri Light" w:eastAsia="Calibri" w:hAnsi="Calibri Light" w:cs="Calibri Light"/>
          <w:lang w:bidi="sr-Cyrl-CS"/>
        </w:rPr>
        <w:t xml:space="preserve">сектор топлотне енергије и користи се за намешавања са природним гасом, заједно са </w:t>
      </w:r>
      <w:r w:rsidR="00A012CF" w:rsidRPr="00A012CF">
        <w:rPr>
          <w:rFonts w:ascii="Calibri Light" w:eastAsia="Calibri" w:hAnsi="Calibri Light" w:cs="Calibri Light"/>
          <w:lang w:bidi="sr-Cyrl-CS"/>
        </w:rPr>
        <w:t>обновљиви</w:t>
      </w:r>
      <w:r w:rsidR="00F523F2" w:rsidRPr="00FF386D">
        <w:rPr>
          <w:rFonts w:ascii="Calibri Light" w:eastAsia="Calibri" w:hAnsi="Calibri Light" w:cs="Calibri Light"/>
          <w:lang w:bidi="sr-Cyrl-CS"/>
        </w:rPr>
        <w:t>м водоником након 2030. године.</w:t>
      </w:r>
    </w:p>
    <w:p w14:paraId="1898A6FA" w14:textId="1203537B" w:rsidR="00416143" w:rsidRPr="00FF386D" w:rsidRDefault="00416143" w:rsidP="00416143">
      <w:pPr>
        <w:jc w:val="both"/>
        <w:rPr>
          <w:rFonts w:ascii="Calibri Light" w:eastAsia="Calibri" w:hAnsi="Calibri Light" w:cs="Calibri Light"/>
          <w:lang w:bidi="sr-Cyrl-CS"/>
        </w:rPr>
      </w:pPr>
      <w:r w:rsidRPr="00FF386D">
        <w:rPr>
          <w:rFonts w:ascii="Calibri Light" w:eastAsia="Calibri" w:hAnsi="Calibri Light" w:cs="Calibri Light"/>
          <w:lang w:bidi="sr-Cyrl-CS"/>
        </w:rPr>
        <w:t xml:space="preserve">Одређивање цена угљеника је укључено у овај скуп сценарија за секторе утврђене у </w:t>
      </w:r>
      <w:r w:rsidRPr="00FF386D">
        <w:rPr>
          <w:rFonts w:ascii="Calibri Light" w:eastAsia="Calibri" w:hAnsi="Calibri Light" w:cs="Calibri Light"/>
          <w:i/>
          <w:iCs/>
          <w:lang w:bidi="sr-Cyrl-CS"/>
        </w:rPr>
        <w:t>ЕU</w:t>
      </w:r>
      <w:r w:rsidRPr="00FF386D">
        <w:rPr>
          <w:rFonts w:ascii="Calibri Light" w:eastAsia="Calibri" w:hAnsi="Calibri Light" w:cs="Calibri Light"/>
          <w:lang w:bidi="sr-Cyrl-CS"/>
        </w:rPr>
        <w:t>-</w:t>
      </w:r>
      <w:r w:rsidRPr="00FF386D">
        <w:rPr>
          <w:rFonts w:ascii="Calibri Light" w:eastAsia="Calibri" w:hAnsi="Calibri Light" w:cs="Calibri Light"/>
          <w:i/>
          <w:lang w:bidi="sr-Cyrl-CS"/>
        </w:rPr>
        <w:t>ETS</w:t>
      </w:r>
      <w:r w:rsidRPr="00FF386D">
        <w:rPr>
          <w:rFonts w:ascii="Calibri Light" w:eastAsia="Calibri" w:hAnsi="Calibri Light" w:cs="Calibri Light"/>
          <w:lang w:bidi="sr-Cyrl-CS"/>
        </w:rPr>
        <w:t xml:space="preserve"> шеми према вредностима у</w:t>
      </w:r>
      <w:r w:rsidR="00774832">
        <w:rPr>
          <w:rFonts w:ascii="Calibri Light" w:eastAsia="Calibri" w:hAnsi="Calibri Light" w:cs="Calibri Light"/>
          <w:lang w:bidi="sr-Cyrl-CS"/>
        </w:rPr>
        <w:t xml:space="preserve"> </w:t>
      </w:r>
      <w:r w:rsidR="00774832">
        <w:rPr>
          <w:rFonts w:ascii="Calibri Light" w:eastAsia="Calibri" w:hAnsi="Calibri Light" w:cs="Calibri Light"/>
          <w:lang w:bidi="sr-Cyrl-CS"/>
        </w:rPr>
        <w:fldChar w:fldCharType="begin"/>
      </w:r>
      <w:r w:rsidR="00774832">
        <w:rPr>
          <w:rFonts w:ascii="Calibri Light" w:eastAsia="Calibri" w:hAnsi="Calibri Light" w:cs="Calibri Light"/>
          <w:lang w:bidi="sr-Cyrl-CS"/>
        </w:rPr>
        <w:instrText xml:space="preserve"> REF _Ref153884920 \h  \* MERGEFORMAT </w:instrText>
      </w:r>
      <w:r w:rsidR="00774832">
        <w:rPr>
          <w:rFonts w:ascii="Calibri Light" w:eastAsia="Calibri" w:hAnsi="Calibri Light" w:cs="Calibri Light"/>
          <w:lang w:bidi="sr-Cyrl-CS"/>
        </w:rPr>
      </w:r>
      <w:r w:rsidR="00774832">
        <w:rPr>
          <w:rFonts w:ascii="Calibri Light" w:eastAsia="Calibri" w:hAnsi="Calibri Light" w:cs="Calibri Light"/>
          <w:lang w:bidi="sr-Cyrl-CS"/>
        </w:rPr>
        <w:fldChar w:fldCharType="separate"/>
      </w:r>
      <w:r w:rsidR="00774832" w:rsidRPr="00565B02">
        <w:rPr>
          <w:rFonts w:ascii="Calibri Light" w:eastAsia="Calibri" w:hAnsi="Calibri Light" w:cs="Calibri Light"/>
          <w:lang w:bidi="sr-Cyrl-CS"/>
        </w:rPr>
        <w:t>табели 5.1</w:t>
      </w:r>
      <w:r w:rsidR="00774832">
        <w:rPr>
          <w:rFonts w:ascii="Calibri Light" w:eastAsia="Calibri" w:hAnsi="Calibri Light" w:cs="Calibri Light"/>
          <w:lang w:bidi="sr-Cyrl-CS"/>
        </w:rPr>
        <w:fldChar w:fldCharType="end"/>
      </w:r>
      <w:r w:rsidRPr="00FF386D">
        <w:rPr>
          <w:rFonts w:ascii="Calibri Light" w:eastAsia="Calibri" w:hAnsi="Calibri Light" w:cs="Calibri Light"/>
          <w:lang w:bidi="sr-Cyrl-CS"/>
        </w:rPr>
        <w:t xml:space="preserve">. </w:t>
      </w:r>
      <w:r w:rsidR="00BF718A" w:rsidRPr="00BF718A">
        <w:rPr>
          <w:rFonts w:ascii="Calibri Light" w:eastAsia="Calibri" w:hAnsi="Calibri Light" w:cs="Calibri Light"/>
          <w:lang w:bidi="sr-Cyrl-CS"/>
        </w:rPr>
        <w:t xml:space="preserve">Основна претпоставка је да </w:t>
      </w:r>
      <w:r w:rsidR="00BF718A">
        <w:rPr>
          <w:rFonts w:ascii="Calibri Light" w:eastAsia="Calibri" w:hAnsi="Calibri Light" w:cs="Calibri Light"/>
          <w:lang w:bidi="sr-Cyrl-CS"/>
        </w:rPr>
        <w:t>с</w:t>
      </w:r>
      <w:r w:rsidR="00BF718A" w:rsidRPr="00BF718A">
        <w:rPr>
          <w:rFonts w:ascii="Calibri Light" w:eastAsia="Calibri" w:hAnsi="Calibri Light" w:cs="Calibri Light"/>
          <w:lang w:bidi="sr-Cyrl-CS"/>
        </w:rPr>
        <w:t xml:space="preserve">е </w:t>
      </w:r>
      <w:r w:rsidR="00BF718A">
        <w:rPr>
          <w:rFonts w:ascii="Calibri Light" w:eastAsia="Calibri" w:hAnsi="Calibri Light" w:cs="Calibri Light"/>
          <w:lang w:bidi="sr-Cyrl-CS"/>
        </w:rPr>
        <w:t>цена емисија</w:t>
      </w:r>
      <w:r w:rsidR="00BF718A" w:rsidRPr="00BF718A">
        <w:rPr>
          <w:rFonts w:ascii="Calibri Light" w:eastAsia="Calibri" w:hAnsi="Calibri Light" w:cs="Calibri Light"/>
          <w:lang w:bidi="sr-Cyrl-CS"/>
        </w:rPr>
        <w:t xml:space="preserve"> CO</w:t>
      </w:r>
      <w:r w:rsidR="00BF718A" w:rsidRPr="000A2AFE">
        <w:rPr>
          <w:rFonts w:ascii="Calibri Light" w:eastAsia="Calibri" w:hAnsi="Calibri Light" w:cs="Calibri Light"/>
          <w:vertAlign w:val="subscript"/>
          <w:lang w:bidi="sr-Cyrl-CS"/>
        </w:rPr>
        <w:t>2</w:t>
      </w:r>
      <w:r w:rsidR="00BF718A" w:rsidRPr="00BF718A">
        <w:rPr>
          <w:rFonts w:ascii="Calibri Light" w:eastAsia="Calibri" w:hAnsi="Calibri Light" w:cs="Calibri Light"/>
          <w:lang w:bidi="sr-Cyrl-CS"/>
        </w:rPr>
        <w:t xml:space="preserve"> ув</w:t>
      </w:r>
      <w:r w:rsidR="00BF718A">
        <w:rPr>
          <w:rFonts w:ascii="Calibri Light" w:eastAsia="Calibri" w:hAnsi="Calibri Light" w:cs="Calibri Light"/>
          <w:lang w:bidi="sr-Cyrl-CS"/>
        </w:rPr>
        <w:t>о</w:t>
      </w:r>
      <w:r w:rsidR="00BF718A" w:rsidRPr="00BF718A">
        <w:rPr>
          <w:rFonts w:ascii="Calibri Light" w:eastAsia="Calibri" w:hAnsi="Calibri Light" w:cs="Calibri Light"/>
          <w:lang w:bidi="sr-Cyrl-CS"/>
        </w:rPr>
        <w:t>д</w:t>
      </w:r>
      <w:r w:rsidR="00BF718A">
        <w:rPr>
          <w:rFonts w:ascii="Calibri Light" w:eastAsia="Calibri" w:hAnsi="Calibri Light" w:cs="Calibri Light"/>
          <w:lang w:bidi="sr-Cyrl-CS"/>
        </w:rPr>
        <w:t>и</w:t>
      </w:r>
      <w:r w:rsidR="00BF718A" w:rsidRPr="00BF718A">
        <w:rPr>
          <w:rFonts w:ascii="Calibri Light" w:eastAsia="Calibri" w:hAnsi="Calibri Light" w:cs="Calibri Light"/>
          <w:lang w:bidi="sr-Cyrl-CS"/>
        </w:rPr>
        <w:t xml:space="preserve"> 2027. године по ниској стопи од 4€/t, а да </w:t>
      </w:r>
      <w:r w:rsidR="00BF718A">
        <w:rPr>
          <w:rFonts w:ascii="Calibri Light" w:eastAsia="Calibri" w:hAnsi="Calibri Light" w:cs="Calibri Light"/>
          <w:lang w:bidi="sr-Cyrl-CS"/>
        </w:rPr>
        <w:t>с</w:t>
      </w:r>
      <w:r w:rsidR="00BF718A" w:rsidRPr="00BF718A">
        <w:rPr>
          <w:rFonts w:ascii="Calibri Light" w:eastAsia="Calibri" w:hAnsi="Calibri Light" w:cs="Calibri Light"/>
          <w:lang w:bidi="sr-Cyrl-CS"/>
        </w:rPr>
        <w:t xml:space="preserve">е затим повећана на 40€/t у 2030. години, што одговара половини цене EU-ETS која је пројектована у документу “Recommended parameters for reporting on GHG projections in 2023” </w:t>
      </w:r>
      <w:r w:rsidR="00BF718A">
        <w:rPr>
          <w:rFonts w:ascii="Calibri Light" w:eastAsia="Calibri" w:hAnsi="Calibri Light" w:cs="Calibri Light"/>
          <w:lang w:bidi="sr-Cyrl-CS"/>
        </w:rPr>
        <w:t>(</w:t>
      </w:r>
      <w:r w:rsidR="00BF718A" w:rsidRPr="00BF718A">
        <w:rPr>
          <w:rFonts w:ascii="Calibri Light" w:eastAsia="Calibri" w:hAnsi="Calibri Light" w:cs="Calibri Light"/>
          <w:lang w:bidi="sr-Cyrl-CS"/>
        </w:rPr>
        <w:t>EC DG Climate Action</w:t>
      </w:r>
      <w:r w:rsidR="00BF718A">
        <w:rPr>
          <w:rFonts w:ascii="Calibri Light" w:eastAsia="Calibri" w:hAnsi="Calibri Light" w:cs="Calibri Light"/>
          <w:lang w:bidi="sr-Cyrl-CS"/>
        </w:rPr>
        <w:t>)</w:t>
      </w:r>
      <w:r w:rsidR="00BF718A" w:rsidRPr="00BF718A">
        <w:rPr>
          <w:rFonts w:ascii="Calibri Light" w:eastAsia="Calibri" w:hAnsi="Calibri Light" w:cs="Calibri Light"/>
          <w:lang w:bidi="sr-Cyrl-CS"/>
        </w:rPr>
        <w:t>, a да достиже пуну пројектовану цену EU-ETS до 2045. године.</w:t>
      </w:r>
    </w:p>
    <w:p w14:paraId="41365143" w14:textId="265EF926" w:rsidR="00774832" w:rsidRDefault="00774832" w:rsidP="00565B02">
      <w:pPr>
        <w:pStyle w:val="Caption"/>
        <w:keepNext/>
      </w:pPr>
      <w:bookmarkStart w:id="351" w:name="_Ref153884920"/>
      <w:bookmarkStart w:id="352" w:name="_Toc153901477"/>
      <w:r>
        <w:t xml:space="preserve">Табела </w:t>
      </w:r>
      <w:r w:rsidR="00873C40">
        <w:fldChar w:fldCharType="begin"/>
      </w:r>
      <w:r w:rsidR="00873C40">
        <w:instrText xml:space="preserve"> STYLEREF 1 \s </w:instrText>
      </w:r>
      <w:r w:rsidR="00873C40">
        <w:fldChar w:fldCharType="separate"/>
      </w:r>
      <w:r w:rsidR="00873C40">
        <w:rPr>
          <w:noProof/>
        </w:rPr>
        <w:t>5</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1</w:t>
      </w:r>
      <w:r w:rsidR="00873C40">
        <w:fldChar w:fldCharType="end"/>
      </w:r>
      <w:bookmarkEnd w:id="351"/>
      <w:r>
        <w:t xml:space="preserve">: </w:t>
      </w:r>
      <w:r w:rsidRPr="00774832">
        <w:t>Пројекције одређивања цена угљеника</w:t>
      </w:r>
      <w:bookmarkEnd w:id="352"/>
    </w:p>
    <w:tbl>
      <w:tblPr>
        <w:tblW w:w="5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5"/>
        <w:gridCol w:w="926"/>
        <w:gridCol w:w="926"/>
        <w:gridCol w:w="926"/>
        <w:gridCol w:w="926"/>
        <w:gridCol w:w="926"/>
      </w:tblGrid>
      <w:tr w:rsidR="00DD5F82" w:rsidRPr="00FF386D" w14:paraId="23AE3A40" w14:textId="77777777" w:rsidTr="00DD5F82">
        <w:trPr>
          <w:trHeight w:val="353"/>
          <w:jc w:val="center"/>
        </w:trPr>
        <w:tc>
          <w:tcPr>
            <w:tcW w:w="1165" w:type="dxa"/>
            <w:shd w:val="clear" w:color="auto" w:fill="auto"/>
            <w:vAlign w:val="center"/>
            <w:hideMark/>
          </w:tcPr>
          <w:p w14:paraId="5D5E3790" w14:textId="77777777" w:rsidR="00DD5F82" w:rsidRPr="00FF386D" w:rsidRDefault="00DD5F82" w:rsidP="00D24C20">
            <w:pPr>
              <w:spacing w:after="0" w:line="240" w:lineRule="auto"/>
              <w:jc w:val="center"/>
              <w:rPr>
                <w:rFonts w:ascii="Calibri Light" w:eastAsia="Times New Roman" w:hAnsi="Calibri Light" w:cs="Calibri Light"/>
                <w:b/>
                <w:bCs/>
                <w:color w:val="000000"/>
                <w:lang w:eastAsia="en-GB"/>
              </w:rPr>
            </w:pPr>
          </w:p>
        </w:tc>
        <w:tc>
          <w:tcPr>
            <w:tcW w:w="926" w:type="dxa"/>
            <w:shd w:val="clear" w:color="auto" w:fill="auto"/>
            <w:vAlign w:val="center"/>
            <w:hideMark/>
          </w:tcPr>
          <w:p w14:paraId="7B00DD61" w14:textId="1D7A21AD" w:rsidR="00DD5F82" w:rsidRPr="00FF386D" w:rsidRDefault="00DD5F82" w:rsidP="00D24C20">
            <w:pPr>
              <w:spacing w:after="0" w:line="240" w:lineRule="auto"/>
              <w:jc w:val="center"/>
              <w:rPr>
                <w:rFonts w:ascii="Calibri Light" w:eastAsia="Times New Roman" w:hAnsi="Calibri Light" w:cs="Calibri Light"/>
                <w:b/>
                <w:bCs/>
                <w:color w:val="000000"/>
                <w:lang w:eastAsia="en-GB"/>
              </w:rPr>
            </w:pPr>
            <w:r w:rsidRPr="00FF386D">
              <w:rPr>
                <w:rFonts w:ascii="Calibri Light" w:eastAsia="Times New Roman" w:hAnsi="Calibri Light" w:cs="Calibri Light"/>
                <w:b/>
                <w:bCs/>
                <w:color w:val="000000"/>
                <w:lang w:eastAsia="en-GB"/>
              </w:rPr>
              <w:t>2030.</w:t>
            </w:r>
          </w:p>
        </w:tc>
        <w:tc>
          <w:tcPr>
            <w:tcW w:w="926" w:type="dxa"/>
            <w:shd w:val="clear" w:color="auto" w:fill="auto"/>
            <w:vAlign w:val="center"/>
            <w:hideMark/>
          </w:tcPr>
          <w:p w14:paraId="6B39BEBC" w14:textId="716A9980" w:rsidR="00DD5F82" w:rsidRPr="00FF386D" w:rsidRDefault="00DD5F82" w:rsidP="00D24C20">
            <w:pPr>
              <w:spacing w:after="0" w:line="240" w:lineRule="auto"/>
              <w:jc w:val="center"/>
              <w:rPr>
                <w:rFonts w:ascii="Calibri Light" w:eastAsia="Times New Roman" w:hAnsi="Calibri Light" w:cs="Calibri Light"/>
                <w:b/>
                <w:bCs/>
                <w:color w:val="000000"/>
                <w:lang w:eastAsia="en-GB"/>
              </w:rPr>
            </w:pPr>
            <w:r w:rsidRPr="00FF386D">
              <w:rPr>
                <w:rFonts w:ascii="Calibri Light" w:eastAsia="Times New Roman" w:hAnsi="Calibri Light" w:cs="Calibri Light"/>
                <w:b/>
                <w:bCs/>
                <w:color w:val="000000"/>
                <w:lang w:eastAsia="en-GB"/>
              </w:rPr>
              <w:t>2035.</w:t>
            </w:r>
          </w:p>
        </w:tc>
        <w:tc>
          <w:tcPr>
            <w:tcW w:w="926" w:type="dxa"/>
            <w:shd w:val="clear" w:color="auto" w:fill="auto"/>
            <w:vAlign w:val="center"/>
            <w:hideMark/>
          </w:tcPr>
          <w:p w14:paraId="215723D1" w14:textId="218FB16C" w:rsidR="00DD5F82" w:rsidRPr="00FF386D" w:rsidRDefault="00DD5F82" w:rsidP="00D24C20">
            <w:pPr>
              <w:spacing w:after="0" w:line="240" w:lineRule="auto"/>
              <w:jc w:val="center"/>
              <w:rPr>
                <w:rFonts w:ascii="Calibri Light" w:eastAsia="Times New Roman" w:hAnsi="Calibri Light" w:cs="Calibri Light"/>
                <w:b/>
                <w:bCs/>
                <w:color w:val="000000"/>
                <w:lang w:eastAsia="en-GB"/>
              </w:rPr>
            </w:pPr>
            <w:r w:rsidRPr="00FF386D">
              <w:rPr>
                <w:rFonts w:ascii="Calibri Light" w:eastAsia="Times New Roman" w:hAnsi="Calibri Light" w:cs="Calibri Light"/>
                <w:b/>
                <w:bCs/>
                <w:color w:val="000000"/>
                <w:lang w:eastAsia="en-GB"/>
              </w:rPr>
              <w:t>2040.</w:t>
            </w:r>
          </w:p>
        </w:tc>
        <w:tc>
          <w:tcPr>
            <w:tcW w:w="926" w:type="dxa"/>
            <w:shd w:val="clear" w:color="auto" w:fill="auto"/>
            <w:vAlign w:val="center"/>
            <w:hideMark/>
          </w:tcPr>
          <w:p w14:paraId="2705C399" w14:textId="209641B2" w:rsidR="00DD5F82" w:rsidRPr="00FF386D" w:rsidRDefault="00DD5F82" w:rsidP="00D24C20">
            <w:pPr>
              <w:spacing w:after="0" w:line="240" w:lineRule="auto"/>
              <w:jc w:val="center"/>
              <w:rPr>
                <w:rFonts w:ascii="Calibri Light" w:eastAsia="Times New Roman" w:hAnsi="Calibri Light" w:cs="Calibri Light"/>
                <w:b/>
                <w:bCs/>
                <w:color w:val="000000"/>
                <w:lang w:eastAsia="en-GB"/>
              </w:rPr>
            </w:pPr>
            <w:r w:rsidRPr="00FF386D">
              <w:rPr>
                <w:rFonts w:ascii="Calibri Light" w:eastAsia="Times New Roman" w:hAnsi="Calibri Light" w:cs="Calibri Light"/>
                <w:b/>
                <w:bCs/>
                <w:color w:val="000000"/>
                <w:lang w:eastAsia="en-GB"/>
              </w:rPr>
              <w:t>2045.</w:t>
            </w:r>
          </w:p>
        </w:tc>
        <w:tc>
          <w:tcPr>
            <w:tcW w:w="926" w:type="dxa"/>
            <w:shd w:val="clear" w:color="auto" w:fill="auto"/>
            <w:vAlign w:val="center"/>
            <w:hideMark/>
          </w:tcPr>
          <w:p w14:paraId="232D80AD" w14:textId="3F630BC0" w:rsidR="00DD5F82" w:rsidRPr="00FF386D" w:rsidRDefault="00DD5F82" w:rsidP="00D24C20">
            <w:pPr>
              <w:spacing w:after="0" w:line="240" w:lineRule="auto"/>
              <w:jc w:val="center"/>
              <w:rPr>
                <w:rFonts w:ascii="Calibri Light" w:eastAsia="Times New Roman" w:hAnsi="Calibri Light" w:cs="Calibri Light"/>
                <w:b/>
                <w:bCs/>
                <w:color w:val="000000"/>
                <w:lang w:eastAsia="en-GB"/>
              </w:rPr>
            </w:pPr>
            <w:r w:rsidRPr="00FF386D">
              <w:rPr>
                <w:rFonts w:ascii="Calibri Light" w:eastAsia="Times New Roman" w:hAnsi="Calibri Light" w:cs="Calibri Light"/>
                <w:b/>
                <w:bCs/>
                <w:color w:val="000000"/>
                <w:lang w:eastAsia="en-GB"/>
              </w:rPr>
              <w:t>2050.</w:t>
            </w:r>
          </w:p>
        </w:tc>
      </w:tr>
      <w:tr w:rsidR="00DD5F82" w:rsidRPr="00FF386D" w14:paraId="49A2F9A7" w14:textId="77777777" w:rsidTr="00DD5F82">
        <w:trPr>
          <w:trHeight w:val="85"/>
          <w:jc w:val="center"/>
        </w:trPr>
        <w:tc>
          <w:tcPr>
            <w:tcW w:w="1165" w:type="dxa"/>
            <w:shd w:val="clear" w:color="auto" w:fill="auto"/>
            <w:vAlign w:val="center"/>
            <w:hideMark/>
          </w:tcPr>
          <w:p w14:paraId="6DFD7513" w14:textId="3BC73C45" w:rsidR="00DD5F82" w:rsidRPr="00FF386D" w:rsidRDefault="00DD5F82" w:rsidP="00D24C20">
            <w:pPr>
              <w:spacing w:after="0" w:line="240" w:lineRule="auto"/>
              <w:jc w:val="center"/>
              <w:rPr>
                <w:rFonts w:ascii="Calibri Light" w:eastAsia="Times New Roman" w:hAnsi="Calibri Light" w:cs="Calibri Light"/>
                <w:color w:val="000000"/>
                <w:lang w:eastAsia="en-GB"/>
              </w:rPr>
            </w:pPr>
            <w:r w:rsidRPr="00FF386D">
              <w:rPr>
                <w:rFonts w:ascii="Calibri Light" w:eastAsia="Times New Roman" w:hAnsi="Calibri Light" w:cs="Calibri Light"/>
                <w:color w:val="000000"/>
                <w:lang w:eastAsia="en-GB"/>
              </w:rPr>
              <w:t>Eвро/tCO</w:t>
            </w:r>
            <w:r w:rsidRPr="00FF386D">
              <w:rPr>
                <w:rFonts w:ascii="Calibri Light" w:eastAsia="Times New Roman" w:hAnsi="Calibri Light" w:cs="Calibri Light"/>
                <w:color w:val="000000"/>
                <w:vertAlign w:val="subscript"/>
                <w:lang w:eastAsia="en-GB"/>
              </w:rPr>
              <w:t>2</w:t>
            </w:r>
          </w:p>
        </w:tc>
        <w:tc>
          <w:tcPr>
            <w:tcW w:w="926" w:type="dxa"/>
            <w:shd w:val="clear" w:color="auto" w:fill="auto"/>
            <w:vAlign w:val="center"/>
            <w:hideMark/>
          </w:tcPr>
          <w:p w14:paraId="0F621B75" w14:textId="40EF8AD2" w:rsidR="00DD5F82" w:rsidRPr="00FF386D" w:rsidRDefault="00DD5F82" w:rsidP="00D24C20">
            <w:pPr>
              <w:spacing w:after="0" w:line="240" w:lineRule="auto"/>
              <w:jc w:val="center"/>
              <w:rPr>
                <w:rFonts w:ascii="Calibri Light" w:eastAsia="Times New Roman" w:hAnsi="Calibri Light" w:cs="Calibri Light"/>
                <w:color w:val="000000"/>
                <w:lang w:eastAsia="en-GB"/>
              </w:rPr>
            </w:pPr>
            <w:r w:rsidRPr="00FF386D">
              <w:rPr>
                <w:rFonts w:ascii="Calibri Light" w:eastAsia="Times New Roman" w:hAnsi="Calibri Light" w:cs="Calibri Light"/>
                <w:color w:val="000000"/>
                <w:lang w:eastAsia="en-GB"/>
              </w:rPr>
              <w:t>40</w:t>
            </w:r>
          </w:p>
        </w:tc>
        <w:tc>
          <w:tcPr>
            <w:tcW w:w="926" w:type="dxa"/>
            <w:shd w:val="clear" w:color="auto" w:fill="auto"/>
            <w:vAlign w:val="center"/>
            <w:hideMark/>
          </w:tcPr>
          <w:p w14:paraId="41C40D01" w14:textId="3EAD5EE1" w:rsidR="00DD5F82" w:rsidRPr="00FF386D" w:rsidRDefault="00DD5F82" w:rsidP="00D24C20">
            <w:pPr>
              <w:spacing w:after="0" w:line="240" w:lineRule="auto"/>
              <w:jc w:val="center"/>
              <w:rPr>
                <w:rFonts w:ascii="Calibri Light" w:eastAsia="Times New Roman" w:hAnsi="Calibri Light" w:cs="Calibri Light"/>
                <w:color w:val="000000"/>
                <w:lang w:eastAsia="en-GB"/>
              </w:rPr>
            </w:pPr>
            <w:r w:rsidRPr="00FF386D">
              <w:rPr>
                <w:rFonts w:ascii="Calibri Light" w:eastAsia="Times New Roman" w:hAnsi="Calibri Light" w:cs="Calibri Light"/>
                <w:color w:val="000000"/>
                <w:lang w:eastAsia="en-GB"/>
              </w:rPr>
              <w:t>41</w:t>
            </w:r>
          </w:p>
        </w:tc>
        <w:tc>
          <w:tcPr>
            <w:tcW w:w="926" w:type="dxa"/>
            <w:shd w:val="clear" w:color="auto" w:fill="auto"/>
            <w:vAlign w:val="center"/>
            <w:hideMark/>
          </w:tcPr>
          <w:p w14:paraId="1933AD5E" w14:textId="77777777" w:rsidR="00DD5F82" w:rsidRPr="00FF386D" w:rsidRDefault="00DD5F82" w:rsidP="00D24C20">
            <w:pPr>
              <w:spacing w:after="0" w:line="240" w:lineRule="auto"/>
              <w:jc w:val="center"/>
              <w:rPr>
                <w:rFonts w:ascii="Calibri Light" w:eastAsia="Times New Roman" w:hAnsi="Calibri Light" w:cs="Calibri Light"/>
                <w:color w:val="000000"/>
                <w:lang w:eastAsia="en-GB"/>
              </w:rPr>
            </w:pPr>
            <w:r w:rsidRPr="00FF386D">
              <w:rPr>
                <w:rFonts w:ascii="Calibri Light" w:eastAsia="Times New Roman" w:hAnsi="Calibri Light" w:cs="Calibri Light"/>
                <w:color w:val="000000"/>
                <w:lang w:eastAsia="en-GB"/>
              </w:rPr>
              <w:t>45</w:t>
            </w:r>
          </w:p>
        </w:tc>
        <w:tc>
          <w:tcPr>
            <w:tcW w:w="926" w:type="dxa"/>
            <w:shd w:val="clear" w:color="auto" w:fill="auto"/>
            <w:vAlign w:val="center"/>
            <w:hideMark/>
          </w:tcPr>
          <w:p w14:paraId="6E8EA5FE" w14:textId="380316CD" w:rsidR="00DD5F82" w:rsidRPr="00FF386D" w:rsidRDefault="00DD5F82" w:rsidP="00D24C20">
            <w:pPr>
              <w:spacing w:after="0" w:line="240" w:lineRule="auto"/>
              <w:jc w:val="center"/>
              <w:rPr>
                <w:rFonts w:ascii="Calibri Light" w:eastAsia="Times New Roman" w:hAnsi="Calibri Light" w:cs="Calibri Light"/>
                <w:color w:val="000000"/>
                <w:lang w:eastAsia="en-GB"/>
              </w:rPr>
            </w:pPr>
            <w:r w:rsidRPr="00FF386D">
              <w:rPr>
                <w:rFonts w:ascii="Calibri Light" w:eastAsia="Times New Roman" w:hAnsi="Calibri Light" w:cs="Calibri Light"/>
                <w:color w:val="000000"/>
                <w:lang w:eastAsia="en-GB"/>
              </w:rPr>
              <w:t>130</w:t>
            </w:r>
          </w:p>
        </w:tc>
        <w:tc>
          <w:tcPr>
            <w:tcW w:w="926" w:type="dxa"/>
            <w:shd w:val="clear" w:color="auto" w:fill="auto"/>
            <w:vAlign w:val="center"/>
            <w:hideMark/>
          </w:tcPr>
          <w:p w14:paraId="7182FFF9" w14:textId="454B3266" w:rsidR="00DD5F82" w:rsidRPr="00FF386D" w:rsidRDefault="00DD5F82" w:rsidP="00D24C20">
            <w:pPr>
              <w:spacing w:after="0" w:line="240" w:lineRule="auto"/>
              <w:jc w:val="center"/>
              <w:rPr>
                <w:rFonts w:ascii="Calibri Light" w:eastAsia="Times New Roman" w:hAnsi="Calibri Light" w:cs="Calibri Light"/>
                <w:color w:val="000000"/>
                <w:lang w:eastAsia="en-GB"/>
              </w:rPr>
            </w:pPr>
            <w:r w:rsidRPr="00FF386D">
              <w:rPr>
                <w:rFonts w:ascii="Calibri Light" w:eastAsia="Times New Roman" w:hAnsi="Calibri Light" w:cs="Calibri Light"/>
                <w:color w:val="000000"/>
                <w:lang w:eastAsia="en-GB"/>
              </w:rPr>
              <w:t>160</w:t>
            </w:r>
          </w:p>
        </w:tc>
      </w:tr>
    </w:tbl>
    <w:bookmarkEnd w:id="350"/>
    <w:p w14:paraId="3C2ACC2C" w14:textId="3973DE8A" w:rsidR="00416143" w:rsidRPr="00FF386D" w:rsidRDefault="00416143" w:rsidP="00565B02">
      <w:pPr>
        <w:spacing w:before="120"/>
        <w:rPr>
          <w:rFonts w:ascii="Calibri Light" w:eastAsia="Calibri" w:hAnsi="Calibri Light" w:cs="Calibri Light"/>
          <w:lang w:bidi="sr-Cyrl-CS"/>
        </w:rPr>
      </w:pPr>
      <w:r w:rsidRPr="00FF386D">
        <w:rPr>
          <w:rFonts w:ascii="Calibri Light" w:eastAsia="Calibri" w:hAnsi="Calibri Light" w:cs="Calibri Light"/>
          <w:lang w:bidi="sr-Cyrl-CS"/>
        </w:rPr>
        <w:t xml:space="preserve">Претпоставке у вези са </w:t>
      </w:r>
      <w:r w:rsidR="00ED0BB1">
        <w:rPr>
          <w:rFonts w:ascii="Calibri Light" w:eastAsia="Calibri" w:hAnsi="Calibri Light" w:cs="Calibri Light"/>
          <w:lang w:bidi="sr-Cyrl-CS"/>
        </w:rPr>
        <w:t xml:space="preserve">егзогеним параметрима који подстичу развој енергетског сектора и емисија, као и </w:t>
      </w:r>
      <w:r w:rsidRPr="00FF386D">
        <w:rPr>
          <w:rFonts w:ascii="Calibri Light" w:eastAsia="Calibri" w:hAnsi="Calibri Light" w:cs="Calibri Light"/>
          <w:lang w:bidi="sr-Cyrl-CS"/>
        </w:rPr>
        <w:t>међународн</w:t>
      </w:r>
      <w:r w:rsidR="00ED0BB1">
        <w:rPr>
          <w:rFonts w:ascii="Calibri Light" w:eastAsia="Calibri" w:hAnsi="Calibri Light" w:cs="Calibri Light"/>
          <w:lang w:bidi="sr-Cyrl-CS"/>
        </w:rPr>
        <w:t>е</w:t>
      </w:r>
      <w:r w:rsidRPr="00FF386D">
        <w:rPr>
          <w:rFonts w:ascii="Calibri Light" w:eastAsia="Calibri" w:hAnsi="Calibri Light" w:cs="Calibri Light"/>
          <w:lang w:bidi="sr-Cyrl-CS"/>
        </w:rPr>
        <w:t xml:space="preserve"> цен</w:t>
      </w:r>
      <w:r w:rsidR="00ED0BB1">
        <w:rPr>
          <w:rFonts w:ascii="Calibri Light" w:eastAsia="Calibri" w:hAnsi="Calibri Light" w:cs="Calibri Light"/>
          <w:lang w:bidi="sr-Cyrl-CS"/>
        </w:rPr>
        <w:t>е</w:t>
      </w:r>
      <w:r w:rsidRPr="00FF386D">
        <w:rPr>
          <w:rFonts w:ascii="Calibri Light" w:eastAsia="Calibri" w:hAnsi="Calibri Light" w:cs="Calibri Light"/>
          <w:lang w:bidi="sr-Cyrl-CS"/>
        </w:rPr>
        <w:t xml:space="preserve"> горива и кретање трошкова технологија су исте као оне које се користе у </w:t>
      </w:r>
      <w:r w:rsidRPr="00FF386D">
        <w:rPr>
          <w:rFonts w:ascii="Calibri Light" w:eastAsia="Calibri" w:hAnsi="Calibri Light" w:cs="Calibri Light"/>
          <w:i/>
          <w:lang w:bidi="sr-Cyrl-CS"/>
        </w:rPr>
        <w:t>WEM</w:t>
      </w:r>
      <w:r w:rsidRPr="00FF386D">
        <w:rPr>
          <w:rFonts w:ascii="Calibri Light" w:eastAsia="Calibri" w:hAnsi="Calibri Light" w:cs="Calibri Light"/>
          <w:lang w:bidi="sr-Cyrl-CS"/>
        </w:rPr>
        <w:t xml:space="preserve"> сценарију, као што је приказано у </w:t>
      </w:r>
      <w:r w:rsidR="00ED0BB1">
        <w:rPr>
          <w:rFonts w:ascii="Calibri Light" w:eastAsia="Calibri" w:hAnsi="Calibri Light" w:cs="Calibri Light"/>
          <w:lang w:bidi="sr-Cyrl-CS"/>
        </w:rPr>
        <w:t>одељку</w:t>
      </w:r>
      <w:r w:rsidRPr="00FF386D">
        <w:rPr>
          <w:rFonts w:ascii="Calibri Light" w:eastAsia="Calibri" w:hAnsi="Calibri Light" w:cs="Calibri Light"/>
          <w:lang w:bidi="sr-Cyrl-CS"/>
        </w:rPr>
        <w:t xml:space="preserve"> 4.1.</w:t>
      </w:r>
    </w:p>
    <w:p w14:paraId="1CB0F112" w14:textId="09BADD7D" w:rsidR="00416143" w:rsidRPr="00565B02" w:rsidRDefault="00527E0A" w:rsidP="00F83802">
      <w:pPr>
        <w:pStyle w:val="Heading2"/>
        <w:rPr>
          <w:lang w:val="sr-Cyrl-RS"/>
        </w:rPr>
      </w:pPr>
      <w:bookmarkStart w:id="353" w:name="_Toc153901558"/>
      <w:bookmarkStart w:id="354" w:name="_Toc137457036"/>
      <w:bookmarkStart w:id="355" w:name="_Toc153901559"/>
      <w:bookmarkEnd w:id="353"/>
      <w:r w:rsidRPr="00565B02">
        <w:rPr>
          <w:lang w:val="sr-Cyrl-RS"/>
        </w:rPr>
        <w:t>Утицаји планираних политика и описаних мера на енергетски систем</w:t>
      </w:r>
      <w:r w:rsidR="00711965" w:rsidRPr="00565B02">
        <w:rPr>
          <w:lang w:val="sr-Cyrl-RS"/>
        </w:rPr>
        <w:t xml:space="preserve">, </w:t>
      </w:r>
      <w:r w:rsidRPr="00565B02">
        <w:rPr>
          <w:lang w:val="sr-Cyrl-RS"/>
        </w:rPr>
        <w:t>емисије и уклањање GHG, укључујући поређење са</w:t>
      </w:r>
      <w:r w:rsidR="00AD50B1" w:rsidRPr="00565B02">
        <w:rPr>
          <w:lang w:val="sr-Cyrl-RS"/>
        </w:rPr>
        <w:t xml:space="preserve"> </w:t>
      </w:r>
      <w:r w:rsidRPr="00565B02">
        <w:rPr>
          <w:lang w:val="sr-Cyrl-RS"/>
        </w:rPr>
        <w:t>пројекцијама са постојећим политикама и мерама</w:t>
      </w:r>
      <w:bookmarkEnd w:id="354"/>
      <w:bookmarkEnd w:id="355"/>
    </w:p>
    <w:p w14:paraId="37E7F5DD" w14:textId="3A7A2D6C" w:rsidR="00416143" w:rsidRPr="00FF386D" w:rsidRDefault="00416143" w:rsidP="00416143">
      <w:pPr>
        <w:spacing w:line="240" w:lineRule="auto"/>
        <w:jc w:val="both"/>
        <w:rPr>
          <w:rFonts w:asciiTheme="majorHAnsi" w:hAnsiTheme="majorHAnsi" w:cstheme="majorHAnsi"/>
        </w:rPr>
      </w:pPr>
      <w:r w:rsidRPr="00FF386D">
        <w:rPr>
          <w:rFonts w:asciiTheme="majorHAnsi" w:hAnsiTheme="majorHAnsi" w:cstheme="majorHAnsi"/>
        </w:rPr>
        <w:t xml:space="preserve">Укупне емисије </w:t>
      </w:r>
      <w:r w:rsidRPr="00FF386D">
        <w:rPr>
          <w:rFonts w:asciiTheme="majorHAnsi" w:hAnsiTheme="majorHAnsi" w:cstheme="majorHAnsi"/>
          <w:i/>
        </w:rPr>
        <w:t>GHG</w:t>
      </w:r>
      <w:r w:rsidRPr="00FF386D">
        <w:rPr>
          <w:rFonts w:asciiTheme="majorHAnsi" w:hAnsiTheme="majorHAnsi" w:cstheme="majorHAnsi"/>
        </w:rPr>
        <w:t xml:space="preserve">, укључујући пољопривреду, отпад и </w:t>
      </w:r>
      <w:r w:rsidRPr="00FF386D">
        <w:rPr>
          <w:rFonts w:asciiTheme="majorHAnsi" w:hAnsiTheme="majorHAnsi" w:cstheme="majorHAnsi"/>
          <w:i/>
        </w:rPr>
        <w:t>LULUCF</w:t>
      </w:r>
      <w:r w:rsidR="00ED0BB1">
        <w:rPr>
          <w:rFonts w:asciiTheme="majorHAnsi" w:hAnsiTheme="majorHAnsi" w:cstheme="majorHAnsi"/>
          <w:i/>
        </w:rPr>
        <w:t xml:space="preserve"> </w:t>
      </w:r>
      <w:r w:rsidR="00ED0BB1">
        <w:rPr>
          <w:rFonts w:asciiTheme="majorHAnsi" w:hAnsiTheme="majorHAnsi" w:cstheme="majorHAnsi"/>
          <w:iCs/>
        </w:rPr>
        <w:t xml:space="preserve">(пројекције емисија из пољопривреде, отпада и </w:t>
      </w:r>
      <w:r w:rsidR="00ED0BB1" w:rsidRPr="00ED0BB1">
        <w:rPr>
          <w:rFonts w:asciiTheme="majorHAnsi" w:hAnsiTheme="majorHAnsi" w:cstheme="majorHAnsi"/>
          <w:i/>
          <w:iCs/>
        </w:rPr>
        <w:t>LULUCF</w:t>
      </w:r>
      <w:r w:rsidR="00ED0BB1">
        <w:rPr>
          <w:rFonts w:asciiTheme="majorHAnsi" w:hAnsiTheme="majorHAnsi" w:cstheme="majorHAnsi"/>
        </w:rPr>
        <w:t xml:space="preserve"> узете су из сценарија М2 обухваћеног у Стратегији климатских промена са Акционимм планом, коју је израдило Министарство за заштиту животне средине)</w:t>
      </w:r>
      <w:r w:rsidRPr="00FF386D">
        <w:rPr>
          <w:rFonts w:asciiTheme="majorHAnsi" w:hAnsiTheme="majorHAnsi" w:cstheme="majorHAnsi"/>
        </w:rPr>
        <w:t xml:space="preserve">, показују другачији тренд између </w:t>
      </w:r>
      <w:r w:rsidRPr="00FF386D">
        <w:rPr>
          <w:rFonts w:asciiTheme="majorHAnsi" w:hAnsiTheme="majorHAnsi" w:cstheme="majorHAnsi"/>
          <w:i/>
        </w:rPr>
        <w:t>WEM</w:t>
      </w:r>
      <w:r w:rsidRPr="00FF386D">
        <w:rPr>
          <w:rFonts w:asciiTheme="majorHAnsi" w:hAnsiTheme="majorHAnsi" w:cstheme="majorHAnsi"/>
        </w:rPr>
        <w:t xml:space="preserve"> сценарија и сценарија</w:t>
      </w:r>
      <w:r w:rsidRPr="00FF386D">
        <w:rPr>
          <w:rFonts w:asciiTheme="majorHAnsi" w:hAnsiTheme="majorHAnsi" w:cstheme="majorHAnsi"/>
          <w:i/>
          <w:iCs/>
        </w:rPr>
        <w:t xml:space="preserve"> S</w:t>
      </w:r>
      <w:r w:rsidRPr="00FF386D">
        <w:rPr>
          <w:rFonts w:asciiTheme="majorHAnsi" w:hAnsiTheme="majorHAnsi" w:cstheme="majorHAnsi"/>
        </w:rPr>
        <w:t xml:space="preserve"> и </w:t>
      </w:r>
      <w:r w:rsidRPr="00FF386D">
        <w:rPr>
          <w:rFonts w:asciiTheme="majorHAnsi" w:hAnsiTheme="majorHAnsi" w:cstheme="majorHAnsi"/>
          <w:i/>
          <w:iCs/>
        </w:rPr>
        <w:t>S-N</w:t>
      </w:r>
      <w:r w:rsidRPr="00FF386D">
        <w:rPr>
          <w:rFonts w:asciiTheme="majorHAnsi" w:hAnsiTheme="majorHAnsi" w:cstheme="majorHAnsi"/>
        </w:rPr>
        <w:t xml:space="preserve"> до 2050. године. Тачније, очекује се да ће укупне емисије </w:t>
      </w:r>
      <w:r w:rsidRPr="00FF386D">
        <w:rPr>
          <w:rFonts w:asciiTheme="majorHAnsi" w:hAnsiTheme="majorHAnsi" w:cstheme="majorHAnsi"/>
          <w:i/>
        </w:rPr>
        <w:t>GHG</w:t>
      </w:r>
      <w:r w:rsidRPr="00FF386D">
        <w:rPr>
          <w:rFonts w:asciiTheme="majorHAnsi" w:hAnsiTheme="majorHAnsi" w:cstheme="majorHAnsi"/>
        </w:rPr>
        <w:t xml:space="preserve"> у </w:t>
      </w:r>
      <w:r w:rsidRPr="00FF386D">
        <w:rPr>
          <w:rFonts w:asciiTheme="majorHAnsi" w:hAnsiTheme="majorHAnsi" w:cstheme="majorHAnsi"/>
          <w:i/>
        </w:rPr>
        <w:t>WEM</w:t>
      </w:r>
      <w:r w:rsidRPr="00FF386D">
        <w:rPr>
          <w:rFonts w:asciiTheme="majorHAnsi" w:hAnsiTheme="majorHAnsi" w:cstheme="majorHAnsi"/>
        </w:rPr>
        <w:t xml:space="preserve"> сценарију порасти од 2026. до 2045. године пре него што се смање 2050. године, док се укупне емисије </w:t>
      </w:r>
      <w:r w:rsidRPr="00FF386D">
        <w:rPr>
          <w:rFonts w:asciiTheme="majorHAnsi" w:hAnsiTheme="majorHAnsi" w:cstheme="majorHAnsi"/>
          <w:i/>
        </w:rPr>
        <w:lastRenderedPageBreak/>
        <w:t>GHG</w:t>
      </w:r>
      <w:r w:rsidRPr="00FF386D">
        <w:rPr>
          <w:rFonts w:asciiTheme="majorHAnsi" w:hAnsiTheme="majorHAnsi" w:cstheme="majorHAnsi"/>
        </w:rPr>
        <w:t xml:space="preserve"> у сценаријима </w:t>
      </w:r>
      <w:r w:rsidRPr="00FF386D">
        <w:rPr>
          <w:rFonts w:asciiTheme="majorHAnsi" w:hAnsiTheme="majorHAnsi" w:cstheme="majorHAnsi"/>
          <w:i/>
          <w:iCs/>
        </w:rPr>
        <w:t>S</w:t>
      </w:r>
      <w:r w:rsidRPr="00FF386D">
        <w:rPr>
          <w:rFonts w:asciiTheme="majorHAnsi" w:hAnsiTheme="majorHAnsi" w:cstheme="majorHAnsi"/>
        </w:rPr>
        <w:t xml:space="preserve"> и </w:t>
      </w:r>
      <w:r w:rsidRPr="00FF386D">
        <w:rPr>
          <w:rFonts w:asciiTheme="majorHAnsi" w:hAnsiTheme="majorHAnsi" w:cstheme="majorHAnsi"/>
          <w:i/>
          <w:iCs/>
        </w:rPr>
        <w:t>S-N</w:t>
      </w:r>
      <w:r w:rsidRPr="00FF386D">
        <w:rPr>
          <w:rFonts w:asciiTheme="majorHAnsi" w:hAnsiTheme="majorHAnsi" w:cstheme="majorHAnsi"/>
        </w:rPr>
        <w:t xml:space="preserve"> константно смањују током 2026-2050; споријим темпом до 2029. и бржим темпом између 2030. и 2050. године.</w:t>
      </w:r>
    </w:p>
    <w:p w14:paraId="3FE32A48" w14:textId="1D975C94" w:rsidR="00416143" w:rsidRPr="00FF386D" w:rsidRDefault="00416143" w:rsidP="00416143">
      <w:pPr>
        <w:spacing w:line="240" w:lineRule="auto"/>
        <w:jc w:val="both"/>
        <w:rPr>
          <w:rFonts w:ascii="Calibri Light" w:eastAsia="Calibri" w:hAnsi="Calibri Light" w:cs="Calibri Light"/>
        </w:rPr>
      </w:pPr>
      <w:r w:rsidRPr="00FF386D">
        <w:rPr>
          <w:rFonts w:asciiTheme="majorHAnsi" w:hAnsiTheme="majorHAnsi" w:cstheme="majorHAnsi"/>
        </w:rPr>
        <w:t xml:space="preserve">Укупне емисије </w:t>
      </w:r>
      <w:r w:rsidRPr="00FF386D">
        <w:rPr>
          <w:rFonts w:asciiTheme="majorHAnsi" w:hAnsiTheme="majorHAnsi" w:cstheme="majorHAnsi"/>
          <w:i/>
        </w:rPr>
        <w:t>GHG</w:t>
      </w:r>
      <w:r w:rsidRPr="00FF386D">
        <w:rPr>
          <w:rFonts w:asciiTheme="majorHAnsi" w:hAnsiTheme="majorHAnsi" w:cstheme="majorHAnsi"/>
        </w:rPr>
        <w:t xml:space="preserve">, укључујући пољопривреду, отпад и </w:t>
      </w:r>
      <w:r w:rsidRPr="00FF386D">
        <w:rPr>
          <w:rFonts w:asciiTheme="majorHAnsi" w:hAnsiTheme="majorHAnsi" w:cstheme="majorHAnsi"/>
          <w:i/>
        </w:rPr>
        <w:t>LULUCF</w:t>
      </w:r>
      <w:r w:rsidRPr="00FF386D">
        <w:rPr>
          <w:rFonts w:asciiTheme="majorHAnsi" w:hAnsiTheme="majorHAnsi" w:cstheme="majorHAnsi"/>
        </w:rPr>
        <w:t xml:space="preserve">, износе 47.762 ktons CO2-eq у 2030. години у оба сценарија </w:t>
      </w:r>
      <w:r w:rsidRPr="00FF386D">
        <w:rPr>
          <w:rFonts w:asciiTheme="majorHAnsi" w:hAnsiTheme="majorHAnsi" w:cstheme="majorHAnsi"/>
          <w:i/>
          <w:iCs/>
        </w:rPr>
        <w:t>S</w:t>
      </w:r>
      <w:r w:rsidRPr="00FF386D">
        <w:rPr>
          <w:rFonts w:asciiTheme="majorHAnsi" w:hAnsiTheme="majorHAnsi" w:cstheme="majorHAnsi"/>
        </w:rPr>
        <w:t xml:space="preserve"> и </w:t>
      </w:r>
      <w:r w:rsidRPr="00FF386D">
        <w:rPr>
          <w:rFonts w:asciiTheme="majorHAnsi" w:hAnsiTheme="majorHAnsi" w:cstheme="majorHAnsi"/>
          <w:i/>
          <w:iCs/>
        </w:rPr>
        <w:t>S-</w:t>
      </w:r>
      <w:r w:rsidRPr="00565B02">
        <w:rPr>
          <w:rFonts w:asciiTheme="majorHAnsi" w:hAnsiTheme="majorHAnsi" w:cstheme="majorHAnsi"/>
        </w:rPr>
        <w:t>N</w:t>
      </w:r>
      <w:r w:rsidRPr="00FF386D">
        <w:rPr>
          <w:rFonts w:asciiTheme="majorHAnsi" w:hAnsiTheme="majorHAnsi" w:cstheme="majorHAnsi"/>
        </w:rPr>
        <w:t xml:space="preserve"> </w:t>
      </w:r>
      <w:r w:rsidR="005E058C" w:rsidRPr="00FF386D">
        <w:rPr>
          <w:rFonts w:asciiTheme="majorHAnsi" w:hAnsiTheme="majorHAnsi" w:cstheme="majorHAnsi"/>
        </w:rPr>
        <w:t>(</w:t>
      </w:r>
      <w:r w:rsidR="002F438E">
        <w:rPr>
          <w:rFonts w:asciiTheme="majorHAnsi" w:hAnsiTheme="majorHAnsi" w:cstheme="majorHAnsi"/>
        </w:rPr>
        <w:fldChar w:fldCharType="begin"/>
      </w:r>
      <w:r w:rsidR="002F438E">
        <w:rPr>
          <w:rFonts w:asciiTheme="majorHAnsi" w:hAnsiTheme="majorHAnsi" w:cstheme="majorHAnsi"/>
        </w:rPr>
        <w:instrText xml:space="preserve"> REF _Ref153885057 \h  \* MERGEFORMAT </w:instrText>
      </w:r>
      <w:r w:rsidR="002F438E">
        <w:rPr>
          <w:rFonts w:asciiTheme="majorHAnsi" w:hAnsiTheme="majorHAnsi" w:cstheme="majorHAnsi"/>
        </w:rPr>
      </w:r>
      <w:r w:rsidR="002F438E">
        <w:rPr>
          <w:rFonts w:asciiTheme="majorHAnsi" w:hAnsiTheme="majorHAnsi" w:cstheme="majorHAnsi"/>
        </w:rPr>
        <w:fldChar w:fldCharType="separate"/>
      </w:r>
      <w:r w:rsidR="002F438E" w:rsidRPr="00565B02">
        <w:rPr>
          <w:rFonts w:asciiTheme="majorHAnsi" w:hAnsiTheme="majorHAnsi" w:cstheme="majorHAnsi"/>
        </w:rPr>
        <w:t>Слика 5.1</w:t>
      </w:r>
      <w:r w:rsidR="002F438E">
        <w:rPr>
          <w:rFonts w:asciiTheme="majorHAnsi" w:hAnsiTheme="majorHAnsi" w:cstheme="majorHAnsi"/>
        </w:rPr>
        <w:fldChar w:fldCharType="end"/>
      </w:r>
      <w:r w:rsidR="005E058C" w:rsidRPr="00FF386D">
        <w:rPr>
          <w:rFonts w:asciiTheme="majorHAnsi" w:hAnsiTheme="majorHAnsi" w:cstheme="majorHAnsi"/>
        </w:rPr>
        <w:t>)</w:t>
      </w:r>
      <w:r w:rsidR="00A012CF" w:rsidRPr="00565B02">
        <w:rPr>
          <w:rFonts w:asciiTheme="majorHAnsi" w:hAnsiTheme="majorHAnsi" w:cstheme="majorHAnsi"/>
        </w:rPr>
        <w:t>.</w:t>
      </w:r>
      <w:r w:rsidR="000E28A0" w:rsidRPr="00FF386D">
        <w:rPr>
          <w:rFonts w:asciiTheme="majorHAnsi" w:hAnsiTheme="majorHAnsi" w:cstheme="majorHAnsi"/>
        </w:rPr>
        <w:t xml:space="preserve"> </w:t>
      </w:r>
      <w:r w:rsidRPr="00565B02">
        <w:rPr>
          <w:rFonts w:asciiTheme="majorHAnsi" w:hAnsiTheme="majorHAnsi" w:cstheme="majorHAnsi"/>
        </w:rPr>
        <w:t>Смањење од 40% у 2030. години бележи се у сценаријима S и S-N (</w:t>
      </w:r>
      <w:r w:rsidR="002F438E" w:rsidRPr="00565B02">
        <w:rPr>
          <w:rFonts w:asciiTheme="majorHAnsi" w:hAnsiTheme="majorHAnsi" w:cstheme="majorHAnsi"/>
        </w:rPr>
        <w:fldChar w:fldCharType="begin"/>
      </w:r>
      <w:r w:rsidR="002F438E" w:rsidRPr="00565B02">
        <w:rPr>
          <w:rFonts w:asciiTheme="majorHAnsi" w:hAnsiTheme="majorHAnsi" w:cstheme="majorHAnsi"/>
        </w:rPr>
        <w:instrText xml:space="preserve"> REF _Ref153885126 \h </w:instrText>
      </w:r>
      <w:r w:rsidR="002F438E">
        <w:rPr>
          <w:rFonts w:asciiTheme="majorHAnsi" w:hAnsiTheme="majorHAnsi" w:cstheme="majorHAnsi"/>
        </w:rPr>
        <w:instrText xml:space="preserve"> \* MERGEFORMAT </w:instrText>
      </w:r>
      <w:r w:rsidR="002F438E" w:rsidRPr="00565B02">
        <w:rPr>
          <w:rFonts w:asciiTheme="majorHAnsi" w:hAnsiTheme="majorHAnsi" w:cstheme="majorHAnsi"/>
        </w:rPr>
      </w:r>
      <w:r w:rsidR="002F438E" w:rsidRPr="00565B02">
        <w:rPr>
          <w:rFonts w:asciiTheme="majorHAnsi" w:hAnsiTheme="majorHAnsi" w:cstheme="majorHAnsi"/>
        </w:rPr>
        <w:fldChar w:fldCharType="separate"/>
      </w:r>
      <w:r w:rsidR="002F438E" w:rsidRPr="00565B02">
        <w:rPr>
          <w:rFonts w:asciiTheme="majorHAnsi" w:hAnsiTheme="majorHAnsi" w:cstheme="majorHAnsi"/>
        </w:rPr>
        <w:t>Слика 5.2</w:t>
      </w:r>
      <w:r w:rsidR="002F438E" w:rsidRPr="00565B02">
        <w:rPr>
          <w:rFonts w:asciiTheme="majorHAnsi" w:hAnsiTheme="majorHAnsi" w:cstheme="majorHAnsi"/>
        </w:rPr>
        <w:fldChar w:fldCharType="end"/>
      </w:r>
      <w:r w:rsidRPr="00565B02">
        <w:rPr>
          <w:rFonts w:asciiTheme="majorHAnsi" w:hAnsiTheme="majorHAnsi" w:cstheme="majorHAnsi"/>
        </w:rPr>
        <w:t xml:space="preserve">), у односу на </w:t>
      </w:r>
      <w:r w:rsidR="00DE2DCC" w:rsidRPr="00565B02">
        <w:rPr>
          <w:rFonts w:asciiTheme="majorHAnsi" w:hAnsiTheme="majorHAnsi" w:cstheme="majorHAnsi"/>
        </w:rPr>
        <w:t>нивое</w:t>
      </w:r>
      <w:r w:rsidR="00DE2DCC" w:rsidRPr="00FF386D">
        <w:rPr>
          <w:rFonts w:ascii="Calibri Light" w:eastAsia="Calibri" w:hAnsi="Calibri Light" w:cs="Calibri Light"/>
        </w:rPr>
        <w:t xml:space="preserve"> из </w:t>
      </w:r>
      <w:r w:rsidRPr="00FF386D">
        <w:rPr>
          <w:rFonts w:ascii="Calibri Light" w:eastAsia="Calibri" w:hAnsi="Calibri Light" w:cs="Calibri Light"/>
        </w:rPr>
        <w:t>1990. годин</w:t>
      </w:r>
      <w:r w:rsidR="00DE2DCC" w:rsidRPr="00FF386D">
        <w:rPr>
          <w:rFonts w:ascii="Calibri Light" w:eastAsia="Calibri" w:hAnsi="Calibri Light" w:cs="Calibri Light"/>
        </w:rPr>
        <w:t>е</w:t>
      </w:r>
      <w:r w:rsidRPr="00FF386D">
        <w:rPr>
          <w:rFonts w:ascii="Calibri Light" w:eastAsia="Calibri" w:hAnsi="Calibri Light" w:cs="Calibri Light"/>
        </w:rPr>
        <w:t xml:space="preserve"> због повећане употребе ОИЕ и имплементације мера енергетске ефикасности, док се истовремено смањење од 19% бележи 2030. године у </w:t>
      </w:r>
      <w:r w:rsidRPr="00FF386D">
        <w:rPr>
          <w:rFonts w:ascii="Calibri Light" w:eastAsia="Calibri" w:hAnsi="Calibri Light" w:cs="Calibri Light"/>
          <w:i/>
        </w:rPr>
        <w:t>WEM</w:t>
      </w:r>
      <w:r w:rsidRPr="00FF386D">
        <w:rPr>
          <w:rFonts w:ascii="Calibri Light" w:eastAsia="Calibri" w:hAnsi="Calibri Light" w:cs="Calibri Light"/>
        </w:rPr>
        <w:t xml:space="preserve"> сценарију, у поређењу са 1990. годином.</w:t>
      </w:r>
    </w:p>
    <w:p w14:paraId="5DD93F49" w14:textId="5FC95F5D" w:rsidR="002F438E" w:rsidRDefault="00416143" w:rsidP="00565B02">
      <w:pPr>
        <w:spacing w:line="240" w:lineRule="auto"/>
        <w:jc w:val="both"/>
      </w:pPr>
      <w:r w:rsidRPr="00FF386D">
        <w:rPr>
          <w:rFonts w:ascii="Calibri Light" w:eastAsia="Calibri" w:hAnsi="Calibri Light" w:cs="Calibri Light"/>
        </w:rPr>
        <w:t xml:space="preserve">У 2050. години, укупне емисије </w:t>
      </w:r>
      <w:r w:rsidRPr="00FF386D">
        <w:rPr>
          <w:rFonts w:ascii="Calibri Light" w:eastAsia="Calibri" w:hAnsi="Calibri Light" w:cs="Calibri Light"/>
          <w:i/>
        </w:rPr>
        <w:t>GHG</w:t>
      </w:r>
      <w:r w:rsidRPr="00FF386D">
        <w:rPr>
          <w:rFonts w:ascii="Calibri Light" w:eastAsia="Calibri" w:hAnsi="Calibri Light" w:cs="Calibri Light"/>
        </w:rPr>
        <w:t xml:space="preserve">, укључујући пољопривреду, отпад и </w:t>
      </w:r>
      <w:r w:rsidRPr="00FF386D">
        <w:rPr>
          <w:rFonts w:ascii="Calibri Light" w:eastAsia="Calibri" w:hAnsi="Calibri Light" w:cs="Calibri Light"/>
          <w:i/>
        </w:rPr>
        <w:t>LULUCF</w:t>
      </w:r>
      <w:r w:rsidRPr="00FF386D">
        <w:rPr>
          <w:rFonts w:ascii="Calibri Light" w:eastAsia="Calibri" w:hAnsi="Calibri Light" w:cs="Calibri Light"/>
        </w:rPr>
        <w:t xml:space="preserve">, достижу </w:t>
      </w:r>
      <w:r w:rsidR="00DE2DCC" w:rsidRPr="00FF386D">
        <w:rPr>
          <w:rFonts w:ascii="Calibri Light" w:eastAsia="Calibri" w:hAnsi="Calibri Light" w:cs="Calibri Light"/>
        </w:rPr>
        <w:t>21.330</w:t>
      </w:r>
      <w:r w:rsidRPr="00FF386D">
        <w:rPr>
          <w:rFonts w:ascii="Calibri Light" w:eastAsia="Calibri" w:hAnsi="Calibri Light" w:cs="Calibri Light"/>
        </w:rPr>
        <w:t xml:space="preserve"> ktons CO2-eq у сценарију </w:t>
      </w:r>
      <w:r w:rsidRPr="00FF386D">
        <w:rPr>
          <w:rFonts w:ascii="Calibri Light" w:eastAsia="Calibri" w:hAnsi="Calibri Light" w:cs="Calibri Light"/>
          <w:i/>
          <w:iCs/>
        </w:rPr>
        <w:t>S</w:t>
      </w:r>
      <w:r w:rsidRPr="00FF386D">
        <w:rPr>
          <w:rFonts w:ascii="Calibri Light" w:eastAsia="Calibri" w:hAnsi="Calibri Light" w:cs="Calibri Light"/>
        </w:rPr>
        <w:t xml:space="preserve"> и 1</w:t>
      </w:r>
      <w:r w:rsidR="00DE2DCC" w:rsidRPr="00FF386D">
        <w:rPr>
          <w:rFonts w:ascii="Calibri Light" w:eastAsia="Calibri" w:hAnsi="Calibri Light" w:cs="Calibri Light"/>
        </w:rPr>
        <w:t>9.745</w:t>
      </w:r>
      <w:r w:rsidRPr="00FF386D">
        <w:rPr>
          <w:rFonts w:ascii="Calibri Light" w:eastAsia="Calibri" w:hAnsi="Calibri Light" w:cs="Calibri Light"/>
        </w:rPr>
        <w:t xml:space="preserve"> ktons CO2-eq у сценарију S-N. Смањење од 7</w:t>
      </w:r>
      <w:r w:rsidR="00DE2DCC" w:rsidRPr="00FF386D">
        <w:rPr>
          <w:rFonts w:ascii="Calibri Light" w:eastAsia="Calibri" w:hAnsi="Calibri Light" w:cs="Calibri Light"/>
        </w:rPr>
        <w:t>3</w:t>
      </w:r>
      <w:r w:rsidRPr="00FF386D">
        <w:rPr>
          <w:rFonts w:ascii="Calibri Light" w:eastAsia="Calibri" w:hAnsi="Calibri Light" w:cs="Calibri Light"/>
        </w:rPr>
        <w:t>% и 7</w:t>
      </w:r>
      <w:r w:rsidR="00DE2DCC" w:rsidRPr="00FF386D">
        <w:rPr>
          <w:rFonts w:ascii="Calibri Light" w:eastAsia="Calibri" w:hAnsi="Calibri Light" w:cs="Calibri Light"/>
        </w:rPr>
        <w:t>5</w:t>
      </w:r>
      <w:r w:rsidRPr="00FF386D">
        <w:rPr>
          <w:rFonts w:ascii="Calibri Light" w:eastAsia="Calibri" w:hAnsi="Calibri Light" w:cs="Calibri Light"/>
        </w:rPr>
        <w:t xml:space="preserve">% бележи се у сценаријима </w:t>
      </w:r>
      <w:r w:rsidRPr="00FF386D">
        <w:rPr>
          <w:rFonts w:ascii="Calibri Light" w:eastAsia="Calibri" w:hAnsi="Calibri Light" w:cs="Calibri Light"/>
          <w:i/>
          <w:iCs/>
        </w:rPr>
        <w:t>S</w:t>
      </w:r>
      <w:r w:rsidRPr="00FF386D">
        <w:rPr>
          <w:rFonts w:ascii="Calibri Light" w:eastAsia="Calibri" w:hAnsi="Calibri Light" w:cs="Calibri Light"/>
        </w:rPr>
        <w:t xml:space="preserve"> и </w:t>
      </w:r>
      <w:r w:rsidRPr="00FF386D">
        <w:rPr>
          <w:rFonts w:ascii="Calibri Light" w:eastAsia="Calibri" w:hAnsi="Calibri Light" w:cs="Calibri Light"/>
          <w:i/>
          <w:iCs/>
        </w:rPr>
        <w:t>S-N</w:t>
      </w:r>
      <w:r w:rsidRPr="00FF386D">
        <w:rPr>
          <w:rFonts w:ascii="Calibri Light" w:eastAsia="Calibri" w:hAnsi="Calibri Light" w:cs="Calibri Light"/>
        </w:rPr>
        <w:t xml:space="preserve"> у 2050. години, у поређењу са 1990. годином, док је одговарајући пад у </w:t>
      </w:r>
      <w:r w:rsidRPr="00FF386D">
        <w:rPr>
          <w:rFonts w:ascii="Calibri Light" w:eastAsia="Calibri" w:hAnsi="Calibri Light" w:cs="Calibri Light"/>
          <w:i/>
        </w:rPr>
        <w:t>WEM</w:t>
      </w:r>
      <w:r w:rsidRPr="00FF386D">
        <w:rPr>
          <w:rFonts w:ascii="Calibri Light" w:eastAsia="Calibri" w:hAnsi="Calibri Light" w:cs="Calibri Light"/>
        </w:rPr>
        <w:t xml:space="preserve"> сценарију у односу на 1990. годину једнак 9% указујући на утицај додатних политика и мера.</w:t>
      </w:r>
    </w:p>
    <w:p w14:paraId="725DAB7C" w14:textId="0ABFF34F" w:rsidR="002F438E" w:rsidRDefault="002F438E" w:rsidP="00565B02">
      <w:pPr>
        <w:pStyle w:val="Caption"/>
        <w:keepNext/>
      </w:pPr>
      <w:bookmarkStart w:id="356" w:name="_Ref153885057"/>
      <w:bookmarkStart w:id="357" w:name="_Toc153901413"/>
      <w:r>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1</w:t>
      </w:r>
      <w:r w:rsidR="00F35B2C">
        <w:fldChar w:fldCharType="end"/>
      </w:r>
      <w:bookmarkEnd w:id="356"/>
      <w:r>
        <w:t xml:space="preserve">: </w:t>
      </w:r>
      <w:r w:rsidRPr="002F438E">
        <w:t>Укупне емисије GHG (укључујући пољопривреду, отпад и LULUCF)</w:t>
      </w:r>
      <w:bookmarkEnd w:id="357"/>
    </w:p>
    <w:p w14:paraId="5AD28000" w14:textId="15A781B3" w:rsidR="00416143" w:rsidRPr="00FF386D" w:rsidRDefault="002F438E" w:rsidP="00416143">
      <w:pPr>
        <w:jc w:val="center"/>
        <w:rPr>
          <w:lang w:bidi="sr-Cyrl-CS"/>
        </w:rPr>
      </w:pPr>
      <w:r>
        <w:rPr>
          <w:noProof/>
          <w:lang w:val="en-US"/>
        </w:rPr>
        <mc:AlternateContent>
          <mc:Choice Requires="wps">
            <w:drawing>
              <wp:anchor distT="0" distB="0" distL="114300" distR="114300" simplePos="0" relativeHeight="251755520" behindDoc="0" locked="0" layoutInCell="1" allowOverlap="1" wp14:anchorId="78349DEE" wp14:editId="6AE7EED7">
                <wp:simplePos x="0" y="0"/>
                <wp:positionH relativeFrom="column">
                  <wp:posOffset>1352550</wp:posOffset>
                </wp:positionH>
                <wp:positionV relativeFrom="paragraph">
                  <wp:posOffset>484771</wp:posOffset>
                </wp:positionV>
                <wp:extent cx="2362200" cy="2727960"/>
                <wp:effectExtent l="0" t="0" r="0" b="0"/>
                <wp:wrapNone/>
                <wp:docPr id="1281344241" name="Text Box 1281344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2200" cy="2727960"/>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4412C9B7" id="Text Box 1281344241" o:spid="_x0000_s1026" type="#_x0000_t202" style="position:absolute;margin-left:106.5pt;margin-top:38.15pt;width:186pt;height:214.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" fillcolor="#a6a6a6" stroked="f">
                <v:fill opacity="32896f"/>
              </v:shape>
            </w:pict>
          </mc:Fallback>
        </mc:AlternateContent>
      </w:r>
      <w:r w:rsidR="00416143" w:rsidRPr="004F53D7">
        <w:rPr>
          <w:noProof/>
          <w:lang w:val="en-US"/>
        </w:rPr>
        <w:drawing>
          <wp:inline distT="0" distB="0" distL="0" distR="0" wp14:anchorId="69F28124" wp14:editId="30718578">
            <wp:extent cx="4645660" cy="3682365"/>
            <wp:effectExtent l="0" t="0" r="0" b="0"/>
            <wp:docPr id="1267145468" name="Picture 1267145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45660" cy="3682365"/>
                    </a:xfrm>
                    <a:prstGeom prst="rect">
                      <a:avLst/>
                    </a:prstGeom>
                    <a:noFill/>
                  </pic:spPr>
                </pic:pic>
              </a:graphicData>
            </a:graphic>
          </wp:inline>
        </w:drawing>
      </w:r>
    </w:p>
    <w:p w14:paraId="20EB39FB" w14:textId="409D4BE3" w:rsidR="002F438E" w:rsidRDefault="002F438E" w:rsidP="00565B02">
      <w:pPr>
        <w:pStyle w:val="Caption"/>
        <w:keepNext/>
      </w:pPr>
      <w:bookmarkStart w:id="358" w:name="_Ref153885126"/>
      <w:bookmarkStart w:id="359" w:name="_Toc153901414"/>
      <w:r>
        <w:lastRenderedPageBreak/>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2</w:t>
      </w:r>
      <w:r w:rsidR="00F35B2C">
        <w:fldChar w:fldCharType="end"/>
      </w:r>
      <w:bookmarkEnd w:id="358"/>
      <w:r>
        <w:t xml:space="preserve">: </w:t>
      </w:r>
      <w:r w:rsidRPr="002F438E">
        <w:t>Укупне емисије GHG (укључујући пољопривреду, отпад и LULUCF), промене у процентима у односу на 1990. годину</w:t>
      </w:r>
      <w:bookmarkEnd w:id="359"/>
    </w:p>
    <w:p w14:paraId="3BAA8CD8" w14:textId="345712A8" w:rsidR="00F62AED" w:rsidRPr="00FF386D" w:rsidRDefault="002F438E" w:rsidP="001A4B56">
      <w:pPr>
        <w:jc w:val="center"/>
      </w:pPr>
      <w:r>
        <w:rPr>
          <w:noProof/>
          <w:lang w:val="en-US"/>
        </w:rPr>
        <mc:AlternateContent>
          <mc:Choice Requires="wps">
            <w:drawing>
              <wp:anchor distT="0" distB="0" distL="114300" distR="114300" simplePos="0" relativeHeight="251757568" behindDoc="0" locked="0" layoutInCell="1" allowOverlap="1" wp14:anchorId="57790227" wp14:editId="7D8122BC">
                <wp:simplePos x="0" y="0"/>
                <wp:positionH relativeFrom="column">
                  <wp:posOffset>835755</wp:posOffset>
                </wp:positionH>
                <wp:positionV relativeFrom="paragraph">
                  <wp:posOffset>319993</wp:posOffset>
                </wp:positionV>
                <wp:extent cx="2963545" cy="2258704"/>
                <wp:effectExtent l="0" t="0" r="8255" b="8255"/>
                <wp:wrapNone/>
                <wp:docPr id="1205295517" name="Text Box 1205295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3545" cy="2258704"/>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5C8BA0D6" id="Text Box 1205295517" o:spid="_x0000_s1026" type="#_x0000_t202" style="position:absolute;margin-left:65.8pt;margin-top:25.2pt;width:233.35pt;height:177.8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" fillcolor="#a6a6a6" stroked="f">
                <v:fill opacity="32896f"/>
              </v:shape>
            </w:pict>
          </mc:Fallback>
        </mc:AlternateContent>
      </w:r>
      <w:r w:rsidR="00F62AED" w:rsidRPr="004F53D7">
        <w:rPr>
          <w:noProof/>
          <w:lang w:val="en-US"/>
        </w:rPr>
        <w:drawing>
          <wp:inline distT="0" distB="0" distL="0" distR="0" wp14:anchorId="36448B64" wp14:editId="3F452BED">
            <wp:extent cx="5464833" cy="3263180"/>
            <wp:effectExtent l="0" t="0" r="0" b="0"/>
            <wp:docPr id="672529581" name="Picture 672529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464833" cy="3263180"/>
                    </a:xfrm>
                    <a:prstGeom prst="rect">
                      <a:avLst/>
                    </a:prstGeom>
                    <a:noFill/>
                  </pic:spPr>
                </pic:pic>
              </a:graphicData>
            </a:graphic>
          </wp:inline>
        </w:drawing>
      </w:r>
    </w:p>
    <w:p w14:paraId="488FECFD" w14:textId="73653BCB" w:rsidR="00D73855" w:rsidRPr="00FF386D" w:rsidRDefault="001272CB" w:rsidP="006B18A8">
      <w:pPr>
        <w:pStyle w:val="LDKBody1"/>
        <w:rPr>
          <w:rFonts w:eastAsia="Calibri"/>
        </w:rPr>
      </w:pPr>
      <w:r w:rsidRPr="00FF386D">
        <w:rPr>
          <w:rFonts w:asciiTheme="majorHAnsi" w:eastAsia="Calibri" w:hAnsiTheme="majorHAnsi" w:cstheme="majorHAnsi"/>
          <w:lang w:bidi="sr-Cyrl-CS"/>
        </w:rPr>
        <w:t xml:space="preserve">У сценаријима </w:t>
      </w:r>
      <w:r w:rsidRPr="00FF386D">
        <w:rPr>
          <w:rFonts w:asciiTheme="majorHAnsi" w:eastAsia="Calibri" w:hAnsiTheme="majorHAnsi" w:cstheme="majorHAnsi"/>
          <w:i/>
          <w:lang w:bidi="sr-Cyrl-CS"/>
        </w:rPr>
        <w:t>S</w:t>
      </w:r>
      <w:r w:rsidRPr="00FF386D">
        <w:rPr>
          <w:rFonts w:asciiTheme="majorHAnsi" w:eastAsia="Calibri" w:hAnsiTheme="majorHAnsi" w:cstheme="majorHAnsi"/>
          <w:lang w:bidi="sr-Cyrl-CS"/>
        </w:rPr>
        <w:t xml:space="preserve"> и </w:t>
      </w:r>
      <w:r w:rsidRPr="00FF386D">
        <w:rPr>
          <w:rFonts w:asciiTheme="majorHAnsi" w:eastAsia="Calibri" w:hAnsiTheme="majorHAnsi" w:cstheme="majorHAnsi"/>
          <w:i/>
          <w:lang w:bidi="sr-Cyrl-CS"/>
        </w:rPr>
        <w:t>S-N,</w:t>
      </w:r>
      <w:r w:rsidRPr="00FF386D">
        <w:rPr>
          <w:rFonts w:asciiTheme="majorHAnsi" w:eastAsia="Calibri" w:hAnsiTheme="majorHAnsi" w:cstheme="majorHAnsi"/>
          <w:lang w:bidi="sr-Cyrl-CS"/>
        </w:rPr>
        <w:t xml:space="preserve"> укупне емисије </w:t>
      </w:r>
      <w:r w:rsidR="00F62AED" w:rsidRPr="00FF386D">
        <w:rPr>
          <w:rFonts w:asciiTheme="majorHAnsi" w:eastAsia="Calibri" w:hAnsiTheme="majorHAnsi" w:cstheme="majorHAnsi"/>
          <w:i/>
          <w:iCs/>
          <w:lang w:bidi="sr-Cyrl-CS"/>
        </w:rPr>
        <w:t>GHG</w:t>
      </w:r>
      <w:r w:rsidR="00F62AED" w:rsidRPr="00FF386D">
        <w:rPr>
          <w:rFonts w:asciiTheme="majorHAnsi" w:eastAsia="Calibri" w:hAnsiTheme="majorHAnsi" w:cstheme="majorHAnsi"/>
          <w:lang w:bidi="sr-Cyrl-CS"/>
        </w:rPr>
        <w:t xml:space="preserve"> из употребе енергије, процеса и фугитивне емисије у 2030. години износе 47.477</w:t>
      </w:r>
      <w:r w:rsidRPr="00FF386D">
        <w:rPr>
          <w:rFonts w:asciiTheme="majorHAnsi" w:eastAsia="Calibri" w:hAnsiTheme="majorHAnsi" w:cstheme="majorHAnsi"/>
          <w:lang w:bidi="sr-Cyrl-CS"/>
        </w:rPr>
        <w:t xml:space="preserve"> kton CO2-eq </w:t>
      </w:r>
      <w:r w:rsidR="005E058C" w:rsidRPr="00FF386D">
        <w:rPr>
          <w:rFonts w:asciiTheme="majorHAnsi" w:eastAsia="Calibri" w:hAnsiTheme="majorHAnsi" w:cstheme="majorHAnsi"/>
        </w:rPr>
        <w:t>(</w:t>
      </w:r>
      <w:r w:rsidR="005D618E">
        <w:rPr>
          <w:rFonts w:asciiTheme="majorHAnsi" w:eastAsia="Calibri" w:hAnsiTheme="majorHAnsi" w:cstheme="majorHAnsi"/>
        </w:rPr>
        <w:fldChar w:fldCharType="begin"/>
      </w:r>
      <w:r w:rsidR="005D618E">
        <w:rPr>
          <w:rFonts w:asciiTheme="majorHAnsi" w:eastAsia="Calibri" w:hAnsiTheme="majorHAnsi" w:cstheme="majorHAnsi"/>
        </w:rPr>
        <w:instrText xml:space="preserve"> REF _Ref153885290 \h </w:instrText>
      </w:r>
      <w:r w:rsidR="005D618E">
        <w:rPr>
          <w:rFonts w:asciiTheme="majorHAnsi" w:eastAsia="Calibri" w:hAnsiTheme="majorHAnsi" w:cstheme="majorHAnsi"/>
        </w:rPr>
      </w:r>
      <w:r w:rsidR="005D618E">
        <w:rPr>
          <w:rFonts w:asciiTheme="majorHAnsi" w:eastAsia="Calibri" w:hAnsiTheme="majorHAnsi" w:cstheme="majorHAnsi"/>
        </w:rPr>
        <w:fldChar w:fldCharType="separate"/>
      </w:r>
      <w:r w:rsidR="005D618E">
        <w:t xml:space="preserve">Слика </w:t>
      </w:r>
      <w:r w:rsidR="005D618E">
        <w:rPr>
          <w:noProof/>
        </w:rPr>
        <w:t>5</w:t>
      </w:r>
      <w:r w:rsidR="005D618E">
        <w:t>.</w:t>
      </w:r>
      <w:r w:rsidR="005D618E">
        <w:rPr>
          <w:noProof/>
        </w:rPr>
        <w:t>3</w:t>
      </w:r>
      <w:r w:rsidR="005D618E">
        <w:rPr>
          <w:rFonts w:asciiTheme="majorHAnsi" w:eastAsia="Calibri" w:hAnsiTheme="majorHAnsi" w:cstheme="majorHAnsi"/>
        </w:rPr>
        <w:fldChar w:fldCharType="end"/>
      </w:r>
      <w:r w:rsidR="005E058C" w:rsidRPr="00FF386D">
        <w:rPr>
          <w:rStyle w:val="LDKBodyChar0"/>
          <w:rFonts w:eastAsia="Calibri"/>
        </w:rPr>
        <w:t>).</w:t>
      </w:r>
      <w:r w:rsidR="005E058C" w:rsidRPr="00FF386D">
        <w:rPr>
          <w:rFonts w:asciiTheme="majorHAnsi" w:eastAsia="Calibri" w:hAnsiTheme="majorHAnsi" w:cstheme="majorHAnsi"/>
        </w:rPr>
        <w:t xml:space="preserve"> </w:t>
      </w:r>
      <w:r w:rsidR="00D73855" w:rsidRPr="00FF386D">
        <w:rPr>
          <w:rFonts w:eastAsia="Calibri"/>
        </w:rPr>
        <w:t xml:space="preserve">Смањење од 34% у 2030. години забележено је у сценаријима </w:t>
      </w:r>
      <w:r w:rsidR="00D73855" w:rsidRPr="00FF386D">
        <w:rPr>
          <w:rFonts w:eastAsia="Calibri"/>
          <w:i/>
          <w:iCs/>
        </w:rPr>
        <w:t>S</w:t>
      </w:r>
      <w:r w:rsidR="00D73855" w:rsidRPr="00FF386D">
        <w:rPr>
          <w:rFonts w:eastAsia="Calibri"/>
        </w:rPr>
        <w:t xml:space="preserve"> и </w:t>
      </w:r>
      <w:r w:rsidR="00D73855" w:rsidRPr="00FF386D">
        <w:rPr>
          <w:rFonts w:eastAsia="Calibri"/>
          <w:i/>
          <w:iCs/>
        </w:rPr>
        <w:t>S-N</w:t>
      </w:r>
      <w:r w:rsidR="00D73855" w:rsidRPr="00FF386D">
        <w:rPr>
          <w:rFonts w:eastAsia="Calibri"/>
        </w:rPr>
        <w:t>, у поређењу са 1990. годином (</w:t>
      </w:r>
      <w:r w:rsidR="005D618E">
        <w:rPr>
          <w:rFonts w:eastAsia="Calibri"/>
        </w:rPr>
        <w:fldChar w:fldCharType="begin"/>
      </w:r>
      <w:r w:rsidR="005D618E">
        <w:rPr>
          <w:rFonts w:eastAsia="Calibri"/>
        </w:rPr>
        <w:instrText xml:space="preserve"> REF _Ref153885388 \h </w:instrText>
      </w:r>
      <w:r w:rsidR="005D618E">
        <w:rPr>
          <w:rFonts w:eastAsia="Calibri"/>
        </w:rPr>
      </w:r>
      <w:r w:rsidR="005D618E">
        <w:rPr>
          <w:rFonts w:eastAsia="Calibri"/>
        </w:rPr>
        <w:fldChar w:fldCharType="separate"/>
      </w:r>
      <w:r w:rsidR="005D618E">
        <w:t xml:space="preserve">Слика </w:t>
      </w:r>
      <w:r w:rsidR="005D618E">
        <w:rPr>
          <w:noProof/>
        </w:rPr>
        <w:t>5</w:t>
      </w:r>
      <w:r w:rsidR="005D618E">
        <w:t>.</w:t>
      </w:r>
      <w:r w:rsidR="005D618E">
        <w:rPr>
          <w:noProof/>
        </w:rPr>
        <w:t>4</w:t>
      </w:r>
      <w:r w:rsidR="005D618E">
        <w:rPr>
          <w:rFonts w:eastAsia="Calibri"/>
        </w:rPr>
        <w:fldChar w:fldCharType="end"/>
      </w:r>
      <w:r w:rsidR="00D73855" w:rsidRPr="00FF386D">
        <w:rPr>
          <w:rFonts w:eastAsia="Calibri"/>
        </w:rPr>
        <w:t xml:space="preserve">) због повећаног удела ОИЕ и имплементације мера енергетске ефикасности, док је истовремено смањење од 10% забележено 2030. године у </w:t>
      </w:r>
      <w:r w:rsidR="00D73855" w:rsidRPr="00FF386D">
        <w:rPr>
          <w:rFonts w:eastAsia="Calibri"/>
          <w:i/>
        </w:rPr>
        <w:t>WEM</w:t>
      </w:r>
      <w:r w:rsidR="00D73855" w:rsidRPr="00FF386D">
        <w:rPr>
          <w:rFonts w:eastAsia="Calibri"/>
        </w:rPr>
        <w:t xml:space="preserve"> сценарију, у поређењу са 1990. годином.</w:t>
      </w:r>
    </w:p>
    <w:p w14:paraId="1F002DC5" w14:textId="5D732766" w:rsidR="005D618E" w:rsidRDefault="005D618E" w:rsidP="00565B02">
      <w:pPr>
        <w:pStyle w:val="Caption"/>
        <w:keepNext/>
      </w:pPr>
      <w:bookmarkStart w:id="360" w:name="_Ref153885290"/>
      <w:bookmarkStart w:id="361" w:name="_Toc153901415"/>
      <w:r>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3</w:t>
      </w:r>
      <w:r w:rsidR="00F35B2C">
        <w:fldChar w:fldCharType="end"/>
      </w:r>
      <w:bookmarkEnd w:id="360"/>
      <w:r>
        <w:t xml:space="preserve">: </w:t>
      </w:r>
      <w:r w:rsidRPr="005D618E">
        <w:t>Емисије GHG из употребе енергије, процеса и фугитивне емисије по сектору</w:t>
      </w:r>
      <w:bookmarkEnd w:id="361"/>
    </w:p>
    <w:p w14:paraId="36E6744B" w14:textId="54F98017" w:rsidR="00D73855" w:rsidRPr="00FF386D" w:rsidRDefault="005D618E" w:rsidP="00565B02">
      <w:pPr>
        <w:keepNext/>
        <w:jc w:val="center"/>
      </w:pPr>
      <w:r>
        <w:rPr>
          <w:noProof/>
          <w:lang w:val="en-US"/>
        </w:rPr>
        <mc:AlternateContent>
          <mc:Choice Requires="wps">
            <w:drawing>
              <wp:anchor distT="0" distB="0" distL="114300" distR="114300" simplePos="0" relativeHeight="251759616" behindDoc="0" locked="0" layoutInCell="1" allowOverlap="1" wp14:anchorId="06BE7F12" wp14:editId="3B4F8EA8">
                <wp:simplePos x="0" y="0"/>
                <wp:positionH relativeFrom="column">
                  <wp:posOffset>1292955</wp:posOffset>
                </wp:positionH>
                <wp:positionV relativeFrom="paragraph">
                  <wp:posOffset>386952</wp:posOffset>
                </wp:positionV>
                <wp:extent cx="2470245" cy="1998345"/>
                <wp:effectExtent l="0" t="0" r="6350" b="1905"/>
                <wp:wrapNone/>
                <wp:docPr id="2113344679" name="Text Box 2113344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245" cy="1998345"/>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61426552" id="Text Box 2113344679" o:spid="_x0000_s1026" type="#_x0000_t202" style="position:absolute;margin-left:101.8pt;margin-top:30.45pt;width:194.5pt;height:157.3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" fillcolor="#a6a6a6" stroked="f">
                <v:fill opacity="32896f"/>
              </v:shape>
            </w:pict>
          </mc:Fallback>
        </mc:AlternateContent>
      </w:r>
      <w:r w:rsidR="00D73855" w:rsidRPr="004F53D7">
        <w:rPr>
          <w:noProof/>
          <w:lang w:val="en-US"/>
        </w:rPr>
        <w:drawing>
          <wp:inline distT="0" distB="0" distL="0" distR="0" wp14:anchorId="759A12A5" wp14:editId="11D5140A">
            <wp:extent cx="5035550" cy="3609340"/>
            <wp:effectExtent l="0" t="0" r="0" b="0"/>
            <wp:docPr id="1165278503" name="Picture 1165278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35550" cy="3609340"/>
                    </a:xfrm>
                    <a:prstGeom prst="rect">
                      <a:avLst/>
                    </a:prstGeom>
                    <a:noFill/>
                  </pic:spPr>
                </pic:pic>
              </a:graphicData>
            </a:graphic>
          </wp:inline>
        </w:drawing>
      </w:r>
    </w:p>
    <w:p w14:paraId="44337AB1" w14:textId="03F67923" w:rsidR="00AD6F9E" w:rsidRPr="00FF386D" w:rsidRDefault="00AD6F9E" w:rsidP="001A4B56">
      <w:pPr>
        <w:pStyle w:val="LDKbody"/>
        <w:jc w:val="center"/>
        <w:rPr>
          <w:rFonts w:eastAsia="Calibri" w:cs="Times New Roman"/>
          <w:lang w:val="sr-Cyrl-RS" w:eastAsia="en-US"/>
        </w:rPr>
      </w:pPr>
    </w:p>
    <w:p w14:paraId="174ABECE" w14:textId="34493EAB" w:rsidR="005D618E" w:rsidRDefault="006B18A8" w:rsidP="00565B02">
      <w:pPr>
        <w:jc w:val="both"/>
      </w:pPr>
      <w:r w:rsidRPr="00FF386D">
        <w:rPr>
          <w:rFonts w:ascii="Calibri Light" w:eastAsia="Calibri" w:hAnsi="Calibri Light" w:cs="Calibri Light"/>
        </w:rPr>
        <w:lastRenderedPageBreak/>
        <w:t xml:space="preserve">Иако се пројектоване емисије </w:t>
      </w:r>
      <w:r w:rsidRPr="00FF386D">
        <w:rPr>
          <w:rFonts w:ascii="Calibri Light" w:eastAsia="Calibri" w:hAnsi="Calibri Light" w:cs="Calibri Light"/>
          <w:i/>
        </w:rPr>
        <w:t>GHG</w:t>
      </w:r>
      <w:r w:rsidRPr="00FF386D">
        <w:rPr>
          <w:rFonts w:ascii="Calibri Light" w:eastAsia="Calibri" w:hAnsi="Calibri Light" w:cs="Calibri Light"/>
        </w:rPr>
        <w:t xml:space="preserve"> из употребе енергије, процеса и фугитивне емисије смањују за 52% у сценаријима </w:t>
      </w:r>
      <w:r w:rsidRPr="00FF386D">
        <w:rPr>
          <w:rFonts w:ascii="Calibri Light" w:eastAsia="Calibri" w:hAnsi="Calibri Light" w:cs="Calibri Light"/>
          <w:i/>
          <w:iCs/>
        </w:rPr>
        <w:t>S</w:t>
      </w:r>
      <w:r w:rsidRPr="00FF386D">
        <w:rPr>
          <w:rFonts w:ascii="Calibri Light" w:eastAsia="Calibri" w:hAnsi="Calibri Light" w:cs="Calibri Light"/>
        </w:rPr>
        <w:t xml:space="preserve"> и </w:t>
      </w:r>
      <w:r w:rsidRPr="00FF386D">
        <w:rPr>
          <w:rFonts w:ascii="Calibri Light" w:eastAsia="Calibri" w:hAnsi="Calibri Light" w:cs="Calibri Light"/>
          <w:i/>
          <w:iCs/>
        </w:rPr>
        <w:t>S-N</w:t>
      </w:r>
      <w:r w:rsidRPr="00FF386D">
        <w:rPr>
          <w:rFonts w:ascii="Calibri Light" w:eastAsia="Calibri" w:hAnsi="Calibri Light" w:cs="Calibri Light"/>
        </w:rPr>
        <w:t xml:space="preserve"> у 2040. години, у поређењу са 1990. годином, оне се разликују у 2050. години </w:t>
      </w:r>
      <w:r w:rsidR="00027AC1" w:rsidRPr="00FF386D">
        <w:rPr>
          <w:rFonts w:ascii="Calibri Light" w:eastAsia="Calibri" w:hAnsi="Calibri Light" w:cs="Calibri Light"/>
        </w:rPr>
        <w:t>износе</w:t>
      </w:r>
      <w:r w:rsidRPr="00FF386D">
        <w:rPr>
          <w:rFonts w:ascii="Calibri Light" w:eastAsia="Calibri" w:hAnsi="Calibri Light" w:cs="Calibri Light"/>
        </w:rPr>
        <w:t xml:space="preserve"> 1</w:t>
      </w:r>
      <w:r w:rsidR="00F62AED" w:rsidRPr="00FF386D">
        <w:rPr>
          <w:rFonts w:ascii="Calibri Light" w:eastAsia="Calibri" w:hAnsi="Calibri Light" w:cs="Calibri Light"/>
        </w:rPr>
        <w:t>8.376</w:t>
      </w:r>
      <w:r w:rsidRPr="00FF386D">
        <w:rPr>
          <w:rFonts w:ascii="Calibri Light" w:eastAsia="Calibri" w:hAnsi="Calibri Light" w:cs="Calibri Light"/>
        </w:rPr>
        <w:t xml:space="preserve"> ktons CO2-eq у сценарију S и 1</w:t>
      </w:r>
      <w:r w:rsidR="00F62AED" w:rsidRPr="00FF386D">
        <w:rPr>
          <w:rFonts w:ascii="Calibri Light" w:eastAsia="Calibri" w:hAnsi="Calibri Light" w:cs="Calibri Light"/>
        </w:rPr>
        <w:t>6.791</w:t>
      </w:r>
      <w:r w:rsidRPr="00FF386D">
        <w:rPr>
          <w:rFonts w:ascii="Calibri Light" w:eastAsia="Calibri" w:hAnsi="Calibri Light" w:cs="Calibri Light"/>
        </w:rPr>
        <w:t xml:space="preserve"> ktons CO2-eq у сценарију </w:t>
      </w:r>
      <w:r w:rsidRPr="00FF386D">
        <w:rPr>
          <w:rFonts w:ascii="Calibri Light" w:eastAsia="Calibri" w:hAnsi="Calibri Light" w:cs="Calibri Light"/>
          <w:i/>
          <w:iCs/>
        </w:rPr>
        <w:t>S-N</w:t>
      </w:r>
      <w:r w:rsidRPr="00FF386D">
        <w:rPr>
          <w:rFonts w:ascii="Calibri Light" w:eastAsia="Calibri" w:hAnsi="Calibri Light" w:cs="Calibri Light"/>
        </w:rPr>
        <w:t xml:space="preserve"> због увођења нуклеарних електрана у сценарију </w:t>
      </w:r>
      <w:r w:rsidRPr="00FF386D">
        <w:rPr>
          <w:rFonts w:ascii="Calibri Light" w:eastAsia="Calibri" w:hAnsi="Calibri Light" w:cs="Calibri Light"/>
          <w:i/>
          <w:iCs/>
        </w:rPr>
        <w:t>S-N</w:t>
      </w:r>
      <w:r w:rsidRPr="00FF386D">
        <w:rPr>
          <w:rFonts w:ascii="Calibri Light" w:eastAsia="Calibri" w:hAnsi="Calibri Light" w:cs="Calibri Light"/>
        </w:rPr>
        <w:t>. Смањење од 7</w:t>
      </w:r>
      <w:r w:rsidR="00F62AED" w:rsidRPr="00FF386D">
        <w:rPr>
          <w:rFonts w:ascii="Calibri Light" w:eastAsia="Calibri" w:hAnsi="Calibri Light" w:cs="Calibri Light"/>
        </w:rPr>
        <w:t>4</w:t>
      </w:r>
      <w:r w:rsidRPr="00FF386D">
        <w:rPr>
          <w:rFonts w:ascii="Calibri Light" w:eastAsia="Calibri" w:hAnsi="Calibri Light" w:cs="Calibri Light"/>
        </w:rPr>
        <w:t>% односно 7</w:t>
      </w:r>
      <w:r w:rsidR="00F62AED" w:rsidRPr="00FF386D">
        <w:rPr>
          <w:rFonts w:ascii="Calibri Light" w:eastAsia="Calibri" w:hAnsi="Calibri Light" w:cs="Calibri Light"/>
        </w:rPr>
        <w:t>7</w:t>
      </w:r>
      <w:r w:rsidRPr="00FF386D">
        <w:rPr>
          <w:rFonts w:ascii="Calibri Light" w:eastAsia="Calibri" w:hAnsi="Calibri Light" w:cs="Calibri Light"/>
        </w:rPr>
        <w:t xml:space="preserve">% је забележено у сценаријима </w:t>
      </w:r>
      <w:r w:rsidRPr="00FF386D">
        <w:rPr>
          <w:rFonts w:ascii="Calibri Light" w:eastAsia="Calibri" w:hAnsi="Calibri Light" w:cs="Calibri Light"/>
          <w:i/>
          <w:iCs/>
        </w:rPr>
        <w:t>S</w:t>
      </w:r>
      <w:r w:rsidRPr="00FF386D">
        <w:rPr>
          <w:rFonts w:ascii="Calibri Light" w:eastAsia="Calibri" w:hAnsi="Calibri Light" w:cs="Calibri Light"/>
        </w:rPr>
        <w:t xml:space="preserve"> односно </w:t>
      </w:r>
      <w:r w:rsidRPr="00FF386D">
        <w:rPr>
          <w:rFonts w:ascii="Calibri Light" w:eastAsia="Calibri" w:hAnsi="Calibri Light" w:cs="Calibri Light"/>
          <w:i/>
          <w:iCs/>
        </w:rPr>
        <w:t>S-N</w:t>
      </w:r>
      <w:r w:rsidRPr="00FF386D">
        <w:rPr>
          <w:rFonts w:ascii="Calibri Light" w:eastAsia="Calibri" w:hAnsi="Calibri Light" w:cs="Calibri Light"/>
        </w:rPr>
        <w:t xml:space="preserve"> у 2050. години, у поређењу са 1990. годином, док је одговарајући пад у </w:t>
      </w:r>
      <w:r w:rsidRPr="00FF386D">
        <w:rPr>
          <w:rFonts w:ascii="Calibri Light" w:eastAsia="Calibri" w:hAnsi="Calibri Light" w:cs="Calibri Light"/>
          <w:i/>
        </w:rPr>
        <w:t>WEM</w:t>
      </w:r>
      <w:r w:rsidRPr="00FF386D">
        <w:rPr>
          <w:rFonts w:ascii="Calibri Light" w:eastAsia="Calibri" w:hAnsi="Calibri Light" w:cs="Calibri Light"/>
        </w:rPr>
        <w:t xml:space="preserve"> сценарију у односу на 1990. годину једнак 2% указујући на утицај додатних политика и мера.</w:t>
      </w:r>
    </w:p>
    <w:p w14:paraId="2986994A" w14:textId="35D2CFE0" w:rsidR="005D618E" w:rsidRDefault="005D618E" w:rsidP="00565B02">
      <w:pPr>
        <w:pStyle w:val="Caption"/>
        <w:keepNext/>
      </w:pPr>
      <w:bookmarkStart w:id="362" w:name="_Ref153885388"/>
      <w:bookmarkStart w:id="363" w:name="_Toc153901416"/>
      <w:r>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4</w:t>
      </w:r>
      <w:r w:rsidR="00F35B2C">
        <w:fldChar w:fldCharType="end"/>
      </w:r>
      <w:bookmarkEnd w:id="362"/>
      <w:r>
        <w:t xml:space="preserve">: </w:t>
      </w:r>
      <w:r w:rsidRPr="005D618E">
        <w:t>Емисије GHG из употребе енергије, процеса и фугитивне емисије, промене у процентима у односу на 1990. годину</w:t>
      </w:r>
      <w:bookmarkEnd w:id="363"/>
    </w:p>
    <w:p w14:paraId="6229FFAE" w14:textId="38CE5031" w:rsidR="00A26A77" w:rsidRPr="00FF386D" w:rsidRDefault="005D618E" w:rsidP="006B18A8">
      <w:pPr>
        <w:spacing w:after="200" w:line="240" w:lineRule="auto"/>
        <w:jc w:val="center"/>
        <w:rPr>
          <w:rFonts w:ascii="Calibri Light" w:eastAsia="Calibri" w:hAnsi="Calibri Light" w:cs="Times New Roman"/>
          <w:b/>
          <w:bCs/>
          <w:color w:val="01406B"/>
        </w:rPr>
      </w:pPr>
      <w:r>
        <w:rPr>
          <w:noProof/>
          <w:lang w:val="en-US"/>
        </w:rPr>
        <mc:AlternateContent>
          <mc:Choice Requires="wps">
            <w:drawing>
              <wp:anchor distT="0" distB="0" distL="114300" distR="114300" simplePos="0" relativeHeight="251761664" behindDoc="0" locked="0" layoutInCell="1" allowOverlap="1" wp14:anchorId="1D646ABB" wp14:editId="05F44B51">
                <wp:simplePos x="0" y="0"/>
                <wp:positionH relativeFrom="column">
                  <wp:posOffset>1040471</wp:posOffset>
                </wp:positionH>
                <wp:positionV relativeFrom="paragraph">
                  <wp:posOffset>302601</wp:posOffset>
                </wp:positionV>
                <wp:extent cx="2737485" cy="1903863"/>
                <wp:effectExtent l="0" t="0" r="5715" b="1270"/>
                <wp:wrapNone/>
                <wp:docPr id="1660238036" name="Text Box 16602380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7485" cy="1903863"/>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537CBDC2" id="Text Box 1660238036" o:spid="_x0000_s1026" type="#_x0000_t202" style="position:absolute;margin-left:81.95pt;margin-top:23.85pt;width:215.55pt;height:149.9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" fillcolor="#a6a6a6" stroked="f">
                <v:fill opacity="32896f"/>
              </v:shape>
            </w:pict>
          </mc:Fallback>
        </mc:AlternateContent>
      </w:r>
      <w:r w:rsidR="00A26A77" w:rsidRPr="004F53D7">
        <w:rPr>
          <w:rFonts w:ascii="Calibri Light" w:eastAsia="Calibri" w:hAnsi="Calibri Light" w:cs="Times New Roman"/>
          <w:b/>
          <w:bCs/>
          <w:noProof/>
          <w:color w:val="01406B"/>
          <w:lang w:val="en-US"/>
        </w:rPr>
        <w:drawing>
          <wp:inline distT="0" distB="0" distL="0" distR="0" wp14:anchorId="19CFF885" wp14:editId="6BABF78F">
            <wp:extent cx="5094587" cy="3085465"/>
            <wp:effectExtent l="0" t="0" r="0" b="0"/>
            <wp:docPr id="1259164147" name="Picture 125916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133510" cy="3109038"/>
                    </a:xfrm>
                    <a:prstGeom prst="rect">
                      <a:avLst/>
                    </a:prstGeom>
                    <a:noFill/>
                  </pic:spPr>
                </pic:pic>
              </a:graphicData>
            </a:graphic>
          </wp:inline>
        </w:drawing>
      </w:r>
    </w:p>
    <w:p w14:paraId="104FCD52" w14:textId="2B1C76A8" w:rsidR="006B18A8" w:rsidRPr="00FF386D" w:rsidRDefault="00A26A77" w:rsidP="006B18A8">
      <w:pPr>
        <w:jc w:val="both"/>
        <w:rPr>
          <w:rFonts w:ascii="Calibri Light" w:eastAsia="Calibri" w:hAnsi="Calibri Light" w:cs="Calibri Light"/>
        </w:rPr>
      </w:pPr>
      <w:bookmarkStart w:id="364" w:name="_Ref113536756"/>
      <w:r w:rsidRPr="00FF386D">
        <w:rPr>
          <w:rFonts w:ascii="Calibri Light" w:eastAsia="Calibri" w:hAnsi="Calibri Light" w:cs="Calibri Light"/>
        </w:rPr>
        <w:t>У</w:t>
      </w:r>
      <w:r w:rsidR="006B18A8" w:rsidRPr="00FF386D">
        <w:rPr>
          <w:rFonts w:ascii="Calibri Light" w:eastAsia="Calibri" w:hAnsi="Calibri Light" w:cs="Calibri Light"/>
        </w:rPr>
        <w:t xml:space="preserve">купне емисије </w:t>
      </w:r>
      <w:r w:rsidR="006B18A8" w:rsidRPr="00FF386D">
        <w:rPr>
          <w:rFonts w:ascii="Calibri Light" w:eastAsia="Calibri" w:hAnsi="Calibri Light" w:cs="Calibri Light"/>
          <w:i/>
        </w:rPr>
        <w:t>GHG</w:t>
      </w:r>
      <w:r w:rsidR="006B18A8" w:rsidRPr="00FF386D">
        <w:rPr>
          <w:rFonts w:ascii="Calibri Light" w:eastAsia="Calibri" w:hAnsi="Calibri Light" w:cs="Calibri Light"/>
        </w:rPr>
        <w:t xml:space="preserve"> из употребе енергије, процеса и фугитивне емисије за све секторе износе 47.47</w:t>
      </w:r>
      <w:r w:rsidRPr="00FF386D">
        <w:rPr>
          <w:rFonts w:ascii="Calibri Light" w:eastAsia="Calibri" w:hAnsi="Calibri Light" w:cs="Calibri Light"/>
        </w:rPr>
        <w:t>7</w:t>
      </w:r>
      <w:r w:rsidR="006B18A8" w:rsidRPr="00FF386D">
        <w:rPr>
          <w:rFonts w:ascii="Calibri Light" w:eastAsia="Calibri" w:hAnsi="Calibri Light" w:cs="Calibri Light"/>
        </w:rPr>
        <w:t xml:space="preserve"> ktons CO2-eq у сценаријима </w:t>
      </w:r>
      <w:r w:rsidR="006B18A8" w:rsidRPr="00FF386D">
        <w:rPr>
          <w:rFonts w:ascii="Calibri Light" w:eastAsia="Calibri" w:hAnsi="Calibri Light" w:cs="Calibri Light"/>
          <w:i/>
          <w:iCs/>
        </w:rPr>
        <w:t>S</w:t>
      </w:r>
      <w:r w:rsidR="006B18A8" w:rsidRPr="00FF386D">
        <w:rPr>
          <w:rFonts w:ascii="Calibri Light" w:eastAsia="Calibri" w:hAnsi="Calibri Light" w:cs="Calibri Light"/>
        </w:rPr>
        <w:t xml:space="preserve"> и </w:t>
      </w:r>
      <w:r w:rsidR="006B18A8" w:rsidRPr="00FF386D">
        <w:rPr>
          <w:rFonts w:ascii="Calibri Light" w:eastAsia="Calibri" w:hAnsi="Calibri Light" w:cs="Calibri Light"/>
          <w:i/>
          <w:iCs/>
        </w:rPr>
        <w:t>S-N</w:t>
      </w:r>
      <w:r w:rsidR="006B18A8" w:rsidRPr="00FF386D">
        <w:rPr>
          <w:rFonts w:ascii="Calibri Light" w:eastAsia="Calibri" w:hAnsi="Calibri Light" w:cs="Calibri Light"/>
        </w:rPr>
        <w:t xml:space="preserve"> 2030. године (</w:t>
      </w:r>
      <w:r w:rsidR="00452229">
        <w:rPr>
          <w:rFonts w:ascii="Calibri Light" w:eastAsia="Calibri" w:hAnsi="Calibri Light" w:cs="Calibri Light"/>
        </w:rPr>
        <w:fldChar w:fldCharType="begin"/>
      </w:r>
      <w:r w:rsidR="00452229">
        <w:rPr>
          <w:rFonts w:ascii="Calibri Light" w:eastAsia="Calibri" w:hAnsi="Calibri Light" w:cs="Calibri Light"/>
        </w:rPr>
        <w:instrText xml:space="preserve"> REF _Ref153885573 \h  \* MERGEFORMAT </w:instrText>
      </w:r>
      <w:r w:rsidR="00452229">
        <w:rPr>
          <w:rFonts w:ascii="Calibri Light" w:eastAsia="Calibri" w:hAnsi="Calibri Light" w:cs="Calibri Light"/>
        </w:rPr>
      </w:r>
      <w:r w:rsidR="00452229">
        <w:rPr>
          <w:rFonts w:ascii="Calibri Light" w:eastAsia="Calibri" w:hAnsi="Calibri Light" w:cs="Calibri Light"/>
        </w:rPr>
        <w:fldChar w:fldCharType="separate"/>
      </w:r>
      <w:r w:rsidR="00452229" w:rsidRPr="00565B02">
        <w:rPr>
          <w:rFonts w:ascii="Calibri Light" w:eastAsia="Calibri" w:hAnsi="Calibri Light" w:cs="Calibri Light"/>
        </w:rPr>
        <w:t>Слика 5.5</w:t>
      </w:r>
      <w:r w:rsidR="00452229">
        <w:rPr>
          <w:rFonts w:ascii="Calibri Light" w:eastAsia="Calibri" w:hAnsi="Calibri Light" w:cs="Calibri Light"/>
        </w:rPr>
        <w:fldChar w:fldCharType="end"/>
      </w:r>
      <w:r w:rsidR="006B18A8" w:rsidRPr="00565B02">
        <w:rPr>
          <w:rFonts w:eastAsia="Calibri"/>
        </w:rPr>
        <w:t>).</w:t>
      </w:r>
      <w:r w:rsidR="006B18A8" w:rsidRPr="00FF386D">
        <w:rPr>
          <w:rFonts w:ascii="Calibri Light" w:eastAsia="Calibri" w:hAnsi="Calibri Light" w:cs="Calibri Light"/>
        </w:rPr>
        <w:t xml:space="preserve"> Тачније, 2</w:t>
      </w:r>
      <w:r w:rsidR="009F6280" w:rsidRPr="00FF386D">
        <w:rPr>
          <w:rFonts w:ascii="Calibri Light" w:eastAsia="Calibri" w:hAnsi="Calibri Light" w:cs="Calibri Light"/>
        </w:rPr>
        <w:t>3.865</w:t>
      </w:r>
      <w:r w:rsidR="006B18A8" w:rsidRPr="00FF386D">
        <w:rPr>
          <w:rFonts w:ascii="Calibri Light" w:eastAsia="Calibri" w:hAnsi="Calibri Light" w:cs="Calibri Light"/>
        </w:rPr>
        <w:t xml:space="preserve"> ktons CO2-eq </w:t>
      </w:r>
      <w:r w:rsidR="00027AC1" w:rsidRPr="00FF386D">
        <w:rPr>
          <w:rFonts w:ascii="Calibri Light" w:eastAsia="Calibri" w:hAnsi="Calibri Light" w:cs="Calibri Light"/>
        </w:rPr>
        <w:t>долазе</w:t>
      </w:r>
      <w:r w:rsidR="006B18A8" w:rsidRPr="00FF386D">
        <w:rPr>
          <w:rFonts w:ascii="Calibri Light" w:eastAsia="Calibri" w:hAnsi="Calibri Light" w:cs="Calibri Light"/>
        </w:rPr>
        <w:t xml:space="preserve"> из електроенергетског и топлотног сектора, 9.</w:t>
      </w:r>
      <w:r w:rsidR="009F6280" w:rsidRPr="00FF386D">
        <w:rPr>
          <w:rFonts w:ascii="Calibri Light" w:eastAsia="Calibri" w:hAnsi="Calibri Light" w:cs="Calibri Light"/>
        </w:rPr>
        <w:t>858</w:t>
      </w:r>
      <w:r w:rsidR="006B18A8" w:rsidRPr="00FF386D">
        <w:rPr>
          <w:rFonts w:ascii="Calibri Light" w:eastAsia="Calibri" w:hAnsi="Calibri Light" w:cs="Calibri Light"/>
        </w:rPr>
        <w:t xml:space="preserve"> ktons CO2-eq индустријског сектора, 7.</w:t>
      </w:r>
      <w:r w:rsidR="009F6280" w:rsidRPr="00FF386D">
        <w:rPr>
          <w:rFonts w:ascii="Calibri Light" w:eastAsia="Calibri" w:hAnsi="Calibri Light" w:cs="Calibri Light"/>
        </w:rPr>
        <w:t>617</w:t>
      </w:r>
      <w:r w:rsidR="006B18A8" w:rsidRPr="00FF386D">
        <w:rPr>
          <w:rFonts w:ascii="Calibri Light" w:eastAsia="Calibri" w:hAnsi="Calibri Light" w:cs="Calibri Light"/>
        </w:rPr>
        <w:t xml:space="preserve"> ktons CO2-eq сектора </w:t>
      </w:r>
      <w:r w:rsidR="009F6280" w:rsidRPr="00FF386D">
        <w:rPr>
          <w:rFonts w:ascii="Calibri Light" w:eastAsia="Calibri" w:hAnsi="Calibri Light" w:cs="Calibri Light"/>
        </w:rPr>
        <w:t>саобраћаја</w:t>
      </w:r>
      <w:r w:rsidR="006B18A8" w:rsidRPr="00FF386D">
        <w:rPr>
          <w:rFonts w:ascii="Calibri Light" w:eastAsia="Calibri" w:hAnsi="Calibri Light" w:cs="Calibri Light"/>
        </w:rPr>
        <w:t xml:space="preserve">, </w:t>
      </w:r>
      <w:r w:rsidR="009F6280" w:rsidRPr="00FF386D">
        <w:rPr>
          <w:rFonts w:ascii="Calibri Light" w:eastAsia="Calibri" w:hAnsi="Calibri Light" w:cs="Calibri Light"/>
        </w:rPr>
        <w:t>2.147</w:t>
      </w:r>
      <w:r w:rsidR="006B18A8" w:rsidRPr="00FF386D">
        <w:rPr>
          <w:rFonts w:ascii="Calibri Light" w:eastAsia="Calibri" w:hAnsi="Calibri Light" w:cs="Calibri Light"/>
        </w:rPr>
        <w:t xml:space="preserve"> ktons CO2-eq стамбеног сектора и сектора услужних делатности и 3.</w:t>
      </w:r>
      <w:r w:rsidR="009F6280" w:rsidRPr="00FF386D">
        <w:rPr>
          <w:rFonts w:ascii="Calibri Light" w:eastAsia="Calibri" w:hAnsi="Calibri Light" w:cs="Calibri Light"/>
        </w:rPr>
        <w:t>990</w:t>
      </w:r>
      <w:r w:rsidR="006B18A8" w:rsidRPr="00FF386D">
        <w:rPr>
          <w:rFonts w:ascii="Calibri Light" w:eastAsia="Calibri" w:hAnsi="Calibri Light" w:cs="Calibri Light"/>
        </w:rPr>
        <w:t xml:space="preserve"> ktons CO2-eq </w:t>
      </w:r>
      <w:r w:rsidR="00027AC1" w:rsidRPr="00FF386D">
        <w:rPr>
          <w:rFonts w:ascii="Calibri Light" w:eastAsia="Calibri" w:hAnsi="Calibri Light" w:cs="Calibri Light"/>
        </w:rPr>
        <w:t xml:space="preserve">из </w:t>
      </w:r>
      <w:r w:rsidR="006B18A8" w:rsidRPr="00FF386D">
        <w:rPr>
          <w:rFonts w:ascii="Calibri Light" w:eastAsia="Calibri" w:hAnsi="Calibri Light" w:cs="Calibri Light"/>
        </w:rPr>
        <w:t xml:space="preserve">осталих сектора. Укупне емисије из наведених сектора у сценаријима </w:t>
      </w:r>
      <w:r w:rsidR="006B18A8" w:rsidRPr="00FF386D">
        <w:rPr>
          <w:rFonts w:ascii="Calibri Light" w:eastAsia="Calibri" w:hAnsi="Calibri Light" w:cs="Calibri Light"/>
          <w:i/>
          <w:iCs/>
        </w:rPr>
        <w:t>S</w:t>
      </w:r>
      <w:r w:rsidR="006B18A8" w:rsidRPr="00FF386D">
        <w:rPr>
          <w:rFonts w:ascii="Calibri Light" w:eastAsia="Calibri" w:hAnsi="Calibri Light" w:cs="Calibri Light"/>
        </w:rPr>
        <w:t xml:space="preserve"> и </w:t>
      </w:r>
      <w:r w:rsidR="006B18A8" w:rsidRPr="00FF386D">
        <w:rPr>
          <w:rFonts w:ascii="Calibri Light" w:eastAsia="Calibri" w:hAnsi="Calibri Light" w:cs="Calibri Light"/>
          <w:i/>
          <w:iCs/>
        </w:rPr>
        <w:t>S-N</w:t>
      </w:r>
      <w:r w:rsidR="006B18A8" w:rsidRPr="00FF386D">
        <w:rPr>
          <w:rFonts w:ascii="Calibri Light" w:eastAsia="Calibri" w:hAnsi="Calibri Light" w:cs="Calibri Light"/>
        </w:rPr>
        <w:t xml:space="preserve"> у 2030. години су за 26% ниже у односу на </w:t>
      </w:r>
      <w:r w:rsidR="006B18A8" w:rsidRPr="00FF386D">
        <w:rPr>
          <w:rFonts w:ascii="Calibri Light" w:eastAsia="Calibri" w:hAnsi="Calibri Light" w:cs="Calibri Light"/>
          <w:i/>
        </w:rPr>
        <w:t>WEM</w:t>
      </w:r>
      <w:r w:rsidR="006B18A8" w:rsidRPr="00FF386D">
        <w:rPr>
          <w:rFonts w:ascii="Calibri Light" w:eastAsia="Calibri" w:hAnsi="Calibri Light" w:cs="Calibri Light"/>
        </w:rPr>
        <w:t xml:space="preserve"> сценарио у истој години.</w:t>
      </w:r>
    </w:p>
    <w:p w14:paraId="60847C08" w14:textId="25627804" w:rsidR="006B18A8" w:rsidRPr="00FF386D" w:rsidRDefault="006B18A8" w:rsidP="006B18A8">
      <w:pPr>
        <w:jc w:val="both"/>
        <w:rPr>
          <w:rFonts w:ascii="Calibri Light" w:eastAsia="Calibri" w:hAnsi="Calibri Light" w:cs="Calibri Light"/>
        </w:rPr>
      </w:pPr>
      <w:r w:rsidRPr="00FF386D">
        <w:rPr>
          <w:rFonts w:ascii="Calibri Light" w:eastAsia="Calibri" w:hAnsi="Calibri Light" w:cs="Calibri Light"/>
        </w:rPr>
        <w:t xml:space="preserve">Слично томе, у 2050. години, укупне емисије </w:t>
      </w:r>
      <w:r w:rsidRPr="00FF386D">
        <w:rPr>
          <w:rFonts w:ascii="Calibri Light" w:eastAsia="Calibri" w:hAnsi="Calibri Light" w:cs="Calibri Light"/>
          <w:i/>
        </w:rPr>
        <w:t>GHG</w:t>
      </w:r>
      <w:r w:rsidRPr="00FF386D">
        <w:rPr>
          <w:rFonts w:ascii="Calibri Light" w:eastAsia="Calibri" w:hAnsi="Calibri Light" w:cs="Calibri Light"/>
        </w:rPr>
        <w:t xml:space="preserve"> </w:t>
      </w:r>
      <w:r w:rsidR="009F6280" w:rsidRPr="00FF386D">
        <w:rPr>
          <w:rFonts w:ascii="Calibri Light" w:eastAsia="Calibri" w:hAnsi="Calibri Light" w:cs="Calibri Light"/>
        </w:rPr>
        <w:t xml:space="preserve">из употребе енергије, процеса и фугитивних емисија </w:t>
      </w:r>
      <w:r w:rsidRPr="00FF386D">
        <w:rPr>
          <w:rFonts w:ascii="Calibri Light" w:eastAsia="Calibri" w:hAnsi="Calibri Light" w:cs="Calibri Light"/>
        </w:rPr>
        <w:t>за све секторе износе 1</w:t>
      </w:r>
      <w:r w:rsidR="009F6280" w:rsidRPr="00FF386D">
        <w:rPr>
          <w:rFonts w:ascii="Calibri Light" w:eastAsia="Calibri" w:hAnsi="Calibri Light" w:cs="Calibri Light"/>
        </w:rPr>
        <w:t>8.376</w:t>
      </w:r>
      <w:r w:rsidRPr="00FF386D">
        <w:rPr>
          <w:rFonts w:ascii="Calibri Light" w:eastAsia="Calibri" w:hAnsi="Calibri Light" w:cs="Calibri Light"/>
        </w:rPr>
        <w:t xml:space="preserve"> ktons CO2-eq у сценарију </w:t>
      </w:r>
      <w:r w:rsidRPr="00FF386D">
        <w:rPr>
          <w:rFonts w:ascii="Calibri Light" w:eastAsia="Calibri" w:hAnsi="Calibri Light" w:cs="Calibri Light"/>
          <w:i/>
          <w:iCs/>
        </w:rPr>
        <w:t>S</w:t>
      </w:r>
      <w:r w:rsidRPr="00FF386D">
        <w:rPr>
          <w:rFonts w:ascii="Calibri Light" w:eastAsia="Calibri" w:hAnsi="Calibri Light" w:cs="Calibri Light"/>
        </w:rPr>
        <w:t xml:space="preserve"> и 1</w:t>
      </w:r>
      <w:r w:rsidR="009F6280" w:rsidRPr="00FF386D">
        <w:rPr>
          <w:rFonts w:ascii="Calibri Light" w:eastAsia="Calibri" w:hAnsi="Calibri Light" w:cs="Calibri Light"/>
        </w:rPr>
        <w:t>6.791</w:t>
      </w:r>
      <w:r w:rsidRPr="00FF386D">
        <w:rPr>
          <w:rFonts w:ascii="Calibri Light" w:eastAsia="Calibri" w:hAnsi="Calibri Light" w:cs="Calibri Light"/>
        </w:rPr>
        <w:t xml:space="preserve"> ktons CO2-eq у сценарију </w:t>
      </w:r>
      <w:r w:rsidRPr="00FF386D">
        <w:rPr>
          <w:rFonts w:ascii="Calibri Light" w:eastAsia="Calibri" w:hAnsi="Calibri Light" w:cs="Calibri Light"/>
          <w:i/>
          <w:iCs/>
        </w:rPr>
        <w:t>S-N</w:t>
      </w:r>
      <w:r w:rsidRPr="00FF386D">
        <w:rPr>
          <w:rFonts w:ascii="Calibri Light" w:eastAsia="Calibri" w:hAnsi="Calibri Light" w:cs="Calibri Light"/>
        </w:rPr>
        <w:t>, знатно мање од одговарајућих цифара у 2040. години што указује на интензивирање политика и мера за п</w:t>
      </w:r>
      <w:r w:rsidR="009F6280" w:rsidRPr="00FF386D">
        <w:rPr>
          <w:rFonts w:ascii="Calibri Light" w:eastAsia="Calibri" w:hAnsi="Calibri Light" w:cs="Calibri Light"/>
        </w:rPr>
        <w:t>одстицање</w:t>
      </w:r>
      <w:r w:rsidRPr="00FF386D">
        <w:rPr>
          <w:rFonts w:ascii="Calibri Light" w:eastAsia="Calibri" w:hAnsi="Calibri Light" w:cs="Calibri Light"/>
        </w:rPr>
        <w:t xml:space="preserve"> процеса декарбонизације. Прецизније, 3.</w:t>
      </w:r>
      <w:r w:rsidR="009F6280" w:rsidRPr="00FF386D">
        <w:rPr>
          <w:rFonts w:ascii="Calibri Light" w:eastAsia="Calibri" w:hAnsi="Calibri Light" w:cs="Calibri Light"/>
        </w:rPr>
        <w:t>365</w:t>
      </w:r>
      <w:r w:rsidRPr="00FF386D">
        <w:rPr>
          <w:rFonts w:ascii="Calibri Light" w:eastAsia="Calibri" w:hAnsi="Calibri Light" w:cs="Calibri Light"/>
        </w:rPr>
        <w:t xml:space="preserve"> ktons CO2-eq добија се у сектору електричне енергије и топлоте, </w:t>
      </w:r>
      <w:r w:rsidR="009F6280" w:rsidRPr="00FF386D">
        <w:rPr>
          <w:rFonts w:ascii="Calibri Light" w:eastAsia="Calibri" w:hAnsi="Calibri Light" w:cs="Calibri Light"/>
        </w:rPr>
        <w:t>8.045</w:t>
      </w:r>
      <w:r w:rsidRPr="00FF386D">
        <w:rPr>
          <w:rFonts w:ascii="Calibri Light" w:eastAsia="Calibri" w:hAnsi="Calibri Light" w:cs="Calibri Light"/>
        </w:rPr>
        <w:t xml:space="preserve"> ktons CO2-eq у индустријском сектору, </w:t>
      </w:r>
      <w:r w:rsidR="009F6280" w:rsidRPr="00FF386D">
        <w:rPr>
          <w:rFonts w:ascii="Calibri Light" w:eastAsia="Calibri" w:hAnsi="Calibri Light" w:cs="Calibri Light"/>
        </w:rPr>
        <w:t>4.206</w:t>
      </w:r>
      <w:r w:rsidRPr="00FF386D">
        <w:rPr>
          <w:rFonts w:ascii="Calibri Light" w:eastAsia="Calibri" w:hAnsi="Calibri Light" w:cs="Calibri Light"/>
        </w:rPr>
        <w:t xml:space="preserve"> ktons CO2-eq у сектору </w:t>
      </w:r>
      <w:r w:rsidR="009F6280" w:rsidRPr="00FF386D">
        <w:rPr>
          <w:rFonts w:ascii="Calibri Light" w:eastAsia="Calibri" w:hAnsi="Calibri Light" w:cs="Calibri Light"/>
        </w:rPr>
        <w:t>саобраћаја</w:t>
      </w:r>
      <w:r w:rsidRPr="00FF386D">
        <w:rPr>
          <w:rFonts w:ascii="Calibri Light" w:eastAsia="Calibri" w:hAnsi="Calibri Light" w:cs="Calibri Light"/>
        </w:rPr>
        <w:t>, 1.3</w:t>
      </w:r>
      <w:r w:rsidR="009F6280" w:rsidRPr="00FF386D">
        <w:rPr>
          <w:rFonts w:ascii="Calibri Light" w:eastAsia="Calibri" w:hAnsi="Calibri Light" w:cs="Calibri Light"/>
        </w:rPr>
        <w:t>11</w:t>
      </w:r>
      <w:r w:rsidRPr="00FF386D">
        <w:rPr>
          <w:rFonts w:ascii="Calibri Light" w:eastAsia="Calibri" w:hAnsi="Calibri Light" w:cs="Calibri Light"/>
        </w:rPr>
        <w:t xml:space="preserve"> ktons CO2-eq у стамбеном сектору и сектору услужних делатности и 1.</w:t>
      </w:r>
      <w:r w:rsidR="009F6280" w:rsidRPr="00FF386D">
        <w:rPr>
          <w:rFonts w:ascii="Calibri Light" w:eastAsia="Calibri" w:hAnsi="Calibri Light" w:cs="Calibri Light"/>
        </w:rPr>
        <w:t>448</w:t>
      </w:r>
      <w:r w:rsidRPr="00FF386D">
        <w:rPr>
          <w:rFonts w:ascii="Calibri Light" w:eastAsia="Calibri" w:hAnsi="Calibri Light" w:cs="Calibri Light"/>
        </w:rPr>
        <w:t xml:space="preserve"> ktons CO2-eq у свим осталим секторима за случај сценарија </w:t>
      </w:r>
      <w:r w:rsidRPr="00FF386D">
        <w:rPr>
          <w:rFonts w:ascii="Calibri Light" w:eastAsia="Calibri" w:hAnsi="Calibri Light" w:cs="Calibri Light"/>
          <w:i/>
          <w:iCs/>
        </w:rPr>
        <w:t>S.</w:t>
      </w:r>
      <w:r w:rsidRPr="00FF386D">
        <w:rPr>
          <w:rFonts w:ascii="Calibri Light" w:eastAsia="Calibri" w:hAnsi="Calibri Light" w:cs="Calibri Light"/>
        </w:rPr>
        <w:t xml:space="preserve"> Одговарајуће бројке за сценарио </w:t>
      </w:r>
      <w:r w:rsidRPr="00FF386D">
        <w:rPr>
          <w:rFonts w:ascii="Calibri Light" w:eastAsia="Calibri" w:hAnsi="Calibri Light" w:cs="Calibri Light"/>
          <w:i/>
          <w:iCs/>
        </w:rPr>
        <w:t>S-N</w:t>
      </w:r>
      <w:r w:rsidRPr="00FF386D">
        <w:rPr>
          <w:rFonts w:ascii="Calibri Light" w:eastAsia="Calibri" w:hAnsi="Calibri Light" w:cs="Calibri Light"/>
        </w:rPr>
        <w:t xml:space="preserve"> износе </w:t>
      </w:r>
      <w:r w:rsidR="009F6280" w:rsidRPr="00FF386D">
        <w:rPr>
          <w:rFonts w:ascii="Calibri Light" w:eastAsia="Calibri" w:hAnsi="Calibri Light" w:cs="Calibri Light"/>
        </w:rPr>
        <w:t>2.471</w:t>
      </w:r>
      <w:r w:rsidRPr="00FF386D">
        <w:rPr>
          <w:rFonts w:ascii="Calibri Light" w:eastAsia="Calibri" w:hAnsi="Calibri Light" w:cs="Calibri Light"/>
        </w:rPr>
        <w:t xml:space="preserve"> ktons CO2-eq за енергетски и топлотни сектор, </w:t>
      </w:r>
      <w:r w:rsidR="009F6280" w:rsidRPr="00FF386D">
        <w:rPr>
          <w:rFonts w:ascii="Calibri Light" w:eastAsia="Calibri" w:hAnsi="Calibri Light" w:cs="Calibri Light"/>
        </w:rPr>
        <w:t>8.080</w:t>
      </w:r>
      <w:r w:rsidRPr="00FF386D">
        <w:rPr>
          <w:rFonts w:ascii="Calibri Light" w:eastAsia="Calibri" w:hAnsi="Calibri Light" w:cs="Calibri Light"/>
        </w:rPr>
        <w:t xml:space="preserve"> ktons CO2-eq за индустријски сектор, 3,7</w:t>
      </w:r>
      <w:r w:rsidR="009F6280" w:rsidRPr="00FF386D">
        <w:rPr>
          <w:rFonts w:ascii="Calibri Light" w:eastAsia="Calibri" w:hAnsi="Calibri Light" w:cs="Calibri Light"/>
        </w:rPr>
        <w:t>36</w:t>
      </w:r>
      <w:r w:rsidRPr="00FF386D">
        <w:rPr>
          <w:rFonts w:ascii="Calibri Light" w:eastAsia="Calibri" w:hAnsi="Calibri Light" w:cs="Calibri Light"/>
        </w:rPr>
        <w:t xml:space="preserve"> ktons CO2-eq за сектор </w:t>
      </w:r>
      <w:r w:rsidR="009F6280" w:rsidRPr="00FF386D">
        <w:rPr>
          <w:rFonts w:ascii="Calibri Light" w:eastAsia="Calibri" w:hAnsi="Calibri Light" w:cs="Calibri Light"/>
        </w:rPr>
        <w:t>саобраћаја</w:t>
      </w:r>
      <w:r w:rsidRPr="00FF386D">
        <w:rPr>
          <w:rFonts w:ascii="Calibri Light" w:eastAsia="Calibri" w:hAnsi="Calibri Light" w:cs="Calibri Light"/>
        </w:rPr>
        <w:t>, 1,3</w:t>
      </w:r>
      <w:r w:rsidR="009F6280" w:rsidRPr="00FF386D">
        <w:rPr>
          <w:rFonts w:ascii="Calibri Light" w:eastAsia="Calibri" w:hAnsi="Calibri Light" w:cs="Calibri Light"/>
        </w:rPr>
        <w:t>00</w:t>
      </w:r>
      <w:r w:rsidRPr="00FF386D">
        <w:rPr>
          <w:rFonts w:ascii="Calibri Light" w:eastAsia="Calibri" w:hAnsi="Calibri Light" w:cs="Calibri Light"/>
        </w:rPr>
        <w:t xml:space="preserve"> ktons CO2-eq за стамбени сектор и сектор услужних делатности и 1</w:t>
      </w:r>
      <w:r w:rsidR="009F6280" w:rsidRPr="00FF386D">
        <w:rPr>
          <w:rFonts w:ascii="Calibri Light" w:eastAsia="Calibri" w:hAnsi="Calibri Light" w:cs="Calibri Light"/>
        </w:rPr>
        <w:t>.204</w:t>
      </w:r>
      <w:r w:rsidRPr="00FF386D">
        <w:rPr>
          <w:rFonts w:ascii="Calibri Light" w:eastAsia="Calibri" w:hAnsi="Calibri Light" w:cs="Calibri Light"/>
        </w:rPr>
        <w:t xml:space="preserve"> ktons CO2-eq за остале секторе. Укупне емисије за наведене секторе у сценаријима </w:t>
      </w:r>
      <w:r w:rsidRPr="00FF386D">
        <w:rPr>
          <w:rFonts w:ascii="Calibri Light" w:eastAsia="Calibri" w:hAnsi="Calibri Light" w:cs="Calibri Light"/>
          <w:i/>
          <w:iCs/>
        </w:rPr>
        <w:t>S</w:t>
      </w:r>
      <w:r w:rsidRPr="00FF386D">
        <w:rPr>
          <w:rFonts w:ascii="Calibri Light" w:eastAsia="Calibri" w:hAnsi="Calibri Light" w:cs="Calibri Light"/>
        </w:rPr>
        <w:t xml:space="preserve"> и </w:t>
      </w:r>
      <w:r w:rsidRPr="00FF386D">
        <w:rPr>
          <w:rFonts w:ascii="Calibri Light" w:eastAsia="Calibri" w:hAnsi="Calibri Light" w:cs="Calibri Light"/>
          <w:i/>
          <w:iCs/>
        </w:rPr>
        <w:t>S-N</w:t>
      </w:r>
      <w:r w:rsidRPr="00FF386D">
        <w:rPr>
          <w:rFonts w:ascii="Calibri Light" w:eastAsia="Calibri" w:hAnsi="Calibri Light" w:cs="Calibri Light"/>
        </w:rPr>
        <w:t xml:space="preserve"> у 2050. години су 7</w:t>
      </w:r>
      <w:r w:rsidR="00C77863" w:rsidRPr="00FF386D">
        <w:rPr>
          <w:rFonts w:ascii="Calibri Light" w:eastAsia="Calibri" w:hAnsi="Calibri Light" w:cs="Calibri Light"/>
        </w:rPr>
        <w:t>4</w:t>
      </w:r>
      <w:r w:rsidRPr="00FF386D">
        <w:rPr>
          <w:rFonts w:ascii="Calibri Light" w:eastAsia="Calibri" w:hAnsi="Calibri Light" w:cs="Calibri Light"/>
        </w:rPr>
        <w:t>% односно 7</w:t>
      </w:r>
      <w:r w:rsidR="00C77863" w:rsidRPr="00FF386D">
        <w:rPr>
          <w:rFonts w:ascii="Calibri Light" w:eastAsia="Calibri" w:hAnsi="Calibri Light" w:cs="Calibri Light"/>
        </w:rPr>
        <w:t>6</w:t>
      </w:r>
      <w:r w:rsidRPr="00FF386D">
        <w:rPr>
          <w:rFonts w:ascii="Calibri Light" w:eastAsia="Calibri" w:hAnsi="Calibri Light" w:cs="Calibri Light"/>
        </w:rPr>
        <w:t xml:space="preserve">% ниже, у поређењу са </w:t>
      </w:r>
      <w:r w:rsidRPr="00FF386D">
        <w:rPr>
          <w:rFonts w:ascii="Calibri Light" w:eastAsia="Calibri" w:hAnsi="Calibri Light" w:cs="Calibri Light"/>
          <w:i/>
        </w:rPr>
        <w:t>WEM</w:t>
      </w:r>
      <w:r w:rsidRPr="00FF386D">
        <w:rPr>
          <w:rFonts w:ascii="Calibri Light" w:eastAsia="Calibri" w:hAnsi="Calibri Light" w:cs="Calibri Light"/>
        </w:rPr>
        <w:t xml:space="preserve"> сценаријем у истој години.</w:t>
      </w:r>
    </w:p>
    <w:p w14:paraId="724B8147" w14:textId="2D7574CA" w:rsidR="00452229" w:rsidRDefault="00452229" w:rsidP="00565B02">
      <w:pPr>
        <w:pStyle w:val="Caption"/>
        <w:keepNext/>
      </w:pPr>
      <w:bookmarkStart w:id="365" w:name="_Ref153885573"/>
      <w:bookmarkStart w:id="366" w:name="_Toc153901417"/>
      <w:r>
        <w:lastRenderedPageBreak/>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5</w:t>
      </w:r>
      <w:r w:rsidR="00F35B2C">
        <w:fldChar w:fldCharType="end"/>
      </w:r>
      <w:bookmarkEnd w:id="365"/>
      <w:r>
        <w:t xml:space="preserve">: </w:t>
      </w:r>
      <w:r w:rsidRPr="00452229">
        <w:t>Емисије GHG (из употребе енергије, процеса и фугитивне емисије по сектору) по сектору</w:t>
      </w:r>
      <w:bookmarkEnd w:id="366"/>
    </w:p>
    <w:p w14:paraId="7B7DA68B" w14:textId="22CB9226" w:rsidR="00B92C50" w:rsidRPr="00FF386D" w:rsidRDefault="00452229" w:rsidP="00B92C50">
      <w:pPr>
        <w:jc w:val="center"/>
        <w:rPr>
          <w:rFonts w:ascii="Calibri" w:eastAsia="Calibri" w:hAnsi="Calibri" w:cs="Times New Roman"/>
          <w:lang w:eastAsia="el-GR" w:bidi="sr-Cyrl-CS"/>
        </w:rPr>
      </w:pPr>
      <w:r>
        <w:rPr>
          <w:noProof/>
          <w:lang w:val="en-US"/>
        </w:rPr>
        <mc:AlternateContent>
          <mc:Choice Requires="wps">
            <w:drawing>
              <wp:anchor distT="0" distB="0" distL="114300" distR="114300" simplePos="0" relativeHeight="251763712" behindDoc="0" locked="0" layoutInCell="1" allowOverlap="1" wp14:anchorId="668ECC9C" wp14:editId="5A86A399">
                <wp:simplePos x="0" y="0"/>
                <wp:positionH relativeFrom="column">
                  <wp:posOffset>882811</wp:posOffset>
                </wp:positionH>
                <wp:positionV relativeFrom="paragraph">
                  <wp:posOffset>141605</wp:posOffset>
                </wp:positionV>
                <wp:extent cx="2915920" cy="1854001"/>
                <wp:effectExtent l="0" t="0" r="0" b="0"/>
                <wp:wrapNone/>
                <wp:docPr id="1885965570" name="Text Box 1885965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5920" cy="1854001"/>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0F2AA2C6" id="Text Box 1885965570" o:spid="_x0000_s1026" type="#_x0000_t202" style="position:absolute;margin-left:69.5pt;margin-top:11.15pt;width:229.6pt;height:146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" fillcolor="#a6a6a6" stroked="f">
                <v:fill opacity="32896f"/>
              </v:shape>
            </w:pict>
          </mc:Fallback>
        </mc:AlternateContent>
      </w:r>
      <w:r w:rsidR="00B92C50" w:rsidRPr="004F53D7">
        <w:rPr>
          <w:rFonts w:ascii="Calibri" w:eastAsia="Calibri" w:hAnsi="Calibri" w:cs="Times New Roman"/>
          <w:noProof/>
          <w:lang w:val="en-US"/>
        </w:rPr>
        <w:drawing>
          <wp:inline distT="0" distB="0" distL="0" distR="0" wp14:anchorId="608AF3D8" wp14:editId="2A0FD5CB">
            <wp:extent cx="5596890" cy="3615055"/>
            <wp:effectExtent l="0" t="0" r="0" b="0"/>
            <wp:docPr id="1523057242" name="Picture 1523057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96890" cy="3615055"/>
                    </a:xfrm>
                    <a:prstGeom prst="rect">
                      <a:avLst/>
                    </a:prstGeom>
                    <a:noFill/>
                  </pic:spPr>
                </pic:pic>
              </a:graphicData>
            </a:graphic>
          </wp:inline>
        </w:drawing>
      </w:r>
    </w:p>
    <w:p w14:paraId="1E6B1D28" w14:textId="71D5920C" w:rsidR="00B92C50" w:rsidRDefault="00ED0BB1" w:rsidP="00ED0BB1">
      <w:pPr>
        <w:pStyle w:val="LDKBody1"/>
        <w:rPr>
          <w:rFonts w:eastAsia="Calibri"/>
        </w:rPr>
      </w:pPr>
      <w:r>
        <w:rPr>
          <w:rFonts w:eastAsia="Calibri"/>
        </w:rPr>
        <w:t xml:space="preserve">Пројектовано је да неенергетске емисије из пољопривреде достигну 4493 </w:t>
      </w:r>
      <w:r>
        <w:rPr>
          <w:rFonts w:eastAsia="Calibri"/>
          <w:lang w:val="en-US"/>
        </w:rPr>
        <w:t>ktonsCO</w:t>
      </w:r>
      <w:r>
        <w:rPr>
          <w:rFonts w:eastAsia="Calibri"/>
          <w:vertAlign w:val="subscript"/>
          <w:lang w:val="en-US"/>
        </w:rPr>
        <w:t>2</w:t>
      </w:r>
      <w:r>
        <w:rPr>
          <w:rFonts w:eastAsia="Calibri"/>
          <w:lang w:val="en-US"/>
        </w:rPr>
        <w:t xml:space="preserve">eq </w:t>
      </w:r>
      <w:r>
        <w:rPr>
          <w:rFonts w:eastAsia="Calibri"/>
        </w:rPr>
        <w:t xml:space="preserve">у 2030. години у Сценарију </w:t>
      </w:r>
      <w:r w:rsidRPr="000A2AFE">
        <w:rPr>
          <w:rFonts w:eastAsia="Calibri"/>
          <w:i/>
          <w:iCs/>
          <w:lang w:val="en-US"/>
        </w:rPr>
        <w:t>S</w:t>
      </w:r>
      <w:r>
        <w:rPr>
          <w:rFonts w:eastAsia="Calibri"/>
          <w:lang w:val="en-US"/>
        </w:rPr>
        <w:t xml:space="preserve"> </w:t>
      </w:r>
      <w:r>
        <w:rPr>
          <w:rFonts w:eastAsia="Calibri"/>
        </w:rPr>
        <w:t xml:space="preserve">и да се повећају до нивоа од 5432 </w:t>
      </w:r>
      <w:r w:rsidRPr="00ED0BB1">
        <w:rPr>
          <w:rFonts w:eastAsia="Calibri"/>
          <w:lang w:val="en-US"/>
        </w:rPr>
        <w:t>ktonsCO</w:t>
      </w:r>
      <w:r w:rsidRPr="00ED0BB1">
        <w:rPr>
          <w:rFonts w:eastAsia="Calibri"/>
          <w:vertAlign w:val="subscript"/>
          <w:lang w:val="en-US"/>
        </w:rPr>
        <w:t>2</w:t>
      </w:r>
      <w:r w:rsidRPr="00ED0BB1">
        <w:rPr>
          <w:rFonts w:eastAsia="Calibri"/>
          <w:lang w:val="en-US"/>
        </w:rPr>
        <w:t>eq</w:t>
      </w:r>
      <w:r>
        <w:rPr>
          <w:rFonts w:eastAsia="Calibri"/>
        </w:rPr>
        <w:t xml:space="preserve"> у 2050. години (иста путања је пројектована за Сценарио </w:t>
      </w:r>
      <w:r w:rsidRPr="000A2AFE">
        <w:rPr>
          <w:rFonts w:eastAsia="Calibri"/>
          <w:i/>
          <w:iCs/>
          <w:lang w:val="en-US"/>
        </w:rPr>
        <w:t>S-N</w:t>
      </w:r>
      <w:r>
        <w:rPr>
          <w:rFonts w:eastAsia="Calibri"/>
          <w:lang w:val="en-US"/>
        </w:rPr>
        <w:t xml:space="preserve">). </w:t>
      </w:r>
      <w:r>
        <w:rPr>
          <w:rFonts w:eastAsia="Calibri"/>
        </w:rPr>
        <w:t xml:space="preserve">Емисије из отпада би достигле ниво од 2371 </w:t>
      </w:r>
      <w:r w:rsidRPr="00ED0BB1">
        <w:rPr>
          <w:rFonts w:eastAsia="Calibri"/>
          <w:lang w:val="en-GB"/>
        </w:rPr>
        <w:t>ktons CO2eq</w:t>
      </w:r>
      <w:r>
        <w:rPr>
          <w:rFonts w:eastAsia="Calibri"/>
        </w:rPr>
        <w:t xml:space="preserve"> у 2030. години и биле би смањене на ниво од 1936</w:t>
      </w:r>
      <w:r w:rsidRPr="00ED0BB1">
        <w:rPr>
          <w:rFonts w:asciiTheme="majorHAnsi" w:eastAsiaTheme="minorHAnsi" w:hAnsiTheme="majorHAnsi" w:cstheme="majorHAnsi"/>
          <w:szCs w:val="22"/>
          <w:lang w:val="en-GB" w:eastAsia="en-US"/>
        </w:rPr>
        <w:t xml:space="preserve"> </w:t>
      </w:r>
      <w:r w:rsidRPr="00ED0BB1">
        <w:rPr>
          <w:rFonts w:eastAsia="Calibri"/>
          <w:lang w:val="en-GB"/>
        </w:rPr>
        <w:t>ktonsCO2eq</w:t>
      </w:r>
      <w:r>
        <w:rPr>
          <w:rFonts w:eastAsia="Calibri"/>
        </w:rPr>
        <w:t xml:space="preserve"> у 2050. години. Очекује се да коришћење земљишта, промена намене земљишта и шумарство допринесу значајно смањењу емисија за </w:t>
      </w:r>
      <w:r w:rsidRPr="00ED0BB1">
        <w:rPr>
          <w:rFonts w:eastAsia="Calibri"/>
          <w:lang w:val="en-GB"/>
        </w:rPr>
        <w:t>-6576 ktons CO2eq</w:t>
      </w:r>
      <w:r>
        <w:rPr>
          <w:rFonts w:eastAsia="Calibri"/>
        </w:rPr>
        <w:t xml:space="preserve"> у 2030. години. Међутим, очекује се да ће овај допринос бити смањен до 2050. године, када је пројектовано да достигне </w:t>
      </w:r>
      <w:r w:rsidRPr="00ED0BB1">
        <w:rPr>
          <w:rFonts w:eastAsia="Calibri"/>
          <w:lang w:val="en-GB"/>
        </w:rPr>
        <w:t>-4414 ktonsCO2eq.</w:t>
      </w:r>
    </w:p>
    <w:p w14:paraId="195D118F" w14:textId="1CB853FF" w:rsidR="000B32BD" w:rsidRDefault="000B32BD" w:rsidP="00565B02">
      <w:pPr>
        <w:pStyle w:val="Caption"/>
        <w:keepNext/>
        <w:jc w:val="both"/>
      </w:pPr>
      <w:bookmarkStart w:id="367" w:name="_Toc137457129"/>
      <w:bookmarkStart w:id="368" w:name="_Toc153901418"/>
      <w:r>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6</w:t>
      </w:r>
      <w:r w:rsidR="00F35B2C">
        <w:fldChar w:fldCharType="end"/>
      </w:r>
      <w:r>
        <w:t xml:space="preserve">: </w:t>
      </w:r>
      <w:r w:rsidRPr="000B32BD">
        <w:t>Емисије GHG из пољопривреде (неенергетске), отпад и LULUCF</w:t>
      </w:r>
      <w:bookmarkEnd w:id="368"/>
    </w:p>
    <w:p w14:paraId="619E34BA" w14:textId="75D18D0C" w:rsidR="00ED0BB1" w:rsidRDefault="00ED0BB1" w:rsidP="00ED0BB1">
      <w:pPr>
        <w:pStyle w:val="LDKBody1"/>
        <w:rPr>
          <w:rFonts w:eastAsia="Calibri"/>
        </w:rPr>
      </w:pPr>
      <w:r>
        <w:rPr>
          <w:rFonts w:eastAsia="Calibri"/>
          <w:noProof/>
          <w:lang w:val="en-US" w:eastAsia="en-US"/>
        </w:rPr>
        <w:drawing>
          <wp:inline distT="0" distB="0" distL="0" distR="0" wp14:anchorId="0C35C234" wp14:editId="6F6E4ECA">
            <wp:extent cx="6340475" cy="2792095"/>
            <wp:effectExtent l="0" t="0" r="0" b="0"/>
            <wp:docPr id="18877816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340475" cy="2792095"/>
                    </a:xfrm>
                    <a:prstGeom prst="rect">
                      <a:avLst/>
                    </a:prstGeom>
                    <a:noFill/>
                  </pic:spPr>
                </pic:pic>
              </a:graphicData>
            </a:graphic>
          </wp:inline>
        </w:drawing>
      </w:r>
    </w:p>
    <w:p w14:paraId="0E4A4859" w14:textId="77777777" w:rsidR="00B92C50" w:rsidRPr="00FF386D" w:rsidRDefault="00B92C50" w:rsidP="000A2AFE">
      <w:pPr>
        <w:pStyle w:val="LDKBody1"/>
        <w:rPr>
          <w:rFonts w:eastAsia="Calibri"/>
          <w:lang w:bidi="sr-Cyrl-CS"/>
        </w:rPr>
      </w:pPr>
    </w:p>
    <w:bookmarkEnd w:id="367"/>
    <w:p w14:paraId="189D2062" w14:textId="58EE7E4D" w:rsidR="000B32BD" w:rsidRDefault="000B32BD" w:rsidP="00B92C50">
      <w:pPr>
        <w:jc w:val="center"/>
      </w:pPr>
    </w:p>
    <w:p w14:paraId="5EF00BEB" w14:textId="297F3F15" w:rsidR="000B32BD" w:rsidRDefault="000B32BD" w:rsidP="00565B02">
      <w:pPr>
        <w:pStyle w:val="Caption"/>
        <w:keepNext/>
      </w:pPr>
      <w:bookmarkStart w:id="369" w:name="_Toc153901419"/>
      <w:r>
        <w:lastRenderedPageBreak/>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7</w:t>
      </w:r>
      <w:r w:rsidR="00F35B2C">
        <w:fldChar w:fldCharType="end"/>
      </w:r>
      <w:r>
        <w:t xml:space="preserve">: </w:t>
      </w:r>
      <w:r w:rsidRPr="000B32BD">
        <w:t>Удео емисије CO2 по секторима</w:t>
      </w:r>
      <w:bookmarkEnd w:id="369"/>
    </w:p>
    <w:p w14:paraId="4DC498AF" w14:textId="3D85CB7C" w:rsidR="00250700" w:rsidRPr="00FF386D" w:rsidRDefault="000B32BD" w:rsidP="00B92C50">
      <w:pPr>
        <w:jc w:val="center"/>
        <w:rPr>
          <w:rFonts w:ascii="Calibri" w:eastAsia="Calibri" w:hAnsi="Calibri" w:cs="Times New Roman"/>
          <w:lang w:eastAsia="el-GR" w:bidi="sr-Cyrl-CS"/>
        </w:rPr>
      </w:pPr>
      <w:r>
        <w:rPr>
          <w:noProof/>
          <w:lang w:val="en-US"/>
        </w:rPr>
        <mc:AlternateContent>
          <mc:Choice Requires="wps">
            <w:drawing>
              <wp:anchor distT="0" distB="0" distL="114300" distR="114300" simplePos="0" relativeHeight="251766784" behindDoc="0" locked="0" layoutInCell="1" allowOverlap="1" wp14:anchorId="3DD8AA64" wp14:editId="07BC185B">
                <wp:simplePos x="0" y="0"/>
                <wp:positionH relativeFrom="column">
                  <wp:posOffset>590095</wp:posOffset>
                </wp:positionH>
                <wp:positionV relativeFrom="paragraph">
                  <wp:posOffset>374167</wp:posOffset>
                </wp:positionV>
                <wp:extent cx="3193576" cy="1865668"/>
                <wp:effectExtent l="0" t="0" r="6985" b="1270"/>
                <wp:wrapNone/>
                <wp:docPr id="2018378860" name="Text Box 2018378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3576" cy="1865668"/>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53778295" id="Text Box 2018378860" o:spid="_x0000_s1026" type="#_x0000_t202" style="position:absolute;margin-left:46.45pt;margin-top:29.45pt;width:251.45pt;height:146.9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" fillcolor="#a6a6a6" stroked="f">
                <v:fill opacity="32896f"/>
              </v:shape>
            </w:pict>
          </mc:Fallback>
        </mc:AlternateContent>
      </w:r>
      <w:r w:rsidR="00250700" w:rsidRPr="004F53D7">
        <w:rPr>
          <w:rFonts w:ascii="Calibri" w:eastAsia="Calibri" w:hAnsi="Calibri" w:cs="Times New Roman"/>
          <w:noProof/>
          <w:lang w:val="en-US"/>
        </w:rPr>
        <w:drawing>
          <wp:inline distT="0" distB="0" distL="0" distR="0" wp14:anchorId="61A56851" wp14:editId="2D748F58">
            <wp:extent cx="5896436" cy="3933315"/>
            <wp:effectExtent l="0" t="0" r="0" b="0"/>
            <wp:docPr id="623760501" name="Picture 62376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16292" cy="3946560"/>
                    </a:xfrm>
                    <a:prstGeom prst="rect">
                      <a:avLst/>
                    </a:prstGeom>
                    <a:noFill/>
                  </pic:spPr>
                </pic:pic>
              </a:graphicData>
            </a:graphic>
          </wp:inline>
        </w:drawing>
      </w:r>
    </w:p>
    <w:p w14:paraId="4E437BE1" w14:textId="6805C06A" w:rsidR="00B92C50" w:rsidRDefault="00B92C50" w:rsidP="00B92C50">
      <w:pPr>
        <w:jc w:val="both"/>
        <w:rPr>
          <w:rFonts w:ascii="Calibri Light" w:eastAsia="Calibri" w:hAnsi="Calibri Light" w:cs="Calibri Light"/>
        </w:rPr>
      </w:pPr>
      <w:r w:rsidRPr="00FF386D">
        <w:rPr>
          <w:rFonts w:ascii="Calibri Light" w:eastAsia="Calibri" w:hAnsi="Calibri Light" w:cs="Calibri Light"/>
        </w:rPr>
        <w:t xml:space="preserve">У </w:t>
      </w:r>
      <w:r w:rsidRPr="00FF386D">
        <w:rPr>
          <w:rFonts w:ascii="Calibri Light" w:eastAsia="Calibri" w:hAnsi="Calibri Light" w:cs="Calibri Light"/>
          <w:i/>
        </w:rPr>
        <w:t>WEM</w:t>
      </w:r>
      <w:r w:rsidRPr="00FF386D">
        <w:rPr>
          <w:rFonts w:ascii="Calibri Light" w:eastAsia="Calibri" w:hAnsi="Calibri Light" w:cs="Calibri Light"/>
        </w:rPr>
        <w:t xml:space="preserve"> сценарију, укупне емисије CH</w:t>
      </w:r>
      <w:r w:rsidRPr="00FF386D">
        <w:rPr>
          <w:rFonts w:ascii="Calibri Light" w:eastAsia="Calibri" w:hAnsi="Calibri Light" w:cs="Calibri Light"/>
          <w:vertAlign w:val="subscript"/>
        </w:rPr>
        <w:t>4</w:t>
      </w:r>
      <w:r w:rsidRPr="000A2AFE">
        <w:rPr>
          <w:rFonts w:ascii="Calibri Light" w:eastAsia="Calibri" w:hAnsi="Calibri Light" w:cs="Calibri Light"/>
        </w:rPr>
        <w:t xml:space="preserve"> </w:t>
      </w:r>
      <w:r w:rsidR="00834E55" w:rsidRPr="000A2AFE">
        <w:rPr>
          <w:rFonts w:ascii="Calibri Light" w:eastAsia="Calibri" w:hAnsi="Calibri Light" w:cs="Calibri Light"/>
        </w:rPr>
        <w:t>из употребе енергије, фугитив</w:t>
      </w:r>
      <w:r w:rsidR="00834E55">
        <w:rPr>
          <w:rFonts w:ascii="Calibri Light" w:eastAsia="Calibri" w:hAnsi="Calibri Light" w:cs="Calibri Light"/>
        </w:rPr>
        <w:t>них и индустријских продукта</w:t>
      </w:r>
      <w:r w:rsidR="00834E55" w:rsidRPr="000A2AFE">
        <w:rPr>
          <w:rFonts w:ascii="Calibri Light" w:eastAsia="Calibri" w:hAnsi="Calibri Light" w:cs="Calibri Light"/>
        </w:rPr>
        <w:t xml:space="preserve"> </w:t>
      </w:r>
      <w:r w:rsidRPr="00FF386D">
        <w:rPr>
          <w:rFonts w:ascii="Calibri Light" w:eastAsia="Calibri" w:hAnsi="Calibri Light" w:cs="Calibri Light"/>
        </w:rPr>
        <w:t>износе 11</w:t>
      </w:r>
      <w:r w:rsidR="00250700" w:rsidRPr="00FF386D">
        <w:rPr>
          <w:rFonts w:ascii="Calibri Light" w:eastAsia="Calibri" w:hAnsi="Calibri Light" w:cs="Calibri Light"/>
        </w:rPr>
        <w:t>6</w:t>
      </w:r>
      <w:r w:rsidRPr="00FF386D">
        <w:rPr>
          <w:rFonts w:ascii="Calibri Light" w:eastAsia="Calibri" w:hAnsi="Calibri Light" w:cs="Calibri Light"/>
        </w:rPr>
        <w:t xml:space="preserve"> Mt у 2030. години</w:t>
      </w:r>
      <w:r w:rsidR="00744CF5" w:rsidRPr="00FF386D">
        <w:rPr>
          <w:rFonts w:ascii="Calibri Light" w:eastAsia="Calibri" w:hAnsi="Calibri Light" w:cs="Calibri Light"/>
        </w:rPr>
        <w:t xml:space="preserve"> и</w:t>
      </w:r>
      <w:r w:rsidRPr="00FF386D">
        <w:rPr>
          <w:rFonts w:ascii="Calibri Light" w:eastAsia="Calibri" w:hAnsi="Calibri Light" w:cs="Calibri Light"/>
        </w:rPr>
        <w:t xml:space="preserve"> </w:t>
      </w:r>
      <w:r w:rsidR="00250700" w:rsidRPr="00FF386D">
        <w:rPr>
          <w:rFonts w:ascii="Calibri Light" w:eastAsia="Calibri" w:hAnsi="Calibri Light" w:cs="Calibri Light"/>
        </w:rPr>
        <w:t>93</w:t>
      </w:r>
      <w:r w:rsidRPr="00FF386D">
        <w:rPr>
          <w:rFonts w:ascii="Calibri Light" w:eastAsia="Calibri" w:hAnsi="Calibri Light" w:cs="Calibri Light"/>
        </w:rPr>
        <w:t xml:space="preserve"> Mt у сценаријима </w:t>
      </w:r>
      <w:r w:rsidRPr="00FF386D">
        <w:rPr>
          <w:rFonts w:ascii="Calibri Light" w:eastAsia="Calibri" w:hAnsi="Calibri Light" w:cs="Calibri Light"/>
          <w:i/>
          <w:iCs/>
        </w:rPr>
        <w:t>S</w:t>
      </w:r>
      <w:r w:rsidRPr="00FF386D">
        <w:rPr>
          <w:rFonts w:ascii="Calibri Light" w:eastAsia="Calibri" w:hAnsi="Calibri Light" w:cs="Calibri Light"/>
        </w:rPr>
        <w:t xml:space="preserve"> и </w:t>
      </w:r>
      <w:r w:rsidRPr="00FF386D">
        <w:rPr>
          <w:rFonts w:ascii="Calibri Light" w:eastAsia="Calibri" w:hAnsi="Calibri Light" w:cs="Calibri Light"/>
          <w:i/>
          <w:iCs/>
        </w:rPr>
        <w:t>S-N</w:t>
      </w:r>
      <w:r w:rsidRPr="00FF386D">
        <w:rPr>
          <w:rFonts w:ascii="Calibri Light" w:eastAsia="Calibri" w:hAnsi="Calibri Light" w:cs="Calibri Light"/>
        </w:rPr>
        <w:t xml:space="preserve"> током исте године (</w:t>
      </w:r>
      <w:r w:rsidR="000B32BD">
        <w:rPr>
          <w:rFonts w:ascii="Calibri Light" w:eastAsia="Calibri" w:hAnsi="Calibri Light" w:cs="Calibri Light"/>
        </w:rPr>
        <w:fldChar w:fldCharType="begin"/>
      </w:r>
      <w:r w:rsidR="000B32BD">
        <w:rPr>
          <w:rFonts w:ascii="Calibri Light" w:eastAsia="Calibri" w:hAnsi="Calibri Light" w:cs="Calibri Light"/>
        </w:rPr>
        <w:instrText xml:space="preserve"> REF _Ref153885847 \h  \* MERGEFORMAT </w:instrText>
      </w:r>
      <w:r w:rsidR="000B32BD">
        <w:rPr>
          <w:rFonts w:ascii="Calibri Light" w:eastAsia="Calibri" w:hAnsi="Calibri Light" w:cs="Calibri Light"/>
        </w:rPr>
      </w:r>
      <w:r w:rsidR="000B32BD">
        <w:rPr>
          <w:rFonts w:ascii="Calibri Light" w:eastAsia="Calibri" w:hAnsi="Calibri Light" w:cs="Calibri Light"/>
        </w:rPr>
        <w:fldChar w:fldCharType="separate"/>
      </w:r>
      <w:r w:rsidR="000B32BD" w:rsidRPr="00565B02">
        <w:rPr>
          <w:rFonts w:ascii="Calibri Light" w:eastAsia="Calibri" w:hAnsi="Calibri Light" w:cs="Calibri Light"/>
        </w:rPr>
        <w:t>Слика 5.8</w:t>
      </w:r>
      <w:r w:rsidR="000B32BD">
        <w:rPr>
          <w:rFonts w:ascii="Calibri Light" w:eastAsia="Calibri" w:hAnsi="Calibri Light" w:cs="Calibri Light"/>
        </w:rPr>
        <w:fldChar w:fldCharType="end"/>
      </w:r>
      <w:r w:rsidRPr="00565B02">
        <w:rPr>
          <w:rFonts w:eastAsia="Calibri"/>
        </w:rPr>
        <w:t>)</w:t>
      </w:r>
      <w:r w:rsidRPr="00FF386D">
        <w:rPr>
          <w:rFonts w:ascii="Calibri Light" w:eastAsia="Calibri" w:hAnsi="Calibri Light" w:cs="Calibri Light"/>
        </w:rPr>
        <w:t>. У 2050. години, укупне емисије CH</w:t>
      </w:r>
      <w:r w:rsidRPr="00FF386D">
        <w:rPr>
          <w:rFonts w:ascii="Calibri Light" w:eastAsia="Calibri" w:hAnsi="Calibri Light" w:cs="Calibri Light"/>
          <w:vertAlign w:val="subscript"/>
        </w:rPr>
        <w:t>4</w:t>
      </w:r>
      <w:r w:rsidRPr="00FF386D">
        <w:rPr>
          <w:rFonts w:ascii="Calibri Light" w:eastAsia="Calibri" w:hAnsi="Calibri Light" w:cs="Calibri Light"/>
        </w:rPr>
        <w:t xml:space="preserve"> ће се смањити за 2</w:t>
      </w:r>
      <w:r w:rsidR="00250700" w:rsidRPr="00FF386D">
        <w:rPr>
          <w:rFonts w:ascii="Calibri Light" w:eastAsia="Calibri" w:hAnsi="Calibri Light" w:cs="Calibri Light"/>
        </w:rPr>
        <w:t>9,5</w:t>
      </w:r>
      <w:r w:rsidRPr="00FF386D">
        <w:rPr>
          <w:rFonts w:ascii="Calibri Light" w:eastAsia="Calibri" w:hAnsi="Calibri Light" w:cs="Calibri Light"/>
        </w:rPr>
        <w:t>%, 7</w:t>
      </w:r>
      <w:r w:rsidR="00250700" w:rsidRPr="00FF386D">
        <w:rPr>
          <w:rFonts w:ascii="Calibri Light" w:eastAsia="Calibri" w:hAnsi="Calibri Light" w:cs="Calibri Light"/>
        </w:rPr>
        <w:t>9,9</w:t>
      </w:r>
      <w:r w:rsidRPr="00FF386D">
        <w:rPr>
          <w:rFonts w:ascii="Calibri Light" w:eastAsia="Calibri" w:hAnsi="Calibri Light" w:cs="Calibri Light"/>
        </w:rPr>
        <w:t xml:space="preserve">% односно </w:t>
      </w:r>
      <w:r w:rsidR="00250700" w:rsidRPr="00FF386D">
        <w:rPr>
          <w:rFonts w:ascii="Calibri Light" w:eastAsia="Calibri" w:hAnsi="Calibri Light" w:cs="Calibri Light"/>
        </w:rPr>
        <w:t>80,3</w:t>
      </w:r>
      <w:r w:rsidRPr="00FF386D">
        <w:rPr>
          <w:rFonts w:ascii="Calibri Light" w:eastAsia="Calibri" w:hAnsi="Calibri Light" w:cs="Calibri Light"/>
        </w:rPr>
        <w:t xml:space="preserve">% у сценаријима </w:t>
      </w:r>
      <w:r w:rsidRPr="00FF386D">
        <w:rPr>
          <w:rFonts w:ascii="Calibri Light" w:eastAsia="Calibri" w:hAnsi="Calibri Light" w:cs="Calibri Light"/>
          <w:i/>
        </w:rPr>
        <w:t>WEM</w:t>
      </w:r>
      <w:r w:rsidRPr="00FF386D">
        <w:rPr>
          <w:rFonts w:ascii="Calibri Light" w:eastAsia="Calibri" w:hAnsi="Calibri Light" w:cs="Calibri Light"/>
        </w:rPr>
        <w:t xml:space="preserve">, </w:t>
      </w:r>
      <w:r w:rsidRPr="00FF386D">
        <w:rPr>
          <w:rFonts w:ascii="Calibri Light" w:eastAsia="Calibri" w:hAnsi="Calibri Light" w:cs="Calibri Light"/>
          <w:i/>
          <w:iCs/>
        </w:rPr>
        <w:t xml:space="preserve">S </w:t>
      </w:r>
      <w:r w:rsidRPr="00FF386D">
        <w:rPr>
          <w:rFonts w:ascii="Calibri Light" w:eastAsia="Calibri" w:hAnsi="Calibri Light" w:cs="Calibri Light"/>
        </w:rPr>
        <w:t xml:space="preserve">односно </w:t>
      </w:r>
      <w:r w:rsidRPr="00FF386D">
        <w:rPr>
          <w:rFonts w:ascii="Calibri Light" w:eastAsia="Calibri" w:hAnsi="Calibri Light" w:cs="Calibri Light"/>
          <w:i/>
          <w:iCs/>
        </w:rPr>
        <w:t>S-N</w:t>
      </w:r>
      <w:r w:rsidRPr="00FF386D">
        <w:rPr>
          <w:rFonts w:ascii="Calibri Light" w:eastAsia="Calibri" w:hAnsi="Calibri Light" w:cs="Calibri Light"/>
        </w:rPr>
        <w:t>, у поређењу са нивоом из 2030. године. Вађење и прерада угља, као и екстракција и пречишћавање нафте и гаса су сектори са највећим емисијама CH</w:t>
      </w:r>
      <w:r w:rsidRPr="00FF386D">
        <w:rPr>
          <w:rFonts w:ascii="Calibri Light" w:eastAsia="Calibri" w:hAnsi="Calibri Light" w:cs="Calibri Light"/>
          <w:vertAlign w:val="subscript"/>
        </w:rPr>
        <w:t>4</w:t>
      </w:r>
      <w:r w:rsidR="00575838">
        <w:rPr>
          <w:rFonts w:ascii="Calibri Light" w:eastAsia="Calibri" w:hAnsi="Calibri Light" w:cs="Calibri Light"/>
        </w:rPr>
        <w:t xml:space="preserve"> </w:t>
      </w:r>
      <w:r w:rsidRPr="00FF386D">
        <w:rPr>
          <w:rFonts w:ascii="Calibri Light" w:eastAsia="Calibri" w:hAnsi="Calibri Light" w:cs="Calibri Light"/>
        </w:rPr>
        <w:t>у 2030. и 2050. години у свим сценаријима, а затим у стамбеном сектору.</w:t>
      </w:r>
    </w:p>
    <w:p w14:paraId="5AA39E3F" w14:textId="3FB396A6" w:rsidR="00ED0BB1" w:rsidRPr="00505D6B" w:rsidRDefault="00ED0BB1" w:rsidP="00B92C50">
      <w:pPr>
        <w:jc w:val="both"/>
        <w:rPr>
          <w:rFonts w:ascii="Calibri Light" w:eastAsia="Calibri" w:hAnsi="Calibri Light" w:cs="Calibri Light"/>
        </w:rPr>
      </w:pPr>
      <w:r>
        <w:rPr>
          <w:rFonts w:ascii="Calibri Light" w:eastAsia="Calibri" w:hAnsi="Calibri Light" w:cs="Calibri Light"/>
        </w:rPr>
        <w:t xml:space="preserve">Пројектовано је да смањење емисија </w:t>
      </w:r>
      <w:r>
        <w:rPr>
          <w:rFonts w:ascii="Calibri Light" w:eastAsia="Calibri" w:hAnsi="Calibri Light" w:cs="Calibri Light"/>
          <w:lang w:val="en-US"/>
        </w:rPr>
        <w:t>CH</w:t>
      </w:r>
      <w:r>
        <w:rPr>
          <w:rFonts w:ascii="Calibri Light" w:eastAsia="Calibri" w:hAnsi="Calibri Light" w:cs="Calibri Light"/>
          <w:vertAlign w:val="subscript"/>
          <w:lang w:val="en-US"/>
        </w:rPr>
        <w:t>4</w:t>
      </w:r>
      <w:r>
        <w:rPr>
          <w:rFonts w:ascii="Calibri Light" w:eastAsia="Calibri" w:hAnsi="Calibri Light" w:cs="Calibri Light"/>
          <w:lang w:val="en-US"/>
        </w:rPr>
        <w:t xml:space="preserve"> </w:t>
      </w:r>
      <w:r>
        <w:rPr>
          <w:rFonts w:ascii="Calibri Light" w:eastAsia="Calibri" w:hAnsi="Calibri Light" w:cs="Calibri Light"/>
        </w:rPr>
        <w:t xml:space="preserve">из фугитивних емисија у рудницима угља, сектору нафте и гаса, опадне за 20% између 2020. и 2030. године у Сценаријима </w:t>
      </w:r>
      <w:r w:rsidRPr="00ED0BB1">
        <w:rPr>
          <w:rFonts w:ascii="Calibri Light" w:eastAsia="Calibri" w:hAnsi="Calibri Light" w:cs="Calibri Light"/>
          <w:i/>
          <w:iCs/>
          <w:lang w:val="en-US"/>
        </w:rPr>
        <w:t>S</w:t>
      </w:r>
      <w:r>
        <w:rPr>
          <w:rFonts w:ascii="Calibri Light" w:eastAsia="Calibri" w:hAnsi="Calibri Light" w:cs="Calibri Light"/>
          <w:lang w:val="en-US"/>
        </w:rPr>
        <w:t xml:space="preserve"> </w:t>
      </w:r>
      <w:r>
        <w:rPr>
          <w:rFonts w:ascii="Calibri Light" w:eastAsia="Calibri" w:hAnsi="Calibri Light" w:cs="Calibri Light"/>
        </w:rPr>
        <w:t xml:space="preserve">и </w:t>
      </w:r>
      <w:r w:rsidRPr="00ED0BB1">
        <w:rPr>
          <w:rFonts w:ascii="Calibri Light" w:eastAsia="Calibri" w:hAnsi="Calibri Light" w:cs="Calibri Light"/>
          <w:i/>
          <w:iCs/>
          <w:lang w:val="en-US"/>
        </w:rPr>
        <w:t>S-N</w:t>
      </w:r>
      <w:r>
        <w:rPr>
          <w:rFonts w:ascii="Calibri Light" w:eastAsia="Calibri" w:hAnsi="Calibri Light" w:cs="Calibri Light"/>
          <w:i/>
          <w:iCs/>
        </w:rPr>
        <w:t xml:space="preserve">. </w:t>
      </w:r>
      <w:r>
        <w:rPr>
          <w:rFonts w:ascii="Calibri Light" w:eastAsia="Calibri" w:hAnsi="Calibri Light" w:cs="Calibri Light"/>
        </w:rPr>
        <w:t xml:space="preserve">Процењено је да овај део емисија метана износи близу 30% од укупних емисија </w:t>
      </w:r>
      <w:r w:rsidRPr="00ED0BB1">
        <w:rPr>
          <w:rFonts w:ascii="Calibri Light" w:eastAsia="Calibri" w:hAnsi="Calibri Light" w:cs="Calibri Light"/>
          <w:lang w:val="en-US"/>
        </w:rPr>
        <w:t>CH</w:t>
      </w:r>
      <w:r w:rsidRPr="00ED0BB1">
        <w:rPr>
          <w:rFonts w:ascii="Calibri Light" w:eastAsia="Calibri" w:hAnsi="Calibri Light" w:cs="Calibri Light"/>
          <w:vertAlign w:val="subscript"/>
          <w:lang w:val="en-US"/>
        </w:rPr>
        <w:t>4</w:t>
      </w:r>
      <w:r>
        <w:rPr>
          <w:rFonts w:ascii="Calibri Light" w:eastAsia="Calibri" w:hAnsi="Calibri Light" w:cs="Calibri Light"/>
          <w:vertAlign w:val="subscript"/>
        </w:rPr>
        <w:t xml:space="preserve"> </w:t>
      </w:r>
      <w:r w:rsidRPr="00ED0BB1">
        <w:rPr>
          <w:rFonts w:ascii="Calibri Light" w:eastAsia="Calibri" w:hAnsi="Calibri Light" w:cs="Calibri Light"/>
        </w:rPr>
        <w:t>у 2020. години</w:t>
      </w:r>
      <w:r>
        <w:rPr>
          <w:rFonts w:ascii="Calibri Light" w:eastAsia="Calibri" w:hAnsi="Calibri Light" w:cs="Calibri Light"/>
        </w:rPr>
        <w:t xml:space="preserve">. Имајући у види учешће Србије у Иницијативи </w:t>
      </w:r>
      <w:r w:rsidR="00505D6B">
        <w:rPr>
          <w:rFonts w:ascii="Calibri Light" w:eastAsia="Calibri" w:hAnsi="Calibri Light" w:cs="Calibri Light"/>
        </w:rPr>
        <w:t>за смањење емисије м</w:t>
      </w:r>
      <w:r>
        <w:rPr>
          <w:rFonts w:ascii="Calibri Light" w:eastAsia="Calibri" w:hAnsi="Calibri Light" w:cs="Calibri Light"/>
        </w:rPr>
        <w:t xml:space="preserve">етана </w:t>
      </w:r>
      <w:r w:rsidR="00505D6B">
        <w:rPr>
          <w:rFonts w:ascii="Calibri Light" w:eastAsia="Calibri" w:hAnsi="Calibri Light" w:cs="Calibri Light"/>
        </w:rPr>
        <w:t xml:space="preserve">(енг. </w:t>
      </w:r>
      <w:r w:rsidR="00505D6B">
        <w:rPr>
          <w:rFonts w:ascii="Calibri Light" w:eastAsia="Calibri" w:hAnsi="Calibri Light" w:cs="Calibri Light"/>
          <w:lang w:val="en-US"/>
        </w:rPr>
        <w:t>Methane Pledge)</w:t>
      </w:r>
      <w:r w:rsidR="00505D6B">
        <w:rPr>
          <w:rFonts w:ascii="Calibri Light" w:eastAsia="Calibri" w:hAnsi="Calibri Light" w:cs="Calibri Light"/>
        </w:rPr>
        <w:t xml:space="preserve">, очекује се да неколико политика и мера наведених у Поглављу 3 допринесе смањењу </w:t>
      </w:r>
      <w:r w:rsidR="00505D6B" w:rsidRPr="00505D6B">
        <w:rPr>
          <w:rFonts w:ascii="Calibri Light" w:eastAsia="Calibri" w:hAnsi="Calibri Light" w:cs="Calibri Light"/>
          <w:lang w:val="en-US"/>
        </w:rPr>
        <w:t>CH</w:t>
      </w:r>
      <w:r w:rsidR="00505D6B" w:rsidRPr="00505D6B">
        <w:rPr>
          <w:rFonts w:ascii="Calibri Light" w:eastAsia="Calibri" w:hAnsi="Calibri Light" w:cs="Calibri Light"/>
          <w:vertAlign w:val="subscript"/>
          <w:lang w:val="en-US"/>
        </w:rPr>
        <w:t>4</w:t>
      </w:r>
      <w:r w:rsidR="00505D6B">
        <w:rPr>
          <w:rFonts w:ascii="Calibri Light" w:eastAsia="Calibri" w:hAnsi="Calibri Light" w:cs="Calibri Light"/>
          <w:vertAlign w:val="subscript"/>
        </w:rPr>
        <w:t xml:space="preserve"> </w:t>
      </w:r>
      <w:r w:rsidR="00505D6B">
        <w:rPr>
          <w:rFonts w:ascii="Calibri Light" w:eastAsia="Calibri" w:hAnsi="Calibri Light" w:cs="Calibri Light"/>
        </w:rPr>
        <w:t>емисија за најмање 30% у 2030. години у односу на нивоа из 2020. године, п</w:t>
      </w:r>
      <w:r w:rsidR="00B76E09">
        <w:rPr>
          <w:rFonts w:ascii="Calibri Light" w:eastAsia="Calibri" w:hAnsi="Calibri Light" w:cs="Calibri Light"/>
        </w:rPr>
        <w:t>омоћу</w:t>
      </w:r>
      <w:r w:rsidR="00505D6B">
        <w:rPr>
          <w:rFonts w:ascii="Calibri Light" w:eastAsia="Calibri" w:hAnsi="Calibri Light" w:cs="Calibri Light"/>
        </w:rPr>
        <w:t xml:space="preserve"> управљања ђубривом, смањењ</w:t>
      </w:r>
      <w:r w:rsidR="00B76E09">
        <w:rPr>
          <w:rFonts w:ascii="Calibri Light" w:eastAsia="Calibri" w:hAnsi="Calibri Light" w:cs="Calibri Light"/>
        </w:rPr>
        <w:t>а</w:t>
      </w:r>
      <w:r w:rsidR="00505D6B">
        <w:rPr>
          <w:rFonts w:ascii="Calibri Light" w:eastAsia="Calibri" w:hAnsi="Calibri Light" w:cs="Calibri Light"/>
        </w:rPr>
        <w:t xml:space="preserve"> ентеричке ферментације животиња, компостирањ</w:t>
      </w:r>
      <w:r w:rsidR="00B76E09">
        <w:rPr>
          <w:rFonts w:ascii="Calibri Light" w:eastAsia="Calibri" w:hAnsi="Calibri Light" w:cs="Calibri Light"/>
        </w:rPr>
        <w:t>а</w:t>
      </w:r>
      <w:r w:rsidR="00505D6B">
        <w:rPr>
          <w:rFonts w:ascii="Calibri Light" w:eastAsia="Calibri" w:hAnsi="Calibri Light" w:cs="Calibri Light"/>
        </w:rPr>
        <w:t xml:space="preserve"> и употребе метана са санитарних депонија.</w:t>
      </w:r>
    </w:p>
    <w:p w14:paraId="2FDB426B" w14:textId="46C3F179" w:rsidR="000B32BD" w:rsidRDefault="000B32BD" w:rsidP="00565B02">
      <w:pPr>
        <w:pStyle w:val="Caption"/>
        <w:keepNext/>
        <w:jc w:val="center"/>
      </w:pPr>
      <w:bookmarkStart w:id="370" w:name="_Ref153885847"/>
      <w:bookmarkStart w:id="371" w:name="_Toc153901420"/>
      <w:r>
        <w:lastRenderedPageBreak/>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8</w:t>
      </w:r>
      <w:r w:rsidR="00F35B2C">
        <w:fldChar w:fldCharType="end"/>
      </w:r>
      <w:bookmarkEnd w:id="370"/>
      <w:r>
        <w:t xml:space="preserve">: </w:t>
      </w:r>
      <w:r w:rsidRPr="000B32BD">
        <w:t>Укупне емисије CH4 по секторима</w:t>
      </w:r>
      <w:bookmarkEnd w:id="371"/>
    </w:p>
    <w:p w14:paraId="3ECD58B2" w14:textId="53C7C17B" w:rsidR="00B92C50" w:rsidRPr="00FF386D" w:rsidRDefault="000B32BD" w:rsidP="00B92C50">
      <w:pPr>
        <w:spacing w:before="120" w:after="120" w:line="240" w:lineRule="auto"/>
        <w:jc w:val="center"/>
        <w:rPr>
          <w:rFonts w:ascii="Calibri" w:eastAsia="Times New Roman" w:hAnsi="Calibri" w:cs="Arial"/>
          <w:lang w:eastAsia="el-GR"/>
        </w:rPr>
      </w:pPr>
      <w:r>
        <w:rPr>
          <w:noProof/>
          <w:lang w:val="en-US"/>
        </w:rPr>
        <mc:AlternateContent>
          <mc:Choice Requires="wps">
            <w:drawing>
              <wp:anchor distT="0" distB="0" distL="114300" distR="114300" simplePos="0" relativeHeight="251768832" behindDoc="0" locked="0" layoutInCell="1" allowOverlap="1" wp14:anchorId="6B64A868" wp14:editId="7675B57A">
                <wp:simplePos x="0" y="0"/>
                <wp:positionH relativeFrom="column">
                  <wp:posOffset>542328</wp:posOffset>
                </wp:positionH>
                <wp:positionV relativeFrom="paragraph">
                  <wp:posOffset>230865</wp:posOffset>
                </wp:positionV>
                <wp:extent cx="3193576" cy="2015490"/>
                <wp:effectExtent l="0" t="0" r="6985" b="3810"/>
                <wp:wrapNone/>
                <wp:docPr id="969161303" name="Text Box 969161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3576" cy="2015490"/>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41484FFB" id="Text Box 969161303" o:spid="_x0000_s1026" type="#_x0000_t202" style="position:absolute;margin-left:42.7pt;margin-top:18.2pt;width:251.45pt;height:158.7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" fillcolor="#a6a6a6" stroked="f">
                <v:fill opacity="32896f"/>
              </v:shape>
            </w:pict>
          </mc:Fallback>
        </mc:AlternateContent>
      </w:r>
      <w:r w:rsidR="00056C05" w:rsidRPr="004F53D7">
        <w:rPr>
          <w:rFonts w:ascii="Calibri" w:eastAsia="Times New Roman" w:hAnsi="Calibri" w:cs="Arial"/>
          <w:noProof/>
          <w:lang w:val="en-US"/>
        </w:rPr>
        <w:drawing>
          <wp:inline distT="0" distB="0" distL="0" distR="0" wp14:anchorId="08983CA7" wp14:editId="2AEFAE7F">
            <wp:extent cx="5741594" cy="3641938"/>
            <wp:effectExtent l="0" t="0" r="0" b="0"/>
            <wp:docPr id="755568635" name="Picture 755568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79586" cy="3666036"/>
                    </a:xfrm>
                    <a:prstGeom prst="rect">
                      <a:avLst/>
                    </a:prstGeom>
                    <a:noFill/>
                  </pic:spPr>
                </pic:pic>
              </a:graphicData>
            </a:graphic>
          </wp:inline>
        </w:drawing>
      </w:r>
    </w:p>
    <w:p w14:paraId="2CC2C83A" w14:textId="28AF68CA" w:rsidR="00B92C50" w:rsidRPr="00FF386D" w:rsidRDefault="00B92C50" w:rsidP="00B92C50">
      <w:pPr>
        <w:jc w:val="both"/>
        <w:rPr>
          <w:rFonts w:ascii="Calibri Light" w:eastAsia="Calibri" w:hAnsi="Calibri Light" w:cs="Calibri Light"/>
        </w:rPr>
      </w:pPr>
      <w:r w:rsidRPr="00FF386D">
        <w:rPr>
          <w:rFonts w:ascii="Calibri Light" w:eastAsia="Calibri" w:hAnsi="Calibri Light" w:cs="Calibri Light"/>
        </w:rPr>
        <w:t>Слично томе, укупне емисије N</w:t>
      </w:r>
      <w:r w:rsidRPr="00FF386D">
        <w:rPr>
          <w:rFonts w:ascii="Calibri Light" w:eastAsia="Calibri" w:hAnsi="Calibri Light" w:cs="Calibri Light"/>
          <w:vertAlign w:val="subscript"/>
        </w:rPr>
        <w:t>2</w:t>
      </w:r>
      <w:r w:rsidRPr="00FF386D">
        <w:rPr>
          <w:rFonts w:ascii="Calibri Light" w:eastAsia="Calibri" w:hAnsi="Calibri Light" w:cs="Calibri Light"/>
        </w:rPr>
        <w:t xml:space="preserve">O износе 3,2 kt у 2030. у </w:t>
      </w:r>
      <w:r w:rsidRPr="00FF386D">
        <w:rPr>
          <w:rFonts w:ascii="Calibri Light" w:eastAsia="Calibri" w:hAnsi="Calibri Light" w:cs="Calibri Light"/>
          <w:i/>
        </w:rPr>
        <w:t>WEM</w:t>
      </w:r>
      <w:r w:rsidRPr="00FF386D">
        <w:rPr>
          <w:rFonts w:ascii="Calibri Light" w:eastAsia="Calibri" w:hAnsi="Calibri Light" w:cs="Calibri Light"/>
        </w:rPr>
        <w:t xml:space="preserve"> сценарију, </w:t>
      </w:r>
      <w:r w:rsidR="00056C05" w:rsidRPr="00FF386D">
        <w:rPr>
          <w:rFonts w:ascii="Calibri Light" w:eastAsia="Calibri" w:hAnsi="Calibri Light" w:cs="Calibri Light"/>
        </w:rPr>
        <w:t>што је више</w:t>
      </w:r>
      <w:r w:rsidRPr="00FF386D">
        <w:rPr>
          <w:rFonts w:ascii="Calibri Light" w:eastAsia="Calibri" w:hAnsi="Calibri Light" w:cs="Calibri Light"/>
        </w:rPr>
        <w:t xml:space="preserve"> од </w:t>
      </w:r>
      <w:r w:rsidR="00056C05" w:rsidRPr="00FF386D">
        <w:rPr>
          <w:rFonts w:ascii="Calibri Light" w:eastAsia="Calibri" w:hAnsi="Calibri Light" w:cs="Calibri Light"/>
        </w:rPr>
        <w:t xml:space="preserve">3,0 </w:t>
      </w:r>
      <w:r w:rsidRPr="00FF386D">
        <w:rPr>
          <w:rFonts w:ascii="Calibri Light" w:eastAsia="Calibri" w:hAnsi="Calibri Light" w:cs="Calibri Light"/>
        </w:rPr>
        <w:t>kt</w:t>
      </w:r>
      <w:r w:rsidR="00EA7BA6" w:rsidRPr="00FF386D">
        <w:rPr>
          <w:rFonts w:ascii="Calibri Light" w:eastAsia="Calibri" w:hAnsi="Calibri Light" w:cs="Calibri Light"/>
        </w:rPr>
        <w:t xml:space="preserve"> колико износе</w:t>
      </w:r>
      <w:r w:rsidRPr="00FF386D">
        <w:rPr>
          <w:rFonts w:ascii="Calibri Light" w:eastAsia="Calibri" w:hAnsi="Calibri Light" w:cs="Calibri Light"/>
        </w:rPr>
        <w:t xml:space="preserve"> у сценаријима </w:t>
      </w:r>
      <w:r w:rsidRPr="00FF386D">
        <w:rPr>
          <w:rFonts w:ascii="Calibri Light" w:eastAsia="Calibri" w:hAnsi="Calibri Light" w:cs="Calibri Light"/>
          <w:i/>
          <w:iCs/>
        </w:rPr>
        <w:t xml:space="preserve">S </w:t>
      </w:r>
      <w:r w:rsidRPr="00FF386D">
        <w:rPr>
          <w:rFonts w:ascii="Calibri Light" w:eastAsia="Calibri" w:hAnsi="Calibri Light" w:cs="Calibri Light"/>
        </w:rPr>
        <w:t xml:space="preserve">и </w:t>
      </w:r>
      <w:r w:rsidRPr="00FF386D">
        <w:rPr>
          <w:rFonts w:ascii="Calibri Light" w:eastAsia="Calibri" w:hAnsi="Calibri Light" w:cs="Calibri Light"/>
          <w:i/>
          <w:iCs/>
        </w:rPr>
        <w:t>S-N</w:t>
      </w:r>
      <w:r w:rsidRPr="00FF386D">
        <w:rPr>
          <w:rFonts w:ascii="Calibri Light" w:eastAsia="Calibri" w:hAnsi="Calibri Light" w:cs="Calibri Light"/>
        </w:rPr>
        <w:t xml:space="preserve"> током исте године (</w:t>
      </w:r>
      <w:r w:rsidR="00886752">
        <w:rPr>
          <w:rFonts w:ascii="Calibri Light" w:eastAsia="Calibri" w:hAnsi="Calibri Light" w:cs="Calibri Light"/>
        </w:rPr>
        <w:fldChar w:fldCharType="begin"/>
      </w:r>
      <w:r w:rsidR="00886752">
        <w:rPr>
          <w:rFonts w:ascii="Calibri Light" w:eastAsia="Calibri" w:hAnsi="Calibri Light" w:cs="Calibri Light"/>
        </w:rPr>
        <w:instrText xml:space="preserve"> REF _Ref153885948 \h  \* MERGEFORMAT </w:instrText>
      </w:r>
      <w:r w:rsidR="00886752">
        <w:rPr>
          <w:rFonts w:ascii="Calibri Light" w:eastAsia="Calibri" w:hAnsi="Calibri Light" w:cs="Calibri Light"/>
        </w:rPr>
      </w:r>
      <w:r w:rsidR="00886752">
        <w:rPr>
          <w:rFonts w:ascii="Calibri Light" w:eastAsia="Calibri" w:hAnsi="Calibri Light" w:cs="Calibri Light"/>
        </w:rPr>
        <w:fldChar w:fldCharType="separate"/>
      </w:r>
      <w:r w:rsidR="00886752" w:rsidRPr="00565B02">
        <w:rPr>
          <w:rFonts w:ascii="Calibri Light" w:eastAsia="Calibri" w:hAnsi="Calibri Light" w:cs="Calibri Light"/>
        </w:rPr>
        <w:t>Слика 5.9</w:t>
      </w:r>
      <w:r w:rsidR="00886752">
        <w:rPr>
          <w:rFonts w:ascii="Calibri Light" w:eastAsia="Calibri" w:hAnsi="Calibri Light" w:cs="Calibri Light"/>
        </w:rPr>
        <w:fldChar w:fldCharType="end"/>
      </w:r>
      <w:r w:rsidRPr="00565B02">
        <w:rPr>
          <w:rFonts w:eastAsia="Calibri"/>
        </w:rPr>
        <w:t>).</w:t>
      </w:r>
      <w:r w:rsidRPr="00FF386D">
        <w:rPr>
          <w:rFonts w:ascii="Calibri Light" w:eastAsia="Calibri" w:hAnsi="Calibri Light" w:cs="Calibri Light"/>
        </w:rPr>
        <w:t xml:space="preserve"> У 2050. години, укупне емисије N</w:t>
      </w:r>
      <w:r w:rsidRPr="00FF386D">
        <w:rPr>
          <w:rFonts w:ascii="Calibri Light" w:eastAsia="Calibri" w:hAnsi="Calibri Light" w:cs="Calibri Light"/>
          <w:vertAlign w:val="subscript"/>
        </w:rPr>
        <w:t>2</w:t>
      </w:r>
      <w:r w:rsidRPr="00FF386D">
        <w:rPr>
          <w:rFonts w:ascii="Calibri Light" w:eastAsia="Calibri" w:hAnsi="Calibri Light" w:cs="Calibri Light"/>
        </w:rPr>
        <w:t xml:space="preserve">O ће се повећати само у </w:t>
      </w:r>
      <w:r w:rsidRPr="00FF386D">
        <w:rPr>
          <w:rFonts w:ascii="Calibri Light" w:eastAsia="Calibri" w:hAnsi="Calibri Light" w:cs="Calibri Light"/>
          <w:i/>
        </w:rPr>
        <w:t>WEM</w:t>
      </w:r>
      <w:r w:rsidRPr="00FF386D">
        <w:rPr>
          <w:rFonts w:ascii="Calibri Light" w:eastAsia="Calibri" w:hAnsi="Calibri Light" w:cs="Calibri Light"/>
        </w:rPr>
        <w:t xml:space="preserve"> сценарију за 8,</w:t>
      </w:r>
      <w:r w:rsidR="00056C05" w:rsidRPr="00FF386D">
        <w:rPr>
          <w:rFonts w:ascii="Calibri Light" w:eastAsia="Calibri" w:hAnsi="Calibri Light" w:cs="Calibri Light"/>
        </w:rPr>
        <w:t>8</w:t>
      </w:r>
      <w:r w:rsidRPr="00FF386D">
        <w:rPr>
          <w:rFonts w:ascii="Calibri Light" w:eastAsia="Calibri" w:hAnsi="Calibri Light" w:cs="Calibri Light"/>
        </w:rPr>
        <w:t xml:space="preserve">% на 3,5 kt, у поређењу са нивоом из 2030. године, док ће се смањити за </w:t>
      </w:r>
      <w:r w:rsidR="00056C05" w:rsidRPr="00FF386D">
        <w:rPr>
          <w:rFonts w:ascii="Calibri Light" w:eastAsia="Calibri" w:hAnsi="Calibri Light" w:cs="Calibri Light"/>
        </w:rPr>
        <w:t>10,2</w:t>
      </w:r>
      <w:r w:rsidRPr="00FF386D">
        <w:rPr>
          <w:rFonts w:ascii="Calibri Light" w:eastAsia="Calibri" w:hAnsi="Calibri Light" w:cs="Calibri Light"/>
        </w:rPr>
        <w:t>% (на 2,</w:t>
      </w:r>
      <w:r w:rsidR="00056C05" w:rsidRPr="00FF386D">
        <w:rPr>
          <w:rFonts w:ascii="Calibri Light" w:eastAsia="Calibri" w:hAnsi="Calibri Light" w:cs="Calibri Light"/>
        </w:rPr>
        <w:t xml:space="preserve">7 </w:t>
      </w:r>
      <w:r w:rsidRPr="00FF386D">
        <w:rPr>
          <w:rFonts w:ascii="Calibri Light" w:eastAsia="Calibri" w:hAnsi="Calibri Light" w:cs="Calibri Light"/>
        </w:rPr>
        <w:t xml:space="preserve">kt), у сценарију </w:t>
      </w:r>
      <w:r w:rsidRPr="00FF386D">
        <w:rPr>
          <w:rFonts w:ascii="Calibri Light" w:eastAsia="Calibri" w:hAnsi="Calibri Light" w:cs="Calibri Light"/>
          <w:i/>
          <w:iCs/>
        </w:rPr>
        <w:t>S</w:t>
      </w:r>
      <w:r w:rsidRPr="00FF386D">
        <w:rPr>
          <w:rFonts w:ascii="Calibri Light" w:eastAsia="Calibri" w:hAnsi="Calibri Light" w:cs="Calibri Light"/>
        </w:rPr>
        <w:t xml:space="preserve"> и 1</w:t>
      </w:r>
      <w:r w:rsidR="00056C05" w:rsidRPr="00FF386D">
        <w:rPr>
          <w:rFonts w:ascii="Calibri Light" w:eastAsia="Calibri" w:hAnsi="Calibri Light" w:cs="Calibri Light"/>
        </w:rPr>
        <w:t>1,9</w:t>
      </w:r>
      <w:r w:rsidRPr="00FF386D">
        <w:rPr>
          <w:rFonts w:ascii="Calibri Light" w:eastAsia="Calibri" w:hAnsi="Calibri Light" w:cs="Calibri Light"/>
        </w:rPr>
        <w:t xml:space="preserve">% (на 2,6 kt) у сценарију </w:t>
      </w:r>
      <w:r w:rsidRPr="00FF386D">
        <w:rPr>
          <w:rFonts w:ascii="Calibri Light" w:eastAsia="Calibri" w:hAnsi="Calibri Light" w:cs="Calibri Light"/>
          <w:i/>
          <w:iCs/>
        </w:rPr>
        <w:t>S-N</w:t>
      </w:r>
      <w:r w:rsidRPr="00FF386D">
        <w:rPr>
          <w:rFonts w:ascii="Calibri Light" w:eastAsia="Calibri" w:hAnsi="Calibri Light" w:cs="Calibri Light"/>
        </w:rPr>
        <w:t xml:space="preserve">. Индустрија и </w:t>
      </w:r>
      <w:r w:rsidR="00056C05" w:rsidRPr="00FF386D">
        <w:rPr>
          <w:rFonts w:ascii="Calibri Light" w:eastAsia="Calibri" w:hAnsi="Calibri Light" w:cs="Calibri Light"/>
        </w:rPr>
        <w:t>саобраћај</w:t>
      </w:r>
      <w:r w:rsidRPr="00FF386D">
        <w:rPr>
          <w:rFonts w:ascii="Calibri Light" w:eastAsia="Calibri" w:hAnsi="Calibri Light" w:cs="Calibri Light"/>
        </w:rPr>
        <w:t xml:space="preserve"> су сектори са највећим емисијама N</w:t>
      </w:r>
      <w:r w:rsidRPr="00FF386D">
        <w:rPr>
          <w:rFonts w:ascii="Calibri Light" w:eastAsia="Calibri" w:hAnsi="Calibri Light" w:cs="Calibri Light"/>
          <w:vertAlign w:val="subscript"/>
        </w:rPr>
        <w:t>2</w:t>
      </w:r>
      <w:r w:rsidRPr="00FF386D">
        <w:rPr>
          <w:rFonts w:ascii="Calibri Light" w:eastAsia="Calibri" w:hAnsi="Calibri Light" w:cs="Calibri Light"/>
        </w:rPr>
        <w:t xml:space="preserve">O у 2030. и 2050. у свим сценаријима, а затим следе електрична енергија и </w:t>
      </w:r>
      <w:r w:rsidRPr="00FF386D">
        <w:rPr>
          <w:rFonts w:ascii="Calibri Light" w:eastAsia="Calibri" w:hAnsi="Calibri Light" w:cs="Calibri Light"/>
          <w:i/>
          <w:iCs/>
        </w:rPr>
        <w:t>CHP</w:t>
      </w:r>
      <w:r w:rsidRPr="00FF386D">
        <w:rPr>
          <w:rFonts w:ascii="Calibri Light" w:eastAsia="Calibri" w:hAnsi="Calibri Light" w:cs="Calibri Light"/>
        </w:rPr>
        <w:t>.</w:t>
      </w:r>
    </w:p>
    <w:p w14:paraId="6F01C1C2" w14:textId="711C76BD" w:rsidR="00886752" w:rsidRDefault="00886752" w:rsidP="00565B02">
      <w:pPr>
        <w:pStyle w:val="Caption"/>
        <w:keepNext/>
      </w:pPr>
      <w:bookmarkStart w:id="372" w:name="_Ref153885948"/>
      <w:bookmarkStart w:id="373" w:name="_Toc153901421"/>
      <w:r>
        <w:lastRenderedPageBreak/>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9</w:t>
      </w:r>
      <w:r w:rsidR="00F35B2C">
        <w:fldChar w:fldCharType="end"/>
      </w:r>
      <w:bookmarkEnd w:id="372"/>
      <w:r>
        <w:t xml:space="preserve">: </w:t>
      </w:r>
      <w:r w:rsidRPr="00886752">
        <w:t>Укупне емисије N2O по секторима</w:t>
      </w:r>
      <w:bookmarkEnd w:id="373"/>
    </w:p>
    <w:p w14:paraId="5DD01DC5" w14:textId="74BC1A8B" w:rsidR="00810C57" w:rsidRPr="000A2AFE" w:rsidRDefault="00886752" w:rsidP="00B92C50">
      <w:pPr>
        <w:spacing w:before="120" w:after="120" w:line="240" w:lineRule="auto"/>
        <w:jc w:val="center"/>
        <w:rPr>
          <w:rFonts w:ascii="Calibri" w:eastAsia="Times New Roman" w:hAnsi="Calibri" w:cs="Arial"/>
          <w:lang w:eastAsia="el-GR"/>
        </w:rPr>
      </w:pPr>
      <w:r>
        <w:rPr>
          <w:noProof/>
          <w:lang w:val="en-US"/>
        </w:rPr>
        <mc:AlternateContent>
          <mc:Choice Requires="wps">
            <w:drawing>
              <wp:anchor distT="0" distB="0" distL="114300" distR="114300" simplePos="0" relativeHeight="251770880" behindDoc="0" locked="0" layoutInCell="1" allowOverlap="1" wp14:anchorId="5E6BF9BB" wp14:editId="464D7E2D">
                <wp:simplePos x="0" y="0"/>
                <wp:positionH relativeFrom="column">
                  <wp:posOffset>433146</wp:posOffset>
                </wp:positionH>
                <wp:positionV relativeFrom="paragraph">
                  <wp:posOffset>503820</wp:posOffset>
                </wp:positionV>
                <wp:extent cx="3316406" cy="2365944"/>
                <wp:effectExtent l="0" t="0" r="0" b="0"/>
                <wp:wrapNone/>
                <wp:docPr id="390276285" name="Text Box 390276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6406" cy="2365944"/>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11EDB978" id="Text Box 390276285" o:spid="_x0000_s1026" type="#_x0000_t202" style="position:absolute;margin-left:34.1pt;margin-top:39.65pt;width:261.15pt;height:186.3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" fillcolor="#a6a6a6" stroked="f">
                <v:fill opacity="32896f"/>
              </v:shape>
            </w:pict>
          </mc:Fallback>
        </mc:AlternateContent>
      </w:r>
      <w:r w:rsidR="00810C57" w:rsidRPr="004F53D7">
        <w:rPr>
          <w:rFonts w:ascii="Calibri" w:eastAsia="Times New Roman" w:hAnsi="Calibri" w:cs="Arial"/>
          <w:noProof/>
          <w:lang w:val="en-US"/>
        </w:rPr>
        <w:drawing>
          <wp:inline distT="0" distB="0" distL="0" distR="0" wp14:anchorId="3E5CBAA5" wp14:editId="59B5C5DD">
            <wp:extent cx="6014144" cy="4019880"/>
            <wp:effectExtent l="0" t="0" r="0" b="0"/>
            <wp:docPr id="1276193154" name="Picture 127619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036568" cy="4034868"/>
                    </a:xfrm>
                    <a:prstGeom prst="rect">
                      <a:avLst/>
                    </a:prstGeom>
                    <a:noFill/>
                  </pic:spPr>
                </pic:pic>
              </a:graphicData>
            </a:graphic>
          </wp:inline>
        </w:drawing>
      </w:r>
    </w:p>
    <w:p w14:paraId="604AC62E" w14:textId="3F0DEBC8" w:rsidR="00B52935" w:rsidRPr="00FF386D" w:rsidRDefault="00B52935" w:rsidP="00B52935">
      <w:pPr>
        <w:spacing w:line="259" w:lineRule="auto"/>
        <w:jc w:val="both"/>
        <w:rPr>
          <w:rFonts w:ascii="Calibri Light" w:eastAsia="Calibri" w:hAnsi="Calibri Light" w:cs="Calibri Light"/>
        </w:rPr>
      </w:pPr>
      <w:bookmarkStart w:id="374" w:name="_Ref113536819"/>
      <w:r w:rsidRPr="00FF386D">
        <w:rPr>
          <w:rFonts w:ascii="Calibri Light" w:eastAsia="Calibri" w:hAnsi="Calibri Light" w:cs="Calibri Light"/>
        </w:rPr>
        <w:t xml:space="preserve">Удео ОИЕ у бруто финалној потрошњи енергије у сценаријима </w:t>
      </w:r>
      <w:r w:rsidRPr="00FF386D">
        <w:rPr>
          <w:rFonts w:ascii="Calibri Light" w:eastAsia="Calibri" w:hAnsi="Calibri Light" w:cs="Calibri Light"/>
          <w:i/>
          <w:iCs/>
        </w:rPr>
        <w:t>S</w:t>
      </w:r>
      <w:r w:rsidRPr="00FF386D">
        <w:rPr>
          <w:rFonts w:ascii="Calibri Light" w:eastAsia="Calibri" w:hAnsi="Calibri Light" w:cs="Calibri Light"/>
        </w:rPr>
        <w:t xml:space="preserve"> и </w:t>
      </w:r>
      <w:r w:rsidRPr="00FF386D">
        <w:rPr>
          <w:rFonts w:ascii="Calibri Light" w:eastAsia="Calibri" w:hAnsi="Calibri Light" w:cs="Calibri Light"/>
          <w:i/>
          <w:iCs/>
        </w:rPr>
        <w:t>S-N</w:t>
      </w:r>
      <w:r w:rsidRPr="00FF386D">
        <w:rPr>
          <w:rFonts w:ascii="Calibri Light" w:eastAsia="Calibri" w:hAnsi="Calibri Light" w:cs="Calibri Light"/>
        </w:rPr>
        <w:t xml:space="preserve"> износи 3</w:t>
      </w:r>
      <w:r w:rsidR="00810C57" w:rsidRPr="00FF386D">
        <w:rPr>
          <w:rFonts w:ascii="Calibri Light" w:eastAsia="Calibri" w:hAnsi="Calibri Light" w:cs="Calibri Light"/>
        </w:rPr>
        <w:t>3,6</w:t>
      </w:r>
      <w:r w:rsidRPr="00FF386D">
        <w:rPr>
          <w:rFonts w:ascii="Calibri Light" w:eastAsia="Calibri" w:hAnsi="Calibri Light" w:cs="Calibri Light"/>
        </w:rPr>
        <w:t>% у 2030. години и приближно 6</w:t>
      </w:r>
      <w:r w:rsidR="00810C57" w:rsidRPr="00FF386D">
        <w:rPr>
          <w:rFonts w:ascii="Calibri Light" w:eastAsia="Calibri" w:hAnsi="Calibri Light" w:cs="Calibri Light"/>
        </w:rPr>
        <w:t>2</w:t>
      </w:r>
      <w:r w:rsidRPr="00FF386D">
        <w:rPr>
          <w:rFonts w:ascii="Calibri Light" w:eastAsia="Calibri" w:hAnsi="Calibri Light" w:cs="Calibri Light"/>
        </w:rPr>
        <w:t xml:space="preserve">% у 2050. за сценарио </w:t>
      </w:r>
      <w:r w:rsidRPr="00FF386D">
        <w:rPr>
          <w:rFonts w:ascii="Calibri Light" w:eastAsia="Calibri" w:hAnsi="Calibri Light" w:cs="Calibri Light"/>
          <w:i/>
          <w:iCs/>
        </w:rPr>
        <w:t>S</w:t>
      </w:r>
      <w:r w:rsidRPr="00FF386D">
        <w:rPr>
          <w:rFonts w:ascii="Calibri Light" w:eastAsia="Calibri" w:hAnsi="Calibri Light" w:cs="Calibri Light"/>
        </w:rPr>
        <w:t xml:space="preserve"> и око 6</w:t>
      </w:r>
      <w:r w:rsidR="00810C57" w:rsidRPr="00FF386D">
        <w:rPr>
          <w:rFonts w:ascii="Calibri Light" w:eastAsia="Calibri" w:hAnsi="Calibri Light" w:cs="Calibri Light"/>
        </w:rPr>
        <w:t>0</w:t>
      </w:r>
      <w:r w:rsidRPr="00FF386D">
        <w:rPr>
          <w:rFonts w:ascii="Calibri Light" w:eastAsia="Calibri" w:hAnsi="Calibri Light" w:cs="Calibri Light"/>
        </w:rPr>
        <w:t xml:space="preserve">% за сценарио </w:t>
      </w:r>
      <w:r w:rsidRPr="00FF386D">
        <w:rPr>
          <w:rFonts w:ascii="Calibri Light" w:eastAsia="Calibri" w:hAnsi="Calibri Light" w:cs="Calibri Light"/>
          <w:i/>
          <w:iCs/>
        </w:rPr>
        <w:t>S-N</w:t>
      </w:r>
      <w:r w:rsidRPr="00FF386D">
        <w:rPr>
          <w:rFonts w:ascii="Calibri Light" w:eastAsia="Calibri" w:hAnsi="Calibri Light" w:cs="Calibri Light"/>
        </w:rPr>
        <w:t>. То значи 3</w:t>
      </w:r>
      <w:r w:rsidR="00810C57" w:rsidRPr="00FF386D">
        <w:rPr>
          <w:rFonts w:ascii="Calibri Light" w:eastAsia="Calibri" w:hAnsi="Calibri Light" w:cs="Calibri Light"/>
        </w:rPr>
        <w:t>5</w:t>
      </w:r>
      <w:r w:rsidRPr="00FF386D">
        <w:rPr>
          <w:rFonts w:ascii="Calibri Light" w:eastAsia="Calibri" w:hAnsi="Calibri Light" w:cs="Calibri Light"/>
        </w:rPr>
        <w:t xml:space="preserve">% </w:t>
      </w:r>
      <w:r w:rsidR="00531E82" w:rsidRPr="00FF386D">
        <w:rPr>
          <w:rFonts w:ascii="Calibri Light" w:eastAsia="Calibri" w:hAnsi="Calibri Light" w:cs="Calibri Light"/>
        </w:rPr>
        <w:t xml:space="preserve">већи удео ОИЕ </w:t>
      </w:r>
      <w:r w:rsidRPr="00FF386D">
        <w:rPr>
          <w:rFonts w:ascii="Calibri Light" w:eastAsia="Calibri" w:hAnsi="Calibri Light" w:cs="Calibri Light"/>
        </w:rPr>
        <w:t xml:space="preserve">у сценарију </w:t>
      </w:r>
      <w:r w:rsidRPr="00FF386D">
        <w:rPr>
          <w:rFonts w:ascii="Calibri Light" w:eastAsia="Calibri" w:hAnsi="Calibri Light" w:cs="Calibri Light"/>
          <w:i/>
          <w:iCs/>
        </w:rPr>
        <w:t>S</w:t>
      </w:r>
      <w:r w:rsidRPr="00FF386D">
        <w:rPr>
          <w:rFonts w:ascii="Calibri Light" w:eastAsia="Calibri" w:hAnsi="Calibri Light" w:cs="Calibri Light"/>
        </w:rPr>
        <w:t xml:space="preserve"> и 3</w:t>
      </w:r>
      <w:r w:rsidR="00810C57" w:rsidRPr="00FF386D">
        <w:rPr>
          <w:rFonts w:ascii="Calibri Light" w:eastAsia="Calibri" w:hAnsi="Calibri Light" w:cs="Calibri Light"/>
        </w:rPr>
        <w:t>3</w:t>
      </w:r>
      <w:r w:rsidRPr="00FF386D">
        <w:rPr>
          <w:rFonts w:ascii="Calibri Light" w:eastAsia="Calibri" w:hAnsi="Calibri Light" w:cs="Calibri Light"/>
        </w:rPr>
        <w:t xml:space="preserve">% у сценарију </w:t>
      </w:r>
      <w:r w:rsidRPr="00FF386D">
        <w:rPr>
          <w:rFonts w:ascii="Calibri Light" w:eastAsia="Calibri" w:hAnsi="Calibri Light" w:cs="Calibri Light"/>
          <w:i/>
          <w:iCs/>
        </w:rPr>
        <w:t>S-N</w:t>
      </w:r>
      <w:r w:rsidRPr="00FF386D">
        <w:rPr>
          <w:rFonts w:ascii="Calibri Light" w:eastAsia="Calibri" w:hAnsi="Calibri Light" w:cs="Calibri Light"/>
        </w:rPr>
        <w:t xml:space="preserve"> већи у 2050. години, односно, у поређењу са </w:t>
      </w:r>
      <w:r w:rsidRPr="00FF386D">
        <w:rPr>
          <w:rFonts w:ascii="Calibri Light" w:eastAsia="Calibri" w:hAnsi="Calibri Light" w:cs="Calibri Light"/>
          <w:i/>
        </w:rPr>
        <w:t>WEM</w:t>
      </w:r>
      <w:r w:rsidRPr="00FF386D">
        <w:rPr>
          <w:rFonts w:ascii="Calibri Light" w:eastAsia="Calibri" w:hAnsi="Calibri Light" w:cs="Calibri Light"/>
        </w:rPr>
        <w:t xml:space="preserve"> сценаријем (</w:t>
      </w:r>
      <w:r w:rsidR="00C50B00">
        <w:rPr>
          <w:rFonts w:ascii="Calibri Light" w:eastAsia="Calibri" w:hAnsi="Calibri Light" w:cs="Calibri Light"/>
        </w:rPr>
        <w:fldChar w:fldCharType="begin"/>
      </w:r>
      <w:r w:rsidR="00C50B00">
        <w:rPr>
          <w:rFonts w:ascii="Calibri Light" w:eastAsia="Calibri" w:hAnsi="Calibri Light" w:cs="Calibri Light"/>
        </w:rPr>
        <w:instrText xml:space="preserve"> REF _Ref153886886 \h  \* MERGEFORMAT </w:instrText>
      </w:r>
      <w:r w:rsidR="00C50B00">
        <w:rPr>
          <w:rFonts w:ascii="Calibri Light" w:eastAsia="Calibri" w:hAnsi="Calibri Light" w:cs="Calibri Light"/>
        </w:rPr>
      </w:r>
      <w:r w:rsidR="00C50B00">
        <w:rPr>
          <w:rFonts w:ascii="Calibri Light" w:eastAsia="Calibri" w:hAnsi="Calibri Light" w:cs="Calibri Light"/>
        </w:rPr>
        <w:fldChar w:fldCharType="separate"/>
      </w:r>
      <w:r w:rsidR="00C50B00" w:rsidRPr="00565B02">
        <w:rPr>
          <w:rFonts w:ascii="Calibri Light" w:eastAsia="Calibri" w:hAnsi="Calibri Light" w:cs="Calibri Light"/>
        </w:rPr>
        <w:t>Слика 5.10</w:t>
      </w:r>
      <w:r w:rsidR="00C50B00">
        <w:rPr>
          <w:rFonts w:ascii="Calibri Light" w:eastAsia="Calibri" w:hAnsi="Calibri Light" w:cs="Calibri Light"/>
        </w:rPr>
        <w:fldChar w:fldCharType="end"/>
      </w:r>
      <w:r w:rsidRPr="00FF386D">
        <w:rPr>
          <w:rFonts w:ascii="Calibri Light" w:eastAsia="Calibri" w:hAnsi="Calibri Light" w:cs="Calibri Light"/>
        </w:rPr>
        <w:t xml:space="preserve">) и </w:t>
      </w:r>
      <w:r w:rsidR="00810C57" w:rsidRPr="00FF386D">
        <w:rPr>
          <w:rFonts w:ascii="Calibri Light" w:eastAsia="Calibri" w:hAnsi="Calibri Light" w:cs="Calibri Light"/>
        </w:rPr>
        <w:t>6</w:t>
      </w:r>
      <w:r w:rsidRPr="00FF386D">
        <w:rPr>
          <w:rFonts w:ascii="Calibri Light" w:eastAsia="Calibri" w:hAnsi="Calibri Light" w:cs="Calibri Light"/>
        </w:rPr>
        <w:t xml:space="preserve">% већи удео ОИЕ у 2030. години </w:t>
      </w:r>
      <w:r w:rsidR="00531E82" w:rsidRPr="00FF386D">
        <w:rPr>
          <w:rFonts w:ascii="Calibri Light" w:eastAsia="Calibri" w:hAnsi="Calibri Light" w:cs="Calibri Light"/>
        </w:rPr>
        <w:t>у</w:t>
      </w:r>
      <w:r w:rsidRPr="00FF386D">
        <w:rPr>
          <w:rFonts w:ascii="Calibri Light" w:eastAsia="Calibri" w:hAnsi="Calibri Light" w:cs="Calibri Light"/>
        </w:rPr>
        <w:t xml:space="preserve"> оба сценарија.</w:t>
      </w:r>
    </w:p>
    <w:p w14:paraId="2FA1BC96" w14:textId="7984755D" w:rsidR="00B52935" w:rsidRPr="00FF386D" w:rsidRDefault="00B52935" w:rsidP="00B52935">
      <w:pPr>
        <w:spacing w:line="259" w:lineRule="auto"/>
        <w:jc w:val="both"/>
        <w:rPr>
          <w:rFonts w:ascii="Calibri Light" w:eastAsia="Calibri" w:hAnsi="Calibri Light" w:cs="Calibri Light"/>
        </w:rPr>
      </w:pPr>
      <w:r w:rsidRPr="00FF386D">
        <w:rPr>
          <w:rFonts w:ascii="Calibri Light" w:eastAsia="Calibri" w:hAnsi="Calibri Light" w:cs="Calibri Light"/>
        </w:rPr>
        <w:t xml:space="preserve">Удео ОИЕ у три подциља је већи у 2030. години за оба </w:t>
      </w:r>
      <w:r w:rsidR="00531E82" w:rsidRPr="00FF386D">
        <w:rPr>
          <w:rFonts w:ascii="Calibri Light" w:eastAsia="Calibri" w:hAnsi="Calibri Light" w:cs="Calibri Light"/>
        </w:rPr>
        <w:t>разматрана</w:t>
      </w:r>
      <w:r w:rsidRPr="00FF386D">
        <w:rPr>
          <w:rFonts w:ascii="Calibri Light" w:eastAsia="Calibri" w:hAnsi="Calibri Light" w:cs="Calibri Light"/>
        </w:rPr>
        <w:t xml:space="preserve"> сценарија </w:t>
      </w:r>
      <w:r w:rsidRPr="00FF386D">
        <w:rPr>
          <w:rFonts w:ascii="Calibri Light" w:eastAsia="Calibri" w:hAnsi="Calibri Light" w:cs="Calibri Light"/>
          <w:i/>
          <w:iCs/>
        </w:rPr>
        <w:t xml:space="preserve">S </w:t>
      </w:r>
      <w:r w:rsidRPr="00FF386D">
        <w:rPr>
          <w:rFonts w:ascii="Calibri Light" w:eastAsia="Calibri" w:hAnsi="Calibri Light" w:cs="Calibri Light"/>
        </w:rPr>
        <w:t xml:space="preserve">и </w:t>
      </w:r>
      <w:r w:rsidRPr="00FF386D">
        <w:rPr>
          <w:rFonts w:ascii="Calibri Light" w:eastAsia="Calibri" w:hAnsi="Calibri Light" w:cs="Calibri Light"/>
          <w:i/>
          <w:iCs/>
        </w:rPr>
        <w:t>S-N</w:t>
      </w:r>
      <w:r w:rsidRPr="00FF386D">
        <w:rPr>
          <w:rFonts w:ascii="Calibri Light" w:eastAsia="Calibri" w:hAnsi="Calibri Light" w:cs="Calibri Light"/>
        </w:rPr>
        <w:t xml:space="preserve"> у поређењу са </w:t>
      </w:r>
      <w:r w:rsidRPr="00FF386D">
        <w:rPr>
          <w:rFonts w:ascii="Calibri Light" w:eastAsia="Calibri" w:hAnsi="Calibri Light" w:cs="Calibri Light"/>
          <w:i/>
        </w:rPr>
        <w:t>WEM</w:t>
      </w:r>
      <w:r w:rsidRPr="00FF386D">
        <w:rPr>
          <w:rFonts w:ascii="Calibri Light" w:eastAsia="Calibri" w:hAnsi="Calibri Light" w:cs="Calibri Light"/>
        </w:rPr>
        <w:t xml:space="preserve"> сценариом за:</w:t>
      </w:r>
    </w:p>
    <w:p w14:paraId="6ACC9337" w14:textId="141B3672" w:rsidR="00B52935" w:rsidRPr="00FF386D" w:rsidRDefault="00834E55">
      <w:pPr>
        <w:numPr>
          <w:ilvl w:val="0"/>
          <w:numId w:val="223"/>
        </w:numPr>
        <w:spacing w:line="259" w:lineRule="auto"/>
        <w:contextualSpacing/>
        <w:jc w:val="both"/>
        <w:rPr>
          <w:rFonts w:ascii="Calibri Light" w:eastAsia="Calibri" w:hAnsi="Calibri Light" w:cs="Calibri Light"/>
        </w:rPr>
      </w:pPr>
      <w:r>
        <w:rPr>
          <w:rFonts w:ascii="Calibri Light" w:eastAsia="Calibri" w:hAnsi="Calibri Light" w:cs="Calibri Light"/>
        </w:rPr>
        <w:t xml:space="preserve">Најмање </w:t>
      </w:r>
      <w:r w:rsidR="00B52935" w:rsidRPr="00FF386D">
        <w:rPr>
          <w:rFonts w:ascii="Calibri Light" w:eastAsia="Calibri" w:hAnsi="Calibri Light" w:cs="Calibri Light"/>
        </w:rPr>
        <w:t>4</w:t>
      </w:r>
      <w:r w:rsidR="00810C57" w:rsidRPr="00FF386D">
        <w:rPr>
          <w:rFonts w:ascii="Calibri Light" w:eastAsia="Calibri" w:hAnsi="Calibri Light" w:cs="Calibri Light"/>
        </w:rPr>
        <w:t>5</w:t>
      </w:r>
      <w:r w:rsidR="00B52935" w:rsidRPr="00FF386D">
        <w:rPr>
          <w:rFonts w:ascii="Calibri Light" w:eastAsia="Calibri" w:hAnsi="Calibri Light" w:cs="Calibri Light"/>
        </w:rPr>
        <w:t xml:space="preserve">% у сектору производње електричне енергије као резултат уградње додатних фотонапонских и ветроелектрана </w:t>
      </w:r>
      <w:r w:rsidR="00B52935" w:rsidRPr="00565B02">
        <w:t>(</w:t>
      </w:r>
      <w:r w:rsidR="00C50B00" w:rsidRPr="00565B02">
        <w:fldChar w:fldCharType="begin"/>
      </w:r>
      <w:r w:rsidR="00C50B00" w:rsidRPr="00565B02">
        <w:instrText xml:space="preserve"> REF _Ref153887021 \h </w:instrText>
      </w:r>
      <w:r w:rsidR="00C50B00">
        <w:instrText xml:space="preserve"> \* MERGEFORMAT </w:instrText>
      </w:r>
      <w:r w:rsidR="00C50B00" w:rsidRPr="00565B02">
        <w:fldChar w:fldCharType="separate"/>
      </w:r>
      <w:r w:rsidR="00C50B00" w:rsidRPr="00565B02">
        <w:rPr>
          <w:rFonts w:ascii="Calibri Light" w:eastAsia="Calibri" w:hAnsi="Calibri Light" w:cs="Calibri Light"/>
        </w:rPr>
        <w:t>Слика 5.11</w:t>
      </w:r>
      <w:r w:rsidR="00C50B00" w:rsidRPr="00565B02">
        <w:fldChar w:fldCharType="end"/>
      </w:r>
      <w:r w:rsidR="00B52935" w:rsidRPr="00FF386D">
        <w:rPr>
          <w:rFonts w:ascii="Calibri Light" w:eastAsia="Calibri" w:hAnsi="Calibri Light" w:cs="Calibri Light"/>
        </w:rPr>
        <w:t>).</w:t>
      </w:r>
    </w:p>
    <w:p w14:paraId="4538A52F" w14:textId="73045E45" w:rsidR="00B52935" w:rsidRPr="00FF386D" w:rsidRDefault="00834E55">
      <w:pPr>
        <w:numPr>
          <w:ilvl w:val="0"/>
          <w:numId w:val="223"/>
        </w:numPr>
        <w:spacing w:line="259" w:lineRule="auto"/>
        <w:contextualSpacing/>
        <w:jc w:val="both"/>
        <w:rPr>
          <w:rFonts w:ascii="Calibri Light" w:eastAsia="Calibri" w:hAnsi="Calibri Light" w:cs="Calibri Light"/>
        </w:rPr>
      </w:pPr>
      <w:r w:rsidRPr="00834E55">
        <w:rPr>
          <w:rFonts w:ascii="Calibri Light" w:eastAsia="Calibri" w:hAnsi="Calibri Light" w:cs="Calibri Light"/>
        </w:rPr>
        <w:t>Најмање</w:t>
      </w:r>
      <w:r>
        <w:rPr>
          <w:rFonts w:ascii="Calibri Light" w:eastAsia="Calibri" w:hAnsi="Calibri Light" w:cs="Calibri Light"/>
        </w:rPr>
        <w:t xml:space="preserve"> </w:t>
      </w:r>
      <w:r w:rsidR="00810C57" w:rsidRPr="00FF386D">
        <w:rPr>
          <w:rFonts w:ascii="Calibri Light" w:eastAsia="Calibri" w:hAnsi="Calibri Light" w:cs="Calibri Light"/>
        </w:rPr>
        <w:t>3,2</w:t>
      </w:r>
      <w:r w:rsidR="00B52935" w:rsidRPr="00FF386D">
        <w:rPr>
          <w:rFonts w:ascii="Calibri Light" w:eastAsia="Calibri" w:hAnsi="Calibri Light" w:cs="Calibri Light"/>
        </w:rPr>
        <w:t xml:space="preserve">% у сектору </w:t>
      </w:r>
      <w:r w:rsidR="00810C57" w:rsidRPr="00FF386D">
        <w:rPr>
          <w:rFonts w:ascii="Calibri Light" w:eastAsia="Calibri" w:hAnsi="Calibri Light" w:cs="Calibri Light"/>
        </w:rPr>
        <w:t>саобраћаја</w:t>
      </w:r>
      <w:r w:rsidR="00B52935" w:rsidRPr="00FF386D">
        <w:rPr>
          <w:rFonts w:ascii="Calibri Light" w:eastAsia="Calibri" w:hAnsi="Calibri Light" w:cs="Calibri Light"/>
        </w:rPr>
        <w:t xml:space="preserve"> (без мултипликатора) због повећан</w:t>
      </w:r>
      <w:r w:rsidR="00531E82" w:rsidRPr="00FF386D">
        <w:rPr>
          <w:rFonts w:ascii="Calibri Light" w:eastAsia="Calibri" w:hAnsi="Calibri Light" w:cs="Calibri Light"/>
        </w:rPr>
        <w:t>ог подстицања</w:t>
      </w:r>
      <w:r w:rsidR="00B52935" w:rsidRPr="00FF386D">
        <w:rPr>
          <w:rFonts w:ascii="Calibri Light" w:eastAsia="Calibri" w:hAnsi="Calibri Light" w:cs="Calibri Light"/>
        </w:rPr>
        <w:t xml:space="preserve"> електрификације (</w:t>
      </w:r>
      <w:r w:rsidR="00C50B00">
        <w:rPr>
          <w:rFonts w:ascii="Calibri Light" w:eastAsia="Calibri" w:hAnsi="Calibri Light" w:cs="Calibri Light"/>
        </w:rPr>
        <w:fldChar w:fldCharType="begin"/>
      </w:r>
      <w:r w:rsidR="00C50B00">
        <w:rPr>
          <w:rFonts w:ascii="Calibri Light" w:eastAsia="Calibri" w:hAnsi="Calibri Light" w:cs="Calibri Light"/>
        </w:rPr>
        <w:instrText xml:space="preserve"> REF _Ref153887107 \h  \* MERGEFORMAT </w:instrText>
      </w:r>
      <w:r w:rsidR="00C50B00">
        <w:rPr>
          <w:rFonts w:ascii="Calibri Light" w:eastAsia="Calibri" w:hAnsi="Calibri Light" w:cs="Calibri Light"/>
        </w:rPr>
      </w:r>
      <w:r w:rsidR="00C50B00">
        <w:rPr>
          <w:rFonts w:ascii="Calibri Light" w:eastAsia="Calibri" w:hAnsi="Calibri Light" w:cs="Calibri Light"/>
        </w:rPr>
        <w:fldChar w:fldCharType="separate"/>
      </w:r>
      <w:r w:rsidR="00C50B00" w:rsidRPr="00565B02">
        <w:rPr>
          <w:rFonts w:ascii="Calibri Light" w:eastAsia="Calibri" w:hAnsi="Calibri Light" w:cs="Calibri Light"/>
        </w:rPr>
        <w:t>Слика 5.12</w:t>
      </w:r>
      <w:r w:rsidR="00C50B00">
        <w:rPr>
          <w:rFonts w:ascii="Calibri Light" w:eastAsia="Calibri" w:hAnsi="Calibri Light" w:cs="Calibri Light"/>
        </w:rPr>
        <w:fldChar w:fldCharType="end"/>
      </w:r>
      <w:r w:rsidR="00B52935" w:rsidRPr="00565B02">
        <w:rPr>
          <w:rFonts w:ascii="Calibri Light" w:eastAsia="Calibri" w:hAnsi="Calibri Light" w:cs="Calibri Light"/>
        </w:rPr>
        <w:t>)</w:t>
      </w:r>
      <w:r w:rsidR="00C50B00">
        <w:rPr>
          <w:rFonts w:ascii="Calibri Light" w:eastAsia="Calibri" w:hAnsi="Calibri Light" w:cs="Calibri Light"/>
        </w:rPr>
        <w:t>.</w:t>
      </w:r>
    </w:p>
    <w:p w14:paraId="2925CDD3" w14:textId="09A17960" w:rsidR="00B52935" w:rsidRPr="00FF386D" w:rsidRDefault="00834E55">
      <w:pPr>
        <w:numPr>
          <w:ilvl w:val="0"/>
          <w:numId w:val="223"/>
        </w:numPr>
        <w:spacing w:line="259" w:lineRule="auto"/>
        <w:jc w:val="both"/>
        <w:rPr>
          <w:rFonts w:ascii="Calibri Light" w:eastAsia="Calibri" w:hAnsi="Calibri Light" w:cs="Calibri Light"/>
        </w:rPr>
      </w:pPr>
      <w:r w:rsidRPr="00834E55">
        <w:rPr>
          <w:rFonts w:ascii="Calibri Light" w:eastAsia="Calibri" w:hAnsi="Calibri Light" w:cs="Calibri Light"/>
        </w:rPr>
        <w:t xml:space="preserve">Најмање </w:t>
      </w:r>
      <w:r w:rsidR="00B52935" w:rsidRPr="00FF386D">
        <w:rPr>
          <w:rFonts w:ascii="Calibri Light" w:eastAsia="Calibri" w:hAnsi="Calibri Light" w:cs="Calibri Light"/>
        </w:rPr>
        <w:t>4</w:t>
      </w:r>
      <w:r w:rsidR="00810C57" w:rsidRPr="00FF386D">
        <w:rPr>
          <w:rFonts w:ascii="Calibri Light" w:eastAsia="Calibri" w:hAnsi="Calibri Light" w:cs="Calibri Light"/>
        </w:rPr>
        <w:t>1</w:t>
      </w:r>
      <w:r w:rsidR="00B52935" w:rsidRPr="00FF386D">
        <w:rPr>
          <w:rFonts w:ascii="Calibri Light" w:eastAsia="Calibri" w:hAnsi="Calibri Light" w:cs="Calibri Light"/>
        </w:rPr>
        <w:t>% у сектору грејања, углавном као резултат уградње топлотних пумпи и п</w:t>
      </w:r>
      <w:r w:rsidR="00531E82" w:rsidRPr="00FF386D">
        <w:rPr>
          <w:rFonts w:ascii="Calibri Light" w:eastAsia="Calibri" w:hAnsi="Calibri Light" w:cs="Calibri Light"/>
        </w:rPr>
        <w:t>одстицања</w:t>
      </w:r>
      <w:r w:rsidR="00B52935" w:rsidRPr="00FF386D">
        <w:rPr>
          <w:rFonts w:ascii="Calibri Light" w:eastAsia="Calibri" w:hAnsi="Calibri Light" w:cs="Calibri Light"/>
        </w:rPr>
        <w:t xml:space="preserve"> других врста ОИЕ у зградама, као што су соларна</w:t>
      </w:r>
      <w:r w:rsidR="00531E82" w:rsidRPr="00FF386D">
        <w:rPr>
          <w:rFonts w:ascii="Calibri Light" w:eastAsia="Calibri" w:hAnsi="Calibri Light" w:cs="Calibri Light"/>
        </w:rPr>
        <w:t>,</w:t>
      </w:r>
      <w:r w:rsidR="00B52935" w:rsidRPr="00FF386D">
        <w:rPr>
          <w:rFonts w:ascii="Calibri Light" w:eastAsia="Calibri" w:hAnsi="Calibri Light" w:cs="Calibri Light"/>
        </w:rPr>
        <w:t xml:space="preserve"> топлотна и геотермална енергија (</w:t>
      </w:r>
      <w:r w:rsidR="00C50B00">
        <w:rPr>
          <w:rFonts w:ascii="Calibri Light" w:eastAsia="Calibri" w:hAnsi="Calibri Light" w:cs="Calibri Light"/>
        </w:rPr>
        <w:fldChar w:fldCharType="begin"/>
      </w:r>
      <w:r w:rsidR="00C50B00">
        <w:rPr>
          <w:rFonts w:ascii="Calibri Light" w:eastAsia="Calibri" w:hAnsi="Calibri Light" w:cs="Calibri Light"/>
        </w:rPr>
        <w:instrText xml:space="preserve"> REF _Ref153887310 \h  \* MERGEFORMAT </w:instrText>
      </w:r>
      <w:r w:rsidR="00C50B00">
        <w:rPr>
          <w:rFonts w:ascii="Calibri Light" w:eastAsia="Calibri" w:hAnsi="Calibri Light" w:cs="Calibri Light"/>
        </w:rPr>
      </w:r>
      <w:r w:rsidR="00C50B00">
        <w:rPr>
          <w:rFonts w:ascii="Calibri Light" w:eastAsia="Calibri" w:hAnsi="Calibri Light" w:cs="Calibri Light"/>
        </w:rPr>
        <w:fldChar w:fldCharType="separate"/>
      </w:r>
      <w:r w:rsidR="00C50B00" w:rsidRPr="00565B02">
        <w:rPr>
          <w:rFonts w:ascii="Calibri Light" w:eastAsia="Calibri" w:hAnsi="Calibri Light" w:cs="Calibri Light"/>
        </w:rPr>
        <w:t>Слика 5.13</w:t>
      </w:r>
      <w:r w:rsidR="00C50B00">
        <w:rPr>
          <w:rFonts w:ascii="Calibri Light" w:eastAsia="Calibri" w:hAnsi="Calibri Light" w:cs="Calibri Light"/>
        </w:rPr>
        <w:fldChar w:fldCharType="end"/>
      </w:r>
      <w:r w:rsidR="00B52935" w:rsidRPr="00FF386D">
        <w:rPr>
          <w:rFonts w:ascii="Calibri Light" w:eastAsia="Calibri" w:hAnsi="Calibri Light" w:cs="Calibri Light"/>
        </w:rPr>
        <w:t>).</w:t>
      </w:r>
    </w:p>
    <w:p w14:paraId="2A55D1A6" w14:textId="7E2731FD" w:rsidR="00B52935" w:rsidRPr="00FF386D" w:rsidRDefault="00B52935" w:rsidP="00B52935">
      <w:pPr>
        <w:spacing w:line="259" w:lineRule="auto"/>
        <w:jc w:val="both"/>
        <w:rPr>
          <w:rFonts w:ascii="Calibri Light" w:eastAsia="Calibri" w:hAnsi="Calibri Light" w:cs="Calibri Light"/>
        </w:rPr>
      </w:pPr>
      <w:r w:rsidRPr="00FF386D">
        <w:rPr>
          <w:rFonts w:ascii="Calibri Light" w:eastAsia="Calibri" w:hAnsi="Calibri Light" w:cs="Calibri Light"/>
        </w:rPr>
        <w:t xml:space="preserve">У 2050. години, одговарајући удео ОИЕ у сценаријима </w:t>
      </w:r>
      <w:r w:rsidRPr="00FF386D">
        <w:rPr>
          <w:rFonts w:ascii="Calibri Light" w:eastAsia="Calibri" w:hAnsi="Calibri Light" w:cs="Calibri Light"/>
          <w:i/>
          <w:iCs/>
        </w:rPr>
        <w:t>S</w:t>
      </w:r>
      <w:r w:rsidRPr="00FF386D">
        <w:rPr>
          <w:rFonts w:ascii="Calibri Light" w:eastAsia="Calibri" w:hAnsi="Calibri Light" w:cs="Calibri Light"/>
        </w:rPr>
        <w:t xml:space="preserve"> и </w:t>
      </w:r>
      <w:r w:rsidRPr="00FF386D">
        <w:rPr>
          <w:rFonts w:ascii="Calibri Light" w:eastAsia="Calibri" w:hAnsi="Calibri Light" w:cs="Calibri Light"/>
          <w:i/>
          <w:iCs/>
        </w:rPr>
        <w:t>S-N</w:t>
      </w:r>
      <w:r w:rsidRPr="00FF386D">
        <w:rPr>
          <w:rFonts w:ascii="Calibri Light" w:eastAsia="Calibri" w:hAnsi="Calibri Light" w:cs="Calibri Light"/>
        </w:rPr>
        <w:t xml:space="preserve"> је знатно већи него у </w:t>
      </w:r>
      <w:r w:rsidRPr="00FF386D">
        <w:rPr>
          <w:rFonts w:ascii="Calibri Light" w:eastAsia="Calibri" w:hAnsi="Calibri Light" w:cs="Calibri Light"/>
          <w:i/>
        </w:rPr>
        <w:t>WEM</w:t>
      </w:r>
      <w:r w:rsidRPr="00FF386D">
        <w:rPr>
          <w:rFonts w:ascii="Calibri Light" w:eastAsia="Calibri" w:hAnsi="Calibri Light" w:cs="Calibri Light"/>
        </w:rPr>
        <w:t xml:space="preserve"> сценарију углавном због покретања додатних мера за </w:t>
      </w:r>
      <w:r w:rsidR="00531E82" w:rsidRPr="00FF386D">
        <w:rPr>
          <w:rFonts w:ascii="Calibri Light" w:eastAsia="Calibri" w:hAnsi="Calibri Light" w:cs="Calibri Light"/>
        </w:rPr>
        <w:t xml:space="preserve">подстицање </w:t>
      </w:r>
      <w:r w:rsidRPr="00FF386D">
        <w:rPr>
          <w:rFonts w:ascii="Calibri Light" w:eastAsia="Calibri" w:hAnsi="Calibri Light" w:cs="Calibri Light"/>
        </w:rPr>
        <w:t xml:space="preserve">ОИЕ </w:t>
      </w:r>
      <w:r w:rsidR="00531E82" w:rsidRPr="00FF386D">
        <w:rPr>
          <w:rFonts w:ascii="Calibri Light" w:eastAsia="Calibri" w:hAnsi="Calibri Light" w:cs="Calibri Light"/>
        </w:rPr>
        <w:t>за</w:t>
      </w:r>
      <w:r w:rsidRPr="00FF386D">
        <w:rPr>
          <w:rFonts w:ascii="Calibri Light" w:eastAsia="Calibri" w:hAnsi="Calibri Light" w:cs="Calibri Light"/>
        </w:rPr>
        <w:t>:</w:t>
      </w:r>
    </w:p>
    <w:p w14:paraId="39589769" w14:textId="0DC756D8" w:rsidR="00B52935" w:rsidRPr="00FF386D" w:rsidRDefault="00B52935">
      <w:pPr>
        <w:numPr>
          <w:ilvl w:val="0"/>
          <w:numId w:val="223"/>
        </w:numPr>
        <w:spacing w:line="259" w:lineRule="auto"/>
        <w:contextualSpacing/>
        <w:jc w:val="both"/>
        <w:rPr>
          <w:rFonts w:ascii="Calibri Light" w:eastAsia="Calibri" w:hAnsi="Calibri Light" w:cs="Calibri Light"/>
        </w:rPr>
      </w:pPr>
      <w:r w:rsidRPr="00FF386D">
        <w:rPr>
          <w:rFonts w:ascii="Calibri Light" w:eastAsia="Calibri" w:hAnsi="Calibri Light" w:cs="Calibri Light"/>
        </w:rPr>
        <w:t xml:space="preserve"> 9</w:t>
      </w:r>
      <w:r w:rsidR="00810C57" w:rsidRPr="00FF386D">
        <w:rPr>
          <w:rFonts w:ascii="Calibri Light" w:eastAsia="Calibri" w:hAnsi="Calibri Light" w:cs="Calibri Light"/>
        </w:rPr>
        <w:t>4</w:t>
      </w:r>
      <w:r w:rsidRPr="00FF386D">
        <w:rPr>
          <w:rFonts w:ascii="Calibri Light" w:eastAsia="Calibri" w:hAnsi="Calibri Light" w:cs="Calibri Light"/>
        </w:rPr>
        <w:t>% односно 8</w:t>
      </w:r>
      <w:r w:rsidR="00810C57" w:rsidRPr="00FF386D">
        <w:rPr>
          <w:rFonts w:ascii="Calibri Light" w:eastAsia="Calibri" w:hAnsi="Calibri Light" w:cs="Calibri Light"/>
        </w:rPr>
        <w:t>7</w:t>
      </w:r>
      <w:r w:rsidRPr="00FF386D">
        <w:rPr>
          <w:rFonts w:ascii="Calibri Light" w:eastAsia="Calibri" w:hAnsi="Calibri Light" w:cs="Calibri Light"/>
        </w:rPr>
        <w:t xml:space="preserve">% у сектору производње електричне енергије у сценаријима </w:t>
      </w:r>
      <w:r w:rsidRPr="00FF386D">
        <w:rPr>
          <w:rFonts w:ascii="Calibri Light" w:eastAsia="Calibri" w:hAnsi="Calibri Light" w:cs="Calibri Light"/>
          <w:i/>
          <w:iCs/>
        </w:rPr>
        <w:t xml:space="preserve">S </w:t>
      </w:r>
      <w:r w:rsidRPr="00FF386D">
        <w:rPr>
          <w:rFonts w:ascii="Calibri Light" w:eastAsia="Calibri" w:hAnsi="Calibri Light" w:cs="Calibri Light"/>
        </w:rPr>
        <w:t xml:space="preserve">односно </w:t>
      </w:r>
      <w:r w:rsidRPr="00FF386D">
        <w:rPr>
          <w:rFonts w:ascii="Calibri Light" w:eastAsia="Calibri" w:hAnsi="Calibri Light" w:cs="Calibri Light"/>
          <w:i/>
          <w:iCs/>
        </w:rPr>
        <w:t>S-N</w:t>
      </w:r>
      <w:r w:rsidRPr="00FF386D">
        <w:rPr>
          <w:rFonts w:ascii="Calibri Light" w:eastAsia="Calibri" w:hAnsi="Calibri Light" w:cs="Calibri Light"/>
        </w:rPr>
        <w:t>.</w:t>
      </w:r>
    </w:p>
    <w:p w14:paraId="16B56346" w14:textId="50272ECD" w:rsidR="00B52935" w:rsidRPr="00FF386D" w:rsidRDefault="00B52935">
      <w:pPr>
        <w:numPr>
          <w:ilvl w:val="0"/>
          <w:numId w:val="223"/>
        </w:numPr>
        <w:spacing w:line="259" w:lineRule="auto"/>
        <w:contextualSpacing/>
        <w:jc w:val="both"/>
        <w:rPr>
          <w:rFonts w:ascii="Calibri Light" w:eastAsia="Calibri" w:hAnsi="Calibri Light" w:cs="Calibri Light"/>
        </w:rPr>
      </w:pPr>
      <w:r w:rsidRPr="00FF386D">
        <w:rPr>
          <w:rFonts w:ascii="Calibri Light" w:eastAsia="Calibri" w:hAnsi="Calibri Light" w:cs="Calibri Light"/>
        </w:rPr>
        <w:t xml:space="preserve"> </w:t>
      </w:r>
      <w:r w:rsidR="00810C57" w:rsidRPr="00FF386D">
        <w:rPr>
          <w:rFonts w:ascii="Calibri Light" w:eastAsia="Calibri" w:hAnsi="Calibri Light" w:cs="Calibri Light"/>
        </w:rPr>
        <w:t>45</w:t>
      </w:r>
      <w:r w:rsidRPr="00FF386D">
        <w:rPr>
          <w:rFonts w:ascii="Calibri Light" w:eastAsia="Calibri" w:hAnsi="Calibri Light" w:cs="Calibri Light"/>
        </w:rPr>
        <w:t xml:space="preserve">% односно </w:t>
      </w:r>
      <w:r w:rsidR="00810C57" w:rsidRPr="00FF386D">
        <w:rPr>
          <w:rFonts w:ascii="Calibri Light" w:eastAsia="Calibri" w:hAnsi="Calibri Light" w:cs="Calibri Light"/>
        </w:rPr>
        <w:t>49</w:t>
      </w:r>
      <w:r w:rsidRPr="00FF386D">
        <w:rPr>
          <w:rFonts w:ascii="Calibri Light" w:eastAsia="Calibri" w:hAnsi="Calibri Light" w:cs="Calibri Light"/>
        </w:rPr>
        <w:t xml:space="preserve">% у сектору </w:t>
      </w:r>
      <w:r w:rsidR="00810C57" w:rsidRPr="00FF386D">
        <w:rPr>
          <w:rFonts w:ascii="Calibri Light" w:eastAsia="Calibri" w:hAnsi="Calibri Light" w:cs="Calibri Light"/>
        </w:rPr>
        <w:t>саобраћаја</w:t>
      </w:r>
      <w:r w:rsidRPr="00FF386D">
        <w:rPr>
          <w:rFonts w:ascii="Calibri Light" w:eastAsia="Calibri" w:hAnsi="Calibri Light" w:cs="Calibri Light"/>
        </w:rPr>
        <w:t xml:space="preserve"> (без мултипликатора) у сценаријима </w:t>
      </w:r>
      <w:r w:rsidRPr="00FF386D">
        <w:rPr>
          <w:rFonts w:ascii="Calibri Light" w:eastAsia="Calibri" w:hAnsi="Calibri Light" w:cs="Calibri Light"/>
          <w:i/>
          <w:iCs/>
        </w:rPr>
        <w:t>S</w:t>
      </w:r>
      <w:r w:rsidRPr="00FF386D">
        <w:rPr>
          <w:rFonts w:ascii="Calibri Light" w:eastAsia="Calibri" w:hAnsi="Calibri Light" w:cs="Calibri Light"/>
        </w:rPr>
        <w:t xml:space="preserve"> односно </w:t>
      </w:r>
      <w:r w:rsidRPr="00FF386D">
        <w:rPr>
          <w:rFonts w:ascii="Calibri Light" w:eastAsia="Calibri" w:hAnsi="Calibri Light" w:cs="Calibri Light"/>
          <w:i/>
          <w:iCs/>
        </w:rPr>
        <w:t>S-N</w:t>
      </w:r>
      <w:r w:rsidRPr="00FF386D">
        <w:rPr>
          <w:rFonts w:ascii="Calibri Light" w:eastAsia="Calibri" w:hAnsi="Calibri Light" w:cs="Calibri Light"/>
        </w:rPr>
        <w:t>.</w:t>
      </w:r>
    </w:p>
    <w:p w14:paraId="47AE3CE3" w14:textId="59EC3F1E" w:rsidR="00B52935" w:rsidRPr="00FF386D" w:rsidRDefault="00B52935">
      <w:pPr>
        <w:numPr>
          <w:ilvl w:val="0"/>
          <w:numId w:val="223"/>
        </w:numPr>
        <w:spacing w:line="259" w:lineRule="auto"/>
        <w:contextualSpacing/>
        <w:jc w:val="both"/>
        <w:rPr>
          <w:rFonts w:ascii="Calibri Light" w:eastAsia="Calibri" w:hAnsi="Calibri Light" w:cs="Calibri Light"/>
        </w:rPr>
      </w:pPr>
      <w:r w:rsidRPr="00FF386D">
        <w:rPr>
          <w:rFonts w:ascii="Calibri Light" w:eastAsia="Calibri" w:hAnsi="Calibri Light" w:cs="Calibri Light"/>
        </w:rPr>
        <w:t xml:space="preserve"> </w:t>
      </w:r>
      <w:r w:rsidR="00810C57" w:rsidRPr="00FF386D">
        <w:rPr>
          <w:rFonts w:ascii="Calibri Light" w:eastAsia="Calibri" w:hAnsi="Calibri Light" w:cs="Calibri Light"/>
        </w:rPr>
        <w:t>39</w:t>
      </w:r>
      <w:r w:rsidRPr="00FF386D">
        <w:rPr>
          <w:rFonts w:ascii="Calibri Light" w:eastAsia="Calibri" w:hAnsi="Calibri Light" w:cs="Calibri Light"/>
        </w:rPr>
        <w:t xml:space="preserve">% у сектору грејања у оба сценарија </w:t>
      </w:r>
      <w:r w:rsidRPr="00FF386D">
        <w:rPr>
          <w:rFonts w:ascii="Calibri Light" w:eastAsia="Calibri" w:hAnsi="Calibri Light" w:cs="Calibri Light"/>
          <w:i/>
          <w:iCs/>
        </w:rPr>
        <w:t>S</w:t>
      </w:r>
      <w:r w:rsidRPr="00FF386D">
        <w:rPr>
          <w:rFonts w:ascii="Calibri Light" w:eastAsia="Calibri" w:hAnsi="Calibri Light" w:cs="Calibri Light"/>
        </w:rPr>
        <w:t xml:space="preserve"> и </w:t>
      </w:r>
      <w:r w:rsidRPr="00FF386D">
        <w:rPr>
          <w:rFonts w:ascii="Calibri Light" w:eastAsia="Calibri" w:hAnsi="Calibri Light" w:cs="Calibri Light"/>
          <w:i/>
          <w:iCs/>
        </w:rPr>
        <w:t>S-N</w:t>
      </w:r>
      <w:r w:rsidRPr="00FF386D">
        <w:rPr>
          <w:rFonts w:ascii="Calibri Light" w:eastAsia="Calibri" w:hAnsi="Calibri Light" w:cs="Calibri Light"/>
        </w:rPr>
        <w:t>.</w:t>
      </w:r>
    </w:p>
    <w:p w14:paraId="02629CBF" w14:textId="61580897" w:rsidR="00B52935" w:rsidRPr="00FF386D" w:rsidRDefault="00B52935" w:rsidP="00B52935">
      <w:pPr>
        <w:spacing w:before="120" w:after="120" w:line="240" w:lineRule="auto"/>
        <w:jc w:val="both"/>
        <w:rPr>
          <w:rFonts w:ascii="Calibri Light" w:eastAsia="Calibri" w:hAnsi="Calibri Light" w:cs="Calibri Light"/>
        </w:rPr>
      </w:pPr>
      <w:r w:rsidRPr="00FF386D">
        <w:rPr>
          <w:rFonts w:ascii="Calibri Light" w:eastAsia="Calibri" w:hAnsi="Calibri Light" w:cs="Calibri Light"/>
        </w:rPr>
        <w:t xml:space="preserve">Треба напоменути да сценарио </w:t>
      </w:r>
      <w:r w:rsidRPr="00FF386D">
        <w:rPr>
          <w:rFonts w:ascii="Calibri Light" w:eastAsia="Calibri" w:hAnsi="Calibri Light" w:cs="Calibri Light"/>
          <w:i/>
          <w:iCs/>
          <w:lang w:eastAsia="el-GR"/>
        </w:rPr>
        <w:t>S</w:t>
      </w:r>
      <w:r w:rsidRPr="00FF386D">
        <w:rPr>
          <w:rFonts w:ascii="Calibri Light" w:eastAsia="Calibri" w:hAnsi="Calibri Light" w:cs="Calibri Light"/>
        </w:rPr>
        <w:t xml:space="preserve"> доводи до веће употребе ОИЕ у бруто финалној потрошњи енергије до 2050. године због повећане промоције ОИЕ у сектору производње електричне енергије и </w:t>
      </w:r>
      <w:r w:rsidR="00531E82" w:rsidRPr="00FF386D">
        <w:rPr>
          <w:rFonts w:ascii="Calibri Light" w:eastAsia="Calibri" w:hAnsi="Calibri Light" w:cs="Calibri Light"/>
        </w:rPr>
        <w:t>саобраћаја</w:t>
      </w:r>
      <w:r w:rsidRPr="00FF386D">
        <w:rPr>
          <w:rFonts w:ascii="Calibri Light" w:eastAsia="Calibri" w:hAnsi="Calibri Light" w:cs="Calibri Light"/>
        </w:rPr>
        <w:t>.</w:t>
      </w:r>
    </w:p>
    <w:p w14:paraId="6EDA3090" w14:textId="77777777" w:rsidR="0092740C" w:rsidRPr="00FF386D" w:rsidRDefault="0092740C" w:rsidP="00B52935">
      <w:pPr>
        <w:spacing w:before="120" w:after="120" w:line="240" w:lineRule="auto"/>
        <w:jc w:val="both"/>
        <w:rPr>
          <w:rFonts w:ascii="Calibri Light" w:eastAsia="Times New Roman" w:hAnsi="Calibri Light" w:cs="Calibri Light"/>
          <w:lang w:eastAsia="el-GR"/>
        </w:rPr>
      </w:pPr>
    </w:p>
    <w:bookmarkEnd w:id="374"/>
    <w:p w14:paraId="23846C8E" w14:textId="2277AAB4" w:rsidR="00C50B00" w:rsidRDefault="00C50B00" w:rsidP="00217053">
      <w:pPr>
        <w:spacing w:after="200" w:line="240" w:lineRule="auto"/>
        <w:jc w:val="center"/>
      </w:pPr>
    </w:p>
    <w:p w14:paraId="2A4551D0" w14:textId="26A0BF69" w:rsidR="00C50B00" w:rsidRPr="00C50B00" w:rsidRDefault="00C50B00" w:rsidP="00565B02">
      <w:pPr>
        <w:pStyle w:val="Caption"/>
        <w:keepNext/>
      </w:pPr>
      <w:bookmarkStart w:id="375" w:name="_Ref153886886"/>
      <w:bookmarkStart w:id="376" w:name="_Toc153901422"/>
      <w:r>
        <w:lastRenderedPageBreak/>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10</w:t>
      </w:r>
      <w:r w:rsidR="00F35B2C">
        <w:fldChar w:fldCharType="end"/>
      </w:r>
      <w:bookmarkEnd w:id="375"/>
      <w:r>
        <w:t xml:space="preserve">: </w:t>
      </w:r>
      <w:r w:rsidRPr="00C50B00">
        <w:t>Удео ОИЕ у бруто финалној потрошњи енергије</w:t>
      </w:r>
      <w:bookmarkEnd w:id="376"/>
    </w:p>
    <w:p w14:paraId="2503B9FD" w14:textId="57BA3201" w:rsidR="00217053" w:rsidRPr="00FF386D" w:rsidRDefault="00C50B00" w:rsidP="00217053">
      <w:pPr>
        <w:spacing w:after="200" w:line="240" w:lineRule="auto"/>
        <w:jc w:val="center"/>
        <w:rPr>
          <w:rFonts w:ascii="Calibri Light" w:eastAsia="Calibri" w:hAnsi="Calibri Light" w:cs="Times New Roman"/>
          <w:b/>
          <w:bCs/>
          <w:iCs/>
          <w:color w:val="01406B"/>
          <w:lang w:eastAsia="el-GR"/>
        </w:rPr>
      </w:pPr>
      <w:r>
        <w:rPr>
          <w:noProof/>
          <w:lang w:val="en-US"/>
        </w:rPr>
        <mc:AlternateContent>
          <mc:Choice Requires="wps">
            <w:drawing>
              <wp:anchor distT="0" distB="0" distL="114300" distR="114300" simplePos="0" relativeHeight="251772928" behindDoc="0" locked="0" layoutInCell="1" allowOverlap="1" wp14:anchorId="40CB45B2" wp14:editId="5EE0C579">
                <wp:simplePos x="0" y="0"/>
                <wp:positionH relativeFrom="column">
                  <wp:posOffset>743111</wp:posOffset>
                </wp:positionH>
                <wp:positionV relativeFrom="paragraph">
                  <wp:posOffset>361315</wp:posOffset>
                </wp:positionV>
                <wp:extent cx="3063240" cy="2412365"/>
                <wp:effectExtent l="0" t="0" r="3810" b="6985"/>
                <wp:wrapNone/>
                <wp:docPr id="548280609" name="Text Box 548280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3240" cy="2412365"/>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46172627" id="Text Box 548280609" o:spid="_x0000_s1026" type="#_x0000_t202" style="position:absolute;margin-left:58.5pt;margin-top:28.45pt;width:241.2pt;height:189.9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" fillcolor="#a6a6a6" stroked="f">
                <v:fill opacity="32896f"/>
              </v:shape>
            </w:pict>
          </mc:Fallback>
        </mc:AlternateContent>
      </w:r>
      <w:r w:rsidR="00217053" w:rsidRPr="004F53D7">
        <w:rPr>
          <w:rFonts w:ascii="Calibri Light" w:eastAsia="Calibri" w:hAnsi="Calibri Light" w:cs="Times New Roman"/>
          <w:b/>
          <w:bCs/>
          <w:iCs/>
          <w:noProof/>
          <w:color w:val="01406B"/>
          <w:lang w:val="en-US"/>
        </w:rPr>
        <w:drawing>
          <wp:inline distT="0" distB="0" distL="0" distR="0" wp14:anchorId="5B6CB6AA" wp14:editId="175F1421">
            <wp:extent cx="5807603" cy="3514086"/>
            <wp:effectExtent l="0" t="0" r="0" b="0"/>
            <wp:docPr id="1170145653" name="Picture 1170145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830044" cy="3527664"/>
                    </a:xfrm>
                    <a:prstGeom prst="rect">
                      <a:avLst/>
                    </a:prstGeom>
                    <a:noFill/>
                  </pic:spPr>
                </pic:pic>
              </a:graphicData>
            </a:graphic>
          </wp:inline>
        </w:drawing>
      </w:r>
    </w:p>
    <w:p w14:paraId="3325ABCB" w14:textId="2DB18752" w:rsidR="00C50B00" w:rsidRPr="00C50B00" w:rsidRDefault="00C50B00" w:rsidP="00565B02">
      <w:bookmarkStart w:id="377" w:name="_Ref153887021"/>
      <w:bookmarkStart w:id="378" w:name="_Toc153901423"/>
      <w:r w:rsidRPr="00C50B00">
        <w:rPr>
          <w:rFonts w:ascii="Calibri Light" w:hAnsi="Calibri Light" w:cs="Times New Roman"/>
          <w:b/>
          <w:bCs/>
          <w:color w:val="01406B"/>
        </w:rPr>
        <w:t xml:space="preserve">Слика </w:t>
      </w:r>
      <w:r w:rsidR="00F35B2C">
        <w:rPr>
          <w:rFonts w:ascii="Calibri Light" w:hAnsi="Calibri Light" w:cs="Times New Roman"/>
          <w:b/>
          <w:bCs/>
          <w:color w:val="01406B"/>
        </w:rPr>
        <w:fldChar w:fldCharType="begin"/>
      </w:r>
      <w:r w:rsidR="00F35B2C">
        <w:rPr>
          <w:rFonts w:ascii="Calibri Light" w:hAnsi="Calibri Light" w:cs="Times New Roman"/>
          <w:b/>
          <w:bCs/>
          <w:color w:val="01406B"/>
        </w:rPr>
        <w:instrText xml:space="preserve"> STYLEREF 1 \s </w:instrText>
      </w:r>
      <w:r w:rsidR="00F35B2C">
        <w:rPr>
          <w:rFonts w:ascii="Calibri Light" w:hAnsi="Calibri Light" w:cs="Times New Roman"/>
          <w:b/>
          <w:bCs/>
          <w:color w:val="01406B"/>
        </w:rPr>
        <w:fldChar w:fldCharType="separate"/>
      </w:r>
      <w:r w:rsidR="00F35B2C">
        <w:rPr>
          <w:rFonts w:ascii="Calibri Light" w:hAnsi="Calibri Light" w:cs="Times New Roman"/>
          <w:b/>
          <w:bCs/>
          <w:noProof/>
          <w:color w:val="01406B"/>
        </w:rPr>
        <w:t>5</w:t>
      </w:r>
      <w:r w:rsidR="00F35B2C">
        <w:rPr>
          <w:rFonts w:ascii="Calibri Light" w:hAnsi="Calibri Light" w:cs="Times New Roman"/>
          <w:b/>
          <w:bCs/>
          <w:color w:val="01406B"/>
        </w:rPr>
        <w:fldChar w:fldCharType="end"/>
      </w:r>
      <w:r w:rsidR="00F35B2C">
        <w:rPr>
          <w:rFonts w:ascii="Calibri Light" w:hAnsi="Calibri Light" w:cs="Times New Roman"/>
          <w:b/>
          <w:bCs/>
          <w:color w:val="01406B"/>
        </w:rPr>
        <w:t>.</w:t>
      </w:r>
      <w:r w:rsidR="00F35B2C">
        <w:rPr>
          <w:rFonts w:ascii="Calibri Light" w:hAnsi="Calibri Light" w:cs="Times New Roman"/>
          <w:b/>
          <w:bCs/>
          <w:color w:val="01406B"/>
        </w:rPr>
        <w:fldChar w:fldCharType="begin"/>
      </w:r>
      <w:r w:rsidR="00F35B2C">
        <w:rPr>
          <w:rFonts w:ascii="Calibri Light" w:hAnsi="Calibri Light" w:cs="Times New Roman"/>
          <w:b/>
          <w:bCs/>
          <w:color w:val="01406B"/>
        </w:rPr>
        <w:instrText xml:space="preserve"> SEQ Слика \* ARABIC \s 1 </w:instrText>
      </w:r>
      <w:r w:rsidR="00F35B2C">
        <w:rPr>
          <w:rFonts w:ascii="Calibri Light" w:hAnsi="Calibri Light" w:cs="Times New Roman"/>
          <w:b/>
          <w:bCs/>
          <w:color w:val="01406B"/>
        </w:rPr>
        <w:fldChar w:fldCharType="separate"/>
      </w:r>
      <w:r w:rsidR="00F35B2C">
        <w:rPr>
          <w:rFonts w:ascii="Calibri Light" w:hAnsi="Calibri Light" w:cs="Times New Roman"/>
          <w:b/>
          <w:bCs/>
          <w:noProof/>
          <w:color w:val="01406B"/>
        </w:rPr>
        <w:t>11</w:t>
      </w:r>
      <w:r w:rsidR="00F35B2C">
        <w:rPr>
          <w:rFonts w:ascii="Calibri Light" w:hAnsi="Calibri Light" w:cs="Times New Roman"/>
          <w:b/>
          <w:bCs/>
          <w:color w:val="01406B"/>
        </w:rPr>
        <w:fldChar w:fldCharType="end"/>
      </w:r>
      <w:bookmarkEnd w:id="377"/>
      <w:r w:rsidRPr="00C50B00">
        <w:rPr>
          <w:rFonts w:ascii="Calibri Light" w:hAnsi="Calibri Light" w:cs="Times New Roman"/>
          <w:b/>
          <w:bCs/>
          <w:color w:val="01406B"/>
        </w:rPr>
        <w:t>: Удео ОИЕ у производњи електричне енергије</w:t>
      </w:r>
      <w:bookmarkEnd w:id="378"/>
    </w:p>
    <w:p w14:paraId="398A47DF" w14:textId="17D46A8D" w:rsidR="00B92C50" w:rsidRPr="00FF386D" w:rsidRDefault="00C50B00" w:rsidP="00B92C50">
      <w:pPr>
        <w:jc w:val="center"/>
        <w:rPr>
          <w:rFonts w:ascii="Calibri" w:eastAsia="Calibri" w:hAnsi="Calibri" w:cs="Times New Roman"/>
          <w:lang w:eastAsia="el-GR" w:bidi="sr-Cyrl-CS"/>
        </w:rPr>
      </w:pPr>
      <w:r>
        <w:rPr>
          <w:noProof/>
          <w:lang w:val="en-US"/>
        </w:rPr>
        <mc:AlternateContent>
          <mc:Choice Requires="wps">
            <w:drawing>
              <wp:anchor distT="0" distB="0" distL="114300" distR="114300" simplePos="0" relativeHeight="251776000" behindDoc="0" locked="0" layoutInCell="1" allowOverlap="1" wp14:anchorId="3B7295BD" wp14:editId="22D62ACB">
                <wp:simplePos x="0" y="0"/>
                <wp:positionH relativeFrom="column">
                  <wp:posOffset>791210</wp:posOffset>
                </wp:positionH>
                <wp:positionV relativeFrom="paragraph">
                  <wp:posOffset>318410</wp:posOffset>
                </wp:positionV>
                <wp:extent cx="3063240" cy="2381885"/>
                <wp:effectExtent l="0" t="0" r="0" b="0"/>
                <wp:wrapNone/>
                <wp:docPr id="432779985" name="Text Box 4327799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3240" cy="2381885"/>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07BC8A40" id="Text Box 432779985" o:spid="_x0000_s1026" type="#_x0000_t202" style="position:absolute;margin-left:62.3pt;margin-top:25.05pt;width:241.2pt;height:187.5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" fillcolor="#a6a6a6" stroked="f">
                <v:fill opacity="32896f"/>
              </v:shape>
            </w:pict>
          </mc:Fallback>
        </mc:AlternateContent>
      </w:r>
      <w:r w:rsidR="00F5587C" w:rsidRPr="004F53D7">
        <w:rPr>
          <w:rFonts w:ascii="Calibri" w:eastAsia="Calibri" w:hAnsi="Calibri" w:cs="Times New Roman"/>
          <w:noProof/>
          <w:lang w:val="en-US"/>
        </w:rPr>
        <w:drawing>
          <wp:inline distT="0" distB="0" distL="0" distR="0" wp14:anchorId="37FC7A8B" wp14:editId="5FF53E6B">
            <wp:extent cx="5661025" cy="3419910"/>
            <wp:effectExtent l="0" t="0" r="0" b="0"/>
            <wp:docPr id="1111263670" name="Picture 1111263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77918" cy="3430115"/>
                    </a:xfrm>
                    <a:prstGeom prst="rect">
                      <a:avLst/>
                    </a:prstGeom>
                    <a:noFill/>
                  </pic:spPr>
                </pic:pic>
              </a:graphicData>
            </a:graphic>
          </wp:inline>
        </w:drawing>
      </w:r>
    </w:p>
    <w:p w14:paraId="653A9549" w14:textId="525A3C05" w:rsidR="00C50B00" w:rsidRPr="00C50B00" w:rsidRDefault="00C50B00" w:rsidP="00565B02">
      <w:pPr>
        <w:keepNext/>
        <w:spacing w:after="200" w:line="240" w:lineRule="auto"/>
      </w:pPr>
      <w:bookmarkStart w:id="379" w:name="_Ref153887107"/>
      <w:bookmarkStart w:id="380" w:name="_Toc153901424"/>
      <w:r w:rsidRPr="00C50B00">
        <w:rPr>
          <w:rFonts w:ascii="Calibri Light" w:hAnsi="Calibri Light" w:cs="Times New Roman"/>
          <w:b/>
          <w:bCs/>
          <w:color w:val="01406B"/>
        </w:rPr>
        <w:lastRenderedPageBreak/>
        <w:t xml:space="preserve">Слика </w:t>
      </w:r>
      <w:r w:rsidR="00F35B2C">
        <w:rPr>
          <w:rFonts w:ascii="Calibri Light" w:hAnsi="Calibri Light" w:cs="Times New Roman"/>
          <w:b/>
          <w:bCs/>
          <w:color w:val="01406B"/>
        </w:rPr>
        <w:fldChar w:fldCharType="begin"/>
      </w:r>
      <w:r w:rsidR="00F35B2C">
        <w:rPr>
          <w:rFonts w:ascii="Calibri Light" w:hAnsi="Calibri Light" w:cs="Times New Roman"/>
          <w:b/>
          <w:bCs/>
          <w:color w:val="01406B"/>
        </w:rPr>
        <w:instrText xml:space="preserve"> STYLEREF 1 \s </w:instrText>
      </w:r>
      <w:r w:rsidR="00F35B2C">
        <w:rPr>
          <w:rFonts w:ascii="Calibri Light" w:hAnsi="Calibri Light" w:cs="Times New Roman"/>
          <w:b/>
          <w:bCs/>
          <w:color w:val="01406B"/>
        </w:rPr>
        <w:fldChar w:fldCharType="separate"/>
      </w:r>
      <w:r w:rsidR="00F35B2C">
        <w:rPr>
          <w:rFonts w:ascii="Calibri Light" w:hAnsi="Calibri Light" w:cs="Times New Roman"/>
          <w:b/>
          <w:bCs/>
          <w:noProof/>
          <w:color w:val="01406B"/>
        </w:rPr>
        <w:t>5</w:t>
      </w:r>
      <w:r w:rsidR="00F35B2C">
        <w:rPr>
          <w:rFonts w:ascii="Calibri Light" w:hAnsi="Calibri Light" w:cs="Times New Roman"/>
          <w:b/>
          <w:bCs/>
          <w:color w:val="01406B"/>
        </w:rPr>
        <w:fldChar w:fldCharType="end"/>
      </w:r>
      <w:r w:rsidR="00F35B2C">
        <w:rPr>
          <w:rFonts w:ascii="Calibri Light" w:hAnsi="Calibri Light" w:cs="Times New Roman"/>
          <w:b/>
          <w:bCs/>
          <w:color w:val="01406B"/>
        </w:rPr>
        <w:t>.</w:t>
      </w:r>
      <w:r w:rsidR="00F35B2C">
        <w:rPr>
          <w:rFonts w:ascii="Calibri Light" w:hAnsi="Calibri Light" w:cs="Times New Roman"/>
          <w:b/>
          <w:bCs/>
          <w:color w:val="01406B"/>
        </w:rPr>
        <w:fldChar w:fldCharType="begin"/>
      </w:r>
      <w:r w:rsidR="00F35B2C">
        <w:rPr>
          <w:rFonts w:ascii="Calibri Light" w:hAnsi="Calibri Light" w:cs="Times New Roman"/>
          <w:b/>
          <w:bCs/>
          <w:color w:val="01406B"/>
        </w:rPr>
        <w:instrText xml:space="preserve"> SEQ Слика \* ARABIC \s 1 </w:instrText>
      </w:r>
      <w:r w:rsidR="00F35B2C">
        <w:rPr>
          <w:rFonts w:ascii="Calibri Light" w:hAnsi="Calibri Light" w:cs="Times New Roman"/>
          <w:b/>
          <w:bCs/>
          <w:color w:val="01406B"/>
        </w:rPr>
        <w:fldChar w:fldCharType="separate"/>
      </w:r>
      <w:r w:rsidR="00F35B2C">
        <w:rPr>
          <w:rFonts w:ascii="Calibri Light" w:hAnsi="Calibri Light" w:cs="Times New Roman"/>
          <w:b/>
          <w:bCs/>
          <w:noProof/>
          <w:color w:val="01406B"/>
        </w:rPr>
        <w:t>12</w:t>
      </w:r>
      <w:r w:rsidR="00F35B2C">
        <w:rPr>
          <w:rFonts w:ascii="Calibri Light" w:hAnsi="Calibri Light" w:cs="Times New Roman"/>
          <w:b/>
          <w:bCs/>
          <w:color w:val="01406B"/>
        </w:rPr>
        <w:fldChar w:fldCharType="end"/>
      </w:r>
      <w:bookmarkEnd w:id="379"/>
      <w:r w:rsidRPr="00C50B00">
        <w:rPr>
          <w:rFonts w:ascii="Calibri Light" w:hAnsi="Calibri Light" w:cs="Times New Roman"/>
          <w:b/>
          <w:bCs/>
          <w:color w:val="01406B"/>
        </w:rPr>
        <w:t>: Удео ОИЕ у сектору саобраћаја (без мултипликатора)</w:t>
      </w:r>
      <w:bookmarkEnd w:id="380"/>
    </w:p>
    <w:p w14:paraId="0DA7B075" w14:textId="6F6D5841" w:rsidR="00B92C50" w:rsidRPr="00FF386D" w:rsidRDefault="00C50B00" w:rsidP="00F5587C">
      <w:pPr>
        <w:keepNext/>
        <w:spacing w:after="200" w:line="240" w:lineRule="auto"/>
        <w:jc w:val="center"/>
        <w:rPr>
          <w:rFonts w:ascii="Calibri Light" w:eastAsia="Calibri" w:hAnsi="Calibri Light" w:cs="Times New Roman"/>
          <w:b/>
          <w:bCs/>
          <w:iCs/>
          <w:color w:val="01406B"/>
          <w:lang w:eastAsia="el-GR" w:bidi="sr-Cyrl-CS"/>
        </w:rPr>
      </w:pPr>
      <w:r w:rsidRPr="00565B02">
        <w:rPr>
          <w:rFonts w:ascii="Calibri Light" w:hAnsi="Calibri Light" w:cs="Times New Roman"/>
          <w:b/>
          <w:bCs/>
          <w:noProof/>
          <w:color w:val="01406B"/>
        </w:rPr>
        <mc:AlternateContent>
          <mc:Choice Requires="wps">
            <w:drawing>
              <wp:anchor distT="0" distB="0" distL="114300" distR="114300" simplePos="0" relativeHeight="251778048" behindDoc="0" locked="0" layoutInCell="1" allowOverlap="1" wp14:anchorId="14420E1E" wp14:editId="27F4A2A4">
                <wp:simplePos x="0" y="0"/>
                <wp:positionH relativeFrom="column">
                  <wp:posOffset>801635</wp:posOffset>
                </wp:positionH>
                <wp:positionV relativeFrom="paragraph">
                  <wp:posOffset>667594</wp:posOffset>
                </wp:positionV>
                <wp:extent cx="2941320" cy="2000695"/>
                <wp:effectExtent l="0" t="0" r="0" b="0"/>
                <wp:wrapNone/>
                <wp:docPr id="923006139" name="Text Box 923006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1320" cy="2000695"/>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190B81BB" id="Text Box 923006139" o:spid="_x0000_s1026" type="#_x0000_t202" style="position:absolute;margin-left:63.1pt;margin-top:52.55pt;width:231.6pt;height:157.5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" fillcolor="#a6a6a6" stroked="f">
                <v:fill opacity="32896f"/>
              </v:shape>
            </w:pict>
          </mc:Fallback>
        </mc:AlternateContent>
      </w:r>
      <w:r w:rsidR="00F5587C" w:rsidRPr="004F53D7">
        <w:rPr>
          <w:rFonts w:ascii="Calibri Light" w:eastAsia="Calibri" w:hAnsi="Calibri Light" w:cs="Times New Roman"/>
          <w:b/>
          <w:bCs/>
          <w:iCs/>
          <w:noProof/>
          <w:color w:val="01406B"/>
          <w:lang w:val="en-US"/>
        </w:rPr>
        <w:drawing>
          <wp:inline distT="0" distB="0" distL="0" distR="0" wp14:anchorId="154367C0" wp14:editId="6AA70C7C">
            <wp:extent cx="5579029" cy="3380254"/>
            <wp:effectExtent l="0" t="0" r="0" b="0"/>
            <wp:docPr id="205551777" name="Picture 20555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95840" cy="3390439"/>
                    </a:xfrm>
                    <a:prstGeom prst="rect">
                      <a:avLst/>
                    </a:prstGeom>
                    <a:noFill/>
                  </pic:spPr>
                </pic:pic>
              </a:graphicData>
            </a:graphic>
          </wp:inline>
        </w:drawing>
      </w:r>
    </w:p>
    <w:p w14:paraId="0D1C59FB" w14:textId="67798388" w:rsidR="00C50B00" w:rsidRPr="00C50B00" w:rsidRDefault="00C50B00" w:rsidP="00565B02">
      <w:bookmarkStart w:id="381" w:name="_Ref153887310"/>
      <w:bookmarkStart w:id="382" w:name="_Toc153901425"/>
      <w:r w:rsidRPr="00C50B00">
        <w:rPr>
          <w:rFonts w:ascii="Calibri Light" w:hAnsi="Calibri Light" w:cs="Times New Roman"/>
          <w:b/>
          <w:bCs/>
          <w:color w:val="01406B"/>
        </w:rPr>
        <w:t xml:space="preserve">Слика </w:t>
      </w:r>
      <w:r w:rsidR="00F35B2C">
        <w:rPr>
          <w:rFonts w:ascii="Calibri Light" w:hAnsi="Calibri Light" w:cs="Times New Roman"/>
          <w:b/>
          <w:bCs/>
          <w:color w:val="01406B"/>
        </w:rPr>
        <w:fldChar w:fldCharType="begin"/>
      </w:r>
      <w:r w:rsidR="00F35B2C">
        <w:rPr>
          <w:rFonts w:ascii="Calibri Light" w:hAnsi="Calibri Light" w:cs="Times New Roman"/>
          <w:b/>
          <w:bCs/>
          <w:color w:val="01406B"/>
        </w:rPr>
        <w:instrText xml:space="preserve"> STYLEREF 1 \s </w:instrText>
      </w:r>
      <w:r w:rsidR="00F35B2C">
        <w:rPr>
          <w:rFonts w:ascii="Calibri Light" w:hAnsi="Calibri Light" w:cs="Times New Roman"/>
          <w:b/>
          <w:bCs/>
          <w:color w:val="01406B"/>
        </w:rPr>
        <w:fldChar w:fldCharType="separate"/>
      </w:r>
      <w:r w:rsidR="00F35B2C">
        <w:rPr>
          <w:rFonts w:ascii="Calibri Light" w:hAnsi="Calibri Light" w:cs="Times New Roman"/>
          <w:b/>
          <w:bCs/>
          <w:noProof/>
          <w:color w:val="01406B"/>
        </w:rPr>
        <w:t>5</w:t>
      </w:r>
      <w:r w:rsidR="00F35B2C">
        <w:rPr>
          <w:rFonts w:ascii="Calibri Light" w:hAnsi="Calibri Light" w:cs="Times New Roman"/>
          <w:b/>
          <w:bCs/>
          <w:color w:val="01406B"/>
        </w:rPr>
        <w:fldChar w:fldCharType="end"/>
      </w:r>
      <w:r w:rsidR="00F35B2C">
        <w:rPr>
          <w:rFonts w:ascii="Calibri Light" w:hAnsi="Calibri Light" w:cs="Times New Roman"/>
          <w:b/>
          <w:bCs/>
          <w:color w:val="01406B"/>
        </w:rPr>
        <w:t>.</w:t>
      </w:r>
      <w:r w:rsidR="00F35B2C">
        <w:rPr>
          <w:rFonts w:ascii="Calibri Light" w:hAnsi="Calibri Light" w:cs="Times New Roman"/>
          <w:b/>
          <w:bCs/>
          <w:color w:val="01406B"/>
        </w:rPr>
        <w:fldChar w:fldCharType="begin"/>
      </w:r>
      <w:r w:rsidR="00F35B2C">
        <w:rPr>
          <w:rFonts w:ascii="Calibri Light" w:hAnsi="Calibri Light" w:cs="Times New Roman"/>
          <w:b/>
          <w:bCs/>
          <w:color w:val="01406B"/>
        </w:rPr>
        <w:instrText xml:space="preserve"> SEQ Слика \* ARABIC \s 1 </w:instrText>
      </w:r>
      <w:r w:rsidR="00F35B2C">
        <w:rPr>
          <w:rFonts w:ascii="Calibri Light" w:hAnsi="Calibri Light" w:cs="Times New Roman"/>
          <w:b/>
          <w:bCs/>
          <w:color w:val="01406B"/>
        </w:rPr>
        <w:fldChar w:fldCharType="separate"/>
      </w:r>
      <w:r w:rsidR="00F35B2C">
        <w:rPr>
          <w:rFonts w:ascii="Calibri Light" w:hAnsi="Calibri Light" w:cs="Times New Roman"/>
          <w:b/>
          <w:bCs/>
          <w:noProof/>
          <w:color w:val="01406B"/>
        </w:rPr>
        <w:t>13</w:t>
      </w:r>
      <w:r w:rsidR="00F35B2C">
        <w:rPr>
          <w:rFonts w:ascii="Calibri Light" w:hAnsi="Calibri Light" w:cs="Times New Roman"/>
          <w:b/>
          <w:bCs/>
          <w:color w:val="01406B"/>
        </w:rPr>
        <w:fldChar w:fldCharType="end"/>
      </w:r>
      <w:bookmarkEnd w:id="381"/>
      <w:r w:rsidRPr="00C50B00">
        <w:rPr>
          <w:rFonts w:ascii="Calibri Light" w:hAnsi="Calibri Light" w:cs="Times New Roman"/>
          <w:b/>
          <w:bCs/>
          <w:color w:val="01406B"/>
        </w:rPr>
        <w:t>: Удео ОИЕ у грејању</w:t>
      </w:r>
      <w:bookmarkEnd w:id="382"/>
    </w:p>
    <w:p w14:paraId="150540C6" w14:textId="62BC7B15" w:rsidR="00B92C50" w:rsidRPr="00FF386D" w:rsidRDefault="00C50B00" w:rsidP="00B92C50">
      <w:pPr>
        <w:jc w:val="center"/>
        <w:rPr>
          <w:rFonts w:ascii="Calibri" w:eastAsia="Calibri" w:hAnsi="Calibri" w:cs="Times New Roman"/>
          <w:lang w:eastAsia="el-GR" w:bidi="sr-Cyrl-CS"/>
        </w:rPr>
      </w:pPr>
      <w:r w:rsidRPr="00565B02">
        <w:rPr>
          <w:rFonts w:ascii="Calibri Light" w:hAnsi="Calibri Light" w:cs="Times New Roman"/>
          <w:b/>
          <w:bCs/>
          <w:noProof/>
          <w:color w:val="01406B"/>
        </w:rPr>
        <mc:AlternateContent>
          <mc:Choice Requires="wps">
            <w:drawing>
              <wp:anchor distT="0" distB="0" distL="114300" distR="114300" simplePos="0" relativeHeight="251782144" behindDoc="0" locked="0" layoutInCell="1" allowOverlap="1" wp14:anchorId="00BE4692" wp14:editId="182C2FE6">
                <wp:simplePos x="0" y="0"/>
                <wp:positionH relativeFrom="column">
                  <wp:posOffset>670721</wp:posOffset>
                </wp:positionH>
                <wp:positionV relativeFrom="paragraph">
                  <wp:posOffset>351790</wp:posOffset>
                </wp:positionV>
                <wp:extent cx="3145808" cy="2477069"/>
                <wp:effectExtent l="0" t="0" r="0" b="0"/>
                <wp:wrapNone/>
                <wp:docPr id="2123078436" name="Text Box 2123078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5808" cy="2477069"/>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1AD2293C" id="Text Box 2123078436" o:spid="_x0000_s1026" type="#_x0000_t202" style="position:absolute;margin-left:52.8pt;margin-top:27.7pt;width:247.7pt;height:195.0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" fillcolor="#a6a6a6" stroked="f">
                <v:fill opacity="32896f"/>
              </v:shape>
            </w:pict>
          </mc:Fallback>
        </mc:AlternateContent>
      </w:r>
      <w:r w:rsidR="00F5587C" w:rsidRPr="004F53D7">
        <w:rPr>
          <w:rFonts w:ascii="Calibri" w:eastAsia="Calibri" w:hAnsi="Calibri" w:cs="Times New Roman"/>
          <w:noProof/>
          <w:lang w:val="en-US"/>
        </w:rPr>
        <w:drawing>
          <wp:inline distT="0" distB="0" distL="0" distR="0" wp14:anchorId="19F65F8A" wp14:editId="68EE5265">
            <wp:extent cx="5906786" cy="3578837"/>
            <wp:effectExtent l="0" t="0" r="0" b="0"/>
            <wp:docPr id="1417648821" name="Picture 1417648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21999" cy="3588055"/>
                    </a:xfrm>
                    <a:prstGeom prst="rect">
                      <a:avLst/>
                    </a:prstGeom>
                    <a:noFill/>
                  </pic:spPr>
                </pic:pic>
              </a:graphicData>
            </a:graphic>
          </wp:inline>
        </w:drawing>
      </w:r>
    </w:p>
    <w:p w14:paraId="739AD024" w14:textId="4E1C2B5A" w:rsidR="00B52935" w:rsidRPr="00FF386D" w:rsidRDefault="00B52935" w:rsidP="00B52935">
      <w:pPr>
        <w:jc w:val="both"/>
        <w:rPr>
          <w:rFonts w:ascii="Calibri Light" w:eastAsia="Calibri" w:hAnsi="Calibri Light" w:cs="Calibri Light"/>
          <w:bCs/>
        </w:rPr>
      </w:pPr>
      <w:r w:rsidRPr="00FF386D">
        <w:rPr>
          <w:rFonts w:ascii="Calibri Light" w:eastAsia="Calibri" w:hAnsi="Calibri Light" w:cs="Calibri Light"/>
          <w:bCs/>
        </w:rPr>
        <w:t xml:space="preserve">У </w:t>
      </w:r>
      <w:r w:rsidRPr="00FF386D">
        <w:rPr>
          <w:rFonts w:ascii="Calibri Light" w:eastAsia="Calibri" w:hAnsi="Calibri Light" w:cs="Calibri Light"/>
          <w:bCs/>
          <w:i/>
        </w:rPr>
        <w:t>WEM</w:t>
      </w:r>
      <w:r w:rsidRPr="00FF386D">
        <w:rPr>
          <w:rFonts w:ascii="Calibri Light" w:eastAsia="Calibri" w:hAnsi="Calibri Light" w:cs="Calibri Light"/>
          <w:bCs/>
        </w:rPr>
        <w:t xml:space="preserve"> сценарију, предвиђа се да ће се укупни инсталисани капацитет за производњу електричне енергије повећати са </w:t>
      </w:r>
      <w:r w:rsidR="00F5587C" w:rsidRPr="00FF386D">
        <w:rPr>
          <w:rFonts w:ascii="Calibri Light" w:eastAsia="Calibri" w:hAnsi="Calibri Light" w:cs="Calibri Light"/>
          <w:bCs/>
        </w:rPr>
        <w:t>9</w:t>
      </w:r>
      <w:r w:rsidRPr="00FF386D">
        <w:rPr>
          <w:rFonts w:ascii="Calibri Light" w:eastAsia="Calibri" w:hAnsi="Calibri Light" w:cs="Calibri Light"/>
          <w:bCs/>
        </w:rPr>
        <w:t xml:space="preserve"> GW у 2025. и </w:t>
      </w:r>
      <w:r w:rsidR="0092740C" w:rsidRPr="00FF386D">
        <w:rPr>
          <w:rFonts w:ascii="Calibri Light" w:eastAsia="Calibri" w:hAnsi="Calibri Light" w:cs="Calibri Light"/>
          <w:bCs/>
        </w:rPr>
        <w:t xml:space="preserve">10 GW </w:t>
      </w:r>
      <w:r w:rsidR="00373635">
        <w:rPr>
          <w:rFonts w:ascii="Calibri Light" w:eastAsia="Calibri" w:hAnsi="Calibri Light" w:cs="Calibri Light"/>
          <w:bCs/>
        </w:rPr>
        <w:t xml:space="preserve">у </w:t>
      </w:r>
      <w:r w:rsidRPr="00FF386D">
        <w:rPr>
          <w:rFonts w:ascii="Calibri Light" w:eastAsia="Calibri" w:hAnsi="Calibri Light" w:cs="Calibri Light"/>
          <w:bCs/>
        </w:rPr>
        <w:t>2030. години на 1</w:t>
      </w:r>
      <w:r w:rsidR="0092740C" w:rsidRPr="00FF386D">
        <w:rPr>
          <w:rFonts w:ascii="Calibri Light" w:eastAsia="Calibri" w:hAnsi="Calibri Light" w:cs="Calibri Light"/>
          <w:bCs/>
        </w:rPr>
        <w:t>3</w:t>
      </w:r>
      <w:r w:rsidRPr="00FF386D">
        <w:rPr>
          <w:rFonts w:ascii="Calibri Light" w:eastAsia="Calibri" w:hAnsi="Calibri Light" w:cs="Calibri Light"/>
          <w:bCs/>
        </w:rPr>
        <w:t xml:space="preserve"> GW у 2050. години</w:t>
      </w:r>
      <w:r w:rsidR="00596B79" w:rsidRPr="00FF386D">
        <w:rPr>
          <w:rFonts w:ascii="Calibri Light" w:eastAsia="Calibri" w:hAnsi="Calibri Light" w:cs="Calibri Light"/>
          <w:bCs/>
        </w:rPr>
        <w:t xml:space="preserve">. </w:t>
      </w:r>
      <w:r w:rsidRPr="00FF386D">
        <w:rPr>
          <w:rFonts w:ascii="Calibri Light" w:eastAsia="Calibri" w:hAnsi="Calibri Light" w:cs="Calibri Light"/>
          <w:bCs/>
        </w:rPr>
        <w:t>Очекивано повећање се углавном приписује уделу ОИЕ технологија у производњи електричне енергије, које генерално имају нижи фактор искоришћења или капацитета од конвенционалних технологија и стога захтевају више инсталисаних капацитета од конвенционалних електрана за исту производњу електричне енергије.</w:t>
      </w:r>
    </w:p>
    <w:p w14:paraId="152FF369" w14:textId="498F5DC2" w:rsidR="00B52935" w:rsidRPr="00FF386D" w:rsidRDefault="00B52935" w:rsidP="00B52935">
      <w:pPr>
        <w:spacing w:line="259" w:lineRule="auto"/>
        <w:jc w:val="both"/>
        <w:rPr>
          <w:rFonts w:ascii="Calibri Light" w:eastAsia="Calibri" w:hAnsi="Calibri Light" w:cs="Calibri Light"/>
          <w:bCs/>
        </w:rPr>
      </w:pPr>
      <w:r w:rsidRPr="00FF386D">
        <w:rPr>
          <w:rFonts w:ascii="Calibri Light" w:eastAsia="Calibri" w:hAnsi="Calibri Light" w:cs="Calibri Light"/>
          <w:bCs/>
        </w:rPr>
        <w:t xml:space="preserve">Слично, у оба сценарија </w:t>
      </w:r>
      <w:r w:rsidRPr="00FF386D">
        <w:rPr>
          <w:rFonts w:ascii="Calibri Light" w:eastAsia="Calibri" w:hAnsi="Calibri Light" w:cs="Calibri Light"/>
          <w:bCs/>
          <w:i/>
          <w:iCs/>
        </w:rPr>
        <w:t>S</w:t>
      </w:r>
      <w:r w:rsidRPr="00FF386D">
        <w:rPr>
          <w:rFonts w:ascii="Calibri Light" w:eastAsia="Calibri" w:hAnsi="Calibri Light" w:cs="Calibri Light"/>
          <w:bCs/>
        </w:rPr>
        <w:t xml:space="preserve"> и </w:t>
      </w:r>
      <w:r w:rsidRPr="00FF386D">
        <w:rPr>
          <w:rFonts w:ascii="Calibri Light" w:eastAsia="Calibri" w:hAnsi="Calibri Light" w:cs="Calibri Light"/>
          <w:bCs/>
          <w:i/>
          <w:iCs/>
        </w:rPr>
        <w:t>S-N</w:t>
      </w:r>
      <w:r w:rsidRPr="00FF386D">
        <w:rPr>
          <w:rFonts w:ascii="Calibri Light" w:eastAsia="Calibri" w:hAnsi="Calibri Light" w:cs="Calibri Light"/>
          <w:bCs/>
        </w:rPr>
        <w:t>, очекује се да ће укупни инсталисани капацитет за производњу електричне енергије порасти са 10 GW у 2025. и 1</w:t>
      </w:r>
      <w:r w:rsidR="00F5587C" w:rsidRPr="00FF386D">
        <w:rPr>
          <w:rFonts w:ascii="Calibri Light" w:eastAsia="Calibri" w:hAnsi="Calibri Light" w:cs="Calibri Light"/>
          <w:bCs/>
        </w:rPr>
        <w:t>1</w:t>
      </w:r>
      <w:r w:rsidRPr="00FF386D">
        <w:rPr>
          <w:rFonts w:ascii="Calibri Light" w:eastAsia="Calibri" w:hAnsi="Calibri Light" w:cs="Calibri Light"/>
          <w:bCs/>
        </w:rPr>
        <w:t xml:space="preserve"> GW у 2030. години на око 3</w:t>
      </w:r>
      <w:r w:rsidR="00F5587C" w:rsidRPr="00FF386D">
        <w:rPr>
          <w:rFonts w:ascii="Calibri Light" w:eastAsia="Calibri" w:hAnsi="Calibri Light" w:cs="Calibri Light"/>
          <w:bCs/>
        </w:rPr>
        <w:t>6</w:t>
      </w:r>
      <w:r w:rsidRPr="00FF386D">
        <w:rPr>
          <w:rFonts w:ascii="Calibri Light" w:eastAsia="Calibri" w:hAnsi="Calibri Light" w:cs="Calibri Light"/>
          <w:bCs/>
        </w:rPr>
        <w:t xml:space="preserve"> GW у 2050. години.</w:t>
      </w:r>
    </w:p>
    <w:p w14:paraId="41ACEA3F" w14:textId="3BB7F5D6" w:rsidR="004F3731" w:rsidRPr="00BF533B" w:rsidRDefault="004F3731" w:rsidP="004F3731">
      <w:pPr>
        <w:jc w:val="both"/>
        <w:rPr>
          <w:rFonts w:ascii="Calibri Light" w:eastAsia="Calibri" w:hAnsi="Calibri Light" w:cs="Calibri Light"/>
          <w:bCs/>
        </w:rPr>
      </w:pPr>
      <w:r w:rsidRPr="00FF386D">
        <w:rPr>
          <w:rFonts w:ascii="Calibri Light" w:eastAsia="Calibri" w:hAnsi="Calibri Light" w:cs="Calibri Light"/>
          <w:bCs/>
        </w:rPr>
        <w:lastRenderedPageBreak/>
        <w:t xml:space="preserve">У </w:t>
      </w:r>
      <w:r w:rsidRPr="00FF386D">
        <w:rPr>
          <w:rFonts w:ascii="Calibri Light" w:eastAsia="Calibri" w:hAnsi="Calibri Light" w:cs="Calibri Light"/>
          <w:bCs/>
          <w:i/>
        </w:rPr>
        <w:t>WEM</w:t>
      </w:r>
      <w:r w:rsidRPr="00FF386D">
        <w:rPr>
          <w:rFonts w:ascii="Calibri Light" w:eastAsia="Calibri" w:hAnsi="Calibri Light" w:cs="Calibri Light"/>
          <w:bCs/>
        </w:rPr>
        <w:t xml:space="preserve"> сценарију, предвиђа се да ће укупни инсталисани капацитет ОИЕ достићи 4 GW 2025. и 2030. године и 7 GW 2050. године (</w:t>
      </w:r>
      <w:r w:rsidR="00C50B00">
        <w:rPr>
          <w:rFonts w:ascii="Calibri Light" w:eastAsia="Calibri" w:hAnsi="Calibri Light" w:cs="Calibri Light"/>
          <w:bCs/>
        </w:rPr>
        <w:fldChar w:fldCharType="begin"/>
      </w:r>
      <w:r w:rsidR="00C50B00">
        <w:rPr>
          <w:rFonts w:ascii="Calibri Light" w:eastAsia="Calibri" w:hAnsi="Calibri Light" w:cs="Calibri Light"/>
          <w:bCs/>
        </w:rPr>
        <w:instrText xml:space="preserve"> REF _Ref153887365 \h  \* MERGEFORMAT </w:instrText>
      </w:r>
      <w:r w:rsidR="00C50B00">
        <w:rPr>
          <w:rFonts w:ascii="Calibri Light" w:eastAsia="Calibri" w:hAnsi="Calibri Light" w:cs="Calibri Light"/>
          <w:bCs/>
        </w:rPr>
      </w:r>
      <w:r w:rsidR="00C50B00">
        <w:rPr>
          <w:rFonts w:ascii="Calibri Light" w:eastAsia="Calibri" w:hAnsi="Calibri Light" w:cs="Calibri Light"/>
          <w:bCs/>
        </w:rPr>
        <w:fldChar w:fldCharType="separate"/>
      </w:r>
      <w:r w:rsidR="00C50B00" w:rsidRPr="00565B02">
        <w:rPr>
          <w:rFonts w:ascii="Calibri Light" w:eastAsia="Calibri" w:hAnsi="Calibri Light" w:cs="Calibri Light"/>
          <w:bCs/>
        </w:rPr>
        <w:t>Слика 5.14</w:t>
      </w:r>
      <w:r w:rsidR="00C50B00">
        <w:rPr>
          <w:rFonts w:ascii="Calibri Light" w:eastAsia="Calibri" w:hAnsi="Calibri Light" w:cs="Calibri Light"/>
          <w:bCs/>
        </w:rPr>
        <w:fldChar w:fldCharType="end"/>
      </w:r>
      <w:r w:rsidRPr="00FF386D">
        <w:rPr>
          <w:rFonts w:ascii="Calibri Light" w:eastAsia="Calibri" w:hAnsi="Calibri Light" w:cs="Calibri Light"/>
          <w:bCs/>
        </w:rPr>
        <w:t xml:space="preserve">). Слично, у оба сценарија </w:t>
      </w:r>
      <w:r w:rsidRPr="00FF386D">
        <w:rPr>
          <w:rFonts w:ascii="Calibri Light" w:eastAsia="Calibri" w:hAnsi="Calibri Light" w:cs="Calibri Light"/>
          <w:bCs/>
          <w:i/>
          <w:iCs/>
        </w:rPr>
        <w:t>S</w:t>
      </w:r>
      <w:r w:rsidRPr="00FF386D">
        <w:rPr>
          <w:rFonts w:ascii="Calibri Light" w:eastAsia="Calibri" w:hAnsi="Calibri Light" w:cs="Calibri Light"/>
          <w:bCs/>
        </w:rPr>
        <w:t xml:space="preserve"> и </w:t>
      </w:r>
      <w:r w:rsidRPr="00FF386D">
        <w:rPr>
          <w:rFonts w:ascii="Calibri Light" w:eastAsia="Calibri" w:hAnsi="Calibri Light" w:cs="Calibri Light"/>
          <w:bCs/>
          <w:i/>
          <w:iCs/>
        </w:rPr>
        <w:t>S-N</w:t>
      </w:r>
      <w:r w:rsidRPr="00FF386D">
        <w:rPr>
          <w:rFonts w:ascii="Calibri Light" w:eastAsia="Calibri" w:hAnsi="Calibri Light" w:cs="Calibri Light"/>
          <w:bCs/>
        </w:rPr>
        <w:t xml:space="preserve">, очекује се да ће укупни инсталисани капацитет ОИЕ порасти са </w:t>
      </w:r>
      <w:r w:rsidR="00CB649A" w:rsidRPr="00FF386D">
        <w:rPr>
          <w:rFonts w:ascii="Calibri Light" w:eastAsia="Calibri" w:hAnsi="Calibri Light" w:cs="Calibri Light"/>
          <w:bCs/>
        </w:rPr>
        <w:t>6</w:t>
      </w:r>
      <w:r w:rsidRPr="00FF386D">
        <w:rPr>
          <w:rFonts w:ascii="Calibri Light" w:eastAsia="Calibri" w:hAnsi="Calibri Light" w:cs="Calibri Light"/>
          <w:bCs/>
        </w:rPr>
        <w:t xml:space="preserve"> GW у 2030. </w:t>
      </w:r>
      <w:r w:rsidR="00CB649A" w:rsidRPr="00FF386D">
        <w:rPr>
          <w:rFonts w:ascii="Calibri Light" w:eastAsia="Calibri" w:hAnsi="Calibri Light" w:cs="Calibri Light"/>
          <w:bCs/>
        </w:rPr>
        <w:t xml:space="preserve">години, изузимајући реверзибилне хидроелектране, </w:t>
      </w:r>
      <w:r w:rsidRPr="00FF386D">
        <w:rPr>
          <w:rFonts w:ascii="Calibri Light" w:eastAsia="Calibri" w:hAnsi="Calibri Light" w:cs="Calibri Light"/>
          <w:bCs/>
        </w:rPr>
        <w:t>на око 3</w:t>
      </w:r>
      <w:r w:rsidR="00CB649A" w:rsidRPr="00FF386D">
        <w:rPr>
          <w:rFonts w:ascii="Calibri Light" w:eastAsia="Calibri" w:hAnsi="Calibri Light" w:cs="Calibri Light"/>
          <w:bCs/>
        </w:rPr>
        <w:t>0</w:t>
      </w:r>
      <w:r w:rsidRPr="00FF386D">
        <w:rPr>
          <w:rFonts w:ascii="Calibri Light" w:eastAsia="Calibri" w:hAnsi="Calibri Light" w:cs="Calibri Light"/>
          <w:bCs/>
        </w:rPr>
        <w:t xml:space="preserve"> GW у 2050. години. Очекује се да ће енергија сунца и ветра имати највећи допринос у свим сценаријима </w:t>
      </w:r>
      <w:r w:rsidR="00CB649A" w:rsidRPr="00FF386D">
        <w:rPr>
          <w:rFonts w:ascii="Calibri Light" w:eastAsia="Calibri" w:hAnsi="Calibri Light" w:cs="Calibri Light"/>
          <w:bCs/>
        </w:rPr>
        <w:t xml:space="preserve">у </w:t>
      </w:r>
      <w:r w:rsidRPr="00FF386D">
        <w:rPr>
          <w:rFonts w:ascii="Calibri Light" w:eastAsia="Calibri" w:hAnsi="Calibri Light" w:cs="Calibri Light"/>
          <w:bCs/>
        </w:rPr>
        <w:t>2030. и 2050. годин</w:t>
      </w:r>
      <w:r w:rsidR="00CB649A" w:rsidRPr="00FF386D">
        <w:rPr>
          <w:rFonts w:ascii="Calibri Light" w:eastAsia="Calibri" w:hAnsi="Calibri Light" w:cs="Calibri Light"/>
          <w:bCs/>
        </w:rPr>
        <w:t>и.</w:t>
      </w:r>
      <w:r w:rsidR="00BF533B">
        <w:rPr>
          <w:rFonts w:ascii="Calibri Light" w:eastAsia="Calibri" w:hAnsi="Calibri Light" w:cs="Calibri Light"/>
          <w:bCs/>
        </w:rPr>
        <w:t xml:space="preserve"> Потребно је узети у обзир да капацитет ОИЕ пројектован за 2030. годину је подразумеван као минималан за повећање учешћа обновљиве енергије.</w:t>
      </w:r>
    </w:p>
    <w:p w14:paraId="1281DA22" w14:textId="01DEEB22" w:rsidR="00C50B00" w:rsidRDefault="00C50B00" w:rsidP="00565B02">
      <w:pPr>
        <w:pStyle w:val="Caption"/>
        <w:keepNext/>
      </w:pPr>
      <w:bookmarkStart w:id="383" w:name="_Ref153887365"/>
      <w:bookmarkStart w:id="384" w:name="_Toc153901426"/>
      <w:r>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14</w:t>
      </w:r>
      <w:r w:rsidR="00F35B2C">
        <w:fldChar w:fldCharType="end"/>
      </w:r>
      <w:bookmarkEnd w:id="383"/>
      <w:r>
        <w:t xml:space="preserve">: </w:t>
      </w:r>
      <w:r w:rsidRPr="00C50B00">
        <w:t>Инсталисани капацитет ОИЕ по технологији</w:t>
      </w:r>
      <w:bookmarkEnd w:id="384"/>
    </w:p>
    <w:p w14:paraId="1A608DA3" w14:textId="608031E6" w:rsidR="00CB649A" w:rsidRPr="00FF386D" w:rsidRDefault="00C50B00" w:rsidP="00B92C50">
      <w:pPr>
        <w:spacing w:after="200" w:line="240" w:lineRule="auto"/>
        <w:jc w:val="center"/>
        <w:rPr>
          <w:rFonts w:ascii="Calibri Light" w:eastAsia="Calibri" w:hAnsi="Calibri Light" w:cs="Times New Roman"/>
          <w:b/>
          <w:bCs/>
          <w:iCs/>
          <w:color w:val="01406B"/>
          <w:lang w:eastAsia="el-GR"/>
        </w:rPr>
      </w:pPr>
      <w:r>
        <w:rPr>
          <w:noProof/>
          <w:lang w:val="en-US"/>
        </w:rPr>
        <mc:AlternateContent>
          <mc:Choice Requires="wps">
            <w:drawing>
              <wp:anchor distT="0" distB="0" distL="114300" distR="114300" simplePos="0" relativeHeight="251789312" behindDoc="0" locked="0" layoutInCell="1" allowOverlap="1" wp14:anchorId="6750C661" wp14:editId="713166D6">
                <wp:simplePos x="0" y="0"/>
                <wp:positionH relativeFrom="column">
                  <wp:posOffset>468791</wp:posOffset>
                </wp:positionH>
                <wp:positionV relativeFrom="paragraph">
                  <wp:posOffset>154305</wp:posOffset>
                </wp:positionV>
                <wp:extent cx="3221355" cy="1702435"/>
                <wp:effectExtent l="0" t="0" r="0" b="0"/>
                <wp:wrapNone/>
                <wp:docPr id="1676666972" name="Text Box 1676666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1355" cy="1702435"/>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1D8B9A10" id="Text Box 1676666972" o:spid="_x0000_s1026" type="#_x0000_t202" style="position:absolute;margin-left:36.9pt;margin-top:12.15pt;width:253.65pt;height:134.0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" fillcolor="#a6a6a6" stroked="f">
                <v:fill opacity="32896f"/>
              </v:shape>
            </w:pict>
          </mc:Fallback>
        </mc:AlternateContent>
      </w:r>
      <w:r w:rsidR="00CB649A" w:rsidRPr="004F53D7">
        <w:rPr>
          <w:rFonts w:ascii="Calibri Light" w:eastAsia="Calibri" w:hAnsi="Calibri Light" w:cs="Times New Roman"/>
          <w:b/>
          <w:bCs/>
          <w:iCs/>
          <w:noProof/>
          <w:color w:val="01406B"/>
          <w:lang w:val="en-US"/>
        </w:rPr>
        <w:drawing>
          <wp:inline distT="0" distB="0" distL="0" distR="0" wp14:anchorId="2CA1BD96" wp14:editId="062208E6">
            <wp:extent cx="5794869" cy="3106673"/>
            <wp:effectExtent l="0" t="0" r="0" b="0"/>
            <wp:docPr id="1087972601" name="Picture 108797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821033" cy="3120700"/>
                    </a:xfrm>
                    <a:prstGeom prst="rect">
                      <a:avLst/>
                    </a:prstGeom>
                    <a:noFill/>
                  </pic:spPr>
                </pic:pic>
              </a:graphicData>
            </a:graphic>
          </wp:inline>
        </w:drawing>
      </w:r>
    </w:p>
    <w:p w14:paraId="78D93E1A" w14:textId="0F4A2FD0" w:rsidR="007009FB" w:rsidRDefault="007009FB" w:rsidP="00565B02">
      <w:pPr>
        <w:pStyle w:val="Caption"/>
        <w:keepNext/>
      </w:pPr>
      <w:bookmarkStart w:id="385" w:name="_Toc153901478"/>
      <w:r>
        <w:t xml:space="preserve">Табела </w:t>
      </w:r>
      <w:r w:rsidR="00873C40">
        <w:fldChar w:fldCharType="begin"/>
      </w:r>
      <w:r w:rsidR="00873C40">
        <w:instrText xml:space="preserve"> STYLEREF 1 \s </w:instrText>
      </w:r>
      <w:r w:rsidR="00873C40">
        <w:fldChar w:fldCharType="separate"/>
      </w:r>
      <w:r w:rsidR="00873C40">
        <w:rPr>
          <w:noProof/>
        </w:rPr>
        <w:t>5</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2</w:t>
      </w:r>
      <w:r w:rsidR="00873C40">
        <w:fldChar w:fldCharType="end"/>
      </w:r>
      <w:r w:rsidRPr="007009FB">
        <w:t>: Инсталисани капацитет ОИЕ по технологији и сценарију</w:t>
      </w:r>
      <w:bookmarkEnd w:id="385"/>
    </w:p>
    <w:tbl>
      <w:tblPr>
        <w:tblStyle w:val="TableGrid"/>
        <w:tblW w:w="0" w:type="auto"/>
        <w:tblLook w:val="04A0" w:firstRow="1" w:lastRow="0" w:firstColumn="1" w:lastColumn="0" w:noHBand="0" w:noVBand="1"/>
      </w:tblPr>
      <w:tblGrid>
        <w:gridCol w:w="906"/>
        <w:gridCol w:w="2633"/>
        <w:gridCol w:w="2963"/>
        <w:gridCol w:w="1054"/>
        <w:gridCol w:w="1166"/>
      </w:tblGrid>
      <w:tr w:rsidR="00CB649A" w:rsidRPr="00814A81" w14:paraId="19B7496B" w14:textId="77777777" w:rsidTr="0057310C">
        <w:trPr>
          <w:trHeight w:val="315"/>
        </w:trPr>
        <w:tc>
          <w:tcPr>
            <w:tcW w:w="906" w:type="dxa"/>
            <w:noWrap/>
            <w:hideMark/>
          </w:tcPr>
          <w:p w14:paraId="48BB3F66" w14:textId="77777777" w:rsidR="00CB649A" w:rsidRPr="000A2AFE" w:rsidRDefault="00CB649A" w:rsidP="00CB649A">
            <w:pPr>
              <w:spacing w:after="160"/>
              <w:rPr>
                <w:rFonts w:asciiTheme="majorHAnsi" w:eastAsia="Calibri" w:hAnsiTheme="majorHAnsi" w:cstheme="majorHAnsi"/>
                <w:bCs/>
                <w:sz w:val="22"/>
                <w:szCs w:val="22"/>
                <w:lang w:eastAsia="en-US"/>
              </w:rPr>
            </w:pPr>
          </w:p>
        </w:tc>
        <w:tc>
          <w:tcPr>
            <w:tcW w:w="2633" w:type="dxa"/>
            <w:noWrap/>
            <w:hideMark/>
          </w:tcPr>
          <w:p w14:paraId="527BF7A8" w14:textId="77777777" w:rsidR="00CB649A" w:rsidRPr="000A2AFE" w:rsidRDefault="00CB649A" w:rsidP="00CB649A">
            <w:pPr>
              <w:spacing w:after="160"/>
              <w:rPr>
                <w:rFonts w:asciiTheme="majorHAnsi" w:eastAsia="Calibri" w:hAnsiTheme="majorHAnsi" w:cstheme="majorHAnsi"/>
                <w:bCs/>
                <w:sz w:val="22"/>
                <w:szCs w:val="22"/>
                <w:lang w:eastAsia="en-US"/>
              </w:rPr>
            </w:pPr>
          </w:p>
        </w:tc>
        <w:tc>
          <w:tcPr>
            <w:tcW w:w="2963" w:type="dxa"/>
            <w:noWrap/>
            <w:hideMark/>
          </w:tcPr>
          <w:p w14:paraId="78D8CC6F" w14:textId="0CC481D3"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Хидроелектране</w:t>
            </w:r>
          </w:p>
        </w:tc>
        <w:tc>
          <w:tcPr>
            <w:tcW w:w="1054" w:type="dxa"/>
            <w:noWrap/>
            <w:hideMark/>
          </w:tcPr>
          <w:p w14:paraId="3027A773" w14:textId="5DB93693"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Ветар</w:t>
            </w:r>
          </w:p>
        </w:tc>
        <w:tc>
          <w:tcPr>
            <w:tcW w:w="1166" w:type="dxa"/>
            <w:noWrap/>
            <w:hideMark/>
          </w:tcPr>
          <w:p w14:paraId="7C4FBA9E" w14:textId="2F6FA822"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Солар</w:t>
            </w:r>
          </w:p>
        </w:tc>
      </w:tr>
      <w:tr w:rsidR="00CB649A" w:rsidRPr="00814A81" w14:paraId="61D23868" w14:textId="77777777" w:rsidTr="0057310C">
        <w:trPr>
          <w:trHeight w:val="300"/>
        </w:trPr>
        <w:tc>
          <w:tcPr>
            <w:tcW w:w="906" w:type="dxa"/>
            <w:noWrap/>
            <w:hideMark/>
          </w:tcPr>
          <w:p w14:paraId="278857D4"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2025</w:t>
            </w:r>
          </w:p>
        </w:tc>
        <w:tc>
          <w:tcPr>
            <w:tcW w:w="2633" w:type="dxa"/>
            <w:noWrap/>
            <w:hideMark/>
          </w:tcPr>
          <w:p w14:paraId="349E1E35"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WEM</w:t>
            </w:r>
          </w:p>
        </w:tc>
        <w:tc>
          <w:tcPr>
            <w:tcW w:w="2963" w:type="dxa"/>
            <w:noWrap/>
            <w:hideMark/>
          </w:tcPr>
          <w:p w14:paraId="30F9A7F4"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2,48</w:t>
            </w:r>
          </w:p>
        </w:tc>
        <w:tc>
          <w:tcPr>
            <w:tcW w:w="1054" w:type="dxa"/>
            <w:noWrap/>
            <w:hideMark/>
          </w:tcPr>
          <w:p w14:paraId="74AD072A"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0,75</w:t>
            </w:r>
          </w:p>
        </w:tc>
        <w:tc>
          <w:tcPr>
            <w:tcW w:w="1166" w:type="dxa"/>
            <w:noWrap/>
            <w:hideMark/>
          </w:tcPr>
          <w:p w14:paraId="2CF8DA0F"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0,30</w:t>
            </w:r>
          </w:p>
        </w:tc>
      </w:tr>
      <w:tr w:rsidR="00CB649A" w:rsidRPr="00814A81" w14:paraId="038D5B8E" w14:textId="77777777" w:rsidTr="0057310C">
        <w:trPr>
          <w:trHeight w:val="300"/>
        </w:trPr>
        <w:tc>
          <w:tcPr>
            <w:tcW w:w="906" w:type="dxa"/>
            <w:noWrap/>
            <w:hideMark/>
          </w:tcPr>
          <w:p w14:paraId="58CAC825" w14:textId="77777777" w:rsidR="00CB649A" w:rsidRPr="000A2AFE" w:rsidRDefault="00CB649A" w:rsidP="00CB649A">
            <w:pPr>
              <w:spacing w:after="160"/>
              <w:rPr>
                <w:rFonts w:asciiTheme="majorHAnsi" w:eastAsia="Calibri" w:hAnsiTheme="majorHAnsi" w:cstheme="majorHAnsi"/>
                <w:bCs/>
                <w:sz w:val="22"/>
                <w:szCs w:val="22"/>
                <w:lang w:eastAsia="en-US"/>
              </w:rPr>
            </w:pPr>
          </w:p>
        </w:tc>
        <w:tc>
          <w:tcPr>
            <w:tcW w:w="2633" w:type="dxa"/>
            <w:noWrap/>
            <w:hideMark/>
          </w:tcPr>
          <w:p w14:paraId="766D0F86"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S</w:t>
            </w:r>
          </w:p>
        </w:tc>
        <w:tc>
          <w:tcPr>
            <w:tcW w:w="2963" w:type="dxa"/>
            <w:noWrap/>
            <w:hideMark/>
          </w:tcPr>
          <w:p w14:paraId="50F990F3"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2,48</w:t>
            </w:r>
          </w:p>
        </w:tc>
        <w:tc>
          <w:tcPr>
            <w:tcW w:w="1054" w:type="dxa"/>
            <w:noWrap/>
            <w:hideMark/>
          </w:tcPr>
          <w:p w14:paraId="113A8B21"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0,90</w:t>
            </w:r>
          </w:p>
        </w:tc>
        <w:tc>
          <w:tcPr>
            <w:tcW w:w="1166" w:type="dxa"/>
            <w:noWrap/>
            <w:hideMark/>
          </w:tcPr>
          <w:p w14:paraId="0DF82418"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0,51</w:t>
            </w:r>
          </w:p>
        </w:tc>
      </w:tr>
      <w:tr w:rsidR="00CB649A" w:rsidRPr="00814A81" w14:paraId="65BD838D" w14:textId="77777777" w:rsidTr="0057310C">
        <w:trPr>
          <w:trHeight w:val="300"/>
        </w:trPr>
        <w:tc>
          <w:tcPr>
            <w:tcW w:w="906" w:type="dxa"/>
            <w:noWrap/>
            <w:hideMark/>
          </w:tcPr>
          <w:p w14:paraId="60FDF7DA" w14:textId="77777777" w:rsidR="00CB649A" w:rsidRPr="000A2AFE" w:rsidRDefault="00CB649A" w:rsidP="00CB649A">
            <w:pPr>
              <w:spacing w:after="160"/>
              <w:rPr>
                <w:rFonts w:asciiTheme="majorHAnsi" w:eastAsia="Calibri" w:hAnsiTheme="majorHAnsi" w:cstheme="majorHAnsi"/>
                <w:bCs/>
                <w:sz w:val="22"/>
                <w:szCs w:val="22"/>
                <w:lang w:eastAsia="en-US"/>
              </w:rPr>
            </w:pPr>
          </w:p>
        </w:tc>
        <w:tc>
          <w:tcPr>
            <w:tcW w:w="2633" w:type="dxa"/>
            <w:noWrap/>
            <w:hideMark/>
          </w:tcPr>
          <w:p w14:paraId="0A1A58EA"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S-N</w:t>
            </w:r>
          </w:p>
        </w:tc>
        <w:tc>
          <w:tcPr>
            <w:tcW w:w="2963" w:type="dxa"/>
            <w:noWrap/>
            <w:hideMark/>
          </w:tcPr>
          <w:p w14:paraId="2FD1C002"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2,48</w:t>
            </w:r>
          </w:p>
        </w:tc>
        <w:tc>
          <w:tcPr>
            <w:tcW w:w="1054" w:type="dxa"/>
            <w:noWrap/>
            <w:hideMark/>
          </w:tcPr>
          <w:p w14:paraId="1CBFCCA5"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0,90</w:t>
            </w:r>
          </w:p>
        </w:tc>
        <w:tc>
          <w:tcPr>
            <w:tcW w:w="1166" w:type="dxa"/>
            <w:noWrap/>
            <w:hideMark/>
          </w:tcPr>
          <w:p w14:paraId="051A8719"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0,51</w:t>
            </w:r>
          </w:p>
        </w:tc>
      </w:tr>
      <w:tr w:rsidR="00CB649A" w:rsidRPr="00814A81" w14:paraId="371F8791" w14:textId="77777777" w:rsidTr="0057310C">
        <w:trPr>
          <w:trHeight w:val="300"/>
        </w:trPr>
        <w:tc>
          <w:tcPr>
            <w:tcW w:w="906" w:type="dxa"/>
            <w:noWrap/>
            <w:hideMark/>
          </w:tcPr>
          <w:p w14:paraId="326C9E47"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2026</w:t>
            </w:r>
          </w:p>
        </w:tc>
        <w:tc>
          <w:tcPr>
            <w:tcW w:w="2633" w:type="dxa"/>
            <w:noWrap/>
            <w:hideMark/>
          </w:tcPr>
          <w:p w14:paraId="0C00CC68"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WEM</w:t>
            </w:r>
          </w:p>
        </w:tc>
        <w:tc>
          <w:tcPr>
            <w:tcW w:w="2963" w:type="dxa"/>
            <w:noWrap/>
            <w:hideMark/>
          </w:tcPr>
          <w:p w14:paraId="15AE779E"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2,48</w:t>
            </w:r>
          </w:p>
        </w:tc>
        <w:tc>
          <w:tcPr>
            <w:tcW w:w="1054" w:type="dxa"/>
            <w:noWrap/>
            <w:hideMark/>
          </w:tcPr>
          <w:p w14:paraId="612FA6F6"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0,75</w:t>
            </w:r>
          </w:p>
        </w:tc>
        <w:tc>
          <w:tcPr>
            <w:tcW w:w="1166" w:type="dxa"/>
            <w:noWrap/>
            <w:hideMark/>
          </w:tcPr>
          <w:p w14:paraId="7C251EE7"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0,30</w:t>
            </w:r>
          </w:p>
        </w:tc>
      </w:tr>
      <w:tr w:rsidR="00CB649A" w:rsidRPr="00814A81" w14:paraId="677BE95B" w14:textId="77777777" w:rsidTr="0057310C">
        <w:trPr>
          <w:trHeight w:val="300"/>
        </w:trPr>
        <w:tc>
          <w:tcPr>
            <w:tcW w:w="906" w:type="dxa"/>
            <w:noWrap/>
            <w:hideMark/>
          </w:tcPr>
          <w:p w14:paraId="4FA0A50F" w14:textId="77777777" w:rsidR="00CB649A" w:rsidRPr="000A2AFE" w:rsidRDefault="00CB649A" w:rsidP="00CB649A">
            <w:pPr>
              <w:spacing w:after="160"/>
              <w:rPr>
                <w:rFonts w:asciiTheme="majorHAnsi" w:eastAsia="Calibri" w:hAnsiTheme="majorHAnsi" w:cstheme="majorHAnsi"/>
                <w:bCs/>
                <w:sz w:val="22"/>
                <w:szCs w:val="22"/>
                <w:lang w:eastAsia="en-US"/>
              </w:rPr>
            </w:pPr>
          </w:p>
        </w:tc>
        <w:tc>
          <w:tcPr>
            <w:tcW w:w="2633" w:type="dxa"/>
            <w:noWrap/>
            <w:hideMark/>
          </w:tcPr>
          <w:p w14:paraId="60E9130E"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S</w:t>
            </w:r>
          </w:p>
        </w:tc>
        <w:tc>
          <w:tcPr>
            <w:tcW w:w="2963" w:type="dxa"/>
            <w:noWrap/>
            <w:hideMark/>
          </w:tcPr>
          <w:p w14:paraId="688CDB6C"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2,48</w:t>
            </w:r>
          </w:p>
        </w:tc>
        <w:tc>
          <w:tcPr>
            <w:tcW w:w="1054" w:type="dxa"/>
            <w:noWrap/>
            <w:hideMark/>
          </w:tcPr>
          <w:p w14:paraId="7ECAA82E"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1,05</w:t>
            </w:r>
          </w:p>
        </w:tc>
        <w:tc>
          <w:tcPr>
            <w:tcW w:w="1166" w:type="dxa"/>
            <w:noWrap/>
            <w:hideMark/>
          </w:tcPr>
          <w:p w14:paraId="3FA2E6C5"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0,75</w:t>
            </w:r>
          </w:p>
        </w:tc>
      </w:tr>
      <w:tr w:rsidR="00CB649A" w:rsidRPr="00814A81" w14:paraId="150602D8" w14:textId="77777777" w:rsidTr="0057310C">
        <w:trPr>
          <w:trHeight w:val="300"/>
        </w:trPr>
        <w:tc>
          <w:tcPr>
            <w:tcW w:w="906" w:type="dxa"/>
            <w:noWrap/>
            <w:hideMark/>
          </w:tcPr>
          <w:p w14:paraId="17B44771" w14:textId="77777777" w:rsidR="00CB649A" w:rsidRPr="000A2AFE" w:rsidRDefault="00CB649A" w:rsidP="00CB649A">
            <w:pPr>
              <w:spacing w:after="160"/>
              <w:rPr>
                <w:rFonts w:asciiTheme="majorHAnsi" w:eastAsia="Calibri" w:hAnsiTheme="majorHAnsi" w:cstheme="majorHAnsi"/>
                <w:bCs/>
                <w:sz w:val="22"/>
                <w:szCs w:val="22"/>
                <w:lang w:eastAsia="en-US"/>
              </w:rPr>
            </w:pPr>
          </w:p>
        </w:tc>
        <w:tc>
          <w:tcPr>
            <w:tcW w:w="2633" w:type="dxa"/>
            <w:noWrap/>
            <w:hideMark/>
          </w:tcPr>
          <w:p w14:paraId="7A25656E"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S-N</w:t>
            </w:r>
          </w:p>
        </w:tc>
        <w:tc>
          <w:tcPr>
            <w:tcW w:w="2963" w:type="dxa"/>
            <w:noWrap/>
            <w:hideMark/>
          </w:tcPr>
          <w:p w14:paraId="07B133B0"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2,48</w:t>
            </w:r>
          </w:p>
        </w:tc>
        <w:tc>
          <w:tcPr>
            <w:tcW w:w="1054" w:type="dxa"/>
            <w:noWrap/>
            <w:hideMark/>
          </w:tcPr>
          <w:p w14:paraId="34188AD4"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1,05</w:t>
            </w:r>
          </w:p>
        </w:tc>
        <w:tc>
          <w:tcPr>
            <w:tcW w:w="1166" w:type="dxa"/>
            <w:noWrap/>
            <w:hideMark/>
          </w:tcPr>
          <w:p w14:paraId="2C92C115"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0,75</w:t>
            </w:r>
          </w:p>
        </w:tc>
      </w:tr>
      <w:tr w:rsidR="00CB649A" w:rsidRPr="00814A81" w14:paraId="2D2C9B24" w14:textId="77777777" w:rsidTr="0057310C">
        <w:trPr>
          <w:trHeight w:val="300"/>
        </w:trPr>
        <w:tc>
          <w:tcPr>
            <w:tcW w:w="906" w:type="dxa"/>
            <w:noWrap/>
            <w:hideMark/>
          </w:tcPr>
          <w:p w14:paraId="22A7E57F"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2027</w:t>
            </w:r>
          </w:p>
        </w:tc>
        <w:tc>
          <w:tcPr>
            <w:tcW w:w="2633" w:type="dxa"/>
            <w:noWrap/>
            <w:hideMark/>
          </w:tcPr>
          <w:p w14:paraId="1E1C087D"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WEM</w:t>
            </w:r>
          </w:p>
        </w:tc>
        <w:tc>
          <w:tcPr>
            <w:tcW w:w="2963" w:type="dxa"/>
            <w:noWrap/>
            <w:hideMark/>
          </w:tcPr>
          <w:p w14:paraId="347E6499"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2,48</w:t>
            </w:r>
          </w:p>
        </w:tc>
        <w:tc>
          <w:tcPr>
            <w:tcW w:w="1054" w:type="dxa"/>
            <w:noWrap/>
            <w:hideMark/>
          </w:tcPr>
          <w:p w14:paraId="6FE61C78"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0,75</w:t>
            </w:r>
          </w:p>
        </w:tc>
        <w:tc>
          <w:tcPr>
            <w:tcW w:w="1166" w:type="dxa"/>
            <w:noWrap/>
            <w:hideMark/>
          </w:tcPr>
          <w:p w14:paraId="69DF0E18"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0,38</w:t>
            </w:r>
          </w:p>
        </w:tc>
      </w:tr>
      <w:tr w:rsidR="00CB649A" w:rsidRPr="00814A81" w14:paraId="66889462" w14:textId="77777777" w:rsidTr="0057310C">
        <w:trPr>
          <w:trHeight w:val="300"/>
        </w:trPr>
        <w:tc>
          <w:tcPr>
            <w:tcW w:w="906" w:type="dxa"/>
            <w:noWrap/>
            <w:hideMark/>
          </w:tcPr>
          <w:p w14:paraId="2348878D" w14:textId="77777777" w:rsidR="00CB649A" w:rsidRPr="000A2AFE" w:rsidRDefault="00CB649A" w:rsidP="00CB649A">
            <w:pPr>
              <w:spacing w:after="160"/>
              <w:rPr>
                <w:rFonts w:asciiTheme="majorHAnsi" w:eastAsia="Calibri" w:hAnsiTheme="majorHAnsi" w:cstheme="majorHAnsi"/>
                <w:bCs/>
                <w:sz w:val="22"/>
                <w:szCs w:val="22"/>
                <w:lang w:eastAsia="en-US"/>
              </w:rPr>
            </w:pPr>
          </w:p>
        </w:tc>
        <w:tc>
          <w:tcPr>
            <w:tcW w:w="2633" w:type="dxa"/>
            <w:noWrap/>
            <w:hideMark/>
          </w:tcPr>
          <w:p w14:paraId="3084ED09"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S</w:t>
            </w:r>
          </w:p>
        </w:tc>
        <w:tc>
          <w:tcPr>
            <w:tcW w:w="2963" w:type="dxa"/>
            <w:noWrap/>
            <w:hideMark/>
          </w:tcPr>
          <w:p w14:paraId="768650AD"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2,48</w:t>
            </w:r>
          </w:p>
        </w:tc>
        <w:tc>
          <w:tcPr>
            <w:tcW w:w="1054" w:type="dxa"/>
            <w:noWrap/>
            <w:hideMark/>
          </w:tcPr>
          <w:p w14:paraId="19D1F7F5"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1,21</w:t>
            </w:r>
          </w:p>
        </w:tc>
        <w:tc>
          <w:tcPr>
            <w:tcW w:w="1166" w:type="dxa"/>
            <w:noWrap/>
            <w:hideMark/>
          </w:tcPr>
          <w:p w14:paraId="27223644"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0,99</w:t>
            </w:r>
          </w:p>
        </w:tc>
      </w:tr>
      <w:tr w:rsidR="00CB649A" w:rsidRPr="00814A81" w14:paraId="37858446" w14:textId="77777777" w:rsidTr="0057310C">
        <w:trPr>
          <w:trHeight w:val="300"/>
        </w:trPr>
        <w:tc>
          <w:tcPr>
            <w:tcW w:w="906" w:type="dxa"/>
            <w:noWrap/>
            <w:hideMark/>
          </w:tcPr>
          <w:p w14:paraId="20B170F5" w14:textId="77777777" w:rsidR="00CB649A" w:rsidRPr="000A2AFE" w:rsidRDefault="00CB649A" w:rsidP="00CB649A">
            <w:pPr>
              <w:spacing w:after="160"/>
              <w:rPr>
                <w:rFonts w:asciiTheme="majorHAnsi" w:eastAsia="Calibri" w:hAnsiTheme="majorHAnsi" w:cstheme="majorHAnsi"/>
                <w:bCs/>
                <w:sz w:val="22"/>
                <w:szCs w:val="22"/>
                <w:lang w:eastAsia="en-US"/>
              </w:rPr>
            </w:pPr>
          </w:p>
        </w:tc>
        <w:tc>
          <w:tcPr>
            <w:tcW w:w="2633" w:type="dxa"/>
            <w:noWrap/>
            <w:hideMark/>
          </w:tcPr>
          <w:p w14:paraId="52473C6C"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S-N</w:t>
            </w:r>
          </w:p>
        </w:tc>
        <w:tc>
          <w:tcPr>
            <w:tcW w:w="2963" w:type="dxa"/>
            <w:noWrap/>
            <w:hideMark/>
          </w:tcPr>
          <w:p w14:paraId="11E5D7C6"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2,48</w:t>
            </w:r>
          </w:p>
        </w:tc>
        <w:tc>
          <w:tcPr>
            <w:tcW w:w="1054" w:type="dxa"/>
            <w:noWrap/>
            <w:hideMark/>
          </w:tcPr>
          <w:p w14:paraId="399386EB"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1,21</w:t>
            </w:r>
          </w:p>
        </w:tc>
        <w:tc>
          <w:tcPr>
            <w:tcW w:w="1166" w:type="dxa"/>
            <w:noWrap/>
            <w:hideMark/>
          </w:tcPr>
          <w:p w14:paraId="6BABC3DA"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0,99</w:t>
            </w:r>
          </w:p>
        </w:tc>
      </w:tr>
      <w:tr w:rsidR="00CB649A" w:rsidRPr="00814A81" w14:paraId="1DD46812" w14:textId="77777777" w:rsidTr="0057310C">
        <w:trPr>
          <w:trHeight w:val="300"/>
        </w:trPr>
        <w:tc>
          <w:tcPr>
            <w:tcW w:w="906" w:type="dxa"/>
            <w:noWrap/>
            <w:hideMark/>
          </w:tcPr>
          <w:p w14:paraId="1830317F"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2028</w:t>
            </w:r>
          </w:p>
        </w:tc>
        <w:tc>
          <w:tcPr>
            <w:tcW w:w="2633" w:type="dxa"/>
            <w:noWrap/>
            <w:hideMark/>
          </w:tcPr>
          <w:p w14:paraId="0BE7943B"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WEM</w:t>
            </w:r>
          </w:p>
        </w:tc>
        <w:tc>
          <w:tcPr>
            <w:tcW w:w="2963" w:type="dxa"/>
            <w:noWrap/>
            <w:hideMark/>
          </w:tcPr>
          <w:p w14:paraId="4E2E4CA9"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2,48</w:t>
            </w:r>
          </w:p>
        </w:tc>
        <w:tc>
          <w:tcPr>
            <w:tcW w:w="1054" w:type="dxa"/>
            <w:noWrap/>
            <w:hideMark/>
          </w:tcPr>
          <w:p w14:paraId="613FD632"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0,75</w:t>
            </w:r>
          </w:p>
        </w:tc>
        <w:tc>
          <w:tcPr>
            <w:tcW w:w="1166" w:type="dxa"/>
            <w:noWrap/>
            <w:hideMark/>
          </w:tcPr>
          <w:p w14:paraId="69091E18"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0,38</w:t>
            </w:r>
          </w:p>
        </w:tc>
      </w:tr>
      <w:tr w:rsidR="00CB649A" w:rsidRPr="00814A81" w14:paraId="19963E30" w14:textId="77777777" w:rsidTr="0057310C">
        <w:trPr>
          <w:trHeight w:val="300"/>
        </w:trPr>
        <w:tc>
          <w:tcPr>
            <w:tcW w:w="906" w:type="dxa"/>
            <w:noWrap/>
            <w:hideMark/>
          </w:tcPr>
          <w:p w14:paraId="78A93CD9" w14:textId="77777777" w:rsidR="00CB649A" w:rsidRPr="000A2AFE" w:rsidRDefault="00CB649A" w:rsidP="00CB649A">
            <w:pPr>
              <w:spacing w:after="160"/>
              <w:rPr>
                <w:rFonts w:asciiTheme="majorHAnsi" w:eastAsia="Calibri" w:hAnsiTheme="majorHAnsi" w:cstheme="majorHAnsi"/>
                <w:bCs/>
                <w:sz w:val="22"/>
                <w:szCs w:val="22"/>
                <w:lang w:eastAsia="en-US"/>
              </w:rPr>
            </w:pPr>
          </w:p>
        </w:tc>
        <w:tc>
          <w:tcPr>
            <w:tcW w:w="2633" w:type="dxa"/>
            <w:noWrap/>
            <w:hideMark/>
          </w:tcPr>
          <w:p w14:paraId="0F904786"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S</w:t>
            </w:r>
          </w:p>
        </w:tc>
        <w:tc>
          <w:tcPr>
            <w:tcW w:w="2963" w:type="dxa"/>
            <w:noWrap/>
            <w:hideMark/>
          </w:tcPr>
          <w:p w14:paraId="2D14885E"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2,52</w:t>
            </w:r>
          </w:p>
        </w:tc>
        <w:tc>
          <w:tcPr>
            <w:tcW w:w="1054" w:type="dxa"/>
            <w:noWrap/>
            <w:hideMark/>
          </w:tcPr>
          <w:p w14:paraId="07C049D4"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1,38</w:t>
            </w:r>
          </w:p>
        </w:tc>
        <w:tc>
          <w:tcPr>
            <w:tcW w:w="1166" w:type="dxa"/>
            <w:noWrap/>
            <w:hideMark/>
          </w:tcPr>
          <w:p w14:paraId="76DD0F06"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1,23</w:t>
            </w:r>
          </w:p>
        </w:tc>
      </w:tr>
      <w:tr w:rsidR="00CB649A" w:rsidRPr="00814A81" w14:paraId="559EEABF" w14:textId="77777777" w:rsidTr="0057310C">
        <w:trPr>
          <w:trHeight w:val="300"/>
        </w:trPr>
        <w:tc>
          <w:tcPr>
            <w:tcW w:w="906" w:type="dxa"/>
            <w:noWrap/>
            <w:hideMark/>
          </w:tcPr>
          <w:p w14:paraId="33DC6538" w14:textId="77777777" w:rsidR="00CB649A" w:rsidRPr="000A2AFE" w:rsidRDefault="00CB649A" w:rsidP="00CB649A">
            <w:pPr>
              <w:spacing w:after="160"/>
              <w:rPr>
                <w:rFonts w:asciiTheme="majorHAnsi" w:eastAsia="Calibri" w:hAnsiTheme="majorHAnsi" w:cstheme="majorHAnsi"/>
                <w:bCs/>
                <w:sz w:val="22"/>
                <w:szCs w:val="22"/>
                <w:lang w:eastAsia="en-US"/>
              </w:rPr>
            </w:pPr>
          </w:p>
        </w:tc>
        <w:tc>
          <w:tcPr>
            <w:tcW w:w="2633" w:type="dxa"/>
            <w:noWrap/>
            <w:hideMark/>
          </w:tcPr>
          <w:p w14:paraId="2923EE83"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S-N</w:t>
            </w:r>
          </w:p>
        </w:tc>
        <w:tc>
          <w:tcPr>
            <w:tcW w:w="2963" w:type="dxa"/>
            <w:noWrap/>
            <w:hideMark/>
          </w:tcPr>
          <w:p w14:paraId="6281D0E9"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2,52</w:t>
            </w:r>
          </w:p>
        </w:tc>
        <w:tc>
          <w:tcPr>
            <w:tcW w:w="1054" w:type="dxa"/>
            <w:noWrap/>
            <w:hideMark/>
          </w:tcPr>
          <w:p w14:paraId="293852C3"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1,38</w:t>
            </w:r>
          </w:p>
        </w:tc>
        <w:tc>
          <w:tcPr>
            <w:tcW w:w="1166" w:type="dxa"/>
            <w:noWrap/>
            <w:hideMark/>
          </w:tcPr>
          <w:p w14:paraId="70CBCDB1"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1,23</w:t>
            </w:r>
          </w:p>
        </w:tc>
      </w:tr>
      <w:tr w:rsidR="00CB649A" w:rsidRPr="00814A81" w14:paraId="255066E0" w14:textId="77777777" w:rsidTr="0057310C">
        <w:trPr>
          <w:trHeight w:val="300"/>
        </w:trPr>
        <w:tc>
          <w:tcPr>
            <w:tcW w:w="906" w:type="dxa"/>
            <w:noWrap/>
            <w:hideMark/>
          </w:tcPr>
          <w:p w14:paraId="4CA08D82"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2029</w:t>
            </w:r>
          </w:p>
        </w:tc>
        <w:tc>
          <w:tcPr>
            <w:tcW w:w="2633" w:type="dxa"/>
            <w:noWrap/>
            <w:hideMark/>
          </w:tcPr>
          <w:p w14:paraId="46619230"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WEM</w:t>
            </w:r>
          </w:p>
        </w:tc>
        <w:tc>
          <w:tcPr>
            <w:tcW w:w="2963" w:type="dxa"/>
            <w:noWrap/>
            <w:hideMark/>
          </w:tcPr>
          <w:p w14:paraId="28320CBD"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2,48</w:t>
            </w:r>
          </w:p>
        </w:tc>
        <w:tc>
          <w:tcPr>
            <w:tcW w:w="1054" w:type="dxa"/>
            <w:noWrap/>
            <w:hideMark/>
          </w:tcPr>
          <w:p w14:paraId="231F6536"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0,75</w:t>
            </w:r>
          </w:p>
        </w:tc>
        <w:tc>
          <w:tcPr>
            <w:tcW w:w="1166" w:type="dxa"/>
            <w:noWrap/>
            <w:hideMark/>
          </w:tcPr>
          <w:p w14:paraId="067A8517"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0,38</w:t>
            </w:r>
          </w:p>
        </w:tc>
      </w:tr>
      <w:tr w:rsidR="00CB649A" w:rsidRPr="00814A81" w14:paraId="41A0D226" w14:textId="77777777" w:rsidTr="0057310C">
        <w:trPr>
          <w:trHeight w:val="300"/>
        </w:trPr>
        <w:tc>
          <w:tcPr>
            <w:tcW w:w="906" w:type="dxa"/>
            <w:noWrap/>
            <w:hideMark/>
          </w:tcPr>
          <w:p w14:paraId="1887569A" w14:textId="77777777" w:rsidR="00CB649A" w:rsidRPr="000A2AFE" w:rsidRDefault="00CB649A" w:rsidP="00CB649A">
            <w:pPr>
              <w:spacing w:after="160"/>
              <w:rPr>
                <w:rFonts w:asciiTheme="majorHAnsi" w:eastAsia="Calibri" w:hAnsiTheme="majorHAnsi" w:cstheme="majorHAnsi"/>
                <w:bCs/>
                <w:sz w:val="22"/>
                <w:szCs w:val="22"/>
                <w:lang w:eastAsia="en-US"/>
              </w:rPr>
            </w:pPr>
          </w:p>
        </w:tc>
        <w:tc>
          <w:tcPr>
            <w:tcW w:w="2633" w:type="dxa"/>
            <w:noWrap/>
            <w:hideMark/>
          </w:tcPr>
          <w:p w14:paraId="1B120067"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S</w:t>
            </w:r>
          </w:p>
        </w:tc>
        <w:tc>
          <w:tcPr>
            <w:tcW w:w="2963" w:type="dxa"/>
            <w:noWrap/>
            <w:hideMark/>
          </w:tcPr>
          <w:p w14:paraId="1CA63A93"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2,52</w:t>
            </w:r>
          </w:p>
        </w:tc>
        <w:tc>
          <w:tcPr>
            <w:tcW w:w="1054" w:type="dxa"/>
            <w:noWrap/>
            <w:hideMark/>
          </w:tcPr>
          <w:p w14:paraId="3021D3FF"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1,57</w:t>
            </w:r>
          </w:p>
        </w:tc>
        <w:tc>
          <w:tcPr>
            <w:tcW w:w="1166" w:type="dxa"/>
            <w:noWrap/>
            <w:hideMark/>
          </w:tcPr>
          <w:p w14:paraId="1CCEB920"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1,48</w:t>
            </w:r>
          </w:p>
        </w:tc>
      </w:tr>
      <w:tr w:rsidR="00CB649A" w:rsidRPr="00814A81" w14:paraId="3BDCBCB9" w14:textId="77777777" w:rsidTr="0057310C">
        <w:trPr>
          <w:trHeight w:val="300"/>
        </w:trPr>
        <w:tc>
          <w:tcPr>
            <w:tcW w:w="906" w:type="dxa"/>
            <w:noWrap/>
            <w:hideMark/>
          </w:tcPr>
          <w:p w14:paraId="51AAC742" w14:textId="77777777" w:rsidR="00CB649A" w:rsidRPr="000A2AFE" w:rsidRDefault="00CB649A" w:rsidP="00CB649A">
            <w:pPr>
              <w:spacing w:after="160"/>
              <w:rPr>
                <w:rFonts w:asciiTheme="majorHAnsi" w:eastAsia="Calibri" w:hAnsiTheme="majorHAnsi" w:cstheme="majorHAnsi"/>
                <w:bCs/>
                <w:sz w:val="22"/>
                <w:szCs w:val="22"/>
                <w:lang w:eastAsia="en-US"/>
              </w:rPr>
            </w:pPr>
          </w:p>
        </w:tc>
        <w:tc>
          <w:tcPr>
            <w:tcW w:w="2633" w:type="dxa"/>
            <w:noWrap/>
            <w:hideMark/>
          </w:tcPr>
          <w:p w14:paraId="1FAB0572"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S-N</w:t>
            </w:r>
          </w:p>
        </w:tc>
        <w:tc>
          <w:tcPr>
            <w:tcW w:w="2963" w:type="dxa"/>
            <w:noWrap/>
            <w:hideMark/>
          </w:tcPr>
          <w:p w14:paraId="7EFCB16A"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2,52</w:t>
            </w:r>
          </w:p>
        </w:tc>
        <w:tc>
          <w:tcPr>
            <w:tcW w:w="1054" w:type="dxa"/>
            <w:noWrap/>
            <w:hideMark/>
          </w:tcPr>
          <w:p w14:paraId="3F2F28E4"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1,57</w:t>
            </w:r>
          </w:p>
        </w:tc>
        <w:tc>
          <w:tcPr>
            <w:tcW w:w="1166" w:type="dxa"/>
            <w:noWrap/>
            <w:hideMark/>
          </w:tcPr>
          <w:p w14:paraId="0F409690"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1,48</w:t>
            </w:r>
          </w:p>
        </w:tc>
      </w:tr>
      <w:tr w:rsidR="00CB649A" w:rsidRPr="00814A81" w14:paraId="7239A648" w14:textId="77777777" w:rsidTr="0057310C">
        <w:trPr>
          <w:trHeight w:val="300"/>
        </w:trPr>
        <w:tc>
          <w:tcPr>
            <w:tcW w:w="906" w:type="dxa"/>
            <w:noWrap/>
            <w:hideMark/>
          </w:tcPr>
          <w:p w14:paraId="1E40D7B5"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2030</w:t>
            </w:r>
          </w:p>
        </w:tc>
        <w:tc>
          <w:tcPr>
            <w:tcW w:w="2633" w:type="dxa"/>
            <w:noWrap/>
            <w:hideMark/>
          </w:tcPr>
          <w:p w14:paraId="389FEDB5"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WEM</w:t>
            </w:r>
          </w:p>
        </w:tc>
        <w:tc>
          <w:tcPr>
            <w:tcW w:w="2963" w:type="dxa"/>
            <w:noWrap/>
            <w:hideMark/>
          </w:tcPr>
          <w:p w14:paraId="6A6F0002"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2,48</w:t>
            </w:r>
          </w:p>
        </w:tc>
        <w:tc>
          <w:tcPr>
            <w:tcW w:w="1054" w:type="dxa"/>
            <w:noWrap/>
            <w:hideMark/>
          </w:tcPr>
          <w:p w14:paraId="3F6042F7"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0,75</w:t>
            </w:r>
          </w:p>
        </w:tc>
        <w:tc>
          <w:tcPr>
            <w:tcW w:w="1166" w:type="dxa"/>
            <w:noWrap/>
            <w:hideMark/>
          </w:tcPr>
          <w:p w14:paraId="6AF5C955"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0,38</w:t>
            </w:r>
          </w:p>
        </w:tc>
      </w:tr>
      <w:tr w:rsidR="00CB649A" w:rsidRPr="00814A81" w14:paraId="799F6A5C" w14:textId="77777777" w:rsidTr="0057310C">
        <w:trPr>
          <w:trHeight w:val="300"/>
        </w:trPr>
        <w:tc>
          <w:tcPr>
            <w:tcW w:w="906" w:type="dxa"/>
            <w:noWrap/>
            <w:hideMark/>
          </w:tcPr>
          <w:p w14:paraId="28AD0148" w14:textId="77777777" w:rsidR="00CB649A" w:rsidRPr="000A2AFE" w:rsidRDefault="00CB649A" w:rsidP="00CB649A">
            <w:pPr>
              <w:spacing w:after="160"/>
              <w:rPr>
                <w:rFonts w:asciiTheme="majorHAnsi" w:eastAsia="Calibri" w:hAnsiTheme="majorHAnsi" w:cstheme="majorHAnsi"/>
                <w:bCs/>
                <w:sz w:val="22"/>
                <w:szCs w:val="22"/>
                <w:lang w:eastAsia="en-US"/>
              </w:rPr>
            </w:pPr>
          </w:p>
        </w:tc>
        <w:tc>
          <w:tcPr>
            <w:tcW w:w="2633" w:type="dxa"/>
            <w:noWrap/>
            <w:hideMark/>
          </w:tcPr>
          <w:p w14:paraId="1016FB01"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S</w:t>
            </w:r>
          </w:p>
        </w:tc>
        <w:tc>
          <w:tcPr>
            <w:tcW w:w="2963" w:type="dxa"/>
            <w:noWrap/>
            <w:hideMark/>
          </w:tcPr>
          <w:p w14:paraId="5CA812A7"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2,62</w:t>
            </w:r>
          </w:p>
        </w:tc>
        <w:tc>
          <w:tcPr>
            <w:tcW w:w="1054" w:type="dxa"/>
            <w:noWrap/>
            <w:hideMark/>
          </w:tcPr>
          <w:p w14:paraId="36E080D6"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1,77</w:t>
            </w:r>
          </w:p>
        </w:tc>
        <w:tc>
          <w:tcPr>
            <w:tcW w:w="1166" w:type="dxa"/>
            <w:noWrap/>
            <w:hideMark/>
          </w:tcPr>
          <w:p w14:paraId="5DBB685C"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1,73</w:t>
            </w:r>
          </w:p>
        </w:tc>
      </w:tr>
      <w:tr w:rsidR="00CB649A" w:rsidRPr="00814A81" w14:paraId="7CEEEEF3" w14:textId="77777777" w:rsidTr="0057310C">
        <w:trPr>
          <w:trHeight w:val="300"/>
        </w:trPr>
        <w:tc>
          <w:tcPr>
            <w:tcW w:w="906" w:type="dxa"/>
            <w:noWrap/>
            <w:hideMark/>
          </w:tcPr>
          <w:p w14:paraId="73C03C90" w14:textId="77777777" w:rsidR="00CB649A" w:rsidRPr="000A2AFE" w:rsidRDefault="00CB649A" w:rsidP="00CB649A">
            <w:pPr>
              <w:spacing w:after="160"/>
              <w:rPr>
                <w:rFonts w:asciiTheme="majorHAnsi" w:eastAsia="Calibri" w:hAnsiTheme="majorHAnsi" w:cstheme="majorHAnsi"/>
                <w:bCs/>
                <w:sz w:val="22"/>
                <w:szCs w:val="22"/>
                <w:lang w:eastAsia="en-US"/>
              </w:rPr>
            </w:pPr>
          </w:p>
        </w:tc>
        <w:tc>
          <w:tcPr>
            <w:tcW w:w="2633" w:type="dxa"/>
            <w:noWrap/>
            <w:hideMark/>
          </w:tcPr>
          <w:p w14:paraId="30E044F1"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S-N</w:t>
            </w:r>
          </w:p>
        </w:tc>
        <w:tc>
          <w:tcPr>
            <w:tcW w:w="2963" w:type="dxa"/>
            <w:noWrap/>
            <w:hideMark/>
          </w:tcPr>
          <w:p w14:paraId="26C1A94B"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2,62</w:t>
            </w:r>
          </w:p>
        </w:tc>
        <w:tc>
          <w:tcPr>
            <w:tcW w:w="1054" w:type="dxa"/>
            <w:noWrap/>
            <w:hideMark/>
          </w:tcPr>
          <w:p w14:paraId="6E88709E"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1,77</w:t>
            </w:r>
          </w:p>
        </w:tc>
        <w:tc>
          <w:tcPr>
            <w:tcW w:w="1166" w:type="dxa"/>
            <w:noWrap/>
            <w:hideMark/>
          </w:tcPr>
          <w:p w14:paraId="03555D74"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1,73</w:t>
            </w:r>
          </w:p>
        </w:tc>
      </w:tr>
      <w:tr w:rsidR="00CB649A" w:rsidRPr="00814A81" w14:paraId="50983546" w14:textId="77777777" w:rsidTr="0057310C">
        <w:trPr>
          <w:trHeight w:val="300"/>
        </w:trPr>
        <w:tc>
          <w:tcPr>
            <w:tcW w:w="906" w:type="dxa"/>
            <w:noWrap/>
            <w:hideMark/>
          </w:tcPr>
          <w:p w14:paraId="7551C8E0"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2035</w:t>
            </w:r>
          </w:p>
        </w:tc>
        <w:tc>
          <w:tcPr>
            <w:tcW w:w="2633" w:type="dxa"/>
            <w:noWrap/>
            <w:hideMark/>
          </w:tcPr>
          <w:p w14:paraId="5D94402B"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WEM</w:t>
            </w:r>
          </w:p>
        </w:tc>
        <w:tc>
          <w:tcPr>
            <w:tcW w:w="2963" w:type="dxa"/>
            <w:noWrap/>
            <w:hideMark/>
          </w:tcPr>
          <w:p w14:paraId="1B6EA922"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2,62</w:t>
            </w:r>
          </w:p>
        </w:tc>
        <w:tc>
          <w:tcPr>
            <w:tcW w:w="1054" w:type="dxa"/>
            <w:noWrap/>
            <w:hideMark/>
          </w:tcPr>
          <w:p w14:paraId="7F5B4C53"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0,75</w:t>
            </w:r>
          </w:p>
        </w:tc>
        <w:tc>
          <w:tcPr>
            <w:tcW w:w="1166" w:type="dxa"/>
            <w:noWrap/>
            <w:hideMark/>
          </w:tcPr>
          <w:p w14:paraId="6C8BF739"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0,38</w:t>
            </w:r>
          </w:p>
        </w:tc>
      </w:tr>
      <w:tr w:rsidR="00CB649A" w:rsidRPr="00814A81" w14:paraId="4DF98C6F" w14:textId="77777777" w:rsidTr="0057310C">
        <w:trPr>
          <w:trHeight w:val="300"/>
        </w:trPr>
        <w:tc>
          <w:tcPr>
            <w:tcW w:w="906" w:type="dxa"/>
            <w:noWrap/>
            <w:hideMark/>
          </w:tcPr>
          <w:p w14:paraId="7A40AA19" w14:textId="77777777" w:rsidR="00CB649A" w:rsidRPr="000A2AFE" w:rsidRDefault="00CB649A" w:rsidP="00CB649A">
            <w:pPr>
              <w:spacing w:after="160"/>
              <w:rPr>
                <w:rFonts w:asciiTheme="majorHAnsi" w:eastAsia="Calibri" w:hAnsiTheme="majorHAnsi" w:cstheme="majorHAnsi"/>
                <w:bCs/>
                <w:sz w:val="22"/>
                <w:szCs w:val="22"/>
                <w:lang w:eastAsia="en-US"/>
              </w:rPr>
            </w:pPr>
          </w:p>
        </w:tc>
        <w:tc>
          <w:tcPr>
            <w:tcW w:w="2633" w:type="dxa"/>
            <w:noWrap/>
            <w:hideMark/>
          </w:tcPr>
          <w:p w14:paraId="1DCA81F6"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S</w:t>
            </w:r>
          </w:p>
        </w:tc>
        <w:tc>
          <w:tcPr>
            <w:tcW w:w="2963" w:type="dxa"/>
            <w:noWrap/>
            <w:hideMark/>
          </w:tcPr>
          <w:p w14:paraId="7CE87E06"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2,95</w:t>
            </w:r>
          </w:p>
        </w:tc>
        <w:tc>
          <w:tcPr>
            <w:tcW w:w="1054" w:type="dxa"/>
            <w:noWrap/>
            <w:hideMark/>
          </w:tcPr>
          <w:p w14:paraId="7E37AD34"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3,07</w:t>
            </w:r>
          </w:p>
        </w:tc>
        <w:tc>
          <w:tcPr>
            <w:tcW w:w="1166" w:type="dxa"/>
            <w:noWrap/>
            <w:hideMark/>
          </w:tcPr>
          <w:p w14:paraId="38FC9C00"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3,93</w:t>
            </w:r>
          </w:p>
        </w:tc>
      </w:tr>
      <w:tr w:rsidR="00CB649A" w:rsidRPr="00814A81" w14:paraId="3511280A" w14:textId="77777777" w:rsidTr="0057310C">
        <w:trPr>
          <w:trHeight w:val="300"/>
        </w:trPr>
        <w:tc>
          <w:tcPr>
            <w:tcW w:w="906" w:type="dxa"/>
            <w:noWrap/>
            <w:hideMark/>
          </w:tcPr>
          <w:p w14:paraId="798D4F65" w14:textId="77777777" w:rsidR="00CB649A" w:rsidRPr="000A2AFE" w:rsidRDefault="00CB649A" w:rsidP="00CB649A">
            <w:pPr>
              <w:spacing w:after="160"/>
              <w:rPr>
                <w:rFonts w:asciiTheme="majorHAnsi" w:eastAsia="Calibri" w:hAnsiTheme="majorHAnsi" w:cstheme="majorHAnsi"/>
                <w:bCs/>
                <w:sz w:val="22"/>
                <w:szCs w:val="22"/>
                <w:lang w:eastAsia="en-US"/>
              </w:rPr>
            </w:pPr>
          </w:p>
        </w:tc>
        <w:tc>
          <w:tcPr>
            <w:tcW w:w="2633" w:type="dxa"/>
            <w:noWrap/>
            <w:hideMark/>
          </w:tcPr>
          <w:p w14:paraId="3D2BC410"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S-N</w:t>
            </w:r>
          </w:p>
        </w:tc>
        <w:tc>
          <w:tcPr>
            <w:tcW w:w="2963" w:type="dxa"/>
            <w:noWrap/>
            <w:hideMark/>
          </w:tcPr>
          <w:p w14:paraId="530D62B8"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2,95</w:t>
            </w:r>
          </w:p>
        </w:tc>
        <w:tc>
          <w:tcPr>
            <w:tcW w:w="1054" w:type="dxa"/>
            <w:noWrap/>
            <w:hideMark/>
          </w:tcPr>
          <w:p w14:paraId="4390FC91"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3,11</w:t>
            </w:r>
          </w:p>
        </w:tc>
        <w:tc>
          <w:tcPr>
            <w:tcW w:w="1166" w:type="dxa"/>
            <w:noWrap/>
            <w:hideMark/>
          </w:tcPr>
          <w:p w14:paraId="2C362AB5"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3,93</w:t>
            </w:r>
          </w:p>
        </w:tc>
      </w:tr>
      <w:tr w:rsidR="00CB649A" w:rsidRPr="00814A81" w14:paraId="74BD71C6" w14:textId="77777777" w:rsidTr="0057310C">
        <w:trPr>
          <w:trHeight w:val="300"/>
        </w:trPr>
        <w:tc>
          <w:tcPr>
            <w:tcW w:w="906" w:type="dxa"/>
            <w:noWrap/>
            <w:hideMark/>
          </w:tcPr>
          <w:p w14:paraId="6E39C9A4"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2040</w:t>
            </w:r>
          </w:p>
        </w:tc>
        <w:tc>
          <w:tcPr>
            <w:tcW w:w="2633" w:type="dxa"/>
            <w:noWrap/>
            <w:hideMark/>
          </w:tcPr>
          <w:p w14:paraId="39F999C1"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WEM</w:t>
            </w:r>
          </w:p>
        </w:tc>
        <w:tc>
          <w:tcPr>
            <w:tcW w:w="2963" w:type="dxa"/>
            <w:noWrap/>
            <w:hideMark/>
          </w:tcPr>
          <w:p w14:paraId="378C60A6"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2,94</w:t>
            </w:r>
          </w:p>
        </w:tc>
        <w:tc>
          <w:tcPr>
            <w:tcW w:w="1054" w:type="dxa"/>
            <w:noWrap/>
            <w:hideMark/>
          </w:tcPr>
          <w:p w14:paraId="1F648A7C"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0,75</w:t>
            </w:r>
          </w:p>
        </w:tc>
        <w:tc>
          <w:tcPr>
            <w:tcW w:w="1166" w:type="dxa"/>
            <w:noWrap/>
            <w:hideMark/>
          </w:tcPr>
          <w:p w14:paraId="6F218A24"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0,38</w:t>
            </w:r>
          </w:p>
        </w:tc>
      </w:tr>
      <w:tr w:rsidR="00CB649A" w:rsidRPr="00814A81" w14:paraId="43052951" w14:textId="77777777" w:rsidTr="0057310C">
        <w:trPr>
          <w:trHeight w:val="300"/>
        </w:trPr>
        <w:tc>
          <w:tcPr>
            <w:tcW w:w="906" w:type="dxa"/>
            <w:noWrap/>
            <w:hideMark/>
          </w:tcPr>
          <w:p w14:paraId="22C2ABF2" w14:textId="77777777" w:rsidR="00CB649A" w:rsidRPr="000A2AFE" w:rsidRDefault="00CB649A" w:rsidP="00CB649A">
            <w:pPr>
              <w:spacing w:after="160"/>
              <w:rPr>
                <w:rFonts w:asciiTheme="majorHAnsi" w:eastAsia="Calibri" w:hAnsiTheme="majorHAnsi" w:cstheme="majorHAnsi"/>
                <w:bCs/>
                <w:sz w:val="22"/>
                <w:szCs w:val="22"/>
                <w:lang w:eastAsia="en-US"/>
              </w:rPr>
            </w:pPr>
          </w:p>
        </w:tc>
        <w:tc>
          <w:tcPr>
            <w:tcW w:w="2633" w:type="dxa"/>
            <w:noWrap/>
            <w:hideMark/>
          </w:tcPr>
          <w:p w14:paraId="214B35DD"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S</w:t>
            </w:r>
          </w:p>
        </w:tc>
        <w:tc>
          <w:tcPr>
            <w:tcW w:w="2963" w:type="dxa"/>
            <w:noWrap/>
            <w:hideMark/>
          </w:tcPr>
          <w:p w14:paraId="5D5E15AE"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3,27</w:t>
            </w:r>
          </w:p>
        </w:tc>
        <w:tc>
          <w:tcPr>
            <w:tcW w:w="1054" w:type="dxa"/>
            <w:noWrap/>
            <w:hideMark/>
          </w:tcPr>
          <w:p w14:paraId="7D72AF77"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3,12</w:t>
            </w:r>
          </w:p>
        </w:tc>
        <w:tc>
          <w:tcPr>
            <w:tcW w:w="1166" w:type="dxa"/>
            <w:noWrap/>
            <w:hideMark/>
          </w:tcPr>
          <w:p w14:paraId="33C260B7"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7,36</w:t>
            </w:r>
          </w:p>
        </w:tc>
      </w:tr>
      <w:tr w:rsidR="00CB649A" w:rsidRPr="00814A81" w14:paraId="624E6C6E" w14:textId="77777777" w:rsidTr="0057310C">
        <w:trPr>
          <w:trHeight w:val="300"/>
        </w:trPr>
        <w:tc>
          <w:tcPr>
            <w:tcW w:w="906" w:type="dxa"/>
            <w:noWrap/>
            <w:hideMark/>
          </w:tcPr>
          <w:p w14:paraId="380EE44A" w14:textId="77777777" w:rsidR="00CB649A" w:rsidRPr="000A2AFE" w:rsidRDefault="00CB649A" w:rsidP="00CB649A">
            <w:pPr>
              <w:spacing w:after="160"/>
              <w:rPr>
                <w:rFonts w:asciiTheme="majorHAnsi" w:eastAsia="Calibri" w:hAnsiTheme="majorHAnsi" w:cstheme="majorHAnsi"/>
                <w:bCs/>
                <w:sz w:val="22"/>
                <w:szCs w:val="22"/>
                <w:lang w:eastAsia="en-US"/>
              </w:rPr>
            </w:pPr>
          </w:p>
        </w:tc>
        <w:tc>
          <w:tcPr>
            <w:tcW w:w="2633" w:type="dxa"/>
            <w:noWrap/>
            <w:hideMark/>
          </w:tcPr>
          <w:p w14:paraId="2E58B8E2"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S-N</w:t>
            </w:r>
          </w:p>
        </w:tc>
        <w:tc>
          <w:tcPr>
            <w:tcW w:w="2963" w:type="dxa"/>
            <w:noWrap/>
            <w:hideMark/>
          </w:tcPr>
          <w:p w14:paraId="1CB99351"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3,27</w:t>
            </w:r>
          </w:p>
        </w:tc>
        <w:tc>
          <w:tcPr>
            <w:tcW w:w="1054" w:type="dxa"/>
            <w:noWrap/>
            <w:hideMark/>
          </w:tcPr>
          <w:p w14:paraId="16553C68"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3,16</w:t>
            </w:r>
          </w:p>
        </w:tc>
        <w:tc>
          <w:tcPr>
            <w:tcW w:w="1166" w:type="dxa"/>
            <w:noWrap/>
            <w:hideMark/>
          </w:tcPr>
          <w:p w14:paraId="5EFB1B2D"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7,37</w:t>
            </w:r>
          </w:p>
        </w:tc>
      </w:tr>
      <w:tr w:rsidR="00CB649A" w:rsidRPr="00814A81" w14:paraId="6E8160D6" w14:textId="77777777" w:rsidTr="0057310C">
        <w:trPr>
          <w:trHeight w:val="300"/>
        </w:trPr>
        <w:tc>
          <w:tcPr>
            <w:tcW w:w="906" w:type="dxa"/>
            <w:noWrap/>
            <w:hideMark/>
          </w:tcPr>
          <w:p w14:paraId="75A2A50E"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2045</w:t>
            </w:r>
          </w:p>
        </w:tc>
        <w:tc>
          <w:tcPr>
            <w:tcW w:w="2633" w:type="dxa"/>
            <w:noWrap/>
            <w:hideMark/>
          </w:tcPr>
          <w:p w14:paraId="7BA2F5E8"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WEM</w:t>
            </w:r>
          </w:p>
        </w:tc>
        <w:tc>
          <w:tcPr>
            <w:tcW w:w="2963" w:type="dxa"/>
            <w:noWrap/>
            <w:hideMark/>
          </w:tcPr>
          <w:p w14:paraId="35C0ADCF"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2,94</w:t>
            </w:r>
          </w:p>
        </w:tc>
        <w:tc>
          <w:tcPr>
            <w:tcW w:w="1054" w:type="dxa"/>
            <w:noWrap/>
            <w:hideMark/>
          </w:tcPr>
          <w:p w14:paraId="3BD8A0A9"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0,74</w:t>
            </w:r>
          </w:p>
        </w:tc>
        <w:tc>
          <w:tcPr>
            <w:tcW w:w="1166" w:type="dxa"/>
            <w:noWrap/>
            <w:hideMark/>
          </w:tcPr>
          <w:p w14:paraId="009851A9"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0,37</w:t>
            </w:r>
          </w:p>
        </w:tc>
      </w:tr>
      <w:tr w:rsidR="00CB649A" w:rsidRPr="00814A81" w14:paraId="6CEEC0D1" w14:textId="77777777" w:rsidTr="0057310C">
        <w:trPr>
          <w:trHeight w:val="300"/>
        </w:trPr>
        <w:tc>
          <w:tcPr>
            <w:tcW w:w="906" w:type="dxa"/>
            <w:noWrap/>
            <w:hideMark/>
          </w:tcPr>
          <w:p w14:paraId="746CE488" w14:textId="77777777" w:rsidR="00CB649A" w:rsidRPr="000A2AFE" w:rsidRDefault="00CB649A" w:rsidP="00CB649A">
            <w:pPr>
              <w:spacing w:after="160"/>
              <w:rPr>
                <w:rFonts w:asciiTheme="majorHAnsi" w:eastAsia="Calibri" w:hAnsiTheme="majorHAnsi" w:cstheme="majorHAnsi"/>
                <w:bCs/>
                <w:sz w:val="22"/>
                <w:szCs w:val="22"/>
                <w:lang w:eastAsia="en-US"/>
              </w:rPr>
            </w:pPr>
          </w:p>
        </w:tc>
        <w:tc>
          <w:tcPr>
            <w:tcW w:w="2633" w:type="dxa"/>
            <w:noWrap/>
            <w:hideMark/>
          </w:tcPr>
          <w:p w14:paraId="10882547"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S</w:t>
            </w:r>
          </w:p>
        </w:tc>
        <w:tc>
          <w:tcPr>
            <w:tcW w:w="2963" w:type="dxa"/>
            <w:noWrap/>
            <w:hideMark/>
          </w:tcPr>
          <w:p w14:paraId="520ACF9C"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3,39</w:t>
            </w:r>
          </w:p>
        </w:tc>
        <w:tc>
          <w:tcPr>
            <w:tcW w:w="1054" w:type="dxa"/>
            <w:noWrap/>
            <w:hideMark/>
          </w:tcPr>
          <w:p w14:paraId="03CB8411"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5,42</w:t>
            </w:r>
          </w:p>
        </w:tc>
        <w:tc>
          <w:tcPr>
            <w:tcW w:w="1166" w:type="dxa"/>
            <w:noWrap/>
            <w:hideMark/>
          </w:tcPr>
          <w:p w14:paraId="31964556"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11,98</w:t>
            </w:r>
          </w:p>
        </w:tc>
      </w:tr>
      <w:tr w:rsidR="00CB649A" w:rsidRPr="00814A81" w14:paraId="10C73454" w14:textId="77777777" w:rsidTr="0057310C">
        <w:trPr>
          <w:trHeight w:val="300"/>
        </w:trPr>
        <w:tc>
          <w:tcPr>
            <w:tcW w:w="906" w:type="dxa"/>
            <w:noWrap/>
            <w:hideMark/>
          </w:tcPr>
          <w:p w14:paraId="1E680432" w14:textId="77777777" w:rsidR="00CB649A" w:rsidRPr="000A2AFE" w:rsidRDefault="00CB649A" w:rsidP="00CB649A">
            <w:pPr>
              <w:spacing w:after="160"/>
              <w:rPr>
                <w:rFonts w:asciiTheme="majorHAnsi" w:eastAsia="Calibri" w:hAnsiTheme="majorHAnsi" w:cstheme="majorHAnsi"/>
                <w:bCs/>
                <w:sz w:val="22"/>
                <w:szCs w:val="22"/>
                <w:lang w:eastAsia="en-US"/>
              </w:rPr>
            </w:pPr>
          </w:p>
        </w:tc>
        <w:tc>
          <w:tcPr>
            <w:tcW w:w="2633" w:type="dxa"/>
            <w:noWrap/>
            <w:hideMark/>
          </w:tcPr>
          <w:p w14:paraId="1775A5CB"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S-N</w:t>
            </w:r>
          </w:p>
        </w:tc>
        <w:tc>
          <w:tcPr>
            <w:tcW w:w="2963" w:type="dxa"/>
            <w:noWrap/>
            <w:hideMark/>
          </w:tcPr>
          <w:p w14:paraId="176615FE"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3,39</w:t>
            </w:r>
          </w:p>
        </w:tc>
        <w:tc>
          <w:tcPr>
            <w:tcW w:w="1054" w:type="dxa"/>
            <w:noWrap/>
            <w:hideMark/>
          </w:tcPr>
          <w:p w14:paraId="4266826C"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5,46</w:t>
            </w:r>
          </w:p>
        </w:tc>
        <w:tc>
          <w:tcPr>
            <w:tcW w:w="1166" w:type="dxa"/>
            <w:noWrap/>
            <w:hideMark/>
          </w:tcPr>
          <w:p w14:paraId="71A63835"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11,70</w:t>
            </w:r>
          </w:p>
        </w:tc>
      </w:tr>
      <w:tr w:rsidR="00CB649A" w:rsidRPr="00814A81" w14:paraId="544BDC05" w14:textId="77777777" w:rsidTr="0057310C">
        <w:trPr>
          <w:trHeight w:val="300"/>
        </w:trPr>
        <w:tc>
          <w:tcPr>
            <w:tcW w:w="906" w:type="dxa"/>
            <w:noWrap/>
            <w:hideMark/>
          </w:tcPr>
          <w:p w14:paraId="452F43B8"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2050</w:t>
            </w:r>
          </w:p>
        </w:tc>
        <w:tc>
          <w:tcPr>
            <w:tcW w:w="2633" w:type="dxa"/>
            <w:noWrap/>
            <w:hideMark/>
          </w:tcPr>
          <w:p w14:paraId="4145D571"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WEM</w:t>
            </w:r>
          </w:p>
        </w:tc>
        <w:tc>
          <w:tcPr>
            <w:tcW w:w="2963" w:type="dxa"/>
            <w:noWrap/>
            <w:hideMark/>
          </w:tcPr>
          <w:p w14:paraId="2F1A2399"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3,29</w:t>
            </w:r>
          </w:p>
        </w:tc>
        <w:tc>
          <w:tcPr>
            <w:tcW w:w="1054" w:type="dxa"/>
            <w:noWrap/>
            <w:hideMark/>
          </w:tcPr>
          <w:p w14:paraId="18D46C5E"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1,66</w:t>
            </w:r>
          </w:p>
        </w:tc>
        <w:tc>
          <w:tcPr>
            <w:tcW w:w="1166" w:type="dxa"/>
            <w:noWrap/>
            <w:hideMark/>
          </w:tcPr>
          <w:p w14:paraId="284E0613"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1,77</w:t>
            </w:r>
          </w:p>
        </w:tc>
      </w:tr>
      <w:tr w:rsidR="00CB649A" w:rsidRPr="00814A81" w14:paraId="7509B179" w14:textId="77777777" w:rsidTr="0057310C">
        <w:trPr>
          <w:trHeight w:val="300"/>
        </w:trPr>
        <w:tc>
          <w:tcPr>
            <w:tcW w:w="906" w:type="dxa"/>
            <w:noWrap/>
            <w:hideMark/>
          </w:tcPr>
          <w:p w14:paraId="7D4492D7" w14:textId="77777777" w:rsidR="00CB649A" w:rsidRPr="000A2AFE" w:rsidRDefault="00CB649A" w:rsidP="00CB649A">
            <w:pPr>
              <w:spacing w:after="160"/>
              <w:rPr>
                <w:rFonts w:asciiTheme="majorHAnsi" w:eastAsia="Calibri" w:hAnsiTheme="majorHAnsi" w:cstheme="majorHAnsi"/>
                <w:bCs/>
                <w:sz w:val="22"/>
                <w:szCs w:val="22"/>
                <w:lang w:eastAsia="en-US"/>
              </w:rPr>
            </w:pPr>
          </w:p>
        </w:tc>
        <w:tc>
          <w:tcPr>
            <w:tcW w:w="2633" w:type="dxa"/>
            <w:noWrap/>
            <w:hideMark/>
          </w:tcPr>
          <w:p w14:paraId="4AC238F1"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S</w:t>
            </w:r>
          </w:p>
        </w:tc>
        <w:tc>
          <w:tcPr>
            <w:tcW w:w="2963" w:type="dxa"/>
            <w:noWrap/>
            <w:hideMark/>
          </w:tcPr>
          <w:p w14:paraId="180F52B0"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3,39</w:t>
            </w:r>
          </w:p>
        </w:tc>
        <w:tc>
          <w:tcPr>
            <w:tcW w:w="1054" w:type="dxa"/>
            <w:noWrap/>
            <w:hideMark/>
          </w:tcPr>
          <w:p w14:paraId="1EE3FB50"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7,97</w:t>
            </w:r>
          </w:p>
        </w:tc>
        <w:tc>
          <w:tcPr>
            <w:tcW w:w="1166" w:type="dxa"/>
            <w:noWrap/>
            <w:hideMark/>
          </w:tcPr>
          <w:p w14:paraId="2B2CE995"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18,50</w:t>
            </w:r>
          </w:p>
        </w:tc>
      </w:tr>
      <w:tr w:rsidR="00CB649A" w:rsidRPr="00814A81" w14:paraId="6D6F74CA" w14:textId="77777777" w:rsidTr="0057310C">
        <w:trPr>
          <w:trHeight w:val="300"/>
        </w:trPr>
        <w:tc>
          <w:tcPr>
            <w:tcW w:w="906" w:type="dxa"/>
            <w:noWrap/>
            <w:hideMark/>
          </w:tcPr>
          <w:p w14:paraId="0FEA5F94" w14:textId="77777777" w:rsidR="00CB649A" w:rsidRPr="000A2AFE" w:rsidRDefault="00CB649A" w:rsidP="00CB649A">
            <w:pPr>
              <w:spacing w:after="160"/>
              <w:rPr>
                <w:rFonts w:asciiTheme="majorHAnsi" w:eastAsia="Calibri" w:hAnsiTheme="majorHAnsi" w:cstheme="majorHAnsi"/>
                <w:bCs/>
                <w:sz w:val="22"/>
                <w:szCs w:val="22"/>
                <w:lang w:eastAsia="en-US"/>
              </w:rPr>
            </w:pPr>
          </w:p>
        </w:tc>
        <w:tc>
          <w:tcPr>
            <w:tcW w:w="2633" w:type="dxa"/>
            <w:noWrap/>
            <w:hideMark/>
          </w:tcPr>
          <w:p w14:paraId="2D61648B" w14:textId="77777777" w:rsidR="00CB649A" w:rsidRPr="000A2AFE" w:rsidRDefault="00CB649A" w:rsidP="00CB649A">
            <w:pPr>
              <w:spacing w:after="160"/>
              <w:rPr>
                <w:rFonts w:asciiTheme="majorHAnsi" w:eastAsia="Calibri" w:hAnsiTheme="majorHAnsi" w:cstheme="majorHAnsi"/>
                <w:bCs/>
                <w:i/>
                <w:iCs/>
                <w:sz w:val="22"/>
                <w:szCs w:val="22"/>
                <w:lang w:eastAsia="en-US"/>
              </w:rPr>
            </w:pPr>
            <w:r w:rsidRPr="000A2AFE">
              <w:rPr>
                <w:rFonts w:asciiTheme="majorHAnsi" w:eastAsia="Calibri" w:hAnsiTheme="majorHAnsi" w:cstheme="majorHAnsi"/>
                <w:bCs/>
                <w:i/>
                <w:iCs/>
              </w:rPr>
              <w:t>S-N</w:t>
            </w:r>
          </w:p>
        </w:tc>
        <w:tc>
          <w:tcPr>
            <w:tcW w:w="2963" w:type="dxa"/>
            <w:noWrap/>
            <w:hideMark/>
          </w:tcPr>
          <w:p w14:paraId="0C5AEFAE"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3,39</w:t>
            </w:r>
          </w:p>
        </w:tc>
        <w:tc>
          <w:tcPr>
            <w:tcW w:w="1054" w:type="dxa"/>
            <w:noWrap/>
            <w:hideMark/>
          </w:tcPr>
          <w:p w14:paraId="17A9AF1E"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8,01</w:t>
            </w:r>
          </w:p>
        </w:tc>
        <w:tc>
          <w:tcPr>
            <w:tcW w:w="1166" w:type="dxa"/>
            <w:noWrap/>
            <w:hideMark/>
          </w:tcPr>
          <w:p w14:paraId="63AFE19F" w14:textId="77777777" w:rsidR="00CB649A" w:rsidRPr="000A2AFE" w:rsidRDefault="00CB649A" w:rsidP="00CB649A">
            <w:pPr>
              <w:spacing w:after="160"/>
              <w:rPr>
                <w:rFonts w:asciiTheme="majorHAnsi" w:eastAsia="Calibri" w:hAnsiTheme="majorHAnsi" w:cstheme="majorHAnsi"/>
                <w:bCs/>
                <w:sz w:val="22"/>
                <w:szCs w:val="22"/>
                <w:lang w:eastAsia="en-US"/>
              </w:rPr>
            </w:pPr>
            <w:r w:rsidRPr="000A2AFE">
              <w:rPr>
                <w:rFonts w:asciiTheme="majorHAnsi" w:eastAsia="Calibri" w:hAnsiTheme="majorHAnsi" w:cstheme="majorHAnsi"/>
                <w:bCs/>
              </w:rPr>
              <w:t>16,66</w:t>
            </w:r>
          </w:p>
        </w:tc>
      </w:tr>
    </w:tbl>
    <w:p w14:paraId="393EF814" w14:textId="5A611633" w:rsidR="00791E8B" w:rsidRPr="00565B02" w:rsidRDefault="002066EE">
      <w:pPr>
        <w:spacing w:before="100" w:beforeAutospacing="1"/>
        <w:jc w:val="both"/>
        <w:rPr>
          <w:rFonts w:ascii="Calibri Light" w:eastAsia="Calibri" w:hAnsi="Calibri Light" w:cs="Calibri Light"/>
          <w:bCs/>
        </w:rPr>
      </w:pPr>
      <w:r>
        <w:rPr>
          <w:rFonts w:ascii="Calibri Light" w:eastAsia="Calibri" w:hAnsi="Calibri Light" w:cs="Calibri Light"/>
          <w:bCs/>
        </w:rPr>
        <w:t xml:space="preserve">Производња електричне енергије по типу извора из сценарија </w:t>
      </w:r>
      <w:r>
        <w:rPr>
          <w:rFonts w:ascii="Calibri Light" w:eastAsia="Calibri" w:hAnsi="Calibri Light" w:cs="Calibri Light"/>
          <w:bCs/>
          <w:lang w:val="sr-Latn-RS"/>
        </w:rPr>
        <w:t>S</w:t>
      </w:r>
      <w:r>
        <w:rPr>
          <w:rFonts w:ascii="Calibri Light" w:eastAsia="Calibri" w:hAnsi="Calibri Light" w:cs="Calibri Light"/>
          <w:bCs/>
        </w:rPr>
        <w:t xml:space="preserve"> приказана </w:t>
      </w:r>
      <w:r w:rsidRPr="00B76E09">
        <w:rPr>
          <w:rFonts w:ascii="Calibri Light" w:eastAsia="Calibri" w:hAnsi="Calibri Light" w:cs="Calibri Light"/>
          <w:bCs/>
        </w:rPr>
        <w:t>је на</w:t>
      </w:r>
      <w:r w:rsidR="007009FB">
        <w:rPr>
          <w:rFonts w:ascii="Calibri Light" w:eastAsia="Calibri" w:hAnsi="Calibri Light" w:cs="Calibri Light"/>
          <w:bCs/>
        </w:rPr>
        <w:t xml:space="preserve"> </w:t>
      </w:r>
      <w:r w:rsidR="007009FB">
        <w:rPr>
          <w:rFonts w:ascii="Calibri Light" w:eastAsia="Calibri" w:hAnsi="Calibri Light" w:cs="Calibri Light"/>
          <w:bCs/>
        </w:rPr>
        <w:fldChar w:fldCharType="begin"/>
      </w:r>
      <w:r w:rsidR="007009FB">
        <w:rPr>
          <w:rFonts w:ascii="Calibri Light" w:eastAsia="Calibri" w:hAnsi="Calibri Light" w:cs="Calibri Light"/>
          <w:bCs/>
        </w:rPr>
        <w:instrText xml:space="preserve"> REF _Ref153887696 \h  \* MERGEFORMAT </w:instrText>
      </w:r>
      <w:r w:rsidR="007009FB">
        <w:rPr>
          <w:rFonts w:ascii="Calibri Light" w:eastAsia="Calibri" w:hAnsi="Calibri Light" w:cs="Calibri Light"/>
          <w:bCs/>
        </w:rPr>
      </w:r>
      <w:r w:rsidR="007009FB">
        <w:rPr>
          <w:rFonts w:ascii="Calibri Light" w:eastAsia="Calibri" w:hAnsi="Calibri Light" w:cs="Calibri Light"/>
          <w:bCs/>
        </w:rPr>
        <w:fldChar w:fldCharType="separate"/>
      </w:r>
      <w:r w:rsidR="007009FB" w:rsidRPr="00565B02">
        <w:rPr>
          <w:rFonts w:ascii="Calibri Light" w:eastAsia="Calibri" w:hAnsi="Calibri Light" w:cs="Calibri Light"/>
          <w:bCs/>
        </w:rPr>
        <w:t>слици 5.15</w:t>
      </w:r>
      <w:r w:rsidR="007009FB">
        <w:rPr>
          <w:rFonts w:ascii="Calibri Light" w:eastAsia="Calibri" w:hAnsi="Calibri Light" w:cs="Calibri Light"/>
          <w:bCs/>
        </w:rPr>
        <w:fldChar w:fldCharType="end"/>
      </w:r>
      <w:r w:rsidRPr="00B76E09">
        <w:rPr>
          <w:rFonts w:ascii="Calibri Light" w:eastAsia="Calibri" w:hAnsi="Calibri Light" w:cs="Calibri Light"/>
          <w:bCs/>
        </w:rPr>
        <w:t>.</w:t>
      </w:r>
      <w:r>
        <w:rPr>
          <w:rFonts w:ascii="Calibri Light" w:eastAsia="Calibri" w:hAnsi="Calibri Light" w:cs="Calibri Light"/>
          <w:bCs/>
        </w:rPr>
        <w:t xml:space="preserve"> Како се може видети са слике нема производње електричне енергије из термоелектрана на лигнит у 2050. години, и мале су вредности производње из електрана на гас, које настављају да раде из разлога одржања адекватности производње.</w:t>
      </w:r>
    </w:p>
    <w:p w14:paraId="47047296" w14:textId="5729859D" w:rsidR="007009FB" w:rsidRDefault="007009FB" w:rsidP="00565B02">
      <w:pPr>
        <w:pStyle w:val="Caption"/>
        <w:keepNext/>
      </w:pPr>
      <w:bookmarkStart w:id="386" w:name="_Ref153887696"/>
      <w:bookmarkStart w:id="387" w:name="_Toc153901427"/>
      <w:r>
        <w:lastRenderedPageBreak/>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15</w:t>
      </w:r>
      <w:r w:rsidR="00F35B2C">
        <w:fldChar w:fldCharType="end"/>
      </w:r>
      <w:bookmarkEnd w:id="386"/>
      <w:r>
        <w:t xml:space="preserve">: </w:t>
      </w:r>
      <w:r w:rsidRPr="007009FB">
        <w:t>Производња електричне енергије по извору у Сценарију S</w:t>
      </w:r>
      <w:bookmarkEnd w:id="387"/>
    </w:p>
    <w:p w14:paraId="09306F10" w14:textId="662C5069" w:rsidR="00791E8B" w:rsidRPr="002066EE" w:rsidRDefault="00F539A5" w:rsidP="00565B02">
      <w:pPr>
        <w:spacing w:before="100" w:beforeAutospacing="1"/>
        <w:jc w:val="center"/>
        <w:rPr>
          <w:rFonts w:ascii="Calibri Light" w:eastAsia="Calibri" w:hAnsi="Calibri Light" w:cs="Calibri Light"/>
          <w:bCs/>
        </w:rPr>
      </w:pPr>
      <w:r>
        <w:rPr>
          <w:noProof/>
          <w:lang w:val="en-US"/>
        </w:rPr>
        <w:drawing>
          <wp:inline distT="0" distB="0" distL="0" distR="0" wp14:anchorId="4D15AC21" wp14:editId="6E018341">
            <wp:extent cx="6005830" cy="4282440"/>
            <wp:effectExtent l="0" t="0" r="0" b="0"/>
            <wp:docPr id="1429422241" name="Chart 1">
              <a:extLst xmlns:a="http://schemas.openxmlformats.org/drawingml/2006/main">
                <a:ext uri="{FF2B5EF4-FFF2-40B4-BE49-F238E27FC236}">
                  <a16:creationId xmlns:a16="http://schemas.microsoft.com/office/drawing/2014/main" id="{57F68632-A3EC-F9B4-CE2B-AC653222FE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24267424" w14:textId="0835C484" w:rsidR="00063826" w:rsidRDefault="00063826" w:rsidP="004F3731">
      <w:pPr>
        <w:pStyle w:val="LDKBody1"/>
        <w:rPr>
          <w:rFonts w:eastAsia="Calibri"/>
        </w:rPr>
      </w:pPr>
      <w:r w:rsidRPr="00063826">
        <w:rPr>
          <w:rFonts w:eastAsia="Calibri"/>
        </w:rPr>
        <w:t xml:space="preserve">Детаљна анализа рада електроенергетског система </w:t>
      </w:r>
      <w:r>
        <w:rPr>
          <w:rFonts w:eastAsia="Calibri"/>
        </w:rPr>
        <w:t>у</w:t>
      </w:r>
      <w:r w:rsidRPr="00063826">
        <w:rPr>
          <w:rFonts w:eastAsia="Calibri"/>
        </w:rPr>
        <w:t xml:space="preserve"> сценарију S, на сатном нивоу, извршена је за две референтне године (2030. и 2040.) коришћењем софтвера ANTARES (Анекс II). За 2030. </w:t>
      </w:r>
      <w:r>
        <w:rPr>
          <w:rFonts w:eastAsia="Calibri"/>
        </w:rPr>
        <w:t xml:space="preserve">годину </w:t>
      </w:r>
      <w:r w:rsidRPr="00063826">
        <w:rPr>
          <w:rFonts w:eastAsia="Calibri"/>
        </w:rPr>
        <w:t>резултати показују да је неиспоручена енергија практично једнака нули, што значи да је адекватност производње система робусна. Штавише, нема расипања енергије (нема ограничења производње електричне енергије из варијабилних обновљивих извора), стога је систем довољно флексибилан да прихвати моделоване варијабилне капацитете ОИЕ, барем на нивоу дан унапред тржишта. Анализа за 2040. годину показује да је неиспоручена енергија једнака нули, што означава да је задовољена адекватност производње система. Постоји нешто расипања енергије у 2040. години, али ниво је занемарљив и не прелази 0,01% укупне расположиве производње из ветра и сунца. То значи да је систем довољно флексибилан да прихвати моделоване варијабилне капацитете ОИЕ за 2040. годину, барем на нивоу дан унапред тржишта.</w:t>
      </w:r>
    </w:p>
    <w:p w14:paraId="08655166" w14:textId="3AFE5BC1" w:rsidR="004F3731" w:rsidRPr="00FF386D" w:rsidRDefault="004F3731" w:rsidP="004F3731">
      <w:pPr>
        <w:pStyle w:val="LDKBody1"/>
        <w:rPr>
          <w:rFonts w:eastAsia="Calibri"/>
        </w:rPr>
      </w:pPr>
      <w:r w:rsidRPr="00FF386D">
        <w:rPr>
          <w:rFonts w:eastAsia="Calibri"/>
        </w:rPr>
        <w:t xml:space="preserve">У </w:t>
      </w:r>
      <w:r w:rsidRPr="00FF386D">
        <w:rPr>
          <w:rFonts w:eastAsia="Calibri"/>
          <w:i/>
        </w:rPr>
        <w:t>WEM</w:t>
      </w:r>
      <w:r w:rsidRPr="00FF386D">
        <w:rPr>
          <w:rFonts w:eastAsia="Calibri"/>
        </w:rPr>
        <w:t xml:space="preserve"> сценарију, очекује се да ће потрошња електричне енергије </w:t>
      </w:r>
      <w:r w:rsidR="00CB649A" w:rsidRPr="00FF386D">
        <w:rPr>
          <w:rFonts w:eastAsia="Calibri"/>
        </w:rPr>
        <w:t xml:space="preserve">у вандрумском саобраћају </w:t>
      </w:r>
      <w:r w:rsidRPr="00FF386D">
        <w:rPr>
          <w:rFonts w:eastAsia="Calibri"/>
        </w:rPr>
        <w:t xml:space="preserve">из обновљивих извора достићи 14 ktoe у 2030. години, док ће износити </w:t>
      </w:r>
      <w:r w:rsidR="00CB649A" w:rsidRPr="00FF386D">
        <w:rPr>
          <w:rFonts w:eastAsia="Calibri"/>
        </w:rPr>
        <w:t>11</w:t>
      </w:r>
      <w:r w:rsidRPr="00FF386D">
        <w:rPr>
          <w:rFonts w:eastAsia="Calibri"/>
        </w:rPr>
        <w:t xml:space="preserve"> ktoe у оба сценарија </w:t>
      </w:r>
      <w:r w:rsidRPr="00FF386D">
        <w:rPr>
          <w:rFonts w:eastAsia="Calibri"/>
          <w:i/>
          <w:iCs/>
        </w:rPr>
        <w:t>S</w:t>
      </w:r>
      <w:r w:rsidRPr="00FF386D">
        <w:rPr>
          <w:rFonts w:eastAsia="Calibri"/>
        </w:rPr>
        <w:t xml:space="preserve"> и </w:t>
      </w:r>
      <w:r w:rsidRPr="00FF386D">
        <w:rPr>
          <w:rFonts w:eastAsia="Calibri"/>
          <w:i/>
          <w:iCs/>
        </w:rPr>
        <w:t>S-N</w:t>
      </w:r>
      <w:r w:rsidRPr="00FF386D">
        <w:rPr>
          <w:rFonts w:eastAsia="Calibri"/>
        </w:rPr>
        <w:t xml:space="preserve"> током исте године (</w:t>
      </w:r>
      <w:r w:rsidR="007009FB">
        <w:rPr>
          <w:rFonts w:eastAsia="Calibri"/>
        </w:rPr>
        <w:fldChar w:fldCharType="begin"/>
      </w:r>
      <w:r w:rsidR="007009FB">
        <w:rPr>
          <w:rFonts w:eastAsia="Calibri"/>
        </w:rPr>
        <w:instrText xml:space="preserve"> REF _Ref153887891 \h </w:instrText>
      </w:r>
      <w:r w:rsidR="007009FB">
        <w:rPr>
          <w:rFonts w:eastAsia="Calibri"/>
        </w:rPr>
      </w:r>
      <w:r w:rsidR="007009FB">
        <w:rPr>
          <w:rFonts w:eastAsia="Calibri"/>
        </w:rPr>
        <w:fldChar w:fldCharType="separate"/>
      </w:r>
      <w:r w:rsidR="007009FB">
        <w:t xml:space="preserve">Слика </w:t>
      </w:r>
      <w:r w:rsidR="007009FB">
        <w:rPr>
          <w:noProof/>
        </w:rPr>
        <w:t>5</w:t>
      </w:r>
      <w:r w:rsidR="007009FB">
        <w:t>.</w:t>
      </w:r>
      <w:r w:rsidR="007009FB">
        <w:rPr>
          <w:noProof/>
        </w:rPr>
        <w:t>16</w:t>
      </w:r>
      <w:r w:rsidR="007009FB">
        <w:rPr>
          <w:rFonts w:eastAsia="Calibri"/>
        </w:rPr>
        <w:fldChar w:fldCharType="end"/>
      </w:r>
      <w:r w:rsidRPr="00FF386D">
        <w:rPr>
          <w:rFonts w:eastAsia="Calibri"/>
        </w:rPr>
        <w:t xml:space="preserve">). У 2050. години, у </w:t>
      </w:r>
      <w:r w:rsidRPr="00FF386D">
        <w:rPr>
          <w:rFonts w:eastAsia="Calibri"/>
          <w:i/>
        </w:rPr>
        <w:t>WEM</w:t>
      </w:r>
      <w:r w:rsidRPr="00FF386D">
        <w:rPr>
          <w:rFonts w:eastAsia="Calibri"/>
        </w:rPr>
        <w:t xml:space="preserve"> сценарију се очекује повећање потрошње електричне енергије </w:t>
      </w:r>
      <w:r w:rsidR="00CB649A" w:rsidRPr="00FF386D">
        <w:rPr>
          <w:rFonts w:eastAsia="Calibri"/>
        </w:rPr>
        <w:t xml:space="preserve">у вандрумском саобраћају </w:t>
      </w:r>
      <w:r w:rsidRPr="00FF386D">
        <w:rPr>
          <w:rFonts w:eastAsia="Calibri"/>
        </w:rPr>
        <w:t xml:space="preserve">из обновљивих извора, достижући </w:t>
      </w:r>
      <w:r w:rsidR="00E470AC" w:rsidRPr="00FF386D">
        <w:rPr>
          <w:rFonts w:eastAsia="Calibri"/>
        </w:rPr>
        <w:t>19</w:t>
      </w:r>
      <w:r w:rsidRPr="00FF386D">
        <w:rPr>
          <w:rFonts w:eastAsia="Calibri"/>
        </w:rPr>
        <w:t xml:space="preserve"> ktoe, у поређењу са сценаријима </w:t>
      </w:r>
      <w:r w:rsidRPr="00FF386D">
        <w:rPr>
          <w:rFonts w:eastAsia="Calibri"/>
          <w:i/>
          <w:iCs/>
        </w:rPr>
        <w:t>S</w:t>
      </w:r>
      <w:r w:rsidRPr="00FF386D">
        <w:rPr>
          <w:rFonts w:eastAsia="Calibri"/>
        </w:rPr>
        <w:t xml:space="preserve"> и </w:t>
      </w:r>
      <w:r w:rsidRPr="00FF386D">
        <w:rPr>
          <w:rFonts w:eastAsia="Calibri"/>
          <w:i/>
          <w:iCs/>
        </w:rPr>
        <w:t>S-N</w:t>
      </w:r>
      <w:r w:rsidRPr="00FF386D">
        <w:rPr>
          <w:rFonts w:eastAsia="Calibri"/>
        </w:rPr>
        <w:t xml:space="preserve">, где ће значајно порасти на </w:t>
      </w:r>
      <w:r w:rsidR="00E470AC" w:rsidRPr="00FF386D">
        <w:rPr>
          <w:rFonts w:eastAsia="Calibri"/>
        </w:rPr>
        <w:t>41</w:t>
      </w:r>
      <w:r w:rsidRPr="00FF386D">
        <w:rPr>
          <w:rFonts w:eastAsia="Calibri"/>
        </w:rPr>
        <w:t xml:space="preserve"> ktoe у сценарију </w:t>
      </w:r>
      <w:r w:rsidRPr="00FF386D">
        <w:rPr>
          <w:rFonts w:eastAsia="Calibri"/>
          <w:i/>
          <w:iCs/>
        </w:rPr>
        <w:t xml:space="preserve">S </w:t>
      </w:r>
      <w:r w:rsidRPr="00FF386D">
        <w:rPr>
          <w:rFonts w:eastAsia="Calibri"/>
        </w:rPr>
        <w:t xml:space="preserve">односно </w:t>
      </w:r>
      <w:r w:rsidR="0092740C" w:rsidRPr="00FF386D">
        <w:rPr>
          <w:rFonts w:eastAsia="Calibri"/>
        </w:rPr>
        <w:t xml:space="preserve">на </w:t>
      </w:r>
      <w:r w:rsidR="00E470AC" w:rsidRPr="00FF386D">
        <w:rPr>
          <w:rFonts w:eastAsia="Calibri"/>
        </w:rPr>
        <w:t>38</w:t>
      </w:r>
      <w:r w:rsidRPr="00FF386D">
        <w:rPr>
          <w:rFonts w:eastAsia="Calibri"/>
        </w:rPr>
        <w:t xml:space="preserve"> ktoe у сценарију </w:t>
      </w:r>
      <w:r w:rsidRPr="00FF386D">
        <w:rPr>
          <w:rFonts w:eastAsia="Calibri"/>
          <w:i/>
          <w:iCs/>
        </w:rPr>
        <w:t>S-N.</w:t>
      </w:r>
      <w:r w:rsidRPr="00FF386D">
        <w:rPr>
          <w:rFonts w:eastAsia="Calibri"/>
        </w:rPr>
        <w:t xml:space="preserve"> Повећање је још веће за потрошњу електричне енергије </w:t>
      </w:r>
      <w:r w:rsidR="0092740C" w:rsidRPr="00FF386D">
        <w:rPr>
          <w:rFonts w:eastAsia="Calibri"/>
        </w:rPr>
        <w:t>у друмском саобраћају</w:t>
      </w:r>
      <w:r w:rsidRPr="00FF386D">
        <w:rPr>
          <w:rFonts w:eastAsia="Calibri"/>
        </w:rPr>
        <w:t xml:space="preserve">, посебно за сценарије </w:t>
      </w:r>
      <w:r w:rsidRPr="00FF386D">
        <w:rPr>
          <w:rFonts w:eastAsia="Calibri"/>
          <w:i/>
          <w:iCs/>
        </w:rPr>
        <w:t>S</w:t>
      </w:r>
      <w:r w:rsidRPr="00FF386D">
        <w:rPr>
          <w:rFonts w:eastAsia="Calibri"/>
        </w:rPr>
        <w:t xml:space="preserve"> и </w:t>
      </w:r>
      <w:r w:rsidRPr="00FF386D">
        <w:rPr>
          <w:rFonts w:eastAsia="Calibri"/>
          <w:i/>
          <w:iCs/>
        </w:rPr>
        <w:t>S-N</w:t>
      </w:r>
      <w:r w:rsidRPr="00FF386D">
        <w:rPr>
          <w:rFonts w:eastAsia="Calibri"/>
        </w:rPr>
        <w:t>, где се очекује пораст са 1</w:t>
      </w:r>
      <w:r w:rsidR="00E470AC" w:rsidRPr="00FF386D">
        <w:rPr>
          <w:rFonts w:eastAsia="Calibri"/>
        </w:rPr>
        <w:t>3</w:t>
      </w:r>
      <w:r w:rsidRPr="00FF386D">
        <w:rPr>
          <w:rFonts w:eastAsia="Calibri"/>
        </w:rPr>
        <w:t xml:space="preserve"> ktoe у 2030. години на 4</w:t>
      </w:r>
      <w:r w:rsidR="00E470AC" w:rsidRPr="00FF386D">
        <w:rPr>
          <w:rFonts w:eastAsia="Calibri"/>
        </w:rPr>
        <w:t>15</w:t>
      </w:r>
      <w:r w:rsidRPr="00FF386D">
        <w:rPr>
          <w:rFonts w:eastAsia="Calibri"/>
        </w:rPr>
        <w:t xml:space="preserve"> ktoe у сценарију </w:t>
      </w:r>
      <w:r w:rsidRPr="00FF386D">
        <w:rPr>
          <w:rFonts w:eastAsia="Calibri"/>
          <w:i/>
          <w:iCs/>
        </w:rPr>
        <w:t>S</w:t>
      </w:r>
      <w:r w:rsidRPr="00FF386D">
        <w:rPr>
          <w:rFonts w:eastAsia="Calibri"/>
        </w:rPr>
        <w:t xml:space="preserve"> у 2050. </w:t>
      </w:r>
      <w:r w:rsidR="00E470AC" w:rsidRPr="00FF386D">
        <w:rPr>
          <w:rFonts w:eastAsia="Calibri"/>
        </w:rPr>
        <w:t xml:space="preserve">години </w:t>
      </w:r>
      <w:r w:rsidRPr="00FF386D">
        <w:rPr>
          <w:rFonts w:eastAsia="Calibri"/>
        </w:rPr>
        <w:t>и са 1</w:t>
      </w:r>
      <w:r w:rsidR="00E470AC" w:rsidRPr="00FF386D">
        <w:rPr>
          <w:rFonts w:eastAsia="Calibri"/>
        </w:rPr>
        <w:t>3</w:t>
      </w:r>
      <w:r w:rsidRPr="00FF386D">
        <w:rPr>
          <w:rFonts w:eastAsia="Calibri"/>
        </w:rPr>
        <w:t xml:space="preserve"> ktoe у 2030. на 4</w:t>
      </w:r>
      <w:r w:rsidR="00E470AC" w:rsidRPr="00FF386D">
        <w:rPr>
          <w:rFonts w:eastAsia="Calibri"/>
        </w:rPr>
        <w:t>22</w:t>
      </w:r>
      <w:r w:rsidRPr="00FF386D">
        <w:rPr>
          <w:rFonts w:eastAsia="Calibri"/>
        </w:rPr>
        <w:t xml:space="preserve"> ktoe у 2050. у сценарију </w:t>
      </w:r>
      <w:r w:rsidRPr="00FF386D">
        <w:rPr>
          <w:rFonts w:eastAsia="Calibri"/>
          <w:i/>
          <w:iCs/>
        </w:rPr>
        <w:t>S-N</w:t>
      </w:r>
      <w:r w:rsidRPr="00FF386D">
        <w:rPr>
          <w:rFonts w:eastAsia="Calibri"/>
        </w:rPr>
        <w:t>.</w:t>
      </w:r>
    </w:p>
    <w:p w14:paraId="11D58C4C" w14:textId="24B787A1" w:rsidR="007009FB" w:rsidRDefault="007009FB" w:rsidP="00565B02">
      <w:pPr>
        <w:pStyle w:val="Caption"/>
        <w:keepNext/>
      </w:pPr>
      <w:bookmarkStart w:id="388" w:name="_Ref153887891"/>
      <w:bookmarkStart w:id="389" w:name="_Toc153901428"/>
      <w:r>
        <w:lastRenderedPageBreak/>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16</w:t>
      </w:r>
      <w:r w:rsidR="00F35B2C">
        <w:fldChar w:fldCharType="end"/>
      </w:r>
      <w:bookmarkEnd w:id="388"/>
      <w:r>
        <w:t xml:space="preserve">: </w:t>
      </w:r>
      <w:r w:rsidRPr="007009FB">
        <w:t>Потрошња електричне енергије из ОИЕ у саобраћају</w:t>
      </w:r>
      <w:bookmarkEnd w:id="389"/>
    </w:p>
    <w:p w14:paraId="5084D170" w14:textId="17EA52EB" w:rsidR="00B92C50" w:rsidRPr="00FF386D" w:rsidRDefault="007009FB" w:rsidP="00B92C50">
      <w:pPr>
        <w:jc w:val="center"/>
        <w:rPr>
          <w:rFonts w:ascii="Calibri" w:eastAsia="Calibri" w:hAnsi="Calibri" w:cs="Times New Roman"/>
        </w:rPr>
      </w:pPr>
      <w:r>
        <w:rPr>
          <w:noProof/>
          <w:lang w:val="en-US"/>
        </w:rPr>
        <mc:AlternateContent>
          <mc:Choice Requires="wps">
            <w:drawing>
              <wp:anchor distT="0" distB="0" distL="114300" distR="114300" simplePos="0" relativeHeight="251853824" behindDoc="0" locked="0" layoutInCell="1" allowOverlap="1" wp14:anchorId="137BCA6E" wp14:editId="7DB98C38">
                <wp:simplePos x="0" y="0"/>
                <wp:positionH relativeFrom="column">
                  <wp:posOffset>433146</wp:posOffset>
                </wp:positionH>
                <wp:positionV relativeFrom="paragraph">
                  <wp:posOffset>2332620</wp:posOffset>
                </wp:positionV>
                <wp:extent cx="3343701" cy="1985570"/>
                <wp:effectExtent l="0" t="0" r="9525" b="0"/>
                <wp:wrapNone/>
                <wp:docPr id="1012804544" name="Text Box 1012804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3701" cy="1985570"/>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72A9AC15" id="Text Box 1012804544" o:spid="_x0000_s1026" type="#_x0000_t202" style="position:absolute;margin-left:34.1pt;margin-top:183.65pt;width:263.3pt;height:156.3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" fillcolor="#a6a6a6" stroked="f">
                <v:fill opacity="32896f"/>
              </v:shape>
            </w:pict>
          </mc:Fallback>
        </mc:AlternateContent>
      </w:r>
      <w:r w:rsidR="000F0542" w:rsidRPr="004F53D7">
        <w:rPr>
          <w:rFonts w:ascii="Calibri" w:eastAsia="Calibri" w:hAnsi="Calibri" w:cs="Times New Roman"/>
          <w:noProof/>
          <w:lang w:val="en-US"/>
        </w:rPr>
        <w:drawing>
          <wp:inline distT="0" distB="0" distL="0" distR="0" wp14:anchorId="0683318D" wp14:editId="5F194204">
            <wp:extent cx="6118860" cy="5280025"/>
            <wp:effectExtent l="0" t="0" r="0" b="0"/>
            <wp:docPr id="1370081110" name="Picture 137008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126055" cy="5286234"/>
                    </a:xfrm>
                    <a:prstGeom prst="rect">
                      <a:avLst/>
                    </a:prstGeom>
                    <a:noFill/>
                  </pic:spPr>
                </pic:pic>
              </a:graphicData>
            </a:graphic>
          </wp:inline>
        </w:drawing>
      </w:r>
    </w:p>
    <w:p w14:paraId="579BBE9E" w14:textId="194440F2" w:rsidR="004F3731" w:rsidRPr="00FF386D" w:rsidRDefault="004F3731" w:rsidP="004F3731">
      <w:pPr>
        <w:jc w:val="both"/>
        <w:rPr>
          <w:rFonts w:ascii="Calibri Light" w:eastAsia="Calibri" w:hAnsi="Calibri Light" w:cs="Calibri Light"/>
          <w:bCs/>
        </w:rPr>
      </w:pPr>
      <w:r w:rsidRPr="00FF386D">
        <w:rPr>
          <w:rFonts w:ascii="Calibri Light" w:eastAsia="Calibri" w:hAnsi="Calibri Light" w:cs="Calibri Light"/>
          <w:bCs/>
        </w:rPr>
        <w:t xml:space="preserve">У </w:t>
      </w:r>
      <w:r w:rsidRPr="00FF386D">
        <w:rPr>
          <w:rFonts w:ascii="Calibri Light" w:eastAsia="Calibri" w:hAnsi="Calibri Light" w:cs="Calibri Light"/>
          <w:bCs/>
          <w:i/>
        </w:rPr>
        <w:t>WEM</w:t>
      </w:r>
      <w:r w:rsidRPr="00FF386D">
        <w:rPr>
          <w:rFonts w:ascii="Calibri Light" w:eastAsia="Calibri" w:hAnsi="Calibri Light" w:cs="Calibri Light"/>
          <w:bCs/>
        </w:rPr>
        <w:t xml:space="preserve"> сценарију, предвиђа се да ће укупни инсталисани капацитет у сектору даљинског грејања достићи 8 GW 2030. и 6 GW 2050. године. Слично томе, достићи ће </w:t>
      </w:r>
      <w:r w:rsidR="004B42D5">
        <w:rPr>
          <w:rFonts w:ascii="Calibri Light" w:eastAsia="Calibri" w:hAnsi="Calibri Light" w:cs="Calibri Light"/>
          <w:bCs/>
        </w:rPr>
        <w:t>8</w:t>
      </w:r>
      <w:r w:rsidRPr="00FF386D">
        <w:rPr>
          <w:rFonts w:ascii="Calibri Light" w:eastAsia="Calibri" w:hAnsi="Calibri Light" w:cs="Calibri Light"/>
          <w:bCs/>
        </w:rPr>
        <w:t xml:space="preserve">GW у сценаријима </w:t>
      </w:r>
      <w:r w:rsidRPr="00FF386D">
        <w:rPr>
          <w:rFonts w:ascii="Calibri Light" w:eastAsia="Calibri" w:hAnsi="Calibri Light" w:cs="Calibri Light"/>
          <w:bCs/>
          <w:i/>
          <w:iCs/>
        </w:rPr>
        <w:t>S</w:t>
      </w:r>
      <w:r w:rsidRPr="00FF386D">
        <w:rPr>
          <w:rFonts w:ascii="Calibri Light" w:eastAsia="Calibri" w:hAnsi="Calibri Light" w:cs="Calibri Light"/>
          <w:bCs/>
        </w:rPr>
        <w:t xml:space="preserve"> и </w:t>
      </w:r>
      <w:r w:rsidRPr="00FF386D">
        <w:rPr>
          <w:rFonts w:ascii="Calibri Light" w:eastAsia="Calibri" w:hAnsi="Calibri Light" w:cs="Calibri Light"/>
          <w:bCs/>
          <w:i/>
          <w:iCs/>
        </w:rPr>
        <w:t>S-N</w:t>
      </w:r>
      <w:r w:rsidR="004B42D5">
        <w:rPr>
          <w:rFonts w:ascii="Calibri Light" w:eastAsia="Calibri" w:hAnsi="Calibri Light" w:cs="Calibri Light"/>
          <w:bCs/>
        </w:rPr>
        <w:t xml:space="preserve"> у 2030. години и 7</w:t>
      </w:r>
      <w:r w:rsidR="004B42D5">
        <w:rPr>
          <w:rFonts w:ascii="Calibri Light" w:eastAsia="Calibri" w:hAnsi="Calibri Light" w:cs="Calibri Light"/>
          <w:bCs/>
          <w:lang w:val="en-US"/>
        </w:rPr>
        <w:t>GW</w:t>
      </w:r>
      <w:r w:rsidRPr="00FF386D">
        <w:rPr>
          <w:rFonts w:ascii="Calibri Light" w:eastAsia="Calibri" w:hAnsi="Calibri Light" w:cs="Calibri Light"/>
          <w:bCs/>
        </w:rPr>
        <w:t xml:space="preserve"> </w:t>
      </w:r>
      <w:r w:rsidR="004B42D5">
        <w:rPr>
          <w:rFonts w:ascii="Calibri Light" w:eastAsia="Calibri" w:hAnsi="Calibri Light" w:cs="Calibri Light"/>
          <w:bCs/>
        </w:rPr>
        <w:t xml:space="preserve">у сценарију </w:t>
      </w:r>
      <w:r w:rsidR="004B42D5" w:rsidRPr="00565B02">
        <w:rPr>
          <w:rFonts w:ascii="Calibri Light" w:eastAsia="Calibri" w:hAnsi="Calibri Light" w:cs="Calibri Light"/>
          <w:bCs/>
          <w:i/>
          <w:iCs/>
          <w:lang w:val="en-US"/>
        </w:rPr>
        <w:t>S</w:t>
      </w:r>
      <w:r w:rsidR="004B42D5">
        <w:rPr>
          <w:rFonts w:ascii="Calibri Light" w:eastAsia="Calibri" w:hAnsi="Calibri Light" w:cs="Calibri Light"/>
          <w:bCs/>
          <w:lang w:val="en-US"/>
        </w:rPr>
        <w:t xml:space="preserve"> </w:t>
      </w:r>
      <w:r w:rsidR="004B42D5">
        <w:rPr>
          <w:rFonts w:ascii="Calibri Light" w:eastAsia="Calibri" w:hAnsi="Calibri Light" w:cs="Calibri Light"/>
          <w:bCs/>
        </w:rPr>
        <w:t>и 8</w:t>
      </w:r>
      <w:r w:rsidR="004B42D5">
        <w:rPr>
          <w:rFonts w:ascii="Calibri Light" w:eastAsia="Calibri" w:hAnsi="Calibri Light" w:cs="Calibri Light"/>
          <w:bCs/>
          <w:lang w:val="en-US"/>
        </w:rPr>
        <w:t xml:space="preserve">GW </w:t>
      </w:r>
      <w:r w:rsidR="004B42D5">
        <w:rPr>
          <w:rFonts w:ascii="Calibri Light" w:eastAsia="Calibri" w:hAnsi="Calibri Light" w:cs="Calibri Light"/>
          <w:bCs/>
        </w:rPr>
        <w:t xml:space="preserve">у сценарију </w:t>
      </w:r>
      <w:r w:rsidR="004B42D5" w:rsidRPr="00565B02">
        <w:rPr>
          <w:rFonts w:ascii="Calibri Light" w:eastAsia="Calibri" w:hAnsi="Calibri Light" w:cs="Calibri Light"/>
          <w:bCs/>
          <w:i/>
          <w:iCs/>
          <w:lang w:val="en-US"/>
        </w:rPr>
        <w:t>S-N</w:t>
      </w:r>
      <w:r w:rsidR="004B42D5">
        <w:rPr>
          <w:rFonts w:ascii="Calibri Light" w:eastAsia="Calibri" w:hAnsi="Calibri Light" w:cs="Calibri Light"/>
          <w:bCs/>
          <w:lang w:val="en-US"/>
        </w:rPr>
        <w:t xml:space="preserve"> </w:t>
      </w:r>
      <w:r w:rsidR="004B42D5">
        <w:rPr>
          <w:rFonts w:ascii="Calibri Light" w:eastAsia="Calibri" w:hAnsi="Calibri Light" w:cs="Calibri Light"/>
          <w:bCs/>
        </w:rPr>
        <w:t xml:space="preserve">у 2050. години </w:t>
      </w:r>
      <w:r w:rsidRPr="00FF386D">
        <w:rPr>
          <w:rFonts w:ascii="Calibri Light" w:eastAsia="Calibri" w:hAnsi="Calibri Light" w:cs="Calibri Light"/>
          <w:bCs/>
        </w:rPr>
        <w:t>(</w:t>
      </w:r>
      <w:r w:rsidR="00AB6BEF">
        <w:rPr>
          <w:rFonts w:ascii="Calibri Light" w:eastAsia="Calibri" w:hAnsi="Calibri Light" w:cs="Calibri Light"/>
          <w:bCs/>
        </w:rPr>
        <w:fldChar w:fldCharType="begin"/>
      </w:r>
      <w:r w:rsidR="00AB6BEF">
        <w:rPr>
          <w:rFonts w:ascii="Calibri Light" w:eastAsia="Calibri" w:hAnsi="Calibri Light" w:cs="Calibri Light"/>
          <w:bCs/>
        </w:rPr>
        <w:instrText xml:space="preserve"> REF _Ref153891088 \h  \* MERGEFORMAT </w:instrText>
      </w:r>
      <w:r w:rsidR="00AB6BEF">
        <w:rPr>
          <w:rFonts w:ascii="Calibri Light" w:eastAsia="Calibri" w:hAnsi="Calibri Light" w:cs="Calibri Light"/>
          <w:bCs/>
        </w:rPr>
      </w:r>
      <w:r w:rsidR="00AB6BEF">
        <w:rPr>
          <w:rFonts w:ascii="Calibri Light" w:eastAsia="Calibri" w:hAnsi="Calibri Light" w:cs="Calibri Light"/>
          <w:bCs/>
        </w:rPr>
        <w:fldChar w:fldCharType="separate"/>
      </w:r>
      <w:r w:rsidR="00AB6BEF" w:rsidRPr="00565B02">
        <w:rPr>
          <w:rFonts w:ascii="Calibri Light" w:eastAsia="Calibri" w:hAnsi="Calibri Light" w:cs="Calibri Light"/>
          <w:bCs/>
        </w:rPr>
        <w:t>Слика 5.17</w:t>
      </w:r>
      <w:r w:rsidR="00AB6BEF">
        <w:rPr>
          <w:rFonts w:ascii="Calibri Light" w:eastAsia="Calibri" w:hAnsi="Calibri Light" w:cs="Calibri Light"/>
          <w:bCs/>
        </w:rPr>
        <w:fldChar w:fldCharType="end"/>
      </w:r>
      <w:r w:rsidRPr="00FF386D">
        <w:rPr>
          <w:rFonts w:ascii="Calibri Light" w:eastAsia="Calibri" w:hAnsi="Calibri Light" w:cs="Calibri Light"/>
          <w:bCs/>
        </w:rPr>
        <w:t>). Очекује се да ће природни гас имати највећи допринос у свим сценаријима 2030. и 2050. године</w:t>
      </w:r>
      <w:r w:rsidR="00CB12E3">
        <w:rPr>
          <w:rFonts w:ascii="Calibri Light" w:eastAsia="Calibri" w:hAnsi="Calibri Light" w:cs="Calibri Light"/>
          <w:bCs/>
        </w:rPr>
        <w:t xml:space="preserve"> као прелазно гориво, које замењује загађујућа чврста горива која се користе у топланама </w:t>
      </w:r>
      <w:r w:rsidR="00113873">
        <w:rPr>
          <w:rFonts w:ascii="Calibri Light" w:eastAsia="Calibri" w:hAnsi="Calibri Light" w:cs="Calibri Light"/>
          <w:bCs/>
        </w:rPr>
        <w:t>уз поштовање</w:t>
      </w:r>
      <w:r w:rsidR="00CB12E3">
        <w:rPr>
          <w:rFonts w:ascii="Calibri Light" w:eastAsia="Calibri" w:hAnsi="Calibri Light" w:cs="Calibri Light"/>
          <w:bCs/>
        </w:rPr>
        <w:t xml:space="preserve"> одрживо</w:t>
      </w:r>
      <w:r w:rsidR="00113873">
        <w:rPr>
          <w:rFonts w:ascii="Calibri Light" w:eastAsia="Calibri" w:hAnsi="Calibri Light" w:cs="Calibri Light"/>
          <w:bCs/>
        </w:rPr>
        <w:t>г</w:t>
      </w:r>
      <w:r w:rsidR="00CB12E3">
        <w:rPr>
          <w:rFonts w:ascii="Calibri Light" w:eastAsia="Calibri" w:hAnsi="Calibri Light" w:cs="Calibri Light"/>
          <w:bCs/>
        </w:rPr>
        <w:t xml:space="preserve"> коришћењ</w:t>
      </w:r>
      <w:r w:rsidR="00113873">
        <w:rPr>
          <w:rFonts w:ascii="Calibri Light" w:eastAsia="Calibri" w:hAnsi="Calibri Light" w:cs="Calibri Light"/>
          <w:bCs/>
        </w:rPr>
        <w:t>а</w:t>
      </w:r>
      <w:r w:rsidR="00CB12E3">
        <w:rPr>
          <w:rFonts w:ascii="Calibri Light" w:eastAsia="Calibri" w:hAnsi="Calibri Light" w:cs="Calibri Light"/>
          <w:bCs/>
        </w:rPr>
        <w:t xml:space="preserve"> биомасе у Србији. </w:t>
      </w:r>
      <w:r w:rsidR="00113873">
        <w:rPr>
          <w:rFonts w:ascii="Calibri Light" w:eastAsia="Calibri" w:hAnsi="Calibri Light" w:cs="Calibri Light"/>
          <w:bCs/>
        </w:rPr>
        <w:t>Опције за централизоване топлотне пумпе и друге чисте технологије за централизовану производњу топлоте обухваћене су у анализи али њихови релативни трошкови остају прилично високи у оквиру разматраног периода.</w:t>
      </w:r>
    </w:p>
    <w:p w14:paraId="77DC0AA8" w14:textId="5F15D75C" w:rsidR="00AB6BEF" w:rsidRPr="0040302C" w:rsidRDefault="00AB6BEF" w:rsidP="00565B02">
      <w:pPr>
        <w:pStyle w:val="Caption"/>
        <w:keepNext/>
      </w:pPr>
      <w:bookmarkStart w:id="390" w:name="_Ref153891088"/>
      <w:bookmarkStart w:id="391" w:name="_Toc153901429"/>
      <w:r w:rsidRPr="0040302C">
        <w:lastRenderedPageBreak/>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17</w:t>
      </w:r>
      <w:r w:rsidR="00F35B2C">
        <w:fldChar w:fldCharType="end"/>
      </w:r>
      <w:bookmarkEnd w:id="390"/>
      <w:r w:rsidRPr="00565B02">
        <w:t>: Инсталисани капацитет по технологији у сектору даљинског грејања</w:t>
      </w:r>
      <w:bookmarkEnd w:id="391"/>
    </w:p>
    <w:p w14:paraId="0722AECF" w14:textId="3FE06913" w:rsidR="00B42B31" w:rsidRPr="00B42B31" w:rsidRDefault="00AB6BEF" w:rsidP="00565B02">
      <w:pPr>
        <w:jc w:val="center"/>
      </w:pPr>
      <w:r>
        <w:rPr>
          <w:noProof/>
          <w:lang w:val="en-US"/>
        </w:rPr>
        <mc:AlternateContent>
          <mc:Choice Requires="wps">
            <w:drawing>
              <wp:anchor distT="0" distB="0" distL="114300" distR="114300" simplePos="0" relativeHeight="251847680" behindDoc="0" locked="0" layoutInCell="1" allowOverlap="1" wp14:anchorId="34360435" wp14:editId="6E2E5F4B">
                <wp:simplePos x="0" y="0"/>
                <wp:positionH relativeFrom="column">
                  <wp:posOffset>726440</wp:posOffset>
                </wp:positionH>
                <wp:positionV relativeFrom="paragraph">
                  <wp:posOffset>94141</wp:posOffset>
                </wp:positionV>
                <wp:extent cx="2913797" cy="3426128"/>
                <wp:effectExtent l="0" t="0" r="1270" b="3175"/>
                <wp:wrapNone/>
                <wp:docPr id="1392055684" name="Text Box 1392055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3797" cy="3426128"/>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17FDFEE6" id="Text Box 1392055684" o:spid="_x0000_s1026" type="#_x0000_t202" style="position:absolute;margin-left:57.2pt;margin-top:7.4pt;width:229.45pt;height:269.7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" fillcolor="#a6a6a6" stroked="f">
                <v:fill opacity="32896f"/>
              </v:shape>
            </w:pict>
          </mc:Fallback>
        </mc:AlternateContent>
      </w:r>
      <w:r w:rsidR="00A45191">
        <w:rPr>
          <w:noProof/>
        </w:rPr>
        <w:drawing>
          <wp:inline distT="0" distB="0" distL="0" distR="0" wp14:anchorId="523D0990" wp14:editId="264B1DAB">
            <wp:extent cx="5271770" cy="4187414"/>
            <wp:effectExtent l="0" t="0" r="5080" b="3810"/>
            <wp:docPr id="15374042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282710" cy="4196103"/>
                    </a:xfrm>
                    <a:prstGeom prst="rect">
                      <a:avLst/>
                    </a:prstGeom>
                    <a:noFill/>
                  </pic:spPr>
                </pic:pic>
              </a:graphicData>
            </a:graphic>
          </wp:inline>
        </w:drawing>
      </w:r>
    </w:p>
    <w:p w14:paraId="5A9F0B7F" w14:textId="711CF8E4" w:rsidR="004F3731" w:rsidRPr="000A2AFE" w:rsidRDefault="004F3731" w:rsidP="004F3731">
      <w:pPr>
        <w:spacing w:line="259" w:lineRule="auto"/>
        <w:jc w:val="both"/>
        <w:rPr>
          <w:rFonts w:ascii="Calibri Light" w:eastAsia="Calibri" w:hAnsi="Calibri Light" w:cs="Calibri Light"/>
          <w:lang w:val="sr-Latn-RS"/>
        </w:rPr>
      </w:pPr>
      <w:r w:rsidRPr="00FF386D">
        <w:rPr>
          <w:rFonts w:ascii="Calibri Light" w:eastAsia="Calibri" w:hAnsi="Calibri Light" w:cs="Calibri Light"/>
        </w:rPr>
        <w:t>У 2030. години, потрошња примарне енергије и финална потрошња енергије износе 14,7 Mtoe односно 9,</w:t>
      </w:r>
      <w:r w:rsidR="000F0542" w:rsidRPr="00FF386D">
        <w:rPr>
          <w:rFonts w:ascii="Calibri Light" w:eastAsia="Calibri" w:hAnsi="Calibri Light" w:cs="Calibri Light"/>
        </w:rPr>
        <w:t>7</w:t>
      </w:r>
      <w:r w:rsidRPr="00FF386D">
        <w:rPr>
          <w:rFonts w:ascii="Calibri Light" w:eastAsia="Calibri" w:hAnsi="Calibri Light" w:cs="Calibri Light"/>
        </w:rPr>
        <w:t xml:space="preserve"> Mtoe у сценаријима </w:t>
      </w:r>
      <w:r w:rsidRPr="00FF386D">
        <w:rPr>
          <w:rFonts w:ascii="Calibri Light" w:eastAsia="Calibri" w:hAnsi="Calibri Light" w:cs="Calibri Light"/>
          <w:i/>
          <w:iCs/>
        </w:rPr>
        <w:t>S</w:t>
      </w:r>
      <w:r w:rsidRPr="00FF386D">
        <w:rPr>
          <w:rFonts w:ascii="Calibri Light" w:eastAsia="Calibri" w:hAnsi="Calibri Light" w:cs="Calibri Light"/>
        </w:rPr>
        <w:t xml:space="preserve"> односно </w:t>
      </w:r>
      <w:r w:rsidRPr="00FF386D">
        <w:rPr>
          <w:rFonts w:ascii="Calibri Light" w:eastAsia="Calibri" w:hAnsi="Calibri Light" w:cs="Calibri Light"/>
          <w:i/>
          <w:iCs/>
        </w:rPr>
        <w:t>S-N</w:t>
      </w:r>
      <w:r w:rsidRPr="00FF386D">
        <w:rPr>
          <w:rFonts w:ascii="Calibri Light" w:eastAsia="Calibri" w:hAnsi="Calibri Light" w:cs="Calibri Light"/>
        </w:rPr>
        <w:t xml:space="preserve"> што доводи до нижих нивоа за 1</w:t>
      </w:r>
      <w:r w:rsidR="000F0542" w:rsidRPr="00FF386D">
        <w:rPr>
          <w:rFonts w:ascii="Calibri Light" w:eastAsia="Calibri" w:hAnsi="Calibri Light" w:cs="Calibri Light"/>
        </w:rPr>
        <w:t>7</w:t>
      </w:r>
      <w:r w:rsidRPr="00FF386D">
        <w:rPr>
          <w:rFonts w:ascii="Calibri Light" w:eastAsia="Calibri" w:hAnsi="Calibri Light" w:cs="Calibri Light"/>
        </w:rPr>
        <w:t xml:space="preserve">% </w:t>
      </w:r>
      <w:r w:rsidRPr="00565B02">
        <w:t>(</w:t>
      </w:r>
      <w:r w:rsidR="00CD3153" w:rsidRPr="00565B02">
        <w:fldChar w:fldCharType="begin"/>
      </w:r>
      <w:r w:rsidR="00CD3153" w:rsidRPr="00565B02">
        <w:instrText xml:space="preserve"> REF _Ref153891298 \h </w:instrText>
      </w:r>
      <w:r w:rsidR="00CD3153" w:rsidRPr="00565B02">
        <w:rPr>
          <w:rFonts w:ascii="Calibri Light" w:eastAsia="Calibri" w:hAnsi="Calibri Light" w:cs="Calibri Light"/>
        </w:rPr>
        <w:instrText xml:space="preserve"> \* MERGEFORMAT </w:instrText>
      </w:r>
      <w:r w:rsidR="00CD3153" w:rsidRPr="00565B02">
        <w:fldChar w:fldCharType="separate"/>
      </w:r>
      <w:r w:rsidR="00CD3153" w:rsidRPr="00565B02">
        <w:rPr>
          <w:rFonts w:ascii="Calibri Light" w:eastAsia="Calibri" w:hAnsi="Calibri Light" w:cs="Calibri Light"/>
        </w:rPr>
        <w:t>Слика 5.18</w:t>
      </w:r>
      <w:r w:rsidR="00CD3153" w:rsidRPr="00565B02">
        <w:fldChar w:fldCharType="end"/>
      </w:r>
      <w:r w:rsidR="00A244F6" w:rsidRPr="00565B02">
        <w:t xml:space="preserve">) </w:t>
      </w:r>
      <w:r w:rsidRPr="00FF386D">
        <w:rPr>
          <w:rFonts w:ascii="Calibri Light" w:eastAsia="Calibri" w:hAnsi="Calibri Light" w:cs="Calibri Light"/>
        </w:rPr>
        <w:t xml:space="preserve">и </w:t>
      </w:r>
      <w:r w:rsidR="000F0542" w:rsidRPr="00FF386D">
        <w:rPr>
          <w:rFonts w:ascii="Calibri Light" w:eastAsia="Calibri" w:hAnsi="Calibri Light" w:cs="Calibri Light"/>
        </w:rPr>
        <w:t>9</w:t>
      </w:r>
      <w:r w:rsidRPr="00FF386D">
        <w:rPr>
          <w:rFonts w:ascii="Calibri Light" w:eastAsia="Calibri" w:hAnsi="Calibri Light" w:cs="Calibri Light"/>
        </w:rPr>
        <w:t>% (</w:t>
      </w:r>
      <w:r w:rsidR="00CD3153">
        <w:rPr>
          <w:rFonts w:ascii="Calibri Light" w:eastAsia="Calibri" w:hAnsi="Calibri Light" w:cs="Calibri Light"/>
        </w:rPr>
        <w:fldChar w:fldCharType="begin"/>
      </w:r>
      <w:r w:rsidR="00CD3153">
        <w:rPr>
          <w:rFonts w:ascii="Calibri Light" w:eastAsia="Calibri" w:hAnsi="Calibri Light" w:cs="Calibri Light"/>
        </w:rPr>
        <w:instrText xml:space="preserve"> REF _Ref153891365 \h  \* MERGEFORMAT </w:instrText>
      </w:r>
      <w:r w:rsidR="00CD3153">
        <w:rPr>
          <w:rFonts w:ascii="Calibri Light" w:eastAsia="Calibri" w:hAnsi="Calibri Light" w:cs="Calibri Light"/>
        </w:rPr>
      </w:r>
      <w:r w:rsidR="00CD3153">
        <w:rPr>
          <w:rFonts w:ascii="Calibri Light" w:eastAsia="Calibri" w:hAnsi="Calibri Light" w:cs="Calibri Light"/>
        </w:rPr>
        <w:fldChar w:fldCharType="separate"/>
      </w:r>
      <w:r w:rsidR="00CD3153" w:rsidRPr="00565B02">
        <w:rPr>
          <w:rFonts w:ascii="Calibri Light" w:eastAsia="Calibri" w:hAnsi="Calibri Light" w:cs="Calibri Light"/>
        </w:rPr>
        <w:t>Слика 5.19</w:t>
      </w:r>
      <w:r w:rsidR="00CD3153">
        <w:rPr>
          <w:rFonts w:ascii="Calibri Light" w:eastAsia="Calibri" w:hAnsi="Calibri Light" w:cs="Calibri Light"/>
        </w:rPr>
        <w:fldChar w:fldCharType="end"/>
      </w:r>
      <w:r w:rsidRPr="00FF386D">
        <w:rPr>
          <w:rFonts w:ascii="Calibri Light" w:eastAsia="Calibri" w:hAnsi="Calibri Light" w:cs="Calibri Light"/>
        </w:rPr>
        <w:t xml:space="preserve">) у поређењу са </w:t>
      </w:r>
      <w:r w:rsidRPr="00FF386D">
        <w:rPr>
          <w:rFonts w:ascii="Calibri Light" w:eastAsia="Calibri" w:hAnsi="Calibri Light" w:cs="Calibri Light"/>
          <w:i/>
        </w:rPr>
        <w:t>WEM</w:t>
      </w:r>
      <w:r w:rsidRPr="00FF386D">
        <w:rPr>
          <w:rFonts w:ascii="Calibri Light" w:eastAsia="Calibri" w:hAnsi="Calibri Light" w:cs="Calibri Light"/>
        </w:rPr>
        <w:t xml:space="preserve"> сценаријем. Смањење потрошње примарне енергије и финалне енергије је највећим делом последица спровођења додатних политика и мера за унапређење енергетске ефикасности и ОИЕ. Разлика у финалној потрошњи енергије између </w:t>
      </w:r>
      <w:r w:rsidRPr="00FF386D">
        <w:rPr>
          <w:rFonts w:ascii="Calibri Light" w:eastAsia="Calibri" w:hAnsi="Calibri Light" w:cs="Calibri Light"/>
          <w:i/>
        </w:rPr>
        <w:t>WEM</w:t>
      </w:r>
      <w:r w:rsidRPr="00FF386D">
        <w:rPr>
          <w:rFonts w:ascii="Calibri Light" w:eastAsia="Calibri" w:hAnsi="Calibri Light" w:cs="Calibri Light"/>
        </w:rPr>
        <w:t xml:space="preserve"> и сценарија </w:t>
      </w:r>
      <w:r w:rsidRPr="00FF386D">
        <w:rPr>
          <w:rFonts w:ascii="Calibri Light" w:eastAsia="Calibri" w:hAnsi="Calibri Light" w:cs="Calibri Light"/>
          <w:i/>
          <w:iCs/>
        </w:rPr>
        <w:t>S</w:t>
      </w:r>
      <w:r w:rsidRPr="00FF386D">
        <w:rPr>
          <w:rFonts w:ascii="Calibri Light" w:eastAsia="Calibri" w:hAnsi="Calibri Light" w:cs="Calibri Light"/>
        </w:rPr>
        <w:t xml:space="preserve"> и S-N је у просеку распоређена између стамбеног сектора (3</w:t>
      </w:r>
      <w:r w:rsidR="000F0542" w:rsidRPr="00FF386D">
        <w:rPr>
          <w:rFonts w:ascii="Calibri Light" w:eastAsia="Calibri" w:hAnsi="Calibri Light" w:cs="Calibri Light"/>
        </w:rPr>
        <w:t>6</w:t>
      </w:r>
      <w:r w:rsidRPr="00FF386D">
        <w:rPr>
          <w:rFonts w:ascii="Calibri Light" w:eastAsia="Calibri" w:hAnsi="Calibri Light" w:cs="Calibri Light"/>
        </w:rPr>
        <w:t>%), сектора индустрије (2</w:t>
      </w:r>
      <w:r w:rsidR="000F0542" w:rsidRPr="00FF386D">
        <w:rPr>
          <w:rFonts w:ascii="Calibri Light" w:eastAsia="Calibri" w:hAnsi="Calibri Light" w:cs="Calibri Light"/>
        </w:rPr>
        <w:t>7</w:t>
      </w:r>
      <w:r w:rsidRPr="00FF386D">
        <w:rPr>
          <w:rFonts w:ascii="Calibri Light" w:eastAsia="Calibri" w:hAnsi="Calibri Light" w:cs="Calibri Light"/>
        </w:rPr>
        <w:t xml:space="preserve">%) и </w:t>
      </w:r>
      <w:r w:rsidR="000F0542" w:rsidRPr="00FF386D">
        <w:rPr>
          <w:rFonts w:ascii="Calibri Light" w:eastAsia="Calibri" w:hAnsi="Calibri Light" w:cs="Calibri Light"/>
        </w:rPr>
        <w:t>сектора саобраћаја</w:t>
      </w:r>
      <w:r w:rsidRPr="00FF386D">
        <w:rPr>
          <w:rFonts w:ascii="Calibri Light" w:eastAsia="Calibri" w:hAnsi="Calibri Light" w:cs="Calibri Light"/>
        </w:rPr>
        <w:t xml:space="preserve"> (2</w:t>
      </w:r>
      <w:r w:rsidR="000F0542" w:rsidRPr="00FF386D">
        <w:rPr>
          <w:rFonts w:ascii="Calibri Light" w:eastAsia="Calibri" w:hAnsi="Calibri Light" w:cs="Calibri Light"/>
        </w:rPr>
        <w:t>6</w:t>
      </w:r>
      <w:r w:rsidRPr="00FF386D">
        <w:rPr>
          <w:rFonts w:ascii="Calibri Light" w:eastAsia="Calibri" w:hAnsi="Calibri Light" w:cs="Calibri Light"/>
        </w:rPr>
        <w:t>%) 2030. године.</w:t>
      </w:r>
    </w:p>
    <w:p w14:paraId="2288EFAA" w14:textId="2C44FEFA" w:rsidR="004F3731" w:rsidRPr="00FF386D" w:rsidRDefault="004F3731" w:rsidP="004F3731">
      <w:pPr>
        <w:spacing w:before="120" w:after="120" w:line="240" w:lineRule="auto"/>
        <w:jc w:val="both"/>
        <w:rPr>
          <w:rFonts w:ascii="Calibri Light" w:eastAsia="Calibri" w:hAnsi="Calibri Light" w:cs="Calibri Light"/>
        </w:rPr>
      </w:pPr>
      <w:r w:rsidRPr="00FF386D">
        <w:rPr>
          <w:rFonts w:ascii="Calibri Light" w:eastAsia="Calibri" w:hAnsi="Calibri Light" w:cs="Calibri Light"/>
        </w:rPr>
        <w:t>У 2050. потрошња примарне енергије износи 11,</w:t>
      </w:r>
      <w:r w:rsidR="000F0542" w:rsidRPr="00FF386D">
        <w:rPr>
          <w:rFonts w:ascii="Calibri Light" w:eastAsia="Calibri" w:hAnsi="Calibri Light" w:cs="Calibri Light"/>
        </w:rPr>
        <w:t>5</w:t>
      </w:r>
      <w:r w:rsidRPr="00FF386D">
        <w:rPr>
          <w:rFonts w:ascii="Calibri Light" w:eastAsia="Calibri" w:hAnsi="Calibri Light" w:cs="Calibri Light"/>
        </w:rPr>
        <w:t xml:space="preserve"> Mtoe односно 12,</w:t>
      </w:r>
      <w:r w:rsidR="000F0542" w:rsidRPr="00FF386D">
        <w:rPr>
          <w:rFonts w:ascii="Calibri Light" w:eastAsia="Calibri" w:hAnsi="Calibri Light" w:cs="Calibri Light"/>
        </w:rPr>
        <w:t>5</w:t>
      </w:r>
      <w:r w:rsidRPr="00FF386D">
        <w:rPr>
          <w:rFonts w:ascii="Calibri Light" w:eastAsia="Calibri" w:hAnsi="Calibri Light" w:cs="Calibri Light"/>
        </w:rPr>
        <w:t xml:space="preserve"> Mtoe у сценаријима </w:t>
      </w:r>
      <w:r w:rsidRPr="00FF386D">
        <w:rPr>
          <w:rFonts w:ascii="Calibri Light" w:eastAsia="Calibri" w:hAnsi="Calibri Light" w:cs="Calibri Light"/>
          <w:i/>
          <w:iCs/>
        </w:rPr>
        <w:t>S</w:t>
      </w:r>
      <w:r w:rsidRPr="00FF386D">
        <w:rPr>
          <w:rFonts w:ascii="Calibri Light" w:eastAsia="Calibri" w:hAnsi="Calibri Light" w:cs="Calibri Light"/>
        </w:rPr>
        <w:t xml:space="preserve"> односно</w:t>
      </w:r>
      <w:r w:rsidRPr="00FF386D">
        <w:rPr>
          <w:rFonts w:ascii="Calibri Light" w:eastAsia="Calibri" w:hAnsi="Calibri Light" w:cs="Calibri Light"/>
          <w:i/>
          <w:iCs/>
        </w:rPr>
        <w:t xml:space="preserve"> S-N</w:t>
      </w:r>
      <w:r w:rsidRPr="00FF386D">
        <w:rPr>
          <w:rFonts w:ascii="Calibri Light" w:eastAsia="Calibri" w:hAnsi="Calibri Light" w:cs="Calibri Light"/>
        </w:rPr>
        <w:t>, што доводи до смањења нивоа за 4</w:t>
      </w:r>
      <w:r w:rsidR="000F0542" w:rsidRPr="00FF386D">
        <w:rPr>
          <w:rFonts w:ascii="Calibri Light" w:eastAsia="Calibri" w:hAnsi="Calibri Light" w:cs="Calibri Light"/>
        </w:rPr>
        <w:t>0</w:t>
      </w:r>
      <w:r w:rsidRPr="00FF386D">
        <w:rPr>
          <w:rFonts w:ascii="Calibri Light" w:eastAsia="Calibri" w:hAnsi="Calibri Light" w:cs="Calibri Light"/>
        </w:rPr>
        <w:t>% и 3</w:t>
      </w:r>
      <w:r w:rsidR="000F0542" w:rsidRPr="00FF386D">
        <w:rPr>
          <w:rFonts w:ascii="Calibri Light" w:eastAsia="Calibri" w:hAnsi="Calibri Light" w:cs="Calibri Light"/>
        </w:rPr>
        <w:t>5</w:t>
      </w:r>
      <w:r w:rsidRPr="00FF386D">
        <w:rPr>
          <w:rFonts w:ascii="Calibri Light" w:eastAsia="Calibri" w:hAnsi="Calibri Light" w:cs="Calibri Light"/>
        </w:rPr>
        <w:t xml:space="preserve">% у поређењу са </w:t>
      </w:r>
      <w:r w:rsidRPr="00FF386D">
        <w:rPr>
          <w:rFonts w:ascii="Calibri Light" w:eastAsia="Calibri" w:hAnsi="Calibri Light" w:cs="Calibri Light"/>
          <w:i/>
        </w:rPr>
        <w:t>WEM</w:t>
      </w:r>
      <w:r w:rsidRPr="00FF386D">
        <w:rPr>
          <w:rFonts w:ascii="Calibri Light" w:eastAsia="Calibri" w:hAnsi="Calibri Light" w:cs="Calibri Light"/>
        </w:rPr>
        <w:t xml:space="preserve"> сценаријем. Иста тенденција се примећује и </w:t>
      </w:r>
      <w:r w:rsidR="00412F61" w:rsidRPr="00FF386D">
        <w:rPr>
          <w:rFonts w:ascii="Calibri Light" w:eastAsia="Calibri" w:hAnsi="Calibri Light" w:cs="Calibri Light"/>
        </w:rPr>
        <w:t>у</w:t>
      </w:r>
      <w:r w:rsidRPr="00FF386D">
        <w:rPr>
          <w:rFonts w:ascii="Calibri Light" w:eastAsia="Calibri" w:hAnsi="Calibri Light" w:cs="Calibri Light"/>
        </w:rPr>
        <w:t xml:space="preserve"> случај</w:t>
      </w:r>
      <w:r w:rsidR="00412F61" w:rsidRPr="00FF386D">
        <w:rPr>
          <w:rFonts w:ascii="Calibri Light" w:eastAsia="Calibri" w:hAnsi="Calibri Light" w:cs="Calibri Light"/>
        </w:rPr>
        <w:t>у</w:t>
      </w:r>
      <w:r w:rsidRPr="00FF386D">
        <w:rPr>
          <w:rFonts w:ascii="Calibri Light" w:eastAsia="Calibri" w:hAnsi="Calibri Light" w:cs="Calibri Light"/>
        </w:rPr>
        <w:t xml:space="preserve"> финалне потрошње енергије </w:t>
      </w:r>
      <w:r w:rsidR="00412F61" w:rsidRPr="00FF386D">
        <w:rPr>
          <w:rFonts w:ascii="Calibri Light" w:eastAsia="Calibri" w:hAnsi="Calibri Light" w:cs="Calibri Light"/>
        </w:rPr>
        <w:t>где се бележи</w:t>
      </w:r>
      <w:r w:rsidRPr="00FF386D">
        <w:rPr>
          <w:rFonts w:ascii="Calibri Light" w:eastAsia="Calibri" w:hAnsi="Calibri Light" w:cs="Calibri Light"/>
        </w:rPr>
        <w:t xml:space="preserve"> приближно идентич</w:t>
      </w:r>
      <w:r w:rsidR="00412F61" w:rsidRPr="00FF386D">
        <w:rPr>
          <w:rFonts w:ascii="Calibri Light" w:eastAsia="Calibri" w:hAnsi="Calibri Light" w:cs="Calibri Light"/>
        </w:rPr>
        <w:t>ан</w:t>
      </w:r>
      <w:r w:rsidRPr="00FF386D">
        <w:rPr>
          <w:rFonts w:ascii="Calibri Light" w:eastAsia="Calibri" w:hAnsi="Calibri Light" w:cs="Calibri Light"/>
        </w:rPr>
        <w:t xml:space="preserve"> ниво (9,</w:t>
      </w:r>
      <w:r w:rsidR="000F0542" w:rsidRPr="00FF386D">
        <w:rPr>
          <w:rFonts w:ascii="Calibri Light" w:eastAsia="Calibri" w:hAnsi="Calibri Light" w:cs="Calibri Light"/>
        </w:rPr>
        <w:t>5</w:t>
      </w:r>
      <w:r w:rsidRPr="00FF386D">
        <w:rPr>
          <w:rFonts w:ascii="Calibri Light" w:eastAsia="Calibri" w:hAnsi="Calibri Light" w:cs="Calibri Light"/>
        </w:rPr>
        <w:t xml:space="preserve"> Mtoe представља смањење од 27% у поређењу са сценаријем </w:t>
      </w:r>
      <w:r w:rsidRPr="00FF386D">
        <w:rPr>
          <w:rFonts w:ascii="Calibri Light" w:eastAsia="Calibri" w:hAnsi="Calibri Light" w:cs="Calibri Light"/>
          <w:i/>
        </w:rPr>
        <w:t>WEM</w:t>
      </w:r>
      <w:r w:rsidRPr="00FF386D">
        <w:rPr>
          <w:rFonts w:ascii="Calibri Light" w:eastAsia="Calibri" w:hAnsi="Calibri Light" w:cs="Calibri Light"/>
        </w:rPr>
        <w:t>). Смањење потрошње примарне и финалне енергије је највећим делом последица интензивнијег спровођења додатних политика и мера за унапређење енергетске ефикасности и ОИЕ.</w:t>
      </w:r>
    </w:p>
    <w:p w14:paraId="493709CF" w14:textId="5F6066F9" w:rsidR="00CD3153" w:rsidRDefault="00CD3153" w:rsidP="00565B02">
      <w:pPr>
        <w:pStyle w:val="Caption"/>
        <w:keepNext/>
      </w:pPr>
      <w:bookmarkStart w:id="392" w:name="_Ref153891298"/>
      <w:bookmarkStart w:id="393" w:name="_Toc153901430"/>
      <w:r>
        <w:lastRenderedPageBreak/>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18</w:t>
      </w:r>
      <w:r w:rsidR="00F35B2C">
        <w:fldChar w:fldCharType="end"/>
      </w:r>
      <w:bookmarkEnd w:id="392"/>
      <w:r>
        <w:t xml:space="preserve">: </w:t>
      </w:r>
      <w:r w:rsidRPr="00CD3153">
        <w:t>Потрошња примарне енергије</w:t>
      </w:r>
      <w:bookmarkEnd w:id="393"/>
    </w:p>
    <w:p w14:paraId="57D6C1D0" w14:textId="327A0A2E" w:rsidR="00B92C50" w:rsidRPr="00FF386D" w:rsidRDefault="00CD3153" w:rsidP="00B92C50">
      <w:pPr>
        <w:jc w:val="center"/>
        <w:rPr>
          <w:rFonts w:ascii="Calibri" w:eastAsia="Calibri" w:hAnsi="Calibri" w:cs="Times New Roman"/>
          <w:lang w:eastAsia="el-GR" w:bidi="sr-Cyrl-CS"/>
        </w:rPr>
      </w:pPr>
      <w:r>
        <w:rPr>
          <w:noProof/>
          <w:lang w:val="en-US"/>
        </w:rPr>
        <mc:AlternateContent>
          <mc:Choice Requires="wps">
            <w:drawing>
              <wp:anchor distT="0" distB="0" distL="114300" distR="114300" simplePos="0" relativeHeight="251795456" behindDoc="0" locked="0" layoutInCell="1" allowOverlap="1" wp14:anchorId="096A678A" wp14:editId="466782DB">
                <wp:simplePos x="0" y="0"/>
                <wp:positionH relativeFrom="column">
                  <wp:posOffset>617391</wp:posOffset>
                </wp:positionH>
                <wp:positionV relativeFrom="paragraph">
                  <wp:posOffset>592531</wp:posOffset>
                </wp:positionV>
                <wp:extent cx="3293745" cy="2069332"/>
                <wp:effectExtent l="0" t="0" r="1905" b="7620"/>
                <wp:wrapNone/>
                <wp:docPr id="1976376369" name="Text Box 1976376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3745" cy="2069332"/>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574AACD3" id="Text Box 1976376369" o:spid="_x0000_s1026" type="#_x0000_t202" style="position:absolute;margin-left:48.6pt;margin-top:46.65pt;width:259.35pt;height:162.9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" fillcolor="#a6a6a6" stroked="f">
                <v:fill opacity="32896f"/>
              </v:shape>
            </w:pict>
          </mc:Fallback>
        </mc:AlternateContent>
      </w:r>
      <w:r w:rsidR="000F0542" w:rsidRPr="004F53D7">
        <w:rPr>
          <w:rFonts w:ascii="Calibri" w:eastAsia="Calibri" w:hAnsi="Calibri" w:cs="Times New Roman"/>
          <w:noProof/>
          <w:lang w:val="en-US"/>
        </w:rPr>
        <w:drawing>
          <wp:inline distT="0" distB="0" distL="0" distR="0" wp14:anchorId="43907377" wp14:editId="55C304C1">
            <wp:extent cx="6200279" cy="3756660"/>
            <wp:effectExtent l="0" t="0" r="0" b="0"/>
            <wp:docPr id="1172157497" name="Picture 1172157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210013" cy="3762558"/>
                    </a:xfrm>
                    <a:prstGeom prst="rect">
                      <a:avLst/>
                    </a:prstGeom>
                    <a:noFill/>
                  </pic:spPr>
                </pic:pic>
              </a:graphicData>
            </a:graphic>
          </wp:inline>
        </w:drawing>
      </w:r>
    </w:p>
    <w:p w14:paraId="66B14DF4" w14:textId="10F2BE9F" w:rsidR="00CD3153" w:rsidRDefault="00CD3153" w:rsidP="00565B02">
      <w:pPr>
        <w:pStyle w:val="Caption"/>
        <w:keepNext/>
      </w:pPr>
      <w:bookmarkStart w:id="394" w:name="_Ref153891365"/>
      <w:bookmarkStart w:id="395" w:name="_Toc153901431"/>
      <w:r>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19</w:t>
      </w:r>
      <w:r w:rsidR="00F35B2C">
        <w:fldChar w:fldCharType="end"/>
      </w:r>
      <w:bookmarkEnd w:id="394"/>
      <w:r>
        <w:t xml:space="preserve">: </w:t>
      </w:r>
      <w:r w:rsidRPr="00CD3153">
        <w:t>Финална потрошња енергије</w:t>
      </w:r>
      <w:bookmarkEnd w:id="395"/>
    </w:p>
    <w:p w14:paraId="7D5B6219" w14:textId="050735A5" w:rsidR="00B92C50" w:rsidRPr="00FF386D" w:rsidRDefault="00CD3153" w:rsidP="00B92C50">
      <w:pPr>
        <w:spacing w:before="120" w:after="120" w:line="240" w:lineRule="auto"/>
        <w:jc w:val="center"/>
        <w:rPr>
          <w:rFonts w:ascii="Calibri" w:eastAsia="Calibri" w:hAnsi="Calibri" w:cs="Times New Roman"/>
        </w:rPr>
      </w:pPr>
      <w:r>
        <w:rPr>
          <w:noProof/>
          <w:lang w:val="en-US"/>
        </w:rPr>
        <mc:AlternateContent>
          <mc:Choice Requires="wps">
            <w:drawing>
              <wp:anchor distT="0" distB="0" distL="114300" distR="114300" simplePos="0" relativeHeight="251855872" behindDoc="0" locked="0" layoutInCell="1" allowOverlap="1" wp14:anchorId="00A1A67B" wp14:editId="4920265E">
                <wp:simplePos x="0" y="0"/>
                <wp:positionH relativeFrom="column">
                  <wp:posOffset>665158</wp:posOffset>
                </wp:positionH>
                <wp:positionV relativeFrom="paragraph">
                  <wp:posOffset>357486</wp:posOffset>
                </wp:positionV>
                <wp:extent cx="3166280" cy="2069332"/>
                <wp:effectExtent l="0" t="0" r="0" b="7620"/>
                <wp:wrapNone/>
                <wp:docPr id="1770628355" name="Text Box 1770628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6280" cy="2069332"/>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2F971EF5" id="Text Box 1770628355" o:spid="_x0000_s1026" type="#_x0000_t202" style="position:absolute;margin-left:52.35pt;margin-top:28.15pt;width:249.3pt;height:162.9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" fillcolor="#a6a6a6" stroked="f">
                <v:fill opacity="32896f"/>
              </v:shape>
            </w:pict>
          </mc:Fallback>
        </mc:AlternateContent>
      </w:r>
      <w:r w:rsidR="00BA39FC" w:rsidRPr="004F53D7">
        <w:rPr>
          <w:rFonts w:ascii="Calibri" w:eastAsia="Calibri" w:hAnsi="Calibri" w:cs="Times New Roman"/>
          <w:noProof/>
          <w:lang w:val="en-US"/>
        </w:rPr>
        <w:drawing>
          <wp:inline distT="0" distB="0" distL="0" distR="0" wp14:anchorId="725E2ACB" wp14:editId="5B76FD6E">
            <wp:extent cx="5915025" cy="3588098"/>
            <wp:effectExtent l="0" t="0" r="0" b="0"/>
            <wp:docPr id="1072627951" name="Picture 1072627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0166" cy="3603348"/>
                    </a:xfrm>
                    <a:prstGeom prst="rect">
                      <a:avLst/>
                    </a:prstGeom>
                    <a:noFill/>
                  </pic:spPr>
                </pic:pic>
              </a:graphicData>
            </a:graphic>
          </wp:inline>
        </w:drawing>
      </w:r>
    </w:p>
    <w:p w14:paraId="667F9CCC" w14:textId="2CEB702F" w:rsidR="004F3731" w:rsidRPr="00FF386D" w:rsidRDefault="004F3731" w:rsidP="00412F61">
      <w:pPr>
        <w:suppressAutoHyphens/>
        <w:spacing w:after="200" w:line="240" w:lineRule="auto"/>
        <w:jc w:val="both"/>
        <w:rPr>
          <w:rFonts w:ascii="Calibri Light" w:eastAsia="Calibri" w:hAnsi="Calibri Light" w:cs="Calibri Light"/>
        </w:rPr>
      </w:pPr>
      <w:r w:rsidRPr="00FF386D">
        <w:rPr>
          <w:rFonts w:ascii="Calibri Light" w:eastAsia="Calibri" w:hAnsi="Calibri Light" w:cs="Calibri Light"/>
          <w:lang w:eastAsia="el-GR"/>
        </w:rPr>
        <w:t xml:space="preserve">Финална потрошња енергије у индустријском сектору износи </w:t>
      </w:r>
      <w:r w:rsidRPr="00FF386D">
        <w:rPr>
          <w:rFonts w:ascii="Calibri Light" w:eastAsia="Calibri" w:hAnsi="Calibri Light" w:cs="Calibri Light"/>
        </w:rPr>
        <w:t>2.5</w:t>
      </w:r>
      <w:r w:rsidR="00BA39FC" w:rsidRPr="00FF386D">
        <w:rPr>
          <w:rFonts w:ascii="Calibri Light" w:eastAsia="Calibri" w:hAnsi="Calibri Light" w:cs="Calibri Light"/>
        </w:rPr>
        <w:t>47</w:t>
      </w:r>
      <w:r w:rsidRPr="00FF386D">
        <w:rPr>
          <w:rFonts w:ascii="Calibri Light" w:eastAsia="Calibri" w:hAnsi="Calibri Light" w:cs="Calibri Light"/>
        </w:rPr>
        <w:t xml:space="preserve"> </w:t>
      </w:r>
      <w:r w:rsidRPr="00FF386D">
        <w:rPr>
          <w:rFonts w:ascii="Calibri Light" w:eastAsia="Calibri" w:hAnsi="Calibri Light" w:cs="Calibri Light"/>
          <w:lang w:eastAsia="el-GR"/>
        </w:rPr>
        <w:t xml:space="preserve">ktoe у 2030. години за </w:t>
      </w:r>
      <w:r w:rsidR="003E244A" w:rsidRPr="00FF386D">
        <w:rPr>
          <w:rFonts w:ascii="Calibri Light" w:eastAsia="Calibri" w:hAnsi="Calibri Light" w:cs="Calibri Light"/>
          <w:lang w:eastAsia="el-GR"/>
        </w:rPr>
        <w:t>сценариј</w:t>
      </w:r>
      <w:r w:rsidR="003E244A">
        <w:rPr>
          <w:rFonts w:ascii="Calibri Light" w:eastAsia="Calibri" w:hAnsi="Calibri Light" w:cs="Calibri Light"/>
          <w:lang w:eastAsia="el-GR"/>
        </w:rPr>
        <w:t>е</w:t>
      </w:r>
      <w:r w:rsidR="003E244A" w:rsidRPr="00FF386D">
        <w:rPr>
          <w:rFonts w:ascii="Calibri Light" w:eastAsia="Calibri" w:hAnsi="Calibri Light" w:cs="Calibri Light"/>
          <w:lang w:eastAsia="el-GR"/>
        </w:rPr>
        <w:t xml:space="preserve"> </w:t>
      </w:r>
      <w:r w:rsidRPr="00FF386D">
        <w:rPr>
          <w:rFonts w:ascii="Calibri Light" w:eastAsia="Calibri" w:hAnsi="Calibri Light" w:cs="Calibri Light"/>
          <w:i/>
          <w:lang w:eastAsia="el-GR"/>
        </w:rPr>
        <w:t>S</w:t>
      </w:r>
      <w:r w:rsidRPr="00FF386D">
        <w:rPr>
          <w:rFonts w:ascii="Calibri Light" w:eastAsia="Calibri" w:hAnsi="Calibri Light" w:cs="Calibri Light"/>
          <w:lang w:eastAsia="el-GR"/>
        </w:rPr>
        <w:t xml:space="preserve"> и </w:t>
      </w:r>
      <w:r w:rsidRPr="00FF386D">
        <w:rPr>
          <w:rFonts w:ascii="Calibri Light" w:eastAsia="Calibri" w:hAnsi="Calibri Light" w:cs="Calibri Light"/>
          <w:i/>
          <w:lang w:eastAsia="el-GR"/>
        </w:rPr>
        <w:t>S-N</w:t>
      </w:r>
      <w:r w:rsidRPr="00FF386D">
        <w:rPr>
          <w:rFonts w:ascii="Calibri Light" w:eastAsia="Calibri" w:hAnsi="Calibri Light" w:cs="Calibri Light"/>
          <w:lang w:eastAsia="el-GR"/>
        </w:rPr>
        <w:t xml:space="preserve">, што ће бити 9% мање потрошње у поређењу са </w:t>
      </w:r>
      <w:r w:rsidRPr="00FF386D">
        <w:rPr>
          <w:rFonts w:ascii="Calibri Light" w:eastAsia="Calibri" w:hAnsi="Calibri Light" w:cs="Calibri Light"/>
          <w:i/>
          <w:lang w:eastAsia="el-GR"/>
        </w:rPr>
        <w:t>WEM</w:t>
      </w:r>
      <w:r w:rsidRPr="00FF386D">
        <w:rPr>
          <w:rFonts w:ascii="Calibri Light" w:eastAsia="Calibri" w:hAnsi="Calibri Light" w:cs="Calibri Light"/>
          <w:lang w:eastAsia="el-GR"/>
        </w:rPr>
        <w:t xml:space="preserve"> сценаријем и то због промоције енергетски ефикасне опреме, д</w:t>
      </w:r>
      <w:r w:rsidR="00412F61" w:rsidRPr="00FF386D">
        <w:rPr>
          <w:rFonts w:ascii="Calibri Light" w:eastAsia="Calibri" w:hAnsi="Calibri Light" w:cs="Calibri Light"/>
          <w:lang w:eastAsia="el-GR"/>
        </w:rPr>
        <w:t>одатног</w:t>
      </w:r>
      <w:r w:rsidRPr="00FF386D">
        <w:rPr>
          <w:rFonts w:ascii="Calibri Light" w:eastAsia="Calibri" w:hAnsi="Calibri Light" w:cs="Calibri Light"/>
          <w:lang w:eastAsia="el-GR"/>
        </w:rPr>
        <w:t xml:space="preserve"> развоја система енергетског менаџмента и коришћења отпадне топлоте. Смањење у овим сценаријима ће се повећати до 1</w:t>
      </w:r>
      <w:r w:rsidR="00BA39FC" w:rsidRPr="00FF386D">
        <w:rPr>
          <w:rFonts w:ascii="Calibri Light" w:eastAsia="Calibri" w:hAnsi="Calibri Light" w:cs="Calibri Light"/>
          <w:lang w:eastAsia="el-GR"/>
        </w:rPr>
        <w:t>1</w:t>
      </w:r>
      <w:r w:rsidRPr="00FF386D">
        <w:rPr>
          <w:rFonts w:ascii="Calibri Light" w:eastAsia="Calibri" w:hAnsi="Calibri Light" w:cs="Calibri Light"/>
          <w:lang w:eastAsia="el-GR"/>
        </w:rPr>
        <w:t xml:space="preserve">% у 2050. години у поређењу са </w:t>
      </w:r>
      <w:r w:rsidRPr="00FF386D">
        <w:rPr>
          <w:rFonts w:ascii="Calibri Light" w:eastAsia="Calibri" w:hAnsi="Calibri Light" w:cs="Calibri Light"/>
          <w:i/>
          <w:lang w:eastAsia="el-GR"/>
        </w:rPr>
        <w:t>WEM</w:t>
      </w:r>
      <w:r w:rsidRPr="00FF386D">
        <w:rPr>
          <w:rFonts w:ascii="Calibri Light" w:eastAsia="Calibri" w:hAnsi="Calibri Light" w:cs="Calibri Light"/>
          <w:lang w:eastAsia="el-GR"/>
        </w:rPr>
        <w:t xml:space="preserve"> сценаријем јер ће финална потрошња енергије износити око 3,</w:t>
      </w:r>
      <w:r w:rsidR="00BA39FC" w:rsidRPr="00FF386D">
        <w:rPr>
          <w:rFonts w:ascii="Calibri Light" w:eastAsia="Calibri" w:hAnsi="Calibri Light" w:cs="Calibri Light"/>
          <w:lang w:eastAsia="el-GR"/>
        </w:rPr>
        <w:t>4</w:t>
      </w:r>
      <w:r w:rsidRPr="00FF386D">
        <w:rPr>
          <w:rFonts w:ascii="Calibri Light" w:eastAsia="Calibri" w:hAnsi="Calibri Light" w:cs="Calibri Light"/>
          <w:lang w:eastAsia="el-GR"/>
        </w:rPr>
        <w:t xml:space="preserve"> Mtoe услед појачавања мера енергетске ефикасности које ће представљати противтежу повећаној индустријској производњи због раста БДП-а (</w:t>
      </w:r>
      <w:r w:rsidR="00E22D55">
        <w:rPr>
          <w:rFonts w:ascii="Calibri Light" w:eastAsia="Calibri" w:hAnsi="Calibri Light" w:cs="Calibri Light"/>
          <w:lang w:eastAsia="el-GR"/>
        </w:rPr>
        <w:fldChar w:fldCharType="begin"/>
      </w:r>
      <w:r w:rsidR="00E22D55">
        <w:rPr>
          <w:rFonts w:ascii="Calibri Light" w:eastAsia="Calibri" w:hAnsi="Calibri Light" w:cs="Calibri Light"/>
          <w:lang w:eastAsia="el-GR"/>
        </w:rPr>
        <w:instrText xml:space="preserve"> REF _Ref153891510 \h  \* MERGEFORMAT </w:instrText>
      </w:r>
      <w:r w:rsidR="00E22D55">
        <w:rPr>
          <w:rFonts w:ascii="Calibri Light" w:eastAsia="Calibri" w:hAnsi="Calibri Light" w:cs="Calibri Light"/>
          <w:lang w:eastAsia="el-GR"/>
        </w:rPr>
      </w:r>
      <w:r w:rsidR="00E22D55">
        <w:rPr>
          <w:rFonts w:ascii="Calibri Light" w:eastAsia="Calibri" w:hAnsi="Calibri Light" w:cs="Calibri Light"/>
          <w:lang w:eastAsia="el-GR"/>
        </w:rPr>
        <w:fldChar w:fldCharType="separate"/>
      </w:r>
      <w:r w:rsidR="00E22D55" w:rsidRPr="00565B02">
        <w:rPr>
          <w:rFonts w:ascii="Calibri Light" w:eastAsia="Calibri" w:hAnsi="Calibri Light" w:cs="Calibri Light"/>
          <w:lang w:eastAsia="el-GR"/>
        </w:rPr>
        <w:t>Слика 5.20</w:t>
      </w:r>
      <w:r w:rsidR="00E22D55">
        <w:rPr>
          <w:rFonts w:ascii="Calibri Light" w:eastAsia="Calibri" w:hAnsi="Calibri Light" w:cs="Calibri Light"/>
          <w:lang w:eastAsia="el-GR"/>
        </w:rPr>
        <w:fldChar w:fldCharType="end"/>
      </w:r>
      <w:r w:rsidRPr="00FF386D">
        <w:rPr>
          <w:rFonts w:ascii="Calibri Light" w:eastAsia="Calibri" w:hAnsi="Calibri Light" w:cs="Calibri Light"/>
          <w:lang w:eastAsia="el-GR"/>
        </w:rPr>
        <w:t xml:space="preserve">). У </w:t>
      </w:r>
      <w:r w:rsidRPr="00FF386D">
        <w:rPr>
          <w:rFonts w:ascii="Calibri Light" w:eastAsia="Calibri" w:hAnsi="Calibri Light" w:cs="Calibri Light"/>
          <w:lang w:eastAsia="el-GR"/>
        </w:rPr>
        <w:lastRenderedPageBreak/>
        <w:t xml:space="preserve">сценаријима </w:t>
      </w:r>
      <w:r w:rsidRPr="00FF386D">
        <w:rPr>
          <w:rFonts w:ascii="Calibri Light" w:eastAsia="Calibri" w:hAnsi="Calibri Light" w:cs="Calibri Light"/>
          <w:i/>
          <w:lang w:eastAsia="el-GR"/>
        </w:rPr>
        <w:t>S</w:t>
      </w:r>
      <w:r w:rsidRPr="00FF386D">
        <w:rPr>
          <w:rFonts w:ascii="Calibri Light" w:eastAsia="Calibri" w:hAnsi="Calibri Light" w:cs="Calibri Light"/>
          <w:lang w:eastAsia="el-GR"/>
        </w:rPr>
        <w:t xml:space="preserve"> и </w:t>
      </w:r>
      <w:r w:rsidRPr="00FF386D">
        <w:rPr>
          <w:rFonts w:ascii="Calibri Light" w:eastAsia="Calibri" w:hAnsi="Calibri Light" w:cs="Calibri Light"/>
          <w:i/>
          <w:lang w:eastAsia="el-GR"/>
        </w:rPr>
        <w:t>S-N</w:t>
      </w:r>
      <w:r w:rsidRPr="00FF386D">
        <w:rPr>
          <w:rFonts w:ascii="Calibri Light" w:eastAsia="Calibri" w:hAnsi="Calibri Light" w:cs="Calibri Light"/>
          <w:lang w:eastAsia="el-GR"/>
        </w:rPr>
        <w:t xml:space="preserve"> </w:t>
      </w:r>
      <w:r w:rsidR="00412F61" w:rsidRPr="00FF386D">
        <w:rPr>
          <w:rFonts w:ascii="Calibri Light" w:eastAsia="Calibri" w:hAnsi="Calibri Light" w:cs="Calibri Light"/>
          <w:lang w:eastAsia="el-GR"/>
        </w:rPr>
        <w:t xml:space="preserve">гориво са </w:t>
      </w:r>
      <w:r w:rsidRPr="00FF386D">
        <w:rPr>
          <w:rFonts w:ascii="Calibri Light" w:eastAsia="Calibri" w:hAnsi="Calibri Light" w:cs="Calibri Light"/>
          <w:lang w:eastAsia="el-GR"/>
        </w:rPr>
        <w:t>највећи</w:t>
      </w:r>
      <w:r w:rsidR="00412F61" w:rsidRPr="00FF386D">
        <w:rPr>
          <w:rFonts w:ascii="Calibri Light" w:eastAsia="Calibri" w:hAnsi="Calibri Light" w:cs="Calibri Light"/>
          <w:lang w:eastAsia="el-GR"/>
        </w:rPr>
        <w:t>м</w:t>
      </w:r>
      <w:r w:rsidRPr="00FF386D">
        <w:rPr>
          <w:rFonts w:ascii="Calibri Light" w:eastAsia="Calibri" w:hAnsi="Calibri Light" w:cs="Calibri Light"/>
          <w:lang w:eastAsia="el-GR"/>
        </w:rPr>
        <w:t xml:space="preserve"> допринос</w:t>
      </w:r>
      <w:r w:rsidR="00412F61" w:rsidRPr="00FF386D">
        <w:rPr>
          <w:rFonts w:ascii="Calibri Light" w:eastAsia="Calibri" w:hAnsi="Calibri Light" w:cs="Calibri Light"/>
          <w:lang w:eastAsia="el-GR"/>
        </w:rPr>
        <w:t>ом биће</w:t>
      </w:r>
      <w:r w:rsidRPr="00FF386D">
        <w:rPr>
          <w:rFonts w:ascii="Calibri Light" w:eastAsia="Calibri" w:hAnsi="Calibri Light" w:cs="Calibri Light"/>
          <w:lang w:eastAsia="el-GR"/>
        </w:rPr>
        <w:t xml:space="preserve"> електрична енергија, природни гас и нафтни деривати и за 2030. и за 2050. годину.</w:t>
      </w:r>
    </w:p>
    <w:p w14:paraId="6217C96D" w14:textId="2063739A" w:rsidR="00E22D55" w:rsidRDefault="00E22D55" w:rsidP="00565B02">
      <w:pPr>
        <w:pStyle w:val="Caption"/>
        <w:keepNext/>
      </w:pPr>
      <w:bookmarkStart w:id="396" w:name="_Ref153891510"/>
      <w:bookmarkStart w:id="397" w:name="_Toc153901432"/>
      <w:r>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20</w:t>
      </w:r>
      <w:r w:rsidR="00F35B2C">
        <w:fldChar w:fldCharType="end"/>
      </w:r>
      <w:bookmarkEnd w:id="396"/>
      <w:r>
        <w:t xml:space="preserve">: </w:t>
      </w:r>
      <w:r w:rsidRPr="00E22D55">
        <w:t>Финална потрошња енергије (ФПЕ) у индустрији по извору енергије</w:t>
      </w:r>
      <w:bookmarkEnd w:id="397"/>
    </w:p>
    <w:p w14:paraId="7D226353" w14:textId="0600AA54" w:rsidR="00B92C50" w:rsidRPr="00FF386D" w:rsidRDefault="00E22D55" w:rsidP="00B92C50">
      <w:pPr>
        <w:spacing w:before="120" w:after="120" w:line="240" w:lineRule="auto"/>
        <w:jc w:val="center"/>
        <w:rPr>
          <w:rFonts w:ascii="Calibri" w:eastAsia="Calibri" w:hAnsi="Calibri" w:cs="Times New Roman"/>
        </w:rPr>
      </w:pPr>
      <w:r>
        <w:rPr>
          <w:noProof/>
          <w:lang w:val="en-US"/>
        </w:rPr>
        <mc:AlternateContent>
          <mc:Choice Requires="wps">
            <w:drawing>
              <wp:anchor distT="0" distB="0" distL="114300" distR="114300" simplePos="0" relativeHeight="251800576" behindDoc="0" locked="0" layoutInCell="1" allowOverlap="1" wp14:anchorId="33BE156D" wp14:editId="42E9DED6">
                <wp:simplePos x="0" y="0"/>
                <wp:positionH relativeFrom="column">
                  <wp:posOffset>549152</wp:posOffset>
                </wp:positionH>
                <wp:positionV relativeFrom="paragraph">
                  <wp:posOffset>397491</wp:posOffset>
                </wp:positionV>
                <wp:extent cx="3230880" cy="2088060"/>
                <wp:effectExtent l="0" t="0" r="7620" b="7620"/>
                <wp:wrapNone/>
                <wp:docPr id="1481808503" name="Text Box 1481808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0880" cy="2088060"/>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44ACB869" id="Text Box 1481808503" o:spid="_x0000_s1026" type="#_x0000_t202" style="position:absolute;margin-left:43.25pt;margin-top:31.3pt;width:254.4pt;height:164.4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" fillcolor="#a6a6a6" stroked="f">
                <v:fill opacity="32896f"/>
              </v:shape>
            </w:pict>
          </mc:Fallback>
        </mc:AlternateContent>
      </w:r>
      <w:r w:rsidR="004F3731" w:rsidRPr="004F53D7">
        <w:rPr>
          <w:rFonts w:ascii="Calibri" w:eastAsia="Calibri" w:hAnsi="Calibri" w:cs="Times New Roman"/>
          <w:noProof/>
          <w:lang w:val="en-US"/>
        </w:rPr>
        <w:drawing>
          <wp:inline distT="0" distB="0" distL="0" distR="0" wp14:anchorId="547D8C73" wp14:editId="5220BDDC">
            <wp:extent cx="5834380" cy="3462655"/>
            <wp:effectExtent l="0" t="0" r="0" b="0"/>
            <wp:docPr id="588577173" name="Picture 58857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34380" cy="3462655"/>
                    </a:xfrm>
                    <a:prstGeom prst="rect">
                      <a:avLst/>
                    </a:prstGeom>
                    <a:noFill/>
                  </pic:spPr>
                </pic:pic>
              </a:graphicData>
            </a:graphic>
          </wp:inline>
        </w:drawing>
      </w:r>
    </w:p>
    <w:p w14:paraId="73CB7F0E" w14:textId="46F237C3" w:rsidR="00A244F6" w:rsidRPr="00FF386D" w:rsidRDefault="00A244F6" w:rsidP="00A244F6">
      <w:pPr>
        <w:suppressAutoHyphens/>
        <w:jc w:val="both"/>
        <w:rPr>
          <w:rFonts w:ascii="Calibri Light" w:eastAsia="Calibri" w:hAnsi="Calibri Light" w:cs="Calibri Light"/>
        </w:rPr>
      </w:pPr>
      <w:r w:rsidRPr="00FF386D">
        <w:rPr>
          <w:rFonts w:ascii="Calibri Light" w:eastAsia="Calibri" w:hAnsi="Calibri Light" w:cs="Calibri Light"/>
        </w:rPr>
        <w:t>У стамбеном сектору, финална потрошња енергије износиће 3.</w:t>
      </w:r>
      <w:r w:rsidR="002F7938" w:rsidRPr="00FF386D">
        <w:rPr>
          <w:rFonts w:ascii="Calibri Light" w:eastAsia="Calibri" w:hAnsi="Calibri Light" w:cs="Calibri Light"/>
        </w:rPr>
        <w:t>798</w:t>
      </w:r>
      <w:r w:rsidRPr="00FF386D">
        <w:rPr>
          <w:rFonts w:ascii="Calibri Light" w:eastAsia="Calibri" w:hAnsi="Calibri Light" w:cs="Calibri Light"/>
        </w:rPr>
        <w:t xml:space="preserve"> ktoe у </w:t>
      </w:r>
      <w:r w:rsidRPr="00FF386D">
        <w:rPr>
          <w:rFonts w:ascii="Calibri Light" w:eastAsia="Calibri" w:hAnsi="Calibri Light" w:cs="Calibri Light"/>
          <w:i/>
        </w:rPr>
        <w:t>WEM</w:t>
      </w:r>
      <w:r w:rsidRPr="00FF386D">
        <w:rPr>
          <w:rFonts w:ascii="Calibri Light" w:eastAsia="Calibri" w:hAnsi="Calibri Light" w:cs="Calibri Light"/>
        </w:rPr>
        <w:t xml:space="preserve"> сценарију и 3.5</w:t>
      </w:r>
      <w:r w:rsidR="002F7938" w:rsidRPr="00FF386D">
        <w:rPr>
          <w:rFonts w:ascii="Calibri Light" w:eastAsia="Calibri" w:hAnsi="Calibri Light" w:cs="Calibri Light"/>
        </w:rPr>
        <w:t>23</w:t>
      </w:r>
      <w:r w:rsidRPr="00FF386D">
        <w:rPr>
          <w:rFonts w:ascii="Calibri Light" w:eastAsia="Calibri" w:hAnsi="Calibri Light" w:cs="Calibri Light"/>
        </w:rPr>
        <w:t xml:space="preserve"> ktoe </w:t>
      </w:r>
      <w:r w:rsidRPr="00FF386D">
        <w:rPr>
          <w:rFonts w:ascii="Calibri Light" w:eastAsia="Calibri" w:hAnsi="Calibri Light" w:cs="Calibri Light"/>
          <w:lang w:eastAsia="el-GR"/>
        </w:rPr>
        <w:t xml:space="preserve">у сценаријима </w:t>
      </w:r>
      <w:r w:rsidRPr="00FF386D">
        <w:rPr>
          <w:rFonts w:ascii="Calibri Light" w:eastAsia="Calibri" w:hAnsi="Calibri Light" w:cs="Calibri Light"/>
          <w:i/>
          <w:lang w:eastAsia="el-GR"/>
        </w:rPr>
        <w:t>S</w:t>
      </w:r>
      <w:r w:rsidRPr="00FF386D">
        <w:rPr>
          <w:rFonts w:ascii="Calibri Light" w:eastAsia="Calibri" w:hAnsi="Calibri Light" w:cs="Calibri Light"/>
          <w:lang w:eastAsia="el-GR"/>
        </w:rPr>
        <w:t xml:space="preserve"> и </w:t>
      </w:r>
      <w:r w:rsidRPr="00FF386D">
        <w:rPr>
          <w:rFonts w:ascii="Calibri Light" w:eastAsia="Calibri" w:hAnsi="Calibri Light" w:cs="Calibri Light"/>
          <w:i/>
          <w:lang w:eastAsia="el-GR"/>
        </w:rPr>
        <w:t>S-N</w:t>
      </w:r>
      <w:r w:rsidRPr="00FF386D">
        <w:rPr>
          <w:rFonts w:ascii="Calibri Light" w:eastAsia="Calibri" w:hAnsi="Calibri Light" w:cs="Calibri Light"/>
          <w:lang w:eastAsia="el-GR"/>
        </w:rPr>
        <w:t xml:space="preserve"> </w:t>
      </w:r>
      <w:r w:rsidRPr="00FF386D">
        <w:rPr>
          <w:rFonts w:ascii="Calibri Light" w:eastAsia="Calibri" w:hAnsi="Calibri Light" w:cs="Calibri Light"/>
        </w:rPr>
        <w:t>у 2030. години, углавном због повећања енергетске обнове зграда, уградње аеротермалних топлотних пумпи и п</w:t>
      </w:r>
      <w:r w:rsidR="002F7938" w:rsidRPr="00FF386D">
        <w:rPr>
          <w:rFonts w:ascii="Calibri Light" w:eastAsia="Calibri" w:hAnsi="Calibri Light" w:cs="Calibri Light"/>
        </w:rPr>
        <w:t>одстицања</w:t>
      </w:r>
      <w:r w:rsidRPr="00FF386D">
        <w:rPr>
          <w:rFonts w:ascii="Calibri Light" w:eastAsia="Calibri" w:hAnsi="Calibri Light" w:cs="Calibri Light"/>
        </w:rPr>
        <w:t xml:space="preserve"> енергетски ефикасних уређаја и осветљења. Смањење финалне потрошње енергије је веће за сценарија </w:t>
      </w:r>
      <w:r w:rsidRPr="00FF386D">
        <w:rPr>
          <w:rFonts w:ascii="Calibri Light" w:eastAsia="Calibri" w:hAnsi="Calibri Light" w:cs="Calibri Light"/>
          <w:i/>
          <w:lang w:eastAsia="el-GR"/>
        </w:rPr>
        <w:t>S</w:t>
      </w:r>
      <w:r w:rsidRPr="00FF386D">
        <w:rPr>
          <w:rFonts w:ascii="Calibri Light" w:eastAsia="Calibri" w:hAnsi="Calibri Light" w:cs="Calibri Light"/>
          <w:lang w:eastAsia="el-GR"/>
        </w:rPr>
        <w:t xml:space="preserve"> и </w:t>
      </w:r>
      <w:r w:rsidRPr="00FF386D">
        <w:rPr>
          <w:rFonts w:ascii="Calibri Light" w:eastAsia="Calibri" w:hAnsi="Calibri Light" w:cs="Calibri Light"/>
          <w:i/>
          <w:lang w:eastAsia="el-GR"/>
        </w:rPr>
        <w:t>S-N</w:t>
      </w:r>
      <w:r w:rsidRPr="00FF386D">
        <w:rPr>
          <w:rFonts w:ascii="Calibri Light" w:eastAsia="Calibri" w:hAnsi="Calibri Light" w:cs="Calibri Light"/>
        </w:rPr>
        <w:t xml:space="preserve"> у 2050. години и износи 2,5 Mtoe у поређењу са 3,7 Mtoe у </w:t>
      </w:r>
      <w:r w:rsidRPr="00FF386D">
        <w:rPr>
          <w:rFonts w:ascii="Calibri Light" w:eastAsia="Calibri" w:hAnsi="Calibri Light" w:cs="Calibri Light"/>
          <w:i/>
        </w:rPr>
        <w:t>WEM</w:t>
      </w:r>
      <w:r w:rsidRPr="00FF386D">
        <w:rPr>
          <w:rFonts w:ascii="Calibri Light" w:eastAsia="Calibri" w:hAnsi="Calibri Light" w:cs="Calibri Light"/>
        </w:rPr>
        <w:t xml:space="preserve"> сценарију услед повећаног спровођења енергетски ефикасних мера (</w:t>
      </w:r>
      <w:r w:rsidR="00097974">
        <w:rPr>
          <w:rFonts w:ascii="Calibri Light" w:eastAsia="Calibri" w:hAnsi="Calibri Light" w:cs="Calibri Light"/>
        </w:rPr>
        <w:fldChar w:fldCharType="begin"/>
      </w:r>
      <w:r w:rsidR="00097974">
        <w:rPr>
          <w:rFonts w:ascii="Calibri Light" w:eastAsia="Calibri" w:hAnsi="Calibri Light" w:cs="Calibri Light"/>
        </w:rPr>
        <w:instrText xml:space="preserve"> REF _Ref153891646 \h  \* MERGEFORMAT </w:instrText>
      </w:r>
      <w:r w:rsidR="00097974">
        <w:rPr>
          <w:rFonts w:ascii="Calibri Light" w:eastAsia="Calibri" w:hAnsi="Calibri Light" w:cs="Calibri Light"/>
        </w:rPr>
      </w:r>
      <w:r w:rsidR="00097974">
        <w:rPr>
          <w:rFonts w:ascii="Calibri Light" w:eastAsia="Calibri" w:hAnsi="Calibri Light" w:cs="Calibri Light"/>
        </w:rPr>
        <w:fldChar w:fldCharType="separate"/>
      </w:r>
      <w:r w:rsidR="00097974" w:rsidRPr="00565B02">
        <w:rPr>
          <w:rFonts w:ascii="Calibri Light" w:eastAsia="Calibri" w:hAnsi="Calibri Light" w:cs="Calibri Light"/>
        </w:rPr>
        <w:t>Слика 5.21</w:t>
      </w:r>
      <w:r w:rsidR="00097974">
        <w:rPr>
          <w:rFonts w:ascii="Calibri Light" w:eastAsia="Calibri" w:hAnsi="Calibri Light" w:cs="Calibri Light"/>
        </w:rPr>
        <w:fldChar w:fldCharType="end"/>
      </w:r>
      <w:r w:rsidR="006E73DA" w:rsidRPr="00565B02">
        <w:rPr>
          <w:rFonts w:ascii="Calibri Light" w:eastAsia="Calibri" w:hAnsi="Calibri Light" w:cs="Calibri Light"/>
        </w:rPr>
        <w:t>).</w:t>
      </w:r>
      <w:r w:rsidR="006E73DA" w:rsidRPr="00FF386D">
        <w:rPr>
          <w:rFonts w:ascii="Calibri" w:eastAsia="Calibri" w:hAnsi="Calibri" w:cs="Times New Roman"/>
        </w:rPr>
        <w:t xml:space="preserve"> </w:t>
      </w:r>
      <w:r w:rsidRPr="00FF386D">
        <w:rPr>
          <w:rFonts w:ascii="Calibri Light" w:eastAsia="Calibri" w:hAnsi="Calibri Light" w:cs="Calibri Light"/>
        </w:rPr>
        <w:t>Највећи допринос имају биомаса/биогас, електрична енергија и изведена топлота и у 2030. и 2050</w:t>
      </w:r>
      <w:r w:rsidR="002F7938" w:rsidRPr="00FF386D">
        <w:rPr>
          <w:rFonts w:ascii="Calibri Light" w:eastAsia="Calibri" w:hAnsi="Calibri Light" w:cs="Calibri Light"/>
        </w:rPr>
        <w:t>. години.</w:t>
      </w:r>
    </w:p>
    <w:p w14:paraId="43240C87" w14:textId="0DBF8ABC" w:rsidR="00097974" w:rsidRDefault="00097974" w:rsidP="00565B02">
      <w:pPr>
        <w:pStyle w:val="Caption"/>
        <w:keepNext/>
      </w:pPr>
      <w:bookmarkStart w:id="398" w:name="_Ref153891646"/>
      <w:bookmarkStart w:id="399" w:name="_Toc153901433"/>
      <w:r>
        <w:lastRenderedPageBreak/>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21</w:t>
      </w:r>
      <w:r w:rsidR="00F35B2C">
        <w:fldChar w:fldCharType="end"/>
      </w:r>
      <w:bookmarkEnd w:id="398"/>
      <w:r>
        <w:t xml:space="preserve">: </w:t>
      </w:r>
      <w:r w:rsidRPr="00097974">
        <w:t>Финална потрошња енергије (ФПЕ) у стамбеном сектору по извору енергије</w:t>
      </w:r>
      <w:bookmarkEnd w:id="399"/>
    </w:p>
    <w:p w14:paraId="15E2B586" w14:textId="37F984F2" w:rsidR="00A244F6" w:rsidRPr="00FF386D" w:rsidRDefault="00097974" w:rsidP="006E73DA">
      <w:pPr>
        <w:pStyle w:val="Caption"/>
        <w:keepNext/>
        <w:rPr>
          <w:rFonts w:eastAsia="Calibri"/>
        </w:rPr>
      </w:pPr>
      <w:r>
        <w:rPr>
          <w:noProof/>
          <w:lang w:val="en-US"/>
        </w:rPr>
        <mc:AlternateContent>
          <mc:Choice Requires="wps">
            <w:drawing>
              <wp:anchor distT="0" distB="0" distL="114300" distR="114300" simplePos="0" relativeHeight="251802624" behindDoc="0" locked="0" layoutInCell="1" allowOverlap="1" wp14:anchorId="07E8F909" wp14:editId="7AD18AB5">
                <wp:simplePos x="0" y="0"/>
                <wp:positionH relativeFrom="column">
                  <wp:posOffset>433146</wp:posOffset>
                </wp:positionH>
                <wp:positionV relativeFrom="paragraph">
                  <wp:posOffset>285456</wp:posOffset>
                </wp:positionV>
                <wp:extent cx="3159457" cy="1957904"/>
                <wp:effectExtent l="0" t="0" r="3175" b="4445"/>
                <wp:wrapNone/>
                <wp:docPr id="393116055" name="Text Box 393116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59457" cy="1957904"/>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6F28D1BE" id="Text Box 393116055" o:spid="_x0000_s1026" type="#_x0000_t202" style="position:absolute;margin-left:34.1pt;margin-top:22.5pt;width:248.8pt;height:154.1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" fillcolor="#a6a6a6" stroked="f">
                <v:fill opacity="32896f"/>
              </v:shape>
            </w:pict>
          </mc:Fallback>
        </mc:AlternateContent>
      </w:r>
      <w:r w:rsidR="00A244F6" w:rsidRPr="004F53D7">
        <w:rPr>
          <w:rFonts w:eastAsia="Calibri"/>
          <w:noProof/>
          <w:lang w:val="en-US"/>
        </w:rPr>
        <w:drawing>
          <wp:inline distT="0" distB="0" distL="0" distR="0" wp14:anchorId="33B2A140" wp14:editId="66E0D7D5">
            <wp:extent cx="5753100" cy="3414159"/>
            <wp:effectExtent l="0" t="0" r="0" b="0"/>
            <wp:docPr id="1201068911" name="Picture 1201068911" descr="A picture containing text, screenshot, fon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068911" name="Picture 1201068911" descr="A picture containing text, screenshot, font, line&#10;&#10;Description automatically generated"/>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69491" cy="3423886"/>
                    </a:xfrm>
                    <a:prstGeom prst="rect">
                      <a:avLst/>
                    </a:prstGeom>
                    <a:noFill/>
                  </pic:spPr>
                </pic:pic>
              </a:graphicData>
            </a:graphic>
          </wp:inline>
        </w:drawing>
      </w:r>
    </w:p>
    <w:p w14:paraId="6D9471F8" w14:textId="02197ACC" w:rsidR="00A244F6" w:rsidRPr="00FF386D" w:rsidRDefault="00A244F6" w:rsidP="006E73DA">
      <w:pPr>
        <w:suppressAutoHyphens/>
        <w:spacing w:before="240"/>
        <w:jc w:val="both"/>
        <w:rPr>
          <w:rFonts w:asciiTheme="majorHAnsi" w:hAnsiTheme="majorHAnsi" w:cstheme="majorHAnsi"/>
        </w:rPr>
      </w:pPr>
      <w:r w:rsidRPr="00FF386D">
        <w:rPr>
          <w:rFonts w:asciiTheme="majorHAnsi" w:hAnsiTheme="majorHAnsi" w:cstheme="majorHAnsi"/>
        </w:rPr>
        <w:t xml:space="preserve">Финална потрошња енергије у терцијарном сектору у </w:t>
      </w:r>
      <w:r w:rsidRPr="00FF386D">
        <w:rPr>
          <w:rFonts w:asciiTheme="majorHAnsi" w:hAnsiTheme="majorHAnsi" w:cstheme="majorHAnsi"/>
          <w:i/>
        </w:rPr>
        <w:t>WEM</w:t>
      </w:r>
      <w:r w:rsidRPr="00FF386D">
        <w:rPr>
          <w:rFonts w:asciiTheme="majorHAnsi" w:hAnsiTheme="majorHAnsi" w:cstheme="majorHAnsi"/>
        </w:rPr>
        <w:t xml:space="preserve"> сценарију </w:t>
      </w:r>
      <w:r w:rsidR="001D3BA1">
        <w:rPr>
          <w:rFonts w:asciiTheme="majorHAnsi" w:hAnsiTheme="majorHAnsi" w:cstheme="majorHAnsi"/>
        </w:rPr>
        <w:t xml:space="preserve">у 2030. години </w:t>
      </w:r>
      <w:r w:rsidRPr="00FF386D">
        <w:rPr>
          <w:rFonts w:asciiTheme="majorHAnsi" w:hAnsiTheme="majorHAnsi" w:cstheme="majorHAnsi"/>
        </w:rPr>
        <w:t>износи 1.</w:t>
      </w:r>
      <w:r w:rsidR="002F7938" w:rsidRPr="00FF386D">
        <w:rPr>
          <w:rFonts w:asciiTheme="majorHAnsi" w:hAnsiTheme="majorHAnsi" w:cstheme="majorHAnsi"/>
        </w:rPr>
        <w:t>097</w:t>
      </w:r>
      <w:r w:rsidRPr="00FF386D">
        <w:rPr>
          <w:rFonts w:asciiTheme="majorHAnsi" w:hAnsiTheme="majorHAnsi" w:cstheme="majorHAnsi"/>
        </w:rPr>
        <w:t xml:space="preserve"> ktoe, док је значајно смањење од 1</w:t>
      </w:r>
      <w:r w:rsidR="002F7938" w:rsidRPr="00FF386D">
        <w:rPr>
          <w:rFonts w:asciiTheme="majorHAnsi" w:hAnsiTheme="majorHAnsi" w:cstheme="majorHAnsi"/>
        </w:rPr>
        <w:t>7</w:t>
      </w:r>
      <w:r w:rsidRPr="00FF386D">
        <w:rPr>
          <w:rFonts w:asciiTheme="majorHAnsi" w:hAnsiTheme="majorHAnsi" w:cstheme="majorHAnsi"/>
        </w:rPr>
        <w:t xml:space="preserve">% примећено у </w:t>
      </w:r>
      <w:r w:rsidRPr="00FF386D">
        <w:rPr>
          <w:rFonts w:asciiTheme="majorHAnsi" w:eastAsia="Calibri" w:hAnsiTheme="majorHAnsi" w:cstheme="majorHAnsi"/>
          <w:lang w:eastAsia="el-GR"/>
        </w:rPr>
        <w:t xml:space="preserve">сценаријима </w:t>
      </w:r>
      <w:r w:rsidRPr="00FF386D">
        <w:rPr>
          <w:rFonts w:asciiTheme="majorHAnsi" w:eastAsia="Calibri" w:hAnsiTheme="majorHAnsi" w:cstheme="majorHAnsi"/>
          <w:i/>
          <w:lang w:eastAsia="el-GR"/>
        </w:rPr>
        <w:t>S</w:t>
      </w:r>
      <w:r w:rsidRPr="00FF386D">
        <w:rPr>
          <w:rFonts w:asciiTheme="majorHAnsi" w:eastAsia="Calibri" w:hAnsiTheme="majorHAnsi" w:cstheme="majorHAnsi"/>
          <w:lang w:eastAsia="el-GR"/>
        </w:rPr>
        <w:t xml:space="preserve"> и </w:t>
      </w:r>
      <w:r w:rsidRPr="00FF386D">
        <w:rPr>
          <w:rFonts w:asciiTheme="majorHAnsi" w:eastAsia="Calibri" w:hAnsiTheme="majorHAnsi" w:cstheme="majorHAnsi"/>
          <w:i/>
          <w:lang w:eastAsia="el-GR"/>
        </w:rPr>
        <w:t>S-N</w:t>
      </w:r>
      <w:r w:rsidRPr="00FF386D">
        <w:rPr>
          <w:rFonts w:asciiTheme="majorHAnsi" w:eastAsia="Calibri" w:hAnsiTheme="majorHAnsi" w:cstheme="majorHAnsi"/>
          <w:lang w:eastAsia="el-GR"/>
        </w:rPr>
        <w:t xml:space="preserve"> и достиже </w:t>
      </w:r>
      <w:r w:rsidRPr="00FF386D">
        <w:rPr>
          <w:rFonts w:asciiTheme="majorHAnsi" w:hAnsiTheme="majorHAnsi" w:cstheme="majorHAnsi"/>
        </w:rPr>
        <w:t>910 ktoe у апсолутним нивоима услед повећање енергетске обнове зграда, уградње аеротермалних и геотермалних топлотних пумпи и промовисања енергетски ефикасних уређаја и осветљења. Интензивирање мера енергетске ефикасности довешће до смањења од 24% у 2050. години, када финална потрошња енергије достигне 1.5</w:t>
      </w:r>
      <w:r w:rsidR="002F7938" w:rsidRPr="00FF386D">
        <w:rPr>
          <w:rFonts w:asciiTheme="majorHAnsi" w:hAnsiTheme="majorHAnsi" w:cstheme="majorHAnsi"/>
        </w:rPr>
        <w:t>79</w:t>
      </w:r>
      <w:r w:rsidRPr="00FF386D">
        <w:rPr>
          <w:rFonts w:asciiTheme="majorHAnsi" w:hAnsiTheme="majorHAnsi" w:cstheme="majorHAnsi"/>
        </w:rPr>
        <w:t xml:space="preserve"> ktoe у </w:t>
      </w:r>
      <w:r w:rsidRPr="00FF386D">
        <w:rPr>
          <w:rFonts w:asciiTheme="majorHAnsi" w:hAnsiTheme="majorHAnsi" w:cstheme="majorHAnsi"/>
          <w:i/>
        </w:rPr>
        <w:t>WEM</w:t>
      </w:r>
      <w:r w:rsidRPr="00FF386D">
        <w:rPr>
          <w:rFonts w:asciiTheme="majorHAnsi" w:hAnsiTheme="majorHAnsi" w:cstheme="majorHAnsi"/>
        </w:rPr>
        <w:t xml:space="preserve"> сценарију и око 1.200 ktoe у </w:t>
      </w:r>
      <w:r w:rsidRPr="00FF386D">
        <w:rPr>
          <w:rFonts w:asciiTheme="majorHAnsi" w:eastAsia="Calibri" w:hAnsiTheme="majorHAnsi" w:cstheme="majorHAnsi"/>
          <w:lang w:eastAsia="el-GR"/>
        </w:rPr>
        <w:t xml:space="preserve">сценаријима </w:t>
      </w:r>
      <w:r w:rsidRPr="00FF386D">
        <w:rPr>
          <w:rFonts w:asciiTheme="majorHAnsi" w:eastAsia="Calibri" w:hAnsiTheme="majorHAnsi" w:cstheme="majorHAnsi"/>
          <w:i/>
          <w:lang w:eastAsia="el-GR"/>
        </w:rPr>
        <w:t>S</w:t>
      </w:r>
      <w:r w:rsidRPr="00FF386D">
        <w:rPr>
          <w:rFonts w:asciiTheme="majorHAnsi" w:eastAsia="Calibri" w:hAnsiTheme="majorHAnsi" w:cstheme="majorHAnsi"/>
          <w:lang w:eastAsia="el-GR"/>
        </w:rPr>
        <w:t xml:space="preserve"> и </w:t>
      </w:r>
      <w:r w:rsidRPr="00FF386D">
        <w:rPr>
          <w:rFonts w:asciiTheme="majorHAnsi" w:eastAsia="Calibri" w:hAnsiTheme="majorHAnsi" w:cstheme="majorHAnsi"/>
          <w:i/>
          <w:lang w:eastAsia="el-GR"/>
        </w:rPr>
        <w:t>S-N</w:t>
      </w:r>
      <w:r w:rsidRPr="00565B02">
        <w:rPr>
          <w:rFonts w:asciiTheme="majorHAnsi" w:eastAsia="Calibri" w:hAnsiTheme="majorHAnsi" w:cstheme="majorHAnsi"/>
          <w:i/>
          <w:lang w:eastAsia="el-GR"/>
        </w:rPr>
        <w:t xml:space="preserve"> </w:t>
      </w:r>
      <w:r w:rsidRPr="00565B02">
        <w:rPr>
          <w:rFonts w:asciiTheme="majorHAnsi" w:hAnsiTheme="majorHAnsi" w:cstheme="majorHAnsi"/>
        </w:rPr>
        <w:t>(</w:t>
      </w:r>
      <w:r w:rsidR="00D14C24" w:rsidRPr="00565B02">
        <w:rPr>
          <w:rFonts w:asciiTheme="majorHAnsi" w:hAnsiTheme="majorHAnsi" w:cstheme="majorHAnsi"/>
        </w:rPr>
        <w:fldChar w:fldCharType="begin"/>
      </w:r>
      <w:r w:rsidR="00D14C24" w:rsidRPr="00565B02">
        <w:rPr>
          <w:rFonts w:asciiTheme="majorHAnsi" w:hAnsiTheme="majorHAnsi" w:cstheme="majorHAnsi"/>
        </w:rPr>
        <w:instrText xml:space="preserve"> REF _Ref153891798 \h  \* MERGEFORMAT </w:instrText>
      </w:r>
      <w:r w:rsidR="00D14C24" w:rsidRPr="00565B02">
        <w:rPr>
          <w:rFonts w:asciiTheme="majorHAnsi" w:hAnsiTheme="majorHAnsi" w:cstheme="majorHAnsi"/>
        </w:rPr>
      </w:r>
      <w:r w:rsidR="00D14C24" w:rsidRPr="00565B02">
        <w:rPr>
          <w:rFonts w:asciiTheme="majorHAnsi" w:hAnsiTheme="majorHAnsi" w:cstheme="majorHAnsi"/>
        </w:rPr>
        <w:fldChar w:fldCharType="separate"/>
      </w:r>
      <w:r w:rsidR="00D14C24" w:rsidRPr="00565B02">
        <w:rPr>
          <w:rFonts w:asciiTheme="majorHAnsi" w:hAnsiTheme="majorHAnsi" w:cstheme="majorHAnsi"/>
        </w:rPr>
        <w:t>Слика 5.22</w:t>
      </w:r>
      <w:r w:rsidR="00D14C24" w:rsidRPr="00565B02">
        <w:rPr>
          <w:rFonts w:asciiTheme="majorHAnsi" w:hAnsiTheme="majorHAnsi" w:cstheme="majorHAnsi"/>
        </w:rPr>
        <w:fldChar w:fldCharType="end"/>
      </w:r>
      <w:r w:rsidR="00D14C24" w:rsidRPr="00565B02">
        <w:rPr>
          <w:rFonts w:asciiTheme="majorHAnsi" w:hAnsiTheme="majorHAnsi" w:cstheme="majorHAnsi"/>
        </w:rPr>
        <w:t xml:space="preserve">). </w:t>
      </w:r>
      <w:r w:rsidR="003E244A" w:rsidRPr="00D14C24">
        <w:rPr>
          <w:rFonts w:asciiTheme="majorHAnsi" w:hAnsiTheme="majorHAnsi" w:cstheme="majorHAnsi"/>
        </w:rPr>
        <w:t>Финална</w:t>
      </w:r>
      <w:r w:rsidR="003E244A" w:rsidRPr="003E244A">
        <w:rPr>
          <w:rFonts w:asciiTheme="majorHAnsi" w:hAnsiTheme="majorHAnsi" w:cstheme="majorHAnsi"/>
        </w:rPr>
        <w:t xml:space="preserve"> потрошња енергије у сектору услуга по извору енергије</w:t>
      </w:r>
      <w:r w:rsidRPr="00FF386D">
        <w:rPr>
          <w:rFonts w:asciiTheme="majorHAnsi" w:hAnsiTheme="majorHAnsi" w:cstheme="majorHAnsi"/>
        </w:rPr>
        <w:t xml:space="preserve">. Електрична енергија и природни гас представљају горива која имају највећи допринос и у 2030. и 2050. години и задржаће скоро идентичан удео у </w:t>
      </w:r>
      <w:r w:rsidRPr="00FF386D">
        <w:rPr>
          <w:rFonts w:asciiTheme="majorHAnsi" w:eastAsia="Calibri" w:hAnsiTheme="majorHAnsi" w:cstheme="majorHAnsi"/>
          <w:lang w:eastAsia="el-GR"/>
        </w:rPr>
        <w:t xml:space="preserve">сценаријима </w:t>
      </w:r>
      <w:r w:rsidRPr="00FF386D">
        <w:rPr>
          <w:rFonts w:asciiTheme="majorHAnsi" w:eastAsia="Calibri" w:hAnsiTheme="majorHAnsi" w:cstheme="majorHAnsi"/>
          <w:i/>
          <w:lang w:eastAsia="el-GR"/>
        </w:rPr>
        <w:t>S</w:t>
      </w:r>
      <w:r w:rsidRPr="00FF386D">
        <w:rPr>
          <w:rFonts w:asciiTheme="majorHAnsi" w:eastAsia="Calibri" w:hAnsiTheme="majorHAnsi" w:cstheme="majorHAnsi"/>
          <w:lang w:eastAsia="el-GR"/>
        </w:rPr>
        <w:t xml:space="preserve"> и </w:t>
      </w:r>
      <w:r w:rsidRPr="00FF386D">
        <w:rPr>
          <w:rFonts w:asciiTheme="majorHAnsi" w:eastAsia="Calibri" w:hAnsiTheme="majorHAnsi" w:cstheme="majorHAnsi"/>
          <w:i/>
          <w:lang w:eastAsia="el-GR"/>
        </w:rPr>
        <w:t>S-N</w:t>
      </w:r>
      <w:r w:rsidRPr="00FF386D">
        <w:rPr>
          <w:rFonts w:asciiTheme="majorHAnsi" w:hAnsiTheme="majorHAnsi" w:cstheme="majorHAnsi"/>
        </w:rPr>
        <w:t>.</w:t>
      </w:r>
    </w:p>
    <w:p w14:paraId="404E1BC7" w14:textId="6B9F187E" w:rsidR="00D14C24" w:rsidRDefault="00D14C24" w:rsidP="00565B02">
      <w:pPr>
        <w:pStyle w:val="Caption"/>
        <w:keepNext/>
      </w:pPr>
      <w:bookmarkStart w:id="400" w:name="_Ref153891798"/>
      <w:bookmarkStart w:id="401" w:name="_Toc153901434"/>
      <w:r>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22</w:t>
      </w:r>
      <w:r w:rsidR="00F35B2C">
        <w:fldChar w:fldCharType="end"/>
      </w:r>
      <w:bookmarkEnd w:id="400"/>
      <w:r>
        <w:t xml:space="preserve">: </w:t>
      </w:r>
      <w:r w:rsidRPr="00D14C24">
        <w:t>Финална потрошња енергије у сектору услуга по извору енергије</w:t>
      </w:r>
      <w:bookmarkEnd w:id="401"/>
    </w:p>
    <w:p w14:paraId="5A84FE99" w14:textId="1F66A2E6" w:rsidR="00A244F6" w:rsidRPr="00FF386D" w:rsidRDefault="00D14C24" w:rsidP="00A244F6">
      <w:pPr>
        <w:pStyle w:val="LDKbody"/>
        <w:suppressAutoHyphens/>
        <w:jc w:val="center"/>
        <w:rPr>
          <w:rFonts w:eastAsia="Calibri" w:cs="Times New Roman"/>
          <w:lang w:val="sr-Cyrl-RS" w:eastAsia="en-US"/>
        </w:rPr>
      </w:pPr>
      <w:r>
        <w:rPr>
          <w:noProof/>
          <w:lang w:val="en-US" w:eastAsia="en-US"/>
        </w:rPr>
        <mc:AlternateContent>
          <mc:Choice Requires="wps">
            <w:drawing>
              <wp:anchor distT="0" distB="0" distL="114300" distR="114300" simplePos="0" relativeHeight="251804672" behindDoc="0" locked="0" layoutInCell="1" allowOverlap="1" wp14:anchorId="5E71999E" wp14:editId="3DA46C96">
                <wp:simplePos x="0" y="0"/>
                <wp:positionH relativeFrom="column">
                  <wp:posOffset>692452</wp:posOffset>
                </wp:positionH>
                <wp:positionV relativeFrom="paragraph">
                  <wp:posOffset>557900</wp:posOffset>
                </wp:positionV>
                <wp:extent cx="3021501" cy="1922628"/>
                <wp:effectExtent l="0" t="0" r="7620" b="1905"/>
                <wp:wrapNone/>
                <wp:docPr id="1007385987" name="Text Box 1007385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1501" cy="1922628"/>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6497B392" id="Text Box 1007385987" o:spid="_x0000_s1026" type="#_x0000_t202" style="position:absolute;margin-left:54.5pt;margin-top:43.95pt;width:237.9pt;height:151.4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" fillcolor="#a6a6a6" stroked="f">
                <v:fill opacity="32896f"/>
              </v:shape>
            </w:pict>
          </mc:Fallback>
        </mc:AlternateContent>
      </w:r>
      <w:r w:rsidR="00A244F6" w:rsidRPr="004F53D7">
        <w:rPr>
          <w:rFonts w:eastAsia="Calibri" w:cs="Times New Roman"/>
          <w:noProof/>
          <w:lang w:val="en-US" w:eastAsia="en-US"/>
        </w:rPr>
        <w:drawing>
          <wp:inline distT="0" distB="0" distL="0" distR="0" wp14:anchorId="5AC50070" wp14:editId="52AE9E68">
            <wp:extent cx="5493184" cy="3260700"/>
            <wp:effectExtent l="0" t="0" r="0" b="0"/>
            <wp:docPr id="232" name="Picture 232" descr="A picture containing text, screenshot, fon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picture containing text, screenshot, font, line&#10;&#10;Description automatically generated"/>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519124" cy="3276098"/>
                    </a:xfrm>
                    <a:prstGeom prst="rect">
                      <a:avLst/>
                    </a:prstGeom>
                    <a:noFill/>
                  </pic:spPr>
                </pic:pic>
              </a:graphicData>
            </a:graphic>
          </wp:inline>
        </w:drawing>
      </w:r>
    </w:p>
    <w:p w14:paraId="3B282865" w14:textId="39D08F82" w:rsidR="00A244F6" w:rsidRPr="00FF386D" w:rsidRDefault="00A244F6" w:rsidP="00F64AB4">
      <w:pPr>
        <w:pStyle w:val="LDKBody1"/>
      </w:pPr>
      <w:r w:rsidRPr="00FF386D">
        <w:lastRenderedPageBreak/>
        <w:t>Финална потрошња енергије у сектору саобраћаја у 2030. години износи 2.</w:t>
      </w:r>
      <w:r w:rsidR="002F7938" w:rsidRPr="00FF386D">
        <w:t>748</w:t>
      </w:r>
      <w:r w:rsidRPr="00FF386D">
        <w:t xml:space="preserve"> ktoe у </w:t>
      </w:r>
      <w:r w:rsidRPr="00FF386D">
        <w:rPr>
          <w:i/>
        </w:rPr>
        <w:t>WEM</w:t>
      </w:r>
      <w:r w:rsidRPr="00FF386D">
        <w:t xml:space="preserve"> сценарију, што је </w:t>
      </w:r>
      <w:r w:rsidR="00392E30" w:rsidRPr="00FF386D">
        <w:t xml:space="preserve">за </w:t>
      </w:r>
      <w:r w:rsidR="002F7938" w:rsidRPr="00FF386D">
        <w:t>9</w:t>
      </w:r>
      <w:r w:rsidRPr="00FF386D">
        <w:t xml:space="preserve">% више у поређењу са </w:t>
      </w:r>
      <w:r w:rsidRPr="00FF386D">
        <w:rPr>
          <w:rFonts w:eastAsia="Calibri"/>
        </w:rPr>
        <w:t xml:space="preserve">сценаријима </w:t>
      </w:r>
      <w:r w:rsidRPr="00FF386D">
        <w:rPr>
          <w:rFonts w:eastAsia="Calibri"/>
          <w:i/>
        </w:rPr>
        <w:t>S</w:t>
      </w:r>
      <w:r w:rsidRPr="00FF386D">
        <w:rPr>
          <w:rFonts w:eastAsia="Calibri"/>
        </w:rPr>
        <w:t xml:space="preserve"> и </w:t>
      </w:r>
      <w:r w:rsidRPr="00FF386D">
        <w:rPr>
          <w:rFonts w:eastAsia="Calibri"/>
          <w:i/>
        </w:rPr>
        <w:t>S-N</w:t>
      </w:r>
      <w:r w:rsidRPr="00FF386D">
        <w:t xml:space="preserve"> (2.</w:t>
      </w:r>
      <w:r w:rsidR="002F7938" w:rsidRPr="00FF386D">
        <w:t>512</w:t>
      </w:r>
      <w:r w:rsidRPr="00FF386D">
        <w:t xml:space="preserve"> ktoe) услед промовисања електричне мобилности и д</w:t>
      </w:r>
      <w:r w:rsidR="002F7938" w:rsidRPr="00FF386D">
        <w:t>одатне употребе</w:t>
      </w:r>
      <w:r w:rsidRPr="00FF386D">
        <w:t xml:space="preserve"> хибридних дизел возила и хибридних бензинских возила у </w:t>
      </w:r>
      <w:r w:rsidRPr="00FF386D">
        <w:rPr>
          <w:rFonts w:eastAsia="Calibri"/>
        </w:rPr>
        <w:t xml:space="preserve">сценаријима </w:t>
      </w:r>
      <w:r w:rsidRPr="00FF386D">
        <w:rPr>
          <w:rFonts w:eastAsia="Calibri"/>
          <w:i/>
        </w:rPr>
        <w:t>S</w:t>
      </w:r>
      <w:r w:rsidRPr="00FF386D">
        <w:rPr>
          <w:rFonts w:eastAsia="Calibri"/>
        </w:rPr>
        <w:t xml:space="preserve"> и </w:t>
      </w:r>
      <w:r w:rsidRPr="00FF386D">
        <w:rPr>
          <w:rFonts w:eastAsia="Calibri"/>
          <w:i/>
        </w:rPr>
        <w:t>S-N</w:t>
      </w:r>
      <w:r w:rsidRPr="00FF386D">
        <w:t xml:space="preserve">. Финална потрошња енергије је смањена </w:t>
      </w:r>
      <w:r w:rsidR="002F7938" w:rsidRPr="00FF386D">
        <w:t>за око</w:t>
      </w:r>
      <w:r w:rsidRPr="00FF386D">
        <w:t xml:space="preserve"> 40% у 2050. години у </w:t>
      </w:r>
      <w:r w:rsidRPr="00FF386D">
        <w:rPr>
          <w:rFonts w:eastAsia="Calibri"/>
        </w:rPr>
        <w:t xml:space="preserve">сценаријима </w:t>
      </w:r>
      <w:r w:rsidRPr="00FF386D">
        <w:rPr>
          <w:rFonts w:eastAsia="Calibri"/>
          <w:i/>
        </w:rPr>
        <w:t>S</w:t>
      </w:r>
      <w:r w:rsidRPr="00FF386D">
        <w:rPr>
          <w:rFonts w:eastAsia="Calibri"/>
        </w:rPr>
        <w:t xml:space="preserve"> и </w:t>
      </w:r>
      <w:r w:rsidRPr="00FF386D">
        <w:rPr>
          <w:rFonts w:eastAsia="Calibri"/>
          <w:i/>
        </w:rPr>
        <w:t>S-N</w:t>
      </w:r>
      <w:r w:rsidRPr="00FF386D">
        <w:t xml:space="preserve"> (2</w:t>
      </w:r>
      <w:r w:rsidR="002F7938" w:rsidRPr="00FF386D">
        <w:t>,2 М</w:t>
      </w:r>
      <w:r w:rsidRPr="00FF386D">
        <w:t xml:space="preserve">toe) у поређењу са </w:t>
      </w:r>
      <w:r w:rsidRPr="00FF386D">
        <w:rPr>
          <w:i/>
        </w:rPr>
        <w:t>WEM</w:t>
      </w:r>
      <w:r w:rsidRPr="00FF386D">
        <w:t xml:space="preserve"> сценаријем (3</w:t>
      </w:r>
      <w:r w:rsidR="002F7938" w:rsidRPr="00FF386D">
        <w:t>,7</w:t>
      </w:r>
      <w:r w:rsidRPr="00FF386D">
        <w:t xml:space="preserve"> </w:t>
      </w:r>
      <w:r w:rsidR="002F7938" w:rsidRPr="00FF386D">
        <w:t>М</w:t>
      </w:r>
      <w:r w:rsidRPr="00FF386D">
        <w:t>ktoe) услед д</w:t>
      </w:r>
      <w:r w:rsidR="00392E30" w:rsidRPr="00FF386D">
        <w:t>одатног</w:t>
      </w:r>
      <w:r w:rsidRPr="00FF386D">
        <w:t xml:space="preserve"> увођења електричне мобилности и промовисања водоника (</w:t>
      </w:r>
      <w:r w:rsidR="00C74595">
        <w:fldChar w:fldCharType="begin"/>
      </w:r>
      <w:r w:rsidR="00C74595">
        <w:instrText xml:space="preserve"> REF _Ref153891864 \h </w:instrText>
      </w:r>
      <w:r w:rsidR="00C74595">
        <w:fldChar w:fldCharType="separate"/>
      </w:r>
      <w:r w:rsidR="00C74595">
        <w:t xml:space="preserve">Слика </w:t>
      </w:r>
      <w:r w:rsidR="00C74595">
        <w:rPr>
          <w:noProof/>
        </w:rPr>
        <w:t>5</w:t>
      </w:r>
      <w:r w:rsidR="00C74595">
        <w:t>.</w:t>
      </w:r>
      <w:r w:rsidR="00C74595">
        <w:rPr>
          <w:noProof/>
        </w:rPr>
        <w:t>23</w:t>
      </w:r>
      <w:r w:rsidR="00C74595">
        <w:fldChar w:fldCharType="end"/>
      </w:r>
      <w:r w:rsidR="00C74595">
        <w:t>).</w:t>
      </w:r>
      <w:r w:rsidR="006E73DA" w:rsidRPr="004F53D7">
        <w:fldChar w:fldCharType="begin" w:fldLock="1"/>
      </w:r>
      <w:r w:rsidR="006E73DA" w:rsidRPr="00FF386D">
        <w:instrText xml:space="preserve"> REF _Ref136090807 \h </w:instrText>
      </w:r>
      <w:r w:rsidR="003F7841" w:rsidRPr="00FF386D">
        <w:instrText xml:space="preserve"> \* MERGEFORMAT </w:instrText>
      </w:r>
      <w:r w:rsidR="006E73DA" w:rsidRPr="004F53D7">
        <w:fldChar w:fldCharType="separate"/>
      </w:r>
      <w:r w:rsidR="006E73DA" w:rsidRPr="004F53D7">
        <w:fldChar w:fldCharType="end"/>
      </w:r>
      <w:r w:rsidRPr="00FF386D">
        <w:t xml:space="preserve"> Нафтни деривати су преовлађујуће гориво у </w:t>
      </w:r>
      <w:r w:rsidRPr="00FF386D">
        <w:rPr>
          <w:rFonts w:eastAsia="Calibri"/>
        </w:rPr>
        <w:t xml:space="preserve">сценаријима </w:t>
      </w:r>
      <w:r w:rsidRPr="00FF386D">
        <w:rPr>
          <w:rFonts w:eastAsia="Calibri"/>
          <w:i/>
        </w:rPr>
        <w:t>S</w:t>
      </w:r>
      <w:r w:rsidRPr="00FF386D">
        <w:rPr>
          <w:rFonts w:eastAsia="Calibri"/>
        </w:rPr>
        <w:t xml:space="preserve"> и </w:t>
      </w:r>
      <w:r w:rsidRPr="00FF386D">
        <w:rPr>
          <w:rFonts w:eastAsia="Calibri"/>
          <w:i/>
        </w:rPr>
        <w:t>S-N</w:t>
      </w:r>
      <w:r w:rsidRPr="00FF386D">
        <w:t xml:space="preserve"> и у 2030. и 2050. години</w:t>
      </w:r>
      <w:r w:rsidR="00F64AB4" w:rsidRPr="00FF386D">
        <w:t>.</w:t>
      </w:r>
    </w:p>
    <w:p w14:paraId="09E34E12" w14:textId="7E0F89E7" w:rsidR="00C74595" w:rsidRDefault="00C74595" w:rsidP="00565B02">
      <w:pPr>
        <w:pStyle w:val="Caption"/>
        <w:keepNext/>
      </w:pPr>
      <w:bookmarkStart w:id="402" w:name="_Ref153891864"/>
      <w:bookmarkStart w:id="403" w:name="_Toc153901435"/>
      <w:r>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23</w:t>
      </w:r>
      <w:r w:rsidR="00F35B2C">
        <w:fldChar w:fldCharType="end"/>
      </w:r>
      <w:bookmarkEnd w:id="402"/>
      <w:r>
        <w:t xml:space="preserve">: </w:t>
      </w:r>
      <w:r w:rsidRPr="00C74595">
        <w:t>Финална потрошња енергије у сектору саобраћаја по типу горива</w:t>
      </w:r>
      <w:bookmarkEnd w:id="403"/>
    </w:p>
    <w:p w14:paraId="0CC8BB50" w14:textId="631BDF15" w:rsidR="00A244F6" w:rsidRPr="00FF386D" w:rsidRDefault="00C74595" w:rsidP="00A244F6">
      <w:pPr>
        <w:tabs>
          <w:tab w:val="left" w:pos="1560"/>
          <w:tab w:val="left" w:pos="2268"/>
        </w:tabs>
        <w:rPr>
          <w:lang w:eastAsia="en-GB"/>
        </w:rPr>
      </w:pPr>
      <w:r>
        <w:rPr>
          <w:noProof/>
          <w:lang w:val="en-US"/>
        </w:rPr>
        <mc:AlternateContent>
          <mc:Choice Requires="wps">
            <w:drawing>
              <wp:anchor distT="0" distB="0" distL="114300" distR="114300" simplePos="0" relativeHeight="251806720" behindDoc="0" locked="0" layoutInCell="1" allowOverlap="1" wp14:anchorId="45A641B3" wp14:editId="6E2BD79E">
                <wp:simplePos x="0" y="0"/>
                <wp:positionH relativeFrom="column">
                  <wp:posOffset>439970</wp:posOffset>
                </wp:positionH>
                <wp:positionV relativeFrom="paragraph">
                  <wp:posOffset>408163</wp:posOffset>
                </wp:positionV>
                <wp:extent cx="3208020" cy="1903294"/>
                <wp:effectExtent l="0" t="0" r="0" b="1905"/>
                <wp:wrapNone/>
                <wp:docPr id="547259748" name="Text Box 547259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8020" cy="1903294"/>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3CF70379" id="Text Box 547259748" o:spid="_x0000_s1026" type="#_x0000_t202" style="position:absolute;margin-left:34.65pt;margin-top:32.15pt;width:252.6pt;height:149.8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" fillcolor="#a6a6a6" stroked="f">
                <v:fill opacity="32896f"/>
              </v:shape>
            </w:pict>
          </mc:Fallback>
        </mc:AlternateContent>
      </w:r>
      <w:r w:rsidR="00A244F6" w:rsidRPr="004F53D7">
        <w:rPr>
          <w:noProof/>
          <w:lang w:val="en-US"/>
        </w:rPr>
        <w:drawing>
          <wp:inline distT="0" distB="0" distL="0" distR="0" wp14:anchorId="0FFFCDD5" wp14:editId="638813E2">
            <wp:extent cx="5852160" cy="3471595"/>
            <wp:effectExtent l="0" t="0" r="0" b="0"/>
            <wp:docPr id="233" name="Picture 233" descr="A picture containing text, screenshot, fon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picture containing text, screenshot, font, line&#10;&#10;Description automatically generated"/>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871686" cy="3483178"/>
                    </a:xfrm>
                    <a:prstGeom prst="rect">
                      <a:avLst/>
                    </a:prstGeom>
                    <a:noFill/>
                  </pic:spPr>
                </pic:pic>
              </a:graphicData>
            </a:graphic>
          </wp:inline>
        </w:drawing>
      </w:r>
    </w:p>
    <w:p w14:paraId="0BC6A7B5" w14:textId="4CFAC44F" w:rsidR="00A244F6" w:rsidRPr="00FF386D" w:rsidRDefault="00A244F6" w:rsidP="00A244F6">
      <w:pPr>
        <w:suppressAutoHyphens/>
        <w:jc w:val="both"/>
        <w:rPr>
          <w:rFonts w:asciiTheme="majorHAnsi" w:hAnsiTheme="majorHAnsi" w:cstheme="majorHAnsi"/>
        </w:rPr>
      </w:pPr>
      <w:r w:rsidRPr="00FF386D">
        <w:rPr>
          <w:rFonts w:asciiTheme="majorHAnsi" w:hAnsiTheme="majorHAnsi" w:cstheme="majorHAnsi"/>
        </w:rPr>
        <w:t xml:space="preserve">У сектору пољопривреде, финална потрошња енергије достиже 159 ktoe у </w:t>
      </w:r>
      <w:r w:rsidRPr="00FF386D">
        <w:rPr>
          <w:rFonts w:asciiTheme="majorHAnsi" w:hAnsiTheme="majorHAnsi" w:cstheme="majorHAnsi"/>
          <w:i/>
        </w:rPr>
        <w:t>WEM</w:t>
      </w:r>
      <w:r w:rsidRPr="00FF386D">
        <w:rPr>
          <w:rFonts w:asciiTheme="majorHAnsi" w:hAnsiTheme="majorHAnsi" w:cstheme="majorHAnsi"/>
        </w:rPr>
        <w:t xml:space="preserve"> сценарију и 1</w:t>
      </w:r>
      <w:r w:rsidR="00F64AB4" w:rsidRPr="00FF386D">
        <w:rPr>
          <w:rFonts w:asciiTheme="majorHAnsi" w:hAnsiTheme="majorHAnsi" w:cstheme="majorHAnsi"/>
        </w:rPr>
        <w:t>50</w:t>
      </w:r>
      <w:r w:rsidRPr="00FF386D">
        <w:rPr>
          <w:rFonts w:asciiTheme="majorHAnsi" w:hAnsiTheme="majorHAnsi" w:cstheme="majorHAnsi"/>
        </w:rPr>
        <w:t xml:space="preserve"> ktoe у </w:t>
      </w:r>
      <w:r w:rsidRPr="00FF386D">
        <w:rPr>
          <w:rFonts w:asciiTheme="majorHAnsi" w:eastAsia="Calibri" w:hAnsiTheme="majorHAnsi" w:cstheme="majorHAnsi"/>
        </w:rPr>
        <w:t xml:space="preserve">сценаријима </w:t>
      </w:r>
      <w:r w:rsidRPr="00FF386D">
        <w:rPr>
          <w:rFonts w:asciiTheme="majorHAnsi" w:eastAsia="Calibri" w:hAnsiTheme="majorHAnsi" w:cstheme="majorHAnsi"/>
          <w:i/>
        </w:rPr>
        <w:t>S</w:t>
      </w:r>
      <w:r w:rsidRPr="00FF386D">
        <w:rPr>
          <w:rFonts w:asciiTheme="majorHAnsi" w:eastAsia="Calibri" w:hAnsiTheme="majorHAnsi" w:cstheme="majorHAnsi"/>
        </w:rPr>
        <w:t xml:space="preserve"> и </w:t>
      </w:r>
      <w:r w:rsidRPr="00FF386D">
        <w:rPr>
          <w:rFonts w:asciiTheme="majorHAnsi" w:eastAsia="Calibri" w:hAnsiTheme="majorHAnsi" w:cstheme="majorHAnsi"/>
          <w:i/>
        </w:rPr>
        <w:t>S-N</w:t>
      </w:r>
      <w:r w:rsidRPr="00FF386D">
        <w:rPr>
          <w:rFonts w:asciiTheme="majorHAnsi" w:hAnsiTheme="majorHAnsi" w:cstheme="majorHAnsi"/>
        </w:rPr>
        <w:t xml:space="preserve"> у 2030. години услед промовисања енергетски ефикасне механизације и уградње енергетски ефикасне опреме у стаклене баште и пумпне станице. Финална потрошња енергије је благо увећана у 2050. години, и достиже 169 ktoe у </w:t>
      </w:r>
      <w:r w:rsidRPr="00FF386D">
        <w:rPr>
          <w:rFonts w:asciiTheme="majorHAnsi" w:hAnsiTheme="majorHAnsi" w:cstheme="majorHAnsi"/>
          <w:i/>
        </w:rPr>
        <w:t>WEM</w:t>
      </w:r>
      <w:r w:rsidRPr="00FF386D">
        <w:rPr>
          <w:rFonts w:asciiTheme="majorHAnsi" w:hAnsiTheme="majorHAnsi" w:cstheme="majorHAnsi"/>
        </w:rPr>
        <w:t xml:space="preserve"> сценарију и 15</w:t>
      </w:r>
      <w:r w:rsidR="00F64AB4" w:rsidRPr="00FF386D">
        <w:rPr>
          <w:rFonts w:asciiTheme="majorHAnsi" w:hAnsiTheme="majorHAnsi" w:cstheme="majorHAnsi"/>
        </w:rPr>
        <w:t>9</w:t>
      </w:r>
      <w:r w:rsidRPr="00FF386D">
        <w:rPr>
          <w:rFonts w:asciiTheme="majorHAnsi" w:hAnsiTheme="majorHAnsi" w:cstheme="majorHAnsi"/>
        </w:rPr>
        <w:t xml:space="preserve"> ktoe у </w:t>
      </w:r>
      <w:r w:rsidRPr="00FF386D">
        <w:rPr>
          <w:rFonts w:asciiTheme="majorHAnsi" w:eastAsia="Calibri" w:hAnsiTheme="majorHAnsi" w:cstheme="majorHAnsi"/>
        </w:rPr>
        <w:t xml:space="preserve">сценаријима </w:t>
      </w:r>
      <w:r w:rsidRPr="00FF386D">
        <w:rPr>
          <w:rFonts w:asciiTheme="majorHAnsi" w:eastAsia="Calibri" w:hAnsiTheme="majorHAnsi" w:cstheme="majorHAnsi"/>
          <w:i/>
        </w:rPr>
        <w:t>S</w:t>
      </w:r>
      <w:r w:rsidRPr="00FF386D">
        <w:rPr>
          <w:rFonts w:asciiTheme="majorHAnsi" w:eastAsia="Calibri" w:hAnsiTheme="majorHAnsi" w:cstheme="majorHAnsi"/>
        </w:rPr>
        <w:t xml:space="preserve"> и </w:t>
      </w:r>
      <w:r w:rsidRPr="00FF386D">
        <w:rPr>
          <w:rFonts w:asciiTheme="majorHAnsi" w:eastAsia="Calibri" w:hAnsiTheme="majorHAnsi" w:cstheme="majorHAnsi"/>
          <w:i/>
        </w:rPr>
        <w:t>S-N</w:t>
      </w:r>
      <w:r w:rsidRPr="00FF386D">
        <w:rPr>
          <w:rFonts w:asciiTheme="majorHAnsi" w:hAnsiTheme="majorHAnsi" w:cstheme="majorHAnsi"/>
        </w:rPr>
        <w:t xml:space="preserve"> (</w:t>
      </w:r>
      <w:r w:rsidR="00C74595" w:rsidRPr="00565B02">
        <w:rPr>
          <w:rFonts w:asciiTheme="majorHAnsi" w:eastAsia="Calibri" w:hAnsiTheme="majorHAnsi" w:cstheme="majorHAnsi"/>
        </w:rPr>
        <w:fldChar w:fldCharType="begin"/>
      </w:r>
      <w:r w:rsidR="00C74595" w:rsidRPr="00565B02">
        <w:rPr>
          <w:rFonts w:asciiTheme="majorHAnsi" w:eastAsia="Calibri" w:hAnsiTheme="majorHAnsi" w:cstheme="majorHAnsi"/>
        </w:rPr>
        <w:instrText xml:space="preserve"> REF _Ref153891945 \h </w:instrText>
      </w:r>
      <w:r w:rsidR="00C74595">
        <w:rPr>
          <w:rFonts w:asciiTheme="majorHAnsi" w:eastAsia="Calibri" w:hAnsiTheme="majorHAnsi" w:cstheme="majorHAnsi"/>
        </w:rPr>
        <w:instrText xml:space="preserve"> \* MERGEFORMAT </w:instrText>
      </w:r>
      <w:r w:rsidR="00C74595" w:rsidRPr="00565B02">
        <w:rPr>
          <w:rFonts w:asciiTheme="majorHAnsi" w:eastAsia="Calibri" w:hAnsiTheme="majorHAnsi" w:cstheme="majorHAnsi"/>
        </w:rPr>
      </w:r>
      <w:r w:rsidR="00C74595" w:rsidRPr="00565B02">
        <w:rPr>
          <w:rFonts w:asciiTheme="majorHAnsi" w:eastAsia="Calibri" w:hAnsiTheme="majorHAnsi" w:cstheme="majorHAnsi"/>
        </w:rPr>
        <w:fldChar w:fldCharType="separate"/>
      </w:r>
      <w:r w:rsidR="00C74595" w:rsidRPr="00565B02">
        <w:rPr>
          <w:rFonts w:asciiTheme="majorHAnsi" w:eastAsia="Calibri" w:hAnsiTheme="majorHAnsi" w:cstheme="majorHAnsi"/>
        </w:rPr>
        <w:t>Слика 5.24</w:t>
      </w:r>
      <w:r w:rsidR="00C74595" w:rsidRPr="00565B02">
        <w:rPr>
          <w:rFonts w:asciiTheme="majorHAnsi" w:eastAsia="Calibri" w:hAnsiTheme="majorHAnsi" w:cstheme="majorHAnsi"/>
        </w:rPr>
        <w:fldChar w:fldCharType="end"/>
      </w:r>
      <w:r w:rsidRPr="00565B02">
        <w:rPr>
          <w:rFonts w:asciiTheme="majorHAnsi" w:eastAsia="Calibri" w:hAnsiTheme="majorHAnsi" w:cstheme="majorHAnsi"/>
        </w:rPr>
        <w:t>).</w:t>
      </w:r>
      <w:r w:rsidRPr="00FF386D">
        <w:rPr>
          <w:rFonts w:asciiTheme="majorHAnsi" w:hAnsiTheme="majorHAnsi" w:cstheme="majorHAnsi"/>
        </w:rPr>
        <w:t xml:space="preserve"> Нафтни деривати и електрична енергија представљају горива са највећим доприносом и у 2030. и 2050. години и имају идентичне уделе у </w:t>
      </w:r>
      <w:r w:rsidRPr="00FF386D">
        <w:rPr>
          <w:rFonts w:asciiTheme="majorHAnsi" w:eastAsia="Calibri" w:hAnsiTheme="majorHAnsi" w:cstheme="majorHAnsi"/>
        </w:rPr>
        <w:t xml:space="preserve">сценаријима </w:t>
      </w:r>
      <w:r w:rsidRPr="00FF386D">
        <w:rPr>
          <w:rFonts w:asciiTheme="majorHAnsi" w:eastAsia="Calibri" w:hAnsiTheme="majorHAnsi" w:cstheme="majorHAnsi"/>
          <w:i/>
        </w:rPr>
        <w:t>S</w:t>
      </w:r>
      <w:r w:rsidRPr="00FF386D">
        <w:rPr>
          <w:rFonts w:asciiTheme="majorHAnsi" w:eastAsia="Calibri" w:hAnsiTheme="majorHAnsi" w:cstheme="majorHAnsi"/>
        </w:rPr>
        <w:t xml:space="preserve"> и </w:t>
      </w:r>
      <w:r w:rsidRPr="00FF386D">
        <w:rPr>
          <w:rFonts w:asciiTheme="majorHAnsi" w:eastAsia="Calibri" w:hAnsiTheme="majorHAnsi" w:cstheme="majorHAnsi"/>
          <w:i/>
        </w:rPr>
        <w:t>S-N</w:t>
      </w:r>
      <w:r w:rsidRPr="00FF386D">
        <w:rPr>
          <w:rFonts w:asciiTheme="majorHAnsi" w:hAnsiTheme="majorHAnsi" w:cstheme="majorHAnsi"/>
        </w:rPr>
        <w:t>.</w:t>
      </w:r>
    </w:p>
    <w:p w14:paraId="5467E398" w14:textId="7D7D358D" w:rsidR="00C74595" w:rsidRDefault="00C74595" w:rsidP="00565B02">
      <w:pPr>
        <w:pStyle w:val="Caption"/>
        <w:keepNext/>
      </w:pPr>
      <w:bookmarkStart w:id="404" w:name="_Ref153891945"/>
      <w:bookmarkStart w:id="405" w:name="_Toc153901436"/>
      <w:r>
        <w:lastRenderedPageBreak/>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24</w:t>
      </w:r>
      <w:r w:rsidR="00F35B2C">
        <w:fldChar w:fldCharType="end"/>
      </w:r>
      <w:bookmarkEnd w:id="404"/>
      <w:r>
        <w:t xml:space="preserve">: </w:t>
      </w:r>
      <w:r w:rsidRPr="00C74595">
        <w:t>Финална потрошња енергије у сектору пољопривреде по типу горива</w:t>
      </w:r>
      <w:bookmarkEnd w:id="405"/>
    </w:p>
    <w:p w14:paraId="6681C84E" w14:textId="2B8A78AD" w:rsidR="00A244F6" w:rsidRPr="00FF386D" w:rsidRDefault="00C74595" w:rsidP="00A244F6">
      <w:pPr>
        <w:suppressAutoHyphens/>
        <w:jc w:val="center"/>
        <w:rPr>
          <w:b/>
          <w:bCs/>
        </w:rPr>
      </w:pPr>
      <w:r>
        <w:rPr>
          <w:noProof/>
          <w:lang w:val="en-US"/>
        </w:rPr>
        <mc:AlternateContent>
          <mc:Choice Requires="wps">
            <w:drawing>
              <wp:anchor distT="0" distB="0" distL="114300" distR="114300" simplePos="0" relativeHeight="251808768" behindDoc="0" locked="0" layoutInCell="1" allowOverlap="1" wp14:anchorId="4609B6BF" wp14:editId="46BC7D95">
                <wp:simplePos x="0" y="0"/>
                <wp:positionH relativeFrom="column">
                  <wp:posOffset>692453</wp:posOffset>
                </wp:positionH>
                <wp:positionV relativeFrom="paragraph">
                  <wp:posOffset>80740</wp:posOffset>
                </wp:positionV>
                <wp:extent cx="3009900" cy="2353480"/>
                <wp:effectExtent l="0" t="0" r="0" b="8890"/>
                <wp:wrapNone/>
                <wp:docPr id="698684279" name="Text Box 698684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0" cy="2353480"/>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7BAF89F1" id="Text Box 698684279" o:spid="_x0000_s1026" type="#_x0000_t202" style="position:absolute;margin-left:54.5pt;margin-top:6.35pt;width:237pt;height:185.3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" fillcolor="#a6a6a6" stroked="f">
                <v:fill opacity="32896f"/>
              </v:shape>
            </w:pict>
          </mc:Fallback>
        </mc:AlternateContent>
      </w:r>
      <w:r w:rsidR="00A244F6" w:rsidRPr="004F53D7">
        <w:rPr>
          <w:b/>
          <w:bCs/>
          <w:noProof/>
          <w:lang w:val="en-US"/>
        </w:rPr>
        <w:drawing>
          <wp:inline distT="0" distB="0" distL="0" distR="0" wp14:anchorId="766FA515" wp14:editId="341D0A9E">
            <wp:extent cx="5407660" cy="3206523"/>
            <wp:effectExtent l="0" t="0" r="2540" b="0"/>
            <wp:docPr id="234" name="Picture 234" descr="A picture containing text, screenshot, fo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text, screenshot, font, number&#10;&#10;Description automatically generated"/>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418858" cy="3213163"/>
                    </a:xfrm>
                    <a:prstGeom prst="rect">
                      <a:avLst/>
                    </a:prstGeom>
                    <a:noFill/>
                  </pic:spPr>
                </pic:pic>
              </a:graphicData>
            </a:graphic>
          </wp:inline>
        </w:drawing>
      </w:r>
    </w:p>
    <w:p w14:paraId="1BEE4F66" w14:textId="3E65CB70" w:rsidR="00A244F6" w:rsidRPr="00FF386D" w:rsidRDefault="00A244F6" w:rsidP="00A244F6">
      <w:pPr>
        <w:suppressAutoHyphens/>
        <w:jc w:val="both"/>
        <w:rPr>
          <w:rFonts w:asciiTheme="majorHAnsi" w:hAnsiTheme="majorHAnsi" w:cstheme="majorHAnsi"/>
        </w:rPr>
      </w:pPr>
      <w:r w:rsidRPr="00FF386D">
        <w:rPr>
          <w:rFonts w:asciiTheme="majorHAnsi" w:hAnsiTheme="majorHAnsi" w:cstheme="majorHAnsi"/>
        </w:rPr>
        <w:t xml:space="preserve">У </w:t>
      </w:r>
      <w:r w:rsidRPr="00FF386D">
        <w:rPr>
          <w:rFonts w:asciiTheme="majorHAnsi" w:hAnsiTheme="majorHAnsi" w:cstheme="majorHAnsi"/>
          <w:i/>
        </w:rPr>
        <w:t>WEM</w:t>
      </w:r>
      <w:r w:rsidRPr="00FF386D">
        <w:rPr>
          <w:rFonts w:asciiTheme="majorHAnsi" w:hAnsiTheme="majorHAnsi" w:cstheme="majorHAnsi"/>
        </w:rPr>
        <w:t xml:space="preserve"> сценарију, </w:t>
      </w:r>
      <w:r w:rsidR="007964AA" w:rsidRPr="00FF386D">
        <w:rPr>
          <w:rFonts w:asciiTheme="majorHAnsi" w:hAnsiTheme="majorHAnsi" w:cstheme="majorHAnsi"/>
        </w:rPr>
        <w:t xml:space="preserve">интензитет </w:t>
      </w:r>
      <w:r w:rsidRPr="00FF386D">
        <w:rPr>
          <w:rFonts w:asciiTheme="majorHAnsi" w:hAnsiTheme="majorHAnsi" w:cstheme="majorHAnsi"/>
        </w:rPr>
        <w:t>финалн</w:t>
      </w:r>
      <w:r w:rsidR="007964AA" w:rsidRPr="00FF386D">
        <w:rPr>
          <w:rFonts w:asciiTheme="majorHAnsi" w:hAnsiTheme="majorHAnsi" w:cstheme="majorHAnsi"/>
        </w:rPr>
        <w:t>е</w:t>
      </w:r>
      <w:r w:rsidRPr="00FF386D">
        <w:rPr>
          <w:rFonts w:asciiTheme="majorHAnsi" w:hAnsiTheme="majorHAnsi" w:cstheme="majorHAnsi"/>
        </w:rPr>
        <w:t xml:space="preserve"> енерг</w:t>
      </w:r>
      <w:r w:rsidR="007964AA" w:rsidRPr="00FF386D">
        <w:rPr>
          <w:rFonts w:asciiTheme="majorHAnsi" w:hAnsiTheme="majorHAnsi" w:cstheme="majorHAnsi"/>
        </w:rPr>
        <w:t xml:space="preserve">ије </w:t>
      </w:r>
      <w:r w:rsidRPr="00FF386D">
        <w:rPr>
          <w:rFonts w:asciiTheme="majorHAnsi" w:hAnsiTheme="majorHAnsi" w:cstheme="majorHAnsi"/>
        </w:rPr>
        <w:t>достиже 0,</w:t>
      </w:r>
      <w:r w:rsidR="00F64AB4" w:rsidRPr="00FF386D">
        <w:rPr>
          <w:rFonts w:asciiTheme="majorHAnsi" w:hAnsiTheme="majorHAnsi" w:cstheme="majorHAnsi"/>
        </w:rPr>
        <w:t>17</w:t>
      </w:r>
      <w:r w:rsidRPr="00FF386D">
        <w:rPr>
          <w:rFonts w:asciiTheme="majorHAnsi" w:hAnsiTheme="majorHAnsi" w:cstheme="majorHAnsi"/>
        </w:rPr>
        <w:t xml:space="preserve"> toe/000 ЕУР у 2030. години, </w:t>
      </w:r>
      <w:r w:rsidR="00F64AB4" w:rsidRPr="00FF386D">
        <w:rPr>
          <w:rFonts w:asciiTheme="majorHAnsi" w:hAnsiTheme="majorHAnsi" w:cstheme="majorHAnsi"/>
        </w:rPr>
        <w:t xml:space="preserve">а готово исти ниво од </w:t>
      </w:r>
      <w:r w:rsidRPr="00FF386D">
        <w:rPr>
          <w:rFonts w:asciiTheme="majorHAnsi" w:hAnsiTheme="majorHAnsi" w:cstheme="majorHAnsi"/>
        </w:rPr>
        <w:t>0,</w:t>
      </w:r>
      <w:r w:rsidR="00F64AB4" w:rsidRPr="00FF386D">
        <w:rPr>
          <w:rFonts w:asciiTheme="majorHAnsi" w:hAnsiTheme="majorHAnsi" w:cstheme="majorHAnsi"/>
        </w:rPr>
        <w:t>16</w:t>
      </w:r>
      <w:r w:rsidRPr="00FF386D">
        <w:rPr>
          <w:rFonts w:asciiTheme="majorHAnsi" w:hAnsiTheme="majorHAnsi" w:cstheme="majorHAnsi"/>
        </w:rPr>
        <w:t xml:space="preserve"> toe/000 ЕУР </w:t>
      </w:r>
      <w:r w:rsidR="00992C3D" w:rsidRPr="00FF386D">
        <w:rPr>
          <w:rFonts w:asciiTheme="majorHAnsi" w:hAnsiTheme="majorHAnsi" w:cstheme="majorHAnsi"/>
        </w:rPr>
        <w:t>је забележен у</w:t>
      </w:r>
      <w:r w:rsidRPr="00FF386D">
        <w:rPr>
          <w:rFonts w:asciiTheme="majorHAnsi" w:hAnsiTheme="majorHAnsi" w:cstheme="majorHAnsi"/>
        </w:rPr>
        <w:t xml:space="preserve"> </w:t>
      </w:r>
      <w:r w:rsidRPr="00FF386D">
        <w:rPr>
          <w:rFonts w:asciiTheme="majorHAnsi" w:eastAsia="Calibri" w:hAnsiTheme="majorHAnsi" w:cstheme="majorHAnsi"/>
        </w:rPr>
        <w:t xml:space="preserve">сценаријима </w:t>
      </w:r>
      <w:r w:rsidRPr="00FF386D">
        <w:rPr>
          <w:rFonts w:asciiTheme="majorHAnsi" w:eastAsia="Calibri" w:hAnsiTheme="majorHAnsi" w:cstheme="majorHAnsi"/>
          <w:i/>
        </w:rPr>
        <w:t>S</w:t>
      </w:r>
      <w:r w:rsidRPr="00FF386D">
        <w:rPr>
          <w:rFonts w:asciiTheme="majorHAnsi" w:eastAsia="Calibri" w:hAnsiTheme="majorHAnsi" w:cstheme="majorHAnsi"/>
        </w:rPr>
        <w:t xml:space="preserve"> и </w:t>
      </w:r>
      <w:r w:rsidRPr="00FF386D">
        <w:rPr>
          <w:rFonts w:asciiTheme="majorHAnsi" w:eastAsia="Calibri" w:hAnsiTheme="majorHAnsi" w:cstheme="majorHAnsi"/>
          <w:i/>
        </w:rPr>
        <w:t>S-N</w:t>
      </w:r>
      <w:r w:rsidR="00F64AB4" w:rsidRPr="00FF386D">
        <w:rPr>
          <w:rFonts w:asciiTheme="majorHAnsi" w:eastAsia="Calibri" w:hAnsiTheme="majorHAnsi" w:cstheme="majorHAnsi"/>
          <w:i/>
        </w:rPr>
        <w:t xml:space="preserve"> </w:t>
      </w:r>
      <w:r w:rsidRPr="00FF386D">
        <w:rPr>
          <w:rFonts w:asciiTheme="majorHAnsi" w:hAnsiTheme="majorHAnsi" w:cstheme="majorHAnsi"/>
        </w:rPr>
        <w:t xml:space="preserve">у току исте године. </w:t>
      </w:r>
      <w:r w:rsidR="00F64AB4" w:rsidRPr="00FF386D">
        <w:rPr>
          <w:rFonts w:asciiTheme="majorHAnsi" w:hAnsiTheme="majorHAnsi" w:cstheme="majorHAnsi"/>
        </w:rPr>
        <w:t>Слично</w:t>
      </w:r>
      <w:r w:rsidRPr="00FF386D">
        <w:rPr>
          <w:rFonts w:asciiTheme="majorHAnsi" w:hAnsiTheme="majorHAnsi" w:cstheme="majorHAnsi"/>
        </w:rPr>
        <w:t xml:space="preserve">, </w:t>
      </w:r>
      <w:r w:rsidR="007964AA" w:rsidRPr="00FF386D">
        <w:rPr>
          <w:rFonts w:asciiTheme="majorHAnsi" w:hAnsiTheme="majorHAnsi" w:cstheme="majorHAnsi"/>
        </w:rPr>
        <w:t>интензитет финалне</w:t>
      </w:r>
      <w:r w:rsidRPr="00FF386D">
        <w:rPr>
          <w:rFonts w:asciiTheme="majorHAnsi" w:hAnsiTheme="majorHAnsi" w:cstheme="majorHAnsi"/>
        </w:rPr>
        <w:t xml:space="preserve"> енерг</w:t>
      </w:r>
      <w:r w:rsidR="007964AA" w:rsidRPr="00FF386D">
        <w:rPr>
          <w:rFonts w:asciiTheme="majorHAnsi" w:hAnsiTheme="majorHAnsi" w:cstheme="majorHAnsi"/>
        </w:rPr>
        <w:t xml:space="preserve">ије </w:t>
      </w:r>
      <w:r w:rsidRPr="00FF386D">
        <w:rPr>
          <w:rFonts w:asciiTheme="majorHAnsi" w:hAnsiTheme="majorHAnsi" w:cstheme="majorHAnsi"/>
        </w:rPr>
        <w:t>износи 0,</w:t>
      </w:r>
      <w:r w:rsidR="00F64AB4" w:rsidRPr="00FF386D">
        <w:rPr>
          <w:rFonts w:asciiTheme="majorHAnsi" w:hAnsiTheme="majorHAnsi" w:cstheme="majorHAnsi"/>
        </w:rPr>
        <w:t>1</w:t>
      </w:r>
      <w:r w:rsidRPr="00FF386D">
        <w:rPr>
          <w:rFonts w:asciiTheme="majorHAnsi" w:hAnsiTheme="majorHAnsi" w:cstheme="majorHAnsi"/>
        </w:rPr>
        <w:t xml:space="preserve">2 toe/000 ЕУР у 2050. години у </w:t>
      </w:r>
      <w:r w:rsidRPr="00FF386D">
        <w:rPr>
          <w:rFonts w:asciiTheme="majorHAnsi" w:hAnsiTheme="majorHAnsi" w:cstheme="majorHAnsi"/>
          <w:i/>
        </w:rPr>
        <w:t>WEM</w:t>
      </w:r>
      <w:r w:rsidRPr="00FF386D">
        <w:rPr>
          <w:rFonts w:asciiTheme="majorHAnsi" w:hAnsiTheme="majorHAnsi" w:cstheme="majorHAnsi"/>
        </w:rPr>
        <w:t xml:space="preserve"> сценарију, у поређењу са око 0,</w:t>
      </w:r>
      <w:r w:rsidR="00F64AB4" w:rsidRPr="00FF386D">
        <w:rPr>
          <w:rFonts w:asciiTheme="majorHAnsi" w:hAnsiTheme="majorHAnsi" w:cstheme="majorHAnsi"/>
        </w:rPr>
        <w:t>09</w:t>
      </w:r>
      <w:r w:rsidRPr="00FF386D">
        <w:rPr>
          <w:rFonts w:asciiTheme="majorHAnsi" w:hAnsiTheme="majorHAnsi" w:cstheme="majorHAnsi"/>
        </w:rPr>
        <w:t xml:space="preserve"> toe/000 ЕУР у </w:t>
      </w:r>
      <w:r w:rsidRPr="00FF386D">
        <w:rPr>
          <w:rFonts w:asciiTheme="majorHAnsi" w:eastAsia="Calibri" w:hAnsiTheme="majorHAnsi" w:cstheme="majorHAnsi"/>
        </w:rPr>
        <w:t xml:space="preserve">сценаријима </w:t>
      </w:r>
      <w:r w:rsidRPr="00FF386D">
        <w:rPr>
          <w:rFonts w:asciiTheme="majorHAnsi" w:eastAsia="Calibri" w:hAnsiTheme="majorHAnsi" w:cstheme="majorHAnsi"/>
          <w:i/>
        </w:rPr>
        <w:t>S</w:t>
      </w:r>
      <w:r w:rsidRPr="00FF386D">
        <w:rPr>
          <w:rFonts w:asciiTheme="majorHAnsi" w:eastAsia="Calibri" w:hAnsiTheme="majorHAnsi" w:cstheme="majorHAnsi"/>
        </w:rPr>
        <w:t xml:space="preserve"> и </w:t>
      </w:r>
      <w:r w:rsidRPr="00FF386D">
        <w:rPr>
          <w:rFonts w:asciiTheme="majorHAnsi" w:eastAsia="Calibri" w:hAnsiTheme="majorHAnsi" w:cstheme="majorHAnsi"/>
          <w:i/>
        </w:rPr>
        <w:t>S-N</w:t>
      </w:r>
      <w:r w:rsidRPr="00FF386D">
        <w:rPr>
          <w:rFonts w:asciiTheme="majorHAnsi" w:hAnsiTheme="majorHAnsi" w:cstheme="majorHAnsi"/>
        </w:rPr>
        <w:t>.</w:t>
      </w:r>
    </w:p>
    <w:p w14:paraId="6B720572" w14:textId="7524A0B1" w:rsidR="00FF33E3" w:rsidRPr="00FF33E3" w:rsidRDefault="00FF33E3" w:rsidP="00565B02">
      <w:pPr>
        <w:pStyle w:val="Caption"/>
        <w:keepNext/>
        <w:rPr>
          <w:iCs/>
        </w:rPr>
      </w:pPr>
      <w:bookmarkStart w:id="406" w:name="_Toc153901437"/>
      <w:r>
        <w:lastRenderedPageBreak/>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25</w:t>
      </w:r>
      <w:r w:rsidR="00F35B2C">
        <w:fldChar w:fldCharType="end"/>
      </w:r>
      <w:r>
        <w:t xml:space="preserve">: </w:t>
      </w:r>
      <w:r w:rsidRPr="00FF33E3">
        <w:rPr>
          <w:iCs/>
        </w:rPr>
        <w:t>Интензитет финалне енергије</w:t>
      </w:r>
      <w:r w:rsidRPr="00FF33E3">
        <w:rPr>
          <w:iCs/>
          <w:vertAlign w:val="superscript"/>
        </w:rPr>
        <w:footnoteReference w:id="128"/>
      </w:r>
      <w:bookmarkEnd w:id="406"/>
    </w:p>
    <w:p w14:paraId="1CD3C0E5" w14:textId="071C3582" w:rsidR="007964AA" w:rsidRPr="00FF386D" w:rsidRDefault="00FF33E3" w:rsidP="00A244F6">
      <w:pPr>
        <w:suppressAutoHyphens/>
        <w:jc w:val="center"/>
        <w:rPr>
          <w:b/>
          <w:bCs/>
        </w:rPr>
      </w:pPr>
      <w:r>
        <w:rPr>
          <w:noProof/>
          <w:lang w:val="en-US"/>
        </w:rPr>
        <mc:AlternateContent>
          <mc:Choice Requires="wps">
            <w:drawing>
              <wp:anchor distT="0" distB="0" distL="114300" distR="114300" simplePos="0" relativeHeight="251810816" behindDoc="0" locked="0" layoutInCell="1" allowOverlap="1" wp14:anchorId="374EAE7E" wp14:editId="30CEC7C3">
                <wp:simplePos x="0" y="0"/>
                <wp:positionH relativeFrom="column">
                  <wp:posOffset>726440</wp:posOffset>
                </wp:positionH>
                <wp:positionV relativeFrom="paragraph">
                  <wp:posOffset>428464</wp:posOffset>
                </wp:positionV>
                <wp:extent cx="3063543" cy="3135801"/>
                <wp:effectExtent l="0" t="0" r="3810" b="7620"/>
                <wp:wrapNone/>
                <wp:docPr id="166593542" name="Text Box 166593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3543" cy="3135801"/>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79760C8D" id="Text Box 166593542" o:spid="_x0000_s1026" type="#_x0000_t202" style="position:absolute;margin-left:57.2pt;margin-top:33.75pt;width:241.2pt;height:246.9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" fillcolor="#a6a6a6" stroked="f">
                <v:fill opacity="32896f"/>
              </v:shape>
            </w:pict>
          </mc:Fallback>
        </mc:AlternateContent>
      </w:r>
      <w:r w:rsidR="007964AA" w:rsidRPr="004F53D7">
        <w:rPr>
          <w:b/>
          <w:bCs/>
          <w:noProof/>
          <w:lang w:val="en-US"/>
        </w:rPr>
        <w:drawing>
          <wp:inline distT="0" distB="0" distL="0" distR="0" wp14:anchorId="303B9E9C" wp14:editId="0E25C2FB">
            <wp:extent cx="5697855" cy="4518660"/>
            <wp:effectExtent l="0" t="0" r="0" b="0"/>
            <wp:docPr id="388713357" name="Picture 388713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08305" cy="4526947"/>
                    </a:xfrm>
                    <a:prstGeom prst="rect">
                      <a:avLst/>
                    </a:prstGeom>
                    <a:noFill/>
                  </pic:spPr>
                </pic:pic>
              </a:graphicData>
            </a:graphic>
          </wp:inline>
        </w:drawing>
      </w:r>
    </w:p>
    <w:p w14:paraId="76608D8E" w14:textId="3797AE79" w:rsidR="00A244F6" w:rsidRPr="00FF386D" w:rsidRDefault="00A244F6" w:rsidP="00A244F6">
      <w:pPr>
        <w:suppressAutoHyphens/>
        <w:jc w:val="both"/>
        <w:rPr>
          <w:rFonts w:asciiTheme="majorHAnsi" w:hAnsiTheme="majorHAnsi" w:cstheme="majorHAnsi"/>
          <w:b/>
          <w:bCs/>
        </w:rPr>
      </w:pPr>
      <w:r w:rsidRPr="00FF386D">
        <w:rPr>
          <w:rFonts w:asciiTheme="majorHAnsi" w:hAnsiTheme="majorHAnsi" w:cstheme="majorHAnsi"/>
        </w:rPr>
        <w:t xml:space="preserve">У </w:t>
      </w:r>
      <w:r w:rsidRPr="00FF386D">
        <w:rPr>
          <w:rFonts w:asciiTheme="majorHAnsi" w:hAnsiTheme="majorHAnsi" w:cstheme="majorHAnsi"/>
          <w:i/>
        </w:rPr>
        <w:t>WEM</w:t>
      </w:r>
      <w:r w:rsidRPr="00FF386D">
        <w:rPr>
          <w:rFonts w:asciiTheme="majorHAnsi" w:hAnsiTheme="majorHAnsi" w:cstheme="majorHAnsi"/>
        </w:rPr>
        <w:t xml:space="preserve"> сценарију, бруто домаћа потрошња </w:t>
      </w:r>
      <w:r w:rsidR="00183EC4" w:rsidRPr="00FF386D">
        <w:rPr>
          <w:rFonts w:asciiTheme="majorHAnsi" w:hAnsiTheme="majorHAnsi" w:cstheme="majorHAnsi"/>
        </w:rPr>
        <w:t>износи</w:t>
      </w:r>
      <w:r w:rsidRPr="00FF386D">
        <w:rPr>
          <w:rFonts w:asciiTheme="majorHAnsi" w:hAnsiTheme="majorHAnsi" w:cstheme="majorHAnsi"/>
        </w:rPr>
        <w:t xml:space="preserve"> 18,</w:t>
      </w:r>
      <w:r w:rsidR="007964AA" w:rsidRPr="00FF386D">
        <w:rPr>
          <w:rFonts w:asciiTheme="majorHAnsi" w:hAnsiTheme="majorHAnsi" w:cstheme="majorHAnsi"/>
        </w:rPr>
        <w:t>5</w:t>
      </w:r>
      <w:r w:rsidRPr="00FF386D">
        <w:rPr>
          <w:rFonts w:asciiTheme="majorHAnsi" w:hAnsiTheme="majorHAnsi" w:cstheme="majorHAnsi"/>
        </w:rPr>
        <w:t xml:space="preserve"> Mtoe у 2030. години, </w:t>
      </w:r>
      <w:r w:rsidR="00183EC4" w:rsidRPr="00FF386D">
        <w:rPr>
          <w:rFonts w:asciiTheme="majorHAnsi" w:hAnsiTheme="majorHAnsi" w:cstheme="majorHAnsi"/>
        </w:rPr>
        <w:t xml:space="preserve">што је </w:t>
      </w:r>
      <w:r w:rsidRPr="00FF386D">
        <w:rPr>
          <w:rFonts w:asciiTheme="majorHAnsi" w:hAnsiTheme="majorHAnsi" w:cstheme="majorHAnsi"/>
        </w:rPr>
        <w:t xml:space="preserve">више </w:t>
      </w:r>
      <w:r w:rsidR="00183EC4" w:rsidRPr="00FF386D">
        <w:rPr>
          <w:rFonts w:asciiTheme="majorHAnsi" w:hAnsiTheme="majorHAnsi" w:cstheme="majorHAnsi"/>
        </w:rPr>
        <w:t>од</w:t>
      </w:r>
      <w:r w:rsidRPr="00FF386D">
        <w:rPr>
          <w:rFonts w:asciiTheme="majorHAnsi" w:hAnsiTheme="majorHAnsi" w:cstheme="majorHAnsi"/>
        </w:rPr>
        <w:t xml:space="preserve"> 15,</w:t>
      </w:r>
      <w:r w:rsidR="007964AA" w:rsidRPr="00FF386D">
        <w:rPr>
          <w:rFonts w:asciiTheme="majorHAnsi" w:hAnsiTheme="majorHAnsi" w:cstheme="majorHAnsi"/>
        </w:rPr>
        <w:t>5</w:t>
      </w:r>
      <w:r w:rsidRPr="00FF386D">
        <w:rPr>
          <w:rFonts w:asciiTheme="majorHAnsi" w:hAnsiTheme="majorHAnsi" w:cstheme="majorHAnsi"/>
        </w:rPr>
        <w:t xml:space="preserve"> Mtoe у сценаријима </w:t>
      </w:r>
      <w:r w:rsidRPr="00FF386D">
        <w:rPr>
          <w:rFonts w:asciiTheme="majorHAnsi" w:eastAsia="Calibri" w:hAnsiTheme="majorHAnsi" w:cstheme="majorHAnsi"/>
          <w:i/>
        </w:rPr>
        <w:t>S</w:t>
      </w:r>
      <w:r w:rsidRPr="00FF386D">
        <w:rPr>
          <w:rFonts w:asciiTheme="majorHAnsi" w:eastAsia="Calibri" w:hAnsiTheme="majorHAnsi" w:cstheme="majorHAnsi"/>
        </w:rPr>
        <w:t xml:space="preserve"> и </w:t>
      </w:r>
      <w:r w:rsidRPr="00FF386D">
        <w:rPr>
          <w:rFonts w:asciiTheme="majorHAnsi" w:eastAsia="Calibri" w:hAnsiTheme="majorHAnsi" w:cstheme="majorHAnsi"/>
          <w:i/>
        </w:rPr>
        <w:t>S-N</w:t>
      </w:r>
      <w:r w:rsidRPr="00FF386D">
        <w:rPr>
          <w:rFonts w:asciiTheme="majorHAnsi" w:hAnsiTheme="majorHAnsi" w:cstheme="majorHAnsi"/>
        </w:rPr>
        <w:t xml:space="preserve"> у току исте године (</w:t>
      </w:r>
      <w:r w:rsidR="00FF33E3">
        <w:rPr>
          <w:rFonts w:asciiTheme="majorHAnsi" w:hAnsiTheme="majorHAnsi" w:cstheme="majorHAnsi"/>
        </w:rPr>
        <w:fldChar w:fldCharType="begin"/>
      </w:r>
      <w:r w:rsidR="00FF33E3">
        <w:rPr>
          <w:rFonts w:asciiTheme="majorHAnsi" w:hAnsiTheme="majorHAnsi" w:cstheme="majorHAnsi"/>
        </w:rPr>
        <w:instrText xml:space="preserve"> REF _Ref153892207 \h  \* MERGEFORMAT </w:instrText>
      </w:r>
      <w:r w:rsidR="00FF33E3">
        <w:rPr>
          <w:rFonts w:asciiTheme="majorHAnsi" w:hAnsiTheme="majorHAnsi" w:cstheme="majorHAnsi"/>
        </w:rPr>
      </w:r>
      <w:r w:rsidR="00FF33E3">
        <w:rPr>
          <w:rFonts w:asciiTheme="majorHAnsi" w:hAnsiTheme="majorHAnsi" w:cstheme="majorHAnsi"/>
        </w:rPr>
        <w:fldChar w:fldCharType="separate"/>
      </w:r>
      <w:r w:rsidR="00FF33E3" w:rsidRPr="00565B02">
        <w:rPr>
          <w:rFonts w:asciiTheme="majorHAnsi" w:hAnsiTheme="majorHAnsi" w:cstheme="majorHAnsi"/>
        </w:rPr>
        <w:t>Слика 5.26</w:t>
      </w:r>
      <w:r w:rsidR="00FF33E3">
        <w:rPr>
          <w:rFonts w:asciiTheme="majorHAnsi" w:hAnsiTheme="majorHAnsi" w:cstheme="majorHAnsi"/>
        </w:rPr>
        <w:fldChar w:fldCharType="end"/>
      </w:r>
      <w:r w:rsidRPr="00FF386D">
        <w:rPr>
          <w:rFonts w:asciiTheme="majorHAnsi" w:hAnsiTheme="majorHAnsi" w:cstheme="majorHAnsi"/>
        </w:rPr>
        <w:t xml:space="preserve">). </w:t>
      </w:r>
      <w:r w:rsidR="007964AA" w:rsidRPr="00FF386D">
        <w:rPr>
          <w:rFonts w:asciiTheme="majorHAnsi" w:hAnsiTheme="majorHAnsi" w:cstheme="majorHAnsi"/>
        </w:rPr>
        <w:t>Слично томе</w:t>
      </w:r>
      <w:r w:rsidRPr="00FF386D">
        <w:rPr>
          <w:rFonts w:asciiTheme="majorHAnsi" w:hAnsiTheme="majorHAnsi" w:cstheme="majorHAnsi"/>
        </w:rPr>
        <w:t xml:space="preserve">, бруто домаћа потрошња </w:t>
      </w:r>
      <w:r w:rsidR="00183EC4" w:rsidRPr="00FF386D">
        <w:rPr>
          <w:rFonts w:asciiTheme="majorHAnsi" w:hAnsiTheme="majorHAnsi" w:cstheme="majorHAnsi"/>
        </w:rPr>
        <w:t>износи</w:t>
      </w:r>
      <w:r w:rsidRPr="00FF386D">
        <w:rPr>
          <w:rFonts w:asciiTheme="majorHAnsi" w:hAnsiTheme="majorHAnsi" w:cstheme="majorHAnsi"/>
        </w:rPr>
        <w:t xml:space="preserve"> 20,6 Mtoe у 2050. години у </w:t>
      </w:r>
      <w:r w:rsidRPr="00FF386D">
        <w:rPr>
          <w:rFonts w:asciiTheme="majorHAnsi" w:hAnsiTheme="majorHAnsi" w:cstheme="majorHAnsi"/>
          <w:i/>
        </w:rPr>
        <w:t>WEM</w:t>
      </w:r>
      <w:r w:rsidRPr="00FF386D">
        <w:rPr>
          <w:rFonts w:asciiTheme="majorHAnsi" w:hAnsiTheme="majorHAnsi" w:cstheme="majorHAnsi"/>
        </w:rPr>
        <w:t xml:space="preserve"> сценарију, у поређењу са 12,</w:t>
      </w:r>
      <w:r w:rsidR="007964AA" w:rsidRPr="00FF386D">
        <w:rPr>
          <w:rFonts w:asciiTheme="majorHAnsi" w:hAnsiTheme="majorHAnsi" w:cstheme="majorHAnsi"/>
        </w:rPr>
        <w:t>7</w:t>
      </w:r>
      <w:r w:rsidRPr="00FF386D">
        <w:rPr>
          <w:rFonts w:asciiTheme="majorHAnsi" w:hAnsiTheme="majorHAnsi" w:cstheme="majorHAnsi"/>
        </w:rPr>
        <w:t xml:space="preserve"> Mtoe у сценарију </w:t>
      </w:r>
      <w:r w:rsidRPr="00FF386D">
        <w:rPr>
          <w:rFonts w:asciiTheme="majorHAnsi" w:eastAsia="Calibri" w:hAnsiTheme="majorHAnsi" w:cstheme="majorHAnsi"/>
          <w:i/>
        </w:rPr>
        <w:t>S</w:t>
      </w:r>
      <w:r w:rsidRPr="00FF386D">
        <w:rPr>
          <w:rFonts w:asciiTheme="majorHAnsi" w:eastAsia="Calibri" w:hAnsiTheme="majorHAnsi" w:cstheme="majorHAnsi"/>
        </w:rPr>
        <w:t xml:space="preserve"> </w:t>
      </w:r>
      <w:r w:rsidRPr="00FF386D">
        <w:rPr>
          <w:rFonts w:asciiTheme="majorHAnsi" w:hAnsiTheme="majorHAnsi" w:cstheme="majorHAnsi"/>
        </w:rPr>
        <w:t>и 11,</w:t>
      </w:r>
      <w:r w:rsidR="007964AA" w:rsidRPr="00FF386D">
        <w:rPr>
          <w:rFonts w:asciiTheme="majorHAnsi" w:hAnsiTheme="majorHAnsi" w:cstheme="majorHAnsi"/>
        </w:rPr>
        <w:t>8</w:t>
      </w:r>
      <w:r w:rsidRPr="00FF386D">
        <w:rPr>
          <w:rFonts w:asciiTheme="majorHAnsi" w:hAnsiTheme="majorHAnsi" w:cstheme="majorHAnsi"/>
        </w:rPr>
        <w:t xml:space="preserve"> Mtoe у сценарију </w:t>
      </w:r>
      <w:r w:rsidRPr="00FF386D">
        <w:rPr>
          <w:rFonts w:asciiTheme="majorHAnsi" w:hAnsiTheme="majorHAnsi" w:cstheme="majorHAnsi"/>
          <w:i/>
        </w:rPr>
        <w:t>S-N</w:t>
      </w:r>
      <w:r w:rsidRPr="00FF386D">
        <w:rPr>
          <w:rFonts w:asciiTheme="majorHAnsi" w:hAnsiTheme="majorHAnsi" w:cstheme="majorHAnsi"/>
        </w:rPr>
        <w:t xml:space="preserve">. Чврста горива као и обновљиви извори енергије и отпад чине горива </w:t>
      </w:r>
      <w:r w:rsidR="00183EC4" w:rsidRPr="00FF386D">
        <w:rPr>
          <w:rFonts w:asciiTheme="majorHAnsi" w:hAnsiTheme="majorHAnsi" w:cstheme="majorHAnsi"/>
        </w:rPr>
        <w:t>са највећим</w:t>
      </w:r>
      <w:r w:rsidRPr="00FF386D">
        <w:rPr>
          <w:rFonts w:asciiTheme="majorHAnsi" w:hAnsiTheme="majorHAnsi" w:cstheme="majorHAnsi"/>
        </w:rPr>
        <w:t xml:space="preserve"> доприно</w:t>
      </w:r>
      <w:r w:rsidR="00183EC4" w:rsidRPr="00FF386D">
        <w:rPr>
          <w:rFonts w:asciiTheme="majorHAnsi" w:hAnsiTheme="majorHAnsi" w:cstheme="majorHAnsi"/>
        </w:rPr>
        <w:t>сом</w:t>
      </w:r>
      <w:r w:rsidRPr="00FF386D">
        <w:rPr>
          <w:rFonts w:asciiTheme="majorHAnsi" w:hAnsiTheme="majorHAnsi" w:cstheme="majorHAnsi"/>
        </w:rPr>
        <w:t xml:space="preserve"> у 2030. и 2050. години.</w:t>
      </w:r>
      <w:bookmarkStart w:id="407" w:name="_Toc113919343"/>
    </w:p>
    <w:p w14:paraId="07A360D2" w14:textId="23EA6B1D" w:rsidR="00FF33E3" w:rsidRDefault="00FF33E3" w:rsidP="00565B02">
      <w:pPr>
        <w:pStyle w:val="Caption"/>
        <w:keepNext/>
      </w:pPr>
      <w:bookmarkStart w:id="408" w:name="_Ref153892207"/>
      <w:bookmarkStart w:id="409" w:name="_Toc153901438"/>
      <w:bookmarkEnd w:id="407"/>
      <w:r>
        <w:lastRenderedPageBreak/>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26</w:t>
      </w:r>
      <w:r w:rsidR="00F35B2C">
        <w:fldChar w:fldCharType="end"/>
      </w:r>
      <w:bookmarkEnd w:id="408"/>
      <w:r>
        <w:t xml:space="preserve">: </w:t>
      </w:r>
      <w:r w:rsidRPr="00FF33E3">
        <w:t>Бруто домаћа потрошња према гориву</w:t>
      </w:r>
      <w:bookmarkEnd w:id="409"/>
    </w:p>
    <w:p w14:paraId="48C3A4DA" w14:textId="4E5603A5" w:rsidR="00D17964" w:rsidRPr="00FF386D" w:rsidRDefault="00FF33E3" w:rsidP="00D17964">
      <w:pPr>
        <w:jc w:val="center"/>
        <w:rPr>
          <w:lang w:eastAsia="el-GR"/>
        </w:rPr>
      </w:pPr>
      <w:r>
        <w:rPr>
          <w:noProof/>
          <w:lang w:val="en-US"/>
        </w:rPr>
        <mc:AlternateContent>
          <mc:Choice Requires="wps">
            <w:drawing>
              <wp:anchor distT="0" distB="0" distL="114300" distR="114300" simplePos="0" relativeHeight="251812864" behindDoc="0" locked="0" layoutInCell="1" allowOverlap="1" wp14:anchorId="77A7BCED" wp14:editId="14A625E2">
                <wp:simplePos x="0" y="0"/>
                <wp:positionH relativeFrom="column">
                  <wp:posOffset>491822</wp:posOffset>
                </wp:positionH>
                <wp:positionV relativeFrom="paragraph">
                  <wp:posOffset>64675</wp:posOffset>
                </wp:positionV>
                <wp:extent cx="3400425" cy="3088005"/>
                <wp:effectExtent l="0" t="0" r="0" b="0"/>
                <wp:wrapNone/>
                <wp:docPr id="987226648" name="Text Box 987226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0425" cy="3088005"/>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6CEF7DEE" id="Text Box 987226648" o:spid="_x0000_s1026" type="#_x0000_t202" style="position:absolute;margin-left:38.75pt;margin-top:5.1pt;width:267.75pt;height:243.1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" fillcolor="#a6a6a6" stroked="f">
                <v:fill opacity="32896f"/>
              </v:shape>
            </w:pict>
          </mc:Fallback>
        </mc:AlternateContent>
      </w:r>
      <w:r w:rsidR="00D17964" w:rsidRPr="004F53D7">
        <w:rPr>
          <w:noProof/>
          <w:lang w:val="en-US"/>
        </w:rPr>
        <w:drawing>
          <wp:inline distT="0" distB="0" distL="0" distR="0" wp14:anchorId="28A96F97" wp14:editId="7412BE91">
            <wp:extent cx="6096227" cy="3629074"/>
            <wp:effectExtent l="0" t="0" r="0" b="0"/>
            <wp:docPr id="1323815926" name="Picture 1323815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116199" cy="3640963"/>
                    </a:xfrm>
                    <a:prstGeom prst="rect">
                      <a:avLst/>
                    </a:prstGeom>
                    <a:noFill/>
                  </pic:spPr>
                </pic:pic>
              </a:graphicData>
            </a:graphic>
          </wp:inline>
        </w:drawing>
      </w:r>
    </w:p>
    <w:p w14:paraId="3A67EE9B" w14:textId="22C17035" w:rsidR="00A244F6" w:rsidRPr="00FF386D" w:rsidRDefault="00A244F6" w:rsidP="00A244F6">
      <w:pPr>
        <w:pStyle w:val="LDKbody"/>
        <w:suppressAutoHyphens/>
        <w:rPr>
          <w:rFonts w:ascii="Calibri Light" w:eastAsia="Calibri" w:hAnsi="Calibri Light" w:cs="Calibri Light"/>
          <w:lang w:val="sr-Cyrl-RS"/>
        </w:rPr>
      </w:pPr>
      <w:r w:rsidRPr="00FF386D">
        <w:rPr>
          <w:rFonts w:ascii="Calibri Light" w:eastAsia="Calibri" w:hAnsi="Calibri Light" w:cs="Calibri Light"/>
          <w:lang w:val="sr-Cyrl-RS"/>
        </w:rPr>
        <w:t xml:space="preserve">Када је реч о стамбеним зградама, степен обнове </w:t>
      </w:r>
      <w:r w:rsidR="003E244A">
        <w:rPr>
          <w:rFonts w:ascii="Calibri Light" w:eastAsia="Calibri" w:hAnsi="Calibri Light" w:cs="Calibri Light"/>
          <w:lang w:val="sr-Cyrl-RS"/>
        </w:rPr>
        <w:t xml:space="preserve">омотача зграде </w:t>
      </w:r>
      <w:r w:rsidRPr="00FF386D">
        <w:rPr>
          <w:rFonts w:ascii="Calibri Light" w:eastAsia="Calibri" w:hAnsi="Calibri Light" w:cs="Calibri Light"/>
          <w:lang w:val="sr-Cyrl-RS"/>
        </w:rPr>
        <w:t>је сличан и готово стабилан у свим испитаним сценаријима у периоду 2025-2030 (</w:t>
      </w:r>
      <w:r w:rsidR="00D01892">
        <w:rPr>
          <w:rFonts w:ascii="Calibri Light" w:eastAsia="Calibri" w:hAnsi="Calibri Light" w:cs="Calibri Light"/>
          <w:lang w:val="sr-Cyrl-RS"/>
        </w:rPr>
        <w:fldChar w:fldCharType="begin"/>
      </w:r>
      <w:r w:rsidR="00D01892">
        <w:rPr>
          <w:rFonts w:ascii="Calibri Light" w:eastAsia="Calibri" w:hAnsi="Calibri Light" w:cs="Calibri Light"/>
          <w:lang w:val="sr-Cyrl-RS"/>
        </w:rPr>
        <w:instrText xml:space="preserve"> REF _Ref153892493 \h  \* MERGEFORMAT </w:instrText>
      </w:r>
      <w:r w:rsidR="00D01892">
        <w:rPr>
          <w:rFonts w:ascii="Calibri Light" w:eastAsia="Calibri" w:hAnsi="Calibri Light" w:cs="Calibri Light"/>
          <w:lang w:val="sr-Cyrl-RS"/>
        </w:rPr>
      </w:r>
      <w:r w:rsidR="00D01892">
        <w:rPr>
          <w:rFonts w:ascii="Calibri Light" w:eastAsia="Calibri" w:hAnsi="Calibri Light" w:cs="Calibri Light"/>
          <w:lang w:val="sr-Cyrl-RS"/>
        </w:rPr>
        <w:fldChar w:fldCharType="separate"/>
      </w:r>
      <w:r w:rsidR="00D01892" w:rsidRPr="00565B02">
        <w:rPr>
          <w:rFonts w:ascii="Calibri Light" w:eastAsia="Calibri" w:hAnsi="Calibri Light" w:cs="Calibri Light"/>
          <w:lang w:val="sr-Cyrl-RS"/>
        </w:rPr>
        <w:t>Слика 5.27</w:t>
      </w:r>
      <w:r w:rsidR="00D01892">
        <w:rPr>
          <w:rFonts w:ascii="Calibri Light" w:eastAsia="Calibri" w:hAnsi="Calibri Light" w:cs="Calibri Light"/>
          <w:lang w:val="sr-Cyrl-RS"/>
        </w:rPr>
        <w:fldChar w:fldCharType="end"/>
      </w:r>
      <w:r w:rsidRPr="00FF386D">
        <w:rPr>
          <w:rFonts w:ascii="Calibri Light" w:eastAsia="Calibri" w:hAnsi="Calibri Light" w:cs="Calibri Light"/>
          <w:lang w:val="sr-Cyrl-RS"/>
        </w:rPr>
        <w:t xml:space="preserve">). </w:t>
      </w:r>
      <w:r w:rsidR="003E244A" w:rsidRPr="003E244A">
        <w:rPr>
          <w:rFonts w:ascii="Calibri Light" w:eastAsia="Calibri" w:hAnsi="Calibri Light" w:cs="Calibri Light"/>
          <w:lang w:val="sr-Cyrl-RS"/>
        </w:rPr>
        <w:t xml:space="preserve">Удвостручене годишње стопе </w:t>
      </w:r>
      <w:r w:rsidR="00D01892">
        <w:rPr>
          <w:rFonts w:ascii="Calibri Light" w:eastAsia="Calibri" w:hAnsi="Calibri Light" w:cs="Calibri Light"/>
          <w:lang w:val="sr-Cyrl-RS"/>
        </w:rPr>
        <w:t>обнове</w:t>
      </w:r>
      <w:r w:rsidR="00D01892" w:rsidRPr="003E244A">
        <w:rPr>
          <w:rFonts w:ascii="Calibri Light" w:eastAsia="Calibri" w:hAnsi="Calibri Light" w:cs="Calibri Light"/>
          <w:lang w:val="sr-Cyrl-RS"/>
        </w:rPr>
        <w:t xml:space="preserve"> </w:t>
      </w:r>
      <w:r w:rsidR="003E244A" w:rsidRPr="003E244A">
        <w:rPr>
          <w:rFonts w:ascii="Calibri Light" w:eastAsia="Calibri" w:hAnsi="Calibri Light" w:cs="Calibri Light"/>
          <w:lang w:val="sr-Cyrl-RS"/>
        </w:rPr>
        <w:t xml:space="preserve">се виде у сценаријима </w:t>
      </w:r>
      <w:r w:rsidR="003E244A" w:rsidRPr="000A2AFE">
        <w:rPr>
          <w:rFonts w:ascii="Calibri Light" w:eastAsia="Calibri" w:hAnsi="Calibri Light" w:cs="Calibri Light"/>
          <w:i/>
          <w:iCs/>
          <w:lang w:val="sr-Cyrl-RS"/>
        </w:rPr>
        <w:t>S</w:t>
      </w:r>
      <w:r w:rsidR="003E244A" w:rsidRPr="003E244A">
        <w:rPr>
          <w:rFonts w:ascii="Calibri Light" w:eastAsia="Calibri" w:hAnsi="Calibri Light" w:cs="Calibri Light"/>
          <w:lang w:val="sr-Cyrl-RS"/>
        </w:rPr>
        <w:t xml:space="preserve"> и </w:t>
      </w:r>
      <w:r w:rsidR="003E244A" w:rsidRPr="000A2AFE">
        <w:rPr>
          <w:rFonts w:ascii="Calibri Light" w:eastAsia="Calibri" w:hAnsi="Calibri Light" w:cs="Calibri Light"/>
          <w:i/>
          <w:iCs/>
          <w:lang w:val="sr-Cyrl-RS"/>
        </w:rPr>
        <w:t>S-N</w:t>
      </w:r>
      <w:r w:rsidR="003E244A" w:rsidRPr="003E244A">
        <w:rPr>
          <w:rFonts w:ascii="Calibri Light" w:eastAsia="Calibri" w:hAnsi="Calibri Light" w:cs="Calibri Light"/>
          <w:lang w:val="sr-Cyrl-RS"/>
        </w:rPr>
        <w:t xml:space="preserve"> након 2030. према 2050. години. </w:t>
      </w:r>
      <w:r w:rsidR="00D17964" w:rsidRPr="00FF386D">
        <w:rPr>
          <w:rFonts w:ascii="Calibri Light" w:eastAsia="Calibri" w:hAnsi="Calibri Light" w:cs="Calibri Light"/>
          <w:lang w:val="sr-Cyrl-RS"/>
        </w:rPr>
        <w:t>Важно је напоменути</w:t>
      </w:r>
      <w:r w:rsidRPr="00FF386D">
        <w:rPr>
          <w:rFonts w:ascii="Calibri Light" w:eastAsia="Calibri" w:hAnsi="Calibri Light" w:cs="Calibri Light"/>
          <w:lang w:val="sr-Cyrl-RS"/>
        </w:rPr>
        <w:t xml:space="preserve"> да се стопе обнове до 2030. године рачунају на годишњем нивоу, док се после 2030. године стопе обнове посматрају у оквиру петогодишњих периода.</w:t>
      </w:r>
    </w:p>
    <w:p w14:paraId="6D6B24DD" w14:textId="7EFAD1A2" w:rsidR="00D01892" w:rsidRDefault="00D01892" w:rsidP="00565B02">
      <w:pPr>
        <w:pStyle w:val="Caption"/>
        <w:keepNext/>
      </w:pPr>
      <w:bookmarkStart w:id="410" w:name="_Ref153892493"/>
      <w:bookmarkStart w:id="411" w:name="_Toc153901439"/>
      <w:r>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27</w:t>
      </w:r>
      <w:r w:rsidR="00F35B2C">
        <w:fldChar w:fldCharType="end"/>
      </w:r>
      <w:bookmarkEnd w:id="410"/>
      <w:r w:rsidRPr="00D01892">
        <w:t>: Обнова у стамбеним зградама</w:t>
      </w:r>
      <w:bookmarkEnd w:id="411"/>
    </w:p>
    <w:p w14:paraId="76DBA8BC" w14:textId="1945E778" w:rsidR="00D17964" w:rsidRPr="00FF386D" w:rsidRDefault="00D01892" w:rsidP="00A244F6">
      <w:pPr>
        <w:suppressAutoHyphens/>
        <w:spacing w:after="200" w:line="240" w:lineRule="auto"/>
        <w:jc w:val="center"/>
        <w:rPr>
          <w:rFonts w:ascii="Calibri Light" w:hAnsi="Calibri Light" w:cs="Times New Roman"/>
          <w:b/>
          <w:bCs/>
          <w:iCs/>
          <w:color w:val="01406B"/>
          <w:lang w:eastAsia="el-GR"/>
        </w:rPr>
      </w:pPr>
      <w:r>
        <w:rPr>
          <w:noProof/>
          <w:lang w:val="en-US"/>
        </w:rPr>
        <mc:AlternateContent>
          <mc:Choice Requires="wps">
            <w:drawing>
              <wp:anchor distT="0" distB="0" distL="114300" distR="114300" simplePos="0" relativeHeight="251816960" behindDoc="0" locked="0" layoutInCell="1" allowOverlap="1" wp14:anchorId="13FD3B35" wp14:editId="28987041">
                <wp:simplePos x="0" y="0"/>
                <wp:positionH relativeFrom="column">
                  <wp:posOffset>255725</wp:posOffset>
                </wp:positionH>
                <wp:positionV relativeFrom="paragraph">
                  <wp:posOffset>1241615</wp:posOffset>
                </wp:positionV>
                <wp:extent cx="3459707" cy="1589168"/>
                <wp:effectExtent l="0" t="0" r="7620" b="0"/>
                <wp:wrapNone/>
                <wp:docPr id="456526295" name="Text Box 456526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59707" cy="1589168"/>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65B73A1C" id="Text Box 456526295" o:spid="_x0000_s1026" type="#_x0000_t202" style="position:absolute;margin-left:20.15pt;margin-top:97.75pt;width:272.4pt;height:125.1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" fillcolor="#a6a6a6" stroked="f">
                <v:fill opacity="32896f"/>
              </v:shape>
            </w:pict>
          </mc:Fallback>
        </mc:AlternateContent>
      </w:r>
      <w:r>
        <w:rPr>
          <w:noProof/>
          <w:lang w:val="en-US"/>
        </w:rPr>
        <mc:AlternateContent>
          <mc:Choice Requires="wps">
            <w:drawing>
              <wp:anchor distT="45720" distB="45720" distL="114300" distR="114300" simplePos="0" relativeHeight="251814912" behindDoc="0" locked="0" layoutInCell="1" allowOverlap="1" wp14:anchorId="4B128447" wp14:editId="75E5AF23">
                <wp:simplePos x="0" y="0"/>
                <wp:positionH relativeFrom="column">
                  <wp:posOffset>743974</wp:posOffset>
                </wp:positionH>
                <wp:positionV relativeFrom="paragraph">
                  <wp:posOffset>133776</wp:posOffset>
                </wp:positionV>
                <wp:extent cx="2293620" cy="861060"/>
                <wp:effectExtent l="0" t="0" r="0" b="0"/>
                <wp:wrapNone/>
                <wp:docPr id="1446792383" name="Text Box 1446792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3620" cy="861060"/>
                        </a:xfrm>
                        <a:prstGeom prst="rect">
                          <a:avLst/>
                        </a:prstGeom>
                        <a:solidFill>
                          <a:srgbClr val="FFFFFF"/>
                        </a:solidFill>
                        <a:ln w="9525">
                          <a:solidFill>
                            <a:srgbClr val="000000"/>
                          </a:solidFill>
                          <a:miter lim="800000"/>
                          <a:headEnd/>
                          <a:tailEnd/>
                        </a:ln>
                      </wps:spPr>
                      <wps:txbx>
                        <w:txbxContent>
                          <w:p w14:paraId="2BEBA52E" w14:textId="4EE1C30F" w:rsidR="00990755" w:rsidRPr="000A2AFE" w:rsidRDefault="00990755" w:rsidP="00D17964">
                            <w:pPr>
                              <w:pStyle w:val="LDKbody"/>
                              <w:rPr>
                                <w:rFonts w:asciiTheme="majorHAnsi" w:hAnsiTheme="majorHAnsi" w:cstheme="majorHAnsi"/>
                                <w:lang w:val="sr-Cyrl-RS"/>
                              </w:rPr>
                            </w:pPr>
                            <w:r w:rsidRPr="00FF386D">
                              <w:rPr>
                                <w:rFonts w:asciiTheme="majorHAnsi" w:hAnsiTheme="majorHAnsi" w:cstheme="majorHAnsi"/>
                                <w:lang w:val="sr-Cyrl-RS"/>
                              </w:rPr>
                              <w:t xml:space="preserve">Стопе </w:t>
                            </w:r>
                            <w:r w:rsidR="00D01892">
                              <w:rPr>
                                <w:rFonts w:asciiTheme="majorHAnsi" w:hAnsiTheme="majorHAnsi" w:cstheme="majorHAnsi"/>
                                <w:lang w:val="sr-Cyrl-RS"/>
                              </w:rPr>
                              <w:t>обнове</w:t>
                            </w:r>
                            <w:r w:rsidR="00D01892" w:rsidRPr="00FF386D">
                              <w:rPr>
                                <w:rFonts w:asciiTheme="majorHAnsi" w:hAnsiTheme="majorHAnsi" w:cstheme="majorHAnsi"/>
                                <w:lang w:val="sr-Cyrl-RS"/>
                              </w:rPr>
                              <w:t xml:space="preserve"> </w:t>
                            </w:r>
                            <w:r w:rsidRPr="00FF386D">
                              <w:rPr>
                                <w:rFonts w:asciiTheme="majorHAnsi" w:hAnsiTheme="majorHAnsi" w:cstheme="majorHAnsi"/>
                                <w:lang w:val="sr-Cyrl-RS"/>
                              </w:rPr>
                              <w:t>до 2030. године су на годишњем нивоу, док се након 2030. године рачунају за период од 5 година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B128447" id="_x0000_t202" coordsize="21600,21600" o:spt="202" path="m,l,21600r21600,l21600,xe">
                <v:stroke joinstyle="miter"/>
                <v:path gradientshapeok="t" o:connecttype="rect"/>
              </v:shapetype>
              <v:shape id="Text Box 1446792383" o:spid="_x0000_s1026" type="#_x0000_t202" style="position:absolute;left:0;text-align:left;margin-left:58.6pt;margin-top:10.55pt;width:180.6pt;height:67.8pt;z-index:251814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">
                <v:textbox>
                  <w:txbxContent>
                    <w:p w14:paraId="2BEBA52E" w14:textId="4EE1C30F" w:rsidR="00990755" w:rsidRPr="000A2AFE" w:rsidRDefault="00990755" w:rsidP="00D17964">
                      <w:pPr>
                        <w:pStyle w:val="LDKbody"/>
                        <w:rPr>
                          <w:rFonts w:asciiTheme="majorHAnsi" w:hAnsiTheme="majorHAnsi" w:cstheme="majorHAnsi"/>
                          <w:lang w:val="sr-Cyrl-RS"/>
                        </w:rPr>
                      </w:pPr>
                      <w:r w:rsidRPr="00FF386D">
                        <w:rPr>
                          <w:rFonts w:asciiTheme="majorHAnsi" w:hAnsiTheme="majorHAnsi" w:cstheme="majorHAnsi"/>
                          <w:lang w:val="sr-Cyrl-RS"/>
                        </w:rPr>
                        <w:t xml:space="preserve">Стопе </w:t>
                      </w:r>
                      <w:r w:rsidR="00D01892">
                        <w:rPr>
                          <w:rFonts w:asciiTheme="majorHAnsi" w:hAnsiTheme="majorHAnsi" w:cstheme="majorHAnsi"/>
                          <w:lang w:val="sr-Cyrl-RS"/>
                        </w:rPr>
                        <w:t>обнове</w:t>
                      </w:r>
                      <w:r w:rsidR="00D01892" w:rsidRPr="00FF386D">
                        <w:rPr>
                          <w:rFonts w:asciiTheme="majorHAnsi" w:hAnsiTheme="majorHAnsi" w:cstheme="majorHAnsi"/>
                          <w:lang w:val="sr-Cyrl-RS"/>
                        </w:rPr>
                        <w:t xml:space="preserve"> </w:t>
                      </w:r>
                      <w:r w:rsidRPr="00FF386D">
                        <w:rPr>
                          <w:rFonts w:asciiTheme="majorHAnsi" w:hAnsiTheme="majorHAnsi" w:cstheme="majorHAnsi"/>
                          <w:lang w:val="sr-Cyrl-RS"/>
                        </w:rPr>
                        <w:t>до 2030. године су на годишњем нивоу, док се након 2030. године рачунају за период од 5 година</w:t>
                      </w:r>
                    </w:p>
                  </w:txbxContent>
                </v:textbox>
              </v:shape>
            </w:pict>
          </mc:Fallback>
        </mc:AlternateContent>
      </w:r>
      <w:r w:rsidR="00D17964" w:rsidRPr="004F53D7">
        <w:rPr>
          <w:rFonts w:ascii="Calibri Light" w:hAnsi="Calibri Light" w:cs="Times New Roman"/>
          <w:b/>
          <w:bCs/>
          <w:iCs/>
          <w:noProof/>
          <w:color w:val="01406B"/>
          <w:lang w:val="en-US"/>
        </w:rPr>
        <w:drawing>
          <wp:inline distT="0" distB="0" distL="0" distR="0" wp14:anchorId="7E14740E" wp14:editId="5EE90E2F">
            <wp:extent cx="6075680" cy="3245933"/>
            <wp:effectExtent l="0" t="0" r="1270" b="0"/>
            <wp:docPr id="1349609140" name="Picture 1349609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095123" cy="3256320"/>
                    </a:xfrm>
                    <a:prstGeom prst="rect">
                      <a:avLst/>
                    </a:prstGeom>
                    <a:noFill/>
                  </pic:spPr>
                </pic:pic>
              </a:graphicData>
            </a:graphic>
          </wp:inline>
        </w:drawing>
      </w:r>
    </w:p>
    <w:p w14:paraId="37C02556" w14:textId="694F45B3" w:rsidR="00A244F6" w:rsidRPr="00FF386D" w:rsidRDefault="00A244F6" w:rsidP="00A244F6">
      <w:pPr>
        <w:pStyle w:val="LDKbody"/>
        <w:suppressAutoHyphens/>
        <w:rPr>
          <w:rFonts w:asciiTheme="majorHAnsi" w:hAnsiTheme="majorHAnsi" w:cstheme="majorHAnsi"/>
          <w:lang w:val="sr-Cyrl-RS"/>
        </w:rPr>
      </w:pPr>
      <w:r w:rsidRPr="00FF386D">
        <w:rPr>
          <w:rFonts w:asciiTheme="majorHAnsi" w:hAnsiTheme="majorHAnsi" w:cstheme="majorHAnsi"/>
          <w:lang w:val="sr-Cyrl-RS"/>
        </w:rPr>
        <w:t xml:space="preserve">Када је реч о зградама у терцијарном сектору, примећено је неколико варијација у степену обнове за различите врсте зграда. У </w:t>
      </w:r>
      <w:r w:rsidRPr="00FF386D">
        <w:rPr>
          <w:rFonts w:asciiTheme="majorHAnsi" w:hAnsiTheme="majorHAnsi" w:cstheme="majorHAnsi"/>
          <w:i/>
          <w:lang w:val="sr-Cyrl-RS"/>
        </w:rPr>
        <w:t>WEM</w:t>
      </w:r>
      <w:r w:rsidRPr="00FF386D">
        <w:rPr>
          <w:rFonts w:asciiTheme="majorHAnsi" w:hAnsiTheme="majorHAnsi" w:cstheme="majorHAnsi"/>
          <w:lang w:val="sr-Cyrl-RS"/>
        </w:rPr>
        <w:t xml:space="preserve"> сценарију, степен обнове је стабилан и износи 0,5% за све врсте зграда у периоду 2025-2030. године, док се степен обнове од 2,5% очекује између 2035. и 2050. године (</w:t>
      </w:r>
      <w:r w:rsidR="00DC66B4">
        <w:rPr>
          <w:rFonts w:asciiTheme="majorHAnsi" w:hAnsiTheme="majorHAnsi" w:cstheme="majorHAnsi"/>
          <w:lang w:val="sr-Cyrl-RS"/>
        </w:rPr>
        <w:fldChar w:fldCharType="begin"/>
      </w:r>
      <w:r w:rsidR="00DC66B4">
        <w:rPr>
          <w:rFonts w:asciiTheme="majorHAnsi" w:hAnsiTheme="majorHAnsi" w:cstheme="majorHAnsi"/>
          <w:lang w:val="sr-Cyrl-RS"/>
        </w:rPr>
        <w:instrText xml:space="preserve"> REF _Ref153892693 \h  \* MERGEFORMAT </w:instrText>
      </w:r>
      <w:r w:rsidR="00DC66B4">
        <w:rPr>
          <w:rFonts w:asciiTheme="majorHAnsi" w:hAnsiTheme="majorHAnsi" w:cstheme="majorHAnsi"/>
          <w:lang w:val="sr-Cyrl-RS"/>
        </w:rPr>
      </w:r>
      <w:r w:rsidR="00DC66B4">
        <w:rPr>
          <w:rFonts w:asciiTheme="majorHAnsi" w:hAnsiTheme="majorHAnsi" w:cstheme="majorHAnsi"/>
          <w:lang w:val="sr-Cyrl-RS"/>
        </w:rPr>
        <w:fldChar w:fldCharType="separate"/>
      </w:r>
      <w:r w:rsidR="00DC66B4" w:rsidRPr="00565B02">
        <w:rPr>
          <w:rFonts w:asciiTheme="majorHAnsi" w:hAnsiTheme="majorHAnsi" w:cstheme="majorHAnsi"/>
          <w:lang w:val="sr-Cyrl-RS"/>
        </w:rPr>
        <w:t xml:space="preserve">Слика </w:t>
      </w:r>
      <w:r w:rsidR="00DC66B4" w:rsidRPr="00565B02">
        <w:rPr>
          <w:rFonts w:asciiTheme="majorHAnsi" w:hAnsiTheme="majorHAnsi" w:cstheme="majorHAnsi"/>
          <w:lang w:val="sr-Cyrl-RS"/>
        </w:rPr>
        <w:lastRenderedPageBreak/>
        <w:t>5.28</w:t>
      </w:r>
      <w:r w:rsidR="00DC66B4">
        <w:rPr>
          <w:rFonts w:asciiTheme="majorHAnsi" w:hAnsiTheme="majorHAnsi" w:cstheme="majorHAnsi"/>
          <w:lang w:val="sr-Cyrl-RS"/>
        </w:rPr>
        <w:fldChar w:fldCharType="end"/>
      </w:r>
      <w:r w:rsidRPr="00FF386D">
        <w:rPr>
          <w:rFonts w:asciiTheme="majorHAnsi" w:hAnsiTheme="majorHAnsi" w:cstheme="majorHAnsi"/>
          <w:lang w:val="sr-Cyrl-RS"/>
        </w:rPr>
        <w:t xml:space="preserve">). У сценаријима </w:t>
      </w:r>
      <w:r w:rsidRPr="00FF386D">
        <w:rPr>
          <w:rFonts w:asciiTheme="majorHAnsi" w:eastAsia="Calibri" w:hAnsiTheme="majorHAnsi" w:cstheme="majorHAnsi"/>
          <w:i/>
          <w:lang w:val="sr-Cyrl-RS"/>
        </w:rPr>
        <w:t>S</w:t>
      </w:r>
      <w:r w:rsidRPr="00FF386D">
        <w:rPr>
          <w:rFonts w:asciiTheme="majorHAnsi" w:eastAsia="Calibri" w:hAnsiTheme="majorHAnsi" w:cstheme="majorHAnsi"/>
          <w:lang w:val="sr-Cyrl-RS"/>
        </w:rPr>
        <w:t xml:space="preserve"> и </w:t>
      </w:r>
      <w:r w:rsidRPr="00FF386D">
        <w:rPr>
          <w:rFonts w:asciiTheme="majorHAnsi" w:eastAsia="Calibri" w:hAnsiTheme="majorHAnsi" w:cstheme="majorHAnsi"/>
          <w:i/>
          <w:lang w:val="sr-Cyrl-RS"/>
        </w:rPr>
        <w:t>S-N</w:t>
      </w:r>
      <w:r w:rsidRPr="00FF386D">
        <w:rPr>
          <w:rFonts w:asciiTheme="majorHAnsi" w:hAnsiTheme="majorHAnsi" w:cstheme="majorHAnsi"/>
          <w:lang w:val="sr-Cyrl-RS"/>
        </w:rPr>
        <w:t xml:space="preserve"> </w:t>
      </w:r>
      <w:r w:rsidR="008E0003" w:rsidRPr="00FF386D">
        <w:rPr>
          <w:rFonts w:asciiTheme="majorHAnsi" w:hAnsiTheme="majorHAnsi" w:cstheme="majorHAnsi"/>
          <w:lang w:val="sr-Cyrl-RS"/>
        </w:rPr>
        <w:t>примећен</w:t>
      </w:r>
      <w:r w:rsidR="008E0003">
        <w:rPr>
          <w:rFonts w:asciiTheme="majorHAnsi" w:hAnsiTheme="majorHAnsi" w:cstheme="majorHAnsi"/>
          <w:lang w:val="sr-Latn-RS"/>
        </w:rPr>
        <w:t>o</w:t>
      </w:r>
      <w:r w:rsidR="008E0003" w:rsidRPr="00FF386D">
        <w:rPr>
          <w:rFonts w:asciiTheme="majorHAnsi" w:hAnsiTheme="majorHAnsi" w:cstheme="majorHAnsi"/>
          <w:lang w:val="sr-Cyrl-RS"/>
        </w:rPr>
        <w:t xml:space="preserve"> </w:t>
      </w:r>
      <w:r w:rsidRPr="00FF386D">
        <w:rPr>
          <w:rFonts w:asciiTheme="majorHAnsi" w:hAnsiTheme="majorHAnsi" w:cstheme="majorHAnsi"/>
          <w:lang w:val="sr-Cyrl-RS"/>
        </w:rPr>
        <w:t>је интензивирање степена обнове за период 2035-2050</w:t>
      </w:r>
      <w:r w:rsidR="00D17964" w:rsidRPr="00FF386D">
        <w:rPr>
          <w:rFonts w:asciiTheme="majorHAnsi" w:hAnsiTheme="majorHAnsi" w:cstheme="majorHAnsi"/>
          <w:lang w:val="sr-Cyrl-RS"/>
        </w:rPr>
        <w:t>. године</w:t>
      </w:r>
      <w:r w:rsidR="008E0003">
        <w:rPr>
          <w:rFonts w:asciiTheme="majorHAnsi" w:hAnsiTheme="majorHAnsi" w:cstheme="majorHAnsi"/>
          <w:lang w:val="sr-Latn-RS"/>
        </w:rPr>
        <w:t xml:space="preserve">, </w:t>
      </w:r>
      <w:r w:rsidR="008E0003" w:rsidRPr="008E0003">
        <w:rPr>
          <w:rFonts w:asciiTheme="majorHAnsi" w:hAnsiTheme="majorHAnsi" w:cstheme="majorHAnsi"/>
          <w:lang w:val="sr-Latn-RS"/>
        </w:rPr>
        <w:t xml:space="preserve">у складу са стопама </w:t>
      </w:r>
      <w:r w:rsidR="008E0003">
        <w:rPr>
          <w:rFonts w:asciiTheme="majorHAnsi" w:hAnsiTheme="majorHAnsi" w:cstheme="majorHAnsi"/>
          <w:lang w:val="sr-Cyrl-RS"/>
        </w:rPr>
        <w:t>обнове</w:t>
      </w:r>
      <w:r w:rsidR="008E0003" w:rsidRPr="008E0003">
        <w:rPr>
          <w:rFonts w:asciiTheme="majorHAnsi" w:hAnsiTheme="majorHAnsi" w:cstheme="majorHAnsi"/>
          <w:lang w:val="sr-Latn-RS"/>
        </w:rPr>
        <w:t xml:space="preserve"> предвиђеним у Дугорочној стратегији обнове зграда, </w:t>
      </w:r>
      <w:r w:rsidR="00B76E09">
        <w:rPr>
          <w:rFonts w:asciiTheme="majorHAnsi" w:hAnsiTheme="majorHAnsi" w:cstheme="majorHAnsi"/>
          <w:lang w:val="sr-Cyrl-RS"/>
        </w:rPr>
        <w:t xml:space="preserve">које </w:t>
      </w:r>
      <w:r w:rsidR="008E0003" w:rsidRPr="008E0003">
        <w:rPr>
          <w:rFonts w:asciiTheme="majorHAnsi" w:hAnsiTheme="majorHAnsi" w:cstheme="majorHAnsi"/>
          <w:lang w:val="sr-Latn-RS"/>
        </w:rPr>
        <w:t>одговара</w:t>
      </w:r>
      <w:r w:rsidR="00B76E09">
        <w:rPr>
          <w:rFonts w:asciiTheme="majorHAnsi" w:hAnsiTheme="majorHAnsi" w:cstheme="majorHAnsi"/>
          <w:lang w:val="sr-Cyrl-RS"/>
        </w:rPr>
        <w:t>ју</w:t>
      </w:r>
      <w:r w:rsidR="008E0003" w:rsidRPr="008E0003">
        <w:rPr>
          <w:rFonts w:asciiTheme="majorHAnsi" w:hAnsiTheme="majorHAnsi" w:cstheme="majorHAnsi"/>
          <w:lang w:val="sr-Latn-RS"/>
        </w:rPr>
        <w:t xml:space="preserve"> 2,3% </w:t>
      </w:r>
      <w:r w:rsidR="00B76E09">
        <w:rPr>
          <w:rFonts w:asciiTheme="majorHAnsi" w:hAnsiTheme="majorHAnsi" w:cstheme="majorHAnsi"/>
          <w:lang w:val="sr-Cyrl-RS"/>
        </w:rPr>
        <w:t xml:space="preserve">на </w:t>
      </w:r>
      <w:r w:rsidR="008E0003" w:rsidRPr="008E0003">
        <w:rPr>
          <w:rFonts w:asciiTheme="majorHAnsi" w:hAnsiTheme="majorHAnsi" w:cstheme="majorHAnsi"/>
          <w:lang w:val="sr-Latn-RS"/>
        </w:rPr>
        <w:t>годишње</w:t>
      </w:r>
      <w:r w:rsidR="00B76E09">
        <w:rPr>
          <w:rFonts w:asciiTheme="majorHAnsi" w:hAnsiTheme="majorHAnsi" w:cstheme="majorHAnsi"/>
          <w:lang w:val="sr-Cyrl-RS"/>
        </w:rPr>
        <w:t>м нивоу</w:t>
      </w:r>
      <w:r w:rsidR="008E0003" w:rsidRPr="008E0003">
        <w:rPr>
          <w:rFonts w:asciiTheme="majorHAnsi" w:hAnsiTheme="majorHAnsi" w:cstheme="majorHAnsi"/>
          <w:lang w:val="sr-Latn-RS"/>
        </w:rPr>
        <w:t xml:space="preserve"> за зграде приватног сектора и 3,3% за зграде јавног сектора, што указује на улогу јавног сектора </w:t>
      </w:r>
      <w:r w:rsidR="008E0003">
        <w:rPr>
          <w:rFonts w:asciiTheme="majorHAnsi" w:hAnsiTheme="majorHAnsi" w:cstheme="majorHAnsi"/>
          <w:lang w:val="sr-Cyrl-RS"/>
        </w:rPr>
        <w:t xml:space="preserve">као </w:t>
      </w:r>
      <w:r w:rsidR="00BA29A7">
        <w:rPr>
          <w:rFonts w:asciiTheme="majorHAnsi" w:hAnsiTheme="majorHAnsi" w:cstheme="majorHAnsi"/>
          <w:lang w:val="sr-Cyrl-RS"/>
        </w:rPr>
        <w:t>примера добре праксе</w:t>
      </w:r>
      <w:r w:rsidR="00B76E09">
        <w:rPr>
          <w:rFonts w:asciiTheme="majorHAnsi" w:hAnsiTheme="majorHAnsi" w:cstheme="majorHAnsi"/>
          <w:lang w:val="sr-Cyrl-RS"/>
        </w:rPr>
        <w:t xml:space="preserve"> за</w:t>
      </w:r>
      <w:r w:rsidR="008E0003">
        <w:rPr>
          <w:rFonts w:asciiTheme="majorHAnsi" w:hAnsiTheme="majorHAnsi" w:cstheme="majorHAnsi"/>
          <w:lang w:val="sr-Cyrl-RS"/>
        </w:rPr>
        <w:t xml:space="preserve"> обнов</w:t>
      </w:r>
      <w:r w:rsidR="00B76E09">
        <w:rPr>
          <w:rFonts w:asciiTheme="majorHAnsi" w:hAnsiTheme="majorHAnsi" w:cstheme="majorHAnsi"/>
          <w:lang w:val="sr-Cyrl-RS"/>
        </w:rPr>
        <w:t>у</w:t>
      </w:r>
      <w:r w:rsidR="008E0003" w:rsidRPr="008E0003">
        <w:rPr>
          <w:rFonts w:asciiTheme="majorHAnsi" w:hAnsiTheme="majorHAnsi" w:cstheme="majorHAnsi"/>
          <w:lang w:val="sr-Latn-RS"/>
        </w:rPr>
        <w:t xml:space="preserve"> зграда</w:t>
      </w:r>
      <w:r w:rsidRPr="00FF386D">
        <w:rPr>
          <w:rFonts w:asciiTheme="majorHAnsi" w:hAnsiTheme="majorHAnsi" w:cstheme="majorHAnsi"/>
          <w:lang w:val="sr-Cyrl-RS"/>
        </w:rPr>
        <w:t>.</w:t>
      </w:r>
      <w:r w:rsidRPr="00FF386D">
        <w:rPr>
          <w:rFonts w:asciiTheme="minorHAnsi" w:eastAsiaTheme="minorHAnsi" w:hAnsiTheme="minorHAnsi" w:cstheme="minorBidi"/>
          <w:lang w:val="sr-Cyrl-RS" w:eastAsia="en-US"/>
        </w:rPr>
        <w:t xml:space="preserve"> </w:t>
      </w:r>
      <w:r w:rsidRPr="00FF386D">
        <w:rPr>
          <w:rFonts w:asciiTheme="majorHAnsi" w:hAnsiTheme="majorHAnsi" w:cstheme="majorHAnsi"/>
          <w:lang w:val="sr-Cyrl-RS"/>
        </w:rPr>
        <w:t xml:space="preserve">Како је речено раније, степен обнове </w:t>
      </w:r>
      <w:r w:rsidR="00D17964" w:rsidRPr="00FF386D">
        <w:rPr>
          <w:rFonts w:asciiTheme="majorHAnsi" w:hAnsiTheme="majorHAnsi" w:cstheme="majorHAnsi"/>
          <w:lang w:val="sr-Cyrl-RS"/>
        </w:rPr>
        <w:t xml:space="preserve">приказан на слици </w:t>
      </w:r>
      <w:r w:rsidRPr="00FF386D">
        <w:rPr>
          <w:rFonts w:asciiTheme="majorHAnsi" w:hAnsiTheme="majorHAnsi" w:cstheme="majorHAnsi"/>
          <w:lang w:val="sr-Cyrl-RS"/>
        </w:rPr>
        <w:t>до 2030. године се изражава на годишњем нивоу, а након 2030. године рађен је на нивоу петогодишњег периода.</w:t>
      </w:r>
    </w:p>
    <w:p w14:paraId="3CE58625" w14:textId="6895FCCF" w:rsidR="00DC66B4" w:rsidRPr="00DC66B4" w:rsidRDefault="00DC66B4" w:rsidP="00565B02">
      <w:bookmarkStart w:id="412" w:name="_Ref153892693"/>
      <w:bookmarkStart w:id="413" w:name="_Toc153901440"/>
      <w:r w:rsidRPr="00DC66B4">
        <w:rPr>
          <w:rFonts w:ascii="Calibri Light" w:hAnsi="Calibri Light" w:cs="Times New Roman"/>
          <w:b/>
          <w:bCs/>
          <w:color w:val="01406B"/>
        </w:rPr>
        <w:t xml:space="preserve">Слика </w:t>
      </w:r>
      <w:r w:rsidR="00F35B2C">
        <w:rPr>
          <w:rFonts w:ascii="Calibri Light" w:hAnsi="Calibri Light" w:cs="Times New Roman"/>
          <w:b/>
          <w:bCs/>
          <w:color w:val="01406B"/>
        </w:rPr>
        <w:fldChar w:fldCharType="begin"/>
      </w:r>
      <w:r w:rsidR="00F35B2C">
        <w:rPr>
          <w:rFonts w:ascii="Calibri Light" w:hAnsi="Calibri Light" w:cs="Times New Roman"/>
          <w:b/>
          <w:bCs/>
          <w:color w:val="01406B"/>
        </w:rPr>
        <w:instrText xml:space="preserve"> STYLEREF 1 \s </w:instrText>
      </w:r>
      <w:r w:rsidR="00F35B2C">
        <w:rPr>
          <w:rFonts w:ascii="Calibri Light" w:hAnsi="Calibri Light" w:cs="Times New Roman"/>
          <w:b/>
          <w:bCs/>
          <w:color w:val="01406B"/>
        </w:rPr>
        <w:fldChar w:fldCharType="separate"/>
      </w:r>
      <w:r w:rsidR="00F35B2C">
        <w:rPr>
          <w:rFonts w:ascii="Calibri Light" w:hAnsi="Calibri Light" w:cs="Times New Roman"/>
          <w:b/>
          <w:bCs/>
          <w:noProof/>
          <w:color w:val="01406B"/>
        </w:rPr>
        <w:t>5</w:t>
      </w:r>
      <w:r w:rsidR="00F35B2C">
        <w:rPr>
          <w:rFonts w:ascii="Calibri Light" w:hAnsi="Calibri Light" w:cs="Times New Roman"/>
          <w:b/>
          <w:bCs/>
          <w:color w:val="01406B"/>
        </w:rPr>
        <w:fldChar w:fldCharType="end"/>
      </w:r>
      <w:r w:rsidR="00F35B2C">
        <w:rPr>
          <w:rFonts w:ascii="Calibri Light" w:hAnsi="Calibri Light" w:cs="Times New Roman"/>
          <w:b/>
          <w:bCs/>
          <w:color w:val="01406B"/>
        </w:rPr>
        <w:t>.</w:t>
      </w:r>
      <w:r w:rsidR="00F35B2C">
        <w:rPr>
          <w:rFonts w:ascii="Calibri Light" w:hAnsi="Calibri Light" w:cs="Times New Roman"/>
          <w:b/>
          <w:bCs/>
          <w:color w:val="01406B"/>
        </w:rPr>
        <w:fldChar w:fldCharType="begin"/>
      </w:r>
      <w:r w:rsidR="00F35B2C">
        <w:rPr>
          <w:rFonts w:ascii="Calibri Light" w:hAnsi="Calibri Light" w:cs="Times New Roman"/>
          <w:b/>
          <w:bCs/>
          <w:color w:val="01406B"/>
        </w:rPr>
        <w:instrText xml:space="preserve"> SEQ Слика \* ARABIC \s 1 </w:instrText>
      </w:r>
      <w:r w:rsidR="00F35B2C">
        <w:rPr>
          <w:rFonts w:ascii="Calibri Light" w:hAnsi="Calibri Light" w:cs="Times New Roman"/>
          <w:b/>
          <w:bCs/>
          <w:color w:val="01406B"/>
        </w:rPr>
        <w:fldChar w:fldCharType="separate"/>
      </w:r>
      <w:r w:rsidR="00F35B2C">
        <w:rPr>
          <w:rFonts w:ascii="Calibri Light" w:hAnsi="Calibri Light" w:cs="Times New Roman"/>
          <w:b/>
          <w:bCs/>
          <w:noProof/>
          <w:color w:val="01406B"/>
        </w:rPr>
        <w:t>28</w:t>
      </w:r>
      <w:r w:rsidR="00F35B2C">
        <w:rPr>
          <w:rFonts w:ascii="Calibri Light" w:hAnsi="Calibri Light" w:cs="Times New Roman"/>
          <w:b/>
          <w:bCs/>
          <w:color w:val="01406B"/>
        </w:rPr>
        <w:fldChar w:fldCharType="end"/>
      </w:r>
      <w:bookmarkEnd w:id="412"/>
      <w:r w:rsidRPr="00DC66B4">
        <w:rPr>
          <w:rFonts w:ascii="Calibri Light" w:hAnsi="Calibri Light" w:cs="Times New Roman"/>
          <w:b/>
          <w:bCs/>
          <w:color w:val="01406B"/>
        </w:rPr>
        <w:t>: Обнова пословних зграда</w:t>
      </w:r>
      <w:bookmarkEnd w:id="413"/>
    </w:p>
    <w:p w14:paraId="2492B069" w14:textId="6077C360" w:rsidR="00D17964" w:rsidRPr="00FF386D" w:rsidRDefault="00DC66B4" w:rsidP="00D17964">
      <w:pPr>
        <w:jc w:val="center"/>
        <w:rPr>
          <w:lang w:eastAsia="el-GR"/>
        </w:rPr>
      </w:pPr>
      <w:r w:rsidRPr="00565B02">
        <w:rPr>
          <w:rFonts w:ascii="Calibri Light" w:hAnsi="Calibri Light" w:cs="Times New Roman"/>
          <w:b/>
          <w:bCs/>
          <w:noProof/>
          <w:color w:val="01406B"/>
        </w:rPr>
        <mc:AlternateContent>
          <mc:Choice Requires="wps">
            <w:drawing>
              <wp:anchor distT="0" distB="0" distL="114300" distR="114300" simplePos="0" relativeHeight="251821056" behindDoc="0" locked="0" layoutInCell="1" allowOverlap="1" wp14:anchorId="151FC6A8" wp14:editId="067E6169">
                <wp:simplePos x="0" y="0"/>
                <wp:positionH relativeFrom="column">
                  <wp:posOffset>398306</wp:posOffset>
                </wp:positionH>
                <wp:positionV relativeFrom="paragraph">
                  <wp:posOffset>1200785</wp:posOffset>
                </wp:positionV>
                <wp:extent cx="3268980" cy="1467248"/>
                <wp:effectExtent l="0" t="0" r="7620" b="0"/>
                <wp:wrapNone/>
                <wp:docPr id="798444757" name="Text Box 798444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8980" cy="1467248"/>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1F21BB8A" id="Text Box 798444757" o:spid="_x0000_s1026" type="#_x0000_t202" style="position:absolute;margin-left:31.35pt;margin-top:94.55pt;width:257.4pt;height:115.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" fillcolor="#a6a6a6" stroked="f">
                <v:fill opacity="32896f"/>
              </v:shape>
            </w:pict>
          </mc:Fallback>
        </mc:AlternateContent>
      </w:r>
      <w:r>
        <w:rPr>
          <w:noProof/>
          <w:lang w:val="en-US"/>
        </w:rPr>
        <mc:AlternateContent>
          <mc:Choice Requires="wps">
            <w:drawing>
              <wp:anchor distT="45720" distB="45720" distL="114300" distR="114300" simplePos="0" relativeHeight="251819008" behindDoc="0" locked="0" layoutInCell="1" allowOverlap="1" wp14:anchorId="57C67A22" wp14:editId="189762AC">
                <wp:simplePos x="0" y="0"/>
                <wp:positionH relativeFrom="column">
                  <wp:posOffset>857250</wp:posOffset>
                </wp:positionH>
                <wp:positionV relativeFrom="paragraph">
                  <wp:posOffset>154807</wp:posOffset>
                </wp:positionV>
                <wp:extent cx="2293620" cy="861060"/>
                <wp:effectExtent l="0" t="0" r="0" b="0"/>
                <wp:wrapNone/>
                <wp:docPr id="287442334" name="Text Box 287442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3620" cy="861060"/>
                        </a:xfrm>
                        <a:prstGeom prst="rect">
                          <a:avLst/>
                        </a:prstGeom>
                        <a:solidFill>
                          <a:srgbClr val="FFFFFF"/>
                        </a:solidFill>
                        <a:ln w="9525">
                          <a:solidFill>
                            <a:srgbClr val="000000"/>
                          </a:solidFill>
                          <a:miter lim="800000"/>
                          <a:headEnd/>
                          <a:tailEnd/>
                        </a:ln>
                      </wps:spPr>
                      <wps:txbx>
                        <w:txbxContent>
                          <w:p w14:paraId="7A4E032F" w14:textId="460504D2" w:rsidR="00990755" w:rsidRPr="000A2AFE" w:rsidRDefault="00990755" w:rsidP="00D17964">
                            <w:pPr>
                              <w:pStyle w:val="LDKbody"/>
                              <w:rPr>
                                <w:rFonts w:asciiTheme="majorHAnsi" w:hAnsiTheme="majorHAnsi" w:cstheme="majorHAnsi"/>
                                <w:lang w:val="sr-Cyrl-RS"/>
                              </w:rPr>
                            </w:pPr>
                            <w:r w:rsidRPr="00FF386D">
                              <w:rPr>
                                <w:rFonts w:asciiTheme="majorHAnsi" w:hAnsiTheme="majorHAnsi" w:cstheme="majorHAnsi"/>
                                <w:lang w:val="sr-Cyrl-RS"/>
                              </w:rPr>
                              <w:t xml:space="preserve">Стопе </w:t>
                            </w:r>
                            <w:r w:rsidR="00D01892">
                              <w:rPr>
                                <w:rFonts w:asciiTheme="majorHAnsi" w:hAnsiTheme="majorHAnsi" w:cstheme="majorHAnsi"/>
                                <w:lang w:val="sr-Cyrl-RS"/>
                              </w:rPr>
                              <w:t>обнове</w:t>
                            </w:r>
                            <w:r w:rsidR="00D01892" w:rsidRPr="00FF386D">
                              <w:rPr>
                                <w:rFonts w:asciiTheme="majorHAnsi" w:hAnsiTheme="majorHAnsi" w:cstheme="majorHAnsi"/>
                                <w:lang w:val="sr-Cyrl-RS"/>
                              </w:rPr>
                              <w:t xml:space="preserve"> </w:t>
                            </w:r>
                            <w:r w:rsidRPr="00FF386D">
                              <w:rPr>
                                <w:rFonts w:asciiTheme="majorHAnsi" w:hAnsiTheme="majorHAnsi" w:cstheme="majorHAnsi"/>
                                <w:lang w:val="sr-Cyrl-RS"/>
                              </w:rPr>
                              <w:t>до 2030. године су на годишњем нивоу, док се након 2030. године рачунају за период од 5 година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C67A22" id="Text Box 287442334" o:spid="_x0000_s1027" type="#_x0000_t202" style="position:absolute;left:0;text-align:left;margin-left:67.5pt;margin-top:12.2pt;width:180.6pt;height:67.8pt;z-index:25181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">
                <v:textbox>
                  <w:txbxContent>
                    <w:p w14:paraId="7A4E032F" w14:textId="460504D2" w:rsidR="00990755" w:rsidRPr="000A2AFE" w:rsidRDefault="00990755" w:rsidP="00D17964">
                      <w:pPr>
                        <w:pStyle w:val="LDKbody"/>
                        <w:rPr>
                          <w:rFonts w:asciiTheme="majorHAnsi" w:hAnsiTheme="majorHAnsi" w:cstheme="majorHAnsi"/>
                          <w:lang w:val="sr-Cyrl-RS"/>
                        </w:rPr>
                      </w:pPr>
                      <w:r w:rsidRPr="00FF386D">
                        <w:rPr>
                          <w:rFonts w:asciiTheme="majorHAnsi" w:hAnsiTheme="majorHAnsi" w:cstheme="majorHAnsi"/>
                          <w:lang w:val="sr-Cyrl-RS"/>
                        </w:rPr>
                        <w:t xml:space="preserve">Стопе </w:t>
                      </w:r>
                      <w:r w:rsidR="00D01892">
                        <w:rPr>
                          <w:rFonts w:asciiTheme="majorHAnsi" w:hAnsiTheme="majorHAnsi" w:cstheme="majorHAnsi"/>
                          <w:lang w:val="sr-Cyrl-RS"/>
                        </w:rPr>
                        <w:t>обнове</w:t>
                      </w:r>
                      <w:r w:rsidR="00D01892" w:rsidRPr="00FF386D">
                        <w:rPr>
                          <w:rFonts w:asciiTheme="majorHAnsi" w:hAnsiTheme="majorHAnsi" w:cstheme="majorHAnsi"/>
                          <w:lang w:val="sr-Cyrl-RS"/>
                        </w:rPr>
                        <w:t xml:space="preserve"> </w:t>
                      </w:r>
                      <w:r w:rsidRPr="00FF386D">
                        <w:rPr>
                          <w:rFonts w:asciiTheme="majorHAnsi" w:hAnsiTheme="majorHAnsi" w:cstheme="majorHAnsi"/>
                          <w:lang w:val="sr-Cyrl-RS"/>
                        </w:rPr>
                        <w:t>до 2030. године су на годишњем нивоу, док се након 2030. године рачунају за период од 5 година</w:t>
                      </w:r>
                    </w:p>
                  </w:txbxContent>
                </v:textbox>
              </v:shape>
            </w:pict>
          </mc:Fallback>
        </mc:AlternateContent>
      </w:r>
      <w:r w:rsidR="00D17964" w:rsidRPr="004F53D7">
        <w:rPr>
          <w:noProof/>
          <w:lang w:val="en-US"/>
        </w:rPr>
        <w:drawing>
          <wp:inline distT="0" distB="0" distL="0" distR="0" wp14:anchorId="04987431" wp14:editId="7D9263FC">
            <wp:extent cx="5744210" cy="3840480"/>
            <wp:effectExtent l="0" t="0" r="8890" b="7620"/>
            <wp:docPr id="1156626462" name="Picture 1156626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44400" cy="3840607"/>
                    </a:xfrm>
                    <a:prstGeom prst="rect">
                      <a:avLst/>
                    </a:prstGeom>
                    <a:noFill/>
                  </pic:spPr>
                </pic:pic>
              </a:graphicData>
            </a:graphic>
          </wp:inline>
        </w:drawing>
      </w:r>
    </w:p>
    <w:p w14:paraId="7E9210BC" w14:textId="384E26AB" w:rsidR="00A244F6" w:rsidRDefault="00431FEA" w:rsidP="00431FEA">
      <w:pPr>
        <w:suppressAutoHyphens/>
        <w:jc w:val="both"/>
        <w:rPr>
          <w:rFonts w:asciiTheme="majorHAnsi" w:hAnsiTheme="majorHAnsi" w:cstheme="majorHAnsi"/>
        </w:rPr>
      </w:pPr>
      <w:r w:rsidRPr="000A2AFE">
        <w:rPr>
          <w:rFonts w:asciiTheme="majorHAnsi" w:hAnsiTheme="majorHAnsi" w:cstheme="majorHAnsi"/>
        </w:rPr>
        <w:t xml:space="preserve">У погледу јединичне потрошње у </w:t>
      </w:r>
      <w:r w:rsidRPr="000A2AFE">
        <w:rPr>
          <w:rFonts w:asciiTheme="majorHAnsi" w:hAnsiTheme="majorHAnsi" w:cstheme="majorHAnsi"/>
          <w:i/>
          <w:iCs/>
        </w:rPr>
        <w:t>WEM</w:t>
      </w:r>
      <w:r w:rsidRPr="000A2AFE">
        <w:rPr>
          <w:rFonts w:asciiTheme="majorHAnsi" w:hAnsiTheme="majorHAnsi" w:cstheme="majorHAnsi"/>
        </w:rPr>
        <w:t xml:space="preserve"> сценарију, јединична потрошња постојећих комерцијалних зграда је пројектована да се повећа са 0,</w:t>
      </w:r>
      <w:r w:rsidR="00A1289D">
        <w:rPr>
          <w:rFonts w:asciiTheme="majorHAnsi" w:hAnsiTheme="majorHAnsi" w:cstheme="majorHAnsi"/>
        </w:rPr>
        <w:t>0</w:t>
      </w:r>
      <w:r w:rsidRPr="000A2AFE">
        <w:rPr>
          <w:rFonts w:asciiTheme="majorHAnsi" w:hAnsiTheme="majorHAnsi" w:cstheme="majorHAnsi"/>
        </w:rPr>
        <w:t>2 ktoe/m2 у 2025. години на 0,</w:t>
      </w:r>
      <w:r w:rsidR="00A1289D">
        <w:rPr>
          <w:rFonts w:asciiTheme="majorHAnsi" w:hAnsiTheme="majorHAnsi" w:cstheme="majorHAnsi"/>
        </w:rPr>
        <w:t>035</w:t>
      </w:r>
      <w:r w:rsidRPr="000A2AFE">
        <w:rPr>
          <w:rFonts w:asciiTheme="majorHAnsi" w:hAnsiTheme="majorHAnsi" w:cstheme="majorHAnsi"/>
        </w:rPr>
        <w:t xml:space="preserve"> ktoe/m2 у 2050. години, задржава</w:t>
      </w:r>
      <w:r w:rsidR="00B76E09">
        <w:rPr>
          <w:rFonts w:asciiTheme="majorHAnsi" w:hAnsiTheme="majorHAnsi" w:cstheme="majorHAnsi"/>
        </w:rPr>
        <w:t>јући</w:t>
      </w:r>
      <w:r w:rsidRPr="000A2AFE">
        <w:rPr>
          <w:rFonts w:asciiTheme="majorHAnsi" w:hAnsiTheme="majorHAnsi" w:cstheme="majorHAnsi"/>
        </w:rPr>
        <w:t xml:space="preserve"> скоро стабил</w:t>
      </w:r>
      <w:r w:rsidR="00B76E09">
        <w:rPr>
          <w:rFonts w:asciiTheme="majorHAnsi" w:hAnsiTheme="majorHAnsi" w:cstheme="majorHAnsi"/>
        </w:rPr>
        <w:t>а</w:t>
      </w:r>
      <w:r w:rsidRPr="000A2AFE">
        <w:rPr>
          <w:rFonts w:asciiTheme="majorHAnsi" w:hAnsiTheme="majorHAnsi" w:cstheme="majorHAnsi"/>
        </w:rPr>
        <w:t>н ниво у друга два сценарија на око 0</w:t>
      </w:r>
      <w:r w:rsidR="0091388F" w:rsidRPr="000A2AFE">
        <w:rPr>
          <w:rFonts w:asciiTheme="majorHAnsi" w:hAnsiTheme="majorHAnsi" w:cstheme="majorHAnsi"/>
        </w:rPr>
        <w:t>,</w:t>
      </w:r>
      <w:r w:rsidR="00A1289D">
        <w:rPr>
          <w:rFonts w:asciiTheme="majorHAnsi" w:hAnsiTheme="majorHAnsi" w:cstheme="majorHAnsi"/>
        </w:rPr>
        <w:t>0</w:t>
      </w:r>
      <w:r w:rsidRPr="000A2AFE">
        <w:rPr>
          <w:rFonts w:asciiTheme="majorHAnsi" w:hAnsiTheme="majorHAnsi" w:cstheme="majorHAnsi"/>
        </w:rPr>
        <w:t>2 ktoe/m</w:t>
      </w:r>
      <w:r w:rsidRPr="000A2AFE">
        <w:rPr>
          <w:rFonts w:asciiTheme="majorHAnsi" w:hAnsiTheme="majorHAnsi" w:cstheme="majorHAnsi"/>
          <w:vertAlign w:val="superscript"/>
        </w:rPr>
        <w:t>2</w:t>
      </w:r>
      <w:r w:rsidRPr="000A2AFE">
        <w:rPr>
          <w:rFonts w:asciiTheme="majorHAnsi" w:hAnsiTheme="majorHAnsi" w:cstheme="majorHAnsi"/>
        </w:rPr>
        <w:t xml:space="preserve"> током периода 2025-20</w:t>
      </w:r>
      <w:r w:rsidR="00A1289D">
        <w:rPr>
          <w:rFonts w:asciiTheme="majorHAnsi" w:hAnsiTheme="majorHAnsi" w:cstheme="majorHAnsi"/>
        </w:rPr>
        <w:t>4</w:t>
      </w:r>
      <w:r w:rsidRPr="000A2AFE">
        <w:rPr>
          <w:rFonts w:asciiTheme="majorHAnsi" w:hAnsiTheme="majorHAnsi" w:cstheme="majorHAnsi"/>
        </w:rPr>
        <w:t xml:space="preserve">0. </w:t>
      </w:r>
      <w:r w:rsidR="00B76E09">
        <w:rPr>
          <w:rFonts w:asciiTheme="majorHAnsi" w:hAnsiTheme="majorHAnsi" w:cstheme="majorHAnsi"/>
        </w:rPr>
        <w:t>године</w:t>
      </w:r>
      <w:r w:rsidR="00A1289D">
        <w:rPr>
          <w:rFonts w:asciiTheme="majorHAnsi" w:hAnsiTheme="majorHAnsi" w:cstheme="majorHAnsi"/>
        </w:rPr>
        <w:t>, а већи раст се очекује током период 2045-2050. године достижући 0,023</w:t>
      </w:r>
      <w:r w:rsidR="00A1289D">
        <w:rPr>
          <w:rFonts w:asciiTheme="majorHAnsi" w:hAnsiTheme="majorHAnsi" w:cstheme="majorHAnsi"/>
          <w:lang w:val="en-US"/>
        </w:rPr>
        <w:t xml:space="preserve"> ktoe/m</w:t>
      </w:r>
      <w:r w:rsidR="00A1289D">
        <w:rPr>
          <w:rFonts w:asciiTheme="majorHAnsi" w:hAnsiTheme="majorHAnsi" w:cstheme="majorHAnsi"/>
          <w:vertAlign w:val="superscript"/>
          <w:lang w:val="en-US"/>
        </w:rPr>
        <w:t>2</w:t>
      </w:r>
      <w:r w:rsidR="00A1289D">
        <w:rPr>
          <w:rFonts w:asciiTheme="majorHAnsi" w:hAnsiTheme="majorHAnsi" w:cstheme="majorHAnsi"/>
          <w:lang w:val="en-US"/>
        </w:rPr>
        <w:t xml:space="preserve"> </w:t>
      </w:r>
      <w:r w:rsidR="00A1289D">
        <w:rPr>
          <w:rFonts w:asciiTheme="majorHAnsi" w:hAnsiTheme="majorHAnsi" w:cstheme="majorHAnsi"/>
        </w:rPr>
        <w:t xml:space="preserve">у 2045. години и 0,026 </w:t>
      </w:r>
      <w:r w:rsidR="00A1289D">
        <w:rPr>
          <w:rFonts w:asciiTheme="majorHAnsi" w:hAnsiTheme="majorHAnsi" w:cstheme="majorHAnsi"/>
          <w:lang w:val="en-US"/>
        </w:rPr>
        <w:t>ktoe/m</w:t>
      </w:r>
      <w:r w:rsidR="00A1289D">
        <w:rPr>
          <w:rFonts w:asciiTheme="majorHAnsi" w:hAnsiTheme="majorHAnsi" w:cstheme="majorHAnsi"/>
          <w:vertAlign w:val="superscript"/>
          <w:lang w:val="en-US"/>
        </w:rPr>
        <w:t>2</w:t>
      </w:r>
      <w:r w:rsidR="00A1289D">
        <w:rPr>
          <w:rFonts w:asciiTheme="majorHAnsi" w:hAnsiTheme="majorHAnsi" w:cstheme="majorHAnsi"/>
          <w:lang w:val="en-US"/>
        </w:rPr>
        <w:t xml:space="preserve"> </w:t>
      </w:r>
      <w:r w:rsidR="00A1289D">
        <w:rPr>
          <w:rFonts w:asciiTheme="majorHAnsi" w:hAnsiTheme="majorHAnsi" w:cstheme="majorHAnsi"/>
        </w:rPr>
        <w:t>у 2050. години</w:t>
      </w:r>
      <w:r w:rsidR="00B76E09">
        <w:rPr>
          <w:rFonts w:asciiTheme="majorHAnsi" w:hAnsiTheme="majorHAnsi" w:cstheme="majorHAnsi"/>
        </w:rPr>
        <w:t xml:space="preserve">. </w:t>
      </w:r>
      <w:r w:rsidRPr="000A2AFE">
        <w:rPr>
          <w:rFonts w:asciiTheme="majorHAnsi" w:hAnsiTheme="majorHAnsi" w:cstheme="majorHAnsi"/>
        </w:rPr>
        <w:t xml:space="preserve">Слично томе, јединична потрошња постојећих стамбених зграда у 2020. години повећава се са скоро истом стопом раста </w:t>
      </w:r>
      <w:r w:rsidR="00704336" w:rsidRPr="000A2AFE">
        <w:rPr>
          <w:rFonts w:asciiTheme="majorHAnsi" w:hAnsiTheme="majorHAnsi" w:cstheme="majorHAnsi"/>
        </w:rPr>
        <w:t>у</w:t>
      </w:r>
      <w:r w:rsidRPr="000A2AFE">
        <w:rPr>
          <w:rFonts w:asciiTheme="majorHAnsi" w:hAnsiTheme="majorHAnsi" w:cstheme="majorHAnsi"/>
        </w:rPr>
        <w:t xml:space="preserve"> сценариј</w:t>
      </w:r>
      <w:r w:rsidR="00704336" w:rsidRPr="000A2AFE">
        <w:rPr>
          <w:rFonts w:asciiTheme="majorHAnsi" w:hAnsiTheme="majorHAnsi" w:cstheme="majorHAnsi"/>
        </w:rPr>
        <w:t>има</w:t>
      </w:r>
      <w:r w:rsidRPr="000A2AFE">
        <w:rPr>
          <w:rFonts w:asciiTheme="majorHAnsi" w:hAnsiTheme="majorHAnsi" w:cstheme="majorHAnsi"/>
        </w:rPr>
        <w:t xml:space="preserve"> </w:t>
      </w:r>
      <w:r w:rsidRPr="000A2AFE">
        <w:rPr>
          <w:rFonts w:asciiTheme="majorHAnsi" w:hAnsiTheme="majorHAnsi" w:cstheme="majorHAnsi"/>
          <w:i/>
          <w:iCs/>
        </w:rPr>
        <w:t>S</w:t>
      </w:r>
      <w:r w:rsidRPr="000A2AFE">
        <w:rPr>
          <w:rFonts w:asciiTheme="majorHAnsi" w:hAnsiTheme="majorHAnsi" w:cstheme="majorHAnsi"/>
        </w:rPr>
        <w:t xml:space="preserve"> и </w:t>
      </w:r>
      <w:r w:rsidRPr="000A2AFE">
        <w:rPr>
          <w:rFonts w:asciiTheme="majorHAnsi" w:hAnsiTheme="majorHAnsi" w:cstheme="majorHAnsi"/>
          <w:i/>
          <w:iCs/>
        </w:rPr>
        <w:t>S-N</w:t>
      </w:r>
      <w:r w:rsidRPr="000A2AFE">
        <w:rPr>
          <w:rFonts w:asciiTheme="majorHAnsi" w:hAnsiTheme="majorHAnsi" w:cstheme="majorHAnsi"/>
        </w:rPr>
        <w:t xml:space="preserve"> током периода 2025-2050</w:t>
      </w:r>
      <w:r w:rsidR="00B76E09">
        <w:rPr>
          <w:rFonts w:asciiTheme="majorHAnsi" w:hAnsiTheme="majorHAnsi" w:cstheme="majorHAnsi"/>
        </w:rPr>
        <w:t>. године</w:t>
      </w:r>
      <w:r w:rsidR="001A2CD0" w:rsidRPr="000A2AFE">
        <w:rPr>
          <w:rFonts w:asciiTheme="majorHAnsi" w:hAnsiTheme="majorHAnsi" w:cstheme="majorHAnsi"/>
        </w:rPr>
        <w:t xml:space="preserve">, </w:t>
      </w:r>
      <w:r w:rsidR="00B2124C" w:rsidRPr="000A2AFE">
        <w:rPr>
          <w:rFonts w:asciiTheme="majorHAnsi" w:hAnsiTheme="majorHAnsi" w:cstheme="majorHAnsi"/>
        </w:rPr>
        <w:t xml:space="preserve">sa </w:t>
      </w:r>
      <w:r w:rsidR="00A1289D">
        <w:rPr>
          <w:rFonts w:asciiTheme="majorHAnsi" w:hAnsiTheme="majorHAnsi" w:cstheme="majorHAnsi"/>
        </w:rPr>
        <w:t>1,56</w:t>
      </w:r>
      <w:r w:rsidR="00B2124C" w:rsidRPr="000A2AFE">
        <w:rPr>
          <w:rFonts w:asciiTheme="majorHAnsi" w:hAnsiTheme="majorHAnsi" w:cstheme="majorHAnsi"/>
        </w:rPr>
        <w:t xml:space="preserve"> ktoe/’000 зграда у 2025. години на око </w:t>
      </w:r>
      <w:r w:rsidR="00A1289D">
        <w:rPr>
          <w:rFonts w:asciiTheme="majorHAnsi" w:hAnsiTheme="majorHAnsi" w:cstheme="majorHAnsi"/>
        </w:rPr>
        <w:t>1,72</w:t>
      </w:r>
      <w:r w:rsidR="00B2124C" w:rsidRPr="000A2AFE">
        <w:rPr>
          <w:rFonts w:asciiTheme="majorHAnsi" w:hAnsiTheme="majorHAnsi" w:cstheme="majorHAnsi"/>
        </w:rPr>
        <w:t xml:space="preserve"> ktoe/’000 зграда у 2050. години, док сценарио </w:t>
      </w:r>
      <w:r w:rsidR="00B2124C" w:rsidRPr="000A2AFE">
        <w:rPr>
          <w:rFonts w:asciiTheme="majorHAnsi" w:hAnsiTheme="majorHAnsi" w:cstheme="majorHAnsi"/>
          <w:i/>
          <w:iCs/>
        </w:rPr>
        <w:t xml:space="preserve">WEM </w:t>
      </w:r>
      <w:r w:rsidR="00B2124C" w:rsidRPr="000A2AFE">
        <w:rPr>
          <w:rFonts w:asciiTheme="majorHAnsi" w:hAnsiTheme="majorHAnsi" w:cstheme="majorHAnsi"/>
        </w:rPr>
        <w:t xml:space="preserve">има већу стопу раста, од </w:t>
      </w:r>
      <w:r w:rsidR="00A1289D">
        <w:rPr>
          <w:rFonts w:asciiTheme="majorHAnsi" w:hAnsiTheme="majorHAnsi" w:cstheme="majorHAnsi"/>
        </w:rPr>
        <w:t>1,66</w:t>
      </w:r>
      <w:r w:rsidR="00B2124C" w:rsidRPr="000A2AFE">
        <w:rPr>
          <w:rFonts w:asciiTheme="majorHAnsi" w:hAnsiTheme="majorHAnsi" w:cstheme="majorHAnsi"/>
        </w:rPr>
        <w:t xml:space="preserve"> ktoe/’000 зграда у 2025. години на </w:t>
      </w:r>
      <w:r w:rsidR="00A1289D">
        <w:rPr>
          <w:rFonts w:asciiTheme="majorHAnsi" w:hAnsiTheme="majorHAnsi" w:cstheme="majorHAnsi"/>
        </w:rPr>
        <w:t>2,52</w:t>
      </w:r>
      <w:r w:rsidR="00B2124C" w:rsidRPr="000A2AFE">
        <w:rPr>
          <w:rFonts w:asciiTheme="majorHAnsi" w:hAnsiTheme="majorHAnsi" w:cstheme="majorHAnsi"/>
        </w:rPr>
        <w:t xml:space="preserve"> ktoe/’000 зграда у 2050. години. </w:t>
      </w:r>
      <w:r w:rsidR="001409EC" w:rsidRPr="000A2AFE">
        <w:rPr>
          <w:rFonts w:asciiTheme="majorHAnsi" w:hAnsiTheme="majorHAnsi" w:cstheme="majorHAnsi"/>
        </w:rPr>
        <w:t>Раст јединичн</w:t>
      </w:r>
      <w:r w:rsidR="00B76E09">
        <w:rPr>
          <w:rFonts w:asciiTheme="majorHAnsi" w:hAnsiTheme="majorHAnsi" w:cstheme="majorHAnsi"/>
        </w:rPr>
        <w:t>е</w:t>
      </w:r>
      <w:r w:rsidR="001409EC" w:rsidRPr="000A2AFE">
        <w:rPr>
          <w:rFonts w:asciiTheme="majorHAnsi" w:hAnsiTheme="majorHAnsi" w:cstheme="majorHAnsi"/>
        </w:rPr>
        <w:t xml:space="preserve"> потрошњ</w:t>
      </w:r>
      <w:r w:rsidR="00B76E09">
        <w:rPr>
          <w:rFonts w:asciiTheme="majorHAnsi" w:hAnsiTheme="majorHAnsi" w:cstheme="majorHAnsi"/>
        </w:rPr>
        <w:t>е</w:t>
      </w:r>
      <w:r w:rsidR="001409EC" w:rsidRPr="000A2AFE">
        <w:rPr>
          <w:rFonts w:asciiTheme="majorHAnsi" w:hAnsiTheme="majorHAnsi" w:cstheme="majorHAnsi"/>
        </w:rPr>
        <w:t xml:space="preserve"> је </w:t>
      </w:r>
      <w:r w:rsidR="00B76E09">
        <w:rPr>
          <w:rFonts w:asciiTheme="majorHAnsi" w:hAnsiTheme="majorHAnsi" w:cstheme="majorHAnsi"/>
        </w:rPr>
        <w:t>по</w:t>
      </w:r>
      <w:r w:rsidR="001409EC" w:rsidRPr="000A2AFE">
        <w:rPr>
          <w:rFonts w:asciiTheme="majorHAnsi" w:hAnsiTheme="majorHAnsi" w:cstheme="majorHAnsi"/>
        </w:rPr>
        <w:t xml:space="preserve">везан </w:t>
      </w:r>
      <w:r w:rsidR="0091388F" w:rsidRPr="000A2AFE">
        <w:rPr>
          <w:rFonts w:asciiTheme="majorHAnsi" w:hAnsiTheme="majorHAnsi" w:cstheme="majorHAnsi"/>
        </w:rPr>
        <w:t>с</w:t>
      </w:r>
      <w:r w:rsidR="001409EC" w:rsidRPr="000A2AFE">
        <w:rPr>
          <w:rFonts w:asciiTheme="majorHAnsi" w:hAnsiTheme="majorHAnsi" w:cstheme="majorHAnsi"/>
        </w:rPr>
        <w:t xml:space="preserve">а </w:t>
      </w:r>
      <w:r w:rsidR="00B76E09">
        <w:rPr>
          <w:rFonts w:asciiTheme="majorHAnsi" w:hAnsiTheme="majorHAnsi" w:cstheme="majorHAnsi"/>
        </w:rPr>
        <w:t>унапређењем</w:t>
      </w:r>
      <w:r w:rsidR="001409EC" w:rsidRPr="000A2AFE">
        <w:rPr>
          <w:rFonts w:asciiTheme="majorHAnsi" w:hAnsiTheme="majorHAnsi" w:cstheme="majorHAnsi"/>
        </w:rPr>
        <w:t xml:space="preserve"> </w:t>
      </w:r>
      <w:r w:rsidR="00B76E09">
        <w:rPr>
          <w:rFonts w:asciiTheme="majorHAnsi" w:hAnsiTheme="majorHAnsi" w:cstheme="majorHAnsi"/>
        </w:rPr>
        <w:t xml:space="preserve">степена </w:t>
      </w:r>
      <w:r w:rsidR="00806726">
        <w:rPr>
          <w:rFonts w:asciiTheme="majorHAnsi" w:hAnsiTheme="majorHAnsi" w:cstheme="majorHAnsi"/>
        </w:rPr>
        <w:t>комфора</w:t>
      </w:r>
      <w:r w:rsidR="001409EC" w:rsidRPr="000A2AFE">
        <w:rPr>
          <w:rFonts w:asciiTheme="majorHAnsi" w:hAnsiTheme="majorHAnsi" w:cstheme="majorHAnsi"/>
        </w:rPr>
        <w:t xml:space="preserve"> услова грејања, који је затим повезан са повећањем расположивог прихода по глави становника, како БДП по глави становника такође расте.</w:t>
      </w:r>
    </w:p>
    <w:p w14:paraId="7B07CDF8" w14:textId="3142F879" w:rsidR="00521ADF" w:rsidRDefault="00521ADF" w:rsidP="00565B02">
      <w:pPr>
        <w:pStyle w:val="Caption"/>
        <w:keepNext/>
      </w:pPr>
      <w:bookmarkStart w:id="414" w:name="_Toc153901441"/>
      <w:r>
        <w:lastRenderedPageBreak/>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29</w:t>
      </w:r>
      <w:r w:rsidR="00F35B2C">
        <w:fldChar w:fldCharType="end"/>
      </w:r>
      <w:r>
        <w:t xml:space="preserve">: </w:t>
      </w:r>
      <w:r w:rsidRPr="00521ADF">
        <w:t>Јединична потрошња комерцијалних зграда</w:t>
      </w:r>
      <w:bookmarkEnd w:id="414"/>
    </w:p>
    <w:p w14:paraId="04CE64D0" w14:textId="626006AD" w:rsidR="00130D98" w:rsidRPr="000251F0" w:rsidRDefault="00130D98" w:rsidP="000A2AFE">
      <w:pPr>
        <w:jc w:val="center"/>
      </w:pPr>
      <w:r>
        <w:rPr>
          <w:noProof/>
        </w:rPr>
        <w:drawing>
          <wp:inline distT="0" distB="0" distL="0" distR="0" wp14:anchorId="502E5A05" wp14:editId="6DA4B27B">
            <wp:extent cx="4681855" cy="2664460"/>
            <wp:effectExtent l="0" t="0" r="4445" b="2540"/>
            <wp:docPr id="11615080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681855" cy="2664460"/>
                    </a:xfrm>
                    <a:prstGeom prst="rect">
                      <a:avLst/>
                    </a:prstGeom>
                    <a:noFill/>
                  </pic:spPr>
                </pic:pic>
              </a:graphicData>
            </a:graphic>
          </wp:inline>
        </w:drawing>
      </w:r>
    </w:p>
    <w:p w14:paraId="2ECA766C" w14:textId="24D98E03" w:rsidR="00521ADF" w:rsidRDefault="00521ADF" w:rsidP="00565B02">
      <w:pPr>
        <w:pStyle w:val="Caption"/>
        <w:keepNext/>
      </w:pPr>
      <w:bookmarkStart w:id="415" w:name="_Toc153901442"/>
      <w:r>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30</w:t>
      </w:r>
      <w:r w:rsidR="00F35B2C">
        <w:fldChar w:fldCharType="end"/>
      </w:r>
      <w:r>
        <w:t xml:space="preserve">: </w:t>
      </w:r>
      <w:r w:rsidRPr="00521ADF">
        <w:t>Јединична потрошња стамбених зграда</w:t>
      </w:r>
      <w:bookmarkEnd w:id="415"/>
    </w:p>
    <w:p w14:paraId="59C62789" w14:textId="0FF78534" w:rsidR="00130D98" w:rsidRDefault="000B16ED" w:rsidP="000A2AFE">
      <w:pPr>
        <w:spacing w:after="200" w:line="240" w:lineRule="auto"/>
        <w:jc w:val="center"/>
        <w:rPr>
          <w:rFonts w:ascii="Calibri Light" w:hAnsi="Calibri Light" w:cs="Times New Roman"/>
          <w:b/>
          <w:bCs/>
          <w:color w:val="01406B"/>
        </w:rPr>
      </w:pPr>
      <w:r>
        <w:rPr>
          <w:rFonts w:ascii="Calibri Light" w:hAnsi="Calibri Light" w:cs="Times New Roman"/>
          <w:b/>
          <w:bCs/>
          <w:noProof/>
          <w:color w:val="01406B"/>
        </w:rPr>
        <w:drawing>
          <wp:inline distT="0" distB="0" distL="0" distR="0" wp14:anchorId="19FEEB03" wp14:editId="709B5E03">
            <wp:extent cx="4535805" cy="2676525"/>
            <wp:effectExtent l="0" t="0" r="0" b="9525"/>
            <wp:docPr id="5706729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35805" cy="2676525"/>
                    </a:xfrm>
                    <a:prstGeom prst="rect">
                      <a:avLst/>
                    </a:prstGeom>
                    <a:noFill/>
                  </pic:spPr>
                </pic:pic>
              </a:graphicData>
            </a:graphic>
          </wp:inline>
        </w:drawing>
      </w:r>
    </w:p>
    <w:p w14:paraId="56CF06ED" w14:textId="443B67A9" w:rsidR="000251F0" w:rsidRDefault="002B4A38" w:rsidP="000251F0">
      <w:pPr>
        <w:jc w:val="both"/>
        <w:rPr>
          <w:rFonts w:asciiTheme="majorHAnsi" w:hAnsiTheme="majorHAnsi" w:cstheme="majorHAnsi"/>
        </w:rPr>
      </w:pPr>
      <w:r>
        <w:rPr>
          <w:rFonts w:asciiTheme="majorHAnsi" w:hAnsiTheme="majorHAnsi" w:cstheme="majorHAnsi"/>
        </w:rPr>
        <w:t xml:space="preserve">Очекује се да ће удео </w:t>
      </w:r>
      <w:r w:rsidR="000251F0">
        <w:rPr>
          <w:rFonts w:asciiTheme="majorHAnsi" w:hAnsiTheme="majorHAnsi" w:cstheme="majorHAnsi"/>
        </w:rPr>
        <w:t>топлотних пумпи</w:t>
      </w:r>
      <w:r>
        <w:rPr>
          <w:rFonts w:asciiTheme="majorHAnsi" w:hAnsiTheme="majorHAnsi" w:cstheme="majorHAnsi"/>
        </w:rPr>
        <w:t xml:space="preserve"> достићи 7,05 </w:t>
      </w:r>
      <w:r>
        <w:rPr>
          <w:rFonts w:asciiTheme="majorHAnsi" w:hAnsiTheme="majorHAnsi" w:cstheme="majorHAnsi"/>
          <w:lang w:val="en-US"/>
        </w:rPr>
        <w:t xml:space="preserve">GWth </w:t>
      </w:r>
      <w:r>
        <w:rPr>
          <w:rFonts w:asciiTheme="majorHAnsi" w:hAnsiTheme="majorHAnsi" w:cstheme="majorHAnsi"/>
        </w:rPr>
        <w:t xml:space="preserve">у 2030. години (2,03 </w:t>
      </w:r>
      <w:r>
        <w:rPr>
          <w:rFonts w:asciiTheme="majorHAnsi" w:hAnsiTheme="majorHAnsi" w:cstheme="majorHAnsi"/>
          <w:lang w:val="en-US"/>
        </w:rPr>
        <w:t xml:space="preserve">GWth </w:t>
      </w:r>
      <w:r>
        <w:rPr>
          <w:rFonts w:asciiTheme="majorHAnsi" w:hAnsiTheme="majorHAnsi" w:cstheme="majorHAnsi"/>
        </w:rPr>
        <w:t xml:space="preserve">у стамбеном сектору и 5,02 </w:t>
      </w:r>
      <w:r>
        <w:rPr>
          <w:rFonts w:asciiTheme="majorHAnsi" w:hAnsiTheme="majorHAnsi" w:cstheme="majorHAnsi"/>
          <w:lang w:val="en-US"/>
        </w:rPr>
        <w:t xml:space="preserve">GWth </w:t>
      </w:r>
      <w:r>
        <w:rPr>
          <w:rFonts w:asciiTheme="majorHAnsi" w:hAnsiTheme="majorHAnsi" w:cstheme="majorHAnsi"/>
        </w:rPr>
        <w:t>у терцијарном сектору). З</w:t>
      </w:r>
      <w:r w:rsidR="000251F0">
        <w:rPr>
          <w:rFonts w:asciiTheme="majorHAnsi" w:hAnsiTheme="majorHAnsi" w:cstheme="majorHAnsi"/>
        </w:rPr>
        <w:t xml:space="preserve">начајан раст </w:t>
      </w:r>
      <w:r w:rsidR="00806726">
        <w:rPr>
          <w:rFonts w:asciiTheme="majorHAnsi" w:hAnsiTheme="majorHAnsi" w:cstheme="majorHAnsi"/>
        </w:rPr>
        <w:t>се</w:t>
      </w:r>
      <w:r w:rsidR="000251F0">
        <w:rPr>
          <w:rFonts w:asciiTheme="majorHAnsi" w:hAnsiTheme="majorHAnsi" w:cstheme="majorHAnsi"/>
        </w:rPr>
        <w:t xml:space="preserve"> очек</w:t>
      </w:r>
      <w:r w:rsidR="00806726">
        <w:rPr>
          <w:rFonts w:asciiTheme="majorHAnsi" w:hAnsiTheme="majorHAnsi" w:cstheme="majorHAnsi"/>
        </w:rPr>
        <w:t>ује</w:t>
      </w:r>
      <w:r w:rsidR="000251F0">
        <w:rPr>
          <w:rFonts w:asciiTheme="majorHAnsi" w:hAnsiTheme="majorHAnsi" w:cstheme="majorHAnsi"/>
        </w:rPr>
        <w:t xml:space="preserve"> од 2035. године </w:t>
      </w:r>
      <w:r w:rsidR="00806726">
        <w:rPr>
          <w:rFonts w:asciiTheme="majorHAnsi" w:hAnsiTheme="majorHAnsi" w:cstheme="majorHAnsi"/>
        </w:rPr>
        <w:t>до</w:t>
      </w:r>
      <w:r w:rsidR="000251F0">
        <w:rPr>
          <w:rFonts w:asciiTheme="majorHAnsi" w:hAnsiTheme="majorHAnsi" w:cstheme="majorHAnsi"/>
        </w:rPr>
        <w:t xml:space="preserve"> 2050</w:t>
      </w:r>
      <w:r w:rsidR="000251F0" w:rsidRPr="000251F0">
        <w:rPr>
          <w:rFonts w:asciiTheme="majorHAnsi" w:hAnsiTheme="majorHAnsi" w:cstheme="majorHAnsi"/>
        </w:rPr>
        <w:t>. годин</w:t>
      </w:r>
      <w:r w:rsidR="00806726">
        <w:rPr>
          <w:rFonts w:asciiTheme="majorHAnsi" w:hAnsiTheme="majorHAnsi" w:cstheme="majorHAnsi"/>
        </w:rPr>
        <w:t>е</w:t>
      </w:r>
      <w:r w:rsidR="000251F0">
        <w:rPr>
          <w:rFonts w:asciiTheme="majorHAnsi" w:hAnsiTheme="majorHAnsi" w:cstheme="majorHAnsi"/>
        </w:rPr>
        <w:t xml:space="preserve"> у свим сценаријима. </w:t>
      </w:r>
      <w:r w:rsidR="00F605AA">
        <w:rPr>
          <w:rFonts w:asciiTheme="majorHAnsi" w:hAnsiTheme="majorHAnsi" w:cstheme="majorHAnsi"/>
        </w:rPr>
        <w:t xml:space="preserve">Топлотне пумпе у </w:t>
      </w:r>
      <w:r w:rsidR="00806726">
        <w:rPr>
          <w:rFonts w:asciiTheme="majorHAnsi" w:hAnsiTheme="majorHAnsi" w:cstheme="majorHAnsi"/>
        </w:rPr>
        <w:t>стамбеном сектору</w:t>
      </w:r>
      <w:r w:rsidR="00F605AA">
        <w:rPr>
          <w:rFonts w:asciiTheme="majorHAnsi" w:hAnsiTheme="majorHAnsi" w:cstheme="majorHAnsi"/>
        </w:rPr>
        <w:t xml:space="preserve"> ће забележити раст са 4,34 </w:t>
      </w:r>
      <w:r w:rsidR="00F605AA">
        <w:rPr>
          <w:rFonts w:asciiTheme="majorHAnsi" w:hAnsiTheme="majorHAnsi" w:cstheme="majorHAnsi"/>
          <w:lang w:val="en-US"/>
        </w:rPr>
        <w:t xml:space="preserve">GWth </w:t>
      </w:r>
      <w:r w:rsidR="00F605AA">
        <w:rPr>
          <w:rFonts w:asciiTheme="majorHAnsi" w:hAnsiTheme="majorHAnsi" w:cstheme="majorHAnsi"/>
        </w:rPr>
        <w:t xml:space="preserve">у 2035. години у сценаријима </w:t>
      </w:r>
      <w:r w:rsidR="00F605AA" w:rsidRPr="00565B02">
        <w:rPr>
          <w:rFonts w:asciiTheme="majorHAnsi" w:hAnsiTheme="majorHAnsi" w:cstheme="majorHAnsi"/>
          <w:i/>
          <w:iCs/>
          <w:lang w:val="en-US"/>
        </w:rPr>
        <w:t>S</w:t>
      </w:r>
      <w:r w:rsidR="00F605AA">
        <w:rPr>
          <w:rFonts w:asciiTheme="majorHAnsi" w:hAnsiTheme="majorHAnsi" w:cstheme="majorHAnsi"/>
          <w:lang w:val="en-US"/>
        </w:rPr>
        <w:t xml:space="preserve"> </w:t>
      </w:r>
      <w:r w:rsidR="00F605AA">
        <w:rPr>
          <w:rFonts w:asciiTheme="majorHAnsi" w:hAnsiTheme="majorHAnsi" w:cstheme="majorHAnsi"/>
        </w:rPr>
        <w:t xml:space="preserve">и </w:t>
      </w:r>
      <w:r w:rsidR="00F605AA" w:rsidRPr="00565B02">
        <w:rPr>
          <w:rFonts w:asciiTheme="majorHAnsi" w:hAnsiTheme="majorHAnsi" w:cstheme="majorHAnsi"/>
          <w:i/>
          <w:iCs/>
          <w:lang w:val="en-US"/>
        </w:rPr>
        <w:t>S-N</w:t>
      </w:r>
      <w:r w:rsidR="00F605AA">
        <w:rPr>
          <w:rFonts w:asciiTheme="majorHAnsi" w:hAnsiTheme="majorHAnsi" w:cstheme="majorHAnsi"/>
          <w:lang w:val="en-US"/>
        </w:rPr>
        <w:t xml:space="preserve"> </w:t>
      </w:r>
      <w:r w:rsidR="003D3670">
        <w:rPr>
          <w:rFonts w:asciiTheme="majorHAnsi" w:hAnsiTheme="majorHAnsi" w:cstheme="majorHAnsi"/>
        </w:rPr>
        <w:t xml:space="preserve">на 24,88 </w:t>
      </w:r>
      <w:r w:rsidR="003D3670">
        <w:rPr>
          <w:rFonts w:asciiTheme="majorHAnsi" w:hAnsiTheme="majorHAnsi" w:cstheme="majorHAnsi"/>
          <w:lang w:val="en-US"/>
        </w:rPr>
        <w:t xml:space="preserve">GWth </w:t>
      </w:r>
      <w:r w:rsidR="003D3670">
        <w:rPr>
          <w:rFonts w:asciiTheme="majorHAnsi" w:hAnsiTheme="majorHAnsi" w:cstheme="majorHAnsi"/>
        </w:rPr>
        <w:t xml:space="preserve">у сценарију </w:t>
      </w:r>
      <w:r w:rsidR="003D3670" w:rsidRPr="00565B02">
        <w:rPr>
          <w:rFonts w:asciiTheme="majorHAnsi" w:hAnsiTheme="majorHAnsi" w:cstheme="majorHAnsi"/>
          <w:i/>
          <w:iCs/>
          <w:lang w:val="en-US"/>
        </w:rPr>
        <w:t>S</w:t>
      </w:r>
      <w:r w:rsidR="003D3670">
        <w:rPr>
          <w:rFonts w:asciiTheme="majorHAnsi" w:hAnsiTheme="majorHAnsi" w:cstheme="majorHAnsi"/>
          <w:lang w:val="en-US"/>
        </w:rPr>
        <w:t xml:space="preserve"> </w:t>
      </w:r>
      <w:r w:rsidR="003D3670">
        <w:rPr>
          <w:rFonts w:asciiTheme="majorHAnsi" w:hAnsiTheme="majorHAnsi" w:cstheme="majorHAnsi"/>
        </w:rPr>
        <w:t xml:space="preserve">и 25,16 </w:t>
      </w:r>
      <w:r w:rsidR="003D3670">
        <w:rPr>
          <w:rFonts w:asciiTheme="majorHAnsi" w:hAnsiTheme="majorHAnsi" w:cstheme="majorHAnsi"/>
          <w:lang w:val="en-US"/>
        </w:rPr>
        <w:t xml:space="preserve">GWth </w:t>
      </w:r>
      <w:r w:rsidR="003D3670">
        <w:rPr>
          <w:rFonts w:asciiTheme="majorHAnsi" w:hAnsiTheme="majorHAnsi" w:cstheme="majorHAnsi"/>
        </w:rPr>
        <w:t xml:space="preserve">у сценарију </w:t>
      </w:r>
      <w:r w:rsidR="003D3670" w:rsidRPr="00565B02">
        <w:rPr>
          <w:rFonts w:asciiTheme="majorHAnsi" w:hAnsiTheme="majorHAnsi" w:cstheme="majorHAnsi"/>
          <w:i/>
          <w:iCs/>
          <w:lang w:val="en-US"/>
        </w:rPr>
        <w:t>S-N</w:t>
      </w:r>
      <w:r w:rsidR="003D3670">
        <w:rPr>
          <w:rFonts w:asciiTheme="majorHAnsi" w:hAnsiTheme="majorHAnsi" w:cstheme="majorHAnsi"/>
          <w:lang w:val="en-US"/>
        </w:rPr>
        <w:t xml:space="preserve"> </w:t>
      </w:r>
      <w:r w:rsidR="003D3670">
        <w:rPr>
          <w:rFonts w:asciiTheme="majorHAnsi" w:hAnsiTheme="majorHAnsi" w:cstheme="majorHAnsi"/>
        </w:rPr>
        <w:t xml:space="preserve">у 2050. години. </w:t>
      </w:r>
      <w:r w:rsidR="00A07E1F">
        <w:rPr>
          <w:rFonts w:asciiTheme="majorHAnsi" w:hAnsiTheme="majorHAnsi" w:cstheme="majorHAnsi"/>
        </w:rPr>
        <w:t xml:space="preserve">, са око </w:t>
      </w:r>
      <w:r w:rsidR="00A07E1F" w:rsidRPr="00A07E1F">
        <w:rPr>
          <w:rFonts w:asciiTheme="majorHAnsi" w:hAnsiTheme="majorHAnsi" w:cstheme="majorHAnsi"/>
        </w:rPr>
        <w:t>1</w:t>
      </w:r>
      <w:r w:rsidR="00A07E1F">
        <w:rPr>
          <w:rFonts w:asciiTheme="majorHAnsi" w:hAnsiTheme="majorHAnsi" w:cstheme="majorHAnsi"/>
        </w:rPr>
        <w:t>,</w:t>
      </w:r>
      <w:r w:rsidR="00A07E1F" w:rsidRPr="00A07E1F">
        <w:rPr>
          <w:rFonts w:asciiTheme="majorHAnsi" w:hAnsiTheme="majorHAnsi" w:cstheme="majorHAnsi"/>
        </w:rPr>
        <w:t xml:space="preserve">47 GWth </w:t>
      </w:r>
      <w:r w:rsidR="00A07E1F">
        <w:rPr>
          <w:rFonts w:asciiTheme="majorHAnsi" w:hAnsiTheme="majorHAnsi" w:cstheme="majorHAnsi"/>
        </w:rPr>
        <w:t>у</w:t>
      </w:r>
      <w:r w:rsidR="00A07E1F" w:rsidRPr="00A07E1F">
        <w:rPr>
          <w:rFonts w:asciiTheme="majorHAnsi" w:hAnsiTheme="majorHAnsi" w:cstheme="majorHAnsi"/>
        </w:rPr>
        <w:t xml:space="preserve"> 2035</w:t>
      </w:r>
      <w:r w:rsidR="00A07E1F">
        <w:rPr>
          <w:rFonts w:asciiTheme="majorHAnsi" w:hAnsiTheme="majorHAnsi" w:cstheme="majorHAnsi"/>
        </w:rPr>
        <w:t>. години</w:t>
      </w:r>
      <w:r w:rsidR="00A07E1F" w:rsidRPr="00A07E1F">
        <w:rPr>
          <w:rFonts w:asciiTheme="majorHAnsi" w:hAnsiTheme="majorHAnsi" w:cstheme="majorHAnsi"/>
        </w:rPr>
        <w:t xml:space="preserve"> </w:t>
      </w:r>
      <w:r w:rsidR="00A07E1F">
        <w:rPr>
          <w:rFonts w:asciiTheme="majorHAnsi" w:hAnsiTheme="majorHAnsi" w:cstheme="majorHAnsi"/>
        </w:rPr>
        <w:t>у сценаријима</w:t>
      </w:r>
      <w:r w:rsidR="00A07E1F" w:rsidRPr="00A07E1F">
        <w:rPr>
          <w:rFonts w:asciiTheme="majorHAnsi" w:hAnsiTheme="majorHAnsi" w:cstheme="majorHAnsi"/>
        </w:rPr>
        <w:t xml:space="preserve"> </w:t>
      </w:r>
      <w:r w:rsidR="00A07E1F" w:rsidRPr="000A2AFE">
        <w:rPr>
          <w:rFonts w:asciiTheme="majorHAnsi" w:hAnsiTheme="majorHAnsi" w:cstheme="majorHAnsi"/>
          <w:i/>
          <w:iCs/>
        </w:rPr>
        <w:t>S</w:t>
      </w:r>
      <w:r w:rsidR="00A07E1F" w:rsidRPr="00A07E1F">
        <w:rPr>
          <w:rFonts w:asciiTheme="majorHAnsi" w:hAnsiTheme="majorHAnsi" w:cstheme="majorHAnsi"/>
        </w:rPr>
        <w:t xml:space="preserve"> </w:t>
      </w:r>
      <w:r w:rsidR="00A07E1F">
        <w:rPr>
          <w:rFonts w:asciiTheme="majorHAnsi" w:hAnsiTheme="majorHAnsi" w:cstheme="majorHAnsi"/>
        </w:rPr>
        <w:t>и</w:t>
      </w:r>
      <w:r w:rsidR="00A07E1F" w:rsidRPr="00A07E1F">
        <w:rPr>
          <w:rFonts w:asciiTheme="majorHAnsi" w:hAnsiTheme="majorHAnsi" w:cstheme="majorHAnsi"/>
        </w:rPr>
        <w:t xml:space="preserve"> </w:t>
      </w:r>
      <w:r w:rsidR="00A07E1F" w:rsidRPr="000A2AFE">
        <w:rPr>
          <w:rFonts w:asciiTheme="majorHAnsi" w:hAnsiTheme="majorHAnsi" w:cstheme="majorHAnsi"/>
          <w:i/>
          <w:iCs/>
        </w:rPr>
        <w:t>S-N</w:t>
      </w:r>
      <w:r w:rsidR="00A07E1F" w:rsidRPr="00A07E1F">
        <w:rPr>
          <w:rFonts w:asciiTheme="majorHAnsi" w:hAnsiTheme="majorHAnsi" w:cstheme="majorHAnsi"/>
        </w:rPr>
        <w:t xml:space="preserve"> </w:t>
      </w:r>
      <w:r w:rsidR="00A07E1F">
        <w:rPr>
          <w:rFonts w:asciiTheme="majorHAnsi" w:hAnsiTheme="majorHAnsi" w:cstheme="majorHAnsi"/>
        </w:rPr>
        <w:t>на</w:t>
      </w:r>
      <w:r w:rsidR="00A07E1F" w:rsidRPr="00A07E1F">
        <w:rPr>
          <w:rFonts w:asciiTheme="majorHAnsi" w:hAnsiTheme="majorHAnsi" w:cstheme="majorHAnsi"/>
        </w:rPr>
        <w:t xml:space="preserve"> 6</w:t>
      </w:r>
      <w:r w:rsidR="00A07E1F">
        <w:rPr>
          <w:rFonts w:asciiTheme="majorHAnsi" w:hAnsiTheme="majorHAnsi" w:cstheme="majorHAnsi"/>
        </w:rPr>
        <w:t>,</w:t>
      </w:r>
      <w:r w:rsidR="00A07E1F" w:rsidRPr="00A07E1F">
        <w:rPr>
          <w:rFonts w:asciiTheme="majorHAnsi" w:hAnsiTheme="majorHAnsi" w:cstheme="majorHAnsi"/>
        </w:rPr>
        <w:t xml:space="preserve">71 GWth </w:t>
      </w:r>
      <w:r w:rsidR="00A07E1F">
        <w:rPr>
          <w:rFonts w:asciiTheme="majorHAnsi" w:hAnsiTheme="majorHAnsi" w:cstheme="majorHAnsi"/>
        </w:rPr>
        <w:t>у сценарију</w:t>
      </w:r>
      <w:r w:rsidR="00A07E1F" w:rsidRPr="00A07E1F">
        <w:rPr>
          <w:rFonts w:asciiTheme="majorHAnsi" w:hAnsiTheme="majorHAnsi" w:cstheme="majorHAnsi"/>
        </w:rPr>
        <w:t xml:space="preserve"> </w:t>
      </w:r>
      <w:r w:rsidR="00A07E1F" w:rsidRPr="000A2AFE">
        <w:rPr>
          <w:rFonts w:asciiTheme="majorHAnsi" w:hAnsiTheme="majorHAnsi" w:cstheme="majorHAnsi"/>
          <w:i/>
          <w:iCs/>
        </w:rPr>
        <w:t>S</w:t>
      </w:r>
      <w:r w:rsidR="00A07E1F" w:rsidRPr="00A07E1F">
        <w:rPr>
          <w:rFonts w:asciiTheme="majorHAnsi" w:hAnsiTheme="majorHAnsi" w:cstheme="majorHAnsi"/>
        </w:rPr>
        <w:t xml:space="preserve"> </w:t>
      </w:r>
      <w:r w:rsidR="00A07E1F">
        <w:rPr>
          <w:rFonts w:asciiTheme="majorHAnsi" w:hAnsiTheme="majorHAnsi" w:cstheme="majorHAnsi"/>
        </w:rPr>
        <w:t>и</w:t>
      </w:r>
      <w:r w:rsidR="00A07E1F" w:rsidRPr="00A07E1F">
        <w:rPr>
          <w:rFonts w:asciiTheme="majorHAnsi" w:hAnsiTheme="majorHAnsi" w:cstheme="majorHAnsi"/>
        </w:rPr>
        <w:t xml:space="preserve"> 7</w:t>
      </w:r>
      <w:r w:rsidR="00A07E1F">
        <w:rPr>
          <w:rFonts w:asciiTheme="majorHAnsi" w:hAnsiTheme="majorHAnsi" w:cstheme="majorHAnsi"/>
        </w:rPr>
        <w:t>,</w:t>
      </w:r>
      <w:r w:rsidR="00A07E1F" w:rsidRPr="00A07E1F">
        <w:rPr>
          <w:rFonts w:asciiTheme="majorHAnsi" w:hAnsiTheme="majorHAnsi" w:cstheme="majorHAnsi"/>
        </w:rPr>
        <w:t xml:space="preserve">63 GWth </w:t>
      </w:r>
      <w:r w:rsidR="00A07E1F">
        <w:rPr>
          <w:rFonts w:asciiTheme="majorHAnsi" w:hAnsiTheme="majorHAnsi" w:cstheme="majorHAnsi"/>
        </w:rPr>
        <w:t>у сценарију</w:t>
      </w:r>
      <w:r w:rsidR="00A07E1F" w:rsidRPr="00A07E1F">
        <w:rPr>
          <w:rFonts w:asciiTheme="majorHAnsi" w:hAnsiTheme="majorHAnsi" w:cstheme="majorHAnsi"/>
        </w:rPr>
        <w:t xml:space="preserve"> </w:t>
      </w:r>
      <w:r w:rsidR="00A07E1F" w:rsidRPr="000A2AFE">
        <w:rPr>
          <w:rFonts w:asciiTheme="majorHAnsi" w:hAnsiTheme="majorHAnsi" w:cstheme="majorHAnsi"/>
          <w:i/>
          <w:iCs/>
        </w:rPr>
        <w:t>S-N</w:t>
      </w:r>
      <w:r w:rsidR="00A07E1F" w:rsidRPr="00A07E1F">
        <w:rPr>
          <w:rFonts w:asciiTheme="majorHAnsi" w:hAnsiTheme="majorHAnsi" w:cstheme="majorHAnsi"/>
        </w:rPr>
        <w:t xml:space="preserve"> </w:t>
      </w:r>
      <w:r w:rsidR="00A07E1F">
        <w:rPr>
          <w:rFonts w:asciiTheme="majorHAnsi" w:hAnsiTheme="majorHAnsi" w:cstheme="majorHAnsi"/>
        </w:rPr>
        <w:t>у</w:t>
      </w:r>
      <w:r w:rsidR="00A07E1F" w:rsidRPr="00A07E1F">
        <w:rPr>
          <w:rFonts w:asciiTheme="majorHAnsi" w:hAnsiTheme="majorHAnsi" w:cstheme="majorHAnsi"/>
        </w:rPr>
        <w:t xml:space="preserve"> 2050</w:t>
      </w:r>
      <w:r w:rsidR="00A07E1F">
        <w:rPr>
          <w:rFonts w:asciiTheme="majorHAnsi" w:hAnsiTheme="majorHAnsi" w:cstheme="majorHAnsi"/>
        </w:rPr>
        <w:t>. години</w:t>
      </w:r>
      <w:r w:rsidR="00A07E1F" w:rsidRPr="00A07E1F">
        <w:rPr>
          <w:rFonts w:asciiTheme="majorHAnsi" w:hAnsiTheme="majorHAnsi" w:cstheme="majorHAnsi"/>
        </w:rPr>
        <w:t>.</w:t>
      </w:r>
      <w:r w:rsidR="00A07E1F">
        <w:rPr>
          <w:rFonts w:asciiTheme="majorHAnsi" w:hAnsiTheme="majorHAnsi" w:cstheme="majorHAnsi"/>
        </w:rPr>
        <w:t xml:space="preserve"> </w:t>
      </w:r>
      <w:r w:rsidR="00197306">
        <w:rPr>
          <w:rFonts w:asciiTheme="majorHAnsi" w:hAnsiTheme="majorHAnsi" w:cstheme="majorHAnsi"/>
        </w:rPr>
        <w:t>Слично томе, т</w:t>
      </w:r>
      <w:r w:rsidR="00A07E1F">
        <w:rPr>
          <w:rFonts w:asciiTheme="majorHAnsi" w:hAnsiTheme="majorHAnsi" w:cstheme="majorHAnsi"/>
        </w:rPr>
        <w:t xml:space="preserve">оплотне пумпе у терцијарном сектору </w:t>
      </w:r>
      <w:r w:rsidR="00197306">
        <w:rPr>
          <w:rFonts w:asciiTheme="majorHAnsi" w:hAnsiTheme="majorHAnsi" w:cstheme="majorHAnsi"/>
        </w:rPr>
        <w:t>ће забележити раст са 8,42</w:t>
      </w:r>
      <w:r w:rsidR="00A07E1F">
        <w:rPr>
          <w:rFonts w:asciiTheme="majorHAnsi" w:hAnsiTheme="majorHAnsi" w:cstheme="majorHAnsi"/>
        </w:rPr>
        <w:t xml:space="preserve"> </w:t>
      </w:r>
      <w:r w:rsidR="00A07E1F" w:rsidRPr="00A07E1F">
        <w:rPr>
          <w:rFonts w:asciiTheme="majorHAnsi" w:hAnsiTheme="majorHAnsi" w:cstheme="majorHAnsi"/>
        </w:rPr>
        <w:t>GWth</w:t>
      </w:r>
      <w:r w:rsidR="00A07E1F">
        <w:rPr>
          <w:rFonts w:asciiTheme="majorHAnsi" w:hAnsiTheme="majorHAnsi" w:cstheme="majorHAnsi"/>
        </w:rPr>
        <w:t xml:space="preserve"> у 20</w:t>
      </w:r>
      <w:r w:rsidR="00197306">
        <w:rPr>
          <w:rFonts w:asciiTheme="majorHAnsi" w:hAnsiTheme="majorHAnsi" w:cstheme="majorHAnsi"/>
        </w:rPr>
        <w:t>35</w:t>
      </w:r>
      <w:r w:rsidR="00A07E1F">
        <w:rPr>
          <w:rFonts w:asciiTheme="majorHAnsi" w:hAnsiTheme="majorHAnsi" w:cstheme="majorHAnsi"/>
        </w:rPr>
        <w:t>. години у сценариј</w:t>
      </w:r>
      <w:r w:rsidR="00197306">
        <w:rPr>
          <w:rFonts w:asciiTheme="majorHAnsi" w:hAnsiTheme="majorHAnsi" w:cstheme="majorHAnsi"/>
        </w:rPr>
        <w:t xml:space="preserve">има </w:t>
      </w:r>
      <w:r w:rsidR="00197306" w:rsidRPr="00565B02">
        <w:rPr>
          <w:rFonts w:asciiTheme="majorHAnsi" w:hAnsiTheme="majorHAnsi" w:cstheme="majorHAnsi"/>
          <w:i/>
          <w:iCs/>
          <w:lang w:val="en-US"/>
        </w:rPr>
        <w:t>S</w:t>
      </w:r>
      <w:r w:rsidR="00197306">
        <w:rPr>
          <w:rFonts w:asciiTheme="majorHAnsi" w:hAnsiTheme="majorHAnsi" w:cstheme="majorHAnsi"/>
          <w:lang w:val="en-US"/>
        </w:rPr>
        <w:t xml:space="preserve"> </w:t>
      </w:r>
      <w:r w:rsidR="00197306">
        <w:rPr>
          <w:rFonts w:asciiTheme="majorHAnsi" w:hAnsiTheme="majorHAnsi" w:cstheme="majorHAnsi"/>
        </w:rPr>
        <w:t xml:space="preserve">и </w:t>
      </w:r>
      <w:r w:rsidR="00197306" w:rsidRPr="00565B02">
        <w:rPr>
          <w:rFonts w:asciiTheme="majorHAnsi" w:hAnsiTheme="majorHAnsi" w:cstheme="majorHAnsi"/>
          <w:i/>
          <w:iCs/>
          <w:lang w:val="en-US"/>
        </w:rPr>
        <w:t>S-N</w:t>
      </w:r>
      <w:r w:rsidR="00A07E1F">
        <w:rPr>
          <w:rFonts w:asciiTheme="majorHAnsi" w:hAnsiTheme="majorHAnsi" w:cstheme="majorHAnsi"/>
        </w:rPr>
        <w:t xml:space="preserve"> на </w:t>
      </w:r>
      <w:r w:rsidR="00197306">
        <w:rPr>
          <w:rFonts w:asciiTheme="majorHAnsi" w:hAnsiTheme="majorHAnsi" w:cstheme="majorHAnsi"/>
        </w:rPr>
        <w:t>31,62</w:t>
      </w:r>
      <w:r w:rsidR="00A07E1F">
        <w:rPr>
          <w:rFonts w:asciiTheme="majorHAnsi" w:hAnsiTheme="majorHAnsi" w:cstheme="majorHAnsi"/>
        </w:rPr>
        <w:t xml:space="preserve"> </w:t>
      </w:r>
      <w:r w:rsidR="00A07E1F" w:rsidRPr="00A07E1F">
        <w:rPr>
          <w:rFonts w:asciiTheme="majorHAnsi" w:hAnsiTheme="majorHAnsi" w:cstheme="majorHAnsi"/>
        </w:rPr>
        <w:t>GWth</w:t>
      </w:r>
      <w:r w:rsidR="00A07E1F">
        <w:rPr>
          <w:rFonts w:asciiTheme="majorHAnsi" w:hAnsiTheme="majorHAnsi" w:cstheme="majorHAnsi"/>
        </w:rPr>
        <w:t xml:space="preserve"> у </w:t>
      </w:r>
      <w:r w:rsidR="00130D98">
        <w:rPr>
          <w:rFonts w:asciiTheme="majorHAnsi" w:hAnsiTheme="majorHAnsi" w:cstheme="majorHAnsi"/>
        </w:rPr>
        <w:t xml:space="preserve">сценарију </w:t>
      </w:r>
      <w:r w:rsidR="00130D98">
        <w:rPr>
          <w:rFonts w:asciiTheme="majorHAnsi" w:hAnsiTheme="majorHAnsi" w:cstheme="majorHAnsi"/>
          <w:lang w:val="en-US"/>
        </w:rPr>
        <w:t xml:space="preserve">S </w:t>
      </w:r>
      <w:r w:rsidR="00130D98">
        <w:rPr>
          <w:rFonts w:asciiTheme="majorHAnsi" w:hAnsiTheme="majorHAnsi" w:cstheme="majorHAnsi"/>
        </w:rPr>
        <w:t xml:space="preserve">и на 31,51 </w:t>
      </w:r>
      <w:r w:rsidR="00130D98">
        <w:rPr>
          <w:rFonts w:asciiTheme="majorHAnsi" w:hAnsiTheme="majorHAnsi" w:cstheme="majorHAnsi"/>
          <w:lang w:val="en-US"/>
        </w:rPr>
        <w:t xml:space="preserve">GWth </w:t>
      </w:r>
      <w:r w:rsidR="00130D98">
        <w:rPr>
          <w:rFonts w:asciiTheme="majorHAnsi" w:hAnsiTheme="majorHAnsi" w:cstheme="majorHAnsi"/>
        </w:rPr>
        <w:t xml:space="preserve">у сценарију </w:t>
      </w:r>
      <w:r w:rsidR="00130D98">
        <w:rPr>
          <w:rFonts w:asciiTheme="majorHAnsi" w:hAnsiTheme="majorHAnsi" w:cstheme="majorHAnsi"/>
          <w:lang w:val="en-US"/>
        </w:rPr>
        <w:t xml:space="preserve">S-N </w:t>
      </w:r>
      <w:r w:rsidR="00130D98">
        <w:rPr>
          <w:rFonts w:asciiTheme="majorHAnsi" w:hAnsiTheme="majorHAnsi" w:cstheme="majorHAnsi"/>
        </w:rPr>
        <w:t xml:space="preserve">у </w:t>
      </w:r>
      <w:r w:rsidR="00A07E1F">
        <w:rPr>
          <w:rFonts w:asciiTheme="majorHAnsi" w:hAnsiTheme="majorHAnsi" w:cstheme="majorHAnsi"/>
        </w:rPr>
        <w:t>20</w:t>
      </w:r>
      <w:r w:rsidR="00130D98">
        <w:rPr>
          <w:rFonts w:asciiTheme="majorHAnsi" w:hAnsiTheme="majorHAnsi" w:cstheme="majorHAnsi"/>
        </w:rPr>
        <w:t>0</w:t>
      </w:r>
      <w:r w:rsidR="00A07E1F">
        <w:rPr>
          <w:rFonts w:asciiTheme="majorHAnsi" w:hAnsiTheme="majorHAnsi" w:cstheme="majorHAnsi"/>
        </w:rPr>
        <w:t>5. години</w:t>
      </w:r>
      <w:r w:rsidR="00130D98">
        <w:rPr>
          <w:rFonts w:asciiTheme="majorHAnsi" w:hAnsiTheme="majorHAnsi" w:cstheme="majorHAnsi"/>
        </w:rPr>
        <w:t>.</w:t>
      </w:r>
      <w:bookmarkStart w:id="416" w:name="_Hlk153353905"/>
      <w:r w:rsidR="000B16ED">
        <w:rPr>
          <w:rFonts w:asciiTheme="majorHAnsi" w:hAnsiTheme="majorHAnsi" w:cstheme="majorHAnsi"/>
        </w:rPr>
        <w:t xml:space="preserve"> Како се може видети са следећих слика, које показују годишњи додатно инсталисани капацитет до 2030. године и петогодишњи након 2030. године, очекује се да ће додатни капацитет бити значајно увећан након 2040. године, </w:t>
      </w:r>
      <w:r w:rsidR="00900669" w:rsidRPr="00900669">
        <w:rPr>
          <w:rFonts w:asciiTheme="majorHAnsi" w:hAnsiTheme="majorHAnsi" w:cstheme="majorHAnsi"/>
        </w:rPr>
        <w:t>и то углавном како се приближава</w:t>
      </w:r>
      <w:r w:rsidR="00900669">
        <w:rPr>
          <w:rFonts w:asciiTheme="majorHAnsi" w:hAnsiTheme="majorHAnsi" w:cstheme="majorHAnsi"/>
        </w:rPr>
        <w:t>мо</w:t>
      </w:r>
      <w:r w:rsidR="000B16ED">
        <w:rPr>
          <w:rFonts w:asciiTheme="majorHAnsi" w:hAnsiTheme="majorHAnsi" w:cstheme="majorHAnsi"/>
        </w:rPr>
        <w:t xml:space="preserve"> 2050. години.</w:t>
      </w:r>
      <w:bookmarkEnd w:id="416"/>
    </w:p>
    <w:p w14:paraId="4402D062" w14:textId="7CB1B790" w:rsidR="0008747B" w:rsidRDefault="0008747B" w:rsidP="00565B02">
      <w:pPr>
        <w:pStyle w:val="Caption"/>
        <w:keepNext/>
      </w:pPr>
      <w:bookmarkStart w:id="417" w:name="_Toc153901443"/>
      <w:r>
        <w:lastRenderedPageBreak/>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31</w:t>
      </w:r>
      <w:r w:rsidR="00F35B2C">
        <w:fldChar w:fldCharType="end"/>
      </w:r>
      <w:r>
        <w:t xml:space="preserve">: </w:t>
      </w:r>
      <w:r w:rsidRPr="0008747B">
        <w:t>Годишњи додатно инсталисани капацитет топлотних пумпи по сектору, технологији и сценарију до 2030. године и додатни капацитет за периоде од пет година након 2030. године</w:t>
      </w:r>
      <w:bookmarkEnd w:id="417"/>
    </w:p>
    <w:p w14:paraId="2121EF52" w14:textId="6EA6B98B" w:rsidR="00130D98" w:rsidRDefault="00130D98" w:rsidP="006B18F4">
      <w:pPr>
        <w:spacing w:after="200" w:line="240" w:lineRule="auto"/>
        <w:rPr>
          <w:rFonts w:ascii="Calibri Light" w:hAnsi="Calibri Light" w:cs="Times New Roman"/>
          <w:b/>
          <w:bCs/>
          <w:color w:val="01406B"/>
        </w:rPr>
      </w:pPr>
      <w:r>
        <w:rPr>
          <w:rFonts w:ascii="Calibri Light" w:hAnsi="Calibri Light" w:cs="Times New Roman"/>
          <w:b/>
          <w:bCs/>
          <w:noProof/>
          <w:color w:val="01406B"/>
        </w:rPr>
        <w:drawing>
          <wp:inline distT="0" distB="0" distL="0" distR="0" wp14:anchorId="7DDF2804" wp14:editId="3AC63143">
            <wp:extent cx="6146800" cy="3320127"/>
            <wp:effectExtent l="0" t="0" r="6350" b="0"/>
            <wp:docPr id="169126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170087" cy="3332705"/>
                    </a:xfrm>
                    <a:prstGeom prst="rect">
                      <a:avLst/>
                    </a:prstGeom>
                    <a:noFill/>
                  </pic:spPr>
                </pic:pic>
              </a:graphicData>
            </a:graphic>
          </wp:inline>
        </w:drawing>
      </w:r>
    </w:p>
    <w:p w14:paraId="5794A132" w14:textId="6438C90E" w:rsidR="0008747B" w:rsidRDefault="0008747B" w:rsidP="00565B02">
      <w:pPr>
        <w:pStyle w:val="Caption"/>
        <w:keepNext/>
      </w:pPr>
      <w:bookmarkStart w:id="418" w:name="_Toc153901444"/>
      <w:r>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32</w:t>
      </w:r>
      <w:r w:rsidR="00F35B2C">
        <w:fldChar w:fldCharType="end"/>
      </w:r>
      <w:r>
        <w:t xml:space="preserve">: </w:t>
      </w:r>
      <w:r w:rsidRPr="0008747B">
        <w:t>Годишњи додатно инсталисани капацитет топлотних пумпи по сектору, технологији и сценарију (са разликом у односу на WEM) до 2030. године и додатни капацитет за периоде од пет година након 2030. године</w:t>
      </w:r>
      <w:bookmarkEnd w:id="418"/>
    </w:p>
    <w:p w14:paraId="518303B8" w14:textId="2EBF3127" w:rsidR="00130D98" w:rsidRPr="000A2AFE" w:rsidRDefault="00B31248" w:rsidP="00565B02">
      <w:pPr>
        <w:jc w:val="center"/>
        <w:rPr>
          <w:lang w:val="sr-Latn-RS"/>
        </w:rPr>
      </w:pPr>
      <w:r>
        <w:rPr>
          <w:noProof/>
          <w:lang w:val="sr-Latn-RS"/>
        </w:rPr>
        <w:drawing>
          <wp:inline distT="0" distB="0" distL="0" distR="0" wp14:anchorId="19F490FF" wp14:editId="537A42BC">
            <wp:extent cx="5991225" cy="3930146"/>
            <wp:effectExtent l="0" t="0" r="0" b="0"/>
            <wp:docPr id="11370912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003756" cy="3938366"/>
                    </a:xfrm>
                    <a:prstGeom prst="rect">
                      <a:avLst/>
                    </a:prstGeom>
                    <a:noFill/>
                  </pic:spPr>
                </pic:pic>
              </a:graphicData>
            </a:graphic>
          </wp:inline>
        </w:drawing>
      </w:r>
    </w:p>
    <w:p w14:paraId="4498E652" w14:textId="77CD5F3C" w:rsidR="00A244F6" w:rsidRDefault="00A244F6" w:rsidP="00A244F6">
      <w:pPr>
        <w:suppressAutoHyphens/>
        <w:jc w:val="both"/>
        <w:rPr>
          <w:rFonts w:asciiTheme="majorHAnsi" w:hAnsiTheme="majorHAnsi" w:cstheme="majorHAnsi"/>
        </w:rPr>
      </w:pPr>
      <w:r w:rsidRPr="00FF386D">
        <w:rPr>
          <w:rFonts w:asciiTheme="majorHAnsi" w:hAnsiTheme="majorHAnsi" w:cstheme="majorHAnsi"/>
        </w:rPr>
        <w:t xml:space="preserve">Укупан број електричних возила </w:t>
      </w:r>
      <w:r w:rsidR="00183EC4" w:rsidRPr="00FF386D">
        <w:rPr>
          <w:rFonts w:asciiTheme="majorHAnsi" w:hAnsiTheme="majorHAnsi" w:cstheme="majorHAnsi"/>
        </w:rPr>
        <w:t>је</w:t>
      </w:r>
      <w:r w:rsidRPr="00FF386D">
        <w:rPr>
          <w:rFonts w:asciiTheme="majorHAnsi" w:hAnsiTheme="majorHAnsi" w:cstheme="majorHAnsi"/>
        </w:rPr>
        <w:t xml:space="preserve"> </w:t>
      </w:r>
      <w:r w:rsidR="00D17964" w:rsidRPr="00FF386D">
        <w:rPr>
          <w:rFonts w:asciiTheme="majorHAnsi" w:hAnsiTheme="majorHAnsi" w:cstheme="majorHAnsi"/>
        </w:rPr>
        <w:t>45</w:t>
      </w:r>
      <w:r w:rsidRPr="00FF386D">
        <w:rPr>
          <w:rFonts w:asciiTheme="majorHAnsi" w:hAnsiTheme="majorHAnsi" w:cstheme="majorHAnsi"/>
        </w:rPr>
        <w:t xml:space="preserve"> хиљада </w:t>
      </w:r>
      <w:r w:rsidR="00183EC4" w:rsidRPr="00FF386D">
        <w:rPr>
          <w:rFonts w:asciiTheme="majorHAnsi" w:hAnsiTheme="majorHAnsi" w:cstheme="majorHAnsi"/>
        </w:rPr>
        <w:t xml:space="preserve">у </w:t>
      </w:r>
      <w:r w:rsidRPr="00FF386D">
        <w:rPr>
          <w:rFonts w:asciiTheme="majorHAnsi" w:hAnsiTheme="majorHAnsi" w:cstheme="majorHAnsi"/>
        </w:rPr>
        <w:t xml:space="preserve">2030, </w:t>
      </w:r>
      <w:r w:rsidR="00D17964" w:rsidRPr="00FF386D">
        <w:rPr>
          <w:rFonts w:asciiTheme="majorHAnsi" w:hAnsiTheme="majorHAnsi" w:cstheme="majorHAnsi"/>
        </w:rPr>
        <w:t>507</w:t>
      </w:r>
      <w:r w:rsidRPr="00FF386D">
        <w:rPr>
          <w:rFonts w:asciiTheme="majorHAnsi" w:hAnsiTheme="majorHAnsi" w:cstheme="majorHAnsi"/>
        </w:rPr>
        <w:t xml:space="preserve"> хиљада </w:t>
      </w:r>
      <w:r w:rsidR="00183EC4" w:rsidRPr="00FF386D">
        <w:rPr>
          <w:rFonts w:asciiTheme="majorHAnsi" w:hAnsiTheme="majorHAnsi" w:cstheme="majorHAnsi"/>
        </w:rPr>
        <w:t>у</w:t>
      </w:r>
      <w:r w:rsidRPr="00FF386D">
        <w:rPr>
          <w:rFonts w:asciiTheme="majorHAnsi" w:hAnsiTheme="majorHAnsi" w:cstheme="majorHAnsi"/>
        </w:rPr>
        <w:t xml:space="preserve"> 2040. и </w:t>
      </w:r>
      <w:r w:rsidR="00D17964" w:rsidRPr="00FF386D">
        <w:rPr>
          <w:rFonts w:asciiTheme="majorHAnsi" w:hAnsiTheme="majorHAnsi" w:cstheme="majorHAnsi"/>
        </w:rPr>
        <w:t>2000</w:t>
      </w:r>
      <w:r w:rsidRPr="00FF386D">
        <w:rPr>
          <w:rFonts w:asciiTheme="majorHAnsi" w:hAnsiTheme="majorHAnsi" w:cstheme="majorHAnsi"/>
        </w:rPr>
        <w:t xml:space="preserve"> хиљад</w:t>
      </w:r>
      <w:r w:rsidR="00D17964" w:rsidRPr="00FF386D">
        <w:rPr>
          <w:rFonts w:asciiTheme="majorHAnsi" w:hAnsiTheme="majorHAnsi" w:cstheme="majorHAnsi"/>
        </w:rPr>
        <w:t>е</w:t>
      </w:r>
      <w:r w:rsidRPr="00FF386D">
        <w:rPr>
          <w:rFonts w:asciiTheme="majorHAnsi" w:hAnsiTheme="majorHAnsi" w:cstheme="majorHAnsi"/>
        </w:rPr>
        <w:t xml:space="preserve"> </w:t>
      </w:r>
      <w:r w:rsidR="00183EC4" w:rsidRPr="00FF386D">
        <w:rPr>
          <w:rFonts w:asciiTheme="majorHAnsi" w:hAnsiTheme="majorHAnsi" w:cstheme="majorHAnsi"/>
        </w:rPr>
        <w:t>у</w:t>
      </w:r>
      <w:r w:rsidRPr="00FF386D">
        <w:rPr>
          <w:rFonts w:asciiTheme="majorHAnsi" w:hAnsiTheme="majorHAnsi" w:cstheme="majorHAnsi"/>
        </w:rPr>
        <w:t xml:space="preserve"> 2050</w:t>
      </w:r>
      <w:r w:rsidR="00183EC4" w:rsidRPr="00FF386D">
        <w:rPr>
          <w:rFonts w:asciiTheme="majorHAnsi" w:hAnsiTheme="majorHAnsi" w:cstheme="majorHAnsi"/>
        </w:rPr>
        <w:t>. години</w:t>
      </w:r>
      <w:r w:rsidRPr="00FF386D">
        <w:rPr>
          <w:rFonts w:asciiTheme="majorHAnsi" w:hAnsiTheme="majorHAnsi" w:cstheme="majorHAnsi"/>
        </w:rPr>
        <w:t xml:space="preserve"> за оба сценарија </w:t>
      </w:r>
      <w:r w:rsidRPr="00FF386D">
        <w:rPr>
          <w:rFonts w:asciiTheme="majorHAnsi" w:hAnsiTheme="majorHAnsi" w:cstheme="majorHAnsi"/>
          <w:i/>
        </w:rPr>
        <w:t>S</w:t>
      </w:r>
      <w:r w:rsidRPr="00FF386D">
        <w:rPr>
          <w:rFonts w:asciiTheme="majorHAnsi" w:hAnsiTheme="majorHAnsi" w:cstheme="majorHAnsi"/>
        </w:rPr>
        <w:t xml:space="preserve"> и </w:t>
      </w:r>
      <w:r w:rsidRPr="00FF386D">
        <w:rPr>
          <w:rFonts w:asciiTheme="majorHAnsi" w:hAnsiTheme="majorHAnsi" w:cstheme="majorHAnsi"/>
          <w:i/>
        </w:rPr>
        <w:t>S-N</w:t>
      </w:r>
      <w:r w:rsidRPr="00FF386D">
        <w:rPr>
          <w:rFonts w:asciiTheme="majorHAnsi" w:hAnsiTheme="majorHAnsi" w:cstheme="majorHAnsi"/>
        </w:rPr>
        <w:t xml:space="preserve">, указујући на утицај усмерених политика и мера за промовисање електро </w:t>
      </w:r>
      <w:r w:rsidRPr="00FF386D">
        <w:rPr>
          <w:rFonts w:asciiTheme="majorHAnsi" w:hAnsiTheme="majorHAnsi" w:cstheme="majorHAnsi"/>
        </w:rPr>
        <w:lastRenderedPageBreak/>
        <w:t>мобилности (</w:t>
      </w:r>
      <w:r w:rsidR="00427196">
        <w:rPr>
          <w:rFonts w:asciiTheme="majorHAnsi" w:hAnsiTheme="majorHAnsi" w:cstheme="majorHAnsi"/>
        </w:rPr>
        <w:fldChar w:fldCharType="begin"/>
      </w:r>
      <w:r w:rsidR="00427196">
        <w:rPr>
          <w:rFonts w:asciiTheme="majorHAnsi" w:hAnsiTheme="majorHAnsi" w:cstheme="majorHAnsi"/>
        </w:rPr>
        <w:instrText xml:space="preserve"> REF _Ref153892916 \h  \* MERGEFORMAT </w:instrText>
      </w:r>
      <w:r w:rsidR="00427196">
        <w:rPr>
          <w:rFonts w:asciiTheme="majorHAnsi" w:hAnsiTheme="majorHAnsi" w:cstheme="majorHAnsi"/>
        </w:rPr>
      </w:r>
      <w:r w:rsidR="00427196">
        <w:rPr>
          <w:rFonts w:asciiTheme="majorHAnsi" w:hAnsiTheme="majorHAnsi" w:cstheme="majorHAnsi"/>
        </w:rPr>
        <w:fldChar w:fldCharType="separate"/>
      </w:r>
      <w:r w:rsidR="00427196" w:rsidRPr="00565B02">
        <w:rPr>
          <w:rFonts w:asciiTheme="majorHAnsi" w:hAnsiTheme="majorHAnsi" w:cstheme="majorHAnsi"/>
        </w:rPr>
        <w:t>Слика 5.33</w:t>
      </w:r>
      <w:r w:rsidR="00427196">
        <w:rPr>
          <w:rFonts w:asciiTheme="majorHAnsi" w:hAnsiTheme="majorHAnsi" w:cstheme="majorHAnsi"/>
        </w:rPr>
        <w:fldChar w:fldCharType="end"/>
      </w:r>
      <w:r w:rsidRPr="00565B02">
        <w:rPr>
          <w:rFonts w:asciiTheme="majorHAnsi" w:hAnsiTheme="majorHAnsi" w:cstheme="majorHAnsi"/>
        </w:rPr>
        <w:t>).</w:t>
      </w:r>
      <w:r w:rsidRPr="00FF386D">
        <w:rPr>
          <w:rFonts w:asciiTheme="majorHAnsi" w:hAnsiTheme="majorHAnsi" w:cstheme="majorHAnsi"/>
        </w:rPr>
        <w:t xml:space="preserve"> Озбиљно увођење електричних возила се предвиђа од 2030. године до 2050. године у оба сценарија – и </w:t>
      </w:r>
      <w:r w:rsidRPr="00FF386D">
        <w:rPr>
          <w:rFonts w:asciiTheme="majorHAnsi" w:hAnsiTheme="majorHAnsi" w:cstheme="majorHAnsi"/>
          <w:i/>
        </w:rPr>
        <w:t>S</w:t>
      </w:r>
      <w:r w:rsidRPr="00FF386D">
        <w:rPr>
          <w:rFonts w:asciiTheme="majorHAnsi" w:hAnsiTheme="majorHAnsi" w:cstheme="majorHAnsi"/>
        </w:rPr>
        <w:t xml:space="preserve"> и </w:t>
      </w:r>
      <w:r w:rsidRPr="00FF386D">
        <w:rPr>
          <w:rFonts w:asciiTheme="majorHAnsi" w:hAnsiTheme="majorHAnsi" w:cstheme="majorHAnsi"/>
          <w:i/>
        </w:rPr>
        <w:t>S-N</w:t>
      </w:r>
      <w:r w:rsidRPr="00FF386D">
        <w:rPr>
          <w:rFonts w:asciiTheme="majorHAnsi" w:hAnsiTheme="majorHAnsi" w:cstheme="majorHAnsi"/>
        </w:rPr>
        <w:t xml:space="preserve">, у поређењу са не тако значајним увођењем у </w:t>
      </w:r>
      <w:r w:rsidRPr="00FF386D">
        <w:rPr>
          <w:rFonts w:asciiTheme="majorHAnsi" w:hAnsiTheme="majorHAnsi" w:cstheme="majorHAnsi"/>
          <w:i/>
        </w:rPr>
        <w:t>WEM</w:t>
      </w:r>
      <w:r w:rsidRPr="00FF386D">
        <w:rPr>
          <w:rFonts w:asciiTheme="majorHAnsi" w:hAnsiTheme="majorHAnsi" w:cstheme="majorHAnsi"/>
        </w:rPr>
        <w:t xml:space="preserve"> сценарију.</w:t>
      </w:r>
    </w:p>
    <w:p w14:paraId="5EF111D8" w14:textId="6B3CC6A9" w:rsidR="00427196" w:rsidRDefault="00427196" w:rsidP="00565B02">
      <w:pPr>
        <w:pStyle w:val="Caption"/>
        <w:keepNext/>
      </w:pPr>
      <w:bookmarkStart w:id="419" w:name="_Ref153892916"/>
      <w:bookmarkStart w:id="420" w:name="_Toc153901445"/>
      <w:r>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33</w:t>
      </w:r>
      <w:r w:rsidR="00F35B2C">
        <w:fldChar w:fldCharType="end"/>
      </w:r>
      <w:bookmarkEnd w:id="419"/>
      <w:r>
        <w:t xml:space="preserve">: </w:t>
      </w:r>
      <w:r w:rsidRPr="00427196">
        <w:t>Број електричних возила</w:t>
      </w:r>
      <w:bookmarkEnd w:id="420"/>
    </w:p>
    <w:p w14:paraId="068157CB" w14:textId="31E52DCC" w:rsidR="0083668D" w:rsidRPr="00FF386D" w:rsidRDefault="00427196" w:rsidP="00A244F6">
      <w:pPr>
        <w:suppressAutoHyphens/>
        <w:jc w:val="center"/>
        <w:rPr>
          <w:b/>
          <w:bCs/>
          <w:iCs/>
        </w:rPr>
      </w:pPr>
      <w:r>
        <w:rPr>
          <w:noProof/>
          <w:lang w:val="en-US"/>
        </w:rPr>
        <mc:AlternateContent>
          <mc:Choice Requires="wps">
            <w:drawing>
              <wp:anchor distT="0" distB="0" distL="114300" distR="114300" simplePos="0" relativeHeight="251823104" behindDoc="0" locked="0" layoutInCell="1" allowOverlap="1" wp14:anchorId="4DAB1C5D" wp14:editId="377A4487">
                <wp:simplePos x="0" y="0"/>
                <wp:positionH relativeFrom="column">
                  <wp:posOffset>603743</wp:posOffset>
                </wp:positionH>
                <wp:positionV relativeFrom="paragraph">
                  <wp:posOffset>1338077</wp:posOffset>
                </wp:positionV>
                <wp:extent cx="3202305" cy="1301371"/>
                <wp:effectExtent l="0" t="0" r="0" b="0"/>
                <wp:wrapNone/>
                <wp:docPr id="1200189586" name="Text Box 1200189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2305" cy="1301371"/>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0CAB08FE" id="Text Box 1200189586" o:spid="_x0000_s1026" type="#_x0000_t202" style="position:absolute;margin-left:47.55pt;margin-top:105.35pt;width:252.15pt;height:102.4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" fillcolor="#a6a6a6" stroked="f">
                <v:fill opacity="32896f"/>
              </v:shape>
            </w:pict>
          </mc:Fallback>
        </mc:AlternateContent>
      </w:r>
      <w:r w:rsidR="0083668D" w:rsidRPr="004F53D7">
        <w:rPr>
          <w:b/>
          <w:bCs/>
          <w:iCs/>
          <w:noProof/>
          <w:lang w:val="en-US"/>
        </w:rPr>
        <w:drawing>
          <wp:inline distT="0" distB="0" distL="0" distR="0" wp14:anchorId="5FEE87BA" wp14:editId="68DDE721">
            <wp:extent cx="5975985" cy="3565351"/>
            <wp:effectExtent l="0" t="0" r="5715" b="0"/>
            <wp:docPr id="1444405853" name="Picture 1444405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83413" cy="3569783"/>
                    </a:xfrm>
                    <a:prstGeom prst="rect">
                      <a:avLst/>
                    </a:prstGeom>
                    <a:noFill/>
                  </pic:spPr>
                </pic:pic>
              </a:graphicData>
            </a:graphic>
          </wp:inline>
        </w:drawing>
      </w:r>
    </w:p>
    <w:p w14:paraId="6DF7D7F8" w14:textId="29D354FD" w:rsidR="00A244F6" w:rsidRPr="00A07B67" w:rsidRDefault="00A244F6" w:rsidP="00A244F6">
      <w:pPr>
        <w:suppressAutoHyphens/>
        <w:jc w:val="both"/>
        <w:rPr>
          <w:rFonts w:asciiTheme="majorHAnsi" w:hAnsiTheme="majorHAnsi" w:cstheme="majorHAnsi"/>
        </w:rPr>
      </w:pPr>
      <w:r w:rsidRPr="00FF386D">
        <w:rPr>
          <w:rFonts w:asciiTheme="majorHAnsi" w:hAnsiTheme="majorHAnsi" w:cstheme="majorHAnsi"/>
        </w:rPr>
        <w:t>Осим тога, зависност од увоза енергије износи 3</w:t>
      </w:r>
      <w:r w:rsidR="0083668D" w:rsidRPr="00FF386D">
        <w:rPr>
          <w:rFonts w:asciiTheme="majorHAnsi" w:hAnsiTheme="majorHAnsi" w:cstheme="majorHAnsi"/>
        </w:rPr>
        <w:t>5</w:t>
      </w:r>
      <w:r w:rsidRPr="00FF386D">
        <w:rPr>
          <w:rFonts w:asciiTheme="majorHAnsi" w:hAnsiTheme="majorHAnsi" w:cstheme="majorHAnsi"/>
        </w:rPr>
        <w:t xml:space="preserve">% у 2030. години у </w:t>
      </w:r>
      <w:r w:rsidRPr="00FF386D">
        <w:rPr>
          <w:rFonts w:asciiTheme="majorHAnsi" w:hAnsiTheme="majorHAnsi" w:cstheme="majorHAnsi"/>
          <w:i/>
        </w:rPr>
        <w:t xml:space="preserve">WEM </w:t>
      </w:r>
      <w:r w:rsidRPr="00FF386D">
        <w:rPr>
          <w:rFonts w:asciiTheme="majorHAnsi" w:hAnsiTheme="majorHAnsi" w:cstheme="majorHAnsi"/>
        </w:rPr>
        <w:t>сценарију и 4</w:t>
      </w:r>
      <w:r w:rsidR="0083668D" w:rsidRPr="00FF386D">
        <w:rPr>
          <w:rFonts w:asciiTheme="majorHAnsi" w:hAnsiTheme="majorHAnsi" w:cstheme="majorHAnsi"/>
        </w:rPr>
        <w:t>1</w:t>
      </w:r>
      <w:r w:rsidRPr="00FF386D">
        <w:rPr>
          <w:rFonts w:asciiTheme="majorHAnsi" w:hAnsiTheme="majorHAnsi" w:cstheme="majorHAnsi"/>
        </w:rPr>
        <w:t xml:space="preserve">% </w:t>
      </w:r>
      <w:r w:rsidRPr="00FF386D">
        <w:rPr>
          <w:rFonts w:ascii="Calibri Light" w:eastAsia="Calibri" w:hAnsi="Calibri Light" w:cs="Calibri Light"/>
        </w:rPr>
        <w:t xml:space="preserve">у </w:t>
      </w:r>
      <w:r w:rsidRPr="00FF386D">
        <w:rPr>
          <w:rFonts w:asciiTheme="majorHAnsi" w:hAnsiTheme="majorHAnsi" w:cstheme="majorHAnsi"/>
        </w:rPr>
        <w:t xml:space="preserve">сценаријима </w:t>
      </w:r>
      <w:r w:rsidRPr="00FF386D">
        <w:rPr>
          <w:rFonts w:asciiTheme="majorHAnsi" w:eastAsia="Calibri" w:hAnsiTheme="majorHAnsi" w:cstheme="majorHAnsi"/>
          <w:i/>
        </w:rPr>
        <w:t>S</w:t>
      </w:r>
      <w:r w:rsidRPr="00FF386D">
        <w:rPr>
          <w:rFonts w:asciiTheme="majorHAnsi" w:eastAsia="Calibri" w:hAnsiTheme="majorHAnsi" w:cstheme="majorHAnsi"/>
        </w:rPr>
        <w:t xml:space="preserve"> и </w:t>
      </w:r>
      <w:r w:rsidRPr="00FF386D">
        <w:rPr>
          <w:rFonts w:asciiTheme="majorHAnsi" w:eastAsia="Calibri" w:hAnsiTheme="majorHAnsi" w:cstheme="majorHAnsi"/>
          <w:i/>
        </w:rPr>
        <w:t>S-N</w:t>
      </w:r>
      <w:r w:rsidRPr="00FF386D">
        <w:rPr>
          <w:rFonts w:asciiTheme="majorHAnsi" w:hAnsiTheme="majorHAnsi" w:cstheme="majorHAnsi"/>
        </w:rPr>
        <w:t>, указујући на то да је противтежа смањеном коришћењу лигнита за производњу електричне енергије комбинација повећаног</w:t>
      </w:r>
      <w:r w:rsidR="0083668D" w:rsidRPr="00FF386D">
        <w:rPr>
          <w:rFonts w:asciiTheme="majorHAnsi" w:hAnsiTheme="majorHAnsi" w:cstheme="majorHAnsi"/>
        </w:rPr>
        <w:t xml:space="preserve"> увођења</w:t>
      </w:r>
      <w:r w:rsidRPr="00FF386D">
        <w:rPr>
          <w:rFonts w:asciiTheme="majorHAnsi" w:hAnsiTheme="majorHAnsi" w:cstheme="majorHAnsi"/>
        </w:rPr>
        <w:t xml:space="preserve"> ОИЕ и п</w:t>
      </w:r>
      <w:r w:rsidR="0083668D" w:rsidRPr="00FF386D">
        <w:rPr>
          <w:rFonts w:asciiTheme="majorHAnsi" w:hAnsiTheme="majorHAnsi" w:cstheme="majorHAnsi"/>
        </w:rPr>
        <w:t>одстицања</w:t>
      </w:r>
      <w:r w:rsidRPr="00FF386D">
        <w:rPr>
          <w:rFonts w:asciiTheme="majorHAnsi" w:hAnsiTheme="majorHAnsi" w:cstheme="majorHAnsi"/>
        </w:rPr>
        <w:t xml:space="preserve"> енергетске ефикасности (</w:t>
      </w:r>
      <w:r w:rsidR="00E31E98">
        <w:rPr>
          <w:rFonts w:asciiTheme="majorHAnsi" w:hAnsiTheme="majorHAnsi" w:cstheme="majorHAnsi"/>
        </w:rPr>
        <w:fldChar w:fldCharType="begin"/>
      </w:r>
      <w:r w:rsidR="00E31E98">
        <w:rPr>
          <w:rFonts w:asciiTheme="majorHAnsi" w:hAnsiTheme="majorHAnsi" w:cstheme="majorHAnsi"/>
        </w:rPr>
        <w:instrText xml:space="preserve"> REF _Ref153893012 \h  \* MERGEFORMAT </w:instrText>
      </w:r>
      <w:r w:rsidR="00E31E98">
        <w:rPr>
          <w:rFonts w:asciiTheme="majorHAnsi" w:hAnsiTheme="majorHAnsi" w:cstheme="majorHAnsi"/>
        </w:rPr>
      </w:r>
      <w:r w:rsidR="00E31E98">
        <w:rPr>
          <w:rFonts w:asciiTheme="majorHAnsi" w:hAnsiTheme="majorHAnsi" w:cstheme="majorHAnsi"/>
        </w:rPr>
        <w:fldChar w:fldCharType="separate"/>
      </w:r>
      <w:r w:rsidR="00E31E98" w:rsidRPr="00565B02">
        <w:rPr>
          <w:rFonts w:asciiTheme="majorHAnsi" w:hAnsiTheme="majorHAnsi" w:cstheme="majorHAnsi"/>
        </w:rPr>
        <w:t>Слика 5.34</w:t>
      </w:r>
      <w:r w:rsidR="00E31E98">
        <w:rPr>
          <w:rFonts w:asciiTheme="majorHAnsi" w:hAnsiTheme="majorHAnsi" w:cstheme="majorHAnsi"/>
        </w:rPr>
        <w:fldChar w:fldCharType="end"/>
      </w:r>
      <w:r w:rsidRPr="00565B02">
        <w:rPr>
          <w:rFonts w:asciiTheme="majorHAnsi" w:hAnsiTheme="majorHAnsi" w:cstheme="majorHAnsi"/>
        </w:rPr>
        <w:t>)</w:t>
      </w:r>
      <w:r w:rsidRPr="00FF386D">
        <w:rPr>
          <w:rFonts w:asciiTheme="majorHAnsi" w:hAnsiTheme="majorHAnsi" w:cstheme="majorHAnsi"/>
        </w:rPr>
        <w:t xml:space="preserve">. У сценарију </w:t>
      </w:r>
      <w:r w:rsidRPr="00FF386D">
        <w:rPr>
          <w:rFonts w:asciiTheme="majorHAnsi" w:hAnsiTheme="majorHAnsi" w:cstheme="majorHAnsi"/>
          <w:i/>
        </w:rPr>
        <w:t>S</w:t>
      </w:r>
      <w:r w:rsidRPr="00FF386D">
        <w:rPr>
          <w:rFonts w:asciiTheme="majorHAnsi" w:hAnsiTheme="majorHAnsi" w:cstheme="majorHAnsi"/>
        </w:rPr>
        <w:t xml:space="preserve">, зависност од </w:t>
      </w:r>
      <w:r w:rsidR="0083668D" w:rsidRPr="00FF386D">
        <w:rPr>
          <w:rFonts w:asciiTheme="majorHAnsi" w:hAnsiTheme="majorHAnsi" w:cstheme="majorHAnsi"/>
        </w:rPr>
        <w:t xml:space="preserve">увоза </w:t>
      </w:r>
      <w:r w:rsidRPr="00FF386D">
        <w:rPr>
          <w:rFonts w:asciiTheme="majorHAnsi" w:hAnsiTheme="majorHAnsi" w:cstheme="majorHAnsi"/>
        </w:rPr>
        <w:t>енерг</w:t>
      </w:r>
      <w:r w:rsidR="0083668D" w:rsidRPr="00FF386D">
        <w:rPr>
          <w:rFonts w:asciiTheme="majorHAnsi" w:hAnsiTheme="majorHAnsi" w:cstheme="majorHAnsi"/>
        </w:rPr>
        <w:t>ије се повећава на 44%</w:t>
      </w:r>
      <w:r w:rsidRPr="00FF386D">
        <w:rPr>
          <w:rFonts w:asciiTheme="majorHAnsi" w:hAnsiTheme="majorHAnsi" w:cstheme="majorHAnsi"/>
        </w:rPr>
        <w:t xml:space="preserve"> </w:t>
      </w:r>
      <w:r w:rsidR="0083668D" w:rsidRPr="00FF386D">
        <w:rPr>
          <w:rFonts w:asciiTheme="majorHAnsi" w:hAnsiTheme="majorHAnsi" w:cstheme="majorHAnsi"/>
        </w:rPr>
        <w:t xml:space="preserve">у </w:t>
      </w:r>
      <w:r w:rsidRPr="00FF386D">
        <w:rPr>
          <w:rFonts w:asciiTheme="majorHAnsi" w:hAnsiTheme="majorHAnsi" w:cstheme="majorHAnsi"/>
        </w:rPr>
        <w:t xml:space="preserve">2050. години. </w:t>
      </w:r>
      <w:r w:rsidR="0083668D" w:rsidRPr="00FF386D">
        <w:rPr>
          <w:rFonts w:asciiTheme="majorHAnsi" w:hAnsiTheme="majorHAnsi" w:cstheme="majorHAnsi"/>
        </w:rPr>
        <w:t>У с</w:t>
      </w:r>
      <w:r w:rsidRPr="00FF386D">
        <w:rPr>
          <w:rFonts w:asciiTheme="majorHAnsi" w:hAnsiTheme="majorHAnsi" w:cstheme="majorHAnsi"/>
        </w:rPr>
        <w:t xml:space="preserve">ценарио </w:t>
      </w:r>
      <w:r w:rsidRPr="00FF386D">
        <w:rPr>
          <w:rFonts w:asciiTheme="majorHAnsi" w:hAnsiTheme="majorHAnsi" w:cstheme="majorHAnsi"/>
          <w:i/>
        </w:rPr>
        <w:t>S-N</w:t>
      </w:r>
      <w:r w:rsidRPr="00FF386D">
        <w:rPr>
          <w:rFonts w:asciiTheme="majorHAnsi" w:hAnsiTheme="majorHAnsi" w:cstheme="majorHAnsi"/>
        </w:rPr>
        <w:t xml:space="preserve"> зависност од увоза</w:t>
      </w:r>
      <w:r w:rsidR="0083668D" w:rsidRPr="00FF386D">
        <w:rPr>
          <w:rFonts w:asciiTheme="majorHAnsi" w:hAnsiTheme="majorHAnsi" w:cstheme="majorHAnsi"/>
        </w:rPr>
        <w:t xml:space="preserve"> енергије</w:t>
      </w:r>
      <w:r w:rsidRPr="00FF386D">
        <w:rPr>
          <w:rFonts w:asciiTheme="majorHAnsi" w:hAnsiTheme="majorHAnsi" w:cstheme="majorHAnsi"/>
        </w:rPr>
        <w:t xml:space="preserve"> у 2050. </w:t>
      </w:r>
      <w:r w:rsidR="00860B80" w:rsidRPr="00FF386D">
        <w:rPr>
          <w:rFonts w:asciiTheme="majorHAnsi" w:hAnsiTheme="majorHAnsi" w:cstheme="majorHAnsi"/>
        </w:rPr>
        <w:t>г</w:t>
      </w:r>
      <w:r w:rsidRPr="00FF386D">
        <w:rPr>
          <w:rFonts w:asciiTheme="majorHAnsi" w:hAnsiTheme="majorHAnsi" w:cstheme="majorHAnsi"/>
        </w:rPr>
        <w:t>одини</w:t>
      </w:r>
      <w:r w:rsidR="0083668D" w:rsidRPr="00FF386D">
        <w:rPr>
          <w:rFonts w:asciiTheme="majorHAnsi" w:hAnsiTheme="majorHAnsi" w:cstheme="majorHAnsi"/>
        </w:rPr>
        <w:t xml:space="preserve"> остаје на нивоу од </w:t>
      </w:r>
      <w:r w:rsidRPr="00FF386D">
        <w:rPr>
          <w:rFonts w:asciiTheme="majorHAnsi" w:hAnsiTheme="majorHAnsi" w:cstheme="majorHAnsi"/>
        </w:rPr>
        <w:t>3</w:t>
      </w:r>
      <w:r w:rsidR="0083668D" w:rsidRPr="00FF386D">
        <w:rPr>
          <w:rFonts w:asciiTheme="majorHAnsi" w:hAnsiTheme="majorHAnsi" w:cstheme="majorHAnsi"/>
        </w:rPr>
        <w:t>7</w:t>
      </w:r>
      <w:r w:rsidRPr="00FF386D">
        <w:rPr>
          <w:rFonts w:asciiTheme="majorHAnsi" w:hAnsiTheme="majorHAnsi" w:cstheme="majorHAnsi"/>
        </w:rPr>
        <w:t>% због увођења нуклеарних електрана за производњу електричне енергије</w:t>
      </w:r>
      <w:r w:rsidR="002239A0">
        <w:rPr>
          <w:rFonts w:asciiTheme="majorHAnsi" w:hAnsiTheme="majorHAnsi" w:cstheme="majorHAnsi"/>
        </w:rPr>
        <w:t xml:space="preserve"> (У складу са правилима Еуростат-а за и</w:t>
      </w:r>
      <w:r w:rsidR="00990B5A">
        <w:rPr>
          <w:rFonts w:asciiTheme="majorHAnsi" w:hAnsiTheme="majorHAnsi" w:cstheme="majorHAnsi"/>
        </w:rPr>
        <w:t>звештавање на основу енергетског биланса</w:t>
      </w:r>
      <w:r w:rsidR="002239A0">
        <w:rPr>
          <w:rFonts w:asciiTheme="majorHAnsi" w:hAnsiTheme="majorHAnsi" w:cstheme="majorHAnsi"/>
        </w:rPr>
        <w:t>, нуклеарна топлота коришћена у производњи електричне енергије се не сматра увозом већ примарном производњом (локална производња)</w:t>
      </w:r>
      <w:r w:rsidR="00E31E98">
        <w:rPr>
          <w:rFonts w:asciiTheme="majorHAnsi" w:hAnsiTheme="majorHAnsi" w:cstheme="majorHAnsi"/>
        </w:rPr>
        <w:t>).</w:t>
      </w:r>
      <w:r w:rsidR="00A07B67">
        <w:rPr>
          <w:rFonts w:asciiTheme="majorHAnsi" w:hAnsiTheme="majorHAnsi" w:cstheme="majorHAnsi"/>
        </w:rPr>
        <w:t xml:space="preserve"> </w:t>
      </w:r>
      <w:r w:rsidR="00990B5A">
        <w:rPr>
          <w:rFonts w:asciiTheme="majorHAnsi" w:hAnsiTheme="majorHAnsi" w:cstheme="majorHAnsi"/>
        </w:rPr>
        <w:t>Уопште</w:t>
      </w:r>
      <w:r w:rsidR="00A07B67">
        <w:rPr>
          <w:rFonts w:asciiTheme="majorHAnsi" w:hAnsiTheme="majorHAnsi" w:cstheme="majorHAnsi"/>
        </w:rPr>
        <w:t>, главни раз</w:t>
      </w:r>
      <w:r w:rsidR="00FB4032">
        <w:rPr>
          <w:rFonts w:asciiTheme="majorHAnsi" w:hAnsiTheme="majorHAnsi" w:cstheme="majorHAnsi"/>
        </w:rPr>
        <w:t>л</w:t>
      </w:r>
      <w:r w:rsidR="00A07B67">
        <w:rPr>
          <w:rFonts w:asciiTheme="majorHAnsi" w:hAnsiTheme="majorHAnsi" w:cstheme="majorHAnsi"/>
        </w:rPr>
        <w:t>ог за ниж</w:t>
      </w:r>
      <w:r w:rsidR="00990B5A">
        <w:rPr>
          <w:rFonts w:asciiTheme="majorHAnsi" w:hAnsiTheme="majorHAnsi" w:cstheme="majorHAnsi"/>
        </w:rPr>
        <w:t>и ниво</w:t>
      </w:r>
      <w:r w:rsidR="00A07B67">
        <w:rPr>
          <w:rFonts w:asciiTheme="majorHAnsi" w:hAnsiTheme="majorHAnsi" w:cstheme="majorHAnsi"/>
        </w:rPr>
        <w:t xml:space="preserve"> зависност</w:t>
      </w:r>
      <w:r w:rsidR="00990B5A">
        <w:rPr>
          <w:rFonts w:asciiTheme="majorHAnsi" w:hAnsiTheme="majorHAnsi" w:cstheme="majorHAnsi"/>
        </w:rPr>
        <w:t>и</w:t>
      </w:r>
      <w:r w:rsidR="00A07B67">
        <w:rPr>
          <w:rFonts w:asciiTheme="majorHAnsi" w:hAnsiTheme="majorHAnsi" w:cstheme="majorHAnsi"/>
        </w:rPr>
        <w:t xml:space="preserve"> од увоза енергије у средњ</w:t>
      </w:r>
      <w:r w:rsidR="00990B5A">
        <w:rPr>
          <w:rFonts w:asciiTheme="majorHAnsi" w:hAnsiTheme="majorHAnsi" w:cstheme="majorHAnsi"/>
        </w:rPr>
        <w:t>о</w:t>
      </w:r>
      <w:r w:rsidR="00A07B67">
        <w:rPr>
          <w:rFonts w:asciiTheme="majorHAnsi" w:hAnsiTheme="majorHAnsi" w:cstheme="majorHAnsi"/>
        </w:rPr>
        <w:t xml:space="preserve">рочном временском хоризонту у </w:t>
      </w:r>
      <w:r w:rsidR="00A07B67" w:rsidRPr="000A2AFE">
        <w:rPr>
          <w:rFonts w:asciiTheme="majorHAnsi" w:hAnsiTheme="majorHAnsi" w:cstheme="majorHAnsi"/>
          <w:i/>
          <w:iCs/>
          <w:lang w:val="sr-Latn-RS"/>
        </w:rPr>
        <w:t>WEM</w:t>
      </w:r>
      <w:r w:rsidR="00A07B67">
        <w:rPr>
          <w:rFonts w:asciiTheme="majorHAnsi" w:hAnsiTheme="majorHAnsi" w:cstheme="majorHAnsi"/>
          <w:lang w:val="sr-Latn-RS"/>
        </w:rPr>
        <w:t xml:space="preserve"> </w:t>
      </w:r>
      <w:r w:rsidR="00A07B67">
        <w:rPr>
          <w:rFonts w:asciiTheme="majorHAnsi" w:hAnsiTheme="majorHAnsi" w:cstheme="majorHAnsi"/>
        </w:rPr>
        <w:t xml:space="preserve">сценарију је коришћење </w:t>
      </w:r>
      <w:r w:rsidR="00FB4032">
        <w:rPr>
          <w:rFonts w:asciiTheme="majorHAnsi" w:hAnsiTheme="majorHAnsi" w:cstheme="majorHAnsi"/>
        </w:rPr>
        <w:t xml:space="preserve">локалног </w:t>
      </w:r>
      <w:r w:rsidR="00A07B67">
        <w:rPr>
          <w:rFonts w:asciiTheme="majorHAnsi" w:hAnsiTheme="majorHAnsi" w:cstheme="majorHAnsi"/>
        </w:rPr>
        <w:t xml:space="preserve">лигнита уместо увезеног гаса, </w:t>
      </w:r>
      <w:r w:rsidR="00990B5A">
        <w:rPr>
          <w:rFonts w:asciiTheme="majorHAnsi" w:hAnsiTheme="majorHAnsi" w:cstheme="majorHAnsi"/>
        </w:rPr>
        <w:t>што</w:t>
      </w:r>
      <w:r w:rsidR="00A07B67">
        <w:rPr>
          <w:rFonts w:asciiTheme="majorHAnsi" w:hAnsiTheme="majorHAnsi" w:cstheme="majorHAnsi"/>
        </w:rPr>
        <w:t xml:space="preserve"> међутим даље води ка значајном порасту емисија гасова са ефектом стаклене баште. У </w:t>
      </w:r>
      <w:r w:rsidR="00990B5A">
        <w:rPr>
          <w:rFonts w:asciiTheme="majorHAnsi" w:hAnsiTheme="majorHAnsi" w:cstheme="majorHAnsi"/>
        </w:rPr>
        <w:t>С</w:t>
      </w:r>
      <w:r w:rsidR="00A07B67">
        <w:rPr>
          <w:rFonts w:asciiTheme="majorHAnsi" w:hAnsiTheme="majorHAnsi" w:cstheme="majorHAnsi"/>
        </w:rPr>
        <w:t xml:space="preserve">ценарију </w:t>
      </w:r>
      <w:r w:rsidR="00A07B67" w:rsidRPr="000A2AFE">
        <w:rPr>
          <w:rFonts w:asciiTheme="majorHAnsi" w:hAnsiTheme="majorHAnsi" w:cstheme="majorHAnsi"/>
          <w:i/>
          <w:iCs/>
          <w:lang w:val="sr-Latn-RS"/>
        </w:rPr>
        <w:t>S</w:t>
      </w:r>
      <w:r w:rsidR="00A07B67">
        <w:rPr>
          <w:rFonts w:asciiTheme="majorHAnsi" w:hAnsiTheme="majorHAnsi" w:cstheme="majorHAnsi"/>
        </w:rPr>
        <w:t xml:space="preserve"> прелазно коришћење гаса </w:t>
      </w:r>
      <w:r w:rsidR="00990B5A">
        <w:rPr>
          <w:rFonts w:asciiTheme="majorHAnsi" w:hAnsiTheme="majorHAnsi" w:cstheme="majorHAnsi"/>
        </w:rPr>
        <w:t xml:space="preserve">на </w:t>
      </w:r>
      <w:r w:rsidR="00A07B67">
        <w:rPr>
          <w:rFonts w:asciiTheme="majorHAnsi" w:hAnsiTheme="majorHAnsi" w:cstheme="majorHAnsi"/>
        </w:rPr>
        <w:t>средњ</w:t>
      </w:r>
      <w:r w:rsidR="00990B5A">
        <w:rPr>
          <w:rFonts w:asciiTheme="majorHAnsi" w:hAnsiTheme="majorHAnsi" w:cstheme="majorHAnsi"/>
        </w:rPr>
        <w:t>орочном нивоу</w:t>
      </w:r>
      <w:r w:rsidR="00FB4032">
        <w:rPr>
          <w:rFonts w:asciiTheme="majorHAnsi" w:hAnsiTheme="majorHAnsi" w:cstheme="majorHAnsi"/>
        </w:rPr>
        <w:t xml:space="preserve"> </w:t>
      </w:r>
      <w:r w:rsidR="00A07B67">
        <w:rPr>
          <w:rFonts w:asciiTheme="majorHAnsi" w:hAnsiTheme="majorHAnsi" w:cstheme="majorHAnsi"/>
        </w:rPr>
        <w:t>води ка увозн</w:t>
      </w:r>
      <w:r w:rsidR="00FB4032">
        <w:rPr>
          <w:rFonts w:asciiTheme="majorHAnsi" w:hAnsiTheme="majorHAnsi" w:cstheme="majorHAnsi"/>
        </w:rPr>
        <w:t>ој</w:t>
      </w:r>
      <w:r w:rsidR="00A07B67">
        <w:rPr>
          <w:rFonts w:asciiTheme="majorHAnsi" w:hAnsiTheme="majorHAnsi" w:cstheme="majorHAnsi"/>
        </w:rPr>
        <w:t xml:space="preserve"> зависности све док </w:t>
      </w:r>
      <w:r w:rsidR="00990B5A">
        <w:rPr>
          <w:rFonts w:asciiTheme="majorHAnsi" w:hAnsiTheme="majorHAnsi" w:cstheme="majorHAnsi"/>
        </w:rPr>
        <w:t>не дође до већег коришћења</w:t>
      </w:r>
      <w:r w:rsidR="001174BC">
        <w:rPr>
          <w:rFonts w:asciiTheme="majorHAnsi" w:hAnsiTheme="majorHAnsi" w:cstheme="majorHAnsi"/>
        </w:rPr>
        <w:t xml:space="preserve"> </w:t>
      </w:r>
      <w:r w:rsidR="00990B5A">
        <w:rPr>
          <w:rFonts w:asciiTheme="majorHAnsi" w:hAnsiTheme="majorHAnsi" w:cstheme="majorHAnsi"/>
        </w:rPr>
        <w:t>енергије из</w:t>
      </w:r>
      <w:r w:rsidR="00A07B67">
        <w:rPr>
          <w:rFonts w:asciiTheme="majorHAnsi" w:hAnsiTheme="majorHAnsi" w:cstheme="majorHAnsi"/>
        </w:rPr>
        <w:t xml:space="preserve"> обновљиви</w:t>
      </w:r>
      <w:r w:rsidR="00990B5A">
        <w:rPr>
          <w:rFonts w:asciiTheme="majorHAnsi" w:hAnsiTheme="majorHAnsi" w:cstheme="majorHAnsi"/>
        </w:rPr>
        <w:t>х</w:t>
      </w:r>
      <w:r w:rsidR="00A07B67">
        <w:rPr>
          <w:rFonts w:asciiTheme="majorHAnsi" w:hAnsiTheme="majorHAnsi" w:cstheme="majorHAnsi"/>
        </w:rPr>
        <w:t xml:space="preserve"> извор</w:t>
      </w:r>
      <w:r w:rsidR="00990B5A">
        <w:rPr>
          <w:rFonts w:asciiTheme="majorHAnsi" w:hAnsiTheme="majorHAnsi" w:cstheme="majorHAnsi"/>
        </w:rPr>
        <w:t>а</w:t>
      </w:r>
      <w:r w:rsidR="00A07B67">
        <w:rPr>
          <w:rFonts w:asciiTheme="majorHAnsi" w:hAnsiTheme="majorHAnsi" w:cstheme="majorHAnsi"/>
        </w:rPr>
        <w:t>, што даље води ка стабилизацији и благо</w:t>
      </w:r>
      <w:r w:rsidR="00FB4032">
        <w:rPr>
          <w:rFonts w:asciiTheme="majorHAnsi" w:hAnsiTheme="majorHAnsi" w:cstheme="majorHAnsi"/>
        </w:rPr>
        <w:t>м</w:t>
      </w:r>
      <w:r w:rsidR="00A07B67">
        <w:rPr>
          <w:rFonts w:asciiTheme="majorHAnsi" w:hAnsiTheme="majorHAnsi" w:cstheme="majorHAnsi"/>
        </w:rPr>
        <w:t xml:space="preserve"> смањењ</w:t>
      </w:r>
      <w:r w:rsidR="00FB4032">
        <w:rPr>
          <w:rFonts w:asciiTheme="majorHAnsi" w:hAnsiTheme="majorHAnsi" w:cstheme="majorHAnsi"/>
        </w:rPr>
        <w:t>у</w:t>
      </w:r>
      <w:r w:rsidR="00A07B67">
        <w:rPr>
          <w:rFonts w:asciiTheme="majorHAnsi" w:hAnsiTheme="majorHAnsi" w:cstheme="majorHAnsi"/>
        </w:rPr>
        <w:t xml:space="preserve"> увозне зависности до 2050. године.</w:t>
      </w:r>
    </w:p>
    <w:p w14:paraId="114EA6A8" w14:textId="7F7CBB7A" w:rsidR="00E31E98" w:rsidRDefault="00E31E98" w:rsidP="00565B02">
      <w:pPr>
        <w:pStyle w:val="Caption"/>
        <w:keepNext/>
      </w:pPr>
      <w:bookmarkStart w:id="421" w:name="_Ref153893012"/>
      <w:bookmarkStart w:id="422" w:name="_Toc153901446"/>
      <w:r>
        <w:lastRenderedPageBreak/>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34</w:t>
      </w:r>
      <w:r w:rsidR="00F35B2C">
        <w:fldChar w:fldCharType="end"/>
      </w:r>
      <w:bookmarkEnd w:id="421"/>
      <w:r>
        <w:t xml:space="preserve">: </w:t>
      </w:r>
      <w:r w:rsidRPr="00E31E98">
        <w:t>Зависност од увоза енергије</w:t>
      </w:r>
      <w:bookmarkEnd w:id="422"/>
    </w:p>
    <w:p w14:paraId="27CF3292" w14:textId="647AA389" w:rsidR="00A244F6" w:rsidRPr="00FF386D" w:rsidRDefault="00C729A8" w:rsidP="00A244F6">
      <w:pPr>
        <w:suppressAutoHyphens/>
        <w:jc w:val="center"/>
        <w:rPr>
          <w:b/>
          <w:bCs/>
        </w:rPr>
      </w:pPr>
      <w:r>
        <w:rPr>
          <w:noProof/>
          <w:lang w:val="en-US"/>
        </w:rPr>
        <mc:AlternateContent>
          <mc:Choice Requires="wps">
            <w:drawing>
              <wp:anchor distT="0" distB="0" distL="114300" distR="114300" simplePos="0" relativeHeight="251825152" behindDoc="0" locked="0" layoutInCell="1" allowOverlap="1" wp14:anchorId="134EFD05" wp14:editId="761DAD80">
                <wp:simplePos x="0" y="0"/>
                <wp:positionH relativeFrom="column">
                  <wp:posOffset>631038</wp:posOffset>
                </wp:positionH>
                <wp:positionV relativeFrom="paragraph">
                  <wp:posOffset>346871</wp:posOffset>
                </wp:positionV>
                <wp:extent cx="3162300" cy="2074687"/>
                <wp:effectExtent l="0" t="0" r="0" b="1905"/>
                <wp:wrapNone/>
                <wp:docPr id="202361660" name="Text Box 202361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2300" cy="2074687"/>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4123CDAF" id="Text Box 202361660" o:spid="_x0000_s1026" type="#_x0000_t202" style="position:absolute;margin-left:49.7pt;margin-top:27.3pt;width:249pt;height:163.3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" fillcolor="#a6a6a6" stroked="f">
                <v:fill opacity="32896f"/>
              </v:shape>
            </w:pict>
          </mc:Fallback>
        </mc:AlternateContent>
      </w:r>
      <w:r w:rsidR="004861F4" w:rsidRPr="004F53D7">
        <w:rPr>
          <w:b/>
          <w:bCs/>
          <w:noProof/>
          <w:lang w:val="en-US"/>
        </w:rPr>
        <w:drawing>
          <wp:inline distT="0" distB="0" distL="0" distR="0" wp14:anchorId="055C51F2" wp14:editId="7B9DBA81">
            <wp:extent cx="5974715" cy="3589484"/>
            <wp:effectExtent l="0" t="0" r="6985" b="0"/>
            <wp:docPr id="505497868" name="Picture 505497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90373" cy="3598891"/>
                    </a:xfrm>
                    <a:prstGeom prst="rect">
                      <a:avLst/>
                    </a:prstGeom>
                    <a:noFill/>
                  </pic:spPr>
                </pic:pic>
              </a:graphicData>
            </a:graphic>
          </wp:inline>
        </w:drawing>
      </w:r>
    </w:p>
    <w:p w14:paraId="52D3C5EF" w14:textId="2BA2C78A" w:rsidR="00A244F6" w:rsidRPr="00FF386D" w:rsidRDefault="00A244F6" w:rsidP="00A244F6">
      <w:pPr>
        <w:suppressAutoHyphens/>
        <w:jc w:val="both"/>
        <w:rPr>
          <w:rFonts w:asciiTheme="majorHAnsi" w:hAnsiTheme="majorHAnsi" w:cstheme="majorHAnsi"/>
        </w:rPr>
      </w:pPr>
      <w:bookmarkStart w:id="423" w:name="_Toc113919357"/>
      <w:r w:rsidRPr="00FF386D">
        <w:rPr>
          <w:rFonts w:asciiTheme="majorHAnsi" w:hAnsiTheme="majorHAnsi" w:cstheme="majorHAnsi"/>
        </w:rPr>
        <w:t xml:space="preserve">У </w:t>
      </w:r>
      <w:r w:rsidRPr="00FF386D">
        <w:rPr>
          <w:rFonts w:asciiTheme="majorHAnsi" w:hAnsiTheme="majorHAnsi" w:cstheme="majorHAnsi"/>
          <w:i/>
        </w:rPr>
        <w:t>WEM</w:t>
      </w:r>
      <w:r w:rsidRPr="00FF386D">
        <w:rPr>
          <w:rFonts w:asciiTheme="majorHAnsi" w:hAnsiTheme="majorHAnsi" w:cstheme="majorHAnsi"/>
        </w:rPr>
        <w:t xml:space="preserve"> сценарију, примарна производња износи 11,</w:t>
      </w:r>
      <w:r w:rsidR="004861F4" w:rsidRPr="00FF386D">
        <w:rPr>
          <w:rFonts w:asciiTheme="majorHAnsi" w:hAnsiTheme="majorHAnsi" w:cstheme="majorHAnsi"/>
        </w:rPr>
        <w:t>8</w:t>
      </w:r>
      <w:r w:rsidRPr="00FF386D">
        <w:rPr>
          <w:rFonts w:asciiTheme="majorHAnsi" w:hAnsiTheme="majorHAnsi" w:cstheme="majorHAnsi"/>
        </w:rPr>
        <w:t xml:space="preserve"> Mtoe у 2030</w:t>
      </w:r>
      <w:r w:rsidR="004861F4" w:rsidRPr="00FF386D">
        <w:rPr>
          <w:rFonts w:asciiTheme="majorHAnsi" w:hAnsiTheme="majorHAnsi" w:cstheme="majorHAnsi"/>
        </w:rPr>
        <w:t xml:space="preserve"> и</w:t>
      </w:r>
      <w:r w:rsidRPr="00FF386D">
        <w:rPr>
          <w:rFonts w:asciiTheme="majorHAnsi" w:hAnsiTheme="majorHAnsi" w:cstheme="majorHAnsi"/>
        </w:rPr>
        <w:t xml:space="preserve"> већа је од </w:t>
      </w:r>
      <w:r w:rsidR="004861F4" w:rsidRPr="00FF386D">
        <w:rPr>
          <w:rFonts w:asciiTheme="majorHAnsi" w:hAnsiTheme="majorHAnsi" w:cstheme="majorHAnsi"/>
        </w:rPr>
        <w:t>9,1</w:t>
      </w:r>
      <w:r w:rsidRPr="00FF386D">
        <w:rPr>
          <w:rFonts w:asciiTheme="majorHAnsi" w:hAnsiTheme="majorHAnsi" w:cstheme="majorHAnsi"/>
        </w:rPr>
        <w:t xml:space="preserve"> Mtoe</w:t>
      </w:r>
      <w:r w:rsidR="004861F4" w:rsidRPr="00FF386D">
        <w:rPr>
          <w:rFonts w:asciiTheme="majorHAnsi" w:hAnsiTheme="majorHAnsi" w:cstheme="majorHAnsi"/>
        </w:rPr>
        <w:t>, колико износи у</w:t>
      </w:r>
      <w:r w:rsidRPr="00FF386D">
        <w:rPr>
          <w:rFonts w:asciiTheme="majorHAnsi" w:hAnsiTheme="majorHAnsi" w:cstheme="majorHAnsi"/>
        </w:rPr>
        <w:t xml:space="preserve"> сценаријима </w:t>
      </w:r>
      <w:r w:rsidRPr="00FF386D">
        <w:rPr>
          <w:rFonts w:asciiTheme="majorHAnsi" w:hAnsiTheme="majorHAnsi" w:cstheme="majorHAnsi"/>
          <w:i/>
        </w:rPr>
        <w:t>S</w:t>
      </w:r>
      <w:r w:rsidRPr="00FF386D">
        <w:rPr>
          <w:rFonts w:asciiTheme="majorHAnsi" w:hAnsiTheme="majorHAnsi" w:cstheme="majorHAnsi"/>
        </w:rPr>
        <w:t xml:space="preserve"> и </w:t>
      </w:r>
      <w:r w:rsidRPr="00FF386D">
        <w:rPr>
          <w:rFonts w:asciiTheme="majorHAnsi" w:hAnsiTheme="majorHAnsi" w:cstheme="majorHAnsi"/>
          <w:i/>
        </w:rPr>
        <w:t>S-N</w:t>
      </w:r>
      <w:r w:rsidRPr="00FF386D">
        <w:rPr>
          <w:rFonts w:asciiTheme="majorHAnsi" w:hAnsiTheme="majorHAnsi" w:cstheme="majorHAnsi"/>
        </w:rPr>
        <w:t xml:space="preserve"> у току исте године (</w:t>
      </w:r>
      <w:r w:rsidR="00770596">
        <w:rPr>
          <w:rFonts w:asciiTheme="majorHAnsi" w:hAnsiTheme="majorHAnsi" w:cstheme="majorHAnsi"/>
        </w:rPr>
        <w:fldChar w:fldCharType="begin"/>
      </w:r>
      <w:r w:rsidR="00770596">
        <w:rPr>
          <w:rFonts w:asciiTheme="majorHAnsi" w:hAnsiTheme="majorHAnsi" w:cstheme="majorHAnsi"/>
        </w:rPr>
        <w:instrText xml:space="preserve"> REF _Ref153893154 \h  \* MERGEFORMAT </w:instrText>
      </w:r>
      <w:r w:rsidR="00770596">
        <w:rPr>
          <w:rFonts w:asciiTheme="majorHAnsi" w:hAnsiTheme="majorHAnsi" w:cstheme="majorHAnsi"/>
        </w:rPr>
      </w:r>
      <w:r w:rsidR="00770596">
        <w:rPr>
          <w:rFonts w:asciiTheme="majorHAnsi" w:hAnsiTheme="majorHAnsi" w:cstheme="majorHAnsi"/>
        </w:rPr>
        <w:fldChar w:fldCharType="separate"/>
      </w:r>
      <w:r w:rsidR="00770596" w:rsidRPr="00565B02">
        <w:rPr>
          <w:rFonts w:asciiTheme="majorHAnsi" w:hAnsiTheme="majorHAnsi" w:cstheme="majorHAnsi"/>
        </w:rPr>
        <w:t>Слика 5.35</w:t>
      </w:r>
      <w:r w:rsidR="00770596">
        <w:rPr>
          <w:rFonts w:asciiTheme="majorHAnsi" w:hAnsiTheme="majorHAnsi" w:cstheme="majorHAnsi"/>
        </w:rPr>
        <w:fldChar w:fldCharType="end"/>
      </w:r>
      <w:r w:rsidRPr="00FF386D">
        <w:rPr>
          <w:rFonts w:asciiTheme="majorHAnsi" w:hAnsiTheme="majorHAnsi" w:cstheme="majorHAnsi"/>
        </w:rPr>
        <w:t xml:space="preserve">). У 2050. години, примарна производња ће се смањити за </w:t>
      </w:r>
      <w:r w:rsidR="004861F4" w:rsidRPr="00FF386D">
        <w:rPr>
          <w:rFonts w:asciiTheme="majorHAnsi" w:hAnsiTheme="majorHAnsi" w:cstheme="majorHAnsi"/>
        </w:rPr>
        <w:t>4</w:t>
      </w:r>
      <w:r w:rsidRPr="00FF386D">
        <w:rPr>
          <w:rFonts w:asciiTheme="majorHAnsi" w:hAnsiTheme="majorHAnsi" w:cstheme="majorHAnsi"/>
        </w:rPr>
        <w:t xml:space="preserve">,5% на 11,3 Mtoe у </w:t>
      </w:r>
      <w:r w:rsidRPr="00FF386D">
        <w:rPr>
          <w:rFonts w:asciiTheme="majorHAnsi" w:hAnsiTheme="majorHAnsi" w:cstheme="majorHAnsi"/>
          <w:i/>
        </w:rPr>
        <w:t>WEM</w:t>
      </w:r>
      <w:r w:rsidRPr="00FF386D">
        <w:rPr>
          <w:rFonts w:asciiTheme="majorHAnsi" w:hAnsiTheme="majorHAnsi" w:cstheme="majorHAnsi"/>
        </w:rPr>
        <w:t xml:space="preserve"> сценарију, у поређењу са нивоом из 2030. године, док се предвиђа пад од </w:t>
      </w:r>
      <w:r w:rsidR="004861F4" w:rsidRPr="00FF386D">
        <w:rPr>
          <w:rFonts w:asciiTheme="majorHAnsi" w:hAnsiTheme="majorHAnsi" w:cstheme="majorHAnsi"/>
        </w:rPr>
        <w:t>23,9</w:t>
      </w:r>
      <w:r w:rsidRPr="00FF386D">
        <w:rPr>
          <w:rFonts w:asciiTheme="majorHAnsi" w:hAnsiTheme="majorHAnsi" w:cstheme="majorHAnsi"/>
        </w:rPr>
        <w:t xml:space="preserve">% у сценарију </w:t>
      </w:r>
      <w:r w:rsidRPr="00FF386D">
        <w:rPr>
          <w:rFonts w:asciiTheme="majorHAnsi" w:hAnsiTheme="majorHAnsi" w:cstheme="majorHAnsi"/>
          <w:i/>
        </w:rPr>
        <w:t>S</w:t>
      </w:r>
      <w:r w:rsidRPr="00FF386D">
        <w:rPr>
          <w:rFonts w:asciiTheme="majorHAnsi" w:hAnsiTheme="majorHAnsi" w:cstheme="majorHAnsi"/>
        </w:rPr>
        <w:t xml:space="preserve"> на</w:t>
      </w:r>
      <w:r w:rsidR="004861F4" w:rsidRPr="00FF386D">
        <w:rPr>
          <w:rFonts w:asciiTheme="majorHAnsi" w:hAnsiTheme="majorHAnsi" w:cstheme="majorHAnsi"/>
        </w:rPr>
        <w:t xml:space="preserve"> 6,9 </w:t>
      </w:r>
      <w:r w:rsidRPr="00FF386D">
        <w:rPr>
          <w:rFonts w:asciiTheme="majorHAnsi" w:hAnsiTheme="majorHAnsi" w:cstheme="majorHAnsi"/>
        </w:rPr>
        <w:t>Mtoe и пад од 2</w:t>
      </w:r>
      <w:r w:rsidR="004861F4" w:rsidRPr="00FF386D">
        <w:rPr>
          <w:rFonts w:asciiTheme="majorHAnsi" w:hAnsiTheme="majorHAnsi" w:cstheme="majorHAnsi"/>
        </w:rPr>
        <w:t>7,1</w:t>
      </w:r>
      <w:r w:rsidRPr="00FF386D">
        <w:rPr>
          <w:rFonts w:asciiTheme="majorHAnsi" w:hAnsiTheme="majorHAnsi" w:cstheme="majorHAnsi"/>
        </w:rPr>
        <w:t xml:space="preserve">% у сценарију </w:t>
      </w:r>
      <w:r w:rsidRPr="00FF386D">
        <w:rPr>
          <w:rFonts w:asciiTheme="majorHAnsi" w:hAnsiTheme="majorHAnsi" w:cstheme="majorHAnsi"/>
          <w:i/>
        </w:rPr>
        <w:t>S-N</w:t>
      </w:r>
      <w:r w:rsidRPr="00FF386D">
        <w:rPr>
          <w:rFonts w:asciiTheme="majorHAnsi" w:hAnsiTheme="majorHAnsi" w:cstheme="majorHAnsi"/>
        </w:rPr>
        <w:t xml:space="preserve"> на око </w:t>
      </w:r>
      <w:r w:rsidR="004861F4" w:rsidRPr="00FF386D">
        <w:rPr>
          <w:rFonts w:asciiTheme="majorHAnsi" w:hAnsiTheme="majorHAnsi" w:cstheme="majorHAnsi"/>
        </w:rPr>
        <w:t>6,6</w:t>
      </w:r>
      <w:r w:rsidRPr="00FF386D">
        <w:rPr>
          <w:rFonts w:asciiTheme="majorHAnsi" w:hAnsiTheme="majorHAnsi" w:cstheme="majorHAnsi"/>
        </w:rPr>
        <w:t xml:space="preserve"> Mtoe. Чврста горива као и ОИЕ и отпад чине горива са највећим доприносом и у 2030. и 2050. години.</w:t>
      </w:r>
    </w:p>
    <w:p w14:paraId="03915C2F" w14:textId="2EA77F64" w:rsidR="00770596" w:rsidRDefault="00770596" w:rsidP="00565B02">
      <w:pPr>
        <w:pStyle w:val="Caption"/>
        <w:keepNext/>
      </w:pPr>
      <w:bookmarkStart w:id="424" w:name="_Ref153893154"/>
      <w:bookmarkStart w:id="425" w:name="_Toc153901447"/>
      <w:bookmarkEnd w:id="423"/>
      <w:r>
        <w:lastRenderedPageBreak/>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35</w:t>
      </w:r>
      <w:r w:rsidR="00F35B2C">
        <w:fldChar w:fldCharType="end"/>
      </w:r>
      <w:bookmarkEnd w:id="424"/>
      <w:r>
        <w:t xml:space="preserve">: </w:t>
      </w:r>
      <w:r w:rsidRPr="00770596">
        <w:t>Примарна производња</w:t>
      </w:r>
      <w:bookmarkEnd w:id="425"/>
    </w:p>
    <w:p w14:paraId="0F7389B2" w14:textId="51A30CC9" w:rsidR="00A244F6" w:rsidRPr="00FF386D" w:rsidRDefault="00770596" w:rsidP="00A244F6">
      <w:pPr>
        <w:suppressAutoHyphens/>
        <w:jc w:val="center"/>
        <w:rPr>
          <w:b/>
          <w:bCs/>
        </w:rPr>
      </w:pPr>
      <w:r>
        <w:rPr>
          <w:noProof/>
          <w:lang w:val="en-US"/>
        </w:rPr>
        <mc:AlternateContent>
          <mc:Choice Requires="wps">
            <w:drawing>
              <wp:anchor distT="0" distB="0" distL="114300" distR="114300" simplePos="0" relativeHeight="251827200" behindDoc="0" locked="0" layoutInCell="1" allowOverlap="1" wp14:anchorId="72E618E1" wp14:editId="0CB4941C">
                <wp:simplePos x="0" y="0"/>
                <wp:positionH relativeFrom="column">
                  <wp:posOffset>358083</wp:posOffset>
                </wp:positionH>
                <wp:positionV relativeFrom="paragraph">
                  <wp:posOffset>353695</wp:posOffset>
                </wp:positionV>
                <wp:extent cx="3248025" cy="2647666"/>
                <wp:effectExtent l="0" t="0" r="9525" b="635"/>
                <wp:wrapNone/>
                <wp:docPr id="924186782" name="Text Box 924186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8025" cy="2647666"/>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62BC1FC5" id="Text Box 924186782" o:spid="_x0000_s1026" type="#_x0000_t202" style="position:absolute;margin-left:28.2pt;margin-top:27.85pt;width:255.75pt;height:208.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" fillcolor="#a6a6a6" stroked="f">
                <v:fill opacity="32896f"/>
              </v:shape>
            </w:pict>
          </mc:Fallback>
        </mc:AlternateContent>
      </w:r>
      <w:r w:rsidR="004861F4" w:rsidRPr="004F53D7">
        <w:rPr>
          <w:b/>
          <w:bCs/>
          <w:noProof/>
          <w:lang w:val="en-US"/>
        </w:rPr>
        <w:drawing>
          <wp:inline distT="0" distB="0" distL="0" distR="0" wp14:anchorId="506F48CE" wp14:editId="2D984E2E">
            <wp:extent cx="5923280" cy="4136815"/>
            <wp:effectExtent l="0" t="0" r="1270" b="0"/>
            <wp:docPr id="908969445" name="Picture 908969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954112" cy="4158348"/>
                    </a:xfrm>
                    <a:prstGeom prst="rect">
                      <a:avLst/>
                    </a:prstGeom>
                    <a:noFill/>
                  </pic:spPr>
                </pic:pic>
              </a:graphicData>
            </a:graphic>
          </wp:inline>
        </w:drawing>
      </w:r>
    </w:p>
    <w:p w14:paraId="5E761840" w14:textId="0D2EE5B1" w:rsidR="00A244F6" w:rsidRPr="00FF386D" w:rsidRDefault="00A244F6" w:rsidP="00A244F6">
      <w:pPr>
        <w:suppressAutoHyphens/>
        <w:jc w:val="both"/>
        <w:rPr>
          <w:rFonts w:asciiTheme="majorHAnsi" w:hAnsiTheme="majorHAnsi" w:cstheme="majorHAnsi"/>
        </w:rPr>
      </w:pPr>
      <w:r w:rsidRPr="00FF386D">
        <w:rPr>
          <w:rFonts w:asciiTheme="majorHAnsi" w:hAnsiTheme="majorHAnsi" w:cstheme="majorHAnsi"/>
        </w:rPr>
        <w:t>У свим сценаријима, укупан увоз енергије износи 7,</w:t>
      </w:r>
      <w:r w:rsidR="004861F4" w:rsidRPr="00FF386D">
        <w:rPr>
          <w:rFonts w:asciiTheme="majorHAnsi" w:hAnsiTheme="majorHAnsi" w:cstheme="majorHAnsi"/>
        </w:rPr>
        <w:t>6</w:t>
      </w:r>
      <w:r w:rsidRPr="00FF386D">
        <w:rPr>
          <w:rFonts w:asciiTheme="majorHAnsi" w:hAnsiTheme="majorHAnsi" w:cstheme="majorHAnsi"/>
        </w:rPr>
        <w:t xml:space="preserve"> Mtoe у 2030. години (</w:t>
      </w:r>
      <w:r w:rsidR="008040FA">
        <w:rPr>
          <w:rFonts w:asciiTheme="majorHAnsi" w:hAnsiTheme="majorHAnsi" w:cstheme="majorHAnsi"/>
        </w:rPr>
        <w:fldChar w:fldCharType="begin"/>
      </w:r>
      <w:r w:rsidR="008040FA">
        <w:rPr>
          <w:rFonts w:asciiTheme="majorHAnsi" w:hAnsiTheme="majorHAnsi" w:cstheme="majorHAnsi"/>
        </w:rPr>
        <w:instrText xml:space="preserve"> REF _Ref153893234 \h  \* MERGEFORMAT </w:instrText>
      </w:r>
      <w:r w:rsidR="008040FA">
        <w:rPr>
          <w:rFonts w:asciiTheme="majorHAnsi" w:hAnsiTheme="majorHAnsi" w:cstheme="majorHAnsi"/>
        </w:rPr>
      </w:r>
      <w:r w:rsidR="008040FA">
        <w:rPr>
          <w:rFonts w:asciiTheme="majorHAnsi" w:hAnsiTheme="majorHAnsi" w:cstheme="majorHAnsi"/>
        </w:rPr>
        <w:fldChar w:fldCharType="separate"/>
      </w:r>
      <w:r w:rsidR="008040FA" w:rsidRPr="00565B02">
        <w:rPr>
          <w:rFonts w:asciiTheme="majorHAnsi" w:hAnsiTheme="majorHAnsi" w:cstheme="majorHAnsi"/>
        </w:rPr>
        <w:t>Слика 5.36</w:t>
      </w:r>
      <w:r w:rsidR="008040FA">
        <w:rPr>
          <w:rFonts w:asciiTheme="majorHAnsi" w:hAnsiTheme="majorHAnsi" w:cstheme="majorHAnsi"/>
        </w:rPr>
        <w:fldChar w:fldCharType="end"/>
      </w:r>
      <w:r w:rsidRPr="00FF386D">
        <w:rPr>
          <w:rFonts w:asciiTheme="majorHAnsi" w:hAnsiTheme="majorHAnsi" w:cstheme="majorHAnsi"/>
        </w:rPr>
        <w:t>). У 2050. години, укупан увоз енергије ће порасти за 29,</w:t>
      </w:r>
      <w:r w:rsidR="004861F4" w:rsidRPr="00FF386D">
        <w:rPr>
          <w:rFonts w:asciiTheme="majorHAnsi" w:hAnsiTheme="majorHAnsi" w:cstheme="majorHAnsi"/>
        </w:rPr>
        <w:t>2</w:t>
      </w:r>
      <w:r w:rsidRPr="00FF386D">
        <w:rPr>
          <w:rFonts w:asciiTheme="majorHAnsi" w:hAnsiTheme="majorHAnsi" w:cstheme="majorHAnsi"/>
        </w:rPr>
        <w:t xml:space="preserve">% само у </w:t>
      </w:r>
      <w:r w:rsidRPr="00FF386D">
        <w:rPr>
          <w:rFonts w:asciiTheme="majorHAnsi" w:hAnsiTheme="majorHAnsi" w:cstheme="majorHAnsi"/>
          <w:i/>
        </w:rPr>
        <w:t>WEM</w:t>
      </w:r>
      <w:r w:rsidRPr="00FF386D">
        <w:rPr>
          <w:rFonts w:asciiTheme="majorHAnsi" w:hAnsiTheme="majorHAnsi" w:cstheme="majorHAnsi"/>
        </w:rPr>
        <w:t xml:space="preserve"> сценарију на 9,8 Mtoe, у поређењу са нивоoм из 2030. године, док се предвиђа пад од 1</w:t>
      </w:r>
      <w:r w:rsidR="00DD6BEE" w:rsidRPr="00FF386D">
        <w:rPr>
          <w:rFonts w:asciiTheme="majorHAnsi" w:hAnsiTheme="majorHAnsi" w:cstheme="majorHAnsi"/>
        </w:rPr>
        <w:t>1</w:t>
      </w:r>
      <w:r w:rsidRPr="00FF386D">
        <w:rPr>
          <w:rFonts w:asciiTheme="majorHAnsi" w:hAnsiTheme="majorHAnsi" w:cstheme="majorHAnsi"/>
        </w:rPr>
        <w:t>% (на 6,</w:t>
      </w:r>
      <w:r w:rsidR="00DD6BEE" w:rsidRPr="00FF386D">
        <w:rPr>
          <w:rFonts w:asciiTheme="majorHAnsi" w:hAnsiTheme="majorHAnsi" w:cstheme="majorHAnsi"/>
        </w:rPr>
        <w:t>7</w:t>
      </w:r>
      <w:r w:rsidRPr="00FF386D">
        <w:rPr>
          <w:rFonts w:asciiTheme="majorHAnsi" w:hAnsiTheme="majorHAnsi" w:cstheme="majorHAnsi"/>
        </w:rPr>
        <w:t xml:space="preserve"> Mtoe) у сценарију </w:t>
      </w:r>
      <w:r w:rsidRPr="00FF386D">
        <w:rPr>
          <w:rFonts w:asciiTheme="majorHAnsi" w:hAnsiTheme="majorHAnsi" w:cstheme="majorHAnsi"/>
          <w:i/>
        </w:rPr>
        <w:t>S</w:t>
      </w:r>
      <w:r w:rsidRPr="00FF386D">
        <w:rPr>
          <w:rFonts w:asciiTheme="majorHAnsi" w:hAnsiTheme="majorHAnsi" w:cstheme="majorHAnsi"/>
        </w:rPr>
        <w:t xml:space="preserve"> и пад од </w:t>
      </w:r>
      <w:r w:rsidR="00DD6BEE" w:rsidRPr="00FF386D">
        <w:rPr>
          <w:rFonts w:asciiTheme="majorHAnsi" w:hAnsiTheme="majorHAnsi" w:cstheme="majorHAnsi"/>
        </w:rPr>
        <w:t>18,2</w:t>
      </w:r>
      <w:r w:rsidRPr="00FF386D">
        <w:rPr>
          <w:rFonts w:asciiTheme="majorHAnsi" w:hAnsiTheme="majorHAnsi" w:cstheme="majorHAnsi"/>
        </w:rPr>
        <w:t xml:space="preserve">% (на </w:t>
      </w:r>
      <w:r w:rsidR="00DD6BEE" w:rsidRPr="00FF386D">
        <w:rPr>
          <w:rFonts w:asciiTheme="majorHAnsi" w:hAnsiTheme="majorHAnsi" w:cstheme="majorHAnsi"/>
        </w:rPr>
        <w:t>6,1</w:t>
      </w:r>
      <w:r w:rsidRPr="00FF386D">
        <w:rPr>
          <w:rFonts w:asciiTheme="majorHAnsi" w:hAnsiTheme="majorHAnsi" w:cstheme="majorHAnsi"/>
        </w:rPr>
        <w:t xml:space="preserve"> Mtoe) у сценарију </w:t>
      </w:r>
      <w:r w:rsidRPr="00FF386D">
        <w:rPr>
          <w:rFonts w:asciiTheme="majorHAnsi" w:hAnsiTheme="majorHAnsi" w:cstheme="majorHAnsi"/>
          <w:i/>
        </w:rPr>
        <w:t>S-N</w:t>
      </w:r>
      <w:r w:rsidRPr="00FF386D">
        <w:rPr>
          <w:rFonts w:asciiTheme="majorHAnsi" w:hAnsiTheme="majorHAnsi" w:cstheme="majorHAnsi"/>
        </w:rPr>
        <w:t xml:space="preserve">. Нафта и природни гас су горива која највише доприносе у сценаријима </w:t>
      </w:r>
      <w:r w:rsidRPr="00FF386D">
        <w:rPr>
          <w:rFonts w:asciiTheme="majorHAnsi" w:hAnsiTheme="majorHAnsi" w:cstheme="majorHAnsi"/>
          <w:i/>
        </w:rPr>
        <w:t>S</w:t>
      </w:r>
      <w:r w:rsidRPr="00FF386D">
        <w:rPr>
          <w:rFonts w:asciiTheme="majorHAnsi" w:hAnsiTheme="majorHAnsi" w:cstheme="majorHAnsi"/>
        </w:rPr>
        <w:t xml:space="preserve"> и </w:t>
      </w:r>
      <w:r w:rsidRPr="00FF386D">
        <w:rPr>
          <w:rFonts w:asciiTheme="majorHAnsi" w:hAnsiTheme="majorHAnsi" w:cstheme="majorHAnsi"/>
          <w:i/>
        </w:rPr>
        <w:t>S-N</w:t>
      </w:r>
      <w:r w:rsidRPr="00FF386D">
        <w:rPr>
          <w:rFonts w:asciiTheme="majorHAnsi" w:hAnsiTheme="majorHAnsi" w:cstheme="majorHAnsi"/>
        </w:rPr>
        <w:t xml:space="preserve"> и у 2030. и 2050. години.</w:t>
      </w:r>
    </w:p>
    <w:p w14:paraId="4F48EF05" w14:textId="7A59D9AD" w:rsidR="008040FA" w:rsidRDefault="008040FA" w:rsidP="00565B02">
      <w:pPr>
        <w:pStyle w:val="Caption"/>
        <w:keepNext/>
      </w:pPr>
      <w:bookmarkStart w:id="426" w:name="_Ref153893234"/>
      <w:bookmarkStart w:id="427" w:name="_Toc153901448"/>
      <w:r>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36</w:t>
      </w:r>
      <w:r w:rsidR="00F35B2C">
        <w:fldChar w:fldCharType="end"/>
      </w:r>
      <w:bookmarkEnd w:id="426"/>
      <w:r>
        <w:t xml:space="preserve">: </w:t>
      </w:r>
      <w:r w:rsidRPr="008040FA">
        <w:t>Увоз енергије по гориву</w:t>
      </w:r>
      <w:bookmarkEnd w:id="427"/>
    </w:p>
    <w:p w14:paraId="383D75E1" w14:textId="4D770B71" w:rsidR="00DD6BEE" w:rsidRPr="00FF386D" w:rsidRDefault="008040FA" w:rsidP="00DD6BEE">
      <w:pPr>
        <w:jc w:val="center"/>
        <w:rPr>
          <w:lang w:eastAsia="el-GR"/>
        </w:rPr>
      </w:pPr>
      <w:r>
        <w:rPr>
          <w:noProof/>
          <w:lang w:val="en-US"/>
        </w:rPr>
        <mc:AlternateContent>
          <mc:Choice Requires="wps">
            <w:drawing>
              <wp:anchor distT="0" distB="0" distL="114300" distR="114300" simplePos="0" relativeHeight="251829248" behindDoc="0" locked="0" layoutInCell="1" allowOverlap="1" wp14:anchorId="4DE97C2B" wp14:editId="73D1C7BE">
                <wp:simplePos x="0" y="0"/>
                <wp:positionH relativeFrom="column">
                  <wp:posOffset>787400</wp:posOffset>
                </wp:positionH>
                <wp:positionV relativeFrom="paragraph">
                  <wp:posOffset>195106</wp:posOffset>
                </wp:positionV>
                <wp:extent cx="2893325" cy="2067389"/>
                <wp:effectExtent l="0" t="0" r="2540" b="9525"/>
                <wp:wrapNone/>
                <wp:docPr id="88659451" name="Text Box 88659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3325" cy="2067389"/>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2702840D" id="Text Box 88659451" o:spid="_x0000_s1026" type="#_x0000_t202" style="position:absolute;margin-left:62pt;margin-top:15.35pt;width:227.8pt;height:162.8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" fillcolor="#a6a6a6" stroked="f">
                <v:fill opacity="32896f"/>
              </v:shape>
            </w:pict>
          </mc:Fallback>
        </mc:AlternateContent>
      </w:r>
      <w:r w:rsidR="00B90726">
        <w:rPr>
          <w:noProof/>
          <w:lang w:val="en-US"/>
        </w:rPr>
        <w:drawing>
          <wp:inline distT="0" distB="0" distL="0" distR="0" wp14:anchorId="3CAAB2D6" wp14:editId="2DD0590F">
            <wp:extent cx="5250180" cy="2965292"/>
            <wp:effectExtent l="0" t="0" r="0" b="0"/>
            <wp:docPr id="1117467868" name="Picture 1117467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302391" cy="2994781"/>
                    </a:xfrm>
                    <a:prstGeom prst="rect">
                      <a:avLst/>
                    </a:prstGeom>
                    <a:noFill/>
                  </pic:spPr>
                </pic:pic>
              </a:graphicData>
            </a:graphic>
          </wp:inline>
        </w:drawing>
      </w:r>
    </w:p>
    <w:p w14:paraId="0099C893" w14:textId="50C76841" w:rsidR="008040FA" w:rsidRDefault="00A244F6" w:rsidP="00565B02">
      <w:pPr>
        <w:suppressAutoHyphens/>
        <w:jc w:val="both"/>
      </w:pPr>
      <w:r w:rsidRPr="00FF386D">
        <w:rPr>
          <w:rFonts w:asciiTheme="majorHAnsi" w:hAnsiTheme="majorHAnsi" w:cstheme="majorHAnsi"/>
        </w:rPr>
        <w:lastRenderedPageBreak/>
        <w:t xml:space="preserve">Слично томе, у </w:t>
      </w:r>
      <w:r w:rsidRPr="00FF386D">
        <w:rPr>
          <w:rFonts w:asciiTheme="majorHAnsi" w:hAnsiTheme="majorHAnsi" w:cstheme="majorHAnsi"/>
          <w:i/>
        </w:rPr>
        <w:t>WEM</w:t>
      </w:r>
      <w:r w:rsidRPr="00FF386D">
        <w:rPr>
          <w:rFonts w:asciiTheme="majorHAnsi" w:hAnsiTheme="majorHAnsi" w:cstheme="majorHAnsi"/>
        </w:rPr>
        <w:t xml:space="preserve"> сценарију, укупни извоз енергије износи </w:t>
      </w:r>
      <w:r w:rsidR="00DD6BEE" w:rsidRPr="00FF386D">
        <w:rPr>
          <w:rFonts w:asciiTheme="majorHAnsi" w:hAnsiTheme="majorHAnsi" w:cstheme="majorHAnsi"/>
        </w:rPr>
        <w:t>914</w:t>
      </w:r>
      <w:r w:rsidRPr="00FF386D">
        <w:rPr>
          <w:rFonts w:asciiTheme="majorHAnsi" w:hAnsiTheme="majorHAnsi" w:cstheme="majorHAnsi"/>
        </w:rPr>
        <w:t xml:space="preserve"> ktoe у 2030. години, што је око 1</w:t>
      </w:r>
      <w:r w:rsidR="00DD6BEE" w:rsidRPr="00FF386D">
        <w:rPr>
          <w:rFonts w:asciiTheme="majorHAnsi" w:hAnsiTheme="majorHAnsi" w:cstheme="majorHAnsi"/>
        </w:rPr>
        <w:t>2</w:t>
      </w:r>
      <w:r w:rsidRPr="00FF386D">
        <w:rPr>
          <w:rFonts w:asciiTheme="majorHAnsi" w:hAnsiTheme="majorHAnsi" w:cstheme="majorHAnsi"/>
        </w:rPr>
        <w:t xml:space="preserve">% ниже него </w:t>
      </w:r>
      <w:r w:rsidR="00DD6BEE" w:rsidRPr="00FF386D">
        <w:rPr>
          <w:rFonts w:asciiTheme="majorHAnsi" w:hAnsiTheme="majorHAnsi" w:cstheme="majorHAnsi"/>
        </w:rPr>
        <w:t>1.034</w:t>
      </w:r>
      <w:r w:rsidRPr="00FF386D">
        <w:rPr>
          <w:rFonts w:asciiTheme="majorHAnsi" w:hAnsiTheme="majorHAnsi" w:cstheme="majorHAnsi"/>
        </w:rPr>
        <w:t xml:space="preserve"> ktoe у сценаријима </w:t>
      </w:r>
      <w:r w:rsidRPr="00FF386D">
        <w:rPr>
          <w:rFonts w:asciiTheme="majorHAnsi" w:hAnsiTheme="majorHAnsi" w:cstheme="majorHAnsi"/>
          <w:i/>
        </w:rPr>
        <w:t>S</w:t>
      </w:r>
      <w:r w:rsidRPr="00FF386D">
        <w:rPr>
          <w:rFonts w:asciiTheme="majorHAnsi" w:hAnsiTheme="majorHAnsi" w:cstheme="majorHAnsi"/>
        </w:rPr>
        <w:t xml:space="preserve"> и </w:t>
      </w:r>
      <w:r w:rsidRPr="00FF386D">
        <w:rPr>
          <w:rFonts w:asciiTheme="majorHAnsi" w:hAnsiTheme="majorHAnsi" w:cstheme="majorHAnsi"/>
          <w:i/>
        </w:rPr>
        <w:t>S-N</w:t>
      </w:r>
      <w:r w:rsidRPr="00FF386D">
        <w:rPr>
          <w:rFonts w:asciiTheme="majorHAnsi" w:hAnsiTheme="majorHAnsi" w:cstheme="majorHAnsi"/>
        </w:rPr>
        <w:t xml:space="preserve"> током исте године (</w:t>
      </w:r>
      <w:r w:rsidR="008040FA">
        <w:rPr>
          <w:rFonts w:asciiTheme="majorHAnsi" w:hAnsiTheme="majorHAnsi" w:cstheme="majorHAnsi"/>
        </w:rPr>
        <w:fldChar w:fldCharType="begin"/>
      </w:r>
      <w:r w:rsidR="008040FA">
        <w:rPr>
          <w:rFonts w:asciiTheme="majorHAnsi" w:hAnsiTheme="majorHAnsi" w:cstheme="majorHAnsi"/>
        </w:rPr>
        <w:instrText xml:space="preserve"> REF _Ref153893364 \h  \* MERGEFORMAT </w:instrText>
      </w:r>
      <w:r w:rsidR="008040FA">
        <w:rPr>
          <w:rFonts w:asciiTheme="majorHAnsi" w:hAnsiTheme="majorHAnsi" w:cstheme="majorHAnsi"/>
        </w:rPr>
      </w:r>
      <w:r w:rsidR="008040FA">
        <w:rPr>
          <w:rFonts w:asciiTheme="majorHAnsi" w:hAnsiTheme="majorHAnsi" w:cstheme="majorHAnsi"/>
        </w:rPr>
        <w:fldChar w:fldCharType="separate"/>
      </w:r>
      <w:r w:rsidR="008040FA" w:rsidRPr="00565B02">
        <w:rPr>
          <w:rFonts w:asciiTheme="majorHAnsi" w:hAnsiTheme="majorHAnsi" w:cstheme="majorHAnsi"/>
        </w:rPr>
        <w:t>Слика 5.37</w:t>
      </w:r>
      <w:r w:rsidR="008040FA">
        <w:rPr>
          <w:rFonts w:asciiTheme="majorHAnsi" w:hAnsiTheme="majorHAnsi" w:cstheme="majorHAnsi"/>
        </w:rPr>
        <w:fldChar w:fldCharType="end"/>
      </w:r>
      <w:r w:rsidRPr="00FF386D">
        <w:rPr>
          <w:rFonts w:asciiTheme="majorHAnsi" w:hAnsiTheme="majorHAnsi" w:cstheme="majorHAnsi"/>
        </w:rPr>
        <w:t xml:space="preserve">). У 2050. години, укупан извоз енергије смањује се у </w:t>
      </w:r>
      <w:r w:rsidRPr="00FF386D">
        <w:rPr>
          <w:rFonts w:asciiTheme="majorHAnsi" w:hAnsiTheme="majorHAnsi" w:cstheme="majorHAnsi"/>
          <w:i/>
        </w:rPr>
        <w:t>WEM</w:t>
      </w:r>
      <w:r w:rsidRPr="00FF386D">
        <w:rPr>
          <w:rFonts w:asciiTheme="majorHAnsi" w:hAnsiTheme="majorHAnsi" w:cstheme="majorHAnsi"/>
        </w:rPr>
        <w:t xml:space="preserve"> сценарију за </w:t>
      </w:r>
      <w:r w:rsidR="00DD6BEE" w:rsidRPr="00FF386D">
        <w:rPr>
          <w:rFonts w:asciiTheme="majorHAnsi" w:hAnsiTheme="majorHAnsi" w:cstheme="majorHAnsi"/>
        </w:rPr>
        <w:t>48,6</w:t>
      </w:r>
      <w:r w:rsidRPr="00FF386D">
        <w:rPr>
          <w:rFonts w:asciiTheme="majorHAnsi" w:hAnsiTheme="majorHAnsi" w:cstheme="majorHAnsi"/>
        </w:rPr>
        <w:t>% на 4</w:t>
      </w:r>
      <w:r w:rsidR="00DD6BEE" w:rsidRPr="00FF386D">
        <w:rPr>
          <w:rFonts w:asciiTheme="majorHAnsi" w:hAnsiTheme="majorHAnsi" w:cstheme="majorHAnsi"/>
        </w:rPr>
        <w:t>7</w:t>
      </w:r>
      <w:r w:rsidRPr="00FF386D">
        <w:rPr>
          <w:rFonts w:asciiTheme="majorHAnsi" w:hAnsiTheme="majorHAnsi" w:cstheme="majorHAnsi"/>
        </w:rPr>
        <w:t xml:space="preserve">0 ktoe, у </w:t>
      </w:r>
      <w:r w:rsidR="00937348" w:rsidRPr="00FF386D">
        <w:rPr>
          <w:rFonts w:asciiTheme="majorHAnsi" w:hAnsiTheme="majorHAnsi" w:cstheme="majorHAnsi"/>
        </w:rPr>
        <w:t xml:space="preserve">сценарију </w:t>
      </w:r>
      <w:r w:rsidR="00937348" w:rsidRPr="00FF386D">
        <w:rPr>
          <w:rFonts w:asciiTheme="majorHAnsi" w:hAnsiTheme="majorHAnsi" w:cstheme="majorHAnsi"/>
          <w:i/>
          <w:iCs/>
        </w:rPr>
        <w:t>S</w:t>
      </w:r>
      <w:r w:rsidR="00937348" w:rsidRPr="00FF386D">
        <w:rPr>
          <w:rFonts w:asciiTheme="majorHAnsi" w:hAnsiTheme="majorHAnsi" w:cstheme="majorHAnsi"/>
        </w:rPr>
        <w:t xml:space="preserve"> за 15,</w:t>
      </w:r>
      <w:r w:rsidR="00FC652A" w:rsidRPr="00FF386D">
        <w:rPr>
          <w:rFonts w:asciiTheme="majorHAnsi" w:hAnsiTheme="majorHAnsi" w:cstheme="majorHAnsi"/>
        </w:rPr>
        <w:t>8</w:t>
      </w:r>
      <w:r w:rsidR="00937348" w:rsidRPr="00FF386D">
        <w:rPr>
          <w:rFonts w:asciiTheme="majorHAnsi" w:hAnsiTheme="majorHAnsi" w:cstheme="majorHAnsi"/>
        </w:rPr>
        <w:t>% на 870</w:t>
      </w:r>
      <w:r w:rsidR="00FC652A" w:rsidRPr="00FF386D">
        <w:rPr>
          <w:rFonts w:asciiTheme="majorHAnsi" w:hAnsiTheme="majorHAnsi" w:cstheme="majorHAnsi"/>
        </w:rPr>
        <w:t xml:space="preserve"> ktoe и у сценарију S-N</w:t>
      </w:r>
      <w:r w:rsidR="00937348" w:rsidRPr="00FF386D">
        <w:rPr>
          <w:rFonts w:asciiTheme="majorHAnsi" w:hAnsiTheme="majorHAnsi" w:cstheme="majorHAnsi"/>
        </w:rPr>
        <w:t xml:space="preserve"> </w:t>
      </w:r>
      <w:r w:rsidR="00FC652A" w:rsidRPr="00FF386D">
        <w:rPr>
          <w:rFonts w:asciiTheme="majorHAnsi" w:hAnsiTheme="majorHAnsi" w:cstheme="majorHAnsi"/>
        </w:rPr>
        <w:t xml:space="preserve">за 12,7% на 903 ktoe. </w:t>
      </w:r>
      <w:r w:rsidRPr="00FF386D">
        <w:rPr>
          <w:rFonts w:asciiTheme="majorHAnsi" w:hAnsiTheme="majorHAnsi" w:cstheme="majorHAnsi"/>
        </w:rPr>
        <w:t xml:space="preserve">Електрична енергија и нафта су горива са највећим доприносом и у 2030. и 2050. години за сва сценарија, али треба приметити да постоји повећање чврстих горива у укупном извозу енергије у сценарију </w:t>
      </w:r>
      <w:r w:rsidRPr="00FF386D">
        <w:rPr>
          <w:rFonts w:asciiTheme="majorHAnsi" w:hAnsiTheme="majorHAnsi" w:cstheme="majorHAnsi"/>
          <w:i/>
        </w:rPr>
        <w:t>S-N</w:t>
      </w:r>
      <w:r w:rsidRPr="00FF386D">
        <w:rPr>
          <w:rFonts w:asciiTheme="majorHAnsi" w:hAnsiTheme="majorHAnsi" w:cstheme="majorHAnsi"/>
        </w:rPr>
        <w:t xml:space="preserve"> у 2050. години.</w:t>
      </w:r>
      <w:bookmarkStart w:id="428" w:name="_Toc113919360"/>
    </w:p>
    <w:p w14:paraId="26B05D69" w14:textId="38B67708" w:rsidR="008040FA" w:rsidRDefault="008040FA" w:rsidP="00565B02">
      <w:pPr>
        <w:pStyle w:val="Caption"/>
        <w:keepNext/>
      </w:pPr>
      <w:bookmarkStart w:id="429" w:name="_Ref153893364"/>
      <w:bookmarkStart w:id="430" w:name="_Toc153901449"/>
      <w:r>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37</w:t>
      </w:r>
      <w:r w:rsidR="00F35B2C">
        <w:fldChar w:fldCharType="end"/>
      </w:r>
      <w:bookmarkEnd w:id="429"/>
      <w:r>
        <w:t xml:space="preserve">: </w:t>
      </w:r>
      <w:r w:rsidRPr="008040FA">
        <w:t>Извоз енергије по гориву</w:t>
      </w:r>
      <w:bookmarkEnd w:id="430"/>
    </w:p>
    <w:p w14:paraId="228D49EF" w14:textId="31FD9991" w:rsidR="00FC652A" w:rsidRPr="00FF386D" w:rsidRDefault="008040FA" w:rsidP="00FC652A">
      <w:pPr>
        <w:suppressAutoHyphens/>
        <w:jc w:val="center"/>
        <w:rPr>
          <w:b/>
          <w:bCs/>
        </w:rPr>
      </w:pPr>
      <w:r>
        <w:rPr>
          <w:noProof/>
          <w:lang w:val="en-US"/>
        </w:rPr>
        <mc:AlternateContent>
          <mc:Choice Requires="wps">
            <w:drawing>
              <wp:anchor distT="0" distB="0" distL="114300" distR="114300" simplePos="0" relativeHeight="251831296" behindDoc="0" locked="0" layoutInCell="1" allowOverlap="1" wp14:anchorId="17654F01" wp14:editId="3BB5AF64">
                <wp:simplePos x="0" y="0"/>
                <wp:positionH relativeFrom="column">
                  <wp:posOffset>534831</wp:posOffset>
                </wp:positionH>
                <wp:positionV relativeFrom="paragraph">
                  <wp:posOffset>247015</wp:posOffset>
                </wp:positionV>
                <wp:extent cx="3207224" cy="3009815"/>
                <wp:effectExtent l="0" t="0" r="0" b="635"/>
                <wp:wrapNone/>
                <wp:docPr id="461101557" name="Text Box 461101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7224" cy="3009815"/>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5EEF3E77" id="Text Box 461101557" o:spid="_x0000_s1026" type="#_x0000_t202" style="position:absolute;margin-left:42.1pt;margin-top:19.45pt;width:252.55pt;height:237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" fillcolor="#a6a6a6" stroked="f">
                <v:fill opacity="32896f"/>
              </v:shape>
            </w:pict>
          </mc:Fallback>
        </mc:AlternateContent>
      </w:r>
      <w:r w:rsidR="00FC652A" w:rsidRPr="004F53D7">
        <w:rPr>
          <w:b/>
          <w:bCs/>
          <w:noProof/>
          <w:lang w:val="en-US"/>
        </w:rPr>
        <w:drawing>
          <wp:inline distT="0" distB="0" distL="0" distR="0" wp14:anchorId="6B573704" wp14:editId="48BDC68F">
            <wp:extent cx="5775960" cy="3931237"/>
            <wp:effectExtent l="0" t="0" r="0" b="0"/>
            <wp:docPr id="116341032" name="Picture 11634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804091" cy="3950384"/>
                    </a:xfrm>
                    <a:prstGeom prst="rect">
                      <a:avLst/>
                    </a:prstGeom>
                    <a:noFill/>
                  </pic:spPr>
                </pic:pic>
              </a:graphicData>
            </a:graphic>
          </wp:inline>
        </w:drawing>
      </w:r>
    </w:p>
    <w:p w14:paraId="30991E66" w14:textId="0CF7587D" w:rsidR="00A244F6" w:rsidRPr="00FF386D" w:rsidRDefault="00A244F6" w:rsidP="00FC652A">
      <w:pPr>
        <w:suppressAutoHyphens/>
        <w:jc w:val="both"/>
        <w:rPr>
          <w:rFonts w:asciiTheme="majorHAnsi" w:hAnsiTheme="majorHAnsi" w:cstheme="majorHAnsi"/>
          <w:b/>
          <w:bCs/>
        </w:rPr>
      </w:pPr>
      <w:r w:rsidRPr="00FF386D">
        <w:rPr>
          <w:rFonts w:asciiTheme="majorHAnsi" w:hAnsiTheme="majorHAnsi" w:cstheme="majorHAnsi"/>
        </w:rPr>
        <w:t xml:space="preserve">Укупан нето увоз енергије у </w:t>
      </w:r>
      <w:r w:rsidRPr="00FF386D">
        <w:rPr>
          <w:rFonts w:asciiTheme="majorHAnsi" w:hAnsiTheme="majorHAnsi" w:cstheme="majorHAnsi"/>
          <w:i/>
        </w:rPr>
        <w:t>WEM</w:t>
      </w:r>
      <w:r w:rsidRPr="00FF386D">
        <w:rPr>
          <w:rFonts w:asciiTheme="majorHAnsi" w:hAnsiTheme="majorHAnsi" w:cstheme="majorHAnsi"/>
        </w:rPr>
        <w:t xml:space="preserve"> сценарију износи 6,</w:t>
      </w:r>
      <w:r w:rsidR="00FC652A" w:rsidRPr="00FF386D">
        <w:rPr>
          <w:rFonts w:asciiTheme="majorHAnsi" w:hAnsiTheme="majorHAnsi" w:cstheme="majorHAnsi"/>
        </w:rPr>
        <w:t>7</w:t>
      </w:r>
      <w:r w:rsidRPr="00FF386D">
        <w:rPr>
          <w:rFonts w:asciiTheme="majorHAnsi" w:hAnsiTheme="majorHAnsi" w:cstheme="majorHAnsi"/>
        </w:rPr>
        <w:t xml:space="preserve"> Mtoe у 2030, што је скоро исто у поређењу са сценаријима </w:t>
      </w:r>
      <w:r w:rsidRPr="00FF386D">
        <w:rPr>
          <w:rFonts w:asciiTheme="majorHAnsi" w:hAnsiTheme="majorHAnsi" w:cstheme="majorHAnsi"/>
          <w:i/>
        </w:rPr>
        <w:t>S</w:t>
      </w:r>
      <w:r w:rsidRPr="00FF386D">
        <w:rPr>
          <w:rFonts w:asciiTheme="majorHAnsi" w:hAnsiTheme="majorHAnsi" w:cstheme="majorHAnsi"/>
        </w:rPr>
        <w:t xml:space="preserve"> и </w:t>
      </w:r>
      <w:r w:rsidRPr="00FF386D">
        <w:rPr>
          <w:rFonts w:asciiTheme="majorHAnsi" w:hAnsiTheme="majorHAnsi" w:cstheme="majorHAnsi"/>
          <w:i/>
        </w:rPr>
        <w:t>S-N</w:t>
      </w:r>
      <w:r w:rsidRPr="00FF386D">
        <w:rPr>
          <w:rFonts w:asciiTheme="majorHAnsi" w:hAnsiTheme="majorHAnsi" w:cstheme="majorHAnsi"/>
        </w:rPr>
        <w:t xml:space="preserve"> током исте године (</w:t>
      </w:r>
      <w:r w:rsidR="00B42120">
        <w:rPr>
          <w:rFonts w:asciiTheme="majorHAnsi" w:hAnsiTheme="majorHAnsi" w:cstheme="majorHAnsi"/>
        </w:rPr>
        <w:fldChar w:fldCharType="begin"/>
      </w:r>
      <w:r w:rsidR="00B42120">
        <w:rPr>
          <w:rFonts w:asciiTheme="majorHAnsi" w:hAnsiTheme="majorHAnsi" w:cstheme="majorHAnsi"/>
        </w:rPr>
        <w:instrText xml:space="preserve"> REF _Ref153893491 \h  \* MERGEFORMAT </w:instrText>
      </w:r>
      <w:r w:rsidR="00B42120">
        <w:rPr>
          <w:rFonts w:asciiTheme="majorHAnsi" w:hAnsiTheme="majorHAnsi" w:cstheme="majorHAnsi"/>
        </w:rPr>
      </w:r>
      <w:r w:rsidR="00B42120">
        <w:rPr>
          <w:rFonts w:asciiTheme="majorHAnsi" w:hAnsiTheme="majorHAnsi" w:cstheme="majorHAnsi"/>
        </w:rPr>
        <w:fldChar w:fldCharType="separate"/>
      </w:r>
      <w:r w:rsidR="00B42120" w:rsidRPr="00565B02">
        <w:rPr>
          <w:rFonts w:asciiTheme="majorHAnsi" w:hAnsiTheme="majorHAnsi" w:cstheme="majorHAnsi"/>
        </w:rPr>
        <w:t>Слика 5.38</w:t>
      </w:r>
      <w:r w:rsidR="00B42120">
        <w:rPr>
          <w:rFonts w:asciiTheme="majorHAnsi" w:hAnsiTheme="majorHAnsi" w:cstheme="majorHAnsi"/>
        </w:rPr>
        <w:fldChar w:fldCharType="end"/>
      </w:r>
      <w:r w:rsidRPr="00FF386D">
        <w:rPr>
          <w:rFonts w:asciiTheme="majorHAnsi" w:hAnsiTheme="majorHAnsi" w:cstheme="majorHAnsi"/>
        </w:rPr>
        <w:t xml:space="preserve">). У 2050. години, укупан нето увоз енергије ће порасти само у </w:t>
      </w:r>
      <w:r w:rsidRPr="00FF386D">
        <w:rPr>
          <w:rFonts w:asciiTheme="majorHAnsi" w:hAnsiTheme="majorHAnsi" w:cstheme="majorHAnsi"/>
          <w:i/>
        </w:rPr>
        <w:t>WEM</w:t>
      </w:r>
      <w:r w:rsidRPr="00FF386D">
        <w:rPr>
          <w:rFonts w:asciiTheme="majorHAnsi" w:hAnsiTheme="majorHAnsi" w:cstheme="majorHAnsi"/>
        </w:rPr>
        <w:t xml:space="preserve"> сценарију за 3</w:t>
      </w:r>
      <w:r w:rsidR="00FC652A" w:rsidRPr="00FF386D">
        <w:rPr>
          <w:rFonts w:asciiTheme="majorHAnsi" w:hAnsiTheme="majorHAnsi" w:cstheme="majorHAnsi"/>
        </w:rPr>
        <w:t>9,9</w:t>
      </w:r>
      <w:r w:rsidRPr="00FF386D">
        <w:rPr>
          <w:rFonts w:asciiTheme="majorHAnsi" w:hAnsiTheme="majorHAnsi" w:cstheme="majorHAnsi"/>
        </w:rPr>
        <w:t xml:space="preserve">% на 9,3 Mtoe, у поређењу са нивоом из 2030, док се предвиђа пад од </w:t>
      </w:r>
      <w:r w:rsidR="00FC652A" w:rsidRPr="00FF386D">
        <w:rPr>
          <w:rFonts w:asciiTheme="majorHAnsi" w:hAnsiTheme="majorHAnsi" w:cstheme="majorHAnsi"/>
        </w:rPr>
        <w:t>10,2</w:t>
      </w:r>
      <w:r w:rsidRPr="00FF386D">
        <w:rPr>
          <w:rFonts w:asciiTheme="majorHAnsi" w:hAnsiTheme="majorHAnsi" w:cstheme="majorHAnsi"/>
        </w:rPr>
        <w:t>% (на 5,</w:t>
      </w:r>
      <w:r w:rsidR="00FC652A" w:rsidRPr="00FF386D">
        <w:rPr>
          <w:rFonts w:asciiTheme="majorHAnsi" w:hAnsiTheme="majorHAnsi" w:cstheme="majorHAnsi"/>
        </w:rPr>
        <w:t>8</w:t>
      </w:r>
      <w:r w:rsidRPr="00FF386D">
        <w:rPr>
          <w:rFonts w:asciiTheme="majorHAnsi" w:hAnsiTheme="majorHAnsi" w:cstheme="majorHAnsi"/>
        </w:rPr>
        <w:t xml:space="preserve"> Mtoe) у сценарију </w:t>
      </w:r>
      <w:r w:rsidRPr="00FF386D">
        <w:rPr>
          <w:rFonts w:asciiTheme="majorHAnsi" w:hAnsiTheme="majorHAnsi" w:cstheme="majorHAnsi"/>
          <w:i/>
        </w:rPr>
        <w:t>S</w:t>
      </w:r>
      <w:r w:rsidRPr="00FF386D">
        <w:rPr>
          <w:rFonts w:asciiTheme="majorHAnsi" w:hAnsiTheme="majorHAnsi" w:cstheme="majorHAnsi"/>
        </w:rPr>
        <w:t xml:space="preserve"> и пад од </w:t>
      </w:r>
      <w:r w:rsidR="00FC652A" w:rsidRPr="00FF386D">
        <w:rPr>
          <w:rFonts w:asciiTheme="majorHAnsi" w:hAnsiTheme="majorHAnsi" w:cstheme="majorHAnsi"/>
        </w:rPr>
        <w:t>19,1</w:t>
      </w:r>
      <w:r w:rsidRPr="00FF386D">
        <w:rPr>
          <w:rFonts w:asciiTheme="majorHAnsi" w:hAnsiTheme="majorHAnsi" w:cstheme="majorHAnsi"/>
        </w:rPr>
        <w:t xml:space="preserve">% (на </w:t>
      </w:r>
      <w:r w:rsidR="00FC652A" w:rsidRPr="00FF386D">
        <w:rPr>
          <w:rFonts w:asciiTheme="majorHAnsi" w:hAnsiTheme="majorHAnsi" w:cstheme="majorHAnsi"/>
        </w:rPr>
        <w:t>3,7</w:t>
      </w:r>
      <w:r w:rsidRPr="00FF386D">
        <w:rPr>
          <w:rFonts w:asciiTheme="majorHAnsi" w:hAnsiTheme="majorHAnsi" w:cstheme="majorHAnsi"/>
        </w:rPr>
        <w:t xml:space="preserve"> Mtoe) у сценарију </w:t>
      </w:r>
      <w:r w:rsidRPr="00FF386D">
        <w:rPr>
          <w:rFonts w:asciiTheme="majorHAnsi" w:hAnsiTheme="majorHAnsi" w:cstheme="majorHAnsi"/>
          <w:i/>
        </w:rPr>
        <w:t>S-N</w:t>
      </w:r>
      <w:r w:rsidRPr="00FF386D">
        <w:rPr>
          <w:rFonts w:asciiTheme="majorHAnsi" w:hAnsiTheme="majorHAnsi" w:cstheme="majorHAnsi"/>
        </w:rPr>
        <w:t>.</w:t>
      </w:r>
    </w:p>
    <w:p w14:paraId="37AADC34" w14:textId="649DC97E" w:rsidR="00B42120" w:rsidRDefault="00B42120" w:rsidP="00565B02">
      <w:pPr>
        <w:pStyle w:val="Caption"/>
        <w:keepNext/>
        <w:jc w:val="center"/>
      </w:pPr>
      <w:bookmarkStart w:id="431" w:name="_Ref153893491"/>
      <w:bookmarkStart w:id="432" w:name="_Toc153901450"/>
      <w:bookmarkEnd w:id="428"/>
      <w:r>
        <w:lastRenderedPageBreak/>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38</w:t>
      </w:r>
      <w:r w:rsidR="00F35B2C">
        <w:fldChar w:fldCharType="end"/>
      </w:r>
      <w:bookmarkEnd w:id="431"/>
      <w:r>
        <w:t xml:space="preserve">: </w:t>
      </w:r>
      <w:r w:rsidRPr="00B42120">
        <w:t>Увоз, извоз и нето увоз</w:t>
      </w:r>
      <w:bookmarkEnd w:id="432"/>
    </w:p>
    <w:p w14:paraId="352E5DBF" w14:textId="32412C29" w:rsidR="00A244F6" w:rsidRPr="00FF386D" w:rsidRDefault="00B42120" w:rsidP="00A244F6">
      <w:pPr>
        <w:suppressAutoHyphens/>
        <w:ind w:left="-567"/>
        <w:jc w:val="center"/>
        <w:rPr>
          <w:b/>
          <w:bCs/>
        </w:rPr>
      </w:pPr>
      <w:r>
        <w:rPr>
          <w:noProof/>
          <w:lang w:val="en-US"/>
        </w:rPr>
        <mc:AlternateContent>
          <mc:Choice Requires="wps">
            <w:drawing>
              <wp:anchor distT="0" distB="0" distL="114300" distR="114300" simplePos="0" relativeHeight="251833344" behindDoc="0" locked="0" layoutInCell="1" allowOverlap="1" wp14:anchorId="7F082156" wp14:editId="057CA342">
                <wp:simplePos x="0" y="0"/>
                <wp:positionH relativeFrom="margin">
                  <wp:posOffset>207958</wp:posOffset>
                </wp:positionH>
                <wp:positionV relativeFrom="paragraph">
                  <wp:posOffset>251337</wp:posOffset>
                </wp:positionV>
                <wp:extent cx="3261360" cy="1446662"/>
                <wp:effectExtent l="0" t="0" r="0" b="1270"/>
                <wp:wrapNone/>
                <wp:docPr id="1868195577" name="Text Box 1868195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1360" cy="1446662"/>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055E88ED" id="Text Box 1868195577" o:spid="_x0000_s1026" type="#_x0000_t202" style="position:absolute;margin-left:16.35pt;margin-top:19.8pt;width:256.8pt;height:113.9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" fillcolor="#a6a6a6" stroked="f">
                <v:fill opacity="32896f"/>
                <w10:wrap anchorx="margin"/>
              </v:shape>
            </w:pict>
          </mc:Fallback>
        </mc:AlternateContent>
      </w:r>
      <w:r w:rsidR="00234FA9" w:rsidRPr="004F53D7">
        <w:rPr>
          <w:b/>
          <w:bCs/>
          <w:noProof/>
          <w:lang w:val="en-US"/>
        </w:rPr>
        <w:drawing>
          <wp:inline distT="0" distB="0" distL="0" distR="0" wp14:anchorId="4B0E349A" wp14:editId="326680DE">
            <wp:extent cx="6059170" cy="2903220"/>
            <wp:effectExtent l="0" t="0" r="0" b="0"/>
            <wp:docPr id="2065168680" name="Picture 2065168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087129" cy="2916616"/>
                    </a:xfrm>
                    <a:prstGeom prst="rect">
                      <a:avLst/>
                    </a:prstGeom>
                    <a:noFill/>
                  </pic:spPr>
                </pic:pic>
              </a:graphicData>
            </a:graphic>
          </wp:inline>
        </w:drawing>
      </w:r>
    </w:p>
    <w:p w14:paraId="4ECF35A3" w14:textId="1F84309D" w:rsidR="00A244F6" w:rsidRPr="00FF386D" w:rsidRDefault="00A244F6" w:rsidP="00A244F6">
      <w:pPr>
        <w:suppressAutoHyphens/>
        <w:jc w:val="both"/>
        <w:rPr>
          <w:rFonts w:asciiTheme="majorHAnsi" w:hAnsiTheme="majorHAnsi" w:cstheme="majorHAnsi"/>
        </w:rPr>
      </w:pPr>
      <w:r w:rsidRPr="00FF386D">
        <w:rPr>
          <w:rFonts w:asciiTheme="majorHAnsi" w:hAnsiTheme="majorHAnsi" w:cstheme="majorHAnsi"/>
        </w:rPr>
        <w:t xml:space="preserve">У </w:t>
      </w:r>
      <w:r w:rsidRPr="00FF386D">
        <w:rPr>
          <w:rFonts w:asciiTheme="majorHAnsi" w:hAnsiTheme="majorHAnsi" w:cstheme="majorHAnsi"/>
          <w:i/>
        </w:rPr>
        <w:t>WEM</w:t>
      </w:r>
      <w:r w:rsidRPr="00FF386D">
        <w:rPr>
          <w:rFonts w:asciiTheme="majorHAnsi" w:hAnsiTheme="majorHAnsi" w:cstheme="majorHAnsi"/>
        </w:rPr>
        <w:t xml:space="preserve"> сценарију, укупни трансформациони улаз у сектору електр</w:t>
      </w:r>
      <w:r w:rsidR="00A903B5" w:rsidRPr="00FF386D">
        <w:rPr>
          <w:rFonts w:asciiTheme="majorHAnsi" w:hAnsiTheme="majorHAnsi" w:cstheme="majorHAnsi"/>
        </w:rPr>
        <w:t>оенергетике</w:t>
      </w:r>
      <w:r w:rsidRPr="00FF386D">
        <w:rPr>
          <w:rFonts w:asciiTheme="majorHAnsi" w:hAnsiTheme="majorHAnsi" w:cstheme="majorHAnsi"/>
        </w:rPr>
        <w:t xml:space="preserve"> достиже 7,</w:t>
      </w:r>
      <w:r w:rsidR="00234FA9" w:rsidRPr="00FF386D">
        <w:rPr>
          <w:rFonts w:asciiTheme="majorHAnsi" w:hAnsiTheme="majorHAnsi" w:cstheme="majorHAnsi"/>
        </w:rPr>
        <w:t>9</w:t>
      </w:r>
      <w:r w:rsidRPr="00FF386D">
        <w:rPr>
          <w:rFonts w:asciiTheme="majorHAnsi" w:hAnsiTheme="majorHAnsi" w:cstheme="majorHAnsi"/>
        </w:rPr>
        <w:t xml:space="preserve"> Mtoe у 2030, </w:t>
      </w:r>
      <w:r w:rsidR="00234FA9" w:rsidRPr="00FF386D">
        <w:rPr>
          <w:rFonts w:asciiTheme="majorHAnsi" w:hAnsiTheme="majorHAnsi" w:cstheme="majorHAnsi"/>
        </w:rPr>
        <w:t>и смањује се за 0,9% на 7,8</w:t>
      </w:r>
      <w:r w:rsidRPr="00FF386D">
        <w:rPr>
          <w:rFonts w:asciiTheme="majorHAnsi" w:hAnsiTheme="majorHAnsi" w:cstheme="majorHAnsi"/>
        </w:rPr>
        <w:t xml:space="preserve"> Mtoe у 2050. години</w:t>
      </w:r>
      <w:r w:rsidR="00454C06">
        <w:rPr>
          <w:rFonts w:asciiTheme="majorHAnsi" w:hAnsiTheme="majorHAnsi" w:cstheme="majorHAnsi"/>
          <w:lang w:val="en-US"/>
        </w:rPr>
        <w:t xml:space="preserve">. </w:t>
      </w:r>
      <w:r w:rsidR="00454C06">
        <w:rPr>
          <w:rFonts w:asciiTheme="majorHAnsi" w:hAnsiTheme="majorHAnsi" w:cstheme="majorHAnsi"/>
        </w:rPr>
        <w:t xml:space="preserve">Треба навести да се ово односи само на конвенционална горива и биогорива </w:t>
      </w:r>
      <w:r w:rsidR="001D3A00">
        <w:rPr>
          <w:rFonts w:asciiTheme="majorHAnsi" w:hAnsiTheme="majorHAnsi" w:cstheme="majorHAnsi"/>
        </w:rPr>
        <w:t>у</w:t>
      </w:r>
      <w:r w:rsidR="00454C06">
        <w:rPr>
          <w:rFonts w:asciiTheme="majorHAnsi" w:hAnsiTheme="majorHAnsi" w:cstheme="majorHAnsi"/>
        </w:rPr>
        <w:t xml:space="preserve"> електранама, а да ветроелектране, соларне електране и хидроелектране нису обухваћене, с обзиром </w:t>
      </w:r>
      <w:r w:rsidR="001D3A00">
        <w:rPr>
          <w:rFonts w:asciiTheme="majorHAnsi" w:hAnsiTheme="majorHAnsi" w:cstheme="majorHAnsi"/>
        </w:rPr>
        <w:t xml:space="preserve">на то </w:t>
      </w:r>
      <w:r w:rsidR="00454C06">
        <w:rPr>
          <w:rFonts w:asciiTheme="majorHAnsi" w:hAnsiTheme="majorHAnsi" w:cstheme="majorHAnsi"/>
        </w:rPr>
        <w:t xml:space="preserve">да оне немају </w:t>
      </w:r>
      <w:r w:rsidR="001D3A00">
        <w:rPr>
          <w:rFonts w:asciiTheme="majorHAnsi" w:hAnsiTheme="majorHAnsi" w:cstheme="majorHAnsi"/>
        </w:rPr>
        <w:t xml:space="preserve">инпут горива. </w:t>
      </w:r>
      <w:r w:rsidRPr="00FF386D">
        <w:rPr>
          <w:rFonts w:asciiTheme="majorHAnsi" w:hAnsiTheme="majorHAnsi" w:cstheme="majorHAnsi"/>
        </w:rPr>
        <w:t xml:space="preserve">До 2050. године, укупни трансформациони улаз у </w:t>
      </w:r>
      <w:r w:rsidR="00A903B5" w:rsidRPr="00FF386D">
        <w:rPr>
          <w:rFonts w:asciiTheme="majorHAnsi" w:hAnsiTheme="majorHAnsi" w:cstheme="majorHAnsi"/>
        </w:rPr>
        <w:t xml:space="preserve">сектору електроенергетике </w:t>
      </w:r>
      <w:r w:rsidR="00234FA9" w:rsidRPr="00FF386D">
        <w:rPr>
          <w:rFonts w:asciiTheme="majorHAnsi" w:hAnsiTheme="majorHAnsi" w:cstheme="majorHAnsi"/>
        </w:rPr>
        <w:t xml:space="preserve">се </w:t>
      </w:r>
      <w:r w:rsidRPr="00FF386D">
        <w:rPr>
          <w:rFonts w:asciiTheme="majorHAnsi" w:hAnsiTheme="majorHAnsi" w:cstheme="majorHAnsi"/>
        </w:rPr>
        <w:t xml:space="preserve">смањује значајно у сценаријима </w:t>
      </w:r>
      <w:r w:rsidRPr="00FF386D">
        <w:rPr>
          <w:rFonts w:asciiTheme="majorHAnsi" w:hAnsiTheme="majorHAnsi" w:cstheme="majorHAnsi"/>
          <w:i/>
        </w:rPr>
        <w:t>S</w:t>
      </w:r>
      <w:r w:rsidRPr="00FF386D">
        <w:rPr>
          <w:rFonts w:asciiTheme="majorHAnsi" w:hAnsiTheme="majorHAnsi" w:cstheme="majorHAnsi"/>
        </w:rPr>
        <w:t xml:space="preserve"> и </w:t>
      </w:r>
      <w:r w:rsidRPr="00FF386D">
        <w:rPr>
          <w:rFonts w:asciiTheme="majorHAnsi" w:hAnsiTheme="majorHAnsi" w:cstheme="majorHAnsi"/>
          <w:i/>
        </w:rPr>
        <w:t>S-N</w:t>
      </w:r>
      <w:r w:rsidRPr="00FF386D">
        <w:rPr>
          <w:rFonts w:asciiTheme="majorHAnsi" w:hAnsiTheme="majorHAnsi" w:cstheme="majorHAnsi"/>
        </w:rPr>
        <w:t xml:space="preserve"> за 77,</w:t>
      </w:r>
      <w:r w:rsidR="00234FA9" w:rsidRPr="00FF386D">
        <w:rPr>
          <w:rFonts w:asciiTheme="majorHAnsi" w:hAnsiTheme="majorHAnsi" w:cstheme="majorHAnsi"/>
        </w:rPr>
        <w:t>5</w:t>
      </w:r>
      <w:r w:rsidRPr="00FF386D">
        <w:rPr>
          <w:rFonts w:asciiTheme="majorHAnsi" w:hAnsiTheme="majorHAnsi" w:cstheme="majorHAnsi"/>
        </w:rPr>
        <w:t>%, односно 8</w:t>
      </w:r>
      <w:r w:rsidR="00234FA9" w:rsidRPr="00FF386D">
        <w:rPr>
          <w:rFonts w:asciiTheme="majorHAnsi" w:hAnsiTheme="majorHAnsi" w:cstheme="majorHAnsi"/>
        </w:rPr>
        <w:t>6,7</w:t>
      </w:r>
      <w:r w:rsidRPr="00FF386D">
        <w:rPr>
          <w:rFonts w:asciiTheme="majorHAnsi" w:hAnsiTheme="majorHAnsi" w:cstheme="majorHAnsi"/>
        </w:rPr>
        <w:t>%, достижући 1,</w:t>
      </w:r>
      <w:r w:rsidR="00234FA9" w:rsidRPr="00FF386D">
        <w:rPr>
          <w:rFonts w:asciiTheme="majorHAnsi" w:hAnsiTheme="majorHAnsi" w:cstheme="majorHAnsi"/>
        </w:rPr>
        <w:t>1</w:t>
      </w:r>
      <w:r w:rsidRPr="00FF386D">
        <w:rPr>
          <w:rFonts w:asciiTheme="majorHAnsi" w:hAnsiTheme="majorHAnsi" w:cstheme="majorHAnsi"/>
        </w:rPr>
        <w:t xml:space="preserve"> Mtoe и </w:t>
      </w:r>
      <w:r w:rsidR="00234FA9" w:rsidRPr="00FF386D">
        <w:rPr>
          <w:rFonts w:asciiTheme="majorHAnsi" w:hAnsiTheme="majorHAnsi" w:cstheme="majorHAnsi"/>
        </w:rPr>
        <w:t>670</w:t>
      </w:r>
      <w:r w:rsidRPr="00FF386D">
        <w:rPr>
          <w:rFonts w:asciiTheme="majorHAnsi" w:hAnsiTheme="majorHAnsi" w:cstheme="majorHAnsi"/>
        </w:rPr>
        <w:t xml:space="preserve"> ktoe по сценаријима. Произвођачи којима је то главна делатност конвенционалне термоелектране доприносе највећем делу трансформационог улаза </w:t>
      </w:r>
      <w:r w:rsidR="00234FA9" w:rsidRPr="00FF386D">
        <w:rPr>
          <w:rFonts w:asciiTheme="majorHAnsi" w:hAnsiTheme="majorHAnsi" w:cstheme="majorHAnsi"/>
        </w:rPr>
        <w:t xml:space="preserve">у </w:t>
      </w:r>
      <w:r w:rsidR="00A903B5" w:rsidRPr="00FF386D">
        <w:rPr>
          <w:rFonts w:asciiTheme="majorHAnsi" w:hAnsiTheme="majorHAnsi" w:cstheme="majorHAnsi"/>
        </w:rPr>
        <w:t xml:space="preserve">сектору електроенергетике </w:t>
      </w:r>
      <w:r w:rsidRPr="00FF386D">
        <w:rPr>
          <w:rFonts w:asciiTheme="majorHAnsi" w:hAnsiTheme="majorHAnsi" w:cstheme="majorHAnsi"/>
        </w:rPr>
        <w:t>у току пројектованог периода.</w:t>
      </w:r>
    </w:p>
    <w:p w14:paraId="18FDBFEB" w14:textId="4BDE8936" w:rsidR="00B42120" w:rsidRDefault="00B42120" w:rsidP="00B42120">
      <w:pPr>
        <w:pStyle w:val="Caption"/>
      </w:pPr>
      <w:bookmarkStart w:id="433" w:name="_Toc153901451"/>
      <w:r>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39</w:t>
      </w:r>
      <w:r w:rsidR="00F35B2C">
        <w:fldChar w:fldCharType="end"/>
      </w:r>
      <w:r>
        <w:t xml:space="preserve">: </w:t>
      </w:r>
      <w:r w:rsidRPr="00B42120">
        <w:t>Трансформациони улаз у сектору електроенергетике</w:t>
      </w:r>
      <w:bookmarkEnd w:id="433"/>
    </w:p>
    <w:p w14:paraId="204A38D2" w14:textId="06617936" w:rsidR="00F84776" w:rsidRPr="00FF386D" w:rsidRDefault="00B42120" w:rsidP="00A244F6">
      <w:pPr>
        <w:suppressAutoHyphens/>
        <w:jc w:val="center"/>
        <w:rPr>
          <w:b/>
          <w:bCs/>
        </w:rPr>
      </w:pPr>
      <w:r>
        <w:rPr>
          <w:noProof/>
          <w:lang w:val="en-US"/>
        </w:rPr>
        <mc:AlternateContent>
          <mc:Choice Requires="wps">
            <w:drawing>
              <wp:anchor distT="0" distB="0" distL="114300" distR="114300" simplePos="0" relativeHeight="251857920" behindDoc="0" locked="0" layoutInCell="1" allowOverlap="1" wp14:anchorId="6473C33D" wp14:editId="0B2878FA">
                <wp:simplePos x="0" y="0"/>
                <wp:positionH relativeFrom="margin">
                  <wp:posOffset>439581</wp:posOffset>
                </wp:positionH>
                <wp:positionV relativeFrom="paragraph">
                  <wp:posOffset>306705</wp:posOffset>
                </wp:positionV>
                <wp:extent cx="3336878" cy="2148925"/>
                <wp:effectExtent l="0" t="0" r="0" b="3810"/>
                <wp:wrapNone/>
                <wp:docPr id="363723443" name="Text Box 363723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6878" cy="2148925"/>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2C860A21" id="Text Box 363723443" o:spid="_x0000_s1026" type="#_x0000_t202" style="position:absolute;margin-left:34.6pt;margin-top:24.15pt;width:262.75pt;height:169.2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" fillcolor="#a6a6a6" stroked="f">
                <v:fill opacity="32896f"/>
                <w10:wrap anchorx="margin"/>
              </v:shape>
            </w:pict>
          </mc:Fallback>
        </mc:AlternateContent>
      </w:r>
      <w:r w:rsidR="00F84776" w:rsidRPr="004F53D7">
        <w:rPr>
          <w:b/>
          <w:bCs/>
          <w:noProof/>
          <w:lang w:val="en-US"/>
        </w:rPr>
        <w:drawing>
          <wp:inline distT="0" distB="0" distL="0" distR="0" wp14:anchorId="1F3018A9" wp14:editId="5B6C3481">
            <wp:extent cx="6019800" cy="3694367"/>
            <wp:effectExtent l="0" t="0" r="0" b="1905"/>
            <wp:docPr id="1968279271" name="Picture 1968279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058924" cy="3718378"/>
                    </a:xfrm>
                    <a:prstGeom prst="rect">
                      <a:avLst/>
                    </a:prstGeom>
                    <a:noFill/>
                  </pic:spPr>
                </pic:pic>
              </a:graphicData>
            </a:graphic>
          </wp:inline>
        </w:drawing>
      </w:r>
    </w:p>
    <w:p w14:paraId="5A995AF3" w14:textId="592F1A12" w:rsidR="00A244F6" w:rsidRPr="00FF386D" w:rsidRDefault="00A244F6" w:rsidP="00A244F6">
      <w:pPr>
        <w:suppressAutoHyphens/>
        <w:jc w:val="both"/>
        <w:rPr>
          <w:rFonts w:asciiTheme="majorHAnsi" w:hAnsiTheme="majorHAnsi" w:cstheme="majorHAnsi"/>
        </w:rPr>
      </w:pPr>
      <w:r w:rsidRPr="00FF386D">
        <w:rPr>
          <w:rFonts w:asciiTheme="majorHAnsi" w:hAnsiTheme="majorHAnsi" w:cstheme="majorHAnsi"/>
        </w:rPr>
        <w:lastRenderedPageBreak/>
        <w:t xml:space="preserve">Исто тако, укупни трансформациони излаз у </w:t>
      </w:r>
      <w:r w:rsidR="00A903B5" w:rsidRPr="00FF386D">
        <w:rPr>
          <w:rFonts w:asciiTheme="majorHAnsi" w:hAnsiTheme="majorHAnsi" w:cstheme="majorHAnsi"/>
        </w:rPr>
        <w:t xml:space="preserve">сектору електроенергетике </w:t>
      </w:r>
      <w:r w:rsidRPr="00FF386D">
        <w:rPr>
          <w:rFonts w:asciiTheme="majorHAnsi" w:hAnsiTheme="majorHAnsi" w:cstheme="majorHAnsi"/>
        </w:rPr>
        <w:t xml:space="preserve">у </w:t>
      </w:r>
      <w:r w:rsidRPr="00FF386D">
        <w:rPr>
          <w:rFonts w:asciiTheme="majorHAnsi" w:hAnsiTheme="majorHAnsi" w:cstheme="majorHAnsi"/>
          <w:i/>
        </w:rPr>
        <w:t>WEM</w:t>
      </w:r>
      <w:r w:rsidRPr="00FF386D">
        <w:rPr>
          <w:rFonts w:asciiTheme="majorHAnsi" w:hAnsiTheme="majorHAnsi" w:cstheme="majorHAnsi"/>
        </w:rPr>
        <w:t xml:space="preserve"> сценарију достиже </w:t>
      </w:r>
      <w:r w:rsidR="00C01008">
        <w:rPr>
          <w:rFonts w:asciiTheme="majorHAnsi" w:hAnsiTheme="majorHAnsi" w:cstheme="majorHAnsi"/>
        </w:rPr>
        <w:t>2,8</w:t>
      </w:r>
      <w:r w:rsidRPr="00FF386D">
        <w:rPr>
          <w:rFonts w:asciiTheme="majorHAnsi" w:hAnsiTheme="majorHAnsi" w:cstheme="majorHAnsi"/>
        </w:rPr>
        <w:t xml:space="preserve"> Mtoe у 2030, </w:t>
      </w:r>
      <w:r w:rsidR="00BA4189" w:rsidRPr="00FF386D">
        <w:rPr>
          <w:rFonts w:asciiTheme="majorHAnsi" w:hAnsiTheme="majorHAnsi" w:cstheme="majorHAnsi"/>
        </w:rPr>
        <w:t xml:space="preserve">што представља </w:t>
      </w:r>
      <w:r w:rsidR="00C01008">
        <w:rPr>
          <w:rFonts w:asciiTheme="majorHAnsi" w:hAnsiTheme="majorHAnsi" w:cstheme="majorHAnsi"/>
        </w:rPr>
        <w:t>повећање</w:t>
      </w:r>
      <w:r w:rsidR="00BA4189" w:rsidRPr="00FF386D">
        <w:rPr>
          <w:rFonts w:asciiTheme="majorHAnsi" w:hAnsiTheme="majorHAnsi" w:cstheme="majorHAnsi"/>
        </w:rPr>
        <w:t xml:space="preserve"> од </w:t>
      </w:r>
      <w:r w:rsidR="00C01008">
        <w:rPr>
          <w:rFonts w:asciiTheme="majorHAnsi" w:hAnsiTheme="majorHAnsi" w:cstheme="majorHAnsi"/>
        </w:rPr>
        <w:t>3</w:t>
      </w:r>
      <w:r w:rsidR="00BA4189" w:rsidRPr="00FF386D">
        <w:rPr>
          <w:rFonts w:asciiTheme="majorHAnsi" w:hAnsiTheme="majorHAnsi" w:cstheme="majorHAnsi"/>
        </w:rPr>
        <w:t xml:space="preserve">% на ниво од </w:t>
      </w:r>
      <w:r w:rsidR="00C01008">
        <w:rPr>
          <w:rFonts w:asciiTheme="majorHAnsi" w:hAnsiTheme="majorHAnsi" w:cstheme="majorHAnsi"/>
        </w:rPr>
        <w:t>2,9</w:t>
      </w:r>
      <w:r w:rsidR="00BA4189" w:rsidRPr="00FF386D">
        <w:rPr>
          <w:rFonts w:asciiTheme="majorHAnsi" w:hAnsiTheme="majorHAnsi" w:cstheme="majorHAnsi"/>
        </w:rPr>
        <w:t xml:space="preserve"> </w:t>
      </w:r>
      <w:r w:rsidR="00C01008">
        <w:rPr>
          <w:rFonts w:asciiTheme="majorHAnsi" w:hAnsiTheme="majorHAnsi" w:cstheme="majorHAnsi"/>
        </w:rPr>
        <w:t>М</w:t>
      </w:r>
      <w:r w:rsidRPr="00FF386D">
        <w:rPr>
          <w:rFonts w:asciiTheme="majorHAnsi" w:hAnsiTheme="majorHAnsi" w:cstheme="majorHAnsi"/>
        </w:rPr>
        <w:t>toe у 2050. години (</w:t>
      </w:r>
      <w:r w:rsidR="00B42120">
        <w:rPr>
          <w:rFonts w:asciiTheme="majorHAnsi" w:hAnsiTheme="majorHAnsi" w:cstheme="majorHAnsi"/>
        </w:rPr>
        <w:fldChar w:fldCharType="begin"/>
      </w:r>
      <w:r w:rsidR="00B42120">
        <w:rPr>
          <w:rFonts w:asciiTheme="majorHAnsi" w:hAnsiTheme="majorHAnsi" w:cstheme="majorHAnsi"/>
        </w:rPr>
        <w:instrText xml:space="preserve"> REF _Ref153893739 \h  \* MERGEFORMAT </w:instrText>
      </w:r>
      <w:r w:rsidR="00B42120">
        <w:rPr>
          <w:rFonts w:asciiTheme="majorHAnsi" w:hAnsiTheme="majorHAnsi" w:cstheme="majorHAnsi"/>
        </w:rPr>
      </w:r>
      <w:r w:rsidR="00B42120">
        <w:rPr>
          <w:rFonts w:asciiTheme="majorHAnsi" w:hAnsiTheme="majorHAnsi" w:cstheme="majorHAnsi"/>
        </w:rPr>
        <w:fldChar w:fldCharType="separate"/>
      </w:r>
      <w:r w:rsidR="00B42120" w:rsidRPr="00565B02">
        <w:rPr>
          <w:rFonts w:asciiTheme="majorHAnsi" w:hAnsiTheme="majorHAnsi" w:cstheme="majorHAnsi"/>
        </w:rPr>
        <w:t>Слика 5.40</w:t>
      </w:r>
      <w:r w:rsidR="00B42120">
        <w:rPr>
          <w:rFonts w:asciiTheme="majorHAnsi" w:hAnsiTheme="majorHAnsi" w:cstheme="majorHAnsi"/>
        </w:rPr>
        <w:fldChar w:fldCharType="end"/>
      </w:r>
      <w:r w:rsidRPr="00FF386D">
        <w:rPr>
          <w:rFonts w:asciiTheme="majorHAnsi" w:hAnsiTheme="majorHAnsi" w:cstheme="majorHAnsi"/>
        </w:rPr>
        <w:t xml:space="preserve">). До 2050, укупни трансформациони излаз у </w:t>
      </w:r>
      <w:r w:rsidR="00A903B5" w:rsidRPr="00FF386D">
        <w:rPr>
          <w:rFonts w:asciiTheme="majorHAnsi" w:hAnsiTheme="majorHAnsi" w:cstheme="majorHAnsi"/>
        </w:rPr>
        <w:t xml:space="preserve">сектору електроенергетике </w:t>
      </w:r>
      <w:r w:rsidRPr="00FF386D">
        <w:rPr>
          <w:rFonts w:asciiTheme="majorHAnsi" w:hAnsiTheme="majorHAnsi" w:cstheme="majorHAnsi"/>
        </w:rPr>
        <w:t xml:space="preserve">значајно се смањује у сценаријима </w:t>
      </w:r>
      <w:r w:rsidRPr="00FF386D">
        <w:rPr>
          <w:rFonts w:asciiTheme="majorHAnsi" w:hAnsiTheme="majorHAnsi" w:cstheme="majorHAnsi"/>
          <w:i/>
        </w:rPr>
        <w:t>S</w:t>
      </w:r>
      <w:r w:rsidRPr="00FF386D">
        <w:rPr>
          <w:rFonts w:asciiTheme="majorHAnsi" w:hAnsiTheme="majorHAnsi" w:cstheme="majorHAnsi"/>
        </w:rPr>
        <w:t xml:space="preserve"> и </w:t>
      </w:r>
      <w:r w:rsidRPr="00FF386D">
        <w:rPr>
          <w:rFonts w:asciiTheme="majorHAnsi" w:hAnsiTheme="majorHAnsi" w:cstheme="majorHAnsi"/>
          <w:i/>
        </w:rPr>
        <w:t>S-N</w:t>
      </w:r>
      <w:r w:rsidRPr="00FF386D">
        <w:rPr>
          <w:rFonts w:asciiTheme="majorHAnsi" w:hAnsiTheme="majorHAnsi" w:cstheme="majorHAnsi"/>
        </w:rPr>
        <w:t xml:space="preserve"> за 71,</w:t>
      </w:r>
      <w:r w:rsidR="00BA4189" w:rsidRPr="00FF386D">
        <w:rPr>
          <w:rFonts w:asciiTheme="majorHAnsi" w:hAnsiTheme="majorHAnsi" w:cstheme="majorHAnsi"/>
        </w:rPr>
        <w:t>7</w:t>
      </w:r>
      <w:r w:rsidRPr="00FF386D">
        <w:rPr>
          <w:rFonts w:asciiTheme="majorHAnsi" w:hAnsiTheme="majorHAnsi" w:cstheme="majorHAnsi"/>
        </w:rPr>
        <w:t>%, односно 8</w:t>
      </w:r>
      <w:r w:rsidR="00BA4189" w:rsidRPr="00FF386D">
        <w:rPr>
          <w:rFonts w:asciiTheme="majorHAnsi" w:hAnsiTheme="majorHAnsi" w:cstheme="majorHAnsi"/>
        </w:rPr>
        <w:t>4,6</w:t>
      </w:r>
      <w:r w:rsidRPr="00FF386D">
        <w:rPr>
          <w:rFonts w:asciiTheme="majorHAnsi" w:hAnsiTheme="majorHAnsi" w:cstheme="majorHAnsi"/>
        </w:rPr>
        <w:t>%, достижући 5</w:t>
      </w:r>
      <w:r w:rsidR="00BA4189" w:rsidRPr="00FF386D">
        <w:rPr>
          <w:rFonts w:asciiTheme="majorHAnsi" w:hAnsiTheme="majorHAnsi" w:cstheme="majorHAnsi"/>
        </w:rPr>
        <w:t>51</w:t>
      </w:r>
      <w:r w:rsidRPr="00FF386D">
        <w:rPr>
          <w:rFonts w:asciiTheme="majorHAnsi" w:hAnsiTheme="majorHAnsi" w:cstheme="majorHAnsi"/>
        </w:rPr>
        <w:t xml:space="preserve"> ktoe</w:t>
      </w:r>
      <w:r w:rsidR="00BA4189" w:rsidRPr="00FF386D">
        <w:rPr>
          <w:rFonts w:asciiTheme="majorHAnsi" w:hAnsiTheme="majorHAnsi" w:cstheme="majorHAnsi"/>
        </w:rPr>
        <w:t xml:space="preserve">, односно 300 </w:t>
      </w:r>
      <w:r w:rsidRPr="00FF386D">
        <w:rPr>
          <w:rFonts w:asciiTheme="majorHAnsi" w:hAnsiTheme="majorHAnsi" w:cstheme="majorHAnsi"/>
        </w:rPr>
        <w:t xml:space="preserve">ktoe. Произвођачи којима је то главна делатност конвенционалне термоелектране доприносе највећем делу трансформационог излаза у </w:t>
      </w:r>
      <w:r w:rsidR="00A903B5" w:rsidRPr="00FF386D">
        <w:rPr>
          <w:rFonts w:asciiTheme="majorHAnsi" w:hAnsiTheme="majorHAnsi" w:cstheme="majorHAnsi"/>
        </w:rPr>
        <w:t xml:space="preserve">сектору електроенергетике </w:t>
      </w:r>
      <w:r w:rsidRPr="00FF386D">
        <w:rPr>
          <w:rFonts w:asciiTheme="majorHAnsi" w:hAnsiTheme="majorHAnsi" w:cstheme="majorHAnsi"/>
        </w:rPr>
        <w:t>у току пројектованог периода.</w:t>
      </w:r>
      <w:r w:rsidR="00C01008">
        <w:rPr>
          <w:rFonts w:asciiTheme="majorHAnsi" w:hAnsiTheme="majorHAnsi" w:cstheme="majorHAnsi"/>
        </w:rPr>
        <w:t xml:space="preserve"> Треба напоменути да се ово односи само на електране које користе конвенционална горива и биогорива, а не на ветроелектране, соларне електране и хидроелектране.</w:t>
      </w:r>
    </w:p>
    <w:p w14:paraId="6038EB71" w14:textId="0C63031F" w:rsidR="00B42120" w:rsidRDefault="00B42120" w:rsidP="00565B02">
      <w:pPr>
        <w:pStyle w:val="Caption"/>
        <w:keepNext/>
      </w:pPr>
      <w:bookmarkStart w:id="434" w:name="_Ref153893739"/>
      <w:bookmarkStart w:id="435" w:name="_Toc153901452"/>
      <w:r>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40</w:t>
      </w:r>
      <w:r w:rsidR="00F35B2C">
        <w:fldChar w:fldCharType="end"/>
      </w:r>
      <w:bookmarkEnd w:id="434"/>
      <w:r>
        <w:t xml:space="preserve">: </w:t>
      </w:r>
      <w:r w:rsidRPr="00B42120">
        <w:t>Трансформациони излаз у сектору електроенергетике</w:t>
      </w:r>
      <w:bookmarkEnd w:id="435"/>
    </w:p>
    <w:p w14:paraId="671CACAE" w14:textId="5572073D" w:rsidR="00C01008" w:rsidRPr="00FF386D" w:rsidRDefault="00B42120" w:rsidP="00A244F6">
      <w:pPr>
        <w:suppressAutoHyphens/>
        <w:jc w:val="center"/>
        <w:rPr>
          <w:b/>
          <w:bCs/>
        </w:rPr>
      </w:pPr>
      <w:r>
        <w:rPr>
          <w:noProof/>
          <w:lang w:val="en-US"/>
        </w:rPr>
        <mc:AlternateContent>
          <mc:Choice Requires="wps">
            <w:drawing>
              <wp:anchor distT="0" distB="0" distL="114300" distR="114300" simplePos="0" relativeHeight="251837440" behindDoc="0" locked="0" layoutInCell="1" allowOverlap="1" wp14:anchorId="5190DA6B" wp14:editId="6B0698F9">
                <wp:simplePos x="0" y="0"/>
                <wp:positionH relativeFrom="margin">
                  <wp:posOffset>596919</wp:posOffset>
                </wp:positionH>
                <wp:positionV relativeFrom="paragraph">
                  <wp:posOffset>637540</wp:posOffset>
                </wp:positionV>
                <wp:extent cx="3118513" cy="2326934"/>
                <wp:effectExtent l="0" t="0" r="5715" b="0"/>
                <wp:wrapNone/>
                <wp:docPr id="1653711988" name="Text Box 1653711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8513" cy="2326934"/>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02A79ADA" id="Text Box 1653711988" o:spid="_x0000_s1026" type="#_x0000_t202" style="position:absolute;margin-left:47pt;margin-top:50.2pt;width:245.55pt;height:183.2pt;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" fillcolor="#a6a6a6" stroked="f">
                <v:fill opacity="32896f"/>
                <w10:wrap anchorx="margin"/>
              </v:shape>
            </w:pict>
          </mc:Fallback>
        </mc:AlternateContent>
      </w:r>
      <w:r w:rsidR="00C01008">
        <w:rPr>
          <w:b/>
          <w:bCs/>
          <w:noProof/>
        </w:rPr>
        <w:drawing>
          <wp:inline distT="0" distB="0" distL="0" distR="0" wp14:anchorId="5A284EB3" wp14:editId="09591A81">
            <wp:extent cx="5629621" cy="3796612"/>
            <wp:effectExtent l="0" t="0" r="0" b="0"/>
            <wp:docPr id="6619291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650757" cy="3810866"/>
                    </a:xfrm>
                    <a:prstGeom prst="rect">
                      <a:avLst/>
                    </a:prstGeom>
                    <a:noFill/>
                  </pic:spPr>
                </pic:pic>
              </a:graphicData>
            </a:graphic>
          </wp:inline>
        </w:drawing>
      </w:r>
    </w:p>
    <w:p w14:paraId="749986F2" w14:textId="78F489B9" w:rsidR="00B42120" w:rsidRDefault="00A244F6" w:rsidP="00565B02">
      <w:pPr>
        <w:suppressAutoHyphens/>
        <w:jc w:val="both"/>
      </w:pPr>
      <w:bookmarkStart w:id="436" w:name="_Toc113919362"/>
      <w:r w:rsidRPr="00FF386D">
        <w:rPr>
          <w:rFonts w:asciiTheme="majorHAnsi" w:hAnsiTheme="majorHAnsi" w:cstheme="majorHAnsi"/>
        </w:rPr>
        <w:t>У сценаријима</w:t>
      </w:r>
      <w:r w:rsidR="00A903B5" w:rsidRPr="00FF386D">
        <w:rPr>
          <w:rFonts w:asciiTheme="majorHAnsi" w:hAnsiTheme="majorHAnsi" w:cstheme="majorHAnsi"/>
        </w:rPr>
        <w:t xml:space="preserve"> </w:t>
      </w:r>
      <w:r w:rsidR="00A903B5" w:rsidRPr="00FF386D">
        <w:rPr>
          <w:rFonts w:asciiTheme="majorHAnsi" w:hAnsiTheme="majorHAnsi" w:cstheme="majorHAnsi"/>
          <w:i/>
          <w:iCs/>
        </w:rPr>
        <w:t>S</w:t>
      </w:r>
      <w:r w:rsidR="00A903B5" w:rsidRPr="00FF386D">
        <w:rPr>
          <w:rFonts w:asciiTheme="majorHAnsi" w:hAnsiTheme="majorHAnsi" w:cstheme="majorHAnsi"/>
        </w:rPr>
        <w:t xml:space="preserve"> и </w:t>
      </w:r>
      <w:r w:rsidR="00A903B5" w:rsidRPr="00FF386D">
        <w:rPr>
          <w:rFonts w:asciiTheme="majorHAnsi" w:hAnsiTheme="majorHAnsi" w:cstheme="majorHAnsi"/>
          <w:i/>
          <w:iCs/>
        </w:rPr>
        <w:t>S-N</w:t>
      </w:r>
      <w:r w:rsidRPr="00FF386D">
        <w:rPr>
          <w:rFonts w:asciiTheme="majorHAnsi" w:hAnsiTheme="majorHAnsi" w:cstheme="majorHAnsi"/>
        </w:rPr>
        <w:t>, укупни губици електроенергетске мреже као проценат у укупној производњи електричне енергије износе око 1</w:t>
      </w:r>
      <w:r w:rsidR="00A903B5" w:rsidRPr="00FF386D">
        <w:rPr>
          <w:rFonts w:asciiTheme="majorHAnsi" w:hAnsiTheme="majorHAnsi" w:cstheme="majorHAnsi"/>
        </w:rPr>
        <w:t>4</w:t>
      </w:r>
      <w:r w:rsidRPr="00FF386D">
        <w:rPr>
          <w:rFonts w:asciiTheme="majorHAnsi" w:hAnsiTheme="majorHAnsi" w:cstheme="majorHAnsi"/>
        </w:rPr>
        <w:t xml:space="preserve">% у 2030. години, </w:t>
      </w:r>
      <w:r w:rsidR="00A903B5" w:rsidRPr="00FF386D">
        <w:rPr>
          <w:rFonts w:asciiTheme="majorHAnsi" w:hAnsiTheme="majorHAnsi" w:cstheme="majorHAnsi"/>
        </w:rPr>
        <w:t>да би се до</w:t>
      </w:r>
      <w:r w:rsidRPr="00FF386D">
        <w:rPr>
          <w:rFonts w:asciiTheme="majorHAnsi" w:hAnsiTheme="majorHAnsi" w:cstheme="majorHAnsi"/>
        </w:rPr>
        <w:t xml:space="preserve"> 2050. </w:t>
      </w:r>
      <w:r w:rsidR="00A903B5" w:rsidRPr="00FF386D">
        <w:rPr>
          <w:rFonts w:asciiTheme="majorHAnsi" w:hAnsiTheme="majorHAnsi" w:cstheme="majorHAnsi"/>
        </w:rPr>
        <w:t>године</w:t>
      </w:r>
      <w:r w:rsidRPr="00FF386D">
        <w:rPr>
          <w:rFonts w:asciiTheme="majorHAnsi" w:hAnsiTheme="majorHAnsi" w:cstheme="majorHAnsi"/>
        </w:rPr>
        <w:t xml:space="preserve"> </w:t>
      </w:r>
      <w:r w:rsidR="00A903B5" w:rsidRPr="00FF386D">
        <w:rPr>
          <w:rFonts w:asciiTheme="majorHAnsi" w:hAnsiTheme="majorHAnsi" w:cstheme="majorHAnsi"/>
        </w:rPr>
        <w:t xml:space="preserve">смањили на око 10% </w:t>
      </w:r>
      <w:r w:rsidRPr="00FF386D">
        <w:rPr>
          <w:rFonts w:asciiTheme="majorHAnsi" w:hAnsiTheme="majorHAnsi" w:cstheme="majorHAnsi"/>
          <w:color w:val="44546A" w:themeColor="text2"/>
        </w:rPr>
        <w:t>(</w:t>
      </w:r>
      <w:r w:rsidR="00B42120" w:rsidRPr="00565B02">
        <w:rPr>
          <w:rFonts w:asciiTheme="majorHAnsi" w:hAnsiTheme="majorHAnsi" w:cstheme="majorHAnsi"/>
        </w:rPr>
        <w:fldChar w:fldCharType="begin"/>
      </w:r>
      <w:r w:rsidR="00B42120" w:rsidRPr="00565B02">
        <w:rPr>
          <w:rFonts w:asciiTheme="majorHAnsi" w:hAnsiTheme="majorHAnsi" w:cstheme="majorHAnsi"/>
        </w:rPr>
        <w:instrText xml:space="preserve"> REF _Ref153893885 \h </w:instrText>
      </w:r>
      <w:r w:rsidR="00B42120">
        <w:rPr>
          <w:rFonts w:asciiTheme="majorHAnsi" w:hAnsiTheme="majorHAnsi" w:cstheme="majorHAnsi"/>
        </w:rPr>
        <w:instrText xml:space="preserve"> \* MERGEFORMAT </w:instrText>
      </w:r>
      <w:r w:rsidR="00B42120" w:rsidRPr="00565B02">
        <w:rPr>
          <w:rFonts w:asciiTheme="majorHAnsi" w:hAnsiTheme="majorHAnsi" w:cstheme="majorHAnsi"/>
        </w:rPr>
      </w:r>
      <w:r w:rsidR="00B42120" w:rsidRPr="00565B02">
        <w:rPr>
          <w:rFonts w:asciiTheme="majorHAnsi" w:hAnsiTheme="majorHAnsi" w:cstheme="majorHAnsi"/>
        </w:rPr>
        <w:fldChar w:fldCharType="separate"/>
      </w:r>
      <w:r w:rsidR="00B42120" w:rsidRPr="00565B02">
        <w:rPr>
          <w:rFonts w:asciiTheme="majorHAnsi" w:hAnsiTheme="majorHAnsi" w:cstheme="majorHAnsi"/>
        </w:rPr>
        <w:t>Слика 5.41</w:t>
      </w:r>
      <w:r w:rsidR="00B42120" w:rsidRPr="00565B02">
        <w:rPr>
          <w:rFonts w:asciiTheme="majorHAnsi" w:hAnsiTheme="majorHAnsi" w:cstheme="majorHAnsi"/>
        </w:rPr>
        <w:fldChar w:fldCharType="end"/>
      </w:r>
      <w:r w:rsidRPr="00565B02">
        <w:rPr>
          <w:rFonts w:asciiTheme="majorHAnsi" w:hAnsiTheme="majorHAnsi" w:cstheme="majorHAnsi"/>
        </w:rPr>
        <w:t>).</w:t>
      </w:r>
      <w:r w:rsidRPr="00FF386D">
        <w:rPr>
          <w:rFonts w:asciiTheme="majorHAnsi" w:hAnsiTheme="majorHAnsi" w:cstheme="majorHAnsi"/>
          <w:color w:val="44546A" w:themeColor="text2"/>
        </w:rPr>
        <w:t xml:space="preserve"> </w:t>
      </w:r>
      <w:r w:rsidR="00A903B5" w:rsidRPr="00FF386D">
        <w:rPr>
          <w:rFonts w:asciiTheme="majorHAnsi" w:hAnsiTheme="majorHAnsi" w:cstheme="majorHAnsi"/>
        </w:rPr>
        <w:t xml:space="preserve">У сценарију </w:t>
      </w:r>
      <w:r w:rsidR="00A903B5" w:rsidRPr="00FF386D">
        <w:rPr>
          <w:rFonts w:asciiTheme="majorHAnsi" w:hAnsiTheme="majorHAnsi" w:cstheme="majorHAnsi"/>
          <w:i/>
          <w:iCs/>
        </w:rPr>
        <w:t>WEM</w:t>
      </w:r>
      <w:r w:rsidR="00A903B5" w:rsidRPr="00FF386D">
        <w:rPr>
          <w:rFonts w:asciiTheme="majorHAnsi" w:hAnsiTheme="majorHAnsi" w:cstheme="majorHAnsi"/>
        </w:rPr>
        <w:t xml:space="preserve"> укупни губици на електроенергетској</w:t>
      </w:r>
      <w:r w:rsidRPr="00FF386D">
        <w:rPr>
          <w:rFonts w:asciiTheme="majorHAnsi" w:hAnsiTheme="majorHAnsi" w:cstheme="majorHAnsi"/>
        </w:rPr>
        <w:t xml:space="preserve"> мреж</w:t>
      </w:r>
      <w:r w:rsidR="00A903B5" w:rsidRPr="00FF386D">
        <w:rPr>
          <w:rFonts w:asciiTheme="majorHAnsi" w:hAnsiTheme="majorHAnsi" w:cstheme="majorHAnsi"/>
        </w:rPr>
        <w:t>и</w:t>
      </w:r>
      <w:r w:rsidRPr="00FF386D">
        <w:rPr>
          <w:rFonts w:asciiTheme="majorHAnsi" w:hAnsiTheme="majorHAnsi" w:cstheme="majorHAnsi"/>
        </w:rPr>
        <w:t xml:space="preserve"> </w:t>
      </w:r>
      <w:r w:rsidR="00A903B5" w:rsidRPr="00FF386D">
        <w:rPr>
          <w:rFonts w:asciiTheme="majorHAnsi" w:hAnsiTheme="majorHAnsi" w:cstheme="majorHAnsi"/>
        </w:rPr>
        <w:t>остају стабилни на нивоу од 1</w:t>
      </w:r>
      <w:r w:rsidR="00860B80" w:rsidRPr="00FF386D">
        <w:rPr>
          <w:rFonts w:asciiTheme="majorHAnsi" w:hAnsiTheme="majorHAnsi" w:cstheme="majorHAnsi"/>
        </w:rPr>
        <w:t>2</w:t>
      </w:r>
      <w:r w:rsidR="00A903B5" w:rsidRPr="00FF386D">
        <w:rPr>
          <w:rFonts w:asciiTheme="majorHAnsi" w:hAnsiTheme="majorHAnsi" w:cstheme="majorHAnsi"/>
        </w:rPr>
        <w:t xml:space="preserve">% </w:t>
      </w:r>
      <w:r w:rsidR="00860B80" w:rsidRPr="00FF386D">
        <w:rPr>
          <w:rFonts w:asciiTheme="majorHAnsi" w:hAnsiTheme="majorHAnsi" w:cstheme="majorHAnsi"/>
        </w:rPr>
        <w:t xml:space="preserve">у 2030, 2035. и 2040. години и на нивоу од 11% </w:t>
      </w:r>
      <w:r w:rsidR="00A903B5" w:rsidRPr="00FF386D">
        <w:rPr>
          <w:rFonts w:asciiTheme="majorHAnsi" w:hAnsiTheme="majorHAnsi" w:cstheme="majorHAnsi"/>
        </w:rPr>
        <w:t xml:space="preserve">у 2045. и 2050. години. Губици на дистрибуционој мрежи </w:t>
      </w:r>
      <w:r w:rsidRPr="00FF386D">
        <w:rPr>
          <w:rFonts w:asciiTheme="majorHAnsi" w:hAnsiTheme="majorHAnsi" w:cstheme="majorHAnsi"/>
        </w:rPr>
        <w:t>доприносе највећем делу укупних губитака у електроенергетској мрежи током пројектованог периода.</w:t>
      </w:r>
      <w:bookmarkEnd w:id="436"/>
    </w:p>
    <w:p w14:paraId="40DAF9FC" w14:textId="2D340E1E" w:rsidR="00B42120" w:rsidRDefault="00B42120" w:rsidP="00565B02">
      <w:pPr>
        <w:pStyle w:val="Caption"/>
        <w:keepNext/>
      </w:pPr>
      <w:bookmarkStart w:id="437" w:name="_Ref153893885"/>
      <w:bookmarkStart w:id="438" w:name="_Toc153901453"/>
      <w:r>
        <w:lastRenderedPageBreak/>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41</w:t>
      </w:r>
      <w:r w:rsidR="00F35B2C">
        <w:fldChar w:fldCharType="end"/>
      </w:r>
      <w:bookmarkEnd w:id="437"/>
      <w:r>
        <w:t xml:space="preserve">: </w:t>
      </w:r>
      <w:r w:rsidRPr="00B42120">
        <w:t>Укупни губици на електроенергетској мрежи</w:t>
      </w:r>
      <w:bookmarkEnd w:id="438"/>
    </w:p>
    <w:p w14:paraId="43087F44" w14:textId="2A1B7212" w:rsidR="00983822" w:rsidRPr="00FF386D" w:rsidRDefault="00B42120" w:rsidP="00983822">
      <w:pPr>
        <w:jc w:val="center"/>
        <w:rPr>
          <w:lang w:eastAsia="el-GR"/>
        </w:rPr>
      </w:pPr>
      <w:r>
        <w:rPr>
          <w:noProof/>
          <w:lang w:val="en-US"/>
        </w:rPr>
        <mc:AlternateContent>
          <mc:Choice Requires="wps">
            <w:drawing>
              <wp:anchor distT="0" distB="0" distL="114300" distR="114300" simplePos="0" relativeHeight="251839488" behindDoc="0" locked="0" layoutInCell="1" allowOverlap="1" wp14:anchorId="7A078E36" wp14:editId="4F4C1213">
                <wp:simplePos x="0" y="0"/>
                <wp:positionH relativeFrom="margin">
                  <wp:posOffset>378555</wp:posOffset>
                </wp:positionH>
                <wp:positionV relativeFrom="paragraph">
                  <wp:posOffset>230865</wp:posOffset>
                </wp:positionV>
                <wp:extent cx="3318339" cy="2015888"/>
                <wp:effectExtent l="0" t="0" r="0" b="3810"/>
                <wp:wrapNone/>
                <wp:docPr id="2022618737" name="Text Box 20226187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8339" cy="2015888"/>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77F14D00" id="Text Box 2022618737" o:spid="_x0000_s1026" type="#_x0000_t202" style="position:absolute;margin-left:29.8pt;margin-top:18.2pt;width:261.3pt;height:158.75pt;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" fillcolor="#a6a6a6" stroked="f">
                <v:fill opacity="32896f"/>
                <w10:wrap anchorx="margin"/>
              </v:shape>
            </w:pict>
          </mc:Fallback>
        </mc:AlternateContent>
      </w:r>
      <w:r w:rsidR="00983822" w:rsidRPr="004F53D7">
        <w:rPr>
          <w:noProof/>
          <w:lang w:val="en-US"/>
        </w:rPr>
        <w:drawing>
          <wp:inline distT="0" distB="0" distL="0" distR="0" wp14:anchorId="053D2CC0" wp14:editId="2FBF7B06">
            <wp:extent cx="5829882" cy="2746468"/>
            <wp:effectExtent l="0" t="0" r="0" b="0"/>
            <wp:docPr id="1408106303" name="Picture 1408106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858469" cy="2759935"/>
                    </a:xfrm>
                    <a:prstGeom prst="rect">
                      <a:avLst/>
                    </a:prstGeom>
                    <a:noFill/>
                  </pic:spPr>
                </pic:pic>
              </a:graphicData>
            </a:graphic>
          </wp:inline>
        </w:drawing>
      </w:r>
    </w:p>
    <w:p w14:paraId="7670BF4A" w14:textId="3DD86494" w:rsidR="00A244F6" w:rsidRPr="00FF386D" w:rsidRDefault="00A244F6" w:rsidP="00A244F6">
      <w:pPr>
        <w:suppressAutoHyphens/>
        <w:jc w:val="both"/>
        <w:rPr>
          <w:rFonts w:asciiTheme="majorHAnsi" w:hAnsiTheme="majorHAnsi" w:cstheme="majorHAnsi"/>
        </w:rPr>
      </w:pPr>
      <w:r w:rsidRPr="00FF386D">
        <w:rPr>
          <w:rFonts w:asciiTheme="majorHAnsi" w:hAnsiTheme="majorHAnsi" w:cstheme="majorHAnsi"/>
        </w:rPr>
        <w:t xml:space="preserve">У свим сценаријима, укупни губици </w:t>
      </w:r>
      <w:r w:rsidR="005E3540" w:rsidRPr="00FF386D">
        <w:rPr>
          <w:rFonts w:asciiTheme="majorHAnsi" w:hAnsiTheme="majorHAnsi" w:cstheme="majorHAnsi"/>
        </w:rPr>
        <w:t xml:space="preserve">у </w:t>
      </w:r>
      <w:r w:rsidRPr="00FF386D">
        <w:rPr>
          <w:rFonts w:asciiTheme="majorHAnsi" w:hAnsiTheme="majorHAnsi" w:cstheme="majorHAnsi"/>
        </w:rPr>
        <w:t>гасн</w:t>
      </w:r>
      <w:r w:rsidR="005E3540" w:rsidRPr="00FF386D">
        <w:rPr>
          <w:rFonts w:asciiTheme="majorHAnsi" w:hAnsiTheme="majorHAnsi" w:cstheme="majorHAnsi"/>
        </w:rPr>
        <w:t xml:space="preserve">ом </w:t>
      </w:r>
      <w:r w:rsidR="00983822" w:rsidRPr="00FF386D">
        <w:rPr>
          <w:rFonts w:asciiTheme="majorHAnsi" w:hAnsiTheme="majorHAnsi" w:cstheme="majorHAnsi"/>
        </w:rPr>
        <w:t>систем</w:t>
      </w:r>
      <w:r w:rsidR="005E3540" w:rsidRPr="00FF386D">
        <w:rPr>
          <w:rFonts w:asciiTheme="majorHAnsi" w:hAnsiTheme="majorHAnsi" w:cstheme="majorHAnsi"/>
        </w:rPr>
        <w:t>у изражени као</w:t>
      </w:r>
      <w:r w:rsidRPr="00FF386D">
        <w:rPr>
          <w:rFonts w:asciiTheme="majorHAnsi" w:hAnsiTheme="majorHAnsi" w:cstheme="majorHAnsi"/>
        </w:rPr>
        <w:t xml:space="preserve"> проценат </w:t>
      </w:r>
      <w:r w:rsidR="005E3540" w:rsidRPr="00FF386D">
        <w:rPr>
          <w:rFonts w:asciiTheme="majorHAnsi" w:hAnsiTheme="majorHAnsi" w:cstheme="majorHAnsi"/>
        </w:rPr>
        <w:t xml:space="preserve">од </w:t>
      </w:r>
      <w:r w:rsidRPr="00FF386D">
        <w:rPr>
          <w:rFonts w:asciiTheme="majorHAnsi" w:hAnsiTheme="majorHAnsi" w:cstheme="majorHAnsi"/>
        </w:rPr>
        <w:t>укупно</w:t>
      </w:r>
      <w:r w:rsidR="005E3540" w:rsidRPr="00FF386D">
        <w:rPr>
          <w:rFonts w:asciiTheme="majorHAnsi" w:hAnsiTheme="majorHAnsi" w:cstheme="majorHAnsi"/>
        </w:rPr>
        <w:t>г</w:t>
      </w:r>
      <w:r w:rsidRPr="00FF386D">
        <w:rPr>
          <w:rFonts w:asciiTheme="majorHAnsi" w:hAnsiTheme="majorHAnsi" w:cstheme="majorHAnsi"/>
        </w:rPr>
        <w:t xml:space="preserve"> пренесен</w:t>
      </w:r>
      <w:r w:rsidR="005E3540" w:rsidRPr="00FF386D">
        <w:rPr>
          <w:rFonts w:asciiTheme="majorHAnsi" w:hAnsiTheme="majorHAnsi" w:cstheme="majorHAnsi"/>
        </w:rPr>
        <w:t>ог</w:t>
      </w:r>
      <w:r w:rsidRPr="00FF386D">
        <w:rPr>
          <w:rFonts w:asciiTheme="majorHAnsi" w:hAnsiTheme="majorHAnsi" w:cstheme="majorHAnsi"/>
        </w:rPr>
        <w:t xml:space="preserve"> гас</w:t>
      </w:r>
      <w:r w:rsidR="005E3540" w:rsidRPr="00FF386D">
        <w:rPr>
          <w:rFonts w:asciiTheme="majorHAnsi" w:hAnsiTheme="majorHAnsi" w:cstheme="majorHAnsi"/>
        </w:rPr>
        <w:t>а</w:t>
      </w:r>
      <w:r w:rsidRPr="00FF386D">
        <w:rPr>
          <w:rFonts w:asciiTheme="majorHAnsi" w:hAnsiTheme="majorHAnsi" w:cstheme="majorHAnsi"/>
        </w:rPr>
        <w:t xml:space="preserve"> износе 1% у 2030, и остају стабилни до 2050. године (</w:t>
      </w:r>
      <w:r w:rsidR="00D91A67">
        <w:rPr>
          <w:rFonts w:asciiTheme="majorHAnsi" w:hAnsiTheme="majorHAnsi" w:cstheme="majorHAnsi"/>
        </w:rPr>
        <w:fldChar w:fldCharType="begin"/>
      </w:r>
      <w:r w:rsidR="00D91A67">
        <w:rPr>
          <w:rFonts w:asciiTheme="majorHAnsi" w:hAnsiTheme="majorHAnsi" w:cstheme="majorHAnsi"/>
        </w:rPr>
        <w:instrText xml:space="preserve"> REF _Ref153893977 \h  \* MERGEFORMAT </w:instrText>
      </w:r>
      <w:r w:rsidR="00D91A67">
        <w:rPr>
          <w:rFonts w:asciiTheme="majorHAnsi" w:hAnsiTheme="majorHAnsi" w:cstheme="majorHAnsi"/>
        </w:rPr>
      </w:r>
      <w:r w:rsidR="00D91A67">
        <w:rPr>
          <w:rFonts w:asciiTheme="majorHAnsi" w:hAnsiTheme="majorHAnsi" w:cstheme="majorHAnsi"/>
        </w:rPr>
        <w:fldChar w:fldCharType="separate"/>
      </w:r>
      <w:r w:rsidR="00D91A67" w:rsidRPr="00565B02">
        <w:rPr>
          <w:rFonts w:asciiTheme="majorHAnsi" w:hAnsiTheme="majorHAnsi" w:cstheme="majorHAnsi"/>
        </w:rPr>
        <w:t>Слика 5.42</w:t>
      </w:r>
      <w:r w:rsidR="00D91A67">
        <w:rPr>
          <w:rFonts w:asciiTheme="majorHAnsi" w:hAnsiTheme="majorHAnsi" w:cstheme="majorHAnsi"/>
        </w:rPr>
        <w:fldChar w:fldCharType="end"/>
      </w:r>
      <w:r w:rsidRPr="00FF386D">
        <w:rPr>
          <w:rFonts w:asciiTheme="majorHAnsi" w:hAnsiTheme="majorHAnsi" w:cstheme="majorHAnsi"/>
        </w:rPr>
        <w:t>). У пројектованом периоду губици у гас</w:t>
      </w:r>
      <w:r w:rsidR="00983822" w:rsidRPr="00FF386D">
        <w:rPr>
          <w:rFonts w:asciiTheme="majorHAnsi" w:hAnsiTheme="majorHAnsi" w:cstheme="majorHAnsi"/>
        </w:rPr>
        <w:t>ном систему ниског притиска</w:t>
      </w:r>
      <w:r w:rsidRPr="00FF386D">
        <w:rPr>
          <w:rFonts w:asciiTheme="majorHAnsi" w:hAnsiTheme="majorHAnsi" w:cstheme="majorHAnsi"/>
        </w:rPr>
        <w:t xml:space="preserve"> у највећ</w:t>
      </w:r>
      <w:r w:rsidR="005E3540" w:rsidRPr="00FF386D">
        <w:rPr>
          <w:rFonts w:asciiTheme="majorHAnsi" w:hAnsiTheme="majorHAnsi" w:cstheme="majorHAnsi"/>
        </w:rPr>
        <w:t xml:space="preserve">ој мери </w:t>
      </w:r>
      <w:r w:rsidRPr="00FF386D">
        <w:rPr>
          <w:rFonts w:asciiTheme="majorHAnsi" w:hAnsiTheme="majorHAnsi" w:cstheme="majorHAnsi"/>
        </w:rPr>
        <w:t xml:space="preserve">доприносe укупном губитку </w:t>
      </w:r>
      <w:r w:rsidR="005E3540" w:rsidRPr="00FF386D">
        <w:rPr>
          <w:rFonts w:asciiTheme="majorHAnsi" w:hAnsiTheme="majorHAnsi" w:cstheme="majorHAnsi"/>
        </w:rPr>
        <w:t xml:space="preserve">у </w:t>
      </w:r>
      <w:r w:rsidRPr="00FF386D">
        <w:rPr>
          <w:rFonts w:asciiTheme="majorHAnsi" w:hAnsiTheme="majorHAnsi" w:cstheme="majorHAnsi"/>
        </w:rPr>
        <w:t>гасн</w:t>
      </w:r>
      <w:r w:rsidR="00983822" w:rsidRPr="00FF386D">
        <w:rPr>
          <w:rFonts w:asciiTheme="majorHAnsi" w:hAnsiTheme="majorHAnsi" w:cstheme="majorHAnsi"/>
        </w:rPr>
        <w:t>о</w:t>
      </w:r>
      <w:r w:rsidR="005E3540" w:rsidRPr="00FF386D">
        <w:rPr>
          <w:rFonts w:asciiTheme="majorHAnsi" w:hAnsiTheme="majorHAnsi" w:cstheme="majorHAnsi"/>
        </w:rPr>
        <w:t>м</w:t>
      </w:r>
      <w:r w:rsidR="00983822" w:rsidRPr="00FF386D">
        <w:rPr>
          <w:rFonts w:asciiTheme="majorHAnsi" w:hAnsiTheme="majorHAnsi" w:cstheme="majorHAnsi"/>
        </w:rPr>
        <w:t xml:space="preserve"> систем</w:t>
      </w:r>
      <w:r w:rsidR="005E3540" w:rsidRPr="00FF386D">
        <w:rPr>
          <w:rFonts w:asciiTheme="majorHAnsi" w:hAnsiTheme="majorHAnsi" w:cstheme="majorHAnsi"/>
        </w:rPr>
        <w:t>у</w:t>
      </w:r>
      <w:r w:rsidR="00983822" w:rsidRPr="00FF386D">
        <w:rPr>
          <w:rFonts w:asciiTheme="majorHAnsi" w:hAnsiTheme="majorHAnsi" w:cstheme="majorHAnsi"/>
        </w:rPr>
        <w:t>.</w:t>
      </w:r>
    </w:p>
    <w:p w14:paraId="5BCAB7CB" w14:textId="2B9EFA04" w:rsidR="00D91A67" w:rsidRDefault="00D91A67" w:rsidP="00565B02">
      <w:pPr>
        <w:pStyle w:val="Caption"/>
        <w:keepNext/>
      </w:pPr>
      <w:bookmarkStart w:id="439" w:name="_Ref153893977"/>
      <w:bookmarkStart w:id="440" w:name="_Toc153901454"/>
      <w:r>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42</w:t>
      </w:r>
      <w:r w:rsidR="00F35B2C">
        <w:fldChar w:fldCharType="end"/>
      </w:r>
      <w:bookmarkEnd w:id="439"/>
      <w:r>
        <w:t xml:space="preserve">: </w:t>
      </w:r>
      <w:r w:rsidRPr="00D91A67">
        <w:t>Укупни губици у гасном систему</w:t>
      </w:r>
      <w:bookmarkEnd w:id="440"/>
    </w:p>
    <w:p w14:paraId="4347A9CA" w14:textId="061A3320" w:rsidR="00A244F6" w:rsidRPr="00FF386D" w:rsidRDefault="00D91A67" w:rsidP="00A244F6">
      <w:pPr>
        <w:jc w:val="center"/>
        <w:rPr>
          <w:b/>
          <w:bCs/>
        </w:rPr>
      </w:pPr>
      <w:r>
        <w:rPr>
          <w:noProof/>
          <w:lang w:val="en-US"/>
        </w:rPr>
        <mc:AlternateContent>
          <mc:Choice Requires="wps">
            <w:drawing>
              <wp:anchor distT="0" distB="0" distL="114300" distR="114300" simplePos="0" relativeHeight="251841536" behindDoc="0" locked="0" layoutInCell="1" allowOverlap="1" wp14:anchorId="45BE0BAE" wp14:editId="4E73F6EE">
                <wp:simplePos x="0" y="0"/>
                <wp:positionH relativeFrom="margin">
                  <wp:posOffset>295114</wp:posOffset>
                </wp:positionH>
                <wp:positionV relativeFrom="paragraph">
                  <wp:posOffset>254000</wp:posOffset>
                </wp:positionV>
                <wp:extent cx="3568890" cy="2342980"/>
                <wp:effectExtent l="0" t="0" r="0" b="635"/>
                <wp:wrapNone/>
                <wp:docPr id="1416313219" name="Text Box 1416313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8890" cy="2342980"/>
                        </a:xfrm>
                        <a:prstGeom prst="rect">
                          <a:avLst/>
                        </a:prstGeom>
                        <a:solidFill>
                          <a:sysClr val="window" lastClr="FFFFFF">
                            <a:lumMod val="65000"/>
                            <a:alpha val="50000"/>
                          </a:sysClr>
                        </a:solidFill>
                        <a:ln>
                          <a:noFill/>
                        </a:ln>
                        <a:effectLst/>
                      </wps:spPr>
                      <wps:bodyPr vertOverflow="clip" wrap="square" rtlCol="0"/>
                    </wps:wsp>
                  </a:graphicData>
                </a:graphic>
                <wp14:sizeRelH relativeFrom="margin">
                  <wp14:pctWidth>0</wp14:pctWidth>
                </wp14:sizeRelH>
                <wp14:sizeRelV relativeFrom="margin">
                  <wp14:pctHeight>0</wp14:pctHeight>
                </wp14:sizeRelV>
              </wp:anchor>
            </w:drawing>
          </mc:Choice>
          <mc:Fallback>
            <w:pict>
              <v:shape w14:anchorId="0A915302" id="Text Box 1416313219" o:spid="_x0000_s1026" type="#_x0000_t202" style="position:absolute;margin-left:23.25pt;margin-top:20pt;width:281pt;height:184.5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" fillcolor="#a6a6a6" stroked="f">
                <v:fill opacity="32896f"/>
                <w10:wrap anchorx="margin"/>
              </v:shape>
            </w:pict>
          </mc:Fallback>
        </mc:AlternateContent>
      </w:r>
      <w:r w:rsidR="005E3540" w:rsidRPr="004F53D7">
        <w:rPr>
          <w:b/>
          <w:bCs/>
          <w:noProof/>
          <w:lang w:val="en-US"/>
        </w:rPr>
        <w:drawing>
          <wp:inline distT="0" distB="0" distL="0" distR="0" wp14:anchorId="2D4E329C" wp14:editId="4A721A18">
            <wp:extent cx="6311900" cy="2980542"/>
            <wp:effectExtent l="0" t="0" r="0" b="0"/>
            <wp:docPr id="1052857819" name="Picture 1052857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337173" cy="2992476"/>
                    </a:xfrm>
                    <a:prstGeom prst="rect">
                      <a:avLst/>
                    </a:prstGeom>
                    <a:noFill/>
                  </pic:spPr>
                </pic:pic>
              </a:graphicData>
            </a:graphic>
          </wp:inline>
        </w:drawing>
      </w:r>
    </w:p>
    <w:p w14:paraId="7148EC49" w14:textId="13278FC0" w:rsidR="00CA5936" w:rsidRPr="00565B02" w:rsidRDefault="00CA5936" w:rsidP="00F83802">
      <w:pPr>
        <w:pStyle w:val="Heading2"/>
        <w:rPr>
          <w:lang w:val="sr-Cyrl-RS"/>
        </w:rPr>
      </w:pPr>
      <w:bookmarkStart w:id="441" w:name="_Toc137457037"/>
      <w:bookmarkStart w:id="442" w:name="_Toc153901560"/>
      <w:r w:rsidRPr="00565B02">
        <w:rPr>
          <w:lang w:val="sr-Cyrl-RS"/>
        </w:rPr>
        <w:t>Макроекономски</w:t>
      </w:r>
      <w:r w:rsidR="00E9024C" w:rsidRPr="00565B02">
        <w:rPr>
          <w:lang w:val="sr-Cyrl-RS"/>
        </w:rPr>
        <w:t xml:space="preserve"> утицај </w:t>
      </w:r>
      <w:r w:rsidRPr="00565B02">
        <w:rPr>
          <w:lang w:val="sr-Cyrl-RS"/>
        </w:rPr>
        <w:t>и, у мери у којој је то изводљиво, утицај на здравство, животну средину, запошљавање и образовање, вештине, као и друштво, планираних политика и мера, уз поређења пројекција са постојећим политикама и мерама</w:t>
      </w:r>
      <w:bookmarkEnd w:id="441"/>
      <w:bookmarkEnd w:id="442"/>
    </w:p>
    <w:p w14:paraId="159D8FCD" w14:textId="2F19CED2" w:rsidR="00CA5936" w:rsidRPr="00FF386D" w:rsidRDefault="00CA5936" w:rsidP="00CA5936">
      <w:pPr>
        <w:widowControl w:val="0"/>
        <w:spacing w:after="120" w:line="240" w:lineRule="auto"/>
        <w:jc w:val="both"/>
        <w:rPr>
          <w:rFonts w:ascii="Calibri Light" w:eastAsia="Times New Roman" w:hAnsi="Calibri Light" w:cs="Calibri Light"/>
          <w:szCs w:val="20"/>
          <w:lang w:eastAsia="el-GR"/>
        </w:rPr>
      </w:pPr>
      <w:r w:rsidRPr="00FF386D">
        <w:rPr>
          <w:rFonts w:ascii="Calibri Light" w:eastAsia="Times New Roman" w:hAnsi="Calibri Light" w:cs="Calibri Light"/>
          <w:szCs w:val="20"/>
          <w:lang w:eastAsia="el-GR"/>
        </w:rPr>
        <w:t xml:space="preserve">Као што </w:t>
      </w:r>
      <w:r w:rsidR="00A87708" w:rsidRPr="00FF386D">
        <w:rPr>
          <w:rFonts w:ascii="Calibri Light" w:eastAsia="Times New Roman" w:hAnsi="Calibri Light" w:cs="Calibri Light"/>
          <w:szCs w:val="20"/>
          <w:lang w:eastAsia="el-GR"/>
        </w:rPr>
        <w:t>је очигледно са</w:t>
      </w:r>
      <w:r w:rsidR="008D6038" w:rsidRPr="00565B02">
        <w:rPr>
          <w:rFonts w:ascii="Calibri Light" w:eastAsia="Times New Roman" w:hAnsi="Calibri Light" w:cs="Calibri Light"/>
          <w:szCs w:val="20"/>
          <w:lang w:eastAsia="el-GR"/>
        </w:rPr>
        <w:t xml:space="preserve"> </w:t>
      </w:r>
      <w:r w:rsidR="008D6038" w:rsidRPr="00565B02">
        <w:rPr>
          <w:rFonts w:ascii="Calibri Light" w:eastAsia="Times New Roman" w:hAnsi="Calibri Light" w:cs="Calibri Light"/>
          <w:szCs w:val="20"/>
          <w:lang w:eastAsia="el-GR"/>
        </w:rPr>
        <w:fldChar w:fldCharType="begin"/>
      </w:r>
      <w:r w:rsidR="008D6038" w:rsidRPr="00565B02">
        <w:rPr>
          <w:rFonts w:ascii="Calibri Light" w:eastAsia="Times New Roman" w:hAnsi="Calibri Light" w:cs="Calibri Light"/>
          <w:szCs w:val="20"/>
          <w:lang w:eastAsia="el-GR"/>
        </w:rPr>
        <w:instrText xml:space="preserve"> REF _Ref153896171 \h </w:instrText>
      </w:r>
      <w:r w:rsidR="008D6038">
        <w:rPr>
          <w:rFonts w:ascii="Calibri Light" w:eastAsia="Times New Roman" w:hAnsi="Calibri Light" w:cs="Calibri Light"/>
          <w:szCs w:val="20"/>
          <w:lang w:eastAsia="el-GR"/>
        </w:rPr>
        <w:instrText xml:space="preserve"> \* MERGEFORMAT </w:instrText>
      </w:r>
      <w:r w:rsidR="008D6038" w:rsidRPr="00565B02">
        <w:rPr>
          <w:rFonts w:ascii="Calibri Light" w:eastAsia="Times New Roman" w:hAnsi="Calibri Light" w:cs="Calibri Light"/>
          <w:szCs w:val="20"/>
          <w:lang w:eastAsia="el-GR"/>
        </w:rPr>
      </w:r>
      <w:r w:rsidR="008D6038" w:rsidRPr="00565B02">
        <w:rPr>
          <w:rFonts w:ascii="Calibri Light" w:eastAsia="Times New Roman" w:hAnsi="Calibri Light" w:cs="Calibri Light"/>
          <w:szCs w:val="20"/>
          <w:lang w:eastAsia="el-GR"/>
        </w:rPr>
        <w:fldChar w:fldCharType="separate"/>
      </w:r>
      <w:r w:rsidR="008D6038" w:rsidRPr="00565B02">
        <w:rPr>
          <w:rFonts w:ascii="Calibri Light" w:eastAsia="Times New Roman" w:hAnsi="Calibri Light" w:cs="Calibri Light"/>
          <w:szCs w:val="20"/>
          <w:lang w:eastAsia="el-GR"/>
        </w:rPr>
        <w:t>слике 5.43</w:t>
      </w:r>
      <w:r w:rsidR="008D6038" w:rsidRPr="00565B02">
        <w:rPr>
          <w:rFonts w:ascii="Calibri Light" w:eastAsia="Times New Roman" w:hAnsi="Calibri Light" w:cs="Calibri Light"/>
          <w:szCs w:val="20"/>
          <w:lang w:eastAsia="el-GR"/>
        </w:rPr>
        <w:fldChar w:fldCharType="end"/>
      </w:r>
      <w:r w:rsidRPr="00FF386D">
        <w:rPr>
          <w:rFonts w:ascii="Calibri Light" w:eastAsia="Times New Roman" w:hAnsi="Calibri Light" w:cs="Calibri Light"/>
          <w:szCs w:val="20"/>
          <w:lang w:eastAsia="el-GR"/>
        </w:rPr>
        <w:t xml:space="preserve">, до 2030. године, сценарио </w:t>
      </w:r>
      <w:r w:rsidRPr="00FF386D">
        <w:rPr>
          <w:rFonts w:ascii="Calibri Light" w:eastAsia="Times New Roman" w:hAnsi="Calibri Light" w:cs="Calibri Light"/>
          <w:i/>
          <w:szCs w:val="20"/>
          <w:lang w:eastAsia="el-GR"/>
        </w:rPr>
        <w:t>S</w:t>
      </w:r>
      <w:r w:rsidRPr="00FF386D">
        <w:rPr>
          <w:rFonts w:ascii="Calibri Light" w:eastAsia="Times New Roman" w:hAnsi="Calibri Light" w:cs="Calibri Light"/>
          <w:szCs w:val="20"/>
          <w:lang w:eastAsia="el-GR"/>
        </w:rPr>
        <w:t xml:space="preserve"> (</w:t>
      </w:r>
      <w:r w:rsidRPr="00FF386D">
        <w:rPr>
          <w:rFonts w:ascii="Calibri Light" w:eastAsia="Times New Roman" w:hAnsi="Calibri Light" w:cs="Calibri Light"/>
          <w:i/>
          <w:szCs w:val="20"/>
          <w:lang w:eastAsia="el-GR"/>
        </w:rPr>
        <w:t>WAM</w:t>
      </w:r>
      <w:r w:rsidRPr="00FF386D">
        <w:rPr>
          <w:rFonts w:ascii="Calibri Light" w:eastAsia="Times New Roman" w:hAnsi="Calibri Light" w:cs="Calibri Light"/>
          <w:szCs w:val="20"/>
          <w:lang w:eastAsia="el-GR"/>
        </w:rPr>
        <w:t xml:space="preserve">) води ка сталном повећању БДП-а у односу на </w:t>
      </w:r>
      <w:r w:rsidRPr="00FF386D">
        <w:rPr>
          <w:rFonts w:ascii="Calibri Light" w:eastAsia="Times New Roman" w:hAnsi="Calibri Light" w:cs="Calibri Light"/>
          <w:i/>
          <w:szCs w:val="20"/>
          <w:lang w:eastAsia="el-GR"/>
        </w:rPr>
        <w:t>WEM</w:t>
      </w:r>
      <w:r w:rsidR="008F7542" w:rsidRPr="00FF386D">
        <w:rPr>
          <w:rFonts w:ascii="Calibri Light" w:eastAsia="Times New Roman" w:hAnsi="Calibri Light" w:cs="Calibri Light"/>
          <w:szCs w:val="20"/>
          <w:lang w:eastAsia="el-GR"/>
        </w:rPr>
        <w:t xml:space="preserve">. </w:t>
      </w:r>
      <w:r w:rsidR="00A87708" w:rsidRPr="00FF386D">
        <w:rPr>
          <w:rFonts w:ascii="Calibri Light" w:eastAsia="Times New Roman" w:hAnsi="Calibri Light" w:cs="Calibri Light"/>
          <w:szCs w:val="20"/>
          <w:lang w:eastAsia="el-GR"/>
        </w:rPr>
        <w:t>Након тога</w:t>
      </w:r>
      <w:r w:rsidRPr="00FF386D">
        <w:rPr>
          <w:rFonts w:ascii="Calibri Light" w:eastAsia="Times New Roman" w:hAnsi="Calibri Light" w:cs="Calibri Light"/>
          <w:szCs w:val="20"/>
          <w:lang w:eastAsia="el-GR"/>
        </w:rPr>
        <w:t xml:space="preserve">, позитивна </w:t>
      </w:r>
      <w:r w:rsidR="00811817" w:rsidRPr="00FF386D">
        <w:rPr>
          <w:rFonts w:ascii="Calibri Light" w:eastAsia="Times New Roman" w:hAnsi="Calibri Light" w:cs="Calibri Light"/>
          <w:szCs w:val="20"/>
          <w:lang w:eastAsia="el-GR"/>
        </w:rPr>
        <w:t xml:space="preserve">промена </w:t>
      </w:r>
      <w:r w:rsidR="008F7542" w:rsidRPr="00FF386D">
        <w:rPr>
          <w:rFonts w:ascii="Calibri Light" w:eastAsia="Times New Roman" w:hAnsi="Calibri Light" w:cs="Calibri Light"/>
          <w:szCs w:val="20"/>
          <w:lang w:eastAsia="el-GR"/>
        </w:rPr>
        <w:t>постаје агресивнија</w:t>
      </w:r>
      <w:r w:rsidRPr="00FF386D">
        <w:rPr>
          <w:rFonts w:ascii="Calibri Light" w:eastAsia="Times New Roman" w:hAnsi="Calibri Light" w:cs="Calibri Light"/>
          <w:szCs w:val="20"/>
          <w:lang w:eastAsia="el-GR"/>
        </w:rPr>
        <w:t xml:space="preserve"> до 2045. године (</w:t>
      </w:r>
      <w:r w:rsidR="00A87708" w:rsidRPr="00FF386D">
        <w:rPr>
          <w:rFonts w:ascii="Calibri Light" w:eastAsia="Times New Roman" w:hAnsi="Calibri Light" w:cs="Calibri Light"/>
          <w:szCs w:val="20"/>
          <w:lang w:eastAsia="el-GR"/>
        </w:rPr>
        <w:t>мало</w:t>
      </w:r>
      <w:r w:rsidRPr="00FF386D">
        <w:rPr>
          <w:rFonts w:ascii="Calibri Light" w:eastAsia="Times New Roman" w:hAnsi="Calibri Light" w:cs="Calibri Light"/>
          <w:szCs w:val="20"/>
          <w:lang w:eastAsia="el-GR"/>
        </w:rPr>
        <w:t xml:space="preserve"> осцилира између +1,</w:t>
      </w:r>
      <w:r w:rsidR="008F7542" w:rsidRPr="00FF386D">
        <w:rPr>
          <w:rFonts w:ascii="Calibri Light" w:eastAsia="Times New Roman" w:hAnsi="Calibri Light" w:cs="Calibri Light"/>
          <w:szCs w:val="20"/>
          <w:lang w:eastAsia="el-GR"/>
        </w:rPr>
        <w:t>7</w:t>
      </w:r>
      <w:r w:rsidRPr="00FF386D">
        <w:rPr>
          <w:rFonts w:ascii="Calibri Light" w:eastAsia="Times New Roman" w:hAnsi="Calibri Light" w:cs="Calibri Light"/>
          <w:szCs w:val="20"/>
          <w:lang w:eastAsia="el-GR"/>
        </w:rPr>
        <w:t>% и +</w:t>
      </w:r>
      <w:r w:rsidR="008F7542" w:rsidRPr="00FF386D">
        <w:rPr>
          <w:rFonts w:ascii="Calibri Light" w:eastAsia="Times New Roman" w:hAnsi="Calibri Light" w:cs="Calibri Light"/>
          <w:szCs w:val="20"/>
          <w:lang w:eastAsia="el-GR"/>
        </w:rPr>
        <w:t>2,2</w:t>
      </w:r>
      <w:r w:rsidRPr="00FF386D">
        <w:rPr>
          <w:rFonts w:ascii="Calibri Light" w:eastAsia="Times New Roman" w:hAnsi="Calibri Light" w:cs="Calibri Light"/>
          <w:szCs w:val="20"/>
          <w:lang w:eastAsia="el-GR"/>
        </w:rPr>
        <w:t>%) и показује незнатни пад између 2045. и 2050. године. Међутим, ниво промене је увек в</w:t>
      </w:r>
      <w:r w:rsidR="00A87708" w:rsidRPr="00FF386D">
        <w:rPr>
          <w:rFonts w:ascii="Calibri Light" w:eastAsia="Times New Roman" w:hAnsi="Calibri Light" w:cs="Calibri Light"/>
          <w:szCs w:val="20"/>
          <w:lang w:eastAsia="el-GR"/>
        </w:rPr>
        <w:t>ећи</w:t>
      </w:r>
      <w:r w:rsidRPr="00FF386D">
        <w:rPr>
          <w:rFonts w:ascii="Calibri Light" w:eastAsia="Times New Roman" w:hAnsi="Calibri Light" w:cs="Calibri Light"/>
          <w:szCs w:val="20"/>
          <w:lang w:eastAsia="el-GR"/>
        </w:rPr>
        <w:t xml:space="preserve"> од +</w:t>
      </w:r>
      <w:r w:rsidR="008F7542" w:rsidRPr="00FF386D">
        <w:rPr>
          <w:rFonts w:ascii="Calibri Light" w:eastAsia="Times New Roman" w:hAnsi="Calibri Light" w:cs="Calibri Light"/>
          <w:szCs w:val="20"/>
          <w:lang w:eastAsia="el-GR"/>
        </w:rPr>
        <w:t>1,2</w:t>
      </w:r>
      <w:r w:rsidRPr="00FF386D">
        <w:rPr>
          <w:rFonts w:ascii="Calibri Light" w:eastAsia="Times New Roman" w:hAnsi="Calibri Light" w:cs="Calibri Light"/>
          <w:szCs w:val="20"/>
          <w:lang w:eastAsia="el-GR"/>
        </w:rPr>
        <w:t xml:space="preserve">%, у односу на </w:t>
      </w:r>
      <w:r w:rsidRPr="00FF386D">
        <w:rPr>
          <w:rFonts w:ascii="Calibri Light" w:eastAsia="Times New Roman" w:hAnsi="Calibri Light" w:cs="Calibri Light"/>
          <w:i/>
          <w:szCs w:val="20"/>
          <w:lang w:eastAsia="el-GR"/>
        </w:rPr>
        <w:t>WEM</w:t>
      </w:r>
      <w:r w:rsidRPr="00FF386D">
        <w:rPr>
          <w:rFonts w:ascii="Calibri Light" w:eastAsia="Times New Roman" w:hAnsi="Calibri Light" w:cs="Calibri Light"/>
          <w:szCs w:val="20"/>
          <w:lang w:eastAsia="el-GR"/>
        </w:rPr>
        <w:t xml:space="preserve"> сценарио и то током читавог </w:t>
      </w:r>
      <w:r w:rsidR="00A87708" w:rsidRPr="00FF386D">
        <w:rPr>
          <w:rFonts w:ascii="Calibri Light" w:eastAsia="Times New Roman" w:hAnsi="Calibri Light" w:cs="Calibri Light"/>
          <w:szCs w:val="20"/>
          <w:lang w:eastAsia="el-GR"/>
        </w:rPr>
        <w:t xml:space="preserve">временског </w:t>
      </w:r>
      <w:r w:rsidRPr="00FF386D">
        <w:rPr>
          <w:rFonts w:ascii="Calibri Light" w:eastAsia="Times New Roman" w:hAnsi="Calibri Light" w:cs="Calibri Light"/>
          <w:szCs w:val="20"/>
          <w:lang w:eastAsia="el-GR"/>
        </w:rPr>
        <w:t xml:space="preserve">хоризонта. </w:t>
      </w:r>
      <w:r w:rsidR="008F7542" w:rsidRPr="00FF386D">
        <w:rPr>
          <w:rFonts w:ascii="Calibri Light" w:eastAsia="Times New Roman" w:hAnsi="Calibri Light" w:cs="Calibri Light"/>
          <w:szCs w:val="20"/>
          <w:lang w:eastAsia="el-GR"/>
        </w:rPr>
        <w:t xml:space="preserve">То значи да опције политика и технологија обухваћене у сценарију </w:t>
      </w:r>
      <w:r w:rsidR="008F7542" w:rsidRPr="00FF386D">
        <w:rPr>
          <w:rFonts w:ascii="Calibri Light" w:eastAsia="Times New Roman" w:hAnsi="Calibri Light" w:cs="Calibri Light"/>
          <w:i/>
          <w:iCs/>
          <w:szCs w:val="20"/>
          <w:lang w:eastAsia="el-GR"/>
        </w:rPr>
        <w:t>WAM</w:t>
      </w:r>
      <w:r w:rsidR="008F7542" w:rsidRPr="00FF386D">
        <w:rPr>
          <w:rFonts w:ascii="Calibri Light" w:eastAsia="Times New Roman" w:hAnsi="Calibri Light" w:cs="Calibri Light"/>
          <w:szCs w:val="20"/>
          <w:lang w:eastAsia="el-GR"/>
        </w:rPr>
        <w:t xml:space="preserve"> имају позитиван утицај на привреду, што </w:t>
      </w:r>
      <w:r w:rsidR="008F7542" w:rsidRPr="00FF386D">
        <w:rPr>
          <w:rFonts w:ascii="Calibri Light" w:eastAsia="Times New Roman" w:hAnsi="Calibri Light" w:cs="Calibri Light"/>
          <w:szCs w:val="20"/>
          <w:lang w:eastAsia="el-GR"/>
        </w:rPr>
        <w:lastRenderedPageBreak/>
        <w:t xml:space="preserve">доводи до </w:t>
      </w:r>
      <w:r w:rsidR="00811817" w:rsidRPr="00FF386D">
        <w:rPr>
          <w:rFonts w:ascii="Calibri Light" w:eastAsia="Times New Roman" w:hAnsi="Calibri Light" w:cs="Calibri Light"/>
          <w:szCs w:val="20"/>
          <w:lang w:eastAsia="el-GR"/>
        </w:rPr>
        <w:t xml:space="preserve">виших </w:t>
      </w:r>
      <w:r w:rsidR="008F7542" w:rsidRPr="00FF386D">
        <w:rPr>
          <w:rFonts w:ascii="Calibri Light" w:eastAsia="Times New Roman" w:hAnsi="Calibri Light" w:cs="Calibri Light"/>
          <w:szCs w:val="20"/>
          <w:lang w:eastAsia="el-GR"/>
        </w:rPr>
        <w:t>стопа</w:t>
      </w:r>
      <w:r w:rsidR="00811817" w:rsidRPr="00FF386D">
        <w:rPr>
          <w:rFonts w:ascii="Calibri Light" w:eastAsia="Times New Roman" w:hAnsi="Calibri Light" w:cs="Calibri Light"/>
          <w:szCs w:val="20"/>
          <w:lang w:eastAsia="el-GR"/>
        </w:rPr>
        <w:t xml:space="preserve"> раста</w:t>
      </w:r>
      <w:r w:rsidR="008F7542" w:rsidRPr="00FF386D">
        <w:rPr>
          <w:rFonts w:ascii="Calibri Light" w:eastAsia="Times New Roman" w:hAnsi="Calibri Light" w:cs="Calibri Light"/>
          <w:szCs w:val="20"/>
          <w:lang w:eastAsia="el-GR"/>
        </w:rPr>
        <w:t xml:space="preserve"> БДП-а у односу на сценарио </w:t>
      </w:r>
      <w:r w:rsidR="008F7542" w:rsidRPr="00FF386D">
        <w:rPr>
          <w:rFonts w:ascii="Calibri Light" w:eastAsia="Times New Roman" w:hAnsi="Calibri Light" w:cs="Calibri Light"/>
          <w:i/>
          <w:iCs/>
          <w:szCs w:val="20"/>
          <w:lang w:eastAsia="el-GR"/>
        </w:rPr>
        <w:t>WEM</w:t>
      </w:r>
      <w:r w:rsidR="008F7542" w:rsidRPr="00FF386D">
        <w:rPr>
          <w:rFonts w:ascii="Calibri Light" w:eastAsia="Times New Roman" w:hAnsi="Calibri Light" w:cs="Calibri Light"/>
          <w:szCs w:val="20"/>
          <w:lang w:eastAsia="el-GR"/>
        </w:rPr>
        <w:t xml:space="preserve">. </w:t>
      </w:r>
      <w:r w:rsidRPr="00FF386D">
        <w:rPr>
          <w:rFonts w:ascii="Calibri Light" w:eastAsia="Times New Roman" w:hAnsi="Calibri Light" w:cs="Calibri Light"/>
          <w:szCs w:val="20"/>
          <w:lang w:eastAsia="el-GR"/>
        </w:rPr>
        <w:t xml:space="preserve">У периоду након 2040. године, сценарио </w:t>
      </w:r>
      <w:r w:rsidRPr="00FF386D">
        <w:rPr>
          <w:rFonts w:ascii="Calibri Light" w:eastAsia="Times New Roman" w:hAnsi="Calibri Light" w:cs="Calibri Light"/>
          <w:i/>
          <w:szCs w:val="20"/>
          <w:lang w:eastAsia="el-GR"/>
        </w:rPr>
        <w:t>S-N</w:t>
      </w:r>
      <w:r w:rsidRPr="00FF386D">
        <w:rPr>
          <w:rFonts w:ascii="Calibri Light" w:eastAsia="Times New Roman" w:hAnsi="Calibri Light" w:cs="Calibri Light"/>
          <w:szCs w:val="20"/>
          <w:lang w:eastAsia="el-GR"/>
        </w:rPr>
        <w:t xml:space="preserve"> (нуклеарна опција за сценарио </w:t>
      </w:r>
      <w:r w:rsidRPr="00FF386D">
        <w:rPr>
          <w:rFonts w:ascii="Calibri Light" w:eastAsia="Times New Roman" w:hAnsi="Calibri Light" w:cs="Calibri Light"/>
          <w:i/>
          <w:szCs w:val="20"/>
          <w:lang w:eastAsia="el-GR"/>
        </w:rPr>
        <w:t>S</w:t>
      </w:r>
      <w:r w:rsidRPr="00FF386D">
        <w:rPr>
          <w:rFonts w:ascii="Calibri Light" w:eastAsia="Times New Roman" w:hAnsi="Calibri Light" w:cs="Calibri Light"/>
          <w:szCs w:val="20"/>
          <w:lang w:eastAsia="el-GR"/>
        </w:rPr>
        <w:t xml:space="preserve">) </w:t>
      </w:r>
      <w:r w:rsidR="00A87708" w:rsidRPr="00FF386D">
        <w:rPr>
          <w:rFonts w:ascii="Calibri Light" w:eastAsia="Times New Roman" w:hAnsi="Calibri Light" w:cs="Calibri Light"/>
          <w:szCs w:val="20"/>
          <w:lang w:eastAsia="el-GR"/>
        </w:rPr>
        <w:t>доводи</w:t>
      </w:r>
      <w:r w:rsidRPr="00FF386D">
        <w:rPr>
          <w:rFonts w:ascii="Calibri Light" w:eastAsia="Times New Roman" w:hAnsi="Calibri Light" w:cs="Calibri Light"/>
          <w:szCs w:val="20"/>
          <w:lang w:eastAsia="el-GR"/>
        </w:rPr>
        <w:t xml:space="preserve"> до скоро </w:t>
      </w:r>
      <w:r w:rsidR="00A87708" w:rsidRPr="00FF386D">
        <w:rPr>
          <w:rFonts w:ascii="Calibri Light" w:eastAsia="Times New Roman" w:hAnsi="Calibri Light" w:cs="Calibri Light"/>
          <w:szCs w:val="20"/>
          <w:lang w:eastAsia="el-GR"/>
        </w:rPr>
        <w:t>константног</w:t>
      </w:r>
      <w:r w:rsidRPr="00FF386D">
        <w:rPr>
          <w:rFonts w:ascii="Calibri Light" w:eastAsia="Times New Roman" w:hAnsi="Calibri Light" w:cs="Calibri Light"/>
          <w:szCs w:val="20"/>
          <w:lang w:eastAsia="el-GR"/>
        </w:rPr>
        <w:t xml:space="preserve"> умереног успоравања, због новонасталих трошкова </w:t>
      </w:r>
      <w:r w:rsidR="00A87708" w:rsidRPr="00FF386D">
        <w:rPr>
          <w:rFonts w:ascii="Calibri Light" w:eastAsia="Times New Roman" w:hAnsi="Calibri Light" w:cs="Calibri Light"/>
          <w:szCs w:val="20"/>
          <w:lang w:eastAsia="el-GR"/>
        </w:rPr>
        <w:t>коришћења</w:t>
      </w:r>
      <w:r w:rsidRPr="00FF386D">
        <w:rPr>
          <w:rFonts w:ascii="Calibri Light" w:eastAsia="Times New Roman" w:hAnsi="Calibri Light" w:cs="Calibri Light"/>
          <w:szCs w:val="20"/>
          <w:lang w:eastAsia="el-GR"/>
        </w:rPr>
        <w:t xml:space="preserve"> нуклеарн</w:t>
      </w:r>
      <w:r w:rsidR="00A87708" w:rsidRPr="00FF386D">
        <w:rPr>
          <w:rFonts w:ascii="Calibri Light" w:eastAsia="Times New Roman" w:hAnsi="Calibri Light" w:cs="Calibri Light"/>
          <w:szCs w:val="20"/>
          <w:lang w:eastAsia="el-GR"/>
        </w:rPr>
        <w:t>е</w:t>
      </w:r>
      <w:r w:rsidRPr="00FF386D">
        <w:rPr>
          <w:rFonts w:ascii="Calibri Light" w:eastAsia="Times New Roman" w:hAnsi="Calibri Light" w:cs="Calibri Light"/>
          <w:szCs w:val="20"/>
          <w:lang w:eastAsia="el-GR"/>
        </w:rPr>
        <w:t xml:space="preserve"> технологиј</w:t>
      </w:r>
      <w:r w:rsidR="00A87708" w:rsidRPr="00FF386D">
        <w:rPr>
          <w:rFonts w:ascii="Calibri Light" w:eastAsia="Times New Roman" w:hAnsi="Calibri Light" w:cs="Calibri Light"/>
          <w:szCs w:val="20"/>
          <w:lang w:eastAsia="el-GR"/>
        </w:rPr>
        <w:t>е</w:t>
      </w:r>
      <w:r w:rsidRPr="00FF386D">
        <w:rPr>
          <w:rFonts w:ascii="Calibri Light" w:eastAsia="Times New Roman" w:hAnsi="Calibri Light" w:cs="Calibri Light"/>
          <w:szCs w:val="20"/>
          <w:lang w:eastAsia="el-GR"/>
        </w:rPr>
        <w:t xml:space="preserve"> заједно са висок</w:t>
      </w:r>
      <w:r w:rsidR="00A87708" w:rsidRPr="00FF386D">
        <w:rPr>
          <w:rFonts w:ascii="Calibri Light" w:eastAsia="Times New Roman" w:hAnsi="Calibri Light" w:cs="Calibri Light"/>
          <w:szCs w:val="20"/>
          <w:lang w:eastAsia="el-GR"/>
        </w:rPr>
        <w:t xml:space="preserve">о постављеним </w:t>
      </w:r>
      <w:r w:rsidRPr="00FF386D">
        <w:rPr>
          <w:rFonts w:ascii="Calibri Light" w:eastAsia="Times New Roman" w:hAnsi="Calibri Light" w:cs="Calibri Light"/>
          <w:szCs w:val="20"/>
          <w:lang w:eastAsia="el-GR"/>
        </w:rPr>
        <w:t xml:space="preserve">циљевима </w:t>
      </w:r>
      <w:r w:rsidR="00A87708" w:rsidRPr="00FF386D">
        <w:rPr>
          <w:rFonts w:ascii="Calibri Light" w:eastAsia="Times New Roman" w:hAnsi="Calibri Light" w:cs="Calibri Light"/>
          <w:szCs w:val="20"/>
          <w:lang w:eastAsia="el-GR"/>
        </w:rPr>
        <w:t xml:space="preserve">за </w:t>
      </w:r>
      <w:r w:rsidRPr="00FF386D">
        <w:rPr>
          <w:rFonts w:ascii="Calibri Light" w:eastAsia="Times New Roman" w:hAnsi="Calibri Light" w:cs="Calibri Light"/>
          <w:szCs w:val="20"/>
          <w:lang w:eastAsia="el-GR"/>
        </w:rPr>
        <w:t>ублажавањ</w:t>
      </w:r>
      <w:r w:rsidR="00A87708" w:rsidRPr="00FF386D">
        <w:rPr>
          <w:rFonts w:ascii="Calibri Light" w:eastAsia="Times New Roman" w:hAnsi="Calibri Light" w:cs="Calibri Light"/>
          <w:szCs w:val="20"/>
          <w:lang w:eastAsia="el-GR"/>
        </w:rPr>
        <w:t>е</w:t>
      </w:r>
      <w:r w:rsidRPr="00FF386D">
        <w:rPr>
          <w:rFonts w:ascii="Calibri Light" w:eastAsia="Times New Roman" w:hAnsi="Calibri Light" w:cs="Calibri Light"/>
          <w:szCs w:val="20"/>
          <w:lang w:eastAsia="el-GR"/>
        </w:rPr>
        <w:t>.</w:t>
      </w:r>
    </w:p>
    <w:p w14:paraId="58A278DF" w14:textId="4B2A4F45" w:rsidR="00CA5936" w:rsidRPr="00FF386D" w:rsidRDefault="00CA5936" w:rsidP="00CA5936">
      <w:pPr>
        <w:widowControl w:val="0"/>
        <w:spacing w:after="120" w:line="240" w:lineRule="auto"/>
        <w:jc w:val="both"/>
        <w:rPr>
          <w:rFonts w:ascii="Calibri Light" w:eastAsia="Times New Roman" w:hAnsi="Calibri Light" w:cs="Calibri Light"/>
          <w:szCs w:val="20"/>
          <w:lang w:eastAsia="el-GR"/>
        </w:rPr>
      </w:pPr>
      <w:r w:rsidRPr="00FF386D">
        <w:rPr>
          <w:rFonts w:ascii="Calibri Light" w:eastAsia="Times New Roman" w:hAnsi="Calibri Light" w:cs="Calibri Light"/>
          <w:szCs w:val="20"/>
          <w:lang w:eastAsia="el-GR"/>
        </w:rPr>
        <w:t>Ситуација у вези с</w:t>
      </w:r>
      <w:r w:rsidR="008F7542" w:rsidRPr="00FF386D">
        <w:rPr>
          <w:rFonts w:ascii="Calibri Light" w:eastAsia="Times New Roman" w:hAnsi="Calibri Light" w:cs="Calibri Light"/>
          <w:szCs w:val="20"/>
          <w:lang w:eastAsia="el-GR"/>
        </w:rPr>
        <w:t xml:space="preserve">топа </w:t>
      </w:r>
      <w:r w:rsidRPr="00FF386D">
        <w:rPr>
          <w:rFonts w:ascii="Calibri Light" w:eastAsia="Times New Roman" w:hAnsi="Calibri Light" w:cs="Calibri Light"/>
          <w:szCs w:val="20"/>
          <w:lang w:eastAsia="el-GR"/>
        </w:rPr>
        <w:t>раст</w:t>
      </w:r>
      <w:r w:rsidR="008F7542" w:rsidRPr="00FF386D">
        <w:rPr>
          <w:rFonts w:ascii="Calibri Light" w:eastAsia="Times New Roman" w:hAnsi="Calibri Light" w:cs="Calibri Light"/>
          <w:szCs w:val="20"/>
          <w:lang w:eastAsia="el-GR"/>
        </w:rPr>
        <w:t>а</w:t>
      </w:r>
      <w:r w:rsidRPr="00FF386D">
        <w:rPr>
          <w:rFonts w:ascii="Calibri Light" w:eastAsia="Times New Roman" w:hAnsi="Calibri Light" w:cs="Calibri Light"/>
          <w:szCs w:val="20"/>
          <w:lang w:eastAsia="el-GR"/>
        </w:rPr>
        <w:t xml:space="preserve"> БДП-а је доста јасна. </w:t>
      </w:r>
      <w:r w:rsidR="00A87708" w:rsidRPr="00FF386D">
        <w:rPr>
          <w:rFonts w:ascii="Calibri Light" w:eastAsia="Times New Roman" w:hAnsi="Calibri Light" w:cs="Calibri Light"/>
          <w:szCs w:val="20"/>
          <w:lang w:eastAsia="el-GR"/>
        </w:rPr>
        <w:t xml:space="preserve">Спровођењем сценарија </w:t>
      </w:r>
      <w:r w:rsidR="00A87708" w:rsidRPr="00FF386D">
        <w:rPr>
          <w:rFonts w:ascii="Calibri Light" w:eastAsia="Times New Roman" w:hAnsi="Calibri Light" w:cs="Calibri Light"/>
          <w:i/>
          <w:szCs w:val="20"/>
          <w:lang w:eastAsia="el-GR"/>
        </w:rPr>
        <w:t>S</w:t>
      </w:r>
      <w:r w:rsidR="00A87708" w:rsidRPr="00FF386D">
        <w:rPr>
          <w:rFonts w:ascii="Calibri Light" w:eastAsia="Times New Roman" w:hAnsi="Calibri Light" w:cs="Calibri Light"/>
          <w:szCs w:val="20"/>
          <w:lang w:eastAsia="el-GR"/>
        </w:rPr>
        <w:t xml:space="preserve"> д</w:t>
      </w:r>
      <w:r w:rsidRPr="00FF386D">
        <w:rPr>
          <w:rFonts w:ascii="Calibri Light" w:eastAsia="Times New Roman" w:hAnsi="Calibri Light" w:cs="Calibri Light"/>
          <w:szCs w:val="20"/>
          <w:lang w:eastAsia="el-GR"/>
        </w:rPr>
        <w:t xml:space="preserve">олази до повећања БДП-а у односу на </w:t>
      </w:r>
      <w:r w:rsidR="00A87708" w:rsidRPr="00FF386D">
        <w:rPr>
          <w:rFonts w:ascii="Calibri Light" w:eastAsia="Times New Roman" w:hAnsi="Calibri Light" w:cs="Calibri Light"/>
          <w:szCs w:val="20"/>
          <w:lang w:eastAsia="el-GR"/>
        </w:rPr>
        <w:t xml:space="preserve">сценарио </w:t>
      </w:r>
      <w:r w:rsidRPr="00FF386D">
        <w:rPr>
          <w:rFonts w:ascii="Calibri Light" w:eastAsia="Times New Roman" w:hAnsi="Calibri Light" w:cs="Calibri Light"/>
          <w:i/>
          <w:szCs w:val="20"/>
          <w:lang w:eastAsia="el-GR"/>
        </w:rPr>
        <w:t>WEM</w:t>
      </w:r>
      <w:r w:rsidRPr="00FF386D">
        <w:rPr>
          <w:rFonts w:ascii="Calibri Light" w:eastAsia="Times New Roman" w:hAnsi="Calibri Light" w:cs="Calibri Light"/>
          <w:szCs w:val="20"/>
          <w:lang w:eastAsia="el-GR"/>
        </w:rPr>
        <w:t xml:space="preserve">. Са друге стране, увођење производње нуклеарне енергије доводи до умереног смањења БДП-а, у односу на </w:t>
      </w:r>
      <w:r w:rsidRPr="00FF386D">
        <w:rPr>
          <w:rFonts w:ascii="Calibri Light" w:eastAsia="Times New Roman" w:hAnsi="Calibri Light" w:cs="Calibri Light"/>
          <w:i/>
          <w:szCs w:val="20"/>
          <w:lang w:eastAsia="el-GR"/>
        </w:rPr>
        <w:t>WEM</w:t>
      </w:r>
      <w:r w:rsidRPr="00FF386D">
        <w:rPr>
          <w:rFonts w:ascii="Calibri Light" w:eastAsia="Times New Roman" w:hAnsi="Calibri Light" w:cs="Calibri Light"/>
          <w:szCs w:val="20"/>
          <w:lang w:eastAsia="el-GR"/>
        </w:rPr>
        <w:t xml:space="preserve"> сценарио</w:t>
      </w:r>
      <w:r w:rsidR="00090A3E" w:rsidRPr="00FF386D">
        <w:rPr>
          <w:rFonts w:ascii="Calibri Light" w:eastAsia="Times New Roman" w:hAnsi="Calibri Light" w:cs="Calibri Light"/>
          <w:szCs w:val="20"/>
          <w:lang w:eastAsia="el-GR"/>
        </w:rPr>
        <w:t xml:space="preserve">, </w:t>
      </w:r>
      <w:r w:rsidRPr="00FF386D">
        <w:rPr>
          <w:rFonts w:ascii="Calibri Light" w:eastAsia="Times New Roman" w:hAnsi="Calibri Light" w:cs="Calibri Light"/>
          <w:szCs w:val="20"/>
          <w:lang w:eastAsia="el-GR"/>
        </w:rPr>
        <w:t>кој</w:t>
      </w:r>
      <w:r w:rsidR="00090A3E" w:rsidRPr="00FF386D">
        <w:rPr>
          <w:rFonts w:ascii="Calibri Light" w:eastAsia="Times New Roman" w:hAnsi="Calibri Light" w:cs="Calibri Light"/>
          <w:szCs w:val="20"/>
          <w:lang w:eastAsia="el-GR"/>
        </w:rPr>
        <w:t>и</w:t>
      </w:r>
      <w:r w:rsidRPr="00FF386D">
        <w:rPr>
          <w:rFonts w:ascii="Calibri Light" w:eastAsia="Times New Roman" w:hAnsi="Calibri Light" w:cs="Calibri Light"/>
          <w:szCs w:val="20"/>
          <w:lang w:eastAsia="el-GR"/>
        </w:rPr>
        <w:t xml:space="preserve"> бележи сталну силазну путању </w:t>
      </w:r>
      <w:r w:rsidR="00090A3E" w:rsidRPr="00FF386D">
        <w:rPr>
          <w:rFonts w:ascii="Calibri Light" w:eastAsia="Times New Roman" w:hAnsi="Calibri Light" w:cs="Calibri Light"/>
          <w:szCs w:val="20"/>
          <w:lang w:eastAsia="el-GR"/>
        </w:rPr>
        <w:t>након</w:t>
      </w:r>
      <w:r w:rsidRPr="00FF386D">
        <w:rPr>
          <w:rFonts w:ascii="Calibri Light" w:eastAsia="Times New Roman" w:hAnsi="Calibri Light" w:cs="Calibri Light"/>
          <w:szCs w:val="20"/>
          <w:lang w:eastAsia="el-GR"/>
        </w:rPr>
        <w:t xml:space="preserve"> 20</w:t>
      </w:r>
      <w:r w:rsidR="00090A3E" w:rsidRPr="00FF386D">
        <w:rPr>
          <w:rFonts w:ascii="Calibri Light" w:eastAsia="Times New Roman" w:hAnsi="Calibri Light" w:cs="Calibri Light"/>
          <w:szCs w:val="20"/>
          <w:lang w:eastAsia="el-GR"/>
        </w:rPr>
        <w:t>4</w:t>
      </w:r>
      <w:r w:rsidRPr="00FF386D">
        <w:rPr>
          <w:rFonts w:ascii="Calibri Light" w:eastAsia="Times New Roman" w:hAnsi="Calibri Light" w:cs="Calibri Light"/>
          <w:szCs w:val="20"/>
          <w:lang w:eastAsia="el-GR"/>
        </w:rPr>
        <w:t xml:space="preserve">0. године. </w:t>
      </w:r>
      <w:r w:rsidR="00A87708" w:rsidRPr="00FF386D">
        <w:rPr>
          <w:rFonts w:ascii="Calibri Light" w:eastAsia="Times New Roman" w:hAnsi="Calibri Light" w:cs="Calibri Light"/>
          <w:szCs w:val="20"/>
          <w:lang w:eastAsia="el-GR"/>
        </w:rPr>
        <w:t>Уопште посматрано</w:t>
      </w:r>
      <w:r w:rsidRPr="00FF386D">
        <w:rPr>
          <w:rFonts w:ascii="Calibri Light" w:eastAsia="Times New Roman" w:hAnsi="Calibri Light" w:cs="Calibri Light"/>
          <w:szCs w:val="20"/>
          <w:lang w:eastAsia="el-GR"/>
        </w:rPr>
        <w:t xml:space="preserve">, </w:t>
      </w:r>
      <w:r w:rsidR="004B397A" w:rsidRPr="00FF386D">
        <w:rPr>
          <w:rFonts w:ascii="Calibri Light" w:eastAsia="Times New Roman" w:hAnsi="Calibri Light" w:cs="Calibri Light"/>
          <w:szCs w:val="20"/>
          <w:lang w:eastAsia="el-GR"/>
        </w:rPr>
        <w:t xml:space="preserve">коришћење </w:t>
      </w:r>
      <w:r w:rsidRPr="00FF386D">
        <w:rPr>
          <w:rFonts w:ascii="Calibri Light" w:eastAsia="Times New Roman" w:hAnsi="Calibri Light" w:cs="Calibri Light"/>
          <w:szCs w:val="20"/>
          <w:lang w:eastAsia="el-GR"/>
        </w:rPr>
        <w:t>нуклеарн</w:t>
      </w:r>
      <w:r w:rsidR="004B397A" w:rsidRPr="00FF386D">
        <w:rPr>
          <w:rFonts w:ascii="Calibri Light" w:eastAsia="Times New Roman" w:hAnsi="Calibri Light" w:cs="Calibri Light"/>
          <w:szCs w:val="20"/>
          <w:lang w:eastAsia="el-GR"/>
        </w:rPr>
        <w:t>е</w:t>
      </w:r>
      <w:r w:rsidRPr="00FF386D">
        <w:rPr>
          <w:rFonts w:ascii="Calibri Light" w:eastAsia="Times New Roman" w:hAnsi="Calibri Light" w:cs="Calibri Light"/>
          <w:szCs w:val="20"/>
          <w:lang w:eastAsia="el-GR"/>
        </w:rPr>
        <w:t xml:space="preserve"> енергиј</w:t>
      </w:r>
      <w:r w:rsidR="004B397A" w:rsidRPr="00FF386D">
        <w:rPr>
          <w:rFonts w:ascii="Calibri Light" w:eastAsia="Times New Roman" w:hAnsi="Calibri Light" w:cs="Calibri Light"/>
          <w:szCs w:val="20"/>
          <w:lang w:eastAsia="el-GR"/>
        </w:rPr>
        <w:t>е јесте скупље</w:t>
      </w:r>
      <w:r w:rsidRPr="00FF386D">
        <w:rPr>
          <w:rFonts w:ascii="Calibri Light" w:eastAsia="Times New Roman" w:hAnsi="Calibri Light" w:cs="Calibri Light"/>
          <w:szCs w:val="20"/>
          <w:lang w:eastAsia="el-GR"/>
        </w:rPr>
        <w:t xml:space="preserve"> (укључујући веће оперативне трошкове и трошкове изградње)</w:t>
      </w:r>
      <w:r w:rsidR="00090A3E" w:rsidRPr="00FF386D">
        <w:rPr>
          <w:rFonts w:ascii="Calibri Light" w:eastAsia="Times New Roman" w:hAnsi="Calibri Light" w:cs="Calibri Light"/>
          <w:szCs w:val="20"/>
          <w:lang w:eastAsia="el-GR"/>
        </w:rPr>
        <w:t xml:space="preserve">, </w:t>
      </w:r>
      <w:r w:rsidR="00A87708" w:rsidRPr="00FF386D">
        <w:rPr>
          <w:rFonts w:ascii="Calibri Light" w:eastAsia="Times New Roman" w:hAnsi="Calibri Light" w:cs="Calibri Light"/>
          <w:szCs w:val="20"/>
          <w:lang w:eastAsia="el-GR"/>
        </w:rPr>
        <w:t>па увођење</w:t>
      </w:r>
      <w:r w:rsidRPr="00FF386D">
        <w:rPr>
          <w:rFonts w:ascii="Calibri Light" w:eastAsia="Times New Roman" w:hAnsi="Calibri Light" w:cs="Calibri Light"/>
          <w:szCs w:val="20"/>
          <w:lang w:eastAsia="el-GR"/>
        </w:rPr>
        <w:t xml:space="preserve"> ов</w:t>
      </w:r>
      <w:r w:rsidR="00A87708" w:rsidRPr="00FF386D">
        <w:rPr>
          <w:rFonts w:ascii="Calibri Light" w:eastAsia="Times New Roman" w:hAnsi="Calibri Light" w:cs="Calibri Light"/>
          <w:szCs w:val="20"/>
          <w:lang w:eastAsia="el-GR"/>
        </w:rPr>
        <w:t>е</w:t>
      </w:r>
      <w:r w:rsidRPr="00FF386D">
        <w:rPr>
          <w:rFonts w:ascii="Calibri Light" w:eastAsia="Times New Roman" w:hAnsi="Calibri Light" w:cs="Calibri Light"/>
          <w:szCs w:val="20"/>
          <w:lang w:eastAsia="el-GR"/>
        </w:rPr>
        <w:t xml:space="preserve"> скупљ</w:t>
      </w:r>
      <w:r w:rsidR="00A87708" w:rsidRPr="00FF386D">
        <w:rPr>
          <w:rFonts w:ascii="Calibri Light" w:eastAsia="Times New Roman" w:hAnsi="Calibri Light" w:cs="Calibri Light"/>
          <w:szCs w:val="20"/>
          <w:lang w:eastAsia="el-GR"/>
        </w:rPr>
        <w:t>е</w:t>
      </w:r>
      <w:r w:rsidRPr="00FF386D">
        <w:rPr>
          <w:rFonts w:ascii="Calibri Light" w:eastAsia="Times New Roman" w:hAnsi="Calibri Light" w:cs="Calibri Light"/>
          <w:szCs w:val="20"/>
          <w:lang w:eastAsia="el-GR"/>
        </w:rPr>
        <w:t xml:space="preserve"> технологиј</w:t>
      </w:r>
      <w:r w:rsidR="00A87708" w:rsidRPr="00FF386D">
        <w:rPr>
          <w:rFonts w:ascii="Calibri Light" w:eastAsia="Times New Roman" w:hAnsi="Calibri Light" w:cs="Calibri Light"/>
          <w:szCs w:val="20"/>
          <w:lang w:eastAsia="el-GR"/>
        </w:rPr>
        <w:t>е</w:t>
      </w:r>
      <w:r w:rsidRPr="00FF386D">
        <w:rPr>
          <w:rFonts w:ascii="Calibri Light" w:eastAsia="Times New Roman" w:hAnsi="Calibri Light" w:cs="Calibri Light"/>
          <w:szCs w:val="20"/>
          <w:lang w:eastAsia="el-GR"/>
        </w:rPr>
        <w:t xml:space="preserve">, заједно са амбициозним циљевима ублажавања, у </w:t>
      </w:r>
      <w:r w:rsidR="00A87708" w:rsidRPr="00FF386D">
        <w:rPr>
          <w:rFonts w:ascii="Calibri Light" w:eastAsia="Times New Roman" w:hAnsi="Calibri Light" w:cs="Calibri Light"/>
          <w:szCs w:val="20"/>
          <w:lang w:eastAsia="el-GR"/>
        </w:rPr>
        <w:t>одређеној</w:t>
      </w:r>
      <w:r w:rsidRPr="00FF386D">
        <w:rPr>
          <w:rFonts w:ascii="Calibri Light" w:eastAsia="Times New Roman" w:hAnsi="Calibri Light" w:cs="Calibri Light"/>
          <w:szCs w:val="20"/>
          <w:lang w:eastAsia="el-GR"/>
        </w:rPr>
        <w:t xml:space="preserve"> мери ограничава раст БДП-а.</w:t>
      </w:r>
    </w:p>
    <w:p w14:paraId="7540DF8D" w14:textId="6BD5B4C5" w:rsidR="008D6038" w:rsidRDefault="008D6038" w:rsidP="00565B02">
      <w:pPr>
        <w:pStyle w:val="Caption"/>
        <w:keepNext/>
      </w:pPr>
      <w:bookmarkStart w:id="443" w:name="_Ref153896171"/>
      <w:bookmarkStart w:id="444" w:name="_Toc153901455"/>
      <w:r>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43</w:t>
      </w:r>
      <w:r w:rsidR="00F35B2C">
        <w:fldChar w:fldCharType="end"/>
      </w:r>
      <w:bookmarkEnd w:id="443"/>
      <w:r>
        <w:t xml:space="preserve">: </w:t>
      </w:r>
      <w:r w:rsidRPr="008D6038">
        <w:t>Утицај спровођења сценарија S и S-N на БДП привреде Србије у периоду 2025-2050. године</w:t>
      </w:r>
      <w:bookmarkEnd w:id="444"/>
    </w:p>
    <w:p w14:paraId="2E12075C" w14:textId="6FFA3A97" w:rsidR="00CA5936" w:rsidRPr="00FF386D" w:rsidRDefault="00DD76AE" w:rsidP="00CA5936">
      <w:pPr>
        <w:spacing w:after="0" w:line="240" w:lineRule="auto"/>
        <w:rPr>
          <w:rFonts w:ascii="Calibri Light" w:eastAsia="Calibri" w:hAnsi="Calibri Light" w:cs="Calibri Light"/>
          <w:highlight w:val="yellow"/>
          <w:lang w:eastAsia="el-GR"/>
        </w:rPr>
      </w:pPr>
      <w:r w:rsidRPr="00565B02">
        <w:rPr>
          <w:rFonts w:ascii="Calibri Light" w:eastAsia="Calibri" w:hAnsi="Calibri Light" w:cs="Calibri Light"/>
          <w:noProof/>
          <w:lang w:val="en-US"/>
        </w:rPr>
        <w:drawing>
          <wp:inline distT="0" distB="0" distL="0" distR="0" wp14:anchorId="0E9AC070" wp14:editId="16BA896A">
            <wp:extent cx="6085840" cy="3769059"/>
            <wp:effectExtent l="0" t="0" r="0" b="3175"/>
            <wp:docPr id="1941066223" name="Picture 1941066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099815" cy="3777714"/>
                    </a:xfrm>
                    <a:prstGeom prst="rect">
                      <a:avLst/>
                    </a:prstGeom>
                    <a:noFill/>
                  </pic:spPr>
                </pic:pic>
              </a:graphicData>
            </a:graphic>
          </wp:inline>
        </w:drawing>
      </w:r>
    </w:p>
    <w:p w14:paraId="04B12D84" w14:textId="2C8FFF65" w:rsidR="00CA5936" w:rsidRPr="00FF386D" w:rsidRDefault="008D6038" w:rsidP="00CA5936">
      <w:pPr>
        <w:widowControl w:val="0"/>
        <w:spacing w:before="160" w:after="120" w:line="240" w:lineRule="auto"/>
        <w:jc w:val="both"/>
        <w:rPr>
          <w:rFonts w:ascii="Calibri Light" w:eastAsia="Times New Roman" w:hAnsi="Calibri Light" w:cs="Calibri Light"/>
          <w:szCs w:val="20"/>
          <w:lang w:eastAsia="el-GR"/>
        </w:rPr>
      </w:pPr>
      <w:r w:rsidRPr="00565B02">
        <w:rPr>
          <w:rFonts w:ascii="Calibri Light" w:eastAsia="Times New Roman" w:hAnsi="Calibri Light" w:cs="Calibri Light"/>
          <w:szCs w:val="20"/>
          <w:lang w:eastAsia="el-GR"/>
        </w:rPr>
        <w:fldChar w:fldCharType="begin"/>
      </w:r>
      <w:r w:rsidRPr="00565B02">
        <w:rPr>
          <w:rFonts w:ascii="Calibri Light" w:eastAsia="Times New Roman" w:hAnsi="Calibri Light" w:cs="Calibri Light"/>
          <w:szCs w:val="20"/>
          <w:lang w:eastAsia="el-GR"/>
        </w:rPr>
        <w:instrText xml:space="preserve"> REF _Ref153896257 \h </w:instrText>
      </w:r>
      <w:r>
        <w:rPr>
          <w:rFonts w:ascii="Calibri Light" w:eastAsia="Times New Roman" w:hAnsi="Calibri Light" w:cs="Calibri Light"/>
          <w:szCs w:val="20"/>
          <w:lang w:eastAsia="el-GR"/>
        </w:rPr>
        <w:instrText xml:space="preserve"> \* MERGEFORMAT </w:instrText>
      </w:r>
      <w:r w:rsidRPr="00565B02">
        <w:rPr>
          <w:rFonts w:ascii="Calibri Light" w:eastAsia="Times New Roman" w:hAnsi="Calibri Light" w:cs="Calibri Light"/>
          <w:szCs w:val="20"/>
          <w:lang w:eastAsia="el-GR"/>
        </w:rPr>
      </w:r>
      <w:r w:rsidRPr="00565B02">
        <w:rPr>
          <w:rFonts w:ascii="Calibri Light" w:eastAsia="Times New Roman" w:hAnsi="Calibri Light" w:cs="Calibri Light"/>
          <w:szCs w:val="20"/>
          <w:lang w:eastAsia="el-GR"/>
        </w:rPr>
        <w:fldChar w:fldCharType="separate"/>
      </w:r>
      <w:r w:rsidRPr="00565B02">
        <w:rPr>
          <w:rFonts w:ascii="Calibri Light" w:eastAsia="Times New Roman" w:hAnsi="Calibri Light" w:cs="Calibri Light"/>
          <w:szCs w:val="20"/>
          <w:lang w:eastAsia="el-GR"/>
        </w:rPr>
        <w:t>Слика 5.44</w:t>
      </w:r>
      <w:r w:rsidRPr="00565B02">
        <w:rPr>
          <w:rFonts w:ascii="Calibri Light" w:eastAsia="Times New Roman" w:hAnsi="Calibri Light" w:cs="Calibri Light"/>
          <w:szCs w:val="20"/>
          <w:lang w:eastAsia="el-GR"/>
        </w:rPr>
        <w:fldChar w:fldCharType="end"/>
      </w:r>
      <w:r w:rsidRPr="00565B02">
        <w:rPr>
          <w:rFonts w:ascii="Calibri Light" w:eastAsia="Times New Roman" w:hAnsi="Calibri Light" w:cs="Calibri Light"/>
          <w:szCs w:val="20"/>
          <w:lang w:eastAsia="el-GR"/>
        </w:rPr>
        <w:t xml:space="preserve"> </w:t>
      </w:r>
      <w:r w:rsidR="00CA5936" w:rsidRPr="00FF386D">
        <w:rPr>
          <w:rFonts w:ascii="Calibri Light" w:eastAsia="Times New Roman" w:hAnsi="Calibri Light" w:cs="Calibri Light"/>
          <w:szCs w:val="20"/>
          <w:lang w:eastAsia="el-GR"/>
        </w:rPr>
        <w:t xml:space="preserve">приказује </w:t>
      </w:r>
      <w:r w:rsidR="004B397A" w:rsidRPr="00FF386D">
        <w:rPr>
          <w:rFonts w:ascii="Calibri Light" w:eastAsia="Times New Roman" w:hAnsi="Calibri Light" w:cs="Calibri Light"/>
          <w:szCs w:val="20"/>
          <w:lang w:eastAsia="el-GR"/>
        </w:rPr>
        <w:t xml:space="preserve">пројекције утицаја </w:t>
      </w:r>
      <w:r w:rsidR="00CA5936" w:rsidRPr="00FF386D">
        <w:rPr>
          <w:rFonts w:ascii="Calibri Light" w:eastAsia="Times New Roman" w:hAnsi="Calibri Light" w:cs="Calibri Light"/>
          <w:szCs w:val="20"/>
          <w:lang w:eastAsia="el-GR"/>
        </w:rPr>
        <w:t>сценарија који се разматрају на ниво незапослености у привреди</w:t>
      </w:r>
      <w:r w:rsidR="004B397A" w:rsidRPr="00FF386D">
        <w:rPr>
          <w:rFonts w:ascii="Calibri Light" w:eastAsia="Times New Roman" w:hAnsi="Calibri Light" w:cs="Calibri Light"/>
          <w:szCs w:val="20"/>
          <w:lang w:eastAsia="el-GR"/>
        </w:rPr>
        <w:t xml:space="preserve"> Србије</w:t>
      </w:r>
      <w:r w:rsidR="00CA5936" w:rsidRPr="00FF386D">
        <w:rPr>
          <w:rFonts w:ascii="Calibri Light" w:eastAsia="Times New Roman" w:hAnsi="Calibri Light" w:cs="Calibri Light"/>
          <w:szCs w:val="20"/>
          <w:lang w:eastAsia="el-GR"/>
        </w:rPr>
        <w:t>.</w:t>
      </w:r>
      <w:r w:rsidR="004B397A" w:rsidRPr="00FF386D">
        <w:rPr>
          <w:rFonts w:ascii="Calibri Light" w:eastAsia="Times New Roman" w:hAnsi="Calibri Light" w:cs="Calibri Light"/>
          <w:szCs w:val="20"/>
          <w:lang w:eastAsia="el-GR"/>
        </w:rPr>
        <w:t xml:space="preserve"> Уопште</w:t>
      </w:r>
      <w:r w:rsidR="00CA5936" w:rsidRPr="00FF386D">
        <w:rPr>
          <w:rFonts w:ascii="Calibri Light" w:eastAsia="Times New Roman" w:hAnsi="Calibri Light" w:cs="Calibri Light"/>
          <w:szCs w:val="20"/>
          <w:lang w:eastAsia="el-GR"/>
        </w:rPr>
        <w:t>, утицај на укупну незапосленост је ограничен.</w:t>
      </w:r>
    </w:p>
    <w:p w14:paraId="1C2BD34F" w14:textId="00C3AB32" w:rsidR="00CA5936" w:rsidRPr="00FF386D" w:rsidRDefault="00CA5936" w:rsidP="00CA5936">
      <w:pPr>
        <w:widowControl w:val="0"/>
        <w:spacing w:before="160" w:after="120" w:line="240" w:lineRule="auto"/>
        <w:jc w:val="both"/>
        <w:rPr>
          <w:rFonts w:ascii="Calibri Light" w:eastAsia="Times New Roman" w:hAnsi="Calibri Light" w:cs="Calibri Light"/>
          <w:szCs w:val="20"/>
          <w:lang w:eastAsia="el-GR"/>
        </w:rPr>
      </w:pPr>
      <w:r w:rsidRPr="00FF386D">
        <w:rPr>
          <w:rFonts w:ascii="Calibri Light" w:eastAsia="Times New Roman" w:hAnsi="Calibri Light" w:cs="Calibri Light"/>
          <w:szCs w:val="20"/>
          <w:lang w:eastAsia="el-GR"/>
        </w:rPr>
        <w:t xml:space="preserve">Што се тиче сценарија </w:t>
      </w:r>
      <w:r w:rsidRPr="00FF386D">
        <w:rPr>
          <w:rFonts w:ascii="Calibri Light" w:eastAsia="Times New Roman" w:hAnsi="Calibri Light" w:cs="Calibri Light"/>
          <w:i/>
          <w:szCs w:val="20"/>
          <w:lang w:eastAsia="el-GR"/>
        </w:rPr>
        <w:t>S</w:t>
      </w:r>
      <w:r w:rsidR="004B397A" w:rsidRPr="00FF386D">
        <w:rPr>
          <w:rFonts w:ascii="Calibri Light" w:eastAsia="Times New Roman" w:hAnsi="Calibri Light" w:cs="Calibri Light"/>
          <w:i/>
          <w:szCs w:val="20"/>
          <w:lang w:eastAsia="el-GR"/>
        </w:rPr>
        <w:t xml:space="preserve">, </w:t>
      </w:r>
      <w:r w:rsidRPr="00FF386D">
        <w:rPr>
          <w:rFonts w:ascii="Calibri Light" w:eastAsia="Times New Roman" w:hAnsi="Calibri Light" w:cs="Calibri Light"/>
          <w:szCs w:val="20"/>
          <w:lang w:eastAsia="el-GR"/>
        </w:rPr>
        <w:t xml:space="preserve">утицај се </w:t>
      </w:r>
      <w:r w:rsidR="004B397A" w:rsidRPr="00FF386D">
        <w:rPr>
          <w:rFonts w:ascii="Calibri Light" w:eastAsia="Times New Roman" w:hAnsi="Calibri Light" w:cs="Calibri Light"/>
          <w:szCs w:val="20"/>
          <w:lang w:eastAsia="el-GR"/>
        </w:rPr>
        <w:t>уочава</w:t>
      </w:r>
      <w:r w:rsidRPr="00FF386D">
        <w:rPr>
          <w:rFonts w:ascii="Calibri Light" w:eastAsia="Times New Roman" w:hAnsi="Calibri Light" w:cs="Calibri Light"/>
          <w:szCs w:val="20"/>
          <w:lang w:eastAsia="el-GR"/>
        </w:rPr>
        <w:t xml:space="preserve"> </w:t>
      </w:r>
      <w:r w:rsidR="008F355C" w:rsidRPr="00FF386D">
        <w:rPr>
          <w:rFonts w:ascii="Calibri Light" w:eastAsia="Times New Roman" w:hAnsi="Calibri Light" w:cs="Calibri Light"/>
          <w:szCs w:val="20"/>
          <w:lang w:eastAsia="el-GR"/>
        </w:rPr>
        <w:t>пре 2030. године</w:t>
      </w:r>
      <w:r w:rsidR="00990B5A">
        <w:rPr>
          <w:rFonts w:ascii="Calibri Light" w:eastAsia="Times New Roman" w:hAnsi="Calibri Light" w:cs="Calibri Light"/>
          <w:szCs w:val="20"/>
          <w:lang w:eastAsia="el-GR"/>
        </w:rPr>
        <w:t xml:space="preserve"> (када се очекује да ће План праведне транзиције да минимизује последице таквих утицаја)</w:t>
      </w:r>
      <w:r w:rsidR="00F83DAA">
        <w:rPr>
          <w:rFonts w:ascii="Calibri Light" w:eastAsia="Times New Roman" w:hAnsi="Calibri Light" w:cs="Calibri Light"/>
          <w:szCs w:val="20"/>
          <w:lang w:eastAsia="el-GR"/>
        </w:rPr>
        <w:t>.</w:t>
      </w:r>
      <w:r w:rsidRPr="00FF386D">
        <w:rPr>
          <w:rFonts w:ascii="Calibri Light" w:eastAsia="Times New Roman" w:hAnsi="Calibri Light" w:cs="Calibri Light"/>
          <w:szCs w:val="20"/>
          <w:lang w:eastAsia="el-GR"/>
        </w:rPr>
        <w:t xml:space="preserve"> Што се тиче сценарија </w:t>
      </w:r>
      <w:r w:rsidRPr="00FF386D">
        <w:rPr>
          <w:rFonts w:ascii="Calibri Light" w:eastAsia="Times New Roman" w:hAnsi="Calibri Light" w:cs="Calibri Light"/>
          <w:i/>
          <w:szCs w:val="20"/>
          <w:lang w:eastAsia="el-GR"/>
        </w:rPr>
        <w:t>S-N</w:t>
      </w:r>
      <w:r w:rsidRPr="00FF386D">
        <w:rPr>
          <w:rFonts w:ascii="Calibri Light" w:eastAsia="Times New Roman" w:hAnsi="Calibri Light" w:cs="Calibri Light"/>
          <w:szCs w:val="20"/>
          <w:lang w:eastAsia="el-GR"/>
        </w:rPr>
        <w:t xml:space="preserve">, примећујемо благи пораст незапослености </w:t>
      </w:r>
      <w:r w:rsidR="004B397A" w:rsidRPr="00FF386D">
        <w:rPr>
          <w:rFonts w:ascii="Calibri Light" w:eastAsia="Times New Roman" w:hAnsi="Calibri Light" w:cs="Calibri Light"/>
          <w:szCs w:val="20"/>
          <w:lang w:eastAsia="el-GR"/>
        </w:rPr>
        <w:t xml:space="preserve">на </w:t>
      </w:r>
      <w:r w:rsidRPr="00FF386D">
        <w:rPr>
          <w:rFonts w:ascii="Calibri Light" w:eastAsia="Times New Roman" w:hAnsi="Calibri Light" w:cs="Calibri Light"/>
          <w:szCs w:val="20"/>
          <w:lang w:eastAsia="el-GR"/>
        </w:rPr>
        <w:t>средњорочно</w:t>
      </w:r>
      <w:r w:rsidR="004B397A" w:rsidRPr="00FF386D">
        <w:rPr>
          <w:rFonts w:ascii="Calibri Light" w:eastAsia="Times New Roman" w:hAnsi="Calibri Light" w:cs="Calibri Light"/>
          <w:szCs w:val="20"/>
          <w:lang w:eastAsia="el-GR"/>
        </w:rPr>
        <w:t>м</w:t>
      </w:r>
      <w:r w:rsidRPr="00FF386D">
        <w:rPr>
          <w:rFonts w:ascii="Calibri Light" w:eastAsia="Times New Roman" w:hAnsi="Calibri Light" w:cs="Calibri Light"/>
          <w:szCs w:val="20"/>
          <w:lang w:eastAsia="el-GR"/>
        </w:rPr>
        <w:t xml:space="preserve"> и дугорочно</w:t>
      </w:r>
      <w:r w:rsidR="004B397A" w:rsidRPr="00FF386D">
        <w:rPr>
          <w:rFonts w:ascii="Calibri Light" w:eastAsia="Times New Roman" w:hAnsi="Calibri Light" w:cs="Calibri Light"/>
          <w:szCs w:val="20"/>
          <w:lang w:eastAsia="el-GR"/>
        </w:rPr>
        <w:t>м нивоу</w:t>
      </w:r>
      <w:r w:rsidR="008F355C" w:rsidRPr="00FF386D">
        <w:rPr>
          <w:rFonts w:ascii="Calibri Light" w:eastAsia="Times New Roman" w:hAnsi="Calibri Light" w:cs="Calibri Light"/>
          <w:szCs w:val="20"/>
          <w:lang w:eastAsia="el-GR"/>
        </w:rPr>
        <w:t xml:space="preserve">, </w:t>
      </w:r>
      <w:r w:rsidR="00AD0C00" w:rsidRPr="00FF386D">
        <w:rPr>
          <w:rFonts w:ascii="Calibri Light" w:eastAsia="Times New Roman" w:hAnsi="Calibri Light" w:cs="Calibri Light"/>
          <w:szCs w:val="20"/>
          <w:lang w:eastAsia="el-GR"/>
        </w:rPr>
        <w:t>како се приближавамо</w:t>
      </w:r>
      <w:r w:rsidR="008F355C" w:rsidRPr="00FF386D">
        <w:rPr>
          <w:rFonts w:ascii="Calibri Light" w:eastAsia="Times New Roman" w:hAnsi="Calibri Light" w:cs="Calibri Light"/>
          <w:szCs w:val="20"/>
          <w:lang w:eastAsia="el-GR"/>
        </w:rPr>
        <w:t xml:space="preserve"> 2045. години</w:t>
      </w:r>
      <w:r w:rsidRPr="00FF386D">
        <w:rPr>
          <w:rFonts w:ascii="Calibri Light" w:eastAsia="Times New Roman" w:hAnsi="Calibri Light" w:cs="Calibri Light"/>
          <w:szCs w:val="20"/>
          <w:lang w:eastAsia="el-GR"/>
        </w:rPr>
        <w:t xml:space="preserve"> (мање од 0,4%</w:t>
      </w:r>
      <w:r w:rsidR="008F355C" w:rsidRPr="00FF386D">
        <w:rPr>
          <w:rFonts w:ascii="Calibri Light" w:eastAsia="Times New Roman" w:hAnsi="Calibri Light" w:cs="Calibri Light"/>
          <w:szCs w:val="20"/>
          <w:lang w:eastAsia="el-GR"/>
        </w:rPr>
        <w:t xml:space="preserve"> у односу на нивое из </w:t>
      </w:r>
      <w:r w:rsidR="008F355C" w:rsidRPr="00FF386D">
        <w:rPr>
          <w:rFonts w:ascii="Calibri Light" w:eastAsia="Times New Roman" w:hAnsi="Calibri Light" w:cs="Calibri Light"/>
          <w:i/>
          <w:iCs/>
          <w:szCs w:val="20"/>
          <w:lang w:eastAsia="el-GR"/>
        </w:rPr>
        <w:t>WEM</w:t>
      </w:r>
      <w:r w:rsidRPr="00FF386D">
        <w:rPr>
          <w:rFonts w:ascii="Calibri Light" w:eastAsia="Times New Roman" w:hAnsi="Calibri Light" w:cs="Calibri Light"/>
          <w:szCs w:val="20"/>
          <w:lang w:eastAsia="el-GR"/>
        </w:rPr>
        <w:t xml:space="preserve">). Ово је </w:t>
      </w:r>
      <w:r w:rsidR="00585599" w:rsidRPr="00FF386D">
        <w:rPr>
          <w:rFonts w:ascii="Calibri Light" w:eastAsia="Times New Roman" w:hAnsi="Calibri Light" w:cs="Calibri Light"/>
          <w:szCs w:val="20"/>
          <w:lang w:eastAsia="el-GR"/>
        </w:rPr>
        <w:t>донекле</w:t>
      </w:r>
      <w:r w:rsidRPr="00FF386D">
        <w:rPr>
          <w:rFonts w:ascii="Calibri Light" w:eastAsia="Times New Roman" w:hAnsi="Calibri Light" w:cs="Calibri Light"/>
          <w:szCs w:val="20"/>
          <w:lang w:eastAsia="el-GR"/>
        </w:rPr>
        <w:t xml:space="preserve"> очекивано, јер се тренутна студија ослања на оквир израчунљивог модела опште равнотеже (</w:t>
      </w:r>
      <w:r w:rsidRPr="00FF386D">
        <w:rPr>
          <w:rFonts w:ascii="Calibri Light" w:eastAsia="Times New Roman" w:hAnsi="Calibri Light" w:cs="Calibri Light"/>
          <w:i/>
          <w:szCs w:val="20"/>
          <w:lang w:eastAsia="el-GR"/>
        </w:rPr>
        <w:t>CGE</w:t>
      </w:r>
      <w:r w:rsidRPr="00FF386D">
        <w:rPr>
          <w:rFonts w:ascii="Calibri Light" w:eastAsia="Times New Roman" w:hAnsi="Calibri Light" w:cs="Calibri Light"/>
          <w:szCs w:val="20"/>
          <w:lang w:eastAsia="el-GR"/>
        </w:rPr>
        <w:t xml:space="preserve">), што у ствари </w:t>
      </w:r>
      <w:r w:rsidR="00585599" w:rsidRPr="00FF386D">
        <w:rPr>
          <w:rFonts w:ascii="Calibri Light" w:eastAsia="Times New Roman" w:hAnsi="Calibri Light" w:cs="Calibri Light"/>
          <w:szCs w:val="20"/>
          <w:lang w:eastAsia="el-GR"/>
        </w:rPr>
        <w:t xml:space="preserve">представља </w:t>
      </w:r>
      <w:r w:rsidRPr="00FF386D">
        <w:rPr>
          <w:rFonts w:ascii="Calibri Light" w:eastAsia="Times New Roman" w:hAnsi="Calibri Light" w:cs="Calibri Light"/>
          <w:szCs w:val="20"/>
          <w:lang w:eastAsia="el-GR"/>
        </w:rPr>
        <w:t xml:space="preserve">приступ заснован на потражњи. Нуклеарна опција представља скупу алтернативу, углавном због трошкова изградње, оперативних </w:t>
      </w:r>
      <w:r w:rsidR="00585599" w:rsidRPr="00FF386D">
        <w:rPr>
          <w:rFonts w:ascii="Calibri Light" w:eastAsia="Times New Roman" w:hAnsi="Calibri Light" w:cs="Calibri Light"/>
          <w:szCs w:val="20"/>
          <w:lang w:eastAsia="el-GR"/>
        </w:rPr>
        <w:t xml:space="preserve">трошкова </w:t>
      </w:r>
      <w:r w:rsidRPr="00FF386D">
        <w:rPr>
          <w:rFonts w:ascii="Calibri Light" w:eastAsia="Times New Roman" w:hAnsi="Calibri Light" w:cs="Calibri Light"/>
          <w:szCs w:val="20"/>
          <w:lang w:eastAsia="el-GR"/>
        </w:rPr>
        <w:t xml:space="preserve">и трошкова одржавања. У овој ситуацији, ограничења тржишне равнотеже модела усмеравају потражњу </w:t>
      </w:r>
      <w:r w:rsidR="00585599" w:rsidRPr="00FF386D">
        <w:rPr>
          <w:rFonts w:ascii="Calibri Light" w:eastAsia="Times New Roman" w:hAnsi="Calibri Light" w:cs="Calibri Light"/>
          <w:szCs w:val="20"/>
          <w:lang w:eastAsia="el-GR"/>
        </w:rPr>
        <w:t>ка</w:t>
      </w:r>
      <w:r w:rsidRPr="00FF386D">
        <w:rPr>
          <w:rFonts w:ascii="Calibri Light" w:eastAsia="Times New Roman" w:hAnsi="Calibri Light" w:cs="Calibri Light"/>
          <w:szCs w:val="20"/>
          <w:lang w:eastAsia="el-GR"/>
        </w:rPr>
        <w:t xml:space="preserve"> успоравањ</w:t>
      </w:r>
      <w:r w:rsidR="00585599" w:rsidRPr="00FF386D">
        <w:rPr>
          <w:rFonts w:ascii="Calibri Light" w:eastAsia="Times New Roman" w:hAnsi="Calibri Light" w:cs="Calibri Light"/>
          <w:szCs w:val="20"/>
          <w:lang w:eastAsia="el-GR"/>
        </w:rPr>
        <w:t>у све</w:t>
      </w:r>
      <w:r w:rsidRPr="00FF386D">
        <w:rPr>
          <w:rFonts w:ascii="Calibri Light" w:eastAsia="Times New Roman" w:hAnsi="Calibri Light" w:cs="Calibri Light"/>
          <w:szCs w:val="20"/>
          <w:lang w:eastAsia="el-GR"/>
        </w:rPr>
        <w:t xml:space="preserve"> док не дође до прилагођавања. Силазна потражња </w:t>
      </w:r>
      <w:r w:rsidR="00585599" w:rsidRPr="00FF386D">
        <w:rPr>
          <w:rFonts w:ascii="Calibri Light" w:eastAsia="Times New Roman" w:hAnsi="Calibri Light" w:cs="Calibri Light"/>
          <w:szCs w:val="20"/>
          <w:lang w:eastAsia="el-GR"/>
        </w:rPr>
        <w:t>у спрези са високо</w:t>
      </w:r>
      <w:r w:rsidRPr="00FF386D">
        <w:rPr>
          <w:rFonts w:ascii="Calibri Light" w:eastAsia="Times New Roman" w:hAnsi="Calibri Light" w:cs="Calibri Light"/>
          <w:szCs w:val="20"/>
          <w:lang w:eastAsia="el-GR"/>
        </w:rPr>
        <w:t xml:space="preserve"> </w:t>
      </w:r>
      <w:r w:rsidR="00585599" w:rsidRPr="00FF386D">
        <w:rPr>
          <w:rFonts w:ascii="Calibri Light" w:eastAsia="Times New Roman" w:hAnsi="Calibri Light" w:cs="Calibri Light"/>
          <w:szCs w:val="20"/>
          <w:lang w:eastAsia="el-GR"/>
        </w:rPr>
        <w:t xml:space="preserve">постављеним </w:t>
      </w:r>
      <w:r w:rsidRPr="00FF386D">
        <w:rPr>
          <w:rFonts w:ascii="Calibri Light" w:eastAsia="Times New Roman" w:hAnsi="Calibri Light" w:cs="Calibri Light"/>
          <w:szCs w:val="20"/>
          <w:lang w:eastAsia="el-GR"/>
        </w:rPr>
        <w:t xml:space="preserve">циљевима ублажавања – </w:t>
      </w:r>
      <w:r w:rsidR="002F16B7" w:rsidRPr="00FF386D">
        <w:rPr>
          <w:rFonts w:ascii="Calibri Light" w:eastAsia="Times New Roman" w:hAnsi="Calibri Light" w:cs="Calibri Light"/>
          <w:szCs w:val="20"/>
          <w:lang w:eastAsia="el-GR"/>
        </w:rPr>
        <w:t xml:space="preserve">која </w:t>
      </w:r>
      <w:r w:rsidR="00585599" w:rsidRPr="00FF386D">
        <w:rPr>
          <w:rFonts w:ascii="Calibri Light" w:eastAsia="Times New Roman" w:hAnsi="Calibri Light" w:cs="Calibri Light"/>
          <w:szCs w:val="20"/>
          <w:lang w:eastAsia="el-GR"/>
        </w:rPr>
        <w:t>довод</w:t>
      </w:r>
      <w:r w:rsidR="002F16B7" w:rsidRPr="00FF386D">
        <w:rPr>
          <w:rFonts w:ascii="Calibri Light" w:eastAsia="Times New Roman" w:hAnsi="Calibri Light" w:cs="Calibri Light"/>
          <w:szCs w:val="20"/>
          <w:lang w:eastAsia="el-GR"/>
        </w:rPr>
        <w:t>и</w:t>
      </w:r>
      <w:r w:rsidR="00585599" w:rsidRPr="00FF386D">
        <w:rPr>
          <w:rFonts w:ascii="Calibri Light" w:eastAsia="Times New Roman" w:hAnsi="Calibri Light" w:cs="Calibri Light"/>
          <w:szCs w:val="20"/>
          <w:lang w:eastAsia="el-GR"/>
        </w:rPr>
        <w:t xml:space="preserve"> до с</w:t>
      </w:r>
      <w:r w:rsidR="002F16B7" w:rsidRPr="00FF386D">
        <w:rPr>
          <w:rFonts w:ascii="Calibri Light" w:eastAsia="Times New Roman" w:hAnsi="Calibri Light" w:cs="Calibri Light"/>
          <w:szCs w:val="20"/>
          <w:lang w:eastAsia="el-GR"/>
        </w:rPr>
        <w:t>тагнације у</w:t>
      </w:r>
      <w:r w:rsidRPr="00FF386D">
        <w:rPr>
          <w:rFonts w:ascii="Calibri Light" w:eastAsia="Times New Roman" w:hAnsi="Calibri Light" w:cs="Calibri Light"/>
          <w:szCs w:val="20"/>
          <w:lang w:eastAsia="el-GR"/>
        </w:rPr>
        <w:t xml:space="preserve"> </w:t>
      </w:r>
      <w:r w:rsidR="00585599" w:rsidRPr="00FF386D">
        <w:rPr>
          <w:rFonts w:ascii="Calibri Light" w:eastAsia="Times New Roman" w:hAnsi="Calibri Light" w:cs="Calibri Light"/>
          <w:szCs w:val="20"/>
          <w:lang w:eastAsia="el-GR"/>
        </w:rPr>
        <w:t>делатности</w:t>
      </w:r>
      <w:r w:rsidR="002F16B7" w:rsidRPr="00FF386D">
        <w:rPr>
          <w:rFonts w:ascii="Calibri Light" w:eastAsia="Times New Roman" w:hAnsi="Calibri Light" w:cs="Calibri Light"/>
          <w:szCs w:val="20"/>
          <w:lang w:eastAsia="el-GR"/>
        </w:rPr>
        <w:t>ма</w:t>
      </w:r>
      <w:r w:rsidR="00585599" w:rsidRPr="00FF386D">
        <w:rPr>
          <w:rFonts w:ascii="Calibri Light" w:eastAsia="Times New Roman" w:hAnsi="Calibri Light" w:cs="Calibri Light"/>
          <w:szCs w:val="20"/>
          <w:lang w:eastAsia="el-GR"/>
        </w:rPr>
        <w:t xml:space="preserve"> са високим емисијама угљен диоксида</w:t>
      </w:r>
      <w:r w:rsidRPr="00FF386D">
        <w:rPr>
          <w:rFonts w:ascii="Calibri Light" w:eastAsia="Times New Roman" w:hAnsi="Calibri Light" w:cs="Calibri Light"/>
          <w:szCs w:val="20"/>
          <w:lang w:eastAsia="el-GR"/>
        </w:rPr>
        <w:t xml:space="preserve"> – и чињеница да алтернативне опције као што су технологије соларне енергије и </w:t>
      </w:r>
      <w:r w:rsidR="00585599" w:rsidRPr="00FF386D">
        <w:rPr>
          <w:rFonts w:ascii="Calibri Light" w:eastAsia="Times New Roman" w:hAnsi="Calibri Light" w:cs="Calibri Light"/>
          <w:szCs w:val="20"/>
          <w:lang w:eastAsia="el-GR"/>
        </w:rPr>
        <w:t xml:space="preserve">енергије </w:t>
      </w:r>
      <w:r w:rsidRPr="00FF386D">
        <w:rPr>
          <w:rFonts w:ascii="Calibri Light" w:eastAsia="Times New Roman" w:hAnsi="Calibri Light" w:cs="Calibri Light"/>
          <w:szCs w:val="20"/>
          <w:lang w:eastAsia="el-GR"/>
        </w:rPr>
        <w:t xml:space="preserve">ветра захтевају мање ангажовање радне снаге, доводе до благог смањења запослености. Ипак, </w:t>
      </w:r>
      <w:r w:rsidR="003916FB" w:rsidRPr="00FF386D">
        <w:rPr>
          <w:rFonts w:ascii="Calibri Light" w:eastAsia="Times New Roman" w:hAnsi="Calibri Light" w:cs="Calibri Light"/>
          <w:szCs w:val="20"/>
          <w:lang w:eastAsia="el-GR"/>
        </w:rPr>
        <w:t xml:space="preserve">укупан </w:t>
      </w:r>
      <w:r w:rsidRPr="00FF386D">
        <w:rPr>
          <w:rFonts w:ascii="Calibri Light" w:eastAsia="Times New Roman" w:hAnsi="Calibri Light" w:cs="Calibri Light"/>
          <w:szCs w:val="20"/>
          <w:lang w:eastAsia="el-GR"/>
        </w:rPr>
        <w:t>утицај је и</w:t>
      </w:r>
      <w:r w:rsidR="003916FB" w:rsidRPr="00FF386D">
        <w:rPr>
          <w:rFonts w:ascii="Calibri Light" w:eastAsia="Times New Roman" w:hAnsi="Calibri Light" w:cs="Calibri Light"/>
          <w:szCs w:val="20"/>
          <w:lang w:eastAsia="el-GR"/>
        </w:rPr>
        <w:t>зузетно мали (мање од 0,4%).</w:t>
      </w:r>
    </w:p>
    <w:p w14:paraId="5B41B177" w14:textId="579646B9" w:rsidR="008D6038" w:rsidRDefault="008D6038" w:rsidP="00565B02">
      <w:pPr>
        <w:pStyle w:val="Caption"/>
        <w:keepNext/>
        <w:jc w:val="both"/>
      </w:pPr>
      <w:bookmarkStart w:id="445" w:name="_Ref153896257"/>
      <w:bookmarkStart w:id="446" w:name="_Toc153901456"/>
      <w:r>
        <w:lastRenderedPageBreak/>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44</w:t>
      </w:r>
      <w:r w:rsidR="00F35B2C">
        <w:fldChar w:fldCharType="end"/>
      </w:r>
      <w:bookmarkEnd w:id="445"/>
      <w:r>
        <w:t xml:space="preserve">: </w:t>
      </w:r>
      <w:r w:rsidRPr="008D6038">
        <w:t>Утицај спровођења сценарија S и S-N на степен незапослености у привреди Србије у периоду 2025-2050. године</w:t>
      </w:r>
      <w:bookmarkEnd w:id="446"/>
    </w:p>
    <w:p w14:paraId="2E2F9EB5" w14:textId="5DBCABBC" w:rsidR="00CA5936" w:rsidRPr="00FF386D" w:rsidRDefault="00DD76AE" w:rsidP="00CA5936">
      <w:pPr>
        <w:widowControl w:val="0"/>
        <w:spacing w:after="120" w:line="240" w:lineRule="auto"/>
        <w:jc w:val="both"/>
        <w:rPr>
          <w:rFonts w:ascii="Calibri Light" w:eastAsia="Times New Roman" w:hAnsi="Calibri Light" w:cs="Times New Roman"/>
          <w:b/>
          <w:bCs/>
          <w:iCs/>
          <w:color w:val="44546A"/>
          <w:sz w:val="18"/>
          <w:szCs w:val="18"/>
          <w:lang w:eastAsia="el-GR"/>
        </w:rPr>
      </w:pPr>
      <w:r w:rsidRPr="004F53D7">
        <w:rPr>
          <w:rFonts w:ascii="Calibri Light" w:eastAsia="Times New Roman" w:hAnsi="Calibri Light" w:cs="Times New Roman"/>
          <w:b/>
          <w:bCs/>
          <w:iCs/>
          <w:noProof/>
          <w:color w:val="44546A"/>
          <w:sz w:val="18"/>
          <w:szCs w:val="18"/>
          <w:lang w:val="en-US"/>
        </w:rPr>
        <w:drawing>
          <wp:inline distT="0" distB="0" distL="0" distR="0" wp14:anchorId="3733C485" wp14:editId="4806FA02">
            <wp:extent cx="5722565" cy="3510280"/>
            <wp:effectExtent l="0" t="0" r="0" b="0"/>
            <wp:docPr id="264553099" name="Picture 26455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30196" cy="3514961"/>
                    </a:xfrm>
                    <a:prstGeom prst="rect">
                      <a:avLst/>
                    </a:prstGeom>
                    <a:noFill/>
                  </pic:spPr>
                </pic:pic>
              </a:graphicData>
            </a:graphic>
          </wp:inline>
        </w:drawing>
      </w:r>
    </w:p>
    <w:p w14:paraId="73E8600A" w14:textId="52C619F2" w:rsidR="00CA5936" w:rsidRPr="00FF386D" w:rsidRDefault="008D6038" w:rsidP="00CA5936">
      <w:pPr>
        <w:widowControl w:val="0"/>
        <w:spacing w:after="120" w:line="240" w:lineRule="auto"/>
        <w:jc w:val="both"/>
        <w:rPr>
          <w:rFonts w:ascii="Calibri Light" w:eastAsia="Times New Roman" w:hAnsi="Calibri Light" w:cs="Calibri Light"/>
          <w:szCs w:val="20"/>
          <w:lang w:eastAsia="el-GR"/>
        </w:rPr>
      </w:pPr>
      <w:r w:rsidRPr="00565B02">
        <w:rPr>
          <w:rFonts w:ascii="Calibri Light" w:eastAsia="Times New Roman" w:hAnsi="Calibri Light" w:cs="Calibri Light"/>
          <w:szCs w:val="20"/>
          <w:lang w:eastAsia="el-GR"/>
        </w:rPr>
        <w:fldChar w:fldCharType="begin"/>
      </w:r>
      <w:r w:rsidRPr="00565B02">
        <w:rPr>
          <w:rFonts w:ascii="Calibri Light" w:eastAsia="Times New Roman" w:hAnsi="Calibri Light" w:cs="Calibri Light"/>
          <w:szCs w:val="20"/>
          <w:lang w:eastAsia="el-GR"/>
        </w:rPr>
        <w:instrText xml:space="preserve"> REF _Ref153896316 \h </w:instrText>
      </w:r>
      <w:r>
        <w:rPr>
          <w:rFonts w:ascii="Calibri Light" w:eastAsia="Times New Roman" w:hAnsi="Calibri Light" w:cs="Calibri Light"/>
          <w:szCs w:val="20"/>
          <w:lang w:eastAsia="el-GR"/>
        </w:rPr>
        <w:instrText xml:space="preserve"> \* MERGEFORMAT </w:instrText>
      </w:r>
      <w:r w:rsidRPr="00565B02">
        <w:rPr>
          <w:rFonts w:ascii="Calibri Light" w:eastAsia="Times New Roman" w:hAnsi="Calibri Light" w:cs="Calibri Light"/>
          <w:szCs w:val="20"/>
          <w:lang w:eastAsia="el-GR"/>
        </w:rPr>
      </w:r>
      <w:r w:rsidRPr="00565B02">
        <w:rPr>
          <w:rFonts w:ascii="Calibri Light" w:eastAsia="Times New Roman" w:hAnsi="Calibri Light" w:cs="Calibri Light"/>
          <w:szCs w:val="20"/>
          <w:lang w:eastAsia="el-GR"/>
        </w:rPr>
        <w:fldChar w:fldCharType="separate"/>
      </w:r>
      <w:r w:rsidRPr="00565B02">
        <w:rPr>
          <w:rFonts w:ascii="Calibri Light" w:eastAsia="Times New Roman" w:hAnsi="Calibri Light" w:cs="Calibri Light"/>
          <w:szCs w:val="20"/>
          <w:lang w:eastAsia="el-GR"/>
        </w:rPr>
        <w:t>Слика 5.45</w:t>
      </w:r>
      <w:r w:rsidRPr="00565B02">
        <w:rPr>
          <w:rFonts w:ascii="Calibri Light" w:eastAsia="Times New Roman" w:hAnsi="Calibri Light" w:cs="Calibri Light"/>
          <w:szCs w:val="20"/>
          <w:lang w:eastAsia="el-GR"/>
        </w:rPr>
        <w:fldChar w:fldCharType="end"/>
      </w:r>
      <w:r w:rsidRPr="00565B02">
        <w:rPr>
          <w:rFonts w:ascii="Calibri Light" w:eastAsia="Times New Roman" w:hAnsi="Calibri Light" w:cs="Calibri Light"/>
          <w:szCs w:val="20"/>
          <w:lang w:eastAsia="el-GR"/>
        </w:rPr>
        <w:t xml:space="preserve"> </w:t>
      </w:r>
      <w:r w:rsidR="00CA5936" w:rsidRPr="00FF386D">
        <w:rPr>
          <w:rFonts w:ascii="Calibri Light" w:eastAsia="Times New Roman" w:hAnsi="Calibri Light" w:cs="Calibri Light"/>
          <w:szCs w:val="20"/>
          <w:lang w:eastAsia="el-GR"/>
        </w:rPr>
        <w:t xml:space="preserve">показује процењени утицај сценарија </w:t>
      </w:r>
      <w:r w:rsidR="00CA5936" w:rsidRPr="00FF386D">
        <w:rPr>
          <w:rFonts w:ascii="Calibri Light" w:eastAsia="Times New Roman" w:hAnsi="Calibri Light" w:cs="Calibri Light"/>
          <w:i/>
          <w:szCs w:val="20"/>
          <w:lang w:eastAsia="el-GR"/>
        </w:rPr>
        <w:t>S</w:t>
      </w:r>
      <w:r w:rsidR="00CA5936" w:rsidRPr="00FF386D">
        <w:rPr>
          <w:rFonts w:ascii="Calibri Light" w:eastAsia="Times New Roman" w:hAnsi="Calibri Light" w:cs="Calibri Light"/>
          <w:szCs w:val="20"/>
          <w:lang w:eastAsia="el-GR"/>
        </w:rPr>
        <w:t xml:space="preserve"> на запосленост у кључним секторима привред</w:t>
      </w:r>
      <w:r w:rsidR="00334106" w:rsidRPr="00FF386D">
        <w:rPr>
          <w:rFonts w:ascii="Calibri Light" w:eastAsia="Times New Roman" w:hAnsi="Calibri Light" w:cs="Calibri Light"/>
          <w:szCs w:val="20"/>
          <w:lang w:eastAsia="el-GR"/>
        </w:rPr>
        <w:t>е</w:t>
      </w:r>
      <w:r w:rsidR="00CA5936" w:rsidRPr="00FF386D">
        <w:rPr>
          <w:rFonts w:ascii="Calibri Light" w:eastAsia="Times New Roman" w:hAnsi="Calibri Light" w:cs="Calibri Light"/>
          <w:szCs w:val="20"/>
          <w:lang w:eastAsia="el-GR"/>
        </w:rPr>
        <w:t xml:space="preserve"> </w:t>
      </w:r>
      <w:r w:rsidR="00AD0C00" w:rsidRPr="00FF386D">
        <w:rPr>
          <w:rFonts w:ascii="Calibri Light" w:eastAsia="Times New Roman" w:hAnsi="Calibri Light" w:cs="Calibri Light"/>
          <w:szCs w:val="20"/>
          <w:lang w:eastAsia="el-GR"/>
        </w:rPr>
        <w:t xml:space="preserve">Србије </w:t>
      </w:r>
      <w:r w:rsidR="00334106" w:rsidRPr="00FF386D">
        <w:rPr>
          <w:rFonts w:ascii="Calibri Light" w:eastAsia="Times New Roman" w:hAnsi="Calibri Light" w:cs="Calibri Light"/>
          <w:szCs w:val="20"/>
          <w:lang w:eastAsia="el-GR"/>
        </w:rPr>
        <w:t>на</w:t>
      </w:r>
      <w:r w:rsidR="00CA5936" w:rsidRPr="00FF386D">
        <w:rPr>
          <w:rFonts w:ascii="Calibri Light" w:eastAsia="Times New Roman" w:hAnsi="Calibri Light" w:cs="Calibri Light"/>
          <w:szCs w:val="20"/>
          <w:lang w:eastAsia="el-GR"/>
        </w:rPr>
        <w:t xml:space="preserve"> хиљаду запослених. Примећујемо да сектор вађења угља </w:t>
      </w:r>
      <w:r w:rsidR="00334106" w:rsidRPr="00FF386D">
        <w:rPr>
          <w:rFonts w:ascii="Calibri Light" w:eastAsia="Times New Roman" w:hAnsi="Calibri Light" w:cs="Calibri Light"/>
          <w:szCs w:val="20"/>
          <w:lang w:eastAsia="el-GR"/>
        </w:rPr>
        <w:t>константно приказује смањење радне снаге</w:t>
      </w:r>
      <w:r w:rsidR="00CA5936" w:rsidRPr="00FF386D">
        <w:rPr>
          <w:rFonts w:ascii="Calibri Light" w:eastAsia="Times New Roman" w:hAnsi="Calibri Light" w:cs="Calibri Light"/>
          <w:szCs w:val="20"/>
          <w:lang w:eastAsia="el-GR"/>
        </w:rPr>
        <w:t xml:space="preserve"> на тржишту рада, што је очекивани резултат процеса декарбонизације. </w:t>
      </w:r>
      <w:r w:rsidR="00334106" w:rsidRPr="00FF386D">
        <w:rPr>
          <w:rFonts w:ascii="Calibri Light" w:eastAsia="Times New Roman" w:hAnsi="Calibri Light" w:cs="Calibri Light"/>
          <w:szCs w:val="20"/>
          <w:lang w:eastAsia="el-GR"/>
        </w:rPr>
        <w:t>Сектор д</w:t>
      </w:r>
      <w:r w:rsidR="00CA5936" w:rsidRPr="00FF386D">
        <w:rPr>
          <w:rFonts w:ascii="Calibri Light" w:eastAsia="Times New Roman" w:hAnsi="Calibri Light" w:cs="Calibri Light"/>
          <w:szCs w:val="20"/>
          <w:lang w:eastAsia="el-GR"/>
        </w:rPr>
        <w:t xml:space="preserve">еривата нафте </w:t>
      </w:r>
      <w:r w:rsidR="00334106" w:rsidRPr="00FF386D">
        <w:rPr>
          <w:rFonts w:ascii="Calibri Light" w:eastAsia="Times New Roman" w:hAnsi="Calibri Light" w:cs="Calibri Light"/>
          <w:szCs w:val="20"/>
          <w:lang w:eastAsia="el-GR"/>
        </w:rPr>
        <w:t xml:space="preserve">приказује исти образац </w:t>
      </w:r>
      <w:r w:rsidR="00CA5936" w:rsidRPr="00FF386D">
        <w:rPr>
          <w:rFonts w:ascii="Calibri Light" w:eastAsia="Times New Roman" w:hAnsi="Calibri Light" w:cs="Calibri Light"/>
          <w:szCs w:val="20"/>
          <w:lang w:eastAsia="el-GR"/>
        </w:rPr>
        <w:t xml:space="preserve">као </w:t>
      </w:r>
      <w:r w:rsidR="00334106" w:rsidRPr="00FF386D">
        <w:rPr>
          <w:rFonts w:ascii="Calibri Light" w:eastAsia="Times New Roman" w:hAnsi="Calibri Light" w:cs="Calibri Light"/>
          <w:szCs w:val="20"/>
          <w:lang w:eastAsia="el-GR"/>
        </w:rPr>
        <w:t>и</w:t>
      </w:r>
      <w:r w:rsidR="00CA5936" w:rsidRPr="00FF386D">
        <w:rPr>
          <w:rFonts w:ascii="Calibri Light" w:eastAsia="Times New Roman" w:hAnsi="Calibri Light" w:cs="Calibri Light"/>
          <w:szCs w:val="20"/>
          <w:lang w:eastAsia="el-GR"/>
        </w:rPr>
        <w:t xml:space="preserve"> вађење угља, али </w:t>
      </w:r>
      <w:r w:rsidR="00334106" w:rsidRPr="00FF386D">
        <w:rPr>
          <w:rFonts w:ascii="Calibri Light" w:eastAsia="Times New Roman" w:hAnsi="Calibri Light" w:cs="Calibri Light"/>
          <w:szCs w:val="20"/>
          <w:lang w:eastAsia="el-GR"/>
        </w:rPr>
        <w:t>у</w:t>
      </w:r>
      <w:r w:rsidR="00CA5936" w:rsidRPr="00FF386D">
        <w:rPr>
          <w:rFonts w:ascii="Calibri Light" w:eastAsia="Times New Roman" w:hAnsi="Calibri Light" w:cs="Calibri Light"/>
          <w:szCs w:val="20"/>
          <w:lang w:eastAsia="el-GR"/>
        </w:rPr>
        <w:t xml:space="preserve"> мање</w:t>
      </w:r>
      <w:r w:rsidR="00334106" w:rsidRPr="00FF386D">
        <w:rPr>
          <w:rFonts w:ascii="Calibri Light" w:eastAsia="Times New Roman" w:hAnsi="Calibri Light" w:cs="Calibri Light"/>
          <w:szCs w:val="20"/>
          <w:lang w:eastAsia="el-GR"/>
        </w:rPr>
        <w:t>м</w:t>
      </w:r>
      <w:r w:rsidR="00CA5936" w:rsidRPr="00FF386D">
        <w:rPr>
          <w:rFonts w:ascii="Calibri Light" w:eastAsia="Times New Roman" w:hAnsi="Calibri Light" w:cs="Calibri Light"/>
          <w:szCs w:val="20"/>
          <w:lang w:eastAsia="el-GR"/>
        </w:rPr>
        <w:t xml:space="preserve"> обим</w:t>
      </w:r>
      <w:r w:rsidR="00334106" w:rsidRPr="00FF386D">
        <w:rPr>
          <w:rFonts w:ascii="Calibri Light" w:eastAsia="Times New Roman" w:hAnsi="Calibri Light" w:cs="Calibri Light"/>
          <w:szCs w:val="20"/>
          <w:lang w:eastAsia="el-GR"/>
        </w:rPr>
        <w:t>у</w:t>
      </w:r>
      <w:r w:rsidR="00CA5936" w:rsidRPr="00FF386D">
        <w:rPr>
          <w:rFonts w:ascii="Calibri Light" w:eastAsia="Times New Roman" w:hAnsi="Calibri Light" w:cs="Calibri Light"/>
          <w:szCs w:val="20"/>
          <w:lang w:eastAsia="el-GR"/>
        </w:rPr>
        <w:t xml:space="preserve">. Радна снага се смањује и у </w:t>
      </w:r>
      <w:r w:rsidR="00334106" w:rsidRPr="00FF386D">
        <w:rPr>
          <w:rFonts w:ascii="Calibri Light" w:eastAsia="Times New Roman" w:hAnsi="Calibri Light" w:cs="Calibri Light"/>
          <w:szCs w:val="20"/>
          <w:lang w:eastAsia="el-GR"/>
        </w:rPr>
        <w:t xml:space="preserve">електроенергетском </w:t>
      </w:r>
      <w:r w:rsidR="00CA5936" w:rsidRPr="00FF386D">
        <w:rPr>
          <w:rFonts w:ascii="Calibri Light" w:eastAsia="Times New Roman" w:hAnsi="Calibri Light" w:cs="Calibri Light"/>
          <w:szCs w:val="20"/>
          <w:lang w:eastAsia="el-GR"/>
        </w:rPr>
        <w:t xml:space="preserve">сектору, што је резултат </w:t>
      </w:r>
      <w:r w:rsidR="00AD0C00" w:rsidRPr="00FF386D">
        <w:rPr>
          <w:rFonts w:ascii="Calibri Light" w:eastAsia="Times New Roman" w:hAnsi="Calibri Light" w:cs="Calibri Light"/>
          <w:szCs w:val="20"/>
          <w:lang w:eastAsia="el-GR"/>
        </w:rPr>
        <w:t xml:space="preserve">промене производног микса </w:t>
      </w:r>
      <w:r w:rsidR="00162E14" w:rsidRPr="00FF386D">
        <w:rPr>
          <w:rFonts w:ascii="Calibri Light" w:eastAsia="Times New Roman" w:hAnsi="Calibri Light" w:cs="Calibri Light"/>
          <w:szCs w:val="20"/>
          <w:lang w:eastAsia="el-GR"/>
        </w:rPr>
        <w:t xml:space="preserve">у </w:t>
      </w:r>
      <w:r w:rsidR="00CA5936" w:rsidRPr="00FF386D">
        <w:rPr>
          <w:rFonts w:ascii="Calibri Light" w:eastAsia="Times New Roman" w:hAnsi="Calibri Light" w:cs="Calibri Light"/>
          <w:szCs w:val="20"/>
          <w:lang w:eastAsia="el-GR"/>
        </w:rPr>
        <w:t>потражњ</w:t>
      </w:r>
      <w:r w:rsidR="00162E14" w:rsidRPr="00FF386D">
        <w:rPr>
          <w:rFonts w:ascii="Calibri Light" w:eastAsia="Times New Roman" w:hAnsi="Calibri Light" w:cs="Calibri Light"/>
          <w:szCs w:val="20"/>
          <w:lang w:eastAsia="el-GR"/>
        </w:rPr>
        <w:t>и</w:t>
      </w:r>
      <w:r w:rsidR="00CA5936" w:rsidRPr="00FF386D">
        <w:rPr>
          <w:rFonts w:ascii="Calibri Light" w:eastAsia="Times New Roman" w:hAnsi="Calibri Light" w:cs="Calibri Light"/>
          <w:szCs w:val="20"/>
          <w:lang w:eastAsia="el-GR"/>
        </w:rPr>
        <w:t xml:space="preserve"> за електричном енергијом у 2050. години</w:t>
      </w:r>
      <w:r w:rsidR="00AD0C00" w:rsidRPr="00FF386D">
        <w:rPr>
          <w:rFonts w:ascii="Calibri Light" w:eastAsia="Times New Roman" w:hAnsi="Calibri Light" w:cs="Calibri Light"/>
          <w:szCs w:val="20"/>
          <w:lang w:eastAsia="el-GR"/>
        </w:rPr>
        <w:t xml:space="preserve">, </w:t>
      </w:r>
      <w:r w:rsidR="00334106" w:rsidRPr="00FF386D">
        <w:rPr>
          <w:rFonts w:ascii="Calibri Light" w:eastAsia="Times New Roman" w:hAnsi="Calibri Light" w:cs="Calibri Light"/>
          <w:szCs w:val="20"/>
          <w:lang w:eastAsia="el-GR"/>
        </w:rPr>
        <w:t xml:space="preserve">односно преласка </w:t>
      </w:r>
      <w:r w:rsidR="00AD0C00" w:rsidRPr="00FF386D">
        <w:rPr>
          <w:rFonts w:ascii="Calibri Light" w:eastAsia="Times New Roman" w:hAnsi="Calibri Light" w:cs="Calibri Light"/>
          <w:szCs w:val="20"/>
          <w:lang w:eastAsia="el-GR"/>
        </w:rPr>
        <w:t xml:space="preserve">са електрана на лигнит </w:t>
      </w:r>
      <w:r w:rsidR="00315BFF" w:rsidRPr="00FF386D">
        <w:rPr>
          <w:rFonts w:ascii="Calibri Light" w:eastAsia="Times New Roman" w:hAnsi="Calibri Light" w:cs="Calibri Light"/>
          <w:szCs w:val="20"/>
          <w:lang w:eastAsia="el-GR"/>
        </w:rPr>
        <w:t xml:space="preserve">које захтевају много радне снаге </w:t>
      </w:r>
      <w:r w:rsidR="00334106" w:rsidRPr="00FF386D">
        <w:rPr>
          <w:rFonts w:ascii="Calibri Light" w:eastAsia="Times New Roman" w:hAnsi="Calibri Light" w:cs="Calibri Light"/>
          <w:szCs w:val="20"/>
          <w:lang w:eastAsia="el-GR"/>
        </w:rPr>
        <w:t>на</w:t>
      </w:r>
      <w:r w:rsidR="00AD0C00" w:rsidRPr="00FF386D">
        <w:rPr>
          <w:rFonts w:ascii="Calibri Light" w:eastAsia="Times New Roman" w:hAnsi="Calibri Light" w:cs="Calibri Light"/>
          <w:szCs w:val="20"/>
          <w:lang w:eastAsia="el-GR"/>
        </w:rPr>
        <w:t xml:space="preserve"> технологиј</w:t>
      </w:r>
      <w:r w:rsidR="00334106" w:rsidRPr="00FF386D">
        <w:rPr>
          <w:rFonts w:ascii="Calibri Light" w:eastAsia="Times New Roman" w:hAnsi="Calibri Light" w:cs="Calibri Light"/>
          <w:szCs w:val="20"/>
          <w:lang w:eastAsia="el-GR"/>
        </w:rPr>
        <w:t>е</w:t>
      </w:r>
      <w:r w:rsidR="00AD0C00" w:rsidRPr="00FF386D">
        <w:rPr>
          <w:rFonts w:ascii="Calibri Light" w:eastAsia="Times New Roman" w:hAnsi="Calibri Light" w:cs="Calibri Light"/>
          <w:szCs w:val="20"/>
          <w:lang w:eastAsia="el-GR"/>
        </w:rPr>
        <w:t xml:space="preserve"> обновљивих извора енергије</w:t>
      </w:r>
      <w:r w:rsidR="00315BFF" w:rsidRPr="00FF386D">
        <w:rPr>
          <w:rFonts w:ascii="Calibri Light" w:eastAsia="Times New Roman" w:hAnsi="Calibri Light" w:cs="Calibri Light"/>
          <w:szCs w:val="20"/>
          <w:lang w:eastAsia="el-GR"/>
        </w:rPr>
        <w:t xml:space="preserve"> за које је потребно мање радне снаге</w:t>
      </w:r>
      <w:r w:rsidR="00CA5936" w:rsidRPr="00FF386D">
        <w:rPr>
          <w:rFonts w:ascii="Calibri Light" w:eastAsia="Times New Roman" w:hAnsi="Calibri Light" w:cs="Calibri Light"/>
          <w:szCs w:val="20"/>
          <w:lang w:eastAsia="el-GR"/>
        </w:rPr>
        <w:t>. Утицај на тешк</w:t>
      </w:r>
      <w:r w:rsidR="00334106" w:rsidRPr="00FF386D">
        <w:rPr>
          <w:rFonts w:ascii="Calibri Light" w:eastAsia="Times New Roman" w:hAnsi="Calibri Light" w:cs="Calibri Light"/>
          <w:szCs w:val="20"/>
          <w:lang w:eastAsia="el-GR"/>
        </w:rPr>
        <w:t>у</w:t>
      </w:r>
      <w:r w:rsidR="00CA5936" w:rsidRPr="00FF386D">
        <w:rPr>
          <w:rFonts w:ascii="Calibri Light" w:eastAsia="Times New Roman" w:hAnsi="Calibri Light" w:cs="Calibri Light"/>
          <w:szCs w:val="20"/>
          <w:lang w:eastAsia="el-GR"/>
        </w:rPr>
        <w:t xml:space="preserve"> индустриј</w:t>
      </w:r>
      <w:r w:rsidR="00334106" w:rsidRPr="00FF386D">
        <w:rPr>
          <w:rFonts w:ascii="Calibri Light" w:eastAsia="Times New Roman" w:hAnsi="Calibri Light" w:cs="Calibri Light"/>
          <w:szCs w:val="20"/>
          <w:lang w:eastAsia="el-GR"/>
        </w:rPr>
        <w:t>у</w:t>
      </w:r>
      <w:r w:rsidR="00CA5936" w:rsidRPr="00FF386D">
        <w:rPr>
          <w:rFonts w:ascii="Calibri Light" w:eastAsia="Times New Roman" w:hAnsi="Calibri Light" w:cs="Calibri Light"/>
          <w:szCs w:val="20"/>
          <w:lang w:eastAsia="el-GR"/>
        </w:rPr>
        <w:t xml:space="preserve"> је негативан само дугорочно гледано (2050). </w:t>
      </w:r>
      <w:r w:rsidR="00162E14" w:rsidRPr="00FF386D">
        <w:rPr>
          <w:rFonts w:ascii="Calibri Light" w:eastAsia="Times New Roman" w:hAnsi="Calibri Light" w:cs="Calibri Light"/>
          <w:szCs w:val="20"/>
          <w:lang w:eastAsia="el-GR"/>
        </w:rPr>
        <w:t>На основу резултата алата за макроекономску анализу,</w:t>
      </w:r>
      <w:r w:rsidR="00CA5936" w:rsidRPr="00FF386D">
        <w:rPr>
          <w:rFonts w:ascii="Calibri Light" w:eastAsia="Times New Roman" w:hAnsi="Calibri Light" w:cs="Calibri Light"/>
          <w:szCs w:val="20"/>
          <w:lang w:eastAsia="el-GR"/>
        </w:rPr>
        <w:t xml:space="preserve"> већина изгубљених послова у секторима </w:t>
      </w:r>
      <w:r w:rsidR="00334106" w:rsidRPr="00FF386D">
        <w:rPr>
          <w:rFonts w:ascii="Calibri Light" w:eastAsia="Times New Roman" w:hAnsi="Calibri Light" w:cs="Calibri Light"/>
          <w:szCs w:val="20"/>
          <w:lang w:eastAsia="el-GR"/>
        </w:rPr>
        <w:t>са смањеним</w:t>
      </w:r>
      <w:r w:rsidR="00CA5936" w:rsidRPr="00FF386D">
        <w:rPr>
          <w:rFonts w:ascii="Calibri Light" w:eastAsia="Times New Roman" w:hAnsi="Calibri Light" w:cs="Calibri Light"/>
          <w:szCs w:val="20"/>
          <w:lang w:eastAsia="el-GR"/>
        </w:rPr>
        <w:t xml:space="preserve"> </w:t>
      </w:r>
      <w:r w:rsidR="00162E14" w:rsidRPr="00FF386D">
        <w:rPr>
          <w:rFonts w:ascii="Calibri Light" w:eastAsia="Times New Roman" w:hAnsi="Calibri Light" w:cs="Calibri Light"/>
          <w:szCs w:val="20"/>
          <w:lang w:eastAsia="el-GR"/>
        </w:rPr>
        <w:t>запо</w:t>
      </w:r>
      <w:r w:rsidR="00341D70" w:rsidRPr="00FF386D">
        <w:rPr>
          <w:rFonts w:ascii="Calibri Light" w:eastAsia="Times New Roman" w:hAnsi="Calibri Light" w:cs="Calibri Light"/>
          <w:szCs w:val="20"/>
          <w:lang w:eastAsia="el-GR"/>
        </w:rPr>
        <w:t>шљавање</w:t>
      </w:r>
      <w:r w:rsidR="00334106" w:rsidRPr="00FF386D">
        <w:rPr>
          <w:rFonts w:ascii="Calibri Light" w:eastAsia="Times New Roman" w:hAnsi="Calibri Light" w:cs="Calibri Light"/>
          <w:szCs w:val="20"/>
          <w:lang w:eastAsia="el-GR"/>
        </w:rPr>
        <w:t xml:space="preserve">м </w:t>
      </w:r>
      <w:r w:rsidR="00CA5936" w:rsidRPr="00FF386D">
        <w:rPr>
          <w:rFonts w:ascii="Calibri Light" w:eastAsia="Times New Roman" w:hAnsi="Calibri Light" w:cs="Calibri Light"/>
          <w:szCs w:val="20"/>
          <w:lang w:eastAsia="el-GR"/>
        </w:rPr>
        <w:t>помера</w:t>
      </w:r>
      <w:r w:rsidR="00162E14" w:rsidRPr="00FF386D">
        <w:rPr>
          <w:rFonts w:ascii="Calibri Light" w:eastAsia="Times New Roman" w:hAnsi="Calibri Light" w:cs="Calibri Light"/>
          <w:szCs w:val="20"/>
          <w:lang w:eastAsia="el-GR"/>
        </w:rPr>
        <w:t xml:space="preserve"> </w:t>
      </w:r>
      <w:r w:rsidR="00334106" w:rsidRPr="00FF386D">
        <w:rPr>
          <w:rFonts w:ascii="Calibri Light" w:eastAsia="Times New Roman" w:hAnsi="Calibri Light" w:cs="Calibri Light"/>
          <w:szCs w:val="20"/>
          <w:lang w:eastAsia="el-GR"/>
        </w:rPr>
        <w:t xml:space="preserve">се </w:t>
      </w:r>
      <w:r w:rsidR="00CA5936" w:rsidRPr="00FF386D">
        <w:rPr>
          <w:rFonts w:ascii="Calibri Light" w:eastAsia="Times New Roman" w:hAnsi="Calibri Light" w:cs="Calibri Light"/>
          <w:szCs w:val="20"/>
          <w:lang w:eastAsia="el-GR"/>
        </w:rPr>
        <w:t>ка сектору услуга</w:t>
      </w:r>
      <w:r w:rsidR="00162E14" w:rsidRPr="00FF386D">
        <w:rPr>
          <w:rFonts w:ascii="Calibri Light" w:eastAsia="Times New Roman" w:hAnsi="Calibri Light" w:cs="Calibri Light"/>
          <w:szCs w:val="20"/>
          <w:lang w:eastAsia="el-GR"/>
        </w:rPr>
        <w:t>.</w:t>
      </w:r>
      <w:r w:rsidR="00990B5A">
        <w:rPr>
          <w:rFonts w:ascii="Calibri Light" w:eastAsia="Times New Roman" w:hAnsi="Calibri Light" w:cs="Calibri Light"/>
          <w:szCs w:val="20"/>
          <w:lang w:eastAsia="el-GR"/>
        </w:rPr>
        <w:t xml:space="preserve"> Детаљнија анализа утицаја на запошљавање у одређеним областима ће бити обухваћена је у студији Дијагностика праведне транзиције.</w:t>
      </w:r>
    </w:p>
    <w:p w14:paraId="73F94511" w14:textId="30A39B58" w:rsidR="008D6038" w:rsidRDefault="008D6038" w:rsidP="00565B02">
      <w:pPr>
        <w:pStyle w:val="Caption"/>
        <w:keepNext/>
      </w:pPr>
      <w:bookmarkStart w:id="447" w:name="_Ref153896316"/>
      <w:bookmarkStart w:id="448" w:name="_Toc153901457"/>
      <w:r>
        <w:lastRenderedPageBreak/>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45</w:t>
      </w:r>
      <w:r w:rsidR="00F35B2C">
        <w:fldChar w:fldCharType="end"/>
      </w:r>
      <w:bookmarkEnd w:id="447"/>
      <w:r>
        <w:t xml:space="preserve">: </w:t>
      </w:r>
      <w:r w:rsidRPr="008D6038">
        <w:t>Утицај на запосленост по секторима у оквиру спровођења сценарија S</w:t>
      </w:r>
      <w:bookmarkEnd w:id="448"/>
    </w:p>
    <w:p w14:paraId="03181BC8" w14:textId="09F10EBD" w:rsidR="00E2534B" w:rsidRPr="00FF386D" w:rsidRDefault="00E2534B" w:rsidP="00CA5936">
      <w:pPr>
        <w:spacing w:line="259" w:lineRule="auto"/>
        <w:rPr>
          <w:rFonts w:ascii="Calibri" w:eastAsia="Calibri" w:hAnsi="Calibri" w:cs="Times New Roman"/>
        </w:rPr>
      </w:pPr>
      <w:r w:rsidRPr="004F53D7">
        <w:rPr>
          <w:rFonts w:ascii="Calibri" w:eastAsia="Calibri" w:hAnsi="Calibri" w:cs="Times New Roman"/>
          <w:noProof/>
          <w:lang w:val="en-US"/>
        </w:rPr>
        <w:drawing>
          <wp:inline distT="0" distB="0" distL="0" distR="0" wp14:anchorId="2902434B" wp14:editId="6983BA44">
            <wp:extent cx="5949950" cy="3189293"/>
            <wp:effectExtent l="0" t="0" r="0" b="0"/>
            <wp:docPr id="1127859101" name="Picture 112785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67431" cy="3198663"/>
                    </a:xfrm>
                    <a:prstGeom prst="rect">
                      <a:avLst/>
                    </a:prstGeom>
                    <a:noFill/>
                  </pic:spPr>
                </pic:pic>
              </a:graphicData>
            </a:graphic>
          </wp:inline>
        </w:drawing>
      </w:r>
    </w:p>
    <w:p w14:paraId="1565A62A" w14:textId="4533472A" w:rsidR="00CA5936" w:rsidRPr="00FF386D" w:rsidRDefault="00334106" w:rsidP="00565B02">
      <w:pPr>
        <w:spacing w:before="160" w:line="240" w:lineRule="auto"/>
        <w:jc w:val="both"/>
        <w:rPr>
          <w:rFonts w:asciiTheme="majorHAnsi" w:eastAsia="Calibri" w:hAnsiTheme="majorHAnsi" w:cstheme="majorHAnsi"/>
        </w:rPr>
      </w:pPr>
      <w:r w:rsidRPr="00FF386D">
        <w:rPr>
          <w:rFonts w:ascii="Calibri Light" w:eastAsia="Calibri" w:hAnsi="Calibri Light" w:cs="Calibri Light"/>
        </w:rPr>
        <w:t>Такође је з</w:t>
      </w:r>
      <w:r w:rsidR="00CA5936" w:rsidRPr="00FF386D">
        <w:rPr>
          <w:rFonts w:ascii="Calibri Light" w:eastAsia="Calibri" w:hAnsi="Calibri Light" w:cs="Calibri Light"/>
        </w:rPr>
        <w:t xml:space="preserve">анимљиво истражити отварање нових радних места, нарочито у области технологија производње електричне енергије. Ови послови су повезани </w:t>
      </w:r>
      <w:r w:rsidR="00113FDA" w:rsidRPr="00FF386D">
        <w:rPr>
          <w:rFonts w:ascii="Calibri Light" w:eastAsia="Calibri" w:hAnsi="Calibri Light" w:cs="Calibri Light"/>
        </w:rPr>
        <w:t xml:space="preserve">или </w:t>
      </w:r>
      <w:r w:rsidR="00CA5936" w:rsidRPr="00FF386D">
        <w:rPr>
          <w:rFonts w:ascii="Calibri Light" w:eastAsia="Calibri" w:hAnsi="Calibri Light" w:cs="Calibri Light"/>
        </w:rPr>
        <w:t xml:space="preserve">са производњом и </w:t>
      </w:r>
      <w:r w:rsidR="00113FDA" w:rsidRPr="00FF386D">
        <w:rPr>
          <w:rFonts w:ascii="Calibri Light" w:eastAsia="Calibri" w:hAnsi="Calibri Light" w:cs="Calibri Light"/>
        </w:rPr>
        <w:t>инсталацијом</w:t>
      </w:r>
      <w:r w:rsidR="00CA5936" w:rsidRPr="00FF386D">
        <w:rPr>
          <w:rFonts w:ascii="Calibri Light" w:eastAsia="Calibri" w:hAnsi="Calibri Light" w:cs="Calibri Light"/>
        </w:rPr>
        <w:t xml:space="preserve"> технологија </w:t>
      </w:r>
      <w:r w:rsidR="00113FDA" w:rsidRPr="00FF386D">
        <w:rPr>
          <w:rFonts w:ascii="Calibri Light" w:eastAsia="Calibri" w:hAnsi="Calibri Light" w:cs="Calibri Light"/>
        </w:rPr>
        <w:t xml:space="preserve">за </w:t>
      </w:r>
      <w:r w:rsidR="00CA5936" w:rsidRPr="00FF386D">
        <w:rPr>
          <w:rFonts w:ascii="Calibri Light" w:eastAsia="Calibri" w:hAnsi="Calibri Light" w:cs="Calibri Light"/>
        </w:rPr>
        <w:t>производњ</w:t>
      </w:r>
      <w:r w:rsidR="00113FDA" w:rsidRPr="00FF386D">
        <w:rPr>
          <w:rFonts w:ascii="Calibri Light" w:eastAsia="Calibri" w:hAnsi="Calibri Light" w:cs="Calibri Light"/>
        </w:rPr>
        <w:t>у</w:t>
      </w:r>
      <w:r w:rsidR="00CA5936" w:rsidRPr="00FF386D">
        <w:rPr>
          <w:rFonts w:ascii="Calibri Light" w:eastAsia="Calibri" w:hAnsi="Calibri Light" w:cs="Calibri Light"/>
        </w:rPr>
        <w:t xml:space="preserve"> електричне енергије или са радом и одржавањем електрана. </w:t>
      </w:r>
      <w:r w:rsidR="00F83DAA">
        <w:rPr>
          <w:rFonts w:ascii="Calibri Light" w:eastAsia="Calibri" w:hAnsi="Calibri Light" w:cs="Calibri Light"/>
        </w:rPr>
        <w:t>П</w:t>
      </w:r>
      <w:r w:rsidR="00113FDA" w:rsidRPr="00FF386D">
        <w:rPr>
          <w:rFonts w:ascii="Calibri Light" w:eastAsia="Calibri" w:hAnsi="Calibri Light" w:cs="Calibri Light"/>
        </w:rPr>
        <w:t xml:space="preserve">роцењен </w:t>
      </w:r>
      <w:r w:rsidR="00CA5936" w:rsidRPr="00FF386D">
        <w:rPr>
          <w:rFonts w:ascii="Calibri Light" w:eastAsia="Calibri" w:hAnsi="Calibri Light" w:cs="Calibri Light"/>
        </w:rPr>
        <w:t>је број</w:t>
      </w:r>
      <w:r w:rsidR="00113FDA" w:rsidRPr="00FF386D">
        <w:rPr>
          <w:rFonts w:ascii="Calibri Light" w:eastAsia="Calibri" w:hAnsi="Calibri Light" w:cs="Calibri Light"/>
        </w:rPr>
        <w:t xml:space="preserve"> нових</w:t>
      </w:r>
      <w:r w:rsidR="00CA5936" w:rsidRPr="00FF386D">
        <w:rPr>
          <w:rFonts w:ascii="Calibri Light" w:eastAsia="Calibri" w:hAnsi="Calibri Light" w:cs="Calibri Light"/>
        </w:rPr>
        <w:t xml:space="preserve"> радних места у сценарију </w:t>
      </w:r>
      <w:r w:rsidR="00CA5936" w:rsidRPr="00FF386D">
        <w:rPr>
          <w:rFonts w:ascii="Calibri Light" w:eastAsia="Calibri" w:hAnsi="Calibri Light" w:cs="Calibri Light"/>
          <w:i/>
        </w:rPr>
        <w:t>S</w:t>
      </w:r>
      <w:r w:rsidR="00CA5936" w:rsidRPr="00FF386D">
        <w:rPr>
          <w:rFonts w:ascii="Calibri Light" w:eastAsia="Calibri" w:hAnsi="Calibri Light" w:cs="Calibri Light"/>
        </w:rPr>
        <w:t xml:space="preserve"> </w:t>
      </w:r>
      <w:r w:rsidR="00113FDA" w:rsidRPr="00FF386D">
        <w:rPr>
          <w:rFonts w:ascii="Calibri Light" w:eastAsia="Calibri" w:hAnsi="Calibri Light" w:cs="Calibri Light"/>
        </w:rPr>
        <w:t xml:space="preserve">услед </w:t>
      </w:r>
      <w:r w:rsidR="00CA5936" w:rsidRPr="00FF386D">
        <w:rPr>
          <w:rFonts w:ascii="Calibri Light" w:eastAsia="Calibri" w:hAnsi="Calibri Light" w:cs="Calibri Light"/>
        </w:rPr>
        <w:t>увођењ</w:t>
      </w:r>
      <w:r w:rsidR="00113FDA" w:rsidRPr="00FF386D">
        <w:rPr>
          <w:rFonts w:ascii="Calibri Light" w:eastAsia="Calibri" w:hAnsi="Calibri Light" w:cs="Calibri Light"/>
        </w:rPr>
        <w:t>а</w:t>
      </w:r>
      <w:r w:rsidR="00CA5936" w:rsidRPr="00FF386D">
        <w:rPr>
          <w:rFonts w:ascii="Calibri Light" w:eastAsia="Calibri" w:hAnsi="Calibri Light" w:cs="Calibri Light"/>
        </w:rPr>
        <w:t xml:space="preserve"> нових капацитета </w:t>
      </w:r>
      <w:r w:rsidR="00113FDA" w:rsidRPr="00FF386D">
        <w:rPr>
          <w:rFonts w:ascii="Calibri Light" w:eastAsia="Calibri" w:hAnsi="Calibri Light" w:cs="Calibri Light"/>
        </w:rPr>
        <w:t>ОИЕ за соларну енергију, ветар и биомасу</w:t>
      </w:r>
      <w:r w:rsidR="00990B5A">
        <w:rPr>
          <w:rFonts w:ascii="Calibri Light" w:eastAsia="Calibri" w:hAnsi="Calibri Light" w:cs="Calibri Light"/>
        </w:rPr>
        <w:t xml:space="preserve"> (претпоставља се да инсталација велике соларне електране траје годину дана, ветроелектране 2 године и електране на биомасу 2 године)</w:t>
      </w:r>
      <w:r w:rsidR="00CA5936" w:rsidRPr="00FF386D">
        <w:rPr>
          <w:rFonts w:ascii="Calibri Light" w:eastAsia="Calibri" w:hAnsi="Calibri Light" w:cs="Calibri Light"/>
          <w:vertAlign w:val="superscript"/>
        </w:rPr>
        <w:footnoteReference w:id="129"/>
      </w:r>
      <w:r w:rsidR="00CA5936" w:rsidRPr="00FF386D">
        <w:rPr>
          <w:rFonts w:ascii="Calibri Light" w:eastAsia="Calibri" w:hAnsi="Calibri Light" w:cs="Calibri Light"/>
        </w:rPr>
        <w:t xml:space="preserve">. Резултати су </w:t>
      </w:r>
      <w:r w:rsidR="00113FDA" w:rsidRPr="00FF386D">
        <w:rPr>
          <w:rFonts w:ascii="Calibri Light" w:eastAsia="Calibri" w:hAnsi="Calibri Light" w:cs="Calibri Light"/>
        </w:rPr>
        <w:t>приказани</w:t>
      </w:r>
      <w:r w:rsidR="00CA5936" w:rsidRPr="00FF386D">
        <w:rPr>
          <w:rFonts w:ascii="Calibri Light" w:eastAsia="Calibri" w:hAnsi="Calibri Light" w:cs="Calibri Light"/>
        </w:rPr>
        <w:t xml:space="preserve"> на</w:t>
      </w:r>
      <w:r w:rsidR="00CA5936" w:rsidRPr="00565B02">
        <w:rPr>
          <w:rFonts w:ascii="Calibri Light" w:eastAsia="Calibri" w:hAnsi="Calibri Light" w:cs="Calibri Light"/>
        </w:rPr>
        <w:t xml:space="preserve"> </w:t>
      </w:r>
      <w:r w:rsidR="00E8583E" w:rsidRPr="00565B02">
        <w:rPr>
          <w:rFonts w:ascii="Calibri Light" w:eastAsia="Calibri" w:hAnsi="Calibri Light" w:cs="Calibri Light"/>
        </w:rPr>
        <w:fldChar w:fldCharType="begin"/>
      </w:r>
      <w:r w:rsidR="00E8583E" w:rsidRPr="00565B02">
        <w:rPr>
          <w:rFonts w:ascii="Calibri Light" w:eastAsia="Calibri" w:hAnsi="Calibri Light" w:cs="Calibri Light"/>
        </w:rPr>
        <w:instrText xml:space="preserve"> REF _Ref153896396 \h </w:instrText>
      </w:r>
      <w:r w:rsidR="00E8583E">
        <w:rPr>
          <w:rFonts w:ascii="Calibri Light" w:eastAsia="Calibri" w:hAnsi="Calibri Light" w:cs="Calibri Light"/>
        </w:rPr>
        <w:instrText xml:space="preserve"> \* MERGEFORMAT </w:instrText>
      </w:r>
      <w:r w:rsidR="00E8583E" w:rsidRPr="00565B02">
        <w:rPr>
          <w:rFonts w:ascii="Calibri Light" w:eastAsia="Calibri" w:hAnsi="Calibri Light" w:cs="Calibri Light"/>
        </w:rPr>
      </w:r>
      <w:r w:rsidR="00E8583E" w:rsidRPr="00565B02">
        <w:rPr>
          <w:rFonts w:ascii="Calibri Light" w:eastAsia="Calibri" w:hAnsi="Calibri Light" w:cs="Calibri Light"/>
        </w:rPr>
        <w:fldChar w:fldCharType="separate"/>
      </w:r>
      <w:r w:rsidR="00E8583E" w:rsidRPr="00565B02">
        <w:rPr>
          <w:rFonts w:ascii="Calibri Light" w:eastAsia="Calibri" w:hAnsi="Calibri Light" w:cs="Calibri Light"/>
        </w:rPr>
        <w:t>слици 5.46</w:t>
      </w:r>
      <w:r w:rsidR="00E8583E" w:rsidRPr="00565B02">
        <w:rPr>
          <w:rFonts w:ascii="Calibri Light" w:eastAsia="Calibri" w:hAnsi="Calibri Light" w:cs="Calibri Light"/>
        </w:rPr>
        <w:fldChar w:fldCharType="end"/>
      </w:r>
      <w:r w:rsidR="00E8583E" w:rsidRPr="00565B02">
        <w:rPr>
          <w:rFonts w:ascii="Calibri Light" w:eastAsia="Calibri" w:hAnsi="Calibri Light" w:cs="Calibri Light"/>
        </w:rPr>
        <w:t>.</w:t>
      </w:r>
      <w:r w:rsidR="00163550" w:rsidRPr="004F53D7">
        <w:rPr>
          <w:rFonts w:asciiTheme="majorHAnsi" w:eastAsia="Calibri" w:hAnsiTheme="majorHAnsi" w:cstheme="majorHAnsi"/>
        </w:rPr>
        <w:fldChar w:fldCharType="begin" w:fldLock="1"/>
      </w:r>
      <w:r w:rsidR="00163550" w:rsidRPr="00FF386D">
        <w:rPr>
          <w:rFonts w:asciiTheme="majorHAnsi" w:eastAsia="Calibri" w:hAnsiTheme="majorHAnsi" w:cstheme="majorHAnsi"/>
        </w:rPr>
        <w:instrText xml:space="preserve"> REF _Ref136932595 \h  \* MERGEFORMAT </w:instrText>
      </w:r>
      <w:r w:rsidR="00163550" w:rsidRPr="004F53D7">
        <w:rPr>
          <w:rFonts w:asciiTheme="majorHAnsi" w:eastAsia="Calibri" w:hAnsiTheme="majorHAnsi" w:cstheme="majorHAnsi"/>
        </w:rPr>
      </w:r>
      <w:r w:rsidR="00163550" w:rsidRPr="004F53D7">
        <w:rPr>
          <w:rFonts w:asciiTheme="majorHAnsi" w:eastAsia="Calibri" w:hAnsiTheme="majorHAnsi" w:cstheme="majorHAnsi"/>
        </w:rPr>
        <w:fldChar w:fldCharType="separate"/>
      </w:r>
      <w:r w:rsidR="00163550" w:rsidRPr="004F53D7">
        <w:rPr>
          <w:rFonts w:asciiTheme="majorHAnsi" w:eastAsia="Calibri" w:hAnsiTheme="majorHAnsi" w:cstheme="majorHAnsi"/>
        </w:rPr>
        <w:fldChar w:fldCharType="end"/>
      </w:r>
    </w:p>
    <w:p w14:paraId="05DAFC77" w14:textId="7F99EC39" w:rsidR="00E8583E" w:rsidRDefault="00E8583E" w:rsidP="00565B02">
      <w:pPr>
        <w:pStyle w:val="Caption"/>
        <w:keepNext/>
      </w:pPr>
      <w:bookmarkStart w:id="449" w:name="_Ref153896396"/>
      <w:bookmarkStart w:id="450" w:name="_Toc153901458"/>
      <w:r>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46</w:t>
      </w:r>
      <w:r w:rsidR="00F35B2C">
        <w:fldChar w:fldCharType="end"/>
      </w:r>
      <w:bookmarkEnd w:id="449"/>
      <w:r w:rsidRPr="00E8583E">
        <w:t>: Процена броја нових радних места према сценарију S због увођења нових капацитета ОИЕ за соларну енергију, ветар и биомасу</w:t>
      </w:r>
      <w:bookmarkEnd w:id="45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CA5936" w:rsidRPr="00FF386D" w14:paraId="21779773" w14:textId="77777777" w:rsidTr="00565B02">
        <w:tc>
          <w:tcPr>
            <w:tcW w:w="4819" w:type="dxa"/>
          </w:tcPr>
          <w:p w14:paraId="3E93D174" w14:textId="75CBBCFC" w:rsidR="00CA5936" w:rsidRPr="00FF386D" w:rsidRDefault="0070697D" w:rsidP="00CA5936">
            <w:pPr>
              <w:spacing w:line="240" w:lineRule="auto"/>
            </w:pPr>
            <w:r>
              <w:rPr>
                <w:noProof/>
                <w:lang w:val="en-US"/>
              </w:rPr>
              <w:drawing>
                <wp:inline distT="0" distB="0" distL="0" distR="0" wp14:anchorId="62128D6E" wp14:editId="61BF1D91">
                  <wp:extent cx="2975456" cy="1747520"/>
                  <wp:effectExtent l="0" t="0" r="0" b="5080"/>
                  <wp:docPr id="1025944608" name="Picture 1025944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987647" cy="1754680"/>
                          </a:xfrm>
                          <a:prstGeom prst="rect">
                            <a:avLst/>
                          </a:prstGeom>
                          <a:noFill/>
                        </pic:spPr>
                      </pic:pic>
                    </a:graphicData>
                  </a:graphic>
                </wp:inline>
              </w:drawing>
            </w:r>
          </w:p>
        </w:tc>
        <w:tc>
          <w:tcPr>
            <w:tcW w:w="4819" w:type="dxa"/>
          </w:tcPr>
          <w:p w14:paraId="47D71619" w14:textId="241E0F87" w:rsidR="00CA5936" w:rsidRPr="00FF386D" w:rsidRDefault="0070697D" w:rsidP="00CA5936">
            <w:pPr>
              <w:spacing w:line="240" w:lineRule="auto"/>
            </w:pPr>
            <w:r>
              <w:rPr>
                <w:noProof/>
                <w:lang w:val="en-US"/>
              </w:rPr>
              <w:drawing>
                <wp:inline distT="0" distB="0" distL="0" distR="0" wp14:anchorId="6F99A29D" wp14:editId="1BDBD997">
                  <wp:extent cx="2975736" cy="1747684"/>
                  <wp:effectExtent l="0" t="0" r="0" b="5080"/>
                  <wp:docPr id="1276338808" name="Picture 1276338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977473" cy="1748704"/>
                          </a:xfrm>
                          <a:prstGeom prst="rect">
                            <a:avLst/>
                          </a:prstGeom>
                          <a:noFill/>
                        </pic:spPr>
                      </pic:pic>
                    </a:graphicData>
                  </a:graphic>
                </wp:inline>
              </w:drawing>
            </w:r>
          </w:p>
        </w:tc>
      </w:tr>
      <w:tr w:rsidR="00CA5936" w:rsidRPr="00FF386D" w14:paraId="7705BFA0" w14:textId="77777777" w:rsidTr="00565B02">
        <w:tc>
          <w:tcPr>
            <w:tcW w:w="4819" w:type="dxa"/>
          </w:tcPr>
          <w:p w14:paraId="03F9CC81" w14:textId="77777777" w:rsidR="00CA5936" w:rsidRPr="00FF386D" w:rsidRDefault="00CA5936" w:rsidP="00CA5936">
            <w:pPr>
              <w:spacing w:line="240" w:lineRule="auto"/>
            </w:pPr>
          </w:p>
        </w:tc>
        <w:tc>
          <w:tcPr>
            <w:tcW w:w="4819" w:type="dxa"/>
          </w:tcPr>
          <w:p w14:paraId="21272D68" w14:textId="77777777" w:rsidR="00CA5936" w:rsidRPr="00FF386D" w:rsidRDefault="00CA5936" w:rsidP="00CA5936">
            <w:pPr>
              <w:spacing w:line="240" w:lineRule="auto"/>
            </w:pPr>
          </w:p>
        </w:tc>
      </w:tr>
      <w:tr w:rsidR="00CA5936" w:rsidRPr="00FF386D" w14:paraId="7153861D" w14:textId="77777777" w:rsidTr="00565B02">
        <w:tc>
          <w:tcPr>
            <w:tcW w:w="4819" w:type="dxa"/>
          </w:tcPr>
          <w:p w14:paraId="32955CF4" w14:textId="30466AD0" w:rsidR="00CA5936" w:rsidRPr="00FF386D" w:rsidRDefault="0070697D" w:rsidP="00CA5936">
            <w:pPr>
              <w:spacing w:line="240" w:lineRule="auto"/>
            </w:pPr>
            <w:r>
              <w:rPr>
                <w:noProof/>
                <w:lang w:val="en-US"/>
              </w:rPr>
              <w:lastRenderedPageBreak/>
              <w:drawing>
                <wp:inline distT="0" distB="0" distL="0" distR="0" wp14:anchorId="49BD6FFE" wp14:editId="3B89D4BB">
                  <wp:extent cx="2974975" cy="1760051"/>
                  <wp:effectExtent l="0" t="0" r="0" b="0"/>
                  <wp:docPr id="1099931884" name="Picture 109993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983155" cy="1764890"/>
                          </a:xfrm>
                          <a:prstGeom prst="rect">
                            <a:avLst/>
                          </a:prstGeom>
                          <a:noFill/>
                        </pic:spPr>
                      </pic:pic>
                    </a:graphicData>
                  </a:graphic>
                </wp:inline>
              </w:drawing>
            </w:r>
          </w:p>
        </w:tc>
        <w:tc>
          <w:tcPr>
            <w:tcW w:w="4819" w:type="dxa"/>
          </w:tcPr>
          <w:p w14:paraId="271BD1FC" w14:textId="77777777" w:rsidR="00CA5936" w:rsidRPr="00FF386D" w:rsidRDefault="00CA5936" w:rsidP="00CA5936">
            <w:pPr>
              <w:spacing w:line="240" w:lineRule="auto"/>
            </w:pPr>
          </w:p>
        </w:tc>
      </w:tr>
    </w:tbl>
    <w:p w14:paraId="1EC6B7EA" w14:textId="786C99BD" w:rsidR="00CA5936" w:rsidRPr="00FF386D" w:rsidRDefault="00C15663" w:rsidP="00CA5936">
      <w:pPr>
        <w:spacing w:before="120" w:line="240" w:lineRule="auto"/>
        <w:jc w:val="both"/>
        <w:rPr>
          <w:rFonts w:ascii="Calibri Light" w:eastAsia="Times New Roman" w:hAnsi="Calibri Light" w:cs="Arial"/>
          <w:szCs w:val="20"/>
          <w:lang w:eastAsia="el-GR"/>
        </w:rPr>
      </w:pPr>
      <w:r w:rsidRPr="00FF386D">
        <w:rPr>
          <w:rFonts w:ascii="Calibri Light" w:eastAsia="Times New Roman" w:hAnsi="Calibri Light" w:cs="Arial"/>
          <w:szCs w:val="20"/>
          <w:lang w:eastAsia="el-GR"/>
        </w:rPr>
        <w:t>Треба напоменути</w:t>
      </w:r>
      <w:r w:rsidR="00CA5936" w:rsidRPr="00FF386D">
        <w:rPr>
          <w:rFonts w:ascii="Calibri Light" w:eastAsia="Times New Roman" w:hAnsi="Calibri Light" w:cs="Arial"/>
          <w:szCs w:val="20"/>
          <w:lang w:eastAsia="el-GR"/>
        </w:rPr>
        <w:t xml:space="preserve"> да се вредности које се налазе на </w:t>
      </w:r>
      <w:r w:rsidR="006A012F" w:rsidRPr="004F53D7">
        <w:rPr>
          <w:rFonts w:asciiTheme="majorHAnsi" w:eastAsia="Calibri" w:hAnsiTheme="majorHAnsi" w:cstheme="majorHAnsi"/>
        </w:rPr>
        <w:fldChar w:fldCharType="begin" w:fldLock="1"/>
      </w:r>
      <w:r w:rsidR="006A012F" w:rsidRPr="00FF386D">
        <w:rPr>
          <w:rFonts w:asciiTheme="majorHAnsi" w:eastAsia="Times New Roman" w:hAnsiTheme="majorHAnsi" w:cstheme="majorHAnsi"/>
          <w:szCs w:val="20"/>
          <w:lang w:eastAsia="el-GR"/>
        </w:rPr>
        <w:instrText xml:space="preserve"> REF _Ref136932595 \h </w:instrText>
      </w:r>
      <w:r w:rsidR="006A012F" w:rsidRPr="00FF386D">
        <w:rPr>
          <w:rFonts w:asciiTheme="majorHAnsi" w:eastAsia="Calibri" w:hAnsiTheme="majorHAnsi" w:cstheme="majorHAnsi"/>
        </w:rPr>
        <w:instrText xml:space="preserve"> \* MERGEFORMAT </w:instrText>
      </w:r>
      <w:r w:rsidR="006A012F" w:rsidRPr="004F53D7">
        <w:rPr>
          <w:rFonts w:asciiTheme="majorHAnsi" w:eastAsia="Calibri" w:hAnsiTheme="majorHAnsi" w:cstheme="majorHAnsi"/>
        </w:rPr>
      </w:r>
      <w:r w:rsidR="006A012F" w:rsidRPr="004F53D7">
        <w:rPr>
          <w:rFonts w:asciiTheme="majorHAnsi" w:eastAsia="Calibri" w:hAnsiTheme="majorHAnsi" w:cstheme="majorHAnsi"/>
        </w:rPr>
        <w:fldChar w:fldCharType="separate"/>
      </w:r>
      <w:r w:rsidR="006A012F" w:rsidRPr="00FF386D">
        <w:rPr>
          <w:rFonts w:asciiTheme="majorHAnsi" w:hAnsiTheme="majorHAnsi" w:cstheme="majorHAnsi"/>
        </w:rPr>
        <w:t xml:space="preserve">слици </w:t>
      </w:r>
      <w:r w:rsidR="006A012F" w:rsidRPr="000A2AFE">
        <w:rPr>
          <w:rFonts w:asciiTheme="majorHAnsi" w:hAnsiTheme="majorHAnsi" w:cstheme="majorHAnsi"/>
        </w:rPr>
        <w:t>5</w:t>
      </w:r>
      <w:r w:rsidR="006A012F" w:rsidRPr="00FF386D">
        <w:rPr>
          <w:rFonts w:asciiTheme="majorHAnsi" w:hAnsiTheme="majorHAnsi" w:cstheme="majorHAnsi"/>
        </w:rPr>
        <w:t>.</w:t>
      </w:r>
      <w:r w:rsidR="006A012F" w:rsidRPr="000A2AFE">
        <w:rPr>
          <w:rFonts w:asciiTheme="majorHAnsi" w:hAnsiTheme="majorHAnsi" w:cstheme="majorHAnsi"/>
        </w:rPr>
        <w:t>4</w:t>
      </w:r>
      <w:r w:rsidR="00990B5A">
        <w:rPr>
          <w:rFonts w:asciiTheme="majorHAnsi" w:hAnsiTheme="majorHAnsi" w:cstheme="majorHAnsi"/>
        </w:rPr>
        <w:t>6</w:t>
      </w:r>
      <w:r w:rsidR="006A012F" w:rsidRPr="004F53D7">
        <w:rPr>
          <w:rFonts w:asciiTheme="majorHAnsi" w:eastAsia="Calibri" w:hAnsiTheme="majorHAnsi" w:cstheme="majorHAnsi"/>
        </w:rPr>
        <w:fldChar w:fldCharType="end"/>
      </w:r>
      <w:r w:rsidR="00CA5936" w:rsidRPr="00FF386D">
        <w:rPr>
          <w:rFonts w:ascii="Calibri" w:eastAsia="Calibri" w:hAnsi="Calibri" w:cs="Times New Roman"/>
        </w:rPr>
        <w:t xml:space="preserve"> </w:t>
      </w:r>
      <w:r w:rsidR="00CA5936" w:rsidRPr="00FF386D">
        <w:rPr>
          <w:rFonts w:ascii="Calibri Light" w:eastAsia="Times New Roman" w:hAnsi="Calibri Light" w:cs="Arial"/>
          <w:szCs w:val="20"/>
          <w:lang w:eastAsia="el-GR"/>
        </w:rPr>
        <w:t xml:space="preserve">односе на горње и доње границе </w:t>
      </w:r>
      <w:r w:rsidR="00BA570A" w:rsidRPr="00FF386D">
        <w:rPr>
          <w:rFonts w:ascii="Calibri Light" w:eastAsia="Times New Roman" w:hAnsi="Calibri Light" w:cs="Arial"/>
          <w:szCs w:val="20"/>
          <w:lang w:eastAsia="el-GR"/>
        </w:rPr>
        <w:t xml:space="preserve">броја </w:t>
      </w:r>
      <w:r w:rsidR="00CA5936" w:rsidRPr="00FF386D">
        <w:rPr>
          <w:rFonts w:ascii="Calibri Light" w:eastAsia="Times New Roman" w:hAnsi="Calibri Light" w:cs="Arial"/>
          <w:szCs w:val="20"/>
          <w:lang w:eastAsia="el-GR"/>
        </w:rPr>
        <w:t xml:space="preserve">сталних радних места отворених у целој </w:t>
      </w:r>
      <w:r w:rsidR="001D7511" w:rsidRPr="00FF386D">
        <w:rPr>
          <w:rFonts w:ascii="Calibri Light" w:eastAsia="Times New Roman" w:hAnsi="Calibri Light" w:cs="Arial"/>
          <w:szCs w:val="20"/>
          <w:lang w:eastAsia="el-GR"/>
        </w:rPr>
        <w:t>држави потребних за инсталацију, пуштање у рад и одржавање</w:t>
      </w:r>
      <w:r w:rsidR="00CA5936" w:rsidRPr="00FF386D">
        <w:rPr>
          <w:rFonts w:ascii="Calibri Light" w:eastAsia="Times New Roman" w:hAnsi="Calibri Light" w:cs="Arial"/>
          <w:szCs w:val="20"/>
          <w:lang w:eastAsia="el-GR"/>
        </w:rPr>
        <w:t xml:space="preserve"> нов</w:t>
      </w:r>
      <w:r w:rsidR="001D7511" w:rsidRPr="00FF386D">
        <w:rPr>
          <w:rFonts w:ascii="Calibri Light" w:eastAsia="Times New Roman" w:hAnsi="Calibri Light" w:cs="Arial"/>
          <w:szCs w:val="20"/>
          <w:lang w:eastAsia="el-GR"/>
        </w:rPr>
        <w:t>их</w:t>
      </w:r>
      <w:r w:rsidR="00CA5936" w:rsidRPr="00FF386D">
        <w:rPr>
          <w:rFonts w:ascii="Calibri Light" w:eastAsia="Times New Roman" w:hAnsi="Calibri Light" w:cs="Arial"/>
          <w:szCs w:val="20"/>
          <w:lang w:eastAsia="el-GR"/>
        </w:rPr>
        <w:t xml:space="preserve"> ОИЕ капацитете до 2030. године (од почетка 2023. до краја 2030). Од свих ових радних места, предвиђа се да </w:t>
      </w:r>
      <w:r w:rsidR="001D7511" w:rsidRPr="00FF386D">
        <w:rPr>
          <w:rFonts w:ascii="Calibri Light" w:eastAsia="Times New Roman" w:hAnsi="Calibri Light" w:cs="Arial"/>
          <w:szCs w:val="20"/>
          <w:lang w:eastAsia="el-GR"/>
        </w:rPr>
        <w:t xml:space="preserve">ће </w:t>
      </w:r>
      <w:r w:rsidR="00CA5936" w:rsidRPr="00FF386D">
        <w:rPr>
          <w:rFonts w:ascii="Calibri Light" w:eastAsia="Times New Roman" w:hAnsi="Calibri Light" w:cs="Arial"/>
          <w:szCs w:val="20"/>
          <w:lang w:eastAsia="el-GR"/>
        </w:rPr>
        <w:t>велики број, ако не и сва</w:t>
      </w:r>
      <w:r w:rsidR="001A1F41" w:rsidRPr="00FF386D">
        <w:rPr>
          <w:rFonts w:ascii="Calibri Light" w:eastAsia="Times New Roman" w:hAnsi="Calibri Light" w:cs="Arial"/>
          <w:szCs w:val="20"/>
          <w:lang w:eastAsia="el-GR"/>
        </w:rPr>
        <w:t xml:space="preserve"> радна места</w:t>
      </w:r>
      <w:r w:rsidR="00BA570A" w:rsidRPr="00FF386D">
        <w:rPr>
          <w:rFonts w:ascii="Calibri Light" w:eastAsia="Times New Roman" w:hAnsi="Calibri Light" w:cs="Arial"/>
          <w:szCs w:val="20"/>
          <w:lang w:eastAsia="el-GR"/>
        </w:rPr>
        <w:t>,</w:t>
      </w:r>
      <w:r w:rsidR="00CA5936" w:rsidRPr="00FF386D">
        <w:rPr>
          <w:rFonts w:ascii="Calibri Light" w:eastAsia="Times New Roman" w:hAnsi="Calibri Light" w:cs="Arial"/>
          <w:szCs w:val="20"/>
          <w:lang w:eastAsia="el-GR"/>
        </w:rPr>
        <w:t xml:space="preserve"> која се </w:t>
      </w:r>
      <w:r w:rsidR="001D7511" w:rsidRPr="00FF386D">
        <w:rPr>
          <w:rFonts w:ascii="Calibri Light" w:eastAsia="Times New Roman" w:hAnsi="Calibri Light" w:cs="Arial"/>
          <w:szCs w:val="20"/>
          <w:lang w:eastAsia="el-GR"/>
        </w:rPr>
        <w:t>односе на соларне електране и електране на биомасу</w:t>
      </w:r>
      <w:r w:rsidR="00CA5936" w:rsidRPr="00FF386D">
        <w:rPr>
          <w:rFonts w:ascii="Calibri Light" w:eastAsia="Times New Roman" w:hAnsi="Calibri Light" w:cs="Arial"/>
          <w:szCs w:val="20"/>
          <w:lang w:eastAsia="el-GR"/>
        </w:rPr>
        <w:t>, мо</w:t>
      </w:r>
      <w:r w:rsidR="001A1F41" w:rsidRPr="00FF386D">
        <w:rPr>
          <w:rFonts w:ascii="Calibri Light" w:eastAsia="Times New Roman" w:hAnsi="Calibri Light" w:cs="Arial"/>
          <w:szCs w:val="20"/>
          <w:lang w:eastAsia="el-GR"/>
        </w:rPr>
        <w:t>ћи да се отвор</w:t>
      </w:r>
      <w:r w:rsidR="003648EA" w:rsidRPr="00FF386D">
        <w:rPr>
          <w:rFonts w:ascii="Calibri Light" w:eastAsia="Times New Roman" w:hAnsi="Calibri Light" w:cs="Arial"/>
          <w:szCs w:val="20"/>
          <w:lang w:eastAsia="el-GR"/>
        </w:rPr>
        <w:t>е</w:t>
      </w:r>
      <w:r w:rsidR="00CA5936" w:rsidRPr="00FF386D">
        <w:rPr>
          <w:rFonts w:ascii="Calibri Light" w:eastAsia="Times New Roman" w:hAnsi="Calibri Light" w:cs="Arial"/>
          <w:szCs w:val="20"/>
          <w:lang w:eastAsia="el-GR"/>
        </w:rPr>
        <w:t xml:space="preserve"> у подручјима </w:t>
      </w:r>
      <w:r w:rsidR="001A1F41" w:rsidRPr="00FF386D">
        <w:rPr>
          <w:rFonts w:ascii="Calibri Light" w:eastAsia="Times New Roman" w:hAnsi="Calibri Light" w:cs="Arial"/>
          <w:szCs w:val="20"/>
          <w:lang w:eastAsia="el-GR"/>
        </w:rPr>
        <w:t>са</w:t>
      </w:r>
      <w:r w:rsidR="00CA5936" w:rsidRPr="00FF386D">
        <w:rPr>
          <w:rFonts w:ascii="Calibri Light" w:eastAsia="Times New Roman" w:hAnsi="Calibri Light" w:cs="Arial"/>
          <w:szCs w:val="20"/>
          <w:lang w:eastAsia="el-GR"/>
        </w:rPr>
        <w:t xml:space="preserve"> велики</w:t>
      </w:r>
      <w:r w:rsidR="001A1F41" w:rsidRPr="00FF386D">
        <w:rPr>
          <w:rFonts w:ascii="Calibri Light" w:eastAsia="Times New Roman" w:hAnsi="Calibri Light" w:cs="Arial"/>
          <w:szCs w:val="20"/>
          <w:lang w:eastAsia="el-GR"/>
        </w:rPr>
        <w:t>м</w:t>
      </w:r>
      <w:r w:rsidR="00CA5936" w:rsidRPr="00FF386D">
        <w:rPr>
          <w:rFonts w:ascii="Calibri Light" w:eastAsia="Times New Roman" w:hAnsi="Calibri Light" w:cs="Arial"/>
          <w:szCs w:val="20"/>
          <w:lang w:eastAsia="el-GR"/>
        </w:rPr>
        <w:t xml:space="preserve"> утицај</w:t>
      </w:r>
      <w:r w:rsidR="001A1F41" w:rsidRPr="00FF386D">
        <w:rPr>
          <w:rFonts w:ascii="Calibri Light" w:eastAsia="Times New Roman" w:hAnsi="Calibri Light" w:cs="Arial"/>
          <w:szCs w:val="20"/>
          <w:lang w:eastAsia="el-GR"/>
        </w:rPr>
        <w:t>ем</w:t>
      </w:r>
      <w:r w:rsidR="00CA5936" w:rsidRPr="00FF386D">
        <w:rPr>
          <w:rFonts w:ascii="Calibri Light" w:eastAsia="Times New Roman" w:hAnsi="Calibri Light" w:cs="Arial"/>
          <w:szCs w:val="20"/>
          <w:lang w:eastAsia="el-GR"/>
        </w:rPr>
        <w:t xml:space="preserve"> лигнита, </w:t>
      </w:r>
      <w:r w:rsidRPr="00FF386D">
        <w:rPr>
          <w:rFonts w:ascii="Calibri Light" w:eastAsia="Times New Roman" w:hAnsi="Calibri Light" w:cs="Arial"/>
          <w:szCs w:val="20"/>
          <w:lang w:eastAsia="el-GR"/>
        </w:rPr>
        <w:t>док ће</w:t>
      </w:r>
      <w:r w:rsidR="00CA5936" w:rsidRPr="00FF386D">
        <w:rPr>
          <w:rFonts w:ascii="Calibri Light" w:eastAsia="Times New Roman" w:hAnsi="Calibri Light" w:cs="Arial"/>
          <w:szCs w:val="20"/>
          <w:lang w:eastAsia="el-GR"/>
        </w:rPr>
        <w:t xml:space="preserve"> радн</w:t>
      </w:r>
      <w:r w:rsidRPr="00FF386D">
        <w:rPr>
          <w:rFonts w:ascii="Calibri Light" w:eastAsia="Times New Roman" w:hAnsi="Calibri Light" w:cs="Arial"/>
          <w:szCs w:val="20"/>
          <w:lang w:eastAsia="el-GR"/>
        </w:rPr>
        <w:t>а</w:t>
      </w:r>
      <w:r w:rsidR="00CA5936" w:rsidRPr="00FF386D">
        <w:rPr>
          <w:rFonts w:ascii="Calibri Light" w:eastAsia="Times New Roman" w:hAnsi="Calibri Light" w:cs="Arial"/>
          <w:szCs w:val="20"/>
          <w:lang w:eastAsia="el-GR"/>
        </w:rPr>
        <w:t xml:space="preserve"> места везан</w:t>
      </w:r>
      <w:r w:rsidRPr="00FF386D">
        <w:rPr>
          <w:rFonts w:ascii="Calibri Light" w:eastAsia="Times New Roman" w:hAnsi="Calibri Light" w:cs="Arial"/>
          <w:szCs w:val="20"/>
          <w:lang w:eastAsia="el-GR"/>
        </w:rPr>
        <w:t>а</w:t>
      </w:r>
      <w:r w:rsidR="00CA5936" w:rsidRPr="00FF386D">
        <w:rPr>
          <w:rFonts w:ascii="Calibri Light" w:eastAsia="Times New Roman" w:hAnsi="Calibri Light" w:cs="Arial"/>
          <w:szCs w:val="20"/>
          <w:lang w:eastAsia="el-GR"/>
        </w:rPr>
        <w:t xml:space="preserve"> за ветропаркове </w:t>
      </w:r>
      <w:r w:rsidR="0005164A" w:rsidRPr="00FF386D">
        <w:rPr>
          <w:rFonts w:ascii="Calibri Light" w:eastAsia="Times New Roman" w:hAnsi="Calibri Light" w:cs="Arial"/>
          <w:szCs w:val="20"/>
          <w:lang w:eastAsia="el-GR"/>
        </w:rPr>
        <w:t>бити отворена</w:t>
      </w:r>
      <w:r w:rsidR="00CA5936" w:rsidRPr="00FF386D">
        <w:rPr>
          <w:rFonts w:ascii="Calibri Light" w:eastAsia="Times New Roman" w:hAnsi="Calibri Light" w:cs="Arial"/>
          <w:szCs w:val="20"/>
          <w:lang w:eastAsia="el-GR"/>
        </w:rPr>
        <w:t xml:space="preserve"> само у областима у којима постоји велики потенцијал ветра. Такође се очекује да ће се</w:t>
      </w:r>
      <w:r w:rsidR="003648EA" w:rsidRPr="00FF386D">
        <w:rPr>
          <w:rFonts w:ascii="Calibri Light" w:eastAsia="Times New Roman" w:hAnsi="Calibri Light" w:cs="Arial"/>
          <w:szCs w:val="20"/>
          <w:lang w:eastAsia="el-GR"/>
        </w:rPr>
        <w:t xml:space="preserve"> нова</w:t>
      </w:r>
      <w:r w:rsidR="00CA5936" w:rsidRPr="00FF386D">
        <w:rPr>
          <w:rFonts w:ascii="Calibri Light" w:eastAsia="Times New Roman" w:hAnsi="Calibri Light" w:cs="Arial"/>
          <w:szCs w:val="20"/>
          <w:lang w:eastAsia="el-GR"/>
        </w:rPr>
        <w:t xml:space="preserve"> радна места</w:t>
      </w:r>
      <w:r w:rsidR="003648EA" w:rsidRPr="00FF386D">
        <w:rPr>
          <w:rFonts w:ascii="Calibri Light" w:eastAsia="Times New Roman" w:hAnsi="Calibri Light" w:cs="Arial"/>
          <w:szCs w:val="20"/>
          <w:lang w:eastAsia="el-GR"/>
        </w:rPr>
        <w:t xml:space="preserve"> генерално стварати, </w:t>
      </w:r>
      <w:r w:rsidR="00CA5936" w:rsidRPr="00FF386D">
        <w:rPr>
          <w:rFonts w:ascii="Calibri Light" w:eastAsia="Times New Roman" w:hAnsi="Calibri Light" w:cs="Arial"/>
          <w:szCs w:val="20"/>
          <w:lang w:eastAsia="el-GR"/>
        </w:rPr>
        <w:t>а нарочито у регионима лигнита</w:t>
      </w:r>
      <w:r w:rsidR="003648EA" w:rsidRPr="00FF386D">
        <w:rPr>
          <w:rFonts w:ascii="Calibri Light" w:eastAsia="Times New Roman" w:hAnsi="Calibri Light" w:cs="Arial"/>
          <w:szCs w:val="20"/>
          <w:lang w:eastAsia="el-GR"/>
        </w:rPr>
        <w:t xml:space="preserve">, </w:t>
      </w:r>
      <w:r w:rsidR="00CA5936" w:rsidRPr="00FF386D">
        <w:rPr>
          <w:rFonts w:ascii="Calibri Light" w:eastAsia="Times New Roman" w:hAnsi="Calibri Light" w:cs="Arial"/>
          <w:szCs w:val="20"/>
          <w:lang w:eastAsia="el-GR"/>
        </w:rPr>
        <w:t xml:space="preserve">услед сталног </w:t>
      </w:r>
      <w:r w:rsidR="0005164A" w:rsidRPr="00FF386D">
        <w:rPr>
          <w:rFonts w:ascii="Calibri Light" w:eastAsia="Times New Roman" w:hAnsi="Calibri Light" w:cs="Arial"/>
          <w:szCs w:val="20"/>
          <w:lang w:eastAsia="el-GR"/>
        </w:rPr>
        <w:t>ширења</w:t>
      </w:r>
      <w:r w:rsidR="00CA5936" w:rsidRPr="00FF386D">
        <w:rPr>
          <w:rFonts w:ascii="Calibri Light" w:eastAsia="Times New Roman" w:hAnsi="Calibri Light" w:cs="Arial"/>
          <w:szCs w:val="20"/>
          <w:lang w:eastAsia="el-GR"/>
        </w:rPr>
        <w:t xml:space="preserve"> сектора</w:t>
      </w:r>
      <w:r w:rsidR="00BA570A" w:rsidRPr="00FF386D">
        <w:rPr>
          <w:rFonts w:ascii="Calibri Light" w:eastAsia="Times New Roman" w:hAnsi="Calibri Light" w:cs="Arial"/>
          <w:szCs w:val="20"/>
          <w:lang w:eastAsia="el-GR"/>
        </w:rPr>
        <w:t xml:space="preserve"> ОИЕ</w:t>
      </w:r>
      <w:r w:rsidR="00CA5936" w:rsidRPr="00FF386D">
        <w:rPr>
          <w:rFonts w:ascii="Calibri Light" w:eastAsia="Times New Roman" w:hAnsi="Calibri Light" w:cs="Arial"/>
          <w:szCs w:val="20"/>
          <w:lang w:eastAsia="el-GR"/>
        </w:rPr>
        <w:t xml:space="preserve">. Из анализе произлази да </w:t>
      </w:r>
      <w:r w:rsidR="003648EA" w:rsidRPr="00FF386D">
        <w:rPr>
          <w:rFonts w:ascii="Calibri Light" w:eastAsia="Times New Roman" w:hAnsi="Calibri Light" w:cs="Arial"/>
          <w:szCs w:val="20"/>
          <w:lang w:eastAsia="el-GR"/>
        </w:rPr>
        <w:t xml:space="preserve">је могуће да се </w:t>
      </w:r>
      <w:r w:rsidR="00CA5936" w:rsidRPr="00FF386D">
        <w:rPr>
          <w:rFonts w:ascii="Calibri Light" w:eastAsia="Times New Roman" w:hAnsi="Calibri Light" w:cs="Arial"/>
          <w:szCs w:val="20"/>
          <w:lang w:eastAsia="el-GR"/>
        </w:rPr>
        <w:t xml:space="preserve">у региону </w:t>
      </w:r>
      <w:r w:rsidR="003648EA" w:rsidRPr="00FF386D">
        <w:rPr>
          <w:rFonts w:ascii="Calibri Light" w:eastAsia="Times New Roman" w:hAnsi="Calibri Light" w:cs="Arial"/>
          <w:szCs w:val="20"/>
          <w:lang w:eastAsia="el-GR"/>
        </w:rPr>
        <w:t>отвори до</w:t>
      </w:r>
      <w:r w:rsidR="00CA5936" w:rsidRPr="00FF386D">
        <w:rPr>
          <w:rFonts w:ascii="Calibri Light" w:eastAsia="Times New Roman" w:hAnsi="Calibri Light" w:cs="Arial"/>
          <w:szCs w:val="20"/>
          <w:lang w:eastAsia="el-GR"/>
        </w:rPr>
        <w:t xml:space="preserve"> 3300 и 4900 радних места због увођења нових соларних</w:t>
      </w:r>
      <w:r w:rsidR="003648EA" w:rsidRPr="00FF386D">
        <w:rPr>
          <w:rFonts w:ascii="Calibri Light" w:eastAsia="Times New Roman" w:hAnsi="Calibri Light" w:cs="Arial"/>
          <w:szCs w:val="20"/>
          <w:lang w:eastAsia="el-GR"/>
        </w:rPr>
        <w:t xml:space="preserve"> електрана и електрана</w:t>
      </w:r>
      <w:r w:rsidR="00CA5936" w:rsidRPr="00FF386D">
        <w:rPr>
          <w:rFonts w:ascii="Calibri Light" w:eastAsia="Times New Roman" w:hAnsi="Calibri Light" w:cs="Arial"/>
          <w:szCs w:val="20"/>
          <w:lang w:eastAsia="el-GR"/>
        </w:rPr>
        <w:t xml:space="preserve"> на биомасу.</w:t>
      </w:r>
    </w:p>
    <w:p w14:paraId="488A4BD9" w14:textId="7E584EE5" w:rsidR="00CA5936" w:rsidRPr="00FF386D" w:rsidRDefault="00CA5936" w:rsidP="00CA5936">
      <w:pPr>
        <w:widowControl w:val="0"/>
        <w:spacing w:before="120" w:after="120" w:line="240" w:lineRule="auto"/>
        <w:jc w:val="both"/>
        <w:rPr>
          <w:rFonts w:ascii="Calibri Light" w:eastAsia="Times New Roman" w:hAnsi="Calibri Light" w:cs="Calibri Light"/>
          <w:b/>
          <w:bCs/>
          <w:szCs w:val="20"/>
          <w:lang w:eastAsia="el-GR"/>
        </w:rPr>
      </w:pPr>
      <w:r w:rsidRPr="00FF386D">
        <w:rPr>
          <w:rFonts w:ascii="Calibri Light" w:eastAsia="Times New Roman" w:hAnsi="Calibri Light" w:cs="Calibri Light"/>
          <w:szCs w:val="20"/>
          <w:lang w:eastAsia="el-GR"/>
        </w:rPr>
        <w:t xml:space="preserve">Сценарио </w:t>
      </w:r>
      <w:r w:rsidRPr="00FF386D">
        <w:rPr>
          <w:rFonts w:ascii="Calibri Light" w:eastAsia="Times New Roman" w:hAnsi="Calibri Light" w:cs="Calibri Light"/>
          <w:i/>
          <w:szCs w:val="20"/>
          <w:lang w:eastAsia="el-GR"/>
        </w:rPr>
        <w:t>S</w:t>
      </w:r>
      <w:r w:rsidRPr="00FF386D">
        <w:rPr>
          <w:rFonts w:ascii="Calibri Light" w:eastAsia="Times New Roman" w:hAnsi="Calibri Light" w:cs="Calibri Light"/>
          <w:szCs w:val="20"/>
          <w:lang w:eastAsia="el-GR"/>
        </w:rPr>
        <w:t xml:space="preserve"> ће такође утицати на просечну цену производње (снабдевања електричном енергијом) која укључује гориво, варијабилне и фиксне оперативне трошкове плус годишње инвестиционе трошкове </w:t>
      </w:r>
      <w:r w:rsidR="003648EA" w:rsidRPr="00FF386D">
        <w:rPr>
          <w:rFonts w:ascii="Calibri Light" w:eastAsia="Times New Roman" w:hAnsi="Calibri Light" w:cs="Calibri Light"/>
          <w:szCs w:val="20"/>
          <w:lang w:eastAsia="el-GR"/>
        </w:rPr>
        <w:t xml:space="preserve">само </w:t>
      </w:r>
      <w:r w:rsidRPr="00FF386D">
        <w:rPr>
          <w:rFonts w:ascii="Calibri Light" w:eastAsia="Times New Roman" w:hAnsi="Calibri Light" w:cs="Calibri Light"/>
          <w:szCs w:val="20"/>
          <w:lang w:eastAsia="el-GR"/>
        </w:rPr>
        <w:t xml:space="preserve">нових улагања (након 2016. године). Овај утицај је приказан на </w:t>
      </w:r>
      <w:r w:rsidR="00E8583E">
        <w:rPr>
          <w:rFonts w:ascii="Calibri Light" w:eastAsia="Times New Roman" w:hAnsi="Calibri Light" w:cs="Calibri Light"/>
          <w:szCs w:val="20"/>
          <w:lang w:eastAsia="el-GR"/>
        </w:rPr>
        <w:fldChar w:fldCharType="begin"/>
      </w:r>
      <w:r w:rsidR="00E8583E">
        <w:rPr>
          <w:rFonts w:ascii="Calibri Light" w:eastAsia="Times New Roman" w:hAnsi="Calibri Light" w:cs="Calibri Light"/>
          <w:szCs w:val="20"/>
          <w:lang w:eastAsia="el-GR"/>
        </w:rPr>
        <w:instrText xml:space="preserve"> REF _Ref153896554 \h  \* MERGEFORMAT </w:instrText>
      </w:r>
      <w:r w:rsidR="00E8583E">
        <w:rPr>
          <w:rFonts w:ascii="Calibri Light" w:eastAsia="Times New Roman" w:hAnsi="Calibri Light" w:cs="Calibri Light"/>
          <w:szCs w:val="20"/>
          <w:lang w:eastAsia="el-GR"/>
        </w:rPr>
      </w:r>
      <w:r w:rsidR="00E8583E">
        <w:rPr>
          <w:rFonts w:ascii="Calibri Light" w:eastAsia="Times New Roman" w:hAnsi="Calibri Light" w:cs="Calibri Light"/>
          <w:szCs w:val="20"/>
          <w:lang w:eastAsia="el-GR"/>
        </w:rPr>
        <w:fldChar w:fldCharType="separate"/>
      </w:r>
      <w:r w:rsidR="00E8583E" w:rsidRPr="00565B02">
        <w:rPr>
          <w:rFonts w:ascii="Calibri Light" w:eastAsia="Times New Roman" w:hAnsi="Calibri Light" w:cs="Calibri Light"/>
          <w:szCs w:val="20"/>
          <w:lang w:eastAsia="el-GR"/>
        </w:rPr>
        <w:t>слици 5.47</w:t>
      </w:r>
      <w:r w:rsidR="00E8583E">
        <w:rPr>
          <w:rFonts w:ascii="Calibri Light" w:eastAsia="Times New Roman" w:hAnsi="Calibri Light" w:cs="Calibri Light"/>
          <w:szCs w:val="20"/>
          <w:lang w:eastAsia="el-GR"/>
        </w:rPr>
        <w:fldChar w:fldCharType="end"/>
      </w:r>
      <w:r w:rsidR="00E8583E">
        <w:rPr>
          <w:rFonts w:ascii="Calibri Light" w:eastAsia="Times New Roman" w:hAnsi="Calibri Light" w:cs="Calibri Light"/>
          <w:szCs w:val="20"/>
          <w:lang w:eastAsia="el-GR"/>
        </w:rPr>
        <w:t xml:space="preserve"> </w:t>
      </w:r>
      <w:r w:rsidRPr="00FF386D">
        <w:rPr>
          <w:rFonts w:ascii="Calibri Light" w:eastAsia="Times New Roman" w:hAnsi="Calibri Light" w:cs="Calibri Light"/>
          <w:szCs w:val="20"/>
          <w:lang w:eastAsia="el-GR"/>
        </w:rPr>
        <w:t xml:space="preserve">и може се видети да ће сценарио </w:t>
      </w:r>
      <w:r w:rsidRPr="00FF386D">
        <w:rPr>
          <w:rFonts w:ascii="Calibri Light" w:eastAsia="Times New Roman" w:hAnsi="Calibri Light" w:cs="Calibri Light"/>
          <w:i/>
          <w:szCs w:val="20"/>
          <w:lang w:eastAsia="el-GR"/>
        </w:rPr>
        <w:t>S</w:t>
      </w:r>
      <w:r w:rsidRPr="00FF386D">
        <w:rPr>
          <w:rFonts w:ascii="Calibri Light" w:eastAsia="Times New Roman" w:hAnsi="Calibri Light" w:cs="Calibri Light"/>
          <w:szCs w:val="20"/>
          <w:lang w:eastAsia="el-GR"/>
        </w:rPr>
        <w:t xml:space="preserve"> </w:t>
      </w:r>
      <w:r w:rsidR="003648EA" w:rsidRPr="00FF386D">
        <w:rPr>
          <w:rFonts w:ascii="Calibri Light" w:eastAsia="Times New Roman" w:hAnsi="Calibri Light" w:cs="Calibri Light"/>
          <w:szCs w:val="20"/>
          <w:lang w:eastAsia="el-GR"/>
        </w:rPr>
        <w:t>посебно</w:t>
      </w:r>
      <w:r w:rsidRPr="00FF386D">
        <w:rPr>
          <w:rFonts w:ascii="Calibri Light" w:eastAsia="Times New Roman" w:hAnsi="Calibri Light" w:cs="Calibri Light"/>
          <w:szCs w:val="20"/>
          <w:lang w:eastAsia="el-GR"/>
        </w:rPr>
        <w:t xml:space="preserve"> довести до свеукупног повећања трошкова до 2050. године. Важно је да се напомене </w:t>
      </w:r>
      <w:r w:rsidRPr="00565B02">
        <w:rPr>
          <w:rFonts w:ascii="Calibri Light" w:eastAsia="Times New Roman" w:hAnsi="Calibri Light" w:cs="Calibri Light"/>
          <w:bCs/>
          <w:szCs w:val="20"/>
          <w:lang w:eastAsia="el-GR"/>
        </w:rPr>
        <w:t>да просечна цена снабдевања електричном енергијом није еквивалентна велепродајним ценама електричне енергије</w:t>
      </w:r>
      <w:r w:rsidRPr="00E8583E">
        <w:rPr>
          <w:rFonts w:ascii="Calibri Light" w:eastAsia="Times New Roman" w:hAnsi="Calibri Light" w:cs="Calibri Light"/>
          <w:bCs/>
          <w:szCs w:val="20"/>
          <w:lang w:eastAsia="el-GR"/>
        </w:rPr>
        <w:t>.</w:t>
      </w:r>
    </w:p>
    <w:p w14:paraId="5DA6D060" w14:textId="09556F9D" w:rsidR="00E8583E" w:rsidRDefault="00E8583E" w:rsidP="00565B02">
      <w:pPr>
        <w:pStyle w:val="Caption"/>
        <w:keepNext/>
      </w:pPr>
      <w:bookmarkStart w:id="451" w:name="_Ref153896554"/>
      <w:bookmarkStart w:id="452" w:name="_Toc153901459"/>
      <w:r>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47</w:t>
      </w:r>
      <w:r w:rsidR="00F35B2C">
        <w:fldChar w:fldCharType="end"/>
      </w:r>
      <w:bookmarkEnd w:id="451"/>
      <w:r>
        <w:t xml:space="preserve">: </w:t>
      </w:r>
      <w:r w:rsidRPr="00E8583E">
        <w:t>Кретање просечне цене снабдевања електричном енергијом у сценарију S</w:t>
      </w:r>
      <w:bookmarkEnd w:id="452"/>
    </w:p>
    <w:p w14:paraId="0BED9690" w14:textId="77777777" w:rsidR="00CA5936" w:rsidRPr="00FF386D" w:rsidRDefault="00CA5936" w:rsidP="00565B02">
      <w:pPr>
        <w:widowControl w:val="0"/>
        <w:spacing w:before="120" w:after="120" w:line="240" w:lineRule="auto"/>
        <w:jc w:val="center"/>
        <w:rPr>
          <w:rFonts w:ascii="Calibri Light" w:eastAsia="Times New Roman" w:hAnsi="Calibri Light" w:cs="Calibri Light"/>
          <w:szCs w:val="20"/>
          <w:highlight w:val="green"/>
          <w:lang w:eastAsia="el-GR"/>
        </w:rPr>
      </w:pPr>
      <w:r w:rsidRPr="00565B02">
        <w:rPr>
          <w:rFonts w:ascii="Calibri Light" w:eastAsia="Times New Roman" w:hAnsi="Calibri Light" w:cs="Calibri Light"/>
          <w:noProof/>
          <w:szCs w:val="20"/>
          <w:lang w:val="en-US"/>
        </w:rPr>
        <w:drawing>
          <wp:inline distT="0" distB="0" distL="0" distR="0" wp14:anchorId="41D648DD" wp14:editId="54B613D6">
            <wp:extent cx="3426460" cy="1999615"/>
            <wp:effectExtent l="0" t="0" r="2540" b="635"/>
            <wp:docPr id="27" name="Picture 27" descr="A picture containing text, screenshot, fo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screenshot, font, number&#10;&#10;Description automatically generated"/>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426460" cy="1999615"/>
                    </a:xfrm>
                    <a:prstGeom prst="rect">
                      <a:avLst/>
                    </a:prstGeom>
                    <a:noFill/>
                  </pic:spPr>
                </pic:pic>
              </a:graphicData>
            </a:graphic>
          </wp:inline>
        </w:drawing>
      </w:r>
    </w:p>
    <w:p w14:paraId="3B4C753F" w14:textId="77777777" w:rsidR="00CA5936" w:rsidRPr="00565B02" w:rsidRDefault="00CA5936" w:rsidP="00F83802">
      <w:pPr>
        <w:pStyle w:val="Heading2"/>
        <w:rPr>
          <w:lang w:val="sr-Cyrl-RS"/>
        </w:rPr>
      </w:pPr>
      <w:bookmarkStart w:id="453" w:name="_Toc153901561"/>
      <w:bookmarkStart w:id="454" w:name="_Toc115351884"/>
      <w:bookmarkStart w:id="455" w:name="_Toc137457038"/>
      <w:bookmarkStart w:id="456" w:name="_Toc153901562"/>
      <w:bookmarkEnd w:id="453"/>
      <w:r w:rsidRPr="00565B02">
        <w:rPr>
          <w:lang w:val="sr-Cyrl-RS"/>
        </w:rPr>
        <w:t>Преглед инвестиционих потреба</w:t>
      </w:r>
      <w:bookmarkEnd w:id="454"/>
      <w:bookmarkEnd w:id="455"/>
      <w:bookmarkEnd w:id="456"/>
    </w:p>
    <w:p w14:paraId="02F822CA" w14:textId="2FCBB87F" w:rsidR="00BA4E41" w:rsidRDefault="00055757" w:rsidP="00CA5936">
      <w:pPr>
        <w:widowControl w:val="0"/>
        <w:spacing w:after="120" w:line="240" w:lineRule="auto"/>
        <w:jc w:val="both"/>
        <w:rPr>
          <w:rFonts w:ascii="Calibri Light" w:eastAsia="Times New Roman" w:hAnsi="Calibri Light" w:cs="Calibri Light"/>
          <w:szCs w:val="20"/>
          <w:lang w:eastAsia="el-GR"/>
        </w:rPr>
      </w:pPr>
      <w:r w:rsidRPr="00FF386D">
        <w:rPr>
          <w:rFonts w:ascii="Calibri Light" w:eastAsia="Times New Roman" w:hAnsi="Calibri Light" w:cs="Calibri Light"/>
          <w:szCs w:val="20"/>
          <w:lang w:eastAsia="el-GR"/>
        </w:rPr>
        <w:t>ИН</w:t>
      </w:r>
      <w:r w:rsidR="00CA5936" w:rsidRPr="00FF386D">
        <w:rPr>
          <w:rFonts w:ascii="Calibri Light" w:eastAsia="Times New Roman" w:hAnsi="Calibri Light" w:cs="Calibri Light"/>
          <w:szCs w:val="20"/>
          <w:lang w:eastAsia="el-GR"/>
        </w:rPr>
        <w:t xml:space="preserve">ЕKП </w:t>
      </w:r>
      <w:r w:rsidRPr="00FF386D">
        <w:rPr>
          <w:rFonts w:ascii="Calibri Light" w:eastAsia="Times New Roman" w:hAnsi="Calibri Light" w:cs="Calibri Light"/>
          <w:szCs w:val="20"/>
          <w:lang w:eastAsia="el-GR"/>
        </w:rPr>
        <w:t xml:space="preserve">за Србију </w:t>
      </w:r>
      <w:r w:rsidR="000C7DCF" w:rsidRPr="00FF386D">
        <w:rPr>
          <w:rFonts w:ascii="Calibri Light" w:eastAsia="Times New Roman" w:hAnsi="Calibri Light" w:cs="Calibri Light"/>
          <w:szCs w:val="20"/>
          <w:lang w:eastAsia="el-GR"/>
        </w:rPr>
        <w:t>обухвата</w:t>
      </w:r>
      <w:r w:rsidR="00CA5936" w:rsidRPr="00FF386D">
        <w:rPr>
          <w:rFonts w:ascii="Calibri Light" w:eastAsia="Times New Roman" w:hAnsi="Calibri Light" w:cs="Calibri Light"/>
          <w:szCs w:val="20"/>
          <w:lang w:eastAsia="el-GR"/>
        </w:rPr>
        <w:t xml:space="preserve"> значајне напоре </w:t>
      </w:r>
      <w:r w:rsidR="00370BF3" w:rsidRPr="00FF386D">
        <w:rPr>
          <w:rFonts w:ascii="Calibri Light" w:eastAsia="Times New Roman" w:hAnsi="Calibri Light" w:cs="Calibri Light"/>
          <w:szCs w:val="20"/>
          <w:lang w:eastAsia="el-GR"/>
        </w:rPr>
        <w:t>у погледу</w:t>
      </w:r>
      <w:r w:rsidR="00CA5936" w:rsidRPr="00FF386D">
        <w:rPr>
          <w:rFonts w:ascii="Calibri Light" w:eastAsia="Times New Roman" w:hAnsi="Calibri Light" w:cs="Calibri Light"/>
          <w:szCs w:val="20"/>
          <w:lang w:eastAsia="el-GR"/>
        </w:rPr>
        <w:t xml:space="preserve"> декарбонизациј</w:t>
      </w:r>
      <w:r w:rsidR="00370BF3" w:rsidRPr="00FF386D">
        <w:rPr>
          <w:rFonts w:ascii="Calibri Light" w:eastAsia="Times New Roman" w:hAnsi="Calibri Light" w:cs="Calibri Light"/>
          <w:szCs w:val="20"/>
          <w:lang w:eastAsia="el-GR"/>
        </w:rPr>
        <w:t>е</w:t>
      </w:r>
      <w:r w:rsidR="00CA5936" w:rsidRPr="00FF386D">
        <w:rPr>
          <w:rFonts w:ascii="Calibri Light" w:eastAsia="Times New Roman" w:hAnsi="Calibri Light" w:cs="Calibri Light"/>
          <w:szCs w:val="20"/>
          <w:lang w:eastAsia="el-GR"/>
        </w:rPr>
        <w:t xml:space="preserve"> енергетског сектора, </w:t>
      </w:r>
      <w:r w:rsidR="006905A9" w:rsidRPr="00FF386D">
        <w:rPr>
          <w:rFonts w:ascii="Calibri Light" w:eastAsia="Times New Roman" w:hAnsi="Calibri Light" w:cs="Calibri Light"/>
          <w:szCs w:val="20"/>
          <w:lang w:eastAsia="el-GR"/>
        </w:rPr>
        <w:t>што</w:t>
      </w:r>
      <w:r w:rsidR="00CA5936" w:rsidRPr="00FF386D">
        <w:rPr>
          <w:rFonts w:ascii="Calibri Light" w:eastAsia="Times New Roman" w:hAnsi="Calibri Light" w:cs="Calibri Light"/>
          <w:szCs w:val="20"/>
          <w:lang w:eastAsia="el-GR"/>
        </w:rPr>
        <w:t xml:space="preserve"> очекивано, подразумева и високе трошкове. Укупне инвестиционе потребе (</w:t>
      </w:r>
      <w:r w:rsidR="000C7DCF" w:rsidRPr="000A2AFE">
        <w:rPr>
          <w:rFonts w:ascii="Calibri Light" w:eastAsia="Times New Roman" w:hAnsi="Calibri Light" w:cs="Calibri Light"/>
          <w:i/>
          <w:iCs/>
          <w:szCs w:val="20"/>
          <w:lang w:eastAsia="el-GR"/>
        </w:rPr>
        <w:t>CAPEX</w:t>
      </w:r>
      <w:r w:rsidR="00CA5936" w:rsidRPr="000A2AFE">
        <w:rPr>
          <w:rFonts w:ascii="Calibri Light" w:eastAsia="Times New Roman" w:hAnsi="Calibri Light" w:cs="Calibri Light"/>
          <w:i/>
          <w:iCs/>
          <w:szCs w:val="20"/>
          <w:lang w:eastAsia="el-GR"/>
        </w:rPr>
        <w:t xml:space="preserve"> </w:t>
      </w:r>
      <w:r w:rsidR="00370BF3" w:rsidRPr="00FF386D">
        <w:rPr>
          <w:rFonts w:ascii="Calibri Light" w:eastAsia="Times New Roman" w:hAnsi="Calibri Light" w:cs="Calibri Light"/>
          <w:szCs w:val="20"/>
          <w:lang w:eastAsia="el-GR"/>
        </w:rPr>
        <w:t xml:space="preserve">у </w:t>
      </w:r>
      <w:r w:rsidR="00CA5936" w:rsidRPr="00FF386D">
        <w:rPr>
          <w:rFonts w:ascii="Calibri Light" w:eastAsia="Times New Roman" w:hAnsi="Calibri Light" w:cs="Calibri Light"/>
          <w:szCs w:val="20"/>
          <w:lang w:eastAsia="el-GR"/>
        </w:rPr>
        <w:t>јавно</w:t>
      </w:r>
      <w:r w:rsidR="00370BF3" w:rsidRPr="00FF386D">
        <w:rPr>
          <w:rFonts w:ascii="Calibri Light" w:eastAsia="Times New Roman" w:hAnsi="Calibri Light" w:cs="Calibri Light"/>
          <w:szCs w:val="20"/>
          <w:lang w:eastAsia="el-GR"/>
        </w:rPr>
        <w:t>м</w:t>
      </w:r>
      <w:r w:rsidR="00CA5936" w:rsidRPr="00FF386D">
        <w:rPr>
          <w:rFonts w:ascii="Calibri Light" w:eastAsia="Times New Roman" w:hAnsi="Calibri Light" w:cs="Calibri Light"/>
          <w:szCs w:val="20"/>
          <w:lang w:eastAsia="el-GR"/>
        </w:rPr>
        <w:t xml:space="preserve"> </w:t>
      </w:r>
      <w:r w:rsidRPr="00FF386D">
        <w:rPr>
          <w:rFonts w:ascii="Calibri Light" w:eastAsia="Times New Roman" w:hAnsi="Calibri Light" w:cs="Calibri Light"/>
          <w:szCs w:val="20"/>
          <w:lang w:eastAsia="el-GR"/>
        </w:rPr>
        <w:t>сектор</w:t>
      </w:r>
      <w:r w:rsidR="00370BF3" w:rsidRPr="00FF386D">
        <w:rPr>
          <w:rFonts w:ascii="Calibri Light" w:eastAsia="Times New Roman" w:hAnsi="Calibri Light" w:cs="Calibri Light"/>
          <w:szCs w:val="20"/>
          <w:lang w:eastAsia="el-GR"/>
        </w:rPr>
        <w:t>у</w:t>
      </w:r>
      <w:r w:rsidRPr="00FF386D">
        <w:rPr>
          <w:rFonts w:ascii="Calibri Light" w:eastAsia="Times New Roman" w:hAnsi="Calibri Light" w:cs="Calibri Light"/>
          <w:szCs w:val="20"/>
          <w:lang w:eastAsia="el-GR"/>
        </w:rPr>
        <w:t xml:space="preserve"> </w:t>
      </w:r>
      <w:r w:rsidR="00CA5936" w:rsidRPr="00FF386D">
        <w:rPr>
          <w:rFonts w:ascii="Calibri Light" w:eastAsia="Times New Roman" w:hAnsi="Calibri Light" w:cs="Calibri Light"/>
          <w:szCs w:val="20"/>
          <w:lang w:eastAsia="el-GR"/>
        </w:rPr>
        <w:t xml:space="preserve">и </w:t>
      </w:r>
      <w:r w:rsidRPr="00FF386D">
        <w:rPr>
          <w:rFonts w:ascii="Calibri Light" w:eastAsia="Times New Roman" w:hAnsi="Calibri Light" w:cs="Calibri Light"/>
          <w:szCs w:val="20"/>
          <w:lang w:eastAsia="el-GR"/>
        </w:rPr>
        <w:t>сопствен</w:t>
      </w:r>
      <w:r w:rsidR="00370BF3" w:rsidRPr="00FF386D">
        <w:rPr>
          <w:rFonts w:ascii="Calibri Light" w:eastAsia="Times New Roman" w:hAnsi="Calibri Light" w:cs="Calibri Light"/>
          <w:szCs w:val="20"/>
          <w:lang w:eastAsia="el-GR"/>
        </w:rPr>
        <w:t>а</w:t>
      </w:r>
      <w:r w:rsidRPr="00FF386D">
        <w:rPr>
          <w:rFonts w:ascii="Calibri Light" w:eastAsia="Times New Roman" w:hAnsi="Calibri Light" w:cs="Calibri Light"/>
          <w:szCs w:val="20"/>
          <w:lang w:eastAsia="el-GR"/>
        </w:rPr>
        <w:t xml:space="preserve"> средстава</w:t>
      </w:r>
      <w:r w:rsidR="00CA5936" w:rsidRPr="00FF386D">
        <w:rPr>
          <w:rFonts w:ascii="Calibri Light" w:eastAsia="Times New Roman" w:hAnsi="Calibri Light" w:cs="Calibri Light"/>
          <w:szCs w:val="20"/>
          <w:lang w:eastAsia="el-GR"/>
        </w:rPr>
        <w:t xml:space="preserve">) </w:t>
      </w:r>
      <w:r w:rsidR="00370BF3" w:rsidRPr="00FF386D">
        <w:rPr>
          <w:rFonts w:ascii="Calibri Light" w:eastAsia="Times New Roman" w:hAnsi="Calibri Light" w:cs="Calibri Light"/>
          <w:szCs w:val="20"/>
          <w:lang w:eastAsia="el-GR"/>
        </w:rPr>
        <w:t>обухваћене</w:t>
      </w:r>
      <w:r w:rsidR="00CA5936" w:rsidRPr="00FF386D">
        <w:rPr>
          <w:rFonts w:ascii="Calibri Light" w:eastAsia="Times New Roman" w:hAnsi="Calibri Light" w:cs="Calibri Light"/>
          <w:szCs w:val="20"/>
          <w:lang w:eastAsia="el-GR"/>
        </w:rPr>
        <w:t xml:space="preserve"> у </w:t>
      </w:r>
      <w:r w:rsidR="00F66819">
        <w:rPr>
          <w:rFonts w:ascii="Calibri Light" w:eastAsia="Times New Roman" w:hAnsi="Calibri Light" w:cs="Calibri Light"/>
          <w:szCs w:val="20"/>
          <w:lang w:eastAsia="el-GR"/>
        </w:rPr>
        <w:t xml:space="preserve">оквиру </w:t>
      </w:r>
      <w:r w:rsidR="00CA5936" w:rsidRPr="00FF386D">
        <w:rPr>
          <w:rFonts w:ascii="Calibri Light" w:eastAsia="Times New Roman" w:hAnsi="Calibri Light" w:cs="Calibri Light"/>
          <w:szCs w:val="20"/>
          <w:lang w:eastAsia="el-GR"/>
        </w:rPr>
        <w:t>додатни</w:t>
      </w:r>
      <w:r w:rsidR="00F66819">
        <w:rPr>
          <w:rFonts w:ascii="Calibri Light" w:eastAsia="Times New Roman" w:hAnsi="Calibri Light" w:cs="Calibri Light"/>
          <w:szCs w:val="20"/>
          <w:lang w:eastAsia="el-GR"/>
        </w:rPr>
        <w:t>х</w:t>
      </w:r>
      <w:r w:rsidR="00CA5936" w:rsidRPr="00FF386D">
        <w:rPr>
          <w:rFonts w:ascii="Calibri Light" w:eastAsia="Times New Roman" w:hAnsi="Calibri Light" w:cs="Calibri Light"/>
          <w:szCs w:val="20"/>
          <w:lang w:eastAsia="el-GR"/>
        </w:rPr>
        <w:t xml:space="preserve"> </w:t>
      </w:r>
      <w:r w:rsidR="00F66819">
        <w:rPr>
          <w:rFonts w:ascii="Calibri Light" w:eastAsia="Times New Roman" w:hAnsi="Calibri Light" w:cs="Calibri Light"/>
          <w:szCs w:val="20"/>
          <w:lang w:eastAsia="el-GR"/>
        </w:rPr>
        <w:t>трошкова Сценарија</w:t>
      </w:r>
      <w:r w:rsidR="003D0AC8">
        <w:rPr>
          <w:rFonts w:ascii="Calibri Light" w:eastAsia="Times New Roman" w:hAnsi="Calibri Light" w:cs="Calibri Light"/>
          <w:szCs w:val="20"/>
          <w:lang w:eastAsia="el-GR"/>
        </w:rPr>
        <w:t xml:space="preserve"> </w:t>
      </w:r>
      <w:r w:rsidR="00CA5936" w:rsidRPr="00FF386D">
        <w:rPr>
          <w:rFonts w:ascii="Calibri Light" w:eastAsia="Times New Roman" w:hAnsi="Calibri Light" w:cs="Calibri Light"/>
          <w:i/>
          <w:iCs/>
          <w:szCs w:val="20"/>
          <w:lang w:eastAsia="el-GR"/>
        </w:rPr>
        <w:t>WAM</w:t>
      </w:r>
      <w:r w:rsidR="00CA5936" w:rsidRPr="00FF386D">
        <w:rPr>
          <w:rFonts w:ascii="Calibri Light" w:eastAsia="Times New Roman" w:hAnsi="Calibri Light" w:cs="Calibri Light"/>
          <w:szCs w:val="20"/>
          <w:lang w:eastAsia="el-GR"/>
        </w:rPr>
        <w:t xml:space="preserve"> износе приближно </w:t>
      </w:r>
      <w:r w:rsidR="00BA4E41">
        <w:rPr>
          <w:rFonts w:ascii="Calibri Light" w:eastAsia="Times New Roman" w:hAnsi="Calibri Light" w:cs="Calibri Light"/>
          <w:szCs w:val="20"/>
          <w:lang w:val="sr-Latn-RS" w:eastAsia="el-GR"/>
        </w:rPr>
        <w:t>1</w:t>
      </w:r>
      <w:r w:rsidR="00113873">
        <w:rPr>
          <w:rFonts w:ascii="Calibri Light" w:eastAsia="Times New Roman" w:hAnsi="Calibri Light" w:cs="Calibri Light"/>
          <w:szCs w:val="20"/>
          <w:lang w:eastAsia="el-GR"/>
        </w:rPr>
        <w:t>3,79</w:t>
      </w:r>
      <w:r w:rsidR="00BA4E41">
        <w:rPr>
          <w:rFonts w:ascii="Calibri Light" w:eastAsia="Times New Roman" w:hAnsi="Calibri Light" w:cs="Calibri Light"/>
          <w:szCs w:val="20"/>
          <w:lang w:val="sr-Latn-RS" w:eastAsia="el-GR"/>
        </w:rPr>
        <w:t xml:space="preserve"> </w:t>
      </w:r>
      <w:r w:rsidR="00BA4E41">
        <w:rPr>
          <w:rFonts w:ascii="Calibri Light" w:eastAsia="Times New Roman" w:hAnsi="Calibri Light" w:cs="Calibri Light"/>
          <w:szCs w:val="20"/>
          <w:lang w:eastAsia="el-GR"/>
        </w:rPr>
        <w:t xml:space="preserve">милијарди евра, док су укупне инвестиције </w:t>
      </w:r>
      <w:r w:rsidR="00BA4E41" w:rsidRPr="00BA4E41">
        <w:rPr>
          <w:rFonts w:ascii="Calibri Light" w:eastAsia="Times New Roman" w:hAnsi="Calibri Light" w:cs="Calibri Light"/>
          <w:szCs w:val="20"/>
          <w:lang w:eastAsia="el-GR"/>
        </w:rPr>
        <w:t xml:space="preserve">обухваћене у сценарију са </w:t>
      </w:r>
      <w:r w:rsidR="00BA4E41">
        <w:rPr>
          <w:rFonts w:ascii="Calibri Light" w:eastAsia="Times New Roman" w:hAnsi="Calibri Light" w:cs="Calibri Light"/>
          <w:szCs w:val="20"/>
          <w:lang w:eastAsia="el-GR"/>
        </w:rPr>
        <w:t>постојећим</w:t>
      </w:r>
      <w:r w:rsidR="00BA4E41" w:rsidRPr="00BA4E41">
        <w:rPr>
          <w:rFonts w:ascii="Calibri Light" w:eastAsia="Times New Roman" w:hAnsi="Calibri Light" w:cs="Calibri Light"/>
          <w:szCs w:val="20"/>
          <w:lang w:eastAsia="el-GR"/>
        </w:rPr>
        <w:t xml:space="preserve"> мерама (</w:t>
      </w:r>
      <w:r w:rsidR="00BA4E41" w:rsidRPr="000A2AFE">
        <w:rPr>
          <w:rFonts w:ascii="Calibri Light" w:eastAsia="Times New Roman" w:hAnsi="Calibri Light" w:cs="Calibri Light"/>
          <w:i/>
          <w:iCs/>
          <w:szCs w:val="20"/>
          <w:lang w:val="sr-Latn-RS" w:eastAsia="el-GR"/>
        </w:rPr>
        <w:t>WEM</w:t>
      </w:r>
      <w:r w:rsidR="00BA4E41">
        <w:rPr>
          <w:rFonts w:ascii="Calibri Light" w:eastAsia="Times New Roman" w:hAnsi="Calibri Light" w:cs="Calibri Light"/>
          <w:szCs w:val="20"/>
          <w:lang w:eastAsia="el-GR"/>
        </w:rPr>
        <w:t>)</w:t>
      </w:r>
      <w:r w:rsidR="00BA4E41">
        <w:rPr>
          <w:rFonts w:ascii="Calibri Light" w:eastAsia="Times New Roman" w:hAnsi="Calibri Light" w:cs="Calibri Light"/>
          <w:szCs w:val="20"/>
          <w:lang w:val="sr-Latn-RS" w:eastAsia="el-GR"/>
        </w:rPr>
        <w:t xml:space="preserve"> </w:t>
      </w:r>
      <w:r w:rsidR="00BA4E41">
        <w:rPr>
          <w:rFonts w:ascii="Calibri Light" w:eastAsia="Times New Roman" w:hAnsi="Calibri Light" w:cs="Calibri Light"/>
          <w:szCs w:val="20"/>
          <w:lang w:eastAsia="el-GR"/>
        </w:rPr>
        <w:t>16,</w:t>
      </w:r>
      <w:r w:rsidR="00113873">
        <w:rPr>
          <w:rFonts w:ascii="Calibri Light" w:eastAsia="Times New Roman" w:hAnsi="Calibri Light" w:cs="Calibri Light"/>
          <w:szCs w:val="20"/>
          <w:lang w:eastAsia="el-GR"/>
        </w:rPr>
        <w:t>7</w:t>
      </w:r>
      <w:r w:rsidR="004756D7">
        <w:rPr>
          <w:rFonts w:ascii="Calibri Light" w:eastAsia="Times New Roman" w:hAnsi="Calibri Light" w:cs="Calibri Light"/>
          <w:szCs w:val="20"/>
          <w:lang w:eastAsia="el-GR"/>
        </w:rPr>
        <w:t>6</w:t>
      </w:r>
      <w:r w:rsidR="00BA4E41" w:rsidRPr="00BA4E41">
        <w:t xml:space="preserve"> </w:t>
      </w:r>
      <w:r w:rsidR="00BA4E41" w:rsidRPr="00BA4E41">
        <w:rPr>
          <w:rFonts w:ascii="Calibri Light" w:eastAsia="Times New Roman" w:hAnsi="Calibri Light" w:cs="Calibri Light"/>
          <w:szCs w:val="20"/>
          <w:lang w:eastAsia="el-GR"/>
        </w:rPr>
        <w:t>милијарди евра</w:t>
      </w:r>
      <w:r w:rsidR="00BA4E41" w:rsidRPr="00BA4E41" w:rsidDel="00BA4E41">
        <w:rPr>
          <w:rFonts w:ascii="Calibri Light" w:eastAsia="Times New Roman" w:hAnsi="Calibri Light" w:cs="Calibri Light"/>
          <w:szCs w:val="20"/>
          <w:lang w:eastAsia="el-GR"/>
        </w:rPr>
        <w:t xml:space="preserve"> </w:t>
      </w:r>
      <w:r w:rsidR="00BA4E41">
        <w:rPr>
          <w:rFonts w:ascii="Calibri Light" w:eastAsia="Times New Roman" w:hAnsi="Calibri Light" w:cs="Calibri Light"/>
          <w:szCs w:val="20"/>
          <w:lang w:eastAsia="el-GR"/>
        </w:rPr>
        <w:t xml:space="preserve">до 2030. године. Потребно је нагласити да је имплементацију ИНЕКП-а могуће остварити применом додатних мера како је предвиђено у </w:t>
      </w:r>
      <w:r w:rsidR="00BA4E41" w:rsidRPr="00FF386D">
        <w:rPr>
          <w:rFonts w:ascii="Calibri Light" w:eastAsia="Times New Roman" w:hAnsi="Calibri Light" w:cs="Calibri Light"/>
          <w:i/>
          <w:iCs/>
          <w:szCs w:val="20"/>
          <w:lang w:eastAsia="el-GR"/>
        </w:rPr>
        <w:t>WAM</w:t>
      </w:r>
      <w:r w:rsidR="00BA4E41" w:rsidRPr="00FF386D" w:rsidDel="00BA4E41">
        <w:rPr>
          <w:rFonts w:ascii="Calibri Light" w:eastAsia="Times New Roman" w:hAnsi="Calibri Light" w:cs="Calibri Light"/>
          <w:szCs w:val="20"/>
          <w:lang w:eastAsia="el-GR"/>
        </w:rPr>
        <w:t xml:space="preserve"> </w:t>
      </w:r>
      <w:r w:rsidR="00BA4E41">
        <w:rPr>
          <w:rFonts w:ascii="Calibri Light" w:eastAsia="Times New Roman" w:hAnsi="Calibri Light" w:cs="Calibri Light"/>
          <w:szCs w:val="20"/>
          <w:lang w:eastAsia="el-GR"/>
        </w:rPr>
        <w:t xml:space="preserve">сценарију, које </w:t>
      </w:r>
      <w:r w:rsidR="00F66819">
        <w:rPr>
          <w:rFonts w:ascii="Calibri Light" w:eastAsia="Times New Roman" w:hAnsi="Calibri Light" w:cs="Calibri Light"/>
          <w:szCs w:val="20"/>
          <w:lang w:eastAsia="el-GR"/>
        </w:rPr>
        <w:t>допуњавају</w:t>
      </w:r>
      <w:r w:rsidR="00BA4E41">
        <w:rPr>
          <w:rFonts w:ascii="Calibri Light" w:eastAsia="Times New Roman" w:hAnsi="Calibri Light" w:cs="Calibri Light"/>
          <w:szCs w:val="20"/>
          <w:lang w:eastAsia="el-GR"/>
        </w:rPr>
        <w:t xml:space="preserve"> мере предвиђене у </w:t>
      </w:r>
      <w:r w:rsidR="00BA4E41" w:rsidRPr="0077270E">
        <w:rPr>
          <w:rFonts w:ascii="Calibri Light" w:eastAsia="Times New Roman" w:hAnsi="Calibri Light" w:cs="Calibri Light"/>
          <w:i/>
          <w:iCs/>
          <w:szCs w:val="20"/>
          <w:lang w:val="sr-Latn-RS" w:eastAsia="el-GR"/>
        </w:rPr>
        <w:t>WEM</w:t>
      </w:r>
      <w:r w:rsidR="00BA4E41" w:rsidRPr="00FF386D" w:rsidDel="00BA4E41">
        <w:rPr>
          <w:rFonts w:ascii="Calibri Light" w:eastAsia="Times New Roman" w:hAnsi="Calibri Light" w:cs="Calibri Light"/>
          <w:szCs w:val="20"/>
          <w:lang w:eastAsia="el-GR"/>
        </w:rPr>
        <w:t xml:space="preserve"> </w:t>
      </w:r>
      <w:r w:rsidR="00BA4E41" w:rsidRPr="00BA4E41">
        <w:rPr>
          <w:rFonts w:ascii="Calibri Light" w:eastAsia="Times New Roman" w:hAnsi="Calibri Light" w:cs="Calibri Light"/>
          <w:szCs w:val="20"/>
          <w:lang w:eastAsia="el-GR"/>
        </w:rPr>
        <w:t>сценарију</w:t>
      </w:r>
      <w:r w:rsidR="00BA4E41">
        <w:rPr>
          <w:rFonts w:ascii="Calibri Light" w:eastAsia="Times New Roman" w:hAnsi="Calibri Light" w:cs="Calibri Light"/>
          <w:szCs w:val="20"/>
          <w:lang w:eastAsia="el-GR"/>
        </w:rPr>
        <w:t>.</w:t>
      </w:r>
    </w:p>
    <w:p w14:paraId="794650CB" w14:textId="508AE308" w:rsidR="00BA4E41" w:rsidRPr="000A2AFE" w:rsidRDefault="00BA4E41" w:rsidP="00CA5936">
      <w:pPr>
        <w:widowControl w:val="0"/>
        <w:spacing w:after="120" w:line="240" w:lineRule="auto"/>
        <w:jc w:val="both"/>
        <w:rPr>
          <w:rFonts w:ascii="Calibri Light" w:eastAsia="Times New Roman" w:hAnsi="Calibri Light" w:cs="Calibri Light"/>
          <w:b/>
          <w:bCs/>
          <w:szCs w:val="20"/>
          <w:lang w:eastAsia="el-GR"/>
        </w:rPr>
      </w:pPr>
      <w:r w:rsidRPr="000A2AFE">
        <w:rPr>
          <w:rFonts w:ascii="Calibri Light" w:eastAsia="Times New Roman" w:hAnsi="Calibri Light" w:cs="Calibri Light"/>
          <w:b/>
          <w:bCs/>
          <w:szCs w:val="20"/>
          <w:lang w:eastAsia="el-GR"/>
        </w:rPr>
        <w:t xml:space="preserve">Укупне инвестиционе потребе за имплементацију ИНЕКП-а су процењене на око </w:t>
      </w:r>
      <w:r w:rsidR="00113873">
        <w:rPr>
          <w:rFonts w:ascii="Calibri Light" w:eastAsia="Times New Roman" w:hAnsi="Calibri Light" w:cs="Calibri Light"/>
          <w:b/>
          <w:bCs/>
          <w:szCs w:val="20"/>
          <w:lang w:eastAsia="el-GR"/>
        </w:rPr>
        <w:t>30,5</w:t>
      </w:r>
      <w:r w:rsidR="004756D7">
        <w:rPr>
          <w:rFonts w:ascii="Calibri Light" w:eastAsia="Times New Roman" w:hAnsi="Calibri Light" w:cs="Calibri Light"/>
          <w:b/>
          <w:bCs/>
          <w:szCs w:val="20"/>
          <w:lang w:eastAsia="el-GR"/>
        </w:rPr>
        <w:t>5</w:t>
      </w:r>
      <w:r w:rsidRPr="000A2AFE">
        <w:rPr>
          <w:rFonts w:ascii="Calibri Light" w:eastAsia="Times New Roman" w:hAnsi="Calibri Light" w:cs="Calibri Light"/>
          <w:b/>
          <w:bCs/>
          <w:szCs w:val="20"/>
          <w:lang w:eastAsia="el-GR"/>
        </w:rPr>
        <w:t xml:space="preserve"> милијард</w:t>
      </w:r>
      <w:r w:rsidR="00F66819">
        <w:rPr>
          <w:rFonts w:ascii="Calibri Light" w:eastAsia="Times New Roman" w:hAnsi="Calibri Light" w:cs="Calibri Light"/>
          <w:b/>
          <w:bCs/>
          <w:szCs w:val="20"/>
          <w:lang w:eastAsia="el-GR"/>
        </w:rPr>
        <w:t>и</w:t>
      </w:r>
      <w:r w:rsidRPr="000A2AFE">
        <w:rPr>
          <w:rFonts w:ascii="Calibri Light" w:eastAsia="Times New Roman" w:hAnsi="Calibri Light" w:cs="Calibri Light"/>
          <w:b/>
          <w:bCs/>
          <w:szCs w:val="20"/>
          <w:lang w:eastAsia="el-GR"/>
        </w:rPr>
        <w:t xml:space="preserve"> евра</w:t>
      </w:r>
      <w:r w:rsidR="000A3970" w:rsidRPr="000A2AFE">
        <w:rPr>
          <w:rFonts w:ascii="Calibri Light" w:eastAsia="Times New Roman" w:hAnsi="Calibri Light" w:cs="Calibri Light"/>
          <w:b/>
          <w:bCs/>
          <w:szCs w:val="20"/>
          <w:lang w:eastAsia="el-GR"/>
        </w:rPr>
        <w:t xml:space="preserve">, при томе узимајући у обзир да су средства за </w:t>
      </w:r>
      <w:r w:rsidR="00F66819">
        <w:rPr>
          <w:rFonts w:ascii="Calibri Light" w:eastAsia="Times New Roman" w:hAnsi="Calibri Light" w:cs="Calibri Light"/>
          <w:b/>
          <w:bCs/>
          <w:szCs w:val="20"/>
          <w:lang w:eastAsia="el-GR"/>
        </w:rPr>
        <w:t>неке од најважнијих</w:t>
      </w:r>
      <w:r w:rsidR="000A3970" w:rsidRPr="000A2AFE">
        <w:rPr>
          <w:rFonts w:ascii="Calibri Light" w:eastAsia="Times New Roman" w:hAnsi="Calibri Light" w:cs="Calibri Light"/>
          <w:b/>
          <w:bCs/>
          <w:szCs w:val="20"/>
          <w:lang w:eastAsia="el-GR"/>
        </w:rPr>
        <w:t xml:space="preserve"> мера </w:t>
      </w:r>
      <w:r w:rsidR="00F66819">
        <w:rPr>
          <w:rFonts w:ascii="Calibri Light" w:eastAsia="Times New Roman" w:hAnsi="Calibri Light" w:cs="Calibri Light"/>
          <w:b/>
          <w:bCs/>
          <w:szCs w:val="20"/>
          <w:lang w:eastAsia="el-GR"/>
        </w:rPr>
        <w:t xml:space="preserve">за које је неопходна израда </w:t>
      </w:r>
      <w:r w:rsidR="00F66819">
        <w:rPr>
          <w:rFonts w:ascii="Calibri Light" w:eastAsia="Times New Roman" w:hAnsi="Calibri Light" w:cs="Calibri Light"/>
          <w:b/>
          <w:bCs/>
          <w:szCs w:val="20"/>
          <w:lang w:eastAsia="el-GR"/>
        </w:rPr>
        <w:lastRenderedPageBreak/>
        <w:t xml:space="preserve">додатних студија </w:t>
      </w:r>
      <w:r w:rsidR="000A3970" w:rsidRPr="000A2AFE">
        <w:rPr>
          <w:rFonts w:ascii="Calibri Light" w:eastAsia="Times New Roman" w:hAnsi="Calibri Light" w:cs="Calibri Light"/>
          <w:b/>
          <w:bCs/>
          <w:szCs w:val="20"/>
          <w:lang w:eastAsia="el-GR"/>
        </w:rPr>
        <w:t xml:space="preserve">још увек </w:t>
      </w:r>
      <w:r w:rsidR="00F66819">
        <w:rPr>
          <w:rFonts w:ascii="Calibri Light" w:eastAsia="Times New Roman" w:hAnsi="Calibri Light" w:cs="Calibri Light"/>
          <w:b/>
          <w:bCs/>
          <w:szCs w:val="20"/>
          <w:lang w:eastAsia="el-GR"/>
        </w:rPr>
        <w:t>у</w:t>
      </w:r>
      <w:r w:rsidR="000A3970" w:rsidRPr="000A2AFE">
        <w:rPr>
          <w:rFonts w:ascii="Calibri Light" w:eastAsia="Times New Roman" w:hAnsi="Calibri Light" w:cs="Calibri Light"/>
          <w:b/>
          <w:bCs/>
          <w:szCs w:val="20"/>
          <w:lang w:eastAsia="el-GR"/>
        </w:rPr>
        <w:t xml:space="preserve"> разматрањ</w:t>
      </w:r>
      <w:r w:rsidR="00F66819">
        <w:rPr>
          <w:rFonts w:ascii="Calibri Light" w:eastAsia="Times New Roman" w:hAnsi="Calibri Light" w:cs="Calibri Light"/>
          <w:b/>
          <w:bCs/>
          <w:szCs w:val="20"/>
          <w:lang w:eastAsia="el-GR"/>
        </w:rPr>
        <w:t>у</w:t>
      </w:r>
      <w:r w:rsidR="000A3970" w:rsidRPr="000A2AFE">
        <w:rPr>
          <w:rFonts w:ascii="Calibri Light" w:eastAsia="Times New Roman" w:hAnsi="Calibri Light" w:cs="Calibri Light"/>
          <w:b/>
          <w:bCs/>
          <w:szCs w:val="20"/>
          <w:lang w:eastAsia="el-GR"/>
        </w:rPr>
        <w:t>.</w:t>
      </w:r>
    </w:p>
    <w:p w14:paraId="107054DB" w14:textId="4D294B2B" w:rsidR="000A3970" w:rsidRDefault="000A3970" w:rsidP="00CA5936">
      <w:pPr>
        <w:widowControl w:val="0"/>
        <w:spacing w:after="120" w:line="240" w:lineRule="auto"/>
        <w:jc w:val="both"/>
        <w:rPr>
          <w:rFonts w:ascii="Calibri Light" w:eastAsia="Times New Roman" w:hAnsi="Calibri Light" w:cs="Calibri Light"/>
          <w:szCs w:val="20"/>
          <w:lang w:eastAsia="el-GR"/>
        </w:rPr>
      </w:pPr>
      <w:r>
        <w:rPr>
          <w:rFonts w:ascii="Calibri Light" w:eastAsia="Times New Roman" w:hAnsi="Calibri Light" w:cs="Calibri Light"/>
          <w:szCs w:val="20"/>
          <w:lang w:eastAsia="el-GR"/>
        </w:rPr>
        <w:t xml:space="preserve">Додатно, потребно је нагласити </w:t>
      </w:r>
      <w:r w:rsidR="00F66819">
        <w:rPr>
          <w:rFonts w:ascii="Calibri Light" w:eastAsia="Times New Roman" w:hAnsi="Calibri Light" w:cs="Calibri Light"/>
          <w:szCs w:val="20"/>
          <w:lang w:eastAsia="el-GR"/>
        </w:rPr>
        <w:t>по</w:t>
      </w:r>
      <w:r>
        <w:rPr>
          <w:rFonts w:ascii="Calibri Light" w:eastAsia="Times New Roman" w:hAnsi="Calibri Light" w:cs="Calibri Light"/>
          <w:szCs w:val="20"/>
          <w:lang w:eastAsia="el-GR"/>
        </w:rPr>
        <w:t>вез</w:t>
      </w:r>
      <w:r w:rsidR="00F66819">
        <w:rPr>
          <w:rFonts w:ascii="Calibri Light" w:eastAsia="Times New Roman" w:hAnsi="Calibri Light" w:cs="Calibri Light"/>
          <w:szCs w:val="20"/>
          <w:lang w:eastAsia="el-GR"/>
        </w:rPr>
        <w:t>аност</w:t>
      </w:r>
      <w:r>
        <w:rPr>
          <w:rFonts w:ascii="Calibri Light" w:eastAsia="Times New Roman" w:hAnsi="Calibri Light" w:cs="Calibri Light"/>
          <w:szCs w:val="20"/>
          <w:lang w:eastAsia="el-GR"/>
        </w:rPr>
        <w:t xml:space="preserve"> и зависност </w:t>
      </w:r>
      <w:r w:rsidR="00F66819">
        <w:rPr>
          <w:rFonts w:ascii="Calibri Light" w:eastAsia="Times New Roman" w:hAnsi="Calibri Light" w:cs="Calibri Light"/>
          <w:szCs w:val="20"/>
          <w:lang w:eastAsia="el-GR"/>
        </w:rPr>
        <w:t>од</w:t>
      </w:r>
      <w:r>
        <w:rPr>
          <w:rFonts w:ascii="Calibri Light" w:eastAsia="Times New Roman" w:hAnsi="Calibri Light" w:cs="Calibri Light"/>
          <w:szCs w:val="20"/>
          <w:lang w:eastAsia="el-GR"/>
        </w:rPr>
        <w:t xml:space="preserve"> </w:t>
      </w:r>
      <w:r w:rsidR="002A53DC">
        <w:rPr>
          <w:rFonts w:ascii="Calibri Light" w:eastAsia="Times New Roman" w:hAnsi="Calibri Light" w:cs="Calibri Light"/>
          <w:szCs w:val="20"/>
          <w:lang w:eastAsia="el-GR"/>
        </w:rPr>
        <w:t>документ</w:t>
      </w:r>
      <w:r w:rsidR="00F66819">
        <w:rPr>
          <w:rFonts w:ascii="Calibri Light" w:eastAsia="Times New Roman" w:hAnsi="Calibri Light" w:cs="Calibri Light"/>
          <w:szCs w:val="20"/>
          <w:lang w:eastAsia="el-GR"/>
        </w:rPr>
        <w:t>а</w:t>
      </w:r>
      <w:r w:rsidR="002A53DC">
        <w:rPr>
          <w:rFonts w:ascii="Calibri Light" w:eastAsia="Times New Roman" w:hAnsi="Calibri Light" w:cs="Calibri Light"/>
          <w:szCs w:val="20"/>
          <w:lang w:eastAsia="el-GR"/>
        </w:rPr>
        <w:t xml:space="preserve"> </w:t>
      </w:r>
      <w:r w:rsidR="002A53DC" w:rsidRPr="002A53DC">
        <w:rPr>
          <w:rFonts w:ascii="Calibri Light" w:eastAsia="Times New Roman" w:hAnsi="Calibri Light" w:cs="Calibri Light"/>
          <w:szCs w:val="20"/>
          <w:lang w:eastAsia="el-GR"/>
        </w:rPr>
        <w:t>„Полазне основе плана развоја енергетске инфраструктуре и мера енергетске ефикасности за период до 2028. са пројекцијама до 2030. године“ (Одлука Владе о усвајању 05 број 312-5262/2023-1 од 15.6.2023) – „</w:t>
      </w:r>
      <w:r w:rsidR="002A53DC" w:rsidRPr="000A2AFE">
        <w:rPr>
          <w:rFonts w:ascii="Calibri Light" w:eastAsia="Times New Roman" w:hAnsi="Calibri Light" w:cs="Calibri Light"/>
          <w:i/>
          <w:iCs/>
          <w:szCs w:val="20"/>
          <w:lang w:eastAsia="el-GR"/>
        </w:rPr>
        <w:t>PREIMEE</w:t>
      </w:r>
      <w:r w:rsidR="002A53DC" w:rsidRPr="002A53DC">
        <w:rPr>
          <w:rFonts w:ascii="Calibri Light" w:eastAsia="Times New Roman" w:hAnsi="Calibri Light" w:cs="Calibri Light"/>
          <w:szCs w:val="20"/>
          <w:lang w:eastAsia="el-GR"/>
        </w:rPr>
        <w:t>“</w:t>
      </w:r>
      <w:r w:rsidR="002A53DC">
        <w:rPr>
          <w:rFonts w:ascii="Calibri Light" w:eastAsia="Times New Roman" w:hAnsi="Calibri Light" w:cs="Calibri Light"/>
          <w:szCs w:val="20"/>
          <w:lang w:eastAsia="el-GR"/>
        </w:rPr>
        <w:t>.</w:t>
      </w:r>
    </w:p>
    <w:p w14:paraId="5DC512B0" w14:textId="5871BB7B" w:rsidR="002A53DC" w:rsidRDefault="00B506C8" w:rsidP="00CA5936">
      <w:pPr>
        <w:widowControl w:val="0"/>
        <w:spacing w:after="120" w:line="240" w:lineRule="auto"/>
        <w:jc w:val="both"/>
        <w:rPr>
          <w:rFonts w:ascii="Calibri Light" w:eastAsia="Times New Roman" w:hAnsi="Calibri Light" w:cs="Calibri Light"/>
          <w:szCs w:val="20"/>
          <w:lang w:eastAsia="el-GR"/>
        </w:rPr>
      </w:pPr>
      <w:r>
        <w:rPr>
          <w:rFonts w:ascii="Calibri Light" w:eastAsia="Times New Roman" w:hAnsi="Calibri Light" w:cs="Calibri Light"/>
          <w:szCs w:val="20"/>
          <w:lang w:eastAsia="el-GR"/>
        </w:rPr>
        <w:t xml:space="preserve">Поменути документ </w:t>
      </w:r>
      <w:r w:rsidRPr="00B506C8">
        <w:rPr>
          <w:rFonts w:ascii="Calibri Light" w:eastAsia="Times New Roman" w:hAnsi="Calibri Light" w:cs="Calibri Light"/>
          <w:szCs w:val="20"/>
          <w:lang w:eastAsia="el-GR"/>
        </w:rPr>
        <w:t>„</w:t>
      </w:r>
      <w:r w:rsidRPr="000A2AFE">
        <w:rPr>
          <w:rFonts w:ascii="Calibri Light" w:eastAsia="Times New Roman" w:hAnsi="Calibri Light" w:cs="Calibri Light"/>
          <w:i/>
          <w:iCs/>
          <w:szCs w:val="20"/>
          <w:lang w:eastAsia="el-GR"/>
        </w:rPr>
        <w:t>PREIMEE</w:t>
      </w:r>
      <w:r w:rsidRPr="00B506C8">
        <w:rPr>
          <w:rFonts w:ascii="Calibri Light" w:eastAsia="Times New Roman" w:hAnsi="Calibri Light" w:cs="Calibri Light"/>
          <w:szCs w:val="20"/>
          <w:lang w:eastAsia="el-GR"/>
        </w:rPr>
        <w:t>“</w:t>
      </w:r>
      <w:r>
        <w:rPr>
          <w:rFonts w:ascii="Calibri Light" w:eastAsia="Times New Roman" w:hAnsi="Calibri Light" w:cs="Calibri Light"/>
          <w:szCs w:val="20"/>
          <w:lang w:eastAsia="el-GR"/>
        </w:rPr>
        <w:t xml:space="preserve"> укључује основне правце стратешког развоја до 2030. и 2050. године. </w:t>
      </w:r>
      <w:r w:rsidRPr="00B506C8">
        <w:rPr>
          <w:rFonts w:ascii="Calibri Light" w:eastAsia="Times New Roman" w:hAnsi="Calibri Light" w:cs="Calibri Light"/>
          <w:szCs w:val="20"/>
          <w:lang w:eastAsia="el-GR"/>
        </w:rPr>
        <w:t>„</w:t>
      </w:r>
      <w:r w:rsidRPr="000A2AFE">
        <w:rPr>
          <w:rFonts w:ascii="Calibri Light" w:eastAsia="Times New Roman" w:hAnsi="Calibri Light" w:cs="Calibri Light"/>
          <w:i/>
          <w:iCs/>
          <w:szCs w:val="20"/>
          <w:lang w:eastAsia="el-GR"/>
        </w:rPr>
        <w:t>PREIMEE</w:t>
      </w:r>
      <w:r w:rsidRPr="00B506C8">
        <w:rPr>
          <w:rFonts w:ascii="Calibri Light" w:eastAsia="Times New Roman" w:hAnsi="Calibri Light" w:cs="Calibri Light"/>
          <w:szCs w:val="20"/>
          <w:lang w:eastAsia="el-GR"/>
        </w:rPr>
        <w:t>“</w:t>
      </w:r>
      <w:r>
        <w:rPr>
          <w:rFonts w:ascii="Calibri Light" w:eastAsia="Times New Roman" w:hAnsi="Calibri Light" w:cs="Calibri Light"/>
          <w:szCs w:val="20"/>
          <w:lang w:eastAsia="el-GR"/>
        </w:rPr>
        <w:t xml:space="preserve"> садржи разне пројекте </w:t>
      </w:r>
      <w:r w:rsidR="00F66819">
        <w:rPr>
          <w:rFonts w:ascii="Calibri Light" w:eastAsia="Times New Roman" w:hAnsi="Calibri Light" w:cs="Calibri Light"/>
          <w:szCs w:val="20"/>
          <w:lang w:eastAsia="el-GR"/>
        </w:rPr>
        <w:t>у</w:t>
      </w:r>
      <w:r>
        <w:rPr>
          <w:rFonts w:ascii="Calibri Light" w:eastAsia="Times New Roman" w:hAnsi="Calibri Light" w:cs="Calibri Light"/>
          <w:szCs w:val="20"/>
          <w:lang w:eastAsia="el-GR"/>
        </w:rPr>
        <w:t xml:space="preserve"> различитим фазама развоја и зрелости. </w:t>
      </w:r>
      <w:r w:rsidRPr="00B506C8">
        <w:rPr>
          <w:rFonts w:ascii="Calibri Light" w:eastAsia="Times New Roman" w:hAnsi="Calibri Light" w:cs="Calibri Light"/>
          <w:szCs w:val="20"/>
          <w:lang w:eastAsia="el-GR"/>
        </w:rPr>
        <w:t>Због нестабилних околности у сектору</w:t>
      </w:r>
      <w:r>
        <w:rPr>
          <w:rFonts w:ascii="Calibri Light" w:eastAsia="Times New Roman" w:hAnsi="Calibri Light" w:cs="Calibri Light"/>
          <w:szCs w:val="20"/>
          <w:lang w:eastAsia="el-GR"/>
        </w:rPr>
        <w:t xml:space="preserve"> енергетике</w:t>
      </w:r>
      <w:r w:rsidRPr="00B506C8">
        <w:rPr>
          <w:rFonts w:ascii="Calibri Light" w:eastAsia="Times New Roman" w:hAnsi="Calibri Light" w:cs="Calibri Light"/>
          <w:szCs w:val="20"/>
          <w:lang w:eastAsia="el-GR"/>
        </w:rPr>
        <w:t xml:space="preserve"> широм света, многи од ових пројеката би потенцијално могли</w:t>
      </w:r>
      <w:r w:rsidR="00F66819">
        <w:rPr>
          <w:rFonts w:ascii="Calibri Light" w:eastAsia="Times New Roman" w:hAnsi="Calibri Light" w:cs="Calibri Light"/>
          <w:szCs w:val="20"/>
          <w:lang w:eastAsia="el-GR"/>
        </w:rPr>
        <w:t xml:space="preserve"> да</w:t>
      </w:r>
      <w:r w:rsidRPr="00B506C8">
        <w:rPr>
          <w:rFonts w:ascii="Calibri Light" w:eastAsia="Times New Roman" w:hAnsi="Calibri Light" w:cs="Calibri Light"/>
          <w:szCs w:val="20"/>
          <w:lang w:eastAsia="el-GR"/>
        </w:rPr>
        <w:t xml:space="preserve"> напред</w:t>
      </w:r>
      <w:r w:rsidR="00F66819">
        <w:rPr>
          <w:rFonts w:ascii="Calibri Light" w:eastAsia="Times New Roman" w:hAnsi="Calibri Light" w:cs="Calibri Light"/>
          <w:szCs w:val="20"/>
          <w:lang w:eastAsia="el-GR"/>
        </w:rPr>
        <w:t>ују</w:t>
      </w:r>
      <w:r w:rsidRPr="00B506C8">
        <w:rPr>
          <w:rFonts w:ascii="Calibri Light" w:eastAsia="Times New Roman" w:hAnsi="Calibri Light" w:cs="Calibri Light"/>
          <w:szCs w:val="20"/>
          <w:lang w:eastAsia="el-GR"/>
        </w:rPr>
        <w:t xml:space="preserve"> до </w:t>
      </w:r>
      <w:r w:rsidR="00F66819">
        <w:rPr>
          <w:rFonts w:ascii="Calibri Light" w:eastAsia="Times New Roman" w:hAnsi="Calibri Light" w:cs="Calibri Light"/>
          <w:szCs w:val="20"/>
          <w:lang w:eastAsia="el-GR"/>
        </w:rPr>
        <w:t xml:space="preserve">фазе </w:t>
      </w:r>
      <w:r w:rsidRPr="00B506C8">
        <w:rPr>
          <w:rFonts w:ascii="Calibri Light" w:eastAsia="Times New Roman" w:hAnsi="Calibri Light" w:cs="Calibri Light"/>
          <w:szCs w:val="20"/>
          <w:lang w:eastAsia="el-GR"/>
        </w:rPr>
        <w:t xml:space="preserve">имплементације, док су други пројекти још увек у почетним </w:t>
      </w:r>
      <w:r>
        <w:rPr>
          <w:rFonts w:ascii="Calibri Light" w:eastAsia="Times New Roman" w:hAnsi="Calibri Light" w:cs="Calibri Light"/>
          <w:szCs w:val="20"/>
          <w:lang w:eastAsia="el-GR"/>
        </w:rPr>
        <w:t>фазама</w:t>
      </w:r>
      <w:r w:rsidRPr="00B506C8">
        <w:rPr>
          <w:rFonts w:ascii="Calibri Light" w:eastAsia="Times New Roman" w:hAnsi="Calibri Light" w:cs="Calibri Light"/>
          <w:szCs w:val="20"/>
          <w:lang w:eastAsia="el-GR"/>
        </w:rPr>
        <w:t xml:space="preserve"> развоја, а неки </w:t>
      </w:r>
      <w:r>
        <w:rPr>
          <w:rFonts w:ascii="Calibri Light" w:eastAsia="Times New Roman" w:hAnsi="Calibri Light" w:cs="Calibri Light"/>
          <w:szCs w:val="20"/>
          <w:lang w:eastAsia="el-GR"/>
        </w:rPr>
        <w:t xml:space="preserve">су </w:t>
      </w:r>
      <w:r w:rsidRPr="00B506C8">
        <w:rPr>
          <w:rFonts w:ascii="Calibri Light" w:eastAsia="Times New Roman" w:hAnsi="Calibri Light" w:cs="Calibri Light"/>
          <w:szCs w:val="20"/>
          <w:lang w:eastAsia="el-GR"/>
        </w:rPr>
        <w:t>чак у врло раној идејној фази.</w:t>
      </w:r>
    </w:p>
    <w:p w14:paraId="38235C8D" w14:textId="190E6AA9" w:rsidR="006970B4" w:rsidRDefault="006970B4" w:rsidP="00CA5936">
      <w:pPr>
        <w:widowControl w:val="0"/>
        <w:spacing w:after="120" w:line="240" w:lineRule="auto"/>
        <w:jc w:val="both"/>
        <w:rPr>
          <w:rFonts w:ascii="Calibri Light" w:eastAsia="Times New Roman" w:hAnsi="Calibri Light" w:cs="Calibri Light"/>
          <w:szCs w:val="20"/>
          <w:lang w:eastAsia="el-GR"/>
        </w:rPr>
      </w:pPr>
      <w:r>
        <w:rPr>
          <w:rFonts w:ascii="Calibri Light" w:eastAsia="Times New Roman" w:hAnsi="Calibri Light" w:cs="Calibri Light"/>
          <w:szCs w:val="20"/>
          <w:lang w:eastAsia="el-GR"/>
        </w:rPr>
        <w:t>Међутим, ово само појачава опредељење Владе Републике Србије да напредује у погледу сигурног и поузданог снабдевања енергијом (укључујући и њен квалитет).</w:t>
      </w:r>
    </w:p>
    <w:p w14:paraId="1377360E" w14:textId="1E324C81" w:rsidR="006970B4" w:rsidRDefault="006970B4" w:rsidP="00CA5936">
      <w:pPr>
        <w:widowControl w:val="0"/>
        <w:spacing w:after="120" w:line="240" w:lineRule="auto"/>
        <w:jc w:val="both"/>
        <w:rPr>
          <w:rFonts w:ascii="Calibri Light" w:eastAsia="Times New Roman" w:hAnsi="Calibri Light" w:cs="Calibri Light"/>
          <w:szCs w:val="20"/>
          <w:lang w:val="sr-Latn-RS" w:eastAsia="el-GR"/>
        </w:rPr>
      </w:pPr>
      <w:r>
        <w:rPr>
          <w:rFonts w:ascii="Calibri Light" w:eastAsia="Times New Roman" w:hAnsi="Calibri Light" w:cs="Calibri Light"/>
          <w:szCs w:val="20"/>
          <w:lang w:eastAsia="el-GR"/>
        </w:rPr>
        <w:t xml:space="preserve">Како би се нагласио стратешки правац који </w:t>
      </w:r>
      <w:r w:rsidRPr="006970B4">
        <w:rPr>
          <w:rFonts w:ascii="Calibri Light" w:eastAsia="Times New Roman" w:hAnsi="Calibri Light" w:cs="Calibri Light"/>
          <w:szCs w:val="20"/>
          <w:lang w:eastAsia="el-GR"/>
        </w:rPr>
        <w:t>Влад</w:t>
      </w:r>
      <w:r>
        <w:rPr>
          <w:rFonts w:ascii="Calibri Light" w:eastAsia="Times New Roman" w:hAnsi="Calibri Light" w:cs="Calibri Light"/>
          <w:szCs w:val="20"/>
          <w:lang w:eastAsia="el-GR"/>
        </w:rPr>
        <w:t>а</w:t>
      </w:r>
      <w:r w:rsidRPr="006970B4">
        <w:rPr>
          <w:rFonts w:ascii="Calibri Light" w:eastAsia="Times New Roman" w:hAnsi="Calibri Light" w:cs="Calibri Light"/>
          <w:szCs w:val="20"/>
          <w:lang w:eastAsia="el-GR"/>
        </w:rPr>
        <w:t xml:space="preserve"> Републике Србије</w:t>
      </w:r>
      <w:r>
        <w:rPr>
          <w:rFonts w:ascii="Calibri Light" w:eastAsia="Times New Roman" w:hAnsi="Calibri Light" w:cs="Calibri Light"/>
          <w:szCs w:val="20"/>
          <w:lang w:eastAsia="el-GR"/>
        </w:rPr>
        <w:t xml:space="preserve"> мора да преузме како би испунила своје амбиције за енергетску транзицију, индикативна процена додатних инвестиционих трошкова из Плана </w:t>
      </w:r>
      <w:r w:rsidRPr="006970B4">
        <w:rPr>
          <w:rFonts w:ascii="Calibri Light" w:eastAsia="Times New Roman" w:hAnsi="Calibri Light" w:cs="Calibri Light"/>
          <w:szCs w:val="20"/>
          <w:lang w:eastAsia="el-GR"/>
        </w:rPr>
        <w:t>развоја енергетске инфраструктуре</w:t>
      </w:r>
      <w:r>
        <w:rPr>
          <w:rFonts w:ascii="Calibri Light" w:eastAsia="Times New Roman" w:hAnsi="Calibri Light" w:cs="Calibri Light"/>
          <w:szCs w:val="20"/>
          <w:lang w:eastAsia="el-GR"/>
        </w:rPr>
        <w:t xml:space="preserve"> упоређена са ИНЕКП-ом представљена је у </w:t>
      </w:r>
      <w:r w:rsidR="00F66819">
        <w:rPr>
          <w:rFonts w:ascii="Calibri Light" w:eastAsia="Times New Roman" w:hAnsi="Calibri Light" w:cs="Calibri Light"/>
          <w:szCs w:val="20"/>
          <w:lang w:eastAsia="el-GR"/>
        </w:rPr>
        <w:t>А</w:t>
      </w:r>
      <w:r>
        <w:rPr>
          <w:rFonts w:ascii="Calibri Light" w:eastAsia="Times New Roman" w:hAnsi="Calibri Light" w:cs="Calibri Light"/>
          <w:szCs w:val="20"/>
          <w:lang w:eastAsia="el-GR"/>
        </w:rPr>
        <w:t xml:space="preserve">нексу </w:t>
      </w:r>
      <w:r>
        <w:rPr>
          <w:rFonts w:ascii="Calibri Light" w:eastAsia="Times New Roman" w:hAnsi="Calibri Light" w:cs="Calibri Light"/>
          <w:szCs w:val="20"/>
          <w:lang w:val="sr-Latn-RS" w:eastAsia="el-GR"/>
        </w:rPr>
        <w:t>IV.</w:t>
      </w:r>
    </w:p>
    <w:p w14:paraId="44DDB991" w14:textId="4F72B9FE" w:rsidR="00D01922" w:rsidRPr="000A2AFE" w:rsidRDefault="00F66819" w:rsidP="00CA5936">
      <w:pPr>
        <w:widowControl w:val="0"/>
        <w:spacing w:after="120" w:line="240" w:lineRule="auto"/>
        <w:jc w:val="both"/>
        <w:rPr>
          <w:rFonts w:ascii="Calibri Light" w:eastAsia="Times New Roman" w:hAnsi="Calibri Light" w:cs="Calibri Light"/>
          <w:b/>
          <w:bCs/>
          <w:szCs w:val="20"/>
          <w:lang w:eastAsia="el-GR"/>
        </w:rPr>
      </w:pPr>
      <w:r w:rsidRPr="000A2AFE">
        <w:rPr>
          <w:rFonts w:ascii="Calibri Light" w:eastAsia="Times New Roman" w:hAnsi="Calibri Light" w:cs="Calibri Light"/>
          <w:b/>
          <w:bCs/>
          <w:szCs w:val="20"/>
          <w:lang w:eastAsia="el-GR"/>
        </w:rPr>
        <w:t>У складу са</w:t>
      </w:r>
      <w:r w:rsidR="00D01922" w:rsidRPr="000A2AFE">
        <w:rPr>
          <w:rFonts w:ascii="Calibri Light" w:eastAsia="Times New Roman" w:hAnsi="Calibri Light" w:cs="Calibri Light"/>
          <w:b/>
          <w:bCs/>
          <w:szCs w:val="20"/>
          <w:lang w:eastAsia="el-GR"/>
        </w:rPr>
        <w:t xml:space="preserve"> </w:t>
      </w:r>
      <w:r w:rsidRPr="000A2AFE">
        <w:rPr>
          <w:rFonts w:ascii="Calibri Light" w:eastAsia="Times New Roman" w:hAnsi="Calibri Light" w:cs="Calibri Light"/>
          <w:b/>
          <w:bCs/>
          <w:szCs w:val="20"/>
          <w:lang w:eastAsia="el-GR"/>
        </w:rPr>
        <w:t>А</w:t>
      </w:r>
      <w:r w:rsidR="00D01922" w:rsidRPr="000A2AFE">
        <w:rPr>
          <w:rFonts w:ascii="Calibri Light" w:eastAsia="Times New Roman" w:hAnsi="Calibri Light" w:cs="Calibri Light"/>
          <w:b/>
          <w:bCs/>
          <w:szCs w:val="20"/>
          <w:lang w:eastAsia="el-GR"/>
        </w:rPr>
        <w:t>некс</w:t>
      </w:r>
      <w:r w:rsidRPr="000A2AFE">
        <w:rPr>
          <w:rFonts w:ascii="Calibri Light" w:eastAsia="Times New Roman" w:hAnsi="Calibri Light" w:cs="Calibri Light"/>
          <w:b/>
          <w:bCs/>
          <w:szCs w:val="20"/>
          <w:lang w:eastAsia="el-GR"/>
        </w:rPr>
        <w:t>ом</w:t>
      </w:r>
      <w:r w:rsidR="00D01922" w:rsidRPr="000A2AFE">
        <w:rPr>
          <w:rFonts w:ascii="Calibri Light" w:eastAsia="Times New Roman" w:hAnsi="Calibri Light" w:cs="Calibri Light"/>
          <w:b/>
          <w:bCs/>
          <w:szCs w:val="20"/>
          <w:lang w:eastAsia="el-GR"/>
        </w:rPr>
        <w:t xml:space="preserve"> IV, инвестициони трошкови за период до 2030. године крећу се у распону од 4,71 милијарде евра, док се инвестициони трошкови за период после 2030. и до 2050. године крећу у распону од </w:t>
      </w:r>
      <w:r w:rsidR="00245A48" w:rsidRPr="000A2AFE">
        <w:rPr>
          <w:rFonts w:ascii="Calibri Light" w:eastAsia="Times New Roman" w:hAnsi="Calibri Light" w:cs="Calibri Light"/>
          <w:b/>
          <w:bCs/>
          <w:szCs w:val="20"/>
          <w:lang w:eastAsia="el-GR"/>
        </w:rPr>
        <w:t>3</w:t>
      </w:r>
      <w:r w:rsidR="00D01922" w:rsidRPr="000A2AFE">
        <w:rPr>
          <w:rFonts w:ascii="Calibri Light" w:eastAsia="Times New Roman" w:hAnsi="Calibri Light" w:cs="Calibri Light"/>
          <w:b/>
          <w:bCs/>
          <w:szCs w:val="20"/>
          <w:lang w:eastAsia="el-GR"/>
        </w:rPr>
        <w:t>,</w:t>
      </w:r>
      <w:r w:rsidR="00245A48" w:rsidRPr="000A2AFE">
        <w:rPr>
          <w:rFonts w:ascii="Calibri Light" w:eastAsia="Times New Roman" w:hAnsi="Calibri Light" w:cs="Calibri Light"/>
          <w:b/>
          <w:bCs/>
          <w:szCs w:val="20"/>
          <w:lang w:eastAsia="el-GR"/>
        </w:rPr>
        <w:t>14</w:t>
      </w:r>
      <w:r w:rsidR="00D01922" w:rsidRPr="000A2AFE">
        <w:rPr>
          <w:rFonts w:ascii="Calibri Light" w:eastAsia="Times New Roman" w:hAnsi="Calibri Light" w:cs="Calibri Light"/>
          <w:b/>
          <w:bCs/>
          <w:szCs w:val="20"/>
          <w:lang w:eastAsia="el-GR"/>
        </w:rPr>
        <w:t xml:space="preserve"> милијард</w:t>
      </w:r>
      <w:r w:rsidR="00245A48" w:rsidRPr="000A2AFE">
        <w:rPr>
          <w:rFonts w:ascii="Calibri Light" w:eastAsia="Times New Roman" w:hAnsi="Calibri Light" w:cs="Calibri Light"/>
          <w:b/>
          <w:bCs/>
          <w:szCs w:val="20"/>
          <w:lang w:eastAsia="el-GR"/>
        </w:rPr>
        <w:t>и</w:t>
      </w:r>
      <w:r w:rsidR="00D01922" w:rsidRPr="000A2AFE">
        <w:rPr>
          <w:rFonts w:ascii="Calibri Light" w:eastAsia="Times New Roman" w:hAnsi="Calibri Light" w:cs="Calibri Light"/>
          <w:b/>
          <w:bCs/>
          <w:szCs w:val="20"/>
          <w:lang w:eastAsia="el-GR"/>
        </w:rPr>
        <w:t xml:space="preserve"> евра</w:t>
      </w:r>
      <w:r w:rsidR="00245A48" w:rsidRPr="000A2AFE">
        <w:rPr>
          <w:rFonts w:ascii="Calibri Light" w:eastAsia="Times New Roman" w:hAnsi="Calibri Light" w:cs="Calibri Light"/>
          <w:b/>
          <w:bCs/>
          <w:szCs w:val="20"/>
          <w:lang w:eastAsia="el-GR"/>
        </w:rPr>
        <w:t>.</w:t>
      </w:r>
    </w:p>
    <w:p w14:paraId="7F3AC9A0" w14:textId="47D12E40" w:rsidR="00CA5936" w:rsidRPr="00FF386D" w:rsidRDefault="00CA5936" w:rsidP="00CA5936">
      <w:pPr>
        <w:widowControl w:val="0"/>
        <w:spacing w:after="120" w:line="240" w:lineRule="auto"/>
        <w:jc w:val="both"/>
        <w:rPr>
          <w:rFonts w:ascii="Calibri Light" w:eastAsia="Times New Roman" w:hAnsi="Calibri Light" w:cs="Calibri Light"/>
          <w:szCs w:val="20"/>
          <w:lang w:eastAsia="el-GR"/>
        </w:rPr>
      </w:pPr>
      <w:r w:rsidRPr="00FF386D">
        <w:rPr>
          <w:rFonts w:ascii="Calibri Light" w:eastAsia="Times New Roman" w:hAnsi="Calibri Light" w:cs="Calibri Light"/>
          <w:szCs w:val="20"/>
          <w:lang w:eastAsia="el-GR"/>
        </w:rPr>
        <w:t xml:space="preserve">Увођење нових, великих пројеката такође </w:t>
      </w:r>
      <w:r w:rsidR="00E9024C" w:rsidRPr="00FF386D">
        <w:rPr>
          <w:rFonts w:ascii="Calibri Light" w:eastAsia="Times New Roman" w:hAnsi="Calibri Light" w:cs="Calibri Light"/>
          <w:szCs w:val="20"/>
          <w:lang w:eastAsia="el-GR"/>
        </w:rPr>
        <w:t>ће</w:t>
      </w:r>
      <w:r w:rsidR="00370BF3" w:rsidRPr="00FF386D">
        <w:rPr>
          <w:rFonts w:ascii="Calibri Light" w:eastAsia="Times New Roman" w:hAnsi="Calibri Light" w:cs="Calibri Light"/>
          <w:szCs w:val="20"/>
          <w:lang w:eastAsia="el-GR"/>
        </w:rPr>
        <w:t xml:space="preserve"> </w:t>
      </w:r>
      <w:r w:rsidR="000C7DCF" w:rsidRPr="00FF386D">
        <w:rPr>
          <w:rFonts w:ascii="Calibri Light" w:eastAsia="Times New Roman" w:hAnsi="Calibri Light" w:cs="Calibri Light"/>
          <w:szCs w:val="20"/>
          <w:lang w:eastAsia="el-GR"/>
        </w:rPr>
        <w:t>створити</w:t>
      </w:r>
      <w:r w:rsidR="00370BF3" w:rsidRPr="00FF386D">
        <w:rPr>
          <w:rFonts w:ascii="Calibri Light" w:eastAsia="Times New Roman" w:hAnsi="Calibri Light" w:cs="Calibri Light"/>
          <w:szCs w:val="20"/>
          <w:lang w:eastAsia="el-GR"/>
        </w:rPr>
        <w:t xml:space="preserve"> одговарајуће</w:t>
      </w:r>
      <w:r w:rsidRPr="00FF386D">
        <w:rPr>
          <w:rFonts w:ascii="Calibri Light" w:eastAsia="Times New Roman" w:hAnsi="Calibri Light" w:cs="Calibri Light"/>
          <w:szCs w:val="20"/>
          <w:lang w:eastAsia="el-GR"/>
        </w:rPr>
        <w:t xml:space="preserve"> потребе </w:t>
      </w:r>
      <w:r w:rsidR="00370BF3" w:rsidRPr="00FF386D">
        <w:rPr>
          <w:rFonts w:ascii="Calibri Light" w:eastAsia="Times New Roman" w:hAnsi="Calibri Light" w:cs="Calibri Light"/>
          <w:szCs w:val="20"/>
          <w:lang w:eastAsia="el-GR"/>
        </w:rPr>
        <w:t>у погледу</w:t>
      </w:r>
      <w:r w:rsidRPr="00FF386D">
        <w:rPr>
          <w:rFonts w:ascii="Calibri Light" w:eastAsia="Times New Roman" w:hAnsi="Calibri Light" w:cs="Calibri Light"/>
          <w:szCs w:val="20"/>
          <w:lang w:eastAsia="el-GR"/>
        </w:rPr>
        <w:t xml:space="preserve"> оперативни</w:t>
      </w:r>
      <w:r w:rsidR="00370BF3" w:rsidRPr="00FF386D">
        <w:rPr>
          <w:rFonts w:ascii="Calibri Light" w:eastAsia="Times New Roman" w:hAnsi="Calibri Light" w:cs="Calibri Light"/>
          <w:szCs w:val="20"/>
          <w:lang w:eastAsia="el-GR"/>
        </w:rPr>
        <w:t>х</w:t>
      </w:r>
      <w:r w:rsidRPr="00FF386D">
        <w:rPr>
          <w:rFonts w:ascii="Calibri Light" w:eastAsia="Times New Roman" w:hAnsi="Calibri Light" w:cs="Calibri Light"/>
          <w:szCs w:val="20"/>
          <w:lang w:eastAsia="el-GR"/>
        </w:rPr>
        <w:t xml:space="preserve"> трошков</w:t>
      </w:r>
      <w:r w:rsidR="00370BF3" w:rsidRPr="00FF386D">
        <w:rPr>
          <w:rFonts w:ascii="Calibri Light" w:eastAsia="Times New Roman" w:hAnsi="Calibri Light" w:cs="Calibri Light"/>
          <w:szCs w:val="20"/>
          <w:lang w:eastAsia="el-GR"/>
        </w:rPr>
        <w:t>а</w:t>
      </w:r>
      <w:r w:rsidRPr="00FF386D">
        <w:rPr>
          <w:rFonts w:ascii="Calibri Light" w:eastAsia="Times New Roman" w:hAnsi="Calibri Light" w:cs="Calibri Light"/>
          <w:szCs w:val="20"/>
          <w:lang w:eastAsia="el-GR"/>
        </w:rPr>
        <w:t xml:space="preserve">, који међутим, нису укључени у ову анализу. </w:t>
      </w:r>
      <w:r w:rsidR="00E8583E">
        <w:rPr>
          <w:rFonts w:ascii="Calibri Light" w:eastAsia="Times New Roman" w:hAnsi="Calibri Light" w:cs="Calibri Light"/>
          <w:szCs w:val="20"/>
          <w:lang w:eastAsia="el-GR"/>
        </w:rPr>
        <w:fldChar w:fldCharType="begin"/>
      </w:r>
      <w:r w:rsidR="00E8583E">
        <w:rPr>
          <w:rFonts w:ascii="Calibri Light" w:eastAsia="Times New Roman" w:hAnsi="Calibri Light" w:cs="Calibri Light"/>
          <w:szCs w:val="20"/>
          <w:lang w:eastAsia="el-GR"/>
        </w:rPr>
        <w:instrText xml:space="preserve"> REF _Ref153896651 \h  \* MERGEFORMAT </w:instrText>
      </w:r>
      <w:r w:rsidR="00E8583E">
        <w:rPr>
          <w:rFonts w:ascii="Calibri Light" w:eastAsia="Times New Roman" w:hAnsi="Calibri Light" w:cs="Calibri Light"/>
          <w:szCs w:val="20"/>
          <w:lang w:eastAsia="el-GR"/>
        </w:rPr>
      </w:r>
      <w:r w:rsidR="00E8583E">
        <w:rPr>
          <w:rFonts w:ascii="Calibri Light" w:eastAsia="Times New Roman" w:hAnsi="Calibri Light" w:cs="Calibri Light"/>
          <w:szCs w:val="20"/>
          <w:lang w:eastAsia="el-GR"/>
        </w:rPr>
        <w:fldChar w:fldCharType="separate"/>
      </w:r>
      <w:r w:rsidR="00E8583E" w:rsidRPr="00565B02">
        <w:rPr>
          <w:rFonts w:ascii="Calibri Light" w:eastAsia="Times New Roman" w:hAnsi="Calibri Light" w:cs="Calibri Light"/>
          <w:szCs w:val="20"/>
          <w:lang w:eastAsia="el-GR"/>
        </w:rPr>
        <w:t>Слика 5.48</w:t>
      </w:r>
      <w:r w:rsidR="00E8583E">
        <w:rPr>
          <w:rFonts w:ascii="Calibri Light" w:eastAsia="Times New Roman" w:hAnsi="Calibri Light" w:cs="Calibri Light"/>
          <w:szCs w:val="20"/>
          <w:lang w:eastAsia="el-GR"/>
        </w:rPr>
        <w:fldChar w:fldCharType="end"/>
      </w:r>
      <w:r w:rsidR="00E8583E">
        <w:rPr>
          <w:rFonts w:ascii="Calibri Light" w:eastAsia="Times New Roman" w:hAnsi="Calibri Light" w:cs="Calibri Light"/>
          <w:szCs w:val="20"/>
          <w:lang w:eastAsia="el-GR"/>
        </w:rPr>
        <w:t xml:space="preserve"> </w:t>
      </w:r>
      <w:r w:rsidRPr="00FF386D">
        <w:rPr>
          <w:rFonts w:ascii="Calibri Light" w:eastAsia="Times New Roman" w:hAnsi="Calibri Light" w:cs="Calibri Light"/>
          <w:szCs w:val="20"/>
          <w:lang w:eastAsia="el-GR"/>
        </w:rPr>
        <w:t>илуструје дистрибуцију т</w:t>
      </w:r>
      <w:r w:rsidR="00370BF3" w:rsidRPr="00FF386D">
        <w:rPr>
          <w:rFonts w:ascii="Calibri Light" w:eastAsia="Times New Roman" w:hAnsi="Calibri Light" w:cs="Calibri Light"/>
          <w:szCs w:val="20"/>
          <w:lang w:eastAsia="el-GR"/>
        </w:rPr>
        <w:t xml:space="preserve">рошкова </w:t>
      </w:r>
      <w:r w:rsidR="00AD5C81" w:rsidRPr="00FF386D">
        <w:rPr>
          <w:rFonts w:ascii="Calibri Light" w:eastAsia="Times New Roman" w:hAnsi="Calibri Light" w:cs="Calibri Light"/>
          <w:szCs w:val="20"/>
          <w:lang w:eastAsia="el-GR"/>
        </w:rPr>
        <w:t>имплементације</w:t>
      </w:r>
      <w:r w:rsidRPr="00FF386D">
        <w:rPr>
          <w:rFonts w:ascii="Calibri Light" w:eastAsia="Times New Roman" w:hAnsi="Calibri Light" w:cs="Calibri Light"/>
          <w:szCs w:val="20"/>
          <w:lang w:eastAsia="el-GR"/>
        </w:rPr>
        <w:t xml:space="preserve"> по димензији.</w:t>
      </w:r>
    </w:p>
    <w:p w14:paraId="3BAEFE00" w14:textId="7F57E658" w:rsidR="00113873" w:rsidRDefault="000C7DCF" w:rsidP="00CA5936">
      <w:pPr>
        <w:widowControl w:val="0"/>
        <w:spacing w:after="120" w:line="240" w:lineRule="auto"/>
        <w:jc w:val="both"/>
        <w:rPr>
          <w:rFonts w:ascii="Calibri Light" w:eastAsia="Times New Roman" w:hAnsi="Calibri Light" w:cs="Calibri Light"/>
          <w:szCs w:val="20"/>
          <w:lang w:eastAsia="el-GR" w:bidi="sr-Cyrl-CS"/>
        </w:rPr>
      </w:pPr>
      <w:r w:rsidRPr="00FF386D">
        <w:rPr>
          <w:rFonts w:ascii="Calibri Light" w:eastAsia="Times New Roman" w:hAnsi="Calibri Light" w:cs="Calibri Light"/>
          <w:szCs w:val="20"/>
          <w:lang w:eastAsia="el-GR" w:bidi="sr-Cyrl-CS"/>
        </w:rPr>
        <w:t>М</w:t>
      </w:r>
      <w:r w:rsidR="00CA5936" w:rsidRPr="00FF386D">
        <w:rPr>
          <w:rFonts w:ascii="Calibri Light" w:eastAsia="Times New Roman" w:hAnsi="Calibri Light" w:cs="Calibri Light"/>
          <w:szCs w:val="20"/>
          <w:lang w:eastAsia="el-GR" w:bidi="sr-Cyrl-CS"/>
        </w:rPr>
        <w:t xml:space="preserve">оже </w:t>
      </w:r>
      <w:r w:rsidRPr="00FF386D">
        <w:rPr>
          <w:rFonts w:ascii="Calibri Light" w:eastAsia="Times New Roman" w:hAnsi="Calibri Light" w:cs="Calibri Light"/>
          <w:szCs w:val="20"/>
          <w:lang w:eastAsia="el-GR" w:bidi="sr-Cyrl-CS"/>
        </w:rPr>
        <w:t xml:space="preserve">се </w:t>
      </w:r>
      <w:r w:rsidR="00CA5936" w:rsidRPr="00FF386D">
        <w:rPr>
          <w:rFonts w:ascii="Calibri Light" w:eastAsia="Times New Roman" w:hAnsi="Calibri Light" w:cs="Calibri Light"/>
          <w:szCs w:val="20"/>
          <w:lang w:eastAsia="el-GR" w:bidi="sr-Cyrl-CS"/>
        </w:rPr>
        <w:t xml:space="preserve">видети да </w:t>
      </w:r>
      <w:r w:rsidR="00370BF3" w:rsidRPr="00FF386D">
        <w:rPr>
          <w:rFonts w:ascii="Calibri Light" w:eastAsia="Times New Roman" w:hAnsi="Calibri Light" w:cs="Calibri Light"/>
          <w:szCs w:val="20"/>
          <w:lang w:eastAsia="el-GR" w:bidi="sr-Cyrl-CS"/>
        </w:rPr>
        <w:t>одговарајуће</w:t>
      </w:r>
      <w:r w:rsidR="00CA5936" w:rsidRPr="00FF386D">
        <w:rPr>
          <w:rFonts w:ascii="Calibri Light" w:eastAsia="Times New Roman" w:hAnsi="Calibri Light" w:cs="Calibri Light"/>
          <w:szCs w:val="20"/>
          <w:lang w:eastAsia="el-GR" w:bidi="sr-Cyrl-CS"/>
        </w:rPr>
        <w:t xml:space="preserve"> мере које су укључене у димензију енергетске ефикасности</w:t>
      </w:r>
      <w:r w:rsidRPr="00FF386D">
        <w:rPr>
          <w:rFonts w:ascii="Calibri Light" w:eastAsia="Times New Roman" w:hAnsi="Calibri Light" w:cs="Calibri Light"/>
          <w:szCs w:val="20"/>
          <w:lang w:eastAsia="el-GR" w:bidi="sr-Cyrl-CS"/>
        </w:rPr>
        <w:t xml:space="preserve"> генеришу </w:t>
      </w:r>
      <w:r w:rsidR="00370BF3" w:rsidRPr="00FF386D">
        <w:rPr>
          <w:rFonts w:ascii="Calibri Light" w:eastAsia="Times New Roman" w:hAnsi="Calibri Light" w:cs="Calibri Light"/>
          <w:szCs w:val="20"/>
          <w:lang w:eastAsia="el-GR" w:bidi="sr-Cyrl-CS"/>
        </w:rPr>
        <w:t>велику</w:t>
      </w:r>
      <w:r w:rsidR="00CA5936" w:rsidRPr="00FF386D">
        <w:rPr>
          <w:rFonts w:ascii="Calibri Light" w:eastAsia="Times New Roman" w:hAnsi="Calibri Light" w:cs="Calibri Light"/>
          <w:szCs w:val="20"/>
          <w:lang w:eastAsia="el-GR" w:bidi="sr-Cyrl-CS"/>
        </w:rPr>
        <w:t xml:space="preserve"> већину трошкова</w:t>
      </w:r>
      <w:r w:rsidRPr="00FF386D">
        <w:rPr>
          <w:rFonts w:ascii="Calibri Light" w:eastAsia="Times New Roman" w:hAnsi="Calibri Light" w:cs="Calibri Light"/>
          <w:szCs w:val="20"/>
          <w:lang w:eastAsia="el-GR" w:bidi="sr-Cyrl-CS"/>
        </w:rPr>
        <w:t xml:space="preserve"> </w:t>
      </w:r>
      <w:r w:rsidR="00CA5936" w:rsidRPr="00FF386D">
        <w:rPr>
          <w:rFonts w:ascii="Calibri Light" w:eastAsia="Times New Roman" w:hAnsi="Calibri Light" w:cs="Calibri Light"/>
          <w:szCs w:val="20"/>
          <w:lang w:eastAsia="el-GR" w:bidi="sr-Cyrl-CS"/>
        </w:rPr>
        <w:t xml:space="preserve">имплементације, односно око </w:t>
      </w:r>
      <w:r w:rsidR="00113873">
        <w:rPr>
          <w:rFonts w:ascii="Calibri Light" w:eastAsia="Times New Roman" w:hAnsi="Calibri Light" w:cs="Calibri Light"/>
          <w:szCs w:val="20"/>
          <w:lang w:eastAsia="el-GR" w:bidi="sr-Cyrl-CS"/>
        </w:rPr>
        <w:t>68,5</w:t>
      </w:r>
      <w:r w:rsidR="004756D7">
        <w:rPr>
          <w:rFonts w:ascii="Calibri Light" w:eastAsia="Times New Roman" w:hAnsi="Calibri Light" w:cs="Calibri Light"/>
          <w:szCs w:val="20"/>
          <w:lang w:eastAsia="el-GR" w:bidi="sr-Cyrl-CS"/>
        </w:rPr>
        <w:t>4</w:t>
      </w:r>
      <w:r w:rsidR="00CA5936" w:rsidRPr="00FF386D">
        <w:rPr>
          <w:rFonts w:ascii="Calibri Light" w:eastAsia="Times New Roman" w:hAnsi="Calibri Light" w:cs="Calibri Light"/>
          <w:szCs w:val="20"/>
          <w:lang w:eastAsia="el-GR" w:bidi="sr-Cyrl-CS"/>
        </w:rPr>
        <w:t>%. Ово је разум</w:t>
      </w:r>
      <w:r w:rsidR="00423373" w:rsidRPr="00FF386D">
        <w:rPr>
          <w:rFonts w:ascii="Calibri Light" w:eastAsia="Times New Roman" w:hAnsi="Calibri Light" w:cs="Calibri Light"/>
          <w:szCs w:val="20"/>
          <w:lang w:eastAsia="el-GR" w:bidi="sr-Cyrl-CS"/>
        </w:rPr>
        <w:t>љиво</w:t>
      </w:r>
      <w:r w:rsidR="00CA5936" w:rsidRPr="00FF386D">
        <w:rPr>
          <w:rFonts w:ascii="Calibri Light" w:eastAsia="Times New Roman" w:hAnsi="Calibri Light" w:cs="Calibri Light"/>
          <w:szCs w:val="20"/>
          <w:lang w:eastAsia="el-GR" w:bidi="sr-Cyrl-CS"/>
        </w:rPr>
        <w:t xml:space="preserve"> с обзиром да се пројекти категорисани под овом димензијом односе на огромна улагања потребна за п</w:t>
      </w:r>
      <w:r w:rsidR="00423373" w:rsidRPr="00FF386D">
        <w:rPr>
          <w:rFonts w:ascii="Calibri Light" w:eastAsia="Times New Roman" w:hAnsi="Calibri Light" w:cs="Calibri Light"/>
          <w:szCs w:val="20"/>
          <w:lang w:eastAsia="el-GR" w:bidi="sr-Cyrl-CS"/>
        </w:rPr>
        <w:t>одстицање</w:t>
      </w:r>
      <w:r w:rsidR="00CA5936" w:rsidRPr="00FF386D">
        <w:rPr>
          <w:rFonts w:ascii="Calibri Light" w:eastAsia="Times New Roman" w:hAnsi="Calibri Light" w:cs="Calibri Light"/>
          <w:szCs w:val="20"/>
          <w:lang w:eastAsia="el-GR" w:bidi="sr-Cyrl-CS"/>
        </w:rPr>
        <w:t xml:space="preserve"> енергетске ефикасности у индустријском, саобраћајном</w:t>
      </w:r>
      <w:r w:rsidRPr="00FF386D">
        <w:rPr>
          <w:rFonts w:ascii="Calibri Light" w:eastAsia="Times New Roman" w:hAnsi="Calibri Light" w:cs="Calibri Light"/>
          <w:szCs w:val="20"/>
          <w:lang w:eastAsia="el-GR" w:bidi="sr-Cyrl-CS"/>
        </w:rPr>
        <w:t xml:space="preserve"> </w:t>
      </w:r>
      <w:r w:rsidR="00CA5936" w:rsidRPr="00FF386D">
        <w:rPr>
          <w:rFonts w:ascii="Calibri Light" w:eastAsia="Times New Roman" w:hAnsi="Calibri Light" w:cs="Calibri Light"/>
          <w:szCs w:val="20"/>
          <w:lang w:eastAsia="el-GR" w:bidi="sr-Cyrl-CS"/>
        </w:rPr>
        <w:t xml:space="preserve">и грађевинском сектору. </w:t>
      </w:r>
      <w:r w:rsidRPr="00FF386D">
        <w:rPr>
          <w:rFonts w:ascii="Calibri Light" w:eastAsia="Times New Roman" w:hAnsi="Calibri Light" w:cs="Calibri Light"/>
          <w:szCs w:val="20"/>
          <w:lang w:eastAsia="el-GR" w:bidi="sr-Cyrl-CS"/>
        </w:rPr>
        <w:t>У овим</w:t>
      </w:r>
      <w:r w:rsidR="00CA5936" w:rsidRPr="00FF386D">
        <w:rPr>
          <w:rFonts w:ascii="Calibri Light" w:eastAsia="Times New Roman" w:hAnsi="Calibri Light" w:cs="Calibri Light"/>
          <w:szCs w:val="20"/>
          <w:lang w:eastAsia="el-GR" w:bidi="sr-Cyrl-CS"/>
        </w:rPr>
        <w:t xml:space="preserve"> сектори</w:t>
      </w:r>
      <w:r w:rsidRPr="00FF386D">
        <w:rPr>
          <w:rFonts w:ascii="Calibri Light" w:eastAsia="Times New Roman" w:hAnsi="Calibri Light" w:cs="Calibri Light"/>
          <w:szCs w:val="20"/>
          <w:lang w:eastAsia="el-GR" w:bidi="sr-Cyrl-CS"/>
        </w:rPr>
        <w:t>ма</w:t>
      </w:r>
      <w:r w:rsidR="00CA5936" w:rsidRPr="00FF386D">
        <w:rPr>
          <w:rFonts w:ascii="Calibri Light" w:eastAsia="Times New Roman" w:hAnsi="Calibri Light" w:cs="Calibri Light"/>
          <w:szCs w:val="20"/>
          <w:lang w:eastAsia="el-GR" w:bidi="sr-Cyrl-CS"/>
        </w:rPr>
        <w:t xml:space="preserve"> </w:t>
      </w:r>
      <w:r w:rsidRPr="00FF386D">
        <w:rPr>
          <w:rFonts w:ascii="Calibri Light" w:eastAsia="Times New Roman" w:hAnsi="Calibri Light" w:cs="Calibri Light"/>
          <w:szCs w:val="20"/>
          <w:lang w:eastAsia="el-GR" w:bidi="sr-Cyrl-CS"/>
        </w:rPr>
        <w:t>су потребна</w:t>
      </w:r>
      <w:r w:rsidR="00CA5936" w:rsidRPr="00FF386D">
        <w:rPr>
          <w:rFonts w:ascii="Calibri Light" w:eastAsia="Times New Roman" w:hAnsi="Calibri Light" w:cs="Calibri Light"/>
          <w:szCs w:val="20"/>
          <w:lang w:eastAsia="el-GR" w:bidi="sr-Cyrl-CS"/>
        </w:rPr>
        <w:t xml:space="preserve"> интензивна улагања у виду шема подршке </w:t>
      </w:r>
      <w:r w:rsidRPr="00FF386D">
        <w:rPr>
          <w:rFonts w:ascii="Calibri Light" w:eastAsia="Times New Roman" w:hAnsi="Calibri Light" w:cs="Calibri Light"/>
          <w:szCs w:val="20"/>
          <w:lang w:eastAsia="el-GR" w:bidi="sr-Cyrl-CS"/>
        </w:rPr>
        <w:t>путем</w:t>
      </w:r>
      <w:r w:rsidR="00CA5936" w:rsidRPr="00FF386D">
        <w:rPr>
          <w:rFonts w:ascii="Calibri Light" w:eastAsia="Times New Roman" w:hAnsi="Calibri Light" w:cs="Calibri Light"/>
          <w:szCs w:val="20"/>
          <w:lang w:eastAsia="el-GR" w:bidi="sr-Cyrl-CS"/>
        </w:rPr>
        <w:t xml:space="preserve"> субвенциј</w:t>
      </w:r>
      <w:r w:rsidRPr="00FF386D">
        <w:rPr>
          <w:rFonts w:ascii="Calibri Light" w:eastAsia="Times New Roman" w:hAnsi="Calibri Light" w:cs="Calibri Light"/>
          <w:szCs w:val="20"/>
          <w:lang w:eastAsia="el-GR" w:bidi="sr-Cyrl-CS"/>
        </w:rPr>
        <w:t>а</w:t>
      </w:r>
      <w:r w:rsidR="00CA5936" w:rsidRPr="00FF386D">
        <w:rPr>
          <w:rFonts w:ascii="Calibri Light" w:eastAsia="Times New Roman" w:hAnsi="Calibri Light" w:cs="Calibri Light"/>
          <w:szCs w:val="20"/>
          <w:lang w:eastAsia="el-GR" w:bidi="sr-Cyrl-CS"/>
        </w:rPr>
        <w:t xml:space="preserve"> за енергетску </w:t>
      </w:r>
      <w:r w:rsidRPr="00FF386D">
        <w:rPr>
          <w:rFonts w:ascii="Calibri Light" w:eastAsia="Times New Roman" w:hAnsi="Calibri Light" w:cs="Calibri Light"/>
          <w:szCs w:val="20"/>
          <w:lang w:eastAsia="el-GR" w:bidi="sr-Cyrl-CS"/>
        </w:rPr>
        <w:t>санацију</w:t>
      </w:r>
      <w:r w:rsidR="00CA5936" w:rsidRPr="00FF386D">
        <w:rPr>
          <w:rFonts w:ascii="Calibri Light" w:eastAsia="Times New Roman" w:hAnsi="Calibri Light" w:cs="Calibri Light"/>
          <w:szCs w:val="20"/>
          <w:lang w:eastAsia="el-GR" w:bidi="sr-Cyrl-CS"/>
        </w:rPr>
        <w:t xml:space="preserve"> постојећих пословних, јавних и стамбених зграда, као и изградњу нових</w:t>
      </w:r>
      <w:r w:rsidR="00AD5C81" w:rsidRPr="00FF386D">
        <w:rPr>
          <w:rFonts w:ascii="Calibri Light" w:eastAsia="Times New Roman" w:hAnsi="Calibri Light" w:cs="Calibri Light"/>
          <w:szCs w:val="20"/>
          <w:lang w:eastAsia="el-GR" w:bidi="sr-Cyrl-CS"/>
        </w:rPr>
        <w:t xml:space="preserve"> зграда</w:t>
      </w:r>
      <w:r w:rsidR="00CA5936" w:rsidRPr="00FF386D">
        <w:rPr>
          <w:rFonts w:ascii="Calibri Light" w:eastAsia="Times New Roman" w:hAnsi="Calibri Light" w:cs="Calibri Light"/>
          <w:szCs w:val="20"/>
          <w:lang w:eastAsia="el-GR" w:bidi="sr-Cyrl-CS"/>
        </w:rPr>
        <w:t>, субвенциј</w:t>
      </w:r>
      <w:r w:rsidRPr="00FF386D">
        <w:rPr>
          <w:rFonts w:ascii="Calibri Light" w:eastAsia="Times New Roman" w:hAnsi="Calibri Light" w:cs="Calibri Light"/>
          <w:szCs w:val="20"/>
          <w:lang w:eastAsia="el-GR" w:bidi="sr-Cyrl-CS"/>
        </w:rPr>
        <w:t>а</w:t>
      </w:r>
      <w:r w:rsidR="00CA5936" w:rsidRPr="00FF386D">
        <w:rPr>
          <w:rFonts w:ascii="Calibri Light" w:eastAsia="Times New Roman" w:hAnsi="Calibri Light" w:cs="Calibri Light"/>
          <w:szCs w:val="20"/>
          <w:lang w:eastAsia="el-GR" w:bidi="sr-Cyrl-CS"/>
        </w:rPr>
        <w:t xml:space="preserve"> и пореск</w:t>
      </w:r>
      <w:r w:rsidRPr="00FF386D">
        <w:rPr>
          <w:rFonts w:ascii="Calibri Light" w:eastAsia="Times New Roman" w:hAnsi="Calibri Light" w:cs="Calibri Light"/>
          <w:szCs w:val="20"/>
          <w:lang w:eastAsia="el-GR" w:bidi="sr-Cyrl-CS"/>
        </w:rPr>
        <w:t>их</w:t>
      </w:r>
      <w:r w:rsidR="00CA5936" w:rsidRPr="00FF386D">
        <w:rPr>
          <w:rFonts w:ascii="Calibri Light" w:eastAsia="Times New Roman" w:hAnsi="Calibri Light" w:cs="Calibri Light"/>
          <w:szCs w:val="20"/>
          <w:lang w:eastAsia="el-GR" w:bidi="sr-Cyrl-CS"/>
        </w:rPr>
        <w:t xml:space="preserve"> олакшиц</w:t>
      </w:r>
      <w:r w:rsidRPr="00FF386D">
        <w:rPr>
          <w:rFonts w:ascii="Calibri Light" w:eastAsia="Times New Roman" w:hAnsi="Calibri Light" w:cs="Calibri Light"/>
          <w:szCs w:val="20"/>
          <w:lang w:eastAsia="el-GR" w:bidi="sr-Cyrl-CS"/>
        </w:rPr>
        <w:t>а</w:t>
      </w:r>
      <w:r w:rsidR="00CA5936" w:rsidRPr="00FF386D">
        <w:rPr>
          <w:rFonts w:ascii="Calibri Light" w:eastAsia="Times New Roman" w:hAnsi="Calibri Light" w:cs="Calibri Light"/>
          <w:szCs w:val="20"/>
          <w:lang w:eastAsia="el-GR" w:bidi="sr-Cyrl-CS"/>
        </w:rPr>
        <w:t xml:space="preserve"> за куповину енергетски ефикасних комерцијалних возила и финансијск</w:t>
      </w:r>
      <w:r w:rsidRPr="00FF386D">
        <w:rPr>
          <w:rFonts w:ascii="Calibri Light" w:eastAsia="Times New Roman" w:hAnsi="Calibri Light" w:cs="Calibri Light"/>
          <w:szCs w:val="20"/>
          <w:lang w:eastAsia="el-GR" w:bidi="sr-Cyrl-CS"/>
        </w:rPr>
        <w:t>их</w:t>
      </w:r>
      <w:r w:rsidR="00CA5936" w:rsidRPr="00FF386D">
        <w:rPr>
          <w:rFonts w:ascii="Calibri Light" w:eastAsia="Times New Roman" w:hAnsi="Calibri Light" w:cs="Calibri Light"/>
          <w:szCs w:val="20"/>
          <w:lang w:eastAsia="el-GR" w:bidi="sr-Cyrl-CS"/>
        </w:rPr>
        <w:t>/ фискалн</w:t>
      </w:r>
      <w:r w:rsidRPr="00FF386D">
        <w:rPr>
          <w:rFonts w:ascii="Calibri Light" w:eastAsia="Times New Roman" w:hAnsi="Calibri Light" w:cs="Calibri Light"/>
          <w:szCs w:val="20"/>
          <w:lang w:eastAsia="el-GR" w:bidi="sr-Cyrl-CS"/>
        </w:rPr>
        <w:t>их</w:t>
      </w:r>
      <w:r w:rsidR="00CA5936" w:rsidRPr="00FF386D">
        <w:rPr>
          <w:rFonts w:ascii="Calibri Light" w:eastAsia="Times New Roman" w:hAnsi="Calibri Light" w:cs="Calibri Light"/>
          <w:szCs w:val="20"/>
          <w:lang w:eastAsia="el-GR" w:bidi="sr-Cyrl-CS"/>
        </w:rPr>
        <w:t xml:space="preserve"> мер</w:t>
      </w:r>
      <w:r w:rsidRPr="00FF386D">
        <w:rPr>
          <w:rFonts w:ascii="Calibri Light" w:eastAsia="Times New Roman" w:hAnsi="Calibri Light" w:cs="Calibri Light"/>
          <w:szCs w:val="20"/>
          <w:lang w:eastAsia="el-GR" w:bidi="sr-Cyrl-CS"/>
        </w:rPr>
        <w:t>а</w:t>
      </w:r>
      <w:r w:rsidR="00CA5936" w:rsidRPr="00FF386D">
        <w:rPr>
          <w:rFonts w:ascii="Calibri Light" w:eastAsia="Times New Roman" w:hAnsi="Calibri Light" w:cs="Calibri Light"/>
          <w:szCs w:val="20"/>
          <w:lang w:eastAsia="el-GR" w:bidi="sr-Cyrl-CS"/>
        </w:rPr>
        <w:t xml:space="preserve"> за замену конвенционалних лаких и тешких возила за теретни саобраћај, као и за модернизацију постојеће железничке инфраструктуре у земљи.</w:t>
      </w:r>
    </w:p>
    <w:p w14:paraId="35793F20" w14:textId="0D358D57" w:rsidR="00CA5936" w:rsidRPr="00FF386D" w:rsidRDefault="00113873" w:rsidP="00CA5936">
      <w:pPr>
        <w:widowControl w:val="0"/>
        <w:spacing w:after="120" w:line="240" w:lineRule="auto"/>
        <w:jc w:val="both"/>
        <w:rPr>
          <w:rFonts w:ascii="Calibri Light" w:eastAsia="Times New Roman" w:hAnsi="Calibri Light" w:cs="Calibri Light"/>
          <w:szCs w:val="20"/>
          <w:lang w:eastAsia="el-GR" w:bidi="sr-Cyrl-CS"/>
        </w:rPr>
      </w:pPr>
      <w:r>
        <w:rPr>
          <w:rFonts w:ascii="Calibri Light" w:eastAsia="Times New Roman" w:hAnsi="Calibri Light" w:cs="Calibri Light"/>
          <w:szCs w:val="20"/>
          <w:lang w:eastAsia="el-GR" w:bidi="sr-Cyrl-CS"/>
        </w:rPr>
        <w:t>Важно је поменути да од укупних трошкова од 20,94 милијарде евра, 19,0</w:t>
      </w:r>
      <w:r w:rsidR="004756D7">
        <w:rPr>
          <w:rFonts w:ascii="Calibri Light" w:eastAsia="Times New Roman" w:hAnsi="Calibri Light" w:cs="Calibri Light"/>
          <w:szCs w:val="20"/>
          <w:lang w:eastAsia="el-GR" w:bidi="sr-Cyrl-CS"/>
        </w:rPr>
        <w:t>7</w:t>
      </w:r>
      <w:r>
        <w:rPr>
          <w:rFonts w:ascii="Calibri Light" w:eastAsia="Times New Roman" w:hAnsi="Calibri Light" w:cs="Calibri Light"/>
          <w:szCs w:val="20"/>
          <w:lang w:eastAsia="el-GR" w:bidi="sr-Cyrl-CS"/>
        </w:rPr>
        <w:t xml:space="preserve">% (5,83 милијарде) се односи на мере које такође утичу и на димензију </w:t>
      </w:r>
      <w:r w:rsidR="006E1086">
        <w:rPr>
          <w:rFonts w:ascii="Calibri Light" w:eastAsia="Times New Roman" w:hAnsi="Calibri Light" w:cs="Calibri Light"/>
          <w:szCs w:val="20"/>
          <w:lang w:eastAsia="el-GR" w:bidi="sr-Cyrl-CS"/>
        </w:rPr>
        <w:t>д</w:t>
      </w:r>
      <w:r>
        <w:rPr>
          <w:rFonts w:ascii="Calibri Light" w:eastAsia="Times New Roman" w:hAnsi="Calibri Light" w:cs="Calibri Light"/>
          <w:szCs w:val="20"/>
          <w:lang w:eastAsia="el-GR" w:bidi="sr-Cyrl-CS"/>
        </w:rPr>
        <w:t xml:space="preserve">екарбонизације, али трошкови имплементацију нису </w:t>
      </w:r>
      <w:r w:rsidR="006E1086">
        <w:rPr>
          <w:rFonts w:ascii="Calibri Light" w:eastAsia="Times New Roman" w:hAnsi="Calibri Light" w:cs="Calibri Light"/>
          <w:szCs w:val="20"/>
          <w:lang w:eastAsia="el-GR" w:bidi="sr-Cyrl-CS"/>
        </w:rPr>
        <w:t xml:space="preserve">дупло рачунати. Тачније, утиче на мере </w:t>
      </w:r>
      <w:r w:rsidR="006E1086" w:rsidRPr="00565B02">
        <w:rPr>
          <w:rFonts w:ascii="Calibri Light" w:eastAsia="Times New Roman" w:hAnsi="Calibri Light" w:cs="Calibri Light"/>
          <w:b/>
          <w:bCs/>
          <w:szCs w:val="20"/>
          <w:lang w:eastAsia="el-GR" w:bidi="sr-Cyrl-CS"/>
        </w:rPr>
        <w:t>МП_Д29, МП_Д30, МП_Д35 и МП_Д43</w:t>
      </w:r>
      <w:r w:rsidR="006E1086">
        <w:rPr>
          <w:rFonts w:ascii="Calibri Light" w:eastAsia="Times New Roman" w:hAnsi="Calibri Light" w:cs="Calibri Light"/>
          <w:szCs w:val="20"/>
          <w:lang w:eastAsia="el-GR" w:bidi="sr-Cyrl-CS"/>
        </w:rPr>
        <w:t>. П</w:t>
      </w:r>
      <w:r w:rsidR="00BA3A4C">
        <w:rPr>
          <w:rFonts w:ascii="Calibri Light" w:eastAsia="Times New Roman" w:hAnsi="Calibri Light" w:cs="Calibri Light"/>
          <w:szCs w:val="20"/>
          <w:lang w:eastAsia="el-GR" w:bidi="sr-Cyrl-CS"/>
        </w:rPr>
        <w:t>о</w:t>
      </w:r>
      <w:r w:rsidR="006E1086">
        <w:rPr>
          <w:rFonts w:ascii="Calibri Light" w:eastAsia="Times New Roman" w:hAnsi="Calibri Light" w:cs="Calibri Light"/>
          <w:szCs w:val="20"/>
          <w:lang w:eastAsia="el-GR" w:bidi="sr-Cyrl-CS"/>
        </w:rPr>
        <w:t>ред тих трошкова, и</w:t>
      </w:r>
      <w:r w:rsidR="00CA5936" w:rsidRPr="00FF386D">
        <w:rPr>
          <w:rFonts w:ascii="Calibri Light" w:eastAsia="Times New Roman" w:hAnsi="Calibri Light" w:cs="Calibri Light"/>
          <w:szCs w:val="20"/>
          <w:lang w:eastAsia="el-GR" w:bidi="sr-Cyrl-CS"/>
        </w:rPr>
        <w:t xml:space="preserve">нвестиционе потребе које се односе на декарбонизацију, тачније на емисије гасова са ефектом стаклене баште и обновљиву енергију износе око </w:t>
      </w:r>
      <w:r w:rsidR="006E1086">
        <w:rPr>
          <w:rFonts w:ascii="Calibri Light" w:eastAsia="Times New Roman" w:hAnsi="Calibri Light" w:cs="Calibri Light"/>
          <w:szCs w:val="20"/>
          <w:lang w:eastAsia="el-GR" w:bidi="sr-Cyrl-CS"/>
        </w:rPr>
        <w:t>5,2</w:t>
      </w:r>
      <w:r w:rsidR="00E61DD6" w:rsidRPr="00FF386D">
        <w:rPr>
          <w:rFonts w:ascii="Calibri Light" w:eastAsia="Times New Roman" w:hAnsi="Calibri Light" w:cs="Calibri Light"/>
          <w:szCs w:val="20"/>
          <w:lang w:eastAsia="el-GR" w:bidi="sr-Cyrl-CS"/>
        </w:rPr>
        <w:t xml:space="preserve"> </w:t>
      </w:r>
      <w:r w:rsidR="00CA5936" w:rsidRPr="00FF386D">
        <w:rPr>
          <w:rFonts w:ascii="Calibri Light" w:eastAsia="Times New Roman" w:hAnsi="Calibri Light" w:cs="Calibri Light"/>
          <w:szCs w:val="20"/>
          <w:lang w:eastAsia="el-GR" w:bidi="sr-Cyrl-CS"/>
        </w:rPr>
        <w:t>милијарди евра до 2030. године.</w:t>
      </w:r>
    </w:p>
    <w:p w14:paraId="52A142CA" w14:textId="2A80ADDC" w:rsidR="00E8583E" w:rsidRDefault="00E8583E" w:rsidP="00565B02">
      <w:pPr>
        <w:pStyle w:val="Caption"/>
        <w:keepNext/>
      </w:pPr>
      <w:bookmarkStart w:id="457" w:name="_Ref153896651"/>
      <w:bookmarkStart w:id="458" w:name="_Toc153901460"/>
      <w:r>
        <w:lastRenderedPageBreak/>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48</w:t>
      </w:r>
      <w:r w:rsidR="00F35B2C">
        <w:fldChar w:fldCharType="end"/>
      </w:r>
      <w:bookmarkEnd w:id="457"/>
      <w:r>
        <w:t xml:space="preserve">: </w:t>
      </w:r>
      <w:r w:rsidRPr="00E8583E">
        <w:t>Дистрибуција трошкова имплементације по димензији</w:t>
      </w:r>
      <w:bookmarkEnd w:id="458"/>
    </w:p>
    <w:p w14:paraId="2FA4CED8" w14:textId="0061E05F" w:rsidR="0065579F" w:rsidRPr="0065579F" w:rsidRDefault="00543876" w:rsidP="000A2AFE">
      <w:pPr>
        <w:jc w:val="center"/>
      </w:pPr>
      <w:r>
        <w:rPr>
          <w:noProof/>
        </w:rPr>
        <w:drawing>
          <wp:inline distT="0" distB="0" distL="0" distR="0" wp14:anchorId="0362AE68" wp14:editId="6A1C0E19">
            <wp:extent cx="5444490" cy="3499485"/>
            <wp:effectExtent l="0" t="0" r="3810" b="5715"/>
            <wp:docPr id="194653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44490" cy="3499485"/>
                    </a:xfrm>
                    <a:prstGeom prst="rect">
                      <a:avLst/>
                    </a:prstGeom>
                    <a:noFill/>
                  </pic:spPr>
                </pic:pic>
              </a:graphicData>
            </a:graphic>
          </wp:inline>
        </w:drawing>
      </w:r>
    </w:p>
    <w:p w14:paraId="04B6B7D4" w14:textId="715E4C22" w:rsidR="00CA5936" w:rsidRPr="00FF386D" w:rsidRDefault="00CA5936" w:rsidP="00CA5936">
      <w:pPr>
        <w:widowControl w:val="0"/>
        <w:spacing w:after="120" w:line="240" w:lineRule="auto"/>
        <w:jc w:val="both"/>
        <w:rPr>
          <w:rFonts w:ascii="Calibri Light" w:eastAsia="Times New Roman" w:hAnsi="Calibri Light" w:cs="Calibri Light"/>
          <w:szCs w:val="20"/>
          <w:lang w:eastAsia="el-GR"/>
        </w:rPr>
      </w:pPr>
      <w:r w:rsidRPr="00FF386D">
        <w:rPr>
          <w:rFonts w:ascii="Calibri Light" w:eastAsia="Times New Roman" w:hAnsi="Calibri Light" w:cs="Calibri Light"/>
          <w:szCs w:val="20"/>
          <w:lang w:eastAsia="el-GR" w:bidi="sr-Cyrl-CS"/>
        </w:rPr>
        <w:t xml:space="preserve">Преглед појединачних мера наведених у оквиру пет димензија (тј. декарбонизација, енергетска ефикасност, енергетска </w:t>
      </w:r>
      <w:r w:rsidR="00AD5C81" w:rsidRPr="00FF386D">
        <w:rPr>
          <w:rFonts w:ascii="Calibri Light" w:eastAsia="Times New Roman" w:hAnsi="Calibri Light" w:cs="Calibri Light"/>
          <w:szCs w:val="20"/>
          <w:lang w:eastAsia="el-GR" w:bidi="sr-Cyrl-CS"/>
        </w:rPr>
        <w:t>сигурност</w:t>
      </w:r>
      <w:r w:rsidRPr="00FF386D">
        <w:rPr>
          <w:rFonts w:ascii="Calibri Light" w:eastAsia="Times New Roman" w:hAnsi="Calibri Light" w:cs="Calibri Light"/>
          <w:szCs w:val="20"/>
          <w:lang w:eastAsia="el-GR" w:bidi="sr-Cyrl-CS"/>
        </w:rPr>
        <w:t xml:space="preserve">, унутрашње енергетско тржиште, те истраживање, иновације и конкурентност), заједно са трошковима њихове </w:t>
      </w:r>
      <w:r w:rsidRPr="00777B33">
        <w:rPr>
          <w:rFonts w:ascii="Calibri Light" w:eastAsia="Times New Roman" w:hAnsi="Calibri Light" w:cs="Calibri Light"/>
          <w:szCs w:val="20"/>
          <w:lang w:eastAsia="el-GR" w:bidi="sr-Cyrl-CS"/>
        </w:rPr>
        <w:t xml:space="preserve">имплементације сумирани су </w:t>
      </w:r>
      <w:r w:rsidR="00ED4508" w:rsidRPr="00777B33">
        <w:rPr>
          <w:rFonts w:ascii="Calibri Light" w:eastAsia="Times New Roman" w:hAnsi="Calibri Light" w:cs="Calibri Light"/>
          <w:szCs w:val="20"/>
          <w:lang w:eastAsia="el-GR" w:bidi="sr-Cyrl-CS"/>
        </w:rPr>
        <w:t>на</w:t>
      </w:r>
      <w:r w:rsidR="00E8583E" w:rsidRPr="00777B33">
        <w:rPr>
          <w:rFonts w:ascii="Calibri Light" w:eastAsia="Times New Roman" w:hAnsi="Calibri Light" w:cs="Calibri Light"/>
          <w:szCs w:val="20"/>
          <w:lang w:eastAsia="el-GR" w:bidi="sr-Cyrl-CS"/>
        </w:rPr>
        <w:t xml:space="preserve"> </w:t>
      </w:r>
      <w:r w:rsidR="00777B33" w:rsidRPr="00565B02">
        <w:rPr>
          <w:rFonts w:ascii="Calibri Light" w:eastAsia="Times New Roman" w:hAnsi="Calibri Light" w:cs="Calibri Light"/>
          <w:szCs w:val="20"/>
          <w:lang w:eastAsia="el-GR" w:bidi="sr-Cyrl-CS"/>
        </w:rPr>
        <w:fldChar w:fldCharType="begin"/>
      </w:r>
      <w:r w:rsidR="00777B33" w:rsidRPr="00565B02">
        <w:rPr>
          <w:rFonts w:ascii="Calibri Light" w:eastAsia="Times New Roman" w:hAnsi="Calibri Light" w:cs="Calibri Light"/>
          <w:szCs w:val="20"/>
          <w:lang w:eastAsia="el-GR" w:bidi="sr-Cyrl-CS"/>
        </w:rPr>
        <w:instrText xml:space="preserve"> REF _Ref153897308 \h </w:instrText>
      </w:r>
      <w:r w:rsidR="00777B33">
        <w:rPr>
          <w:rFonts w:ascii="Calibri Light" w:eastAsia="Times New Roman" w:hAnsi="Calibri Light" w:cs="Calibri Light"/>
          <w:szCs w:val="20"/>
          <w:lang w:eastAsia="el-GR" w:bidi="sr-Cyrl-CS"/>
        </w:rPr>
        <w:instrText xml:space="preserve"> \* MERGEFORMAT </w:instrText>
      </w:r>
      <w:r w:rsidR="00777B33" w:rsidRPr="00565B02">
        <w:rPr>
          <w:rFonts w:ascii="Calibri Light" w:eastAsia="Times New Roman" w:hAnsi="Calibri Light" w:cs="Calibri Light"/>
          <w:szCs w:val="20"/>
          <w:lang w:eastAsia="el-GR" w:bidi="sr-Cyrl-CS"/>
        </w:rPr>
      </w:r>
      <w:r w:rsidR="00777B33" w:rsidRPr="00565B02">
        <w:rPr>
          <w:rFonts w:ascii="Calibri Light" w:eastAsia="Times New Roman" w:hAnsi="Calibri Light" w:cs="Calibri Light"/>
          <w:szCs w:val="20"/>
          <w:lang w:eastAsia="el-GR" w:bidi="sr-Cyrl-CS"/>
        </w:rPr>
        <w:fldChar w:fldCharType="separate"/>
      </w:r>
      <w:r w:rsidR="00777B33" w:rsidRPr="00565B02">
        <w:rPr>
          <w:rFonts w:ascii="Calibri Light" w:eastAsia="Times New Roman" w:hAnsi="Calibri Light" w:cs="Calibri Light"/>
          <w:szCs w:val="20"/>
          <w:lang w:eastAsia="el-GR" w:bidi="sr-Cyrl-CS"/>
        </w:rPr>
        <w:t>слици 5.49</w:t>
      </w:r>
      <w:r w:rsidR="00777B33" w:rsidRPr="00565B02">
        <w:rPr>
          <w:rFonts w:ascii="Calibri Light" w:eastAsia="Times New Roman" w:hAnsi="Calibri Light" w:cs="Calibri Light"/>
          <w:szCs w:val="20"/>
          <w:lang w:eastAsia="el-GR" w:bidi="sr-Cyrl-CS"/>
        </w:rPr>
        <w:fldChar w:fldCharType="end"/>
      </w:r>
      <w:r w:rsidRPr="00777B33">
        <w:rPr>
          <w:rFonts w:ascii="Calibri Light" w:eastAsia="Times New Roman" w:hAnsi="Calibri Light" w:cs="Calibri Light"/>
          <w:szCs w:val="20"/>
          <w:lang w:eastAsia="el-GR" w:bidi="sr-Cyrl-CS"/>
        </w:rPr>
        <w:t>,</w:t>
      </w:r>
      <w:r w:rsidRPr="00777B33">
        <w:rPr>
          <w:rFonts w:ascii="Calibri Light" w:eastAsia="Times New Roman" w:hAnsi="Calibri Light" w:cs="Calibri Light"/>
          <w:szCs w:val="20"/>
          <w:lang w:eastAsia="el-GR"/>
        </w:rPr>
        <w:t xml:space="preserve"> </w:t>
      </w:r>
      <w:r w:rsidRPr="00777B33">
        <w:rPr>
          <w:rFonts w:ascii="Calibri Light" w:eastAsia="Times New Roman" w:hAnsi="Calibri Light" w:cs="Calibri Light"/>
          <w:szCs w:val="20"/>
          <w:lang w:eastAsia="el-GR" w:bidi="sr-Cyrl-CS"/>
        </w:rPr>
        <w:t>док</w:t>
      </w:r>
      <w:r w:rsidRPr="00FF386D">
        <w:rPr>
          <w:rFonts w:ascii="Calibri Light" w:eastAsia="Times New Roman" w:hAnsi="Calibri Light" w:cs="Calibri Light"/>
          <w:szCs w:val="20"/>
          <w:lang w:eastAsia="el-GR" w:bidi="sr-Cyrl-CS"/>
        </w:rPr>
        <w:t xml:space="preserve"> је детаљна листа мера садржана у Анексу I. У случајевима када се мера спроводи </w:t>
      </w:r>
      <w:r w:rsidR="00E175B4">
        <w:rPr>
          <w:rFonts w:ascii="Calibri Light" w:eastAsia="Times New Roman" w:hAnsi="Calibri Light" w:cs="Calibri Light"/>
          <w:szCs w:val="20"/>
          <w:lang w:eastAsia="el-GR" w:bidi="sr-Cyrl-CS"/>
        </w:rPr>
        <w:t xml:space="preserve">подељено </w:t>
      </w:r>
      <w:r w:rsidR="00380174" w:rsidRPr="00FF386D">
        <w:rPr>
          <w:rFonts w:ascii="Calibri Light" w:eastAsia="Times New Roman" w:hAnsi="Calibri Light" w:cs="Calibri Light"/>
          <w:szCs w:val="20"/>
          <w:lang w:eastAsia="el-GR" w:bidi="sr-Cyrl-CS"/>
        </w:rPr>
        <w:t>у оквиру</w:t>
      </w:r>
      <w:r w:rsidRPr="00FF386D">
        <w:rPr>
          <w:rFonts w:ascii="Calibri Light" w:eastAsia="Times New Roman" w:hAnsi="Calibri Light" w:cs="Calibri Light"/>
          <w:szCs w:val="20"/>
          <w:lang w:eastAsia="el-GR" w:bidi="sr-Cyrl-CS"/>
        </w:rPr>
        <w:t xml:space="preserve"> </w:t>
      </w:r>
      <w:r w:rsidRPr="00FF386D">
        <w:rPr>
          <w:rFonts w:ascii="Calibri Light" w:eastAsia="Times New Roman" w:hAnsi="Calibri Light" w:cs="Calibri Light"/>
          <w:i/>
          <w:iCs/>
          <w:szCs w:val="20"/>
          <w:lang w:eastAsia="el-GR" w:bidi="sr-Cyrl-CS"/>
        </w:rPr>
        <w:t>WEM</w:t>
      </w:r>
      <w:r w:rsidRPr="00FF386D">
        <w:rPr>
          <w:rFonts w:ascii="Calibri Light" w:eastAsia="Times New Roman" w:hAnsi="Calibri Light" w:cs="Calibri Light"/>
          <w:szCs w:val="20"/>
          <w:lang w:eastAsia="el-GR" w:bidi="sr-Cyrl-CS"/>
        </w:rPr>
        <w:t xml:space="preserve"> и </w:t>
      </w:r>
      <w:r w:rsidRPr="00FF386D">
        <w:rPr>
          <w:rFonts w:ascii="Calibri Light" w:eastAsia="Times New Roman" w:hAnsi="Calibri Light" w:cs="Calibri Light"/>
          <w:i/>
          <w:iCs/>
          <w:szCs w:val="20"/>
          <w:lang w:eastAsia="el-GR" w:bidi="sr-Cyrl-CS"/>
        </w:rPr>
        <w:t>WAM</w:t>
      </w:r>
      <w:r w:rsidRPr="00FF386D">
        <w:rPr>
          <w:rFonts w:ascii="Calibri Light" w:eastAsia="Times New Roman" w:hAnsi="Calibri Light" w:cs="Calibri Light"/>
          <w:szCs w:val="20"/>
          <w:lang w:eastAsia="el-GR" w:bidi="sr-Cyrl-CS"/>
        </w:rPr>
        <w:t xml:space="preserve"> сценариј</w:t>
      </w:r>
      <w:r w:rsidR="00380174" w:rsidRPr="00FF386D">
        <w:rPr>
          <w:rFonts w:ascii="Calibri Light" w:eastAsia="Times New Roman" w:hAnsi="Calibri Light" w:cs="Calibri Light"/>
          <w:szCs w:val="20"/>
          <w:lang w:eastAsia="el-GR" w:bidi="sr-Cyrl-CS"/>
        </w:rPr>
        <w:t>а</w:t>
      </w:r>
      <w:r w:rsidRPr="00FF386D">
        <w:rPr>
          <w:rFonts w:ascii="Calibri Light" w:eastAsia="Times New Roman" w:hAnsi="Calibri Light" w:cs="Calibri Light"/>
          <w:szCs w:val="20"/>
          <w:lang w:eastAsia="el-GR" w:bidi="sr-Cyrl-CS"/>
        </w:rPr>
        <w:t xml:space="preserve">, претпоставља се да су трошкови имплементације подељени између </w:t>
      </w:r>
      <w:r w:rsidRPr="00FF386D">
        <w:rPr>
          <w:rFonts w:ascii="Calibri Light" w:eastAsia="Times New Roman" w:hAnsi="Calibri Light" w:cs="Calibri Light"/>
          <w:i/>
          <w:iCs/>
          <w:szCs w:val="20"/>
          <w:lang w:eastAsia="el-GR" w:bidi="sr-Cyrl-CS"/>
        </w:rPr>
        <w:t>WEM</w:t>
      </w:r>
      <w:r w:rsidRPr="00FF386D">
        <w:rPr>
          <w:rFonts w:ascii="Calibri Light" w:eastAsia="Times New Roman" w:hAnsi="Calibri Light" w:cs="Calibri Light"/>
          <w:szCs w:val="20"/>
          <w:lang w:eastAsia="el-GR" w:bidi="sr-Cyrl-CS"/>
        </w:rPr>
        <w:t xml:space="preserve"> и </w:t>
      </w:r>
      <w:r w:rsidRPr="00FF386D">
        <w:rPr>
          <w:rFonts w:ascii="Calibri Light" w:eastAsia="Times New Roman" w:hAnsi="Calibri Light" w:cs="Calibri Light"/>
          <w:i/>
          <w:iCs/>
          <w:szCs w:val="20"/>
          <w:lang w:eastAsia="el-GR" w:bidi="sr-Cyrl-CS"/>
        </w:rPr>
        <w:t>WAM</w:t>
      </w:r>
      <w:r w:rsidRPr="00FF386D">
        <w:rPr>
          <w:rFonts w:ascii="Calibri Light" w:eastAsia="Times New Roman" w:hAnsi="Calibri Light" w:cs="Calibri Light"/>
          <w:szCs w:val="20"/>
          <w:lang w:eastAsia="el-GR" w:bidi="sr-Cyrl-CS"/>
        </w:rPr>
        <w:t>, у складу са одредбама конкретне мере.</w:t>
      </w:r>
      <w:r w:rsidR="00773885" w:rsidRPr="00FF386D">
        <w:rPr>
          <w:rFonts w:ascii="Calibri Light" w:eastAsia="Times New Roman" w:hAnsi="Calibri Light" w:cs="Calibri Light"/>
          <w:szCs w:val="20"/>
          <w:lang w:eastAsia="el-GR" w:bidi="sr-Cyrl-CS"/>
        </w:rPr>
        <w:t xml:space="preserve"> Долази се до тога</w:t>
      </w:r>
      <w:r w:rsidRPr="00FF386D">
        <w:rPr>
          <w:rFonts w:ascii="Calibri Light" w:eastAsia="Times New Roman" w:hAnsi="Calibri Light" w:cs="Calibri Light"/>
          <w:szCs w:val="20"/>
          <w:lang w:eastAsia="el-GR" w:bidi="sr-Cyrl-CS"/>
        </w:rPr>
        <w:t xml:space="preserve"> да </w:t>
      </w:r>
      <w:r w:rsidR="00ED4508">
        <w:rPr>
          <w:rFonts w:ascii="Calibri Light" w:eastAsia="Times New Roman" w:hAnsi="Calibri Light" w:cs="Calibri Light"/>
          <w:szCs w:val="20"/>
          <w:lang w:eastAsia="el-GR" w:bidi="sr-Cyrl-CS"/>
        </w:rPr>
        <w:t>трошкови</w:t>
      </w:r>
      <w:r w:rsidRPr="00FF386D">
        <w:rPr>
          <w:rFonts w:ascii="Calibri Light" w:eastAsia="Times New Roman" w:hAnsi="Calibri Light" w:cs="Calibri Light"/>
          <w:szCs w:val="20"/>
          <w:lang w:eastAsia="el-GR" w:bidi="sr-Cyrl-CS"/>
        </w:rPr>
        <w:t xml:space="preserve"> у сценарију </w:t>
      </w:r>
      <w:r w:rsidR="00773885" w:rsidRPr="00FF386D">
        <w:rPr>
          <w:rFonts w:ascii="Calibri Light" w:eastAsia="Times New Roman" w:hAnsi="Calibri Light" w:cs="Calibri Light"/>
          <w:i/>
          <w:iCs/>
          <w:szCs w:val="20"/>
          <w:lang w:eastAsia="el-GR" w:bidi="sr-Cyrl-CS"/>
        </w:rPr>
        <w:t>WEM</w:t>
      </w:r>
      <w:r w:rsidR="00773885" w:rsidRPr="00FF386D">
        <w:rPr>
          <w:rFonts w:ascii="Calibri Light" w:eastAsia="Times New Roman" w:hAnsi="Calibri Light" w:cs="Calibri Light"/>
          <w:szCs w:val="20"/>
          <w:lang w:eastAsia="el-GR" w:bidi="sr-Cyrl-CS"/>
        </w:rPr>
        <w:t xml:space="preserve"> </w:t>
      </w:r>
      <w:r w:rsidR="00ED4508">
        <w:rPr>
          <w:rFonts w:ascii="Calibri Light" w:eastAsia="Times New Roman" w:hAnsi="Calibri Light" w:cs="Calibri Light"/>
          <w:szCs w:val="20"/>
          <w:lang w:eastAsia="el-GR" w:bidi="sr-Cyrl-CS"/>
        </w:rPr>
        <w:t>износе</w:t>
      </w:r>
      <w:r w:rsidRPr="00FF386D">
        <w:rPr>
          <w:rFonts w:ascii="Calibri Light" w:eastAsia="Times New Roman" w:hAnsi="Calibri Light" w:cs="Calibri Light"/>
          <w:szCs w:val="20"/>
          <w:lang w:eastAsia="el-GR" w:bidi="sr-Cyrl-CS"/>
        </w:rPr>
        <w:t xml:space="preserve"> око 1</w:t>
      </w:r>
      <w:r w:rsidR="00055757" w:rsidRPr="00FF386D">
        <w:rPr>
          <w:rFonts w:ascii="Calibri Light" w:eastAsia="Times New Roman" w:hAnsi="Calibri Light" w:cs="Calibri Light"/>
          <w:szCs w:val="20"/>
          <w:lang w:eastAsia="el-GR" w:bidi="sr-Cyrl-CS"/>
        </w:rPr>
        <w:t>6,</w:t>
      </w:r>
      <w:r w:rsidR="00BA3A4C">
        <w:rPr>
          <w:rFonts w:ascii="Calibri Light" w:eastAsia="Times New Roman" w:hAnsi="Calibri Light" w:cs="Calibri Light"/>
          <w:szCs w:val="20"/>
          <w:lang w:eastAsia="el-GR" w:bidi="sr-Cyrl-CS"/>
        </w:rPr>
        <w:t>7</w:t>
      </w:r>
      <w:r w:rsidR="004756D7">
        <w:rPr>
          <w:rFonts w:ascii="Calibri Light" w:eastAsia="Times New Roman" w:hAnsi="Calibri Light" w:cs="Calibri Light"/>
          <w:szCs w:val="20"/>
          <w:lang w:eastAsia="el-GR" w:bidi="sr-Cyrl-CS"/>
        </w:rPr>
        <w:t>6</w:t>
      </w:r>
      <w:r w:rsidR="00E175B4" w:rsidRPr="00FF386D">
        <w:rPr>
          <w:rFonts w:ascii="Calibri Light" w:eastAsia="Times New Roman" w:hAnsi="Calibri Light" w:cs="Calibri Light"/>
          <w:szCs w:val="20"/>
          <w:lang w:eastAsia="el-GR" w:bidi="sr-Cyrl-CS"/>
        </w:rPr>
        <w:t xml:space="preserve"> </w:t>
      </w:r>
      <w:r w:rsidRPr="00FF386D">
        <w:rPr>
          <w:rFonts w:ascii="Calibri Light" w:eastAsia="Times New Roman" w:hAnsi="Calibri Light" w:cs="Calibri Light"/>
          <w:szCs w:val="20"/>
          <w:lang w:eastAsia="el-GR" w:bidi="sr-Cyrl-CS"/>
        </w:rPr>
        <w:t>милијарди евра</w:t>
      </w:r>
      <w:r w:rsidR="00773885" w:rsidRPr="00FF386D">
        <w:rPr>
          <w:rFonts w:ascii="Calibri Light" w:eastAsia="Times New Roman" w:hAnsi="Calibri Light" w:cs="Calibri Light"/>
          <w:szCs w:val="20"/>
          <w:lang w:eastAsia="el-GR" w:bidi="sr-Cyrl-CS"/>
        </w:rPr>
        <w:t xml:space="preserve"> за</w:t>
      </w:r>
      <w:r w:rsidRPr="00FF386D">
        <w:rPr>
          <w:rFonts w:ascii="Calibri Light" w:eastAsia="Times New Roman" w:hAnsi="Calibri Light" w:cs="Calibri Light"/>
          <w:szCs w:val="20"/>
          <w:lang w:eastAsia="el-GR" w:bidi="sr-Cyrl-CS"/>
        </w:rPr>
        <w:t xml:space="preserve"> инвестициј</w:t>
      </w:r>
      <w:r w:rsidR="00773885" w:rsidRPr="00FF386D">
        <w:rPr>
          <w:rFonts w:ascii="Calibri Light" w:eastAsia="Times New Roman" w:hAnsi="Calibri Light" w:cs="Calibri Light"/>
          <w:szCs w:val="20"/>
          <w:lang w:eastAsia="el-GR" w:bidi="sr-Cyrl-CS"/>
        </w:rPr>
        <w:t>е</w:t>
      </w:r>
      <w:r w:rsidRPr="00FF386D">
        <w:rPr>
          <w:rFonts w:ascii="Calibri Light" w:eastAsia="Times New Roman" w:hAnsi="Calibri Light" w:cs="Calibri Light"/>
          <w:szCs w:val="20"/>
          <w:lang w:eastAsia="el-GR" w:bidi="sr-Cyrl-CS"/>
        </w:rPr>
        <w:t xml:space="preserve">, </w:t>
      </w:r>
      <w:r w:rsidR="00773885" w:rsidRPr="00FF386D">
        <w:rPr>
          <w:rFonts w:ascii="Calibri Light" w:eastAsia="Times New Roman" w:hAnsi="Calibri Light" w:cs="Calibri Light"/>
          <w:szCs w:val="20"/>
          <w:lang w:eastAsia="el-GR" w:bidi="sr-Cyrl-CS"/>
        </w:rPr>
        <w:t xml:space="preserve">а </w:t>
      </w:r>
      <w:r w:rsidRPr="00FF386D">
        <w:rPr>
          <w:rFonts w:ascii="Calibri Light" w:eastAsia="Times New Roman" w:hAnsi="Calibri Light" w:cs="Calibri Light"/>
          <w:szCs w:val="20"/>
          <w:lang w:eastAsia="el-GR" w:bidi="sr-Cyrl-CS"/>
        </w:rPr>
        <w:t xml:space="preserve">у </w:t>
      </w:r>
      <w:r w:rsidRPr="00FF386D">
        <w:rPr>
          <w:rFonts w:ascii="Calibri Light" w:eastAsia="Times New Roman" w:hAnsi="Calibri Light" w:cs="Calibri Light"/>
          <w:i/>
          <w:iCs/>
          <w:szCs w:val="20"/>
          <w:lang w:eastAsia="el-GR" w:bidi="sr-Cyrl-CS"/>
        </w:rPr>
        <w:t>WAM</w:t>
      </w:r>
      <w:r w:rsidRPr="00FF386D">
        <w:rPr>
          <w:rFonts w:ascii="Calibri Light" w:eastAsia="Times New Roman" w:hAnsi="Calibri Light" w:cs="Calibri Light"/>
          <w:szCs w:val="20"/>
          <w:lang w:eastAsia="el-GR" w:bidi="sr-Cyrl-CS"/>
        </w:rPr>
        <w:t xml:space="preserve"> сценарију </w:t>
      </w:r>
      <w:r w:rsidR="00E175B4">
        <w:rPr>
          <w:rFonts w:ascii="Calibri Light" w:eastAsia="Times New Roman" w:hAnsi="Calibri Light" w:cs="Calibri Light"/>
          <w:szCs w:val="20"/>
          <w:lang w:eastAsia="el-GR" w:bidi="sr-Cyrl-CS"/>
        </w:rPr>
        <w:t>1</w:t>
      </w:r>
      <w:r w:rsidR="00BA3A4C">
        <w:rPr>
          <w:rFonts w:ascii="Calibri Light" w:eastAsia="Times New Roman" w:hAnsi="Calibri Light" w:cs="Calibri Light"/>
          <w:szCs w:val="20"/>
          <w:lang w:eastAsia="el-GR" w:bidi="sr-Cyrl-CS"/>
        </w:rPr>
        <w:t>3,79</w:t>
      </w:r>
      <w:r w:rsidRPr="00FF386D">
        <w:rPr>
          <w:rFonts w:ascii="Calibri Light" w:eastAsia="Times New Roman" w:hAnsi="Calibri Light" w:cs="Calibri Light"/>
          <w:szCs w:val="20"/>
          <w:lang w:eastAsia="el-GR" w:bidi="sr-Cyrl-CS"/>
        </w:rPr>
        <w:t xml:space="preserve"> милијарди евра.</w:t>
      </w:r>
    </w:p>
    <w:p w14:paraId="6247901B" w14:textId="3C91D570" w:rsidR="00777B33" w:rsidRPr="00565B02" w:rsidRDefault="00CA5936" w:rsidP="00565B02">
      <w:pPr>
        <w:widowControl w:val="0"/>
        <w:spacing w:after="120" w:line="240" w:lineRule="auto"/>
        <w:jc w:val="both"/>
        <w:rPr>
          <w:lang w:val="sr-Latn-RS"/>
        </w:rPr>
      </w:pPr>
      <w:r w:rsidRPr="00FF386D">
        <w:rPr>
          <w:rFonts w:ascii="Calibri Light" w:eastAsia="Times New Roman" w:hAnsi="Calibri Light" w:cs="Calibri Light"/>
          <w:szCs w:val="20"/>
          <w:lang w:eastAsia="el-GR" w:bidi="sr-Cyrl-CS"/>
        </w:rPr>
        <w:t xml:space="preserve">Овако </w:t>
      </w:r>
      <w:r w:rsidR="00380174" w:rsidRPr="00FF386D">
        <w:rPr>
          <w:rFonts w:ascii="Calibri Light" w:eastAsia="Times New Roman" w:hAnsi="Calibri Light" w:cs="Calibri Light"/>
          <w:szCs w:val="20"/>
          <w:lang w:eastAsia="el-GR" w:bidi="sr-Cyrl-CS"/>
        </w:rPr>
        <w:t>расподељена</w:t>
      </w:r>
      <w:r w:rsidRPr="00FF386D">
        <w:rPr>
          <w:rFonts w:ascii="Calibri Light" w:eastAsia="Times New Roman" w:hAnsi="Calibri Light" w:cs="Calibri Light"/>
          <w:szCs w:val="20"/>
          <w:lang w:eastAsia="el-GR" w:bidi="sr-Cyrl-CS"/>
        </w:rPr>
        <w:t xml:space="preserve"> средства у суштини указују на чињеницу да су значајни напори за декарбонизацију </w:t>
      </w:r>
      <w:r w:rsidR="00380174" w:rsidRPr="00FF386D">
        <w:rPr>
          <w:rFonts w:ascii="Calibri Light" w:eastAsia="Times New Roman" w:hAnsi="Calibri Light" w:cs="Calibri Light"/>
          <w:szCs w:val="20"/>
          <w:lang w:eastAsia="el-GR" w:bidi="sr-Cyrl-CS"/>
        </w:rPr>
        <w:t>већ обухваћени у оквиру сценарија</w:t>
      </w:r>
      <w:r w:rsidRPr="00FF386D">
        <w:rPr>
          <w:rFonts w:ascii="Calibri Light" w:eastAsia="Times New Roman" w:hAnsi="Calibri Light" w:cs="Calibri Light"/>
          <w:szCs w:val="20"/>
          <w:lang w:eastAsia="el-GR" w:bidi="sr-Cyrl-CS"/>
        </w:rPr>
        <w:t xml:space="preserve"> </w:t>
      </w:r>
      <w:r w:rsidRPr="00777B33">
        <w:rPr>
          <w:rFonts w:ascii="Calibri Light" w:eastAsia="Times New Roman" w:hAnsi="Calibri Light" w:cs="Calibri Light"/>
          <w:i/>
          <w:iCs/>
          <w:szCs w:val="20"/>
          <w:lang w:eastAsia="el-GR" w:bidi="sr-Cyrl-CS"/>
        </w:rPr>
        <w:t>WEM</w:t>
      </w:r>
      <w:r w:rsidRPr="00777B33">
        <w:rPr>
          <w:rFonts w:ascii="Calibri Light" w:eastAsia="Times New Roman" w:hAnsi="Calibri Light" w:cs="Calibri Light"/>
          <w:szCs w:val="20"/>
          <w:lang w:eastAsia="el-GR" w:bidi="sr-Cyrl-CS"/>
        </w:rPr>
        <w:t xml:space="preserve"> </w:t>
      </w:r>
      <w:r w:rsidRPr="00565B02">
        <w:rPr>
          <w:rFonts w:ascii="Calibri Light" w:eastAsia="Times New Roman" w:hAnsi="Calibri Light" w:cs="Calibri Light"/>
          <w:szCs w:val="20"/>
          <w:lang w:eastAsia="el-GR" w:bidi="sr-Cyrl-CS"/>
        </w:rPr>
        <w:t>(</w:t>
      </w:r>
      <w:r w:rsidR="00777B33" w:rsidRPr="00565B02">
        <w:rPr>
          <w:rFonts w:ascii="Calibri Light" w:eastAsia="Times New Roman" w:hAnsi="Calibri Light" w:cs="Calibri Light"/>
          <w:szCs w:val="20"/>
          <w:lang w:eastAsia="el-GR" w:bidi="sr-Cyrl-CS"/>
        </w:rPr>
        <w:fldChar w:fldCharType="begin"/>
      </w:r>
      <w:r w:rsidR="00777B33" w:rsidRPr="00565B02">
        <w:rPr>
          <w:rFonts w:ascii="Calibri Light" w:eastAsia="Times New Roman" w:hAnsi="Calibri Light" w:cs="Calibri Light"/>
          <w:szCs w:val="20"/>
          <w:lang w:eastAsia="el-GR" w:bidi="sr-Cyrl-CS"/>
        </w:rPr>
        <w:instrText xml:space="preserve"> REF _Ref153897308 \h </w:instrText>
      </w:r>
      <w:r w:rsidR="00777B33">
        <w:rPr>
          <w:rFonts w:ascii="Calibri Light" w:eastAsia="Times New Roman" w:hAnsi="Calibri Light" w:cs="Calibri Light"/>
          <w:szCs w:val="20"/>
          <w:lang w:eastAsia="el-GR" w:bidi="sr-Cyrl-CS"/>
        </w:rPr>
        <w:instrText xml:space="preserve"> \* MERGEFORMAT </w:instrText>
      </w:r>
      <w:r w:rsidR="00777B33" w:rsidRPr="00565B02">
        <w:rPr>
          <w:rFonts w:ascii="Calibri Light" w:eastAsia="Times New Roman" w:hAnsi="Calibri Light" w:cs="Calibri Light"/>
          <w:szCs w:val="20"/>
          <w:lang w:eastAsia="el-GR" w:bidi="sr-Cyrl-CS"/>
        </w:rPr>
      </w:r>
      <w:r w:rsidR="00777B33" w:rsidRPr="00565B02">
        <w:rPr>
          <w:rFonts w:ascii="Calibri Light" w:eastAsia="Times New Roman" w:hAnsi="Calibri Light" w:cs="Calibri Light"/>
          <w:szCs w:val="20"/>
          <w:lang w:eastAsia="el-GR" w:bidi="sr-Cyrl-CS"/>
        </w:rPr>
        <w:fldChar w:fldCharType="separate"/>
      </w:r>
      <w:r w:rsidR="00777B33" w:rsidRPr="00565B02">
        <w:rPr>
          <w:rFonts w:ascii="Calibri Light" w:eastAsia="Times New Roman" w:hAnsi="Calibri Light" w:cs="Calibri Light"/>
          <w:szCs w:val="20"/>
          <w:lang w:eastAsia="el-GR" w:bidi="sr-Cyrl-CS"/>
        </w:rPr>
        <w:t>Слика 5.49</w:t>
      </w:r>
      <w:r w:rsidR="00777B33" w:rsidRPr="00565B02">
        <w:rPr>
          <w:rFonts w:ascii="Calibri Light" w:eastAsia="Times New Roman" w:hAnsi="Calibri Light" w:cs="Calibri Light"/>
          <w:szCs w:val="20"/>
          <w:lang w:eastAsia="el-GR" w:bidi="sr-Cyrl-CS"/>
        </w:rPr>
        <w:fldChar w:fldCharType="end"/>
      </w:r>
      <w:r w:rsidR="006A012F" w:rsidRPr="00565B02">
        <w:rPr>
          <w:rFonts w:ascii="Calibri Light" w:eastAsia="Times New Roman" w:hAnsi="Calibri Light" w:cs="Calibri Light"/>
          <w:szCs w:val="20"/>
          <w:lang w:eastAsia="el-GR" w:bidi="sr-Cyrl-CS"/>
        </w:rPr>
        <w:fldChar w:fldCharType="begin" w:fldLock="1"/>
      </w:r>
      <w:r w:rsidR="006A012F" w:rsidRPr="00565B02">
        <w:rPr>
          <w:rFonts w:ascii="Calibri Light" w:eastAsia="Times New Roman" w:hAnsi="Calibri Light" w:cs="Calibri Light"/>
          <w:szCs w:val="20"/>
          <w:lang w:eastAsia="el-GR" w:bidi="sr-Cyrl-CS"/>
        </w:rPr>
        <w:instrText xml:space="preserve"> REF _Ref136933232 \h  \* MERGEFORMAT </w:instrText>
      </w:r>
      <w:r w:rsidR="006A012F" w:rsidRPr="00565B02">
        <w:rPr>
          <w:rFonts w:ascii="Calibri Light" w:eastAsia="Times New Roman" w:hAnsi="Calibri Light" w:cs="Calibri Light"/>
          <w:szCs w:val="20"/>
          <w:lang w:eastAsia="el-GR" w:bidi="sr-Cyrl-CS"/>
        </w:rPr>
      </w:r>
      <w:r w:rsidR="006A012F" w:rsidRPr="00565B02">
        <w:rPr>
          <w:rFonts w:ascii="Calibri Light" w:eastAsia="Times New Roman" w:hAnsi="Calibri Light" w:cs="Calibri Light"/>
          <w:szCs w:val="20"/>
          <w:lang w:eastAsia="el-GR" w:bidi="sr-Cyrl-CS"/>
        </w:rPr>
        <w:fldChar w:fldCharType="separate"/>
      </w:r>
      <w:r w:rsidR="006A012F" w:rsidRPr="00565B02">
        <w:rPr>
          <w:rFonts w:ascii="Calibri Light" w:eastAsia="Times New Roman" w:hAnsi="Calibri Light" w:cs="Calibri Light"/>
          <w:szCs w:val="20"/>
          <w:lang w:eastAsia="el-GR" w:bidi="sr-Cyrl-CS"/>
        </w:rPr>
        <w:fldChar w:fldCharType="end"/>
      </w:r>
      <w:r w:rsidRPr="00565B02">
        <w:rPr>
          <w:rFonts w:ascii="Calibri Light" w:eastAsia="Times New Roman" w:hAnsi="Calibri Light" w:cs="Calibri Light"/>
          <w:szCs w:val="20"/>
          <w:lang w:eastAsia="el-GR" w:bidi="sr-Cyrl-CS"/>
        </w:rPr>
        <w:t>).</w:t>
      </w:r>
      <w:r w:rsidRPr="00777B33">
        <w:rPr>
          <w:rFonts w:ascii="Calibri Light" w:eastAsia="Times New Roman" w:hAnsi="Calibri Light" w:cs="Calibri Light"/>
          <w:szCs w:val="20"/>
          <w:lang w:eastAsia="el-GR" w:bidi="sr-Cyrl-CS"/>
        </w:rPr>
        <w:t xml:space="preserve"> Такође</w:t>
      </w:r>
      <w:r w:rsidRPr="00FF386D">
        <w:rPr>
          <w:rFonts w:ascii="Calibri Light" w:eastAsia="Times New Roman" w:hAnsi="Calibri Light" w:cs="Calibri Light"/>
          <w:szCs w:val="20"/>
          <w:lang w:eastAsia="el-GR" w:bidi="sr-Cyrl-CS"/>
        </w:rPr>
        <w:t xml:space="preserve"> треба нагласити да ће велики део трошкова</w:t>
      </w:r>
      <w:r w:rsidR="00380174" w:rsidRPr="00FF386D">
        <w:rPr>
          <w:rFonts w:ascii="Calibri Light" w:eastAsia="Times New Roman" w:hAnsi="Calibri Light" w:cs="Calibri Light"/>
          <w:szCs w:val="20"/>
          <w:lang w:eastAsia="el-GR" w:bidi="sr-Cyrl-CS"/>
        </w:rPr>
        <w:t xml:space="preserve"> сценарија</w:t>
      </w:r>
      <w:r w:rsidRPr="00FF386D">
        <w:rPr>
          <w:rFonts w:ascii="Calibri Light" w:eastAsia="Times New Roman" w:hAnsi="Calibri Light" w:cs="Calibri Light"/>
          <w:szCs w:val="20"/>
          <w:lang w:eastAsia="el-GR" w:bidi="sr-Cyrl-CS"/>
        </w:rPr>
        <w:t xml:space="preserve"> </w:t>
      </w:r>
      <w:r w:rsidRPr="00FF386D">
        <w:rPr>
          <w:rFonts w:ascii="Calibri Light" w:eastAsia="Times New Roman" w:hAnsi="Calibri Light" w:cs="Calibri Light"/>
          <w:i/>
          <w:iCs/>
          <w:szCs w:val="20"/>
          <w:lang w:eastAsia="el-GR" w:bidi="sr-Cyrl-CS"/>
        </w:rPr>
        <w:t>WAM</w:t>
      </w:r>
      <w:r w:rsidRPr="00FF386D">
        <w:rPr>
          <w:rFonts w:ascii="Calibri Light" w:eastAsia="Times New Roman" w:hAnsi="Calibri Light" w:cs="Calibri Light"/>
          <w:szCs w:val="20"/>
          <w:lang w:eastAsia="el-GR" w:bidi="sr-Cyrl-CS"/>
        </w:rPr>
        <w:t xml:space="preserve"> долазити од инвестиција приватног сектора, што </w:t>
      </w:r>
      <w:r w:rsidR="00773885" w:rsidRPr="00FF386D">
        <w:rPr>
          <w:rFonts w:ascii="Calibri Light" w:eastAsia="Times New Roman" w:hAnsi="Calibri Light" w:cs="Calibri Light"/>
          <w:szCs w:val="20"/>
          <w:lang w:eastAsia="el-GR" w:bidi="sr-Cyrl-CS"/>
        </w:rPr>
        <w:t>подразумева</w:t>
      </w:r>
      <w:r w:rsidRPr="00FF386D">
        <w:rPr>
          <w:rFonts w:ascii="Calibri Light" w:eastAsia="Times New Roman" w:hAnsi="Calibri Light" w:cs="Calibri Light"/>
          <w:szCs w:val="20"/>
          <w:lang w:eastAsia="el-GR" w:bidi="sr-Cyrl-CS"/>
        </w:rPr>
        <w:t xml:space="preserve"> да </w:t>
      </w:r>
      <w:r w:rsidR="00813877" w:rsidRPr="00FF386D">
        <w:rPr>
          <w:rFonts w:ascii="Calibri Light" w:eastAsia="Times New Roman" w:hAnsi="Calibri Light" w:cs="Calibri Light"/>
          <w:szCs w:val="20"/>
          <w:lang w:eastAsia="el-GR" w:bidi="sr-Cyrl-CS"/>
        </w:rPr>
        <w:t>је</w:t>
      </w:r>
      <w:r w:rsidRPr="00FF386D">
        <w:rPr>
          <w:rFonts w:ascii="Calibri Light" w:eastAsia="Times New Roman" w:hAnsi="Calibri Light" w:cs="Calibri Light"/>
          <w:szCs w:val="20"/>
          <w:lang w:eastAsia="el-GR" w:bidi="sr-Cyrl-CS"/>
        </w:rPr>
        <w:t xml:space="preserve"> изводљивост сценарија </w:t>
      </w:r>
      <w:r w:rsidR="00813877" w:rsidRPr="00FF386D">
        <w:rPr>
          <w:rFonts w:ascii="Calibri Light" w:eastAsia="Times New Roman" w:hAnsi="Calibri Light" w:cs="Calibri Light"/>
          <w:szCs w:val="20"/>
          <w:lang w:eastAsia="el-GR" w:bidi="sr-Cyrl-CS"/>
        </w:rPr>
        <w:t>врло</w:t>
      </w:r>
      <w:r w:rsidRPr="00FF386D">
        <w:rPr>
          <w:rFonts w:ascii="Calibri Light" w:eastAsia="Times New Roman" w:hAnsi="Calibri Light" w:cs="Calibri Light"/>
          <w:szCs w:val="20"/>
          <w:lang w:eastAsia="el-GR" w:bidi="sr-Cyrl-CS"/>
        </w:rPr>
        <w:t xml:space="preserve"> повезана са </w:t>
      </w:r>
      <w:r w:rsidR="00813877" w:rsidRPr="00FF386D">
        <w:rPr>
          <w:rFonts w:ascii="Calibri Light" w:eastAsia="Times New Roman" w:hAnsi="Calibri Light" w:cs="Calibri Light"/>
          <w:szCs w:val="20"/>
          <w:lang w:eastAsia="el-GR" w:bidi="sr-Cyrl-CS"/>
        </w:rPr>
        <w:t>доступношћу</w:t>
      </w:r>
      <w:r w:rsidRPr="00FF386D">
        <w:rPr>
          <w:rFonts w:ascii="Calibri Light" w:eastAsia="Times New Roman" w:hAnsi="Calibri Light" w:cs="Calibri Light"/>
          <w:szCs w:val="20"/>
          <w:lang w:eastAsia="el-GR" w:bidi="sr-Cyrl-CS"/>
        </w:rPr>
        <w:t xml:space="preserve"> за потрошаче и </w:t>
      </w:r>
      <w:r w:rsidR="00813877" w:rsidRPr="00FF386D">
        <w:rPr>
          <w:rFonts w:ascii="Calibri Light" w:eastAsia="Times New Roman" w:hAnsi="Calibri Light" w:cs="Calibri Light"/>
          <w:szCs w:val="20"/>
          <w:lang w:eastAsia="el-GR" w:bidi="sr-Cyrl-CS"/>
        </w:rPr>
        <w:t>могућношћу</w:t>
      </w:r>
      <w:r w:rsidRPr="00FF386D">
        <w:rPr>
          <w:rFonts w:ascii="Calibri Light" w:eastAsia="Times New Roman" w:hAnsi="Calibri Light" w:cs="Calibri Light"/>
          <w:szCs w:val="20"/>
          <w:lang w:eastAsia="el-GR" w:bidi="sr-Cyrl-CS"/>
        </w:rPr>
        <w:t xml:space="preserve"> приватног сектора да реализује пројек</w:t>
      </w:r>
      <w:r w:rsidRPr="00777B33">
        <w:rPr>
          <w:rFonts w:ascii="Calibri Light" w:eastAsia="Times New Roman" w:hAnsi="Calibri Light" w:cs="Calibri Light"/>
          <w:szCs w:val="20"/>
          <w:lang w:eastAsia="el-GR" w:bidi="sr-Cyrl-CS"/>
        </w:rPr>
        <w:t>те.</w:t>
      </w:r>
    </w:p>
    <w:p w14:paraId="019D2FFE" w14:textId="7899CC27" w:rsidR="00777B33" w:rsidRDefault="00777B33" w:rsidP="00565B02">
      <w:pPr>
        <w:pStyle w:val="Caption"/>
        <w:keepNext/>
      </w:pPr>
      <w:bookmarkStart w:id="459" w:name="_Ref153897308"/>
      <w:bookmarkStart w:id="460" w:name="_Toc153901461"/>
      <w:r>
        <w:lastRenderedPageBreak/>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49</w:t>
      </w:r>
      <w:r w:rsidR="00F35B2C">
        <w:fldChar w:fldCharType="end"/>
      </w:r>
      <w:bookmarkEnd w:id="459"/>
      <w:r>
        <w:t xml:space="preserve">: </w:t>
      </w:r>
      <w:r w:rsidRPr="00777B33">
        <w:t>Расподела трошкова имплементације по WEM/WAM</w:t>
      </w:r>
      <w:bookmarkEnd w:id="460"/>
    </w:p>
    <w:p w14:paraId="4D8658DF" w14:textId="43F0ECE5" w:rsidR="00955D9F" w:rsidRPr="00565B02" w:rsidRDefault="00777B33" w:rsidP="00565B02">
      <w:pPr>
        <w:jc w:val="center"/>
      </w:pPr>
      <w:r>
        <w:rPr>
          <w:noProof/>
        </w:rPr>
        <w:drawing>
          <wp:inline distT="0" distB="0" distL="0" distR="0" wp14:anchorId="0CBCE649" wp14:editId="42E8A14A">
            <wp:extent cx="6120130" cy="2819182"/>
            <wp:effectExtent l="0" t="0" r="0" b="635"/>
            <wp:docPr id="11407831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120130" cy="2819182"/>
                    </a:xfrm>
                    <a:prstGeom prst="rect">
                      <a:avLst/>
                    </a:prstGeom>
                    <a:noFill/>
                  </pic:spPr>
                </pic:pic>
              </a:graphicData>
            </a:graphic>
          </wp:inline>
        </w:drawing>
      </w:r>
    </w:p>
    <w:p w14:paraId="75070CE1" w14:textId="283DE7F9" w:rsidR="00777B33" w:rsidRDefault="00777B33" w:rsidP="00565B02">
      <w:pPr>
        <w:pStyle w:val="Caption"/>
        <w:keepNext/>
      </w:pPr>
      <w:bookmarkStart w:id="461" w:name="_Ref153897193"/>
      <w:bookmarkStart w:id="462" w:name="_Toc153901479"/>
      <w:r>
        <w:t xml:space="preserve">Табела </w:t>
      </w:r>
      <w:r w:rsidR="00873C40">
        <w:fldChar w:fldCharType="begin"/>
      </w:r>
      <w:r w:rsidR="00873C40">
        <w:instrText xml:space="preserve"> STYLEREF 1 \s </w:instrText>
      </w:r>
      <w:r w:rsidR="00873C40">
        <w:fldChar w:fldCharType="separate"/>
      </w:r>
      <w:r w:rsidR="00873C40">
        <w:rPr>
          <w:noProof/>
        </w:rPr>
        <w:t>5</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3</w:t>
      </w:r>
      <w:r w:rsidR="00873C40">
        <w:fldChar w:fldCharType="end"/>
      </w:r>
      <w:r w:rsidRPr="00777B33">
        <w:t>: Димензија мера и трошкови имплементације</w:t>
      </w:r>
      <w:bookmarkEnd w:id="461"/>
      <w:bookmarkEnd w:id="462"/>
    </w:p>
    <w:tbl>
      <w:tblPr>
        <w:tblW w:w="96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9"/>
        <w:gridCol w:w="1572"/>
        <w:gridCol w:w="1284"/>
        <w:gridCol w:w="1236"/>
        <w:gridCol w:w="1565"/>
        <w:gridCol w:w="1134"/>
        <w:gridCol w:w="1170"/>
      </w:tblGrid>
      <w:tr w:rsidR="00534D57" w:rsidRPr="00FF386D" w14:paraId="65EA9B1A" w14:textId="77777777" w:rsidTr="000A2AFE">
        <w:trPr>
          <w:trHeight w:val="554"/>
        </w:trPr>
        <w:tc>
          <w:tcPr>
            <w:tcW w:w="1709" w:type="dxa"/>
            <w:tcBorders>
              <w:right w:val="single" w:sz="4" w:space="0" w:color="auto"/>
            </w:tcBorders>
            <w:shd w:val="clear" w:color="auto" w:fill="244062"/>
            <w:hideMark/>
          </w:tcPr>
          <w:p w14:paraId="64739131" w14:textId="77777777" w:rsidR="00CA5936" w:rsidRPr="00FF386D" w:rsidRDefault="00CA5936" w:rsidP="00CA5936">
            <w:pPr>
              <w:spacing w:after="0" w:line="240" w:lineRule="auto"/>
              <w:rPr>
                <w:rFonts w:ascii="Calibri Light" w:eastAsia="Calibri" w:hAnsi="Calibri Light" w:cs="Calibri Light"/>
                <w:b/>
                <w:bCs/>
                <w:sz w:val="18"/>
                <w:szCs w:val="18"/>
                <w:lang w:eastAsia="el-GR"/>
              </w:rPr>
            </w:pPr>
            <w:r w:rsidRPr="00FF386D">
              <w:rPr>
                <w:rFonts w:ascii="Calibri" w:eastAsia="Calibri" w:hAnsi="Calibri" w:cs="Calibri"/>
                <w:sz w:val="18"/>
                <w:szCs w:val="18"/>
                <w:lang w:eastAsia="el-GR"/>
              </w:rPr>
              <w:t>Димензија мера</w:t>
            </w:r>
          </w:p>
        </w:tc>
        <w:tc>
          <w:tcPr>
            <w:tcW w:w="1572" w:type="dxa"/>
            <w:tcBorders>
              <w:left w:val="single" w:sz="4" w:space="0" w:color="auto"/>
            </w:tcBorders>
            <w:shd w:val="clear" w:color="auto" w:fill="244062"/>
          </w:tcPr>
          <w:p w14:paraId="4095DF2A" w14:textId="77777777" w:rsidR="00CA5936" w:rsidRPr="00FF386D" w:rsidRDefault="00CA5936" w:rsidP="00CA5936">
            <w:pPr>
              <w:spacing w:after="0" w:line="240" w:lineRule="auto"/>
              <w:rPr>
                <w:rFonts w:ascii="Calibri Light" w:eastAsia="Calibri" w:hAnsi="Calibri Light" w:cs="Calibri Light"/>
                <w:b/>
                <w:bCs/>
                <w:sz w:val="18"/>
                <w:szCs w:val="18"/>
                <w:lang w:eastAsia="el-GR"/>
              </w:rPr>
            </w:pPr>
            <w:r w:rsidRPr="00FF386D">
              <w:rPr>
                <w:rFonts w:ascii="Calibri" w:eastAsia="Calibri" w:hAnsi="Calibri" w:cs="Calibri"/>
                <w:b/>
                <w:sz w:val="18"/>
                <w:lang w:eastAsia="el-GR" w:bidi="sr-Cyrl-CS"/>
              </w:rPr>
              <w:t>Трошкови имплементације (милијарде евра)</w:t>
            </w:r>
          </w:p>
        </w:tc>
        <w:tc>
          <w:tcPr>
            <w:tcW w:w="1284" w:type="dxa"/>
            <w:shd w:val="clear" w:color="auto" w:fill="244062"/>
          </w:tcPr>
          <w:p w14:paraId="509F2A58" w14:textId="080F7325" w:rsidR="00CA5936" w:rsidRPr="00FF386D" w:rsidRDefault="00CA5936" w:rsidP="00CA5936">
            <w:pPr>
              <w:spacing w:after="0" w:line="240" w:lineRule="auto"/>
              <w:rPr>
                <w:rFonts w:ascii="Calibri Light" w:eastAsia="Calibri" w:hAnsi="Calibri Light" w:cs="Calibri Light"/>
                <w:b/>
                <w:bCs/>
                <w:sz w:val="18"/>
                <w:szCs w:val="18"/>
                <w:lang w:eastAsia="el-GR"/>
              </w:rPr>
            </w:pPr>
            <w:r w:rsidRPr="00FF386D">
              <w:rPr>
                <w:rFonts w:ascii="Calibri" w:eastAsia="Calibri" w:hAnsi="Calibri" w:cs="Calibri"/>
                <w:b/>
                <w:sz w:val="18"/>
                <w:lang w:eastAsia="el-GR" w:bidi="sr-Cyrl-CS"/>
              </w:rPr>
              <w:t xml:space="preserve">Планирана јавна помоћ (милијарде </w:t>
            </w:r>
            <w:r w:rsidR="00863246" w:rsidRPr="00863246">
              <w:rPr>
                <w:rFonts w:ascii="Calibri" w:eastAsia="Calibri" w:hAnsi="Calibri" w:cs="Calibri"/>
                <w:b/>
                <w:sz w:val="18"/>
                <w:lang w:eastAsia="el-GR" w:bidi="sr-Cyrl-CS"/>
              </w:rPr>
              <w:t>евра</w:t>
            </w:r>
            <w:r w:rsidRPr="00FF386D">
              <w:rPr>
                <w:rFonts w:ascii="Calibri" w:eastAsia="Calibri" w:hAnsi="Calibri" w:cs="Calibri"/>
                <w:b/>
                <w:sz w:val="18"/>
                <w:lang w:eastAsia="el-GR" w:bidi="sr-Cyrl-CS"/>
              </w:rPr>
              <w:t>)</w:t>
            </w:r>
          </w:p>
        </w:tc>
        <w:tc>
          <w:tcPr>
            <w:tcW w:w="1236" w:type="dxa"/>
            <w:shd w:val="clear" w:color="auto" w:fill="244062"/>
          </w:tcPr>
          <w:p w14:paraId="052854E1" w14:textId="3C246AB7" w:rsidR="00CA5936" w:rsidRPr="00FF386D" w:rsidRDefault="00055757" w:rsidP="00CA5936">
            <w:pPr>
              <w:spacing w:after="0" w:line="240" w:lineRule="auto"/>
              <w:rPr>
                <w:rFonts w:ascii="Calibri Light" w:eastAsia="Calibri" w:hAnsi="Calibri Light" w:cs="Calibri Light"/>
                <w:b/>
                <w:bCs/>
                <w:sz w:val="18"/>
                <w:szCs w:val="18"/>
                <w:lang w:eastAsia="el-GR"/>
              </w:rPr>
            </w:pPr>
            <w:r w:rsidRPr="00FF386D">
              <w:rPr>
                <w:rFonts w:ascii="Calibri" w:eastAsia="Calibri" w:hAnsi="Calibri" w:cs="Times New Roman"/>
                <w:b/>
                <w:sz w:val="18"/>
                <w:lang w:bidi="sr-Cyrl-CS"/>
              </w:rPr>
              <w:t>Сопствена</w:t>
            </w:r>
            <w:r w:rsidR="00CA5936" w:rsidRPr="00FF386D">
              <w:rPr>
                <w:rFonts w:ascii="Calibri" w:eastAsia="Calibri" w:hAnsi="Calibri" w:cs="Times New Roman"/>
                <w:b/>
                <w:sz w:val="18"/>
                <w:lang w:bidi="sr-Cyrl-CS"/>
              </w:rPr>
              <w:t xml:space="preserve"> средства</w:t>
            </w:r>
          </w:p>
          <w:p w14:paraId="774CE638" w14:textId="77777777" w:rsidR="00CA5936" w:rsidRPr="00FF386D" w:rsidRDefault="00CA5936" w:rsidP="00CA5936">
            <w:pPr>
              <w:spacing w:after="0" w:line="240" w:lineRule="auto"/>
              <w:rPr>
                <w:rFonts w:ascii="Calibri Light" w:eastAsia="Calibri" w:hAnsi="Calibri Light" w:cs="Calibri Light"/>
                <w:b/>
                <w:bCs/>
                <w:sz w:val="18"/>
                <w:szCs w:val="18"/>
                <w:lang w:eastAsia="el-GR"/>
              </w:rPr>
            </w:pPr>
            <w:r w:rsidRPr="00FF386D">
              <w:rPr>
                <w:rFonts w:ascii="Calibri" w:eastAsia="Calibri" w:hAnsi="Calibri" w:cs="Calibri"/>
                <w:b/>
                <w:sz w:val="18"/>
                <w:lang w:eastAsia="el-GR" w:bidi="sr-Cyrl-CS"/>
              </w:rPr>
              <w:t>(милијарде евра)</w:t>
            </w:r>
          </w:p>
        </w:tc>
        <w:tc>
          <w:tcPr>
            <w:tcW w:w="1565" w:type="dxa"/>
            <w:shd w:val="clear" w:color="auto" w:fill="244062"/>
          </w:tcPr>
          <w:p w14:paraId="5C28F22C" w14:textId="7292CA7A" w:rsidR="00CA5936" w:rsidRPr="00FF386D" w:rsidRDefault="00055757" w:rsidP="00CA5936">
            <w:pPr>
              <w:spacing w:after="0" w:line="240" w:lineRule="auto"/>
              <w:rPr>
                <w:rFonts w:ascii="Calibri" w:eastAsia="Calibri" w:hAnsi="Calibri" w:cs="Calibri"/>
                <w:b/>
                <w:sz w:val="18"/>
                <w:lang w:eastAsia="el-GR" w:bidi="sr-Cyrl-CS"/>
              </w:rPr>
            </w:pPr>
            <w:r w:rsidRPr="00FF386D">
              <w:rPr>
                <w:rFonts w:ascii="Calibri Light" w:eastAsia="Calibri" w:hAnsi="Calibri Light" w:cs="Calibri Light"/>
                <w:b/>
                <w:bCs/>
                <w:sz w:val="18"/>
                <w:szCs w:val="18"/>
                <w:lang w:eastAsia="el-GR"/>
              </w:rPr>
              <w:t xml:space="preserve">Сопствена средства </w:t>
            </w:r>
            <w:r w:rsidR="00CA5936" w:rsidRPr="00FF386D">
              <w:rPr>
                <w:rFonts w:ascii="Calibri Light" w:eastAsia="Calibri" w:hAnsi="Calibri Light" w:cs="Calibri Light"/>
                <w:b/>
                <w:bCs/>
                <w:sz w:val="18"/>
                <w:szCs w:val="18"/>
                <w:lang w:eastAsia="el-GR"/>
              </w:rPr>
              <w:t>у односу на укупне трошкове имплементације</w:t>
            </w:r>
          </w:p>
        </w:tc>
        <w:tc>
          <w:tcPr>
            <w:tcW w:w="1134" w:type="dxa"/>
            <w:shd w:val="clear" w:color="auto" w:fill="244062"/>
          </w:tcPr>
          <w:p w14:paraId="29DF5754" w14:textId="53C11953" w:rsidR="00CA5936" w:rsidRPr="00FF386D" w:rsidRDefault="00CA5936" w:rsidP="00CA5936">
            <w:pPr>
              <w:spacing w:after="0" w:line="240" w:lineRule="auto"/>
              <w:rPr>
                <w:rFonts w:ascii="Calibri Light" w:eastAsia="Calibri" w:hAnsi="Calibri Light" w:cs="Calibri Light"/>
                <w:b/>
                <w:bCs/>
                <w:sz w:val="18"/>
                <w:szCs w:val="18"/>
                <w:lang w:eastAsia="el-GR"/>
              </w:rPr>
            </w:pPr>
            <w:r w:rsidRPr="00FF386D">
              <w:rPr>
                <w:rFonts w:ascii="Calibri" w:eastAsia="Calibri" w:hAnsi="Calibri" w:cs="Calibri"/>
                <w:b/>
                <w:sz w:val="18"/>
                <w:lang w:eastAsia="el-GR" w:bidi="sr-Cyrl-CS"/>
              </w:rPr>
              <w:t xml:space="preserve">CAPEX WEM (милијарде </w:t>
            </w:r>
            <w:r w:rsidR="00863246" w:rsidRPr="00863246">
              <w:rPr>
                <w:rFonts w:ascii="Calibri" w:eastAsia="Calibri" w:hAnsi="Calibri" w:cs="Calibri"/>
                <w:b/>
                <w:sz w:val="18"/>
                <w:lang w:eastAsia="el-GR" w:bidi="sr-Cyrl-CS"/>
              </w:rPr>
              <w:t>евра</w:t>
            </w:r>
            <w:r w:rsidRPr="00FF386D">
              <w:rPr>
                <w:rFonts w:ascii="Calibri" w:eastAsia="Calibri" w:hAnsi="Calibri" w:cs="Calibri"/>
                <w:b/>
                <w:sz w:val="18"/>
                <w:lang w:eastAsia="el-GR" w:bidi="sr-Cyrl-CS"/>
              </w:rPr>
              <w:t>)</w:t>
            </w:r>
          </w:p>
        </w:tc>
        <w:tc>
          <w:tcPr>
            <w:tcW w:w="1170" w:type="dxa"/>
            <w:shd w:val="clear" w:color="auto" w:fill="244062"/>
            <w:hideMark/>
          </w:tcPr>
          <w:p w14:paraId="78260715" w14:textId="31F5588C" w:rsidR="00CA5936" w:rsidRPr="00FF386D" w:rsidRDefault="00CA5936" w:rsidP="00CA5936">
            <w:pPr>
              <w:spacing w:after="0" w:line="240" w:lineRule="auto"/>
              <w:rPr>
                <w:rFonts w:ascii="Calibri Light" w:eastAsia="Calibri" w:hAnsi="Calibri Light" w:cs="Calibri Light"/>
                <w:b/>
                <w:bCs/>
                <w:sz w:val="18"/>
                <w:szCs w:val="18"/>
                <w:lang w:eastAsia="el-GR"/>
              </w:rPr>
            </w:pPr>
            <w:r w:rsidRPr="00FF386D">
              <w:rPr>
                <w:rFonts w:ascii="Calibri" w:eastAsia="Calibri" w:hAnsi="Calibri" w:cs="Calibri"/>
                <w:b/>
                <w:sz w:val="18"/>
                <w:lang w:eastAsia="el-GR" w:bidi="sr-Cyrl-CS"/>
              </w:rPr>
              <w:t xml:space="preserve">CAPEX WAM (милијарде </w:t>
            </w:r>
            <w:r w:rsidR="00863246" w:rsidRPr="00863246">
              <w:rPr>
                <w:rFonts w:ascii="Calibri" w:eastAsia="Calibri" w:hAnsi="Calibri" w:cs="Calibri"/>
                <w:b/>
                <w:sz w:val="18"/>
                <w:lang w:eastAsia="el-GR" w:bidi="sr-Cyrl-CS"/>
              </w:rPr>
              <w:t>евра</w:t>
            </w:r>
            <w:r w:rsidRPr="00FF386D">
              <w:rPr>
                <w:rFonts w:ascii="Calibri" w:eastAsia="Calibri" w:hAnsi="Calibri" w:cs="Calibri"/>
                <w:b/>
                <w:sz w:val="18"/>
                <w:lang w:eastAsia="el-GR" w:bidi="sr-Cyrl-CS"/>
              </w:rPr>
              <w:t>)</w:t>
            </w:r>
          </w:p>
        </w:tc>
      </w:tr>
      <w:tr w:rsidR="002033FF" w:rsidRPr="00FF386D" w14:paraId="02B80DF0" w14:textId="77777777" w:rsidTr="000A2AFE">
        <w:trPr>
          <w:trHeight w:val="394"/>
        </w:trPr>
        <w:tc>
          <w:tcPr>
            <w:tcW w:w="1709" w:type="dxa"/>
            <w:tcBorders>
              <w:right w:val="single" w:sz="4" w:space="0" w:color="auto"/>
            </w:tcBorders>
            <w:shd w:val="clear" w:color="auto" w:fill="E7E6E6"/>
          </w:tcPr>
          <w:p w14:paraId="744D12A1" w14:textId="77777777" w:rsidR="002033FF" w:rsidRPr="00FF386D" w:rsidRDefault="002033FF" w:rsidP="002033FF">
            <w:pPr>
              <w:spacing w:after="0" w:line="240" w:lineRule="auto"/>
              <w:rPr>
                <w:rFonts w:ascii="Calibri Light" w:eastAsia="Times New Roman" w:hAnsi="Calibri Light" w:cs="Calibri Light"/>
                <w:b/>
                <w:color w:val="000000"/>
                <w:sz w:val="18"/>
                <w:szCs w:val="18"/>
                <w:lang w:eastAsia="en-GB"/>
              </w:rPr>
            </w:pPr>
            <w:r w:rsidRPr="00FF386D">
              <w:rPr>
                <w:rFonts w:ascii="Calibri" w:eastAsia="Calibri" w:hAnsi="Calibri" w:cs="Calibri"/>
                <w:sz w:val="18"/>
                <w:szCs w:val="18"/>
                <w:lang w:eastAsia="el-GR"/>
              </w:rPr>
              <w:t>Декарбонизација</w:t>
            </w:r>
          </w:p>
        </w:tc>
        <w:tc>
          <w:tcPr>
            <w:tcW w:w="1572" w:type="dxa"/>
            <w:tcBorders>
              <w:left w:val="single" w:sz="4" w:space="0" w:color="auto"/>
            </w:tcBorders>
          </w:tcPr>
          <w:p w14:paraId="4BD090B1" w14:textId="2E8F5F50" w:rsidR="002033FF" w:rsidRPr="000A2AFE" w:rsidRDefault="00BA3A4C" w:rsidP="002033FF">
            <w:pPr>
              <w:spacing w:after="0" w:line="240" w:lineRule="auto"/>
              <w:jc w:val="right"/>
              <w:rPr>
                <w:rFonts w:ascii="Calibri Light" w:eastAsia="Calibri" w:hAnsi="Calibri Light" w:cs="Calibri Light"/>
                <w:bCs/>
                <w:sz w:val="20"/>
                <w:szCs w:val="20"/>
                <w:lang w:eastAsia="el-GR"/>
              </w:rPr>
            </w:pPr>
            <w:r>
              <w:rPr>
                <w:sz w:val="20"/>
                <w:szCs w:val="20"/>
              </w:rPr>
              <w:t>5,</w:t>
            </w:r>
            <w:r w:rsidR="004756D7">
              <w:rPr>
                <w:sz w:val="20"/>
                <w:szCs w:val="20"/>
              </w:rPr>
              <w:t>19</w:t>
            </w:r>
          </w:p>
        </w:tc>
        <w:tc>
          <w:tcPr>
            <w:tcW w:w="1284" w:type="dxa"/>
          </w:tcPr>
          <w:p w14:paraId="1B4BA6DA" w14:textId="02D22181" w:rsidR="002033FF" w:rsidRPr="000A2AFE" w:rsidRDefault="00BA3A4C" w:rsidP="002033FF">
            <w:pPr>
              <w:spacing w:after="0" w:line="240" w:lineRule="auto"/>
              <w:jc w:val="right"/>
              <w:rPr>
                <w:rFonts w:ascii="Calibri Light" w:eastAsia="Times New Roman" w:hAnsi="Calibri Light" w:cs="Calibri Light"/>
                <w:bCs/>
                <w:color w:val="000000"/>
                <w:sz w:val="20"/>
                <w:szCs w:val="20"/>
                <w:lang w:eastAsia="en-GB"/>
              </w:rPr>
            </w:pPr>
            <w:r>
              <w:rPr>
                <w:sz w:val="20"/>
                <w:szCs w:val="20"/>
              </w:rPr>
              <w:t>1,</w:t>
            </w:r>
            <w:r w:rsidR="004756D7">
              <w:rPr>
                <w:sz w:val="20"/>
                <w:szCs w:val="20"/>
              </w:rPr>
              <w:t>19</w:t>
            </w:r>
          </w:p>
        </w:tc>
        <w:tc>
          <w:tcPr>
            <w:tcW w:w="1236" w:type="dxa"/>
          </w:tcPr>
          <w:p w14:paraId="404CB6C9" w14:textId="3DAB946C" w:rsidR="002033FF" w:rsidRPr="000A2AFE" w:rsidRDefault="00BA3A4C" w:rsidP="002033FF">
            <w:pPr>
              <w:spacing w:after="0" w:line="240" w:lineRule="auto"/>
              <w:jc w:val="right"/>
              <w:rPr>
                <w:rFonts w:ascii="Calibri Light" w:eastAsia="Times New Roman" w:hAnsi="Calibri Light" w:cs="Calibri Light"/>
                <w:bCs/>
                <w:color w:val="000000"/>
                <w:sz w:val="20"/>
                <w:szCs w:val="20"/>
                <w:lang w:eastAsia="en-GB"/>
              </w:rPr>
            </w:pPr>
            <w:r>
              <w:rPr>
                <w:sz w:val="20"/>
                <w:szCs w:val="20"/>
              </w:rPr>
              <w:t>4,00</w:t>
            </w:r>
          </w:p>
        </w:tc>
        <w:tc>
          <w:tcPr>
            <w:tcW w:w="1565" w:type="dxa"/>
          </w:tcPr>
          <w:p w14:paraId="5A0D22B2" w14:textId="1ED390D3" w:rsidR="002033FF" w:rsidRPr="000A2AFE" w:rsidRDefault="002033FF" w:rsidP="002033FF">
            <w:pPr>
              <w:spacing w:after="0" w:line="240" w:lineRule="auto"/>
              <w:jc w:val="right"/>
              <w:rPr>
                <w:rFonts w:ascii="Calibri" w:eastAsia="Calibri" w:hAnsi="Calibri" w:cs="Calibri"/>
                <w:sz w:val="20"/>
                <w:szCs w:val="20"/>
                <w:lang w:eastAsia="el-GR"/>
              </w:rPr>
            </w:pPr>
            <w:r w:rsidRPr="007F7C41">
              <w:rPr>
                <w:sz w:val="20"/>
                <w:szCs w:val="20"/>
                <w:lang w:val="en-GB"/>
              </w:rPr>
              <w:t>7</w:t>
            </w:r>
            <w:r w:rsidR="004756D7">
              <w:rPr>
                <w:sz w:val="20"/>
                <w:szCs w:val="20"/>
              </w:rPr>
              <w:t>7</w:t>
            </w:r>
            <w:r w:rsidRPr="007F7C41">
              <w:rPr>
                <w:sz w:val="20"/>
                <w:szCs w:val="20"/>
                <w:lang w:val="en-GB"/>
              </w:rPr>
              <w:t>%</w:t>
            </w:r>
          </w:p>
        </w:tc>
        <w:tc>
          <w:tcPr>
            <w:tcW w:w="1134" w:type="dxa"/>
          </w:tcPr>
          <w:p w14:paraId="44F8F329" w14:textId="1772BDE7" w:rsidR="002033FF" w:rsidRPr="000A2AFE" w:rsidRDefault="00BA3A4C" w:rsidP="002033FF">
            <w:pPr>
              <w:spacing w:after="0" w:line="240" w:lineRule="auto"/>
              <w:jc w:val="right"/>
              <w:rPr>
                <w:rFonts w:ascii="Calibri Light" w:eastAsia="Times New Roman" w:hAnsi="Calibri Light" w:cs="Calibri Light"/>
                <w:bCs/>
                <w:color w:val="000000"/>
                <w:sz w:val="20"/>
                <w:szCs w:val="20"/>
                <w:lang w:eastAsia="en-GB"/>
              </w:rPr>
            </w:pPr>
            <w:r>
              <w:rPr>
                <w:sz w:val="20"/>
                <w:szCs w:val="20"/>
              </w:rPr>
              <w:t>1,1</w:t>
            </w:r>
            <w:r w:rsidR="004756D7">
              <w:rPr>
                <w:sz w:val="20"/>
                <w:szCs w:val="20"/>
              </w:rPr>
              <w:t>6</w:t>
            </w:r>
          </w:p>
        </w:tc>
        <w:tc>
          <w:tcPr>
            <w:tcW w:w="1170" w:type="dxa"/>
          </w:tcPr>
          <w:p w14:paraId="1D954656" w14:textId="67867AAC" w:rsidR="002033FF" w:rsidRPr="000A2AFE" w:rsidRDefault="00BA3A4C" w:rsidP="002033FF">
            <w:pPr>
              <w:spacing w:after="0" w:line="240" w:lineRule="auto"/>
              <w:jc w:val="right"/>
              <w:rPr>
                <w:rFonts w:ascii="Calibri Light" w:eastAsia="Times New Roman" w:hAnsi="Calibri Light" w:cs="Calibri Light"/>
                <w:bCs/>
                <w:color w:val="000000"/>
                <w:sz w:val="20"/>
                <w:szCs w:val="20"/>
                <w:lang w:eastAsia="en-GB"/>
              </w:rPr>
            </w:pPr>
            <w:r>
              <w:rPr>
                <w:sz w:val="20"/>
                <w:szCs w:val="20"/>
              </w:rPr>
              <w:t>4,03</w:t>
            </w:r>
          </w:p>
        </w:tc>
      </w:tr>
      <w:tr w:rsidR="002033FF" w:rsidRPr="00FF386D" w14:paraId="6842303C" w14:textId="77777777" w:rsidTr="000A2AFE">
        <w:trPr>
          <w:trHeight w:val="387"/>
        </w:trPr>
        <w:tc>
          <w:tcPr>
            <w:tcW w:w="1709" w:type="dxa"/>
            <w:tcBorders>
              <w:right w:val="single" w:sz="4" w:space="0" w:color="auto"/>
            </w:tcBorders>
            <w:shd w:val="clear" w:color="auto" w:fill="E7E6E6"/>
          </w:tcPr>
          <w:p w14:paraId="69FB689B" w14:textId="77777777" w:rsidR="002033FF" w:rsidRPr="00FF386D" w:rsidRDefault="002033FF" w:rsidP="002033FF">
            <w:pPr>
              <w:spacing w:after="0" w:line="240" w:lineRule="auto"/>
              <w:rPr>
                <w:rFonts w:ascii="Calibri Light" w:eastAsia="Times New Roman" w:hAnsi="Calibri Light" w:cs="Calibri Light"/>
                <w:b/>
                <w:color w:val="000000"/>
                <w:sz w:val="18"/>
                <w:szCs w:val="18"/>
                <w:lang w:eastAsia="en-GB"/>
              </w:rPr>
            </w:pPr>
            <w:r w:rsidRPr="00FF386D">
              <w:rPr>
                <w:rFonts w:ascii="Calibri" w:eastAsia="Calibri" w:hAnsi="Calibri" w:cs="Calibri"/>
                <w:sz w:val="18"/>
                <w:szCs w:val="18"/>
                <w:lang w:eastAsia="el-GR"/>
              </w:rPr>
              <w:t>Енергетска ефикасност</w:t>
            </w:r>
          </w:p>
        </w:tc>
        <w:tc>
          <w:tcPr>
            <w:tcW w:w="1572" w:type="dxa"/>
            <w:tcBorders>
              <w:left w:val="single" w:sz="4" w:space="0" w:color="auto"/>
            </w:tcBorders>
          </w:tcPr>
          <w:p w14:paraId="6CE8F9E5" w14:textId="54AE5DEA" w:rsidR="002033FF" w:rsidRPr="000A2AFE" w:rsidRDefault="002033FF" w:rsidP="002033FF">
            <w:pPr>
              <w:spacing w:after="0" w:line="240" w:lineRule="auto"/>
              <w:jc w:val="right"/>
              <w:rPr>
                <w:rFonts w:ascii="Calibri Light" w:eastAsia="Calibri" w:hAnsi="Calibri Light" w:cs="Calibri Light"/>
                <w:bCs/>
                <w:sz w:val="20"/>
                <w:szCs w:val="20"/>
                <w:lang w:eastAsia="el-GR"/>
              </w:rPr>
            </w:pPr>
            <w:r w:rsidRPr="007F7C41">
              <w:rPr>
                <w:sz w:val="20"/>
                <w:szCs w:val="20"/>
                <w:lang w:val="en-GB"/>
              </w:rPr>
              <w:t>20</w:t>
            </w:r>
            <w:r>
              <w:rPr>
                <w:sz w:val="20"/>
                <w:szCs w:val="20"/>
                <w:lang w:val="en-GB"/>
              </w:rPr>
              <w:t>,</w:t>
            </w:r>
            <w:r w:rsidRPr="007F7C41">
              <w:rPr>
                <w:sz w:val="20"/>
                <w:szCs w:val="20"/>
                <w:lang w:val="en-GB"/>
              </w:rPr>
              <w:t>94</w:t>
            </w:r>
          </w:p>
        </w:tc>
        <w:tc>
          <w:tcPr>
            <w:tcW w:w="1284" w:type="dxa"/>
          </w:tcPr>
          <w:p w14:paraId="40C7B323" w14:textId="4055C112" w:rsidR="002033FF" w:rsidRPr="000A2AFE" w:rsidRDefault="002033FF" w:rsidP="002033FF">
            <w:pPr>
              <w:spacing w:after="0" w:line="240" w:lineRule="auto"/>
              <w:jc w:val="right"/>
              <w:rPr>
                <w:rFonts w:ascii="Calibri Light" w:eastAsia="Times New Roman" w:hAnsi="Calibri Light" w:cs="Calibri Light"/>
                <w:bCs/>
                <w:color w:val="000000"/>
                <w:sz w:val="20"/>
                <w:szCs w:val="20"/>
                <w:lang w:eastAsia="en-GB"/>
              </w:rPr>
            </w:pPr>
            <w:r w:rsidRPr="007F7C41">
              <w:rPr>
                <w:sz w:val="20"/>
                <w:szCs w:val="20"/>
                <w:lang w:val="en-GB"/>
              </w:rPr>
              <w:t>8</w:t>
            </w:r>
            <w:r>
              <w:rPr>
                <w:sz w:val="20"/>
                <w:szCs w:val="20"/>
                <w:lang w:val="en-GB"/>
              </w:rPr>
              <w:t>,</w:t>
            </w:r>
            <w:r w:rsidRPr="007F7C41">
              <w:rPr>
                <w:sz w:val="20"/>
                <w:szCs w:val="20"/>
                <w:lang w:val="en-GB"/>
              </w:rPr>
              <w:t>12</w:t>
            </w:r>
          </w:p>
        </w:tc>
        <w:tc>
          <w:tcPr>
            <w:tcW w:w="1236" w:type="dxa"/>
          </w:tcPr>
          <w:p w14:paraId="483023C0" w14:textId="34DCB6A4" w:rsidR="002033FF" w:rsidRPr="000A2AFE" w:rsidRDefault="002033FF" w:rsidP="002033FF">
            <w:pPr>
              <w:spacing w:after="0" w:line="240" w:lineRule="auto"/>
              <w:jc w:val="right"/>
              <w:rPr>
                <w:rFonts w:ascii="Calibri Light" w:eastAsia="Times New Roman" w:hAnsi="Calibri Light" w:cs="Calibri Light"/>
                <w:bCs/>
                <w:color w:val="000000"/>
                <w:sz w:val="20"/>
                <w:szCs w:val="20"/>
                <w:lang w:eastAsia="en-GB"/>
              </w:rPr>
            </w:pPr>
            <w:r w:rsidRPr="007F7C41">
              <w:rPr>
                <w:sz w:val="20"/>
                <w:szCs w:val="20"/>
                <w:lang w:val="en-GB"/>
              </w:rPr>
              <w:t>12</w:t>
            </w:r>
            <w:r>
              <w:rPr>
                <w:sz w:val="20"/>
                <w:szCs w:val="20"/>
                <w:lang w:val="en-GB"/>
              </w:rPr>
              <w:t>,</w:t>
            </w:r>
            <w:r w:rsidRPr="007F7C41">
              <w:rPr>
                <w:sz w:val="20"/>
                <w:szCs w:val="20"/>
                <w:lang w:val="en-GB"/>
              </w:rPr>
              <w:t>82</w:t>
            </w:r>
          </w:p>
        </w:tc>
        <w:tc>
          <w:tcPr>
            <w:tcW w:w="1565" w:type="dxa"/>
          </w:tcPr>
          <w:p w14:paraId="79D85503" w14:textId="12578906" w:rsidR="002033FF" w:rsidRPr="000A2AFE" w:rsidRDefault="002033FF" w:rsidP="002033FF">
            <w:pPr>
              <w:spacing w:after="0" w:line="240" w:lineRule="auto"/>
              <w:jc w:val="right"/>
              <w:rPr>
                <w:rFonts w:ascii="Calibri" w:eastAsia="Calibri" w:hAnsi="Calibri" w:cs="Calibri"/>
                <w:sz w:val="20"/>
                <w:szCs w:val="20"/>
                <w:lang w:eastAsia="el-GR"/>
              </w:rPr>
            </w:pPr>
            <w:r w:rsidRPr="007F7C41">
              <w:rPr>
                <w:sz w:val="20"/>
                <w:szCs w:val="20"/>
                <w:lang w:val="en-GB"/>
              </w:rPr>
              <w:t>61</w:t>
            </w:r>
            <w:r>
              <w:rPr>
                <w:sz w:val="20"/>
                <w:szCs w:val="20"/>
                <w:lang w:val="en-GB"/>
              </w:rPr>
              <w:t>,</w:t>
            </w:r>
            <w:r w:rsidRPr="007F7C41">
              <w:rPr>
                <w:sz w:val="20"/>
                <w:szCs w:val="20"/>
                <w:lang w:val="en-GB"/>
              </w:rPr>
              <w:t>2%</w:t>
            </w:r>
          </w:p>
        </w:tc>
        <w:tc>
          <w:tcPr>
            <w:tcW w:w="1134" w:type="dxa"/>
          </w:tcPr>
          <w:p w14:paraId="7B42533D" w14:textId="43305DAE" w:rsidR="002033FF" w:rsidRPr="000A2AFE" w:rsidRDefault="002033FF" w:rsidP="002033FF">
            <w:pPr>
              <w:spacing w:after="0" w:line="240" w:lineRule="auto"/>
              <w:jc w:val="right"/>
              <w:rPr>
                <w:rFonts w:ascii="Calibri Light" w:eastAsia="Times New Roman" w:hAnsi="Calibri Light" w:cs="Calibri Light"/>
                <w:bCs/>
                <w:color w:val="000000"/>
                <w:sz w:val="20"/>
                <w:szCs w:val="20"/>
                <w:lang w:eastAsia="en-GB"/>
              </w:rPr>
            </w:pPr>
            <w:r>
              <w:rPr>
                <w:sz w:val="20"/>
                <w:szCs w:val="20"/>
                <w:lang w:val="en-GB"/>
              </w:rPr>
              <w:t>12,31</w:t>
            </w:r>
          </w:p>
        </w:tc>
        <w:tc>
          <w:tcPr>
            <w:tcW w:w="1170" w:type="dxa"/>
          </w:tcPr>
          <w:p w14:paraId="3A8054CE" w14:textId="3186C663" w:rsidR="002033FF" w:rsidRPr="000A2AFE" w:rsidRDefault="002033FF" w:rsidP="002033FF">
            <w:pPr>
              <w:spacing w:after="0" w:line="240" w:lineRule="auto"/>
              <w:jc w:val="right"/>
              <w:rPr>
                <w:rFonts w:ascii="Calibri Light" w:eastAsia="Times New Roman" w:hAnsi="Calibri Light" w:cs="Calibri Light"/>
                <w:bCs/>
                <w:color w:val="000000"/>
                <w:sz w:val="20"/>
                <w:szCs w:val="20"/>
                <w:lang w:eastAsia="en-GB"/>
              </w:rPr>
            </w:pPr>
            <w:r>
              <w:rPr>
                <w:sz w:val="20"/>
                <w:szCs w:val="20"/>
                <w:lang w:val="en-GB"/>
              </w:rPr>
              <w:t>8,62</w:t>
            </w:r>
          </w:p>
        </w:tc>
      </w:tr>
      <w:tr w:rsidR="002033FF" w:rsidRPr="00FF386D" w14:paraId="21CCE2CA" w14:textId="77777777" w:rsidTr="000A2AFE">
        <w:trPr>
          <w:trHeight w:val="392"/>
        </w:trPr>
        <w:tc>
          <w:tcPr>
            <w:tcW w:w="1709" w:type="dxa"/>
            <w:tcBorders>
              <w:right w:val="single" w:sz="4" w:space="0" w:color="auto"/>
            </w:tcBorders>
            <w:shd w:val="clear" w:color="auto" w:fill="E7E6E6"/>
          </w:tcPr>
          <w:p w14:paraId="4E415FFD" w14:textId="77777777" w:rsidR="002033FF" w:rsidRPr="00FF386D" w:rsidRDefault="002033FF" w:rsidP="002033FF">
            <w:pPr>
              <w:spacing w:after="0" w:line="240" w:lineRule="auto"/>
              <w:rPr>
                <w:rFonts w:ascii="Calibri Light" w:eastAsia="Times New Roman" w:hAnsi="Calibri Light" w:cs="Calibri Light"/>
                <w:b/>
                <w:color w:val="000000"/>
                <w:sz w:val="18"/>
                <w:szCs w:val="18"/>
                <w:lang w:eastAsia="en-GB"/>
              </w:rPr>
            </w:pPr>
            <w:r w:rsidRPr="00FF386D">
              <w:rPr>
                <w:rFonts w:ascii="Calibri" w:eastAsia="Calibri" w:hAnsi="Calibri" w:cs="Calibri"/>
                <w:sz w:val="18"/>
                <w:szCs w:val="18"/>
                <w:lang w:eastAsia="el-GR"/>
              </w:rPr>
              <w:t>Енергетска безбедност</w:t>
            </w:r>
          </w:p>
        </w:tc>
        <w:tc>
          <w:tcPr>
            <w:tcW w:w="1572" w:type="dxa"/>
            <w:tcBorders>
              <w:left w:val="single" w:sz="4" w:space="0" w:color="auto"/>
            </w:tcBorders>
          </w:tcPr>
          <w:p w14:paraId="3D0C3FDB" w14:textId="1A758634" w:rsidR="002033FF" w:rsidRPr="000A2AFE" w:rsidRDefault="002033FF" w:rsidP="002033FF">
            <w:pPr>
              <w:spacing w:after="0" w:line="240" w:lineRule="auto"/>
              <w:jc w:val="right"/>
              <w:rPr>
                <w:rFonts w:ascii="Calibri Light" w:eastAsia="Calibri" w:hAnsi="Calibri Light" w:cs="Calibri Light"/>
                <w:bCs/>
                <w:sz w:val="20"/>
                <w:szCs w:val="20"/>
                <w:lang w:eastAsia="el-GR"/>
              </w:rPr>
            </w:pPr>
            <w:r>
              <w:rPr>
                <w:sz w:val="20"/>
                <w:szCs w:val="20"/>
                <w:lang w:val="en-GB"/>
              </w:rPr>
              <w:t>3,</w:t>
            </w:r>
            <w:r>
              <w:rPr>
                <w:sz w:val="20"/>
                <w:szCs w:val="20"/>
              </w:rPr>
              <w:t>13</w:t>
            </w:r>
          </w:p>
        </w:tc>
        <w:tc>
          <w:tcPr>
            <w:tcW w:w="1284" w:type="dxa"/>
          </w:tcPr>
          <w:p w14:paraId="19FA9153" w14:textId="29AA423F" w:rsidR="002033FF" w:rsidRPr="000A2AFE" w:rsidRDefault="002033FF" w:rsidP="002033FF">
            <w:pPr>
              <w:spacing w:after="0" w:line="240" w:lineRule="auto"/>
              <w:jc w:val="right"/>
              <w:rPr>
                <w:rFonts w:ascii="Calibri Light" w:eastAsia="Times New Roman" w:hAnsi="Calibri Light" w:cs="Calibri Light"/>
                <w:bCs/>
                <w:color w:val="000000"/>
                <w:sz w:val="20"/>
                <w:szCs w:val="20"/>
                <w:lang w:eastAsia="en-GB"/>
              </w:rPr>
            </w:pPr>
            <w:r>
              <w:rPr>
                <w:sz w:val="20"/>
                <w:szCs w:val="20"/>
                <w:lang w:val="en-GB"/>
              </w:rPr>
              <w:t>1,3</w:t>
            </w:r>
            <w:r>
              <w:rPr>
                <w:sz w:val="20"/>
                <w:szCs w:val="20"/>
              </w:rPr>
              <w:t>2</w:t>
            </w:r>
          </w:p>
        </w:tc>
        <w:tc>
          <w:tcPr>
            <w:tcW w:w="1236" w:type="dxa"/>
          </w:tcPr>
          <w:p w14:paraId="3CA5CBAF" w14:textId="03BC3E10" w:rsidR="002033FF" w:rsidRPr="000A2AFE" w:rsidRDefault="002033FF" w:rsidP="002033FF">
            <w:pPr>
              <w:spacing w:after="0" w:line="240" w:lineRule="auto"/>
              <w:jc w:val="right"/>
              <w:rPr>
                <w:rFonts w:ascii="Calibri Light" w:eastAsia="Times New Roman" w:hAnsi="Calibri Light" w:cs="Calibri Light"/>
                <w:bCs/>
                <w:color w:val="000000"/>
                <w:sz w:val="20"/>
                <w:szCs w:val="20"/>
                <w:lang w:eastAsia="en-GB"/>
              </w:rPr>
            </w:pPr>
            <w:r>
              <w:rPr>
                <w:sz w:val="20"/>
                <w:szCs w:val="20"/>
                <w:lang w:val="en-GB"/>
              </w:rPr>
              <w:t>1,8</w:t>
            </w:r>
            <w:r>
              <w:rPr>
                <w:sz w:val="20"/>
                <w:szCs w:val="20"/>
              </w:rPr>
              <w:t>0</w:t>
            </w:r>
          </w:p>
        </w:tc>
        <w:tc>
          <w:tcPr>
            <w:tcW w:w="1565" w:type="dxa"/>
          </w:tcPr>
          <w:p w14:paraId="3F83CAB2" w14:textId="67A590C0" w:rsidR="002033FF" w:rsidRPr="000A2AFE" w:rsidRDefault="002033FF" w:rsidP="002033FF">
            <w:pPr>
              <w:spacing w:after="0" w:line="240" w:lineRule="auto"/>
              <w:jc w:val="right"/>
              <w:rPr>
                <w:rFonts w:ascii="Calibri" w:eastAsia="Calibri" w:hAnsi="Calibri" w:cs="Calibri"/>
                <w:sz w:val="20"/>
                <w:szCs w:val="20"/>
                <w:lang w:eastAsia="el-GR"/>
              </w:rPr>
            </w:pPr>
            <w:r>
              <w:rPr>
                <w:sz w:val="20"/>
                <w:szCs w:val="20"/>
              </w:rPr>
              <w:t>57,6</w:t>
            </w:r>
            <w:r>
              <w:rPr>
                <w:sz w:val="20"/>
                <w:szCs w:val="20"/>
                <w:lang w:val="en-GB"/>
              </w:rPr>
              <w:t>%</w:t>
            </w:r>
          </w:p>
        </w:tc>
        <w:tc>
          <w:tcPr>
            <w:tcW w:w="1134" w:type="dxa"/>
          </w:tcPr>
          <w:p w14:paraId="3E03EB80" w14:textId="55AF04A5" w:rsidR="002033FF" w:rsidRPr="000A2AFE" w:rsidRDefault="002033FF" w:rsidP="002033FF">
            <w:pPr>
              <w:spacing w:after="0" w:line="240" w:lineRule="auto"/>
              <w:jc w:val="right"/>
              <w:rPr>
                <w:rFonts w:ascii="Calibri Light" w:eastAsia="Times New Roman" w:hAnsi="Calibri Light" w:cs="Calibri Light"/>
                <w:bCs/>
                <w:color w:val="000000"/>
                <w:sz w:val="20"/>
                <w:szCs w:val="20"/>
                <w:lang w:eastAsia="en-GB"/>
              </w:rPr>
            </w:pPr>
            <w:r>
              <w:rPr>
                <w:sz w:val="20"/>
                <w:szCs w:val="20"/>
                <w:lang w:val="en-GB"/>
              </w:rPr>
              <w:t>1,99</w:t>
            </w:r>
          </w:p>
        </w:tc>
        <w:tc>
          <w:tcPr>
            <w:tcW w:w="1170" w:type="dxa"/>
          </w:tcPr>
          <w:p w14:paraId="376E695D" w14:textId="7D4F31EC" w:rsidR="002033FF" w:rsidRPr="000A2AFE" w:rsidRDefault="002033FF" w:rsidP="002033FF">
            <w:pPr>
              <w:spacing w:after="0" w:line="240" w:lineRule="auto"/>
              <w:jc w:val="right"/>
              <w:rPr>
                <w:rFonts w:ascii="Calibri Light" w:eastAsia="Times New Roman" w:hAnsi="Calibri Light" w:cs="Calibri Light"/>
                <w:bCs/>
                <w:color w:val="000000"/>
                <w:sz w:val="20"/>
                <w:szCs w:val="20"/>
                <w:lang w:eastAsia="en-GB"/>
              </w:rPr>
            </w:pPr>
            <w:r w:rsidRPr="007F7C41">
              <w:rPr>
                <w:sz w:val="20"/>
                <w:szCs w:val="20"/>
                <w:lang w:val="en-GB"/>
              </w:rPr>
              <w:t>1</w:t>
            </w:r>
            <w:r>
              <w:rPr>
                <w:sz w:val="20"/>
                <w:szCs w:val="20"/>
                <w:lang w:val="en-GB"/>
              </w:rPr>
              <w:t>,</w:t>
            </w:r>
            <w:r w:rsidRPr="007F7C41">
              <w:rPr>
                <w:sz w:val="20"/>
                <w:szCs w:val="20"/>
                <w:lang w:val="en-GB"/>
              </w:rPr>
              <w:t>14</w:t>
            </w:r>
          </w:p>
        </w:tc>
      </w:tr>
      <w:tr w:rsidR="002033FF" w:rsidRPr="00FF386D" w14:paraId="658E0324" w14:textId="77777777" w:rsidTr="000A2AFE">
        <w:trPr>
          <w:trHeight w:val="530"/>
        </w:trPr>
        <w:tc>
          <w:tcPr>
            <w:tcW w:w="1709" w:type="dxa"/>
            <w:tcBorders>
              <w:right w:val="single" w:sz="4" w:space="0" w:color="auto"/>
            </w:tcBorders>
            <w:shd w:val="clear" w:color="auto" w:fill="E7E6E6"/>
          </w:tcPr>
          <w:p w14:paraId="4C25163B" w14:textId="77777777" w:rsidR="002033FF" w:rsidRPr="00FF386D" w:rsidRDefault="002033FF" w:rsidP="002033FF">
            <w:pPr>
              <w:spacing w:after="0" w:line="240" w:lineRule="auto"/>
              <w:rPr>
                <w:rFonts w:ascii="Calibri Light" w:eastAsia="Times New Roman" w:hAnsi="Calibri Light" w:cs="Calibri Light"/>
                <w:b/>
                <w:color w:val="000000"/>
                <w:sz w:val="18"/>
                <w:szCs w:val="18"/>
                <w:lang w:eastAsia="en-GB"/>
              </w:rPr>
            </w:pPr>
            <w:r w:rsidRPr="00FF386D">
              <w:rPr>
                <w:rFonts w:ascii="Calibri" w:eastAsia="Calibri" w:hAnsi="Calibri" w:cs="Calibri"/>
                <w:sz w:val="18"/>
                <w:szCs w:val="18"/>
                <w:lang w:eastAsia="el-GR"/>
              </w:rPr>
              <w:t>Унутрашње тржиште енергије</w:t>
            </w:r>
          </w:p>
        </w:tc>
        <w:tc>
          <w:tcPr>
            <w:tcW w:w="1572" w:type="dxa"/>
            <w:tcBorders>
              <w:left w:val="single" w:sz="4" w:space="0" w:color="auto"/>
            </w:tcBorders>
          </w:tcPr>
          <w:p w14:paraId="45D2ADC6" w14:textId="36520130" w:rsidR="002033FF" w:rsidRPr="000A2AFE" w:rsidRDefault="002033FF" w:rsidP="002033FF">
            <w:pPr>
              <w:spacing w:after="0" w:line="240" w:lineRule="auto"/>
              <w:jc w:val="right"/>
              <w:rPr>
                <w:rFonts w:ascii="Calibri Light" w:eastAsia="Calibri" w:hAnsi="Calibri Light" w:cs="Calibri Light"/>
                <w:bCs/>
                <w:sz w:val="20"/>
                <w:szCs w:val="20"/>
                <w:lang w:eastAsia="el-GR"/>
              </w:rPr>
            </w:pPr>
            <w:r>
              <w:rPr>
                <w:sz w:val="20"/>
                <w:szCs w:val="20"/>
                <w:lang w:val="en-GB"/>
              </w:rPr>
              <w:t>1,</w:t>
            </w:r>
            <w:r>
              <w:rPr>
                <w:sz w:val="20"/>
                <w:szCs w:val="20"/>
              </w:rPr>
              <w:t>19</w:t>
            </w:r>
          </w:p>
        </w:tc>
        <w:tc>
          <w:tcPr>
            <w:tcW w:w="1284" w:type="dxa"/>
          </w:tcPr>
          <w:p w14:paraId="3E6164B0" w14:textId="030460B6" w:rsidR="002033FF" w:rsidRPr="000A2AFE" w:rsidRDefault="002033FF" w:rsidP="002033FF">
            <w:pPr>
              <w:spacing w:after="0" w:line="240" w:lineRule="auto"/>
              <w:jc w:val="right"/>
              <w:rPr>
                <w:rFonts w:ascii="Calibri Light" w:eastAsia="Times New Roman" w:hAnsi="Calibri Light" w:cs="Calibri Light"/>
                <w:bCs/>
                <w:color w:val="000000"/>
                <w:sz w:val="20"/>
                <w:szCs w:val="20"/>
                <w:lang w:eastAsia="en-GB"/>
              </w:rPr>
            </w:pPr>
            <w:r w:rsidRPr="007F7C41">
              <w:rPr>
                <w:sz w:val="20"/>
                <w:szCs w:val="20"/>
                <w:lang w:val="en-GB"/>
              </w:rPr>
              <w:t>0</w:t>
            </w:r>
            <w:r>
              <w:rPr>
                <w:sz w:val="20"/>
                <w:szCs w:val="20"/>
                <w:lang w:val="en-GB"/>
              </w:rPr>
              <w:t>,</w:t>
            </w:r>
            <w:r w:rsidRPr="007F7C41">
              <w:rPr>
                <w:sz w:val="20"/>
                <w:szCs w:val="20"/>
                <w:lang w:val="en-GB"/>
              </w:rPr>
              <w:t>1</w:t>
            </w:r>
            <w:r>
              <w:rPr>
                <w:sz w:val="20"/>
                <w:szCs w:val="20"/>
              </w:rPr>
              <w:t>8</w:t>
            </w:r>
          </w:p>
        </w:tc>
        <w:tc>
          <w:tcPr>
            <w:tcW w:w="1236" w:type="dxa"/>
          </w:tcPr>
          <w:p w14:paraId="39609306" w14:textId="59FEEA87" w:rsidR="002033FF" w:rsidRPr="000A2AFE" w:rsidRDefault="002033FF" w:rsidP="002033FF">
            <w:pPr>
              <w:spacing w:after="0" w:line="240" w:lineRule="auto"/>
              <w:jc w:val="right"/>
              <w:rPr>
                <w:rFonts w:ascii="Calibri Light" w:eastAsia="Times New Roman" w:hAnsi="Calibri Light" w:cs="Calibri Light"/>
                <w:bCs/>
                <w:color w:val="000000"/>
                <w:sz w:val="20"/>
                <w:szCs w:val="20"/>
                <w:lang w:eastAsia="en-GB"/>
              </w:rPr>
            </w:pPr>
            <w:r>
              <w:rPr>
                <w:sz w:val="20"/>
                <w:szCs w:val="20"/>
                <w:lang w:val="en-GB"/>
              </w:rPr>
              <w:t>1,</w:t>
            </w:r>
            <w:r>
              <w:rPr>
                <w:sz w:val="20"/>
                <w:szCs w:val="20"/>
              </w:rPr>
              <w:t>0</w:t>
            </w:r>
            <w:r>
              <w:rPr>
                <w:sz w:val="20"/>
                <w:szCs w:val="20"/>
                <w:lang w:val="en-GB"/>
              </w:rPr>
              <w:t>1</w:t>
            </w:r>
          </w:p>
        </w:tc>
        <w:tc>
          <w:tcPr>
            <w:tcW w:w="1565" w:type="dxa"/>
          </w:tcPr>
          <w:p w14:paraId="48F513E9" w14:textId="237810AB" w:rsidR="002033FF" w:rsidRPr="000A2AFE" w:rsidRDefault="002033FF" w:rsidP="002033FF">
            <w:pPr>
              <w:spacing w:after="0" w:line="240" w:lineRule="auto"/>
              <w:jc w:val="right"/>
              <w:rPr>
                <w:rFonts w:ascii="Calibri" w:eastAsia="Calibri" w:hAnsi="Calibri" w:cs="Calibri"/>
                <w:sz w:val="20"/>
                <w:szCs w:val="20"/>
                <w:lang w:eastAsia="el-GR"/>
              </w:rPr>
            </w:pPr>
            <w:r w:rsidRPr="007F7C41">
              <w:rPr>
                <w:sz w:val="20"/>
                <w:szCs w:val="20"/>
                <w:lang w:val="en-GB"/>
              </w:rPr>
              <w:t>85</w:t>
            </w:r>
            <w:r>
              <w:rPr>
                <w:sz w:val="20"/>
                <w:szCs w:val="20"/>
                <w:lang w:val="en-GB"/>
              </w:rPr>
              <w:t>,0</w:t>
            </w:r>
            <w:r w:rsidRPr="007F7C41">
              <w:rPr>
                <w:sz w:val="20"/>
                <w:szCs w:val="20"/>
                <w:lang w:val="en-GB"/>
              </w:rPr>
              <w:t>%</w:t>
            </w:r>
          </w:p>
        </w:tc>
        <w:tc>
          <w:tcPr>
            <w:tcW w:w="1134" w:type="dxa"/>
          </w:tcPr>
          <w:p w14:paraId="7D09BD77" w14:textId="50242F83" w:rsidR="002033FF" w:rsidRPr="000A2AFE" w:rsidRDefault="002033FF" w:rsidP="002033FF">
            <w:pPr>
              <w:spacing w:after="0" w:line="240" w:lineRule="auto"/>
              <w:jc w:val="right"/>
              <w:rPr>
                <w:rFonts w:ascii="Calibri Light" w:eastAsia="Times New Roman" w:hAnsi="Calibri Light" w:cs="Calibri Light"/>
                <w:bCs/>
                <w:color w:val="000000"/>
                <w:sz w:val="20"/>
                <w:szCs w:val="20"/>
                <w:lang w:eastAsia="en-GB"/>
              </w:rPr>
            </w:pPr>
            <w:r>
              <w:rPr>
                <w:sz w:val="20"/>
                <w:szCs w:val="20"/>
                <w:lang w:val="en-GB"/>
              </w:rPr>
              <w:t>1,19</w:t>
            </w:r>
          </w:p>
        </w:tc>
        <w:tc>
          <w:tcPr>
            <w:tcW w:w="1170" w:type="dxa"/>
          </w:tcPr>
          <w:p w14:paraId="79B666AD" w14:textId="4606F2D8" w:rsidR="002033FF" w:rsidRPr="000A2AFE" w:rsidRDefault="002033FF" w:rsidP="002033FF">
            <w:pPr>
              <w:spacing w:after="0" w:line="240" w:lineRule="auto"/>
              <w:jc w:val="right"/>
              <w:rPr>
                <w:rFonts w:ascii="Calibri Light" w:eastAsia="Times New Roman" w:hAnsi="Calibri Light" w:cs="Calibri Light"/>
                <w:bCs/>
                <w:color w:val="000000"/>
                <w:sz w:val="20"/>
                <w:szCs w:val="20"/>
                <w:lang w:eastAsia="en-GB"/>
              </w:rPr>
            </w:pPr>
            <w:r w:rsidRPr="007F7C41">
              <w:rPr>
                <w:sz w:val="20"/>
                <w:szCs w:val="20"/>
                <w:lang w:val="en-GB"/>
              </w:rPr>
              <w:t>0</w:t>
            </w:r>
            <w:r>
              <w:rPr>
                <w:sz w:val="20"/>
                <w:szCs w:val="20"/>
                <w:lang w:val="en-GB"/>
              </w:rPr>
              <w:t>,</w:t>
            </w:r>
            <w:r w:rsidRPr="007F7C41">
              <w:rPr>
                <w:sz w:val="20"/>
                <w:szCs w:val="20"/>
                <w:lang w:val="en-GB"/>
              </w:rPr>
              <w:t>00</w:t>
            </w:r>
          </w:p>
        </w:tc>
      </w:tr>
      <w:tr w:rsidR="002033FF" w:rsidRPr="00FF386D" w14:paraId="0B8F1610" w14:textId="77777777" w:rsidTr="000A2AFE">
        <w:trPr>
          <w:trHeight w:val="511"/>
        </w:trPr>
        <w:tc>
          <w:tcPr>
            <w:tcW w:w="1709" w:type="dxa"/>
            <w:tcBorders>
              <w:right w:val="single" w:sz="4" w:space="0" w:color="auto"/>
            </w:tcBorders>
            <w:shd w:val="clear" w:color="auto" w:fill="E7E6E6"/>
          </w:tcPr>
          <w:p w14:paraId="141B6581" w14:textId="77777777" w:rsidR="002033FF" w:rsidRPr="00FF386D" w:rsidRDefault="002033FF" w:rsidP="002033FF">
            <w:pPr>
              <w:spacing w:after="0" w:line="240" w:lineRule="auto"/>
              <w:rPr>
                <w:rFonts w:ascii="Calibri Light" w:eastAsia="Times New Roman" w:hAnsi="Calibri Light" w:cs="Calibri Light"/>
                <w:b/>
                <w:color w:val="000000"/>
                <w:sz w:val="18"/>
                <w:szCs w:val="18"/>
                <w:lang w:eastAsia="en-GB"/>
              </w:rPr>
            </w:pPr>
            <w:r w:rsidRPr="00FF386D">
              <w:rPr>
                <w:rFonts w:ascii="Calibri" w:eastAsia="Calibri" w:hAnsi="Calibri" w:cs="Calibri"/>
                <w:sz w:val="18"/>
                <w:szCs w:val="18"/>
                <w:lang w:eastAsia="el-GR"/>
              </w:rPr>
              <w:t>Истраживањe, иновација и конкурентност</w:t>
            </w:r>
          </w:p>
        </w:tc>
        <w:tc>
          <w:tcPr>
            <w:tcW w:w="1572" w:type="dxa"/>
            <w:tcBorders>
              <w:left w:val="single" w:sz="4" w:space="0" w:color="auto"/>
            </w:tcBorders>
          </w:tcPr>
          <w:p w14:paraId="7A11CF24" w14:textId="59A3B180" w:rsidR="002033FF" w:rsidRPr="000A2AFE" w:rsidRDefault="002033FF" w:rsidP="002033FF">
            <w:pPr>
              <w:spacing w:after="0" w:line="240" w:lineRule="auto"/>
              <w:jc w:val="right"/>
              <w:rPr>
                <w:rFonts w:ascii="Calibri Light" w:eastAsia="Calibri" w:hAnsi="Calibri Light" w:cs="Calibri Light"/>
                <w:bCs/>
                <w:sz w:val="20"/>
                <w:szCs w:val="20"/>
                <w:lang w:eastAsia="el-GR"/>
              </w:rPr>
            </w:pPr>
            <w:r w:rsidRPr="007F7C41">
              <w:rPr>
                <w:sz w:val="20"/>
                <w:szCs w:val="20"/>
                <w:lang w:val="en-GB"/>
              </w:rPr>
              <w:t>0</w:t>
            </w:r>
            <w:r>
              <w:rPr>
                <w:sz w:val="20"/>
                <w:szCs w:val="20"/>
                <w:lang w:val="en-GB"/>
              </w:rPr>
              <w:t>,</w:t>
            </w:r>
            <w:r w:rsidRPr="007F7C41">
              <w:rPr>
                <w:sz w:val="20"/>
                <w:szCs w:val="20"/>
                <w:lang w:val="en-GB"/>
              </w:rPr>
              <w:t>11</w:t>
            </w:r>
          </w:p>
        </w:tc>
        <w:tc>
          <w:tcPr>
            <w:tcW w:w="1284" w:type="dxa"/>
          </w:tcPr>
          <w:p w14:paraId="18448AA5" w14:textId="0452F76C" w:rsidR="002033FF" w:rsidRPr="000A2AFE" w:rsidRDefault="002033FF" w:rsidP="002033FF">
            <w:pPr>
              <w:spacing w:after="0" w:line="240" w:lineRule="auto"/>
              <w:jc w:val="right"/>
              <w:rPr>
                <w:rFonts w:ascii="Calibri Light" w:eastAsia="Times New Roman" w:hAnsi="Calibri Light" w:cs="Calibri Light"/>
                <w:bCs/>
                <w:color w:val="000000"/>
                <w:sz w:val="20"/>
                <w:szCs w:val="20"/>
                <w:lang w:eastAsia="en-GB"/>
              </w:rPr>
            </w:pPr>
            <w:r w:rsidRPr="007F7C41">
              <w:rPr>
                <w:sz w:val="20"/>
                <w:szCs w:val="20"/>
                <w:lang w:val="en-GB"/>
              </w:rPr>
              <w:t>0</w:t>
            </w:r>
            <w:r>
              <w:rPr>
                <w:sz w:val="20"/>
                <w:szCs w:val="20"/>
                <w:lang w:val="en-GB"/>
              </w:rPr>
              <w:t>,</w:t>
            </w:r>
            <w:r w:rsidRPr="007F7C41">
              <w:rPr>
                <w:sz w:val="20"/>
                <w:szCs w:val="20"/>
                <w:lang w:val="en-GB"/>
              </w:rPr>
              <w:t>06</w:t>
            </w:r>
          </w:p>
        </w:tc>
        <w:tc>
          <w:tcPr>
            <w:tcW w:w="1236" w:type="dxa"/>
          </w:tcPr>
          <w:p w14:paraId="1887AB71" w14:textId="2ED907F6" w:rsidR="002033FF" w:rsidRPr="000A2AFE" w:rsidRDefault="002033FF" w:rsidP="002033FF">
            <w:pPr>
              <w:spacing w:after="0" w:line="240" w:lineRule="auto"/>
              <w:jc w:val="right"/>
              <w:rPr>
                <w:rFonts w:ascii="Calibri Light" w:eastAsia="Times New Roman" w:hAnsi="Calibri Light" w:cs="Calibri Light"/>
                <w:bCs/>
                <w:color w:val="000000"/>
                <w:sz w:val="20"/>
                <w:szCs w:val="20"/>
                <w:lang w:eastAsia="en-GB"/>
              </w:rPr>
            </w:pPr>
            <w:r w:rsidRPr="007F7C41">
              <w:rPr>
                <w:sz w:val="20"/>
                <w:szCs w:val="20"/>
                <w:lang w:val="en-GB"/>
              </w:rPr>
              <w:t>0</w:t>
            </w:r>
            <w:r>
              <w:rPr>
                <w:sz w:val="20"/>
                <w:szCs w:val="20"/>
                <w:lang w:val="en-GB"/>
              </w:rPr>
              <w:t>,</w:t>
            </w:r>
            <w:r w:rsidRPr="007F7C41">
              <w:rPr>
                <w:sz w:val="20"/>
                <w:szCs w:val="20"/>
                <w:lang w:val="en-GB"/>
              </w:rPr>
              <w:t>05</w:t>
            </w:r>
          </w:p>
        </w:tc>
        <w:tc>
          <w:tcPr>
            <w:tcW w:w="1565" w:type="dxa"/>
          </w:tcPr>
          <w:p w14:paraId="27C8DD2D" w14:textId="153C66D5" w:rsidR="002033FF" w:rsidRPr="000A2AFE" w:rsidRDefault="002033FF" w:rsidP="002033FF">
            <w:pPr>
              <w:spacing w:after="0" w:line="240" w:lineRule="auto"/>
              <w:jc w:val="right"/>
              <w:rPr>
                <w:rFonts w:ascii="Calibri" w:eastAsia="Calibri" w:hAnsi="Calibri" w:cs="Calibri"/>
                <w:sz w:val="20"/>
                <w:szCs w:val="20"/>
                <w:lang w:eastAsia="el-GR"/>
              </w:rPr>
            </w:pPr>
            <w:r w:rsidRPr="007F7C41">
              <w:rPr>
                <w:sz w:val="20"/>
                <w:szCs w:val="20"/>
                <w:lang w:val="en-GB"/>
              </w:rPr>
              <w:t>45</w:t>
            </w:r>
            <w:r>
              <w:rPr>
                <w:sz w:val="20"/>
                <w:szCs w:val="20"/>
                <w:lang w:val="en-GB"/>
              </w:rPr>
              <w:t>,</w:t>
            </w:r>
            <w:r w:rsidRPr="007F7C41">
              <w:rPr>
                <w:sz w:val="20"/>
                <w:szCs w:val="20"/>
                <w:lang w:val="en-GB"/>
              </w:rPr>
              <w:t>7%</w:t>
            </w:r>
          </w:p>
        </w:tc>
        <w:tc>
          <w:tcPr>
            <w:tcW w:w="1134" w:type="dxa"/>
          </w:tcPr>
          <w:p w14:paraId="5FD9D9FE" w14:textId="76606CF0" w:rsidR="002033FF" w:rsidRPr="000A2AFE" w:rsidRDefault="002033FF" w:rsidP="002033FF">
            <w:pPr>
              <w:spacing w:after="0" w:line="240" w:lineRule="auto"/>
              <w:jc w:val="right"/>
              <w:rPr>
                <w:rFonts w:ascii="Calibri Light" w:eastAsia="Times New Roman" w:hAnsi="Calibri Light" w:cs="Calibri Light"/>
                <w:bCs/>
                <w:color w:val="000000"/>
                <w:sz w:val="20"/>
                <w:szCs w:val="20"/>
                <w:lang w:eastAsia="en-GB"/>
              </w:rPr>
            </w:pPr>
            <w:r w:rsidRPr="007F7C41">
              <w:rPr>
                <w:sz w:val="20"/>
                <w:szCs w:val="20"/>
                <w:lang w:val="en-GB"/>
              </w:rPr>
              <w:t>0</w:t>
            </w:r>
            <w:r>
              <w:rPr>
                <w:sz w:val="20"/>
                <w:szCs w:val="20"/>
                <w:lang w:val="en-GB"/>
              </w:rPr>
              <w:t>,</w:t>
            </w:r>
            <w:r w:rsidRPr="007F7C41">
              <w:rPr>
                <w:sz w:val="20"/>
                <w:szCs w:val="20"/>
                <w:lang w:val="en-GB"/>
              </w:rPr>
              <w:t>11</w:t>
            </w:r>
          </w:p>
        </w:tc>
        <w:tc>
          <w:tcPr>
            <w:tcW w:w="1170" w:type="dxa"/>
          </w:tcPr>
          <w:p w14:paraId="438CCC86" w14:textId="72687E75" w:rsidR="002033FF" w:rsidRPr="000A2AFE" w:rsidRDefault="002033FF" w:rsidP="002033FF">
            <w:pPr>
              <w:spacing w:after="0" w:line="240" w:lineRule="auto"/>
              <w:jc w:val="right"/>
              <w:rPr>
                <w:rFonts w:ascii="Calibri Light" w:eastAsia="Times New Roman" w:hAnsi="Calibri Light" w:cs="Calibri Light"/>
                <w:bCs/>
                <w:color w:val="000000"/>
                <w:sz w:val="20"/>
                <w:szCs w:val="20"/>
                <w:lang w:eastAsia="en-GB"/>
              </w:rPr>
            </w:pPr>
            <w:r w:rsidRPr="007F7C41">
              <w:rPr>
                <w:sz w:val="20"/>
                <w:szCs w:val="20"/>
                <w:lang w:val="en-GB"/>
              </w:rPr>
              <w:t>0</w:t>
            </w:r>
            <w:r>
              <w:rPr>
                <w:sz w:val="20"/>
                <w:szCs w:val="20"/>
                <w:lang w:val="en-GB"/>
              </w:rPr>
              <w:t>,</w:t>
            </w:r>
            <w:r w:rsidRPr="007F7C41">
              <w:rPr>
                <w:sz w:val="20"/>
                <w:szCs w:val="20"/>
                <w:lang w:val="en-GB"/>
              </w:rPr>
              <w:t>00</w:t>
            </w:r>
          </w:p>
        </w:tc>
      </w:tr>
      <w:tr w:rsidR="002033FF" w:rsidRPr="00FF386D" w14:paraId="4EFFD6F0" w14:textId="77777777" w:rsidTr="000A2AFE">
        <w:trPr>
          <w:trHeight w:val="254"/>
        </w:trPr>
        <w:tc>
          <w:tcPr>
            <w:tcW w:w="1709" w:type="dxa"/>
            <w:tcBorders>
              <w:right w:val="single" w:sz="4" w:space="0" w:color="auto"/>
            </w:tcBorders>
            <w:shd w:val="clear" w:color="auto" w:fill="E7E6E6"/>
          </w:tcPr>
          <w:p w14:paraId="0B4E0E13" w14:textId="173F81B2" w:rsidR="002033FF" w:rsidRPr="00FF386D" w:rsidRDefault="002033FF" w:rsidP="002033FF">
            <w:pPr>
              <w:spacing w:after="0" w:line="240" w:lineRule="auto"/>
              <w:rPr>
                <w:rFonts w:ascii="Calibri Light" w:eastAsia="Times New Roman" w:hAnsi="Calibri Light" w:cs="Calibri Light"/>
                <w:b/>
                <w:color w:val="000000"/>
                <w:sz w:val="18"/>
                <w:szCs w:val="18"/>
                <w:lang w:eastAsia="en-GB"/>
              </w:rPr>
            </w:pPr>
            <w:r w:rsidRPr="00FF386D">
              <w:rPr>
                <w:rFonts w:ascii="Calibri" w:eastAsia="Calibri" w:hAnsi="Calibri" w:cs="Calibri"/>
                <w:sz w:val="18"/>
                <w:szCs w:val="18"/>
                <w:lang w:eastAsia="el-GR"/>
              </w:rPr>
              <w:t xml:space="preserve">Укупно (милијарде </w:t>
            </w:r>
            <w:r w:rsidRPr="00863246">
              <w:rPr>
                <w:rFonts w:ascii="Calibri" w:eastAsia="Calibri" w:hAnsi="Calibri" w:cs="Calibri"/>
                <w:sz w:val="18"/>
                <w:szCs w:val="18"/>
                <w:lang w:eastAsia="el-GR"/>
              </w:rPr>
              <w:t>евра</w:t>
            </w:r>
            <w:r w:rsidRPr="00FF386D">
              <w:rPr>
                <w:rFonts w:ascii="Calibri" w:eastAsia="Calibri" w:hAnsi="Calibri" w:cs="Calibri"/>
                <w:sz w:val="18"/>
                <w:szCs w:val="18"/>
                <w:lang w:eastAsia="el-GR"/>
              </w:rPr>
              <w:t>)</w:t>
            </w:r>
          </w:p>
        </w:tc>
        <w:tc>
          <w:tcPr>
            <w:tcW w:w="1572" w:type="dxa"/>
            <w:tcBorders>
              <w:left w:val="single" w:sz="4" w:space="0" w:color="auto"/>
            </w:tcBorders>
            <w:shd w:val="clear" w:color="auto" w:fill="E7E6E6" w:themeFill="background2"/>
          </w:tcPr>
          <w:p w14:paraId="4C7EB376" w14:textId="4CBF7259" w:rsidR="002033FF" w:rsidRPr="000A2AFE" w:rsidRDefault="00BA3A4C" w:rsidP="002033FF">
            <w:pPr>
              <w:spacing w:after="0" w:line="240" w:lineRule="auto"/>
              <w:jc w:val="right"/>
              <w:rPr>
                <w:rFonts w:ascii="Calibri Light" w:eastAsia="Times New Roman" w:hAnsi="Calibri Light" w:cs="Calibri Light"/>
                <w:b/>
                <w:bCs/>
                <w:color w:val="000000"/>
                <w:sz w:val="20"/>
                <w:szCs w:val="20"/>
                <w:lang w:eastAsia="en-GB"/>
              </w:rPr>
            </w:pPr>
            <w:r>
              <w:rPr>
                <w:sz w:val="20"/>
                <w:szCs w:val="20"/>
              </w:rPr>
              <w:t>30,5</w:t>
            </w:r>
            <w:r w:rsidR="004756D7">
              <w:rPr>
                <w:sz w:val="20"/>
                <w:szCs w:val="20"/>
              </w:rPr>
              <w:t>5</w:t>
            </w:r>
          </w:p>
        </w:tc>
        <w:tc>
          <w:tcPr>
            <w:tcW w:w="1284" w:type="dxa"/>
            <w:shd w:val="clear" w:color="auto" w:fill="E7E6E6" w:themeFill="background2"/>
          </w:tcPr>
          <w:p w14:paraId="33B7976D" w14:textId="7D31872A" w:rsidR="002033FF" w:rsidRPr="000A2AFE" w:rsidRDefault="002033FF" w:rsidP="002033FF">
            <w:pPr>
              <w:spacing w:after="0" w:line="240" w:lineRule="auto"/>
              <w:jc w:val="right"/>
              <w:rPr>
                <w:rFonts w:ascii="Calibri Light" w:eastAsia="Times New Roman" w:hAnsi="Calibri Light" w:cs="Calibri Light"/>
                <w:b/>
                <w:bCs/>
                <w:color w:val="000000"/>
                <w:sz w:val="20"/>
                <w:szCs w:val="20"/>
                <w:lang w:eastAsia="en-GB"/>
              </w:rPr>
            </w:pPr>
            <w:r>
              <w:rPr>
                <w:sz w:val="20"/>
                <w:szCs w:val="20"/>
                <w:lang w:val="en-GB"/>
              </w:rPr>
              <w:t>10,</w:t>
            </w:r>
            <w:r w:rsidR="00BA3A4C">
              <w:rPr>
                <w:sz w:val="20"/>
                <w:szCs w:val="20"/>
              </w:rPr>
              <w:t>8</w:t>
            </w:r>
            <w:r w:rsidR="004756D7">
              <w:rPr>
                <w:sz w:val="20"/>
                <w:szCs w:val="20"/>
              </w:rPr>
              <w:t>7</w:t>
            </w:r>
          </w:p>
        </w:tc>
        <w:tc>
          <w:tcPr>
            <w:tcW w:w="1236" w:type="dxa"/>
            <w:shd w:val="clear" w:color="auto" w:fill="E7E6E6" w:themeFill="background2"/>
          </w:tcPr>
          <w:p w14:paraId="2538F71B" w14:textId="6138BC69" w:rsidR="002033FF" w:rsidRPr="000A2AFE" w:rsidRDefault="002033FF" w:rsidP="002033FF">
            <w:pPr>
              <w:spacing w:after="0" w:line="240" w:lineRule="auto"/>
              <w:jc w:val="right"/>
              <w:rPr>
                <w:rFonts w:ascii="Calibri Light" w:eastAsia="Times New Roman" w:hAnsi="Calibri Light" w:cs="Calibri Light"/>
                <w:b/>
                <w:bCs/>
                <w:color w:val="000000"/>
                <w:sz w:val="20"/>
                <w:szCs w:val="20"/>
                <w:lang w:eastAsia="en-GB"/>
              </w:rPr>
            </w:pPr>
            <w:r>
              <w:rPr>
                <w:sz w:val="20"/>
                <w:szCs w:val="20"/>
                <w:lang w:val="en-GB"/>
              </w:rPr>
              <w:t>1</w:t>
            </w:r>
            <w:r w:rsidR="00BA3A4C">
              <w:rPr>
                <w:sz w:val="20"/>
                <w:szCs w:val="20"/>
              </w:rPr>
              <w:t>9,68</w:t>
            </w:r>
          </w:p>
        </w:tc>
        <w:tc>
          <w:tcPr>
            <w:tcW w:w="1565" w:type="dxa"/>
            <w:shd w:val="clear" w:color="auto" w:fill="E7E6E6" w:themeFill="background2"/>
          </w:tcPr>
          <w:p w14:paraId="156C9DBA" w14:textId="58A100DA" w:rsidR="002033FF" w:rsidRPr="000A2AFE" w:rsidRDefault="002033FF" w:rsidP="002033FF">
            <w:pPr>
              <w:spacing w:after="0" w:line="240" w:lineRule="auto"/>
              <w:jc w:val="right"/>
              <w:rPr>
                <w:rFonts w:ascii="Calibri" w:eastAsia="Calibri" w:hAnsi="Calibri" w:cs="Calibri"/>
                <w:b/>
                <w:bCs/>
                <w:sz w:val="20"/>
                <w:szCs w:val="20"/>
                <w:lang w:eastAsia="el-GR"/>
              </w:rPr>
            </w:pPr>
            <w:r>
              <w:rPr>
                <w:sz w:val="20"/>
                <w:szCs w:val="20"/>
                <w:lang w:val="en-GB"/>
              </w:rPr>
              <w:t>6</w:t>
            </w:r>
            <w:r w:rsidR="00BA3A4C">
              <w:rPr>
                <w:sz w:val="20"/>
                <w:szCs w:val="20"/>
              </w:rPr>
              <w:t>4,4</w:t>
            </w:r>
            <w:r>
              <w:rPr>
                <w:sz w:val="20"/>
                <w:szCs w:val="20"/>
                <w:lang w:val="en-GB"/>
              </w:rPr>
              <w:t>%</w:t>
            </w:r>
          </w:p>
        </w:tc>
        <w:tc>
          <w:tcPr>
            <w:tcW w:w="1134" w:type="dxa"/>
            <w:shd w:val="clear" w:color="auto" w:fill="E7E6E6" w:themeFill="background2"/>
          </w:tcPr>
          <w:p w14:paraId="02EBB706" w14:textId="33AA9CF0" w:rsidR="002033FF" w:rsidRPr="000A2AFE" w:rsidRDefault="002033FF" w:rsidP="002033FF">
            <w:pPr>
              <w:spacing w:after="0" w:line="240" w:lineRule="auto"/>
              <w:jc w:val="right"/>
              <w:rPr>
                <w:rFonts w:ascii="Calibri Light" w:eastAsia="Times New Roman" w:hAnsi="Calibri Light" w:cs="Calibri Light"/>
                <w:b/>
                <w:bCs/>
                <w:color w:val="000000"/>
                <w:sz w:val="20"/>
                <w:szCs w:val="20"/>
                <w:lang w:eastAsia="en-GB"/>
              </w:rPr>
            </w:pPr>
            <w:r>
              <w:rPr>
                <w:sz w:val="20"/>
                <w:szCs w:val="20"/>
                <w:lang w:val="en-GB"/>
              </w:rPr>
              <w:t>16,</w:t>
            </w:r>
            <w:r w:rsidR="00BA3A4C">
              <w:rPr>
                <w:sz w:val="20"/>
                <w:szCs w:val="20"/>
              </w:rPr>
              <w:t>7</w:t>
            </w:r>
            <w:r w:rsidR="004756D7">
              <w:rPr>
                <w:sz w:val="20"/>
                <w:szCs w:val="20"/>
              </w:rPr>
              <w:t>6</w:t>
            </w:r>
          </w:p>
        </w:tc>
        <w:tc>
          <w:tcPr>
            <w:tcW w:w="1170" w:type="dxa"/>
            <w:shd w:val="clear" w:color="auto" w:fill="E7E6E6" w:themeFill="background2"/>
          </w:tcPr>
          <w:p w14:paraId="27D91B7A" w14:textId="335372B0" w:rsidR="002033FF" w:rsidRPr="000A2AFE" w:rsidRDefault="002033FF" w:rsidP="002033FF">
            <w:pPr>
              <w:spacing w:after="0" w:line="240" w:lineRule="auto"/>
              <w:jc w:val="right"/>
              <w:rPr>
                <w:rFonts w:ascii="Calibri Light" w:eastAsia="Times New Roman" w:hAnsi="Calibri Light" w:cs="Calibri Light"/>
                <w:b/>
                <w:bCs/>
                <w:color w:val="000000"/>
                <w:sz w:val="20"/>
                <w:szCs w:val="20"/>
                <w:lang w:eastAsia="en-GB"/>
              </w:rPr>
            </w:pPr>
            <w:r>
              <w:rPr>
                <w:sz w:val="20"/>
                <w:szCs w:val="20"/>
                <w:lang w:val="en-GB"/>
              </w:rPr>
              <w:t>1</w:t>
            </w:r>
            <w:r w:rsidR="00BA3A4C">
              <w:rPr>
                <w:sz w:val="20"/>
                <w:szCs w:val="20"/>
              </w:rPr>
              <w:t>3,79</w:t>
            </w:r>
          </w:p>
        </w:tc>
      </w:tr>
    </w:tbl>
    <w:p w14:paraId="4B98DDA1" w14:textId="0F9474ED" w:rsidR="00CA5936" w:rsidRPr="00FF386D" w:rsidRDefault="00CA5936" w:rsidP="00565B02">
      <w:pPr>
        <w:widowControl w:val="0"/>
        <w:spacing w:before="160" w:line="240" w:lineRule="auto"/>
        <w:jc w:val="both"/>
        <w:rPr>
          <w:rFonts w:ascii="Calibri Light" w:eastAsia="Times New Roman" w:hAnsi="Calibri Light" w:cs="Calibri Light"/>
          <w:szCs w:val="20"/>
          <w:lang w:eastAsia="el-GR"/>
        </w:rPr>
      </w:pPr>
      <w:r w:rsidRPr="00FF386D">
        <w:rPr>
          <w:rFonts w:ascii="Calibri Light" w:eastAsia="Times New Roman" w:hAnsi="Calibri Light" w:cs="Calibri Light"/>
          <w:szCs w:val="20"/>
          <w:lang w:eastAsia="el-GR" w:bidi="sr-Cyrl-CS"/>
        </w:rPr>
        <w:t xml:space="preserve">Од кумулативних инвестиционих потреба од </w:t>
      </w:r>
      <w:r w:rsidR="00BA3A4C">
        <w:rPr>
          <w:rFonts w:ascii="Calibri Light" w:eastAsia="Times New Roman" w:hAnsi="Calibri Light" w:cs="Calibri Light"/>
          <w:szCs w:val="20"/>
          <w:lang w:eastAsia="el-GR" w:bidi="sr-Cyrl-CS"/>
        </w:rPr>
        <w:t>30,57</w:t>
      </w:r>
      <w:r w:rsidR="00E175B4" w:rsidRPr="00FF386D">
        <w:rPr>
          <w:rFonts w:ascii="Calibri Light" w:eastAsia="Times New Roman" w:hAnsi="Calibri Light" w:cs="Calibri Light"/>
          <w:szCs w:val="20"/>
          <w:lang w:eastAsia="el-GR" w:bidi="sr-Cyrl-CS"/>
        </w:rPr>
        <w:t xml:space="preserve"> </w:t>
      </w:r>
      <w:r w:rsidRPr="00FF386D">
        <w:rPr>
          <w:rFonts w:ascii="Calibri Light" w:eastAsia="Times New Roman" w:hAnsi="Calibri Light" w:cs="Calibri Light"/>
          <w:szCs w:val="20"/>
          <w:lang w:eastAsia="el-GR" w:bidi="sr-Cyrl-CS"/>
        </w:rPr>
        <w:t xml:space="preserve">милијарди евра до 2030. године, око </w:t>
      </w:r>
      <w:r w:rsidR="00BA3A4C">
        <w:rPr>
          <w:rFonts w:ascii="Calibri Light" w:eastAsia="Times New Roman" w:hAnsi="Calibri Light" w:cs="Calibri Light"/>
          <w:szCs w:val="20"/>
          <w:lang w:eastAsia="el-GR" w:bidi="sr-Cyrl-CS"/>
        </w:rPr>
        <w:t>35,6</w:t>
      </w:r>
      <w:r w:rsidRPr="00FF386D">
        <w:rPr>
          <w:rFonts w:ascii="Calibri Light" w:eastAsia="Times New Roman" w:hAnsi="Calibri Light" w:cs="Calibri Light"/>
          <w:szCs w:val="20"/>
          <w:lang w:eastAsia="el-GR" w:bidi="sr-Cyrl-CS"/>
        </w:rPr>
        <w:t xml:space="preserve">% се односи на инвестиције </w:t>
      </w:r>
      <w:r w:rsidR="00813877" w:rsidRPr="00FF386D">
        <w:rPr>
          <w:rFonts w:ascii="Calibri Light" w:eastAsia="Times New Roman" w:hAnsi="Calibri Light" w:cs="Calibri Light"/>
          <w:szCs w:val="20"/>
          <w:lang w:eastAsia="el-GR" w:bidi="sr-Cyrl-CS"/>
        </w:rPr>
        <w:t xml:space="preserve">у </w:t>
      </w:r>
      <w:r w:rsidRPr="00FF386D">
        <w:rPr>
          <w:rFonts w:ascii="Calibri Light" w:eastAsia="Times New Roman" w:hAnsi="Calibri Light" w:cs="Calibri Light"/>
          <w:szCs w:val="20"/>
          <w:lang w:eastAsia="el-GR" w:bidi="sr-Cyrl-CS"/>
        </w:rPr>
        <w:t>јавно</w:t>
      </w:r>
      <w:r w:rsidR="00813877" w:rsidRPr="00FF386D">
        <w:rPr>
          <w:rFonts w:ascii="Calibri Light" w:eastAsia="Times New Roman" w:hAnsi="Calibri Light" w:cs="Calibri Light"/>
          <w:szCs w:val="20"/>
          <w:lang w:eastAsia="el-GR" w:bidi="sr-Cyrl-CS"/>
        </w:rPr>
        <w:t>м</w:t>
      </w:r>
      <w:r w:rsidRPr="00FF386D">
        <w:rPr>
          <w:rFonts w:ascii="Calibri Light" w:eastAsia="Times New Roman" w:hAnsi="Calibri Light" w:cs="Calibri Light"/>
          <w:szCs w:val="20"/>
          <w:lang w:eastAsia="el-GR" w:bidi="sr-Cyrl-CS"/>
        </w:rPr>
        <w:t xml:space="preserve"> сектор</w:t>
      </w:r>
      <w:r w:rsidR="00813877" w:rsidRPr="00FF386D">
        <w:rPr>
          <w:rFonts w:ascii="Calibri Light" w:eastAsia="Times New Roman" w:hAnsi="Calibri Light" w:cs="Calibri Light"/>
          <w:szCs w:val="20"/>
          <w:lang w:eastAsia="el-GR" w:bidi="sr-Cyrl-CS"/>
        </w:rPr>
        <w:t>у</w:t>
      </w:r>
      <w:r w:rsidRPr="00FF386D">
        <w:rPr>
          <w:rFonts w:ascii="Calibri Light" w:eastAsia="Times New Roman" w:hAnsi="Calibri Light" w:cs="Calibri Light"/>
          <w:szCs w:val="20"/>
          <w:lang w:eastAsia="el-GR" w:bidi="sr-Cyrl-CS"/>
        </w:rPr>
        <w:t xml:space="preserve"> (</w:t>
      </w:r>
      <w:r w:rsidR="00777B33">
        <w:rPr>
          <w:rFonts w:ascii="Calibri Light" w:eastAsia="Times New Roman" w:hAnsi="Calibri Light" w:cs="Calibri Light"/>
          <w:szCs w:val="20"/>
          <w:lang w:eastAsia="el-GR" w:bidi="sr-Cyrl-CS"/>
        </w:rPr>
        <w:fldChar w:fldCharType="begin"/>
      </w:r>
      <w:r w:rsidR="00777B33">
        <w:rPr>
          <w:rFonts w:ascii="Calibri Light" w:eastAsia="Times New Roman" w:hAnsi="Calibri Light" w:cs="Calibri Light"/>
          <w:szCs w:val="20"/>
          <w:lang w:eastAsia="el-GR" w:bidi="sr-Cyrl-CS"/>
        </w:rPr>
        <w:instrText xml:space="preserve"> REF _Ref153897480 \h  \* MERGEFORMAT </w:instrText>
      </w:r>
      <w:r w:rsidR="00777B33">
        <w:rPr>
          <w:rFonts w:ascii="Calibri Light" w:eastAsia="Times New Roman" w:hAnsi="Calibri Light" w:cs="Calibri Light"/>
          <w:szCs w:val="20"/>
          <w:lang w:eastAsia="el-GR" w:bidi="sr-Cyrl-CS"/>
        </w:rPr>
      </w:r>
      <w:r w:rsidR="00777B33">
        <w:rPr>
          <w:rFonts w:ascii="Calibri Light" w:eastAsia="Times New Roman" w:hAnsi="Calibri Light" w:cs="Calibri Light"/>
          <w:szCs w:val="20"/>
          <w:lang w:eastAsia="el-GR" w:bidi="sr-Cyrl-CS"/>
        </w:rPr>
        <w:fldChar w:fldCharType="separate"/>
      </w:r>
      <w:r w:rsidR="00777B33" w:rsidRPr="00565B02">
        <w:rPr>
          <w:rFonts w:ascii="Calibri Light" w:eastAsia="Times New Roman" w:hAnsi="Calibri Light" w:cs="Calibri Light"/>
          <w:szCs w:val="20"/>
          <w:lang w:eastAsia="el-GR" w:bidi="sr-Cyrl-CS"/>
        </w:rPr>
        <w:t>Слика 5.50</w:t>
      </w:r>
      <w:r w:rsidR="00777B33">
        <w:rPr>
          <w:rFonts w:ascii="Calibri Light" w:eastAsia="Times New Roman" w:hAnsi="Calibri Light" w:cs="Calibri Light"/>
          <w:szCs w:val="20"/>
          <w:lang w:eastAsia="el-GR" w:bidi="sr-Cyrl-CS"/>
        </w:rPr>
        <w:fldChar w:fldCharType="end"/>
      </w:r>
      <w:r w:rsidRPr="00FF386D">
        <w:rPr>
          <w:rFonts w:ascii="Calibri Light" w:eastAsia="Times New Roman" w:hAnsi="Calibri Light" w:cs="Calibri Light"/>
          <w:szCs w:val="20"/>
          <w:lang w:eastAsia="el-GR" w:bidi="sr-Cyrl-CS"/>
        </w:rPr>
        <w:t xml:space="preserve">). Преосталих </w:t>
      </w:r>
      <w:r w:rsidR="00813877" w:rsidRPr="00FF386D">
        <w:rPr>
          <w:rFonts w:ascii="Calibri Light" w:eastAsia="Times New Roman" w:hAnsi="Calibri Light" w:cs="Calibri Light"/>
          <w:szCs w:val="20"/>
          <w:lang w:eastAsia="el-GR" w:bidi="sr-Cyrl-CS"/>
        </w:rPr>
        <w:t>готово</w:t>
      </w:r>
      <w:r w:rsidRPr="00FF386D">
        <w:rPr>
          <w:rFonts w:ascii="Calibri Light" w:eastAsia="Times New Roman" w:hAnsi="Calibri Light" w:cs="Calibri Light"/>
          <w:szCs w:val="20"/>
          <w:lang w:eastAsia="el-GR" w:bidi="sr-Cyrl-CS"/>
        </w:rPr>
        <w:t xml:space="preserve"> </w:t>
      </w:r>
      <w:r w:rsidR="00E175B4" w:rsidRPr="00FF386D">
        <w:rPr>
          <w:rFonts w:ascii="Calibri Light" w:eastAsia="Times New Roman" w:hAnsi="Calibri Light" w:cs="Calibri Light"/>
          <w:szCs w:val="20"/>
          <w:lang w:eastAsia="el-GR" w:bidi="sr-Cyrl-CS"/>
        </w:rPr>
        <w:t>6</w:t>
      </w:r>
      <w:r w:rsidR="00BA3A4C">
        <w:rPr>
          <w:rFonts w:ascii="Calibri Light" w:eastAsia="Times New Roman" w:hAnsi="Calibri Light" w:cs="Calibri Light"/>
          <w:szCs w:val="20"/>
          <w:lang w:eastAsia="el-GR" w:bidi="sr-Cyrl-CS"/>
        </w:rPr>
        <w:t>4,4</w:t>
      </w:r>
      <w:r w:rsidRPr="00FF386D">
        <w:rPr>
          <w:rFonts w:ascii="Calibri Light" w:eastAsia="Times New Roman" w:hAnsi="Calibri Light" w:cs="Calibri Light"/>
          <w:szCs w:val="20"/>
          <w:lang w:eastAsia="el-GR" w:bidi="sr-Cyrl-CS"/>
        </w:rPr>
        <w:t xml:space="preserve">% долази од инвестиција </w:t>
      </w:r>
      <w:r w:rsidR="00304F8B" w:rsidRPr="00FF386D">
        <w:rPr>
          <w:rFonts w:ascii="Calibri Light" w:eastAsia="Times New Roman" w:hAnsi="Calibri Light" w:cs="Calibri Light"/>
          <w:szCs w:val="20"/>
          <w:lang w:eastAsia="el-GR" w:bidi="sr-Cyrl-CS"/>
        </w:rPr>
        <w:t>из сопствених средстава</w:t>
      </w:r>
      <w:r w:rsidRPr="00FF386D">
        <w:rPr>
          <w:rFonts w:ascii="Calibri Light" w:eastAsia="Times New Roman" w:hAnsi="Calibri Light" w:cs="Calibri Light"/>
          <w:szCs w:val="20"/>
          <w:lang w:eastAsia="el-GR" w:bidi="sr-Cyrl-CS"/>
        </w:rPr>
        <w:t xml:space="preserve">, укључујући пројекте које промовишу </w:t>
      </w:r>
      <w:r w:rsidR="00304F8B" w:rsidRPr="00FF386D">
        <w:rPr>
          <w:rFonts w:ascii="Calibri Light" w:eastAsia="Times New Roman" w:hAnsi="Calibri Light" w:cs="Calibri Light"/>
          <w:szCs w:val="20"/>
          <w:lang w:eastAsia="el-GR" w:bidi="sr-Cyrl-CS"/>
        </w:rPr>
        <w:t>о</w:t>
      </w:r>
      <w:r w:rsidRPr="00FF386D">
        <w:rPr>
          <w:rFonts w:ascii="Calibri Light" w:eastAsia="Times New Roman" w:hAnsi="Calibri Light" w:cs="Calibri Light"/>
          <w:szCs w:val="20"/>
          <w:lang w:eastAsia="el-GR" w:bidi="sr-Cyrl-CS"/>
        </w:rPr>
        <w:t xml:space="preserve">ператори преносног и дистрибутивног система, који ће на крају бити социјализовани кроз тарифе. Конкретно, </w:t>
      </w:r>
      <w:r w:rsidR="006A4835" w:rsidRPr="00FF386D">
        <w:rPr>
          <w:rFonts w:ascii="Calibri Light" w:eastAsia="Times New Roman" w:hAnsi="Calibri Light" w:cs="Calibri Light"/>
          <w:szCs w:val="20"/>
          <w:lang w:eastAsia="el-GR" w:bidi="sr-Cyrl-CS"/>
        </w:rPr>
        <w:t xml:space="preserve">велики </w:t>
      </w:r>
      <w:r w:rsidRPr="00FF386D">
        <w:rPr>
          <w:rFonts w:ascii="Calibri Light" w:eastAsia="Times New Roman" w:hAnsi="Calibri Light" w:cs="Calibri Light"/>
          <w:szCs w:val="20"/>
          <w:lang w:eastAsia="el-GR" w:bidi="sr-Cyrl-CS"/>
        </w:rPr>
        <w:t xml:space="preserve">пројекти преноса </w:t>
      </w:r>
      <w:r w:rsidR="006A4835" w:rsidRPr="00FF386D">
        <w:rPr>
          <w:rFonts w:ascii="Calibri Light" w:eastAsia="Times New Roman" w:hAnsi="Calibri Light" w:cs="Calibri Light"/>
          <w:szCs w:val="20"/>
          <w:lang w:eastAsia="el-GR" w:bidi="sr-Cyrl-CS"/>
        </w:rPr>
        <w:t>биће додатно процењивани</w:t>
      </w:r>
      <w:r w:rsidRPr="00FF386D">
        <w:rPr>
          <w:rFonts w:ascii="Calibri Light" w:eastAsia="Times New Roman" w:hAnsi="Calibri Light" w:cs="Calibri Light"/>
          <w:szCs w:val="20"/>
          <w:lang w:eastAsia="el-GR" w:bidi="sr-Cyrl-CS"/>
        </w:rPr>
        <w:t xml:space="preserve"> у погледу финансијских капацитета промотера пројекта </w:t>
      </w:r>
      <w:r w:rsidR="006A4835" w:rsidRPr="00FF386D">
        <w:rPr>
          <w:rFonts w:ascii="Calibri Light" w:eastAsia="Times New Roman" w:hAnsi="Calibri Light" w:cs="Calibri Light"/>
          <w:szCs w:val="20"/>
          <w:lang w:eastAsia="el-GR" w:bidi="sr-Cyrl-CS"/>
        </w:rPr>
        <w:t>за реализацију</w:t>
      </w:r>
      <w:r w:rsidRPr="00FF386D">
        <w:rPr>
          <w:rFonts w:ascii="Calibri Light" w:eastAsia="Times New Roman" w:hAnsi="Calibri Light" w:cs="Calibri Light"/>
          <w:szCs w:val="20"/>
          <w:lang w:eastAsia="el-GR" w:bidi="sr-Cyrl-CS"/>
        </w:rPr>
        <w:t xml:space="preserve">, као и у погледу њиховог </w:t>
      </w:r>
      <w:r w:rsidR="006A4835" w:rsidRPr="00FF386D">
        <w:rPr>
          <w:rFonts w:ascii="Calibri Light" w:eastAsia="Times New Roman" w:hAnsi="Calibri Light" w:cs="Calibri Light"/>
          <w:szCs w:val="20"/>
          <w:lang w:eastAsia="el-GR" w:bidi="sr-Cyrl-CS"/>
        </w:rPr>
        <w:t>фокуса</w:t>
      </w:r>
      <w:r w:rsidRPr="00FF386D">
        <w:rPr>
          <w:rFonts w:ascii="Calibri Light" w:eastAsia="Times New Roman" w:hAnsi="Calibri Light" w:cs="Calibri Light"/>
          <w:szCs w:val="20"/>
          <w:lang w:eastAsia="el-GR" w:bidi="sr-Cyrl-CS"/>
        </w:rPr>
        <w:t xml:space="preserve"> на тарифе за пренос и дистрибуцију.</w:t>
      </w:r>
    </w:p>
    <w:p w14:paraId="190DA4C9" w14:textId="3B8F1F60" w:rsidR="00777B33" w:rsidRDefault="00777B33" w:rsidP="00565B02">
      <w:pPr>
        <w:pStyle w:val="Caption"/>
        <w:keepNext/>
      </w:pPr>
      <w:bookmarkStart w:id="463" w:name="_Ref153897480"/>
      <w:bookmarkStart w:id="464" w:name="_Toc153901462"/>
      <w:r>
        <w:lastRenderedPageBreak/>
        <w:t xml:space="preserve">Слика </w:t>
      </w:r>
      <w:r w:rsidR="00F35B2C">
        <w:fldChar w:fldCharType="begin"/>
      </w:r>
      <w:r w:rsidR="00F35B2C">
        <w:instrText xml:space="preserve"> STYLEREF 1 \s </w:instrText>
      </w:r>
      <w:r w:rsidR="00F35B2C">
        <w:fldChar w:fldCharType="separate"/>
      </w:r>
      <w:r w:rsidR="00F35B2C">
        <w:rPr>
          <w:noProof/>
        </w:rPr>
        <w:t>5</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50</w:t>
      </w:r>
      <w:r w:rsidR="00F35B2C">
        <w:fldChar w:fldCharType="end"/>
      </w:r>
      <w:bookmarkEnd w:id="463"/>
      <w:r>
        <w:t xml:space="preserve">: </w:t>
      </w:r>
      <w:r w:rsidRPr="00777B33">
        <w:t>Расподела трошкова имплементације према јавним и приватним (из сопствених средстава) инвестицијама</w:t>
      </w:r>
      <w:bookmarkEnd w:id="464"/>
    </w:p>
    <w:p w14:paraId="387586A7" w14:textId="1638ADC6" w:rsidR="002158A1" w:rsidRDefault="00543876">
      <w:pPr>
        <w:jc w:val="center"/>
        <w:rPr>
          <w:b/>
          <w:bCs/>
          <w:lang w:bidi="sr-Cyrl-CS"/>
        </w:rPr>
      </w:pPr>
      <w:r>
        <w:rPr>
          <w:b/>
          <w:bCs/>
          <w:noProof/>
          <w:lang w:bidi="sr-Cyrl-CS"/>
        </w:rPr>
        <w:drawing>
          <wp:inline distT="0" distB="0" distL="0" distR="0" wp14:anchorId="28772D47" wp14:editId="1737197F">
            <wp:extent cx="4944110" cy="3316605"/>
            <wp:effectExtent l="0" t="0" r="8890" b="0"/>
            <wp:docPr id="14139093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944110" cy="3316605"/>
                    </a:xfrm>
                    <a:prstGeom prst="rect">
                      <a:avLst/>
                    </a:prstGeom>
                    <a:noFill/>
                  </pic:spPr>
                </pic:pic>
              </a:graphicData>
            </a:graphic>
          </wp:inline>
        </w:drawing>
      </w:r>
    </w:p>
    <w:p w14:paraId="59536B77" w14:textId="176F4A64" w:rsidR="00CA5936" w:rsidRPr="00FF386D" w:rsidRDefault="00CA5936" w:rsidP="00CA5936">
      <w:pPr>
        <w:widowControl w:val="0"/>
        <w:spacing w:after="120" w:line="240" w:lineRule="auto"/>
        <w:jc w:val="both"/>
        <w:rPr>
          <w:rFonts w:ascii="Calibri Light" w:eastAsia="Times New Roman" w:hAnsi="Calibri Light" w:cs="Calibri Light"/>
          <w:szCs w:val="20"/>
          <w:lang w:eastAsia="el-GR" w:bidi="sr-Cyrl-CS"/>
        </w:rPr>
      </w:pPr>
      <w:r w:rsidRPr="00FF386D">
        <w:rPr>
          <w:rFonts w:ascii="Calibri Light" w:eastAsia="Times New Roman" w:hAnsi="Calibri Light" w:cs="Calibri Light"/>
          <w:szCs w:val="20"/>
          <w:lang w:eastAsia="el-GR" w:bidi="sr-Cyrl-CS"/>
        </w:rPr>
        <w:t xml:space="preserve">Комбинација </w:t>
      </w:r>
      <w:r w:rsidR="00304F8B" w:rsidRPr="00FF386D">
        <w:rPr>
          <w:rFonts w:ascii="Calibri Light" w:eastAsia="Times New Roman" w:hAnsi="Calibri Light" w:cs="Calibri Light"/>
          <w:szCs w:val="20"/>
          <w:lang w:eastAsia="el-GR" w:bidi="sr-Cyrl-CS"/>
        </w:rPr>
        <w:t xml:space="preserve">приватних (из </w:t>
      </w:r>
      <w:r w:rsidRPr="00FF386D">
        <w:rPr>
          <w:rFonts w:ascii="Calibri Light" w:eastAsia="Times New Roman" w:hAnsi="Calibri Light" w:cs="Calibri Light"/>
          <w:szCs w:val="20"/>
          <w:lang w:eastAsia="el-GR" w:bidi="sr-Cyrl-CS"/>
        </w:rPr>
        <w:t>сопствених средстава</w:t>
      </w:r>
      <w:r w:rsidR="00304F8B" w:rsidRPr="00FF386D">
        <w:rPr>
          <w:rFonts w:ascii="Calibri Light" w:eastAsia="Times New Roman" w:hAnsi="Calibri Light" w:cs="Calibri Light"/>
          <w:szCs w:val="20"/>
          <w:lang w:eastAsia="el-GR" w:bidi="sr-Cyrl-CS"/>
        </w:rPr>
        <w:t>)</w:t>
      </w:r>
      <w:r w:rsidRPr="00FF386D">
        <w:rPr>
          <w:rFonts w:ascii="Calibri Light" w:eastAsia="Times New Roman" w:hAnsi="Calibri Light" w:cs="Calibri Light"/>
          <w:szCs w:val="20"/>
          <w:lang w:eastAsia="el-GR" w:bidi="sr-Cyrl-CS"/>
        </w:rPr>
        <w:t xml:space="preserve"> и јавних </w:t>
      </w:r>
      <w:r w:rsidR="00304F8B" w:rsidRPr="00FF386D">
        <w:rPr>
          <w:rFonts w:ascii="Calibri Light" w:eastAsia="Times New Roman" w:hAnsi="Calibri Light" w:cs="Calibri Light"/>
          <w:szCs w:val="20"/>
          <w:lang w:eastAsia="el-GR" w:bidi="sr-Cyrl-CS"/>
        </w:rPr>
        <w:t>средства</w:t>
      </w:r>
      <w:r w:rsidRPr="00FF386D">
        <w:rPr>
          <w:rFonts w:ascii="Calibri Light" w:eastAsia="Times New Roman" w:hAnsi="Calibri Light" w:cs="Calibri Light"/>
          <w:szCs w:val="20"/>
          <w:lang w:eastAsia="el-GR" w:bidi="sr-Cyrl-CS"/>
        </w:rPr>
        <w:t xml:space="preserve"> биће </w:t>
      </w:r>
      <w:r w:rsidR="006A4835" w:rsidRPr="00FF386D">
        <w:rPr>
          <w:rFonts w:ascii="Calibri Light" w:eastAsia="Times New Roman" w:hAnsi="Calibri Light" w:cs="Calibri Light"/>
          <w:szCs w:val="20"/>
          <w:lang w:eastAsia="el-GR" w:bidi="sr-Cyrl-CS"/>
        </w:rPr>
        <w:t>доминантна</w:t>
      </w:r>
      <w:r w:rsidRPr="00FF386D">
        <w:rPr>
          <w:rFonts w:ascii="Calibri Light" w:eastAsia="Times New Roman" w:hAnsi="Calibri Light" w:cs="Calibri Light"/>
          <w:szCs w:val="20"/>
          <w:lang w:eastAsia="el-GR" w:bidi="sr-Cyrl-CS"/>
        </w:rPr>
        <w:t xml:space="preserve"> опција за финансирање </w:t>
      </w:r>
      <w:r w:rsidR="006A4835" w:rsidRPr="00FF386D">
        <w:rPr>
          <w:rFonts w:ascii="Calibri Light" w:eastAsia="Times New Roman" w:hAnsi="Calibri Light" w:cs="Calibri Light"/>
          <w:szCs w:val="20"/>
          <w:lang w:eastAsia="el-GR" w:bidi="sr-Cyrl-CS"/>
        </w:rPr>
        <w:t xml:space="preserve">оних </w:t>
      </w:r>
      <w:r w:rsidRPr="00FF386D">
        <w:rPr>
          <w:rFonts w:ascii="Calibri Light" w:eastAsia="Times New Roman" w:hAnsi="Calibri Light" w:cs="Calibri Light"/>
          <w:szCs w:val="20"/>
          <w:lang w:eastAsia="el-GR" w:bidi="sr-Cyrl-CS"/>
        </w:rPr>
        <w:t>мера које су подложне ограничењима јавног буџета и приватног сектора. Део инвестиционих потреба</w:t>
      </w:r>
      <w:r w:rsidR="006A4835" w:rsidRPr="00FF386D">
        <w:rPr>
          <w:rFonts w:ascii="Calibri Light" w:eastAsia="Times New Roman" w:hAnsi="Calibri Light" w:cs="Calibri Light"/>
          <w:szCs w:val="20"/>
          <w:lang w:eastAsia="el-GR" w:bidi="sr-Cyrl-CS"/>
        </w:rPr>
        <w:t xml:space="preserve"> за </w:t>
      </w:r>
      <w:r w:rsidRPr="00FF386D">
        <w:rPr>
          <w:rFonts w:ascii="Calibri Light" w:eastAsia="Times New Roman" w:hAnsi="Calibri Light" w:cs="Calibri Light"/>
          <w:szCs w:val="20"/>
          <w:lang w:eastAsia="el-GR" w:bidi="sr-Cyrl-CS"/>
        </w:rPr>
        <w:t>зелен</w:t>
      </w:r>
      <w:r w:rsidR="006A4835" w:rsidRPr="00FF386D">
        <w:rPr>
          <w:rFonts w:ascii="Calibri Light" w:eastAsia="Times New Roman" w:hAnsi="Calibri Light" w:cs="Calibri Light"/>
          <w:szCs w:val="20"/>
          <w:lang w:eastAsia="el-GR" w:bidi="sr-Cyrl-CS"/>
        </w:rPr>
        <w:t>у</w:t>
      </w:r>
      <w:r w:rsidRPr="00FF386D">
        <w:rPr>
          <w:rFonts w:ascii="Calibri Light" w:eastAsia="Times New Roman" w:hAnsi="Calibri Light" w:cs="Calibri Light"/>
          <w:szCs w:val="20"/>
          <w:lang w:eastAsia="el-GR" w:bidi="sr-Cyrl-CS"/>
        </w:rPr>
        <w:t xml:space="preserve"> транзициј</w:t>
      </w:r>
      <w:r w:rsidR="006A4835" w:rsidRPr="00FF386D">
        <w:rPr>
          <w:rFonts w:ascii="Calibri Light" w:eastAsia="Times New Roman" w:hAnsi="Calibri Light" w:cs="Calibri Light"/>
          <w:szCs w:val="20"/>
          <w:lang w:eastAsia="el-GR" w:bidi="sr-Cyrl-CS"/>
        </w:rPr>
        <w:t>у</w:t>
      </w:r>
      <w:r w:rsidRPr="00FF386D">
        <w:rPr>
          <w:rFonts w:ascii="Calibri Light" w:eastAsia="Times New Roman" w:hAnsi="Calibri Light" w:cs="Calibri Light"/>
          <w:szCs w:val="20"/>
          <w:lang w:eastAsia="el-GR" w:bidi="sr-Cyrl-CS"/>
        </w:rPr>
        <w:t xml:space="preserve"> може </w:t>
      </w:r>
      <w:r w:rsidR="005F362F" w:rsidRPr="00FF386D">
        <w:rPr>
          <w:rFonts w:ascii="Calibri Light" w:eastAsia="Times New Roman" w:hAnsi="Calibri Light" w:cs="Calibri Light"/>
          <w:szCs w:val="20"/>
          <w:lang w:eastAsia="el-GR" w:bidi="sr-Cyrl-CS"/>
        </w:rPr>
        <w:t xml:space="preserve">бити </w:t>
      </w:r>
      <w:r w:rsidRPr="00FF386D">
        <w:rPr>
          <w:rFonts w:ascii="Calibri Light" w:eastAsia="Times New Roman" w:hAnsi="Calibri Light" w:cs="Calibri Light"/>
          <w:szCs w:val="20"/>
          <w:lang w:eastAsia="el-GR" w:bidi="sr-Cyrl-CS"/>
        </w:rPr>
        <w:t>покри</w:t>
      </w:r>
      <w:r w:rsidR="005F362F" w:rsidRPr="00FF386D">
        <w:rPr>
          <w:rFonts w:ascii="Calibri Light" w:eastAsia="Times New Roman" w:hAnsi="Calibri Light" w:cs="Calibri Light"/>
          <w:szCs w:val="20"/>
          <w:lang w:eastAsia="el-GR" w:bidi="sr-Cyrl-CS"/>
        </w:rPr>
        <w:t>вен</w:t>
      </w:r>
      <w:r w:rsidRPr="00FF386D">
        <w:rPr>
          <w:rFonts w:ascii="Calibri Light" w:eastAsia="Times New Roman" w:hAnsi="Calibri Light" w:cs="Calibri Light"/>
          <w:szCs w:val="20"/>
          <w:lang w:eastAsia="el-GR" w:bidi="sr-Cyrl-CS"/>
        </w:rPr>
        <w:t xml:space="preserve"> издвајањем јавних прихода од </w:t>
      </w:r>
      <w:r w:rsidR="006A4835" w:rsidRPr="00FF386D">
        <w:rPr>
          <w:rFonts w:ascii="Calibri Light" w:eastAsia="Times New Roman" w:hAnsi="Calibri Light" w:cs="Calibri Light"/>
          <w:szCs w:val="20"/>
          <w:lang w:eastAsia="el-GR" w:bidi="sr-Cyrl-CS"/>
        </w:rPr>
        <w:t>увођења</w:t>
      </w:r>
      <w:r w:rsidR="00DC0231">
        <w:rPr>
          <w:rFonts w:ascii="Calibri Light" w:eastAsia="Times New Roman" w:hAnsi="Calibri Light" w:cs="Calibri Light"/>
          <w:szCs w:val="20"/>
          <w:lang w:val="sr-Latn-RS" w:eastAsia="el-GR" w:bidi="sr-Cyrl-CS"/>
        </w:rPr>
        <w:t xml:space="preserve"> </w:t>
      </w:r>
      <w:r w:rsidR="00DC0231">
        <w:rPr>
          <w:rFonts w:ascii="Calibri Light" w:eastAsia="Times New Roman" w:hAnsi="Calibri Light" w:cs="Calibri Light"/>
          <w:szCs w:val="20"/>
          <w:lang w:eastAsia="el-GR" w:bidi="sr-Cyrl-CS"/>
        </w:rPr>
        <w:t>цене угљеника</w:t>
      </w:r>
      <w:r w:rsidRPr="00FF386D">
        <w:rPr>
          <w:rFonts w:ascii="Calibri Light" w:eastAsia="Times New Roman" w:hAnsi="Calibri Light" w:cs="Calibri Light"/>
          <w:szCs w:val="20"/>
          <w:lang w:eastAsia="el-GR" w:bidi="sr-Cyrl-CS"/>
        </w:rPr>
        <w:t xml:space="preserve">. Такође, инструмент јавно-приватног партнерства </w:t>
      </w:r>
      <w:r w:rsidR="005F362F" w:rsidRPr="00FF386D">
        <w:rPr>
          <w:rFonts w:ascii="Calibri Light" w:eastAsia="Times New Roman" w:hAnsi="Calibri Light" w:cs="Calibri Light"/>
          <w:szCs w:val="20"/>
          <w:lang w:eastAsia="el-GR" w:bidi="sr-Cyrl-CS"/>
        </w:rPr>
        <w:t xml:space="preserve">би </w:t>
      </w:r>
      <w:r w:rsidRPr="00FF386D">
        <w:rPr>
          <w:rFonts w:ascii="Calibri Light" w:eastAsia="Times New Roman" w:hAnsi="Calibri Light" w:cs="Calibri Light"/>
          <w:szCs w:val="20"/>
          <w:lang w:eastAsia="el-GR" w:bidi="sr-Cyrl-CS"/>
        </w:rPr>
        <w:t xml:space="preserve">могао </w:t>
      </w:r>
      <w:r w:rsidR="005F362F" w:rsidRPr="00FF386D">
        <w:rPr>
          <w:rFonts w:ascii="Calibri Light" w:eastAsia="Times New Roman" w:hAnsi="Calibri Light" w:cs="Calibri Light"/>
          <w:szCs w:val="20"/>
          <w:lang w:eastAsia="el-GR" w:bidi="sr-Cyrl-CS"/>
        </w:rPr>
        <w:t>да буде</w:t>
      </w:r>
      <w:r w:rsidRPr="00FF386D">
        <w:rPr>
          <w:rFonts w:ascii="Calibri Light" w:eastAsia="Times New Roman" w:hAnsi="Calibri Light" w:cs="Calibri Light"/>
          <w:szCs w:val="20"/>
          <w:lang w:eastAsia="el-GR" w:bidi="sr-Cyrl-CS"/>
        </w:rPr>
        <w:t xml:space="preserve"> кључан за </w:t>
      </w:r>
      <w:r w:rsidR="005F362F" w:rsidRPr="00FF386D">
        <w:rPr>
          <w:rFonts w:ascii="Calibri Light" w:eastAsia="Times New Roman" w:hAnsi="Calibri Light" w:cs="Calibri Light"/>
          <w:szCs w:val="20"/>
          <w:lang w:eastAsia="el-GR" w:bidi="sr-Cyrl-CS"/>
        </w:rPr>
        <w:t xml:space="preserve">подршку </w:t>
      </w:r>
      <w:r w:rsidRPr="00FF386D">
        <w:rPr>
          <w:rFonts w:ascii="Calibri Light" w:eastAsia="Times New Roman" w:hAnsi="Calibri Light" w:cs="Calibri Light"/>
          <w:szCs w:val="20"/>
          <w:lang w:eastAsia="el-GR" w:bidi="sr-Cyrl-CS"/>
        </w:rPr>
        <w:t>инвестициј</w:t>
      </w:r>
      <w:r w:rsidR="005F362F" w:rsidRPr="00FF386D">
        <w:rPr>
          <w:rFonts w:ascii="Calibri Light" w:eastAsia="Times New Roman" w:hAnsi="Calibri Light" w:cs="Calibri Light"/>
          <w:szCs w:val="20"/>
          <w:lang w:eastAsia="el-GR" w:bidi="sr-Cyrl-CS"/>
        </w:rPr>
        <w:t>ама</w:t>
      </w:r>
      <w:r w:rsidRPr="00FF386D">
        <w:rPr>
          <w:rFonts w:ascii="Calibri Light" w:eastAsia="Times New Roman" w:hAnsi="Calibri Light" w:cs="Calibri Light"/>
          <w:szCs w:val="20"/>
          <w:lang w:eastAsia="el-GR" w:bidi="sr-Cyrl-CS"/>
        </w:rPr>
        <w:t xml:space="preserve"> приватног сектора.</w:t>
      </w:r>
    </w:p>
    <w:p w14:paraId="704EA119" w14:textId="2385A06B" w:rsidR="00CA5936" w:rsidRPr="00FF386D" w:rsidRDefault="00CA5936" w:rsidP="00CA5936">
      <w:pPr>
        <w:widowControl w:val="0"/>
        <w:spacing w:after="120" w:line="240" w:lineRule="auto"/>
        <w:jc w:val="both"/>
        <w:rPr>
          <w:rFonts w:ascii="Calibri Light" w:eastAsia="Times New Roman" w:hAnsi="Calibri Light" w:cs="Calibri Light"/>
          <w:szCs w:val="20"/>
          <w:lang w:eastAsia="el-GR"/>
        </w:rPr>
      </w:pPr>
      <w:r w:rsidRPr="00FF386D">
        <w:rPr>
          <w:rFonts w:ascii="Calibri Light" w:eastAsia="Times New Roman" w:hAnsi="Calibri Light" w:cs="Calibri Light"/>
          <w:szCs w:val="20"/>
          <w:lang w:eastAsia="el-GR" w:bidi="sr-Cyrl-CS"/>
        </w:rPr>
        <w:t>У овом контексту, улога међународних финансијских институција је кључна за подршку зеленој транзицији енергетског сектора Србије. Иако постоји низ активности зеленог финансирања у смислу грантова и зајмова, о</w:t>
      </w:r>
      <w:r w:rsidR="006A4835" w:rsidRPr="00FF386D">
        <w:rPr>
          <w:rFonts w:ascii="Calibri Light" w:eastAsia="Times New Roman" w:hAnsi="Calibri Light" w:cs="Calibri Light"/>
          <w:szCs w:val="20"/>
          <w:lang w:eastAsia="el-GR" w:bidi="sr-Cyrl-CS"/>
        </w:rPr>
        <w:t>ве активности</w:t>
      </w:r>
      <w:r w:rsidRPr="00FF386D">
        <w:rPr>
          <w:rFonts w:ascii="Calibri Light" w:eastAsia="Times New Roman" w:hAnsi="Calibri Light" w:cs="Calibri Light"/>
          <w:szCs w:val="20"/>
          <w:lang w:eastAsia="el-GR" w:bidi="sr-Cyrl-CS"/>
        </w:rPr>
        <w:t xml:space="preserve"> су прилично ограничене у поређењу са укупним инвестиционим потребама.</w:t>
      </w:r>
    </w:p>
    <w:p w14:paraId="1387395D" w14:textId="24ADC64C" w:rsidR="00CA5936" w:rsidRPr="00FF386D" w:rsidRDefault="00CA5936" w:rsidP="00CA5936">
      <w:pPr>
        <w:widowControl w:val="0"/>
        <w:spacing w:after="120" w:line="240" w:lineRule="auto"/>
        <w:jc w:val="both"/>
        <w:rPr>
          <w:rFonts w:ascii="Calibri Light" w:eastAsia="Arial" w:hAnsi="Calibri Light" w:cs="Calibri Light"/>
          <w:szCs w:val="20"/>
          <w:lang w:eastAsia="el-GR"/>
        </w:rPr>
      </w:pPr>
      <w:r w:rsidRPr="00FF386D">
        <w:rPr>
          <w:rFonts w:ascii="Calibri Light" w:eastAsia="Arial" w:hAnsi="Calibri Light" w:cs="Calibri Light"/>
          <w:szCs w:val="20"/>
          <w:lang w:eastAsia="el-GR"/>
        </w:rPr>
        <w:t xml:space="preserve">У </w:t>
      </w:r>
      <w:r w:rsidR="00777B33" w:rsidRPr="00565B02">
        <w:rPr>
          <w:rFonts w:ascii="Calibri Light" w:eastAsia="Times New Roman" w:hAnsi="Calibri Light" w:cs="Calibri Light"/>
          <w:szCs w:val="20"/>
          <w:lang w:eastAsia="el-GR" w:bidi="sr-Cyrl-CS"/>
        </w:rPr>
        <w:fldChar w:fldCharType="begin"/>
      </w:r>
      <w:r w:rsidR="00777B33" w:rsidRPr="00565B02">
        <w:rPr>
          <w:rFonts w:ascii="Calibri Light" w:eastAsia="Times New Roman" w:hAnsi="Calibri Light" w:cs="Calibri Light"/>
          <w:szCs w:val="20"/>
          <w:lang w:eastAsia="el-GR" w:bidi="sr-Cyrl-CS"/>
        </w:rPr>
        <w:instrText xml:space="preserve"> REF _Ref153897568 \h </w:instrText>
      </w:r>
      <w:r w:rsidR="00777B33">
        <w:rPr>
          <w:rFonts w:ascii="Calibri Light" w:eastAsia="Times New Roman" w:hAnsi="Calibri Light" w:cs="Calibri Light"/>
          <w:szCs w:val="20"/>
          <w:lang w:eastAsia="el-GR" w:bidi="sr-Cyrl-CS"/>
        </w:rPr>
        <w:instrText xml:space="preserve"> \* MERGEFORMAT </w:instrText>
      </w:r>
      <w:r w:rsidR="00777B33" w:rsidRPr="00565B02">
        <w:rPr>
          <w:rFonts w:ascii="Calibri Light" w:eastAsia="Times New Roman" w:hAnsi="Calibri Light" w:cs="Calibri Light"/>
          <w:szCs w:val="20"/>
          <w:lang w:eastAsia="el-GR" w:bidi="sr-Cyrl-CS"/>
        </w:rPr>
      </w:r>
      <w:r w:rsidR="00777B33" w:rsidRPr="00565B02">
        <w:rPr>
          <w:rFonts w:ascii="Calibri Light" w:eastAsia="Times New Roman" w:hAnsi="Calibri Light" w:cs="Calibri Light"/>
          <w:szCs w:val="20"/>
          <w:lang w:eastAsia="el-GR" w:bidi="sr-Cyrl-CS"/>
        </w:rPr>
        <w:fldChar w:fldCharType="separate"/>
      </w:r>
      <w:r w:rsidR="00777B33" w:rsidRPr="00565B02">
        <w:rPr>
          <w:rFonts w:ascii="Calibri Light" w:eastAsia="Times New Roman" w:hAnsi="Calibri Light" w:cs="Calibri Light"/>
          <w:szCs w:val="20"/>
          <w:lang w:eastAsia="el-GR" w:bidi="sr-Cyrl-CS"/>
        </w:rPr>
        <w:t>табели 5.4</w:t>
      </w:r>
      <w:r w:rsidR="00777B33" w:rsidRPr="00565B02">
        <w:rPr>
          <w:rFonts w:ascii="Calibri Light" w:eastAsia="Times New Roman" w:hAnsi="Calibri Light" w:cs="Calibri Light"/>
          <w:szCs w:val="20"/>
          <w:lang w:eastAsia="el-GR" w:bidi="sr-Cyrl-CS"/>
        </w:rPr>
        <w:fldChar w:fldCharType="end"/>
      </w:r>
      <w:r w:rsidR="00777B33" w:rsidRPr="00565B02">
        <w:rPr>
          <w:rFonts w:ascii="Calibri Light" w:eastAsia="Times New Roman" w:hAnsi="Calibri Light" w:cs="Calibri Light"/>
          <w:szCs w:val="20"/>
          <w:lang w:eastAsia="el-GR" w:bidi="sr-Cyrl-CS"/>
        </w:rPr>
        <w:t xml:space="preserve"> </w:t>
      </w:r>
      <w:r w:rsidRPr="00FF386D">
        <w:rPr>
          <w:rFonts w:ascii="Calibri Light" w:eastAsia="Times New Roman" w:hAnsi="Calibri Light" w:cs="Calibri Light"/>
          <w:szCs w:val="20"/>
          <w:lang w:eastAsia="el-GR" w:bidi="sr-Cyrl-CS"/>
        </w:rPr>
        <w:t>је</w:t>
      </w:r>
      <w:r w:rsidRPr="00FF386D">
        <w:rPr>
          <w:rFonts w:ascii="Calibri Light" w:eastAsia="Times New Roman" w:hAnsi="Calibri Light" w:cs="Calibri Light"/>
          <w:szCs w:val="20"/>
          <w:lang w:eastAsia="el-GR"/>
        </w:rPr>
        <w:t xml:space="preserve"> </w:t>
      </w:r>
      <w:r w:rsidRPr="00FF386D">
        <w:rPr>
          <w:rFonts w:ascii="Calibri Light" w:eastAsia="Times New Roman" w:hAnsi="Calibri Light" w:cs="Calibri Light"/>
          <w:szCs w:val="20"/>
          <w:lang w:eastAsia="el-GR" w:bidi="sr-Cyrl-CS"/>
        </w:rPr>
        <w:t xml:space="preserve">приказан </w:t>
      </w:r>
      <w:r w:rsidR="00DC0231">
        <w:rPr>
          <w:rFonts w:ascii="Calibri Light" w:eastAsia="Times New Roman" w:hAnsi="Calibri Light" w:cs="Calibri Light"/>
          <w:szCs w:val="20"/>
          <w:lang w:eastAsia="el-GR" w:bidi="sr-Cyrl-CS"/>
        </w:rPr>
        <w:t xml:space="preserve">индикативни </w:t>
      </w:r>
      <w:r w:rsidRPr="00FF386D">
        <w:rPr>
          <w:rFonts w:ascii="Calibri Light" w:eastAsia="Times New Roman" w:hAnsi="Calibri Light" w:cs="Calibri Light"/>
          <w:szCs w:val="20"/>
          <w:lang w:eastAsia="el-GR" w:bidi="sr-Cyrl-CS"/>
        </w:rPr>
        <w:t>преглед доступних инструмената зеленог финансирања за Србију и читав регион Западног Балкана</w:t>
      </w:r>
      <w:r w:rsidR="00777B33">
        <w:rPr>
          <w:rFonts w:ascii="Calibri Light" w:eastAsia="Times New Roman" w:hAnsi="Calibri Light" w:cs="Calibri Light"/>
          <w:szCs w:val="20"/>
          <w:lang w:eastAsia="el-GR" w:bidi="sr-Cyrl-CS"/>
        </w:rPr>
        <w:t>.</w:t>
      </w:r>
    </w:p>
    <w:p w14:paraId="136CBC54" w14:textId="41905426" w:rsidR="00777B33" w:rsidRDefault="00777B33" w:rsidP="00565B02">
      <w:pPr>
        <w:pStyle w:val="Caption"/>
        <w:keepNext/>
      </w:pPr>
      <w:bookmarkStart w:id="465" w:name="_Ref153897568"/>
      <w:bookmarkStart w:id="466" w:name="_Toc153901480"/>
      <w:r>
        <w:t xml:space="preserve">Табела </w:t>
      </w:r>
      <w:r w:rsidR="00873C40">
        <w:fldChar w:fldCharType="begin"/>
      </w:r>
      <w:r w:rsidR="00873C40">
        <w:instrText xml:space="preserve"> STYLEREF 1 \s </w:instrText>
      </w:r>
      <w:r w:rsidR="00873C40">
        <w:fldChar w:fldCharType="separate"/>
      </w:r>
      <w:r w:rsidR="00873C40">
        <w:rPr>
          <w:noProof/>
        </w:rPr>
        <w:t>5</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4</w:t>
      </w:r>
      <w:r w:rsidR="00873C40">
        <w:fldChar w:fldCharType="end"/>
      </w:r>
      <w:bookmarkEnd w:id="465"/>
      <w:r w:rsidRPr="00777B33">
        <w:t>: Индикативни преглед програма подршке зеленој транзицији Србије</w:t>
      </w:r>
      <w:bookmarkEnd w:id="46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023"/>
        <w:gridCol w:w="1290"/>
        <w:gridCol w:w="6983"/>
      </w:tblGrid>
      <w:tr w:rsidR="00CA5936" w:rsidRPr="00FF386D" w14:paraId="32C6F56D" w14:textId="77777777" w:rsidTr="0057310C">
        <w:trPr>
          <w:trHeight w:val="398"/>
          <w:tblHeader/>
        </w:trPr>
        <w:tc>
          <w:tcPr>
            <w:tcW w:w="0" w:type="auto"/>
            <w:shd w:val="clear" w:color="auto" w:fill="244062"/>
            <w:vAlign w:val="center"/>
            <w:hideMark/>
          </w:tcPr>
          <w:p w14:paraId="7A75391D"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sz w:val="18"/>
              </w:rPr>
            </w:pPr>
            <w:r w:rsidRPr="00FF386D">
              <w:rPr>
                <w:rFonts w:ascii="Calibri" w:eastAsia="Calibri" w:hAnsi="Calibri" w:cs="Times New Roman"/>
                <w:b/>
                <w:color w:val="FFFFFF"/>
                <w:spacing w:val="-2"/>
                <w:sz w:val="18"/>
                <w:lang w:bidi="sr-Cyrl-CS"/>
              </w:rPr>
              <w:t>Донатор</w:t>
            </w:r>
          </w:p>
        </w:tc>
        <w:tc>
          <w:tcPr>
            <w:tcW w:w="1290" w:type="dxa"/>
            <w:shd w:val="clear" w:color="auto" w:fill="244062"/>
            <w:vAlign w:val="center"/>
            <w:hideMark/>
          </w:tcPr>
          <w:p w14:paraId="7E1D15E7" w14:textId="77777777" w:rsidR="00CA5936" w:rsidRPr="00FF386D" w:rsidRDefault="00CA5936" w:rsidP="00CA5936">
            <w:pPr>
              <w:widowControl w:val="0"/>
              <w:autoSpaceDE w:val="0"/>
              <w:autoSpaceDN w:val="0"/>
              <w:spacing w:before="28" w:after="0" w:line="240" w:lineRule="auto"/>
              <w:ind w:left="245"/>
              <w:jc w:val="center"/>
              <w:rPr>
                <w:rFonts w:ascii="Calibri Light" w:eastAsia="Arial" w:hAnsi="Calibri Light" w:cs="Calibri Light"/>
                <w:b/>
                <w:sz w:val="18"/>
              </w:rPr>
            </w:pPr>
            <w:r w:rsidRPr="00FF386D">
              <w:rPr>
                <w:rFonts w:ascii="Calibri" w:eastAsia="Calibri" w:hAnsi="Calibri" w:cs="Times New Roman"/>
                <w:b/>
                <w:sz w:val="18"/>
                <w:lang w:bidi="sr-Cyrl-CS"/>
              </w:rPr>
              <w:t>Област</w:t>
            </w:r>
          </w:p>
        </w:tc>
        <w:tc>
          <w:tcPr>
            <w:tcW w:w="6983" w:type="dxa"/>
            <w:shd w:val="clear" w:color="auto" w:fill="244062"/>
            <w:vAlign w:val="center"/>
            <w:hideMark/>
          </w:tcPr>
          <w:p w14:paraId="3CDE2F3C" w14:textId="77777777" w:rsidR="00CA5936" w:rsidRPr="00FF386D" w:rsidRDefault="00CA5936" w:rsidP="00CA5936">
            <w:pPr>
              <w:widowControl w:val="0"/>
              <w:autoSpaceDE w:val="0"/>
              <w:autoSpaceDN w:val="0"/>
              <w:spacing w:before="28" w:after="0" w:line="240" w:lineRule="auto"/>
              <w:ind w:right="491"/>
              <w:jc w:val="center"/>
              <w:rPr>
                <w:rFonts w:ascii="Calibri Light" w:eastAsia="Arial" w:hAnsi="Calibri Light" w:cs="Calibri Light"/>
                <w:b/>
                <w:sz w:val="18"/>
              </w:rPr>
            </w:pPr>
            <w:r w:rsidRPr="00FF386D">
              <w:rPr>
                <w:rFonts w:ascii="Calibri" w:eastAsia="Calibri" w:hAnsi="Calibri" w:cs="Times New Roman"/>
                <w:b/>
                <w:sz w:val="18"/>
                <w:lang w:bidi="sr-Cyrl-CS"/>
              </w:rPr>
              <w:t>Опис</w:t>
            </w:r>
          </w:p>
        </w:tc>
      </w:tr>
      <w:tr w:rsidR="00CA5936" w:rsidRPr="00FF386D" w14:paraId="0B228470" w14:textId="77777777" w:rsidTr="00CA5936">
        <w:trPr>
          <w:trHeight w:val="280"/>
        </w:trPr>
        <w:tc>
          <w:tcPr>
            <w:tcW w:w="0" w:type="auto"/>
            <w:vMerge w:val="restart"/>
            <w:vAlign w:val="center"/>
            <w:hideMark/>
          </w:tcPr>
          <w:p w14:paraId="15C22E44"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r w:rsidRPr="00FF386D">
              <w:rPr>
                <w:rFonts w:ascii="Calibri" w:eastAsia="Calibri" w:hAnsi="Calibri" w:cs="Times New Roman"/>
                <w:i/>
                <w:iCs/>
                <w:sz w:val="16"/>
                <w:lang w:bidi="sr-Cyrl-CS"/>
              </w:rPr>
              <w:t>WB, EBRD,</w:t>
            </w:r>
          </w:p>
          <w:p w14:paraId="5575AE1C" w14:textId="77777777" w:rsidR="00CA5936" w:rsidRPr="00FF386D" w:rsidRDefault="00CA5936" w:rsidP="00CA5936">
            <w:pPr>
              <w:widowControl w:val="0"/>
              <w:autoSpaceDE w:val="0"/>
              <w:autoSpaceDN w:val="0"/>
              <w:spacing w:before="56" w:after="0" w:line="240" w:lineRule="auto"/>
              <w:ind w:left="171" w:right="132"/>
              <w:jc w:val="center"/>
              <w:rPr>
                <w:rFonts w:ascii="Calibri Light" w:eastAsia="Arial" w:hAnsi="Calibri Light" w:cs="Calibri Light"/>
                <w:i/>
                <w:iCs/>
                <w:sz w:val="16"/>
              </w:rPr>
            </w:pPr>
            <w:r w:rsidRPr="00FF386D">
              <w:rPr>
                <w:rFonts w:ascii="Calibri" w:eastAsia="Calibri" w:hAnsi="Calibri" w:cs="Times New Roman"/>
                <w:i/>
                <w:iCs/>
                <w:spacing w:val="-5"/>
                <w:sz w:val="16"/>
                <w:lang w:bidi="sr-Cyrl-CS"/>
              </w:rPr>
              <w:t>KfW</w:t>
            </w:r>
          </w:p>
        </w:tc>
        <w:tc>
          <w:tcPr>
            <w:tcW w:w="1290" w:type="dxa"/>
            <w:shd w:val="clear" w:color="auto" w:fill="BFBFBF"/>
            <w:vAlign w:val="center"/>
            <w:hideMark/>
          </w:tcPr>
          <w:p w14:paraId="1EA545FC"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Врста помоћи</w:t>
            </w:r>
          </w:p>
        </w:tc>
        <w:tc>
          <w:tcPr>
            <w:tcW w:w="6983" w:type="dxa"/>
            <w:vAlign w:val="center"/>
            <w:hideMark/>
          </w:tcPr>
          <w:p w14:paraId="457A97E8" w14:textId="648000FD" w:rsidR="00CA5936" w:rsidRPr="00FF386D" w:rsidRDefault="00BA3A4C" w:rsidP="00CA5936">
            <w:pPr>
              <w:widowControl w:val="0"/>
              <w:autoSpaceDE w:val="0"/>
              <w:autoSpaceDN w:val="0"/>
              <w:spacing w:before="60" w:after="0" w:line="240" w:lineRule="auto"/>
              <w:ind w:left="148" w:right="256"/>
              <w:rPr>
                <w:rFonts w:ascii="Calibri Light" w:eastAsia="Arial" w:hAnsi="Calibri Light" w:cs="Calibri Light"/>
                <w:sz w:val="16"/>
              </w:rPr>
            </w:pPr>
            <w:r>
              <w:rPr>
                <w:rFonts w:ascii="Calibri" w:eastAsia="Calibri" w:hAnsi="Calibri" w:cs="Times New Roman"/>
                <w:sz w:val="16"/>
                <w:lang w:bidi="sr-Cyrl-CS"/>
              </w:rPr>
              <w:t>Управа за финансирање и подстицање</w:t>
            </w:r>
            <w:r w:rsidR="00CA5936" w:rsidRPr="00FF386D">
              <w:rPr>
                <w:rFonts w:ascii="Calibri" w:eastAsia="Calibri" w:hAnsi="Calibri" w:cs="Times New Roman"/>
                <w:sz w:val="16"/>
                <w:lang w:bidi="sr-Cyrl-CS"/>
              </w:rPr>
              <w:t xml:space="preserve"> енергетск</w:t>
            </w:r>
            <w:r>
              <w:rPr>
                <w:rFonts w:ascii="Calibri" w:eastAsia="Calibri" w:hAnsi="Calibri" w:cs="Times New Roman"/>
                <w:sz w:val="16"/>
                <w:lang w:bidi="sr-Cyrl-CS"/>
              </w:rPr>
              <w:t>е</w:t>
            </w:r>
            <w:r w:rsidR="00CA5936" w:rsidRPr="00FF386D">
              <w:rPr>
                <w:rFonts w:ascii="Calibri" w:eastAsia="Calibri" w:hAnsi="Calibri" w:cs="Times New Roman"/>
                <w:sz w:val="16"/>
                <w:lang w:bidi="sr-Cyrl-CS"/>
              </w:rPr>
              <w:t xml:space="preserve"> ефикасност</w:t>
            </w:r>
            <w:r>
              <w:rPr>
                <w:rFonts w:ascii="Calibri" w:eastAsia="Calibri" w:hAnsi="Calibri" w:cs="Times New Roman"/>
                <w:sz w:val="16"/>
                <w:lang w:bidi="sr-Cyrl-CS"/>
              </w:rPr>
              <w:t>и</w:t>
            </w:r>
          </w:p>
        </w:tc>
      </w:tr>
      <w:tr w:rsidR="00CA5936" w:rsidRPr="00FF386D" w14:paraId="639C5193" w14:textId="77777777" w:rsidTr="00CA5936">
        <w:trPr>
          <w:trHeight w:val="824"/>
        </w:trPr>
        <w:tc>
          <w:tcPr>
            <w:tcW w:w="0" w:type="auto"/>
            <w:vMerge/>
            <w:vAlign w:val="center"/>
          </w:tcPr>
          <w:p w14:paraId="463F7868"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sz w:val="16"/>
              </w:rPr>
            </w:pPr>
          </w:p>
        </w:tc>
        <w:tc>
          <w:tcPr>
            <w:tcW w:w="1290" w:type="dxa"/>
            <w:shd w:val="clear" w:color="auto" w:fill="BFBFBF"/>
            <w:vAlign w:val="center"/>
          </w:tcPr>
          <w:p w14:paraId="0BFAFEB5"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Износ</w:t>
            </w:r>
          </w:p>
        </w:tc>
        <w:tc>
          <w:tcPr>
            <w:tcW w:w="6983" w:type="dxa"/>
            <w:vAlign w:val="center"/>
          </w:tcPr>
          <w:p w14:paraId="1A73B2BA" w14:textId="321AA740" w:rsidR="00CA5936" w:rsidRPr="00FF386D" w:rsidRDefault="00CA5936" w:rsidP="00777B33">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Средства се издвајају из централног буџета Владе Србије, на годишњем нивоу, у износу од приближно 20 милиона евра. Од 2019. године уведена је ЕЕ накнада у рачуне за енергију.</w:t>
            </w:r>
          </w:p>
        </w:tc>
      </w:tr>
      <w:tr w:rsidR="00CA5936" w:rsidRPr="00FF386D" w14:paraId="2F1B5C79" w14:textId="77777777" w:rsidTr="00CA5936">
        <w:trPr>
          <w:trHeight w:val="473"/>
        </w:trPr>
        <w:tc>
          <w:tcPr>
            <w:tcW w:w="0" w:type="auto"/>
            <w:vMerge/>
            <w:vAlign w:val="center"/>
          </w:tcPr>
          <w:p w14:paraId="7EF26398"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sz w:val="16"/>
              </w:rPr>
            </w:pPr>
          </w:p>
        </w:tc>
        <w:tc>
          <w:tcPr>
            <w:tcW w:w="1290" w:type="dxa"/>
            <w:shd w:val="clear" w:color="auto" w:fill="BFBFBF"/>
            <w:vAlign w:val="center"/>
          </w:tcPr>
          <w:p w14:paraId="33E3AD57"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Сврха</w:t>
            </w:r>
          </w:p>
        </w:tc>
        <w:tc>
          <w:tcPr>
            <w:tcW w:w="6983" w:type="dxa"/>
            <w:vAlign w:val="center"/>
          </w:tcPr>
          <w:p w14:paraId="407DA478"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Подржати имплементацију ЕЕ мера у оквиру унапређења енергетске ефикасности у јавним зградама, домаћинствима и комерцијалним објектима</w:t>
            </w:r>
          </w:p>
        </w:tc>
      </w:tr>
      <w:tr w:rsidR="00CA5936" w:rsidRPr="00FF386D" w14:paraId="6FCF807B" w14:textId="77777777" w:rsidTr="00CA5936">
        <w:trPr>
          <w:trHeight w:val="353"/>
        </w:trPr>
        <w:tc>
          <w:tcPr>
            <w:tcW w:w="0" w:type="auto"/>
            <w:vMerge/>
            <w:vAlign w:val="center"/>
          </w:tcPr>
          <w:p w14:paraId="47B74F5F"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sz w:val="16"/>
              </w:rPr>
            </w:pPr>
          </w:p>
        </w:tc>
        <w:tc>
          <w:tcPr>
            <w:tcW w:w="1290" w:type="dxa"/>
            <w:shd w:val="clear" w:color="auto" w:fill="BFBFBF"/>
            <w:vAlign w:val="center"/>
          </w:tcPr>
          <w:p w14:paraId="5E6CB8F1"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Трајање</w:t>
            </w:r>
          </w:p>
        </w:tc>
        <w:tc>
          <w:tcPr>
            <w:tcW w:w="6983" w:type="dxa"/>
            <w:vAlign w:val="center"/>
          </w:tcPr>
          <w:p w14:paraId="0BFFCFB1"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није доступно</w:t>
            </w:r>
          </w:p>
        </w:tc>
      </w:tr>
      <w:tr w:rsidR="00CA5936" w:rsidRPr="00FF386D" w14:paraId="3F53DA19" w14:textId="77777777" w:rsidTr="00CA5936">
        <w:trPr>
          <w:trHeight w:val="353"/>
        </w:trPr>
        <w:tc>
          <w:tcPr>
            <w:tcW w:w="0" w:type="auto"/>
            <w:vMerge w:val="restart"/>
            <w:vAlign w:val="center"/>
          </w:tcPr>
          <w:p w14:paraId="0680DDF5"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sz w:val="16"/>
              </w:rPr>
            </w:pPr>
            <w:r w:rsidRPr="00FF386D">
              <w:rPr>
                <w:rFonts w:ascii="Calibri" w:eastAsia="Calibri" w:hAnsi="Calibri" w:cs="Times New Roman"/>
                <w:i/>
                <w:spacing w:val="-4"/>
                <w:sz w:val="16"/>
                <w:lang w:bidi="sr-Cyrl-CS"/>
              </w:rPr>
              <w:t>UNDP</w:t>
            </w:r>
          </w:p>
        </w:tc>
        <w:tc>
          <w:tcPr>
            <w:tcW w:w="1290" w:type="dxa"/>
            <w:shd w:val="clear" w:color="auto" w:fill="BFBFBF"/>
            <w:vAlign w:val="center"/>
          </w:tcPr>
          <w:p w14:paraId="18CFA971"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Врста помоћи</w:t>
            </w:r>
          </w:p>
        </w:tc>
        <w:tc>
          <w:tcPr>
            <w:tcW w:w="6983" w:type="dxa"/>
            <w:vAlign w:val="center"/>
          </w:tcPr>
          <w:p w14:paraId="71A418AF"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pacing w:val="-2"/>
                <w:sz w:val="16"/>
                <w:lang w:bidi="sr-Cyrl-CS"/>
              </w:rPr>
              <w:t>Унапређење средњорочног и дугорочног планирања адаптација у Републици Србији</w:t>
            </w:r>
          </w:p>
        </w:tc>
      </w:tr>
      <w:tr w:rsidR="00CA5936" w:rsidRPr="00FF386D" w14:paraId="33463AC4" w14:textId="77777777" w:rsidTr="00CA5936">
        <w:trPr>
          <w:trHeight w:val="353"/>
        </w:trPr>
        <w:tc>
          <w:tcPr>
            <w:tcW w:w="0" w:type="auto"/>
            <w:vMerge/>
            <w:vAlign w:val="center"/>
          </w:tcPr>
          <w:p w14:paraId="0EE2D9E9"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sz w:val="16"/>
              </w:rPr>
            </w:pPr>
          </w:p>
        </w:tc>
        <w:tc>
          <w:tcPr>
            <w:tcW w:w="1290" w:type="dxa"/>
            <w:shd w:val="clear" w:color="auto" w:fill="BFBFBF"/>
            <w:vAlign w:val="center"/>
          </w:tcPr>
          <w:p w14:paraId="2FCE778B"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Износ</w:t>
            </w:r>
          </w:p>
        </w:tc>
        <w:tc>
          <w:tcPr>
            <w:tcW w:w="6983" w:type="dxa"/>
            <w:vAlign w:val="center"/>
          </w:tcPr>
          <w:p w14:paraId="1ECCD64E"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није доступно</w:t>
            </w:r>
          </w:p>
        </w:tc>
      </w:tr>
      <w:tr w:rsidR="00CA5936" w:rsidRPr="00FF386D" w14:paraId="6A1ADCCD" w14:textId="77777777" w:rsidTr="00CA5936">
        <w:trPr>
          <w:trHeight w:val="353"/>
        </w:trPr>
        <w:tc>
          <w:tcPr>
            <w:tcW w:w="0" w:type="auto"/>
            <w:vMerge/>
            <w:vAlign w:val="center"/>
          </w:tcPr>
          <w:p w14:paraId="28492F2C"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sz w:val="16"/>
              </w:rPr>
            </w:pPr>
          </w:p>
        </w:tc>
        <w:tc>
          <w:tcPr>
            <w:tcW w:w="1290" w:type="dxa"/>
            <w:shd w:val="clear" w:color="auto" w:fill="BFBFBF"/>
            <w:vAlign w:val="center"/>
          </w:tcPr>
          <w:p w14:paraId="1AA366C8"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Сврха</w:t>
            </w:r>
          </w:p>
        </w:tc>
        <w:tc>
          <w:tcPr>
            <w:tcW w:w="6983" w:type="dxa"/>
            <w:vAlign w:val="center"/>
          </w:tcPr>
          <w:p w14:paraId="09AAB830" w14:textId="77777777" w:rsidR="00CA5936" w:rsidRPr="00FF386D" w:rsidRDefault="00CA5936">
            <w:pPr>
              <w:widowControl w:val="0"/>
              <w:numPr>
                <w:ilvl w:val="0"/>
                <w:numId w:val="227"/>
              </w:numPr>
              <w:autoSpaceDE w:val="0"/>
              <w:autoSpaceDN w:val="0"/>
              <w:spacing w:before="56" w:after="0" w:line="240" w:lineRule="auto"/>
              <w:ind w:right="243"/>
              <w:contextualSpacing/>
              <w:rPr>
                <w:rFonts w:ascii="Calibri Light" w:eastAsia="Arial" w:hAnsi="Calibri Light" w:cs="Calibri Light"/>
                <w:bCs/>
                <w:sz w:val="16"/>
              </w:rPr>
            </w:pPr>
            <w:r w:rsidRPr="00FF386D">
              <w:rPr>
                <w:rFonts w:ascii="Calibri" w:eastAsia="Calibri" w:hAnsi="Calibri" w:cs="Times New Roman"/>
                <w:sz w:val="16"/>
                <w:lang w:bidi="sr-Cyrl-CS"/>
              </w:rPr>
              <w:t>Јачање правног и институционалног оквира за прилагођавање климатским променама (CCA);</w:t>
            </w:r>
          </w:p>
          <w:p w14:paraId="7568BF62" w14:textId="77777777" w:rsidR="00CA5936" w:rsidRPr="00FF386D" w:rsidRDefault="00CA5936">
            <w:pPr>
              <w:widowControl w:val="0"/>
              <w:numPr>
                <w:ilvl w:val="0"/>
                <w:numId w:val="227"/>
              </w:numPr>
              <w:autoSpaceDE w:val="0"/>
              <w:autoSpaceDN w:val="0"/>
              <w:spacing w:before="56" w:after="0" w:line="240" w:lineRule="auto"/>
              <w:ind w:right="243"/>
              <w:contextualSpacing/>
              <w:rPr>
                <w:rFonts w:ascii="Calibri Light" w:eastAsia="Arial" w:hAnsi="Calibri Light" w:cs="Calibri Light"/>
                <w:bCs/>
                <w:sz w:val="16"/>
              </w:rPr>
            </w:pPr>
            <w:r w:rsidRPr="00FF386D">
              <w:rPr>
                <w:rFonts w:ascii="Calibri" w:eastAsia="Calibri" w:hAnsi="Calibri" w:cs="Times New Roman"/>
                <w:sz w:val="16"/>
                <w:lang w:bidi="sr-Cyrl-CS"/>
              </w:rPr>
              <w:t xml:space="preserve">Процена и решавање непосредне националне и субнационалне политике </w:t>
            </w:r>
            <w:r w:rsidRPr="00FF386D">
              <w:rPr>
                <w:rFonts w:ascii="Calibri" w:eastAsia="Calibri" w:hAnsi="Calibri" w:cs="Times New Roman"/>
                <w:i/>
                <w:iCs/>
                <w:sz w:val="16"/>
                <w:lang w:bidi="sr-Cyrl-CS"/>
              </w:rPr>
              <w:t>CCA</w:t>
            </w:r>
            <w:r w:rsidRPr="00FF386D">
              <w:rPr>
                <w:rFonts w:ascii="Calibri" w:eastAsia="Calibri" w:hAnsi="Calibri" w:cs="Times New Roman"/>
                <w:sz w:val="16"/>
                <w:lang w:bidi="sr-Cyrl-CS"/>
              </w:rPr>
              <w:t xml:space="preserve"> и недостатака институционалних капацитета;</w:t>
            </w:r>
          </w:p>
          <w:p w14:paraId="4E830A69" w14:textId="77777777" w:rsidR="00CA5936" w:rsidRPr="00FF386D" w:rsidRDefault="00CA5936">
            <w:pPr>
              <w:widowControl w:val="0"/>
              <w:numPr>
                <w:ilvl w:val="0"/>
                <w:numId w:val="227"/>
              </w:numPr>
              <w:autoSpaceDE w:val="0"/>
              <w:autoSpaceDN w:val="0"/>
              <w:spacing w:before="56" w:after="0" w:line="240" w:lineRule="auto"/>
              <w:ind w:right="243"/>
              <w:contextualSpacing/>
              <w:rPr>
                <w:rFonts w:ascii="Calibri Light" w:eastAsia="Arial" w:hAnsi="Calibri Light" w:cs="Calibri Light"/>
                <w:bCs/>
                <w:sz w:val="16"/>
              </w:rPr>
            </w:pPr>
            <w:r w:rsidRPr="00FF386D">
              <w:rPr>
                <w:rFonts w:ascii="Calibri" w:eastAsia="Calibri" w:hAnsi="Calibri" w:cs="Times New Roman"/>
                <w:sz w:val="16"/>
                <w:lang w:bidi="sr-Cyrl-CS"/>
              </w:rPr>
              <w:t>Израда Националног плана адаптације на климатске промене (</w:t>
            </w:r>
            <w:r w:rsidRPr="00FF386D">
              <w:rPr>
                <w:rFonts w:ascii="Calibri" w:eastAsia="Calibri" w:hAnsi="Calibri" w:cs="Times New Roman"/>
                <w:i/>
                <w:iCs/>
                <w:sz w:val="16"/>
                <w:lang w:bidi="sr-Cyrl-CS"/>
              </w:rPr>
              <w:t>NAP</w:t>
            </w:r>
            <w:r w:rsidRPr="00FF386D">
              <w:rPr>
                <w:rFonts w:ascii="Calibri" w:eastAsia="Calibri" w:hAnsi="Calibri" w:cs="Times New Roman"/>
                <w:sz w:val="16"/>
                <w:lang w:bidi="sr-Cyrl-CS"/>
              </w:rPr>
              <w:t xml:space="preserve">) и интеграција </w:t>
            </w:r>
            <w:r w:rsidRPr="00FF386D">
              <w:rPr>
                <w:rFonts w:ascii="Calibri" w:eastAsia="Calibri" w:hAnsi="Calibri" w:cs="Times New Roman"/>
                <w:i/>
                <w:iCs/>
                <w:sz w:val="16"/>
                <w:lang w:bidi="sr-Cyrl-CS"/>
              </w:rPr>
              <w:t xml:space="preserve">CCA </w:t>
            </w:r>
            <w:r w:rsidRPr="00FF386D">
              <w:rPr>
                <w:rFonts w:ascii="Calibri" w:eastAsia="Calibri" w:hAnsi="Calibri" w:cs="Times New Roman"/>
                <w:sz w:val="16"/>
                <w:lang w:bidi="sr-Cyrl-CS"/>
              </w:rPr>
              <w:lastRenderedPageBreak/>
              <w:t>у националне и поднационалне процесе планирања;</w:t>
            </w:r>
          </w:p>
          <w:p w14:paraId="14334912" w14:textId="77777777" w:rsidR="00CA5936" w:rsidRPr="00FF386D" w:rsidRDefault="00CA5936">
            <w:pPr>
              <w:widowControl w:val="0"/>
              <w:numPr>
                <w:ilvl w:val="0"/>
                <w:numId w:val="227"/>
              </w:numPr>
              <w:autoSpaceDE w:val="0"/>
              <w:autoSpaceDN w:val="0"/>
              <w:spacing w:before="56" w:after="0" w:line="240" w:lineRule="auto"/>
              <w:ind w:right="243"/>
              <w:contextualSpacing/>
              <w:rPr>
                <w:rFonts w:ascii="Calibri Light" w:eastAsia="Arial" w:hAnsi="Calibri Light" w:cs="Calibri Light"/>
                <w:bCs/>
                <w:sz w:val="16"/>
              </w:rPr>
            </w:pPr>
            <w:r w:rsidRPr="00FF386D">
              <w:rPr>
                <w:rFonts w:ascii="Calibri" w:eastAsia="Calibri" w:hAnsi="Calibri" w:cs="Times New Roman"/>
                <w:sz w:val="16"/>
                <w:lang w:bidi="sr-Cyrl-CS"/>
              </w:rPr>
              <w:t>Унапређење национално одређених доприноса (NDC);</w:t>
            </w:r>
          </w:p>
          <w:p w14:paraId="0E86F2BC" w14:textId="77777777" w:rsidR="00CA5936" w:rsidRPr="00FF386D" w:rsidRDefault="00CA5936">
            <w:pPr>
              <w:widowControl w:val="0"/>
              <w:numPr>
                <w:ilvl w:val="0"/>
                <w:numId w:val="227"/>
              </w:numPr>
              <w:autoSpaceDE w:val="0"/>
              <w:autoSpaceDN w:val="0"/>
              <w:spacing w:before="56" w:after="0" w:line="240" w:lineRule="auto"/>
              <w:ind w:right="243"/>
              <w:contextualSpacing/>
              <w:rPr>
                <w:rFonts w:ascii="Calibri Light" w:eastAsia="Arial" w:hAnsi="Calibri Light" w:cs="Calibri Light"/>
                <w:sz w:val="16"/>
              </w:rPr>
            </w:pPr>
            <w:r w:rsidRPr="00FF386D">
              <w:rPr>
                <w:rFonts w:ascii="Calibri" w:eastAsia="Calibri" w:hAnsi="Calibri" w:cs="Times New Roman"/>
                <w:sz w:val="16"/>
                <w:lang w:bidi="sr-Cyrl-CS"/>
              </w:rPr>
              <w:t>Развој веб апликације и платформе за процену рањивости и прилагођавање климатским променама (</w:t>
            </w:r>
            <w:r w:rsidRPr="00FF386D">
              <w:rPr>
                <w:rFonts w:ascii="Calibri" w:eastAsia="Calibri" w:hAnsi="Calibri" w:cs="Times New Roman"/>
                <w:i/>
                <w:iCs/>
                <w:sz w:val="16"/>
                <w:lang w:bidi="sr-Cyrl-CS"/>
              </w:rPr>
              <w:t>CCA</w:t>
            </w:r>
            <w:r w:rsidRPr="00FF386D">
              <w:rPr>
                <w:rFonts w:ascii="Calibri" w:eastAsia="Calibri" w:hAnsi="Calibri" w:cs="Times New Roman"/>
                <w:sz w:val="16"/>
                <w:lang w:bidi="sr-Cyrl-CS"/>
              </w:rPr>
              <w:t xml:space="preserve"> )</w:t>
            </w:r>
          </w:p>
        </w:tc>
      </w:tr>
      <w:tr w:rsidR="00CA5936" w:rsidRPr="00FF386D" w14:paraId="46B76312" w14:textId="77777777" w:rsidTr="00CA5936">
        <w:trPr>
          <w:trHeight w:val="353"/>
        </w:trPr>
        <w:tc>
          <w:tcPr>
            <w:tcW w:w="0" w:type="auto"/>
            <w:vMerge/>
            <w:vAlign w:val="center"/>
          </w:tcPr>
          <w:p w14:paraId="2395A1C1"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sz w:val="16"/>
              </w:rPr>
            </w:pPr>
          </w:p>
        </w:tc>
        <w:tc>
          <w:tcPr>
            <w:tcW w:w="1290" w:type="dxa"/>
            <w:shd w:val="clear" w:color="auto" w:fill="BFBFBF"/>
            <w:vAlign w:val="center"/>
          </w:tcPr>
          <w:p w14:paraId="3E6B3790"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Трајање</w:t>
            </w:r>
          </w:p>
        </w:tc>
        <w:tc>
          <w:tcPr>
            <w:tcW w:w="6983" w:type="dxa"/>
            <w:vAlign w:val="center"/>
          </w:tcPr>
          <w:p w14:paraId="323F6FF9"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До 2023.године</w:t>
            </w:r>
          </w:p>
        </w:tc>
      </w:tr>
      <w:tr w:rsidR="00CA5936" w:rsidRPr="00FF386D" w14:paraId="0F24BA99" w14:textId="77777777" w:rsidTr="00CA5936">
        <w:trPr>
          <w:trHeight w:val="353"/>
        </w:trPr>
        <w:tc>
          <w:tcPr>
            <w:tcW w:w="0" w:type="auto"/>
            <w:vMerge w:val="restart"/>
            <w:vAlign w:val="center"/>
          </w:tcPr>
          <w:p w14:paraId="04608B8D"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r w:rsidRPr="00FF386D">
              <w:rPr>
                <w:rFonts w:ascii="Calibri" w:eastAsia="Calibri" w:hAnsi="Calibri" w:cs="Times New Roman"/>
                <w:i/>
                <w:iCs/>
                <w:spacing w:val="-5"/>
                <w:sz w:val="16"/>
                <w:lang w:bidi="sr-Cyrl-CS"/>
              </w:rPr>
              <w:t>KfW</w:t>
            </w:r>
          </w:p>
        </w:tc>
        <w:tc>
          <w:tcPr>
            <w:tcW w:w="1290" w:type="dxa"/>
            <w:shd w:val="clear" w:color="auto" w:fill="BFBFBF"/>
            <w:vAlign w:val="center"/>
          </w:tcPr>
          <w:p w14:paraId="06D643D1"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Врста помоћи</w:t>
            </w:r>
          </w:p>
        </w:tc>
        <w:tc>
          <w:tcPr>
            <w:tcW w:w="6983" w:type="dxa"/>
            <w:vAlign w:val="center"/>
          </w:tcPr>
          <w:p w14:paraId="64F4671D"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Подршка одрживим институцијама националне гаранције</w:t>
            </w:r>
          </w:p>
        </w:tc>
      </w:tr>
      <w:tr w:rsidR="00CA5936" w:rsidRPr="00FF386D" w14:paraId="2D9283FC" w14:textId="77777777" w:rsidTr="00CA5936">
        <w:trPr>
          <w:trHeight w:val="353"/>
        </w:trPr>
        <w:tc>
          <w:tcPr>
            <w:tcW w:w="0" w:type="auto"/>
            <w:vMerge/>
            <w:vAlign w:val="center"/>
          </w:tcPr>
          <w:p w14:paraId="0F174B1D"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p>
        </w:tc>
        <w:tc>
          <w:tcPr>
            <w:tcW w:w="1290" w:type="dxa"/>
            <w:shd w:val="clear" w:color="auto" w:fill="BFBFBF"/>
            <w:vAlign w:val="center"/>
          </w:tcPr>
          <w:p w14:paraId="0BA94E9C"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Износ</w:t>
            </w:r>
          </w:p>
        </w:tc>
        <w:tc>
          <w:tcPr>
            <w:tcW w:w="6983" w:type="dxa"/>
            <w:vAlign w:val="center"/>
          </w:tcPr>
          <w:p w14:paraId="79397D8D"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до 50 милиона евра</w:t>
            </w:r>
          </w:p>
        </w:tc>
      </w:tr>
      <w:tr w:rsidR="00CA5936" w:rsidRPr="00FF386D" w14:paraId="500D2328" w14:textId="77777777" w:rsidTr="00CA5936">
        <w:trPr>
          <w:trHeight w:val="353"/>
        </w:trPr>
        <w:tc>
          <w:tcPr>
            <w:tcW w:w="0" w:type="auto"/>
            <w:vMerge/>
            <w:vAlign w:val="center"/>
          </w:tcPr>
          <w:p w14:paraId="68DE1477"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p>
        </w:tc>
        <w:tc>
          <w:tcPr>
            <w:tcW w:w="1290" w:type="dxa"/>
            <w:shd w:val="clear" w:color="auto" w:fill="BFBFBF"/>
            <w:vAlign w:val="center"/>
          </w:tcPr>
          <w:p w14:paraId="2AC402BB"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Сврха</w:t>
            </w:r>
          </w:p>
        </w:tc>
        <w:tc>
          <w:tcPr>
            <w:tcW w:w="6983" w:type="dxa"/>
            <w:vAlign w:val="center"/>
          </w:tcPr>
          <w:p w14:paraId="3CA9902F"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Ослобађање 140+ милиона евра финансирања, достизање 4700+ ММСП и предузетника и улагање у одрживи опоравак</w:t>
            </w:r>
          </w:p>
        </w:tc>
      </w:tr>
      <w:tr w:rsidR="00CA5936" w:rsidRPr="00FF386D" w14:paraId="2ABF4549" w14:textId="77777777" w:rsidTr="00CA5936">
        <w:trPr>
          <w:trHeight w:val="353"/>
        </w:trPr>
        <w:tc>
          <w:tcPr>
            <w:tcW w:w="0" w:type="auto"/>
            <w:vMerge/>
            <w:vAlign w:val="center"/>
          </w:tcPr>
          <w:p w14:paraId="230A8555"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p>
        </w:tc>
        <w:tc>
          <w:tcPr>
            <w:tcW w:w="1290" w:type="dxa"/>
            <w:shd w:val="clear" w:color="auto" w:fill="BFBFBF"/>
            <w:vAlign w:val="center"/>
          </w:tcPr>
          <w:p w14:paraId="65A9D283"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Трајање</w:t>
            </w:r>
          </w:p>
        </w:tc>
        <w:tc>
          <w:tcPr>
            <w:tcW w:w="6983" w:type="dxa"/>
            <w:vAlign w:val="center"/>
          </w:tcPr>
          <w:p w14:paraId="3EFDD41D" w14:textId="620C3FDE" w:rsidR="00CA5936" w:rsidRPr="00FF386D" w:rsidRDefault="00304F8B"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текућа</w:t>
            </w:r>
            <w:r w:rsidR="00CA5936" w:rsidRPr="00FF386D">
              <w:rPr>
                <w:rFonts w:ascii="Calibri" w:eastAsia="Calibri" w:hAnsi="Calibri" w:cs="Times New Roman"/>
                <w:sz w:val="16"/>
                <w:lang w:bidi="sr-Cyrl-CS"/>
              </w:rPr>
              <w:t xml:space="preserve"> подршка</w:t>
            </w:r>
          </w:p>
        </w:tc>
      </w:tr>
      <w:tr w:rsidR="00CA5936" w:rsidRPr="00FF386D" w14:paraId="1857BD81" w14:textId="77777777" w:rsidTr="00CA5936">
        <w:trPr>
          <w:trHeight w:val="353"/>
        </w:trPr>
        <w:tc>
          <w:tcPr>
            <w:tcW w:w="0" w:type="auto"/>
            <w:vMerge w:val="restart"/>
            <w:vAlign w:val="center"/>
          </w:tcPr>
          <w:p w14:paraId="06D1D8D1"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r w:rsidRPr="00FF386D">
              <w:rPr>
                <w:rFonts w:ascii="Calibri" w:eastAsia="Calibri" w:hAnsi="Calibri" w:cs="Times New Roman"/>
                <w:i/>
                <w:iCs/>
                <w:spacing w:val="-5"/>
                <w:sz w:val="16"/>
                <w:lang w:bidi="sr-Cyrl-CS"/>
              </w:rPr>
              <w:t>EC</w:t>
            </w:r>
          </w:p>
        </w:tc>
        <w:tc>
          <w:tcPr>
            <w:tcW w:w="1290" w:type="dxa"/>
            <w:shd w:val="clear" w:color="auto" w:fill="BFBFBF"/>
            <w:vAlign w:val="center"/>
          </w:tcPr>
          <w:p w14:paraId="3B776E7E"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Врста помоћи</w:t>
            </w:r>
          </w:p>
        </w:tc>
        <w:tc>
          <w:tcPr>
            <w:tcW w:w="6983" w:type="dxa"/>
            <w:vAlign w:val="center"/>
          </w:tcPr>
          <w:p w14:paraId="6FD6A3D3"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Инструмент за претприступну помоћ III (ИПА III)</w:t>
            </w:r>
          </w:p>
        </w:tc>
      </w:tr>
      <w:tr w:rsidR="00CA5936" w:rsidRPr="00FF386D" w14:paraId="2461F8B7" w14:textId="77777777" w:rsidTr="00CA5936">
        <w:trPr>
          <w:trHeight w:val="353"/>
        </w:trPr>
        <w:tc>
          <w:tcPr>
            <w:tcW w:w="0" w:type="auto"/>
            <w:vMerge/>
            <w:vAlign w:val="center"/>
          </w:tcPr>
          <w:p w14:paraId="790DCE68"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p>
        </w:tc>
        <w:tc>
          <w:tcPr>
            <w:tcW w:w="1290" w:type="dxa"/>
            <w:shd w:val="clear" w:color="auto" w:fill="BFBFBF"/>
            <w:vAlign w:val="center"/>
          </w:tcPr>
          <w:p w14:paraId="21B4761A"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Износ</w:t>
            </w:r>
          </w:p>
        </w:tc>
        <w:tc>
          <w:tcPr>
            <w:tcW w:w="6983" w:type="dxa"/>
            <w:vAlign w:val="center"/>
          </w:tcPr>
          <w:p w14:paraId="232382E9"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До 9 милијарди евра</w:t>
            </w:r>
          </w:p>
        </w:tc>
      </w:tr>
      <w:tr w:rsidR="00CA5936" w:rsidRPr="00FF386D" w14:paraId="70D82E84" w14:textId="77777777" w:rsidTr="00CA5936">
        <w:trPr>
          <w:trHeight w:val="353"/>
        </w:trPr>
        <w:tc>
          <w:tcPr>
            <w:tcW w:w="0" w:type="auto"/>
            <w:vMerge/>
            <w:vAlign w:val="center"/>
          </w:tcPr>
          <w:p w14:paraId="5D8F56AD"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p>
        </w:tc>
        <w:tc>
          <w:tcPr>
            <w:tcW w:w="1290" w:type="dxa"/>
            <w:shd w:val="clear" w:color="auto" w:fill="BFBFBF"/>
            <w:vAlign w:val="center"/>
          </w:tcPr>
          <w:p w14:paraId="5EFD0EA7"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Сврха</w:t>
            </w:r>
          </w:p>
        </w:tc>
        <w:tc>
          <w:tcPr>
            <w:tcW w:w="6983" w:type="dxa"/>
            <w:vAlign w:val="center"/>
          </w:tcPr>
          <w:p w14:paraId="2D27F469"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Јачање инструмената за подстицање инвестиција јавног и приватног сектора (подршка економској конвергенцији са ЕУ кроз инвестиције и подршку конкурентности и инклузивном расту, одрживој повезаности и двострукој зеленој и дигиталној транзицији)</w:t>
            </w:r>
          </w:p>
        </w:tc>
      </w:tr>
      <w:tr w:rsidR="00CA5936" w:rsidRPr="00FF386D" w14:paraId="15D5BBDF" w14:textId="77777777" w:rsidTr="00CA5936">
        <w:trPr>
          <w:trHeight w:val="353"/>
        </w:trPr>
        <w:tc>
          <w:tcPr>
            <w:tcW w:w="0" w:type="auto"/>
            <w:vMerge/>
            <w:vAlign w:val="center"/>
          </w:tcPr>
          <w:p w14:paraId="307D7E02"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p>
        </w:tc>
        <w:tc>
          <w:tcPr>
            <w:tcW w:w="1290" w:type="dxa"/>
            <w:shd w:val="clear" w:color="auto" w:fill="BFBFBF"/>
            <w:vAlign w:val="center"/>
          </w:tcPr>
          <w:p w14:paraId="5957D689"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Трајање</w:t>
            </w:r>
          </w:p>
        </w:tc>
        <w:tc>
          <w:tcPr>
            <w:tcW w:w="6983" w:type="dxa"/>
            <w:vAlign w:val="center"/>
          </w:tcPr>
          <w:p w14:paraId="19CE2E5F"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w w:val="95"/>
                <w:sz w:val="16"/>
                <w:lang w:bidi="sr-Cyrl-CS"/>
              </w:rPr>
              <w:t>2021-2027.</w:t>
            </w:r>
          </w:p>
        </w:tc>
      </w:tr>
      <w:tr w:rsidR="00CA5936" w:rsidRPr="00FF386D" w14:paraId="6F1F44FE" w14:textId="77777777" w:rsidTr="00CA5936">
        <w:trPr>
          <w:trHeight w:val="353"/>
        </w:trPr>
        <w:tc>
          <w:tcPr>
            <w:tcW w:w="0" w:type="auto"/>
            <w:vMerge w:val="restart"/>
            <w:vAlign w:val="center"/>
          </w:tcPr>
          <w:p w14:paraId="439506D2"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r w:rsidRPr="00FF386D">
              <w:rPr>
                <w:rFonts w:ascii="Calibri" w:eastAsia="Calibri" w:hAnsi="Calibri" w:cs="Times New Roman"/>
                <w:i/>
                <w:iCs/>
                <w:spacing w:val="-5"/>
                <w:sz w:val="16"/>
                <w:lang w:bidi="sr-Cyrl-CS"/>
              </w:rPr>
              <w:t>EC</w:t>
            </w:r>
          </w:p>
        </w:tc>
        <w:tc>
          <w:tcPr>
            <w:tcW w:w="1290" w:type="dxa"/>
            <w:shd w:val="clear" w:color="auto" w:fill="BFBFBF"/>
            <w:vAlign w:val="center"/>
          </w:tcPr>
          <w:p w14:paraId="47337198"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Врста помоћи</w:t>
            </w:r>
          </w:p>
        </w:tc>
        <w:tc>
          <w:tcPr>
            <w:tcW w:w="6983" w:type="dxa"/>
            <w:vAlign w:val="center"/>
          </w:tcPr>
          <w:p w14:paraId="1B999CC0"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Инструмент за претприступну помоћ III (ИПА III)</w:t>
            </w:r>
          </w:p>
        </w:tc>
      </w:tr>
      <w:tr w:rsidR="00CA5936" w:rsidRPr="00FF386D" w14:paraId="6BED9148" w14:textId="77777777" w:rsidTr="00CA5936">
        <w:trPr>
          <w:trHeight w:val="353"/>
        </w:trPr>
        <w:tc>
          <w:tcPr>
            <w:tcW w:w="0" w:type="auto"/>
            <w:vMerge/>
            <w:vAlign w:val="center"/>
          </w:tcPr>
          <w:p w14:paraId="1DA6BCE9"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p>
        </w:tc>
        <w:tc>
          <w:tcPr>
            <w:tcW w:w="1290" w:type="dxa"/>
            <w:shd w:val="clear" w:color="auto" w:fill="BFBFBF"/>
            <w:vAlign w:val="center"/>
          </w:tcPr>
          <w:p w14:paraId="20A9FB35"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Износ</w:t>
            </w:r>
          </w:p>
        </w:tc>
        <w:tc>
          <w:tcPr>
            <w:tcW w:w="6983" w:type="dxa"/>
            <w:vAlign w:val="center"/>
          </w:tcPr>
          <w:p w14:paraId="3416DB73"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Преко 14 милијарди евра</w:t>
            </w:r>
          </w:p>
        </w:tc>
      </w:tr>
      <w:tr w:rsidR="00CA5936" w:rsidRPr="00FF386D" w14:paraId="5F3A387D" w14:textId="77777777" w:rsidTr="00CA5936">
        <w:trPr>
          <w:trHeight w:val="353"/>
        </w:trPr>
        <w:tc>
          <w:tcPr>
            <w:tcW w:w="0" w:type="auto"/>
            <w:vMerge/>
            <w:vAlign w:val="center"/>
          </w:tcPr>
          <w:p w14:paraId="13EB7470"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p>
        </w:tc>
        <w:tc>
          <w:tcPr>
            <w:tcW w:w="1290" w:type="dxa"/>
            <w:shd w:val="clear" w:color="auto" w:fill="BFBFBF"/>
            <w:vAlign w:val="center"/>
          </w:tcPr>
          <w:p w14:paraId="4ADEBB23"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Сврха</w:t>
            </w:r>
          </w:p>
        </w:tc>
        <w:tc>
          <w:tcPr>
            <w:tcW w:w="6983" w:type="dxa"/>
            <w:vAlign w:val="center"/>
          </w:tcPr>
          <w:p w14:paraId="5DBE0E5F" w14:textId="438F1280"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 xml:space="preserve">Повећање јавних и приватних инвестиција у региону од стране </w:t>
            </w:r>
            <w:r w:rsidRPr="00FF386D">
              <w:rPr>
                <w:rFonts w:ascii="Calibri" w:eastAsia="Calibri" w:hAnsi="Calibri" w:cs="Times New Roman"/>
                <w:i/>
                <w:iCs/>
                <w:sz w:val="16"/>
                <w:lang w:bidi="sr-Cyrl-CS"/>
              </w:rPr>
              <w:t>EIB, EBRD</w:t>
            </w:r>
            <w:r w:rsidRPr="00FF386D">
              <w:rPr>
                <w:rFonts w:ascii="Calibri" w:eastAsia="Calibri" w:hAnsi="Calibri" w:cs="Times New Roman"/>
                <w:sz w:val="16"/>
                <w:lang w:bidi="sr-Cyrl-CS"/>
              </w:rPr>
              <w:t xml:space="preserve"> и других међународних финансијских институција, развојних финансијских институција, влада Западног Балкана и приватних инвеститора, укључујући директне стране инвестиције, као и тржишта у интеграцији.</w:t>
            </w:r>
          </w:p>
        </w:tc>
      </w:tr>
      <w:tr w:rsidR="00CA5936" w:rsidRPr="00FF386D" w14:paraId="20B303F4" w14:textId="77777777" w:rsidTr="00CA5936">
        <w:trPr>
          <w:trHeight w:val="353"/>
        </w:trPr>
        <w:tc>
          <w:tcPr>
            <w:tcW w:w="0" w:type="auto"/>
            <w:vMerge/>
            <w:vAlign w:val="center"/>
          </w:tcPr>
          <w:p w14:paraId="5795F56A"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p>
        </w:tc>
        <w:tc>
          <w:tcPr>
            <w:tcW w:w="1290" w:type="dxa"/>
            <w:shd w:val="clear" w:color="auto" w:fill="BFBFBF"/>
            <w:vAlign w:val="center"/>
          </w:tcPr>
          <w:p w14:paraId="2EF4D3D4"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Трајање</w:t>
            </w:r>
          </w:p>
        </w:tc>
        <w:tc>
          <w:tcPr>
            <w:tcW w:w="6983" w:type="dxa"/>
            <w:vAlign w:val="center"/>
          </w:tcPr>
          <w:p w14:paraId="016F2A36"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w w:val="95"/>
                <w:sz w:val="16"/>
                <w:lang w:bidi="sr-Cyrl-CS"/>
              </w:rPr>
              <w:t>2021-2027.</w:t>
            </w:r>
          </w:p>
        </w:tc>
      </w:tr>
      <w:tr w:rsidR="00CA5936" w:rsidRPr="00FF386D" w14:paraId="42588274" w14:textId="77777777" w:rsidTr="00CA5936">
        <w:trPr>
          <w:trHeight w:val="353"/>
        </w:trPr>
        <w:tc>
          <w:tcPr>
            <w:tcW w:w="0" w:type="auto"/>
            <w:vMerge w:val="restart"/>
            <w:vAlign w:val="center"/>
          </w:tcPr>
          <w:p w14:paraId="0EAB732C"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r w:rsidRPr="00FF386D">
              <w:rPr>
                <w:rFonts w:ascii="Calibri" w:eastAsia="Calibri" w:hAnsi="Calibri" w:cs="Times New Roman"/>
                <w:i/>
                <w:iCs/>
                <w:spacing w:val="-5"/>
                <w:sz w:val="16"/>
                <w:lang w:bidi="sr-Cyrl-CS"/>
              </w:rPr>
              <w:t>EC</w:t>
            </w:r>
          </w:p>
        </w:tc>
        <w:tc>
          <w:tcPr>
            <w:tcW w:w="1290" w:type="dxa"/>
            <w:shd w:val="clear" w:color="auto" w:fill="BFBFBF"/>
            <w:vAlign w:val="center"/>
          </w:tcPr>
          <w:p w14:paraId="626E218E"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Врста помоћи</w:t>
            </w:r>
          </w:p>
        </w:tc>
        <w:tc>
          <w:tcPr>
            <w:tcW w:w="6983" w:type="dxa"/>
            <w:vAlign w:val="center"/>
          </w:tcPr>
          <w:p w14:paraId="360A407B"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 xml:space="preserve">Омогућавање повећања енергетске ефикасности – у контексту Зеленог договора ЕУ, </w:t>
            </w:r>
            <w:r w:rsidRPr="00FF386D">
              <w:rPr>
                <w:rFonts w:ascii="Calibri" w:eastAsia="Calibri" w:hAnsi="Calibri" w:cs="Times New Roman"/>
                <w:i/>
                <w:sz w:val="16"/>
                <w:u w:val="single"/>
                <w:lang w:bidi="sr-Cyrl-CS"/>
              </w:rPr>
              <w:t xml:space="preserve">подршка европском таласу реновирања </w:t>
            </w:r>
            <w:r w:rsidRPr="00FF386D">
              <w:rPr>
                <w:rFonts w:ascii="Calibri" w:eastAsia="Calibri" w:hAnsi="Calibri" w:cs="Times New Roman"/>
                <w:sz w:val="16"/>
                <w:lang w:bidi="sr-Cyrl-CS"/>
              </w:rPr>
              <w:t>ће бити проширена</w:t>
            </w:r>
          </w:p>
        </w:tc>
      </w:tr>
      <w:tr w:rsidR="00CA5936" w:rsidRPr="00FF386D" w14:paraId="34658935" w14:textId="77777777" w:rsidTr="00CA5936">
        <w:trPr>
          <w:trHeight w:val="353"/>
        </w:trPr>
        <w:tc>
          <w:tcPr>
            <w:tcW w:w="0" w:type="auto"/>
            <w:vMerge/>
            <w:vAlign w:val="center"/>
          </w:tcPr>
          <w:p w14:paraId="589178D3"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sz w:val="16"/>
              </w:rPr>
            </w:pPr>
          </w:p>
        </w:tc>
        <w:tc>
          <w:tcPr>
            <w:tcW w:w="1290" w:type="dxa"/>
            <w:shd w:val="clear" w:color="auto" w:fill="BFBFBF"/>
            <w:vAlign w:val="center"/>
          </w:tcPr>
          <w:p w14:paraId="5FD52AF0"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Износ</w:t>
            </w:r>
          </w:p>
        </w:tc>
        <w:tc>
          <w:tcPr>
            <w:tcW w:w="6983" w:type="dxa"/>
            <w:vAlign w:val="center"/>
          </w:tcPr>
          <w:p w14:paraId="0FDD35CC"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до сада је омогућила зелена улагања од укупно 700 милиона евра</w:t>
            </w:r>
          </w:p>
        </w:tc>
      </w:tr>
      <w:tr w:rsidR="00CA5936" w:rsidRPr="00FF386D" w14:paraId="561AFB13" w14:textId="77777777" w:rsidTr="00CA5936">
        <w:trPr>
          <w:trHeight w:val="353"/>
        </w:trPr>
        <w:tc>
          <w:tcPr>
            <w:tcW w:w="0" w:type="auto"/>
            <w:vMerge/>
            <w:vAlign w:val="center"/>
          </w:tcPr>
          <w:p w14:paraId="364D95A3"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sz w:val="16"/>
              </w:rPr>
            </w:pPr>
          </w:p>
        </w:tc>
        <w:tc>
          <w:tcPr>
            <w:tcW w:w="1290" w:type="dxa"/>
            <w:shd w:val="clear" w:color="auto" w:fill="BFBFBF"/>
            <w:vAlign w:val="center"/>
          </w:tcPr>
          <w:p w14:paraId="597270D2"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Сврха</w:t>
            </w:r>
          </w:p>
        </w:tc>
        <w:tc>
          <w:tcPr>
            <w:tcW w:w="6983" w:type="dxa"/>
            <w:vAlign w:val="center"/>
          </w:tcPr>
          <w:p w14:paraId="165F03A1" w14:textId="62C58094"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 xml:space="preserve">Сврха је: прелазак са угља на одрживу и чисту енергију. Комисија предлаже да се „европски талас </w:t>
            </w:r>
            <w:r w:rsidR="00304F8B" w:rsidRPr="00FF386D">
              <w:rPr>
                <w:rFonts w:ascii="Calibri" w:eastAsia="Calibri" w:hAnsi="Calibri" w:cs="Times New Roman"/>
                <w:sz w:val="16"/>
                <w:lang w:bidi="sr-Cyrl-CS"/>
              </w:rPr>
              <w:t>обнове</w:t>
            </w:r>
            <w:r w:rsidRPr="00FF386D">
              <w:rPr>
                <w:rFonts w:ascii="Calibri" w:eastAsia="Calibri" w:hAnsi="Calibri" w:cs="Times New Roman"/>
                <w:sz w:val="16"/>
                <w:lang w:bidi="sr-Cyrl-CS"/>
              </w:rPr>
              <w:t xml:space="preserve">“ прошири на </w:t>
            </w:r>
            <w:r w:rsidR="009B6021" w:rsidRPr="00FF386D">
              <w:rPr>
                <w:rFonts w:ascii="Calibri" w:eastAsia="Calibri" w:hAnsi="Calibri" w:cs="Times New Roman"/>
                <w:sz w:val="16"/>
                <w:lang w:bidi="sr-Cyrl-CS"/>
              </w:rPr>
              <w:t xml:space="preserve">регион </w:t>
            </w:r>
            <w:r w:rsidR="00304F8B" w:rsidRPr="00FF386D">
              <w:rPr>
                <w:rFonts w:ascii="Calibri" w:eastAsia="Calibri" w:hAnsi="Calibri" w:cs="Times New Roman"/>
                <w:sz w:val="16"/>
                <w:lang w:bidi="sr-Cyrl-CS"/>
              </w:rPr>
              <w:t>З</w:t>
            </w:r>
            <w:r w:rsidRPr="00FF386D">
              <w:rPr>
                <w:rFonts w:ascii="Calibri" w:eastAsia="Calibri" w:hAnsi="Calibri" w:cs="Times New Roman"/>
                <w:sz w:val="16"/>
                <w:lang w:bidi="sr-Cyrl-CS"/>
              </w:rPr>
              <w:t>ападн</w:t>
            </w:r>
            <w:r w:rsidR="009B6021" w:rsidRPr="00FF386D">
              <w:rPr>
                <w:rFonts w:ascii="Calibri" w:eastAsia="Calibri" w:hAnsi="Calibri" w:cs="Times New Roman"/>
                <w:sz w:val="16"/>
                <w:lang w:bidi="sr-Cyrl-CS"/>
              </w:rPr>
              <w:t>ог</w:t>
            </w:r>
            <w:r w:rsidRPr="00FF386D">
              <w:rPr>
                <w:rFonts w:ascii="Calibri" w:eastAsia="Calibri" w:hAnsi="Calibri" w:cs="Times New Roman"/>
                <w:sz w:val="16"/>
                <w:lang w:bidi="sr-Cyrl-CS"/>
              </w:rPr>
              <w:t xml:space="preserve"> Балкан</w:t>
            </w:r>
            <w:r w:rsidR="009B6021" w:rsidRPr="00FF386D">
              <w:rPr>
                <w:rFonts w:ascii="Calibri" w:eastAsia="Calibri" w:hAnsi="Calibri" w:cs="Times New Roman"/>
                <w:sz w:val="16"/>
                <w:lang w:bidi="sr-Cyrl-CS"/>
              </w:rPr>
              <w:t>а</w:t>
            </w:r>
            <w:r w:rsidRPr="00FF386D">
              <w:rPr>
                <w:rFonts w:ascii="Calibri" w:eastAsia="Calibri" w:hAnsi="Calibri" w:cs="Times New Roman"/>
                <w:sz w:val="16"/>
                <w:lang w:bidi="sr-Cyrl-CS"/>
              </w:rPr>
              <w:t xml:space="preserve">. </w:t>
            </w:r>
            <w:r w:rsidR="00304F8B" w:rsidRPr="00FF386D">
              <w:rPr>
                <w:rFonts w:ascii="Calibri" w:eastAsia="Calibri" w:hAnsi="Calibri" w:cs="Times New Roman"/>
                <w:sz w:val="16"/>
                <w:lang w:bidi="sr-Cyrl-CS"/>
              </w:rPr>
              <w:t>Обновљени</w:t>
            </w:r>
            <w:r w:rsidRPr="00FF386D">
              <w:rPr>
                <w:rFonts w:ascii="Calibri" w:eastAsia="Calibri" w:hAnsi="Calibri" w:cs="Times New Roman"/>
                <w:sz w:val="16"/>
                <w:lang w:bidi="sr-Cyrl-CS"/>
              </w:rPr>
              <w:t xml:space="preserve"> и побољшани грађевински фонд ће помоћи да се отвори пут декарбонизованом и чистом енергетском систему, пошто је грађевински сектор један од највећих потрошача енергије у Европи. У ту сврху ЕУ ће користити, између остал</w:t>
            </w:r>
            <w:r w:rsidR="00176BBD" w:rsidRPr="00FF386D">
              <w:rPr>
                <w:rFonts w:ascii="Calibri" w:eastAsia="Calibri" w:hAnsi="Calibri" w:cs="Times New Roman"/>
                <w:sz w:val="16"/>
                <w:lang w:bidi="sr-Cyrl-CS"/>
              </w:rPr>
              <w:t>ог</w:t>
            </w:r>
            <w:r w:rsidRPr="00FF386D">
              <w:rPr>
                <w:rFonts w:ascii="Calibri" w:eastAsia="Calibri" w:hAnsi="Calibri" w:cs="Times New Roman"/>
                <w:sz w:val="16"/>
                <w:lang w:bidi="sr-Cyrl-CS"/>
              </w:rPr>
              <w:t>, постојеће платформе као што су</w:t>
            </w:r>
            <w:r w:rsidR="00176BBD" w:rsidRPr="00FF386D">
              <w:rPr>
                <w:rFonts w:ascii="Calibri" w:eastAsia="Calibri" w:hAnsi="Calibri" w:cs="Times New Roman"/>
                <w:sz w:val="16"/>
                <w:lang w:bidi="sr-Cyrl-CS"/>
              </w:rPr>
              <w:t xml:space="preserve"> Фонд за зелени развој (</w:t>
            </w:r>
            <w:r w:rsidRPr="00FF386D">
              <w:rPr>
                <w:rFonts w:ascii="Calibri" w:eastAsia="Calibri" w:hAnsi="Calibri" w:cs="Times New Roman"/>
                <w:sz w:val="16"/>
                <w:u w:val="single"/>
                <w:lang w:bidi="sr-Cyrl-CS"/>
              </w:rPr>
              <w:t>Green for Growth Fund</w:t>
            </w:r>
            <w:r w:rsidR="00176BBD" w:rsidRPr="00FF386D">
              <w:rPr>
                <w:rFonts w:ascii="Calibri" w:eastAsia="Calibri" w:hAnsi="Calibri" w:cs="Times New Roman"/>
                <w:sz w:val="16"/>
                <w:u w:val="single"/>
                <w:lang w:bidi="sr-Cyrl-CS"/>
              </w:rPr>
              <w:t>)</w:t>
            </w:r>
            <w:r w:rsidRPr="00FF386D">
              <w:rPr>
                <w:rFonts w:ascii="Calibri" w:eastAsia="Calibri" w:hAnsi="Calibri" w:cs="Times New Roman"/>
                <w:sz w:val="16"/>
                <w:u w:val="single"/>
                <w:lang w:bidi="sr-Cyrl-CS"/>
              </w:rPr>
              <w:t xml:space="preserve"> </w:t>
            </w:r>
            <w:r w:rsidRPr="00FF386D">
              <w:rPr>
                <w:rFonts w:ascii="Calibri" w:eastAsia="Calibri" w:hAnsi="Calibri" w:cs="Times New Roman"/>
                <w:sz w:val="16"/>
                <w:lang w:bidi="sr-Cyrl-CS"/>
              </w:rPr>
              <w:t xml:space="preserve">и </w:t>
            </w:r>
            <w:r w:rsidR="00176BBD" w:rsidRPr="00FF386D">
              <w:rPr>
                <w:rFonts w:ascii="Calibri" w:eastAsia="Calibri" w:hAnsi="Calibri" w:cs="Times New Roman"/>
                <w:sz w:val="16"/>
                <w:lang w:bidi="sr-Cyrl-CS"/>
              </w:rPr>
              <w:t>Регионални програм енергетске ефикасности (</w:t>
            </w:r>
            <w:r w:rsidRPr="00FF386D">
              <w:rPr>
                <w:rFonts w:ascii="Calibri" w:eastAsia="Calibri" w:hAnsi="Calibri" w:cs="Times New Roman"/>
                <w:i/>
                <w:sz w:val="16"/>
                <w:u w:val="single"/>
                <w:lang w:bidi="sr-Cyrl-CS"/>
              </w:rPr>
              <w:t>Regional Energy Efficiency Programme</w:t>
            </w:r>
            <w:r w:rsidR="00176BBD" w:rsidRPr="00FF386D">
              <w:rPr>
                <w:rFonts w:ascii="Calibri" w:eastAsia="Calibri" w:hAnsi="Calibri" w:cs="Times New Roman"/>
                <w:i/>
                <w:sz w:val="16"/>
                <w:u w:val="single"/>
                <w:lang w:bidi="sr-Cyrl-CS"/>
              </w:rPr>
              <w:t>).</w:t>
            </w:r>
          </w:p>
        </w:tc>
      </w:tr>
      <w:tr w:rsidR="00CA5936" w:rsidRPr="00FF386D" w14:paraId="544C63AF" w14:textId="77777777" w:rsidTr="00CA5936">
        <w:trPr>
          <w:trHeight w:val="353"/>
        </w:trPr>
        <w:tc>
          <w:tcPr>
            <w:tcW w:w="0" w:type="auto"/>
            <w:vMerge/>
            <w:vAlign w:val="center"/>
          </w:tcPr>
          <w:p w14:paraId="641EDB98"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sz w:val="16"/>
              </w:rPr>
            </w:pPr>
          </w:p>
        </w:tc>
        <w:tc>
          <w:tcPr>
            <w:tcW w:w="1290" w:type="dxa"/>
            <w:shd w:val="clear" w:color="auto" w:fill="BFBFBF"/>
            <w:vAlign w:val="center"/>
          </w:tcPr>
          <w:p w14:paraId="0EDB524E"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Трајање</w:t>
            </w:r>
          </w:p>
        </w:tc>
        <w:tc>
          <w:tcPr>
            <w:tcW w:w="6983" w:type="dxa"/>
            <w:vAlign w:val="center"/>
          </w:tcPr>
          <w:p w14:paraId="0EF12606"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4 године за уговорне обавезе и 5-7 година за имплементацију</w:t>
            </w:r>
          </w:p>
        </w:tc>
      </w:tr>
      <w:tr w:rsidR="00CA5936" w:rsidRPr="00FF386D" w14:paraId="5A1CF04C" w14:textId="77777777" w:rsidTr="00CA5936">
        <w:trPr>
          <w:trHeight w:val="353"/>
        </w:trPr>
        <w:tc>
          <w:tcPr>
            <w:tcW w:w="0" w:type="auto"/>
            <w:vMerge w:val="restart"/>
            <w:vAlign w:val="center"/>
          </w:tcPr>
          <w:p w14:paraId="1199108F"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r w:rsidRPr="00FF386D">
              <w:rPr>
                <w:rFonts w:ascii="Calibri" w:eastAsia="Calibri" w:hAnsi="Calibri" w:cs="Times New Roman"/>
                <w:i/>
                <w:iCs/>
                <w:spacing w:val="-5"/>
                <w:sz w:val="16"/>
                <w:lang w:bidi="sr-Cyrl-CS"/>
              </w:rPr>
              <w:t>EC</w:t>
            </w:r>
          </w:p>
        </w:tc>
        <w:tc>
          <w:tcPr>
            <w:tcW w:w="1290" w:type="dxa"/>
            <w:shd w:val="clear" w:color="auto" w:fill="BFBFBF"/>
            <w:vAlign w:val="center"/>
          </w:tcPr>
          <w:p w14:paraId="381D0B93"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Врста помоћи</w:t>
            </w:r>
          </w:p>
        </w:tc>
        <w:tc>
          <w:tcPr>
            <w:tcW w:w="6983" w:type="dxa"/>
            <w:vAlign w:val="center"/>
          </w:tcPr>
          <w:p w14:paraId="4D51E722"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pacing w:val="-2"/>
                <w:sz w:val="16"/>
                <w:lang w:bidi="sr-Cyrl-CS"/>
              </w:rPr>
              <w:t>Гаранција за Западни Балкан</w:t>
            </w:r>
          </w:p>
        </w:tc>
      </w:tr>
      <w:tr w:rsidR="00CA5936" w:rsidRPr="00FF386D" w14:paraId="3FBA21CC" w14:textId="77777777" w:rsidTr="00CA5936">
        <w:trPr>
          <w:trHeight w:val="353"/>
        </w:trPr>
        <w:tc>
          <w:tcPr>
            <w:tcW w:w="0" w:type="auto"/>
            <w:vMerge/>
            <w:vAlign w:val="center"/>
          </w:tcPr>
          <w:p w14:paraId="233B717F"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p>
        </w:tc>
        <w:tc>
          <w:tcPr>
            <w:tcW w:w="1290" w:type="dxa"/>
            <w:shd w:val="clear" w:color="auto" w:fill="BFBFBF"/>
            <w:vAlign w:val="center"/>
          </w:tcPr>
          <w:p w14:paraId="3A7DDF77"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Износ</w:t>
            </w:r>
          </w:p>
        </w:tc>
        <w:tc>
          <w:tcPr>
            <w:tcW w:w="6983" w:type="dxa"/>
            <w:vAlign w:val="center"/>
          </w:tcPr>
          <w:p w14:paraId="09F2B944"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Мобилисање око 20 милијарди евра инвестиција</w:t>
            </w:r>
          </w:p>
        </w:tc>
      </w:tr>
      <w:tr w:rsidR="00CA5936" w:rsidRPr="00FF386D" w14:paraId="0E651EC4" w14:textId="77777777" w:rsidTr="00CA5936">
        <w:trPr>
          <w:trHeight w:val="353"/>
        </w:trPr>
        <w:tc>
          <w:tcPr>
            <w:tcW w:w="0" w:type="auto"/>
            <w:vMerge/>
            <w:vAlign w:val="center"/>
          </w:tcPr>
          <w:p w14:paraId="62AF5C82"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p>
        </w:tc>
        <w:tc>
          <w:tcPr>
            <w:tcW w:w="1290" w:type="dxa"/>
            <w:shd w:val="clear" w:color="auto" w:fill="BFBFBF"/>
            <w:vAlign w:val="center"/>
          </w:tcPr>
          <w:p w14:paraId="7C7CD96A"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Сврха</w:t>
            </w:r>
          </w:p>
        </w:tc>
        <w:tc>
          <w:tcPr>
            <w:tcW w:w="6983" w:type="dxa"/>
            <w:vAlign w:val="center"/>
          </w:tcPr>
          <w:p w14:paraId="5CADB0D1" w14:textId="43098A54" w:rsidR="00CA5936" w:rsidRPr="00FF386D" w:rsidRDefault="00CA5936" w:rsidP="00CA5936">
            <w:pPr>
              <w:widowControl w:val="0"/>
              <w:autoSpaceDE w:val="0"/>
              <w:autoSpaceDN w:val="0"/>
              <w:spacing w:before="56" w:after="0" w:line="240" w:lineRule="auto"/>
              <w:ind w:left="128" w:right="146"/>
              <w:rPr>
                <w:rFonts w:ascii="Calibri Light" w:eastAsia="Arial" w:hAnsi="Calibri Light" w:cs="Calibri Light"/>
                <w:sz w:val="16"/>
              </w:rPr>
            </w:pPr>
            <w:r w:rsidRPr="00FF386D">
              <w:rPr>
                <w:rFonts w:ascii="Calibri" w:eastAsia="Calibri" w:hAnsi="Calibri" w:cs="Times New Roman"/>
                <w:sz w:val="16"/>
                <w:lang w:bidi="sr-Cyrl-CS"/>
              </w:rPr>
              <w:t xml:space="preserve">Унапређење инвестиционих капацитета региона: смањење трошкова финансирања и јавних и приватних инвестиција и смањење ризика за инвеститоре, подршка зеленим и дигиталним </w:t>
            </w:r>
            <w:r w:rsidR="00176BBD" w:rsidRPr="00FF386D">
              <w:rPr>
                <w:rFonts w:ascii="Calibri" w:eastAsia="Calibri" w:hAnsi="Calibri" w:cs="Times New Roman"/>
                <w:sz w:val="16"/>
                <w:lang w:bidi="sr-Cyrl-CS"/>
              </w:rPr>
              <w:t>истоветним</w:t>
            </w:r>
            <w:r w:rsidRPr="00FF386D">
              <w:rPr>
                <w:rFonts w:ascii="Calibri" w:eastAsia="Calibri" w:hAnsi="Calibri" w:cs="Times New Roman"/>
                <w:sz w:val="16"/>
                <w:lang w:bidi="sr-Cyrl-CS"/>
              </w:rPr>
              <w:t xml:space="preserve"> транзицијама; повећати конкурентност приватног сектора, подстаћи иновативност и развој друштвених сектора, повезујући привреде кроз ојачану регионалну економску интеграцију и интеграцију са ЕУ.</w:t>
            </w:r>
          </w:p>
        </w:tc>
      </w:tr>
      <w:tr w:rsidR="00CA5936" w:rsidRPr="00FF386D" w14:paraId="52AD7C79" w14:textId="77777777" w:rsidTr="00CA5936">
        <w:trPr>
          <w:trHeight w:val="353"/>
        </w:trPr>
        <w:tc>
          <w:tcPr>
            <w:tcW w:w="0" w:type="auto"/>
            <w:vMerge/>
            <w:vAlign w:val="center"/>
          </w:tcPr>
          <w:p w14:paraId="5859FAB3"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p>
        </w:tc>
        <w:tc>
          <w:tcPr>
            <w:tcW w:w="1290" w:type="dxa"/>
            <w:shd w:val="clear" w:color="auto" w:fill="BFBFBF"/>
            <w:vAlign w:val="center"/>
          </w:tcPr>
          <w:p w14:paraId="0EF39965"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Трајање</w:t>
            </w:r>
          </w:p>
        </w:tc>
        <w:tc>
          <w:tcPr>
            <w:tcW w:w="6983" w:type="dxa"/>
            <w:vAlign w:val="center"/>
          </w:tcPr>
          <w:p w14:paraId="32506E8A"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w w:val="95"/>
                <w:sz w:val="16"/>
                <w:lang w:bidi="sr-Cyrl-CS"/>
              </w:rPr>
              <w:t>2022-2032.</w:t>
            </w:r>
          </w:p>
        </w:tc>
      </w:tr>
      <w:tr w:rsidR="00CA5936" w:rsidRPr="00FF386D" w14:paraId="2C57971D" w14:textId="77777777" w:rsidTr="00CA5936">
        <w:trPr>
          <w:trHeight w:val="353"/>
        </w:trPr>
        <w:tc>
          <w:tcPr>
            <w:tcW w:w="0" w:type="auto"/>
            <w:vMerge w:val="restart"/>
            <w:vAlign w:val="center"/>
          </w:tcPr>
          <w:p w14:paraId="648D0DB7"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r w:rsidRPr="00FF386D">
              <w:rPr>
                <w:rFonts w:ascii="Calibri" w:eastAsia="Calibri" w:hAnsi="Calibri" w:cs="Times New Roman"/>
                <w:i/>
                <w:iCs/>
                <w:spacing w:val="-5"/>
                <w:sz w:val="16"/>
                <w:lang w:bidi="sr-Cyrl-CS"/>
              </w:rPr>
              <w:t>EIB</w:t>
            </w:r>
          </w:p>
        </w:tc>
        <w:tc>
          <w:tcPr>
            <w:tcW w:w="1290" w:type="dxa"/>
            <w:shd w:val="clear" w:color="auto" w:fill="BFBFBF"/>
            <w:vAlign w:val="center"/>
          </w:tcPr>
          <w:p w14:paraId="12540491"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Врста помоћи</w:t>
            </w:r>
          </w:p>
        </w:tc>
        <w:tc>
          <w:tcPr>
            <w:tcW w:w="6983" w:type="dxa"/>
            <w:vAlign w:val="center"/>
          </w:tcPr>
          <w:p w14:paraId="3C3FF569" w14:textId="77777777" w:rsidR="00CA5936" w:rsidRPr="00FF386D" w:rsidRDefault="00CA5936">
            <w:pPr>
              <w:widowControl w:val="0"/>
              <w:numPr>
                <w:ilvl w:val="0"/>
                <w:numId w:val="227"/>
              </w:numPr>
              <w:autoSpaceDE w:val="0"/>
              <w:autoSpaceDN w:val="0"/>
              <w:spacing w:before="56" w:after="0" w:line="240" w:lineRule="auto"/>
              <w:ind w:right="243"/>
              <w:contextualSpacing/>
              <w:rPr>
                <w:rFonts w:ascii="Calibri Light" w:eastAsia="Arial" w:hAnsi="Calibri Light" w:cs="Calibri Light"/>
                <w:bCs/>
                <w:sz w:val="16"/>
              </w:rPr>
            </w:pPr>
            <w:r w:rsidRPr="00FF386D">
              <w:rPr>
                <w:rFonts w:ascii="Calibri" w:eastAsia="Calibri" w:hAnsi="Calibri" w:cs="Times New Roman"/>
                <w:sz w:val="16"/>
                <w:lang w:bidi="sr-Cyrl-CS"/>
              </w:rPr>
              <w:t>88 милиона евра за сектор здравства и вода</w:t>
            </w:r>
          </w:p>
          <w:p w14:paraId="7CB6829A" w14:textId="6994DA42" w:rsidR="00CA5936" w:rsidRPr="00FF386D" w:rsidRDefault="00CA5936">
            <w:pPr>
              <w:widowControl w:val="0"/>
              <w:numPr>
                <w:ilvl w:val="0"/>
                <w:numId w:val="227"/>
              </w:numPr>
              <w:autoSpaceDE w:val="0"/>
              <w:autoSpaceDN w:val="0"/>
              <w:spacing w:before="56" w:after="0" w:line="240" w:lineRule="auto"/>
              <w:ind w:right="243"/>
              <w:contextualSpacing/>
              <w:rPr>
                <w:rFonts w:ascii="Calibri Light" w:eastAsia="Arial" w:hAnsi="Calibri Light" w:cs="Calibri Light"/>
                <w:bCs/>
                <w:sz w:val="16"/>
              </w:rPr>
            </w:pPr>
            <w:r w:rsidRPr="00FF386D">
              <w:rPr>
                <w:rFonts w:ascii="Calibri" w:eastAsia="Calibri" w:hAnsi="Calibri" w:cs="Times New Roman"/>
                <w:sz w:val="16"/>
                <w:lang w:bidi="sr-Cyrl-CS"/>
              </w:rPr>
              <w:t>761 милион евра за социоекономски опоравак (385 милиона евра од тога да би се обезбедио опстанак у краткорочном периоду и средњорочни опоравак пословања у приватном сектору</w:t>
            </w:r>
            <w:r w:rsidR="003A23A0">
              <w:rPr>
                <w:rFonts w:ascii="Calibri" w:eastAsia="Calibri" w:hAnsi="Calibri" w:cs="Times New Roman"/>
                <w:sz w:val="16"/>
                <w:lang w:bidi="sr-Cyrl-CS"/>
              </w:rPr>
              <w:t>)</w:t>
            </w:r>
          </w:p>
          <w:p w14:paraId="00BD3666" w14:textId="5E03F6F8" w:rsidR="00CA5936" w:rsidRPr="00FF386D" w:rsidRDefault="00CA5936">
            <w:pPr>
              <w:widowControl w:val="0"/>
              <w:numPr>
                <w:ilvl w:val="0"/>
                <w:numId w:val="227"/>
              </w:numPr>
              <w:autoSpaceDE w:val="0"/>
              <w:autoSpaceDN w:val="0"/>
              <w:spacing w:before="56" w:after="0" w:line="240" w:lineRule="auto"/>
              <w:ind w:right="243"/>
              <w:contextualSpacing/>
              <w:rPr>
                <w:rFonts w:ascii="Calibri Light" w:eastAsia="Arial" w:hAnsi="Calibri Light" w:cs="Calibri Light"/>
                <w:bCs/>
                <w:sz w:val="16"/>
              </w:rPr>
            </w:pPr>
            <w:r w:rsidRPr="00FF386D">
              <w:rPr>
                <w:rFonts w:ascii="Calibri" w:eastAsia="Calibri" w:hAnsi="Calibri" w:cs="Times New Roman"/>
                <w:sz w:val="16"/>
                <w:lang w:bidi="sr-Cyrl-CS"/>
              </w:rPr>
              <w:t xml:space="preserve">Макрофинансијска помоћ од 750 милиона евра (подршка влада </w:t>
            </w:r>
            <w:r w:rsidR="00176BBD" w:rsidRPr="00FF386D">
              <w:rPr>
                <w:rFonts w:ascii="Calibri" w:eastAsia="Calibri" w:hAnsi="Calibri" w:cs="Times New Roman"/>
                <w:sz w:val="16"/>
                <w:lang w:bidi="sr-Cyrl-CS"/>
              </w:rPr>
              <w:t>З</w:t>
            </w:r>
            <w:r w:rsidRPr="00FF386D">
              <w:rPr>
                <w:rFonts w:ascii="Calibri" w:eastAsia="Calibri" w:hAnsi="Calibri" w:cs="Times New Roman"/>
                <w:sz w:val="16"/>
                <w:lang w:bidi="sr-Cyrl-CS"/>
              </w:rPr>
              <w:t>ападног Балкана у платној кризи)</w:t>
            </w:r>
          </w:p>
          <w:p w14:paraId="75DCA29F" w14:textId="77777777" w:rsidR="00CA5936" w:rsidRPr="00FF386D" w:rsidRDefault="00CA5936">
            <w:pPr>
              <w:widowControl w:val="0"/>
              <w:numPr>
                <w:ilvl w:val="0"/>
                <w:numId w:val="227"/>
              </w:numPr>
              <w:autoSpaceDE w:val="0"/>
              <w:autoSpaceDN w:val="0"/>
              <w:spacing w:before="56" w:after="0" w:line="240" w:lineRule="auto"/>
              <w:ind w:right="243"/>
              <w:contextualSpacing/>
              <w:rPr>
                <w:rFonts w:ascii="Calibri Light" w:eastAsia="Arial" w:hAnsi="Calibri Light" w:cs="Calibri Light"/>
                <w:bCs/>
                <w:sz w:val="16"/>
              </w:rPr>
            </w:pPr>
            <w:r w:rsidRPr="00FF386D">
              <w:rPr>
                <w:rFonts w:ascii="Calibri" w:eastAsia="Calibri" w:hAnsi="Calibri" w:cs="Times New Roman"/>
                <w:sz w:val="16"/>
                <w:lang w:bidi="sr-Cyrl-CS"/>
              </w:rPr>
              <w:t>1,7 милијарди евра улагања Европске инвестиционе банке (за додатне кредите за инвестиције у јавном сектору и даље кредите предузећима, како би се заштитила радна места за многе људе који раде у малим и средњим предузећима у региону)</w:t>
            </w:r>
          </w:p>
        </w:tc>
      </w:tr>
      <w:tr w:rsidR="00CA5936" w:rsidRPr="00FF386D" w14:paraId="138F5E09" w14:textId="77777777" w:rsidTr="00CA5936">
        <w:trPr>
          <w:trHeight w:val="353"/>
        </w:trPr>
        <w:tc>
          <w:tcPr>
            <w:tcW w:w="0" w:type="auto"/>
            <w:vMerge/>
            <w:vAlign w:val="center"/>
          </w:tcPr>
          <w:p w14:paraId="374D0163"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sz w:val="16"/>
              </w:rPr>
            </w:pPr>
          </w:p>
        </w:tc>
        <w:tc>
          <w:tcPr>
            <w:tcW w:w="1290" w:type="dxa"/>
            <w:shd w:val="clear" w:color="auto" w:fill="BFBFBF"/>
            <w:vAlign w:val="center"/>
          </w:tcPr>
          <w:p w14:paraId="203B023E"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Износ</w:t>
            </w:r>
          </w:p>
        </w:tc>
        <w:tc>
          <w:tcPr>
            <w:tcW w:w="6983" w:type="dxa"/>
            <w:vAlign w:val="center"/>
          </w:tcPr>
          <w:p w14:paraId="12D1BEBF"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преко 3,3 милијарде евра</w:t>
            </w:r>
          </w:p>
        </w:tc>
      </w:tr>
      <w:tr w:rsidR="00CA5936" w:rsidRPr="00FF386D" w14:paraId="509C9253" w14:textId="77777777" w:rsidTr="00CA5936">
        <w:trPr>
          <w:trHeight w:val="353"/>
        </w:trPr>
        <w:tc>
          <w:tcPr>
            <w:tcW w:w="0" w:type="auto"/>
            <w:vMerge/>
            <w:vAlign w:val="center"/>
          </w:tcPr>
          <w:p w14:paraId="7E173F08"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sz w:val="16"/>
              </w:rPr>
            </w:pPr>
          </w:p>
        </w:tc>
        <w:tc>
          <w:tcPr>
            <w:tcW w:w="1290" w:type="dxa"/>
            <w:shd w:val="clear" w:color="auto" w:fill="BFBFBF"/>
            <w:vAlign w:val="center"/>
          </w:tcPr>
          <w:p w14:paraId="5CDA05D9"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Сврха</w:t>
            </w:r>
          </w:p>
        </w:tc>
        <w:tc>
          <w:tcPr>
            <w:tcW w:w="6983" w:type="dxa"/>
            <w:vAlign w:val="center"/>
          </w:tcPr>
          <w:p w14:paraId="331F3E0F" w14:textId="3AE24985"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 xml:space="preserve">Стављање под контролу здравствене кризе изазване </w:t>
            </w:r>
            <w:r w:rsidR="00176BBD" w:rsidRPr="00FF386D">
              <w:rPr>
                <w:rFonts w:ascii="Calibri" w:eastAsia="Calibri" w:hAnsi="Calibri" w:cs="Times New Roman"/>
                <w:sz w:val="16"/>
                <w:lang w:bidi="sr-Cyrl-CS"/>
              </w:rPr>
              <w:t xml:space="preserve">корона </w:t>
            </w:r>
            <w:r w:rsidRPr="00FF386D">
              <w:rPr>
                <w:rFonts w:ascii="Calibri" w:eastAsia="Calibri" w:hAnsi="Calibri" w:cs="Times New Roman"/>
                <w:sz w:val="16"/>
                <w:lang w:bidi="sr-Cyrl-CS"/>
              </w:rPr>
              <w:t>вирусом</w:t>
            </w:r>
            <w:r w:rsidR="00176BBD" w:rsidRPr="00FF386D">
              <w:rPr>
                <w:rFonts w:ascii="Calibri" w:eastAsia="Calibri" w:hAnsi="Calibri" w:cs="Times New Roman"/>
                <w:sz w:val="16"/>
                <w:lang w:bidi="sr-Cyrl-CS"/>
              </w:rPr>
              <w:t xml:space="preserve"> </w:t>
            </w:r>
            <w:r w:rsidRPr="00FF386D">
              <w:rPr>
                <w:rFonts w:ascii="Calibri" w:eastAsia="Calibri" w:hAnsi="Calibri" w:cs="Times New Roman"/>
                <w:sz w:val="16"/>
                <w:lang w:bidi="sr-Cyrl-CS"/>
              </w:rPr>
              <w:t>и социо-економски опоравак након пандемије</w:t>
            </w:r>
          </w:p>
        </w:tc>
      </w:tr>
      <w:tr w:rsidR="00CA5936" w:rsidRPr="00FF386D" w14:paraId="77D79546" w14:textId="77777777" w:rsidTr="00CA5936">
        <w:trPr>
          <w:trHeight w:val="353"/>
        </w:trPr>
        <w:tc>
          <w:tcPr>
            <w:tcW w:w="0" w:type="auto"/>
            <w:vMerge/>
            <w:vAlign w:val="center"/>
          </w:tcPr>
          <w:p w14:paraId="21A661EE"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sz w:val="16"/>
              </w:rPr>
            </w:pPr>
          </w:p>
        </w:tc>
        <w:tc>
          <w:tcPr>
            <w:tcW w:w="1290" w:type="dxa"/>
            <w:shd w:val="clear" w:color="auto" w:fill="BFBFBF"/>
            <w:vAlign w:val="center"/>
          </w:tcPr>
          <w:p w14:paraId="0707B0E5"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Трајање</w:t>
            </w:r>
          </w:p>
        </w:tc>
        <w:tc>
          <w:tcPr>
            <w:tcW w:w="6983" w:type="dxa"/>
            <w:vAlign w:val="center"/>
          </w:tcPr>
          <w:p w14:paraId="4D19F4F7"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стална подршка</w:t>
            </w:r>
          </w:p>
        </w:tc>
      </w:tr>
      <w:tr w:rsidR="00CA5936" w:rsidRPr="00FF386D" w14:paraId="401AC611" w14:textId="77777777" w:rsidTr="00CA5936">
        <w:trPr>
          <w:trHeight w:val="353"/>
        </w:trPr>
        <w:tc>
          <w:tcPr>
            <w:tcW w:w="0" w:type="auto"/>
            <w:vMerge w:val="restart"/>
            <w:vAlign w:val="center"/>
          </w:tcPr>
          <w:p w14:paraId="24868DB3" w14:textId="77777777" w:rsidR="00CA5936" w:rsidRPr="00FF386D" w:rsidRDefault="00CA5936" w:rsidP="00CA5936">
            <w:pPr>
              <w:widowControl w:val="0"/>
              <w:autoSpaceDE w:val="0"/>
              <w:autoSpaceDN w:val="0"/>
              <w:spacing w:before="56" w:after="0" w:line="240" w:lineRule="auto"/>
              <w:ind w:left="154" w:right="118"/>
              <w:jc w:val="center"/>
              <w:rPr>
                <w:rFonts w:ascii="Calibri Light" w:eastAsia="Arial" w:hAnsi="Calibri Light" w:cs="Calibri Light"/>
                <w:iCs/>
                <w:sz w:val="16"/>
              </w:rPr>
            </w:pPr>
            <w:r w:rsidRPr="00FF386D">
              <w:rPr>
                <w:rFonts w:ascii="Calibri" w:eastAsia="Calibri" w:hAnsi="Calibri" w:cs="Times New Roman"/>
                <w:i/>
                <w:sz w:val="16"/>
                <w:lang w:bidi="sr-Cyrl-CS"/>
              </w:rPr>
              <w:t>EBRD, KfW</w:t>
            </w:r>
            <w:r w:rsidRPr="00FF386D">
              <w:rPr>
                <w:rFonts w:ascii="Calibri" w:eastAsia="Calibri" w:hAnsi="Calibri" w:cs="Times New Roman"/>
                <w:iCs/>
                <w:sz w:val="16"/>
                <w:lang w:bidi="sr-Cyrl-CS"/>
              </w:rPr>
              <w:t>,</w:t>
            </w:r>
          </w:p>
          <w:p w14:paraId="58F6DBD3" w14:textId="4D1D54C2" w:rsidR="00CA5936" w:rsidRPr="00FF386D" w:rsidRDefault="00176BBD" w:rsidP="00CA5936">
            <w:pPr>
              <w:widowControl w:val="0"/>
              <w:autoSpaceDE w:val="0"/>
              <w:autoSpaceDN w:val="0"/>
              <w:spacing w:before="60" w:after="0" w:line="240" w:lineRule="auto"/>
              <w:ind w:left="172" w:right="132"/>
              <w:jc w:val="center"/>
              <w:rPr>
                <w:rFonts w:ascii="Calibri Light" w:eastAsia="Arial" w:hAnsi="Calibri Light" w:cs="Calibri Light"/>
                <w:sz w:val="16"/>
              </w:rPr>
            </w:pPr>
            <w:r w:rsidRPr="00FF386D">
              <w:rPr>
                <w:rFonts w:ascii="Calibri Light" w:eastAsia="Arial" w:hAnsi="Calibri Light" w:cs="Calibri Light"/>
                <w:sz w:val="16"/>
              </w:rPr>
              <w:t>ЕУ</w:t>
            </w:r>
          </w:p>
        </w:tc>
        <w:tc>
          <w:tcPr>
            <w:tcW w:w="1290" w:type="dxa"/>
            <w:shd w:val="clear" w:color="auto" w:fill="BFBFBF"/>
            <w:vAlign w:val="center"/>
          </w:tcPr>
          <w:p w14:paraId="115C18A7"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Врста помоћи</w:t>
            </w:r>
          </w:p>
        </w:tc>
        <w:tc>
          <w:tcPr>
            <w:tcW w:w="6983" w:type="dxa"/>
            <w:vAlign w:val="center"/>
          </w:tcPr>
          <w:p w14:paraId="152A80D5" w14:textId="77777777" w:rsidR="00CA5936" w:rsidRPr="00FF386D" w:rsidRDefault="00CA5936" w:rsidP="00CA5936">
            <w:pPr>
              <w:widowControl w:val="0"/>
              <w:autoSpaceDE w:val="0"/>
              <w:autoSpaceDN w:val="0"/>
              <w:spacing w:before="56" w:after="0" w:line="240" w:lineRule="auto"/>
              <w:ind w:left="128" w:right="287"/>
              <w:rPr>
                <w:rFonts w:ascii="Calibri Light" w:eastAsia="Arial" w:hAnsi="Calibri Light" w:cs="Calibri Light"/>
                <w:sz w:val="16"/>
              </w:rPr>
            </w:pPr>
            <w:r w:rsidRPr="00FF386D">
              <w:rPr>
                <w:rFonts w:ascii="Calibri" w:eastAsia="Calibri" w:hAnsi="Calibri" w:cs="Times New Roman"/>
                <w:sz w:val="16"/>
                <w:lang w:bidi="sr-Cyrl-CS"/>
              </w:rPr>
              <w:t>ПАКЕТ 2:</w:t>
            </w:r>
          </w:p>
          <w:p w14:paraId="1A9D2DC5" w14:textId="4DE2A3ED" w:rsidR="00CA5936" w:rsidRPr="00FF386D" w:rsidRDefault="00CA5936" w:rsidP="00CA5936">
            <w:pPr>
              <w:widowControl w:val="0"/>
              <w:autoSpaceDE w:val="0"/>
              <w:autoSpaceDN w:val="0"/>
              <w:spacing w:before="56" w:after="0" w:line="240" w:lineRule="auto"/>
              <w:ind w:left="128" w:right="287"/>
              <w:rPr>
                <w:rFonts w:ascii="Calibri Light" w:eastAsia="Arial" w:hAnsi="Calibri Light" w:cs="Calibri Light"/>
                <w:sz w:val="16"/>
              </w:rPr>
            </w:pPr>
            <w:r w:rsidRPr="00FF386D">
              <w:rPr>
                <w:rFonts w:ascii="Calibri" w:eastAsia="Calibri" w:hAnsi="Calibri" w:cs="Times New Roman"/>
                <w:i/>
                <w:sz w:val="16"/>
                <w:lang w:bidi="sr-Cyrl-CS"/>
              </w:rPr>
              <w:t>IFI</w:t>
            </w:r>
            <w:r w:rsidRPr="00FF386D">
              <w:rPr>
                <w:rFonts w:ascii="Calibri" w:eastAsia="Calibri" w:hAnsi="Calibri" w:cs="Times New Roman"/>
                <w:sz w:val="16"/>
                <w:lang w:bidi="sr-Cyrl-CS"/>
              </w:rPr>
              <w:t xml:space="preserve">/Донаторски програми </w:t>
            </w:r>
            <w:r w:rsidR="009B6021" w:rsidRPr="00FF386D">
              <w:rPr>
                <w:rFonts w:ascii="Calibri" w:eastAsia="Calibri" w:hAnsi="Calibri" w:cs="Times New Roman"/>
                <w:sz w:val="16"/>
                <w:lang w:bidi="sr-Cyrl-CS"/>
              </w:rPr>
              <w:t xml:space="preserve">у региону </w:t>
            </w:r>
            <w:r w:rsidRPr="00FF386D">
              <w:rPr>
                <w:rFonts w:ascii="Calibri" w:eastAsia="Calibri" w:hAnsi="Calibri" w:cs="Times New Roman"/>
                <w:sz w:val="16"/>
                <w:lang w:bidi="sr-Cyrl-CS"/>
              </w:rPr>
              <w:t>Западно</w:t>
            </w:r>
            <w:r w:rsidR="003A23A0">
              <w:rPr>
                <w:rFonts w:ascii="Calibri" w:eastAsia="Calibri" w:hAnsi="Calibri" w:cs="Times New Roman"/>
                <w:sz w:val="16"/>
                <w:lang w:bidi="sr-Cyrl-CS"/>
              </w:rPr>
              <w:t>г</w:t>
            </w:r>
            <w:r w:rsidRPr="00FF386D">
              <w:rPr>
                <w:rFonts w:ascii="Calibri" w:eastAsia="Calibri" w:hAnsi="Calibri" w:cs="Times New Roman"/>
                <w:sz w:val="16"/>
                <w:lang w:bidi="sr-Cyrl-CS"/>
              </w:rPr>
              <w:t xml:space="preserve"> Балкан</w:t>
            </w:r>
            <w:r w:rsidR="003A23A0">
              <w:rPr>
                <w:rFonts w:ascii="Calibri" w:eastAsia="Calibri" w:hAnsi="Calibri" w:cs="Times New Roman"/>
                <w:sz w:val="16"/>
                <w:lang w:bidi="sr-Cyrl-CS"/>
              </w:rPr>
              <w:t>а</w:t>
            </w:r>
            <w:r w:rsidRPr="00FF386D">
              <w:rPr>
                <w:rFonts w:ascii="Calibri" w:eastAsia="Calibri" w:hAnsi="Calibri" w:cs="Times New Roman"/>
                <w:sz w:val="16"/>
                <w:lang w:bidi="sr-Cyrl-CS"/>
              </w:rPr>
              <w:t xml:space="preserve"> (</w:t>
            </w:r>
            <w:r w:rsidRPr="00FF386D">
              <w:rPr>
                <w:rFonts w:ascii="Calibri" w:eastAsia="Calibri" w:hAnsi="Calibri" w:cs="Times New Roman"/>
                <w:i/>
                <w:sz w:val="16"/>
                <w:lang w:bidi="sr-Cyrl-CS"/>
              </w:rPr>
              <w:t>ECS</w:t>
            </w:r>
            <w:r w:rsidRPr="00FF386D">
              <w:rPr>
                <w:rFonts w:ascii="Calibri" w:eastAsia="Calibri" w:hAnsi="Calibri" w:cs="Times New Roman"/>
                <w:sz w:val="16"/>
                <w:lang w:bidi="sr-Cyrl-CS"/>
              </w:rPr>
              <w:t xml:space="preserve"> Платформа за координацију донатора)</w:t>
            </w:r>
          </w:p>
          <w:p w14:paraId="1AF18F7F" w14:textId="1E68983D" w:rsidR="00CA5936" w:rsidRPr="00FF386D" w:rsidRDefault="00CA5936" w:rsidP="00CA5936">
            <w:pPr>
              <w:widowControl w:val="0"/>
              <w:autoSpaceDE w:val="0"/>
              <w:autoSpaceDN w:val="0"/>
              <w:spacing w:before="56" w:after="0" w:line="240" w:lineRule="auto"/>
              <w:ind w:left="128" w:right="287"/>
              <w:rPr>
                <w:rFonts w:ascii="Calibri Light" w:eastAsia="Arial" w:hAnsi="Calibri Light" w:cs="Calibri Light"/>
                <w:sz w:val="16"/>
              </w:rPr>
            </w:pPr>
            <w:r w:rsidRPr="00FF386D">
              <w:rPr>
                <w:rFonts w:ascii="Calibri" w:eastAsia="Calibri" w:hAnsi="Calibri" w:cs="Times New Roman"/>
                <w:sz w:val="16"/>
                <w:lang w:bidi="sr-Cyrl-CS"/>
              </w:rPr>
              <w:t xml:space="preserve">То је регионални програм који комбинује </w:t>
            </w:r>
            <w:r w:rsidRPr="00FF386D">
              <w:rPr>
                <w:rFonts w:ascii="Calibri" w:eastAsia="Calibri" w:hAnsi="Calibri" w:cs="Times New Roman"/>
                <w:i/>
                <w:iCs/>
                <w:sz w:val="16"/>
                <w:lang w:bidi="sr-Cyrl-CS"/>
              </w:rPr>
              <w:t>IFI</w:t>
            </w:r>
            <w:r w:rsidRPr="00FF386D">
              <w:rPr>
                <w:rFonts w:ascii="Calibri" w:eastAsia="Calibri" w:hAnsi="Calibri" w:cs="Times New Roman"/>
                <w:sz w:val="16"/>
                <w:lang w:bidi="sr-Cyrl-CS"/>
              </w:rPr>
              <w:t xml:space="preserve"> финансирање од </w:t>
            </w:r>
            <w:r w:rsidRPr="00FF386D">
              <w:rPr>
                <w:rFonts w:ascii="Calibri" w:eastAsia="Calibri" w:hAnsi="Calibri" w:cs="Times New Roman"/>
                <w:i/>
                <w:iCs/>
                <w:sz w:val="16"/>
                <w:lang w:bidi="sr-Cyrl-CS"/>
              </w:rPr>
              <w:t>EBRD</w:t>
            </w:r>
            <w:r w:rsidRPr="00FF386D">
              <w:rPr>
                <w:rFonts w:ascii="Calibri" w:eastAsia="Calibri" w:hAnsi="Calibri" w:cs="Times New Roman"/>
                <w:sz w:val="16"/>
                <w:lang w:bidi="sr-Cyrl-CS"/>
              </w:rPr>
              <w:t xml:space="preserve"> и </w:t>
            </w:r>
            <w:r w:rsidRPr="00FF386D">
              <w:rPr>
                <w:rFonts w:ascii="Calibri" w:eastAsia="Calibri" w:hAnsi="Calibri" w:cs="Times New Roman"/>
                <w:i/>
                <w:iCs/>
                <w:sz w:val="16"/>
                <w:lang w:bidi="sr-Cyrl-CS"/>
              </w:rPr>
              <w:t>KfW</w:t>
            </w:r>
            <w:r w:rsidRPr="00FF386D">
              <w:rPr>
                <w:rFonts w:ascii="Calibri" w:eastAsia="Calibri" w:hAnsi="Calibri" w:cs="Times New Roman"/>
                <w:sz w:val="16"/>
                <w:lang w:bidi="sr-Cyrl-CS"/>
              </w:rPr>
              <w:t xml:space="preserve"> са финансирањем из грантова ЕУ за подршку интегрисаном пакету циљаног политичког дијалога (транспозиција ЕУ директиве о енергетским </w:t>
            </w:r>
            <w:r w:rsidR="00176BBD" w:rsidRPr="00FF386D">
              <w:rPr>
                <w:rFonts w:ascii="Calibri" w:eastAsia="Calibri" w:hAnsi="Calibri" w:cs="Times New Roman"/>
                <w:sz w:val="16"/>
                <w:lang w:bidi="sr-Cyrl-CS"/>
              </w:rPr>
              <w:t>својствима</w:t>
            </w:r>
            <w:r w:rsidRPr="00FF386D">
              <w:rPr>
                <w:rFonts w:ascii="Calibri" w:eastAsia="Calibri" w:hAnsi="Calibri" w:cs="Times New Roman"/>
                <w:sz w:val="16"/>
                <w:lang w:bidi="sr-Cyrl-CS"/>
              </w:rPr>
              <w:t xml:space="preserve"> зграда), техничке помоћи и финансирања са циљем да се подстакне одрживи раст</w:t>
            </w:r>
          </w:p>
        </w:tc>
      </w:tr>
      <w:tr w:rsidR="00CA5936" w:rsidRPr="00FF386D" w14:paraId="27255A5F" w14:textId="77777777" w:rsidTr="00CA5936">
        <w:trPr>
          <w:trHeight w:val="353"/>
        </w:trPr>
        <w:tc>
          <w:tcPr>
            <w:tcW w:w="0" w:type="auto"/>
            <w:vMerge/>
            <w:vAlign w:val="center"/>
          </w:tcPr>
          <w:p w14:paraId="5E2D463A"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sz w:val="16"/>
              </w:rPr>
            </w:pPr>
          </w:p>
        </w:tc>
        <w:tc>
          <w:tcPr>
            <w:tcW w:w="1290" w:type="dxa"/>
            <w:shd w:val="clear" w:color="auto" w:fill="BFBFBF"/>
            <w:vAlign w:val="center"/>
          </w:tcPr>
          <w:p w14:paraId="09EC06ED"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Износ</w:t>
            </w:r>
          </w:p>
        </w:tc>
        <w:tc>
          <w:tcPr>
            <w:tcW w:w="6983" w:type="dxa"/>
            <w:vAlign w:val="center"/>
          </w:tcPr>
          <w:p w14:paraId="3ED25C22" w14:textId="329953FF" w:rsidR="00CA5936" w:rsidRPr="00FF386D" w:rsidRDefault="00CA5936" w:rsidP="00CA5936">
            <w:pPr>
              <w:widowControl w:val="0"/>
              <w:autoSpaceDE w:val="0"/>
              <w:autoSpaceDN w:val="0"/>
              <w:spacing w:before="56" w:after="0" w:line="240" w:lineRule="auto"/>
              <w:ind w:left="158" w:right="243"/>
              <w:rPr>
                <w:rFonts w:ascii="Calibri Light" w:eastAsia="Arial" w:hAnsi="Calibri Light" w:cs="Calibri Light"/>
                <w:sz w:val="16"/>
              </w:rPr>
            </w:pPr>
            <w:r w:rsidRPr="00FF386D">
              <w:rPr>
                <w:rFonts w:ascii="Calibri" w:eastAsia="Calibri" w:hAnsi="Calibri" w:cs="Times New Roman"/>
                <w:sz w:val="16"/>
                <w:lang w:bidi="sr-Cyrl-CS"/>
              </w:rPr>
              <w:t xml:space="preserve">45 милиона евра </w:t>
            </w:r>
            <w:r w:rsidR="00176BBD" w:rsidRPr="00FF386D">
              <w:rPr>
                <w:rFonts w:ascii="Calibri" w:eastAsia="Calibri" w:hAnsi="Calibri" w:cs="Times New Roman"/>
                <w:i/>
                <w:iCs/>
                <w:sz w:val="16"/>
                <w:lang w:bidi="sr-Cyrl-CS"/>
              </w:rPr>
              <w:t>EBRD</w:t>
            </w:r>
            <w:r w:rsidR="00176BBD" w:rsidRPr="00FF386D">
              <w:rPr>
                <w:rFonts w:ascii="Calibri" w:eastAsia="Calibri" w:hAnsi="Calibri" w:cs="Times New Roman"/>
                <w:sz w:val="16"/>
                <w:lang w:bidi="sr-Cyrl-CS"/>
              </w:rPr>
              <w:t xml:space="preserve"> </w:t>
            </w:r>
            <w:r w:rsidRPr="00FF386D">
              <w:rPr>
                <w:rFonts w:ascii="Calibri" w:eastAsia="Calibri" w:hAnsi="Calibri" w:cs="Times New Roman"/>
                <w:sz w:val="16"/>
                <w:lang w:bidi="sr-Cyrl-CS"/>
              </w:rPr>
              <w:t xml:space="preserve">са 6,7 милиона евра суфинансирања грантова ЕУ; до 85 милиона евра </w:t>
            </w:r>
            <w:r w:rsidRPr="00FF386D">
              <w:rPr>
                <w:rFonts w:ascii="Calibri" w:eastAsia="Calibri" w:hAnsi="Calibri" w:cs="Times New Roman"/>
                <w:i/>
                <w:iCs/>
                <w:sz w:val="16"/>
                <w:lang w:bidi="sr-Cyrl-CS"/>
              </w:rPr>
              <w:t>KfW</w:t>
            </w:r>
            <w:r w:rsidRPr="00FF386D">
              <w:rPr>
                <w:rFonts w:ascii="Calibri" w:eastAsia="Calibri" w:hAnsi="Calibri" w:cs="Times New Roman"/>
                <w:sz w:val="16"/>
                <w:lang w:bidi="sr-Cyrl-CS"/>
              </w:rPr>
              <w:t xml:space="preserve"> финансирања и 15,6 милиона евра грантова ЕУ</w:t>
            </w:r>
          </w:p>
        </w:tc>
      </w:tr>
      <w:tr w:rsidR="00CA5936" w:rsidRPr="00FF386D" w14:paraId="435103F5" w14:textId="77777777" w:rsidTr="00CA5936">
        <w:trPr>
          <w:trHeight w:val="353"/>
        </w:trPr>
        <w:tc>
          <w:tcPr>
            <w:tcW w:w="0" w:type="auto"/>
            <w:vMerge/>
            <w:vAlign w:val="center"/>
          </w:tcPr>
          <w:p w14:paraId="5F08B611"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sz w:val="16"/>
              </w:rPr>
            </w:pPr>
          </w:p>
        </w:tc>
        <w:tc>
          <w:tcPr>
            <w:tcW w:w="1290" w:type="dxa"/>
            <w:shd w:val="clear" w:color="auto" w:fill="BFBFBF"/>
            <w:vAlign w:val="center"/>
          </w:tcPr>
          <w:p w14:paraId="6C3D95EC"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Сврха</w:t>
            </w:r>
          </w:p>
        </w:tc>
        <w:tc>
          <w:tcPr>
            <w:tcW w:w="6983" w:type="dxa"/>
            <w:vAlign w:val="center"/>
          </w:tcPr>
          <w:p w14:paraId="11AD6038" w14:textId="59ACCCC6"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b/>
                <w:sz w:val="16"/>
                <w:lang w:bidi="sr-Cyrl-CS"/>
              </w:rPr>
              <w:t xml:space="preserve">Оквир јавног финансирања </w:t>
            </w:r>
            <w:r w:rsidRPr="00FF386D">
              <w:rPr>
                <w:rFonts w:ascii="Calibri" w:eastAsia="Calibri" w:hAnsi="Calibri" w:cs="Times New Roman"/>
                <w:sz w:val="16"/>
                <w:lang w:bidi="sr-Cyrl-CS"/>
              </w:rPr>
              <w:t xml:space="preserve">финансира ЕЕ </w:t>
            </w:r>
            <w:r w:rsidR="00176BBD" w:rsidRPr="00FF386D">
              <w:rPr>
                <w:rFonts w:ascii="Calibri" w:eastAsia="Calibri" w:hAnsi="Calibri" w:cs="Times New Roman"/>
                <w:sz w:val="16"/>
                <w:lang w:bidi="sr-Cyrl-CS"/>
              </w:rPr>
              <w:t>обнов</w:t>
            </w:r>
            <w:r w:rsidRPr="00FF386D">
              <w:rPr>
                <w:rFonts w:ascii="Calibri" w:eastAsia="Calibri" w:hAnsi="Calibri" w:cs="Times New Roman"/>
                <w:sz w:val="16"/>
                <w:lang w:bidi="sr-Cyrl-CS"/>
              </w:rPr>
              <w:t xml:space="preserve">е јавних зграда у власништву општина или влада (школе, болнице, канцеларије централне и локалне администрације). Овај оквир обухвата: до 45 милиона евра </w:t>
            </w:r>
            <w:r w:rsidRPr="00FF386D">
              <w:rPr>
                <w:rFonts w:ascii="Calibri" w:eastAsia="Calibri" w:hAnsi="Calibri" w:cs="Times New Roman"/>
                <w:i/>
                <w:sz w:val="16"/>
                <w:lang w:bidi="sr-Cyrl-CS"/>
              </w:rPr>
              <w:t>EBRD</w:t>
            </w:r>
            <w:r w:rsidRPr="00FF386D">
              <w:rPr>
                <w:rFonts w:ascii="Calibri" w:eastAsia="Calibri" w:hAnsi="Calibri" w:cs="Times New Roman"/>
                <w:sz w:val="16"/>
                <w:lang w:bidi="sr-Cyrl-CS"/>
              </w:rPr>
              <w:t xml:space="preserve"> финансирања</w:t>
            </w:r>
          </w:p>
        </w:tc>
      </w:tr>
      <w:tr w:rsidR="00CA5936" w:rsidRPr="00FF386D" w14:paraId="6E2C68EB" w14:textId="77777777" w:rsidTr="00CA5936">
        <w:trPr>
          <w:trHeight w:val="353"/>
        </w:trPr>
        <w:tc>
          <w:tcPr>
            <w:tcW w:w="0" w:type="auto"/>
            <w:vMerge/>
            <w:vAlign w:val="center"/>
          </w:tcPr>
          <w:p w14:paraId="1611B003"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sz w:val="16"/>
              </w:rPr>
            </w:pPr>
          </w:p>
        </w:tc>
        <w:tc>
          <w:tcPr>
            <w:tcW w:w="1290" w:type="dxa"/>
            <w:shd w:val="clear" w:color="auto" w:fill="BFBFBF"/>
            <w:vAlign w:val="center"/>
          </w:tcPr>
          <w:p w14:paraId="3F9A2D0B"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Трајање</w:t>
            </w:r>
          </w:p>
        </w:tc>
        <w:tc>
          <w:tcPr>
            <w:tcW w:w="6983" w:type="dxa"/>
            <w:vAlign w:val="center"/>
          </w:tcPr>
          <w:p w14:paraId="18BEE38D"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није доступно</w:t>
            </w:r>
          </w:p>
        </w:tc>
      </w:tr>
      <w:tr w:rsidR="00CA5936" w:rsidRPr="00FF386D" w14:paraId="68B61142" w14:textId="77777777" w:rsidTr="00CA5936">
        <w:trPr>
          <w:trHeight w:val="353"/>
        </w:trPr>
        <w:tc>
          <w:tcPr>
            <w:tcW w:w="0" w:type="auto"/>
            <w:vMerge w:val="restart"/>
            <w:vAlign w:val="center"/>
          </w:tcPr>
          <w:p w14:paraId="38C1F143"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r w:rsidRPr="00FF386D">
              <w:rPr>
                <w:rFonts w:ascii="Calibri" w:eastAsia="Calibri" w:hAnsi="Calibri" w:cs="Times New Roman"/>
                <w:i/>
                <w:iCs/>
                <w:sz w:val="16"/>
                <w:lang w:bidi="sr-Cyrl-CS"/>
              </w:rPr>
              <w:t>EIB</w:t>
            </w:r>
          </w:p>
        </w:tc>
        <w:tc>
          <w:tcPr>
            <w:tcW w:w="1290" w:type="dxa"/>
            <w:shd w:val="clear" w:color="auto" w:fill="BFBFBF"/>
            <w:vAlign w:val="center"/>
          </w:tcPr>
          <w:p w14:paraId="035174C8"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Врста помоћи</w:t>
            </w:r>
          </w:p>
        </w:tc>
        <w:tc>
          <w:tcPr>
            <w:tcW w:w="6983" w:type="dxa"/>
            <w:vAlign w:val="center"/>
          </w:tcPr>
          <w:p w14:paraId="66F9BD2C" w14:textId="77777777" w:rsidR="00CA5936" w:rsidRPr="00FF386D" w:rsidRDefault="00CA5936" w:rsidP="00CA5936">
            <w:pPr>
              <w:widowControl w:val="0"/>
              <w:autoSpaceDE w:val="0"/>
              <w:autoSpaceDN w:val="0"/>
              <w:spacing w:before="56" w:after="0" w:line="240" w:lineRule="auto"/>
              <w:ind w:left="128" w:right="287"/>
              <w:rPr>
                <w:rFonts w:ascii="Calibri Light" w:eastAsia="Arial" w:hAnsi="Calibri Light" w:cs="Calibri Light"/>
                <w:sz w:val="16"/>
              </w:rPr>
            </w:pPr>
            <w:r w:rsidRPr="00FF386D">
              <w:rPr>
                <w:rFonts w:ascii="Calibri" w:eastAsia="Calibri" w:hAnsi="Calibri" w:cs="Times New Roman"/>
                <w:sz w:val="16"/>
                <w:lang w:bidi="sr-Cyrl-CS"/>
              </w:rPr>
              <w:t>ПАКЕТ 2:</w:t>
            </w:r>
          </w:p>
          <w:p w14:paraId="15DB3AC0" w14:textId="0AB7A619" w:rsidR="00CA5936" w:rsidRPr="00FF386D" w:rsidRDefault="00CA5936" w:rsidP="00CA5936">
            <w:pPr>
              <w:widowControl w:val="0"/>
              <w:autoSpaceDE w:val="0"/>
              <w:autoSpaceDN w:val="0"/>
              <w:spacing w:before="56" w:after="0" w:line="240" w:lineRule="auto"/>
              <w:ind w:left="128" w:right="287"/>
              <w:rPr>
                <w:rFonts w:ascii="Calibri Light" w:eastAsia="Arial" w:hAnsi="Calibri Light" w:cs="Calibri Light"/>
                <w:sz w:val="16"/>
              </w:rPr>
            </w:pPr>
            <w:r w:rsidRPr="00FF386D">
              <w:rPr>
                <w:rFonts w:ascii="Calibri" w:eastAsia="Calibri" w:hAnsi="Calibri" w:cs="Times New Roman"/>
                <w:i/>
                <w:sz w:val="16"/>
                <w:lang w:bidi="sr-Cyrl-CS"/>
              </w:rPr>
              <w:t>IFI</w:t>
            </w:r>
            <w:r w:rsidRPr="00FF386D">
              <w:rPr>
                <w:rFonts w:ascii="Calibri" w:eastAsia="Calibri" w:hAnsi="Calibri" w:cs="Times New Roman"/>
                <w:sz w:val="16"/>
                <w:lang w:bidi="sr-Cyrl-CS"/>
              </w:rPr>
              <w:t xml:space="preserve">/Донаторски програми </w:t>
            </w:r>
            <w:r w:rsidR="009B6021" w:rsidRPr="00FF386D">
              <w:rPr>
                <w:rFonts w:ascii="Calibri" w:eastAsia="Calibri" w:hAnsi="Calibri" w:cs="Times New Roman"/>
                <w:sz w:val="16"/>
                <w:lang w:bidi="sr-Cyrl-CS"/>
              </w:rPr>
              <w:t>у региону</w:t>
            </w:r>
            <w:r w:rsidRPr="00FF386D">
              <w:rPr>
                <w:rFonts w:ascii="Calibri" w:eastAsia="Calibri" w:hAnsi="Calibri" w:cs="Times New Roman"/>
                <w:sz w:val="16"/>
                <w:lang w:bidi="sr-Cyrl-CS"/>
              </w:rPr>
              <w:t xml:space="preserve"> Западном Балкану (</w:t>
            </w:r>
            <w:r w:rsidRPr="00FF386D">
              <w:rPr>
                <w:rFonts w:ascii="Calibri" w:eastAsia="Calibri" w:hAnsi="Calibri" w:cs="Times New Roman"/>
                <w:i/>
                <w:sz w:val="16"/>
                <w:lang w:bidi="sr-Cyrl-CS"/>
              </w:rPr>
              <w:t>ECS</w:t>
            </w:r>
            <w:r w:rsidRPr="00FF386D">
              <w:rPr>
                <w:rFonts w:ascii="Calibri" w:eastAsia="Calibri" w:hAnsi="Calibri" w:cs="Times New Roman"/>
                <w:sz w:val="16"/>
                <w:lang w:bidi="sr-Cyrl-CS"/>
              </w:rPr>
              <w:t xml:space="preserve"> Платформа за координацију донатора)</w:t>
            </w:r>
          </w:p>
          <w:p w14:paraId="1669823D" w14:textId="0394DAB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 xml:space="preserve">То је регионални програм који комбинује </w:t>
            </w:r>
            <w:r w:rsidRPr="00FF386D">
              <w:rPr>
                <w:rFonts w:ascii="Calibri" w:eastAsia="Calibri" w:hAnsi="Calibri" w:cs="Times New Roman"/>
                <w:i/>
                <w:iCs/>
                <w:sz w:val="16"/>
                <w:lang w:bidi="sr-Cyrl-CS"/>
              </w:rPr>
              <w:t>IFI</w:t>
            </w:r>
            <w:r w:rsidRPr="00FF386D">
              <w:rPr>
                <w:rFonts w:ascii="Calibri" w:eastAsia="Calibri" w:hAnsi="Calibri" w:cs="Times New Roman"/>
                <w:sz w:val="16"/>
                <w:lang w:bidi="sr-Cyrl-CS"/>
              </w:rPr>
              <w:t xml:space="preserve"> финансирање од </w:t>
            </w:r>
            <w:r w:rsidRPr="00FF386D">
              <w:rPr>
                <w:rFonts w:ascii="Calibri" w:eastAsia="Calibri" w:hAnsi="Calibri" w:cs="Times New Roman"/>
                <w:i/>
                <w:iCs/>
                <w:sz w:val="16"/>
                <w:lang w:bidi="sr-Cyrl-CS"/>
              </w:rPr>
              <w:t>EBRD</w:t>
            </w:r>
            <w:r w:rsidRPr="00FF386D">
              <w:rPr>
                <w:rFonts w:ascii="Calibri" w:eastAsia="Calibri" w:hAnsi="Calibri" w:cs="Times New Roman"/>
                <w:sz w:val="16"/>
                <w:lang w:bidi="sr-Cyrl-CS"/>
              </w:rPr>
              <w:t xml:space="preserve"> и </w:t>
            </w:r>
            <w:r w:rsidRPr="00FF386D">
              <w:rPr>
                <w:rFonts w:ascii="Calibri" w:eastAsia="Calibri" w:hAnsi="Calibri" w:cs="Times New Roman"/>
                <w:i/>
                <w:iCs/>
                <w:sz w:val="16"/>
                <w:lang w:bidi="sr-Cyrl-CS"/>
              </w:rPr>
              <w:t>KfW</w:t>
            </w:r>
            <w:r w:rsidRPr="00FF386D">
              <w:rPr>
                <w:rFonts w:ascii="Calibri" w:eastAsia="Calibri" w:hAnsi="Calibri" w:cs="Times New Roman"/>
                <w:sz w:val="16"/>
                <w:lang w:bidi="sr-Cyrl-CS"/>
              </w:rPr>
              <w:t xml:space="preserve"> са финансирањем из грантова ЕУ за подршку интегрисаном пакету циљаног политичког дијалога (транспозиција ЕУ директиве о енергетским </w:t>
            </w:r>
            <w:r w:rsidR="00176BBD" w:rsidRPr="00FF386D">
              <w:rPr>
                <w:rFonts w:ascii="Calibri" w:eastAsia="Calibri" w:hAnsi="Calibri" w:cs="Times New Roman"/>
                <w:sz w:val="16"/>
                <w:lang w:bidi="sr-Cyrl-CS"/>
              </w:rPr>
              <w:t>својствима</w:t>
            </w:r>
            <w:r w:rsidRPr="00FF386D">
              <w:rPr>
                <w:rFonts w:ascii="Calibri" w:eastAsia="Calibri" w:hAnsi="Calibri" w:cs="Times New Roman"/>
                <w:sz w:val="16"/>
                <w:lang w:bidi="sr-Cyrl-CS"/>
              </w:rPr>
              <w:t xml:space="preserve"> зграда), техничке помоћи и финансирања са циљем да се подстакне одрживи раст</w:t>
            </w:r>
          </w:p>
        </w:tc>
      </w:tr>
      <w:tr w:rsidR="00CA5936" w:rsidRPr="00FF386D" w14:paraId="0ACD14EE" w14:textId="77777777" w:rsidTr="00CA5936">
        <w:trPr>
          <w:trHeight w:val="353"/>
        </w:trPr>
        <w:tc>
          <w:tcPr>
            <w:tcW w:w="0" w:type="auto"/>
            <w:vMerge/>
            <w:vAlign w:val="center"/>
          </w:tcPr>
          <w:p w14:paraId="2BC10C89"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p>
        </w:tc>
        <w:tc>
          <w:tcPr>
            <w:tcW w:w="1290" w:type="dxa"/>
            <w:shd w:val="clear" w:color="auto" w:fill="BFBFBF"/>
            <w:vAlign w:val="center"/>
          </w:tcPr>
          <w:p w14:paraId="280AAB67"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Износ</w:t>
            </w:r>
          </w:p>
        </w:tc>
        <w:tc>
          <w:tcPr>
            <w:tcW w:w="6983" w:type="dxa"/>
          </w:tcPr>
          <w:p w14:paraId="3C5E5AC5" w14:textId="77777777" w:rsidR="00CA5936" w:rsidRPr="00FF386D" w:rsidRDefault="00CA5936" w:rsidP="00CA5936">
            <w:pPr>
              <w:widowControl w:val="0"/>
              <w:autoSpaceDE w:val="0"/>
              <w:autoSpaceDN w:val="0"/>
              <w:spacing w:before="56" w:after="0" w:line="240" w:lineRule="auto"/>
              <w:ind w:left="158" w:right="243"/>
              <w:rPr>
                <w:rFonts w:ascii="Calibri Light" w:eastAsia="Arial" w:hAnsi="Calibri Light" w:cs="Calibri Light"/>
                <w:bCs/>
                <w:sz w:val="16"/>
              </w:rPr>
            </w:pPr>
            <w:r w:rsidRPr="00FF386D">
              <w:rPr>
                <w:rFonts w:ascii="Calibri" w:eastAsia="Calibri" w:hAnsi="Calibri" w:cs="Times New Roman"/>
                <w:sz w:val="16"/>
                <w:lang w:bidi="sr-Cyrl-CS"/>
              </w:rPr>
              <w:t xml:space="preserve">135 милиона евра кредитне линије </w:t>
            </w:r>
            <w:r w:rsidRPr="00FF386D">
              <w:rPr>
                <w:rFonts w:ascii="Calibri" w:eastAsia="Calibri" w:hAnsi="Calibri" w:cs="Times New Roman"/>
                <w:i/>
                <w:sz w:val="16"/>
                <w:lang w:bidi="sr-Cyrl-CS"/>
              </w:rPr>
              <w:t xml:space="preserve">EBRD </w:t>
            </w:r>
            <w:r w:rsidRPr="00FF386D">
              <w:rPr>
                <w:rFonts w:ascii="Calibri" w:eastAsia="Calibri" w:hAnsi="Calibri" w:cs="Times New Roman"/>
                <w:sz w:val="16"/>
                <w:lang w:bidi="sr-Cyrl-CS"/>
              </w:rPr>
              <w:t>подржане техничком помоћи и подстицајима и обезбеђене преко локалних финансијских институција, 35,1 милион евра грантова од донатора</w:t>
            </w:r>
          </w:p>
        </w:tc>
      </w:tr>
      <w:tr w:rsidR="00CA5936" w:rsidRPr="00FF386D" w14:paraId="4C47E705" w14:textId="77777777" w:rsidTr="00CA5936">
        <w:trPr>
          <w:trHeight w:val="353"/>
        </w:trPr>
        <w:tc>
          <w:tcPr>
            <w:tcW w:w="0" w:type="auto"/>
            <w:vMerge/>
            <w:vAlign w:val="center"/>
          </w:tcPr>
          <w:p w14:paraId="78A8AE5F"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p>
        </w:tc>
        <w:tc>
          <w:tcPr>
            <w:tcW w:w="1290" w:type="dxa"/>
            <w:shd w:val="clear" w:color="auto" w:fill="BFBFBF"/>
            <w:vAlign w:val="center"/>
          </w:tcPr>
          <w:p w14:paraId="7A367063"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Сврха</w:t>
            </w:r>
          </w:p>
        </w:tc>
        <w:tc>
          <w:tcPr>
            <w:tcW w:w="6983" w:type="dxa"/>
            <w:vAlign w:val="center"/>
          </w:tcPr>
          <w:p w14:paraId="15828C2A" w14:textId="7AB967FB"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b/>
                <w:sz w:val="16"/>
                <w:lang w:bidi="sr-Cyrl-CS"/>
              </w:rPr>
              <w:t xml:space="preserve">Инструмент за финансирање зелене економије Западног Балкана </w:t>
            </w:r>
            <w:r w:rsidRPr="00FF386D">
              <w:rPr>
                <w:rFonts w:ascii="Calibri" w:eastAsia="Calibri" w:hAnsi="Calibri" w:cs="Times New Roman"/>
                <w:b/>
                <w:i/>
                <w:sz w:val="16"/>
                <w:lang w:bidi="sr-Cyrl-CS"/>
              </w:rPr>
              <w:t>(WBGEFF I и II)</w:t>
            </w:r>
            <w:r w:rsidR="00176BBD" w:rsidRPr="00FF386D">
              <w:rPr>
                <w:rFonts w:ascii="Calibri" w:eastAsia="Calibri" w:hAnsi="Calibri" w:cs="Times New Roman"/>
                <w:b/>
                <w:i/>
                <w:sz w:val="16"/>
                <w:lang w:bidi="sr-Cyrl-CS"/>
              </w:rPr>
              <w:t xml:space="preserve"> </w:t>
            </w:r>
            <w:r w:rsidRPr="00FF386D">
              <w:rPr>
                <w:rFonts w:ascii="Calibri" w:eastAsia="Calibri" w:hAnsi="Calibri" w:cs="Times New Roman"/>
                <w:sz w:val="16"/>
                <w:lang w:bidi="sr-Cyrl-CS"/>
              </w:rPr>
              <w:t xml:space="preserve">промовише ЕЕ </w:t>
            </w:r>
            <w:r w:rsidR="00176BBD" w:rsidRPr="00FF386D">
              <w:rPr>
                <w:rFonts w:ascii="Calibri" w:eastAsia="Calibri" w:hAnsi="Calibri" w:cs="Times New Roman"/>
                <w:sz w:val="16"/>
                <w:lang w:bidi="sr-Cyrl-CS"/>
              </w:rPr>
              <w:t>обнову</w:t>
            </w:r>
            <w:r w:rsidRPr="00FF386D">
              <w:rPr>
                <w:rFonts w:ascii="Calibri" w:eastAsia="Calibri" w:hAnsi="Calibri" w:cs="Times New Roman"/>
                <w:sz w:val="16"/>
                <w:lang w:bidi="sr-Cyrl-CS"/>
              </w:rPr>
              <w:t xml:space="preserve"> у стамбеном сектору и изградњу нових зграда високих перформанси</w:t>
            </w:r>
          </w:p>
        </w:tc>
      </w:tr>
      <w:tr w:rsidR="00CA5936" w:rsidRPr="00FF386D" w14:paraId="648C5E91" w14:textId="77777777" w:rsidTr="00CA5936">
        <w:trPr>
          <w:trHeight w:val="353"/>
        </w:trPr>
        <w:tc>
          <w:tcPr>
            <w:tcW w:w="0" w:type="auto"/>
            <w:vMerge/>
            <w:vAlign w:val="center"/>
          </w:tcPr>
          <w:p w14:paraId="7D769AC1"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p>
        </w:tc>
        <w:tc>
          <w:tcPr>
            <w:tcW w:w="1290" w:type="dxa"/>
            <w:shd w:val="clear" w:color="auto" w:fill="BFBFBF"/>
            <w:vAlign w:val="center"/>
          </w:tcPr>
          <w:p w14:paraId="4A1BEC8D"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Трајање</w:t>
            </w:r>
          </w:p>
        </w:tc>
        <w:tc>
          <w:tcPr>
            <w:tcW w:w="6983" w:type="dxa"/>
            <w:vAlign w:val="center"/>
          </w:tcPr>
          <w:p w14:paraId="2C4EC29A"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w w:val="95"/>
                <w:sz w:val="16"/>
                <w:lang w:bidi="sr-Cyrl-CS"/>
              </w:rPr>
              <w:t>2021-2027.</w:t>
            </w:r>
          </w:p>
        </w:tc>
      </w:tr>
      <w:tr w:rsidR="00CA5936" w:rsidRPr="00FF386D" w14:paraId="3B152E27" w14:textId="77777777" w:rsidTr="00CA5936">
        <w:trPr>
          <w:trHeight w:val="353"/>
        </w:trPr>
        <w:tc>
          <w:tcPr>
            <w:tcW w:w="0" w:type="auto"/>
            <w:vMerge w:val="restart"/>
            <w:vAlign w:val="center"/>
          </w:tcPr>
          <w:p w14:paraId="7814CB98"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r w:rsidRPr="00FF386D">
              <w:rPr>
                <w:rFonts w:ascii="Calibri" w:eastAsia="Calibri" w:hAnsi="Calibri" w:cs="Times New Roman"/>
                <w:i/>
                <w:iCs/>
                <w:color w:val="375522"/>
                <w:sz w:val="16"/>
                <w:lang w:bidi="sr-Cyrl-CS"/>
              </w:rPr>
              <w:t>EIB, EC</w:t>
            </w:r>
          </w:p>
        </w:tc>
        <w:tc>
          <w:tcPr>
            <w:tcW w:w="1290" w:type="dxa"/>
            <w:shd w:val="clear" w:color="auto" w:fill="BFBFBF"/>
            <w:vAlign w:val="center"/>
          </w:tcPr>
          <w:p w14:paraId="50D38E23"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Врста помоћи</w:t>
            </w:r>
          </w:p>
        </w:tc>
        <w:tc>
          <w:tcPr>
            <w:tcW w:w="6983" w:type="dxa"/>
            <w:vAlign w:val="center"/>
          </w:tcPr>
          <w:p w14:paraId="5F00C1BC"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није доступно</w:t>
            </w:r>
          </w:p>
        </w:tc>
      </w:tr>
      <w:tr w:rsidR="00CA5936" w:rsidRPr="00FF386D" w14:paraId="69F4BE83" w14:textId="77777777" w:rsidTr="00CA5936">
        <w:trPr>
          <w:trHeight w:val="353"/>
        </w:trPr>
        <w:tc>
          <w:tcPr>
            <w:tcW w:w="0" w:type="auto"/>
            <w:vMerge/>
            <w:vAlign w:val="center"/>
          </w:tcPr>
          <w:p w14:paraId="36985460"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p>
        </w:tc>
        <w:tc>
          <w:tcPr>
            <w:tcW w:w="1290" w:type="dxa"/>
            <w:shd w:val="clear" w:color="auto" w:fill="BFBFBF"/>
            <w:vAlign w:val="center"/>
          </w:tcPr>
          <w:p w14:paraId="0CE9C849"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Износ</w:t>
            </w:r>
          </w:p>
        </w:tc>
        <w:tc>
          <w:tcPr>
            <w:tcW w:w="6983" w:type="dxa"/>
            <w:vAlign w:val="center"/>
          </w:tcPr>
          <w:p w14:paraId="7FB55116"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80 милиона евра</w:t>
            </w:r>
          </w:p>
        </w:tc>
      </w:tr>
      <w:tr w:rsidR="00CA5936" w:rsidRPr="00FF386D" w14:paraId="641CB9F0" w14:textId="77777777" w:rsidTr="00CA5936">
        <w:trPr>
          <w:trHeight w:val="353"/>
        </w:trPr>
        <w:tc>
          <w:tcPr>
            <w:tcW w:w="0" w:type="auto"/>
            <w:vMerge/>
            <w:vAlign w:val="center"/>
          </w:tcPr>
          <w:p w14:paraId="6D3D9BCD"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p>
        </w:tc>
        <w:tc>
          <w:tcPr>
            <w:tcW w:w="1290" w:type="dxa"/>
            <w:shd w:val="clear" w:color="auto" w:fill="BFBFBF"/>
            <w:vAlign w:val="center"/>
          </w:tcPr>
          <w:p w14:paraId="6F8EFD1C"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Сврха</w:t>
            </w:r>
          </w:p>
        </w:tc>
        <w:tc>
          <w:tcPr>
            <w:tcW w:w="6983" w:type="dxa"/>
            <w:vAlign w:val="center"/>
          </w:tcPr>
          <w:p w14:paraId="5B90FBE7" w14:textId="658D2972" w:rsidR="00CA5936" w:rsidRPr="00FF386D" w:rsidRDefault="00CA5936" w:rsidP="00CA5936">
            <w:pPr>
              <w:widowControl w:val="0"/>
              <w:autoSpaceDE w:val="0"/>
              <w:autoSpaceDN w:val="0"/>
              <w:spacing w:before="56" w:after="0" w:line="240" w:lineRule="auto"/>
              <w:ind w:left="158" w:right="243"/>
              <w:rPr>
                <w:rFonts w:ascii="Calibri Light" w:eastAsia="Arial" w:hAnsi="Calibri Light" w:cs="Calibri Light"/>
                <w:sz w:val="16"/>
              </w:rPr>
            </w:pPr>
            <w:r w:rsidRPr="00FF386D">
              <w:rPr>
                <w:rFonts w:ascii="Calibri" w:eastAsia="Calibri" w:hAnsi="Calibri" w:cs="Times New Roman"/>
                <w:b/>
                <w:sz w:val="16"/>
                <w:lang w:bidi="sr-Cyrl-CS"/>
              </w:rPr>
              <w:t xml:space="preserve">Приватно финансирање енергетске ефикасности </w:t>
            </w:r>
            <w:r w:rsidRPr="00FF386D">
              <w:rPr>
                <w:rFonts w:ascii="Calibri" w:eastAsia="Calibri" w:hAnsi="Calibri" w:cs="Times New Roman"/>
                <w:b/>
                <w:i/>
                <w:sz w:val="16"/>
                <w:lang w:bidi="sr-Cyrl-CS"/>
              </w:rPr>
              <w:t>(PF4EE</w:t>
            </w:r>
            <w:r w:rsidRPr="00FF386D">
              <w:rPr>
                <w:rFonts w:ascii="Calibri" w:eastAsia="Calibri" w:hAnsi="Calibri" w:cs="Times New Roman"/>
                <w:b/>
                <w:sz w:val="16"/>
                <w:lang w:bidi="sr-Cyrl-CS"/>
              </w:rPr>
              <w:t xml:space="preserve">) </w:t>
            </w:r>
            <w:r w:rsidRPr="00FF386D">
              <w:rPr>
                <w:rFonts w:ascii="Calibri" w:eastAsia="Calibri" w:hAnsi="Calibri" w:cs="Times New Roman"/>
                <w:sz w:val="16"/>
                <w:lang w:bidi="sr-Cyrl-CS"/>
              </w:rPr>
              <w:t xml:space="preserve">је заједничка иницијатива између EIB и Европске комисије. Кроз </w:t>
            </w:r>
            <w:r w:rsidRPr="00FF386D">
              <w:rPr>
                <w:rFonts w:ascii="Calibri" w:eastAsia="Calibri" w:hAnsi="Calibri" w:cs="Times New Roman"/>
                <w:i/>
                <w:sz w:val="16"/>
                <w:lang w:bidi="sr-Cyrl-CS"/>
              </w:rPr>
              <w:t>LIFE</w:t>
            </w:r>
            <w:r w:rsidRPr="00FF386D">
              <w:rPr>
                <w:rFonts w:ascii="Calibri" w:eastAsia="Calibri" w:hAnsi="Calibri" w:cs="Times New Roman"/>
                <w:sz w:val="16"/>
                <w:lang w:bidi="sr-Cyrl-CS"/>
              </w:rPr>
              <w:t xml:space="preserve"> програм финансираће се заштита од кредитног ризика инструмента и услуге стручне подршке. </w:t>
            </w:r>
            <w:r w:rsidRPr="00FF386D">
              <w:rPr>
                <w:rFonts w:ascii="Calibri" w:eastAsia="Calibri" w:hAnsi="Calibri" w:cs="Times New Roman"/>
                <w:i/>
                <w:iCs/>
                <w:sz w:val="16"/>
                <w:lang w:bidi="sr-Cyrl-CS"/>
              </w:rPr>
              <w:t>EIB</w:t>
            </w:r>
            <w:r w:rsidRPr="00FF386D">
              <w:rPr>
                <w:rFonts w:ascii="Calibri" w:eastAsia="Calibri" w:hAnsi="Calibri" w:cs="Times New Roman"/>
                <w:sz w:val="16"/>
                <w:lang w:bidi="sr-Cyrl-CS"/>
              </w:rPr>
              <w:t xml:space="preserve"> </w:t>
            </w:r>
            <w:r w:rsidR="0042777E" w:rsidRPr="00FF386D">
              <w:rPr>
                <w:rFonts w:ascii="Calibri" w:eastAsia="Calibri" w:hAnsi="Calibri" w:cs="Times New Roman"/>
                <w:sz w:val="16"/>
                <w:lang w:bidi="sr-Cyrl-CS"/>
              </w:rPr>
              <w:t>обезбеђује</w:t>
            </w:r>
            <w:r w:rsidRPr="00FF386D">
              <w:rPr>
                <w:rFonts w:ascii="Calibri" w:eastAsia="Calibri" w:hAnsi="Calibri" w:cs="Times New Roman"/>
                <w:sz w:val="16"/>
                <w:lang w:bidi="sr-Cyrl-CS"/>
              </w:rPr>
              <w:t xml:space="preserve"> овај износ, стављајући на располагање најмање 480 милиона евра за дугорочно финансирање</w:t>
            </w:r>
          </w:p>
        </w:tc>
      </w:tr>
      <w:tr w:rsidR="00CA5936" w:rsidRPr="00FF386D" w14:paraId="6CE7DF8B" w14:textId="77777777" w:rsidTr="00CA5936">
        <w:trPr>
          <w:trHeight w:val="353"/>
        </w:trPr>
        <w:tc>
          <w:tcPr>
            <w:tcW w:w="0" w:type="auto"/>
            <w:vMerge/>
            <w:vAlign w:val="center"/>
          </w:tcPr>
          <w:p w14:paraId="3D16110B"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p>
        </w:tc>
        <w:tc>
          <w:tcPr>
            <w:tcW w:w="1290" w:type="dxa"/>
            <w:shd w:val="clear" w:color="auto" w:fill="BFBFBF"/>
            <w:vAlign w:val="center"/>
          </w:tcPr>
          <w:p w14:paraId="12989935"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Трајање</w:t>
            </w:r>
          </w:p>
        </w:tc>
        <w:tc>
          <w:tcPr>
            <w:tcW w:w="6983" w:type="dxa"/>
            <w:vAlign w:val="center"/>
          </w:tcPr>
          <w:p w14:paraId="033A414D"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w w:val="95"/>
                <w:sz w:val="16"/>
                <w:lang w:bidi="sr-Cyrl-CS"/>
              </w:rPr>
              <w:t>2021-2027.</w:t>
            </w:r>
          </w:p>
        </w:tc>
      </w:tr>
      <w:tr w:rsidR="00CA5936" w:rsidRPr="00FF386D" w14:paraId="11D28701" w14:textId="77777777" w:rsidTr="00CA5936">
        <w:trPr>
          <w:trHeight w:val="353"/>
        </w:trPr>
        <w:tc>
          <w:tcPr>
            <w:tcW w:w="0" w:type="auto"/>
            <w:vMerge w:val="restart"/>
            <w:vAlign w:val="center"/>
          </w:tcPr>
          <w:p w14:paraId="1677B6A9"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i/>
                <w:iCs/>
                <w:sz w:val="16"/>
              </w:rPr>
            </w:pPr>
            <w:r w:rsidRPr="00FF386D">
              <w:rPr>
                <w:rFonts w:ascii="Calibri" w:eastAsia="Calibri" w:hAnsi="Calibri" w:cs="Times New Roman"/>
                <w:i/>
                <w:iCs/>
                <w:color w:val="375522"/>
                <w:sz w:val="16"/>
                <w:lang w:bidi="sr-Cyrl-CS"/>
              </w:rPr>
              <w:t>EC, EEFIG</w:t>
            </w:r>
          </w:p>
        </w:tc>
        <w:tc>
          <w:tcPr>
            <w:tcW w:w="1290" w:type="dxa"/>
            <w:shd w:val="clear" w:color="auto" w:fill="BFBFBF"/>
            <w:vAlign w:val="center"/>
          </w:tcPr>
          <w:p w14:paraId="09A72FD0"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Врста помоћи</w:t>
            </w:r>
          </w:p>
        </w:tc>
        <w:tc>
          <w:tcPr>
            <w:tcW w:w="6983" w:type="dxa"/>
            <w:vAlign w:val="center"/>
          </w:tcPr>
          <w:p w14:paraId="6DE1FDCD"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није доступно</w:t>
            </w:r>
          </w:p>
        </w:tc>
      </w:tr>
      <w:tr w:rsidR="00CA5936" w:rsidRPr="00FF386D" w14:paraId="351B5ACA" w14:textId="77777777" w:rsidTr="00CA5936">
        <w:trPr>
          <w:trHeight w:val="353"/>
        </w:trPr>
        <w:tc>
          <w:tcPr>
            <w:tcW w:w="0" w:type="auto"/>
            <w:vMerge/>
            <w:vAlign w:val="center"/>
          </w:tcPr>
          <w:p w14:paraId="5491E9A2"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sz w:val="16"/>
              </w:rPr>
            </w:pPr>
          </w:p>
        </w:tc>
        <w:tc>
          <w:tcPr>
            <w:tcW w:w="1290" w:type="dxa"/>
            <w:shd w:val="clear" w:color="auto" w:fill="BFBFBF"/>
            <w:vAlign w:val="center"/>
          </w:tcPr>
          <w:p w14:paraId="7CBCD57F"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Износ</w:t>
            </w:r>
          </w:p>
        </w:tc>
        <w:tc>
          <w:tcPr>
            <w:tcW w:w="6983" w:type="dxa"/>
            <w:vAlign w:val="center"/>
          </w:tcPr>
          <w:p w14:paraId="73576DAF" w14:textId="77777777" w:rsidR="00CA5936" w:rsidRPr="00FF386D" w:rsidRDefault="00CA5936" w:rsidP="00CA5936">
            <w:pPr>
              <w:widowControl w:val="0"/>
              <w:autoSpaceDE w:val="0"/>
              <w:autoSpaceDN w:val="0"/>
              <w:spacing w:before="56" w:after="0" w:line="240" w:lineRule="auto"/>
              <w:ind w:left="120"/>
              <w:rPr>
                <w:rFonts w:ascii="Calibri Light" w:eastAsia="Arial" w:hAnsi="Calibri Light" w:cs="Calibri Light"/>
                <w:sz w:val="16"/>
              </w:rPr>
            </w:pPr>
            <w:r w:rsidRPr="00FF386D">
              <w:rPr>
                <w:rFonts w:ascii="Calibri" w:eastAsia="Calibri" w:hAnsi="Calibri" w:cs="Times New Roman"/>
                <w:sz w:val="16"/>
                <w:lang w:bidi="sr-Cyrl-CS"/>
              </w:rPr>
              <w:t>EУ Хоризонт</w:t>
            </w:r>
          </w:p>
          <w:p w14:paraId="7C17B8D9"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Програм истраживања и иновација вредан укупно 95,5 милијарди евра</w:t>
            </w:r>
          </w:p>
        </w:tc>
      </w:tr>
      <w:tr w:rsidR="00CA5936" w:rsidRPr="00FF386D" w14:paraId="2FC6B284" w14:textId="77777777" w:rsidTr="00CA5936">
        <w:trPr>
          <w:trHeight w:val="353"/>
        </w:trPr>
        <w:tc>
          <w:tcPr>
            <w:tcW w:w="0" w:type="auto"/>
            <w:vMerge/>
            <w:vAlign w:val="center"/>
          </w:tcPr>
          <w:p w14:paraId="7576B7E5"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sz w:val="16"/>
              </w:rPr>
            </w:pPr>
          </w:p>
        </w:tc>
        <w:tc>
          <w:tcPr>
            <w:tcW w:w="1290" w:type="dxa"/>
            <w:shd w:val="clear" w:color="auto" w:fill="BFBFBF"/>
            <w:vAlign w:val="center"/>
          </w:tcPr>
          <w:p w14:paraId="6679B517"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Сврха</w:t>
            </w:r>
          </w:p>
        </w:tc>
        <w:tc>
          <w:tcPr>
            <w:tcW w:w="6983" w:type="dxa"/>
            <w:vAlign w:val="center"/>
          </w:tcPr>
          <w:p w14:paraId="66251895" w14:textId="427746A0" w:rsidR="00CA5936" w:rsidRPr="00FF386D" w:rsidRDefault="0042777E" w:rsidP="00CA5936">
            <w:pPr>
              <w:widowControl w:val="0"/>
              <w:autoSpaceDE w:val="0"/>
              <w:autoSpaceDN w:val="0"/>
              <w:spacing w:before="56" w:after="0" w:line="240" w:lineRule="auto"/>
              <w:ind w:left="158" w:right="219"/>
              <w:rPr>
                <w:rFonts w:ascii="Calibri Light" w:eastAsia="Arial" w:hAnsi="Calibri Light" w:cs="Calibri Light"/>
                <w:sz w:val="16"/>
              </w:rPr>
            </w:pPr>
            <w:r w:rsidRPr="00FF386D">
              <w:rPr>
                <w:rFonts w:ascii="Calibri" w:eastAsia="Calibri" w:hAnsi="Calibri" w:cs="Times New Roman"/>
                <w:sz w:val="16"/>
                <w:lang w:bidi="sr-Cyrl-CS"/>
              </w:rPr>
              <w:t>Преко</w:t>
            </w:r>
            <w:r w:rsidR="00CA5936" w:rsidRPr="00FF386D">
              <w:rPr>
                <w:rFonts w:ascii="Calibri" w:eastAsia="Calibri" w:hAnsi="Calibri" w:cs="Times New Roman"/>
                <w:sz w:val="16"/>
                <w:lang w:bidi="sr-Cyrl-CS"/>
              </w:rPr>
              <w:t xml:space="preserve"> </w:t>
            </w:r>
            <w:r w:rsidR="00CA5936" w:rsidRPr="00FF386D">
              <w:rPr>
                <w:rFonts w:ascii="Calibri" w:eastAsia="Calibri" w:hAnsi="Calibri" w:cs="Times New Roman"/>
                <w:b/>
                <w:sz w:val="16"/>
                <w:lang w:bidi="sr-Cyrl-CS"/>
              </w:rPr>
              <w:t>ЕУ Хоризонт програм за 2020.</w:t>
            </w:r>
            <w:r w:rsidR="00CA5936" w:rsidRPr="00FF386D">
              <w:rPr>
                <w:rFonts w:ascii="Calibri" w:eastAsia="Calibri" w:hAnsi="Calibri" w:cs="Times New Roman"/>
                <w:sz w:val="16"/>
                <w:lang w:bidi="sr-Cyrl-CS"/>
              </w:rPr>
              <w:t xml:space="preserve">, Комисија је успоставила низ линија за финансирање Пројектне помоћи за развој </w:t>
            </w:r>
            <w:r w:rsidR="00CA5936" w:rsidRPr="00FF386D">
              <w:rPr>
                <w:rFonts w:ascii="Calibri" w:eastAsia="Calibri" w:hAnsi="Calibri" w:cs="Times New Roman"/>
                <w:i/>
                <w:sz w:val="16"/>
                <w:lang w:bidi="sr-Cyrl-CS"/>
              </w:rPr>
              <w:t xml:space="preserve">(PDA) </w:t>
            </w:r>
            <w:r w:rsidR="00CA5936" w:rsidRPr="00FF386D">
              <w:rPr>
                <w:rFonts w:ascii="Calibri" w:eastAsia="Calibri" w:hAnsi="Calibri" w:cs="Times New Roman"/>
                <w:sz w:val="16"/>
                <w:lang w:bidi="sr-Cyrl-CS"/>
              </w:rPr>
              <w:t>како би подржала јавне власти – регион</w:t>
            </w:r>
            <w:r w:rsidRPr="00FF386D">
              <w:rPr>
                <w:rFonts w:ascii="Calibri" w:eastAsia="Calibri" w:hAnsi="Calibri" w:cs="Times New Roman"/>
                <w:sz w:val="16"/>
                <w:lang w:bidi="sr-Cyrl-CS"/>
              </w:rPr>
              <w:t>е</w:t>
            </w:r>
            <w:r w:rsidR="00CA5936" w:rsidRPr="00FF386D">
              <w:rPr>
                <w:rFonts w:ascii="Calibri" w:eastAsia="Calibri" w:hAnsi="Calibri" w:cs="Times New Roman"/>
                <w:sz w:val="16"/>
                <w:lang w:bidi="sr-Cyrl-CS"/>
              </w:rPr>
              <w:t>, градов</w:t>
            </w:r>
            <w:r w:rsidRPr="00FF386D">
              <w:rPr>
                <w:rFonts w:ascii="Calibri" w:eastAsia="Calibri" w:hAnsi="Calibri" w:cs="Times New Roman"/>
                <w:sz w:val="16"/>
                <w:lang w:bidi="sr-Cyrl-CS"/>
              </w:rPr>
              <w:t>е</w:t>
            </w:r>
            <w:r w:rsidR="00CA5936" w:rsidRPr="00FF386D">
              <w:rPr>
                <w:rFonts w:ascii="Calibri" w:eastAsia="Calibri" w:hAnsi="Calibri" w:cs="Times New Roman"/>
                <w:sz w:val="16"/>
                <w:lang w:bidi="sr-Cyrl-CS"/>
              </w:rPr>
              <w:t xml:space="preserve">, општине и </w:t>
            </w:r>
            <w:r w:rsidRPr="00FF386D">
              <w:rPr>
                <w:rFonts w:ascii="Calibri" w:eastAsia="Calibri" w:hAnsi="Calibri" w:cs="Times New Roman"/>
                <w:sz w:val="16"/>
                <w:lang w:bidi="sr-Cyrl-CS"/>
              </w:rPr>
              <w:t>државна</w:t>
            </w:r>
            <w:r w:rsidR="00CA5936" w:rsidRPr="00FF386D">
              <w:rPr>
                <w:rFonts w:ascii="Calibri" w:eastAsia="Calibri" w:hAnsi="Calibri" w:cs="Times New Roman"/>
                <w:sz w:val="16"/>
                <w:lang w:bidi="sr-Cyrl-CS"/>
              </w:rPr>
              <w:t xml:space="preserve"> тела у развоју </w:t>
            </w:r>
            <w:r w:rsidRPr="00FF386D">
              <w:rPr>
                <w:rFonts w:ascii="Calibri" w:eastAsia="Calibri" w:hAnsi="Calibri" w:cs="Times New Roman"/>
                <w:sz w:val="16"/>
                <w:lang w:bidi="sr-Cyrl-CS"/>
              </w:rPr>
              <w:t xml:space="preserve">исплативих </w:t>
            </w:r>
            <w:r w:rsidR="00CA5936" w:rsidRPr="00FF386D">
              <w:rPr>
                <w:rFonts w:ascii="Calibri" w:eastAsia="Calibri" w:hAnsi="Calibri" w:cs="Times New Roman"/>
                <w:sz w:val="16"/>
                <w:lang w:bidi="sr-Cyrl-CS"/>
              </w:rPr>
              <w:t>пројеката</w:t>
            </w:r>
            <w:r w:rsidRPr="00FF386D">
              <w:rPr>
                <w:rFonts w:ascii="Calibri" w:eastAsia="Calibri" w:hAnsi="Calibri" w:cs="Times New Roman"/>
                <w:sz w:val="16"/>
                <w:lang w:bidi="sr-Cyrl-CS"/>
              </w:rPr>
              <w:t xml:space="preserve"> </w:t>
            </w:r>
            <w:r w:rsidR="00CA5936" w:rsidRPr="00FF386D">
              <w:rPr>
                <w:rFonts w:ascii="Calibri" w:eastAsia="Calibri" w:hAnsi="Calibri" w:cs="Times New Roman"/>
                <w:sz w:val="16"/>
                <w:lang w:bidi="sr-Cyrl-CS"/>
              </w:rPr>
              <w:t>одрживе енергије</w:t>
            </w:r>
            <w:r w:rsidRPr="00FF386D">
              <w:rPr>
                <w:rFonts w:ascii="Calibri" w:eastAsia="Calibri" w:hAnsi="Calibri" w:cs="Times New Roman"/>
                <w:sz w:val="16"/>
                <w:lang w:bidi="sr-Cyrl-CS"/>
              </w:rPr>
              <w:t>.</w:t>
            </w:r>
          </w:p>
          <w:p w14:paraId="382CF52E" w14:textId="77777777" w:rsidR="00CA5936" w:rsidRPr="00FF386D" w:rsidRDefault="00CA5936" w:rsidP="00CA5936">
            <w:pPr>
              <w:widowControl w:val="0"/>
              <w:autoSpaceDE w:val="0"/>
              <w:autoSpaceDN w:val="0"/>
              <w:spacing w:before="8" w:after="0" w:line="240" w:lineRule="auto"/>
              <w:ind w:left="158" w:right="219"/>
              <w:rPr>
                <w:rFonts w:ascii="Calibri Light" w:eastAsia="Arial" w:hAnsi="Calibri Light" w:cs="Calibri Light"/>
                <w:sz w:val="16"/>
              </w:rPr>
            </w:pPr>
            <w:r w:rsidRPr="00FF386D">
              <w:rPr>
                <w:rFonts w:ascii="Calibri" w:eastAsia="Calibri" w:hAnsi="Calibri" w:cs="Times New Roman"/>
                <w:sz w:val="16"/>
                <w:lang w:bidi="sr-Cyrl-CS"/>
              </w:rPr>
              <w:t xml:space="preserve">Комисија је, у сарадњи са Групом финансијских институција за енергетску ефикасност </w:t>
            </w:r>
            <w:r w:rsidRPr="00FF386D">
              <w:rPr>
                <w:rFonts w:ascii="Calibri" w:eastAsia="Calibri" w:hAnsi="Calibri" w:cs="Times New Roman"/>
                <w:i/>
                <w:sz w:val="16"/>
                <w:lang w:bidi="sr-Cyrl-CS"/>
              </w:rPr>
              <w:t>(EEFIG)</w:t>
            </w:r>
            <w:r w:rsidRPr="00FF386D">
              <w:rPr>
                <w:rFonts w:ascii="Calibri" w:eastAsia="Calibri" w:hAnsi="Calibri" w:cs="Times New Roman"/>
                <w:sz w:val="16"/>
                <w:lang w:bidi="sr-Cyrl-CS"/>
              </w:rPr>
              <w:t>, развила производе који имају за циљ да информишу финансијске институције, инвеститоре и промотере пројеката о стварним користима и ризицима улагања у енергетску ефикасност.</w:t>
            </w:r>
          </w:p>
        </w:tc>
      </w:tr>
      <w:tr w:rsidR="00CA5936" w:rsidRPr="00FF386D" w14:paraId="0778E97B" w14:textId="77777777" w:rsidTr="00CA5936">
        <w:trPr>
          <w:trHeight w:val="353"/>
        </w:trPr>
        <w:tc>
          <w:tcPr>
            <w:tcW w:w="0" w:type="auto"/>
            <w:vMerge/>
            <w:vAlign w:val="center"/>
          </w:tcPr>
          <w:p w14:paraId="74BB2C65"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sz w:val="16"/>
              </w:rPr>
            </w:pPr>
          </w:p>
        </w:tc>
        <w:tc>
          <w:tcPr>
            <w:tcW w:w="1290" w:type="dxa"/>
            <w:shd w:val="clear" w:color="auto" w:fill="BFBFBF"/>
            <w:vAlign w:val="center"/>
          </w:tcPr>
          <w:p w14:paraId="4BA3129B"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Трајање</w:t>
            </w:r>
          </w:p>
        </w:tc>
        <w:tc>
          <w:tcPr>
            <w:tcW w:w="6983" w:type="dxa"/>
            <w:vAlign w:val="center"/>
          </w:tcPr>
          <w:p w14:paraId="4A0D9E26"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w w:val="95"/>
                <w:sz w:val="16"/>
                <w:lang w:bidi="sr-Cyrl-CS"/>
              </w:rPr>
              <w:t>2021-2027.</w:t>
            </w:r>
          </w:p>
        </w:tc>
      </w:tr>
      <w:tr w:rsidR="00CA5936" w:rsidRPr="00FF386D" w14:paraId="0FEF4630" w14:textId="77777777" w:rsidTr="00CA5936">
        <w:trPr>
          <w:trHeight w:val="353"/>
        </w:trPr>
        <w:tc>
          <w:tcPr>
            <w:tcW w:w="0" w:type="auto"/>
            <w:vMerge w:val="restart"/>
            <w:vAlign w:val="center"/>
          </w:tcPr>
          <w:p w14:paraId="44A1C6B6"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sz w:val="16"/>
              </w:rPr>
            </w:pPr>
            <w:r w:rsidRPr="00FF386D">
              <w:rPr>
                <w:rFonts w:ascii="Calibri" w:eastAsia="Calibri" w:hAnsi="Calibri" w:cs="Times New Roman"/>
                <w:color w:val="375522"/>
                <w:sz w:val="16"/>
                <w:lang w:bidi="sr-Cyrl-CS"/>
              </w:rPr>
              <w:t>EC, EEFIG</w:t>
            </w:r>
          </w:p>
        </w:tc>
        <w:tc>
          <w:tcPr>
            <w:tcW w:w="1290" w:type="dxa"/>
            <w:shd w:val="clear" w:color="auto" w:fill="BFBFBF"/>
            <w:vAlign w:val="center"/>
          </w:tcPr>
          <w:p w14:paraId="0D510259"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Врста помоћи</w:t>
            </w:r>
          </w:p>
        </w:tc>
        <w:tc>
          <w:tcPr>
            <w:tcW w:w="6983" w:type="dxa"/>
            <w:vAlign w:val="center"/>
          </w:tcPr>
          <w:p w14:paraId="77D3B5B8"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није доступно</w:t>
            </w:r>
          </w:p>
        </w:tc>
      </w:tr>
      <w:tr w:rsidR="00CA5936" w:rsidRPr="00FF386D" w14:paraId="5165BDA3" w14:textId="77777777" w:rsidTr="00CA5936">
        <w:trPr>
          <w:trHeight w:val="353"/>
        </w:trPr>
        <w:tc>
          <w:tcPr>
            <w:tcW w:w="0" w:type="auto"/>
            <w:vMerge/>
            <w:vAlign w:val="center"/>
          </w:tcPr>
          <w:p w14:paraId="69645A1B"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sz w:val="16"/>
              </w:rPr>
            </w:pPr>
          </w:p>
        </w:tc>
        <w:tc>
          <w:tcPr>
            <w:tcW w:w="1290" w:type="dxa"/>
            <w:shd w:val="clear" w:color="auto" w:fill="BFBFBF"/>
            <w:vAlign w:val="center"/>
          </w:tcPr>
          <w:p w14:paraId="49E1A044"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Износ</w:t>
            </w:r>
          </w:p>
        </w:tc>
        <w:tc>
          <w:tcPr>
            <w:tcW w:w="6983" w:type="dxa"/>
            <w:vAlign w:val="center"/>
          </w:tcPr>
          <w:p w14:paraId="6FCE1E1A"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није доступно</w:t>
            </w:r>
          </w:p>
        </w:tc>
      </w:tr>
      <w:tr w:rsidR="00CA5936" w:rsidRPr="00FF386D" w14:paraId="09A20939" w14:textId="77777777" w:rsidTr="00CA5936">
        <w:trPr>
          <w:trHeight w:val="353"/>
        </w:trPr>
        <w:tc>
          <w:tcPr>
            <w:tcW w:w="0" w:type="auto"/>
            <w:vMerge/>
            <w:vAlign w:val="center"/>
          </w:tcPr>
          <w:p w14:paraId="4728E929"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sz w:val="16"/>
              </w:rPr>
            </w:pPr>
          </w:p>
        </w:tc>
        <w:tc>
          <w:tcPr>
            <w:tcW w:w="1290" w:type="dxa"/>
            <w:shd w:val="clear" w:color="auto" w:fill="BFBFBF"/>
            <w:vAlign w:val="center"/>
          </w:tcPr>
          <w:p w14:paraId="0785A6A9"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Сврха</w:t>
            </w:r>
          </w:p>
        </w:tc>
        <w:tc>
          <w:tcPr>
            <w:tcW w:w="6983" w:type="dxa"/>
            <w:vAlign w:val="center"/>
          </w:tcPr>
          <w:p w14:paraId="2D574FED" w14:textId="5893F3A7" w:rsidR="00CA5936" w:rsidRPr="00FF386D" w:rsidRDefault="00CA5936" w:rsidP="00CA5936">
            <w:pPr>
              <w:widowControl w:val="0"/>
              <w:autoSpaceDE w:val="0"/>
              <w:autoSpaceDN w:val="0"/>
              <w:spacing w:before="56" w:after="0" w:line="240" w:lineRule="auto"/>
              <w:ind w:left="207" w:right="135" w:hanging="16"/>
              <w:rPr>
                <w:rFonts w:ascii="Calibri Light" w:eastAsia="Arial" w:hAnsi="Calibri Light" w:cs="Calibri Light"/>
                <w:sz w:val="16"/>
              </w:rPr>
            </w:pPr>
            <w:r w:rsidRPr="00FF386D">
              <w:rPr>
                <w:rFonts w:ascii="Calibri" w:eastAsia="Calibri" w:hAnsi="Calibri" w:cs="Times New Roman"/>
                <w:b/>
                <w:sz w:val="16"/>
                <w:lang w:bidi="sr-Cyrl-CS"/>
              </w:rPr>
              <w:t xml:space="preserve">Платформа енергетске ефикасности за смањење ризика </w:t>
            </w:r>
            <w:r w:rsidRPr="00FF386D">
              <w:rPr>
                <w:rFonts w:ascii="Calibri" w:eastAsia="Calibri" w:hAnsi="Calibri" w:cs="Times New Roman"/>
                <w:b/>
                <w:i/>
                <w:sz w:val="16"/>
                <w:lang w:bidi="sr-Cyrl-CS"/>
              </w:rPr>
              <w:t>(DEEP</w:t>
            </w:r>
            <w:r w:rsidR="0042777E" w:rsidRPr="00FF386D">
              <w:rPr>
                <w:rFonts w:ascii="Calibri" w:eastAsia="Calibri" w:hAnsi="Calibri" w:cs="Times New Roman"/>
                <w:b/>
                <w:i/>
                <w:sz w:val="16"/>
                <w:lang w:bidi="sr-Cyrl-CS"/>
              </w:rPr>
              <w:t xml:space="preserve"> </w:t>
            </w:r>
            <w:r w:rsidRPr="00FF386D">
              <w:rPr>
                <w:rFonts w:ascii="Calibri" w:eastAsia="Calibri" w:hAnsi="Calibri" w:cs="Times New Roman"/>
                <w:b/>
                <w:i/>
                <w:sz w:val="16"/>
                <w:lang w:bidi="sr-Cyrl-CS"/>
              </w:rPr>
              <w:t>)</w:t>
            </w:r>
            <w:r w:rsidR="0042777E" w:rsidRPr="00FF386D">
              <w:rPr>
                <w:rFonts w:ascii="Calibri" w:eastAsia="Calibri" w:hAnsi="Calibri" w:cs="Times New Roman"/>
                <w:b/>
                <w:i/>
                <w:sz w:val="16"/>
                <w:lang w:bidi="sr-Cyrl-CS"/>
              </w:rPr>
              <w:t xml:space="preserve"> </w:t>
            </w:r>
            <w:r w:rsidRPr="00FF386D">
              <w:rPr>
                <w:rFonts w:ascii="Calibri" w:eastAsia="Calibri" w:hAnsi="Calibri" w:cs="Times New Roman"/>
                <w:sz w:val="16"/>
                <w:lang w:bidi="sr-Cyrl-CS"/>
              </w:rPr>
              <w:t>је пан-ЕУ база података отвореног кода која садржи детаљне информације и анализу преко 10.000 индустријских и грађевинских ЕЕ пројеката. Платформа служи за бележење ре</w:t>
            </w:r>
            <w:r w:rsidR="0042777E" w:rsidRPr="00FF386D">
              <w:rPr>
                <w:rFonts w:ascii="Calibri" w:eastAsia="Calibri" w:hAnsi="Calibri" w:cs="Times New Roman"/>
                <w:sz w:val="16"/>
                <w:lang w:bidi="sr-Cyrl-CS"/>
              </w:rPr>
              <w:t>зултата</w:t>
            </w:r>
            <w:r w:rsidRPr="00FF386D">
              <w:rPr>
                <w:rFonts w:ascii="Calibri" w:eastAsia="Calibri" w:hAnsi="Calibri" w:cs="Times New Roman"/>
                <w:sz w:val="16"/>
                <w:lang w:bidi="sr-Cyrl-CS"/>
              </w:rPr>
              <w:t xml:space="preserve"> и помаже </w:t>
            </w:r>
            <w:r w:rsidR="0042777E" w:rsidRPr="00FF386D">
              <w:rPr>
                <w:rFonts w:ascii="Calibri" w:eastAsia="Calibri" w:hAnsi="Calibri" w:cs="Times New Roman"/>
                <w:sz w:val="16"/>
                <w:lang w:bidi="sr-Cyrl-CS"/>
              </w:rPr>
              <w:t>носиоцима пројеката</w:t>
            </w:r>
            <w:r w:rsidRPr="00FF386D">
              <w:rPr>
                <w:rFonts w:ascii="Calibri" w:eastAsia="Calibri" w:hAnsi="Calibri" w:cs="Times New Roman"/>
                <w:sz w:val="16"/>
                <w:lang w:bidi="sr-Cyrl-CS"/>
              </w:rPr>
              <w:t>, финансијерима и инвеститорима да боље процене ризике и користи од улагања у енергетску ефикасност.</w:t>
            </w:r>
          </w:p>
        </w:tc>
      </w:tr>
      <w:tr w:rsidR="00CA5936" w:rsidRPr="00FF386D" w14:paraId="1DBE0BA2" w14:textId="77777777" w:rsidTr="00CA5936">
        <w:trPr>
          <w:trHeight w:val="353"/>
        </w:trPr>
        <w:tc>
          <w:tcPr>
            <w:tcW w:w="0" w:type="auto"/>
            <w:vMerge/>
            <w:vAlign w:val="center"/>
          </w:tcPr>
          <w:p w14:paraId="2848862F" w14:textId="77777777" w:rsidR="00CA5936" w:rsidRPr="00FF386D" w:rsidRDefault="00CA5936" w:rsidP="00CA5936">
            <w:pPr>
              <w:widowControl w:val="0"/>
              <w:autoSpaceDE w:val="0"/>
              <w:autoSpaceDN w:val="0"/>
              <w:spacing w:before="60" w:after="0" w:line="240" w:lineRule="auto"/>
              <w:ind w:left="172" w:right="132"/>
              <w:jc w:val="center"/>
              <w:rPr>
                <w:rFonts w:ascii="Calibri Light" w:eastAsia="Arial" w:hAnsi="Calibri Light" w:cs="Calibri Light"/>
                <w:sz w:val="16"/>
              </w:rPr>
            </w:pPr>
          </w:p>
        </w:tc>
        <w:tc>
          <w:tcPr>
            <w:tcW w:w="1290" w:type="dxa"/>
            <w:shd w:val="clear" w:color="auto" w:fill="BFBFBF"/>
            <w:vAlign w:val="center"/>
          </w:tcPr>
          <w:p w14:paraId="01506E94" w14:textId="77777777" w:rsidR="00CA5936" w:rsidRPr="00FF386D" w:rsidRDefault="00CA5936" w:rsidP="00CA5936">
            <w:pPr>
              <w:widowControl w:val="0"/>
              <w:autoSpaceDE w:val="0"/>
              <w:autoSpaceDN w:val="0"/>
              <w:spacing w:before="28" w:after="0" w:line="240" w:lineRule="auto"/>
              <w:ind w:left="172" w:right="130"/>
              <w:jc w:val="center"/>
              <w:rPr>
                <w:rFonts w:ascii="Calibri Light" w:eastAsia="Arial" w:hAnsi="Calibri Light" w:cs="Calibri Light"/>
                <w:b/>
                <w:color w:val="FFFFFF"/>
                <w:spacing w:val="-2"/>
                <w:sz w:val="18"/>
              </w:rPr>
            </w:pPr>
            <w:r w:rsidRPr="00FF386D">
              <w:rPr>
                <w:rFonts w:ascii="Calibri" w:eastAsia="Calibri" w:hAnsi="Calibri" w:cs="Times New Roman"/>
                <w:b/>
                <w:color w:val="FFFFFF"/>
                <w:spacing w:val="-2"/>
                <w:sz w:val="18"/>
                <w:lang w:bidi="sr-Cyrl-CS"/>
              </w:rPr>
              <w:t>Трајање</w:t>
            </w:r>
          </w:p>
        </w:tc>
        <w:tc>
          <w:tcPr>
            <w:tcW w:w="6983" w:type="dxa"/>
            <w:vAlign w:val="center"/>
          </w:tcPr>
          <w:p w14:paraId="05AECB68" w14:textId="77777777" w:rsidR="00CA5936" w:rsidRPr="00FF386D" w:rsidRDefault="00CA5936" w:rsidP="00CA5936">
            <w:pPr>
              <w:widowControl w:val="0"/>
              <w:autoSpaceDE w:val="0"/>
              <w:autoSpaceDN w:val="0"/>
              <w:spacing w:before="60" w:after="0" w:line="240" w:lineRule="auto"/>
              <w:ind w:left="148" w:right="256"/>
              <w:rPr>
                <w:rFonts w:ascii="Calibri Light" w:eastAsia="Arial" w:hAnsi="Calibri Light" w:cs="Calibri Light"/>
                <w:sz w:val="16"/>
              </w:rPr>
            </w:pPr>
            <w:r w:rsidRPr="00FF386D">
              <w:rPr>
                <w:rFonts w:ascii="Calibri" w:eastAsia="Calibri" w:hAnsi="Calibri" w:cs="Times New Roman"/>
                <w:sz w:val="16"/>
                <w:lang w:bidi="sr-Cyrl-CS"/>
              </w:rPr>
              <w:t>није доступно</w:t>
            </w:r>
          </w:p>
        </w:tc>
      </w:tr>
    </w:tbl>
    <w:p w14:paraId="1ED10354" w14:textId="77777777" w:rsidR="00CA5936" w:rsidRPr="00FF386D" w:rsidRDefault="00CA5936" w:rsidP="00CA5936">
      <w:pPr>
        <w:spacing w:line="259" w:lineRule="auto"/>
        <w:rPr>
          <w:rFonts w:ascii="Calibri" w:eastAsia="Calibri" w:hAnsi="Calibri" w:cs="Times New Roman"/>
        </w:rPr>
      </w:pPr>
    </w:p>
    <w:p w14:paraId="53796DEA" w14:textId="41021E23" w:rsidR="00CA5936" w:rsidRPr="00FF386D" w:rsidRDefault="00FF5433" w:rsidP="00CA5936">
      <w:pPr>
        <w:autoSpaceDE w:val="0"/>
        <w:autoSpaceDN w:val="0"/>
        <w:adjustRightInd w:val="0"/>
        <w:spacing w:before="120" w:after="0" w:line="276" w:lineRule="auto"/>
        <w:jc w:val="both"/>
        <w:rPr>
          <w:rFonts w:ascii="Calibri Light" w:eastAsia="Calibri" w:hAnsi="Calibri Light" w:cs="Calibri Light"/>
        </w:rPr>
      </w:pPr>
      <w:r>
        <w:rPr>
          <w:rFonts w:ascii="Calibri Light" w:eastAsia="Calibri" w:hAnsi="Calibri Light" w:cs="Calibri Light"/>
          <w:b/>
          <w:bCs/>
        </w:rPr>
        <w:lastRenderedPageBreak/>
        <w:t>Н</w:t>
      </w:r>
      <w:r w:rsidR="00CA5936" w:rsidRPr="000A2AFE">
        <w:rPr>
          <w:rFonts w:ascii="Calibri Light" w:eastAsia="Calibri" w:hAnsi="Calibri Light" w:cs="Calibri Light"/>
          <w:b/>
          <w:bCs/>
        </w:rPr>
        <w:t>ацрт Акционог плана за Праведну транзицију</w:t>
      </w:r>
      <w:r w:rsidR="00CA5936" w:rsidRPr="00FF386D">
        <w:rPr>
          <w:rFonts w:ascii="Calibri Light" w:eastAsia="Calibri" w:hAnsi="Calibri Light" w:cs="Calibri Light"/>
        </w:rPr>
        <w:t xml:space="preserve"> </w:t>
      </w:r>
      <w:r w:rsidR="00F83DAA">
        <w:rPr>
          <w:rFonts w:ascii="Calibri Light" w:eastAsia="Calibri" w:hAnsi="Calibri Light" w:cs="Calibri Light"/>
        </w:rPr>
        <w:t xml:space="preserve">треба </w:t>
      </w:r>
      <w:r w:rsidR="0021629B">
        <w:rPr>
          <w:rFonts w:ascii="Calibri Light" w:eastAsia="Calibri" w:hAnsi="Calibri Light" w:cs="Calibri Light"/>
        </w:rPr>
        <w:t xml:space="preserve">да буде </w:t>
      </w:r>
      <w:r w:rsidR="00F83DAA">
        <w:rPr>
          <w:rFonts w:ascii="Calibri Light" w:eastAsia="Calibri" w:hAnsi="Calibri Light" w:cs="Calibri Light"/>
        </w:rPr>
        <w:t>завршен и</w:t>
      </w:r>
      <w:r w:rsidR="0021629B">
        <w:rPr>
          <w:rFonts w:ascii="Calibri Light" w:eastAsia="Calibri" w:hAnsi="Calibri Light" w:cs="Calibri Light"/>
        </w:rPr>
        <w:t xml:space="preserve"> усвојен од стране Владе Републике Србије </w:t>
      </w:r>
      <w:r w:rsidR="00DB7219">
        <w:rPr>
          <w:rFonts w:ascii="Calibri Light" w:eastAsia="Calibri" w:hAnsi="Calibri Light" w:cs="Calibri Light"/>
        </w:rPr>
        <w:t>током</w:t>
      </w:r>
      <w:r w:rsidR="0021629B">
        <w:rPr>
          <w:rFonts w:ascii="Calibri Light" w:eastAsia="Calibri" w:hAnsi="Calibri Light" w:cs="Calibri Light"/>
        </w:rPr>
        <w:t xml:space="preserve"> 202</w:t>
      </w:r>
      <w:r w:rsidR="00DB7219">
        <w:rPr>
          <w:rFonts w:ascii="Calibri Light" w:eastAsia="Calibri" w:hAnsi="Calibri Light" w:cs="Calibri Light"/>
        </w:rPr>
        <w:t>4</w:t>
      </w:r>
      <w:r w:rsidR="0021629B">
        <w:rPr>
          <w:rFonts w:ascii="Calibri Light" w:eastAsia="Calibri" w:hAnsi="Calibri Light" w:cs="Calibri Light"/>
        </w:rPr>
        <w:t>. године</w:t>
      </w:r>
      <w:r w:rsidR="00CA5936" w:rsidRPr="00FF386D">
        <w:rPr>
          <w:rFonts w:ascii="Calibri Light" w:eastAsia="Calibri" w:hAnsi="Calibri Light" w:cs="Calibri Light"/>
        </w:rPr>
        <w:t xml:space="preserve">. </w:t>
      </w:r>
      <w:r w:rsidR="005F362F" w:rsidRPr="00FF386D">
        <w:rPr>
          <w:rFonts w:ascii="Calibri Light" w:eastAsia="Calibri" w:hAnsi="Calibri Light" w:cs="Calibri Light"/>
        </w:rPr>
        <w:t>Приликом израде</w:t>
      </w:r>
      <w:r w:rsidR="00CA5936" w:rsidRPr="00FF386D">
        <w:rPr>
          <w:rFonts w:ascii="Calibri Light" w:eastAsia="Calibri" w:hAnsi="Calibri Light" w:cs="Calibri Light"/>
        </w:rPr>
        <w:t xml:space="preserve"> овог плана, коришћени су следећи принципи</w:t>
      </w:r>
      <w:r w:rsidR="00BA3F80" w:rsidRPr="00FF386D">
        <w:rPr>
          <w:rFonts w:ascii="Calibri Light" w:eastAsia="Calibri" w:hAnsi="Calibri Light" w:cs="Calibri Light"/>
        </w:rPr>
        <w:t xml:space="preserve"> за процену</w:t>
      </w:r>
      <w:r w:rsidR="00CA5936" w:rsidRPr="00FF386D">
        <w:rPr>
          <w:rFonts w:ascii="Calibri Light" w:eastAsia="Calibri" w:hAnsi="Calibri Light" w:cs="Calibri Light"/>
        </w:rPr>
        <w:t xml:space="preserve"> инфраструктуре и потребних интервенција:</w:t>
      </w:r>
    </w:p>
    <w:p w14:paraId="747A9BA2" w14:textId="6CC3BAC8" w:rsidR="00CA5936" w:rsidRPr="00FF386D" w:rsidRDefault="00CA5936">
      <w:pPr>
        <w:numPr>
          <w:ilvl w:val="0"/>
          <w:numId w:val="268"/>
        </w:numPr>
        <w:autoSpaceDE w:val="0"/>
        <w:autoSpaceDN w:val="0"/>
        <w:adjustRightInd w:val="0"/>
        <w:spacing w:before="120" w:after="0" w:line="276" w:lineRule="auto"/>
        <w:contextualSpacing/>
        <w:jc w:val="both"/>
        <w:rPr>
          <w:rFonts w:ascii="Calibri Light" w:eastAsia="Calibri" w:hAnsi="Calibri Light" w:cs="Calibri Light"/>
          <w:szCs w:val="20"/>
        </w:rPr>
      </w:pPr>
      <w:r w:rsidRPr="00FF386D">
        <w:rPr>
          <w:rFonts w:ascii="Calibri Light" w:eastAsia="Calibri" w:hAnsi="Calibri Light" w:cs="Calibri Light"/>
          <w:szCs w:val="20"/>
        </w:rPr>
        <w:t xml:space="preserve">Одлуке о улагањима у јавну инфраструктуру </w:t>
      </w:r>
      <w:r w:rsidR="00BA3F80" w:rsidRPr="00FF386D">
        <w:rPr>
          <w:rFonts w:ascii="Calibri Light" w:eastAsia="Calibri" w:hAnsi="Calibri Light" w:cs="Calibri Light"/>
          <w:szCs w:val="20"/>
        </w:rPr>
        <w:t>биће</w:t>
      </w:r>
      <w:r w:rsidRPr="00FF386D">
        <w:rPr>
          <w:rFonts w:ascii="Calibri Light" w:eastAsia="Calibri" w:hAnsi="Calibri Light" w:cs="Calibri Light"/>
          <w:szCs w:val="20"/>
        </w:rPr>
        <w:t xml:space="preserve"> усклађене са политикама и стратегијама које је у</w:t>
      </w:r>
      <w:r w:rsidR="00BA3F80" w:rsidRPr="00FF386D">
        <w:rPr>
          <w:rFonts w:ascii="Calibri Light" w:eastAsia="Calibri" w:hAnsi="Calibri Light" w:cs="Calibri Light"/>
          <w:szCs w:val="20"/>
        </w:rPr>
        <w:t>тврдила</w:t>
      </w:r>
      <w:r w:rsidRPr="00FF386D">
        <w:rPr>
          <w:rFonts w:ascii="Calibri Light" w:eastAsia="Calibri" w:hAnsi="Calibri Light" w:cs="Calibri Light"/>
          <w:szCs w:val="20"/>
        </w:rPr>
        <w:t xml:space="preserve"> влада као што </w:t>
      </w:r>
      <w:r w:rsidR="00BA3F80" w:rsidRPr="00FF386D">
        <w:rPr>
          <w:rFonts w:ascii="Calibri Light" w:eastAsia="Calibri" w:hAnsi="Calibri Light" w:cs="Calibri Light"/>
          <w:szCs w:val="20"/>
        </w:rPr>
        <w:t>је</w:t>
      </w:r>
      <w:r w:rsidRPr="00FF386D">
        <w:rPr>
          <w:rFonts w:ascii="Calibri Light" w:eastAsia="Calibri" w:hAnsi="Calibri Light" w:cs="Calibri Light"/>
          <w:szCs w:val="20"/>
        </w:rPr>
        <w:t xml:space="preserve"> </w:t>
      </w:r>
      <w:r w:rsidR="00BA3F80" w:rsidRPr="00FF386D">
        <w:rPr>
          <w:rFonts w:ascii="Calibri Light" w:eastAsia="Calibri" w:hAnsi="Calibri Light" w:cs="Calibri Light"/>
          <w:szCs w:val="20"/>
        </w:rPr>
        <w:t>И</w:t>
      </w:r>
      <w:r w:rsidRPr="00FF386D">
        <w:rPr>
          <w:rFonts w:ascii="Calibri Light" w:eastAsia="Calibri" w:hAnsi="Calibri Light" w:cs="Calibri Light"/>
          <w:szCs w:val="20"/>
        </w:rPr>
        <w:t xml:space="preserve">НЕКП, нарочито </w:t>
      </w:r>
      <w:r w:rsidR="006905A9" w:rsidRPr="00FF386D">
        <w:rPr>
          <w:rFonts w:ascii="Calibri Light" w:eastAsia="Calibri" w:hAnsi="Calibri Light" w:cs="Calibri Light"/>
          <w:szCs w:val="20"/>
        </w:rPr>
        <w:t>у погледу</w:t>
      </w:r>
      <w:r w:rsidR="00BA3F80" w:rsidRPr="00FF386D">
        <w:rPr>
          <w:rFonts w:ascii="Calibri Light" w:eastAsia="Calibri" w:hAnsi="Calibri Light" w:cs="Calibri Light"/>
          <w:szCs w:val="20"/>
        </w:rPr>
        <w:t xml:space="preserve"> </w:t>
      </w:r>
      <w:r w:rsidR="00746C04" w:rsidRPr="00FF386D">
        <w:rPr>
          <w:rFonts w:ascii="Calibri Light" w:eastAsia="Calibri" w:hAnsi="Calibri Light" w:cs="Calibri Light"/>
          <w:szCs w:val="20"/>
        </w:rPr>
        <w:t>временске</w:t>
      </w:r>
      <w:r w:rsidR="006905A9" w:rsidRPr="00FF386D">
        <w:rPr>
          <w:rFonts w:ascii="Calibri Light" w:eastAsia="Calibri" w:hAnsi="Calibri Light" w:cs="Calibri Light"/>
          <w:szCs w:val="20"/>
        </w:rPr>
        <w:t xml:space="preserve"> димензије</w:t>
      </w:r>
      <w:r w:rsidR="00746C04" w:rsidRPr="00FF386D">
        <w:rPr>
          <w:rFonts w:ascii="Calibri Light" w:eastAsia="Calibri" w:hAnsi="Calibri Light" w:cs="Calibri Light"/>
          <w:szCs w:val="20"/>
        </w:rPr>
        <w:t xml:space="preserve"> </w:t>
      </w:r>
      <w:r w:rsidRPr="00FF386D">
        <w:rPr>
          <w:rFonts w:ascii="Calibri Light" w:eastAsia="Calibri" w:hAnsi="Calibri Light" w:cs="Calibri Light"/>
          <w:szCs w:val="20"/>
        </w:rPr>
        <w:t>важн</w:t>
      </w:r>
      <w:r w:rsidR="00746C04" w:rsidRPr="00FF386D">
        <w:rPr>
          <w:rFonts w:ascii="Calibri Light" w:eastAsia="Calibri" w:hAnsi="Calibri Light" w:cs="Calibri Light"/>
          <w:szCs w:val="20"/>
        </w:rPr>
        <w:t>их догађаја</w:t>
      </w:r>
    </w:p>
    <w:p w14:paraId="1EB1947C" w14:textId="094AF0C5" w:rsidR="00CA5936" w:rsidRPr="00FF386D" w:rsidRDefault="00BA3F80">
      <w:pPr>
        <w:numPr>
          <w:ilvl w:val="0"/>
          <w:numId w:val="268"/>
        </w:numPr>
        <w:autoSpaceDE w:val="0"/>
        <w:autoSpaceDN w:val="0"/>
        <w:adjustRightInd w:val="0"/>
        <w:spacing w:before="120" w:after="0" w:line="276" w:lineRule="auto"/>
        <w:contextualSpacing/>
        <w:jc w:val="both"/>
        <w:rPr>
          <w:rFonts w:ascii="Calibri Light" w:eastAsia="Calibri" w:hAnsi="Calibri Light" w:cs="Calibri Light"/>
          <w:szCs w:val="20"/>
        </w:rPr>
      </w:pPr>
      <w:r w:rsidRPr="00FF386D">
        <w:rPr>
          <w:rFonts w:ascii="Calibri Light" w:eastAsia="Calibri" w:hAnsi="Calibri Light" w:cs="Calibri Light"/>
          <w:szCs w:val="20"/>
        </w:rPr>
        <w:t xml:space="preserve">Само неки </w:t>
      </w:r>
      <w:r w:rsidR="00CA5936" w:rsidRPr="00FF386D">
        <w:rPr>
          <w:rFonts w:ascii="Calibri Light" w:eastAsia="Calibri" w:hAnsi="Calibri Light" w:cs="Calibri Light"/>
          <w:szCs w:val="20"/>
        </w:rPr>
        <w:t>проблеми економске инклузије</w:t>
      </w:r>
      <w:r w:rsidRPr="00FF386D">
        <w:rPr>
          <w:rFonts w:ascii="Calibri Light" w:eastAsia="Calibri" w:hAnsi="Calibri Light" w:cs="Calibri Light"/>
          <w:szCs w:val="20"/>
        </w:rPr>
        <w:t xml:space="preserve"> се могу ефикасно решити</w:t>
      </w:r>
      <w:r w:rsidR="00174DD8" w:rsidRPr="00FF386D">
        <w:rPr>
          <w:rFonts w:ascii="Calibri Light" w:eastAsia="Calibri" w:hAnsi="Calibri Light" w:cs="Calibri Light"/>
          <w:szCs w:val="20"/>
        </w:rPr>
        <w:t xml:space="preserve"> инфраструктуром</w:t>
      </w:r>
      <w:r w:rsidR="00CA5936" w:rsidRPr="00FF386D">
        <w:rPr>
          <w:rFonts w:ascii="Calibri Light" w:eastAsia="Calibri" w:hAnsi="Calibri Light" w:cs="Calibri Light"/>
          <w:szCs w:val="20"/>
        </w:rPr>
        <w:t xml:space="preserve">, </w:t>
      </w:r>
      <w:r w:rsidR="00174DD8" w:rsidRPr="00FF386D">
        <w:rPr>
          <w:rFonts w:ascii="Calibri Light" w:eastAsia="Calibri" w:hAnsi="Calibri Light" w:cs="Calibri Light"/>
          <w:szCs w:val="20"/>
        </w:rPr>
        <w:t xml:space="preserve">а испитују се </w:t>
      </w:r>
      <w:r w:rsidR="00CA5936" w:rsidRPr="00FF386D">
        <w:rPr>
          <w:rFonts w:ascii="Calibri Light" w:eastAsia="Calibri" w:hAnsi="Calibri Light" w:cs="Calibri Light"/>
          <w:szCs w:val="20"/>
        </w:rPr>
        <w:t>циљ</w:t>
      </w:r>
      <w:r w:rsidRPr="00FF386D">
        <w:rPr>
          <w:rFonts w:ascii="Calibri Light" w:eastAsia="Calibri" w:hAnsi="Calibri Light" w:cs="Calibri Light"/>
          <w:szCs w:val="20"/>
        </w:rPr>
        <w:t>а</w:t>
      </w:r>
      <w:r w:rsidR="00CA5936" w:rsidRPr="00FF386D">
        <w:rPr>
          <w:rFonts w:ascii="Calibri Light" w:eastAsia="Calibri" w:hAnsi="Calibri Light" w:cs="Calibri Light"/>
          <w:szCs w:val="20"/>
        </w:rPr>
        <w:t xml:space="preserve">не нематеријалне интервенције, </w:t>
      </w:r>
      <w:r w:rsidR="00174DD8" w:rsidRPr="00FF386D">
        <w:rPr>
          <w:rFonts w:ascii="Calibri Light" w:eastAsia="Calibri" w:hAnsi="Calibri Light" w:cs="Calibri Light"/>
          <w:szCs w:val="20"/>
        </w:rPr>
        <w:t>иако се разматрају и додатне реформе.</w:t>
      </w:r>
    </w:p>
    <w:p w14:paraId="1D9A0BA0" w14:textId="1B03770E" w:rsidR="00CA5936" w:rsidRPr="00FF386D" w:rsidRDefault="00CA5936">
      <w:pPr>
        <w:numPr>
          <w:ilvl w:val="0"/>
          <w:numId w:val="268"/>
        </w:numPr>
        <w:autoSpaceDE w:val="0"/>
        <w:autoSpaceDN w:val="0"/>
        <w:adjustRightInd w:val="0"/>
        <w:spacing w:before="120" w:after="0" w:line="276" w:lineRule="auto"/>
        <w:contextualSpacing/>
        <w:jc w:val="both"/>
        <w:rPr>
          <w:rFonts w:ascii="Calibri Light" w:eastAsia="Calibri" w:hAnsi="Calibri Light" w:cs="Calibri Light"/>
          <w:szCs w:val="20"/>
        </w:rPr>
      </w:pPr>
      <w:r w:rsidRPr="00FF386D">
        <w:rPr>
          <w:rFonts w:ascii="Calibri Light" w:eastAsia="Calibri" w:hAnsi="Calibri Light" w:cs="Calibri Light"/>
          <w:szCs w:val="20"/>
        </w:rPr>
        <w:t>У процесу процене одабира акција кључне варијабле су п</w:t>
      </w:r>
      <w:r w:rsidR="00174DD8" w:rsidRPr="00FF386D">
        <w:rPr>
          <w:rFonts w:ascii="Calibri Light" w:eastAsia="Calibri" w:hAnsi="Calibri Light" w:cs="Calibri Light"/>
          <w:szCs w:val="20"/>
        </w:rPr>
        <w:t>рилагођеност сврси</w:t>
      </w:r>
      <w:r w:rsidRPr="00FF386D">
        <w:rPr>
          <w:rFonts w:ascii="Calibri Light" w:eastAsia="Calibri" w:hAnsi="Calibri Light" w:cs="Calibri Light"/>
          <w:szCs w:val="20"/>
        </w:rPr>
        <w:t>, доступност и приступачност.</w:t>
      </w:r>
    </w:p>
    <w:p w14:paraId="39BCC3E7" w14:textId="73CE8532" w:rsidR="00CA5936" w:rsidRPr="00FF386D" w:rsidRDefault="00CA5936">
      <w:pPr>
        <w:numPr>
          <w:ilvl w:val="0"/>
          <w:numId w:val="268"/>
        </w:numPr>
        <w:autoSpaceDE w:val="0"/>
        <w:autoSpaceDN w:val="0"/>
        <w:adjustRightInd w:val="0"/>
        <w:spacing w:before="120" w:after="0" w:line="276" w:lineRule="auto"/>
        <w:contextualSpacing/>
        <w:jc w:val="both"/>
        <w:rPr>
          <w:rFonts w:ascii="Calibri Light" w:eastAsia="Calibri" w:hAnsi="Calibri Light" w:cs="Calibri Light"/>
          <w:szCs w:val="20"/>
        </w:rPr>
      </w:pPr>
      <w:r w:rsidRPr="00FF386D">
        <w:rPr>
          <w:rFonts w:ascii="Calibri Light" w:eastAsia="Calibri" w:hAnsi="Calibri Light" w:cs="Calibri Light"/>
          <w:szCs w:val="20"/>
        </w:rPr>
        <w:t xml:space="preserve">Појединци, предузећа и заједница морају </w:t>
      </w:r>
      <w:r w:rsidR="006B76FD" w:rsidRPr="00FF386D">
        <w:rPr>
          <w:rFonts w:ascii="Calibri Light" w:eastAsia="Calibri" w:hAnsi="Calibri Light" w:cs="Calibri Light"/>
          <w:szCs w:val="20"/>
        </w:rPr>
        <w:t xml:space="preserve">да </w:t>
      </w:r>
      <w:r w:rsidRPr="00FF386D">
        <w:rPr>
          <w:rFonts w:ascii="Calibri Light" w:eastAsia="Calibri" w:hAnsi="Calibri Light" w:cs="Calibri Light"/>
          <w:szCs w:val="20"/>
        </w:rPr>
        <w:t>има</w:t>
      </w:r>
      <w:r w:rsidR="006B76FD" w:rsidRPr="00FF386D">
        <w:rPr>
          <w:rFonts w:ascii="Calibri Light" w:eastAsia="Calibri" w:hAnsi="Calibri Light" w:cs="Calibri Light"/>
          <w:szCs w:val="20"/>
        </w:rPr>
        <w:t>ју</w:t>
      </w:r>
      <w:r w:rsidRPr="00FF386D">
        <w:rPr>
          <w:rFonts w:ascii="Calibri Light" w:eastAsia="Calibri" w:hAnsi="Calibri Light" w:cs="Calibri Light"/>
          <w:szCs w:val="20"/>
        </w:rPr>
        <w:t xml:space="preserve"> капацитет, способност и </w:t>
      </w:r>
      <w:r w:rsidR="00174DD8" w:rsidRPr="00FF386D">
        <w:rPr>
          <w:rFonts w:ascii="Calibri Light" w:eastAsia="Calibri" w:hAnsi="Calibri Light" w:cs="Calibri Light"/>
          <w:szCs w:val="20"/>
        </w:rPr>
        <w:t xml:space="preserve">спремност </w:t>
      </w:r>
      <w:r w:rsidR="006B76FD" w:rsidRPr="00FF386D">
        <w:rPr>
          <w:rFonts w:ascii="Calibri Light" w:eastAsia="Calibri" w:hAnsi="Calibri Light" w:cs="Calibri Light"/>
          <w:szCs w:val="20"/>
        </w:rPr>
        <w:t>за</w:t>
      </w:r>
      <w:r w:rsidRPr="00FF386D">
        <w:rPr>
          <w:rFonts w:ascii="Calibri Light" w:eastAsia="Calibri" w:hAnsi="Calibri Light" w:cs="Calibri Light"/>
          <w:szCs w:val="20"/>
        </w:rPr>
        <w:t xml:space="preserve"> присту</w:t>
      </w:r>
      <w:r w:rsidR="006B76FD" w:rsidRPr="00FF386D">
        <w:rPr>
          <w:rFonts w:ascii="Calibri Light" w:eastAsia="Calibri" w:hAnsi="Calibri Light" w:cs="Calibri Light"/>
          <w:szCs w:val="20"/>
        </w:rPr>
        <w:t>п</w:t>
      </w:r>
      <w:r w:rsidRPr="00FF386D">
        <w:rPr>
          <w:rFonts w:ascii="Calibri Light" w:eastAsia="Calibri" w:hAnsi="Calibri Light" w:cs="Calibri Light"/>
          <w:szCs w:val="20"/>
        </w:rPr>
        <w:t>/подр</w:t>
      </w:r>
      <w:r w:rsidR="006B76FD" w:rsidRPr="00FF386D">
        <w:rPr>
          <w:rFonts w:ascii="Calibri Light" w:eastAsia="Calibri" w:hAnsi="Calibri Light" w:cs="Calibri Light"/>
          <w:szCs w:val="20"/>
        </w:rPr>
        <w:t>шку</w:t>
      </w:r>
      <w:r w:rsidRPr="00FF386D">
        <w:rPr>
          <w:rFonts w:ascii="Calibri Light" w:eastAsia="Calibri" w:hAnsi="Calibri Light" w:cs="Calibri Light"/>
          <w:szCs w:val="20"/>
        </w:rPr>
        <w:t xml:space="preserve"> инфраструктур</w:t>
      </w:r>
      <w:r w:rsidR="006B76FD" w:rsidRPr="00FF386D">
        <w:rPr>
          <w:rFonts w:ascii="Calibri Light" w:eastAsia="Calibri" w:hAnsi="Calibri Light" w:cs="Calibri Light"/>
          <w:szCs w:val="20"/>
        </w:rPr>
        <w:t>и</w:t>
      </w:r>
      <w:r w:rsidRPr="00FF386D">
        <w:rPr>
          <w:rFonts w:ascii="Calibri Light" w:eastAsia="Calibri" w:hAnsi="Calibri Light" w:cs="Calibri Light"/>
          <w:szCs w:val="20"/>
        </w:rPr>
        <w:t xml:space="preserve"> и св</w:t>
      </w:r>
      <w:r w:rsidR="006B76FD" w:rsidRPr="00FF386D">
        <w:rPr>
          <w:rFonts w:ascii="Calibri Light" w:eastAsia="Calibri" w:hAnsi="Calibri Light" w:cs="Calibri Light"/>
          <w:szCs w:val="20"/>
        </w:rPr>
        <w:t>им</w:t>
      </w:r>
      <w:r w:rsidRPr="00FF386D">
        <w:rPr>
          <w:rFonts w:ascii="Calibri Light" w:eastAsia="Calibri" w:hAnsi="Calibri Light" w:cs="Calibri Light"/>
          <w:szCs w:val="20"/>
        </w:rPr>
        <w:t xml:space="preserve"> интервенциј</w:t>
      </w:r>
      <w:r w:rsidR="006B76FD" w:rsidRPr="00FF386D">
        <w:rPr>
          <w:rFonts w:ascii="Calibri Light" w:eastAsia="Calibri" w:hAnsi="Calibri Light" w:cs="Calibri Light"/>
          <w:szCs w:val="20"/>
        </w:rPr>
        <w:t>ама</w:t>
      </w:r>
      <w:r w:rsidRPr="00FF386D">
        <w:rPr>
          <w:rFonts w:ascii="Calibri Light" w:eastAsia="Calibri" w:hAnsi="Calibri Light" w:cs="Calibri Light"/>
          <w:szCs w:val="20"/>
        </w:rPr>
        <w:t>.</w:t>
      </w:r>
    </w:p>
    <w:p w14:paraId="19B45966" w14:textId="6EFB247B" w:rsidR="00CA5936" w:rsidRPr="00FF386D" w:rsidRDefault="00CA5936">
      <w:pPr>
        <w:numPr>
          <w:ilvl w:val="0"/>
          <w:numId w:val="268"/>
        </w:numPr>
        <w:autoSpaceDE w:val="0"/>
        <w:autoSpaceDN w:val="0"/>
        <w:adjustRightInd w:val="0"/>
        <w:spacing w:before="120" w:after="0" w:line="276" w:lineRule="auto"/>
        <w:contextualSpacing/>
        <w:jc w:val="both"/>
        <w:rPr>
          <w:rFonts w:ascii="Calibri Light" w:eastAsia="Calibri" w:hAnsi="Calibri Light" w:cs="Calibri Light"/>
          <w:szCs w:val="20"/>
        </w:rPr>
      </w:pPr>
      <w:r w:rsidRPr="00FF386D">
        <w:rPr>
          <w:rFonts w:ascii="Calibri Light" w:eastAsia="Calibri" w:hAnsi="Calibri Light" w:cs="Calibri Light"/>
          <w:szCs w:val="20"/>
        </w:rPr>
        <w:t>Флексибилност за суочавање са сложеном и промењивом природом утицаја транзиције током временског периода.</w:t>
      </w:r>
    </w:p>
    <w:p w14:paraId="36D667C9" w14:textId="3085977B" w:rsidR="00CA5936" w:rsidRPr="00FF386D" w:rsidRDefault="00CA5936">
      <w:pPr>
        <w:numPr>
          <w:ilvl w:val="0"/>
          <w:numId w:val="268"/>
        </w:numPr>
        <w:autoSpaceDE w:val="0"/>
        <w:autoSpaceDN w:val="0"/>
        <w:adjustRightInd w:val="0"/>
        <w:spacing w:before="120" w:after="0" w:line="276" w:lineRule="auto"/>
        <w:contextualSpacing/>
        <w:jc w:val="both"/>
        <w:rPr>
          <w:rFonts w:ascii="Calibri Light" w:eastAsia="Calibri" w:hAnsi="Calibri Light" w:cs="Calibri Light"/>
          <w:szCs w:val="20"/>
        </w:rPr>
      </w:pPr>
      <w:r w:rsidRPr="00FF386D">
        <w:rPr>
          <w:rFonts w:ascii="Calibri Light" w:eastAsia="Calibri" w:hAnsi="Calibri Light" w:cs="Calibri Light"/>
          <w:szCs w:val="20"/>
        </w:rPr>
        <w:t xml:space="preserve">Инвестиције у инфраструктуру треба да користе компаративне предности предузећа која послују </w:t>
      </w:r>
      <w:r w:rsidR="008D0E7D" w:rsidRPr="00FF386D">
        <w:rPr>
          <w:rFonts w:ascii="Calibri Light" w:eastAsia="Calibri" w:hAnsi="Calibri Light" w:cs="Calibri Light"/>
          <w:szCs w:val="20"/>
        </w:rPr>
        <w:t>на територији</w:t>
      </w:r>
      <w:r w:rsidRPr="00FF386D">
        <w:rPr>
          <w:rFonts w:ascii="Calibri Light" w:eastAsia="Calibri" w:hAnsi="Calibri Light" w:cs="Calibri Light"/>
          <w:szCs w:val="20"/>
        </w:rPr>
        <w:t xml:space="preserve"> и подрже </w:t>
      </w:r>
      <w:r w:rsidR="008D0E7D" w:rsidRPr="00FF386D">
        <w:rPr>
          <w:rFonts w:ascii="Calibri Light" w:eastAsia="Calibri" w:hAnsi="Calibri Light" w:cs="Calibri Light"/>
          <w:szCs w:val="20"/>
        </w:rPr>
        <w:t>предузећа која ће морати</w:t>
      </w:r>
      <w:r w:rsidRPr="00FF386D">
        <w:rPr>
          <w:rFonts w:ascii="Calibri Light" w:eastAsia="Calibri" w:hAnsi="Calibri Light" w:cs="Calibri Light"/>
          <w:szCs w:val="20"/>
        </w:rPr>
        <w:t xml:space="preserve"> да трансформишу своје активности п</w:t>
      </w:r>
      <w:r w:rsidR="008D0E7D" w:rsidRPr="00FF386D">
        <w:rPr>
          <w:rFonts w:ascii="Calibri Light" w:eastAsia="Calibri" w:hAnsi="Calibri Light" w:cs="Calibri Light"/>
          <w:szCs w:val="20"/>
        </w:rPr>
        <w:t>риказујући</w:t>
      </w:r>
      <w:r w:rsidRPr="00FF386D">
        <w:rPr>
          <w:rFonts w:ascii="Calibri Light" w:eastAsia="Calibri" w:hAnsi="Calibri Light" w:cs="Calibri Light"/>
          <w:szCs w:val="20"/>
        </w:rPr>
        <w:t xml:space="preserve"> потенцијал за раст у будућности.</w:t>
      </w:r>
    </w:p>
    <w:p w14:paraId="0A74D230" w14:textId="3B9580EE" w:rsidR="00CA5936" w:rsidRPr="00FF386D" w:rsidRDefault="008D0E7D" w:rsidP="00565B02">
      <w:pPr>
        <w:spacing w:before="160" w:line="240" w:lineRule="auto"/>
        <w:jc w:val="both"/>
        <w:rPr>
          <w:rFonts w:ascii="Calibri Light" w:eastAsia="Calibri" w:hAnsi="Calibri Light" w:cs="Calibri Light"/>
          <w:lang w:eastAsia="el-GR"/>
        </w:rPr>
      </w:pPr>
      <w:r w:rsidRPr="00FF386D">
        <w:rPr>
          <w:rFonts w:ascii="Calibri Light" w:eastAsia="Calibri" w:hAnsi="Calibri Light" w:cs="Calibri Light"/>
          <w:lang w:eastAsia="el-GR"/>
        </w:rPr>
        <w:t>Као резултат ове методологије</w:t>
      </w:r>
      <w:r w:rsidR="00FF5433">
        <w:rPr>
          <w:rFonts w:ascii="Calibri Light" w:eastAsia="Calibri" w:hAnsi="Calibri Light" w:cs="Calibri Light"/>
          <w:lang w:eastAsia="el-GR"/>
        </w:rPr>
        <w:t xml:space="preserve"> </w:t>
      </w:r>
      <w:r w:rsidR="00CA5936" w:rsidRPr="00FF386D">
        <w:rPr>
          <w:rFonts w:ascii="Calibri Light" w:eastAsia="Calibri" w:hAnsi="Calibri Light" w:cs="Calibri Light"/>
          <w:lang w:eastAsia="el-GR"/>
        </w:rPr>
        <w:t xml:space="preserve">Акциони план </w:t>
      </w:r>
      <w:r w:rsidR="00FF5433">
        <w:rPr>
          <w:rFonts w:ascii="Calibri Light" w:eastAsia="Calibri" w:hAnsi="Calibri Light" w:cs="Calibri Light"/>
          <w:lang w:eastAsia="el-GR"/>
        </w:rPr>
        <w:t xml:space="preserve">ће предложити </w:t>
      </w:r>
      <w:r w:rsidR="00CA5936" w:rsidRPr="00FF386D">
        <w:rPr>
          <w:rFonts w:ascii="Calibri Light" w:eastAsia="Calibri" w:hAnsi="Calibri Light" w:cs="Calibri Light"/>
          <w:lang w:eastAsia="el-GR"/>
        </w:rPr>
        <w:t xml:space="preserve">акције </w:t>
      </w:r>
      <w:r w:rsidRPr="00FF386D">
        <w:rPr>
          <w:rFonts w:ascii="Calibri Light" w:eastAsia="Calibri" w:hAnsi="Calibri Light" w:cs="Calibri Light"/>
          <w:lang w:eastAsia="el-GR"/>
        </w:rPr>
        <w:t>у оквиру различитих домена,</w:t>
      </w:r>
      <w:r w:rsidR="00CA5936" w:rsidRPr="00FF386D">
        <w:rPr>
          <w:rFonts w:ascii="Calibri Light" w:eastAsia="Calibri" w:hAnsi="Calibri Light" w:cs="Calibri Light"/>
          <w:lang w:eastAsia="el-GR"/>
        </w:rPr>
        <w:t xml:space="preserve"> као што су управљање, политике и реформе (закони/прописи), инвестиције/интервенције и изградња капацитета. </w:t>
      </w:r>
      <w:r w:rsidR="00746C04" w:rsidRPr="00FF386D">
        <w:rPr>
          <w:rFonts w:ascii="Calibri Light" w:eastAsia="Calibri" w:hAnsi="Calibri Light" w:cs="Calibri Light"/>
          <w:lang w:eastAsia="el-GR"/>
        </w:rPr>
        <w:t>Што се тиче</w:t>
      </w:r>
      <w:r w:rsidRPr="00FF386D">
        <w:rPr>
          <w:rFonts w:ascii="Calibri Light" w:eastAsia="Calibri" w:hAnsi="Calibri Light" w:cs="Calibri Light"/>
          <w:lang w:eastAsia="el-GR"/>
        </w:rPr>
        <w:t xml:space="preserve"> </w:t>
      </w:r>
      <w:r w:rsidR="006905A9" w:rsidRPr="00FF386D">
        <w:rPr>
          <w:rFonts w:ascii="Calibri Light" w:eastAsia="Calibri" w:hAnsi="Calibri Light" w:cs="Calibri Light"/>
          <w:lang w:eastAsia="el-GR"/>
        </w:rPr>
        <w:t xml:space="preserve">посебно </w:t>
      </w:r>
      <w:r w:rsidR="00CA5936" w:rsidRPr="00FF386D">
        <w:rPr>
          <w:rFonts w:ascii="Calibri Light" w:eastAsia="Calibri" w:hAnsi="Calibri Light" w:cs="Calibri Light"/>
          <w:lang w:eastAsia="el-GR"/>
        </w:rPr>
        <w:t>инвестициј</w:t>
      </w:r>
      <w:r w:rsidRPr="00FF386D">
        <w:rPr>
          <w:rFonts w:ascii="Calibri Light" w:eastAsia="Calibri" w:hAnsi="Calibri Light" w:cs="Calibri Light"/>
          <w:lang w:eastAsia="el-GR"/>
        </w:rPr>
        <w:t>а</w:t>
      </w:r>
      <w:r w:rsidR="00CA5936" w:rsidRPr="00FF386D">
        <w:rPr>
          <w:rFonts w:ascii="Calibri Light" w:eastAsia="Calibri" w:hAnsi="Calibri Light" w:cs="Calibri Light"/>
          <w:lang w:eastAsia="el-GR"/>
        </w:rPr>
        <w:t xml:space="preserve">, </w:t>
      </w:r>
      <w:r w:rsidRPr="00FF386D">
        <w:rPr>
          <w:rFonts w:ascii="Calibri Light" w:eastAsia="Calibri" w:hAnsi="Calibri Light" w:cs="Calibri Light"/>
          <w:lang w:eastAsia="el-GR"/>
        </w:rPr>
        <w:t xml:space="preserve">ове акције су </w:t>
      </w:r>
      <w:r w:rsidR="00CA5936" w:rsidRPr="00FF386D">
        <w:rPr>
          <w:rFonts w:ascii="Calibri Light" w:eastAsia="Calibri" w:hAnsi="Calibri Light" w:cs="Calibri Light"/>
          <w:lang w:eastAsia="el-GR"/>
        </w:rPr>
        <w:t>повезане са инфраструктуром (нпр. енергетска транзиција, зелена транзиција, изградња инфраструктуре, итд.), истраживање</w:t>
      </w:r>
      <w:r w:rsidRPr="00FF386D">
        <w:rPr>
          <w:rFonts w:ascii="Calibri Light" w:eastAsia="Calibri" w:hAnsi="Calibri Light" w:cs="Calibri Light"/>
          <w:lang w:eastAsia="el-GR"/>
        </w:rPr>
        <w:t>м</w:t>
      </w:r>
      <w:r w:rsidR="00CA5936" w:rsidRPr="00FF386D">
        <w:rPr>
          <w:rFonts w:ascii="Calibri Light" w:eastAsia="Calibri" w:hAnsi="Calibri Light" w:cs="Calibri Light"/>
          <w:lang w:eastAsia="el-GR"/>
        </w:rPr>
        <w:t xml:space="preserve"> и иновација</w:t>
      </w:r>
      <w:r w:rsidRPr="00FF386D">
        <w:rPr>
          <w:rFonts w:ascii="Calibri Light" w:eastAsia="Calibri" w:hAnsi="Calibri Light" w:cs="Calibri Light"/>
          <w:lang w:eastAsia="el-GR"/>
        </w:rPr>
        <w:t>ма</w:t>
      </w:r>
      <w:r w:rsidR="00CA5936" w:rsidRPr="00FF386D">
        <w:rPr>
          <w:rFonts w:ascii="Calibri Light" w:eastAsia="Calibri" w:hAnsi="Calibri Light" w:cs="Calibri Light"/>
          <w:lang w:eastAsia="el-GR"/>
        </w:rPr>
        <w:t>, предузетништво</w:t>
      </w:r>
      <w:r w:rsidRPr="00FF386D">
        <w:rPr>
          <w:rFonts w:ascii="Calibri Light" w:eastAsia="Calibri" w:hAnsi="Calibri Light" w:cs="Calibri Light"/>
          <w:lang w:eastAsia="el-GR"/>
        </w:rPr>
        <w:t>м</w:t>
      </w:r>
      <w:r w:rsidR="00CA5936" w:rsidRPr="00FF386D">
        <w:rPr>
          <w:rFonts w:ascii="Calibri Light" w:eastAsia="Calibri" w:hAnsi="Calibri Light" w:cs="Calibri Light"/>
          <w:lang w:eastAsia="el-GR"/>
        </w:rPr>
        <w:t>, преквалификациј</w:t>
      </w:r>
      <w:r w:rsidRPr="00FF386D">
        <w:rPr>
          <w:rFonts w:ascii="Calibri Light" w:eastAsia="Calibri" w:hAnsi="Calibri Light" w:cs="Calibri Light"/>
          <w:lang w:eastAsia="el-GR"/>
        </w:rPr>
        <w:t>ом</w:t>
      </w:r>
      <w:r w:rsidR="00CA5936" w:rsidRPr="00FF386D">
        <w:rPr>
          <w:rFonts w:ascii="Calibri Light" w:eastAsia="Calibri" w:hAnsi="Calibri Light" w:cs="Calibri Light"/>
          <w:lang w:eastAsia="el-GR"/>
        </w:rPr>
        <w:t xml:space="preserve"> радне снаге, социјалн</w:t>
      </w:r>
      <w:r w:rsidRPr="00FF386D">
        <w:rPr>
          <w:rFonts w:ascii="Calibri Light" w:eastAsia="Calibri" w:hAnsi="Calibri Light" w:cs="Calibri Light"/>
          <w:lang w:eastAsia="el-GR"/>
        </w:rPr>
        <w:t>ом</w:t>
      </w:r>
      <w:r w:rsidR="00CA5936" w:rsidRPr="00FF386D">
        <w:rPr>
          <w:rFonts w:ascii="Calibri Light" w:eastAsia="Calibri" w:hAnsi="Calibri Light" w:cs="Calibri Light"/>
          <w:lang w:eastAsia="el-GR"/>
        </w:rPr>
        <w:t xml:space="preserve"> инклузиј</w:t>
      </w:r>
      <w:r w:rsidRPr="00FF386D">
        <w:rPr>
          <w:rFonts w:ascii="Calibri Light" w:eastAsia="Calibri" w:hAnsi="Calibri Light" w:cs="Calibri Light"/>
          <w:lang w:eastAsia="el-GR"/>
        </w:rPr>
        <w:t>ом</w:t>
      </w:r>
      <w:r w:rsidR="00CA5936" w:rsidRPr="00FF386D">
        <w:rPr>
          <w:rFonts w:ascii="Calibri Light" w:eastAsia="Calibri" w:hAnsi="Calibri Light" w:cs="Calibri Light"/>
          <w:lang w:eastAsia="el-GR"/>
        </w:rPr>
        <w:t>, као и санациј</w:t>
      </w:r>
      <w:r w:rsidRPr="00FF386D">
        <w:rPr>
          <w:rFonts w:ascii="Calibri Light" w:eastAsia="Calibri" w:hAnsi="Calibri Light" w:cs="Calibri Light"/>
          <w:lang w:eastAsia="el-GR"/>
        </w:rPr>
        <w:t>ом</w:t>
      </w:r>
      <w:r w:rsidR="00CA5936" w:rsidRPr="00FF386D">
        <w:rPr>
          <w:rFonts w:ascii="Calibri Light" w:eastAsia="Calibri" w:hAnsi="Calibri Light" w:cs="Calibri Light"/>
          <w:lang w:eastAsia="el-GR"/>
        </w:rPr>
        <w:t xml:space="preserve"> браунфилд локација. </w:t>
      </w:r>
      <w:r w:rsidR="0062108F" w:rsidRPr="00FF386D">
        <w:rPr>
          <w:rFonts w:ascii="Calibri Light" w:eastAsia="Calibri" w:hAnsi="Calibri Light" w:cs="Calibri Light"/>
          <w:lang w:eastAsia="el-GR"/>
        </w:rPr>
        <w:t>На основу овог</w:t>
      </w:r>
      <w:r w:rsidR="00CA5936" w:rsidRPr="00FF386D">
        <w:rPr>
          <w:rFonts w:ascii="Calibri Light" w:eastAsia="Calibri" w:hAnsi="Calibri Light" w:cs="Calibri Light"/>
          <w:lang w:eastAsia="el-GR"/>
        </w:rPr>
        <w:t xml:space="preserve"> нацрт</w:t>
      </w:r>
      <w:r w:rsidR="0062108F" w:rsidRPr="00FF386D">
        <w:rPr>
          <w:rFonts w:ascii="Calibri Light" w:eastAsia="Calibri" w:hAnsi="Calibri Light" w:cs="Calibri Light"/>
          <w:lang w:eastAsia="el-GR"/>
        </w:rPr>
        <w:t>а</w:t>
      </w:r>
      <w:r w:rsidR="00CA5936" w:rsidRPr="00FF386D">
        <w:rPr>
          <w:rFonts w:ascii="Calibri Light" w:eastAsia="Calibri" w:hAnsi="Calibri Light" w:cs="Calibri Light"/>
          <w:lang w:eastAsia="el-GR"/>
        </w:rPr>
        <w:t xml:space="preserve"> Акционог плана, ов</w:t>
      </w:r>
      <w:r w:rsidR="006905A9" w:rsidRPr="00FF386D">
        <w:rPr>
          <w:rFonts w:ascii="Calibri Light" w:eastAsia="Calibri" w:hAnsi="Calibri Light" w:cs="Calibri Light"/>
          <w:lang w:eastAsia="el-GR"/>
        </w:rPr>
        <w:t>е</w:t>
      </w:r>
      <w:r w:rsidR="00CA5936" w:rsidRPr="00FF386D">
        <w:rPr>
          <w:rFonts w:ascii="Calibri Light" w:eastAsia="Calibri" w:hAnsi="Calibri Light" w:cs="Calibri Light"/>
          <w:lang w:eastAsia="el-GR"/>
        </w:rPr>
        <w:t xml:space="preserve"> инвестициј</w:t>
      </w:r>
      <w:r w:rsidR="006905A9" w:rsidRPr="00FF386D">
        <w:rPr>
          <w:rFonts w:ascii="Calibri Light" w:eastAsia="Calibri" w:hAnsi="Calibri Light" w:cs="Calibri Light"/>
          <w:lang w:eastAsia="el-GR"/>
        </w:rPr>
        <w:t xml:space="preserve">е се могу финансирати </w:t>
      </w:r>
      <w:r w:rsidR="00CA5936" w:rsidRPr="00FF386D">
        <w:rPr>
          <w:rFonts w:ascii="Calibri Light" w:eastAsia="Calibri" w:hAnsi="Calibri Light" w:cs="Calibri Light"/>
          <w:lang w:eastAsia="el-GR"/>
        </w:rPr>
        <w:t xml:space="preserve">из јавних средстава или </w:t>
      </w:r>
      <w:r w:rsidR="00456276" w:rsidRPr="00FF386D">
        <w:rPr>
          <w:rFonts w:ascii="Calibri Light" w:eastAsia="Calibri" w:hAnsi="Calibri Light" w:cs="Calibri Light"/>
          <w:lang w:eastAsia="el-GR"/>
        </w:rPr>
        <w:t>приватних (</w:t>
      </w:r>
      <w:r w:rsidR="00CA5936" w:rsidRPr="00FF386D">
        <w:rPr>
          <w:rFonts w:ascii="Calibri Light" w:eastAsia="Calibri" w:hAnsi="Calibri Light" w:cs="Calibri Light"/>
          <w:lang w:eastAsia="el-GR"/>
        </w:rPr>
        <w:t>сопствен</w:t>
      </w:r>
      <w:r w:rsidR="00456276" w:rsidRPr="00FF386D">
        <w:rPr>
          <w:rFonts w:ascii="Calibri Light" w:eastAsia="Calibri" w:hAnsi="Calibri Light" w:cs="Calibri Light"/>
          <w:lang w:eastAsia="el-GR"/>
        </w:rPr>
        <w:t>а</w:t>
      </w:r>
      <w:r w:rsidR="00CA5936" w:rsidRPr="00FF386D">
        <w:rPr>
          <w:rFonts w:ascii="Calibri Light" w:eastAsia="Calibri" w:hAnsi="Calibri Light" w:cs="Calibri Light"/>
          <w:lang w:eastAsia="el-GR"/>
        </w:rPr>
        <w:t xml:space="preserve"> средст</w:t>
      </w:r>
      <w:r w:rsidR="00456276" w:rsidRPr="00FF386D">
        <w:rPr>
          <w:rFonts w:ascii="Calibri Light" w:eastAsia="Calibri" w:hAnsi="Calibri Light" w:cs="Calibri Light"/>
          <w:lang w:eastAsia="el-GR"/>
        </w:rPr>
        <w:t xml:space="preserve">ва) </w:t>
      </w:r>
      <w:r w:rsidR="00CA5936" w:rsidRPr="00FF386D">
        <w:rPr>
          <w:rFonts w:ascii="Calibri Light" w:eastAsia="Calibri" w:hAnsi="Calibri Light" w:cs="Calibri Light"/>
          <w:lang w:eastAsia="el-GR"/>
        </w:rPr>
        <w:t xml:space="preserve">или </w:t>
      </w:r>
      <w:r w:rsidR="006905A9" w:rsidRPr="00FF386D">
        <w:rPr>
          <w:rFonts w:ascii="Calibri Light" w:eastAsia="Calibri" w:hAnsi="Calibri Light" w:cs="Calibri Light"/>
          <w:lang w:eastAsia="el-GR"/>
        </w:rPr>
        <w:t>комбинацијом ова два начина.</w:t>
      </w:r>
    </w:p>
    <w:p w14:paraId="76B8EF1F" w14:textId="46C690AA" w:rsidR="00CA5936" w:rsidRPr="00C312D6" w:rsidRDefault="00292EE7" w:rsidP="00292EE7">
      <w:pPr>
        <w:pStyle w:val="Heading2"/>
        <w:numPr>
          <w:ilvl w:val="0"/>
          <w:numId w:val="0"/>
        </w:numPr>
        <w:rPr>
          <w:lang w:val="sr-Cyrl-RS"/>
        </w:rPr>
      </w:pPr>
      <w:bookmarkStart w:id="467" w:name="_Toc115351885"/>
      <w:bookmarkStart w:id="468" w:name="_Toc137457039"/>
      <w:bookmarkStart w:id="469" w:name="_Toc153901563"/>
      <w:r w:rsidRPr="00C312D6">
        <w:rPr>
          <w:lang w:val="sr-Cyrl-RS"/>
        </w:rPr>
        <w:t>5.4</w:t>
      </w:r>
      <w:r w:rsidRPr="00C312D6">
        <w:rPr>
          <w:lang w:val="sr-Cyrl-RS"/>
        </w:rPr>
        <w:tab/>
      </w:r>
      <w:r w:rsidR="00CA5936" w:rsidRPr="00C312D6">
        <w:rPr>
          <w:lang w:val="sr-Cyrl-RS"/>
        </w:rPr>
        <w:t>Утицаји планираних политика и мера на друге уговорне стране Енергетске заједнице и државе чланице Европске уније и регионалну сарадњу</w:t>
      </w:r>
      <w:r w:rsidR="0042777E" w:rsidRPr="00C312D6">
        <w:rPr>
          <w:lang w:val="sr-Cyrl-RS"/>
        </w:rPr>
        <w:t xml:space="preserve">, </w:t>
      </w:r>
      <w:r w:rsidR="00CA5936" w:rsidRPr="00C312D6">
        <w:rPr>
          <w:lang w:val="sr-Cyrl-RS"/>
        </w:rPr>
        <w:t>укључујући поређење пројекција са постојећим политикама и мерама</w:t>
      </w:r>
      <w:bookmarkEnd w:id="467"/>
      <w:bookmarkEnd w:id="468"/>
      <w:bookmarkEnd w:id="469"/>
    </w:p>
    <w:p w14:paraId="2FBA6C67" w14:textId="4CDE31E2" w:rsidR="00CA5936" w:rsidRPr="000A2AFE" w:rsidRDefault="00CA5936" w:rsidP="000A2AFE">
      <w:pPr>
        <w:pStyle w:val="ListParagraph"/>
        <w:keepNext/>
        <w:keepLines/>
        <w:numPr>
          <w:ilvl w:val="0"/>
          <w:numId w:val="388"/>
        </w:numPr>
        <w:spacing w:before="200" w:after="0" w:line="240" w:lineRule="auto"/>
        <w:outlineLvl w:val="3"/>
        <w:rPr>
          <w:rFonts w:ascii="Calibri Light" w:eastAsia="Times New Roman" w:hAnsi="Calibri Light" w:cs="Times New Roman"/>
          <w:b/>
          <w:bCs/>
          <w:iCs/>
          <w:color w:val="01406B"/>
          <w:szCs w:val="24"/>
          <w:lang w:bidi="sr-Cyrl-CS"/>
        </w:rPr>
      </w:pPr>
      <w:r w:rsidRPr="000A2AFE">
        <w:rPr>
          <w:rFonts w:ascii="Calibri Light" w:eastAsia="Times New Roman" w:hAnsi="Calibri Light" w:cs="Times New Roman"/>
          <w:b/>
          <w:bCs/>
          <w:iCs/>
          <w:color w:val="01406B"/>
          <w:szCs w:val="24"/>
          <w:lang w:bidi="sr-Cyrl-CS"/>
        </w:rPr>
        <w:t xml:space="preserve">Утицаји на енергетски систем у суседним </w:t>
      </w:r>
      <w:r w:rsidR="005F362F" w:rsidRPr="000A2AFE">
        <w:rPr>
          <w:rFonts w:ascii="Calibri Light" w:eastAsia="Times New Roman" w:hAnsi="Calibri Light" w:cs="Times New Roman"/>
          <w:b/>
          <w:bCs/>
          <w:iCs/>
          <w:color w:val="01406B"/>
          <w:szCs w:val="24"/>
          <w:lang w:bidi="sr-Cyrl-CS"/>
        </w:rPr>
        <w:t xml:space="preserve">државама </w:t>
      </w:r>
      <w:r w:rsidRPr="000A2AFE">
        <w:rPr>
          <w:rFonts w:ascii="Calibri Light" w:eastAsia="Times New Roman" w:hAnsi="Calibri Light" w:cs="Times New Roman"/>
          <w:b/>
          <w:bCs/>
          <w:iCs/>
          <w:color w:val="01406B"/>
          <w:szCs w:val="24"/>
          <w:lang w:bidi="sr-Cyrl-CS"/>
        </w:rPr>
        <w:t>и другим државама чланицама у региону у мери у којој је то могуће</w:t>
      </w:r>
    </w:p>
    <w:p w14:paraId="53B324A7" w14:textId="717FF889" w:rsidR="00CA5936" w:rsidRPr="00FF386D" w:rsidRDefault="00CA5936" w:rsidP="00565B02">
      <w:pPr>
        <w:widowControl w:val="0"/>
        <w:spacing w:before="120" w:after="120" w:line="240" w:lineRule="auto"/>
        <w:jc w:val="both"/>
        <w:rPr>
          <w:rFonts w:ascii="Calibri Light" w:eastAsia="Times New Roman" w:hAnsi="Calibri Light" w:cs="Calibri Light"/>
          <w:szCs w:val="20"/>
          <w:lang w:eastAsia="el-GR" w:bidi="sr-Cyrl-CS"/>
        </w:rPr>
      </w:pPr>
      <w:r w:rsidRPr="00FF386D">
        <w:rPr>
          <w:rFonts w:ascii="Calibri Light" w:eastAsia="Times New Roman" w:hAnsi="Calibri Light" w:cs="Calibri Light"/>
          <w:szCs w:val="20"/>
          <w:lang w:eastAsia="el-GR" w:bidi="sr-Cyrl-CS"/>
        </w:rPr>
        <w:t xml:space="preserve">Енергетско тржиште Србије је највеће у региону </w:t>
      </w:r>
      <w:r w:rsidR="00172392" w:rsidRPr="00FF386D">
        <w:rPr>
          <w:rFonts w:ascii="Calibri Light" w:eastAsia="Times New Roman" w:hAnsi="Calibri Light" w:cs="Calibri Light"/>
          <w:szCs w:val="20"/>
          <w:lang w:eastAsia="el-GR" w:bidi="sr-Cyrl-CS"/>
        </w:rPr>
        <w:t xml:space="preserve">Балкана у оквиру </w:t>
      </w:r>
      <w:r w:rsidRPr="00FF386D">
        <w:rPr>
          <w:rFonts w:ascii="Calibri Light" w:eastAsia="Times New Roman" w:hAnsi="Calibri Light" w:cs="Calibri Light"/>
          <w:szCs w:val="20"/>
          <w:lang w:eastAsia="el-GR" w:bidi="sr-Cyrl-CS"/>
        </w:rPr>
        <w:t>Енергетске заједнице. Енергетски сектор у великој мери зависи од фосилних горива, која се углавном користе у неефикасној инфраструктури, као што су електране, топлане и путничка возила.</w:t>
      </w:r>
    </w:p>
    <w:p w14:paraId="1A91F110" w14:textId="32B62924" w:rsidR="00CA5936" w:rsidRPr="00FF386D" w:rsidRDefault="00CA5936" w:rsidP="00CA5936">
      <w:pPr>
        <w:widowControl w:val="0"/>
        <w:spacing w:after="120" w:line="240" w:lineRule="auto"/>
        <w:jc w:val="both"/>
        <w:rPr>
          <w:rFonts w:ascii="Calibri Light" w:eastAsia="Times New Roman" w:hAnsi="Calibri Light" w:cs="Calibri Light"/>
          <w:szCs w:val="20"/>
          <w:lang w:eastAsia="el-GR" w:bidi="sr-Cyrl-CS"/>
        </w:rPr>
      </w:pPr>
      <w:r w:rsidRPr="00FF386D">
        <w:rPr>
          <w:rFonts w:ascii="Calibri Light" w:eastAsia="Times New Roman" w:hAnsi="Calibri Light" w:cs="Calibri Light"/>
          <w:szCs w:val="20"/>
          <w:lang w:eastAsia="el-GR" w:bidi="sr-Cyrl-CS"/>
        </w:rPr>
        <w:t xml:space="preserve">Ипак, Србија има добро повезан систем преноса који је осмишљен као окосница много већег система. Преносни систем не показује „структурална ограничења“, а чињеница да Србија има 8 граница са великим </w:t>
      </w:r>
      <w:r w:rsidR="00885625">
        <w:rPr>
          <w:rFonts w:ascii="Calibri Light" w:eastAsia="Times New Roman" w:hAnsi="Calibri Light" w:cs="Calibri Light"/>
          <w:szCs w:val="20"/>
          <w:lang w:eastAsia="el-GR" w:bidi="sr-Cyrl-CS"/>
        </w:rPr>
        <w:t xml:space="preserve">прекограничним </w:t>
      </w:r>
      <w:r w:rsidRPr="00FF386D">
        <w:rPr>
          <w:rFonts w:ascii="Calibri Light" w:eastAsia="Times New Roman" w:hAnsi="Calibri Light" w:cs="Calibri Light"/>
          <w:szCs w:val="20"/>
          <w:lang w:eastAsia="el-GR" w:bidi="sr-Cyrl-CS"/>
        </w:rPr>
        <w:t xml:space="preserve">капацитетом показатељ </w:t>
      </w:r>
      <w:r w:rsidR="00885625">
        <w:rPr>
          <w:rFonts w:ascii="Calibri Light" w:eastAsia="Times New Roman" w:hAnsi="Calibri Light" w:cs="Calibri Light"/>
          <w:szCs w:val="20"/>
          <w:lang w:eastAsia="el-GR" w:bidi="sr-Cyrl-CS"/>
        </w:rPr>
        <w:t xml:space="preserve">је тога </w:t>
      </w:r>
      <w:r w:rsidRPr="00FF386D">
        <w:rPr>
          <w:rFonts w:ascii="Calibri Light" w:eastAsia="Times New Roman" w:hAnsi="Calibri Light" w:cs="Calibri Light"/>
          <w:szCs w:val="20"/>
          <w:lang w:eastAsia="el-GR" w:bidi="sr-Cyrl-CS"/>
        </w:rPr>
        <w:t xml:space="preserve">колико добро систем </w:t>
      </w:r>
      <w:r w:rsidR="00172392" w:rsidRPr="00FF386D">
        <w:rPr>
          <w:rFonts w:ascii="Calibri Light" w:eastAsia="Times New Roman" w:hAnsi="Calibri Light" w:cs="Calibri Light"/>
          <w:szCs w:val="20"/>
          <w:lang w:eastAsia="el-GR" w:bidi="sr-Cyrl-CS"/>
        </w:rPr>
        <w:t xml:space="preserve">Србије </w:t>
      </w:r>
      <w:r w:rsidRPr="00FF386D">
        <w:rPr>
          <w:rFonts w:ascii="Calibri Light" w:eastAsia="Times New Roman" w:hAnsi="Calibri Light" w:cs="Calibri Light"/>
          <w:szCs w:val="20"/>
          <w:lang w:eastAsia="el-GR" w:bidi="sr-Cyrl-CS"/>
        </w:rPr>
        <w:t xml:space="preserve">може да интегрише релативно велики ниво варијабилних обновљивих извора енергије </w:t>
      </w:r>
      <w:r w:rsidRPr="00FF386D">
        <w:rPr>
          <w:rFonts w:ascii="Calibri Light" w:eastAsia="Times New Roman" w:hAnsi="Calibri Light" w:cs="Calibri Light"/>
          <w:i/>
          <w:szCs w:val="20"/>
          <w:lang w:eastAsia="el-GR" w:bidi="sr-Cyrl-CS"/>
        </w:rPr>
        <w:t>(ОИЕ).</w:t>
      </w:r>
      <w:r w:rsidRPr="00FF386D">
        <w:rPr>
          <w:rFonts w:ascii="Calibri Light" w:eastAsia="Times New Roman" w:hAnsi="Calibri Light" w:cs="Calibri Light"/>
          <w:szCs w:val="20"/>
          <w:lang w:eastAsia="el-GR" w:bidi="sr-Cyrl-CS"/>
        </w:rPr>
        <w:t xml:space="preserve"> С друге стране, релативно нефлексибилна производна </w:t>
      </w:r>
      <w:r w:rsidR="00172392" w:rsidRPr="00FF386D">
        <w:rPr>
          <w:rFonts w:ascii="Calibri Light" w:eastAsia="Times New Roman" w:hAnsi="Calibri Light" w:cs="Calibri Light"/>
          <w:szCs w:val="20"/>
          <w:lang w:eastAsia="el-GR" w:bidi="sr-Cyrl-CS"/>
        </w:rPr>
        <w:t>инфраструктура</w:t>
      </w:r>
      <w:r w:rsidRPr="00FF386D">
        <w:rPr>
          <w:rFonts w:ascii="Calibri Light" w:eastAsia="Times New Roman" w:hAnsi="Calibri Light" w:cs="Calibri Light"/>
          <w:szCs w:val="20"/>
          <w:lang w:eastAsia="el-GR" w:bidi="sr-Cyrl-CS"/>
        </w:rPr>
        <w:t xml:space="preserve"> захтева побољшана решења </w:t>
      </w:r>
      <w:r w:rsidR="00172392" w:rsidRPr="00FF386D">
        <w:rPr>
          <w:rFonts w:ascii="Calibri Light" w:eastAsia="Times New Roman" w:hAnsi="Calibri Light" w:cs="Calibri Light"/>
          <w:szCs w:val="20"/>
          <w:lang w:eastAsia="el-GR" w:bidi="sr-Cyrl-CS"/>
        </w:rPr>
        <w:t xml:space="preserve">у погледу </w:t>
      </w:r>
      <w:r w:rsidRPr="00FF386D">
        <w:rPr>
          <w:rFonts w:ascii="Calibri Light" w:eastAsia="Times New Roman" w:hAnsi="Calibri Light" w:cs="Calibri Light"/>
          <w:szCs w:val="20"/>
          <w:lang w:eastAsia="el-GR" w:bidi="sr-Cyrl-CS"/>
        </w:rPr>
        <w:t>флексибилности (као на пример складиште енергије)</w:t>
      </w:r>
      <w:r w:rsidR="004527C4" w:rsidRPr="00FF386D">
        <w:rPr>
          <w:rFonts w:ascii="Calibri Light" w:eastAsia="Times New Roman" w:hAnsi="Calibri Light" w:cs="Calibri Light"/>
          <w:szCs w:val="20"/>
          <w:lang w:eastAsia="el-GR" w:bidi="sr-Cyrl-CS"/>
        </w:rPr>
        <w:t>,</w:t>
      </w:r>
      <w:r w:rsidRPr="00FF386D">
        <w:rPr>
          <w:rFonts w:ascii="Calibri Light" w:eastAsia="Times New Roman" w:hAnsi="Calibri Light" w:cs="Calibri Light"/>
          <w:szCs w:val="20"/>
          <w:lang w:eastAsia="el-GR" w:bidi="sr-Cyrl-CS"/>
        </w:rPr>
        <w:t xml:space="preserve"> к</w:t>
      </w:r>
      <w:r w:rsidR="004527C4" w:rsidRPr="00FF386D">
        <w:rPr>
          <w:rFonts w:ascii="Calibri Light" w:eastAsia="Times New Roman" w:hAnsi="Calibri Light" w:cs="Calibri Light"/>
          <w:szCs w:val="20"/>
          <w:lang w:eastAsia="el-GR" w:bidi="sr-Cyrl-CS"/>
        </w:rPr>
        <w:t>оја би била адекватна за</w:t>
      </w:r>
      <w:r w:rsidRPr="00FF386D">
        <w:rPr>
          <w:rFonts w:ascii="Calibri Light" w:eastAsia="Times New Roman" w:hAnsi="Calibri Light" w:cs="Calibri Light"/>
          <w:szCs w:val="20"/>
          <w:lang w:eastAsia="el-GR" w:bidi="sr-Cyrl-CS"/>
        </w:rPr>
        <w:t xml:space="preserve"> повећан</w:t>
      </w:r>
      <w:r w:rsidR="004527C4" w:rsidRPr="00FF386D">
        <w:rPr>
          <w:rFonts w:ascii="Calibri Light" w:eastAsia="Times New Roman" w:hAnsi="Calibri Light" w:cs="Calibri Light"/>
          <w:szCs w:val="20"/>
          <w:lang w:eastAsia="el-GR" w:bidi="sr-Cyrl-CS"/>
        </w:rPr>
        <w:t>е</w:t>
      </w:r>
      <w:r w:rsidRPr="00FF386D">
        <w:rPr>
          <w:rFonts w:ascii="Calibri Light" w:eastAsia="Times New Roman" w:hAnsi="Calibri Light" w:cs="Calibri Light"/>
          <w:szCs w:val="20"/>
          <w:lang w:eastAsia="el-GR" w:bidi="sr-Cyrl-CS"/>
        </w:rPr>
        <w:t xml:space="preserve"> нив</w:t>
      </w:r>
      <w:r w:rsidR="004527C4" w:rsidRPr="00FF386D">
        <w:rPr>
          <w:rFonts w:ascii="Calibri Light" w:eastAsia="Times New Roman" w:hAnsi="Calibri Light" w:cs="Calibri Light"/>
          <w:szCs w:val="20"/>
          <w:lang w:eastAsia="el-GR" w:bidi="sr-Cyrl-CS"/>
        </w:rPr>
        <w:t>ое</w:t>
      </w:r>
      <w:r w:rsidRPr="00FF386D">
        <w:rPr>
          <w:rFonts w:ascii="Calibri Light" w:eastAsia="Times New Roman" w:hAnsi="Calibri Light" w:cs="Calibri Light"/>
          <w:szCs w:val="20"/>
          <w:lang w:eastAsia="el-GR" w:bidi="sr-Cyrl-CS"/>
        </w:rPr>
        <w:t xml:space="preserve"> капацитета варијабилних ОИЕ.</w:t>
      </w:r>
    </w:p>
    <w:p w14:paraId="6BD9B6D8" w14:textId="77777777" w:rsidR="00CA5936" w:rsidRPr="00FF386D" w:rsidRDefault="00CA5936" w:rsidP="00CA5936">
      <w:pPr>
        <w:widowControl w:val="0"/>
        <w:spacing w:after="120" w:line="240" w:lineRule="auto"/>
        <w:jc w:val="both"/>
        <w:rPr>
          <w:rFonts w:ascii="Calibri Light" w:eastAsia="Times New Roman" w:hAnsi="Calibri Light" w:cs="Calibri Light"/>
          <w:szCs w:val="20"/>
          <w:lang w:eastAsia="el-GR" w:bidi="sr-Cyrl-CS"/>
        </w:rPr>
      </w:pPr>
      <w:r w:rsidRPr="00FF386D">
        <w:rPr>
          <w:rFonts w:ascii="Calibri Light" w:eastAsia="Times New Roman" w:hAnsi="Calibri Light" w:cs="Calibri Light"/>
          <w:szCs w:val="20"/>
          <w:lang w:eastAsia="el-GR" w:bidi="sr-Cyrl-CS"/>
        </w:rPr>
        <w:t>ЕМС планира обимна улагања у надоградњу постојеће инфраструктуре, као и за нове преносне капацитете. Таква инфраструктура ће побољшати сигурност снабдевања корисника преносног система и повећати прекограничне капацитете. Ово је од великог значаја јер је Србија повезана са осам суседних земаља (Румунијом, Мађарском, Хрватском, Босном, Црном Гором, Северном Македонијом, Албанијом и Бугарском). Постојећи и планирани интерконектори наглашавају улогу Србије као земље транзита енергије на Балкану и потенцијалног енергетског чворишта.</w:t>
      </w:r>
    </w:p>
    <w:p w14:paraId="697C28E2" w14:textId="11552186" w:rsidR="00CA5936" w:rsidRPr="00FF386D" w:rsidRDefault="00292EE7" w:rsidP="00CA5936">
      <w:pPr>
        <w:keepNext/>
        <w:keepLines/>
        <w:spacing w:before="200" w:after="0" w:line="240" w:lineRule="auto"/>
        <w:ind w:left="720" w:hanging="360"/>
        <w:outlineLvl w:val="3"/>
        <w:rPr>
          <w:rFonts w:ascii="Calibri Light" w:eastAsia="Times New Roman" w:hAnsi="Calibri Light" w:cs="Times New Roman"/>
          <w:b/>
          <w:bCs/>
          <w:iCs/>
          <w:color w:val="01406B"/>
          <w:szCs w:val="24"/>
        </w:rPr>
      </w:pPr>
      <w:r w:rsidRPr="000A2AFE">
        <w:rPr>
          <w:rFonts w:ascii="Calibri Light" w:eastAsia="Times New Roman" w:hAnsi="Calibri Light" w:cs="Times New Roman"/>
          <w:b/>
          <w:bCs/>
          <w:iCs/>
          <w:color w:val="01406B"/>
          <w:szCs w:val="24"/>
          <w:lang w:bidi="sr-Cyrl-CS"/>
        </w:rPr>
        <w:lastRenderedPageBreak/>
        <w:t>i</w:t>
      </w:r>
      <w:r w:rsidR="00CA5936" w:rsidRPr="00FF386D">
        <w:rPr>
          <w:rFonts w:ascii="Calibri Light" w:eastAsia="Times New Roman" w:hAnsi="Calibri Light" w:cs="Times New Roman"/>
          <w:b/>
          <w:bCs/>
          <w:iCs/>
          <w:color w:val="01406B"/>
          <w:szCs w:val="24"/>
          <w:lang w:bidi="sr-Cyrl-CS"/>
        </w:rPr>
        <w:t>i</w:t>
      </w:r>
      <w:r w:rsidR="00CA5936" w:rsidRPr="00FF386D">
        <w:rPr>
          <w:rFonts w:ascii="Calibri Light" w:eastAsia="Times New Roman" w:hAnsi="Calibri Light" w:cs="Times New Roman"/>
          <w:b/>
          <w:bCs/>
          <w:iCs/>
          <w:color w:val="01406B"/>
          <w:szCs w:val="24"/>
          <w:lang w:bidi="sr-Cyrl-CS"/>
        </w:rPr>
        <w:tab/>
        <w:t>Утицаји на цене енергије, комуналне услуге и интеграцију тржишта енергије</w:t>
      </w:r>
    </w:p>
    <w:p w14:paraId="5B3967BA" w14:textId="09F3C42F" w:rsidR="00CA5936" w:rsidRPr="00FF386D" w:rsidRDefault="004527C4" w:rsidP="00565B02">
      <w:pPr>
        <w:widowControl w:val="0"/>
        <w:spacing w:before="120" w:after="120" w:line="240" w:lineRule="auto"/>
        <w:jc w:val="both"/>
        <w:rPr>
          <w:rFonts w:ascii="Calibri Light" w:eastAsia="Times New Roman" w:hAnsi="Calibri Light" w:cs="Calibri Light"/>
          <w:szCs w:val="20"/>
          <w:lang w:eastAsia="el-GR"/>
        </w:rPr>
      </w:pPr>
      <w:r w:rsidRPr="00FF386D">
        <w:rPr>
          <w:rFonts w:ascii="Calibri Light" w:eastAsia="Times New Roman" w:hAnsi="Calibri Light" w:cs="Calibri Light"/>
          <w:szCs w:val="20"/>
          <w:lang w:eastAsia="el-GR" w:bidi="sr-Cyrl-CS"/>
        </w:rPr>
        <w:t>Пројектовано је</w:t>
      </w:r>
      <w:r w:rsidR="00CA5936" w:rsidRPr="00FF386D">
        <w:rPr>
          <w:rFonts w:ascii="Calibri Light" w:eastAsia="Times New Roman" w:hAnsi="Calibri Light" w:cs="Calibri Light"/>
          <w:szCs w:val="20"/>
          <w:lang w:eastAsia="el-GR" w:bidi="sr-Cyrl-CS"/>
        </w:rPr>
        <w:t xml:space="preserve"> да ће </w:t>
      </w:r>
      <w:r w:rsidRPr="00FF386D">
        <w:rPr>
          <w:rFonts w:ascii="Calibri Light" w:eastAsia="Times New Roman" w:hAnsi="Calibri Light" w:cs="Calibri Light"/>
          <w:szCs w:val="20"/>
          <w:lang w:eastAsia="el-GR" w:bidi="sr-Cyrl-CS"/>
        </w:rPr>
        <w:t xml:space="preserve">се </w:t>
      </w:r>
      <w:r w:rsidR="00CA5936" w:rsidRPr="00FF386D">
        <w:rPr>
          <w:rFonts w:ascii="Calibri Light" w:eastAsia="Times New Roman" w:hAnsi="Calibri Light" w:cs="Calibri Light"/>
          <w:szCs w:val="20"/>
          <w:lang w:eastAsia="el-GR" w:bidi="sr-Cyrl-CS"/>
        </w:rPr>
        <w:t xml:space="preserve">зависност од увоза нафте и </w:t>
      </w:r>
      <w:r w:rsidRPr="00FF386D">
        <w:rPr>
          <w:rFonts w:ascii="Calibri Light" w:eastAsia="Times New Roman" w:hAnsi="Calibri Light" w:cs="Calibri Light"/>
          <w:szCs w:val="20"/>
          <w:lang w:eastAsia="el-GR" w:bidi="sr-Cyrl-CS"/>
        </w:rPr>
        <w:t>деривата нафте</w:t>
      </w:r>
      <w:r w:rsidR="00CA5936" w:rsidRPr="00FF386D">
        <w:rPr>
          <w:rFonts w:ascii="Calibri Light" w:eastAsia="Times New Roman" w:hAnsi="Calibri Light" w:cs="Calibri Light"/>
          <w:szCs w:val="20"/>
          <w:lang w:eastAsia="el-GR" w:bidi="sr-Cyrl-CS"/>
        </w:rPr>
        <w:t xml:space="preserve"> п</w:t>
      </w:r>
      <w:r w:rsidRPr="00FF386D">
        <w:rPr>
          <w:rFonts w:ascii="Calibri Light" w:eastAsia="Times New Roman" w:hAnsi="Calibri Light" w:cs="Calibri Light"/>
          <w:szCs w:val="20"/>
          <w:lang w:eastAsia="el-GR" w:bidi="sr-Cyrl-CS"/>
        </w:rPr>
        <w:t xml:space="preserve">овећати </w:t>
      </w:r>
      <w:r w:rsidR="00CA5936" w:rsidRPr="00FF386D">
        <w:rPr>
          <w:rFonts w:ascii="Calibri Light" w:eastAsia="Times New Roman" w:hAnsi="Calibri Light" w:cs="Calibri Light"/>
          <w:szCs w:val="20"/>
          <w:lang w:eastAsia="el-GR" w:bidi="sr-Cyrl-CS"/>
        </w:rPr>
        <w:t>са 76% у 2019. години на 97% у 2050.</w:t>
      </w:r>
      <w:r w:rsidRPr="00FF386D">
        <w:rPr>
          <w:rFonts w:ascii="Calibri Light" w:eastAsia="Times New Roman" w:hAnsi="Calibri Light" w:cs="Calibri Light"/>
          <w:szCs w:val="20"/>
          <w:lang w:eastAsia="el-GR" w:bidi="sr-Cyrl-CS"/>
        </w:rPr>
        <w:t xml:space="preserve"> г</w:t>
      </w:r>
      <w:r w:rsidR="00CA5936" w:rsidRPr="00FF386D">
        <w:rPr>
          <w:rFonts w:ascii="Calibri Light" w:eastAsia="Times New Roman" w:hAnsi="Calibri Light" w:cs="Calibri Light"/>
          <w:szCs w:val="20"/>
          <w:lang w:eastAsia="el-GR" w:bidi="sr-Cyrl-CS"/>
        </w:rPr>
        <w:t>одини</w:t>
      </w:r>
      <w:r w:rsidRPr="00FF386D">
        <w:rPr>
          <w:rFonts w:ascii="Calibri Light" w:eastAsia="Times New Roman" w:hAnsi="Calibri Light" w:cs="Calibri Light"/>
          <w:szCs w:val="20"/>
          <w:lang w:eastAsia="el-GR" w:bidi="sr-Cyrl-CS"/>
        </w:rPr>
        <w:t>, а да ће зависност од увоза природног гаса пратити сличан узлазни тренд, са</w:t>
      </w:r>
      <w:r w:rsidR="00CA5936" w:rsidRPr="00FF386D">
        <w:rPr>
          <w:rFonts w:ascii="Calibri Light" w:eastAsia="Times New Roman" w:hAnsi="Calibri Light" w:cs="Calibri Light"/>
          <w:szCs w:val="20"/>
          <w:lang w:eastAsia="el-GR" w:bidi="sr-Cyrl-CS"/>
        </w:rPr>
        <w:t xml:space="preserve"> 84% у 2019. на 94% у 2050. години. Међутим, </w:t>
      </w:r>
      <w:r w:rsidRPr="00FF386D">
        <w:rPr>
          <w:rFonts w:ascii="Calibri Light" w:eastAsia="Times New Roman" w:hAnsi="Calibri Light" w:cs="Calibri Light"/>
          <w:szCs w:val="20"/>
          <w:lang w:eastAsia="el-GR" w:bidi="sr-Cyrl-CS"/>
        </w:rPr>
        <w:t xml:space="preserve">пројектовано је да ће </w:t>
      </w:r>
      <w:r w:rsidR="00CA5936" w:rsidRPr="00FF386D">
        <w:rPr>
          <w:rFonts w:ascii="Calibri Light" w:eastAsia="Times New Roman" w:hAnsi="Calibri Light" w:cs="Calibri Light"/>
          <w:szCs w:val="20"/>
          <w:lang w:eastAsia="el-GR" w:bidi="sr-Cyrl-CS"/>
        </w:rPr>
        <w:t xml:space="preserve">увозна зависност електричне енергије </w:t>
      </w:r>
      <w:r w:rsidRPr="00FF386D">
        <w:rPr>
          <w:rFonts w:ascii="Calibri Light" w:eastAsia="Times New Roman" w:hAnsi="Calibri Light" w:cs="Calibri Light"/>
          <w:szCs w:val="20"/>
          <w:lang w:eastAsia="el-GR" w:bidi="sr-Cyrl-CS"/>
        </w:rPr>
        <w:t xml:space="preserve">остати </w:t>
      </w:r>
      <w:r w:rsidR="00CA5936" w:rsidRPr="00FF386D">
        <w:rPr>
          <w:rFonts w:ascii="Calibri Light" w:eastAsia="Times New Roman" w:hAnsi="Calibri Light" w:cs="Calibri Light"/>
          <w:szCs w:val="20"/>
          <w:lang w:eastAsia="el-GR" w:bidi="sr-Cyrl-CS"/>
        </w:rPr>
        <w:t xml:space="preserve">на до сада </w:t>
      </w:r>
      <w:r w:rsidRPr="00FF386D">
        <w:rPr>
          <w:rFonts w:ascii="Calibri Light" w:eastAsia="Times New Roman" w:hAnsi="Calibri Light" w:cs="Calibri Light"/>
          <w:szCs w:val="20"/>
          <w:lang w:eastAsia="el-GR" w:bidi="sr-Cyrl-CS"/>
        </w:rPr>
        <w:t xml:space="preserve">приказаним </w:t>
      </w:r>
      <w:r w:rsidR="00CA5936" w:rsidRPr="00FF386D">
        <w:rPr>
          <w:rFonts w:ascii="Calibri Light" w:eastAsia="Times New Roman" w:hAnsi="Calibri Light" w:cs="Calibri Light"/>
          <w:szCs w:val="20"/>
          <w:lang w:eastAsia="el-GR" w:bidi="sr-Cyrl-CS"/>
        </w:rPr>
        <w:t xml:space="preserve">нивоима, у опсегу од 0% у 2019. године </w:t>
      </w:r>
      <w:r w:rsidRPr="00FF386D">
        <w:rPr>
          <w:rFonts w:ascii="Calibri Light" w:eastAsia="Times New Roman" w:hAnsi="Calibri Light" w:cs="Calibri Light"/>
          <w:szCs w:val="20"/>
          <w:lang w:eastAsia="el-GR" w:bidi="sr-Cyrl-CS"/>
        </w:rPr>
        <w:t xml:space="preserve">па </w:t>
      </w:r>
      <w:r w:rsidR="00CA5936" w:rsidRPr="00FF386D">
        <w:rPr>
          <w:rFonts w:ascii="Calibri Light" w:eastAsia="Times New Roman" w:hAnsi="Calibri Light" w:cs="Calibri Light"/>
          <w:szCs w:val="20"/>
          <w:lang w:eastAsia="el-GR" w:bidi="sr-Cyrl-CS"/>
        </w:rPr>
        <w:t xml:space="preserve">до мањих негативних вредности до 2050. године, чиме ће се обезбедити независност Републике Србије у </w:t>
      </w:r>
      <w:r w:rsidRPr="00FF386D">
        <w:rPr>
          <w:rFonts w:ascii="Calibri Light" w:eastAsia="Times New Roman" w:hAnsi="Calibri Light" w:cs="Calibri Light"/>
          <w:szCs w:val="20"/>
          <w:lang w:eastAsia="el-GR" w:bidi="sr-Cyrl-CS"/>
        </w:rPr>
        <w:t>погледу</w:t>
      </w:r>
      <w:r w:rsidR="00CA5936" w:rsidRPr="00FF386D">
        <w:rPr>
          <w:rFonts w:ascii="Calibri Light" w:eastAsia="Times New Roman" w:hAnsi="Calibri Light" w:cs="Calibri Light"/>
          <w:szCs w:val="20"/>
          <w:lang w:eastAsia="el-GR" w:bidi="sr-Cyrl-CS"/>
        </w:rPr>
        <w:t xml:space="preserve"> електричне енергије. Ово </w:t>
      </w:r>
      <w:r w:rsidR="00BC2241" w:rsidRPr="00FF386D">
        <w:rPr>
          <w:rFonts w:ascii="Calibri Light" w:eastAsia="Times New Roman" w:hAnsi="Calibri Light" w:cs="Calibri Light"/>
          <w:szCs w:val="20"/>
          <w:lang w:eastAsia="el-GR" w:bidi="sr-Cyrl-CS"/>
        </w:rPr>
        <w:t>се постиже</w:t>
      </w:r>
      <w:r w:rsidR="00CA5936" w:rsidRPr="00FF386D">
        <w:rPr>
          <w:rFonts w:ascii="Calibri Light" w:eastAsia="Times New Roman" w:hAnsi="Calibri Light" w:cs="Calibri Light"/>
          <w:szCs w:val="20"/>
          <w:lang w:eastAsia="el-GR" w:bidi="sr-Cyrl-CS"/>
        </w:rPr>
        <w:t xml:space="preserve"> </w:t>
      </w:r>
      <w:r w:rsidR="00BC2241" w:rsidRPr="00FF386D">
        <w:rPr>
          <w:rFonts w:ascii="Calibri Light" w:eastAsia="Times New Roman" w:hAnsi="Calibri Light" w:cs="Calibri Light"/>
          <w:szCs w:val="20"/>
          <w:lang w:eastAsia="el-GR" w:bidi="sr-Cyrl-CS"/>
        </w:rPr>
        <w:t>употребом</w:t>
      </w:r>
      <w:r w:rsidR="00CA5936" w:rsidRPr="00FF386D">
        <w:rPr>
          <w:rFonts w:ascii="Calibri Light" w:eastAsia="Times New Roman" w:hAnsi="Calibri Light" w:cs="Calibri Light"/>
          <w:szCs w:val="20"/>
          <w:lang w:eastAsia="el-GR" w:bidi="sr-Cyrl-CS"/>
        </w:rPr>
        <w:t xml:space="preserve"> електрана на лигнит на средњорочном нивоу до 2030. године и постепеним преласком на ОИЕ (углавном ветар</w:t>
      </w:r>
      <w:r w:rsidRPr="00FF386D">
        <w:rPr>
          <w:rFonts w:ascii="Calibri Light" w:eastAsia="Times New Roman" w:hAnsi="Calibri Light" w:cs="Calibri Light"/>
          <w:szCs w:val="20"/>
          <w:lang w:eastAsia="el-GR" w:bidi="sr-Cyrl-CS"/>
        </w:rPr>
        <w:t>оелектране и соларне електране</w:t>
      </w:r>
      <w:r w:rsidR="00CA5936" w:rsidRPr="00FF386D">
        <w:rPr>
          <w:rFonts w:ascii="Calibri Light" w:eastAsia="Times New Roman" w:hAnsi="Calibri Light" w:cs="Calibri Light"/>
          <w:szCs w:val="20"/>
          <w:lang w:eastAsia="el-GR" w:bidi="sr-Cyrl-CS"/>
        </w:rPr>
        <w:t>) у периоду до 2050. године.</w:t>
      </w:r>
    </w:p>
    <w:p w14:paraId="444D2D8D" w14:textId="67BA02E2" w:rsidR="00CA5936" w:rsidRPr="00FF386D" w:rsidRDefault="00CA5936" w:rsidP="00CA5936">
      <w:pPr>
        <w:widowControl w:val="0"/>
        <w:spacing w:after="120" w:line="240" w:lineRule="auto"/>
        <w:jc w:val="both"/>
        <w:rPr>
          <w:rFonts w:ascii="Calibri Light" w:eastAsia="Times New Roman" w:hAnsi="Calibri Light" w:cs="Calibri Light"/>
          <w:szCs w:val="20"/>
          <w:lang w:eastAsia="el-GR"/>
        </w:rPr>
      </w:pPr>
      <w:r w:rsidRPr="00FF386D">
        <w:rPr>
          <w:rFonts w:ascii="Calibri Light" w:eastAsia="Times New Roman" w:hAnsi="Calibri Light" w:cs="Calibri Light"/>
          <w:szCs w:val="20"/>
          <w:lang w:eastAsia="el-GR" w:bidi="sr-Cyrl-CS"/>
        </w:rPr>
        <w:t>Штавише, организован</w:t>
      </w:r>
      <w:r w:rsidR="00BC2241" w:rsidRPr="00FF386D">
        <w:rPr>
          <w:rFonts w:ascii="Calibri Light" w:eastAsia="Times New Roman" w:hAnsi="Calibri Light" w:cs="Calibri Light"/>
          <w:szCs w:val="20"/>
          <w:lang w:eastAsia="el-GR" w:bidi="sr-Cyrl-CS"/>
        </w:rPr>
        <w:t xml:space="preserve">о дан-унапред </w:t>
      </w:r>
      <w:r w:rsidRPr="00FF386D">
        <w:rPr>
          <w:rFonts w:ascii="Calibri Light" w:eastAsia="Times New Roman" w:hAnsi="Calibri Light" w:cs="Calibri Light"/>
          <w:szCs w:val="20"/>
          <w:lang w:eastAsia="el-GR" w:bidi="sr-Cyrl-CS"/>
        </w:rPr>
        <w:t>тржишт</w:t>
      </w:r>
      <w:r w:rsidR="00BC2241" w:rsidRPr="00FF386D">
        <w:rPr>
          <w:rFonts w:ascii="Calibri Light" w:eastAsia="Times New Roman" w:hAnsi="Calibri Light" w:cs="Calibri Light"/>
          <w:szCs w:val="20"/>
          <w:lang w:eastAsia="el-GR" w:bidi="sr-Cyrl-CS"/>
        </w:rPr>
        <w:t>е/берза електричне енергије</w:t>
      </w:r>
      <w:r w:rsidRPr="00FF386D">
        <w:rPr>
          <w:rFonts w:ascii="Calibri Light" w:eastAsia="Times New Roman" w:hAnsi="Calibri Light" w:cs="Calibri Light"/>
          <w:szCs w:val="20"/>
          <w:lang w:eastAsia="el-GR" w:bidi="sr-Cyrl-CS"/>
        </w:rPr>
        <w:t xml:space="preserve"> у Србији (АД „SEEPEX“) (основан</w:t>
      </w:r>
      <w:r w:rsidR="00BC2241" w:rsidRPr="00FF386D">
        <w:rPr>
          <w:rFonts w:ascii="Calibri Light" w:eastAsia="Times New Roman" w:hAnsi="Calibri Light" w:cs="Calibri Light"/>
          <w:szCs w:val="20"/>
          <w:lang w:eastAsia="el-GR" w:bidi="sr-Cyrl-CS"/>
        </w:rPr>
        <w:t>о</w:t>
      </w:r>
      <w:r w:rsidRPr="00FF386D">
        <w:rPr>
          <w:rFonts w:ascii="Calibri Light" w:eastAsia="Times New Roman" w:hAnsi="Calibri Light" w:cs="Calibri Light"/>
          <w:szCs w:val="20"/>
          <w:lang w:eastAsia="el-GR" w:bidi="sr-Cyrl-CS"/>
        </w:rPr>
        <w:t xml:space="preserve"> у фебруару 2016. на основу партнерства између ЕМС-а и Европске берзе електричне енергије), могл</w:t>
      </w:r>
      <w:r w:rsidR="00BC2241" w:rsidRPr="00FF386D">
        <w:rPr>
          <w:rFonts w:ascii="Calibri Light" w:eastAsia="Times New Roman" w:hAnsi="Calibri Light" w:cs="Calibri Light"/>
          <w:szCs w:val="20"/>
          <w:lang w:eastAsia="el-GR" w:bidi="sr-Cyrl-CS"/>
        </w:rPr>
        <w:t>о</w:t>
      </w:r>
      <w:r w:rsidRPr="00FF386D">
        <w:rPr>
          <w:rFonts w:ascii="Calibri Light" w:eastAsia="Times New Roman" w:hAnsi="Calibri Light" w:cs="Calibri Light"/>
          <w:szCs w:val="20"/>
          <w:lang w:eastAsia="el-GR" w:bidi="sr-Cyrl-CS"/>
        </w:rPr>
        <w:t xml:space="preserve"> би да одигра значајну улогу у даљем промовисању интеграције регионалног тржишта, посебно у недостатку размене на суседним тржиштима.</w:t>
      </w:r>
    </w:p>
    <w:p w14:paraId="5FD95209" w14:textId="660D80B3" w:rsidR="00CA5936" w:rsidRPr="00FF386D" w:rsidRDefault="00607CA3" w:rsidP="00CA5936">
      <w:pPr>
        <w:keepNext/>
        <w:keepLines/>
        <w:spacing w:before="200" w:after="0" w:line="240" w:lineRule="auto"/>
        <w:ind w:left="714" w:hanging="357"/>
        <w:outlineLvl w:val="3"/>
        <w:rPr>
          <w:rFonts w:ascii="Calibri Light" w:eastAsia="Times New Roman" w:hAnsi="Calibri Light" w:cs="Times New Roman"/>
          <w:b/>
          <w:bCs/>
          <w:iCs/>
          <w:color w:val="01406B"/>
          <w:szCs w:val="24"/>
        </w:rPr>
      </w:pPr>
      <w:r w:rsidRPr="00FF386D">
        <w:rPr>
          <w:rFonts w:ascii="Calibri Light" w:eastAsia="Times New Roman" w:hAnsi="Calibri Light" w:cs="Times New Roman"/>
          <w:b/>
          <w:bCs/>
          <w:iCs/>
          <w:color w:val="01406B"/>
          <w:szCs w:val="24"/>
          <w:lang w:bidi="sr-Cyrl-CS"/>
        </w:rPr>
        <w:t>i</w:t>
      </w:r>
      <w:r w:rsidR="00CA5936" w:rsidRPr="00FF386D">
        <w:rPr>
          <w:rFonts w:ascii="Calibri Light" w:eastAsia="Times New Roman" w:hAnsi="Calibri Light" w:cs="Times New Roman"/>
          <w:b/>
          <w:bCs/>
          <w:iCs/>
          <w:color w:val="01406B"/>
          <w:szCs w:val="24"/>
          <w:lang w:bidi="sr-Cyrl-CS"/>
        </w:rPr>
        <w:t>ii</w:t>
      </w:r>
      <w:r w:rsidR="00CA5936" w:rsidRPr="00FF386D">
        <w:rPr>
          <w:rFonts w:ascii="Calibri Light" w:eastAsia="Times New Roman" w:hAnsi="Calibri Light" w:cs="Times New Roman"/>
          <w:b/>
          <w:bCs/>
          <w:iCs/>
          <w:color w:val="01406B"/>
          <w:szCs w:val="24"/>
          <w:lang w:bidi="sr-Cyrl-CS"/>
        </w:rPr>
        <w:tab/>
        <w:t>Релевантни утицаји на регионалну сарадњу</w:t>
      </w:r>
    </w:p>
    <w:p w14:paraId="2F2D1EFA" w14:textId="7BCFC7A9" w:rsidR="00CA5936" w:rsidRPr="00FF386D" w:rsidRDefault="00CA5936" w:rsidP="00565B02">
      <w:pPr>
        <w:widowControl w:val="0"/>
        <w:spacing w:before="120" w:after="120" w:line="240" w:lineRule="auto"/>
        <w:jc w:val="both"/>
        <w:rPr>
          <w:rFonts w:ascii="Calibri Light" w:eastAsia="Times New Roman" w:hAnsi="Calibri Light" w:cs="Calibri Light"/>
          <w:szCs w:val="20"/>
          <w:lang w:eastAsia="el-GR"/>
        </w:rPr>
      </w:pPr>
      <w:r w:rsidRPr="00FF386D">
        <w:rPr>
          <w:rFonts w:ascii="Calibri Light" w:eastAsia="Times New Roman" w:hAnsi="Calibri Light" w:cs="Calibri Light"/>
          <w:szCs w:val="20"/>
          <w:lang w:eastAsia="el-GR" w:bidi="sr-Cyrl-CS"/>
        </w:rPr>
        <w:t xml:space="preserve">Важност регионалне сарадње је наглашена </w:t>
      </w:r>
      <w:r w:rsidR="00BC2241" w:rsidRPr="00FF386D">
        <w:rPr>
          <w:rFonts w:ascii="Calibri Light" w:eastAsia="Times New Roman" w:hAnsi="Calibri Light" w:cs="Calibri Light"/>
          <w:szCs w:val="20"/>
          <w:lang w:eastAsia="el-GR" w:bidi="sr-Cyrl-CS"/>
        </w:rPr>
        <w:t>у оквиру И</w:t>
      </w:r>
      <w:r w:rsidRPr="00FF386D">
        <w:rPr>
          <w:rFonts w:ascii="Calibri Light" w:eastAsia="Times New Roman" w:hAnsi="Calibri Light" w:cs="Calibri Light"/>
          <w:szCs w:val="20"/>
          <w:lang w:eastAsia="el-GR" w:bidi="sr-Cyrl-CS"/>
        </w:rPr>
        <w:t>НЕКП</w:t>
      </w:r>
      <w:r w:rsidR="00BC2241" w:rsidRPr="00FF386D">
        <w:rPr>
          <w:rFonts w:ascii="Calibri Light" w:eastAsia="Times New Roman" w:hAnsi="Calibri Light" w:cs="Calibri Light"/>
          <w:szCs w:val="20"/>
          <w:lang w:eastAsia="el-GR" w:bidi="sr-Cyrl-CS"/>
        </w:rPr>
        <w:t>-а</w:t>
      </w:r>
      <w:r w:rsidRPr="00FF386D">
        <w:rPr>
          <w:rFonts w:ascii="Calibri Light" w:eastAsia="Times New Roman" w:hAnsi="Calibri Light" w:cs="Calibri Light"/>
          <w:szCs w:val="20"/>
          <w:lang w:eastAsia="el-GR" w:bidi="sr-Cyrl-CS"/>
        </w:rPr>
        <w:t xml:space="preserve"> и одражава се на низ пројеката прекограничне интерконекције који ће </w:t>
      </w:r>
      <w:r w:rsidR="00607CA3" w:rsidRPr="00FF386D">
        <w:rPr>
          <w:rFonts w:ascii="Calibri Light" w:eastAsia="Times New Roman" w:hAnsi="Calibri Light" w:cs="Calibri Light"/>
          <w:szCs w:val="20"/>
          <w:lang w:eastAsia="el-GR" w:bidi="sr-Cyrl-CS"/>
        </w:rPr>
        <w:t>унапредити</w:t>
      </w:r>
      <w:r w:rsidRPr="00FF386D">
        <w:rPr>
          <w:rFonts w:ascii="Calibri Light" w:eastAsia="Times New Roman" w:hAnsi="Calibri Light" w:cs="Calibri Light"/>
          <w:szCs w:val="20"/>
          <w:lang w:eastAsia="el-GR" w:bidi="sr-Cyrl-CS"/>
        </w:rPr>
        <w:t xml:space="preserve"> енергетску сигурност земље и створити нове енергетске токове у</w:t>
      </w:r>
      <w:r w:rsidR="00BC2241" w:rsidRPr="00FF386D">
        <w:rPr>
          <w:rFonts w:ascii="Calibri Light" w:eastAsia="Times New Roman" w:hAnsi="Calibri Light" w:cs="Calibri Light"/>
          <w:szCs w:val="20"/>
          <w:lang w:eastAsia="el-GR" w:bidi="sr-Cyrl-CS"/>
        </w:rPr>
        <w:t xml:space="preserve"> оквиру</w:t>
      </w:r>
      <w:r w:rsidRPr="00FF386D">
        <w:rPr>
          <w:rFonts w:ascii="Calibri Light" w:eastAsia="Times New Roman" w:hAnsi="Calibri Light" w:cs="Calibri Light"/>
          <w:szCs w:val="20"/>
          <w:lang w:eastAsia="el-GR" w:bidi="sr-Cyrl-CS"/>
        </w:rPr>
        <w:t xml:space="preserve"> </w:t>
      </w:r>
      <w:r w:rsidR="00BC2241" w:rsidRPr="00FF386D">
        <w:rPr>
          <w:rFonts w:ascii="Calibri Light" w:eastAsia="Times New Roman" w:hAnsi="Calibri Light" w:cs="Calibri Light"/>
          <w:szCs w:val="20"/>
          <w:lang w:eastAsia="el-GR" w:bidi="sr-Cyrl-CS"/>
        </w:rPr>
        <w:t>области Балкана</w:t>
      </w:r>
      <w:r w:rsidRPr="00FF386D">
        <w:rPr>
          <w:rFonts w:ascii="Calibri Light" w:eastAsia="Times New Roman" w:hAnsi="Calibri Light" w:cs="Calibri Light"/>
          <w:szCs w:val="20"/>
          <w:lang w:eastAsia="el-GR" w:bidi="sr-Cyrl-CS"/>
        </w:rPr>
        <w:t>. Развој и имплементација овако сложених пројеката представља одличан пример регионалне сарадње</w:t>
      </w:r>
      <w:r w:rsidR="00BC2241" w:rsidRPr="00FF386D">
        <w:rPr>
          <w:rFonts w:ascii="Calibri Light" w:eastAsia="Times New Roman" w:hAnsi="Calibri Light" w:cs="Calibri Light"/>
          <w:szCs w:val="20"/>
          <w:lang w:eastAsia="el-GR" w:bidi="sr-Cyrl-CS"/>
        </w:rPr>
        <w:t>, како</w:t>
      </w:r>
      <w:r w:rsidRPr="00FF386D">
        <w:rPr>
          <w:rFonts w:ascii="Calibri Light" w:eastAsia="Times New Roman" w:hAnsi="Calibri Light" w:cs="Calibri Light"/>
          <w:szCs w:val="20"/>
          <w:lang w:eastAsia="el-GR" w:bidi="sr-Cyrl-CS"/>
        </w:rPr>
        <w:t xml:space="preserve"> на националном нивоу</w:t>
      </w:r>
      <w:r w:rsidR="00BC2241" w:rsidRPr="00FF386D">
        <w:rPr>
          <w:rFonts w:ascii="Calibri Light" w:eastAsia="Times New Roman" w:hAnsi="Calibri Light" w:cs="Calibri Light"/>
          <w:szCs w:val="20"/>
          <w:lang w:eastAsia="el-GR" w:bidi="sr-Cyrl-CS"/>
        </w:rPr>
        <w:t>, тако и</w:t>
      </w:r>
      <w:r w:rsidRPr="00FF386D">
        <w:rPr>
          <w:rFonts w:ascii="Calibri Light" w:eastAsia="Times New Roman" w:hAnsi="Calibri Light" w:cs="Calibri Light"/>
          <w:szCs w:val="20"/>
          <w:lang w:eastAsia="el-GR" w:bidi="sr-Cyrl-CS"/>
        </w:rPr>
        <w:t xml:space="preserve"> на нивоу оператера преносног система </w:t>
      </w:r>
      <w:r w:rsidRPr="00FF386D">
        <w:rPr>
          <w:rFonts w:ascii="Calibri Light" w:eastAsia="Times New Roman" w:hAnsi="Calibri Light" w:cs="Calibri Light"/>
          <w:iCs/>
          <w:szCs w:val="20"/>
          <w:lang w:eastAsia="el-GR" w:bidi="sr-Cyrl-CS"/>
        </w:rPr>
        <w:t>(</w:t>
      </w:r>
      <w:r w:rsidR="00BC2241" w:rsidRPr="00FF386D">
        <w:rPr>
          <w:rFonts w:ascii="Calibri Light" w:eastAsia="Times New Roman" w:hAnsi="Calibri Light" w:cs="Calibri Light"/>
          <w:iCs/>
          <w:szCs w:val="20"/>
          <w:lang w:eastAsia="el-GR" w:bidi="sr-Cyrl-CS"/>
        </w:rPr>
        <w:t>ОПС</w:t>
      </w:r>
      <w:r w:rsidRPr="00FF386D">
        <w:rPr>
          <w:rFonts w:ascii="Calibri Light" w:eastAsia="Times New Roman" w:hAnsi="Calibri Light" w:cs="Calibri Light"/>
          <w:iCs/>
          <w:szCs w:val="20"/>
          <w:lang w:eastAsia="el-GR" w:bidi="sr-Cyrl-CS"/>
        </w:rPr>
        <w:t>).</w:t>
      </w:r>
    </w:p>
    <w:p w14:paraId="5F0CEDB9" w14:textId="527E74A9" w:rsidR="00777B33" w:rsidRDefault="00777B33" w:rsidP="00565B02">
      <w:pPr>
        <w:pStyle w:val="Caption"/>
        <w:keepNext/>
      </w:pPr>
      <w:bookmarkStart w:id="470" w:name="_Toc153901481"/>
      <w:r>
        <w:t xml:space="preserve">Табела </w:t>
      </w:r>
      <w:r w:rsidR="00873C40">
        <w:fldChar w:fldCharType="begin"/>
      </w:r>
      <w:r w:rsidR="00873C40">
        <w:instrText xml:space="preserve"> STYLEREF 1 \s </w:instrText>
      </w:r>
      <w:r w:rsidR="00873C40">
        <w:fldChar w:fldCharType="separate"/>
      </w:r>
      <w:r w:rsidR="00873C40">
        <w:rPr>
          <w:noProof/>
        </w:rPr>
        <w:t>5</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5</w:t>
      </w:r>
      <w:r w:rsidR="00873C40">
        <w:fldChar w:fldCharType="end"/>
      </w:r>
      <w:r>
        <w:t xml:space="preserve">: </w:t>
      </w:r>
      <w:r w:rsidRPr="00777B33">
        <w:t>Списак најважнијих пројеката регионалне сарадње</w:t>
      </w:r>
      <w:bookmarkEnd w:id="470"/>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2127"/>
        <w:gridCol w:w="7087"/>
      </w:tblGrid>
      <w:tr w:rsidR="00CA5936" w:rsidRPr="00FF386D" w14:paraId="43645937" w14:textId="77777777" w:rsidTr="0057310C">
        <w:trPr>
          <w:trHeight w:val="275"/>
        </w:trPr>
        <w:tc>
          <w:tcPr>
            <w:tcW w:w="2127" w:type="dxa"/>
            <w:shd w:val="clear" w:color="auto" w:fill="002060"/>
            <w:vAlign w:val="bottom"/>
            <w:hideMark/>
          </w:tcPr>
          <w:p w14:paraId="2F3BEA70" w14:textId="77777777" w:rsidR="00CA5936" w:rsidRPr="00FF386D" w:rsidRDefault="00CA5936" w:rsidP="00CA5936">
            <w:pPr>
              <w:spacing w:after="0" w:line="240" w:lineRule="auto"/>
              <w:rPr>
                <w:rFonts w:ascii="Calibri Light" w:eastAsia="Times New Roman" w:hAnsi="Calibri Light" w:cs="Calibri Light"/>
                <w:b/>
                <w:bCs/>
                <w:color w:val="000000"/>
                <w:lang w:eastAsia="el-GR"/>
              </w:rPr>
            </w:pPr>
            <w:r w:rsidRPr="00FF386D">
              <w:rPr>
                <w:rFonts w:ascii="Calibri Light" w:eastAsia="Calibri" w:hAnsi="Calibri Light" w:cs="Calibri Light"/>
                <w:b/>
                <w:color w:val="FFFFFF"/>
                <w:lang w:bidi="sr-Cyrl-CS"/>
              </w:rPr>
              <w:t>Шифра мере политике</w:t>
            </w:r>
          </w:p>
        </w:tc>
        <w:tc>
          <w:tcPr>
            <w:tcW w:w="7087" w:type="dxa"/>
            <w:shd w:val="clear" w:color="auto" w:fill="002060"/>
            <w:vAlign w:val="bottom"/>
            <w:hideMark/>
          </w:tcPr>
          <w:p w14:paraId="289DA8E0" w14:textId="77777777" w:rsidR="00CA5936" w:rsidRPr="00FF386D" w:rsidRDefault="00CA5936" w:rsidP="00CA5936">
            <w:pPr>
              <w:spacing w:after="0" w:line="240" w:lineRule="auto"/>
              <w:rPr>
                <w:rFonts w:ascii="Calibri Light" w:eastAsia="Times New Roman" w:hAnsi="Calibri Light" w:cs="Calibri Light"/>
                <w:color w:val="000000"/>
                <w:lang w:eastAsia="el-GR"/>
              </w:rPr>
            </w:pPr>
            <w:r w:rsidRPr="00FF386D">
              <w:rPr>
                <w:rFonts w:ascii="Calibri Light" w:eastAsia="Calibri" w:hAnsi="Calibri Light" w:cs="Calibri Light"/>
                <w:b/>
                <w:color w:val="FFFFFF"/>
                <w:lang w:bidi="sr-Cyrl-CS"/>
              </w:rPr>
              <w:t>Назив мере политике</w:t>
            </w:r>
          </w:p>
        </w:tc>
      </w:tr>
      <w:tr w:rsidR="00CA5936" w:rsidRPr="00FF386D" w14:paraId="330ABD77" w14:textId="77777777" w:rsidTr="00565B02">
        <w:trPr>
          <w:trHeight w:val="297"/>
        </w:trPr>
        <w:tc>
          <w:tcPr>
            <w:tcW w:w="2127" w:type="dxa"/>
            <w:shd w:val="clear" w:color="auto" w:fill="E7E6E6"/>
            <w:vAlign w:val="center"/>
            <w:hideMark/>
          </w:tcPr>
          <w:p w14:paraId="7BBF6386" w14:textId="77777777" w:rsidR="00CA5936" w:rsidRPr="00FF386D" w:rsidRDefault="00CA5936" w:rsidP="00777B33">
            <w:pPr>
              <w:spacing w:after="0" w:line="240" w:lineRule="auto"/>
              <w:rPr>
                <w:rFonts w:ascii="Calibri Light" w:eastAsia="Times New Roman" w:hAnsi="Calibri Light" w:cs="Calibri Light"/>
                <w:b/>
                <w:bCs/>
                <w:color w:val="000000"/>
                <w:lang w:eastAsia="el-GR"/>
              </w:rPr>
            </w:pPr>
            <w:r w:rsidRPr="00FF386D">
              <w:rPr>
                <w:rFonts w:ascii="Calibri Light" w:eastAsia="Calibri" w:hAnsi="Calibri Light" w:cs="Calibri Light"/>
                <w:b/>
                <w:lang w:bidi="sr-Cyrl-CS"/>
              </w:rPr>
              <w:t>МП_УТЕ3</w:t>
            </w:r>
          </w:p>
        </w:tc>
        <w:tc>
          <w:tcPr>
            <w:tcW w:w="7087" w:type="dxa"/>
            <w:shd w:val="clear" w:color="auto" w:fill="FFFFFF"/>
            <w:vAlign w:val="bottom"/>
            <w:hideMark/>
          </w:tcPr>
          <w:p w14:paraId="785A15FF" w14:textId="3434C09F" w:rsidR="00CA5936" w:rsidRPr="00FF386D" w:rsidRDefault="00CA5936" w:rsidP="00CA5936">
            <w:pPr>
              <w:spacing w:after="0" w:line="240" w:lineRule="auto"/>
              <w:rPr>
                <w:rFonts w:ascii="Calibri Light" w:eastAsia="Times New Roman" w:hAnsi="Calibri Light" w:cs="Calibri Light"/>
                <w:color w:val="000000"/>
                <w:lang w:eastAsia="el-GR"/>
              </w:rPr>
            </w:pPr>
            <w:r w:rsidRPr="00FF386D">
              <w:rPr>
                <w:rFonts w:ascii="Calibri Light" w:eastAsia="Calibri" w:hAnsi="Calibri Light" w:cs="Calibri Light"/>
                <w:lang w:bidi="sr-Cyrl-CS"/>
              </w:rPr>
              <w:t xml:space="preserve">Трансбалкански коридор: </w:t>
            </w:r>
            <w:r w:rsidR="00607CA3" w:rsidRPr="00FF386D">
              <w:rPr>
                <w:rFonts w:ascii="Calibri Light" w:eastAsia="Calibri" w:hAnsi="Calibri Light" w:cs="Calibri Light"/>
                <w:lang w:bidi="sr-Cyrl-CS"/>
              </w:rPr>
              <w:t>ДВ</w:t>
            </w:r>
            <w:r w:rsidRPr="00FF386D">
              <w:rPr>
                <w:rFonts w:ascii="Calibri Light" w:eastAsia="Calibri" w:hAnsi="Calibri Light" w:cs="Calibri Light"/>
                <w:lang w:bidi="sr-Cyrl-CS"/>
              </w:rPr>
              <w:t xml:space="preserve"> Б.Башта (РС)</w:t>
            </w:r>
            <w:r w:rsidR="008B0881">
              <w:rPr>
                <w:rFonts w:ascii="Calibri Light" w:eastAsia="Calibri" w:hAnsi="Calibri Light" w:cs="Calibri Light"/>
                <w:lang w:bidi="sr-Cyrl-CS"/>
              </w:rPr>
              <w:t xml:space="preserve"> </w:t>
            </w:r>
            <w:r w:rsidRPr="00FF386D">
              <w:rPr>
                <w:rFonts w:ascii="Calibri Light" w:eastAsia="Calibri" w:hAnsi="Calibri Light" w:cs="Calibri Light"/>
                <w:lang w:bidi="sr-Cyrl-CS"/>
              </w:rPr>
              <w:t>– Вишеград (БА) – Пљевља (ME)</w:t>
            </w:r>
          </w:p>
        </w:tc>
      </w:tr>
      <w:tr w:rsidR="00CA5936" w:rsidRPr="00FF386D" w14:paraId="2D908D51" w14:textId="77777777" w:rsidTr="0057310C">
        <w:trPr>
          <w:trHeight w:val="288"/>
        </w:trPr>
        <w:tc>
          <w:tcPr>
            <w:tcW w:w="2127" w:type="dxa"/>
            <w:shd w:val="clear" w:color="auto" w:fill="E7E6E6"/>
            <w:vAlign w:val="bottom"/>
            <w:hideMark/>
          </w:tcPr>
          <w:p w14:paraId="3E135260" w14:textId="77777777" w:rsidR="00CA5936" w:rsidRPr="00FF386D" w:rsidRDefault="00CA5936" w:rsidP="00CA5936">
            <w:pPr>
              <w:spacing w:after="0" w:line="240" w:lineRule="auto"/>
              <w:rPr>
                <w:rFonts w:ascii="Calibri Light" w:eastAsia="Times New Roman" w:hAnsi="Calibri Light" w:cs="Calibri Light"/>
                <w:b/>
                <w:bCs/>
                <w:color w:val="000000"/>
                <w:lang w:eastAsia="el-GR"/>
              </w:rPr>
            </w:pPr>
            <w:r w:rsidRPr="00FF386D">
              <w:rPr>
                <w:rFonts w:ascii="Calibri Light" w:eastAsia="Calibri" w:hAnsi="Calibri Light" w:cs="Calibri Light"/>
                <w:b/>
                <w:lang w:bidi="sr-Cyrl-CS"/>
              </w:rPr>
              <w:t>МП_УТЕ4</w:t>
            </w:r>
          </w:p>
        </w:tc>
        <w:tc>
          <w:tcPr>
            <w:tcW w:w="7087" w:type="dxa"/>
            <w:shd w:val="clear" w:color="auto" w:fill="FFFFFF"/>
            <w:vAlign w:val="bottom"/>
            <w:hideMark/>
          </w:tcPr>
          <w:p w14:paraId="064C060B" w14:textId="3710473B" w:rsidR="00CA5936" w:rsidRPr="00FF386D" w:rsidRDefault="00CA5936" w:rsidP="00CA5936">
            <w:pPr>
              <w:spacing w:after="0" w:line="240" w:lineRule="auto"/>
              <w:rPr>
                <w:rFonts w:ascii="Calibri Light" w:eastAsia="Times New Roman" w:hAnsi="Calibri Light" w:cs="Calibri Light"/>
                <w:color w:val="000000"/>
                <w:lang w:eastAsia="el-GR"/>
              </w:rPr>
            </w:pPr>
            <w:r w:rsidRPr="00FF386D">
              <w:rPr>
                <w:rFonts w:ascii="Calibri Light" w:eastAsia="Calibri" w:hAnsi="Calibri Light" w:cs="Calibri Light"/>
                <w:lang w:bidi="sr-Cyrl-CS"/>
              </w:rPr>
              <w:t>Интерконекција између Решице (РО) и Панчева (РС)</w:t>
            </w:r>
          </w:p>
        </w:tc>
      </w:tr>
      <w:tr w:rsidR="00CA5936" w:rsidRPr="00FF386D" w14:paraId="79D1D8C7" w14:textId="77777777" w:rsidTr="0057310C">
        <w:trPr>
          <w:trHeight w:val="288"/>
        </w:trPr>
        <w:tc>
          <w:tcPr>
            <w:tcW w:w="2127" w:type="dxa"/>
            <w:shd w:val="clear" w:color="auto" w:fill="E7E6E6"/>
            <w:vAlign w:val="bottom"/>
            <w:hideMark/>
          </w:tcPr>
          <w:p w14:paraId="1D8A348B" w14:textId="77777777" w:rsidR="00CA5936" w:rsidRPr="00FF386D" w:rsidRDefault="00CA5936" w:rsidP="00CA5936">
            <w:pPr>
              <w:spacing w:after="0" w:line="240" w:lineRule="auto"/>
              <w:rPr>
                <w:rFonts w:ascii="Calibri Light" w:eastAsia="Times New Roman" w:hAnsi="Calibri Light" w:cs="Calibri Light"/>
                <w:b/>
                <w:bCs/>
                <w:color w:val="000000"/>
                <w:lang w:eastAsia="el-GR"/>
              </w:rPr>
            </w:pPr>
            <w:r w:rsidRPr="00FF386D">
              <w:rPr>
                <w:rFonts w:ascii="Calibri Light" w:eastAsia="Calibri" w:hAnsi="Calibri Light" w:cs="Calibri Light"/>
                <w:b/>
                <w:lang w:bidi="sr-Cyrl-CS"/>
              </w:rPr>
              <w:t>МП_УТЕ5</w:t>
            </w:r>
          </w:p>
        </w:tc>
        <w:tc>
          <w:tcPr>
            <w:tcW w:w="7087" w:type="dxa"/>
            <w:shd w:val="clear" w:color="auto" w:fill="FFFFFF"/>
            <w:vAlign w:val="bottom"/>
            <w:hideMark/>
          </w:tcPr>
          <w:p w14:paraId="5A0E8359" w14:textId="77777777" w:rsidR="00CA5936" w:rsidRPr="00FF386D" w:rsidRDefault="00CA5936" w:rsidP="00CA5936">
            <w:pPr>
              <w:spacing w:after="0" w:line="240" w:lineRule="auto"/>
              <w:rPr>
                <w:rFonts w:ascii="Calibri Light" w:eastAsia="Times New Roman" w:hAnsi="Calibri Light" w:cs="Calibri Light"/>
                <w:color w:val="000000"/>
                <w:lang w:eastAsia="el-GR"/>
              </w:rPr>
            </w:pPr>
            <w:r w:rsidRPr="00FF386D">
              <w:rPr>
                <w:rFonts w:ascii="Calibri Light" w:eastAsia="Calibri" w:hAnsi="Calibri Light" w:cs="Calibri Light"/>
                <w:lang w:bidi="sr-Cyrl-CS"/>
              </w:rPr>
              <w:t>Панонски коридор</w:t>
            </w:r>
          </w:p>
        </w:tc>
      </w:tr>
      <w:tr w:rsidR="00CA5936" w:rsidRPr="00FF386D" w14:paraId="5B34FEFB" w14:textId="77777777" w:rsidTr="0057310C">
        <w:trPr>
          <w:trHeight w:val="229"/>
        </w:trPr>
        <w:tc>
          <w:tcPr>
            <w:tcW w:w="2127" w:type="dxa"/>
            <w:shd w:val="clear" w:color="auto" w:fill="E7E6E6"/>
            <w:vAlign w:val="bottom"/>
            <w:hideMark/>
          </w:tcPr>
          <w:p w14:paraId="02763645" w14:textId="77777777" w:rsidR="00CA5936" w:rsidRPr="00FF386D" w:rsidRDefault="00CA5936" w:rsidP="00CA5936">
            <w:pPr>
              <w:spacing w:after="0" w:line="240" w:lineRule="auto"/>
              <w:rPr>
                <w:rFonts w:ascii="Calibri Light" w:eastAsia="Times New Roman" w:hAnsi="Calibri Light" w:cs="Calibri Light"/>
                <w:b/>
                <w:bCs/>
                <w:color w:val="000000"/>
                <w:lang w:eastAsia="el-GR"/>
              </w:rPr>
            </w:pPr>
            <w:r w:rsidRPr="00FF386D">
              <w:rPr>
                <w:rFonts w:ascii="Calibri Light" w:eastAsia="Calibri" w:hAnsi="Calibri Light" w:cs="Calibri Light"/>
                <w:b/>
                <w:lang w:bidi="sr-Cyrl-CS"/>
              </w:rPr>
              <w:t>МП_УТЕ6</w:t>
            </w:r>
          </w:p>
        </w:tc>
        <w:tc>
          <w:tcPr>
            <w:tcW w:w="7087" w:type="dxa"/>
            <w:shd w:val="clear" w:color="auto" w:fill="FFFFFF"/>
            <w:vAlign w:val="bottom"/>
            <w:hideMark/>
          </w:tcPr>
          <w:p w14:paraId="0C0C9ECE" w14:textId="77777777" w:rsidR="00CA5936" w:rsidRPr="00FF386D" w:rsidRDefault="00CA5936" w:rsidP="00CA5936">
            <w:pPr>
              <w:spacing w:after="0" w:line="240" w:lineRule="auto"/>
              <w:rPr>
                <w:rFonts w:ascii="Calibri Light" w:eastAsia="Times New Roman" w:hAnsi="Calibri Light" w:cs="Calibri Light"/>
                <w:color w:val="000000"/>
                <w:lang w:eastAsia="el-GR"/>
              </w:rPr>
            </w:pPr>
            <w:r w:rsidRPr="00FF386D">
              <w:rPr>
                <w:rFonts w:ascii="Calibri Light" w:eastAsia="Calibri" w:hAnsi="Calibri Light" w:cs="Calibri Light"/>
                <w:lang w:bidi="sr-Cyrl-CS"/>
              </w:rPr>
              <w:t>Централно-балкански коридор</w:t>
            </w:r>
          </w:p>
        </w:tc>
      </w:tr>
      <w:tr w:rsidR="00CA5936" w:rsidRPr="00FF386D" w14:paraId="40539274" w14:textId="77777777" w:rsidTr="0057310C">
        <w:trPr>
          <w:trHeight w:val="225"/>
        </w:trPr>
        <w:tc>
          <w:tcPr>
            <w:tcW w:w="2127" w:type="dxa"/>
            <w:shd w:val="clear" w:color="auto" w:fill="E7E6E6"/>
            <w:vAlign w:val="bottom"/>
            <w:hideMark/>
          </w:tcPr>
          <w:p w14:paraId="1B26D238" w14:textId="77777777" w:rsidR="00CA5936" w:rsidRPr="00FF386D" w:rsidRDefault="00CA5936" w:rsidP="00CA5936">
            <w:pPr>
              <w:spacing w:after="0" w:line="240" w:lineRule="auto"/>
              <w:rPr>
                <w:rFonts w:ascii="Calibri Light" w:eastAsia="Times New Roman" w:hAnsi="Calibri Light" w:cs="Calibri Light"/>
                <w:b/>
                <w:bCs/>
                <w:color w:val="000000"/>
                <w:lang w:eastAsia="el-GR"/>
              </w:rPr>
            </w:pPr>
            <w:r w:rsidRPr="00FF386D">
              <w:rPr>
                <w:rFonts w:ascii="Calibri Light" w:eastAsia="Calibri" w:hAnsi="Calibri Light" w:cs="Calibri Light"/>
                <w:b/>
                <w:lang w:bidi="sr-Cyrl-CS"/>
              </w:rPr>
              <w:t>МП_УТЕ7</w:t>
            </w:r>
          </w:p>
        </w:tc>
        <w:tc>
          <w:tcPr>
            <w:tcW w:w="7087" w:type="dxa"/>
            <w:shd w:val="clear" w:color="auto" w:fill="FFFFFF"/>
            <w:vAlign w:val="bottom"/>
            <w:hideMark/>
          </w:tcPr>
          <w:p w14:paraId="3B5B803E" w14:textId="068972B0" w:rsidR="00CA5936" w:rsidRPr="00FF386D" w:rsidRDefault="00CA5936" w:rsidP="00CA5936">
            <w:pPr>
              <w:spacing w:after="0" w:line="240" w:lineRule="auto"/>
              <w:rPr>
                <w:rFonts w:ascii="Calibri Light" w:eastAsia="Times New Roman" w:hAnsi="Calibri Light" w:cs="Calibri Light"/>
                <w:color w:val="000000"/>
                <w:lang w:eastAsia="el-GR"/>
              </w:rPr>
            </w:pPr>
            <w:r w:rsidRPr="00FF386D">
              <w:rPr>
                <w:rFonts w:ascii="Calibri Light" w:eastAsia="Calibri" w:hAnsi="Calibri Light" w:cs="Calibri Light"/>
                <w:lang w:bidi="sr-Cyrl-CS"/>
              </w:rPr>
              <w:t>Кластер пројеката интеграције ОИЕ - Северни коридор</w:t>
            </w:r>
          </w:p>
        </w:tc>
      </w:tr>
      <w:tr w:rsidR="00CA5936" w:rsidRPr="00FF386D" w14:paraId="30A038F5" w14:textId="77777777" w:rsidTr="0057310C">
        <w:trPr>
          <w:trHeight w:val="307"/>
        </w:trPr>
        <w:tc>
          <w:tcPr>
            <w:tcW w:w="2127" w:type="dxa"/>
            <w:shd w:val="clear" w:color="auto" w:fill="E7E6E6"/>
            <w:vAlign w:val="bottom"/>
            <w:hideMark/>
          </w:tcPr>
          <w:p w14:paraId="6126545D" w14:textId="77777777" w:rsidR="00CA5936" w:rsidRPr="00FF386D" w:rsidRDefault="00CA5936" w:rsidP="00CA5936">
            <w:pPr>
              <w:spacing w:after="0" w:line="240" w:lineRule="auto"/>
              <w:rPr>
                <w:rFonts w:ascii="Calibri Light" w:eastAsia="Times New Roman" w:hAnsi="Calibri Light" w:cs="Calibri Light"/>
                <w:b/>
                <w:bCs/>
                <w:color w:val="000000"/>
                <w:lang w:eastAsia="el-GR"/>
              </w:rPr>
            </w:pPr>
            <w:r w:rsidRPr="00FF386D">
              <w:rPr>
                <w:rFonts w:ascii="Calibri Light" w:eastAsia="Calibri" w:hAnsi="Calibri Light" w:cs="Calibri Light"/>
                <w:b/>
                <w:lang w:bidi="sr-Cyrl-CS"/>
              </w:rPr>
              <w:t>МП_УТЕ8</w:t>
            </w:r>
          </w:p>
        </w:tc>
        <w:tc>
          <w:tcPr>
            <w:tcW w:w="7087" w:type="dxa"/>
            <w:shd w:val="clear" w:color="auto" w:fill="FFFFFF"/>
            <w:vAlign w:val="bottom"/>
            <w:hideMark/>
          </w:tcPr>
          <w:p w14:paraId="167F6707" w14:textId="77777777" w:rsidR="00CA5936" w:rsidRPr="00FF386D" w:rsidRDefault="00CA5936" w:rsidP="00CA5936">
            <w:pPr>
              <w:spacing w:after="0" w:line="240" w:lineRule="auto"/>
              <w:rPr>
                <w:rFonts w:ascii="Calibri Light" w:eastAsia="Times New Roman" w:hAnsi="Calibri Light" w:cs="Calibri Light"/>
                <w:color w:val="000000"/>
                <w:lang w:eastAsia="el-GR"/>
              </w:rPr>
            </w:pPr>
            <w:r w:rsidRPr="00FF386D">
              <w:rPr>
                <w:rFonts w:ascii="Calibri Light" w:eastAsia="Calibri" w:hAnsi="Calibri Light" w:cs="Calibri Light"/>
                <w:lang w:bidi="sr-Cyrl-CS"/>
              </w:rPr>
              <w:t>Регионално повезивање кроз реализацију пројеката интерконекције</w:t>
            </w:r>
          </w:p>
        </w:tc>
      </w:tr>
      <w:tr w:rsidR="00CA5936" w:rsidRPr="00FF386D" w14:paraId="017B406B" w14:textId="77777777" w:rsidTr="0057310C">
        <w:trPr>
          <w:trHeight w:val="159"/>
        </w:trPr>
        <w:tc>
          <w:tcPr>
            <w:tcW w:w="2127" w:type="dxa"/>
            <w:shd w:val="clear" w:color="auto" w:fill="E7E6E6"/>
            <w:vAlign w:val="bottom"/>
            <w:hideMark/>
          </w:tcPr>
          <w:p w14:paraId="0DB5D870" w14:textId="77777777" w:rsidR="00CA5936" w:rsidRPr="00FF386D" w:rsidRDefault="00CA5936" w:rsidP="00CA5936">
            <w:pPr>
              <w:spacing w:after="0" w:line="240" w:lineRule="auto"/>
              <w:rPr>
                <w:rFonts w:ascii="Calibri Light" w:eastAsia="Times New Roman" w:hAnsi="Calibri Light" w:cs="Calibri Light"/>
                <w:b/>
                <w:bCs/>
                <w:color w:val="000000"/>
                <w:lang w:eastAsia="el-GR"/>
              </w:rPr>
            </w:pPr>
            <w:r w:rsidRPr="00FF386D">
              <w:rPr>
                <w:rFonts w:ascii="Calibri Light" w:eastAsia="Calibri" w:hAnsi="Calibri Light" w:cs="Calibri Light"/>
                <w:b/>
                <w:lang w:bidi="sr-Cyrl-CS"/>
              </w:rPr>
              <w:t>МП_УТЕ8.1</w:t>
            </w:r>
          </w:p>
        </w:tc>
        <w:tc>
          <w:tcPr>
            <w:tcW w:w="7087" w:type="dxa"/>
            <w:shd w:val="clear" w:color="auto" w:fill="FFFFFF"/>
            <w:vAlign w:val="bottom"/>
            <w:hideMark/>
          </w:tcPr>
          <w:p w14:paraId="143CF477" w14:textId="77777777" w:rsidR="00CA5936" w:rsidRPr="00FF386D" w:rsidRDefault="00CA5936" w:rsidP="00CA5936">
            <w:pPr>
              <w:spacing w:after="0" w:line="240" w:lineRule="auto"/>
              <w:rPr>
                <w:rFonts w:ascii="Calibri Light" w:eastAsia="Times New Roman" w:hAnsi="Calibri Light" w:cs="Calibri Light"/>
                <w:color w:val="000000"/>
                <w:lang w:eastAsia="el-GR"/>
              </w:rPr>
            </w:pPr>
            <w:r w:rsidRPr="00FF386D">
              <w:rPr>
                <w:rFonts w:ascii="Calibri Light" w:eastAsia="Calibri" w:hAnsi="Calibri Light" w:cs="Calibri Light"/>
                <w:lang w:bidi="sr-Cyrl-CS"/>
              </w:rPr>
              <w:t>Пројекат гасне интерконекције Србије и Бугарске</w:t>
            </w:r>
          </w:p>
        </w:tc>
      </w:tr>
      <w:tr w:rsidR="00CA5936" w:rsidRPr="00FF386D" w14:paraId="5117F400" w14:textId="77777777" w:rsidTr="0057310C">
        <w:trPr>
          <w:trHeight w:val="132"/>
        </w:trPr>
        <w:tc>
          <w:tcPr>
            <w:tcW w:w="2127" w:type="dxa"/>
            <w:shd w:val="clear" w:color="auto" w:fill="E7E6E6"/>
            <w:vAlign w:val="bottom"/>
            <w:hideMark/>
          </w:tcPr>
          <w:p w14:paraId="7062EB69" w14:textId="77777777" w:rsidR="00CA5936" w:rsidRPr="00FF386D" w:rsidRDefault="00CA5936" w:rsidP="00CA5936">
            <w:pPr>
              <w:spacing w:after="0" w:line="240" w:lineRule="auto"/>
              <w:rPr>
                <w:rFonts w:ascii="Calibri Light" w:eastAsia="Times New Roman" w:hAnsi="Calibri Light" w:cs="Calibri Light"/>
                <w:b/>
                <w:bCs/>
                <w:color w:val="000000"/>
                <w:lang w:eastAsia="el-GR"/>
              </w:rPr>
            </w:pPr>
            <w:r w:rsidRPr="00FF386D">
              <w:rPr>
                <w:rFonts w:ascii="Calibri Light" w:eastAsia="Calibri" w:hAnsi="Calibri Light" w:cs="Calibri Light"/>
                <w:b/>
                <w:lang w:bidi="sr-Cyrl-CS"/>
              </w:rPr>
              <w:t>МП_УТЕ8.2</w:t>
            </w:r>
          </w:p>
        </w:tc>
        <w:tc>
          <w:tcPr>
            <w:tcW w:w="7087" w:type="dxa"/>
            <w:shd w:val="clear" w:color="auto" w:fill="FFFFFF"/>
            <w:vAlign w:val="bottom"/>
            <w:hideMark/>
          </w:tcPr>
          <w:p w14:paraId="1DEE113C" w14:textId="77777777" w:rsidR="00CA5936" w:rsidRPr="00FF386D" w:rsidRDefault="00CA5936" w:rsidP="00CA5936">
            <w:pPr>
              <w:spacing w:after="0" w:line="240" w:lineRule="auto"/>
              <w:rPr>
                <w:rFonts w:ascii="Calibri Light" w:eastAsia="Times New Roman" w:hAnsi="Calibri Light" w:cs="Calibri Light"/>
                <w:color w:val="000000"/>
                <w:lang w:eastAsia="el-GR"/>
              </w:rPr>
            </w:pPr>
            <w:r w:rsidRPr="00FF386D">
              <w:rPr>
                <w:rFonts w:ascii="Calibri Light" w:eastAsia="Calibri" w:hAnsi="Calibri Light" w:cs="Calibri Light"/>
                <w:lang w:bidi="sr-Cyrl-CS"/>
              </w:rPr>
              <w:t>Србија-Румунија гасна интерконекција</w:t>
            </w:r>
          </w:p>
        </w:tc>
      </w:tr>
      <w:tr w:rsidR="00CA5936" w:rsidRPr="00FF386D" w14:paraId="49701DC5" w14:textId="77777777" w:rsidTr="0057310C">
        <w:trPr>
          <w:trHeight w:val="116"/>
        </w:trPr>
        <w:tc>
          <w:tcPr>
            <w:tcW w:w="2127" w:type="dxa"/>
            <w:shd w:val="clear" w:color="auto" w:fill="E7E6E6"/>
            <w:vAlign w:val="bottom"/>
            <w:hideMark/>
          </w:tcPr>
          <w:p w14:paraId="1EF88F99" w14:textId="77777777" w:rsidR="00CA5936" w:rsidRPr="00FF386D" w:rsidRDefault="00CA5936" w:rsidP="00CA5936">
            <w:pPr>
              <w:spacing w:after="0" w:line="240" w:lineRule="auto"/>
              <w:rPr>
                <w:rFonts w:ascii="Calibri Light" w:eastAsia="Times New Roman" w:hAnsi="Calibri Light" w:cs="Calibri Light"/>
                <w:b/>
                <w:bCs/>
                <w:color w:val="000000"/>
                <w:lang w:eastAsia="el-GR"/>
              </w:rPr>
            </w:pPr>
            <w:r w:rsidRPr="00FF386D">
              <w:rPr>
                <w:rFonts w:ascii="Calibri Light" w:eastAsia="Calibri" w:hAnsi="Calibri Light" w:cs="Calibri Light"/>
                <w:b/>
                <w:lang w:bidi="sr-Cyrl-CS"/>
              </w:rPr>
              <w:t>МП_УТЕ8.3</w:t>
            </w:r>
          </w:p>
        </w:tc>
        <w:tc>
          <w:tcPr>
            <w:tcW w:w="7087" w:type="dxa"/>
            <w:shd w:val="clear" w:color="auto" w:fill="FFFFFF"/>
            <w:vAlign w:val="bottom"/>
            <w:hideMark/>
          </w:tcPr>
          <w:p w14:paraId="40A9B421" w14:textId="77777777" w:rsidR="00CA5936" w:rsidRPr="00FF386D" w:rsidRDefault="00CA5936" w:rsidP="00CA5936">
            <w:pPr>
              <w:spacing w:after="0" w:line="240" w:lineRule="auto"/>
              <w:rPr>
                <w:rFonts w:ascii="Calibri Light" w:eastAsia="Times New Roman" w:hAnsi="Calibri Light" w:cs="Calibri Light"/>
                <w:color w:val="000000"/>
                <w:lang w:eastAsia="el-GR"/>
              </w:rPr>
            </w:pPr>
            <w:r w:rsidRPr="00FF386D">
              <w:rPr>
                <w:rFonts w:ascii="Calibri Light" w:eastAsia="Calibri" w:hAnsi="Calibri Light" w:cs="Calibri Light"/>
                <w:lang w:bidi="sr-Cyrl-CS"/>
              </w:rPr>
              <w:t>Србија-Хрватска гасна интерконекција</w:t>
            </w:r>
          </w:p>
        </w:tc>
      </w:tr>
      <w:tr w:rsidR="00CA5936" w:rsidRPr="00FF386D" w14:paraId="2BA049E0" w14:textId="77777777" w:rsidTr="0057310C">
        <w:trPr>
          <w:trHeight w:val="238"/>
        </w:trPr>
        <w:tc>
          <w:tcPr>
            <w:tcW w:w="2127" w:type="dxa"/>
            <w:shd w:val="clear" w:color="auto" w:fill="E7E6E6"/>
            <w:vAlign w:val="bottom"/>
            <w:hideMark/>
          </w:tcPr>
          <w:p w14:paraId="6D32E8DA" w14:textId="77777777" w:rsidR="00CA5936" w:rsidRPr="00FF386D" w:rsidRDefault="00CA5936" w:rsidP="00CA5936">
            <w:pPr>
              <w:spacing w:after="0" w:line="240" w:lineRule="auto"/>
              <w:rPr>
                <w:rFonts w:ascii="Calibri Light" w:eastAsia="Times New Roman" w:hAnsi="Calibri Light" w:cs="Calibri Light"/>
                <w:b/>
                <w:bCs/>
                <w:color w:val="000000"/>
                <w:lang w:eastAsia="el-GR"/>
              </w:rPr>
            </w:pPr>
            <w:r w:rsidRPr="00FF386D">
              <w:rPr>
                <w:rFonts w:ascii="Calibri Light" w:eastAsia="Calibri" w:hAnsi="Calibri Light" w:cs="Calibri Light"/>
                <w:b/>
                <w:lang w:bidi="sr-Cyrl-CS"/>
              </w:rPr>
              <w:t>МП_УТЕ8.4</w:t>
            </w:r>
          </w:p>
        </w:tc>
        <w:tc>
          <w:tcPr>
            <w:tcW w:w="7087" w:type="dxa"/>
            <w:shd w:val="clear" w:color="auto" w:fill="FFFFFF"/>
            <w:vAlign w:val="bottom"/>
            <w:hideMark/>
          </w:tcPr>
          <w:p w14:paraId="551BEEAD" w14:textId="62016BA7" w:rsidR="00CA5936" w:rsidRPr="00FF386D" w:rsidRDefault="00CA5936" w:rsidP="00CA5936">
            <w:pPr>
              <w:spacing w:after="0" w:line="240" w:lineRule="auto"/>
              <w:rPr>
                <w:rFonts w:ascii="Calibri Light" w:eastAsia="Times New Roman" w:hAnsi="Calibri Light" w:cs="Calibri Light"/>
                <w:color w:val="000000"/>
                <w:lang w:eastAsia="el-GR"/>
              </w:rPr>
            </w:pPr>
            <w:r w:rsidRPr="00FF386D">
              <w:rPr>
                <w:rFonts w:ascii="Calibri Light" w:eastAsia="Calibri" w:hAnsi="Calibri Light" w:cs="Calibri Light"/>
                <w:lang w:bidi="sr-Cyrl-CS"/>
              </w:rPr>
              <w:t>Гасна интерконекција Србија-БиХ</w:t>
            </w:r>
          </w:p>
        </w:tc>
      </w:tr>
      <w:tr w:rsidR="00CA5936" w:rsidRPr="00FF386D" w14:paraId="693F0EB9" w14:textId="77777777" w:rsidTr="0057310C">
        <w:trPr>
          <w:trHeight w:val="207"/>
        </w:trPr>
        <w:tc>
          <w:tcPr>
            <w:tcW w:w="2127" w:type="dxa"/>
            <w:shd w:val="clear" w:color="auto" w:fill="E7E6E6"/>
            <w:vAlign w:val="bottom"/>
            <w:hideMark/>
          </w:tcPr>
          <w:p w14:paraId="3F3EE6D9" w14:textId="77777777" w:rsidR="00CA5936" w:rsidRPr="00FF386D" w:rsidRDefault="00CA5936" w:rsidP="00CA5936">
            <w:pPr>
              <w:spacing w:after="0" w:line="240" w:lineRule="auto"/>
              <w:rPr>
                <w:rFonts w:ascii="Calibri Light" w:eastAsia="Times New Roman" w:hAnsi="Calibri Light" w:cs="Calibri Light"/>
                <w:b/>
                <w:bCs/>
                <w:color w:val="000000"/>
                <w:lang w:eastAsia="el-GR"/>
              </w:rPr>
            </w:pPr>
            <w:r w:rsidRPr="00FF386D">
              <w:rPr>
                <w:rFonts w:ascii="Calibri Light" w:eastAsia="Calibri" w:hAnsi="Calibri Light" w:cs="Calibri Light"/>
                <w:b/>
                <w:lang w:bidi="sr-Cyrl-CS"/>
              </w:rPr>
              <w:t>МП_УТЕ8.5</w:t>
            </w:r>
          </w:p>
        </w:tc>
        <w:tc>
          <w:tcPr>
            <w:tcW w:w="7087" w:type="dxa"/>
            <w:shd w:val="clear" w:color="auto" w:fill="FFFFFF"/>
            <w:vAlign w:val="bottom"/>
            <w:hideMark/>
          </w:tcPr>
          <w:p w14:paraId="6B2AEFD1" w14:textId="6B8BDBD4" w:rsidR="00CA5936" w:rsidRPr="00FF386D" w:rsidRDefault="00CA5936" w:rsidP="00CA5936">
            <w:pPr>
              <w:spacing w:after="0" w:line="240" w:lineRule="auto"/>
              <w:rPr>
                <w:rFonts w:ascii="Calibri Light" w:eastAsia="Times New Roman" w:hAnsi="Calibri Light" w:cs="Calibri Light"/>
                <w:color w:val="000000"/>
                <w:lang w:eastAsia="el-GR"/>
              </w:rPr>
            </w:pPr>
            <w:r w:rsidRPr="00FF386D">
              <w:rPr>
                <w:rFonts w:ascii="Calibri Light" w:eastAsia="Calibri" w:hAnsi="Calibri Light" w:cs="Calibri Light"/>
                <w:lang w:bidi="sr-Cyrl-CS"/>
              </w:rPr>
              <w:t>Разводни гасовод Лесковац-Владичин Хан-Врање</w:t>
            </w:r>
          </w:p>
        </w:tc>
      </w:tr>
      <w:tr w:rsidR="00CA5936" w:rsidRPr="00FF386D" w14:paraId="057C109F" w14:textId="77777777" w:rsidTr="0057310C">
        <w:trPr>
          <w:trHeight w:val="187"/>
        </w:trPr>
        <w:tc>
          <w:tcPr>
            <w:tcW w:w="2127" w:type="dxa"/>
            <w:shd w:val="clear" w:color="auto" w:fill="E7E6E6"/>
            <w:vAlign w:val="bottom"/>
            <w:hideMark/>
          </w:tcPr>
          <w:p w14:paraId="3324BB54" w14:textId="77777777" w:rsidR="00CA5936" w:rsidRPr="00FF386D" w:rsidRDefault="00CA5936" w:rsidP="00CA5936">
            <w:pPr>
              <w:spacing w:after="0" w:line="240" w:lineRule="auto"/>
              <w:rPr>
                <w:rFonts w:ascii="Calibri Light" w:eastAsia="Times New Roman" w:hAnsi="Calibri Light" w:cs="Calibri Light"/>
                <w:b/>
                <w:bCs/>
                <w:color w:val="000000"/>
                <w:lang w:eastAsia="el-GR"/>
              </w:rPr>
            </w:pPr>
            <w:r w:rsidRPr="00FF386D">
              <w:rPr>
                <w:rFonts w:ascii="Calibri Light" w:eastAsia="Calibri" w:hAnsi="Calibri Light" w:cs="Calibri Light"/>
                <w:b/>
                <w:lang w:bidi="sr-Cyrl-CS"/>
              </w:rPr>
              <w:t>МП_УТЕ8.6</w:t>
            </w:r>
          </w:p>
        </w:tc>
        <w:tc>
          <w:tcPr>
            <w:tcW w:w="7087" w:type="dxa"/>
            <w:shd w:val="clear" w:color="auto" w:fill="FFFFFF"/>
            <w:vAlign w:val="bottom"/>
            <w:hideMark/>
          </w:tcPr>
          <w:p w14:paraId="2333637A" w14:textId="77777777" w:rsidR="00CA5936" w:rsidRPr="00FF386D" w:rsidRDefault="00CA5936" w:rsidP="00CA5936">
            <w:pPr>
              <w:spacing w:after="0" w:line="240" w:lineRule="auto"/>
              <w:rPr>
                <w:rFonts w:ascii="Calibri Light" w:eastAsia="Times New Roman" w:hAnsi="Calibri Light" w:cs="Calibri Light"/>
                <w:color w:val="000000"/>
                <w:lang w:eastAsia="el-GR"/>
              </w:rPr>
            </w:pPr>
            <w:r w:rsidRPr="00FF386D">
              <w:rPr>
                <w:rFonts w:ascii="Calibri Light" w:eastAsia="Calibri" w:hAnsi="Calibri Light" w:cs="Calibri Light"/>
                <w:lang w:bidi="sr-Cyrl-CS"/>
              </w:rPr>
              <w:t>Гасовод - интерконекција са Црном Гором</w:t>
            </w:r>
          </w:p>
        </w:tc>
      </w:tr>
      <w:tr w:rsidR="00CA5936" w:rsidRPr="00FF386D" w14:paraId="16110A4A" w14:textId="77777777" w:rsidTr="0057310C">
        <w:trPr>
          <w:trHeight w:val="50"/>
        </w:trPr>
        <w:tc>
          <w:tcPr>
            <w:tcW w:w="2127" w:type="dxa"/>
            <w:shd w:val="clear" w:color="auto" w:fill="E7E6E6"/>
            <w:vAlign w:val="bottom"/>
            <w:hideMark/>
          </w:tcPr>
          <w:p w14:paraId="03965A50" w14:textId="77777777" w:rsidR="00CA5936" w:rsidRPr="00FF386D" w:rsidRDefault="00CA5936" w:rsidP="00CA5936">
            <w:pPr>
              <w:spacing w:after="0" w:line="240" w:lineRule="auto"/>
              <w:rPr>
                <w:rFonts w:ascii="Calibri Light" w:eastAsia="Times New Roman" w:hAnsi="Calibri Light" w:cs="Calibri Light"/>
                <w:b/>
                <w:bCs/>
                <w:color w:val="000000"/>
                <w:lang w:eastAsia="el-GR"/>
              </w:rPr>
            </w:pPr>
            <w:r w:rsidRPr="00FF386D">
              <w:rPr>
                <w:rFonts w:ascii="Calibri Light" w:eastAsia="Calibri" w:hAnsi="Calibri Light" w:cs="Calibri Light"/>
                <w:b/>
                <w:lang w:bidi="sr-Cyrl-CS"/>
              </w:rPr>
              <w:t>МП_УТЕ8.7</w:t>
            </w:r>
          </w:p>
        </w:tc>
        <w:tc>
          <w:tcPr>
            <w:tcW w:w="7087" w:type="dxa"/>
            <w:shd w:val="clear" w:color="auto" w:fill="FFFFFF"/>
            <w:vAlign w:val="bottom"/>
            <w:hideMark/>
          </w:tcPr>
          <w:p w14:paraId="3A136B88" w14:textId="77777777" w:rsidR="00CA5936" w:rsidRPr="00FF386D" w:rsidRDefault="00CA5936" w:rsidP="00CA5936">
            <w:pPr>
              <w:spacing w:after="0" w:line="240" w:lineRule="auto"/>
              <w:rPr>
                <w:rFonts w:ascii="Calibri Light" w:eastAsia="Times New Roman" w:hAnsi="Calibri Light" w:cs="Calibri Light"/>
                <w:color w:val="000000"/>
                <w:lang w:eastAsia="el-GR"/>
              </w:rPr>
            </w:pPr>
            <w:r w:rsidRPr="00FF386D">
              <w:rPr>
                <w:rFonts w:ascii="Calibri Light" w:eastAsia="Calibri" w:hAnsi="Calibri Light" w:cs="Calibri Light"/>
                <w:lang w:bidi="sr-Cyrl-CS"/>
              </w:rPr>
              <w:t>Србија-Македонија гасна интерконекција</w:t>
            </w:r>
          </w:p>
        </w:tc>
      </w:tr>
      <w:tr w:rsidR="00CA5936" w:rsidRPr="00FF386D" w14:paraId="78723BA3" w14:textId="77777777" w:rsidTr="0057310C">
        <w:trPr>
          <w:trHeight w:val="50"/>
        </w:trPr>
        <w:tc>
          <w:tcPr>
            <w:tcW w:w="2127" w:type="dxa"/>
            <w:shd w:val="clear" w:color="auto" w:fill="E7E6E6"/>
            <w:vAlign w:val="bottom"/>
          </w:tcPr>
          <w:p w14:paraId="26C4701B" w14:textId="77777777" w:rsidR="00CA5936" w:rsidRPr="00FF386D" w:rsidRDefault="00CA5936" w:rsidP="00CA5936">
            <w:pPr>
              <w:spacing w:after="0" w:line="240" w:lineRule="auto"/>
              <w:rPr>
                <w:rFonts w:ascii="Calibri Light" w:eastAsia="Calibri" w:hAnsi="Calibri Light" w:cs="Calibri Light"/>
                <w:b/>
                <w:lang w:bidi="sr-Cyrl-CS"/>
              </w:rPr>
            </w:pPr>
            <w:r w:rsidRPr="00FF386D">
              <w:rPr>
                <w:rFonts w:ascii="Calibri Light" w:eastAsia="Calibri" w:hAnsi="Calibri Light" w:cs="Calibri Light"/>
                <w:b/>
                <w:lang w:bidi="sr-Cyrl-CS"/>
              </w:rPr>
              <w:t>МП_УТЕ8.8.</w:t>
            </w:r>
          </w:p>
        </w:tc>
        <w:tc>
          <w:tcPr>
            <w:tcW w:w="7087" w:type="dxa"/>
            <w:shd w:val="clear" w:color="auto" w:fill="FFFFFF"/>
            <w:vAlign w:val="bottom"/>
          </w:tcPr>
          <w:p w14:paraId="590D90A0" w14:textId="77777777" w:rsidR="00CA5936" w:rsidRPr="00FF386D" w:rsidRDefault="00CA5936" w:rsidP="00CA5936">
            <w:pPr>
              <w:spacing w:after="0" w:line="240" w:lineRule="auto"/>
              <w:rPr>
                <w:rFonts w:ascii="Calibri Light" w:eastAsia="Calibri" w:hAnsi="Calibri Light" w:cs="Calibri Light"/>
                <w:lang w:bidi="sr-Cyrl-CS"/>
              </w:rPr>
            </w:pPr>
            <w:r w:rsidRPr="00FF386D">
              <w:rPr>
                <w:rFonts w:ascii="Calibri Light" w:eastAsia="Calibri" w:hAnsi="Calibri Light" w:cs="Calibri Light"/>
                <w:lang w:bidi="sr-Cyrl-CS"/>
              </w:rPr>
              <w:t>Ниш-Приштина гасовод</w:t>
            </w:r>
          </w:p>
        </w:tc>
      </w:tr>
    </w:tbl>
    <w:p w14:paraId="7333DA67" w14:textId="14F1256B" w:rsidR="00CA5936" w:rsidRPr="00FF386D" w:rsidRDefault="00CA5936" w:rsidP="00565B02">
      <w:pPr>
        <w:widowControl w:val="0"/>
        <w:spacing w:before="160" w:line="240" w:lineRule="auto"/>
        <w:jc w:val="both"/>
        <w:rPr>
          <w:rFonts w:ascii="Calibri Light" w:eastAsia="Times New Roman" w:hAnsi="Calibri Light" w:cs="Calibri Light"/>
          <w:szCs w:val="20"/>
          <w:lang w:eastAsia="el-GR"/>
        </w:rPr>
      </w:pPr>
      <w:r w:rsidRPr="00FF386D">
        <w:rPr>
          <w:rFonts w:ascii="Calibri Light" w:eastAsia="Times New Roman" w:hAnsi="Calibri Light" w:cs="Calibri Light"/>
          <w:szCs w:val="20"/>
          <w:lang w:eastAsia="el-GR" w:bidi="sr-Cyrl-CS"/>
        </w:rPr>
        <w:t>Слично томе, на нивоу тржишта, Иницијатива за гас југоисточне Европе (</w:t>
      </w:r>
      <w:r w:rsidRPr="00FF386D">
        <w:rPr>
          <w:rFonts w:ascii="Calibri Light" w:eastAsia="Times New Roman" w:hAnsi="Calibri Light" w:cs="Calibri Light"/>
          <w:i/>
          <w:szCs w:val="20"/>
          <w:lang w:eastAsia="el-GR" w:bidi="sr-Cyrl-CS"/>
        </w:rPr>
        <w:t>SEEGAS</w:t>
      </w:r>
      <w:r w:rsidRPr="00FF386D">
        <w:rPr>
          <w:rFonts w:ascii="Calibri Light" w:eastAsia="Times New Roman" w:hAnsi="Calibri Light" w:cs="Calibri Light"/>
          <w:szCs w:val="20"/>
          <w:lang w:eastAsia="el-GR" w:bidi="sr-Cyrl-CS"/>
        </w:rPr>
        <w:t>), коју је покренуо Секретаријат Енергетске заједнице у децембру 2020. године, представља одговор на све већи интерес заинтересованих страна за успостављање организоване берзе гаса и унапређење прекограничне трговине. Иницијатива има за циљ да подстакне ближу сарадњу између националних берзи гаса и oпера</w:t>
      </w:r>
      <w:r w:rsidR="00B1080B" w:rsidRPr="00FF386D">
        <w:rPr>
          <w:rFonts w:ascii="Calibri Light" w:eastAsia="Times New Roman" w:hAnsi="Calibri Light" w:cs="Calibri Light"/>
          <w:szCs w:val="20"/>
          <w:lang w:eastAsia="el-GR" w:bidi="sr-Cyrl-CS"/>
        </w:rPr>
        <w:t xml:space="preserve">тора </w:t>
      </w:r>
      <w:r w:rsidR="00607CA3" w:rsidRPr="00FF386D">
        <w:rPr>
          <w:rFonts w:ascii="Calibri Light" w:eastAsia="Times New Roman" w:hAnsi="Calibri Light" w:cs="Calibri Light"/>
          <w:szCs w:val="20"/>
          <w:lang w:eastAsia="el-GR" w:bidi="sr-Cyrl-CS"/>
        </w:rPr>
        <w:t>транспортног</w:t>
      </w:r>
      <w:r w:rsidRPr="00FF386D">
        <w:rPr>
          <w:rFonts w:ascii="Calibri Light" w:eastAsia="Times New Roman" w:hAnsi="Calibri Light" w:cs="Calibri Light"/>
          <w:szCs w:val="20"/>
          <w:lang w:eastAsia="el-GR" w:bidi="sr-Cyrl-CS"/>
        </w:rPr>
        <w:t xml:space="preserve"> система у региону како би се омогућило даље отварање тржишта, боље услуге за трговце и</w:t>
      </w:r>
      <w:r w:rsidR="00BA3F80" w:rsidRPr="00FF386D">
        <w:rPr>
          <w:rFonts w:ascii="Calibri Light" w:eastAsia="Times New Roman" w:hAnsi="Calibri Light" w:cs="Calibri Light"/>
          <w:szCs w:val="20"/>
          <w:lang w:eastAsia="el-GR" w:bidi="sr-Cyrl-CS"/>
        </w:rPr>
        <w:t>,</w:t>
      </w:r>
      <w:r w:rsidRPr="00FF386D">
        <w:rPr>
          <w:rFonts w:ascii="Calibri Light" w:eastAsia="Times New Roman" w:hAnsi="Calibri Light" w:cs="Calibri Light"/>
          <w:szCs w:val="20"/>
          <w:lang w:eastAsia="el-GR" w:bidi="sr-Cyrl-CS"/>
        </w:rPr>
        <w:t xml:space="preserve"> на крају</w:t>
      </w:r>
      <w:r w:rsidR="00BA3F80" w:rsidRPr="00FF386D">
        <w:rPr>
          <w:rFonts w:ascii="Calibri Light" w:eastAsia="Times New Roman" w:hAnsi="Calibri Light" w:cs="Calibri Light"/>
          <w:szCs w:val="20"/>
          <w:lang w:eastAsia="el-GR" w:bidi="sr-Cyrl-CS"/>
        </w:rPr>
        <w:t>,</w:t>
      </w:r>
      <w:r w:rsidRPr="00FF386D">
        <w:rPr>
          <w:rFonts w:ascii="Calibri Light" w:eastAsia="Times New Roman" w:hAnsi="Calibri Light" w:cs="Calibri Light"/>
          <w:szCs w:val="20"/>
          <w:lang w:eastAsia="el-GR" w:bidi="sr-Cyrl-CS"/>
        </w:rPr>
        <w:t xml:space="preserve"> користи </w:t>
      </w:r>
      <w:r w:rsidR="00607CA3" w:rsidRPr="00FF386D">
        <w:rPr>
          <w:rFonts w:ascii="Calibri Light" w:eastAsia="Times New Roman" w:hAnsi="Calibri Light" w:cs="Calibri Light"/>
          <w:szCs w:val="20"/>
          <w:lang w:eastAsia="el-GR" w:bidi="sr-Cyrl-CS"/>
        </w:rPr>
        <w:t xml:space="preserve">за </w:t>
      </w:r>
      <w:r w:rsidRPr="00FF386D">
        <w:rPr>
          <w:rFonts w:ascii="Calibri Light" w:eastAsia="Times New Roman" w:hAnsi="Calibri Light" w:cs="Calibri Light"/>
          <w:szCs w:val="20"/>
          <w:lang w:eastAsia="el-GR" w:bidi="sr-Cyrl-CS"/>
        </w:rPr>
        <w:t>крајњ</w:t>
      </w:r>
      <w:r w:rsidR="00607CA3" w:rsidRPr="00FF386D">
        <w:rPr>
          <w:rFonts w:ascii="Calibri Light" w:eastAsia="Times New Roman" w:hAnsi="Calibri Light" w:cs="Calibri Light"/>
          <w:szCs w:val="20"/>
          <w:lang w:eastAsia="el-GR" w:bidi="sr-Cyrl-CS"/>
        </w:rPr>
        <w:t>е</w:t>
      </w:r>
      <w:r w:rsidRPr="00FF386D">
        <w:rPr>
          <w:rFonts w:ascii="Calibri Light" w:eastAsia="Times New Roman" w:hAnsi="Calibri Light" w:cs="Calibri Light"/>
          <w:szCs w:val="20"/>
          <w:lang w:eastAsia="el-GR" w:bidi="sr-Cyrl-CS"/>
        </w:rPr>
        <w:t xml:space="preserve"> </w:t>
      </w:r>
      <w:r w:rsidR="00697777">
        <w:rPr>
          <w:rFonts w:ascii="Calibri Light" w:eastAsia="Times New Roman" w:hAnsi="Calibri Light" w:cs="Calibri Light"/>
          <w:szCs w:val="20"/>
          <w:lang w:eastAsia="el-GR" w:bidi="sr-Cyrl-CS"/>
        </w:rPr>
        <w:t>купце</w:t>
      </w:r>
      <w:r w:rsidR="00697777" w:rsidRPr="00FF386D">
        <w:rPr>
          <w:rFonts w:ascii="Calibri Light" w:eastAsia="Times New Roman" w:hAnsi="Calibri Light" w:cs="Calibri Light"/>
          <w:szCs w:val="20"/>
          <w:lang w:eastAsia="el-GR" w:bidi="sr-Cyrl-CS"/>
        </w:rPr>
        <w:t xml:space="preserve"> </w:t>
      </w:r>
      <w:r w:rsidR="00BA3F80" w:rsidRPr="00FF386D">
        <w:rPr>
          <w:rFonts w:ascii="Calibri Light" w:eastAsia="Times New Roman" w:hAnsi="Calibri Light" w:cs="Calibri Light"/>
          <w:szCs w:val="20"/>
          <w:lang w:eastAsia="el-GR" w:bidi="sr-Cyrl-CS"/>
        </w:rPr>
        <w:t>путем</w:t>
      </w:r>
      <w:r w:rsidRPr="00FF386D">
        <w:rPr>
          <w:rFonts w:ascii="Calibri Light" w:eastAsia="Times New Roman" w:hAnsi="Calibri Light" w:cs="Calibri Light"/>
          <w:szCs w:val="20"/>
          <w:lang w:eastAsia="el-GR" w:bidi="sr-Cyrl-CS"/>
        </w:rPr>
        <w:t xml:space="preserve"> повећан</w:t>
      </w:r>
      <w:r w:rsidR="00BA3F80" w:rsidRPr="00FF386D">
        <w:rPr>
          <w:rFonts w:ascii="Calibri Light" w:eastAsia="Times New Roman" w:hAnsi="Calibri Light" w:cs="Calibri Light"/>
          <w:szCs w:val="20"/>
          <w:lang w:eastAsia="el-GR" w:bidi="sr-Cyrl-CS"/>
        </w:rPr>
        <w:t>е</w:t>
      </w:r>
      <w:r w:rsidRPr="00FF386D">
        <w:rPr>
          <w:rFonts w:ascii="Calibri Light" w:eastAsia="Times New Roman" w:hAnsi="Calibri Light" w:cs="Calibri Light"/>
          <w:szCs w:val="20"/>
          <w:lang w:eastAsia="el-GR" w:bidi="sr-Cyrl-CS"/>
        </w:rPr>
        <w:t xml:space="preserve"> конкуренциј</w:t>
      </w:r>
      <w:r w:rsidR="00BA3F80" w:rsidRPr="00FF386D">
        <w:rPr>
          <w:rFonts w:ascii="Calibri Light" w:eastAsia="Times New Roman" w:hAnsi="Calibri Light" w:cs="Calibri Light"/>
          <w:szCs w:val="20"/>
          <w:lang w:eastAsia="el-GR" w:bidi="sr-Cyrl-CS"/>
        </w:rPr>
        <w:t>е</w:t>
      </w:r>
      <w:r w:rsidRPr="00FF386D">
        <w:rPr>
          <w:rFonts w:ascii="Calibri Light" w:eastAsia="Times New Roman" w:hAnsi="Calibri Light" w:cs="Calibri Light"/>
          <w:szCs w:val="20"/>
          <w:lang w:eastAsia="el-GR" w:bidi="sr-Cyrl-CS"/>
        </w:rPr>
        <w:t xml:space="preserve"> у трговини гасом.</w:t>
      </w:r>
    </w:p>
    <w:p w14:paraId="5FF59406" w14:textId="77777777" w:rsidR="00DB7219" w:rsidRDefault="00CA5936" w:rsidP="00CA5936">
      <w:pPr>
        <w:widowControl w:val="0"/>
        <w:spacing w:after="120" w:line="240" w:lineRule="auto"/>
        <w:jc w:val="both"/>
        <w:rPr>
          <w:rFonts w:ascii="Calibri Light" w:eastAsia="Times New Roman" w:hAnsi="Calibri Light" w:cs="Calibri Light"/>
          <w:szCs w:val="20"/>
          <w:lang w:eastAsia="el-GR"/>
        </w:rPr>
        <w:sectPr w:rsidR="00DB7219" w:rsidSect="0057310C">
          <w:footerReference w:type="default" r:id="rId150"/>
          <w:pgSz w:w="11906" w:h="16838"/>
          <w:pgMar w:top="1134" w:right="1134" w:bottom="1134" w:left="1134" w:header="720" w:footer="720" w:gutter="0"/>
          <w:cols w:space="720"/>
          <w:titlePg/>
          <w:docGrid w:linePitch="360"/>
        </w:sectPr>
      </w:pPr>
      <w:r w:rsidRPr="00FF386D">
        <w:rPr>
          <w:rFonts w:ascii="Calibri Light" w:eastAsia="Times New Roman" w:hAnsi="Calibri Light" w:cs="Calibri Light"/>
          <w:szCs w:val="20"/>
          <w:lang w:eastAsia="el-GR"/>
        </w:rPr>
        <w:br w:type="page"/>
      </w:r>
    </w:p>
    <w:p w14:paraId="0F72B8E3" w14:textId="77777777" w:rsidR="00CA5936" w:rsidRPr="00FF386D" w:rsidRDefault="00CA5936" w:rsidP="00CA5936">
      <w:pPr>
        <w:widowControl w:val="0"/>
        <w:spacing w:after="120" w:line="240" w:lineRule="auto"/>
        <w:jc w:val="both"/>
        <w:rPr>
          <w:rFonts w:ascii="Calibri" w:eastAsia="Times New Roman" w:hAnsi="Calibri" w:cs="Arial"/>
          <w:szCs w:val="20"/>
          <w:lang w:eastAsia="el-GR"/>
        </w:rPr>
      </w:pPr>
    </w:p>
    <w:p w14:paraId="35D670EB" w14:textId="624010A4" w:rsidR="005F362F" w:rsidRPr="00FF386D" w:rsidRDefault="00221615" w:rsidP="00565B02">
      <w:pPr>
        <w:pStyle w:val="Heading1"/>
        <w:numPr>
          <w:ilvl w:val="0"/>
          <w:numId w:val="394"/>
        </w:numPr>
      </w:pPr>
      <w:bookmarkStart w:id="471" w:name="_Toc136173829"/>
      <w:bookmarkStart w:id="472" w:name="_Toc137457040"/>
      <w:bookmarkStart w:id="473" w:name="_Toc153901564"/>
      <w:bookmarkEnd w:id="364"/>
      <w:r w:rsidRPr="00FF386D">
        <w:t>Анекс</w:t>
      </w:r>
      <w:r w:rsidR="005F362F" w:rsidRPr="00FF386D">
        <w:t xml:space="preserve">: </w:t>
      </w:r>
      <w:r w:rsidRPr="00FF386D">
        <w:t>Збирна табела мера са трошковима имплементације</w:t>
      </w:r>
      <w:bookmarkEnd w:id="471"/>
      <w:bookmarkEnd w:id="472"/>
      <w:bookmarkEnd w:id="473"/>
    </w:p>
    <w:p w14:paraId="59233C41" w14:textId="40D2F480" w:rsidR="00AA4B61" w:rsidRPr="00AA4B61" w:rsidRDefault="00AA4B61" w:rsidP="00565B02">
      <w:pPr>
        <w:pStyle w:val="Caption"/>
        <w:keepNext/>
      </w:pPr>
      <w:bookmarkStart w:id="474" w:name="_Toc153901482"/>
      <w:r>
        <w:t xml:space="preserve">Табела </w:t>
      </w:r>
      <w:r w:rsidR="00873C40">
        <w:fldChar w:fldCharType="begin"/>
      </w:r>
      <w:r w:rsidR="00873C40">
        <w:instrText xml:space="preserve"> STYLEREF 1 \s </w:instrText>
      </w:r>
      <w:r w:rsidR="00873C40">
        <w:fldChar w:fldCharType="separate"/>
      </w:r>
      <w:r w:rsidR="00873C40">
        <w:rPr>
          <w:noProof/>
        </w:rPr>
        <w:t>I</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1</w:t>
      </w:r>
      <w:r w:rsidR="00873C40">
        <w:fldChar w:fldCharType="end"/>
      </w:r>
      <w:r>
        <w:rPr>
          <w:lang w:val="sr-Latn-RS"/>
        </w:rPr>
        <w:t xml:space="preserve">: </w:t>
      </w:r>
      <w:r>
        <w:t xml:space="preserve">Мере политике </w:t>
      </w:r>
      <w:r w:rsidRPr="00AA4B61">
        <w:t xml:space="preserve">димензије </w:t>
      </w:r>
      <w:r>
        <w:t>д</w:t>
      </w:r>
      <w:r w:rsidRPr="00AA4B61">
        <w:t>екарбонизациј</w:t>
      </w:r>
      <w:r>
        <w:t>а</w:t>
      </w:r>
      <w:bookmarkEnd w:id="474"/>
    </w:p>
    <w:tbl>
      <w:tblPr>
        <w:tblW w:w="4790" w:type="pct"/>
        <w:tblLook w:val="04A0" w:firstRow="1" w:lastRow="0" w:firstColumn="1" w:lastColumn="0" w:noHBand="0" w:noVBand="1"/>
      </w:tblPr>
      <w:tblGrid>
        <w:gridCol w:w="1324"/>
        <w:gridCol w:w="760"/>
        <w:gridCol w:w="3690"/>
        <w:gridCol w:w="959"/>
        <w:gridCol w:w="1027"/>
        <w:gridCol w:w="1247"/>
        <w:gridCol w:w="891"/>
        <w:gridCol w:w="842"/>
        <w:gridCol w:w="1244"/>
        <w:gridCol w:w="988"/>
        <w:gridCol w:w="976"/>
      </w:tblGrid>
      <w:tr w:rsidR="005D7AD3" w:rsidRPr="005D7AD3" w14:paraId="304F0D15" w14:textId="77777777" w:rsidTr="00565B02">
        <w:trPr>
          <w:trHeight w:val="20"/>
        </w:trPr>
        <w:tc>
          <w:tcPr>
            <w:tcW w:w="475"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6E3C6FD5" w14:textId="77777777" w:rsidR="005D7AD3" w:rsidRPr="005D7AD3" w:rsidRDefault="005D7AD3" w:rsidP="005D7AD3">
            <w:pPr>
              <w:spacing w:after="0" w:line="240" w:lineRule="auto"/>
              <w:jc w:val="center"/>
              <w:rPr>
                <w:rFonts w:ascii="Calibri" w:eastAsia="Times New Roman" w:hAnsi="Calibri" w:cs="Calibri"/>
                <w:b/>
                <w:bCs/>
                <w:color w:val="000000"/>
                <w:sz w:val="14"/>
                <w:szCs w:val="14"/>
              </w:rPr>
            </w:pPr>
            <w:r w:rsidRPr="005D7AD3">
              <w:rPr>
                <w:rFonts w:ascii="Calibri" w:eastAsia="Times New Roman" w:hAnsi="Calibri" w:cs="Calibri"/>
                <w:b/>
                <w:bCs/>
                <w:color w:val="000000"/>
                <w:sz w:val="14"/>
                <w:szCs w:val="14"/>
              </w:rPr>
              <w:t>Димензија</w:t>
            </w:r>
          </w:p>
        </w:tc>
        <w:tc>
          <w:tcPr>
            <w:tcW w:w="272" w:type="pct"/>
            <w:tcBorders>
              <w:top w:val="single" w:sz="4" w:space="0" w:color="auto"/>
              <w:left w:val="nil"/>
              <w:bottom w:val="single" w:sz="4" w:space="0" w:color="auto"/>
              <w:right w:val="single" w:sz="4" w:space="0" w:color="auto"/>
            </w:tcBorders>
            <w:shd w:val="clear" w:color="000000" w:fill="BFBFBF"/>
            <w:vAlign w:val="center"/>
            <w:hideMark/>
          </w:tcPr>
          <w:p w14:paraId="1F9B234F" w14:textId="77777777" w:rsidR="005D7AD3" w:rsidRPr="005D7AD3" w:rsidRDefault="005D7AD3" w:rsidP="005D7AD3">
            <w:pPr>
              <w:spacing w:after="0" w:line="240" w:lineRule="auto"/>
              <w:jc w:val="center"/>
              <w:rPr>
                <w:rFonts w:ascii="Calibri" w:eastAsia="Times New Roman" w:hAnsi="Calibri" w:cs="Calibri"/>
                <w:b/>
                <w:bCs/>
                <w:color w:val="000000"/>
                <w:sz w:val="14"/>
                <w:szCs w:val="14"/>
              </w:rPr>
            </w:pPr>
            <w:r w:rsidRPr="005D7AD3">
              <w:rPr>
                <w:rFonts w:ascii="Calibri" w:eastAsia="Times New Roman" w:hAnsi="Calibri" w:cs="Calibri"/>
                <w:b/>
                <w:bCs/>
                <w:color w:val="000000"/>
                <w:sz w:val="14"/>
                <w:szCs w:val="14"/>
              </w:rPr>
              <w:t>Број МП</w:t>
            </w:r>
          </w:p>
        </w:tc>
        <w:tc>
          <w:tcPr>
            <w:tcW w:w="1323" w:type="pct"/>
            <w:tcBorders>
              <w:top w:val="single" w:sz="4" w:space="0" w:color="auto"/>
              <w:left w:val="nil"/>
              <w:bottom w:val="single" w:sz="4" w:space="0" w:color="auto"/>
              <w:right w:val="single" w:sz="4" w:space="0" w:color="auto"/>
            </w:tcBorders>
            <w:shd w:val="clear" w:color="000000" w:fill="BFBFBF"/>
            <w:vAlign w:val="center"/>
            <w:hideMark/>
          </w:tcPr>
          <w:p w14:paraId="1DA65AF4" w14:textId="77777777" w:rsidR="005D7AD3" w:rsidRPr="005D7AD3" w:rsidRDefault="005D7AD3" w:rsidP="005D7AD3">
            <w:pPr>
              <w:spacing w:after="0" w:line="240" w:lineRule="auto"/>
              <w:jc w:val="center"/>
              <w:rPr>
                <w:rFonts w:ascii="Calibri" w:eastAsia="Times New Roman" w:hAnsi="Calibri" w:cs="Calibri"/>
                <w:b/>
                <w:bCs/>
                <w:color w:val="000000"/>
                <w:sz w:val="14"/>
                <w:szCs w:val="14"/>
              </w:rPr>
            </w:pPr>
            <w:r w:rsidRPr="005D7AD3">
              <w:rPr>
                <w:rFonts w:ascii="Calibri" w:eastAsia="Times New Roman" w:hAnsi="Calibri" w:cs="Calibri"/>
                <w:b/>
                <w:bCs/>
                <w:color w:val="000000"/>
                <w:sz w:val="14"/>
                <w:szCs w:val="14"/>
              </w:rPr>
              <w:t>Назив мере политике</w:t>
            </w:r>
          </w:p>
        </w:tc>
        <w:tc>
          <w:tcPr>
            <w:tcW w:w="344" w:type="pct"/>
            <w:tcBorders>
              <w:top w:val="single" w:sz="4" w:space="0" w:color="auto"/>
              <w:left w:val="nil"/>
              <w:bottom w:val="single" w:sz="4" w:space="0" w:color="auto"/>
              <w:right w:val="single" w:sz="4" w:space="0" w:color="auto"/>
            </w:tcBorders>
            <w:shd w:val="clear" w:color="000000" w:fill="BFBFBF"/>
            <w:vAlign w:val="center"/>
            <w:hideMark/>
          </w:tcPr>
          <w:p w14:paraId="11FC0089" w14:textId="77777777" w:rsidR="005D7AD3" w:rsidRPr="005D7AD3" w:rsidRDefault="005D7AD3" w:rsidP="005D7AD3">
            <w:pPr>
              <w:spacing w:after="0" w:line="240" w:lineRule="auto"/>
              <w:jc w:val="center"/>
              <w:rPr>
                <w:rFonts w:ascii="Calibri" w:eastAsia="Times New Roman" w:hAnsi="Calibri" w:cs="Calibri"/>
                <w:b/>
                <w:bCs/>
                <w:color w:val="000000"/>
                <w:sz w:val="14"/>
                <w:szCs w:val="14"/>
              </w:rPr>
            </w:pPr>
            <w:r w:rsidRPr="005D7AD3">
              <w:rPr>
                <w:rFonts w:ascii="Calibri" w:eastAsia="Times New Roman" w:hAnsi="Calibri" w:cs="Calibri"/>
                <w:b/>
                <w:bCs/>
                <w:color w:val="000000"/>
                <w:sz w:val="14"/>
                <w:szCs w:val="14"/>
              </w:rPr>
              <w:t>Тип мере</w:t>
            </w:r>
          </w:p>
        </w:tc>
        <w:tc>
          <w:tcPr>
            <w:tcW w:w="368" w:type="pct"/>
            <w:tcBorders>
              <w:top w:val="single" w:sz="4" w:space="0" w:color="auto"/>
              <w:left w:val="nil"/>
              <w:bottom w:val="single" w:sz="4" w:space="0" w:color="auto"/>
              <w:right w:val="single" w:sz="4" w:space="0" w:color="auto"/>
            </w:tcBorders>
            <w:shd w:val="clear" w:color="000000" w:fill="BFBFBF"/>
            <w:vAlign w:val="center"/>
            <w:hideMark/>
          </w:tcPr>
          <w:p w14:paraId="0BAD3C99" w14:textId="77777777" w:rsidR="005D7AD3" w:rsidRPr="005D7AD3" w:rsidRDefault="005D7AD3" w:rsidP="005D7AD3">
            <w:pPr>
              <w:spacing w:after="0" w:line="240" w:lineRule="auto"/>
              <w:jc w:val="center"/>
              <w:rPr>
                <w:rFonts w:ascii="Calibri" w:eastAsia="Times New Roman" w:hAnsi="Calibri" w:cs="Calibri"/>
                <w:b/>
                <w:bCs/>
                <w:color w:val="000000"/>
                <w:sz w:val="14"/>
                <w:szCs w:val="14"/>
              </w:rPr>
            </w:pPr>
            <w:r w:rsidRPr="005D7AD3">
              <w:rPr>
                <w:rFonts w:ascii="Calibri" w:eastAsia="Times New Roman" w:hAnsi="Calibri" w:cs="Calibri"/>
                <w:b/>
                <w:bCs/>
                <w:color w:val="000000"/>
                <w:sz w:val="14"/>
                <w:szCs w:val="14"/>
              </w:rPr>
              <w:t>Синергетски ефекти</w:t>
            </w:r>
          </w:p>
        </w:tc>
        <w:tc>
          <w:tcPr>
            <w:tcW w:w="447" w:type="pct"/>
            <w:tcBorders>
              <w:top w:val="single" w:sz="4" w:space="0" w:color="auto"/>
              <w:left w:val="nil"/>
              <w:bottom w:val="single" w:sz="4" w:space="0" w:color="auto"/>
              <w:right w:val="single" w:sz="4" w:space="0" w:color="auto"/>
            </w:tcBorders>
            <w:shd w:val="clear" w:color="000000" w:fill="BFBFBF"/>
            <w:vAlign w:val="center"/>
            <w:hideMark/>
          </w:tcPr>
          <w:p w14:paraId="0FFA6F3C" w14:textId="77777777" w:rsidR="005D7AD3" w:rsidRPr="005D7AD3" w:rsidRDefault="005D7AD3" w:rsidP="005D7AD3">
            <w:pPr>
              <w:spacing w:after="0" w:line="240" w:lineRule="auto"/>
              <w:jc w:val="center"/>
              <w:rPr>
                <w:rFonts w:ascii="Calibri" w:eastAsia="Times New Roman" w:hAnsi="Calibri" w:cs="Calibri"/>
                <w:b/>
                <w:bCs/>
                <w:color w:val="000000"/>
                <w:sz w:val="14"/>
                <w:szCs w:val="14"/>
              </w:rPr>
            </w:pPr>
            <w:r w:rsidRPr="005D7AD3">
              <w:rPr>
                <w:rFonts w:ascii="Calibri" w:eastAsia="Times New Roman" w:hAnsi="Calibri" w:cs="Calibri"/>
                <w:b/>
                <w:bCs/>
                <w:color w:val="000000"/>
                <w:sz w:val="14"/>
                <w:szCs w:val="14"/>
              </w:rPr>
              <w:t>Трошкови имплементације (милион €)</w:t>
            </w:r>
          </w:p>
        </w:tc>
        <w:tc>
          <w:tcPr>
            <w:tcW w:w="319" w:type="pct"/>
            <w:tcBorders>
              <w:top w:val="single" w:sz="4" w:space="0" w:color="auto"/>
              <w:left w:val="nil"/>
              <w:bottom w:val="single" w:sz="4" w:space="0" w:color="auto"/>
              <w:right w:val="single" w:sz="4" w:space="0" w:color="auto"/>
            </w:tcBorders>
            <w:shd w:val="clear" w:color="000000" w:fill="BFBFBF"/>
            <w:vAlign w:val="center"/>
            <w:hideMark/>
          </w:tcPr>
          <w:p w14:paraId="158A0660" w14:textId="77777777" w:rsidR="005D7AD3" w:rsidRPr="005D7AD3" w:rsidRDefault="005D7AD3" w:rsidP="005D7AD3">
            <w:pPr>
              <w:spacing w:after="0" w:line="240" w:lineRule="auto"/>
              <w:jc w:val="center"/>
              <w:rPr>
                <w:rFonts w:ascii="Calibri" w:eastAsia="Times New Roman" w:hAnsi="Calibri" w:cs="Calibri"/>
                <w:b/>
                <w:bCs/>
                <w:color w:val="000000"/>
                <w:sz w:val="14"/>
                <w:szCs w:val="14"/>
              </w:rPr>
            </w:pPr>
            <w:r w:rsidRPr="005D7AD3">
              <w:rPr>
                <w:rFonts w:ascii="Calibri" w:eastAsia="Times New Roman" w:hAnsi="Calibri" w:cs="Calibri"/>
                <w:b/>
                <w:bCs/>
                <w:color w:val="000000"/>
                <w:sz w:val="14"/>
                <w:szCs w:val="14"/>
              </w:rPr>
              <w:t>Планирана јавна помоћ (милион €)</w:t>
            </w:r>
          </w:p>
        </w:tc>
        <w:tc>
          <w:tcPr>
            <w:tcW w:w="302" w:type="pct"/>
            <w:tcBorders>
              <w:top w:val="single" w:sz="4" w:space="0" w:color="auto"/>
              <w:left w:val="nil"/>
              <w:bottom w:val="single" w:sz="4" w:space="0" w:color="auto"/>
              <w:right w:val="single" w:sz="4" w:space="0" w:color="auto"/>
            </w:tcBorders>
            <w:shd w:val="clear" w:color="000000" w:fill="BFBFBF"/>
            <w:vAlign w:val="center"/>
            <w:hideMark/>
          </w:tcPr>
          <w:p w14:paraId="6B233F7A" w14:textId="77777777" w:rsidR="005D7AD3" w:rsidRPr="005D7AD3" w:rsidRDefault="005D7AD3" w:rsidP="005D7AD3">
            <w:pPr>
              <w:spacing w:after="0" w:line="240" w:lineRule="auto"/>
              <w:jc w:val="center"/>
              <w:rPr>
                <w:rFonts w:ascii="Calibri" w:eastAsia="Times New Roman" w:hAnsi="Calibri" w:cs="Calibri"/>
                <w:b/>
                <w:bCs/>
                <w:color w:val="000000"/>
                <w:sz w:val="14"/>
                <w:szCs w:val="14"/>
              </w:rPr>
            </w:pPr>
            <w:r w:rsidRPr="005D7AD3">
              <w:rPr>
                <w:rFonts w:ascii="Calibri" w:eastAsia="Times New Roman" w:hAnsi="Calibri" w:cs="Calibri"/>
                <w:b/>
                <w:bCs/>
                <w:color w:val="000000"/>
                <w:sz w:val="14"/>
                <w:szCs w:val="14"/>
              </w:rPr>
              <w:t>Сопствена средства (милион €)</w:t>
            </w:r>
          </w:p>
        </w:tc>
        <w:tc>
          <w:tcPr>
            <w:tcW w:w="446" w:type="pct"/>
            <w:tcBorders>
              <w:top w:val="single" w:sz="4" w:space="0" w:color="auto"/>
              <w:left w:val="nil"/>
              <w:bottom w:val="single" w:sz="4" w:space="0" w:color="auto"/>
              <w:right w:val="single" w:sz="4" w:space="0" w:color="auto"/>
            </w:tcBorders>
            <w:shd w:val="clear" w:color="000000" w:fill="BFBFBF"/>
            <w:vAlign w:val="center"/>
            <w:hideMark/>
          </w:tcPr>
          <w:p w14:paraId="42472AC6" w14:textId="77777777" w:rsidR="005D7AD3" w:rsidRPr="005D7AD3" w:rsidRDefault="005D7AD3" w:rsidP="005D7AD3">
            <w:pPr>
              <w:spacing w:after="0" w:line="240" w:lineRule="auto"/>
              <w:jc w:val="center"/>
              <w:rPr>
                <w:rFonts w:ascii="Calibri" w:eastAsia="Times New Roman" w:hAnsi="Calibri" w:cs="Calibri"/>
                <w:b/>
                <w:bCs/>
                <w:color w:val="000000"/>
                <w:sz w:val="14"/>
                <w:szCs w:val="14"/>
              </w:rPr>
            </w:pPr>
            <w:r w:rsidRPr="005D7AD3">
              <w:rPr>
                <w:rFonts w:ascii="Calibri" w:eastAsia="Times New Roman" w:hAnsi="Calibri" w:cs="Calibri"/>
                <w:b/>
                <w:bCs/>
                <w:color w:val="000000"/>
                <w:sz w:val="14"/>
                <w:szCs w:val="14"/>
              </w:rPr>
              <w:t>Сценарио пројекција у који је МП укључена</w:t>
            </w:r>
          </w:p>
        </w:tc>
        <w:tc>
          <w:tcPr>
            <w:tcW w:w="354" w:type="pct"/>
            <w:tcBorders>
              <w:top w:val="single" w:sz="4" w:space="0" w:color="auto"/>
              <w:left w:val="nil"/>
              <w:bottom w:val="single" w:sz="4" w:space="0" w:color="auto"/>
              <w:right w:val="single" w:sz="4" w:space="0" w:color="auto"/>
            </w:tcBorders>
            <w:shd w:val="clear" w:color="000000" w:fill="BFBFBF"/>
            <w:vAlign w:val="center"/>
            <w:hideMark/>
          </w:tcPr>
          <w:p w14:paraId="3F40C6B8" w14:textId="77777777" w:rsidR="005D7AD3" w:rsidRPr="005D7AD3" w:rsidRDefault="005D7AD3" w:rsidP="005D7AD3">
            <w:pPr>
              <w:spacing w:after="0" w:line="240" w:lineRule="auto"/>
              <w:jc w:val="center"/>
              <w:rPr>
                <w:rFonts w:ascii="Calibri" w:eastAsia="Times New Roman" w:hAnsi="Calibri" w:cs="Calibri"/>
                <w:b/>
                <w:bCs/>
                <w:color w:val="000000"/>
                <w:sz w:val="14"/>
                <w:szCs w:val="14"/>
              </w:rPr>
            </w:pPr>
            <w:r w:rsidRPr="005D7AD3">
              <w:rPr>
                <w:rFonts w:ascii="Calibri" w:eastAsia="Times New Roman" w:hAnsi="Calibri" w:cs="Calibri"/>
                <w:b/>
                <w:bCs/>
                <w:color w:val="000000"/>
                <w:sz w:val="14"/>
                <w:szCs w:val="14"/>
              </w:rPr>
              <w:t xml:space="preserve">CAPEX </w:t>
            </w:r>
            <w:r w:rsidRPr="005D7AD3">
              <w:rPr>
                <w:rFonts w:ascii="Calibri" w:eastAsia="Times New Roman" w:hAnsi="Calibri" w:cs="Calibri"/>
                <w:b/>
                <w:bCs/>
                <w:i/>
                <w:iCs/>
                <w:color w:val="000000"/>
                <w:sz w:val="14"/>
                <w:szCs w:val="14"/>
              </w:rPr>
              <w:t>WEM</w:t>
            </w:r>
            <w:r w:rsidRPr="005D7AD3">
              <w:rPr>
                <w:rFonts w:ascii="Calibri" w:eastAsia="Times New Roman" w:hAnsi="Calibri" w:cs="Calibri"/>
                <w:b/>
                <w:bCs/>
                <w:color w:val="000000"/>
                <w:sz w:val="14"/>
                <w:szCs w:val="14"/>
              </w:rPr>
              <w:t xml:space="preserve"> (милион €)</w:t>
            </w:r>
          </w:p>
        </w:tc>
        <w:tc>
          <w:tcPr>
            <w:tcW w:w="350" w:type="pct"/>
            <w:tcBorders>
              <w:top w:val="single" w:sz="4" w:space="0" w:color="auto"/>
              <w:left w:val="nil"/>
              <w:bottom w:val="single" w:sz="4" w:space="0" w:color="auto"/>
              <w:right w:val="single" w:sz="4" w:space="0" w:color="auto"/>
            </w:tcBorders>
            <w:shd w:val="clear" w:color="000000" w:fill="BFBFBF"/>
            <w:vAlign w:val="center"/>
            <w:hideMark/>
          </w:tcPr>
          <w:p w14:paraId="3314640D" w14:textId="77777777" w:rsidR="005D7AD3" w:rsidRPr="005D7AD3" w:rsidRDefault="005D7AD3" w:rsidP="005D7AD3">
            <w:pPr>
              <w:spacing w:after="0" w:line="240" w:lineRule="auto"/>
              <w:jc w:val="center"/>
              <w:rPr>
                <w:rFonts w:ascii="Calibri" w:eastAsia="Times New Roman" w:hAnsi="Calibri" w:cs="Calibri"/>
                <w:b/>
                <w:bCs/>
                <w:color w:val="000000"/>
                <w:sz w:val="14"/>
                <w:szCs w:val="14"/>
              </w:rPr>
            </w:pPr>
            <w:r w:rsidRPr="005D7AD3">
              <w:rPr>
                <w:rFonts w:ascii="Calibri" w:eastAsia="Times New Roman" w:hAnsi="Calibri" w:cs="Calibri"/>
                <w:b/>
                <w:bCs/>
                <w:color w:val="000000"/>
                <w:sz w:val="14"/>
                <w:szCs w:val="14"/>
              </w:rPr>
              <w:t xml:space="preserve">CAPEX </w:t>
            </w:r>
            <w:r w:rsidRPr="005D7AD3">
              <w:rPr>
                <w:rFonts w:ascii="Calibri" w:eastAsia="Times New Roman" w:hAnsi="Calibri" w:cs="Calibri"/>
                <w:b/>
                <w:bCs/>
                <w:i/>
                <w:iCs/>
                <w:color w:val="000000"/>
                <w:sz w:val="14"/>
                <w:szCs w:val="14"/>
              </w:rPr>
              <w:t>WAM</w:t>
            </w:r>
            <w:r w:rsidRPr="005D7AD3">
              <w:rPr>
                <w:rFonts w:ascii="Calibri" w:eastAsia="Times New Roman" w:hAnsi="Calibri" w:cs="Calibri"/>
                <w:b/>
                <w:bCs/>
                <w:color w:val="000000"/>
                <w:sz w:val="14"/>
                <w:szCs w:val="14"/>
              </w:rPr>
              <w:t xml:space="preserve"> (милион €)</w:t>
            </w:r>
          </w:p>
        </w:tc>
      </w:tr>
      <w:tr w:rsidR="005D7AD3" w:rsidRPr="005D7AD3" w14:paraId="7E9B2C4E" w14:textId="77777777" w:rsidTr="00565B02">
        <w:trPr>
          <w:trHeight w:val="20"/>
        </w:trPr>
        <w:tc>
          <w:tcPr>
            <w:tcW w:w="475" w:type="pct"/>
            <w:vMerge w:val="restart"/>
            <w:tcBorders>
              <w:top w:val="nil"/>
              <w:left w:val="single" w:sz="4" w:space="0" w:color="auto"/>
              <w:bottom w:val="single" w:sz="4" w:space="0" w:color="auto"/>
              <w:right w:val="single" w:sz="4" w:space="0" w:color="auto"/>
            </w:tcBorders>
            <w:shd w:val="clear" w:color="000000" w:fill="BFBFBF"/>
            <w:vAlign w:val="center"/>
            <w:hideMark/>
          </w:tcPr>
          <w:p w14:paraId="63B5A79B" w14:textId="77777777" w:rsidR="005D7AD3" w:rsidRPr="005D7AD3" w:rsidRDefault="005D7AD3" w:rsidP="005D7AD3">
            <w:pPr>
              <w:spacing w:after="0" w:line="240" w:lineRule="auto"/>
              <w:jc w:val="center"/>
              <w:rPr>
                <w:rFonts w:ascii="Calibri" w:eastAsia="Times New Roman" w:hAnsi="Calibri" w:cs="Calibri"/>
                <w:b/>
                <w:bCs/>
                <w:color w:val="000000"/>
                <w:sz w:val="14"/>
                <w:szCs w:val="14"/>
              </w:rPr>
            </w:pPr>
            <w:r w:rsidRPr="005D7AD3">
              <w:rPr>
                <w:rFonts w:ascii="Calibri" w:eastAsia="Times New Roman" w:hAnsi="Calibri" w:cs="Calibri"/>
                <w:b/>
                <w:bCs/>
                <w:color w:val="000000"/>
                <w:sz w:val="14"/>
                <w:szCs w:val="14"/>
              </w:rPr>
              <w:t>Декарбонизација</w:t>
            </w:r>
          </w:p>
        </w:tc>
        <w:tc>
          <w:tcPr>
            <w:tcW w:w="272" w:type="pct"/>
            <w:tcBorders>
              <w:top w:val="nil"/>
              <w:left w:val="nil"/>
              <w:bottom w:val="single" w:sz="4" w:space="0" w:color="auto"/>
              <w:right w:val="single" w:sz="4" w:space="0" w:color="auto"/>
            </w:tcBorders>
            <w:shd w:val="clear" w:color="auto" w:fill="auto"/>
            <w:noWrap/>
            <w:vAlign w:val="bottom"/>
            <w:hideMark/>
          </w:tcPr>
          <w:p w14:paraId="4AEBE25D"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МП_Д1</w:t>
            </w:r>
          </w:p>
        </w:tc>
        <w:tc>
          <w:tcPr>
            <w:tcW w:w="1323" w:type="pct"/>
            <w:tcBorders>
              <w:top w:val="nil"/>
              <w:left w:val="nil"/>
              <w:bottom w:val="single" w:sz="4" w:space="0" w:color="auto"/>
              <w:right w:val="single" w:sz="4" w:space="0" w:color="auto"/>
            </w:tcBorders>
            <w:shd w:val="clear" w:color="auto" w:fill="auto"/>
            <w:vAlign w:val="bottom"/>
            <w:hideMark/>
          </w:tcPr>
          <w:p w14:paraId="5657E9B1"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Увођење цене угљеника на енергију</w:t>
            </w:r>
          </w:p>
        </w:tc>
        <w:tc>
          <w:tcPr>
            <w:tcW w:w="344" w:type="pct"/>
            <w:tcBorders>
              <w:top w:val="nil"/>
              <w:left w:val="nil"/>
              <w:bottom w:val="single" w:sz="4" w:space="0" w:color="auto"/>
              <w:right w:val="single" w:sz="4" w:space="0" w:color="auto"/>
            </w:tcBorders>
            <w:shd w:val="clear" w:color="auto" w:fill="auto"/>
            <w:vAlign w:val="center"/>
            <w:hideMark/>
          </w:tcPr>
          <w:p w14:paraId="05AD1853"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auto" w:fill="auto"/>
            <w:vAlign w:val="center"/>
            <w:hideMark/>
          </w:tcPr>
          <w:p w14:paraId="5C8AE6A4"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57BF0E26"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0,20</w:t>
            </w:r>
          </w:p>
        </w:tc>
        <w:tc>
          <w:tcPr>
            <w:tcW w:w="319" w:type="pct"/>
            <w:tcBorders>
              <w:top w:val="nil"/>
              <w:left w:val="nil"/>
              <w:bottom w:val="single" w:sz="4" w:space="0" w:color="auto"/>
              <w:right w:val="single" w:sz="4" w:space="0" w:color="auto"/>
            </w:tcBorders>
            <w:shd w:val="clear" w:color="000000" w:fill="E2EFDA"/>
            <w:vAlign w:val="center"/>
            <w:hideMark/>
          </w:tcPr>
          <w:p w14:paraId="578EA936"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0,20</w:t>
            </w:r>
          </w:p>
        </w:tc>
        <w:tc>
          <w:tcPr>
            <w:tcW w:w="302" w:type="pct"/>
            <w:tcBorders>
              <w:top w:val="nil"/>
              <w:left w:val="nil"/>
              <w:bottom w:val="single" w:sz="4" w:space="0" w:color="auto"/>
              <w:right w:val="single" w:sz="4" w:space="0" w:color="auto"/>
            </w:tcBorders>
            <w:shd w:val="clear" w:color="000000" w:fill="E2EFDA"/>
            <w:vAlign w:val="center"/>
            <w:hideMark/>
          </w:tcPr>
          <w:p w14:paraId="16FE5B8E"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2EFDA"/>
            <w:vAlign w:val="center"/>
            <w:hideMark/>
          </w:tcPr>
          <w:p w14:paraId="370B0F6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WAM</w:t>
            </w:r>
          </w:p>
        </w:tc>
        <w:tc>
          <w:tcPr>
            <w:tcW w:w="354" w:type="pct"/>
            <w:tcBorders>
              <w:top w:val="nil"/>
              <w:left w:val="nil"/>
              <w:bottom w:val="single" w:sz="4" w:space="0" w:color="auto"/>
              <w:right w:val="single" w:sz="4" w:space="0" w:color="auto"/>
            </w:tcBorders>
            <w:shd w:val="clear" w:color="000000" w:fill="ED7D31"/>
            <w:vAlign w:val="center"/>
            <w:hideMark/>
          </w:tcPr>
          <w:p w14:paraId="3E59F04D"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350" w:type="pct"/>
            <w:tcBorders>
              <w:top w:val="nil"/>
              <w:left w:val="nil"/>
              <w:bottom w:val="single" w:sz="4" w:space="0" w:color="auto"/>
              <w:right w:val="single" w:sz="4" w:space="0" w:color="auto"/>
            </w:tcBorders>
            <w:shd w:val="clear" w:color="000000" w:fill="ED7D31"/>
            <w:vAlign w:val="center"/>
            <w:hideMark/>
          </w:tcPr>
          <w:p w14:paraId="1B64A1AD"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0,20</w:t>
            </w:r>
          </w:p>
        </w:tc>
      </w:tr>
      <w:tr w:rsidR="005D7AD3" w:rsidRPr="005D7AD3" w14:paraId="11E270E7"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21FFB0F6"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69349452"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МП_Д2</w:t>
            </w:r>
          </w:p>
        </w:tc>
        <w:tc>
          <w:tcPr>
            <w:tcW w:w="1323" w:type="pct"/>
            <w:tcBorders>
              <w:top w:val="nil"/>
              <w:left w:val="nil"/>
              <w:bottom w:val="single" w:sz="4" w:space="0" w:color="auto"/>
              <w:right w:val="single" w:sz="4" w:space="0" w:color="auto"/>
            </w:tcBorders>
            <w:shd w:val="clear" w:color="auto" w:fill="auto"/>
            <w:vAlign w:val="center"/>
            <w:hideMark/>
          </w:tcPr>
          <w:p w14:paraId="212B0E85"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Праћење и ревизија Стратегије нискоугљеничног развоја и спровођење Програма прилагођавања на измењене климатске услове са Акционим планом</w:t>
            </w:r>
          </w:p>
        </w:tc>
        <w:tc>
          <w:tcPr>
            <w:tcW w:w="344" w:type="pct"/>
            <w:tcBorders>
              <w:top w:val="nil"/>
              <w:left w:val="nil"/>
              <w:bottom w:val="single" w:sz="4" w:space="0" w:color="auto"/>
              <w:right w:val="single" w:sz="4" w:space="0" w:color="auto"/>
            </w:tcBorders>
            <w:shd w:val="clear" w:color="auto" w:fill="auto"/>
            <w:vAlign w:val="center"/>
            <w:hideMark/>
          </w:tcPr>
          <w:p w14:paraId="0BD8BA0B"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auto" w:fill="auto"/>
            <w:vAlign w:val="center"/>
            <w:hideMark/>
          </w:tcPr>
          <w:p w14:paraId="1465F48B"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266322FB"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1,40</w:t>
            </w:r>
          </w:p>
        </w:tc>
        <w:tc>
          <w:tcPr>
            <w:tcW w:w="319" w:type="pct"/>
            <w:tcBorders>
              <w:top w:val="nil"/>
              <w:left w:val="nil"/>
              <w:bottom w:val="single" w:sz="4" w:space="0" w:color="auto"/>
              <w:right w:val="single" w:sz="4" w:space="0" w:color="auto"/>
            </w:tcBorders>
            <w:shd w:val="clear" w:color="000000" w:fill="E2EFDA"/>
            <w:vAlign w:val="center"/>
            <w:hideMark/>
          </w:tcPr>
          <w:p w14:paraId="4441D0A6"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1,40</w:t>
            </w:r>
          </w:p>
        </w:tc>
        <w:tc>
          <w:tcPr>
            <w:tcW w:w="302" w:type="pct"/>
            <w:tcBorders>
              <w:top w:val="nil"/>
              <w:left w:val="nil"/>
              <w:bottom w:val="single" w:sz="4" w:space="0" w:color="auto"/>
              <w:right w:val="single" w:sz="4" w:space="0" w:color="auto"/>
            </w:tcBorders>
            <w:shd w:val="clear" w:color="000000" w:fill="E2EFDA"/>
            <w:vAlign w:val="center"/>
            <w:hideMark/>
          </w:tcPr>
          <w:p w14:paraId="2BEE4580"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D7D31"/>
            <w:vAlign w:val="center"/>
            <w:hideMark/>
          </w:tcPr>
          <w:p w14:paraId="6EED0721"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WEM</w:t>
            </w:r>
          </w:p>
        </w:tc>
        <w:tc>
          <w:tcPr>
            <w:tcW w:w="354" w:type="pct"/>
            <w:tcBorders>
              <w:top w:val="nil"/>
              <w:left w:val="nil"/>
              <w:bottom w:val="single" w:sz="4" w:space="0" w:color="auto"/>
              <w:right w:val="single" w:sz="4" w:space="0" w:color="auto"/>
            </w:tcBorders>
            <w:shd w:val="clear" w:color="000000" w:fill="ED7D31"/>
            <w:vAlign w:val="center"/>
            <w:hideMark/>
          </w:tcPr>
          <w:p w14:paraId="16376FB5"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1,40</w:t>
            </w:r>
          </w:p>
        </w:tc>
        <w:tc>
          <w:tcPr>
            <w:tcW w:w="350" w:type="pct"/>
            <w:tcBorders>
              <w:top w:val="nil"/>
              <w:left w:val="nil"/>
              <w:bottom w:val="single" w:sz="4" w:space="0" w:color="auto"/>
              <w:right w:val="single" w:sz="4" w:space="0" w:color="auto"/>
            </w:tcBorders>
            <w:shd w:val="clear" w:color="000000" w:fill="ED7D31"/>
            <w:vAlign w:val="center"/>
            <w:hideMark/>
          </w:tcPr>
          <w:p w14:paraId="67C529D3"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r>
      <w:tr w:rsidR="005D7AD3" w:rsidRPr="005D7AD3" w14:paraId="2EE464AA"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3711FAF3"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47D51C7C"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МП_Д3</w:t>
            </w:r>
          </w:p>
        </w:tc>
        <w:tc>
          <w:tcPr>
            <w:tcW w:w="1323" w:type="pct"/>
            <w:tcBorders>
              <w:top w:val="nil"/>
              <w:left w:val="nil"/>
              <w:bottom w:val="single" w:sz="4" w:space="0" w:color="auto"/>
              <w:right w:val="single" w:sz="4" w:space="0" w:color="auto"/>
            </w:tcBorders>
            <w:shd w:val="clear" w:color="auto" w:fill="auto"/>
            <w:vAlign w:val="center"/>
            <w:hideMark/>
          </w:tcPr>
          <w:p w14:paraId="55B2A394"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Промовисање циркуларне економије</w:t>
            </w:r>
          </w:p>
        </w:tc>
        <w:tc>
          <w:tcPr>
            <w:tcW w:w="344" w:type="pct"/>
            <w:tcBorders>
              <w:top w:val="nil"/>
              <w:left w:val="nil"/>
              <w:bottom w:val="single" w:sz="4" w:space="0" w:color="auto"/>
              <w:right w:val="single" w:sz="4" w:space="0" w:color="auto"/>
            </w:tcBorders>
            <w:shd w:val="clear" w:color="auto" w:fill="auto"/>
            <w:vAlign w:val="center"/>
            <w:hideMark/>
          </w:tcPr>
          <w:p w14:paraId="413A3923"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xml:space="preserve">Реформа </w:t>
            </w:r>
          </w:p>
        </w:tc>
        <w:tc>
          <w:tcPr>
            <w:tcW w:w="368" w:type="pct"/>
            <w:tcBorders>
              <w:top w:val="nil"/>
              <w:left w:val="nil"/>
              <w:bottom w:val="single" w:sz="4" w:space="0" w:color="auto"/>
              <w:right w:val="single" w:sz="4" w:space="0" w:color="auto"/>
            </w:tcBorders>
            <w:shd w:val="clear" w:color="auto" w:fill="auto"/>
            <w:vAlign w:val="center"/>
            <w:hideMark/>
          </w:tcPr>
          <w:p w14:paraId="71AEBB6B"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5758F18E"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4,50</w:t>
            </w:r>
          </w:p>
        </w:tc>
        <w:tc>
          <w:tcPr>
            <w:tcW w:w="319" w:type="pct"/>
            <w:tcBorders>
              <w:top w:val="nil"/>
              <w:left w:val="nil"/>
              <w:bottom w:val="single" w:sz="4" w:space="0" w:color="auto"/>
              <w:right w:val="single" w:sz="4" w:space="0" w:color="auto"/>
            </w:tcBorders>
            <w:shd w:val="clear" w:color="000000" w:fill="ED7D31"/>
            <w:vAlign w:val="center"/>
            <w:hideMark/>
          </w:tcPr>
          <w:p w14:paraId="0A37ADD4"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4,50</w:t>
            </w:r>
          </w:p>
        </w:tc>
        <w:tc>
          <w:tcPr>
            <w:tcW w:w="302" w:type="pct"/>
            <w:tcBorders>
              <w:top w:val="nil"/>
              <w:left w:val="nil"/>
              <w:bottom w:val="single" w:sz="4" w:space="0" w:color="auto"/>
              <w:right w:val="single" w:sz="4" w:space="0" w:color="auto"/>
            </w:tcBorders>
            <w:shd w:val="clear" w:color="000000" w:fill="ED7D31"/>
            <w:vAlign w:val="center"/>
            <w:hideMark/>
          </w:tcPr>
          <w:p w14:paraId="15145E4F"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D7D31"/>
            <w:vAlign w:val="center"/>
            <w:hideMark/>
          </w:tcPr>
          <w:p w14:paraId="4972AA55"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WEM</w:t>
            </w:r>
          </w:p>
        </w:tc>
        <w:tc>
          <w:tcPr>
            <w:tcW w:w="354" w:type="pct"/>
            <w:tcBorders>
              <w:top w:val="nil"/>
              <w:left w:val="nil"/>
              <w:bottom w:val="single" w:sz="4" w:space="0" w:color="auto"/>
              <w:right w:val="single" w:sz="4" w:space="0" w:color="auto"/>
            </w:tcBorders>
            <w:shd w:val="clear" w:color="000000" w:fill="ED7D31"/>
            <w:vAlign w:val="center"/>
            <w:hideMark/>
          </w:tcPr>
          <w:p w14:paraId="4EFD4A1B"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4,50</w:t>
            </w:r>
          </w:p>
        </w:tc>
        <w:tc>
          <w:tcPr>
            <w:tcW w:w="350" w:type="pct"/>
            <w:tcBorders>
              <w:top w:val="nil"/>
              <w:left w:val="nil"/>
              <w:bottom w:val="single" w:sz="4" w:space="0" w:color="auto"/>
              <w:right w:val="single" w:sz="4" w:space="0" w:color="auto"/>
            </w:tcBorders>
            <w:shd w:val="clear" w:color="000000" w:fill="ED7D31"/>
            <w:vAlign w:val="center"/>
            <w:hideMark/>
          </w:tcPr>
          <w:p w14:paraId="6610D5BB"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r>
      <w:tr w:rsidR="005D7AD3" w:rsidRPr="005D7AD3" w14:paraId="0A5C8335"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0AF69FA8"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3257B7F7"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МП_Д4</w:t>
            </w:r>
          </w:p>
        </w:tc>
        <w:tc>
          <w:tcPr>
            <w:tcW w:w="1323" w:type="pct"/>
            <w:tcBorders>
              <w:top w:val="nil"/>
              <w:left w:val="nil"/>
              <w:bottom w:val="single" w:sz="4" w:space="0" w:color="auto"/>
              <w:right w:val="single" w:sz="4" w:space="0" w:color="auto"/>
            </w:tcBorders>
            <w:shd w:val="clear" w:color="auto" w:fill="auto"/>
            <w:vAlign w:val="center"/>
            <w:hideMark/>
          </w:tcPr>
          <w:p w14:paraId="6A394097"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Организовање кампања подизања нивоа свести за унапређено ширења информација о климатским променама</w:t>
            </w:r>
          </w:p>
        </w:tc>
        <w:tc>
          <w:tcPr>
            <w:tcW w:w="344" w:type="pct"/>
            <w:tcBorders>
              <w:top w:val="nil"/>
              <w:left w:val="nil"/>
              <w:bottom w:val="single" w:sz="4" w:space="0" w:color="auto"/>
              <w:right w:val="single" w:sz="4" w:space="0" w:color="auto"/>
            </w:tcBorders>
            <w:shd w:val="clear" w:color="auto" w:fill="auto"/>
            <w:vAlign w:val="center"/>
            <w:hideMark/>
          </w:tcPr>
          <w:p w14:paraId="316FD419"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xml:space="preserve">Реформа </w:t>
            </w:r>
          </w:p>
        </w:tc>
        <w:tc>
          <w:tcPr>
            <w:tcW w:w="368" w:type="pct"/>
            <w:tcBorders>
              <w:top w:val="nil"/>
              <w:left w:val="nil"/>
              <w:bottom w:val="single" w:sz="4" w:space="0" w:color="auto"/>
              <w:right w:val="single" w:sz="4" w:space="0" w:color="auto"/>
            </w:tcBorders>
            <w:shd w:val="clear" w:color="auto" w:fill="auto"/>
            <w:vAlign w:val="center"/>
            <w:hideMark/>
          </w:tcPr>
          <w:p w14:paraId="2A28847F"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D7D31"/>
            <w:vAlign w:val="center"/>
            <w:hideMark/>
          </w:tcPr>
          <w:p w14:paraId="6F6FC590"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у разматрању</w:t>
            </w:r>
          </w:p>
        </w:tc>
        <w:tc>
          <w:tcPr>
            <w:tcW w:w="319" w:type="pct"/>
            <w:tcBorders>
              <w:top w:val="nil"/>
              <w:left w:val="nil"/>
              <w:bottom w:val="single" w:sz="4" w:space="0" w:color="auto"/>
              <w:right w:val="single" w:sz="4" w:space="0" w:color="auto"/>
            </w:tcBorders>
            <w:shd w:val="clear" w:color="000000" w:fill="ED7D31"/>
            <w:vAlign w:val="center"/>
            <w:hideMark/>
          </w:tcPr>
          <w:p w14:paraId="2DFB25D1"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02" w:type="pct"/>
            <w:tcBorders>
              <w:top w:val="nil"/>
              <w:left w:val="nil"/>
              <w:bottom w:val="single" w:sz="4" w:space="0" w:color="auto"/>
              <w:right w:val="single" w:sz="4" w:space="0" w:color="auto"/>
            </w:tcBorders>
            <w:shd w:val="clear" w:color="000000" w:fill="ED7D31"/>
            <w:vAlign w:val="center"/>
            <w:hideMark/>
          </w:tcPr>
          <w:p w14:paraId="16E68A2F"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6" w:type="pct"/>
            <w:tcBorders>
              <w:top w:val="nil"/>
              <w:left w:val="nil"/>
              <w:bottom w:val="single" w:sz="4" w:space="0" w:color="auto"/>
              <w:right w:val="single" w:sz="4" w:space="0" w:color="auto"/>
            </w:tcBorders>
            <w:shd w:val="clear" w:color="000000" w:fill="ED7D31"/>
            <w:vAlign w:val="center"/>
            <w:hideMark/>
          </w:tcPr>
          <w:p w14:paraId="254FFCF3"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WEM</w:t>
            </w:r>
          </w:p>
        </w:tc>
        <w:tc>
          <w:tcPr>
            <w:tcW w:w="354" w:type="pct"/>
            <w:tcBorders>
              <w:top w:val="nil"/>
              <w:left w:val="nil"/>
              <w:bottom w:val="single" w:sz="4" w:space="0" w:color="auto"/>
              <w:right w:val="single" w:sz="4" w:space="0" w:color="auto"/>
            </w:tcBorders>
            <w:shd w:val="clear" w:color="000000" w:fill="ED7D31"/>
            <w:vAlign w:val="center"/>
            <w:hideMark/>
          </w:tcPr>
          <w:p w14:paraId="08A7C1E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у разматрању</w:t>
            </w:r>
          </w:p>
        </w:tc>
        <w:tc>
          <w:tcPr>
            <w:tcW w:w="350" w:type="pct"/>
            <w:tcBorders>
              <w:top w:val="nil"/>
              <w:left w:val="nil"/>
              <w:bottom w:val="single" w:sz="4" w:space="0" w:color="auto"/>
              <w:right w:val="single" w:sz="4" w:space="0" w:color="auto"/>
            </w:tcBorders>
            <w:shd w:val="clear" w:color="000000" w:fill="ED7D31"/>
            <w:vAlign w:val="center"/>
            <w:hideMark/>
          </w:tcPr>
          <w:p w14:paraId="26C5B925"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r>
      <w:tr w:rsidR="005D7AD3" w:rsidRPr="005D7AD3" w14:paraId="18C29F32"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1A2235AA"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2D717115"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МП_Д6</w:t>
            </w:r>
          </w:p>
        </w:tc>
        <w:tc>
          <w:tcPr>
            <w:tcW w:w="1323" w:type="pct"/>
            <w:tcBorders>
              <w:top w:val="nil"/>
              <w:left w:val="nil"/>
              <w:bottom w:val="single" w:sz="4" w:space="0" w:color="auto"/>
              <w:right w:val="single" w:sz="4" w:space="0" w:color="auto"/>
            </w:tcBorders>
            <w:shd w:val="clear" w:color="auto" w:fill="auto"/>
            <w:vAlign w:val="center"/>
            <w:hideMark/>
          </w:tcPr>
          <w:p w14:paraId="740C008D"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 xml:space="preserve">Праћење и ревизија Акционог плана праведне транзиције </w:t>
            </w:r>
          </w:p>
        </w:tc>
        <w:tc>
          <w:tcPr>
            <w:tcW w:w="344" w:type="pct"/>
            <w:tcBorders>
              <w:top w:val="nil"/>
              <w:left w:val="nil"/>
              <w:bottom w:val="single" w:sz="4" w:space="0" w:color="auto"/>
              <w:right w:val="single" w:sz="4" w:space="0" w:color="auto"/>
            </w:tcBorders>
            <w:shd w:val="clear" w:color="auto" w:fill="auto"/>
            <w:vAlign w:val="center"/>
            <w:hideMark/>
          </w:tcPr>
          <w:p w14:paraId="0B7E1DD5"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xml:space="preserve">Реформа </w:t>
            </w:r>
          </w:p>
        </w:tc>
        <w:tc>
          <w:tcPr>
            <w:tcW w:w="368" w:type="pct"/>
            <w:tcBorders>
              <w:top w:val="nil"/>
              <w:left w:val="nil"/>
              <w:bottom w:val="single" w:sz="4" w:space="0" w:color="auto"/>
              <w:right w:val="single" w:sz="4" w:space="0" w:color="auto"/>
            </w:tcBorders>
            <w:shd w:val="clear" w:color="auto" w:fill="auto"/>
            <w:vAlign w:val="center"/>
            <w:hideMark/>
          </w:tcPr>
          <w:p w14:paraId="004B2A8E"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5EAC4993"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2,00</w:t>
            </w:r>
          </w:p>
        </w:tc>
        <w:tc>
          <w:tcPr>
            <w:tcW w:w="319" w:type="pct"/>
            <w:tcBorders>
              <w:top w:val="nil"/>
              <w:left w:val="nil"/>
              <w:bottom w:val="single" w:sz="4" w:space="0" w:color="auto"/>
              <w:right w:val="single" w:sz="4" w:space="0" w:color="auto"/>
            </w:tcBorders>
            <w:shd w:val="clear" w:color="000000" w:fill="E2EFDA"/>
            <w:vAlign w:val="center"/>
            <w:hideMark/>
          </w:tcPr>
          <w:p w14:paraId="128F6AE4"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1,00</w:t>
            </w:r>
          </w:p>
        </w:tc>
        <w:tc>
          <w:tcPr>
            <w:tcW w:w="302" w:type="pct"/>
            <w:tcBorders>
              <w:top w:val="nil"/>
              <w:left w:val="nil"/>
              <w:bottom w:val="single" w:sz="4" w:space="0" w:color="auto"/>
              <w:right w:val="single" w:sz="4" w:space="0" w:color="auto"/>
            </w:tcBorders>
            <w:shd w:val="clear" w:color="000000" w:fill="E2EFDA"/>
            <w:vAlign w:val="center"/>
            <w:hideMark/>
          </w:tcPr>
          <w:p w14:paraId="23047091"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1,00</w:t>
            </w:r>
          </w:p>
        </w:tc>
        <w:tc>
          <w:tcPr>
            <w:tcW w:w="446" w:type="pct"/>
            <w:tcBorders>
              <w:top w:val="nil"/>
              <w:left w:val="nil"/>
              <w:bottom w:val="single" w:sz="4" w:space="0" w:color="auto"/>
              <w:right w:val="single" w:sz="4" w:space="0" w:color="auto"/>
            </w:tcBorders>
            <w:shd w:val="clear" w:color="000000" w:fill="ED7D31"/>
            <w:vAlign w:val="center"/>
            <w:hideMark/>
          </w:tcPr>
          <w:p w14:paraId="7C5F25F1"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WEM</w:t>
            </w:r>
          </w:p>
        </w:tc>
        <w:tc>
          <w:tcPr>
            <w:tcW w:w="354" w:type="pct"/>
            <w:tcBorders>
              <w:top w:val="nil"/>
              <w:left w:val="nil"/>
              <w:bottom w:val="single" w:sz="4" w:space="0" w:color="auto"/>
              <w:right w:val="single" w:sz="4" w:space="0" w:color="auto"/>
            </w:tcBorders>
            <w:shd w:val="clear" w:color="000000" w:fill="ED7D31"/>
            <w:vAlign w:val="center"/>
            <w:hideMark/>
          </w:tcPr>
          <w:p w14:paraId="693F8263"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2,00</w:t>
            </w:r>
          </w:p>
        </w:tc>
        <w:tc>
          <w:tcPr>
            <w:tcW w:w="350" w:type="pct"/>
            <w:tcBorders>
              <w:top w:val="nil"/>
              <w:left w:val="nil"/>
              <w:bottom w:val="single" w:sz="4" w:space="0" w:color="auto"/>
              <w:right w:val="single" w:sz="4" w:space="0" w:color="auto"/>
            </w:tcBorders>
            <w:shd w:val="clear" w:color="000000" w:fill="ED7D31"/>
            <w:vAlign w:val="center"/>
            <w:hideMark/>
          </w:tcPr>
          <w:p w14:paraId="447A0946"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r>
      <w:tr w:rsidR="005D7AD3" w:rsidRPr="005D7AD3" w14:paraId="4569A41D"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7D61EFB1"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313551C9"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МП_Д5</w:t>
            </w:r>
          </w:p>
        </w:tc>
        <w:tc>
          <w:tcPr>
            <w:tcW w:w="1323" w:type="pct"/>
            <w:tcBorders>
              <w:top w:val="nil"/>
              <w:left w:val="nil"/>
              <w:bottom w:val="single" w:sz="4" w:space="0" w:color="auto"/>
              <w:right w:val="single" w:sz="4" w:space="0" w:color="auto"/>
            </w:tcBorders>
            <w:shd w:val="clear" w:color="auto" w:fill="auto"/>
            <w:vAlign w:val="center"/>
            <w:hideMark/>
          </w:tcPr>
          <w:p w14:paraId="658F68DB"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Увођење најбољих расположивих технологија у производне процесе у одређеним индустријама</w:t>
            </w:r>
          </w:p>
        </w:tc>
        <w:tc>
          <w:tcPr>
            <w:tcW w:w="344" w:type="pct"/>
            <w:tcBorders>
              <w:top w:val="nil"/>
              <w:left w:val="nil"/>
              <w:bottom w:val="single" w:sz="4" w:space="0" w:color="auto"/>
              <w:right w:val="single" w:sz="4" w:space="0" w:color="auto"/>
            </w:tcBorders>
            <w:shd w:val="clear" w:color="auto" w:fill="auto"/>
            <w:vAlign w:val="center"/>
            <w:hideMark/>
          </w:tcPr>
          <w:p w14:paraId="49B6756C"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77C37E3B"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21CEA103"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29,00</w:t>
            </w:r>
          </w:p>
        </w:tc>
        <w:tc>
          <w:tcPr>
            <w:tcW w:w="319" w:type="pct"/>
            <w:tcBorders>
              <w:top w:val="nil"/>
              <w:left w:val="nil"/>
              <w:bottom w:val="single" w:sz="4" w:space="0" w:color="auto"/>
              <w:right w:val="single" w:sz="4" w:space="0" w:color="auto"/>
            </w:tcBorders>
            <w:shd w:val="clear" w:color="000000" w:fill="E2EFDA"/>
            <w:vAlign w:val="center"/>
            <w:hideMark/>
          </w:tcPr>
          <w:p w14:paraId="0F03A21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29,00</w:t>
            </w:r>
          </w:p>
        </w:tc>
        <w:tc>
          <w:tcPr>
            <w:tcW w:w="302" w:type="pct"/>
            <w:tcBorders>
              <w:top w:val="nil"/>
              <w:left w:val="nil"/>
              <w:bottom w:val="single" w:sz="4" w:space="0" w:color="auto"/>
              <w:right w:val="single" w:sz="4" w:space="0" w:color="auto"/>
            </w:tcBorders>
            <w:shd w:val="clear" w:color="000000" w:fill="E2EFDA"/>
            <w:vAlign w:val="center"/>
            <w:hideMark/>
          </w:tcPr>
          <w:p w14:paraId="196D45F0"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D7D31"/>
            <w:vAlign w:val="center"/>
            <w:hideMark/>
          </w:tcPr>
          <w:p w14:paraId="1020C0E9"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WEM</w:t>
            </w:r>
          </w:p>
        </w:tc>
        <w:tc>
          <w:tcPr>
            <w:tcW w:w="354" w:type="pct"/>
            <w:tcBorders>
              <w:top w:val="nil"/>
              <w:left w:val="nil"/>
              <w:bottom w:val="single" w:sz="4" w:space="0" w:color="auto"/>
              <w:right w:val="single" w:sz="4" w:space="0" w:color="auto"/>
            </w:tcBorders>
            <w:shd w:val="clear" w:color="000000" w:fill="ED7D31"/>
            <w:vAlign w:val="center"/>
            <w:hideMark/>
          </w:tcPr>
          <w:p w14:paraId="53957160"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29,00</w:t>
            </w:r>
          </w:p>
        </w:tc>
        <w:tc>
          <w:tcPr>
            <w:tcW w:w="350" w:type="pct"/>
            <w:tcBorders>
              <w:top w:val="nil"/>
              <w:left w:val="nil"/>
              <w:bottom w:val="single" w:sz="4" w:space="0" w:color="auto"/>
              <w:right w:val="single" w:sz="4" w:space="0" w:color="auto"/>
            </w:tcBorders>
            <w:shd w:val="clear" w:color="000000" w:fill="ED7D31"/>
            <w:vAlign w:val="center"/>
            <w:hideMark/>
          </w:tcPr>
          <w:p w14:paraId="272B5BB3"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r>
      <w:tr w:rsidR="005D7AD3" w:rsidRPr="005D7AD3" w14:paraId="770ACED8"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00C9CE52"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58FCD4D6"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МП_Д5.1</w:t>
            </w:r>
          </w:p>
        </w:tc>
        <w:tc>
          <w:tcPr>
            <w:tcW w:w="1323" w:type="pct"/>
            <w:tcBorders>
              <w:top w:val="nil"/>
              <w:left w:val="nil"/>
              <w:bottom w:val="single" w:sz="4" w:space="0" w:color="auto"/>
              <w:right w:val="single" w:sz="4" w:space="0" w:color="auto"/>
            </w:tcBorders>
            <w:shd w:val="clear" w:color="auto" w:fill="auto"/>
            <w:vAlign w:val="center"/>
            <w:hideMark/>
          </w:tcPr>
          <w:p w14:paraId="767E06A8"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Мере за смањење емисија флуорованих гасова са ефектом стаклене баште у расхладној и климатизационој опреми</w:t>
            </w:r>
          </w:p>
        </w:tc>
        <w:tc>
          <w:tcPr>
            <w:tcW w:w="344" w:type="pct"/>
            <w:tcBorders>
              <w:top w:val="nil"/>
              <w:left w:val="nil"/>
              <w:bottom w:val="single" w:sz="4" w:space="0" w:color="auto"/>
              <w:right w:val="single" w:sz="4" w:space="0" w:color="auto"/>
            </w:tcBorders>
            <w:shd w:val="clear" w:color="auto" w:fill="auto"/>
            <w:vAlign w:val="center"/>
            <w:hideMark/>
          </w:tcPr>
          <w:p w14:paraId="5BD25C6E"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3030DC7A"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D7D31"/>
            <w:vAlign w:val="center"/>
            <w:hideMark/>
          </w:tcPr>
          <w:p w14:paraId="5D86F91A"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у разматрању</w:t>
            </w:r>
          </w:p>
        </w:tc>
        <w:tc>
          <w:tcPr>
            <w:tcW w:w="319" w:type="pct"/>
            <w:tcBorders>
              <w:top w:val="nil"/>
              <w:left w:val="nil"/>
              <w:bottom w:val="single" w:sz="4" w:space="0" w:color="auto"/>
              <w:right w:val="single" w:sz="4" w:space="0" w:color="auto"/>
            </w:tcBorders>
            <w:shd w:val="clear" w:color="000000" w:fill="ED7D31"/>
            <w:vAlign w:val="center"/>
            <w:hideMark/>
          </w:tcPr>
          <w:p w14:paraId="1E0F50E9"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02" w:type="pct"/>
            <w:tcBorders>
              <w:top w:val="nil"/>
              <w:left w:val="nil"/>
              <w:bottom w:val="single" w:sz="4" w:space="0" w:color="auto"/>
              <w:right w:val="single" w:sz="4" w:space="0" w:color="auto"/>
            </w:tcBorders>
            <w:shd w:val="clear" w:color="000000" w:fill="ED7D31"/>
            <w:vAlign w:val="center"/>
            <w:hideMark/>
          </w:tcPr>
          <w:p w14:paraId="4C9FB4CA"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6" w:type="pct"/>
            <w:tcBorders>
              <w:top w:val="nil"/>
              <w:left w:val="nil"/>
              <w:bottom w:val="single" w:sz="4" w:space="0" w:color="auto"/>
              <w:right w:val="single" w:sz="4" w:space="0" w:color="auto"/>
            </w:tcBorders>
            <w:shd w:val="clear" w:color="000000" w:fill="ED7D31"/>
            <w:vAlign w:val="center"/>
            <w:hideMark/>
          </w:tcPr>
          <w:p w14:paraId="25E7816D"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WEM</w:t>
            </w:r>
          </w:p>
        </w:tc>
        <w:tc>
          <w:tcPr>
            <w:tcW w:w="354" w:type="pct"/>
            <w:tcBorders>
              <w:top w:val="nil"/>
              <w:left w:val="nil"/>
              <w:bottom w:val="single" w:sz="4" w:space="0" w:color="auto"/>
              <w:right w:val="single" w:sz="4" w:space="0" w:color="auto"/>
            </w:tcBorders>
            <w:shd w:val="clear" w:color="000000" w:fill="ED7D31"/>
            <w:vAlign w:val="center"/>
            <w:hideMark/>
          </w:tcPr>
          <w:p w14:paraId="3D5CF67C"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у разматрању</w:t>
            </w:r>
          </w:p>
        </w:tc>
        <w:tc>
          <w:tcPr>
            <w:tcW w:w="350" w:type="pct"/>
            <w:tcBorders>
              <w:top w:val="nil"/>
              <w:left w:val="nil"/>
              <w:bottom w:val="single" w:sz="4" w:space="0" w:color="auto"/>
              <w:right w:val="single" w:sz="4" w:space="0" w:color="auto"/>
            </w:tcBorders>
            <w:shd w:val="clear" w:color="000000" w:fill="ED7D31"/>
            <w:vAlign w:val="center"/>
            <w:hideMark/>
          </w:tcPr>
          <w:p w14:paraId="3268BC41"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r>
      <w:tr w:rsidR="005D7AD3" w:rsidRPr="005D7AD3" w14:paraId="67D28B72"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74AE2E60"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59360718"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МП_Д14</w:t>
            </w:r>
          </w:p>
        </w:tc>
        <w:tc>
          <w:tcPr>
            <w:tcW w:w="1323" w:type="pct"/>
            <w:tcBorders>
              <w:top w:val="nil"/>
              <w:left w:val="nil"/>
              <w:bottom w:val="single" w:sz="4" w:space="0" w:color="auto"/>
              <w:right w:val="single" w:sz="4" w:space="0" w:color="auto"/>
            </w:tcBorders>
            <w:shd w:val="clear" w:color="auto" w:fill="auto"/>
            <w:vAlign w:val="center"/>
            <w:hideMark/>
          </w:tcPr>
          <w:p w14:paraId="08BB050E"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Унапређење система пречишћавања и испуштања отпадних вода</w:t>
            </w:r>
          </w:p>
        </w:tc>
        <w:tc>
          <w:tcPr>
            <w:tcW w:w="344" w:type="pct"/>
            <w:tcBorders>
              <w:top w:val="nil"/>
              <w:left w:val="nil"/>
              <w:bottom w:val="single" w:sz="4" w:space="0" w:color="auto"/>
              <w:right w:val="single" w:sz="4" w:space="0" w:color="auto"/>
            </w:tcBorders>
            <w:shd w:val="clear" w:color="auto" w:fill="auto"/>
            <w:vAlign w:val="center"/>
            <w:hideMark/>
          </w:tcPr>
          <w:p w14:paraId="09BD9BB1"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4A0A9238"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12983BAC"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90,00</w:t>
            </w:r>
          </w:p>
        </w:tc>
        <w:tc>
          <w:tcPr>
            <w:tcW w:w="319" w:type="pct"/>
            <w:tcBorders>
              <w:top w:val="nil"/>
              <w:left w:val="nil"/>
              <w:bottom w:val="single" w:sz="4" w:space="0" w:color="auto"/>
              <w:right w:val="single" w:sz="4" w:space="0" w:color="auto"/>
            </w:tcBorders>
            <w:shd w:val="clear" w:color="000000" w:fill="E2EFDA"/>
            <w:vAlign w:val="center"/>
            <w:hideMark/>
          </w:tcPr>
          <w:p w14:paraId="7535FA57"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90,00</w:t>
            </w:r>
          </w:p>
        </w:tc>
        <w:tc>
          <w:tcPr>
            <w:tcW w:w="302" w:type="pct"/>
            <w:tcBorders>
              <w:top w:val="nil"/>
              <w:left w:val="nil"/>
              <w:bottom w:val="single" w:sz="4" w:space="0" w:color="auto"/>
              <w:right w:val="single" w:sz="4" w:space="0" w:color="auto"/>
            </w:tcBorders>
            <w:shd w:val="clear" w:color="000000" w:fill="E2EFDA"/>
            <w:vAlign w:val="center"/>
            <w:hideMark/>
          </w:tcPr>
          <w:p w14:paraId="32D1D909"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D7D31"/>
            <w:vAlign w:val="center"/>
            <w:hideMark/>
          </w:tcPr>
          <w:p w14:paraId="37800ACF"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WEM</w:t>
            </w:r>
          </w:p>
        </w:tc>
        <w:tc>
          <w:tcPr>
            <w:tcW w:w="354" w:type="pct"/>
            <w:tcBorders>
              <w:top w:val="nil"/>
              <w:left w:val="nil"/>
              <w:bottom w:val="single" w:sz="4" w:space="0" w:color="auto"/>
              <w:right w:val="single" w:sz="4" w:space="0" w:color="auto"/>
            </w:tcBorders>
            <w:shd w:val="clear" w:color="000000" w:fill="ED7D31"/>
            <w:vAlign w:val="center"/>
            <w:hideMark/>
          </w:tcPr>
          <w:p w14:paraId="462B6730"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90,00</w:t>
            </w:r>
          </w:p>
        </w:tc>
        <w:tc>
          <w:tcPr>
            <w:tcW w:w="350" w:type="pct"/>
            <w:tcBorders>
              <w:top w:val="nil"/>
              <w:left w:val="nil"/>
              <w:bottom w:val="single" w:sz="4" w:space="0" w:color="auto"/>
              <w:right w:val="single" w:sz="4" w:space="0" w:color="auto"/>
            </w:tcBorders>
            <w:shd w:val="clear" w:color="000000" w:fill="ED7D31"/>
            <w:vAlign w:val="center"/>
            <w:hideMark/>
          </w:tcPr>
          <w:p w14:paraId="0A227AED"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r>
      <w:tr w:rsidR="005D7AD3" w:rsidRPr="005D7AD3" w14:paraId="140BA176"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133C7AD8"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12416F90"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МП_Д15</w:t>
            </w:r>
          </w:p>
        </w:tc>
        <w:tc>
          <w:tcPr>
            <w:tcW w:w="1323" w:type="pct"/>
            <w:tcBorders>
              <w:top w:val="nil"/>
              <w:left w:val="nil"/>
              <w:bottom w:val="single" w:sz="4" w:space="0" w:color="auto"/>
              <w:right w:val="single" w:sz="4" w:space="0" w:color="auto"/>
            </w:tcBorders>
            <w:shd w:val="clear" w:color="auto" w:fill="auto"/>
            <w:vAlign w:val="center"/>
            <w:hideMark/>
          </w:tcPr>
          <w:p w14:paraId="7361988A"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 xml:space="preserve"> Унапређење система управљања комуналним отпадом, кроз повећану стопу рециклаже, смањено одлагања биоразградивог отпада на депоније и несанитарне депоније </w:t>
            </w:r>
          </w:p>
        </w:tc>
        <w:tc>
          <w:tcPr>
            <w:tcW w:w="344" w:type="pct"/>
            <w:tcBorders>
              <w:top w:val="nil"/>
              <w:left w:val="nil"/>
              <w:bottom w:val="single" w:sz="4" w:space="0" w:color="auto"/>
              <w:right w:val="single" w:sz="4" w:space="0" w:color="auto"/>
            </w:tcBorders>
            <w:shd w:val="clear" w:color="auto" w:fill="auto"/>
            <w:vAlign w:val="center"/>
            <w:hideMark/>
          </w:tcPr>
          <w:p w14:paraId="0225CCF0"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7F33CEC1"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018FAB78"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80,00</w:t>
            </w:r>
          </w:p>
        </w:tc>
        <w:tc>
          <w:tcPr>
            <w:tcW w:w="319" w:type="pct"/>
            <w:tcBorders>
              <w:top w:val="nil"/>
              <w:left w:val="nil"/>
              <w:bottom w:val="single" w:sz="4" w:space="0" w:color="auto"/>
              <w:right w:val="single" w:sz="4" w:space="0" w:color="auto"/>
            </w:tcBorders>
            <w:shd w:val="clear" w:color="000000" w:fill="E2EFDA"/>
            <w:vAlign w:val="center"/>
            <w:hideMark/>
          </w:tcPr>
          <w:p w14:paraId="7FB1CD9E"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80,00</w:t>
            </w:r>
          </w:p>
        </w:tc>
        <w:tc>
          <w:tcPr>
            <w:tcW w:w="302" w:type="pct"/>
            <w:tcBorders>
              <w:top w:val="nil"/>
              <w:left w:val="nil"/>
              <w:bottom w:val="single" w:sz="4" w:space="0" w:color="auto"/>
              <w:right w:val="single" w:sz="4" w:space="0" w:color="auto"/>
            </w:tcBorders>
            <w:shd w:val="clear" w:color="000000" w:fill="E2EFDA"/>
            <w:vAlign w:val="center"/>
            <w:hideMark/>
          </w:tcPr>
          <w:p w14:paraId="632A1AFC"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D7D31"/>
            <w:vAlign w:val="center"/>
            <w:hideMark/>
          </w:tcPr>
          <w:p w14:paraId="615A3333"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WEM</w:t>
            </w:r>
          </w:p>
        </w:tc>
        <w:tc>
          <w:tcPr>
            <w:tcW w:w="354" w:type="pct"/>
            <w:tcBorders>
              <w:top w:val="nil"/>
              <w:left w:val="nil"/>
              <w:bottom w:val="single" w:sz="4" w:space="0" w:color="auto"/>
              <w:right w:val="single" w:sz="4" w:space="0" w:color="auto"/>
            </w:tcBorders>
            <w:shd w:val="clear" w:color="000000" w:fill="ED7D31"/>
            <w:vAlign w:val="center"/>
            <w:hideMark/>
          </w:tcPr>
          <w:p w14:paraId="5C6B1CD1"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80,00</w:t>
            </w:r>
          </w:p>
        </w:tc>
        <w:tc>
          <w:tcPr>
            <w:tcW w:w="350" w:type="pct"/>
            <w:tcBorders>
              <w:top w:val="nil"/>
              <w:left w:val="nil"/>
              <w:bottom w:val="single" w:sz="4" w:space="0" w:color="auto"/>
              <w:right w:val="single" w:sz="4" w:space="0" w:color="auto"/>
            </w:tcBorders>
            <w:shd w:val="clear" w:color="000000" w:fill="ED7D31"/>
            <w:vAlign w:val="center"/>
            <w:hideMark/>
          </w:tcPr>
          <w:p w14:paraId="143D7058"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r>
      <w:tr w:rsidR="005D7AD3" w:rsidRPr="005D7AD3" w14:paraId="192C9D19"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1D3DD5E8"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6843D4EF"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МП_Д16</w:t>
            </w:r>
          </w:p>
        </w:tc>
        <w:tc>
          <w:tcPr>
            <w:tcW w:w="1323" w:type="pct"/>
            <w:tcBorders>
              <w:top w:val="nil"/>
              <w:left w:val="nil"/>
              <w:bottom w:val="single" w:sz="4" w:space="0" w:color="auto"/>
              <w:right w:val="single" w:sz="4" w:space="0" w:color="auto"/>
            </w:tcBorders>
            <w:shd w:val="clear" w:color="auto" w:fill="auto"/>
            <w:vAlign w:val="center"/>
            <w:hideMark/>
          </w:tcPr>
          <w:p w14:paraId="0D4CC2BF"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Већи проценат комуналног отпада који се третира биолошким третманом</w:t>
            </w:r>
          </w:p>
        </w:tc>
        <w:tc>
          <w:tcPr>
            <w:tcW w:w="344" w:type="pct"/>
            <w:tcBorders>
              <w:top w:val="nil"/>
              <w:left w:val="nil"/>
              <w:bottom w:val="single" w:sz="4" w:space="0" w:color="auto"/>
              <w:right w:val="single" w:sz="4" w:space="0" w:color="auto"/>
            </w:tcBorders>
            <w:shd w:val="clear" w:color="auto" w:fill="auto"/>
            <w:vAlign w:val="center"/>
            <w:hideMark/>
          </w:tcPr>
          <w:p w14:paraId="54D7DEC5"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788A0D0C"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63236B43"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85,00</w:t>
            </w:r>
          </w:p>
        </w:tc>
        <w:tc>
          <w:tcPr>
            <w:tcW w:w="319" w:type="pct"/>
            <w:tcBorders>
              <w:top w:val="nil"/>
              <w:left w:val="nil"/>
              <w:bottom w:val="single" w:sz="4" w:space="0" w:color="auto"/>
              <w:right w:val="single" w:sz="4" w:space="0" w:color="auto"/>
            </w:tcBorders>
            <w:shd w:val="clear" w:color="000000" w:fill="E2EFDA"/>
            <w:vAlign w:val="center"/>
            <w:hideMark/>
          </w:tcPr>
          <w:p w14:paraId="60D6C460"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85,00</w:t>
            </w:r>
          </w:p>
        </w:tc>
        <w:tc>
          <w:tcPr>
            <w:tcW w:w="302" w:type="pct"/>
            <w:tcBorders>
              <w:top w:val="nil"/>
              <w:left w:val="nil"/>
              <w:bottom w:val="single" w:sz="4" w:space="0" w:color="auto"/>
              <w:right w:val="single" w:sz="4" w:space="0" w:color="auto"/>
            </w:tcBorders>
            <w:shd w:val="clear" w:color="000000" w:fill="E2EFDA"/>
            <w:vAlign w:val="center"/>
            <w:hideMark/>
          </w:tcPr>
          <w:p w14:paraId="2A388B51"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D7D31"/>
            <w:vAlign w:val="center"/>
            <w:hideMark/>
          </w:tcPr>
          <w:p w14:paraId="5645603E"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WEM</w:t>
            </w:r>
          </w:p>
        </w:tc>
        <w:tc>
          <w:tcPr>
            <w:tcW w:w="354" w:type="pct"/>
            <w:tcBorders>
              <w:top w:val="nil"/>
              <w:left w:val="nil"/>
              <w:bottom w:val="single" w:sz="4" w:space="0" w:color="auto"/>
              <w:right w:val="single" w:sz="4" w:space="0" w:color="auto"/>
            </w:tcBorders>
            <w:shd w:val="clear" w:color="000000" w:fill="ED7D31"/>
            <w:vAlign w:val="center"/>
            <w:hideMark/>
          </w:tcPr>
          <w:p w14:paraId="3E89FEBE"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85,00</w:t>
            </w:r>
          </w:p>
        </w:tc>
        <w:tc>
          <w:tcPr>
            <w:tcW w:w="350" w:type="pct"/>
            <w:tcBorders>
              <w:top w:val="nil"/>
              <w:left w:val="nil"/>
              <w:bottom w:val="single" w:sz="4" w:space="0" w:color="auto"/>
              <w:right w:val="single" w:sz="4" w:space="0" w:color="auto"/>
            </w:tcBorders>
            <w:shd w:val="clear" w:color="000000" w:fill="ED7D31"/>
            <w:vAlign w:val="center"/>
            <w:hideMark/>
          </w:tcPr>
          <w:p w14:paraId="4EFE9F28"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r>
      <w:tr w:rsidR="005D7AD3" w:rsidRPr="005D7AD3" w14:paraId="7C377E27"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5F937A35"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37C430F3"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МП_Д17</w:t>
            </w:r>
          </w:p>
        </w:tc>
        <w:tc>
          <w:tcPr>
            <w:tcW w:w="1323" w:type="pct"/>
            <w:tcBorders>
              <w:top w:val="nil"/>
              <w:left w:val="nil"/>
              <w:bottom w:val="single" w:sz="4" w:space="0" w:color="auto"/>
              <w:right w:val="single" w:sz="4" w:space="0" w:color="auto"/>
            </w:tcBorders>
            <w:shd w:val="clear" w:color="auto" w:fill="auto"/>
            <w:vAlign w:val="center"/>
            <w:hideMark/>
          </w:tcPr>
          <w:p w14:paraId="7C96B11E"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Употреба укупне количине метана (CH4) насталог из укупног одложеног отпада који заврши на санитарним депонијама</w:t>
            </w:r>
          </w:p>
        </w:tc>
        <w:tc>
          <w:tcPr>
            <w:tcW w:w="344" w:type="pct"/>
            <w:tcBorders>
              <w:top w:val="nil"/>
              <w:left w:val="nil"/>
              <w:bottom w:val="single" w:sz="4" w:space="0" w:color="auto"/>
              <w:right w:val="single" w:sz="4" w:space="0" w:color="auto"/>
            </w:tcBorders>
            <w:shd w:val="clear" w:color="auto" w:fill="auto"/>
            <w:vAlign w:val="center"/>
            <w:hideMark/>
          </w:tcPr>
          <w:p w14:paraId="3C15B9BE"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288392F4"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5AA967D1"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48,00</w:t>
            </w:r>
          </w:p>
        </w:tc>
        <w:tc>
          <w:tcPr>
            <w:tcW w:w="319" w:type="pct"/>
            <w:tcBorders>
              <w:top w:val="nil"/>
              <w:left w:val="nil"/>
              <w:bottom w:val="single" w:sz="4" w:space="0" w:color="auto"/>
              <w:right w:val="single" w:sz="4" w:space="0" w:color="auto"/>
            </w:tcBorders>
            <w:shd w:val="clear" w:color="000000" w:fill="E2EFDA"/>
            <w:vAlign w:val="center"/>
            <w:hideMark/>
          </w:tcPr>
          <w:p w14:paraId="30009A36"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48,00</w:t>
            </w:r>
          </w:p>
        </w:tc>
        <w:tc>
          <w:tcPr>
            <w:tcW w:w="302" w:type="pct"/>
            <w:tcBorders>
              <w:top w:val="nil"/>
              <w:left w:val="nil"/>
              <w:bottom w:val="single" w:sz="4" w:space="0" w:color="auto"/>
              <w:right w:val="single" w:sz="4" w:space="0" w:color="auto"/>
            </w:tcBorders>
            <w:shd w:val="clear" w:color="000000" w:fill="E2EFDA"/>
            <w:vAlign w:val="center"/>
            <w:hideMark/>
          </w:tcPr>
          <w:p w14:paraId="2228E8EE"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D7D31"/>
            <w:vAlign w:val="center"/>
            <w:hideMark/>
          </w:tcPr>
          <w:p w14:paraId="167CA7BD"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WEM</w:t>
            </w:r>
          </w:p>
        </w:tc>
        <w:tc>
          <w:tcPr>
            <w:tcW w:w="354" w:type="pct"/>
            <w:tcBorders>
              <w:top w:val="nil"/>
              <w:left w:val="nil"/>
              <w:bottom w:val="single" w:sz="4" w:space="0" w:color="auto"/>
              <w:right w:val="single" w:sz="4" w:space="0" w:color="auto"/>
            </w:tcBorders>
            <w:shd w:val="clear" w:color="000000" w:fill="ED7D31"/>
            <w:vAlign w:val="center"/>
            <w:hideMark/>
          </w:tcPr>
          <w:p w14:paraId="473BB6C1"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48,00</w:t>
            </w:r>
          </w:p>
        </w:tc>
        <w:tc>
          <w:tcPr>
            <w:tcW w:w="350" w:type="pct"/>
            <w:tcBorders>
              <w:top w:val="nil"/>
              <w:left w:val="nil"/>
              <w:bottom w:val="single" w:sz="4" w:space="0" w:color="auto"/>
              <w:right w:val="single" w:sz="4" w:space="0" w:color="auto"/>
            </w:tcBorders>
            <w:shd w:val="clear" w:color="000000" w:fill="ED7D31"/>
            <w:vAlign w:val="center"/>
            <w:hideMark/>
          </w:tcPr>
          <w:p w14:paraId="58DEF3B0"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r>
      <w:tr w:rsidR="005D7AD3" w:rsidRPr="005D7AD3" w14:paraId="00F3D954"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77EF887D"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3B541A06"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МП_Д18</w:t>
            </w:r>
          </w:p>
        </w:tc>
        <w:tc>
          <w:tcPr>
            <w:tcW w:w="1323" w:type="pct"/>
            <w:tcBorders>
              <w:top w:val="nil"/>
              <w:left w:val="nil"/>
              <w:bottom w:val="single" w:sz="4" w:space="0" w:color="auto"/>
              <w:right w:val="single" w:sz="4" w:space="0" w:color="auto"/>
            </w:tcBorders>
            <w:shd w:val="clear" w:color="auto" w:fill="auto"/>
            <w:vAlign w:val="center"/>
            <w:hideMark/>
          </w:tcPr>
          <w:p w14:paraId="24772056"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Подстицање компостирања, како на централном нивоу тако и у домаћинствима</w:t>
            </w:r>
          </w:p>
        </w:tc>
        <w:tc>
          <w:tcPr>
            <w:tcW w:w="344" w:type="pct"/>
            <w:tcBorders>
              <w:top w:val="nil"/>
              <w:left w:val="nil"/>
              <w:bottom w:val="single" w:sz="4" w:space="0" w:color="auto"/>
              <w:right w:val="single" w:sz="4" w:space="0" w:color="auto"/>
            </w:tcBorders>
            <w:shd w:val="clear" w:color="auto" w:fill="auto"/>
            <w:vAlign w:val="center"/>
            <w:hideMark/>
          </w:tcPr>
          <w:p w14:paraId="09205A03"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3929E59B"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175A2DD9"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60,00</w:t>
            </w:r>
          </w:p>
        </w:tc>
        <w:tc>
          <w:tcPr>
            <w:tcW w:w="319" w:type="pct"/>
            <w:tcBorders>
              <w:top w:val="nil"/>
              <w:left w:val="nil"/>
              <w:bottom w:val="single" w:sz="4" w:space="0" w:color="auto"/>
              <w:right w:val="single" w:sz="4" w:space="0" w:color="auto"/>
            </w:tcBorders>
            <w:shd w:val="clear" w:color="000000" w:fill="E2EFDA"/>
            <w:vAlign w:val="center"/>
            <w:hideMark/>
          </w:tcPr>
          <w:p w14:paraId="799D9CB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60,00</w:t>
            </w:r>
          </w:p>
        </w:tc>
        <w:tc>
          <w:tcPr>
            <w:tcW w:w="302" w:type="pct"/>
            <w:tcBorders>
              <w:top w:val="nil"/>
              <w:left w:val="nil"/>
              <w:bottom w:val="single" w:sz="4" w:space="0" w:color="auto"/>
              <w:right w:val="single" w:sz="4" w:space="0" w:color="auto"/>
            </w:tcBorders>
            <w:shd w:val="clear" w:color="000000" w:fill="E2EFDA"/>
            <w:vAlign w:val="center"/>
            <w:hideMark/>
          </w:tcPr>
          <w:p w14:paraId="2E9141B7"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D7D31"/>
            <w:vAlign w:val="center"/>
            <w:hideMark/>
          </w:tcPr>
          <w:p w14:paraId="1592D66F"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WEM</w:t>
            </w:r>
          </w:p>
        </w:tc>
        <w:tc>
          <w:tcPr>
            <w:tcW w:w="354" w:type="pct"/>
            <w:tcBorders>
              <w:top w:val="nil"/>
              <w:left w:val="nil"/>
              <w:bottom w:val="single" w:sz="4" w:space="0" w:color="auto"/>
              <w:right w:val="single" w:sz="4" w:space="0" w:color="auto"/>
            </w:tcBorders>
            <w:shd w:val="clear" w:color="000000" w:fill="ED7D31"/>
            <w:vAlign w:val="center"/>
            <w:hideMark/>
          </w:tcPr>
          <w:p w14:paraId="3D3928B5"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60,00</w:t>
            </w:r>
          </w:p>
        </w:tc>
        <w:tc>
          <w:tcPr>
            <w:tcW w:w="350" w:type="pct"/>
            <w:tcBorders>
              <w:top w:val="nil"/>
              <w:left w:val="nil"/>
              <w:bottom w:val="single" w:sz="4" w:space="0" w:color="auto"/>
              <w:right w:val="single" w:sz="4" w:space="0" w:color="auto"/>
            </w:tcBorders>
            <w:shd w:val="clear" w:color="000000" w:fill="ED7D31"/>
            <w:vAlign w:val="center"/>
            <w:hideMark/>
          </w:tcPr>
          <w:p w14:paraId="54DB6D10"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r>
      <w:tr w:rsidR="005D7AD3" w:rsidRPr="005D7AD3" w14:paraId="10FD7278"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25E52F2E"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644FAC03"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МП_Д7</w:t>
            </w:r>
          </w:p>
        </w:tc>
        <w:tc>
          <w:tcPr>
            <w:tcW w:w="1323" w:type="pct"/>
            <w:tcBorders>
              <w:top w:val="nil"/>
              <w:left w:val="nil"/>
              <w:bottom w:val="single" w:sz="4" w:space="0" w:color="auto"/>
              <w:right w:val="single" w:sz="4" w:space="0" w:color="auto"/>
            </w:tcBorders>
            <w:shd w:val="clear" w:color="auto" w:fill="auto"/>
            <w:vAlign w:val="center"/>
            <w:hideMark/>
          </w:tcPr>
          <w:p w14:paraId="5F86CC30"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Одрживо газдовање шумама (шумско земљиште, преостало шумско земљиште)</w:t>
            </w:r>
          </w:p>
        </w:tc>
        <w:tc>
          <w:tcPr>
            <w:tcW w:w="344" w:type="pct"/>
            <w:tcBorders>
              <w:top w:val="nil"/>
              <w:left w:val="nil"/>
              <w:bottom w:val="single" w:sz="4" w:space="0" w:color="auto"/>
              <w:right w:val="single" w:sz="4" w:space="0" w:color="auto"/>
            </w:tcBorders>
            <w:shd w:val="clear" w:color="auto" w:fill="auto"/>
            <w:vAlign w:val="center"/>
            <w:hideMark/>
          </w:tcPr>
          <w:p w14:paraId="51542E8B"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258A73EC"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4B8DEE04"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354,00</w:t>
            </w:r>
          </w:p>
        </w:tc>
        <w:tc>
          <w:tcPr>
            <w:tcW w:w="319" w:type="pct"/>
            <w:tcBorders>
              <w:top w:val="nil"/>
              <w:left w:val="nil"/>
              <w:bottom w:val="single" w:sz="4" w:space="0" w:color="auto"/>
              <w:right w:val="single" w:sz="4" w:space="0" w:color="auto"/>
            </w:tcBorders>
            <w:shd w:val="clear" w:color="000000" w:fill="E2EFDA"/>
            <w:vAlign w:val="center"/>
            <w:hideMark/>
          </w:tcPr>
          <w:p w14:paraId="1EF0DBA8"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354,00</w:t>
            </w:r>
          </w:p>
        </w:tc>
        <w:tc>
          <w:tcPr>
            <w:tcW w:w="302" w:type="pct"/>
            <w:tcBorders>
              <w:top w:val="nil"/>
              <w:left w:val="nil"/>
              <w:bottom w:val="single" w:sz="4" w:space="0" w:color="auto"/>
              <w:right w:val="single" w:sz="4" w:space="0" w:color="auto"/>
            </w:tcBorders>
            <w:shd w:val="clear" w:color="000000" w:fill="E2EFDA"/>
            <w:vAlign w:val="center"/>
            <w:hideMark/>
          </w:tcPr>
          <w:p w14:paraId="19278B75"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D7D31"/>
            <w:vAlign w:val="center"/>
            <w:hideMark/>
          </w:tcPr>
          <w:p w14:paraId="1D1DCFAA"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WEM</w:t>
            </w:r>
          </w:p>
        </w:tc>
        <w:tc>
          <w:tcPr>
            <w:tcW w:w="354" w:type="pct"/>
            <w:tcBorders>
              <w:top w:val="nil"/>
              <w:left w:val="nil"/>
              <w:bottom w:val="single" w:sz="4" w:space="0" w:color="auto"/>
              <w:right w:val="single" w:sz="4" w:space="0" w:color="auto"/>
            </w:tcBorders>
            <w:shd w:val="clear" w:color="000000" w:fill="ED7D31"/>
            <w:vAlign w:val="center"/>
            <w:hideMark/>
          </w:tcPr>
          <w:p w14:paraId="1BB45D2A"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354,00</w:t>
            </w:r>
          </w:p>
        </w:tc>
        <w:tc>
          <w:tcPr>
            <w:tcW w:w="350" w:type="pct"/>
            <w:tcBorders>
              <w:top w:val="nil"/>
              <w:left w:val="nil"/>
              <w:bottom w:val="single" w:sz="4" w:space="0" w:color="auto"/>
              <w:right w:val="single" w:sz="4" w:space="0" w:color="auto"/>
            </w:tcBorders>
            <w:shd w:val="clear" w:color="000000" w:fill="ED7D31"/>
            <w:vAlign w:val="center"/>
            <w:hideMark/>
          </w:tcPr>
          <w:p w14:paraId="7166D4C5"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r>
      <w:tr w:rsidR="005D7AD3" w:rsidRPr="005D7AD3" w14:paraId="67D976FD"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661D2475"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070C858F"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МП_Д8</w:t>
            </w:r>
          </w:p>
        </w:tc>
        <w:tc>
          <w:tcPr>
            <w:tcW w:w="1323" w:type="pct"/>
            <w:tcBorders>
              <w:top w:val="nil"/>
              <w:left w:val="nil"/>
              <w:bottom w:val="single" w:sz="4" w:space="0" w:color="auto"/>
              <w:right w:val="single" w:sz="4" w:space="0" w:color="auto"/>
            </w:tcBorders>
            <w:shd w:val="clear" w:color="auto" w:fill="auto"/>
            <w:vAlign w:val="center"/>
            <w:hideMark/>
          </w:tcPr>
          <w:p w14:paraId="066C6564"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Конверзија необрадивог земљишта у обрадиво земљиште</w:t>
            </w:r>
          </w:p>
        </w:tc>
        <w:tc>
          <w:tcPr>
            <w:tcW w:w="344" w:type="pct"/>
            <w:tcBorders>
              <w:top w:val="nil"/>
              <w:left w:val="nil"/>
              <w:bottom w:val="single" w:sz="4" w:space="0" w:color="auto"/>
              <w:right w:val="single" w:sz="4" w:space="0" w:color="auto"/>
            </w:tcBorders>
            <w:shd w:val="clear" w:color="auto" w:fill="auto"/>
            <w:vAlign w:val="center"/>
            <w:hideMark/>
          </w:tcPr>
          <w:p w14:paraId="077A67C7"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7DEBE47A"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5DA91C7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8,50</w:t>
            </w:r>
          </w:p>
        </w:tc>
        <w:tc>
          <w:tcPr>
            <w:tcW w:w="319" w:type="pct"/>
            <w:tcBorders>
              <w:top w:val="nil"/>
              <w:left w:val="nil"/>
              <w:bottom w:val="single" w:sz="4" w:space="0" w:color="auto"/>
              <w:right w:val="single" w:sz="4" w:space="0" w:color="auto"/>
            </w:tcBorders>
            <w:shd w:val="clear" w:color="000000" w:fill="E2EFDA"/>
            <w:vAlign w:val="center"/>
            <w:hideMark/>
          </w:tcPr>
          <w:p w14:paraId="3BB532A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8,50</w:t>
            </w:r>
          </w:p>
        </w:tc>
        <w:tc>
          <w:tcPr>
            <w:tcW w:w="302" w:type="pct"/>
            <w:tcBorders>
              <w:top w:val="nil"/>
              <w:left w:val="nil"/>
              <w:bottom w:val="single" w:sz="4" w:space="0" w:color="auto"/>
              <w:right w:val="single" w:sz="4" w:space="0" w:color="auto"/>
            </w:tcBorders>
            <w:shd w:val="clear" w:color="000000" w:fill="E2EFDA"/>
            <w:vAlign w:val="center"/>
            <w:hideMark/>
          </w:tcPr>
          <w:p w14:paraId="316435F0"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D7D31"/>
            <w:vAlign w:val="center"/>
            <w:hideMark/>
          </w:tcPr>
          <w:p w14:paraId="6C75FDCB"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WEM</w:t>
            </w:r>
          </w:p>
        </w:tc>
        <w:tc>
          <w:tcPr>
            <w:tcW w:w="354" w:type="pct"/>
            <w:tcBorders>
              <w:top w:val="nil"/>
              <w:left w:val="nil"/>
              <w:bottom w:val="single" w:sz="4" w:space="0" w:color="auto"/>
              <w:right w:val="single" w:sz="4" w:space="0" w:color="auto"/>
            </w:tcBorders>
            <w:shd w:val="clear" w:color="000000" w:fill="ED7D31"/>
            <w:vAlign w:val="center"/>
            <w:hideMark/>
          </w:tcPr>
          <w:p w14:paraId="05964B23"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8,50</w:t>
            </w:r>
          </w:p>
        </w:tc>
        <w:tc>
          <w:tcPr>
            <w:tcW w:w="350" w:type="pct"/>
            <w:tcBorders>
              <w:top w:val="nil"/>
              <w:left w:val="nil"/>
              <w:bottom w:val="single" w:sz="4" w:space="0" w:color="auto"/>
              <w:right w:val="single" w:sz="4" w:space="0" w:color="auto"/>
            </w:tcBorders>
            <w:shd w:val="clear" w:color="000000" w:fill="ED7D31"/>
            <w:vAlign w:val="center"/>
            <w:hideMark/>
          </w:tcPr>
          <w:p w14:paraId="71CD30E3"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r>
      <w:tr w:rsidR="005D7AD3" w:rsidRPr="005D7AD3" w14:paraId="1C3810A2"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1CB6B1F0"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27D4F87D"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МП_Д9</w:t>
            </w:r>
          </w:p>
        </w:tc>
        <w:tc>
          <w:tcPr>
            <w:tcW w:w="1323" w:type="pct"/>
            <w:tcBorders>
              <w:top w:val="nil"/>
              <w:left w:val="nil"/>
              <w:bottom w:val="single" w:sz="4" w:space="0" w:color="auto"/>
              <w:right w:val="single" w:sz="4" w:space="0" w:color="auto"/>
            </w:tcBorders>
            <w:shd w:val="clear" w:color="auto" w:fill="auto"/>
            <w:vAlign w:val="center"/>
            <w:hideMark/>
          </w:tcPr>
          <w:p w14:paraId="304DA502"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Повећање површине са засађеним дрвећем (мање шумске површине/ паркови / зелени кровови, санитарне заштитне зоне око рудника и индустријских објеката, појасеви за заштиту од ветра и зелене зоне дуж аутопутева)</w:t>
            </w:r>
          </w:p>
        </w:tc>
        <w:tc>
          <w:tcPr>
            <w:tcW w:w="344" w:type="pct"/>
            <w:tcBorders>
              <w:top w:val="nil"/>
              <w:left w:val="nil"/>
              <w:bottom w:val="single" w:sz="4" w:space="0" w:color="auto"/>
              <w:right w:val="single" w:sz="4" w:space="0" w:color="auto"/>
            </w:tcBorders>
            <w:shd w:val="clear" w:color="auto" w:fill="auto"/>
            <w:vAlign w:val="center"/>
            <w:hideMark/>
          </w:tcPr>
          <w:p w14:paraId="2DC01026"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3C385427"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5801278B"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6,50</w:t>
            </w:r>
          </w:p>
        </w:tc>
        <w:tc>
          <w:tcPr>
            <w:tcW w:w="319" w:type="pct"/>
            <w:tcBorders>
              <w:top w:val="nil"/>
              <w:left w:val="nil"/>
              <w:bottom w:val="single" w:sz="4" w:space="0" w:color="auto"/>
              <w:right w:val="single" w:sz="4" w:space="0" w:color="auto"/>
            </w:tcBorders>
            <w:shd w:val="clear" w:color="000000" w:fill="E2EFDA"/>
            <w:vAlign w:val="center"/>
            <w:hideMark/>
          </w:tcPr>
          <w:p w14:paraId="3F56F55C"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6,50</w:t>
            </w:r>
          </w:p>
        </w:tc>
        <w:tc>
          <w:tcPr>
            <w:tcW w:w="302" w:type="pct"/>
            <w:tcBorders>
              <w:top w:val="nil"/>
              <w:left w:val="nil"/>
              <w:bottom w:val="single" w:sz="4" w:space="0" w:color="auto"/>
              <w:right w:val="single" w:sz="4" w:space="0" w:color="auto"/>
            </w:tcBorders>
            <w:shd w:val="clear" w:color="000000" w:fill="E2EFDA"/>
            <w:vAlign w:val="center"/>
            <w:hideMark/>
          </w:tcPr>
          <w:p w14:paraId="060F998D"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D7D31"/>
            <w:vAlign w:val="center"/>
            <w:hideMark/>
          </w:tcPr>
          <w:p w14:paraId="1F82628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WEM</w:t>
            </w:r>
          </w:p>
        </w:tc>
        <w:tc>
          <w:tcPr>
            <w:tcW w:w="354" w:type="pct"/>
            <w:tcBorders>
              <w:top w:val="nil"/>
              <w:left w:val="nil"/>
              <w:bottom w:val="single" w:sz="4" w:space="0" w:color="auto"/>
              <w:right w:val="single" w:sz="4" w:space="0" w:color="auto"/>
            </w:tcBorders>
            <w:shd w:val="clear" w:color="000000" w:fill="ED7D31"/>
            <w:vAlign w:val="center"/>
            <w:hideMark/>
          </w:tcPr>
          <w:p w14:paraId="6809D61D"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6,50</w:t>
            </w:r>
          </w:p>
        </w:tc>
        <w:tc>
          <w:tcPr>
            <w:tcW w:w="350" w:type="pct"/>
            <w:tcBorders>
              <w:top w:val="nil"/>
              <w:left w:val="nil"/>
              <w:bottom w:val="single" w:sz="4" w:space="0" w:color="auto"/>
              <w:right w:val="single" w:sz="4" w:space="0" w:color="auto"/>
            </w:tcBorders>
            <w:shd w:val="clear" w:color="000000" w:fill="ED7D31"/>
            <w:vAlign w:val="center"/>
            <w:hideMark/>
          </w:tcPr>
          <w:p w14:paraId="5C67FBE9"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r>
      <w:tr w:rsidR="005D7AD3" w:rsidRPr="005D7AD3" w14:paraId="3DBB5FA0"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2DE2DB6A"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73082CB3"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МП_Д10</w:t>
            </w:r>
          </w:p>
        </w:tc>
        <w:tc>
          <w:tcPr>
            <w:tcW w:w="1323" w:type="pct"/>
            <w:tcBorders>
              <w:top w:val="nil"/>
              <w:left w:val="nil"/>
              <w:bottom w:val="single" w:sz="4" w:space="0" w:color="auto"/>
              <w:right w:val="single" w:sz="4" w:space="0" w:color="auto"/>
            </w:tcBorders>
            <w:shd w:val="clear" w:color="auto" w:fill="auto"/>
            <w:vAlign w:val="center"/>
            <w:hideMark/>
          </w:tcPr>
          <w:p w14:paraId="1BA7BBE7"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Мере за смањење емисија CH4 из ентеричке ферментације животиња</w:t>
            </w:r>
          </w:p>
        </w:tc>
        <w:tc>
          <w:tcPr>
            <w:tcW w:w="344" w:type="pct"/>
            <w:tcBorders>
              <w:top w:val="nil"/>
              <w:left w:val="nil"/>
              <w:bottom w:val="single" w:sz="4" w:space="0" w:color="auto"/>
              <w:right w:val="single" w:sz="4" w:space="0" w:color="auto"/>
            </w:tcBorders>
            <w:shd w:val="clear" w:color="auto" w:fill="auto"/>
            <w:vAlign w:val="center"/>
            <w:hideMark/>
          </w:tcPr>
          <w:p w14:paraId="0CE03D8D"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auto" w:fill="auto"/>
            <w:vAlign w:val="center"/>
            <w:hideMark/>
          </w:tcPr>
          <w:p w14:paraId="11A5F948"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2758F555"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0,50</w:t>
            </w:r>
          </w:p>
        </w:tc>
        <w:tc>
          <w:tcPr>
            <w:tcW w:w="319" w:type="pct"/>
            <w:tcBorders>
              <w:top w:val="nil"/>
              <w:left w:val="nil"/>
              <w:bottom w:val="single" w:sz="4" w:space="0" w:color="auto"/>
              <w:right w:val="single" w:sz="4" w:space="0" w:color="auto"/>
            </w:tcBorders>
            <w:shd w:val="clear" w:color="000000" w:fill="E2EFDA"/>
            <w:vAlign w:val="center"/>
            <w:hideMark/>
          </w:tcPr>
          <w:p w14:paraId="1AC87DDF"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0,50</w:t>
            </w:r>
          </w:p>
        </w:tc>
        <w:tc>
          <w:tcPr>
            <w:tcW w:w="302" w:type="pct"/>
            <w:tcBorders>
              <w:top w:val="nil"/>
              <w:left w:val="nil"/>
              <w:bottom w:val="single" w:sz="4" w:space="0" w:color="auto"/>
              <w:right w:val="single" w:sz="4" w:space="0" w:color="auto"/>
            </w:tcBorders>
            <w:shd w:val="clear" w:color="000000" w:fill="E2EFDA"/>
            <w:vAlign w:val="center"/>
            <w:hideMark/>
          </w:tcPr>
          <w:p w14:paraId="18918C23"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D7D31"/>
            <w:vAlign w:val="center"/>
            <w:hideMark/>
          </w:tcPr>
          <w:p w14:paraId="22B9D011"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WEM</w:t>
            </w:r>
          </w:p>
        </w:tc>
        <w:tc>
          <w:tcPr>
            <w:tcW w:w="354" w:type="pct"/>
            <w:tcBorders>
              <w:top w:val="nil"/>
              <w:left w:val="nil"/>
              <w:bottom w:val="single" w:sz="4" w:space="0" w:color="auto"/>
              <w:right w:val="single" w:sz="4" w:space="0" w:color="auto"/>
            </w:tcBorders>
            <w:shd w:val="clear" w:color="000000" w:fill="ED7D31"/>
            <w:vAlign w:val="center"/>
            <w:hideMark/>
          </w:tcPr>
          <w:p w14:paraId="4D6FDC3D"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0,50</w:t>
            </w:r>
          </w:p>
        </w:tc>
        <w:tc>
          <w:tcPr>
            <w:tcW w:w="350" w:type="pct"/>
            <w:tcBorders>
              <w:top w:val="nil"/>
              <w:left w:val="nil"/>
              <w:bottom w:val="single" w:sz="4" w:space="0" w:color="auto"/>
              <w:right w:val="single" w:sz="4" w:space="0" w:color="auto"/>
            </w:tcBorders>
            <w:shd w:val="clear" w:color="000000" w:fill="ED7D31"/>
            <w:vAlign w:val="center"/>
            <w:hideMark/>
          </w:tcPr>
          <w:p w14:paraId="5760F59D"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r>
      <w:tr w:rsidR="005D7AD3" w:rsidRPr="005D7AD3" w14:paraId="57957DF0"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585063ED"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1F165D08"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МП_Д11</w:t>
            </w:r>
          </w:p>
        </w:tc>
        <w:tc>
          <w:tcPr>
            <w:tcW w:w="1323" w:type="pct"/>
            <w:tcBorders>
              <w:top w:val="nil"/>
              <w:left w:val="nil"/>
              <w:bottom w:val="single" w:sz="4" w:space="0" w:color="auto"/>
              <w:right w:val="single" w:sz="4" w:space="0" w:color="auto"/>
            </w:tcBorders>
            <w:shd w:val="clear" w:color="auto" w:fill="auto"/>
            <w:vAlign w:val="center"/>
            <w:hideMark/>
          </w:tcPr>
          <w:p w14:paraId="37FBBEE5"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Унапређење управљања стајњаком у циљу смањења емисије CH4 и N2O</w:t>
            </w:r>
          </w:p>
        </w:tc>
        <w:tc>
          <w:tcPr>
            <w:tcW w:w="344" w:type="pct"/>
            <w:tcBorders>
              <w:top w:val="nil"/>
              <w:left w:val="nil"/>
              <w:bottom w:val="single" w:sz="4" w:space="0" w:color="auto"/>
              <w:right w:val="single" w:sz="4" w:space="0" w:color="auto"/>
            </w:tcBorders>
            <w:shd w:val="clear" w:color="auto" w:fill="auto"/>
            <w:vAlign w:val="center"/>
            <w:hideMark/>
          </w:tcPr>
          <w:p w14:paraId="4FD71981"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09FA3A31"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5F97127C"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9,00</w:t>
            </w:r>
          </w:p>
        </w:tc>
        <w:tc>
          <w:tcPr>
            <w:tcW w:w="319" w:type="pct"/>
            <w:tcBorders>
              <w:top w:val="nil"/>
              <w:left w:val="nil"/>
              <w:bottom w:val="single" w:sz="4" w:space="0" w:color="auto"/>
              <w:right w:val="single" w:sz="4" w:space="0" w:color="auto"/>
            </w:tcBorders>
            <w:shd w:val="clear" w:color="000000" w:fill="E2EFDA"/>
            <w:vAlign w:val="center"/>
            <w:hideMark/>
          </w:tcPr>
          <w:p w14:paraId="41AD1117"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9,00</w:t>
            </w:r>
          </w:p>
        </w:tc>
        <w:tc>
          <w:tcPr>
            <w:tcW w:w="302" w:type="pct"/>
            <w:tcBorders>
              <w:top w:val="nil"/>
              <w:left w:val="nil"/>
              <w:bottom w:val="single" w:sz="4" w:space="0" w:color="auto"/>
              <w:right w:val="single" w:sz="4" w:space="0" w:color="auto"/>
            </w:tcBorders>
            <w:shd w:val="clear" w:color="000000" w:fill="E2EFDA"/>
            <w:vAlign w:val="center"/>
            <w:hideMark/>
          </w:tcPr>
          <w:p w14:paraId="2775645E"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D7D31"/>
            <w:vAlign w:val="center"/>
            <w:hideMark/>
          </w:tcPr>
          <w:p w14:paraId="5D9828C9"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WEM</w:t>
            </w:r>
          </w:p>
        </w:tc>
        <w:tc>
          <w:tcPr>
            <w:tcW w:w="354" w:type="pct"/>
            <w:tcBorders>
              <w:top w:val="nil"/>
              <w:left w:val="nil"/>
              <w:bottom w:val="single" w:sz="4" w:space="0" w:color="auto"/>
              <w:right w:val="single" w:sz="4" w:space="0" w:color="auto"/>
            </w:tcBorders>
            <w:shd w:val="clear" w:color="000000" w:fill="ED7D31"/>
            <w:vAlign w:val="center"/>
            <w:hideMark/>
          </w:tcPr>
          <w:p w14:paraId="3161A187"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9,00</w:t>
            </w:r>
          </w:p>
        </w:tc>
        <w:tc>
          <w:tcPr>
            <w:tcW w:w="350" w:type="pct"/>
            <w:tcBorders>
              <w:top w:val="nil"/>
              <w:left w:val="nil"/>
              <w:bottom w:val="single" w:sz="4" w:space="0" w:color="auto"/>
              <w:right w:val="single" w:sz="4" w:space="0" w:color="auto"/>
            </w:tcBorders>
            <w:shd w:val="clear" w:color="000000" w:fill="ED7D31"/>
            <w:vAlign w:val="center"/>
            <w:hideMark/>
          </w:tcPr>
          <w:p w14:paraId="097E9136"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r>
      <w:tr w:rsidR="005D7AD3" w:rsidRPr="005D7AD3" w14:paraId="7017E9FC"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1D0D384E"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1F35D331"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МП_Д12</w:t>
            </w:r>
          </w:p>
        </w:tc>
        <w:tc>
          <w:tcPr>
            <w:tcW w:w="1323" w:type="pct"/>
            <w:tcBorders>
              <w:top w:val="nil"/>
              <w:left w:val="nil"/>
              <w:bottom w:val="single" w:sz="4" w:space="0" w:color="auto"/>
              <w:right w:val="single" w:sz="4" w:space="0" w:color="auto"/>
            </w:tcBorders>
            <w:shd w:val="clear" w:color="auto" w:fill="auto"/>
            <w:vAlign w:val="center"/>
            <w:hideMark/>
          </w:tcPr>
          <w:p w14:paraId="6EF3C3E2"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Мере за смањење директних и индиректних емисија N2O из земљишта којим се управља</w:t>
            </w:r>
          </w:p>
        </w:tc>
        <w:tc>
          <w:tcPr>
            <w:tcW w:w="344" w:type="pct"/>
            <w:tcBorders>
              <w:top w:val="nil"/>
              <w:left w:val="nil"/>
              <w:bottom w:val="single" w:sz="4" w:space="0" w:color="auto"/>
              <w:right w:val="single" w:sz="4" w:space="0" w:color="auto"/>
            </w:tcBorders>
            <w:shd w:val="clear" w:color="auto" w:fill="auto"/>
            <w:vAlign w:val="center"/>
            <w:hideMark/>
          </w:tcPr>
          <w:p w14:paraId="18AEA113"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7E6625FF"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2FCCAE8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6,00</w:t>
            </w:r>
          </w:p>
        </w:tc>
        <w:tc>
          <w:tcPr>
            <w:tcW w:w="319" w:type="pct"/>
            <w:tcBorders>
              <w:top w:val="nil"/>
              <w:left w:val="nil"/>
              <w:bottom w:val="single" w:sz="4" w:space="0" w:color="auto"/>
              <w:right w:val="single" w:sz="4" w:space="0" w:color="auto"/>
            </w:tcBorders>
            <w:shd w:val="clear" w:color="000000" w:fill="E2EFDA"/>
            <w:vAlign w:val="center"/>
            <w:hideMark/>
          </w:tcPr>
          <w:p w14:paraId="5A4F8944"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6,00</w:t>
            </w:r>
          </w:p>
        </w:tc>
        <w:tc>
          <w:tcPr>
            <w:tcW w:w="302" w:type="pct"/>
            <w:tcBorders>
              <w:top w:val="nil"/>
              <w:left w:val="nil"/>
              <w:bottom w:val="single" w:sz="4" w:space="0" w:color="auto"/>
              <w:right w:val="single" w:sz="4" w:space="0" w:color="auto"/>
            </w:tcBorders>
            <w:shd w:val="clear" w:color="000000" w:fill="E2EFDA"/>
            <w:vAlign w:val="center"/>
            <w:hideMark/>
          </w:tcPr>
          <w:p w14:paraId="3851DFF4"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D7D31"/>
            <w:vAlign w:val="center"/>
            <w:hideMark/>
          </w:tcPr>
          <w:p w14:paraId="38095CD9"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WEM</w:t>
            </w:r>
          </w:p>
        </w:tc>
        <w:tc>
          <w:tcPr>
            <w:tcW w:w="354" w:type="pct"/>
            <w:tcBorders>
              <w:top w:val="nil"/>
              <w:left w:val="nil"/>
              <w:bottom w:val="single" w:sz="4" w:space="0" w:color="auto"/>
              <w:right w:val="single" w:sz="4" w:space="0" w:color="auto"/>
            </w:tcBorders>
            <w:shd w:val="clear" w:color="000000" w:fill="ED7D31"/>
            <w:vAlign w:val="center"/>
            <w:hideMark/>
          </w:tcPr>
          <w:p w14:paraId="5A3BB611"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6,00</w:t>
            </w:r>
          </w:p>
        </w:tc>
        <w:tc>
          <w:tcPr>
            <w:tcW w:w="350" w:type="pct"/>
            <w:tcBorders>
              <w:top w:val="nil"/>
              <w:left w:val="nil"/>
              <w:bottom w:val="single" w:sz="4" w:space="0" w:color="auto"/>
              <w:right w:val="single" w:sz="4" w:space="0" w:color="auto"/>
            </w:tcBorders>
            <w:shd w:val="clear" w:color="000000" w:fill="ED7D31"/>
            <w:vAlign w:val="center"/>
            <w:hideMark/>
          </w:tcPr>
          <w:p w14:paraId="3FC47DB9"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r>
      <w:tr w:rsidR="005D7AD3" w:rsidRPr="005D7AD3" w14:paraId="6675CB26"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60786932"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06689EBA"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МП_Д13</w:t>
            </w:r>
          </w:p>
        </w:tc>
        <w:tc>
          <w:tcPr>
            <w:tcW w:w="1323" w:type="pct"/>
            <w:tcBorders>
              <w:top w:val="nil"/>
              <w:left w:val="nil"/>
              <w:bottom w:val="single" w:sz="4" w:space="0" w:color="auto"/>
              <w:right w:val="single" w:sz="4" w:space="0" w:color="auto"/>
            </w:tcBorders>
            <w:shd w:val="clear" w:color="auto" w:fill="auto"/>
            <w:vAlign w:val="center"/>
            <w:hideMark/>
          </w:tcPr>
          <w:p w14:paraId="769DE6D6"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Мере за смањење емисија из употребе ђубрива</w:t>
            </w:r>
          </w:p>
        </w:tc>
        <w:tc>
          <w:tcPr>
            <w:tcW w:w="344" w:type="pct"/>
            <w:tcBorders>
              <w:top w:val="nil"/>
              <w:left w:val="nil"/>
              <w:bottom w:val="single" w:sz="4" w:space="0" w:color="auto"/>
              <w:right w:val="single" w:sz="4" w:space="0" w:color="auto"/>
            </w:tcBorders>
            <w:shd w:val="clear" w:color="auto" w:fill="auto"/>
            <w:vAlign w:val="center"/>
            <w:hideMark/>
          </w:tcPr>
          <w:p w14:paraId="22AD9276"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77D86FF0"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454B376F"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28,00</w:t>
            </w:r>
          </w:p>
        </w:tc>
        <w:tc>
          <w:tcPr>
            <w:tcW w:w="319" w:type="pct"/>
            <w:tcBorders>
              <w:top w:val="nil"/>
              <w:left w:val="nil"/>
              <w:bottom w:val="single" w:sz="4" w:space="0" w:color="auto"/>
              <w:right w:val="single" w:sz="4" w:space="0" w:color="auto"/>
            </w:tcBorders>
            <w:shd w:val="clear" w:color="000000" w:fill="E2EFDA"/>
            <w:vAlign w:val="center"/>
            <w:hideMark/>
          </w:tcPr>
          <w:p w14:paraId="719A70DE"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28,00</w:t>
            </w:r>
          </w:p>
        </w:tc>
        <w:tc>
          <w:tcPr>
            <w:tcW w:w="302" w:type="pct"/>
            <w:tcBorders>
              <w:top w:val="nil"/>
              <w:left w:val="nil"/>
              <w:bottom w:val="single" w:sz="4" w:space="0" w:color="auto"/>
              <w:right w:val="single" w:sz="4" w:space="0" w:color="auto"/>
            </w:tcBorders>
            <w:shd w:val="clear" w:color="000000" w:fill="E2EFDA"/>
            <w:vAlign w:val="center"/>
            <w:hideMark/>
          </w:tcPr>
          <w:p w14:paraId="4CE8E2CB"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D7D31"/>
            <w:vAlign w:val="center"/>
            <w:hideMark/>
          </w:tcPr>
          <w:p w14:paraId="1D516030"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WEM</w:t>
            </w:r>
          </w:p>
        </w:tc>
        <w:tc>
          <w:tcPr>
            <w:tcW w:w="354" w:type="pct"/>
            <w:tcBorders>
              <w:top w:val="nil"/>
              <w:left w:val="nil"/>
              <w:bottom w:val="single" w:sz="4" w:space="0" w:color="auto"/>
              <w:right w:val="single" w:sz="4" w:space="0" w:color="auto"/>
            </w:tcBorders>
            <w:shd w:val="clear" w:color="000000" w:fill="ED7D31"/>
            <w:vAlign w:val="center"/>
            <w:hideMark/>
          </w:tcPr>
          <w:p w14:paraId="55E3CE21"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28,00</w:t>
            </w:r>
          </w:p>
        </w:tc>
        <w:tc>
          <w:tcPr>
            <w:tcW w:w="350" w:type="pct"/>
            <w:tcBorders>
              <w:top w:val="nil"/>
              <w:left w:val="nil"/>
              <w:bottom w:val="single" w:sz="4" w:space="0" w:color="auto"/>
              <w:right w:val="single" w:sz="4" w:space="0" w:color="auto"/>
            </w:tcBorders>
            <w:shd w:val="clear" w:color="000000" w:fill="ED7D31"/>
            <w:vAlign w:val="center"/>
            <w:hideMark/>
          </w:tcPr>
          <w:p w14:paraId="1F67A6C6"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r>
      <w:tr w:rsidR="005D7AD3" w:rsidRPr="005D7AD3" w14:paraId="101BAA25"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4FFF6D1C"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1509B220"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МП_Д19</w:t>
            </w:r>
          </w:p>
        </w:tc>
        <w:tc>
          <w:tcPr>
            <w:tcW w:w="1323" w:type="pct"/>
            <w:tcBorders>
              <w:top w:val="nil"/>
              <w:left w:val="nil"/>
              <w:bottom w:val="single" w:sz="4" w:space="0" w:color="auto"/>
              <w:right w:val="single" w:sz="4" w:space="0" w:color="auto"/>
            </w:tcBorders>
            <w:shd w:val="clear" w:color="auto" w:fill="auto"/>
            <w:vAlign w:val="center"/>
            <w:hideMark/>
          </w:tcPr>
          <w:p w14:paraId="30033F22"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Пружање оперативне помоћи за производњу електричне енергије у електранама које користе обновљиве изворе енергије на основу аукција и стратешких партнерстава</w:t>
            </w:r>
          </w:p>
        </w:tc>
        <w:tc>
          <w:tcPr>
            <w:tcW w:w="344" w:type="pct"/>
            <w:tcBorders>
              <w:top w:val="nil"/>
              <w:left w:val="nil"/>
              <w:bottom w:val="single" w:sz="4" w:space="0" w:color="auto"/>
              <w:right w:val="single" w:sz="4" w:space="0" w:color="auto"/>
            </w:tcBorders>
            <w:shd w:val="clear" w:color="auto" w:fill="auto"/>
            <w:vAlign w:val="center"/>
            <w:hideMark/>
          </w:tcPr>
          <w:p w14:paraId="0799B619"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2EEBA025"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206B74B9"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3000,00</w:t>
            </w:r>
          </w:p>
        </w:tc>
        <w:tc>
          <w:tcPr>
            <w:tcW w:w="319" w:type="pct"/>
            <w:tcBorders>
              <w:top w:val="nil"/>
              <w:left w:val="nil"/>
              <w:bottom w:val="single" w:sz="4" w:space="0" w:color="auto"/>
              <w:right w:val="single" w:sz="4" w:space="0" w:color="auto"/>
            </w:tcBorders>
            <w:shd w:val="clear" w:color="000000" w:fill="E2EFDA"/>
            <w:vAlign w:val="center"/>
            <w:hideMark/>
          </w:tcPr>
          <w:p w14:paraId="5569A968"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302" w:type="pct"/>
            <w:tcBorders>
              <w:top w:val="nil"/>
              <w:left w:val="nil"/>
              <w:bottom w:val="single" w:sz="4" w:space="0" w:color="auto"/>
              <w:right w:val="single" w:sz="4" w:space="0" w:color="auto"/>
            </w:tcBorders>
            <w:shd w:val="clear" w:color="000000" w:fill="E2EFDA"/>
            <w:vAlign w:val="center"/>
            <w:hideMark/>
          </w:tcPr>
          <w:p w14:paraId="5194F091"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3000,00</w:t>
            </w:r>
          </w:p>
        </w:tc>
        <w:tc>
          <w:tcPr>
            <w:tcW w:w="446" w:type="pct"/>
            <w:tcBorders>
              <w:top w:val="nil"/>
              <w:left w:val="nil"/>
              <w:bottom w:val="single" w:sz="4" w:space="0" w:color="auto"/>
              <w:right w:val="single" w:sz="4" w:space="0" w:color="auto"/>
            </w:tcBorders>
            <w:shd w:val="clear" w:color="000000" w:fill="E2EFDA"/>
            <w:vAlign w:val="center"/>
            <w:hideMark/>
          </w:tcPr>
          <w:p w14:paraId="59DDD93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WEM, WAM (унапређење, прилагођавање)</w:t>
            </w:r>
          </w:p>
        </w:tc>
        <w:tc>
          <w:tcPr>
            <w:tcW w:w="354" w:type="pct"/>
            <w:tcBorders>
              <w:top w:val="nil"/>
              <w:left w:val="nil"/>
              <w:bottom w:val="single" w:sz="4" w:space="0" w:color="auto"/>
              <w:right w:val="single" w:sz="4" w:space="0" w:color="auto"/>
            </w:tcBorders>
            <w:shd w:val="clear" w:color="000000" w:fill="ED7D31"/>
            <w:vAlign w:val="center"/>
            <w:hideMark/>
          </w:tcPr>
          <w:p w14:paraId="2EE229EF"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348,82</w:t>
            </w:r>
          </w:p>
        </w:tc>
        <w:tc>
          <w:tcPr>
            <w:tcW w:w="350" w:type="pct"/>
            <w:tcBorders>
              <w:top w:val="nil"/>
              <w:left w:val="nil"/>
              <w:bottom w:val="single" w:sz="4" w:space="0" w:color="auto"/>
              <w:right w:val="single" w:sz="4" w:space="0" w:color="auto"/>
            </w:tcBorders>
            <w:shd w:val="clear" w:color="000000" w:fill="ED7D31"/>
            <w:vAlign w:val="center"/>
            <w:hideMark/>
          </w:tcPr>
          <w:p w14:paraId="356F7657"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2651,18</w:t>
            </w:r>
          </w:p>
        </w:tc>
      </w:tr>
      <w:tr w:rsidR="005D7AD3" w:rsidRPr="005D7AD3" w14:paraId="51ADBEB2"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105B0C4F"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0FF3F563"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МП_Д20</w:t>
            </w:r>
          </w:p>
        </w:tc>
        <w:tc>
          <w:tcPr>
            <w:tcW w:w="1323" w:type="pct"/>
            <w:tcBorders>
              <w:top w:val="nil"/>
              <w:left w:val="nil"/>
              <w:bottom w:val="single" w:sz="4" w:space="0" w:color="auto"/>
              <w:right w:val="single" w:sz="4" w:space="0" w:color="auto"/>
            </w:tcBorders>
            <w:shd w:val="clear" w:color="auto" w:fill="auto"/>
            <w:vAlign w:val="center"/>
            <w:hideMark/>
          </w:tcPr>
          <w:p w14:paraId="1D19A3C5"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Израда законске регулативе за учешће произвођача из ОИЕ на тржишту електричне енергије</w:t>
            </w:r>
          </w:p>
        </w:tc>
        <w:tc>
          <w:tcPr>
            <w:tcW w:w="344" w:type="pct"/>
            <w:tcBorders>
              <w:top w:val="nil"/>
              <w:left w:val="nil"/>
              <w:bottom w:val="single" w:sz="4" w:space="0" w:color="auto"/>
              <w:right w:val="single" w:sz="4" w:space="0" w:color="auto"/>
            </w:tcBorders>
            <w:shd w:val="clear" w:color="auto" w:fill="auto"/>
            <w:vAlign w:val="center"/>
            <w:hideMark/>
          </w:tcPr>
          <w:p w14:paraId="7BAC770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xml:space="preserve">Реформа </w:t>
            </w:r>
          </w:p>
        </w:tc>
        <w:tc>
          <w:tcPr>
            <w:tcW w:w="368" w:type="pct"/>
            <w:tcBorders>
              <w:top w:val="nil"/>
              <w:left w:val="nil"/>
              <w:bottom w:val="single" w:sz="4" w:space="0" w:color="auto"/>
              <w:right w:val="single" w:sz="4" w:space="0" w:color="auto"/>
            </w:tcBorders>
            <w:shd w:val="clear" w:color="auto" w:fill="auto"/>
            <w:vAlign w:val="center"/>
            <w:hideMark/>
          </w:tcPr>
          <w:p w14:paraId="225E7BA5"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1DBA1C6B"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0,20</w:t>
            </w:r>
          </w:p>
        </w:tc>
        <w:tc>
          <w:tcPr>
            <w:tcW w:w="319" w:type="pct"/>
            <w:tcBorders>
              <w:top w:val="nil"/>
              <w:left w:val="nil"/>
              <w:bottom w:val="single" w:sz="4" w:space="0" w:color="auto"/>
              <w:right w:val="single" w:sz="4" w:space="0" w:color="auto"/>
            </w:tcBorders>
            <w:shd w:val="clear" w:color="000000" w:fill="E2EFDA"/>
            <w:vAlign w:val="center"/>
            <w:hideMark/>
          </w:tcPr>
          <w:p w14:paraId="07E1068C"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0,20</w:t>
            </w:r>
          </w:p>
        </w:tc>
        <w:tc>
          <w:tcPr>
            <w:tcW w:w="302" w:type="pct"/>
            <w:tcBorders>
              <w:top w:val="nil"/>
              <w:left w:val="nil"/>
              <w:bottom w:val="single" w:sz="4" w:space="0" w:color="auto"/>
              <w:right w:val="single" w:sz="4" w:space="0" w:color="auto"/>
            </w:tcBorders>
            <w:shd w:val="clear" w:color="000000" w:fill="E2EFDA"/>
            <w:vAlign w:val="center"/>
            <w:hideMark/>
          </w:tcPr>
          <w:p w14:paraId="5EC4DBE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2EFDA"/>
            <w:vAlign w:val="center"/>
            <w:hideMark/>
          </w:tcPr>
          <w:p w14:paraId="413461B1"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WEM, WAM (унапређење, прилагођавање)</w:t>
            </w:r>
          </w:p>
        </w:tc>
        <w:tc>
          <w:tcPr>
            <w:tcW w:w="354" w:type="pct"/>
            <w:tcBorders>
              <w:top w:val="nil"/>
              <w:left w:val="nil"/>
              <w:bottom w:val="single" w:sz="4" w:space="0" w:color="auto"/>
              <w:right w:val="single" w:sz="4" w:space="0" w:color="auto"/>
            </w:tcBorders>
            <w:shd w:val="clear" w:color="000000" w:fill="ED7D31"/>
            <w:vAlign w:val="center"/>
            <w:hideMark/>
          </w:tcPr>
          <w:p w14:paraId="11948F0E"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0,20</w:t>
            </w:r>
          </w:p>
        </w:tc>
        <w:tc>
          <w:tcPr>
            <w:tcW w:w="350" w:type="pct"/>
            <w:tcBorders>
              <w:top w:val="nil"/>
              <w:left w:val="nil"/>
              <w:bottom w:val="single" w:sz="4" w:space="0" w:color="auto"/>
              <w:right w:val="single" w:sz="4" w:space="0" w:color="auto"/>
            </w:tcBorders>
            <w:shd w:val="clear" w:color="000000" w:fill="ED7D31"/>
            <w:vAlign w:val="center"/>
            <w:hideMark/>
          </w:tcPr>
          <w:p w14:paraId="0B40D811"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r>
      <w:tr w:rsidR="005D7AD3" w:rsidRPr="005D7AD3" w14:paraId="5636F6D8"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11798730"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7E43EBB7"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МП_Д21</w:t>
            </w:r>
          </w:p>
        </w:tc>
        <w:tc>
          <w:tcPr>
            <w:tcW w:w="1323" w:type="pct"/>
            <w:tcBorders>
              <w:top w:val="nil"/>
              <w:left w:val="nil"/>
              <w:bottom w:val="single" w:sz="4" w:space="0" w:color="auto"/>
              <w:right w:val="single" w:sz="4" w:space="0" w:color="auto"/>
            </w:tcBorders>
            <w:shd w:val="clear" w:color="auto" w:fill="auto"/>
            <w:vAlign w:val="center"/>
            <w:hideMark/>
          </w:tcPr>
          <w:p w14:paraId="0EB6BCED"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Подршка производњи електричне енергије из обновљивих извора енергије у електранама које неће учествовати на аукцијама укључујући примену уговора за откуп електричне енергије из обновљивих извора</w:t>
            </w:r>
          </w:p>
        </w:tc>
        <w:tc>
          <w:tcPr>
            <w:tcW w:w="344" w:type="pct"/>
            <w:tcBorders>
              <w:top w:val="nil"/>
              <w:left w:val="nil"/>
              <w:bottom w:val="single" w:sz="4" w:space="0" w:color="auto"/>
              <w:right w:val="single" w:sz="4" w:space="0" w:color="auto"/>
            </w:tcBorders>
            <w:shd w:val="clear" w:color="auto" w:fill="auto"/>
            <w:vAlign w:val="center"/>
            <w:hideMark/>
          </w:tcPr>
          <w:p w14:paraId="137A83E0"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5E21EF8E"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56F009DA"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700,00</w:t>
            </w:r>
          </w:p>
        </w:tc>
        <w:tc>
          <w:tcPr>
            <w:tcW w:w="319" w:type="pct"/>
            <w:tcBorders>
              <w:top w:val="nil"/>
              <w:left w:val="nil"/>
              <w:bottom w:val="single" w:sz="4" w:space="0" w:color="auto"/>
              <w:right w:val="single" w:sz="4" w:space="0" w:color="auto"/>
            </w:tcBorders>
            <w:shd w:val="clear" w:color="000000" w:fill="E2EFDA"/>
            <w:vAlign w:val="center"/>
            <w:hideMark/>
          </w:tcPr>
          <w:p w14:paraId="51B6E648"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302" w:type="pct"/>
            <w:tcBorders>
              <w:top w:val="nil"/>
              <w:left w:val="nil"/>
              <w:bottom w:val="single" w:sz="4" w:space="0" w:color="auto"/>
              <w:right w:val="single" w:sz="4" w:space="0" w:color="auto"/>
            </w:tcBorders>
            <w:shd w:val="clear" w:color="000000" w:fill="E2EFDA"/>
            <w:vAlign w:val="center"/>
            <w:hideMark/>
          </w:tcPr>
          <w:p w14:paraId="70AD3C2F"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700,00</w:t>
            </w:r>
          </w:p>
        </w:tc>
        <w:tc>
          <w:tcPr>
            <w:tcW w:w="446" w:type="pct"/>
            <w:tcBorders>
              <w:top w:val="nil"/>
              <w:left w:val="nil"/>
              <w:bottom w:val="single" w:sz="4" w:space="0" w:color="auto"/>
              <w:right w:val="single" w:sz="4" w:space="0" w:color="auto"/>
            </w:tcBorders>
            <w:shd w:val="clear" w:color="000000" w:fill="E2EFDA"/>
            <w:vAlign w:val="center"/>
            <w:hideMark/>
          </w:tcPr>
          <w:p w14:paraId="40EAC3B8"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WEM, WAM (унапређење, прилагођавање)</w:t>
            </w:r>
          </w:p>
        </w:tc>
        <w:tc>
          <w:tcPr>
            <w:tcW w:w="354" w:type="pct"/>
            <w:tcBorders>
              <w:top w:val="nil"/>
              <w:left w:val="nil"/>
              <w:bottom w:val="single" w:sz="4" w:space="0" w:color="auto"/>
              <w:right w:val="single" w:sz="4" w:space="0" w:color="auto"/>
            </w:tcBorders>
            <w:shd w:val="clear" w:color="000000" w:fill="ED7D31"/>
            <w:vAlign w:val="center"/>
            <w:hideMark/>
          </w:tcPr>
          <w:p w14:paraId="0963525F"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350" w:type="pct"/>
            <w:tcBorders>
              <w:top w:val="nil"/>
              <w:left w:val="nil"/>
              <w:bottom w:val="single" w:sz="4" w:space="0" w:color="auto"/>
              <w:right w:val="single" w:sz="4" w:space="0" w:color="auto"/>
            </w:tcBorders>
            <w:shd w:val="clear" w:color="000000" w:fill="ED7D31"/>
            <w:vAlign w:val="center"/>
            <w:hideMark/>
          </w:tcPr>
          <w:p w14:paraId="425BC8E6"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700,00</w:t>
            </w:r>
          </w:p>
        </w:tc>
      </w:tr>
      <w:tr w:rsidR="005D7AD3" w:rsidRPr="005D7AD3" w14:paraId="2CDD5CD6"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15A8ADC3"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031EDDE5"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МП_Д22</w:t>
            </w:r>
          </w:p>
        </w:tc>
        <w:tc>
          <w:tcPr>
            <w:tcW w:w="1323" w:type="pct"/>
            <w:tcBorders>
              <w:top w:val="nil"/>
              <w:left w:val="nil"/>
              <w:bottom w:val="single" w:sz="4" w:space="0" w:color="auto"/>
              <w:right w:val="single" w:sz="4" w:space="0" w:color="auto"/>
            </w:tcBorders>
            <w:shd w:val="clear" w:color="auto" w:fill="auto"/>
            <w:vAlign w:val="center"/>
            <w:hideMark/>
          </w:tcPr>
          <w:p w14:paraId="52335BAE"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Пружање економске подршке иновативним и демонстрационим пилот пројектима ОИЕ</w:t>
            </w:r>
          </w:p>
        </w:tc>
        <w:tc>
          <w:tcPr>
            <w:tcW w:w="344" w:type="pct"/>
            <w:tcBorders>
              <w:top w:val="nil"/>
              <w:left w:val="nil"/>
              <w:bottom w:val="single" w:sz="4" w:space="0" w:color="auto"/>
              <w:right w:val="single" w:sz="4" w:space="0" w:color="auto"/>
            </w:tcBorders>
            <w:shd w:val="clear" w:color="auto" w:fill="auto"/>
            <w:vAlign w:val="center"/>
            <w:hideMark/>
          </w:tcPr>
          <w:p w14:paraId="1750F29D"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177837B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интегрисана у МП_Д21</w:t>
            </w:r>
          </w:p>
        </w:tc>
        <w:tc>
          <w:tcPr>
            <w:tcW w:w="447" w:type="pct"/>
            <w:tcBorders>
              <w:top w:val="nil"/>
              <w:left w:val="nil"/>
              <w:bottom w:val="single" w:sz="4" w:space="0" w:color="auto"/>
              <w:right w:val="single" w:sz="4" w:space="0" w:color="auto"/>
            </w:tcBorders>
            <w:shd w:val="clear" w:color="000000" w:fill="595959"/>
            <w:vAlign w:val="center"/>
            <w:hideMark/>
          </w:tcPr>
          <w:p w14:paraId="79FD6627"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19" w:type="pct"/>
            <w:tcBorders>
              <w:top w:val="nil"/>
              <w:left w:val="nil"/>
              <w:bottom w:val="single" w:sz="4" w:space="0" w:color="auto"/>
              <w:right w:val="single" w:sz="4" w:space="0" w:color="auto"/>
            </w:tcBorders>
            <w:shd w:val="clear" w:color="000000" w:fill="595959"/>
            <w:vAlign w:val="center"/>
            <w:hideMark/>
          </w:tcPr>
          <w:p w14:paraId="0944D2BE"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02" w:type="pct"/>
            <w:tcBorders>
              <w:top w:val="nil"/>
              <w:left w:val="nil"/>
              <w:bottom w:val="single" w:sz="4" w:space="0" w:color="auto"/>
              <w:right w:val="single" w:sz="4" w:space="0" w:color="auto"/>
            </w:tcBorders>
            <w:shd w:val="clear" w:color="000000" w:fill="595959"/>
            <w:noWrap/>
            <w:vAlign w:val="bottom"/>
            <w:hideMark/>
          </w:tcPr>
          <w:p w14:paraId="30557E25"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6" w:type="pct"/>
            <w:tcBorders>
              <w:top w:val="nil"/>
              <w:left w:val="nil"/>
              <w:bottom w:val="single" w:sz="4" w:space="0" w:color="auto"/>
              <w:right w:val="single" w:sz="4" w:space="0" w:color="auto"/>
            </w:tcBorders>
            <w:shd w:val="clear" w:color="000000" w:fill="E2EFDA"/>
            <w:vAlign w:val="center"/>
            <w:hideMark/>
          </w:tcPr>
          <w:p w14:paraId="5AD510FB"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WAM</w:t>
            </w:r>
          </w:p>
        </w:tc>
        <w:tc>
          <w:tcPr>
            <w:tcW w:w="354" w:type="pct"/>
            <w:tcBorders>
              <w:top w:val="nil"/>
              <w:left w:val="nil"/>
              <w:bottom w:val="single" w:sz="4" w:space="0" w:color="auto"/>
              <w:right w:val="single" w:sz="4" w:space="0" w:color="auto"/>
            </w:tcBorders>
            <w:shd w:val="clear" w:color="000000" w:fill="595959"/>
            <w:vAlign w:val="center"/>
            <w:hideMark/>
          </w:tcPr>
          <w:p w14:paraId="3AF94839"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50" w:type="pct"/>
            <w:tcBorders>
              <w:top w:val="nil"/>
              <w:left w:val="nil"/>
              <w:bottom w:val="single" w:sz="4" w:space="0" w:color="auto"/>
              <w:right w:val="single" w:sz="4" w:space="0" w:color="auto"/>
            </w:tcBorders>
            <w:shd w:val="clear" w:color="000000" w:fill="595959"/>
            <w:noWrap/>
            <w:vAlign w:val="bottom"/>
            <w:hideMark/>
          </w:tcPr>
          <w:p w14:paraId="085480C9"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r>
      <w:tr w:rsidR="005D7AD3" w:rsidRPr="005D7AD3" w14:paraId="351373B0"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433F51F6"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6F382A7F"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МП_Д23</w:t>
            </w:r>
          </w:p>
        </w:tc>
        <w:tc>
          <w:tcPr>
            <w:tcW w:w="1323" w:type="pct"/>
            <w:tcBorders>
              <w:top w:val="nil"/>
              <w:left w:val="nil"/>
              <w:bottom w:val="single" w:sz="4" w:space="0" w:color="auto"/>
              <w:right w:val="single" w:sz="4" w:space="0" w:color="auto"/>
            </w:tcBorders>
            <w:shd w:val="clear" w:color="auto" w:fill="auto"/>
            <w:vAlign w:val="center"/>
            <w:hideMark/>
          </w:tcPr>
          <w:p w14:paraId="58C34C10"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Подстицање додатног коришћења гаранција порекла за енергију из ОИЕ у свим облицима финалне потрошње</w:t>
            </w:r>
          </w:p>
        </w:tc>
        <w:tc>
          <w:tcPr>
            <w:tcW w:w="344" w:type="pct"/>
            <w:tcBorders>
              <w:top w:val="nil"/>
              <w:left w:val="nil"/>
              <w:bottom w:val="single" w:sz="4" w:space="0" w:color="auto"/>
              <w:right w:val="single" w:sz="4" w:space="0" w:color="auto"/>
            </w:tcBorders>
            <w:shd w:val="clear" w:color="auto" w:fill="auto"/>
            <w:vAlign w:val="center"/>
            <w:hideMark/>
          </w:tcPr>
          <w:p w14:paraId="5749DA74"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xml:space="preserve">Реформа </w:t>
            </w:r>
          </w:p>
        </w:tc>
        <w:tc>
          <w:tcPr>
            <w:tcW w:w="368" w:type="pct"/>
            <w:tcBorders>
              <w:top w:val="nil"/>
              <w:left w:val="nil"/>
              <w:bottom w:val="single" w:sz="4" w:space="0" w:color="auto"/>
              <w:right w:val="single" w:sz="4" w:space="0" w:color="auto"/>
            </w:tcBorders>
            <w:shd w:val="clear" w:color="auto" w:fill="auto"/>
            <w:vAlign w:val="center"/>
            <w:hideMark/>
          </w:tcPr>
          <w:p w14:paraId="474E6969"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262EAFBF"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0,10</w:t>
            </w:r>
          </w:p>
        </w:tc>
        <w:tc>
          <w:tcPr>
            <w:tcW w:w="319" w:type="pct"/>
            <w:tcBorders>
              <w:top w:val="nil"/>
              <w:left w:val="nil"/>
              <w:bottom w:val="single" w:sz="4" w:space="0" w:color="auto"/>
              <w:right w:val="single" w:sz="4" w:space="0" w:color="auto"/>
            </w:tcBorders>
            <w:shd w:val="clear" w:color="000000" w:fill="E2EFDA"/>
            <w:vAlign w:val="center"/>
            <w:hideMark/>
          </w:tcPr>
          <w:p w14:paraId="6818FA9E"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0,10</w:t>
            </w:r>
          </w:p>
        </w:tc>
        <w:tc>
          <w:tcPr>
            <w:tcW w:w="302" w:type="pct"/>
            <w:tcBorders>
              <w:top w:val="nil"/>
              <w:left w:val="nil"/>
              <w:bottom w:val="single" w:sz="4" w:space="0" w:color="auto"/>
              <w:right w:val="single" w:sz="4" w:space="0" w:color="auto"/>
            </w:tcBorders>
            <w:shd w:val="clear" w:color="000000" w:fill="E2EFDA"/>
            <w:vAlign w:val="center"/>
            <w:hideMark/>
          </w:tcPr>
          <w:p w14:paraId="21535D23"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2EFDA"/>
            <w:vAlign w:val="center"/>
            <w:hideMark/>
          </w:tcPr>
          <w:p w14:paraId="1628C41C"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WEM</w:t>
            </w:r>
          </w:p>
        </w:tc>
        <w:tc>
          <w:tcPr>
            <w:tcW w:w="354" w:type="pct"/>
            <w:tcBorders>
              <w:top w:val="nil"/>
              <w:left w:val="nil"/>
              <w:bottom w:val="single" w:sz="4" w:space="0" w:color="auto"/>
              <w:right w:val="single" w:sz="4" w:space="0" w:color="auto"/>
            </w:tcBorders>
            <w:shd w:val="clear" w:color="000000" w:fill="E2EFDA"/>
            <w:vAlign w:val="center"/>
            <w:hideMark/>
          </w:tcPr>
          <w:p w14:paraId="34F82915"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0,10</w:t>
            </w:r>
          </w:p>
        </w:tc>
        <w:tc>
          <w:tcPr>
            <w:tcW w:w="350" w:type="pct"/>
            <w:tcBorders>
              <w:top w:val="nil"/>
              <w:left w:val="nil"/>
              <w:bottom w:val="single" w:sz="4" w:space="0" w:color="auto"/>
              <w:right w:val="single" w:sz="4" w:space="0" w:color="auto"/>
            </w:tcBorders>
            <w:shd w:val="clear" w:color="000000" w:fill="E2EFDA"/>
            <w:vAlign w:val="center"/>
            <w:hideMark/>
          </w:tcPr>
          <w:p w14:paraId="2F4CEC56"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r>
      <w:tr w:rsidR="005D7AD3" w:rsidRPr="005D7AD3" w14:paraId="18A75DC4"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4649F59D"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1E60573D"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МП_Д24</w:t>
            </w:r>
          </w:p>
        </w:tc>
        <w:tc>
          <w:tcPr>
            <w:tcW w:w="1323" w:type="pct"/>
            <w:tcBorders>
              <w:top w:val="nil"/>
              <w:left w:val="nil"/>
              <w:bottom w:val="single" w:sz="4" w:space="0" w:color="auto"/>
              <w:right w:val="single" w:sz="4" w:space="0" w:color="auto"/>
            </w:tcBorders>
            <w:shd w:val="clear" w:color="auto" w:fill="auto"/>
            <w:vAlign w:val="center"/>
            <w:hideMark/>
          </w:tcPr>
          <w:p w14:paraId="70FF7269"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Ажурирање, поједностављивање и оптимизација поступака издавања одобрења, сертификата, дозвола и лиценци – успостављањем једношалтерског система (one-stop-shop)</w:t>
            </w:r>
          </w:p>
        </w:tc>
        <w:tc>
          <w:tcPr>
            <w:tcW w:w="344" w:type="pct"/>
            <w:tcBorders>
              <w:top w:val="nil"/>
              <w:left w:val="nil"/>
              <w:bottom w:val="single" w:sz="4" w:space="0" w:color="auto"/>
              <w:right w:val="single" w:sz="4" w:space="0" w:color="auto"/>
            </w:tcBorders>
            <w:shd w:val="clear" w:color="auto" w:fill="auto"/>
            <w:vAlign w:val="center"/>
            <w:hideMark/>
          </w:tcPr>
          <w:p w14:paraId="12D50947"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xml:space="preserve">Реформа </w:t>
            </w:r>
          </w:p>
        </w:tc>
        <w:tc>
          <w:tcPr>
            <w:tcW w:w="368" w:type="pct"/>
            <w:tcBorders>
              <w:top w:val="nil"/>
              <w:left w:val="nil"/>
              <w:bottom w:val="single" w:sz="4" w:space="0" w:color="auto"/>
              <w:right w:val="single" w:sz="4" w:space="0" w:color="auto"/>
            </w:tcBorders>
            <w:shd w:val="clear" w:color="auto" w:fill="auto"/>
            <w:vAlign w:val="center"/>
            <w:hideMark/>
          </w:tcPr>
          <w:p w14:paraId="11D1A843"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3330C00C"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0,20</w:t>
            </w:r>
          </w:p>
        </w:tc>
        <w:tc>
          <w:tcPr>
            <w:tcW w:w="319" w:type="pct"/>
            <w:tcBorders>
              <w:top w:val="nil"/>
              <w:left w:val="nil"/>
              <w:bottom w:val="single" w:sz="4" w:space="0" w:color="auto"/>
              <w:right w:val="single" w:sz="4" w:space="0" w:color="auto"/>
            </w:tcBorders>
            <w:shd w:val="clear" w:color="000000" w:fill="E2EFDA"/>
            <w:vAlign w:val="center"/>
            <w:hideMark/>
          </w:tcPr>
          <w:p w14:paraId="70445E8E"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0,20</w:t>
            </w:r>
          </w:p>
        </w:tc>
        <w:tc>
          <w:tcPr>
            <w:tcW w:w="302" w:type="pct"/>
            <w:tcBorders>
              <w:top w:val="nil"/>
              <w:left w:val="nil"/>
              <w:bottom w:val="single" w:sz="4" w:space="0" w:color="auto"/>
              <w:right w:val="single" w:sz="4" w:space="0" w:color="auto"/>
            </w:tcBorders>
            <w:shd w:val="clear" w:color="000000" w:fill="E2EFDA"/>
            <w:vAlign w:val="center"/>
            <w:hideMark/>
          </w:tcPr>
          <w:p w14:paraId="09EC5165"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2EFDA"/>
            <w:vAlign w:val="center"/>
            <w:hideMark/>
          </w:tcPr>
          <w:p w14:paraId="49FB411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WAM</w:t>
            </w:r>
          </w:p>
        </w:tc>
        <w:tc>
          <w:tcPr>
            <w:tcW w:w="354" w:type="pct"/>
            <w:tcBorders>
              <w:top w:val="nil"/>
              <w:left w:val="nil"/>
              <w:bottom w:val="single" w:sz="4" w:space="0" w:color="auto"/>
              <w:right w:val="single" w:sz="4" w:space="0" w:color="auto"/>
            </w:tcBorders>
            <w:shd w:val="clear" w:color="000000" w:fill="E2EFDA"/>
            <w:vAlign w:val="center"/>
            <w:hideMark/>
          </w:tcPr>
          <w:p w14:paraId="46FC1DEA"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350" w:type="pct"/>
            <w:tcBorders>
              <w:top w:val="nil"/>
              <w:left w:val="nil"/>
              <w:bottom w:val="single" w:sz="4" w:space="0" w:color="auto"/>
              <w:right w:val="single" w:sz="4" w:space="0" w:color="auto"/>
            </w:tcBorders>
            <w:shd w:val="clear" w:color="000000" w:fill="E2EFDA"/>
            <w:vAlign w:val="center"/>
            <w:hideMark/>
          </w:tcPr>
          <w:p w14:paraId="511473B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0,20</w:t>
            </w:r>
          </w:p>
        </w:tc>
      </w:tr>
      <w:tr w:rsidR="005D7AD3" w:rsidRPr="005D7AD3" w14:paraId="1A80A67F"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67C4E378"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07576670"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МП_Д25</w:t>
            </w:r>
          </w:p>
        </w:tc>
        <w:tc>
          <w:tcPr>
            <w:tcW w:w="1323" w:type="pct"/>
            <w:tcBorders>
              <w:top w:val="nil"/>
              <w:left w:val="nil"/>
              <w:bottom w:val="single" w:sz="4" w:space="0" w:color="auto"/>
              <w:right w:val="single" w:sz="4" w:space="0" w:color="auto"/>
            </w:tcBorders>
            <w:shd w:val="clear" w:color="auto" w:fill="auto"/>
            <w:vAlign w:val="center"/>
            <w:hideMark/>
          </w:tcPr>
          <w:p w14:paraId="3F01831F"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Ажурирање, поједностављивање и оптимизација поступака прикључења на мрежу и утврђивање детаљне методологије и правила расподеле трошкова прикључења ОИЕ на мрежу</w:t>
            </w:r>
          </w:p>
        </w:tc>
        <w:tc>
          <w:tcPr>
            <w:tcW w:w="344" w:type="pct"/>
            <w:tcBorders>
              <w:top w:val="nil"/>
              <w:left w:val="nil"/>
              <w:bottom w:val="single" w:sz="4" w:space="0" w:color="auto"/>
              <w:right w:val="single" w:sz="4" w:space="0" w:color="auto"/>
            </w:tcBorders>
            <w:shd w:val="clear" w:color="auto" w:fill="auto"/>
            <w:vAlign w:val="center"/>
            <w:hideMark/>
          </w:tcPr>
          <w:p w14:paraId="38100B16"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xml:space="preserve">Реформа </w:t>
            </w:r>
          </w:p>
        </w:tc>
        <w:tc>
          <w:tcPr>
            <w:tcW w:w="368" w:type="pct"/>
            <w:tcBorders>
              <w:top w:val="nil"/>
              <w:left w:val="nil"/>
              <w:bottom w:val="single" w:sz="4" w:space="0" w:color="auto"/>
              <w:right w:val="single" w:sz="4" w:space="0" w:color="auto"/>
            </w:tcBorders>
            <w:shd w:val="clear" w:color="auto" w:fill="auto"/>
            <w:vAlign w:val="center"/>
            <w:hideMark/>
          </w:tcPr>
          <w:p w14:paraId="5A862820"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67BE4B5C"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0,10</w:t>
            </w:r>
          </w:p>
        </w:tc>
        <w:tc>
          <w:tcPr>
            <w:tcW w:w="319" w:type="pct"/>
            <w:tcBorders>
              <w:top w:val="nil"/>
              <w:left w:val="nil"/>
              <w:bottom w:val="single" w:sz="4" w:space="0" w:color="auto"/>
              <w:right w:val="single" w:sz="4" w:space="0" w:color="auto"/>
            </w:tcBorders>
            <w:shd w:val="clear" w:color="000000" w:fill="E2EFDA"/>
            <w:vAlign w:val="center"/>
            <w:hideMark/>
          </w:tcPr>
          <w:p w14:paraId="0A5DEC4E"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0,10</w:t>
            </w:r>
          </w:p>
        </w:tc>
        <w:tc>
          <w:tcPr>
            <w:tcW w:w="302" w:type="pct"/>
            <w:tcBorders>
              <w:top w:val="nil"/>
              <w:left w:val="nil"/>
              <w:bottom w:val="single" w:sz="4" w:space="0" w:color="auto"/>
              <w:right w:val="single" w:sz="4" w:space="0" w:color="auto"/>
            </w:tcBorders>
            <w:shd w:val="clear" w:color="000000" w:fill="E2EFDA"/>
            <w:vAlign w:val="center"/>
            <w:hideMark/>
          </w:tcPr>
          <w:p w14:paraId="503F24AE"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2EFDA"/>
            <w:vAlign w:val="center"/>
            <w:hideMark/>
          </w:tcPr>
          <w:p w14:paraId="216F17D5"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WAM</w:t>
            </w:r>
          </w:p>
        </w:tc>
        <w:tc>
          <w:tcPr>
            <w:tcW w:w="354" w:type="pct"/>
            <w:tcBorders>
              <w:top w:val="nil"/>
              <w:left w:val="nil"/>
              <w:bottom w:val="single" w:sz="4" w:space="0" w:color="auto"/>
              <w:right w:val="single" w:sz="4" w:space="0" w:color="auto"/>
            </w:tcBorders>
            <w:shd w:val="clear" w:color="000000" w:fill="E2EFDA"/>
            <w:vAlign w:val="center"/>
            <w:hideMark/>
          </w:tcPr>
          <w:p w14:paraId="3DF1FA14"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350" w:type="pct"/>
            <w:tcBorders>
              <w:top w:val="nil"/>
              <w:left w:val="nil"/>
              <w:bottom w:val="single" w:sz="4" w:space="0" w:color="auto"/>
              <w:right w:val="single" w:sz="4" w:space="0" w:color="auto"/>
            </w:tcBorders>
            <w:shd w:val="clear" w:color="000000" w:fill="E2EFDA"/>
            <w:vAlign w:val="center"/>
            <w:hideMark/>
          </w:tcPr>
          <w:p w14:paraId="0713B7D9"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0,10</w:t>
            </w:r>
          </w:p>
        </w:tc>
      </w:tr>
      <w:tr w:rsidR="005D7AD3" w:rsidRPr="005D7AD3" w14:paraId="7606BDE0"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5480257C"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532AED99"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МП_Д26</w:t>
            </w:r>
          </w:p>
        </w:tc>
        <w:tc>
          <w:tcPr>
            <w:tcW w:w="1323" w:type="pct"/>
            <w:tcBorders>
              <w:top w:val="nil"/>
              <w:left w:val="nil"/>
              <w:bottom w:val="single" w:sz="4" w:space="0" w:color="auto"/>
              <w:right w:val="single" w:sz="4" w:space="0" w:color="auto"/>
            </w:tcBorders>
            <w:shd w:val="clear" w:color="auto" w:fill="auto"/>
            <w:vAlign w:val="center"/>
            <w:hideMark/>
          </w:tcPr>
          <w:p w14:paraId="30E9E179"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Подстицање производње електричне енергије за сопствене потребе</w:t>
            </w:r>
          </w:p>
        </w:tc>
        <w:tc>
          <w:tcPr>
            <w:tcW w:w="344" w:type="pct"/>
            <w:tcBorders>
              <w:top w:val="nil"/>
              <w:left w:val="nil"/>
              <w:bottom w:val="single" w:sz="4" w:space="0" w:color="auto"/>
              <w:right w:val="single" w:sz="4" w:space="0" w:color="auto"/>
            </w:tcBorders>
            <w:shd w:val="clear" w:color="auto" w:fill="auto"/>
            <w:vAlign w:val="center"/>
            <w:hideMark/>
          </w:tcPr>
          <w:p w14:paraId="177B9F19"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7C934823"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интегрисана у МП_Д21</w:t>
            </w:r>
          </w:p>
        </w:tc>
        <w:tc>
          <w:tcPr>
            <w:tcW w:w="447" w:type="pct"/>
            <w:tcBorders>
              <w:top w:val="nil"/>
              <w:left w:val="nil"/>
              <w:bottom w:val="single" w:sz="4" w:space="0" w:color="auto"/>
              <w:right w:val="single" w:sz="4" w:space="0" w:color="auto"/>
            </w:tcBorders>
            <w:shd w:val="clear" w:color="000000" w:fill="595959"/>
            <w:vAlign w:val="center"/>
            <w:hideMark/>
          </w:tcPr>
          <w:p w14:paraId="3943608D"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19" w:type="pct"/>
            <w:tcBorders>
              <w:top w:val="nil"/>
              <w:left w:val="nil"/>
              <w:bottom w:val="single" w:sz="4" w:space="0" w:color="auto"/>
              <w:right w:val="single" w:sz="4" w:space="0" w:color="auto"/>
            </w:tcBorders>
            <w:shd w:val="clear" w:color="000000" w:fill="595959"/>
            <w:vAlign w:val="center"/>
            <w:hideMark/>
          </w:tcPr>
          <w:p w14:paraId="68DBC22F"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02" w:type="pct"/>
            <w:tcBorders>
              <w:top w:val="nil"/>
              <w:left w:val="nil"/>
              <w:bottom w:val="single" w:sz="4" w:space="0" w:color="auto"/>
              <w:right w:val="single" w:sz="4" w:space="0" w:color="auto"/>
            </w:tcBorders>
            <w:shd w:val="clear" w:color="000000" w:fill="595959"/>
            <w:noWrap/>
            <w:vAlign w:val="bottom"/>
            <w:hideMark/>
          </w:tcPr>
          <w:p w14:paraId="51B5716B"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6" w:type="pct"/>
            <w:tcBorders>
              <w:top w:val="nil"/>
              <w:left w:val="nil"/>
              <w:bottom w:val="single" w:sz="4" w:space="0" w:color="auto"/>
              <w:right w:val="single" w:sz="4" w:space="0" w:color="auto"/>
            </w:tcBorders>
            <w:shd w:val="clear" w:color="000000" w:fill="E2EFDA"/>
            <w:vAlign w:val="center"/>
            <w:hideMark/>
          </w:tcPr>
          <w:p w14:paraId="38CD08BD"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WAM</w:t>
            </w:r>
          </w:p>
        </w:tc>
        <w:tc>
          <w:tcPr>
            <w:tcW w:w="354" w:type="pct"/>
            <w:tcBorders>
              <w:top w:val="nil"/>
              <w:left w:val="nil"/>
              <w:bottom w:val="single" w:sz="4" w:space="0" w:color="auto"/>
              <w:right w:val="single" w:sz="4" w:space="0" w:color="auto"/>
            </w:tcBorders>
            <w:shd w:val="clear" w:color="000000" w:fill="595959"/>
            <w:vAlign w:val="center"/>
            <w:hideMark/>
          </w:tcPr>
          <w:p w14:paraId="2CD4FF98"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50" w:type="pct"/>
            <w:tcBorders>
              <w:top w:val="nil"/>
              <w:left w:val="nil"/>
              <w:bottom w:val="single" w:sz="4" w:space="0" w:color="auto"/>
              <w:right w:val="single" w:sz="4" w:space="0" w:color="auto"/>
            </w:tcBorders>
            <w:shd w:val="clear" w:color="000000" w:fill="595959"/>
            <w:noWrap/>
            <w:vAlign w:val="bottom"/>
            <w:hideMark/>
          </w:tcPr>
          <w:p w14:paraId="025E4842"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r>
      <w:tr w:rsidR="005D7AD3" w:rsidRPr="005D7AD3" w14:paraId="2DCC5DD1"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7BAF3987"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0C3EEA41"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МП_Д27</w:t>
            </w:r>
          </w:p>
        </w:tc>
        <w:tc>
          <w:tcPr>
            <w:tcW w:w="1323" w:type="pct"/>
            <w:tcBorders>
              <w:top w:val="nil"/>
              <w:left w:val="nil"/>
              <w:bottom w:val="single" w:sz="4" w:space="0" w:color="auto"/>
              <w:right w:val="single" w:sz="4" w:space="0" w:color="auto"/>
            </w:tcBorders>
            <w:shd w:val="clear" w:color="auto" w:fill="auto"/>
            <w:vAlign w:val="center"/>
            <w:hideMark/>
          </w:tcPr>
          <w:p w14:paraId="64AD7CFA"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Вођење јавно доступног регистра за произвођаче електричне енергије из ОИЕ</w:t>
            </w:r>
          </w:p>
        </w:tc>
        <w:tc>
          <w:tcPr>
            <w:tcW w:w="344" w:type="pct"/>
            <w:tcBorders>
              <w:top w:val="nil"/>
              <w:left w:val="nil"/>
              <w:bottom w:val="single" w:sz="4" w:space="0" w:color="auto"/>
              <w:right w:val="single" w:sz="4" w:space="0" w:color="auto"/>
            </w:tcBorders>
            <w:shd w:val="clear" w:color="auto" w:fill="auto"/>
            <w:vAlign w:val="center"/>
            <w:hideMark/>
          </w:tcPr>
          <w:p w14:paraId="6EA079F4"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xml:space="preserve">Реформа </w:t>
            </w:r>
          </w:p>
        </w:tc>
        <w:tc>
          <w:tcPr>
            <w:tcW w:w="368" w:type="pct"/>
            <w:tcBorders>
              <w:top w:val="nil"/>
              <w:left w:val="nil"/>
              <w:bottom w:val="single" w:sz="4" w:space="0" w:color="auto"/>
              <w:right w:val="single" w:sz="4" w:space="0" w:color="auto"/>
            </w:tcBorders>
            <w:shd w:val="clear" w:color="auto" w:fill="auto"/>
            <w:vAlign w:val="center"/>
            <w:hideMark/>
          </w:tcPr>
          <w:p w14:paraId="1D737E81"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72C8CDE3"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0,50</w:t>
            </w:r>
          </w:p>
        </w:tc>
        <w:tc>
          <w:tcPr>
            <w:tcW w:w="319" w:type="pct"/>
            <w:tcBorders>
              <w:top w:val="nil"/>
              <w:left w:val="nil"/>
              <w:bottom w:val="single" w:sz="4" w:space="0" w:color="auto"/>
              <w:right w:val="single" w:sz="4" w:space="0" w:color="auto"/>
            </w:tcBorders>
            <w:shd w:val="clear" w:color="000000" w:fill="E2EFDA"/>
            <w:vAlign w:val="center"/>
            <w:hideMark/>
          </w:tcPr>
          <w:p w14:paraId="1C8F720E"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0,50</w:t>
            </w:r>
          </w:p>
        </w:tc>
        <w:tc>
          <w:tcPr>
            <w:tcW w:w="302" w:type="pct"/>
            <w:tcBorders>
              <w:top w:val="nil"/>
              <w:left w:val="nil"/>
              <w:bottom w:val="single" w:sz="4" w:space="0" w:color="auto"/>
              <w:right w:val="single" w:sz="4" w:space="0" w:color="auto"/>
            </w:tcBorders>
            <w:shd w:val="clear" w:color="000000" w:fill="E2EFDA"/>
            <w:vAlign w:val="center"/>
            <w:hideMark/>
          </w:tcPr>
          <w:p w14:paraId="46174ED7"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2EFDA"/>
            <w:vAlign w:val="center"/>
            <w:hideMark/>
          </w:tcPr>
          <w:p w14:paraId="07385A16"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WEM, WAM (унапређење, прилагођавање)</w:t>
            </w:r>
          </w:p>
        </w:tc>
        <w:tc>
          <w:tcPr>
            <w:tcW w:w="354" w:type="pct"/>
            <w:tcBorders>
              <w:top w:val="nil"/>
              <w:left w:val="nil"/>
              <w:bottom w:val="single" w:sz="4" w:space="0" w:color="auto"/>
              <w:right w:val="single" w:sz="4" w:space="0" w:color="auto"/>
            </w:tcBorders>
            <w:shd w:val="clear" w:color="000000" w:fill="E2EFDA"/>
            <w:vAlign w:val="center"/>
            <w:hideMark/>
          </w:tcPr>
          <w:p w14:paraId="17E4B884"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0,50</w:t>
            </w:r>
          </w:p>
        </w:tc>
        <w:tc>
          <w:tcPr>
            <w:tcW w:w="350" w:type="pct"/>
            <w:tcBorders>
              <w:top w:val="nil"/>
              <w:left w:val="nil"/>
              <w:bottom w:val="single" w:sz="4" w:space="0" w:color="auto"/>
              <w:right w:val="single" w:sz="4" w:space="0" w:color="auto"/>
            </w:tcBorders>
            <w:shd w:val="clear" w:color="000000" w:fill="E2EFDA"/>
            <w:vAlign w:val="center"/>
            <w:hideMark/>
          </w:tcPr>
          <w:p w14:paraId="3C874E1C"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r>
      <w:tr w:rsidR="005D7AD3" w:rsidRPr="005D7AD3" w14:paraId="65398C0C"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1437E602"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3F7F8E5A"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МП_Д28</w:t>
            </w:r>
          </w:p>
        </w:tc>
        <w:tc>
          <w:tcPr>
            <w:tcW w:w="1323" w:type="pct"/>
            <w:tcBorders>
              <w:top w:val="nil"/>
              <w:left w:val="nil"/>
              <w:bottom w:val="single" w:sz="4" w:space="0" w:color="auto"/>
              <w:right w:val="single" w:sz="4" w:space="0" w:color="auto"/>
            </w:tcBorders>
            <w:shd w:val="clear" w:color="auto" w:fill="auto"/>
            <w:vAlign w:val="center"/>
            <w:hideMark/>
          </w:tcPr>
          <w:p w14:paraId="1B84F24E"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Адаптација, унапређење и проширење мрежа како би се избегла загушења и омогућило оптимално учешће ОИЕ</w:t>
            </w:r>
          </w:p>
        </w:tc>
        <w:tc>
          <w:tcPr>
            <w:tcW w:w="344" w:type="pct"/>
            <w:tcBorders>
              <w:top w:val="nil"/>
              <w:left w:val="nil"/>
              <w:bottom w:val="single" w:sz="4" w:space="0" w:color="auto"/>
              <w:right w:val="single" w:sz="4" w:space="0" w:color="auto"/>
            </w:tcBorders>
            <w:shd w:val="clear" w:color="auto" w:fill="auto"/>
            <w:vAlign w:val="center"/>
            <w:hideMark/>
          </w:tcPr>
          <w:p w14:paraId="56506B7B"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xml:space="preserve">Реформа </w:t>
            </w:r>
          </w:p>
        </w:tc>
        <w:tc>
          <w:tcPr>
            <w:tcW w:w="368" w:type="pct"/>
            <w:tcBorders>
              <w:top w:val="nil"/>
              <w:left w:val="nil"/>
              <w:bottom w:val="single" w:sz="4" w:space="0" w:color="auto"/>
              <w:right w:val="single" w:sz="4" w:space="0" w:color="auto"/>
            </w:tcBorders>
            <w:shd w:val="clear" w:color="auto" w:fill="auto"/>
            <w:vAlign w:val="center"/>
            <w:hideMark/>
          </w:tcPr>
          <w:p w14:paraId="66384305"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D7D31"/>
            <w:vAlign w:val="center"/>
            <w:hideMark/>
          </w:tcPr>
          <w:p w14:paraId="177001E4"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у разматрању</w:t>
            </w:r>
          </w:p>
        </w:tc>
        <w:tc>
          <w:tcPr>
            <w:tcW w:w="319" w:type="pct"/>
            <w:tcBorders>
              <w:top w:val="nil"/>
              <w:left w:val="nil"/>
              <w:bottom w:val="single" w:sz="4" w:space="0" w:color="auto"/>
              <w:right w:val="single" w:sz="4" w:space="0" w:color="auto"/>
            </w:tcBorders>
            <w:shd w:val="clear" w:color="000000" w:fill="ED7D31"/>
            <w:vAlign w:val="center"/>
            <w:hideMark/>
          </w:tcPr>
          <w:p w14:paraId="3F0550F5"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02" w:type="pct"/>
            <w:tcBorders>
              <w:top w:val="nil"/>
              <w:left w:val="nil"/>
              <w:bottom w:val="single" w:sz="4" w:space="0" w:color="auto"/>
              <w:right w:val="single" w:sz="4" w:space="0" w:color="auto"/>
            </w:tcBorders>
            <w:shd w:val="clear" w:color="000000" w:fill="ED7D31"/>
            <w:vAlign w:val="center"/>
            <w:hideMark/>
          </w:tcPr>
          <w:p w14:paraId="49FFABA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6" w:type="pct"/>
            <w:tcBorders>
              <w:top w:val="nil"/>
              <w:left w:val="nil"/>
              <w:bottom w:val="single" w:sz="4" w:space="0" w:color="auto"/>
              <w:right w:val="single" w:sz="4" w:space="0" w:color="auto"/>
            </w:tcBorders>
            <w:shd w:val="clear" w:color="000000" w:fill="E2EFDA"/>
            <w:vAlign w:val="center"/>
            <w:hideMark/>
          </w:tcPr>
          <w:p w14:paraId="70683D84"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WAM</w:t>
            </w:r>
          </w:p>
        </w:tc>
        <w:tc>
          <w:tcPr>
            <w:tcW w:w="354" w:type="pct"/>
            <w:tcBorders>
              <w:top w:val="nil"/>
              <w:left w:val="nil"/>
              <w:bottom w:val="single" w:sz="4" w:space="0" w:color="auto"/>
              <w:right w:val="single" w:sz="4" w:space="0" w:color="auto"/>
            </w:tcBorders>
            <w:shd w:val="clear" w:color="000000" w:fill="E2EFDA"/>
            <w:vAlign w:val="center"/>
            <w:hideMark/>
          </w:tcPr>
          <w:p w14:paraId="6A0CDEB9"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350" w:type="pct"/>
            <w:tcBorders>
              <w:top w:val="nil"/>
              <w:left w:val="nil"/>
              <w:bottom w:val="single" w:sz="4" w:space="0" w:color="auto"/>
              <w:right w:val="single" w:sz="4" w:space="0" w:color="auto"/>
            </w:tcBorders>
            <w:shd w:val="clear" w:color="000000" w:fill="ED7D31"/>
            <w:vAlign w:val="center"/>
            <w:hideMark/>
          </w:tcPr>
          <w:p w14:paraId="0AC93D19"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r>
      <w:tr w:rsidR="005D7AD3" w:rsidRPr="005D7AD3" w14:paraId="36B03F4C"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6BBE8964"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07A9A3CA"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МП_Д29</w:t>
            </w:r>
          </w:p>
        </w:tc>
        <w:tc>
          <w:tcPr>
            <w:tcW w:w="1323" w:type="pct"/>
            <w:tcBorders>
              <w:top w:val="nil"/>
              <w:left w:val="nil"/>
              <w:bottom w:val="single" w:sz="4" w:space="0" w:color="auto"/>
              <w:right w:val="single" w:sz="4" w:space="0" w:color="auto"/>
            </w:tcBorders>
            <w:shd w:val="clear" w:color="auto" w:fill="auto"/>
            <w:vAlign w:val="center"/>
            <w:hideMark/>
          </w:tcPr>
          <w:p w14:paraId="11FD2393"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Подстицање ОИЕ за грејање и хлађење у новим и санираним зградама</w:t>
            </w:r>
          </w:p>
        </w:tc>
        <w:tc>
          <w:tcPr>
            <w:tcW w:w="344" w:type="pct"/>
            <w:tcBorders>
              <w:top w:val="nil"/>
              <w:left w:val="nil"/>
              <w:bottom w:val="single" w:sz="4" w:space="0" w:color="auto"/>
              <w:right w:val="single" w:sz="4" w:space="0" w:color="auto"/>
            </w:tcBorders>
            <w:shd w:val="clear" w:color="auto" w:fill="auto"/>
            <w:vAlign w:val="center"/>
            <w:hideMark/>
          </w:tcPr>
          <w:p w14:paraId="374A71CE"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3DFCB68A" w14:textId="6FCD8628"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Буџет интегрисан у мере диманзије енергетска ефикасност (МП_EE1-МП_EE8)</w:t>
            </w:r>
          </w:p>
        </w:tc>
        <w:tc>
          <w:tcPr>
            <w:tcW w:w="447" w:type="pct"/>
            <w:tcBorders>
              <w:top w:val="nil"/>
              <w:left w:val="nil"/>
              <w:bottom w:val="single" w:sz="4" w:space="0" w:color="auto"/>
              <w:right w:val="single" w:sz="4" w:space="0" w:color="auto"/>
            </w:tcBorders>
            <w:shd w:val="clear" w:color="000000" w:fill="595959"/>
            <w:vAlign w:val="center"/>
            <w:hideMark/>
          </w:tcPr>
          <w:p w14:paraId="22F3A9A5"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19" w:type="pct"/>
            <w:tcBorders>
              <w:top w:val="nil"/>
              <w:left w:val="nil"/>
              <w:bottom w:val="single" w:sz="4" w:space="0" w:color="auto"/>
              <w:right w:val="single" w:sz="4" w:space="0" w:color="auto"/>
            </w:tcBorders>
            <w:shd w:val="clear" w:color="000000" w:fill="595959"/>
            <w:vAlign w:val="center"/>
            <w:hideMark/>
          </w:tcPr>
          <w:p w14:paraId="78BFECCA"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02" w:type="pct"/>
            <w:tcBorders>
              <w:top w:val="nil"/>
              <w:left w:val="nil"/>
              <w:bottom w:val="single" w:sz="4" w:space="0" w:color="auto"/>
              <w:right w:val="single" w:sz="4" w:space="0" w:color="auto"/>
            </w:tcBorders>
            <w:shd w:val="clear" w:color="000000" w:fill="595959"/>
            <w:noWrap/>
            <w:vAlign w:val="bottom"/>
            <w:hideMark/>
          </w:tcPr>
          <w:p w14:paraId="75EBF704"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6" w:type="pct"/>
            <w:tcBorders>
              <w:top w:val="nil"/>
              <w:left w:val="nil"/>
              <w:bottom w:val="single" w:sz="4" w:space="0" w:color="auto"/>
              <w:right w:val="single" w:sz="4" w:space="0" w:color="auto"/>
            </w:tcBorders>
            <w:shd w:val="clear" w:color="000000" w:fill="E2EFDA"/>
            <w:vAlign w:val="center"/>
            <w:hideMark/>
          </w:tcPr>
          <w:p w14:paraId="78705B8C"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WAM</w:t>
            </w:r>
          </w:p>
        </w:tc>
        <w:tc>
          <w:tcPr>
            <w:tcW w:w="354" w:type="pct"/>
            <w:tcBorders>
              <w:top w:val="nil"/>
              <w:left w:val="nil"/>
              <w:bottom w:val="single" w:sz="4" w:space="0" w:color="auto"/>
              <w:right w:val="single" w:sz="4" w:space="0" w:color="auto"/>
            </w:tcBorders>
            <w:shd w:val="clear" w:color="000000" w:fill="595959"/>
            <w:vAlign w:val="center"/>
            <w:hideMark/>
          </w:tcPr>
          <w:p w14:paraId="0974F6E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50" w:type="pct"/>
            <w:tcBorders>
              <w:top w:val="nil"/>
              <w:left w:val="nil"/>
              <w:bottom w:val="single" w:sz="4" w:space="0" w:color="auto"/>
              <w:right w:val="single" w:sz="4" w:space="0" w:color="auto"/>
            </w:tcBorders>
            <w:shd w:val="clear" w:color="000000" w:fill="595959"/>
            <w:noWrap/>
            <w:vAlign w:val="bottom"/>
            <w:hideMark/>
          </w:tcPr>
          <w:p w14:paraId="672FFAAA"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r>
      <w:tr w:rsidR="005D7AD3" w:rsidRPr="005D7AD3" w14:paraId="7EC4D0EE"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227923E6"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1C62E781"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МП_Д30</w:t>
            </w:r>
          </w:p>
        </w:tc>
        <w:tc>
          <w:tcPr>
            <w:tcW w:w="1323" w:type="pct"/>
            <w:tcBorders>
              <w:top w:val="nil"/>
              <w:left w:val="nil"/>
              <w:bottom w:val="single" w:sz="4" w:space="0" w:color="auto"/>
              <w:right w:val="single" w:sz="4" w:space="0" w:color="auto"/>
            </w:tcBorders>
            <w:shd w:val="clear" w:color="auto" w:fill="auto"/>
            <w:vAlign w:val="center"/>
            <w:hideMark/>
          </w:tcPr>
          <w:p w14:paraId="1957F524"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Пружање фискалних и економских подстицаја за стимулисање ОИЕ у грејању и хлађењу</w:t>
            </w:r>
          </w:p>
        </w:tc>
        <w:tc>
          <w:tcPr>
            <w:tcW w:w="344" w:type="pct"/>
            <w:tcBorders>
              <w:top w:val="nil"/>
              <w:left w:val="nil"/>
              <w:bottom w:val="single" w:sz="4" w:space="0" w:color="auto"/>
              <w:right w:val="single" w:sz="4" w:space="0" w:color="auto"/>
            </w:tcBorders>
            <w:shd w:val="clear" w:color="auto" w:fill="auto"/>
            <w:vAlign w:val="center"/>
            <w:hideMark/>
          </w:tcPr>
          <w:p w14:paraId="5E641F2C"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420CC48F" w14:textId="1B7CFCEB"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Буџет интегрисан у мере диманзије енергетска ефикасност (МП_EE1-МП_EE8)</w:t>
            </w:r>
          </w:p>
        </w:tc>
        <w:tc>
          <w:tcPr>
            <w:tcW w:w="447" w:type="pct"/>
            <w:tcBorders>
              <w:top w:val="nil"/>
              <w:left w:val="nil"/>
              <w:bottom w:val="single" w:sz="4" w:space="0" w:color="auto"/>
              <w:right w:val="single" w:sz="4" w:space="0" w:color="auto"/>
            </w:tcBorders>
            <w:shd w:val="clear" w:color="000000" w:fill="595959"/>
            <w:vAlign w:val="center"/>
            <w:hideMark/>
          </w:tcPr>
          <w:p w14:paraId="7EDD792A"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19" w:type="pct"/>
            <w:tcBorders>
              <w:top w:val="nil"/>
              <w:left w:val="nil"/>
              <w:bottom w:val="single" w:sz="4" w:space="0" w:color="auto"/>
              <w:right w:val="single" w:sz="4" w:space="0" w:color="auto"/>
            </w:tcBorders>
            <w:shd w:val="clear" w:color="000000" w:fill="595959"/>
            <w:vAlign w:val="center"/>
            <w:hideMark/>
          </w:tcPr>
          <w:p w14:paraId="117E2A96"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02" w:type="pct"/>
            <w:tcBorders>
              <w:top w:val="nil"/>
              <w:left w:val="nil"/>
              <w:bottom w:val="single" w:sz="4" w:space="0" w:color="auto"/>
              <w:right w:val="single" w:sz="4" w:space="0" w:color="auto"/>
            </w:tcBorders>
            <w:shd w:val="clear" w:color="000000" w:fill="595959"/>
            <w:noWrap/>
            <w:vAlign w:val="bottom"/>
            <w:hideMark/>
          </w:tcPr>
          <w:p w14:paraId="30346661"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6" w:type="pct"/>
            <w:tcBorders>
              <w:top w:val="nil"/>
              <w:left w:val="nil"/>
              <w:bottom w:val="single" w:sz="4" w:space="0" w:color="auto"/>
              <w:right w:val="single" w:sz="4" w:space="0" w:color="auto"/>
            </w:tcBorders>
            <w:shd w:val="clear" w:color="000000" w:fill="E2EFDA"/>
            <w:vAlign w:val="center"/>
            <w:hideMark/>
          </w:tcPr>
          <w:p w14:paraId="65485F51"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WAM</w:t>
            </w:r>
          </w:p>
        </w:tc>
        <w:tc>
          <w:tcPr>
            <w:tcW w:w="354" w:type="pct"/>
            <w:tcBorders>
              <w:top w:val="nil"/>
              <w:left w:val="nil"/>
              <w:bottom w:val="single" w:sz="4" w:space="0" w:color="auto"/>
              <w:right w:val="single" w:sz="4" w:space="0" w:color="auto"/>
            </w:tcBorders>
            <w:shd w:val="clear" w:color="000000" w:fill="595959"/>
            <w:vAlign w:val="center"/>
            <w:hideMark/>
          </w:tcPr>
          <w:p w14:paraId="247D9C97"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50" w:type="pct"/>
            <w:tcBorders>
              <w:top w:val="nil"/>
              <w:left w:val="nil"/>
              <w:bottom w:val="single" w:sz="4" w:space="0" w:color="auto"/>
              <w:right w:val="single" w:sz="4" w:space="0" w:color="auto"/>
            </w:tcBorders>
            <w:shd w:val="clear" w:color="000000" w:fill="595959"/>
            <w:noWrap/>
            <w:vAlign w:val="bottom"/>
            <w:hideMark/>
          </w:tcPr>
          <w:p w14:paraId="01ED117E"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r>
      <w:tr w:rsidR="005D7AD3" w:rsidRPr="005D7AD3" w14:paraId="59B02876"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5F904993"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3D637AC6"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МП_Д31</w:t>
            </w:r>
          </w:p>
        </w:tc>
        <w:tc>
          <w:tcPr>
            <w:tcW w:w="1323" w:type="pct"/>
            <w:tcBorders>
              <w:top w:val="nil"/>
              <w:left w:val="nil"/>
              <w:bottom w:val="single" w:sz="4" w:space="0" w:color="auto"/>
              <w:right w:val="single" w:sz="4" w:space="0" w:color="auto"/>
            </w:tcBorders>
            <w:shd w:val="clear" w:color="auto" w:fill="auto"/>
            <w:vAlign w:val="center"/>
            <w:hideMark/>
          </w:tcPr>
          <w:p w14:paraId="2C69C6C3"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Омогућавање увођења ОИЕ у системе даљинског грејања</w:t>
            </w:r>
          </w:p>
        </w:tc>
        <w:tc>
          <w:tcPr>
            <w:tcW w:w="344" w:type="pct"/>
            <w:tcBorders>
              <w:top w:val="nil"/>
              <w:left w:val="nil"/>
              <w:bottom w:val="single" w:sz="4" w:space="0" w:color="auto"/>
              <w:right w:val="single" w:sz="4" w:space="0" w:color="auto"/>
            </w:tcBorders>
            <w:shd w:val="clear" w:color="auto" w:fill="auto"/>
            <w:vAlign w:val="center"/>
            <w:hideMark/>
          </w:tcPr>
          <w:p w14:paraId="70FAEF98"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65C6825E"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8 M€ за биомасу</w:t>
            </w:r>
            <w:r w:rsidRPr="005D7AD3">
              <w:rPr>
                <w:rFonts w:ascii="Calibri" w:eastAsia="Times New Roman" w:hAnsi="Calibri" w:cs="Calibri"/>
                <w:color w:val="000000"/>
                <w:sz w:val="14"/>
                <w:szCs w:val="14"/>
              </w:rPr>
              <w:br/>
              <w:t>443 M€ за соларну енергију</w:t>
            </w:r>
          </w:p>
        </w:tc>
        <w:tc>
          <w:tcPr>
            <w:tcW w:w="447" w:type="pct"/>
            <w:tcBorders>
              <w:top w:val="nil"/>
              <w:left w:val="nil"/>
              <w:bottom w:val="single" w:sz="4" w:space="0" w:color="auto"/>
              <w:right w:val="single" w:sz="4" w:space="0" w:color="auto"/>
            </w:tcBorders>
            <w:shd w:val="clear" w:color="000000" w:fill="E2EFDA"/>
            <w:vAlign w:val="center"/>
            <w:hideMark/>
          </w:tcPr>
          <w:p w14:paraId="0B843C93"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451,00</w:t>
            </w:r>
          </w:p>
        </w:tc>
        <w:tc>
          <w:tcPr>
            <w:tcW w:w="319" w:type="pct"/>
            <w:tcBorders>
              <w:top w:val="nil"/>
              <w:left w:val="nil"/>
              <w:bottom w:val="single" w:sz="4" w:space="0" w:color="auto"/>
              <w:right w:val="single" w:sz="4" w:space="0" w:color="auto"/>
            </w:tcBorders>
            <w:shd w:val="clear" w:color="000000" w:fill="ED7D31"/>
            <w:vAlign w:val="center"/>
            <w:hideMark/>
          </w:tcPr>
          <w:p w14:paraId="6B14808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225,50</w:t>
            </w:r>
          </w:p>
        </w:tc>
        <w:tc>
          <w:tcPr>
            <w:tcW w:w="302" w:type="pct"/>
            <w:tcBorders>
              <w:top w:val="nil"/>
              <w:left w:val="nil"/>
              <w:bottom w:val="single" w:sz="4" w:space="0" w:color="auto"/>
              <w:right w:val="single" w:sz="4" w:space="0" w:color="auto"/>
            </w:tcBorders>
            <w:shd w:val="clear" w:color="000000" w:fill="ED7D31"/>
            <w:vAlign w:val="center"/>
            <w:hideMark/>
          </w:tcPr>
          <w:p w14:paraId="0C92E268"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225,50</w:t>
            </w:r>
          </w:p>
        </w:tc>
        <w:tc>
          <w:tcPr>
            <w:tcW w:w="446" w:type="pct"/>
            <w:tcBorders>
              <w:top w:val="nil"/>
              <w:left w:val="nil"/>
              <w:bottom w:val="single" w:sz="4" w:space="0" w:color="auto"/>
              <w:right w:val="single" w:sz="4" w:space="0" w:color="auto"/>
            </w:tcBorders>
            <w:shd w:val="clear" w:color="000000" w:fill="E2EFDA"/>
            <w:vAlign w:val="center"/>
            <w:hideMark/>
          </w:tcPr>
          <w:p w14:paraId="7A0467E6"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WAM</w:t>
            </w:r>
          </w:p>
        </w:tc>
        <w:tc>
          <w:tcPr>
            <w:tcW w:w="354" w:type="pct"/>
            <w:tcBorders>
              <w:top w:val="nil"/>
              <w:left w:val="nil"/>
              <w:bottom w:val="single" w:sz="4" w:space="0" w:color="auto"/>
              <w:right w:val="single" w:sz="4" w:space="0" w:color="auto"/>
            </w:tcBorders>
            <w:shd w:val="clear" w:color="000000" w:fill="ED7D31"/>
            <w:vAlign w:val="center"/>
            <w:hideMark/>
          </w:tcPr>
          <w:p w14:paraId="1612E4A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350" w:type="pct"/>
            <w:tcBorders>
              <w:top w:val="nil"/>
              <w:left w:val="nil"/>
              <w:bottom w:val="single" w:sz="4" w:space="0" w:color="auto"/>
              <w:right w:val="single" w:sz="4" w:space="0" w:color="auto"/>
            </w:tcBorders>
            <w:shd w:val="clear" w:color="000000" w:fill="ED7D31"/>
            <w:vAlign w:val="center"/>
            <w:hideMark/>
          </w:tcPr>
          <w:p w14:paraId="6DD9DAEA"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451,00</w:t>
            </w:r>
          </w:p>
        </w:tc>
      </w:tr>
      <w:tr w:rsidR="005D7AD3" w:rsidRPr="005D7AD3" w14:paraId="2A2E77A1"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560D0E9B"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4DF6450C"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МП_Д32</w:t>
            </w:r>
          </w:p>
        </w:tc>
        <w:tc>
          <w:tcPr>
            <w:tcW w:w="1323" w:type="pct"/>
            <w:tcBorders>
              <w:top w:val="nil"/>
              <w:left w:val="nil"/>
              <w:bottom w:val="single" w:sz="4" w:space="0" w:color="auto"/>
              <w:right w:val="single" w:sz="4" w:space="0" w:color="auto"/>
            </w:tcBorders>
            <w:shd w:val="clear" w:color="auto" w:fill="auto"/>
            <w:vAlign w:val="center"/>
            <w:hideMark/>
          </w:tcPr>
          <w:p w14:paraId="7BC3B70C"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Подстицање производње напредних биогорива која ће се користити у сектору саобраћаја</w:t>
            </w:r>
          </w:p>
        </w:tc>
        <w:tc>
          <w:tcPr>
            <w:tcW w:w="344" w:type="pct"/>
            <w:tcBorders>
              <w:top w:val="nil"/>
              <w:left w:val="nil"/>
              <w:bottom w:val="single" w:sz="4" w:space="0" w:color="auto"/>
              <w:right w:val="single" w:sz="4" w:space="0" w:color="auto"/>
            </w:tcBorders>
            <w:shd w:val="clear" w:color="auto" w:fill="auto"/>
            <w:vAlign w:val="center"/>
            <w:hideMark/>
          </w:tcPr>
          <w:p w14:paraId="1E523176"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noWrap/>
            <w:vAlign w:val="bottom"/>
            <w:hideMark/>
          </w:tcPr>
          <w:p w14:paraId="52403722"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0490073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100,00</w:t>
            </w:r>
          </w:p>
        </w:tc>
        <w:tc>
          <w:tcPr>
            <w:tcW w:w="319" w:type="pct"/>
            <w:tcBorders>
              <w:top w:val="nil"/>
              <w:left w:val="nil"/>
              <w:bottom w:val="single" w:sz="4" w:space="0" w:color="auto"/>
              <w:right w:val="single" w:sz="4" w:space="0" w:color="auto"/>
            </w:tcBorders>
            <w:shd w:val="clear" w:color="000000" w:fill="ED7D31"/>
            <w:vAlign w:val="center"/>
            <w:hideMark/>
          </w:tcPr>
          <w:p w14:paraId="2470B599"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50,00</w:t>
            </w:r>
          </w:p>
        </w:tc>
        <w:tc>
          <w:tcPr>
            <w:tcW w:w="302" w:type="pct"/>
            <w:tcBorders>
              <w:top w:val="nil"/>
              <w:left w:val="nil"/>
              <w:bottom w:val="single" w:sz="4" w:space="0" w:color="auto"/>
              <w:right w:val="single" w:sz="4" w:space="0" w:color="auto"/>
            </w:tcBorders>
            <w:shd w:val="clear" w:color="000000" w:fill="ED7D31"/>
            <w:vAlign w:val="center"/>
            <w:hideMark/>
          </w:tcPr>
          <w:p w14:paraId="12F37D69"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50,00</w:t>
            </w:r>
          </w:p>
        </w:tc>
        <w:tc>
          <w:tcPr>
            <w:tcW w:w="446" w:type="pct"/>
            <w:tcBorders>
              <w:top w:val="nil"/>
              <w:left w:val="nil"/>
              <w:bottom w:val="single" w:sz="4" w:space="0" w:color="auto"/>
              <w:right w:val="single" w:sz="4" w:space="0" w:color="auto"/>
            </w:tcBorders>
            <w:shd w:val="clear" w:color="000000" w:fill="E2EFDA"/>
            <w:vAlign w:val="center"/>
            <w:hideMark/>
          </w:tcPr>
          <w:p w14:paraId="221EDBEB"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WAM</w:t>
            </w:r>
          </w:p>
        </w:tc>
        <w:tc>
          <w:tcPr>
            <w:tcW w:w="354" w:type="pct"/>
            <w:tcBorders>
              <w:top w:val="nil"/>
              <w:left w:val="nil"/>
              <w:bottom w:val="single" w:sz="4" w:space="0" w:color="auto"/>
              <w:right w:val="single" w:sz="4" w:space="0" w:color="auto"/>
            </w:tcBorders>
            <w:shd w:val="clear" w:color="000000" w:fill="ED7D31"/>
            <w:vAlign w:val="center"/>
            <w:hideMark/>
          </w:tcPr>
          <w:p w14:paraId="14E797BF"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350" w:type="pct"/>
            <w:tcBorders>
              <w:top w:val="nil"/>
              <w:left w:val="nil"/>
              <w:bottom w:val="single" w:sz="4" w:space="0" w:color="auto"/>
              <w:right w:val="single" w:sz="4" w:space="0" w:color="auto"/>
            </w:tcBorders>
            <w:shd w:val="clear" w:color="000000" w:fill="ED7D31"/>
            <w:vAlign w:val="center"/>
            <w:hideMark/>
          </w:tcPr>
          <w:p w14:paraId="13B537E8"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100,00</w:t>
            </w:r>
          </w:p>
        </w:tc>
      </w:tr>
      <w:tr w:rsidR="005D7AD3" w:rsidRPr="005D7AD3" w14:paraId="47954A05"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53B025BE"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27A4C417"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МП_Д33</w:t>
            </w:r>
          </w:p>
        </w:tc>
        <w:tc>
          <w:tcPr>
            <w:tcW w:w="1323" w:type="pct"/>
            <w:tcBorders>
              <w:top w:val="nil"/>
              <w:left w:val="nil"/>
              <w:bottom w:val="single" w:sz="4" w:space="0" w:color="auto"/>
              <w:right w:val="single" w:sz="4" w:space="0" w:color="auto"/>
            </w:tcBorders>
            <w:shd w:val="clear" w:color="auto" w:fill="auto"/>
            <w:vAlign w:val="center"/>
            <w:hideMark/>
          </w:tcPr>
          <w:p w14:paraId="77036691"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Подстицање потрошње биогорива у сектору саобраћаја</w:t>
            </w:r>
          </w:p>
        </w:tc>
        <w:tc>
          <w:tcPr>
            <w:tcW w:w="344" w:type="pct"/>
            <w:tcBorders>
              <w:top w:val="nil"/>
              <w:left w:val="nil"/>
              <w:bottom w:val="single" w:sz="4" w:space="0" w:color="auto"/>
              <w:right w:val="single" w:sz="4" w:space="0" w:color="auto"/>
            </w:tcBorders>
            <w:shd w:val="clear" w:color="auto" w:fill="auto"/>
            <w:vAlign w:val="center"/>
            <w:hideMark/>
          </w:tcPr>
          <w:p w14:paraId="5882BC10"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xml:space="preserve">Реформа </w:t>
            </w:r>
          </w:p>
        </w:tc>
        <w:tc>
          <w:tcPr>
            <w:tcW w:w="368" w:type="pct"/>
            <w:tcBorders>
              <w:top w:val="nil"/>
              <w:left w:val="nil"/>
              <w:bottom w:val="single" w:sz="4" w:space="0" w:color="auto"/>
              <w:right w:val="single" w:sz="4" w:space="0" w:color="auto"/>
            </w:tcBorders>
            <w:shd w:val="clear" w:color="auto" w:fill="auto"/>
            <w:vAlign w:val="center"/>
            <w:hideMark/>
          </w:tcPr>
          <w:p w14:paraId="2A75A787"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7EA8A73A"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0,50</w:t>
            </w:r>
          </w:p>
        </w:tc>
        <w:tc>
          <w:tcPr>
            <w:tcW w:w="319" w:type="pct"/>
            <w:tcBorders>
              <w:top w:val="nil"/>
              <w:left w:val="nil"/>
              <w:bottom w:val="single" w:sz="4" w:space="0" w:color="auto"/>
              <w:right w:val="single" w:sz="4" w:space="0" w:color="auto"/>
            </w:tcBorders>
            <w:shd w:val="clear" w:color="000000" w:fill="E2EFDA"/>
            <w:vAlign w:val="center"/>
            <w:hideMark/>
          </w:tcPr>
          <w:p w14:paraId="27245D53"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0,50</w:t>
            </w:r>
          </w:p>
        </w:tc>
        <w:tc>
          <w:tcPr>
            <w:tcW w:w="302" w:type="pct"/>
            <w:tcBorders>
              <w:top w:val="nil"/>
              <w:left w:val="nil"/>
              <w:bottom w:val="single" w:sz="4" w:space="0" w:color="auto"/>
              <w:right w:val="single" w:sz="4" w:space="0" w:color="auto"/>
            </w:tcBorders>
            <w:shd w:val="clear" w:color="000000" w:fill="E2EFDA"/>
            <w:vAlign w:val="center"/>
            <w:hideMark/>
          </w:tcPr>
          <w:p w14:paraId="391CF95E"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2EFDA"/>
            <w:vAlign w:val="center"/>
            <w:hideMark/>
          </w:tcPr>
          <w:p w14:paraId="2797582D"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WAM</w:t>
            </w:r>
          </w:p>
        </w:tc>
        <w:tc>
          <w:tcPr>
            <w:tcW w:w="354" w:type="pct"/>
            <w:tcBorders>
              <w:top w:val="nil"/>
              <w:left w:val="nil"/>
              <w:bottom w:val="single" w:sz="4" w:space="0" w:color="auto"/>
              <w:right w:val="single" w:sz="4" w:space="0" w:color="auto"/>
            </w:tcBorders>
            <w:shd w:val="clear" w:color="000000" w:fill="E2EFDA"/>
            <w:vAlign w:val="center"/>
            <w:hideMark/>
          </w:tcPr>
          <w:p w14:paraId="741E85B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350" w:type="pct"/>
            <w:tcBorders>
              <w:top w:val="nil"/>
              <w:left w:val="nil"/>
              <w:bottom w:val="single" w:sz="4" w:space="0" w:color="auto"/>
              <w:right w:val="single" w:sz="4" w:space="0" w:color="auto"/>
            </w:tcBorders>
            <w:shd w:val="clear" w:color="000000" w:fill="E2EFDA"/>
            <w:vAlign w:val="center"/>
            <w:hideMark/>
          </w:tcPr>
          <w:p w14:paraId="51FBE537"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0,50</w:t>
            </w:r>
          </w:p>
        </w:tc>
      </w:tr>
      <w:tr w:rsidR="005D7AD3" w:rsidRPr="005D7AD3" w14:paraId="14F638C0"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45456FE4"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13E26203"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МП_Д34</w:t>
            </w:r>
          </w:p>
        </w:tc>
        <w:tc>
          <w:tcPr>
            <w:tcW w:w="1323" w:type="pct"/>
            <w:tcBorders>
              <w:top w:val="nil"/>
              <w:left w:val="nil"/>
              <w:bottom w:val="single" w:sz="4" w:space="0" w:color="auto"/>
              <w:right w:val="single" w:sz="4" w:space="0" w:color="auto"/>
            </w:tcBorders>
            <w:shd w:val="clear" w:color="auto" w:fill="auto"/>
            <w:vAlign w:val="center"/>
            <w:hideMark/>
          </w:tcPr>
          <w:p w14:paraId="6ED6BAF2"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Развој неопходне инфраструктуре за пуњење електричних возила</w:t>
            </w:r>
          </w:p>
        </w:tc>
        <w:tc>
          <w:tcPr>
            <w:tcW w:w="344" w:type="pct"/>
            <w:tcBorders>
              <w:top w:val="nil"/>
              <w:left w:val="nil"/>
              <w:bottom w:val="single" w:sz="4" w:space="0" w:color="auto"/>
              <w:right w:val="single" w:sz="4" w:space="0" w:color="auto"/>
            </w:tcBorders>
            <w:shd w:val="clear" w:color="auto" w:fill="auto"/>
            <w:vAlign w:val="center"/>
            <w:hideMark/>
          </w:tcPr>
          <w:p w14:paraId="3ECEB60C"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1B2AC600"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интегрисана у димензију енергетска ефикасност</w:t>
            </w:r>
          </w:p>
        </w:tc>
        <w:tc>
          <w:tcPr>
            <w:tcW w:w="447" w:type="pct"/>
            <w:tcBorders>
              <w:top w:val="nil"/>
              <w:left w:val="nil"/>
              <w:bottom w:val="single" w:sz="4" w:space="0" w:color="auto"/>
              <w:right w:val="single" w:sz="4" w:space="0" w:color="auto"/>
            </w:tcBorders>
            <w:shd w:val="clear" w:color="000000" w:fill="E2EFDA"/>
            <w:vAlign w:val="center"/>
            <w:hideMark/>
          </w:tcPr>
          <w:p w14:paraId="52FAA718"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85,00</w:t>
            </w:r>
          </w:p>
        </w:tc>
        <w:tc>
          <w:tcPr>
            <w:tcW w:w="319" w:type="pct"/>
            <w:tcBorders>
              <w:top w:val="nil"/>
              <w:left w:val="nil"/>
              <w:bottom w:val="single" w:sz="4" w:space="0" w:color="auto"/>
              <w:right w:val="single" w:sz="4" w:space="0" w:color="auto"/>
            </w:tcBorders>
            <w:shd w:val="clear" w:color="000000" w:fill="E2EFDA"/>
            <w:vAlign w:val="center"/>
            <w:hideMark/>
          </w:tcPr>
          <w:p w14:paraId="74E92D4A"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85,00</w:t>
            </w:r>
          </w:p>
        </w:tc>
        <w:tc>
          <w:tcPr>
            <w:tcW w:w="302" w:type="pct"/>
            <w:tcBorders>
              <w:top w:val="nil"/>
              <w:left w:val="nil"/>
              <w:bottom w:val="single" w:sz="4" w:space="0" w:color="auto"/>
              <w:right w:val="single" w:sz="4" w:space="0" w:color="auto"/>
            </w:tcBorders>
            <w:shd w:val="clear" w:color="000000" w:fill="E2EFDA"/>
            <w:vAlign w:val="center"/>
            <w:hideMark/>
          </w:tcPr>
          <w:p w14:paraId="307B6D77"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2EFDA"/>
            <w:vAlign w:val="center"/>
            <w:hideMark/>
          </w:tcPr>
          <w:p w14:paraId="0A23323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WAM</w:t>
            </w:r>
          </w:p>
        </w:tc>
        <w:tc>
          <w:tcPr>
            <w:tcW w:w="354" w:type="pct"/>
            <w:tcBorders>
              <w:top w:val="nil"/>
              <w:left w:val="nil"/>
              <w:bottom w:val="single" w:sz="4" w:space="0" w:color="auto"/>
              <w:right w:val="single" w:sz="4" w:space="0" w:color="auto"/>
            </w:tcBorders>
            <w:shd w:val="clear" w:color="000000" w:fill="E2EFDA"/>
            <w:vAlign w:val="center"/>
            <w:hideMark/>
          </w:tcPr>
          <w:p w14:paraId="034951FA"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350" w:type="pct"/>
            <w:tcBorders>
              <w:top w:val="nil"/>
              <w:left w:val="nil"/>
              <w:bottom w:val="single" w:sz="4" w:space="0" w:color="auto"/>
              <w:right w:val="single" w:sz="4" w:space="0" w:color="auto"/>
            </w:tcBorders>
            <w:shd w:val="clear" w:color="000000" w:fill="E2EFDA"/>
            <w:vAlign w:val="center"/>
            <w:hideMark/>
          </w:tcPr>
          <w:p w14:paraId="2EDAA4EF"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85,00</w:t>
            </w:r>
          </w:p>
        </w:tc>
      </w:tr>
      <w:tr w:rsidR="005D7AD3" w:rsidRPr="005D7AD3" w14:paraId="163E5AE8"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44EBD2A6"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25FD0D49"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МП_Д35</w:t>
            </w:r>
          </w:p>
        </w:tc>
        <w:tc>
          <w:tcPr>
            <w:tcW w:w="1323" w:type="pct"/>
            <w:tcBorders>
              <w:top w:val="nil"/>
              <w:left w:val="nil"/>
              <w:bottom w:val="single" w:sz="4" w:space="0" w:color="auto"/>
              <w:right w:val="single" w:sz="4" w:space="0" w:color="auto"/>
            </w:tcBorders>
            <w:shd w:val="clear" w:color="auto" w:fill="auto"/>
            <w:vAlign w:val="center"/>
            <w:hideMark/>
          </w:tcPr>
          <w:p w14:paraId="77F38155"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Пружање фискалних и економских подстицаја за подршку додатној употреби електричних возила</w:t>
            </w:r>
          </w:p>
        </w:tc>
        <w:tc>
          <w:tcPr>
            <w:tcW w:w="344" w:type="pct"/>
            <w:tcBorders>
              <w:top w:val="nil"/>
              <w:left w:val="nil"/>
              <w:bottom w:val="single" w:sz="4" w:space="0" w:color="auto"/>
              <w:right w:val="single" w:sz="4" w:space="0" w:color="auto"/>
            </w:tcBorders>
            <w:shd w:val="clear" w:color="auto" w:fill="auto"/>
            <w:vAlign w:val="center"/>
            <w:hideMark/>
          </w:tcPr>
          <w:p w14:paraId="53B59596"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xml:space="preserve">Реформа </w:t>
            </w:r>
          </w:p>
        </w:tc>
        <w:tc>
          <w:tcPr>
            <w:tcW w:w="368" w:type="pct"/>
            <w:tcBorders>
              <w:top w:val="nil"/>
              <w:left w:val="nil"/>
              <w:bottom w:val="single" w:sz="4" w:space="0" w:color="auto"/>
              <w:right w:val="single" w:sz="4" w:space="0" w:color="auto"/>
            </w:tcBorders>
            <w:shd w:val="clear" w:color="auto" w:fill="auto"/>
            <w:vAlign w:val="center"/>
            <w:hideMark/>
          </w:tcPr>
          <w:p w14:paraId="78387122" w14:textId="153BECD0"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Буџет интегрисан у у мере диманзије енергетска ефикасност (МП_EE12, МП_EE14, МП_EE18) - 570 M€ за електрична возила, 1596 M€ за електрична лака теретна возила и 505 M€ за електричне аутобусе</w:t>
            </w:r>
          </w:p>
        </w:tc>
        <w:tc>
          <w:tcPr>
            <w:tcW w:w="447" w:type="pct"/>
            <w:tcBorders>
              <w:top w:val="nil"/>
              <w:left w:val="nil"/>
              <w:bottom w:val="single" w:sz="4" w:space="0" w:color="auto"/>
              <w:right w:val="single" w:sz="4" w:space="0" w:color="auto"/>
            </w:tcBorders>
            <w:shd w:val="clear" w:color="000000" w:fill="595959"/>
            <w:vAlign w:val="center"/>
            <w:hideMark/>
          </w:tcPr>
          <w:p w14:paraId="285916CB"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19" w:type="pct"/>
            <w:tcBorders>
              <w:top w:val="nil"/>
              <w:left w:val="nil"/>
              <w:bottom w:val="single" w:sz="4" w:space="0" w:color="auto"/>
              <w:right w:val="single" w:sz="4" w:space="0" w:color="auto"/>
            </w:tcBorders>
            <w:shd w:val="clear" w:color="000000" w:fill="595959"/>
            <w:vAlign w:val="center"/>
            <w:hideMark/>
          </w:tcPr>
          <w:p w14:paraId="7CCC43E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02" w:type="pct"/>
            <w:tcBorders>
              <w:top w:val="nil"/>
              <w:left w:val="nil"/>
              <w:bottom w:val="single" w:sz="4" w:space="0" w:color="auto"/>
              <w:right w:val="single" w:sz="4" w:space="0" w:color="auto"/>
            </w:tcBorders>
            <w:shd w:val="clear" w:color="000000" w:fill="595959"/>
            <w:noWrap/>
            <w:vAlign w:val="bottom"/>
            <w:hideMark/>
          </w:tcPr>
          <w:p w14:paraId="435522A6"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6" w:type="pct"/>
            <w:tcBorders>
              <w:top w:val="nil"/>
              <w:left w:val="nil"/>
              <w:bottom w:val="single" w:sz="4" w:space="0" w:color="auto"/>
              <w:right w:val="single" w:sz="4" w:space="0" w:color="auto"/>
            </w:tcBorders>
            <w:shd w:val="clear" w:color="000000" w:fill="E2EFDA"/>
            <w:vAlign w:val="center"/>
            <w:hideMark/>
          </w:tcPr>
          <w:p w14:paraId="341F035C"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WEM, WAM (унапређење, прилагођавање)</w:t>
            </w:r>
          </w:p>
        </w:tc>
        <w:tc>
          <w:tcPr>
            <w:tcW w:w="354" w:type="pct"/>
            <w:tcBorders>
              <w:top w:val="nil"/>
              <w:left w:val="nil"/>
              <w:bottom w:val="single" w:sz="4" w:space="0" w:color="auto"/>
              <w:right w:val="single" w:sz="4" w:space="0" w:color="auto"/>
            </w:tcBorders>
            <w:shd w:val="clear" w:color="000000" w:fill="595959"/>
            <w:vAlign w:val="center"/>
            <w:hideMark/>
          </w:tcPr>
          <w:p w14:paraId="24D0BE16"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50" w:type="pct"/>
            <w:tcBorders>
              <w:top w:val="nil"/>
              <w:left w:val="nil"/>
              <w:bottom w:val="single" w:sz="4" w:space="0" w:color="auto"/>
              <w:right w:val="single" w:sz="4" w:space="0" w:color="auto"/>
            </w:tcBorders>
            <w:shd w:val="clear" w:color="000000" w:fill="595959"/>
            <w:noWrap/>
            <w:vAlign w:val="bottom"/>
            <w:hideMark/>
          </w:tcPr>
          <w:p w14:paraId="7719076A"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r>
      <w:tr w:rsidR="005D7AD3" w:rsidRPr="005D7AD3" w14:paraId="38910A17"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7132313F"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2D983C38"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МП_Д36</w:t>
            </w:r>
          </w:p>
        </w:tc>
        <w:tc>
          <w:tcPr>
            <w:tcW w:w="1323" w:type="pct"/>
            <w:tcBorders>
              <w:top w:val="nil"/>
              <w:left w:val="nil"/>
              <w:bottom w:val="single" w:sz="4" w:space="0" w:color="auto"/>
              <w:right w:val="single" w:sz="4" w:space="0" w:color="auto"/>
            </w:tcBorders>
            <w:shd w:val="clear" w:color="auto" w:fill="auto"/>
            <w:vAlign w:val="center"/>
            <w:hideMark/>
          </w:tcPr>
          <w:p w14:paraId="444AED69"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Подстицање заједница обновљивих извора енергије</w:t>
            </w:r>
          </w:p>
        </w:tc>
        <w:tc>
          <w:tcPr>
            <w:tcW w:w="344" w:type="pct"/>
            <w:tcBorders>
              <w:top w:val="nil"/>
              <w:left w:val="nil"/>
              <w:bottom w:val="single" w:sz="4" w:space="0" w:color="auto"/>
              <w:right w:val="single" w:sz="4" w:space="0" w:color="auto"/>
            </w:tcBorders>
            <w:shd w:val="clear" w:color="auto" w:fill="auto"/>
            <w:vAlign w:val="center"/>
            <w:hideMark/>
          </w:tcPr>
          <w:p w14:paraId="0982B069"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75B668C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интегрисана у МП_Д21</w:t>
            </w:r>
          </w:p>
        </w:tc>
        <w:tc>
          <w:tcPr>
            <w:tcW w:w="447" w:type="pct"/>
            <w:tcBorders>
              <w:top w:val="nil"/>
              <w:left w:val="nil"/>
              <w:bottom w:val="single" w:sz="4" w:space="0" w:color="auto"/>
              <w:right w:val="single" w:sz="4" w:space="0" w:color="auto"/>
            </w:tcBorders>
            <w:shd w:val="clear" w:color="000000" w:fill="595959"/>
            <w:vAlign w:val="center"/>
            <w:hideMark/>
          </w:tcPr>
          <w:p w14:paraId="71DDD8A7"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19" w:type="pct"/>
            <w:tcBorders>
              <w:top w:val="nil"/>
              <w:left w:val="nil"/>
              <w:bottom w:val="single" w:sz="4" w:space="0" w:color="auto"/>
              <w:right w:val="single" w:sz="4" w:space="0" w:color="auto"/>
            </w:tcBorders>
            <w:shd w:val="clear" w:color="000000" w:fill="595959"/>
            <w:vAlign w:val="center"/>
            <w:hideMark/>
          </w:tcPr>
          <w:p w14:paraId="66CD7A5F"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02" w:type="pct"/>
            <w:tcBorders>
              <w:top w:val="nil"/>
              <w:left w:val="nil"/>
              <w:bottom w:val="single" w:sz="4" w:space="0" w:color="auto"/>
              <w:right w:val="single" w:sz="4" w:space="0" w:color="auto"/>
            </w:tcBorders>
            <w:shd w:val="clear" w:color="000000" w:fill="595959"/>
            <w:noWrap/>
            <w:vAlign w:val="bottom"/>
            <w:hideMark/>
          </w:tcPr>
          <w:p w14:paraId="73DC8A84"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6" w:type="pct"/>
            <w:tcBorders>
              <w:top w:val="nil"/>
              <w:left w:val="nil"/>
              <w:bottom w:val="single" w:sz="4" w:space="0" w:color="auto"/>
              <w:right w:val="single" w:sz="4" w:space="0" w:color="auto"/>
            </w:tcBorders>
            <w:shd w:val="clear" w:color="000000" w:fill="E2EFDA"/>
            <w:vAlign w:val="center"/>
            <w:hideMark/>
          </w:tcPr>
          <w:p w14:paraId="6EBADB64"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WAM</w:t>
            </w:r>
          </w:p>
        </w:tc>
        <w:tc>
          <w:tcPr>
            <w:tcW w:w="354" w:type="pct"/>
            <w:tcBorders>
              <w:top w:val="nil"/>
              <w:left w:val="nil"/>
              <w:bottom w:val="single" w:sz="4" w:space="0" w:color="auto"/>
              <w:right w:val="single" w:sz="4" w:space="0" w:color="auto"/>
            </w:tcBorders>
            <w:shd w:val="clear" w:color="000000" w:fill="595959"/>
            <w:vAlign w:val="center"/>
            <w:hideMark/>
          </w:tcPr>
          <w:p w14:paraId="117F8BD5"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50" w:type="pct"/>
            <w:tcBorders>
              <w:top w:val="nil"/>
              <w:left w:val="nil"/>
              <w:bottom w:val="single" w:sz="4" w:space="0" w:color="auto"/>
              <w:right w:val="single" w:sz="4" w:space="0" w:color="auto"/>
            </w:tcBorders>
            <w:shd w:val="clear" w:color="000000" w:fill="595959"/>
            <w:noWrap/>
            <w:vAlign w:val="bottom"/>
            <w:hideMark/>
          </w:tcPr>
          <w:p w14:paraId="652431A2"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r>
      <w:tr w:rsidR="005D7AD3" w:rsidRPr="005D7AD3" w14:paraId="16AC6631"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2F3CDFF6"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4D689E68"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МП_Д37</w:t>
            </w:r>
          </w:p>
        </w:tc>
        <w:tc>
          <w:tcPr>
            <w:tcW w:w="1323" w:type="pct"/>
            <w:tcBorders>
              <w:top w:val="nil"/>
              <w:left w:val="nil"/>
              <w:bottom w:val="single" w:sz="4" w:space="0" w:color="auto"/>
              <w:right w:val="single" w:sz="4" w:space="0" w:color="auto"/>
            </w:tcBorders>
            <w:shd w:val="clear" w:color="auto" w:fill="auto"/>
            <w:vAlign w:val="center"/>
            <w:hideMark/>
          </w:tcPr>
          <w:p w14:paraId="4191E4E8"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Развој законодавног оквира за промовисање технологија складиштења енергије</w:t>
            </w:r>
          </w:p>
        </w:tc>
        <w:tc>
          <w:tcPr>
            <w:tcW w:w="344" w:type="pct"/>
            <w:tcBorders>
              <w:top w:val="nil"/>
              <w:left w:val="nil"/>
              <w:bottom w:val="single" w:sz="4" w:space="0" w:color="auto"/>
              <w:right w:val="single" w:sz="4" w:space="0" w:color="auto"/>
            </w:tcBorders>
            <w:shd w:val="clear" w:color="auto" w:fill="auto"/>
            <w:vAlign w:val="center"/>
            <w:hideMark/>
          </w:tcPr>
          <w:p w14:paraId="15076C0E"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xml:space="preserve">Реформа </w:t>
            </w:r>
          </w:p>
        </w:tc>
        <w:tc>
          <w:tcPr>
            <w:tcW w:w="368" w:type="pct"/>
            <w:tcBorders>
              <w:top w:val="nil"/>
              <w:left w:val="nil"/>
              <w:bottom w:val="single" w:sz="4" w:space="0" w:color="auto"/>
              <w:right w:val="single" w:sz="4" w:space="0" w:color="auto"/>
            </w:tcBorders>
            <w:shd w:val="clear" w:color="auto" w:fill="auto"/>
            <w:vAlign w:val="center"/>
            <w:hideMark/>
          </w:tcPr>
          <w:p w14:paraId="58C90B68"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33C7891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1,00</w:t>
            </w:r>
          </w:p>
        </w:tc>
        <w:tc>
          <w:tcPr>
            <w:tcW w:w="319" w:type="pct"/>
            <w:tcBorders>
              <w:top w:val="nil"/>
              <w:left w:val="nil"/>
              <w:bottom w:val="single" w:sz="4" w:space="0" w:color="auto"/>
              <w:right w:val="single" w:sz="4" w:space="0" w:color="auto"/>
            </w:tcBorders>
            <w:shd w:val="clear" w:color="000000" w:fill="E2EFDA"/>
            <w:vAlign w:val="center"/>
            <w:hideMark/>
          </w:tcPr>
          <w:p w14:paraId="08E24DC9"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302" w:type="pct"/>
            <w:tcBorders>
              <w:top w:val="nil"/>
              <w:left w:val="nil"/>
              <w:bottom w:val="single" w:sz="4" w:space="0" w:color="auto"/>
              <w:right w:val="single" w:sz="4" w:space="0" w:color="auto"/>
            </w:tcBorders>
            <w:shd w:val="clear" w:color="000000" w:fill="E2EFDA"/>
            <w:vAlign w:val="center"/>
            <w:hideMark/>
          </w:tcPr>
          <w:p w14:paraId="6CCECE1E"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1,00</w:t>
            </w:r>
          </w:p>
        </w:tc>
        <w:tc>
          <w:tcPr>
            <w:tcW w:w="446" w:type="pct"/>
            <w:tcBorders>
              <w:top w:val="nil"/>
              <w:left w:val="nil"/>
              <w:bottom w:val="single" w:sz="4" w:space="0" w:color="auto"/>
              <w:right w:val="single" w:sz="4" w:space="0" w:color="auto"/>
            </w:tcBorders>
            <w:shd w:val="clear" w:color="000000" w:fill="E2EFDA"/>
            <w:vAlign w:val="center"/>
            <w:hideMark/>
          </w:tcPr>
          <w:p w14:paraId="54C63448"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WAM</w:t>
            </w:r>
          </w:p>
        </w:tc>
        <w:tc>
          <w:tcPr>
            <w:tcW w:w="354" w:type="pct"/>
            <w:tcBorders>
              <w:top w:val="nil"/>
              <w:left w:val="nil"/>
              <w:bottom w:val="single" w:sz="4" w:space="0" w:color="auto"/>
              <w:right w:val="single" w:sz="4" w:space="0" w:color="auto"/>
            </w:tcBorders>
            <w:shd w:val="clear" w:color="000000" w:fill="E2EFDA"/>
            <w:vAlign w:val="center"/>
            <w:hideMark/>
          </w:tcPr>
          <w:p w14:paraId="52D090D6"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350" w:type="pct"/>
            <w:tcBorders>
              <w:top w:val="nil"/>
              <w:left w:val="nil"/>
              <w:bottom w:val="single" w:sz="4" w:space="0" w:color="auto"/>
              <w:right w:val="single" w:sz="4" w:space="0" w:color="auto"/>
            </w:tcBorders>
            <w:shd w:val="clear" w:color="000000" w:fill="E2EFDA"/>
            <w:vAlign w:val="center"/>
            <w:hideMark/>
          </w:tcPr>
          <w:p w14:paraId="2651440D"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1,00</w:t>
            </w:r>
          </w:p>
        </w:tc>
      </w:tr>
      <w:tr w:rsidR="005D7AD3" w:rsidRPr="005D7AD3" w14:paraId="22BC66A9"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6ED91381"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18CE346D"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МП_Д38</w:t>
            </w:r>
          </w:p>
        </w:tc>
        <w:tc>
          <w:tcPr>
            <w:tcW w:w="1323" w:type="pct"/>
            <w:tcBorders>
              <w:top w:val="nil"/>
              <w:left w:val="nil"/>
              <w:bottom w:val="single" w:sz="4" w:space="0" w:color="auto"/>
              <w:right w:val="single" w:sz="4" w:space="0" w:color="auto"/>
            </w:tcBorders>
            <w:shd w:val="clear" w:color="auto" w:fill="auto"/>
            <w:vAlign w:val="center"/>
            <w:hideMark/>
          </w:tcPr>
          <w:p w14:paraId="39BDF71D"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Подршка демонстрационим пројектима за промовисање биометана и обновљивог водоника</w:t>
            </w:r>
          </w:p>
        </w:tc>
        <w:tc>
          <w:tcPr>
            <w:tcW w:w="344" w:type="pct"/>
            <w:tcBorders>
              <w:top w:val="nil"/>
              <w:left w:val="nil"/>
              <w:bottom w:val="single" w:sz="4" w:space="0" w:color="auto"/>
              <w:right w:val="single" w:sz="4" w:space="0" w:color="auto"/>
            </w:tcBorders>
            <w:shd w:val="clear" w:color="auto" w:fill="auto"/>
            <w:vAlign w:val="center"/>
            <w:hideMark/>
          </w:tcPr>
          <w:p w14:paraId="47BDF23F"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5D032524"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5CB4B024"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35,00</w:t>
            </w:r>
          </w:p>
        </w:tc>
        <w:tc>
          <w:tcPr>
            <w:tcW w:w="319" w:type="pct"/>
            <w:tcBorders>
              <w:top w:val="nil"/>
              <w:left w:val="nil"/>
              <w:bottom w:val="single" w:sz="4" w:space="0" w:color="auto"/>
              <w:right w:val="single" w:sz="4" w:space="0" w:color="auto"/>
            </w:tcBorders>
            <w:shd w:val="clear" w:color="000000" w:fill="ED7D31"/>
            <w:vAlign w:val="center"/>
            <w:hideMark/>
          </w:tcPr>
          <w:p w14:paraId="1AD63BA8"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17,50</w:t>
            </w:r>
          </w:p>
        </w:tc>
        <w:tc>
          <w:tcPr>
            <w:tcW w:w="302" w:type="pct"/>
            <w:tcBorders>
              <w:top w:val="nil"/>
              <w:left w:val="nil"/>
              <w:bottom w:val="single" w:sz="4" w:space="0" w:color="auto"/>
              <w:right w:val="single" w:sz="4" w:space="0" w:color="auto"/>
            </w:tcBorders>
            <w:shd w:val="clear" w:color="000000" w:fill="ED7D31"/>
            <w:vAlign w:val="center"/>
            <w:hideMark/>
          </w:tcPr>
          <w:p w14:paraId="27BB690F"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17,50</w:t>
            </w:r>
          </w:p>
        </w:tc>
        <w:tc>
          <w:tcPr>
            <w:tcW w:w="446" w:type="pct"/>
            <w:tcBorders>
              <w:top w:val="nil"/>
              <w:left w:val="nil"/>
              <w:bottom w:val="single" w:sz="4" w:space="0" w:color="auto"/>
              <w:right w:val="single" w:sz="4" w:space="0" w:color="auto"/>
            </w:tcBorders>
            <w:shd w:val="clear" w:color="000000" w:fill="E2EFDA"/>
            <w:vAlign w:val="center"/>
            <w:hideMark/>
          </w:tcPr>
          <w:p w14:paraId="5BBA33CC"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WAM</w:t>
            </w:r>
          </w:p>
        </w:tc>
        <w:tc>
          <w:tcPr>
            <w:tcW w:w="354" w:type="pct"/>
            <w:tcBorders>
              <w:top w:val="nil"/>
              <w:left w:val="nil"/>
              <w:bottom w:val="single" w:sz="4" w:space="0" w:color="auto"/>
              <w:right w:val="single" w:sz="4" w:space="0" w:color="auto"/>
            </w:tcBorders>
            <w:shd w:val="clear" w:color="000000" w:fill="E2EFDA"/>
            <w:vAlign w:val="center"/>
            <w:hideMark/>
          </w:tcPr>
          <w:p w14:paraId="116200AA"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350" w:type="pct"/>
            <w:tcBorders>
              <w:top w:val="nil"/>
              <w:left w:val="nil"/>
              <w:bottom w:val="single" w:sz="4" w:space="0" w:color="auto"/>
              <w:right w:val="single" w:sz="4" w:space="0" w:color="auto"/>
            </w:tcBorders>
            <w:shd w:val="clear" w:color="000000" w:fill="E2EFDA"/>
            <w:vAlign w:val="center"/>
            <w:hideMark/>
          </w:tcPr>
          <w:p w14:paraId="77C02E48"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35,00</w:t>
            </w:r>
          </w:p>
        </w:tc>
      </w:tr>
      <w:tr w:rsidR="005D7AD3" w:rsidRPr="005D7AD3" w14:paraId="7DBCA54D"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30BB2774"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16E5609D"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МП_Д39</w:t>
            </w:r>
          </w:p>
        </w:tc>
        <w:tc>
          <w:tcPr>
            <w:tcW w:w="1323" w:type="pct"/>
            <w:tcBorders>
              <w:top w:val="nil"/>
              <w:left w:val="nil"/>
              <w:bottom w:val="single" w:sz="4" w:space="0" w:color="auto"/>
              <w:right w:val="single" w:sz="4" w:space="0" w:color="auto"/>
            </w:tcBorders>
            <w:shd w:val="clear" w:color="auto" w:fill="auto"/>
            <w:vAlign w:val="center"/>
            <w:hideMark/>
          </w:tcPr>
          <w:p w14:paraId="78B827D8"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Развој потребне законске регулативе и инфраструктуре за коришћење биометана и обновљивог водоника</w:t>
            </w:r>
          </w:p>
        </w:tc>
        <w:tc>
          <w:tcPr>
            <w:tcW w:w="344" w:type="pct"/>
            <w:tcBorders>
              <w:top w:val="nil"/>
              <w:left w:val="nil"/>
              <w:bottom w:val="single" w:sz="4" w:space="0" w:color="auto"/>
              <w:right w:val="single" w:sz="4" w:space="0" w:color="auto"/>
            </w:tcBorders>
            <w:shd w:val="clear" w:color="auto" w:fill="auto"/>
            <w:vAlign w:val="center"/>
            <w:hideMark/>
          </w:tcPr>
          <w:p w14:paraId="4BDD8E3E"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xml:space="preserve">Реформа </w:t>
            </w:r>
          </w:p>
        </w:tc>
        <w:tc>
          <w:tcPr>
            <w:tcW w:w="368" w:type="pct"/>
            <w:tcBorders>
              <w:top w:val="nil"/>
              <w:left w:val="nil"/>
              <w:bottom w:val="single" w:sz="4" w:space="0" w:color="auto"/>
              <w:right w:val="single" w:sz="4" w:space="0" w:color="auto"/>
            </w:tcBorders>
            <w:shd w:val="clear" w:color="auto" w:fill="auto"/>
            <w:vAlign w:val="center"/>
            <w:hideMark/>
          </w:tcPr>
          <w:p w14:paraId="0DA6B545"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4F84DC40"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0,80</w:t>
            </w:r>
          </w:p>
        </w:tc>
        <w:tc>
          <w:tcPr>
            <w:tcW w:w="319" w:type="pct"/>
            <w:tcBorders>
              <w:top w:val="nil"/>
              <w:left w:val="nil"/>
              <w:bottom w:val="single" w:sz="4" w:space="0" w:color="auto"/>
              <w:right w:val="single" w:sz="4" w:space="0" w:color="auto"/>
            </w:tcBorders>
            <w:shd w:val="clear" w:color="000000" w:fill="E2EFDA"/>
            <w:vAlign w:val="center"/>
            <w:hideMark/>
          </w:tcPr>
          <w:p w14:paraId="37026854"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0,80</w:t>
            </w:r>
          </w:p>
        </w:tc>
        <w:tc>
          <w:tcPr>
            <w:tcW w:w="302" w:type="pct"/>
            <w:tcBorders>
              <w:top w:val="nil"/>
              <w:left w:val="nil"/>
              <w:bottom w:val="single" w:sz="4" w:space="0" w:color="auto"/>
              <w:right w:val="single" w:sz="4" w:space="0" w:color="auto"/>
            </w:tcBorders>
            <w:shd w:val="clear" w:color="000000" w:fill="E2EFDA"/>
            <w:vAlign w:val="center"/>
            <w:hideMark/>
          </w:tcPr>
          <w:p w14:paraId="726939A0"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2EFDA"/>
            <w:vAlign w:val="center"/>
            <w:hideMark/>
          </w:tcPr>
          <w:p w14:paraId="49D4AA88"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WAM</w:t>
            </w:r>
          </w:p>
        </w:tc>
        <w:tc>
          <w:tcPr>
            <w:tcW w:w="354" w:type="pct"/>
            <w:tcBorders>
              <w:top w:val="nil"/>
              <w:left w:val="nil"/>
              <w:bottom w:val="single" w:sz="4" w:space="0" w:color="auto"/>
              <w:right w:val="single" w:sz="4" w:space="0" w:color="auto"/>
            </w:tcBorders>
            <w:shd w:val="clear" w:color="000000" w:fill="E2EFDA"/>
            <w:vAlign w:val="center"/>
            <w:hideMark/>
          </w:tcPr>
          <w:p w14:paraId="7E9F0389"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350" w:type="pct"/>
            <w:tcBorders>
              <w:top w:val="nil"/>
              <w:left w:val="nil"/>
              <w:bottom w:val="single" w:sz="4" w:space="0" w:color="auto"/>
              <w:right w:val="single" w:sz="4" w:space="0" w:color="auto"/>
            </w:tcBorders>
            <w:shd w:val="clear" w:color="000000" w:fill="E2EFDA"/>
            <w:vAlign w:val="center"/>
            <w:hideMark/>
          </w:tcPr>
          <w:p w14:paraId="3557A0B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0,80</w:t>
            </w:r>
          </w:p>
        </w:tc>
      </w:tr>
      <w:tr w:rsidR="005D7AD3" w:rsidRPr="005D7AD3" w14:paraId="2D393984"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491E769B"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30B8E70F"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МП_Д40</w:t>
            </w:r>
          </w:p>
        </w:tc>
        <w:tc>
          <w:tcPr>
            <w:tcW w:w="1323" w:type="pct"/>
            <w:tcBorders>
              <w:top w:val="nil"/>
              <w:left w:val="nil"/>
              <w:bottom w:val="single" w:sz="4" w:space="0" w:color="auto"/>
              <w:right w:val="single" w:sz="4" w:space="0" w:color="auto"/>
            </w:tcBorders>
            <w:shd w:val="clear" w:color="auto" w:fill="auto"/>
            <w:vAlign w:val="center"/>
            <w:hideMark/>
          </w:tcPr>
          <w:p w14:paraId="4085009E"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Развој ефикасних ланаца снабдевања за експлоатацију расположивог потенцијала биогорива, биотечности и биомасе</w:t>
            </w:r>
          </w:p>
        </w:tc>
        <w:tc>
          <w:tcPr>
            <w:tcW w:w="344" w:type="pct"/>
            <w:tcBorders>
              <w:top w:val="nil"/>
              <w:left w:val="nil"/>
              <w:bottom w:val="single" w:sz="4" w:space="0" w:color="auto"/>
              <w:right w:val="single" w:sz="4" w:space="0" w:color="auto"/>
            </w:tcBorders>
            <w:shd w:val="clear" w:color="auto" w:fill="auto"/>
            <w:vAlign w:val="center"/>
            <w:hideMark/>
          </w:tcPr>
          <w:p w14:paraId="497582E4"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3C2B4855"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интегрисана у МП_Д29 и МП_Д33</w:t>
            </w:r>
          </w:p>
        </w:tc>
        <w:tc>
          <w:tcPr>
            <w:tcW w:w="447" w:type="pct"/>
            <w:tcBorders>
              <w:top w:val="nil"/>
              <w:left w:val="nil"/>
              <w:bottom w:val="single" w:sz="4" w:space="0" w:color="auto"/>
              <w:right w:val="single" w:sz="4" w:space="0" w:color="auto"/>
            </w:tcBorders>
            <w:shd w:val="clear" w:color="000000" w:fill="595959"/>
            <w:vAlign w:val="center"/>
            <w:hideMark/>
          </w:tcPr>
          <w:p w14:paraId="6382C71C"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19" w:type="pct"/>
            <w:tcBorders>
              <w:top w:val="nil"/>
              <w:left w:val="nil"/>
              <w:bottom w:val="single" w:sz="4" w:space="0" w:color="auto"/>
              <w:right w:val="single" w:sz="4" w:space="0" w:color="auto"/>
            </w:tcBorders>
            <w:shd w:val="clear" w:color="000000" w:fill="595959"/>
            <w:vAlign w:val="center"/>
            <w:hideMark/>
          </w:tcPr>
          <w:p w14:paraId="2B1D5C08"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02" w:type="pct"/>
            <w:tcBorders>
              <w:top w:val="nil"/>
              <w:left w:val="nil"/>
              <w:bottom w:val="single" w:sz="4" w:space="0" w:color="auto"/>
              <w:right w:val="single" w:sz="4" w:space="0" w:color="auto"/>
            </w:tcBorders>
            <w:shd w:val="clear" w:color="000000" w:fill="595959"/>
            <w:noWrap/>
            <w:vAlign w:val="bottom"/>
            <w:hideMark/>
          </w:tcPr>
          <w:p w14:paraId="20607719"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6" w:type="pct"/>
            <w:tcBorders>
              <w:top w:val="nil"/>
              <w:left w:val="nil"/>
              <w:bottom w:val="single" w:sz="4" w:space="0" w:color="auto"/>
              <w:right w:val="single" w:sz="4" w:space="0" w:color="auto"/>
            </w:tcBorders>
            <w:shd w:val="clear" w:color="000000" w:fill="E2EFDA"/>
            <w:vAlign w:val="center"/>
            <w:hideMark/>
          </w:tcPr>
          <w:p w14:paraId="2FC5CBE8"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WAM</w:t>
            </w:r>
          </w:p>
        </w:tc>
        <w:tc>
          <w:tcPr>
            <w:tcW w:w="354" w:type="pct"/>
            <w:tcBorders>
              <w:top w:val="nil"/>
              <w:left w:val="nil"/>
              <w:bottom w:val="single" w:sz="4" w:space="0" w:color="auto"/>
              <w:right w:val="single" w:sz="4" w:space="0" w:color="auto"/>
            </w:tcBorders>
            <w:shd w:val="clear" w:color="000000" w:fill="595959"/>
            <w:vAlign w:val="center"/>
            <w:hideMark/>
          </w:tcPr>
          <w:p w14:paraId="522C443E"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50" w:type="pct"/>
            <w:tcBorders>
              <w:top w:val="nil"/>
              <w:left w:val="nil"/>
              <w:bottom w:val="single" w:sz="4" w:space="0" w:color="auto"/>
              <w:right w:val="single" w:sz="4" w:space="0" w:color="auto"/>
            </w:tcBorders>
            <w:shd w:val="clear" w:color="000000" w:fill="595959"/>
            <w:noWrap/>
            <w:vAlign w:val="bottom"/>
            <w:hideMark/>
          </w:tcPr>
          <w:p w14:paraId="0742EAE0"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r>
      <w:tr w:rsidR="005D7AD3" w:rsidRPr="005D7AD3" w14:paraId="7F7EA327"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076041E4"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12CC7F81"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МП_Д41</w:t>
            </w:r>
          </w:p>
        </w:tc>
        <w:tc>
          <w:tcPr>
            <w:tcW w:w="1323" w:type="pct"/>
            <w:tcBorders>
              <w:top w:val="nil"/>
              <w:left w:val="nil"/>
              <w:bottom w:val="single" w:sz="4" w:space="0" w:color="auto"/>
              <w:right w:val="single" w:sz="4" w:space="0" w:color="auto"/>
            </w:tcBorders>
            <w:shd w:val="clear" w:color="auto" w:fill="auto"/>
            <w:vAlign w:val="center"/>
            <w:hideMark/>
          </w:tcPr>
          <w:p w14:paraId="4A4429C4"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Утврђивање критеријума одрживости и уштеде емисија гасова са ефектом стаклене баште за биогорива, биотечности и горива из биомасе, укључујући потребне активности праћења и верификације</w:t>
            </w:r>
          </w:p>
        </w:tc>
        <w:tc>
          <w:tcPr>
            <w:tcW w:w="344" w:type="pct"/>
            <w:tcBorders>
              <w:top w:val="nil"/>
              <w:left w:val="nil"/>
              <w:bottom w:val="single" w:sz="4" w:space="0" w:color="auto"/>
              <w:right w:val="single" w:sz="4" w:space="0" w:color="auto"/>
            </w:tcBorders>
            <w:shd w:val="clear" w:color="auto" w:fill="auto"/>
            <w:vAlign w:val="center"/>
            <w:hideMark/>
          </w:tcPr>
          <w:p w14:paraId="34031CFF"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xml:space="preserve">Реформа </w:t>
            </w:r>
          </w:p>
        </w:tc>
        <w:tc>
          <w:tcPr>
            <w:tcW w:w="368" w:type="pct"/>
            <w:tcBorders>
              <w:top w:val="nil"/>
              <w:left w:val="nil"/>
              <w:bottom w:val="single" w:sz="4" w:space="0" w:color="auto"/>
              <w:right w:val="single" w:sz="4" w:space="0" w:color="auto"/>
            </w:tcBorders>
            <w:shd w:val="clear" w:color="auto" w:fill="auto"/>
            <w:vAlign w:val="center"/>
            <w:hideMark/>
          </w:tcPr>
          <w:p w14:paraId="767C1F7A"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12D0780B"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0,20</w:t>
            </w:r>
          </w:p>
        </w:tc>
        <w:tc>
          <w:tcPr>
            <w:tcW w:w="319" w:type="pct"/>
            <w:tcBorders>
              <w:top w:val="nil"/>
              <w:left w:val="nil"/>
              <w:bottom w:val="single" w:sz="4" w:space="0" w:color="auto"/>
              <w:right w:val="single" w:sz="4" w:space="0" w:color="auto"/>
            </w:tcBorders>
            <w:shd w:val="clear" w:color="000000" w:fill="E2EFDA"/>
            <w:vAlign w:val="center"/>
            <w:hideMark/>
          </w:tcPr>
          <w:p w14:paraId="629A070D"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0,20</w:t>
            </w:r>
          </w:p>
        </w:tc>
        <w:tc>
          <w:tcPr>
            <w:tcW w:w="302" w:type="pct"/>
            <w:tcBorders>
              <w:top w:val="nil"/>
              <w:left w:val="nil"/>
              <w:bottom w:val="single" w:sz="4" w:space="0" w:color="auto"/>
              <w:right w:val="single" w:sz="4" w:space="0" w:color="auto"/>
            </w:tcBorders>
            <w:shd w:val="clear" w:color="000000" w:fill="E2EFDA"/>
            <w:vAlign w:val="center"/>
            <w:hideMark/>
          </w:tcPr>
          <w:p w14:paraId="4A0D5B6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2EFDA"/>
            <w:vAlign w:val="center"/>
            <w:hideMark/>
          </w:tcPr>
          <w:p w14:paraId="7D779A63"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WEM, WAM (унапређење, прилагођавање)</w:t>
            </w:r>
          </w:p>
        </w:tc>
        <w:tc>
          <w:tcPr>
            <w:tcW w:w="354" w:type="pct"/>
            <w:tcBorders>
              <w:top w:val="nil"/>
              <w:left w:val="nil"/>
              <w:bottom w:val="single" w:sz="4" w:space="0" w:color="auto"/>
              <w:right w:val="single" w:sz="4" w:space="0" w:color="auto"/>
            </w:tcBorders>
            <w:shd w:val="clear" w:color="000000" w:fill="E2EFDA"/>
            <w:vAlign w:val="center"/>
            <w:hideMark/>
          </w:tcPr>
          <w:p w14:paraId="706AB55C"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0,20</w:t>
            </w:r>
          </w:p>
        </w:tc>
        <w:tc>
          <w:tcPr>
            <w:tcW w:w="350" w:type="pct"/>
            <w:tcBorders>
              <w:top w:val="nil"/>
              <w:left w:val="nil"/>
              <w:bottom w:val="single" w:sz="4" w:space="0" w:color="auto"/>
              <w:right w:val="single" w:sz="4" w:space="0" w:color="auto"/>
            </w:tcBorders>
            <w:shd w:val="clear" w:color="000000" w:fill="E2EFDA"/>
            <w:vAlign w:val="center"/>
            <w:hideMark/>
          </w:tcPr>
          <w:p w14:paraId="48BC6BC1"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r>
      <w:tr w:rsidR="005D7AD3" w:rsidRPr="005D7AD3" w14:paraId="4C9E2548"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3845F96B"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6F7E4739"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МП_Д42</w:t>
            </w:r>
          </w:p>
        </w:tc>
        <w:tc>
          <w:tcPr>
            <w:tcW w:w="1323" w:type="pct"/>
            <w:tcBorders>
              <w:top w:val="nil"/>
              <w:left w:val="nil"/>
              <w:bottom w:val="single" w:sz="4" w:space="0" w:color="auto"/>
              <w:right w:val="single" w:sz="4" w:space="0" w:color="auto"/>
            </w:tcBorders>
            <w:shd w:val="clear" w:color="auto" w:fill="auto"/>
            <w:vAlign w:val="center"/>
            <w:hideMark/>
          </w:tcPr>
          <w:p w14:paraId="5A7F4F3D"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Спровођење активности информисања и обуке свих релевантних заинтересованих страна за коришћење ОИЕ</w:t>
            </w:r>
          </w:p>
        </w:tc>
        <w:tc>
          <w:tcPr>
            <w:tcW w:w="344" w:type="pct"/>
            <w:tcBorders>
              <w:top w:val="nil"/>
              <w:left w:val="nil"/>
              <w:bottom w:val="single" w:sz="4" w:space="0" w:color="auto"/>
              <w:right w:val="single" w:sz="4" w:space="0" w:color="auto"/>
            </w:tcBorders>
            <w:shd w:val="clear" w:color="auto" w:fill="auto"/>
            <w:vAlign w:val="center"/>
            <w:hideMark/>
          </w:tcPr>
          <w:p w14:paraId="610FC8F9"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xml:space="preserve">Реформа </w:t>
            </w:r>
          </w:p>
        </w:tc>
        <w:tc>
          <w:tcPr>
            <w:tcW w:w="368" w:type="pct"/>
            <w:tcBorders>
              <w:top w:val="nil"/>
              <w:left w:val="nil"/>
              <w:bottom w:val="single" w:sz="4" w:space="0" w:color="auto"/>
              <w:right w:val="single" w:sz="4" w:space="0" w:color="auto"/>
            </w:tcBorders>
            <w:shd w:val="clear" w:color="auto" w:fill="auto"/>
            <w:vAlign w:val="center"/>
            <w:hideMark/>
          </w:tcPr>
          <w:p w14:paraId="359DF54A"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допринос свим спроведеним мерама</w:t>
            </w:r>
          </w:p>
        </w:tc>
        <w:tc>
          <w:tcPr>
            <w:tcW w:w="447" w:type="pct"/>
            <w:tcBorders>
              <w:top w:val="nil"/>
              <w:left w:val="nil"/>
              <w:bottom w:val="single" w:sz="4" w:space="0" w:color="auto"/>
              <w:right w:val="single" w:sz="4" w:space="0" w:color="auto"/>
            </w:tcBorders>
            <w:shd w:val="clear" w:color="000000" w:fill="E2EFDA"/>
            <w:vAlign w:val="center"/>
            <w:hideMark/>
          </w:tcPr>
          <w:p w14:paraId="07D7E2E4"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0,20</w:t>
            </w:r>
          </w:p>
        </w:tc>
        <w:tc>
          <w:tcPr>
            <w:tcW w:w="319" w:type="pct"/>
            <w:tcBorders>
              <w:top w:val="nil"/>
              <w:left w:val="nil"/>
              <w:bottom w:val="single" w:sz="4" w:space="0" w:color="auto"/>
              <w:right w:val="single" w:sz="4" w:space="0" w:color="auto"/>
            </w:tcBorders>
            <w:shd w:val="clear" w:color="000000" w:fill="E2EFDA"/>
            <w:vAlign w:val="center"/>
            <w:hideMark/>
          </w:tcPr>
          <w:p w14:paraId="0027F17D"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0,20</w:t>
            </w:r>
          </w:p>
        </w:tc>
        <w:tc>
          <w:tcPr>
            <w:tcW w:w="302" w:type="pct"/>
            <w:tcBorders>
              <w:top w:val="nil"/>
              <w:left w:val="nil"/>
              <w:bottom w:val="single" w:sz="4" w:space="0" w:color="auto"/>
              <w:right w:val="single" w:sz="4" w:space="0" w:color="auto"/>
            </w:tcBorders>
            <w:shd w:val="clear" w:color="000000" w:fill="E2EFDA"/>
            <w:vAlign w:val="center"/>
            <w:hideMark/>
          </w:tcPr>
          <w:p w14:paraId="176805C7"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2EFDA"/>
            <w:vAlign w:val="center"/>
            <w:hideMark/>
          </w:tcPr>
          <w:p w14:paraId="0CB2741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WAM</w:t>
            </w:r>
          </w:p>
        </w:tc>
        <w:tc>
          <w:tcPr>
            <w:tcW w:w="354" w:type="pct"/>
            <w:tcBorders>
              <w:top w:val="nil"/>
              <w:left w:val="nil"/>
              <w:bottom w:val="single" w:sz="4" w:space="0" w:color="auto"/>
              <w:right w:val="single" w:sz="4" w:space="0" w:color="auto"/>
            </w:tcBorders>
            <w:shd w:val="clear" w:color="000000" w:fill="E2EFDA"/>
            <w:vAlign w:val="center"/>
            <w:hideMark/>
          </w:tcPr>
          <w:p w14:paraId="351B910A"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350" w:type="pct"/>
            <w:tcBorders>
              <w:top w:val="nil"/>
              <w:left w:val="nil"/>
              <w:bottom w:val="single" w:sz="4" w:space="0" w:color="auto"/>
              <w:right w:val="single" w:sz="4" w:space="0" w:color="auto"/>
            </w:tcBorders>
            <w:shd w:val="clear" w:color="000000" w:fill="E2EFDA"/>
            <w:vAlign w:val="center"/>
            <w:hideMark/>
          </w:tcPr>
          <w:p w14:paraId="7D9808FF"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0,20</w:t>
            </w:r>
          </w:p>
        </w:tc>
      </w:tr>
      <w:tr w:rsidR="005D7AD3" w:rsidRPr="005D7AD3" w14:paraId="60EBC424"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6A0924BA"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7BD2F126"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МП_Д43</w:t>
            </w:r>
          </w:p>
        </w:tc>
        <w:tc>
          <w:tcPr>
            <w:tcW w:w="1323" w:type="pct"/>
            <w:tcBorders>
              <w:top w:val="nil"/>
              <w:left w:val="nil"/>
              <w:bottom w:val="single" w:sz="4" w:space="0" w:color="auto"/>
              <w:right w:val="single" w:sz="4" w:space="0" w:color="auto"/>
            </w:tcBorders>
            <w:shd w:val="clear" w:color="auto" w:fill="auto"/>
            <w:vAlign w:val="center"/>
            <w:hideMark/>
          </w:tcPr>
          <w:p w14:paraId="667A2920"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Подстицање ОИЕ кроз поступке јавних набавки</w:t>
            </w:r>
          </w:p>
        </w:tc>
        <w:tc>
          <w:tcPr>
            <w:tcW w:w="344" w:type="pct"/>
            <w:tcBorders>
              <w:top w:val="nil"/>
              <w:left w:val="nil"/>
              <w:bottom w:val="single" w:sz="4" w:space="0" w:color="auto"/>
              <w:right w:val="single" w:sz="4" w:space="0" w:color="auto"/>
            </w:tcBorders>
            <w:shd w:val="clear" w:color="auto" w:fill="auto"/>
            <w:vAlign w:val="center"/>
            <w:hideMark/>
          </w:tcPr>
          <w:p w14:paraId="7788A73C"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5084973E" w14:textId="0B504AF5"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Буџет интегрисан у мере диманзије енергетска ефикасност (МП_EE33)</w:t>
            </w:r>
          </w:p>
        </w:tc>
        <w:tc>
          <w:tcPr>
            <w:tcW w:w="447" w:type="pct"/>
            <w:tcBorders>
              <w:top w:val="nil"/>
              <w:left w:val="nil"/>
              <w:bottom w:val="single" w:sz="4" w:space="0" w:color="auto"/>
              <w:right w:val="single" w:sz="4" w:space="0" w:color="auto"/>
            </w:tcBorders>
            <w:shd w:val="clear" w:color="000000" w:fill="595959"/>
            <w:vAlign w:val="center"/>
            <w:hideMark/>
          </w:tcPr>
          <w:p w14:paraId="09AAF57A"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19" w:type="pct"/>
            <w:tcBorders>
              <w:top w:val="nil"/>
              <w:left w:val="nil"/>
              <w:bottom w:val="single" w:sz="4" w:space="0" w:color="auto"/>
              <w:right w:val="single" w:sz="4" w:space="0" w:color="auto"/>
            </w:tcBorders>
            <w:shd w:val="clear" w:color="000000" w:fill="595959"/>
            <w:vAlign w:val="center"/>
            <w:hideMark/>
          </w:tcPr>
          <w:p w14:paraId="7E97F586"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02" w:type="pct"/>
            <w:tcBorders>
              <w:top w:val="nil"/>
              <w:left w:val="nil"/>
              <w:bottom w:val="single" w:sz="4" w:space="0" w:color="auto"/>
              <w:right w:val="single" w:sz="4" w:space="0" w:color="auto"/>
            </w:tcBorders>
            <w:shd w:val="clear" w:color="000000" w:fill="595959"/>
            <w:noWrap/>
            <w:vAlign w:val="bottom"/>
            <w:hideMark/>
          </w:tcPr>
          <w:p w14:paraId="26B31C54"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6" w:type="pct"/>
            <w:tcBorders>
              <w:top w:val="nil"/>
              <w:left w:val="nil"/>
              <w:bottom w:val="single" w:sz="4" w:space="0" w:color="auto"/>
              <w:right w:val="single" w:sz="4" w:space="0" w:color="auto"/>
            </w:tcBorders>
            <w:shd w:val="clear" w:color="000000" w:fill="E2EFDA"/>
            <w:vAlign w:val="center"/>
            <w:hideMark/>
          </w:tcPr>
          <w:p w14:paraId="405285BA"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WEM</w:t>
            </w:r>
          </w:p>
        </w:tc>
        <w:tc>
          <w:tcPr>
            <w:tcW w:w="354" w:type="pct"/>
            <w:tcBorders>
              <w:top w:val="nil"/>
              <w:left w:val="nil"/>
              <w:bottom w:val="single" w:sz="4" w:space="0" w:color="auto"/>
              <w:right w:val="single" w:sz="4" w:space="0" w:color="auto"/>
            </w:tcBorders>
            <w:shd w:val="clear" w:color="000000" w:fill="595959"/>
            <w:vAlign w:val="center"/>
            <w:hideMark/>
          </w:tcPr>
          <w:p w14:paraId="38E107CA"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50" w:type="pct"/>
            <w:tcBorders>
              <w:top w:val="nil"/>
              <w:left w:val="nil"/>
              <w:bottom w:val="single" w:sz="4" w:space="0" w:color="auto"/>
              <w:right w:val="single" w:sz="4" w:space="0" w:color="auto"/>
            </w:tcBorders>
            <w:shd w:val="clear" w:color="000000" w:fill="595959"/>
            <w:noWrap/>
            <w:vAlign w:val="bottom"/>
            <w:hideMark/>
          </w:tcPr>
          <w:p w14:paraId="2BF49458"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r>
      <w:tr w:rsidR="005D7AD3" w:rsidRPr="005D7AD3" w14:paraId="08DF8010"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4FD0808E"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000000" w:fill="FFFFFF"/>
            <w:vAlign w:val="center"/>
            <w:hideMark/>
          </w:tcPr>
          <w:p w14:paraId="0CE09B82"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МП_Д44</w:t>
            </w:r>
          </w:p>
        </w:tc>
        <w:tc>
          <w:tcPr>
            <w:tcW w:w="1323" w:type="pct"/>
            <w:tcBorders>
              <w:top w:val="nil"/>
              <w:left w:val="nil"/>
              <w:bottom w:val="single" w:sz="4" w:space="0" w:color="auto"/>
              <w:right w:val="single" w:sz="4" w:space="0" w:color="auto"/>
            </w:tcBorders>
            <w:shd w:val="clear" w:color="000000" w:fill="FFFFFF"/>
            <w:vAlign w:val="center"/>
            <w:hideMark/>
          </w:tcPr>
          <w:p w14:paraId="1FBA8E7D"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Развој шеме за квалификацију, акредитацију и сертификацију стручњака у области ОИЕ</w:t>
            </w:r>
          </w:p>
        </w:tc>
        <w:tc>
          <w:tcPr>
            <w:tcW w:w="344" w:type="pct"/>
            <w:tcBorders>
              <w:top w:val="nil"/>
              <w:left w:val="nil"/>
              <w:bottom w:val="single" w:sz="4" w:space="0" w:color="auto"/>
              <w:right w:val="single" w:sz="4" w:space="0" w:color="auto"/>
            </w:tcBorders>
            <w:shd w:val="clear" w:color="000000" w:fill="FFFFFF"/>
            <w:vAlign w:val="center"/>
            <w:hideMark/>
          </w:tcPr>
          <w:p w14:paraId="52F91718"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xml:space="preserve">Реформа </w:t>
            </w:r>
          </w:p>
        </w:tc>
        <w:tc>
          <w:tcPr>
            <w:tcW w:w="368" w:type="pct"/>
            <w:tcBorders>
              <w:top w:val="nil"/>
              <w:left w:val="nil"/>
              <w:bottom w:val="single" w:sz="4" w:space="0" w:color="auto"/>
              <w:right w:val="single" w:sz="4" w:space="0" w:color="auto"/>
            </w:tcBorders>
            <w:shd w:val="clear" w:color="000000" w:fill="FFFFFF"/>
            <w:vAlign w:val="center"/>
            <w:hideMark/>
          </w:tcPr>
          <w:p w14:paraId="38F7CAB6"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15287D8A"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0,20</w:t>
            </w:r>
          </w:p>
        </w:tc>
        <w:tc>
          <w:tcPr>
            <w:tcW w:w="319" w:type="pct"/>
            <w:tcBorders>
              <w:top w:val="nil"/>
              <w:left w:val="nil"/>
              <w:bottom w:val="single" w:sz="4" w:space="0" w:color="auto"/>
              <w:right w:val="single" w:sz="4" w:space="0" w:color="auto"/>
            </w:tcBorders>
            <w:shd w:val="clear" w:color="000000" w:fill="E2EFDA"/>
            <w:vAlign w:val="center"/>
            <w:hideMark/>
          </w:tcPr>
          <w:p w14:paraId="4D64CD4E"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0,20</w:t>
            </w:r>
          </w:p>
        </w:tc>
        <w:tc>
          <w:tcPr>
            <w:tcW w:w="302" w:type="pct"/>
            <w:tcBorders>
              <w:top w:val="nil"/>
              <w:left w:val="nil"/>
              <w:bottom w:val="single" w:sz="4" w:space="0" w:color="auto"/>
              <w:right w:val="single" w:sz="4" w:space="0" w:color="auto"/>
            </w:tcBorders>
            <w:shd w:val="clear" w:color="000000" w:fill="E2EFDA"/>
            <w:vAlign w:val="center"/>
            <w:hideMark/>
          </w:tcPr>
          <w:p w14:paraId="2F250FB0"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2EFDA"/>
            <w:vAlign w:val="center"/>
            <w:hideMark/>
          </w:tcPr>
          <w:p w14:paraId="3BD7B16C"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WAM</w:t>
            </w:r>
          </w:p>
        </w:tc>
        <w:tc>
          <w:tcPr>
            <w:tcW w:w="354" w:type="pct"/>
            <w:tcBorders>
              <w:top w:val="nil"/>
              <w:left w:val="nil"/>
              <w:bottom w:val="single" w:sz="4" w:space="0" w:color="auto"/>
              <w:right w:val="single" w:sz="4" w:space="0" w:color="auto"/>
            </w:tcBorders>
            <w:shd w:val="clear" w:color="000000" w:fill="E2EFDA"/>
            <w:vAlign w:val="center"/>
            <w:hideMark/>
          </w:tcPr>
          <w:p w14:paraId="5CBE57F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350" w:type="pct"/>
            <w:tcBorders>
              <w:top w:val="nil"/>
              <w:left w:val="nil"/>
              <w:bottom w:val="single" w:sz="4" w:space="0" w:color="auto"/>
              <w:right w:val="single" w:sz="4" w:space="0" w:color="auto"/>
            </w:tcBorders>
            <w:shd w:val="clear" w:color="000000" w:fill="E2EFDA"/>
            <w:vAlign w:val="center"/>
            <w:hideMark/>
          </w:tcPr>
          <w:p w14:paraId="0D40C558"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0,20</w:t>
            </w:r>
          </w:p>
        </w:tc>
      </w:tr>
      <w:tr w:rsidR="005D7AD3" w:rsidRPr="005D7AD3" w14:paraId="5892153C"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0140970B"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000000" w:fill="FFFFFF"/>
            <w:vAlign w:val="center"/>
            <w:hideMark/>
          </w:tcPr>
          <w:p w14:paraId="25EF4170"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МП_Д45</w:t>
            </w:r>
          </w:p>
        </w:tc>
        <w:tc>
          <w:tcPr>
            <w:tcW w:w="1323" w:type="pct"/>
            <w:tcBorders>
              <w:top w:val="nil"/>
              <w:left w:val="nil"/>
              <w:bottom w:val="single" w:sz="4" w:space="0" w:color="auto"/>
              <w:right w:val="single" w:sz="4" w:space="0" w:color="auto"/>
            </w:tcBorders>
            <w:shd w:val="clear" w:color="000000" w:fill="FFFFFF"/>
            <w:vAlign w:val="center"/>
            <w:hideMark/>
          </w:tcPr>
          <w:p w14:paraId="66AE2141" w14:textId="77777777" w:rsidR="005D7AD3" w:rsidRPr="005D7AD3" w:rsidRDefault="005D7AD3" w:rsidP="005D7AD3">
            <w:pPr>
              <w:spacing w:after="0" w:line="240" w:lineRule="auto"/>
              <w:rPr>
                <w:rFonts w:ascii="Calibri" w:eastAsia="Times New Roman" w:hAnsi="Calibri" w:cs="Calibri"/>
                <w:color w:val="000000"/>
                <w:sz w:val="14"/>
                <w:szCs w:val="14"/>
              </w:rPr>
            </w:pPr>
            <w:r w:rsidRPr="005D7AD3">
              <w:rPr>
                <w:rFonts w:ascii="Calibri" w:eastAsia="Times New Roman" w:hAnsi="Calibri" w:cs="Calibri"/>
                <w:color w:val="000000"/>
                <w:sz w:val="14"/>
                <w:szCs w:val="14"/>
              </w:rPr>
              <w:t>Ажурирање и оптимизација оквира за просторно планирање</w:t>
            </w:r>
          </w:p>
        </w:tc>
        <w:tc>
          <w:tcPr>
            <w:tcW w:w="344" w:type="pct"/>
            <w:tcBorders>
              <w:top w:val="nil"/>
              <w:left w:val="nil"/>
              <w:bottom w:val="single" w:sz="4" w:space="0" w:color="auto"/>
              <w:right w:val="single" w:sz="4" w:space="0" w:color="auto"/>
            </w:tcBorders>
            <w:shd w:val="clear" w:color="000000" w:fill="FFFFFF"/>
            <w:vAlign w:val="center"/>
            <w:hideMark/>
          </w:tcPr>
          <w:p w14:paraId="413EAF77"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xml:space="preserve">Реформа </w:t>
            </w:r>
          </w:p>
        </w:tc>
        <w:tc>
          <w:tcPr>
            <w:tcW w:w="368" w:type="pct"/>
            <w:tcBorders>
              <w:top w:val="nil"/>
              <w:left w:val="nil"/>
              <w:bottom w:val="single" w:sz="4" w:space="0" w:color="auto"/>
              <w:right w:val="single" w:sz="4" w:space="0" w:color="auto"/>
            </w:tcBorders>
            <w:shd w:val="clear" w:color="000000" w:fill="FFFFFF"/>
            <w:vAlign w:val="center"/>
            <w:hideMark/>
          </w:tcPr>
          <w:p w14:paraId="1CDE3928"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447" w:type="pct"/>
            <w:tcBorders>
              <w:top w:val="nil"/>
              <w:left w:val="nil"/>
              <w:bottom w:val="single" w:sz="4" w:space="0" w:color="auto"/>
              <w:right w:val="single" w:sz="4" w:space="0" w:color="auto"/>
            </w:tcBorders>
            <w:shd w:val="clear" w:color="000000" w:fill="E2EFDA"/>
            <w:vAlign w:val="center"/>
            <w:hideMark/>
          </w:tcPr>
          <w:p w14:paraId="14436D9B"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0,10</w:t>
            </w:r>
          </w:p>
        </w:tc>
        <w:tc>
          <w:tcPr>
            <w:tcW w:w="319" w:type="pct"/>
            <w:tcBorders>
              <w:top w:val="nil"/>
              <w:left w:val="nil"/>
              <w:bottom w:val="single" w:sz="4" w:space="0" w:color="auto"/>
              <w:right w:val="single" w:sz="4" w:space="0" w:color="auto"/>
            </w:tcBorders>
            <w:shd w:val="clear" w:color="000000" w:fill="E2EFDA"/>
            <w:vAlign w:val="center"/>
            <w:hideMark/>
          </w:tcPr>
          <w:p w14:paraId="79D07E04"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0,10</w:t>
            </w:r>
          </w:p>
        </w:tc>
        <w:tc>
          <w:tcPr>
            <w:tcW w:w="302" w:type="pct"/>
            <w:tcBorders>
              <w:top w:val="nil"/>
              <w:left w:val="nil"/>
              <w:bottom w:val="single" w:sz="4" w:space="0" w:color="auto"/>
              <w:right w:val="single" w:sz="4" w:space="0" w:color="auto"/>
            </w:tcBorders>
            <w:shd w:val="clear" w:color="000000" w:fill="E2EFDA"/>
            <w:vAlign w:val="center"/>
            <w:hideMark/>
          </w:tcPr>
          <w:p w14:paraId="4E7F4DD2"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0,00</w:t>
            </w:r>
          </w:p>
        </w:tc>
        <w:tc>
          <w:tcPr>
            <w:tcW w:w="446" w:type="pct"/>
            <w:tcBorders>
              <w:top w:val="nil"/>
              <w:left w:val="nil"/>
              <w:bottom w:val="single" w:sz="4" w:space="0" w:color="auto"/>
              <w:right w:val="single" w:sz="4" w:space="0" w:color="auto"/>
            </w:tcBorders>
            <w:shd w:val="clear" w:color="000000" w:fill="E2EFDA"/>
            <w:vAlign w:val="center"/>
            <w:hideMark/>
          </w:tcPr>
          <w:p w14:paraId="04D96090"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WAM</w:t>
            </w:r>
          </w:p>
        </w:tc>
        <w:tc>
          <w:tcPr>
            <w:tcW w:w="354" w:type="pct"/>
            <w:tcBorders>
              <w:top w:val="nil"/>
              <w:left w:val="nil"/>
              <w:bottom w:val="single" w:sz="4" w:space="0" w:color="auto"/>
              <w:right w:val="single" w:sz="4" w:space="0" w:color="auto"/>
            </w:tcBorders>
            <w:shd w:val="clear" w:color="000000" w:fill="E2EFDA"/>
            <w:vAlign w:val="center"/>
            <w:hideMark/>
          </w:tcPr>
          <w:p w14:paraId="225A1DAD"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 </w:t>
            </w:r>
          </w:p>
        </w:tc>
        <w:tc>
          <w:tcPr>
            <w:tcW w:w="350" w:type="pct"/>
            <w:tcBorders>
              <w:top w:val="nil"/>
              <w:left w:val="nil"/>
              <w:bottom w:val="single" w:sz="4" w:space="0" w:color="auto"/>
              <w:right w:val="single" w:sz="4" w:space="0" w:color="auto"/>
            </w:tcBorders>
            <w:shd w:val="clear" w:color="000000" w:fill="E2EFDA"/>
            <w:vAlign w:val="center"/>
            <w:hideMark/>
          </w:tcPr>
          <w:p w14:paraId="76313383" w14:textId="77777777" w:rsidR="005D7AD3" w:rsidRPr="005D7AD3" w:rsidRDefault="005D7AD3" w:rsidP="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0,10</w:t>
            </w:r>
          </w:p>
        </w:tc>
      </w:tr>
      <w:tr w:rsidR="005D7AD3" w:rsidRPr="005D7AD3" w14:paraId="41A0070C" w14:textId="77777777" w:rsidTr="00565B02">
        <w:trPr>
          <w:trHeight w:val="20"/>
        </w:trPr>
        <w:tc>
          <w:tcPr>
            <w:tcW w:w="475" w:type="pct"/>
            <w:vMerge/>
            <w:tcBorders>
              <w:top w:val="nil"/>
              <w:left w:val="single" w:sz="4" w:space="0" w:color="auto"/>
              <w:bottom w:val="single" w:sz="4" w:space="0" w:color="auto"/>
              <w:right w:val="single" w:sz="4" w:space="0" w:color="auto"/>
            </w:tcBorders>
            <w:vAlign w:val="center"/>
            <w:hideMark/>
          </w:tcPr>
          <w:p w14:paraId="77458752" w14:textId="77777777" w:rsidR="005D7AD3" w:rsidRPr="005D7AD3" w:rsidRDefault="005D7AD3" w:rsidP="005D7AD3">
            <w:pPr>
              <w:spacing w:after="0" w:line="240" w:lineRule="auto"/>
              <w:rPr>
                <w:rFonts w:ascii="Calibri" w:eastAsia="Times New Roman" w:hAnsi="Calibri" w:cs="Calibri"/>
                <w:b/>
                <w:bCs/>
                <w:color w:val="000000"/>
                <w:sz w:val="14"/>
                <w:szCs w:val="14"/>
              </w:rPr>
            </w:pPr>
          </w:p>
        </w:tc>
        <w:tc>
          <w:tcPr>
            <w:tcW w:w="272" w:type="pct"/>
            <w:tcBorders>
              <w:top w:val="nil"/>
              <w:left w:val="nil"/>
              <w:bottom w:val="single" w:sz="4" w:space="0" w:color="auto"/>
              <w:right w:val="single" w:sz="4" w:space="0" w:color="auto"/>
            </w:tcBorders>
            <w:shd w:val="clear" w:color="auto" w:fill="auto"/>
            <w:vAlign w:val="center"/>
            <w:hideMark/>
          </w:tcPr>
          <w:p w14:paraId="41653D8A" w14:textId="77777777" w:rsidR="005D7AD3" w:rsidRPr="005D7AD3" w:rsidRDefault="005D7AD3" w:rsidP="005D7AD3">
            <w:pPr>
              <w:spacing w:after="0" w:line="240" w:lineRule="auto"/>
              <w:rPr>
                <w:rFonts w:ascii="Calibri" w:eastAsia="Times New Roman" w:hAnsi="Calibri" w:cs="Calibri"/>
                <w:b/>
                <w:bCs/>
                <w:color w:val="000000"/>
                <w:sz w:val="14"/>
                <w:szCs w:val="14"/>
              </w:rPr>
            </w:pPr>
            <w:r w:rsidRPr="005D7AD3">
              <w:rPr>
                <w:rFonts w:ascii="Calibri" w:eastAsia="Times New Roman" w:hAnsi="Calibri" w:cs="Calibri"/>
                <w:b/>
                <w:bCs/>
                <w:color w:val="000000"/>
                <w:sz w:val="14"/>
                <w:szCs w:val="14"/>
              </w:rPr>
              <w:t> </w:t>
            </w:r>
          </w:p>
        </w:tc>
        <w:tc>
          <w:tcPr>
            <w:tcW w:w="1323" w:type="pct"/>
            <w:tcBorders>
              <w:top w:val="nil"/>
              <w:left w:val="nil"/>
              <w:bottom w:val="single" w:sz="4" w:space="0" w:color="auto"/>
              <w:right w:val="single" w:sz="4" w:space="0" w:color="auto"/>
            </w:tcBorders>
            <w:shd w:val="clear" w:color="auto" w:fill="auto"/>
            <w:vAlign w:val="center"/>
            <w:hideMark/>
          </w:tcPr>
          <w:p w14:paraId="63F6AE92" w14:textId="77777777" w:rsidR="005D7AD3" w:rsidRPr="005D7AD3" w:rsidRDefault="005D7AD3" w:rsidP="005D7AD3">
            <w:pPr>
              <w:spacing w:after="0" w:line="240" w:lineRule="auto"/>
              <w:rPr>
                <w:rFonts w:ascii="Calibri" w:eastAsia="Times New Roman" w:hAnsi="Calibri" w:cs="Calibri"/>
                <w:b/>
                <w:bCs/>
                <w:color w:val="000000"/>
                <w:sz w:val="16"/>
                <w:szCs w:val="16"/>
              </w:rPr>
            </w:pPr>
            <w:r w:rsidRPr="005D7AD3">
              <w:rPr>
                <w:rFonts w:ascii="Calibri" w:eastAsia="Times New Roman" w:hAnsi="Calibri" w:cs="Calibri"/>
                <w:b/>
                <w:bCs/>
                <w:color w:val="000000"/>
                <w:sz w:val="16"/>
                <w:szCs w:val="16"/>
              </w:rPr>
              <w:t>УКУПНО ЗА ДЕКАРБОНИЗАЦИЈУ (УКЉУЧУЈУЋИ ОИЕ)</w:t>
            </w:r>
          </w:p>
        </w:tc>
        <w:tc>
          <w:tcPr>
            <w:tcW w:w="344" w:type="pct"/>
            <w:tcBorders>
              <w:top w:val="nil"/>
              <w:left w:val="nil"/>
              <w:bottom w:val="single" w:sz="4" w:space="0" w:color="auto"/>
              <w:right w:val="single" w:sz="4" w:space="0" w:color="auto"/>
            </w:tcBorders>
            <w:shd w:val="clear" w:color="auto" w:fill="auto"/>
            <w:vAlign w:val="center"/>
            <w:hideMark/>
          </w:tcPr>
          <w:p w14:paraId="09941645" w14:textId="77777777" w:rsidR="005D7AD3" w:rsidRPr="005D7AD3" w:rsidRDefault="005D7AD3" w:rsidP="005D7AD3">
            <w:pPr>
              <w:spacing w:after="0" w:line="240" w:lineRule="auto"/>
              <w:jc w:val="center"/>
              <w:rPr>
                <w:rFonts w:ascii="Calibri" w:eastAsia="Times New Roman" w:hAnsi="Calibri" w:cs="Calibri"/>
                <w:b/>
                <w:bCs/>
                <w:color w:val="000000"/>
                <w:sz w:val="16"/>
                <w:szCs w:val="16"/>
              </w:rPr>
            </w:pPr>
            <w:r w:rsidRPr="005D7AD3">
              <w:rPr>
                <w:rFonts w:ascii="Calibri" w:eastAsia="Times New Roman" w:hAnsi="Calibri" w:cs="Calibri"/>
                <w:b/>
                <w:bCs/>
                <w:color w:val="000000"/>
                <w:sz w:val="16"/>
                <w:szCs w:val="16"/>
              </w:rPr>
              <w:t> </w:t>
            </w:r>
          </w:p>
        </w:tc>
        <w:tc>
          <w:tcPr>
            <w:tcW w:w="368" w:type="pct"/>
            <w:tcBorders>
              <w:top w:val="nil"/>
              <w:left w:val="nil"/>
              <w:bottom w:val="single" w:sz="4" w:space="0" w:color="auto"/>
              <w:right w:val="single" w:sz="4" w:space="0" w:color="auto"/>
            </w:tcBorders>
            <w:shd w:val="clear" w:color="auto" w:fill="auto"/>
            <w:vAlign w:val="center"/>
            <w:hideMark/>
          </w:tcPr>
          <w:p w14:paraId="112718E1" w14:textId="77777777" w:rsidR="005D7AD3" w:rsidRPr="005D7AD3" w:rsidRDefault="005D7AD3" w:rsidP="005D7AD3">
            <w:pPr>
              <w:spacing w:after="0" w:line="240" w:lineRule="auto"/>
              <w:jc w:val="center"/>
              <w:rPr>
                <w:rFonts w:ascii="Calibri" w:eastAsia="Times New Roman" w:hAnsi="Calibri" w:cs="Calibri"/>
                <w:b/>
                <w:bCs/>
                <w:color w:val="000000"/>
                <w:sz w:val="16"/>
                <w:szCs w:val="16"/>
              </w:rPr>
            </w:pPr>
            <w:r w:rsidRPr="005D7AD3">
              <w:rPr>
                <w:rFonts w:ascii="Calibri" w:eastAsia="Times New Roman" w:hAnsi="Calibri" w:cs="Calibri"/>
                <w:b/>
                <w:bCs/>
                <w:color w:val="000000"/>
                <w:sz w:val="16"/>
                <w:szCs w:val="16"/>
              </w:rPr>
              <w:t> </w:t>
            </w:r>
          </w:p>
        </w:tc>
        <w:tc>
          <w:tcPr>
            <w:tcW w:w="447" w:type="pct"/>
            <w:tcBorders>
              <w:top w:val="nil"/>
              <w:left w:val="nil"/>
              <w:bottom w:val="single" w:sz="4" w:space="0" w:color="auto"/>
              <w:right w:val="single" w:sz="4" w:space="0" w:color="auto"/>
            </w:tcBorders>
            <w:shd w:val="clear" w:color="000000" w:fill="E2EFDA"/>
            <w:vAlign w:val="center"/>
            <w:hideMark/>
          </w:tcPr>
          <w:p w14:paraId="23F231FA" w14:textId="77777777" w:rsidR="005D7AD3" w:rsidRPr="005D7AD3" w:rsidRDefault="005D7AD3" w:rsidP="005D7AD3">
            <w:pPr>
              <w:spacing w:after="0" w:line="240" w:lineRule="auto"/>
              <w:jc w:val="center"/>
              <w:rPr>
                <w:rFonts w:ascii="Calibri" w:eastAsia="Times New Roman" w:hAnsi="Calibri" w:cs="Calibri"/>
                <w:b/>
                <w:bCs/>
                <w:color w:val="000000"/>
                <w:sz w:val="16"/>
                <w:szCs w:val="16"/>
              </w:rPr>
            </w:pPr>
            <w:r w:rsidRPr="005D7AD3">
              <w:rPr>
                <w:rFonts w:ascii="Calibri" w:eastAsia="Times New Roman" w:hAnsi="Calibri" w:cs="Calibri"/>
                <w:b/>
                <w:bCs/>
                <w:color w:val="000000"/>
                <w:sz w:val="16"/>
                <w:szCs w:val="16"/>
              </w:rPr>
              <w:t>5,19</w:t>
            </w:r>
          </w:p>
        </w:tc>
        <w:tc>
          <w:tcPr>
            <w:tcW w:w="319" w:type="pct"/>
            <w:tcBorders>
              <w:top w:val="nil"/>
              <w:left w:val="nil"/>
              <w:bottom w:val="single" w:sz="4" w:space="0" w:color="auto"/>
              <w:right w:val="single" w:sz="4" w:space="0" w:color="auto"/>
            </w:tcBorders>
            <w:shd w:val="clear" w:color="000000" w:fill="E2EFDA"/>
            <w:vAlign w:val="center"/>
            <w:hideMark/>
          </w:tcPr>
          <w:p w14:paraId="1D740D2D" w14:textId="77777777" w:rsidR="005D7AD3" w:rsidRPr="005D7AD3" w:rsidRDefault="005D7AD3" w:rsidP="005D7AD3">
            <w:pPr>
              <w:spacing w:after="0" w:line="240" w:lineRule="auto"/>
              <w:jc w:val="center"/>
              <w:rPr>
                <w:rFonts w:ascii="Calibri" w:eastAsia="Times New Roman" w:hAnsi="Calibri" w:cs="Calibri"/>
                <w:b/>
                <w:bCs/>
                <w:color w:val="000000"/>
                <w:sz w:val="16"/>
                <w:szCs w:val="16"/>
              </w:rPr>
            </w:pPr>
            <w:r w:rsidRPr="005D7AD3">
              <w:rPr>
                <w:rFonts w:ascii="Calibri" w:eastAsia="Times New Roman" w:hAnsi="Calibri" w:cs="Calibri"/>
                <w:b/>
                <w:bCs/>
                <w:color w:val="000000"/>
                <w:sz w:val="16"/>
                <w:szCs w:val="16"/>
              </w:rPr>
              <w:t>1,19</w:t>
            </w:r>
          </w:p>
        </w:tc>
        <w:tc>
          <w:tcPr>
            <w:tcW w:w="302" w:type="pct"/>
            <w:tcBorders>
              <w:top w:val="nil"/>
              <w:left w:val="nil"/>
              <w:bottom w:val="single" w:sz="4" w:space="0" w:color="auto"/>
              <w:right w:val="single" w:sz="4" w:space="0" w:color="auto"/>
            </w:tcBorders>
            <w:shd w:val="clear" w:color="000000" w:fill="E2EFDA"/>
            <w:vAlign w:val="center"/>
            <w:hideMark/>
          </w:tcPr>
          <w:p w14:paraId="082A4A86" w14:textId="77777777" w:rsidR="005D7AD3" w:rsidRPr="005D7AD3" w:rsidRDefault="005D7AD3" w:rsidP="005D7AD3">
            <w:pPr>
              <w:spacing w:after="0" w:line="240" w:lineRule="auto"/>
              <w:jc w:val="center"/>
              <w:rPr>
                <w:rFonts w:ascii="Calibri" w:eastAsia="Times New Roman" w:hAnsi="Calibri" w:cs="Calibri"/>
                <w:b/>
                <w:bCs/>
                <w:color w:val="000000"/>
                <w:sz w:val="16"/>
                <w:szCs w:val="16"/>
              </w:rPr>
            </w:pPr>
            <w:r w:rsidRPr="005D7AD3">
              <w:rPr>
                <w:rFonts w:ascii="Calibri" w:eastAsia="Times New Roman" w:hAnsi="Calibri" w:cs="Calibri"/>
                <w:b/>
                <w:bCs/>
                <w:color w:val="000000"/>
                <w:sz w:val="16"/>
                <w:szCs w:val="16"/>
              </w:rPr>
              <w:t>4,00</w:t>
            </w:r>
          </w:p>
        </w:tc>
        <w:tc>
          <w:tcPr>
            <w:tcW w:w="446" w:type="pct"/>
            <w:tcBorders>
              <w:top w:val="nil"/>
              <w:left w:val="nil"/>
              <w:bottom w:val="single" w:sz="4" w:space="0" w:color="auto"/>
              <w:right w:val="single" w:sz="4" w:space="0" w:color="auto"/>
            </w:tcBorders>
            <w:shd w:val="clear" w:color="000000" w:fill="E2EFDA"/>
            <w:vAlign w:val="center"/>
            <w:hideMark/>
          </w:tcPr>
          <w:p w14:paraId="59799B9E" w14:textId="77777777" w:rsidR="005D7AD3" w:rsidRPr="005D7AD3" w:rsidRDefault="005D7AD3" w:rsidP="005D7AD3">
            <w:pPr>
              <w:spacing w:after="0" w:line="240" w:lineRule="auto"/>
              <w:jc w:val="center"/>
              <w:rPr>
                <w:rFonts w:ascii="Calibri" w:eastAsia="Times New Roman" w:hAnsi="Calibri" w:cs="Calibri"/>
                <w:b/>
                <w:bCs/>
                <w:color w:val="000000"/>
                <w:sz w:val="16"/>
                <w:szCs w:val="16"/>
              </w:rPr>
            </w:pPr>
            <w:r w:rsidRPr="005D7AD3">
              <w:rPr>
                <w:rFonts w:ascii="Calibri" w:eastAsia="Times New Roman" w:hAnsi="Calibri" w:cs="Calibri"/>
                <w:b/>
                <w:bCs/>
                <w:color w:val="000000"/>
                <w:sz w:val="16"/>
                <w:szCs w:val="16"/>
              </w:rPr>
              <w:t> </w:t>
            </w:r>
          </w:p>
        </w:tc>
        <w:tc>
          <w:tcPr>
            <w:tcW w:w="354" w:type="pct"/>
            <w:tcBorders>
              <w:top w:val="nil"/>
              <w:left w:val="nil"/>
              <w:bottom w:val="single" w:sz="4" w:space="0" w:color="auto"/>
              <w:right w:val="single" w:sz="4" w:space="0" w:color="auto"/>
            </w:tcBorders>
            <w:shd w:val="clear" w:color="000000" w:fill="E2EFDA"/>
            <w:vAlign w:val="center"/>
            <w:hideMark/>
          </w:tcPr>
          <w:p w14:paraId="2953EB4B" w14:textId="77777777" w:rsidR="005D7AD3" w:rsidRPr="005D7AD3" w:rsidRDefault="005D7AD3" w:rsidP="005D7AD3">
            <w:pPr>
              <w:spacing w:after="0" w:line="240" w:lineRule="auto"/>
              <w:jc w:val="center"/>
              <w:rPr>
                <w:rFonts w:ascii="Calibri" w:eastAsia="Times New Roman" w:hAnsi="Calibri" w:cs="Calibri"/>
                <w:b/>
                <w:bCs/>
                <w:color w:val="000000"/>
                <w:sz w:val="16"/>
                <w:szCs w:val="16"/>
              </w:rPr>
            </w:pPr>
            <w:r w:rsidRPr="005D7AD3">
              <w:rPr>
                <w:rFonts w:ascii="Calibri" w:eastAsia="Times New Roman" w:hAnsi="Calibri" w:cs="Calibri"/>
                <w:b/>
                <w:bCs/>
                <w:color w:val="000000"/>
                <w:sz w:val="16"/>
                <w:szCs w:val="16"/>
              </w:rPr>
              <w:t>1,16</w:t>
            </w:r>
          </w:p>
        </w:tc>
        <w:tc>
          <w:tcPr>
            <w:tcW w:w="350" w:type="pct"/>
            <w:tcBorders>
              <w:top w:val="nil"/>
              <w:left w:val="nil"/>
              <w:bottom w:val="single" w:sz="4" w:space="0" w:color="auto"/>
              <w:right w:val="single" w:sz="4" w:space="0" w:color="auto"/>
            </w:tcBorders>
            <w:shd w:val="clear" w:color="000000" w:fill="E2EFDA"/>
            <w:vAlign w:val="center"/>
            <w:hideMark/>
          </w:tcPr>
          <w:p w14:paraId="13766F7F" w14:textId="77777777" w:rsidR="005D7AD3" w:rsidRPr="005D7AD3" w:rsidRDefault="005D7AD3" w:rsidP="005D7AD3">
            <w:pPr>
              <w:spacing w:after="0" w:line="240" w:lineRule="auto"/>
              <w:jc w:val="center"/>
              <w:rPr>
                <w:rFonts w:ascii="Calibri" w:eastAsia="Times New Roman" w:hAnsi="Calibri" w:cs="Calibri"/>
                <w:b/>
                <w:bCs/>
                <w:color w:val="000000"/>
                <w:sz w:val="16"/>
                <w:szCs w:val="16"/>
              </w:rPr>
            </w:pPr>
            <w:r w:rsidRPr="005D7AD3">
              <w:rPr>
                <w:rFonts w:ascii="Calibri" w:eastAsia="Times New Roman" w:hAnsi="Calibri" w:cs="Calibri"/>
                <w:b/>
                <w:bCs/>
                <w:color w:val="000000"/>
                <w:sz w:val="16"/>
                <w:szCs w:val="16"/>
              </w:rPr>
              <w:t>4,03</w:t>
            </w:r>
          </w:p>
        </w:tc>
      </w:tr>
    </w:tbl>
    <w:p w14:paraId="0C9891E3" w14:textId="106715C3" w:rsidR="00AA4B61" w:rsidRDefault="00AA4B61" w:rsidP="00565B02">
      <w:pPr>
        <w:pStyle w:val="Caption"/>
        <w:keepNext/>
        <w:spacing w:before="240"/>
      </w:pPr>
      <w:bookmarkStart w:id="475" w:name="_Toc153901483"/>
      <w:r>
        <w:t xml:space="preserve">Табела </w:t>
      </w:r>
      <w:r w:rsidR="00873C40">
        <w:fldChar w:fldCharType="begin"/>
      </w:r>
      <w:r w:rsidR="00873C40">
        <w:instrText xml:space="preserve"> STYLEREF 1 \s </w:instrText>
      </w:r>
      <w:r w:rsidR="00873C40">
        <w:fldChar w:fldCharType="separate"/>
      </w:r>
      <w:r w:rsidR="00873C40">
        <w:rPr>
          <w:noProof/>
        </w:rPr>
        <w:t>I</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2</w:t>
      </w:r>
      <w:r w:rsidR="00873C40">
        <w:fldChar w:fldCharType="end"/>
      </w:r>
      <w:r>
        <w:t xml:space="preserve">: Мере политике </w:t>
      </w:r>
      <w:r w:rsidRPr="00AA4B61">
        <w:t xml:space="preserve">димензије </w:t>
      </w:r>
      <w:r>
        <w:t>е</w:t>
      </w:r>
      <w:r w:rsidRPr="00AA4B61">
        <w:t>нергетск</w:t>
      </w:r>
      <w:r>
        <w:t>а</w:t>
      </w:r>
      <w:r w:rsidRPr="00AA4B61">
        <w:t xml:space="preserve"> ефикасност</w:t>
      </w:r>
      <w:bookmarkEnd w:id="475"/>
    </w:p>
    <w:tbl>
      <w:tblPr>
        <w:tblpPr w:leftFromText="180" w:rightFromText="180" w:vertAnchor="text" w:tblpY="1"/>
        <w:tblOverlap w:val="never"/>
        <w:tblW w:w="4938" w:type="pct"/>
        <w:tblLook w:val="04A0" w:firstRow="1" w:lastRow="0" w:firstColumn="1" w:lastColumn="0" w:noHBand="0" w:noVBand="1"/>
      </w:tblPr>
      <w:tblGrid>
        <w:gridCol w:w="1005"/>
        <w:gridCol w:w="808"/>
        <w:gridCol w:w="3842"/>
        <w:gridCol w:w="1015"/>
        <w:gridCol w:w="1058"/>
        <w:gridCol w:w="1317"/>
        <w:gridCol w:w="935"/>
        <w:gridCol w:w="880"/>
        <w:gridCol w:w="1265"/>
        <w:gridCol w:w="920"/>
        <w:gridCol w:w="1334"/>
      </w:tblGrid>
      <w:tr w:rsidR="00D064DD" w:rsidRPr="00975EE5" w14:paraId="06E8D218" w14:textId="77777777" w:rsidTr="00AA4B61">
        <w:trPr>
          <w:trHeight w:val="20"/>
        </w:trPr>
        <w:tc>
          <w:tcPr>
            <w:tcW w:w="349"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45789318" w14:textId="77777777" w:rsidR="0022244A" w:rsidRPr="00975EE5" w:rsidRDefault="0022244A">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Димензија</w:t>
            </w:r>
          </w:p>
        </w:tc>
        <w:tc>
          <w:tcPr>
            <w:tcW w:w="281" w:type="pct"/>
            <w:tcBorders>
              <w:top w:val="single" w:sz="4" w:space="0" w:color="auto"/>
              <w:left w:val="nil"/>
              <w:bottom w:val="single" w:sz="4" w:space="0" w:color="auto"/>
              <w:right w:val="single" w:sz="4" w:space="0" w:color="auto"/>
            </w:tcBorders>
            <w:shd w:val="clear" w:color="000000" w:fill="BFBFBF"/>
            <w:vAlign w:val="center"/>
            <w:hideMark/>
          </w:tcPr>
          <w:p w14:paraId="3DAFD0DE" w14:textId="77777777" w:rsidR="0022244A" w:rsidRPr="00975EE5" w:rsidRDefault="0022244A">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Број МП</w:t>
            </w:r>
          </w:p>
        </w:tc>
        <w:tc>
          <w:tcPr>
            <w:tcW w:w="1336" w:type="pct"/>
            <w:tcBorders>
              <w:top w:val="single" w:sz="4" w:space="0" w:color="auto"/>
              <w:left w:val="nil"/>
              <w:bottom w:val="single" w:sz="4" w:space="0" w:color="auto"/>
              <w:right w:val="single" w:sz="4" w:space="0" w:color="auto"/>
            </w:tcBorders>
            <w:shd w:val="clear" w:color="000000" w:fill="BFBFBF"/>
            <w:vAlign w:val="center"/>
            <w:hideMark/>
          </w:tcPr>
          <w:p w14:paraId="1CECA3A0" w14:textId="77777777" w:rsidR="0022244A" w:rsidRPr="00975EE5" w:rsidRDefault="0022244A">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Назив мере политике</w:t>
            </w:r>
          </w:p>
        </w:tc>
        <w:tc>
          <w:tcPr>
            <w:tcW w:w="353" w:type="pct"/>
            <w:tcBorders>
              <w:top w:val="single" w:sz="4" w:space="0" w:color="auto"/>
              <w:left w:val="nil"/>
              <w:bottom w:val="single" w:sz="4" w:space="0" w:color="auto"/>
              <w:right w:val="single" w:sz="4" w:space="0" w:color="auto"/>
            </w:tcBorders>
            <w:shd w:val="clear" w:color="000000" w:fill="BFBFBF"/>
            <w:vAlign w:val="center"/>
            <w:hideMark/>
          </w:tcPr>
          <w:p w14:paraId="3D4DF5D6" w14:textId="77777777" w:rsidR="0022244A" w:rsidRPr="00975EE5" w:rsidRDefault="0022244A">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Тип мере</w:t>
            </w:r>
          </w:p>
        </w:tc>
        <w:tc>
          <w:tcPr>
            <w:tcW w:w="368" w:type="pct"/>
            <w:tcBorders>
              <w:top w:val="single" w:sz="4" w:space="0" w:color="auto"/>
              <w:left w:val="nil"/>
              <w:bottom w:val="single" w:sz="4" w:space="0" w:color="auto"/>
              <w:right w:val="single" w:sz="4" w:space="0" w:color="auto"/>
            </w:tcBorders>
            <w:shd w:val="clear" w:color="000000" w:fill="BFBFBF"/>
            <w:vAlign w:val="center"/>
            <w:hideMark/>
          </w:tcPr>
          <w:p w14:paraId="72DCDBDF" w14:textId="77777777" w:rsidR="0022244A" w:rsidRPr="00975EE5" w:rsidRDefault="0022244A">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Синергетски ефекти</w:t>
            </w:r>
          </w:p>
        </w:tc>
        <w:tc>
          <w:tcPr>
            <w:tcW w:w="458" w:type="pct"/>
            <w:tcBorders>
              <w:top w:val="single" w:sz="4" w:space="0" w:color="auto"/>
              <w:left w:val="nil"/>
              <w:bottom w:val="single" w:sz="4" w:space="0" w:color="auto"/>
              <w:right w:val="single" w:sz="4" w:space="0" w:color="auto"/>
            </w:tcBorders>
            <w:shd w:val="clear" w:color="000000" w:fill="BFBFBF"/>
            <w:vAlign w:val="center"/>
            <w:hideMark/>
          </w:tcPr>
          <w:p w14:paraId="1DEBDEA5" w14:textId="77777777" w:rsidR="0022244A" w:rsidRPr="00975EE5" w:rsidRDefault="0022244A">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Трошкови имплементације (милион €)</w:t>
            </w:r>
          </w:p>
        </w:tc>
        <w:tc>
          <w:tcPr>
            <w:tcW w:w="325" w:type="pct"/>
            <w:tcBorders>
              <w:top w:val="single" w:sz="4" w:space="0" w:color="auto"/>
              <w:left w:val="nil"/>
              <w:bottom w:val="single" w:sz="4" w:space="0" w:color="auto"/>
              <w:right w:val="single" w:sz="4" w:space="0" w:color="auto"/>
            </w:tcBorders>
            <w:shd w:val="clear" w:color="000000" w:fill="BFBFBF"/>
            <w:vAlign w:val="center"/>
            <w:hideMark/>
          </w:tcPr>
          <w:p w14:paraId="7CC91151" w14:textId="77777777" w:rsidR="0022244A" w:rsidRPr="00975EE5" w:rsidRDefault="0022244A">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Планирана јавна помоћ (милион €)</w:t>
            </w:r>
          </w:p>
        </w:tc>
        <w:tc>
          <w:tcPr>
            <w:tcW w:w="306" w:type="pct"/>
            <w:tcBorders>
              <w:top w:val="single" w:sz="4" w:space="0" w:color="auto"/>
              <w:left w:val="nil"/>
              <w:bottom w:val="single" w:sz="4" w:space="0" w:color="auto"/>
              <w:right w:val="single" w:sz="4" w:space="0" w:color="auto"/>
            </w:tcBorders>
            <w:shd w:val="clear" w:color="000000" w:fill="BFBFBF"/>
            <w:vAlign w:val="center"/>
            <w:hideMark/>
          </w:tcPr>
          <w:p w14:paraId="48AA452A" w14:textId="77777777" w:rsidR="0022244A" w:rsidRPr="00975EE5" w:rsidRDefault="0022244A">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Сопствена средства (милион €)</w:t>
            </w:r>
          </w:p>
        </w:tc>
        <w:tc>
          <w:tcPr>
            <w:tcW w:w="440" w:type="pct"/>
            <w:tcBorders>
              <w:top w:val="single" w:sz="4" w:space="0" w:color="auto"/>
              <w:left w:val="nil"/>
              <w:bottom w:val="single" w:sz="4" w:space="0" w:color="auto"/>
              <w:right w:val="single" w:sz="4" w:space="0" w:color="auto"/>
            </w:tcBorders>
            <w:shd w:val="clear" w:color="000000" w:fill="BFBFBF"/>
            <w:vAlign w:val="center"/>
            <w:hideMark/>
          </w:tcPr>
          <w:p w14:paraId="472C3619" w14:textId="77777777" w:rsidR="0022244A" w:rsidRPr="00975EE5" w:rsidRDefault="0022244A">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Сценарио пројекција у који је МП укључена</w:t>
            </w:r>
          </w:p>
        </w:tc>
        <w:tc>
          <w:tcPr>
            <w:tcW w:w="320" w:type="pct"/>
            <w:tcBorders>
              <w:top w:val="single" w:sz="4" w:space="0" w:color="auto"/>
              <w:left w:val="nil"/>
              <w:bottom w:val="single" w:sz="4" w:space="0" w:color="auto"/>
              <w:right w:val="single" w:sz="4" w:space="0" w:color="auto"/>
            </w:tcBorders>
            <w:shd w:val="clear" w:color="000000" w:fill="BFBFBF"/>
            <w:vAlign w:val="center"/>
            <w:hideMark/>
          </w:tcPr>
          <w:p w14:paraId="06242EC2" w14:textId="77777777" w:rsidR="0022244A" w:rsidRPr="00975EE5" w:rsidRDefault="0022244A">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CAPEX WEM (милион €)</w:t>
            </w:r>
          </w:p>
        </w:tc>
        <w:tc>
          <w:tcPr>
            <w:tcW w:w="464" w:type="pct"/>
            <w:tcBorders>
              <w:top w:val="single" w:sz="4" w:space="0" w:color="auto"/>
              <w:left w:val="nil"/>
              <w:bottom w:val="single" w:sz="4" w:space="0" w:color="auto"/>
              <w:right w:val="single" w:sz="4" w:space="0" w:color="auto"/>
            </w:tcBorders>
            <w:shd w:val="clear" w:color="000000" w:fill="BFBFBF"/>
            <w:vAlign w:val="center"/>
            <w:hideMark/>
          </w:tcPr>
          <w:p w14:paraId="35227B81" w14:textId="77777777" w:rsidR="0022244A" w:rsidRPr="00975EE5" w:rsidRDefault="0022244A">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CAPEX WAM (милион €)</w:t>
            </w:r>
          </w:p>
        </w:tc>
      </w:tr>
      <w:tr w:rsidR="00D064DD" w:rsidRPr="00975EE5" w14:paraId="51E4433C" w14:textId="77777777" w:rsidTr="00AA4B61">
        <w:trPr>
          <w:trHeight w:val="20"/>
        </w:trPr>
        <w:tc>
          <w:tcPr>
            <w:tcW w:w="349" w:type="pct"/>
            <w:vMerge w:val="restart"/>
            <w:tcBorders>
              <w:top w:val="nil"/>
              <w:left w:val="single" w:sz="4" w:space="0" w:color="auto"/>
              <w:bottom w:val="single" w:sz="4" w:space="0" w:color="auto"/>
              <w:right w:val="single" w:sz="4" w:space="0" w:color="auto"/>
            </w:tcBorders>
            <w:shd w:val="clear" w:color="000000" w:fill="BFBFBF"/>
            <w:vAlign w:val="center"/>
            <w:hideMark/>
          </w:tcPr>
          <w:p w14:paraId="2CD0881C" w14:textId="77777777" w:rsidR="0022244A" w:rsidRPr="00975EE5" w:rsidRDefault="0022244A">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Енергетска ефикасност</w:t>
            </w:r>
          </w:p>
        </w:tc>
        <w:tc>
          <w:tcPr>
            <w:tcW w:w="281" w:type="pct"/>
            <w:tcBorders>
              <w:top w:val="nil"/>
              <w:left w:val="nil"/>
              <w:bottom w:val="single" w:sz="4" w:space="0" w:color="auto"/>
              <w:right w:val="single" w:sz="4" w:space="0" w:color="auto"/>
            </w:tcBorders>
            <w:shd w:val="clear" w:color="auto" w:fill="auto"/>
            <w:vAlign w:val="center"/>
            <w:hideMark/>
          </w:tcPr>
          <w:p w14:paraId="57026626"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МП_EE1</w:t>
            </w:r>
          </w:p>
        </w:tc>
        <w:tc>
          <w:tcPr>
            <w:tcW w:w="1336" w:type="pct"/>
            <w:tcBorders>
              <w:top w:val="nil"/>
              <w:left w:val="nil"/>
              <w:bottom w:val="single" w:sz="4" w:space="0" w:color="auto"/>
              <w:right w:val="single" w:sz="4" w:space="0" w:color="auto"/>
            </w:tcBorders>
            <w:shd w:val="clear" w:color="000000" w:fill="FFFFFF"/>
            <w:vAlign w:val="center"/>
            <w:hideMark/>
          </w:tcPr>
          <w:p w14:paraId="1215A0B1"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xml:space="preserve">Финансијска подршка за енергетску санацију стамбених зграда. </w:t>
            </w:r>
          </w:p>
        </w:tc>
        <w:tc>
          <w:tcPr>
            <w:tcW w:w="353" w:type="pct"/>
            <w:tcBorders>
              <w:top w:val="nil"/>
              <w:left w:val="nil"/>
              <w:bottom w:val="single" w:sz="4" w:space="0" w:color="auto"/>
              <w:right w:val="single" w:sz="4" w:space="0" w:color="auto"/>
            </w:tcBorders>
            <w:shd w:val="clear" w:color="000000" w:fill="FFFFFF"/>
            <w:vAlign w:val="center"/>
            <w:hideMark/>
          </w:tcPr>
          <w:p w14:paraId="62C25474"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000000" w:fill="FFFFFF"/>
            <w:vAlign w:val="center"/>
            <w:hideMark/>
          </w:tcPr>
          <w:p w14:paraId="542EE225"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58" w:type="pct"/>
            <w:tcBorders>
              <w:top w:val="nil"/>
              <w:left w:val="nil"/>
              <w:bottom w:val="single" w:sz="4" w:space="0" w:color="auto"/>
              <w:right w:val="single" w:sz="4" w:space="0" w:color="auto"/>
            </w:tcBorders>
            <w:shd w:val="clear" w:color="000000" w:fill="E2EFDA"/>
            <w:vAlign w:val="center"/>
            <w:hideMark/>
          </w:tcPr>
          <w:p w14:paraId="25A696E3"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1711,00</w:t>
            </w:r>
          </w:p>
        </w:tc>
        <w:tc>
          <w:tcPr>
            <w:tcW w:w="325" w:type="pct"/>
            <w:tcBorders>
              <w:top w:val="nil"/>
              <w:left w:val="nil"/>
              <w:bottom w:val="single" w:sz="4" w:space="0" w:color="auto"/>
              <w:right w:val="single" w:sz="4" w:space="0" w:color="auto"/>
            </w:tcBorders>
            <w:shd w:val="clear" w:color="000000" w:fill="E2EFDA"/>
            <w:vAlign w:val="center"/>
            <w:hideMark/>
          </w:tcPr>
          <w:p w14:paraId="02F73618"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855,50</w:t>
            </w:r>
          </w:p>
        </w:tc>
        <w:tc>
          <w:tcPr>
            <w:tcW w:w="306" w:type="pct"/>
            <w:tcBorders>
              <w:top w:val="nil"/>
              <w:left w:val="nil"/>
              <w:bottom w:val="single" w:sz="4" w:space="0" w:color="auto"/>
              <w:right w:val="single" w:sz="4" w:space="0" w:color="auto"/>
            </w:tcBorders>
            <w:shd w:val="clear" w:color="000000" w:fill="E2EFDA"/>
            <w:vAlign w:val="center"/>
            <w:hideMark/>
          </w:tcPr>
          <w:p w14:paraId="60E2EFF6"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855,50</w:t>
            </w:r>
          </w:p>
        </w:tc>
        <w:tc>
          <w:tcPr>
            <w:tcW w:w="440" w:type="pct"/>
            <w:tcBorders>
              <w:top w:val="nil"/>
              <w:left w:val="nil"/>
              <w:bottom w:val="single" w:sz="4" w:space="0" w:color="auto"/>
              <w:right w:val="single" w:sz="4" w:space="0" w:color="auto"/>
            </w:tcBorders>
            <w:shd w:val="clear" w:color="000000" w:fill="E2EFDA"/>
            <w:vAlign w:val="center"/>
            <w:hideMark/>
          </w:tcPr>
          <w:p w14:paraId="7D1CA7E0"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 WAM (унапређење, прилагођавање)</w:t>
            </w:r>
          </w:p>
        </w:tc>
        <w:tc>
          <w:tcPr>
            <w:tcW w:w="320" w:type="pct"/>
            <w:tcBorders>
              <w:top w:val="nil"/>
              <w:left w:val="nil"/>
              <w:bottom w:val="single" w:sz="4" w:space="0" w:color="auto"/>
              <w:right w:val="single" w:sz="4" w:space="0" w:color="auto"/>
            </w:tcBorders>
            <w:shd w:val="clear" w:color="000000" w:fill="E2EFDA"/>
            <w:vAlign w:val="center"/>
            <w:hideMark/>
          </w:tcPr>
          <w:p w14:paraId="4F6148B7"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1063,32</w:t>
            </w:r>
          </w:p>
        </w:tc>
        <w:tc>
          <w:tcPr>
            <w:tcW w:w="464" w:type="pct"/>
            <w:tcBorders>
              <w:top w:val="nil"/>
              <w:left w:val="nil"/>
              <w:bottom w:val="single" w:sz="4" w:space="0" w:color="auto"/>
              <w:right w:val="single" w:sz="4" w:space="0" w:color="auto"/>
            </w:tcBorders>
            <w:shd w:val="clear" w:color="000000" w:fill="E2EFDA"/>
            <w:vAlign w:val="center"/>
            <w:hideMark/>
          </w:tcPr>
          <w:p w14:paraId="622F768F"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647,77</w:t>
            </w:r>
          </w:p>
        </w:tc>
      </w:tr>
      <w:tr w:rsidR="00D064DD" w:rsidRPr="00975EE5" w14:paraId="5016F9F2"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3CF4353B"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7FAAE981"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МП_EE2</w:t>
            </w:r>
          </w:p>
        </w:tc>
        <w:tc>
          <w:tcPr>
            <w:tcW w:w="1336" w:type="pct"/>
            <w:tcBorders>
              <w:top w:val="nil"/>
              <w:left w:val="nil"/>
              <w:bottom w:val="single" w:sz="4" w:space="0" w:color="auto"/>
              <w:right w:val="single" w:sz="4" w:space="0" w:color="auto"/>
            </w:tcBorders>
            <w:shd w:val="clear" w:color="auto" w:fill="auto"/>
            <w:vAlign w:val="center"/>
            <w:hideMark/>
          </w:tcPr>
          <w:p w14:paraId="5ACCE83B"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Финансијска подршка енергетској санацији јавних зграда</w:t>
            </w:r>
          </w:p>
        </w:tc>
        <w:tc>
          <w:tcPr>
            <w:tcW w:w="353" w:type="pct"/>
            <w:tcBorders>
              <w:top w:val="nil"/>
              <w:left w:val="nil"/>
              <w:bottom w:val="single" w:sz="4" w:space="0" w:color="auto"/>
              <w:right w:val="single" w:sz="4" w:space="0" w:color="auto"/>
            </w:tcBorders>
            <w:shd w:val="clear" w:color="auto" w:fill="auto"/>
            <w:vAlign w:val="center"/>
            <w:hideMark/>
          </w:tcPr>
          <w:p w14:paraId="01F60EB5"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579EDF1D"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58" w:type="pct"/>
            <w:tcBorders>
              <w:top w:val="nil"/>
              <w:left w:val="nil"/>
              <w:bottom w:val="single" w:sz="4" w:space="0" w:color="auto"/>
              <w:right w:val="single" w:sz="4" w:space="0" w:color="auto"/>
            </w:tcBorders>
            <w:shd w:val="clear" w:color="000000" w:fill="E2EFDA"/>
            <w:vAlign w:val="center"/>
            <w:hideMark/>
          </w:tcPr>
          <w:p w14:paraId="04E23F92"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1016,29</w:t>
            </w:r>
          </w:p>
        </w:tc>
        <w:tc>
          <w:tcPr>
            <w:tcW w:w="325" w:type="pct"/>
            <w:tcBorders>
              <w:top w:val="nil"/>
              <w:left w:val="nil"/>
              <w:bottom w:val="single" w:sz="4" w:space="0" w:color="auto"/>
              <w:right w:val="single" w:sz="4" w:space="0" w:color="auto"/>
            </w:tcBorders>
            <w:shd w:val="clear" w:color="000000" w:fill="E2EFDA"/>
            <w:vAlign w:val="center"/>
            <w:hideMark/>
          </w:tcPr>
          <w:p w14:paraId="76AD7AF5"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1016,29</w:t>
            </w:r>
          </w:p>
        </w:tc>
        <w:tc>
          <w:tcPr>
            <w:tcW w:w="306" w:type="pct"/>
            <w:tcBorders>
              <w:top w:val="nil"/>
              <w:left w:val="nil"/>
              <w:bottom w:val="single" w:sz="4" w:space="0" w:color="auto"/>
              <w:right w:val="single" w:sz="4" w:space="0" w:color="auto"/>
            </w:tcBorders>
            <w:shd w:val="clear" w:color="000000" w:fill="E2EFDA"/>
            <w:vAlign w:val="center"/>
            <w:hideMark/>
          </w:tcPr>
          <w:p w14:paraId="78530EAC"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440" w:type="pct"/>
            <w:tcBorders>
              <w:top w:val="nil"/>
              <w:left w:val="nil"/>
              <w:bottom w:val="single" w:sz="4" w:space="0" w:color="auto"/>
              <w:right w:val="single" w:sz="4" w:space="0" w:color="auto"/>
            </w:tcBorders>
            <w:shd w:val="clear" w:color="000000" w:fill="E2EFDA"/>
            <w:vAlign w:val="center"/>
            <w:hideMark/>
          </w:tcPr>
          <w:p w14:paraId="2566DE7D"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 WAM (унапређење, прилагођавање)</w:t>
            </w:r>
          </w:p>
        </w:tc>
        <w:tc>
          <w:tcPr>
            <w:tcW w:w="320" w:type="pct"/>
            <w:tcBorders>
              <w:top w:val="nil"/>
              <w:left w:val="nil"/>
              <w:bottom w:val="single" w:sz="4" w:space="0" w:color="auto"/>
              <w:right w:val="single" w:sz="4" w:space="0" w:color="auto"/>
            </w:tcBorders>
            <w:shd w:val="clear" w:color="000000" w:fill="E2EFDA"/>
            <w:vAlign w:val="center"/>
            <w:hideMark/>
          </w:tcPr>
          <w:p w14:paraId="76721A94"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633,57</w:t>
            </w:r>
          </w:p>
        </w:tc>
        <w:tc>
          <w:tcPr>
            <w:tcW w:w="464" w:type="pct"/>
            <w:tcBorders>
              <w:top w:val="nil"/>
              <w:left w:val="nil"/>
              <w:bottom w:val="single" w:sz="4" w:space="0" w:color="auto"/>
              <w:right w:val="single" w:sz="4" w:space="0" w:color="auto"/>
            </w:tcBorders>
            <w:shd w:val="clear" w:color="000000" w:fill="E2EFDA"/>
            <w:vAlign w:val="center"/>
            <w:hideMark/>
          </w:tcPr>
          <w:p w14:paraId="12729050"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382,72</w:t>
            </w:r>
          </w:p>
        </w:tc>
      </w:tr>
      <w:tr w:rsidR="00D064DD" w:rsidRPr="00975EE5" w14:paraId="31D13A1C"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1C7F8B30"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640B74D8"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МП_EE3</w:t>
            </w:r>
          </w:p>
        </w:tc>
        <w:tc>
          <w:tcPr>
            <w:tcW w:w="1336" w:type="pct"/>
            <w:tcBorders>
              <w:top w:val="nil"/>
              <w:left w:val="nil"/>
              <w:bottom w:val="single" w:sz="4" w:space="0" w:color="auto"/>
              <w:right w:val="single" w:sz="4" w:space="0" w:color="auto"/>
            </w:tcBorders>
            <w:shd w:val="clear" w:color="000000" w:fill="FFFFFF"/>
            <w:vAlign w:val="center"/>
            <w:hideMark/>
          </w:tcPr>
          <w:p w14:paraId="268E7C74"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Финансијска подршка за енергетску санацију нестамбених зграда (које не спадају у јавне)</w:t>
            </w:r>
          </w:p>
        </w:tc>
        <w:tc>
          <w:tcPr>
            <w:tcW w:w="353" w:type="pct"/>
            <w:tcBorders>
              <w:top w:val="nil"/>
              <w:left w:val="nil"/>
              <w:bottom w:val="single" w:sz="4" w:space="0" w:color="auto"/>
              <w:right w:val="single" w:sz="4" w:space="0" w:color="auto"/>
            </w:tcBorders>
            <w:shd w:val="clear" w:color="000000" w:fill="FFFFFF"/>
            <w:vAlign w:val="center"/>
            <w:hideMark/>
          </w:tcPr>
          <w:p w14:paraId="43493CE4"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000000" w:fill="FFFFFF"/>
            <w:vAlign w:val="center"/>
            <w:hideMark/>
          </w:tcPr>
          <w:p w14:paraId="6BB1CCFE"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58" w:type="pct"/>
            <w:tcBorders>
              <w:top w:val="nil"/>
              <w:left w:val="nil"/>
              <w:bottom w:val="single" w:sz="4" w:space="0" w:color="auto"/>
              <w:right w:val="single" w:sz="4" w:space="0" w:color="auto"/>
            </w:tcBorders>
            <w:shd w:val="clear" w:color="000000" w:fill="E2EFDA"/>
            <w:vAlign w:val="center"/>
            <w:hideMark/>
          </w:tcPr>
          <w:p w14:paraId="1F122822"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1601,52</w:t>
            </w:r>
          </w:p>
        </w:tc>
        <w:tc>
          <w:tcPr>
            <w:tcW w:w="325" w:type="pct"/>
            <w:tcBorders>
              <w:top w:val="nil"/>
              <w:left w:val="nil"/>
              <w:bottom w:val="single" w:sz="4" w:space="0" w:color="auto"/>
              <w:right w:val="single" w:sz="4" w:space="0" w:color="auto"/>
            </w:tcBorders>
            <w:shd w:val="clear" w:color="000000" w:fill="E2EFDA"/>
            <w:vAlign w:val="center"/>
            <w:hideMark/>
          </w:tcPr>
          <w:p w14:paraId="169A5D92"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800,76</w:t>
            </w:r>
          </w:p>
        </w:tc>
        <w:tc>
          <w:tcPr>
            <w:tcW w:w="306" w:type="pct"/>
            <w:tcBorders>
              <w:top w:val="nil"/>
              <w:left w:val="nil"/>
              <w:bottom w:val="single" w:sz="4" w:space="0" w:color="auto"/>
              <w:right w:val="single" w:sz="4" w:space="0" w:color="auto"/>
            </w:tcBorders>
            <w:shd w:val="clear" w:color="000000" w:fill="E2EFDA"/>
            <w:vAlign w:val="center"/>
            <w:hideMark/>
          </w:tcPr>
          <w:p w14:paraId="3B046CE0"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800,76</w:t>
            </w:r>
          </w:p>
        </w:tc>
        <w:tc>
          <w:tcPr>
            <w:tcW w:w="440" w:type="pct"/>
            <w:tcBorders>
              <w:top w:val="nil"/>
              <w:left w:val="nil"/>
              <w:bottom w:val="single" w:sz="4" w:space="0" w:color="auto"/>
              <w:right w:val="single" w:sz="4" w:space="0" w:color="auto"/>
            </w:tcBorders>
            <w:shd w:val="clear" w:color="000000" w:fill="E2EFDA"/>
            <w:vAlign w:val="center"/>
            <w:hideMark/>
          </w:tcPr>
          <w:p w14:paraId="33D1A81D"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 WAM (унапређење, прилагођавање)</w:t>
            </w:r>
          </w:p>
        </w:tc>
        <w:tc>
          <w:tcPr>
            <w:tcW w:w="320" w:type="pct"/>
            <w:tcBorders>
              <w:top w:val="nil"/>
              <w:left w:val="nil"/>
              <w:bottom w:val="single" w:sz="4" w:space="0" w:color="auto"/>
              <w:right w:val="single" w:sz="4" w:space="0" w:color="auto"/>
            </w:tcBorders>
            <w:shd w:val="clear" w:color="000000" w:fill="E2EFDA"/>
            <w:vAlign w:val="center"/>
            <w:hideMark/>
          </w:tcPr>
          <w:p w14:paraId="0D2B391B"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794,15</w:t>
            </w:r>
          </w:p>
        </w:tc>
        <w:tc>
          <w:tcPr>
            <w:tcW w:w="464" w:type="pct"/>
            <w:tcBorders>
              <w:top w:val="nil"/>
              <w:left w:val="nil"/>
              <w:bottom w:val="single" w:sz="4" w:space="0" w:color="auto"/>
              <w:right w:val="single" w:sz="4" w:space="0" w:color="auto"/>
            </w:tcBorders>
            <w:shd w:val="clear" w:color="000000" w:fill="E2EFDA"/>
            <w:vAlign w:val="center"/>
            <w:hideMark/>
          </w:tcPr>
          <w:p w14:paraId="4E3A68BF"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806,37</w:t>
            </w:r>
          </w:p>
        </w:tc>
      </w:tr>
      <w:tr w:rsidR="00D064DD" w:rsidRPr="00975EE5" w14:paraId="3722CE29"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42AF0C07"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506D49CD"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МП_EE4</w:t>
            </w:r>
          </w:p>
        </w:tc>
        <w:tc>
          <w:tcPr>
            <w:tcW w:w="1336" w:type="pct"/>
            <w:tcBorders>
              <w:top w:val="nil"/>
              <w:left w:val="nil"/>
              <w:bottom w:val="single" w:sz="4" w:space="0" w:color="auto"/>
              <w:right w:val="single" w:sz="4" w:space="0" w:color="auto"/>
            </w:tcBorders>
            <w:shd w:val="clear" w:color="auto" w:fill="auto"/>
            <w:vAlign w:val="center"/>
            <w:hideMark/>
          </w:tcPr>
          <w:p w14:paraId="0BB50E79"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xml:space="preserve"> Завршетак израде законодавног оквира у складу са Директивом (ЕУ) 2018/844/ЕУ и регулаторним мерама за промовисање зграда приближно нулте потрошње енергије (nZEBs)</w:t>
            </w:r>
          </w:p>
        </w:tc>
        <w:tc>
          <w:tcPr>
            <w:tcW w:w="353" w:type="pct"/>
            <w:tcBorders>
              <w:top w:val="nil"/>
              <w:left w:val="nil"/>
              <w:bottom w:val="single" w:sz="4" w:space="0" w:color="auto"/>
              <w:right w:val="single" w:sz="4" w:space="0" w:color="auto"/>
            </w:tcBorders>
            <w:shd w:val="clear" w:color="auto" w:fill="auto"/>
            <w:vAlign w:val="center"/>
            <w:hideMark/>
          </w:tcPr>
          <w:p w14:paraId="3BF8F8FF"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auto" w:fill="auto"/>
            <w:vAlign w:val="center"/>
            <w:hideMark/>
          </w:tcPr>
          <w:p w14:paraId="59751B96"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допринос МП_EE1-МП_EE2-МП_EE3</w:t>
            </w:r>
          </w:p>
        </w:tc>
        <w:tc>
          <w:tcPr>
            <w:tcW w:w="458" w:type="pct"/>
            <w:tcBorders>
              <w:top w:val="nil"/>
              <w:left w:val="nil"/>
              <w:bottom w:val="single" w:sz="4" w:space="0" w:color="auto"/>
              <w:right w:val="single" w:sz="4" w:space="0" w:color="auto"/>
            </w:tcBorders>
            <w:shd w:val="clear" w:color="000000" w:fill="595959"/>
            <w:vAlign w:val="center"/>
            <w:hideMark/>
          </w:tcPr>
          <w:p w14:paraId="7CB0383C"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25" w:type="pct"/>
            <w:tcBorders>
              <w:top w:val="nil"/>
              <w:left w:val="nil"/>
              <w:bottom w:val="single" w:sz="4" w:space="0" w:color="auto"/>
              <w:right w:val="single" w:sz="4" w:space="0" w:color="auto"/>
            </w:tcBorders>
            <w:shd w:val="clear" w:color="000000" w:fill="595959"/>
            <w:vAlign w:val="center"/>
            <w:hideMark/>
          </w:tcPr>
          <w:p w14:paraId="0F6A4179"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06" w:type="pct"/>
            <w:tcBorders>
              <w:top w:val="nil"/>
              <w:left w:val="nil"/>
              <w:bottom w:val="single" w:sz="4" w:space="0" w:color="auto"/>
              <w:right w:val="single" w:sz="4" w:space="0" w:color="auto"/>
            </w:tcBorders>
            <w:shd w:val="clear" w:color="000000" w:fill="595959"/>
            <w:noWrap/>
            <w:vAlign w:val="bottom"/>
            <w:hideMark/>
          </w:tcPr>
          <w:p w14:paraId="7A5E732E"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40" w:type="pct"/>
            <w:tcBorders>
              <w:top w:val="nil"/>
              <w:left w:val="nil"/>
              <w:bottom w:val="single" w:sz="4" w:space="0" w:color="auto"/>
              <w:right w:val="single" w:sz="4" w:space="0" w:color="auto"/>
            </w:tcBorders>
            <w:shd w:val="clear" w:color="000000" w:fill="E2EFDA"/>
            <w:vAlign w:val="center"/>
            <w:hideMark/>
          </w:tcPr>
          <w:p w14:paraId="14759CB5"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20" w:type="pct"/>
            <w:tcBorders>
              <w:top w:val="nil"/>
              <w:left w:val="nil"/>
              <w:bottom w:val="single" w:sz="4" w:space="0" w:color="auto"/>
              <w:right w:val="single" w:sz="4" w:space="0" w:color="auto"/>
            </w:tcBorders>
            <w:shd w:val="clear" w:color="000000" w:fill="595959"/>
            <w:vAlign w:val="center"/>
            <w:hideMark/>
          </w:tcPr>
          <w:p w14:paraId="7F097BEE"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64" w:type="pct"/>
            <w:tcBorders>
              <w:top w:val="nil"/>
              <w:left w:val="nil"/>
              <w:bottom w:val="single" w:sz="4" w:space="0" w:color="auto"/>
              <w:right w:val="single" w:sz="4" w:space="0" w:color="auto"/>
            </w:tcBorders>
            <w:shd w:val="clear" w:color="000000" w:fill="595959"/>
            <w:noWrap/>
            <w:vAlign w:val="bottom"/>
            <w:hideMark/>
          </w:tcPr>
          <w:p w14:paraId="29E451CC"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r>
      <w:tr w:rsidR="00D064DD" w:rsidRPr="00975EE5" w14:paraId="348F87AA"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4D4BC692"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6F0DBA69"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МП_EE5</w:t>
            </w:r>
          </w:p>
        </w:tc>
        <w:tc>
          <w:tcPr>
            <w:tcW w:w="1336" w:type="pct"/>
            <w:tcBorders>
              <w:top w:val="nil"/>
              <w:left w:val="nil"/>
              <w:bottom w:val="single" w:sz="4" w:space="0" w:color="auto"/>
              <w:right w:val="single" w:sz="4" w:space="0" w:color="auto"/>
            </w:tcBorders>
            <w:shd w:val="clear" w:color="auto" w:fill="auto"/>
            <w:vAlign w:val="center"/>
            <w:hideMark/>
          </w:tcPr>
          <w:p w14:paraId="7CB53325"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Финансијска подршка за изградњу и енергетску санацију зграда тако да премашују минималне енергетске захтеве</w:t>
            </w:r>
          </w:p>
        </w:tc>
        <w:tc>
          <w:tcPr>
            <w:tcW w:w="353" w:type="pct"/>
            <w:tcBorders>
              <w:top w:val="nil"/>
              <w:left w:val="nil"/>
              <w:bottom w:val="single" w:sz="4" w:space="0" w:color="auto"/>
              <w:right w:val="single" w:sz="4" w:space="0" w:color="auto"/>
            </w:tcBorders>
            <w:shd w:val="clear" w:color="auto" w:fill="auto"/>
            <w:vAlign w:val="center"/>
            <w:hideMark/>
          </w:tcPr>
          <w:p w14:paraId="4E780CF3"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6E959F84"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допринос МП_EE1-МП_EE2-МП_EE3</w:t>
            </w:r>
          </w:p>
        </w:tc>
        <w:tc>
          <w:tcPr>
            <w:tcW w:w="458" w:type="pct"/>
            <w:tcBorders>
              <w:top w:val="nil"/>
              <w:left w:val="nil"/>
              <w:bottom w:val="single" w:sz="4" w:space="0" w:color="auto"/>
              <w:right w:val="single" w:sz="4" w:space="0" w:color="auto"/>
            </w:tcBorders>
            <w:shd w:val="clear" w:color="000000" w:fill="595959"/>
            <w:vAlign w:val="center"/>
            <w:hideMark/>
          </w:tcPr>
          <w:p w14:paraId="7D15719A"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25" w:type="pct"/>
            <w:tcBorders>
              <w:top w:val="nil"/>
              <w:left w:val="nil"/>
              <w:bottom w:val="single" w:sz="4" w:space="0" w:color="auto"/>
              <w:right w:val="single" w:sz="4" w:space="0" w:color="auto"/>
            </w:tcBorders>
            <w:shd w:val="clear" w:color="000000" w:fill="595959"/>
            <w:vAlign w:val="center"/>
            <w:hideMark/>
          </w:tcPr>
          <w:p w14:paraId="3AB41B74"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06" w:type="pct"/>
            <w:tcBorders>
              <w:top w:val="nil"/>
              <w:left w:val="nil"/>
              <w:bottom w:val="single" w:sz="4" w:space="0" w:color="auto"/>
              <w:right w:val="single" w:sz="4" w:space="0" w:color="auto"/>
            </w:tcBorders>
            <w:shd w:val="clear" w:color="000000" w:fill="595959"/>
            <w:noWrap/>
            <w:vAlign w:val="bottom"/>
            <w:hideMark/>
          </w:tcPr>
          <w:p w14:paraId="2A8E0A62"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40" w:type="pct"/>
            <w:tcBorders>
              <w:top w:val="nil"/>
              <w:left w:val="nil"/>
              <w:bottom w:val="single" w:sz="4" w:space="0" w:color="auto"/>
              <w:right w:val="single" w:sz="4" w:space="0" w:color="auto"/>
            </w:tcBorders>
            <w:shd w:val="clear" w:color="000000" w:fill="E2EFDA"/>
            <w:vAlign w:val="center"/>
            <w:hideMark/>
          </w:tcPr>
          <w:p w14:paraId="263111E4"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20" w:type="pct"/>
            <w:tcBorders>
              <w:top w:val="nil"/>
              <w:left w:val="nil"/>
              <w:bottom w:val="single" w:sz="4" w:space="0" w:color="auto"/>
              <w:right w:val="single" w:sz="4" w:space="0" w:color="auto"/>
            </w:tcBorders>
            <w:shd w:val="clear" w:color="000000" w:fill="595959"/>
            <w:vAlign w:val="center"/>
            <w:hideMark/>
          </w:tcPr>
          <w:p w14:paraId="43882BD3"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64" w:type="pct"/>
            <w:tcBorders>
              <w:top w:val="nil"/>
              <w:left w:val="nil"/>
              <w:bottom w:val="single" w:sz="4" w:space="0" w:color="auto"/>
              <w:right w:val="single" w:sz="4" w:space="0" w:color="auto"/>
            </w:tcBorders>
            <w:shd w:val="clear" w:color="000000" w:fill="595959"/>
            <w:noWrap/>
            <w:vAlign w:val="bottom"/>
            <w:hideMark/>
          </w:tcPr>
          <w:p w14:paraId="5A0608E1"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r>
      <w:tr w:rsidR="00D064DD" w:rsidRPr="00975EE5" w14:paraId="581A67C6"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01545C21"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1C5F0986"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МП_EE6</w:t>
            </w:r>
          </w:p>
        </w:tc>
        <w:tc>
          <w:tcPr>
            <w:tcW w:w="1336" w:type="pct"/>
            <w:tcBorders>
              <w:top w:val="nil"/>
              <w:left w:val="nil"/>
              <w:bottom w:val="single" w:sz="4" w:space="0" w:color="auto"/>
              <w:right w:val="single" w:sz="4" w:space="0" w:color="auto"/>
            </w:tcBorders>
            <w:shd w:val="clear" w:color="auto" w:fill="auto"/>
            <w:vAlign w:val="center"/>
            <w:hideMark/>
          </w:tcPr>
          <w:p w14:paraId="04FD219E"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Обавезна инсталација соларних топлотних система у новим зградама и у зградама које се обимније енергетски санирају</w:t>
            </w:r>
          </w:p>
        </w:tc>
        <w:tc>
          <w:tcPr>
            <w:tcW w:w="353" w:type="pct"/>
            <w:tcBorders>
              <w:top w:val="nil"/>
              <w:left w:val="nil"/>
              <w:bottom w:val="single" w:sz="4" w:space="0" w:color="auto"/>
              <w:right w:val="single" w:sz="4" w:space="0" w:color="auto"/>
            </w:tcBorders>
            <w:shd w:val="clear" w:color="auto" w:fill="auto"/>
            <w:vAlign w:val="center"/>
            <w:hideMark/>
          </w:tcPr>
          <w:p w14:paraId="7DFF5165"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auto" w:fill="auto"/>
            <w:vAlign w:val="center"/>
            <w:hideMark/>
          </w:tcPr>
          <w:p w14:paraId="46E29194"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58" w:type="pct"/>
            <w:tcBorders>
              <w:top w:val="nil"/>
              <w:left w:val="nil"/>
              <w:bottom w:val="single" w:sz="4" w:space="0" w:color="auto"/>
              <w:right w:val="single" w:sz="4" w:space="0" w:color="auto"/>
            </w:tcBorders>
            <w:shd w:val="clear" w:color="000000" w:fill="E2EFDA"/>
            <w:vAlign w:val="center"/>
            <w:hideMark/>
          </w:tcPr>
          <w:p w14:paraId="7CF7C2FD"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636,74</w:t>
            </w:r>
          </w:p>
        </w:tc>
        <w:tc>
          <w:tcPr>
            <w:tcW w:w="325" w:type="pct"/>
            <w:tcBorders>
              <w:top w:val="nil"/>
              <w:left w:val="nil"/>
              <w:bottom w:val="single" w:sz="4" w:space="0" w:color="auto"/>
              <w:right w:val="single" w:sz="4" w:space="0" w:color="auto"/>
            </w:tcBorders>
            <w:shd w:val="clear" w:color="000000" w:fill="E2EFDA"/>
            <w:vAlign w:val="center"/>
            <w:hideMark/>
          </w:tcPr>
          <w:p w14:paraId="48005726"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318,37</w:t>
            </w:r>
          </w:p>
        </w:tc>
        <w:tc>
          <w:tcPr>
            <w:tcW w:w="306" w:type="pct"/>
            <w:tcBorders>
              <w:top w:val="nil"/>
              <w:left w:val="nil"/>
              <w:bottom w:val="single" w:sz="4" w:space="0" w:color="auto"/>
              <w:right w:val="single" w:sz="4" w:space="0" w:color="auto"/>
            </w:tcBorders>
            <w:shd w:val="clear" w:color="000000" w:fill="E2EFDA"/>
            <w:vAlign w:val="center"/>
            <w:hideMark/>
          </w:tcPr>
          <w:p w14:paraId="501C34BB"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318,37</w:t>
            </w:r>
          </w:p>
        </w:tc>
        <w:tc>
          <w:tcPr>
            <w:tcW w:w="440" w:type="pct"/>
            <w:tcBorders>
              <w:top w:val="nil"/>
              <w:left w:val="nil"/>
              <w:bottom w:val="single" w:sz="4" w:space="0" w:color="auto"/>
              <w:right w:val="single" w:sz="4" w:space="0" w:color="auto"/>
            </w:tcBorders>
            <w:shd w:val="clear" w:color="000000" w:fill="E2EFDA"/>
            <w:vAlign w:val="center"/>
            <w:hideMark/>
          </w:tcPr>
          <w:p w14:paraId="651FC14C"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20" w:type="pct"/>
            <w:tcBorders>
              <w:top w:val="nil"/>
              <w:left w:val="nil"/>
              <w:bottom w:val="single" w:sz="4" w:space="0" w:color="auto"/>
              <w:right w:val="single" w:sz="4" w:space="0" w:color="auto"/>
            </w:tcBorders>
            <w:shd w:val="clear" w:color="000000" w:fill="E2EFDA"/>
            <w:vAlign w:val="center"/>
            <w:hideMark/>
          </w:tcPr>
          <w:p w14:paraId="0E4778DF"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464" w:type="pct"/>
            <w:tcBorders>
              <w:top w:val="nil"/>
              <w:left w:val="nil"/>
              <w:bottom w:val="single" w:sz="4" w:space="0" w:color="auto"/>
              <w:right w:val="single" w:sz="4" w:space="0" w:color="auto"/>
            </w:tcBorders>
            <w:shd w:val="clear" w:color="000000" w:fill="E2EFDA"/>
            <w:vAlign w:val="center"/>
            <w:hideMark/>
          </w:tcPr>
          <w:p w14:paraId="66F4CAF1"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636,74</w:t>
            </w:r>
          </w:p>
        </w:tc>
      </w:tr>
      <w:tr w:rsidR="00D064DD" w:rsidRPr="00975EE5" w14:paraId="78780A4C"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080C0A2C"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50EEFB65"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МП_EE7</w:t>
            </w:r>
          </w:p>
        </w:tc>
        <w:tc>
          <w:tcPr>
            <w:tcW w:w="1336" w:type="pct"/>
            <w:tcBorders>
              <w:top w:val="nil"/>
              <w:left w:val="nil"/>
              <w:bottom w:val="single" w:sz="4" w:space="0" w:color="auto"/>
              <w:right w:val="single" w:sz="4" w:space="0" w:color="auto"/>
            </w:tcBorders>
            <w:shd w:val="clear" w:color="auto" w:fill="auto"/>
            <w:vAlign w:val="center"/>
            <w:hideMark/>
          </w:tcPr>
          <w:p w14:paraId="7B2F417B"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Јачање улоге сертификата о енергетским својствима зграда</w:t>
            </w:r>
          </w:p>
        </w:tc>
        <w:tc>
          <w:tcPr>
            <w:tcW w:w="353" w:type="pct"/>
            <w:tcBorders>
              <w:top w:val="nil"/>
              <w:left w:val="nil"/>
              <w:bottom w:val="single" w:sz="4" w:space="0" w:color="auto"/>
              <w:right w:val="single" w:sz="4" w:space="0" w:color="auto"/>
            </w:tcBorders>
            <w:shd w:val="clear" w:color="auto" w:fill="auto"/>
            <w:vAlign w:val="center"/>
            <w:hideMark/>
          </w:tcPr>
          <w:p w14:paraId="5EF00C2F"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auto" w:fill="auto"/>
            <w:vAlign w:val="center"/>
            <w:hideMark/>
          </w:tcPr>
          <w:p w14:paraId="3A1054B2"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допринос МП_EE1-МП_EE2-МП_EE3</w:t>
            </w:r>
          </w:p>
        </w:tc>
        <w:tc>
          <w:tcPr>
            <w:tcW w:w="458" w:type="pct"/>
            <w:tcBorders>
              <w:top w:val="nil"/>
              <w:left w:val="nil"/>
              <w:bottom w:val="single" w:sz="4" w:space="0" w:color="auto"/>
              <w:right w:val="single" w:sz="4" w:space="0" w:color="auto"/>
            </w:tcBorders>
            <w:shd w:val="clear" w:color="000000" w:fill="595959"/>
            <w:vAlign w:val="center"/>
            <w:hideMark/>
          </w:tcPr>
          <w:p w14:paraId="1F8E008A"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25" w:type="pct"/>
            <w:tcBorders>
              <w:top w:val="nil"/>
              <w:left w:val="nil"/>
              <w:bottom w:val="single" w:sz="4" w:space="0" w:color="auto"/>
              <w:right w:val="single" w:sz="4" w:space="0" w:color="auto"/>
            </w:tcBorders>
            <w:shd w:val="clear" w:color="000000" w:fill="595959"/>
            <w:vAlign w:val="center"/>
            <w:hideMark/>
          </w:tcPr>
          <w:p w14:paraId="25B779BD"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06" w:type="pct"/>
            <w:tcBorders>
              <w:top w:val="nil"/>
              <w:left w:val="nil"/>
              <w:bottom w:val="single" w:sz="4" w:space="0" w:color="auto"/>
              <w:right w:val="single" w:sz="4" w:space="0" w:color="auto"/>
            </w:tcBorders>
            <w:shd w:val="clear" w:color="000000" w:fill="595959"/>
            <w:noWrap/>
            <w:vAlign w:val="bottom"/>
            <w:hideMark/>
          </w:tcPr>
          <w:p w14:paraId="0AC605B4"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40" w:type="pct"/>
            <w:tcBorders>
              <w:top w:val="nil"/>
              <w:left w:val="nil"/>
              <w:bottom w:val="single" w:sz="4" w:space="0" w:color="auto"/>
              <w:right w:val="single" w:sz="4" w:space="0" w:color="auto"/>
            </w:tcBorders>
            <w:shd w:val="clear" w:color="000000" w:fill="E2EFDA"/>
            <w:vAlign w:val="center"/>
            <w:hideMark/>
          </w:tcPr>
          <w:p w14:paraId="69D58D26"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20" w:type="pct"/>
            <w:tcBorders>
              <w:top w:val="nil"/>
              <w:left w:val="nil"/>
              <w:bottom w:val="single" w:sz="4" w:space="0" w:color="auto"/>
              <w:right w:val="single" w:sz="4" w:space="0" w:color="auto"/>
            </w:tcBorders>
            <w:shd w:val="clear" w:color="000000" w:fill="595959"/>
            <w:vAlign w:val="center"/>
            <w:hideMark/>
          </w:tcPr>
          <w:p w14:paraId="4094E4F0"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64" w:type="pct"/>
            <w:tcBorders>
              <w:top w:val="nil"/>
              <w:left w:val="nil"/>
              <w:bottom w:val="single" w:sz="4" w:space="0" w:color="auto"/>
              <w:right w:val="single" w:sz="4" w:space="0" w:color="auto"/>
            </w:tcBorders>
            <w:shd w:val="clear" w:color="000000" w:fill="595959"/>
            <w:noWrap/>
            <w:vAlign w:val="bottom"/>
            <w:hideMark/>
          </w:tcPr>
          <w:p w14:paraId="2B1FA7E0"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r>
      <w:tr w:rsidR="00D064DD" w:rsidRPr="00975EE5" w14:paraId="3C06E2EE"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30300237"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3CD1D484"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МП_EE8</w:t>
            </w:r>
          </w:p>
        </w:tc>
        <w:tc>
          <w:tcPr>
            <w:tcW w:w="1336" w:type="pct"/>
            <w:tcBorders>
              <w:top w:val="nil"/>
              <w:left w:val="nil"/>
              <w:bottom w:val="single" w:sz="4" w:space="0" w:color="auto"/>
              <w:right w:val="single" w:sz="4" w:space="0" w:color="auto"/>
            </w:tcBorders>
            <w:shd w:val="clear" w:color="auto" w:fill="auto"/>
            <w:vAlign w:val="center"/>
            <w:hideMark/>
          </w:tcPr>
          <w:p w14:paraId="58D2B24E"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Уклањање препреке подељених подстицаја</w:t>
            </w:r>
          </w:p>
        </w:tc>
        <w:tc>
          <w:tcPr>
            <w:tcW w:w="353" w:type="pct"/>
            <w:tcBorders>
              <w:top w:val="nil"/>
              <w:left w:val="nil"/>
              <w:bottom w:val="single" w:sz="4" w:space="0" w:color="auto"/>
              <w:right w:val="single" w:sz="4" w:space="0" w:color="auto"/>
            </w:tcBorders>
            <w:shd w:val="clear" w:color="auto" w:fill="auto"/>
            <w:vAlign w:val="center"/>
            <w:hideMark/>
          </w:tcPr>
          <w:p w14:paraId="260F38D3"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auto" w:fill="auto"/>
            <w:vAlign w:val="center"/>
            <w:hideMark/>
          </w:tcPr>
          <w:p w14:paraId="3103AC01"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допринос МП_EE1-МП_EE2-МП_EE3</w:t>
            </w:r>
          </w:p>
        </w:tc>
        <w:tc>
          <w:tcPr>
            <w:tcW w:w="458" w:type="pct"/>
            <w:tcBorders>
              <w:top w:val="nil"/>
              <w:left w:val="nil"/>
              <w:bottom w:val="single" w:sz="4" w:space="0" w:color="auto"/>
              <w:right w:val="single" w:sz="4" w:space="0" w:color="auto"/>
            </w:tcBorders>
            <w:shd w:val="clear" w:color="000000" w:fill="595959"/>
            <w:vAlign w:val="center"/>
            <w:hideMark/>
          </w:tcPr>
          <w:p w14:paraId="74EA626D"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25" w:type="pct"/>
            <w:tcBorders>
              <w:top w:val="nil"/>
              <w:left w:val="nil"/>
              <w:bottom w:val="single" w:sz="4" w:space="0" w:color="auto"/>
              <w:right w:val="single" w:sz="4" w:space="0" w:color="auto"/>
            </w:tcBorders>
            <w:shd w:val="clear" w:color="000000" w:fill="595959"/>
            <w:vAlign w:val="center"/>
            <w:hideMark/>
          </w:tcPr>
          <w:p w14:paraId="5ECED50D"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06" w:type="pct"/>
            <w:tcBorders>
              <w:top w:val="nil"/>
              <w:left w:val="nil"/>
              <w:bottom w:val="single" w:sz="4" w:space="0" w:color="auto"/>
              <w:right w:val="single" w:sz="4" w:space="0" w:color="auto"/>
            </w:tcBorders>
            <w:shd w:val="clear" w:color="000000" w:fill="595959"/>
            <w:noWrap/>
            <w:vAlign w:val="bottom"/>
            <w:hideMark/>
          </w:tcPr>
          <w:p w14:paraId="3FD02B77"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40" w:type="pct"/>
            <w:tcBorders>
              <w:top w:val="nil"/>
              <w:left w:val="nil"/>
              <w:bottom w:val="single" w:sz="4" w:space="0" w:color="auto"/>
              <w:right w:val="single" w:sz="4" w:space="0" w:color="auto"/>
            </w:tcBorders>
            <w:shd w:val="clear" w:color="000000" w:fill="E2EFDA"/>
            <w:vAlign w:val="center"/>
            <w:hideMark/>
          </w:tcPr>
          <w:p w14:paraId="3020429B"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20" w:type="pct"/>
            <w:tcBorders>
              <w:top w:val="nil"/>
              <w:left w:val="nil"/>
              <w:bottom w:val="single" w:sz="4" w:space="0" w:color="auto"/>
              <w:right w:val="single" w:sz="4" w:space="0" w:color="auto"/>
            </w:tcBorders>
            <w:shd w:val="clear" w:color="000000" w:fill="595959"/>
            <w:vAlign w:val="center"/>
            <w:hideMark/>
          </w:tcPr>
          <w:p w14:paraId="60A80DFF"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64" w:type="pct"/>
            <w:tcBorders>
              <w:top w:val="nil"/>
              <w:left w:val="nil"/>
              <w:bottom w:val="single" w:sz="4" w:space="0" w:color="auto"/>
              <w:right w:val="single" w:sz="4" w:space="0" w:color="auto"/>
            </w:tcBorders>
            <w:shd w:val="clear" w:color="000000" w:fill="595959"/>
            <w:noWrap/>
            <w:vAlign w:val="bottom"/>
            <w:hideMark/>
          </w:tcPr>
          <w:p w14:paraId="2A2DD9BD"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r>
      <w:tr w:rsidR="00D064DD" w:rsidRPr="00975EE5" w14:paraId="208BCB00"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6F3C91EF"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01B776FD"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МП_EE9</w:t>
            </w:r>
          </w:p>
        </w:tc>
        <w:tc>
          <w:tcPr>
            <w:tcW w:w="1336" w:type="pct"/>
            <w:tcBorders>
              <w:top w:val="nil"/>
              <w:left w:val="nil"/>
              <w:bottom w:val="single" w:sz="4" w:space="0" w:color="auto"/>
              <w:right w:val="single" w:sz="4" w:space="0" w:color="auto"/>
            </w:tcBorders>
            <w:shd w:val="clear" w:color="auto" w:fill="auto"/>
            <w:vAlign w:val="center"/>
            <w:hideMark/>
          </w:tcPr>
          <w:p w14:paraId="765C7072"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Промовисање енергетски ефикасних уређаја у домаћинствима</w:t>
            </w:r>
          </w:p>
        </w:tc>
        <w:tc>
          <w:tcPr>
            <w:tcW w:w="353" w:type="pct"/>
            <w:tcBorders>
              <w:top w:val="nil"/>
              <w:left w:val="nil"/>
              <w:bottom w:val="single" w:sz="4" w:space="0" w:color="auto"/>
              <w:right w:val="single" w:sz="4" w:space="0" w:color="auto"/>
            </w:tcBorders>
            <w:shd w:val="clear" w:color="000000" w:fill="FFFFFF"/>
            <w:vAlign w:val="center"/>
            <w:hideMark/>
          </w:tcPr>
          <w:p w14:paraId="5352A985"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000000" w:fill="FFFFFF"/>
            <w:vAlign w:val="center"/>
            <w:hideMark/>
          </w:tcPr>
          <w:p w14:paraId="253E37A6"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58" w:type="pct"/>
            <w:tcBorders>
              <w:top w:val="nil"/>
              <w:left w:val="nil"/>
              <w:bottom w:val="single" w:sz="4" w:space="0" w:color="auto"/>
              <w:right w:val="single" w:sz="4" w:space="0" w:color="auto"/>
            </w:tcBorders>
            <w:shd w:val="clear" w:color="000000" w:fill="E2EFDA"/>
            <w:vAlign w:val="center"/>
            <w:hideMark/>
          </w:tcPr>
          <w:p w14:paraId="5EE99719"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1493,81</w:t>
            </w:r>
          </w:p>
        </w:tc>
        <w:tc>
          <w:tcPr>
            <w:tcW w:w="325" w:type="pct"/>
            <w:tcBorders>
              <w:top w:val="nil"/>
              <w:left w:val="nil"/>
              <w:bottom w:val="single" w:sz="4" w:space="0" w:color="auto"/>
              <w:right w:val="single" w:sz="4" w:space="0" w:color="auto"/>
            </w:tcBorders>
            <w:shd w:val="clear" w:color="000000" w:fill="E2EFDA"/>
            <w:vAlign w:val="center"/>
            <w:hideMark/>
          </w:tcPr>
          <w:p w14:paraId="425671F9"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373,45</w:t>
            </w:r>
          </w:p>
        </w:tc>
        <w:tc>
          <w:tcPr>
            <w:tcW w:w="306" w:type="pct"/>
            <w:tcBorders>
              <w:top w:val="nil"/>
              <w:left w:val="nil"/>
              <w:bottom w:val="single" w:sz="4" w:space="0" w:color="auto"/>
              <w:right w:val="single" w:sz="4" w:space="0" w:color="auto"/>
            </w:tcBorders>
            <w:shd w:val="clear" w:color="000000" w:fill="E2EFDA"/>
            <w:vAlign w:val="center"/>
            <w:hideMark/>
          </w:tcPr>
          <w:p w14:paraId="095F39C6"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1120,35</w:t>
            </w:r>
          </w:p>
        </w:tc>
        <w:tc>
          <w:tcPr>
            <w:tcW w:w="440" w:type="pct"/>
            <w:tcBorders>
              <w:top w:val="nil"/>
              <w:left w:val="nil"/>
              <w:bottom w:val="single" w:sz="4" w:space="0" w:color="auto"/>
              <w:right w:val="single" w:sz="4" w:space="0" w:color="auto"/>
            </w:tcBorders>
            <w:shd w:val="clear" w:color="000000" w:fill="E2EFDA"/>
            <w:vAlign w:val="center"/>
            <w:hideMark/>
          </w:tcPr>
          <w:p w14:paraId="25380C04"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 WAM (унапређење, прилагођавање)</w:t>
            </w:r>
          </w:p>
        </w:tc>
        <w:tc>
          <w:tcPr>
            <w:tcW w:w="320" w:type="pct"/>
            <w:tcBorders>
              <w:top w:val="nil"/>
              <w:left w:val="nil"/>
              <w:bottom w:val="single" w:sz="4" w:space="0" w:color="auto"/>
              <w:right w:val="single" w:sz="4" w:space="0" w:color="auto"/>
            </w:tcBorders>
            <w:shd w:val="clear" w:color="000000" w:fill="E2EFDA"/>
            <w:vAlign w:val="center"/>
            <w:hideMark/>
          </w:tcPr>
          <w:p w14:paraId="7231B9EF"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464" w:type="pct"/>
            <w:tcBorders>
              <w:top w:val="nil"/>
              <w:left w:val="nil"/>
              <w:bottom w:val="single" w:sz="4" w:space="0" w:color="auto"/>
              <w:right w:val="single" w:sz="4" w:space="0" w:color="auto"/>
            </w:tcBorders>
            <w:shd w:val="clear" w:color="000000" w:fill="E2EFDA"/>
            <w:vAlign w:val="center"/>
            <w:hideMark/>
          </w:tcPr>
          <w:p w14:paraId="78B706C6"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1493,81</w:t>
            </w:r>
          </w:p>
        </w:tc>
      </w:tr>
      <w:tr w:rsidR="00D064DD" w:rsidRPr="00975EE5" w14:paraId="77E27865"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2DF77639"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097F3D88"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МП_EE10</w:t>
            </w:r>
          </w:p>
        </w:tc>
        <w:tc>
          <w:tcPr>
            <w:tcW w:w="1336" w:type="pct"/>
            <w:tcBorders>
              <w:top w:val="nil"/>
              <w:left w:val="nil"/>
              <w:bottom w:val="single" w:sz="4" w:space="0" w:color="auto"/>
              <w:right w:val="single" w:sz="4" w:space="0" w:color="auto"/>
            </w:tcBorders>
            <w:shd w:val="clear" w:color="000000" w:fill="FFFFFF"/>
            <w:vAlign w:val="center"/>
            <w:hideMark/>
          </w:tcPr>
          <w:p w14:paraId="71682F31"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Подстицање енергетски ефикасних путничких возила и лаких товарних возила</w:t>
            </w:r>
          </w:p>
        </w:tc>
        <w:tc>
          <w:tcPr>
            <w:tcW w:w="353" w:type="pct"/>
            <w:tcBorders>
              <w:top w:val="nil"/>
              <w:left w:val="nil"/>
              <w:bottom w:val="single" w:sz="4" w:space="0" w:color="auto"/>
              <w:right w:val="single" w:sz="4" w:space="0" w:color="auto"/>
            </w:tcBorders>
            <w:shd w:val="clear" w:color="000000" w:fill="FFFFFF"/>
            <w:vAlign w:val="center"/>
            <w:hideMark/>
          </w:tcPr>
          <w:p w14:paraId="44E7721F"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000000" w:fill="FFFFFF"/>
            <w:vAlign w:val="center"/>
            <w:hideMark/>
          </w:tcPr>
          <w:p w14:paraId="7E11EAE5"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58" w:type="pct"/>
            <w:tcBorders>
              <w:top w:val="nil"/>
              <w:left w:val="nil"/>
              <w:bottom w:val="single" w:sz="4" w:space="0" w:color="auto"/>
              <w:right w:val="single" w:sz="4" w:space="0" w:color="auto"/>
            </w:tcBorders>
            <w:shd w:val="clear" w:color="000000" w:fill="E2EFDA"/>
            <w:vAlign w:val="center"/>
            <w:hideMark/>
          </w:tcPr>
          <w:p w14:paraId="106D5904"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3803,00</w:t>
            </w:r>
          </w:p>
        </w:tc>
        <w:tc>
          <w:tcPr>
            <w:tcW w:w="325" w:type="pct"/>
            <w:tcBorders>
              <w:top w:val="nil"/>
              <w:left w:val="nil"/>
              <w:bottom w:val="single" w:sz="4" w:space="0" w:color="auto"/>
              <w:right w:val="single" w:sz="4" w:space="0" w:color="auto"/>
            </w:tcBorders>
            <w:shd w:val="clear" w:color="000000" w:fill="E2EFDA"/>
            <w:vAlign w:val="center"/>
            <w:hideMark/>
          </w:tcPr>
          <w:p w14:paraId="4DFCB1D0"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06" w:type="pct"/>
            <w:tcBorders>
              <w:top w:val="nil"/>
              <w:left w:val="nil"/>
              <w:bottom w:val="single" w:sz="4" w:space="0" w:color="auto"/>
              <w:right w:val="single" w:sz="4" w:space="0" w:color="auto"/>
            </w:tcBorders>
            <w:shd w:val="clear" w:color="000000" w:fill="E2EFDA"/>
            <w:vAlign w:val="center"/>
            <w:hideMark/>
          </w:tcPr>
          <w:p w14:paraId="723E5DB7"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3803,00</w:t>
            </w:r>
          </w:p>
        </w:tc>
        <w:tc>
          <w:tcPr>
            <w:tcW w:w="440" w:type="pct"/>
            <w:tcBorders>
              <w:top w:val="nil"/>
              <w:left w:val="nil"/>
              <w:bottom w:val="single" w:sz="4" w:space="0" w:color="auto"/>
              <w:right w:val="single" w:sz="4" w:space="0" w:color="auto"/>
            </w:tcBorders>
            <w:shd w:val="clear" w:color="000000" w:fill="E2EFDA"/>
            <w:vAlign w:val="center"/>
            <w:hideMark/>
          </w:tcPr>
          <w:p w14:paraId="5D9E178F"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20" w:type="pct"/>
            <w:tcBorders>
              <w:top w:val="nil"/>
              <w:left w:val="nil"/>
              <w:bottom w:val="single" w:sz="4" w:space="0" w:color="auto"/>
              <w:right w:val="single" w:sz="4" w:space="0" w:color="auto"/>
            </w:tcBorders>
            <w:shd w:val="clear" w:color="000000" w:fill="E2EFDA"/>
            <w:vAlign w:val="center"/>
            <w:hideMark/>
          </w:tcPr>
          <w:p w14:paraId="14FAC050"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3803,00</w:t>
            </w:r>
          </w:p>
        </w:tc>
        <w:tc>
          <w:tcPr>
            <w:tcW w:w="464" w:type="pct"/>
            <w:tcBorders>
              <w:top w:val="nil"/>
              <w:left w:val="nil"/>
              <w:bottom w:val="single" w:sz="4" w:space="0" w:color="auto"/>
              <w:right w:val="single" w:sz="4" w:space="0" w:color="auto"/>
            </w:tcBorders>
            <w:shd w:val="clear" w:color="000000" w:fill="E2EFDA"/>
            <w:vAlign w:val="center"/>
            <w:hideMark/>
          </w:tcPr>
          <w:p w14:paraId="72B07E19"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D064DD" w:rsidRPr="00975EE5" w14:paraId="1A36F872"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4631A983"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7A40D2F0"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МП_EE11</w:t>
            </w:r>
          </w:p>
        </w:tc>
        <w:tc>
          <w:tcPr>
            <w:tcW w:w="1336" w:type="pct"/>
            <w:tcBorders>
              <w:top w:val="nil"/>
              <w:left w:val="nil"/>
              <w:bottom w:val="single" w:sz="4" w:space="0" w:color="auto"/>
              <w:right w:val="single" w:sz="4" w:space="0" w:color="auto"/>
            </w:tcBorders>
            <w:shd w:val="clear" w:color="auto" w:fill="auto"/>
            <w:vAlign w:val="center"/>
            <w:hideMark/>
          </w:tcPr>
          <w:p w14:paraId="23E944EA"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Обезбеђивање енергетске ефикасности увезених половних путничких аутомобила</w:t>
            </w:r>
          </w:p>
        </w:tc>
        <w:tc>
          <w:tcPr>
            <w:tcW w:w="353" w:type="pct"/>
            <w:tcBorders>
              <w:top w:val="nil"/>
              <w:left w:val="nil"/>
              <w:bottom w:val="single" w:sz="4" w:space="0" w:color="auto"/>
              <w:right w:val="single" w:sz="4" w:space="0" w:color="auto"/>
            </w:tcBorders>
            <w:shd w:val="clear" w:color="auto" w:fill="auto"/>
            <w:vAlign w:val="center"/>
            <w:hideMark/>
          </w:tcPr>
          <w:p w14:paraId="47058512"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auto" w:fill="auto"/>
            <w:vAlign w:val="center"/>
            <w:hideMark/>
          </w:tcPr>
          <w:p w14:paraId="39CEE8FE"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допринос МП_EE10-МП_EE12-МП_EE14</w:t>
            </w:r>
          </w:p>
        </w:tc>
        <w:tc>
          <w:tcPr>
            <w:tcW w:w="458" w:type="pct"/>
            <w:tcBorders>
              <w:top w:val="nil"/>
              <w:left w:val="nil"/>
              <w:bottom w:val="single" w:sz="4" w:space="0" w:color="auto"/>
              <w:right w:val="single" w:sz="4" w:space="0" w:color="auto"/>
            </w:tcBorders>
            <w:shd w:val="clear" w:color="000000" w:fill="595959"/>
            <w:vAlign w:val="center"/>
            <w:hideMark/>
          </w:tcPr>
          <w:p w14:paraId="51CD2FDD"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25" w:type="pct"/>
            <w:tcBorders>
              <w:top w:val="nil"/>
              <w:left w:val="nil"/>
              <w:bottom w:val="single" w:sz="4" w:space="0" w:color="auto"/>
              <w:right w:val="single" w:sz="4" w:space="0" w:color="auto"/>
            </w:tcBorders>
            <w:shd w:val="clear" w:color="000000" w:fill="595959"/>
            <w:vAlign w:val="center"/>
            <w:hideMark/>
          </w:tcPr>
          <w:p w14:paraId="47B21816"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06" w:type="pct"/>
            <w:tcBorders>
              <w:top w:val="nil"/>
              <w:left w:val="nil"/>
              <w:bottom w:val="single" w:sz="4" w:space="0" w:color="auto"/>
              <w:right w:val="single" w:sz="4" w:space="0" w:color="auto"/>
            </w:tcBorders>
            <w:shd w:val="clear" w:color="000000" w:fill="595959"/>
            <w:noWrap/>
            <w:vAlign w:val="bottom"/>
            <w:hideMark/>
          </w:tcPr>
          <w:p w14:paraId="1652E5ED"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40" w:type="pct"/>
            <w:tcBorders>
              <w:top w:val="nil"/>
              <w:left w:val="nil"/>
              <w:bottom w:val="single" w:sz="4" w:space="0" w:color="auto"/>
              <w:right w:val="single" w:sz="4" w:space="0" w:color="auto"/>
            </w:tcBorders>
            <w:shd w:val="clear" w:color="000000" w:fill="E2EFDA"/>
            <w:vAlign w:val="center"/>
            <w:hideMark/>
          </w:tcPr>
          <w:p w14:paraId="054B7816"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20" w:type="pct"/>
            <w:tcBorders>
              <w:top w:val="nil"/>
              <w:left w:val="nil"/>
              <w:bottom w:val="single" w:sz="4" w:space="0" w:color="auto"/>
              <w:right w:val="single" w:sz="4" w:space="0" w:color="auto"/>
            </w:tcBorders>
            <w:shd w:val="clear" w:color="000000" w:fill="595959"/>
            <w:vAlign w:val="center"/>
            <w:hideMark/>
          </w:tcPr>
          <w:p w14:paraId="3B4AA64E"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64" w:type="pct"/>
            <w:tcBorders>
              <w:top w:val="nil"/>
              <w:left w:val="nil"/>
              <w:bottom w:val="single" w:sz="4" w:space="0" w:color="auto"/>
              <w:right w:val="single" w:sz="4" w:space="0" w:color="auto"/>
            </w:tcBorders>
            <w:shd w:val="clear" w:color="000000" w:fill="595959"/>
            <w:noWrap/>
            <w:vAlign w:val="bottom"/>
            <w:hideMark/>
          </w:tcPr>
          <w:p w14:paraId="39DACEA9"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r>
      <w:tr w:rsidR="00D064DD" w:rsidRPr="00975EE5" w14:paraId="0C82C673"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49E5F917"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1691D2BB"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МП_EE12</w:t>
            </w:r>
          </w:p>
        </w:tc>
        <w:tc>
          <w:tcPr>
            <w:tcW w:w="1336" w:type="pct"/>
            <w:tcBorders>
              <w:top w:val="nil"/>
              <w:left w:val="nil"/>
              <w:bottom w:val="single" w:sz="4" w:space="0" w:color="auto"/>
              <w:right w:val="single" w:sz="4" w:space="0" w:color="auto"/>
            </w:tcBorders>
            <w:shd w:val="clear" w:color="000000" w:fill="FFFFFF"/>
            <w:vAlign w:val="center"/>
            <w:hideMark/>
          </w:tcPr>
          <w:p w14:paraId="734E0E92"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Програми финансирања за промовисање енергетски ефикасних путничких возила</w:t>
            </w:r>
          </w:p>
        </w:tc>
        <w:tc>
          <w:tcPr>
            <w:tcW w:w="353" w:type="pct"/>
            <w:tcBorders>
              <w:top w:val="nil"/>
              <w:left w:val="nil"/>
              <w:bottom w:val="single" w:sz="4" w:space="0" w:color="auto"/>
              <w:right w:val="single" w:sz="4" w:space="0" w:color="auto"/>
            </w:tcBorders>
            <w:shd w:val="clear" w:color="000000" w:fill="FFFFFF"/>
            <w:vAlign w:val="center"/>
            <w:hideMark/>
          </w:tcPr>
          <w:p w14:paraId="1491F18D"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000000" w:fill="FFFFFF"/>
            <w:vAlign w:val="center"/>
            <w:hideMark/>
          </w:tcPr>
          <w:p w14:paraId="3DEC6119"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58" w:type="pct"/>
            <w:tcBorders>
              <w:top w:val="nil"/>
              <w:left w:val="nil"/>
              <w:bottom w:val="single" w:sz="4" w:space="0" w:color="auto"/>
              <w:right w:val="single" w:sz="4" w:space="0" w:color="auto"/>
            </w:tcBorders>
            <w:shd w:val="clear" w:color="000000" w:fill="E2EFDA"/>
            <w:vAlign w:val="center"/>
            <w:hideMark/>
          </w:tcPr>
          <w:p w14:paraId="3055E2BC"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570,23</w:t>
            </w:r>
          </w:p>
        </w:tc>
        <w:tc>
          <w:tcPr>
            <w:tcW w:w="325" w:type="pct"/>
            <w:tcBorders>
              <w:top w:val="nil"/>
              <w:left w:val="nil"/>
              <w:bottom w:val="single" w:sz="4" w:space="0" w:color="auto"/>
              <w:right w:val="single" w:sz="4" w:space="0" w:color="auto"/>
            </w:tcBorders>
            <w:shd w:val="clear" w:color="000000" w:fill="E2EFDA"/>
            <w:vAlign w:val="center"/>
            <w:hideMark/>
          </w:tcPr>
          <w:p w14:paraId="69E81A4A"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142,56</w:t>
            </w:r>
          </w:p>
        </w:tc>
        <w:tc>
          <w:tcPr>
            <w:tcW w:w="306" w:type="pct"/>
            <w:tcBorders>
              <w:top w:val="nil"/>
              <w:left w:val="nil"/>
              <w:bottom w:val="single" w:sz="4" w:space="0" w:color="auto"/>
              <w:right w:val="single" w:sz="4" w:space="0" w:color="auto"/>
            </w:tcBorders>
            <w:shd w:val="clear" w:color="000000" w:fill="E2EFDA"/>
            <w:vAlign w:val="center"/>
            <w:hideMark/>
          </w:tcPr>
          <w:p w14:paraId="08457A7A"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427,68</w:t>
            </w:r>
          </w:p>
        </w:tc>
        <w:tc>
          <w:tcPr>
            <w:tcW w:w="440" w:type="pct"/>
            <w:tcBorders>
              <w:top w:val="nil"/>
              <w:left w:val="nil"/>
              <w:bottom w:val="single" w:sz="4" w:space="0" w:color="auto"/>
              <w:right w:val="single" w:sz="4" w:space="0" w:color="auto"/>
            </w:tcBorders>
            <w:shd w:val="clear" w:color="000000" w:fill="E2EFDA"/>
            <w:vAlign w:val="center"/>
            <w:hideMark/>
          </w:tcPr>
          <w:p w14:paraId="6C785BE1"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20" w:type="pct"/>
            <w:tcBorders>
              <w:top w:val="nil"/>
              <w:left w:val="nil"/>
              <w:bottom w:val="single" w:sz="4" w:space="0" w:color="auto"/>
              <w:right w:val="single" w:sz="4" w:space="0" w:color="auto"/>
            </w:tcBorders>
            <w:shd w:val="clear" w:color="000000" w:fill="E2EFDA"/>
            <w:vAlign w:val="center"/>
            <w:hideMark/>
          </w:tcPr>
          <w:p w14:paraId="6069C477"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464" w:type="pct"/>
            <w:tcBorders>
              <w:top w:val="nil"/>
              <w:left w:val="nil"/>
              <w:bottom w:val="single" w:sz="4" w:space="0" w:color="auto"/>
              <w:right w:val="single" w:sz="4" w:space="0" w:color="auto"/>
            </w:tcBorders>
            <w:shd w:val="clear" w:color="000000" w:fill="E2EFDA"/>
            <w:vAlign w:val="center"/>
            <w:hideMark/>
          </w:tcPr>
          <w:p w14:paraId="54A301A4"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570,23</w:t>
            </w:r>
          </w:p>
        </w:tc>
      </w:tr>
      <w:tr w:rsidR="00D064DD" w:rsidRPr="00975EE5" w14:paraId="238DCE00"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1003E367"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00378DAF"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МП_EE13</w:t>
            </w:r>
          </w:p>
        </w:tc>
        <w:tc>
          <w:tcPr>
            <w:tcW w:w="1336" w:type="pct"/>
            <w:tcBorders>
              <w:top w:val="nil"/>
              <w:left w:val="nil"/>
              <w:bottom w:val="single" w:sz="4" w:space="0" w:color="auto"/>
              <w:right w:val="single" w:sz="4" w:space="0" w:color="auto"/>
            </w:tcBorders>
            <w:shd w:val="clear" w:color="auto" w:fill="auto"/>
            <w:vAlign w:val="center"/>
            <w:hideMark/>
          </w:tcPr>
          <w:p w14:paraId="6E432CF1"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Развој потребне инфраструктуре за промовисање алтернативних горива</w:t>
            </w:r>
          </w:p>
        </w:tc>
        <w:tc>
          <w:tcPr>
            <w:tcW w:w="353" w:type="pct"/>
            <w:tcBorders>
              <w:top w:val="nil"/>
              <w:left w:val="nil"/>
              <w:bottom w:val="single" w:sz="4" w:space="0" w:color="auto"/>
              <w:right w:val="single" w:sz="4" w:space="0" w:color="auto"/>
            </w:tcBorders>
            <w:shd w:val="clear" w:color="auto" w:fill="auto"/>
            <w:vAlign w:val="center"/>
            <w:hideMark/>
          </w:tcPr>
          <w:p w14:paraId="22200680"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41A62269"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интегрисана у МП_EE10, МП_EE12 и МП_EE14</w:t>
            </w:r>
          </w:p>
        </w:tc>
        <w:tc>
          <w:tcPr>
            <w:tcW w:w="458" w:type="pct"/>
            <w:tcBorders>
              <w:top w:val="nil"/>
              <w:left w:val="nil"/>
              <w:bottom w:val="single" w:sz="4" w:space="0" w:color="auto"/>
              <w:right w:val="single" w:sz="4" w:space="0" w:color="auto"/>
            </w:tcBorders>
            <w:shd w:val="clear" w:color="000000" w:fill="595959"/>
            <w:vAlign w:val="center"/>
            <w:hideMark/>
          </w:tcPr>
          <w:p w14:paraId="1D82DBAE"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25" w:type="pct"/>
            <w:tcBorders>
              <w:top w:val="nil"/>
              <w:left w:val="nil"/>
              <w:bottom w:val="single" w:sz="4" w:space="0" w:color="auto"/>
              <w:right w:val="single" w:sz="4" w:space="0" w:color="auto"/>
            </w:tcBorders>
            <w:shd w:val="clear" w:color="000000" w:fill="595959"/>
            <w:vAlign w:val="center"/>
            <w:hideMark/>
          </w:tcPr>
          <w:p w14:paraId="40326B44"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06" w:type="pct"/>
            <w:tcBorders>
              <w:top w:val="nil"/>
              <w:left w:val="nil"/>
              <w:bottom w:val="single" w:sz="4" w:space="0" w:color="auto"/>
              <w:right w:val="single" w:sz="4" w:space="0" w:color="auto"/>
            </w:tcBorders>
            <w:shd w:val="clear" w:color="000000" w:fill="595959"/>
            <w:noWrap/>
            <w:vAlign w:val="bottom"/>
            <w:hideMark/>
          </w:tcPr>
          <w:p w14:paraId="6949ED5C"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40" w:type="pct"/>
            <w:tcBorders>
              <w:top w:val="nil"/>
              <w:left w:val="nil"/>
              <w:bottom w:val="single" w:sz="4" w:space="0" w:color="auto"/>
              <w:right w:val="single" w:sz="4" w:space="0" w:color="auto"/>
            </w:tcBorders>
            <w:shd w:val="clear" w:color="000000" w:fill="E2EFDA"/>
            <w:vAlign w:val="center"/>
            <w:hideMark/>
          </w:tcPr>
          <w:p w14:paraId="5423E492"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20" w:type="pct"/>
            <w:tcBorders>
              <w:top w:val="nil"/>
              <w:left w:val="nil"/>
              <w:bottom w:val="single" w:sz="4" w:space="0" w:color="auto"/>
              <w:right w:val="single" w:sz="4" w:space="0" w:color="auto"/>
            </w:tcBorders>
            <w:shd w:val="clear" w:color="000000" w:fill="595959"/>
            <w:vAlign w:val="center"/>
            <w:hideMark/>
          </w:tcPr>
          <w:p w14:paraId="0004A270"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64" w:type="pct"/>
            <w:tcBorders>
              <w:top w:val="nil"/>
              <w:left w:val="nil"/>
              <w:bottom w:val="single" w:sz="4" w:space="0" w:color="auto"/>
              <w:right w:val="single" w:sz="4" w:space="0" w:color="auto"/>
            </w:tcBorders>
            <w:shd w:val="clear" w:color="000000" w:fill="595959"/>
            <w:noWrap/>
            <w:vAlign w:val="bottom"/>
            <w:hideMark/>
          </w:tcPr>
          <w:p w14:paraId="4CD85DA8"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r>
      <w:tr w:rsidR="00D064DD" w:rsidRPr="00975EE5" w14:paraId="5B6E5693"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1224A0C8"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2238D6C6"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МП_EE14</w:t>
            </w:r>
          </w:p>
        </w:tc>
        <w:tc>
          <w:tcPr>
            <w:tcW w:w="1336" w:type="pct"/>
            <w:tcBorders>
              <w:top w:val="nil"/>
              <w:left w:val="nil"/>
              <w:bottom w:val="single" w:sz="4" w:space="0" w:color="auto"/>
              <w:right w:val="single" w:sz="4" w:space="0" w:color="auto"/>
            </w:tcBorders>
            <w:shd w:val="clear" w:color="000000" w:fill="FFFFFF"/>
            <w:vAlign w:val="center"/>
            <w:hideMark/>
          </w:tcPr>
          <w:p w14:paraId="799433A8"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Промовисање енергетске ефикасности теретног саобраћаја</w:t>
            </w:r>
          </w:p>
        </w:tc>
        <w:tc>
          <w:tcPr>
            <w:tcW w:w="353" w:type="pct"/>
            <w:tcBorders>
              <w:top w:val="nil"/>
              <w:left w:val="nil"/>
              <w:bottom w:val="single" w:sz="4" w:space="0" w:color="auto"/>
              <w:right w:val="single" w:sz="4" w:space="0" w:color="auto"/>
            </w:tcBorders>
            <w:shd w:val="clear" w:color="000000" w:fill="FFFFFF"/>
            <w:vAlign w:val="center"/>
            <w:hideMark/>
          </w:tcPr>
          <w:p w14:paraId="458EAA0B"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000000" w:fill="FFFFFF"/>
            <w:vAlign w:val="center"/>
            <w:hideMark/>
          </w:tcPr>
          <w:p w14:paraId="0D1E4523"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58" w:type="pct"/>
            <w:tcBorders>
              <w:top w:val="nil"/>
              <w:left w:val="nil"/>
              <w:bottom w:val="single" w:sz="4" w:space="0" w:color="auto"/>
              <w:right w:val="single" w:sz="4" w:space="0" w:color="auto"/>
            </w:tcBorders>
            <w:shd w:val="clear" w:color="000000" w:fill="E2EFDA"/>
            <w:vAlign w:val="center"/>
            <w:hideMark/>
          </w:tcPr>
          <w:p w14:paraId="5D4EFAB9"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1596,00</w:t>
            </w:r>
          </w:p>
        </w:tc>
        <w:tc>
          <w:tcPr>
            <w:tcW w:w="325" w:type="pct"/>
            <w:tcBorders>
              <w:top w:val="nil"/>
              <w:left w:val="nil"/>
              <w:bottom w:val="single" w:sz="4" w:space="0" w:color="auto"/>
              <w:right w:val="single" w:sz="4" w:space="0" w:color="auto"/>
            </w:tcBorders>
            <w:shd w:val="clear" w:color="000000" w:fill="E2EFDA"/>
            <w:vAlign w:val="center"/>
            <w:hideMark/>
          </w:tcPr>
          <w:p w14:paraId="39F56F16"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399,00</w:t>
            </w:r>
          </w:p>
        </w:tc>
        <w:tc>
          <w:tcPr>
            <w:tcW w:w="306" w:type="pct"/>
            <w:tcBorders>
              <w:top w:val="nil"/>
              <w:left w:val="nil"/>
              <w:bottom w:val="single" w:sz="4" w:space="0" w:color="auto"/>
              <w:right w:val="single" w:sz="4" w:space="0" w:color="auto"/>
            </w:tcBorders>
            <w:shd w:val="clear" w:color="000000" w:fill="E2EFDA"/>
            <w:vAlign w:val="center"/>
            <w:hideMark/>
          </w:tcPr>
          <w:p w14:paraId="17B37DB4"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1197,00</w:t>
            </w:r>
          </w:p>
        </w:tc>
        <w:tc>
          <w:tcPr>
            <w:tcW w:w="440" w:type="pct"/>
            <w:tcBorders>
              <w:top w:val="nil"/>
              <w:left w:val="nil"/>
              <w:bottom w:val="single" w:sz="4" w:space="0" w:color="auto"/>
              <w:right w:val="single" w:sz="4" w:space="0" w:color="auto"/>
            </w:tcBorders>
            <w:shd w:val="clear" w:color="000000" w:fill="E2EFDA"/>
            <w:vAlign w:val="center"/>
            <w:hideMark/>
          </w:tcPr>
          <w:p w14:paraId="5BEA2CA5"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 WAM (унапређење, прилагођавање)</w:t>
            </w:r>
          </w:p>
        </w:tc>
        <w:tc>
          <w:tcPr>
            <w:tcW w:w="320" w:type="pct"/>
            <w:tcBorders>
              <w:top w:val="nil"/>
              <w:left w:val="nil"/>
              <w:bottom w:val="single" w:sz="4" w:space="0" w:color="auto"/>
              <w:right w:val="single" w:sz="4" w:space="0" w:color="auto"/>
            </w:tcBorders>
            <w:shd w:val="clear" w:color="000000" w:fill="E2EFDA"/>
            <w:vAlign w:val="center"/>
            <w:hideMark/>
          </w:tcPr>
          <w:p w14:paraId="41BF9001"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596,41</w:t>
            </w:r>
          </w:p>
        </w:tc>
        <w:tc>
          <w:tcPr>
            <w:tcW w:w="464" w:type="pct"/>
            <w:tcBorders>
              <w:top w:val="nil"/>
              <w:left w:val="nil"/>
              <w:bottom w:val="single" w:sz="4" w:space="0" w:color="auto"/>
              <w:right w:val="single" w:sz="4" w:space="0" w:color="auto"/>
            </w:tcBorders>
            <w:shd w:val="clear" w:color="000000" w:fill="E2EFDA"/>
            <w:vAlign w:val="center"/>
            <w:hideMark/>
          </w:tcPr>
          <w:p w14:paraId="6D045CF0"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999,59</w:t>
            </w:r>
          </w:p>
        </w:tc>
      </w:tr>
      <w:tr w:rsidR="00D064DD" w:rsidRPr="00975EE5" w14:paraId="1FA5852D"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32FC3B1E"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1174AF17"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МП_EE15</w:t>
            </w:r>
          </w:p>
        </w:tc>
        <w:tc>
          <w:tcPr>
            <w:tcW w:w="1336" w:type="pct"/>
            <w:tcBorders>
              <w:top w:val="nil"/>
              <w:left w:val="nil"/>
              <w:bottom w:val="single" w:sz="4" w:space="0" w:color="auto"/>
              <w:right w:val="single" w:sz="4" w:space="0" w:color="auto"/>
            </w:tcBorders>
            <w:shd w:val="clear" w:color="auto" w:fill="auto"/>
            <w:vAlign w:val="center"/>
            <w:hideMark/>
          </w:tcPr>
          <w:p w14:paraId="446DB9E1"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Подстицање промене модалитета у путничком и у теретном саобраћају – Омогућавање „мобилности као услуге” (MaaS)</w:t>
            </w:r>
          </w:p>
        </w:tc>
        <w:tc>
          <w:tcPr>
            <w:tcW w:w="353" w:type="pct"/>
            <w:tcBorders>
              <w:top w:val="nil"/>
              <w:left w:val="nil"/>
              <w:bottom w:val="single" w:sz="4" w:space="0" w:color="auto"/>
              <w:right w:val="single" w:sz="4" w:space="0" w:color="auto"/>
            </w:tcBorders>
            <w:shd w:val="clear" w:color="auto" w:fill="auto"/>
            <w:vAlign w:val="center"/>
            <w:hideMark/>
          </w:tcPr>
          <w:p w14:paraId="4080D33E"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auto" w:fill="auto"/>
            <w:vAlign w:val="center"/>
            <w:hideMark/>
          </w:tcPr>
          <w:p w14:paraId="2934B795"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интегрисана у МП_EE10, МП_EE12 and МП_EE14</w:t>
            </w:r>
          </w:p>
        </w:tc>
        <w:tc>
          <w:tcPr>
            <w:tcW w:w="458" w:type="pct"/>
            <w:tcBorders>
              <w:top w:val="nil"/>
              <w:left w:val="nil"/>
              <w:bottom w:val="single" w:sz="4" w:space="0" w:color="auto"/>
              <w:right w:val="single" w:sz="4" w:space="0" w:color="auto"/>
            </w:tcBorders>
            <w:shd w:val="clear" w:color="000000" w:fill="595959"/>
            <w:vAlign w:val="center"/>
            <w:hideMark/>
          </w:tcPr>
          <w:p w14:paraId="6673A299"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25" w:type="pct"/>
            <w:tcBorders>
              <w:top w:val="nil"/>
              <w:left w:val="nil"/>
              <w:bottom w:val="single" w:sz="4" w:space="0" w:color="auto"/>
              <w:right w:val="single" w:sz="4" w:space="0" w:color="auto"/>
            </w:tcBorders>
            <w:shd w:val="clear" w:color="000000" w:fill="595959"/>
            <w:vAlign w:val="center"/>
            <w:hideMark/>
          </w:tcPr>
          <w:p w14:paraId="7D31AEC1"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06" w:type="pct"/>
            <w:tcBorders>
              <w:top w:val="nil"/>
              <w:left w:val="nil"/>
              <w:bottom w:val="single" w:sz="4" w:space="0" w:color="auto"/>
              <w:right w:val="single" w:sz="4" w:space="0" w:color="auto"/>
            </w:tcBorders>
            <w:shd w:val="clear" w:color="000000" w:fill="595959"/>
            <w:noWrap/>
            <w:vAlign w:val="bottom"/>
            <w:hideMark/>
          </w:tcPr>
          <w:p w14:paraId="760A26E2"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40" w:type="pct"/>
            <w:tcBorders>
              <w:top w:val="nil"/>
              <w:left w:val="nil"/>
              <w:bottom w:val="single" w:sz="4" w:space="0" w:color="auto"/>
              <w:right w:val="single" w:sz="4" w:space="0" w:color="auto"/>
            </w:tcBorders>
            <w:shd w:val="clear" w:color="000000" w:fill="E2EFDA"/>
            <w:vAlign w:val="center"/>
            <w:hideMark/>
          </w:tcPr>
          <w:p w14:paraId="7E82A735"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20" w:type="pct"/>
            <w:tcBorders>
              <w:top w:val="nil"/>
              <w:left w:val="nil"/>
              <w:bottom w:val="single" w:sz="4" w:space="0" w:color="auto"/>
              <w:right w:val="single" w:sz="4" w:space="0" w:color="auto"/>
            </w:tcBorders>
            <w:shd w:val="clear" w:color="000000" w:fill="595959"/>
            <w:vAlign w:val="center"/>
            <w:hideMark/>
          </w:tcPr>
          <w:p w14:paraId="755586E0"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64" w:type="pct"/>
            <w:tcBorders>
              <w:top w:val="nil"/>
              <w:left w:val="nil"/>
              <w:bottom w:val="single" w:sz="4" w:space="0" w:color="auto"/>
              <w:right w:val="single" w:sz="4" w:space="0" w:color="auto"/>
            </w:tcBorders>
            <w:shd w:val="clear" w:color="000000" w:fill="595959"/>
            <w:noWrap/>
            <w:vAlign w:val="bottom"/>
            <w:hideMark/>
          </w:tcPr>
          <w:p w14:paraId="6D242B7E"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r>
      <w:tr w:rsidR="00D064DD" w:rsidRPr="00975EE5" w14:paraId="79401A93"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2BF2C154"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1AEF6CEA"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МП_EE16</w:t>
            </w:r>
          </w:p>
        </w:tc>
        <w:tc>
          <w:tcPr>
            <w:tcW w:w="1336" w:type="pct"/>
            <w:tcBorders>
              <w:top w:val="nil"/>
              <w:left w:val="nil"/>
              <w:bottom w:val="single" w:sz="4" w:space="0" w:color="auto"/>
              <w:right w:val="single" w:sz="4" w:space="0" w:color="auto"/>
            </w:tcBorders>
            <w:shd w:val="clear" w:color="000000" w:fill="FFFFFF"/>
            <w:vAlign w:val="center"/>
            <w:hideMark/>
          </w:tcPr>
          <w:p w14:paraId="6E3205BA"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Подстицање енергетске ефикасности у саобраћају на унутрашњим пловним путевима</w:t>
            </w:r>
          </w:p>
        </w:tc>
        <w:tc>
          <w:tcPr>
            <w:tcW w:w="353" w:type="pct"/>
            <w:tcBorders>
              <w:top w:val="nil"/>
              <w:left w:val="nil"/>
              <w:bottom w:val="single" w:sz="4" w:space="0" w:color="auto"/>
              <w:right w:val="single" w:sz="4" w:space="0" w:color="auto"/>
            </w:tcBorders>
            <w:shd w:val="clear" w:color="000000" w:fill="FFFFFF"/>
            <w:vAlign w:val="center"/>
            <w:hideMark/>
          </w:tcPr>
          <w:p w14:paraId="10129DAB"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000000" w:fill="FFFFFF"/>
            <w:vAlign w:val="center"/>
            <w:hideMark/>
          </w:tcPr>
          <w:p w14:paraId="35376E95"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58" w:type="pct"/>
            <w:tcBorders>
              <w:top w:val="nil"/>
              <w:left w:val="nil"/>
              <w:bottom w:val="single" w:sz="4" w:space="0" w:color="auto"/>
              <w:right w:val="single" w:sz="4" w:space="0" w:color="auto"/>
            </w:tcBorders>
            <w:shd w:val="clear" w:color="000000" w:fill="ED7D31"/>
            <w:vAlign w:val="center"/>
            <w:hideMark/>
          </w:tcPr>
          <w:p w14:paraId="2A9A0C38"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у разматрању</w:t>
            </w:r>
          </w:p>
        </w:tc>
        <w:tc>
          <w:tcPr>
            <w:tcW w:w="325" w:type="pct"/>
            <w:tcBorders>
              <w:top w:val="nil"/>
              <w:left w:val="nil"/>
              <w:bottom w:val="single" w:sz="4" w:space="0" w:color="auto"/>
              <w:right w:val="single" w:sz="4" w:space="0" w:color="auto"/>
            </w:tcBorders>
            <w:shd w:val="clear" w:color="000000" w:fill="ED7D31"/>
            <w:vAlign w:val="center"/>
            <w:hideMark/>
          </w:tcPr>
          <w:p w14:paraId="72D37BC2"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06" w:type="pct"/>
            <w:tcBorders>
              <w:top w:val="nil"/>
              <w:left w:val="nil"/>
              <w:bottom w:val="single" w:sz="4" w:space="0" w:color="auto"/>
              <w:right w:val="single" w:sz="4" w:space="0" w:color="auto"/>
            </w:tcBorders>
            <w:shd w:val="clear" w:color="000000" w:fill="ED7D31"/>
            <w:vAlign w:val="center"/>
            <w:hideMark/>
          </w:tcPr>
          <w:p w14:paraId="363FC341"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40" w:type="pct"/>
            <w:tcBorders>
              <w:top w:val="nil"/>
              <w:left w:val="nil"/>
              <w:bottom w:val="single" w:sz="4" w:space="0" w:color="auto"/>
              <w:right w:val="single" w:sz="4" w:space="0" w:color="auto"/>
            </w:tcBorders>
            <w:shd w:val="clear" w:color="000000" w:fill="E2EFDA"/>
            <w:vAlign w:val="center"/>
            <w:hideMark/>
          </w:tcPr>
          <w:p w14:paraId="47325F2B"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20" w:type="pct"/>
            <w:tcBorders>
              <w:top w:val="nil"/>
              <w:left w:val="nil"/>
              <w:bottom w:val="single" w:sz="4" w:space="0" w:color="auto"/>
              <w:right w:val="single" w:sz="4" w:space="0" w:color="auto"/>
            </w:tcBorders>
            <w:shd w:val="clear" w:color="000000" w:fill="E2EFDA"/>
            <w:vAlign w:val="center"/>
            <w:hideMark/>
          </w:tcPr>
          <w:p w14:paraId="7279C431"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464" w:type="pct"/>
            <w:tcBorders>
              <w:top w:val="nil"/>
              <w:left w:val="nil"/>
              <w:bottom w:val="single" w:sz="4" w:space="0" w:color="auto"/>
              <w:right w:val="single" w:sz="4" w:space="0" w:color="auto"/>
            </w:tcBorders>
            <w:shd w:val="clear" w:color="000000" w:fill="E2EFDA"/>
            <w:vAlign w:val="center"/>
            <w:hideMark/>
          </w:tcPr>
          <w:p w14:paraId="44688842"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D064DD" w:rsidRPr="00975EE5" w14:paraId="1C586C29"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2B486800"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13CA7F60"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МП_EE17</w:t>
            </w:r>
          </w:p>
        </w:tc>
        <w:tc>
          <w:tcPr>
            <w:tcW w:w="1336" w:type="pct"/>
            <w:tcBorders>
              <w:top w:val="nil"/>
              <w:left w:val="nil"/>
              <w:bottom w:val="single" w:sz="4" w:space="0" w:color="auto"/>
              <w:right w:val="single" w:sz="4" w:space="0" w:color="auto"/>
            </w:tcBorders>
            <w:shd w:val="clear" w:color="000000" w:fill="FFFFFF"/>
            <w:vAlign w:val="center"/>
            <w:hideMark/>
          </w:tcPr>
          <w:p w14:paraId="5A854244"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Promotion of energy efficiency in rail transport</w:t>
            </w:r>
          </w:p>
        </w:tc>
        <w:tc>
          <w:tcPr>
            <w:tcW w:w="353" w:type="pct"/>
            <w:tcBorders>
              <w:top w:val="nil"/>
              <w:left w:val="nil"/>
              <w:bottom w:val="single" w:sz="4" w:space="0" w:color="auto"/>
              <w:right w:val="single" w:sz="4" w:space="0" w:color="auto"/>
            </w:tcBorders>
            <w:shd w:val="clear" w:color="000000" w:fill="FFFFFF"/>
            <w:vAlign w:val="center"/>
            <w:hideMark/>
          </w:tcPr>
          <w:p w14:paraId="454C13FA"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000000" w:fill="FFFFFF"/>
            <w:vAlign w:val="center"/>
            <w:hideMark/>
          </w:tcPr>
          <w:p w14:paraId="12A73F88"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58" w:type="pct"/>
            <w:tcBorders>
              <w:top w:val="nil"/>
              <w:left w:val="nil"/>
              <w:bottom w:val="single" w:sz="4" w:space="0" w:color="auto"/>
              <w:right w:val="single" w:sz="4" w:space="0" w:color="auto"/>
            </w:tcBorders>
            <w:shd w:val="clear" w:color="000000" w:fill="E2EFDA"/>
            <w:vAlign w:val="center"/>
            <w:hideMark/>
          </w:tcPr>
          <w:p w14:paraId="353CF27D"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255,77</w:t>
            </w:r>
          </w:p>
        </w:tc>
        <w:tc>
          <w:tcPr>
            <w:tcW w:w="325" w:type="pct"/>
            <w:tcBorders>
              <w:top w:val="nil"/>
              <w:left w:val="nil"/>
              <w:bottom w:val="single" w:sz="4" w:space="0" w:color="auto"/>
              <w:right w:val="single" w:sz="4" w:space="0" w:color="auto"/>
            </w:tcBorders>
            <w:shd w:val="clear" w:color="000000" w:fill="E2EFDA"/>
            <w:vAlign w:val="center"/>
            <w:hideMark/>
          </w:tcPr>
          <w:p w14:paraId="7E2F7415"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255,77</w:t>
            </w:r>
          </w:p>
        </w:tc>
        <w:tc>
          <w:tcPr>
            <w:tcW w:w="306" w:type="pct"/>
            <w:tcBorders>
              <w:top w:val="nil"/>
              <w:left w:val="nil"/>
              <w:bottom w:val="single" w:sz="4" w:space="0" w:color="auto"/>
              <w:right w:val="single" w:sz="4" w:space="0" w:color="auto"/>
            </w:tcBorders>
            <w:shd w:val="clear" w:color="000000" w:fill="E2EFDA"/>
            <w:vAlign w:val="center"/>
            <w:hideMark/>
          </w:tcPr>
          <w:p w14:paraId="7D853F30"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440" w:type="pct"/>
            <w:tcBorders>
              <w:top w:val="nil"/>
              <w:left w:val="nil"/>
              <w:bottom w:val="single" w:sz="4" w:space="0" w:color="auto"/>
              <w:right w:val="single" w:sz="4" w:space="0" w:color="auto"/>
            </w:tcBorders>
            <w:shd w:val="clear" w:color="000000" w:fill="E2EFDA"/>
            <w:vAlign w:val="center"/>
            <w:hideMark/>
          </w:tcPr>
          <w:p w14:paraId="7BD6147D"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20" w:type="pct"/>
            <w:tcBorders>
              <w:top w:val="nil"/>
              <w:left w:val="nil"/>
              <w:bottom w:val="single" w:sz="4" w:space="0" w:color="auto"/>
              <w:right w:val="single" w:sz="4" w:space="0" w:color="auto"/>
            </w:tcBorders>
            <w:shd w:val="clear" w:color="000000" w:fill="E2EFDA"/>
            <w:vAlign w:val="center"/>
            <w:hideMark/>
          </w:tcPr>
          <w:p w14:paraId="5EDCE995"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255,77</w:t>
            </w:r>
          </w:p>
        </w:tc>
        <w:tc>
          <w:tcPr>
            <w:tcW w:w="464" w:type="pct"/>
            <w:tcBorders>
              <w:top w:val="nil"/>
              <w:left w:val="nil"/>
              <w:bottom w:val="single" w:sz="4" w:space="0" w:color="auto"/>
              <w:right w:val="single" w:sz="4" w:space="0" w:color="auto"/>
            </w:tcBorders>
            <w:shd w:val="clear" w:color="000000" w:fill="E2EFDA"/>
            <w:vAlign w:val="center"/>
            <w:hideMark/>
          </w:tcPr>
          <w:p w14:paraId="5BF9E1CD"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D064DD" w:rsidRPr="00975EE5" w14:paraId="3BABC6D6"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073A2FF3"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5E4E2297"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МП_EE18</w:t>
            </w:r>
          </w:p>
        </w:tc>
        <w:tc>
          <w:tcPr>
            <w:tcW w:w="1336" w:type="pct"/>
            <w:tcBorders>
              <w:top w:val="nil"/>
              <w:left w:val="nil"/>
              <w:bottom w:val="single" w:sz="4" w:space="0" w:color="auto"/>
              <w:right w:val="single" w:sz="4" w:space="0" w:color="auto"/>
            </w:tcBorders>
            <w:shd w:val="clear" w:color="000000" w:fill="FFFFFF"/>
            <w:vAlign w:val="center"/>
            <w:hideMark/>
          </w:tcPr>
          <w:p w14:paraId="7691E63A"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Стално унапређење и проширење одговарајуће инфраструктуре јавног превоза</w:t>
            </w:r>
          </w:p>
        </w:tc>
        <w:tc>
          <w:tcPr>
            <w:tcW w:w="353" w:type="pct"/>
            <w:tcBorders>
              <w:top w:val="nil"/>
              <w:left w:val="nil"/>
              <w:bottom w:val="single" w:sz="4" w:space="0" w:color="auto"/>
              <w:right w:val="single" w:sz="4" w:space="0" w:color="auto"/>
            </w:tcBorders>
            <w:shd w:val="clear" w:color="000000" w:fill="FFFFFF"/>
            <w:vAlign w:val="center"/>
            <w:hideMark/>
          </w:tcPr>
          <w:p w14:paraId="563A2413"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000000" w:fill="FFFFFF"/>
            <w:vAlign w:val="center"/>
            <w:hideMark/>
          </w:tcPr>
          <w:p w14:paraId="0F86C10D"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58" w:type="pct"/>
            <w:tcBorders>
              <w:top w:val="nil"/>
              <w:left w:val="nil"/>
              <w:bottom w:val="single" w:sz="4" w:space="0" w:color="auto"/>
              <w:right w:val="single" w:sz="4" w:space="0" w:color="auto"/>
            </w:tcBorders>
            <w:shd w:val="clear" w:color="000000" w:fill="E2EFDA"/>
            <w:vAlign w:val="center"/>
            <w:hideMark/>
          </w:tcPr>
          <w:p w14:paraId="3FA8C286"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505,39</w:t>
            </w:r>
          </w:p>
        </w:tc>
        <w:tc>
          <w:tcPr>
            <w:tcW w:w="325" w:type="pct"/>
            <w:tcBorders>
              <w:top w:val="nil"/>
              <w:left w:val="nil"/>
              <w:bottom w:val="single" w:sz="4" w:space="0" w:color="auto"/>
              <w:right w:val="single" w:sz="4" w:space="0" w:color="auto"/>
            </w:tcBorders>
            <w:shd w:val="clear" w:color="000000" w:fill="E2EFDA"/>
            <w:vAlign w:val="center"/>
            <w:hideMark/>
          </w:tcPr>
          <w:p w14:paraId="483B6E5D"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252,70</w:t>
            </w:r>
          </w:p>
        </w:tc>
        <w:tc>
          <w:tcPr>
            <w:tcW w:w="306" w:type="pct"/>
            <w:tcBorders>
              <w:top w:val="nil"/>
              <w:left w:val="nil"/>
              <w:bottom w:val="single" w:sz="4" w:space="0" w:color="auto"/>
              <w:right w:val="single" w:sz="4" w:space="0" w:color="auto"/>
            </w:tcBorders>
            <w:shd w:val="clear" w:color="000000" w:fill="E2EFDA"/>
            <w:vAlign w:val="center"/>
            <w:hideMark/>
          </w:tcPr>
          <w:p w14:paraId="2B05BDE7"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252,70</w:t>
            </w:r>
          </w:p>
        </w:tc>
        <w:tc>
          <w:tcPr>
            <w:tcW w:w="440" w:type="pct"/>
            <w:tcBorders>
              <w:top w:val="nil"/>
              <w:left w:val="nil"/>
              <w:bottom w:val="single" w:sz="4" w:space="0" w:color="auto"/>
              <w:right w:val="single" w:sz="4" w:space="0" w:color="auto"/>
            </w:tcBorders>
            <w:shd w:val="clear" w:color="000000" w:fill="E2EFDA"/>
            <w:vAlign w:val="center"/>
            <w:hideMark/>
          </w:tcPr>
          <w:p w14:paraId="165311C6"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20" w:type="pct"/>
            <w:tcBorders>
              <w:top w:val="nil"/>
              <w:left w:val="nil"/>
              <w:bottom w:val="single" w:sz="4" w:space="0" w:color="auto"/>
              <w:right w:val="single" w:sz="4" w:space="0" w:color="auto"/>
            </w:tcBorders>
            <w:shd w:val="clear" w:color="000000" w:fill="E2EFDA"/>
            <w:vAlign w:val="center"/>
            <w:hideMark/>
          </w:tcPr>
          <w:p w14:paraId="0BDD9E04"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505,39</w:t>
            </w:r>
          </w:p>
        </w:tc>
        <w:tc>
          <w:tcPr>
            <w:tcW w:w="464" w:type="pct"/>
            <w:tcBorders>
              <w:top w:val="nil"/>
              <w:left w:val="nil"/>
              <w:bottom w:val="single" w:sz="4" w:space="0" w:color="auto"/>
              <w:right w:val="single" w:sz="4" w:space="0" w:color="auto"/>
            </w:tcBorders>
            <w:shd w:val="clear" w:color="000000" w:fill="E2EFDA"/>
            <w:vAlign w:val="center"/>
            <w:hideMark/>
          </w:tcPr>
          <w:p w14:paraId="5003C510"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D064DD" w:rsidRPr="00975EE5" w14:paraId="1968A594"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47F7D948"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0A577B52"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МП_EE19</w:t>
            </w:r>
          </w:p>
        </w:tc>
        <w:tc>
          <w:tcPr>
            <w:tcW w:w="1336" w:type="pct"/>
            <w:tcBorders>
              <w:top w:val="nil"/>
              <w:left w:val="nil"/>
              <w:bottom w:val="single" w:sz="4" w:space="0" w:color="auto"/>
              <w:right w:val="single" w:sz="4" w:space="0" w:color="auto"/>
            </w:tcBorders>
            <w:shd w:val="clear" w:color="auto" w:fill="auto"/>
            <w:vAlign w:val="center"/>
            <w:hideMark/>
          </w:tcPr>
          <w:p w14:paraId="5922BC4C"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Развој одрживих регионалних или општинских планова мобилности</w:t>
            </w:r>
          </w:p>
        </w:tc>
        <w:tc>
          <w:tcPr>
            <w:tcW w:w="353" w:type="pct"/>
            <w:tcBorders>
              <w:top w:val="nil"/>
              <w:left w:val="nil"/>
              <w:bottom w:val="single" w:sz="4" w:space="0" w:color="auto"/>
              <w:right w:val="single" w:sz="4" w:space="0" w:color="auto"/>
            </w:tcBorders>
            <w:shd w:val="clear" w:color="auto" w:fill="auto"/>
            <w:vAlign w:val="center"/>
            <w:hideMark/>
          </w:tcPr>
          <w:p w14:paraId="249EA2B4"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auto" w:fill="auto"/>
            <w:vAlign w:val="center"/>
            <w:hideMark/>
          </w:tcPr>
          <w:p w14:paraId="74D486DD"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интегрисана у МП_EE10, МП_EE12 и МП_EE14</w:t>
            </w:r>
          </w:p>
        </w:tc>
        <w:tc>
          <w:tcPr>
            <w:tcW w:w="458" w:type="pct"/>
            <w:tcBorders>
              <w:top w:val="nil"/>
              <w:left w:val="nil"/>
              <w:bottom w:val="single" w:sz="4" w:space="0" w:color="auto"/>
              <w:right w:val="single" w:sz="4" w:space="0" w:color="auto"/>
            </w:tcBorders>
            <w:shd w:val="clear" w:color="000000" w:fill="595959"/>
            <w:vAlign w:val="center"/>
            <w:hideMark/>
          </w:tcPr>
          <w:p w14:paraId="1846C453"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25" w:type="pct"/>
            <w:tcBorders>
              <w:top w:val="nil"/>
              <w:left w:val="nil"/>
              <w:bottom w:val="single" w:sz="4" w:space="0" w:color="auto"/>
              <w:right w:val="single" w:sz="4" w:space="0" w:color="auto"/>
            </w:tcBorders>
            <w:shd w:val="clear" w:color="000000" w:fill="595959"/>
            <w:vAlign w:val="center"/>
            <w:hideMark/>
          </w:tcPr>
          <w:p w14:paraId="6DE65753"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06" w:type="pct"/>
            <w:tcBorders>
              <w:top w:val="nil"/>
              <w:left w:val="nil"/>
              <w:bottom w:val="single" w:sz="4" w:space="0" w:color="auto"/>
              <w:right w:val="single" w:sz="4" w:space="0" w:color="auto"/>
            </w:tcBorders>
            <w:shd w:val="clear" w:color="000000" w:fill="595959"/>
            <w:noWrap/>
            <w:vAlign w:val="bottom"/>
            <w:hideMark/>
          </w:tcPr>
          <w:p w14:paraId="38B10DAE"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40" w:type="pct"/>
            <w:tcBorders>
              <w:top w:val="nil"/>
              <w:left w:val="nil"/>
              <w:bottom w:val="single" w:sz="4" w:space="0" w:color="auto"/>
              <w:right w:val="single" w:sz="4" w:space="0" w:color="auto"/>
            </w:tcBorders>
            <w:shd w:val="clear" w:color="000000" w:fill="E2EFDA"/>
            <w:vAlign w:val="center"/>
            <w:hideMark/>
          </w:tcPr>
          <w:p w14:paraId="7B668FDE"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20" w:type="pct"/>
            <w:tcBorders>
              <w:top w:val="nil"/>
              <w:left w:val="nil"/>
              <w:bottom w:val="single" w:sz="4" w:space="0" w:color="auto"/>
              <w:right w:val="single" w:sz="4" w:space="0" w:color="auto"/>
            </w:tcBorders>
            <w:shd w:val="clear" w:color="000000" w:fill="595959"/>
            <w:vAlign w:val="center"/>
            <w:hideMark/>
          </w:tcPr>
          <w:p w14:paraId="28AA38AD"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64" w:type="pct"/>
            <w:tcBorders>
              <w:top w:val="nil"/>
              <w:left w:val="nil"/>
              <w:bottom w:val="single" w:sz="4" w:space="0" w:color="auto"/>
              <w:right w:val="single" w:sz="4" w:space="0" w:color="auto"/>
            </w:tcBorders>
            <w:shd w:val="clear" w:color="000000" w:fill="595959"/>
            <w:noWrap/>
            <w:vAlign w:val="bottom"/>
            <w:hideMark/>
          </w:tcPr>
          <w:p w14:paraId="254D1699"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r>
      <w:tr w:rsidR="00D064DD" w:rsidRPr="00975EE5" w14:paraId="29F00803"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5EA4E8DE"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77867F23"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МП_EE20</w:t>
            </w:r>
          </w:p>
        </w:tc>
        <w:tc>
          <w:tcPr>
            <w:tcW w:w="1336" w:type="pct"/>
            <w:tcBorders>
              <w:top w:val="nil"/>
              <w:left w:val="nil"/>
              <w:bottom w:val="single" w:sz="4" w:space="0" w:color="auto"/>
              <w:right w:val="single" w:sz="4" w:space="0" w:color="auto"/>
            </w:tcBorders>
            <w:shd w:val="clear" w:color="auto" w:fill="auto"/>
            <w:vAlign w:val="center"/>
            <w:hideMark/>
          </w:tcPr>
          <w:p w14:paraId="7DC85088"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Додатне активности за подстицање енергетске ефикасности у сектору саобраћаја</w:t>
            </w:r>
          </w:p>
        </w:tc>
        <w:tc>
          <w:tcPr>
            <w:tcW w:w="353" w:type="pct"/>
            <w:tcBorders>
              <w:top w:val="nil"/>
              <w:left w:val="nil"/>
              <w:bottom w:val="single" w:sz="4" w:space="0" w:color="auto"/>
              <w:right w:val="single" w:sz="4" w:space="0" w:color="auto"/>
            </w:tcBorders>
            <w:shd w:val="clear" w:color="auto" w:fill="auto"/>
            <w:vAlign w:val="center"/>
            <w:hideMark/>
          </w:tcPr>
          <w:p w14:paraId="08C66420"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auto" w:fill="auto"/>
            <w:vAlign w:val="center"/>
            <w:hideMark/>
          </w:tcPr>
          <w:p w14:paraId="3DFBD6B3"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интегрисана у МП_EE10, МП_EE12 and МП_EE14</w:t>
            </w:r>
          </w:p>
        </w:tc>
        <w:tc>
          <w:tcPr>
            <w:tcW w:w="458" w:type="pct"/>
            <w:tcBorders>
              <w:top w:val="nil"/>
              <w:left w:val="nil"/>
              <w:bottom w:val="single" w:sz="4" w:space="0" w:color="auto"/>
              <w:right w:val="single" w:sz="4" w:space="0" w:color="auto"/>
            </w:tcBorders>
            <w:shd w:val="clear" w:color="000000" w:fill="595959"/>
            <w:vAlign w:val="center"/>
            <w:hideMark/>
          </w:tcPr>
          <w:p w14:paraId="016857EA"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25" w:type="pct"/>
            <w:tcBorders>
              <w:top w:val="nil"/>
              <w:left w:val="nil"/>
              <w:bottom w:val="single" w:sz="4" w:space="0" w:color="auto"/>
              <w:right w:val="single" w:sz="4" w:space="0" w:color="auto"/>
            </w:tcBorders>
            <w:shd w:val="clear" w:color="000000" w:fill="595959"/>
            <w:vAlign w:val="center"/>
            <w:hideMark/>
          </w:tcPr>
          <w:p w14:paraId="1B01590B"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06" w:type="pct"/>
            <w:tcBorders>
              <w:top w:val="nil"/>
              <w:left w:val="nil"/>
              <w:bottom w:val="single" w:sz="4" w:space="0" w:color="auto"/>
              <w:right w:val="single" w:sz="4" w:space="0" w:color="auto"/>
            </w:tcBorders>
            <w:shd w:val="clear" w:color="000000" w:fill="595959"/>
            <w:noWrap/>
            <w:vAlign w:val="bottom"/>
            <w:hideMark/>
          </w:tcPr>
          <w:p w14:paraId="1DC1B4D8"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40" w:type="pct"/>
            <w:tcBorders>
              <w:top w:val="nil"/>
              <w:left w:val="nil"/>
              <w:bottom w:val="single" w:sz="4" w:space="0" w:color="auto"/>
              <w:right w:val="single" w:sz="4" w:space="0" w:color="auto"/>
            </w:tcBorders>
            <w:shd w:val="clear" w:color="000000" w:fill="E2EFDA"/>
            <w:vAlign w:val="center"/>
            <w:hideMark/>
          </w:tcPr>
          <w:p w14:paraId="2B438A24"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20" w:type="pct"/>
            <w:tcBorders>
              <w:top w:val="nil"/>
              <w:left w:val="nil"/>
              <w:bottom w:val="single" w:sz="4" w:space="0" w:color="auto"/>
              <w:right w:val="single" w:sz="4" w:space="0" w:color="auto"/>
            </w:tcBorders>
            <w:shd w:val="clear" w:color="000000" w:fill="595959"/>
            <w:vAlign w:val="center"/>
            <w:hideMark/>
          </w:tcPr>
          <w:p w14:paraId="591743BB"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64" w:type="pct"/>
            <w:tcBorders>
              <w:top w:val="nil"/>
              <w:left w:val="nil"/>
              <w:bottom w:val="single" w:sz="4" w:space="0" w:color="auto"/>
              <w:right w:val="single" w:sz="4" w:space="0" w:color="auto"/>
            </w:tcBorders>
            <w:shd w:val="clear" w:color="000000" w:fill="595959"/>
            <w:noWrap/>
            <w:vAlign w:val="bottom"/>
            <w:hideMark/>
          </w:tcPr>
          <w:p w14:paraId="6C8E4B6A"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r>
      <w:tr w:rsidR="00D064DD" w:rsidRPr="00975EE5" w14:paraId="7BB00EEE"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78702125"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00B48247"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МП_EE21</w:t>
            </w:r>
          </w:p>
        </w:tc>
        <w:tc>
          <w:tcPr>
            <w:tcW w:w="1336" w:type="pct"/>
            <w:tcBorders>
              <w:top w:val="nil"/>
              <w:left w:val="nil"/>
              <w:bottom w:val="single" w:sz="4" w:space="0" w:color="auto"/>
              <w:right w:val="single" w:sz="4" w:space="0" w:color="auto"/>
            </w:tcBorders>
            <w:shd w:val="clear" w:color="000000" w:fill="FFFFFF"/>
            <w:vAlign w:val="center"/>
            <w:hideMark/>
          </w:tcPr>
          <w:p w14:paraId="27F69EC2"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Шеме подршке за подстицање енергетске ефикасности у индустријском сектору</w:t>
            </w:r>
          </w:p>
        </w:tc>
        <w:tc>
          <w:tcPr>
            <w:tcW w:w="353" w:type="pct"/>
            <w:tcBorders>
              <w:top w:val="nil"/>
              <w:left w:val="nil"/>
              <w:bottom w:val="single" w:sz="4" w:space="0" w:color="auto"/>
              <w:right w:val="single" w:sz="4" w:space="0" w:color="auto"/>
            </w:tcBorders>
            <w:shd w:val="clear" w:color="000000" w:fill="FFFFFF"/>
            <w:vAlign w:val="center"/>
            <w:hideMark/>
          </w:tcPr>
          <w:p w14:paraId="3B353E76"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000000" w:fill="FFFFFF"/>
            <w:vAlign w:val="center"/>
            <w:hideMark/>
          </w:tcPr>
          <w:p w14:paraId="04AA0CE0"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58" w:type="pct"/>
            <w:vMerge w:val="restart"/>
            <w:tcBorders>
              <w:top w:val="nil"/>
              <w:left w:val="single" w:sz="4" w:space="0" w:color="auto"/>
              <w:bottom w:val="single" w:sz="4" w:space="0" w:color="auto"/>
              <w:right w:val="single" w:sz="4" w:space="0" w:color="auto"/>
            </w:tcBorders>
            <w:shd w:val="clear" w:color="000000" w:fill="E2EFDA"/>
            <w:vAlign w:val="center"/>
            <w:hideMark/>
          </w:tcPr>
          <w:p w14:paraId="0ABC9AA3"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3366,00</w:t>
            </w:r>
          </w:p>
        </w:tc>
        <w:tc>
          <w:tcPr>
            <w:tcW w:w="325" w:type="pct"/>
            <w:vMerge w:val="restart"/>
            <w:tcBorders>
              <w:top w:val="nil"/>
              <w:left w:val="single" w:sz="4" w:space="0" w:color="auto"/>
              <w:bottom w:val="single" w:sz="4" w:space="0" w:color="auto"/>
              <w:right w:val="single" w:sz="4" w:space="0" w:color="auto"/>
            </w:tcBorders>
            <w:shd w:val="clear" w:color="000000" w:fill="E2EFDA"/>
            <w:vAlign w:val="center"/>
            <w:hideMark/>
          </w:tcPr>
          <w:p w14:paraId="0085079B"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1346,40</w:t>
            </w:r>
          </w:p>
        </w:tc>
        <w:tc>
          <w:tcPr>
            <w:tcW w:w="306" w:type="pct"/>
            <w:vMerge w:val="restart"/>
            <w:tcBorders>
              <w:top w:val="nil"/>
              <w:left w:val="single" w:sz="4" w:space="0" w:color="auto"/>
              <w:bottom w:val="single" w:sz="4" w:space="0" w:color="auto"/>
              <w:right w:val="single" w:sz="4" w:space="0" w:color="auto"/>
            </w:tcBorders>
            <w:shd w:val="clear" w:color="000000" w:fill="E2EFDA"/>
            <w:vAlign w:val="center"/>
            <w:hideMark/>
          </w:tcPr>
          <w:p w14:paraId="0A81751E"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2019,60</w:t>
            </w:r>
          </w:p>
        </w:tc>
        <w:tc>
          <w:tcPr>
            <w:tcW w:w="440" w:type="pct"/>
            <w:tcBorders>
              <w:top w:val="nil"/>
              <w:left w:val="nil"/>
              <w:bottom w:val="single" w:sz="4" w:space="0" w:color="auto"/>
              <w:right w:val="single" w:sz="4" w:space="0" w:color="auto"/>
            </w:tcBorders>
            <w:shd w:val="clear" w:color="000000" w:fill="E2EFDA"/>
            <w:vAlign w:val="center"/>
            <w:hideMark/>
          </w:tcPr>
          <w:p w14:paraId="2376AF08"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 WAM (унапређење, прилагођавање)</w:t>
            </w:r>
          </w:p>
        </w:tc>
        <w:tc>
          <w:tcPr>
            <w:tcW w:w="320" w:type="pct"/>
            <w:vMerge w:val="restart"/>
            <w:tcBorders>
              <w:top w:val="nil"/>
              <w:left w:val="single" w:sz="4" w:space="0" w:color="auto"/>
              <w:bottom w:val="single" w:sz="4" w:space="0" w:color="auto"/>
              <w:right w:val="single" w:sz="4" w:space="0" w:color="auto"/>
            </w:tcBorders>
            <w:shd w:val="clear" w:color="000000" w:fill="E2EFDA"/>
            <w:vAlign w:val="center"/>
            <w:hideMark/>
          </w:tcPr>
          <w:p w14:paraId="1B258E8D"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2957,11</w:t>
            </w:r>
          </w:p>
        </w:tc>
        <w:tc>
          <w:tcPr>
            <w:tcW w:w="464" w:type="pct"/>
            <w:vMerge w:val="restart"/>
            <w:tcBorders>
              <w:top w:val="nil"/>
              <w:left w:val="single" w:sz="4" w:space="0" w:color="auto"/>
              <w:bottom w:val="single" w:sz="4" w:space="0" w:color="auto"/>
              <w:right w:val="single" w:sz="4" w:space="0" w:color="auto"/>
            </w:tcBorders>
            <w:shd w:val="clear" w:color="000000" w:fill="E2EFDA"/>
            <w:vAlign w:val="center"/>
            <w:hideMark/>
          </w:tcPr>
          <w:p w14:paraId="0ADA81BE"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408,89</w:t>
            </w:r>
          </w:p>
        </w:tc>
      </w:tr>
      <w:tr w:rsidR="00D064DD" w:rsidRPr="00975EE5" w14:paraId="564606B9"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2C39ABCC"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3B807F8F"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МП_EE22</w:t>
            </w:r>
          </w:p>
        </w:tc>
        <w:tc>
          <w:tcPr>
            <w:tcW w:w="1336" w:type="pct"/>
            <w:tcBorders>
              <w:top w:val="nil"/>
              <w:left w:val="nil"/>
              <w:bottom w:val="single" w:sz="4" w:space="0" w:color="auto"/>
              <w:right w:val="single" w:sz="4" w:space="0" w:color="auto"/>
            </w:tcBorders>
            <w:shd w:val="clear" w:color="000000" w:fill="FFFFFF"/>
            <w:vAlign w:val="center"/>
            <w:hideMark/>
          </w:tcPr>
          <w:p w14:paraId="4BAA719B"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Регулаторне мере за подстицање енергетске ефикасности у индустријском сектору</w:t>
            </w:r>
          </w:p>
        </w:tc>
        <w:tc>
          <w:tcPr>
            <w:tcW w:w="353" w:type="pct"/>
            <w:tcBorders>
              <w:top w:val="nil"/>
              <w:left w:val="nil"/>
              <w:bottom w:val="single" w:sz="4" w:space="0" w:color="auto"/>
              <w:right w:val="single" w:sz="4" w:space="0" w:color="auto"/>
            </w:tcBorders>
            <w:shd w:val="clear" w:color="000000" w:fill="FFFFFF"/>
            <w:vAlign w:val="center"/>
            <w:hideMark/>
          </w:tcPr>
          <w:p w14:paraId="64D52D49"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000000" w:fill="FFFFFF"/>
            <w:vAlign w:val="center"/>
            <w:hideMark/>
          </w:tcPr>
          <w:p w14:paraId="61372B86" w14:textId="0230832C"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Буџет интегрисан у МП_EE21</w:t>
            </w:r>
          </w:p>
        </w:tc>
        <w:tc>
          <w:tcPr>
            <w:tcW w:w="458" w:type="pct"/>
            <w:vMerge/>
            <w:tcBorders>
              <w:top w:val="nil"/>
              <w:left w:val="single" w:sz="4" w:space="0" w:color="auto"/>
              <w:bottom w:val="single" w:sz="4" w:space="0" w:color="auto"/>
              <w:right w:val="single" w:sz="4" w:space="0" w:color="auto"/>
            </w:tcBorders>
            <w:vAlign w:val="center"/>
            <w:hideMark/>
          </w:tcPr>
          <w:p w14:paraId="1C8DA400" w14:textId="77777777" w:rsidR="0022244A" w:rsidRPr="00975EE5" w:rsidRDefault="0022244A">
            <w:pPr>
              <w:spacing w:after="0" w:line="240" w:lineRule="auto"/>
              <w:rPr>
                <w:rFonts w:ascii="Calibri" w:eastAsia="Times New Roman" w:hAnsi="Calibri" w:cs="Calibri"/>
                <w:color w:val="000000"/>
                <w:sz w:val="14"/>
                <w:szCs w:val="14"/>
              </w:rPr>
            </w:pPr>
          </w:p>
        </w:tc>
        <w:tc>
          <w:tcPr>
            <w:tcW w:w="325" w:type="pct"/>
            <w:vMerge/>
            <w:tcBorders>
              <w:top w:val="nil"/>
              <w:left w:val="single" w:sz="4" w:space="0" w:color="auto"/>
              <w:bottom w:val="single" w:sz="4" w:space="0" w:color="auto"/>
              <w:right w:val="single" w:sz="4" w:space="0" w:color="auto"/>
            </w:tcBorders>
            <w:vAlign w:val="center"/>
            <w:hideMark/>
          </w:tcPr>
          <w:p w14:paraId="00D95232" w14:textId="77777777" w:rsidR="0022244A" w:rsidRPr="00975EE5" w:rsidRDefault="0022244A">
            <w:pPr>
              <w:spacing w:after="0" w:line="240" w:lineRule="auto"/>
              <w:rPr>
                <w:rFonts w:ascii="Calibri" w:eastAsia="Times New Roman" w:hAnsi="Calibri" w:cs="Calibri"/>
                <w:color w:val="000000"/>
                <w:sz w:val="14"/>
                <w:szCs w:val="14"/>
              </w:rPr>
            </w:pPr>
          </w:p>
        </w:tc>
        <w:tc>
          <w:tcPr>
            <w:tcW w:w="306" w:type="pct"/>
            <w:vMerge/>
            <w:tcBorders>
              <w:top w:val="nil"/>
              <w:left w:val="single" w:sz="4" w:space="0" w:color="auto"/>
              <w:bottom w:val="single" w:sz="4" w:space="0" w:color="auto"/>
              <w:right w:val="single" w:sz="4" w:space="0" w:color="auto"/>
            </w:tcBorders>
            <w:vAlign w:val="center"/>
            <w:hideMark/>
          </w:tcPr>
          <w:p w14:paraId="2C32F280" w14:textId="77777777" w:rsidR="0022244A" w:rsidRPr="00975EE5" w:rsidRDefault="0022244A">
            <w:pPr>
              <w:spacing w:after="0" w:line="240" w:lineRule="auto"/>
              <w:rPr>
                <w:rFonts w:ascii="Calibri" w:eastAsia="Times New Roman" w:hAnsi="Calibri" w:cs="Calibri"/>
                <w:color w:val="000000"/>
                <w:sz w:val="14"/>
                <w:szCs w:val="14"/>
              </w:rPr>
            </w:pPr>
          </w:p>
        </w:tc>
        <w:tc>
          <w:tcPr>
            <w:tcW w:w="440" w:type="pct"/>
            <w:tcBorders>
              <w:top w:val="nil"/>
              <w:left w:val="nil"/>
              <w:bottom w:val="single" w:sz="4" w:space="0" w:color="auto"/>
              <w:right w:val="single" w:sz="4" w:space="0" w:color="auto"/>
            </w:tcBorders>
            <w:shd w:val="clear" w:color="000000" w:fill="E2EFDA"/>
            <w:vAlign w:val="center"/>
            <w:hideMark/>
          </w:tcPr>
          <w:p w14:paraId="398DE408"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20" w:type="pct"/>
            <w:vMerge/>
            <w:tcBorders>
              <w:top w:val="nil"/>
              <w:left w:val="single" w:sz="4" w:space="0" w:color="auto"/>
              <w:bottom w:val="single" w:sz="4" w:space="0" w:color="auto"/>
              <w:right w:val="single" w:sz="4" w:space="0" w:color="auto"/>
            </w:tcBorders>
            <w:vAlign w:val="center"/>
            <w:hideMark/>
          </w:tcPr>
          <w:p w14:paraId="1371C97C" w14:textId="77777777" w:rsidR="0022244A" w:rsidRPr="00975EE5" w:rsidRDefault="0022244A">
            <w:pPr>
              <w:spacing w:after="0" w:line="240" w:lineRule="auto"/>
              <w:rPr>
                <w:rFonts w:ascii="Calibri" w:eastAsia="Times New Roman" w:hAnsi="Calibri" w:cs="Calibri"/>
                <w:color w:val="000000"/>
                <w:sz w:val="14"/>
                <w:szCs w:val="14"/>
              </w:rPr>
            </w:pPr>
          </w:p>
        </w:tc>
        <w:tc>
          <w:tcPr>
            <w:tcW w:w="464" w:type="pct"/>
            <w:vMerge/>
            <w:tcBorders>
              <w:top w:val="nil"/>
              <w:left w:val="single" w:sz="4" w:space="0" w:color="auto"/>
              <w:bottom w:val="single" w:sz="4" w:space="0" w:color="auto"/>
              <w:right w:val="single" w:sz="4" w:space="0" w:color="auto"/>
            </w:tcBorders>
            <w:vAlign w:val="center"/>
            <w:hideMark/>
          </w:tcPr>
          <w:p w14:paraId="0F4B4941" w14:textId="77777777" w:rsidR="0022244A" w:rsidRPr="00975EE5" w:rsidRDefault="0022244A">
            <w:pPr>
              <w:spacing w:after="0" w:line="240" w:lineRule="auto"/>
              <w:rPr>
                <w:rFonts w:ascii="Calibri" w:eastAsia="Times New Roman" w:hAnsi="Calibri" w:cs="Calibri"/>
                <w:color w:val="000000"/>
                <w:sz w:val="14"/>
                <w:szCs w:val="14"/>
              </w:rPr>
            </w:pPr>
          </w:p>
        </w:tc>
      </w:tr>
      <w:tr w:rsidR="00D064DD" w:rsidRPr="00975EE5" w14:paraId="09392D19"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577CC551"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68AA93A8"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МП_EE23</w:t>
            </w:r>
          </w:p>
        </w:tc>
        <w:tc>
          <w:tcPr>
            <w:tcW w:w="1336" w:type="pct"/>
            <w:tcBorders>
              <w:top w:val="nil"/>
              <w:left w:val="nil"/>
              <w:bottom w:val="single" w:sz="4" w:space="0" w:color="auto"/>
              <w:right w:val="single" w:sz="4" w:space="0" w:color="auto"/>
            </w:tcBorders>
            <w:shd w:val="clear" w:color="000000" w:fill="FFFFFF"/>
            <w:vAlign w:val="center"/>
            <w:hideMark/>
          </w:tcPr>
          <w:p w14:paraId="72EF8F10"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Додатне активности за подстицање енергетске ефикасности у индустријском сектору</w:t>
            </w:r>
          </w:p>
        </w:tc>
        <w:tc>
          <w:tcPr>
            <w:tcW w:w="353" w:type="pct"/>
            <w:tcBorders>
              <w:top w:val="nil"/>
              <w:left w:val="nil"/>
              <w:bottom w:val="single" w:sz="4" w:space="0" w:color="auto"/>
              <w:right w:val="single" w:sz="4" w:space="0" w:color="auto"/>
            </w:tcBorders>
            <w:shd w:val="clear" w:color="000000" w:fill="FFFFFF"/>
            <w:vAlign w:val="center"/>
            <w:hideMark/>
          </w:tcPr>
          <w:p w14:paraId="6B503C64"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000000" w:fill="FFFFFF"/>
            <w:vAlign w:val="center"/>
            <w:hideMark/>
          </w:tcPr>
          <w:p w14:paraId="0029B19B" w14:textId="34782275"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Буџет интегрисан у МП_EE21</w:t>
            </w:r>
          </w:p>
        </w:tc>
        <w:tc>
          <w:tcPr>
            <w:tcW w:w="458" w:type="pct"/>
            <w:vMerge/>
            <w:tcBorders>
              <w:top w:val="nil"/>
              <w:left w:val="single" w:sz="4" w:space="0" w:color="auto"/>
              <w:bottom w:val="single" w:sz="4" w:space="0" w:color="auto"/>
              <w:right w:val="single" w:sz="4" w:space="0" w:color="auto"/>
            </w:tcBorders>
            <w:vAlign w:val="center"/>
            <w:hideMark/>
          </w:tcPr>
          <w:p w14:paraId="5A8F42BA" w14:textId="77777777" w:rsidR="0022244A" w:rsidRPr="00975EE5" w:rsidRDefault="0022244A">
            <w:pPr>
              <w:spacing w:after="0" w:line="240" w:lineRule="auto"/>
              <w:rPr>
                <w:rFonts w:ascii="Calibri" w:eastAsia="Times New Roman" w:hAnsi="Calibri" w:cs="Calibri"/>
                <w:color w:val="000000"/>
                <w:sz w:val="14"/>
                <w:szCs w:val="14"/>
              </w:rPr>
            </w:pPr>
          </w:p>
        </w:tc>
        <w:tc>
          <w:tcPr>
            <w:tcW w:w="325" w:type="pct"/>
            <w:vMerge/>
            <w:tcBorders>
              <w:top w:val="nil"/>
              <w:left w:val="single" w:sz="4" w:space="0" w:color="auto"/>
              <w:bottom w:val="single" w:sz="4" w:space="0" w:color="auto"/>
              <w:right w:val="single" w:sz="4" w:space="0" w:color="auto"/>
            </w:tcBorders>
            <w:vAlign w:val="center"/>
            <w:hideMark/>
          </w:tcPr>
          <w:p w14:paraId="44FFB4FC" w14:textId="77777777" w:rsidR="0022244A" w:rsidRPr="00975EE5" w:rsidRDefault="0022244A">
            <w:pPr>
              <w:spacing w:after="0" w:line="240" w:lineRule="auto"/>
              <w:rPr>
                <w:rFonts w:ascii="Calibri" w:eastAsia="Times New Roman" w:hAnsi="Calibri" w:cs="Calibri"/>
                <w:color w:val="000000"/>
                <w:sz w:val="14"/>
                <w:szCs w:val="14"/>
              </w:rPr>
            </w:pPr>
          </w:p>
        </w:tc>
        <w:tc>
          <w:tcPr>
            <w:tcW w:w="306" w:type="pct"/>
            <w:vMerge/>
            <w:tcBorders>
              <w:top w:val="nil"/>
              <w:left w:val="single" w:sz="4" w:space="0" w:color="auto"/>
              <w:bottom w:val="single" w:sz="4" w:space="0" w:color="auto"/>
              <w:right w:val="single" w:sz="4" w:space="0" w:color="auto"/>
            </w:tcBorders>
            <w:vAlign w:val="center"/>
            <w:hideMark/>
          </w:tcPr>
          <w:p w14:paraId="20CF007D" w14:textId="77777777" w:rsidR="0022244A" w:rsidRPr="00975EE5" w:rsidRDefault="0022244A">
            <w:pPr>
              <w:spacing w:after="0" w:line="240" w:lineRule="auto"/>
              <w:rPr>
                <w:rFonts w:ascii="Calibri" w:eastAsia="Times New Roman" w:hAnsi="Calibri" w:cs="Calibri"/>
                <w:color w:val="000000"/>
                <w:sz w:val="14"/>
                <w:szCs w:val="14"/>
              </w:rPr>
            </w:pPr>
          </w:p>
        </w:tc>
        <w:tc>
          <w:tcPr>
            <w:tcW w:w="440" w:type="pct"/>
            <w:tcBorders>
              <w:top w:val="nil"/>
              <w:left w:val="nil"/>
              <w:bottom w:val="single" w:sz="4" w:space="0" w:color="auto"/>
              <w:right w:val="single" w:sz="4" w:space="0" w:color="auto"/>
            </w:tcBorders>
            <w:shd w:val="clear" w:color="000000" w:fill="E2EFDA"/>
            <w:vAlign w:val="center"/>
            <w:hideMark/>
          </w:tcPr>
          <w:p w14:paraId="40528630"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20" w:type="pct"/>
            <w:vMerge/>
            <w:tcBorders>
              <w:top w:val="nil"/>
              <w:left w:val="single" w:sz="4" w:space="0" w:color="auto"/>
              <w:bottom w:val="single" w:sz="4" w:space="0" w:color="auto"/>
              <w:right w:val="single" w:sz="4" w:space="0" w:color="auto"/>
            </w:tcBorders>
            <w:vAlign w:val="center"/>
            <w:hideMark/>
          </w:tcPr>
          <w:p w14:paraId="38F2C3EB" w14:textId="77777777" w:rsidR="0022244A" w:rsidRPr="00975EE5" w:rsidRDefault="0022244A">
            <w:pPr>
              <w:spacing w:after="0" w:line="240" w:lineRule="auto"/>
              <w:rPr>
                <w:rFonts w:ascii="Calibri" w:eastAsia="Times New Roman" w:hAnsi="Calibri" w:cs="Calibri"/>
                <w:color w:val="000000"/>
                <w:sz w:val="14"/>
                <w:szCs w:val="14"/>
              </w:rPr>
            </w:pPr>
          </w:p>
        </w:tc>
        <w:tc>
          <w:tcPr>
            <w:tcW w:w="464" w:type="pct"/>
            <w:vMerge/>
            <w:tcBorders>
              <w:top w:val="nil"/>
              <w:left w:val="single" w:sz="4" w:space="0" w:color="auto"/>
              <w:bottom w:val="single" w:sz="4" w:space="0" w:color="auto"/>
              <w:right w:val="single" w:sz="4" w:space="0" w:color="auto"/>
            </w:tcBorders>
            <w:vAlign w:val="center"/>
            <w:hideMark/>
          </w:tcPr>
          <w:p w14:paraId="5452D81A" w14:textId="77777777" w:rsidR="0022244A" w:rsidRPr="00975EE5" w:rsidRDefault="0022244A">
            <w:pPr>
              <w:spacing w:after="0" w:line="240" w:lineRule="auto"/>
              <w:rPr>
                <w:rFonts w:ascii="Calibri" w:eastAsia="Times New Roman" w:hAnsi="Calibri" w:cs="Calibri"/>
                <w:color w:val="000000"/>
                <w:sz w:val="14"/>
                <w:szCs w:val="14"/>
              </w:rPr>
            </w:pPr>
          </w:p>
        </w:tc>
      </w:tr>
      <w:tr w:rsidR="00D064DD" w:rsidRPr="00975EE5" w14:paraId="6B361C2C"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7183CEC7"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68A0990F"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МП_EE24</w:t>
            </w:r>
          </w:p>
        </w:tc>
        <w:tc>
          <w:tcPr>
            <w:tcW w:w="1336" w:type="pct"/>
            <w:tcBorders>
              <w:top w:val="nil"/>
              <w:left w:val="nil"/>
              <w:bottom w:val="single" w:sz="4" w:space="0" w:color="auto"/>
              <w:right w:val="single" w:sz="4" w:space="0" w:color="auto"/>
            </w:tcBorders>
            <w:shd w:val="clear" w:color="000000" w:fill="FFFFFF"/>
            <w:vAlign w:val="center"/>
            <w:hideMark/>
          </w:tcPr>
          <w:p w14:paraId="741CBC86"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Шеме подршке за подстицање енергетске ефикасности у сектору пољопривреде</w:t>
            </w:r>
          </w:p>
        </w:tc>
        <w:tc>
          <w:tcPr>
            <w:tcW w:w="353" w:type="pct"/>
            <w:tcBorders>
              <w:top w:val="nil"/>
              <w:left w:val="nil"/>
              <w:bottom w:val="single" w:sz="4" w:space="0" w:color="auto"/>
              <w:right w:val="single" w:sz="4" w:space="0" w:color="auto"/>
            </w:tcBorders>
            <w:shd w:val="clear" w:color="000000" w:fill="FFFFFF"/>
            <w:vAlign w:val="center"/>
            <w:hideMark/>
          </w:tcPr>
          <w:p w14:paraId="0D7945FC"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000000" w:fill="FFFFFF"/>
            <w:vAlign w:val="center"/>
            <w:hideMark/>
          </w:tcPr>
          <w:p w14:paraId="007E9E35"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58" w:type="pct"/>
            <w:vMerge w:val="restart"/>
            <w:tcBorders>
              <w:top w:val="nil"/>
              <w:left w:val="single" w:sz="4" w:space="0" w:color="auto"/>
              <w:bottom w:val="single" w:sz="4" w:space="0" w:color="auto"/>
              <w:right w:val="single" w:sz="4" w:space="0" w:color="auto"/>
            </w:tcBorders>
            <w:shd w:val="clear" w:color="000000" w:fill="E2EFDA"/>
            <w:vAlign w:val="center"/>
            <w:hideMark/>
          </w:tcPr>
          <w:p w14:paraId="1487F993"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2678,00</w:t>
            </w:r>
          </w:p>
        </w:tc>
        <w:tc>
          <w:tcPr>
            <w:tcW w:w="325" w:type="pct"/>
            <w:vMerge w:val="restart"/>
            <w:tcBorders>
              <w:top w:val="nil"/>
              <w:left w:val="single" w:sz="4" w:space="0" w:color="auto"/>
              <w:bottom w:val="single" w:sz="4" w:space="0" w:color="auto"/>
              <w:right w:val="single" w:sz="4" w:space="0" w:color="auto"/>
            </w:tcBorders>
            <w:shd w:val="clear" w:color="000000" w:fill="E2EFDA"/>
            <w:vAlign w:val="center"/>
            <w:hideMark/>
          </w:tcPr>
          <w:p w14:paraId="3F7E3739"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669,50</w:t>
            </w:r>
          </w:p>
        </w:tc>
        <w:tc>
          <w:tcPr>
            <w:tcW w:w="306" w:type="pct"/>
            <w:vMerge w:val="restart"/>
            <w:tcBorders>
              <w:top w:val="nil"/>
              <w:left w:val="single" w:sz="4" w:space="0" w:color="auto"/>
              <w:bottom w:val="single" w:sz="4" w:space="0" w:color="auto"/>
              <w:right w:val="single" w:sz="4" w:space="0" w:color="auto"/>
            </w:tcBorders>
            <w:shd w:val="clear" w:color="000000" w:fill="E2EFDA"/>
            <w:vAlign w:val="center"/>
            <w:hideMark/>
          </w:tcPr>
          <w:p w14:paraId="68195B3C"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2008,50</w:t>
            </w:r>
          </w:p>
        </w:tc>
        <w:tc>
          <w:tcPr>
            <w:tcW w:w="440" w:type="pct"/>
            <w:tcBorders>
              <w:top w:val="nil"/>
              <w:left w:val="nil"/>
              <w:bottom w:val="single" w:sz="4" w:space="0" w:color="auto"/>
              <w:right w:val="single" w:sz="4" w:space="0" w:color="auto"/>
            </w:tcBorders>
            <w:shd w:val="clear" w:color="000000" w:fill="E2EFDA"/>
            <w:vAlign w:val="center"/>
            <w:hideMark/>
          </w:tcPr>
          <w:p w14:paraId="2FCE06EE"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20" w:type="pct"/>
            <w:vMerge w:val="restart"/>
            <w:tcBorders>
              <w:top w:val="nil"/>
              <w:left w:val="single" w:sz="4" w:space="0" w:color="auto"/>
              <w:bottom w:val="single" w:sz="4" w:space="0" w:color="auto"/>
              <w:right w:val="single" w:sz="4" w:space="0" w:color="auto"/>
            </w:tcBorders>
            <w:shd w:val="clear" w:color="000000" w:fill="E2EFDA"/>
            <w:vAlign w:val="center"/>
            <w:hideMark/>
          </w:tcPr>
          <w:p w14:paraId="0DECB527"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464" w:type="pct"/>
            <w:vMerge w:val="restart"/>
            <w:tcBorders>
              <w:top w:val="nil"/>
              <w:left w:val="single" w:sz="4" w:space="0" w:color="auto"/>
              <w:bottom w:val="single" w:sz="4" w:space="0" w:color="auto"/>
              <w:right w:val="single" w:sz="4" w:space="0" w:color="auto"/>
            </w:tcBorders>
            <w:shd w:val="clear" w:color="000000" w:fill="E2EFDA"/>
            <w:vAlign w:val="center"/>
            <w:hideMark/>
          </w:tcPr>
          <w:p w14:paraId="4CEE40BB"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2678,00</w:t>
            </w:r>
          </w:p>
        </w:tc>
      </w:tr>
      <w:tr w:rsidR="00D064DD" w:rsidRPr="00975EE5" w14:paraId="5057087F"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15E3C6D0"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5E4ED2BB"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МП_EE25</w:t>
            </w:r>
          </w:p>
        </w:tc>
        <w:tc>
          <w:tcPr>
            <w:tcW w:w="1336" w:type="pct"/>
            <w:tcBorders>
              <w:top w:val="nil"/>
              <w:left w:val="nil"/>
              <w:bottom w:val="single" w:sz="4" w:space="0" w:color="auto"/>
              <w:right w:val="single" w:sz="4" w:space="0" w:color="auto"/>
            </w:tcBorders>
            <w:shd w:val="clear" w:color="000000" w:fill="FFFFFF"/>
            <w:vAlign w:val="center"/>
            <w:hideMark/>
          </w:tcPr>
          <w:p w14:paraId="10F7407B"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Саветодавне услуге и енергетски прегледи за пољопривреднике</w:t>
            </w:r>
          </w:p>
        </w:tc>
        <w:tc>
          <w:tcPr>
            <w:tcW w:w="353" w:type="pct"/>
            <w:tcBorders>
              <w:top w:val="nil"/>
              <w:left w:val="nil"/>
              <w:bottom w:val="single" w:sz="4" w:space="0" w:color="auto"/>
              <w:right w:val="single" w:sz="4" w:space="0" w:color="auto"/>
            </w:tcBorders>
            <w:shd w:val="clear" w:color="000000" w:fill="FFFFFF"/>
            <w:vAlign w:val="center"/>
            <w:hideMark/>
          </w:tcPr>
          <w:p w14:paraId="78715B6A"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000000" w:fill="FFFFFF"/>
            <w:vAlign w:val="center"/>
            <w:hideMark/>
          </w:tcPr>
          <w:p w14:paraId="2FCCDC35" w14:textId="5A42DEF6"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Буџет интегрисан у МП_EE24</w:t>
            </w:r>
          </w:p>
        </w:tc>
        <w:tc>
          <w:tcPr>
            <w:tcW w:w="458" w:type="pct"/>
            <w:vMerge/>
            <w:tcBorders>
              <w:top w:val="nil"/>
              <w:left w:val="single" w:sz="4" w:space="0" w:color="auto"/>
              <w:bottom w:val="single" w:sz="4" w:space="0" w:color="auto"/>
              <w:right w:val="single" w:sz="4" w:space="0" w:color="auto"/>
            </w:tcBorders>
            <w:vAlign w:val="center"/>
            <w:hideMark/>
          </w:tcPr>
          <w:p w14:paraId="6128A9E7" w14:textId="77777777" w:rsidR="0022244A" w:rsidRPr="00975EE5" w:rsidRDefault="0022244A">
            <w:pPr>
              <w:spacing w:after="0" w:line="240" w:lineRule="auto"/>
              <w:rPr>
                <w:rFonts w:ascii="Calibri" w:eastAsia="Times New Roman" w:hAnsi="Calibri" w:cs="Calibri"/>
                <w:color w:val="000000"/>
                <w:sz w:val="14"/>
                <w:szCs w:val="14"/>
              </w:rPr>
            </w:pPr>
          </w:p>
        </w:tc>
        <w:tc>
          <w:tcPr>
            <w:tcW w:w="325" w:type="pct"/>
            <w:vMerge/>
            <w:tcBorders>
              <w:top w:val="nil"/>
              <w:left w:val="single" w:sz="4" w:space="0" w:color="auto"/>
              <w:bottom w:val="single" w:sz="4" w:space="0" w:color="auto"/>
              <w:right w:val="single" w:sz="4" w:space="0" w:color="auto"/>
            </w:tcBorders>
            <w:vAlign w:val="center"/>
            <w:hideMark/>
          </w:tcPr>
          <w:p w14:paraId="700AFC26" w14:textId="77777777" w:rsidR="0022244A" w:rsidRPr="00975EE5" w:rsidRDefault="0022244A">
            <w:pPr>
              <w:spacing w:after="0" w:line="240" w:lineRule="auto"/>
              <w:rPr>
                <w:rFonts w:ascii="Calibri" w:eastAsia="Times New Roman" w:hAnsi="Calibri" w:cs="Calibri"/>
                <w:color w:val="000000"/>
                <w:sz w:val="14"/>
                <w:szCs w:val="14"/>
              </w:rPr>
            </w:pPr>
          </w:p>
        </w:tc>
        <w:tc>
          <w:tcPr>
            <w:tcW w:w="306" w:type="pct"/>
            <w:vMerge/>
            <w:tcBorders>
              <w:top w:val="nil"/>
              <w:left w:val="single" w:sz="4" w:space="0" w:color="auto"/>
              <w:bottom w:val="single" w:sz="4" w:space="0" w:color="auto"/>
              <w:right w:val="single" w:sz="4" w:space="0" w:color="auto"/>
            </w:tcBorders>
            <w:vAlign w:val="center"/>
            <w:hideMark/>
          </w:tcPr>
          <w:p w14:paraId="707839F5" w14:textId="77777777" w:rsidR="0022244A" w:rsidRPr="00975EE5" w:rsidRDefault="0022244A">
            <w:pPr>
              <w:spacing w:after="0" w:line="240" w:lineRule="auto"/>
              <w:rPr>
                <w:rFonts w:ascii="Calibri" w:eastAsia="Times New Roman" w:hAnsi="Calibri" w:cs="Calibri"/>
                <w:color w:val="000000"/>
                <w:sz w:val="14"/>
                <w:szCs w:val="14"/>
              </w:rPr>
            </w:pPr>
          </w:p>
        </w:tc>
        <w:tc>
          <w:tcPr>
            <w:tcW w:w="440" w:type="pct"/>
            <w:tcBorders>
              <w:top w:val="nil"/>
              <w:left w:val="nil"/>
              <w:bottom w:val="single" w:sz="4" w:space="0" w:color="auto"/>
              <w:right w:val="single" w:sz="4" w:space="0" w:color="auto"/>
            </w:tcBorders>
            <w:shd w:val="clear" w:color="000000" w:fill="E2EFDA"/>
            <w:vAlign w:val="center"/>
            <w:hideMark/>
          </w:tcPr>
          <w:p w14:paraId="4F546B75"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20" w:type="pct"/>
            <w:vMerge/>
            <w:tcBorders>
              <w:top w:val="nil"/>
              <w:left w:val="single" w:sz="4" w:space="0" w:color="auto"/>
              <w:bottom w:val="single" w:sz="4" w:space="0" w:color="auto"/>
              <w:right w:val="single" w:sz="4" w:space="0" w:color="auto"/>
            </w:tcBorders>
            <w:vAlign w:val="center"/>
            <w:hideMark/>
          </w:tcPr>
          <w:p w14:paraId="74AB404B" w14:textId="77777777" w:rsidR="0022244A" w:rsidRPr="00975EE5" w:rsidRDefault="0022244A">
            <w:pPr>
              <w:spacing w:after="0" w:line="240" w:lineRule="auto"/>
              <w:rPr>
                <w:rFonts w:ascii="Calibri" w:eastAsia="Times New Roman" w:hAnsi="Calibri" w:cs="Calibri"/>
                <w:color w:val="000000"/>
                <w:sz w:val="14"/>
                <w:szCs w:val="14"/>
              </w:rPr>
            </w:pPr>
          </w:p>
        </w:tc>
        <w:tc>
          <w:tcPr>
            <w:tcW w:w="464" w:type="pct"/>
            <w:vMerge/>
            <w:tcBorders>
              <w:top w:val="nil"/>
              <w:left w:val="single" w:sz="4" w:space="0" w:color="auto"/>
              <w:bottom w:val="single" w:sz="4" w:space="0" w:color="auto"/>
              <w:right w:val="single" w:sz="4" w:space="0" w:color="auto"/>
            </w:tcBorders>
            <w:vAlign w:val="center"/>
            <w:hideMark/>
          </w:tcPr>
          <w:p w14:paraId="68CE6073" w14:textId="77777777" w:rsidR="0022244A" w:rsidRPr="00975EE5" w:rsidRDefault="0022244A">
            <w:pPr>
              <w:spacing w:after="0" w:line="240" w:lineRule="auto"/>
              <w:rPr>
                <w:rFonts w:ascii="Calibri" w:eastAsia="Times New Roman" w:hAnsi="Calibri" w:cs="Calibri"/>
                <w:color w:val="000000"/>
                <w:sz w:val="14"/>
                <w:szCs w:val="14"/>
              </w:rPr>
            </w:pPr>
          </w:p>
        </w:tc>
      </w:tr>
      <w:tr w:rsidR="00D064DD" w:rsidRPr="00975EE5" w14:paraId="2EEE8F9F"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35EDDF7B"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01A34861"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МП_EE26</w:t>
            </w:r>
          </w:p>
        </w:tc>
        <w:tc>
          <w:tcPr>
            <w:tcW w:w="1336" w:type="pct"/>
            <w:tcBorders>
              <w:top w:val="nil"/>
              <w:left w:val="nil"/>
              <w:bottom w:val="single" w:sz="4" w:space="0" w:color="auto"/>
              <w:right w:val="single" w:sz="4" w:space="0" w:color="auto"/>
            </w:tcBorders>
            <w:shd w:val="clear" w:color="auto" w:fill="auto"/>
            <w:vAlign w:val="center"/>
            <w:hideMark/>
          </w:tcPr>
          <w:p w14:paraId="701C6AC8"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Промовисање енергетских услуга и уговора о енергетском учинку преко усмерених програма финансирања</w:t>
            </w:r>
          </w:p>
        </w:tc>
        <w:tc>
          <w:tcPr>
            <w:tcW w:w="353" w:type="pct"/>
            <w:tcBorders>
              <w:top w:val="nil"/>
              <w:left w:val="nil"/>
              <w:bottom w:val="single" w:sz="4" w:space="0" w:color="auto"/>
              <w:right w:val="single" w:sz="4" w:space="0" w:color="auto"/>
            </w:tcBorders>
            <w:shd w:val="clear" w:color="auto" w:fill="auto"/>
            <w:vAlign w:val="center"/>
            <w:hideMark/>
          </w:tcPr>
          <w:p w14:paraId="0D3967AE"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auto" w:fill="auto"/>
            <w:vAlign w:val="center"/>
            <w:hideMark/>
          </w:tcPr>
          <w:p w14:paraId="6E4B4850"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допринос свим мерама финалне потрошње</w:t>
            </w:r>
          </w:p>
        </w:tc>
        <w:tc>
          <w:tcPr>
            <w:tcW w:w="458" w:type="pct"/>
            <w:tcBorders>
              <w:top w:val="nil"/>
              <w:left w:val="nil"/>
              <w:bottom w:val="single" w:sz="4" w:space="0" w:color="auto"/>
              <w:right w:val="single" w:sz="4" w:space="0" w:color="auto"/>
            </w:tcBorders>
            <w:shd w:val="clear" w:color="000000" w:fill="595959"/>
            <w:vAlign w:val="center"/>
            <w:hideMark/>
          </w:tcPr>
          <w:p w14:paraId="5922178D"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25" w:type="pct"/>
            <w:tcBorders>
              <w:top w:val="nil"/>
              <w:left w:val="nil"/>
              <w:bottom w:val="single" w:sz="4" w:space="0" w:color="auto"/>
              <w:right w:val="single" w:sz="4" w:space="0" w:color="auto"/>
            </w:tcBorders>
            <w:shd w:val="clear" w:color="000000" w:fill="595959"/>
            <w:vAlign w:val="center"/>
            <w:hideMark/>
          </w:tcPr>
          <w:p w14:paraId="0BEE6B0C"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06" w:type="pct"/>
            <w:tcBorders>
              <w:top w:val="nil"/>
              <w:left w:val="nil"/>
              <w:bottom w:val="single" w:sz="4" w:space="0" w:color="auto"/>
              <w:right w:val="single" w:sz="4" w:space="0" w:color="auto"/>
            </w:tcBorders>
            <w:shd w:val="clear" w:color="000000" w:fill="595959"/>
            <w:noWrap/>
            <w:vAlign w:val="bottom"/>
            <w:hideMark/>
          </w:tcPr>
          <w:p w14:paraId="548D5146"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40" w:type="pct"/>
            <w:tcBorders>
              <w:top w:val="nil"/>
              <w:left w:val="nil"/>
              <w:bottom w:val="single" w:sz="4" w:space="0" w:color="auto"/>
              <w:right w:val="single" w:sz="4" w:space="0" w:color="auto"/>
            </w:tcBorders>
            <w:shd w:val="clear" w:color="000000" w:fill="E2EFDA"/>
            <w:vAlign w:val="center"/>
            <w:hideMark/>
          </w:tcPr>
          <w:p w14:paraId="4C73C0D2"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20" w:type="pct"/>
            <w:tcBorders>
              <w:top w:val="nil"/>
              <w:left w:val="nil"/>
              <w:bottom w:val="single" w:sz="4" w:space="0" w:color="auto"/>
              <w:right w:val="single" w:sz="4" w:space="0" w:color="auto"/>
            </w:tcBorders>
            <w:shd w:val="clear" w:color="000000" w:fill="595959"/>
            <w:vAlign w:val="center"/>
            <w:hideMark/>
          </w:tcPr>
          <w:p w14:paraId="0FB922B1"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64" w:type="pct"/>
            <w:tcBorders>
              <w:top w:val="nil"/>
              <w:left w:val="nil"/>
              <w:bottom w:val="single" w:sz="4" w:space="0" w:color="auto"/>
              <w:right w:val="single" w:sz="4" w:space="0" w:color="auto"/>
            </w:tcBorders>
            <w:shd w:val="clear" w:color="000000" w:fill="595959"/>
            <w:noWrap/>
            <w:vAlign w:val="bottom"/>
            <w:hideMark/>
          </w:tcPr>
          <w:p w14:paraId="4C749114"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r>
      <w:tr w:rsidR="00D064DD" w:rsidRPr="00975EE5" w14:paraId="453C7689"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11089B0F"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12314F31"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МП_EE27</w:t>
            </w:r>
          </w:p>
        </w:tc>
        <w:tc>
          <w:tcPr>
            <w:tcW w:w="1336" w:type="pct"/>
            <w:tcBorders>
              <w:top w:val="nil"/>
              <w:left w:val="nil"/>
              <w:bottom w:val="single" w:sz="4" w:space="0" w:color="auto"/>
              <w:right w:val="single" w:sz="4" w:space="0" w:color="auto"/>
            </w:tcBorders>
            <w:shd w:val="clear" w:color="auto" w:fill="auto"/>
            <w:vAlign w:val="center"/>
            <w:hideMark/>
          </w:tcPr>
          <w:p w14:paraId="08B7BBE2"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Подстицање енергетских услуга и уговора о енергетском учинку путем допунских активности</w:t>
            </w:r>
          </w:p>
        </w:tc>
        <w:tc>
          <w:tcPr>
            <w:tcW w:w="353" w:type="pct"/>
            <w:tcBorders>
              <w:top w:val="nil"/>
              <w:left w:val="nil"/>
              <w:bottom w:val="single" w:sz="4" w:space="0" w:color="auto"/>
              <w:right w:val="single" w:sz="4" w:space="0" w:color="auto"/>
            </w:tcBorders>
            <w:shd w:val="clear" w:color="auto" w:fill="auto"/>
            <w:vAlign w:val="center"/>
            <w:hideMark/>
          </w:tcPr>
          <w:p w14:paraId="0BAF7F9B"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auto" w:fill="auto"/>
            <w:vAlign w:val="center"/>
            <w:hideMark/>
          </w:tcPr>
          <w:p w14:paraId="66BF211E"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допринос МП_EE1-МП_EE2-МП_EE3</w:t>
            </w:r>
          </w:p>
        </w:tc>
        <w:tc>
          <w:tcPr>
            <w:tcW w:w="458" w:type="pct"/>
            <w:tcBorders>
              <w:top w:val="nil"/>
              <w:left w:val="nil"/>
              <w:bottom w:val="single" w:sz="4" w:space="0" w:color="auto"/>
              <w:right w:val="single" w:sz="4" w:space="0" w:color="auto"/>
            </w:tcBorders>
            <w:shd w:val="clear" w:color="000000" w:fill="595959"/>
            <w:vAlign w:val="center"/>
            <w:hideMark/>
          </w:tcPr>
          <w:p w14:paraId="4D66647F"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25" w:type="pct"/>
            <w:tcBorders>
              <w:top w:val="nil"/>
              <w:left w:val="nil"/>
              <w:bottom w:val="single" w:sz="4" w:space="0" w:color="auto"/>
              <w:right w:val="single" w:sz="4" w:space="0" w:color="auto"/>
            </w:tcBorders>
            <w:shd w:val="clear" w:color="000000" w:fill="595959"/>
            <w:vAlign w:val="center"/>
            <w:hideMark/>
          </w:tcPr>
          <w:p w14:paraId="6C2A4BDA"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06" w:type="pct"/>
            <w:tcBorders>
              <w:top w:val="nil"/>
              <w:left w:val="nil"/>
              <w:bottom w:val="single" w:sz="4" w:space="0" w:color="auto"/>
              <w:right w:val="single" w:sz="4" w:space="0" w:color="auto"/>
            </w:tcBorders>
            <w:shd w:val="clear" w:color="000000" w:fill="595959"/>
            <w:noWrap/>
            <w:vAlign w:val="bottom"/>
            <w:hideMark/>
          </w:tcPr>
          <w:p w14:paraId="2DACE3BB"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40" w:type="pct"/>
            <w:tcBorders>
              <w:top w:val="nil"/>
              <w:left w:val="nil"/>
              <w:bottom w:val="single" w:sz="4" w:space="0" w:color="auto"/>
              <w:right w:val="single" w:sz="4" w:space="0" w:color="auto"/>
            </w:tcBorders>
            <w:shd w:val="clear" w:color="000000" w:fill="E2EFDA"/>
            <w:vAlign w:val="center"/>
            <w:hideMark/>
          </w:tcPr>
          <w:p w14:paraId="5CA94863"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20" w:type="pct"/>
            <w:tcBorders>
              <w:top w:val="nil"/>
              <w:left w:val="nil"/>
              <w:bottom w:val="single" w:sz="4" w:space="0" w:color="auto"/>
              <w:right w:val="single" w:sz="4" w:space="0" w:color="auto"/>
            </w:tcBorders>
            <w:shd w:val="clear" w:color="000000" w:fill="595959"/>
            <w:vAlign w:val="center"/>
            <w:hideMark/>
          </w:tcPr>
          <w:p w14:paraId="654AD46E"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64" w:type="pct"/>
            <w:tcBorders>
              <w:top w:val="nil"/>
              <w:left w:val="nil"/>
              <w:bottom w:val="single" w:sz="4" w:space="0" w:color="auto"/>
              <w:right w:val="single" w:sz="4" w:space="0" w:color="auto"/>
            </w:tcBorders>
            <w:shd w:val="clear" w:color="000000" w:fill="595959"/>
            <w:noWrap/>
            <w:vAlign w:val="bottom"/>
            <w:hideMark/>
          </w:tcPr>
          <w:p w14:paraId="02C47155"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r>
      <w:tr w:rsidR="00D064DD" w:rsidRPr="00975EE5" w14:paraId="391983AA"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3B9C4981"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75BC9B46"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МП_EE28</w:t>
            </w:r>
          </w:p>
        </w:tc>
        <w:tc>
          <w:tcPr>
            <w:tcW w:w="1336" w:type="pct"/>
            <w:tcBorders>
              <w:top w:val="nil"/>
              <w:left w:val="nil"/>
              <w:bottom w:val="single" w:sz="4" w:space="0" w:color="auto"/>
              <w:right w:val="single" w:sz="4" w:space="0" w:color="auto"/>
            </w:tcBorders>
            <w:shd w:val="clear" w:color="auto" w:fill="auto"/>
            <w:vAlign w:val="center"/>
            <w:hideMark/>
          </w:tcPr>
          <w:p w14:paraId="5F9DBC39"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Обавезно спровођење енергетских прегледа и развој система енергетског менаџмента</w:t>
            </w:r>
          </w:p>
        </w:tc>
        <w:tc>
          <w:tcPr>
            <w:tcW w:w="353" w:type="pct"/>
            <w:tcBorders>
              <w:top w:val="nil"/>
              <w:left w:val="nil"/>
              <w:bottom w:val="single" w:sz="4" w:space="0" w:color="auto"/>
              <w:right w:val="single" w:sz="4" w:space="0" w:color="auto"/>
            </w:tcBorders>
            <w:shd w:val="clear" w:color="auto" w:fill="auto"/>
            <w:vAlign w:val="center"/>
            <w:hideMark/>
          </w:tcPr>
          <w:p w14:paraId="414AB0D9"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auto" w:fill="auto"/>
            <w:vAlign w:val="center"/>
            <w:hideMark/>
          </w:tcPr>
          <w:p w14:paraId="696F3C03" w14:textId="7F65544B"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Буџет интегрисан у све мере финалне потрошње – уштеде разматра се</w:t>
            </w:r>
          </w:p>
        </w:tc>
        <w:tc>
          <w:tcPr>
            <w:tcW w:w="458" w:type="pct"/>
            <w:tcBorders>
              <w:top w:val="nil"/>
              <w:left w:val="nil"/>
              <w:bottom w:val="single" w:sz="4" w:space="0" w:color="auto"/>
              <w:right w:val="single" w:sz="4" w:space="0" w:color="auto"/>
            </w:tcBorders>
            <w:shd w:val="clear" w:color="000000" w:fill="595959"/>
            <w:vAlign w:val="center"/>
            <w:hideMark/>
          </w:tcPr>
          <w:p w14:paraId="6B5E2E5B"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25" w:type="pct"/>
            <w:tcBorders>
              <w:top w:val="nil"/>
              <w:left w:val="nil"/>
              <w:bottom w:val="single" w:sz="4" w:space="0" w:color="auto"/>
              <w:right w:val="single" w:sz="4" w:space="0" w:color="auto"/>
            </w:tcBorders>
            <w:shd w:val="clear" w:color="000000" w:fill="595959"/>
            <w:vAlign w:val="center"/>
            <w:hideMark/>
          </w:tcPr>
          <w:p w14:paraId="17254F26"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06" w:type="pct"/>
            <w:tcBorders>
              <w:top w:val="nil"/>
              <w:left w:val="nil"/>
              <w:bottom w:val="single" w:sz="4" w:space="0" w:color="auto"/>
              <w:right w:val="single" w:sz="4" w:space="0" w:color="auto"/>
            </w:tcBorders>
            <w:shd w:val="clear" w:color="000000" w:fill="595959"/>
            <w:noWrap/>
            <w:vAlign w:val="bottom"/>
            <w:hideMark/>
          </w:tcPr>
          <w:p w14:paraId="0D5A2279"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40" w:type="pct"/>
            <w:tcBorders>
              <w:top w:val="nil"/>
              <w:left w:val="nil"/>
              <w:bottom w:val="single" w:sz="4" w:space="0" w:color="auto"/>
              <w:right w:val="single" w:sz="4" w:space="0" w:color="auto"/>
            </w:tcBorders>
            <w:shd w:val="clear" w:color="000000" w:fill="E2EFDA"/>
            <w:vAlign w:val="center"/>
            <w:hideMark/>
          </w:tcPr>
          <w:p w14:paraId="55E9423D"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20" w:type="pct"/>
            <w:tcBorders>
              <w:top w:val="nil"/>
              <w:left w:val="nil"/>
              <w:bottom w:val="single" w:sz="4" w:space="0" w:color="auto"/>
              <w:right w:val="single" w:sz="4" w:space="0" w:color="auto"/>
            </w:tcBorders>
            <w:shd w:val="clear" w:color="000000" w:fill="595959"/>
            <w:vAlign w:val="center"/>
            <w:hideMark/>
          </w:tcPr>
          <w:p w14:paraId="709F0688"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64" w:type="pct"/>
            <w:tcBorders>
              <w:top w:val="nil"/>
              <w:left w:val="nil"/>
              <w:bottom w:val="single" w:sz="4" w:space="0" w:color="auto"/>
              <w:right w:val="single" w:sz="4" w:space="0" w:color="auto"/>
            </w:tcBorders>
            <w:shd w:val="clear" w:color="000000" w:fill="595959"/>
            <w:noWrap/>
            <w:vAlign w:val="bottom"/>
            <w:hideMark/>
          </w:tcPr>
          <w:p w14:paraId="1FCA9096"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r>
      <w:tr w:rsidR="00D064DD" w:rsidRPr="00975EE5" w14:paraId="59D34355"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22DCDAF0"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0DC7FC49"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МП_EE29</w:t>
            </w:r>
          </w:p>
        </w:tc>
        <w:tc>
          <w:tcPr>
            <w:tcW w:w="1336" w:type="pct"/>
            <w:tcBorders>
              <w:top w:val="nil"/>
              <w:left w:val="nil"/>
              <w:bottom w:val="single" w:sz="4" w:space="0" w:color="auto"/>
              <w:right w:val="single" w:sz="4" w:space="0" w:color="auto"/>
            </w:tcBorders>
            <w:shd w:val="clear" w:color="auto" w:fill="auto"/>
            <w:vAlign w:val="center"/>
            <w:hideMark/>
          </w:tcPr>
          <w:p w14:paraId="4C2640DB"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Промовисање енергетских прегледа у МСП и у домаћинствима</w:t>
            </w:r>
          </w:p>
        </w:tc>
        <w:tc>
          <w:tcPr>
            <w:tcW w:w="353" w:type="pct"/>
            <w:tcBorders>
              <w:top w:val="nil"/>
              <w:left w:val="nil"/>
              <w:bottom w:val="single" w:sz="4" w:space="0" w:color="auto"/>
              <w:right w:val="single" w:sz="4" w:space="0" w:color="auto"/>
            </w:tcBorders>
            <w:shd w:val="clear" w:color="auto" w:fill="auto"/>
            <w:vAlign w:val="center"/>
            <w:hideMark/>
          </w:tcPr>
          <w:p w14:paraId="7292DE35"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0763907E"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интегрисана у МП_EE1 и МП_EE3</w:t>
            </w:r>
          </w:p>
        </w:tc>
        <w:tc>
          <w:tcPr>
            <w:tcW w:w="458" w:type="pct"/>
            <w:tcBorders>
              <w:top w:val="nil"/>
              <w:left w:val="nil"/>
              <w:bottom w:val="single" w:sz="4" w:space="0" w:color="auto"/>
              <w:right w:val="single" w:sz="4" w:space="0" w:color="auto"/>
            </w:tcBorders>
            <w:shd w:val="clear" w:color="000000" w:fill="595959"/>
            <w:vAlign w:val="center"/>
            <w:hideMark/>
          </w:tcPr>
          <w:p w14:paraId="11AAE15B"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25" w:type="pct"/>
            <w:tcBorders>
              <w:top w:val="nil"/>
              <w:left w:val="nil"/>
              <w:bottom w:val="single" w:sz="4" w:space="0" w:color="auto"/>
              <w:right w:val="single" w:sz="4" w:space="0" w:color="auto"/>
            </w:tcBorders>
            <w:shd w:val="clear" w:color="000000" w:fill="595959"/>
            <w:vAlign w:val="center"/>
            <w:hideMark/>
          </w:tcPr>
          <w:p w14:paraId="639420A5"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06" w:type="pct"/>
            <w:tcBorders>
              <w:top w:val="nil"/>
              <w:left w:val="nil"/>
              <w:bottom w:val="single" w:sz="4" w:space="0" w:color="auto"/>
              <w:right w:val="single" w:sz="4" w:space="0" w:color="auto"/>
            </w:tcBorders>
            <w:shd w:val="clear" w:color="000000" w:fill="595959"/>
            <w:noWrap/>
            <w:vAlign w:val="bottom"/>
            <w:hideMark/>
          </w:tcPr>
          <w:p w14:paraId="44B549CF"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40" w:type="pct"/>
            <w:tcBorders>
              <w:top w:val="nil"/>
              <w:left w:val="nil"/>
              <w:bottom w:val="single" w:sz="4" w:space="0" w:color="auto"/>
              <w:right w:val="single" w:sz="4" w:space="0" w:color="auto"/>
            </w:tcBorders>
            <w:shd w:val="clear" w:color="000000" w:fill="E2EFDA"/>
            <w:vAlign w:val="center"/>
            <w:hideMark/>
          </w:tcPr>
          <w:p w14:paraId="79DD6B4E"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20" w:type="pct"/>
            <w:tcBorders>
              <w:top w:val="nil"/>
              <w:left w:val="nil"/>
              <w:bottom w:val="single" w:sz="4" w:space="0" w:color="auto"/>
              <w:right w:val="single" w:sz="4" w:space="0" w:color="auto"/>
            </w:tcBorders>
            <w:shd w:val="clear" w:color="000000" w:fill="595959"/>
            <w:vAlign w:val="center"/>
            <w:hideMark/>
          </w:tcPr>
          <w:p w14:paraId="3E6A78C3"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64" w:type="pct"/>
            <w:tcBorders>
              <w:top w:val="nil"/>
              <w:left w:val="nil"/>
              <w:bottom w:val="single" w:sz="4" w:space="0" w:color="auto"/>
              <w:right w:val="single" w:sz="4" w:space="0" w:color="auto"/>
            </w:tcBorders>
            <w:shd w:val="clear" w:color="000000" w:fill="595959"/>
            <w:noWrap/>
            <w:vAlign w:val="bottom"/>
            <w:hideMark/>
          </w:tcPr>
          <w:p w14:paraId="15A79A33"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r>
      <w:tr w:rsidR="00D064DD" w:rsidRPr="00975EE5" w14:paraId="40B16651"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18CB058C"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3FA09464"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МП_EE30</w:t>
            </w:r>
          </w:p>
        </w:tc>
        <w:tc>
          <w:tcPr>
            <w:tcW w:w="1336" w:type="pct"/>
            <w:tcBorders>
              <w:top w:val="nil"/>
              <w:left w:val="nil"/>
              <w:bottom w:val="single" w:sz="4" w:space="0" w:color="auto"/>
              <w:right w:val="single" w:sz="4" w:space="0" w:color="auto"/>
            </w:tcBorders>
            <w:shd w:val="clear" w:color="000000" w:fill="FFFFFF"/>
            <w:vAlign w:val="center"/>
            <w:hideMark/>
          </w:tcPr>
          <w:p w14:paraId="0E699394"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Програми финансирања енергетског унапређења уличне расвете</w:t>
            </w:r>
          </w:p>
        </w:tc>
        <w:tc>
          <w:tcPr>
            <w:tcW w:w="353" w:type="pct"/>
            <w:tcBorders>
              <w:top w:val="nil"/>
              <w:left w:val="nil"/>
              <w:bottom w:val="single" w:sz="4" w:space="0" w:color="auto"/>
              <w:right w:val="single" w:sz="4" w:space="0" w:color="auto"/>
            </w:tcBorders>
            <w:shd w:val="clear" w:color="000000" w:fill="FFFFFF"/>
            <w:vAlign w:val="center"/>
            <w:hideMark/>
          </w:tcPr>
          <w:p w14:paraId="034F40AD"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000000" w:fill="FFFFFF"/>
            <w:vAlign w:val="center"/>
            <w:hideMark/>
          </w:tcPr>
          <w:p w14:paraId="1270F143"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58" w:type="pct"/>
            <w:tcBorders>
              <w:top w:val="nil"/>
              <w:left w:val="nil"/>
              <w:bottom w:val="single" w:sz="4" w:space="0" w:color="auto"/>
              <w:right w:val="single" w:sz="4" w:space="0" w:color="auto"/>
            </w:tcBorders>
            <w:shd w:val="clear" w:color="000000" w:fill="E2EFDA"/>
            <w:vAlign w:val="center"/>
            <w:hideMark/>
          </w:tcPr>
          <w:p w14:paraId="11E4449A"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1668,81</w:t>
            </w:r>
          </w:p>
        </w:tc>
        <w:tc>
          <w:tcPr>
            <w:tcW w:w="325" w:type="pct"/>
            <w:tcBorders>
              <w:top w:val="nil"/>
              <w:left w:val="nil"/>
              <w:bottom w:val="single" w:sz="4" w:space="0" w:color="auto"/>
              <w:right w:val="single" w:sz="4" w:space="0" w:color="auto"/>
            </w:tcBorders>
            <w:shd w:val="clear" w:color="000000" w:fill="E2EFDA"/>
            <w:vAlign w:val="center"/>
            <w:hideMark/>
          </w:tcPr>
          <w:p w14:paraId="7D288755"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1668,81</w:t>
            </w:r>
          </w:p>
        </w:tc>
        <w:tc>
          <w:tcPr>
            <w:tcW w:w="306" w:type="pct"/>
            <w:tcBorders>
              <w:top w:val="nil"/>
              <w:left w:val="nil"/>
              <w:bottom w:val="single" w:sz="4" w:space="0" w:color="auto"/>
              <w:right w:val="single" w:sz="4" w:space="0" w:color="auto"/>
            </w:tcBorders>
            <w:shd w:val="clear" w:color="000000" w:fill="E2EFDA"/>
            <w:vAlign w:val="center"/>
            <w:hideMark/>
          </w:tcPr>
          <w:p w14:paraId="16DCBB59"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440" w:type="pct"/>
            <w:tcBorders>
              <w:top w:val="nil"/>
              <w:left w:val="nil"/>
              <w:bottom w:val="single" w:sz="4" w:space="0" w:color="auto"/>
              <w:right w:val="single" w:sz="4" w:space="0" w:color="auto"/>
            </w:tcBorders>
            <w:shd w:val="clear" w:color="000000" w:fill="E2EFDA"/>
            <w:vAlign w:val="center"/>
            <w:hideMark/>
          </w:tcPr>
          <w:p w14:paraId="2D0BF55D"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20" w:type="pct"/>
            <w:tcBorders>
              <w:top w:val="nil"/>
              <w:left w:val="nil"/>
              <w:bottom w:val="single" w:sz="4" w:space="0" w:color="auto"/>
              <w:right w:val="single" w:sz="4" w:space="0" w:color="auto"/>
            </w:tcBorders>
            <w:shd w:val="clear" w:color="000000" w:fill="E2EFDA"/>
            <w:vAlign w:val="center"/>
            <w:hideMark/>
          </w:tcPr>
          <w:p w14:paraId="3ED0B4D2"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1668,81</w:t>
            </w:r>
          </w:p>
        </w:tc>
        <w:tc>
          <w:tcPr>
            <w:tcW w:w="464" w:type="pct"/>
            <w:tcBorders>
              <w:top w:val="nil"/>
              <w:left w:val="nil"/>
              <w:bottom w:val="single" w:sz="4" w:space="0" w:color="auto"/>
              <w:right w:val="single" w:sz="4" w:space="0" w:color="auto"/>
            </w:tcBorders>
            <w:shd w:val="clear" w:color="000000" w:fill="E2EFDA"/>
            <w:vAlign w:val="center"/>
            <w:hideMark/>
          </w:tcPr>
          <w:p w14:paraId="67B5B36E"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D064DD" w:rsidRPr="00975EE5" w14:paraId="596BA897"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70AF05B8"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057B4AF3"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МП_EE31</w:t>
            </w:r>
          </w:p>
        </w:tc>
        <w:tc>
          <w:tcPr>
            <w:tcW w:w="1336" w:type="pct"/>
            <w:tcBorders>
              <w:top w:val="nil"/>
              <w:left w:val="nil"/>
              <w:bottom w:val="single" w:sz="4" w:space="0" w:color="auto"/>
              <w:right w:val="single" w:sz="4" w:space="0" w:color="auto"/>
            </w:tcBorders>
            <w:shd w:val="clear" w:color="auto" w:fill="auto"/>
            <w:vAlign w:val="center"/>
            <w:hideMark/>
          </w:tcPr>
          <w:p w14:paraId="65F6FD5A"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Спровођење активности подизања свести</w:t>
            </w:r>
          </w:p>
        </w:tc>
        <w:tc>
          <w:tcPr>
            <w:tcW w:w="353" w:type="pct"/>
            <w:tcBorders>
              <w:top w:val="nil"/>
              <w:left w:val="nil"/>
              <w:bottom w:val="single" w:sz="4" w:space="0" w:color="auto"/>
              <w:right w:val="single" w:sz="4" w:space="0" w:color="auto"/>
            </w:tcBorders>
            <w:shd w:val="clear" w:color="auto" w:fill="auto"/>
            <w:vAlign w:val="center"/>
            <w:hideMark/>
          </w:tcPr>
          <w:p w14:paraId="4F6264EC"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auto" w:fill="auto"/>
            <w:vAlign w:val="center"/>
            <w:hideMark/>
          </w:tcPr>
          <w:p w14:paraId="0CC69BE9" w14:textId="0F4C076F"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Буџет интегрисан у све мере финалне потрошње</w:t>
            </w:r>
          </w:p>
        </w:tc>
        <w:tc>
          <w:tcPr>
            <w:tcW w:w="458" w:type="pct"/>
            <w:tcBorders>
              <w:top w:val="nil"/>
              <w:left w:val="nil"/>
              <w:bottom w:val="single" w:sz="4" w:space="0" w:color="auto"/>
              <w:right w:val="single" w:sz="4" w:space="0" w:color="auto"/>
            </w:tcBorders>
            <w:shd w:val="clear" w:color="000000" w:fill="595959"/>
            <w:vAlign w:val="center"/>
            <w:hideMark/>
          </w:tcPr>
          <w:p w14:paraId="3A57FBE2"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25" w:type="pct"/>
            <w:tcBorders>
              <w:top w:val="nil"/>
              <w:left w:val="nil"/>
              <w:bottom w:val="single" w:sz="4" w:space="0" w:color="auto"/>
              <w:right w:val="single" w:sz="4" w:space="0" w:color="auto"/>
            </w:tcBorders>
            <w:shd w:val="clear" w:color="000000" w:fill="595959"/>
            <w:vAlign w:val="center"/>
            <w:hideMark/>
          </w:tcPr>
          <w:p w14:paraId="5C66D674"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06" w:type="pct"/>
            <w:tcBorders>
              <w:top w:val="nil"/>
              <w:left w:val="nil"/>
              <w:bottom w:val="single" w:sz="4" w:space="0" w:color="auto"/>
              <w:right w:val="single" w:sz="4" w:space="0" w:color="auto"/>
            </w:tcBorders>
            <w:shd w:val="clear" w:color="000000" w:fill="595959"/>
            <w:noWrap/>
            <w:vAlign w:val="bottom"/>
            <w:hideMark/>
          </w:tcPr>
          <w:p w14:paraId="703E19AC"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40" w:type="pct"/>
            <w:tcBorders>
              <w:top w:val="nil"/>
              <w:left w:val="nil"/>
              <w:bottom w:val="single" w:sz="4" w:space="0" w:color="auto"/>
              <w:right w:val="single" w:sz="4" w:space="0" w:color="auto"/>
            </w:tcBorders>
            <w:shd w:val="clear" w:color="000000" w:fill="E2EFDA"/>
            <w:vAlign w:val="center"/>
            <w:hideMark/>
          </w:tcPr>
          <w:p w14:paraId="196BCD27"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20" w:type="pct"/>
            <w:tcBorders>
              <w:top w:val="nil"/>
              <w:left w:val="nil"/>
              <w:bottom w:val="single" w:sz="4" w:space="0" w:color="auto"/>
              <w:right w:val="single" w:sz="4" w:space="0" w:color="auto"/>
            </w:tcBorders>
            <w:shd w:val="clear" w:color="000000" w:fill="595959"/>
            <w:vAlign w:val="center"/>
            <w:hideMark/>
          </w:tcPr>
          <w:p w14:paraId="57AA19C6"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64" w:type="pct"/>
            <w:tcBorders>
              <w:top w:val="nil"/>
              <w:left w:val="nil"/>
              <w:bottom w:val="single" w:sz="4" w:space="0" w:color="auto"/>
              <w:right w:val="single" w:sz="4" w:space="0" w:color="auto"/>
            </w:tcBorders>
            <w:shd w:val="clear" w:color="000000" w:fill="595959"/>
            <w:noWrap/>
            <w:vAlign w:val="bottom"/>
            <w:hideMark/>
          </w:tcPr>
          <w:p w14:paraId="33AB9B25"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r>
      <w:tr w:rsidR="00D064DD" w:rsidRPr="00975EE5" w14:paraId="159A07A5"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122F9402"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464DBA76"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МП_EE32</w:t>
            </w:r>
          </w:p>
        </w:tc>
        <w:tc>
          <w:tcPr>
            <w:tcW w:w="1336" w:type="pct"/>
            <w:tcBorders>
              <w:top w:val="nil"/>
              <w:left w:val="nil"/>
              <w:bottom w:val="single" w:sz="4" w:space="0" w:color="auto"/>
              <w:right w:val="single" w:sz="4" w:space="0" w:color="auto"/>
            </w:tcBorders>
            <w:shd w:val="clear" w:color="auto" w:fill="auto"/>
            <w:vAlign w:val="center"/>
            <w:hideMark/>
          </w:tcPr>
          <w:p w14:paraId="2EF72160"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Промовисање енергетски ефикасних производа применом директива о енергетском означавању и еко-дизајну</w:t>
            </w:r>
          </w:p>
        </w:tc>
        <w:tc>
          <w:tcPr>
            <w:tcW w:w="353" w:type="pct"/>
            <w:tcBorders>
              <w:top w:val="nil"/>
              <w:left w:val="nil"/>
              <w:bottom w:val="single" w:sz="4" w:space="0" w:color="auto"/>
              <w:right w:val="single" w:sz="4" w:space="0" w:color="auto"/>
            </w:tcBorders>
            <w:shd w:val="clear" w:color="auto" w:fill="auto"/>
            <w:vAlign w:val="center"/>
            <w:hideMark/>
          </w:tcPr>
          <w:p w14:paraId="59C837EA"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auto" w:fill="auto"/>
            <w:vAlign w:val="center"/>
            <w:hideMark/>
          </w:tcPr>
          <w:p w14:paraId="7115F641"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интегрисана у МП_EE1, МП_EE2, МП_EE3, МП_EE10 и мере за индустријски сектор</w:t>
            </w:r>
          </w:p>
        </w:tc>
        <w:tc>
          <w:tcPr>
            <w:tcW w:w="458" w:type="pct"/>
            <w:tcBorders>
              <w:top w:val="nil"/>
              <w:left w:val="nil"/>
              <w:bottom w:val="single" w:sz="4" w:space="0" w:color="auto"/>
              <w:right w:val="single" w:sz="4" w:space="0" w:color="auto"/>
            </w:tcBorders>
            <w:shd w:val="clear" w:color="000000" w:fill="595959"/>
            <w:vAlign w:val="center"/>
            <w:hideMark/>
          </w:tcPr>
          <w:p w14:paraId="72950B2E"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25" w:type="pct"/>
            <w:tcBorders>
              <w:top w:val="nil"/>
              <w:left w:val="nil"/>
              <w:bottom w:val="single" w:sz="4" w:space="0" w:color="auto"/>
              <w:right w:val="single" w:sz="4" w:space="0" w:color="auto"/>
            </w:tcBorders>
            <w:shd w:val="clear" w:color="000000" w:fill="595959"/>
            <w:vAlign w:val="center"/>
            <w:hideMark/>
          </w:tcPr>
          <w:p w14:paraId="5ADACF62"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06" w:type="pct"/>
            <w:tcBorders>
              <w:top w:val="nil"/>
              <w:left w:val="nil"/>
              <w:bottom w:val="single" w:sz="4" w:space="0" w:color="auto"/>
              <w:right w:val="single" w:sz="4" w:space="0" w:color="auto"/>
            </w:tcBorders>
            <w:shd w:val="clear" w:color="000000" w:fill="595959"/>
            <w:noWrap/>
            <w:vAlign w:val="bottom"/>
            <w:hideMark/>
          </w:tcPr>
          <w:p w14:paraId="1752BD31"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40" w:type="pct"/>
            <w:tcBorders>
              <w:top w:val="nil"/>
              <w:left w:val="nil"/>
              <w:bottom w:val="single" w:sz="4" w:space="0" w:color="auto"/>
              <w:right w:val="single" w:sz="4" w:space="0" w:color="auto"/>
            </w:tcBorders>
            <w:shd w:val="clear" w:color="000000" w:fill="E2EFDA"/>
            <w:vAlign w:val="center"/>
            <w:hideMark/>
          </w:tcPr>
          <w:p w14:paraId="5C30CB6E"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20" w:type="pct"/>
            <w:tcBorders>
              <w:top w:val="nil"/>
              <w:left w:val="nil"/>
              <w:bottom w:val="single" w:sz="4" w:space="0" w:color="auto"/>
              <w:right w:val="single" w:sz="4" w:space="0" w:color="auto"/>
            </w:tcBorders>
            <w:shd w:val="clear" w:color="000000" w:fill="595959"/>
            <w:vAlign w:val="center"/>
            <w:hideMark/>
          </w:tcPr>
          <w:p w14:paraId="56F91181"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64" w:type="pct"/>
            <w:tcBorders>
              <w:top w:val="nil"/>
              <w:left w:val="nil"/>
              <w:bottom w:val="single" w:sz="4" w:space="0" w:color="auto"/>
              <w:right w:val="single" w:sz="4" w:space="0" w:color="auto"/>
            </w:tcBorders>
            <w:shd w:val="clear" w:color="000000" w:fill="595959"/>
            <w:noWrap/>
            <w:vAlign w:val="bottom"/>
            <w:hideMark/>
          </w:tcPr>
          <w:p w14:paraId="2C2153D6"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r>
      <w:tr w:rsidR="00D064DD" w:rsidRPr="00975EE5" w14:paraId="65498BE0"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512402AE"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6D87C0D3"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МП_EE33</w:t>
            </w:r>
          </w:p>
        </w:tc>
        <w:tc>
          <w:tcPr>
            <w:tcW w:w="1336" w:type="pct"/>
            <w:tcBorders>
              <w:top w:val="nil"/>
              <w:left w:val="nil"/>
              <w:bottom w:val="single" w:sz="4" w:space="0" w:color="auto"/>
              <w:right w:val="single" w:sz="4" w:space="0" w:color="auto"/>
            </w:tcBorders>
            <w:shd w:val="clear" w:color="auto" w:fill="auto"/>
            <w:vAlign w:val="center"/>
            <w:hideMark/>
          </w:tcPr>
          <w:p w14:paraId="0BFD42E9"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Промовисање зелених јавних набавки</w:t>
            </w:r>
          </w:p>
        </w:tc>
        <w:tc>
          <w:tcPr>
            <w:tcW w:w="353" w:type="pct"/>
            <w:tcBorders>
              <w:top w:val="nil"/>
              <w:left w:val="nil"/>
              <w:bottom w:val="single" w:sz="4" w:space="0" w:color="auto"/>
              <w:right w:val="single" w:sz="4" w:space="0" w:color="auto"/>
            </w:tcBorders>
            <w:shd w:val="clear" w:color="auto" w:fill="auto"/>
            <w:vAlign w:val="center"/>
            <w:hideMark/>
          </w:tcPr>
          <w:p w14:paraId="0DFC999F"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auto" w:fill="auto"/>
            <w:vAlign w:val="center"/>
            <w:hideMark/>
          </w:tcPr>
          <w:p w14:paraId="2E9E2C59" w14:textId="46474600" w:rsidR="0022244A" w:rsidRPr="00975EE5" w:rsidRDefault="005D7AD3">
            <w:pPr>
              <w:spacing w:after="0" w:line="240" w:lineRule="auto"/>
              <w:jc w:val="center"/>
              <w:rPr>
                <w:rFonts w:ascii="Calibri" w:eastAsia="Times New Roman" w:hAnsi="Calibri" w:cs="Calibri"/>
                <w:color w:val="000000"/>
                <w:sz w:val="14"/>
                <w:szCs w:val="14"/>
              </w:rPr>
            </w:pPr>
            <w:r w:rsidRPr="005D7AD3">
              <w:rPr>
                <w:rFonts w:ascii="Calibri" w:eastAsia="Times New Roman" w:hAnsi="Calibri" w:cs="Calibri"/>
                <w:color w:val="000000"/>
                <w:sz w:val="14"/>
                <w:szCs w:val="14"/>
              </w:rPr>
              <w:t>интегрисана у МП_EE2, МП_EE4, МП_EE5, МП_EE6, МП_EE7, МП_EE12, МП_EE14 и МП_EE18</w:t>
            </w:r>
          </w:p>
        </w:tc>
        <w:tc>
          <w:tcPr>
            <w:tcW w:w="458" w:type="pct"/>
            <w:tcBorders>
              <w:top w:val="nil"/>
              <w:left w:val="nil"/>
              <w:bottom w:val="single" w:sz="4" w:space="0" w:color="auto"/>
              <w:right w:val="single" w:sz="4" w:space="0" w:color="auto"/>
            </w:tcBorders>
            <w:shd w:val="clear" w:color="000000" w:fill="595959"/>
            <w:vAlign w:val="center"/>
            <w:hideMark/>
          </w:tcPr>
          <w:p w14:paraId="05182608"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25" w:type="pct"/>
            <w:tcBorders>
              <w:top w:val="nil"/>
              <w:left w:val="nil"/>
              <w:bottom w:val="single" w:sz="4" w:space="0" w:color="auto"/>
              <w:right w:val="single" w:sz="4" w:space="0" w:color="auto"/>
            </w:tcBorders>
            <w:shd w:val="clear" w:color="000000" w:fill="595959"/>
            <w:vAlign w:val="center"/>
            <w:hideMark/>
          </w:tcPr>
          <w:p w14:paraId="0A77B044"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06" w:type="pct"/>
            <w:tcBorders>
              <w:top w:val="nil"/>
              <w:left w:val="nil"/>
              <w:bottom w:val="single" w:sz="4" w:space="0" w:color="auto"/>
              <w:right w:val="single" w:sz="4" w:space="0" w:color="auto"/>
            </w:tcBorders>
            <w:shd w:val="clear" w:color="000000" w:fill="595959"/>
            <w:noWrap/>
            <w:vAlign w:val="bottom"/>
            <w:hideMark/>
          </w:tcPr>
          <w:p w14:paraId="2CB1CC63"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40" w:type="pct"/>
            <w:tcBorders>
              <w:top w:val="nil"/>
              <w:left w:val="nil"/>
              <w:bottom w:val="single" w:sz="4" w:space="0" w:color="auto"/>
              <w:right w:val="single" w:sz="4" w:space="0" w:color="auto"/>
            </w:tcBorders>
            <w:shd w:val="clear" w:color="000000" w:fill="E2EFDA"/>
            <w:vAlign w:val="center"/>
            <w:hideMark/>
          </w:tcPr>
          <w:p w14:paraId="3BFAC7D5"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20" w:type="pct"/>
            <w:tcBorders>
              <w:top w:val="nil"/>
              <w:left w:val="nil"/>
              <w:bottom w:val="single" w:sz="4" w:space="0" w:color="auto"/>
              <w:right w:val="single" w:sz="4" w:space="0" w:color="auto"/>
            </w:tcBorders>
            <w:shd w:val="clear" w:color="000000" w:fill="595959"/>
            <w:vAlign w:val="center"/>
            <w:hideMark/>
          </w:tcPr>
          <w:p w14:paraId="1ED1165D"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64" w:type="pct"/>
            <w:tcBorders>
              <w:top w:val="nil"/>
              <w:left w:val="nil"/>
              <w:bottom w:val="single" w:sz="4" w:space="0" w:color="auto"/>
              <w:right w:val="single" w:sz="4" w:space="0" w:color="auto"/>
            </w:tcBorders>
            <w:shd w:val="clear" w:color="000000" w:fill="595959"/>
            <w:noWrap/>
            <w:vAlign w:val="bottom"/>
            <w:hideMark/>
          </w:tcPr>
          <w:p w14:paraId="5653BB69"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r>
      <w:tr w:rsidR="00D064DD" w:rsidRPr="00975EE5" w14:paraId="24D01235"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5187FD52"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690E10AC"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МП_EE34</w:t>
            </w:r>
          </w:p>
        </w:tc>
        <w:tc>
          <w:tcPr>
            <w:tcW w:w="1336" w:type="pct"/>
            <w:tcBorders>
              <w:top w:val="nil"/>
              <w:left w:val="nil"/>
              <w:bottom w:val="single" w:sz="4" w:space="0" w:color="auto"/>
              <w:right w:val="single" w:sz="4" w:space="0" w:color="auto"/>
            </w:tcBorders>
            <w:shd w:val="clear" w:color="auto" w:fill="auto"/>
            <w:vAlign w:val="center"/>
            <w:hideMark/>
          </w:tcPr>
          <w:p w14:paraId="5BA2872D"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Регулаторне мере и програми финансирања за подстицање/модернизацију високо ефикасне когенерације и система даљинског грејања/хлађења</w:t>
            </w:r>
          </w:p>
        </w:tc>
        <w:tc>
          <w:tcPr>
            <w:tcW w:w="353" w:type="pct"/>
            <w:tcBorders>
              <w:top w:val="nil"/>
              <w:left w:val="nil"/>
              <w:bottom w:val="single" w:sz="4" w:space="0" w:color="auto"/>
              <w:right w:val="single" w:sz="4" w:space="0" w:color="auto"/>
            </w:tcBorders>
            <w:shd w:val="clear" w:color="auto" w:fill="auto"/>
            <w:vAlign w:val="center"/>
            <w:hideMark/>
          </w:tcPr>
          <w:p w14:paraId="0528AA62"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auto" w:fill="auto"/>
            <w:noWrap/>
            <w:vAlign w:val="bottom"/>
            <w:hideMark/>
          </w:tcPr>
          <w:p w14:paraId="041D2DB3"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58" w:type="pct"/>
            <w:tcBorders>
              <w:top w:val="nil"/>
              <w:left w:val="nil"/>
              <w:bottom w:val="single" w:sz="4" w:space="0" w:color="auto"/>
              <w:right w:val="single" w:sz="4" w:space="0" w:color="auto"/>
            </w:tcBorders>
            <w:shd w:val="clear" w:color="000000" w:fill="E2EFDA"/>
            <w:vAlign w:val="center"/>
            <w:hideMark/>
          </w:tcPr>
          <w:p w14:paraId="6E6ED310"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35,00</w:t>
            </w:r>
          </w:p>
        </w:tc>
        <w:tc>
          <w:tcPr>
            <w:tcW w:w="325" w:type="pct"/>
            <w:tcBorders>
              <w:top w:val="nil"/>
              <w:left w:val="nil"/>
              <w:bottom w:val="single" w:sz="4" w:space="0" w:color="auto"/>
              <w:right w:val="single" w:sz="4" w:space="0" w:color="auto"/>
            </w:tcBorders>
            <w:shd w:val="clear" w:color="000000" w:fill="ED7D31"/>
            <w:vAlign w:val="center"/>
            <w:hideMark/>
          </w:tcPr>
          <w:p w14:paraId="2CA3FF01"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17,50</w:t>
            </w:r>
          </w:p>
        </w:tc>
        <w:tc>
          <w:tcPr>
            <w:tcW w:w="306" w:type="pct"/>
            <w:tcBorders>
              <w:top w:val="nil"/>
              <w:left w:val="nil"/>
              <w:bottom w:val="single" w:sz="4" w:space="0" w:color="auto"/>
              <w:right w:val="single" w:sz="4" w:space="0" w:color="auto"/>
            </w:tcBorders>
            <w:shd w:val="clear" w:color="000000" w:fill="ED7D31"/>
            <w:vAlign w:val="center"/>
            <w:hideMark/>
          </w:tcPr>
          <w:p w14:paraId="2A7A9C4F"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17,50</w:t>
            </w:r>
          </w:p>
        </w:tc>
        <w:tc>
          <w:tcPr>
            <w:tcW w:w="440" w:type="pct"/>
            <w:tcBorders>
              <w:top w:val="nil"/>
              <w:left w:val="nil"/>
              <w:bottom w:val="single" w:sz="4" w:space="0" w:color="auto"/>
              <w:right w:val="single" w:sz="4" w:space="0" w:color="auto"/>
            </w:tcBorders>
            <w:shd w:val="clear" w:color="000000" w:fill="E2EFDA"/>
            <w:vAlign w:val="center"/>
            <w:hideMark/>
          </w:tcPr>
          <w:p w14:paraId="3CCB5F76"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20" w:type="pct"/>
            <w:tcBorders>
              <w:top w:val="nil"/>
              <w:left w:val="nil"/>
              <w:bottom w:val="single" w:sz="4" w:space="0" w:color="auto"/>
              <w:right w:val="single" w:sz="4" w:space="0" w:color="auto"/>
            </w:tcBorders>
            <w:shd w:val="clear" w:color="000000" w:fill="E2EFDA"/>
            <w:vAlign w:val="center"/>
            <w:hideMark/>
          </w:tcPr>
          <w:p w14:paraId="611A06C2"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35,00</w:t>
            </w:r>
          </w:p>
        </w:tc>
        <w:tc>
          <w:tcPr>
            <w:tcW w:w="464" w:type="pct"/>
            <w:tcBorders>
              <w:top w:val="nil"/>
              <w:left w:val="nil"/>
              <w:bottom w:val="single" w:sz="4" w:space="0" w:color="auto"/>
              <w:right w:val="single" w:sz="4" w:space="0" w:color="auto"/>
            </w:tcBorders>
            <w:shd w:val="clear" w:color="000000" w:fill="E2EFDA"/>
            <w:vAlign w:val="center"/>
            <w:hideMark/>
          </w:tcPr>
          <w:p w14:paraId="3E8238F6"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D064DD" w:rsidRPr="00975EE5" w14:paraId="4E0518F2"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5D5730C0"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74F62A1C"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МП_EE35</w:t>
            </w:r>
          </w:p>
        </w:tc>
        <w:tc>
          <w:tcPr>
            <w:tcW w:w="1336" w:type="pct"/>
            <w:tcBorders>
              <w:top w:val="nil"/>
              <w:left w:val="nil"/>
              <w:bottom w:val="single" w:sz="4" w:space="0" w:color="auto"/>
              <w:right w:val="single" w:sz="4" w:space="0" w:color="auto"/>
            </w:tcBorders>
            <w:shd w:val="clear" w:color="auto" w:fill="auto"/>
            <w:vAlign w:val="center"/>
            <w:hideMark/>
          </w:tcPr>
          <w:p w14:paraId="22BA77C0"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Унапређење и додатни развој шеме за квалификацију, акредитацију и сертификацију стручњака у области енергетске ефикасности</w:t>
            </w:r>
          </w:p>
        </w:tc>
        <w:tc>
          <w:tcPr>
            <w:tcW w:w="353" w:type="pct"/>
            <w:tcBorders>
              <w:top w:val="nil"/>
              <w:left w:val="nil"/>
              <w:bottom w:val="single" w:sz="4" w:space="0" w:color="auto"/>
              <w:right w:val="single" w:sz="4" w:space="0" w:color="auto"/>
            </w:tcBorders>
            <w:shd w:val="clear" w:color="auto" w:fill="auto"/>
            <w:vAlign w:val="center"/>
            <w:hideMark/>
          </w:tcPr>
          <w:p w14:paraId="6690B2BA"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auto" w:fill="auto"/>
            <w:vAlign w:val="center"/>
            <w:hideMark/>
          </w:tcPr>
          <w:p w14:paraId="58256954" w14:textId="578A0294"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Буџет интегрисан у све мере финалне потрошње – у разматрању</w:t>
            </w:r>
          </w:p>
        </w:tc>
        <w:tc>
          <w:tcPr>
            <w:tcW w:w="458" w:type="pct"/>
            <w:tcBorders>
              <w:top w:val="nil"/>
              <w:left w:val="nil"/>
              <w:bottom w:val="single" w:sz="4" w:space="0" w:color="auto"/>
              <w:right w:val="single" w:sz="4" w:space="0" w:color="auto"/>
            </w:tcBorders>
            <w:shd w:val="clear" w:color="000000" w:fill="595959"/>
            <w:vAlign w:val="center"/>
            <w:hideMark/>
          </w:tcPr>
          <w:p w14:paraId="2E469A9A"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25" w:type="pct"/>
            <w:tcBorders>
              <w:top w:val="nil"/>
              <w:left w:val="nil"/>
              <w:bottom w:val="single" w:sz="4" w:space="0" w:color="auto"/>
              <w:right w:val="single" w:sz="4" w:space="0" w:color="auto"/>
            </w:tcBorders>
            <w:shd w:val="clear" w:color="000000" w:fill="595959"/>
            <w:vAlign w:val="center"/>
            <w:hideMark/>
          </w:tcPr>
          <w:p w14:paraId="65A5CCAD"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06" w:type="pct"/>
            <w:tcBorders>
              <w:top w:val="nil"/>
              <w:left w:val="nil"/>
              <w:bottom w:val="single" w:sz="4" w:space="0" w:color="auto"/>
              <w:right w:val="single" w:sz="4" w:space="0" w:color="auto"/>
            </w:tcBorders>
            <w:shd w:val="clear" w:color="000000" w:fill="595959"/>
            <w:noWrap/>
            <w:vAlign w:val="bottom"/>
            <w:hideMark/>
          </w:tcPr>
          <w:p w14:paraId="24A9F4AC"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40" w:type="pct"/>
            <w:tcBorders>
              <w:top w:val="nil"/>
              <w:left w:val="nil"/>
              <w:bottom w:val="single" w:sz="4" w:space="0" w:color="auto"/>
              <w:right w:val="single" w:sz="4" w:space="0" w:color="auto"/>
            </w:tcBorders>
            <w:shd w:val="clear" w:color="000000" w:fill="E2EFDA"/>
            <w:vAlign w:val="center"/>
            <w:hideMark/>
          </w:tcPr>
          <w:p w14:paraId="271C2C93"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20" w:type="pct"/>
            <w:tcBorders>
              <w:top w:val="nil"/>
              <w:left w:val="nil"/>
              <w:bottom w:val="single" w:sz="4" w:space="0" w:color="auto"/>
              <w:right w:val="single" w:sz="4" w:space="0" w:color="auto"/>
            </w:tcBorders>
            <w:shd w:val="clear" w:color="000000" w:fill="595959"/>
            <w:vAlign w:val="center"/>
            <w:hideMark/>
          </w:tcPr>
          <w:p w14:paraId="7EE6BED1"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64" w:type="pct"/>
            <w:tcBorders>
              <w:top w:val="nil"/>
              <w:left w:val="nil"/>
              <w:bottom w:val="single" w:sz="4" w:space="0" w:color="auto"/>
              <w:right w:val="single" w:sz="4" w:space="0" w:color="auto"/>
            </w:tcBorders>
            <w:shd w:val="clear" w:color="000000" w:fill="595959"/>
            <w:noWrap/>
            <w:vAlign w:val="bottom"/>
            <w:hideMark/>
          </w:tcPr>
          <w:p w14:paraId="753359B3"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r>
      <w:tr w:rsidR="00D064DD" w:rsidRPr="00975EE5" w14:paraId="1AD9C819"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349ACB90"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31803060"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МП_EE36</w:t>
            </w:r>
          </w:p>
        </w:tc>
        <w:tc>
          <w:tcPr>
            <w:tcW w:w="1336" w:type="pct"/>
            <w:tcBorders>
              <w:top w:val="nil"/>
              <w:left w:val="nil"/>
              <w:bottom w:val="single" w:sz="4" w:space="0" w:color="auto"/>
              <w:right w:val="single" w:sz="4" w:space="0" w:color="auto"/>
            </w:tcBorders>
            <w:shd w:val="clear" w:color="auto" w:fill="auto"/>
            <w:vAlign w:val="center"/>
            <w:hideMark/>
          </w:tcPr>
          <w:p w14:paraId="1DCC9D48"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Подстицање енергетске ефикасности у водоснабдевању, дистрибуцији и потрошњи воде</w:t>
            </w:r>
          </w:p>
        </w:tc>
        <w:tc>
          <w:tcPr>
            <w:tcW w:w="353" w:type="pct"/>
            <w:tcBorders>
              <w:top w:val="nil"/>
              <w:left w:val="nil"/>
              <w:bottom w:val="single" w:sz="4" w:space="0" w:color="auto"/>
              <w:right w:val="single" w:sz="4" w:space="0" w:color="auto"/>
            </w:tcBorders>
            <w:shd w:val="clear" w:color="auto" w:fill="auto"/>
            <w:vAlign w:val="center"/>
            <w:hideMark/>
          </w:tcPr>
          <w:p w14:paraId="4DBA94CB"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noWrap/>
            <w:vAlign w:val="bottom"/>
            <w:hideMark/>
          </w:tcPr>
          <w:p w14:paraId="09EB0E16"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58" w:type="pct"/>
            <w:tcBorders>
              <w:top w:val="nil"/>
              <w:left w:val="nil"/>
              <w:bottom w:val="single" w:sz="4" w:space="0" w:color="auto"/>
              <w:right w:val="single" w:sz="4" w:space="0" w:color="auto"/>
            </w:tcBorders>
            <w:shd w:val="clear" w:color="000000" w:fill="ED7D31"/>
            <w:vAlign w:val="center"/>
            <w:hideMark/>
          </w:tcPr>
          <w:p w14:paraId="19880968"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у разматрању</w:t>
            </w:r>
          </w:p>
        </w:tc>
        <w:tc>
          <w:tcPr>
            <w:tcW w:w="325" w:type="pct"/>
            <w:tcBorders>
              <w:top w:val="nil"/>
              <w:left w:val="nil"/>
              <w:bottom w:val="single" w:sz="4" w:space="0" w:color="auto"/>
              <w:right w:val="single" w:sz="4" w:space="0" w:color="auto"/>
            </w:tcBorders>
            <w:shd w:val="clear" w:color="000000" w:fill="ED7D31"/>
            <w:vAlign w:val="center"/>
            <w:hideMark/>
          </w:tcPr>
          <w:p w14:paraId="12DDA317"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06" w:type="pct"/>
            <w:tcBorders>
              <w:top w:val="nil"/>
              <w:left w:val="nil"/>
              <w:bottom w:val="single" w:sz="4" w:space="0" w:color="auto"/>
              <w:right w:val="single" w:sz="4" w:space="0" w:color="auto"/>
            </w:tcBorders>
            <w:shd w:val="clear" w:color="000000" w:fill="ED7D31"/>
            <w:vAlign w:val="center"/>
            <w:hideMark/>
          </w:tcPr>
          <w:p w14:paraId="5BC667B2"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40" w:type="pct"/>
            <w:tcBorders>
              <w:top w:val="nil"/>
              <w:left w:val="nil"/>
              <w:bottom w:val="single" w:sz="4" w:space="0" w:color="auto"/>
              <w:right w:val="single" w:sz="4" w:space="0" w:color="auto"/>
            </w:tcBorders>
            <w:shd w:val="clear" w:color="000000" w:fill="E2EFDA"/>
            <w:vAlign w:val="center"/>
            <w:hideMark/>
          </w:tcPr>
          <w:p w14:paraId="6584F64C"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20" w:type="pct"/>
            <w:tcBorders>
              <w:top w:val="nil"/>
              <w:left w:val="nil"/>
              <w:bottom w:val="single" w:sz="4" w:space="0" w:color="auto"/>
              <w:right w:val="single" w:sz="4" w:space="0" w:color="auto"/>
            </w:tcBorders>
            <w:shd w:val="clear" w:color="000000" w:fill="E2EFDA"/>
            <w:vAlign w:val="center"/>
            <w:hideMark/>
          </w:tcPr>
          <w:p w14:paraId="38E9AB42"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464" w:type="pct"/>
            <w:tcBorders>
              <w:top w:val="nil"/>
              <w:left w:val="nil"/>
              <w:bottom w:val="single" w:sz="4" w:space="0" w:color="auto"/>
              <w:right w:val="single" w:sz="4" w:space="0" w:color="auto"/>
            </w:tcBorders>
            <w:shd w:val="clear" w:color="000000" w:fill="ED7D31"/>
            <w:vAlign w:val="center"/>
            <w:hideMark/>
          </w:tcPr>
          <w:p w14:paraId="775BE129"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D064DD" w:rsidRPr="00975EE5" w14:paraId="4E7F7BEB"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2FDE37A2"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7B08FF70"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МП_EE37</w:t>
            </w:r>
          </w:p>
        </w:tc>
        <w:tc>
          <w:tcPr>
            <w:tcW w:w="1336" w:type="pct"/>
            <w:tcBorders>
              <w:top w:val="nil"/>
              <w:left w:val="nil"/>
              <w:bottom w:val="single" w:sz="4" w:space="0" w:color="auto"/>
              <w:right w:val="single" w:sz="4" w:space="0" w:color="auto"/>
            </w:tcBorders>
            <w:shd w:val="clear" w:color="auto" w:fill="auto"/>
            <w:vAlign w:val="center"/>
            <w:hideMark/>
          </w:tcPr>
          <w:p w14:paraId="233C77BB"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Јачање техничких и административних капацитета креатора политика</w:t>
            </w:r>
          </w:p>
        </w:tc>
        <w:tc>
          <w:tcPr>
            <w:tcW w:w="353" w:type="pct"/>
            <w:tcBorders>
              <w:top w:val="nil"/>
              <w:left w:val="nil"/>
              <w:bottom w:val="single" w:sz="4" w:space="0" w:color="auto"/>
              <w:right w:val="single" w:sz="4" w:space="0" w:color="auto"/>
            </w:tcBorders>
            <w:shd w:val="clear" w:color="auto" w:fill="auto"/>
            <w:vAlign w:val="center"/>
            <w:hideMark/>
          </w:tcPr>
          <w:p w14:paraId="61CA0724"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auto" w:fill="auto"/>
            <w:vAlign w:val="center"/>
            <w:hideMark/>
          </w:tcPr>
          <w:p w14:paraId="1E80D17D" w14:textId="2D14354E"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Буџет интегрисан у све мере финалне потрошње</w:t>
            </w:r>
          </w:p>
        </w:tc>
        <w:tc>
          <w:tcPr>
            <w:tcW w:w="458" w:type="pct"/>
            <w:tcBorders>
              <w:top w:val="nil"/>
              <w:left w:val="nil"/>
              <w:bottom w:val="single" w:sz="4" w:space="0" w:color="auto"/>
              <w:right w:val="single" w:sz="4" w:space="0" w:color="auto"/>
            </w:tcBorders>
            <w:shd w:val="clear" w:color="000000" w:fill="595959"/>
            <w:vAlign w:val="center"/>
            <w:hideMark/>
          </w:tcPr>
          <w:p w14:paraId="4EF160FB"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25" w:type="pct"/>
            <w:tcBorders>
              <w:top w:val="nil"/>
              <w:left w:val="nil"/>
              <w:bottom w:val="single" w:sz="4" w:space="0" w:color="auto"/>
              <w:right w:val="single" w:sz="4" w:space="0" w:color="auto"/>
            </w:tcBorders>
            <w:shd w:val="clear" w:color="000000" w:fill="595959"/>
            <w:vAlign w:val="center"/>
            <w:hideMark/>
          </w:tcPr>
          <w:p w14:paraId="1D225C58"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06" w:type="pct"/>
            <w:tcBorders>
              <w:top w:val="nil"/>
              <w:left w:val="nil"/>
              <w:bottom w:val="single" w:sz="4" w:space="0" w:color="auto"/>
              <w:right w:val="single" w:sz="4" w:space="0" w:color="auto"/>
            </w:tcBorders>
            <w:shd w:val="clear" w:color="000000" w:fill="595959"/>
            <w:noWrap/>
            <w:vAlign w:val="bottom"/>
            <w:hideMark/>
          </w:tcPr>
          <w:p w14:paraId="4A3D69AB"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40" w:type="pct"/>
            <w:tcBorders>
              <w:top w:val="nil"/>
              <w:left w:val="nil"/>
              <w:bottom w:val="single" w:sz="4" w:space="0" w:color="auto"/>
              <w:right w:val="single" w:sz="4" w:space="0" w:color="auto"/>
            </w:tcBorders>
            <w:shd w:val="clear" w:color="000000" w:fill="E2EFDA"/>
            <w:vAlign w:val="center"/>
            <w:hideMark/>
          </w:tcPr>
          <w:p w14:paraId="310BACD3"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20" w:type="pct"/>
            <w:tcBorders>
              <w:top w:val="nil"/>
              <w:left w:val="nil"/>
              <w:bottom w:val="single" w:sz="4" w:space="0" w:color="auto"/>
              <w:right w:val="single" w:sz="4" w:space="0" w:color="auto"/>
            </w:tcBorders>
            <w:shd w:val="clear" w:color="000000" w:fill="595959"/>
            <w:vAlign w:val="center"/>
            <w:hideMark/>
          </w:tcPr>
          <w:p w14:paraId="27F1DD1E"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64" w:type="pct"/>
            <w:tcBorders>
              <w:top w:val="nil"/>
              <w:left w:val="nil"/>
              <w:bottom w:val="single" w:sz="4" w:space="0" w:color="auto"/>
              <w:right w:val="single" w:sz="4" w:space="0" w:color="auto"/>
            </w:tcBorders>
            <w:shd w:val="clear" w:color="000000" w:fill="595959"/>
            <w:noWrap/>
            <w:vAlign w:val="bottom"/>
            <w:hideMark/>
          </w:tcPr>
          <w:p w14:paraId="04BC7FCD"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r>
      <w:tr w:rsidR="00D064DD" w:rsidRPr="00975EE5" w14:paraId="6580978F"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0BC1B2CD"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20F52071"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МП_EE38</w:t>
            </w:r>
          </w:p>
        </w:tc>
        <w:tc>
          <w:tcPr>
            <w:tcW w:w="1336" w:type="pct"/>
            <w:tcBorders>
              <w:top w:val="nil"/>
              <w:left w:val="nil"/>
              <w:bottom w:val="single" w:sz="4" w:space="0" w:color="auto"/>
              <w:right w:val="single" w:sz="4" w:space="0" w:color="auto"/>
            </w:tcBorders>
            <w:shd w:val="clear" w:color="auto" w:fill="auto"/>
            <w:vAlign w:val="center"/>
            <w:hideMark/>
          </w:tcPr>
          <w:p w14:paraId="76EA4AD7"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Развој одрживог и иновативног начина финансирања пројеката енергетске ефикасности</w:t>
            </w:r>
          </w:p>
        </w:tc>
        <w:tc>
          <w:tcPr>
            <w:tcW w:w="353" w:type="pct"/>
            <w:tcBorders>
              <w:top w:val="nil"/>
              <w:left w:val="nil"/>
              <w:bottom w:val="single" w:sz="4" w:space="0" w:color="auto"/>
              <w:right w:val="single" w:sz="4" w:space="0" w:color="auto"/>
            </w:tcBorders>
            <w:shd w:val="clear" w:color="auto" w:fill="auto"/>
            <w:vAlign w:val="center"/>
            <w:hideMark/>
          </w:tcPr>
          <w:p w14:paraId="1546185D"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auto" w:fill="auto"/>
            <w:vAlign w:val="center"/>
            <w:hideMark/>
          </w:tcPr>
          <w:p w14:paraId="3D215DCF" w14:textId="3D82CBBD"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Буџет интегрисан у све мере финалне потрошње</w:t>
            </w:r>
          </w:p>
        </w:tc>
        <w:tc>
          <w:tcPr>
            <w:tcW w:w="458" w:type="pct"/>
            <w:tcBorders>
              <w:top w:val="nil"/>
              <w:left w:val="nil"/>
              <w:bottom w:val="single" w:sz="4" w:space="0" w:color="auto"/>
              <w:right w:val="single" w:sz="4" w:space="0" w:color="auto"/>
            </w:tcBorders>
            <w:shd w:val="clear" w:color="000000" w:fill="595959"/>
            <w:vAlign w:val="center"/>
            <w:hideMark/>
          </w:tcPr>
          <w:p w14:paraId="4418A69D"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25" w:type="pct"/>
            <w:tcBorders>
              <w:top w:val="nil"/>
              <w:left w:val="nil"/>
              <w:bottom w:val="single" w:sz="4" w:space="0" w:color="auto"/>
              <w:right w:val="single" w:sz="4" w:space="0" w:color="auto"/>
            </w:tcBorders>
            <w:shd w:val="clear" w:color="000000" w:fill="595959"/>
            <w:vAlign w:val="center"/>
            <w:hideMark/>
          </w:tcPr>
          <w:p w14:paraId="00BCBBC4"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06" w:type="pct"/>
            <w:tcBorders>
              <w:top w:val="nil"/>
              <w:left w:val="nil"/>
              <w:bottom w:val="single" w:sz="4" w:space="0" w:color="auto"/>
              <w:right w:val="single" w:sz="4" w:space="0" w:color="auto"/>
            </w:tcBorders>
            <w:shd w:val="clear" w:color="000000" w:fill="595959"/>
            <w:noWrap/>
            <w:vAlign w:val="bottom"/>
            <w:hideMark/>
          </w:tcPr>
          <w:p w14:paraId="637C02CD"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40" w:type="pct"/>
            <w:tcBorders>
              <w:top w:val="nil"/>
              <w:left w:val="nil"/>
              <w:bottom w:val="single" w:sz="4" w:space="0" w:color="auto"/>
              <w:right w:val="single" w:sz="4" w:space="0" w:color="auto"/>
            </w:tcBorders>
            <w:shd w:val="clear" w:color="000000" w:fill="E2EFDA"/>
            <w:vAlign w:val="center"/>
            <w:hideMark/>
          </w:tcPr>
          <w:p w14:paraId="27845FF2"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20" w:type="pct"/>
            <w:tcBorders>
              <w:top w:val="nil"/>
              <w:left w:val="nil"/>
              <w:bottom w:val="single" w:sz="4" w:space="0" w:color="auto"/>
              <w:right w:val="single" w:sz="4" w:space="0" w:color="auto"/>
            </w:tcBorders>
            <w:shd w:val="clear" w:color="000000" w:fill="595959"/>
            <w:vAlign w:val="center"/>
            <w:hideMark/>
          </w:tcPr>
          <w:p w14:paraId="1C619451"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64" w:type="pct"/>
            <w:tcBorders>
              <w:top w:val="nil"/>
              <w:left w:val="nil"/>
              <w:bottom w:val="single" w:sz="4" w:space="0" w:color="auto"/>
              <w:right w:val="single" w:sz="4" w:space="0" w:color="auto"/>
            </w:tcBorders>
            <w:shd w:val="clear" w:color="000000" w:fill="595959"/>
            <w:noWrap/>
            <w:vAlign w:val="bottom"/>
            <w:hideMark/>
          </w:tcPr>
          <w:p w14:paraId="6683B340"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r>
      <w:tr w:rsidR="00D064DD" w:rsidRPr="00975EE5" w14:paraId="62329ED4"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114325B7"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580A8C03"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МП_EE39</w:t>
            </w:r>
          </w:p>
        </w:tc>
        <w:tc>
          <w:tcPr>
            <w:tcW w:w="1336" w:type="pct"/>
            <w:tcBorders>
              <w:top w:val="nil"/>
              <w:left w:val="nil"/>
              <w:bottom w:val="single" w:sz="4" w:space="0" w:color="auto"/>
              <w:right w:val="single" w:sz="4" w:space="0" w:color="auto"/>
            </w:tcBorders>
            <w:shd w:val="clear" w:color="auto" w:fill="auto"/>
            <w:vAlign w:val="center"/>
            <w:hideMark/>
          </w:tcPr>
          <w:p w14:paraId="27AA2137"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Унапређење исплативости пројеката енергетске ефикасности</w:t>
            </w:r>
          </w:p>
        </w:tc>
        <w:tc>
          <w:tcPr>
            <w:tcW w:w="353" w:type="pct"/>
            <w:tcBorders>
              <w:top w:val="nil"/>
              <w:left w:val="nil"/>
              <w:bottom w:val="single" w:sz="4" w:space="0" w:color="auto"/>
              <w:right w:val="single" w:sz="4" w:space="0" w:color="auto"/>
            </w:tcBorders>
            <w:shd w:val="clear" w:color="auto" w:fill="auto"/>
            <w:vAlign w:val="center"/>
            <w:hideMark/>
          </w:tcPr>
          <w:p w14:paraId="44C8F174"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auto" w:fill="auto"/>
            <w:vAlign w:val="center"/>
            <w:hideMark/>
          </w:tcPr>
          <w:p w14:paraId="6BE3CB00" w14:textId="1B31B20E"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Буџет интегрисан у све мере финалне потрошње</w:t>
            </w:r>
          </w:p>
        </w:tc>
        <w:tc>
          <w:tcPr>
            <w:tcW w:w="458" w:type="pct"/>
            <w:tcBorders>
              <w:top w:val="nil"/>
              <w:left w:val="nil"/>
              <w:bottom w:val="single" w:sz="4" w:space="0" w:color="auto"/>
              <w:right w:val="single" w:sz="4" w:space="0" w:color="auto"/>
            </w:tcBorders>
            <w:shd w:val="clear" w:color="000000" w:fill="595959"/>
            <w:vAlign w:val="center"/>
            <w:hideMark/>
          </w:tcPr>
          <w:p w14:paraId="1CEFB35E"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25" w:type="pct"/>
            <w:tcBorders>
              <w:top w:val="nil"/>
              <w:left w:val="nil"/>
              <w:bottom w:val="single" w:sz="4" w:space="0" w:color="auto"/>
              <w:right w:val="single" w:sz="4" w:space="0" w:color="auto"/>
            </w:tcBorders>
            <w:shd w:val="clear" w:color="000000" w:fill="595959"/>
            <w:vAlign w:val="center"/>
            <w:hideMark/>
          </w:tcPr>
          <w:p w14:paraId="32C0D412"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06" w:type="pct"/>
            <w:tcBorders>
              <w:top w:val="nil"/>
              <w:left w:val="nil"/>
              <w:bottom w:val="single" w:sz="4" w:space="0" w:color="auto"/>
              <w:right w:val="single" w:sz="4" w:space="0" w:color="auto"/>
            </w:tcBorders>
            <w:shd w:val="clear" w:color="000000" w:fill="595959"/>
            <w:noWrap/>
            <w:vAlign w:val="bottom"/>
            <w:hideMark/>
          </w:tcPr>
          <w:p w14:paraId="2A9495D9"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40" w:type="pct"/>
            <w:tcBorders>
              <w:top w:val="nil"/>
              <w:left w:val="nil"/>
              <w:bottom w:val="single" w:sz="4" w:space="0" w:color="auto"/>
              <w:right w:val="single" w:sz="4" w:space="0" w:color="auto"/>
            </w:tcBorders>
            <w:shd w:val="clear" w:color="000000" w:fill="E2EFDA"/>
            <w:vAlign w:val="center"/>
            <w:hideMark/>
          </w:tcPr>
          <w:p w14:paraId="21458179"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20" w:type="pct"/>
            <w:tcBorders>
              <w:top w:val="nil"/>
              <w:left w:val="nil"/>
              <w:bottom w:val="single" w:sz="4" w:space="0" w:color="auto"/>
              <w:right w:val="single" w:sz="4" w:space="0" w:color="auto"/>
            </w:tcBorders>
            <w:shd w:val="clear" w:color="000000" w:fill="595959"/>
            <w:vAlign w:val="center"/>
            <w:hideMark/>
          </w:tcPr>
          <w:p w14:paraId="0284B80E"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64" w:type="pct"/>
            <w:tcBorders>
              <w:top w:val="nil"/>
              <w:left w:val="nil"/>
              <w:bottom w:val="single" w:sz="4" w:space="0" w:color="auto"/>
              <w:right w:val="single" w:sz="4" w:space="0" w:color="auto"/>
            </w:tcBorders>
            <w:shd w:val="clear" w:color="000000" w:fill="595959"/>
            <w:noWrap/>
            <w:vAlign w:val="bottom"/>
            <w:hideMark/>
          </w:tcPr>
          <w:p w14:paraId="3895B44C"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r>
      <w:tr w:rsidR="00D064DD" w:rsidRPr="00975EE5" w14:paraId="7D36DB19"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4B0405FA"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7466354A"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МП_EE40</w:t>
            </w:r>
          </w:p>
        </w:tc>
        <w:tc>
          <w:tcPr>
            <w:tcW w:w="1336" w:type="pct"/>
            <w:tcBorders>
              <w:top w:val="nil"/>
              <w:left w:val="nil"/>
              <w:bottom w:val="single" w:sz="4" w:space="0" w:color="auto"/>
              <w:right w:val="single" w:sz="4" w:space="0" w:color="auto"/>
            </w:tcBorders>
            <w:shd w:val="clear" w:color="auto" w:fill="auto"/>
            <w:vAlign w:val="center"/>
            <w:hideMark/>
          </w:tcPr>
          <w:p w14:paraId="10174030"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Увођење напредних мерних уређаја (синергија са димензијом тржишта енергије)</w:t>
            </w:r>
          </w:p>
        </w:tc>
        <w:tc>
          <w:tcPr>
            <w:tcW w:w="353" w:type="pct"/>
            <w:tcBorders>
              <w:top w:val="nil"/>
              <w:left w:val="nil"/>
              <w:bottom w:val="single" w:sz="4" w:space="0" w:color="auto"/>
              <w:right w:val="single" w:sz="4" w:space="0" w:color="auto"/>
            </w:tcBorders>
            <w:shd w:val="clear" w:color="auto" w:fill="auto"/>
            <w:vAlign w:val="center"/>
            <w:hideMark/>
          </w:tcPr>
          <w:p w14:paraId="67061EEB"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70DD0106"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Буџет интегрисан у све мере финалне потрошње</w:t>
            </w:r>
          </w:p>
        </w:tc>
        <w:tc>
          <w:tcPr>
            <w:tcW w:w="458" w:type="pct"/>
            <w:tcBorders>
              <w:top w:val="nil"/>
              <w:left w:val="nil"/>
              <w:bottom w:val="single" w:sz="4" w:space="0" w:color="auto"/>
              <w:right w:val="single" w:sz="4" w:space="0" w:color="auto"/>
            </w:tcBorders>
            <w:shd w:val="clear" w:color="000000" w:fill="595959"/>
            <w:vAlign w:val="center"/>
            <w:hideMark/>
          </w:tcPr>
          <w:p w14:paraId="697D3358"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25" w:type="pct"/>
            <w:tcBorders>
              <w:top w:val="nil"/>
              <w:left w:val="nil"/>
              <w:bottom w:val="single" w:sz="4" w:space="0" w:color="auto"/>
              <w:right w:val="single" w:sz="4" w:space="0" w:color="auto"/>
            </w:tcBorders>
            <w:shd w:val="clear" w:color="000000" w:fill="595959"/>
            <w:vAlign w:val="center"/>
            <w:hideMark/>
          </w:tcPr>
          <w:p w14:paraId="0327B407"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06" w:type="pct"/>
            <w:tcBorders>
              <w:top w:val="nil"/>
              <w:left w:val="nil"/>
              <w:bottom w:val="single" w:sz="4" w:space="0" w:color="auto"/>
              <w:right w:val="single" w:sz="4" w:space="0" w:color="auto"/>
            </w:tcBorders>
            <w:shd w:val="clear" w:color="000000" w:fill="595959"/>
            <w:noWrap/>
            <w:vAlign w:val="bottom"/>
            <w:hideMark/>
          </w:tcPr>
          <w:p w14:paraId="25322A17"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40" w:type="pct"/>
            <w:tcBorders>
              <w:top w:val="nil"/>
              <w:left w:val="nil"/>
              <w:bottom w:val="single" w:sz="4" w:space="0" w:color="auto"/>
              <w:right w:val="single" w:sz="4" w:space="0" w:color="auto"/>
            </w:tcBorders>
            <w:shd w:val="clear" w:color="000000" w:fill="E2EFDA"/>
            <w:vAlign w:val="center"/>
            <w:hideMark/>
          </w:tcPr>
          <w:p w14:paraId="10857B05"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20" w:type="pct"/>
            <w:tcBorders>
              <w:top w:val="nil"/>
              <w:left w:val="nil"/>
              <w:bottom w:val="single" w:sz="4" w:space="0" w:color="auto"/>
              <w:right w:val="single" w:sz="4" w:space="0" w:color="auto"/>
            </w:tcBorders>
            <w:shd w:val="clear" w:color="000000" w:fill="595959"/>
            <w:vAlign w:val="center"/>
            <w:hideMark/>
          </w:tcPr>
          <w:p w14:paraId="6BCD1DF2"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64" w:type="pct"/>
            <w:tcBorders>
              <w:top w:val="nil"/>
              <w:left w:val="nil"/>
              <w:bottom w:val="single" w:sz="4" w:space="0" w:color="auto"/>
              <w:right w:val="single" w:sz="4" w:space="0" w:color="auto"/>
            </w:tcBorders>
            <w:shd w:val="clear" w:color="000000" w:fill="595959"/>
            <w:noWrap/>
            <w:vAlign w:val="bottom"/>
            <w:hideMark/>
          </w:tcPr>
          <w:p w14:paraId="3702B06B"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r>
      <w:tr w:rsidR="00D064DD" w:rsidRPr="00975EE5" w14:paraId="6363095F"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3C80534E"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2208AFAE"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МП_EE41</w:t>
            </w:r>
          </w:p>
        </w:tc>
        <w:tc>
          <w:tcPr>
            <w:tcW w:w="1336" w:type="pct"/>
            <w:tcBorders>
              <w:top w:val="nil"/>
              <w:left w:val="nil"/>
              <w:bottom w:val="single" w:sz="4" w:space="0" w:color="auto"/>
              <w:right w:val="single" w:sz="4" w:space="0" w:color="auto"/>
            </w:tcBorders>
            <w:shd w:val="clear" w:color="auto" w:fill="auto"/>
            <w:vAlign w:val="center"/>
            <w:hideMark/>
          </w:tcPr>
          <w:p w14:paraId="42485F9B"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Промовисање паметних и угљенично неутралних градова</w:t>
            </w:r>
          </w:p>
        </w:tc>
        <w:tc>
          <w:tcPr>
            <w:tcW w:w="353" w:type="pct"/>
            <w:tcBorders>
              <w:top w:val="nil"/>
              <w:left w:val="nil"/>
              <w:bottom w:val="single" w:sz="4" w:space="0" w:color="auto"/>
              <w:right w:val="single" w:sz="4" w:space="0" w:color="auto"/>
            </w:tcBorders>
            <w:shd w:val="clear" w:color="auto" w:fill="auto"/>
            <w:vAlign w:val="center"/>
            <w:hideMark/>
          </w:tcPr>
          <w:p w14:paraId="6D889C64"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68" w:type="pct"/>
            <w:tcBorders>
              <w:top w:val="nil"/>
              <w:left w:val="nil"/>
              <w:bottom w:val="single" w:sz="4" w:space="0" w:color="auto"/>
              <w:right w:val="single" w:sz="4" w:space="0" w:color="auto"/>
            </w:tcBorders>
            <w:shd w:val="clear" w:color="auto" w:fill="auto"/>
            <w:vAlign w:val="center"/>
            <w:hideMark/>
          </w:tcPr>
          <w:p w14:paraId="2CE4956D" w14:textId="35E001AA"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xml:space="preserve">Буџет интегрисан у </w:t>
            </w:r>
            <w:r w:rsidRPr="00975EE5">
              <w:rPr>
                <w:rFonts w:ascii="Calibri" w:eastAsia="Times New Roman" w:hAnsi="Calibri" w:cs="Calibri"/>
                <w:color w:val="000000"/>
                <w:sz w:val="14"/>
                <w:szCs w:val="14"/>
              </w:rPr>
              <w:lastRenderedPageBreak/>
              <w:t>све мере финалне потрошње</w:t>
            </w:r>
          </w:p>
        </w:tc>
        <w:tc>
          <w:tcPr>
            <w:tcW w:w="458" w:type="pct"/>
            <w:tcBorders>
              <w:top w:val="nil"/>
              <w:left w:val="nil"/>
              <w:bottom w:val="single" w:sz="4" w:space="0" w:color="auto"/>
              <w:right w:val="single" w:sz="4" w:space="0" w:color="auto"/>
            </w:tcBorders>
            <w:shd w:val="clear" w:color="000000" w:fill="595959"/>
            <w:vAlign w:val="center"/>
            <w:hideMark/>
          </w:tcPr>
          <w:p w14:paraId="58453C0E"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lastRenderedPageBreak/>
              <w:t> </w:t>
            </w:r>
          </w:p>
        </w:tc>
        <w:tc>
          <w:tcPr>
            <w:tcW w:w="325" w:type="pct"/>
            <w:tcBorders>
              <w:top w:val="nil"/>
              <w:left w:val="nil"/>
              <w:bottom w:val="single" w:sz="4" w:space="0" w:color="auto"/>
              <w:right w:val="single" w:sz="4" w:space="0" w:color="auto"/>
            </w:tcBorders>
            <w:shd w:val="clear" w:color="000000" w:fill="595959"/>
            <w:vAlign w:val="center"/>
            <w:hideMark/>
          </w:tcPr>
          <w:p w14:paraId="731DCD88"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06" w:type="pct"/>
            <w:tcBorders>
              <w:top w:val="nil"/>
              <w:left w:val="nil"/>
              <w:bottom w:val="single" w:sz="4" w:space="0" w:color="auto"/>
              <w:right w:val="single" w:sz="4" w:space="0" w:color="auto"/>
            </w:tcBorders>
            <w:shd w:val="clear" w:color="000000" w:fill="595959"/>
            <w:noWrap/>
            <w:vAlign w:val="bottom"/>
            <w:hideMark/>
          </w:tcPr>
          <w:p w14:paraId="5962E28D"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40" w:type="pct"/>
            <w:tcBorders>
              <w:top w:val="nil"/>
              <w:left w:val="nil"/>
              <w:bottom w:val="single" w:sz="4" w:space="0" w:color="auto"/>
              <w:right w:val="single" w:sz="4" w:space="0" w:color="auto"/>
            </w:tcBorders>
            <w:shd w:val="clear" w:color="000000" w:fill="E2EFDA"/>
            <w:vAlign w:val="center"/>
            <w:hideMark/>
          </w:tcPr>
          <w:p w14:paraId="419A16B6"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20" w:type="pct"/>
            <w:tcBorders>
              <w:top w:val="nil"/>
              <w:left w:val="nil"/>
              <w:bottom w:val="single" w:sz="4" w:space="0" w:color="auto"/>
              <w:right w:val="single" w:sz="4" w:space="0" w:color="auto"/>
            </w:tcBorders>
            <w:shd w:val="clear" w:color="000000" w:fill="595959"/>
            <w:vAlign w:val="center"/>
            <w:hideMark/>
          </w:tcPr>
          <w:p w14:paraId="4F6615A3"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64" w:type="pct"/>
            <w:tcBorders>
              <w:top w:val="nil"/>
              <w:left w:val="nil"/>
              <w:bottom w:val="single" w:sz="4" w:space="0" w:color="auto"/>
              <w:right w:val="single" w:sz="4" w:space="0" w:color="auto"/>
            </w:tcBorders>
            <w:shd w:val="clear" w:color="000000" w:fill="595959"/>
            <w:noWrap/>
            <w:vAlign w:val="bottom"/>
            <w:hideMark/>
          </w:tcPr>
          <w:p w14:paraId="1A590009"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r>
      <w:tr w:rsidR="00D064DD" w:rsidRPr="00975EE5" w14:paraId="466952FB"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696B72E0"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5A22F4C2"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МП_EE42</w:t>
            </w:r>
          </w:p>
        </w:tc>
        <w:tc>
          <w:tcPr>
            <w:tcW w:w="1336" w:type="pct"/>
            <w:tcBorders>
              <w:top w:val="nil"/>
              <w:left w:val="nil"/>
              <w:bottom w:val="single" w:sz="4" w:space="0" w:color="auto"/>
              <w:right w:val="single" w:sz="4" w:space="0" w:color="auto"/>
            </w:tcBorders>
            <w:shd w:val="clear" w:color="auto" w:fill="auto"/>
            <w:vAlign w:val="center"/>
            <w:hideMark/>
          </w:tcPr>
          <w:p w14:paraId="0A149A36"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Промовисање мера за унапређење енергетске ефикасности у електроенергетској инфраструктури</w:t>
            </w:r>
          </w:p>
        </w:tc>
        <w:tc>
          <w:tcPr>
            <w:tcW w:w="353" w:type="pct"/>
            <w:tcBorders>
              <w:top w:val="nil"/>
              <w:left w:val="nil"/>
              <w:bottom w:val="single" w:sz="4" w:space="0" w:color="auto"/>
              <w:right w:val="single" w:sz="4" w:space="0" w:color="auto"/>
            </w:tcBorders>
            <w:shd w:val="clear" w:color="auto" w:fill="auto"/>
            <w:vAlign w:val="center"/>
            <w:hideMark/>
          </w:tcPr>
          <w:p w14:paraId="536CB407"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auto" w:fill="auto"/>
            <w:noWrap/>
            <w:vAlign w:val="bottom"/>
            <w:hideMark/>
          </w:tcPr>
          <w:p w14:paraId="0C43430B"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58" w:type="pct"/>
            <w:tcBorders>
              <w:top w:val="nil"/>
              <w:left w:val="nil"/>
              <w:bottom w:val="single" w:sz="4" w:space="0" w:color="auto"/>
              <w:right w:val="single" w:sz="4" w:space="0" w:color="auto"/>
            </w:tcBorders>
            <w:shd w:val="clear" w:color="000000" w:fill="ED7D31"/>
            <w:vAlign w:val="center"/>
            <w:hideMark/>
          </w:tcPr>
          <w:p w14:paraId="0B6FAFF3"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у разматрању</w:t>
            </w:r>
          </w:p>
        </w:tc>
        <w:tc>
          <w:tcPr>
            <w:tcW w:w="325" w:type="pct"/>
            <w:tcBorders>
              <w:top w:val="nil"/>
              <w:left w:val="nil"/>
              <w:bottom w:val="single" w:sz="4" w:space="0" w:color="auto"/>
              <w:right w:val="single" w:sz="4" w:space="0" w:color="auto"/>
            </w:tcBorders>
            <w:shd w:val="clear" w:color="000000" w:fill="ED7D31"/>
            <w:vAlign w:val="center"/>
            <w:hideMark/>
          </w:tcPr>
          <w:p w14:paraId="56BDC488"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06" w:type="pct"/>
            <w:tcBorders>
              <w:top w:val="nil"/>
              <w:left w:val="nil"/>
              <w:bottom w:val="single" w:sz="4" w:space="0" w:color="auto"/>
              <w:right w:val="single" w:sz="4" w:space="0" w:color="auto"/>
            </w:tcBorders>
            <w:shd w:val="clear" w:color="000000" w:fill="ED7D31"/>
            <w:vAlign w:val="center"/>
            <w:hideMark/>
          </w:tcPr>
          <w:p w14:paraId="49298BA5"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40" w:type="pct"/>
            <w:tcBorders>
              <w:top w:val="nil"/>
              <w:left w:val="nil"/>
              <w:bottom w:val="single" w:sz="4" w:space="0" w:color="auto"/>
              <w:right w:val="single" w:sz="4" w:space="0" w:color="auto"/>
            </w:tcBorders>
            <w:shd w:val="clear" w:color="000000" w:fill="E2EFDA"/>
            <w:vAlign w:val="center"/>
            <w:hideMark/>
          </w:tcPr>
          <w:p w14:paraId="59DF048B"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 WAM (унапређење, прилагођавање)</w:t>
            </w:r>
          </w:p>
        </w:tc>
        <w:tc>
          <w:tcPr>
            <w:tcW w:w="320" w:type="pct"/>
            <w:tcBorders>
              <w:top w:val="nil"/>
              <w:left w:val="nil"/>
              <w:bottom w:val="single" w:sz="4" w:space="0" w:color="auto"/>
              <w:right w:val="single" w:sz="4" w:space="0" w:color="auto"/>
            </w:tcBorders>
            <w:shd w:val="clear" w:color="000000" w:fill="ED7D31"/>
            <w:vAlign w:val="center"/>
            <w:hideMark/>
          </w:tcPr>
          <w:p w14:paraId="5BBE2CE6"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464" w:type="pct"/>
            <w:tcBorders>
              <w:top w:val="nil"/>
              <w:left w:val="nil"/>
              <w:bottom w:val="single" w:sz="4" w:space="0" w:color="auto"/>
              <w:right w:val="single" w:sz="4" w:space="0" w:color="auto"/>
            </w:tcBorders>
            <w:shd w:val="clear" w:color="000000" w:fill="ED7D31"/>
            <w:vAlign w:val="center"/>
            <w:hideMark/>
          </w:tcPr>
          <w:p w14:paraId="29CD5CAE"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D064DD" w:rsidRPr="00975EE5" w14:paraId="1701A104"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51A143DE"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32B58FF0"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МП_EE43</w:t>
            </w:r>
          </w:p>
        </w:tc>
        <w:tc>
          <w:tcPr>
            <w:tcW w:w="1336" w:type="pct"/>
            <w:tcBorders>
              <w:top w:val="nil"/>
              <w:left w:val="nil"/>
              <w:bottom w:val="single" w:sz="4" w:space="0" w:color="auto"/>
              <w:right w:val="single" w:sz="4" w:space="0" w:color="auto"/>
            </w:tcBorders>
            <w:shd w:val="clear" w:color="auto" w:fill="auto"/>
            <w:vAlign w:val="center"/>
            <w:hideMark/>
          </w:tcPr>
          <w:p w14:paraId="7A5FC06D"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Промовисање мера за унапређење енергетске ефикасности у инфраструктури природног гаса</w:t>
            </w:r>
          </w:p>
        </w:tc>
        <w:tc>
          <w:tcPr>
            <w:tcW w:w="353" w:type="pct"/>
            <w:tcBorders>
              <w:top w:val="nil"/>
              <w:left w:val="nil"/>
              <w:bottom w:val="single" w:sz="4" w:space="0" w:color="auto"/>
              <w:right w:val="single" w:sz="4" w:space="0" w:color="auto"/>
            </w:tcBorders>
            <w:shd w:val="clear" w:color="auto" w:fill="auto"/>
            <w:vAlign w:val="center"/>
            <w:hideMark/>
          </w:tcPr>
          <w:p w14:paraId="4666186C"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auto" w:fill="auto"/>
            <w:vAlign w:val="center"/>
            <w:hideMark/>
          </w:tcPr>
          <w:p w14:paraId="55C3C6C4"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58" w:type="pct"/>
            <w:tcBorders>
              <w:top w:val="nil"/>
              <w:left w:val="nil"/>
              <w:bottom w:val="single" w:sz="4" w:space="0" w:color="auto"/>
              <w:right w:val="single" w:sz="4" w:space="0" w:color="auto"/>
            </w:tcBorders>
            <w:shd w:val="clear" w:color="000000" w:fill="ED7D31"/>
            <w:vAlign w:val="center"/>
            <w:hideMark/>
          </w:tcPr>
          <w:p w14:paraId="52AD3DBF"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у разматрању</w:t>
            </w:r>
          </w:p>
        </w:tc>
        <w:tc>
          <w:tcPr>
            <w:tcW w:w="325" w:type="pct"/>
            <w:tcBorders>
              <w:top w:val="nil"/>
              <w:left w:val="nil"/>
              <w:bottom w:val="single" w:sz="4" w:space="0" w:color="auto"/>
              <w:right w:val="single" w:sz="4" w:space="0" w:color="auto"/>
            </w:tcBorders>
            <w:shd w:val="clear" w:color="000000" w:fill="ED7D31"/>
            <w:vAlign w:val="center"/>
            <w:hideMark/>
          </w:tcPr>
          <w:p w14:paraId="5B269B7B"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06" w:type="pct"/>
            <w:tcBorders>
              <w:top w:val="nil"/>
              <w:left w:val="nil"/>
              <w:bottom w:val="single" w:sz="4" w:space="0" w:color="auto"/>
              <w:right w:val="single" w:sz="4" w:space="0" w:color="auto"/>
            </w:tcBorders>
            <w:shd w:val="clear" w:color="000000" w:fill="ED7D31"/>
            <w:vAlign w:val="center"/>
            <w:hideMark/>
          </w:tcPr>
          <w:p w14:paraId="7327A861"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40" w:type="pct"/>
            <w:tcBorders>
              <w:top w:val="nil"/>
              <w:left w:val="nil"/>
              <w:bottom w:val="single" w:sz="4" w:space="0" w:color="auto"/>
              <w:right w:val="single" w:sz="4" w:space="0" w:color="auto"/>
            </w:tcBorders>
            <w:shd w:val="clear" w:color="000000" w:fill="E2EFDA"/>
            <w:vAlign w:val="center"/>
            <w:hideMark/>
          </w:tcPr>
          <w:p w14:paraId="53738441"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 WAM (унапређење, прилагођавање)</w:t>
            </w:r>
          </w:p>
        </w:tc>
        <w:tc>
          <w:tcPr>
            <w:tcW w:w="320" w:type="pct"/>
            <w:tcBorders>
              <w:top w:val="nil"/>
              <w:left w:val="nil"/>
              <w:bottom w:val="single" w:sz="4" w:space="0" w:color="auto"/>
              <w:right w:val="single" w:sz="4" w:space="0" w:color="auto"/>
            </w:tcBorders>
            <w:shd w:val="clear" w:color="000000" w:fill="ED7D31"/>
            <w:vAlign w:val="center"/>
            <w:hideMark/>
          </w:tcPr>
          <w:p w14:paraId="11A58490"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464" w:type="pct"/>
            <w:tcBorders>
              <w:top w:val="nil"/>
              <w:left w:val="nil"/>
              <w:bottom w:val="single" w:sz="4" w:space="0" w:color="auto"/>
              <w:right w:val="single" w:sz="4" w:space="0" w:color="auto"/>
            </w:tcBorders>
            <w:shd w:val="clear" w:color="000000" w:fill="ED7D31"/>
            <w:vAlign w:val="center"/>
            <w:hideMark/>
          </w:tcPr>
          <w:p w14:paraId="15DB3EB7"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D064DD" w:rsidRPr="00975EE5" w14:paraId="67EED95C"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348AC236"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4A496E74"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МП_EE44</w:t>
            </w:r>
          </w:p>
        </w:tc>
        <w:tc>
          <w:tcPr>
            <w:tcW w:w="1336" w:type="pct"/>
            <w:tcBorders>
              <w:top w:val="nil"/>
              <w:left w:val="nil"/>
              <w:bottom w:val="single" w:sz="4" w:space="0" w:color="auto"/>
              <w:right w:val="single" w:sz="4" w:space="0" w:color="auto"/>
            </w:tcBorders>
            <w:shd w:val="clear" w:color="auto" w:fill="auto"/>
            <w:vAlign w:val="center"/>
            <w:hideMark/>
          </w:tcPr>
          <w:p w14:paraId="7E1F3400"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Промовисање одзива потражње и динамичког одређивања цена и тарифа</w:t>
            </w:r>
          </w:p>
        </w:tc>
        <w:tc>
          <w:tcPr>
            <w:tcW w:w="353" w:type="pct"/>
            <w:tcBorders>
              <w:top w:val="nil"/>
              <w:left w:val="nil"/>
              <w:bottom w:val="single" w:sz="4" w:space="0" w:color="auto"/>
              <w:right w:val="single" w:sz="4" w:space="0" w:color="auto"/>
            </w:tcBorders>
            <w:shd w:val="clear" w:color="auto" w:fill="auto"/>
            <w:vAlign w:val="center"/>
            <w:hideMark/>
          </w:tcPr>
          <w:p w14:paraId="0E1AD85E"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auto" w:fill="auto"/>
            <w:vAlign w:val="center"/>
            <w:hideMark/>
          </w:tcPr>
          <w:p w14:paraId="36EB4512" w14:textId="5595518A"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Буџет интегрисан у све мере финалне потрошње</w:t>
            </w:r>
          </w:p>
        </w:tc>
        <w:tc>
          <w:tcPr>
            <w:tcW w:w="458" w:type="pct"/>
            <w:tcBorders>
              <w:top w:val="nil"/>
              <w:left w:val="nil"/>
              <w:bottom w:val="single" w:sz="4" w:space="0" w:color="auto"/>
              <w:right w:val="single" w:sz="4" w:space="0" w:color="auto"/>
            </w:tcBorders>
            <w:shd w:val="clear" w:color="000000" w:fill="595959"/>
            <w:vAlign w:val="center"/>
            <w:hideMark/>
          </w:tcPr>
          <w:p w14:paraId="7AC5A2D8"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25" w:type="pct"/>
            <w:tcBorders>
              <w:top w:val="nil"/>
              <w:left w:val="nil"/>
              <w:bottom w:val="single" w:sz="4" w:space="0" w:color="auto"/>
              <w:right w:val="single" w:sz="4" w:space="0" w:color="auto"/>
            </w:tcBorders>
            <w:shd w:val="clear" w:color="000000" w:fill="595959"/>
            <w:vAlign w:val="center"/>
            <w:hideMark/>
          </w:tcPr>
          <w:p w14:paraId="0B053A79"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06" w:type="pct"/>
            <w:tcBorders>
              <w:top w:val="nil"/>
              <w:left w:val="nil"/>
              <w:bottom w:val="single" w:sz="4" w:space="0" w:color="auto"/>
              <w:right w:val="single" w:sz="4" w:space="0" w:color="auto"/>
            </w:tcBorders>
            <w:shd w:val="clear" w:color="000000" w:fill="595959"/>
            <w:noWrap/>
            <w:vAlign w:val="bottom"/>
            <w:hideMark/>
          </w:tcPr>
          <w:p w14:paraId="62A0ED20"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40" w:type="pct"/>
            <w:tcBorders>
              <w:top w:val="nil"/>
              <w:left w:val="nil"/>
              <w:bottom w:val="single" w:sz="4" w:space="0" w:color="auto"/>
              <w:right w:val="single" w:sz="4" w:space="0" w:color="auto"/>
            </w:tcBorders>
            <w:shd w:val="clear" w:color="000000" w:fill="E2EFDA"/>
            <w:vAlign w:val="center"/>
            <w:hideMark/>
          </w:tcPr>
          <w:p w14:paraId="52B5D52B"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20" w:type="pct"/>
            <w:tcBorders>
              <w:top w:val="nil"/>
              <w:left w:val="nil"/>
              <w:bottom w:val="single" w:sz="4" w:space="0" w:color="auto"/>
              <w:right w:val="single" w:sz="4" w:space="0" w:color="auto"/>
            </w:tcBorders>
            <w:shd w:val="clear" w:color="000000" w:fill="595959"/>
            <w:vAlign w:val="center"/>
            <w:hideMark/>
          </w:tcPr>
          <w:p w14:paraId="24BFA5B8"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64" w:type="pct"/>
            <w:tcBorders>
              <w:top w:val="nil"/>
              <w:left w:val="nil"/>
              <w:bottom w:val="single" w:sz="4" w:space="0" w:color="auto"/>
              <w:right w:val="single" w:sz="4" w:space="0" w:color="auto"/>
            </w:tcBorders>
            <w:shd w:val="clear" w:color="000000" w:fill="595959"/>
            <w:noWrap/>
            <w:vAlign w:val="bottom"/>
            <w:hideMark/>
          </w:tcPr>
          <w:p w14:paraId="6745482D"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r>
      <w:tr w:rsidR="00D064DD" w:rsidRPr="00975EE5" w14:paraId="4738D5F8"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511597A8"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4467DDD3"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МП_EE45</w:t>
            </w:r>
          </w:p>
        </w:tc>
        <w:tc>
          <w:tcPr>
            <w:tcW w:w="1336" w:type="pct"/>
            <w:tcBorders>
              <w:top w:val="nil"/>
              <w:left w:val="nil"/>
              <w:bottom w:val="single" w:sz="4" w:space="0" w:color="auto"/>
              <w:right w:val="single" w:sz="4" w:space="0" w:color="auto"/>
            </w:tcBorders>
            <w:shd w:val="clear" w:color="000000" w:fill="FFFFFF"/>
            <w:vAlign w:val="center"/>
            <w:hideMark/>
          </w:tcPr>
          <w:p w14:paraId="5FB5C0AA"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xml:space="preserve"> Припрема за свеобухватну процену за промовисање енергетске ефикасности у грејању и хлађењу</w:t>
            </w:r>
          </w:p>
        </w:tc>
        <w:tc>
          <w:tcPr>
            <w:tcW w:w="353" w:type="pct"/>
            <w:tcBorders>
              <w:top w:val="nil"/>
              <w:left w:val="nil"/>
              <w:bottom w:val="single" w:sz="4" w:space="0" w:color="auto"/>
              <w:right w:val="single" w:sz="4" w:space="0" w:color="auto"/>
            </w:tcBorders>
            <w:shd w:val="clear" w:color="000000" w:fill="FFFFFF"/>
            <w:vAlign w:val="center"/>
            <w:hideMark/>
          </w:tcPr>
          <w:p w14:paraId="5AAD31DE"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000000" w:fill="FFFFFF"/>
            <w:vAlign w:val="center"/>
            <w:hideMark/>
          </w:tcPr>
          <w:p w14:paraId="415EF202"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58" w:type="pct"/>
            <w:tcBorders>
              <w:top w:val="nil"/>
              <w:left w:val="nil"/>
              <w:bottom w:val="single" w:sz="4" w:space="0" w:color="auto"/>
              <w:right w:val="single" w:sz="4" w:space="0" w:color="auto"/>
            </w:tcBorders>
            <w:shd w:val="clear" w:color="000000" w:fill="E2EFDA"/>
            <w:vAlign w:val="center"/>
            <w:hideMark/>
          </w:tcPr>
          <w:p w14:paraId="727700D4"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0,50</w:t>
            </w:r>
          </w:p>
        </w:tc>
        <w:tc>
          <w:tcPr>
            <w:tcW w:w="325" w:type="pct"/>
            <w:tcBorders>
              <w:top w:val="nil"/>
              <w:left w:val="nil"/>
              <w:bottom w:val="single" w:sz="4" w:space="0" w:color="auto"/>
              <w:right w:val="single" w:sz="4" w:space="0" w:color="auto"/>
            </w:tcBorders>
            <w:shd w:val="clear" w:color="000000" w:fill="E2EFDA"/>
            <w:vAlign w:val="center"/>
            <w:hideMark/>
          </w:tcPr>
          <w:p w14:paraId="5A67B781"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0,50</w:t>
            </w:r>
          </w:p>
        </w:tc>
        <w:tc>
          <w:tcPr>
            <w:tcW w:w="306" w:type="pct"/>
            <w:tcBorders>
              <w:top w:val="nil"/>
              <w:left w:val="nil"/>
              <w:bottom w:val="single" w:sz="4" w:space="0" w:color="auto"/>
              <w:right w:val="single" w:sz="4" w:space="0" w:color="auto"/>
            </w:tcBorders>
            <w:shd w:val="clear" w:color="000000" w:fill="E2EFDA"/>
            <w:vAlign w:val="center"/>
            <w:hideMark/>
          </w:tcPr>
          <w:p w14:paraId="57F7BEAE"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440" w:type="pct"/>
            <w:tcBorders>
              <w:top w:val="nil"/>
              <w:left w:val="nil"/>
              <w:bottom w:val="single" w:sz="4" w:space="0" w:color="auto"/>
              <w:right w:val="single" w:sz="4" w:space="0" w:color="auto"/>
            </w:tcBorders>
            <w:shd w:val="clear" w:color="000000" w:fill="E2EFDA"/>
            <w:vAlign w:val="center"/>
            <w:hideMark/>
          </w:tcPr>
          <w:p w14:paraId="565B0BDA"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20" w:type="pct"/>
            <w:tcBorders>
              <w:top w:val="nil"/>
              <w:left w:val="nil"/>
              <w:bottom w:val="single" w:sz="4" w:space="0" w:color="auto"/>
              <w:right w:val="single" w:sz="4" w:space="0" w:color="auto"/>
            </w:tcBorders>
            <w:shd w:val="clear" w:color="000000" w:fill="E2EFDA"/>
            <w:vAlign w:val="center"/>
            <w:hideMark/>
          </w:tcPr>
          <w:p w14:paraId="7DE28096"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464" w:type="pct"/>
            <w:tcBorders>
              <w:top w:val="nil"/>
              <w:left w:val="nil"/>
              <w:bottom w:val="single" w:sz="4" w:space="0" w:color="auto"/>
              <w:right w:val="single" w:sz="4" w:space="0" w:color="auto"/>
            </w:tcBorders>
            <w:shd w:val="clear" w:color="000000" w:fill="E2EFDA"/>
            <w:vAlign w:val="center"/>
            <w:hideMark/>
          </w:tcPr>
          <w:p w14:paraId="756BE4E3"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0,50</w:t>
            </w:r>
          </w:p>
        </w:tc>
      </w:tr>
      <w:tr w:rsidR="00D064DD" w:rsidRPr="00975EE5" w14:paraId="1997DF82"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6A756E85"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361DE5F1"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МП_EE46</w:t>
            </w:r>
          </w:p>
        </w:tc>
        <w:tc>
          <w:tcPr>
            <w:tcW w:w="1336" w:type="pct"/>
            <w:tcBorders>
              <w:top w:val="nil"/>
              <w:left w:val="nil"/>
              <w:bottom w:val="single" w:sz="4" w:space="0" w:color="auto"/>
              <w:right w:val="single" w:sz="4" w:space="0" w:color="auto"/>
            </w:tcBorders>
            <w:shd w:val="clear" w:color="000000" w:fill="FFFFFF"/>
            <w:vAlign w:val="center"/>
            <w:hideMark/>
          </w:tcPr>
          <w:p w14:paraId="340B3188" w14:textId="77777777" w:rsidR="0022244A" w:rsidRPr="00975EE5" w:rsidRDefault="0022244A">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Праћење прописа у погледну мерних и обрачунских информације</w:t>
            </w:r>
          </w:p>
        </w:tc>
        <w:tc>
          <w:tcPr>
            <w:tcW w:w="353" w:type="pct"/>
            <w:tcBorders>
              <w:top w:val="nil"/>
              <w:left w:val="nil"/>
              <w:bottom w:val="single" w:sz="4" w:space="0" w:color="auto"/>
              <w:right w:val="single" w:sz="4" w:space="0" w:color="auto"/>
            </w:tcBorders>
            <w:shd w:val="clear" w:color="000000" w:fill="FFFFFF"/>
            <w:vAlign w:val="center"/>
            <w:hideMark/>
          </w:tcPr>
          <w:p w14:paraId="2C780639"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68" w:type="pct"/>
            <w:tcBorders>
              <w:top w:val="nil"/>
              <w:left w:val="nil"/>
              <w:bottom w:val="single" w:sz="4" w:space="0" w:color="auto"/>
              <w:right w:val="single" w:sz="4" w:space="0" w:color="auto"/>
            </w:tcBorders>
            <w:shd w:val="clear" w:color="000000" w:fill="FFFFFF"/>
            <w:vAlign w:val="center"/>
            <w:hideMark/>
          </w:tcPr>
          <w:p w14:paraId="13938E0E"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58" w:type="pct"/>
            <w:tcBorders>
              <w:top w:val="nil"/>
              <w:left w:val="nil"/>
              <w:bottom w:val="single" w:sz="4" w:space="0" w:color="auto"/>
              <w:right w:val="single" w:sz="4" w:space="0" w:color="auto"/>
            </w:tcBorders>
            <w:shd w:val="clear" w:color="000000" w:fill="E2EFDA"/>
            <w:vAlign w:val="center"/>
            <w:hideMark/>
          </w:tcPr>
          <w:p w14:paraId="1EBD5E4B"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0,50</w:t>
            </w:r>
          </w:p>
        </w:tc>
        <w:tc>
          <w:tcPr>
            <w:tcW w:w="325" w:type="pct"/>
            <w:tcBorders>
              <w:top w:val="nil"/>
              <w:left w:val="nil"/>
              <w:bottom w:val="single" w:sz="4" w:space="0" w:color="auto"/>
              <w:right w:val="single" w:sz="4" w:space="0" w:color="auto"/>
            </w:tcBorders>
            <w:shd w:val="clear" w:color="000000" w:fill="E2EFDA"/>
            <w:vAlign w:val="center"/>
            <w:hideMark/>
          </w:tcPr>
          <w:p w14:paraId="61D7275B"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0,50</w:t>
            </w:r>
          </w:p>
        </w:tc>
        <w:tc>
          <w:tcPr>
            <w:tcW w:w="306" w:type="pct"/>
            <w:tcBorders>
              <w:top w:val="nil"/>
              <w:left w:val="nil"/>
              <w:bottom w:val="single" w:sz="4" w:space="0" w:color="auto"/>
              <w:right w:val="single" w:sz="4" w:space="0" w:color="auto"/>
            </w:tcBorders>
            <w:shd w:val="clear" w:color="000000" w:fill="E2EFDA"/>
            <w:vAlign w:val="center"/>
            <w:hideMark/>
          </w:tcPr>
          <w:p w14:paraId="160DAC2C"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440" w:type="pct"/>
            <w:tcBorders>
              <w:top w:val="nil"/>
              <w:left w:val="nil"/>
              <w:bottom w:val="single" w:sz="4" w:space="0" w:color="auto"/>
              <w:right w:val="single" w:sz="4" w:space="0" w:color="auto"/>
            </w:tcBorders>
            <w:shd w:val="clear" w:color="000000" w:fill="E2EFDA"/>
            <w:vAlign w:val="center"/>
            <w:hideMark/>
          </w:tcPr>
          <w:p w14:paraId="2592CCDB"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20" w:type="pct"/>
            <w:tcBorders>
              <w:top w:val="nil"/>
              <w:left w:val="nil"/>
              <w:bottom w:val="single" w:sz="4" w:space="0" w:color="auto"/>
              <w:right w:val="single" w:sz="4" w:space="0" w:color="auto"/>
            </w:tcBorders>
            <w:shd w:val="clear" w:color="000000" w:fill="E2EFDA"/>
            <w:vAlign w:val="center"/>
            <w:hideMark/>
          </w:tcPr>
          <w:p w14:paraId="0BC9C23B"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0,50</w:t>
            </w:r>
          </w:p>
        </w:tc>
        <w:tc>
          <w:tcPr>
            <w:tcW w:w="464" w:type="pct"/>
            <w:tcBorders>
              <w:top w:val="nil"/>
              <w:left w:val="nil"/>
              <w:bottom w:val="single" w:sz="4" w:space="0" w:color="auto"/>
              <w:right w:val="single" w:sz="4" w:space="0" w:color="auto"/>
            </w:tcBorders>
            <w:shd w:val="clear" w:color="000000" w:fill="E2EFDA"/>
            <w:vAlign w:val="center"/>
            <w:hideMark/>
          </w:tcPr>
          <w:p w14:paraId="562D0EA6" w14:textId="77777777" w:rsidR="0022244A" w:rsidRPr="00975EE5" w:rsidRDefault="0022244A">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D064DD" w:rsidRPr="00975EE5" w14:paraId="10BF0160" w14:textId="77777777" w:rsidTr="00AA4B61">
        <w:trPr>
          <w:trHeight w:val="20"/>
        </w:trPr>
        <w:tc>
          <w:tcPr>
            <w:tcW w:w="349" w:type="pct"/>
            <w:vMerge/>
            <w:tcBorders>
              <w:top w:val="nil"/>
              <w:left w:val="single" w:sz="4" w:space="0" w:color="auto"/>
              <w:bottom w:val="single" w:sz="4" w:space="0" w:color="auto"/>
              <w:right w:val="single" w:sz="4" w:space="0" w:color="auto"/>
            </w:tcBorders>
            <w:vAlign w:val="center"/>
            <w:hideMark/>
          </w:tcPr>
          <w:p w14:paraId="72663299" w14:textId="77777777" w:rsidR="0022244A" w:rsidRPr="00975EE5" w:rsidRDefault="0022244A">
            <w:pPr>
              <w:spacing w:after="0" w:line="240" w:lineRule="auto"/>
              <w:rPr>
                <w:rFonts w:ascii="Calibri" w:eastAsia="Times New Roman" w:hAnsi="Calibri" w:cs="Calibri"/>
                <w:b/>
                <w:bCs/>
                <w:color w:val="000000"/>
                <w:sz w:val="14"/>
                <w:szCs w:val="14"/>
              </w:rPr>
            </w:pPr>
          </w:p>
        </w:tc>
        <w:tc>
          <w:tcPr>
            <w:tcW w:w="281" w:type="pct"/>
            <w:tcBorders>
              <w:top w:val="nil"/>
              <w:left w:val="nil"/>
              <w:bottom w:val="single" w:sz="4" w:space="0" w:color="auto"/>
              <w:right w:val="single" w:sz="4" w:space="0" w:color="auto"/>
            </w:tcBorders>
            <w:shd w:val="clear" w:color="auto" w:fill="auto"/>
            <w:vAlign w:val="center"/>
            <w:hideMark/>
          </w:tcPr>
          <w:p w14:paraId="55B01682" w14:textId="77777777" w:rsidR="0022244A" w:rsidRPr="00975EE5" w:rsidRDefault="0022244A">
            <w:pPr>
              <w:spacing w:after="0" w:line="240" w:lineRule="auto"/>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 </w:t>
            </w:r>
          </w:p>
        </w:tc>
        <w:tc>
          <w:tcPr>
            <w:tcW w:w="1336" w:type="pct"/>
            <w:tcBorders>
              <w:top w:val="nil"/>
              <w:left w:val="nil"/>
              <w:bottom w:val="single" w:sz="4" w:space="0" w:color="auto"/>
              <w:right w:val="single" w:sz="4" w:space="0" w:color="auto"/>
            </w:tcBorders>
            <w:shd w:val="clear" w:color="auto" w:fill="auto"/>
            <w:vAlign w:val="center"/>
            <w:hideMark/>
          </w:tcPr>
          <w:p w14:paraId="5F5C6E0A" w14:textId="77777777" w:rsidR="0022244A" w:rsidRPr="00565B02" w:rsidRDefault="0022244A">
            <w:pPr>
              <w:spacing w:after="0" w:line="240" w:lineRule="auto"/>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УКУПНО ЗА ЕНЕРГЕТСКУ ЕФИКАСНОСТ</w:t>
            </w:r>
          </w:p>
        </w:tc>
        <w:tc>
          <w:tcPr>
            <w:tcW w:w="353" w:type="pct"/>
            <w:tcBorders>
              <w:top w:val="nil"/>
              <w:left w:val="nil"/>
              <w:bottom w:val="single" w:sz="4" w:space="0" w:color="auto"/>
              <w:right w:val="single" w:sz="4" w:space="0" w:color="auto"/>
            </w:tcBorders>
            <w:shd w:val="clear" w:color="auto" w:fill="auto"/>
            <w:vAlign w:val="center"/>
            <w:hideMark/>
          </w:tcPr>
          <w:p w14:paraId="77F6564A" w14:textId="77777777" w:rsidR="0022244A" w:rsidRPr="00565B02" w:rsidRDefault="0022244A">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 </w:t>
            </w:r>
          </w:p>
        </w:tc>
        <w:tc>
          <w:tcPr>
            <w:tcW w:w="368" w:type="pct"/>
            <w:tcBorders>
              <w:top w:val="nil"/>
              <w:left w:val="nil"/>
              <w:bottom w:val="single" w:sz="4" w:space="0" w:color="auto"/>
              <w:right w:val="single" w:sz="4" w:space="0" w:color="auto"/>
            </w:tcBorders>
            <w:shd w:val="clear" w:color="auto" w:fill="auto"/>
            <w:vAlign w:val="center"/>
            <w:hideMark/>
          </w:tcPr>
          <w:p w14:paraId="40593ADC" w14:textId="77777777" w:rsidR="0022244A" w:rsidRPr="00565B02" w:rsidRDefault="0022244A">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 </w:t>
            </w:r>
          </w:p>
        </w:tc>
        <w:tc>
          <w:tcPr>
            <w:tcW w:w="458" w:type="pct"/>
            <w:tcBorders>
              <w:top w:val="nil"/>
              <w:left w:val="nil"/>
              <w:bottom w:val="single" w:sz="4" w:space="0" w:color="auto"/>
              <w:right w:val="single" w:sz="4" w:space="0" w:color="auto"/>
            </w:tcBorders>
            <w:shd w:val="clear" w:color="000000" w:fill="E2EFDA"/>
            <w:vAlign w:val="center"/>
            <w:hideMark/>
          </w:tcPr>
          <w:p w14:paraId="3A33EC01" w14:textId="77777777" w:rsidR="0022244A" w:rsidRPr="00565B02" w:rsidRDefault="0022244A">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20,94</w:t>
            </w:r>
          </w:p>
        </w:tc>
        <w:tc>
          <w:tcPr>
            <w:tcW w:w="325" w:type="pct"/>
            <w:tcBorders>
              <w:top w:val="nil"/>
              <w:left w:val="nil"/>
              <w:bottom w:val="single" w:sz="4" w:space="0" w:color="auto"/>
              <w:right w:val="single" w:sz="4" w:space="0" w:color="auto"/>
            </w:tcBorders>
            <w:shd w:val="clear" w:color="000000" w:fill="E2EFDA"/>
            <w:vAlign w:val="center"/>
            <w:hideMark/>
          </w:tcPr>
          <w:p w14:paraId="74F1B348" w14:textId="77777777" w:rsidR="0022244A" w:rsidRPr="00565B02" w:rsidRDefault="0022244A">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8,12</w:t>
            </w:r>
          </w:p>
        </w:tc>
        <w:tc>
          <w:tcPr>
            <w:tcW w:w="306" w:type="pct"/>
            <w:tcBorders>
              <w:top w:val="nil"/>
              <w:left w:val="nil"/>
              <w:bottom w:val="single" w:sz="4" w:space="0" w:color="auto"/>
              <w:right w:val="single" w:sz="4" w:space="0" w:color="auto"/>
            </w:tcBorders>
            <w:shd w:val="clear" w:color="000000" w:fill="E2EFDA"/>
            <w:vAlign w:val="center"/>
            <w:hideMark/>
          </w:tcPr>
          <w:p w14:paraId="7777D7F3" w14:textId="77777777" w:rsidR="0022244A" w:rsidRPr="00565B02" w:rsidRDefault="0022244A">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12,82</w:t>
            </w:r>
          </w:p>
        </w:tc>
        <w:tc>
          <w:tcPr>
            <w:tcW w:w="440" w:type="pct"/>
            <w:tcBorders>
              <w:top w:val="nil"/>
              <w:left w:val="nil"/>
              <w:bottom w:val="single" w:sz="4" w:space="0" w:color="auto"/>
              <w:right w:val="single" w:sz="4" w:space="0" w:color="auto"/>
            </w:tcBorders>
            <w:shd w:val="clear" w:color="000000" w:fill="E2EFDA"/>
            <w:vAlign w:val="center"/>
            <w:hideMark/>
          </w:tcPr>
          <w:p w14:paraId="4BA47CCA" w14:textId="77777777" w:rsidR="0022244A" w:rsidRPr="00565B02" w:rsidRDefault="0022244A">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 </w:t>
            </w:r>
          </w:p>
        </w:tc>
        <w:tc>
          <w:tcPr>
            <w:tcW w:w="320" w:type="pct"/>
            <w:tcBorders>
              <w:top w:val="nil"/>
              <w:left w:val="nil"/>
              <w:bottom w:val="single" w:sz="4" w:space="0" w:color="auto"/>
              <w:right w:val="single" w:sz="4" w:space="0" w:color="auto"/>
            </w:tcBorders>
            <w:shd w:val="clear" w:color="000000" w:fill="E2EFDA"/>
            <w:vAlign w:val="center"/>
            <w:hideMark/>
          </w:tcPr>
          <w:p w14:paraId="00542070" w14:textId="77777777" w:rsidR="0022244A" w:rsidRPr="00565B02" w:rsidRDefault="0022244A">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12,31</w:t>
            </w:r>
          </w:p>
        </w:tc>
        <w:tc>
          <w:tcPr>
            <w:tcW w:w="464" w:type="pct"/>
            <w:tcBorders>
              <w:top w:val="nil"/>
              <w:left w:val="nil"/>
              <w:bottom w:val="single" w:sz="4" w:space="0" w:color="auto"/>
              <w:right w:val="single" w:sz="4" w:space="0" w:color="auto"/>
            </w:tcBorders>
            <w:shd w:val="clear" w:color="000000" w:fill="E2EFDA"/>
            <w:vAlign w:val="center"/>
            <w:hideMark/>
          </w:tcPr>
          <w:p w14:paraId="366D0E01" w14:textId="77777777" w:rsidR="0022244A" w:rsidRPr="00565B02" w:rsidRDefault="0022244A">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8,62</w:t>
            </w:r>
          </w:p>
        </w:tc>
      </w:tr>
    </w:tbl>
    <w:p w14:paraId="2285305B" w14:textId="27D758DA" w:rsidR="00AA4B61" w:rsidRDefault="00AA4B61" w:rsidP="00565B02">
      <w:pPr>
        <w:pStyle w:val="Caption"/>
        <w:keepNext/>
        <w:spacing w:before="240"/>
      </w:pPr>
      <w:bookmarkStart w:id="476" w:name="_Toc153901484"/>
      <w:r>
        <w:t xml:space="preserve">Табела </w:t>
      </w:r>
      <w:r w:rsidR="00873C40">
        <w:fldChar w:fldCharType="begin"/>
      </w:r>
      <w:r w:rsidR="00873C40">
        <w:instrText xml:space="preserve"> STYLEREF 1 \s </w:instrText>
      </w:r>
      <w:r w:rsidR="00873C40">
        <w:fldChar w:fldCharType="separate"/>
      </w:r>
      <w:r w:rsidR="00873C40">
        <w:rPr>
          <w:noProof/>
        </w:rPr>
        <w:t>I</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3</w:t>
      </w:r>
      <w:r w:rsidR="00873C40">
        <w:fldChar w:fldCharType="end"/>
      </w:r>
      <w:r>
        <w:t>:</w:t>
      </w:r>
      <w:r w:rsidRPr="00AA4B61">
        <w:t xml:space="preserve"> Мере политике</w:t>
      </w:r>
      <w:r>
        <w:t xml:space="preserve"> димензије е</w:t>
      </w:r>
      <w:r w:rsidRPr="00AA4B61">
        <w:t>нергетска сигурност</w:t>
      </w:r>
      <w:bookmarkEnd w:id="476"/>
    </w:p>
    <w:tbl>
      <w:tblPr>
        <w:tblW w:w="5000" w:type="pct"/>
        <w:tblLook w:val="04A0" w:firstRow="1" w:lastRow="0" w:firstColumn="1" w:lastColumn="0" w:noHBand="0" w:noVBand="1"/>
      </w:tblPr>
      <w:tblGrid>
        <w:gridCol w:w="1072"/>
        <w:gridCol w:w="815"/>
        <w:gridCol w:w="3995"/>
        <w:gridCol w:w="961"/>
        <w:gridCol w:w="1159"/>
        <w:gridCol w:w="1246"/>
        <w:gridCol w:w="984"/>
        <w:gridCol w:w="1019"/>
        <w:gridCol w:w="1095"/>
        <w:gridCol w:w="1107"/>
        <w:gridCol w:w="1107"/>
      </w:tblGrid>
      <w:tr w:rsidR="0022244A" w:rsidRPr="00975EE5" w14:paraId="257C1CB2" w14:textId="77777777" w:rsidTr="00565B02">
        <w:trPr>
          <w:trHeight w:val="20"/>
        </w:trPr>
        <w:tc>
          <w:tcPr>
            <w:tcW w:w="368"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3F741C47" w14:textId="77777777" w:rsidR="0022244A" w:rsidRPr="00975EE5" w:rsidRDefault="0022244A" w:rsidP="00457A0B">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Димензија</w:t>
            </w:r>
          </w:p>
        </w:tc>
        <w:tc>
          <w:tcPr>
            <w:tcW w:w="280" w:type="pct"/>
            <w:tcBorders>
              <w:top w:val="single" w:sz="4" w:space="0" w:color="auto"/>
              <w:left w:val="nil"/>
              <w:bottom w:val="single" w:sz="4" w:space="0" w:color="auto"/>
              <w:right w:val="single" w:sz="4" w:space="0" w:color="auto"/>
            </w:tcBorders>
            <w:shd w:val="clear" w:color="000000" w:fill="BFBFBF"/>
            <w:vAlign w:val="center"/>
            <w:hideMark/>
          </w:tcPr>
          <w:p w14:paraId="646DB039" w14:textId="77777777" w:rsidR="0022244A" w:rsidRPr="00975EE5" w:rsidRDefault="0022244A" w:rsidP="00457A0B">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Број МП</w:t>
            </w:r>
          </w:p>
        </w:tc>
        <w:tc>
          <w:tcPr>
            <w:tcW w:w="1372" w:type="pct"/>
            <w:tcBorders>
              <w:top w:val="single" w:sz="4" w:space="0" w:color="auto"/>
              <w:left w:val="nil"/>
              <w:bottom w:val="single" w:sz="4" w:space="0" w:color="auto"/>
              <w:right w:val="single" w:sz="4" w:space="0" w:color="auto"/>
            </w:tcBorders>
            <w:shd w:val="clear" w:color="000000" w:fill="BFBFBF"/>
            <w:vAlign w:val="center"/>
            <w:hideMark/>
          </w:tcPr>
          <w:p w14:paraId="5F0E7224" w14:textId="77777777" w:rsidR="0022244A" w:rsidRPr="00975EE5" w:rsidRDefault="0022244A" w:rsidP="00457A0B">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Назив мере политике</w:t>
            </w:r>
          </w:p>
        </w:tc>
        <w:tc>
          <w:tcPr>
            <w:tcW w:w="330" w:type="pct"/>
            <w:tcBorders>
              <w:top w:val="single" w:sz="4" w:space="0" w:color="auto"/>
              <w:left w:val="nil"/>
              <w:bottom w:val="single" w:sz="4" w:space="0" w:color="auto"/>
              <w:right w:val="single" w:sz="4" w:space="0" w:color="auto"/>
            </w:tcBorders>
            <w:shd w:val="clear" w:color="000000" w:fill="BFBFBF"/>
            <w:vAlign w:val="center"/>
            <w:hideMark/>
          </w:tcPr>
          <w:p w14:paraId="483DBD73" w14:textId="77777777" w:rsidR="0022244A" w:rsidRPr="00975EE5" w:rsidRDefault="0022244A" w:rsidP="00457A0B">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Тип мере</w:t>
            </w:r>
          </w:p>
        </w:tc>
        <w:tc>
          <w:tcPr>
            <w:tcW w:w="398" w:type="pct"/>
            <w:tcBorders>
              <w:top w:val="single" w:sz="4" w:space="0" w:color="auto"/>
              <w:left w:val="nil"/>
              <w:bottom w:val="single" w:sz="4" w:space="0" w:color="auto"/>
              <w:right w:val="single" w:sz="4" w:space="0" w:color="auto"/>
            </w:tcBorders>
            <w:shd w:val="clear" w:color="000000" w:fill="BFBFBF"/>
            <w:vAlign w:val="center"/>
            <w:hideMark/>
          </w:tcPr>
          <w:p w14:paraId="0399AD9D" w14:textId="77777777" w:rsidR="0022244A" w:rsidRPr="00975EE5" w:rsidRDefault="0022244A" w:rsidP="00457A0B">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Синергетски ефекти</w:t>
            </w:r>
          </w:p>
        </w:tc>
        <w:tc>
          <w:tcPr>
            <w:tcW w:w="428" w:type="pct"/>
            <w:tcBorders>
              <w:top w:val="single" w:sz="4" w:space="0" w:color="auto"/>
              <w:left w:val="nil"/>
              <w:bottom w:val="single" w:sz="4" w:space="0" w:color="auto"/>
              <w:right w:val="single" w:sz="4" w:space="0" w:color="auto"/>
            </w:tcBorders>
            <w:shd w:val="clear" w:color="000000" w:fill="BFBFBF"/>
            <w:vAlign w:val="center"/>
            <w:hideMark/>
          </w:tcPr>
          <w:p w14:paraId="39A6026E" w14:textId="77777777" w:rsidR="0022244A" w:rsidRPr="00975EE5" w:rsidRDefault="0022244A" w:rsidP="00457A0B">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Трошкови имплементације (милион €)</w:t>
            </w:r>
          </w:p>
        </w:tc>
        <w:tc>
          <w:tcPr>
            <w:tcW w:w="338" w:type="pct"/>
            <w:tcBorders>
              <w:top w:val="single" w:sz="4" w:space="0" w:color="auto"/>
              <w:left w:val="nil"/>
              <w:bottom w:val="single" w:sz="4" w:space="0" w:color="auto"/>
              <w:right w:val="single" w:sz="4" w:space="0" w:color="auto"/>
            </w:tcBorders>
            <w:shd w:val="clear" w:color="000000" w:fill="BFBFBF"/>
            <w:vAlign w:val="center"/>
            <w:hideMark/>
          </w:tcPr>
          <w:p w14:paraId="30B7F7C0" w14:textId="77777777" w:rsidR="0022244A" w:rsidRPr="00975EE5" w:rsidRDefault="0022244A" w:rsidP="00457A0B">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Планирана јавна помоћ (милион €)</w:t>
            </w:r>
          </w:p>
        </w:tc>
        <w:tc>
          <w:tcPr>
            <w:tcW w:w="350" w:type="pct"/>
            <w:tcBorders>
              <w:top w:val="single" w:sz="4" w:space="0" w:color="auto"/>
              <w:left w:val="nil"/>
              <w:bottom w:val="single" w:sz="4" w:space="0" w:color="auto"/>
              <w:right w:val="single" w:sz="4" w:space="0" w:color="auto"/>
            </w:tcBorders>
            <w:shd w:val="clear" w:color="000000" w:fill="BFBFBF"/>
            <w:vAlign w:val="center"/>
            <w:hideMark/>
          </w:tcPr>
          <w:p w14:paraId="1CA846A9" w14:textId="77777777" w:rsidR="0022244A" w:rsidRPr="00975EE5" w:rsidRDefault="0022244A" w:rsidP="00457A0B">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Сопствена средства (милион €)</w:t>
            </w:r>
          </w:p>
        </w:tc>
        <w:tc>
          <w:tcPr>
            <w:tcW w:w="376" w:type="pct"/>
            <w:tcBorders>
              <w:top w:val="single" w:sz="4" w:space="0" w:color="auto"/>
              <w:left w:val="nil"/>
              <w:bottom w:val="single" w:sz="4" w:space="0" w:color="auto"/>
              <w:right w:val="single" w:sz="4" w:space="0" w:color="auto"/>
            </w:tcBorders>
            <w:shd w:val="clear" w:color="000000" w:fill="BFBFBF"/>
            <w:vAlign w:val="center"/>
            <w:hideMark/>
          </w:tcPr>
          <w:p w14:paraId="7EAB86ED" w14:textId="77777777" w:rsidR="0022244A" w:rsidRPr="00975EE5" w:rsidRDefault="0022244A" w:rsidP="00457A0B">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Сценарио пројекција у који је МП укључена</w:t>
            </w:r>
          </w:p>
        </w:tc>
        <w:tc>
          <w:tcPr>
            <w:tcW w:w="380" w:type="pct"/>
            <w:tcBorders>
              <w:top w:val="single" w:sz="4" w:space="0" w:color="auto"/>
              <w:left w:val="nil"/>
              <w:bottom w:val="single" w:sz="4" w:space="0" w:color="auto"/>
              <w:right w:val="single" w:sz="4" w:space="0" w:color="auto"/>
            </w:tcBorders>
            <w:shd w:val="clear" w:color="000000" w:fill="BFBFBF"/>
            <w:vAlign w:val="center"/>
            <w:hideMark/>
          </w:tcPr>
          <w:p w14:paraId="15642185" w14:textId="77777777" w:rsidR="0022244A" w:rsidRPr="00975EE5" w:rsidRDefault="0022244A" w:rsidP="00457A0B">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CAPEX WEM (милион €)</w:t>
            </w:r>
          </w:p>
        </w:tc>
        <w:tc>
          <w:tcPr>
            <w:tcW w:w="380" w:type="pct"/>
            <w:tcBorders>
              <w:top w:val="single" w:sz="4" w:space="0" w:color="auto"/>
              <w:left w:val="nil"/>
              <w:bottom w:val="single" w:sz="4" w:space="0" w:color="auto"/>
              <w:right w:val="single" w:sz="4" w:space="0" w:color="auto"/>
            </w:tcBorders>
            <w:shd w:val="clear" w:color="000000" w:fill="BFBFBF"/>
            <w:vAlign w:val="center"/>
            <w:hideMark/>
          </w:tcPr>
          <w:p w14:paraId="3D66A2B0" w14:textId="77777777" w:rsidR="0022244A" w:rsidRPr="00975EE5" w:rsidRDefault="0022244A" w:rsidP="00457A0B">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CAPEX WAM (милион €)</w:t>
            </w:r>
          </w:p>
        </w:tc>
      </w:tr>
      <w:tr w:rsidR="0022244A" w:rsidRPr="00975EE5" w14:paraId="0965D9CE" w14:textId="77777777" w:rsidTr="00565B02">
        <w:trPr>
          <w:trHeight w:val="20"/>
        </w:trPr>
        <w:tc>
          <w:tcPr>
            <w:tcW w:w="368" w:type="pct"/>
            <w:vMerge w:val="restart"/>
            <w:tcBorders>
              <w:top w:val="nil"/>
              <w:left w:val="single" w:sz="4" w:space="0" w:color="auto"/>
              <w:bottom w:val="single" w:sz="4" w:space="0" w:color="auto"/>
              <w:right w:val="single" w:sz="4" w:space="0" w:color="auto"/>
            </w:tcBorders>
            <w:shd w:val="clear" w:color="000000" w:fill="BFBFBF"/>
            <w:vAlign w:val="center"/>
            <w:hideMark/>
          </w:tcPr>
          <w:p w14:paraId="25659B94" w14:textId="77777777" w:rsidR="0022244A" w:rsidRPr="00975EE5" w:rsidRDefault="0022244A" w:rsidP="00457A0B">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Енергетска сигурност</w:t>
            </w:r>
          </w:p>
        </w:tc>
        <w:tc>
          <w:tcPr>
            <w:tcW w:w="280" w:type="pct"/>
            <w:tcBorders>
              <w:top w:val="nil"/>
              <w:left w:val="nil"/>
              <w:bottom w:val="single" w:sz="4" w:space="0" w:color="auto"/>
              <w:right w:val="single" w:sz="4" w:space="0" w:color="auto"/>
            </w:tcBorders>
            <w:shd w:val="clear" w:color="auto" w:fill="auto"/>
            <w:vAlign w:val="center"/>
            <w:hideMark/>
          </w:tcPr>
          <w:p w14:paraId="460E381C"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МП_EС2</w:t>
            </w:r>
          </w:p>
        </w:tc>
        <w:tc>
          <w:tcPr>
            <w:tcW w:w="1372" w:type="pct"/>
            <w:tcBorders>
              <w:top w:val="nil"/>
              <w:left w:val="nil"/>
              <w:bottom w:val="single" w:sz="4" w:space="0" w:color="auto"/>
              <w:right w:val="single" w:sz="4" w:space="0" w:color="auto"/>
            </w:tcBorders>
            <w:shd w:val="clear" w:color="auto" w:fill="auto"/>
            <w:vAlign w:val="center"/>
            <w:hideMark/>
          </w:tcPr>
          <w:p w14:paraId="2A8B5E9E"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Унапређење регионалних електроенергетских и гасних интерконекција</w:t>
            </w:r>
          </w:p>
        </w:tc>
        <w:tc>
          <w:tcPr>
            <w:tcW w:w="330" w:type="pct"/>
            <w:tcBorders>
              <w:top w:val="nil"/>
              <w:left w:val="nil"/>
              <w:bottom w:val="single" w:sz="4" w:space="0" w:color="auto"/>
              <w:right w:val="single" w:sz="4" w:space="0" w:color="auto"/>
            </w:tcBorders>
            <w:shd w:val="clear" w:color="auto" w:fill="auto"/>
            <w:vAlign w:val="center"/>
            <w:hideMark/>
          </w:tcPr>
          <w:p w14:paraId="3FB9A21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98" w:type="pct"/>
            <w:tcBorders>
              <w:top w:val="nil"/>
              <w:left w:val="nil"/>
              <w:bottom w:val="single" w:sz="4" w:space="0" w:color="auto"/>
              <w:right w:val="single" w:sz="4" w:space="0" w:color="auto"/>
            </w:tcBorders>
            <w:shd w:val="clear" w:color="auto" w:fill="auto"/>
            <w:vAlign w:val="center"/>
            <w:hideMark/>
          </w:tcPr>
          <w:p w14:paraId="4F8B821A"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360AF90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187,20</w:t>
            </w:r>
          </w:p>
        </w:tc>
        <w:tc>
          <w:tcPr>
            <w:tcW w:w="338" w:type="pct"/>
            <w:tcBorders>
              <w:top w:val="nil"/>
              <w:left w:val="nil"/>
              <w:bottom w:val="single" w:sz="4" w:space="0" w:color="auto"/>
              <w:right w:val="single" w:sz="4" w:space="0" w:color="auto"/>
            </w:tcBorders>
            <w:shd w:val="clear" w:color="000000" w:fill="E2EFDA"/>
            <w:vAlign w:val="center"/>
            <w:hideMark/>
          </w:tcPr>
          <w:p w14:paraId="5E01979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28,08</w:t>
            </w:r>
          </w:p>
        </w:tc>
        <w:tc>
          <w:tcPr>
            <w:tcW w:w="350" w:type="pct"/>
            <w:tcBorders>
              <w:top w:val="nil"/>
              <w:left w:val="nil"/>
              <w:bottom w:val="single" w:sz="4" w:space="0" w:color="auto"/>
              <w:right w:val="single" w:sz="4" w:space="0" w:color="auto"/>
            </w:tcBorders>
            <w:shd w:val="clear" w:color="000000" w:fill="E2EFDA"/>
            <w:vAlign w:val="center"/>
            <w:hideMark/>
          </w:tcPr>
          <w:p w14:paraId="7E20EE8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159,12</w:t>
            </w:r>
          </w:p>
        </w:tc>
        <w:tc>
          <w:tcPr>
            <w:tcW w:w="376" w:type="pct"/>
            <w:tcBorders>
              <w:top w:val="nil"/>
              <w:left w:val="nil"/>
              <w:bottom w:val="single" w:sz="4" w:space="0" w:color="auto"/>
              <w:right w:val="single" w:sz="4" w:space="0" w:color="auto"/>
            </w:tcBorders>
            <w:shd w:val="clear" w:color="000000" w:fill="ED7D31"/>
            <w:vAlign w:val="center"/>
            <w:hideMark/>
          </w:tcPr>
          <w:p w14:paraId="506B316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80" w:type="pct"/>
            <w:tcBorders>
              <w:top w:val="nil"/>
              <w:left w:val="nil"/>
              <w:bottom w:val="single" w:sz="4" w:space="0" w:color="auto"/>
              <w:right w:val="single" w:sz="4" w:space="0" w:color="auto"/>
            </w:tcBorders>
            <w:shd w:val="clear" w:color="000000" w:fill="E2EFDA"/>
            <w:vAlign w:val="center"/>
            <w:hideMark/>
          </w:tcPr>
          <w:p w14:paraId="3B53AC4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187,20</w:t>
            </w:r>
          </w:p>
        </w:tc>
        <w:tc>
          <w:tcPr>
            <w:tcW w:w="380" w:type="pct"/>
            <w:tcBorders>
              <w:top w:val="nil"/>
              <w:left w:val="nil"/>
              <w:bottom w:val="single" w:sz="4" w:space="0" w:color="auto"/>
              <w:right w:val="single" w:sz="4" w:space="0" w:color="auto"/>
            </w:tcBorders>
            <w:shd w:val="clear" w:color="000000" w:fill="E2EFDA"/>
            <w:vAlign w:val="center"/>
            <w:hideMark/>
          </w:tcPr>
          <w:p w14:paraId="140470BE"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084FC936" w14:textId="77777777" w:rsidTr="00565B02">
        <w:trPr>
          <w:trHeight w:val="20"/>
        </w:trPr>
        <w:tc>
          <w:tcPr>
            <w:tcW w:w="368" w:type="pct"/>
            <w:vMerge/>
            <w:tcBorders>
              <w:top w:val="nil"/>
              <w:left w:val="single" w:sz="4" w:space="0" w:color="auto"/>
              <w:bottom w:val="single" w:sz="4" w:space="0" w:color="auto"/>
              <w:right w:val="single" w:sz="4" w:space="0" w:color="auto"/>
            </w:tcBorders>
            <w:vAlign w:val="center"/>
            <w:hideMark/>
          </w:tcPr>
          <w:p w14:paraId="236170D4"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280" w:type="pct"/>
            <w:tcBorders>
              <w:top w:val="nil"/>
              <w:left w:val="nil"/>
              <w:bottom w:val="single" w:sz="4" w:space="0" w:color="auto"/>
              <w:right w:val="single" w:sz="4" w:space="0" w:color="auto"/>
            </w:tcBorders>
            <w:shd w:val="clear" w:color="auto" w:fill="auto"/>
            <w:vAlign w:val="center"/>
            <w:hideMark/>
          </w:tcPr>
          <w:p w14:paraId="6C32494F"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МП_EС3</w:t>
            </w:r>
          </w:p>
        </w:tc>
        <w:tc>
          <w:tcPr>
            <w:tcW w:w="1372" w:type="pct"/>
            <w:tcBorders>
              <w:top w:val="nil"/>
              <w:left w:val="nil"/>
              <w:bottom w:val="single" w:sz="4" w:space="0" w:color="auto"/>
              <w:right w:val="single" w:sz="4" w:space="0" w:color="auto"/>
            </w:tcBorders>
            <w:shd w:val="clear" w:color="auto" w:fill="auto"/>
            <w:vAlign w:val="center"/>
            <w:hideMark/>
          </w:tcPr>
          <w:p w14:paraId="603342CD"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Изградња капацитета за складиштење електричне енергије</w:t>
            </w:r>
          </w:p>
        </w:tc>
        <w:tc>
          <w:tcPr>
            <w:tcW w:w="330" w:type="pct"/>
            <w:tcBorders>
              <w:top w:val="nil"/>
              <w:left w:val="nil"/>
              <w:bottom w:val="single" w:sz="4" w:space="0" w:color="auto"/>
              <w:right w:val="single" w:sz="4" w:space="0" w:color="auto"/>
            </w:tcBorders>
            <w:shd w:val="clear" w:color="auto" w:fill="auto"/>
            <w:vAlign w:val="center"/>
            <w:hideMark/>
          </w:tcPr>
          <w:p w14:paraId="299689EA"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8" w:type="pct"/>
            <w:tcBorders>
              <w:top w:val="nil"/>
              <w:left w:val="nil"/>
              <w:bottom w:val="single" w:sz="4" w:space="0" w:color="auto"/>
              <w:right w:val="single" w:sz="4" w:space="0" w:color="auto"/>
            </w:tcBorders>
            <w:shd w:val="clear" w:color="auto" w:fill="auto"/>
            <w:vAlign w:val="center"/>
            <w:hideMark/>
          </w:tcPr>
          <w:p w14:paraId="0F35AEE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19828B3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1,00</w:t>
            </w:r>
          </w:p>
        </w:tc>
        <w:tc>
          <w:tcPr>
            <w:tcW w:w="338" w:type="pct"/>
            <w:tcBorders>
              <w:top w:val="nil"/>
              <w:left w:val="nil"/>
              <w:bottom w:val="single" w:sz="4" w:space="0" w:color="auto"/>
              <w:right w:val="single" w:sz="4" w:space="0" w:color="auto"/>
            </w:tcBorders>
            <w:shd w:val="clear" w:color="000000" w:fill="E2EFDA"/>
            <w:vAlign w:val="center"/>
            <w:hideMark/>
          </w:tcPr>
          <w:p w14:paraId="402272A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1,00</w:t>
            </w:r>
          </w:p>
        </w:tc>
        <w:tc>
          <w:tcPr>
            <w:tcW w:w="350" w:type="pct"/>
            <w:tcBorders>
              <w:top w:val="nil"/>
              <w:left w:val="nil"/>
              <w:bottom w:val="single" w:sz="4" w:space="0" w:color="auto"/>
              <w:right w:val="single" w:sz="4" w:space="0" w:color="auto"/>
            </w:tcBorders>
            <w:shd w:val="clear" w:color="000000" w:fill="E2EFDA"/>
            <w:vAlign w:val="center"/>
            <w:hideMark/>
          </w:tcPr>
          <w:p w14:paraId="04962035"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6" w:type="pct"/>
            <w:tcBorders>
              <w:top w:val="nil"/>
              <w:left w:val="nil"/>
              <w:bottom w:val="single" w:sz="4" w:space="0" w:color="auto"/>
              <w:right w:val="single" w:sz="4" w:space="0" w:color="auto"/>
            </w:tcBorders>
            <w:shd w:val="clear" w:color="000000" w:fill="ED7D31"/>
            <w:vAlign w:val="center"/>
            <w:hideMark/>
          </w:tcPr>
          <w:p w14:paraId="0E5E3E1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80" w:type="pct"/>
            <w:tcBorders>
              <w:top w:val="nil"/>
              <w:left w:val="nil"/>
              <w:bottom w:val="single" w:sz="4" w:space="0" w:color="auto"/>
              <w:right w:val="single" w:sz="4" w:space="0" w:color="auto"/>
            </w:tcBorders>
            <w:shd w:val="clear" w:color="000000" w:fill="E2EFDA"/>
            <w:vAlign w:val="center"/>
            <w:hideMark/>
          </w:tcPr>
          <w:p w14:paraId="507FB71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1,00</w:t>
            </w:r>
          </w:p>
        </w:tc>
        <w:tc>
          <w:tcPr>
            <w:tcW w:w="380" w:type="pct"/>
            <w:tcBorders>
              <w:top w:val="nil"/>
              <w:left w:val="nil"/>
              <w:bottom w:val="single" w:sz="4" w:space="0" w:color="auto"/>
              <w:right w:val="single" w:sz="4" w:space="0" w:color="auto"/>
            </w:tcBorders>
            <w:shd w:val="clear" w:color="000000" w:fill="E2EFDA"/>
            <w:vAlign w:val="center"/>
            <w:hideMark/>
          </w:tcPr>
          <w:p w14:paraId="4EA0C26E"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462F8D44" w14:textId="77777777" w:rsidTr="00565B02">
        <w:trPr>
          <w:trHeight w:val="20"/>
        </w:trPr>
        <w:tc>
          <w:tcPr>
            <w:tcW w:w="368" w:type="pct"/>
            <w:vMerge/>
            <w:tcBorders>
              <w:top w:val="nil"/>
              <w:left w:val="single" w:sz="4" w:space="0" w:color="auto"/>
              <w:bottom w:val="single" w:sz="4" w:space="0" w:color="auto"/>
              <w:right w:val="single" w:sz="4" w:space="0" w:color="auto"/>
            </w:tcBorders>
            <w:vAlign w:val="center"/>
            <w:hideMark/>
          </w:tcPr>
          <w:p w14:paraId="77E6C886"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280" w:type="pct"/>
            <w:tcBorders>
              <w:top w:val="nil"/>
              <w:left w:val="nil"/>
              <w:bottom w:val="single" w:sz="4" w:space="0" w:color="auto"/>
              <w:right w:val="single" w:sz="4" w:space="0" w:color="auto"/>
            </w:tcBorders>
            <w:shd w:val="clear" w:color="auto" w:fill="auto"/>
            <w:vAlign w:val="center"/>
            <w:hideMark/>
          </w:tcPr>
          <w:p w14:paraId="6BA7A773"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МП_EС3.1</w:t>
            </w:r>
          </w:p>
        </w:tc>
        <w:tc>
          <w:tcPr>
            <w:tcW w:w="1372" w:type="pct"/>
            <w:tcBorders>
              <w:top w:val="nil"/>
              <w:left w:val="nil"/>
              <w:bottom w:val="single" w:sz="4" w:space="0" w:color="auto"/>
              <w:right w:val="single" w:sz="4" w:space="0" w:color="auto"/>
            </w:tcBorders>
            <w:shd w:val="clear" w:color="auto" w:fill="auto"/>
            <w:vAlign w:val="center"/>
            <w:hideMark/>
          </w:tcPr>
          <w:p w14:paraId="19CFE0D7"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Банатски двор, проширење складишта природног гаса</w:t>
            </w:r>
          </w:p>
        </w:tc>
        <w:tc>
          <w:tcPr>
            <w:tcW w:w="330" w:type="pct"/>
            <w:tcBorders>
              <w:top w:val="nil"/>
              <w:left w:val="nil"/>
              <w:bottom w:val="single" w:sz="4" w:space="0" w:color="auto"/>
              <w:right w:val="single" w:sz="4" w:space="0" w:color="auto"/>
            </w:tcBorders>
            <w:shd w:val="clear" w:color="auto" w:fill="auto"/>
            <w:vAlign w:val="center"/>
            <w:hideMark/>
          </w:tcPr>
          <w:p w14:paraId="56F14789"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98" w:type="pct"/>
            <w:tcBorders>
              <w:top w:val="nil"/>
              <w:left w:val="nil"/>
              <w:bottom w:val="single" w:sz="4" w:space="0" w:color="auto"/>
              <w:right w:val="single" w:sz="4" w:space="0" w:color="auto"/>
            </w:tcBorders>
            <w:shd w:val="clear" w:color="auto" w:fill="auto"/>
            <w:vAlign w:val="center"/>
            <w:hideMark/>
          </w:tcPr>
          <w:p w14:paraId="01522BCA"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48668FC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100,00</w:t>
            </w:r>
          </w:p>
        </w:tc>
        <w:tc>
          <w:tcPr>
            <w:tcW w:w="338" w:type="pct"/>
            <w:tcBorders>
              <w:top w:val="nil"/>
              <w:left w:val="nil"/>
              <w:bottom w:val="single" w:sz="4" w:space="0" w:color="auto"/>
              <w:right w:val="single" w:sz="4" w:space="0" w:color="auto"/>
            </w:tcBorders>
            <w:shd w:val="clear" w:color="000000" w:fill="E2EFDA"/>
            <w:vAlign w:val="center"/>
            <w:hideMark/>
          </w:tcPr>
          <w:p w14:paraId="21A6329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15,00</w:t>
            </w:r>
          </w:p>
        </w:tc>
        <w:tc>
          <w:tcPr>
            <w:tcW w:w="350" w:type="pct"/>
            <w:tcBorders>
              <w:top w:val="nil"/>
              <w:left w:val="nil"/>
              <w:bottom w:val="single" w:sz="4" w:space="0" w:color="auto"/>
              <w:right w:val="single" w:sz="4" w:space="0" w:color="auto"/>
            </w:tcBorders>
            <w:shd w:val="clear" w:color="000000" w:fill="E2EFDA"/>
            <w:vAlign w:val="center"/>
            <w:hideMark/>
          </w:tcPr>
          <w:p w14:paraId="7FEE93E1"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85,00</w:t>
            </w:r>
          </w:p>
        </w:tc>
        <w:tc>
          <w:tcPr>
            <w:tcW w:w="376" w:type="pct"/>
            <w:tcBorders>
              <w:top w:val="nil"/>
              <w:left w:val="nil"/>
              <w:bottom w:val="single" w:sz="4" w:space="0" w:color="auto"/>
              <w:right w:val="single" w:sz="4" w:space="0" w:color="auto"/>
            </w:tcBorders>
            <w:shd w:val="clear" w:color="000000" w:fill="ED7D31"/>
            <w:vAlign w:val="center"/>
            <w:hideMark/>
          </w:tcPr>
          <w:p w14:paraId="7EAC0935"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80" w:type="pct"/>
            <w:tcBorders>
              <w:top w:val="nil"/>
              <w:left w:val="nil"/>
              <w:bottom w:val="single" w:sz="4" w:space="0" w:color="auto"/>
              <w:right w:val="single" w:sz="4" w:space="0" w:color="auto"/>
            </w:tcBorders>
            <w:shd w:val="clear" w:color="000000" w:fill="E2EFDA"/>
            <w:vAlign w:val="center"/>
            <w:hideMark/>
          </w:tcPr>
          <w:p w14:paraId="28EA3ACE"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100,00</w:t>
            </w:r>
          </w:p>
        </w:tc>
        <w:tc>
          <w:tcPr>
            <w:tcW w:w="380" w:type="pct"/>
            <w:tcBorders>
              <w:top w:val="nil"/>
              <w:left w:val="nil"/>
              <w:bottom w:val="single" w:sz="4" w:space="0" w:color="auto"/>
              <w:right w:val="single" w:sz="4" w:space="0" w:color="auto"/>
            </w:tcBorders>
            <w:shd w:val="clear" w:color="000000" w:fill="E2EFDA"/>
            <w:vAlign w:val="center"/>
            <w:hideMark/>
          </w:tcPr>
          <w:p w14:paraId="3CDEB0C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361C9087" w14:textId="77777777" w:rsidTr="00565B02">
        <w:trPr>
          <w:trHeight w:val="20"/>
        </w:trPr>
        <w:tc>
          <w:tcPr>
            <w:tcW w:w="368" w:type="pct"/>
            <w:vMerge/>
            <w:tcBorders>
              <w:top w:val="nil"/>
              <w:left w:val="single" w:sz="4" w:space="0" w:color="auto"/>
              <w:bottom w:val="single" w:sz="4" w:space="0" w:color="auto"/>
              <w:right w:val="single" w:sz="4" w:space="0" w:color="auto"/>
            </w:tcBorders>
            <w:vAlign w:val="center"/>
            <w:hideMark/>
          </w:tcPr>
          <w:p w14:paraId="294B498A"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280" w:type="pct"/>
            <w:tcBorders>
              <w:top w:val="nil"/>
              <w:left w:val="nil"/>
              <w:bottom w:val="single" w:sz="4" w:space="0" w:color="auto"/>
              <w:right w:val="single" w:sz="4" w:space="0" w:color="auto"/>
            </w:tcBorders>
            <w:shd w:val="clear" w:color="auto" w:fill="auto"/>
            <w:vAlign w:val="center"/>
            <w:hideMark/>
          </w:tcPr>
          <w:p w14:paraId="4850F2D2"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МП_EС3.2</w:t>
            </w:r>
          </w:p>
        </w:tc>
        <w:tc>
          <w:tcPr>
            <w:tcW w:w="1372" w:type="pct"/>
            <w:tcBorders>
              <w:top w:val="nil"/>
              <w:left w:val="nil"/>
              <w:bottom w:val="single" w:sz="4" w:space="0" w:color="auto"/>
              <w:right w:val="single" w:sz="4" w:space="0" w:color="auto"/>
            </w:tcBorders>
            <w:shd w:val="clear" w:color="auto" w:fill="auto"/>
            <w:vAlign w:val="center"/>
            <w:hideMark/>
          </w:tcPr>
          <w:p w14:paraId="64804B43"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Стварање обавезних резерви нафте и деривата нафте</w:t>
            </w:r>
          </w:p>
        </w:tc>
        <w:tc>
          <w:tcPr>
            <w:tcW w:w="330" w:type="pct"/>
            <w:tcBorders>
              <w:top w:val="nil"/>
              <w:left w:val="nil"/>
              <w:bottom w:val="single" w:sz="4" w:space="0" w:color="auto"/>
              <w:right w:val="single" w:sz="4" w:space="0" w:color="auto"/>
            </w:tcBorders>
            <w:shd w:val="clear" w:color="auto" w:fill="auto"/>
            <w:vAlign w:val="center"/>
            <w:hideMark/>
          </w:tcPr>
          <w:p w14:paraId="28D4358A"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8" w:type="pct"/>
            <w:tcBorders>
              <w:top w:val="nil"/>
              <w:left w:val="nil"/>
              <w:bottom w:val="single" w:sz="4" w:space="0" w:color="auto"/>
              <w:right w:val="single" w:sz="4" w:space="0" w:color="auto"/>
            </w:tcBorders>
            <w:shd w:val="clear" w:color="auto" w:fill="auto"/>
            <w:vAlign w:val="center"/>
            <w:hideMark/>
          </w:tcPr>
          <w:p w14:paraId="7016ADB2"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3112793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0,50</w:t>
            </w:r>
          </w:p>
        </w:tc>
        <w:tc>
          <w:tcPr>
            <w:tcW w:w="338" w:type="pct"/>
            <w:tcBorders>
              <w:top w:val="nil"/>
              <w:left w:val="nil"/>
              <w:bottom w:val="single" w:sz="4" w:space="0" w:color="auto"/>
              <w:right w:val="single" w:sz="4" w:space="0" w:color="auto"/>
            </w:tcBorders>
            <w:shd w:val="clear" w:color="000000" w:fill="E2EFDA"/>
            <w:vAlign w:val="center"/>
            <w:hideMark/>
          </w:tcPr>
          <w:p w14:paraId="2CC09D5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0,50</w:t>
            </w:r>
          </w:p>
        </w:tc>
        <w:tc>
          <w:tcPr>
            <w:tcW w:w="350" w:type="pct"/>
            <w:tcBorders>
              <w:top w:val="nil"/>
              <w:left w:val="nil"/>
              <w:bottom w:val="single" w:sz="4" w:space="0" w:color="auto"/>
              <w:right w:val="single" w:sz="4" w:space="0" w:color="auto"/>
            </w:tcBorders>
            <w:shd w:val="clear" w:color="000000" w:fill="E2EFDA"/>
            <w:vAlign w:val="center"/>
            <w:hideMark/>
          </w:tcPr>
          <w:p w14:paraId="74606665"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6" w:type="pct"/>
            <w:tcBorders>
              <w:top w:val="nil"/>
              <w:left w:val="nil"/>
              <w:bottom w:val="single" w:sz="4" w:space="0" w:color="auto"/>
              <w:right w:val="single" w:sz="4" w:space="0" w:color="auto"/>
            </w:tcBorders>
            <w:shd w:val="clear" w:color="000000" w:fill="ED7D31"/>
            <w:vAlign w:val="center"/>
            <w:hideMark/>
          </w:tcPr>
          <w:p w14:paraId="31452A7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80" w:type="pct"/>
            <w:tcBorders>
              <w:top w:val="nil"/>
              <w:left w:val="nil"/>
              <w:bottom w:val="single" w:sz="4" w:space="0" w:color="auto"/>
              <w:right w:val="single" w:sz="4" w:space="0" w:color="auto"/>
            </w:tcBorders>
            <w:shd w:val="clear" w:color="000000" w:fill="E2EFDA"/>
            <w:vAlign w:val="center"/>
            <w:hideMark/>
          </w:tcPr>
          <w:p w14:paraId="457A5E0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0,50</w:t>
            </w:r>
          </w:p>
        </w:tc>
        <w:tc>
          <w:tcPr>
            <w:tcW w:w="380" w:type="pct"/>
            <w:tcBorders>
              <w:top w:val="nil"/>
              <w:left w:val="nil"/>
              <w:bottom w:val="single" w:sz="4" w:space="0" w:color="auto"/>
              <w:right w:val="single" w:sz="4" w:space="0" w:color="auto"/>
            </w:tcBorders>
            <w:shd w:val="clear" w:color="000000" w:fill="E2EFDA"/>
            <w:vAlign w:val="center"/>
            <w:hideMark/>
          </w:tcPr>
          <w:p w14:paraId="02774EF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0E5A99C7" w14:textId="77777777" w:rsidTr="00565B02">
        <w:trPr>
          <w:trHeight w:val="20"/>
        </w:trPr>
        <w:tc>
          <w:tcPr>
            <w:tcW w:w="368" w:type="pct"/>
            <w:vMerge/>
            <w:tcBorders>
              <w:top w:val="nil"/>
              <w:left w:val="single" w:sz="4" w:space="0" w:color="auto"/>
              <w:bottom w:val="single" w:sz="4" w:space="0" w:color="auto"/>
              <w:right w:val="single" w:sz="4" w:space="0" w:color="auto"/>
            </w:tcBorders>
            <w:vAlign w:val="center"/>
            <w:hideMark/>
          </w:tcPr>
          <w:p w14:paraId="00E15321"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280" w:type="pct"/>
            <w:tcBorders>
              <w:top w:val="nil"/>
              <w:left w:val="nil"/>
              <w:bottom w:val="single" w:sz="4" w:space="0" w:color="auto"/>
              <w:right w:val="single" w:sz="4" w:space="0" w:color="auto"/>
            </w:tcBorders>
            <w:shd w:val="clear" w:color="auto" w:fill="auto"/>
            <w:vAlign w:val="center"/>
            <w:hideMark/>
          </w:tcPr>
          <w:p w14:paraId="5F3ED96D"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МП_EС4</w:t>
            </w:r>
          </w:p>
        </w:tc>
        <w:tc>
          <w:tcPr>
            <w:tcW w:w="1372" w:type="pct"/>
            <w:tcBorders>
              <w:top w:val="nil"/>
              <w:left w:val="nil"/>
              <w:bottom w:val="single" w:sz="4" w:space="0" w:color="auto"/>
              <w:right w:val="single" w:sz="4" w:space="0" w:color="auto"/>
            </w:tcBorders>
            <w:shd w:val="clear" w:color="auto" w:fill="auto"/>
            <w:vAlign w:val="center"/>
            <w:hideMark/>
          </w:tcPr>
          <w:p w14:paraId="09280C89"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Формирање оперативних резерви нафте, угља и других енергената</w:t>
            </w:r>
          </w:p>
        </w:tc>
        <w:tc>
          <w:tcPr>
            <w:tcW w:w="330" w:type="pct"/>
            <w:tcBorders>
              <w:top w:val="nil"/>
              <w:left w:val="nil"/>
              <w:bottom w:val="single" w:sz="4" w:space="0" w:color="auto"/>
              <w:right w:val="single" w:sz="4" w:space="0" w:color="auto"/>
            </w:tcBorders>
            <w:shd w:val="clear" w:color="auto" w:fill="auto"/>
            <w:vAlign w:val="center"/>
            <w:hideMark/>
          </w:tcPr>
          <w:p w14:paraId="60758BD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8" w:type="pct"/>
            <w:tcBorders>
              <w:top w:val="nil"/>
              <w:left w:val="nil"/>
              <w:bottom w:val="single" w:sz="4" w:space="0" w:color="auto"/>
              <w:right w:val="single" w:sz="4" w:space="0" w:color="auto"/>
            </w:tcBorders>
            <w:shd w:val="clear" w:color="auto" w:fill="auto"/>
            <w:vAlign w:val="center"/>
            <w:hideMark/>
          </w:tcPr>
          <w:p w14:paraId="18833138"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7C03F0F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0,50</w:t>
            </w:r>
          </w:p>
        </w:tc>
        <w:tc>
          <w:tcPr>
            <w:tcW w:w="338" w:type="pct"/>
            <w:tcBorders>
              <w:top w:val="nil"/>
              <w:left w:val="nil"/>
              <w:bottom w:val="single" w:sz="4" w:space="0" w:color="auto"/>
              <w:right w:val="single" w:sz="4" w:space="0" w:color="auto"/>
            </w:tcBorders>
            <w:shd w:val="clear" w:color="000000" w:fill="E2EFDA"/>
            <w:vAlign w:val="center"/>
            <w:hideMark/>
          </w:tcPr>
          <w:p w14:paraId="3E3FC90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0,50</w:t>
            </w:r>
          </w:p>
        </w:tc>
        <w:tc>
          <w:tcPr>
            <w:tcW w:w="350" w:type="pct"/>
            <w:tcBorders>
              <w:top w:val="nil"/>
              <w:left w:val="nil"/>
              <w:bottom w:val="single" w:sz="4" w:space="0" w:color="auto"/>
              <w:right w:val="single" w:sz="4" w:space="0" w:color="auto"/>
            </w:tcBorders>
            <w:shd w:val="clear" w:color="000000" w:fill="E2EFDA"/>
            <w:vAlign w:val="center"/>
            <w:hideMark/>
          </w:tcPr>
          <w:p w14:paraId="300F420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6" w:type="pct"/>
            <w:tcBorders>
              <w:top w:val="nil"/>
              <w:left w:val="nil"/>
              <w:bottom w:val="single" w:sz="4" w:space="0" w:color="auto"/>
              <w:right w:val="single" w:sz="4" w:space="0" w:color="auto"/>
            </w:tcBorders>
            <w:shd w:val="clear" w:color="000000" w:fill="ED7D31"/>
            <w:vAlign w:val="center"/>
            <w:hideMark/>
          </w:tcPr>
          <w:p w14:paraId="5465848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80" w:type="pct"/>
            <w:tcBorders>
              <w:top w:val="nil"/>
              <w:left w:val="nil"/>
              <w:bottom w:val="single" w:sz="4" w:space="0" w:color="auto"/>
              <w:right w:val="single" w:sz="4" w:space="0" w:color="auto"/>
            </w:tcBorders>
            <w:shd w:val="clear" w:color="000000" w:fill="E2EFDA"/>
            <w:vAlign w:val="center"/>
            <w:hideMark/>
          </w:tcPr>
          <w:p w14:paraId="559AE5E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0,50</w:t>
            </w:r>
          </w:p>
        </w:tc>
        <w:tc>
          <w:tcPr>
            <w:tcW w:w="380" w:type="pct"/>
            <w:tcBorders>
              <w:top w:val="nil"/>
              <w:left w:val="nil"/>
              <w:bottom w:val="single" w:sz="4" w:space="0" w:color="auto"/>
              <w:right w:val="single" w:sz="4" w:space="0" w:color="auto"/>
            </w:tcBorders>
            <w:shd w:val="clear" w:color="000000" w:fill="E2EFDA"/>
            <w:vAlign w:val="center"/>
            <w:hideMark/>
          </w:tcPr>
          <w:p w14:paraId="32735A4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1F634968" w14:textId="77777777" w:rsidTr="00565B02">
        <w:trPr>
          <w:trHeight w:val="20"/>
        </w:trPr>
        <w:tc>
          <w:tcPr>
            <w:tcW w:w="368" w:type="pct"/>
            <w:vMerge/>
            <w:tcBorders>
              <w:top w:val="nil"/>
              <w:left w:val="single" w:sz="4" w:space="0" w:color="auto"/>
              <w:bottom w:val="single" w:sz="4" w:space="0" w:color="auto"/>
              <w:right w:val="single" w:sz="4" w:space="0" w:color="auto"/>
            </w:tcBorders>
            <w:vAlign w:val="center"/>
            <w:hideMark/>
          </w:tcPr>
          <w:p w14:paraId="44CA2E2D"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280" w:type="pct"/>
            <w:tcBorders>
              <w:top w:val="nil"/>
              <w:left w:val="nil"/>
              <w:bottom w:val="single" w:sz="4" w:space="0" w:color="auto"/>
              <w:right w:val="single" w:sz="4" w:space="0" w:color="auto"/>
            </w:tcBorders>
            <w:shd w:val="clear" w:color="auto" w:fill="auto"/>
            <w:vAlign w:val="center"/>
            <w:hideMark/>
          </w:tcPr>
          <w:p w14:paraId="1B5A47BF"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МП_EС5</w:t>
            </w:r>
          </w:p>
        </w:tc>
        <w:tc>
          <w:tcPr>
            <w:tcW w:w="1372" w:type="pct"/>
            <w:tcBorders>
              <w:top w:val="nil"/>
              <w:left w:val="nil"/>
              <w:bottom w:val="single" w:sz="4" w:space="0" w:color="auto"/>
              <w:right w:val="single" w:sz="4" w:space="0" w:color="auto"/>
            </w:tcBorders>
            <w:shd w:val="clear" w:color="auto" w:fill="auto"/>
            <w:vAlign w:val="center"/>
            <w:hideMark/>
          </w:tcPr>
          <w:p w14:paraId="717F243B"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Формирање обавезних резерви природног гаса</w:t>
            </w:r>
          </w:p>
        </w:tc>
        <w:tc>
          <w:tcPr>
            <w:tcW w:w="330" w:type="pct"/>
            <w:tcBorders>
              <w:top w:val="nil"/>
              <w:left w:val="nil"/>
              <w:bottom w:val="single" w:sz="4" w:space="0" w:color="auto"/>
              <w:right w:val="single" w:sz="4" w:space="0" w:color="auto"/>
            </w:tcBorders>
            <w:shd w:val="clear" w:color="auto" w:fill="auto"/>
            <w:vAlign w:val="center"/>
            <w:hideMark/>
          </w:tcPr>
          <w:p w14:paraId="359DCDF7"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8" w:type="pct"/>
            <w:tcBorders>
              <w:top w:val="nil"/>
              <w:left w:val="nil"/>
              <w:bottom w:val="single" w:sz="4" w:space="0" w:color="auto"/>
              <w:right w:val="single" w:sz="4" w:space="0" w:color="auto"/>
            </w:tcBorders>
            <w:shd w:val="clear" w:color="auto" w:fill="auto"/>
            <w:vAlign w:val="center"/>
            <w:hideMark/>
          </w:tcPr>
          <w:p w14:paraId="01F3512E"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6E7DFA05"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0,50</w:t>
            </w:r>
          </w:p>
        </w:tc>
        <w:tc>
          <w:tcPr>
            <w:tcW w:w="338" w:type="pct"/>
            <w:tcBorders>
              <w:top w:val="nil"/>
              <w:left w:val="nil"/>
              <w:bottom w:val="single" w:sz="4" w:space="0" w:color="auto"/>
              <w:right w:val="single" w:sz="4" w:space="0" w:color="auto"/>
            </w:tcBorders>
            <w:shd w:val="clear" w:color="000000" w:fill="E2EFDA"/>
            <w:vAlign w:val="center"/>
            <w:hideMark/>
          </w:tcPr>
          <w:p w14:paraId="71ED8761"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0,50</w:t>
            </w:r>
          </w:p>
        </w:tc>
        <w:tc>
          <w:tcPr>
            <w:tcW w:w="350" w:type="pct"/>
            <w:tcBorders>
              <w:top w:val="nil"/>
              <w:left w:val="nil"/>
              <w:bottom w:val="single" w:sz="4" w:space="0" w:color="auto"/>
              <w:right w:val="single" w:sz="4" w:space="0" w:color="auto"/>
            </w:tcBorders>
            <w:shd w:val="clear" w:color="000000" w:fill="E2EFDA"/>
            <w:vAlign w:val="center"/>
            <w:hideMark/>
          </w:tcPr>
          <w:p w14:paraId="406F84D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6" w:type="pct"/>
            <w:tcBorders>
              <w:top w:val="nil"/>
              <w:left w:val="nil"/>
              <w:bottom w:val="single" w:sz="4" w:space="0" w:color="auto"/>
              <w:right w:val="single" w:sz="4" w:space="0" w:color="auto"/>
            </w:tcBorders>
            <w:shd w:val="clear" w:color="000000" w:fill="ED7D31"/>
            <w:vAlign w:val="center"/>
            <w:hideMark/>
          </w:tcPr>
          <w:p w14:paraId="11489FB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80" w:type="pct"/>
            <w:tcBorders>
              <w:top w:val="nil"/>
              <w:left w:val="nil"/>
              <w:bottom w:val="single" w:sz="4" w:space="0" w:color="auto"/>
              <w:right w:val="single" w:sz="4" w:space="0" w:color="auto"/>
            </w:tcBorders>
            <w:shd w:val="clear" w:color="000000" w:fill="E2EFDA"/>
            <w:vAlign w:val="center"/>
            <w:hideMark/>
          </w:tcPr>
          <w:p w14:paraId="2A235D36"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0,50</w:t>
            </w:r>
          </w:p>
        </w:tc>
        <w:tc>
          <w:tcPr>
            <w:tcW w:w="380" w:type="pct"/>
            <w:tcBorders>
              <w:top w:val="nil"/>
              <w:left w:val="nil"/>
              <w:bottom w:val="single" w:sz="4" w:space="0" w:color="auto"/>
              <w:right w:val="single" w:sz="4" w:space="0" w:color="auto"/>
            </w:tcBorders>
            <w:shd w:val="clear" w:color="000000" w:fill="E2EFDA"/>
            <w:vAlign w:val="center"/>
            <w:hideMark/>
          </w:tcPr>
          <w:p w14:paraId="29BBA986"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320B9C0B" w14:textId="77777777" w:rsidTr="00565B02">
        <w:trPr>
          <w:trHeight w:val="20"/>
        </w:trPr>
        <w:tc>
          <w:tcPr>
            <w:tcW w:w="368" w:type="pct"/>
            <w:vMerge/>
            <w:tcBorders>
              <w:top w:val="nil"/>
              <w:left w:val="single" w:sz="4" w:space="0" w:color="auto"/>
              <w:bottom w:val="single" w:sz="4" w:space="0" w:color="auto"/>
              <w:right w:val="single" w:sz="4" w:space="0" w:color="auto"/>
            </w:tcBorders>
            <w:vAlign w:val="center"/>
            <w:hideMark/>
          </w:tcPr>
          <w:p w14:paraId="3F03D873"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280" w:type="pct"/>
            <w:tcBorders>
              <w:top w:val="nil"/>
              <w:left w:val="nil"/>
              <w:bottom w:val="single" w:sz="4" w:space="0" w:color="auto"/>
              <w:right w:val="single" w:sz="4" w:space="0" w:color="auto"/>
            </w:tcBorders>
            <w:shd w:val="clear" w:color="auto" w:fill="auto"/>
            <w:vAlign w:val="center"/>
            <w:hideMark/>
          </w:tcPr>
          <w:p w14:paraId="11937A10"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МП_EС6</w:t>
            </w:r>
          </w:p>
        </w:tc>
        <w:tc>
          <w:tcPr>
            <w:tcW w:w="1372" w:type="pct"/>
            <w:tcBorders>
              <w:top w:val="nil"/>
              <w:left w:val="nil"/>
              <w:bottom w:val="single" w:sz="4" w:space="0" w:color="auto"/>
              <w:right w:val="single" w:sz="4" w:space="0" w:color="auto"/>
            </w:tcBorders>
            <w:shd w:val="clear" w:color="auto" w:fill="auto"/>
            <w:vAlign w:val="center"/>
            <w:hideMark/>
          </w:tcPr>
          <w:p w14:paraId="61BE79D3"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План приправности на ризике у сектору електричне енергије</w:t>
            </w:r>
          </w:p>
        </w:tc>
        <w:tc>
          <w:tcPr>
            <w:tcW w:w="330" w:type="pct"/>
            <w:tcBorders>
              <w:top w:val="nil"/>
              <w:left w:val="nil"/>
              <w:bottom w:val="single" w:sz="4" w:space="0" w:color="auto"/>
              <w:right w:val="single" w:sz="4" w:space="0" w:color="auto"/>
            </w:tcBorders>
            <w:shd w:val="clear" w:color="auto" w:fill="auto"/>
            <w:vAlign w:val="center"/>
            <w:hideMark/>
          </w:tcPr>
          <w:p w14:paraId="63546E77"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8" w:type="pct"/>
            <w:tcBorders>
              <w:top w:val="nil"/>
              <w:left w:val="nil"/>
              <w:bottom w:val="single" w:sz="4" w:space="0" w:color="auto"/>
              <w:right w:val="single" w:sz="4" w:space="0" w:color="auto"/>
            </w:tcBorders>
            <w:shd w:val="clear" w:color="auto" w:fill="auto"/>
            <w:vAlign w:val="center"/>
            <w:hideMark/>
          </w:tcPr>
          <w:p w14:paraId="391EAAC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6889EB61"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0,50</w:t>
            </w:r>
          </w:p>
        </w:tc>
        <w:tc>
          <w:tcPr>
            <w:tcW w:w="338" w:type="pct"/>
            <w:tcBorders>
              <w:top w:val="nil"/>
              <w:left w:val="nil"/>
              <w:bottom w:val="single" w:sz="4" w:space="0" w:color="auto"/>
              <w:right w:val="single" w:sz="4" w:space="0" w:color="auto"/>
            </w:tcBorders>
            <w:shd w:val="clear" w:color="000000" w:fill="E2EFDA"/>
            <w:vAlign w:val="center"/>
            <w:hideMark/>
          </w:tcPr>
          <w:p w14:paraId="0E17E1B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0,50</w:t>
            </w:r>
          </w:p>
        </w:tc>
        <w:tc>
          <w:tcPr>
            <w:tcW w:w="350" w:type="pct"/>
            <w:tcBorders>
              <w:top w:val="nil"/>
              <w:left w:val="nil"/>
              <w:bottom w:val="single" w:sz="4" w:space="0" w:color="auto"/>
              <w:right w:val="single" w:sz="4" w:space="0" w:color="auto"/>
            </w:tcBorders>
            <w:shd w:val="clear" w:color="000000" w:fill="E2EFDA"/>
            <w:vAlign w:val="center"/>
            <w:hideMark/>
          </w:tcPr>
          <w:p w14:paraId="453A545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6" w:type="pct"/>
            <w:tcBorders>
              <w:top w:val="nil"/>
              <w:left w:val="nil"/>
              <w:bottom w:val="single" w:sz="4" w:space="0" w:color="auto"/>
              <w:right w:val="single" w:sz="4" w:space="0" w:color="auto"/>
            </w:tcBorders>
            <w:shd w:val="clear" w:color="000000" w:fill="ED7D31"/>
            <w:vAlign w:val="center"/>
            <w:hideMark/>
          </w:tcPr>
          <w:p w14:paraId="69C3406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80" w:type="pct"/>
            <w:tcBorders>
              <w:top w:val="nil"/>
              <w:left w:val="nil"/>
              <w:bottom w:val="single" w:sz="4" w:space="0" w:color="auto"/>
              <w:right w:val="single" w:sz="4" w:space="0" w:color="auto"/>
            </w:tcBorders>
            <w:shd w:val="clear" w:color="000000" w:fill="E2EFDA"/>
            <w:vAlign w:val="center"/>
            <w:hideMark/>
          </w:tcPr>
          <w:p w14:paraId="028BDB9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0,50</w:t>
            </w:r>
          </w:p>
        </w:tc>
        <w:tc>
          <w:tcPr>
            <w:tcW w:w="380" w:type="pct"/>
            <w:tcBorders>
              <w:top w:val="nil"/>
              <w:left w:val="nil"/>
              <w:bottom w:val="single" w:sz="4" w:space="0" w:color="auto"/>
              <w:right w:val="single" w:sz="4" w:space="0" w:color="auto"/>
            </w:tcBorders>
            <w:shd w:val="clear" w:color="000000" w:fill="E2EFDA"/>
            <w:vAlign w:val="center"/>
            <w:hideMark/>
          </w:tcPr>
          <w:p w14:paraId="4A72D2BE"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0F3792FD" w14:textId="77777777" w:rsidTr="00565B02">
        <w:trPr>
          <w:trHeight w:val="20"/>
        </w:trPr>
        <w:tc>
          <w:tcPr>
            <w:tcW w:w="368" w:type="pct"/>
            <w:vMerge/>
            <w:tcBorders>
              <w:top w:val="nil"/>
              <w:left w:val="single" w:sz="4" w:space="0" w:color="auto"/>
              <w:bottom w:val="single" w:sz="4" w:space="0" w:color="auto"/>
              <w:right w:val="single" w:sz="4" w:space="0" w:color="auto"/>
            </w:tcBorders>
            <w:vAlign w:val="center"/>
            <w:hideMark/>
          </w:tcPr>
          <w:p w14:paraId="026E1463"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280" w:type="pct"/>
            <w:tcBorders>
              <w:top w:val="nil"/>
              <w:left w:val="nil"/>
              <w:bottom w:val="single" w:sz="4" w:space="0" w:color="auto"/>
              <w:right w:val="single" w:sz="4" w:space="0" w:color="auto"/>
            </w:tcBorders>
            <w:shd w:val="clear" w:color="auto" w:fill="auto"/>
            <w:vAlign w:val="center"/>
            <w:hideMark/>
          </w:tcPr>
          <w:p w14:paraId="5410CAE4"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МП_EС7</w:t>
            </w:r>
          </w:p>
        </w:tc>
        <w:tc>
          <w:tcPr>
            <w:tcW w:w="1372" w:type="pct"/>
            <w:tcBorders>
              <w:top w:val="nil"/>
              <w:left w:val="nil"/>
              <w:bottom w:val="single" w:sz="4" w:space="0" w:color="auto"/>
              <w:right w:val="single" w:sz="4" w:space="0" w:color="auto"/>
            </w:tcBorders>
            <w:shd w:val="clear" w:color="auto" w:fill="auto"/>
            <w:vAlign w:val="center"/>
            <w:hideMark/>
          </w:tcPr>
          <w:p w14:paraId="23447E20"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Ажурирање прописа о сигурности снабдевања (бар на националном нивоу)</w:t>
            </w:r>
          </w:p>
        </w:tc>
        <w:tc>
          <w:tcPr>
            <w:tcW w:w="330" w:type="pct"/>
            <w:tcBorders>
              <w:top w:val="nil"/>
              <w:left w:val="nil"/>
              <w:bottom w:val="single" w:sz="4" w:space="0" w:color="auto"/>
              <w:right w:val="single" w:sz="4" w:space="0" w:color="auto"/>
            </w:tcBorders>
            <w:shd w:val="clear" w:color="auto" w:fill="auto"/>
            <w:vAlign w:val="center"/>
            <w:hideMark/>
          </w:tcPr>
          <w:p w14:paraId="15A74E52"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8" w:type="pct"/>
            <w:tcBorders>
              <w:top w:val="nil"/>
              <w:left w:val="nil"/>
              <w:bottom w:val="single" w:sz="4" w:space="0" w:color="auto"/>
              <w:right w:val="single" w:sz="4" w:space="0" w:color="auto"/>
            </w:tcBorders>
            <w:shd w:val="clear" w:color="auto" w:fill="auto"/>
            <w:vAlign w:val="center"/>
            <w:hideMark/>
          </w:tcPr>
          <w:p w14:paraId="4E745836"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6068E0D6"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0,50</w:t>
            </w:r>
          </w:p>
        </w:tc>
        <w:tc>
          <w:tcPr>
            <w:tcW w:w="338" w:type="pct"/>
            <w:tcBorders>
              <w:top w:val="nil"/>
              <w:left w:val="nil"/>
              <w:bottom w:val="single" w:sz="4" w:space="0" w:color="auto"/>
              <w:right w:val="single" w:sz="4" w:space="0" w:color="auto"/>
            </w:tcBorders>
            <w:shd w:val="clear" w:color="000000" w:fill="E2EFDA"/>
            <w:vAlign w:val="center"/>
            <w:hideMark/>
          </w:tcPr>
          <w:p w14:paraId="32866E0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0,50</w:t>
            </w:r>
          </w:p>
        </w:tc>
        <w:tc>
          <w:tcPr>
            <w:tcW w:w="350" w:type="pct"/>
            <w:tcBorders>
              <w:top w:val="nil"/>
              <w:left w:val="nil"/>
              <w:bottom w:val="single" w:sz="4" w:space="0" w:color="auto"/>
              <w:right w:val="single" w:sz="4" w:space="0" w:color="auto"/>
            </w:tcBorders>
            <w:shd w:val="clear" w:color="000000" w:fill="E2EFDA"/>
            <w:vAlign w:val="center"/>
            <w:hideMark/>
          </w:tcPr>
          <w:p w14:paraId="6A38A94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6" w:type="pct"/>
            <w:tcBorders>
              <w:top w:val="nil"/>
              <w:left w:val="nil"/>
              <w:bottom w:val="single" w:sz="4" w:space="0" w:color="auto"/>
              <w:right w:val="single" w:sz="4" w:space="0" w:color="auto"/>
            </w:tcBorders>
            <w:shd w:val="clear" w:color="000000" w:fill="ED7D31"/>
            <w:vAlign w:val="center"/>
            <w:hideMark/>
          </w:tcPr>
          <w:p w14:paraId="1AC42B92"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80" w:type="pct"/>
            <w:tcBorders>
              <w:top w:val="nil"/>
              <w:left w:val="nil"/>
              <w:bottom w:val="single" w:sz="4" w:space="0" w:color="auto"/>
              <w:right w:val="single" w:sz="4" w:space="0" w:color="auto"/>
            </w:tcBorders>
            <w:shd w:val="clear" w:color="000000" w:fill="E2EFDA"/>
            <w:vAlign w:val="center"/>
            <w:hideMark/>
          </w:tcPr>
          <w:p w14:paraId="72C83AC8"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0,50</w:t>
            </w:r>
          </w:p>
        </w:tc>
        <w:tc>
          <w:tcPr>
            <w:tcW w:w="380" w:type="pct"/>
            <w:tcBorders>
              <w:top w:val="nil"/>
              <w:left w:val="nil"/>
              <w:bottom w:val="single" w:sz="4" w:space="0" w:color="auto"/>
              <w:right w:val="single" w:sz="4" w:space="0" w:color="auto"/>
            </w:tcBorders>
            <w:shd w:val="clear" w:color="000000" w:fill="E2EFDA"/>
            <w:vAlign w:val="center"/>
            <w:hideMark/>
          </w:tcPr>
          <w:p w14:paraId="0683F416"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635DA86C" w14:textId="77777777" w:rsidTr="00565B02">
        <w:trPr>
          <w:trHeight w:val="20"/>
        </w:trPr>
        <w:tc>
          <w:tcPr>
            <w:tcW w:w="368" w:type="pct"/>
            <w:vMerge/>
            <w:tcBorders>
              <w:top w:val="nil"/>
              <w:left w:val="single" w:sz="4" w:space="0" w:color="auto"/>
              <w:bottom w:val="single" w:sz="4" w:space="0" w:color="auto"/>
              <w:right w:val="single" w:sz="4" w:space="0" w:color="auto"/>
            </w:tcBorders>
            <w:vAlign w:val="center"/>
            <w:hideMark/>
          </w:tcPr>
          <w:p w14:paraId="620EA0B7"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280" w:type="pct"/>
            <w:tcBorders>
              <w:top w:val="nil"/>
              <w:left w:val="nil"/>
              <w:bottom w:val="single" w:sz="4" w:space="0" w:color="auto"/>
              <w:right w:val="single" w:sz="4" w:space="0" w:color="auto"/>
            </w:tcBorders>
            <w:shd w:val="clear" w:color="auto" w:fill="auto"/>
            <w:vAlign w:val="center"/>
            <w:hideMark/>
          </w:tcPr>
          <w:p w14:paraId="66387E25"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МП_EС8</w:t>
            </w:r>
          </w:p>
        </w:tc>
        <w:tc>
          <w:tcPr>
            <w:tcW w:w="1372" w:type="pct"/>
            <w:tcBorders>
              <w:top w:val="nil"/>
              <w:left w:val="nil"/>
              <w:bottom w:val="single" w:sz="4" w:space="0" w:color="auto"/>
              <w:right w:val="single" w:sz="4" w:space="0" w:color="auto"/>
            </w:tcBorders>
            <w:shd w:val="clear" w:color="auto" w:fill="auto"/>
            <w:vAlign w:val="center"/>
            <w:hideMark/>
          </w:tcPr>
          <w:p w14:paraId="204C4056"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Продуктовод од рафинерије Панчево до Новог Сада, Сомбора, Београда и Ниша, преко Смедерева и Јагодине</w:t>
            </w:r>
          </w:p>
        </w:tc>
        <w:tc>
          <w:tcPr>
            <w:tcW w:w="330" w:type="pct"/>
            <w:tcBorders>
              <w:top w:val="nil"/>
              <w:left w:val="nil"/>
              <w:bottom w:val="single" w:sz="4" w:space="0" w:color="auto"/>
              <w:right w:val="single" w:sz="4" w:space="0" w:color="auto"/>
            </w:tcBorders>
            <w:shd w:val="clear" w:color="auto" w:fill="auto"/>
            <w:vAlign w:val="center"/>
            <w:hideMark/>
          </w:tcPr>
          <w:p w14:paraId="284CF67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98" w:type="pct"/>
            <w:tcBorders>
              <w:top w:val="nil"/>
              <w:left w:val="nil"/>
              <w:bottom w:val="single" w:sz="4" w:space="0" w:color="auto"/>
              <w:right w:val="single" w:sz="4" w:space="0" w:color="auto"/>
            </w:tcBorders>
            <w:shd w:val="clear" w:color="auto" w:fill="auto"/>
            <w:vAlign w:val="center"/>
            <w:hideMark/>
          </w:tcPr>
          <w:p w14:paraId="2B98EBA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24965CF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400,00</w:t>
            </w:r>
          </w:p>
        </w:tc>
        <w:tc>
          <w:tcPr>
            <w:tcW w:w="338" w:type="pct"/>
            <w:tcBorders>
              <w:top w:val="nil"/>
              <w:left w:val="nil"/>
              <w:bottom w:val="single" w:sz="4" w:space="0" w:color="auto"/>
              <w:right w:val="single" w:sz="4" w:space="0" w:color="auto"/>
            </w:tcBorders>
            <w:shd w:val="clear" w:color="000000" w:fill="E2EFDA"/>
            <w:vAlign w:val="center"/>
            <w:hideMark/>
          </w:tcPr>
          <w:p w14:paraId="377A032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60,00</w:t>
            </w:r>
          </w:p>
        </w:tc>
        <w:tc>
          <w:tcPr>
            <w:tcW w:w="350" w:type="pct"/>
            <w:tcBorders>
              <w:top w:val="nil"/>
              <w:left w:val="nil"/>
              <w:bottom w:val="single" w:sz="4" w:space="0" w:color="auto"/>
              <w:right w:val="single" w:sz="4" w:space="0" w:color="auto"/>
            </w:tcBorders>
            <w:shd w:val="clear" w:color="000000" w:fill="E2EFDA"/>
            <w:vAlign w:val="center"/>
            <w:hideMark/>
          </w:tcPr>
          <w:p w14:paraId="5ED8575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340,00</w:t>
            </w:r>
          </w:p>
        </w:tc>
        <w:tc>
          <w:tcPr>
            <w:tcW w:w="376" w:type="pct"/>
            <w:tcBorders>
              <w:top w:val="nil"/>
              <w:left w:val="nil"/>
              <w:bottom w:val="single" w:sz="4" w:space="0" w:color="auto"/>
              <w:right w:val="single" w:sz="4" w:space="0" w:color="auto"/>
            </w:tcBorders>
            <w:shd w:val="clear" w:color="000000" w:fill="ED7D31"/>
            <w:vAlign w:val="center"/>
            <w:hideMark/>
          </w:tcPr>
          <w:p w14:paraId="2C9CADAE"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80" w:type="pct"/>
            <w:tcBorders>
              <w:top w:val="nil"/>
              <w:left w:val="nil"/>
              <w:bottom w:val="single" w:sz="4" w:space="0" w:color="auto"/>
              <w:right w:val="single" w:sz="4" w:space="0" w:color="auto"/>
            </w:tcBorders>
            <w:shd w:val="clear" w:color="000000" w:fill="E2EFDA"/>
            <w:vAlign w:val="center"/>
            <w:hideMark/>
          </w:tcPr>
          <w:p w14:paraId="11BFC1B5"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400,00</w:t>
            </w:r>
          </w:p>
        </w:tc>
        <w:tc>
          <w:tcPr>
            <w:tcW w:w="380" w:type="pct"/>
            <w:tcBorders>
              <w:top w:val="nil"/>
              <w:left w:val="nil"/>
              <w:bottom w:val="single" w:sz="4" w:space="0" w:color="auto"/>
              <w:right w:val="single" w:sz="4" w:space="0" w:color="auto"/>
            </w:tcBorders>
            <w:shd w:val="clear" w:color="000000" w:fill="E2EFDA"/>
            <w:vAlign w:val="center"/>
            <w:hideMark/>
          </w:tcPr>
          <w:p w14:paraId="0476F9E6"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61A28C5A" w14:textId="77777777" w:rsidTr="00565B02">
        <w:trPr>
          <w:trHeight w:val="20"/>
        </w:trPr>
        <w:tc>
          <w:tcPr>
            <w:tcW w:w="368" w:type="pct"/>
            <w:vMerge/>
            <w:tcBorders>
              <w:top w:val="nil"/>
              <w:left w:val="single" w:sz="4" w:space="0" w:color="auto"/>
              <w:bottom w:val="single" w:sz="4" w:space="0" w:color="auto"/>
              <w:right w:val="single" w:sz="4" w:space="0" w:color="auto"/>
            </w:tcBorders>
            <w:vAlign w:val="center"/>
            <w:hideMark/>
          </w:tcPr>
          <w:p w14:paraId="1B131619"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280" w:type="pct"/>
            <w:tcBorders>
              <w:top w:val="nil"/>
              <w:left w:val="nil"/>
              <w:bottom w:val="single" w:sz="4" w:space="0" w:color="auto"/>
              <w:right w:val="single" w:sz="4" w:space="0" w:color="auto"/>
            </w:tcBorders>
            <w:shd w:val="clear" w:color="auto" w:fill="auto"/>
            <w:vAlign w:val="center"/>
            <w:hideMark/>
          </w:tcPr>
          <w:p w14:paraId="46436EE9"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МП_EС9</w:t>
            </w:r>
          </w:p>
        </w:tc>
        <w:tc>
          <w:tcPr>
            <w:tcW w:w="1372" w:type="pct"/>
            <w:tcBorders>
              <w:top w:val="nil"/>
              <w:left w:val="nil"/>
              <w:bottom w:val="single" w:sz="4" w:space="0" w:color="auto"/>
              <w:right w:val="single" w:sz="4" w:space="0" w:color="auto"/>
            </w:tcBorders>
            <w:shd w:val="clear" w:color="auto" w:fill="auto"/>
            <w:vAlign w:val="center"/>
            <w:hideMark/>
          </w:tcPr>
          <w:p w14:paraId="2402B278"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Развој пројекта реверзибилне хидроелектране у Бистрици</w:t>
            </w:r>
          </w:p>
        </w:tc>
        <w:tc>
          <w:tcPr>
            <w:tcW w:w="330" w:type="pct"/>
            <w:tcBorders>
              <w:top w:val="nil"/>
              <w:left w:val="nil"/>
              <w:bottom w:val="single" w:sz="4" w:space="0" w:color="auto"/>
              <w:right w:val="single" w:sz="4" w:space="0" w:color="auto"/>
            </w:tcBorders>
            <w:shd w:val="clear" w:color="auto" w:fill="auto"/>
            <w:vAlign w:val="center"/>
            <w:hideMark/>
          </w:tcPr>
          <w:p w14:paraId="1685668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98" w:type="pct"/>
            <w:tcBorders>
              <w:top w:val="nil"/>
              <w:left w:val="nil"/>
              <w:bottom w:val="single" w:sz="4" w:space="0" w:color="auto"/>
              <w:right w:val="single" w:sz="4" w:space="0" w:color="auto"/>
            </w:tcBorders>
            <w:shd w:val="clear" w:color="auto" w:fill="auto"/>
            <w:vAlign w:val="center"/>
            <w:hideMark/>
          </w:tcPr>
          <w:p w14:paraId="16BC41E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4F3A3A5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835,00</w:t>
            </w:r>
          </w:p>
        </w:tc>
        <w:tc>
          <w:tcPr>
            <w:tcW w:w="338" w:type="pct"/>
            <w:tcBorders>
              <w:top w:val="nil"/>
              <w:left w:val="nil"/>
              <w:bottom w:val="single" w:sz="4" w:space="0" w:color="auto"/>
              <w:right w:val="single" w:sz="4" w:space="0" w:color="auto"/>
            </w:tcBorders>
            <w:shd w:val="clear" w:color="000000" w:fill="E2EFDA"/>
            <w:vAlign w:val="center"/>
            <w:hideMark/>
          </w:tcPr>
          <w:p w14:paraId="07DC6D7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417,50</w:t>
            </w:r>
          </w:p>
        </w:tc>
        <w:tc>
          <w:tcPr>
            <w:tcW w:w="350" w:type="pct"/>
            <w:tcBorders>
              <w:top w:val="nil"/>
              <w:left w:val="nil"/>
              <w:bottom w:val="single" w:sz="4" w:space="0" w:color="auto"/>
              <w:right w:val="single" w:sz="4" w:space="0" w:color="auto"/>
            </w:tcBorders>
            <w:shd w:val="clear" w:color="000000" w:fill="E2EFDA"/>
            <w:vAlign w:val="center"/>
            <w:hideMark/>
          </w:tcPr>
          <w:p w14:paraId="2E5FB2D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417,50</w:t>
            </w:r>
          </w:p>
        </w:tc>
        <w:tc>
          <w:tcPr>
            <w:tcW w:w="376" w:type="pct"/>
            <w:tcBorders>
              <w:top w:val="nil"/>
              <w:left w:val="nil"/>
              <w:bottom w:val="single" w:sz="4" w:space="0" w:color="auto"/>
              <w:right w:val="single" w:sz="4" w:space="0" w:color="auto"/>
            </w:tcBorders>
            <w:shd w:val="clear" w:color="000000" w:fill="E2EFDA"/>
            <w:vAlign w:val="center"/>
            <w:hideMark/>
          </w:tcPr>
          <w:p w14:paraId="285BADD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80" w:type="pct"/>
            <w:tcBorders>
              <w:top w:val="nil"/>
              <w:left w:val="nil"/>
              <w:bottom w:val="single" w:sz="4" w:space="0" w:color="auto"/>
              <w:right w:val="single" w:sz="4" w:space="0" w:color="auto"/>
            </w:tcBorders>
            <w:shd w:val="clear" w:color="000000" w:fill="E2EFDA"/>
            <w:vAlign w:val="center"/>
            <w:hideMark/>
          </w:tcPr>
          <w:p w14:paraId="602876CE"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other</w:t>
            </w:r>
          </w:p>
        </w:tc>
        <w:tc>
          <w:tcPr>
            <w:tcW w:w="380" w:type="pct"/>
            <w:tcBorders>
              <w:top w:val="nil"/>
              <w:left w:val="nil"/>
              <w:bottom w:val="single" w:sz="4" w:space="0" w:color="auto"/>
              <w:right w:val="single" w:sz="4" w:space="0" w:color="auto"/>
            </w:tcBorders>
            <w:shd w:val="clear" w:color="000000" w:fill="E2EFDA"/>
            <w:vAlign w:val="center"/>
            <w:hideMark/>
          </w:tcPr>
          <w:p w14:paraId="0B62A00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835,00</w:t>
            </w:r>
          </w:p>
        </w:tc>
      </w:tr>
      <w:tr w:rsidR="0022244A" w:rsidRPr="00975EE5" w14:paraId="39B014AB" w14:textId="77777777" w:rsidTr="00565B02">
        <w:trPr>
          <w:trHeight w:val="20"/>
        </w:trPr>
        <w:tc>
          <w:tcPr>
            <w:tcW w:w="368" w:type="pct"/>
            <w:vMerge/>
            <w:tcBorders>
              <w:top w:val="nil"/>
              <w:left w:val="single" w:sz="4" w:space="0" w:color="auto"/>
              <w:bottom w:val="single" w:sz="4" w:space="0" w:color="auto"/>
              <w:right w:val="single" w:sz="4" w:space="0" w:color="auto"/>
            </w:tcBorders>
            <w:vAlign w:val="center"/>
            <w:hideMark/>
          </w:tcPr>
          <w:p w14:paraId="33EF480A"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280" w:type="pct"/>
            <w:tcBorders>
              <w:top w:val="nil"/>
              <w:left w:val="nil"/>
              <w:bottom w:val="single" w:sz="4" w:space="0" w:color="auto"/>
              <w:right w:val="single" w:sz="4" w:space="0" w:color="auto"/>
            </w:tcBorders>
            <w:shd w:val="clear" w:color="auto" w:fill="auto"/>
            <w:vAlign w:val="center"/>
            <w:hideMark/>
          </w:tcPr>
          <w:p w14:paraId="7DAB7E52"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МП_EС10</w:t>
            </w:r>
          </w:p>
        </w:tc>
        <w:tc>
          <w:tcPr>
            <w:tcW w:w="1372" w:type="pct"/>
            <w:tcBorders>
              <w:top w:val="nil"/>
              <w:left w:val="nil"/>
              <w:bottom w:val="single" w:sz="4" w:space="0" w:color="auto"/>
              <w:right w:val="single" w:sz="4" w:space="0" w:color="auto"/>
            </w:tcBorders>
            <w:shd w:val="clear" w:color="auto" w:fill="auto"/>
            <w:vAlign w:val="center"/>
            <w:hideMark/>
          </w:tcPr>
          <w:p w14:paraId="371A1610"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xml:space="preserve">Развој додатне управљиве производње из природног гаса </w:t>
            </w:r>
          </w:p>
        </w:tc>
        <w:tc>
          <w:tcPr>
            <w:tcW w:w="330" w:type="pct"/>
            <w:tcBorders>
              <w:top w:val="nil"/>
              <w:left w:val="nil"/>
              <w:bottom w:val="single" w:sz="4" w:space="0" w:color="auto"/>
              <w:right w:val="single" w:sz="4" w:space="0" w:color="auto"/>
            </w:tcBorders>
            <w:shd w:val="clear" w:color="auto" w:fill="auto"/>
            <w:vAlign w:val="center"/>
            <w:hideMark/>
          </w:tcPr>
          <w:p w14:paraId="7ECD2A77"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98" w:type="pct"/>
            <w:tcBorders>
              <w:top w:val="nil"/>
              <w:left w:val="nil"/>
              <w:bottom w:val="single" w:sz="4" w:space="0" w:color="auto"/>
              <w:right w:val="single" w:sz="4" w:space="0" w:color="auto"/>
            </w:tcBorders>
            <w:shd w:val="clear" w:color="auto" w:fill="auto"/>
            <w:vAlign w:val="center"/>
            <w:hideMark/>
          </w:tcPr>
          <w:p w14:paraId="1FE3227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67AD5C22"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300,00</w:t>
            </w:r>
          </w:p>
        </w:tc>
        <w:tc>
          <w:tcPr>
            <w:tcW w:w="338" w:type="pct"/>
            <w:tcBorders>
              <w:top w:val="nil"/>
              <w:left w:val="nil"/>
              <w:bottom w:val="single" w:sz="4" w:space="0" w:color="auto"/>
              <w:right w:val="single" w:sz="4" w:space="0" w:color="auto"/>
            </w:tcBorders>
            <w:shd w:val="clear" w:color="000000" w:fill="E2EFDA"/>
            <w:vAlign w:val="center"/>
            <w:hideMark/>
          </w:tcPr>
          <w:p w14:paraId="00B473B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150,00</w:t>
            </w:r>
          </w:p>
        </w:tc>
        <w:tc>
          <w:tcPr>
            <w:tcW w:w="350" w:type="pct"/>
            <w:tcBorders>
              <w:top w:val="nil"/>
              <w:left w:val="nil"/>
              <w:bottom w:val="single" w:sz="4" w:space="0" w:color="auto"/>
              <w:right w:val="single" w:sz="4" w:space="0" w:color="auto"/>
            </w:tcBorders>
            <w:shd w:val="clear" w:color="000000" w:fill="E2EFDA"/>
            <w:vAlign w:val="center"/>
            <w:hideMark/>
          </w:tcPr>
          <w:p w14:paraId="25C74A5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150,00</w:t>
            </w:r>
          </w:p>
        </w:tc>
        <w:tc>
          <w:tcPr>
            <w:tcW w:w="376" w:type="pct"/>
            <w:tcBorders>
              <w:top w:val="nil"/>
              <w:left w:val="nil"/>
              <w:bottom w:val="single" w:sz="4" w:space="0" w:color="auto"/>
              <w:right w:val="single" w:sz="4" w:space="0" w:color="auto"/>
            </w:tcBorders>
            <w:shd w:val="clear" w:color="000000" w:fill="E2EFDA"/>
            <w:vAlign w:val="center"/>
            <w:hideMark/>
          </w:tcPr>
          <w:p w14:paraId="697C64F7"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80" w:type="pct"/>
            <w:tcBorders>
              <w:top w:val="nil"/>
              <w:left w:val="nil"/>
              <w:bottom w:val="single" w:sz="4" w:space="0" w:color="auto"/>
              <w:right w:val="single" w:sz="4" w:space="0" w:color="auto"/>
            </w:tcBorders>
            <w:shd w:val="clear" w:color="000000" w:fill="E2EFDA"/>
            <w:vAlign w:val="center"/>
            <w:hideMark/>
          </w:tcPr>
          <w:p w14:paraId="643A504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other</w:t>
            </w:r>
          </w:p>
        </w:tc>
        <w:tc>
          <w:tcPr>
            <w:tcW w:w="380" w:type="pct"/>
            <w:tcBorders>
              <w:top w:val="nil"/>
              <w:left w:val="nil"/>
              <w:bottom w:val="single" w:sz="4" w:space="0" w:color="auto"/>
              <w:right w:val="single" w:sz="4" w:space="0" w:color="auto"/>
            </w:tcBorders>
            <w:shd w:val="clear" w:color="000000" w:fill="E2EFDA"/>
            <w:vAlign w:val="center"/>
            <w:hideMark/>
          </w:tcPr>
          <w:p w14:paraId="2C259ACA"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300,00</w:t>
            </w:r>
          </w:p>
        </w:tc>
      </w:tr>
      <w:tr w:rsidR="0022244A" w:rsidRPr="00975EE5" w14:paraId="02234711" w14:textId="77777777" w:rsidTr="00565B02">
        <w:trPr>
          <w:trHeight w:val="20"/>
        </w:trPr>
        <w:tc>
          <w:tcPr>
            <w:tcW w:w="368" w:type="pct"/>
            <w:vMerge/>
            <w:tcBorders>
              <w:top w:val="nil"/>
              <w:left w:val="single" w:sz="4" w:space="0" w:color="auto"/>
              <w:bottom w:val="single" w:sz="4" w:space="0" w:color="auto"/>
              <w:right w:val="single" w:sz="4" w:space="0" w:color="auto"/>
            </w:tcBorders>
            <w:vAlign w:val="center"/>
            <w:hideMark/>
          </w:tcPr>
          <w:p w14:paraId="3315C36E"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280" w:type="pct"/>
            <w:tcBorders>
              <w:top w:val="nil"/>
              <w:left w:val="nil"/>
              <w:bottom w:val="single" w:sz="4" w:space="0" w:color="auto"/>
              <w:right w:val="single" w:sz="4" w:space="0" w:color="auto"/>
            </w:tcBorders>
            <w:shd w:val="clear" w:color="auto" w:fill="auto"/>
            <w:vAlign w:val="center"/>
            <w:hideMark/>
          </w:tcPr>
          <w:p w14:paraId="64F72E99"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МП_EС11</w:t>
            </w:r>
          </w:p>
        </w:tc>
        <w:tc>
          <w:tcPr>
            <w:tcW w:w="1372" w:type="pct"/>
            <w:tcBorders>
              <w:top w:val="nil"/>
              <w:left w:val="nil"/>
              <w:bottom w:val="single" w:sz="4" w:space="0" w:color="auto"/>
              <w:right w:val="single" w:sz="4" w:space="0" w:color="auto"/>
            </w:tcBorders>
            <w:shd w:val="clear" w:color="auto" w:fill="auto"/>
            <w:vAlign w:val="center"/>
            <w:hideMark/>
          </w:tcPr>
          <w:p w14:paraId="79C3830A"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Модернизација индустрије угља</w:t>
            </w:r>
          </w:p>
        </w:tc>
        <w:tc>
          <w:tcPr>
            <w:tcW w:w="330" w:type="pct"/>
            <w:tcBorders>
              <w:top w:val="nil"/>
              <w:left w:val="nil"/>
              <w:bottom w:val="single" w:sz="4" w:space="0" w:color="auto"/>
              <w:right w:val="single" w:sz="4" w:space="0" w:color="auto"/>
            </w:tcBorders>
            <w:shd w:val="clear" w:color="auto" w:fill="auto"/>
            <w:vAlign w:val="center"/>
            <w:hideMark/>
          </w:tcPr>
          <w:p w14:paraId="5C870035"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98" w:type="pct"/>
            <w:tcBorders>
              <w:top w:val="nil"/>
              <w:left w:val="nil"/>
              <w:bottom w:val="single" w:sz="4" w:space="0" w:color="auto"/>
              <w:right w:val="single" w:sz="4" w:space="0" w:color="auto"/>
            </w:tcBorders>
            <w:shd w:val="clear" w:color="auto" w:fill="auto"/>
            <w:vAlign w:val="center"/>
            <w:hideMark/>
          </w:tcPr>
          <w:p w14:paraId="421FC88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585D6DC9"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1300,00</w:t>
            </w:r>
          </w:p>
        </w:tc>
        <w:tc>
          <w:tcPr>
            <w:tcW w:w="338" w:type="pct"/>
            <w:tcBorders>
              <w:top w:val="nil"/>
              <w:left w:val="nil"/>
              <w:bottom w:val="single" w:sz="4" w:space="0" w:color="auto"/>
              <w:right w:val="single" w:sz="4" w:space="0" w:color="auto"/>
            </w:tcBorders>
            <w:shd w:val="clear" w:color="000000" w:fill="E2EFDA"/>
            <w:vAlign w:val="center"/>
            <w:hideMark/>
          </w:tcPr>
          <w:p w14:paraId="1349AA7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650,00</w:t>
            </w:r>
          </w:p>
        </w:tc>
        <w:tc>
          <w:tcPr>
            <w:tcW w:w="350" w:type="pct"/>
            <w:tcBorders>
              <w:top w:val="nil"/>
              <w:left w:val="nil"/>
              <w:bottom w:val="single" w:sz="4" w:space="0" w:color="auto"/>
              <w:right w:val="single" w:sz="4" w:space="0" w:color="auto"/>
            </w:tcBorders>
            <w:shd w:val="clear" w:color="000000" w:fill="E2EFDA"/>
            <w:vAlign w:val="center"/>
            <w:hideMark/>
          </w:tcPr>
          <w:p w14:paraId="0C1C4C2E"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650,00</w:t>
            </w:r>
          </w:p>
        </w:tc>
        <w:tc>
          <w:tcPr>
            <w:tcW w:w="376" w:type="pct"/>
            <w:tcBorders>
              <w:top w:val="nil"/>
              <w:left w:val="nil"/>
              <w:bottom w:val="single" w:sz="4" w:space="0" w:color="auto"/>
              <w:right w:val="single" w:sz="4" w:space="0" w:color="auto"/>
            </w:tcBorders>
            <w:shd w:val="clear" w:color="000000" w:fill="ED7D31"/>
            <w:vAlign w:val="center"/>
            <w:hideMark/>
          </w:tcPr>
          <w:p w14:paraId="34A32AB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80" w:type="pct"/>
            <w:tcBorders>
              <w:top w:val="nil"/>
              <w:left w:val="nil"/>
              <w:bottom w:val="single" w:sz="4" w:space="0" w:color="auto"/>
              <w:right w:val="single" w:sz="4" w:space="0" w:color="auto"/>
            </w:tcBorders>
            <w:shd w:val="clear" w:color="000000" w:fill="E2EFDA"/>
            <w:vAlign w:val="center"/>
            <w:hideMark/>
          </w:tcPr>
          <w:p w14:paraId="72ABB767"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1300,00</w:t>
            </w:r>
          </w:p>
        </w:tc>
        <w:tc>
          <w:tcPr>
            <w:tcW w:w="380" w:type="pct"/>
            <w:tcBorders>
              <w:top w:val="nil"/>
              <w:left w:val="nil"/>
              <w:bottom w:val="single" w:sz="4" w:space="0" w:color="auto"/>
              <w:right w:val="single" w:sz="4" w:space="0" w:color="auto"/>
            </w:tcBorders>
            <w:shd w:val="clear" w:color="000000" w:fill="E2EFDA"/>
            <w:vAlign w:val="center"/>
            <w:hideMark/>
          </w:tcPr>
          <w:p w14:paraId="40A7D857"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52683961" w14:textId="77777777" w:rsidTr="00565B02">
        <w:trPr>
          <w:trHeight w:val="20"/>
        </w:trPr>
        <w:tc>
          <w:tcPr>
            <w:tcW w:w="368" w:type="pct"/>
            <w:vMerge/>
            <w:tcBorders>
              <w:top w:val="nil"/>
              <w:left w:val="single" w:sz="4" w:space="0" w:color="auto"/>
              <w:bottom w:val="single" w:sz="4" w:space="0" w:color="auto"/>
              <w:right w:val="single" w:sz="4" w:space="0" w:color="auto"/>
            </w:tcBorders>
            <w:vAlign w:val="center"/>
            <w:hideMark/>
          </w:tcPr>
          <w:p w14:paraId="1E6A1944"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280" w:type="pct"/>
            <w:tcBorders>
              <w:top w:val="nil"/>
              <w:left w:val="nil"/>
              <w:bottom w:val="single" w:sz="4" w:space="0" w:color="auto"/>
              <w:right w:val="single" w:sz="4" w:space="0" w:color="auto"/>
            </w:tcBorders>
            <w:shd w:val="clear" w:color="auto" w:fill="auto"/>
            <w:vAlign w:val="center"/>
            <w:hideMark/>
          </w:tcPr>
          <w:p w14:paraId="6758011F" w14:textId="77777777" w:rsidR="0022244A" w:rsidRPr="00975EE5" w:rsidRDefault="0022244A" w:rsidP="00457A0B">
            <w:pPr>
              <w:spacing w:after="0" w:line="240" w:lineRule="auto"/>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 </w:t>
            </w:r>
          </w:p>
        </w:tc>
        <w:tc>
          <w:tcPr>
            <w:tcW w:w="1372" w:type="pct"/>
            <w:tcBorders>
              <w:top w:val="nil"/>
              <w:left w:val="nil"/>
              <w:bottom w:val="single" w:sz="4" w:space="0" w:color="auto"/>
              <w:right w:val="single" w:sz="4" w:space="0" w:color="auto"/>
            </w:tcBorders>
            <w:shd w:val="clear" w:color="auto" w:fill="auto"/>
            <w:vAlign w:val="center"/>
            <w:hideMark/>
          </w:tcPr>
          <w:p w14:paraId="362FF4AE" w14:textId="77777777" w:rsidR="0022244A" w:rsidRPr="00565B02" w:rsidRDefault="0022244A" w:rsidP="00457A0B">
            <w:pPr>
              <w:spacing w:after="0" w:line="240" w:lineRule="auto"/>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УКУПНО ЗА ЕНЕРГЕТСКУ СИГУРНОСТ</w:t>
            </w:r>
          </w:p>
        </w:tc>
        <w:tc>
          <w:tcPr>
            <w:tcW w:w="330" w:type="pct"/>
            <w:tcBorders>
              <w:top w:val="nil"/>
              <w:left w:val="nil"/>
              <w:bottom w:val="single" w:sz="4" w:space="0" w:color="auto"/>
              <w:right w:val="single" w:sz="4" w:space="0" w:color="auto"/>
            </w:tcBorders>
            <w:shd w:val="clear" w:color="auto" w:fill="auto"/>
            <w:vAlign w:val="center"/>
            <w:hideMark/>
          </w:tcPr>
          <w:p w14:paraId="68CA78B2" w14:textId="77777777" w:rsidR="0022244A" w:rsidRPr="00565B02" w:rsidRDefault="0022244A" w:rsidP="00457A0B">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 </w:t>
            </w:r>
          </w:p>
        </w:tc>
        <w:tc>
          <w:tcPr>
            <w:tcW w:w="398" w:type="pct"/>
            <w:tcBorders>
              <w:top w:val="nil"/>
              <w:left w:val="nil"/>
              <w:bottom w:val="single" w:sz="4" w:space="0" w:color="auto"/>
              <w:right w:val="single" w:sz="4" w:space="0" w:color="auto"/>
            </w:tcBorders>
            <w:shd w:val="clear" w:color="auto" w:fill="auto"/>
            <w:vAlign w:val="center"/>
            <w:hideMark/>
          </w:tcPr>
          <w:p w14:paraId="3A853B6D" w14:textId="77777777" w:rsidR="0022244A" w:rsidRPr="00565B02" w:rsidRDefault="0022244A" w:rsidP="00457A0B">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 </w:t>
            </w:r>
          </w:p>
        </w:tc>
        <w:tc>
          <w:tcPr>
            <w:tcW w:w="428" w:type="pct"/>
            <w:tcBorders>
              <w:top w:val="nil"/>
              <w:left w:val="nil"/>
              <w:bottom w:val="single" w:sz="4" w:space="0" w:color="auto"/>
              <w:right w:val="single" w:sz="4" w:space="0" w:color="auto"/>
            </w:tcBorders>
            <w:shd w:val="clear" w:color="000000" w:fill="E2EFDA"/>
            <w:vAlign w:val="center"/>
            <w:hideMark/>
          </w:tcPr>
          <w:p w14:paraId="24459A9E" w14:textId="77777777" w:rsidR="0022244A" w:rsidRPr="00565B02" w:rsidRDefault="0022244A" w:rsidP="00457A0B">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3,13</w:t>
            </w:r>
          </w:p>
        </w:tc>
        <w:tc>
          <w:tcPr>
            <w:tcW w:w="338" w:type="pct"/>
            <w:tcBorders>
              <w:top w:val="nil"/>
              <w:left w:val="nil"/>
              <w:bottom w:val="single" w:sz="4" w:space="0" w:color="auto"/>
              <w:right w:val="single" w:sz="4" w:space="0" w:color="auto"/>
            </w:tcBorders>
            <w:shd w:val="clear" w:color="000000" w:fill="E2EFDA"/>
            <w:vAlign w:val="center"/>
            <w:hideMark/>
          </w:tcPr>
          <w:p w14:paraId="1D4966F5" w14:textId="77777777" w:rsidR="0022244A" w:rsidRPr="00565B02" w:rsidRDefault="0022244A" w:rsidP="00457A0B">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1,32</w:t>
            </w:r>
          </w:p>
        </w:tc>
        <w:tc>
          <w:tcPr>
            <w:tcW w:w="350" w:type="pct"/>
            <w:tcBorders>
              <w:top w:val="nil"/>
              <w:left w:val="nil"/>
              <w:bottom w:val="single" w:sz="4" w:space="0" w:color="auto"/>
              <w:right w:val="single" w:sz="4" w:space="0" w:color="auto"/>
            </w:tcBorders>
            <w:shd w:val="clear" w:color="000000" w:fill="E2EFDA"/>
            <w:vAlign w:val="center"/>
            <w:hideMark/>
          </w:tcPr>
          <w:p w14:paraId="23FF8A64" w14:textId="77777777" w:rsidR="0022244A" w:rsidRPr="00565B02" w:rsidRDefault="0022244A" w:rsidP="00457A0B">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1,80</w:t>
            </w:r>
          </w:p>
        </w:tc>
        <w:tc>
          <w:tcPr>
            <w:tcW w:w="376" w:type="pct"/>
            <w:tcBorders>
              <w:top w:val="nil"/>
              <w:left w:val="nil"/>
              <w:bottom w:val="single" w:sz="4" w:space="0" w:color="auto"/>
              <w:right w:val="single" w:sz="4" w:space="0" w:color="auto"/>
            </w:tcBorders>
            <w:shd w:val="clear" w:color="000000" w:fill="E2EFDA"/>
            <w:vAlign w:val="center"/>
            <w:hideMark/>
          </w:tcPr>
          <w:p w14:paraId="1D6CD973" w14:textId="77777777" w:rsidR="0022244A" w:rsidRPr="00565B02" w:rsidRDefault="0022244A" w:rsidP="00457A0B">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 </w:t>
            </w:r>
          </w:p>
        </w:tc>
        <w:tc>
          <w:tcPr>
            <w:tcW w:w="380" w:type="pct"/>
            <w:tcBorders>
              <w:top w:val="nil"/>
              <w:left w:val="nil"/>
              <w:bottom w:val="single" w:sz="4" w:space="0" w:color="auto"/>
              <w:right w:val="single" w:sz="4" w:space="0" w:color="auto"/>
            </w:tcBorders>
            <w:shd w:val="clear" w:color="000000" w:fill="E2EFDA"/>
            <w:vAlign w:val="center"/>
            <w:hideMark/>
          </w:tcPr>
          <w:p w14:paraId="73DED050" w14:textId="77777777" w:rsidR="0022244A" w:rsidRPr="00565B02" w:rsidRDefault="0022244A" w:rsidP="00457A0B">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1,99</w:t>
            </w:r>
          </w:p>
        </w:tc>
        <w:tc>
          <w:tcPr>
            <w:tcW w:w="380" w:type="pct"/>
            <w:tcBorders>
              <w:top w:val="nil"/>
              <w:left w:val="nil"/>
              <w:bottom w:val="single" w:sz="4" w:space="0" w:color="auto"/>
              <w:right w:val="single" w:sz="4" w:space="0" w:color="auto"/>
            </w:tcBorders>
            <w:shd w:val="clear" w:color="000000" w:fill="E2EFDA"/>
            <w:vAlign w:val="center"/>
            <w:hideMark/>
          </w:tcPr>
          <w:p w14:paraId="45EA8E77" w14:textId="77777777" w:rsidR="0022244A" w:rsidRPr="00565B02" w:rsidRDefault="0022244A" w:rsidP="00457A0B">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1,14</w:t>
            </w:r>
          </w:p>
        </w:tc>
      </w:tr>
    </w:tbl>
    <w:p w14:paraId="4AE6A796" w14:textId="668ED444" w:rsidR="0022244A" w:rsidRDefault="0022244A" w:rsidP="00565B02">
      <w:pPr>
        <w:tabs>
          <w:tab w:val="left" w:pos="4243"/>
        </w:tabs>
        <w:spacing w:before="160" w:line="259" w:lineRule="auto"/>
      </w:pPr>
      <w:r>
        <w:tab/>
      </w:r>
    </w:p>
    <w:p w14:paraId="0DF0BB20" w14:textId="580153A0" w:rsidR="00AA4B61" w:rsidRDefault="00AA4B61" w:rsidP="00565B02">
      <w:pPr>
        <w:pStyle w:val="Caption"/>
        <w:keepNext/>
      </w:pPr>
      <w:bookmarkStart w:id="477" w:name="_Toc153901485"/>
      <w:r>
        <w:t xml:space="preserve">Табела </w:t>
      </w:r>
      <w:r w:rsidR="00873C40">
        <w:fldChar w:fldCharType="begin"/>
      </w:r>
      <w:r w:rsidR="00873C40">
        <w:instrText xml:space="preserve"> STYLEREF 1 \s </w:instrText>
      </w:r>
      <w:r w:rsidR="00873C40">
        <w:fldChar w:fldCharType="separate"/>
      </w:r>
      <w:r w:rsidR="00873C40">
        <w:rPr>
          <w:noProof/>
        </w:rPr>
        <w:t>I</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4</w:t>
      </w:r>
      <w:r w:rsidR="00873C40">
        <w:fldChar w:fldCharType="end"/>
      </w:r>
      <w:r>
        <w:t xml:space="preserve">: </w:t>
      </w:r>
      <w:r w:rsidRPr="00AA4B61">
        <w:t>Мере политике димензије</w:t>
      </w:r>
      <w:r>
        <w:t xml:space="preserve"> у</w:t>
      </w:r>
      <w:r w:rsidRPr="00AA4B61">
        <w:t>нутрашње енергетско тржиште</w:t>
      </w:r>
      <w:bookmarkEnd w:id="477"/>
    </w:p>
    <w:tbl>
      <w:tblPr>
        <w:tblW w:w="5000" w:type="pct"/>
        <w:tblLook w:val="04A0" w:firstRow="1" w:lastRow="0" w:firstColumn="1" w:lastColumn="0" w:noHBand="0" w:noVBand="1"/>
      </w:tblPr>
      <w:tblGrid>
        <w:gridCol w:w="1062"/>
        <w:gridCol w:w="882"/>
        <w:gridCol w:w="3984"/>
        <w:gridCol w:w="959"/>
        <w:gridCol w:w="1150"/>
        <w:gridCol w:w="1246"/>
        <w:gridCol w:w="976"/>
        <w:gridCol w:w="1010"/>
        <w:gridCol w:w="1089"/>
        <w:gridCol w:w="1101"/>
        <w:gridCol w:w="1101"/>
      </w:tblGrid>
      <w:tr w:rsidR="0022244A" w:rsidRPr="00975EE5" w14:paraId="70079C92" w14:textId="77777777" w:rsidTr="00565B02">
        <w:trPr>
          <w:trHeight w:val="20"/>
        </w:trPr>
        <w:tc>
          <w:tcPr>
            <w:tcW w:w="365"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3ABB5704" w14:textId="77777777" w:rsidR="0022244A" w:rsidRPr="00975EE5" w:rsidRDefault="0022244A" w:rsidP="00457A0B">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Димензија</w:t>
            </w:r>
          </w:p>
        </w:tc>
        <w:tc>
          <w:tcPr>
            <w:tcW w:w="303" w:type="pct"/>
            <w:tcBorders>
              <w:top w:val="single" w:sz="4" w:space="0" w:color="auto"/>
              <w:left w:val="nil"/>
              <w:bottom w:val="single" w:sz="4" w:space="0" w:color="auto"/>
              <w:right w:val="single" w:sz="4" w:space="0" w:color="auto"/>
            </w:tcBorders>
            <w:shd w:val="clear" w:color="000000" w:fill="BFBFBF"/>
            <w:vAlign w:val="center"/>
            <w:hideMark/>
          </w:tcPr>
          <w:p w14:paraId="4005F591" w14:textId="77777777" w:rsidR="0022244A" w:rsidRPr="00975EE5" w:rsidRDefault="0022244A" w:rsidP="00457A0B">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Број МП</w:t>
            </w:r>
          </w:p>
        </w:tc>
        <w:tc>
          <w:tcPr>
            <w:tcW w:w="1368" w:type="pct"/>
            <w:tcBorders>
              <w:top w:val="single" w:sz="4" w:space="0" w:color="auto"/>
              <w:left w:val="nil"/>
              <w:bottom w:val="single" w:sz="4" w:space="0" w:color="auto"/>
              <w:right w:val="single" w:sz="4" w:space="0" w:color="auto"/>
            </w:tcBorders>
            <w:shd w:val="clear" w:color="000000" w:fill="BFBFBF"/>
            <w:vAlign w:val="center"/>
            <w:hideMark/>
          </w:tcPr>
          <w:p w14:paraId="3FAA8F99" w14:textId="77777777" w:rsidR="0022244A" w:rsidRPr="00975EE5" w:rsidRDefault="0022244A" w:rsidP="00457A0B">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Назив мере политике</w:t>
            </w:r>
          </w:p>
        </w:tc>
        <w:tc>
          <w:tcPr>
            <w:tcW w:w="329" w:type="pct"/>
            <w:tcBorders>
              <w:top w:val="single" w:sz="4" w:space="0" w:color="auto"/>
              <w:left w:val="nil"/>
              <w:bottom w:val="single" w:sz="4" w:space="0" w:color="auto"/>
              <w:right w:val="single" w:sz="4" w:space="0" w:color="auto"/>
            </w:tcBorders>
            <w:shd w:val="clear" w:color="000000" w:fill="BFBFBF"/>
            <w:vAlign w:val="center"/>
            <w:hideMark/>
          </w:tcPr>
          <w:p w14:paraId="0D53A4D8" w14:textId="77777777" w:rsidR="0022244A" w:rsidRPr="00975EE5" w:rsidRDefault="0022244A" w:rsidP="00457A0B">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Тип мере</w:t>
            </w:r>
          </w:p>
        </w:tc>
        <w:tc>
          <w:tcPr>
            <w:tcW w:w="395" w:type="pct"/>
            <w:tcBorders>
              <w:top w:val="single" w:sz="4" w:space="0" w:color="auto"/>
              <w:left w:val="nil"/>
              <w:bottom w:val="single" w:sz="4" w:space="0" w:color="auto"/>
              <w:right w:val="single" w:sz="4" w:space="0" w:color="auto"/>
            </w:tcBorders>
            <w:shd w:val="clear" w:color="000000" w:fill="BFBFBF"/>
            <w:vAlign w:val="center"/>
            <w:hideMark/>
          </w:tcPr>
          <w:p w14:paraId="5CE7B827" w14:textId="77777777" w:rsidR="0022244A" w:rsidRPr="00975EE5" w:rsidRDefault="0022244A" w:rsidP="00457A0B">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Синергетски ефекти</w:t>
            </w:r>
          </w:p>
        </w:tc>
        <w:tc>
          <w:tcPr>
            <w:tcW w:w="428" w:type="pct"/>
            <w:tcBorders>
              <w:top w:val="single" w:sz="4" w:space="0" w:color="auto"/>
              <w:left w:val="nil"/>
              <w:bottom w:val="single" w:sz="4" w:space="0" w:color="auto"/>
              <w:right w:val="single" w:sz="4" w:space="0" w:color="auto"/>
            </w:tcBorders>
            <w:shd w:val="clear" w:color="000000" w:fill="BFBFBF"/>
            <w:vAlign w:val="center"/>
            <w:hideMark/>
          </w:tcPr>
          <w:p w14:paraId="40908729" w14:textId="77777777" w:rsidR="0022244A" w:rsidRPr="00975EE5" w:rsidRDefault="0022244A" w:rsidP="00457A0B">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Трошкови имплементације (милион €)</w:t>
            </w:r>
          </w:p>
        </w:tc>
        <w:tc>
          <w:tcPr>
            <w:tcW w:w="335" w:type="pct"/>
            <w:tcBorders>
              <w:top w:val="single" w:sz="4" w:space="0" w:color="auto"/>
              <w:left w:val="nil"/>
              <w:bottom w:val="single" w:sz="4" w:space="0" w:color="auto"/>
              <w:right w:val="single" w:sz="4" w:space="0" w:color="auto"/>
            </w:tcBorders>
            <w:shd w:val="clear" w:color="000000" w:fill="BFBFBF"/>
            <w:vAlign w:val="center"/>
            <w:hideMark/>
          </w:tcPr>
          <w:p w14:paraId="039E0551" w14:textId="77777777" w:rsidR="0022244A" w:rsidRPr="00975EE5" w:rsidRDefault="0022244A" w:rsidP="00457A0B">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Планирана јавна помоћ (милион €)</w:t>
            </w:r>
          </w:p>
        </w:tc>
        <w:tc>
          <w:tcPr>
            <w:tcW w:w="347" w:type="pct"/>
            <w:tcBorders>
              <w:top w:val="single" w:sz="4" w:space="0" w:color="auto"/>
              <w:left w:val="nil"/>
              <w:bottom w:val="single" w:sz="4" w:space="0" w:color="auto"/>
              <w:right w:val="single" w:sz="4" w:space="0" w:color="auto"/>
            </w:tcBorders>
            <w:shd w:val="clear" w:color="000000" w:fill="BFBFBF"/>
            <w:vAlign w:val="center"/>
            <w:hideMark/>
          </w:tcPr>
          <w:p w14:paraId="603EAA99" w14:textId="77777777" w:rsidR="0022244A" w:rsidRPr="00975EE5" w:rsidRDefault="0022244A" w:rsidP="00457A0B">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Сопствена средства (милион €)</w:t>
            </w:r>
          </w:p>
        </w:tc>
        <w:tc>
          <w:tcPr>
            <w:tcW w:w="374" w:type="pct"/>
            <w:tcBorders>
              <w:top w:val="single" w:sz="4" w:space="0" w:color="auto"/>
              <w:left w:val="nil"/>
              <w:bottom w:val="single" w:sz="4" w:space="0" w:color="auto"/>
              <w:right w:val="single" w:sz="4" w:space="0" w:color="auto"/>
            </w:tcBorders>
            <w:shd w:val="clear" w:color="000000" w:fill="BFBFBF"/>
            <w:vAlign w:val="center"/>
            <w:hideMark/>
          </w:tcPr>
          <w:p w14:paraId="5F2395EF" w14:textId="77777777" w:rsidR="0022244A" w:rsidRPr="00975EE5" w:rsidRDefault="0022244A" w:rsidP="00457A0B">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 xml:space="preserve">Сценарио пројекција у </w:t>
            </w:r>
            <w:r w:rsidRPr="00975EE5">
              <w:rPr>
                <w:rFonts w:ascii="Calibri" w:eastAsia="Times New Roman" w:hAnsi="Calibri" w:cs="Calibri"/>
                <w:b/>
                <w:bCs/>
                <w:color w:val="000000"/>
                <w:sz w:val="14"/>
                <w:szCs w:val="14"/>
              </w:rPr>
              <w:lastRenderedPageBreak/>
              <w:t>који је МП укључена</w:t>
            </w:r>
          </w:p>
        </w:tc>
        <w:tc>
          <w:tcPr>
            <w:tcW w:w="378" w:type="pct"/>
            <w:tcBorders>
              <w:top w:val="single" w:sz="4" w:space="0" w:color="auto"/>
              <w:left w:val="nil"/>
              <w:bottom w:val="single" w:sz="4" w:space="0" w:color="auto"/>
              <w:right w:val="single" w:sz="4" w:space="0" w:color="auto"/>
            </w:tcBorders>
            <w:shd w:val="clear" w:color="000000" w:fill="BFBFBF"/>
            <w:vAlign w:val="center"/>
            <w:hideMark/>
          </w:tcPr>
          <w:p w14:paraId="733BD04E" w14:textId="77777777" w:rsidR="0022244A" w:rsidRPr="00975EE5" w:rsidRDefault="0022244A" w:rsidP="00457A0B">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lastRenderedPageBreak/>
              <w:t>CAPEX WEM (милион €)</w:t>
            </w:r>
          </w:p>
        </w:tc>
        <w:tc>
          <w:tcPr>
            <w:tcW w:w="378" w:type="pct"/>
            <w:tcBorders>
              <w:top w:val="single" w:sz="4" w:space="0" w:color="auto"/>
              <w:left w:val="nil"/>
              <w:bottom w:val="single" w:sz="4" w:space="0" w:color="auto"/>
              <w:right w:val="single" w:sz="4" w:space="0" w:color="auto"/>
            </w:tcBorders>
            <w:shd w:val="clear" w:color="000000" w:fill="BFBFBF"/>
            <w:vAlign w:val="center"/>
            <w:hideMark/>
          </w:tcPr>
          <w:p w14:paraId="58B34269" w14:textId="77777777" w:rsidR="0022244A" w:rsidRPr="00975EE5" w:rsidRDefault="0022244A" w:rsidP="00457A0B">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CAPEX WAM (милион €)</w:t>
            </w:r>
          </w:p>
        </w:tc>
      </w:tr>
      <w:tr w:rsidR="0022244A" w:rsidRPr="00975EE5" w14:paraId="57D40EC8" w14:textId="77777777" w:rsidTr="00565B02">
        <w:trPr>
          <w:trHeight w:val="20"/>
        </w:trPr>
        <w:tc>
          <w:tcPr>
            <w:tcW w:w="365" w:type="pct"/>
            <w:vMerge w:val="restart"/>
            <w:tcBorders>
              <w:top w:val="nil"/>
              <w:left w:val="single" w:sz="4" w:space="0" w:color="auto"/>
              <w:bottom w:val="single" w:sz="4" w:space="0" w:color="auto"/>
              <w:right w:val="single" w:sz="4" w:space="0" w:color="auto"/>
            </w:tcBorders>
            <w:shd w:val="clear" w:color="000000" w:fill="BFBFBF"/>
            <w:vAlign w:val="center"/>
            <w:hideMark/>
          </w:tcPr>
          <w:p w14:paraId="6F0E727D" w14:textId="77777777" w:rsidR="0022244A" w:rsidRPr="00975EE5" w:rsidRDefault="0022244A" w:rsidP="00457A0B">
            <w:pPr>
              <w:spacing w:after="0" w:line="240" w:lineRule="auto"/>
              <w:jc w:val="center"/>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Унутрашње енергетско тржиште</w:t>
            </w:r>
          </w:p>
        </w:tc>
        <w:tc>
          <w:tcPr>
            <w:tcW w:w="303" w:type="pct"/>
            <w:tcBorders>
              <w:top w:val="nil"/>
              <w:left w:val="nil"/>
              <w:bottom w:val="single" w:sz="4" w:space="0" w:color="auto"/>
              <w:right w:val="single" w:sz="4" w:space="0" w:color="auto"/>
            </w:tcBorders>
            <w:shd w:val="clear" w:color="auto" w:fill="auto"/>
            <w:vAlign w:val="center"/>
            <w:hideMark/>
          </w:tcPr>
          <w:p w14:paraId="184B2384"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МП_УЕТ2</w:t>
            </w:r>
          </w:p>
        </w:tc>
        <w:tc>
          <w:tcPr>
            <w:tcW w:w="1368" w:type="pct"/>
            <w:tcBorders>
              <w:top w:val="nil"/>
              <w:left w:val="nil"/>
              <w:bottom w:val="single" w:sz="4" w:space="0" w:color="auto"/>
              <w:right w:val="single" w:sz="4" w:space="0" w:color="auto"/>
            </w:tcBorders>
            <w:shd w:val="clear" w:color="auto" w:fill="auto"/>
            <w:vAlign w:val="center"/>
            <w:hideMark/>
          </w:tcPr>
          <w:p w14:paraId="159E4D68"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Имплементација Трансбалканског коридора: ДВ Обреновац (РС) – Бајина Башта (РС)</w:t>
            </w:r>
          </w:p>
        </w:tc>
        <w:tc>
          <w:tcPr>
            <w:tcW w:w="329" w:type="pct"/>
            <w:tcBorders>
              <w:top w:val="nil"/>
              <w:left w:val="nil"/>
              <w:bottom w:val="single" w:sz="4" w:space="0" w:color="auto"/>
              <w:right w:val="single" w:sz="4" w:space="0" w:color="auto"/>
            </w:tcBorders>
            <w:shd w:val="clear" w:color="auto" w:fill="auto"/>
            <w:vAlign w:val="center"/>
            <w:hideMark/>
          </w:tcPr>
          <w:p w14:paraId="750C491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95" w:type="pct"/>
            <w:tcBorders>
              <w:top w:val="nil"/>
              <w:left w:val="nil"/>
              <w:bottom w:val="single" w:sz="4" w:space="0" w:color="auto"/>
              <w:right w:val="single" w:sz="4" w:space="0" w:color="auto"/>
            </w:tcBorders>
            <w:shd w:val="clear" w:color="auto" w:fill="auto"/>
            <w:vAlign w:val="center"/>
            <w:hideMark/>
          </w:tcPr>
          <w:p w14:paraId="735C43E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35A4F0D2"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89,68</w:t>
            </w:r>
          </w:p>
        </w:tc>
        <w:tc>
          <w:tcPr>
            <w:tcW w:w="335" w:type="pct"/>
            <w:tcBorders>
              <w:top w:val="nil"/>
              <w:left w:val="nil"/>
              <w:bottom w:val="single" w:sz="4" w:space="0" w:color="auto"/>
              <w:right w:val="single" w:sz="4" w:space="0" w:color="auto"/>
            </w:tcBorders>
            <w:shd w:val="clear" w:color="000000" w:fill="E2EFDA"/>
            <w:vAlign w:val="center"/>
            <w:hideMark/>
          </w:tcPr>
          <w:p w14:paraId="13B7794A"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13,45</w:t>
            </w:r>
          </w:p>
        </w:tc>
        <w:tc>
          <w:tcPr>
            <w:tcW w:w="347" w:type="pct"/>
            <w:tcBorders>
              <w:top w:val="nil"/>
              <w:left w:val="nil"/>
              <w:bottom w:val="single" w:sz="4" w:space="0" w:color="auto"/>
              <w:right w:val="single" w:sz="4" w:space="0" w:color="auto"/>
            </w:tcBorders>
            <w:shd w:val="clear" w:color="000000" w:fill="E2EFDA"/>
            <w:vAlign w:val="center"/>
            <w:hideMark/>
          </w:tcPr>
          <w:p w14:paraId="00B4CCE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76,23</w:t>
            </w:r>
          </w:p>
        </w:tc>
        <w:tc>
          <w:tcPr>
            <w:tcW w:w="374" w:type="pct"/>
            <w:tcBorders>
              <w:top w:val="nil"/>
              <w:left w:val="nil"/>
              <w:bottom w:val="single" w:sz="4" w:space="0" w:color="auto"/>
              <w:right w:val="single" w:sz="4" w:space="0" w:color="auto"/>
            </w:tcBorders>
            <w:shd w:val="clear" w:color="000000" w:fill="ED7D31"/>
            <w:vAlign w:val="center"/>
            <w:hideMark/>
          </w:tcPr>
          <w:p w14:paraId="332646B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5E729651"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89,68</w:t>
            </w:r>
          </w:p>
        </w:tc>
        <w:tc>
          <w:tcPr>
            <w:tcW w:w="378" w:type="pct"/>
            <w:tcBorders>
              <w:top w:val="nil"/>
              <w:left w:val="nil"/>
              <w:bottom w:val="single" w:sz="4" w:space="0" w:color="auto"/>
              <w:right w:val="single" w:sz="4" w:space="0" w:color="auto"/>
            </w:tcBorders>
            <w:shd w:val="clear" w:color="000000" w:fill="E2EFDA"/>
            <w:vAlign w:val="center"/>
            <w:hideMark/>
          </w:tcPr>
          <w:p w14:paraId="6CFD9899"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4547BD5B"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7D47E964"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4AD1A042"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МП_УЕТ3</w:t>
            </w:r>
          </w:p>
        </w:tc>
        <w:tc>
          <w:tcPr>
            <w:tcW w:w="1368" w:type="pct"/>
            <w:tcBorders>
              <w:top w:val="nil"/>
              <w:left w:val="nil"/>
              <w:bottom w:val="single" w:sz="4" w:space="0" w:color="auto"/>
              <w:right w:val="single" w:sz="4" w:space="0" w:color="auto"/>
            </w:tcBorders>
            <w:shd w:val="clear" w:color="auto" w:fill="auto"/>
            <w:vAlign w:val="center"/>
            <w:hideMark/>
          </w:tcPr>
          <w:p w14:paraId="66FDD26D"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Имплементација Трансбалканског коридора: ДВ Б. Башта (РС) – Вишеград (БиХ) – Пљевља (ЦГ)</w:t>
            </w:r>
          </w:p>
        </w:tc>
        <w:tc>
          <w:tcPr>
            <w:tcW w:w="329" w:type="pct"/>
            <w:tcBorders>
              <w:top w:val="nil"/>
              <w:left w:val="nil"/>
              <w:bottom w:val="single" w:sz="4" w:space="0" w:color="auto"/>
              <w:right w:val="single" w:sz="4" w:space="0" w:color="auto"/>
            </w:tcBorders>
            <w:shd w:val="clear" w:color="auto" w:fill="auto"/>
            <w:vAlign w:val="center"/>
            <w:hideMark/>
          </w:tcPr>
          <w:p w14:paraId="327E8042"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95" w:type="pct"/>
            <w:tcBorders>
              <w:top w:val="nil"/>
              <w:left w:val="nil"/>
              <w:bottom w:val="single" w:sz="4" w:space="0" w:color="auto"/>
              <w:right w:val="single" w:sz="4" w:space="0" w:color="auto"/>
            </w:tcBorders>
            <w:shd w:val="clear" w:color="auto" w:fill="auto"/>
            <w:vAlign w:val="center"/>
            <w:hideMark/>
          </w:tcPr>
          <w:p w14:paraId="3A0B2397"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586139D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52,32</w:t>
            </w:r>
          </w:p>
        </w:tc>
        <w:tc>
          <w:tcPr>
            <w:tcW w:w="335" w:type="pct"/>
            <w:tcBorders>
              <w:top w:val="nil"/>
              <w:left w:val="nil"/>
              <w:bottom w:val="single" w:sz="4" w:space="0" w:color="auto"/>
              <w:right w:val="single" w:sz="4" w:space="0" w:color="auto"/>
            </w:tcBorders>
            <w:shd w:val="clear" w:color="000000" w:fill="E2EFDA"/>
            <w:vAlign w:val="center"/>
            <w:hideMark/>
          </w:tcPr>
          <w:p w14:paraId="24F59D3E"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7,85</w:t>
            </w:r>
          </w:p>
        </w:tc>
        <w:tc>
          <w:tcPr>
            <w:tcW w:w="347" w:type="pct"/>
            <w:tcBorders>
              <w:top w:val="nil"/>
              <w:left w:val="nil"/>
              <w:bottom w:val="single" w:sz="4" w:space="0" w:color="auto"/>
              <w:right w:val="single" w:sz="4" w:space="0" w:color="auto"/>
            </w:tcBorders>
            <w:shd w:val="clear" w:color="000000" w:fill="E2EFDA"/>
            <w:vAlign w:val="center"/>
            <w:hideMark/>
          </w:tcPr>
          <w:p w14:paraId="7D9E11B6"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44,47</w:t>
            </w:r>
          </w:p>
        </w:tc>
        <w:tc>
          <w:tcPr>
            <w:tcW w:w="374" w:type="pct"/>
            <w:tcBorders>
              <w:top w:val="nil"/>
              <w:left w:val="nil"/>
              <w:bottom w:val="single" w:sz="4" w:space="0" w:color="auto"/>
              <w:right w:val="single" w:sz="4" w:space="0" w:color="auto"/>
            </w:tcBorders>
            <w:shd w:val="clear" w:color="000000" w:fill="ED7D31"/>
            <w:vAlign w:val="center"/>
            <w:hideMark/>
          </w:tcPr>
          <w:p w14:paraId="341A6A2E"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7468325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52,32</w:t>
            </w:r>
          </w:p>
        </w:tc>
        <w:tc>
          <w:tcPr>
            <w:tcW w:w="378" w:type="pct"/>
            <w:tcBorders>
              <w:top w:val="nil"/>
              <w:left w:val="nil"/>
              <w:bottom w:val="single" w:sz="4" w:space="0" w:color="auto"/>
              <w:right w:val="single" w:sz="4" w:space="0" w:color="auto"/>
            </w:tcBorders>
            <w:shd w:val="clear" w:color="000000" w:fill="E2EFDA"/>
            <w:vAlign w:val="center"/>
            <w:hideMark/>
          </w:tcPr>
          <w:p w14:paraId="5C5F0B77"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0BB6D160"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6C381FD3"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4029E4B4"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МП_УЕТ4</w:t>
            </w:r>
          </w:p>
        </w:tc>
        <w:tc>
          <w:tcPr>
            <w:tcW w:w="1368" w:type="pct"/>
            <w:tcBorders>
              <w:top w:val="nil"/>
              <w:left w:val="nil"/>
              <w:bottom w:val="single" w:sz="4" w:space="0" w:color="auto"/>
              <w:right w:val="single" w:sz="4" w:space="0" w:color="auto"/>
            </w:tcBorders>
            <w:shd w:val="clear" w:color="auto" w:fill="auto"/>
            <w:vAlign w:val="center"/>
            <w:hideMark/>
          </w:tcPr>
          <w:p w14:paraId="22379B65"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Интерконекција између Решице (РУ) и Панчева (РС) (PCI 3.22.1)</w:t>
            </w:r>
          </w:p>
        </w:tc>
        <w:tc>
          <w:tcPr>
            <w:tcW w:w="329" w:type="pct"/>
            <w:tcBorders>
              <w:top w:val="nil"/>
              <w:left w:val="nil"/>
              <w:bottom w:val="single" w:sz="4" w:space="0" w:color="auto"/>
              <w:right w:val="single" w:sz="4" w:space="0" w:color="auto"/>
            </w:tcBorders>
            <w:shd w:val="clear" w:color="auto" w:fill="auto"/>
            <w:vAlign w:val="center"/>
            <w:hideMark/>
          </w:tcPr>
          <w:p w14:paraId="4A51288A"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95" w:type="pct"/>
            <w:tcBorders>
              <w:top w:val="nil"/>
              <w:left w:val="nil"/>
              <w:bottom w:val="single" w:sz="4" w:space="0" w:color="auto"/>
              <w:right w:val="single" w:sz="4" w:space="0" w:color="auto"/>
            </w:tcBorders>
            <w:shd w:val="clear" w:color="auto" w:fill="auto"/>
            <w:vAlign w:val="center"/>
            <w:hideMark/>
          </w:tcPr>
          <w:p w14:paraId="268D0E7A"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Пројекат завршен на страни Србије</w:t>
            </w:r>
          </w:p>
        </w:tc>
        <w:tc>
          <w:tcPr>
            <w:tcW w:w="428" w:type="pct"/>
            <w:tcBorders>
              <w:top w:val="nil"/>
              <w:left w:val="nil"/>
              <w:bottom w:val="single" w:sz="4" w:space="0" w:color="auto"/>
              <w:right w:val="single" w:sz="4" w:space="0" w:color="auto"/>
            </w:tcBorders>
            <w:shd w:val="clear" w:color="auto" w:fill="E2EFDA"/>
            <w:vAlign w:val="center"/>
            <w:hideMark/>
          </w:tcPr>
          <w:p w14:paraId="0C7117B8"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35" w:type="pct"/>
            <w:tcBorders>
              <w:top w:val="nil"/>
              <w:left w:val="nil"/>
              <w:bottom w:val="single" w:sz="4" w:space="0" w:color="auto"/>
              <w:right w:val="single" w:sz="4" w:space="0" w:color="auto"/>
            </w:tcBorders>
            <w:shd w:val="clear" w:color="auto" w:fill="E2EFDA"/>
            <w:vAlign w:val="center"/>
            <w:hideMark/>
          </w:tcPr>
          <w:p w14:paraId="69A7A69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None required</w:t>
            </w:r>
          </w:p>
        </w:tc>
        <w:tc>
          <w:tcPr>
            <w:tcW w:w="347" w:type="pct"/>
            <w:tcBorders>
              <w:top w:val="nil"/>
              <w:left w:val="nil"/>
              <w:bottom w:val="single" w:sz="4" w:space="0" w:color="auto"/>
              <w:right w:val="single" w:sz="4" w:space="0" w:color="auto"/>
            </w:tcBorders>
            <w:shd w:val="clear" w:color="auto" w:fill="E2EFDA"/>
            <w:vAlign w:val="center"/>
            <w:hideMark/>
          </w:tcPr>
          <w:p w14:paraId="5FADCF68"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None required</w:t>
            </w:r>
          </w:p>
        </w:tc>
        <w:tc>
          <w:tcPr>
            <w:tcW w:w="374" w:type="pct"/>
            <w:tcBorders>
              <w:top w:val="nil"/>
              <w:left w:val="nil"/>
              <w:bottom w:val="single" w:sz="4" w:space="0" w:color="auto"/>
              <w:right w:val="single" w:sz="4" w:space="0" w:color="auto"/>
            </w:tcBorders>
            <w:shd w:val="clear" w:color="auto" w:fill="ED7D31"/>
            <w:vAlign w:val="center"/>
            <w:hideMark/>
          </w:tcPr>
          <w:p w14:paraId="29FAB49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auto" w:fill="E2EFDA"/>
            <w:vAlign w:val="center"/>
            <w:hideMark/>
          </w:tcPr>
          <w:p w14:paraId="11EF6066"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8" w:type="pct"/>
            <w:tcBorders>
              <w:top w:val="nil"/>
              <w:left w:val="nil"/>
              <w:bottom w:val="single" w:sz="4" w:space="0" w:color="auto"/>
              <w:right w:val="single" w:sz="4" w:space="0" w:color="auto"/>
            </w:tcBorders>
            <w:shd w:val="clear" w:color="auto" w:fill="E2EFDA"/>
            <w:vAlign w:val="center"/>
            <w:hideMark/>
          </w:tcPr>
          <w:p w14:paraId="2751E47A"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24185ACE"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7F8AF410"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10C1FFC1"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МП_УЕТ5</w:t>
            </w:r>
          </w:p>
        </w:tc>
        <w:tc>
          <w:tcPr>
            <w:tcW w:w="1368" w:type="pct"/>
            <w:tcBorders>
              <w:top w:val="nil"/>
              <w:left w:val="nil"/>
              <w:bottom w:val="single" w:sz="4" w:space="0" w:color="auto"/>
              <w:right w:val="single" w:sz="4" w:space="0" w:color="auto"/>
            </w:tcBorders>
            <w:shd w:val="clear" w:color="auto" w:fill="auto"/>
            <w:vAlign w:val="center"/>
            <w:hideMark/>
          </w:tcPr>
          <w:p w14:paraId="7D7D3EFD"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Панонски коридор</w:t>
            </w:r>
          </w:p>
        </w:tc>
        <w:tc>
          <w:tcPr>
            <w:tcW w:w="329" w:type="pct"/>
            <w:tcBorders>
              <w:top w:val="nil"/>
              <w:left w:val="nil"/>
              <w:bottom w:val="single" w:sz="4" w:space="0" w:color="auto"/>
              <w:right w:val="single" w:sz="4" w:space="0" w:color="auto"/>
            </w:tcBorders>
            <w:shd w:val="clear" w:color="auto" w:fill="auto"/>
            <w:vAlign w:val="center"/>
            <w:hideMark/>
          </w:tcPr>
          <w:p w14:paraId="48E672B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95" w:type="pct"/>
            <w:tcBorders>
              <w:top w:val="nil"/>
              <w:left w:val="nil"/>
              <w:bottom w:val="single" w:sz="4" w:space="0" w:color="auto"/>
              <w:right w:val="single" w:sz="4" w:space="0" w:color="auto"/>
            </w:tcBorders>
            <w:shd w:val="clear" w:color="auto" w:fill="auto"/>
            <w:vAlign w:val="center"/>
            <w:hideMark/>
          </w:tcPr>
          <w:p w14:paraId="4BCC75D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7DD1368E"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108,00</w:t>
            </w:r>
          </w:p>
        </w:tc>
        <w:tc>
          <w:tcPr>
            <w:tcW w:w="335" w:type="pct"/>
            <w:tcBorders>
              <w:top w:val="nil"/>
              <w:left w:val="nil"/>
              <w:bottom w:val="single" w:sz="4" w:space="0" w:color="auto"/>
              <w:right w:val="single" w:sz="4" w:space="0" w:color="auto"/>
            </w:tcBorders>
            <w:shd w:val="clear" w:color="000000" w:fill="E2EFDA"/>
            <w:vAlign w:val="center"/>
            <w:hideMark/>
          </w:tcPr>
          <w:p w14:paraId="5E26DF0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16,20</w:t>
            </w:r>
          </w:p>
        </w:tc>
        <w:tc>
          <w:tcPr>
            <w:tcW w:w="347" w:type="pct"/>
            <w:tcBorders>
              <w:top w:val="nil"/>
              <w:left w:val="nil"/>
              <w:bottom w:val="single" w:sz="4" w:space="0" w:color="auto"/>
              <w:right w:val="single" w:sz="4" w:space="0" w:color="auto"/>
            </w:tcBorders>
            <w:shd w:val="clear" w:color="000000" w:fill="E2EFDA"/>
            <w:vAlign w:val="center"/>
            <w:hideMark/>
          </w:tcPr>
          <w:p w14:paraId="144793C6"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91,80</w:t>
            </w:r>
          </w:p>
        </w:tc>
        <w:tc>
          <w:tcPr>
            <w:tcW w:w="374" w:type="pct"/>
            <w:tcBorders>
              <w:top w:val="nil"/>
              <w:left w:val="nil"/>
              <w:bottom w:val="single" w:sz="4" w:space="0" w:color="auto"/>
              <w:right w:val="single" w:sz="4" w:space="0" w:color="auto"/>
            </w:tcBorders>
            <w:shd w:val="clear" w:color="000000" w:fill="ED7D31"/>
            <w:vAlign w:val="center"/>
            <w:hideMark/>
          </w:tcPr>
          <w:p w14:paraId="18FCC03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3365C03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108,00</w:t>
            </w:r>
          </w:p>
        </w:tc>
        <w:tc>
          <w:tcPr>
            <w:tcW w:w="378" w:type="pct"/>
            <w:tcBorders>
              <w:top w:val="nil"/>
              <w:left w:val="nil"/>
              <w:bottom w:val="single" w:sz="4" w:space="0" w:color="auto"/>
              <w:right w:val="single" w:sz="4" w:space="0" w:color="auto"/>
            </w:tcBorders>
            <w:shd w:val="clear" w:color="000000" w:fill="E2EFDA"/>
            <w:vAlign w:val="center"/>
            <w:hideMark/>
          </w:tcPr>
          <w:p w14:paraId="618AC79A"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25C42D0C"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55604DFA"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6A9C520D"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МП_УЕТ6</w:t>
            </w:r>
          </w:p>
        </w:tc>
        <w:tc>
          <w:tcPr>
            <w:tcW w:w="1368" w:type="pct"/>
            <w:tcBorders>
              <w:top w:val="nil"/>
              <w:left w:val="nil"/>
              <w:bottom w:val="single" w:sz="4" w:space="0" w:color="auto"/>
              <w:right w:val="single" w:sz="4" w:space="0" w:color="auto"/>
            </w:tcBorders>
            <w:shd w:val="clear" w:color="auto" w:fill="auto"/>
            <w:vAlign w:val="center"/>
            <w:hideMark/>
          </w:tcPr>
          <w:p w14:paraId="0A049B96"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Централнобалкански коридор</w:t>
            </w:r>
          </w:p>
        </w:tc>
        <w:tc>
          <w:tcPr>
            <w:tcW w:w="329" w:type="pct"/>
            <w:tcBorders>
              <w:top w:val="nil"/>
              <w:left w:val="nil"/>
              <w:bottom w:val="single" w:sz="4" w:space="0" w:color="auto"/>
              <w:right w:val="single" w:sz="4" w:space="0" w:color="auto"/>
            </w:tcBorders>
            <w:shd w:val="clear" w:color="auto" w:fill="auto"/>
            <w:vAlign w:val="center"/>
            <w:hideMark/>
          </w:tcPr>
          <w:p w14:paraId="6DD17B51"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95" w:type="pct"/>
            <w:tcBorders>
              <w:top w:val="nil"/>
              <w:left w:val="nil"/>
              <w:bottom w:val="single" w:sz="4" w:space="0" w:color="auto"/>
              <w:right w:val="single" w:sz="4" w:space="0" w:color="auto"/>
            </w:tcBorders>
            <w:shd w:val="clear" w:color="auto" w:fill="auto"/>
            <w:vAlign w:val="center"/>
            <w:hideMark/>
          </w:tcPr>
          <w:p w14:paraId="1874CA9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538DA9F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214,07</w:t>
            </w:r>
          </w:p>
        </w:tc>
        <w:tc>
          <w:tcPr>
            <w:tcW w:w="335" w:type="pct"/>
            <w:tcBorders>
              <w:top w:val="nil"/>
              <w:left w:val="nil"/>
              <w:bottom w:val="single" w:sz="4" w:space="0" w:color="auto"/>
              <w:right w:val="single" w:sz="4" w:space="0" w:color="auto"/>
            </w:tcBorders>
            <w:shd w:val="clear" w:color="000000" w:fill="E2EFDA"/>
            <w:vAlign w:val="center"/>
            <w:hideMark/>
          </w:tcPr>
          <w:p w14:paraId="7CBF87F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32,11</w:t>
            </w:r>
          </w:p>
        </w:tc>
        <w:tc>
          <w:tcPr>
            <w:tcW w:w="347" w:type="pct"/>
            <w:tcBorders>
              <w:top w:val="nil"/>
              <w:left w:val="nil"/>
              <w:bottom w:val="single" w:sz="4" w:space="0" w:color="auto"/>
              <w:right w:val="single" w:sz="4" w:space="0" w:color="auto"/>
            </w:tcBorders>
            <w:shd w:val="clear" w:color="000000" w:fill="E2EFDA"/>
            <w:vAlign w:val="center"/>
            <w:hideMark/>
          </w:tcPr>
          <w:p w14:paraId="5AD09B0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181,96</w:t>
            </w:r>
          </w:p>
        </w:tc>
        <w:tc>
          <w:tcPr>
            <w:tcW w:w="374" w:type="pct"/>
            <w:tcBorders>
              <w:top w:val="nil"/>
              <w:left w:val="nil"/>
              <w:bottom w:val="single" w:sz="4" w:space="0" w:color="auto"/>
              <w:right w:val="single" w:sz="4" w:space="0" w:color="auto"/>
            </w:tcBorders>
            <w:shd w:val="clear" w:color="000000" w:fill="ED7D31"/>
            <w:vAlign w:val="center"/>
            <w:hideMark/>
          </w:tcPr>
          <w:p w14:paraId="0FD906B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13E418F1"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214,07</w:t>
            </w:r>
          </w:p>
        </w:tc>
        <w:tc>
          <w:tcPr>
            <w:tcW w:w="378" w:type="pct"/>
            <w:tcBorders>
              <w:top w:val="nil"/>
              <w:left w:val="nil"/>
              <w:bottom w:val="single" w:sz="4" w:space="0" w:color="auto"/>
              <w:right w:val="single" w:sz="4" w:space="0" w:color="auto"/>
            </w:tcBorders>
            <w:shd w:val="clear" w:color="000000" w:fill="E2EFDA"/>
            <w:vAlign w:val="center"/>
            <w:hideMark/>
          </w:tcPr>
          <w:p w14:paraId="309D8355"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281486F7"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7200DEAD"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266B9154"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МП_УЕТ7</w:t>
            </w:r>
          </w:p>
        </w:tc>
        <w:tc>
          <w:tcPr>
            <w:tcW w:w="1368" w:type="pct"/>
            <w:tcBorders>
              <w:top w:val="nil"/>
              <w:left w:val="nil"/>
              <w:bottom w:val="single" w:sz="4" w:space="0" w:color="auto"/>
              <w:right w:val="single" w:sz="4" w:space="0" w:color="auto"/>
            </w:tcBorders>
            <w:shd w:val="clear" w:color="auto" w:fill="auto"/>
            <w:vAlign w:val="center"/>
            <w:hideMark/>
          </w:tcPr>
          <w:p w14:paraId="07B30E5F"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Интеграција кластер пројеката ОИЕ – Северни коридор</w:t>
            </w:r>
          </w:p>
        </w:tc>
        <w:tc>
          <w:tcPr>
            <w:tcW w:w="329" w:type="pct"/>
            <w:tcBorders>
              <w:top w:val="nil"/>
              <w:left w:val="nil"/>
              <w:bottom w:val="single" w:sz="4" w:space="0" w:color="auto"/>
              <w:right w:val="single" w:sz="4" w:space="0" w:color="auto"/>
            </w:tcBorders>
            <w:shd w:val="clear" w:color="auto" w:fill="auto"/>
            <w:vAlign w:val="center"/>
            <w:hideMark/>
          </w:tcPr>
          <w:p w14:paraId="7B3B1798"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95" w:type="pct"/>
            <w:tcBorders>
              <w:top w:val="nil"/>
              <w:left w:val="nil"/>
              <w:bottom w:val="single" w:sz="4" w:space="0" w:color="auto"/>
              <w:right w:val="single" w:sz="4" w:space="0" w:color="auto"/>
            </w:tcBorders>
            <w:shd w:val="clear" w:color="auto" w:fill="auto"/>
            <w:vAlign w:val="center"/>
            <w:hideMark/>
          </w:tcPr>
          <w:p w14:paraId="25050E31"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4DFE3DE6"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84,00</w:t>
            </w:r>
          </w:p>
        </w:tc>
        <w:tc>
          <w:tcPr>
            <w:tcW w:w="335" w:type="pct"/>
            <w:tcBorders>
              <w:top w:val="nil"/>
              <w:left w:val="nil"/>
              <w:bottom w:val="single" w:sz="4" w:space="0" w:color="auto"/>
              <w:right w:val="single" w:sz="4" w:space="0" w:color="auto"/>
            </w:tcBorders>
            <w:shd w:val="clear" w:color="000000" w:fill="E2EFDA"/>
            <w:vAlign w:val="center"/>
            <w:hideMark/>
          </w:tcPr>
          <w:p w14:paraId="2D99811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12,60</w:t>
            </w:r>
          </w:p>
        </w:tc>
        <w:tc>
          <w:tcPr>
            <w:tcW w:w="347" w:type="pct"/>
            <w:tcBorders>
              <w:top w:val="nil"/>
              <w:left w:val="nil"/>
              <w:bottom w:val="single" w:sz="4" w:space="0" w:color="auto"/>
              <w:right w:val="single" w:sz="4" w:space="0" w:color="auto"/>
            </w:tcBorders>
            <w:shd w:val="clear" w:color="000000" w:fill="E2EFDA"/>
            <w:vAlign w:val="center"/>
            <w:hideMark/>
          </w:tcPr>
          <w:p w14:paraId="74F91ADA"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71,40</w:t>
            </w:r>
          </w:p>
        </w:tc>
        <w:tc>
          <w:tcPr>
            <w:tcW w:w="374" w:type="pct"/>
            <w:tcBorders>
              <w:top w:val="nil"/>
              <w:left w:val="nil"/>
              <w:bottom w:val="single" w:sz="4" w:space="0" w:color="auto"/>
              <w:right w:val="single" w:sz="4" w:space="0" w:color="auto"/>
            </w:tcBorders>
            <w:shd w:val="clear" w:color="000000" w:fill="ED7D31"/>
            <w:vAlign w:val="center"/>
            <w:hideMark/>
          </w:tcPr>
          <w:p w14:paraId="13880772"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649269C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84,00</w:t>
            </w:r>
          </w:p>
        </w:tc>
        <w:tc>
          <w:tcPr>
            <w:tcW w:w="378" w:type="pct"/>
            <w:tcBorders>
              <w:top w:val="nil"/>
              <w:left w:val="nil"/>
              <w:bottom w:val="single" w:sz="4" w:space="0" w:color="auto"/>
              <w:right w:val="single" w:sz="4" w:space="0" w:color="auto"/>
            </w:tcBorders>
            <w:shd w:val="clear" w:color="000000" w:fill="E2EFDA"/>
            <w:vAlign w:val="center"/>
            <w:hideMark/>
          </w:tcPr>
          <w:p w14:paraId="5FF07DB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6888CD6C"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368A7A43"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79812F95"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МП_УЕТ8</w:t>
            </w:r>
          </w:p>
        </w:tc>
        <w:tc>
          <w:tcPr>
            <w:tcW w:w="1368" w:type="pct"/>
            <w:tcBorders>
              <w:top w:val="nil"/>
              <w:left w:val="nil"/>
              <w:bottom w:val="single" w:sz="4" w:space="0" w:color="auto"/>
              <w:right w:val="single" w:sz="4" w:space="0" w:color="auto"/>
            </w:tcBorders>
            <w:shd w:val="clear" w:color="auto" w:fill="auto"/>
            <w:vAlign w:val="center"/>
            <w:hideMark/>
          </w:tcPr>
          <w:p w14:paraId="6C0B5FC3"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Регионално гасно повезивање путем реализације пројеката интерконекције</w:t>
            </w:r>
          </w:p>
        </w:tc>
        <w:tc>
          <w:tcPr>
            <w:tcW w:w="329" w:type="pct"/>
            <w:tcBorders>
              <w:top w:val="nil"/>
              <w:left w:val="nil"/>
              <w:bottom w:val="single" w:sz="4" w:space="0" w:color="auto"/>
              <w:right w:val="single" w:sz="4" w:space="0" w:color="auto"/>
            </w:tcBorders>
            <w:shd w:val="clear" w:color="auto" w:fill="auto"/>
            <w:vAlign w:val="center"/>
            <w:hideMark/>
          </w:tcPr>
          <w:p w14:paraId="0B65A6C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95" w:type="pct"/>
            <w:tcBorders>
              <w:top w:val="nil"/>
              <w:left w:val="nil"/>
              <w:bottom w:val="single" w:sz="4" w:space="0" w:color="auto"/>
              <w:right w:val="single" w:sz="4" w:space="0" w:color="auto"/>
            </w:tcBorders>
            <w:shd w:val="clear" w:color="auto" w:fill="auto"/>
            <w:vAlign w:val="center"/>
            <w:hideMark/>
          </w:tcPr>
          <w:p w14:paraId="55BB6878"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11A3B77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224,00</w:t>
            </w:r>
          </w:p>
        </w:tc>
        <w:tc>
          <w:tcPr>
            <w:tcW w:w="335" w:type="pct"/>
            <w:tcBorders>
              <w:top w:val="nil"/>
              <w:left w:val="nil"/>
              <w:bottom w:val="single" w:sz="4" w:space="0" w:color="auto"/>
              <w:right w:val="single" w:sz="4" w:space="0" w:color="auto"/>
            </w:tcBorders>
            <w:shd w:val="clear" w:color="000000" w:fill="E2EFDA"/>
            <w:vAlign w:val="center"/>
            <w:hideMark/>
          </w:tcPr>
          <w:p w14:paraId="50C0F01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33,60</w:t>
            </w:r>
          </w:p>
        </w:tc>
        <w:tc>
          <w:tcPr>
            <w:tcW w:w="347" w:type="pct"/>
            <w:tcBorders>
              <w:top w:val="nil"/>
              <w:left w:val="nil"/>
              <w:bottom w:val="single" w:sz="4" w:space="0" w:color="auto"/>
              <w:right w:val="single" w:sz="4" w:space="0" w:color="auto"/>
            </w:tcBorders>
            <w:shd w:val="clear" w:color="000000" w:fill="E2EFDA"/>
            <w:vAlign w:val="center"/>
            <w:hideMark/>
          </w:tcPr>
          <w:p w14:paraId="14C8A417"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190,40</w:t>
            </w:r>
          </w:p>
        </w:tc>
        <w:tc>
          <w:tcPr>
            <w:tcW w:w="374" w:type="pct"/>
            <w:tcBorders>
              <w:top w:val="nil"/>
              <w:left w:val="nil"/>
              <w:bottom w:val="single" w:sz="4" w:space="0" w:color="auto"/>
              <w:right w:val="single" w:sz="4" w:space="0" w:color="auto"/>
            </w:tcBorders>
            <w:shd w:val="clear" w:color="000000" w:fill="ED7D31"/>
            <w:vAlign w:val="center"/>
            <w:hideMark/>
          </w:tcPr>
          <w:p w14:paraId="704BBD2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24A36C5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224,00</w:t>
            </w:r>
          </w:p>
        </w:tc>
        <w:tc>
          <w:tcPr>
            <w:tcW w:w="378" w:type="pct"/>
            <w:tcBorders>
              <w:top w:val="nil"/>
              <w:left w:val="nil"/>
              <w:bottom w:val="single" w:sz="4" w:space="0" w:color="auto"/>
              <w:right w:val="single" w:sz="4" w:space="0" w:color="auto"/>
            </w:tcBorders>
            <w:shd w:val="clear" w:color="000000" w:fill="E2EFDA"/>
            <w:vAlign w:val="center"/>
            <w:hideMark/>
          </w:tcPr>
          <w:p w14:paraId="2C80E97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2B0229F5"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633D909C"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4BE18B7C"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МП_УЕТ8.2</w:t>
            </w:r>
          </w:p>
        </w:tc>
        <w:tc>
          <w:tcPr>
            <w:tcW w:w="1368" w:type="pct"/>
            <w:tcBorders>
              <w:top w:val="nil"/>
              <w:left w:val="nil"/>
              <w:bottom w:val="single" w:sz="4" w:space="0" w:color="auto"/>
              <w:right w:val="single" w:sz="4" w:space="0" w:color="auto"/>
            </w:tcBorders>
            <w:shd w:val="clear" w:color="auto" w:fill="auto"/>
            <w:vAlign w:val="center"/>
            <w:hideMark/>
          </w:tcPr>
          <w:p w14:paraId="26B0F395"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Пројекат гасне интерконекције Србије и Румуније од 85,5 km (од чега се 12,8 km налази на територији Републике Србије), са капацитетом од 1,2 милијарде m3/годишње</w:t>
            </w:r>
          </w:p>
        </w:tc>
        <w:tc>
          <w:tcPr>
            <w:tcW w:w="329" w:type="pct"/>
            <w:tcBorders>
              <w:top w:val="nil"/>
              <w:left w:val="nil"/>
              <w:bottom w:val="single" w:sz="4" w:space="0" w:color="auto"/>
              <w:right w:val="single" w:sz="4" w:space="0" w:color="auto"/>
            </w:tcBorders>
            <w:shd w:val="clear" w:color="auto" w:fill="auto"/>
            <w:vAlign w:val="center"/>
            <w:hideMark/>
          </w:tcPr>
          <w:p w14:paraId="6D7D654E"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95" w:type="pct"/>
            <w:tcBorders>
              <w:top w:val="nil"/>
              <w:left w:val="nil"/>
              <w:bottom w:val="single" w:sz="4" w:space="0" w:color="auto"/>
              <w:right w:val="single" w:sz="4" w:space="0" w:color="auto"/>
            </w:tcBorders>
            <w:shd w:val="clear" w:color="auto" w:fill="auto"/>
            <w:vAlign w:val="center"/>
            <w:hideMark/>
          </w:tcPr>
          <w:p w14:paraId="7EA45AC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023C0886"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16,00</w:t>
            </w:r>
          </w:p>
        </w:tc>
        <w:tc>
          <w:tcPr>
            <w:tcW w:w="335" w:type="pct"/>
            <w:tcBorders>
              <w:top w:val="nil"/>
              <w:left w:val="nil"/>
              <w:bottom w:val="single" w:sz="4" w:space="0" w:color="auto"/>
              <w:right w:val="single" w:sz="4" w:space="0" w:color="auto"/>
            </w:tcBorders>
            <w:shd w:val="clear" w:color="000000" w:fill="E2EFDA"/>
            <w:vAlign w:val="center"/>
            <w:hideMark/>
          </w:tcPr>
          <w:p w14:paraId="541FAA0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2,40</w:t>
            </w:r>
          </w:p>
        </w:tc>
        <w:tc>
          <w:tcPr>
            <w:tcW w:w="347" w:type="pct"/>
            <w:tcBorders>
              <w:top w:val="nil"/>
              <w:left w:val="nil"/>
              <w:bottom w:val="single" w:sz="4" w:space="0" w:color="auto"/>
              <w:right w:val="single" w:sz="4" w:space="0" w:color="auto"/>
            </w:tcBorders>
            <w:shd w:val="clear" w:color="000000" w:fill="E2EFDA"/>
            <w:vAlign w:val="center"/>
            <w:hideMark/>
          </w:tcPr>
          <w:p w14:paraId="5DCA0AC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13,60</w:t>
            </w:r>
          </w:p>
        </w:tc>
        <w:tc>
          <w:tcPr>
            <w:tcW w:w="374" w:type="pct"/>
            <w:tcBorders>
              <w:top w:val="nil"/>
              <w:left w:val="nil"/>
              <w:bottom w:val="single" w:sz="4" w:space="0" w:color="auto"/>
              <w:right w:val="single" w:sz="4" w:space="0" w:color="auto"/>
            </w:tcBorders>
            <w:shd w:val="clear" w:color="000000" w:fill="ED7D31"/>
            <w:vAlign w:val="center"/>
            <w:hideMark/>
          </w:tcPr>
          <w:p w14:paraId="2B0D904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4263B40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16,00</w:t>
            </w:r>
          </w:p>
        </w:tc>
        <w:tc>
          <w:tcPr>
            <w:tcW w:w="378" w:type="pct"/>
            <w:tcBorders>
              <w:top w:val="nil"/>
              <w:left w:val="nil"/>
              <w:bottom w:val="single" w:sz="4" w:space="0" w:color="auto"/>
              <w:right w:val="single" w:sz="4" w:space="0" w:color="auto"/>
            </w:tcBorders>
            <w:shd w:val="clear" w:color="000000" w:fill="E2EFDA"/>
            <w:vAlign w:val="center"/>
            <w:hideMark/>
          </w:tcPr>
          <w:p w14:paraId="05FF3789"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029F7F2E"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0D1075C5"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4B82D145"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МП_УЕТ8.3</w:t>
            </w:r>
          </w:p>
        </w:tc>
        <w:tc>
          <w:tcPr>
            <w:tcW w:w="1368" w:type="pct"/>
            <w:tcBorders>
              <w:top w:val="nil"/>
              <w:left w:val="nil"/>
              <w:bottom w:val="single" w:sz="4" w:space="0" w:color="auto"/>
              <w:right w:val="single" w:sz="4" w:space="0" w:color="auto"/>
            </w:tcBorders>
            <w:shd w:val="clear" w:color="auto" w:fill="auto"/>
            <w:vAlign w:val="center"/>
            <w:hideMark/>
          </w:tcPr>
          <w:p w14:paraId="74A32193"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Пројекат гасне интерконекције Србије и Хрватске (95 km, са капацитетом од 1,5 милијарди m3/годишње)</w:t>
            </w:r>
          </w:p>
        </w:tc>
        <w:tc>
          <w:tcPr>
            <w:tcW w:w="329" w:type="pct"/>
            <w:tcBorders>
              <w:top w:val="nil"/>
              <w:left w:val="nil"/>
              <w:bottom w:val="single" w:sz="4" w:space="0" w:color="auto"/>
              <w:right w:val="single" w:sz="4" w:space="0" w:color="auto"/>
            </w:tcBorders>
            <w:shd w:val="clear" w:color="auto" w:fill="auto"/>
            <w:vAlign w:val="center"/>
            <w:hideMark/>
          </w:tcPr>
          <w:p w14:paraId="314BF89E"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95" w:type="pct"/>
            <w:tcBorders>
              <w:top w:val="nil"/>
              <w:left w:val="nil"/>
              <w:bottom w:val="single" w:sz="4" w:space="0" w:color="auto"/>
              <w:right w:val="single" w:sz="4" w:space="0" w:color="auto"/>
            </w:tcBorders>
            <w:shd w:val="clear" w:color="auto" w:fill="auto"/>
            <w:vAlign w:val="center"/>
            <w:hideMark/>
          </w:tcPr>
          <w:p w14:paraId="4A8D94B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34904AF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144,00</w:t>
            </w:r>
          </w:p>
        </w:tc>
        <w:tc>
          <w:tcPr>
            <w:tcW w:w="335" w:type="pct"/>
            <w:tcBorders>
              <w:top w:val="nil"/>
              <w:left w:val="nil"/>
              <w:bottom w:val="single" w:sz="4" w:space="0" w:color="auto"/>
              <w:right w:val="single" w:sz="4" w:space="0" w:color="auto"/>
            </w:tcBorders>
            <w:shd w:val="clear" w:color="000000" w:fill="E2EFDA"/>
            <w:vAlign w:val="center"/>
            <w:hideMark/>
          </w:tcPr>
          <w:p w14:paraId="1E97B41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21,60</w:t>
            </w:r>
          </w:p>
        </w:tc>
        <w:tc>
          <w:tcPr>
            <w:tcW w:w="347" w:type="pct"/>
            <w:tcBorders>
              <w:top w:val="nil"/>
              <w:left w:val="nil"/>
              <w:bottom w:val="single" w:sz="4" w:space="0" w:color="auto"/>
              <w:right w:val="single" w:sz="4" w:space="0" w:color="auto"/>
            </w:tcBorders>
            <w:shd w:val="clear" w:color="000000" w:fill="E2EFDA"/>
            <w:vAlign w:val="center"/>
            <w:hideMark/>
          </w:tcPr>
          <w:p w14:paraId="3CE42368"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122,40</w:t>
            </w:r>
          </w:p>
        </w:tc>
        <w:tc>
          <w:tcPr>
            <w:tcW w:w="374" w:type="pct"/>
            <w:tcBorders>
              <w:top w:val="nil"/>
              <w:left w:val="nil"/>
              <w:bottom w:val="single" w:sz="4" w:space="0" w:color="auto"/>
              <w:right w:val="single" w:sz="4" w:space="0" w:color="auto"/>
            </w:tcBorders>
            <w:shd w:val="clear" w:color="000000" w:fill="ED7D31"/>
            <w:vAlign w:val="center"/>
            <w:hideMark/>
          </w:tcPr>
          <w:p w14:paraId="172F12D8"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03F2959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144,00</w:t>
            </w:r>
          </w:p>
        </w:tc>
        <w:tc>
          <w:tcPr>
            <w:tcW w:w="378" w:type="pct"/>
            <w:tcBorders>
              <w:top w:val="nil"/>
              <w:left w:val="nil"/>
              <w:bottom w:val="single" w:sz="4" w:space="0" w:color="auto"/>
              <w:right w:val="single" w:sz="4" w:space="0" w:color="auto"/>
            </w:tcBorders>
            <w:shd w:val="clear" w:color="000000" w:fill="E2EFDA"/>
            <w:vAlign w:val="center"/>
            <w:hideMark/>
          </w:tcPr>
          <w:p w14:paraId="0C610F95"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3ED2B2F9"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3BDEB618"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69FC7AE7"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МП_УЕТ8.4</w:t>
            </w:r>
          </w:p>
        </w:tc>
        <w:tc>
          <w:tcPr>
            <w:tcW w:w="1368" w:type="pct"/>
            <w:tcBorders>
              <w:top w:val="nil"/>
              <w:left w:val="nil"/>
              <w:bottom w:val="single" w:sz="4" w:space="0" w:color="auto"/>
              <w:right w:val="single" w:sz="4" w:space="0" w:color="auto"/>
            </w:tcBorders>
            <w:shd w:val="clear" w:color="auto" w:fill="auto"/>
            <w:vAlign w:val="center"/>
            <w:hideMark/>
          </w:tcPr>
          <w:p w14:paraId="1603EC01"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Пројекат гасне интерконекције Србија-БиХ од 90 km, капацитета 1,2 милијарде m3 годишње</w:t>
            </w:r>
          </w:p>
        </w:tc>
        <w:tc>
          <w:tcPr>
            <w:tcW w:w="329" w:type="pct"/>
            <w:tcBorders>
              <w:top w:val="nil"/>
              <w:left w:val="nil"/>
              <w:bottom w:val="single" w:sz="4" w:space="0" w:color="auto"/>
              <w:right w:val="single" w:sz="4" w:space="0" w:color="auto"/>
            </w:tcBorders>
            <w:shd w:val="clear" w:color="auto" w:fill="auto"/>
            <w:vAlign w:val="center"/>
            <w:hideMark/>
          </w:tcPr>
          <w:p w14:paraId="2F818E0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95" w:type="pct"/>
            <w:tcBorders>
              <w:top w:val="nil"/>
              <w:left w:val="nil"/>
              <w:bottom w:val="single" w:sz="4" w:space="0" w:color="auto"/>
              <w:right w:val="single" w:sz="4" w:space="0" w:color="auto"/>
            </w:tcBorders>
            <w:shd w:val="clear" w:color="auto" w:fill="auto"/>
            <w:vAlign w:val="center"/>
            <w:hideMark/>
          </w:tcPr>
          <w:p w14:paraId="1833383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0000E90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47,00</w:t>
            </w:r>
          </w:p>
        </w:tc>
        <w:tc>
          <w:tcPr>
            <w:tcW w:w="335" w:type="pct"/>
            <w:tcBorders>
              <w:top w:val="nil"/>
              <w:left w:val="nil"/>
              <w:bottom w:val="single" w:sz="4" w:space="0" w:color="auto"/>
              <w:right w:val="single" w:sz="4" w:space="0" w:color="auto"/>
            </w:tcBorders>
            <w:shd w:val="clear" w:color="000000" w:fill="E2EFDA"/>
            <w:vAlign w:val="center"/>
            <w:hideMark/>
          </w:tcPr>
          <w:p w14:paraId="3DF98BB6"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7,05</w:t>
            </w:r>
          </w:p>
        </w:tc>
        <w:tc>
          <w:tcPr>
            <w:tcW w:w="347" w:type="pct"/>
            <w:tcBorders>
              <w:top w:val="nil"/>
              <w:left w:val="nil"/>
              <w:bottom w:val="single" w:sz="4" w:space="0" w:color="auto"/>
              <w:right w:val="single" w:sz="4" w:space="0" w:color="auto"/>
            </w:tcBorders>
            <w:shd w:val="clear" w:color="000000" w:fill="E2EFDA"/>
            <w:vAlign w:val="center"/>
            <w:hideMark/>
          </w:tcPr>
          <w:p w14:paraId="2971A5DA"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39,95</w:t>
            </w:r>
          </w:p>
        </w:tc>
        <w:tc>
          <w:tcPr>
            <w:tcW w:w="374" w:type="pct"/>
            <w:tcBorders>
              <w:top w:val="nil"/>
              <w:left w:val="nil"/>
              <w:bottom w:val="single" w:sz="4" w:space="0" w:color="auto"/>
              <w:right w:val="single" w:sz="4" w:space="0" w:color="auto"/>
            </w:tcBorders>
            <w:shd w:val="clear" w:color="000000" w:fill="ED7D31"/>
            <w:vAlign w:val="center"/>
            <w:hideMark/>
          </w:tcPr>
          <w:p w14:paraId="07F47091"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478F3262"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47,00</w:t>
            </w:r>
          </w:p>
        </w:tc>
        <w:tc>
          <w:tcPr>
            <w:tcW w:w="378" w:type="pct"/>
            <w:tcBorders>
              <w:top w:val="nil"/>
              <w:left w:val="nil"/>
              <w:bottom w:val="single" w:sz="4" w:space="0" w:color="auto"/>
              <w:right w:val="single" w:sz="4" w:space="0" w:color="auto"/>
            </w:tcBorders>
            <w:shd w:val="clear" w:color="000000" w:fill="E2EFDA"/>
            <w:vAlign w:val="center"/>
            <w:hideMark/>
          </w:tcPr>
          <w:p w14:paraId="5B8CACE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3A27407C"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3428E11C"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1F50C32B"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МП_УЕТ8.5</w:t>
            </w:r>
          </w:p>
        </w:tc>
        <w:tc>
          <w:tcPr>
            <w:tcW w:w="1368" w:type="pct"/>
            <w:tcBorders>
              <w:top w:val="nil"/>
              <w:left w:val="nil"/>
              <w:bottom w:val="single" w:sz="4" w:space="0" w:color="auto"/>
              <w:right w:val="single" w:sz="4" w:space="0" w:color="auto"/>
            </w:tcBorders>
            <w:shd w:val="clear" w:color="auto" w:fill="auto"/>
            <w:vAlign w:val="center"/>
            <w:hideMark/>
          </w:tcPr>
          <w:p w14:paraId="785C13D9"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Разводни гасовод РГ 11-02 Лесковац – Владичин Хан – Врање од 71 km</w:t>
            </w:r>
          </w:p>
        </w:tc>
        <w:tc>
          <w:tcPr>
            <w:tcW w:w="329" w:type="pct"/>
            <w:tcBorders>
              <w:top w:val="nil"/>
              <w:left w:val="nil"/>
              <w:bottom w:val="single" w:sz="4" w:space="0" w:color="auto"/>
              <w:right w:val="single" w:sz="4" w:space="0" w:color="auto"/>
            </w:tcBorders>
            <w:shd w:val="clear" w:color="auto" w:fill="auto"/>
            <w:vAlign w:val="center"/>
            <w:hideMark/>
          </w:tcPr>
          <w:p w14:paraId="7F7253C1"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95" w:type="pct"/>
            <w:tcBorders>
              <w:top w:val="nil"/>
              <w:left w:val="nil"/>
              <w:bottom w:val="single" w:sz="4" w:space="0" w:color="auto"/>
              <w:right w:val="single" w:sz="4" w:space="0" w:color="auto"/>
            </w:tcBorders>
            <w:shd w:val="clear" w:color="auto" w:fill="auto"/>
            <w:vAlign w:val="center"/>
            <w:hideMark/>
          </w:tcPr>
          <w:p w14:paraId="600410E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1709E05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50,00</w:t>
            </w:r>
          </w:p>
        </w:tc>
        <w:tc>
          <w:tcPr>
            <w:tcW w:w="335" w:type="pct"/>
            <w:tcBorders>
              <w:top w:val="nil"/>
              <w:left w:val="nil"/>
              <w:bottom w:val="single" w:sz="4" w:space="0" w:color="auto"/>
              <w:right w:val="single" w:sz="4" w:space="0" w:color="auto"/>
            </w:tcBorders>
            <w:shd w:val="clear" w:color="000000" w:fill="E2EFDA"/>
            <w:vAlign w:val="center"/>
            <w:hideMark/>
          </w:tcPr>
          <w:p w14:paraId="70EF27D7"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7,50</w:t>
            </w:r>
          </w:p>
        </w:tc>
        <w:tc>
          <w:tcPr>
            <w:tcW w:w="347" w:type="pct"/>
            <w:tcBorders>
              <w:top w:val="nil"/>
              <w:left w:val="nil"/>
              <w:bottom w:val="single" w:sz="4" w:space="0" w:color="auto"/>
              <w:right w:val="single" w:sz="4" w:space="0" w:color="auto"/>
            </w:tcBorders>
            <w:shd w:val="clear" w:color="000000" w:fill="E2EFDA"/>
            <w:vAlign w:val="center"/>
            <w:hideMark/>
          </w:tcPr>
          <w:p w14:paraId="21D84796"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42,50</w:t>
            </w:r>
          </w:p>
        </w:tc>
        <w:tc>
          <w:tcPr>
            <w:tcW w:w="374" w:type="pct"/>
            <w:tcBorders>
              <w:top w:val="nil"/>
              <w:left w:val="nil"/>
              <w:bottom w:val="single" w:sz="4" w:space="0" w:color="auto"/>
              <w:right w:val="single" w:sz="4" w:space="0" w:color="auto"/>
            </w:tcBorders>
            <w:shd w:val="clear" w:color="000000" w:fill="ED7D31"/>
            <w:vAlign w:val="center"/>
            <w:hideMark/>
          </w:tcPr>
          <w:p w14:paraId="013F0F4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6B3AAD39"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50,00</w:t>
            </w:r>
          </w:p>
        </w:tc>
        <w:tc>
          <w:tcPr>
            <w:tcW w:w="378" w:type="pct"/>
            <w:tcBorders>
              <w:top w:val="nil"/>
              <w:left w:val="nil"/>
              <w:bottom w:val="single" w:sz="4" w:space="0" w:color="auto"/>
              <w:right w:val="single" w:sz="4" w:space="0" w:color="auto"/>
            </w:tcBorders>
            <w:shd w:val="clear" w:color="000000" w:fill="E2EFDA"/>
            <w:vAlign w:val="center"/>
            <w:hideMark/>
          </w:tcPr>
          <w:p w14:paraId="4514630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7B448E79"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0EE19916"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7FBA91C4"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МП_УЕТ8.6</w:t>
            </w:r>
          </w:p>
        </w:tc>
        <w:tc>
          <w:tcPr>
            <w:tcW w:w="1368" w:type="pct"/>
            <w:tcBorders>
              <w:top w:val="nil"/>
              <w:left w:val="nil"/>
              <w:bottom w:val="single" w:sz="4" w:space="0" w:color="auto"/>
              <w:right w:val="single" w:sz="4" w:space="0" w:color="auto"/>
            </w:tcBorders>
            <w:shd w:val="clear" w:color="auto" w:fill="auto"/>
            <w:vAlign w:val="center"/>
            <w:hideMark/>
          </w:tcPr>
          <w:p w14:paraId="337715EC"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Гасовод – интерконекција са Црном Гором</w:t>
            </w:r>
          </w:p>
        </w:tc>
        <w:tc>
          <w:tcPr>
            <w:tcW w:w="329" w:type="pct"/>
            <w:tcBorders>
              <w:top w:val="nil"/>
              <w:left w:val="nil"/>
              <w:bottom w:val="single" w:sz="4" w:space="0" w:color="auto"/>
              <w:right w:val="single" w:sz="4" w:space="0" w:color="auto"/>
            </w:tcBorders>
            <w:shd w:val="clear" w:color="auto" w:fill="auto"/>
            <w:vAlign w:val="center"/>
            <w:hideMark/>
          </w:tcPr>
          <w:p w14:paraId="7A90D32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95" w:type="pct"/>
            <w:tcBorders>
              <w:top w:val="nil"/>
              <w:left w:val="nil"/>
              <w:bottom w:val="single" w:sz="4" w:space="0" w:color="auto"/>
              <w:right w:val="single" w:sz="4" w:space="0" w:color="auto"/>
            </w:tcBorders>
            <w:shd w:val="clear" w:color="auto" w:fill="auto"/>
            <w:vAlign w:val="center"/>
            <w:hideMark/>
          </w:tcPr>
          <w:p w14:paraId="21025A6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7252575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60,00</w:t>
            </w:r>
          </w:p>
        </w:tc>
        <w:tc>
          <w:tcPr>
            <w:tcW w:w="335" w:type="pct"/>
            <w:tcBorders>
              <w:top w:val="nil"/>
              <w:left w:val="nil"/>
              <w:bottom w:val="single" w:sz="4" w:space="0" w:color="auto"/>
              <w:right w:val="single" w:sz="4" w:space="0" w:color="auto"/>
            </w:tcBorders>
            <w:shd w:val="clear" w:color="000000" w:fill="E2EFDA"/>
            <w:vAlign w:val="center"/>
            <w:hideMark/>
          </w:tcPr>
          <w:p w14:paraId="5BEC7F9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9,00</w:t>
            </w:r>
          </w:p>
        </w:tc>
        <w:tc>
          <w:tcPr>
            <w:tcW w:w="347" w:type="pct"/>
            <w:tcBorders>
              <w:top w:val="nil"/>
              <w:left w:val="nil"/>
              <w:bottom w:val="single" w:sz="4" w:space="0" w:color="auto"/>
              <w:right w:val="single" w:sz="4" w:space="0" w:color="auto"/>
            </w:tcBorders>
            <w:shd w:val="clear" w:color="000000" w:fill="E2EFDA"/>
            <w:vAlign w:val="center"/>
            <w:hideMark/>
          </w:tcPr>
          <w:p w14:paraId="1AE8851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51,00</w:t>
            </w:r>
          </w:p>
        </w:tc>
        <w:tc>
          <w:tcPr>
            <w:tcW w:w="374" w:type="pct"/>
            <w:tcBorders>
              <w:top w:val="nil"/>
              <w:left w:val="nil"/>
              <w:bottom w:val="single" w:sz="4" w:space="0" w:color="auto"/>
              <w:right w:val="single" w:sz="4" w:space="0" w:color="auto"/>
            </w:tcBorders>
            <w:shd w:val="clear" w:color="000000" w:fill="ED7D31"/>
            <w:vAlign w:val="center"/>
            <w:hideMark/>
          </w:tcPr>
          <w:p w14:paraId="6545F7FA"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4847160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60,00</w:t>
            </w:r>
          </w:p>
        </w:tc>
        <w:tc>
          <w:tcPr>
            <w:tcW w:w="378" w:type="pct"/>
            <w:tcBorders>
              <w:top w:val="nil"/>
              <w:left w:val="nil"/>
              <w:bottom w:val="single" w:sz="4" w:space="0" w:color="auto"/>
              <w:right w:val="single" w:sz="4" w:space="0" w:color="auto"/>
            </w:tcBorders>
            <w:shd w:val="clear" w:color="000000" w:fill="E2EFDA"/>
            <w:vAlign w:val="center"/>
            <w:hideMark/>
          </w:tcPr>
          <w:p w14:paraId="6A23D238"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605C8833"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101AB9E3"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6C59EBBD"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МП_УЕТ8.7</w:t>
            </w:r>
          </w:p>
        </w:tc>
        <w:tc>
          <w:tcPr>
            <w:tcW w:w="1368" w:type="pct"/>
            <w:tcBorders>
              <w:top w:val="nil"/>
              <w:left w:val="nil"/>
              <w:bottom w:val="single" w:sz="4" w:space="0" w:color="auto"/>
              <w:right w:val="single" w:sz="4" w:space="0" w:color="auto"/>
            </w:tcBorders>
            <w:shd w:val="clear" w:color="auto" w:fill="auto"/>
            <w:vAlign w:val="center"/>
            <w:hideMark/>
          </w:tcPr>
          <w:p w14:paraId="50B5AD4B"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Пројекат гасне интерконекције Србије и Македоније од 70,7 km, са капацитетом од 0,8 милијарди m3/годишње</w:t>
            </w:r>
          </w:p>
        </w:tc>
        <w:tc>
          <w:tcPr>
            <w:tcW w:w="329" w:type="pct"/>
            <w:tcBorders>
              <w:top w:val="nil"/>
              <w:left w:val="nil"/>
              <w:bottom w:val="single" w:sz="4" w:space="0" w:color="auto"/>
              <w:right w:val="single" w:sz="4" w:space="0" w:color="auto"/>
            </w:tcBorders>
            <w:shd w:val="clear" w:color="auto" w:fill="auto"/>
            <w:vAlign w:val="center"/>
            <w:hideMark/>
          </w:tcPr>
          <w:p w14:paraId="64C5E4FE"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95" w:type="pct"/>
            <w:tcBorders>
              <w:top w:val="nil"/>
              <w:left w:val="nil"/>
              <w:bottom w:val="single" w:sz="4" w:space="0" w:color="auto"/>
              <w:right w:val="single" w:sz="4" w:space="0" w:color="auto"/>
            </w:tcBorders>
            <w:shd w:val="clear" w:color="auto" w:fill="auto"/>
            <w:vAlign w:val="center"/>
            <w:hideMark/>
          </w:tcPr>
          <w:p w14:paraId="16EEE0C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6533145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20,00</w:t>
            </w:r>
          </w:p>
        </w:tc>
        <w:tc>
          <w:tcPr>
            <w:tcW w:w="335" w:type="pct"/>
            <w:tcBorders>
              <w:top w:val="nil"/>
              <w:left w:val="nil"/>
              <w:bottom w:val="single" w:sz="4" w:space="0" w:color="auto"/>
              <w:right w:val="single" w:sz="4" w:space="0" w:color="auto"/>
            </w:tcBorders>
            <w:shd w:val="clear" w:color="000000" w:fill="E2EFDA"/>
            <w:vAlign w:val="center"/>
            <w:hideMark/>
          </w:tcPr>
          <w:p w14:paraId="739FBE0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3,00</w:t>
            </w:r>
          </w:p>
        </w:tc>
        <w:tc>
          <w:tcPr>
            <w:tcW w:w="347" w:type="pct"/>
            <w:tcBorders>
              <w:top w:val="nil"/>
              <w:left w:val="nil"/>
              <w:bottom w:val="single" w:sz="4" w:space="0" w:color="auto"/>
              <w:right w:val="single" w:sz="4" w:space="0" w:color="auto"/>
            </w:tcBorders>
            <w:shd w:val="clear" w:color="000000" w:fill="E2EFDA"/>
            <w:vAlign w:val="center"/>
            <w:hideMark/>
          </w:tcPr>
          <w:p w14:paraId="5249A80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17,00</w:t>
            </w:r>
          </w:p>
        </w:tc>
        <w:tc>
          <w:tcPr>
            <w:tcW w:w="374" w:type="pct"/>
            <w:tcBorders>
              <w:top w:val="nil"/>
              <w:left w:val="nil"/>
              <w:bottom w:val="single" w:sz="4" w:space="0" w:color="auto"/>
              <w:right w:val="single" w:sz="4" w:space="0" w:color="auto"/>
            </w:tcBorders>
            <w:shd w:val="clear" w:color="000000" w:fill="ED7D31"/>
            <w:vAlign w:val="center"/>
            <w:hideMark/>
          </w:tcPr>
          <w:p w14:paraId="6EC0B34A"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71AB2367"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20,00</w:t>
            </w:r>
          </w:p>
        </w:tc>
        <w:tc>
          <w:tcPr>
            <w:tcW w:w="378" w:type="pct"/>
            <w:tcBorders>
              <w:top w:val="nil"/>
              <w:left w:val="nil"/>
              <w:bottom w:val="single" w:sz="4" w:space="0" w:color="auto"/>
              <w:right w:val="single" w:sz="4" w:space="0" w:color="auto"/>
            </w:tcBorders>
            <w:shd w:val="clear" w:color="000000" w:fill="E2EFDA"/>
            <w:vAlign w:val="center"/>
            <w:hideMark/>
          </w:tcPr>
          <w:p w14:paraId="4D7A1AA2"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4CA2C6EB"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58E1F414"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6F5D7E27"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МП_УЕТ8.8</w:t>
            </w:r>
          </w:p>
        </w:tc>
        <w:tc>
          <w:tcPr>
            <w:tcW w:w="1368" w:type="pct"/>
            <w:tcBorders>
              <w:top w:val="nil"/>
              <w:left w:val="nil"/>
              <w:bottom w:val="single" w:sz="4" w:space="0" w:color="auto"/>
              <w:right w:val="single" w:sz="4" w:space="0" w:color="auto"/>
            </w:tcBorders>
            <w:shd w:val="clear" w:color="auto" w:fill="auto"/>
            <w:vAlign w:val="center"/>
            <w:hideMark/>
          </w:tcPr>
          <w:p w14:paraId="70BD84AB"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Пројекат изградње гасовода Ниш-Приштина 65 km, са капацитетом од 0,8 милијарди m3/годишње</w:t>
            </w:r>
          </w:p>
        </w:tc>
        <w:tc>
          <w:tcPr>
            <w:tcW w:w="329" w:type="pct"/>
            <w:tcBorders>
              <w:top w:val="nil"/>
              <w:left w:val="nil"/>
              <w:bottom w:val="single" w:sz="4" w:space="0" w:color="auto"/>
              <w:right w:val="single" w:sz="4" w:space="0" w:color="auto"/>
            </w:tcBorders>
            <w:shd w:val="clear" w:color="auto" w:fill="auto"/>
            <w:vAlign w:val="center"/>
            <w:hideMark/>
          </w:tcPr>
          <w:p w14:paraId="3197808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95" w:type="pct"/>
            <w:tcBorders>
              <w:top w:val="nil"/>
              <w:left w:val="nil"/>
              <w:bottom w:val="single" w:sz="4" w:space="0" w:color="auto"/>
              <w:right w:val="single" w:sz="4" w:space="0" w:color="auto"/>
            </w:tcBorders>
            <w:shd w:val="clear" w:color="auto" w:fill="auto"/>
            <w:vAlign w:val="center"/>
            <w:hideMark/>
          </w:tcPr>
          <w:p w14:paraId="1C2B280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3EABF5C7"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30,00</w:t>
            </w:r>
          </w:p>
        </w:tc>
        <w:tc>
          <w:tcPr>
            <w:tcW w:w="335" w:type="pct"/>
            <w:tcBorders>
              <w:top w:val="nil"/>
              <w:left w:val="nil"/>
              <w:bottom w:val="single" w:sz="4" w:space="0" w:color="auto"/>
              <w:right w:val="single" w:sz="4" w:space="0" w:color="auto"/>
            </w:tcBorders>
            <w:shd w:val="clear" w:color="000000" w:fill="E2EFDA"/>
            <w:vAlign w:val="center"/>
            <w:hideMark/>
          </w:tcPr>
          <w:p w14:paraId="6600AD9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4,50</w:t>
            </w:r>
          </w:p>
        </w:tc>
        <w:tc>
          <w:tcPr>
            <w:tcW w:w="347" w:type="pct"/>
            <w:tcBorders>
              <w:top w:val="nil"/>
              <w:left w:val="nil"/>
              <w:bottom w:val="single" w:sz="4" w:space="0" w:color="auto"/>
              <w:right w:val="single" w:sz="4" w:space="0" w:color="auto"/>
            </w:tcBorders>
            <w:shd w:val="clear" w:color="000000" w:fill="E2EFDA"/>
            <w:vAlign w:val="center"/>
            <w:hideMark/>
          </w:tcPr>
          <w:p w14:paraId="4310023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25,50</w:t>
            </w:r>
          </w:p>
        </w:tc>
        <w:tc>
          <w:tcPr>
            <w:tcW w:w="374" w:type="pct"/>
            <w:tcBorders>
              <w:top w:val="nil"/>
              <w:left w:val="nil"/>
              <w:bottom w:val="single" w:sz="4" w:space="0" w:color="auto"/>
              <w:right w:val="single" w:sz="4" w:space="0" w:color="auto"/>
            </w:tcBorders>
            <w:shd w:val="clear" w:color="000000" w:fill="ED7D31"/>
            <w:vAlign w:val="center"/>
            <w:hideMark/>
          </w:tcPr>
          <w:p w14:paraId="583311E9"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3A430E7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30,00</w:t>
            </w:r>
          </w:p>
        </w:tc>
        <w:tc>
          <w:tcPr>
            <w:tcW w:w="378" w:type="pct"/>
            <w:tcBorders>
              <w:top w:val="nil"/>
              <w:left w:val="nil"/>
              <w:bottom w:val="single" w:sz="4" w:space="0" w:color="auto"/>
              <w:right w:val="single" w:sz="4" w:space="0" w:color="auto"/>
            </w:tcBorders>
            <w:shd w:val="clear" w:color="000000" w:fill="E2EFDA"/>
            <w:vAlign w:val="center"/>
            <w:hideMark/>
          </w:tcPr>
          <w:p w14:paraId="398F61A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1D80D992"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1BB6117F"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32C9ECBC"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МП_УЕТ9</w:t>
            </w:r>
          </w:p>
        </w:tc>
        <w:tc>
          <w:tcPr>
            <w:tcW w:w="1368" w:type="pct"/>
            <w:tcBorders>
              <w:top w:val="nil"/>
              <w:left w:val="nil"/>
              <w:bottom w:val="single" w:sz="4" w:space="0" w:color="auto"/>
              <w:right w:val="single" w:sz="4" w:space="0" w:color="auto"/>
            </w:tcBorders>
            <w:shd w:val="clear" w:color="auto" w:fill="auto"/>
            <w:vAlign w:val="center"/>
            <w:hideMark/>
          </w:tcPr>
          <w:p w14:paraId="078BB999"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Улагања у дигитализацију мрежа с циљем да се повећа интеграција ОИЕ и унапреди квалитет снабдевања</w:t>
            </w:r>
          </w:p>
        </w:tc>
        <w:tc>
          <w:tcPr>
            <w:tcW w:w="329" w:type="pct"/>
            <w:tcBorders>
              <w:top w:val="nil"/>
              <w:left w:val="nil"/>
              <w:bottom w:val="single" w:sz="4" w:space="0" w:color="auto"/>
              <w:right w:val="single" w:sz="4" w:space="0" w:color="auto"/>
            </w:tcBorders>
            <w:shd w:val="clear" w:color="auto" w:fill="auto"/>
            <w:vAlign w:val="center"/>
            <w:hideMark/>
          </w:tcPr>
          <w:p w14:paraId="165BD922"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95" w:type="pct"/>
            <w:tcBorders>
              <w:top w:val="nil"/>
              <w:left w:val="nil"/>
              <w:bottom w:val="single" w:sz="4" w:space="0" w:color="auto"/>
              <w:right w:val="single" w:sz="4" w:space="0" w:color="auto"/>
            </w:tcBorders>
            <w:shd w:val="clear" w:color="auto" w:fill="auto"/>
            <w:vAlign w:val="center"/>
            <w:hideMark/>
          </w:tcPr>
          <w:p w14:paraId="5CA5A9D1"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5A70A72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10,00</w:t>
            </w:r>
          </w:p>
        </w:tc>
        <w:tc>
          <w:tcPr>
            <w:tcW w:w="335" w:type="pct"/>
            <w:tcBorders>
              <w:top w:val="nil"/>
              <w:left w:val="nil"/>
              <w:bottom w:val="single" w:sz="4" w:space="0" w:color="auto"/>
              <w:right w:val="single" w:sz="4" w:space="0" w:color="auto"/>
            </w:tcBorders>
            <w:shd w:val="clear" w:color="000000" w:fill="E2EFDA"/>
            <w:vAlign w:val="center"/>
            <w:hideMark/>
          </w:tcPr>
          <w:p w14:paraId="2EC9FA35"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1,50</w:t>
            </w:r>
          </w:p>
        </w:tc>
        <w:tc>
          <w:tcPr>
            <w:tcW w:w="347" w:type="pct"/>
            <w:tcBorders>
              <w:top w:val="nil"/>
              <w:left w:val="nil"/>
              <w:bottom w:val="single" w:sz="4" w:space="0" w:color="auto"/>
              <w:right w:val="single" w:sz="4" w:space="0" w:color="auto"/>
            </w:tcBorders>
            <w:shd w:val="clear" w:color="000000" w:fill="E2EFDA"/>
            <w:vAlign w:val="center"/>
            <w:hideMark/>
          </w:tcPr>
          <w:p w14:paraId="1590981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8,50</w:t>
            </w:r>
          </w:p>
        </w:tc>
        <w:tc>
          <w:tcPr>
            <w:tcW w:w="374" w:type="pct"/>
            <w:tcBorders>
              <w:top w:val="nil"/>
              <w:left w:val="nil"/>
              <w:bottom w:val="single" w:sz="4" w:space="0" w:color="auto"/>
              <w:right w:val="single" w:sz="4" w:space="0" w:color="auto"/>
            </w:tcBorders>
            <w:shd w:val="clear" w:color="000000" w:fill="ED7D31"/>
            <w:vAlign w:val="center"/>
            <w:hideMark/>
          </w:tcPr>
          <w:p w14:paraId="6726DC0E"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58D4E60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10,00</w:t>
            </w:r>
          </w:p>
        </w:tc>
        <w:tc>
          <w:tcPr>
            <w:tcW w:w="378" w:type="pct"/>
            <w:tcBorders>
              <w:top w:val="nil"/>
              <w:left w:val="nil"/>
              <w:bottom w:val="single" w:sz="4" w:space="0" w:color="auto"/>
              <w:right w:val="single" w:sz="4" w:space="0" w:color="auto"/>
            </w:tcBorders>
            <w:shd w:val="clear" w:color="000000" w:fill="E2EFDA"/>
            <w:vAlign w:val="center"/>
            <w:hideMark/>
          </w:tcPr>
          <w:p w14:paraId="7A8A0F7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13CABD91"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7327817D"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4D9F953D"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МП_УЕТ11</w:t>
            </w:r>
          </w:p>
        </w:tc>
        <w:tc>
          <w:tcPr>
            <w:tcW w:w="1368" w:type="pct"/>
            <w:tcBorders>
              <w:top w:val="nil"/>
              <w:left w:val="nil"/>
              <w:bottom w:val="single" w:sz="4" w:space="0" w:color="auto"/>
              <w:right w:val="single" w:sz="4" w:space="0" w:color="auto"/>
            </w:tcBorders>
            <w:shd w:val="clear" w:color="auto" w:fill="auto"/>
            <w:vAlign w:val="center"/>
            <w:hideMark/>
          </w:tcPr>
          <w:p w14:paraId="7E2D36AC"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Увођење напредних мерних уређаја за електричну енергију Електродистрибуција Србије доо Београд ЕПС</w:t>
            </w:r>
          </w:p>
        </w:tc>
        <w:tc>
          <w:tcPr>
            <w:tcW w:w="329" w:type="pct"/>
            <w:tcBorders>
              <w:top w:val="nil"/>
              <w:left w:val="nil"/>
              <w:bottom w:val="single" w:sz="4" w:space="0" w:color="auto"/>
              <w:right w:val="single" w:sz="4" w:space="0" w:color="auto"/>
            </w:tcBorders>
            <w:shd w:val="clear" w:color="auto" w:fill="auto"/>
            <w:vAlign w:val="center"/>
            <w:hideMark/>
          </w:tcPr>
          <w:p w14:paraId="27976BC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95" w:type="pct"/>
            <w:tcBorders>
              <w:top w:val="nil"/>
              <w:left w:val="nil"/>
              <w:bottom w:val="single" w:sz="4" w:space="0" w:color="auto"/>
              <w:right w:val="single" w:sz="4" w:space="0" w:color="auto"/>
            </w:tcBorders>
            <w:shd w:val="clear" w:color="auto" w:fill="auto"/>
            <w:vAlign w:val="center"/>
            <w:hideMark/>
          </w:tcPr>
          <w:p w14:paraId="770F9978"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2C7F966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32,20</w:t>
            </w:r>
          </w:p>
        </w:tc>
        <w:tc>
          <w:tcPr>
            <w:tcW w:w="335" w:type="pct"/>
            <w:tcBorders>
              <w:top w:val="nil"/>
              <w:left w:val="nil"/>
              <w:bottom w:val="single" w:sz="4" w:space="0" w:color="auto"/>
              <w:right w:val="single" w:sz="4" w:space="0" w:color="auto"/>
            </w:tcBorders>
            <w:shd w:val="clear" w:color="000000" w:fill="E2EFDA"/>
            <w:vAlign w:val="center"/>
            <w:hideMark/>
          </w:tcPr>
          <w:p w14:paraId="35BA4A3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47" w:type="pct"/>
            <w:tcBorders>
              <w:top w:val="nil"/>
              <w:left w:val="nil"/>
              <w:bottom w:val="single" w:sz="4" w:space="0" w:color="auto"/>
              <w:right w:val="single" w:sz="4" w:space="0" w:color="auto"/>
            </w:tcBorders>
            <w:shd w:val="clear" w:color="000000" w:fill="E2EFDA"/>
            <w:vAlign w:val="center"/>
            <w:hideMark/>
          </w:tcPr>
          <w:p w14:paraId="46BE9E96"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32,20</w:t>
            </w:r>
          </w:p>
        </w:tc>
        <w:tc>
          <w:tcPr>
            <w:tcW w:w="374" w:type="pct"/>
            <w:tcBorders>
              <w:top w:val="nil"/>
              <w:left w:val="nil"/>
              <w:bottom w:val="single" w:sz="4" w:space="0" w:color="auto"/>
              <w:right w:val="single" w:sz="4" w:space="0" w:color="auto"/>
            </w:tcBorders>
            <w:shd w:val="clear" w:color="000000" w:fill="ED7D31"/>
            <w:vAlign w:val="center"/>
            <w:hideMark/>
          </w:tcPr>
          <w:p w14:paraId="19D6C29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5EF3525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32,20</w:t>
            </w:r>
          </w:p>
        </w:tc>
        <w:tc>
          <w:tcPr>
            <w:tcW w:w="378" w:type="pct"/>
            <w:tcBorders>
              <w:top w:val="nil"/>
              <w:left w:val="nil"/>
              <w:bottom w:val="single" w:sz="4" w:space="0" w:color="auto"/>
              <w:right w:val="single" w:sz="4" w:space="0" w:color="auto"/>
            </w:tcBorders>
            <w:shd w:val="clear" w:color="000000" w:fill="E2EFDA"/>
            <w:vAlign w:val="center"/>
            <w:hideMark/>
          </w:tcPr>
          <w:p w14:paraId="37AA1A96"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7B1A29EA"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63D72BAE"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50B3A167"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МП_УЕТ12</w:t>
            </w:r>
          </w:p>
        </w:tc>
        <w:tc>
          <w:tcPr>
            <w:tcW w:w="1368" w:type="pct"/>
            <w:tcBorders>
              <w:top w:val="nil"/>
              <w:left w:val="nil"/>
              <w:bottom w:val="single" w:sz="4" w:space="0" w:color="auto"/>
              <w:right w:val="single" w:sz="4" w:space="0" w:color="auto"/>
            </w:tcBorders>
            <w:shd w:val="clear" w:color="auto" w:fill="auto"/>
            <w:vAlign w:val="center"/>
            <w:hideMark/>
          </w:tcPr>
          <w:p w14:paraId="1643DB8A"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Студије изводљивости за увођење напредних мерних уређаја у дистрибуцији природног гаса</w:t>
            </w:r>
          </w:p>
        </w:tc>
        <w:tc>
          <w:tcPr>
            <w:tcW w:w="329" w:type="pct"/>
            <w:tcBorders>
              <w:top w:val="nil"/>
              <w:left w:val="nil"/>
              <w:bottom w:val="single" w:sz="4" w:space="0" w:color="auto"/>
              <w:right w:val="single" w:sz="4" w:space="0" w:color="auto"/>
            </w:tcBorders>
            <w:shd w:val="clear" w:color="auto" w:fill="auto"/>
            <w:vAlign w:val="center"/>
            <w:hideMark/>
          </w:tcPr>
          <w:p w14:paraId="4449FEE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xml:space="preserve">Реформа </w:t>
            </w:r>
          </w:p>
        </w:tc>
        <w:tc>
          <w:tcPr>
            <w:tcW w:w="395" w:type="pct"/>
            <w:tcBorders>
              <w:top w:val="nil"/>
              <w:left w:val="nil"/>
              <w:bottom w:val="single" w:sz="4" w:space="0" w:color="auto"/>
              <w:right w:val="single" w:sz="4" w:space="0" w:color="auto"/>
            </w:tcBorders>
            <w:shd w:val="clear" w:color="auto" w:fill="auto"/>
            <w:vAlign w:val="center"/>
            <w:hideMark/>
          </w:tcPr>
          <w:p w14:paraId="65C569A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6172A479"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1,00</w:t>
            </w:r>
          </w:p>
        </w:tc>
        <w:tc>
          <w:tcPr>
            <w:tcW w:w="335" w:type="pct"/>
            <w:tcBorders>
              <w:top w:val="nil"/>
              <w:left w:val="nil"/>
              <w:bottom w:val="single" w:sz="4" w:space="0" w:color="auto"/>
              <w:right w:val="single" w:sz="4" w:space="0" w:color="auto"/>
            </w:tcBorders>
            <w:shd w:val="clear" w:color="000000" w:fill="E2EFDA"/>
            <w:vAlign w:val="center"/>
            <w:hideMark/>
          </w:tcPr>
          <w:p w14:paraId="061CA561"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47" w:type="pct"/>
            <w:tcBorders>
              <w:top w:val="nil"/>
              <w:left w:val="nil"/>
              <w:bottom w:val="single" w:sz="4" w:space="0" w:color="auto"/>
              <w:right w:val="single" w:sz="4" w:space="0" w:color="auto"/>
            </w:tcBorders>
            <w:shd w:val="clear" w:color="000000" w:fill="E2EFDA"/>
            <w:vAlign w:val="center"/>
            <w:hideMark/>
          </w:tcPr>
          <w:p w14:paraId="1401318A"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1,00</w:t>
            </w:r>
          </w:p>
        </w:tc>
        <w:tc>
          <w:tcPr>
            <w:tcW w:w="374" w:type="pct"/>
            <w:tcBorders>
              <w:top w:val="nil"/>
              <w:left w:val="nil"/>
              <w:bottom w:val="single" w:sz="4" w:space="0" w:color="auto"/>
              <w:right w:val="single" w:sz="4" w:space="0" w:color="auto"/>
            </w:tcBorders>
            <w:shd w:val="clear" w:color="000000" w:fill="ED7D31"/>
            <w:vAlign w:val="center"/>
            <w:hideMark/>
          </w:tcPr>
          <w:p w14:paraId="0CD6308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1011A4F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1,00</w:t>
            </w:r>
          </w:p>
        </w:tc>
        <w:tc>
          <w:tcPr>
            <w:tcW w:w="378" w:type="pct"/>
            <w:tcBorders>
              <w:top w:val="nil"/>
              <w:left w:val="nil"/>
              <w:bottom w:val="single" w:sz="4" w:space="0" w:color="auto"/>
              <w:right w:val="single" w:sz="4" w:space="0" w:color="auto"/>
            </w:tcBorders>
            <w:shd w:val="clear" w:color="000000" w:fill="E2EFDA"/>
            <w:vAlign w:val="center"/>
            <w:hideMark/>
          </w:tcPr>
          <w:p w14:paraId="0FF31285"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7D9C6E6D"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35C6FFA7"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2E4A7712"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МП_УЕТ13</w:t>
            </w:r>
          </w:p>
        </w:tc>
        <w:tc>
          <w:tcPr>
            <w:tcW w:w="1368" w:type="pct"/>
            <w:tcBorders>
              <w:top w:val="nil"/>
              <w:left w:val="nil"/>
              <w:bottom w:val="single" w:sz="4" w:space="0" w:color="auto"/>
              <w:right w:val="single" w:sz="4" w:space="0" w:color="auto"/>
            </w:tcBorders>
            <w:shd w:val="clear" w:color="auto" w:fill="auto"/>
            <w:vAlign w:val="center"/>
            <w:hideMark/>
          </w:tcPr>
          <w:p w14:paraId="79C6B95D"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Израда и имплементација модела управљања тржишним и мрежним подацима</w:t>
            </w:r>
          </w:p>
        </w:tc>
        <w:tc>
          <w:tcPr>
            <w:tcW w:w="329" w:type="pct"/>
            <w:tcBorders>
              <w:top w:val="nil"/>
              <w:left w:val="nil"/>
              <w:bottom w:val="single" w:sz="4" w:space="0" w:color="auto"/>
              <w:right w:val="single" w:sz="4" w:space="0" w:color="auto"/>
            </w:tcBorders>
            <w:shd w:val="clear" w:color="auto" w:fill="auto"/>
            <w:vAlign w:val="center"/>
            <w:hideMark/>
          </w:tcPr>
          <w:p w14:paraId="57C21E18"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5" w:type="pct"/>
            <w:tcBorders>
              <w:top w:val="nil"/>
              <w:left w:val="nil"/>
              <w:bottom w:val="single" w:sz="4" w:space="0" w:color="auto"/>
              <w:right w:val="single" w:sz="4" w:space="0" w:color="auto"/>
            </w:tcBorders>
            <w:shd w:val="clear" w:color="auto" w:fill="auto"/>
            <w:vAlign w:val="center"/>
            <w:hideMark/>
          </w:tcPr>
          <w:p w14:paraId="4D095B8E"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7B0A3272"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0,40</w:t>
            </w:r>
          </w:p>
        </w:tc>
        <w:tc>
          <w:tcPr>
            <w:tcW w:w="335" w:type="pct"/>
            <w:tcBorders>
              <w:top w:val="nil"/>
              <w:left w:val="nil"/>
              <w:bottom w:val="single" w:sz="4" w:space="0" w:color="auto"/>
              <w:right w:val="single" w:sz="4" w:space="0" w:color="auto"/>
            </w:tcBorders>
            <w:shd w:val="clear" w:color="000000" w:fill="E2EFDA"/>
            <w:vAlign w:val="center"/>
            <w:hideMark/>
          </w:tcPr>
          <w:p w14:paraId="513E33C7"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0,40</w:t>
            </w:r>
          </w:p>
        </w:tc>
        <w:tc>
          <w:tcPr>
            <w:tcW w:w="347" w:type="pct"/>
            <w:tcBorders>
              <w:top w:val="nil"/>
              <w:left w:val="nil"/>
              <w:bottom w:val="single" w:sz="4" w:space="0" w:color="auto"/>
              <w:right w:val="single" w:sz="4" w:space="0" w:color="auto"/>
            </w:tcBorders>
            <w:shd w:val="clear" w:color="000000" w:fill="E2EFDA"/>
            <w:vAlign w:val="center"/>
            <w:hideMark/>
          </w:tcPr>
          <w:p w14:paraId="5A55369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4" w:type="pct"/>
            <w:tcBorders>
              <w:top w:val="nil"/>
              <w:left w:val="nil"/>
              <w:bottom w:val="single" w:sz="4" w:space="0" w:color="auto"/>
              <w:right w:val="single" w:sz="4" w:space="0" w:color="auto"/>
            </w:tcBorders>
            <w:shd w:val="clear" w:color="000000" w:fill="ED7D31"/>
            <w:vAlign w:val="center"/>
            <w:hideMark/>
          </w:tcPr>
          <w:p w14:paraId="121BAB1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4A7ED38A"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0,40</w:t>
            </w:r>
          </w:p>
        </w:tc>
        <w:tc>
          <w:tcPr>
            <w:tcW w:w="378" w:type="pct"/>
            <w:tcBorders>
              <w:top w:val="nil"/>
              <w:left w:val="nil"/>
              <w:bottom w:val="single" w:sz="4" w:space="0" w:color="auto"/>
              <w:right w:val="single" w:sz="4" w:space="0" w:color="auto"/>
            </w:tcBorders>
            <w:shd w:val="clear" w:color="000000" w:fill="E2EFDA"/>
            <w:vAlign w:val="center"/>
            <w:hideMark/>
          </w:tcPr>
          <w:p w14:paraId="7E863497"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6C410449"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75454940"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7E180D9D"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МП_УЕТ14</w:t>
            </w:r>
          </w:p>
        </w:tc>
        <w:tc>
          <w:tcPr>
            <w:tcW w:w="1368" w:type="pct"/>
            <w:tcBorders>
              <w:top w:val="nil"/>
              <w:left w:val="nil"/>
              <w:bottom w:val="single" w:sz="4" w:space="0" w:color="auto"/>
              <w:right w:val="single" w:sz="4" w:space="0" w:color="auto"/>
            </w:tcBorders>
            <w:shd w:val="clear" w:color="auto" w:fill="auto"/>
            <w:vAlign w:val="center"/>
            <w:hideMark/>
          </w:tcPr>
          <w:p w14:paraId="7BCF397E"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xml:space="preserve">Промовисање одзива потрошње за крајње купце коришћењем динамичког тарифног система </w:t>
            </w:r>
          </w:p>
        </w:tc>
        <w:tc>
          <w:tcPr>
            <w:tcW w:w="329" w:type="pct"/>
            <w:tcBorders>
              <w:top w:val="nil"/>
              <w:left w:val="nil"/>
              <w:bottom w:val="single" w:sz="4" w:space="0" w:color="auto"/>
              <w:right w:val="single" w:sz="4" w:space="0" w:color="auto"/>
            </w:tcBorders>
            <w:shd w:val="clear" w:color="auto" w:fill="auto"/>
            <w:vAlign w:val="center"/>
            <w:hideMark/>
          </w:tcPr>
          <w:p w14:paraId="57DD818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5" w:type="pct"/>
            <w:tcBorders>
              <w:top w:val="nil"/>
              <w:left w:val="nil"/>
              <w:bottom w:val="single" w:sz="4" w:space="0" w:color="auto"/>
              <w:right w:val="single" w:sz="4" w:space="0" w:color="auto"/>
            </w:tcBorders>
            <w:shd w:val="clear" w:color="auto" w:fill="auto"/>
            <w:vAlign w:val="center"/>
            <w:hideMark/>
          </w:tcPr>
          <w:p w14:paraId="67BFAB8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3F253C4E"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35" w:type="pct"/>
            <w:tcBorders>
              <w:top w:val="nil"/>
              <w:left w:val="nil"/>
              <w:bottom w:val="single" w:sz="4" w:space="0" w:color="auto"/>
              <w:right w:val="single" w:sz="4" w:space="0" w:color="auto"/>
            </w:tcBorders>
            <w:shd w:val="clear" w:color="000000" w:fill="E2EFDA"/>
            <w:vAlign w:val="center"/>
            <w:hideMark/>
          </w:tcPr>
          <w:p w14:paraId="12874E6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47" w:type="pct"/>
            <w:tcBorders>
              <w:top w:val="nil"/>
              <w:left w:val="nil"/>
              <w:bottom w:val="single" w:sz="4" w:space="0" w:color="auto"/>
              <w:right w:val="single" w:sz="4" w:space="0" w:color="auto"/>
            </w:tcBorders>
            <w:shd w:val="clear" w:color="000000" w:fill="E2EFDA"/>
            <w:vAlign w:val="center"/>
            <w:hideMark/>
          </w:tcPr>
          <w:p w14:paraId="6BD6DB78"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4" w:type="pct"/>
            <w:tcBorders>
              <w:top w:val="nil"/>
              <w:left w:val="nil"/>
              <w:bottom w:val="single" w:sz="4" w:space="0" w:color="auto"/>
              <w:right w:val="single" w:sz="4" w:space="0" w:color="auto"/>
            </w:tcBorders>
            <w:shd w:val="clear" w:color="000000" w:fill="ED7D31"/>
            <w:vAlign w:val="center"/>
            <w:hideMark/>
          </w:tcPr>
          <w:p w14:paraId="2CAE6A9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3A3B7D78"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78" w:type="pct"/>
            <w:tcBorders>
              <w:top w:val="nil"/>
              <w:left w:val="nil"/>
              <w:bottom w:val="single" w:sz="4" w:space="0" w:color="auto"/>
              <w:right w:val="single" w:sz="4" w:space="0" w:color="auto"/>
            </w:tcBorders>
            <w:shd w:val="clear" w:color="000000" w:fill="E2EFDA"/>
            <w:vAlign w:val="center"/>
            <w:hideMark/>
          </w:tcPr>
          <w:p w14:paraId="174925E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5A437FF0"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154E42C8"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7664B99C"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МП_УЕТ15</w:t>
            </w:r>
          </w:p>
        </w:tc>
        <w:tc>
          <w:tcPr>
            <w:tcW w:w="1368" w:type="pct"/>
            <w:tcBorders>
              <w:top w:val="nil"/>
              <w:left w:val="nil"/>
              <w:bottom w:val="single" w:sz="4" w:space="0" w:color="auto"/>
              <w:right w:val="single" w:sz="4" w:space="0" w:color="auto"/>
            </w:tcBorders>
            <w:shd w:val="clear" w:color="auto" w:fill="auto"/>
            <w:vAlign w:val="center"/>
            <w:hideMark/>
          </w:tcPr>
          <w:p w14:paraId="11319667"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Опремање система за дистрибуцију гаса уређајима за мерење и прикупљање података (мерна опрема, мерно-оперативна платформа, SCADA) неопходним за функционисање и развој тржишта гаса</w:t>
            </w:r>
          </w:p>
        </w:tc>
        <w:tc>
          <w:tcPr>
            <w:tcW w:w="329" w:type="pct"/>
            <w:tcBorders>
              <w:top w:val="nil"/>
              <w:left w:val="nil"/>
              <w:bottom w:val="single" w:sz="4" w:space="0" w:color="auto"/>
              <w:right w:val="single" w:sz="4" w:space="0" w:color="auto"/>
            </w:tcBorders>
            <w:shd w:val="clear" w:color="auto" w:fill="auto"/>
            <w:vAlign w:val="center"/>
            <w:hideMark/>
          </w:tcPr>
          <w:p w14:paraId="3663A34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95" w:type="pct"/>
            <w:tcBorders>
              <w:top w:val="nil"/>
              <w:left w:val="nil"/>
              <w:bottom w:val="single" w:sz="4" w:space="0" w:color="auto"/>
              <w:right w:val="single" w:sz="4" w:space="0" w:color="auto"/>
            </w:tcBorders>
            <w:shd w:val="clear" w:color="auto" w:fill="auto"/>
            <w:vAlign w:val="center"/>
            <w:hideMark/>
          </w:tcPr>
          <w:p w14:paraId="277C3EBA"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647F2E2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3,50</w:t>
            </w:r>
          </w:p>
        </w:tc>
        <w:tc>
          <w:tcPr>
            <w:tcW w:w="335" w:type="pct"/>
            <w:tcBorders>
              <w:top w:val="nil"/>
              <w:left w:val="nil"/>
              <w:bottom w:val="single" w:sz="4" w:space="0" w:color="auto"/>
              <w:right w:val="single" w:sz="4" w:space="0" w:color="auto"/>
            </w:tcBorders>
            <w:shd w:val="clear" w:color="000000" w:fill="E2EFDA"/>
            <w:vAlign w:val="center"/>
            <w:hideMark/>
          </w:tcPr>
          <w:p w14:paraId="7E1B4E8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47" w:type="pct"/>
            <w:tcBorders>
              <w:top w:val="nil"/>
              <w:left w:val="nil"/>
              <w:bottom w:val="single" w:sz="4" w:space="0" w:color="auto"/>
              <w:right w:val="single" w:sz="4" w:space="0" w:color="auto"/>
            </w:tcBorders>
            <w:shd w:val="clear" w:color="000000" w:fill="E2EFDA"/>
            <w:vAlign w:val="center"/>
            <w:hideMark/>
          </w:tcPr>
          <w:p w14:paraId="78A1B876"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3,50</w:t>
            </w:r>
          </w:p>
        </w:tc>
        <w:tc>
          <w:tcPr>
            <w:tcW w:w="374" w:type="pct"/>
            <w:tcBorders>
              <w:top w:val="nil"/>
              <w:left w:val="nil"/>
              <w:bottom w:val="single" w:sz="4" w:space="0" w:color="auto"/>
              <w:right w:val="single" w:sz="4" w:space="0" w:color="auto"/>
            </w:tcBorders>
            <w:shd w:val="clear" w:color="000000" w:fill="ED7D31"/>
            <w:vAlign w:val="center"/>
            <w:hideMark/>
          </w:tcPr>
          <w:p w14:paraId="6F2E7216"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63DBB37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3,50</w:t>
            </w:r>
          </w:p>
        </w:tc>
        <w:tc>
          <w:tcPr>
            <w:tcW w:w="378" w:type="pct"/>
            <w:tcBorders>
              <w:top w:val="nil"/>
              <w:left w:val="nil"/>
              <w:bottom w:val="single" w:sz="4" w:space="0" w:color="auto"/>
              <w:right w:val="single" w:sz="4" w:space="0" w:color="auto"/>
            </w:tcBorders>
            <w:shd w:val="clear" w:color="000000" w:fill="E2EFDA"/>
            <w:vAlign w:val="center"/>
            <w:hideMark/>
          </w:tcPr>
          <w:p w14:paraId="7E81F29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2EFE3EEB"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6A8FFD51"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30F5F22E"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МП_УЕТ17</w:t>
            </w:r>
          </w:p>
        </w:tc>
        <w:tc>
          <w:tcPr>
            <w:tcW w:w="1368" w:type="pct"/>
            <w:tcBorders>
              <w:top w:val="nil"/>
              <w:left w:val="nil"/>
              <w:bottom w:val="single" w:sz="4" w:space="0" w:color="auto"/>
              <w:right w:val="single" w:sz="4" w:space="0" w:color="auto"/>
            </w:tcBorders>
            <w:shd w:val="clear" w:color="auto" w:fill="auto"/>
            <w:vAlign w:val="center"/>
            <w:hideMark/>
          </w:tcPr>
          <w:p w14:paraId="66589BCF"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Развој регулаторног оквира за рад „купца-произвођача” (прозјумера) (члан 169. у складу са изменама и допунама Закона о енергетици и чл. 58. до 61. Закона о коришћењу ОИЕ)</w:t>
            </w:r>
          </w:p>
        </w:tc>
        <w:tc>
          <w:tcPr>
            <w:tcW w:w="329" w:type="pct"/>
            <w:tcBorders>
              <w:top w:val="nil"/>
              <w:left w:val="nil"/>
              <w:bottom w:val="single" w:sz="4" w:space="0" w:color="auto"/>
              <w:right w:val="single" w:sz="4" w:space="0" w:color="auto"/>
            </w:tcBorders>
            <w:shd w:val="clear" w:color="auto" w:fill="auto"/>
            <w:vAlign w:val="center"/>
            <w:hideMark/>
          </w:tcPr>
          <w:p w14:paraId="705E50E1"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5" w:type="pct"/>
            <w:tcBorders>
              <w:top w:val="nil"/>
              <w:left w:val="nil"/>
              <w:bottom w:val="single" w:sz="4" w:space="0" w:color="auto"/>
              <w:right w:val="single" w:sz="4" w:space="0" w:color="auto"/>
            </w:tcBorders>
            <w:shd w:val="clear" w:color="auto" w:fill="auto"/>
            <w:vAlign w:val="center"/>
            <w:hideMark/>
          </w:tcPr>
          <w:p w14:paraId="6D51AB2A"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71206BF5"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35" w:type="pct"/>
            <w:tcBorders>
              <w:top w:val="nil"/>
              <w:left w:val="nil"/>
              <w:bottom w:val="single" w:sz="4" w:space="0" w:color="auto"/>
              <w:right w:val="single" w:sz="4" w:space="0" w:color="auto"/>
            </w:tcBorders>
            <w:shd w:val="clear" w:color="000000" w:fill="E2EFDA"/>
            <w:vAlign w:val="center"/>
            <w:hideMark/>
          </w:tcPr>
          <w:p w14:paraId="03DA8008"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47" w:type="pct"/>
            <w:tcBorders>
              <w:top w:val="nil"/>
              <w:left w:val="nil"/>
              <w:bottom w:val="single" w:sz="4" w:space="0" w:color="auto"/>
              <w:right w:val="single" w:sz="4" w:space="0" w:color="auto"/>
            </w:tcBorders>
            <w:shd w:val="clear" w:color="000000" w:fill="E2EFDA"/>
            <w:vAlign w:val="center"/>
            <w:hideMark/>
          </w:tcPr>
          <w:p w14:paraId="706E6747"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4" w:type="pct"/>
            <w:tcBorders>
              <w:top w:val="nil"/>
              <w:left w:val="nil"/>
              <w:bottom w:val="single" w:sz="4" w:space="0" w:color="auto"/>
              <w:right w:val="single" w:sz="4" w:space="0" w:color="auto"/>
            </w:tcBorders>
            <w:shd w:val="clear" w:color="000000" w:fill="ED7D31"/>
            <w:vAlign w:val="center"/>
            <w:hideMark/>
          </w:tcPr>
          <w:p w14:paraId="567D0DB8"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168440A9"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78" w:type="pct"/>
            <w:tcBorders>
              <w:top w:val="nil"/>
              <w:left w:val="nil"/>
              <w:bottom w:val="single" w:sz="4" w:space="0" w:color="auto"/>
              <w:right w:val="single" w:sz="4" w:space="0" w:color="auto"/>
            </w:tcBorders>
            <w:shd w:val="clear" w:color="000000" w:fill="E2EFDA"/>
            <w:vAlign w:val="center"/>
            <w:hideMark/>
          </w:tcPr>
          <w:p w14:paraId="6AB14DB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55C4E852"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6AC07903"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74EF5868"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МП_УЕТ18</w:t>
            </w:r>
          </w:p>
        </w:tc>
        <w:tc>
          <w:tcPr>
            <w:tcW w:w="1368" w:type="pct"/>
            <w:tcBorders>
              <w:top w:val="nil"/>
              <w:left w:val="nil"/>
              <w:bottom w:val="single" w:sz="4" w:space="0" w:color="auto"/>
              <w:right w:val="single" w:sz="4" w:space="0" w:color="auto"/>
            </w:tcBorders>
            <w:shd w:val="clear" w:color="auto" w:fill="auto"/>
            <w:vAlign w:val="center"/>
            <w:hideMark/>
          </w:tcPr>
          <w:p w14:paraId="1D1F7256"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Развој регулаторног оквира за рад „складишта електричне енергије” (члан 169. у складу са изменама и допунама Закона о енергетици)</w:t>
            </w:r>
          </w:p>
        </w:tc>
        <w:tc>
          <w:tcPr>
            <w:tcW w:w="329" w:type="pct"/>
            <w:tcBorders>
              <w:top w:val="nil"/>
              <w:left w:val="nil"/>
              <w:bottom w:val="single" w:sz="4" w:space="0" w:color="auto"/>
              <w:right w:val="single" w:sz="4" w:space="0" w:color="auto"/>
            </w:tcBorders>
            <w:shd w:val="clear" w:color="auto" w:fill="auto"/>
            <w:vAlign w:val="center"/>
            <w:hideMark/>
          </w:tcPr>
          <w:p w14:paraId="5A721E17"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5" w:type="pct"/>
            <w:tcBorders>
              <w:top w:val="nil"/>
              <w:left w:val="nil"/>
              <w:bottom w:val="single" w:sz="4" w:space="0" w:color="auto"/>
              <w:right w:val="single" w:sz="4" w:space="0" w:color="auto"/>
            </w:tcBorders>
            <w:shd w:val="clear" w:color="auto" w:fill="auto"/>
            <w:vAlign w:val="center"/>
            <w:hideMark/>
          </w:tcPr>
          <w:p w14:paraId="66F931D1"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00F91A7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35" w:type="pct"/>
            <w:tcBorders>
              <w:top w:val="nil"/>
              <w:left w:val="nil"/>
              <w:bottom w:val="single" w:sz="4" w:space="0" w:color="auto"/>
              <w:right w:val="single" w:sz="4" w:space="0" w:color="auto"/>
            </w:tcBorders>
            <w:shd w:val="clear" w:color="000000" w:fill="E2EFDA"/>
            <w:vAlign w:val="center"/>
            <w:hideMark/>
          </w:tcPr>
          <w:p w14:paraId="6F79CEA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47" w:type="pct"/>
            <w:tcBorders>
              <w:top w:val="nil"/>
              <w:left w:val="nil"/>
              <w:bottom w:val="single" w:sz="4" w:space="0" w:color="auto"/>
              <w:right w:val="single" w:sz="4" w:space="0" w:color="auto"/>
            </w:tcBorders>
            <w:shd w:val="clear" w:color="000000" w:fill="E2EFDA"/>
            <w:vAlign w:val="center"/>
            <w:hideMark/>
          </w:tcPr>
          <w:p w14:paraId="2EFAB591"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4" w:type="pct"/>
            <w:tcBorders>
              <w:top w:val="nil"/>
              <w:left w:val="nil"/>
              <w:bottom w:val="single" w:sz="4" w:space="0" w:color="auto"/>
              <w:right w:val="single" w:sz="4" w:space="0" w:color="auto"/>
            </w:tcBorders>
            <w:shd w:val="clear" w:color="000000" w:fill="ED7D31"/>
            <w:vAlign w:val="center"/>
            <w:hideMark/>
          </w:tcPr>
          <w:p w14:paraId="63143E49"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1AA662B8"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78" w:type="pct"/>
            <w:tcBorders>
              <w:top w:val="nil"/>
              <w:left w:val="nil"/>
              <w:bottom w:val="single" w:sz="4" w:space="0" w:color="auto"/>
              <w:right w:val="single" w:sz="4" w:space="0" w:color="auto"/>
            </w:tcBorders>
            <w:shd w:val="clear" w:color="000000" w:fill="E2EFDA"/>
            <w:vAlign w:val="center"/>
            <w:hideMark/>
          </w:tcPr>
          <w:p w14:paraId="7C25EB68"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352052CD"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7E116F39"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7DE4CAF3"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МП_УЕТ19</w:t>
            </w:r>
          </w:p>
        </w:tc>
        <w:tc>
          <w:tcPr>
            <w:tcW w:w="1368" w:type="pct"/>
            <w:tcBorders>
              <w:top w:val="nil"/>
              <w:left w:val="nil"/>
              <w:bottom w:val="single" w:sz="4" w:space="0" w:color="auto"/>
              <w:right w:val="single" w:sz="4" w:space="0" w:color="auto"/>
            </w:tcBorders>
            <w:shd w:val="clear" w:color="auto" w:fill="auto"/>
            <w:vAlign w:val="center"/>
            <w:hideMark/>
          </w:tcPr>
          <w:p w14:paraId="4D4AC62F"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Развој регулаторног оквира за рад „агрегатора” (члан 169. у складу са изменама и допунама Закона о енергетици)</w:t>
            </w:r>
          </w:p>
        </w:tc>
        <w:tc>
          <w:tcPr>
            <w:tcW w:w="329" w:type="pct"/>
            <w:tcBorders>
              <w:top w:val="nil"/>
              <w:left w:val="nil"/>
              <w:bottom w:val="single" w:sz="4" w:space="0" w:color="auto"/>
              <w:right w:val="single" w:sz="4" w:space="0" w:color="auto"/>
            </w:tcBorders>
            <w:shd w:val="clear" w:color="auto" w:fill="auto"/>
            <w:vAlign w:val="center"/>
            <w:hideMark/>
          </w:tcPr>
          <w:p w14:paraId="48A1E74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5" w:type="pct"/>
            <w:tcBorders>
              <w:top w:val="nil"/>
              <w:left w:val="nil"/>
              <w:bottom w:val="single" w:sz="4" w:space="0" w:color="auto"/>
              <w:right w:val="single" w:sz="4" w:space="0" w:color="auto"/>
            </w:tcBorders>
            <w:shd w:val="clear" w:color="auto" w:fill="auto"/>
            <w:vAlign w:val="center"/>
            <w:hideMark/>
          </w:tcPr>
          <w:p w14:paraId="06330982"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6F006AD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35" w:type="pct"/>
            <w:tcBorders>
              <w:top w:val="nil"/>
              <w:left w:val="nil"/>
              <w:bottom w:val="single" w:sz="4" w:space="0" w:color="auto"/>
              <w:right w:val="single" w:sz="4" w:space="0" w:color="auto"/>
            </w:tcBorders>
            <w:shd w:val="clear" w:color="000000" w:fill="E2EFDA"/>
            <w:vAlign w:val="center"/>
            <w:hideMark/>
          </w:tcPr>
          <w:p w14:paraId="7E106152"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47" w:type="pct"/>
            <w:tcBorders>
              <w:top w:val="nil"/>
              <w:left w:val="nil"/>
              <w:bottom w:val="single" w:sz="4" w:space="0" w:color="auto"/>
              <w:right w:val="single" w:sz="4" w:space="0" w:color="auto"/>
            </w:tcBorders>
            <w:shd w:val="clear" w:color="000000" w:fill="E2EFDA"/>
            <w:vAlign w:val="center"/>
            <w:hideMark/>
          </w:tcPr>
          <w:p w14:paraId="55727A1A"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4" w:type="pct"/>
            <w:tcBorders>
              <w:top w:val="nil"/>
              <w:left w:val="nil"/>
              <w:bottom w:val="single" w:sz="4" w:space="0" w:color="auto"/>
              <w:right w:val="single" w:sz="4" w:space="0" w:color="auto"/>
            </w:tcBorders>
            <w:shd w:val="clear" w:color="000000" w:fill="ED7D31"/>
            <w:vAlign w:val="center"/>
            <w:hideMark/>
          </w:tcPr>
          <w:p w14:paraId="23C3264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109FCAF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78" w:type="pct"/>
            <w:tcBorders>
              <w:top w:val="nil"/>
              <w:left w:val="nil"/>
              <w:bottom w:val="single" w:sz="4" w:space="0" w:color="auto"/>
              <w:right w:val="single" w:sz="4" w:space="0" w:color="auto"/>
            </w:tcBorders>
            <w:shd w:val="clear" w:color="000000" w:fill="E2EFDA"/>
            <w:vAlign w:val="center"/>
            <w:hideMark/>
          </w:tcPr>
          <w:p w14:paraId="5D3AD59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408ECEAC"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3415599E"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321BBF64"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МП_УЕТ20</w:t>
            </w:r>
          </w:p>
        </w:tc>
        <w:tc>
          <w:tcPr>
            <w:tcW w:w="1368" w:type="pct"/>
            <w:tcBorders>
              <w:top w:val="nil"/>
              <w:left w:val="nil"/>
              <w:bottom w:val="single" w:sz="4" w:space="0" w:color="auto"/>
              <w:right w:val="single" w:sz="4" w:space="0" w:color="auto"/>
            </w:tcBorders>
            <w:shd w:val="clear" w:color="auto" w:fill="auto"/>
            <w:vAlign w:val="center"/>
            <w:hideMark/>
          </w:tcPr>
          <w:p w14:paraId="6D8A339F"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Развој регулаторног оквира за рад Заједница обновљивих извора енергије (ЗОИЕ) и енергетских заједница грађана (ЕЗГ) (чл. 62. до 66. и чл. 77. Закона о коришћењу ОИЕ)</w:t>
            </w:r>
          </w:p>
        </w:tc>
        <w:tc>
          <w:tcPr>
            <w:tcW w:w="329" w:type="pct"/>
            <w:tcBorders>
              <w:top w:val="nil"/>
              <w:left w:val="nil"/>
              <w:bottom w:val="single" w:sz="4" w:space="0" w:color="auto"/>
              <w:right w:val="single" w:sz="4" w:space="0" w:color="auto"/>
            </w:tcBorders>
            <w:shd w:val="clear" w:color="auto" w:fill="auto"/>
            <w:vAlign w:val="center"/>
            <w:hideMark/>
          </w:tcPr>
          <w:p w14:paraId="69EB41D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5" w:type="pct"/>
            <w:tcBorders>
              <w:top w:val="nil"/>
              <w:left w:val="nil"/>
              <w:bottom w:val="single" w:sz="4" w:space="0" w:color="auto"/>
              <w:right w:val="single" w:sz="4" w:space="0" w:color="auto"/>
            </w:tcBorders>
            <w:shd w:val="clear" w:color="auto" w:fill="auto"/>
            <w:vAlign w:val="center"/>
            <w:hideMark/>
          </w:tcPr>
          <w:p w14:paraId="014A92B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24EBC27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35" w:type="pct"/>
            <w:tcBorders>
              <w:top w:val="nil"/>
              <w:left w:val="nil"/>
              <w:bottom w:val="single" w:sz="4" w:space="0" w:color="auto"/>
              <w:right w:val="single" w:sz="4" w:space="0" w:color="auto"/>
            </w:tcBorders>
            <w:shd w:val="clear" w:color="000000" w:fill="E2EFDA"/>
            <w:vAlign w:val="center"/>
            <w:hideMark/>
          </w:tcPr>
          <w:p w14:paraId="038F0681"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47" w:type="pct"/>
            <w:tcBorders>
              <w:top w:val="nil"/>
              <w:left w:val="nil"/>
              <w:bottom w:val="single" w:sz="4" w:space="0" w:color="auto"/>
              <w:right w:val="single" w:sz="4" w:space="0" w:color="auto"/>
            </w:tcBorders>
            <w:shd w:val="clear" w:color="000000" w:fill="E2EFDA"/>
            <w:vAlign w:val="center"/>
            <w:hideMark/>
          </w:tcPr>
          <w:p w14:paraId="20F92A3E"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4" w:type="pct"/>
            <w:tcBorders>
              <w:top w:val="nil"/>
              <w:left w:val="nil"/>
              <w:bottom w:val="single" w:sz="4" w:space="0" w:color="auto"/>
              <w:right w:val="single" w:sz="4" w:space="0" w:color="auto"/>
            </w:tcBorders>
            <w:shd w:val="clear" w:color="000000" w:fill="ED7D31"/>
            <w:vAlign w:val="center"/>
            <w:hideMark/>
          </w:tcPr>
          <w:p w14:paraId="11D63E2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631BA4D7"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78" w:type="pct"/>
            <w:tcBorders>
              <w:top w:val="nil"/>
              <w:left w:val="nil"/>
              <w:bottom w:val="single" w:sz="4" w:space="0" w:color="auto"/>
              <w:right w:val="single" w:sz="4" w:space="0" w:color="auto"/>
            </w:tcBorders>
            <w:shd w:val="clear" w:color="000000" w:fill="E2EFDA"/>
            <w:vAlign w:val="center"/>
            <w:hideMark/>
          </w:tcPr>
          <w:p w14:paraId="368FAA8E"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50A3A216"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419B6218"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010F02BF"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МП_УЕТ21</w:t>
            </w:r>
          </w:p>
        </w:tc>
        <w:tc>
          <w:tcPr>
            <w:tcW w:w="1368" w:type="pct"/>
            <w:tcBorders>
              <w:top w:val="nil"/>
              <w:left w:val="nil"/>
              <w:bottom w:val="single" w:sz="4" w:space="0" w:color="auto"/>
              <w:right w:val="single" w:sz="4" w:space="0" w:color="auto"/>
            </w:tcBorders>
            <w:shd w:val="clear" w:color="auto" w:fill="auto"/>
            <w:vAlign w:val="center"/>
            <w:hideMark/>
          </w:tcPr>
          <w:p w14:paraId="37E90C90"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 xml:space="preserve">Спровођење мрежних правила и смерница ЕУ за електричну енергију путем одговарајућих измена и допуна подзаконских аката и доношењем додатних правила, одлука и аката, где је то применљиво. </w:t>
            </w:r>
          </w:p>
        </w:tc>
        <w:tc>
          <w:tcPr>
            <w:tcW w:w="329" w:type="pct"/>
            <w:tcBorders>
              <w:top w:val="nil"/>
              <w:left w:val="nil"/>
              <w:bottom w:val="single" w:sz="4" w:space="0" w:color="auto"/>
              <w:right w:val="single" w:sz="4" w:space="0" w:color="auto"/>
            </w:tcBorders>
            <w:shd w:val="clear" w:color="auto" w:fill="auto"/>
            <w:vAlign w:val="center"/>
            <w:hideMark/>
          </w:tcPr>
          <w:p w14:paraId="0293CC7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5" w:type="pct"/>
            <w:tcBorders>
              <w:top w:val="nil"/>
              <w:left w:val="nil"/>
              <w:bottom w:val="single" w:sz="4" w:space="0" w:color="auto"/>
              <w:right w:val="single" w:sz="4" w:space="0" w:color="auto"/>
            </w:tcBorders>
            <w:shd w:val="clear" w:color="auto" w:fill="auto"/>
            <w:vAlign w:val="center"/>
            <w:hideMark/>
          </w:tcPr>
          <w:p w14:paraId="7B18334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6A74AF52"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35" w:type="pct"/>
            <w:tcBorders>
              <w:top w:val="nil"/>
              <w:left w:val="nil"/>
              <w:bottom w:val="single" w:sz="4" w:space="0" w:color="auto"/>
              <w:right w:val="single" w:sz="4" w:space="0" w:color="auto"/>
            </w:tcBorders>
            <w:shd w:val="clear" w:color="000000" w:fill="E2EFDA"/>
            <w:vAlign w:val="center"/>
            <w:hideMark/>
          </w:tcPr>
          <w:p w14:paraId="1976BCE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47" w:type="pct"/>
            <w:tcBorders>
              <w:top w:val="nil"/>
              <w:left w:val="nil"/>
              <w:bottom w:val="single" w:sz="4" w:space="0" w:color="auto"/>
              <w:right w:val="single" w:sz="4" w:space="0" w:color="auto"/>
            </w:tcBorders>
            <w:shd w:val="clear" w:color="000000" w:fill="E2EFDA"/>
            <w:vAlign w:val="center"/>
            <w:hideMark/>
          </w:tcPr>
          <w:p w14:paraId="7B3A854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4" w:type="pct"/>
            <w:tcBorders>
              <w:top w:val="nil"/>
              <w:left w:val="nil"/>
              <w:bottom w:val="single" w:sz="4" w:space="0" w:color="auto"/>
              <w:right w:val="single" w:sz="4" w:space="0" w:color="auto"/>
            </w:tcBorders>
            <w:shd w:val="clear" w:color="000000" w:fill="ED7D31"/>
            <w:vAlign w:val="center"/>
            <w:hideMark/>
          </w:tcPr>
          <w:p w14:paraId="0F188D1A"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3BE9E5DA"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78" w:type="pct"/>
            <w:tcBorders>
              <w:top w:val="nil"/>
              <w:left w:val="nil"/>
              <w:bottom w:val="single" w:sz="4" w:space="0" w:color="auto"/>
              <w:right w:val="single" w:sz="4" w:space="0" w:color="auto"/>
            </w:tcBorders>
            <w:shd w:val="clear" w:color="000000" w:fill="E2EFDA"/>
            <w:vAlign w:val="center"/>
            <w:hideMark/>
          </w:tcPr>
          <w:p w14:paraId="1723BA02"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1157D6D4"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308E0B26"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544E6C86"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МП_УЕТ22</w:t>
            </w:r>
          </w:p>
        </w:tc>
        <w:tc>
          <w:tcPr>
            <w:tcW w:w="1368" w:type="pct"/>
            <w:tcBorders>
              <w:top w:val="nil"/>
              <w:left w:val="nil"/>
              <w:bottom w:val="single" w:sz="4" w:space="0" w:color="auto"/>
              <w:right w:val="single" w:sz="4" w:space="0" w:color="auto"/>
            </w:tcBorders>
            <w:shd w:val="clear" w:color="auto" w:fill="auto"/>
            <w:vAlign w:val="center"/>
            <w:hideMark/>
          </w:tcPr>
          <w:p w14:paraId="5FA6219A"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Раздвајање и сертификација оператера преносног система</w:t>
            </w:r>
          </w:p>
        </w:tc>
        <w:tc>
          <w:tcPr>
            <w:tcW w:w="329" w:type="pct"/>
            <w:tcBorders>
              <w:top w:val="nil"/>
              <w:left w:val="nil"/>
              <w:bottom w:val="single" w:sz="4" w:space="0" w:color="auto"/>
              <w:right w:val="single" w:sz="4" w:space="0" w:color="auto"/>
            </w:tcBorders>
            <w:shd w:val="clear" w:color="auto" w:fill="auto"/>
            <w:vAlign w:val="center"/>
            <w:hideMark/>
          </w:tcPr>
          <w:p w14:paraId="0363F162"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5" w:type="pct"/>
            <w:tcBorders>
              <w:top w:val="nil"/>
              <w:left w:val="nil"/>
              <w:bottom w:val="single" w:sz="4" w:space="0" w:color="auto"/>
              <w:right w:val="single" w:sz="4" w:space="0" w:color="auto"/>
            </w:tcBorders>
            <w:shd w:val="clear" w:color="auto" w:fill="auto"/>
            <w:vAlign w:val="center"/>
            <w:hideMark/>
          </w:tcPr>
          <w:p w14:paraId="2C2FE75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44C9B012"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35" w:type="pct"/>
            <w:tcBorders>
              <w:top w:val="nil"/>
              <w:left w:val="nil"/>
              <w:bottom w:val="single" w:sz="4" w:space="0" w:color="auto"/>
              <w:right w:val="single" w:sz="4" w:space="0" w:color="auto"/>
            </w:tcBorders>
            <w:shd w:val="clear" w:color="000000" w:fill="E2EFDA"/>
            <w:vAlign w:val="center"/>
            <w:hideMark/>
          </w:tcPr>
          <w:p w14:paraId="08746B6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47" w:type="pct"/>
            <w:tcBorders>
              <w:top w:val="nil"/>
              <w:left w:val="nil"/>
              <w:bottom w:val="single" w:sz="4" w:space="0" w:color="auto"/>
              <w:right w:val="single" w:sz="4" w:space="0" w:color="auto"/>
            </w:tcBorders>
            <w:shd w:val="clear" w:color="000000" w:fill="E2EFDA"/>
            <w:vAlign w:val="center"/>
            <w:hideMark/>
          </w:tcPr>
          <w:p w14:paraId="7547E44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4" w:type="pct"/>
            <w:tcBorders>
              <w:top w:val="nil"/>
              <w:left w:val="nil"/>
              <w:bottom w:val="single" w:sz="4" w:space="0" w:color="auto"/>
              <w:right w:val="single" w:sz="4" w:space="0" w:color="auto"/>
            </w:tcBorders>
            <w:shd w:val="clear" w:color="000000" w:fill="ED7D31"/>
            <w:vAlign w:val="center"/>
            <w:hideMark/>
          </w:tcPr>
          <w:p w14:paraId="620CECDA"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24E7539E"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78" w:type="pct"/>
            <w:tcBorders>
              <w:top w:val="nil"/>
              <w:left w:val="nil"/>
              <w:bottom w:val="single" w:sz="4" w:space="0" w:color="auto"/>
              <w:right w:val="single" w:sz="4" w:space="0" w:color="auto"/>
            </w:tcBorders>
            <w:shd w:val="clear" w:color="000000" w:fill="E2EFDA"/>
            <w:vAlign w:val="center"/>
            <w:hideMark/>
          </w:tcPr>
          <w:p w14:paraId="597FA7DE"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71E5F43C"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71D93B0F"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35BBA98F"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МП_УЕТ23</w:t>
            </w:r>
          </w:p>
        </w:tc>
        <w:tc>
          <w:tcPr>
            <w:tcW w:w="1368" w:type="pct"/>
            <w:tcBorders>
              <w:top w:val="nil"/>
              <w:left w:val="nil"/>
              <w:bottom w:val="single" w:sz="4" w:space="0" w:color="auto"/>
              <w:right w:val="single" w:sz="4" w:space="0" w:color="auto"/>
            </w:tcBorders>
            <w:shd w:val="clear" w:color="auto" w:fill="auto"/>
            <w:vAlign w:val="center"/>
            <w:hideMark/>
          </w:tcPr>
          <w:p w14:paraId="7B649735"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Спровођење Уредбе (ЕУ) 2017/459</w:t>
            </w:r>
          </w:p>
        </w:tc>
        <w:tc>
          <w:tcPr>
            <w:tcW w:w="329" w:type="pct"/>
            <w:tcBorders>
              <w:top w:val="nil"/>
              <w:left w:val="nil"/>
              <w:bottom w:val="single" w:sz="4" w:space="0" w:color="auto"/>
              <w:right w:val="single" w:sz="4" w:space="0" w:color="auto"/>
            </w:tcBorders>
            <w:shd w:val="clear" w:color="auto" w:fill="auto"/>
            <w:vAlign w:val="center"/>
            <w:hideMark/>
          </w:tcPr>
          <w:p w14:paraId="5D09B84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5" w:type="pct"/>
            <w:tcBorders>
              <w:top w:val="nil"/>
              <w:left w:val="nil"/>
              <w:bottom w:val="single" w:sz="4" w:space="0" w:color="auto"/>
              <w:right w:val="single" w:sz="4" w:space="0" w:color="auto"/>
            </w:tcBorders>
            <w:shd w:val="clear" w:color="auto" w:fill="auto"/>
            <w:vAlign w:val="center"/>
            <w:hideMark/>
          </w:tcPr>
          <w:p w14:paraId="58F0391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12CBF0E5"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35" w:type="pct"/>
            <w:tcBorders>
              <w:top w:val="nil"/>
              <w:left w:val="nil"/>
              <w:bottom w:val="single" w:sz="4" w:space="0" w:color="auto"/>
              <w:right w:val="single" w:sz="4" w:space="0" w:color="auto"/>
            </w:tcBorders>
            <w:shd w:val="clear" w:color="000000" w:fill="E2EFDA"/>
            <w:vAlign w:val="center"/>
            <w:hideMark/>
          </w:tcPr>
          <w:p w14:paraId="34E52F2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47" w:type="pct"/>
            <w:tcBorders>
              <w:top w:val="nil"/>
              <w:left w:val="nil"/>
              <w:bottom w:val="single" w:sz="4" w:space="0" w:color="auto"/>
              <w:right w:val="single" w:sz="4" w:space="0" w:color="auto"/>
            </w:tcBorders>
            <w:shd w:val="clear" w:color="000000" w:fill="E2EFDA"/>
            <w:vAlign w:val="center"/>
            <w:hideMark/>
          </w:tcPr>
          <w:p w14:paraId="574D9F5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4" w:type="pct"/>
            <w:tcBorders>
              <w:top w:val="nil"/>
              <w:left w:val="nil"/>
              <w:bottom w:val="single" w:sz="4" w:space="0" w:color="auto"/>
              <w:right w:val="single" w:sz="4" w:space="0" w:color="auto"/>
            </w:tcBorders>
            <w:shd w:val="clear" w:color="000000" w:fill="ED7D31"/>
            <w:vAlign w:val="center"/>
            <w:hideMark/>
          </w:tcPr>
          <w:p w14:paraId="57E78A3A"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68AEABE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78" w:type="pct"/>
            <w:tcBorders>
              <w:top w:val="nil"/>
              <w:left w:val="nil"/>
              <w:bottom w:val="single" w:sz="4" w:space="0" w:color="auto"/>
              <w:right w:val="single" w:sz="4" w:space="0" w:color="auto"/>
            </w:tcBorders>
            <w:shd w:val="clear" w:color="000000" w:fill="E2EFDA"/>
            <w:vAlign w:val="center"/>
            <w:hideMark/>
          </w:tcPr>
          <w:p w14:paraId="1006DA0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492D7CEA"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1DD79184"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71F64832"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МП_УЕТ24</w:t>
            </w:r>
          </w:p>
        </w:tc>
        <w:tc>
          <w:tcPr>
            <w:tcW w:w="1368" w:type="pct"/>
            <w:tcBorders>
              <w:top w:val="nil"/>
              <w:left w:val="nil"/>
              <w:bottom w:val="single" w:sz="4" w:space="0" w:color="auto"/>
              <w:right w:val="single" w:sz="4" w:space="0" w:color="auto"/>
            </w:tcBorders>
            <w:shd w:val="clear" w:color="auto" w:fill="auto"/>
            <w:vAlign w:val="center"/>
            <w:hideMark/>
          </w:tcPr>
          <w:p w14:paraId="103C9ECD"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Спровођење Уредбе (ЕУ) 2017/460</w:t>
            </w:r>
          </w:p>
        </w:tc>
        <w:tc>
          <w:tcPr>
            <w:tcW w:w="329" w:type="pct"/>
            <w:tcBorders>
              <w:top w:val="nil"/>
              <w:left w:val="nil"/>
              <w:bottom w:val="single" w:sz="4" w:space="0" w:color="auto"/>
              <w:right w:val="single" w:sz="4" w:space="0" w:color="auto"/>
            </w:tcBorders>
            <w:shd w:val="clear" w:color="auto" w:fill="auto"/>
            <w:vAlign w:val="center"/>
            <w:hideMark/>
          </w:tcPr>
          <w:p w14:paraId="00A4E309"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5" w:type="pct"/>
            <w:tcBorders>
              <w:top w:val="nil"/>
              <w:left w:val="nil"/>
              <w:bottom w:val="single" w:sz="4" w:space="0" w:color="auto"/>
              <w:right w:val="single" w:sz="4" w:space="0" w:color="auto"/>
            </w:tcBorders>
            <w:shd w:val="clear" w:color="auto" w:fill="auto"/>
            <w:vAlign w:val="center"/>
            <w:hideMark/>
          </w:tcPr>
          <w:p w14:paraId="50A68B76"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20411ABE"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35" w:type="pct"/>
            <w:tcBorders>
              <w:top w:val="nil"/>
              <w:left w:val="nil"/>
              <w:bottom w:val="single" w:sz="4" w:space="0" w:color="auto"/>
              <w:right w:val="single" w:sz="4" w:space="0" w:color="auto"/>
            </w:tcBorders>
            <w:shd w:val="clear" w:color="000000" w:fill="E2EFDA"/>
            <w:vAlign w:val="center"/>
            <w:hideMark/>
          </w:tcPr>
          <w:p w14:paraId="7CABA70A"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47" w:type="pct"/>
            <w:tcBorders>
              <w:top w:val="nil"/>
              <w:left w:val="nil"/>
              <w:bottom w:val="single" w:sz="4" w:space="0" w:color="auto"/>
              <w:right w:val="single" w:sz="4" w:space="0" w:color="auto"/>
            </w:tcBorders>
            <w:shd w:val="clear" w:color="000000" w:fill="E2EFDA"/>
            <w:vAlign w:val="center"/>
            <w:hideMark/>
          </w:tcPr>
          <w:p w14:paraId="6034176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4" w:type="pct"/>
            <w:tcBorders>
              <w:top w:val="nil"/>
              <w:left w:val="nil"/>
              <w:bottom w:val="single" w:sz="4" w:space="0" w:color="auto"/>
              <w:right w:val="single" w:sz="4" w:space="0" w:color="auto"/>
            </w:tcBorders>
            <w:shd w:val="clear" w:color="000000" w:fill="ED7D31"/>
            <w:vAlign w:val="center"/>
            <w:hideMark/>
          </w:tcPr>
          <w:p w14:paraId="4973A6E9"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74D70B36"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78" w:type="pct"/>
            <w:tcBorders>
              <w:top w:val="nil"/>
              <w:left w:val="nil"/>
              <w:bottom w:val="single" w:sz="4" w:space="0" w:color="auto"/>
              <w:right w:val="single" w:sz="4" w:space="0" w:color="auto"/>
            </w:tcBorders>
            <w:shd w:val="clear" w:color="000000" w:fill="E2EFDA"/>
            <w:vAlign w:val="center"/>
            <w:hideMark/>
          </w:tcPr>
          <w:p w14:paraId="78D61D4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7628BEED"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711DF44C"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2531F8E7"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МП_УЕТ25</w:t>
            </w:r>
          </w:p>
        </w:tc>
        <w:tc>
          <w:tcPr>
            <w:tcW w:w="1368" w:type="pct"/>
            <w:tcBorders>
              <w:top w:val="nil"/>
              <w:left w:val="nil"/>
              <w:bottom w:val="single" w:sz="4" w:space="0" w:color="auto"/>
              <w:right w:val="single" w:sz="4" w:space="0" w:color="auto"/>
            </w:tcBorders>
            <w:shd w:val="clear" w:color="auto" w:fill="auto"/>
            <w:vAlign w:val="center"/>
            <w:hideMark/>
          </w:tcPr>
          <w:p w14:paraId="092681F9"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Спровођење Уредбе (ЕУ) 2014/312</w:t>
            </w:r>
          </w:p>
        </w:tc>
        <w:tc>
          <w:tcPr>
            <w:tcW w:w="329" w:type="pct"/>
            <w:tcBorders>
              <w:top w:val="nil"/>
              <w:left w:val="nil"/>
              <w:bottom w:val="single" w:sz="4" w:space="0" w:color="auto"/>
              <w:right w:val="single" w:sz="4" w:space="0" w:color="auto"/>
            </w:tcBorders>
            <w:shd w:val="clear" w:color="auto" w:fill="auto"/>
            <w:vAlign w:val="center"/>
            <w:hideMark/>
          </w:tcPr>
          <w:p w14:paraId="2554EEF2"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5" w:type="pct"/>
            <w:tcBorders>
              <w:top w:val="nil"/>
              <w:left w:val="nil"/>
              <w:bottom w:val="single" w:sz="4" w:space="0" w:color="auto"/>
              <w:right w:val="single" w:sz="4" w:space="0" w:color="auto"/>
            </w:tcBorders>
            <w:shd w:val="clear" w:color="auto" w:fill="auto"/>
            <w:vAlign w:val="center"/>
            <w:hideMark/>
          </w:tcPr>
          <w:p w14:paraId="465F8A5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5A49F51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35" w:type="pct"/>
            <w:tcBorders>
              <w:top w:val="nil"/>
              <w:left w:val="nil"/>
              <w:bottom w:val="single" w:sz="4" w:space="0" w:color="auto"/>
              <w:right w:val="single" w:sz="4" w:space="0" w:color="auto"/>
            </w:tcBorders>
            <w:shd w:val="clear" w:color="000000" w:fill="E2EFDA"/>
            <w:vAlign w:val="center"/>
            <w:hideMark/>
          </w:tcPr>
          <w:p w14:paraId="624BEE2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47" w:type="pct"/>
            <w:tcBorders>
              <w:top w:val="nil"/>
              <w:left w:val="nil"/>
              <w:bottom w:val="single" w:sz="4" w:space="0" w:color="auto"/>
              <w:right w:val="single" w:sz="4" w:space="0" w:color="auto"/>
            </w:tcBorders>
            <w:shd w:val="clear" w:color="000000" w:fill="E2EFDA"/>
            <w:vAlign w:val="center"/>
            <w:hideMark/>
          </w:tcPr>
          <w:p w14:paraId="15FD6CD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4" w:type="pct"/>
            <w:tcBorders>
              <w:top w:val="nil"/>
              <w:left w:val="nil"/>
              <w:bottom w:val="single" w:sz="4" w:space="0" w:color="auto"/>
              <w:right w:val="single" w:sz="4" w:space="0" w:color="auto"/>
            </w:tcBorders>
            <w:shd w:val="clear" w:color="000000" w:fill="ED7D31"/>
            <w:vAlign w:val="center"/>
            <w:hideMark/>
          </w:tcPr>
          <w:p w14:paraId="364495C6"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00328C79"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78" w:type="pct"/>
            <w:tcBorders>
              <w:top w:val="nil"/>
              <w:left w:val="nil"/>
              <w:bottom w:val="single" w:sz="4" w:space="0" w:color="auto"/>
              <w:right w:val="single" w:sz="4" w:space="0" w:color="auto"/>
            </w:tcBorders>
            <w:shd w:val="clear" w:color="000000" w:fill="E2EFDA"/>
            <w:vAlign w:val="center"/>
            <w:hideMark/>
          </w:tcPr>
          <w:p w14:paraId="2E43B2A2"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33920BFC"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14317CAB"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49885542"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МП_УЕТ26</w:t>
            </w:r>
          </w:p>
        </w:tc>
        <w:tc>
          <w:tcPr>
            <w:tcW w:w="1368" w:type="pct"/>
            <w:tcBorders>
              <w:top w:val="nil"/>
              <w:left w:val="nil"/>
              <w:bottom w:val="single" w:sz="4" w:space="0" w:color="auto"/>
              <w:right w:val="single" w:sz="4" w:space="0" w:color="auto"/>
            </w:tcBorders>
            <w:shd w:val="clear" w:color="auto" w:fill="auto"/>
            <w:vAlign w:val="center"/>
            <w:hideMark/>
          </w:tcPr>
          <w:p w14:paraId="0E3B941B"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 велепродајног тржишта у циљу подстицања конкурентности</w:t>
            </w:r>
          </w:p>
        </w:tc>
        <w:tc>
          <w:tcPr>
            <w:tcW w:w="329" w:type="pct"/>
            <w:tcBorders>
              <w:top w:val="nil"/>
              <w:left w:val="nil"/>
              <w:bottom w:val="single" w:sz="4" w:space="0" w:color="auto"/>
              <w:right w:val="single" w:sz="4" w:space="0" w:color="auto"/>
            </w:tcBorders>
            <w:shd w:val="clear" w:color="auto" w:fill="auto"/>
            <w:vAlign w:val="center"/>
            <w:hideMark/>
          </w:tcPr>
          <w:p w14:paraId="1EAD7C18"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5" w:type="pct"/>
            <w:tcBorders>
              <w:top w:val="nil"/>
              <w:left w:val="nil"/>
              <w:bottom w:val="single" w:sz="4" w:space="0" w:color="auto"/>
              <w:right w:val="single" w:sz="4" w:space="0" w:color="auto"/>
            </w:tcBorders>
            <w:shd w:val="clear" w:color="auto" w:fill="auto"/>
            <w:vAlign w:val="center"/>
            <w:hideMark/>
          </w:tcPr>
          <w:p w14:paraId="007E659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0C0CD0B1"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35" w:type="pct"/>
            <w:tcBorders>
              <w:top w:val="nil"/>
              <w:left w:val="nil"/>
              <w:bottom w:val="single" w:sz="4" w:space="0" w:color="auto"/>
              <w:right w:val="single" w:sz="4" w:space="0" w:color="auto"/>
            </w:tcBorders>
            <w:shd w:val="clear" w:color="000000" w:fill="E2EFDA"/>
            <w:vAlign w:val="center"/>
            <w:hideMark/>
          </w:tcPr>
          <w:p w14:paraId="62AEC08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47" w:type="pct"/>
            <w:tcBorders>
              <w:top w:val="nil"/>
              <w:left w:val="nil"/>
              <w:bottom w:val="single" w:sz="4" w:space="0" w:color="auto"/>
              <w:right w:val="single" w:sz="4" w:space="0" w:color="auto"/>
            </w:tcBorders>
            <w:shd w:val="clear" w:color="000000" w:fill="E2EFDA"/>
            <w:vAlign w:val="center"/>
            <w:hideMark/>
          </w:tcPr>
          <w:p w14:paraId="651E245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4" w:type="pct"/>
            <w:tcBorders>
              <w:top w:val="nil"/>
              <w:left w:val="nil"/>
              <w:bottom w:val="single" w:sz="4" w:space="0" w:color="auto"/>
              <w:right w:val="single" w:sz="4" w:space="0" w:color="auto"/>
            </w:tcBorders>
            <w:shd w:val="clear" w:color="000000" w:fill="ED7D31"/>
            <w:vAlign w:val="center"/>
            <w:hideMark/>
          </w:tcPr>
          <w:p w14:paraId="506640C1"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7DCF09B2"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78" w:type="pct"/>
            <w:tcBorders>
              <w:top w:val="nil"/>
              <w:left w:val="nil"/>
              <w:bottom w:val="single" w:sz="4" w:space="0" w:color="auto"/>
              <w:right w:val="single" w:sz="4" w:space="0" w:color="auto"/>
            </w:tcBorders>
            <w:shd w:val="clear" w:color="000000" w:fill="E2EFDA"/>
            <w:vAlign w:val="center"/>
            <w:hideMark/>
          </w:tcPr>
          <w:p w14:paraId="0AB3ECDA"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1B01F34C"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04E2A382"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05A7675B"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МП_УЕТ27</w:t>
            </w:r>
          </w:p>
        </w:tc>
        <w:tc>
          <w:tcPr>
            <w:tcW w:w="1368" w:type="pct"/>
            <w:tcBorders>
              <w:top w:val="nil"/>
              <w:left w:val="nil"/>
              <w:bottom w:val="single" w:sz="4" w:space="0" w:color="auto"/>
              <w:right w:val="single" w:sz="4" w:space="0" w:color="auto"/>
            </w:tcBorders>
            <w:shd w:val="clear" w:color="auto" w:fill="auto"/>
            <w:vAlign w:val="center"/>
            <w:hideMark/>
          </w:tcPr>
          <w:p w14:paraId="0234B939"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Даље отварање малопродајног тржишта</w:t>
            </w:r>
          </w:p>
        </w:tc>
        <w:tc>
          <w:tcPr>
            <w:tcW w:w="329" w:type="pct"/>
            <w:tcBorders>
              <w:top w:val="nil"/>
              <w:left w:val="nil"/>
              <w:bottom w:val="single" w:sz="4" w:space="0" w:color="auto"/>
              <w:right w:val="single" w:sz="4" w:space="0" w:color="auto"/>
            </w:tcBorders>
            <w:shd w:val="clear" w:color="auto" w:fill="auto"/>
            <w:vAlign w:val="center"/>
            <w:hideMark/>
          </w:tcPr>
          <w:p w14:paraId="3BB264C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5" w:type="pct"/>
            <w:tcBorders>
              <w:top w:val="nil"/>
              <w:left w:val="nil"/>
              <w:bottom w:val="single" w:sz="4" w:space="0" w:color="auto"/>
              <w:right w:val="single" w:sz="4" w:space="0" w:color="auto"/>
            </w:tcBorders>
            <w:shd w:val="clear" w:color="auto" w:fill="auto"/>
            <w:vAlign w:val="center"/>
            <w:hideMark/>
          </w:tcPr>
          <w:p w14:paraId="45D1BC9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1A3C5BC6"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35" w:type="pct"/>
            <w:tcBorders>
              <w:top w:val="nil"/>
              <w:left w:val="nil"/>
              <w:bottom w:val="single" w:sz="4" w:space="0" w:color="auto"/>
              <w:right w:val="single" w:sz="4" w:space="0" w:color="auto"/>
            </w:tcBorders>
            <w:shd w:val="clear" w:color="000000" w:fill="E2EFDA"/>
            <w:vAlign w:val="center"/>
            <w:hideMark/>
          </w:tcPr>
          <w:p w14:paraId="189984E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47" w:type="pct"/>
            <w:tcBorders>
              <w:top w:val="nil"/>
              <w:left w:val="nil"/>
              <w:bottom w:val="single" w:sz="4" w:space="0" w:color="auto"/>
              <w:right w:val="single" w:sz="4" w:space="0" w:color="auto"/>
            </w:tcBorders>
            <w:shd w:val="clear" w:color="000000" w:fill="E2EFDA"/>
            <w:vAlign w:val="center"/>
            <w:hideMark/>
          </w:tcPr>
          <w:p w14:paraId="548BB6A8"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4" w:type="pct"/>
            <w:tcBorders>
              <w:top w:val="nil"/>
              <w:left w:val="nil"/>
              <w:bottom w:val="single" w:sz="4" w:space="0" w:color="auto"/>
              <w:right w:val="single" w:sz="4" w:space="0" w:color="auto"/>
            </w:tcBorders>
            <w:shd w:val="clear" w:color="000000" w:fill="ED7D31"/>
            <w:vAlign w:val="center"/>
            <w:hideMark/>
          </w:tcPr>
          <w:p w14:paraId="0EEB1BB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6C93A075"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78" w:type="pct"/>
            <w:tcBorders>
              <w:top w:val="nil"/>
              <w:left w:val="nil"/>
              <w:bottom w:val="single" w:sz="4" w:space="0" w:color="auto"/>
              <w:right w:val="single" w:sz="4" w:space="0" w:color="auto"/>
            </w:tcBorders>
            <w:shd w:val="clear" w:color="000000" w:fill="E2EFDA"/>
            <w:vAlign w:val="center"/>
            <w:hideMark/>
          </w:tcPr>
          <w:p w14:paraId="767FAC4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70731EDD"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34DF5EB0"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784042A0"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МП_УЕТ28</w:t>
            </w:r>
          </w:p>
        </w:tc>
        <w:tc>
          <w:tcPr>
            <w:tcW w:w="1368" w:type="pct"/>
            <w:tcBorders>
              <w:top w:val="nil"/>
              <w:left w:val="nil"/>
              <w:bottom w:val="single" w:sz="4" w:space="0" w:color="auto"/>
              <w:right w:val="single" w:sz="4" w:space="0" w:color="auto"/>
            </w:tcBorders>
            <w:shd w:val="clear" w:color="auto" w:fill="auto"/>
            <w:vAlign w:val="center"/>
            <w:hideMark/>
          </w:tcPr>
          <w:p w14:paraId="5448F946"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Израда Правила о раду Транспортгас Србија. Израда Правила о раду за Yugorozgas Transport</w:t>
            </w:r>
          </w:p>
        </w:tc>
        <w:tc>
          <w:tcPr>
            <w:tcW w:w="329" w:type="pct"/>
            <w:tcBorders>
              <w:top w:val="nil"/>
              <w:left w:val="nil"/>
              <w:bottom w:val="single" w:sz="4" w:space="0" w:color="auto"/>
              <w:right w:val="single" w:sz="4" w:space="0" w:color="auto"/>
            </w:tcBorders>
            <w:shd w:val="clear" w:color="auto" w:fill="auto"/>
            <w:vAlign w:val="center"/>
            <w:hideMark/>
          </w:tcPr>
          <w:p w14:paraId="0E8FC3B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5" w:type="pct"/>
            <w:tcBorders>
              <w:top w:val="nil"/>
              <w:left w:val="nil"/>
              <w:bottom w:val="single" w:sz="4" w:space="0" w:color="auto"/>
              <w:right w:val="single" w:sz="4" w:space="0" w:color="auto"/>
            </w:tcBorders>
            <w:shd w:val="clear" w:color="auto" w:fill="auto"/>
            <w:vAlign w:val="center"/>
            <w:hideMark/>
          </w:tcPr>
          <w:p w14:paraId="3C54937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13AAB88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35" w:type="pct"/>
            <w:tcBorders>
              <w:top w:val="nil"/>
              <w:left w:val="nil"/>
              <w:bottom w:val="single" w:sz="4" w:space="0" w:color="auto"/>
              <w:right w:val="single" w:sz="4" w:space="0" w:color="auto"/>
            </w:tcBorders>
            <w:shd w:val="clear" w:color="000000" w:fill="E2EFDA"/>
            <w:vAlign w:val="center"/>
            <w:hideMark/>
          </w:tcPr>
          <w:p w14:paraId="177569D6"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47" w:type="pct"/>
            <w:tcBorders>
              <w:top w:val="nil"/>
              <w:left w:val="nil"/>
              <w:bottom w:val="single" w:sz="4" w:space="0" w:color="auto"/>
              <w:right w:val="single" w:sz="4" w:space="0" w:color="auto"/>
            </w:tcBorders>
            <w:shd w:val="clear" w:color="000000" w:fill="E2EFDA"/>
            <w:vAlign w:val="center"/>
            <w:hideMark/>
          </w:tcPr>
          <w:p w14:paraId="0E69EDF8"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4" w:type="pct"/>
            <w:tcBorders>
              <w:top w:val="nil"/>
              <w:left w:val="nil"/>
              <w:bottom w:val="single" w:sz="4" w:space="0" w:color="auto"/>
              <w:right w:val="single" w:sz="4" w:space="0" w:color="auto"/>
            </w:tcBorders>
            <w:shd w:val="clear" w:color="000000" w:fill="ED7D31"/>
            <w:vAlign w:val="center"/>
            <w:hideMark/>
          </w:tcPr>
          <w:p w14:paraId="10DAF18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3A71796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78" w:type="pct"/>
            <w:tcBorders>
              <w:top w:val="nil"/>
              <w:left w:val="nil"/>
              <w:bottom w:val="single" w:sz="4" w:space="0" w:color="auto"/>
              <w:right w:val="single" w:sz="4" w:space="0" w:color="auto"/>
            </w:tcBorders>
            <w:shd w:val="clear" w:color="000000" w:fill="E2EFDA"/>
            <w:vAlign w:val="center"/>
            <w:hideMark/>
          </w:tcPr>
          <w:p w14:paraId="2E4A38D5"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2E8F3E17"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0B73FC2D"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7B9DEF6F"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МП_УЕТ10</w:t>
            </w:r>
          </w:p>
        </w:tc>
        <w:tc>
          <w:tcPr>
            <w:tcW w:w="1368" w:type="pct"/>
            <w:tcBorders>
              <w:top w:val="nil"/>
              <w:left w:val="nil"/>
              <w:bottom w:val="single" w:sz="4" w:space="0" w:color="auto"/>
              <w:right w:val="single" w:sz="4" w:space="0" w:color="auto"/>
            </w:tcBorders>
            <w:shd w:val="clear" w:color="auto" w:fill="auto"/>
            <w:vAlign w:val="center"/>
            <w:hideMark/>
          </w:tcPr>
          <w:p w14:paraId="74F77227"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Интензивирање напора за гасификацију у Србији</w:t>
            </w:r>
          </w:p>
        </w:tc>
        <w:tc>
          <w:tcPr>
            <w:tcW w:w="329" w:type="pct"/>
            <w:tcBorders>
              <w:top w:val="nil"/>
              <w:left w:val="nil"/>
              <w:bottom w:val="single" w:sz="4" w:space="0" w:color="auto"/>
              <w:right w:val="single" w:sz="4" w:space="0" w:color="auto"/>
            </w:tcBorders>
            <w:shd w:val="clear" w:color="auto" w:fill="auto"/>
            <w:vAlign w:val="center"/>
            <w:hideMark/>
          </w:tcPr>
          <w:p w14:paraId="53E333A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5" w:type="pct"/>
            <w:tcBorders>
              <w:top w:val="nil"/>
              <w:left w:val="nil"/>
              <w:bottom w:val="single" w:sz="4" w:space="0" w:color="auto"/>
              <w:right w:val="single" w:sz="4" w:space="0" w:color="auto"/>
            </w:tcBorders>
            <w:shd w:val="clear" w:color="auto" w:fill="auto"/>
            <w:vAlign w:val="center"/>
            <w:hideMark/>
          </w:tcPr>
          <w:p w14:paraId="4E42A19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6D3E99C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35" w:type="pct"/>
            <w:tcBorders>
              <w:top w:val="nil"/>
              <w:left w:val="nil"/>
              <w:bottom w:val="single" w:sz="4" w:space="0" w:color="auto"/>
              <w:right w:val="single" w:sz="4" w:space="0" w:color="auto"/>
            </w:tcBorders>
            <w:shd w:val="clear" w:color="000000" w:fill="E2EFDA"/>
            <w:vAlign w:val="center"/>
            <w:hideMark/>
          </w:tcPr>
          <w:p w14:paraId="159DC19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47" w:type="pct"/>
            <w:tcBorders>
              <w:top w:val="nil"/>
              <w:left w:val="nil"/>
              <w:bottom w:val="single" w:sz="4" w:space="0" w:color="auto"/>
              <w:right w:val="single" w:sz="4" w:space="0" w:color="auto"/>
            </w:tcBorders>
            <w:shd w:val="clear" w:color="000000" w:fill="E2EFDA"/>
            <w:vAlign w:val="center"/>
            <w:hideMark/>
          </w:tcPr>
          <w:p w14:paraId="60192336"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4" w:type="pct"/>
            <w:tcBorders>
              <w:top w:val="nil"/>
              <w:left w:val="nil"/>
              <w:bottom w:val="single" w:sz="4" w:space="0" w:color="auto"/>
              <w:right w:val="single" w:sz="4" w:space="0" w:color="auto"/>
            </w:tcBorders>
            <w:shd w:val="clear" w:color="000000" w:fill="ED7D31"/>
            <w:vAlign w:val="center"/>
            <w:hideMark/>
          </w:tcPr>
          <w:p w14:paraId="3F68A888"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2D16420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78" w:type="pct"/>
            <w:tcBorders>
              <w:top w:val="nil"/>
              <w:left w:val="nil"/>
              <w:bottom w:val="single" w:sz="4" w:space="0" w:color="auto"/>
              <w:right w:val="single" w:sz="4" w:space="0" w:color="auto"/>
            </w:tcBorders>
            <w:shd w:val="clear" w:color="000000" w:fill="E2EFDA"/>
            <w:vAlign w:val="center"/>
            <w:hideMark/>
          </w:tcPr>
          <w:p w14:paraId="49F09BA1"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663D11D0"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484DC096"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69E2183A"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МП_УЕТ29</w:t>
            </w:r>
          </w:p>
        </w:tc>
        <w:tc>
          <w:tcPr>
            <w:tcW w:w="1368" w:type="pct"/>
            <w:tcBorders>
              <w:top w:val="nil"/>
              <w:left w:val="nil"/>
              <w:bottom w:val="single" w:sz="4" w:space="0" w:color="auto"/>
              <w:right w:val="single" w:sz="4" w:space="0" w:color="auto"/>
            </w:tcBorders>
            <w:shd w:val="clear" w:color="auto" w:fill="auto"/>
            <w:vAlign w:val="center"/>
            <w:hideMark/>
          </w:tcPr>
          <w:p w14:paraId="21C84BD4"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Развој регулаторног оквира за биометан</w:t>
            </w:r>
          </w:p>
        </w:tc>
        <w:tc>
          <w:tcPr>
            <w:tcW w:w="329" w:type="pct"/>
            <w:tcBorders>
              <w:top w:val="nil"/>
              <w:left w:val="nil"/>
              <w:bottom w:val="single" w:sz="4" w:space="0" w:color="auto"/>
              <w:right w:val="single" w:sz="4" w:space="0" w:color="auto"/>
            </w:tcBorders>
            <w:shd w:val="clear" w:color="auto" w:fill="auto"/>
            <w:vAlign w:val="center"/>
            <w:hideMark/>
          </w:tcPr>
          <w:p w14:paraId="1C11C6EE"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5" w:type="pct"/>
            <w:tcBorders>
              <w:top w:val="nil"/>
              <w:left w:val="nil"/>
              <w:bottom w:val="single" w:sz="4" w:space="0" w:color="auto"/>
              <w:right w:val="single" w:sz="4" w:space="0" w:color="auto"/>
            </w:tcBorders>
            <w:shd w:val="clear" w:color="auto" w:fill="auto"/>
            <w:vAlign w:val="center"/>
            <w:hideMark/>
          </w:tcPr>
          <w:p w14:paraId="710953C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0DE0DA49"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35" w:type="pct"/>
            <w:tcBorders>
              <w:top w:val="nil"/>
              <w:left w:val="nil"/>
              <w:bottom w:val="single" w:sz="4" w:space="0" w:color="auto"/>
              <w:right w:val="single" w:sz="4" w:space="0" w:color="auto"/>
            </w:tcBorders>
            <w:shd w:val="clear" w:color="000000" w:fill="E2EFDA"/>
            <w:vAlign w:val="center"/>
            <w:hideMark/>
          </w:tcPr>
          <w:p w14:paraId="0622CAE9"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47" w:type="pct"/>
            <w:tcBorders>
              <w:top w:val="nil"/>
              <w:left w:val="nil"/>
              <w:bottom w:val="single" w:sz="4" w:space="0" w:color="auto"/>
              <w:right w:val="single" w:sz="4" w:space="0" w:color="auto"/>
            </w:tcBorders>
            <w:shd w:val="clear" w:color="000000" w:fill="E2EFDA"/>
            <w:vAlign w:val="center"/>
            <w:hideMark/>
          </w:tcPr>
          <w:p w14:paraId="7FCEFC72"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4" w:type="pct"/>
            <w:tcBorders>
              <w:top w:val="nil"/>
              <w:left w:val="nil"/>
              <w:bottom w:val="single" w:sz="4" w:space="0" w:color="auto"/>
              <w:right w:val="single" w:sz="4" w:space="0" w:color="auto"/>
            </w:tcBorders>
            <w:shd w:val="clear" w:color="000000" w:fill="ED7D31"/>
            <w:vAlign w:val="center"/>
            <w:hideMark/>
          </w:tcPr>
          <w:p w14:paraId="42B79D45"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191943A6"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78" w:type="pct"/>
            <w:tcBorders>
              <w:top w:val="nil"/>
              <w:left w:val="nil"/>
              <w:bottom w:val="single" w:sz="4" w:space="0" w:color="auto"/>
              <w:right w:val="single" w:sz="4" w:space="0" w:color="auto"/>
            </w:tcBorders>
            <w:shd w:val="clear" w:color="000000" w:fill="E2EFDA"/>
            <w:vAlign w:val="center"/>
            <w:hideMark/>
          </w:tcPr>
          <w:p w14:paraId="7944FA2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4252646A"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4FE15791"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12E92AF2"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МП_УЕТ30</w:t>
            </w:r>
          </w:p>
        </w:tc>
        <w:tc>
          <w:tcPr>
            <w:tcW w:w="1368" w:type="pct"/>
            <w:tcBorders>
              <w:top w:val="nil"/>
              <w:left w:val="nil"/>
              <w:bottom w:val="single" w:sz="4" w:space="0" w:color="auto"/>
              <w:right w:val="single" w:sz="4" w:space="0" w:color="auto"/>
            </w:tcBorders>
            <w:shd w:val="clear" w:color="auto" w:fill="auto"/>
            <w:vAlign w:val="center"/>
            <w:hideMark/>
          </w:tcPr>
          <w:p w14:paraId="16215484"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Спајање тржишта са тржиштем дан-унапред (SDAC)</w:t>
            </w:r>
          </w:p>
        </w:tc>
        <w:tc>
          <w:tcPr>
            <w:tcW w:w="329" w:type="pct"/>
            <w:tcBorders>
              <w:top w:val="nil"/>
              <w:left w:val="nil"/>
              <w:bottom w:val="single" w:sz="4" w:space="0" w:color="auto"/>
              <w:right w:val="single" w:sz="4" w:space="0" w:color="auto"/>
            </w:tcBorders>
            <w:shd w:val="clear" w:color="auto" w:fill="auto"/>
            <w:vAlign w:val="center"/>
            <w:hideMark/>
          </w:tcPr>
          <w:p w14:paraId="17B4143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5" w:type="pct"/>
            <w:tcBorders>
              <w:top w:val="nil"/>
              <w:left w:val="nil"/>
              <w:bottom w:val="single" w:sz="4" w:space="0" w:color="auto"/>
              <w:right w:val="single" w:sz="4" w:space="0" w:color="auto"/>
            </w:tcBorders>
            <w:shd w:val="clear" w:color="auto" w:fill="auto"/>
            <w:vAlign w:val="center"/>
            <w:hideMark/>
          </w:tcPr>
          <w:p w14:paraId="72772CC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60FEE3F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35" w:type="pct"/>
            <w:tcBorders>
              <w:top w:val="nil"/>
              <w:left w:val="nil"/>
              <w:bottom w:val="single" w:sz="4" w:space="0" w:color="auto"/>
              <w:right w:val="single" w:sz="4" w:space="0" w:color="auto"/>
            </w:tcBorders>
            <w:shd w:val="clear" w:color="000000" w:fill="E2EFDA"/>
            <w:vAlign w:val="center"/>
            <w:hideMark/>
          </w:tcPr>
          <w:p w14:paraId="2D7BF111"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47" w:type="pct"/>
            <w:tcBorders>
              <w:top w:val="nil"/>
              <w:left w:val="nil"/>
              <w:bottom w:val="single" w:sz="4" w:space="0" w:color="auto"/>
              <w:right w:val="single" w:sz="4" w:space="0" w:color="auto"/>
            </w:tcBorders>
            <w:shd w:val="clear" w:color="000000" w:fill="E2EFDA"/>
            <w:vAlign w:val="center"/>
            <w:hideMark/>
          </w:tcPr>
          <w:p w14:paraId="06DBE276"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4" w:type="pct"/>
            <w:tcBorders>
              <w:top w:val="nil"/>
              <w:left w:val="nil"/>
              <w:bottom w:val="single" w:sz="4" w:space="0" w:color="auto"/>
              <w:right w:val="single" w:sz="4" w:space="0" w:color="auto"/>
            </w:tcBorders>
            <w:shd w:val="clear" w:color="000000" w:fill="ED7D31"/>
            <w:vAlign w:val="center"/>
            <w:hideMark/>
          </w:tcPr>
          <w:p w14:paraId="3C8B6EB5"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4C22E52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78" w:type="pct"/>
            <w:tcBorders>
              <w:top w:val="nil"/>
              <w:left w:val="nil"/>
              <w:bottom w:val="single" w:sz="4" w:space="0" w:color="auto"/>
              <w:right w:val="single" w:sz="4" w:space="0" w:color="auto"/>
            </w:tcBorders>
            <w:shd w:val="clear" w:color="000000" w:fill="E2EFDA"/>
            <w:vAlign w:val="center"/>
            <w:hideMark/>
          </w:tcPr>
          <w:p w14:paraId="71BEDDD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148A15DA"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6DE31D88"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3CF0E13E"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МП_УЕТ31</w:t>
            </w:r>
          </w:p>
        </w:tc>
        <w:tc>
          <w:tcPr>
            <w:tcW w:w="1368" w:type="pct"/>
            <w:tcBorders>
              <w:top w:val="nil"/>
              <w:left w:val="nil"/>
              <w:bottom w:val="single" w:sz="4" w:space="0" w:color="auto"/>
              <w:right w:val="single" w:sz="4" w:space="0" w:color="auto"/>
            </w:tcBorders>
            <w:shd w:val="clear" w:color="auto" w:fill="auto"/>
            <w:vAlign w:val="center"/>
            <w:hideMark/>
          </w:tcPr>
          <w:p w14:paraId="7FFDE4A8"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Спајање тржишта са јединственим унутардневним тржиштем (SIDC)</w:t>
            </w:r>
          </w:p>
        </w:tc>
        <w:tc>
          <w:tcPr>
            <w:tcW w:w="329" w:type="pct"/>
            <w:tcBorders>
              <w:top w:val="nil"/>
              <w:left w:val="nil"/>
              <w:bottom w:val="single" w:sz="4" w:space="0" w:color="auto"/>
              <w:right w:val="single" w:sz="4" w:space="0" w:color="auto"/>
            </w:tcBorders>
            <w:shd w:val="clear" w:color="auto" w:fill="auto"/>
            <w:vAlign w:val="center"/>
            <w:hideMark/>
          </w:tcPr>
          <w:p w14:paraId="4A39F8C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5" w:type="pct"/>
            <w:tcBorders>
              <w:top w:val="nil"/>
              <w:left w:val="nil"/>
              <w:bottom w:val="single" w:sz="4" w:space="0" w:color="auto"/>
              <w:right w:val="single" w:sz="4" w:space="0" w:color="auto"/>
            </w:tcBorders>
            <w:shd w:val="clear" w:color="auto" w:fill="auto"/>
            <w:vAlign w:val="center"/>
            <w:hideMark/>
          </w:tcPr>
          <w:p w14:paraId="2D095B3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5AFDD31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35" w:type="pct"/>
            <w:tcBorders>
              <w:top w:val="nil"/>
              <w:left w:val="nil"/>
              <w:bottom w:val="single" w:sz="4" w:space="0" w:color="auto"/>
              <w:right w:val="single" w:sz="4" w:space="0" w:color="auto"/>
            </w:tcBorders>
            <w:shd w:val="clear" w:color="000000" w:fill="E2EFDA"/>
            <w:vAlign w:val="center"/>
            <w:hideMark/>
          </w:tcPr>
          <w:p w14:paraId="56978EA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47" w:type="pct"/>
            <w:tcBorders>
              <w:top w:val="nil"/>
              <w:left w:val="nil"/>
              <w:bottom w:val="single" w:sz="4" w:space="0" w:color="auto"/>
              <w:right w:val="single" w:sz="4" w:space="0" w:color="auto"/>
            </w:tcBorders>
            <w:shd w:val="clear" w:color="000000" w:fill="E2EFDA"/>
            <w:vAlign w:val="center"/>
            <w:hideMark/>
          </w:tcPr>
          <w:p w14:paraId="0F480465"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4" w:type="pct"/>
            <w:tcBorders>
              <w:top w:val="nil"/>
              <w:left w:val="nil"/>
              <w:bottom w:val="single" w:sz="4" w:space="0" w:color="auto"/>
              <w:right w:val="single" w:sz="4" w:space="0" w:color="auto"/>
            </w:tcBorders>
            <w:shd w:val="clear" w:color="000000" w:fill="ED7D31"/>
            <w:vAlign w:val="center"/>
            <w:hideMark/>
          </w:tcPr>
          <w:p w14:paraId="58DD4FD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3D4D9B77"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78" w:type="pct"/>
            <w:tcBorders>
              <w:top w:val="nil"/>
              <w:left w:val="nil"/>
              <w:bottom w:val="single" w:sz="4" w:space="0" w:color="auto"/>
              <w:right w:val="single" w:sz="4" w:space="0" w:color="auto"/>
            </w:tcBorders>
            <w:shd w:val="clear" w:color="000000" w:fill="E2EFDA"/>
            <w:vAlign w:val="center"/>
            <w:hideMark/>
          </w:tcPr>
          <w:p w14:paraId="6551F75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59D9CFD9"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107518DA"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77470FB3"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МП_УЕТ32</w:t>
            </w:r>
          </w:p>
        </w:tc>
        <w:tc>
          <w:tcPr>
            <w:tcW w:w="1368" w:type="pct"/>
            <w:tcBorders>
              <w:top w:val="nil"/>
              <w:left w:val="nil"/>
              <w:bottom w:val="single" w:sz="4" w:space="0" w:color="auto"/>
              <w:right w:val="single" w:sz="4" w:space="0" w:color="auto"/>
            </w:tcBorders>
            <w:shd w:val="clear" w:color="auto" w:fill="auto"/>
            <w:vAlign w:val="center"/>
            <w:hideMark/>
          </w:tcPr>
          <w:p w14:paraId="7C32422E"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Израда и усвајање акционог плана за смањење енергетског сиромаштва</w:t>
            </w:r>
          </w:p>
        </w:tc>
        <w:tc>
          <w:tcPr>
            <w:tcW w:w="329" w:type="pct"/>
            <w:tcBorders>
              <w:top w:val="nil"/>
              <w:left w:val="nil"/>
              <w:bottom w:val="single" w:sz="4" w:space="0" w:color="auto"/>
              <w:right w:val="single" w:sz="4" w:space="0" w:color="auto"/>
            </w:tcBorders>
            <w:shd w:val="clear" w:color="auto" w:fill="auto"/>
            <w:vAlign w:val="center"/>
            <w:hideMark/>
          </w:tcPr>
          <w:p w14:paraId="2F21DE2A"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5" w:type="pct"/>
            <w:tcBorders>
              <w:top w:val="nil"/>
              <w:left w:val="nil"/>
              <w:bottom w:val="single" w:sz="4" w:space="0" w:color="auto"/>
              <w:right w:val="single" w:sz="4" w:space="0" w:color="auto"/>
            </w:tcBorders>
            <w:shd w:val="clear" w:color="auto" w:fill="auto"/>
            <w:vAlign w:val="center"/>
            <w:hideMark/>
          </w:tcPr>
          <w:p w14:paraId="4154CA0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6CD81190"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35" w:type="pct"/>
            <w:tcBorders>
              <w:top w:val="nil"/>
              <w:left w:val="nil"/>
              <w:bottom w:val="single" w:sz="4" w:space="0" w:color="auto"/>
              <w:right w:val="single" w:sz="4" w:space="0" w:color="auto"/>
            </w:tcBorders>
            <w:shd w:val="clear" w:color="000000" w:fill="E2EFDA"/>
            <w:vAlign w:val="center"/>
            <w:hideMark/>
          </w:tcPr>
          <w:p w14:paraId="3826AE09"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47" w:type="pct"/>
            <w:tcBorders>
              <w:top w:val="nil"/>
              <w:left w:val="nil"/>
              <w:bottom w:val="single" w:sz="4" w:space="0" w:color="auto"/>
              <w:right w:val="single" w:sz="4" w:space="0" w:color="auto"/>
            </w:tcBorders>
            <w:shd w:val="clear" w:color="000000" w:fill="E2EFDA"/>
            <w:vAlign w:val="center"/>
            <w:hideMark/>
          </w:tcPr>
          <w:p w14:paraId="3EEF585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4" w:type="pct"/>
            <w:tcBorders>
              <w:top w:val="nil"/>
              <w:left w:val="nil"/>
              <w:bottom w:val="single" w:sz="4" w:space="0" w:color="auto"/>
              <w:right w:val="single" w:sz="4" w:space="0" w:color="auto"/>
            </w:tcBorders>
            <w:shd w:val="clear" w:color="000000" w:fill="ED7D31"/>
            <w:vAlign w:val="center"/>
            <w:hideMark/>
          </w:tcPr>
          <w:p w14:paraId="7F1C45C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WEM</w:t>
            </w:r>
          </w:p>
        </w:tc>
        <w:tc>
          <w:tcPr>
            <w:tcW w:w="378" w:type="pct"/>
            <w:tcBorders>
              <w:top w:val="nil"/>
              <w:left w:val="nil"/>
              <w:bottom w:val="single" w:sz="4" w:space="0" w:color="auto"/>
              <w:right w:val="single" w:sz="4" w:space="0" w:color="auto"/>
            </w:tcBorders>
            <w:shd w:val="clear" w:color="000000" w:fill="E2EFDA"/>
            <w:vAlign w:val="center"/>
            <w:hideMark/>
          </w:tcPr>
          <w:p w14:paraId="7AAF1859"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0,20</w:t>
            </w:r>
          </w:p>
        </w:tc>
        <w:tc>
          <w:tcPr>
            <w:tcW w:w="378" w:type="pct"/>
            <w:tcBorders>
              <w:top w:val="nil"/>
              <w:left w:val="nil"/>
              <w:bottom w:val="single" w:sz="4" w:space="0" w:color="auto"/>
              <w:right w:val="single" w:sz="4" w:space="0" w:color="auto"/>
            </w:tcBorders>
            <w:shd w:val="clear" w:color="000000" w:fill="E2EFDA"/>
            <w:vAlign w:val="center"/>
            <w:hideMark/>
          </w:tcPr>
          <w:p w14:paraId="2A45FBCE"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38203382"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140792A6"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0191A37B"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МП_УЕТ33</w:t>
            </w:r>
          </w:p>
        </w:tc>
        <w:tc>
          <w:tcPr>
            <w:tcW w:w="1368" w:type="pct"/>
            <w:tcBorders>
              <w:top w:val="nil"/>
              <w:left w:val="nil"/>
              <w:bottom w:val="single" w:sz="4" w:space="0" w:color="auto"/>
              <w:right w:val="single" w:sz="4" w:space="0" w:color="auto"/>
            </w:tcBorders>
            <w:shd w:val="clear" w:color="auto" w:fill="auto"/>
            <w:vAlign w:val="center"/>
            <w:hideMark/>
          </w:tcPr>
          <w:p w14:paraId="4B394980"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Регулаторне мере за заштиту енергетски сиромашних домаћинстава и давање накнада за краткорочно ублажавање енергетског сиромаштва (нпр. енергетске картице или социјалне тарифе)</w:t>
            </w:r>
          </w:p>
        </w:tc>
        <w:tc>
          <w:tcPr>
            <w:tcW w:w="329" w:type="pct"/>
            <w:tcBorders>
              <w:top w:val="nil"/>
              <w:left w:val="nil"/>
              <w:bottom w:val="single" w:sz="4" w:space="0" w:color="auto"/>
              <w:right w:val="single" w:sz="4" w:space="0" w:color="auto"/>
            </w:tcBorders>
            <w:shd w:val="clear" w:color="auto" w:fill="auto"/>
            <w:vAlign w:val="center"/>
            <w:hideMark/>
          </w:tcPr>
          <w:p w14:paraId="6FC58698"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5" w:type="pct"/>
            <w:tcBorders>
              <w:top w:val="nil"/>
              <w:left w:val="nil"/>
              <w:bottom w:val="single" w:sz="4" w:space="0" w:color="auto"/>
              <w:right w:val="single" w:sz="4" w:space="0" w:color="auto"/>
            </w:tcBorders>
            <w:shd w:val="clear" w:color="auto" w:fill="auto"/>
            <w:vAlign w:val="center"/>
            <w:hideMark/>
          </w:tcPr>
          <w:p w14:paraId="07C96B62"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D7D31"/>
            <w:vAlign w:val="center"/>
            <w:hideMark/>
          </w:tcPr>
          <w:p w14:paraId="5529534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у разматрању</w:t>
            </w:r>
          </w:p>
        </w:tc>
        <w:tc>
          <w:tcPr>
            <w:tcW w:w="335" w:type="pct"/>
            <w:tcBorders>
              <w:top w:val="nil"/>
              <w:left w:val="nil"/>
              <w:bottom w:val="single" w:sz="4" w:space="0" w:color="auto"/>
              <w:right w:val="single" w:sz="4" w:space="0" w:color="auto"/>
            </w:tcBorders>
            <w:shd w:val="clear" w:color="000000" w:fill="ED7D31"/>
            <w:vAlign w:val="center"/>
            <w:hideMark/>
          </w:tcPr>
          <w:p w14:paraId="2D6DED32"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47" w:type="pct"/>
            <w:tcBorders>
              <w:top w:val="nil"/>
              <w:left w:val="nil"/>
              <w:bottom w:val="single" w:sz="4" w:space="0" w:color="auto"/>
              <w:right w:val="single" w:sz="4" w:space="0" w:color="auto"/>
            </w:tcBorders>
            <w:shd w:val="clear" w:color="000000" w:fill="ED7D31"/>
            <w:vAlign w:val="center"/>
            <w:hideMark/>
          </w:tcPr>
          <w:p w14:paraId="6D31556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74" w:type="pct"/>
            <w:tcBorders>
              <w:top w:val="nil"/>
              <w:left w:val="nil"/>
              <w:bottom w:val="single" w:sz="4" w:space="0" w:color="auto"/>
              <w:right w:val="single" w:sz="4" w:space="0" w:color="auto"/>
            </w:tcBorders>
            <w:shd w:val="clear" w:color="000000" w:fill="ED7D31"/>
            <w:vAlign w:val="center"/>
            <w:hideMark/>
          </w:tcPr>
          <w:p w14:paraId="18A734A1"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78" w:type="pct"/>
            <w:tcBorders>
              <w:top w:val="nil"/>
              <w:left w:val="nil"/>
              <w:bottom w:val="single" w:sz="4" w:space="0" w:color="auto"/>
              <w:right w:val="single" w:sz="4" w:space="0" w:color="auto"/>
            </w:tcBorders>
            <w:shd w:val="clear" w:color="000000" w:fill="E2EFDA"/>
            <w:vAlign w:val="center"/>
            <w:hideMark/>
          </w:tcPr>
          <w:p w14:paraId="619ACC0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8" w:type="pct"/>
            <w:tcBorders>
              <w:top w:val="nil"/>
              <w:left w:val="nil"/>
              <w:bottom w:val="single" w:sz="4" w:space="0" w:color="auto"/>
              <w:right w:val="single" w:sz="4" w:space="0" w:color="auto"/>
            </w:tcBorders>
            <w:shd w:val="clear" w:color="000000" w:fill="E2EFDA"/>
            <w:vAlign w:val="center"/>
            <w:hideMark/>
          </w:tcPr>
          <w:p w14:paraId="0A92ADB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50AD7651"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4664C1C4"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226A573E"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МП_УЕТ34</w:t>
            </w:r>
          </w:p>
        </w:tc>
        <w:tc>
          <w:tcPr>
            <w:tcW w:w="1368" w:type="pct"/>
            <w:tcBorders>
              <w:top w:val="nil"/>
              <w:left w:val="nil"/>
              <w:bottom w:val="single" w:sz="4" w:space="0" w:color="auto"/>
              <w:right w:val="single" w:sz="4" w:space="0" w:color="auto"/>
            </w:tcBorders>
            <w:shd w:val="clear" w:color="auto" w:fill="auto"/>
            <w:vAlign w:val="center"/>
            <w:hideMark/>
          </w:tcPr>
          <w:p w14:paraId="64A1B399"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Припрема посебних програма за примену мера енергетске ефикасности и промовисање ОИЕ међу енергетски угроженим купцима за дугорочно суочавање са енергетским сиромаштвом</w:t>
            </w:r>
          </w:p>
        </w:tc>
        <w:tc>
          <w:tcPr>
            <w:tcW w:w="329" w:type="pct"/>
            <w:tcBorders>
              <w:top w:val="nil"/>
              <w:left w:val="nil"/>
              <w:bottom w:val="single" w:sz="4" w:space="0" w:color="auto"/>
              <w:right w:val="single" w:sz="4" w:space="0" w:color="auto"/>
            </w:tcBorders>
            <w:shd w:val="clear" w:color="auto" w:fill="auto"/>
            <w:vAlign w:val="center"/>
            <w:hideMark/>
          </w:tcPr>
          <w:p w14:paraId="2A73D8C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5" w:type="pct"/>
            <w:tcBorders>
              <w:top w:val="nil"/>
              <w:left w:val="nil"/>
              <w:bottom w:val="single" w:sz="4" w:space="0" w:color="auto"/>
              <w:right w:val="single" w:sz="4" w:space="0" w:color="auto"/>
            </w:tcBorders>
            <w:shd w:val="clear" w:color="auto" w:fill="auto"/>
            <w:vAlign w:val="center"/>
            <w:hideMark/>
          </w:tcPr>
          <w:p w14:paraId="394F850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D7D31"/>
            <w:vAlign w:val="center"/>
            <w:hideMark/>
          </w:tcPr>
          <w:p w14:paraId="3AB07095"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у разматрању</w:t>
            </w:r>
          </w:p>
        </w:tc>
        <w:tc>
          <w:tcPr>
            <w:tcW w:w="335" w:type="pct"/>
            <w:tcBorders>
              <w:top w:val="nil"/>
              <w:left w:val="nil"/>
              <w:bottom w:val="single" w:sz="4" w:space="0" w:color="auto"/>
              <w:right w:val="single" w:sz="4" w:space="0" w:color="auto"/>
            </w:tcBorders>
            <w:shd w:val="clear" w:color="000000" w:fill="ED7D31"/>
            <w:vAlign w:val="center"/>
            <w:hideMark/>
          </w:tcPr>
          <w:p w14:paraId="1DDBDFB2"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47" w:type="pct"/>
            <w:tcBorders>
              <w:top w:val="nil"/>
              <w:left w:val="nil"/>
              <w:bottom w:val="single" w:sz="4" w:space="0" w:color="auto"/>
              <w:right w:val="single" w:sz="4" w:space="0" w:color="auto"/>
            </w:tcBorders>
            <w:shd w:val="clear" w:color="000000" w:fill="ED7D31"/>
            <w:vAlign w:val="center"/>
            <w:hideMark/>
          </w:tcPr>
          <w:p w14:paraId="172161C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74" w:type="pct"/>
            <w:tcBorders>
              <w:top w:val="nil"/>
              <w:left w:val="nil"/>
              <w:bottom w:val="single" w:sz="4" w:space="0" w:color="auto"/>
              <w:right w:val="single" w:sz="4" w:space="0" w:color="auto"/>
            </w:tcBorders>
            <w:shd w:val="clear" w:color="000000" w:fill="ED7D31"/>
            <w:vAlign w:val="center"/>
            <w:hideMark/>
          </w:tcPr>
          <w:p w14:paraId="76B1701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78" w:type="pct"/>
            <w:tcBorders>
              <w:top w:val="nil"/>
              <w:left w:val="nil"/>
              <w:bottom w:val="single" w:sz="4" w:space="0" w:color="auto"/>
              <w:right w:val="single" w:sz="4" w:space="0" w:color="auto"/>
            </w:tcBorders>
            <w:shd w:val="clear" w:color="000000" w:fill="E2EFDA"/>
            <w:vAlign w:val="center"/>
            <w:hideMark/>
          </w:tcPr>
          <w:p w14:paraId="1025861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8" w:type="pct"/>
            <w:tcBorders>
              <w:top w:val="nil"/>
              <w:left w:val="nil"/>
              <w:bottom w:val="single" w:sz="4" w:space="0" w:color="auto"/>
              <w:right w:val="single" w:sz="4" w:space="0" w:color="auto"/>
            </w:tcBorders>
            <w:shd w:val="clear" w:color="000000" w:fill="E2EFDA"/>
            <w:vAlign w:val="center"/>
            <w:hideMark/>
          </w:tcPr>
          <w:p w14:paraId="0A96A7B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73DC4200"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29A0E2E9"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1C2DC430"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МП_УЕТ35</w:t>
            </w:r>
          </w:p>
        </w:tc>
        <w:tc>
          <w:tcPr>
            <w:tcW w:w="1368" w:type="pct"/>
            <w:tcBorders>
              <w:top w:val="nil"/>
              <w:left w:val="nil"/>
              <w:bottom w:val="single" w:sz="4" w:space="0" w:color="auto"/>
              <w:right w:val="single" w:sz="4" w:space="0" w:color="auto"/>
            </w:tcBorders>
            <w:shd w:val="clear" w:color="auto" w:fill="auto"/>
            <w:vAlign w:val="center"/>
            <w:hideMark/>
          </w:tcPr>
          <w:p w14:paraId="22CC1A1D"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Омогућавање приступа алтернативним изворима енергије енергетски угроженим купцима и другим купцима како би се умањило енергетско сиромаштво</w:t>
            </w:r>
          </w:p>
        </w:tc>
        <w:tc>
          <w:tcPr>
            <w:tcW w:w="329" w:type="pct"/>
            <w:tcBorders>
              <w:top w:val="nil"/>
              <w:left w:val="nil"/>
              <w:bottom w:val="single" w:sz="4" w:space="0" w:color="auto"/>
              <w:right w:val="single" w:sz="4" w:space="0" w:color="auto"/>
            </w:tcBorders>
            <w:shd w:val="clear" w:color="000000" w:fill="FFFFFF"/>
            <w:vAlign w:val="center"/>
            <w:hideMark/>
          </w:tcPr>
          <w:p w14:paraId="0B12989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95" w:type="pct"/>
            <w:tcBorders>
              <w:top w:val="nil"/>
              <w:left w:val="nil"/>
              <w:bottom w:val="single" w:sz="4" w:space="0" w:color="auto"/>
              <w:right w:val="single" w:sz="4" w:space="0" w:color="auto"/>
            </w:tcBorders>
            <w:shd w:val="clear" w:color="auto" w:fill="auto"/>
            <w:vAlign w:val="center"/>
            <w:hideMark/>
          </w:tcPr>
          <w:p w14:paraId="63757CD9"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D7D31"/>
            <w:vAlign w:val="center"/>
            <w:hideMark/>
          </w:tcPr>
          <w:p w14:paraId="2D438B6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у разматрању</w:t>
            </w:r>
          </w:p>
        </w:tc>
        <w:tc>
          <w:tcPr>
            <w:tcW w:w="335" w:type="pct"/>
            <w:tcBorders>
              <w:top w:val="nil"/>
              <w:left w:val="nil"/>
              <w:bottom w:val="single" w:sz="4" w:space="0" w:color="auto"/>
              <w:right w:val="single" w:sz="4" w:space="0" w:color="auto"/>
            </w:tcBorders>
            <w:shd w:val="clear" w:color="000000" w:fill="ED7D31"/>
            <w:vAlign w:val="center"/>
            <w:hideMark/>
          </w:tcPr>
          <w:p w14:paraId="134841A5"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47" w:type="pct"/>
            <w:tcBorders>
              <w:top w:val="nil"/>
              <w:left w:val="nil"/>
              <w:bottom w:val="single" w:sz="4" w:space="0" w:color="auto"/>
              <w:right w:val="single" w:sz="4" w:space="0" w:color="auto"/>
            </w:tcBorders>
            <w:shd w:val="clear" w:color="000000" w:fill="ED7D31"/>
            <w:vAlign w:val="center"/>
            <w:hideMark/>
          </w:tcPr>
          <w:p w14:paraId="560B0C2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74" w:type="pct"/>
            <w:tcBorders>
              <w:top w:val="nil"/>
              <w:left w:val="nil"/>
              <w:bottom w:val="single" w:sz="4" w:space="0" w:color="auto"/>
              <w:right w:val="single" w:sz="4" w:space="0" w:color="auto"/>
            </w:tcBorders>
            <w:shd w:val="clear" w:color="000000" w:fill="ED7D31"/>
            <w:vAlign w:val="center"/>
            <w:hideMark/>
          </w:tcPr>
          <w:p w14:paraId="00DD999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78" w:type="pct"/>
            <w:tcBorders>
              <w:top w:val="nil"/>
              <w:left w:val="nil"/>
              <w:bottom w:val="single" w:sz="4" w:space="0" w:color="auto"/>
              <w:right w:val="single" w:sz="4" w:space="0" w:color="auto"/>
            </w:tcBorders>
            <w:shd w:val="clear" w:color="000000" w:fill="E2EFDA"/>
            <w:vAlign w:val="center"/>
            <w:hideMark/>
          </w:tcPr>
          <w:p w14:paraId="50593D5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8" w:type="pct"/>
            <w:tcBorders>
              <w:top w:val="nil"/>
              <w:left w:val="nil"/>
              <w:bottom w:val="single" w:sz="4" w:space="0" w:color="auto"/>
              <w:right w:val="single" w:sz="4" w:space="0" w:color="auto"/>
            </w:tcBorders>
            <w:shd w:val="clear" w:color="000000" w:fill="E2EFDA"/>
            <w:vAlign w:val="center"/>
            <w:hideMark/>
          </w:tcPr>
          <w:p w14:paraId="0A943C5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r>
      <w:tr w:rsidR="0022244A" w:rsidRPr="00975EE5" w14:paraId="36EB1CFE"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63DCFD1F"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2FE789AB"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МП_УЕТ36</w:t>
            </w:r>
          </w:p>
        </w:tc>
        <w:tc>
          <w:tcPr>
            <w:tcW w:w="1368" w:type="pct"/>
            <w:tcBorders>
              <w:top w:val="nil"/>
              <w:left w:val="nil"/>
              <w:bottom w:val="single" w:sz="4" w:space="0" w:color="auto"/>
              <w:right w:val="single" w:sz="4" w:space="0" w:color="auto"/>
            </w:tcBorders>
            <w:shd w:val="clear" w:color="auto" w:fill="auto"/>
            <w:vAlign w:val="center"/>
            <w:hideMark/>
          </w:tcPr>
          <w:p w14:paraId="6099452D"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Унапређење алата и методологије за прикупљање података релевантних за праћење енергетског сиромаштва</w:t>
            </w:r>
          </w:p>
        </w:tc>
        <w:tc>
          <w:tcPr>
            <w:tcW w:w="329" w:type="pct"/>
            <w:tcBorders>
              <w:top w:val="nil"/>
              <w:left w:val="nil"/>
              <w:bottom w:val="single" w:sz="4" w:space="0" w:color="auto"/>
              <w:right w:val="single" w:sz="4" w:space="0" w:color="auto"/>
            </w:tcBorders>
            <w:shd w:val="clear" w:color="000000" w:fill="FFFFFF"/>
            <w:vAlign w:val="center"/>
            <w:hideMark/>
          </w:tcPr>
          <w:p w14:paraId="72FFCA4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Инвестиција</w:t>
            </w:r>
          </w:p>
        </w:tc>
        <w:tc>
          <w:tcPr>
            <w:tcW w:w="395" w:type="pct"/>
            <w:tcBorders>
              <w:top w:val="nil"/>
              <w:left w:val="nil"/>
              <w:bottom w:val="single" w:sz="4" w:space="0" w:color="auto"/>
              <w:right w:val="single" w:sz="4" w:space="0" w:color="auto"/>
            </w:tcBorders>
            <w:shd w:val="clear" w:color="auto" w:fill="auto"/>
            <w:vAlign w:val="center"/>
            <w:hideMark/>
          </w:tcPr>
          <w:p w14:paraId="5A00EEF2"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70DBA73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1,50</w:t>
            </w:r>
          </w:p>
        </w:tc>
        <w:tc>
          <w:tcPr>
            <w:tcW w:w="335" w:type="pct"/>
            <w:tcBorders>
              <w:top w:val="nil"/>
              <w:left w:val="nil"/>
              <w:bottom w:val="single" w:sz="4" w:space="0" w:color="auto"/>
              <w:right w:val="single" w:sz="4" w:space="0" w:color="auto"/>
            </w:tcBorders>
            <w:shd w:val="clear" w:color="000000" w:fill="E2EFDA"/>
            <w:vAlign w:val="center"/>
            <w:hideMark/>
          </w:tcPr>
          <w:p w14:paraId="35AB8329"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1,50</w:t>
            </w:r>
          </w:p>
        </w:tc>
        <w:tc>
          <w:tcPr>
            <w:tcW w:w="347" w:type="pct"/>
            <w:tcBorders>
              <w:top w:val="nil"/>
              <w:left w:val="nil"/>
              <w:bottom w:val="single" w:sz="4" w:space="0" w:color="auto"/>
              <w:right w:val="single" w:sz="4" w:space="0" w:color="auto"/>
            </w:tcBorders>
            <w:shd w:val="clear" w:color="000000" w:fill="ED7D31"/>
            <w:vAlign w:val="center"/>
            <w:hideMark/>
          </w:tcPr>
          <w:p w14:paraId="0FD39822"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374" w:type="pct"/>
            <w:tcBorders>
              <w:top w:val="nil"/>
              <w:left w:val="nil"/>
              <w:bottom w:val="single" w:sz="4" w:space="0" w:color="auto"/>
              <w:right w:val="single" w:sz="4" w:space="0" w:color="auto"/>
            </w:tcBorders>
            <w:shd w:val="clear" w:color="000000" w:fill="ED7D31"/>
            <w:vAlign w:val="center"/>
            <w:hideMark/>
          </w:tcPr>
          <w:p w14:paraId="43801AD5"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78" w:type="pct"/>
            <w:tcBorders>
              <w:top w:val="nil"/>
              <w:left w:val="nil"/>
              <w:bottom w:val="single" w:sz="4" w:space="0" w:color="auto"/>
              <w:right w:val="single" w:sz="4" w:space="0" w:color="auto"/>
            </w:tcBorders>
            <w:shd w:val="clear" w:color="000000" w:fill="E2EFDA"/>
            <w:vAlign w:val="center"/>
            <w:hideMark/>
          </w:tcPr>
          <w:p w14:paraId="249225F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8" w:type="pct"/>
            <w:tcBorders>
              <w:top w:val="nil"/>
              <w:left w:val="nil"/>
              <w:bottom w:val="single" w:sz="4" w:space="0" w:color="auto"/>
              <w:right w:val="single" w:sz="4" w:space="0" w:color="auto"/>
            </w:tcBorders>
            <w:shd w:val="clear" w:color="000000" w:fill="E2EFDA"/>
            <w:vAlign w:val="center"/>
            <w:hideMark/>
          </w:tcPr>
          <w:p w14:paraId="15C80EC3"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1,50</w:t>
            </w:r>
          </w:p>
        </w:tc>
      </w:tr>
      <w:tr w:rsidR="0022244A" w:rsidRPr="00975EE5" w14:paraId="4EE5A6DD"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74C4010E"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1E696C8D"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МП_УЕТ37</w:t>
            </w:r>
          </w:p>
        </w:tc>
        <w:tc>
          <w:tcPr>
            <w:tcW w:w="1368" w:type="pct"/>
            <w:tcBorders>
              <w:top w:val="nil"/>
              <w:left w:val="nil"/>
              <w:bottom w:val="single" w:sz="4" w:space="0" w:color="auto"/>
              <w:right w:val="single" w:sz="4" w:space="0" w:color="auto"/>
            </w:tcBorders>
            <w:shd w:val="clear" w:color="auto" w:fill="auto"/>
            <w:vAlign w:val="center"/>
            <w:hideMark/>
          </w:tcPr>
          <w:p w14:paraId="4D761771" w14:textId="77777777" w:rsidR="0022244A" w:rsidRPr="00975EE5" w:rsidRDefault="0022244A" w:rsidP="00457A0B">
            <w:pPr>
              <w:spacing w:after="0" w:line="240" w:lineRule="auto"/>
              <w:rPr>
                <w:rFonts w:ascii="Calibri" w:eastAsia="Times New Roman" w:hAnsi="Calibri" w:cs="Calibri"/>
                <w:color w:val="000000"/>
                <w:sz w:val="14"/>
                <w:szCs w:val="14"/>
              </w:rPr>
            </w:pPr>
            <w:r w:rsidRPr="00975EE5">
              <w:rPr>
                <w:rFonts w:ascii="Calibri" w:eastAsia="Times New Roman" w:hAnsi="Calibri" w:cs="Calibri"/>
                <w:color w:val="000000"/>
                <w:sz w:val="14"/>
                <w:szCs w:val="14"/>
              </w:rPr>
              <w:t>Мере подизања свести и информисања у циљу ублажавања енергетског сиромаштва</w:t>
            </w:r>
          </w:p>
        </w:tc>
        <w:tc>
          <w:tcPr>
            <w:tcW w:w="329" w:type="pct"/>
            <w:tcBorders>
              <w:top w:val="nil"/>
              <w:left w:val="nil"/>
              <w:bottom w:val="single" w:sz="4" w:space="0" w:color="auto"/>
              <w:right w:val="single" w:sz="4" w:space="0" w:color="auto"/>
            </w:tcBorders>
            <w:shd w:val="clear" w:color="auto" w:fill="auto"/>
            <w:vAlign w:val="center"/>
            <w:hideMark/>
          </w:tcPr>
          <w:p w14:paraId="466E290F"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Реформа</w:t>
            </w:r>
          </w:p>
        </w:tc>
        <w:tc>
          <w:tcPr>
            <w:tcW w:w="395" w:type="pct"/>
            <w:tcBorders>
              <w:top w:val="nil"/>
              <w:left w:val="nil"/>
              <w:bottom w:val="single" w:sz="4" w:space="0" w:color="auto"/>
              <w:right w:val="single" w:sz="4" w:space="0" w:color="auto"/>
            </w:tcBorders>
            <w:shd w:val="clear" w:color="auto" w:fill="auto"/>
            <w:vAlign w:val="center"/>
            <w:hideMark/>
          </w:tcPr>
          <w:p w14:paraId="0B2A0A94"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66E49958"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0,70</w:t>
            </w:r>
          </w:p>
        </w:tc>
        <w:tc>
          <w:tcPr>
            <w:tcW w:w="335" w:type="pct"/>
            <w:tcBorders>
              <w:top w:val="nil"/>
              <w:left w:val="nil"/>
              <w:bottom w:val="single" w:sz="4" w:space="0" w:color="auto"/>
              <w:right w:val="single" w:sz="4" w:space="0" w:color="auto"/>
            </w:tcBorders>
            <w:shd w:val="clear" w:color="000000" w:fill="E2EFDA"/>
            <w:vAlign w:val="center"/>
            <w:hideMark/>
          </w:tcPr>
          <w:p w14:paraId="6ADBAD0B"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0,35</w:t>
            </w:r>
          </w:p>
        </w:tc>
        <w:tc>
          <w:tcPr>
            <w:tcW w:w="347" w:type="pct"/>
            <w:tcBorders>
              <w:top w:val="nil"/>
              <w:left w:val="nil"/>
              <w:bottom w:val="single" w:sz="4" w:space="0" w:color="auto"/>
              <w:right w:val="single" w:sz="4" w:space="0" w:color="auto"/>
            </w:tcBorders>
            <w:shd w:val="clear" w:color="000000" w:fill="E2EFDA"/>
            <w:vAlign w:val="center"/>
            <w:hideMark/>
          </w:tcPr>
          <w:p w14:paraId="088A644E"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0,35</w:t>
            </w:r>
          </w:p>
        </w:tc>
        <w:tc>
          <w:tcPr>
            <w:tcW w:w="374" w:type="pct"/>
            <w:tcBorders>
              <w:top w:val="nil"/>
              <w:left w:val="nil"/>
              <w:bottom w:val="single" w:sz="4" w:space="0" w:color="auto"/>
              <w:right w:val="single" w:sz="4" w:space="0" w:color="auto"/>
            </w:tcBorders>
            <w:shd w:val="clear" w:color="000000" w:fill="ED7D31"/>
            <w:vAlign w:val="center"/>
            <w:hideMark/>
          </w:tcPr>
          <w:p w14:paraId="4036A7A1"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WAM</w:t>
            </w:r>
          </w:p>
        </w:tc>
        <w:tc>
          <w:tcPr>
            <w:tcW w:w="378" w:type="pct"/>
            <w:tcBorders>
              <w:top w:val="nil"/>
              <w:left w:val="nil"/>
              <w:bottom w:val="single" w:sz="4" w:space="0" w:color="auto"/>
              <w:right w:val="single" w:sz="4" w:space="0" w:color="auto"/>
            </w:tcBorders>
            <w:shd w:val="clear" w:color="000000" w:fill="E2EFDA"/>
            <w:vAlign w:val="center"/>
            <w:hideMark/>
          </w:tcPr>
          <w:p w14:paraId="0BC9942C"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0,00</w:t>
            </w:r>
          </w:p>
        </w:tc>
        <w:tc>
          <w:tcPr>
            <w:tcW w:w="378" w:type="pct"/>
            <w:tcBorders>
              <w:top w:val="nil"/>
              <w:left w:val="nil"/>
              <w:bottom w:val="single" w:sz="4" w:space="0" w:color="auto"/>
              <w:right w:val="single" w:sz="4" w:space="0" w:color="auto"/>
            </w:tcBorders>
            <w:shd w:val="clear" w:color="000000" w:fill="E2EFDA"/>
            <w:vAlign w:val="center"/>
            <w:hideMark/>
          </w:tcPr>
          <w:p w14:paraId="4F4616CD" w14:textId="77777777" w:rsidR="0022244A" w:rsidRPr="00975EE5" w:rsidRDefault="0022244A" w:rsidP="00457A0B">
            <w:pPr>
              <w:spacing w:after="0" w:line="240" w:lineRule="auto"/>
              <w:jc w:val="center"/>
              <w:rPr>
                <w:rFonts w:ascii="Calibri" w:eastAsia="Times New Roman" w:hAnsi="Calibri" w:cs="Calibri"/>
                <w:color w:val="000000"/>
                <w:sz w:val="14"/>
                <w:szCs w:val="14"/>
              </w:rPr>
            </w:pPr>
            <w:r w:rsidRPr="00975EE5">
              <w:rPr>
                <w:rFonts w:ascii="Calibri" w:eastAsia="Times New Roman" w:hAnsi="Calibri" w:cs="Calibri"/>
                <w:color w:val="000000"/>
                <w:sz w:val="14"/>
                <w:szCs w:val="14"/>
              </w:rPr>
              <w:t>0,70</w:t>
            </w:r>
          </w:p>
        </w:tc>
      </w:tr>
      <w:tr w:rsidR="0022244A" w:rsidRPr="00975EE5" w14:paraId="0BF44CDB" w14:textId="77777777" w:rsidTr="00565B02">
        <w:trPr>
          <w:trHeight w:val="20"/>
        </w:trPr>
        <w:tc>
          <w:tcPr>
            <w:tcW w:w="365" w:type="pct"/>
            <w:vMerge/>
            <w:tcBorders>
              <w:top w:val="nil"/>
              <w:left w:val="single" w:sz="4" w:space="0" w:color="auto"/>
              <w:bottom w:val="single" w:sz="4" w:space="0" w:color="auto"/>
              <w:right w:val="single" w:sz="4" w:space="0" w:color="auto"/>
            </w:tcBorders>
            <w:vAlign w:val="center"/>
            <w:hideMark/>
          </w:tcPr>
          <w:p w14:paraId="5B3F57CE" w14:textId="77777777" w:rsidR="0022244A" w:rsidRPr="00975EE5" w:rsidRDefault="0022244A" w:rsidP="00457A0B">
            <w:pPr>
              <w:spacing w:after="0" w:line="240" w:lineRule="auto"/>
              <w:rPr>
                <w:rFonts w:ascii="Calibri" w:eastAsia="Times New Roman" w:hAnsi="Calibri" w:cs="Calibri"/>
                <w:b/>
                <w:bCs/>
                <w:color w:val="000000"/>
                <w:sz w:val="14"/>
                <w:szCs w:val="14"/>
              </w:rPr>
            </w:pPr>
          </w:p>
        </w:tc>
        <w:tc>
          <w:tcPr>
            <w:tcW w:w="303" w:type="pct"/>
            <w:tcBorders>
              <w:top w:val="nil"/>
              <w:left w:val="nil"/>
              <w:bottom w:val="single" w:sz="4" w:space="0" w:color="auto"/>
              <w:right w:val="single" w:sz="4" w:space="0" w:color="auto"/>
            </w:tcBorders>
            <w:shd w:val="clear" w:color="auto" w:fill="auto"/>
            <w:vAlign w:val="center"/>
            <w:hideMark/>
          </w:tcPr>
          <w:p w14:paraId="28186CC7" w14:textId="77777777" w:rsidR="0022244A" w:rsidRPr="00975EE5" w:rsidRDefault="0022244A" w:rsidP="00457A0B">
            <w:pPr>
              <w:spacing w:after="0" w:line="240" w:lineRule="auto"/>
              <w:rPr>
                <w:rFonts w:ascii="Calibri" w:eastAsia="Times New Roman" w:hAnsi="Calibri" w:cs="Calibri"/>
                <w:b/>
                <w:bCs/>
                <w:color w:val="000000"/>
                <w:sz w:val="14"/>
                <w:szCs w:val="14"/>
              </w:rPr>
            </w:pPr>
            <w:r w:rsidRPr="00975EE5">
              <w:rPr>
                <w:rFonts w:ascii="Calibri" w:eastAsia="Times New Roman" w:hAnsi="Calibri" w:cs="Calibri"/>
                <w:b/>
                <w:bCs/>
                <w:color w:val="000000"/>
                <w:sz w:val="14"/>
                <w:szCs w:val="14"/>
              </w:rPr>
              <w:t> </w:t>
            </w:r>
          </w:p>
        </w:tc>
        <w:tc>
          <w:tcPr>
            <w:tcW w:w="1368" w:type="pct"/>
            <w:tcBorders>
              <w:top w:val="nil"/>
              <w:left w:val="nil"/>
              <w:bottom w:val="single" w:sz="4" w:space="0" w:color="auto"/>
              <w:right w:val="single" w:sz="4" w:space="0" w:color="auto"/>
            </w:tcBorders>
            <w:shd w:val="clear" w:color="auto" w:fill="auto"/>
            <w:vAlign w:val="center"/>
            <w:hideMark/>
          </w:tcPr>
          <w:p w14:paraId="4C11DA32" w14:textId="77777777" w:rsidR="0022244A" w:rsidRPr="00565B02" w:rsidRDefault="0022244A" w:rsidP="00457A0B">
            <w:pPr>
              <w:spacing w:after="0" w:line="240" w:lineRule="auto"/>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УКУПНО ЗА ИНТЕГРАЦИЈУ ЕНЕРГЕТСКИХ ТРЖИШТА</w:t>
            </w:r>
          </w:p>
        </w:tc>
        <w:tc>
          <w:tcPr>
            <w:tcW w:w="329" w:type="pct"/>
            <w:tcBorders>
              <w:top w:val="nil"/>
              <w:left w:val="nil"/>
              <w:bottom w:val="single" w:sz="4" w:space="0" w:color="auto"/>
              <w:right w:val="single" w:sz="4" w:space="0" w:color="auto"/>
            </w:tcBorders>
            <w:shd w:val="clear" w:color="auto" w:fill="auto"/>
            <w:vAlign w:val="center"/>
            <w:hideMark/>
          </w:tcPr>
          <w:p w14:paraId="63EC8A13" w14:textId="77777777" w:rsidR="0022244A" w:rsidRPr="00565B02" w:rsidRDefault="0022244A" w:rsidP="00457A0B">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 </w:t>
            </w:r>
          </w:p>
        </w:tc>
        <w:tc>
          <w:tcPr>
            <w:tcW w:w="395" w:type="pct"/>
            <w:tcBorders>
              <w:top w:val="nil"/>
              <w:left w:val="nil"/>
              <w:bottom w:val="single" w:sz="4" w:space="0" w:color="auto"/>
              <w:right w:val="single" w:sz="4" w:space="0" w:color="auto"/>
            </w:tcBorders>
            <w:shd w:val="clear" w:color="auto" w:fill="auto"/>
            <w:vAlign w:val="center"/>
            <w:hideMark/>
          </w:tcPr>
          <w:p w14:paraId="0479F9E9" w14:textId="77777777" w:rsidR="0022244A" w:rsidRPr="00565B02" w:rsidRDefault="0022244A" w:rsidP="00457A0B">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 </w:t>
            </w:r>
          </w:p>
        </w:tc>
        <w:tc>
          <w:tcPr>
            <w:tcW w:w="428" w:type="pct"/>
            <w:tcBorders>
              <w:top w:val="nil"/>
              <w:left w:val="nil"/>
              <w:bottom w:val="single" w:sz="4" w:space="0" w:color="auto"/>
              <w:right w:val="single" w:sz="4" w:space="0" w:color="auto"/>
            </w:tcBorders>
            <w:shd w:val="clear" w:color="000000" w:fill="E2EFDA"/>
            <w:vAlign w:val="center"/>
            <w:hideMark/>
          </w:tcPr>
          <w:p w14:paraId="56750E8C" w14:textId="77777777" w:rsidR="0022244A" w:rsidRPr="00565B02" w:rsidRDefault="0022244A" w:rsidP="00457A0B">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1,19</w:t>
            </w:r>
          </w:p>
        </w:tc>
        <w:tc>
          <w:tcPr>
            <w:tcW w:w="335" w:type="pct"/>
            <w:tcBorders>
              <w:top w:val="nil"/>
              <w:left w:val="nil"/>
              <w:bottom w:val="single" w:sz="4" w:space="0" w:color="auto"/>
              <w:right w:val="single" w:sz="4" w:space="0" w:color="auto"/>
            </w:tcBorders>
            <w:shd w:val="clear" w:color="000000" w:fill="E2EFDA"/>
            <w:vAlign w:val="center"/>
            <w:hideMark/>
          </w:tcPr>
          <w:p w14:paraId="63BC05D2" w14:textId="77777777" w:rsidR="0022244A" w:rsidRPr="00565B02" w:rsidRDefault="0022244A" w:rsidP="00457A0B">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0,18</w:t>
            </w:r>
          </w:p>
        </w:tc>
        <w:tc>
          <w:tcPr>
            <w:tcW w:w="347" w:type="pct"/>
            <w:tcBorders>
              <w:top w:val="nil"/>
              <w:left w:val="nil"/>
              <w:bottom w:val="single" w:sz="4" w:space="0" w:color="auto"/>
              <w:right w:val="single" w:sz="4" w:space="0" w:color="auto"/>
            </w:tcBorders>
            <w:shd w:val="clear" w:color="000000" w:fill="E2EFDA"/>
            <w:vAlign w:val="center"/>
            <w:hideMark/>
          </w:tcPr>
          <w:p w14:paraId="3F3837E2" w14:textId="77777777" w:rsidR="0022244A" w:rsidRPr="00565B02" w:rsidRDefault="0022244A" w:rsidP="00457A0B">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1,01</w:t>
            </w:r>
          </w:p>
        </w:tc>
        <w:tc>
          <w:tcPr>
            <w:tcW w:w="374" w:type="pct"/>
            <w:tcBorders>
              <w:top w:val="nil"/>
              <w:left w:val="nil"/>
              <w:bottom w:val="single" w:sz="4" w:space="0" w:color="auto"/>
              <w:right w:val="single" w:sz="4" w:space="0" w:color="auto"/>
            </w:tcBorders>
            <w:shd w:val="clear" w:color="000000" w:fill="E2EFDA"/>
            <w:vAlign w:val="center"/>
            <w:hideMark/>
          </w:tcPr>
          <w:p w14:paraId="6AC4B6D6" w14:textId="77777777" w:rsidR="0022244A" w:rsidRPr="00565B02" w:rsidRDefault="0022244A" w:rsidP="00457A0B">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 </w:t>
            </w:r>
          </w:p>
        </w:tc>
        <w:tc>
          <w:tcPr>
            <w:tcW w:w="378" w:type="pct"/>
            <w:tcBorders>
              <w:top w:val="nil"/>
              <w:left w:val="nil"/>
              <w:bottom w:val="single" w:sz="4" w:space="0" w:color="auto"/>
              <w:right w:val="single" w:sz="4" w:space="0" w:color="auto"/>
            </w:tcBorders>
            <w:shd w:val="clear" w:color="000000" w:fill="E2EFDA"/>
            <w:vAlign w:val="center"/>
            <w:hideMark/>
          </w:tcPr>
          <w:p w14:paraId="17A71280" w14:textId="77777777" w:rsidR="0022244A" w:rsidRPr="00565B02" w:rsidRDefault="0022244A" w:rsidP="00457A0B">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1,19</w:t>
            </w:r>
          </w:p>
        </w:tc>
        <w:tc>
          <w:tcPr>
            <w:tcW w:w="378" w:type="pct"/>
            <w:tcBorders>
              <w:top w:val="nil"/>
              <w:left w:val="nil"/>
              <w:bottom w:val="single" w:sz="4" w:space="0" w:color="auto"/>
              <w:right w:val="single" w:sz="4" w:space="0" w:color="auto"/>
            </w:tcBorders>
            <w:shd w:val="clear" w:color="000000" w:fill="E2EFDA"/>
            <w:vAlign w:val="center"/>
            <w:hideMark/>
          </w:tcPr>
          <w:p w14:paraId="7F7D7B68" w14:textId="77777777" w:rsidR="0022244A" w:rsidRPr="00565B02" w:rsidRDefault="0022244A" w:rsidP="00457A0B">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0,00</w:t>
            </w:r>
          </w:p>
        </w:tc>
      </w:tr>
    </w:tbl>
    <w:p w14:paraId="37917A5E" w14:textId="589CD642" w:rsidR="00AA4B61" w:rsidRDefault="00AA4B61" w:rsidP="00565B02">
      <w:pPr>
        <w:pStyle w:val="Caption"/>
        <w:keepNext/>
        <w:spacing w:before="240"/>
      </w:pPr>
      <w:bookmarkStart w:id="478" w:name="_Toc153901486"/>
      <w:r>
        <w:t xml:space="preserve">Табела </w:t>
      </w:r>
      <w:r w:rsidR="00873C40">
        <w:fldChar w:fldCharType="begin"/>
      </w:r>
      <w:r w:rsidR="00873C40">
        <w:instrText xml:space="preserve"> STYLEREF 1 \s </w:instrText>
      </w:r>
      <w:r w:rsidR="00873C40">
        <w:fldChar w:fldCharType="separate"/>
      </w:r>
      <w:r w:rsidR="00873C40">
        <w:rPr>
          <w:noProof/>
        </w:rPr>
        <w:t>I</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5</w:t>
      </w:r>
      <w:r w:rsidR="00873C40">
        <w:fldChar w:fldCharType="end"/>
      </w:r>
      <w:r>
        <w:t xml:space="preserve">: </w:t>
      </w:r>
      <w:r w:rsidRPr="00AA4B61">
        <w:t>Мере политике димензије</w:t>
      </w:r>
      <w:r>
        <w:t xml:space="preserve"> и</w:t>
      </w:r>
      <w:r w:rsidRPr="00AA4B61">
        <w:t>страживање, иновације и конкурентност</w:t>
      </w:r>
      <w:bookmarkEnd w:id="478"/>
    </w:p>
    <w:tbl>
      <w:tblPr>
        <w:tblW w:w="5000" w:type="pct"/>
        <w:tblLook w:val="04A0" w:firstRow="1" w:lastRow="0" w:firstColumn="1" w:lastColumn="0" w:noHBand="0" w:noVBand="1"/>
      </w:tblPr>
      <w:tblGrid>
        <w:gridCol w:w="1115"/>
        <w:gridCol w:w="891"/>
        <w:gridCol w:w="3963"/>
        <w:gridCol w:w="959"/>
        <w:gridCol w:w="1147"/>
        <w:gridCol w:w="1246"/>
        <w:gridCol w:w="973"/>
        <w:gridCol w:w="1005"/>
        <w:gridCol w:w="1080"/>
        <w:gridCol w:w="1092"/>
        <w:gridCol w:w="1089"/>
      </w:tblGrid>
      <w:tr w:rsidR="00AA4B61" w:rsidRPr="0022244A" w14:paraId="552BF59F" w14:textId="77777777" w:rsidTr="00AA4B61">
        <w:trPr>
          <w:trHeight w:val="20"/>
        </w:trPr>
        <w:tc>
          <w:tcPr>
            <w:tcW w:w="383"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61D0B040" w14:textId="77777777" w:rsidR="0022244A" w:rsidRPr="00565B02" w:rsidRDefault="0022244A" w:rsidP="0022244A">
            <w:pPr>
              <w:spacing w:after="0" w:line="240" w:lineRule="auto"/>
              <w:jc w:val="center"/>
              <w:rPr>
                <w:rFonts w:ascii="Calibri" w:eastAsia="Times New Roman" w:hAnsi="Calibri" w:cs="Calibri"/>
                <w:b/>
                <w:bCs/>
                <w:color w:val="000000"/>
                <w:sz w:val="14"/>
                <w:szCs w:val="14"/>
              </w:rPr>
            </w:pPr>
            <w:r w:rsidRPr="00565B02">
              <w:rPr>
                <w:rFonts w:ascii="Calibri" w:eastAsia="Times New Roman" w:hAnsi="Calibri" w:cs="Calibri"/>
                <w:b/>
                <w:bCs/>
                <w:color w:val="000000"/>
                <w:sz w:val="14"/>
                <w:szCs w:val="14"/>
              </w:rPr>
              <w:t>Димензија</w:t>
            </w:r>
          </w:p>
        </w:tc>
        <w:tc>
          <w:tcPr>
            <w:tcW w:w="306" w:type="pct"/>
            <w:tcBorders>
              <w:top w:val="single" w:sz="4" w:space="0" w:color="auto"/>
              <w:left w:val="nil"/>
              <w:bottom w:val="single" w:sz="4" w:space="0" w:color="auto"/>
              <w:right w:val="single" w:sz="4" w:space="0" w:color="auto"/>
            </w:tcBorders>
            <w:shd w:val="clear" w:color="000000" w:fill="BFBFBF"/>
            <w:vAlign w:val="center"/>
            <w:hideMark/>
          </w:tcPr>
          <w:p w14:paraId="1E066656" w14:textId="77777777" w:rsidR="0022244A" w:rsidRPr="00565B02" w:rsidRDefault="0022244A" w:rsidP="0022244A">
            <w:pPr>
              <w:spacing w:after="0" w:line="240" w:lineRule="auto"/>
              <w:jc w:val="center"/>
              <w:rPr>
                <w:rFonts w:ascii="Calibri" w:eastAsia="Times New Roman" w:hAnsi="Calibri" w:cs="Calibri"/>
                <w:b/>
                <w:bCs/>
                <w:color w:val="000000"/>
                <w:sz w:val="14"/>
                <w:szCs w:val="14"/>
              </w:rPr>
            </w:pPr>
            <w:r w:rsidRPr="00565B02">
              <w:rPr>
                <w:rFonts w:ascii="Calibri" w:eastAsia="Times New Roman" w:hAnsi="Calibri" w:cs="Calibri"/>
                <w:b/>
                <w:bCs/>
                <w:color w:val="000000"/>
                <w:sz w:val="14"/>
                <w:szCs w:val="14"/>
              </w:rPr>
              <w:t>Број МП</w:t>
            </w:r>
          </w:p>
        </w:tc>
        <w:tc>
          <w:tcPr>
            <w:tcW w:w="1361" w:type="pct"/>
            <w:tcBorders>
              <w:top w:val="single" w:sz="4" w:space="0" w:color="auto"/>
              <w:left w:val="nil"/>
              <w:bottom w:val="single" w:sz="4" w:space="0" w:color="auto"/>
              <w:right w:val="single" w:sz="4" w:space="0" w:color="auto"/>
            </w:tcBorders>
            <w:shd w:val="clear" w:color="000000" w:fill="BFBFBF"/>
            <w:vAlign w:val="center"/>
            <w:hideMark/>
          </w:tcPr>
          <w:p w14:paraId="7690B7F9" w14:textId="77777777" w:rsidR="0022244A" w:rsidRPr="00565B02" w:rsidRDefault="0022244A" w:rsidP="0022244A">
            <w:pPr>
              <w:spacing w:after="0" w:line="240" w:lineRule="auto"/>
              <w:jc w:val="center"/>
              <w:rPr>
                <w:rFonts w:ascii="Calibri" w:eastAsia="Times New Roman" w:hAnsi="Calibri" w:cs="Calibri"/>
                <w:b/>
                <w:bCs/>
                <w:color w:val="000000"/>
                <w:sz w:val="14"/>
                <w:szCs w:val="14"/>
              </w:rPr>
            </w:pPr>
            <w:r w:rsidRPr="00565B02">
              <w:rPr>
                <w:rFonts w:ascii="Calibri" w:eastAsia="Times New Roman" w:hAnsi="Calibri" w:cs="Calibri"/>
                <w:b/>
                <w:bCs/>
                <w:color w:val="000000"/>
                <w:sz w:val="14"/>
                <w:szCs w:val="14"/>
              </w:rPr>
              <w:t>Назив мере политике</w:t>
            </w:r>
          </w:p>
        </w:tc>
        <w:tc>
          <w:tcPr>
            <w:tcW w:w="329" w:type="pct"/>
            <w:tcBorders>
              <w:top w:val="single" w:sz="4" w:space="0" w:color="auto"/>
              <w:left w:val="nil"/>
              <w:bottom w:val="single" w:sz="4" w:space="0" w:color="auto"/>
              <w:right w:val="single" w:sz="4" w:space="0" w:color="auto"/>
            </w:tcBorders>
            <w:shd w:val="clear" w:color="000000" w:fill="BFBFBF"/>
            <w:vAlign w:val="center"/>
            <w:hideMark/>
          </w:tcPr>
          <w:p w14:paraId="28EEB748" w14:textId="77777777" w:rsidR="0022244A" w:rsidRPr="00565B02" w:rsidRDefault="0022244A" w:rsidP="0022244A">
            <w:pPr>
              <w:spacing w:after="0" w:line="240" w:lineRule="auto"/>
              <w:jc w:val="center"/>
              <w:rPr>
                <w:rFonts w:ascii="Calibri" w:eastAsia="Times New Roman" w:hAnsi="Calibri" w:cs="Calibri"/>
                <w:b/>
                <w:bCs/>
                <w:color w:val="000000"/>
                <w:sz w:val="14"/>
                <w:szCs w:val="14"/>
              </w:rPr>
            </w:pPr>
            <w:r w:rsidRPr="00565B02">
              <w:rPr>
                <w:rFonts w:ascii="Calibri" w:eastAsia="Times New Roman" w:hAnsi="Calibri" w:cs="Calibri"/>
                <w:b/>
                <w:bCs/>
                <w:color w:val="000000"/>
                <w:sz w:val="14"/>
                <w:szCs w:val="14"/>
              </w:rPr>
              <w:t>Тип мере</w:t>
            </w:r>
          </w:p>
        </w:tc>
        <w:tc>
          <w:tcPr>
            <w:tcW w:w="394" w:type="pct"/>
            <w:tcBorders>
              <w:top w:val="single" w:sz="4" w:space="0" w:color="auto"/>
              <w:left w:val="nil"/>
              <w:bottom w:val="single" w:sz="4" w:space="0" w:color="auto"/>
              <w:right w:val="single" w:sz="4" w:space="0" w:color="auto"/>
            </w:tcBorders>
            <w:shd w:val="clear" w:color="000000" w:fill="BFBFBF"/>
            <w:vAlign w:val="center"/>
            <w:hideMark/>
          </w:tcPr>
          <w:p w14:paraId="68FA0751" w14:textId="77777777" w:rsidR="0022244A" w:rsidRPr="00565B02" w:rsidRDefault="0022244A" w:rsidP="0022244A">
            <w:pPr>
              <w:spacing w:after="0" w:line="240" w:lineRule="auto"/>
              <w:jc w:val="center"/>
              <w:rPr>
                <w:rFonts w:ascii="Calibri" w:eastAsia="Times New Roman" w:hAnsi="Calibri" w:cs="Calibri"/>
                <w:b/>
                <w:bCs/>
                <w:color w:val="000000"/>
                <w:sz w:val="14"/>
                <w:szCs w:val="14"/>
              </w:rPr>
            </w:pPr>
            <w:r w:rsidRPr="00565B02">
              <w:rPr>
                <w:rFonts w:ascii="Calibri" w:eastAsia="Times New Roman" w:hAnsi="Calibri" w:cs="Calibri"/>
                <w:b/>
                <w:bCs/>
                <w:color w:val="000000"/>
                <w:sz w:val="14"/>
                <w:szCs w:val="14"/>
              </w:rPr>
              <w:t>Синергетски ефекти</w:t>
            </w:r>
          </w:p>
        </w:tc>
        <w:tc>
          <w:tcPr>
            <w:tcW w:w="428" w:type="pct"/>
            <w:tcBorders>
              <w:top w:val="single" w:sz="4" w:space="0" w:color="auto"/>
              <w:left w:val="nil"/>
              <w:bottom w:val="single" w:sz="4" w:space="0" w:color="auto"/>
              <w:right w:val="single" w:sz="4" w:space="0" w:color="auto"/>
            </w:tcBorders>
            <w:shd w:val="clear" w:color="000000" w:fill="BFBFBF"/>
            <w:vAlign w:val="center"/>
            <w:hideMark/>
          </w:tcPr>
          <w:p w14:paraId="5AF7972D" w14:textId="77777777" w:rsidR="0022244A" w:rsidRPr="00565B02" w:rsidRDefault="0022244A" w:rsidP="0022244A">
            <w:pPr>
              <w:spacing w:after="0" w:line="240" w:lineRule="auto"/>
              <w:jc w:val="center"/>
              <w:rPr>
                <w:rFonts w:ascii="Calibri" w:eastAsia="Times New Roman" w:hAnsi="Calibri" w:cs="Calibri"/>
                <w:b/>
                <w:bCs/>
                <w:color w:val="000000"/>
                <w:sz w:val="14"/>
                <w:szCs w:val="14"/>
              </w:rPr>
            </w:pPr>
            <w:r w:rsidRPr="00565B02">
              <w:rPr>
                <w:rFonts w:ascii="Calibri" w:eastAsia="Times New Roman" w:hAnsi="Calibri" w:cs="Calibri"/>
                <w:b/>
                <w:bCs/>
                <w:color w:val="000000"/>
                <w:sz w:val="14"/>
                <w:szCs w:val="14"/>
              </w:rPr>
              <w:t>Трошкови имплементације (милион €)</w:t>
            </w:r>
          </w:p>
        </w:tc>
        <w:tc>
          <w:tcPr>
            <w:tcW w:w="334" w:type="pct"/>
            <w:tcBorders>
              <w:top w:val="single" w:sz="4" w:space="0" w:color="auto"/>
              <w:left w:val="nil"/>
              <w:bottom w:val="single" w:sz="4" w:space="0" w:color="auto"/>
              <w:right w:val="single" w:sz="4" w:space="0" w:color="auto"/>
            </w:tcBorders>
            <w:shd w:val="clear" w:color="000000" w:fill="BFBFBF"/>
            <w:vAlign w:val="center"/>
            <w:hideMark/>
          </w:tcPr>
          <w:p w14:paraId="676F70A3" w14:textId="77777777" w:rsidR="0022244A" w:rsidRPr="00565B02" w:rsidRDefault="0022244A" w:rsidP="0022244A">
            <w:pPr>
              <w:spacing w:after="0" w:line="240" w:lineRule="auto"/>
              <w:jc w:val="center"/>
              <w:rPr>
                <w:rFonts w:ascii="Calibri" w:eastAsia="Times New Roman" w:hAnsi="Calibri" w:cs="Calibri"/>
                <w:b/>
                <w:bCs/>
                <w:color w:val="000000"/>
                <w:sz w:val="14"/>
                <w:szCs w:val="14"/>
              </w:rPr>
            </w:pPr>
            <w:r w:rsidRPr="00565B02">
              <w:rPr>
                <w:rFonts w:ascii="Calibri" w:eastAsia="Times New Roman" w:hAnsi="Calibri" w:cs="Calibri"/>
                <w:b/>
                <w:bCs/>
                <w:color w:val="000000"/>
                <w:sz w:val="14"/>
                <w:szCs w:val="14"/>
              </w:rPr>
              <w:t>Планирана јавна помоћ (милион €)</w:t>
            </w:r>
          </w:p>
        </w:tc>
        <w:tc>
          <w:tcPr>
            <w:tcW w:w="345" w:type="pct"/>
            <w:tcBorders>
              <w:top w:val="single" w:sz="4" w:space="0" w:color="auto"/>
              <w:left w:val="nil"/>
              <w:bottom w:val="single" w:sz="4" w:space="0" w:color="auto"/>
              <w:right w:val="single" w:sz="4" w:space="0" w:color="auto"/>
            </w:tcBorders>
            <w:shd w:val="clear" w:color="000000" w:fill="BFBFBF"/>
            <w:vAlign w:val="center"/>
            <w:hideMark/>
          </w:tcPr>
          <w:p w14:paraId="39410E82" w14:textId="77777777" w:rsidR="0022244A" w:rsidRPr="00565B02" w:rsidRDefault="0022244A" w:rsidP="0022244A">
            <w:pPr>
              <w:spacing w:after="0" w:line="240" w:lineRule="auto"/>
              <w:jc w:val="center"/>
              <w:rPr>
                <w:rFonts w:ascii="Calibri" w:eastAsia="Times New Roman" w:hAnsi="Calibri" w:cs="Calibri"/>
                <w:b/>
                <w:bCs/>
                <w:color w:val="000000"/>
                <w:sz w:val="14"/>
                <w:szCs w:val="14"/>
              </w:rPr>
            </w:pPr>
            <w:r w:rsidRPr="00565B02">
              <w:rPr>
                <w:rFonts w:ascii="Calibri" w:eastAsia="Times New Roman" w:hAnsi="Calibri" w:cs="Calibri"/>
                <w:b/>
                <w:bCs/>
                <w:color w:val="000000"/>
                <w:sz w:val="14"/>
                <w:szCs w:val="14"/>
              </w:rPr>
              <w:t>Сопствена средства (милион €)</w:t>
            </w:r>
          </w:p>
        </w:tc>
        <w:tc>
          <w:tcPr>
            <w:tcW w:w="371" w:type="pct"/>
            <w:tcBorders>
              <w:top w:val="single" w:sz="4" w:space="0" w:color="auto"/>
              <w:left w:val="nil"/>
              <w:bottom w:val="single" w:sz="4" w:space="0" w:color="auto"/>
              <w:right w:val="single" w:sz="4" w:space="0" w:color="auto"/>
            </w:tcBorders>
            <w:shd w:val="clear" w:color="000000" w:fill="BFBFBF"/>
            <w:vAlign w:val="center"/>
            <w:hideMark/>
          </w:tcPr>
          <w:p w14:paraId="0FD65D48" w14:textId="77777777" w:rsidR="0022244A" w:rsidRPr="00565B02" w:rsidRDefault="0022244A" w:rsidP="0022244A">
            <w:pPr>
              <w:spacing w:after="0" w:line="240" w:lineRule="auto"/>
              <w:jc w:val="center"/>
              <w:rPr>
                <w:rFonts w:ascii="Calibri" w:eastAsia="Times New Roman" w:hAnsi="Calibri" w:cs="Calibri"/>
                <w:b/>
                <w:bCs/>
                <w:color w:val="000000"/>
                <w:sz w:val="14"/>
                <w:szCs w:val="14"/>
              </w:rPr>
            </w:pPr>
            <w:r w:rsidRPr="00565B02">
              <w:rPr>
                <w:rFonts w:ascii="Calibri" w:eastAsia="Times New Roman" w:hAnsi="Calibri" w:cs="Calibri"/>
                <w:b/>
                <w:bCs/>
                <w:color w:val="000000"/>
                <w:sz w:val="14"/>
                <w:szCs w:val="14"/>
              </w:rPr>
              <w:t>Сценарио пројекција у који је МП укључена</w:t>
            </w:r>
          </w:p>
        </w:tc>
        <w:tc>
          <w:tcPr>
            <w:tcW w:w="375" w:type="pct"/>
            <w:tcBorders>
              <w:top w:val="single" w:sz="4" w:space="0" w:color="auto"/>
              <w:left w:val="nil"/>
              <w:bottom w:val="single" w:sz="4" w:space="0" w:color="auto"/>
              <w:right w:val="single" w:sz="4" w:space="0" w:color="auto"/>
            </w:tcBorders>
            <w:shd w:val="clear" w:color="000000" w:fill="BFBFBF"/>
            <w:vAlign w:val="center"/>
            <w:hideMark/>
          </w:tcPr>
          <w:p w14:paraId="2DC554A5" w14:textId="77777777" w:rsidR="0022244A" w:rsidRPr="00565B02" w:rsidRDefault="0022244A" w:rsidP="0022244A">
            <w:pPr>
              <w:spacing w:after="0" w:line="240" w:lineRule="auto"/>
              <w:jc w:val="center"/>
              <w:rPr>
                <w:rFonts w:ascii="Calibri" w:eastAsia="Times New Roman" w:hAnsi="Calibri" w:cs="Calibri"/>
                <w:b/>
                <w:bCs/>
                <w:color w:val="000000"/>
                <w:sz w:val="14"/>
                <w:szCs w:val="14"/>
              </w:rPr>
            </w:pPr>
            <w:r w:rsidRPr="00565B02">
              <w:rPr>
                <w:rFonts w:ascii="Calibri" w:eastAsia="Times New Roman" w:hAnsi="Calibri" w:cs="Calibri"/>
                <w:b/>
                <w:bCs/>
                <w:color w:val="000000"/>
                <w:sz w:val="14"/>
                <w:szCs w:val="14"/>
              </w:rPr>
              <w:t>CAPEX WEM (милион €)</w:t>
            </w:r>
          </w:p>
        </w:tc>
        <w:tc>
          <w:tcPr>
            <w:tcW w:w="375" w:type="pct"/>
            <w:tcBorders>
              <w:top w:val="single" w:sz="4" w:space="0" w:color="auto"/>
              <w:left w:val="nil"/>
              <w:bottom w:val="single" w:sz="4" w:space="0" w:color="auto"/>
              <w:right w:val="single" w:sz="4" w:space="0" w:color="auto"/>
            </w:tcBorders>
            <w:shd w:val="clear" w:color="000000" w:fill="BFBFBF"/>
            <w:vAlign w:val="center"/>
            <w:hideMark/>
          </w:tcPr>
          <w:p w14:paraId="064D0E58" w14:textId="77777777" w:rsidR="0022244A" w:rsidRPr="00565B02" w:rsidRDefault="0022244A" w:rsidP="0022244A">
            <w:pPr>
              <w:spacing w:after="0" w:line="240" w:lineRule="auto"/>
              <w:jc w:val="center"/>
              <w:rPr>
                <w:rFonts w:ascii="Calibri" w:eastAsia="Times New Roman" w:hAnsi="Calibri" w:cs="Calibri"/>
                <w:b/>
                <w:bCs/>
                <w:color w:val="000000"/>
                <w:sz w:val="14"/>
                <w:szCs w:val="14"/>
              </w:rPr>
            </w:pPr>
            <w:r w:rsidRPr="00565B02">
              <w:rPr>
                <w:rFonts w:ascii="Calibri" w:eastAsia="Times New Roman" w:hAnsi="Calibri" w:cs="Calibri"/>
                <w:b/>
                <w:bCs/>
                <w:color w:val="000000"/>
                <w:sz w:val="14"/>
                <w:szCs w:val="14"/>
              </w:rPr>
              <w:t>CAPEX WAM (милион €)</w:t>
            </w:r>
          </w:p>
        </w:tc>
      </w:tr>
      <w:tr w:rsidR="00AA4B61" w:rsidRPr="0022244A" w14:paraId="164FBE61" w14:textId="77777777" w:rsidTr="00AA4B61">
        <w:trPr>
          <w:trHeight w:val="20"/>
        </w:trPr>
        <w:tc>
          <w:tcPr>
            <w:tcW w:w="383" w:type="pct"/>
            <w:vMerge w:val="restart"/>
            <w:tcBorders>
              <w:top w:val="nil"/>
              <w:left w:val="single" w:sz="4" w:space="0" w:color="auto"/>
              <w:bottom w:val="single" w:sz="4" w:space="0" w:color="auto"/>
              <w:right w:val="single" w:sz="4" w:space="0" w:color="auto"/>
            </w:tcBorders>
            <w:shd w:val="clear" w:color="000000" w:fill="BFBFBF"/>
            <w:vAlign w:val="center"/>
            <w:hideMark/>
          </w:tcPr>
          <w:p w14:paraId="127AC2AF" w14:textId="77777777" w:rsidR="0022244A" w:rsidRPr="00565B02" w:rsidRDefault="0022244A" w:rsidP="0022244A">
            <w:pPr>
              <w:spacing w:after="0" w:line="240" w:lineRule="auto"/>
              <w:jc w:val="center"/>
              <w:rPr>
                <w:rFonts w:ascii="Calibri" w:eastAsia="Times New Roman" w:hAnsi="Calibri" w:cs="Calibri"/>
                <w:b/>
                <w:bCs/>
                <w:color w:val="000000"/>
                <w:sz w:val="14"/>
                <w:szCs w:val="14"/>
              </w:rPr>
            </w:pPr>
            <w:r w:rsidRPr="00565B02">
              <w:rPr>
                <w:rFonts w:ascii="Calibri" w:eastAsia="Times New Roman" w:hAnsi="Calibri" w:cs="Calibri"/>
                <w:b/>
                <w:bCs/>
                <w:color w:val="000000"/>
                <w:sz w:val="14"/>
                <w:szCs w:val="14"/>
              </w:rPr>
              <w:t>Истраживање, иновације и конкурентност</w:t>
            </w:r>
          </w:p>
        </w:tc>
        <w:tc>
          <w:tcPr>
            <w:tcW w:w="306" w:type="pct"/>
            <w:tcBorders>
              <w:top w:val="nil"/>
              <w:left w:val="nil"/>
              <w:bottom w:val="single" w:sz="4" w:space="0" w:color="auto"/>
              <w:right w:val="single" w:sz="4" w:space="0" w:color="auto"/>
            </w:tcBorders>
            <w:shd w:val="clear" w:color="auto" w:fill="auto"/>
            <w:vAlign w:val="center"/>
            <w:hideMark/>
          </w:tcPr>
          <w:p w14:paraId="0A8B78F6"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МП_ИИК1</w:t>
            </w:r>
          </w:p>
        </w:tc>
        <w:tc>
          <w:tcPr>
            <w:tcW w:w="1361" w:type="pct"/>
            <w:tcBorders>
              <w:top w:val="nil"/>
              <w:left w:val="nil"/>
              <w:bottom w:val="single" w:sz="4" w:space="0" w:color="auto"/>
              <w:right w:val="single" w:sz="4" w:space="0" w:color="auto"/>
            </w:tcBorders>
            <w:shd w:val="clear" w:color="auto" w:fill="auto"/>
            <w:vAlign w:val="center"/>
            <w:hideMark/>
          </w:tcPr>
          <w:p w14:paraId="23AC307D"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Унапређење правног оквира за подстицање истраживања и иновација</w:t>
            </w:r>
          </w:p>
        </w:tc>
        <w:tc>
          <w:tcPr>
            <w:tcW w:w="329" w:type="pct"/>
            <w:tcBorders>
              <w:top w:val="nil"/>
              <w:left w:val="nil"/>
              <w:bottom w:val="single" w:sz="4" w:space="0" w:color="auto"/>
              <w:right w:val="single" w:sz="4" w:space="0" w:color="auto"/>
            </w:tcBorders>
            <w:shd w:val="clear" w:color="auto" w:fill="auto"/>
            <w:vAlign w:val="center"/>
            <w:hideMark/>
          </w:tcPr>
          <w:p w14:paraId="1FCCEAF4"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Реформа</w:t>
            </w:r>
          </w:p>
        </w:tc>
        <w:tc>
          <w:tcPr>
            <w:tcW w:w="394" w:type="pct"/>
            <w:tcBorders>
              <w:top w:val="nil"/>
              <w:left w:val="nil"/>
              <w:bottom w:val="single" w:sz="4" w:space="0" w:color="auto"/>
              <w:right w:val="single" w:sz="4" w:space="0" w:color="auto"/>
            </w:tcBorders>
            <w:shd w:val="clear" w:color="auto" w:fill="auto"/>
            <w:vAlign w:val="center"/>
            <w:hideMark/>
          </w:tcPr>
          <w:p w14:paraId="135E4751"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22E2BC81"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0,10</w:t>
            </w:r>
          </w:p>
        </w:tc>
        <w:tc>
          <w:tcPr>
            <w:tcW w:w="334" w:type="pct"/>
            <w:tcBorders>
              <w:top w:val="nil"/>
              <w:left w:val="nil"/>
              <w:bottom w:val="single" w:sz="4" w:space="0" w:color="auto"/>
              <w:right w:val="single" w:sz="4" w:space="0" w:color="auto"/>
            </w:tcBorders>
            <w:shd w:val="clear" w:color="000000" w:fill="E2EFDA"/>
            <w:vAlign w:val="center"/>
            <w:hideMark/>
          </w:tcPr>
          <w:p w14:paraId="6F665EAD"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0,10</w:t>
            </w:r>
          </w:p>
        </w:tc>
        <w:tc>
          <w:tcPr>
            <w:tcW w:w="345" w:type="pct"/>
            <w:tcBorders>
              <w:top w:val="nil"/>
              <w:left w:val="nil"/>
              <w:bottom w:val="single" w:sz="4" w:space="0" w:color="auto"/>
              <w:right w:val="single" w:sz="4" w:space="0" w:color="auto"/>
            </w:tcBorders>
            <w:shd w:val="clear" w:color="000000" w:fill="E2EFDA"/>
            <w:vAlign w:val="center"/>
            <w:hideMark/>
          </w:tcPr>
          <w:p w14:paraId="454B0D6E"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c>
          <w:tcPr>
            <w:tcW w:w="371" w:type="pct"/>
            <w:tcBorders>
              <w:top w:val="nil"/>
              <w:left w:val="nil"/>
              <w:bottom w:val="single" w:sz="4" w:space="0" w:color="auto"/>
              <w:right w:val="single" w:sz="4" w:space="0" w:color="auto"/>
            </w:tcBorders>
            <w:shd w:val="clear" w:color="000000" w:fill="ED7D31"/>
            <w:vAlign w:val="center"/>
            <w:hideMark/>
          </w:tcPr>
          <w:p w14:paraId="6B4F1517"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WEM</w:t>
            </w:r>
          </w:p>
        </w:tc>
        <w:tc>
          <w:tcPr>
            <w:tcW w:w="375" w:type="pct"/>
            <w:tcBorders>
              <w:top w:val="nil"/>
              <w:left w:val="nil"/>
              <w:bottom w:val="single" w:sz="4" w:space="0" w:color="auto"/>
              <w:right w:val="single" w:sz="4" w:space="0" w:color="auto"/>
            </w:tcBorders>
            <w:shd w:val="clear" w:color="000000" w:fill="ED7D31"/>
            <w:vAlign w:val="center"/>
            <w:hideMark/>
          </w:tcPr>
          <w:p w14:paraId="53E91548"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0,10</w:t>
            </w:r>
          </w:p>
        </w:tc>
        <w:tc>
          <w:tcPr>
            <w:tcW w:w="375" w:type="pct"/>
            <w:tcBorders>
              <w:top w:val="nil"/>
              <w:left w:val="nil"/>
              <w:bottom w:val="single" w:sz="4" w:space="0" w:color="auto"/>
              <w:right w:val="single" w:sz="4" w:space="0" w:color="auto"/>
            </w:tcBorders>
            <w:shd w:val="clear" w:color="000000" w:fill="ED7D31"/>
            <w:vAlign w:val="center"/>
            <w:hideMark/>
          </w:tcPr>
          <w:p w14:paraId="2FE243CC"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r>
      <w:tr w:rsidR="00AA4B61" w:rsidRPr="0022244A" w14:paraId="3531D9CE" w14:textId="77777777" w:rsidTr="00AA4B61">
        <w:trPr>
          <w:trHeight w:val="20"/>
        </w:trPr>
        <w:tc>
          <w:tcPr>
            <w:tcW w:w="383" w:type="pct"/>
            <w:vMerge/>
            <w:tcBorders>
              <w:top w:val="nil"/>
              <w:left w:val="single" w:sz="4" w:space="0" w:color="auto"/>
              <w:bottom w:val="single" w:sz="4" w:space="0" w:color="auto"/>
              <w:right w:val="single" w:sz="4" w:space="0" w:color="auto"/>
            </w:tcBorders>
            <w:vAlign w:val="center"/>
            <w:hideMark/>
          </w:tcPr>
          <w:p w14:paraId="0C475DD7" w14:textId="77777777" w:rsidR="0022244A" w:rsidRPr="00565B02" w:rsidRDefault="0022244A" w:rsidP="0022244A">
            <w:pPr>
              <w:spacing w:after="0" w:line="240" w:lineRule="auto"/>
              <w:rPr>
                <w:rFonts w:ascii="Calibri" w:eastAsia="Times New Roman" w:hAnsi="Calibri" w:cs="Calibri"/>
                <w:b/>
                <w:bCs/>
                <w:color w:val="000000"/>
                <w:sz w:val="14"/>
                <w:szCs w:val="14"/>
              </w:rPr>
            </w:pPr>
          </w:p>
        </w:tc>
        <w:tc>
          <w:tcPr>
            <w:tcW w:w="306" w:type="pct"/>
            <w:tcBorders>
              <w:top w:val="nil"/>
              <w:left w:val="nil"/>
              <w:bottom w:val="single" w:sz="4" w:space="0" w:color="auto"/>
              <w:right w:val="single" w:sz="4" w:space="0" w:color="auto"/>
            </w:tcBorders>
            <w:shd w:val="clear" w:color="auto" w:fill="auto"/>
            <w:vAlign w:val="center"/>
            <w:hideMark/>
          </w:tcPr>
          <w:p w14:paraId="28E7C957"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МП_ИИК2</w:t>
            </w:r>
          </w:p>
        </w:tc>
        <w:tc>
          <w:tcPr>
            <w:tcW w:w="1361" w:type="pct"/>
            <w:tcBorders>
              <w:top w:val="nil"/>
              <w:left w:val="nil"/>
              <w:bottom w:val="single" w:sz="4" w:space="0" w:color="auto"/>
              <w:right w:val="single" w:sz="4" w:space="0" w:color="auto"/>
            </w:tcBorders>
            <w:shd w:val="clear" w:color="auto" w:fill="auto"/>
            <w:vAlign w:val="center"/>
            <w:hideMark/>
          </w:tcPr>
          <w:p w14:paraId="5F23C5FA"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Успостављање Заједничке акције државне помоћи за истраживање и иновације у области енергетике</w:t>
            </w:r>
          </w:p>
        </w:tc>
        <w:tc>
          <w:tcPr>
            <w:tcW w:w="329" w:type="pct"/>
            <w:tcBorders>
              <w:top w:val="nil"/>
              <w:left w:val="nil"/>
              <w:bottom w:val="single" w:sz="4" w:space="0" w:color="auto"/>
              <w:right w:val="single" w:sz="4" w:space="0" w:color="auto"/>
            </w:tcBorders>
            <w:shd w:val="clear" w:color="auto" w:fill="auto"/>
            <w:vAlign w:val="center"/>
            <w:hideMark/>
          </w:tcPr>
          <w:p w14:paraId="7A6EEA93"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Инвестиција</w:t>
            </w:r>
          </w:p>
        </w:tc>
        <w:tc>
          <w:tcPr>
            <w:tcW w:w="394" w:type="pct"/>
            <w:tcBorders>
              <w:top w:val="nil"/>
              <w:left w:val="nil"/>
              <w:bottom w:val="single" w:sz="4" w:space="0" w:color="auto"/>
              <w:right w:val="single" w:sz="4" w:space="0" w:color="auto"/>
            </w:tcBorders>
            <w:shd w:val="clear" w:color="auto" w:fill="auto"/>
            <w:vAlign w:val="center"/>
            <w:hideMark/>
          </w:tcPr>
          <w:p w14:paraId="0C29F2AE"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404FB8A1"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2,70</w:t>
            </w:r>
          </w:p>
        </w:tc>
        <w:tc>
          <w:tcPr>
            <w:tcW w:w="334" w:type="pct"/>
            <w:tcBorders>
              <w:top w:val="nil"/>
              <w:left w:val="nil"/>
              <w:bottom w:val="single" w:sz="4" w:space="0" w:color="auto"/>
              <w:right w:val="single" w:sz="4" w:space="0" w:color="auto"/>
            </w:tcBorders>
            <w:shd w:val="clear" w:color="000000" w:fill="ED7D31"/>
            <w:vAlign w:val="center"/>
            <w:hideMark/>
          </w:tcPr>
          <w:p w14:paraId="4D6AD3E6"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2,70</w:t>
            </w:r>
          </w:p>
        </w:tc>
        <w:tc>
          <w:tcPr>
            <w:tcW w:w="345" w:type="pct"/>
            <w:tcBorders>
              <w:top w:val="nil"/>
              <w:left w:val="nil"/>
              <w:bottom w:val="single" w:sz="4" w:space="0" w:color="auto"/>
              <w:right w:val="single" w:sz="4" w:space="0" w:color="auto"/>
            </w:tcBorders>
            <w:shd w:val="clear" w:color="000000" w:fill="ED7D31"/>
            <w:vAlign w:val="center"/>
            <w:hideMark/>
          </w:tcPr>
          <w:p w14:paraId="16500F79"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c>
          <w:tcPr>
            <w:tcW w:w="371" w:type="pct"/>
            <w:tcBorders>
              <w:top w:val="nil"/>
              <w:left w:val="nil"/>
              <w:bottom w:val="single" w:sz="4" w:space="0" w:color="auto"/>
              <w:right w:val="single" w:sz="4" w:space="0" w:color="auto"/>
            </w:tcBorders>
            <w:shd w:val="clear" w:color="000000" w:fill="ED7D31"/>
            <w:vAlign w:val="center"/>
            <w:hideMark/>
          </w:tcPr>
          <w:p w14:paraId="186E6489"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WEM</w:t>
            </w:r>
          </w:p>
        </w:tc>
        <w:tc>
          <w:tcPr>
            <w:tcW w:w="375" w:type="pct"/>
            <w:tcBorders>
              <w:top w:val="nil"/>
              <w:left w:val="nil"/>
              <w:bottom w:val="single" w:sz="4" w:space="0" w:color="auto"/>
              <w:right w:val="single" w:sz="4" w:space="0" w:color="auto"/>
            </w:tcBorders>
            <w:shd w:val="clear" w:color="000000" w:fill="ED7D31"/>
            <w:vAlign w:val="center"/>
            <w:hideMark/>
          </w:tcPr>
          <w:p w14:paraId="5E138B7F"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2,70</w:t>
            </w:r>
          </w:p>
        </w:tc>
        <w:tc>
          <w:tcPr>
            <w:tcW w:w="375" w:type="pct"/>
            <w:tcBorders>
              <w:top w:val="nil"/>
              <w:left w:val="nil"/>
              <w:bottom w:val="single" w:sz="4" w:space="0" w:color="auto"/>
              <w:right w:val="single" w:sz="4" w:space="0" w:color="auto"/>
            </w:tcBorders>
            <w:shd w:val="clear" w:color="000000" w:fill="ED7D31"/>
            <w:vAlign w:val="center"/>
            <w:hideMark/>
          </w:tcPr>
          <w:p w14:paraId="2EDB7C07"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r>
      <w:tr w:rsidR="00AA4B61" w:rsidRPr="0022244A" w14:paraId="4BBBE515" w14:textId="77777777" w:rsidTr="00AA4B61">
        <w:trPr>
          <w:trHeight w:val="20"/>
        </w:trPr>
        <w:tc>
          <w:tcPr>
            <w:tcW w:w="383" w:type="pct"/>
            <w:vMerge/>
            <w:tcBorders>
              <w:top w:val="nil"/>
              <w:left w:val="single" w:sz="4" w:space="0" w:color="auto"/>
              <w:bottom w:val="single" w:sz="4" w:space="0" w:color="auto"/>
              <w:right w:val="single" w:sz="4" w:space="0" w:color="auto"/>
            </w:tcBorders>
            <w:vAlign w:val="center"/>
            <w:hideMark/>
          </w:tcPr>
          <w:p w14:paraId="547D95B1" w14:textId="77777777" w:rsidR="0022244A" w:rsidRPr="00565B02" w:rsidRDefault="0022244A" w:rsidP="0022244A">
            <w:pPr>
              <w:spacing w:after="0" w:line="240" w:lineRule="auto"/>
              <w:rPr>
                <w:rFonts w:ascii="Calibri" w:eastAsia="Times New Roman" w:hAnsi="Calibri" w:cs="Calibri"/>
                <w:b/>
                <w:bCs/>
                <w:color w:val="000000"/>
                <w:sz w:val="14"/>
                <w:szCs w:val="14"/>
              </w:rPr>
            </w:pPr>
          </w:p>
        </w:tc>
        <w:tc>
          <w:tcPr>
            <w:tcW w:w="306" w:type="pct"/>
            <w:tcBorders>
              <w:top w:val="nil"/>
              <w:left w:val="nil"/>
              <w:bottom w:val="single" w:sz="4" w:space="0" w:color="auto"/>
              <w:right w:val="single" w:sz="4" w:space="0" w:color="auto"/>
            </w:tcBorders>
            <w:shd w:val="clear" w:color="auto" w:fill="auto"/>
            <w:vAlign w:val="center"/>
            <w:hideMark/>
          </w:tcPr>
          <w:p w14:paraId="70E489AE"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МП_ИИК3</w:t>
            </w:r>
          </w:p>
        </w:tc>
        <w:tc>
          <w:tcPr>
            <w:tcW w:w="1361" w:type="pct"/>
            <w:tcBorders>
              <w:top w:val="nil"/>
              <w:left w:val="nil"/>
              <w:bottom w:val="single" w:sz="4" w:space="0" w:color="auto"/>
              <w:right w:val="single" w:sz="4" w:space="0" w:color="auto"/>
            </w:tcBorders>
            <w:shd w:val="clear" w:color="auto" w:fill="auto"/>
            <w:vAlign w:val="center"/>
            <w:hideMark/>
          </w:tcPr>
          <w:p w14:paraId="0A82C503"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Успостављање Вишегодишњег инвестиционог плана за јачање инфраструктуре за истраживање и развој</w:t>
            </w:r>
          </w:p>
        </w:tc>
        <w:tc>
          <w:tcPr>
            <w:tcW w:w="329" w:type="pct"/>
            <w:tcBorders>
              <w:top w:val="nil"/>
              <w:left w:val="nil"/>
              <w:bottom w:val="single" w:sz="4" w:space="0" w:color="auto"/>
              <w:right w:val="single" w:sz="4" w:space="0" w:color="auto"/>
            </w:tcBorders>
            <w:shd w:val="clear" w:color="auto" w:fill="auto"/>
            <w:vAlign w:val="center"/>
            <w:hideMark/>
          </w:tcPr>
          <w:p w14:paraId="55CCADAD"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Реформа</w:t>
            </w:r>
          </w:p>
        </w:tc>
        <w:tc>
          <w:tcPr>
            <w:tcW w:w="394" w:type="pct"/>
            <w:tcBorders>
              <w:top w:val="nil"/>
              <w:left w:val="nil"/>
              <w:bottom w:val="single" w:sz="4" w:space="0" w:color="auto"/>
              <w:right w:val="single" w:sz="4" w:space="0" w:color="auto"/>
            </w:tcBorders>
            <w:shd w:val="clear" w:color="auto" w:fill="auto"/>
            <w:vAlign w:val="center"/>
            <w:hideMark/>
          </w:tcPr>
          <w:p w14:paraId="282F986C"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44F72127"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0,10</w:t>
            </w:r>
          </w:p>
        </w:tc>
        <w:tc>
          <w:tcPr>
            <w:tcW w:w="334" w:type="pct"/>
            <w:tcBorders>
              <w:top w:val="nil"/>
              <w:left w:val="nil"/>
              <w:bottom w:val="single" w:sz="4" w:space="0" w:color="auto"/>
              <w:right w:val="single" w:sz="4" w:space="0" w:color="auto"/>
            </w:tcBorders>
            <w:shd w:val="clear" w:color="000000" w:fill="E2EFDA"/>
            <w:vAlign w:val="center"/>
            <w:hideMark/>
          </w:tcPr>
          <w:p w14:paraId="57BFBEAA"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0,10</w:t>
            </w:r>
          </w:p>
        </w:tc>
        <w:tc>
          <w:tcPr>
            <w:tcW w:w="345" w:type="pct"/>
            <w:tcBorders>
              <w:top w:val="nil"/>
              <w:left w:val="nil"/>
              <w:bottom w:val="single" w:sz="4" w:space="0" w:color="auto"/>
              <w:right w:val="single" w:sz="4" w:space="0" w:color="auto"/>
            </w:tcBorders>
            <w:shd w:val="clear" w:color="000000" w:fill="E2EFDA"/>
            <w:vAlign w:val="center"/>
            <w:hideMark/>
          </w:tcPr>
          <w:p w14:paraId="7202765E"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c>
          <w:tcPr>
            <w:tcW w:w="371" w:type="pct"/>
            <w:tcBorders>
              <w:top w:val="nil"/>
              <w:left w:val="nil"/>
              <w:bottom w:val="single" w:sz="4" w:space="0" w:color="auto"/>
              <w:right w:val="single" w:sz="4" w:space="0" w:color="auto"/>
            </w:tcBorders>
            <w:shd w:val="clear" w:color="000000" w:fill="ED7D31"/>
            <w:vAlign w:val="center"/>
            <w:hideMark/>
          </w:tcPr>
          <w:p w14:paraId="6383E297"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WEM</w:t>
            </w:r>
          </w:p>
        </w:tc>
        <w:tc>
          <w:tcPr>
            <w:tcW w:w="375" w:type="pct"/>
            <w:tcBorders>
              <w:top w:val="nil"/>
              <w:left w:val="nil"/>
              <w:bottom w:val="single" w:sz="4" w:space="0" w:color="auto"/>
              <w:right w:val="single" w:sz="4" w:space="0" w:color="auto"/>
            </w:tcBorders>
            <w:shd w:val="clear" w:color="000000" w:fill="ED7D31"/>
            <w:vAlign w:val="center"/>
            <w:hideMark/>
          </w:tcPr>
          <w:p w14:paraId="5598B12B"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0,10</w:t>
            </w:r>
          </w:p>
        </w:tc>
        <w:tc>
          <w:tcPr>
            <w:tcW w:w="375" w:type="pct"/>
            <w:tcBorders>
              <w:top w:val="nil"/>
              <w:left w:val="nil"/>
              <w:bottom w:val="single" w:sz="4" w:space="0" w:color="auto"/>
              <w:right w:val="single" w:sz="4" w:space="0" w:color="auto"/>
            </w:tcBorders>
            <w:shd w:val="clear" w:color="000000" w:fill="ED7D31"/>
            <w:vAlign w:val="center"/>
            <w:hideMark/>
          </w:tcPr>
          <w:p w14:paraId="5DD19131"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r>
      <w:tr w:rsidR="00AA4B61" w:rsidRPr="0022244A" w14:paraId="3FA4DDFA" w14:textId="77777777" w:rsidTr="00AA4B61">
        <w:trPr>
          <w:trHeight w:val="20"/>
        </w:trPr>
        <w:tc>
          <w:tcPr>
            <w:tcW w:w="383" w:type="pct"/>
            <w:vMerge/>
            <w:tcBorders>
              <w:top w:val="nil"/>
              <w:left w:val="single" w:sz="4" w:space="0" w:color="auto"/>
              <w:bottom w:val="single" w:sz="4" w:space="0" w:color="auto"/>
              <w:right w:val="single" w:sz="4" w:space="0" w:color="auto"/>
            </w:tcBorders>
            <w:vAlign w:val="center"/>
            <w:hideMark/>
          </w:tcPr>
          <w:p w14:paraId="02504022" w14:textId="77777777" w:rsidR="0022244A" w:rsidRPr="00565B02" w:rsidRDefault="0022244A" w:rsidP="0022244A">
            <w:pPr>
              <w:spacing w:after="0" w:line="240" w:lineRule="auto"/>
              <w:rPr>
                <w:rFonts w:ascii="Calibri" w:eastAsia="Times New Roman" w:hAnsi="Calibri" w:cs="Calibri"/>
                <w:b/>
                <w:bCs/>
                <w:color w:val="000000"/>
                <w:sz w:val="14"/>
                <w:szCs w:val="14"/>
              </w:rPr>
            </w:pPr>
          </w:p>
        </w:tc>
        <w:tc>
          <w:tcPr>
            <w:tcW w:w="306" w:type="pct"/>
            <w:tcBorders>
              <w:top w:val="nil"/>
              <w:left w:val="nil"/>
              <w:bottom w:val="single" w:sz="4" w:space="0" w:color="auto"/>
              <w:right w:val="single" w:sz="4" w:space="0" w:color="auto"/>
            </w:tcBorders>
            <w:shd w:val="clear" w:color="auto" w:fill="auto"/>
            <w:vAlign w:val="center"/>
            <w:hideMark/>
          </w:tcPr>
          <w:p w14:paraId="5BB9023C"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МП_ИИК4</w:t>
            </w:r>
          </w:p>
        </w:tc>
        <w:tc>
          <w:tcPr>
            <w:tcW w:w="1361" w:type="pct"/>
            <w:tcBorders>
              <w:top w:val="nil"/>
              <w:left w:val="nil"/>
              <w:bottom w:val="single" w:sz="4" w:space="0" w:color="auto"/>
              <w:right w:val="single" w:sz="4" w:space="0" w:color="auto"/>
            </w:tcBorders>
            <w:shd w:val="clear" w:color="auto" w:fill="auto"/>
            <w:vAlign w:val="center"/>
            <w:hideMark/>
          </w:tcPr>
          <w:p w14:paraId="6397A63E"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Интеграција Србије у Европски истраживачки простор и унапређено учешће у енергетским програмима за истраживање и развој које финансира ЕУ</w:t>
            </w:r>
          </w:p>
        </w:tc>
        <w:tc>
          <w:tcPr>
            <w:tcW w:w="329" w:type="pct"/>
            <w:tcBorders>
              <w:top w:val="nil"/>
              <w:left w:val="nil"/>
              <w:bottom w:val="single" w:sz="4" w:space="0" w:color="auto"/>
              <w:right w:val="single" w:sz="4" w:space="0" w:color="auto"/>
            </w:tcBorders>
            <w:shd w:val="clear" w:color="auto" w:fill="auto"/>
            <w:vAlign w:val="center"/>
            <w:hideMark/>
          </w:tcPr>
          <w:p w14:paraId="4BD17F53"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Реформа</w:t>
            </w:r>
          </w:p>
        </w:tc>
        <w:tc>
          <w:tcPr>
            <w:tcW w:w="394" w:type="pct"/>
            <w:tcBorders>
              <w:top w:val="nil"/>
              <w:left w:val="nil"/>
              <w:bottom w:val="single" w:sz="4" w:space="0" w:color="auto"/>
              <w:right w:val="single" w:sz="4" w:space="0" w:color="auto"/>
            </w:tcBorders>
            <w:shd w:val="clear" w:color="auto" w:fill="auto"/>
            <w:vAlign w:val="center"/>
            <w:hideMark/>
          </w:tcPr>
          <w:p w14:paraId="3F0E7516"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28AE8FFB"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0,10</w:t>
            </w:r>
          </w:p>
        </w:tc>
        <w:tc>
          <w:tcPr>
            <w:tcW w:w="334" w:type="pct"/>
            <w:tcBorders>
              <w:top w:val="nil"/>
              <w:left w:val="nil"/>
              <w:bottom w:val="single" w:sz="4" w:space="0" w:color="auto"/>
              <w:right w:val="single" w:sz="4" w:space="0" w:color="auto"/>
            </w:tcBorders>
            <w:shd w:val="clear" w:color="000000" w:fill="E2EFDA"/>
            <w:vAlign w:val="center"/>
            <w:hideMark/>
          </w:tcPr>
          <w:p w14:paraId="4BD6527F"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0,10</w:t>
            </w:r>
          </w:p>
        </w:tc>
        <w:tc>
          <w:tcPr>
            <w:tcW w:w="345" w:type="pct"/>
            <w:tcBorders>
              <w:top w:val="nil"/>
              <w:left w:val="nil"/>
              <w:bottom w:val="single" w:sz="4" w:space="0" w:color="auto"/>
              <w:right w:val="single" w:sz="4" w:space="0" w:color="auto"/>
            </w:tcBorders>
            <w:shd w:val="clear" w:color="000000" w:fill="E2EFDA"/>
            <w:vAlign w:val="center"/>
            <w:hideMark/>
          </w:tcPr>
          <w:p w14:paraId="7827A275"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c>
          <w:tcPr>
            <w:tcW w:w="371" w:type="pct"/>
            <w:tcBorders>
              <w:top w:val="nil"/>
              <w:left w:val="nil"/>
              <w:bottom w:val="single" w:sz="4" w:space="0" w:color="auto"/>
              <w:right w:val="single" w:sz="4" w:space="0" w:color="auto"/>
            </w:tcBorders>
            <w:shd w:val="clear" w:color="000000" w:fill="ED7D31"/>
            <w:vAlign w:val="center"/>
            <w:hideMark/>
          </w:tcPr>
          <w:p w14:paraId="239057EB"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WEM</w:t>
            </w:r>
          </w:p>
        </w:tc>
        <w:tc>
          <w:tcPr>
            <w:tcW w:w="375" w:type="pct"/>
            <w:tcBorders>
              <w:top w:val="nil"/>
              <w:left w:val="nil"/>
              <w:bottom w:val="single" w:sz="4" w:space="0" w:color="auto"/>
              <w:right w:val="single" w:sz="4" w:space="0" w:color="auto"/>
            </w:tcBorders>
            <w:shd w:val="clear" w:color="000000" w:fill="ED7D31"/>
            <w:vAlign w:val="center"/>
            <w:hideMark/>
          </w:tcPr>
          <w:p w14:paraId="73899E1F"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0,10</w:t>
            </w:r>
          </w:p>
        </w:tc>
        <w:tc>
          <w:tcPr>
            <w:tcW w:w="375" w:type="pct"/>
            <w:tcBorders>
              <w:top w:val="nil"/>
              <w:left w:val="nil"/>
              <w:bottom w:val="single" w:sz="4" w:space="0" w:color="auto"/>
              <w:right w:val="single" w:sz="4" w:space="0" w:color="auto"/>
            </w:tcBorders>
            <w:shd w:val="clear" w:color="000000" w:fill="ED7D31"/>
            <w:vAlign w:val="center"/>
            <w:hideMark/>
          </w:tcPr>
          <w:p w14:paraId="0183FD9B"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r>
      <w:tr w:rsidR="00AA4B61" w:rsidRPr="0022244A" w14:paraId="7271A37E" w14:textId="77777777" w:rsidTr="00AA4B61">
        <w:trPr>
          <w:trHeight w:val="20"/>
        </w:trPr>
        <w:tc>
          <w:tcPr>
            <w:tcW w:w="383" w:type="pct"/>
            <w:vMerge/>
            <w:tcBorders>
              <w:top w:val="nil"/>
              <w:left w:val="single" w:sz="4" w:space="0" w:color="auto"/>
              <w:bottom w:val="single" w:sz="4" w:space="0" w:color="auto"/>
              <w:right w:val="single" w:sz="4" w:space="0" w:color="auto"/>
            </w:tcBorders>
            <w:vAlign w:val="center"/>
            <w:hideMark/>
          </w:tcPr>
          <w:p w14:paraId="32E4A247" w14:textId="77777777" w:rsidR="0022244A" w:rsidRPr="00565B02" w:rsidRDefault="0022244A" w:rsidP="0022244A">
            <w:pPr>
              <w:spacing w:after="0" w:line="240" w:lineRule="auto"/>
              <w:rPr>
                <w:rFonts w:ascii="Calibri" w:eastAsia="Times New Roman" w:hAnsi="Calibri" w:cs="Calibri"/>
                <w:b/>
                <w:bCs/>
                <w:color w:val="000000"/>
                <w:sz w:val="14"/>
                <w:szCs w:val="14"/>
              </w:rPr>
            </w:pPr>
          </w:p>
        </w:tc>
        <w:tc>
          <w:tcPr>
            <w:tcW w:w="306" w:type="pct"/>
            <w:tcBorders>
              <w:top w:val="nil"/>
              <w:left w:val="nil"/>
              <w:bottom w:val="single" w:sz="4" w:space="0" w:color="auto"/>
              <w:right w:val="single" w:sz="4" w:space="0" w:color="auto"/>
            </w:tcBorders>
            <w:shd w:val="clear" w:color="auto" w:fill="auto"/>
            <w:vAlign w:val="center"/>
            <w:hideMark/>
          </w:tcPr>
          <w:p w14:paraId="083256A9"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МП_ИИК5</w:t>
            </w:r>
          </w:p>
        </w:tc>
        <w:tc>
          <w:tcPr>
            <w:tcW w:w="1361" w:type="pct"/>
            <w:tcBorders>
              <w:top w:val="nil"/>
              <w:left w:val="nil"/>
              <w:bottom w:val="single" w:sz="4" w:space="0" w:color="auto"/>
              <w:right w:val="single" w:sz="4" w:space="0" w:color="auto"/>
            </w:tcBorders>
            <w:shd w:val="clear" w:color="auto" w:fill="auto"/>
            <w:vAlign w:val="center"/>
            <w:hideMark/>
          </w:tcPr>
          <w:p w14:paraId="0E335535"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Развој иновационих центара/ кластера, стартапа, спинофа, спинаута</w:t>
            </w:r>
          </w:p>
        </w:tc>
        <w:tc>
          <w:tcPr>
            <w:tcW w:w="329" w:type="pct"/>
            <w:tcBorders>
              <w:top w:val="nil"/>
              <w:left w:val="nil"/>
              <w:bottom w:val="single" w:sz="4" w:space="0" w:color="auto"/>
              <w:right w:val="single" w:sz="4" w:space="0" w:color="auto"/>
            </w:tcBorders>
            <w:shd w:val="clear" w:color="auto" w:fill="auto"/>
            <w:vAlign w:val="center"/>
            <w:hideMark/>
          </w:tcPr>
          <w:p w14:paraId="6258947D"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Инвестиција</w:t>
            </w:r>
          </w:p>
        </w:tc>
        <w:tc>
          <w:tcPr>
            <w:tcW w:w="394" w:type="pct"/>
            <w:tcBorders>
              <w:top w:val="nil"/>
              <w:left w:val="nil"/>
              <w:bottom w:val="single" w:sz="4" w:space="0" w:color="auto"/>
              <w:right w:val="single" w:sz="4" w:space="0" w:color="auto"/>
            </w:tcBorders>
            <w:shd w:val="clear" w:color="auto" w:fill="auto"/>
            <w:vAlign w:val="center"/>
            <w:hideMark/>
          </w:tcPr>
          <w:p w14:paraId="7B456F20"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31C51829"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5,40</w:t>
            </w:r>
          </w:p>
        </w:tc>
        <w:tc>
          <w:tcPr>
            <w:tcW w:w="334" w:type="pct"/>
            <w:tcBorders>
              <w:top w:val="nil"/>
              <w:left w:val="nil"/>
              <w:bottom w:val="single" w:sz="4" w:space="0" w:color="auto"/>
              <w:right w:val="single" w:sz="4" w:space="0" w:color="auto"/>
            </w:tcBorders>
            <w:shd w:val="clear" w:color="000000" w:fill="ED7D31"/>
            <w:vAlign w:val="center"/>
            <w:hideMark/>
          </w:tcPr>
          <w:p w14:paraId="713CA858"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2,70</w:t>
            </w:r>
          </w:p>
        </w:tc>
        <w:tc>
          <w:tcPr>
            <w:tcW w:w="345" w:type="pct"/>
            <w:tcBorders>
              <w:top w:val="nil"/>
              <w:left w:val="nil"/>
              <w:bottom w:val="single" w:sz="4" w:space="0" w:color="auto"/>
              <w:right w:val="single" w:sz="4" w:space="0" w:color="auto"/>
            </w:tcBorders>
            <w:shd w:val="clear" w:color="000000" w:fill="ED7D31"/>
            <w:vAlign w:val="center"/>
            <w:hideMark/>
          </w:tcPr>
          <w:p w14:paraId="3F1334CD"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2,70</w:t>
            </w:r>
          </w:p>
        </w:tc>
        <w:tc>
          <w:tcPr>
            <w:tcW w:w="371" w:type="pct"/>
            <w:tcBorders>
              <w:top w:val="nil"/>
              <w:left w:val="nil"/>
              <w:bottom w:val="single" w:sz="4" w:space="0" w:color="auto"/>
              <w:right w:val="single" w:sz="4" w:space="0" w:color="auto"/>
            </w:tcBorders>
            <w:shd w:val="clear" w:color="000000" w:fill="ED7D31"/>
            <w:vAlign w:val="center"/>
            <w:hideMark/>
          </w:tcPr>
          <w:p w14:paraId="5EDD67A0"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WEM</w:t>
            </w:r>
          </w:p>
        </w:tc>
        <w:tc>
          <w:tcPr>
            <w:tcW w:w="375" w:type="pct"/>
            <w:tcBorders>
              <w:top w:val="nil"/>
              <w:left w:val="nil"/>
              <w:bottom w:val="single" w:sz="4" w:space="0" w:color="auto"/>
              <w:right w:val="single" w:sz="4" w:space="0" w:color="auto"/>
            </w:tcBorders>
            <w:shd w:val="clear" w:color="000000" w:fill="ED7D31"/>
            <w:vAlign w:val="center"/>
            <w:hideMark/>
          </w:tcPr>
          <w:p w14:paraId="6EDD4614"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5,40</w:t>
            </w:r>
          </w:p>
        </w:tc>
        <w:tc>
          <w:tcPr>
            <w:tcW w:w="375" w:type="pct"/>
            <w:tcBorders>
              <w:top w:val="nil"/>
              <w:left w:val="nil"/>
              <w:bottom w:val="single" w:sz="4" w:space="0" w:color="auto"/>
              <w:right w:val="single" w:sz="4" w:space="0" w:color="auto"/>
            </w:tcBorders>
            <w:shd w:val="clear" w:color="000000" w:fill="ED7D31"/>
            <w:vAlign w:val="center"/>
            <w:hideMark/>
          </w:tcPr>
          <w:p w14:paraId="39D66F1E"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r>
      <w:tr w:rsidR="00AA4B61" w:rsidRPr="0022244A" w14:paraId="7CE2591B" w14:textId="77777777" w:rsidTr="00AA4B61">
        <w:trPr>
          <w:trHeight w:val="20"/>
        </w:trPr>
        <w:tc>
          <w:tcPr>
            <w:tcW w:w="383" w:type="pct"/>
            <w:vMerge/>
            <w:tcBorders>
              <w:top w:val="nil"/>
              <w:left w:val="single" w:sz="4" w:space="0" w:color="auto"/>
              <w:bottom w:val="single" w:sz="4" w:space="0" w:color="auto"/>
              <w:right w:val="single" w:sz="4" w:space="0" w:color="auto"/>
            </w:tcBorders>
            <w:vAlign w:val="center"/>
            <w:hideMark/>
          </w:tcPr>
          <w:p w14:paraId="0C9A1190" w14:textId="77777777" w:rsidR="0022244A" w:rsidRPr="00565B02" w:rsidRDefault="0022244A" w:rsidP="0022244A">
            <w:pPr>
              <w:spacing w:after="0" w:line="240" w:lineRule="auto"/>
              <w:rPr>
                <w:rFonts w:ascii="Calibri" w:eastAsia="Times New Roman" w:hAnsi="Calibri" w:cs="Calibri"/>
                <w:b/>
                <w:bCs/>
                <w:color w:val="000000"/>
                <w:sz w:val="14"/>
                <w:szCs w:val="14"/>
              </w:rPr>
            </w:pPr>
          </w:p>
        </w:tc>
        <w:tc>
          <w:tcPr>
            <w:tcW w:w="306" w:type="pct"/>
            <w:tcBorders>
              <w:top w:val="nil"/>
              <w:left w:val="nil"/>
              <w:bottom w:val="single" w:sz="4" w:space="0" w:color="auto"/>
              <w:right w:val="single" w:sz="4" w:space="0" w:color="auto"/>
            </w:tcBorders>
            <w:shd w:val="clear" w:color="auto" w:fill="auto"/>
            <w:vAlign w:val="center"/>
            <w:hideMark/>
          </w:tcPr>
          <w:p w14:paraId="0DA06D4C"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МП_ИИК6</w:t>
            </w:r>
          </w:p>
        </w:tc>
        <w:tc>
          <w:tcPr>
            <w:tcW w:w="1361" w:type="pct"/>
            <w:tcBorders>
              <w:top w:val="nil"/>
              <w:left w:val="nil"/>
              <w:bottom w:val="single" w:sz="4" w:space="0" w:color="auto"/>
              <w:right w:val="single" w:sz="4" w:space="0" w:color="auto"/>
            </w:tcBorders>
            <w:shd w:val="clear" w:color="auto" w:fill="auto"/>
            <w:vAlign w:val="center"/>
            <w:hideMark/>
          </w:tcPr>
          <w:p w14:paraId="5E8DC7FC"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Развој специјализованих центара компетентности</w:t>
            </w:r>
          </w:p>
        </w:tc>
        <w:tc>
          <w:tcPr>
            <w:tcW w:w="329" w:type="pct"/>
            <w:tcBorders>
              <w:top w:val="nil"/>
              <w:left w:val="nil"/>
              <w:bottom w:val="single" w:sz="4" w:space="0" w:color="auto"/>
              <w:right w:val="single" w:sz="4" w:space="0" w:color="auto"/>
            </w:tcBorders>
            <w:shd w:val="clear" w:color="auto" w:fill="auto"/>
            <w:vAlign w:val="center"/>
            <w:hideMark/>
          </w:tcPr>
          <w:p w14:paraId="003E046A"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Инвестиција</w:t>
            </w:r>
          </w:p>
        </w:tc>
        <w:tc>
          <w:tcPr>
            <w:tcW w:w="394" w:type="pct"/>
            <w:tcBorders>
              <w:top w:val="nil"/>
              <w:left w:val="nil"/>
              <w:bottom w:val="single" w:sz="4" w:space="0" w:color="auto"/>
              <w:right w:val="single" w:sz="4" w:space="0" w:color="auto"/>
            </w:tcBorders>
            <w:shd w:val="clear" w:color="auto" w:fill="auto"/>
            <w:vAlign w:val="center"/>
            <w:hideMark/>
          </w:tcPr>
          <w:p w14:paraId="663BFF44"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26BCCCB7"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3,60</w:t>
            </w:r>
          </w:p>
        </w:tc>
        <w:tc>
          <w:tcPr>
            <w:tcW w:w="334" w:type="pct"/>
            <w:tcBorders>
              <w:top w:val="nil"/>
              <w:left w:val="nil"/>
              <w:bottom w:val="single" w:sz="4" w:space="0" w:color="auto"/>
              <w:right w:val="single" w:sz="4" w:space="0" w:color="auto"/>
            </w:tcBorders>
            <w:shd w:val="clear" w:color="000000" w:fill="ED7D31"/>
            <w:vAlign w:val="center"/>
            <w:hideMark/>
          </w:tcPr>
          <w:p w14:paraId="340657C1"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1,80</w:t>
            </w:r>
          </w:p>
        </w:tc>
        <w:tc>
          <w:tcPr>
            <w:tcW w:w="345" w:type="pct"/>
            <w:tcBorders>
              <w:top w:val="nil"/>
              <w:left w:val="nil"/>
              <w:bottom w:val="single" w:sz="4" w:space="0" w:color="auto"/>
              <w:right w:val="single" w:sz="4" w:space="0" w:color="auto"/>
            </w:tcBorders>
            <w:shd w:val="clear" w:color="000000" w:fill="ED7D31"/>
            <w:vAlign w:val="center"/>
            <w:hideMark/>
          </w:tcPr>
          <w:p w14:paraId="726167B1"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1,80</w:t>
            </w:r>
          </w:p>
        </w:tc>
        <w:tc>
          <w:tcPr>
            <w:tcW w:w="371" w:type="pct"/>
            <w:tcBorders>
              <w:top w:val="nil"/>
              <w:left w:val="nil"/>
              <w:bottom w:val="single" w:sz="4" w:space="0" w:color="auto"/>
              <w:right w:val="single" w:sz="4" w:space="0" w:color="auto"/>
            </w:tcBorders>
            <w:shd w:val="clear" w:color="000000" w:fill="ED7D31"/>
            <w:vAlign w:val="center"/>
            <w:hideMark/>
          </w:tcPr>
          <w:p w14:paraId="1DD3F6AD"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WEM</w:t>
            </w:r>
          </w:p>
        </w:tc>
        <w:tc>
          <w:tcPr>
            <w:tcW w:w="375" w:type="pct"/>
            <w:tcBorders>
              <w:top w:val="nil"/>
              <w:left w:val="nil"/>
              <w:bottom w:val="single" w:sz="4" w:space="0" w:color="auto"/>
              <w:right w:val="single" w:sz="4" w:space="0" w:color="auto"/>
            </w:tcBorders>
            <w:shd w:val="clear" w:color="000000" w:fill="ED7D31"/>
            <w:vAlign w:val="center"/>
            <w:hideMark/>
          </w:tcPr>
          <w:p w14:paraId="67AB0A9C"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3,60</w:t>
            </w:r>
          </w:p>
        </w:tc>
        <w:tc>
          <w:tcPr>
            <w:tcW w:w="375" w:type="pct"/>
            <w:tcBorders>
              <w:top w:val="nil"/>
              <w:left w:val="nil"/>
              <w:bottom w:val="single" w:sz="4" w:space="0" w:color="auto"/>
              <w:right w:val="single" w:sz="4" w:space="0" w:color="auto"/>
            </w:tcBorders>
            <w:shd w:val="clear" w:color="000000" w:fill="ED7D31"/>
            <w:vAlign w:val="center"/>
            <w:hideMark/>
          </w:tcPr>
          <w:p w14:paraId="27C2F29E"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r>
      <w:tr w:rsidR="00AA4B61" w:rsidRPr="0022244A" w14:paraId="6760BA57" w14:textId="77777777" w:rsidTr="00AA4B61">
        <w:trPr>
          <w:trHeight w:val="20"/>
        </w:trPr>
        <w:tc>
          <w:tcPr>
            <w:tcW w:w="383" w:type="pct"/>
            <w:vMerge/>
            <w:tcBorders>
              <w:top w:val="nil"/>
              <w:left w:val="single" w:sz="4" w:space="0" w:color="auto"/>
              <w:bottom w:val="single" w:sz="4" w:space="0" w:color="auto"/>
              <w:right w:val="single" w:sz="4" w:space="0" w:color="auto"/>
            </w:tcBorders>
            <w:vAlign w:val="center"/>
            <w:hideMark/>
          </w:tcPr>
          <w:p w14:paraId="12816C7A" w14:textId="77777777" w:rsidR="0022244A" w:rsidRPr="00565B02" w:rsidRDefault="0022244A" w:rsidP="0022244A">
            <w:pPr>
              <w:spacing w:after="0" w:line="240" w:lineRule="auto"/>
              <w:rPr>
                <w:rFonts w:ascii="Calibri" w:eastAsia="Times New Roman" w:hAnsi="Calibri" w:cs="Calibri"/>
                <w:b/>
                <w:bCs/>
                <w:color w:val="000000"/>
                <w:sz w:val="14"/>
                <w:szCs w:val="14"/>
              </w:rPr>
            </w:pPr>
          </w:p>
        </w:tc>
        <w:tc>
          <w:tcPr>
            <w:tcW w:w="306" w:type="pct"/>
            <w:tcBorders>
              <w:top w:val="nil"/>
              <w:left w:val="nil"/>
              <w:bottom w:val="single" w:sz="4" w:space="0" w:color="auto"/>
              <w:right w:val="single" w:sz="4" w:space="0" w:color="auto"/>
            </w:tcBorders>
            <w:shd w:val="clear" w:color="auto" w:fill="auto"/>
            <w:vAlign w:val="center"/>
            <w:hideMark/>
          </w:tcPr>
          <w:p w14:paraId="0A2B4DFA"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МП_ИИК7</w:t>
            </w:r>
          </w:p>
        </w:tc>
        <w:tc>
          <w:tcPr>
            <w:tcW w:w="1361" w:type="pct"/>
            <w:tcBorders>
              <w:top w:val="nil"/>
              <w:left w:val="nil"/>
              <w:bottom w:val="single" w:sz="4" w:space="0" w:color="auto"/>
              <w:right w:val="single" w:sz="4" w:space="0" w:color="auto"/>
            </w:tcBorders>
            <w:shd w:val="clear" w:color="auto" w:fill="auto"/>
            <w:vAlign w:val="center"/>
            <w:hideMark/>
          </w:tcPr>
          <w:p w14:paraId="3A5B3880"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Омогућавање формирања регионалних центара истраживачке изузетности</w:t>
            </w:r>
          </w:p>
        </w:tc>
        <w:tc>
          <w:tcPr>
            <w:tcW w:w="329" w:type="pct"/>
            <w:tcBorders>
              <w:top w:val="nil"/>
              <w:left w:val="nil"/>
              <w:bottom w:val="single" w:sz="4" w:space="0" w:color="auto"/>
              <w:right w:val="single" w:sz="4" w:space="0" w:color="auto"/>
            </w:tcBorders>
            <w:shd w:val="clear" w:color="auto" w:fill="auto"/>
            <w:vAlign w:val="center"/>
            <w:hideMark/>
          </w:tcPr>
          <w:p w14:paraId="589367AE"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Инвестиција</w:t>
            </w:r>
          </w:p>
        </w:tc>
        <w:tc>
          <w:tcPr>
            <w:tcW w:w="394" w:type="pct"/>
            <w:tcBorders>
              <w:top w:val="nil"/>
              <w:left w:val="nil"/>
              <w:bottom w:val="single" w:sz="4" w:space="0" w:color="auto"/>
              <w:right w:val="single" w:sz="4" w:space="0" w:color="auto"/>
            </w:tcBorders>
            <w:shd w:val="clear" w:color="auto" w:fill="auto"/>
            <w:vAlign w:val="center"/>
            <w:hideMark/>
          </w:tcPr>
          <w:p w14:paraId="29FD6E9B"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7A88F577"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3,40</w:t>
            </w:r>
          </w:p>
        </w:tc>
        <w:tc>
          <w:tcPr>
            <w:tcW w:w="334" w:type="pct"/>
            <w:tcBorders>
              <w:top w:val="nil"/>
              <w:left w:val="nil"/>
              <w:bottom w:val="single" w:sz="4" w:space="0" w:color="auto"/>
              <w:right w:val="single" w:sz="4" w:space="0" w:color="auto"/>
            </w:tcBorders>
            <w:shd w:val="clear" w:color="000000" w:fill="ED7D31"/>
            <w:vAlign w:val="center"/>
            <w:hideMark/>
          </w:tcPr>
          <w:p w14:paraId="733DC92B"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1,70</w:t>
            </w:r>
          </w:p>
        </w:tc>
        <w:tc>
          <w:tcPr>
            <w:tcW w:w="345" w:type="pct"/>
            <w:tcBorders>
              <w:top w:val="nil"/>
              <w:left w:val="nil"/>
              <w:bottom w:val="single" w:sz="4" w:space="0" w:color="auto"/>
              <w:right w:val="single" w:sz="4" w:space="0" w:color="auto"/>
            </w:tcBorders>
            <w:shd w:val="clear" w:color="000000" w:fill="ED7D31"/>
            <w:vAlign w:val="center"/>
            <w:hideMark/>
          </w:tcPr>
          <w:p w14:paraId="245B690A"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1,70</w:t>
            </w:r>
          </w:p>
        </w:tc>
        <w:tc>
          <w:tcPr>
            <w:tcW w:w="371" w:type="pct"/>
            <w:tcBorders>
              <w:top w:val="nil"/>
              <w:left w:val="nil"/>
              <w:bottom w:val="single" w:sz="4" w:space="0" w:color="auto"/>
              <w:right w:val="single" w:sz="4" w:space="0" w:color="auto"/>
            </w:tcBorders>
            <w:shd w:val="clear" w:color="000000" w:fill="ED7D31"/>
            <w:vAlign w:val="center"/>
            <w:hideMark/>
          </w:tcPr>
          <w:p w14:paraId="61D96631"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WEM</w:t>
            </w:r>
          </w:p>
        </w:tc>
        <w:tc>
          <w:tcPr>
            <w:tcW w:w="375" w:type="pct"/>
            <w:tcBorders>
              <w:top w:val="nil"/>
              <w:left w:val="nil"/>
              <w:bottom w:val="single" w:sz="4" w:space="0" w:color="auto"/>
              <w:right w:val="single" w:sz="4" w:space="0" w:color="auto"/>
            </w:tcBorders>
            <w:shd w:val="clear" w:color="000000" w:fill="ED7D31"/>
            <w:vAlign w:val="center"/>
            <w:hideMark/>
          </w:tcPr>
          <w:p w14:paraId="6C326387"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3,40</w:t>
            </w:r>
          </w:p>
        </w:tc>
        <w:tc>
          <w:tcPr>
            <w:tcW w:w="375" w:type="pct"/>
            <w:tcBorders>
              <w:top w:val="nil"/>
              <w:left w:val="nil"/>
              <w:bottom w:val="single" w:sz="4" w:space="0" w:color="auto"/>
              <w:right w:val="single" w:sz="4" w:space="0" w:color="auto"/>
            </w:tcBorders>
            <w:shd w:val="clear" w:color="000000" w:fill="ED7D31"/>
            <w:vAlign w:val="center"/>
            <w:hideMark/>
          </w:tcPr>
          <w:p w14:paraId="64212A4D"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r>
      <w:tr w:rsidR="00AA4B61" w:rsidRPr="0022244A" w14:paraId="447998FD" w14:textId="77777777" w:rsidTr="00AA4B61">
        <w:trPr>
          <w:trHeight w:val="20"/>
        </w:trPr>
        <w:tc>
          <w:tcPr>
            <w:tcW w:w="383" w:type="pct"/>
            <w:vMerge/>
            <w:tcBorders>
              <w:top w:val="nil"/>
              <w:left w:val="single" w:sz="4" w:space="0" w:color="auto"/>
              <w:bottom w:val="single" w:sz="4" w:space="0" w:color="auto"/>
              <w:right w:val="single" w:sz="4" w:space="0" w:color="auto"/>
            </w:tcBorders>
            <w:vAlign w:val="center"/>
            <w:hideMark/>
          </w:tcPr>
          <w:p w14:paraId="04D98ACE" w14:textId="77777777" w:rsidR="0022244A" w:rsidRPr="00565B02" w:rsidRDefault="0022244A" w:rsidP="0022244A">
            <w:pPr>
              <w:spacing w:after="0" w:line="240" w:lineRule="auto"/>
              <w:rPr>
                <w:rFonts w:ascii="Calibri" w:eastAsia="Times New Roman" w:hAnsi="Calibri" w:cs="Calibri"/>
                <w:b/>
                <w:bCs/>
                <w:color w:val="000000"/>
                <w:sz w:val="14"/>
                <w:szCs w:val="14"/>
              </w:rPr>
            </w:pPr>
          </w:p>
        </w:tc>
        <w:tc>
          <w:tcPr>
            <w:tcW w:w="306" w:type="pct"/>
            <w:tcBorders>
              <w:top w:val="nil"/>
              <w:left w:val="nil"/>
              <w:bottom w:val="single" w:sz="4" w:space="0" w:color="auto"/>
              <w:right w:val="single" w:sz="4" w:space="0" w:color="auto"/>
            </w:tcBorders>
            <w:shd w:val="clear" w:color="auto" w:fill="auto"/>
            <w:vAlign w:val="center"/>
            <w:hideMark/>
          </w:tcPr>
          <w:p w14:paraId="28AEA33B"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МП_ИИК8</w:t>
            </w:r>
          </w:p>
        </w:tc>
        <w:tc>
          <w:tcPr>
            <w:tcW w:w="1361" w:type="pct"/>
            <w:tcBorders>
              <w:top w:val="nil"/>
              <w:left w:val="nil"/>
              <w:bottom w:val="single" w:sz="4" w:space="0" w:color="auto"/>
              <w:right w:val="single" w:sz="4" w:space="0" w:color="auto"/>
            </w:tcBorders>
            <w:shd w:val="clear" w:color="auto" w:fill="auto"/>
            <w:vAlign w:val="center"/>
            <w:hideMark/>
          </w:tcPr>
          <w:p w14:paraId="4EB8D038"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Оснивање и умрежавања канцеларија за трансфер технологије истраживачких организација / института и научно -технолошких паркова</w:t>
            </w:r>
          </w:p>
        </w:tc>
        <w:tc>
          <w:tcPr>
            <w:tcW w:w="329" w:type="pct"/>
            <w:tcBorders>
              <w:top w:val="nil"/>
              <w:left w:val="nil"/>
              <w:bottom w:val="single" w:sz="4" w:space="0" w:color="auto"/>
              <w:right w:val="single" w:sz="4" w:space="0" w:color="auto"/>
            </w:tcBorders>
            <w:shd w:val="clear" w:color="auto" w:fill="auto"/>
            <w:vAlign w:val="center"/>
            <w:hideMark/>
          </w:tcPr>
          <w:p w14:paraId="2318E09E"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Инвестиција</w:t>
            </w:r>
          </w:p>
        </w:tc>
        <w:tc>
          <w:tcPr>
            <w:tcW w:w="394" w:type="pct"/>
            <w:tcBorders>
              <w:top w:val="nil"/>
              <w:left w:val="nil"/>
              <w:bottom w:val="single" w:sz="4" w:space="0" w:color="auto"/>
              <w:right w:val="single" w:sz="4" w:space="0" w:color="auto"/>
            </w:tcBorders>
            <w:shd w:val="clear" w:color="auto" w:fill="auto"/>
            <w:vAlign w:val="center"/>
            <w:hideMark/>
          </w:tcPr>
          <w:p w14:paraId="0C6DD2EF"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6C41E3E0"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15,30</w:t>
            </w:r>
          </w:p>
        </w:tc>
        <w:tc>
          <w:tcPr>
            <w:tcW w:w="334" w:type="pct"/>
            <w:tcBorders>
              <w:top w:val="nil"/>
              <w:left w:val="nil"/>
              <w:bottom w:val="single" w:sz="4" w:space="0" w:color="auto"/>
              <w:right w:val="single" w:sz="4" w:space="0" w:color="auto"/>
            </w:tcBorders>
            <w:shd w:val="clear" w:color="000000" w:fill="ED7D31"/>
            <w:vAlign w:val="center"/>
            <w:hideMark/>
          </w:tcPr>
          <w:p w14:paraId="36D00C66"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7,65</w:t>
            </w:r>
          </w:p>
        </w:tc>
        <w:tc>
          <w:tcPr>
            <w:tcW w:w="345" w:type="pct"/>
            <w:tcBorders>
              <w:top w:val="nil"/>
              <w:left w:val="nil"/>
              <w:bottom w:val="single" w:sz="4" w:space="0" w:color="auto"/>
              <w:right w:val="single" w:sz="4" w:space="0" w:color="auto"/>
            </w:tcBorders>
            <w:shd w:val="clear" w:color="000000" w:fill="ED7D31"/>
            <w:vAlign w:val="center"/>
            <w:hideMark/>
          </w:tcPr>
          <w:p w14:paraId="667880FD"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7,65</w:t>
            </w:r>
          </w:p>
        </w:tc>
        <w:tc>
          <w:tcPr>
            <w:tcW w:w="371" w:type="pct"/>
            <w:tcBorders>
              <w:top w:val="nil"/>
              <w:left w:val="nil"/>
              <w:bottom w:val="single" w:sz="4" w:space="0" w:color="auto"/>
              <w:right w:val="single" w:sz="4" w:space="0" w:color="auto"/>
            </w:tcBorders>
            <w:shd w:val="clear" w:color="000000" w:fill="ED7D31"/>
            <w:vAlign w:val="center"/>
            <w:hideMark/>
          </w:tcPr>
          <w:p w14:paraId="37F9653E"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WEM</w:t>
            </w:r>
          </w:p>
        </w:tc>
        <w:tc>
          <w:tcPr>
            <w:tcW w:w="375" w:type="pct"/>
            <w:tcBorders>
              <w:top w:val="nil"/>
              <w:left w:val="nil"/>
              <w:bottom w:val="single" w:sz="4" w:space="0" w:color="auto"/>
              <w:right w:val="single" w:sz="4" w:space="0" w:color="auto"/>
            </w:tcBorders>
            <w:shd w:val="clear" w:color="000000" w:fill="ED7D31"/>
            <w:vAlign w:val="center"/>
            <w:hideMark/>
          </w:tcPr>
          <w:p w14:paraId="75ADD49C"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15,30</w:t>
            </w:r>
          </w:p>
        </w:tc>
        <w:tc>
          <w:tcPr>
            <w:tcW w:w="375" w:type="pct"/>
            <w:tcBorders>
              <w:top w:val="nil"/>
              <w:left w:val="nil"/>
              <w:bottom w:val="single" w:sz="4" w:space="0" w:color="auto"/>
              <w:right w:val="single" w:sz="4" w:space="0" w:color="auto"/>
            </w:tcBorders>
            <w:shd w:val="clear" w:color="000000" w:fill="ED7D31"/>
            <w:vAlign w:val="center"/>
            <w:hideMark/>
          </w:tcPr>
          <w:p w14:paraId="28C263C1"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r>
      <w:tr w:rsidR="00AA4B61" w:rsidRPr="0022244A" w14:paraId="200B1810" w14:textId="77777777" w:rsidTr="00AA4B61">
        <w:trPr>
          <w:trHeight w:val="20"/>
        </w:trPr>
        <w:tc>
          <w:tcPr>
            <w:tcW w:w="383" w:type="pct"/>
            <w:vMerge/>
            <w:tcBorders>
              <w:top w:val="nil"/>
              <w:left w:val="single" w:sz="4" w:space="0" w:color="auto"/>
              <w:bottom w:val="single" w:sz="4" w:space="0" w:color="auto"/>
              <w:right w:val="single" w:sz="4" w:space="0" w:color="auto"/>
            </w:tcBorders>
            <w:vAlign w:val="center"/>
            <w:hideMark/>
          </w:tcPr>
          <w:p w14:paraId="07EEEC65" w14:textId="77777777" w:rsidR="0022244A" w:rsidRPr="00565B02" w:rsidRDefault="0022244A" w:rsidP="0022244A">
            <w:pPr>
              <w:spacing w:after="0" w:line="240" w:lineRule="auto"/>
              <w:rPr>
                <w:rFonts w:ascii="Calibri" w:eastAsia="Times New Roman" w:hAnsi="Calibri" w:cs="Calibri"/>
                <w:b/>
                <w:bCs/>
                <w:color w:val="000000"/>
                <w:sz w:val="14"/>
                <w:szCs w:val="14"/>
              </w:rPr>
            </w:pPr>
          </w:p>
        </w:tc>
        <w:tc>
          <w:tcPr>
            <w:tcW w:w="306" w:type="pct"/>
            <w:tcBorders>
              <w:top w:val="nil"/>
              <w:left w:val="nil"/>
              <w:bottom w:val="single" w:sz="4" w:space="0" w:color="auto"/>
              <w:right w:val="single" w:sz="4" w:space="0" w:color="auto"/>
            </w:tcBorders>
            <w:shd w:val="clear" w:color="auto" w:fill="auto"/>
            <w:vAlign w:val="center"/>
            <w:hideMark/>
          </w:tcPr>
          <w:p w14:paraId="73EF80EE"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МП_ИИК9</w:t>
            </w:r>
          </w:p>
        </w:tc>
        <w:tc>
          <w:tcPr>
            <w:tcW w:w="1361" w:type="pct"/>
            <w:tcBorders>
              <w:top w:val="nil"/>
              <w:left w:val="nil"/>
              <w:bottom w:val="single" w:sz="4" w:space="0" w:color="auto"/>
              <w:right w:val="single" w:sz="4" w:space="0" w:color="auto"/>
            </w:tcBorders>
            <w:shd w:val="clear" w:color="auto" w:fill="auto"/>
            <w:vAlign w:val="center"/>
            <w:hideMark/>
          </w:tcPr>
          <w:p w14:paraId="46322B0A"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Подршка сарадњи између истраживачких института и предузећа у трансферу технологије и коришћењу резултата истраживања</w:t>
            </w:r>
          </w:p>
        </w:tc>
        <w:tc>
          <w:tcPr>
            <w:tcW w:w="329" w:type="pct"/>
            <w:tcBorders>
              <w:top w:val="nil"/>
              <w:left w:val="nil"/>
              <w:bottom w:val="single" w:sz="4" w:space="0" w:color="auto"/>
              <w:right w:val="single" w:sz="4" w:space="0" w:color="auto"/>
            </w:tcBorders>
            <w:shd w:val="clear" w:color="auto" w:fill="auto"/>
            <w:vAlign w:val="center"/>
            <w:hideMark/>
          </w:tcPr>
          <w:p w14:paraId="0DA9ECC9"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Инвестиција</w:t>
            </w:r>
          </w:p>
        </w:tc>
        <w:tc>
          <w:tcPr>
            <w:tcW w:w="394" w:type="pct"/>
            <w:tcBorders>
              <w:top w:val="nil"/>
              <w:left w:val="nil"/>
              <w:bottom w:val="single" w:sz="4" w:space="0" w:color="auto"/>
              <w:right w:val="single" w:sz="4" w:space="0" w:color="auto"/>
            </w:tcBorders>
            <w:shd w:val="clear" w:color="auto" w:fill="auto"/>
            <w:vAlign w:val="center"/>
            <w:hideMark/>
          </w:tcPr>
          <w:p w14:paraId="4AED9FCE"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191871F0"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3,20</w:t>
            </w:r>
          </w:p>
        </w:tc>
        <w:tc>
          <w:tcPr>
            <w:tcW w:w="334" w:type="pct"/>
            <w:tcBorders>
              <w:top w:val="nil"/>
              <w:left w:val="nil"/>
              <w:bottom w:val="single" w:sz="4" w:space="0" w:color="auto"/>
              <w:right w:val="single" w:sz="4" w:space="0" w:color="auto"/>
            </w:tcBorders>
            <w:shd w:val="clear" w:color="000000" w:fill="ED7D31"/>
            <w:vAlign w:val="center"/>
            <w:hideMark/>
          </w:tcPr>
          <w:p w14:paraId="59D7BE55"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3,20</w:t>
            </w:r>
          </w:p>
        </w:tc>
        <w:tc>
          <w:tcPr>
            <w:tcW w:w="345" w:type="pct"/>
            <w:tcBorders>
              <w:top w:val="nil"/>
              <w:left w:val="nil"/>
              <w:bottom w:val="single" w:sz="4" w:space="0" w:color="auto"/>
              <w:right w:val="single" w:sz="4" w:space="0" w:color="auto"/>
            </w:tcBorders>
            <w:shd w:val="clear" w:color="000000" w:fill="ED7D31"/>
            <w:vAlign w:val="center"/>
            <w:hideMark/>
          </w:tcPr>
          <w:p w14:paraId="44AD9AEB"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c>
          <w:tcPr>
            <w:tcW w:w="371" w:type="pct"/>
            <w:tcBorders>
              <w:top w:val="nil"/>
              <w:left w:val="nil"/>
              <w:bottom w:val="single" w:sz="4" w:space="0" w:color="auto"/>
              <w:right w:val="single" w:sz="4" w:space="0" w:color="auto"/>
            </w:tcBorders>
            <w:shd w:val="clear" w:color="000000" w:fill="ED7D31"/>
            <w:vAlign w:val="center"/>
            <w:hideMark/>
          </w:tcPr>
          <w:p w14:paraId="531D139E"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WEM</w:t>
            </w:r>
          </w:p>
        </w:tc>
        <w:tc>
          <w:tcPr>
            <w:tcW w:w="375" w:type="pct"/>
            <w:tcBorders>
              <w:top w:val="nil"/>
              <w:left w:val="nil"/>
              <w:bottom w:val="single" w:sz="4" w:space="0" w:color="auto"/>
              <w:right w:val="single" w:sz="4" w:space="0" w:color="auto"/>
            </w:tcBorders>
            <w:shd w:val="clear" w:color="000000" w:fill="ED7D31"/>
            <w:vAlign w:val="center"/>
            <w:hideMark/>
          </w:tcPr>
          <w:p w14:paraId="1D8683F8"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3,20</w:t>
            </w:r>
          </w:p>
        </w:tc>
        <w:tc>
          <w:tcPr>
            <w:tcW w:w="375" w:type="pct"/>
            <w:tcBorders>
              <w:top w:val="nil"/>
              <w:left w:val="nil"/>
              <w:bottom w:val="single" w:sz="4" w:space="0" w:color="auto"/>
              <w:right w:val="single" w:sz="4" w:space="0" w:color="auto"/>
            </w:tcBorders>
            <w:shd w:val="clear" w:color="000000" w:fill="ED7D31"/>
            <w:vAlign w:val="center"/>
            <w:hideMark/>
          </w:tcPr>
          <w:p w14:paraId="4C818654"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r>
      <w:tr w:rsidR="00AA4B61" w:rsidRPr="0022244A" w14:paraId="500EA5E5" w14:textId="77777777" w:rsidTr="00AA4B61">
        <w:trPr>
          <w:trHeight w:val="20"/>
        </w:trPr>
        <w:tc>
          <w:tcPr>
            <w:tcW w:w="383" w:type="pct"/>
            <w:vMerge/>
            <w:tcBorders>
              <w:top w:val="nil"/>
              <w:left w:val="single" w:sz="4" w:space="0" w:color="auto"/>
              <w:bottom w:val="single" w:sz="4" w:space="0" w:color="auto"/>
              <w:right w:val="single" w:sz="4" w:space="0" w:color="auto"/>
            </w:tcBorders>
            <w:vAlign w:val="center"/>
            <w:hideMark/>
          </w:tcPr>
          <w:p w14:paraId="64A6E598" w14:textId="77777777" w:rsidR="0022244A" w:rsidRPr="00565B02" w:rsidRDefault="0022244A" w:rsidP="0022244A">
            <w:pPr>
              <w:spacing w:after="0" w:line="240" w:lineRule="auto"/>
              <w:rPr>
                <w:rFonts w:ascii="Calibri" w:eastAsia="Times New Roman" w:hAnsi="Calibri" w:cs="Calibri"/>
                <w:b/>
                <w:bCs/>
                <w:color w:val="000000"/>
                <w:sz w:val="14"/>
                <w:szCs w:val="14"/>
              </w:rPr>
            </w:pPr>
          </w:p>
        </w:tc>
        <w:tc>
          <w:tcPr>
            <w:tcW w:w="306" w:type="pct"/>
            <w:tcBorders>
              <w:top w:val="nil"/>
              <w:left w:val="nil"/>
              <w:bottom w:val="single" w:sz="4" w:space="0" w:color="auto"/>
              <w:right w:val="single" w:sz="4" w:space="0" w:color="auto"/>
            </w:tcBorders>
            <w:shd w:val="clear" w:color="auto" w:fill="auto"/>
            <w:vAlign w:val="center"/>
            <w:hideMark/>
          </w:tcPr>
          <w:p w14:paraId="71C2D281"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МП_ИИК10</w:t>
            </w:r>
          </w:p>
        </w:tc>
        <w:tc>
          <w:tcPr>
            <w:tcW w:w="1361" w:type="pct"/>
            <w:tcBorders>
              <w:top w:val="nil"/>
              <w:left w:val="nil"/>
              <w:bottom w:val="single" w:sz="4" w:space="0" w:color="auto"/>
              <w:right w:val="single" w:sz="4" w:space="0" w:color="auto"/>
            </w:tcBorders>
            <w:shd w:val="clear" w:color="auto" w:fill="auto"/>
            <w:vAlign w:val="center"/>
            <w:hideMark/>
          </w:tcPr>
          <w:p w14:paraId="5A129A58"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Развој иновативних технологија за уштеду енергије</w:t>
            </w:r>
          </w:p>
        </w:tc>
        <w:tc>
          <w:tcPr>
            <w:tcW w:w="329" w:type="pct"/>
            <w:tcBorders>
              <w:top w:val="nil"/>
              <w:left w:val="nil"/>
              <w:bottom w:val="single" w:sz="4" w:space="0" w:color="auto"/>
              <w:right w:val="single" w:sz="4" w:space="0" w:color="auto"/>
            </w:tcBorders>
            <w:shd w:val="clear" w:color="auto" w:fill="auto"/>
            <w:vAlign w:val="center"/>
            <w:hideMark/>
          </w:tcPr>
          <w:p w14:paraId="16B808FF"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Инвестиција</w:t>
            </w:r>
          </w:p>
        </w:tc>
        <w:tc>
          <w:tcPr>
            <w:tcW w:w="394" w:type="pct"/>
            <w:tcBorders>
              <w:top w:val="nil"/>
              <w:left w:val="nil"/>
              <w:bottom w:val="single" w:sz="4" w:space="0" w:color="auto"/>
              <w:right w:val="single" w:sz="4" w:space="0" w:color="auto"/>
            </w:tcBorders>
            <w:shd w:val="clear" w:color="auto" w:fill="auto"/>
            <w:vAlign w:val="center"/>
            <w:hideMark/>
          </w:tcPr>
          <w:p w14:paraId="2D3DEF1C"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3C0AE229"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7,20</w:t>
            </w:r>
          </w:p>
        </w:tc>
        <w:tc>
          <w:tcPr>
            <w:tcW w:w="334" w:type="pct"/>
            <w:tcBorders>
              <w:top w:val="nil"/>
              <w:left w:val="nil"/>
              <w:bottom w:val="single" w:sz="4" w:space="0" w:color="auto"/>
              <w:right w:val="single" w:sz="4" w:space="0" w:color="auto"/>
            </w:tcBorders>
            <w:shd w:val="clear" w:color="000000" w:fill="ED7D31"/>
            <w:vAlign w:val="center"/>
            <w:hideMark/>
          </w:tcPr>
          <w:p w14:paraId="08930255"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2,16</w:t>
            </w:r>
          </w:p>
        </w:tc>
        <w:tc>
          <w:tcPr>
            <w:tcW w:w="345" w:type="pct"/>
            <w:tcBorders>
              <w:top w:val="nil"/>
              <w:left w:val="nil"/>
              <w:bottom w:val="single" w:sz="4" w:space="0" w:color="auto"/>
              <w:right w:val="single" w:sz="4" w:space="0" w:color="auto"/>
            </w:tcBorders>
            <w:shd w:val="clear" w:color="000000" w:fill="ED7D31"/>
            <w:vAlign w:val="center"/>
            <w:hideMark/>
          </w:tcPr>
          <w:p w14:paraId="0ACD3CA4"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5,04</w:t>
            </w:r>
          </w:p>
        </w:tc>
        <w:tc>
          <w:tcPr>
            <w:tcW w:w="371" w:type="pct"/>
            <w:tcBorders>
              <w:top w:val="nil"/>
              <w:left w:val="nil"/>
              <w:bottom w:val="single" w:sz="4" w:space="0" w:color="auto"/>
              <w:right w:val="single" w:sz="4" w:space="0" w:color="auto"/>
            </w:tcBorders>
            <w:shd w:val="clear" w:color="000000" w:fill="ED7D31"/>
            <w:vAlign w:val="center"/>
            <w:hideMark/>
          </w:tcPr>
          <w:p w14:paraId="7E9C172C"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WEM</w:t>
            </w:r>
          </w:p>
        </w:tc>
        <w:tc>
          <w:tcPr>
            <w:tcW w:w="375" w:type="pct"/>
            <w:tcBorders>
              <w:top w:val="nil"/>
              <w:left w:val="nil"/>
              <w:bottom w:val="single" w:sz="4" w:space="0" w:color="auto"/>
              <w:right w:val="single" w:sz="4" w:space="0" w:color="auto"/>
            </w:tcBorders>
            <w:shd w:val="clear" w:color="000000" w:fill="ED7D31"/>
            <w:vAlign w:val="center"/>
            <w:hideMark/>
          </w:tcPr>
          <w:p w14:paraId="4531EAA5"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7,20</w:t>
            </w:r>
          </w:p>
        </w:tc>
        <w:tc>
          <w:tcPr>
            <w:tcW w:w="375" w:type="pct"/>
            <w:tcBorders>
              <w:top w:val="nil"/>
              <w:left w:val="nil"/>
              <w:bottom w:val="single" w:sz="4" w:space="0" w:color="auto"/>
              <w:right w:val="single" w:sz="4" w:space="0" w:color="auto"/>
            </w:tcBorders>
            <w:shd w:val="clear" w:color="000000" w:fill="ED7D31"/>
            <w:vAlign w:val="center"/>
            <w:hideMark/>
          </w:tcPr>
          <w:p w14:paraId="270398EE"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r>
      <w:tr w:rsidR="00AA4B61" w:rsidRPr="0022244A" w14:paraId="1E6C79EC" w14:textId="77777777" w:rsidTr="00AA4B61">
        <w:trPr>
          <w:trHeight w:val="20"/>
        </w:trPr>
        <w:tc>
          <w:tcPr>
            <w:tcW w:w="383" w:type="pct"/>
            <w:vMerge/>
            <w:tcBorders>
              <w:top w:val="nil"/>
              <w:left w:val="single" w:sz="4" w:space="0" w:color="auto"/>
              <w:bottom w:val="single" w:sz="4" w:space="0" w:color="auto"/>
              <w:right w:val="single" w:sz="4" w:space="0" w:color="auto"/>
            </w:tcBorders>
            <w:vAlign w:val="center"/>
            <w:hideMark/>
          </w:tcPr>
          <w:p w14:paraId="5CFF2E50" w14:textId="77777777" w:rsidR="0022244A" w:rsidRPr="00565B02" w:rsidRDefault="0022244A" w:rsidP="0022244A">
            <w:pPr>
              <w:spacing w:after="0" w:line="240" w:lineRule="auto"/>
              <w:rPr>
                <w:rFonts w:ascii="Calibri" w:eastAsia="Times New Roman" w:hAnsi="Calibri" w:cs="Calibri"/>
                <w:b/>
                <w:bCs/>
                <w:color w:val="000000"/>
                <w:sz w:val="14"/>
                <w:szCs w:val="14"/>
              </w:rPr>
            </w:pPr>
          </w:p>
        </w:tc>
        <w:tc>
          <w:tcPr>
            <w:tcW w:w="306" w:type="pct"/>
            <w:tcBorders>
              <w:top w:val="nil"/>
              <w:left w:val="nil"/>
              <w:bottom w:val="single" w:sz="4" w:space="0" w:color="auto"/>
              <w:right w:val="single" w:sz="4" w:space="0" w:color="auto"/>
            </w:tcBorders>
            <w:shd w:val="clear" w:color="auto" w:fill="auto"/>
            <w:vAlign w:val="center"/>
            <w:hideMark/>
          </w:tcPr>
          <w:p w14:paraId="44A09106"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МП_ИИК11</w:t>
            </w:r>
          </w:p>
        </w:tc>
        <w:tc>
          <w:tcPr>
            <w:tcW w:w="1361" w:type="pct"/>
            <w:tcBorders>
              <w:top w:val="nil"/>
              <w:left w:val="nil"/>
              <w:bottom w:val="single" w:sz="4" w:space="0" w:color="auto"/>
              <w:right w:val="single" w:sz="4" w:space="0" w:color="auto"/>
            </w:tcBorders>
            <w:shd w:val="clear" w:color="auto" w:fill="auto"/>
            <w:vAlign w:val="center"/>
            <w:hideMark/>
          </w:tcPr>
          <w:p w14:paraId="5EE8647A"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Развој иновативних технологија декарбонизације, са нагласком на ОИЕ за производњу електричне енергије, грејање/хлађење, производњу водоника, детекцију емисија, хватање, складиштење и коришћење угљеника (CCUS)</w:t>
            </w:r>
          </w:p>
        </w:tc>
        <w:tc>
          <w:tcPr>
            <w:tcW w:w="329" w:type="pct"/>
            <w:tcBorders>
              <w:top w:val="nil"/>
              <w:left w:val="nil"/>
              <w:bottom w:val="single" w:sz="4" w:space="0" w:color="auto"/>
              <w:right w:val="single" w:sz="4" w:space="0" w:color="auto"/>
            </w:tcBorders>
            <w:shd w:val="clear" w:color="auto" w:fill="auto"/>
            <w:vAlign w:val="center"/>
            <w:hideMark/>
          </w:tcPr>
          <w:p w14:paraId="1463793C"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Инвестиција</w:t>
            </w:r>
          </w:p>
        </w:tc>
        <w:tc>
          <w:tcPr>
            <w:tcW w:w="394" w:type="pct"/>
            <w:tcBorders>
              <w:top w:val="nil"/>
              <w:left w:val="nil"/>
              <w:bottom w:val="single" w:sz="4" w:space="0" w:color="auto"/>
              <w:right w:val="single" w:sz="4" w:space="0" w:color="auto"/>
            </w:tcBorders>
            <w:shd w:val="clear" w:color="auto" w:fill="auto"/>
            <w:vAlign w:val="center"/>
            <w:hideMark/>
          </w:tcPr>
          <w:p w14:paraId="472EAF44"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65068D95"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25,20</w:t>
            </w:r>
          </w:p>
        </w:tc>
        <w:tc>
          <w:tcPr>
            <w:tcW w:w="334" w:type="pct"/>
            <w:tcBorders>
              <w:top w:val="nil"/>
              <w:left w:val="nil"/>
              <w:bottom w:val="single" w:sz="4" w:space="0" w:color="auto"/>
              <w:right w:val="single" w:sz="4" w:space="0" w:color="auto"/>
            </w:tcBorders>
            <w:shd w:val="clear" w:color="000000" w:fill="ED7D31"/>
            <w:vAlign w:val="center"/>
            <w:hideMark/>
          </w:tcPr>
          <w:p w14:paraId="47726AB7"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12,60</w:t>
            </w:r>
          </w:p>
        </w:tc>
        <w:tc>
          <w:tcPr>
            <w:tcW w:w="345" w:type="pct"/>
            <w:tcBorders>
              <w:top w:val="nil"/>
              <w:left w:val="nil"/>
              <w:bottom w:val="single" w:sz="4" w:space="0" w:color="auto"/>
              <w:right w:val="single" w:sz="4" w:space="0" w:color="auto"/>
            </w:tcBorders>
            <w:shd w:val="clear" w:color="000000" w:fill="ED7D31"/>
            <w:vAlign w:val="center"/>
            <w:hideMark/>
          </w:tcPr>
          <w:p w14:paraId="0B74C34E"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12,60</w:t>
            </w:r>
          </w:p>
        </w:tc>
        <w:tc>
          <w:tcPr>
            <w:tcW w:w="371" w:type="pct"/>
            <w:tcBorders>
              <w:top w:val="nil"/>
              <w:left w:val="nil"/>
              <w:bottom w:val="single" w:sz="4" w:space="0" w:color="auto"/>
              <w:right w:val="single" w:sz="4" w:space="0" w:color="auto"/>
            </w:tcBorders>
            <w:shd w:val="clear" w:color="000000" w:fill="ED7D31"/>
            <w:vAlign w:val="center"/>
            <w:hideMark/>
          </w:tcPr>
          <w:p w14:paraId="19752C21"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WEM</w:t>
            </w:r>
          </w:p>
        </w:tc>
        <w:tc>
          <w:tcPr>
            <w:tcW w:w="375" w:type="pct"/>
            <w:tcBorders>
              <w:top w:val="nil"/>
              <w:left w:val="nil"/>
              <w:bottom w:val="single" w:sz="4" w:space="0" w:color="auto"/>
              <w:right w:val="single" w:sz="4" w:space="0" w:color="auto"/>
            </w:tcBorders>
            <w:shd w:val="clear" w:color="000000" w:fill="ED7D31"/>
            <w:vAlign w:val="center"/>
            <w:hideMark/>
          </w:tcPr>
          <w:p w14:paraId="3F2AA895"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25,20</w:t>
            </w:r>
          </w:p>
        </w:tc>
        <w:tc>
          <w:tcPr>
            <w:tcW w:w="375" w:type="pct"/>
            <w:tcBorders>
              <w:top w:val="nil"/>
              <w:left w:val="nil"/>
              <w:bottom w:val="single" w:sz="4" w:space="0" w:color="auto"/>
              <w:right w:val="single" w:sz="4" w:space="0" w:color="auto"/>
            </w:tcBorders>
            <w:shd w:val="clear" w:color="000000" w:fill="ED7D31"/>
            <w:vAlign w:val="center"/>
            <w:hideMark/>
          </w:tcPr>
          <w:p w14:paraId="6292379D"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r>
      <w:tr w:rsidR="00AA4B61" w:rsidRPr="0022244A" w14:paraId="329600AF" w14:textId="77777777" w:rsidTr="00AA4B61">
        <w:trPr>
          <w:trHeight w:val="20"/>
        </w:trPr>
        <w:tc>
          <w:tcPr>
            <w:tcW w:w="383" w:type="pct"/>
            <w:vMerge/>
            <w:tcBorders>
              <w:top w:val="nil"/>
              <w:left w:val="single" w:sz="4" w:space="0" w:color="auto"/>
              <w:bottom w:val="single" w:sz="4" w:space="0" w:color="auto"/>
              <w:right w:val="single" w:sz="4" w:space="0" w:color="auto"/>
            </w:tcBorders>
            <w:vAlign w:val="center"/>
            <w:hideMark/>
          </w:tcPr>
          <w:p w14:paraId="428E1E30" w14:textId="77777777" w:rsidR="0022244A" w:rsidRPr="00565B02" w:rsidRDefault="0022244A" w:rsidP="0022244A">
            <w:pPr>
              <w:spacing w:after="0" w:line="240" w:lineRule="auto"/>
              <w:rPr>
                <w:rFonts w:ascii="Calibri" w:eastAsia="Times New Roman" w:hAnsi="Calibri" w:cs="Calibri"/>
                <w:b/>
                <w:bCs/>
                <w:color w:val="000000"/>
                <w:sz w:val="14"/>
                <w:szCs w:val="14"/>
              </w:rPr>
            </w:pPr>
          </w:p>
        </w:tc>
        <w:tc>
          <w:tcPr>
            <w:tcW w:w="306" w:type="pct"/>
            <w:tcBorders>
              <w:top w:val="nil"/>
              <w:left w:val="nil"/>
              <w:bottom w:val="single" w:sz="4" w:space="0" w:color="auto"/>
              <w:right w:val="single" w:sz="4" w:space="0" w:color="auto"/>
            </w:tcBorders>
            <w:shd w:val="clear" w:color="auto" w:fill="auto"/>
            <w:vAlign w:val="center"/>
            <w:hideMark/>
          </w:tcPr>
          <w:p w14:paraId="6128EDE7"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МП_ИИК12</w:t>
            </w:r>
          </w:p>
        </w:tc>
        <w:tc>
          <w:tcPr>
            <w:tcW w:w="1361" w:type="pct"/>
            <w:tcBorders>
              <w:top w:val="nil"/>
              <w:left w:val="nil"/>
              <w:bottom w:val="single" w:sz="4" w:space="0" w:color="auto"/>
              <w:right w:val="single" w:sz="4" w:space="0" w:color="auto"/>
            </w:tcBorders>
            <w:shd w:val="clear" w:color="auto" w:fill="auto"/>
            <w:vAlign w:val="center"/>
            <w:hideMark/>
          </w:tcPr>
          <w:p w14:paraId="7A3BA848"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Истраживање у области дигитализације енергетских мрежа и развоја паметних мрежа</w:t>
            </w:r>
          </w:p>
        </w:tc>
        <w:tc>
          <w:tcPr>
            <w:tcW w:w="329" w:type="pct"/>
            <w:tcBorders>
              <w:top w:val="nil"/>
              <w:left w:val="nil"/>
              <w:bottom w:val="single" w:sz="4" w:space="0" w:color="auto"/>
              <w:right w:val="single" w:sz="4" w:space="0" w:color="auto"/>
            </w:tcBorders>
            <w:shd w:val="clear" w:color="auto" w:fill="auto"/>
            <w:vAlign w:val="center"/>
            <w:hideMark/>
          </w:tcPr>
          <w:p w14:paraId="5DB3CB8A"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Инвестиција</w:t>
            </w:r>
          </w:p>
        </w:tc>
        <w:tc>
          <w:tcPr>
            <w:tcW w:w="394" w:type="pct"/>
            <w:tcBorders>
              <w:top w:val="nil"/>
              <w:left w:val="nil"/>
              <w:bottom w:val="single" w:sz="4" w:space="0" w:color="auto"/>
              <w:right w:val="single" w:sz="4" w:space="0" w:color="auto"/>
            </w:tcBorders>
            <w:shd w:val="clear" w:color="auto" w:fill="auto"/>
            <w:vAlign w:val="center"/>
            <w:hideMark/>
          </w:tcPr>
          <w:p w14:paraId="559450DD"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35EEFF0F"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9,00</w:t>
            </w:r>
          </w:p>
        </w:tc>
        <w:tc>
          <w:tcPr>
            <w:tcW w:w="334" w:type="pct"/>
            <w:tcBorders>
              <w:top w:val="nil"/>
              <w:left w:val="nil"/>
              <w:bottom w:val="single" w:sz="4" w:space="0" w:color="auto"/>
              <w:right w:val="single" w:sz="4" w:space="0" w:color="auto"/>
            </w:tcBorders>
            <w:shd w:val="clear" w:color="000000" w:fill="ED7D31"/>
            <w:vAlign w:val="center"/>
            <w:hideMark/>
          </w:tcPr>
          <w:p w14:paraId="2CBBB4F2"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4,50</w:t>
            </w:r>
          </w:p>
        </w:tc>
        <w:tc>
          <w:tcPr>
            <w:tcW w:w="345" w:type="pct"/>
            <w:tcBorders>
              <w:top w:val="nil"/>
              <w:left w:val="nil"/>
              <w:bottom w:val="single" w:sz="4" w:space="0" w:color="auto"/>
              <w:right w:val="single" w:sz="4" w:space="0" w:color="auto"/>
            </w:tcBorders>
            <w:shd w:val="clear" w:color="000000" w:fill="ED7D31"/>
            <w:vAlign w:val="center"/>
            <w:hideMark/>
          </w:tcPr>
          <w:p w14:paraId="3819813B"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4,50</w:t>
            </w:r>
          </w:p>
        </w:tc>
        <w:tc>
          <w:tcPr>
            <w:tcW w:w="371" w:type="pct"/>
            <w:tcBorders>
              <w:top w:val="nil"/>
              <w:left w:val="nil"/>
              <w:bottom w:val="single" w:sz="4" w:space="0" w:color="auto"/>
              <w:right w:val="single" w:sz="4" w:space="0" w:color="auto"/>
            </w:tcBorders>
            <w:shd w:val="clear" w:color="000000" w:fill="ED7D31"/>
            <w:vAlign w:val="center"/>
            <w:hideMark/>
          </w:tcPr>
          <w:p w14:paraId="457F7BB1"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WEM</w:t>
            </w:r>
          </w:p>
        </w:tc>
        <w:tc>
          <w:tcPr>
            <w:tcW w:w="375" w:type="pct"/>
            <w:tcBorders>
              <w:top w:val="nil"/>
              <w:left w:val="nil"/>
              <w:bottom w:val="single" w:sz="4" w:space="0" w:color="auto"/>
              <w:right w:val="single" w:sz="4" w:space="0" w:color="auto"/>
            </w:tcBorders>
            <w:shd w:val="clear" w:color="000000" w:fill="ED7D31"/>
            <w:vAlign w:val="center"/>
            <w:hideMark/>
          </w:tcPr>
          <w:p w14:paraId="46B9052D"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9,00</w:t>
            </w:r>
          </w:p>
        </w:tc>
        <w:tc>
          <w:tcPr>
            <w:tcW w:w="375" w:type="pct"/>
            <w:tcBorders>
              <w:top w:val="nil"/>
              <w:left w:val="nil"/>
              <w:bottom w:val="single" w:sz="4" w:space="0" w:color="auto"/>
              <w:right w:val="single" w:sz="4" w:space="0" w:color="auto"/>
            </w:tcBorders>
            <w:shd w:val="clear" w:color="000000" w:fill="ED7D31"/>
            <w:vAlign w:val="center"/>
            <w:hideMark/>
          </w:tcPr>
          <w:p w14:paraId="43085AF3"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r>
      <w:tr w:rsidR="00AA4B61" w:rsidRPr="0022244A" w14:paraId="22B220F5" w14:textId="77777777" w:rsidTr="00AA4B61">
        <w:trPr>
          <w:trHeight w:val="20"/>
        </w:trPr>
        <w:tc>
          <w:tcPr>
            <w:tcW w:w="383" w:type="pct"/>
            <w:vMerge/>
            <w:tcBorders>
              <w:top w:val="nil"/>
              <w:left w:val="single" w:sz="4" w:space="0" w:color="auto"/>
              <w:bottom w:val="single" w:sz="4" w:space="0" w:color="auto"/>
              <w:right w:val="single" w:sz="4" w:space="0" w:color="auto"/>
            </w:tcBorders>
            <w:vAlign w:val="center"/>
            <w:hideMark/>
          </w:tcPr>
          <w:p w14:paraId="3FA4FC56" w14:textId="77777777" w:rsidR="0022244A" w:rsidRPr="00565B02" w:rsidRDefault="0022244A" w:rsidP="0022244A">
            <w:pPr>
              <w:spacing w:after="0" w:line="240" w:lineRule="auto"/>
              <w:rPr>
                <w:rFonts w:ascii="Calibri" w:eastAsia="Times New Roman" w:hAnsi="Calibri" w:cs="Calibri"/>
                <w:b/>
                <w:bCs/>
                <w:color w:val="000000"/>
                <w:sz w:val="14"/>
                <w:szCs w:val="14"/>
              </w:rPr>
            </w:pPr>
          </w:p>
        </w:tc>
        <w:tc>
          <w:tcPr>
            <w:tcW w:w="306" w:type="pct"/>
            <w:tcBorders>
              <w:top w:val="nil"/>
              <w:left w:val="nil"/>
              <w:bottom w:val="single" w:sz="4" w:space="0" w:color="auto"/>
              <w:right w:val="single" w:sz="4" w:space="0" w:color="auto"/>
            </w:tcBorders>
            <w:shd w:val="clear" w:color="auto" w:fill="auto"/>
            <w:vAlign w:val="center"/>
            <w:hideMark/>
          </w:tcPr>
          <w:p w14:paraId="37714303"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МП_ИИК13</w:t>
            </w:r>
          </w:p>
        </w:tc>
        <w:tc>
          <w:tcPr>
            <w:tcW w:w="1361" w:type="pct"/>
            <w:tcBorders>
              <w:top w:val="nil"/>
              <w:left w:val="nil"/>
              <w:bottom w:val="single" w:sz="4" w:space="0" w:color="auto"/>
              <w:right w:val="single" w:sz="4" w:space="0" w:color="auto"/>
            </w:tcBorders>
            <w:shd w:val="clear" w:color="auto" w:fill="auto"/>
            <w:vAlign w:val="center"/>
            <w:hideMark/>
          </w:tcPr>
          <w:p w14:paraId="0F24A6C8"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Развој иновативних технологија у саобраћају и апликација за микромобилност</w:t>
            </w:r>
          </w:p>
        </w:tc>
        <w:tc>
          <w:tcPr>
            <w:tcW w:w="329" w:type="pct"/>
            <w:tcBorders>
              <w:top w:val="nil"/>
              <w:left w:val="nil"/>
              <w:bottom w:val="single" w:sz="4" w:space="0" w:color="auto"/>
              <w:right w:val="single" w:sz="4" w:space="0" w:color="auto"/>
            </w:tcBorders>
            <w:shd w:val="clear" w:color="auto" w:fill="auto"/>
            <w:vAlign w:val="center"/>
            <w:hideMark/>
          </w:tcPr>
          <w:p w14:paraId="0C1EEE39"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Инвестиција</w:t>
            </w:r>
          </w:p>
        </w:tc>
        <w:tc>
          <w:tcPr>
            <w:tcW w:w="394" w:type="pct"/>
            <w:tcBorders>
              <w:top w:val="nil"/>
              <w:left w:val="nil"/>
              <w:bottom w:val="single" w:sz="4" w:space="0" w:color="auto"/>
              <w:right w:val="single" w:sz="4" w:space="0" w:color="auto"/>
            </w:tcBorders>
            <w:shd w:val="clear" w:color="auto" w:fill="auto"/>
            <w:vAlign w:val="center"/>
            <w:hideMark/>
          </w:tcPr>
          <w:p w14:paraId="19A5B097"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047446F5"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10,90</w:t>
            </w:r>
          </w:p>
        </w:tc>
        <w:tc>
          <w:tcPr>
            <w:tcW w:w="334" w:type="pct"/>
            <w:tcBorders>
              <w:top w:val="nil"/>
              <w:left w:val="nil"/>
              <w:bottom w:val="single" w:sz="4" w:space="0" w:color="auto"/>
              <w:right w:val="single" w:sz="4" w:space="0" w:color="auto"/>
            </w:tcBorders>
            <w:shd w:val="clear" w:color="000000" w:fill="ED7D31"/>
            <w:vAlign w:val="center"/>
            <w:hideMark/>
          </w:tcPr>
          <w:p w14:paraId="7BD2DE05"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5,45</w:t>
            </w:r>
          </w:p>
        </w:tc>
        <w:tc>
          <w:tcPr>
            <w:tcW w:w="345" w:type="pct"/>
            <w:tcBorders>
              <w:top w:val="nil"/>
              <w:left w:val="nil"/>
              <w:bottom w:val="single" w:sz="4" w:space="0" w:color="auto"/>
              <w:right w:val="single" w:sz="4" w:space="0" w:color="auto"/>
            </w:tcBorders>
            <w:shd w:val="clear" w:color="000000" w:fill="ED7D31"/>
            <w:vAlign w:val="center"/>
            <w:hideMark/>
          </w:tcPr>
          <w:p w14:paraId="639C6EC9"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5,45</w:t>
            </w:r>
          </w:p>
        </w:tc>
        <w:tc>
          <w:tcPr>
            <w:tcW w:w="371" w:type="pct"/>
            <w:tcBorders>
              <w:top w:val="nil"/>
              <w:left w:val="nil"/>
              <w:bottom w:val="single" w:sz="4" w:space="0" w:color="auto"/>
              <w:right w:val="single" w:sz="4" w:space="0" w:color="auto"/>
            </w:tcBorders>
            <w:shd w:val="clear" w:color="000000" w:fill="ED7D31"/>
            <w:vAlign w:val="center"/>
            <w:hideMark/>
          </w:tcPr>
          <w:p w14:paraId="0352F05C"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WEM</w:t>
            </w:r>
          </w:p>
        </w:tc>
        <w:tc>
          <w:tcPr>
            <w:tcW w:w="375" w:type="pct"/>
            <w:tcBorders>
              <w:top w:val="nil"/>
              <w:left w:val="nil"/>
              <w:bottom w:val="single" w:sz="4" w:space="0" w:color="auto"/>
              <w:right w:val="single" w:sz="4" w:space="0" w:color="auto"/>
            </w:tcBorders>
            <w:shd w:val="clear" w:color="000000" w:fill="ED7D31"/>
            <w:vAlign w:val="center"/>
            <w:hideMark/>
          </w:tcPr>
          <w:p w14:paraId="1FDBBD02"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10,90</w:t>
            </w:r>
          </w:p>
        </w:tc>
        <w:tc>
          <w:tcPr>
            <w:tcW w:w="375" w:type="pct"/>
            <w:tcBorders>
              <w:top w:val="nil"/>
              <w:left w:val="nil"/>
              <w:bottom w:val="single" w:sz="4" w:space="0" w:color="auto"/>
              <w:right w:val="single" w:sz="4" w:space="0" w:color="auto"/>
            </w:tcBorders>
            <w:shd w:val="clear" w:color="000000" w:fill="ED7D31"/>
            <w:vAlign w:val="center"/>
            <w:hideMark/>
          </w:tcPr>
          <w:p w14:paraId="4BEEC96C"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r>
      <w:tr w:rsidR="00AA4B61" w:rsidRPr="0022244A" w14:paraId="72AAB22E" w14:textId="77777777" w:rsidTr="00AA4B61">
        <w:trPr>
          <w:trHeight w:val="20"/>
        </w:trPr>
        <w:tc>
          <w:tcPr>
            <w:tcW w:w="383" w:type="pct"/>
            <w:vMerge/>
            <w:tcBorders>
              <w:top w:val="nil"/>
              <w:left w:val="single" w:sz="4" w:space="0" w:color="auto"/>
              <w:bottom w:val="single" w:sz="4" w:space="0" w:color="auto"/>
              <w:right w:val="single" w:sz="4" w:space="0" w:color="auto"/>
            </w:tcBorders>
            <w:vAlign w:val="center"/>
            <w:hideMark/>
          </w:tcPr>
          <w:p w14:paraId="26A71FFC" w14:textId="77777777" w:rsidR="0022244A" w:rsidRPr="00565B02" w:rsidRDefault="0022244A" w:rsidP="0022244A">
            <w:pPr>
              <w:spacing w:after="0" w:line="240" w:lineRule="auto"/>
              <w:rPr>
                <w:rFonts w:ascii="Calibri" w:eastAsia="Times New Roman" w:hAnsi="Calibri" w:cs="Calibri"/>
                <w:b/>
                <w:bCs/>
                <w:color w:val="000000"/>
                <w:sz w:val="14"/>
                <w:szCs w:val="14"/>
              </w:rPr>
            </w:pPr>
          </w:p>
        </w:tc>
        <w:tc>
          <w:tcPr>
            <w:tcW w:w="306" w:type="pct"/>
            <w:tcBorders>
              <w:top w:val="nil"/>
              <w:left w:val="nil"/>
              <w:bottom w:val="single" w:sz="4" w:space="0" w:color="auto"/>
              <w:right w:val="single" w:sz="4" w:space="0" w:color="auto"/>
            </w:tcBorders>
            <w:shd w:val="clear" w:color="auto" w:fill="auto"/>
            <w:vAlign w:val="center"/>
            <w:hideMark/>
          </w:tcPr>
          <w:p w14:paraId="7482DD3C"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МП_ИИК14</w:t>
            </w:r>
          </w:p>
        </w:tc>
        <w:tc>
          <w:tcPr>
            <w:tcW w:w="1361" w:type="pct"/>
            <w:tcBorders>
              <w:top w:val="nil"/>
              <w:left w:val="nil"/>
              <w:bottom w:val="single" w:sz="4" w:space="0" w:color="auto"/>
              <w:right w:val="single" w:sz="4" w:space="0" w:color="auto"/>
            </w:tcBorders>
            <w:shd w:val="clear" w:color="auto" w:fill="auto"/>
            <w:vAlign w:val="center"/>
            <w:hideMark/>
          </w:tcPr>
          <w:p w14:paraId="5B6E4D11"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Развој иновативних апликација за складиштење енергије</w:t>
            </w:r>
          </w:p>
        </w:tc>
        <w:tc>
          <w:tcPr>
            <w:tcW w:w="329" w:type="pct"/>
            <w:tcBorders>
              <w:top w:val="nil"/>
              <w:left w:val="nil"/>
              <w:bottom w:val="single" w:sz="4" w:space="0" w:color="auto"/>
              <w:right w:val="single" w:sz="4" w:space="0" w:color="auto"/>
            </w:tcBorders>
            <w:shd w:val="clear" w:color="auto" w:fill="auto"/>
            <w:vAlign w:val="center"/>
            <w:hideMark/>
          </w:tcPr>
          <w:p w14:paraId="318F7233"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Инвестиција</w:t>
            </w:r>
          </w:p>
        </w:tc>
        <w:tc>
          <w:tcPr>
            <w:tcW w:w="394" w:type="pct"/>
            <w:tcBorders>
              <w:top w:val="nil"/>
              <w:left w:val="nil"/>
              <w:bottom w:val="single" w:sz="4" w:space="0" w:color="auto"/>
              <w:right w:val="single" w:sz="4" w:space="0" w:color="auto"/>
            </w:tcBorders>
            <w:shd w:val="clear" w:color="auto" w:fill="auto"/>
            <w:vAlign w:val="center"/>
            <w:hideMark/>
          </w:tcPr>
          <w:p w14:paraId="671CCD04"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56F1FF06"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9,00</w:t>
            </w:r>
          </w:p>
        </w:tc>
        <w:tc>
          <w:tcPr>
            <w:tcW w:w="334" w:type="pct"/>
            <w:tcBorders>
              <w:top w:val="nil"/>
              <w:left w:val="nil"/>
              <w:bottom w:val="single" w:sz="4" w:space="0" w:color="auto"/>
              <w:right w:val="single" w:sz="4" w:space="0" w:color="auto"/>
            </w:tcBorders>
            <w:shd w:val="clear" w:color="000000" w:fill="ED7D31"/>
            <w:vAlign w:val="center"/>
            <w:hideMark/>
          </w:tcPr>
          <w:p w14:paraId="1CD16A97"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4,50</w:t>
            </w:r>
          </w:p>
        </w:tc>
        <w:tc>
          <w:tcPr>
            <w:tcW w:w="345" w:type="pct"/>
            <w:tcBorders>
              <w:top w:val="nil"/>
              <w:left w:val="nil"/>
              <w:bottom w:val="single" w:sz="4" w:space="0" w:color="auto"/>
              <w:right w:val="single" w:sz="4" w:space="0" w:color="auto"/>
            </w:tcBorders>
            <w:shd w:val="clear" w:color="000000" w:fill="ED7D31"/>
            <w:vAlign w:val="center"/>
            <w:hideMark/>
          </w:tcPr>
          <w:p w14:paraId="28F2DB6E"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4,50</w:t>
            </w:r>
          </w:p>
        </w:tc>
        <w:tc>
          <w:tcPr>
            <w:tcW w:w="371" w:type="pct"/>
            <w:tcBorders>
              <w:top w:val="nil"/>
              <w:left w:val="nil"/>
              <w:bottom w:val="single" w:sz="4" w:space="0" w:color="auto"/>
              <w:right w:val="single" w:sz="4" w:space="0" w:color="auto"/>
            </w:tcBorders>
            <w:shd w:val="clear" w:color="000000" w:fill="ED7D31"/>
            <w:vAlign w:val="center"/>
            <w:hideMark/>
          </w:tcPr>
          <w:p w14:paraId="07D8C3C3"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WEM</w:t>
            </w:r>
          </w:p>
        </w:tc>
        <w:tc>
          <w:tcPr>
            <w:tcW w:w="375" w:type="pct"/>
            <w:tcBorders>
              <w:top w:val="nil"/>
              <w:left w:val="nil"/>
              <w:bottom w:val="single" w:sz="4" w:space="0" w:color="auto"/>
              <w:right w:val="single" w:sz="4" w:space="0" w:color="auto"/>
            </w:tcBorders>
            <w:shd w:val="clear" w:color="000000" w:fill="ED7D31"/>
            <w:vAlign w:val="center"/>
            <w:hideMark/>
          </w:tcPr>
          <w:p w14:paraId="21DAB72E"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9,00</w:t>
            </w:r>
          </w:p>
        </w:tc>
        <w:tc>
          <w:tcPr>
            <w:tcW w:w="375" w:type="pct"/>
            <w:tcBorders>
              <w:top w:val="nil"/>
              <w:left w:val="nil"/>
              <w:bottom w:val="single" w:sz="4" w:space="0" w:color="auto"/>
              <w:right w:val="single" w:sz="4" w:space="0" w:color="auto"/>
            </w:tcBorders>
            <w:shd w:val="clear" w:color="000000" w:fill="ED7D31"/>
            <w:vAlign w:val="center"/>
            <w:hideMark/>
          </w:tcPr>
          <w:p w14:paraId="5EB2210C"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r>
      <w:tr w:rsidR="00AA4B61" w:rsidRPr="0022244A" w14:paraId="073168E8" w14:textId="77777777" w:rsidTr="00AA4B61">
        <w:trPr>
          <w:trHeight w:val="20"/>
        </w:trPr>
        <w:tc>
          <w:tcPr>
            <w:tcW w:w="383" w:type="pct"/>
            <w:vMerge/>
            <w:tcBorders>
              <w:top w:val="nil"/>
              <w:left w:val="single" w:sz="4" w:space="0" w:color="auto"/>
              <w:bottom w:val="single" w:sz="4" w:space="0" w:color="auto"/>
              <w:right w:val="single" w:sz="4" w:space="0" w:color="auto"/>
            </w:tcBorders>
            <w:vAlign w:val="center"/>
            <w:hideMark/>
          </w:tcPr>
          <w:p w14:paraId="19829356" w14:textId="77777777" w:rsidR="0022244A" w:rsidRPr="00565B02" w:rsidRDefault="0022244A" w:rsidP="0022244A">
            <w:pPr>
              <w:spacing w:after="0" w:line="240" w:lineRule="auto"/>
              <w:rPr>
                <w:rFonts w:ascii="Calibri" w:eastAsia="Times New Roman" w:hAnsi="Calibri" w:cs="Calibri"/>
                <w:b/>
                <w:bCs/>
                <w:color w:val="000000"/>
                <w:sz w:val="14"/>
                <w:szCs w:val="14"/>
              </w:rPr>
            </w:pPr>
          </w:p>
        </w:tc>
        <w:tc>
          <w:tcPr>
            <w:tcW w:w="306" w:type="pct"/>
            <w:tcBorders>
              <w:top w:val="nil"/>
              <w:left w:val="nil"/>
              <w:bottom w:val="single" w:sz="4" w:space="0" w:color="auto"/>
              <w:right w:val="single" w:sz="4" w:space="0" w:color="auto"/>
            </w:tcBorders>
            <w:shd w:val="clear" w:color="auto" w:fill="auto"/>
            <w:vAlign w:val="center"/>
            <w:hideMark/>
          </w:tcPr>
          <w:p w14:paraId="415B1133"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МП_ИИК15</w:t>
            </w:r>
          </w:p>
        </w:tc>
        <w:tc>
          <w:tcPr>
            <w:tcW w:w="1361" w:type="pct"/>
            <w:tcBorders>
              <w:top w:val="nil"/>
              <w:left w:val="nil"/>
              <w:bottom w:val="single" w:sz="4" w:space="0" w:color="auto"/>
              <w:right w:val="single" w:sz="4" w:space="0" w:color="auto"/>
            </w:tcBorders>
            <w:shd w:val="clear" w:color="auto" w:fill="auto"/>
            <w:vAlign w:val="center"/>
            <w:hideMark/>
          </w:tcPr>
          <w:p w14:paraId="5DAFABE4"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Промовисање међусекторске и географске мобилности истраживача</w:t>
            </w:r>
          </w:p>
        </w:tc>
        <w:tc>
          <w:tcPr>
            <w:tcW w:w="329" w:type="pct"/>
            <w:tcBorders>
              <w:top w:val="nil"/>
              <w:left w:val="nil"/>
              <w:bottom w:val="single" w:sz="4" w:space="0" w:color="auto"/>
              <w:right w:val="single" w:sz="4" w:space="0" w:color="auto"/>
            </w:tcBorders>
            <w:shd w:val="clear" w:color="auto" w:fill="auto"/>
            <w:vAlign w:val="center"/>
            <w:hideMark/>
          </w:tcPr>
          <w:p w14:paraId="376225EA"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Инвестиција</w:t>
            </w:r>
          </w:p>
        </w:tc>
        <w:tc>
          <w:tcPr>
            <w:tcW w:w="394" w:type="pct"/>
            <w:tcBorders>
              <w:top w:val="nil"/>
              <w:left w:val="nil"/>
              <w:bottom w:val="single" w:sz="4" w:space="0" w:color="auto"/>
              <w:right w:val="single" w:sz="4" w:space="0" w:color="auto"/>
            </w:tcBorders>
            <w:shd w:val="clear" w:color="auto" w:fill="auto"/>
            <w:vAlign w:val="center"/>
            <w:hideMark/>
          </w:tcPr>
          <w:p w14:paraId="4B5564EA"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260D35DB"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1,60</w:t>
            </w:r>
          </w:p>
        </w:tc>
        <w:tc>
          <w:tcPr>
            <w:tcW w:w="334" w:type="pct"/>
            <w:tcBorders>
              <w:top w:val="nil"/>
              <w:left w:val="nil"/>
              <w:bottom w:val="single" w:sz="4" w:space="0" w:color="auto"/>
              <w:right w:val="single" w:sz="4" w:space="0" w:color="auto"/>
            </w:tcBorders>
            <w:shd w:val="clear" w:color="000000" w:fill="ED7D31"/>
            <w:vAlign w:val="center"/>
            <w:hideMark/>
          </w:tcPr>
          <w:p w14:paraId="63D7EC05"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1,60</w:t>
            </w:r>
          </w:p>
        </w:tc>
        <w:tc>
          <w:tcPr>
            <w:tcW w:w="345" w:type="pct"/>
            <w:tcBorders>
              <w:top w:val="nil"/>
              <w:left w:val="nil"/>
              <w:bottom w:val="single" w:sz="4" w:space="0" w:color="auto"/>
              <w:right w:val="single" w:sz="4" w:space="0" w:color="auto"/>
            </w:tcBorders>
            <w:shd w:val="clear" w:color="000000" w:fill="ED7D31"/>
            <w:vAlign w:val="center"/>
            <w:hideMark/>
          </w:tcPr>
          <w:p w14:paraId="6D86775F"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c>
          <w:tcPr>
            <w:tcW w:w="371" w:type="pct"/>
            <w:tcBorders>
              <w:top w:val="nil"/>
              <w:left w:val="nil"/>
              <w:bottom w:val="single" w:sz="4" w:space="0" w:color="auto"/>
              <w:right w:val="single" w:sz="4" w:space="0" w:color="auto"/>
            </w:tcBorders>
            <w:shd w:val="clear" w:color="000000" w:fill="ED7D31"/>
            <w:vAlign w:val="center"/>
            <w:hideMark/>
          </w:tcPr>
          <w:p w14:paraId="5A9E6581"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WEM</w:t>
            </w:r>
          </w:p>
        </w:tc>
        <w:tc>
          <w:tcPr>
            <w:tcW w:w="375" w:type="pct"/>
            <w:tcBorders>
              <w:top w:val="nil"/>
              <w:left w:val="nil"/>
              <w:bottom w:val="single" w:sz="4" w:space="0" w:color="auto"/>
              <w:right w:val="single" w:sz="4" w:space="0" w:color="auto"/>
            </w:tcBorders>
            <w:shd w:val="clear" w:color="000000" w:fill="ED7D31"/>
            <w:vAlign w:val="center"/>
            <w:hideMark/>
          </w:tcPr>
          <w:p w14:paraId="09A8F895"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1,60</w:t>
            </w:r>
          </w:p>
        </w:tc>
        <w:tc>
          <w:tcPr>
            <w:tcW w:w="375" w:type="pct"/>
            <w:tcBorders>
              <w:top w:val="nil"/>
              <w:left w:val="nil"/>
              <w:bottom w:val="single" w:sz="4" w:space="0" w:color="auto"/>
              <w:right w:val="single" w:sz="4" w:space="0" w:color="auto"/>
            </w:tcBorders>
            <w:shd w:val="clear" w:color="000000" w:fill="ED7D31"/>
            <w:vAlign w:val="center"/>
            <w:hideMark/>
          </w:tcPr>
          <w:p w14:paraId="32552321"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r>
      <w:tr w:rsidR="00AA4B61" w:rsidRPr="0022244A" w14:paraId="47C2CE5E" w14:textId="77777777" w:rsidTr="00AA4B61">
        <w:trPr>
          <w:trHeight w:val="20"/>
        </w:trPr>
        <w:tc>
          <w:tcPr>
            <w:tcW w:w="383" w:type="pct"/>
            <w:vMerge/>
            <w:tcBorders>
              <w:top w:val="nil"/>
              <w:left w:val="single" w:sz="4" w:space="0" w:color="auto"/>
              <w:bottom w:val="single" w:sz="4" w:space="0" w:color="auto"/>
              <w:right w:val="single" w:sz="4" w:space="0" w:color="auto"/>
            </w:tcBorders>
            <w:vAlign w:val="center"/>
            <w:hideMark/>
          </w:tcPr>
          <w:p w14:paraId="0D923D70" w14:textId="77777777" w:rsidR="0022244A" w:rsidRPr="00565B02" w:rsidRDefault="0022244A" w:rsidP="0022244A">
            <w:pPr>
              <w:spacing w:after="0" w:line="240" w:lineRule="auto"/>
              <w:rPr>
                <w:rFonts w:ascii="Calibri" w:eastAsia="Times New Roman" w:hAnsi="Calibri" w:cs="Calibri"/>
                <w:b/>
                <w:bCs/>
                <w:color w:val="000000"/>
                <w:sz w:val="14"/>
                <w:szCs w:val="14"/>
                <w:lang w:val="en-US"/>
              </w:rPr>
            </w:pPr>
          </w:p>
        </w:tc>
        <w:tc>
          <w:tcPr>
            <w:tcW w:w="306" w:type="pct"/>
            <w:tcBorders>
              <w:top w:val="nil"/>
              <w:left w:val="nil"/>
              <w:bottom w:val="single" w:sz="4" w:space="0" w:color="auto"/>
              <w:right w:val="single" w:sz="4" w:space="0" w:color="auto"/>
            </w:tcBorders>
            <w:shd w:val="clear" w:color="auto" w:fill="auto"/>
            <w:vAlign w:val="center"/>
            <w:hideMark/>
          </w:tcPr>
          <w:p w14:paraId="3E4BAB28"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МП_ИИК16</w:t>
            </w:r>
          </w:p>
        </w:tc>
        <w:tc>
          <w:tcPr>
            <w:tcW w:w="1361" w:type="pct"/>
            <w:tcBorders>
              <w:top w:val="nil"/>
              <w:left w:val="nil"/>
              <w:bottom w:val="single" w:sz="4" w:space="0" w:color="auto"/>
              <w:right w:val="single" w:sz="4" w:space="0" w:color="auto"/>
            </w:tcBorders>
            <w:shd w:val="clear" w:color="auto" w:fill="auto"/>
            <w:vAlign w:val="center"/>
            <w:hideMark/>
          </w:tcPr>
          <w:p w14:paraId="77F20395"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Унапређење образовања/ обуке за подршку енергетској транзицији</w:t>
            </w:r>
          </w:p>
        </w:tc>
        <w:tc>
          <w:tcPr>
            <w:tcW w:w="329" w:type="pct"/>
            <w:tcBorders>
              <w:top w:val="nil"/>
              <w:left w:val="nil"/>
              <w:bottom w:val="single" w:sz="4" w:space="0" w:color="auto"/>
              <w:right w:val="single" w:sz="4" w:space="0" w:color="auto"/>
            </w:tcBorders>
            <w:shd w:val="clear" w:color="auto" w:fill="auto"/>
            <w:vAlign w:val="center"/>
            <w:hideMark/>
          </w:tcPr>
          <w:p w14:paraId="1A80541B"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Инвестиција</w:t>
            </w:r>
          </w:p>
        </w:tc>
        <w:tc>
          <w:tcPr>
            <w:tcW w:w="394" w:type="pct"/>
            <w:tcBorders>
              <w:top w:val="nil"/>
              <w:left w:val="nil"/>
              <w:bottom w:val="single" w:sz="4" w:space="0" w:color="auto"/>
              <w:right w:val="single" w:sz="4" w:space="0" w:color="auto"/>
            </w:tcBorders>
            <w:shd w:val="clear" w:color="auto" w:fill="auto"/>
            <w:vAlign w:val="center"/>
            <w:hideMark/>
          </w:tcPr>
          <w:p w14:paraId="482755B7"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28103961"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2,20</w:t>
            </w:r>
          </w:p>
        </w:tc>
        <w:tc>
          <w:tcPr>
            <w:tcW w:w="334" w:type="pct"/>
            <w:tcBorders>
              <w:top w:val="nil"/>
              <w:left w:val="nil"/>
              <w:bottom w:val="single" w:sz="4" w:space="0" w:color="auto"/>
              <w:right w:val="single" w:sz="4" w:space="0" w:color="auto"/>
            </w:tcBorders>
            <w:shd w:val="clear" w:color="000000" w:fill="ED7D31"/>
            <w:vAlign w:val="center"/>
            <w:hideMark/>
          </w:tcPr>
          <w:p w14:paraId="1176074C"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2,20</w:t>
            </w:r>
          </w:p>
        </w:tc>
        <w:tc>
          <w:tcPr>
            <w:tcW w:w="345" w:type="pct"/>
            <w:tcBorders>
              <w:top w:val="nil"/>
              <w:left w:val="nil"/>
              <w:bottom w:val="single" w:sz="4" w:space="0" w:color="auto"/>
              <w:right w:val="single" w:sz="4" w:space="0" w:color="auto"/>
            </w:tcBorders>
            <w:shd w:val="clear" w:color="000000" w:fill="ED7D31"/>
            <w:vAlign w:val="center"/>
            <w:hideMark/>
          </w:tcPr>
          <w:p w14:paraId="7802A5E7"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c>
          <w:tcPr>
            <w:tcW w:w="371" w:type="pct"/>
            <w:tcBorders>
              <w:top w:val="nil"/>
              <w:left w:val="nil"/>
              <w:bottom w:val="single" w:sz="4" w:space="0" w:color="auto"/>
              <w:right w:val="single" w:sz="4" w:space="0" w:color="auto"/>
            </w:tcBorders>
            <w:shd w:val="clear" w:color="000000" w:fill="ED7D31"/>
            <w:vAlign w:val="center"/>
            <w:hideMark/>
          </w:tcPr>
          <w:p w14:paraId="18A39112"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WEM</w:t>
            </w:r>
          </w:p>
        </w:tc>
        <w:tc>
          <w:tcPr>
            <w:tcW w:w="375" w:type="pct"/>
            <w:tcBorders>
              <w:top w:val="nil"/>
              <w:left w:val="nil"/>
              <w:bottom w:val="single" w:sz="4" w:space="0" w:color="auto"/>
              <w:right w:val="single" w:sz="4" w:space="0" w:color="auto"/>
            </w:tcBorders>
            <w:shd w:val="clear" w:color="000000" w:fill="ED7D31"/>
            <w:vAlign w:val="center"/>
            <w:hideMark/>
          </w:tcPr>
          <w:p w14:paraId="560126A5"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2,20</w:t>
            </w:r>
          </w:p>
        </w:tc>
        <w:tc>
          <w:tcPr>
            <w:tcW w:w="375" w:type="pct"/>
            <w:tcBorders>
              <w:top w:val="nil"/>
              <w:left w:val="nil"/>
              <w:bottom w:val="single" w:sz="4" w:space="0" w:color="auto"/>
              <w:right w:val="single" w:sz="4" w:space="0" w:color="auto"/>
            </w:tcBorders>
            <w:shd w:val="clear" w:color="000000" w:fill="ED7D31"/>
            <w:vAlign w:val="center"/>
            <w:hideMark/>
          </w:tcPr>
          <w:p w14:paraId="0534703F"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r>
      <w:tr w:rsidR="00AA4B61" w:rsidRPr="0022244A" w14:paraId="428B43CE" w14:textId="77777777" w:rsidTr="00AA4B61">
        <w:trPr>
          <w:trHeight w:val="20"/>
        </w:trPr>
        <w:tc>
          <w:tcPr>
            <w:tcW w:w="383" w:type="pct"/>
            <w:vMerge/>
            <w:tcBorders>
              <w:top w:val="nil"/>
              <w:left w:val="single" w:sz="4" w:space="0" w:color="auto"/>
              <w:bottom w:val="single" w:sz="4" w:space="0" w:color="auto"/>
              <w:right w:val="single" w:sz="4" w:space="0" w:color="auto"/>
            </w:tcBorders>
            <w:vAlign w:val="center"/>
            <w:hideMark/>
          </w:tcPr>
          <w:p w14:paraId="1773CFCE" w14:textId="77777777" w:rsidR="0022244A" w:rsidRPr="00565B02" w:rsidRDefault="0022244A" w:rsidP="0022244A">
            <w:pPr>
              <w:spacing w:after="0" w:line="240" w:lineRule="auto"/>
              <w:rPr>
                <w:rFonts w:ascii="Calibri" w:eastAsia="Times New Roman" w:hAnsi="Calibri" w:cs="Calibri"/>
                <w:b/>
                <w:bCs/>
                <w:color w:val="000000"/>
                <w:sz w:val="14"/>
                <w:szCs w:val="14"/>
                <w:lang w:val="en-US"/>
              </w:rPr>
            </w:pPr>
          </w:p>
        </w:tc>
        <w:tc>
          <w:tcPr>
            <w:tcW w:w="306" w:type="pct"/>
            <w:tcBorders>
              <w:top w:val="nil"/>
              <w:left w:val="nil"/>
              <w:bottom w:val="single" w:sz="4" w:space="0" w:color="auto"/>
              <w:right w:val="single" w:sz="4" w:space="0" w:color="auto"/>
            </w:tcBorders>
            <w:shd w:val="clear" w:color="auto" w:fill="auto"/>
            <w:vAlign w:val="center"/>
            <w:hideMark/>
          </w:tcPr>
          <w:p w14:paraId="50F7DBA4"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МП_ИИК17</w:t>
            </w:r>
          </w:p>
        </w:tc>
        <w:tc>
          <w:tcPr>
            <w:tcW w:w="1361" w:type="pct"/>
            <w:tcBorders>
              <w:top w:val="nil"/>
              <w:left w:val="nil"/>
              <w:bottom w:val="single" w:sz="4" w:space="0" w:color="auto"/>
              <w:right w:val="single" w:sz="4" w:space="0" w:color="auto"/>
            </w:tcBorders>
            <w:shd w:val="clear" w:color="auto" w:fill="auto"/>
            <w:vAlign w:val="center"/>
            <w:hideMark/>
          </w:tcPr>
          <w:p w14:paraId="4FB1F932"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Подстицање предузетништва преко активности истраживања и иновација интегрисаних у рад тржишта</w:t>
            </w:r>
          </w:p>
        </w:tc>
        <w:tc>
          <w:tcPr>
            <w:tcW w:w="329" w:type="pct"/>
            <w:tcBorders>
              <w:top w:val="nil"/>
              <w:left w:val="nil"/>
              <w:bottom w:val="single" w:sz="4" w:space="0" w:color="auto"/>
              <w:right w:val="single" w:sz="4" w:space="0" w:color="auto"/>
            </w:tcBorders>
            <w:shd w:val="clear" w:color="auto" w:fill="auto"/>
            <w:vAlign w:val="center"/>
            <w:hideMark/>
          </w:tcPr>
          <w:p w14:paraId="79B1CC1A"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Инвестиција</w:t>
            </w:r>
          </w:p>
        </w:tc>
        <w:tc>
          <w:tcPr>
            <w:tcW w:w="394" w:type="pct"/>
            <w:tcBorders>
              <w:top w:val="nil"/>
              <w:left w:val="nil"/>
              <w:bottom w:val="single" w:sz="4" w:space="0" w:color="auto"/>
              <w:right w:val="single" w:sz="4" w:space="0" w:color="auto"/>
            </w:tcBorders>
            <w:shd w:val="clear" w:color="auto" w:fill="auto"/>
            <w:vAlign w:val="center"/>
            <w:hideMark/>
          </w:tcPr>
          <w:p w14:paraId="34EFF297"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743A491E"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1,80</w:t>
            </w:r>
          </w:p>
        </w:tc>
        <w:tc>
          <w:tcPr>
            <w:tcW w:w="334" w:type="pct"/>
            <w:tcBorders>
              <w:top w:val="nil"/>
              <w:left w:val="nil"/>
              <w:bottom w:val="single" w:sz="4" w:space="0" w:color="auto"/>
              <w:right w:val="single" w:sz="4" w:space="0" w:color="auto"/>
            </w:tcBorders>
            <w:shd w:val="clear" w:color="000000" w:fill="ED7D31"/>
            <w:vAlign w:val="center"/>
            <w:hideMark/>
          </w:tcPr>
          <w:p w14:paraId="7B1401ED"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1,80</w:t>
            </w:r>
          </w:p>
        </w:tc>
        <w:tc>
          <w:tcPr>
            <w:tcW w:w="345" w:type="pct"/>
            <w:tcBorders>
              <w:top w:val="nil"/>
              <w:left w:val="nil"/>
              <w:bottom w:val="single" w:sz="4" w:space="0" w:color="auto"/>
              <w:right w:val="single" w:sz="4" w:space="0" w:color="auto"/>
            </w:tcBorders>
            <w:shd w:val="clear" w:color="000000" w:fill="ED7D31"/>
            <w:vAlign w:val="center"/>
            <w:hideMark/>
          </w:tcPr>
          <w:p w14:paraId="499ACF04"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c>
          <w:tcPr>
            <w:tcW w:w="371" w:type="pct"/>
            <w:tcBorders>
              <w:top w:val="nil"/>
              <w:left w:val="nil"/>
              <w:bottom w:val="single" w:sz="4" w:space="0" w:color="auto"/>
              <w:right w:val="single" w:sz="4" w:space="0" w:color="auto"/>
            </w:tcBorders>
            <w:shd w:val="clear" w:color="000000" w:fill="ED7D31"/>
            <w:vAlign w:val="center"/>
            <w:hideMark/>
          </w:tcPr>
          <w:p w14:paraId="5304B846"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WEM</w:t>
            </w:r>
          </w:p>
        </w:tc>
        <w:tc>
          <w:tcPr>
            <w:tcW w:w="375" w:type="pct"/>
            <w:tcBorders>
              <w:top w:val="nil"/>
              <w:left w:val="nil"/>
              <w:bottom w:val="single" w:sz="4" w:space="0" w:color="auto"/>
              <w:right w:val="single" w:sz="4" w:space="0" w:color="auto"/>
            </w:tcBorders>
            <w:shd w:val="clear" w:color="000000" w:fill="ED7D31"/>
            <w:vAlign w:val="center"/>
            <w:hideMark/>
          </w:tcPr>
          <w:p w14:paraId="771E3DE0"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1,80</w:t>
            </w:r>
          </w:p>
        </w:tc>
        <w:tc>
          <w:tcPr>
            <w:tcW w:w="375" w:type="pct"/>
            <w:tcBorders>
              <w:top w:val="nil"/>
              <w:left w:val="nil"/>
              <w:bottom w:val="single" w:sz="4" w:space="0" w:color="auto"/>
              <w:right w:val="single" w:sz="4" w:space="0" w:color="auto"/>
            </w:tcBorders>
            <w:shd w:val="clear" w:color="000000" w:fill="ED7D31"/>
            <w:vAlign w:val="center"/>
            <w:hideMark/>
          </w:tcPr>
          <w:p w14:paraId="5E38C285"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r>
      <w:tr w:rsidR="00AA4B61" w:rsidRPr="0022244A" w14:paraId="70DDF853" w14:textId="77777777" w:rsidTr="00AA4B61">
        <w:trPr>
          <w:trHeight w:val="20"/>
        </w:trPr>
        <w:tc>
          <w:tcPr>
            <w:tcW w:w="383" w:type="pct"/>
            <w:vMerge/>
            <w:tcBorders>
              <w:top w:val="nil"/>
              <w:left w:val="single" w:sz="4" w:space="0" w:color="auto"/>
              <w:bottom w:val="single" w:sz="4" w:space="0" w:color="auto"/>
              <w:right w:val="single" w:sz="4" w:space="0" w:color="auto"/>
            </w:tcBorders>
            <w:vAlign w:val="center"/>
            <w:hideMark/>
          </w:tcPr>
          <w:p w14:paraId="73B5075B" w14:textId="77777777" w:rsidR="0022244A" w:rsidRPr="00565B02" w:rsidRDefault="0022244A" w:rsidP="0022244A">
            <w:pPr>
              <w:spacing w:after="0" w:line="240" w:lineRule="auto"/>
              <w:rPr>
                <w:rFonts w:ascii="Calibri" w:eastAsia="Times New Roman" w:hAnsi="Calibri" w:cs="Calibri"/>
                <w:b/>
                <w:bCs/>
                <w:color w:val="000000"/>
                <w:sz w:val="14"/>
                <w:szCs w:val="14"/>
                <w:lang w:val="en-US"/>
              </w:rPr>
            </w:pPr>
          </w:p>
        </w:tc>
        <w:tc>
          <w:tcPr>
            <w:tcW w:w="306" w:type="pct"/>
            <w:tcBorders>
              <w:top w:val="nil"/>
              <w:left w:val="nil"/>
              <w:bottom w:val="single" w:sz="4" w:space="0" w:color="auto"/>
              <w:right w:val="single" w:sz="4" w:space="0" w:color="auto"/>
            </w:tcBorders>
            <w:shd w:val="clear" w:color="auto" w:fill="auto"/>
            <w:vAlign w:val="center"/>
            <w:hideMark/>
          </w:tcPr>
          <w:p w14:paraId="02E81FE1"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МП_ИИК18</w:t>
            </w:r>
          </w:p>
        </w:tc>
        <w:tc>
          <w:tcPr>
            <w:tcW w:w="1361" w:type="pct"/>
            <w:tcBorders>
              <w:top w:val="nil"/>
              <w:left w:val="nil"/>
              <w:bottom w:val="single" w:sz="4" w:space="0" w:color="auto"/>
              <w:right w:val="single" w:sz="4" w:space="0" w:color="auto"/>
            </w:tcBorders>
            <w:shd w:val="clear" w:color="auto" w:fill="auto"/>
            <w:vAlign w:val="center"/>
            <w:hideMark/>
          </w:tcPr>
          <w:p w14:paraId="1E1BAAEB"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Оптимизовање оквира подршке и шема за подстицање инвестиција у циљу јачања конкурентности</w:t>
            </w:r>
          </w:p>
        </w:tc>
        <w:tc>
          <w:tcPr>
            <w:tcW w:w="329" w:type="pct"/>
            <w:tcBorders>
              <w:top w:val="nil"/>
              <w:left w:val="nil"/>
              <w:bottom w:val="single" w:sz="4" w:space="0" w:color="auto"/>
              <w:right w:val="single" w:sz="4" w:space="0" w:color="auto"/>
            </w:tcBorders>
            <w:shd w:val="clear" w:color="auto" w:fill="auto"/>
            <w:vAlign w:val="center"/>
            <w:hideMark/>
          </w:tcPr>
          <w:p w14:paraId="2678CB59"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Реформа</w:t>
            </w:r>
          </w:p>
        </w:tc>
        <w:tc>
          <w:tcPr>
            <w:tcW w:w="394" w:type="pct"/>
            <w:tcBorders>
              <w:top w:val="nil"/>
              <w:left w:val="nil"/>
              <w:bottom w:val="single" w:sz="4" w:space="0" w:color="auto"/>
              <w:right w:val="single" w:sz="4" w:space="0" w:color="auto"/>
            </w:tcBorders>
            <w:shd w:val="clear" w:color="auto" w:fill="auto"/>
            <w:vAlign w:val="center"/>
            <w:hideMark/>
          </w:tcPr>
          <w:p w14:paraId="031DD4E0"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2A7C4A0D"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0,10</w:t>
            </w:r>
          </w:p>
        </w:tc>
        <w:tc>
          <w:tcPr>
            <w:tcW w:w="334" w:type="pct"/>
            <w:tcBorders>
              <w:top w:val="nil"/>
              <w:left w:val="nil"/>
              <w:bottom w:val="single" w:sz="4" w:space="0" w:color="auto"/>
              <w:right w:val="single" w:sz="4" w:space="0" w:color="auto"/>
            </w:tcBorders>
            <w:shd w:val="clear" w:color="000000" w:fill="ED7D31"/>
            <w:vAlign w:val="center"/>
            <w:hideMark/>
          </w:tcPr>
          <w:p w14:paraId="7D31A2CC"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0,10</w:t>
            </w:r>
          </w:p>
        </w:tc>
        <w:tc>
          <w:tcPr>
            <w:tcW w:w="345" w:type="pct"/>
            <w:tcBorders>
              <w:top w:val="nil"/>
              <w:left w:val="nil"/>
              <w:bottom w:val="single" w:sz="4" w:space="0" w:color="auto"/>
              <w:right w:val="single" w:sz="4" w:space="0" w:color="auto"/>
            </w:tcBorders>
            <w:shd w:val="clear" w:color="000000" w:fill="ED7D31"/>
            <w:vAlign w:val="center"/>
            <w:hideMark/>
          </w:tcPr>
          <w:p w14:paraId="743F674A"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c>
          <w:tcPr>
            <w:tcW w:w="371" w:type="pct"/>
            <w:tcBorders>
              <w:top w:val="nil"/>
              <w:left w:val="nil"/>
              <w:bottom w:val="single" w:sz="4" w:space="0" w:color="auto"/>
              <w:right w:val="single" w:sz="4" w:space="0" w:color="auto"/>
            </w:tcBorders>
            <w:shd w:val="clear" w:color="000000" w:fill="ED7D31"/>
            <w:vAlign w:val="center"/>
            <w:hideMark/>
          </w:tcPr>
          <w:p w14:paraId="3F6A7366"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WEM</w:t>
            </w:r>
          </w:p>
        </w:tc>
        <w:tc>
          <w:tcPr>
            <w:tcW w:w="375" w:type="pct"/>
            <w:tcBorders>
              <w:top w:val="nil"/>
              <w:left w:val="nil"/>
              <w:bottom w:val="single" w:sz="4" w:space="0" w:color="auto"/>
              <w:right w:val="single" w:sz="4" w:space="0" w:color="auto"/>
            </w:tcBorders>
            <w:shd w:val="clear" w:color="000000" w:fill="ED7D31"/>
            <w:vAlign w:val="center"/>
            <w:hideMark/>
          </w:tcPr>
          <w:p w14:paraId="71D9F116"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0,10</w:t>
            </w:r>
          </w:p>
        </w:tc>
        <w:tc>
          <w:tcPr>
            <w:tcW w:w="375" w:type="pct"/>
            <w:tcBorders>
              <w:top w:val="nil"/>
              <w:left w:val="nil"/>
              <w:bottom w:val="single" w:sz="4" w:space="0" w:color="auto"/>
              <w:right w:val="single" w:sz="4" w:space="0" w:color="auto"/>
            </w:tcBorders>
            <w:shd w:val="clear" w:color="000000" w:fill="ED7D31"/>
            <w:vAlign w:val="center"/>
            <w:hideMark/>
          </w:tcPr>
          <w:p w14:paraId="5102BB72"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r>
      <w:tr w:rsidR="00AA4B61" w:rsidRPr="0022244A" w14:paraId="4232BA33" w14:textId="77777777" w:rsidTr="00AA4B61">
        <w:trPr>
          <w:trHeight w:val="20"/>
        </w:trPr>
        <w:tc>
          <w:tcPr>
            <w:tcW w:w="383" w:type="pct"/>
            <w:vMerge/>
            <w:tcBorders>
              <w:top w:val="nil"/>
              <w:left w:val="single" w:sz="4" w:space="0" w:color="auto"/>
              <w:bottom w:val="single" w:sz="4" w:space="0" w:color="auto"/>
              <w:right w:val="single" w:sz="4" w:space="0" w:color="auto"/>
            </w:tcBorders>
            <w:vAlign w:val="center"/>
            <w:hideMark/>
          </w:tcPr>
          <w:p w14:paraId="0E8C8848" w14:textId="77777777" w:rsidR="0022244A" w:rsidRPr="00565B02" w:rsidRDefault="0022244A" w:rsidP="0022244A">
            <w:pPr>
              <w:spacing w:after="0" w:line="240" w:lineRule="auto"/>
              <w:rPr>
                <w:rFonts w:ascii="Calibri" w:eastAsia="Times New Roman" w:hAnsi="Calibri" w:cs="Calibri"/>
                <w:b/>
                <w:bCs/>
                <w:color w:val="000000"/>
                <w:sz w:val="14"/>
                <w:szCs w:val="14"/>
                <w:lang w:val="en-US"/>
              </w:rPr>
            </w:pPr>
          </w:p>
        </w:tc>
        <w:tc>
          <w:tcPr>
            <w:tcW w:w="306" w:type="pct"/>
            <w:tcBorders>
              <w:top w:val="nil"/>
              <w:left w:val="nil"/>
              <w:bottom w:val="single" w:sz="4" w:space="0" w:color="auto"/>
              <w:right w:val="single" w:sz="4" w:space="0" w:color="auto"/>
            </w:tcBorders>
            <w:shd w:val="clear" w:color="auto" w:fill="auto"/>
            <w:vAlign w:val="center"/>
            <w:hideMark/>
          </w:tcPr>
          <w:p w14:paraId="4054FD03"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МП_ИИК19</w:t>
            </w:r>
          </w:p>
        </w:tc>
        <w:tc>
          <w:tcPr>
            <w:tcW w:w="1361" w:type="pct"/>
            <w:tcBorders>
              <w:top w:val="nil"/>
              <w:left w:val="nil"/>
              <w:bottom w:val="single" w:sz="4" w:space="0" w:color="auto"/>
              <w:right w:val="single" w:sz="4" w:space="0" w:color="auto"/>
            </w:tcBorders>
            <w:shd w:val="clear" w:color="auto" w:fill="auto"/>
            <w:vAlign w:val="center"/>
            <w:hideMark/>
          </w:tcPr>
          <w:p w14:paraId="177B212D"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 xml:space="preserve">Јачање конкурентности путем оснивања и вођења посебних циљних фондова </w:t>
            </w:r>
          </w:p>
        </w:tc>
        <w:tc>
          <w:tcPr>
            <w:tcW w:w="329" w:type="pct"/>
            <w:tcBorders>
              <w:top w:val="nil"/>
              <w:left w:val="nil"/>
              <w:bottom w:val="single" w:sz="4" w:space="0" w:color="auto"/>
              <w:right w:val="single" w:sz="4" w:space="0" w:color="auto"/>
            </w:tcBorders>
            <w:shd w:val="clear" w:color="auto" w:fill="auto"/>
            <w:vAlign w:val="center"/>
            <w:hideMark/>
          </w:tcPr>
          <w:p w14:paraId="69B480F4"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Реформа</w:t>
            </w:r>
          </w:p>
        </w:tc>
        <w:tc>
          <w:tcPr>
            <w:tcW w:w="394" w:type="pct"/>
            <w:tcBorders>
              <w:top w:val="nil"/>
              <w:left w:val="nil"/>
              <w:bottom w:val="single" w:sz="4" w:space="0" w:color="auto"/>
              <w:right w:val="single" w:sz="4" w:space="0" w:color="auto"/>
            </w:tcBorders>
            <w:shd w:val="clear" w:color="auto" w:fill="auto"/>
            <w:vAlign w:val="center"/>
            <w:hideMark/>
          </w:tcPr>
          <w:p w14:paraId="4CC40707"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174E7116"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0,10</w:t>
            </w:r>
          </w:p>
        </w:tc>
        <w:tc>
          <w:tcPr>
            <w:tcW w:w="334" w:type="pct"/>
            <w:tcBorders>
              <w:top w:val="nil"/>
              <w:left w:val="nil"/>
              <w:bottom w:val="single" w:sz="4" w:space="0" w:color="auto"/>
              <w:right w:val="single" w:sz="4" w:space="0" w:color="auto"/>
            </w:tcBorders>
            <w:shd w:val="clear" w:color="000000" w:fill="ED7D31"/>
            <w:vAlign w:val="center"/>
            <w:hideMark/>
          </w:tcPr>
          <w:p w14:paraId="37550ECB"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0,10</w:t>
            </w:r>
          </w:p>
        </w:tc>
        <w:tc>
          <w:tcPr>
            <w:tcW w:w="345" w:type="pct"/>
            <w:tcBorders>
              <w:top w:val="nil"/>
              <w:left w:val="nil"/>
              <w:bottom w:val="single" w:sz="4" w:space="0" w:color="auto"/>
              <w:right w:val="single" w:sz="4" w:space="0" w:color="auto"/>
            </w:tcBorders>
            <w:shd w:val="clear" w:color="000000" w:fill="ED7D31"/>
            <w:vAlign w:val="center"/>
            <w:hideMark/>
          </w:tcPr>
          <w:p w14:paraId="55254541"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c>
          <w:tcPr>
            <w:tcW w:w="371" w:type="pct"/>
            <w:tcBorders>
              <w:top w:val="nil"/>
              <w:left w:val="nil"/>
              <w:bottom w:val="single" w:sz="4" w:space="0" w:color="auto"/>
              <w:right w:val="single" w:sz="4" w:space="0" w:color="auto"/>
            </w:tcBorders>
            <w:shd w:val="clear" w:color="000000" w:fill="ED7D31"/>
            <w:vAlign w:val="center"/>
            <w:hideMark/>
          </w:tcPr>
          <w:p w14:paraId="11DEC1B5"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WEM</w:t>
            </w:r>
          </w:p>
        </w:tc>
        <w:tc>
          <w:tcPr>
            <w:tcW w:w="375" w:type="pct"/>
            <w:tcBorders>
              <w:top w:val="nil"/>
              <w:left w:val="nil"/>
              <w:bottom w:val="single" w:sz="4" w:space="0" w:color="auto"/>
              <w:right w:val="single" w:sz="4" w:space="0" w:color="auto"/>
            </w:tcBorders>
            <w:shd w:val="clear" w:color="000000" w:fill="ED7D31"/>
            <w:vAlign w:val="center"/>
            <w:hideMark/>
          </w:tcPr>
          <w:p w14:paraId="29B9F03B"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0,10</w:t>
            </w:r>
          </w:p>
        </w:tc>
        <w:tc>
          <w:tcPr>
            <w:tcW w:w="375" w:type="pct"/>
            <w:tcBorders>
              <w:top w:val="nil"/>
              <w:left w:val="nil"/>
              <w:bottom w:val="single" w:sz="4" w:space="0" w:color="auto"/>
              <w:right w:val="single" w:sz="4" w:space="0" w:color="auto"/>
            </w:tcBorders>
            <w:shd w:val="clear" w:color="000000" w:fill="ED7D31"/>
            <w:vAlign w:val="center"/>
            <w:hideMark/>
          </w:tcPr>
          <w:p w14:paraId="5D41D91B"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r>
      <w:tr w:rsidR="00AA4B61" w:rsidRPr="0022244A" w14:paraId="44394EC3" w14:textId="77777777" w:rsidTr="00AA4B61">
        <w:trPr>
          <w:trHeight w:val="20"/>
        </w:trPr>
        <w:tc>
          <w:tcPr>
            <w:tcW w:w="383" w:type="pct"/>
            <w:vMerge/>
            <w:tcBorders>
              <w:top w:val="nil"/>
              <w:left w:val="single" w:sz="4" w:space="0" w:color="auto"/>
              <w:bottom w:val="single" w:sz="4" w:space="0" w:color="auto"/>
              <w:right w:val="single" w:sz="4" w:space="0" w:color="auto"/>
            </w:tcBorders>
            <w:vAlign w:val="center"/>
            <w:hideMark/>
          </w:tcPr>
          <w:p w14:paraId="2F1E04C1" w14:textId="77777777" w:rsidR="0022244A" w:rsidRPr="00565B02" w:rsidRDefault="0022244A" w:rsidP="0022244A">
            <w:pPr>
              <w:spacing w:after="0" w:line="240" w:lineRule="auto"/>
              <w:rPr>
                <w:rFonts w:ascii="Calibri" w:eastAsia="Times New Roman" w:hAnsi="Calibri" w:cs="Calibri"/>
                <w:b/>
                <w:bCs/>
                <w:color w:val="000000"/>
                <w:sz w:val="14"/>
                <w:szCs w:val="14"/>
                <w:lang w:val="en-US"/>
              </w:rPr>
            </w:pPr>
          </w:p>
        </w:tc>
        <w:tc>
          <w:tcPr>
            <w:tcW w:w="306" w:type="pct"/>
            <w:tcBorders>
              <w:top w:val="nil"/>
              <w:left w:val="nil"/>
              <w:bottom w:val="single" w:sz="4" w:space="0" w:color="auto"/>
              <w:right w:val="single" w:sz="4" w:space="0" w:color="auto"/>
            </w:tcBorders>
            <w:shd w:val="clear" w:color="auto" w:fill="auto"/>
            <w:vAlign w:val="center"/>
            <w:hideMark/>
          </w:tcPr>
          <w:p w14:paraId="2DA92BDE"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МП_ИИК20</w:t>
            </w:r>
          </w:p>
        </w:tc>
        <w:tc>
          <w:tcPr>
            <w:tcW w:w="1361" w:type="pct"/>
            <w:tcBorders>
              <w:top w:val="nil"/>
              <w:left w:val="nil"/>
              <w:bottom w:val="single" w:sz="4" w:space="0" w:color="auto"/>
              <w:right w:val="single" w:sz="4" w:space="0" w:color="auto"/>
            </w:tcBorders>
            <w:shd w:val="clear" w:color="auto" w:fill="auto"/>
            <w:vAlign w:val="center"/>
            <w:hideMark/>
          </w:tcPr>
          <w:p w14:paraId="4E04AFA0" w14:textId="77777777" w:rsidR="0022244A" w:rsidRPr="00565B02" w:rsidRDefault="0022244A" w:rsidP="0022244A">
            <w:pPr>
              <w:spacing w:after="0" w:line="240" w:lineRule="auto"/>
              <w:rPr>
                <w:rFonts w:ascii="Calibri" w:eastAsia="Times New Roman" w:hAnsi="Calibri" w:cs="Calibri"/>
                <w:color w:val="000000"/>
                <w:sz w:val="14"/>
                <w:szCs w:val="14"/>
              </w:rPr>
            </w:pPr>
            <w:r w:rsidRPr="00565B02">
              <w:rPr>
                <w:rFonts w:ascii="Calibri" w:eastAsia="Times New Roman" w:hAnsi="Calibri" w:cs="Calibri"/>
                <w:color w:val="000000"/>
                <w:sz w:val="14"/>
                <w:szCs w:val="14"/>
              </w:rPr>
              <w:t>Подстицање иновативних технологија циркуларне економије у циљу побољшања конкурентности предузећа</w:t>
            </w:r>
          </w:p>
        </w:tc>
        <w:tc>
          <w:tcPr>
            <w:tcW w:w="329" w:type="pct"/>
            <w:tcBorders>
              <w:top w:val="nil"/>
              <w:left w:val="nil"/>
              <w:bottom w:val="single" w:sz="4" w:space="0" w:color="auto"/>
              <w:right w:val="single" w:sz="4" w:space="0" w:color="auto"/>
            </w:tcBorders>
            <w:shd w:val="clear" w:color="auto" w:fill="auto"/>
            <w:vAlign w:val="center"/>
            <w:hideMark/>
          </w:tcPr>
          <w:p w14:paraId="24D26E02"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Инвестиција</w:t>
            </w:r>
          </w:p>
        </w:tc>
        <w:tc>
          <w:tcPr>
            <w:tcW w:w="394" w:type="pct"/>
            <w:tcBorders>
              <w:top w:val="nil"/>
              <w:left w:val="nil"/>
              <w:bottom w:val="single" w:sz="4" w:space="0" w:color="auto"/>
              <w:right w:val="single" w:sz="4" w:space="0" w:color="auto"/>
            </w:tcBorders>
            <w:shd w:val="clear" w:color="auto" w:fill="auto"/>
            <w:vAlign w:val="center"/>
            <w:hideMark/>
          </w:tcPr>
          <w:p w14:paraId="37D3173F"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 </w:t>
            </w:r>
          </w:p>
        </w:tc>
        <w:tc>
          <w:tcPr>
            <w:tcW w:w="428" w:type="pct"/>
            <w:tcBorders>
              <w:top w:val="nil"/>
              <w:left w:val="nil"/>
              <w:bottom w:val="single" w:sz="4" w:space="0" w:color="auto"/>
              <w:right w:val="single" w:sz="4" w:space="0" w:color="auto"/>
            </w:tcBorders>
            <w:shd w:val="clear" w:color="000000" w:fill="E2EFDA"/>
            <w:vAlign w:val="center"/>
            <w:hideMark/>
          </w:tcPr>
          <w:p w14:paraId="382FA188"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4,50</w:t>
            </w:r>
          </w:p>
        </w:tc>
        <w:tc>
          <w:tcPr>
            <w:tcW w:w="334" w:type="pct"/>
            <w:tcBorders>
              <w:top w:val="nil"/>
              <w:left w:val="nil"/>
              <w:bottom w:val="single" w:sz="4" w:space="0" w:color="auto"/>
              <w:right w:val="single" w:sz="4" w:space="0" w:color="auto"/>
            </w:tcBorders>
            <w:shd w:val="clear" w:color="000000" w:fill="ED7D31"/>
            <w:vAlign w:val="center"/>
            <w:hideMark/>
          </w:tcPr>
          <w:p w14:paraId="1654A97D"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2,25</w:t>
            </w:r>
          </w:p>
        </w:tc>
        <w:tc>
          <w:tcPr>
            <w:tcW w:w="345" w:type="pct"/>
            <w:tcBorders>
              <w:top w:val="nil"/>
              <w:left w:val="nil"/>
              <w:bottom w:val="single" w:sz="4" w:space="0" w:color="auto"/>
              <w:right w:val="single" w:sz="4" w:space="0" w:color="auto"/>
            </w:tcBorders>
            <w:shd w:val="clear" w:color="000000" w:fill="ED7D31"/>
            <w:vAlign w:val="center"/>
            <w:hideMark/>
          </w:tcPr>
          <w:p w14:paraId="48F6D409"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2,25</w:t>
            </w:r>
          </w:p>
        </w:tc>
        <w:tc>
          <w:tcPr>
            <w:tcW w:w="371" w:type="pct"/>
            <w:tcBorders>
              <w:top w:val="nil"/>
              <w:left w:val="nil"/>
              <w:bottom w:val="single" w:sz="4" w:space="0" w:color="auto"/>
              <w:right w:val="single" w:sz="4" w:space="0" w:color="auto"/>
            </w:tcBorders>
            <w:shd w:val="clear" w:color="000000" w:fill="ED7D31"/>
            <w:vAlign w:val="center"/>
            <w:hideMark/>
          </w:tcPr>
          <w:p w14:paraId="40313CE1"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WEM</w:t>
            </w:r>
          </w:p>
        </w:tc>
        <w:tc>
          <w:tcPr>
            <w:tcW w:w="375" w:type="pct"/>
            <w:tcBorders>
              <w:top w:val="nil"/>
              <w:left w:val="nil"/>
              <w:bottom w:val="single" w:sz="4" w:space="0" w:color="auto"/>
              <w:right w:val="single" w:sz="4" w:space="0" w:color="auto"/>
            </w:tcBorders>
            <w:shd w:val="clear" w:color="000000" w:fill="ED7D31"/>
            <w:vAlign w:val="center"/>
            <w:hideMark/>
          </w:tcPr>
          <w:p w14:paraId="3BF954E3"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4,50</w:t>
            </w:r>
          </w:p>
        </w:tc>
        <w:tc>
          <w:tcPr>
            <w:tcW w:w="375" w:type="pct"/>
            <w:tcBorders>
              <w:top w:val="nil"/>
              <w:left w:val="nil"/>
              <w:bottom w:val="single" w:sz="4" w:space="0" w:color="auto"/>
              <w:right w:val="single" w:sz="4" w:space="0" w:color="auto"/>
            </w:tcBorders>
            <w:shd w:val="clear" w:color="000000" w:fill="ED7D31"/>
            <w:vAlign w:val="center"/>
            <w:hideMark/>
          </w:tcPr>
          <w:p w14:paraId="673A5770" w14:textId="77777777" w:rsidR="0022244A" w:rsidRPr="00565B02" w:rsidRDefault="0022244A" w:rsidP="0022244A">
            <w:pPr>
              <w:spacing w:after="0" w:line="240" w:lineRule="auto"/>
              <w:jc w:val="center"/>
              <w:rPr>
                <w:rFonts w:ascii="Calibri" w:eastAsia="Times New Roman" w:hAnsi="Calibri" w:cs="Calibri"/>
                <w:color w:val="000000"/>
                <w:sz w:val="14"/>
                <w:szCs w:val="14"/>
              </w:rPr>
            </w:pPr>
            <w:r w:rsidRPr="00565B02">
              <w:rPr>
                <w:rFonts w:ascii="Calibri" w:eastAsia="Times New Roman" w:hAnsi="Calibri" w:cs="Calibri"/>
                <w:color w:val="000000"/>
                <w:sz w:val="14"/>
                <w:szCs w:val="14"/>
              </w:rPr>
              <w:t>0,00</w:t>
            </w:r>
          </w:p>
        </w:tc>
      </w:tr>
      <w:tr w:rsidR="00AA4B61" w:rsidRPr="0022244A" w14:paraId="23F767B1" w14:textId="77777777" w:rsidTr="00AA4B61">
        <w:trPr>
          <w:trHeight w:val="72"/>
        </w:trPr>
        <w:tc>
          <w:tcPr>
            <w:tcW w:w="383"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658F57F8" w14:textId="77777777" w:rsidR="0022244A" w:rsidRPr="00565B02" w:rsidRDefault="0022244A" w:rsidP="0022244A">
            <w:pPr>
              <w:spacing w:after="0" w:line="240" w:lineRule="auto"/>
              <w:jc w:val="center"/>
              <w:rPr>
                <w:rFonts w:ascii="Calibri" w:eastAsia="Times New Roman" w:hAnsi="Calibri" w:cs="Calibri"/>
                <w:b/>
                <w:bCs/>
                <w:color w:val="000000"/>
                <w:sz w:val="14"/>
                <w:szCs w:val="14"/>
                <w:lang w:val="en-US"/>
              </w:rPr>
            </w:pPr>
            <w:r w:rsidRPr="00565B02">
              <w:rPr>
                <w:rFonts w:ascii="Calibri" w:eastAsia="Times New Roman" w:hAnsi="Calibri" w:cs="Calibri"/>
                <w:b/>
                <w:bCs/>
                <w:color w:val="000000"/>
                <w:sz w:val="14"/>
                <w:szCs w:val="14"/>
                <w:lang w:val="en-US"/>
              </w:rPr>
              <w:t> </w:t>
            </w:r>
          </w:p>
        </w:tc>
        <w:tc>
          <w:tcPr>
            <w:tcW w:w="306" w:type="pct"/>
            <w:tcBorders>
              <w:top w:val="single" w:sz="4" w:space="0" w:color="auto"/>
              <w:left w:val="nil"/>
              <w:bottom w:val="single" w:sz="4" w:space="0" w:color="auto"/>
              <w:right w:val="single" w:sz="4" w:space="0" w:color="auto"/>
            </w:tcBorders>
            <w:shd w:val="clear" w:color="auto" w:fill="auto"/>
            <w:vAlign w:val="center"/>
            <w:hideMark/>
          </w:tcPr>
          <w:p w14:paraId="472EA9B9" w14:textId="77777777" w:rsidR="0022244A" w:rsidRPr="00565B02" w:rsidRDefault="0022244A" w:rsidP="0022244A">
            <w:pPr>
              <w:spacing w:after="0" w:line="240" w:lineRule="auto"/>
              <w:rPr>
                <w:rFonts w:ascii="Calibri" w:eastAsia="Times New Roman" w:hAnsi="Calibri" w:cs="Calibri"/>
                <w:b/>
                <w:bCs/>
                <w:color w:val="000000"/>
                <w:sz w:val="14"/>
                <w:szCs w:val="14"/>
              </w:rPr>
            </w:pPr>
            <w:r w:rsidRPr="00565B02">
              <w:rPr>
                <w:rFonts w:ascii="Calibri" w:eastAsia="Times New Roman" w:hAnsi="Calibri" w:cs="Calibri"/>
                <w:b/>
                <w:bCs/>
                <w:color w:val="000000"/>
                <w:sz w:val="14"/>
                <w:szCs w:val="14"/>
              </w:rPr>
              <w:t> </w:t>
            </w:r>
          </w:p>
        </w:tc>
        <w:tc>
          <w:tcPr>
            <w:tcW w:w="1361" w:type="pct"/>
            <w:tcBorders>
              <w:top w:val="single" w:sz="4" w:space="0" w:color="auto"/>
              <w:left w:val="nil"/>
              <w:bottom w:val="single" w:sz="4" w:space="0" w:color="auto"/>
              <w:right w:val="single" w:sz="4" w:space="0" w:color="auto"/>
            </w:tcBorders>
            <w:shd w:val="clear" w:color="auto" w:fill="auto"/>
            <w:vAlign w:val="center"/>
            <w:hideMark/>
          </w:tcPr>
          <w:p w14:paraId="6431F5DF" w14:textId="77777777" w:rsidR="0022244A" w:rsidRPr="00565B02" w:rsidRDefault="0022244A" w:rsidP="0022244A">
            <w:pPr>
              <w:spacing w:after="0" w:line="240" w:lineRule="auto"/>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УКУПНО ЗА ИИК</w:t>
            </w:r>
          </w:p>
        </w:tc>
        <w:tc>
          <w:tcPr>
            <w:tcW w:w="329" w:type="pct"/>
            <w:tcBorders>
              <w:top w:val="single" w:sz="4" w:space="0" w:color="auto"/>
              <w:left w:val="nil"/>
              <w:bottom w:val="single" w:sz="4" w:space="0" w:color="auto"/>
              <w:right w:val="single" w:sz="4" w:space="0" w:color="auto"/>
            </w:tcBorders>
            <w:shd w:val="clear" w:color="auto" w:fill="auto"/>
            <w:vAlign w:val="center"/>
            <w:hideMark/>
          </w:tcPr>
          <w:p w14:paraId="6BB259C8" w14:textId="77777777" w:rsidR="0022244A" w:rsidRPr="00565B02" w:rsidRDefault="0022244A" w:rsidP="0022244A">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 </w:t>
            </w:r>
          </w:p>
        </w:tc>
        <w:tc>
          <w:tcPr>
            <w:tcW w:w="394" w:type="pct"/>
            <w:tcBorders>
              <w:top w:val="single" w:sz="4" w:space="0" w:color="auto"/>
              <w:left w:val="nil"/>
              <w:bottom w:val="single" w:sz="4" w:space="0" w:color="auto"/>
              <w:right w:val="single" w:sz="4" w:space="0" w:color="auto"/>
            </w:tcBorders>
            <w:shd w:val="clear" w:color="auto" w:fill="auto"/>
            <w:vAlign w:val="center"/>
            <w:hideMark/>
          </w:tcPr>
          <w:p w14:paraId="342B2B78" w14:textId="77777777" w:rsidR="0022244A" w:rsidRPr="00565B02" w:rsidRDefault="0022244A" w:rsidP="0022244A">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 </w:t>
            </w:r>
          </w:p>
        </w:tc>
        <w:tc>
          <w:tcPr>
            <w:tcW w:w="428" w:type="pct"/>
            <w:tcBorders>
              <w:top w:val="single" w:sz="4" w:space="0" w:color="auto"/>
              <w:left w:val="nil"/>
              <w:bottom w:val="single" w:sz="4" w:space="0" w:color="auto"/>
              <w:right w:val="single" w:sz="4" w:space="0" w:color="auto"/>
            </w:tcBorders>
            <w:shd w:val="clear" w:color="000000" w:fill="E2EFDA"/>
            <w:vAlign w:val="center"/>
            <w:hideMark/>
          </w:tcPr>
          <w:p w14:paraId="772F5DF4" w14:textId="77777777" w:rsidR="0022244A" w:rsidRPr="00565B02" w:rsidRDefault="0022244A" w:rsidP="0022244A">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0,11</w:t>
            </w:r>
          </w:p>
        </w:tc>
        <w:tc>
          <w:tcPr>
            <w:tcW w:w="334" w:type="pct"/>
            <w:tcBorders>
              <w:top w:val="single" w:sz="4" w:space="0" w:color="auto"/>
              <w:left w:val="nil"/>
              <w:bottom w:val="single" w:sz="4" w:space="0" w:color="auto"/>
              <w:right w:val="single" w:sz="4" w:space="0" w:color="auto"/>
            </w:tcBorders>
            <w:shd w:val="clear" w:color="000000" w:fill="E2EFDA"/>
            <w:vAlign w:val="center"/>
            <w:hideMark/>
          </w:tcPr>
          <w:p w14:paraId="6F343ECB" w14:textId="77777777" w:rsidR="0022244A" w:rsidRPr="00565B02" w:rsidRDefault="0022244A" w:rsidP="0022244A">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0,06</w:t>
            </w:r>
          </w:p>
        </w:tc>
        <w:tc>
          <w:tcPr>
            <w:tcW w:w="345" w:type="pct"/>
            <w:tcBorders>
              <w:top w:val="single" w:sz="4" w:space="0" w:color="auto"/>
              <w:left w:val="nil"/>
              <w:bottom w:val="single" w:sz="4" w:space="0" w:color="auto"/>
              <w:right w:val="single" w:sz="4" w:space="0" w:color="auto"/>
            </w:tcBorders>
            <w:shd w:val="clear" w:color="000000" w:fill="E2EFDA"/>
            <w:vAlign w:val="center"/>
            <w:hideMark/>
          </w:tcPr>
          <w:p w14:paraId="4259D3FA" w14:textId="77777777" w:rsidR="0022244A" w:rsidRPr="00565B02" w:rsidRDefault="0022244A" w:rsidP="0022244A">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0,05</w:t>
            </w:r>
          </w:p>
        </w:tc>
        <w:tc>
          <w:tcPr>
            <w:tcW w:w="371" w:type="pct"/>
            <w:tcBorders>
              <w:top w:val="single" w:sz="4" w:space="0" w:color="auto"/>
              <w:left w:val="nil"/>
              <w:bottom w:val="single" w:sz="4" w:space="0" w:color="auto"/>
              <w:right w:val="single" w:sz="4" w:space="0" w:color="auto"/>
            </w:tcBorders>
            <w:shd w:val="clear" w:color="000000" w:fill="E2EFDA"/>
            <w:vAlign w:val="center"/>
            <w:hideMark/>
          </w:tcPr>
          <w:p w14:paraId="0B25FCC2" w14:textId="77777777" w:rsidR="0022244A" w:rsidRPr="00565B02" w:rsidRDefault="0022244A" w:rsidP="0022244A">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 </w:t>
            </w:r>
          </w:p>
        </w:tc>
        <w:tc>
          <w:tcPr>
            <w:tcW w:w="375" w:type="pct"/>
            <w:tcBorders>
              <w:top w:val="single" w:sz="4" w:space="0" w:color="auto"/>
              <w:left w:val="nil"/>
              <w:bottom w:val="single" w:sz="4" w:space="0" w:color="auto"/>
              <w:right w:val="single" w:sz="4" w:space="0" w:color="auto"/>
            </w:tcBorders>
            <w:shd w:val="clear" w:color="000000" w:fill="E2EFDA"/>
            <w:vAlign w:val="center"/>
            <w:hideMark/>
          </w:tcPr>
          <w:p w14:paraId="4B5E5746" w14:textId="77777777" w:rsidR="0022244A" w:rsidRPr="00565B02" w:rsidRDefault="0022244A" w:rsidP="0022244A">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0,11</w:t>
            </w:r>
          </w:p>
        </w:tc>
        <w:tc>
          <w:tcPr>
            <w:tcW w:w="375" w:type="pct"/>
            <w:tcBorders>
              <w:top w:val="single" w:sz="4" w:space="0" w:color="auto"/>
              <w:left w:val="nil"/>
              <w:bottom w:val="single" w:sz="4" w:space="0" w:color="auto"/>
              <w:right w:val="single" w:sz="4" w:space="0" w:color="auto"/>
            </w:tcBorders>
            <w:shd w:val="clear" w:color="000000" w:fill="E2EFDA"/>
            <w:vAlign w:val="center"/>
            <w:hideMark/>
          </w:tcPr>
          <w:p w14:paraId="7D46E620" w14:textId="77777777" w:rsidR="0022244A" w:rsidRPr="00565B02" w:rsidRDefault="0022244A" w:rsidP="0022244A">
            <w:pPr>
              <w:spacing w:after="0" w:line="240" w:lineRule="auto"/>
              <w:jc w:val="center"/>
              <w:rPr>
                <w:rFonts w:ascii="Calibri" w:eastAsia="Times New Roman" w:hAnsi="Calibri" w:cs="Calibri"/>
                <w:b/>
                <w:bCs/>
                <w:color w:val="000000"/>
                <w:sz w:val="16"/>
                <w:szCs w:val="16"/>
              </w:rPr>
            </w:pPr>
            <w:r w:rsidRPr="00565B02">
              <w:rPr>
                <w:rFonts w:ascii="Calibri" w:eastAsia="Times New Roman" w:hAnsi="Calibri" w:cs="Calibri"/>
                <w:b/>
                <w:bCs/>
                <w:color w:val="000000"/>
                <w:sz w:val="16"/>
                <w:szCs w:val="16"/>
              </w:rPr>
              <w:t>0,00</w:t>
            </w:r>
          </w:p>
        </w:tc>
      </w:tr>
    </w:tbl>
    <w:p w14:paraId="42B22772" w14:textId="77777777" w:rsidR="0022244A" w:rsidRDefault="0022244A" w:rsidP="00565B02">
      <w:pPr>
        <w:tabs>
          <w:tab w:val="left" w:pos="4243"/>
        </w:tabs>
        <w:spacing w:line="259" w:lineRule="auto"/>
      </w:pPr>
    </w:p>
    <w:p w14:paraId="0A119F2A" w14:textId="0DB7FDC3" w:rsidR="0022244A" w:rsidRPr="0022244A" w:rsidRDefault="0022244A" w:rsidP="00565B02">
      <w:pPr>
        <w:tabs>
          <w:tab w:val="left" w:pos="4243"/>
        </w:tabs>
        <w:sectPr w:rsidR="0022244A" w:rsidRPr="0022244A" w:rsidSect="00DB7219">
          <w:pgSz w:w="16838" w:h="11906" w:orient="landscape"/>
          <w:pgMar w:top="1134" w:right="1134" w:bottom="1134" w:left="1134" w:header="720" w:footer="720" w:gutter="0"/>
          <w:cols w:space="720"/>
          <w:titlePg/>
          <w:docGrid w:linePitch="360"/>
        </w:sectPr>
      </w:pPr>
      <w:r>
        <w:tab/>
      </w:r>
    </w:p>
    <w:p w14:paraId="264FD813" w14:textId="51D36234" w:rsidR="00415DD7" w:rsidRPr="00FF386D" w:rsidRDefault="00415DD7" w:rsidP="003F57EB">
      <w:pPr>
        <w:spacing w:line="259" w:lineRule="auto"/>
        <w:rPr>
          <w:rFonts w:ascii="Calibri" w:eastAsia="Times New Roman" w:hAnsi="Calibri" w:cs="Arial"/>
          <w:lang w:eastAsia="el-GR"/>
        </w:rPr>
      </w:pPr>
    </w:p>
    <w:p w14:paraId="18F284DB" w14:textId="1E4BBCE9" w:rsidR="005F362F" w:rsidRPr="00A773D0" w:rsidRDefault="00221615" w:rsidP="00565B02">
      <w:pPr>
        <w:pStyle w:val="Heading1"/>
        <w:numPr>
          <w:ilvl w:val="0"/>
          <w:numId w:val="394"/>
        </w:numPr>
        <w:rPr>
          <w:b w:val="0"/>
          <w:bCs/>
        </w:rPr>
      </w:pPr>
      <w:bookmarkStart w:id="479" w:name="_Toc136173830"/>
      <w:bookmarkStart w:id="480" w:name="_Toc137457041"/>
      <w:bookmarkStart w:id="481" w:name="_Toc153901565"/>
      <w:r w:rsidRPr="00A773D0">
        <w:rPr>
          <w:b w:val="0"/>
          <w:bCs/>
        </w:rPr>
        <w:t>Анекс</w:t>
      </w:r>
      <w:r w:rsidR="005F362F" w:rsidRPr="00A773D0">
        <w:rPr>
          <w:b w:val="0"/>
          <w:bCs/>
        </w:rPr>
        <w:t xml:space="preserve">: </w:t>
      </w:r>
      <w:r w:rsidRPr="00A773D0">
        <w:rPr>
          <w:b w:val="0"/>
          <w:bCs/>
        </w:rPr>
        <w:t>Детаљна анализа рада електроенергетског система</w:t>
      </w:r>
      <w:bookmarkEnd w:id="479"/>
      <w:bookmarkEnd w:id="480"/>
      <w:bookmarkEnd w:id="481"/>
    </w:p>
    <w:p w14:paraId="5F253165" w14:textId="5A9AF61C" w:rsidR="00ED2627" w:rsidRPr="00FF386D" w:rsidRDefault="00ED2627" w:rsidP="00ED2627">
      <w:pPr>
        <w:jc w:val="both"/>
        <w:rPr>
          <w:rFonts w:ascii="Calibri Light" w:eastAsia="Calibri" w:hAnsi="Calibri Light" w:cs="Calibri Light"/>
        </w:rPr>
      </w:pPr>
      <w:r w:rsidRPr="00FF386D">
        <w:rPr>
          <w:rFonts w:ascii="Calibri Light" w:hAnsi="Calibri Light"/>
        </w:rPr>
        <w:t xml:space="preserve">„Тржишни алат за </w:t>
      </w:r>
      <w:r w:rsidR="008E5F89" w:rsidRPr="00FF386D">
        <w:rPr>
          <w:rFonts w:ascii="Calibri Light" w:hAnsi="Calibri Light"/>
        </w:rPr>
        <w:t>високи удео</w:t>
      </w:r>
      <w:r w:rsidRPr="00FF386D">
        <w:rPr>
          <w:rFonts w:ascii="Calibri Light" w:hAnsi="Calibri Light"/>
        </w:rPr>
        <w:t xml:space="preserve"> обновљивих извора енергије“ („</w:t>
      </w:r>
      <w:r w:rsidR="006D23EB" w:rsidRPr="00FF386D">
        <w:rPr>
          <w:rFonts w:ascii="Calibri Light" w:hAnsi="Calibri Light"/>
        </w:rPr>
        <w:t>А</w:t>
      </w:r>
      <w:r w:rsidRPr="00FF386D">
        <w:rPr>
          <w:rFonts w:ascii="Calibri Light" w:hAnsi="Calibri Light"/>
        </w:rPr>
        <w:t xml:space="preserve">лат за ОИЕ“), који је развијен у </w:t>
      </w:r>
      <w:r w:rsidRPr="00FF386D">
        <w:rPr>
          <w:rFonts w:ascii="Calibri Light" w:hAnsi="Calibri Light"/>
          <w:i/>
          <w:iCs/>
        </w:rPr>
        <w:t>А</w:t>
      </w:r>
      <w:r w:rsidR="006D23EB" w:rsidRPr="000A2AFE">
        <w:rPr>
          <w:rFonts w:ascii="Calibri Light" w:hAnsi="Calibri Light"/>
          <w:i/>
          <w:iCs/>
        </w:rPr>
        <w:t>NTARES</w:t>
      </w:r>
      <w:r w:rsidRPr="00FF386D">
        <w:rPr>
          <w:rFonts w:ascii="Calibri Light" w:hAnsi="Calibri Light"/>
        </w:rPr>
        <w:t xml:space="preserve">-у, коришћен је за проверу изводљивости конфигурација система </w:t>
      </w:r>
      <w:r w:rsidR="006D23EB" w:rsidRPr="00FF386D">
        <w:rPr>
          <w:rFonts w:ascii="Calibri Light" w:hAnsi="Calibri Light"/>
        </w:rPr>
        <w:t>у складу са</w:t>
      </w:r>
      <w:r w:rsidRPr="00FF386D">
        <w:rPr>
          <w:rFonts w:ascii="Calibri Light" w:hAnsi="Calibri Light"/>
        </w:rPr>
        <w:t xml:space="preserve"> сценаријима развијеним </w:t>
      </w:r>
      <w:r w:rsidR="006D23EB" w:rsidRPr="00FF386D">
        <w:rPr>
          <w:rFonts w:ascii="Calibri Light" w:hAnsi="Calibri Light"/>
        </w:rPr>
        <w:t>применом</w:t>
      </w:r>
      <w:r w:rsidRPr="00FF386D">
        <w:rPr>
          <w:rFonts w:ascii="Calibri Light" w:hAnsi="Calibri Light"/>
        </w:rPr>
        <w:t xml:space="preserve"> СЕМС-ом. Циљне године су 2030. и 2040</w:t>
      </w:r>
      <w:r w:rsidR="008E5F89" w:rsidRPr="00FF386D">
        <w:rPr>
          <w:rFonts w:ascii="Calibri Light" w:hAnsi="Calibri Light"/>
        </w:rPr>
        <w:t>.</w:t>
      </w:r>
      <w:r w:rsidRPr="00FF386D">
        <w:rPr>
          <w:rFonts w:ascii="Calibri Light" w:hAnsi="Calibri Light"/>
        </w:rPr>
        <w:t xml:space="preserve">, </w:t>
      </w:r>
      <w:r w:rsidR="006D23EB" w:rsidRPr="00FF386D">
        <w:rPr>
          <w:rFonts w:ascii="Calibri Light" w:hAnsi="Calibri Light"/>
        </w:rPr>
        <w:t>при чему је фокус на 2030. години,</w:t>
      </w:r>
      <w:r w:rsidRPr="00FF386D">
        <w:rPr>
          <w:rFonts w:ascii="Calibri Light" w:hAnsi="Calibri Light"/>
        </w:rPr>
        <w:t xml:space="preserve"> јер</w:t>
      </w:r>
      <w:r w:rsidR="008E5F89" w:rsidRPr="00FF386D">
        <w:rPr>
          <w:rFonts w:ascii="Calibri Light" w:hAnsi="Calibri Light"/>
        </w:rPr>
        <w:t xml:space="preserve"> она представља последњу годину </w:t>
      </w:r>
      <w:r w:rsidRPr="00FF386D">
        <w:rPr>
          <w:rFonts w:ascii="Calibri Light" w:hAnsi="Calibri Light"/>
        </w:rPr>
        <w:t xml:space="preserve">развоја </w:t>
      </w:r>
      <w:r w:rsidR="006D23EB" w:rsidRPr="00FF386D">
        <w:rPr>
          <w:rFonts w:ascii="Calibri Light" w:hAnsi="Calibri Light"/>
          <w:iCs/>
        </w:rPr>
        <w:t>ИНЕКП</w:t>
      </w:r>
      <w:r w:rsidRPr="00FF386D">
        <w:rPr>
          <w:rFonts w:ascii="Calibri Light" w:hAnsi="Calibri Light"/>
          <w:iCs/>
        </w:rPr>
        <w:t>.</w:t>
      </w:r>
      <w:r w:rsidRPr="00FF386D">
        <w:rPr>
          <w:rFonts w:ascii="Calibri Light" w:hAnsi="Calibri Light"/>
        </w:rPr>
        <w:t xml:space="preserve"> Моделиран</w:t>
      </w:r>
      <w:r w:rsidR="008E5F89" w:rsidRPr="00FF386D">
        <w:rPr>
          <w:rFonts w:ascii="Calibri Light" w:hAnsi="Calibri Light"/>
        </w:rPr>
        <w:t>о</w:t>
      </w:r>
      <w:r w:rsidRPr="00FF386D">
        <w:rPr>
          <w:rFonts w:ascii="Calibri Light" w:hAnsi="Calibri Light"/>
        </w:rPr>
        <w:t xml:space="preserve"> </w:t>
      </w:r>
      <w:r w:rsidR="008E5F89" w:rsidRPr="00FF386D">
        <w:rPr>
          <w:rFonts w:ascii="Calibri Light" w:hAnsi="Calibri Light"/>
        </w:rPr>
        <w:t xml:space="preserve">подручје примене </w:t>
      </w:r>
      <w:r w:rsidRPr="00FF386D">
        <w:rPr>
          <w:rFonts w:ascii="Calibri Light" w:hAnsi="Calibri Light"/>
        </w:rPr>
        <w:t>алата за ОИЕ укључује регион Југоисточне Европе. Овакав широк регионални модел омогућава одговарајући приказ висок</w:t>
      </w:r>
      <w:r w:rsidR="008E5F89" w:rsidRPr="00FF386D">
        <w:rPr>
          <w:rFonts w:ascii="Calibri Light" w:hAnsi="Calibri Light"/>
        </w:rPr>
        <w:t>ог нивоа</w:t>
      </w:r>
      <w:r w:rsidRPr="00FF386D">
        <w:rPr>
          <w:rFonts w:ascii="Calibri Light" w:hAnsi="Calibri Light"/>
        </w:rPr>
        <w:t xml:space="preserve"> </w:t>
      </w:r>
      <w:r w:rsidR="006D23EB" w:rsidRPr="00FF386D">
        <w:rPr>
          <w:rFonts w:ascii="Calibri Light" w:hAnsi="Calibri Light"/>
        </w:rPr>
        <w:t>интерконективности</w:t>
      </w:r>
      <w:r w:rsidRPr="00FF386D">
        <w:rPr>
          <w:rFonts w:ascii="Calibri Light" w:hAnsi="Calibri Light"/>
        </w:rPr>
        <w:t xml:space="preserve"> електроенергетског система</w:t>
      </w:r>
      <w:r w:rsidR="008E5F89" w:rsidRPr="00FF386D">
        <w:rPr>
          <w:rFonts w:ascii="Calibri Light" w:hAnsi="Calibri Light"/>
        </w:rPr>
        <w:t xml:space="preserve"> Србије</w:t>
      </w:r>
      <w:r w:rsidRPr="00FF386D">
        <w:rPr>
          <w:rFonts w:ascii="Calibri Light" w:hAnsi="Calibri Light"/>
        </w:rPr>
        <w:t xml:space="preserve"> и његовог учешћа на европском тржишту електричне енергије. Модели тржишних зона, </w:t>
      </w:r>
      <w:r w:rsidR="00295061" w:rsidRPr="00FF386D">
        <w:rPr>
          <w:rFonts w:ascii="Calibri Light" w:hAnsi="Calibri Light"/>
        </w:rPr>
        <w:t>искључујући</w:t>
      </w:r>
      <w:r w:rsidRPr="00FF386D">
        <w:rPr>
          <w:rFonts w:ascii="Calibri Light" w:hAnsi="Calibri Light"/>
        </w:rPr>
        <w:t xml:space="preserve"> Србиј</w:t>
      </w:r>
      <w:r w:rsidR="00295061" w:rsidRPr="00FF386D">
        <w:rPr>
          <w:rFonts w:ascii="Calibri Light" w:hAnsi="Calibri Light"/>
        </w:rPr>
        <w:t>у</w:t>
      </w:r>
      <w:r w:rsidRPr="00FF386D">
        <w:rPr>
          <w:rFonts w:ascii="Calibri Light" w:hAnsi="Calibri Light"/>
        </w:rPr>
        <w:t xml:space="preserve">, заснивају се на јавно доступним подацима из мреже </w:t>
      </w:r>
      <w:r w:rsidRPr="00FF386D">
        <w:rPr>
          <w:rFonts w:ascii="Calibri Light" w:hAnsi="Calibri Light"/>
          <w:i/>
        </w:rPr>
        <w:t>ENTSO-E</w:t>
      </w:r>
      <w:r w:rsidRPr="00FF386D">
        <w:rPr>
          <w:rFonts w:ascii="Calibri Light" w:hAnsi="Calibri Light"/>
        </w:rPr>
        <w:t xml:space="preserve"> за сценарио </w:t>
      </w:r>
      <w:r w:rsidRPr="00FF386D">
        <w:rPr>
          <w:rFonts w:ascii="Calibri Light" w:hAnsi="Calibri Light"/>
          <w:i/>
        </w:rPr>
        <w:t>TYNDP 2020, NT</w:t>
      </w:r>
      <w:r w:rsidRPr="00FF386D">
        <w:rPr>
          <w:rFonts w:ascii="Calibri Light" w:hAnsi="Calibri Light"/>
        </w:rPr>
        <w:t xml:space="preserve"> (Национални трендови) за циљне године 2030. и 2040. Следећи одељци </w:t>
      </w:r>
      <w:r w:rsidR="00383DA8" w:rsidRPr="00FF386D">
        <w:rPr>
          <w:rFonts w:ascii="Calibri Light" w:hAnsi="Calibri Light"/>
        </w:rPr>
        <w:t>дају приказ</w:t>
      </w:r>
      <w:r w:rsidRPr="00FF386D">
        <w:rPr>
          <w:rFonts w:ascii="Calibri Light" w:hAnsi="Calibri Light"/>
        </w:rPr>
        <w:t xml:space="preserve"> кључн</w:t>
      </w:r>
      <w:r w:rsidR="00383DA8" w:rsidRPr="00FF386D">
        <w:rPr>
          <w:rFonts w:ascii="Calibri Light" w:hAnsi="Calibri Light"/>
        </w:rPr>
        <w:t>их</w:t>
      </w:r>
      <w:r w:rsidRPr="00FF386D">
        <w:rPr>
          <w:rFonts w:ascii="Calibri Light" w:hAnsi="Calibri Light"/>
        </w:rPr>
        <w:t xml:space="preserve"> резултат</w:t>
      </w:r>
      <w:r w:rsidR="00383DA8" w:rsidRPr="00FF386D">
        <w:rPr>
          <w:rFonts w:ascii="Calibri Light" w:hAnsi="Calibri Light"/>
        </w:rPr>
        <w:t>а</w:t>
      </w:r>
      <w:r w:rsidRPr="00FF386D">
        <w:rPr>
          <w:rFonts w:ascii="Calibri Light" w:hAnsi="Calibri Light"/>
        </w:rPr>
        <w:t xml:space="preserve"> сценари</w:t>
      </w:r>
      <w:r w:rsidR="008E5F89" w:rsidRPr="00FF386D">
        <w:rPr>
          <w:rFonts w:ascii="Calibri Light" w:hAnsi="Calibri Light"/>
        </w:rPr>
        <w:t>ја</w:t>
      </w:r>
      <w:r w:rsidRPr="00FF386D">
        <w:rPr>
          <w:rFonts w:ascii="Calibri Light" w:hAnsi="Calibri Light"/>
        </w:rPr>
        <w:t xml:space="preserve"> </w:t>
      </w:r>
      <w:r w:rsidRPr="00FF386D">
        <w:rPr>
          <w:rFonts w:ascii="Calibri Light" w:hAnsi="Calibri Light"/>
          <w:i/>
        </w:rPr>
        <w:t>S</w:t>
      </w:r>
      <w:r w:rsidRPr="00FF386D">
        <w:rPr>
          <w:rFonts w:ascii="Calibri Light" w:hAnsi="Calibri Light"/>
        </w:rPr>
        <w:t xml:space="preserve"> за 2030. и 2040. годину.</w:t>
      </w:r>
    </w:p>
    <w:p w14:paraId="5EA28CDB" w14:textId="2A43EB1A" w:rsidR="005F362F" w:rsidRPr="00FF386D" w:rsidRDefault="00F12D51">
      <w:pPr>
        <w:keepNext/>
        <w:keepLines/>
        <w:numPr>
          <w:ilvl w:val="0"/>
          <w:numId w:val="289"/>
        </w:numPr>
        <w:spacing w:before="200" w:after="0" w:line="240" w:lineRule="auto"/>
        <w:outlineLvl w:val="3"/>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t xml:space="preserve">Анализа сценарија </w:t>
      </w:r>
      <w:r w:rsidR="005F362F" w:rsidRPr="000A2AFE">
        <w:rPr>
          <w:rFonts w:asciiTheme="majorHAnsi" w:eastAsiaTheme="majorEastAsia" w:hAnsiTheme="majorHAnsi" w:cstheme="majorBidi"/>
          <w:b/>
          <w:bCs/>
          <w:i/>
          <w:color w:val="01406B"/>
          <w:szCs w:val="24"/>
        </w:rPr>
        <w:t>S</w:t>
      </w:r>
      <w:r w:rsidR="005F362F" w:rsidRPr="00FF386D">
        <w:rPr>
          <w:rFonts w:asciiTheme="majorHAnsi" w:eastAsiaTheme="majorEastAsia" w:hAnsiTheme="majorHAnsi" w:cstheme="majorBidi"/>
          <w:b/>
          <w:bCs/>
          <w:iCs/>
          <w:color w:val="01406B"/>
          <w:szCs w:val="24"/>
        </w:rPr>
        <w:t xml:space="preserve"> </w:t>
      </w:r>
      <w:r w:rsidRPr="00FF386D">
        <w:rPr>
          <w:rFonts w:asciiTheme="majorHAnsi" w:eastAsiaTheme="majorEastAsia" w:hAnsiTheme="majorHAnsi" w:cstheme="majorBidi"/>
          <w:b/>
          <w:bCs/>
          <w:iCs/>
          <w:color w:val="01406B"/>
          <w:szCs w:val="24"/>
        </w:rPr>
        <w:t xml:space="preserve">за </w:t>
      </w:r>
      <w:r w:rsidR="005F362F" w:rsidRPr="00FF386D">
        <w:rPr>
          <w:rFonts w:asciiTheme="majorHAnsi" w:eastAsiaTheme="majorEastAsia" w:hAnsiTheme="majorHAnsi" w:cstheme="majorBidi"/>
          <w:b/>
          <w:bCs/>
          <w:iCs/>
          <w:color w:val="01406B"/>
          <w:szCs w:val="24"/>
        </w:rPr>
        <w:t>2030</w:t>
      </w:r>
      <w:r w:rsidRPr="00FF386D">
        <w:rPr>
          <w:rFonts w:asciiTheme="majorHAnsi" w:eastAsiaTheme="majorEastAsia" w:hAnsiTheme="majorHAnsi" w:cstheme="majorBidi"/>
          <w:b/>
          <w:bCs/>
          <w:iCs/>
          <w:color w:val="01406B"/>
          <w:szCs w:val="24"/>
        </w:rPr>
        <w:t>. годину</w:t>
      </w:r>
    </w:p>
    <w:p w14:paraId="10BE4000" w14:textId="0210CCCE" w:rsidR="00ED2627" w:rsidRPr="00FF386D" w:rsidRDefault="00101D63" w:rsidP="00ED2627">
      <w:pPr>
        <w:rPr>
          <w:rFonts w:ascii="Calibri Light" w:eastAsia="Calibri" w:hAnsi="Calibri Light" w:cs="Calibri Light"/>
          <w:szCs w:val="20"/>
        </w:rPr>
      </w:pPr>
      <w:r w:rsidRPr="00FB4CE5">
        <w:rPr>
          <w:rFonts w:ascii="Calibri Light" w:eastAsia="Calibri" w:hAnsi="Calibri Light" w:cs="Times New Roman"/>
          <w:kern w:val="2"/>
        </w:rPr>
        <w:t>Г</w:t>
      </w:r>
      <w:r w:rsidR="00ED2627" w:rsidRPr="00FB4CE5">
        <w:rPr>
          <w:rFonts w:ascii="Calibri Light" w:eastAsia="Calibri" w:hAnsi="Calibri Light" w:cs="Times New Roman"/>
          <w:kern w:val="2"/>
        </w:rPr>
        <w:t>лавн</w:t>
      </w:r>
      <w:r w:rsidRPr="00FB4CE5">
        <w:rPr>
          <w:rFonts w:ascii="Calibri Light" w:eastAsia="Calibri" w:hAnsi="Calibri Light" w:cs="Times New Roman"/>
          <w:kern w:val="2"/>
        </w:rPr>
        <w:t>и</w:t>
      </w:r>
      <w:r w:rsidR="00ED2627" w:rsidRPr="00FB4CE5">
        <w:rPr>
          <w:rFonts w:ascii="Calibri Light" w:eastAsia="Calibri" w:hAnsi="Calibri Light" w:cs="Times New Roman"/>
          <w:kern w:val="2"/>
        </w:rPr>
        <w:t xml:space="preserve"> улазн</w:t>
      </w:r>
      <w:r w:rsidRPr="00FB4CE5">
        <w:rPr>
          <w:rFonts w:ascii="Calibri Light" w:eastAsia="Calibri" w:hAnsi="Calibri Light" w:cs="Times New Roman"/>
          <w:kern w:val="2"/>
        </w:rPr>
        <w:t>и</w:t>
      </w:r>
      <w:r w:rsidR="00ED2627" w:rsidRPr="00FB4CE5">
        <w:rPr>
          <w:rFonts w:ascii="Calibri Light" w:eastAsia="Calibri" w:hAnsi="Calibri Light" w:cs="Times New Roman"/>
          <w:kern w:val="2"/>
        </w:rPr>
        <w:t xml:space="preserve"> параметр</w:t>
      </w:r>
      <w:r w:rsidRPr="00FB4CE5">
        <w:rPr>
          <w:rFonts w:ascii="Calibri Light" w:eastAsia="Calibri" w:hAnsi="Calibri Light" w:cs="Times New Roman"/>
          <w:kern w:val="2"/>
        </w:rPr>
        <w:t>и</w:t>
      </w:r>
      <w:r w:rsidR="00ED2627" w:rsidRPr="00FB4CE5">
        <w:rPr>
          <w:rFonts w:ascii="Calibri Light" w:eastAsia="Calibri" w:hAnsi="Calibri Light" w:cs="Times New Roman"/>
          <w:kern w:val="2"/>
        </w:rPr>
        <w:t xml:space="preserve"> </w:t>
      </w:r>
      <w:r w:rsidR="00383DA8" w:rsidRPr="00FB4CE5">
        <w:rPr>
          <w:rFonts w:ascii="Calibri Light" w:eastAsia="Calibri" w:hAnsi="Calibri Light" w:cs="Times New Roman"/>
          <w:kern w:val="2"/>
        </w:rPr>
        <w:t>А</w:t>
      </w:r>
      <w:r w:rsidR="00ED2627" w:rsidRPr="00FB4CE5">
        <w:rPr>
          <w:rFonts w:ascii="Calibri Light" w:eastAsia="Calibri" w:hAnsi="Calibri Light" w:cs="Times New Roman"/>
          <w:kern w:val="2"/>
        </w:rPr>
        <w:t>лат</w:t>
      </w:r>
      <w:r w:rsidR="00383DA8" w:rsidRPr="00FB4CE5">
        <w:rPr>
          <w:rFonts w:ascii="Calibri Light" w:eastAsia="Calibri" w:hAnsi="Calibri Light" w:cs="Times New Roman"/>
          <w:kern w:val="2"/>
        </w:rPr>
        <w:t>а</w:t>
      </w:r>
      <w:r w:rsidR="00ED2627" w:rsidRPr="00FB4CE5">
        <w:rPr>
          <w:rFonts w:ascii="Calibri Light" w:eastAsia="Calibri" w:hAnsi="Calibri Light" w:cs="Times New Roman"/>
          <w:kern w:val="2"/>
        </w:rPr>
        <w:t xml:space="preserve"> за ОИЕ</w:t>
      </w:r>
      <w:r w:rsidRPr="00FB4CE5">
        <w:rPr>
          <w:rFonts w:ascii="Calibri Light" w:eastAsia="Calibri" w:hAnsi="Calibri Light" w:cs="Times New Roman"/>
          <w:kern w:val="2"/>
        </w:rPr>
        <w:t xml:space="preserve"> су нето капацитети свих електрана у систему Србије</w:t>
      </w:r>
      <w:r w:rsidR="00ED2627" w:rsidRPr="00FB4CE5">
        <w:rPr>
          <w:rFonts w:ascii="Calibri Light" w:eastAsia="Calibri" w:hAnsi="Calibri Light" w:cs="Times New Roman"/>
          <w:kern w:val="2"/>
        </w:rPr>
        <w:t xml:space="preserve">. </w:t>
      </w:r>
      <w:r>
        <w:rPr>
          <w:rFonts w:ascii="Calibri Light" w:hAnsi="Calibri Light"/>
          <w:szCs w:val="20"/>
        </w:rPr>
        <w:t>У складу са резултатима сценарија, д</w:t>
      </w:r>
      <w:r w:rsidR="00ED2627" w:rsidRPr="00FF386D">
        <w:rPr>
          <w:rFonts w:ascii="Calibri Light" w:hAnsi="Calibri Light"/>
          <w:szCs w:val="20"/>
        </w:rPr>
        <w:t>оступна је једна реверзибилна хидроелектрана</w:t>
      </w:r>
      <w:r>
        <w:rPr>
          <w:rFonts w:ascii="Calibri Light" w:hAnsi="Calibri Light"/>
          <w:szCs w:val="20"/>
        </w:rPr>
        <w:t xml:space="preserve"> (РХ), и то</w:t>
      </w:r>
      <w:r w:rsidR="00ED2627" w:rsidRPr="00FF386D">
        <w:rPr>
          <w:rFonts w:ascii="Calibri Light" w:hAnsi="Calibri Light"/>
          <w:szCs w:val="20"/>
        </w:rPr>
        <w:t>:</w:t>
      </w:r>
    </w:p>
    <w:p w14:paraId="08A237EC" w14:textId="598DA924" w:rsidR="005F362F" w:rsidRPr="00FF386D" w:rsidRDefault="00ED2627">
      <w:pPr>
        <w:widowControl w:val="0"/>
        <w:numPr>
          <w:ilvl w:val="0"/>
          <w:numId w:val="269"/>
        </w:numPr>
        <w:spacing w:after="0" w:line="276" w:lineRule="auto"/>
        <w:jc w:val="both"/>
        <w:rPr>
          <w:rFonts w:ascii="Calibri Light" w:eastAsia="Times New Roman" w:hAnsi="Calibri Light" w:cs="Calibri Light"/>
          <w:lang w:eastAsia="en-GB"/>
        </w:rPr>
      </w:pPr>
      <w:r w:rsidRPr="00FF386D">
        <w:rPr>
          <w:rFonts w:ascii="Calibri Light" w:eastAsia="Times New Roman" w:hAnsi="Calibri Light" w:cs="Calibri Light"/>
          <w:lang w:eastAsia="en-GB"/>
        </w:rPr>
        <w:t xml:space="preserve">РХЕ Бајина Башта (са </w:t>
      </w:r>
      <w:r w:rsidR="005F362F" w:rsidRPr="00FF386D">
        <w:rPr>
          <w:rFonts w:ascii="Calibri Light" w:eastAsia="Times New Roman" w:hAnsi="Calibri Light" w:cs="Calibri Light"/>
          <w:lang w:eastAsia="en-GB"/>
        </w:rPr>
        <w:t xml:space="preserve">616 MW </w:t>
      </w:r>
      <w:r w:rsidRPr="00FF386D">
        <w:rPr>
          <w:rFonts w:ascii="Calibri Light" w:eastAsia="Times New Roman" w:hAnsi="Calibri Light" w:cs="Calibri Light"/>
          <w:lang w:eastAsia="en-GB"/>
        </w:rPr>
        <w:t>капацитета</w:t>
      </w:r>
      <w:r w:rsidR="00383DA8" w:rsidRPr="00FF386D">
        <w:rPr>
          <w:rFonts w:ascii="Calibri Light" w:eastAsia="Times New Roman" w:hAnsi="Calibri Light" w:cs="Calibri Light"/>
          <w:lang w:eastAsia="en-GB"/>
        </w:rPr>
        <w:t xml:space="preserve"> турбине</w:t>
      </w:r>
      <w:r w:rsidRPr="00FF386D">
        <w:rPr>
          <w:rFonts w:ascii="Calibri Light" w:eastAsia="Times New Roman" w:hAnsi="Calibri Light" w:cs="Calibri Light"/>
          <w:lang w:eastAsia="en-GB"/>
        </w:rPr>
        <w:t>)</w:t>
      </w:r>
    </w:p>
    <w:p w14:paraId="6E225E87" w14:textId="0C7270B9" w:rsidR="00ED2627" w:rsidRPr="00FF386D" w:rsidRDefault="00ED2627" w:rsidP="00ED2627">
      <w:pPr>
        <w:jc w:val="both"/>
        <w:rPr>
          <w:rFonts w:ascii="Calibri Light" w:eastAsia="Calibri" w:hAnsi="Calibri Light" w:cs="Calibri Light"/>
          <w:szCs w:val="20"/>
        </w:rPr>
      </w:pPr>
      <w:r w:rsidRPr="00FB4CE5">
        <w:rPr>
          <w:rFonts w:ascii="Calibri Light" w:eastAsia="Calibri" w:hAnsi="Calibri Light" w:cs="Times New Roman"/>
          <w:kern w:val="2"/>
          <w:szCs w:val="20"/>
        </w:rPr>
        <w:t>На основу капацитета обновљивих извора енергије и недавне студије о њиховој интеграцији у Србији</w:t>
      </w:r>
      <w:r w:rsidR="00DB7219" w:rsidRPr="00C312D6">
        <w:t xml:space="preserve"> </w:t>
      </w:r>
      <w:r w:rsidR="00DB7219" w:rsidRPr="00C312D6">
        <w:rPr>
          <w:rFonts w:asciiTheme="majorHAnsi" w:hAnsiTheme="majorHAnsi" w:cstheme="majorHAnsi"/>
        </w:rPr>
        <w:t>(</w:t>
      </w:r>
      <w:r w:rsidR="00DB7219" w:rsidRPr="000A2AFE">
        <w:rPr>
          <w:rFonts w:asciiTheme="majorHAnsi" w:hAnsiTheme="majorHAnsi" w:cstheme="majorHAnsi"/>
          <w:lang w:val="en-GB"/>
        </w:rPr>
        <w:t>D</w:t>
      </w:r>
      <w:r w:rsidR="00DB7219" w:rsidRPr="00C312D6">
        <w:rPr>
          <w:rFonts w:asciiTheme="majorHAnsi" w:hAnsiTheme="majorHAnsi" w:cstheme="majorHAnsi"/>
        </w:rPr>
        <w:t xml:space="preserve">. </w:t>
      </w:r>
      <w:r w:rsidR="00DB7219" w:rsidRPr="000A2AFE">
        <w:rPr>
          <w:rFonts w:asciiTheme="majorHAnsi" w:hAnsiTheme="majorHAnsi" w:cstheme="majorHAnsi"/>
          <w:lang w:val="en-GB"/>
        </w:rPr>
        <w:t>Orlic</w:t>
      </w:r>
      <w:r w:rsidR="00DB7219" w:rsidRPr="00C312D6">
        <w:rPr>
          <w:rFonts w:asciiTheme="majorHAnsi" w:hAnsiTheme="majorHAnsi" w:cstheme="majorHAnsi"/>
        </w:rPr>
        <w:t xml:space="preserve"> </w:t>
      </w:r>
      <w:r w:rsidR="00DB7219" w:rsidRPr="000A2AFE">
        <w:rPr>
          <w:rFonts w:asciiTheme="majorHAnsi" w:hAnsiTheme="majorHAnsi" w:cstheme="majorHAnsi"/>
          <w:lang w:val="en-GB"/>
        </w:rPr>
        <w:t>et</w:t>
      </w:r>
      <w:r w:rsidR="00DB7219" w:rsidRPr="00C312D6">
        <w:rPr>
          <w:rFonts w:asciiTheme="majorHAnsi" w:hAnsiTheme="majorHAnsi" w:cstheme="majorHAnsi"/>
        </w:rPr>
        <w:t xml:space="preserve"> </w:t>
      </w:r>
      <w:r w:rsidR="00DB7219" w:rsidRPr="000A2AFE">
        <w:rPr>
          <w:rFonts w:asciiTheme="majorHAnsi" w:hAnsiTheme="majorHAnsi" w:cstheme="majorHAnsi"/>
          <w:lang w:val="en-GB"/>
        </w:rPr>
        <w:t>al</w:t>
      </w:r>
      <w:r w:rsidR="00DB7219" w:rsidRPr="00C312D6">
        <w:rPr>
          <w:rFonts w:asciiTheme="majorHAnsi" w:hAnsiTheme="majorHAnsi" w:cstheme="majorHAnsi"/>
        </w:rPr>
        <w:t>. “</w:t>
      </w:r>
      <w:r w:rsidR="00DB7219" w:rsidRPr="000A2AFE">
        <w:rPr>
          <w:rFonts w:asciiTheme="majorHAnsi" w:hAnsiTheme="majorHAnsi" w:cstheme="majorHAnsi"/>
          <w:lang w:val="en-GB"/>
        </w:rPr>
        <w:t>Large</w:t>
      </w:r>
      <w:r w:rsidR="00DB7219" w:rsidRPr="00C312D6">
        <w:rPr>
          <w:rFonts w:asciiTheme="majorHAnsi" w:hAnsiTheme="majorHAnsi" w:cstheme="majorHAnsi"/>
        </w:rPr>
        <w:t>-</w:t>
      </w:r>
      <w:r w:rsidR="00DB7219" w:rsidRPr="000A2AFE">
        <w:rPr>
          <w:rFonts w:asciiTheme="majorHAnsi" w:hAnsiTheme="majorHAnsi" w:cstheme="majorHAnsi"/>
          <w:lang w:val="en-GB"/>
        </w:rPr>
        <w:t>Scale</w:t>
      </w:r>
      <w:r w:rsidR="00DB7219" w:rsidRPr="00C312D6">
        <w:rPr>
          <w:rFonts w:asciiTheme="majorHAnsi" w:hAnsiTheme="majorHAnsi" w:cstheme="majorHAnsi"/>
        </w:rPr>
        <w:t xml:space="preserve"> </w:t>
      </w:r>
      <w:r w:rsidR="00DB7219" w:rsidRPr="000A2AFE">
        <w:rPr>
          <w:rFonts w:asciiTheme="majorHAnsi" w:hAnsiTheme="majorHAnsi" w:cstheme="majorHAnsi"/>
          <w:lang w:val="en-GB"/>
        </w:rPr>
        <w:t>RES</w:t>
      </w:r>
      <w:r w:rsidR="00DB7219" w:rsidRPr="00C312D6">
        <w:rPr>
          <w:rFonts w:asciiTheme="majorHAnsi" w:hAnsiTheme="majorHAnsi" w:cstheme="majorHAnsi"/>
        </w:rPr>
        <w:t xml:space="preserve"> </w:t>
      </w:r>
      <w:r w:rsidR="00DB7219" w:rsidRPr="000A2AFE">
        <w:rPr>
          <w:rFonts w:asciiTheme="majorHAnsi" w:hAnsiTheme="majorHAnsi" w:cstheme="majorHAnsi"/>
          <w:lang w:val="en-GB"/>
        </w:rPr>
        <w:t>Integration</w:t>
      </w:r>
      <w:r w:rsidR="00DB7219" w:rsidRPr="00C312D6">
        <w:rPr>
          <w:rFonts w:asciiTheme="majorHAnsi" w:hAnsiTheme="majorHAnsi" w:cstheme="majorHAnsi"/>
        </w:rPr>
        <w:t xml:space="preserve"> </w:t>
      </w:r>
      <w:r w:rsidR="00DB7219" w:rsidRPr="000A2AFE">
        <w:rPr>
          <w:rFonts w:asciiTheme="majorHAnsi" w:hAnsiTheme="majorHAnsi" w:cstheme="majorHAnsi"/>
          <w:lang w:val="en-GB"/>
        </w:rPr>
        <w:t>in</w:t>
      </w:r>
      <w:r w:rsidR="00DB7219" w:rsidRPr="00C312D6">
        <w:rPr>
          <w:rFonts w:asciiTheme="majorHAnsi" w:hAnsiTheme="majorHAnsi" w:cstheme="majorHAnsi"/>
        </w:rPr>
        <w:t xml:space="preserve"> </w:t>
      </w:r>
      <w:r w:rsidR="00DB7219" w:rsidRPr="000A2AFE">
        <w:rPr>
          <w:rFonts w:asciiTheme="majorHAnsi" w:hAnsiTheme="majorHAnsi" w:cstheme="majorHAnsi"/>
          <w:lang w:val="en-GB"/>
        </w:rPr>
        <w:t>Serbia</w:t>
      </w:r>
      <w:r w:rsidR="00DB7219" w:rsidRPr="00C312D6">
        <w:rPr>
          <w:rFonts w:asciiTheme="majorHAnsi" w:hAnsiTheme="majorHAnsi" w:cstheme="majorHAnsi"/>
        </w:rPr>
        <w:t xml:space="preserve">”, </w:t>
      </w:r>
      <w:r w:rsidR="00DB7219" w:rsidRPr="000A2AFE">
        <w:rPr>
          <w:rFonts w:asciiTheme="majorHAnsi" w:hAnsiTheme="majorHAnsi" w:cstheme="majorHAnsi"/>
          <w:lang w:val="en-GB"/>
        </w:rPr>
        <w:t>EKC</w:t>
      </w:r>
      <w:r w:rsidR="005F362F" w:rsidRPr="00FF386D">
        <w:rPr>
          <w:rFonts w:ascii="Calibri Light" w:hAnsi="Calibri Light" w:cs="Calibri Light"/>
          <w:szCs w:val="20"/>
          <w:lang w:eastAsia="el-GR"/>
        </w:rPr>
        <w:t xml:space="preserve">, </w:t>
      </w:r>
      <w:r w:rsidR="00DB7219">
        <w:rPr>
          <w:rFonts w:ascii="Calibri Light" w:hAnsi="Calibri Light" w:cs="Calibri Light"/>
          <w:szCs w:val="20"/>
          <w:lang w:eastAsia="el-GR"/>
        </w:rPr>
        <w:t xml:space="preserve">израђено за </w:t>
      </w:r>
      <w:r w:rsidR="00DB7219" w:rsidRPr="000A2AFE">
        <w:rPr>
          <w:rFonts w:ascii="Calibri Light" w:hAnsi="Calibri Light" w:cs="Calibri Light"/>
          <w:i/>
          <w:iCs/>
          <w:szCs w:val="20"/>
          <w:lang w:val="en-US" w:eastAsia="el-GR"/>
        </w:rPr>
        <w:t>USAID</w:t>
      </w:r>
      <w:r w:rsidR="00DB7219" w:rsidRPr="00C312D6">
        <w:rPr>
          <w:rFonts w:ascii="Calibri Light" w:hAnsi="Calibri Light" w:cs="Calibri Light"/>
          <w:szCs w:val="20"/>
          <w:lang w:eastAsia="el-GR"/>
        </w:rPr>
        <w:t xml:space="preserve"> </w:t>
      </w:r>
      <w:r w:rsidR="00DB7219">
        <w:rPr>
          <w:rFonts w:ascii="Calibri Light" w:hAnsi="Calibri Light" w:cs="Calibri Light"/>
          <w:szCs w:val="20"/>
          <w:lang w:eastAsia="el-GR"/>
        </w:rPr>
        <w:t xml:space="preserve">и </w:t>
      </w:r>
      <w:r w:rsidR="00DB7219" w:rsidRPr="000A2AFE">
        <w:rPr>
          <w:rFonts w:ascii="Calibri Light" w:hAnsi="Calibri Light" w:cs="Calibri Light"/>
          <w:i/>
          <w:iCs/>
          <w:szCs w:val="20"/>
          <w:lang w:val="en-US" w:eastAsia="el-GR"/>
        </w:rPr>
        <w:t>USEA</w:t>
      </w:r>
      <w:r w:rsidR="00DB7219">
        <w:rPr>
          <w:rFonts w:ascii="Calibri Light" w:hAnsi="Calibri Light" w:cs="Calibri Light"/>
          <w:szCs w:val="20"/>
          <w:lang w:eastAsia="el-GR"/>
        </w:rPr>
        <w:t>, јул, 2022)</w:t>
      </w:r>
      <w:r w:rsidR="00E62C16" w:rsidRPr="00C312D6">
        <w:rPr>
          <w:rFonts w:ascii="Calibri Light" w:hAnsi="Calibri Light" w:cs="Calibri Light"/>
          <w:szCs w:val="20"/>
          <w:lang w:eastAsia="el-GR"/>
        </w:rPr>
        <w:t xml:space="preserve"> </w:t>
      </w:r>
      <w:r w:rsidRPr="00FB4CE5">
        <w:rPr>
          <w:rFonts w:ascii="Calibri Light" w:eastAsia="Calibri" w:hAnsi="Calibri Light" w:cs="Times New Roman"/>
          <w:kern w:val="2"/>
          <w:szCs w:val="20"/>
        </w:rPr>
        <w:t xml:space="preserve">вредност </w:t>
      </w:r>
      <w:r w:rsidR="00BF1873" w:rsidRPr="00FB4CE5">
        <w:rPr>
          <w:rFonts w:ascii="Calibri Light" w:eastAsia="Calibri" w:hAnsi="Calibri Light" w:cs="Times New Roman"/>
          <w:kern w:val="2"/>
          <w:szCs w:val="20"/>
        </w:rPr>
        <w:t>потребе</w:t>
      </w:r>
      <w:r w:rsidRPr="00FB4CE5">
        <w:rPr>
          <w:rFonts w:ascii="Calibri Light" w:eastAsia="Calibri" w:hAnsi="Calibri Light" w:cs="Times New Roman"/>
          <w:kern w:val="2"/>
          <w:szCs w:val="20"/>
        </w:rPr>
        <w:t xml:space="preserve"> </w:t>
      </w:r>
      <w:r w:rsidR="00383DA8" w:rsidRPr="00FB4CE5">
        <w:rPr>
          <w:rFonts w:ascii="Calibri Light" w:eastAsia="Calibri" w:hAnsi="Calibri Light" w:cs="Times New Roman"/>
          <w:kern w:val="2"/>
          <w:szCs w:val="20"/>
        </w:rPr>
        <w:t xml:space="preserve">за </w:t>
      </w:r>
      <w:r w:rsidRPr="00FB4CE5">
        <w:rPr>
          <w:rFonts w:ascii="Calibri Light" w:eastAsia="Calibri" w:hAnsi="Calibri Light" w:cs="Times New Roman"/>
          <w:kern w:val="2"/>
          <w:szCs w:val="20"/>
        </w:rPr>
        <w:t>резервама по сату дан</w:t>
      </w:r>
      <w:r w:rsidR="001A4C0C" w:rsidRPr="00FB4CE5">
        <w:rPr>
          <w:rFonts w:ascii="Calibri Light" w:eastAsia="Calibri" w:hAnsi="Calibri Light" w:cs="Times New Roman"/>
          <w:kern w:val="2"/>
          <w:szCs w:val="20"/>
        </w:rPr>
        <w:t>-</w:t>
      </w:r>
      <w:r w:rsidRPr="00FB4CE5">
        <w:rPr>
          <w:rFonts w:ascii="Calibri Light" w:eastAsia="Calibri" w:hAnsi="Calibri Light" w:cs="Times New Roman"/>
          <w:kern w:val="2"/>
          <w:szCs w:val="20"/>
        </w:rPr>
        <w:t>унапред кој</w:t>
      </w:r>
      <w:r w:rsidR="001A4C0C" w:rsidRPr="00FB4CE5">
        <w:rPr>
          <w:rFonts w:ascii="Calibri Light" w:eastAsia="Calibri" w:hAnsi="Calibri Light" w:cs="Times New Roman"/>
          <w:kern w:val="2"/>
          <w:szCs w:val="20"/>
        </w:rPr>
        <w:t>а је</w:t>
      </w:r>
      <w:r w:rsidRPr="00FB4CE5">
        <w:rPr>
          <w:rFonts w:ascii="Calibri Light" w:eastAsia="Calibri" w:hAnsi="Calibri Light" w:cs="Times New Roman"/>
          <w:kern w:val="2"/>
          <w:szCs w:val="20"/>
        </w:rPr>
        <w:t xml:space="preserve"> предвиђене моделом била је 1250 MW.</w:t>
      </w:r>
    </w:p>
    <w:p w14:paraId="2849502E" w14:textId="42B148BC" w:rsidR="00ED2627" w:rsidRPr="00FF386D" w:rsidRDefault="00ED2627" w:rsidP="00ED2627">
      <w:pPr>
        <w:jc w:val="both"/>
        <w:rPr>
          <w:rFonts w:ascii="Calibri Light" w:eastAsia="Calibri" w:hAnsi="Calibri Light" w:cs="Calibri Light"/>
          <w:szCs w:val="20"/>
        </w:rPr>
      </w:pPr>
      <w:r w:rsidRPr="00FB4CE5">
        <w:rPr>
          <w:rFonts w:ascii="Calibri Light" w:eastAsia="Calibri" w:hAnsi="Calibri Light" w:cs="Times New Roman"/>
          <w:kern w:val="2"/>
          <w:szCs w:val="20"/>
        </w:rPr>
        <w:t>Главни резултати се могу видети у</w:t>
      </w:r>
      <w:r w:rsidR="00DB7219" w:rsidRPr="00C312D6">
        <w:rPr>
          <w:rFonts w:ascii="Calibri Light" w:eastAsia="Calibri" w:hAnsi="Calibri Light" w:cs="Times New Roman"/>
          <w:kern w:val="2"/>
          <w:szCs w:val="20"/>
        </w:rPr>
        <w:t xml:space="preserve"> </w:t>
      </w:r>
      <w:r w:rsidR="00D20853">
        <w:rPr>
          <w:rFonts w:ascii="Calibri Light" w:eastAsia="Calibri" w:hAnsi="Calibri Light" w:cs="Times New Roman"/>
          <w:kern w:val="2"/>
          <w:szCs w:val="20"/>
        </w:rPr>
        <w:fldChar w:fldCharType="begin"/>
      </w:r>
      <w:r w:rsidR="00D20853">
        <w:rPr>
          <w:rFonts w:ascii="Calibri Light" w:eastAsia="Calibri" w:hAnsi="Calibri Light" w:cs="Times New Roman"/>
          <w:kern w:val="2"/>
          <w:szCs w:val="20"/>
        </w:rPr>
        <w:instrText xml:space="preserve"> REF _Ref153898246 \h  \* MERGEFORMAT </w:instrText>
      </w:r>
      <w:r w:rsidR="00D20853">
        <w:rPr>
          <w:rFonts w:ascii="Calibri Light" w:eastAsia="Calibri" w:hAnsi="Calibri Light" w:cs="Times New Roman"/>
          <w:kern w:val="2"/>
          <w:szCs w:val="20"/>
        </w:rPr>
      </w:r>
      <w:r w:rsidR="00D20853">
        <w:rPr>
          <w:rFonts w:ascii="Calibri Light" w:eastAsia="Calibri" w:hAnsi="Calibri Light" w:cs="Times New Roman"/>
          <w:kern w:val="2"/>
          <w:szCs w:val="20"/>
        </w:rPr>
        <w:fldChar w:fldCharType="separate"/>
      </w:r>
      <w:r w:rsidR="00D20853" w:rsidRPr="00565B02">
        <w:rPr>
          <w:rFonts w:ascii="Calibri Light" w:eastAsia="Calibri" w:hAnsi="Calibri Light" w:cs="Times New Roman"/>
          <w:kern w:val="2"/>
          <w:szCs w:val="20"/>
        </w:rPr>
        <w:t>табели II.1</w:t>
      </w:r>
      <w:r w:rsidR="00D20853">
        <w:rPr>
          <w:rFonts w:ascii="Calibri Light" w:eastAsia="Calibri" w:hAnsi="Calibri Light" w:cs="Times New Roman"/>
          <w:kern w:val="2"/>
          <w:szCs w:val="20"/>
        </w:rPr>
        <w:fldChar w:fldCharType="end"/>
      </w:r>
      <w:r w:rsidR="005F362F" w:rsidRPr="00565B02">
        <w:rPr>
          <w:rFonts w:ascii="Calibri Light" w:eastAsia="Calibri" w:hAnsi="Calibri Light" w:cs="Times New Roman"/>
          <w:kern w:val="2"/>
          <w:szCs w:val="20"/>
        </w:rPr>
        <w:t xml:space="preserve">. </w:t>
      </w:r>
      <w:r w:rsidRPr="00FB4CE5">
        <w:rPr>
          <w:rFonts w:ascii="Calibri Light" w:eastAsia="Calibri" w:hAnsi="Calibri Light" w:cs="Times New Roman"/>
          <w:kern w:val="2"/>
          <w:szCs w:val="20"/>
        </w:rPr>
        <w:t xml:space="preserve">Сви приказани резултати се односе на електроенергетски систем Србије, осим укупне симулиране регионалне цене, која такође представља циљни трошак минимизиран алгоритмом симулације. Неиспоручена енергија је практично једнака нули, што указује на адекватност производње система. Годишња производња на бази лигнита </w:t>
      </w:r>
      <w:r w:rsidR="00383DA8" w:rsidRPr="00FB4CE5">
        <w:rPr>
          <w:rFonts w:ascii="Calibri Light" w:eastAsia="Calibri" w:hAnsi="Calibri Light" w:cs="Times New Roman"/>
          <w:kern w:val="2"/>
          <w:szCs w:val="20"/>
        </w:rPr>
        <w:t>износи</w:t>
      </w:r>
      <w:r w:rsidRPr="00FB4CE5">
        <w:rPr>
          <w:rFonts w:ascii="Calibri Light" w:eastAsia="Calibri" w:hAnsi="Calibri Light" w:cs="Times New Roman"/>
          <w:kern w:val="2"/>
          <w:szCs w:val="20"/>
        </w:rPr>
        <w:t xml:space="preserve"> 17 TWh.</w:t>
      </w:r>
      <w:r w:rsidR="00383DA8" w:rsidRPr="00FB4CE5">
        <w:rPr>
          <w:rFonts w:ascii="Calibri Light" w:eastAsia="Calibri" w:hAnsi="Calibri Light" w:cs="Times New Roman"/>
          <w:kern w:val="2"/>
          <w:szCs w:val="20"/>
        </w:rPr>
        <w:t xml:space="preserve"> Треба има</w:t>
      </w:r>
      <w:r w:rsidR="00295061" w:rsidRPr="00FB4CE5">
        <w:rPr>
          <w:rFonts w:ascii="Calibri Light" w:eastAsia="Calibri" w:hAnsi="Calibri Light" w:cs="Times New Roman"/>
          <w:kern w:val="2"/>
          <w:szCs w:val="20"/>
        </w:rPr>
        <w:t>т</w:t>
      </w:r>
      <w:r w:rsidR="00383DA8" w:rsidRPr="00FB4CE5">
        <w:rPr>
          <w:rFonts w:ascii="Calibri Light" w:eastAsia="Calibri" w:hAnsi="Calibri Light" w:cs="Times New Roman"/>
          <w:kern w:val="2"/>
          <w:szCs w:val="20"/>
        </w:rPr>
        <w:t xml:space="preserve">и на уму </w:t>
      </w:r>
      <w:r w:rsidRPr="00FB4CE5">
        <w:rPr>
          <w:rFonts w:ascii="Calibri Light" w:eastAsia="Calibri" w:hAnsi="Calibri Light" w:cs="Times New Roman"/>
          <w:kern w:val="2"/>
          <w:szCs w:val="20"/>
        </w:rPr>
        <w:t xml:space="preserve">да се хидропроизводња односи на производњу само из хидро </w:t>
      </w:r>
      <w:r w:rsidR="00FD3140" w:rsidRPr="00FB4CE5">
        <w:rPr>
          <w:rFonts w:ascii="Calibri Light" w:eastAsia="Calibri" w:hAnsi="Calibri Light" w:cs="Times New Roman"/>
          <w:kern w:val="2"/>
          <w:szCs w:val="20"/>
        </w:rPr>
        <w:t>прилива</w:t>
      </w:r>
      <w:r w:rsidRPr="00FB4CE5">
        <w:rPr>
          <w:rFonts w:ascii="Calibri Light" w:eastAsia="Calibri" w:hAnsi="Calibri Light" w:cs="Times New Roman"/>
          <w:kern w:val="2"/>
          <w:szCs w:val="20"/>
        </w:rPr>
        <w:t xml:space="preserve"> (реверзибилне хидроелектране нису обухваћене). Може се видети да уопште не долази до расипања енергије, због чега је систем довољно флексибилан да прихвати моделиране варијабилне капацитете ОИЕ, барем на нивоу тржишта дан</w:t>
      </w:r>
      <w:r w:rsidR="00295061" w:rsidRPr="00FB4CE5">
        <w:rPr>
          <w:rFonts w:ascii="Calibri Light" w:eastAsia="Calibri" w:hAnsi="Calibri Light" w:cs="Times New Roman"/>
          <w:kern w:val="2"/>
          <w:szCs w:val="20"/>
        </w:rPr>
        <w:t>-</w:t>
      </w:r>
      <w:r w:rsidRPr="00FB4CE5">
        <w:rPr>
          <w:rFonts w:ascii="Calibri Light" w:eastAsia="Calibri" w:hAnsi="Calibri Light" w:cs="Times New Roman"/>
          <w:kern w:val="2"/>
          <w:szCs w:val="20"/>
        </w:rPr>
        <w:t xml:space="preserve">унапред. </w:t>
      </w:r>
      <w:r w:rsidR="00FD3140" w:rsidRPr="00FB4CE5">
        <w:rPr>
          <w:rFonts w:ascii="Calibri Light" w:eastAsia="Calibri" w:hAnsi="Calibri Light" w:cs="Times New Roman"/>
          <w:kern w:val="2"/>
          <w:szCs w:val="20"/>
        </w:rPr>
        <w:t>Интерконективност</w:t>
      </w:r>
      <w:r w:rsidRPr="00FB4CE5">
        <w:rPr>
          <w:rFonts w:ascii="Calibri Light" w:eastAsia="Calibri" w:hAnsi="Calibri Light" w:cs="Times New Roman"/>
          <w:kern w:val="2"/>
          <w:szCs w:val="20"/>
        </w:rPr>
        <w:t xml:space="preserve"> електроенергетског система </w:t>
      </w:r>
      <w:r w:rsidR="00FD3140" w:rsidRPr="00FB4CE5">
        <w:rPr>
          <w:rFonts w:ascii="Calibri Light" w:eastAsia="Calibri" w:hAnsi="Calibri Light" w:cs="Times New Roman"/>
          <w:kern w:val="2"/>
          <w:szCs w:val="20"/>
        </w:rPr>
        <w:t xml:space="preserve">Србије </w:t>
      </w:r>
      <w:r w:rsidRPr="00FB4CE5">
        <w:rPr>
          <w:rFonts w:ascii="Calibri Light" w:eastAsia="Calibri" w:hAnsi="Calibri Light" w:cs="Times New Roman"/>
          <w:kern w:val="2"/>
          <w:szCs w:val="20"/>
        </w:rPr>
        <w:t xml:space="preserve">пружа значајну флексибилност. На годишњем нивоу, систем </w:t>
      </w:r>
      <w:r w:rsidR="00FD3140" w:rsidRPr="00FB4CE5">
        <w:rPr>
          <w:rFonts w:ascii="Calibri Light" w:eastAsia="Calibri" w:hAnsi="Calibri Light" w:cs="Times New Roman"/>
          <w:kern w:val="2"/>
          <w:szCs w:val="20"/>
        </w:rPr>
        <w:t xml:space="preserve">Србије </w:t>
      </w:r>
      <w:r w:rsidRPr="00FB4CE5">
        <w:rPr>
          <w:rFonts w:ascii="Calibri Light" w:eastAsia="Calibri" w:hAnsi="Calibri Light" w:cs="Times New Roman"/>
          <w:kern w:val="2"/>
          <w:szCs w:val="20"/>
        </w:rPr>
        <w:t>извози 0,6 TWh, односно у просеку 73 MWh по сату.</w:t>
      </w:r>
    </w:p>
    <w:p w14:paraId="7FC84DBA" w14:textId="466BCFA5" w:rsidR="00D20853" w:rsidRDefault="00D20853" w:rsidP="00565B02">
      <w:pPr>
        <w:pStyle w:val="Caption"/>
        <w:keepNext/>
      </w:pPr>
      <w:bookmarkStart w:id="482" w:name="_Ref153898246"/>
      <w:bookmarkStart w:id="483" w:name="_Toc153901487"/>
      <w:r>
        <w:t xml:space="preserve">Табела </w:t>
      </w:r>
      <w:r w:rsidR="00873C40">
        <w:fldChar w:fldCharType="begin"/>
      </w:r>
      <w:r w:rsidR="00873C40">
        <w:instrText xml:space="preserve"> STYLEREF 1 \s </w:instrText>
      </w:r>
      <w:r w:rsidR="00873C40">
        <w:fldChar w:fldCharType="separate"/>
      </w:r>
      <w:r w:rsidR="00873C40">
        <w:rPr>
          <w:noProof/>
        </w:rPr>
        <w:t>II</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1</w:t>
      </w:r>
      <w:r w:rsidR="00873C40">
        <w:fldChar w:fldCharType="end"/>
      </w:r>
      <w:bookmarkEnd w:id="482"/>
      <w:r w:rsidRPr="00D20853">
        <w:t>: Просечни општи резултати Сценарија S за циљну 2030. годину</w:t>
      </w:r>
      <w:bookmarkEnd w:id="483"/>
    </w:p>
    <w:tbl>
      <w:tblPr>
        <w:tblW w:w="6522" w:type="dxa"/>
        <w:jc w:val="center"/>
        <w:tblLook w:val="04A0" w:firstRow="1" w:lastRow="0" w:firstColumn="1" w:lastColumn="0" w:noHBand="0" w:noVBand="1"/>
      </w:tblPr>
      <w:tblGrid>
        <w:gridCol w:w="3850"/>
        <w:gridCol w:w="2672"/>
      </w:tblGrid>
      <w:tr w:rsidR="00F12D51" w:rsidRPr="00FF386D" w14:paraId="4231AB88" w14:textId="77777777" w:rsidTr="0057310C">
        <w:trPr>
          <w:trHeight w:val="20"/>
          <w:jc w:val="center"/>
        </w:trPr>
        <w:tc>
          <w:tcPr>
            <w:tcW w:w="3850" w:type="dxa"/>
            <w:tcBorders>
              <w:top w:val="single" w:sz="8" w:space="0" w:color="auto"/>
              <w:left w:val="single" w:sz="8" w:space="0" w:color="auto"/>
              <w:bottom w:val="single" w:sz="4" w:space="0" w:color="auto"/>
              <w:right w:val="nil"/>
            </w:tcBorders>
            <w:shd w:val="clear" w:color="000000" w:fill="404040"/>
            <w:noWrap/>
            <w:vAlign w:val="center"/>
            <w:hideMark/>
          </w:tcPr>
          <w:p w14:paraId="659CCD3F" w14:textId="77777777" w:rsidR="00F12D51" w:rsidRPr="00FF386D" w:rsidRDefault="00F12D51" w:rsidP="0057310C">
            <w:pPr>
              <w:spacing w:after="0" w:line="240" w:lineRule="auto"/>
              <w:rPr>
                <w:rFonts w:ascii="Calibri Light" w:eastAsia="Calibri" w:hAnsi="Calibri Light" w:cs="Calibri Light"/>
                <w:color w:val="FFFFFF"/>
                <w:sz w:val="20"/>
                <w:szCs w:val="20"/>
              </w:rPr>
            </w:pPr>
            <w:r w:rsidRPr="00FF386D">
              <w:rPr>
                <w:rFonts w:ascii="Calibri Light" w:hAnsi="Calibri Light"/>
                <w:color w:val="FFFFFF"/>
                <w:sz w:val="20"/>
                <w:szCs w:val="20"/>
              </w:rPr>
              <w:t>Назив</w:t>
            </w:r>
          </w:p>
        </w:tc>
        <w:tc>
          <w:tcPr>
            <w:tcW w:w="2672" w:type="dxa"/>
            <w:tcBorders>
              <w:top w:val="single" w:sz="8" w:space="0" w:color="auto"/>
              <w:left w:val="nil"/>
              <w:bottom w:val="single" w:sz="4" w:space="0" w:color="auto"/>
              <w:right w:val="single" w:sz="8" w:space="0" w:color="auto"/>
            </w:tcBorders>
            <w:shd w:val="clear" w:color="000000" w:fill="1F497D"/>
            <w:vAlign w:val="center"/>
            <w:hideMark/>
          </w:tcPr>
          <w:p w14:paraId="4B7AD45C" w14:textId="77777777" w:rsidR="00F12D51" w:rsidRPr="00FF386D" w:rsidRDefault="00F12D51" w:rsidP="0057310C">
            <w:pPr>
              <w:spacing w:after="0" w:line="240" w:lineRule="auto"/>
              <w:jc w:val="center"/>
              <w:rPr>
                <w:rFonts w:ascii="Calibri Light" w:eastAsia="Calibri" w:hAnsi="Calibri Light" w:cs="Calibri Light"/>
                <w:color w:val="FFFFFF"/>
                <w:sz w:val="20"/>
                <w:szCs w:val="20"/>
              </w:rPr>
            </w:pPr>
            <w:r w:rsidRPr="00FF386D">
              <w:rPr>
                <w:rFonts w:ascii="Calibri Light" w:hAnsi="Calibri Light"/>
                <w:color w:val="FFFFFF"/>
                <w:sz w:val="20"/>
                <w:szCs w:val="20"/>
              </w:rPr>
              <w:t xml:space="preserve">Сценарио </w:t>
            </w:r>
            <w:r w:rsidRPr="00FF386D">
              <w:rPr>
                <w:rFonts w:ascii="Calibri Light" w:hAnsi="Calibri Light"/>
                <w:i/>
                <w:color w:val="FFFFFF"/>
                <w:sz w:val="20"/>
                <w:szCs w:val="20"/>
              </w:rPr>
              <w:t>S</w:t>
            </w:r>
          </w:p>
        </w:tc>
      </w:tr>
      <w:tr w:rsidR="00F12D51" w:rsidRPr="00FF386D" w14:paraId="2808B378" w14:textId="77777777" w:rsidTr="0057310C">
        <w:trPr>
          <w:trHeight w:val="20"/>
          <w:jc w:val="center"/>
        </w:trPr>
        <w:tc>
          <w:tcPr>
            <w:tcW w:w="3850" w:type="dxa"/>
            <w:tcBorders>
              <w:top w:val="nil"/>
              <w:left w:val="single" w:sz="8" w:space="0" w:color="auto"/>
              <w:bottom w:val="single" w:sz="4" w:space="0" w:color="auto"/>
              <w:right w:val="nil"/>
            </w:tcBorders>
            <w:shd w:val="clear" w:color="000000" w:fill="F2F2F2"/>
            <w:noWrap/>
            <w:vAlign w:val="center"/>
            <w:hideMark/>
          </w:tcPr>
          <w:p w14:paraId="068E5FA5"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 </w:t>
            </w:r>
          </w:p>
        </w:tc>
        <w:tc>
          <w:tcPr>
            <w:tcW w:w="2672" w:type="dxa"/>
            <w:tcBorders>
              <w:top w:val="nil"/>
              <w:left w:val="nil"/>
              <w:bottom w:val="single" w:sz="4" w:space="0" w:color="auto"/>
              <w:right w:val="single" w:sz="8" w:space="0" w:color="auto"/>
            </w:tcBorders>
            <w:shd w:val="clear" w:color="auto" w:fill="auto"/>
            <w:noWrap/>
            <w:vAlign w:val="center"/>
            <w:hideMark/>
          </w:tcPr>
          <w:p w14:paraId="1EF7EB40"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GWh</w:t>
            </w:r>
          </w:p>
        </w:tc>
      </w:tr>
      <w:tr w:rsidR="00F12D51" w:rsidRPr="00FF386D" w14:paraId="2C0096AB" w14:textId="77777777" w:rsidTr="0057310C">
        <w:trPr>
          <w:trHeight w:val="20"/>
          <w:jc w:val="center"/>
        </w:trPr>
        <w:tc>
          <w:tcPr>
            <w:tcW w:w="3850" w:type="dxa"/>
            <w:tcBorders>
              <w:top w:val="nil"/>
              <w:left w:val="single" w:sz="8" w:space="0" w:color="auto"/>
              <w:bottom w:val="single" w:sz="4" w:space="0" w:color="auto"/>
              <w:right w:val="nil"/>
            </w:tcBorders>
            <w:shd w:val="clear" w:color="000000" w:fill="F2F2F2"/>
            <w:noWrap/>
            <w:vAlign w:val="center"/>
            <w:hideMark/>
          </w:tcPr>
          <w:p w14:paraId="70D9C56D"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Потражња</w:t>
            </w:r>
          </w:p>
        </w:tc>
        <w:tc>
          <w:tcPr>
            <w:tcW w:w="2672" w:type="dxa"/>
            <w:tcBorders>
              <w:top w:val="nil"/>
              <w:left w:val="nil"/>
              <w:bottom w:val="single" w:sz="4" w:space="0" w:color="auto"/>
              <w:right w:val="single" w:sz="8" w:space="0" w:color="auto"/>
            </w:tcBorders>
            <w:shd w:val="clear" w:color="000000" w:fill="DDEBF7"/>
            <w:noWrap/>
            <w:vAlign w:val="center"/>
            <w:hideMark/>
          </w:tcPr>
          <w:p w14:paraId="6D77E7B2"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37.685,9</w:t>
            </w:r>
          </w:p>
        </w:tc>
      </w:tr>
      <w:tr w:rsidR="00F12D51" w:rsidRPr="00FF386D" w14:paraId="76510994" w14:textId="77777777" w:rsidTr="0057310C">
        <w:trPr>
          <w:trHeight w:val="20"/>
          <w:jc w:val="center"/>
        </w:trPr>
        <w:tc>
          <w:tcPr>
            <w:tcW w:w="3850" w:type="dxa"/>
            <w:tcBorders>
              <w:top w:val="nil"/>
              <w:left w:val="single" w:sz="8" w:space="0" w:color="auto"/>
              <w:bottom w:val="single" w:sz="4" w:space="0" w:color="auto"/>
              <w:right w:val="nil"/>
            </w:tcBorders>
            <w:shd w:val="clear" w:color="000000" w:fill="F2F2F2"/>
            <w:noWrap/>
            <w:vAlign w:val="center"/>
            <w:hideMark/>
          </w:tcPr>
          <w:p w14:paraId="2DA0F377"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Лигнит</w:t>
            </w:r>
          </w:p>
        </w:tc>
        <w:tc>
          <w:tcPr>
            <w:tcW w:w="2672" w:type="dxa"/>
            <w:tcBorders>
              <w:top w:val="nil"/>
              <w:left w:val="nil"/>
              <w:bottom w:val="single" w:sz="4" w:space="0" w:color="auto"/>
              <w:right w:val="single" w:sz="8" w:space="0" w:color="auto"/>
            </w:tcBorders>
            <w:shd w:val="clear" w:color="auto" w:fill="auto"/>
            <w:noWrap/>
            <w:vAlign w:val="center"/>
            <w:hideMark/>
          </w:tcPr>
          <w:p w14:paraId="12A8F1CD"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16.832,9</w:t>
            </w:r>
          </w:p>
        </w:tc>
      </w:tr>
      <w:tr w:rsidR="00F12D51" w:rsidRPr="00FF386D" w14:paraId="58B67D5C" w14:textId="77777777" w:rsidTr="0057310C">
        <w:trPr>
          <w:trHeight w:val="20"/>
          <w:jc w:val="center"/>
        </w:trPr>
        <w:tc>
          <w:tcPr>
            <w:tcW w:w="3850" w:type="dxa"/>
            <w:tcBorders>
              <w:top w:val="nil"/>
              <w:left w:val="single" w:sz="8" w:space="0" w:color="auto"/>
              <w:bottom w:val="single" w:sz="4" w:space="0" w:color="auto"/>
              <w:right w:val="nil"/>
            </w:tcBorders>
            <w:shd w:val="clear" w:color="000000" w:fill="F2F2F2"/>
            <w:noWrap/>
            <w:vAlign w:val="center"/>
            <w:hideMark/>
          </w:tcPr>
          <w:p w14:paraId="1DE9773E"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Гас</w:t>
            </w:r>
          </w:p>
        </w:tc>
        <w:tc>
          <w:tcPr>
            <w:tcW w:w="2672" w:type="dxa"/>
            <w:tcBorders>
              <w:top w:val="nil"/>
              <w:left w:val="nil"/>
              <w:bottom w:val="single" w:sz="4" w:space="0" w:color="auto"/>
              <w:right w:val="single" w:sz="8" w:space="0" w:color="auto"/>
            </w:tcBorders>
            <w:shd w:val="clear" w:color="000000" w:fill="DDEBF7"/>
            <w:noWrap/>
            <w:vAlign w:val="center"/>
            <w:hideMark/>
          </w:tcPr>
          <w:p w14:paraId="20903E65"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2.679,5</w:t>
            </w:r>
          </w:p>
        </w:tc>
      </w:tr>
      <w:tr w:rsidR="00F12D51" w:rsidRPr="00FF386D" w14:paraId="3A3E6A44" w14:textId="77777777" w:rsidTr="0057310C">
        <w:trPr>
          <w:trHeight w:val="20"/>
          <w:jc w:val="center"/>
        </w:trPr>
        <w:tc>
          <w:tcPr>
            <w:tcW w:w="3850" w:type="dxa"/>
            <w:tcBorders>
              <w:top w:val="nil"/>
              <w:left w:val="single" w:sz="8" w:space="0" w:color="auto"/>
              <w:bottom w:val="single" w:sz="4" w:space="0" w:color="auto"/>
              <w:right w:val="nil"/>
            </w:tcBorders>
            <w:shd w:val="clear" w:color="000000" w:fill="F2F2F2"/>
            <w:noWrap/>
            <w:vAlign w:val="center"/>
            <w:hideMark/>
          </w:tcPr>
          <w:p w14:paraId="6BF41600"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Вода</w:t>
            </w:r>
          </w:p>
        </w:tc>
        <w:tc>
          <w:tcPr>
            <w:tcW w:w="2672" w:type="dxa"/>
            <w:tcBorders>
              <w:top w:val="nil"/>
              <w:left w:val="nil"/>
              <w:bottom w:val="single" w:sz="4" w:space="0" w:color="auto"/>
              <w:right w:val="single" w:sz="8" w:space="0" w:color="auto"/>
            </w:tcBorders>
            <w:shd w:val="clear" w:color="auto" w:fill="auto"/>
            <w:noWrap/>
            <w:vAlign w:val="center"/>
            <w:hideMark/>
          </w:tcPr>
          <w:p w14:paraId="0DFCE734"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10.818,5</w:t>
            </w:r>
          </w:p>
        </w:tc>
      </w:tr>
      <w:tr w:rsidR="00F12D51" w:rsidRPr="00FF386D" w14:paraId="23C47CDF" w14:textId="77777777" w:rsidTr="0057310C">
        <w:trPr>
          <w:trHeight w:val="20"/>
          <w:jc w:val="center"/>
        </w:trPr>
        <w:tc>
          <w:tcPr>
            <w:tcW w:w="3850" w:type="dxa"/>
            <w:tcBorders>
              <w:top w:val="nil"/>
              <w:left w:val="single" w:sz="8" w:space="0" w:color="auto"/>
              <w:bottom w:val="single" w:sz="4" w:space="0" w:color="auto"/>
              <w:right w:val="nil"/>
            </w:tcBorders>
            <w:shd w:val="clear" w:color="000000" w:fill="F2F2F2"/>
            <w:noWrap/>
            <w:vAlign w:val="center"/>
            <w:hideMark/>
          </w:tcPr>
          <w:p w14:paraId="077F8B46"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Ветар</w:t>
            </w:r>
          </w:p>
        </w:tc>
        <w:tc>
          <w:tcPr>
            <w:tcW w:w="2672" w:type="dxa"/>
            <w:tcBorders>
              <w:top w:val="nil"/>
              <w:left w:val="nil"/>
              <w:bottom w:val="single" w:sz="4" w:space="0" w:color="auto"/>
              <w:right w:val="single" w:sz="8" w:space="0" w:color="auto"/>
            </w:tcBorders>
            <w:shd w:val="clear" w:color="000000" w:fill="DDEBF7"/>
            <w:noWrap/>
            <w:vAlign w:val="center"/>
            <w:hideMark/>
          </w:tcPr>
          <w:p w14:paraId="430EA45E"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4.608,8</w:t>
            </w:r>
          </w:p>
        </w:tc>
      </w:tr>
      <w:tr w:rsidR="00F12D51" w:rsidRPr="00FF386D" w14:paraId="7C56B446" w14:textId="77777777" w:rsidTr="0057310C">
        <w:trPr>
          <w:trHeight w:val="20"/>
          <w:jc w:val="center"/>
        </w:trPr>
        <w:tc>
          <w:tcPr>
            <w:tcW w:w="3850" w:type="dxa"/>
            <w:tcBorders>
              <w:top w:val="nil"/>
              <w:left w:val="single" w:sz="8" w:space="0" w:color="auto"/>
              <w:bottom w:val="single" w:sz="4" w:space="0" w:color="auto"/>
              <w:right w:val="nil"/>
            </w:tcBorders>
            <w:shd w:val="clear" w:color="000000" w:fill="F2F2F2"/>
            <w:noWrap/>
            <w:vAlign w:val="center"/>
            <w:hideMark/>
          </w:tcPr>
          <w:p w14:paraId="43F73EDE"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Соларна енергија</w:t>
            </w:r>
          </w:p>
        </w:tc>
        <w:tc>
          <w:tcPr>
            <w:tcW w:w="2672" w:type="dxa"/>
            <w:tcBorders>
              <w:top w:val="nil"/>
              <w:left w:val="nil"/>
              <w:bottom w:val="single" w:sz="4" w:space="0" w:color="auto"/>
              <w:right w:val="single" w:sz="8" w:space="0" w:color="auto"/>
            </w:tcBorders>
            <w:shd w:val="clear" w:color="auto" w:fill="auto"/>
            <w:noWrap/>
            <w:vAlign w:val="center"/>
            <w:hideMark/>
          </w:tcPr>
          <w:p w14:paraId="7F33ABE7"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2.335,6</w:t>
            </w:r>
          </w:p>
        </w:tc>
      </w:tr>
      <w:tr w:rsidR="00F12D51" w:rsidRPr="00FF386D" w14:paraId="4548770A" w14:textId="77777777" w:rsidTr="0057310C">
        <w:trPr>
          <w:trHeight w:val="20"/>
          <w:jc w:val="center"/>
        </w:trPr>
        <w:tc>
          <w:tcPr>
            <w:tcW w:w="3850" w:type="dxa"/>
            <w:tcBorders>
              <w:top w:val="nil"/>
              <w:left w:val="single" w:sz="8" w:space="0" w:color="auto"/>
              <w:bottom w:val="single" w:sz="4" w:space="0" w:color="auto"/>
              <w:right w:val="nil"/>
            </w:tcBorders>
            <w:shd w:val="clear" w:color="000000" w:fill="F2F2F2"/>
            <w:noWrap/>
            <w:vAlign w:val="center"/>
            <w:hideMark/>
          </w:tcPr>
          <w:p w14:paraId="254EEF45"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Мале конгенеративне електране, биомаса итд.</w:t>
            </w:r>
          </w:p>
        </w:tc>
        <w:tc>
          <w:tcPr>
            <w:tcW w:w="2672" w:type="dxa"/>
            <w:tcBorders>
              <w:top w:val="nil"/>
              <w:left w:val="nil"/>
              <w:bottom w:val="single" w:sz="4" w:space="0" w:color="auto"/>
              <w:right w:val="single" w:sz="8" w:space="0" w:color="auto"/>
            </w:tcBorders>
            <w:shd w:val="clear" w:color="000000" w:fill="DDEBF7"/>
            <w:vAlign w:val="center"/>
            <w:hideMark/>
          </w:tcPr>
          <w:p w14:paraId="603DFE0F"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1.058,7</w:t>
            </w:r>
          </w:p>
        </w:tc>
      </w:tr>
      <w:tr w:rsidR="00F12D51" w:rsidRPr="00FF386D" w14:paraId="52863852" w14:textId="77777777" w:rsidTr="0057310C">
        <w:trPr>
          <w:trHeight w:val="20"/>
          <w:jc w:val="center"/>
        </w:trPr>
        <w:tc>
          <w:tcPr>
            <w:tcW w:w="3850" w:type="dxa"/>
            <w:tcBorders>
              <w:top w:val="nil"/>
              <w:left w:val="single" w:sz="8" w:space="0" w:color="auto"/>
              <w:bottom w:val="single" w:sz="4" w:space="0" w:color="auto"/>
              <w:right w:val="nil"/>
            </w:tcBorders>
            <w:shd w:val="clear" w:color="000000" w:fill="F2F2F2"/>
            <w:noWrap/>
            <w:vAlign w:val="center"/>
            <w:hideMark/>
          </w:tcPr>
          <w:p w14:paraId="080BA290"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 </w:t>
            </w:r>
          </w:p>
        </w:tc>
        <w:tc>
          <w:tcPr>
            <w:tcW w:w="2672" w:type="dxa"/>
            <w:tcBorders>
              <w:top w:val="nil"/>
              <w:left w:val="nil"/>
              <w:bottom w:val="single" w:sz="4" w:space="0" w:color="auto"/>
              <w:right w:val="single" w:sz="8" w:space="0" w:color="auto"/>
            </w:tcBorders>
            <w:shd w:val="clear" w:color="auto" w:fill="auto"/>
            <w:noWrap/>
            <w:vAlign w:val="center"/>
            <w:hideMark/>
          </w:tcPr>
          <w:p w14:paraId="41681F51"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GWh</w:t>
            </w:r>
          </w:p>
        </w:tc>
      </w:tr>
      <w:tr w:rsidR="00F12D51" w:rsidRPr="00FF386D" w14:paraId="1F746771" w14:textId="77777777" w:rsidTr="0057310C">
        <w:trPr>
          <w:trHeight w:val="20"/>
          <w:jc w:val="center"/>
        </w:trPr>
        <w:tc>
          <w:tcPr>
            <w:tcW w:w="3850" w:type="dxa"/>
            <w:tcBorders>
              <w:top w:val="nil"/>
              <w:left w:val="single" w:sz="8" w:space="0" w:color="auto"/>
              <w:bottom w:val="single" w:sz="4" w:space="0" w:color="auto"/>
              <w:right w:val="nil"/>
            </w:tcBorders>
            <w:shd w:val="clear" w:color="000000" w:fill="F2F2F2"/>
            <w:noWrap/>
            <w:vAlign w:val="center"/>
            <w:hideMark/>
          </w:tcPr>
          <w:p w14:paraId="022B9016"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Расута енергија</w:t>
            </w:r>
          </w:p>
        </w:tc>
        <w:tc>
          <w:tcPr>
            <w:tcW w:w="2672" w:type="dxa"/>
            <w:tcBorders>
              <w:top w:val="nil"/>
              <w:left w:val="nil"/>
              <w:bottom w:val="single" w:sz="4" w:space="0" w:color="auto"/>
              <w:right w:val="single" w:sz="8" w:space="0" w:color="auto"/>
            </w:tcBorders>
            <w:shd w:val="clear" w:color="000000" w:fill="DDEBF7"/>
            <w:noWrap/>
            <w:vAlign w:val="center"/>
            <w:hideMark/>
          </w:tcPr>
          <w:p w14:paraId="5C435DDA"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0,0</w:t>
            </w:r>
          </w:p>
        </w:tc>
      </w:tr>
      <w:tr w:rsidR="00F12D51" w:rsidRPr="00FF386D" w14:paraId="2A53FAF3" w14:textId="77777777" w:rsidTr="0057310C">
        <w:trPr>
          <w:trHeight w:val="20"/>
          <w:jc w:val="center"/>
        </w:trPr>
        <w:tc>
          <w:tcPr>
            <w:tcW w:w="3850" w:type="dxa"/>
            <w:tcBorders>
              <w:top w:val="nil"/>
              <w:left w:val="single" w:sz="8" w:space="0" w:color="auto"/>
              <w:bottom w:val="single" w:sz="4" w:space="0" w:color="auto"/>
              <w:right w:val="nil"/>
            </w:tcBorders>
            <w:shd w:val="clear" w:color="000000" w:fill="F2F2F2"/>
            <w:noWrap/>
            <w:vAlign w:val="center"/>
            <w:hideMark/>
          </w:tcPr>
          <w:p w14:paraId="4FB10C1A"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Губици при складиштењу</w:t>
            </w:r>
          </w:p>
        </w:tc>
        <w:tc>
          <w:tcPr>
            <w:tcW w:w="2672" w:type="dxa"/>
            <w:tcBorders>
              <w:top w:val="nil"/>
              <w:left w:val="nil"/>
              <w:bottom w:val="single" w:sz="4" w:space="0" w:color="auto"/>
              <w:right w:val="single" w:sz="8" w:space="0" w:color="auto"/>
            </w:tcBorders>
            <w:shd w:val="clear" w:color="auto" w:fill="auto"/>
            <w:noWrap/>
            <w:vAlign w:val="center"/>
            <w:hideMark/>
          </w:tcPr>
          <w:p w14:paraId="562A282C"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13,8</w:t>
            </w:r>
          </w:p>
        </w:tc>
      </w:tr>
      <w:tr w:rsidR="00F12D51" w:rsidRPr="00FF386D" w14:paraId="435FA7C3" w14:textId="77777777" w:rsidTr="0057310C">
        <w:trPr>
          <w:trHeight w:val="20"/>
          <w:jc w:val="center"/>
        </w:trPr>
        <w:tc>
          <w:tcPr>
            <w:tcW w:w="3850" w:type="dxa"/>
            <w:tcBorders>
              <w:top w:val="nil"/>
              <w:left w:val="single" w:sz="8" w:space="0" w:color="auto"/>
              <w:bottom w:val="single" w:sz="4" w:space="0" w:color="auto"/>
              <w:right w:val="nil"/>
            </w:tcBorders>
            <w:shd w:val="clear" w:color="000000" w:fill="F2F2F2"/>
            <w:noWrap/>
            <w:vAlign w:val="center"/>
            <w:hideMark/>
          </w:tcPr>
          <w:p w14:paraId="72CF0362"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Неиспоручена енергија</w:t>
            </w:r>
          </w:p>
        </w:tc>
        <w:tc>
          <w:tcPr>
            <w:tcW w:w="2672" w:type="dxa"/>
            <w:tcBorders>
              <w:top w:val="nil"/>
              <w:left w:val="nil"/>
              <w:bottom w:val="single" w:sz="4" w:space="0" w:color="auto"/>
              <w:right w:val="single" w:sz="8" w:space="0" w:color="auto"/>
            </w:tcBorders>
            <w:shd w:val="clear" w:color="000000" w:fill="DDEBF7"/>
            <w:noWrap/>
            <w:vAlign w:val="center"/>
            <w:hideMark/>
          </w:tcPr>
          <w:p w14:paraId="0AC1AEE8"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0,1</w:t>
            </w:r>
          </w:p>
        </w:tc>
      </w:tr>
      <w:tr w:rsidR="00F12D51" w:rsidRPr="00FF386D" w14:paraId="2DD8202B" w14:textId="77777777" w:rsidTr="0057310C">
        <w:trPr>
          <w:trHeight w:val="20"/>
          <w:jc w:val="center"/>
        </w:trPr>
        <w:tc>
          <w:tcPr>
            <w:tcW w:w="3850" w:type="dxa"/>
            <w:tcBorders>
              <w:top w:val="nil"/>
              <w:left w:val="single" w:sz="8" w:space="0" w:color="auto"/>
              <w:bottom w:val="single" w:sz="4" w:space="0" w:color="auto"/>
              <w:right w:val="nil"/>
            </w:tcBorders>
            <w:shd w:val="clear" w:color="000000" w:fill="F2F2F2"/>
            <w:noWrap/>
            <w:vAlign w:val="center"/>
            <w:hideMark/>
          </w:tcPr>
          <w:p w14:paraId="47B3C77F"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Нето годишњи извоз</w:t>
            </w:r>
          </w:p>
        </w:tc>
        <w:tc>
          <w:tcPr>
            <w:tcW w:w="2672" w:type="dxa"/>
            <w:tcBorders>
              <w:top w:val="nil"/>
              <w:left w:val="nil"/>
              <w:bottom w:val="single" w:sz="4" w:space="0" w:color="auto"/>
              <w:right w:val="single" w:sz="8" w:space="0" w:color="auto"/>
            </w:tcBorders>
            <w:shd w:val="clear" w:color="auto" w:fill="auto"/>
            <w:noWrap/>
            <w:vAlign w:val="center"/>
            <w:hideMark/>
          </w:tcPr>
          <w:p w14:paraId="56F91CF1"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634,2</w:t>
            </w:r>
          </w:p>
        </w:tc>
      </w:tr>
      <w:tr w:rsidR="00F12D51" w:rsidRPr="00FF386D" w14:paraId="64A693D5" w14:textId="77777777" w:rsidTr="0057310C">
        <w:trPr>
          <w:trHeight w:val="20"/>
          <w:jc w:val="center"/>
        </w:trPr>
        <w:tc>
          <w:tcPr>
            <w:tcW w:w="3850" w:type="dxa"/>
            <w:tcBorders>
              <w:top w:val="nil"/>
              <w:left w:val="single" w:sz="8" w:space="0" w:color="auto"/>
              <w:bottom w:val="single" w:sz="4" w:space="0" w:color="auto"/>
              <w:right w:val="nil"/>
            </w:tcBorders>
            <w:shd w:val="clear" w:color="000000" w:fill="F2F2F2"/>
            <w:noWrap/>
            <w:vAlign w:val="center"/>
            <w:hideMark/>
          </w:tcPr>
          <w:p w14:paraId="5756EA8F"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 </w:t>
            </w:r>
          </w:p>
        </w:tc>
        <w:tc>
          <w:tcPr>
            <w:tcW w:w="2672" w:type="dxa"/>
            <w:tcBorders>
              <w:top w:val="nil"/>
              <w:left w:val="nil"/>
              <w:bottom w:val="single" w:sz="4" w:space="0" w:color="auto"/>
              <w:right w:val="single" w:sz="8" w:space="0" w:color="auto"/>
            </w:tcBorders>
            <w:shd w:val="clear" w:color="auto" w:fill="auto"/>
            <w:noWrap/>
            <w:vAlign w:val="center"/>
            <w:hideMark/>
          </w:tcPr>
          <w:p w14:paraId="3C716117"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MW</w:t>
            </w:r>
          </w:p>
        </w:tc>
      </w:tr>
      <w:tr w:rsidR="00F12D51" w:rsidRPr="00FF386D" w14:paraId="2927765F" w14:textId="77777777" w:rsidTr="0057310C">
        <w:trPr>
          <w:trHeight w:val="20"/>
          <w:jc w:val="center"/>
        </w:trPr>
        <w:tc>
          <w:tcPr>
            <w:tcW w:w="3850" w:type="dxa"/>
            <w:tcBorders>
              <w:top w:val="nil"/>
              <w:left w:val="single" w:sz="8" w:space="0" w:color="auto"/>
              <w:bottom w:val="single" w:sz="4" w:space="0" w:color="auto"/>
              <w:right w:val="nil"/>
            </w:tcBorders>
            <w:shd w:val="clear" w:color="000000" w:fill="F2F2F2"/>
            <w:noWrap/>
            <w:vAlign w:val="center"/>
            <w:hideMark/>
          </w:tcPr>
          <w:p w14:paraId="65824278"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Просечан нето извоз</w:t>
            </w:r>
          </w:p>
        </w:tc>
        <w:tc>
          <w:tcPr>
            <w:tcW w:w="2672" w:type="dxa"/>
            <w:tcBorders>
              <w:top w:val="nil"/>
              <w:left w:val="nil"/>
              <w:bottom w:val="single" w:sz="4" w:space="0" w:color="auto"/>
              <w:right w:val="single" w:sz="8" w:space="0" w:color="auto"/>
            </w:tcBorders>
            <w:shd w:val="clear" w:color="000000" w:fill="DDEBF7"/>
            <w:noWrap/>
            <w:vAlign w:val="center"/>
            <w:hideMark/>
          </w:tcPr>
          <w:p w14:paraId="513CEB9B"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72,6</w:t>
            </w:r>
          </w:p>
        </w:tc>
      </w:tr>
      <w:tr w:rsidR="00F12D51" w:rsidRPr="00FF386D" w14:paraId="340BA410" w14:textId="77777777" w:rsidTr="0057310C">
        <w:trPr>
          <w:trHeight w:val="20"/>
          <w:jc w:val="center"/>
        </w:trPr>
        <w:tc>
          <w:tcPr>
            <w:tcW w:w="3850" w:type="dxa"/>
            <w:tcBorders>
              <w:top w:val="nil"/>
              <w:left w:val="single" w:sz="8" w:space="0" w:color="auto"/>
              <w:bottom w:val="single" w:sz="4" w:space="0" w:color="auto"/>
              <w:right w:val="nil"/>
            </w:tcBorders>
            <w:shd w:val="clear" w:color="000000" w:fill="F2F2F2"/>
            <w:noWrap/>
            <w:vAlign w:val="center"/>
            <w:hideMark/>
          </w:tcPr>
          <w:p w14:paraId="69F4E4EA"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lastRenderedPageBreak/>
              <w:t> </w:t>
            </w:r>
          </w:p>
        </w:tc>
        <w:tc>
          <w:tcPr>
            <w:tcW w:w="2672" w:type="dxa"/>
            <w:tcBorders>
              <w:top w:val="nil"/>
              <w:left w:val="nil"/>
              <w:bottom w:val="single" w:sz="4" w:space="0" w:color="auto"/>
              <w:right w:val="single" w:sz="8" w:space="0" w:color="auto"/>
            </w:tcBorders>
            <w:shd w:val="clear" w:color="auto" w:fill="auto"/>
            <w:noWrap/>
            <w:vAlign w:val="center"/>
            <w:hideMark/>
          </w:tcPr>
          <w:p w14:paraId="72FECD01"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Тона</w:t>
            </w:r>
          </w:p>
        </w:tc>
      </w:tr>
      <w:tr w:rsidR="00F12D51" w:rsidRPr="00FF386D" w14:paraId="73BCD77C" w14:textId="77777777" w:rsidTr="0057310C">
        <w:trPr>
          <w:trHeight w:val="20"/>
          <w:jc w:val="center"/>
        </w:trPr>
        <w:tc>
          <w:tcPr>
            <w:tcW w:w="3850" w:type="dxa"/>
            <w:tcBorders>
              <w:top w:val="nil"/>
              <w:left w:val="single" w:sz="8" w:space="0" w:color="auto"/>
              <w:bottom w:val="single" w:sz="4" w:space="0" w:color="auto"/>
              <w:right w:val="nil"/>
            </w:tcBorders>
            <w:shd w:val="clear" w:color="000000" w:fill="F2F2F2"/>
            <w:noWrap/>
            <w:vAlign w:val="center"/>
            <w:hideMark/>
          </w:tcPr>
          <w:p w14:paraId="3DA1C7AA"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Емисије CO2</w:t>
            </w:r>
          </w:p>
        </w:tc>
        <w:tc>
          <w:tcPr>
            <w:tcW w:w="2672" w:type="dxa"/>
            <w:tcBorders>
              <w:top w:val="nil"/>
              <w:left w:val="nil"/>
              <w:bottom w:val="single" w:sz="4" w:space="0" w:color="auto"/>
              <w:right w:val="single" w:sz="8" w:space="0" w:color="auto"/>
            </w:tcBorders>
            <w:shd w:val="clear" w:color="000000" w:fill="DDEBF7"/>
            <w:noWrap/>
            <w:vAlign w:val="center"/>
            <w:hideMark/>
          </w:tcPr>
          <w:p w14:paraId="02759409"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20.146.493</w:t>
            </w:r>
          </w:p>
        </w:tc>
      </w:tr>
      <w:tr w:rsidR="00F12D51" w:rsidRPr="00FF386D" w14:paraId="49A911BF" w14:textId="77777777" w:rsidTr="0057310C">
        <w:trPr>
          <w:trHeight w:val="20"/>
          <w:jc w:val="center"/>
        </w:trPr>
        <w:tc>
          <w:tcPr>
            <w:tcW w:w="3850" w:type="dxa"/>
            <w:tcBorders>
              <w:top w:val="nil"/>
              <w:left w:val="single" w:sz="8" w:space="0" w:color="auto"/>
              <w:bottom w:val="single" w:sz="4" w:space="0" w:color="auto"/>
              <w:right w:val="nil"/>
            </w:tcBorders>
            <w:shd w:val="clear" w:color="000000" w:fill="F2F2F2"/>
            <w:noWrap/>
            <w:vAlign w:val="center"/>
            <w:hideMark/>
          </w:tcPr>
          <w:p w14:paraId="2EA3B56C"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 </w:t>
            </w:r>
          </w:p>
        </w:tc>
        <w:tc>
          <w:tcPr>
            <w:tcW w:w="2672" w:type="dxa"/>
            <w:tcBorders>
              <w:top w:val="nil"/>
              <w:left w:val="nil"/>
              <w:bottom w:val="single" w:sz="4" w:space="0" w:color="auto"/>
              <w:right w:val="single" w:sz="8" w:space="0" w:color="auto"/>
            </w:tcBorders>
            <w:shd w:val="clear" w:color="auto" w:fill="auto"/>
            <w:noWrap/>
            <w:vAlign w:val="center"/>
            <w:hideMark/>
          </w:tcPr>
          <w:p w14:paraId="5973C713"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M€</w:t>
            </w:r>
          </w:p>
        </w:tc>
      </w:tr>
      <w:tr w:rsidR="00F12D51" w:rsidRPr="00FF386D" w14:paraId="48E84673" w14:textId="77777777" w:rsidTr="0057310C">
        <w:trPr>
          <w:trHeight w:val="20"/>
          <w:jc w:val="center"/>
        </w:trPr>
        <w:tc>
          <w:tcPr>
            <w:tcW w:w="3850" w:type="dxa"/>
            <w:tcBorders>
              <w:top w:val="nil"/>
              <w:left w:val="single" w:sz="8" w:space="0" w:color="auto"/>
              <w:bottom w:val="single" w:sz="8" w:space="0" w:color="auto"/>
              <w:right w:val="nil"/>
            </w:tcBorders>
            <w:shd w:val="clear" w:color="000000" w:fill="F2F2F2"/>
            <w:vAlign w:val="center"/>
            <w:hideMark/>
          </w:tcPr>
          <w:p w14:paraId="761AB12A"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Укупни годишњи оперативни трошкови симулираног региона</w:t>
            </w:r>
          </w:p>
        </w:tc>
        <w:tc>
          <w:tcPr>
            <w:tcW w:w="2672" w:type="dxa"/>
            <w:tcBorders>
              <w:top w:val="nil"/>
              <w:left w:val="nil"/>
              <w:bottom w:val="single" w:sz="8" w:space="0" w:color="auto"/>
              <w:right w:val="single" w:sz="8" w:space="0" w:color="auto"/>
            </w:tcBorders>
            <w:shd w:val="clear" w:color="000000" w:fill="DDEBF7"/>
            <w:noWrap/>
            <w:vAlign w:val="center"/>
            <w:hideMark/>
          </w:tcPr>
          <w:p w14:paraId="790B7DDB"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8.820</w:t>
            </w:r>
          </w:p>
        </w:tc>
      </w:tr>
      <w:tr w:rsidR="00F12D51" w:rsidRPr="00FF386D" w14:paraId="274036AA" w14:textId="77777777" w:rsidTr="0057310C">
        <w:trPr>
          <w:trHeight w:val="20"/>
          <w:jc w:val="center"/>
        </w:trPr>
        <w:tc>
          <w:tcPr>
            <w:tcW w:w="3850" w:type="dxa"/>
            <w:tcBorders>
              <w:top w:val="nil"/>
              <w:left w:val="single" w:sz="8" w:space="0" w:color="auto"/>
              <w:bottom w:val="single" w:sz="8" w:space="0" w:color="auto"/>
              <w:right w:val="nil"/>
            </w:tcBorders>
            <w:shd w:val="clear" w:color="000000" w:fill="F2F2F2"/>
            <w:vAlign w:val="center"/>
          </w:tcPr>
          <w:p w14:paraId="3E7B7794" w14:textId="77777777" w:rsidR="00F12D51" w:rsidRPr="00FF386D" w:rsidRDefault="00F12D51" w:rsidP="0057310C">
            <w:pPr>
              <w:spacing w:after="0" w:line="240" w:lineRule="auto"/>
              <w:rPr>
                <w:rFonts w:ascii="Calibri Light" w:hAnsi="Calibri Light"/>
                <w:color w:val="000000"/>
                <w:sz w:val="20"/>
                <w:szCs w:val="20"/>
              </w:rPr>
            </w:pPr>
          </w:p>
        </w:tc>
        <w:tc>
          <w:tcPr>
            <w:tcW w:w="2672" w:type="dxa"/>
            <w:tcBorders>
              <w:top w:val="nil"/>
              <w:left w:val="nil"/>
              <w:bottom w:val="single" w:sz="8" w:space="0" w:color="auto"/>
              <w:right w:val="single" w:sz="8" w:space="0" w:color="auto"/>
            </w:tcBorders>
            <w:shd w:val="clear" w:color="000000" w:fill="DDEBF7"/>
            <w:noWrap/>
            <w:vAlign w:val="center"/>
          </w:tcPr>
          <w:p w14:paraId="21A738F1" w14:textId="77777777" w:rsidR="00F12D51" w:rsidRPr="00FF386D" w:rsidRDefault="00F12D51" w:rsidP="0057310C">
            <w:pPr>
              <w:spacing w:after="0" w:line="240" w:lineRule="auto"/>
              <w:jc w:val="center"/>
              <w:rPr>
                <w:rFonts w:ascii="Calibri Light" w:hAnsi="Calibri Light"/>
                <w:color w:val="000000"/>
                <w:sz w:val="20"/>
                <w:szCs w:val="20"/>
              </w:rPr>
            </w:pPr>
          </w:p>
        </w:tc>
      </w:tr>
    </w:tbl>
    <w:p w14:paraId="326FC17C" w14:textId="3057D27F" w:rsidR="00D20853" w:rsidRDefault="00D20853" w:rsidP="00565B02">
      <w:pPr>
        <w:pStyle w:val="Caption"/>
        <w:keepNext/>
        <w:spacing w:before="240"/>
      </w:pPr>
      <w:bookmarkStart w:id="484" w:name="_Toc153901488"/>
      <w:r>
        <w:t xml:space="preserve">Табела </w:t>
      </w:r>
      <w:r w:rsidR="00873C40">
        <w:fldChar w:fldCharType="begin"/>
      </w:r>
      <w:r w:rsidR="00873C40">
        <w:instrText xml:space="preserve"> STYLEREF 1 \s </w:instrText>
      </w:r>
      <w:r w:rsidR="00873C40">
        <w:fldChar w:fldCharType="separate"/>
      </w:r>
      <w:r w:rsidR="00873C40">
        <w:rPr>
          <w:noProof/>
        </w:rPr>
        <w:t>II</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2</w:t>
      </w:r>
      <w:r w:rsidR="00873C40">
        <w:fldChar w:fldCharType="end"/>
      </w:r>
      <w:r w:rsidRPr="00D20853">
        <w:t xml:space="preserve"> : Просечни годишњи резултати РХ Сценарија S за циљну 2030. годину</w:t>
      </w:r>
      <w:bookmarkEnd w:id="484"/>
    </w:p>
    <w:tbl>
      <w:tblPr>
        <w:tblW w:w="7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5"/>
        <w:gridCol w:w="1735"/>
        <w:gridCol w:w="1935"/>
      </w:tblGrid>
      <w:tr w:rsidR="00461519" w:rsidRPr="00A33AE8" w14:paraId="610B4982" w14:textId="77777777" w:rsidTr="00565B02">
        <w:trPr>
          <w:trHeight w:val="58"/>
          <w:jc w:val="center"/>
        </w:trPr>
        <w:tc>
          <w:tcPr>
            <w:tcW w:w="3545" w:type="dxa"/>
            <w:shd w:val="clear" w:color="000000" w:fill="D0CECE"/>
            <w:noWrap/>
            <w:vAlign w:val="bottom"/>
            <w:hideMark/>
          </w:tcPr>
          <w:p w14:paraId="60016DB7" w14:textId="77777777" w:rsidR="00461519" w:rsidRPr="00B727B5" w:rsidRDefault="00461519" w:rsidP="0057310C">
            <w:pPr>
              <w:spacing w:after="0" w:line="240" w:lineRule="auto"/>
              <w:rPr>
                <w:rFonts w:asciiTheme="majorHAnsi" w:hAnsiTheme="majorHAnsi" w:cstheme="majorHAnsi"/>
                <w:color w:val="000000"/>
                <w:sz w:val="20"/>
                <w:szCs w:val="20"/>
              </w:rPr>
            </w:pPr>
            <w:r w:rsidRPr="00B727B5">
              <w:rPr>
                <w:rFonts w:asciiTheme="majorHAnsi" w:hAnsiTheme="majorHAnsi" w:cstheme="majorHAnsi"/>
                <w:color w:val="000000"/>
                <w:sz w:val="20"/>
                <w:szCs w:val="20"/>
              </w:rPr>
              <w:t> </w:t>
            </w:r>
          </w:p>
        </w:tc>
        <w:tc>
          <w:tcPr>
            <w:tcW w:w="1735" w:type="dxa"/>
            <w:shd w:val="clear" w:color="000000" w:fill="1F497D"/>
            <w:vAlign w:val="center"/>
            <w:hideMark/>
          </w:tcPr>
          <w:p w14:paraId="31DAFD5E" w14:textId="77777777" w:rsidR="00461519" w:rsidRPr="00B727B5" w:rsidRDefault="00461519" w:rsidP="0057310C">
            <w:pPr>
              <w:spacing w:after="0" w:line="240" w:lineRule="auto"/>
              <w:jc w:val="center"/>
              <w:rPr>
                <w:rFonts w:asciiTheme="majorHAnsi" w:hAnsiTheme="majorHAnsi" w:cstheme="majorHAnsi"/>
                <w:color w:val="FFFFFF"/>
                <w:sz w:val="20"/>
                <w:szCs w:val="20"/>
              </w:rPr>
            </w:pPr>
            <w:r>
              <w:rPr>
                <w:rFonts w:asciiTheme="majorHAnsi" w:hAnsiTheme="majorHAnsi" w:cstheme="majorHAnsi"/>
                <w:color w:val="FFFFFF"/>
                <w:sz w:val="20"/>
                <w:szCs w:val="20"/>
              </w:rPr>
              <w:t>Капацитет турбине</w:t>
            </w:r>
            <w:r w:rsidRPr="00B727B5">
              <w:rPr>
                <w:rFonts w:asciiTheme="majorHAnsi" w:hAnsiTheme="majorHAnsi" w:cstheme="majorHAnsi"/>
                <w:color w:val="FFFFFF"/>
                <w:sz w:val="20"/>
                <w:szCs w:val="20"/>
              </w:rPr>
              <w:t xml:space="preserve"> [MW]</w:t>
            </w:r>
          </w:p>
        </w:tc>
        <w:tc>
          <w:tcPr>
            <w:tcW w:w="1935" w:type="dxa"/>
            <w:shd w:val="clear" w:color="000000" w:fill="1F497D"/>
            <w:vAlign w:val="center"/>
            <w:hideMark/>
          </w:tcPr>
          <w:p w14:paraId="3936CA9A" w14:textId="77777777" w:rsidR="00461519" w:rsidRDefault="00461519" w:rsidP="0057310C">
            <w:pPr>
              <w:spacing w:after="0" w:line="240" w:lineRule="auto"/>
              <w:jc w:val="center"/>
              <w:rPr>
                <w:rFonts w:asciiTheme="majorHAnsi" w:hAnsiTheme="majorHAnsi" w:cstheme="majorHAnsi"/>
                <w:color w:val="FFFFFF"/>
                <w:sz w:val="20"/>
                <w:szCs w:val="20"/>
              </w:rPr>
            </w:pPr>
            <w:r>
              <w:rPr>
                <w:rFonts w:asciiTheme="majorHAnsi" w:hAnsiTheme="majorHAnsi" w:cstheme="majorHAnsi"/>
                <w:color w:val="FFFFFF"/>
                <w:sz w:val="20"/>
                <w:szCs w:val="20"/>
              </w:rPr>
              <w:t>Годишња производња</w:t>
            </w:r>
          </w:p>
          <w:p w14:paraId="06074C6B" w14:textId="77777777" w:rsidR="00461519" w:rsidRPr="00B727B5" w:rsidRDefault="00461519" w:rsidP="0057310C">
            <w:pPr>
              <w:spacing w:after="0" w:line="240" w:lineRule="auto"/>
              <w:jc w:val="center"/>
              <w:rPr>
                <w:rFonts w:asciiTheme="majorHAnsi" w:hAnsiTheme="majorHAnsi" w:cstheme="majorHAnsi"/>
                <w:color w:val="FFFFFF"/>
                <w:sz w:val="20"/>
                <w:szCs w:val="20"/>
              </w:rPr>
            </w:pPr>
            <w:r w:rsidRPr="00B727B5">
              <w:rPr>
                <w:rFonts w:asciiTheme="majorHAnsi" w:hAnsiTheme="majorHAnsi" w:cstheme="majorHAnsi"/>
                <w:color w:val="FFFFFF"/>
                <w:sz w:val="20"/>
                <w:szCs w:val="20"/>
              </w:rPr>
              <w:t>[MWh]</w:t>
            </w:r>
          </w:p>
        </w:tc>
      </w:tr>
      <w:tr w:rsidR="00461519" w:rsidRPr="00A33AE8" w14:paraId="6AD89E40" w14:textId="77777777" w:rsidTr="00565B02">
        <w:trPr>
          <w:trHeight w:val="300"/>
          <w:jc w:val="center"/>
        </w:trPr>
        <w:tc>
          <w:tcPr>
            <w:tcW w:w="3545" w:type="dxa"/>
            <w:shd w:val="clear" w:color="000000" w:fill="404040"/>
            <w:noWrap/>
            <w:vAlign w:val="center"/>
            <w:hideMark/>
          </w:tcPr>
          <w:p w14:paraId="486D97DE" w14:textId="77777777" w:rsidR="00461519" w:rsidRPr="00900C4C" w:rsidRDefault="00461519" w:rsidP="0057310C">
            <w:pPr>
              <w:spacing w:after="0" w:line="240" w:lineRule="auto"/>
              <w:jc w:val="center"/>
              <w:rPr>
                <w:rFonts w:asciiTheme="majorHAnsi" w:hAnsiTheme="majorHAnsi" w:cstheme="majorHAnsi"/>
                <w:color w:val="FFFFFF"/>
                <w:sz w:val="20"/>
                <w:szCs w:val="20"/>
              </w:rPr>
            </w:pPr>
            <w:r>
              <w:rPr>
                <w:rFonts w:asciiTheme="majorHAnsi" w:hAnsiTheme="majorHAnsi" w:cstheme="majorHAnsi"/>
                <w:color w:val="FFFFFF"/>
                <w:sz w:val="20"/>
                <w:szCs w:val="20"/>
              </w:rPr>
              <w:t>РХ</w:t>
            </w:r>
          </w:p>
        </w:tc>
        <w:tc>
          <w:tcPr>
            <w:tcW w:w="1735" w:type="dxa"/>
            <w:shd w:val="clear" w:color="000000" w:fill="1F497D"/>
            <w:vAlign w:val="center"/>
            <w:hideMark/>
          </w:tcPr>
          <w:p w14:paraId="2F67FA03" w14:textId="77777777" w:rsidR="00461519" w:rsidRPr="00B727B5" w:rsidRDefault="00461519" w:rsidP="0057310C">
            <w:pPr>
              <w:spacing w:after="0" w:line="240" w:lineRule="auto"/>
              <w:jc w:val="center"/>
              <w:rPr>
                <w:rFonts w:asciiTheme="majorHAnsi" w:hAnsiTheme="majorHAnsi" w:cstheme="majorHAnsi"/>
                <w:color w:val="FFFFFF"/>
                <w:sz w:val="20"/>
                <w:szCs w:val="20"/>
              </w:rPr>
            </w:pPr>
            <w:r w:rsidRPr="00B727B5">
              <w:rPr>
                <w:rFonts w:asciiTheme="majorHAnsi" w:hAnsiTheme="majorHAnsi" w:cstheme="majorHAnsi"/>
                <w:color w:val="FFFFFF"/>
                <w:sz w:val="20"/>
                <w:szCs w:val="20"/>
              </w:rPr>
              <w:t> </w:t>
            </w:r>
          </w:p>
        </w:tc>
        <w:tc>
          <w:tcPr>
            <w:tcW w:w="1935" w:type="dxa"/>
            <w:shd w:val="clear" w:color="000000" w:fill="1F497D"/>
            <w:vAlign w:val="center"/>
            <w:hideMark/>
          </w:tcPr>
          <w:p w14:paraId="42EF212D" w14:textId="77777777" w:rsidR="00461519" w:rsidRPr="00B727B5" w:rsidRDefault="00461519" w:rsidP="0057310C">
            <w:pPr>
              <w:spacing w:after="0" w:line="240" w:lineRule="auto"/>
              <w:jc w:val="center"/>
              <w:rPr>
                <w:rFonts w:asciiTheme="majorHAnsi" w:hAnsiTheme="majorHAnsi" w:cstheme="majorHAnsi"/>
                <w:color w:val="FFFFFF"/>
                <w:sz w:val="20"/>
                <w:szCs w:val="20"/>
              </w:rPr>
            </w:pPr>
            <w:r w:rsidRPr="00B727B5">
              <w:rPr>
                <w:rFonts w:asciiTheme="majorHAnsi" w:hAnsiTheme="majorHAnsi" w:cstheme="majorHAnsi"/>
                <w:color w:val="FFFFFF"/>
                <w:sz w:val="20"/>
                <w:szCs w:val="20"/>
              </w:rPr>
              <w:t> </w:t>
            </w:r>
          </w:p>
        </w:tc>
      </w:tr>
      <w:tr w:rsidR="00461519" w:rsidRPr="00A33AE8" w14:paraId="2259E43A" w14:textId="77777777" w:rsidTr="00565B02">
        <w:trPr>
          <w:trHeight w:val="288"/>
          <w:jc w:val="center"/>
        </w:trPr>
        <w:tc>
          <w:tcPr>
            <w:tcW w:w="3545" w:type="dxa"/>
            <w:shd w:val="clear" w:color="000000" w:fill="D0CECE"/>
            <w:noWrap/>
            <w:vAlign w:val="bottom"/>
            <w:hideMark/>
          </w:tcPr>
          <w:p w14:paraId="3DD7D7A5" w14:textId="77777777" w:rsidR="00461519" w:rsidRPr="004456AF" w:rsidRDefault="00461519" w:rsidP="0057310C">
            <w:pPr>
              <w:spacing w:after="0" w:line="240" w:lineRule="auto"/>
              <w:rPr>
                <w:rFonts w:asciiTheme="majorHAnsi" w:hAnsiTheme="majorHAnsi" w:cstheme="majorHAnsi"/>
                <w:color w:val="000000"/>
                <w:sz w:val="20"/>
                <w:szCs w:val="20"/>
              </w:rPr>
            </w:pPr>
            <w:r>
              <w:rPr>
                <w:rFonts w:asciiTheme="majorHAnsi" w:hAnsiTheme="majorHAnsi" w:cstheme="majorHAnsi"/>
                <w:color w:val="000000"/>
                <w:sz w:val="20"/>
                <w:szCs w:val="20"/>
              </w:rPr>
              <w:t>РХЕ Бајина Башта</w:t>
            </w:r>
          </w:p>
        </w:tc>
        <w:tc>
          <w:tcPr>
            <w:tcW w:w="1735" w:type="dxa"/>
            <w:shd w:val="clear" w:color="auto" w:fill="auto"/>
            <w:noWrap/>
            <w:vAlign w:val="bottom"/>
            <w:hideMark/>
          </w:tcPr>
          <w:p w14:paraId="1C78BC45" w14:textId="77777777" w:rsidR="00461519" w:rsidRPr="00B727B5" w:rsidRDefault="00461519" w:rsidP="0057310C">
            <w:pPr>
              <w:spacing w:after="0" w:line="240" w:lineRule="auto"/>
              <w:jc w:val="center"/>
              <w:rPr>
                <w:rFonts w:asciiTheme="majorHAnsi" w:hAnsiTheme="majorHAnsi" w:cstheme="majorHAnsi"/>
                <w:color w:val="000000"/>
                <w:sz w:val="20"/>
                <w:szCs w:val="20"/>
              </w:rPr>
            </w:pPr>
            <w:r w:rsidRPr="00B727B5">
              <w:rPr>
                <w:rFonts w:asciiTheme="majorHAnsi" w:hAnsiTheme="majorHAnsi" w:cstheme="majorHAnsi"/>
                <w:color w:val="000000"/>
                <w:sz w:val="20"/>
                <w:szCs w:val="20"/>
              </w:rPr>
              <w:t>616</w:t>
            </w:r>
          </w:p>
        </w:tc>
        <w:tc>
          <w:tcPr>
            <w:tcW w:w="1935" w:type="dxa"/>
            <w:shd w:val="clear" w:color="auto" w:fill="auto"/>
            <w:noWrap/>
            <w:vAlign w:val="bottom"/>
            <w:hideMark/>
          </w:tcPr>
          <w:p w14:paraId="5EDB690C" w14:textId="77777777" w:rsidR="00461519" w:rsidRPr="00B727B5" w:rsidRDefault="00461519" w:rsidP="0057310C">
            <w:pPr>
              <w:spacing w:after="0" w:line="240" w:lineRule="auto"/>
              <w:jc w:val="center"/>
              <w:rPr>
                <w:rFonts w:asciiTheme="majorHAnsi" w:hAnsiTheme="majorHAnsi" w:cstheme="majorHAnsi"/>
                <w:color w:val="000000"/>
                <w:sz w:val="20"/>
                <w:szCs w:val="20"/>
              </w:rPr>
            </w:pPr>
            <w:r w:rsidRPr="00B727B5">
              <w:rPr>
                <w:rFonts w:asciiTheme="majorHAnsi" w:hAnsiTheme="majorHAnsi" w:cstheme="majorHAnsi"/>
                <w:color w:val="000000"/>
                <w:sz w:val="20"/>
                <w:szCs w:val="20"/>
              </w:rPr>
              <w:t>33</w:t>
            </w:r>
            <w:r>
              <w:rPr>
                <w:rFonts w:asciiTheme="majorHAnsi" w:hAnsiTheme="majorHAnsi" w:cstheme="majorHAnsi"/>
                <w:color w:val="000000"/>
                <w:sz w:val="20"/>
                <w:szCs w:val="20"/>
              </w:rPr>
              <w:t>.</w:t>
            </w:r>
            <w:r w:rsidRPr="00B727B5">
              <w:rPr>
                <w:rFonts w:asciiTheme="majorHAnsi" w:hAnsiTheme="majorHAnsi" w:cstheme="majorHAnsi"/>
                <w:color w:val="000000"/>
                <w:sz w:val="20"/>
                <w:szCs w:val="20"/>
              </w:rPr>
              <w:t>855</w:t>
            </w:r>
          </w:p>
        </w:tc>
      </w:tr>
    </w:tbl>
    <w:p w14:paraId="1C1B94D4" w14:textId="2203D0E4" w:rsidR="005F362F" w:rsidRPr="00FF386D" w:rsidRDefault="00F12D51">
      <w:pPr>
        <w:keepNext/>
        <w:keepLines/>
        <w:numPr>
          <w:ilvl w:val="0"/>
          <w:numId w:val="289"/>
        </w:numPr>
        <w:spacing w:before="200" w:after="0" w:line="240" w:lineRule="auto"/>
        <w:outlineLvl w:val="3"/>
        <w:rPr>
          <w:rFonts w:asciiTheme="majorHAnsi" w:eastAsiaTheme="majorEastAsia" w:hAnsiTheme="majorHAnsi" w:cstheme="majorBidi"/>
          <w:b/>
          <w:bCs/>
          <w:iCs/>
          <w:color w:val="01406B"/>
          <w:szCs w:val="24"/>
        </w:rPr>
      </w:pPr>
      <w:r w:rsidRPr="00FF386D">
        <w:rPr>
          <w:rFonts w:asciiTheme="majorHAnsi" w:eastAsiaTheme="majorEastAsia" w:hAnsiTheme="majorHAnsi" w:cstheme="majorBidi"/>
          <w:b/>
          <w:bCs/>
          <w:iCs/>
          <w:color w:val="01406B"/>
          <w:szCs w:val="24"/>
        </w:rPr>
        <w:t xml:space="preserve">Анализа сценарија </w:t>
      </w:r>
      <w:r w:rsidR="005F362F" w:rsidRPr="00FF386D">
        <w:rPr>
          <w:rFonts w:asciiTheme="majorHAnsi" w:eastAsiaTheme="majorEastAsia" w:hAnsiTheme="majorHAnsi" w:cstheme="majorBidi"/>
          <w:b/>
          <w:bCs/>
          <w:i/>
          <w:color w:val="01406B"/>
          <w:szCs w:val="24"/>
        </w:rPr>
        <w:t xml:space="preserve">S </w:t>
      </w:r>
      <w:r w:rsidRPr="00FF386D">
        <w:rPr>
          <w:rFonts w:asciiTheme="majorHAnsi" w:eastAsiaTheme="majorEastAsia" w:hAnsiTheme="majorHAnsi" w:cstheme="majorBidi"/>
          <w:b/>
          <w:bCs/>
          <w:iCs/>
          <w:color w:val="01406B"/>
          <w:szCs w:val="24"/>
        </w:rPr>
        <w:t>за 2040. годину</w:t>
      </w:r>
    </w:p>
    <w:p w14:paraId="7A0CE552" w14:textId="2A6FC0A8" w:rsidR="0011165C" w:rsidRPr="00FF386D" w:rsidRDefault="00F12D51" w:rsidP="00565B02">
      <w:pPr>
        <w:jc w:val="both"/>
        <w:rPr>
          <w:rFonts w:ascii="Calibri Light" w:hAnsi="Calibri Light"/>
          <w:szCs w:val="20"/>
        </w:rPr>
      </w:pPr>
      <w:r w:rsidRPr="00FB4CE5">
        <w:rPr>
          <w:rFonts w:ascii="Calibri Light" w:eastAsia="Calibri" w:hAnsi="Calibri Light" w:cs="Times New Roman"/>
          <w:kern w:val="2"/>
          <w:szCs w:val="20"/>
        </w:rPr>
        <w:t>Варијабилни капацитети ОИЕ, капацитети лигнита и нето годишња производња лигнита се користе као улазни подаци за модел по сату.</w:t>
      </w:r>
    </w:p>
    <w:p w14:paraId="3D9F5FB9" w14:textId="47C37313" w:rsidR="00F12D51" w:rsidRPr="00FF386D" w:rsidRDefault="00F12D51" w:rsidP="00F12D51">
      <w:pPr>
        <w:rPr>
          <w:rFonts w:ascii="Calibri Light" w:eastAsia="Calibri" w:hAnsi="Calibri Light" w:cs="Calibri Light"/>
          <w:szCs w:val="20"/>
        </w:rPr>
      </w:pPr>
      <w:r w:rsidRPr="00FF386D">
        <w:rPr>
          <w:rFonts w:ascii="Calibri Light" w:hAnsi="Calibri Light"/>
          <w:szCs w:val="20"/>
        </w:rPr>
        <w:t>Постоје три реверзибилне хидроелектране у систему 2040. године:</w:t>
      </w:r>
    </w:p>
    <w:p w14:paraId="6E6984D4" w14:textId="4914F1E9" w:rsidR="005F362F" w:rsidRPr="00FF386D" w:rsidRDefault="00F12D51">
      <w:pPr>
        <w:widowControl w:val="0"/>
        <w:numPr>
          <w:ilvl w:val="0"/>
          <w:numId w:val="269"/>
        </w:numPr>
        <w:spacing w:after="0" w:line="276" w:lineRule="auto"/>
        <w:jc w:val="both"/>
        <w:rPr>
          <w:rFonts w:ascii="Calibri Light" w:eastAsia="Times New Roman" w:hAnsi="Calibri Light" w:cs="Calibri Light"/>
          <w:lang w:eastAsia="en-GB"/>
        </w:rPr>
      </w:pPr>
      <w:r w:rsidRPr="00FF386D">
        <w:rPr>
          <w:rFonts w:ascii="Calibri Light" w:eastAsia="Times New Roman" w:hAnsi="Calibri Light" w:cs="Calibri Light"/>
          <w:lang w:eastAsia="en-GB"/>
        </w:rPr>
        <w:t>РХЕ Бајина Башта</w:t>
      </w:r>
      <w:r w:rsidR="005F362F" w:rsidRPr="00FF386D">
        <w:rPr>
          <w:rFonts w:ascii="Calibri Light" w:eastAsia="Times New Roman" w:hAnsi="Calibri Light" w:cs="Calibri Light"/>
          <w:lang w:eastAsia="en-GB"/>
        </w:rPr>
        <w:t xml:space="preserve"> (616 MW </w:t>
      </w:r>
      <w:r w:rsidRPr="00FF386D">
        <w:rPr>
          <w:rFonts w:ascii="Calibri Light" w:eastAsia="Times New Roman" w:hAnsi="Calibri Light" w:cs="Calibri Light"/>
          <w:lang w:eastAsia="en-GB"/>
        </w:rPr>
        <w:t>капацитет</w:t>
      </w:r>
      <w:r w:rsidR="001A4C0C" w:rsidRPr="00FF386D">
        <w:rPr>
          <w:rFonts w:ascii="Calibri Light" w:eastAsia="Times New Roman" w:hAnsi="Calibri Light" w:cs="Calibri Light"/>
          <w:lang w:eastAsia="en-GB"/>
        </w:rPr>
        <w:t xml:space="preserve"> турбине</w:t>
      </w:r>
      <w:r w:rsidR="005F362F" w:rsidRPr="00FF386D">
        <w:rPr>
          <w:rFonts w:ascii="Calibri Light" w:eastAsia="Times New Roman" w:hAnsi="Calibri Light" w:cs="Calibri Light"/>
          <w:lang w:eastAsia="en-GB"/>
        </w:rPr>
        <w:t>)</w:t>
      </w:r>
    </w:p>
    <w:p w14:paraId="6119A4C3" w14:textId="28804F1A" w:rsidR="005F362F" w:rsidRPr="00FF386D" w:rsidRDefault="00F12D51">
      <w:pPr>
        <w:widowControl w:val="0"/>
        <w:numPr>
          <w:ilvl w:val="0"/>
          <w:numId w:val="269"/>
        </w:numPr>
        <w:spacing w:after="0" w:line="276" w:lineRule="auto"/>
        <w:jc w:val="both"/>
        <w:rPr>
          <w:rFonts w:ascii="Calibri Light" w:eastAsia="Times New Roman" w:hAnsi="Calibri Light" w:cs="Calibri Light"/>
          <w:lang w:eastAsia="en-GB"/>
        </w:rPr>
      </w:pPr>
      <w:r w:rsidRPr="00FF386D">
        <w:rPr>
          <w:rFonts w:ascii="Calibri Light" w:eastAsia="Times New Roman" w:hAnsi="Calibri Light" w:cs="Calibri Light"/>
          <w:lang w:eastAsia="en-GB"/>
        </w:rPr>
        <w:t>РХЕ Бистрица</w:t>
      </w:r>
      <w:r w:rsidR="005F362F" w:rsidRPr="00FF386D">
        <w:rPr>
          <w:rFonts w:ascii="Calibri Light" w:eastAsia="Times New Roman" w:hAnsi="Calibri Light" w:cs="Calibri Light"/>
          <w:lang w:eastAsia="en-GB"/>
        </w:rPr>
        <w:t xml:space="preserve"> (680 MW </w:t>
      </w:r>
      <w:r w:rsidR="001A4C0C" w:rsidRPr="00FF386D">
        <w:rPr>
          <w:rFonts w:ascii="Calibri Light" w:eastAsia="Times New Roman" w:hAnsi="Calibri Light" w:cs="Calibri Light"/>
          <w:lang w:eastAsia="en-GB"/>
        </w:rPr>
        <w:t>к</w:t>
      </w:r>
      <w:r w:rsidRPr="00FF386D">
        <w:rPr>
          <w:rFonts w:ascii="Calibri Light" w:eastAsia="Times New Roman" w:hAnsi="Calibri Light" w:cs="Calibri Light"/>
          <w:lang w:eastAsia="en-GB"/>
        </w:rPr>
        <w:t>апацитет</w:t>
      </w:r>
      <w:r w:rsidR="001A4C0C" w:rsidRPr="00FF386D">
        <w:rPr>
          <w:rFonts w:ascii="Calibri Light" w:eastAsia="Times New Roman" w:hAnsi="Calibri Light" w:cs="Calibri Light"/>
          <w:lang w:eastAsia="en-GB"/>
        </w:rPr>
        <w:t xml:space="preserve"> турбине</w:t>
      </w:r>
      <w:r w:rsidRPr="00FF386D">
        <w:rPr>
          <w:rFonts w:ascii="Calibri Light" w:eastAsia="Times New Roman" w:hAnsi="Calibri Light" w:cs="Calibri Light"/>
          <w:lang w:eastAsia="en-GB"/>
        </w:rPr>
        <w:t>)</w:t>
      </w:r>
    </w:p>
    <w:p w14:paraId="2FD2AE79" w14:textId="49759965" w:rsidR="005F362F" w:rsidRPr="00FF386D" w:rsidRDefault="00F12D51">
      <w:pPr>
        <w:widowControl w:val="0"/>
        <w:numPr>
          <w:ilvl w:val="0"/>
          <w:numId w:val="269"/>
        </w:numPr>
        <w:spacing w:after="0" w:line="276" w:lineRule="auto"/>
        <w:jc w:val="both"/>
        <w:rPr>
          <w:rFonts w:ascii="Calibri Light" w:eastAsia="Times New Roman" w:hAnsi="Calibri Light" w:cs="Calibri Light"/>
          <w:lang w:eastAsia="en-GB"/>
        </w:rPr>
      </w:pPr>
      <w:r w:rsidRPr="00FF386D">
        <w:rPr>
          <w:rFonts w:ascii="Calibri Light" w:eastAsia="Times New Roman" w:hAnsi="Calibri Light" w:cs="Calibri Light"/>
          <w:lang w:eastAsia="en-GB"/>
        </w:rPr>
        <w:t>Ђердап</w:t>
      </w:r>
      <w:r w:rsidR="005F362F" w:rsidRPr="00FF386D">
        <w:rPr>
          <w:rFonts w:ascii="Calibri Light" w:eastAsia="Times New Roman" w:hAnsi="Calibri Light" w:cs="Calibri Light"/>
          <w:lang w:eastAsia="en-GB"/>
        </w:rPr>
        <w:t xml:space="preserve"> 3 (600MW </w:t>
      </w:r>
      <w:r w:rsidRPr="00FF386D">
        <w:rPr>
          <w:rFonts w:ascii="Calibri Light" w:eastAsia="Times New Roman" w:hAnsi="Calibri Light" w:cs="Calibri Light"/>
          <w:lang w:eastAsia="en-GB"/>
        </w:rPr>
        <w:t>капацитет</w:t>
      </w:r>
      <w:r w:rsidR="001A4C0C" w:rsidRPr="00FF386D">
        <w:rPr>
          <w:rFonts w:ascii="Calibri Light" w:eastAsia="Times New Roman" w:hAnsi="Calibri Light" w:cs="Calibri Light"/>
          <w:lang w:eastAsia="en-GB"/>
        </w:rPr>
        <w:t xml:space="preserve"> турбине</w:t>
      </w:r>
      <w:r w:rsidRPr="00FF386D">
        <w:rPr>
          <w:rFonts w:ascii="Calibri Light" w:eastAsia="Times New Roman" w:hAnsi="Calibri Light" w:cs="Calibri Light"/>
          <w:lang w:eastAsia="en-GB"/>
        </w:rPr>
        <w:t>)</w:t>
      </w:r>
    </w:p>
    <w:p w14:paraId="2C16CE11" w14:textId="605C372C" w:rsidR="00F12D51" w:rsidRPr="00FB4CE5" w:rsidRDefault="00F12D51" w:rsidP="00565B02">
      <w:pPr>
        <w:spacing w:before="160"/>
        <w:jc w:val="both"/>
        <w:rPr>
          <w:rFonts w:ascii="Calibri Light" w:eastAsia="Calibri" w:hAnsi="Calibri Light" w:cs="Times New Roman"/>
          <w:kern w:val="2"/>
          <w:szCs w:val="20"/>
        </w:rPr>
      </w:pPr>
      <w:r w:rsidRPr="00FB4CE5">
        <w:rPr>
          <w:rFonts w:ascii="Calibri Light" w:eastAsia="Calibri" w:hAnsi="Calibri Light" w:cs="Times New Roman"/>
          <w:kern w:val="2"/>
          <w:szCs w:val="20"/>
        </w:rPr>
        <w:t xml:space="preserve">Главни резултати се могу видети у </w:t>
      </w:r>
      <w:r w:rsidR="00D20853">
        <w:rPr>
          <w:rFonts w:ascii="Calibri Light" w:eastAsia="Calibri" w:hAnsi="Calibri Light" w:cs="Times New Roman"/>
          <w:kern w:val="2"/>
          <w:szCs w:val="20"/>
        </w:rPr>
        <w:fldChar w:fldCharType="begin"/>
      </w:r>
      <w:r w:rsidR="00D20853">
        <w:rPr>
          <w:rFonts w:ascii="Calibri Light" w:eastAsia="Calibri" w:hAnsi="Calibri Light" w:cs="Times New Roman"/>
          <w:kern w:val="2"/>
          <w:szCs w:val="20"/>
        </w:rPr>
        <w:instrText xml:space="preserve"> REF _Ref153898398 \h  \* MERGEFORMAT </w:instrText>
      </w:r>
      <w:r w:rsidR="00D20853">
        <w:rPr>
          <w:rFonts w:ascii="Calibri Light" w:eastAsia="Calibri" w:hAnsi="Calibri Light" w:cs="Times New Roman"/>
          <w:kern w:val="2"/>
          <w:szCs w:val="20"/>
        </w:rPr>
      </w:r>
      <w:r w:rsidR="00D20853">
        <w:rPr>
          <w:rFonts w:ascii="Calibri Light" w:eastAsia="Calibri" w:hAnsi="Calibri Light" w:cs="Times New Roman"/>
          <w:kern w:val="2"/>
          <w:szCs w:val="20"/>
        </w:rPr>
        <w:fldChar w:fldCharType="separate"/>
      </w:r>
      <w:r w:rsidR="00D20853" w:rsidRPr="00565B02">
        <w:rPr>
          <w:rFonts w:ascii="Calibri Light" w:eastAsia="Calibri" w:hAnsi="Calibri Light" w:cs="Times New Roman"/>
          <w:kern w:val="2"/>
          <w:szCs w:val="20"/>
        </w:rPr>
        <w:t>табели II.3</w:t>
      </w:r>
      <w:r w:rsidR="00D20853">
        <w:rPr>
          <w:rFonts w:ascii="Calibri Light" w:eastAsia="Calibri" w:hAnsi="Calibri Light" w:cs="Times New Roman"/>
          <w:kern w:val="2"/>
          <w:szCs w:val="20"/>
        </w:rPr>
        <w:fldChar w:fldCharType="end"/>
      </w:r>
      <w:r w:rsidR="00D20853">
        <w:rPr>
          <w:rFonts w:ascii="Calibri Light" w:eastAsia="Calibri" w:hAnsi="Calibri Light" w:cs="Times New Roman"/>
          <w:kern w:val="2"/>
          <w:szCs w:val="20"/>
        </w:rPr>
        <w:t xml:space="preserve">. </w:t>
      </w:r>
      <w:r w:rsidR="00B7133F" w:rsidRPr="00FB4CE5">
        <w:rPr>
          <w:rFonts w:ascii="Calibri Light" w:eastAsia="Calibri" w:hAnsi="Calibri Light" w:cs="Times New Roman"/>
          <w:kern w:val="2"/>
          <w:szCs w:val="20"/>
        </w:rPr>
        <w:t>Н</w:t>
      </w:r>
      <w:r w:rsidRPr="00FB4CE5">
        <w:rPr>
          <w:rFonts w:ascii="Calibri Light" w:eastAsia="Calibri" w:hAnsi="Calibri Light" w:cs="Times New Roman"/>
          <w:kern w:val="2"/>
          <w:szCs w:val="20"/>
        </w:rPr>
        <w:t>еиспоручена енергија је једнака нули, што указује на</w:t>
      </w:r>
      <w:r w:rsidR="00B7133F" w:rsidRPr="00FB4CE5">
        <w:rPr>
          <w:rFonts w:ascii="Calibri Light" w:eastAsia="Calibri" w:hAnsi="Calibri Light" w:cs="Times New Roman"/>
          <w:kern w:val="2"/>
          <w:szCs w:val="20"/>
        </w:rPr>
        <w:t xml:space="preserve"> задовољену</w:t>
      </w:r>
      <w:r w:rsidRPr="00FB4CE5">
        <w:rPr>
          <w:rFonts w:ascii="Calibri Light" w:eastAsia="Calibri" w:hAnsi="Calibri Light" w:cs="Times New Roman"/>
          <w:kern w:val="2"/>
          <w:szCs w:val="20"/>
        </w:rPr>
        <w:t xml:space="preserve"> адекватност производње система. Годишња производња на бази лигнита </w:t>
      </w:r>
      <w:r w:rsidR="00FD3140" w:rsidRPr="00FB4CE5">
        <w:rPr>
          <w:rFonts w:ascii="Calibri Light" w:eastAsia="Calibri" w:hAnsi="Calibri Light" w:cs="Times New Roman"/>
          <w:kern w:val="2"/>
          <w:szCs w:val="20"/>
        </w:rPr>
        <w:t>износи</w:t>
      </w:r>
      <w:r w:rsidRPr="00FB4CE5">
        <w:rPr>
          <w:rFonts w:ascii="Calibri Light" w:eastAsia="Calibri" w:hAnsi="Calibri Light" w:cs="Times New Roman"/>
          <w:kern w:val="2"/>
          <w:szCs w:val="20"/>
        </w:rPr>
        <w:t xml:space="preserve"> 10,6 TWh. Може се видети да је расута енергија занемарљива (0,01% укупне расположиве производње из ветра и сунца), због чега је систем довољно флексибилан да прихвати моделиране варијабилне капацитете ОИЕ, барем на нивоу тржишта дан</w:t>
      </w:r>
      <w:r w:rsidR="00FD3140" w:rsidRPr="00FB4CE5">
        <w:rPr>
          <w:rFonts w:ascii="Calibri Light" w:eastAsia="Calibri" w:hAnsi="Calibri Light" w:cs="Times New Roman"/>
          <w:kern w:val="2"/>
          <w:szCs w:val="20"/>
        </w:rPr>
        <w:t>-</w:t>
      </w:r>
      <w:r w:rsidRPr="00FB4CE5">
        <w:rPr>
          <w:rFonts w:ascii="Calibri Light" w:eastAsia="Calibri" w:hAnsi="Calibri Light" w:cs="Times New Roman"/>
          <w:kern w:val="2"/>
          <w:szCs w:val="20"/>
        </w:rPr>
        <w:t xml:space="preserve">унапред. На годишњем нивоу, електроенергетски систем </w:t>
      </w:r>
      <w:r w:rsidR="00FD3140" w:rsidRPr="00FB4CE5">
        <w:rPr>
          <w:rFonts w:ascii="Calibri Light" w:eastAsia="Calibri" w:hAnsi="Calibri Light" w:cs="Times New Roman"/>
          <w:kern w:val="2"/>
          <w:szCs w:val="20"/>
        </w:rPr>
        <w:t xml:space="preserve">Србије </w:t>
      </w:r>
      <w:r w:rsidRPr="00FB4CE5">
        <w:rPr>
          <w:rFonts w:ascii="Calibri Light" w:eastAsia="Calibri" w:hAnsi="Calibri Light" w:cs="Times New Roman"/>
          <w:kern w:val="2"/>
          <w:szCs w:val="20"/>
        </w:rPr>
        <w:t>извози 1,1 TWh, односно у просеку 128 MWh по сату</w:t>
      </w:r>
      <w:r w:rsidR="005F362F" w:rsidRPr="00FF386D">
        <w:rPr>
          <w:rFonts w:ascii="Calibri Light" w:hAnsi="Calibri Light" w:cs="Calibri Light"/>
          <w:szCs w:val="20"/>
          <w:lang w:eastAsia="el-GR"/>
        </w:rPr>
        <w:t>.</w:t>
      </w:r>
      <w:bookmarkStart w:id="485" w:name="_Toc137458356"/>
    </w:p>
    <w:p w14:paraId="26B98B4F" w14:textId="450C4E0D" w:rsidR="00D20853" w:rsidRDefault="00D20853" w:rsidP="00565B02">
      <w:pPr>
        <w:pStyle w:val="Caption"/>
        <w:keepNext/>
      </w:pPr>
      <w:bookmarkStart w:id="486" w:name="_Ref153898398"/>
      <w:bookmarkStart w:id="487" w:name="_Toc153901489"/>
      <w:bookmarkEnd w:id="485"/>
      <w:r>
        <w:t xml:space="preserve">Табела </w:t>
      </w:r>
      <w:r w:rsidR="00873C40">
        <w:fldChar w:fldCharType="begin"/>
      </w:r>
      <w:r w:rsidR="00873C40">
        <w:instrText xml:space="preserve"> STYLEREF 1 \s </w:instrText>
      </w:r>
      <w:r w:rsidR="00873C40">
        <w:fldChar w:fldCharType="separate"/>
      </w:r>
      <w:r w:rsidR="00873C40">
        <w:rPr>
          <w:noProof/>
        </w:rPr>
        <w:t>II</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3</w:t>
      </w:r>
      <w:r w:rsidR="00873C40">
        <w:fldChar w:fldCharType="end"/>
      </w:r>
      <w:bookmarkEnd w:id="486"/>
      <w:r w:rsidRPr="00D20853">
        <w:t>: Просечни општи резултати сценарија S за циљну 2040. годину</w:t>
      </w:r>
      <w:bookmarkEnd w:id="487"/>
    </w:p>
    <w:tbl>
      <w:tblPr>
        <w:tblW w:w="6011" w:type="dxa"/>
        <w:jc w:val="center"/>
        <w:tblLook w:val="04A0" w:firstRow="1" w:lastRow="0" w:firstColumn="1" w:lastColumn="0" w:noHBand="0" w:noVBand="1"/>
      </w:tblPr>
      <w:tblGrid>
        <w:gridCol w:w="4108"/>
        <w:gridCol w:w="1903"/>
      </w:tblGrid>
      <w:tr w:rsidR="00F12D51" w:rsidRPr="00FF386D" w14:paraId="3D0E90FB" w14:textId="77777777" w:rsidTr="0057310C">
        <w:trPr>
          <w:trHeight w:val="20"/>
          <w:jc w:val="center"/>
        </w:trPr>
        <w:tc>
          <w:tcPr>
            <w:tcW w:w="4108" w:type="dxa"/>
            <w:tcBorders>
              <w:top w:val="single" w:sz="4" w:space="0" w:color="auto"/>
              <w:left w:val="nil"/>
              <w:bottom w:val="nil"/>
              <w:right w:val="single" w:sz="8" w:space="0" w:color="auto"/>
            </w:tcBorders>
            <w:shd w:val="clear" w:color="000000" w:fill="404040"/>
            <w:noWrap/>
            <w:vAlign w:val="center"/>
            <w:hideMark/>
          </w:tcPr>
          <w:p w14:paraId="4147C5BA" w14:textId="77777777" w:rsidR="00F12D51" w:rsidRPr="00FF386D" w:rsidRDefault="00F12D51" w:rsidP="0057310C">
            <w:pPr>
              <w:spacing w:after="0" w:line="240" w:lineRule="auto"/>
              <w:jc w:val="center"/>
              <w:rPr>
                <w:rFonts w:ascii="Calibri Light" w:eastAsia="Calibri" w:hAnsi="Calibri Light" w:cs="Calibri Light"/>
                <w:color w:val="FFFFFF"/>
                <w:sz w:val="20"/>
                <w:szCs w:val="20"/>
              </w:rPr>
            </w:pPr>
            <w:r w:rsidRPr="00FF386D">
              <w:rPr>
                <w:rFonts w:ascii="Calibri Light" w:hAnsi="Calibri Light"/>
                <w:color w:val="FFFFFF"/>
                <w:sz w:val="20"/>
                <w:szCs w:val="20"/>
              </w:rPr>
              <w:t>Назив</w:t>
            </w:r>
          </w:p>
        </w:tc>
        <w:tc>
          <w:tcPr>
            <w:tcW w:w="1903" w:type="dxa"/>
            <w:tcBorders>
              <w:top w:val="single" w:sz="8" w:space="0" w:color="auto"/>
              <w:left w:val="single" w:sz="8" w:space="0" w:color="auto"/>
              <w:bottom w:val="single" w:sz="4" w:space="0" w:color="auto"/>
              <w:right w:val="single" w:sz="8" w:space="0" w:color="auto"/>
            </w:tcBorders>
            <w:shd w:val="clear" w:color="000000" w:fill="1F497D"/>
            <w:vAlign w:val="center"/>
            <w:hideMark/>
          </w:tcPr>
          <w:p w14:paraId="797949BB" w14:textId="77777777" w:rsidR="00F12D51" w:rsidRPr="00FF386D" w:rsidRDefault="00F12D51" w:rsidP="0057310C">
            <w:pPr>
              <w:spacing w:after="0" w:line="240" w:lineRule="auto"/>
              <w:jc w:val="center"/>
              <w:rPr>
                <w:rFonts w:ascii="Calibri Light" w:eastAsia="Calibri" w:hAnsi="Calibri Light" w:cs="Calibri Light"/>
                <w:color w:val="FFFFFF"/>
                <w:sz w:val="20"/>
                <w:szCs w:val="20"/>
              </w:rPr>
            </w:pPr>
            <w:r w:rsidRPr="00FF386D">
              <w:rPr>
                <w:rFonts w:ascii="Calibri Light" w:hAnsi="Calibri Light"/>
                <w:color w:val="FFFFFF"/>
                <w:sz w:val="20"/>
                <w:szCs w:val="20"/>
              </w:rPr>
              <w:t xml:space="preserve">Сценарио </w:t>
            </w:r>
            <w:r w:rsidRPr="00FF386D">
              <w:rPr>
                <w:rFonts w:ascii="Calibri Light" w:hAnsi="Calibri Light"/>
                <w:i/>
                <w:color w:val="FFFFFF"/>
                <w:sz w:val="20"/>
                <w:szCs w:val="20"/>
              </w:rPr>
              <w:t>S</w:t>
            </w:r>
          </w:p>
        </w:tc>
      </w:tr>
      <w:tr w:rsidR="00F12D51" w:rsidRPr="00FF386D" w14:paraId="258924FE" w14:textId="77777777" w:rsidTr="0057310C">
        <w:trPr>
          <w:trHeight w:val="20"/>
          <w:jc w:val="center"/>
        </w:trPr>
        <w:tc>
          <w:tcPr>
            <w:tcW w:w="4108" w:type="dxa"/>
            <w:tcBorders>
              <w:top w:val="single" w:sz="4" w:space="0" w:color="auto"/>
              <w:left w:val="single" w:sz="4" w:space="0" w:color="auto"/>
              <w:bottom w:val="single" w:sz="4" w:space="0" w:color="auto"/>
              <w:right w:val="single" w:sz="4" w:space="0" w:color="auto"/>
            </w:tcBorders>
            <w:shd w:val="clear" w:color="000000" w:fill="E7E6E6"/>
            <w:noWrap/>
            <w:vAlign w:val="bottom"/>
            <w:hideMark/>
          </w:tcPr>
          <w:p w14:paraId="72DCC55F"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 </w:t>
            </w:r>
          </w:p>
        </w:tc>
        <w:tc>
          <w:tcPr>
            <w:tcW w:w="1903" w:type="dxa"/>
            <w:tcBorders>
              <w:top w:val="nil"/>
              <w:left w:val="single" w:sz="8" w:space="0" w:color="auto"/>
              <w:bottom w:val="single" w:sz="4" w:space="0" w:color="auto"/>
              <w:right w:val="single" w:sz="8" w:space="0" w:color="auto"/>
            </w:tcBorders>
            <w:shd w:val="clear" w:color="auto" w:fill="auto"/>
            <w:noWrap/>
            <w:vAlign w:val="center"/>
            <w:hideMark/>
          </w:tcPr>
          <w:p w14:paraId="1A8CC5B3"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GWh</w:t>
            </w:r>
          </w:p>
        </w:tc>
      </w:tr>
      <w:tr w:rsidR="00F12D51" w:rsidRPr="00FF386D" w14:paraId="6932DD9E" w14:textId="77777777" w:rsidTr="0057310C">
        <w:trPr>
          <w:trHeight w:val="20"/>
          <w:jc w:val="center"/>
        </w:trPr>
        <w:tc>
          <w:tcPr>
            <w:tcW w:w="4108" w:type="dxa"/>
            <w:tcBorders>
              <w:top w:val="nil"/>
              <w:left w:val="single" w:sz="4" w:space="0" w:color="auto"/>
              <w:bottom w:val="single" w:sz="4" w:space="0" w:color="auto"/>
              <w:right w:val="single" w:sz="4" w:space="0" w:color="auto"/>
            </w:tcBorders>
            <w:shd w:val="clear" w:color="000000" w:fill="E7E6E6"/>
            <w:noWrap/>
            <w:vAlign w:val="bottom"/>
            <w:hideMark/>
          </w:tcPr>
          <w:p w14:paraId="195CEA42"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Потражња</w:t>
            </w:r>
          </w:p>
        </w:tc>
        <w:tc>
          <w:tcPr>
            <w:tcW w:w="1903" w:type="dxa"/>
            <w:tcBorders>
              <w:top w:val="nil"/>
              <w:left w:val="nil"/>
              <w:bottom w:val="single" w:sz="4" w:space="0" w:color="auto"/>
              <w:right w:val="single" w:sz="4" w:space="0" w:color="auto"/>
            </w:tcBorders>
            <w:shd w:val="clear" w:color="000000" w:fill="DDEBF7"/>
            <w:noWrap/>
            <w:vAlign w:val="center"/>
            <w:hideMark/>
          </w:tcPr>
          <w:p w14:paraId="1C93B27B"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44.575,7</w:t>
            </w:r>
          </w:p>
        </w:tc>
      </w:tr>
      <w:tr w:rsidR="00F12D51" w:rsidRPr="00FF386D" w14:paraId="45EB3FA5" w14:textId="77777777" w:rsidTr="0057310C">
        <w:trPr>
          <w:trHeight w:val="20"/>
          <w:jc w:val="center"/>
        </w:trPr>
        <w:tc>
          <w:tcPr>
            <w:tcW w:w="4108" w:type="dxa"/>
            <w:tcBorders>
              <w:top w:val="nil"/>
              <w:left w:val="single" w:sz="4" w:space="0" w:color="auto"/>
              <w:bottom w:val="single" w:sz="4" w:space="0" w:color="auto"/>
              <w:right w:val="single" w:sz="4" w:space="0" w:color="auto"/>
            </w:tcBorders>
            <w:shd w:val="clear" w:color="000000" w:fill="E7E6E6"/>
            <w:noWrap/>
            <w:vAlign w:val="bottom"/>
            <w:hideMark/>
          </w:tcPr>
          <w:p w14:paraId="5F6CD46F"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Лигнит</w:t>
            </w:r>
          </w:p>
        </w:tc>
        <w:tc>
          <w:tcPr>
            <w:tcW w:w="1903" w:type="dxa"/>
            <w:tcBorders>
              <w:top w:val="nil"/>
              <w:left w:val="nil"/>
              <w:bottom w:val="single" w:sz="4" w:space="0" w:color="auto"/>
              <w:right w:val="single" w:sz="4" w:space="0" w:color="auto"/>
            </w:tcBorders>
            <w:shd w:val="clear" w:color="auto" w:fill="auto"/>
            <w:noWrap/>
            <w:vAlign w:val="center"/>
            <w:hideMark/>
          </w:tcPr>
          <w:p w14:paraId="6D1E7E96"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10.630,9</w:t>
            </w:r>
          </w:p>
        </w:tc>
      </w:tr>
      <w:tr w:rsidR="00F12D51" w:rsidRPr="00FF386D" w14:paraId="69209620" w14:textId="77777777" w:rsidTr="0057310C">
        <w:trPr>
          <w:trHeight w:val="20"/>
          <w:jc w:val="center"/>
        </w:trPr>
        <w:tc>
          <w:tcPr>
            <w:tcW w:w="4108" w:type="dxa"/>
            <w:tcBorders>
              <w:top w:val="nil"/>
              <w:left w:val="single" w:sz="4" w:space="0" w:color="auto"/>
              <w:bottom w:val="single" w:sz="4" w:space="0" w:color="auto"/>
              <w:right w:val="single" w:sz="4" w:space="0" w:color="auto"/>
            </w:tcBorders>
            <w:shd w:val="clear" w:color="000000" w:fill="E7E6E6"/>
            <w:noWrap/>
            <w:vAlign w:val="bottom"/>
            <w:hideMark/>
          </w:tcPr>
          <w:p w14:paraId="6CF58038"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Гас</w:t>
            </w:r>
          </w:p>
        </w:tc>
        <w:tc>
          <w:tcPr>
            <w:tcW w:w="1903" w:type="dxa"/>
            <w:tcBorders>
              <w:top w:val="nil"/>
              <w:left w:val="nil"/>
              <w:bottom w:val="single" w:sz="4" w:space="0" w:color="auto"/>
              <w:right w:val="single" w:sz="4" w:space="0" w:color="auto"/>
            </w:tcBorders>
            <w:shd w:val="clear" w:color="000000" w:fill="DDEBF7"/>
            <w:noWrap/>
            <w:vAlign w:val="center"/>
            <w:hideMark/>
          </w:tcPr>
          <w:p w14:paraId="2144D809"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2.837,7</w:t>
            </w:r>
          </w:p>
        </w:tc>
      </w:tr>
      <w:tr w:rsidR="00F12D51" w:rsidRPr="00FF386D" w14:paraId="261ABA60" w14:textId="77777777" w:rsidTr="0057310C">
        <w:trPr>
          <w:trHeight w:val="20"/>
          <w:jc w:val="center"/>
        </w:trPr>
        <w:tc>
          <w:tcPr>
            <w:tcW w:w="4108" w:type="dxa"/>
            <w:tcBorders>
              <w:top w:val="nil"/>
              <w:left w:val="single" w:sz="4" w:space="0" w:color="auto"/>
              <w:bottom w:val="single" w:sz="4" w:space="0" w:color="auto"/>
              <w:right w:val="single" w:sz="4" w:space="0" w:color="auto"/>
            </w:tcBorders>
            <w:shd w:val="clear" w:color="000000" w:fill="E7E6E6"/>
            <w:noWrap/>
            <w:vAlign w:val="bottom"/>
            <w:hideMark/>
          </w:tcPr>
          <w:p w14:paraId="222C470F"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Вода</w:t>
            </w:r>
          </w:p>
        </w:tc>
        <w:tc>
          <w:tcPr>
            <w:tcW w:w="1903" w:type="dxa"/>
            <w:tcBorders>
              <w:top w:val="nil"/>
              <w:left w:val="nil"/>
              <w:bottom w:val="single" w:sz="4" w:space="0" w:color="auto"/>
              <w:right w:val="single" w:sz="4" w:space="0" w:color="auto"/>
            </w:tcBorders>
            <w:shd w:val="clear" w:color="auto" w:fill="auto"/>
            <w:noWrap/>
            <w:vAlign w:val="center"/>
            <w:hideMark/>
          </w:tcPr>
          <w:p w14:paraId="17AEC07A"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13.604,0</w:t>
            </w:r>
          </w:p>
        </w:tc>
      </w:tr>
      <w:tr w:rsidR="00F12D51" w:rsidRPr="00FF386D" w14:paraId="11E452BC" w14:textId="77777777" w:rsidTr="0057310C">
        <w:trPr>
          <w:trHeight w:val="20"/>
          <w:jc w:val="center"/>
        </w:trPr>
        <w:tc>
          <w:tcPr>
            <w:tcW w:w="4108" w:type="dxa"/>
            <w:tcBorders>
              <w:top w:val="nil"/>
              <w:left w:val="single" w:sz="4" w:space="0" w:color="auto"/>
              <w:bottom w:val="single" w:sz="4" w:space="0" w:color="auto"/>
              <w:right w:val="single" w:sz="4" w:space="0" w:color="auto"/>
            </w:tcBorders>
            <w:shd w:val="clear" w:color="000000" w:fill="E7E6E6"/>
            <w:noWrap/>
            <w:vAlign w:val="bottom"/>
            <w:hideMark/>
          </w:tcPr>
          <w:p w14:paraId="6A6CB53C"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Ветар</w:t>
            </w:r>
          </w:p>
        </w:tc>
        <w:tc>
          <w:tcPr>
            <w:tcW w:w="1903" w:type="dxa"/>
            <w:tcBorders>
              <w:top w:val="nil"/>
              <w:left w:val="nil"/>
              <w:bottom w:val="single" w:sz="4" w:space="0" w:color="auto"/>
              <w:right w:val="single" w:sz="4" w:space="0" w:color="auto"/>
            </w:tcBorders>
            <w:shd w:val="clear" w:color="000000" w:fill="DDEBF7"/>
            <w:noWrap/>
            <w:vAlign w:val="center"/>
            <w:hideMark/>
          </w:tcPr>
          <w:p w14:paraId="6771C01F"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8.114,0</w:t>
            </w:r>
          </w:p>
        </w:tc>
      </w:tr>
      <w:tr w:rsidR="00F12D51" w:rsidRPr="00FF386D" w14:paraId="1B76DC4F" w14:textId="77777777" w:rsidTr="0057310C">
        <w:trPr>
          <w:trHeight w:val="20"/>
          <w:jc w:val="center"/>
        </w:trPr>
        <w:tc>
          <w:tcPr>
            <w:tcW w:w="4108" w:type="dxa"/>
            <w:tcBorders>
              <w:top w:val="nil"/>
              <w:left w:val="single" w:sz="4" w:space="0" w:color="auto"/>
              <w:bottom w:val="single" w:sz="4" w:space="0" w:color="auto"/>
              <w:right w:val="single" w:sz="4" w:space="0" w:color="auto"/>
            </w:tcBorders>
            <w:shd w:val="clear" w:color="000000" w:fill="E7E6E6"/>
            <w:noWrap/>
            <w:vAlign w:val="bottom"/>
            <w:hideMark/>
          </w:tcPr>
          <w:p w14:paraId="7F46B83B"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Соларна енергија</w:t>
            </w:r>
          </w:p>
        </w:tc>
        <w:tc>
          <w:tcPr>
            <w:tcW w:w="1903" w:type="dxa"/>
            <w:tcBorders>
              <w:top w:val="nil"/>
              <w:left w:val="nil"/>
              <w:bottom w:val="single" w:sz="4" w:space="0" w:color="auto"/>
              <w:right w:val="single" w:sz="4" w:space="0" w:color="auto"/>
            </w:tcBorders>
            <w:shd w:val="clear" w:color="auto" w:fill="auto"/>
            <w:noWrap/>
            <w:vAlign w:val="center"/>
            <w:hideMark/>
          </w:tcPr>
          <w:p w14:paraId="5716A9A4"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9.939,5</w:t>
            </w:r>
          </w:p>
        </w:tc>
      </w:tr>
      <w:tr w:rsidR="00F12D51" w:rsidRPr="00FF386D" w14:paraId="596D4A74" w14:textId="77777777" w:rsidTr="0057310C">
        <w:trPr>
          <w:trHeight w:val="20"/>
          <w:jc w:val="center"/>
        </w:trPr>
        <w:tc>
          <w:tcPr>
            <w:tcW w:w="4108" w:type="dxa"/>
            <w:tcBorders>
              <w:top w:val="nil"/>
              <w:left w:val="single" w:sz="4" w:space="0" w:color="auto"/>
              <w:bottom w:val="single" w:sz="4" w:space="0" w:color="auto"/>
              <w:right w:val="single" w:sz="4" w:space="0" w:color="auto"/>
            </w:tcBorders>
            <w:shd w:val="clear" w:color="000000" w:fill="E7E6E6"/>
            <w:vAlign w:val="bottom"/>
            <w:hideMark/>
          </w:tcPr>
          <w:p w14:paraId="39EE9379"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Мале конгенеративне електране, биомаса итд.</w:t>
            </w:r>
          </w:p>
        </w:tc>
        <w:tc>
          <w:tcPr>
            <w:tcW w:w="1903" w:type="dxa"/>
            <w:tcBorders>
              <w:top w:val="nil"/>
              <w:left w:val="nil"/>
              <w:bottom w:val="single" w:sz="4" w:space="0" w:color="auto"/>
              <w:right w:val="single" w:sz="4" w:space="0" w:color="auto"/>
            </w:tcBorders>
            <w:shd w:val="clear" w:color="000000" w:fill="DDEBF7"/>
            <w:noWrap/>
            <w:vAlign w:val="center"/>
            <w:hideMark/>
          </w:tcPr>
          <w:p w14:paraId="109C5B75"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1.501,7</w:t>
            </w:r>
          </w:p>
        </w:tc>
      </w:tr>
      <w:tr w:rsidR="00F12D51" w:rsidRPr="00FF386D" w14:paraId="71AE9915" w14:textId="77777777" w:rsidTr="0057310C">
        <w:trPr>
          <w:trHeight w:val="20"/>
          <w:jc w:val="center"/>
        </w:trPr>
        <w:tc>
          <w:tcPr>
            <w:tcW w:w="4108" w:type="dxa"/>
            <w:tcBorders>
              <w:top w:val="nil"/>
              <w:left w:val="single" w:sz="4" w:space="0" w:color="auto"/>
              <w:bottom w:val="single" w:sz="4" w:space="0" w:color="auto"/>
              <w:right w:val="single" w:sz="4" w:space="0" w:color="auto"/>
            </w:tcBorders>
            <w:shd w:val="clear" w:color="000000" w:fill="E7E6E6"/>
            <w:noWrap/>
            <w:vAlign w:val="bottom"/>
            <w:hideMark/>
          </w:tcPr>
          <w:p w14:paraId="50CE31C3"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 </w:t>
            </w:r>
          </w:p>
        </w:tc>
        <w:tc>
          <w:tcPr>
            <w:tcW w:w="1903" w:type="dxa"/>
            <w:tcBorders>
              <w:top w:val="nil"/>
              <w:left w:val="nil"/>
              <w:bottom w:val="single" w:sz="4" w:space="0" w:color="auto"/>
              <w:right w:val="single" w:sz="4" w:space="0" w:color="auto"/>
            </w:tcBorders>
            <w:shd w:val="clear" w:color="auto" w:fill="auto"/>
            <w:noWrap/>
            <w:vAlign w:val="center"/>
            <w:hideMark/>
          </w:tcPr>
          <w:p w14:paraId="1157D5B7"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GWh</w:t>
            </w:r>
          </w:p>
        </w:tc>
      </w:tr>
      <w:tr w:rsidR="00F12D51" w:rsidRPr="00FF386D" w14:paraId="4F4109AD" w14:textId="77777777" w:rsidTr="0057310C">
        <w:trPr>
          <w:trHeight w:val="20"/>
          <w:jc w:val="center"/>
        </w:trPr>
        <w:tc>
          <w:tcPr>
            <w:tcW w:w="4108" w:type="dxa"/>
            <w:tcBorders>
              <w:top w:val="nil"/>
              <w:left w:val="single" w:sz="4" w:space="0" w:color="auto"/>
              <w:bottom w:val="single" w:sz="4" w:space="0" w:color="auto"/>
              <w:right w:val="single" w:sz="4" w:space="0" w:color="auto"/>
            </w:tcBorders>
            <w:shd w:val="clear" w:color="000000" w:fill="E7E6E6"/>
            <w:noWrap/>
            <w:vAlign w:val="bottom"/>
            <w:hideMark/>
          </w:tcPr>
          <w:p w14:paraId="52339F08"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Расута енергија</w:t>
            </w:r>
          </w:p>
        </w:tc>
        <w:tc>
          <w:tcPr>
            <w:tcW w:w="1903" w:type="dxa"/>
            <w:tcBorders>
              <w:top w:val="nil"/>
              <w:left w:val="nil"/>
              <w:bottom w:val="single" w:sz="4" w:space="0" w:color="auto"/>
              <w:right w:val="single" w:sz="4" w:space="0" w:color="auto"/>
            </w:tcBorders>
            <w:shd w:val="clear" w:color="000000" w:fill="DDEBF7"/>
            <w:noWrap/>
            <w:vAlign w:val="center"/>
            <w:hideMark/>
          </w:tcPr>
          <w:p w14:paraId="2168DF08"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2,5</w:t>
            </w:r>
          </w:p>
        </w:tc>
      </w:tr>
      <w:tr w:rsidR="00F12D51" w:rsidRPr="00FF386D" w14:paraId="1A0761E9" w14:textId="77777777" w:rsidTr="0057310C">
        <w:trPr>
          <w:trHeight w:val="20"/>
          <w:jc w:val="center"/>
        </w:trPr>
        <w:tc>
          <w:tcPr>
            <w:tcW w:w="4108" w:type="dxa"/>
            <w:tcBorders>
              <w:top w:val="nil"/>
              <w:left w:val="single" w:sz="4" w:space="0" w:color="auto"/>
              <w:bottom w:val="single" w:sz="4" w:space="0" w:color="auto"/>
              <w:right w:val="single" w:sz="4" w:space="0" w:color="auto"/>
            </w:tcBorders>
            <w:shd w:val="clear" w:color="000000" w:fill="E7E6E6"/>
            <w:noWrap/>
            <w:vAlign w:val="bottom"/>
            <w:hideMark/>
          </w:tcPr>
          <w:p w14:paraId="0D1D0E8A"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Губици при складиштењу</w:t>
            </w:r>
          </w:p>
        </w:tc>
        <w:tc>
          <w:tcPr>
            <w:tcW w:w="1903" w:type="dxa"/>
            <w:tcBorders>
              <w:top w:val="nil"/>
              <w:left w:val="nil"/>
              <w:bottom w:val="single" w:sz="4" w:space="0" w:color="auto"/>
              <w:right w:val="single" w:sz="4" w:space="0" w:color="auto"/>
            </w:tcBorders>
            <w:shd w:val="clear" w:color="auto" w:fill="auto"/>
            <w:noWrap/>
            <w:vAlign w:val="center"/>
            <w:hideMark/>
          </w:tcPr>
          <w:p w14:paraId="2EC36BB2"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929,4</w:t>
            </w:r>
          </w:p>
        </w:tc>
      </w:tr>
      <w:tr w:rsidR="00F12D51" w:rsidRPr="00FF386D" w14:paraId="36A2F563" w14:textId="77777777" w:rsidTr="0057310C">
        <w:trPr>
          <w:trHeight w:val="20"/>
          <w:jc w:val="center"/>
        </w:trPr>
        <w:tc>
          <w:tcPr>
            <w:tcW w:w="4108" w:type="dxa"/>
            <w:tcBorders>
              <w:top w:val="nil"/>
              <w:left w:val="single" w:sz="4" w:space="0" w:color="auto"/>
              <w:bottom w:val="single" w:sz="4" w:space="0" w:color="auto"/>
              <w:right w:val="single" w:sz="4" w:space="0" w:color="auto"/>
            </w:tcBorders>
            <w:shd w:val="clear" w:color="000000" w:fill="E7E6E6"/>
            <w:noWrap/>
            <w:vAlign w:val="bottom"/>
            <w:hideMark/>
          </w:tcPr>
          <w:p w14:paraId="2843DDBF"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Неиспоручена енергија</w:t>
            </w:r>
          </w:p>
        </w:tc>
        <w:tc>
          <w:tcPr>
            <w:tcW w:w="1903" w:type="dxa"/>
            <w:tcBorders>
              <w:top w:val="nil"/>
              <w:left w:val="nil"/>
              <w:bottom w:val="single" w:sz="4" w:space="0" w:color="auto"/>
              <w:right w:val="single" w:sz="4" w:space="0" w:color="auto"/>
            </w:tcBorders>
            <w:shd w:val="clear" w:color="000000" w:fill="DDEBF7"/>
            <w:noWrap/>
            <w:vAlign w:val="center"/>
            <w:hideMark/>
          </w:tcPr>
          <w:p w14:paraId="4E9EA168"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0,0</w:t>
            </w:r>
          </w:p>
        </w:tc>
      </w:tr>
      <w:tr w:rsidR="00F12D51" w:rsidRPr="00FF386D" w14:paraId="2D25BA6E" w14:textId="77777777" w:rsidTr="0057310C">
        <w:trPr>
          <w:trHeight w:val="20"/>
          <w:jc w:val="center"/>
        </w:trPr>
        <w:tc>
          <w:tcPr>
            <w:tcW w:w="4108" w:type="dxa"/>
            <w:tcBorders>
              <w:top w:val="nil"/>
              <w:left w:val="single" w:sz="4" w:space="0" w:color="auto"/>
              <w:bottom w:val="single" w:sz="4" w:space="0" w:color="auto"/>
              <w:right w:val="single" w:sz="4" w:space="0" w:color="auto"/>
            </w:tcBorders>
            <w:shd w:val="clear" w:color="000000" w:fill="E7E6E6"/>
            <w:noWrap/>
            <w:vAlign w:val="bottom"/>
            <w:hideMark/>
          </w:tcPr>
          <w:p w14:paraId="24ACB24E"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Нето годишњи извоз</w:t>
            </w:r>
          </w:p>
        </w:tc>
        <w:tc>
          <w:tcPr>
            <w:tcW w:w="1903" w:type="dxa"/>
            <w:tcBorders>
              <w:top w:val="nil"/>
              <w:left w:val="nil"/>
              <w:bottom w:val="single" w:sz="4" w:space="0" w:color="auto"/>
              <w:right w:val="single" w:sz="4" w:space="0" w:color="auto"/>
            </w:tcBorders>
            <w:shd w:val="clear" w:color="auto" w:fill="auto"/>
            <w:noWrap/>
            <w:vAlign w:val="center"/>
            <w:hideMark/>
          </w:tcPr>
          <w:p w14:paraId="10411DED" w14:textId="77777777" w:rsidR="00F12D51" w:rsidRPr="00FF386D" w:rsidRDefault="00F12D51" w:rsidP="0057310C">
            <w:pPr>
              <w:spacing w:after="0" w:line="240" w:lineRule="auto"/>
              <w:jc w:val="center"/>
              <w:rPr>
                <w:rFonts w:ascii="Calibri Light" w:eastAsia="Calibri" w:hAnsi="Calibri Light" w:cs="Calibri Light"/>
                <w:sz w:val="20"/>
                <w:szCs w:val="20"/>
              </w:rPr>
            </w:pPr>
            <w:r w:rsidRPr="00FF386D">
              <w:rPr>
                <w:rFonts w:ascii="Calibri Light" w:hAnsi="Calibri Light"/>
                <w:sz w:val="20"/>
                <w:szCs w:val="20"/>
              </w:rPr>
              <w:t>1.120,3</w:t>
            </w:r>
          </w:p>
        </w:tc>
      </w:tr>
      <w:tr w:rsidR="00F12D51" w:rsidRPr="00FF386D" w14:paraId="451425D8" w14:textId="77777777" w:rsidTr="0057310C">
        <w:trPr>
          <w:trHeight w:val="20"/>
          <w:jc w:val="center"/>
        </w:trPr>
        <w:tc>
          <w:tcPr>
            <w:tcW w:w="4108" w:type="dxa"/>
            <w:tcBorders>
              <w:top w:val="nil"/>
              <w:left w:val="single" w:sz="4" w:space="0" w:color="auto"/>
              <w:bottom w:val="single" w:sz="4" w:space="0" w:color="auto"/>
              <w:right w:val="single" w:sz="4" w:space="0" w:color="auto"/>
            </w:tcBorders>
            <w:shd w:val="clear" w:color="000000" w:fill="E7E6E6"/>
            <w:noWrap/>
            <w:vAlign w:val="bottom"/>
            <w:hideMark/>
          </w:tcPr>
          <w:p w14:paraId="1B6DE3AE"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 </w:t>
            </w:r>
          </w:p>
        </w:tc>
        <w:tc>
          <w:tcPr>
            <w:tcW w:w="1903" w:type="dxa"/>
            <w:tcBorders>
              <w:top w:val="nil"/>
              <w:left w:val="nil"/>
              <w:bottom w:val="single" w:sz="4" w:space="0" w:color="auto"/>
              <w:right w:val="single" w:sz="4" w:space="0" w:color="auto"/>
            </w:tcBorders>
            <w:shd w:val="clear" w:color="auto" w:fill="auto"/>
            <w:noWrap/>
            <w:vAlign w:val="center"/>
            <w:hideMark/>
          </w:tcPr>
          <w:p w14:paraId="61C45C41"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MW</w:t>
            </w:r>
          </w:p>
        </w:tc>
      </w:tr>
      <w:tr w:rsidR="00F12D51" w:rsidRPr="00FF386D" w14:paraId="04B3B9F1" w14:textId="77777777" w:rsidTr="0057310C">
        <w:trPr>
          <w:trHeight w:val="20"/>
          <w:jc w:val="center"/>
        </w:trPr>
        <w:tc>
          <w:tcPr>
            <w:tcW w:w="4108" w:type="dxa"/>
            <w:tcBorders>
              <w:top w:val="nil"/>
              <w:left w:val="single" w:sz="4" w:space="0" w:color="auto"/>
              <w:bottom w:val="single" w:sz="4" w:space="0" w:color="auto"/>
              <w:right w:val="single" w:sz="4" w:space="0" w:color="auto"/>
            </w:tcBorders>
            <w:shd w:val="clear" w:color="000000" w:fill="E7E6E6"/>
            <w:noWrap/>
            <w:vAlign w:val="bottom"/>
            <w:hideMark/>
          </w:tcPr>
          <w:p w14:paraId="30FCAF74"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Просечни нето извоз</w:t>
            </w:r>
          </w:p>
        </w:tc>
        <w:tc>
          <w:tcPr>
            <w:tcW w:w="1903" w:type="dxa"/>
            <w:tcBorders>
              <w:top w:val="nil"/>
              <w:left w:val="nil"/>
              <w:bottom w:val="single" w:sz="4" w:space="0" w:color="auto"/>
              <w:right w:val="single" w:sz="4" w:space="0" w:color="auto"/>
            </w:tcBorders>
            <w:shd w:val="clear" w:color="000000" w:fill="DDEBF7"/>
            <w:noWrap/>
            <w:vAlign w:val="center"/>
            <w:hideMark/>
          </w:tcPr>
          <w:p w14:paraId="68E3C2C4"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128,2</w:t>
            </w:r>
          </w:p>
        </w:tc>
      </w:tr>
      <w:tr w:rsidR="00F12D51" w:rsidRPr="00FF386D" w14:paraId="170E258C" w14:textId="77777777" w:rsidTr="0057310C">
        <w:trPr>
          <w:trHeight w:val="20"/>
          <w:jc w:val="center"/>
        </w:trPr>
        <w:tc>
          <w:tcPr>
            <w:tcW w:w="4108" w:type="dxa"/>
            <w:tcBorders>
              <w:top w:val="nil"/>
              <w:left w:val="single" w:sz="4" w:space="0" w:color="auto"/>
              <w:bottom w:val="single" w:sz="4" w:space="0" w:color="auto"/>
              <w:right w:val="single" w:sz="4" w:space="0" w:color="auto"/>
            </w:tcBorders>
            <w:shd w:val="clear" w:color="000000" w:fill="E7E6E6"/>
            <w:noWrap/>
            <w:vAlign w:val="bottom"/>
            <w:hideMark/>
          </w:tcPr>
          <w:p w14:paraId="7DF0F2C4"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 </w:t>
            </w:r>
          </w:p>
        </w:tc>
        <w:tc>
          <w:tcPr>
            <w:tcW w:w="1903" w:type="dxa"/>
            <w:tcBorders>
              <w:top w:val="nil"/>
              <w:left w:val="nil"/>
              <w:bottom w:val="single" w:sz="4" w:space="0" w:color="auto"/>
              <w:right w:val="single" w:sz="4" w:space="0" w:color="auto"/>
            </w:tcBorders>
            <w:shd w:val="clear" w:color="auto" w:fill="auto"/>
            <w:noWrap/>
            <w:vAlign w:val="center"/>
            <w:hideMark/>
          </w:tcPr>
          <w:p w14:paraId="1F9E4D74"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Тона</w:t>
            </w:r>
          </w:p>
        </w:tc>
      </w:tr>
      <w:tr w:rsidR="00F12D51" w:rsidRPr="00FF386D" w14:paraId="2A50D2BC" w14:textId="77777777" w:rsidTr="0057310C">
        <w:trPr>
          <w:trHeight w:val="20"/>
          <w:jc w:val="center"/>
        </w:trPr>
        <w:tc>
          <w:tcPr>
            <w:tcW w:w="4108" w:type="dxa"/>
            <w:tcBorders>
              <w:top w:val="nil"/>
              <w:left w:val="single" w:sz="4" w:space="0" w:color="auto"/>
              <w:bottom w:val="single" w:sz="4" w:space="0" w:color="auto"/>
              <w:right w:val="single" w:sz="4" w:space="0" w:color="auto"/>
            </w:tcBorders>
            <w:shd w:val="clear" w:color="000000" w:fill="E7E6E6"/>
            <w:noWrap/>
            <w:vAlign w:val="bottom"/>
            <w:hideMark/>
          </w:tcPr>
          <w:p w14:paraId="14C32D80"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Емисије CO2</w:t>
            </w:r>
          </w:p>
        </w:tc>
        <w:tc>
          <w:tcPr>
            <w:tcW w:w="1903" w:type="dxa"/>
            <w:tcBorders>
              <w:top w:val="nil"/>
              <w:left w:val="nil"/>
              <w:bottom w:val="single" w:sz="4" w:space="0" w:color="auto"/>
              <w:right w:val="single" w:sz="4" w:space="0" w:color="auto"/>
            </w:tcBorders>
            <w:shd w:val="clear" w:color="000000" w:fill="DDEBF7"/>
            <w:noWrap/>
            <w:vAlign w:val="center"/>
            <w:hideMark/>
          </w:tcPr>
          <w:p w14:paraId="1EB53F79"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12.855.223</w:t>
            </w:r>
          </w:p>
        </w:tc>
      </w:tr>
      <w:tr w:rsidR="00F12D51" w:rsidRPr="00FF386D" w14:paraId="76F684F0" w14:textId="77777777" w:rsidTr="0057310C">
        <w:trPr>
          <w:trHeight w:val="20"/>
          <w:jc w:val="center"/>
        </w:trPr>
        <w:tc>
          <w:tcPr>
            <w:tcW w:w="4108" w:type="dxa"/>
            <w:tcBorders>
              <w:top w:val="nil"/>
              <w:left w:val="single" w:sz="4" w:space="0" w:color="auto"/>
              <w:bottom w:val="single" w:sz="4" w:space="0" w:color="auto"/>
              <w:right w:val="single" w:sz="4" w:space="0" w:color="auto"/>
            </w:tcBorders>
            <w:shd w:val="clear" w:color="000000" w:fill="E7E6E6"/>
            <w:noWrap/>
            <w:vAlign w:val="bottom"/>
            <w:hideMark/>
          </w:tcPr>
          <w:p w14:paraId="79B13E99"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 </w:t>
            </w:r>
          </w:p>
        </w:tc>
        <w:tc>
          <w:tcPr>
            <w:tcW w:w="1903" w:type="dxa"/>
            <w:tcBorders>
              <w:top w:val="nil"/>
              <w:left w:val="nil"/>
              <w:bottom w:val="single" w:sz="4" w:space="0" w:color="auto"/>
              <w:right w:val="single" w:sz="4" w:space="0" w:color="auto"/>
            </w:tcBorders>
            <w:shd w:val="clear" w:color="auto" w:fill="auto"/>
            <w:noWrap/>
            <w:vAlign w:val="center"/>
            <w:hideMark/>
          </w:tcPr>
          <w:p w14:paraId="1FBB7EA7"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M€</w:t>
            </w:r>
          </w:p>
        </w:tc>
      </w:tr>
      <w:tr w:rsidR="00F12D51" w:rsidRPr="00FF386D" w14:paraId="6AB3710A" w14:textId="77777777" w:rsidTr="0057310C">
        <w:trPr>
          <w:trHeight w:val="20"/>
          <w:jc w:val="center"/>
        </w:trPr>
        <w:tc>
          <w:tcPr>
            <w:tcW w:w="4108" w:type="dxa"/>
            <w:tcBorders>
              <w:top w:val="nil"/>
              <w:left w:val="single" w:sz="4" w:space="0" w:color="auto"/>
              <w:bottom w:val="single" w:sz="4" w:space="0" w:color="auto"/>
              <w:right w:val="single" w:sz="4" w:space="0" w:color="auto"/>
            </w:tcBorders>
            <w:shd w:val="clear" w:color="000000" w:fill="F2F2F2"/>
            <w:vAlign w:val="center"/>
            <w:hideMark/>
          </w:tcPr>
          <w:p w14:paraId="6A56D4D6" w14:textId="77777777" w:rsidR="00F12D51" w:rsidRPr="00FF386D" w:rsidRDefault="00F12D51" w:rsidP="0057310C">
            <w:pPr>
              <w:spacing w:after="0" w:line="240" w:lineRule="auto"/>
              <w:rPr>
                <w:rFonts w:ascii="Calibri Light" w:eastAsia="Calibri" w:hAnsi="Calibri Light" w:cs="Calibri Light"/>
                <w:color w:val="000000"/>
                <w:sz w:val="20"/>
                <w:szCs w:val="20"/>
              </w:rPr>
            </w:pPr>
            <w:r w:rsidRPr="00FF386D">
              <w:rPr>
                <w:rFonts w:ascii="Calibri Light" w:hAnsi="Calibri Light"/>
                <w:color w:val="000000"/>
                <w:sz w:val="20"/>
                <w:szCs w:val="20"/>
              </w:rPr>
              <w:t>Укупни годишњи оперативни трошкови симулираног региона</w:t>
            </w:r>
          </w:p>
        </w:tc>
        <w:tc>
          <w:tcPr>
            <w:tcW w:w="1903" w:type="dxa"/>
            <w:tcBorders>
              <w:top w:val="nil"/>
              <w:left w:val="nil"/>
              <w:bottom w:val="single" w:sz="4" w:space="0" w:color="auto"/>
              <w:right w:val="single" w:sz="4" w:space="0" w:color="auto"/>
            </w:tcBorders>
            <w:shd w:val="clear" w:color="000000" w:fill="DDEBF7"/>
            <w:noWrap/>
            <w:vAlign w:val="center"/>
            <w:hideMark/>
          </w:tcPr>
          <w:p w14:paraId="202FF414" w14:textId="77777777" w:rsidR="00F12D51" w:rsidRPr="00FF386D" w:rsidRDefault="00F12D51" w:rsidP="0057310C">
            <w:pPr>
              <w:spacing w:after="0" w:line="240" w:lineRule="auto"/>
              <w:jc w:val="center"/>
              <w:rPr>
                <w:rFonts w:ascii="Calibri Light" w:eastAsia="Calibri" w:hAnsi="Calibri Light" w:cs="Calibri Light"/>
                <w:color w:val="000000"/>
                <w:sz w:val="20"/>
                <w:szCs w:val="20"/>
              </w:rPr>
            </w:pPr>
            <w:r w:rsidRPr="00FF386D">
              <w:rPr>
                <w:rFonts w:ascii="Calibri Light" w:hAnsi="Calibri Light"/>
                <w:color w:val="000000"/>
                <w:sz w:val="20"/>
                <w:szCs w:val="20"/>
              </w:rPr>
              <w:t>7.523</w:t>
            </w:r>
          </w:p>
        </w:tc>
      </w:tr>
    </w:tbl>
    <w:p w14:paraId="3F631899" w14:textId="5C4D4CC9" w:rsidR="003D104C" w:rsidRDefault="003D104C" w:rsidP="00565B02">
      <w:pPr>
        <w:pStyle w:val="Caption"/>
        <w:keepNext/>
      </w:pPr>
      <w:bookmarkStart w:id="488" w:name="_Ref136172552"/>
      <w:bookmarkStart w:id="489" w:name="_Toc136172915"/>
      <w:bookmarkStart w:id="490" w:name="_Toc153901490"/>
      <w:r>
        <w:lastRenderedPageBreak/>
        <w:t xml:space="preserve">Табела </w:t>
      </w:r>
      <w:r w:rsidR="00873C40">
        <w:fldChar w:fldCharType="begin"/>
      </w:r>
      <w:r w:rsidR="00873C40">
        <w:instrText xml:space="preserve"> STYLEREF 1 \s </w:instrText>
      </w:r>
      <w:r w:rsidR="00873C40">
        <w:fldChar w:fldCharType="separate"/>
      </w:r>
      <w:r w:rsidR="00873C40">
        <w:rPr>
          <w:noProof/>
        </w:rPr>
        <w:t>II</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4</w:t>
      </w:r>
      <w:r w:rsidR="00873C40">
        <w:fldChar w:fldCharType="end"/>
      </w:r>
      <w:r w:rsidRPr="003D104C">
        <w:t>: Просечни годишњи резултати РХЕ Сценарија S за циљну 2040. годину</w:t>
      </w:r>
      <w:bookmarkEnd w:id="490"/>
    </w:p>
    <w:tbl>
      <w:tblPr>
        <w:tblW w:w="6799" w:type="dxa"/>
        <w:jc w:val="center"/>
        <w:tblLook w:val="04A0" w:firstRow="1" w:lastRow="0" w:firstColumn="1" w:lastColumn="0" w:noHBand="0" w:noVBand="1"/>
      </w:tblPr>
      <w:tblGrid>
        <w:gridCol w:w="2330"/>
        <w:gridCol w:w="1350"/>
        <w:gridCol w:w="3119"/>
      </w:tblGrid>
      <w:tr w:rsidR="00461519" w:rsidRPr="00292075" w14:paraId="6A7D4891" w14:textId="77777777" w:rsidTr="00565B02">
        <w:trPr>
          <w:trHeight w:val="288"/>
          <w:jc w:val="center"/>
        </w:trPr>
        <w:tc>
          <w:tcPr>
            <w:tcW w:w="2330" w:type="dxa"/>
            <w:tcBorders>
              <w:top w:val="single" w:sz="4" w:space="0" w:color="auto"/>
              <w:left w:val="single" w:sz="4" w:space="0" w:color="auto"/>
              <w:bottom w:val="single" w:sz="4" w:space="0" w:color="auto"/>
              <w:right w:val="nil"/>
            </w:tcBorders>
            <w:shd w:val="clear" w:color="000000" w:fill="404040"/>
            <w:noWrap/>
            <w:vAlign w:val="center"/>
            <w:hideMark/>
          </w:tcPr>
          <w:p w14:paraId="5200BC90" w14:textId="77777777" w:rsidR="00461519" w:rsidRPr="004A674B" w:rsidRDefault="00461519" w:rsidP="00292075">
            <w:pPr>
              <w:spacing w:after="200" w:line="240" w:lineRule="auto"/>
              <w:jc w:val="center"/>
              <w:rPr>
                <w:rFonts w:ascii="Calibri Light" w:hAnsi="Calibri Light" w:cs="Times New Roman"/>
                <w:b/>
                <w:bCs/>
                <w:color w:val="FFFFFF" w:themeColor="background1"/>
              </w:rPr>
            </w:pPr>
            <w:r w:rsidRPr="004A674B">
              <w:rPr>
                <w:rFonts w:ascii="Calibri Light" w:hAnsi="Calibri Light" w:cs="Times New Roman"/>
                <w:b/>
                <w:bCs/>
                <w:color w:val="FFFFFF" w:themeColor="background1"/>
              </w:rPr>
              <w:t>РХЕ и</w:t>
            </w:r>
            <w:r w:rsidRPr="00565B02">
              <w:rPr>
                <w:rFonts w:ascii="Calibri Light" w:hAnsi="Calibri Light" w:cs="Times New Roman"/>
                <w:b/>
                <w:bCs/>
                <w:color w:val="FFFFFF" w:themeColor="background1"/>
              </w:rPr>
              <w:t xml:space="preserve"> </w:t>
            </w:r>
            <w:r w:rsidRPr="004A674B">
              <w:rPr>
                <w:rFonts w:ascii="Calibri Light" w:hAnsi="Calibri Light" w:cs="Times New Roman"/>
                <w:b/>
                <w:bCs/>
                <w:color w:val="FFFFFF" w:themeColor="background1"/>
              </w:rPr>
              <w:t>БССЕ</w:t>
            </w:r>
          </w:p>
        </w:tc>
        <w:tc>
          <w:tcPr>
            <w:tcW w:w="1350" w:type="dxa"/>
            <w:tcBorders>
              <w:top w:val="single" w:sz="4" w:space="0" w:color="auto"/>
              <w:left w:val="single" w:sz="4" w:space="0" w:color="auto"/>
              <w:bottom w:val="single" w:sz="4" w:space="0" w:color="auto"/>
              <w:right w:val="single" w:sz="4" w:space="0" w:color="auto"/>
            </w:tcBorders>
            <w:shd w:val="clear" w:color="000000" w:fill="1F497D"/>
            <w:vAlign w:val="center"/>
            <w:hideMark/>
          </w:tcPr>
          <w:p w14:paraId="014ED009" w14:textId="77777777" w:rsidR="00461519" w:rsidRPr="00565B02" w:rsidRDefault="00461519" w:rsidP="00292075">
            <w:pPr>
              <w:spacing w:after="200" w:line="240" w:lineRule="auto"/>
              <w:jc w:val="center"/>
              <w:rPr>
                <w:rFonts w:ascii="Calibri Light" w:hAnsi="Calibri Light" w:cs="Times New Roman"/>
                <w:b/>
                <w:bCs/>
                <w:color w:val="FFFFFF" w:themeColor="background1"/>
              </w:rPr>
            </w:pPr>
            <w:r w:rsidRPr="00565B02">
              <w:rPr>
                <w:rFonts w:ascii="Calibri Light" w:hAnsi="Calibri Light" w:cs="Times New Roman"/>
                <w:b/>
                <w:bCs/>
                <w:color w:val="FFFFFF" w:themeColor="background1"/>
              </w:rPr>
              <w:t> Снага турбина [MW]</w:t>
            </w:r>
          </w:p>
        </w:tc>
        <w:tc>
          <w:tcPr>
            <w:tcW w:w="3119" w:type="dxa"/>
            <w:tcBorders>
              <w:top w:val="single" w:sz="4" w:space="0" w:color="auto"/>
              <w:left w:val="nil"/>
              <w:bottom w:val="single" w:sz="4" w:space="0" w:color="auto"/>
              <w:right w:val="single" w:sz="4" w:space="0" w:color="auto"/>
            </w:tcBorders>
            <w:shd w:val="clear" w:color="000000" w:fill="1F497D"/>
            <w:vAlign w:val="center"/>
            <w:hideMark/>
          </w:tcPr>
          <w:p w14:paraId="478F9614" w14:textId="77777777" w:rsidR="00461519" w:rsidRPr="00565B02" w:rsidRDefault="00461519" w:rsidP="00292075">
            <w:pPr>
              <w:spacing w:after="200" w:line="240" w:lineRule="auto"/>
              <w:jc w:val="center"/>
              <w:rPr>
                <w:rFonts w:ascii="Calibri Light" w:hAnsi="Calibri Light" w:cs="Times New Roman"/>
                <w:b/>
                <w:bCs/>
                <w:color w:val="FFFFFF" w:themeColor="background1"/>
              </w:rPr>
            </w:pPr>
            <w:r w:rsidRPr="00565B02">
              <w:rPr>
                <w:rFonts w:ascii="Calibri Light" w:hAnsi="Calibri Light" w:cs="Times New Roman"/>
                <w:b/>
                <w:bCs/>
                <w:color w:val="FFFFFF" w:themeColor="background1"/>
              </w:rPr>
              <w:t> Годишња турбинска производња [MWh]</w:t>
            </w:r>
          </w:p>
        </w:tc>
      </w:tr>
      <w:tr w:rsidR="00461519" w:rsidRPr="00292075" w14:paraId="6E164A55" w14:textId="77777777" w:rsidTr="00565B02">
        <w:trPr>
          <w:trHeight w:val="288"/>
          <w:jc w:val="center"/>
        </w:trPr>
        <w:tc>
          <w:tcPr>
            <w:tcW w:w="2330" w:type="dxa"/>
            <w:tcBorders>
              <w:top w:val="nil"/>
              <w:left w:val="single" w:sz="8" w:space="0" w:color="auto"/>
              <w:bottom w:val="single" w:sz="4" w:space="0" w:color="auto"/>
              <w:right w:val="nil"/>
            </w:tcBorders>
            <w:shd w:val="clear" w:color="000000" w:fill="E7E6E6"/>
            <w:noWrap/>
            <w:vAlign w:val="center"/>
            <w:hideMark/>
          </w:tcPr>
          <w:p w14:paraId="0FD9DFED" w14:textId="77777777" w:rsidR="00461519" w:rsidRPr="000A2AFE" w:rsidRDefault="00461519" w:rsidP="00565B02">
            <w:pPr>
              <w:pStyle w:val="LDKBody1"/>
            </w:pPr>
            <w:r>
              <w:t>РХЕ Бајина Башта</w:t>
            </w:r>
          </w:p>
        </w:tc>
        <w:tc>
          <w:tcPr>
            <w:tcW w:w="1350" w:type="dxa"/>
            <w:tcBorders>
              <w:top w:val="nil"/>
              <w:left w:val="single" w:sz="4" w:space="0" w:color="auto"/>
              <w:bottom w:val="single" w:sz="4" w:space="0" w:color="auto"/>
              <w:right w:val="single" w:sz="4" w:space="0" w:color="auto"/>
            </w:tcBorders>
            <w:shd w:val="clear" w:color="000000" w:fill="DDEBF7"/>
            <w:noWrap/>
            <w:vAlign w:val="center"/>
            <w:hideMark/>
          </w:tcPr>
          <w:p w14:paraId="34703302" w14:textId="77777777" w:rsidR="00461519" w:rsidRPr="00292075" w:rsidRDefault="00461519" w:rsidP="00565B02">
            <w:pPr>
              <w:pStyle w:val="LDKBody1"/>
              <w:rPr>
                <w:lang w:val="en-GB"/>
              </w:rPr>
            </w:pPr>
            <w:r w:rsidRPr="00292075">
              <w:rPr>
                <w:lang w:val="en-GB"/>
              </w:rPr>
              <w:t>616</w:t>
            </w:r>
          </w:p>
        </w:tc>
        <w:tc>
          <w:tcPr>
            <w:tcW w:w="3119" w:type="dxa"/>
            <w:tcBorders>
              <w:top w:val="nil"/>
              <w:left w:val="nil"/>
              <w:bottom w:val="single" w:sz="4" w:space="0" w:color="auto"/>
              <w:right w:val="single" w:sz="4" w:space="0" w:color="auto"/>
            </w:tcBorders>
            <w:shd w:val="clear" w:color="000000" w:fill="DDEBF7"/>
            <w:noWrap/>
            <w:vAlign w:val="center"/>
            <w:hideMark/>
          </w:tcPr>
          <w:p w14:paraId="4F619823" w14:textId="508F4EED" w:rsidR="00461519" w:rsidRPr="00292075" w:rsidRDefault="00461519" w:rsidP="00565B02">
            <w:pPr>
              <w:pStyle w:val="LDKBody1"/>
              <w:rPr>
                <w:lang w:val="en-GB"/>
              </w:rPr>
            </w:pPr>
            <w:r w:rsidRPr="00292075">
              <w:rPr>
                <w:lang w:val="en-GB"/>
              </w:rPr>
              <w:t>721</w:t>
            </w:r>
            <w:r>
              <w:t>.</w:t>
            </w:r>
            <w:r w:rsidRPr="00292075">
              <w:rPr>
                <w:lang w:val="en-GB"/>
              </w:rPr>
              <w:t>320</w:t>
            </w:r>
          </w:p>
        </w:tc>
      </w:tr>
      <w:tr w:rsidR="00461519" w:rsidRPr="00292075" w14:paraId="2337062D" w14:textId="77777777" w:rsidTr="00565B02">
        <w:trPr>
          <w:trHeight w:val="288"/>
          <w:jc w:val="center"/>
        </w:trPr>
        <w:tc>
          <w:tcPr>
            <w:tcW w:w="2330" w:type="dxa"/>
            <w:tcBorders>
              <w:top w:val="nil"/>
              <w:left w:val="single" w:sz="8" w:space="0" w:color="auto"/>
              <w:bottom w:val="single" w:sz="4" w:space="0" w:color="auto"/>
              <w:right w:val="nil"/>
            </w:tcBorders>
            <w:shd w:val="clear" w:color="000000" w:fill="E7E6E6"/>
            <w:noWrap/>
            <w:vAlign w:val="center"/>
            <w:hideMark/>
          </w:tcPr>
          <w:p w14:paraId="0BCA6697" w14:textId="77777777" w:rsidR="00461519" w:rsidRPr="000A2AFE" w:rsidRDefault="00461519" w:rsidP="00565B02">
            <w:pPr>
              <w:pStyle w:val="LDKBody1"/>
            </w:pPr>
            <w:r>
              <w:t>РХЕ Бистрица</w:t>
            </w:r>
          </w:p>
        </w:tc>
        <w:tc>
          <w:tcPr>
            <w:tcW w:w="1350" w:type="dxa"/>
            <w:tcBorders>
              <w:top w:val="nil"/>
              <w:left w:val="single" w:sz="4" w:space="0" w:color="auto"/>
              <w:bottom w:val="single" w:sz="4" w:space="0" w:color="auto"/>
              <w:right w:val="single" w:sz="4" w:space="0" w:color="auto"/>
            </w:tcBorders>
            <w:shd w:val="clear" w:color="auto" w:fill="auto"/>
            <w:noWrap/>
            <w:vAlign w:val="center"/>
            <w:hideMark/>
          </w:tcPr>
          <w:p w14:paraId="6ECE640D" w14:textId="77777777" w:rsidR="00461519" w:rsidRPr="00292075" w:rsidRDefault="00461519" w:rsidP="00565B02">
            <w:pPr>
              <w:pStyle w:val="LDKBody1"/>
              <w:rPr>
                <w:lang w:val="en-GB"/>
              </w:rPr>
            </w:pPr>
            <w:r w:rsidRPr="00292075">
              <w:rPr>
                <w:lang w:val="en-GB"/>
              </w:rPr>
              <w:t>680</w:t>
            </w:r>
          </w:p>
        </w:tc>
        <w:tc>
          <w:tcPr>
            <w:tcW w:w="3119" w:type="dxa"/>
            <w:tcBorders>
              <w:top w:val="nil"/>
              <w:left w:val="nil"/>
              <w:bottom w:val="single" w:sz="4" w:space="0" w:color="auto"/>
              <w:right w:val="single" w:sz="4" w:space="0" w:color="auto"/>
            </w:tcBorders>
            <w:shd w:val="clear" w:color="auto" w:fill="auto"/>
            <w:noWrap/>
            <w:vAlign w:val="center"/>
            <w:hideMark/>
          </w:tcPr>
          <w:p w14:paraId="7EE14593" w14:textId="677FDD4F" w:rsidR="00461519" w:rsidRPr="00292075" w:rsidRDefault="00461519" w:rsidP="00565B02">
            <w:pPr>
              <w:pStyle w:val="LDKBody1"/>
              <w:rPr>
                <w:lang w:val="en-GB"/>
              </w:rPr>
            </w:pPr>
            <w:r w:rsidRPr="00292075">
              <w:rPr>
                <w:lang w:val="en-GB"/>
              </w:rPr>
              <w:t>998</w:t>
            </w:r>
            <w:r>
              <w:t>.</w:t>
            </w:r>
            <w:r w:rsidRPr="00292075">
              <w:rPr>
                <w:lang w:val="en-GB"/>
              </w:rPr>
              <w:t>582</w:t>
            </w:r>
          </w:p>
        </w:tc>
      </w:tr>
      <w:tr w:rsidR="00461519" w:rsidRPr="00292075" w14:paraId="01CCA011" w14:textId="77777777" w:rsidTr="00565B02">
        <w:trPr>
          <w:trHeight w:val="300"/>
          <w:jc w:val="center"/>
        </w:trPr>
        <w:tc>
          <w:tcPr>
            <w:tcW w:w="2330" w:type="dxa"/>
            <w:tcBorders>
              <w:top w:val="nil"/>
              <w:left w:val="single" w:sz="8" w:space="0" w:color="auto"/>
              <w:bottom w:val="single" w:sz="8" w:space="0" w:color="auto"/>
              <w:right w:val="nil"/>
            </w:tcBorders>
            <w:shd w:val="clear" w:color="000000" w:fill="E7E6E6"/>
            <w:noWrap/>
            <w:vAlign w:val="center"/>
            <w:hideMark/>
          </w:tcPr>
          <w:p w14:paraId="1A280D0F" w14:textId="77777777" w:rsidR="00461519" w:rsidRPr="00292075" w:rsidRDefault="00461519" w:rsidP="00565B02">
            <w:pPr>
              <w:pStyle w:val="LDKBody1"/>
              <w:rPr>
                <w:lang w:val="en-GB"/>
              </w:rPr>
            </w:pPr>
            <w:r>
              <w:t>РХЕ Ђердап 3</w:t>
            </w:r>
          </w:p>
        </w:tc>
        <w:tc>
          <w:tcPr>
            <w:tcW w:w="1350" w:type="dxa"/>
            <w:tcBorders>
              <w:top w:val="nil"/>
              <w:left w:val="single" w:sz="4" w:space="0" w:color="auto"/>
              <w:bottom w:val="single" w:sz="8" w:space="0" w:color="auto"/>
              <w:right w:val="single" w:sz="4" w:space="0" w:color="auto"/>
            </w:tcBorders>
            <w:shd w:val="clear" w:color="000000" w:fill="DDEBF7"/>
            <w:noWrap/>
            <w:vAlign w:val="center"/>
            <w:hideMark/>
          </w:tcPr>
          <w:p w14:paraId="0D89A70F" w14:textId="77777777" w:rsidR="00461519" w:rsidRPr="00292075" w:rsidRDefault="00461519" w:rsidP="00565B02">
            <w:pPr>
              <w:pStyle w:val="LDKBody1"/>
              <w:rPr>
                <w:lang w:val="en-GB"/>
              </w:rPr>
            </w:pPr>
            <w:r w:rsidRPr="00292075">
              <w:rPr>
                <w:lang w:val="en-GB"/>
              </w:rPr>
              <w:t>600</w:t>
            </w:r>
          </w:p>
        </w:tc>
        <w:tc>
          <w:tcPr>
            <w:tcW w:w="3119" w:type="dxa"/>
            <w:tcBorders>
              <w:top w:val="nil"/>
              <w:left w:val="nil"/>
              <w:bottom w:val="single" w:sz="8" w:space="0" w:color="auto"/>
              <w:right w:val="single" w:sz="4" w:space="0" w:color="auto"/>
            </w:tcBorders>
            <w:shd w:val="clear" w:color="000000" w:fill="DDEBF7"/>
            <w:noWrap/>
            <w:vAlign w:val="center"/>
            <w:hideMark/>
          </w:tcPr>
          <w:p w14:paraId="74DA9D2C" w14:textId="2AB2AA34" w:rsidR="00461519" w:rsidRPr="00292075" w:rsidRDefault="00461519" w:rsidP="00565B02">
            <w:pPr>
              <w:pStyle w:val="LDKBody1"/>
              <w:rPr>
                <w:lang w:val="en-GB"/>
              </w:rPr>
            </w:pPr>
            <w:r w:rsidRPr="00292075">
              <w:rPr>
                <w:lang w:val="en-GB"/>
              </w:rPr>
              <w:t>905</w:t>
            </w:r>
            <w:r>
              <w:t>.</w:t>
            </w:r>
            <w:r w:rsidRPr="00292075">
              <w:rPr>
                <w:lang w:val="en-GB"/>
              </w:rPr>
              <w:t>672</w:t>
            </w:r>
          </w:p>
        </w:tc>
      </w:tr>
    </w:tbl>
    <w:p w14:paraId="05F712BD" w14:textId="77777777" w:rsidR="008E401C" w:rsidRPr="00565B02" w:rsidRDefault="008E401C" w:rsidP="00565B02">
      <w:pPr>
        <w:spacing w:after="200" w:line="240" w:lineRule="auto"/>
        <w:rPr>
          <w:rFonts w:ascii="Calibri Light" w:eastAsia="Calibri" w:hAnsi="Calibri Light" w:cs="Calibri Light"/>
          <w:szCs w:val="20"/>
          <w:lang w:eastAsia="el-GR"/>
        </w:rPr>
      </w:pPr>
    </w:p>
    <w:bookmarkEnd w:id="488"/>
    <w:bookmarkEnd w:id="489"/>
    <w:p w14:paraId="3B8AC19A" w14:textId="72BF3792" w:rsidR="00266140" w:rsidRPr="00C312D6" w:rsidRDefault="00266140" w:rsidP="00565B02">
      <w:pPr>
        <w:pStyle w:val="ListParagraph"/>
        <w:keepNext/>
        <w:keepLines/>
        <w:numPr>
          <w:ilvl w:val="0"/>
          <w:numId w:val="289"/>
        </w:numPr>
        <w:spacing w:before="100" w:beforeAutospacing="1" w:after="200" w:line="240" w:lineRule="auto"/>
        <w:ind w:left="714" w:hanging="357"/>
        <w:outlineLvl w:val="3"/>
        <w:rPr>
          <w:rFonts w:ascii="Calibri Light" w:eastAsia="Times New Roman" w:hAnsi="Calibri Light" w:cs="Times New Roman"/>
          <w:b/>
          <w:bCs/>
          <w:iCs/>
          <w:color w:val="01406B"/>
          <w:szCs w:val="24"/>
        </w:rPr>
      </w:pPr>
      <w:r w:rsidRPr="000A2AFE">
        <w:rPr>
          <w:rFonts w:ascii="Calibri Light" w:eastAsia="Times New Roman" w:hAnsi="Calibri Light" w:cs="Times New Roman"/>
          <w:b/>
          <w:bCs/>
          <w:iCs/>
          <w:color w:val="01406B"/>
          <w:szCs w:val="24"/>
        </w:rPr>
        <w:t>Рад електрана на лигнит уз разматрање сигурности снабдевања</w:t>
      </w:r>
    </w:p>
    <w:p w14:paraId="5532132D" w14:textId="1558D671" w:rsidR="00266140" w:rsidRPr="00C312D6" w:rsidRDefault="00266140" w:rsidP="00266140">
      <w:pPr>
        <w:spacing w:after="200" w:line="276" w:lineRule="auto"/>
        <w:jc w:val="both"/>
        <w:rPr>
          <w:rFonts w:ascii="Calibri Light" w:eastAsia="Calibri" w:hAnsi="Calibri Light" w:cs="Calibri Light"/>
          <w:szCs w:val="20"/>
          <w:lang w:eastAsia="el-GR"/>
        </w:rPr>
      </w:pPr>
      <w:r w:rsidRPr="00266140">
        <w:rPr>
          <w:rFonts w:ascii="Calibri Light" w:eastAsia="Calibri" w:hAnsi="Calibri Light" w:cs="Calibri Light"/>
          <w:szCs w:val="20"/>
          <w:lang w:eastAsia="el-GR"/>
        </w:rPr>
        <w:t>Сигурност снабдевања не представља само питање адекватности производње (нпр. да ли је капацитет производње довољан, што је анализирано у оквиру разматраног сценарија), већ представља шири аспект који обухвата, између осталог, и расположивост горива (нпр. увезено гориво у поређењу са домаћим лигнитом). Узимајући ово у обзир, као и најважније резултате анализе различитих сценарија представљених у претходним одељцима, предлог приказан у наредној табели се сматра оправданим са аспекта отпорности електроенергетског система.</w:t>
      </w:r>
    </w:p>
    <w:p w14:paraId="7D168434" w14:textId="0C2761F4" w:rsidR="00266140" w:rsidRPr="00C312D6" w:rsidRDefault="00266140" w:rsidP="00266140">
      <w:pPr>
        <w:spacing w:after="200" w:line="276" w:lineRule="auto"/>
        <w:jc w:val="both"/>
        <w:rPr>
          <w:rFonts w:ascii="Calibri Light" w:eastAsia="Calibri" w:hAnsi="Calibri Light" w:cs="Calibri Light"/>
          <w:szCs w:val="20"/>
          <w:lang w:eastAsia="el-GR"/>
        </w:rPr>
      </w:pPr>
      <w:r w:rsidRPr="00266140">
        <w:rPr>
          <w:rFonts w:ascii="Calibri Light" w:eastAsia="Calibri" w:hAnsi="Calibri Light" w:cs="Calibri Light"/>
          <w:szCs w:val="20"/>
          <w:lang w:eastAsia="el-GR"/>
        </w:rPr>
        <w:t xml:space="preserve">Најважнији аспекат је да ће капацитети електрана на лигнит бити задржани и да се неће демонтирати до 2045. године. Старији блокови </w:t>
      </w:r>
      <w:r w:rsidRPr="00266140">
        <w:rPr>
          <w:rFonts w:ascii="Calibri Light" w:eastAsia="Calibri" w:hAnsi="Calibri Light" w:cs="Calibri Light"/>
          <w:szCs w:val="20"/>
          <w:lang w:val="en-GB" w:eastAsia="el-GR"/>
        </w:rPr>
        <w:t>TE</w:t>
      </w:r>
      <w:r w:rsidRPr="00266140">
        <w:rPr>
          <w:rFonts w:ascii="Calibri Light" w:eastAsia="Calibri" w:hAnsi="Calibri Light" w:cs="Calibri Light"/>
          <w:szCs w:val="20"/>
          <w:lang w:eastAsia="el-GR"/>
        </w:rPr>
        <w:t>Н</w:t>
      </w:r>
      <w:r w:rsidRPr="00266140">
        <w:rPr>
          <w:rFonts w:ascii="Calibri Light" w:eastAsia="Calibri" w:hAnsi="Calibri Light" w:cs="Calibri Light"/>
          <w:szCs w:val="20"/>
          <w:lang w:val="en-GB" w:eastAsia="el-GR"/>
        </w:rPr>
        <w:t>TA</w:t>
      </w:r>
      <w:r w:rsidRPr="00C312D6">
        <w:rPr>
          <w:rFonts w:ascii="Calibri Light" w:eastAsia="Calibri" w:hAnsi="Calibri Light" w:cs="Calibri Light"/>
          <w:szCs w:val="20"/>
          <w:lang w:eastAsia="el-GR"/>
        </w:rPr>
        <w:t xml:space="preserve">1, </w:t>
      </w:r>
      <w:r w:rsidRPr="00266140">
        <w:rPr>
          <w:rFonts w:ascii="Calibri Light" w:eastAsia="Calibri" w:hAnsi="Calibri Light" w:cs="Calibri Light"/>
          <w:szCs w:val="20"/>
          <w:lang w:val="en-GB" w:eastAsia="el-GR"/>
        </w:rPr>
        <w:t>TE</w:t>
      </w:r>
      <w:r w:rsidRPr="00266140">
        <w:rPr>
          <w:rFonts w:ascii="Calibri Light" w:eastAsia="Calibri" w:hAnsi="Calibri Light" w:cs="Calibri Light"/>
          <w:szCs w:val="20"/>
          <w:lang w:eastAsia="el-GR"/>
        </w:rPr>
        <w:t>Н</w:t>
      </w:r>
      <w:r w:rsidRPr="00266140">
        <w:rPr>
          <w:rFonts w:ascii="Calibri Light" w:eastAsia="Calibri" w:hAnsi="Calibri Light" w:cs="Calibri Light"/>
          <w:szCs w:val="20"/>
          <w:lang w:val="en-GB" w:eastAsia="el-GR"/>
        </w:rPr>
        <w:t>TA</w:t>
      </w:r>
      <w:r w:rsidRPr="00C312D6">
        <w:rPr>
          <w:rFonts w:ascii="Calibri Light" w:eastAsia="Calibri" w:hAnsi="Calibri Light" w:cs="Calibri Light"/>
          <w:szCs w:val="20"/>
          <w:lang w:eastAsia="el-GR"/>
        </w:rPr>
        <w:t xml:space="preserve">2, </w:t>
      </w:r>
      <w:r w:rsidRPr="00266140">
        <w:rPr>
          <w:rFonts w:ascii="Calibri Light" w:eastAsia="Calibri" w:hAnsi="Calibri Light" w:cs="Calibri Light"/>
          <w:szCs w:val="20"/>
          <w:lang w:val="en-GB" w:eastAsia="el-GR"/>
        </w:rPr>
        <w:t>TEKOA</w:t>
      </w:r>
      <w:r w:rsidRPr="00C312D6">
        <w:rPr>
          <w:rFonts w:ascii="Calibri Light" w:eastAsia="Calibri" w:hAnsi="Calibri Light" w:cs="Calibri Light"/>
          <w:szCs w:val="20"/>
          <w:lang w:eastAsia="el-GR"/>
        </w:rPr>
        <w:t xml:space="preserve">1 </w:t>
      </w:r>
      <w:r w:rsidRPr="00266140">
        <w:rPr>
          <w:rFonts w:ascii="Calibri Light" w:eastAsia="Calibri" w:hAnsi="Calibri Light" w:cs="Calibri Light"/>
          <w:szCs w:val="20"/>
          <w:lang w:eastAsia="el-GR"/>
        </w:rPr>
        <w:t>и</w:t>
      </w:r>
      <w:r w:rsidRPr="00C312D6">
        <w:rPr>
          <w:rFonts w:ascii="Calibri Light" w:eastAsia="Calibri" w:hAnsi="Calibri Light" w:cs="Calibri Light"/>
          <w:szCs w:val="20"/>
          <w:lang w:eastAsia="el-GR"/>
        </w:rPr>
        <w:t xml:space="preserve"> </w:t>
      </w:r>
      <w:r w:rsidRPr="00266140">
        <w:rPr>
          <w:rFonts w:ascii="Calibri Light" w:eastAsia="Calibri" w:hAnsi="Calibri Light" w:cs="Calibri Light"/>
          <w:szCs w:val="20"/>
          <w:lang w:val="en-GB" w:eastAsia="el-GR"/>
        </w:rPr>
        <w:t>TEKOA</w:t>
      </w:r>
      <w:r w:rsidRPr="00C312D6">
        <w:rPr>
          <w:rFonts w:ascii="Calibri Light" w:eastAsia="Calibri" w:hAnsi="Calibri Light" w:cs="Calibri Light"/>
          <w:szCs w:val="20"/>
          <w:lang w:eastAsia="el-GR"/>
        </w:rPr>
        <w:t xml:space="preserve">2 </w:t>
      </w:r>
      <w:r w:rsidRPr="00266140">
        <w:rPr>
          <w:rFonts w:ascii="Calibri Light" w:eastAsia="Calibri" w:hAnsi="Calibri Light" w:cs="Calibri Light"/>
          <w:szCs w:val="20"/>
          <w:lang w:eastAsia="el-GR"/>
        </w:rPr>
        <w:t>ће остати у хладној резерви након 2040. године, док ће блокови</w:t>
      </w:r>
      <w:r w:rsidRPr="00C312D6">
        <w:rPr>
          <w:rFonts w:ascii="Calibri Light" w:eastAsia="Calibri" w:hAnsi="Calibri Light" w:cs="Calibri Light"/>
          <w:szCs w:val="20"/>
          <w:lang w:eastAsia="el-GR"/>
        </w:rPr>
        <w:t xml:space="preserve"> </w:t>
      </w:r>
      <w:r w:rsidRPr="00266140">
        <w:rPr>
          <w:rFonts w:ascii="Calibri Light" w:eastAsia="Calibri" w:hAnsi="Calibri Light" w:cs="Calibri Light"/>
          <w:szCs w:val="20"/>
          <w:lang w:val="en-GB" w:eastAsia="el-GR"/>
        </w:rPr>
        <w:t>TE</w:t>
      </w:r>
      <w:r w:rsidRPr="00266140">
        <w:rPr>
          <w:rFonts w:ascii="Calibri Light" w:eastAsia="Calibri" w:hAnsi="Calibri Light" w:cs="Calibri Light"/>
          <w:szCs w:val="20"/>
          <w:lang w:eastAsia="el-GR"/>
        </w:rPr>
        <w:t>Н</w:t>
      </w:r>
      <w:r w:rsidRPr="00266140">
        <w:rPr>
          <w:rFonts w:ascii="Calibri Light" w:eastAsia="Calibri" w:hAnsi="Calibri Light" w:cs="Calibri Light"/>
          <w:szCs w:val="20"/>
          <w:lang w:val="en-GB" w:eastAsia="el-GR"/>
        </w:rPr>
        <w:t>TA</w:t>
      </w:r>
      <w:r w:rsidRPr="00C312D6">
        <w:rPr>
          <w:rFonts w:ascii="Calibri Light" w:eastAsia="Calibri" w:hAnsi="Calibri Light" w:cs="Calibri Light"/>
          <w:szCs w:val="20"/>
          <w:lang w:eastAsia="el-GR"/>
        </w:rPr>
        <w:t>3-</w:t>
      </w:r>
      <w:r w:rsidRPr="00266140">
        <w:rPr>
          <w:rFonts w:ascii="Calibri Light" w:eastAsia="Calibri" w:hAnsi="Calibri Light" w:cs="Calibri Light"/>
          <w:szCs w:val="20"/>
          <w:lang w:val="en-GB" w:eastAsia="el-GR"/>
        </w:rPr>
        <w:t>A</w:t>
      </w:r>
      <w:r w:rsidRPr="00C312D6">
        <w:rPr>
          <w:rFonts w:ascii="Calibri Light" w:eastAsia="Calibri" w:hAnsi="Calibri Light" w:cs="Calibri Light"/>
          <w:szCs w:val="20"/>
          <w:lang w:eastAsia="el-GR"/>
        </w:rPr>
        <w:t xml:space="preserve">6 </w:t>
      </w:r>
      <w:r w:rsidRPr="00266140">
        <w:rPr>
          <w:rFonts w:ascii="Calibri Light" w:eastAsia="Calibri" w:hAnsi="Calibri Light" w:cs="Calibri Light"/>
          <w:szCs w:val="20"/>
          <w:lang w:eastAsia="el-GR"/>
        </w:rPr>
        <w:t>бити оперативни само током грејне сезоне за покривање потреба даљинског грејања. Нови блок ТЕ Костолац Б</w:t>
      </w:r>
      <w:r w:rsidRPr="00C312D6">
        <w:rPr>
          <w:rFonts w:ascii="Calibri Light" w:eastAsia="Calibri" w:hAnsi="Calibri Light" w:cs="Calibri Light"/>
          <w:szCs w:val="20"/>
          <w:lang w:eastAsia="el-GR"/>
        </w:rPr>
        <w:t xml:space="preserve">3 </w:t>
      </w:r>
      <w:r w:rsidRPr="00266140">
        <w:rPr>
          <w:rFonts w:ascii="Calibri Light" w:eastAsia="Calibri" w:hAnsi="Calibri Light" w:cs="Calibri Light"/>
          <w:szCs w:val="20"/>
          <w:lang w:eastAsia="el-GR"/>
        </w:rPr>
        <w:t>може да ради са високим фактором капацитета а преостали блокови</w:t>
      </w:r>
      <w:r w:rsidRPr="00C312D6">
        <w:rPr>
          <w:rFonts w:ascii="Calibri Light" w:eastAsia="Calibri" w:hAnsi="Calibri Light" w:cs="Calibri Light"/>
          <w:szCs w:val="20"/>
          <w:lang w:eastAsia="el-GR"/>
        </w:rPr>
        <w:t xml:space="preserve"> </w:t>
      </w:r>
      <w:r w:rsidRPr="00266140">
        <w:rPr>
          <w:rFonts w:ascii="Calibri Light" w:eastAsia="Calibri" w:hAnsi="Calibri Light" w:cs="Calibri Light"/>
          <w:szCs w:val="20"/>
          <w:lang w:val="en-GB" w:eastAsia="el-GR"/>
        </w:rPr>
        <w:t>TE</w:t>
      </w:r>
      <w:r w:rsidRPr="00266140">
        <w:rPr>
          <w:rFonts w:ascii="Calibri Light" w:eastAsia="Calibri" w:hAnsi="Calibri Light" w:cs="Calibri Light"/>
          <w:szCs w:val="20"/>
          <w:lang w:eastAsia="el-GR"/>
        </w:rPr>
        <w:t>Н</w:t>
      </w:r>
      <w:r w:rsidRPr="00266140">
        <w:rPr>
          <w:rFonts w:ascii="Calibri Light" w:eastAsia="Calibri" w:hAnsi="Calibri Light" w:cs="Calibri Light"/>
          <w:szCs w:val="20"/>
          <w:lang w:val="en-GB" w:eastAsia="el-GR"/>
        </w:rPr>
        <w:t>T</w:t>
      </w:r>
      <w:r w:rsidRPr="00266140">
        <w:rPr>
          <w:rFonts w:ascii="Calibri Light" w:eastAsia="Calibri" w:hAnsi="Calibri Light" w:cs="Calibri Light"/>
          <w:szCs w:val="20"/>
          <w:lang w:eastAsia="el-GR"/>
        </w:rPr>
        <w:t>Б и</w:t>
      </w:r>
      <w:r w:rsidRPr="00C312D6">
        <w:rPr>
          <w:rFonts w:ascii="Calibri Light" w:eastAsia="Calibri" w:hAnsi="Calibri Light" w:cs="Calibri Light"/>
          <w:szCs w:val="20"/>
          <w:lang w:eastAsia="el-GR"/>
        </w:rPr>
        <w:t xml:space="preserve"> </w:t>
      </w:r>
      <w:r w:rsidRPr="00266140">
        <w:rPr>
          <w:rFonts w:ascii="Calibri Light" w:eastAsia="Calibri" w:hAnsi="Calibri Light" w:cs="Calibri Light"/>
          <w:szCs w:val="20"/>
          <w:lang w:val="en-GB" w:eastAsia="el-GR"/>
        </w:rPr>
        <w:t>TEKO</w:t>
      </w:r>
      <w:r w:rsidRPr="00266140">
        <w:rPr>
          <w:rFonts w:ascii="Calibri Light" w:eastAsia="Calibri" w:hAnsi="Calibri Light" w:cs="Calibri Light"/>
          <w:szCs w:val="20"/>
          <w:lang w:eastAsia="el-GR"/>
        </w:rPr>
        <w:t xml:space="preserve">Б раде на техничком минимуму 2045. године. Неки капацитети остају као резерве у систему до 2050. године, али више не производе електричну енергију. Мора се напоменути да овај приступ не представља </w:t>
      </w:r>
      <w:r w:rsidRPr="00266140">
        <w:rPr>
          <w:rFonts w:ascii="Calibri Light" w:eastAsia="Calibri" w:hAnsi="Calibri Light" w:cs="Calibri Light"/>
          <w:b/>
          <w:bCs/>
          <w:szCs w:val="20"/>
          <w:lang w:eastAsia="el-GR"/>
        </w:rPr>
        <w:t>конфигурацију најмањег трошка</w:t>
      </w:r>
      <w:r w:rsidRPr="00266140">
        <w:rPr>
          <w:rFonts w:ascii="Calibri Light" w:eastAsia="Calibri" w:hAnsi="Calibri Light" w:cs="Calibri Light"/>
          <w:szCs w:val="20"/>
          <w:lang w:eastAsia="el-GR"/>
        </w:rPr>
        <w:t>, већ само конфигурацију која покрива ризике повезане са несигурностима сектора енергетике на међународном нивоу.</w:t>
      </w:r>
    </w:p>
    <w:p w14:paraId="5E361A6E" w14:textId="2943538A" w:rsidR="003D104C" w:rsidRDefault="003D104C" w:rsidP="00565B02">
      <w:pPr>
        <w:pStyle w:val="Caption"/>
        <w:keepNext/>
      </w:pPr>
      <w:bookmarkStart w:id="491" w:name="_Toc153901491"/>
      <w:r>
        <w:t xml:space="preserve">Табела </w:t>
      </w:r>
      <w:r w:rsidR="00873C40">
        <w:fldChar w:fldCharType="begin"/>
      </w:r>
      <w:r w:rsidR="00873C40">
        <w:instrText xml:space="preserve"> STYLEREF 1 \s </w:instrText>
      </w:r>
      <w:r w:rsidR="00873C40">
        <w:fldChar w:fldCharType="separate"/>
      </w:r>
      <w:r w:rsidR="00873C40">
        <w:rPr>
          <w:noProof/>
        </w:rPr>
        <w:t>II</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5</w:t>
      </w:r>
      <w:r w:rsidR="00873C40">
        <w:fldChar w:fldCharType="end"/>
      </w:r>
      <w:r w:rsidRPr="003D104C">
        <w:t>: Капацитети уз разматрање сигурности снабдевања</w:t>
      </w:r>
      <w:bookmarkEnd w:id="491"/>
    </w:p>
    <w:tbl>
      <w:tblPr>
        <w:tblW w:w="91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3"/>
        <w:gridCol w:w="1289"/>
        <w:gridCol w:w="1289"/>
        <w:gridCol w:w="1289"/>
        <w:gridCol w:w="1176"/>
        <w:gridCol w:w="1176"/>
        <w:gridCol w:w="1176"/>
      </w:tblGrid>
      <w:tr w:rsidR="00266140" w:rsidRPr="00266140" w14:paraId="5CDDC04B" w14:textId="77777777" w:rsidTr="00565B02">
        <w:trPr>
          <w:trHeight w:val="20"/>
          <w:tblHeader/>
          <w:jc w:val="center"/>
        </w:trPr>
        <w:tc>
          <w:tcPr>
            <w:tcW w:w="1753"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59A2904F" w14:textId="77777777" w:rsidR="00266140" w:rsidRPr="00266140" w:rsidRDefault="00266140" w:rsidP="00266140">
            <w:pPr>
              <w:spacing w:line="276" w:lineRule="auto"/>
              <w:jc w:val="center"/>
              <w:rPr>
                <w:rFonts w:ascii="Calibri" w:eastAsia="Calibri" w:hAnsi="Calibri" w:cs="Calibri"/>
                <w:b/>
                <w:bCs/>
                <w:color w:val="FFFFFF"/>
                <w:sz w:val="20"/>
                <w:szCs w:val="20"/>
                <w:lang w:val="en-US"/>
              </w:rPr>
            </w:pPr>
            <w:r w:rsidRPr="00266140">
              <w:rPr>
                <w:rFonts w:ascii="Calibri" w:eastAsia="Calibri" w:hAnsi="Calibri" w:cs="Calibri"/>
                <w:b/>
                <w:bCs/>
                <w:color w:val="FFFFFF"/>
                <w:sz w:val="20"/>
                <w:szCs w:val="20"/>
              </w:rPr>
              <w:t xml:space="preserve">Капацитети у </w:t>
            </w:r>
            <w:r w:rsidRPr="00266140">
              <w:rPr>
                <w:rFonts w:ascii="Calibri" w:eastAsia="Calibri" w:hAnsi="Calibri" w:cs="Calibri"/>
                <w:b/>
                <w:bCs/>
                <w:color w:val="FFFFFF"/>
                <w:sz w:val="20"/>
                <w:szCs w:val="20"/>
                <w:lang w:val="en-US"/>
              </w:rPr>
              <w:t>MW</w:t>
            </w:r>
          </w:p>
        </w:tc>
        <w:tc>
          <w:tcPr>
            <w:tcW w:w="128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4C8714FE" w14:textId="77777777" w:rsidR="00266140" w:rsidRPr="00266140" w:rsidRDefault="00266140" w:rsidP="00266140">
            <w:pPr>
              <w:spacing w:line="276" w:lineRule="auto"/>
              <w:jc w:val="center"/>
              <w:rPr>
                <w:rFonts w:ascii="Calibri" w:eastAsia="Calibri" w:hAnsi="Calibri" w:cs="Calibri"/>
                <w:b/>
                <w:bCs/>
                <w:color w:val="FFFFFF"/>
                <w:sz w:val="20"/>
                <w:szCs w:val="20"/>
                <w:lang w:val="en-US"/>
              </w:rPr>
            </w:pPr>
            <w:r w:rsidRPr="00266140">
              <w:rPr>
                <w:rFonts w:ascii="Calibri" w:eastAsia="Calibri" w:hAnsi="Calibri" w:cs="Calibri"/>
                <w:color w:val="FFFFFF"/>
                <w:sz w:val="20"/>
                <w:szCs w:val="20"/>
                <w:lang w:val="en-US"/>
              </w:rPr>
              <w:t>2025</w:t>
            </w:r>
          </w:p>
        </w:tc>
        <w:tc>
          <w:tcPr>
            <w:tcW w:w="128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753D3C7F" w14:textId="77777777" w:rsidR="00266140" w:rsidRPr="00266140" w:rsidRDefault="00266140" w:rsidP="00266140">
            <w:pPr>
              <w:spacing w:line="276" w:lineRule="auto"/>
              <w:jc w:val="center"/>
              <w:rPr>
                <w:rFonts w:ascii="Calibri" w:eastAsia="Calibri" w:hAnsi="Calibri" w:cs="Calibri"/>
                <w:b/>
                <w:bCs/>
                <w:color w:val="FFFFFF"/>
                <w:sz w:val="20"/>
                <w:szCs w:val="20"/>
                <w:lang w:val="en-US"/>
              </w:rPr>
            </w:pPr>
            <w:r w:rsidRPr="00266140">
              <w:rPr>
                <w:rFonts w:ascii="Calibri" w:eastAsia="Calibri" w:hAnsi="Calibri" w:cs="Calibri"/>
                <w:color w:val="FFFFFF"/>
                <w:sz w:val="20"/>
                <w:szCs w:val="20"/>
                <w:lang w:val="en-US"/>
              </w:rPr>
              <w:t>2030</w:t>
            </w:r>
          </w:p>
        </w:tc>
        <w:tc>
          <w:tcPr>
            <w:tcW w:w="128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4946C760" w14:textId="77777777" w:rsidR="00266140" w:rsidRPr="00266140" w:rsidRDefault="00266140" w:rsidP="00266140">
            <w:pPr>
              <w:spacing w:line="276" w:lineRule="auto"/>
              <w:jc w:val="center"/>
              <w:rPr>
                <w:rFonts w:ascii="Calibri" w:eastAsia="Calibri" w:hAnsi="Calibri" w:cs="Calibri"/>
                <w:b/>
                <w:bCs/>
                <w:color w:val="FFFFFF"/>
                <w:sz w:val="20"/>
                <w:szCs w:val="20"/>
                <w:lang w:val="en-US"/>
              </w:rPr>
            </w:pPr>
            <w:r w:rsidRPr="00266140">
              <w:rPr>
                <w:rFonts w:ascii="Calibri" w:eastAsia="Calibri" w:hAnsi="Calibri" w:cs="Calibri"/>
                <w:color w:val="FFFFFF"/>
                <w:sz w:val="20"/>
                <w:szCs w:val="20"/>
                <w:lang w:val="en-US"/>
              </w:rPr>
              <w:t>2035</w:t>
            </w:r>
          </w:p>
        </w:tc>
        <w:tc>
          <w:tcPr>
            <w:tcW w:w="1176"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3B5B95CD" w14:textId="77777777" w:rsidR="00266140" w:rsidRPr="00266140" w:rsidRDefault="00266140" w:rsidP="00266140">
            <w:pPr>
              <w:spacing w:line="276" w:lineRule="auto"/>
              <w:jc w:val="center"/>
              <w:rPr>
                <w:rFonts w:ascii="Calibri" w:eastAsia="Calibri" w:hAnsi="Calibri" w:cs="Calibri"/>
                <w:b/>
                <w:bCs/>
                <w:color w:val="FFFFFF"/>
                <w:sz w:val="20"/>
                <w:szCs w:val="20"/>
                <w:lang w:val="en-US"/>
              </w:rPr>
            </w:pPr>
            <w:r w:rsidRPr="00266140">
              <w:rPr>
                <w:rFonts w:ascii="Calibri" w:eastAsia="Calibri" w:hAnsi="Calibri" w:cs="Calibri"/>
                <w:color w:val="FFFFFF"/>
                <w:sz w:val="20"/>
                <w:szCs w:val="20"/>
                <w:lang w:val="en-US"/>
              </w:rPr>
              <w:t>2040</w:t>
            </w:r>
          </w:p>
        </w:tc>
        <w:tc>
          <w:tcPr>
            <w:tcW w:w="1176"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438EB0D7" w14:textId="77777777" w:rsidR="00266140" w:rsidRPr="00266140" w:rsidRDefault="00266140" w:rsidP="00266140">
            <w:pPr>
              <w:spacing w:line="276" w:lineRule="auto"/>
              <w:jc w:val="center"/>
              <w:rPr>
                <w:rFonts w:ascii="Calibri" w:eastAsia="Calibri" w:hAnsi="Calibri" w:cs="Calibri"/>
                <w:b/>
                <w:bCs/>
                <w:color w:val="FFFFFF"/>
                <w:sz w:val="20"/>
                <w:szCs w:val="20"/>
                <w:lang w:val="en-US"/>
              </w:rPr>
            </w:pPr>
            <w:r w:rsidRPr="00266140">
              <w:rPr>
                <w:rFonts w:ascii="Calibri" w:eastAsia="Calibri" w:hAnsi="Calibri" w:cs="Calibri"/>
                <w:color w:val="FFFFFF"/>
                <w:sz w:val="20"/>
                <w:szCs w:val="20"/>
                <w:lang w:val="en-US"/>
              </w:rPr>
              <w:t>2045</w:t>
            </w:r>
          </w:p>
        </w:tc>
        <w:tc>
          <w:tcPr>
            <w:tcW w:w="1176"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5422FA00" w14:textId="77777777" w:rsidR="00266140" w:rsidRPr="00266140" w:rsidRDefault="00266140" w:rsidP="00266140">
            <w:pPr>
              <w:spacing w:line="276" w:lineRule="auto"/>
              <w:jc w:val="center"/>
              <w:rPr>
                <w:rFonts w:ascii="Calibri" w:eastAsia="Calibri" w:hAnsi="Calibri" w:cs="Calibri"/>
                <w:b/>
                <w:bCs/>
                <w:color w:val="FFFFFF"/>
                <w:sz w:val="20"/>
                <w:szCs w:val="20"/>
                <w:lang w:val="en-US"/>
              </w:rPr>
            </w:pPr>
            <w:r w:rsidRPr="00266140">
              <w:rPr>
                <w:rFonts w:ascii="Calibri" w:eastAsia="Calibri" w:hAnsi="Calibri" w:cs="Calibri"/>
                <w:color w:val="FFFFFF"/>
                <w:sz w:val="20"/>
                <w:szCs w:val="20"/>
                <w:lang w:val="en-US"/>
              </w:rPr>
              <w:t>2050</w:t>
            </w:r>
          </w:p>
        </w:tc>
      </w:tr>
      <w:tr w:rsidR="00266140" w:rsidRPr="00266140" w14:paraId="20414D73" w14:textId="77777777" w:rsidTr="00565B02">
        <w:trPr>
          <w:trHeight w:val="20"/>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4226E579" w14:textId="77777777" w:rsidR="00266140" w:rsidRPr="00565B02" w:rsidRDefault="00266140" w:rsidP="00266140">
            <w:pPr>
              <w:spacing w:line="276" w:lineRule="auto"/>
              <w:rPr>
                <w:rFonts w:ascii="Calibri" w:eastAsia="Calibri" w:hAnsi="Calibri" w:cs="Calibri"/>
                <w:color w:val="000000"/>
                <w:sz w:val="20"/>
                <w:szCs w:val="20"/>
              </w:rPr>
            </w:pPr>
            <w:r w:rsidRPr="00565B02">
              <w:rPr>
                <w:rFonts w:ascii="Calibri" w:eastAsia="Calibri" w:hAnsi="Calibri" w:cs="Calibri"/>
                <w:color w:val="000000"/>
                <w:sz w:val="20"/>
                <w:szCs w:val="20"/>
              </w:rPr>
              <w:t>Тесла A1</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693E1FD5"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191</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0F581628"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191</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4156C5F6"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191</w:t>
            </w:r>
          </w:p>
        </w:tc>
        <w:tc>
          <w:tcPr>
            <w:tcW w:w="1176" w:type="dxa"/>
            <w:tcBorders>
              <w:top w:val="single" w:sz="4" w:space="0" w:color="auto"/>
              <w:left w:val="single" w:sz="4" w:space="0" w:color="auto"/>
              <w:bottom w:val="single" w:sz="4" w:space="0" w:color="auto"/>
              <w:right w:val="single" w:sz="4" w:space="0" w:color="auto"/>
            </w:tcBorders>
            <w:vAlign w:val="center"/>
            <w:hideMark/>
          </w:tcPr>
          <w:p w14:paraId="38F54882"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191</w:t>
            </w:r>
          </w:p>
        </w:tc>
        <w:tc>
          <w:tcPr>
            <w:tcW w:w="1176" w:type="dxa"/>
            <w:tcBorders>
              <w:top w:val="single" w:sz="4" w:space="0" w:color="auto"/>
              <w:left w:val="single" w:sz="4" w:space="0" w:color="auto"/>
              <w:bottom w:val="single" w:sz="4" w:space="0" w:color="auto"/>
              <w:right w:val="single" w:sz="4" w:space="0" w:color="auto"/>
            </w:tcBorders>
            <w:vAlign w:val="center"/>
            <w:hideMark/>
          </w:tcPr>
          <w:p w14:paraId="34EB6A69"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191</w:t>
            </w:r>
          </w:p>
        </w:tc>
        <w:tc>
          <w:tcPr>
            <w:tcW w:w="1176" w:type="dxa"/>
            <w:tcBorders>
              <w:top w:val="single" w:sz="4" w:space="0" w:color="auto"/>
              <w:left w:val="single" w:sz="4" w:space="0" w:color="auto"/>
              <w:bottom w:val="single" w:sz="4" w:space="0" w:color="auto"/>
              <w:right w:val="single" w:sz="4" w:space="0" w:color="auto"/>
            </w:tcBorders>
            <w:vAlign w:val="center"/>
          </w:tcPr>
          <w:p w14:paraId="465E070D" w14:textId="77777777" w:rsidR="00266140" w:rsidRPr="00266140" w:rsidRDefault="00266140" w:rsidP="00266140">
            <w:pPr>
              <w:spacing w:line="276" w:lineRule="auto"/>
              <w:jc w:val="center"/>
              <w:rPr>
                <w:rFonts w:ascii="Calibri" w:eastAsia="Calibri" w:hAnsi="Calibri" w:cs="Calibri"/>
                <w:sz w:val="20"/>
                <w:szCs w:val="20"/>
                <w:lang w:val="en-US"/>
              </w:rPr>
            </w:pPr>
          </w:p>
        </w:tc>
      </w:tr>
      <w:tr w:rsidR="00266140" w:rsidRPr="00266140" w14:paraId="4F5D912C" w14:textId="77777777" w:rsidTr="00565B02">
        <w:trPr>
          <w:trHeight w:val="20"/>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0444F273" w14:textId="77777777" w:rsidR="00266140" w:rsidRPr="00565B02" w:rsidRDefault="00266140" w:rsidP="00266140">
            <w:pPr>
              <w:spacing w:line="276" w:lineRule="auto"/>
              <w:rPr>
                <w:rFonts w:ascii="Calibri" w:eastAsia="Calibri" w:hAnsi="Calibri" w:cs="Calibri"/>
                <w:color w:val="000000"/>
                <w:sz w:val="20"/>
                <w:szCs w:val="20"/>
              </w:rPr>
            </w:pPr>
            <w:r w:rsidRPr="00565B02">
              <w:rPr>
                <w:rFonts w:ascii="Calibri" w:eastAsia="Calibri" w:hAnsi="Calibri" w:cs="Calibri"/>
                <w:color w:val="000000"/>
                <w:sz w:val="20"/>
                <w:szCs w:val="20"/>
              </w:rPr>
              <w:t>Тесла A2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415C5B2"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191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24E260A"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191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B162871"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191</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1C1A7CF3"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191</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3F384088"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191</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tcPr>
          <w:p w14:paraId="6C107B78" w14:textId="77777777" w:rsidR="00266140" w:rsidRPr="00266140" w:rsidRDefault="00266140" w:rsidP="00266140">
            <w:pPr>
              <w:spacing w:line="276" w:lineRule="auto"/>
              <w:jc w:val="center"/>
              <w:rPr>
                <w:rFonts w:ascii="Calibri" w:eastAsia="Calibri" w:hAnsi="Calibri" w:cs="Calibri"/>
                <w:sz w:val="20"/>
                <w:szCs w:val="20"/>
                <w:lang w:val="en-US"/>
              </w:rPr>
            </w:pPr>
          </w:p>
        </w:tc>
      </w:tr>
      <w:tr w:rsidR="00266140" w:rsidRPr="00266140" w14:paraId="3A889D31" w14:textId="77777777" w:rsidTr="00565B02">
        <w:trPr>
          <w:trHeight w:val="20"/>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53971216" w14:textId="77777777" w:rsidR="00266140" w:rsidRPr="00565B02" w:rsidRDefault="00266140" w:rsidP="00266140">
            <w:pPr>
              <w:spacing w:line="276" w:lineRule="auto"/>
              <w:rPr>
                <w:rFonts w:ascii="Calibri" w:eastAsia="Calibri" w:hAnsi="Calibri" w:cs="Calibri"/>
                <w:color w:val="000000"/>
                <w:sz w:val="20"/>
                <w:szCs w:val="20"/>
              </w:rPr>
            </w:pPr>
            <w:r w:rsidRPr="00565B02">
              <w:rPr>
                <w:rFonts w:ascii="Calibri" w:eastAsia="Calibri" w:hAnsi="Calibri" w:cs="Calibri"/>
                <w:color w:val="000000"/>
                <w:sz w:val="20"/>
                <w:szCs w:val="20"/>
              </w:rPr>
              <w:t>Тесла A3</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659DAC4F"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305</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6CE83620"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305</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23716B41"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305</w:t>
            </w:r>
          </w:p>
        </w:tc>
        <w:tc>
          <w:tcPr>
            <w:tcW w:w="1176" w:type="dxa"/>
            <w:tcBorders>
              <w:top w:val="single" w:sz="4" w:space="0" w:color="auto"/>
              <w:left w:val="single" w:sz="4" w:space="0" w:color="auto"/>
              <w:bottom w:val="single" w:sz="4" w:space="0" w:color="auto"/>
              <w:right w:val="single" w:sz="4" w:space="0" w:color="auto"/>
            </w:tcBorders>
            <w:vAlign w:val="center"/>
            <w:hideMark/>
          </w:tcPr>
          <w:p w14:paraId="512C5961"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305</w:t>
            </w:r>
          </w:p>
        </w:tc>
        <w:tc>
          <w:tcPr>
            <w:tcW w:w="1176" w:type="dxa"/>
            <w:tcBorders>
              <w:top w:val="single" w:sz="4" w:space="0" w:color="auto"/>
              <w:left w:val="single" w:sz="4" w:space="0" w:color="auto"/>
              <w:bottom w:val="single" w:sz="4" w:space="0" w:color="auto"/>
              <w:right w:val="single" w:sz="4" w:space="0" w:color="auto"/>
            </w:tcBorders>
            <w:vAlign w:val="center"/>
            <w:hideMark/>
          </w:tcPr>
          <w:p w14:paraId="2D6DC3FE"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305</w:t>
            </w:r>
          </w:p>
        </w:tc>
        <w:tc>
          <w:tcPr>
            <w:tcW w:w="1176" w:type="dxa"/>
            <w:tcBorders>
              <w:top w:val="single" w:sz="4" w:space="0" w:color="auto"/>
              <w:left w:val="single" w:sz="4" w:space="0" w:color="auto"/>
              <w:bottom w:val="single" w:sz="4" w:space="0" w:color="auto"/>
              <w:right w:val="single" w:sz="4" w:space="0" w:color="auto"/>
            </w:tcBorders>
            <w:vAlign w:val="center"/>
          </w:tcPr>
          <w:p w14:paraId="6704B45F" w14:textId="77777777" w:rsidR="00266140" w:rsidRPr="00266140" w:rsidRDefault="00266140" w:rsidP="00266140">
            <w:pPr>
              <w:spacing w:line="276" w:lineRule="auto"/>
              <w:jc w:val="center"/>
              <w:rPr>
                <w:rFonts w:ascii="Calibri" w:eastAsia="Calibri" w:hAnsi="Calibri" w:cs="Calibri"/>
                <w:sz w:val="20"/>
                <w:szCs w:val="20"/>
                <w:lang w:val="en-US"/>
              </w:rPr>
            </w:pPr>
          </w:p>
        </w:tc>
      </w:tr>
      <w:tr w:rsidR="00266140" w:rsidRPr="00266140" w14:paraId="15230F05" w14:textId="77777777" w:rsidTr="00565B02">
        <w:trPr>
          <w:trHeight w:val="20"/>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2603443C" w14:textId="77777777"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Тесла A4</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65D66B2"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305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8399DA5"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305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5619AC2"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305</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4C7AD9D2"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305</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00322DC"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305</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tcPr>
          <w:p w14:paraId="335D1608" w14:textId="77777777" w:rsidR="00266140" w:rsidRPr="00266140" w:rsidRDefault="00266140" w:rsidP="00266140">
            <w:pPr>
              <w:spacing w:line="276" w:lineRule="auto"/>
              <w:jc w:val="center"/>
              <w:rPr>
                <w:rFonts w:ascii="Calibri" w:eastAsia="Calibri" w:hAnsi="Calibri" w:cs="Calibri"/>
                <w:sz w:val="20"/>
                <w:szCs w:val="20"/>
                <w:lang w:val="en-US"/>
              </w:rPr>
            </w:pPr>
          </w:p>
        </w:tc>
      </w:tr>
      <w:tr w:rsidR="00266140" w:rsidRPr="00266140" w14:paraId="25085EE9" w14:textId="77777777" w:rsidTr="00565B02">
        <w:trPr>
          <w:trHeight w:val="20"/>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7D03EBAF" w14:textId="77777777"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Тесла A5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A75939C"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310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BAC850A"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310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478A169"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310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72D4E546"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310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6C6CAE1B"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310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tcPr>
          <w:p w14:paraId="20602F6E" w14:textId="77777777" w:rsidR="00266140" w:rsidRPr="00266140" w:rsidRDefault="00266140" w:rsidP="00266140">
            <w:pPr>
              <w:spacing w:line="276" w:lineRule="auto"/>
              <w:jc w:val="center"/>
              <w:rPr>
                <w:rFonts w:ascii="Calibri" w:eastAsia="Calibri" w:hAnsi="Calibri" w:cs="Calibri"/>
                <w:sz w:val="20"/>
                <w:szCs w:val="20"/>
                <w:lang w:val="en-US"/>
              </w:rPr>
            </w:pPr>
          </w:p>
        </w:tc>
      </w:tr>
      <w:tr w:rsidR="00266140" w:rsidRPr="00266140" w14:paraId="066C7851" w14:textId="77777777" w:rsidTr="00565B02">
        <w:trPr>
          <w:trHeight w:val="20"/>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4D2DE337" w14:textId="77777777"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Тесла A6</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4729543"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320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AD514D6"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320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B8D4C5B"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320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46B70737"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320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769C9FBF"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320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tcPr>
          <w:p w14:paraId="71A94943" w14:textId="77777777" w:rsidR="00266140" w:rsidRPr="00266140" w:rsidRDefault="00266140" w:rsidP="00266140">
            <w:pPr>
              <w:spacing w:line="276" w:lineRule="auto"/>
              <w:jc w:val="center"/>
              <w:rPr>
                <w:rFonts w:ascii="Calibri" w:eastAsia="Calibri" w:hAnsi="Calibri" w:cs="Calibri"/>
                <w:sz w:val="20"/>
                <w:szCs w:val="20"/>
                <w:lang w:val="en-US"/>
              </w:rPr>
            </w:pPr>
          </w:p>
        </w:tc>
      </w:tr>
      <w:tr w:rsidR="00266140" w:rsidRPr="00266140" w14:paraId="1852BA71" w14:textId="77777777" w:rsidTr="00565B02">
        <w:trPr>
          <w:trHeight w:val="20"/>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0A508156" w14:textId="77777777"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Тесла B1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D7E85C6"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610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9DEEC5A"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610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81DEFFE"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610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3F8CBF10"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610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158A8FD9"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610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tcPr>
          <w:p w14:paraId="7FBD32CC" w14:textId="77777777" w:rsidR="00266140" w:rsidRPr="00266140" w:rsidRDefault="00266140" w:rsidP="00266140">
            <w:pPr>
              <w:spacing w:line="276" w:lineRule="auto"/>
              <w:jc w:val="center"/>
              <w:rPr>
                <w:rFonts w:ascii="Calibri" w:eastAsia="Calibri" w:hAnsi="Calibri" w:cs="Calibri"/>
                <w:sz w:val="20"/>
                <w:szCs w:val="20"/>
                <w:lang w:val="en-US"/>
              </w:rPr>
            </w:pPr>
          </w:p>
        </w:tc>
      </w:tr>
      <w:tr w:rsidR="00266140" w:rsidRPr="00266140" w14:paraId="65D95B60" w14:textId="77777777" w:rsidTr="00565B02">
        <w:trPr>
          <w:trHeight w:val="20"/>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38C73E1E" w14:textId="77777777"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Тесла B2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EA6E029"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610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2F267DF"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610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887D431"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610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6DE43124"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610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663E2E02"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610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7A77ED59"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610</w:t>
            </w:r>
          </w:p>
        </w:tc>
      </w:tr>
      <w:tr w:rsidR="00266140" w:rsidRPr="00266140" w14:paraId="4C0863D0" w14:textId="77777777" w:rsidTr="00565B02">
        <w:trPr>
          <w:trHeight w:val="20"/>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5E936F61" w14:textId="1C7D7389" w:rsidR="00266140" w:rsidRPr="00565B02" w:rsidRDefault="003D0AC8"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Колубара</w:t>
            </w:r>
            <w:r w:rsidR="00266140" w:rsidRPr="00565B02">
              <w:rPr>
                <w:rFonts w:ascii="Calibri" w:eastAsia="Calibri" w:hAnsi="Calibri" w:cs="Calibri"/>
                <w:color w:val="000000"/>
                <w:sz w:val="20"/>
                <w:szCs w:val="20"/>
              </w:rPr>
              <w:t xml:space="preserve"> A3</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924BF98"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58</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71D6FE83" w14:textId="77777777" w:rsidR="00266140" w:rsidRPr="00266140" w:rsidRDefault="00266140" w:rsidP="00266140">
            <w:pPr>
              <w:spacing w:line="276" w:lineRule="auto"/>
              <w:jc w:val="center"/>
              <w:rPr>
                <w:rFonts w:ascii="Calibri" w:eastAsia="Calibri" w:hAnsi="Calibri" w:cs="Calibri"/>
                <w:sz w:val="20"/>
                <w:szCs w:val="20"/>
                <w:lang w:val="en-US"/>
              </w:rPr>
            </w:pP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5FEECEB1" w14:textId="77777777" w:rsidR="00266140" w:rsidRPr="00266140" w:rsidRDefault="00266140" w:rsidP="00266140">
            <w:pPr>
              <w:spacing w:line="276" w:lineRule="auto"/>
              <w:jc w:val="center"/>
              <w:rPr>
                <w:rFonts w:ascii="Calibri" w:eastAsia="Calibri" w:hAnsi="Calibri" w:cs="Calibri"/>
                <w:sz w:val="20"/>
                <w:szCs w:val="20"/>
                <w:lang w:val="en-US"/>
              </w:rPr>
            </w:pP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tcPr>
          <w:p w14:paraId="677C33BD" w14:textId="77777777" w:rsidR="00266140" w:rsidRPr="00266140" w:rsidRDefault="00266140" w:rsidP="00266140">
            <w:pPr>
              <w:spacing w:line="276" w:lineRule="auto"/>
              <w:jc w:val="center"/>
              <w:rPr>
                <w:rFonts w:ascii="Calibri" w:eastAsia="Calibri" w:hAnsi="Calibri" w:cs="Calibri"/>
                <w:sz w:val="20"/>
                <w:szCs w:val="20"/>
                <w:lang w:val="en-US"/>
              </w:rPr>
            </w:pP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tcPr>
          <w:p w14:paraId="22D9D8E4" w14:textId="77777777" w:rsidR="00266140" w:rsidRPr="00266140" w:rsidRDefault="00266140" w:rsidP="00266140">
            <w:pPr>
              <w:spacing w:line="276" w:lineRule="auto"/>
              <w:jc w:val="center"/>
              <w:rPr>
                <w:rFonts w:ascii="Calibri" w:eastAsia="Calibri" w:hAnsi="Calibri" w:cs="Calibri"/>
                <w:sz w:val="20"/>
                <w:szCs w:val="20"/>
                <w:lang w:val="en-US"/>
              </w:rPr>
            </w:pP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tcPr>
          <w:p w14:paraId="1A6266A4" w14:textId="77777777" w:rsidR="00266140" w:rsidRPr="00266140" w:rsidRDefault="00266140" w:rsidP="00266140">
            <w:pPr>
              <w:spacing w:line="276" w:lineRule="auto"/>
              <w:jc w:val="center"/>
              <w:rPr>
                <w:rFonts w:ascii="Calibri" w:eastAsia="Calibri" w:hAnsi="Calibri" w:cs="Calibri"/>
                <w:sz w:val="20"/>
                <w:szCs w:val="20"/>
                <w:lang w:val="en-US"/>
              </w:rPr>
            </w:pPr>
          </w:p>
        </w:tc>
      </w:tr>
      <w:tr w:rsidR="00266140" w:rsidRPr="00266140" w14:paraId="5B336E4A" w14:textId="77777777" w:rsidTr="00565B02">
        <w:trPr>
          <w:trHeight w:val="20"/>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78EA1247" w14:textId="13C5FFA0" w:rsidR="00266140" w:rsidRPr="00565B02" w:rsidRDefault="003D0AC8"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Колубара</w:t>
            </w:r>
            <w:r w:rsidR="00266140" w:rsidRPr="00565B02">
              <w:rPr>
                <w:rFonts w:ascii="Calibri" w:eastAsia="Calibri" w:hAnsi="Calibri" w:cs="Calibri"/>
                <w:color w:val="000000"/>
                <w:sz w:val="20"/>
                <w:szCs w:val="20"/>
              </w:rPr>
              <w:t xml:space="preserve"> A5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6CC2754"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100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210D8CF8" w14:textId="77777777" w:rsidR="00266140" w:rsidRPr="00266140" w:rsidRDefault="00266140" w:rsidP="00266140">
            <w:pPr>
              <w:spacing w:line="276" w:lineRule="auto"/>
              <w:jc w:val="center"/>
              <w:rPr>
                <w:rFonts w:ascii="Calibri" w:eastAsia="Calibri" w:hAnsi="Calibri" w:cs="Calibri"/>
                <w:sz w:val="20"/>
                <w:szCs w:val="20"/>
                <w:lang w:val="en-US"/>
              </w:rPr>
            </w:pP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1FE5DC90" w14:textId="77777777" w:rsidR="00266140" w:rsidRPr="00266140" w:rsidRDefault="00266140" w:rsidP="00266140">
            <w:pPr>
              <w:spacing w:line="276" w:lineRule="auto"/>
              <w:jc w:val="center"/>
              <w:rPr>
                <w:rFonts w:ascii="Calibri" w:eastAsia="Calibri" w:hAnsi="Calibri" w:cs="Calibri"/>
                <w:sz w:val="20"/>
                <w:szCs w:val="20"/>
                <w:lang w:val="en-US"/>
              </w:rPr>
            </w:pP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tcPr>
          <w:p w14:paraId="504B4B51" w14:textId="77777777" w:rsidR="00266140" w:rsidRPr="00266140" w:rsidRDefault="00266140" w:rsidP="00266140">
            <w:pPr>
              <w:spacing w:line="276" w:lineRule="auto"/>
              <w:jc w:val="center"/>
              <w:rPr>
                <w:rFonts w:ascii="Calibri" w:eastAsia="Calibri" w:hAnsi="Calibri" w:cs="Calibri"/>
                <w:sz w:val="20"/>
                <w:szCs w:val="20"/>
                <w:lang w:val="en-US"/>
              </w:rPr>
            </w:pP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tcPr>
          <w:p w14:paraId="73953572" w14:textId="77777777" w:rsidR="00266140" w:rsidRPr="00266140" w:rsidRDefault="00266140" w:rsidP="00266140">
            <w:pPr>
              <w:spacing w:line="276" w:lineRule="auto"/>
              <w:jc w:val="center"/>
              <w:rPr>
                <w:rFonts w:ascii="Calibri" w:eastAsia="Calibri" w:hAnsi="Calibri" w:cs="Calibri"/>
                <w:sz w:val="20"/>
                <w:szCs w:val="20"/>
                <w:lang w:val="en-US"/>
              </w:rPr>
            </w:pP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tcPr>
          <w:p w14:paraId="3E303A25" w14:textId="77777777" w:rsidR="00266140" w:rsidRPr="00266140" w:rsidRDefault="00266140" w:rsidP="00266140">
            <w:pPr>
              <w:spacing w:line="276" w:lineRule="auto"/>
              <w:jc w:val="center"/>
              <w:rPr>
                <w:rFonts w:ascii="Calibri" w:eastAsia="Calibri" w:hAnsi="Calibri" w:cs="Calibri"/>
                <w:sz w:val="20"/>
                <w:szCs w:val="20"/>
                <w:lang w:val="en-US"/>
              </w:rPr>
            </w:pPr>
          </w:p>
        </w:tc>
      </w:tr>
      <w:tr w:rsidR="00266140" w:rsidRPr="00266140" w14:paraId="6C1CA20D" w14:textId="77777777" w:rsidTr="00565B02">
        <w:trPr>
          <w:trHeight w:val="20"/>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5F1AE658" w14:textId="53278EF5"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lastRenderedPageBreak/>
              <w:t>Костолац</w:t>
            </w:r>
            <w:r w:rsidR="003D0AC8" w:rsidRPr="008E401C">
              <w:rPr>
                <w:rFonts w:ascii="Calibri" w:eastAsia="Calibri" w:hAnsi="Calibri" w:cs="Calibri"/>
                <w:color w:val="000000"/>
                <w:sz w:val="20"/>
                <w:szCs w:val="20"/>
              </w:rPr>
              <w:t xml:space="preserve"> </w:t>
            </w:r>
            <w:r w:rsidRPr="00565B02">
              <w:rPr>
                <w:rFonts w:ascii="Calibri" w:eastAsia="Calibri" w:hAnsi="Calibri" w:cs="Calibri"/>
                <w:color w:val="000000"/>
                <w:sz w:val="20"/>
                <w:szCs w:val="20"/>
              </w:rPr>
              <w:t>A1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603B987"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90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7F137AC"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90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BF1B432"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90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029AE5F8"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90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0B74FBB1"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90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tcPr>
          <w:p w14:paraId="21E8694E" w14:textId="77777777" w:rsidR="00266140" w:rsidRPr="00266140" w:rsidRDefault="00266140" w:rsidP="00266140">
            <w:pPr>
              <w:spacing w:line="276" w:lineRule="auto"/>
              <w:jc w:val="center"/>
              <w:rPr>
                <w:rFonts w:ascii="Calibri" w:eastAsia="Calibri" w:hAnsi="Calibri" w:cs="Calibri"/>
                <w:sz w:val="20"/>
                <w:szCs w:val="20"/>
                <w:lang w:val="en-US"/>
              </w:rPr>
            </w:pPr>
          </w:p>
        </w:tc>
      </w:tr>
      <w:tr w:rsidR="00266140" w:rsidRPr="00266140" w14:paraId="65EA69F1" w14:textId="77777777" w:rsidTr="00565B02">
        <w:trPr>
          <w:trHeight w:val="20"/>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2181BDAE" w14:textId="57621490"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Костолац</w:t>
            </w:r>
            <w:r w:rsidR="003D0AC8" w:rsidRPr="008E401C">
              <w:rPr>
                <w:rFonts w:ascii="Calibri" w:eastAsia="Calibri" w:hAnsi="Calibri" w:cs="Calibri"/>
                <w:color w:val="000000"/>
                <w:sz w:val="20"/>
                <w:szCs w:val="20"/>
              </w:rPr>
              <w:t xml:space="preserve"> </w:t>
            </w:r>
            <w:r w:rsidRPr="00565B02">
              <w:rPr>
                <w:rFonts w:ascii="Calibri" w:eastAsia="Calibri" w:hAnsi="Calibri" w:cs="Calibri"/>
                <w:color w:val="000000"/>
                <w:sz w:val="20"/>
                <w:szCs w:val="20"/>
              </w:rPr>
              <w:t>A2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9567C21"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191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5E4AF24"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191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11FD7E9"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191</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7DAAEBB2"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191</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120F4A4"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191</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tcPr>
          <w:p w14:paraId="0855FD7D" w14:textId="77777777" w:rsidR="00266140" w:rsidRPr="00266140" w:rsidRDefault="00266140" w:rsidP="00266140">
            <w:pPr>
              <w:spacing w:line="276" w:lineRule="auto"/>
              <w:jc w:val="center"/>
              <w:rPr>
                <w:rFonts w:ascii="Calibri" w:eastAsia="Calibri" w:hAnsi="Calibri" w:cs="Calibri"/>
                <w:sz w:val="20"/>
                <w:szCs w:val="20"/>
                <w:lang w:val="en-US"/>
              </w:rPr>
            </w:pPr>
          </w:p>
        </w:tc>
      </w:tr>
      <w:tr w:rsidR="00266140" w:rsidRPr="00266140" w14:paraId="4BBF6D5A" w14:textId="77777777" w:rsidTr="00565B02">
        <w:trPr>
          <w:trHeight w:val="20"/>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6CEF31F7" w14:textId="77777777" w:rsidR="00266140" w:rsidRPr="008E401C"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 xml:space="preserve">TE </w:t>
            </w:r>
            <w:r w:rsidRPr="008E401C">
              <w:rPr>
                <w:rFonts w:ascii="Calibri" w:eastAsia="Calibri" w:hAnsi="Calibri" w:cs="Calibri"/>
                <w:color w:val="000000"/>
                <w:sz w:val="20"/>
                <w:szCs w:val="20"/>
              </w:rPr>
              <w:t>Морава</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F5CD4C1"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108</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175ACC0E" w14:textId="77777777" w:rsidR="00266140" w:rsidRPr="00266140" w:rsidRDefault="00266140" w:rsidP="00266140">
            <w:pPr>
              <w:spacing w:line="276" w:lineRule="auto"/>
              <w:jc w:val="center"/>
              <w:rPr>
                <w:rFonts w:ascii="Calibri" w:eastAsia="Calibri" w:hAnsi="Calibri" w:cs="Calibri"/>
                <w:sz w:val="20"/>
                <w:szCs w:val="20"/>
                <w:lang w:val="en-US"/>
              </w:rPr>
            </w:pP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1152E3B2" w14:textId="77777777" w:rsidR="00266140" w:rsidRPr="00266140" w:rsidRDefault="00266140" w:rsidP="00266140">
            <w:pPr>
              <w:spacing w:line="276" w:lineRule="auto"/>
              <w:jc w:val="center"/>
              <w:rPr>
                <w:rFonts w:ascii="Calibri" w:eastAsia="Calibri" w:hAnsi="Calibri" w:cs="Calibri"/>
                <w:sz w:val="20"/>
                <w:szCs w:val="20"/>
                <w:lang w:val="en-US"/>
              </w:rPr>
            </w:pP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tcPr>
          <w:p w14:paraId="33F5D664" w14:textId="77777777" w:rsidR="00266140" w:rsidRPr="00266140" w:rsidRDefault="00266140" w:rsidP="00266140">
            <w:pPr>
              <w:spacing w:line="276" w:lineRule="auto"/>
              <w:jc w:val="center"/>
              <w:rPr>
                <w:rFonts w:ascii="Calibri" w:eastAsia="Calibri" w:hAnsi="Calibri" w:cs="Calibri"/>
                <w:sz w:val="20"/>
                <w:szCs w:val="20"/>
                <w:lang w:val="en-US"/>
              </w:rPr>
            </w:pP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tcPr>
          <w:p w14:paraId="792E930A" w14:textId="77777777" w:rsidR="00266140" w:rsidRPr="00266140" w:rsidRDefault="00266140" w:rsidP="00266140">
            <w:pPr>
              <w:spacing w:line="276" w:lineRule="auto"/>
              <w:jc w:val="center"/>
              <w:rPr>
                <w:rFonts w:ascii="Calibri" w:eastAsia="Calibri" w:hAnsi="Calibri" w:cs="Calibri"/>
                <w:sz w:val="20"/>
                <w:szCs w:val="20"/>
                <w:lang w:val="en-US"/>
              </w:rPr>
            </w:pP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tcPr>
          <w:p w14:paraId="0ACBE93D" w14:textId="77777777" w:rsidR="00266140" w:rsidRPr="00266140" w:rsidRDefault="00266140" w:rsidP="00266140">
            <w:pPr>
              <w:spacing w:line="276" w:lineRule="auto"/>
              <w:jc w:val="center"/>
              <w:rPr>
                <w:rFonts w:ascii="Calibri" w:eastAsia="Calibri" w:hAnsi="Calibri" w:cs="Calibri"/>
                <w:sz w:val="20"/>
                <w:szCs w:val="20"/>
                <w:lang w:val="en-US"/>
              </w:rPr>
            </w:pPr>
          </w:p>
        </w:tc>
      </w:tr>
      <w:tr w:rsidR="00266140" w:rsidRPr="00266140" w14:paraId="4A45902E" w14:textId="77777777" w:rsidTr="00565B02">
        <w:trPr>
          <w:trHeight w:val="20"/>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09D2E546" w14:textId="4468243C"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Костолац</w:t>
            </w:r>
            <w:r w:rsidR="003D0AC8" w:rsidRPr="008E401C">
              <w:rPr>
                <w:rFonts w:ascii="Calibri" w:eastAsia="Calibri" w:hAnsi="Calibri" w:cs="Calibri"/>
                <w:color w:val="000000"/>
                <w:sz w:val="20"/>
                <w:szCs w:val="20"/>
              </w:rPr>
              <w:t xml:space="preserve"> </w:t>
            </w:r>
            <w:r w:rsidRPr="00565B02">
              <w:rPr>
                <w:rFonts w:ascii="Calibri" w:eastAsia="Calibri" w:hAnsi="Calibri" w:cs="Calibri"/>
                <w:color w:val="000000"/>
                <w:sz w:val="20"/>
                <w:szCs w:val="20"/>
              </w:rPr>
              <w:t>B1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AB25E28"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316</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7D3196C"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316</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883057F"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316</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0576BAFF"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316</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36F084A8"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316</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tcPr>
          <w:p w14:paraId="441DE777" w14:textId="77777777" w:rsidR="00266140" w:rsidRPr="00266140" w:rsidRDefault="00266140" w:rsidP="00266140">
            <w:pPr>
              <w:spacing w:line="276" w:lineRule="auto"/>
              <w:jc w:val="center"/>
              <w:rPr>
                <w:rFonts w:ascii="Calibri" w:eastAsia="Calibri" w:hAnsi="Calibri" w:cs="Calibri"/>
                <w:sz w:val="20"/>
                <w:szCs w:val="20"/>
                <w:lang w:val="en-US"/>
              </w:rPr>
            </w:pPr>
          </w:p>
        </w:tc>
      </w:tr>
      <w:tr w:rsidR="00266140" w:rsidRPr="00266140" w14:paraId="0C2B5C6F" w14:textId="77777777" w:rsidTr="00565B02">
        <w:trPr>
          <w:trHeight w:val="20"/>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69B90748" w14:textId="1CE8D3EF"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Костолац</w:t>
            </w:r>
            <w:r w:rsidR="003D0AC8" w:rsidRPr="008E401C">
              <w:rPr>
                <w:rFonts w:ascii="Calibri" w:eastAsia="Calibri" w:hAnsi="Calibri" w:cs="Calibri"/>
                <w:color w:val="000000"/>
                <w:sz w:val="20"/>
                <w:szCs w:val="20"/>
              </w:rPr>
              <w:t xml:space="preserve"> </w:t>
            </w:r>
            <w:r w:rsidRPr="00565B02">
              <w:rPr>
                <w:rFonts w:ascii="Calibri" w:eastAsia="Calibri" w:hAnsi="Calibri" w:cs="Calibri"/>
                <w:color w:val="000000"/>
                <w:sz w:val="20"/>
                <w:szCs w:val="20"/>
              </w:rPr>
              <w:t>B2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A593570"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316</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B63F330"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316</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47548AF"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316</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32725005"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316</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66749F9D"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316</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31C3509"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316</w:t>
            </w:r>
          </w:p>
        </w:tc>
      </w:tr>
      <w:tr w:rsidR="00266140" w:rsidRPr="00266140" w14:paraId="36CD04D4" w14:textId="77777777" w:rsidTr="00565B02">
        <w:trPr>
          <w:trHeight w:val="20"/>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7685D0B5" w14:textId="32AC414B"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Костолац</w:t>
            </w:r>
            <w:r w:rsidR="003D0AC8" w:rsidRPr="008E401C">
              <w:rPr>
                <w:rFonts w:ascii="Calibri" w:eastAsia="Calibri" w:hAnsi="Calibri" w:cs="Calibri"/>
                <w:color w:val="000000"/>
                <w:sz w:val="20"/>
                <w:szCs w:val="20"/>
              </w:rPr>
              <w:t xml:space="preserve"> </w:t>
            </w:r>
            <w:r w:rsidRPr="00565B02">
              <w:rPr>
                <w:rFonts w:ascii="Calibri" w:eastAsia="Calibri" w:hAnsi="Calibri" w:cs="Calibri"/>
                <w:color w:val="000000"/>
                <w:sz w:val="20"/>
                <w:szCs w:val="20"/>
              </w:rPr>
              <w:t>B3</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6A4AD6A"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350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69D6025"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350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E7E64D4"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350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1EED662"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350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62A33E5F"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350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B9CBB5F"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350</w:t>
            </w:r>
          </w:p>
        </w:tc>
      </w:tr>
    </w:tbl>
    <w:p w14:paraId="3169FE22" w14:textId="0DA61B8C" w:rsidR="003D104C" w:rsidRDefault="003D104C" w:rsidP="00565B02">
      <w:pPr>
        <w:pStyle w:val="LDKTable"/>
      </w:pPr>
      <w:bookmarkStart w:id="492" w:name="_Toc153901492"/>
      <w:r>
        <w:t xml:space="preserve">Табела </w:t>
      </w:r>
      <w:r w:rsidR="00873C40">
        <w:fldChar w:fldCharType="begin"/>
      </w:r>
      <w:r w:rsidR="00873C40">
        <w:instrText xml:space="preserve"> STYLEREF 1 \s </w:instrText>
      </w:r>
      <w:r w:rsidR="00873C40">
        <w:fldChar w:fldCharType="separate"/>
      </w:r>
      <w:r w:rsidR="00873C40">
        <w:rPr>
          <w:noProof/>
        </w:rPr>
        <w:t>II</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6</w:t>
      </w:r>
      <w:r w:rsidR="00873C40">
        <w:fldChar w:fldCharType="end"/>
      </w:r>
      <w:r w:rsidRPr="003D104C">
        <w:t>: Производња уз разматрање сигурности снабдевања</w:t>
      </w:r>
      <w:bookmarkEnd w:id="492"/>
    </w:p>
    <w:tbl>
      <w:tblPr>
        <w:tblW w:w="91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3"/>
        <w:gridCol w:w="1289"/>
        <w:gridCol w:w="1289"/>
        <w:gridCol w:w="1289"/>
        <w:gridCol w:w="1179"/>
        <w:gridCol w:w="1179"/>
        <w:gridCol w:w="1170"/>
      </w:tblGrid>
      <w:tr w:rsidR="00266140" w:rsidRPr="00266140" w14:paraId="7DB05660" w14:textId="77777777" w:rsidTr="00565B02">
        <w:trPr>
          <w:trHeight w:val="360"/>
          <w:jc w:val="center"/>
        </w:trPr>
        <w:tc>
          <w:tcPr>
            <w:tcW w:w="1753"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0807E0A3" w14:textId="77777777" w:rsidR="00266140" w:rsidRPr="00266140" w:rsidRDefault="00266140" w:rsidP="00266140">
            <w:pPr>
              <w:spacing w:line="276" w:lineRule="auto"/>
              <w:jc w:val="center"/>
              <w:rPr>
                <w:rFonts w:ascii="Calibri" w:eastAsia="Calibri" w:hAnsi="Calibri" w:cs="Calibri"/>
                <w:b/>
                <w:bCs/>
                <w:color w:val="FFFFFF"/>
                <w:sz w:val="20"/>
                <w:szCs w:val="20"/>
                <w:lang w:val="en-US"/>
              </w:rPr>
            </w:pPr>
            <w:r w:rsidRPr="00266140">
              <w:rPr>
                <w:rFonts w:ascii="Calibri" w:eastAsia="Calibri" w:hAnsi="Calibri" w:cs="Calibri"/>
                <w:b/>
                <w:bCs/>
                <w:color w:val="FFFFFF"/>
                <w:sz w:val="20"/>
                <w:szCs w:val="20"/>
                <w:lang w:val="en-US"/>
              </w:rPr>
              <w:t>Generation in TWh</w:t>
            </w:r>
          </w:p>
        </w:tc>
        <w:tc>
          <w:tcPr>
            <w:tcW w:w="128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31417767" w14:textId="77777777" w:rsidR="00266140" w:rsidRPr="00266140" w:rsidRDefault="00266140" w:rsidP="00266140">
            <w:pPr>
              <w:spacing w:line="276" w:lineRule="auto"/>
              <w:jc w:val="center"/>
              <w:rPr>
                <w:rFonts w:ascii="Calibri" w:eastAsia="Calibri" w:hAnsi="Calibri" w:cs="Calibri"/>
                <w:b/>
                <w:bCs/>
                <w:color w:val="FFFFFF"/>
                <w:sz w:val="20"/>
                <w:szCs w:val="20"/>
                <w:lang w:val="en-US"/>
              </w:rPr>
            </w:pPr>
            <w:r w:rsidRPr="00266140">
              <w:rPr>
                <w:rFonts w:ascii="Calibri" w:eastAsia="Calibri" w:hAnsi="Calibri" w:cs="Calibri"/>
                <w:color w:val="FFFFFF"/>
                <w:sz w:val="20"/>
                <w:szCs w:val="20"/>
                <w:lang w:val="en-US"/>
              </w:rPr>
              <w:t>2025</w:t>
            </w:r>
          </w:p>
        </w:tc>
        <w:tc>
          <w:tcPr>
            <w:tcW w:w="128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378E6803" w14:textId="77777777" w:rsidR="00266140" w:rsidRPr="00266140" w:rsidRDefault="00266140" w:rsidP="00266140">
            <w:pPr>
              <w:spacing w:line="276" w:lineRule="auto"/>
              <w:jc w:val="center"/>
              <w:rPr>
                <w:rFonts w:ascii="Calibri" w:eastAsia="Calibri" w:hAnsi="Calibri" w:cs="Calibri"/>
                <w:b/>
                <w:bCs/>
                <w:color w:val="FFFFFF"/>
                <w:sz w:val="20"/>
                <w:szCs w:val="20"/>
                <w:lang w:val="en-US"/>
              </w:rPr>
            </w:pPr>
            <w:r w:rsidRPr="00266140">
              <w:rPr>
                <w:rFonts w:ascii="Calibri" w:eastAsia="Calibri" w:hAnsi="Calibri" w:cs="Calibri"/>
                <w:color w:val="FFFFFF"/>
                <w:sz w:val="20"/>
                <w:szCs w:val="20"/>
                <w:lang w:val="en-US"/>
              </w:rPr>
              <w:t>2030</w:t>
            </w:r>
          </w:p>
        </w:tc>
        <w:tc>
          <w:tcPr>
            <w:tcW w:w="128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6D38FA67" w14:textId="77777777" w:rsidR="00266140" w:rsidRPr="00266140" w:rsidRDefault="00266140" w:rsidP="00266140">
            <w:pPr>
              <w:spacing w:line="276" w:lineRule="auto"/>
              <w:jc w:val="center"/>
              <w:rPr>
                <w:rFonts w:ascii="Calibri" w:eastAsia="Calibri" w:hAnsi="Calibri" w:cs="Calibri"/>
                <w:b/>
                <w:bCs/>
                <w:color w:val="FFFFFF"/>
                <w:sz w:val="20"/>
                <w:szCs w:val="20"/>
                <w:lang w:val="en-US"/>
              </w:rPr>
            </w:pPr>
            <w:r w:rsidRPr="00266140">
              <w:rPr>
                <w:rFonts w:ascii="Calibri" w:eastAsia="Calibri" w:hAnsi="Calibri" w:cs="Calibri"/>
                <w:color w:val="FFFFFF"/>
                <w:sz w:val="20"/>
                <w:szCs w:val="20"/>
                <w:lang w:val="en-US"/>
              </w:rPr>
              <w:t>2035</w:t>
            </w:r>
          </w:p>
        </w:tc>
        <w:tc>
          <w:tcPr>
            <w:tcW w:w="117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3DEB2DEA" w14:textId="77777777" w:rsidR="00266140" w:rsidRPr="00266140" w:rsidRDefault="00266140" w:rsidP="00266140">
            <w:pPr>
              <w:spacing w:line="276" w:lineRule="auto"/>
              <w:jc w:val="center"/>
              <w:rPr>
                <w:rFonts w:ascii="Calibri" w:eastAsia="Calibri" w:hAnsi="Calibri" w:cs="Calibri"/>
                <w:b/>
                <w:bCs/>
                <w:color w:val="FFFFFF"/>
                <w:sz w:val="20"/>
                <w:szCs w:val="20"/>
                <w:lang w:val="en-US"/>
              </w:rPr>
            </w:pPr>
            <w:r w:rsidRPr="00266140">
              <w:rPr>
                <w:rFonts w:ascii="Calibri" w:eastAsia="Calibri" w:hAnsi="Calibri" w:cs="Calibri"/>
                <w:color w:val="FFFFFF"/>
                <w:sz w:val="20"/>
                <w:szCs w:val="20"/>
                <w:lang w:val="en-US"/>
              </w:rPr>
              <w:t>2040</w:t>
            </w:r>
          </w:p>
        </w:tc>
        <w:tc>
          <w:tcPr>
            <w:tcW w:w="117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024D4473" w14:textId="77777777" w:rsidR="00266140" w:rsidRPr="00266140" w:rsidRDefault="00266140" w:rsidP="00266140">
            <w:pPr>
              <w:spacing w:line="276" w:lineRule="auto"/>
              <w:jc w:val="center"/>
              <w:rPr>
                <w:rFonts w:ascii="Calibri" w:eastAsia="Calibri" w:hAnsi="Calibri" w:cs="Calibri"/>
                <w:b/>
                <w:bCs/>
                <w:color w:val="FFFFFF"/>
                <w:sz w:val="20"/>
                <w:szCs w:val="20"/>
                <w:lang w:val="en-US"/>
              </w:rPr>
            </w:pPr>
            <w:r w:rsidRPr="00266140">
              <w:rPr>
                <w:rFonts w:ascii="Calibri" w:eastAsia="Calibri" w:hAnsi="Calibri" w:cs="Calibri"/>
                <w:color w:val="FFFFFF"/>
                <w:sz w:val="20"/>
                <w:szCs w:val="20"/>
                <w:lang w:val="en-US"/>
              </w:rPr>
              <w:t>2045</w:t>
            </w:r>
          </w:p>
        </w:tc>
        <w:tc>
          <w:tcPr>
            <w:tcW w:w="1170"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6947AC78" w14:textId="77777777" w:rsidR="00266140" w:rsidRPr="00266140" w:rsidRDefault="00266140" w:rsidP="00266140">
            <w:pPr>
              <w:spacing w:line="276" w:lineRule="auto"/>
              <w:jc w:val="center"/>
              <w:rPr>
                <w:rFonts w:ascii="Calibri" w:eastAsia="Calibri" w:hAnsi="Calibri" w:cs="Calibri"/>
                <w:b/>
                <w:bCs/>
                <w:color w:val="FFFFFF"/>
                <w:sz w:val="20"/>
                <w:szCs w:val="20"/>
                <w:lang w:val="en-US"/>
              </w:rPr>
            </w:pPr>
            <w:r w:rsidRPr="00266140">
              <w:rPr>
                <w:rFonts w:ascii="Calibri" w:eastAsia="Calibri" w:hAnsi="Calibri" w:cs="Calibri"/>
                <w:color w:val="FFFFFF"/>
                <w:sz w:val="20"/>
                <w:szCs w:val="20"/>
                <w:lang w:val="en-US"/>
              </w:rPr>
              <w:t>2050</w:t>
            </w:r>
          </w:p>
        </w:tc>
      </w:tr>
      <w:tr w:rsidR="00266140" w:rsidRPr="00266140" w14:paraId="150DE4C0" w14:textId="77777777" w:rsidTr="00565B02">
        <w:trPr>
          <w:trHeight w:val="80"/>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70EEAF76" w14:textId="77777777" w:rsidR="00266140" w:rsidRPr="00565B02" w:rsidRDefault="00266140" w:rsidP="00266140">
            <w:pPr>
              <w:spacing w:line="276" w:lineRule="auto"/>
              <w:rPr>
                <w:rFonts w:ascii="Calibri" w:eastAsia="Calibri" w:hAnsi="Calibri" w:cs="Calibri"/>
                <w:color w:val="000000"/>
                <w:sz w:val="20"/>
                <w:szCs w:val="20"/>
              </w:rPr>
            </w:pPr>
            <w:r w:rsidRPr="00565B02">
              <w:rPr>
                <w:rFonts w:ascii="Calibri" w:eastAsia="Calibri" w:hAnsi="Calibri" w:cs="Calibri"/>
                <w:color w:val="000000"/>
                <w:sz w:val="20"/>
                <w:szCs w:val="20"/>
              </w:rPr>
              <w:t>Тесла A1</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0FCE352F" w14:textId="4D2B1C6F" w:rsidR="00266140" w:rsidRPr="00266140" w:rsidRDefault="008E401C" w:rsidP="00266140">
            <w:pPr>
              <w:spacing w:line="276" w:lineRule="auto"/>
              <w:jc w:val="center"/>
              <w:rPr>
                <w:rFonts w:ascii="Calibri" w:eastAsia="Calibri" w:hAnsi="Calibri" w:cs="Calibri"/>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970</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74DB1487" w14:textId="7AA526CC" w:rsidR="00266140" w:rsidRPr="00266140" w:rsidRDefault="008E401C" w:rsidP="00266140">
            <w:pPr>
              <w:spacing w:line="276" w:lineRule="auto"/>
              <w:jc w:val="center"/>
              <w:rPr>
                <w:rFonts w:ascii="Calibri" w:eastAsia="Calibri" w:hAnsi="Calibri" w:cs="Calibri"/>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586</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13AF71B0" w14:textId="1A9D4990" w:rsidR="00266140" w:rsidRPr="00266140" w:rsidRDefault="008E401C" w:rsidP="00266140">
            <w:pPr>
              <w:spacing w:line="276" w:lineRule="auto"/>
              <w:jc w:val="center"/>
              <w:rPr>
                <w:rFonts w:ascii="Calibri" w:eastAsia="Calibri" w:hAnsi="Calibri" w:cs="Calibri"/>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535</w:t>
            </w:r>
          </w:p>
        </w:tc>
        <w:tc>
          <w:tcPr>
            <w:tcW w:w="1179" w:type="dxa"/>
            <w:tcBorders>
              <w:top w:val="single" w:sz="4" w:space="0" w:color="auto"/>
              <w:left w:val="single" w:sz="4" w:space="0" w:color="auto"/>
              <w:bottom w:val="single" w:sz="4" w:space="0" w:color="auto"/>
              <w:right w:val="single" w:sz="4" w:space="0" w:color="auto"/>
            </w:tcBorders>
            <w:vAlign w:val="center"/>
            <w:hideMark/>
          </w:tcPr>
          <w:p w14:paraId="4CA91D1E" w14:textId="18322568" w:rsidR="00266140" w:rsidRPr="00266140" w:rsidRDefault="008E401C" w:rsidP="00266140">
            <w:pPr>
              <w:spacing w:line="276" w:lineRule="auto"/>
              <w:jc w:val="center"/>
              <w:rPr>
                <w:rFonts w:ascii="Calibri" w:eastAsia="Calibri" w:hAnsi="Calibri" w:cs="Calibri"/>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251</w:t>
            </w:r>
          </w:p>
        </w:tc>
        <w:tc>
          <w:tcPr>
            <w:tcW w:w="1179" w:type="dxa"/>
            <w:tcBorders>
              <w:top w:val="single" w:sz="4" w:space="0" w:color="auto"/>
              <w:left w:val="single" w:sz="4" w:space="0" w:color="auto"/>
              <w:bottom w:val="single" w:sz="4" w:space="0" w:color="auto"/>
              <w:right w:val="single" w:sz="4" w:space="0" w:color="auto"/>
            </w:tcBorders>
            <w:vAlign w:val="center"/>
            <w:hideMark/>
          </w:tcPr>
          <w:p w14:paraId="0ECED9E0"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color w:val="000000"/>
                <w:sz w:val="20"/>
                <w:szCs w:val="20"/>
                <w:lang w:val="en-US"/>
              </w:rPr>
              <w:t>-</w:t>
            </w:r>
          </w:p>
        </w:tc>
        <w:tc>
          <w:tcPr>
            <w:tcW w:w="1170" w:type="dxa"/>
            <w:tcBorders>
              <w:top w:val="single" w:sz="4" w:space="0" w:color="auto"/>
              <w:left w:val="single" w:sz="4" w:space="0" w:color="auto"/>
              <w:bottom w:val="single" w:sz="4" w:space="0" w:color="auto"/>
              <w:right w:val="single" w:sz="4" w:space="0" w:color="auto"/>
            </w:tcBorders>
            <w:vAlign w:val="center"/>
            <w:hideMark/>
          </w:tcPr>
          <w:p w14:paraId="30890EEA"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color w:val="000000"/>
                <w:sz w:val="20"/>
                <w:szCs w:val="20"/>
                <w:lang w:val="en-US"/>
              </w:rPr>
              <w:t>-</w:t>
            </w:r>
          </w:p>
        </w:tc>
      </w:tr>
      <w:tr w:rsidR="00266140" w:rsidRPr="00266140" w14:paraId="5EECC6B6"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510D6700" w14:textId="77777777" w:rsidR="00266140" w:rsidRPr="00565B02" w:rsidRDefault="00266140" w:rsidP="00266140">
            <w:pPr>
              <w:spacing w:line="276" w:lineRule="auto"/>
              <w:rPr>
                <w:rFonts w:ascii="Calibri" w:eastAsia="Calibri" w:hAnsi="Calibri" w:cs="Calibri"/>
                <w:color w:val="000000"/>
                <w:sz w:val="20"/>
                <w:szCs w:val="20"/>
              </w:rPr>
            </w:pPr>
            <w:r w:rsidRPr="00565B02">
              <w:rPr>
                <w:rFonts w:ascii="Calibri" w:eastAsia="Calibri" w:hAnsi="Calibri" w:cs="Calibri"/>
                <w:color w:val="000000"/>
                <w:sz w:val="20"/>
                <w:szCs w:val="20"/>
              </w:rPr>
              <w:t>Тесла A2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A354F42" w14:textId="021FD72D" w:rsidR="00266140" w:rsidRPr="00266140" w:rsidRDefault="008E401C" w:rsidP="00266140">
            <w:pPr>
              <w:spacing w:line="276" w:lineRule="auto"/>
              <w:jc w:val="center"/>
              <w:rPr>
                <w:rFonts w:ascii="Calibri" w:eastAsia="Calibri" w:hAnsi="Calibri" w:cs="Calibri"/>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970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A2E4BCD" w14:textId="655079C8" w:rsidR="00266140" w:rsidRPr="00266140" w:rsidRDefault="008E401C" w:rsidP="00266140">
            <w:pPr>
              <w:spacing w:line="276" w:lineRule="auto"/>
              <w:jc w:val="center"/>
              <w:rPr>
                <w:rFonts w:ascii="Calibri" w:eastAsia="Calibri" w:hAnsi="Calibri" w:cs="Calibri"/>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586</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D1ED37D" w14:textId="4BE0E94B" w:rsidR="00266140" w:rsidRPr="00266140" w:rsidRDefault="008E401C" w:rsidP="00266140">
            <w:pPr>
              <w:spacing w:line="276" w:lineRule="auto"/>
              <w:jc w:val="center"/>
              <w:rPr>
                <w:rFonts w:ascii="Calibri" w:eastAsia="Calibri" w:hAnsi="Calibri" w:cs="Calibri"/>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535</w:t>
            </w: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42A417FC" w14:textId="0FCEFC8F" w:rsidR="00266140" w:rsidRPr="00266140" w:rsidRDefault="008E401C" w:rsidP="00266140">
            <w:pPr>
              <w:spacing w:line="276" w:lineRule="auto"/>
              <w:jc w:val="center"/>
              <w:rPr>
                <w:rFonts w:ascii="Calibri" w:eastAsia="Calibri" w:hAnsi="Calibri" w:cs="Calibri"/>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251</w:t>
            </w: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C38F384"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color w:val="000000"/>
                <w:sz w:val="20"/>
                <w:szCs w:val="20"/>
                <w:lang w:val="en-US"/>
              </w:rPr>
              <w:t>-</w:t>
            </w:r>
          </w:p>
        </w:tc>
        <w:tc>
          <w:tcPr>
            <w:tcW w:w="1170"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1FE2E80C"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color w:val="000000"/>
                <w:sz w:val="20"/>
                <w:szCs w:val="20"/>
                <w:lang w:val="en-US"/>
              </w:rPr>
              <w:t>-</w:t>
            </w:r>
          </w:p>
        </w:tc>
      </w:tr>
      <w:tr w:rsidR="00266140" w:rsidRPr="00266140" w14:paraId="66266269"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3C90105B" w14:textId="77777777" w:rsidR="00266140" w:rsidRPr="00565B02" w:rsidRDefault="00266140" w:rsidP="00266140">
            <w:pPr>
              <w:spacing w:line="276" w:lineRule="auto"/>
              <w:rPr>
                <w:rFonts w:ascii="Calibri" w:eastAsia="Calibri" w:hAnsi="Calibri" w:cs="Calibri"/>
                <w:color w:val="000000"/>
                <w:sz w:val="20"/>
                <w:szCs w:val="20"/>
              </w:rPr>
            </w:pPr>
            <w:r w:rsidRPr="00565B02">
              <w:rPr>
                <w:rFonts w:ascii="Calibri" w:eastAsia="Calibri" w:hAnsi="Calibri" w:cs="Calibri"/>
                <w:color w:val="000000"/>
                <w:sz w:val="20"/>
                <w:szCs w:val="20"/>
              </w:rPr>
              <w:t>Тесла A3</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7DD03D89"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color w:val="000000"/>
                <w:sz w:val="20"/>
                <w:szCs w:val="20"/>
                <w:lang w:val="en-US"/>
              </w:rPr>
              <w:t>2,137</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38D59FBD"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color w:val="000000"/>
                <w:sz w:val="20"/>
                <w:szCs w:val="20"/>
                <w:lang w:val="en-US"/>
              </w:rPr>
              <w:t>1,069</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765DEFF2"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color w:val="000000"/>
                <w:sz w:val="20"/>
                <w:szCs w:val="20"/>
                <w:lang w:val="en-US"/>
              </w:rPr>
              <w:t>1,015</w:t>
            </w:r>
          </w:p>
        </w:tc>
        <w:tc>
          <w:tcPr>
            <w:tcW w:w="1179" w:type="dxa"/>
            <w:tcBorders>
              <w:top w:val="single" w:sz="4" w:space="0" w:color="auto"/>
              <w:left w:val="single" w:sz="4" w:space="0" w:color="auto"/>
              <w:bottom w:val="single" w:sz="4" w:space="0" w:color="auto"/>
              <w:right w:val="single" w:sz="4" w:space="0" w:color="auto"/>
            </w:tcBorders>
            <w:vAlign w:val="center"/>
            <w:hideMark/>
          </w:tcPr>
          <w:p w14:paraId="0CCB1266" w14:textId="51DCBE16" w:rsidR="00266140" w:rsidRPr="00266140" w:rsidRDefault="008E401C" w:rsidP="00266140">
            <w:pPr>
              <w:spacing w:line="276" w:lineRule="auto"/>
              <w:jc w:val="center"/>
              <w:rPr>
                <w:rFonts w:ascii="Calibri" w:eastAsia="Calibri" w:hAnsi="Calibri" w:cs="Calibri"/>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802</w:t>
            </w:r>
          </w:p>
        </w:tc>
        <w:tc>
          <w:tcPr>
            <w:tcW w:w="1179" w:type="dxa"/>
            <w:tcBorders>
              <w:top w:val="single" w:sz="4" w:space="0" w:color="auto"/>
              <w:left w:val="single" w:sz="4" w:space="0" w:color="auto"/>
              <w:bottom w:val="single" w:sz="4" w:space="0" w:color="auto"/>
              <w:right w:val="single" w:sz="4" w:space="0" w:color="auto"/>
            </w:tcBorders>
            <w:vAlign w:val="center"/>
            <w:hideMark/>
          </w:tcPr>
          <w:p w14:paraId="658D93B7" w14:textId="3A7E564B" w:rsidR="00266140" w:rsidRPr="00266140" w:rsidRDefault="008E401C" w:rsidP="00266140">
            <w:pPr>
              <w:spacing w:line="276" w:lineRule="auto"/>
              <w:jc w:val="center"/>
              <w:rPr>
                <w:rFonts w:ascii="Calibri" w:eastAsia="Calibri" w:hAnsi="Calibri" w:cs="Calibri"/>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390</w:t>
            </w:r>
          </w:p>
        </w:tc>
        <w:tc>
          <w:tcPr>
            <w:tcW w:w="1170" w:type="dxa"/>
            <w:tcBorders>
              <w:top w:val="single" w:sz="4" w:space="0" w:color="auto"/>
              <w:left w:val="single" w:sz="4" w:space="0" w:color="auto"/>
              <w:bottom w:val="single" w:sz="4" w:space="0" w:color="auto"/>
              <w:right w:val="single" w:sz="4" w:space="0" w:color="auto"/>
            </w:tcBorders>
            <w:vAlign w:val="center"/>
            <w:hideMark/>
          </w:tcPr>
          <w:p w14:paraId="0368CA52"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color w:val="000000"/>
                <w:sz w:val="20"/>
                <w:szCs w:val="20"/>
                <w:lang w:val="en-US"/>
              </w:rPr>
              <w:t>-</w:t>
            </w:r>
          </w:p>
        </w:tc>
      </w:tr>
      <w:tr w:rsidR="00266140" w:rsidRPr="00266140" w14:paraId="666FD8B3"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699A3FF1" w14:textId="77777777"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Тесла A4</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D93ECAC"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color w:val="000000"/>
                <w:sz w:val="20"/>
                <w:szCs w:val="20"/>
                <w:lang w:val="en-US"/>
              </w:rPr>
              <w:t>2,137</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EEB6073"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color w:val="000000"/>
                <w:sz w:val="20"/>
                <w:szCs w:val="20"/>
                <w:lang w:val="en-US"/>
              </w:rPr>
              <w:t>1,069</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6DFC6B5"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color w:val="000000"/>
                <w:sz w:val="20"/>
                <w:szCs w:val="20"/>
                <w:lang w:val="en-US"/>
              </w:rPr>
              <w:t>1,015</w:t>
            </w: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01D71108" w14:textId="6154E542" w:rsidR="00266140" w:rsidRPr="00266140" w:rsidRDefault="008E401C" w:rsidP="00266140">
            <w:pPr>
              <w:spacing w:line="276" w:lineRule="auto"/>
              <w:jc w:val="center"/>
              <w:rPr>
                <w:rFonts w:ascii="Calibri" w:eastAsia="Calibri" w:hAnsi="Calibri" w:cs="Calibri"/>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802</w:t>
            </w: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32B51C60" w14:textId="2FC29AA3" w:rsidR="00266140" w:rsidRPr="00266140" w:rsidRDefault="008E401C" w:rsidP="00266140">
            <w:pPr>
              <w:spacing w:line="276" w:lineRule="auto"/>
              <w:jc w:val="center"/>
              <w:rPr>
                <w:rFonts w:ascii="Calibri" w:eastAsia="Calibri" w:hAnsi="Calibri" w:cs="Calibri"/>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387</w:t>
            </w:r>
          </w:p>
        </w:tc>
        <w:tc>
          <w:tcPr>
            <w:tcW w:w="1170"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690E58C1"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color w:val="000000"/>
                <w:sz w:val="20"/>
                <w:szCs w:val="20"/>
                <w:lang w:val="en-US"/>
              </w:rPr>
              <w:t>-</w:t>
            </w:r>
          </w:p>
        </w:tc>
      </w:tr>
      <w:tr w:rsidR="00266140" w:rsidRPr="00266140" w14:paraId="42C41684"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6BD93D24" w14:textId="77777777"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Тесла A5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80B806C"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color w:val="000000"/>
                <w:sz w:val="20"/>
                <w:szCs w:val="20"/>
                <w:lang w:val="en-US"/>
              </w:rPr>
              <w:t>1,575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C4A69E7"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color w:val="000000"/>
                <w:sz w:val="20"/>
                <w:szCs w:val="20"/>
                <w:lang w:val="en-US"/>
              </w:rPr>
              <w:t>1,559</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DCDA561"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color w:val="000000"/>
                <w:sz w:val="20"/>
                <w:szCs w:val="20"/>
                <w:lang w:val="en-US"/>
              </w:rPr>
              <w:t>1,141</w:t>
            </w: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54E2147" w14:textId="384F4AB6" w:rsidR="00266140" w:rsidRPr="00266140" w:rsidRDefault="008E401C" w:rsidP="00266140">
            <w:pPr>
              <w:spacing w:line="276" w:lineRule="auto"/>
              <w:jc w:val="center"/>
              <w:rPr>
                <w:rFonts w:ascii="Calibri" w:eastAsia="Calibri" w:hAnsi="Calibri" w:cs="Calibri"/>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815</w:t>
            </w: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415F6C9F" w14:textId="0552E398" w:rsidR="00266140" w:rsidRPr="00266140" w:rsidRDefault="008E401C" w:rsidP="00266140">
            <w:pPr>
              <w:spacing w:line="276" w:lineRule="auto"/>
              <w:jc w:val="center"/>
              <w:rPr>
                <w:rFonts w:ascii="Calibri" w:eastAsia="Calibri" w:hAnsi="Calibri" w:cs="Calibri"/>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394</w:t>
            </w:r>
          </w:p>
        </w:tc>
        <w:tc>
          <w:tcPr>
            <w:tcW w:w="1170"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04D6E2B6"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color w:val="000000"/>
                <w:sz w:val="20"/>
                <w:szCs w:val="20"/>
                <w:lang w:val="en-US"/>
              </w:rPr>
              <w:t>-</w:t>
            </w:r>
          </w:p>
        </w:tc>
      </w:tr>
      <w:tr w:rsidR="00266140" w:rsidRPr="00266140" w14:paraId="49E25922"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77A09AD8" w14:textId="77777777"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Тесла A6</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76148F4"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color w:val="000000"/>
                <w:sz w:val="20"/>
                <w:szCs w:val="20"/>
                <w:lang w:val="en-US"/>
              </w:rPr>
              <w:t>1,626</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A38957B"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color w:val="000000"/>
                <w:sz w:val="20"/>
                <w:szCs w:val="20"/>
                <w:lang w:val="en-US"/>
              </w:rPr>
              <w:t>1,609</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7CB4530"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color w:val="000000"/>
                <w:sz w:val="20"/>
                <w:szCs w:val="20"/>
                <w:lang w:val="en-US"/>
              </w:rPr>
              <w:t>1,177</w:t>
            </w: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1C29EA14" w14:textId="17C2D6D2" w:rsidR="00266140" w:rsidRPr="00266140" w:rsidRDefault="008E401C" w:rsidP="00266140">
            <w:pPr>
              <w:spacing w:line="276" w:lineRule="auto"/>
              <w:jc w:val="center"/>
              <w:rPr>
                <w:rFonts w:ascii="Calibri" w:eastAsia="Calibri" w:hAnsi="Calibri" w:cs="Calibri"/>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841</w:t>
            </w: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0F05B81E" w14:textId="6AFB257D" w:rsidR="00266140" w:rsidRPr="00266140" w:rsidRDefault="008E401C" w:rsidP="00266140">
            <w:pPr>
              <w:spacing w:line="276" w:lineRule="auto"/>
              <w:jc w:val="center"/>
              <w:rPr>
                <w:rFonts w:ascii="Calibri" w:eastAsia="Calibri" w:hAnsi="Calibri" w:cs="Calibri"/>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406</w:t>
            </w:r>
          </w:p>
        </w:tc>
        <w:tc>
          <w:tcPr>
            <w:tcW w:w="1170"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697508E0"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color w:val="000000"/>
                <w:sz w:val="20"/>
                <w:szCs w:val="20"/>
                <w:lang w:val="en-US"/>
              </w:rPr>
              <w:t>-</w:t>
            </w:r>
          </w:p>
        </w:tc>
      </w:tr>
      <w:tr w:rsidR="00266140" w:rsidRPr="00266140" w14:paraId="77616C0A"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0B824C70" w14:textId="77777777"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Тесла B1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0BB2B6C"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2,942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77D93B1"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2,737</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797D5C0"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2,405</w:t>
            </w: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56F00888"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1,791</w:t>
            </w: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518424D1"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1,010</w:t>
            </w:r>
          </w:p>
        </w:tc>
        <w:tc>
          <w:tcPr>
            <w:tcW w:w="1170"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558556D7"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r>
      <w:tr w:rsidR="00266140" w:rsidRPr="00266140" w14:paraId="2A63DCDE"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6F7AB816" w14:textId="77777777"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Тесла B2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1F518F4"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2,942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2CB374F"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3,421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915B668"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2,405</w:t>
            </w: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1036C0E"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2,137</w:t>
            </w: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1B551860"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1,325</w:t>
            </w:r>
          </w:p>
        </w:tc>
        <w:tc>
          <w:tcPr>
            <w:tcW w:w="1170"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A94D2B3"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r>
      <w:tr w:rsidR="00266140" w:rsidRPr="00266140" w14:paraId="2517B191"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541D0132" w14:textId="1F2B45C7" w:rsidR="00266140" w:rsidRPr="00565B02" w:rsidRDefault="003D0AC8"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Колубара</w:t>
            </w:r>
            <w:r w:rsidR="00266140" w:rsidRPr="00565B02">
              <w:rPr>
                <w:rFonts w:ascii="Calibri" w:eastAsia="Calibri" w:hAnsi="Calibri" w:cs="Calibri"/>
                <w:color w:val="000000"/>
                <w:sz w:val="20"/>
                <w:szCs w:val="20"/>
              </w:rPr>
              <w:t xml:space="preserve"> A3</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7C3BF1E" w14:textId="73FC0B20" w:rsidR="00266140" w:rsidRPr="00266140" w:rsidRDefault="008E401C" w:rsidP="00266140">
            <w:pPr>
              <w:spacing w:line="276" w:lineRule="auto"/>
              <w:jc w:val="center"/>
              <w:rPr>
                <w:rFonts w:ascii="Calibri" w:eastAsia="Calibri" w:hAnsi="Calibri" w:cs="Calibri"/>
                <w:color w:val="000000"/>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112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2B87C794" w14:textId="77777777" w:rsidR="00266140" w:rsidRPr="00266140" w:rsidRDefault="00266140" w:rsidP="00266140">
            <w:pPr>
              <w:spacing w:line="276" w:lineRule="auto"/>
              <w:jc w:val="center"/>
              <w:rPr>
                <w:rFonts w:ascii="Calibri" w:eastAsia="Calibri" w:hAnsi="Calibri" w:cs="Calibri"/>
                <w:color w:val="000000"/>
                <w:sz w:val="20"/>
                <w:szCs w:val="20"/>
                <w:lang w:val="en-US"/>
              </w:rPr>
            </w:pP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13003EFA" w14:textId="77777777" w:rsidR="00266140" w:rsidRPr="00266140" w:rsidRDefault="00266140" w:rsidP="00266140">
            <w:pPr>
              <w:spacing w:line="276" w:lineRule="auto"/>
              <w:jc w:val="center"/>
              <w:rPr>
                <w:rFonts w:ascii="Calibri" w:eastAsia="Calibri" w:hAnsi="Calibri" w:cs="Calibri"/>
                <w:color w:val="000000"/>
                <w:sz w:val="20"/>
                <w:szCs w:val="20"/>
                <w:lang w:val="en-US"/>
              </w:rPr>
            </w:pP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tcPr>
          <w:p w14:paraId="0B7CB7DE" w14:textId="77777777" w:rsidR="00266140" w:rsidRPr="00266140" w:rsidRDefault="00266140" w:rsidP="00266140">
            <w:pPr>
              <w:spacing w:line="276" w:lineRule="auto"/>
              <w:jc w:val="center"/>
              <w:rPr>
                <w:rFonts w:ascii="Calibri" w:eastAsia="Calibri" w:hAnsi="Calibri" w:cs="Calibri"/>
                <w:color w:val="000000"/>
                <w:sz w:val="20"/>
                <w:szCs w:val="20"/>
                <w:lang w:val="en-US"/>
              </w:rPr>
            </w:pP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tcPr>
          <w:p w14:paraId="4AA67838" w14:textId="77777777" w:rsidR="00266140" w:rsidRPr="00266140" w:rsidRDefault="00266140" w:rsidP="00266140">
            <w:pPr>
              <w:spacing w:line="276" w:lineRule="auto"/>
              <w:jc w:val="center"/>
              <w:rPr>
                <w:rFonts w:ascii="Calibri" w:eastAsia="Calibri" w:hAnsi="Calibri" w:cs="Calibri"/>
                <w:color w:val="000000"/>
                <w:sz w:val="20"/>
                <w:szCs w:val="20"/>
                <w:lang w:val="en-US"/>
              </w:rPr>
            </w:pPr>
          </w:p>
        </w:tc>
        <w:tc>
          <w:tcPr>
            <w:tcW w:w="1170" w:type="dxa"/>
            <w:tcBorders>
              <w:top w:val="single" w:sz="4" w:space="0" w:color="auto"/>
              <w:left w:val="single" w:sz="4" w:space="0" w:color="auto"/>
              <w:bottom w:val="single" w:sz="4" w:space="0" w:color="auto"/>
              <w:right w:val="single" w:sz="4" w:space="0" w:color="auto"/>
            </w:tcBorders>
            <w:shd w:val="clear" w:color="auto" w:fill="DDEBF7"/>
            <w:vAlign w:val="center"/>
          </w:tcPr>
          <w:p w14:paraId="6F5EDB80" w14:textId="77777777" w:rsidR="00266140" w:rsidRPr="00266140" w:rsidRDefault="00266140" w:rsidP="00266140">
            <w:pPr>
              <w:spacing w:line="276" w:lineRule="auto"/>
              <w:jc w:val="center"/>
              <w:rPr>
                <w:rFonts w:ascii="Calibri" w:eastAsia="Calibri" w:hAnsi="Calibri" w:cs="Calibri"/>
                <w:color w:val="000000"/>
                <w:sz w:val="20"/>
                <w:szCs w:val="20"/>
                <w:lang w:val="en-US"/>
              </w:rPr>
            </w:pPr>
          </w:p>
        </w:tc>
      </w:tr>
      <w:tr w:rsidR="00266140" w:rsidRPr="00266140" w14:paraId="69E33460"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1903C917" w14:textId="5A20AB73" w:rsidR="00266140" w:rsidRPr="00565B02" w:rsidRDefault="003D0AC8"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Колубара</w:t>
            </w:r>
            <w:r w:rsidR="00266140" w:rsidRPr="00565B02">
              <w:rPr>
                <w:rFonts w:ascii="Calibri" w:eastAsia="Calibri" w:hAnsi="Calibri" w:cs="Calibri"/>
                <w:color w:val="000000"/>
                <w:sz w:val="20"/>
                <w:szCs w:val="20"/>
              </w:rPr>
              <w:t xml:space="preserve"> A5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14640C9" w14:textId="4C03754D" w:rsidR="00266140" w:rsidRPr="00266140" w:rsidRDefault="008E401C" w:rsidP="00266140">
            <w:pPr>
              <w:spacing w:line="276" w:lineRule="auto"/>
              <w:jc w:val="center"/>
              <w:rPr>
                <w:rFonts w:ascii="Calibri" w:eastAsia="Calibri" w:hAnsi="Calibri" w:cs="Calibri"/>
                <w:color w:val="000000"/>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508</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F303929"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80DA114"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7DE9452B"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790F78B4"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c>
          <w:tcPr>
            <w:tcW w:w="1170"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61969BC8"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r>
      <w:tr w:rsidR="00266140" w:rsidRPr="00266140" w14:paraId="2BC21238"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4C5D3638" w14:textId="19A68A7D"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Костолац</w:t>
            </w:r>
            <w:r w:rsidR="003D0AC8" w:rsidRPr="008E401C">
              <w:rPr>
                <w:rFonts w:ascii="Calibri" w:eastAsia="Calibri" w:hAnsi="Calibri" w:cs="Calibri"/>
                <w:color w:val="000000"/>
                <w:sz w:val="20"/>
                <w:szCs w:val="20"/>
              </w:rPr>
              <w:t xml:space="preserve"> </w:t>
            </w:r>
            <w:r w:rsidRPr="00565B02">
              <w:rPr>
                <w:rFonts w:ascii="Calibri" w:eastAsia="Calibri" w:hAnsi="Calibri" w:cs="Calibri"/>
                <w:color w:val="000000"/>
                <w:sz w:val="20"/>
                <w:szCs w:val="20"/>
              </w:rPr>
              <w:t>A1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EF5D90A" w14:textId="1130A1DD" w:rsidR="00266140" w:rsidRPr="00266140" w:rsidRDefault="008E401C" w:rsidP="00266140">
            <w:pPr>
              <w:spacing w:line="276" w:lineRule="auto"/>
              <w:jc w:val="center"/>
              <w:rPr>
                <w:rFonts w:ascii="Calibri" w:eastAsia="Calibri" w:hAnsi="Calibri" w:cs="Calibri"/>
                <w:color w:val="000000"/>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512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8940E2E" w14:textId="1718E5A0" w:rsidR="00266140" w:rsidRPr="00266140" w:rsidRDefault="008E401C" w:rsidP="00266140">
            <w:pPr>
              <w:spacing w:line="276" w:lineRule="auto"/>
              <w:jc w:val="center"/>
              <w:rPr>
                <w:rFonts w:ascii="Calibri" w:eastAsia="Calibri" w:hAnsi="Calibri" w:cs="Calibri"/>
                <w:color w:val="000000"/>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276</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2F0C15E" w14:textId="660A806B" w:rsidR="00266140" w:rsidRPr="00266140" w:rsidRDefault="008E401C" w:rsidP="00266140">
            <w:pPr>
              <w:spacing w:line="276" w:lineRule="auto"/>
              <w:jc w:val="center"/>
              <w:rPr>
                <w:rFonts w:ascii="Calibri" w:eastAsia="Calibri" w:hAnsi="Calibri" w:cs="Calibri"/>
                <w:color w:val="000000"/>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252</w:t>
            </w: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79371800" w14:textId="63433193" w:rsidR="00266140" w:rsidRPr="00266140" w:rsidRDefault="008E401C" w:rsidP="00266140">
            <w:pPr>
              <w:spacing w:line="276" w:lineRule="auto"/>
              <w:jc w:val="center"/>
              <w:rPr>
                <w:rFonts w:ascii="Calibri" w:eastAsia="Calibri" w:hAnsi="Calibri" w:cs="Calibri"/>
                <w:color w:val="000000"/>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158</w:t>
            </w: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51A0A492"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c>
          <w:tcPr>
            <w:tcW w:w="1170"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1AD65686"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r>
      <w:tr w:rsidR="00266140" w:rsidRPr="00266140" w14:paraId="7696E907"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4F41C962" w14:textId="5C5A4A96"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Костолац</w:t>
            </w:r>
            <w:r w:rsidR="003D0AC8" w:rsidRPr="008E401C">
              <w:rPr>
                <w:rFonts w:ascii="Calibri" w:eastAsia="Calibri" w:hAnsi="Calibri" w:cs="Calibri"/>
                <w:color w:val="000000"/>
                <w:sz w:val="20"/>
                <w:szCs w:val="20"/>
              </w:rPr>
              <w:t xml:space="preserve"> </w:t>
            </w:r>
            <w:r w:rsidRPr="00565B02">
              <w:rPr>
                <w:rFonts w:ascii="Calibri" w:eastAsia="Calibri" w:hAnsi="Calibri" w:cs="Calibri"/>
                <w:color w:val="000000"/>
                <w:sz w:val="20"/>
                <w:szCs w:val="20"/>
              </w:rPr>
              <w:t>A2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9D782AE"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1,071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BBD0B07" w14:textId="0A9744D6" w:rsidR="00266140" w:rsidRPr="00266140" w:rsidRDefault="008E401C" w:rsidP="00266140">
            <w:pPr>
              <w:spacing w:line="276" w:lineRule="auto"/>
              <w:jc w:val="center"/>
              <w:rPr>
                <w:rFonts w:ascii="Calibri" w:eastAsia="Calibri" w:hAnsi="Calibri" w:cs="Calibri"/>
                <w:color w:val="000000"/>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586</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E5CDFC4" w14:textId="3B59028C" w:rsidR="00266140" w:rsidRPr="00266140" w:rsidRDefault="008E401C" w:rsidP="00266140">
            <w:pPr>
              <w:spacing w:line="276" w:lineRule="auto"/>
              <w:jc w:val="center"/>
              <w:rPr>
                <w:rFonts w:ascii="Calibri" w:eastAsia="Calibri" w:hAnsi="Calibri" w:cs="Calibri"/>
                <w:color w:val="000000"/>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535</w:t>
            </w: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3C011BF9" w14:textId="027685B0" w:rsidR="00266140" w:rsidRPr="00266140" w:rsidRDefault="008E401C" w:rsidP="00266140">
            <w:pPr>
              <w:spacing w:line="276" w:lineRule="auto"/>
              <w:jc w:val="center"/>
              <w:rPr>
                <w:rFonts w:ascii="Calibri" w:eastAsia="Calibri" w:hAnsi="Calibri" w:cs="Calibri"/>
                <w:color w:val="000000"/>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335</w:t>
            </w: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119AFB06"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c>
          <w:tcPr>
            <w:tcW w:w="1170"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019CC750"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r>
      <w:tr w:rsidR="00266140" w:rsidRPr="00266140" w14:paraId="14240618"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1676AEC1" w14:textId="77777777" w:rsidR="00266140" w:rsidRPr="008E401C"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 xml:space="preserve">TE </w:t>
            </w:r>
            <w:r w:rsidRPr="008E401C">
              <w:rPr>
                <w:rFonts w:ascii="Calibri" w:eastAsia="Calibri" w:hAnsi="Calibri" w:cs="Calibri"/>
                <w:color w:val="000000"/>
                <w:sz w:val="20"/>
                <w:szCs w:val="20"/>
              </w:rPr>
              <w:t>Морава</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21ACED8" w14:textId="35A8E701" w:rsidR="00266140" w:rsidRPr="00266140" w:rsidRDefault="008E401C" w:rsidP="00266140">
            <w:pPr>
              <w:spacing w:line="276" w:lineRule="auto"/>
              <w:jc w:val="center"/>
              <w:rPr>
                <w:rFonts w:ascii="Calibri" w:eastAsia="Calibri" w:hAnsi="Calibri" w:cs="Calibri"/>
                <w:color w:val="000000"/>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322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97E1F2B"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67E8146"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E322D4D"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5600B8C4"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c>
          <w:tcPr>
            <w:tcW w:w="1170"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74BD1037"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r>
      <w:tr w:rsidR="00266140" w:rsidRPr="00266140" w14:paraId="27E512BE"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450A80CA" w14:textId="01A4245B"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Костолац</w:t>
            </w:r>
            <w:r w:rsidR="003D0AC8" w:rsidRPr="008E401C">
              <w:rPr>
                <w:rFonts w:ascii="Calibri" w:eastAsia="Calibri" w:hAnsi="Calibri" w:cs="Calibri"/>
                <w:color w:val="000000"/>
                <w:sz w:val="20"/>
                <w:szCs w:val="20"/>
              </w:rPr>
              <w:t xml:space="preserve"> </w:t>
            </w:r>
            <w:r w:rsidRPr="00565B02">
              <w:rPr>
                <w:rFonts w:ascii="Calibri" w:eastAsia="Calibri" w:hAnsi="Calibri" w:cs="Calibri"/>
                <w:color w:val="000000"/>
                <w:sz w:val="20"/>
                <w:szCs w:val="20"/>
              </w:rPr>
              <w:t>B1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EFB9675"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1,716</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4C7CE82"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1,614</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04A406C"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1,444</w:t>
            </w: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0B9637FE" w14:textId="09FC4514" w:rsidR="00266140" w:rsidRPr="00266140" w:rsidRDefault="008E401C" w:rsidP="00266140">
            <w:pPr>
              <w:spacing w:line="276" w:lineRule="auto"/>
              <w:jc w:val="center"/>
              <w:rPr>
                <w:rFonts w:ascii="Calibri" w:eastAsia="Calibri" w:hAnsi="Calibri" w:cs="Calibri"/>
                <w:color w:val="000000"/>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969</w:t>
            </w: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1CEECD10" w14:textId="1AE100EA" w:rsidR="00266140" w:rsidRPr="00266140" w:rsidRDefault="008E401C" w:rsidP="00266140">
            <w:pPr>
              <w:spacing w:line="276" w:lineRule="auto"/>
              <w:jc w:val="center"/>
              <w:rPr>
                <w:rFonts w:ascii="Calibri" w:eastAsia="Calibri" w:hAnsi="Calibri" w:cs="Calibri"/>
                <w:color w:val="000000"/>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554</w:t>
            </w:r>
          </w:p>
        </w:tc>
        <w:tc>
          <w:tcPr>
            <w:tcW w:w="1170"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103DA4B9"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r>
      <w:tr w:rsidR="00266140" w:rsidRPr="00266140" w14:paraId="21900721"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1A0CCC15" w14:textId="261EC102"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Костолац</w:t>
            </w:r>
            <w:r w:rsidR="003D0AC8" w:rsidRPr="008E401C">
              <w:rPr>
                <w:rFonts w:ascii="Calibri" w:eastAsia="Calibri" w:hAnsi="Calibri" w:cs="Calibri"/>
                <w:color w:val="000000"/>
                <w:sz w:val="20"/>
                <w:szCs w:val="20"/>
              </w:rPr>
              <w:t xml:space="preserve"> </w:t>
            </w:r>
            <w:r w:rsidRPr="00565B02">
              <w:rPr>
                <w:rFonts w:ascii="Calibri" w:eastAsia="Calibri" w:hAnsi="Calibri" w:cs="Calibri"/>
                <w:color w:val="000000"/>
                <w:sz w:val="20"/>
                <w:szCs w:val="20"/>
              </w:rPr>
              <w:t>B2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7FDF8EC"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1,975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54377E2"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1,614</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85B0692"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1,522</w:t>
            </w: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0717F758"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1,107</w:t>
            </w: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3D789873" w14:textId="7C435492" w:rsidR="00266140" w:rsidRPr="00266140" w:rsidRDefault="008E401C" w:rsidP="00266140">
            <w:pPr>
              <w:spacing w:line="276" w:lineRule="auto"/>
              <w:jc w:val="center"/>
              <w:rPr>
                <w:rFonts w:ascii="Calibri" w:eastAsia="Calibri" w:hAnsi="Calibri" w:cs="Calibri"/>
                <w:color w:val="000000"/>
                <w:sz w:val="20"/>
                <w:szCs w:val="20"/>
                <w:lang w:val="en-US"/>
              </w:rPr>
            </w:pPr>
            <w:r>
              <w:rPr>
                <w:rFonts w:ascii="Calibri" w:eastAsia="Calibri" w:hAnsi="Calibri" w:cs="Calibri"/>
                <w:color w:val="000000"/>
                <w:sz w:val="20"/>
                <w:szCs w:val="20"/>
              </w:rPr>
              <w:t>0</w:t>
            </w:r>
            <w:r w:rsidR="00266140" w:rsidRPr="00266140">
              <w:rPr>
                <w:rFonts w:ascii="Calibri" w:eastAsia="Calibri" w:hAnsi="Calibri" w:cs="Calibri"/>
                <w:color w:val="000000"/>
                <w:sz w:val="20"/>
                <w:szCs w:val="20"/>
                <w:lang w:val="en-US"/>
              </w:rPr>
              <w:t>,692</w:t>
            </w:r>
          </w:p>
        </w:tc>
        <w:tc>
          <w:tcPr>
            <w:tcW w:w="1170"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567D576E"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r>
      <w:tr w:rsidR="00266140" w:rsidRPr="00266140" w14:paraId="70685BD7"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2D6E539B" w14:textId="2BD69581"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Костолац</w:t>
            </w:r>
            <w:r w:rsidR="003D0AC8" w:rsidRPr="008E401C">
              <w:rPr>
                <w:rFonts w:ascii="Calibri" w:eastAsia="Calibri" w:hAnsi="Calibri" w:cs="Calibri"/>
                <w:color w:val="000000"/>
                <w:sz w:val="20"/>
                <w:szCs w:val="20"/>
              </w:rPr>
              <w:t xml:space="preserve"> </w:t>
            </w:r>
            <w:r w:rsidRPr="00565B02">
              <w:rPr>
                <w:rFonts w:ascii="Calibri" w:eastAsia="Calibri" w:hAnsi="Calibri" w:cs="Calibri"/>
                <w:color w:val="000000"/>
                <w:sz w:val="20"/>
                <w:szCs w:val="20"/>
              </w:rPr>
              <w:t>B3</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C8A3A3F"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2,453</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DE97407"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2,453</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015152C"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2,391</w:t>
            </w: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3DA10A7"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2,453</w:t>
            </w:r>
          </w:p>
        </w:tc>
        <w:tc>
          <w:tcPr>
            <w:tcW w:w="1179"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7FBD9E12"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1,533</w:t>
            </w:r>
          </w:p>
        </w:tc>
        <w:tc>
          <w:tcPr>
            <w:tcW w:w="1170"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8661CB7"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r>
    </w:tbl>
    <w:p w14:paraId="146F188D" w14:textId="327B6011" w:rsidR="008E401C" w:rsidRDefault="008E401C" w:rsidP="00565B02">
      <w:pPr>
        <w:pStyle w:val="Caption"/>
        <w:keepNext/>
        <w:spacing w:before="200"/>
      </w:pPr>
      <w:bookmarkStart w:id="493" w:name="_Toc153901493"/>
      <w:r>
        <w:t xml:space="preserve">Табела </w:t>
      </w:r>
      <w:r w:rsidR="00873C40">
        <w:fldChar w:fldCharType="begin"/>
      </w:r>
      <w:r w:rsidR="00873C40">
        <w:instrText xml:space="preserve"> STYLEREF 1 \s </w:instrText>
      </w:r>
      <w:r w:rsidR="00873C40">
        <w:fldChar w:fldCharType="separate"/>
      </w:r>
      <w:r w:rsidR="00873C40">
        <w:rPr>
          <w:noProof/>
        </w:rPr>
        <w:t>II</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7</w:t>
      </w:r>
      <w:r w:rsidR="00873C40">
        <w:fldChar w:fldCharType="end"/>
      </w:r>
      <w:r>
        <w:t xml:space="preserve">: </w:t>
      </w:r>
      <w:r w:rsidRPr="008E401C">
        <w:t>Фактори капацитета уз разматрање сигурности снабдевања</w:t>
      </w:r>
      <w:bookmarkEnd w:id="493"/>
    </w:p>
    <w:tbl>
      <w:tblPr>
        <w:tblW w:w="91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3"/>
        <w:gridCol w:w="1289"/>
        <w:gridCol w:w="1289"/>
        <w:gridCol w:w="1289"/>
        <w:gridCol w:w="1176"/>
        <w:gridCol w:w="1176"/>
        <w:gridCol w:w="1176"/>
      </w:tblGrid>
      <w:tr w:rsidR="00266140" w:rsidRPr="00266140" w14:paraId="264B2F26" w14:textId="77777777" w:rsidTr="00565B02">
        <w:trPr>
          <w:trHeight w:val="360"/>
          <w:jc w:val="center"/>
        </w:trPr>
        <w:tc>
          <w:tcPr>
            <w:tcW w:w="1753" w:type="dxa"/>
            <w:tcBorders>
              <w:top w:val="single" w:sz="4" w:space="0" w:color="auto"/>
              <w:left w:val="single" w:sz="4" w:space="0" w:color="auto"/>
              <w:bottom w:val="single" w:sz="4" w:space="0" w:color="auto"/>
              <w:right w:val="single" w:sz="4" w:space="0" w:color="auto"/>
            </w:tcBorders>
            <w:shd w:val="clear" w:color="auto" w:fill="404040"/>
            <w:noWrap/>
            <w:vAlign w:val="center"/>
            <w:hideMark/>
          </w:tcPr>
          <w:p w14:paraId="55B54A30" w14:textId="77777777" w:rsidR="00266140" w:rsidRPr="00266140" w:rsidRDefault="00266140" w:rsidP="00266140">
            <w:pPr>
              <w:spacing w:line="276" w:lineRule="auto"/>
              <w:jc w:val="center"/>
              <w:rPr>
                <w:rFonts w:ascii="Calibri" w:eastAsia="Calibri" w:hAnsi="Calibri" w:cs="Calibri"/>
                <w:b/>
                <w:bCs/>
                <w:color w:val="FFFFFF"/>
                <w:sz w:val="20"/>
                <w:szCs w:val="20"/>
              </w:rPr>
            </w:pPr>
            <w:r w:rsidRPr="00266140">
              <w:rPr>
                <w:rFonts w:ascii="Calibri" w:eastAsia="Calibri" w:hAnsi="Calibri" w:cs="Calibri"/>
                <w:b/>
                <w:bCs/>
                <w:color w:val="FFFFFF"/>
                <w:sz w:val="20"/>
                <w:szCs w:val="20"/>
              </w:rPr>
              <w:t>Фактор капацитета по блоку</w:t>
            </w:r>
          </w:p>
        </w:tc>
        <w:tc>
          <w:tcPr>
            <w:tcW w:w="128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26EBF299" w14:textId="77777777" w:rsidR="00266140" w:rsidRPr="00266140" w:rsidRDefault="00266140" w:rsidP="00266140">
            <w:pPr>
              <w:spacing w:line="276" w:lineRule="auto"/>
              <w:jc w:val="center"/>
              <w:rPr>
                <w:rFonts w:ascii="Calibri" w:eastAsia="Calibri" w:hAnsi="Calibri" w:cs="Calibri"/>
                <w:b/>
                <w:bCs/>
                <w:color w:val="FFFFFF"/>
                <w:sz w:val="20"/>
                <w:szCs w:val="20"/>
                <w:lang w:val="en-US"/>
              </w:rPr>
            </w:pPr>
            <w:r w:rsidRPr="00266140">
              <w:rPr>
                <w:rFonts w:ascii="Calibri" w:eastAsia="Calibri" w:hAnsi="Calibri" w:cs="Calibri"/>
                <w:color w:val="FFFFFF"/>
                <w:sz w:val="20"/>
                <w:szCs w:val="20"/>
                <w:lang w:val="en-US"/>
              </w:rPr>
              <w:t>2025</w:t>
            </w:r>
          </w:p>
        </w:tc>
        <w:tc>
          <w:tcPr>
            <w:tcW w:w="128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44C6A548" w14:textId="77777777" w:rsidR="00266140" w:rsidRPr="00266140" w:rsidRDefault="00266140" w:rsidP="00266140">
            <w:pPr>
              <w:spacing w:line="276" w:lineRule="auto"/>
              <w:jc w:val="center"/>
              <w:rPr>
                <w:rFonts w:ascii="Calibri" w:eastAsia="Calibri" w:hAnsi="Calibri" w:cs="Calibri"/>
                <w:b/>
                <w:bCs/>
                <w:color w:val="FFFFFF"/>
                <w:sz w:val="20"/>
                <w:szCs w:val="20"/>
                <w:lang w:val="en-US"/>
              </w:rPr>
            </w:pPr>
            <w:r w:rsidRPr="00266140">
              <w:rPr>
                <w:rFonts w:ascii="Calibri" w:eastAsia="Calibri" w:hAnsi="Calibri" w:cs="Calibri"/>
                <w:color w:val="FFFFFF"/>
                <w:sz w:val="20"/>
                <w:szCs w:val="20"/>
                <w:lang w:val="en-US"/>
              </w:rPr>
              <w:t>2030</w:t>
            </w:r>
          </w:p>
        </w:tc>
        <w:tc>
          <w:tcPr>
            <w:tcW w:w="128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13BFA2DC" w14:textId="77777777" w:rsidR="00266140" w:rsidRPr="00266140" w:rsidRDefault="00266140" w:rsidP="00266140">
            <w:pPr>
              <w:spacing w:line="276" w:lineRule="auto"/>
              <w:jc w:val="center"/>
              <w:rPr>
                <w:rFonts w:ascii="Calibri" w:eastAsia="Calibri" w:hAnsi="Calibri" w:cs="Calibri"/>
                <w:b/>
                <w:bCs/>
                <w:color w:val="FFFFFF"/>
                <w:sz w:val="20"/>
                <w:szCs w:val="20"/>
                <w:lang w:val="en-US"/>
              </w:rPr>
            </w:pPr>
            <w:r w:rsidRPr="00266140">
              <w:rPr>
                <w:rFonts w:ascii="Calibri" w:eastAsia="Calibri" w:hAnsi="Calibri" w:cs="Calibri"/>
                <w:color w:val="FFFFFF"/>
                <w:sz w:val="20"/>
                <w:szCs w:val="20"/>
                <w:lang w:val="en-US"/>
              </w:rPr>
              <w:t>2035</w:t>
            </w:r>
          </w:p>
        </w:tc>
        <w:tc>
          <w:tcPr>
            <w:tcW w:w="1176"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39D79462" w14:textId="77777777" w:rsidR="00266140" w:rsidRPr="00266140" w:rsidRDefault="00266140" w:rsidP="00266140">
            <w:pPr>
              <w:spacing w:line="276" w:lineRule="auto"/>
              <w:jc w:val="center"/>
              <w:rPr>
                <w:rFonts w:ascii="Calibri" w:eastAsia="Calibri" w:hAnsi="Calibri" w:cs="Calibri"/>
                <w:b/>
                <w:bCs/>
                <w:color w:val="FFFFFF"/>
                <w:sz w:val="20"/>
                <w:szCs w:val="20"/>
                <w:lang w:val="en-US"/>
              </w:rPr>
            </w:pPr>
            <w:r w:rsidRPr="00266140">
              <w:rPr>
                <w:rFonts w:ascii="Calibri" w:eastAsia="Calibri" w:hAnsi="Calibri" w:cs="Calibri"/>
                <w:color w:val="FFFFFF"/>
                <w:sz w:val="20"/>
                <w:szCs w:val="20"/>
                <w:lang w:val="en-US"/>
              </w:rPr>
              <w:t>2040</w:t>
            </w:r>
          </w:p>
        </w:tc>
        <w:tc>
          <w:tcPr>
            <w:tcW w:w="1176"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1E6451DD" w14:textId="77777777" w:rsidR="00266140" w:rsidRPr="00266140" w:rsidRDefault="00266140" w:rsidP="00266140">
            <w:pPr>
              <w:spacing w:line="276" w:lineRule="auto"/>
              <w:jc w:val="center"/>
              <w:rPr>
                <w:rFonts w:ascii="Calibri" w:eastAsia="Calibri" w:hAnsi="Calibri" w:cs="Calibri"/>
                <w:b/>
                <w:bCs/>
                <w:color w:val="FFFFFF"/>
                <w:sz w:val="20"/>
                <w:szCs w:val="20"/>
                <w:lang w:val="en-US"/>
              </w:rPr>
            </w:pPr>
            <w:r w:rsidRPr="00266140">
              <w:rPr>
                <w:rFonts w:ascii="Calibri" w:eastAsia="Calibri" w:hAnsi="Calibri" w:cs="Calibri"/>
                <w:color w:val="FFFFFF"/>
                <w:sz w:val="20"/>
                <w:szCs w:val="20"/>
                <w:lang w:val="en-US"/>
              </w:rPr>
              <w:t>2045</w:t>
            </w:r>
          </w:p>
        </w:tc>
        <w:tc>
          <w:tcPr>
            <w:tcW w:w="1176"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09A55219" w14:textId="77777777" w:rsidR="00266140" w:rsidRPr="00266140" w:rsidRDefault="00266140" w:rsidP="00266140">
            <w:pPr>
              <w:spacing w:line="276" w:lineRule="auto"/>
              <w:jc w:val="center"/>
              <w:rPr>
                <w:rFonts w:ascii="Calibri" w:eastAsia="Calibri" w:hAnsi="Calibri" w:cs="Calibri"/>
                <w:b/>
                <w:bCs/>
                <w:color w:val="FFFFFF"/>
                <w:sz w:val="20"/>
                <w:szCs w:val="20"/>
                <w:lang w:val="en-US"/>
              </w:rPr>
            </w:pPr>
            <w:r w:rsidRPr="00266140">
              <w:rPr>
                <w:rFonts w:ascii="Calibri" w:eastAsia="Calibri" w:hAnsi="Calibri" w:cs="Calibri"/>
                <w:color w:val="FFFFFF"/>
                <w:sz w:val="20"/>
                <w:szCs w:val="20"/>
                <w:lang w:val="en-US"/>
              </w:rPr>
              <w:t>20</w:t>
            </w:r>
            <w:r w:rsidRPr="00266140">
              <w:rPr>
                <w:rFonts w:ascii="Calibri" w:eastAsia="Calibri" w:hAnsi="Calibri" w:cs="Calibri"/>
                <w:color w:val="FFFFFF"/>
                <w:sz w:val="20"/>
                <w:szCs w:val="20"/>
              </w:rPr>
              <w:t>50</w:t>
            </w:r>
          </w:p>
        </w:tc>
      </w:tr>
      <w:tr w:rsidR="00266140" w:rsidRPr="00266140" w14:paraId="5436D48C" w14:textId="77777777" w:rsidTr="00565B02">
        <w:trPr>
          <w:trHeight w:val="80"/>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2D5C82C6" w14:textId="77777777" w:rsidR="00266140" w:rsidRPr="00565B02" w:rsidRDefault="00266140" w:rsidP="00266140">
            <w:pPr>
              <w:spacing w:line="276" w:lineRule="auto"/>
              <w:rPr>
                <w:rFonts w:ascii="Calibri" w:eastAsia="Calibri" w:hAnsi="Calibri" w:cs="Calibri"/>
                <w:color w:val="000000"/>
                <w:sz w:val="20"/>
                <w:szCs w:val="20"/>
              </w:rPr>
            </w:pPr>
            <w:r w:rsidRPr="00565B02">
              <w:rPr>
                <w:rFonts w:ascii="Calibri" w:eastAsia="Calibri" w:hAnsi="Calibri" w:cs="Calibri"/>
                <w:color w:val="000000"/>
                <w:sz w:val="20"/>
                <w:szCs w:val="20"/>
              </w:rPr>
              <w:t>Тесла A1</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5111A1B9"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58%</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2C760E19"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35%</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4807B165"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32%</w:t>
            </w:r>
          </w:p>
        </w:tc>
        <w:tc>
          <w:tcPr>
            <w:tcW w:w="1176" w:type="dxa"/>
            <w:tcBorders>
              <w:top w:val="single" w:sz="4" w:space="0" w:color="auto"/>
              <w:left w:val="single" w:sz="4" w:space="0" w:color="auto"/>
              <w:bottom w:val="single" w:sz="4" w:space="0" w:color="auto"/>
              <w:right w:val="single" w:sz="4" w:space="0" w:color="auto"/>
            </w:tcBorders>
            <w:vAlign w:val="center"/>
            <w:hideMark/>
          </w:tcPr>
          <w:p w14:paraId="6A2D4123"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15%</w:t>
            </w:r>
          </w:p>
        </w:tc>
        <w:tc>
          <w:tcPr>
            <w:tcW w:w="1176" w:type="dxa"/>
            <w:tcBorders>
              <w:top w:val="single" w:sz="4" w:space="0" w:color="auto"/>
              <w:left w:val="single" w:sz="4" w:space="0" w:color="auto"/>
              <w:bottom w:val="single" w:sz="4" w:space="0" w:color="auto"/>
              <w:right w:val="single" w:sz="4" w:space="0" w:color="auto"/>
            </w:tcBorders>
            <w:vAlign w:val="center"/>
          </w:tcPr>
          <w:p w14:paraId="6528C690" w14:textId="77777777" w:rsidR="00266140" w:rsidRPr="00266140" w:rsidRDefault="00266140" w:rsidP="00266140">
            <w:pPr>
              <w:spacing w:line="276" w:lineRule="auto"/>
              <w:jc w:val="center"/>
              <w:rPr>
                <w:rFonts w:ascii="Calibri" w:eastAsia="Calibri" w:hAnsi="Calibri" w:cs="Calibri"/>
                <w:sz w:val="20"/>
                <w:szCs w:val="20"/>
                <w:lang w:val="en-US"/>
              </w:rPr>
            </w:pPr>
          </w:p>
        </w:tc>
        <w:tc>
          <w:tcPr>
            <w:tcW w:w="1176" w:type="dxa"/>
            <w:tcBorders>
              <w:top w:val="single" w:sz="4" w:space="0" w:color="auto"/>
              <w:left w:val="single" w:sz="4" w:space="0" w:color="auto"/>
              <w:bottom w:val="single" w:sz="4" w:space="0" w:color="auto"/>
              <w:right w:val="single" w:sz="4" w:space="0" w:color="auto"/>
            </w:tcBorders>
            <w:vAlign w:val="center"/>
            <w:hideMark/>
          </w:tcPr>
          <w:p w14:paraId="68565CE6"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color w:val="000000"/>
                <w:sz w:val="20"/>
                <w:szCs w:val="20"/>
                <w:lang w:val="en-US"/>
              </w:rPr>
              <w:t>-</w:t>
            </w:r>
          </w:p>
        </w:tc>
      </w:tr>
      <w:tr w:rsidR="00266140" w:rsidRPr="00266140" w14:paraId="0F83787A"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5684D567" w14:textId="77777777" w:rsidR="00266140" w:rsidRPr="00565B02" w:rsidRDefault="00266140" w:rsidP="00266140">
            <w:pPr>
              <w:spacing w:line="276" w:lineRule="auto"/>
              <w:rPr>
                <w:rFonts w:ascii="Calibri" w:eastAsia="Calibri" w:hAnsi="Calibri" w:cs="Calibri"/>
                <w:color w:val="000000"/>
                <w:sz w:val="20"/>
                <w:szCs w:val="20"/>
              </w:rPr>
            </w:pPr>
            <w:r w:rsidRPr="00565B02">
              <w:rPr>
                <w:rFonts w:ascii="Calibri" w:eastAsia="Calibri" w:hAnsi="Calibri" w:cs="Calibri"/>
                <w:color w:val="000000"/>
                <w:sz w:val="20"/>
                <w:szCs w:val="20"/>
              </w:rPr>
              <w:lastRenderedPageBreak/>
              <w:t>Тесла A2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0FBA264"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58%</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091A53B"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E7C862D"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32%</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4A343999"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15%</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tcPr>
          <w:p w14:paraId="509286D6" w14:textId="77777777" w:rsidR="00266140" w:rsidRPr="00266140" w:rsidRDefault="00266140" w:rsidP="00266140">
            <w:pPr>
              <w:spacing w:line="276" w:lineRule="auto"/>
              <w:jc w:val="center"/>
              <w:rPr>
                <w:rFonts w:ascii="Calibri" w:eastAsia="Calibri" w:hAnsi="Calibri" w:cs="Calibri"/>
                <w:sz w:val="20"/>
                <w:szCs w:val="20"/>
                <w:lang w:val="en-US"/>
              </w:rPr>
            </w:pP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04B9AEF"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color w:val="000000"/>
                <w:sz w:val="20"/>
                <w:szCs w:val="20"/>
                <w:lang w:val="en-US"/>
              </w:rPr>
              <w:t>-</w:t>
            </w:r>
          </w:p>
        </w:tc>
      </w:tr>
      <w:tr w:rsidR="00266140" w:rsidRPr="00266140" w14:paraId="51D9EABA"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41B195E5" w14:textId="77777777" w:rsidR="00266140" w:rsidRPr="00565B02" w:rsidRDefault="00266140" w:rsidP="00266140">
            <w:pPr>
              <w:spacing w:line="276" w:lineRule="auto"/>
              <w:rPr>
                <w:rFonts w:ascii="Calibri" w:eastAsia="Calibri" w:hAnsi="Calibri" w:cs="Calibri"/>
                <w:color w:val="000000"/>
                <w:sz w:val="20"/>
                <w:szCs w:val="20"/>
              </w:rPr>
            </w:pPr>
            <w:r w:rsidRPr="00565B02">
              <w:rPr>
                <w:rFonts w:ascii="Calibri" w:eastAsia="Calibri" w:hAnsi="Calibri" w:cs="Calibri"/>
                <w:color w:val="000000"/>
                <w:sz w:val="20"/>
                <w:szCs w:val="20"/>
              </w:rPr>
              <w:t>Тесла A3</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54D04729"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80%</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5546C8FC"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40%</w:t>
            </w:r>
          </w:p>
        </w:tc>
        <w:tc>
          <w:tcPr>
            <w:tcW w:w="1289" w:type="dxa"/>
            <w:tcBorders>
              <w:top w:val="single" w:sz="4" w:space="0" w:color="auto"/>
              <w:left w:val="single" w:sz="4" w:space="0" w:color="auto"/>
              <w:bottom w:val="single" w:sz="4" w:space="0" w:color="auto"/>
              <w:right w:val="single" w:sz="4" w:space="0" w:color="auto"/>
            </w:tcBorders>
            <w:noWrap/>
            <w:vAlign w:val="center"/>
            <w:hideMark/>
          </w:tcPr>
          <w:p w14:paraId="17994444"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38%</w:t>
            </w:r>
          </w:p>
        </w:tc>
        <w:tc>
          <w:tcPr>
            <w:tcW w:w="1176" w:type="dxa"/>
            <w:tcBorders>
              <w:top w:val="single" w:sz="4" w:space="0" w:color="auto"/>
              <w:left w:val="single" w:sz="4" w:space="0" w:color="auto"/>
              <w:bottom w:val="single" w:sz="4" w:space="0" w:color="auto"/>
              <w:right w:val="single" w:sz="4" w:space="0" w:color="auto"/>
            </w:tcBorders>
            <w:vAlign w:val="center"/>
            <w:hideMark/>
          </w:tcPr>
          <w:p w14:paraId="6DDC9A93"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30%</w:t>
            </w:r>
          </w:p>
        </w:tc>
        <w:tc>
          <w:tcPr>
            <w:tcW w:w="1176" w:type="dxa"/>
            <w:tcBorders>
              <w:top w:val="single" w:sz="4" w:space="0" w:color="auto"/>
              <w:left w:val="single" w:sz="4" w:space="0" w:color="auto"/>
              <w:bottom w:val="single" w:sz="4" w:space="0" w:color="auto"/>
              <w:right w:val="single" w:sz="4" w:space="0" w:color="auto"/>
            </w:tcBorders>
            <w:vAlign w:val="center"/>
            <w:hideMark/>
          </w:tcPr>
          <w:p w14:paraId="4322EA3F"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15%</w:t>
            </w:r>
          </w:p>
        </w:tc>
        <w:tc>
          <w:tcPr>
            <w:tcW w:w="1176" w:type="dxa"/>
            <w:tcBorders>
              <w:top w:val="single" w:sz="4" w:space="0" w:color="auto"/>
              <w:left w:val="single" w:sz="4" w:space="0" w:color="auto"/>
              <w:bottom w:val="single" w:sz="4" w:space="0" w:color="auto"/>
              <w:right w:val="single" w:sz="4" w:space="0" w:color="auto"/>
            </w:tcBorders>
            <w:vAlign w:val="center"/>
            <w:hideMark/>
          </w:tcPr>
          <w:p w14:paraId="2D813BA5"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color w:val="000000"/>
                <w:sz w:val="20"/>
                <w:szCs w:val="20"/>
                <w:lang w:val="en-US"/>
              </w:rPr>
              <w:t>-</w:t>
            </w:r>
          </w:p>
        </w:tc>
      </w:tr>
      <w:tr w:rsidR="00266140" w:rsidRPr="00266140" w14:paraId="7D8B1F19"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300ECDD8" w14:textId="77777777"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Тесла A4</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2FB9D01"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80%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9C2F86B"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40%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7C0FE88"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38%</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1F18332"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4942DC32"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15%</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5064B7F"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color w:val="000000"/>
                <w:sz w:val="20"/>
                <w:szCs w:val="20"/>
                <w:lang w:val="en-US"/>
              </w:rPr>
              <w:t>-</w:t>
            </w:r>
          </w:p>
        </w:tc>
      </w:tr>
      <w:tr w:rsidR="00266140" w:rsidRPr="00266140" w14:paraId="79D694A3"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5D350BB9" w14:textId="77777777"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Тесла A5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70FABF8"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58%</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F453B4A"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57%</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E003276"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42%</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189CDBFF"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54B07451"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15%</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106B277D"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color w:val="000000"/>
                <w:sz w:val="20"/>
                <w:szCs w:val="20"/>
                <w:lang w:val="en-US"/>
              </w:rPr>
              <w:t>-</w:t>
            </w:r>
          </w:p>
        </w:tc>
      </w:tr>
      <w:tr w:rsidR="00266140" w:rsidRPr="00266140" w14:paraId="76A98E8A"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38113431" w14:textId="77777777"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Тесла A6</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70C02C3"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58%</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2D2A6D6"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57%</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6576232"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42%</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315ED4C8"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1E15D479"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15%</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4684FB4D"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color w:val="000000"/>
                <w:sz w:val="20"/>
                <w:szCs w:val="20"/>
                <w:lang w:val="en-US"/>
              </w:rPr>
              <w:t>-</w:t>
            </w:r>
          </w:p>
        </w:tc>
      </w:tr>
      <w:tr w:rsidR="00266140" w:rsidRPr="00266140" w14:paraId="47D202B2"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61CE2E9B" w14:textId="77777777"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Тесла B1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DDECE7E"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55%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7A49DFA"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51%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14D505E"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45%</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3E110A1A"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34%</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EBD6D46"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19%</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3415EA80"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r>
      <w:tr w:rsidR="00266140" w:rsidRPr="00266140" w14:paraId="3E181DC3"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5EBE4A78" w14:textId="77777777"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Тесла B2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53BB556"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55%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EA8729F"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64%</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F41F117"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45%</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5FCAC317"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40%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00AB2AFE"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25%</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419CF963"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r>
      <w:tr w:rsidR="00266140" w:rsidRPr="00266140" w14:paraId="0227B239"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3E3A9C21" w14:textId="3F164FDD" w:rsidR="00266140" w:rsidRPr="00565B02" w:rsidRDefault="003D0AC8"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Колубара</w:t>
            </w:r>
            <w:r w:rsidR="00266140" w:rsidRPr="00565B02">
              <w:rPr>
                <w:rFonts w:ascii="Calibri" w:eastAsia="Calibri" w:hAnsi="Calibri" w:cs="Calibri"/>
                <w:color w:val="000000"/>
                <w:sz w:val="20"/>
                <w:szCs w:val="20"/>
              </w:rPr>
              <w:t xml:space="preserve"> A3</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984731B"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22%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1940B9D6" w14:textId="77777777" w:rsidR="00266140" w:rsidRPr="00266140" w:rsidRDefault="00266140" w:rsidP="00266140">
            <w:pPr>
              <w:spacing w:line="276" w:lineRule="auto"/>
              <w:jc w:val="center"/>
              <w:rPr>
                <w:rFonts w:ascii="Calibri" w:eastAsia="Calibri" w:hAnsi="Calibri" w:cs="Calibri"/>
                <w:color w:val="000000"/>
                <w:sz w:val="20"/>
                <w:szCs w:val="20"/>
                <w:lang w:val="en-US"/>
              </w:rPr>
            </w:pP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63261737" w14:textId="77777777" w:rsidR="00266140" w:rsidRPr="00266140" w:rsidRDefault="00266140" w:rsidP="00266140">
            <w:pPr>
              <w:spacing w:line="276" w:lineRule="auto"/>
              <w:jc w:val="center"/>
              <w:rPr>
                <w:rFonts w:ascii="Calibri" w:eastAsia="Calibri" w:hAnsi="Calibri" w:cs="Calibri"/>
                <w:color w:val="000000"/>
                <w:sz w:val="20"/>
                <w:szCs w:val="20"/>
                <w:lang w:val="en-US"/>
              </w:rPr>
            </w:pP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tcPr>
          <w:p w14:paraId="475575F7" w14:textId="77777777" w:rsidR="00266140" w:rsidRPr="00266140" w:rsidRDefault="00266140" w:rsidP="00266140">
            <w:pPr>
              <w:spacing w:line="276" w:lineRule="auto"/>
              <w:jc w:val="center"/>
              <w:rPr>
                <w:rFonts w:ascii="Calibri" w:eastAsia="Calibri" w:hAnsi="Calibri" w:cs="Calibri"/>
                <w:color w:val="000000"/>
                <w:sz w:val="20"/>
                <w:szCs w:val="20"/>
                <w:lang w:val="en-US"/>
              </w:rPr>
            </w:pP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tcPr>
          <w:p w14:paraId="349B6E88" w14:textId="77777777" w:rsidR="00266140" w:rsidRPr="00266140" w:rsidRDefault="00266140" w:rsidP="00266140">
            <w:pPr>
              <w:spacing w:line="276" w:lineRule="auto"/>
              <w:jc w:val="center"/>
              <w:rPr>
                <w:rFonts w:ascii="Calibri" w:eastAsia="Calibri" w:hAnsi="Calibri" w:cs="Calibri"/>
                <w:color w:val="000000"/>
                <w:sz w:val="20"/>
                <w:szCs w:val="20"/>
                <w:lang w:val="en-US"/>
              </w:rPr>
            </w:pP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tcPr>
          <w:p w14:paraId="49EC1D2A" w14:textId="77777777" w:rsidR="00266140" w:rsidRPr="00266140" w:rsidRDefault="00266140" w:rsidP="00266140">
            <w:pPr>
              <w:spacing w:line="276" w:lineRule="auto"/>
              <w:jc w:val="center"/>
              <w:rPr>
                <w:rFonts w:ascii="Calibri" w:eastAsia="Calibri" w:hAnsi="Calibri" w:cs="Calibri"/>
                <w:color w:val="000000"/>
                <w:sz w:val="20"/>
                <w:szCs w:val="20"/>
                <w:lang w:val="en-US"/>
              </w:rPr>
            </w:pPr>
          </w:p>
        </w:tc>
      </w:tr>
      <w:tr w:rsidR="00266140" w:rsidRPr="00266140" w14:paraId="602FD52D"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47ECDFA4" w14:textId="56029C4A" w:rsidR="00266140" w:rsidRPr="00565B02" w:rsidRDefault="003D0AC8"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Колубара</w:t>
            </w:r>
            <w:r w:rsidR="00266140" w:rsidRPr="00565B02">
              <w:rPr>
                <w:rFonts w:ascii="Calibri" w:eastAsia="Calibri" w:hAnsi="Calibri" w:cs="Calibri"/>
                <w:color w:val="000000"/>
                <w:sz w:val="20"/>
                <w:szCs w:val="20"/>
              </w:rPr>
              <w:t xml:space="preserve"> A5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54C737D"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58%</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40F77C3E" w14:textId="77777777" w:rsidR="00266140" w:rsidRPr="00266140" w:rsidRDefault="00266140" w:rsidP="00266140">
            <w:pPr>
              <w:spacing w:line="276" w:lineRule="auto"/>
              <w:jc w:val="center"/>
              <w:rPr>
                <w:rFonts w:ascii="Calibri" w:eastAsia="Calibri" w:hAnsi="Calibri" w:cs="Calibri"/>
                <w:color w:val="000000"/>
                <w:sz w:val="20"/>
                <w:szCs w:val="20"/>
                <w:lang w:val="en-US"/>
              </w:rPr>
            </w:pP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71663DB2" w14:textId="77777777" w:rsidR="00266140" w:rsidRPr="00266140" w:rsidRDefault="00266140" w:rsidP="00266140">
            <w:pPr>
              <w:spacing w:line="276" w:lineRule="auto"/>
              <w:jc w:val="center"/>
              <w:rPr>
                <w:rFonts w:ascii="Calibri" w:eastAsia="Calibri" w:hAnsi="Calibri" w:cs="Calibri"/>
                <w:color w:val="000000"/>
                <w:sz w:val="20"/>
                <w:szCs w:val="20"/>
                <w:lang w:val="en-US"/>
              </w:rPr>
            </w:pP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tcPr>
          <w:p w14:paraId="7A59DA6F" w14:textId="77777777" w:rsidR="00266140" w:rsidRPr="00266140" w:rsidRDefault="00266140" w:rsidP="00266140">
            <w:pPr>
              <w:spacing w:line="276" w:lineRule="auto"/>
              <w:jc w:val="center"/>
              <w:rPr>
                <w:rFonts w:ascii="Calibri" w:eastAsia="Calibri" w:hAnsi="Calibri" w:cs="Calibri"/>
                <w:color w:val="000000"/>
                <w:sz w:val="20"/>
                <w:szCs w:val="20"/>
                <w:lang w:val="en-US"/>
              </w:rPr>
            </w:pP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tcPr>
          <w:p w14:paraId="641DCF6E" w14:textId="77777777" w:rsidR="00266140" w:rsidRPr="00266140" w:rsidRDefault="00266140" w:rsidP="00266140">
            <w:pPr>
              <w:spacing w:line="276" w:lineRule="auto"/>
              <w:jc w:val="center"/>
              <w:rPr>
                <w:rFonts w:ascii="Calibri" w:eastAsia="Calibri" w:hAnsi="Calibri" w:cs="Calibri"/>
                <w:color w:val="000000"/>
                <w:sz w:val="20"/>
                <w:szCs w:val="20"/>
                <w:lang w:val="en-US"/>
              </w:rPr>
            </w:pP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66AB9995"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r>
      <w:tr w:rsidR="00266140" w:rsidRPr="00266140" w14:paraId="2F9463AC"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2611F657" w14:textId="687B4E61"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Костолац</w:t>
            </w:r>
            <w:r w:rsidR="003D0AC8" w:rsidRPr="008E401C">
              <w:rPr>
                <w:rFonts w:ascii="Calibri" w:eastAsia="Calibri" w:hAnsi="Calibri" w:cs="Calibri"/>
                <w:color w:val="000000"/>
                <w:sz w:val="20"/>
                <w:szCs w:val="20"/>
              </w:rPr>
              <w:t xml:space="preserve"> </w:t>
            </w:r>
            <w:r w:rsidRPr="00565B02">
              <w:rPr>
                <w:rFonts w:ascii="Calibri" w:eastAsia="Calibri" w:hAnsi="Calibri" w:cs="Calibri"/>
                <w:color w:val="000000"/>
                <w:sz w:val="20"/>
                <w:szCs w:val="20"/>
              </w:rPr>
              <w:t>A1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A243D07"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65%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B45EBB6"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470B1D5"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32%</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32631704"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20%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tcPr>
          <w:p w14:paraId="1E76B7BE" w14:textId="77777777" w:rsidR="00266140" w:rsidRPr="00266140" w:rsidRDefault="00266140" w:rsidP="00266140">
            <w:pPr>
              <w:spacing w:line="276" w:lineRule="auto"/>
              <w:jc w:val="center"/>
              <w:rPr>
                <w:rFonts w:ascii="Calibri" w:eastAsia="Calibri" w:hAnsi="Calibri" w:cs="Calibri"/>
                <w:color w:val="000000"/>
                <w:sz w:val="20"/>
                <w:szCs w:val="20"/>
                <w:lang w:val="en-US"/>
              </w:rPr>
            </w:pP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4B73ABD8"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r>
      <w:tr w:rsidR="00266140" w:rsidRPr="00266140" w14:paraId="2D449966"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6AC08E08" w14:textId="13359BD9"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Костолац</w:t>
            </w:r>
            <w:r w:rsidR="003D0AC8" w:rsidRPr="008E401C">
              <w:rPr>
                <w:rFonts w:ascii="Calibri" w:eastAsia="Calibri" w:hAnsi="Calibri" w:cs="Calibri"/>
                <w:color w:val="000000"/>
                <w:sz w:val="20"/>
                <w:szCs w:val="20"/>
              </w:rPr>
              <w:t xml:space="preserve"> </w:t>
            </w:r>
            <w:r w:rsidRPr="00565B02">
              <w:rPr>
                <w:rFonts w:ascii="Calibri" w:eastAsia="Calibri" w:hAnsi="Calibri" w:cs="Calibri"/>
                <w:color w:val="000000"/>
                <w:sz w:val="20"/>
                <w:szCs w:val="20"/>
              </w:rPr>
              <w:t>A2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815ACDC"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64%</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2955999"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35%</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69B2F27"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32%</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6A6CCCA6"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20%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tcPr>
          <w:p w14:paraId="6AF3E234" w14:textId="77777777" w:rsidR="00266140" w:rsidRPr="00266140" w:rsidRDefault="00266140" w:rsidP="00266140">
            <w:pPr>
              <w:spacing w:line="276" w:lineRule="auto"/>
              <w:jc w:val="center"/>
              <w:rPr>
                <w:rFonts w:ascii="Calibri" w:eastAsia="Calibri" w:hAnsi="Calibri" w:cs="Calibri"/>
                <w:color w:val="000000"/>
                <w:sz w:val="20"/>
                <w:szCs w:val="20"/>
                <w:lang w:val="en-US"/>
              </w:rPr>
            </w:pP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2939E64B"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r>
      <w:tr w:rsidR="00266140" w:rsidRPr="00266140" w14:paraId="0AD76F01"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3BBDA2D7" w14:textId="3D3295E7"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TE M</w:t>
            </w:r>
            <w:r w:rsidR="003D0AC8" w:rsidRPr="008E401C">
              <w:rPr>
                <w:rFonts w:ascii="Calibri" w:eastAsia="Calibri" w:hAnsi="Calibri" w:cs="Calibri"/>
                <w:color w:val="000000"/>
                <w:sz w:val="20"/>
                <w:szCs w:val="20"/>
              </w:rPr>
              <w:t>орава</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51CE233"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34%</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701EC565" w14:textId="77777777" w:rsidR="00266140" w:rsidRPr="00266140" w:rsidRDefault="00266140" w:rsidP="00266140">
            <w:pPr>
              <w:spacing w:line="276" w:lineRule="auto"/>
              <w:jc w:val="center"/>
              <w:rPr>
                <w:rFonts w:ascii="Calibri" w:eastAsia="Calibri" w:hAnsi="Calibri" w:cs="Calibri"/>
                <w:color w:val="000000"/>
                <w:sz w:val="20"/>
                <w:szCs w:val="20"/>
                <w:lang w:val="en-US"/>
              </w:rPr>
            </w:pP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tcPr>
          <w:p w14:paraId="6787B218" w14:textId="77777777" w:rsidR="00266140" w:rsidRPr="00266140" w:rsidRDefault="00266140" w:rsidP="00266140">
            <w:pPr>
              <w:spacing w:line="276" w:lineRule="auto"/>
              <w:jc w:val="center"/>
              <w:rPr>
                <w:rFonts w:ascii="Calibri" w:eastAsia="Calibri" w:hAnsi="Calibri" w:cs="Calibri"/>
                <w:color w:val="000000"/>
                <w:sz w:val="20"/>
                <w:szCs w:val="20"/>
                <w:lang w:val="en-US"/>
              </w:rPr>
            </w:pP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tcPr>
          <w:p w14:paraId="5BC82D0A" w14:textId="77777777" w:rsidR="00266140" w:rsidRPr="00266140" w:rsidRDefault="00266140" w:rsidP="00266140">
            <w:pPr>
              <w:spacing w:line="276" w:lineRule="auto"/>
              <w:jc w:val="center"/>
              <w:rPr>
                <w:rFonts w:ascii="Calibri" w:eastAsia="Calibri" w:hAnsi="Calibri" w:cs="Calibri"/>
                <w:color w:val="000000"/>
                <w:sz w:val="20"/>
                <w:szCs w:val="20"/>
                <w:lang w:val="en-US"/>
              </w:rPr>
            </w:pP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tcPr>
          <w:p w14:paraId="2974CF2C" w14:textId="77777777" w:rsidR="00266140" w:rsidRPr="00266140" w:rsidRDefault="00266140" w:rsidP="00266140">
            <w:pPr>
              <w:spacing w:line="276" w:lineRule="auto"/>
              <w:jc w:val="center"/>
              <w:rPr>
                <w:rFonts w:ascii="Calibri" w:eastAsia="Calibri" w:hAnsi="Calibri" w:cs="Calibri"/>
                <w:color w:val="000000"/>
                <w:sz w:val="20"/>
                <w:szCs w:val="20"/>
                <w:lang w:val="en-US"/>
              </w:rPr>
            </w:pP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013C8C1A"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r>
      <w:tr w:rsidR="00266140" w:rsidRPr="00266140" w14:paraId="7E1B9019"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05CA3DA1" w14:textId="110F67B5"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Костолац</w:t>
            </w:r>
            <w:r w:rsidR="003D0AC8" w:rsidRPr="008E401C">
              <w:rPr>
                <w:rFonts w:ascii="Calibri" w:eastAsia="Calibri" w:hAnsi="Calibri" w:cs="Calibri"/>
                <w:color w:val="000000"/>
                <w:sz w:val="20"/>
                <w:szCs w:val="20"/>
              </w:rPr>
              <w:t xml:space="preserve"> </w:t>
            </w:r>
            <w:r w:rsidRPr="00565B02">
              <w:rPr>
                <w:rFonts w:ascii="Calibri" w:eastAsia="Calibri" w:hAnsi="Calibri" w:cs="Calibri"/>
                <w:color w:val="000000"/>
                <w:sz w:val="20"/>
                <w:szCs w:val="20"/>
              </w:rPr>
              <w:t>B1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AAAF44F"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62%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B6B6057"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58%</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15BBF78"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52%</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67CD64F0"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35%</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4DA63F40"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20%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7DD561F3"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r>
      <w:tr w:rsidR="00266140" w:rsidRPr="00266140" w14:paraId="39508338"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027413C9" w14:textId="5B797072"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Костолац</w:t>
            </w:r>
            <w:r w:rsidR="003D0AC8" w:rsidRPr="008E401C">
              <w:rPr>
                <w:rFonts w:ascii="Calibri" w:eastAsia="Calibri" w:hAnsi="Calibri" w:cs="Calibri"/>
                <w:color w:val="000000"/>
                <w:sz w:val="20"/>
                <w:szCs w:val="20"/>
              </w:rPr>
              <w:t xml:space="preserve"> </w:t>
            </w:r>
            <w:r w:rsidRPr="00565B02">
              <w:rPr>
                <w:rFonts w:ascii="Calibri" w:eastAsia="Calibri" w:hAnsi="Calibri" w:cs="Calibri"/>
                <w:color w:val="000000"/>
                <w:sz w:val="20"/>
                <w:szCs w:val="20"/>
              </w:rPr>
              <w:t>B2</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A27AD82"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71%</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F382381"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58%</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7B6DD16"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55%</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4D4C6AEF"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40%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07AF39C8"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25%</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684850CC"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r>
      <w:tr w:rsidR="00266140" w:rsidRPr="00266140" w14:paraId="21EBD2A4" w14:textId="77777777" w:rsidTr="00565B02">
        <w:trPr>
          <w:trHeight w:val="288"/>
          <w:jc w:val="center"/>
        </w:trPr>
        <w:tc>
          <w:tcPr>
            <w:tcW w:w="1753"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60C6BE67" w14:textId="63BA63F1" w:rsidR="00266140" w:rsidRPr="00565B02" w:rsidRDefault="00266140" w:rsidP="00266140">
            <w:pPr>
              <w:spacing w:line="276" w:lineRule="auto"/>
              <w:rPr>
                <w:rFonts w:ascii="Calibri" w:eastAsia="Calibri" w:hAnsi="Calibri" w:cs="Calibri"/>
                <w:b/>
                <w:bCs/>
                <w:color w:val="000000"/>
                <w:sz w:val="20"/>
                <w:szCs w:val="20"/>
              </w:rPr>
            </w:pPr>
            <w:r w:rsidRPr="00565B02">
              <w:rPr>
                <w:rFonts w:ascii="Calibri" w:eastAsia="Calibri" w:hAnsi="Calibri" w:cs="Calibri"/>
                <w:color w:val="000000"/>
                <w:sz w:val="20"/>
                <w:szCs w:val="20"/>
              </w:rPr>
              <w:t>Костолац</w:t>
            </w:r>
            <w:r w:rsidR="003D0AC8" w:rsidRPr="008E401C">
              <w:rPr>
                <w:rFonts w:ascii="Calibri" w:eastAsia="Calibri" w:hAnsi="Calibri" w:cs="Calibri"/>
                <w:color w:val="000000"/>
                <w:sz w:val="20"/>
                <w:szCs w:val="20"/>
              </w:rPr>
              <w:t xml:space="preserve"> </w:t>
            </w:r>
            <w:r w:rsidRPr="00565B02">
              <w:rPr>
                <w:rFonts w:ascii="Calibri" w:eastAsia="Calibri" w:hAnsi="Calibri" w:cs="Calibri"/>
                <w:color w:val="000000"/>
                <w:sz w:val="20"/>
                <w:szCs w:val="20"/>
              </w:rPr>
              <w:t>B3</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43836510"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80%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22C8E304"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80%</w:t>
            </w:r>
          </w:p>
        </w:tc>
        <w:tc>
          <w:tcPr>
            <w:tcW w:w="1289" w:type="dxa"/>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FB9DFE1"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78%</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68CE82E4"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80%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558061F5" w14:textId="77777777" w:rsidR="00266140" w:rsidRPr="00266140" w:rsidRDefault="00266140" w:rsidP="00266140">
            <w:pPr>
              <w:spacing w:line="276" w:lineRule="auto"/>
              <w:jc w:val="center"/>
              <w:rPr>
                <w:rFonts w:ascii="Calibri" w:eastAsia="Calibri" w:hAnsi="Calibri" w:cs="Calibri"/>
                <w:sz w:val="20"/>
                <w:szCs w:val="20"/>
                <w:lang w:val="en-US"/>
              </w:rPr>
            </w:pPr>
            <w:r w:rsidRPr="00266140">
              <w:rPr>
                <w:rFonts w:ascii="Calibri" w:eastAsia="Calibri" w:hAnsi="Calibri" w:cs="Calibri"/>
                <w:sz w:val="20"/>
                <w:szCs w:val="20"/>
                <w:lang w:val="en-US"/>
              </w:rPr>
              <w:t>50%</w:t>
            </w:r>
          </w:p>
        </w:tc>
        <w:tc>
          <w:tcPr>
            <w:tcW w:w="1176" w:type="dxa"/>
            <w:tcBorders>
              <w:top w:val="single" w:sz="4" w:space="0" w:color="auto"/>
              <w:left w:val="single" w:sz="4" w:space="0" w:color="auto"/>
              <w:bottom w:val="single" w:sz="4" w:space="0" w:color="auto"/>
              <w:right w:val="single" w:sz="4" w:space="0" w:color="auto"/>
            </w:tcBorders>
            <w:shd w:val="clear" w:color="auto" w:fill="DDEBF7"/>
            <w:vAlign w:val="center"/>
            <w:hideMark/>
          </w:tcPr>
          <w:p w14:paraId="393ADAE2" w14:textId="77777777" w:rsidR="00266140" w:rsidRPr="00266140" w:rsidRDefault="00266140" w:rsidP="00266140">
            <w:pPr>
              <w:spacing w:line="276" w:lineRule="auto"/>
              <w:jc w:val="center"/>
              <w:rPr>
                <w:rFonts w:ascii="Calibri" w:eastAsia="Calibri" w:hAnsi="Calibri" w:cs="Calibri"/>
                <w:color w:val="000000"/>
                <w:sz w:val="20"/>
                <w:szCs w:val="20"/>
                <w:lang w:val="en-US"/>
              </w:rPr>
            </w:pPr>
            <w:r w:rsidRPr="00266140">
              <w:rPr>
                <w:rFonts w:ascii="Calibri" w:eastAsia="Calibri" w:hAnsi="Calibri" w:cs="Calibri"/>
                <w:color w:val="000000"/>
                <w:sz w:val="20"/>
                <w:szCs w:val="20"/>
                <w:lang w:val="en-US"/>
              </w:rPr>
              <w:t>-</w:t>
            </w:r>
          </w:p>
        </w:tc>
      </w:tr>
    </w:tbl>
    <w:p w14:paraId="6EFC9C71" w14:textId="77777777" w:rsidR="00266140" w:rsidRPr="00C312D6" w:rsidRDefault="00266140" w:rsidP="00266140">
      <w:pPr>
        <w:spacing w:before="100" w:beforeAutospacing="1" w:after="200" w:line="276" w:lineRule="auto"/>
        <w:jc w:val="both"/>
        <w:rPr>
          <w:rFonts w:ascii="Calibri Light" w:eastAsia="Calibri" w:hAnsi="Calibri Light" w:cs="Calibri Light"/>
          <w:szCs w:val="20"/>
          <w:lang w:eastAsia="el-GR"/>
        </w:rPr>
      </w:pPr>
      <w:r w:rsidRPr="00266140">
        <w:rPr>
          <w:rFonts w:ascii="Calibri Light" w:eastAsia="Calibri" w:hAnsi="Calibri Light" w:cs="Calibri Light"/>
          <w:szCs w:val="20"/>
          <w:lang w:eastAsia="el-GR"/>
        </w:rPr>
        <w:t>Сматра се да ова конфигурација може да покрије несигурност у вези са питањем сигурности снабдевања, пружајући сигурну опцију за снабдевање електричном енергијом коришћењем домаћих ресурса. У исто време, смањење производње из лигнита доводи до смањења емисија</w:t>
      </w:r>
      <w:r w:rsidRPr="00C312D6">
        <w:rPr>
          <w:rFonts w:ascii="Calibri Light" w:eastAsia="Calibri" w:hAnsi="Calibri Light" w:cs="Calibri Light"/>
          <w:szCs w:val="20"/>
          <w:lang w:eastAsia="el-GR"/>
        </w:rPr>
        <w:t xml:space="preserve"> </w:t>
      </w:r>
      <w:r w:rsidRPr="00266140">
        <w:rPr>
          <w:rFonts w:ascii="Calibri Light" w:eastAsia="Calibri" w:hAnsi="Calibri Light" w:cs="Calibri Light"/>
          <w:i/>
          <w:iCs/>
          <w:szCs w:val="20"/>
          <w:lang w:val="en-GB" w:eastAsia="el-GR"/>
        </w:rPr>
        <w:t>GHG</w:t>
      </w:r>
      <w:r w:rsidRPr="00C312D6">
        <w:rPr>
          <w:rFonts w:ascii="Calibri Light" w:eastAsia="Calibri" w:hAnsi="Calibri Light" w:cs="Calibri Light"/>
          <w:szCs w:val="20"/>
          <w:lang w:eastAsia="el-GR"/>
        </w:rPr>
        <w:t xml:space="preserve"> </w:t>
      </w:r>
      <w:r w:rsidRPr="00266140">
        <w:rPr>
          <w:rFonts w:ascii="Calibri Light" w:eastAsia="Calibri" w:hAnsi="Calibri Light" w:cs="Calibri Light"/>
          <w:szCs w:val="20"/>
          <w:lang w:eastAsia="el-GR"/>
        </w:rPr>
        <w:t>и увођења већих капацитета домаћих извора обновљиве енергије.</w:t>
      </w:r>
    </w:p>
    <w:p w14:paraId="005C03FE" w14:textId="3E8BCB22" w:rsidR="005F362F" w:rsidRDefault="00266140" w:rsidP="000A2AFE">
      <w:pPr>
        <w:spacing w:line="259" w:lineRule="auto"/>
        <w:rPr>
          <w:lang w:eastAsia="el-GR"/>
        </w:rPr>
      </w:pPr>
      <w:r w:rsidRPr="00C312D6">
        <w:rPr>
          <w:rFonts w:ascii="Calibri" w:eastAsia="Calibri" w:hAnsi="Calibri" w:cs="Arial"/>
        </w:rPr>
        <w:br w:type="page"/>
      </w:r>
    </w:p>
    <w:p w14:paraId="3C3EF8BF" w14:textId="3EF550C3" w:rsidR="00B465E1" w:rsidRPr="000A2AFE" w:rsidRDefault="00B465E1" w:rsidP="00565B02">
      <w:pPr>
        <w:pStyle w:val="Heading1"/>
        <w:numPr>
          <w:ilvl w:val="0"/>
          <w:numId w:val="394"/>
        </w:numPr>
      </w:pPr>
      <w:bookmarkStart w:id="494" w:name="_Toc153901566"/>
      <w:bookmarkStart w:id="495" w:name="_Hlk148621157"/>
      <w:r>
        <w:lastRenderedPageBreak/>
        <w:t>Анекс</w:t>
      </w:r>
      <w:r w:rsidRPr="00C312D6">
        <w:t xml:space="preserve">: </w:t>
      </w:r>
      <w:r>
        <w:t>Алати за квантитативну анализу</w:t>
      </w:r>
      <w:bookmarkEnd w:id="494"/>
    </w:p>
    <w:bookmarkEnd w:id="495"/>
    <w:p w14:paraId="0D88186E" w14:textId="77777777" w:rsidR="003F57EB" w:rsidRPr="00C312D6" w:rsidRDefault="003F57EB" w:rsidP="003F57EB">
      <w:pPr>
        <w:pStyle w:val="ListParagraph"/>
        <w:numPr>
          <w:ilvl w:val="0"/>
          <w:numId w:val="310"/>
        </w:numPr>
        <w:rPr>
          <w:rFonts w:asciiTheme="majorHAnsi" w:eastAsiaTheme="majorEastAsia" w:hAnsiTheme="majorHAnsi" w:cstheme="majorBidi"/>
          <w:b/>
          <w:bCs/>
          <w:iCs/>
          <w:color w:val="01406B"/>
          <w:szCs w:val="24"/>
        </w:rPr>
      </w:pPr>
      <w:r w:rsidRPr="00C312D6">
        <w:rPr>
          <w:rFonts w:asciiTheme="majorHAnsi" w:eastAsiaTheme="majorEastAsia" w:hAnsiTheme="majorHAnsi" w:cstheme="majorBidi"/>
          <w:b/>
          <w:bCs/>
          <w:iCs/>
          <w:color w:val="01406B"/>
          <w:szCs w:val="24"/>
        </w:rPr>
        <w:t>Систем енергетског моделирање Србије (СЕМС)</w:t>
      </w:r>
    </w:p>
    <w:p w14:paraId="391DE62A" w14:textId="1114437B" w:rsidR="003F57EB" w:rsidRPr="00433B0E" w:rsidRDefault="003F57EB" w:rsidP="003F57EB">
      <w:pPr>
        <w:widowControl w:val="0"/>
        <w:spacing w:after="120" w:line="240" w:lineRule="auto"/>
        <w:jc w:val="both"/>
        <w:rPr>
          <w:rFonts w:ascii="Calibri Light" w:eastAsia="Times New Roman" w:hAnsi="Calibri Light" w:cs="Calibri Light"/>
          <w:lang w:eastAsia="el-GR"/>
        </w:rPr>
      </w:pPr>
      <w:r w:rsidRPr="00433B0E">
        <w:rPr>
          <w:rFonts w:ascii="Calibri Light" w:eastAsia="Times New Roman" w:hAnsi="Calibri Light" w:cs="Calibri Light"/>
          <w:lang w:eastAsia="el-GR"/>
        </w:rPr>
        <w:t xml:space="preserve">Систем енергетског моделирања Србије (СЕМС) је технолошки напредан алат заснован на потражњи и генерисан у </w:t>
      </w:r>
      <w:r w:rsidRPr="00565B02">
        <w:rPr>
          <w:rFonts w:ascii="Calibri Light" w:eastAsia="Times New Roman" w:hAnsi="Calibri Light" w:cs="Calibri Light"/>
          <w:lang w:eastAsia="el-GR"/>
        </w:rPr>
        <w:t>TIMES</w:t>
      </w:r>
      <w:r w:rsidRPr="00433B0E">
        <w:rPr>
          <w:rFonts w:ascii="Calibri Light" w:eastAsia="Times New Roman" w:hAnsi="Calibri Light" w:cs="Calibri Light"/>
          <w:lang w:eastAsia="el-GR"/>
        </w:rPr>
        <w:t>-у, и</w:t>
      </w:r>
      <w:r w:rsidRPr="00565B02">
        <w:rPr>
          <w:rFonts w:ascii="Calibri Light" w:eastAsia="Times New Roman" w:hAnsi="Calibri Light" w:cs="Calibri Light"/>
          <w:lang w:eastAsia="el-GR"/>
        </w:rPr>
        <w:t xml:space="preserve"> може се користити за истраживање </w:t>
      </w:r>
      <w:r w:rsidRPr="00433B0E">
        <w:rPr>
          <w:rFonts w:ascii="Calibri Light" w:eastAsia="Times New Roman" w:hAnsi="Calibri Light" w:cs="Calibri Light"/>
          <w:lang w:eastAsia="el-GR"/>
        </w:rPr>
        <w:t xml:space="preserve">развоја </w:t>
      </w:r>
      <w:r w:rsidR="00433B0E" w:rsidRPr="00433B0E">
        <w:rPr>
          <w:rFonts w:ascii="Calibri Light" w:eastAsia="Times New Roman" w:hAnsi="Calibri Light" w:cs="Calibri Light"/>
          <w:lang w:eastAsia="el-GR"/>
        </w:rPr>
        <w:t>целокупног</w:t>
      </w:r>
      <w:r w:rsidRPr="00565B02">
        <w:rPr>
          <w:rFonts w:ascii="Calibri Light" w:eastAsia="Times New Roman" w:hAnsi="Calibri Light" w:cs="Calibri Light"/>
          <w:lang w:eastAsia="el-GR"/>
        </w:rPr>
        <w:t xml:space="preserve"> енергетског система Србије током временског хоризонта који се може продужити или скратити у зависности од потреба анализе. </w:t>
      </w:r>
      <w:r w:rsidRPr="00433B0E">
        <w:rPr>
          <w:rFonts w:ascii="Calibri Light" w:eastAsia="Times New Roman" w:hAnsi="Calibri Light" w:cs="Calibri Light"/>
          <w:lang w:eastAsia="el-GR"/>
        </w:rPr>
        <w:t>Према томе,</w:t>
      </w:r>
      <w:r w:rsidRPr="00565B02">
        <w:rPr>
          <w:rFonts w:ascii="Calibri Light" w:eastAsia="Times New Roman" w:hAnsi="Calibri Light" w:cs="Calibri Light"/>
          <w:lang w:eastAsia="el-GR"/>
        </w:rPr>
        <w:t xml:space="preserve"> потребе СЕМС-а </w:t>
      </w:r>
      <w:r w:rsidRPr="00433B0E">
        <w:rPr>
          <w:rFonts w:ascii="Calibri Light" w:eastAsia="Times New Roman" w:hAnsi="Calibri Light" w:cs="Calibri Light"/>
          <w:lang w:eastAsia="el-GR"/>
        </w:rPr>
        <w:t>у погледу података</w:t>
      </w:r>
      <w:r w:rsidRPr="00565B02">
        <w:rPr>
          <w:rFonts w:ascii="Calibri Light" w:eastAsia="Times New Roman" w:hAnsi="Calibri Light" w:cs="Calibri Light"/>
          <w:lang w:eastAsia="el-GR"/>
        </w:rPr>
        <w:t xml:space="preserve"> </w:t>
      </w:r>
      <w:r w:rsidRPr="00433B0E">
        <w:rPr>
          <w:rFonts w:ascii="Calibri Light" w:eastAsia="Times New Roman" w:hAnsi="Calibri Light" w:cs="Calibri Light"/>
          <w:lang w:eastAsia="el-GR"/>
        </w:rPr>
        <w:t xml:space="preserve">су </w:t>
      </w:r>
      <w:r w:rsidRPr="00565B02">
        <w:rPr>
          <w:rFonts w:ascii="Calibri Light" w:eastAsia="Times New Roman" w:hAnsi="Calibri Light" w:cs="Calibri Light"/>
          <w:lang w:eastAsia="el-GR"/>
        </w:rPr>
        <w:t>велике како би се детаљно представила тренутна ситуација и пројектовао развој енергетског система према формулациј</w:t>
      </w:r>
      <w:r w:rsidRPr="00433B0E">
        <w:rPr>
          <w:rFonts w:ascii="Calibri Light" w:eastAsia="Times New Roman" w:hAnsi="Calibri Light" w:cs="Calibri Light"/>
          <w:lang w:eastAsia="el-GR"/>
        </w:rPr>
        <w:t>и</w:t>
      </w:r>
      <w:r w:rsidRPr="00565B02">
        <w:rPr>
          <w:rFonts w:ascii="Calibri Light" w:eastAsia="Times New Roman" w:hAnsi="Calibri Light" w:cs="Calibri Light"/>
          <w:lang w:eastAsia="el-GR"/>
        </w:rPr>
        <w:t xml:space="preserve"> алтернативних сценарија.</w:t>
      </w:r>
      <w:r w:rsidRPr="00433B0E">
        <w:rPr>
          <w:rFonts w:ascii="Calibri Light" w:eastAsia="Times New Roman" w:hAnsi="Calibri Light" w:cs="Calibri Light"/>
          <w:lang w:eastAsia="el-GR"/>
        </w:rPr>
        <w:t xml:space="preserve"> Улазни подаци се чувају и обрађују у радним свескама </w:t>
      </w:r>
      <w:r w:rsidRPr="00565B02">
        <w:rPr>
          <w:rFonts w:ascii="Calibri Light" w:eastAsia="Times New Roman" w:hAnsi="Calibri Light" w:cs="Calibri Light"/>
          <w:lang w:eastAsia="el-GR"/>
        </w:rPr>
        <w:t>Excel</w:t>
      </w:r>
      <w:r w:rsidRPr="00433B0E">
        <w:rPr>
          <w:rFonts w:ascii="Calibri Light" w:eastAsia="Times New Roman" w:hAnsi="Calibri Light" w:cs="Calibri Light"/>
          <w:lang w:eastAsia="el-GR"/>
        </w:rPr>
        <w:t xml:space="preserve"> које се називају шаблонима. На овај начин моделар има могућност да врши преглед и анализу података и структуре модела на начин који је </w:t>
      </w:r>
      <w:r w:rsidR="00433B0E" w:rsidRPr="00433B0E">
        <w:rPr>
          <w:rFonts w:ascii="Calibri Light" w:eastAsia="Times New Roman" w:hAnsi="Calibri Light" w:cs="Calibri Light"/>
          <w:lang w:eastAsia="el-GR"/>
        </w:rPr>
        <w:t>прилагођен</w:t>
      </w:r>
      <w:r w:rsidRPr="00433B0E">
        <w:rPr>
          <w:rFonts w:ascii="Calibri Light" w:eastAsia="Times New Roman" w:hAnsi="Calibri Light" w:cs="Calibri Light"/>
          <w:lang w:eastAsia="el-GR"/>
        </w:rPr>
        <w:t xml:space="preserve"> кориснику.</w:t>
      </w:r>
    </w:p>
    <w:p w14:paraId="4B13A78F" w14:textId="77777777" w:rsidR="003F57EB" w:rsidRPr="00565B02" w:rsidRDefault="003F57EB" w:rsidP="003F57EB">
      <w:pPr>
        <w:widowControl w:val="0"/>
        <w:spacing w:after="120" w:line="240" w:lineRule="auto"/>
        <w:jc w:val="both"/>
        <w:rPr>
          <w:rFonts w:ascii="Calibri Light" w:eastAsia="Times New Roman" w:hAnsi="Calibri Light" w:cs="Calibri Light"/>
          <w:lang w:eastAsia="el-GR"/>
        </w:rPr>
      </w:pPr>
      <w:r w:rsidRPr="00565B02">
        <w:rPr>
          <w:rFonts w:ascii="Calibri Light" w:eastAsia="Times New Roman" w:hAnsi="Calibri Light" w:cs="Calibri Light"/>
          <w:lang w:eastAsia="el-GR"/>
        </w:rPr>
        <w:t xml:space="preserve">Детаљан приказ структуре СЕМС-а дат је у „Референтном извештају </w:t>
      </w:r>
      <w:r w:rsidRPr="00433B0E">
        <w:rPr>
          <w:rFonts w:ascii="Calibri Light" w:eastAsia="Times New Roman" w:hAnsi="Calibri Light" w:cs="Calibri Light"/>
          <w:lang w:eastAsia="el-GR"/>
        </w:rPr>
        <w:t xml:space="preserve">за </w:t>
      </w:r>
      <w:r w:rsidRPr="00565B02">
        <w:rPr>
          <w:rFonts w:ascii="Calibri Light" w:eastAsia="Times New Roman" w:hAnsi="Calibri Light" w:cs="Calibri Light"/>
          <w:lang w:eastAsia="el-GR"/>
        </w:rPr>
        <w:t>модел</w:t>
      </w:r>
      <w:r w:rsidRPr="00433B0E">
        <w:rPr>
          <w:rFonts w:ascii="Calibri Light" w:eastAsia="Times New Roman" w:hAnsi="Calibri Light" w:cs="Calibri Light"/>
          <w:lang w:eastAsia="el-GR"/>
        </w:rPr>
        <w:t xml:space="preserve"> СЕМС</w:t>
      </w:r>
      <w:r w:rsidRPr="00565B02">
        <w:rPr>
          <w:rFonts w:ascii="Calibri Light" w:eastAsia="Times New Roman" w:hAnsi="Calibri Light" w:cs="Calibri Light"/>
          <w:lang w:eastAsia="el-GR"/>
        </w:rPr>
        <w:t xml:space="preserve">“ који је </w:t>
      </w:r>
      <w:r w:rsidRPr="00433B0E">
        <w:rPr>
          <w:rFonts w:ascii="Calibri Light" w:eastAsia="Times New Roman" w:hAnsi="Calibri Light" w:cs="Calibri Light"/>
          <w:lang w:eastAsia="el-GR"/>
        </w:rPr>
        <w:t>израђен</w:t>
      </w:r>
      <w:r w:rsidRPr="00565B02">
        <w:rPr>
          <w:rFonts w:ascii="Calibri Light" w:eastAsia="Times New Roman" w:hAnsi="Calibri Light" w:cs="Calibri Light"/>
          <w:lang w:eastAsia="el-GR"/>
        </w:rPr>
        <w:t xml:space="preserve"> у оквиру пројекта Развој капацитета енергетског планирања (ИПА 2013 Уговор бр: 480000176//2014-28). У наредним пасусима дат је кратак преглед </w:t>
      </w:r>
      <w:r w:rsidRPr="00433B0E">
        <w:rPr>
          <w:rFonts w:ascii="Calibri Light" w:eastAsia="Times New Roman" w:hAnsi="Calibri Light" w:cs="Calibri Light"/>
          <w:lang w:eastAsia="el-GR"/>
        </w:rPr>
        <w:t xml:space="preserve">приказа </w:t>
      </w:r>
      <w:r w:rsidRPr="00565B02">
        <w:rPr>
          <w:rFonts w:ascii="Calibri Light" w:eastAsia="Times New Roman" w:hAnsi="Calibri Light" w:cs="Calibri Light"/>
          <w:lang w:eastAsia="el-GR"/>
        </w:rPr>
        <w:t xml:space="preserve">енергетског система Србије у Референтном енергетском систему који се користи у моделу </w:t>
      </w:r>
      <w:r w:rsidRPr="00565B02">
        <w:rPr>
          <w:rFonts w:ascii="Calibri Light" w:eastAsia="Times New Roman" w:hAnsi="Calibri Light" w:cs="Calibri Light"/>
          <w:i/>
          <w:iCs/>
          <w:lang w:eastAsia="el-GR"/>
        </w:rPr>
        <w:t>TIMES.</w:t>
      </w:r>
      <w:r w:rsidRPr="00565B02">
        <w:rPr>
          <w:rFonts w:ascii="Calibri Light" w:eastAsia="Times New Roman" w:hAnsi="Calibri Light" w:cs="Calibri Light"/>
          <w:lang w:eastAsia="el-GR"/>
        </w:rPr>
        <w:t xml:space="preserve"> Енергетски систем је подељен на понуду, трансформацију и потражњу, а затим </w:t>
      </w:r>
      <w:r w:rsidRPr="00433B0E">
        <w:rPr>
          <w:rFonts w:ascii="Calibri Light" w:eastAsia="Times New Roman" w:hAnsi="Calibri Light" w:cs="Calibri Light"/>
          <w:lang w:eastAsia="el-GR"/>
        </w:rPr>
        <w:t>се додатно дели</w:t>
      </w:r>
      <w:r w:rsidRPr="00565B02">
        <w:rPr>
          <w:rFonts w:ascii="Calibri Light" w:eastAsia="Times New Roman" w:hAnsi="Calibri Light" w:cs="Calibri Light"/>
          <w:lang w:eastAsia="el-GR"/>
        </w:rPr>
        <w:t xml:space="preserve"> на основу енергетске робе која се испоручује и сектора у коме се енергетска роба </w:t>
      </w:r>
      <w:r w:rsidRPr="00433B0E">
        <w:rPr>
          <w:rFonts w:ascii="Calibri Light" w:eastAsia="Times New Roman" w:hAnsi="Calibri Light" w:cs="Calibri Light"/>
          <w:lang w:eastAsia="el-GR"/>
        </w:rPr>
        <w:t>користи</w:t>
      </w:r>
      <w:r w:rsidRPr="00565B02">
        <w:rPr>
          <w:rFonts w:ascii="Calibri Light" w:eastAsia="Times New Roman" w:hAnsi="Calibri Light" w:cs="Calibri Light"/>
          <w:lang w:eastAsia="el-GR"/>
        </w:rPr>
        <w:t>. Емисије CO</w:t>
      </w:r>
      <w:r w:rsidRPr="00565B02">
        <w:rPr>
          <w:rFonts w:ascii="Calibri Light" w:eastAsia="Times New Roman" w:hAnsi="Calibri Light" w:cs="Calibri Light"/>
          <w:vertAlign w:val="subscript"/>
          <w:lang w:eastAsia="el-GR"/>
        </w:rPr>
        <w:t>2</w:t>
      </w:r>
      <w:r w:rsidRPr="00565B02">
        <w:rPr>
          <w:rFonts w:ascii="Calibri Light" w:eastAsia="Times New Roman" w:hAnsi="Calibri Light" w:cs="Calibri Light"/>
          <w:lang w:eastAsia="el-GR"/>
        </w:rPr>
        <w:t>, CH</w:t>
      </w:r>
      <w:r w:rsidRPr="00565B02">
        <w:rPr>
          <w:rFonts w:ascii="Calibri Light" w:eastAsia="Times New Roman" w:hAnsi="Calibri Light" w:cs="Calibri Light"/>
          <w:vertAlign w:val="subscript"/>
          <w:lang w:eastAsia="el-GR"/>
        </w:rPr>
        <w:t>4</w:t>
      </w:r>
      <w:r w:rsidRPr="00565B02">
        <w:rPr>
          <w:rFonts w:ascii="Calibri Light" w:eastAsia="Times New Roman" w:hAnsi="Calibri Light" w:cs="Calibri Light"/>
          <w:lang w:eastAsia="el-GR"/>
        </w:rPr>
        <w:t xml:space="preserve"> и Н</w:t>
      </w:r>
      <w:r w:rsidRPr="00565B02">
        <w:rPr>
          <w:rFonts w:ascii="Calibri Light" w:eastAsia="Times New Roman" w:hAnsi="Calibri Light" w:cs="Calibri Light"/>
          <w:vertAlign w:val="subscript"/>
          <w:lang w:eastAsia="el-GR"/>
        </w:rPr>
        <w:t>2</w:t>
      </w:r>
      <w:r w:rsidRPr="00565B02">
        <w:rPr>
          <w:rFonts w:ascii="Calibri Light" w:eastAsia="Times New Roman" w:hAnsi="Calibri Light" w:cs="Calibri Light"/>
          <w:lang w:eastAsia="el-GR"/>
        </w:rPr>
        <w:t xml:space="preserve">O се прате </w:t>
      </w:r>
      <w:r w:rsidRPr="00433B0E">
        <w:rPr>
          <w:rFonts w:ascii="Calibri Light" w:eastAsia="Times New Roman" w:hAnsi="Calibri Light" w:cs="Calibri Light"/>
          <w:lang w:eastAsia="el-GR"/>
        </w:rPr>
        <w:t>у целом</w:t>
      </w:r>
      <w:r w:rsidRPr="00565B02">
        <w:rPr>
          <w:rFonts w:ascii="Calibri Light" w:eastAsia="Times New Roman" w:hAnsi="Calibri Light" w:cs="Calibri Light"/>
          <w:lang w:eastAsia="el-GR"/>
        </w:rPr>
        <w:t xml:space="preserve"> енергетск</w:t>
      </w:r>
      <w:r w:rsidRPr="00433B0E">
        <w:rPr>
          <w:rFonts w:ascii="Calibri Light" w:eastAsia="Times New Roman" w:hAnsi="Calibri Light" w:cs="Calibri Light"/>
          <w:lang w:eastAsia="el-GR"/>
        </w:rPr>
        <w:t>ом</w:t>
      </w:r>
      <w:r w:rsidRPr="00565B02">
        <w:rPr>
          <w:rFonts w:ascii="Calibri Light" w:eastAsia="Times New Roman" w:hAnsi="Calibri Light" w:cs="Calibri Light"/>
          <w:lang w:eastAsia="el-GR"/>
        </w:rPr>
        <w:t xml:space="preserve"> систем</w:t>
      </w:r>
      <w:r w:rsidRPr="00433B0E">
        <w:rPr>
          <w:rFonts w:ascii="Calibri Light" w:eastAsia="Times New Roman" w:hAnsi="Calibri Light" w:cs="Calibri Light"/>
          <w:lang w:eastAsia="el-GR"/>
        </w:rPr>
        <w:t xml:space="preserve">у </w:t>
      </w:r>
      <w:r w:rsidRPr="00565B02">
        <w:rPr>
          <w:rFonts w:ascii="Calibri Light" w:eastAsia="Times New Roman" w:hAnsi="Calibri Light" w:cs="Calibri Light"/>
          <w:lang w:eastAsia="el-GR"/>
        </w:rPr>
        <w:t xml:space="preserve">и води се </w:t>
      </w:r>
      <w:r w:rsidRPr="00433B0E">
        <w:rPr>
          <w:rFonts w:ascii="Calibri Light" w:eastAsia="Times New Roman" w:hAnsi="Calibri Light" w:cs="Calibri Light"/>
          <w:lang w:eastAsia="el-GR"/>
        </w:rPr>
        <w:t>инвентар емисија</w:t>
      </w:r>
      <w:r w:rsidRPr="00565B02">
        <w:rPr>
          <w:rFonts w:ascii="Calibri Light" w:eastAsia="Times New Roman" w:hAnsi="Calibri Light" w:cs="Calibri Light"/>
          <w:lang w:eastAsia="el-GR"/>
        </w:rPr>
        <w:t xml:space="preserve"> у сваком сектору, како би биле у складу са дефиницијама Шеме трговине емисијама (ЕТС) и сектора </w:t>
      </w:r>
      <w:r w:rsidRPr="00433B0E">
        <w:rPr>
          <w:rFonts w:ascii="Calibri Light" w:eastAsia="Times New Roman" w:hAnsi="Calibri Light" w:cs="Calibri Light"/>
          <w:lang w:eastAsia="el-GR"/>
        </w:rPr>
        <w:t>изван</w:t>
      </w:r>
      <w:r w:rsidRPr="00565B02">
        <w:rPr>
          <w:rFonts w:ascii="Calibri Light" w:eastAsia="Times New Roman" w:hAnsi="Calibri Light" w:cs="Calibri Light"/>
          <w:lang w:eastAsia="el-GR"/>
        </w:rPr>
        <w:t xml:space="preserve"> ЕТС у ЕУ. Обрачун емисија се врши коришћењем коефицијената по гориву </w:t>
      </w:r>
      <w:r w:rsidRPr="00433B0E">
        <w:rPr>
          <w:rFonts w:ascii="Calibri Light" w:eastAsia="Times New Roman" w:hAnsi="Calibri Light" w:cs="Calibri Light"/>
          <w:lang w:eastAsia="el-GR"/>
        </w:rPr>
        <w:t xml:space="preserve">који су дефинисани од стране Међународног панела за климатске промене </w:t>
      </w:r>
      <w:r w:rsidRPr="00433B0E">
        <w:rPr>
          <w:rFonts w:ascii="Calibri Light" w:eastAsia="Times New Roman" w:hAnsi="Calibri Light" w:cs="Calibri Light"/>
          <w:i/>
          <w:iCs/>
          <w:lang w:eastAsia="el-GR"/>
        </w:rPr>
        <w:t>(</w:t>
      </w:r>
      <w:r w:rsidRPr="00565B02">
        <w:rPr>
          <w:rFonts w:ascii="Calibri Light" w:eastAsia="Times New Roman" w:hAnsi="Calibri Light" w:cs="Calibri Light"/>
          <w:i/>
          <w:iCs/>
          <w:lang w:eastAsia="el-GR"/>
        </w:rPr>
        <w:t>IPCC)</w:t>
      </w:r>
      <w:r w:rsidRPr="00565B02">
        <w:rPr>
          <w:rFonts w:ascii="Calibri Light" w:eastAsia="Times New Roman" w:hAnsi="Calibri Light" w:cs="Calibri Light"/>
          <w:lang w:eastAsia="el-GR"/>
        </w:rPr>
        <w:t xml:space="preserve"> и националних коефицијената за лигнит.</w:t>
      </w:r>
    </w:p>
    <w:p w14:paraId="4C0FEBAB" w14:textId="59A8B87E" w:rsidR="003F57EB" w:rsidRPr="00565B02" w:rsidRDefault="008E401C" w:rsidP="003F57EB">
      <w:pPr>
        <w:widowControl w:val="0"/>
        <w:spacing w:after="120" w:line="240" w:lineRule="auto"/>
        <w:jc w:val="both"/>
        <w:rPr>
          <w:rFonts w:ascii="Calibri Light" w:eastAsia="Times New Roman" w:hAnsi="Calibri Light" w:cs="Calibri Light"/>
          <w:szCs w:val="20"/>
          <w:lang w:eastAsia="el-GR"/>
        </w:rPr>
      </w:pPr>
      <w:r>
        <w:rPr>
          <w:rFonts w:ascii="Calibri Light" w:eastAsia="Times New Roman" w:hAnsi="Calibri Light" w:cs="Calibri Light"/>
          <w:szCs w:val="20"/>
          <w:lang w:eastAsia="el-GR"/>
        </w:rPr>
        <w:fldChar w:fldCharType="begin"/>
      </w:r>
      <w:r>
        <w:rPr>
          <w:rFonts w:ascii="Calibri Light" w:eastAsia="Times New Roman" w:hAnsi="Calibri Light" w:cs="Calibri Light"/>
          <w:szCs w:val="20"/>
          <w:lang w:eastAsia="el-GR"/>
        </w:rPr>
        <w:instrText xml:space="preserve"> REF _Ref153899504 \h  \* MERGEFORMAT </w:instrText>
      </w:r>
      <w:r>
        <w:rPr>
          <w:rFonts w:ascii="Calibri Light" w:eastAsia="Times New Roman" w:hAnsi="Calibri Light" w:cs="Calibri Light"/>
          <w:szCs w:val="20"/>
          <w:lang w:eastAsia="el-GR"/>
        </w:rPr>
      </w:r>
      <w:r>
        <w:rPr>
          <w:rFonts w:ascii="Calibri Light" w:eastAsia="Times New Roman" w:hAnsi="Calibri Light" w:cs="Calibri Light"/>
          <w:szCs w:val="20"/>
          <w:lang w:eastAsia="el-GR"/>
        </w:rPr>
        <w:fldChar w:fldCharType="separate"/>
      </w:r>
      <w:r w:rsidRPr="00565B02">
        <w:rPr>
          <w:rFonts w:ascii="Calibri Light" w:eastAsia="Times New Roman" w:hAnsi="Calibri Light" w:cs="Calibri Light"/>
          <w:szCs w:val="20"/>
          <w:lang w:eastAsia="el-GR"/>
        </w:rPr>
        <w:t>Слика III.1</w:t>
      </w:r>
      <w:r>
        <w:rPr>
          <w:rFonts w:ascii="Calibri Light" w:eastAsia="Times New Roman" w:hAnsi="Calibri Light" w:cs="Calibri Light"/>
          <w:szCs w:val="20"/>
          <w:lang w:eastAsia="el-GR"/>
        </w:rPr>
        <w:fldChar w:fldCharType="end"/>
      </w:r>
      <w:r>
        <w:rPr>
          <w:rFonts w:ascii="Calibri Light" w:eastAsia="Times New Roman" w:hAnsi="Calibri Light" w:cs="Calibri Light"/>
          <w:szCs w:val="20"/>
          <w:lang w:eastAsia="el-GR"/>
        </w:rPr>
        <w:t xml:space="preserve"> </w:t>
      </w:r>
      <w:r w:rsidR="003F57EB" w:rsidRPr="00565B02">
        <w:rPr>
          <w:rFonts w:ascii="Calibri Light" w:eastAsia="Times New Roman" w:hAnsi="Calibri Light" w:cs="Calibri Light"/>
          <w:szCs w:val="20"/>
          <w:lang w:eastAsia="el-GR"/>
        </w:rPr>
        <w:t>пр</w:t>
      </w:r>
      <w:r w:rsidR="003F57EB" w:rsidRPr="00433B0E">
        <w:rPr>
          <w:rFonts w:ascii="Calibri Light" w:eastAsia="Times New Roman" w:hAnsi="Calibri Light" w:cs="Calibri Light"/>
          <w:szCs w:val="20"/>
          <w:lang w:eastAsia="el-GR"/>
        </w:rPr>
        <w:t xml:space="preserve">иказује </w:t>
      </w:r>
      <w:r w:rsidR="003F57EB" w:rsidRPr="00565B02">
        <w:rPr>
          <w:rFonts w:ascii="Calibri Light" w:eastAsia="Times New Roman" w:hAnsi="Calibri Light" w:cs="Calibri Light"/>
          <w:szCs w:val="20"/>
          <w:lang w:eastAsia="el-GR"/>
        </w:rPr>
        <w:t>збирни преглед Референтног енергетског система који је</w:t>
      </w:r>
      <w:r w:rsidR="003F57EB" w:rsidRPr="00433B0E">
        <w:rPr>
          <w:rFonts w:ascii="Calibri Light" w:eastAsia="Times New Roman" w:hAnsi="Calibri Light" w:cs="Calibri Light"/>
          <w:szCs w:val="20"/>
          <w:lang w:eastAsia="el-GR"/>
        </w:rPr>
        <w:t xml:space="preserve"> обухваћен</w:t>
      </w:r>
      <w:r w:rsidR="003F57EB" w:rsidRPr="00565B02">
        <w:rPr>
          <w:rFonts w:ascii="Calibri Light" w:eastAsia="Times New Roman" w:hAnsi="Calibri Light" w:cs="Calibri Light"/>
          <w:szCs w:val="20"/>
          <w:lang w:eastAsia="el-GR"/>
        </w:rPr>
        <w:t xml:space="preserve"> у модел</w:t>
      </w:r>
      <w:r w:rsidR="003F57EB" w:rsidRPr="00433B0E">
        <w:rPr>
          <w:rFonts w:ascii="Calibri Light" w:eastAsia="Times New Roman" w:hAnsi="Calibri Light" w:cs="Calibri Light"/>
          <w:szCs w:val="20"/>
          <w:lang w:eastAsia="el-GR"/>
        </w:rPr>
        <w:t>у</w:t>
      </w:r>
      <w:r w:rsidR="003F57EB" w:rsidRPr="00565B02">
        <w:rPr>
          <w:rFonts w:ascii="Calibri Light" w:eastAsia="Times New Roman" w:hAnsi="Calibri Light" w:cs="Calibri Light"/>
          <w:szCs w:val="20"/>
          <w:lang w:eastAsia="el-GR"/>
        </w:rPr>
        <w:t xml:space="preserve">. Аутохтони конвенционални ресурси (нафта, природни гас и угаљ) се </w:t>
      </w:r>
      <w:r w:rsidR="00433B0E" w:rsidRPr="00433B0E">
        <w:rPr>
          <w:rFonts w:ascii="Calibri Light" w:eastAsia="Times New Roman" w:hAnsi="Calibri Light" w:cs="Calibri Light"/>
          <w:szCs w:val="20"/>
          <w:lang w:eastAsia="el-GR"/>
        </w:rPr>
        <w:t>експлоатишу</w:t>
      </w:r>
      <w:r w:rsidR="003F57EB" w:rsidRPr="00433B0E">
        <w:rPr>
          <w:rFonts w:ascii="Calibri Light" w:eastAsia="Times New Roman" w:hAnsi="Calibri Light" w:cs="Calibri Light"/>
          <w:szCs w:val="20"/>
          <w:lang w:eastAsia="el-GR"/>
        </w:rPr>
        <w:t xml:space="preserve"> у рудницима</w:t>
      </w:r>
      <w:r w:rsidR="003F57EB" w:rsidRPr="00565B02">
        <w:rPr>
          <w:rFonts w:ascii="Calibri Light" w:eastAsia="Times New Roman" w:hAnsi="Calibri Light" w:cs="Calibri Light"/>
          <w:szCs w:val="20"/>
          <w:lang w:eastAsia="el-GR"/>
        </w:rPr>
        <w:t xml:space="preserve"> у земљи, док су обновљиви извори енергије пр</w:t>
      </w:r>
      <w:r w:rsidR="003F57EB" w:rsidRPr="00433B0E">
        <w:rPr>
          <w:rFonts w:ascii="Calibri Light" w:eastAsia="Times New Roman" w:hAnsi="Calibri Light" w:cs="Calibri Light"/>
          <w:szCs w:val="20"/>
          <w:lang w:eastAsia="el-GR"/>
        </w:rPr>
        <w:t>иказани</w:t>
      </w:r>
      <w:r w:rsidR="003F57EB" w:rsidRPr="00565B02">
        <w:rPr>
          <w:rFonts w:ascii="Calibri Light" w:eastAsia="Times New Roman" w:hAnsi="Calibri Light" w:cs="Calibri Light"/>
          <w:szCs w:val="20"/>
          <w:lang w:eastAsia="el-GR"/>
        </w:rPr>
        <w:t xml:space="preserve"> као потенцијали како би се укључила ограничења постојећег потенцијала. Увоз и извоз енергената </w:t>
      </w:r>
      <w:r w:rsidR="003F57EB" w:rsidRPr="00433B0E">
        <w:rPr>
          <w:rFonts w:ascii="Calibri Light" w:eastAsia="Times New Roman" w:hAnsi="Calibri Light" w:cs="Calibri Light"/>
          <w:szCs w:val="20"/>
          <w:lang w:eastAsia="el-GR"/>
        </w:rPr>
        <w:t xml:space="preserve">су </w:t>
      </w:r>
      <w:r w:rsidR="003F57EB" w:rsidRPr="00565B02">
        <w:rPr>
          <w:rFonts w:ascii="Calibri Light" w:eastAsia="Times New Roman" w:hAnsi="Calibri Light" w:cs="Calibri Light"/>
          <w:szCs w:val="20"/>
          <w:lang w:eastAsia="el-GR"/>
        </w:rPr>
        <w:t>представљени као засебни процеси. За</w:t>
      </w:r>
      <w:r w:rsidR="003F57EB" w:rsidRPr="00433B0E">
        <w:rPr>
          <w:rFonts w:ascii="Calibri Light" w:eastAsia="Times New Roman" w:hAnsi="Calibri Light" w:cs="Calibri Light"/>
          <w:szCs w:val="20"/>
          <w:lang w:eastAsia="el-GR"/>
        </w:rPr>
        <w:t xml:space="preserve"> </w:t>
      </w:r>
      <w:r w:rsidR="003F57EB" w:rsidRPr="00565B02">
        <w:rPr>
          <w:rFonts w:ascii="Calibri Light" w:eastAsia="Times New Roman" w:hAnsi="Calibri Light" w:cs="Calibri Light"/>
          <w:szCs w:val="20"/>
          <w:lang w:eastAsia="el-GR"/>
        </w:rPr>
        <w:t xml:space="preserve">случај сирове нафте и природног гаса укључени су и транспортни и дистрибутивни </w:t>
      </w:r>
      <w:r w:rsidR="003F57EB" w:rsidRPr="00433B0E">
        <w:rPr>
          <w:rFonts w:ascii="Calibri Light" w:eastAsia="Times New Roman" w:hAnsi="Calibri Light" w:cs="Calibri Light"/>
          <w:szCs w:val="20"/>
          <w:lang w:eastAsia="el-GR"/>
        </w:rPr>
        <w:t>продуктоводи</w:t>
      </w:r>
      <w:r w:rsidR="003F57EB" w:rsidRPr="00565B02">
        <w:rPr>
          <w:rFonts w:ascii="Calibri Light" w:eastAsia="Times New Roman" w:hAnsi="Calibri Light" w:cs="Calibri Light"/>
          <w:szCs w:val="20"/>
          <w:lang w:eastAsia="el-GR"/>
        </w:rPr>
        <w:t xml:space="preserve"> како би се урачунали губици и потрошња</w:t>
      </w:r>
      <w:r w:rsidR="003F57EB" w:rsidRPr="00433B0E">
        <w:rPr>
          <w:rFonts w:ascii="Calibri Light" w:eastAsia="Times New Roman" w:hAnsi="Calibri Light" w:cs="Calibri Light"/>
          <w:szCs w:val="20"/>
          <w:lang w:eastAsia="el-GR"/>
        </w:rPr>
        <w:t xml:space="preserve"> за сопствене потребе</w:t>
      </w:r>
      <w:r w:rsidR="003F57EB" w:rsidRPr="00565B02">
        <w:rPr>
          <w:rFonts w:ascii="Calibri Light" w:eastAsia="Times New Roman" w:hAnsi="Calibri Light" w:cs="Calibri Light"/>
          <w:szCs w:val="20"/>
          <w:lang w:eastAsia="el-GR"/>
        </w:rPr>
        <w:t xml:space="preserve">. Сектор трансформације обухвата електране и </w:t>
      </w:r>
      <w:r w:rsidR="003F57EB" w:rsidRPr="00565B02">
        <w:rPr>
          <w:rFonts w:ascii="Calibri Light" w:eastAsia="Times New Roman" w:hAnsi="Calibri Light" w:cs="Calibri Light"/>
          <w:i/>
          <w:iCs/>
          <w:szCs w:val="20"/>
          <w:lang w:eastAsia="el-GR"/>
        </w:rPr>
        <w:t>CHP</w:t>
      </w:r>
      <w:r w:rsidR="003F57EB" w:rsidRPr="00565B02">
        <w:rPr>
          <w:rFonts w:ascii="Calibri Light" w:eastAsia="Times New Roman" w:hAnsi="Calibri Light" w:cs="Calibri Light"/>
          <w:szCs w:val="20"/>
          <w:lang w:eastAsia="el-GR"/>
        </w:rPr>
        <w:t xml:space="preserve">, топлане, рафинерије, високе пећи у индустрији гвожђа, фабрике брикета (БКБ постројења), постројења за производњу пелета од биомасе и постројења за производњу дрвеног угља. Електрична мрежа је моделована коришћењем два нивоа, односно преносног система (високонапонски водови) и дистрибутивног система (средњенапонски и нисконапонски водови) како би се урачунали губици и приказао напредак дистрибуиране производње. </w:t>
      </w:r>
      <w:r w:rsidR="003F57EB" w:rsidRPr="00433B0E">
        <w:rPr>
          <w:rFonts w:ascii="Calibri Light" w:eastAsia="Times New Roman" w:hAnsi="Calibri Light" w:cs="Calibri Light"/>
          <w:szCs w:val="20"/>
          <w:lang w:eastAsia="el-GR"/>
        </w:rPr>
        <w:t>Систем</w:t>
      </w:r>
      <w:r w:rsidR="003F57EB" w:rsidRPr="00565B02">
        <w:rPr>
          <w:rFonts w:ascii="Calibri Light" w:eastAsia="Times New Roman" w:hAnsi="Calibri Light" w:cs="Calibri Light"/>
          <w:szCs w:val="20"/>
          <w:lang w:eastAsia="el-GR"/>
        </w:rPr>
        <w:t xml:space="preserve"> природног гаса је такође моделиран помоћу два нивоа, односно </w:t>
      </w:r>
      <w:r w:rsidR="003F57EB" w:rsidRPr="00433B0E">
        <w:rPr>
          <w:rFonts w:ascii="Calibri Light" w:eastAsia="Times New Roman" w:hAnsi="Calibri Light" w:cs="Calibri Light"/>
          <w:szCs w:val="20"/>
          <w:lang w:eastAsia="el-GR"/>
        </w:rPr>
        <w:t>транспортне</w:t>
      </w:r>
      <w:r w:rsidR="003F57EB" w:rsidRPr="00565B02">
        <w:rPr>
          <w:rFonts w:ascii="Calibri Light" w:eastAsia="Times New Roman" w:hAnsi="Calibri Light" w:cs="Calibri Light"/>
          <w:szCs w:val="20"/>
          <w:lang w:eastAsia="el-GR"/>
        </w:rPr>
        <w:t xml:space="preserve"> и дистрибутивне мреже. Топлотне мреже одговарају постојећим </w:t>
      </w:r>
      <w:r w:rsidR="003F57EB" w:rsidRPr="00433B0E">
        <w:rPr>
          <w:rFonts w:ascii="Calibri Light" w:eastAsia="Times New Roman" w:hAnsi="Calibri Light" w:cs="Calibri Light"/>
          <w:szCs w:val="20"/>
          <w:lang w:eastAsia="el-GR"/>
        </w:rPr>
        <w:t>системима</w:t>
      </w:r>
      <w:r w:rsidR="003F57EB" w:rsidRPr="00565B02">
        <w:rPr>
          <w:rFonts w:ascii="Calibri Light" w:eastAsia="Times New Roman" w:hAnsi="Calibri Light" w:cs="Calibri Light"/>
          <w:szCs w:val="20"/>
          <w:lang w:eastAsia="el-GR"/>
        </w:rPr>
        <w:t xml:space="preserve"> даљинског грејања по регион</w:t>
      </w:r>
      <w:r w:rsidR="003F57EB" w:rsidRPr="00433B0E">
        <w:rPr>
          <w:rFonts w:ascii="Calibri Light" w:eastAsia="Times New Roman" w:hAnsi="Calibri Light" w:cs="Calibri Light"/>
          <w:szCs w:val="20"/>
          <w:lang w:eastAsia="el-GR"/>
        </w:rPr>
        <w:t>у</w:t>
      </w:r>
      <w:r w:rsidR="003F57EB" w:rsidRPr="00565B02">
        <w:rPr>
          <w:rFonts w:ascii="Calibri Light" w:eastAsia="Times New Roman" w:hAnsi="Calibri Light" w:cs="Calibri Light"/>
          <w:szCs w:val="20"/>
          <w:lang w:eastAsia="el-GR"/>
        </w:rPr>
        <w:t>, са могућношћу проширења. Потрошња енергије је подељена на стандардних пет сектора, а то су пољопривред</w:t>
      </w:r>
      <w:r w:rsidR="003F57EB" w:rsidRPr="00433B0E">
        <w:rPr>
          <w:rFonts w:ascii="Calibri Light" w:eastAsia="Times New Roman" w:hAnsi="Calibri Light" w:cs="Calibri Light"/>
          <w:szCs w:val="20"/>
          <w:lang w:eastAsia="el-GR"/>
        </w:rPr>
        <w:t>ни</w:t>
      </w:r>
      <w:r w:rsidR="003F57EB" w:rsidRPr="00565B02">
        <w:rPr>
          <w:rFonts w:ascii="Calibri Light" w:eastAsia="Times New Roman" w:hAnsi="Calibri Light" w:cs="Calibri Light"/>
          <w:szCs w:val="20"/>
          <w:lang w:eastAsia="el-GR"/>
        </w:rPr>
        <w:t>, стамбени, терција</w:t>
      </w:r>
      <w:r w:rsidR="00433B0E">
        <w:rPr>
          <w:rFonts w:ascii="Calibri Light" w:eastAsia="Times New Roman" w:hAnsi="Calibri Light" w:cs="Calibri Light"/>
          <w:szCs w:val="20"/>
          <w:lang w:eastAsia="el-GR"/>
        </w:rPr>
        <w:t>р</w:t>
      </w:r>
      <w:r w:rsidR="003F57EB" w:rsidRPr="00565B02">
        <w:rPr>
          <w:rFonts w:ascii="Calibri Light" w:eastAsia="Times New Roman" w:hAnsi="Calibri Light" w:cs="Calibri Light"/>
          <w:szCs w:val="20"/>
          <w:lang w:eastAsia="el-GR"/>
        </w:rPr>
        <w:t>ни (</w:t>
      </w:r>
      <w:r w:rsidR="003F57EB" w:rsidRPr="00433B0E">
        <w:rPr>
          <w:rFonts w:ascii="Calibri Light" w:eastAsia="Times New Roman" w:hAnsi="Calibri Light" w:cs="Calibri Light"/>
          <w:szCs w:val="20"/>
          <w:lang w:eastAsia="el-GR"/>
        </w:rPr>
        <w:t>који</w:t>
      </w:r>
      <w:r w:rsidR="003F57EB" w:rsidRPr="00565B02">
        <w:rPr>
          <w:rFonts w:ascii="Calibri Light" w:eastAsia="Times New Roman" w:hAnsi="Calibri Light" w:cs="Calibri Light"/>
          <w:szCs w:val="20"/>
          <w:lang w:eastAsia="el-GR"/>
        </w:rPr>
        <w:t xml:space="preserve"> укључује услуге, комерцијални</w:t>
      </w:r>
      <w:r w:rsidR="003F57EB" w:rsidRPr="00433B0E">
        <w:rPr>
          <w:rFonts w:ascii="Calibri Light" w:eastAsia="Times New Roman" w:hAnsi="Calibri Light" w:cs="Calibri Light"/>
          <w:szCs w:val="20"/>
          <w:lang w:eastAsia="el-GR"/>
        </w:rPr>
        <w:t xml:space="preserve"> сектор</w:t>
      </w:r>
      <w:r w:rsidR="003F57EB" w:rsidRPr="00565B02">
        <w:rPr>
          <w:rFonts w:ascii="Calibri Light" w:eastAsia="Times New Roman" w:hAnsi="Calibri Light" w:cs="Calibri Light"/>
          <w:szCs w:val="20"/>
          <w:lang w:eastAsia="el-GR"/>
        </w:rPr>
        <w:t xml:space="preserve"> и јавни сектор), индустриј</w:t>
      </w:r>
      <w:r w:rsidR="003F57EB" w:rsidRPr="00433B0E">
        <w:rPr>
          <w:rFonts w:ascii="Calibri Light" w:eastAsia="Times New Roman" w:hAnsi="Calibri Light" w:cs="Calibri Light"/>
          <w:szCs w:val="20"/>
          <w:lang w:eastAsia="el-GR"/>
        </w:rPr>
        <w:t>ски</w:t>
      </w:r>
      <w:r w:rsidR="003F57EB" w:rsidRPr="00565B02">
        <w:rPr>
          <w:rFonts w:ascii="Calibri Light" w:eastAsia="Times New Roman" w:hAnsi="Calibri Light" w:cs="Calibri Light"/>
          <w:szCs w:val="20"/>
          <w:lang w:eastAsia="el-GR"/>
        </w:rPr>
        <w:t xml:space="preserve"> </w:t>
      </w:r>
      <w:r w:rsidR="003F57EB" w:rsidRPr="00433B0E">
        <w:rPr>
          <w:rFonts w:ascii="Calibri Light" w:eastAsia="Times New Roman" w:hAnsi="Calibri Light" w:cs="Calibri Light"/>
          <w:szCs w:val="20"/>
          <w:lang w:eastAsia="el-GR"/>
        </w:rPr>
        <w:t>сектор и сектор саобраћаја</w:t>
      </w:r>
      <w:r w:rsidR="003F57EB" w:rsidRPr="00565B02">
        <w:rPr>
          <w:rFonts w:ascii="Calibri Light" w:eastAsia="Times New Roman" w:hAnsi="Calibri Light" w:cs="Calibri Light"/>
          <w:szCs w:val="20"/>
          <w:lang w:eastAsia="el-GR"/>
        </w:rPr>
        <w:t xml:space="preserve">. Сваки од ових сектора је </w:t>
      </w:r>
      <w:r w:rsidR="003F57EB" w:rsidRPr="00433B0E">
        <w:rPr>
          <w:rFonts w:ascii="Calibri Light" w:eastAsia="Times New Roman" w:hAnsi="Calibri Light" w:cs="Calibri Light"/>
          <w:szCs w:val="20"/>
          <w:lang w:eastAsia="el-GR"/>
        </w:rPr>
        <w:t>додатно подељен</w:t>
      </w:r>
      <w:r w:rsidR="003F57EB" w:rsidRPr="00565B02">
        <w:rPr>
          <w:rFonts w:ascii="Calibri Light" w:eastAsia="Times New Roman" w:hAnsi="Calibri Light" w:cs="Calibri Light"/>
          <w:szCs w:val="20"/>
          <w:lang w:eastAsia="el-GR"/>
        </w:rPr>
        <w:t xml:space="preserve"> на подсекторе и </w:t>
      </w:r>
      <w:r w:rsidR="003F57EB" w:rsidRPr="00433B0E">
        <w:rPr>
          <w:rFonts w:ascii="Calibri Light" w:eastAsia="Times New Roman" w:hAnsi="Calibri Light" w:cs="Calibri Light"/>
          <w:szCs w:val="20"/>
          <w:lang w:eastAsia="el-GR"/>
        </w:rPr>
        <w:t>финалну потрошњу</w:t>
      </w:r>
      <w:r w:rsidR="003F57EB" w:rsidRPr="00565B02">
        <w:rPr>
          <w:rFonts w:ascii="Calibri Light" w:eastAsia="Times New Roman" w:hAnsi="Calibri Light" w:cs="Calibri Light"/>
          <w:szCs w:val="20"/>
          <w:lang w:eastAsia="el-GR"/>
        </w:rPr>
        <w:t>. У свим процесима који су укључени у модел, емисије CO</w:t>
      </w:r>
      <w:r w:rsidR="003F57EB" w:rsidRPr="00565B02">
        <w:rPr>
          <w:rFonts w:ascii="Calibri Light" w:eastAsia="Times New Roman" w:hAnsi="Calibri Light" w:cs="Calibri Light"/>
          <w:szCs w:val="20"/>
          <w:vertAlign w:val="subscript"/>
          <w:lang w:eastAsia="el-GR"/>
        </w:rPr>
        <w:t>2</w:t>
      </w:r>
      <w:r w:rsidR="003F57EB" w:rsidRPr="00565B02">
        <w:rPr>
          <w:rFonts w:ascii="Calibri Light" w:eastAsia="Times New Roman" w:hAnsi="Calibri Light" w:cs="Calibri Light"/>
          <w:szCs w:val="20"/>
          <w:lang w:eastAsia="el-GR"/>
        </w:rPr>
        <w:t>, CH</w:t>
      </w:r>
      <w:r w:rsidR="003F57EB" w:rsidRPr="00565B02">
        <w:rPr>
          <w:rFonts w:ascii="Calibri Light" w:eastAsia="Times New Roman" w:hAnsi="Calibri Light" w:cs="Calibri Light"/>
          <w:szCs w:val="20"/>
          <w:vertAlign w:val="subscript"/>
          <w:lang w:eastAsia="el-GR"/>
        </w:rPr>
        <w:t>4</w:t>
      </w:r>
      <w:r w:rsidR="003F57EB" w:rsidRPr="00565B02">
        <w:rPr>
          <w:rFonts w:ascii="Calibri Light" w:eastAsia="Times New Roman" w:hAnsi="Calibri Light" w:cs="Calibri Light"/>
          <w:szCs w:val="20"/>
          <w:lang w:eastAsia="el-GR"/>
        </w:rPr>
        <w:t xml:space="preserve"> и Н</w:t>
      </w:r>
      <w:r w:rsidR="003F57EB" w:rsidRPr="00565B02">
        <w:rPr>
          <w:rFonts w:ascii="Calibri Light" w:eastAsia="Times New Roman" w:hAnsi="Calibri Light" w:cs="Calibri Light"/>
          <w:szCs w:val="20"/>
          <w:vertAlign w:val="subscript"/>
          <w:lang w:eastAsia="el-GR"/>
        </w:rPr>
        <w:t>2</w:t>
      </w:r>
      <w:r w:rsidR="003F57EB" w:rsidRPr="00565B02">
        <w:rPr>
          <w:rFonts w:ascii="Calibri Light" w:eastAsia="Times New Roman" w:hAnsi="Calibri Light" w:cs="Calibri Light"/>
          <w:szCs w:val="20"/>
          <w:lang w:eastAsia="el-GR"/>
        </w:rPr>
        <w:t xml:space="preserve">O се обрачунавају </w:t>
      </w:r>
      <w:r w:rsidR="003F57EB" w:rsidRPr="00433B0E">
        <w:rPr>
          <w:rFonts w:ascii="Calibri Light" w:eastAsia="Times New Roman" w:hAnsi="Calibri Light" w:cs="Calibri Light"/>
          <w:szCs w:val="20"/>
          <w:lang w:eastAsia="el-GR"/>
        </w:rPr>
        <w:t xml:space="preserve">и приказују </w:t>
      </w:r>
      <w:r w:rsidR="003F57EB" w:rsidRPr="00565B02">
        <w:rPr>
          <w:rFonts w:ascii="Calibri Light" w:eastAsia="Times New Roman" w:hAnsi="Calibri Light" w:cs="Calibri Light"/>
          <w:szCs w:val="20"/>
          <w:lang w:eastAsia="el-GR"/>
        </w:rPr>
        <w:t xml:space="preserve">по сектору како би се могао израчунати ефекат акција </w:t>
      </w:r>
      <w:r w:rsidR="003F57EB" w:rsidRPr="00433B0E">
        <w:rPr>
          <w:rFonts w:ascii="Calibri Light" w:eastAsia="Times New Roman" w:hAnsi="Calibri Light" w:cs="Calibri Light"/>
          <w:szCs w:val="20"/>
          <w:lang w:eastAsia="el-GR"/>
        </w:rPr>
        <w:t xml:space="preserve">за ублажавање </w:t>
      </w:r>
      <w:r w:rsidR="003F57EB" w:rsidRPr="00565B02">
        <w:rPr>
          <w:rFonts w:ascii="Calibri Light" w:eastAsia="Times New Roman" w:hAnsi="Calibri Light" w:cs="Calibri Light"/>
          <w:szCs w:val="20"/>
          <w:lang w:eastAsia="el-GR"/>
        </w:rPr>
        <w:t>по подсектору енергетског система.</w:t>
      </w:r>
    </w:p>
    <w:p w14:paraId="19D0ED58" w14:textId="77777777" w:rsidR="003F57EB" w:rsidRPr="00565B02" w:rsidRDefault="003F57EB" w:rsidP="003F57EB">
      <w:pPr>
        <w:widowControl w:val="0"/>
        <w:spacing w:after="120" w:line="240" w:lineRule="auto"/>
        <w:jc w:val="both"/>
        <w:rPr>
          <w:rFonts w:ascii="Calibri Light" w:eastAsia="Times New Roman" w:hAnsi="Calibri Light" w:cs="Calibri Light"/>
          <w:szCs w:val="20"/>
          <w:lang w:eastAsia="el-GR"/>
        </w:rPr>
        <w:sectPr w:rsidR="003F57EB" w:rsidRPr="00565B02" w:rsidSect="000A2AFE">
          <w:pgSz w:w="11906" w:h="16838"/>
          <w:pgMar w:top="1134" w:right="1134" w:bottom="1134" w:left="1134" w:header="720" w:footer="720" w:gutter="0"/>
          <w:cols w:space="720"/>
          <w:titlePg/>
          <w:docGrid w:linePitch="360"/>
        </w:sectPr>
      </w:pPr>
    </w:p>
    <w:p w14:paraId="03C13648" w14:textId="0E18B222" w:rsidR="008E401C" w:rsidRDefault="008E401C" w:rsidP="00565B02">
      <w:pPr>
        <w:pStyle w:val="Caption"/>
        <w:keepNext/>
      </w:pPr>
      <w:bookmarkStart w:id="496" w:name="_Ref153899504"/>
      <w:bookmarkStart w:id="497" w:name="_Toc153901463"/>
      <w:r>
        <w:lastRenderedPageBreak/>
        <w:t xml:space="preserve">Слика </w:t>
      </w:r>
      <w:r w:rsidR="00F35B2C">
        <w:fldChar w:fldCharType="begin"/>
      </w:r>
      <w:r w:rsidR="00F35B2C">
        <w:instrText xml:space="preserve"> STYLEREF 1 \s </w:instrText>
      </w:r>
      <w:r w:rsidR="00F35B2C">
        <w:fldChar w:fldCharType="separate"/>
      </w:r>
      <w:r w:rsidR="00F35B2C">
        <w:rPr>
          <w:noProof/>
        </w:rPr>
        <w:t>III</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1</w:t>
      </w:r>
      <w:r w:rsidR="00F35B2C">
        <w:fldChar w:fldCharType="end"/>
      </w:r>
      <w:bookmarkEnd w:id="496"/>
      <w:r>
        <w:t xml:space="preserve">: </w:t>
      </w:r>
      <w:r w:rsidRPr="008E401C">
        <w:t>Преглед референтног система за модел СЕМС</w:t>
      </w:r>
      <w:bookmarkEnd w:id="497"/>
    </w:p>
    <w:p w14:paraId="23570649" w14:textId="77777777" w:rsidR="003F57EB" w:rsidRPr="00565B02" w:rsidRDefault="003F57EB" w:rsidP="003F57EB">
      <w:pPr>
        <w:rPr>
          <w:rFonts w:ascii="Calibri" w:eastAsia="Calibri" w:hAnsi="Calibri" w:cs="Times New Roman"/>
          <w:kern w:val="2"/>
        </w:rPr>
      </w:pPr>
      <w:r w:rsidRPr="00565B02">
        <w:rPr>
          <w:noProof/>
        </w:rPr>
        <w:drawing>
          <wp:inline distT="0" distB="0" distL="0" distR="0" wp14:anchorId="1CF3E8D8" wp14:editId="543865B6">
            <wp:extent cx="8583930" cy="5657850"/>
            <wp:effectExtent l="0" t="0" r="7620" b="0"/>
            <wp:docPr id="2014200259" name="Picture 1"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200259" name="Picture 1" descr="A diagram of a computer&#10;&#10;Description automatically generated"/>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8583930" cy="5657850"/>
                    </a:xfrm>
                    <a:prstGeom prst="rect">
                      <a:avLst/>
                    </a:prstGeom>
                    <a:noFill/>
                  </pic:spPr>
                </pic:pic>
              </a:graphicData>
            </a:graphic>
          </wp:inline>
        </w:drawing>
      </w:r>
    </w:p>
    <w:p w14:paraId="5C98DFA1" w14:textId="77777777" w:rsidR="003F57EB" w:rsidRPr="00565B02" w:rsidRDefault="003F57EB" w:rsidP="003F57EB">
      <w:pPr>
        <w:widowControl w:val="0"/>
        <w:spacing w:after="120" w:line="240" w:lineRule="auto"/>
        <w:jc w:val="center"/>
        <w:rPr>
          <w:rFonts w:ascii="Calibri Light" w:eastAsia="Times New Roman" w:hAnsi="Calibri Light" w:cs="Calibri Light"/>
          <w:szCs w:val="20"/>
          <w:lang w:eastAsia="el-GR"/>
        </w:rPr>
        <w:sectPr w:rsidR="003F57EB" w:rsidRPr="00565B02" w:rsidSect="0057310C">
          <w:pgSz w:w="16838" w:h="11906" w:orient="landscape"/>
          <w:pgMar w:top="1134" w:right="1134" w:bottom="1134" w:left="1134" w:header="720" w:footer="720" w:gutter="0"/>
          <w:cols w:space="720"/>
          <w:docGrid w:linePitch="360"/>
        </w:sectPr>
      </w:pPr>
    </w:p>
    <w:p w14:paraId="135155FD" w14:textId="48C30FAA" w:rsidR="003F57EB" w:rsidRPr="00433B0E" w:rsidRDefault="003F57EB" w:rsidP="003F57EB">
      <w:pPr>
        <w:widowControl w:val="0"/>
        <w:spacing w:after="120" w:line="240" w:lineRule="auto"/>
        <w:jc w:val="both"/>
        <w:rPr>
          <w:rFonts w:ascii="Calibri Light" w:eastAsia="Times New Roman" w:hAnsi="Calibri Light" w:cs="Calibri Light"/>
          <w:szCs w:val="20"/>
          <w:lang w:eastAsia="el-GR"/>
        </w:rPr>
      </w:pPr>
      <w:r w:rsidRPr="00433B0E">
        <w:rPr>
          <w:rFonts w:ascii="Calibri Light" w:eastAsia="Times New Roman" w:hAnsi="Calibri Light" w:cs="Calibri Light"/>
          <w:szCs w:val="20"/>
          <w:lang w:eastAsia="el-GR"/>
        </w:rPr>
        <w:lastRenderedPageBreak/>
        <w:t>Анализа финалне потрошње енергије у о</w:t>
      </w:r>
      <w:r w:rsidR="00433B0E">
        <w:rPr>
          <w:rFonts w:ascii="Calibri Light" w:eastAsia="Times New Roman" w:hAnsi="Calibri Light" w:cs="Calibri Light"/>
          <w:szCs w:val="20"/>
          <w:lang w:eastAsia="el-GR"/>
        </w:rPr>
        <w:t>к</w:t>
      </w:r>
      <w:r w:rsidRPr="00433B0E">
        <w:rPr>
          <w:rFonts w:ascii="Calibri Light" w:eastAsia="Times New Roman" w:hAnsi="Calibri Light" w:cs="Calibri Light"/>
          <w:szCs w:val="20"/>
          <w:lang w:eastAsia="el-GR"/>
        </w:rPr>
        <w:t>виру СМЕС- а:</w:t>
      </w:r>
    </w:p>
    <w:p w14:paraId="325C7CD0" w14:textId="77777777" w:rsidR="003F57EB" w:rsidRPr="00433B0E" w:rsidRDefault="003F57EB" w:rsidP="003F57EB">
      <w:pPr>
        <w:widowControl w:val="0"/>
        <w:numPr>
          <w:ilvl w:val="0"/>
          <w:numId w:val="319"/>
        </w:numPr>
        <w:spacing w:after="120" w:line="276" w:lineRule="auto"/>
        <w:contextualSpacing/>
        <w:jc w:val="both"/>
        <w:rPr>
          <w:rFonts w:ascii="Calibri Light" w:eastAsia="Times New Roman" w:hAnsi="Calibri Light" w:cs="Calibri Light"/>
          <w:szCs w:val="20"/>
          <w:lang w:eastAsia="el-GR"/>
        </w:rPr>
      </w:pPr>
      <w:bookmarkStart w:id="498" w:name="OLE_LINK67"/>
      <w:bookmarkStart w:id="499" w:name="OLE_LINK68"/>
      <w:bookmarkStart w:id="500" w:name="OLE_LINK69"/>
      <w:r w:rsidRPr="00433B0E">
        <w:rPr>
          <w:rFonts w:ascii="Calibri Light" w:eastAsia="Times New Roman" w:hAnsi="Calibri Light" w:cs="Calibri Light"/>
          <w:b/>
          <w:szCs w:val="20"/>
          <w:lang w:eastAsia="el-GR"/>
        </w:rPr>
        <w:t>Индустрија</w:t>
      </w:r>
      <w:r w:rsidRPr="00433B0E">
        <w:rPr>
          <w:rFonts w:ascii="Calibri Light" w:eastAsia="Times New Roman" w:hAnsi="Calibri Light" w:cs="Calibri Light"/>
          <w:szCs w:val="20"/>
          <w:lang w:eastAsia="el-GR"/>
        </w:rPr>
        <w:t>, дели се на следеће подсекторе:</w:t>
      </w:r>
    </w:p>
    <w:p w14:paraId="212D105B" w14:textId="77777777" w:rsidR="003F57EB" w:rsidRPr="00433B0E" w:rsidRDefault="003F57EB" w:rsidP="003F57EB">
      <w:pPr>
        <w:widowControl w:val="0"/>
        <w:numPr>
          <w:ilvl w:val="0"/>
          <w:numId w:val="321"/>
        </w:numPr>
        <w:spacing w:after="0" w:line="276" w:lineRule="auto"/>
        <w:ind w:left="360"/>
        <w:jc w:val="both"/>
        <w:rPr>
          <w:rFonts w:ascii="Calibri Light" w:hAnsi="Calibri Light" w:cs="Calibri Light"/>
          <w:lang w:eastAsia="en-GB"/>
        </w:rPr>
      </w:pPr>
      <w:r w:rsidRPr="00433B0E">
        <w:rPr>
          <w:rFonts w:ascii="Calibri Light" w:hAnsi="Calibri Light" w:cs="Calibri Light"/>
          <w:lang w:eastAsia="en-GB"/>
        </w:rPr>
        <w:t>Гвожђе и челик.</w:t>
      </w:r>
    </w:p>
    <w:p w14:paraId="58D92FE6" w14:textId="77777777" w:rsidR="003F57EB" w:rsidRPr="00433B0E" w:rsidRDefault="003F57EB" w:rsidP="003F57EB">
      <w:pPr>
        <w:widowControl w:val="0"/>
        <w:numPr>
          <w:ilvl w:val="0"/>
          <w:numId w:val="321"/>
        </w:numPr>
        <w:spacing w:after="0" w:line="276" w:lineRule="auto"/>
        <w:ind w:left="360"/>
        <w:jc w:val="both"/>
        <w:rPr>
          <w:rFonts w:ascii="Calibri Light" w:hAnsi="Calibri Light" w:cs="Calibri Light"/>
          <w:lang w:eastAsia="en-GB"/>
        </w:rPr>
      </w:pPr>
      <w:r w:rsidRPr="00433B0E">
        <w:rPr>
          <w:rFonts w:ascii="Calibri Light" w:hAnsi="Calibri Light" w:cs="Calibri Light"/>
          <w:lang w:eastAsia="en-GB"/>
        </w:rPr>
        <w:t>Хемијска и петрохемијска индустрија.</w:t>
      </w:r>
    </w:p>
    <w:p w14:paraId="1F0F7747" w14:textId="77777777" w:rsidR="003F57EB" w:rsidRPr="00433B0E" w:rsidRDefault="003F57EB" w:rsidP="003F57EB">
      <w:pPr>
        <w:widowControl w:val="0"/>
        <w:numPr>
          <w:ilvl w:val="0"/>
          <w:numId w:val="321"/>
        </w:numPr>
        <w:spacing w:after="0" w:line="276" w:lineRule="auto"/>
        <w:ind w:left="360"/>
        <w:jc w:val="both"/>
        <w:rPr>
          <w:rFonts w:ascii="Calibri Light" w:hAnsi="Calibri Light" w:cs="Calibri Light"/>
          <w:lang w:eastAsia="en-GB"/>
        </w:rPr>
      </w:pPr>
      <w:r w:rsidRPr="00433B0E">
        <w:rPr>
          <w:rFonts w:ascii="Calibri Light" w:hAnsi="Calibri Light" w:cs="Calibri Light"/>
          <w:lang w:eastAsia="en-GB"/>
        </w:rPr>
        <w:t>Обојени метали.</w:t>
      </w:r>
    </w:p>
    <w:p w14:paraId="2F5FA7C6" w14:textId="77777777" w:rsidR="003F57EB" w:rsidRPr="00433B0E" w:rsidRDefault="003F57EB" w:rsidP="003F57EB">
      <w:pPr>
        <w:widowControl w:val="0"/>
        <w:numPr>
          <w:ilvl w:val="0"/>
          <w:numId w:val="321"/>
        </w:numPr>
        <w:spacing w:after="0" w:line="276" w:lineRule="auto"/>
        <w:ind w:left="360"/>
        <w:jc w:val="both"/>
        <w:rPr>
          <w:rFonts w:ascii="Calibri Light" w:hAnsi="Calibri Light" w:cs="Calibri Light"/>
          <w:lang w:eastAsia="en-GB"/>
        </w:rPr>
      </w:pPr>
      <w:r w:rsidRPr="00433B0E">
        <w:rPr>
          <w:rFonts w:ascii="Calibri Light" w:hAnsi="Calibri Light" w:cs="Calibri Light"/>
          <w:lang w:eastAsia="en-GB"/>
        </w:rPr>
        <w:t>Неметални минерали.</w:t>
      </w:r>
    </w:p>
    <w:p w14:paraId="03B42DA0" w14:textId="77777777" w:rsidR="003F57EB" w:rsidRPr="00433B0E" w:rsidRDefault="003F57EB" w:rsidP="003F57EB">
      <w:pPr>
        <w:widowControl w:val="0"/>
        <w:numPr>
          <w:ilvl w:val="0"/>
          <w:numId w:val="321"/>
        </w:numPr>
        <w:spacing w:after="0" w:line="276" w:lineRule="auto"/>
        <w:ind w:left="360"/>
        <w:jc w:val="both"/>
        <w:rPr>
          <w:rFonts w:ascii="Calibri Light" w:hAnsi="Calibri Light" w:cs="Calibri Light"/>
          <w:lang w:eastAsia="en-GB"/>
        </w:rPr>
      </w:pPr>
      <w:r w:rsidRPr="00433B0E">
        <w:rPr>
          <w:rFonts w:ascii="Calibri Light" w:hAnsi="Calibri Light" w:cs="Calibri Light"/>
          <w:lang w:eastAsia="en-GB"/>
        </w:rPr>
        <w:t>Транспортна опрема.</w:t>
      </w:r>
    </w:p>
    <w:p w14:paraId="32470CAC" w14:textId="77777777" w:rsidR="003F57EB" w:rsidRPr="00433B0E" w:rsidRDefault="003F57EB" w:rsidP="003F57EB">
      <w:pPr>
        <w:widowControl w:val="0"/>
        <w:numPr>
          <w:ilvl w:val="0"/>
          <w:numId w:val="321"/>
        </w:numPr>
        <w:spacing w:after="0" w:line="276" w:lineRule="auto"/>
        <w:ind w:left="360"/>
        <w:jc w:val="both"/>
        <w:rPr>
          <w:rFonts w:ascii="Calibri Light" w:hAnsi="Calibri Light" w:cs="Calibri Light"/>
          <w:lang w:eastAsia="en-GB"/>
        </w:rPr>
      </w:pPr>
      <w:r w:rsidRPr="00433B0E">
        <w:rPr>
          <w:rFonts w:ascii="Calibri Light" w:hAnsi="Calibri Light" w:cs="Calibri Light"/>
          <w:lang w:eastAsia="en-GB"/>
        </w:rPr>
        <w:t>Машине.</w:t>
      </w:r>
    </w:p>
    <w:p w14:paraId="6ABDE924" w14:textId="77777777" w:rsidR="003F57EB" w:rsidRPr="00433B0E" w:rsidRDefault="003F57EB" w:rsidP="003F57EB">
      <w:pPr>
        <w:widowControl w:val="0"/>
        <w:numPr>
          <w:ilvl w:val="0"/>
          <w:numId w:val="321"/>
        </w:numPr>
        <w:spacing w:after="0" w:line="276" w:lineRule="auto"/>
        <w:ind w:left="360"/>
        <w:jc w:val="both"/>
        <w:rPr>
          <w:rFonts w:ascii="Calibri Light" w:hAnsi="Calibri Light" w:cs="Calibri Light"/>
          <w:lang w:eastAsia="en-GB"/>
        </w:rPr>
      </w:pPr>
      <w:r w:rsidRPr="00433B0E">
        <w:rPr>
          <w:rFonts w:ascii="Calibri Light" w:hAnsi="Calibri Light" w:cs="Calibri Light"/>
          <w:lang w:eastAsia="en-GB"/>
        </w:rPr>
        <w:t>Рударство (искључујући индустрије за производњу енергије) и каменоломи.</w:t>
      </w:r>
    </w:p>
    <w:p w14:paraId="12A5EEEF" w14:textId="77777777" w:rsidR="003F57EB" w:rsidRPr="00433B0E" w:rsidRDefault="003F57EB" w:rsidP="003F57EB">
      <w:pPr>
        <w:widowControl w:val="0"/>
        <w:numPr>
          <w:ilvl w:val="0"/>
          <w:numId w:val="321"/>
        </w:numPr>
        <w:spacing w:after="0" w:line="276" w:lineRule="auto"/>
        <w:ind w:left="360"/>
        <w:jc w:val="both"/>
        <w:rPr>
          <w:rFonts w:ascii="Calibri Light" w:hAnsi="Calibri Light" w:cs="Calibri Light"/>
          <w:lang w:eastAsia="en-GB"/>
        </w:rPr>
      </w:pPr>
      <w:r w:rsidRPr="00433B0E">
        <w:rPr>
          <w:rFonts w:ascii="Calibri Light" w:hAnsi="Calibri Light" w:cs="Calibri Light"/>
          <w:lang w:eastAsia="en-GB"/>
        </w:rPr>
        <w:t>Прехрамбени производи, пиће и дуван.</w:t>
      </w:r>
    </w:p>
    <w:p w14:paraId="02CC0D09" w14:textId="77777777" w:rsidR="003F57EB" w:rsidRPr="00433B0E" w:rsidRDefault="003F57EB" w:rsidP="003F57EB">
      <w:pPr>
        <w:widowControl w:val="0"/>
        <w:numPr>
          <w:ilvl w:val="0"/>
          <w:numId w:val="321"/>
        </w:numPr>
        <w:spacing w:after="0" w:line="276" w:lineRule="auto"/>
        <w:ind w:left="360"/>
        <w:jc w:val="both"/>
        <w:rPr>
          <w:rFonts w:ascii="Calibri Light" w:hAnsi="Calibri Light" w:cs="Calibri Light"/>
          <w:lang w:eastAsia="en-GB"/>
        </w:rPr>
      </w:pPr>
      <w:r w:rsidRPr="00433B0E">
        <w:rPr>
          <w:rFonts w:ascii="Calibri Light" w:hAnsi="Calibri Light" w:cs="Calibri Light"/>
          <w:lang w:eastAsia="en-GB"/>
        </w:rPr>
        <w:t>Пулпа, папир и штампарије.</w:t>
      </w:r>
    </w:p>
    <w:p w14:paraId="691CCD50" w14:textId="77777777" w:rsidR="003F57EB" w:rsidRPr="00433B0E" w:rsidRDefault="003F57EB" w:rsidP="003F57EB">
      <w:pPr>
        <w:widowControl w:val="0"/>
        <w:numPr>
          <w:ilvl w:val="0"/>
          <w:numId w:val="321"/>
        </w:numPr>
        <w:spacing w:after="0" w:line="276" w:lineRule="auto"/>
        <w:ind w:left="360"/>
        <w:jc w:val="both"/>
        <w:rPr>
          <w:rFonts w:ascii="Calibri Light" w:hAnsi="Calibri Light" w:cs="Calibri Light"/>
          <w:lang w:eastAsia="en-GB"/>
        </w:rPr>
      </w:pPr>
      <w:r w:rsidRPr="00433B0E">
        <w:rPr>
          <w:rFonts w:ascii="Calibri Light" w:hAnsi="Calibri Light" w:cs="Calibri Light"/>
          <w:lang w:eastAsia="en-GB"/>
        </w:rPr>
        <w:t>Дрво и производи од дрвета (осим пулпе и папира).</w:t>
      </w:r>
    </w:p>
    <w:p w14:paraId="10FD5501" w14:textId="77777777" w:rsidR="003F57EB" w:rsidRPr="00433B0E" w:rsidRDefault="003F57EB" w:rsidP="003F57EB">
      <w:pPr>
        <w:widowControl w:val="0"/>
        <w:numPr>
          <w:ilvl w:val="0"/>
          <w:numId w:val="321"/>
        </w:numPr>
        <w:spacing w:after="0" w:line="276" w:lineRule="auto"/>
        <w:ind w:left="360"/>
        <w:jc w:val="both"/>
        <w:rPr>
          <w:rFonts w:ascii="Calibri Light" w:hAnsi="Calibri Light" w:cs="Calibri Light"/>
          <w:lang w:eastAsia="en-GB"/>
        </w:rPr>
      </w:pPr>
      <w:r w:rsidRPr="00433B0E">
        <w:rPr>
          <w:rFonts w:ascii="Calibri Light" w:hAnsi="Calibri Light" w:cs="Calibri Light"/>
          <w:lang w:eastAsia="en-GB"/>
        </w:rPr>
        <w:t>Грађевинска индустрија.</w:t>
      </w:r>
    </w:p>
    <w:p w14:paraId="61B2B0CC" w14:textId="77777777" w:rsidR="003F57EB" w:rsidRPr="00433B0E" w:rsidRDefault="003F57EB" w:rsidP="003F57EB">
      <w:pPr>
        <w:widowControl w:val="0"/>
        <w:numPr>
          <w:ilvl w:val="0"/>
          <w:numId w:val="321"/>
        </w:numPr>
        <w:spacing w:after="0" w:line="276" w:lineRule="auto"/>
        <w:ind w:left="360"/>
        <w:jc w:val="both"/>
        <w:rPr>
          <w:rFonts w:ascii="Calibri Light" w:hAnsi="Calibri Light" w:cs="Calibri Light"/>
          <w:lang w:eastAsia="en-GB"/>
        </w:rPr>
      </w:pPr>
      <w:r w:rsidRPr="00433B0E">
        <w:rPr>
          <w:rFonts w:ascii="Calibri Light" w:hAnsi="Calibri Light" w:cs="Calibri Light"/>
          <w:lang w:eastAsia="en-GB"/>
        </w:rPr>
        <w:t>Текстилна и кожна индустрија.</w:t>
      </w:r>
    </w:p>
    <w:p w14:paraId="1F356D1C" w14:textId="77777777" w:rsidR="003F57EB" w:rsidRPr="00433B0E" w:rsidRDefault="003F57EB" w:rsidP="003F57EB">
      <w:pPr>
        <w:widowControl w:val="0"/>
        <w:numPr>
          <w:ilvl w:val="0"/>
          <w:numId w:val="321"/>
        </w:numPr>
        <w:spacing w:after="0" w:line="276" w:lineRule="auto"/>
        <w:ind w:left="360"/>
        <w:jc w:val="both"/>
        <w:rPr>
          <w:rFonts w:ascii="Calibri Light" w:hAnsi="Calibri Light" w:cs="Calibri Light"/>
          <w:lang w:eastAsia="en-GB"/>
        </w:rPr>
      </w:pPr>
      <w:r w:rsidRPr="00433B0E">
        <w:rPr>
          <w:rFonts w:ascii="Calibri Light" w:hAnsi="Calibri Light" w:cs="Calibri Light"/>
          <w:lang w:eastAsia="en-GB"/>
        </w:rPr>
        <w:t>Друге гране индустрије које нису посебно наведене.</w:t>
      </w:r>
    </w:p>
    <w:p w14:paraId="5FA78D55" w14:textId="77777777" w:rsidR="003F57EB" w:rsidRPr="00433B0E" w:rsidRDefault="003F57EB" w:rsidP="003F57EB">
      <w:pPr>
        <w:widowControl w:val="0"/>
        <w:numPr>
          <w:ilvl w:val="0"/>
          <w:numId w:val="319"/>
        </w:numPr>
        <w:spacing w:after="120" w:line="276" w:lineRule="auto"/>
        <w:contextualSpacing/>
        <w:jc w:val="both"/>
        <w:rPr>
          <w:rFonts w:ascii="Calibri Light" w:eastAsia="Times New Roman" w:hAnsi="Calibri Light" w:cs="Calibri Light"/>
          <w:szCs w:val="20"/>
          <w:lang w:eastAsia="el-GR"/>
        </w:rPr>
      </w:pPr>
      <w:r w:rsidRPr="00433B0E">
        <w:rPr>
          <w:rFonts w:ascii="Calibri Light" w:eastAsia="Times New Roman" w:hAnsi="Calibri Light" w:cs="Calibri Light"/>
          <w:b/>
          <w:szCs w:val="20"/>
          <w:lang w:eastAsia="el-GR"/>
        </w:rPr>
        <w:t>Стамбени</w:t>
      </w:r>
      <w:r w:rsidRPr="00433B0E">
        <w:rPr>
          <w:rFonts w:ascii="Calibri Light" w:eastAsia="Times New Roman" w:hAnsi="Calibri Light" w:cs="Calibri Light"/>
          <w:szCs w:val="20"/>
          <w:lang w:eastAsia="el-GR"/>
        </w:rPr>
        <w:t xml:space="preserve">, подељен у шест типологија и седам периода изградње у складу са пројектом </w:t>
      </w:r>
      <w:r w:rsidRPr="00565B02">
        <w:rPr>
          <w:rFonts w:ascii="Calibri Light" w:eastAsia="Times New Roman" w:hAnsi="Calibri Light" w:cs="Calibri Light"/>
          <w:i/>
          <w:iCs/>
          <w:szCs w:val="20"/>
          <w:lang w:eastAsia="el-GR"/>
        </w:rPr>
        <w:t>TABULA</w:t>
      </w:r>
      <w:r w:rsidRPr="00433B0E">
        <w:rPr>
          <w:rFonts w:ascii="Calibri Light" w:eastAsia="Times New Roman" w:hAnsi="Calibri Light" w:cs="Calibri Light"/>
          <w:i/>
          <w:iCs/>
          <w:szCs w:val="20"/>
          <w:lang w:eastAsia="el-GR"/>
        </w:rPr>
        <w:t>.</w:t>
      </w:r>
    </w:p>
    <w:p w14:paraId="76402BB3" w14:textId="4F89E894" w:rsidR="008E401C" w:rsidRDefault="008E401C" w:rsidP="00565B02">
      <w:pPr>
        <w:pStyle w:val="Caption"/>
        <w:keepNext/>
      </w:pPr>
      <w:bookmarkStart w:id="501" w:name="_Toc153901464"/>
      <w:r>
        <w:t xml:space="preserve">Слика </w:t>
      </w:r>
      <w:r w:rsidR="00F35B2C">
        <w:fldChar w:fldCharType="begin"/>
      </w:r>
      <w:r w:rsidR="00F35B2C">
        <w:instrText xml:space="preserve"> STYLEREF 1 \s </w:instrText>
      </w:r>
      <w:r w:rsidR="00F35B2C">
        <w:fldChar w:fldCharType="separate"/>
      </w:r>
      <w:r w:rsidR="00F35B2C">
        <w:rPr>
          <w:noProof/>
        </w:rPr>
        <w:t>III</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2</w:t>
      </w:r>
      <w:r w:rsidR="00F35B2C">
        <w:fldChar w:fldCharType="end"/>
      </w:r>
      <w:r w:rsidRPr="008E401C">
        <w:t>: Типологија стамбеног сектора у складу са TABULA</w:t>
      </w:r>
      <w:bookmarkEnd w:id="501"/>
    </w:p>
    <w:p w14:paraId="429A9DC8" w14:textId="77777777" w:rsidR="003F57EB" w:rsidRPr="00565B02" w:rsidRDefault="003F57EB" w:rsidP="003F57EB">
      <w:pPr>
        <w:widowControl w:val="0"/>
        <w:spacing w:after="120" w:line="240" w:lineRule="auto"/>
        <w:jc w:val="center"/>
        <w:rPr>
          <w:rFonts w:ascii="Calibri Light" w:eastAsia="Times New Roman" w:hAnsi="Calibri Light" w:cs="Calibri Light"/>
          <w:szCs w:val="20"/>
          <w:lang w:eastAsia="el-GR"/>
        </w:rPr>
      </w:pPr>
      <w:r w:rsidRPr="00565B02">
        <w:rPr>
          <w:rFonts w:ascii="Calibri" w:eastAsia="Times New Roman" w:hAnsi="Calibri" w:cs="Times New Roman"/>
          <w:noProof/>
          <w:szCs w:val="20"/>
        </w:rPr>
        <w:drawing>
          <wp:inline distT="0" distB="0" distL="0" distR="0" wp14:anchorId="12A2CD4A" wp14:editId="49AC99BA">
            <wp:extent cx="5059723" cy="1232496"/>
            <wp:effectExtent l="0" t="0" r="0" b="6350"/>
            <wp:docPr id="21506" name="Picture 2" descr="A yellow and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2" descr="A yellow and black text&#10;&#10;Description automatically generated with medium confidence"/>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079245" cy="1237251"/>
                    </a:xfrm>
                    <a:prstGeom prst="rect">
                      <a:avLst/>
                    </a:prstGeom>
                    <a:noFill/>
                    <a:ln>
                      <a:noFill/>
                    </a:ln>
                  </pic:spPr>
                </pic:pic>
              </a:graphicData>
            </a:graphic>
          </wp:inline>
        </w:drawing>
      </w:r>
    </w:p>
    <w:p w14:paraId="40A3CC96" w14:textId="77777777" w:rsidR="003F57EB" w:rsidRPr="00565B02" w:rsidRDefault="003F57EB" w:rsidP="003F57EB">
      <w:pPr>
        <w:widowControl w:val="0"/>
        <w:spacing w:after="120" w:line="240" w:lineRule="auto"/>
        <w:jc w:val="both"/>
        <w:rPr>
          <w:rFonts w:ascii="Calibri Light" w:eastAsia="Times New Roman" w:hAnsi="Calibri Light" w:cs="Calibri Light"/>
          <w:szCs w:val="20"/>
          <w:lang w:eastAsia="el-GR"/>
        </w:rPr>
      </w:pPr>
      <w:r w:rsidRPr="00433B0E">
        <w:rPr>
          <w:rFonts w:ascii="Calibri Light" w:eastAsia="Times New Roman" w:hAnsi="Calibri Light" w:cs="Calibri Light"/>
          <w:szCs w:val="20"/>
          <w:lang w:eastAsia="el-GR"/>
        </w:rPr>
        <w:t>Поред тога, стамбене јединице у оквиру сваке од типологија су разврстани у неколико периода изградње, сходно табели у наставку</w:t>
      </w:r>
      <w:r w:rsidRPr="00565B02">
        <w:rPr>
          <w:rFonts w:ascii="Calibri Light" w:eastAsia="Times New Roman" w:hAnsi="Calibri Light" w:cs="Calibri Light"/>
          <w:szCs w:val="20"/>
          <w:lang w:eastAsia="el-GR"/>
        </w:rPr>
        <w:t>:</w:t>
      </w:r>
    </w:p>
    <w:p w14:paraId="12F791E5" w14:textId="78F6EF8E" w:rsidR="008E401C" w:rsidRDefault="008E401C" w:rsidP="00565B02">
      <w:pPr>
        <w:pStyle w:val="Caption"/>
        <w:keepNext/>
      </w:pPr>
      <w:bookmarkStart w:id="502" w:name="_Toc153901494"/>
      <w:r>
        <w:t xml:space="preserve">Табела </w:t>
      </w:r>
      <w:r w:rsidR="00873C40">
        <w:fldChar w:fldCharType="begin"/>
      </w:r>
      <w:r w:rsidR="00873C40">
        <w:instrText xml:space="preserve"> STYLEREF 1 \s </w:instrText>
      </w:r>
      <w:r w:rsidR="00873C40">
        <w:fldChar w:fldCharType="separate"/>
      </w:r>
      <w:r w:rsidR="00873C40">
        <w:rPr>
          <w:noProof/>
        </w:rPr>
        <w:t>III</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1</w:t>
      </w:r>
      <w:r w:rsidR="00873C40">
        <w:fldChar w:fldCharType="end"/>
      </w:r>
      <w:r w:rsidRPr="008E401C">
        <w:t>: Период изградње типологије стамбених јединица</w:t>
      </w:r>
      <w:bookmarkEnd w:id="502"/>
    </w:p>
    <w:tbl>
      <w:tblPr>
        <w:tblW w:w="27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2700"/>
      </w:tblGrid>
      <w:tr w:rsidR="003F57EB" w:rsidRPr="00433B0E" w14:paraId="6A3664BA" w14:textId="77777777" w:rsidTr="0057310C">
        <w:trPr>
          <w:trHeight w:val="20"/>
          <w:jc w:val="center"/>
        </w:trPr>
        <w:tc>
          <w:tcPr>
            <w:tcW w:w="2700" w:type="dxa"/>
            <w:shd w:val="clear" w:color="auto" w:fill="323E4F"/>
            <w:tcMar>
              <w:top w:w="15" w:type="dxa"/>
              <w:left w:w="15" w:type="dxa"/>
              <w:bottom w:w="0" w:type="dxa"/>
              <w:right w:w="15" w:type="dxa"/>
            </w:tcMar>
            <w:vAlign w:val="bottom"/>
            <w:hideMark/>
          </w:tcPr>
          <w:p w14:paraId="158D565A" w14:textId="77777777" w:rsidR="003F57EB" w:rsidRPr="00565B02" w:rsidRDefault="003F57EB" w:rsidP="0057310C">
            <w:pPr>
              <w:widowControl w:val="0"/>
              <w:spacing w:after="0" w:line="240" w:lineRule="auto"/>
              <w:jc w:val="center"/>
              <w:rPr>
                <w:rFonts w:ascii="Calibri Light" w:eastAsia="Times New Roman" w:hAnsi="Calibri Light" w:cs="Calibri Light"/>
                <w:b/>
                <w:color w:val="FFFFFF"/>
                <w:szCs w:val="20"/>
                <w:lang w:eastAsia="el-GR"/>
              </w:rPr>
            </w:pPr>
            <w:r w:rsidRPr="00433B0E">
              <w:rPr>
                <w:rFonts w:ascii="Calibri Light" w:eastAsia="Times New Roman" w:hAnsi="Calibri Light" w:cs="Calibri Light"/>
                <w:b/>
                <w:color w:val="FFFFFF"/>
                <w:szCs w:val="20"/>
                <w:lang w:eastAsia="el-GR"/>
              </w:rPr>
              <w:t>Типологије стамбених јединица</w:t>
            </w:r>
          </w:p>
        </w:tc>
      </w:tr>
      <w:tr w:rsidR="003F57EB" w:rsidRPr="00433B0E" w14:paraId="32136B33" w14:textId="77777777" w:rsidTr="0057310C">
        <w:trPr>
          <w:trHeight w:val="20"/>
          <w:jc w:val="center"/>
        </w:trPr>
        <w:tc>
          <w:tcPr>
            <w:tcW w:w="2700" w:type="dxa"/>
            <w:shd w:val="clear" w:color="auto" w:fill="323E4F"/>
            <w:tcMar>
              <w:top w:w="15" w:type="dxa"/>
              <w:left w:w="15" w:type="dxa"/>
              <w:bottom w:w="0" w:type="dxa"/>
              <w:right w:w="15" w:type="dxa"/>
            </w:tcMar>
            <w:hideMark/>
          </w:tcPr>
          <w:p w14:paraId="43C32FF4" w14:textId="77777777" w:rsidR="003F57EB" w:rsidRPr="00565B02" w:rsidRDefault="003F57EB" w:rsidP="0057310C">
            <w:pPr>
              <w:widowControl w:val="0"/>
              <w:spacing w:after="0" w:line="240" w:lineRule="auto"/>
              <w:jc w:val="center"/>
              <w:rPr>
                <w:rFonts w:ascii="Calibri Light" w:eastAsia="Times New Roman" w:hAnsi="Calibri Light" w:cs="Calibri Light"/>
                <w:b/>
                <w:color w:val="FFFFFF"/>
                <w:szCs w:val="20"/>
                <w:lang w:eastAsia="el-GR"/>
              </w:rPr>
            </w:pPr>
            <w:r w:rsidRPr="00433B0E">
              <w:rPr>
                <w:rFonts w:ascii="Calibri Light" w:eastAsia="Times New Roman" w:hAnsi="Calibri Light" w:cs="Calibri Light"/>
                <w:b/>
                <w:color w:val="FFFFFF"/>
                <w:szCs w:val="20"/>
                <w:lang w:eastAsia="el-GR"/>
              </w:rPr>
              <w:t>Период изградње</w:t>
            </w:r>
          </w:p>
        </w:tc>
      </w:tr>
      <w:tr w:rsidR="003F57EB" w:rsidRPr="00433B0E" w14:paraId="756DF420" w14:textId="77777777" w:rsidTr="0057310C">
        <w:trPr>
          <w:trHeight w:val="20"/>
          <w:jc w:val="center"/>
        </w:trPr>
        <w:tc>
          <w:tcPr>
            <w:tcW w:w="2700" w:type="dxa"/>
            <w:shd w:val="clear" w:color="auto" w:fill="auto"/>
            <w:tcMar>
              <w:top w:w="15" w:type="dxa"/>
              <w:left w:w="15" w:type="dxa"/>
              <w:bottom w:w="0" w:type="dxa"/>
              <w:right w:w="15" w:type="dxa"/>
            </w:tcMar>
            <w:vAlign w:val="bottom"/>
            <w:hideMark/>
          </w:tcPr>
          <w:p w14:paraId="2E0448EA" w14:textId="77777777" w:rsidR="003F57EB" w:rsidRPr="00565B02" w:rsidRDefault="003F57EB" w:rsidP="0057310C">
            <w:pPr>
              <w:widowControl w:val="0"/>
              <w:spacing w:after="0" w:line="240" w:lineRule="auto"/>
              <w:jc w:val="center"/>
              <w:rPr>
                <w:rFonts w:ascii="Calibri Light" w:eastAsia="Times New Roman" w:hAnsi="Calibri Light" w:cs="Calibri Light"/>
                <w:szCs w:val="20"/>
                <w:lang w:eastAsia="el-GR"/>
              </w:rPr>
            </w:pPr>
            <w:r w:rsidRPr="00565B02">
              <w:rPr>
                <w:rFonts w:ascii="Calibri Light" w:eastAsia="Times New Roman" w:hAnsi="Calibri Light" w:cs="Calibri Light"/>
                <w:szCs w:val="20"/>
                <w:lang w:eastAsia="el-GR"/>
              </w:rPr>
              <w:t>&lt;1919</w:t>
            </w:r>
          </w:p>
        </w:tc>
      </w:tr>
      <w:tr w:rsidR="003F57EB" w:rsidRPr="00433B0E" w14:paraId="7D4CF714" w14:textId="77777777" w:rsidTr="0057310C">
        <w:trPr>
          <w:trHeight w:val="20"/>
          <w:jc w:val="center"/>
        </w:trPr>
        <w:tc>
          <w:tcPr>
            <w:tcW w:w="2700" w:type="dxa"/>
            <w:shd w:val="clear" w:color="auto" w:fill="auto"/>
            <w:tcMar>
              <w:top w:w="15" w:type="dxa"/>
              <w:left w:w="15" w:type="dxa"/>
              <w:bottom w:w="0" w:type="dxa"/>
              <w:right w:w="15" w:type="dxa"/>
            </w:tcMar>
            <w:vAlign w:val="bottom"/>
            <w:hideMark/>
          </w:tcPr>
          <w:p w14:paraId="163B5588" w14:textId="77777777" w:rsidR="003F57EB" w:rsidRPr="00565B02" w:rsidRDefault="003F57EB" w:rsidP="0057310C">
            <w:pPr>
              <w:widowControl w:val="0"/>
              <w:spacing w:after="0" w:line="240" w:lineRule="auto"/>
              <w:jc w:val="center"/>
              <w:rPr>
                <w:rFonts w:ascii="Calibri Light" w:eastAsia="Times New Roman" w:hAnsi="Calibri Light" w:cs="Calibri Light"/>
                <w:szCs w:val="20"/>
                <w:lang w:eastAsia="el-GR"/>
              </w:rPr>
            </w:pPr>
            <w:r w:rsidRPr="00565B02">
              <w:rPr>
                <w:rFonts w:ascii="Calibri Light" w:eastAsia="Times New Roman" w:hAnsi="Calibri Light" w:cs="Calibri Light"/>
                <w:szCs w:val="20"/>
                <w:lang w:eastAsia="el-GR"/>
              </w:rPr>
              <w:t>1919-1945</w:t>
            </w:r>
          </w:p>
        </w:tc>
      </w:tr>
      <w:tr w:rsidR="003F57EB" w:rsidRPr="00433B0E" w14:paraId="4ACE13B8" w14:textId="77777777" w:rsidTr="0057310C">
        <w:trPr>
          <w:trHeight w:val="20"/>
          <w:jc w:val="center"/>
        </w:trPr>
        <w:tc>
          <w:tcPr>
            <w:tcW w:w="2700" w:type="dxa"/>
            <w:shd w:val="clear" w:color="auto" w:fill="auto"/>
            <w:tcMar>
              <w:top w:w="15" w:type="dxa"/>
              <w:left w:w="15" w:type="dxa"/>
              <w:bottom w:w="0" w:type="dxa"/>
              <w:right w:w="15" w:type="dxa"/>
            </w:tcMar>
            <w:vAlign w:val="bottom"/>
            <w:hideMark/>
          </w:tcPr>
          <w:p w14:paraId="0CAFAEB5" w14:textId="77777777" w:rsidR="003F57EB" w:rsidRPr="00565B02" w:rsidRDefault="003F57EB" w:rsidP="0057310C">
            <w:pPr>
              <w:widowControl w:val="0"/>
              <w:spacing w:after="0" w:line="240" w:lineRule="auto"/>
              <w:jc w:val="center"/>
              <w:rPr>
                <w:rFonts w:ascii="Calibri Light" w:eastAsia="Times New Roman" w:hAnsi="Calibri Light" w:cs="Calibri Light"/>
                <w:szCs w:val="20"/>
                <w:lang w:eastAsia="el-GR"/>
              </w:rPr>
            </w:pPr>
            <w:r w:rsidRPr="00565B02">
              <w:rPr>
                <w:rFonts w:ascii="Calibri Light" w:eastAsia="Times New Roman" w:hAnsi="Calibri Light" w:cs="Calibri Light"/>
                <w:szCs w:val="20"/>
                <w:lang w:eastAsia="el-GR"/>
              </w:rPr>
              <w:t>1946-1960</w:t>
            </w:r>
          </w:p>
        </w:tc>
      </w:tr>
      <w:tr w:rsidR="003F57EB" w:rsidRPr="00433B0E" w14:paraId="06F143E5" w14:textId="77777777" w:rsidTr="0057310C">
        <w:trPr>
          <w:trHeight w:val="20"/>
          <w:jc w:val="center"/>
        </w:trPr>
        <w:tc>
          <w:tcPr>
            <w:tcW w:w="2700" w:type="dxa"/>
            <w:shd w:val="clear" w:color="auto" w:fill="auto"/>
            <w:tcMar>
              <w:top w:w="15" w:type="dxa"/>
              <w:left w:w="15" w:type="dxa"/>
              <w:bottom w:w="0" w:type="dxa"/>
              <w:right w:w="15" w:type="dxa"/>
            </w:tcMar>
            <w:vAlign w:val="bottom"/>
            <w:hideMark/>
          </w:tcPr>
          <w:p w14:paraId="5ED75C00" w14:textId="77777777" w:rsidR="003F57EB" w:rsidRPr="00565B02" w:rsidRDefault="003F57EB" w:rsidP="0057310C">
            <w:pPr>
              <w:widowControl w:val="0"/>
              <w:spacing w:after="0" w:line="240" w:lineRule="auto"/>
              <w:jc w:val="center"/>
              <w:rPr>
                <w:rFonts w:ascii="Calibri Light" w:eastAsia="Times New Roman" w:hAnsi="Calibri Light" w:cs="Calibri Light"/>
                <w:szCs w:val="20"/>
                <w:lang w:eastAsia="el-GR"/>
              </w:rPr>
            </w:pPr>
            <w:r w:rsidRPr="00565B02">
              <w:rPr>
                <w:rFonts w:ascii="Calibri Light" w:eastAsia="Times New Roman" w:hAnsi="Calibri Light" w:cs="Calibri Light"/>
                <w:szCs w:val="20"/>
                <w:lang w:eastAsia="el-GR"/>
              </w:rPr>
              <w:t>1961-1970</w:t>
            </w:r>
          </w:p>
        </w:tc>
      </w:tr>
      <w:tr w:rsidR="003F57EB" w:rsidRPr="00433B0E" w14:paraId="05165C87" w14:textId="77777777" w:rsidTr="0057310C">
        <w:trPr>
          <w:trHeight w:val="20"/>
          <w:jc w:val="center"/>
        </w:trPr>
        <w:tc>
          <w:tcPr>
            <w:tcW w:w="2700" w:type="dxa"/>
            <w:shd w:val="clear" w:color="auto" w:fill="auto"/>
            <w:tcMar>
              <w:top w:w="15" w:type="dxa"/>
              <w:left w:w="15" w:type="dxa"/>
              <w:bottom w:w="0" w:type="dxa"/>
              <w:right w:w="15" w:type="dxa"/>
            </w:tcMar>
            <w:vAlign w:val="bottom"/>
            <w:hideMark/>
          </w:tcPr>
          <w:p w14:paraId="70C65E23" w14:textId="77777777" w:rsidR="003F57EB" w:rsidRPr="00565B02" w:rsidRDefault="003F57EB" w:rsidP="0057310C">
            <w:pPr>
              <w:widowControl w:val="0"/>
              <w:spacing w:after="0" w:line="240" w:lineRule="auto"/>
              <w:jc w:val="center"/>
              <w:rPr>
                <w:rFonts w:ascii="Calibri Light" w:eastAsia="Times New Roman" w:hAnsi="Calibri Light" w:cs="Calibri Light"/>
                <w:szCs w:val="20"/>
                <w:lang w:eastAsia="el-GR"/>
              </w:rPr>
            </w:pPr>
            <w:r w:rsidRPr="00565B02">
              <w:rPr>
                <w:rFonts w:ascii="Calibri Light" w:eastAsia="Times New Roman" w:hAnsi="Calibri Light" w:cs="Calibri Light"/>
                <w:szCs w:val="20"/>
                <w:lang w:eastAsia="el-GR"/>
              </w:rPr>
              <w:t>1971-1980</w:t>
            </w:r>
          </w:p>
        </w:tc>
      </w:tr>
      <w:tr w:rsidR="003F57EB" w:rsidRPr="00433B0E" w14:paraId="0074D482" w14:textId="77777777" w:rsidTr="0057310C">
        <w:trPr>
          <w:trHeight w:val="20"/>
          <w:jc w:val="center"/>
        </w:trPr>
        <w:tc>
          <w:tcPr>
            <w:tcW w:w="2700" w:type="dxa"/>
            <w:shd w:val="clear" w:color="auto" w:fill="auto"/>
            <w:tcMar>
              <w:top w:w="15" w:type="dxa"/>
              <w:left w:w="15" w:type="dxa"/>
              <w:bottom w:w="0" w:type="dxa"/>
              <w:right w:w="15" w:type="dxa"/>
            </w:tcMar>
            <w:vAlign w:val="bottom"/>
            <w:hideMark/>
          </w:tcPr>
          <w:p w14:paraId="45E86B9A" w14:textId="77777777" w:rsidR="003F57EB" w:rsidRPr="00565B02" w:rsidRDefault="003F57EB" w:rsidP="0057310C">
            <w:pPr>
              <w:widowControl w:val="0"/>
              <w:spacing w:after="0" w:line="240" w:lineRule="auto"/>
              <w:jc w:val="center"/>
              <w:rPr>
                <w:rFonts w:ascii="Calibri Light" w:eastAsia="Times New Roman" w:hAnsi="Calibri Light" w:cs="Calibri Light"/>
                <w:szCs w:val="20"/>
                <w:lang w:eastAsia="el-GR"/>
              </w:rPr>
            </w:pPr>
            <w:r w:rsidRPr="00565B02">
              <w:rPr>
                <w:rFonts w:ascii="Calibri Light" w:eastAsia="Times New Roman" w:hAnsi="Calibri Light" w:cs="Calibri Light"/>
                <w:szCs w:val="20"/>
                <w:lang w:eastAsia="el-GR"/>
              </w:rPr>
              <w:t>1981-1990</w:t>
            </w:r>
          </w:p>
        </w:tc>
      </w:tr>
      <w:tr w:rsidR="003F57EB" w:rsidRPr="00433B0E" w14:paraId="0205566F" w14:textId="77777777" w:rsidTr="0057310C">
        <w:trPr>
          <w:trHeight w:val="20"/>
          <w:jc w:val="center"/>
        </w:trPr>
        <w:tc>
          <w:tcPr>
            <w:tcW w:w="2700" w:type="dxa"/>
            <w:shd w:val="clear" w:color="auto" w:fill="auto"/>
            <w:tcMar>
              <w:top w:w="15" w:type="dxa"/>
              <w:left w:w="15" w:type="dxa"/>
              <w:bottom w:w="0" w:type="dxa"/>
              <w:right w:w="15" w:type="dxa"/>
            </w:tcMar>
            <w:vAlign w:val="bottom"/>
            <w:hideMark/>
          </w:tcPr>
          <w:p w14:paraId="1D091F60" w14:textId="77777777" w:rsidR="003F57EB" w:rsidRPr="00565B02" w:rsidRDefault="003F57EB" w:rsidP="0057310C">
            <w:pPr>
              <w:widowControl w:val="0"/>
              <w:spacing w:after="0" w:line="240" w:lineRule="auto"/>
              <w:jc w:val="center"/>
              <w:rPr>
                <w:rFonts w:ascii="Calibri Light" w:eastAsia="Times New Roman" w:hAnsi="Calibri Light" w:cs="Calibri Light"/>
                <w:szCs w:val="20"/>
                <w:lang w:eastAsia="el-GR"/>
              </w:rPr>
            </w:pPr>
            <w:r w:rsidRPr="00565B02">
              <w:rPr>
                <w:rFonts w:ascii="Calibri Light" w:eastAsia="Times New Roman" w:hAnsi="Calibri Light" w:cs="Calibri Light"/>
                <w:szCs w:val="20"/>
                <w:lang w:eastAsia="el-GR"/>
              </w:rPr>
              <w:t>1991-2011</w:t>
            </w:r>
          </w:p>
        </w:tc>
      </w:tr>
    </w:tbl>
    <w:p w14:paraId="21D193EA" w14:textId="13299356" w:rsidR="003F57EB" w:rsidRPr="00433B0E" w:rsidRDefault="003F57EB" w:rsidP="003F57EB">
      <w:pPr>
        <w:widowControl w:val="0"/>
        <w:spacing w:before="200" w:after="120" w:line="276" w:lineRule="auto"/>
        <w:jc w:val="both"/>
        <w:rPr>
          <w:rFonts w:ascii="Calibri Light" w:eastAsia="Times New Roman" w:hAnsi="Calibri Light" w:cs="Calibri Light"/>
          <w:szCs w:val="20"/>
          <w:lang w:eastAsia="el-GR"/>
        </w:rPr>
      </w:pPr>
      <w:r w:rsidRPr="00565B02">
        <w:rPr>
          <w:rFonts w:ascii="Calibri Light" w:eastAsia="Times New Roman" w:hAnsi="Calibri Light" w:cs="Calibri Light"/>
          <w:szCs w:val="20"/>
          <w:lang w:eastAsia="el-GR"/>
        </w:rPr>
        <w:t>За сваки тип ста</w:t>
      </w:r>
      <w:r w:rsidRPr="00433B0E">
        <w:rPr>
          <w:rFonts w:ascii="Calibri Light" w:eastAsia="Times New Roman" w:hAnsi="Calibri Light" w:cs="Calibri Light"/>
          <w:szCs w:val="20"/>
          <w:lang w:eastAsia="el-GR"/>
        </w:rPr>
        <w:t>мбене јед</w:t>
      </w:r>
      <w:r w:rsidR="00433B0E">
        <w:rPr>
          <w:rFonts w:ascii="Calibri Light" w:eastAsia="Times New Roman" w:hAnsi="Calibri Light" w:cs="Calibri Light"/>
          <w:szCs w:val="20"/>
          <w:lang w:eastAsia="el-GR"/>
        </w:rPr>
        <w:t>и</w:t>
      </w:r>
      <w:r w:rsidRPr="00433B0E">
        <w:rPr>
          <w:rFonts w:ascii="Calibri Light" w:eastAsia="Times New Roman" w:hAnsi="Calibri Light" w:cs="Calibri Light"/>
          <w:szCs w:val="20"/>
          <w:lang w:eastAsia="el-GR"/>
        </w:rPr>
        <w:t>нице</w:t>
      </w:r>
      <w:r w:rsidRPr="00565B02">
        <w:rPr>
          <w:rFonts w:ascii="Calibri Light" w:eastAsia="Times New Roman" w:hAnsi="Calibri Light" w:cs="Calibri Light"/>
          <w:szCs w:val="20"/>
          <w:lang w:eastAsia="el-GR"/>
        </w:rPr>
        <w:t xml:space="preserve"> разматра се девет </w:t>
      </w:r>
      <w:r w:rsidRPr="00433B0E">
        <w:rPr>
          <w:rFonts w:ascii="Calibri Light" w:eastAsia="Times New Roman" w:hAnsi="Calibri Light" w:cs="Calibri Light"/>
          <w:szCs w:val="20"/>
          <w:lang w:eastAsia="el-GR"/>
        </w:rPr>
        <w:t>врста потражње</w:t>
      </w:r>
      <w:r w:rsidRPr="00565B02">
        <w:rPr>
          <w:rFonts w:ascii="Calibri Light" w:eastAsia="Times New Roman" w:hAnsi="Calibri Light" w:cs="Calibri Light"/>
          <w:szCs w:val="20"/>
          <w:lang w:eastAsia="el-GR"/>
        </w:rPr>
        <w:t xml:space="preserve"> за енергетским услугама: Потражња за грејањем простора, Потражња за хлађењем простора, Потражња за топлом водом, Потражња за кувањем, Потражња за осветљењем, Потражња за хлађењем, Потражња за прањем </w:t>
      </w:r>
      <w:r w:rsidRPr="00433B0E">
        <w:rPr>
          <w:rFonts w:ascii="Calibri Light" w:eastAsia="Times New Roman" w:hAnsi="Calibri Light" w:cs="Calibri Light"/>
          <w:szCs w:val="20"/>
          <w:lang w:eastAsia="el-GR"/>
        </w:rPr>
        <w:t>одеће</w:t>
      </w:r>
      <w:r w:rsidRPr="00565B02">
        <w:rPr>
          <w:rFonts w:ascii="Calibri Light" w:eastAsia="Times New Roman" w:hAnsi="Calibri Light" w:cs="Calibri Light"/>
          <w:szCs w:val="20"/>
          <w:lang w:eastAsia="el-GR"/>
        </w:rPr>
        <w:t xml:space="preserve">, Потражња за прањем посуђа, Потражња </w:t>
      </w:r>
      <w:r w:rsidRPr="00433B0E">
        <w:rPr>
          <w:rFonts w:ascii="Calibri Light" w:eastAsia="Times New Roman" w:hAnsi="Calibri Light" w:cs="Calibri Light"/>
          <w:szCs w:val="20"/>
          <w:lang w:eastAsia="el-GR"/>
        </w:rPr>
        <w:t>кућних апарата</w:t>
      </w:r>
    </w:p>
    <w:p w14:paraId="002440F5" w14:textId="77777777" w:rsidR="003F57EB" w:rsidRPr="00433B0E" w:rsidRDefault="003F57EB" w:rsidP="003F57EB">
      <w:pPr>
        <w:widowControl w:val="0"/>
        <w:numPr>
          <w:ilvl w:val="0"/>
          <w:numId w:val="319"/>
        </w:numPr>
        <w:spacing w:after="120" w:line="276" w:lineRule="auto"/>
        <w:contextualSpacing/>
        <w:jc w:val="both"/>
        <w:rPr>
          <w:rFonts w:ascii="Calibri Light" w:eastAsia="Times New Roman" w:hAnsi="Calibri Light" w:cs="Calibri Light"/>
          <w:szCs w:val="20"/>
          <w:lang w:eastAsia="el-GR"/>
        </w:rPr>
      </w:pPr>
      <w:bookmarkStart w:id="503" w:name="OLE_LINK324"/>
      <w:bookmarkStart w:id="504" w:name="OLE_LINK325"/>
      <w:bookmarkStart w:id="505" w:name="OLE_LINK326"/>
      <w:r w:rsidRPr="00565B02">
        <w:rPr>
          <w:rFonts w:ascii="Calibri Light" w:eastAsia="Times New Roman" w:hAnsi="Calibri Light" w:cs="Calibri Light"/>
          <w:b/>
          <w:szCs w:val="20"/>
          <w:lang w:eastAsia="el-GR"/>
        </w:rPr>
        <w:t>T</w:t>
      </w:r>
      <w:r w:rsidRPr="00433B0E">
        <w:rPr>
          <w:rFonts w:ascii="Calibri Light" w:eastAsia="Times New Roman" w:hAnsi="Calibri Light" w:cs="Calibri Light"/>
          <w:b/>
          <w:szCs w:val="20"/>
          <w:lang w:eastAsia="el-GR"/>
        </w:rPr>
        <w:t>ерцијарни сектор</w:t>
      </w:r>
      <w:r w:rsidRPr="00433B0E">
        <w:rPr>
          <w:rFonts w:ascii="Calibri Light" w:eastAsia="Times New Roman" w:hAnsi="Calibri Light" w:cs="Calibri Light"/>
          <w:szCs w:val="20"/>
          <w:lang w:eastAsia="el-GR"/>
        </w:rPr>
        <w:t xml:space="preserve"> обухвата комерцијалне и јавне услуге и додатно се дели на следеће подсекторе</w:t>
      </w:r>
      <w:bookmarkEnd w:id="503"/>
      <w:bookmarkEnd w:id="504"/>
      <w:bookmarkEnd w:id="505"/>
      <w:r w:rsidRPr="00433B0E">
        <w:rPr>
          <w:rFonts w:ascii="Calibri Light" w:eastAsia="Times New Roman" w:hAnsi="Calibri Light" w:cs="Calibri Light"/>
          <w:szCs w:val="20"/>
          <w:lang w:eastAsia="el-GR"/>
        </w:rPr>
        <w:t>:</w:t>
      </w:r>
    </w:p>
    <w:p w14:paraId="09DCA7AC" w14:textId="77777777" w:rsidR="003F57EB" w:rsidRPr="00433B0E" w:rsidRDefault="003F57EB" w:rsidP="003F57EB">
      <w:pPr>
        <w:widowControl w:val="0"/>
        <w:numPr>
          <w:ilvl w:val="0"/>
          <w:numId w:val="321"/>
        </w:numPr>
        <w:spacing w:after="0" w:line="276" w:lineRule="auto"/>
        <w:ind w:left="360"/>
        <w:jc w:val="both"/>
        <w:rPr>
          <w:rFonts w:ascii="Calibri Light" w:hAnsi="Calibri Light" w:cs="Calibri Light"/>
          <w:lang w:eastAsia="en-GB"/>
        </w:rPr>
      </w:pPr>
      <w:r w:rsidRPr="00433B0E">
        <w:rPr>
          <w:rFonts w:ascii="Calibri Light" w:hAnsi="Calibri Light" w:cs="Calibri Light"/>
          <w:szCs w:val="20"/>
          <w:lang w:eastAsia="el-GR"/>
        </w:rPr>
        <w:t>Хотели&amp; делатност послуживања хране и пића (NACE рев. 2 сектори: 55 и 56</w:t>
      </w:r>
      <w:r w:rsidRPr="00433B0E">
        <w:rPr>
          <w:rFonts w:ascii="Calibri Light" w:hAnsi="Calibri Light" w:cs="Calibri Light"/>
          <w:lang w:eastAsia="en-GB"/>
        </w:rPr>
        <w:t>).</w:t>
      </w:r>
    </w:p>
    <w:p w14:paraId="71193734" w14:textId="77777777" w:rsidR="003F57EB" w:rsidRPr="00433B0E" w:rsidRDefault="003F57EB" w:rsidP="003F57EB">
      <w:pPr>
        <w:widowControl w:val="0"/>
        <w:numPr>
          <w:ilvl w:val="0"/>
          <w:numId w:val="321"/>
        </w:numPr>
        <w:spacing w:after="0" w:line="276" w:lineRule="auto"/>
        <w:ind w:left="360"/>
        <w:jc w:val="both"/>
        <w:rPr>
          <w:rFonts w:ascii="Calibri Light" w:hAnsi="Calibri Light" w:cs="Calibri Light"/>
          <w:lang w:eastAsia="en-GB"/>
        </w:rPr>
      </w:pPr>
      <w:r w:rsidRPr="00433B0E">
        <w:rPr>
          <w:rFonts w:ascii="Calibri Light" w:hAnsi="Calibri Light" w:cs="Calibri Light"/>
          <w:lang w:eastAsia="en-GB"/>
        </w:rPr>
        <w:lastRenderedPageBreak/>
        <w:t>Болнице (NACE рев. 2 сектори: 86).</w:t>
      </w:r>
    </w:p>
    <w:p w14:paraId="6F67C1EC" w14:textId="77777777" w:rsidR="003F57EB" w:rsidRPr="00433B0E" w:rsidRDefault="003F57EB" w:rsidP="003F57EB">
      <w:pPr>
        <w:widowControl w:val="0"/>
        <w:numPr>
          <w:ilvl w:val="0"/>
          <w:numId w:val="321"/>
        </w:numPr>
        <w:spacing w:after="0" w:line="276" w:lineRule="auto"/>
        <w:ind w:left="360"/>
        <w:jc w:val="both"/>
        <w:rPr>
          <w:rFonts w:ascii="Calibri Light" w:hAnsi="Calibri Light" w:cs="Calibri Light"/>
          <w:lang w:eastAsia="en-GB"/>
        </w:rPr>
      </w:pPr>
      <w:r w:rsidRPr="00433B0E">
        <w:rPr>
          <w:rFonts w:ascii="Calibri Light" w:hAnsi="Calibri Light" w:cs="Calibri Light"/>
          <w:lang w:eastAsia="en-GB"/>
        </w:rPr>
        <w:t>Комерцијални објекти (NACE рев. 2 сектори: 45, 46, 47).</w:t>
      </w:r>
    </w:p>
    <w:p w14:paraId="7A877397" w14:textId="77777777" w:rsidR="003F57EB" w:rsidRPr="00433B0E" w:rsidRDefault="003F57EB" w:rsidP="003F57EB">
      <w:pPr>
        <w:widowControl w:val="0"/>
        <w:numPr>
          <w:ilvl w:val="0"/>
          <w:numId w:val="321"/>
        </w:numPr>
        <w:spacing w:after="0" w:line="276" w:lineRule="auto"/>
        <w:ind w:left="360"/>
        <w:jc w:val="both"/>
        <w:rPr>
          <w:rFonts w:ascii="Calibri Light" w:hAnsi="Calibri Light" w:cs="Calibri Light"/>
          <w:lang w:eastAsia="en-GB"/>
        </w:rPr>
      </w:pPr>
      <w:r w:rsidRPr="00433B0E">
        <w:rPr>
          <w:rFonts w:ascii="Calibri Light" w:hAnsi="Calibri Light" w:cs="Calibri Light"/>
          <w:lang w:eastAsia="en-GB"/>
        </w:rPr>
        <w:t>Образовне установе (NACE рев. 2 сектори: 85).</w:t>
      </w:r>
    </w:p>
    <w:p w14:paraId="396A679C" w14:textId="77777777" w:rsidR="003F57EB" w:rsidRPr="00433B0E" w:rsidRDefault="003F57EB" w:rsidP="003F57EB">
      <w:pPr>
        <w:widowControl w:val="0"/>
        <w:numPr>
          <w:ilvl w:val="0"/>
          <w:numId w:val="321"/>
        </w:numPr>
        <w:spacing w:after="0" w:line="276" w:lineRule="auto"/>
        <w:ind w:left="360"/>
        <w:jc w:val="both"/>
        <w:rPr>
          <w:rFonts w:ascii="Calibri Light" w:hAnsi="Calibri Light" w:cs="Calibri Light"/>
          <w:lang w:eastAsia="en-GB"/>
        </w:rPr>
      </w:pPr>
      <w:r w:rsidRPr="00433B0E">
        <w:rPr>
          <w:rFonts w:ascii="Calibri Light" w:hAnsi="Calibri Light" w:cs="Calibri Light"/>
          <w:szCs w:val="20"/>
          <w:lang w:eastAsia="el-GR"/>
        </w:rPr>
        <w:t>Пословне просторије државних органа (NACE рев. 2 сектори: 84</w:t>
      </w:r>
      <w:r w:rsidRPr="00433B0E">
        <w:rPr>
          <w:rFonts w:ascii="Calibri Light" w:hAnsi="Calibri Light" w:cs="Calibri Light"/>
          <w:lang w:eastAsia="en-GB"/>
        </w:rPr>
        <w:t>).</w:t>
      </w:r>
    </w:p>
    <w:p w14:paraId="421599F9" w14:textId="77777777" w:rsidR="003F57EB" w:rsidRPr="00433B0E" w:rsidRDefault="003F57EB" w:rsidP="003F57EB">
      <w:pPr>
        <w:widowControl w:val="0"/>
        <w:numPr>
          <w:ilvl w:val="0"/>
          <w:numId w:val="321"/>
        </w:numPr>
        <w:spacing w:after="0" w:line="276" w:lineRule="auto"/>
        <w:ind w:left="360"/>
        <w:jc w:val="both"/>
        <w:rPr>
          <w:rFonts w:ascii="Calibri Light" w:hAnsi="Calibri Light" w:cs="Calibri Light"/>
          <w:lang w:eastAsia="en-GB"/>
        </w:rPr>
      </w:pPr>
      <w:r w:rsidRPr="00433B0E">
        <w:rPr>
          <w:rFonts w:ascii="Calibri Light" w:hAnsi="Calibri Light" w:cs="Calibri Light"/>
          <w:szCs w:val="20"/>
          <w:lang w:eastAsia="el-GR"/>
        </w:rPr>
        <w:t>Пословне просторије у приватном сектору (NACE рев. 2 сектори: 53, 61, 62, 63, 64, 65, 66, 68, 69, 70, 71, 72, 73, 74, 75, 77, 78, 79</w:t>
      </w:r>
      <w:r w:rsidRPr="00433B0E">
        <w:rPr>
          <w:rFonts w:ascii="Calibri Light" w:hAnsi="Calibri Light" w:cs="Calibri Light"/>
          <w:lang w:eastAsia="en-GB"/>
        </w:rPr>
        <w:t>).</w:t>
      </w:r>
    </w:p>
    <w:p w14:paraId="51C0B82D" w14:textId="77777777" w:rsidR="003F57EB" w:rsidRPr="00433B0E" w:rsidRDefault="003F57EB" w:rsidP="003F57EB">
      <w:pPr>
        <w:widowControl w:val="0"/>
        <w:numPr>
          <w:ilvl w:val="0"/>
          <w:numId w:val="321"/>
        </w:numPr>
        <w:spacing w:after="0" w:line="276" w:lineRule="auto"/>
        <w:ind w:left="360"/>
        <w:jc w:val="both"/>
        <w:rPr>
          <w:rFonts w:ascii="Calibri Light" w:hAnsi="Calibri Light" w:cs="Calibri Light"/>
          <w:lang w:eastAsia="en-GB"/>
        </w:rPr>
      </w:pPr>
      <w:r w:rsidRPr="00433B0E">
        <w:rPr>
          <w:rFonts w:ascii="Calibri Light" w:hAnsi="Calibri Light" w:cs="Calibri Light"/>
          <w:szCs w:val="20"/>
          <w:lang w:eastAsia="el-GR"/>
        </w:rPr>
        <w:t>Други терцијарни (NACE Rev 2 сектори: 52, 53, 58, 59, 60, 61, 62, 63, 81, 82, 90, 91)</w:t>
      </w:r>
      <w:r w:rsidRPr="00433B0E">
        <w:rPr>
          <w:rFonts w:ascii="Calibri Light" w:hAnsi="Calibri Light" w:cs="Calibri Light"/>
          <w:lang w:eastAsia="en-GB"/>
        </w:rPr>
        <w:t>.</w:t>
      </w:r>
    </w:p>
    <w:p w14:paraId="69668491" w14:textId="77777777" w:rsidR="003F57EB" w:rsidRPr="00433B0E" w:rsidRDefault="003F57EB" w:rsidP="003F57EB">
      <w:pPr>
        <w:widowControl w:val="0"/>
        <w:numPr>
          <w:ilvl w:val="0"/>
          <w:numId w:val="321"/>
        </w:numPr>
        <w:spacing w:after="0" w:line="276" w:lineRule="auto"/>
        <w:ind w:left="360"/>
        <w:jc w:val="both"/>
        <w:rPr>
          <w:rFonts w:ascii="Calibri Light" w:hAnsi="Calibri Light" w:cs="Calibri Light"/>
          <w:lang w:eastAsia="en-GB"/>
        </w:rPr>
      </w:pPr>
      <w:r w:rsidRPr="00433B0E">
        <w:rPr>
          <w:rFonts w:ascii="Calibri Light" w:hAnsi="Calibri Light" w:cs="Calibri Light"/>
          <w:szCs w:val="20"/>
          <w:lang w:eastAsia="el-GR"/>
        </w:rPr>
        <w:t>Јавни сектор, друго (NACE Rev 2 сектори: 36, 37, 38, 39, 93, 95, 96)</w:t>
      </w:r>
      <w:r w:rsidRPr="00433B0E">
        <w:rPr>
          <w:rFonts w:ascii="Calibri Light" w:hAnsi="Calibri Light" w:cs="Calibri Light"/>
          <w:lang w:eastAsia="en-GB"/>
        </w:rPr>
        <w:t>.</w:t>
      </w:r>
    </w:p>
    <w:p w14:paraId="1CF88FEF" w14:textId="77777777" w:rsidR="003F57EB" w:rsidRPr="00433B0E" w:rsidRDefault="003F57EB" w:rsidP="003F57EB">
      <w:pPr>
        <w:widowControl w:val="0"/>
        <w:numPr>
          <w:ilvl w:val="0"/>
          <w:numId w:val="321"/>
        </w:numPr>
        <w:spacing w:after="0" w:line="276" w:lineRule="auto"/>
        <w:ind w:left="360"/>
        <w:jc w:val="both"/>
        <w:rPr>
          <w:rFonts w:ascii="Calibri Light" w:hAnsi="Calibri Light" w:cs="Calibri Light"/>
          <w:lang w:eastAsia="en-GB"/>
        </w:rPr>
      </w:pPr>
      <w:r w:rsidRPr="00433B0E">
        <w:rPr>
          <w:rFonts w:ascii="Calibri Light" w:hAnsi="Calibri Light" w:cs="Calibri Light"/>
          <w:lang w:eastAsia="en-GB"/>
        </w:rPr>
        <w:t>Јавно (улично) осветљење.</w:t>
      </w:r>
    </w:p>
    <w:p w14:paraId="06B694D3" w14:textId="04C2F418" w:rsidR="003F57EB" w:rsidRPr="00565B02" w:rsidRDefault="003F57EB" w:rsidP="003F57EB">
      <w:pPr>
        <w:widowControl w:val="0"/>
        <w:numPr>
          <w:ilvl w:val="0"/>
          <w:numId w:val="321"/>
        </w:numPr>
        <w:spacing w:after="0" w:line="276" w:lineRule="auto"/>
        <w:ind w:left="360"/>
        <w:jc w:val="both"/>
        <w:rPr>
          <w:rFonts w:ascii="Calibri Light" w:eastAsia="Times New Roman" w:hAnsi="Calibri Light" w:cs="Calibri Light"/>
          <w:szCs w:val="20"/>
          <w:lang w:eastAsia="el-GR"/>
        </w:rPr>
      </w:pPr>
      <w:r w:rsidRPr="00565B02">
        <w:rPr>
          <w:rFonts w:ascii="Calibri Light" w:eastAsia="Times New Roman" w:hAnsi="Calibri Light" w:cs="Calibri Light"/>
          <w:szCs w:val="20"/>
          <w:lang w:eastAsia="el-GR"/>
        </w:rPr>
        <w:t xml:space="preserve">Опције реновирања су укључене у модел и за стамбене зграде и за зграде терцијарног сектора. Разматрају се три опције: </w:t>
      </w:r>
      <w:r w:rsidR="00433B0E">
        <w:rPr>
          <w:rFonts w:ascii="Calibri Light" w:eastAsia="Times New Roman" w:hAnsi="Calibri Light" w:cs="Calibri Light"/>
          <w:szCs w:val="20"/>
          <w:lang w:val="en-US" w:eastAsia="el-GR"/>
        </w:rPr>
        <w:t>i</w:t>
      </w:r>
      <w:r w:rsidRPr="00565B02">
        <w:rPr>
          <w:rFonts w:ascii="Calibri Light" w:eastAsia="Times New Roman" w:hAnsi="Calibri Light" w:cs="Calibri Light"/>
          <w:szCs w:val="20"/>
          <w:lang w:eastAsia="el-GR"/>
        </w:rPr>
        <w:t xml:space="preserve">) Замена прозора, </w:t>
      </w:r>
      <w:r w:rsidR="00433B0E">
        <w:rPr>
          <w:rFonts w:ascii="Calibri Light" w:eastAsia="Times New Roman" w:hAnsi="Calibri Light" w:cs="Calibri Light"/>
          <w:szCs w:val="20"/>
          <w:lang w:val="en-US" w:eastAsia="el-GR"/>
        </w:rPr>
        <w:t>ii</w:t>
      </w:r>
      <w:r w:rsidRPr="00565B02">
        <w:rPr>
          <w:rFonts w:ascii="Calibri Light" w:eastAsia="Times New Roman" w:hAnsi="Calibri Light" w:cs="Calibri Light"/>
          <w:szCs w:val="20"/>
          <w:lang w:eastAsia="el-GR"/>
        </w:rPr>
        <w:t xml:space="preserve">) замена прозора плус изолација зидова од 5 цм и </w:t>
      </w:r>
      <w:r w:rsidR="00433B0E">
        <w:rPr>
          <w:rFonts w:ascii="Calibri Light" w:eastAsia="Times New Roman" w:hAnsi="Calibri Light" w:cs="Calibri Light"/>
          <w:szCs w:val="20"/>
          <w:lang w:val="en-US" w:eastAsia="el-GR"/>
        </w:rPr>
        <w:t>iii</w:t>
      </w:r>
      <w:r w:rsidRPr="00565B02">
        <w:rPr>
          <w:rFonts w:ascii="Calibri Light" w:eastAsia="Times New Roman" w:hAnsi="Calibri Light" w:cs="Calibri Light"/>
          <w:szCs w:val="20"/>
          <w:lang w:eastAsia="el-GR"/>
        </w:rPr>
        <w:t xml:space="preserve">) замена прозора плус изолација зидова од 10 cm. Ниво уштеде енергије за сваку акцију обнове зависи од типологије зграде и преузет је из резултата пројекта </w:t>
      </w:r>
      <w:r w:rsidRPr="00565B02">
        <w:rPr>
          <w:rFonts w:ascii="Calibri Light" w:eastAsia="Times New Roman" w:hAnsi="Calibri Light" w:cs="Calibri Light"/>
          <w:i/>
          <w:iCs/>
          <w:szCs w:val="20"/>
          <w:lang w:eastAsia="el-GR"/>
        </w:rPr>
        <w:t>ТАBULA.</w:t>
      </w:r>
    </w:p>
    <w:p w14:paraId="257823B1" w14:textId="77777777" w:rsidR="003F57EB" w:rsidRPr="00565B02" w:rsidRDefault="003F57EB" w:rsidP="003F57EB">
      <w:pPr>
        <w:widowControl w:val="0"/>
        <w:numPr>
          <w:ilvl w:val="0"/>
          <w:numId w:val="321"/>
        </w:numPr>
        <w:spacing w:after="0" w:line="276" w:lineRule="auto"/>
        <w:ind w:left="360"/>
        <w:jc w:val="both"/>
        <w:rPr>
          <w:rFonts w:ascii="Calibri Light" w:eastAsia="Times New Roman" w:hAnsi="Calibri Light" w:cs="Calibri Light"/>
          <w:szCs w:val="20"/>
          <w:lang w:eastAsia="el-GR"/>
        </w:rPr>
      </w:pPr>
      <w:r w:rsidRPr="00565B02">
        <w:rPr>
          <w:rFonts w:ascii="Calibri Light" w:eastAsia="Times New Roman" w:hAnsi="Calibri Light" w:cs="Calibri Light"/>
          <w:szCs w:val="20"/>
          <w:lang w:eastAsia="el-GR"/>
        </w:rPr>
        <w:t>За посматрани период узима се у обзир еволуција трошкова инсталације технологија повезаних са зградама. Генерално, очекује се да ће трошкови инсталације у периоду 2025-2030 остати константни у поређењу са одговарајућим нивоима пре енергетске кризе.</w:t>
      </w:r>
    </w:p>
    <w:p w14:paraId="0CFE0A41" w14:textId="77777777" w:rsidR="003F57EB" w:rsidRPr="00565B02" w:rsidRDefault="003F57EB" w:rsidP="00565B02">
      <w:pPr>
        <w:widowControl w:val="0"/>
        <w:spacing w:before="200" w:after="200" w:line="276" w:lineRule="auto"/>
        <w:jc w:val="both"/>
        <w:rPr>
          <w:rFonts w:ascii="Calibri Light" w:eastAsia="Times New Roman" w:hAnsi="Calibri Light" w:cs="Calibri Light"/>
          <w:szCs w:val="20"/>
          <w:lang w:eastAsia="el-GR"/>
        </w:rPr>
      </w:pPr>
      <w:r w:rsidRPr="00565B02">
        <w:rPr>
          <w:rFonts w:ascii="Calibri Light" w:eastAsia="Times New Roman" w:hAnsi="Calibri Light" w:cs="Calibri Light"/>
          <w:szCs w:val="20"/>
          <w:lang w:eastAsia="el-GR"/>
        </w:rPr>
        <w:t xml:space="preserve">Опције </w:t>
      </w:r>
      <w:r w:rsidRPr="00433B0E">
        <w:rPr>
          <w:rFonts w:ascii="Calibri Light" w:eastAsia="Times New Roman" w:hAnsi="Calibri Light" w:cs="Calibri Light"/>
          <w:szCs w:val="20"/>
          <w:lang w:eastAsia="el-GR"/>
        </w:rPr>
        <w:t>санације</w:t>
      </w:r>
      <w:r w:rsidRPr="00565B02">
        <w:rPr>
          <w:rFonts w:ascii="Calibri Light" w:eastAsia="Times New Roman" w:hAnsi="Calibri Light" w:cs="Calibri Light"/>
          <w:szCs w:val="20"/>
          <w:lang w:eastAsia="el-GR"/>
        </w:rPr>
        <w:t xml:space="preserve"> су </w:t>
      </w:r>
      <w:r w:rsidRPr="00433B0E">
        <w:rPr>
          <w:rFonts w:ascii="Calibri Light" w:eastAsia="Times New Roman" w:hAnsi="Calibri Light" w:cs="Calibri Light"/>
          <w:szCs w:val="20"/>
          <w:lang w:eastAsia="el-GR"/>
        </w:rPr>
        <w:t>обухваћене</w:t>
      </w:r>
      <w:r w:rsidRPr="00565B02">
        <w:rPr>
          <w:rFonts w:ascii="Calibri Light" w:eastAsia="Times New Roman" w:hAnsi="Calibri Light" w:cs="Calibri Light"/>
          <w:szCs w:val="20"/>
          <w:lang w:eastAsia="el-GR"/>
        </w:rPr>
        <w:t xml:space="preserve"> у модел</w:t>
      </w:r>
      <w:r w:rsidRPr="00433B0E">
        <w:rPr>
          <w:rFonts w:ascii="Calibri Light" w:eastAsia="Times New Roman" w:hAnsi="Calibri Light" w:cs="Calibri Light"/>
          <w:szCs w:val="20"/>
          <w:lang w:eastAsia="el-GR"/>
        </w:rPr>
        <w:t>у</w:t>
      </w:r>
      <w:r w:rsidRPr="00565B02">
        <w:rPr>
          <w:rFonts w:ascii="Calibri Light" w:eastAsia="Times New Roman" w:hAnsi="Calibri Light" w:cs="Calibri Light"/>
          <w:szCs w:val="20"/>
          <w:lang w:eastAsia="el-GR"/>
        </w:rPr>
        <w:t xml:space="preserve"> за стамбене зграде и за зграде терцијарног сектора. Разматрају се три опције: i) Замена прозора, ii) замена прозора плус изолација зидова од 5 cm и iii) замена прозора плус изолација зидова од 10 cm. Ниво уштеде енергије за сваку ак</w:t>
      </w:r>
      <w:r w:rsidRPr="00433B0E">
        <w:rPr>
          <w:rFonts w:ascii="Calibri Light" w:eastAsia="Times New Roman" w:hAnsi="Calibri Light" w:cs="Calibri Light"/>
          <w:szCs w:val="20"/>
          <w:lang w:eastAsia="el-GR"/>
        </w:rPr>
        <w:t>тивност</w:t>
      </w:r>
      <w:r w:rsidRPr="00565B02">
        <w:rPr>
          <w:rFonts w:ascii="Calibri Light" w:eastAsia="Times New Roman" w:hAnsi="Calibri Light" w:cs="Calibri Light"/>
          <w:szCs w:val="20"/>
          <w:lang w:eastAsia="el-GR"/>
        </w:rPr>
        <w:t xml:space="preserve"> </w:t>
      </w:r>
      <w:r w:rsidRPr="00433B0E">
        <w:rPr>
          <w:rFonts w:ascii="Calibri Light" w:eastAsia="Times New Roman" w:hAnsi="Calibri Light" w:cs="Calibri Light"/>
          <w:szCs w:val="20"/>
          <w:lang w:eastAsia="el-GR"/>
        </w:rPr>
        <w:t>санације</w:t>
      </w:r>
      <w:r w:rsidRPr="00565B02">
        <w:rPr>
          <w:rFonts w:ascii="Calibri Light" w:eastAsia="Times New Roman" w:hAnsi="Calibri Light" w:cs="Calibri Light"/>
          <w:szCs w:val="20"/>
          <w:lang w:eastAsia="el-GR"/>
        </w:rPr>
        <w:t xml:space="preserve"> зависи од типологије зграде и преузет је из резултата пројекта </w:t>
      </w:r>
      <w:r w:rsidRPr="00565B02">
        <w:rPr>
          <w:rFonts w:ascii="Calibri Light" w:eastAsia="Times New Roman" w:hAnsi="Calibri Light" w:cs="Calibri Light"/>
          <w:i/>
          <w:iCs/>
          <w:szCs w:val="20"/>
          <w:lang w:eastAsia="el-GR"/>
        </w:rPr>
        <w:t>ТABULA</w:t>
      </w:r>
      <w:r w:rsidRPr="00433B0E">
        <w:rPr>
          <w:rFonts w:ascii="Calibri Light" w:eastAsia="Times New Roman" w:hAnsi="Calibri Light" w:cs="Calibri Light"/>
          <w:i/>
          <w:iCs/>
          <w:szCs w:val="20"/>
          <w:lang w:eastAsia="el-GR"/>
        </w:rPr>
        <w:t xml:space="preserve"> </w:t>
      </w:r>
      <w:r w:rsidRPr="00565B02">
        <w:rPr>
          <w:rFonts w:ascii="Calibri Light" w:eastAsia="Times New Roman" w:hAnsi="Calibri Light" w:cs="Calibri Light"/>
          <w:szCs w:val="20"/>
          <w:vertAlign w:val="superscript"/>
          <w:lang w:eastAsia="el-GR"/>
        </w:rPr>
        <w:footnoteReference w:id="130"/>
      </w:r>
      <w:r w:rsidRPr="00565B02">
        <w:rPr>
          <w:rFonts w:ascii="Calibri Light" w:eastAsia="Times New Roman" w:hAnsi="Calibri Light" w:cs="Calibri Light"/>
          <w:szCs w:val="20"/>
          <w:lang w:eastAsia="el-GR"/>
        </w:rPr>
        <w:t xml:space="preserve">. За посматрани период </w:t>
      </w:r>
      <w:r w:rsidRPr="00433B0E">
        <w:rPr>
          <w:rFonts w:ascii="Calibri Light" w:eastAsia="Times New Roman" w:hAnsi="Calibri Light" w:cs="Calibri Light"/>
          <w:szCs w:val="20"/>
          <w:lang w:eastAsia="el-GR"/>
        </w:rPr>
        <w:t xml:space="preserve">се </w:t>
      </w:r>
      <w:r w:rsidRPr="00565B02">
        <w:rPr>
          <w:rFonts w:ascii="Calibri Light" w:eastAsia="Times New Roman" w:hAnsi="Calibri Light" w:cs="Calibri Light"/>
          <w:szCs w:val="20"/>
          <w:lang w:eastAsia="el-GR"/>
        </w:rPr>
        <w:t xml:space="preserve">узима у обзир </w:t>
      </w:r>
      <w:r w:rsidRPr="00433B0E">
        <w:rPr>
          <w:rFonts w:ascii="Calibri Light" w:eastAsia="Times New Roman" w:hAnsi="Calibri Light" w:cs="Calibri Light"/>
          <w:szCs w:val="20"/>
          <w:lang w:eastAsia="el-GR"/>
        </w:rPr>
        <w:t>кретање</w:t>
      </w:r>
      <w:r w:rsidRPr="00565B02">
        <w:rPr>
          <w:rFonts w:ascii="Calibri Light" w:eastAsia="Times New Roman" w:hAnsi="Calibri Light" w:cs="Calibri Light"/>
          <w:szCs w:val="20"/>
          <w:lang w:eastAsia="el-GR"/>
        </w:rPr>
        <w:t xml:space="preserve"> трошкова инсталације технологија </w:t>
      </w:r>
      <w:r w:rsidRPr="00433B0E">
        <w:rPr>
          <w:rFonts w:ascii="Calibri Light" w:eastAsia="Times New Roman" w:hAnsi="Calibri Light" w:cs="Calibri Light"/>
          <w:szCs w:val="20"/>
          <w:lang w:eastAsia="el-GR"/>
        </w:rPr>
        <w:t>у</w:t>
      </w:r>
      <w:r w:rsidRPr="00565B02">
        <w:rPr>
          <w:rFonts w:ascii="Calibri Light" w:eastAsia="Times New Roman" w:hAnsi="Calibri Light" w:cs="Calibri Light"/>
          <w:szCs w:val="20"/>
          <w:lang w:eastAsia="el-GR"/>
        </w:rPr>
        <w:t xml:space="preserve"> зградама. </w:t>
      </w:r>
      <w:r w:rsidRPr="00433B0E">
        <w:rPr>
          <w:rFonts w:ascii="Calibri Light" w:eastAsia="Times New Roman" w:hAnsi="Calibri Light" w:cs="Calibri Light"/>
          <w:szCs w:val="20"/>
          <w:lang w:eastAsia="el-GR"/>
        </w:rPr>
        <w:t>Уопште</w:t>
      </w:r>
      <w:r w:rsidRPr="00565B02">
        <w:rPr>
          <w:rFonts w:ascii="Calibri Light" w:eastAsia="Times New Roman" w:hAnsi="Calibri Light" w:cs="Calibri Light"/>
          <w:szCs w:val="20"/>
          <w:lang w:eastAsia="el-GR"/>
        </w:rPr>
        <w:t xml:space="preserve">, </w:t>
      </w:r>
      <w:r w:rsidRPr="00433B0E">
        <w:rPr>
          <w:rFonts w:ascii="Calibri Light" w:eastAsia="Times New Roman" w:hAnsi="Calibri Light" w:cs="Calibri Light"/>
          <w:szCs w:val="20"/>
          <w:lang w:eastAsia="el-GR"/>
        </w:rPr>
        <w:t>очекује се да ће ниво трошкова инсталације у периоду</w:t>
      </w:r>
      <w:r w:rsidRPr="00565B02">
        <w:rPr>
          <w:rFonts w:ascii="Calibri Light" w:eastAsia="Times New Roman" w:hAnsi="Calibri Light" w:cs="Calibri Light"/>
          <w:szCs w:val="20"/>
          <w:lang w:eastAsia="el-GR"/>
        </w:rPr>
        <w:t xml:space="preserve"> 2025-2030</w:t>
      </w:r>
      <w:r w:rsidRPr="00433B0E">
        <w:rPr>
          <w:rFonts w:ascii="Calibri Light" w:eastAsia="Times New Roman" w:hAnsi="Calibri Light" w:cs="Calibri Light"/>
          <w:szCs w:val="20"/>
          <w:lang w:eastAsia="el-GR"/>
        </w:rPr>
        <w:t>. године остати константан у поређењу са истим нивоима трошкова пре енергетске кризе.</w:t>
      </w:r>
    </w:p>
    <w:p w14:paraId="00F726F3" w14:textId="77777777" w:rsidR="003F57EB" w:rsidRPr="00565B02" w:rsidRDefault="003F57EB" w:rsidP="003F57EB">
      <w:pPr>
        <w:widowControl w:val="0"/>
        <w:numPr>
          <w:ilvl w:val="0"/>
          <w:numId w:val="319"/>
        </w:numPr>
        <w:spacing w:after="120" w:line="276" w:lineRule="auto"/>
        <w:contextualSpacing/>
        <w:jc w:val="both"/>
        <w:rPr>
          <w:rFonts w:ascii="Calibri Light" w:eastAsia="Times New Roman" w:hAnsi="Calibri Light" w:cs="Calibri Light"/>
          <w:szCs w:val="20"/>
          <w:lang w:eastAsia="el-GR"/>
        </w:rPr>
      </w:pPr>
      <w:r w:rsidRPr="00433B0E">
        <w:rPr>
          <w:rFonts w:ascii="Calibri Light" w:eastAsia="Times New Roman" w:hAnsi="Calibri Light" w:cs="Calibri Light"/>
          <w:b/>
          <w:szCs w:val="20"/>
          <w:lang w:eastAsia="el-GR"/>
        </w:rPr>
        <w:t>Пољопривреда</w:t>
      </w:r>
      <w:r w:rsidRPr="00565B02">
        <w:rPr>
          <w:rFonts w:ascii="Calibri Light" w:eastAsia="Times New Roman" w:hAnsi="Calibri Light" w:cs="Calibri Light"/>
          <w:szCs w:val="20"/>
          <w:lang w:eastAsia="el-GR"/>
        </w:rPr>
        <w:t xml:space="preserve">, </w:t>
      </w:r>
      <w:r w:rsidRPr="00433B0E">
        <w:rPr>
          <w:rFonts w:ascii="Calibri Light" w:eastAsia="Times New Roman" w:hAnsi="Calibri Light" w:cs="Calibri Light"/>
          <w:szCs w:val="20"/>
          <w:lang w:eastAsia="el-GR"/>
        </w:rPr>
        <w:t>која обухвата употребу енергије у пољопривреди, шумарству и рибарству</w:t>
      </w:r>
      <w:r w:rsidRPr="00565B02">
        <w:rPr>
          <w:rFonts w:ascii="Calibri Light" w:eastAsia="Times New Roman" w:hAnsi="Calibri Light" w:cs="Calibri Light"/>
          <w:szCs w:val="20"/>
          <w:lang w:eastAsia="el-GR"/>
        </w:rPr>
        <w:t>.</w:t>
      </w:r>
    </w:p>
    <w:p w14:paraId="249DEC6E" w14:textId="461AF4C4" w:rsidR="003F57EB" w:rsidRPr="00565B02" w:rsidRDefault="003F57EB" w:rsidP="003F57EB">
      <w:pPr>
        <w:widowControl w:val="0"/>
        <w:numPr>
          <w:ilvl w:val="0"/>
          <w:numId w:val="319"/>
        </w:numPr>
        <w:spacing w:after="120" w:line="276" w:lineRule="auto"/>
        <w:contextualSpacing/>
        <w:jc w:val="both"/>
        <w:rPr>
          <w:rFonts w:ascii="Calibri Light" w:eastAsia="Times New Roman" w:hAnsi="Calibri Light" w:cs="Calibri Light"/>
          <w:szCs w:val="20"/>
          <w:lang w:eastAsia="el-GR"/>
        </w:rPr>
      </w:pPr>
      <w:r w:rsidRPr="00433B0E">
        <w:rPr>
          <w:rFonts w:ascii="Calibri Light" w:eastAsia="Times New Roman" w:hAnsi="Calibri Light" w:cs="Calibri Light"/>
          <w:b/>
          <w:szCs w:val="20"/>
          <w:lang w:eastAsia="el-GR"/>
        </w:rPr>
        <w:t>Саобраћај</w:t>
      </w:r>
      <w:r w:rsidRPr="00565B02">
        <w:rPr>
          <w:rFonts w:ascii="Calibri Light" w:eastAsia="Times New Roman" w:hAnsi="Calibri Light" w:cs="Calibri Light"/>
          <w:szCs w:val="20"/>
          <w:lang w:eastAsia="el-GR"/>
        </w:rPr>
        <w:t xml:space="preserve">, </w:t>
      </w:r>
      <w:r w:rsidRPr="00433B0E">
        <w:rPr>
          <w:rFonts w:ascii="Calibri Light" w:eastAsia="Times New Roman" w:hAnsi="Calibri Light" w:cs="Calibri Light"/>
          <w:szCs w:val="20"/>
          <w:lang w:eastAsia="el-GR"/>
        </w:rPr>
        <w:t xml:space="preserve">који је на првом нивоу подељен у складу са листом у </w:t>
      </w:r>
      <w:r w:rsidR="00433B0E" w:rsidRPr="00433B0E">
        <w:rPr>
          <w:rFonts w:ascii="Calibri Light" w:eastAsia="Times New Roman" w:hAnsi="Calibri Light" w:cs="Calibri Light"/>
          <w:szCs w:val="20"/>
          <w:lang w:eastAsia="el-GR"/>
        </w:rPr>
        <w:t>наставку</w:t>
      </w:r>
      <w:r w:rsidRPr="00433B0E">
        <w:rPr>
          <w:rFonts w:ascii="Calibri Light" w:eastAsia="Times New Roman" w:hAnsi="Calibri Light" w:cs="Calibri Light"/>
          <w:szCs w:val="20"/>
          <w:lang w:eastAsia="el-GR"/>
        </w:rPr>
        <w:t>, а затим је додатно подељен на следеће видове саобраћаја</w:t>
      </w:r>
      <w:r w:rsidRPr="00565B02">
        <w:rPr>
          <w:rFonts w:ascii="Calibri Light" w:eastAsia="Times New Roman" w:hAnsi="Calibri Light" w:cs="Calibri Light"/>
          <w:szCs w:val="20"/>
          <w:lang w:eastAsia="el-GR"/>
        </w:rPr>
        <w:t>:</w:t>
      </w:r>
    </w:p>
    <w:p w14:paraId="5983FB9F" w14:textId="77777777" w:rsidR="003F57EB" w:rsidRPr="00433B0E" w:rsidRDefault="003F57EB" w:rsidP="003F57EB">
      <w:pPr>
        <w:widowControl w:val="0"/>
        <w:numPr>
          <w:ilvl w:val="0"/>
          <w:numId w:val="321"/>
        </w:numPr>
        <w:spacing w:after="0" w:line="276" w:lineRule="auto"/>
        <w:ind w:left="360"/>
        <w:jc w:val="both"/>
        <w:rPr>
          <w:rFonts w:ascii="Calibri Light" w:hAnsi="Calibri Light" w:cs="Calibri Light"/>
          <w:lang w:eastAsia="en-GB"/>
        </w:rPr>
      </w:pPr>
      <w:r w:rsidRPr="00433B0E">
        <w:rPr>
          <w:rFonts w:ascii="Calibri Light" w:hAnsi="Calibri Light" w:cs="Calibri Light"/>
          <w:lang w:eastAsia="en-GB"/>
        </w:rPr>
        <w:t>Друмски саобраћај</w:t>
      </w:r>
    </w:p>
    <w:p w14:paraId="3758E8ED" w14:textId="77777777" w:rsidR="003F57EB" w:rsidRPr="00433B0E" w:rsidRDefault="003F57EB" w:rsidP="003F57EB">
      <w:pPr>
        <w:widowControl w:val="0"/>
        <w:numPr>
          <w:ilvl w:val="0"/>
          <w:numId w:val="321"/>
        </w:numPr>
        <w:spacing w:after="0" w:line="276" w:lineRule="auto"/>
        <w:ind w:left="360"/>
        <w:jc w:val="both"/>
        <w:rPr>
          <w:rFonts w:ascii="Calibri Light" w:hAnsi="Calibri Light" w:cs="Calibri Light"/>
          <w:lang w:eastAsia="en-GB"/>
        </w:rPr>
      </w:pPr>
      <w:r w:rsidRPr="00433B0E">
        <w:rPr>
          <w:rFonts w:ascii="Calibri Light" w:hAnsi="Calibri Light" w:cs="Calibri Light"/>
          <w:lang w:eastAsia="en-GB"/>
        </w:rPr>
        <w:t>Железнички саобраћај</w:t>
      </w:r>
    </w:p>
    <w:p w14:paraId="68ECAC4E" w14:textId="77777777" w:rsidR="003F57EB" w:rsidRPr="00433B0E" w:rsidRDefault="003F57EB" w:rsidP="003F57EB">
      <w:pPr>
        <w:widowControl w:val="0"/>
        <w:numPr>
          <w:ilvl w:val="0"/>
          <w:numId w:val="321"/>
        </w:numPr>
        <w:spacing w:after="0" w:line="276" w:lineRule="auto"/>
        <w:ind w:left="360"/>
        <w:jc w:val="both"/>
        <w:rPr>
          <w:rFonts w:ascii="Calibri Light" w:hAnsi="Calibri Light" w:cs="Calibri Light"/>
          <w:lang w:eastAsia="en-GB"/>
        </w:rPr>
      </w:pPr>
      <w:r w:rsidRPr="00433B0E">
        <w:rPr>
          <w:rFonts w:ascii="Calibri Light" w:hAnsi="Calibri Light" w:cs="Calibri Light"/>
          <w:lang w:eastAsia="en-GB"/>
        </w:rPr>
        <w:t>Домаћи авио саобраћај</w:t>
      </w:r>
    </w:p>
    <w:p w14:paraId="5A9B0EDE" w14:textId="77777777" w:rsidR="003F57EB" w:rsidRPr="00433B0E" w:rsidRDefault="003F57EB" w:rsidP="003F57EB">
      <w:pPr>
        <w:widowControl w:val="0"/>
        <w:numPr>
          <w:ilvl w:val="0"/>
          <w:numId w:val="321"/>
        </w:numPr>
        <w:spacing w:after="0" w:line="276" w:lineRule="auto"/>
        <w:ind w:left="360"/>
        <w:jc w:val="both"/>
        <w:rPr>
          <w:rFonts w:ascii="Calibri Light" w:hAnsi="Calibri Light" w:cs="Calibri Light"/>
          <w:lang w:eastAsia="en-GB"/>
        </w:rPr>
      </w:pPr>
      <w:r w:rsidRPr="00433B0E">
        <w:rPr>
          <w:rFonts w:ascii="Calibri Light" w:hAnsi="Calibri Light" w:cs="Calibri Light"/>
          <w:lang w:eastAsia="en-GB"/>
        </w:rPr>
        <w:t>Међународни авио саобраћај</w:t>
      </w:r>
    </w:p>
    <w:p w14:paraId="09962F05" w14:textId="77777777" w:rsidR="003F57EB" w:rsidRPr="00433B0E" w:rsidRDefault="003F57EB" w:rsidP="003F57EB">
      <w:pPr>
        <w:widowControl w:val="0"/>
        <w:numPr>
          <w:ilvl w:val="0"/>
          <w:numId w:val="321"/>
        </w:numPr>
        <w:spacing w:after="0" w:line="276" w:lineRule="auto"/>
        <w:ind w:left="360"/>
        <w:jc w:val="both"/>
        <w:rPr>
          <w:rFonts w:ascii="Calibri Light" w:hAnsi="Calibri Light" w:cs="Calibri Light"/>
          <w:lang w:eastAsia="en-GB"/>
        </w:rPr>
      </w:pPr>
      <w:r w:rsidRPr="00433B0E">
        <w:rPr>
          <w:rFonts w:ascii="Calibri Light" w:hAnsi="Calibri Light" w:cs="Calibri Light"/>
          <w:lang w:eastAsia="en-GB"/>
        </w:rPr>
        <w:t>Унутрашњи пловни путеви</w:t>
      </w:r>
    </w:p>
    <w:bookmarkEnd w:id="498"/>
    <w:bookmarkEnd w:id="499"/>
    <w:bookmarkEnd w:id="500"/>
    <w:p w14:paraId="61969A85" w14:textId="132CD7F3" w:rsidR="003F57EB" w:rsidRPr="00565B02" w:rsidRDefault="003F57EB" w:rsidP="003F57EB">
      <w:pPr>
        <w:widowControl w:val="0"/>
        <w:spacing w:before="100" w:beforeAutospacing="1" w:after="120" w:line="240" w:lineRule="auto"/>
        <w:jc w:val="both"/>
        <w:rPr>
          <w:rFonts w:ascii="Calibri Light" w:eastAsia="Times New Roman" w:hAnsi="Calibri Light" w:cs="Calibri Light"/>
          <w:szCs w:val="20"/>
          <w:lang w:eastAsia="el-GR"/>
        </w:rPr>
      </w:pPr>
      <w:r w:rsidRPr="00565B02">
        <w:rPr>
          <w:rFonts w:ascii="Calibri Light" w:eastAsia="Times New Roman" w:hAnsi="Calibri Light" w:cs="Calibri Light"/>
          <w:szCs w:val="20"/>
          <w:lang w:eastAsia="el-GR"/>
        </w:rPr>
        <w:t xml:space="preserve">Током </w:t>
      </w:r>
      <w:r w:rsidRPr="00433B0E">
        <w:rPr>
          <w:rFonts w:ascii="Calibri Light" w:eastAsia="Times New Roman" w:hAnsi="Calibri Light" w:cs="Calibri Light"/>
          <w:szCs w:val="20"/>
          <w:lang w:eastAsia="el-GR"/>
        </w:rPr>
        <w:t>израде</w:t>
      </w:r>
      <w:r w:rsidRPr="00565B02">
        <w:rPr>
          <w:rFonts w:ascii="Calibri Light" w:eastAsia="Times New Roman" w:hAnsi="Calibri Light" w:cs="Calibri Light"/>
          <w:szCs w:val="20"/>
          <w:lang w:eastAsia="el-GR"/>
        </w:rPr>
        <w:t xml:space="preserve"> ИНЕ</w:t>
      </w:r>
      <w:r w:rsidRPr="00433B0E">
        <w:rPr>
          <w:rFonts w:ascii="Calibri Light" w:eastAsia="Times New Roman" w:hAnsi="Calibri Light" w:cs="Calibri Light"/>
          <w:szCs w:val="20"/>
          <w:lang w:eastAsia="el-GR"/>
        </w:rPr>
        <w:t>К</w:t>
      </w:r>
      <w:r w:rsidRPr="00565B02">
        <w:rPr>
          <w:rFonts w:ascii="Calibri Light" w:eastAsia="Times New Roman" w:hAnsi="Calibri Light" w:cs="Calibri Light"/>
          <w:szCs w:val="20"/>
          <w:lang w:eastAsia="el-GR"/>
        </w:rPr>
        <w:t xml:space="preserve">П-а, </w:t>
      </w:r>
      <w:r w:rsidRPr="00433B0E">
        <w:rPr>
          <w:rFonts w:ascii="Calibri Light" w:eastAsia="Times New Roman" w:hAnsi="Calibri Light" w:cs="Calibri Light"/>
          <w:szCs w:val="20"/>
          <w:lang w:eastAsia="el-GR"/>
        </w:rPr>
        <w:t xml:space="preserve">извршено је ажурирање </w:t>
      </w:r>
      <w:r w:rsidRPr="00565B02">
        <w:rPr>
          <w:rFonts w:ascii="Calibri Light" w:eastAsia="Times New Roman" w:hAnsi="Calibri Light" w:cs="Calibri Light"/>
          <w:szCs w:val="20"/>
          <w:lang w:eastAsia="el-GR"/>
        </w:rPr>
        <w:t>систем</w:t>
      </w:r>
      <w:r w:rsidRPr="00433B0E">
        <w:rPr>
          <w:rFonts w:ascii="Calibri Light" w:eastAsia="Times New Roman" w:hAnsi="Calibri Light" w:cs="Calibri Light"/>
          <w:szCs w:val="20"/>
          <w:lang w:eastAsia="el-GR"/>
        </w:rPr>
        <w:t>а</w:t>
      </w:r>
      <w:r w:rsidRPr="00565B02">
        <w:rPr>
          <w:rFonts w:ascii="Calibri Light" w:eastAsia="Times New Roman" w:hAnsi="Calibri Light" w:cs="Calibri Light"/>
          <w:szCs w:val="20"/>
          <w:lang w:eastAsia="el-GR"/>
        </w:rPr>
        <w:t xml:space="preserve"> за енергетско моделирање Србије (СЕМС) </w:t>
      </w:r>
      <w:r w:rsidRPr="00433B0E">
        <w:rPr>
          <w:rFonts w:ascii="Calibri Light" w:eastAsia="Times New Roman" w:hAnsi="Calibri Light" w:cs="Calibri Light"/>
          <w:szCs w:val="20"/>
          <w:lang w:eastAsia="el-GR"/>
        </w:rPr>
        <w:t xml:space="preserve">путем </w:t>
      </w:r>
      <w:r w:rsidRPr="00565B02">
        <w:rPr>
          <w:rFonts w:ascii="Calibri Light" w:eastAsia="Times New Roman" w:hAnsi="Calibri Light" w:cs="Calibri Light"/>
          <w:szCs w:val="20"/>
          <w:lang w:eastAsia="el-GR"/>
        </w:rPr>
        <w:t xml:space="preserve">процес прикупљања података </w:t>
      </w:r>
      <w:r w:rsidRPr="00433B0E">
        <w:rPr>
          <w:rFonts w:ascii="Calibri Light" w:eastAsia="Times New Roman" w:hAnsi="Calibri Light" w:cs="Calibri Light"/>
          <w:szCs w:val="20"/>
          <w:lang w:eastAsia="el-GR"/>
        </w:rPr>
        <w:t xml:space="preserve">којим су прибављени </w:t>
      </w:r>
      <w:r w:rsidRPr="00565B02">
        <w:rPr>
          <w:rFonts w:ascii="Calibri Light" w:eastAsia="Times New Roman" w:hAnsi="Calibri Light" w:cs="Calibri Light"/>
          <w:szCs w:val="20"/>
          <w:lang w:eastAsia="el-GR"/>
        </w:rPr>
        <w:t>тренутн</w:t>
      </w:r>
      <w:r w:rsidRPr="00433B0E">
        <w:rPr>
          <w:rFonts w:ascii="Calibri Light" w:eastAsia="Times New Roman" w:hAnsi="Calibri Light" w:cs="Calibri Light"/>
          <w:szCs w:val="20"/>
          <w:lang w:eastAsia="el-GR"/>
        </w:rPr>
        <w:t>и</w:t>
      </w:r>
      <w:r w:rsidRPr="00565B02">
        <w:rPr>
          <w:rFonts w:ascii="Calibri Light" w:eastAsia="Times New Roman" w:hAnsi="Calibri Light" w:cs="Calibri Light"/>
          <w:szCs w:val="20"/>
          <w:lang w:eastAsia="el-GR"/>
        </w:rPr>
        <w:t xml:space="preserve"> статисти</w:t>
      </w:r>
      <w:r w:rsidRPr="00433B0E">
        <w:rPr>
          <w:rFonts w:ascii="Calibri Light" w:eastAsia="Times New Roman" w:hAnsi="Calibri Light" w:cs="Calibri Light"/>
          <w:szCs w:val="20"/>
          <w:lang w:eastAsia="el-GR"/>
        </w:rPr>
        <w:t>чки подаци</w:t>
      </w:r>
      <w:r w:rsidRPr="00565B02">
        <w:rPr>
          <w:rFonts w:ascii="Calibri Light" w:eastAsia="Times New Roman" w:hAnsi="Calibri Light" w:cs="Calibri Light"/>
          <w:szCs w:val="20"/>
          <w:lang w:eastAsia="el-GR"/>
        </w:rPr>
        <w:t xml:space="preserve"> и процес</w:t>
      </w:r>
      <w:r w:rsidRPr="00433B0E">
        <w:rPr>
          <w:rFonts w:ascii="Calibri Light" w:eastAsia="Times New Roman" w:hAnsi="Calibri Light" w:cs="Calibri Light"/>
          <w:szCs w:val="20"/>
          <w:lang w:eastAsia="el-GR"/>
        </w:rPr>
        <w:t>а</w:t>
      </w:r>
      <w:r w:rsidRPr="00565B02">
        <w:rPr>
          <w:rFonts w:ascii="Calibri Light" w:eastAsia="Times New Roman" w:hAnsi="Calibri Light" w:cs="Calibri Light"/>
          <w:szCs w:val="20"/>
          <w:lang w:eastAsia="el-GR"/>
        </w:rPr>
        <w:t xml:space="preserve"> калибрације к</w:t>
      </w:r>
      <w:r w:rsidRPr="00433B0E">
        <w:rPr>
          <w:rFonts w:ascii="Calibri Light" w:eastAsia="Times New Roman" w:hAnsi="Calibri Light" w:cs="Calibri Light"/>
          <w:szCs w:val="20"/>
          <w:lang w:eastAsia="el-GR"/>
        </w:rPr>
        <w:t>ојим су у модел</w:t>
      </w:r>
      <w:r w:rsidRPr="00565B02">
        <w:rPr>
          <w:rFonts w:ascii="Calibri Light" w:eastAsia="Times New Roman" w:hAnsi="Calibri Light" w:cs="Calibri Light"/>
          <w:szCs w:val="20"/>
          <w:lang w:eastAsia="el-GR"/>
        </w:rPr>
        <w:t xml:space="preserve"> укључ</w:t>
      </w:r>
      <w:r w:rsidRPr="00433B0E">
        <w:rPr>
          <w:rFonts w:ascii="Calibri Light" w:eastAsia="Times New Roman" w:hAnsi="Calibri Light" w:cs="Calibri Light"/>
          <w:szCs w:val="20"/>
          <w:lang w:eastAsia="el-GR"/>
        </w:rPr>
        <w:t>ени</w:t>
      </w:r>
      <w:r w:rsidRPr="00565B02">
        <w:rPr>
          <w:rFonts w:ascii="Calibri Light" w:eastAsia="Times New Roman" w:hAnsi="Calibri Light" w:cs="Calibri Light"/>
          <w:szCs w:val="20"/>
          <w:lang w:eastAsia="el-GR"/>
        </w:rPr>
        <w:t xml:space="preserve"> најновији доступни статистички подаци. Детаљи</w:t>
      </w:r>
      <w:r w:rsidRPr="00433B0E">
        <w:rPr>
          <w:rFonts w:ascii="Calibri Light" w:eastAsia="Times New Roman" w:hAnsi="Calibri Light" w:cs="Calibri Light"/>
          <w:szCs w:val="20"/>
          <w:lang w:eastAsia="el-GR"/>
        </w:rPr>
        <w:t xml:space="preserve"> свих</w:t>
      </w:r>
      <w:r w:rsidRPr="00565B02">
        <w:rPr>
          <w:rFonts w:ascii="Calibri Light" w:eastAsia="Times New Roman" w:hAnsi="Calibri Light" w:cs="Calibri Light"/>
          <w:szCs w:val="20"/>
          <w:lang w:eastAsia="el-GR"/>
        </w:rPr>
        <w:t xml:space="preserve"> ових </w:t>
      </w:r>
      <w:r w:rsidRPr="00433B0E">
        <w:rPr>
          <w:rFonts w:ascii="Calibri Light" w:eastAsia="Times New Roman" w:hAnsi="Calibri Light" w:cs="Calibri Light"/>
          <w:szCs w:val="20"/>
          <w:lang w:eastAsia="el-GR"/>
        </w:rPr>
        <w:t xml:space="preserve">поступака </w:t>
      </w:r>
      <w:r w:rsidRPr="00565B02">
        <w:rPr>
          <w:rFonts w:ascii="Calibri Light" w:eastAsia="Times New Roman" w:hAnsi="Calibri Light" w:cs="Calibri Light"/>
          <w:szCs w:val="20"/>
          <w:lang w:eastAsia="el-GR"/>
        </w:rPr>
        <w:t>ажурирања пр</w:t>
      </w:r>
      <w:r w:rsidRPr="00433B0E">
        <w:rPr>
          <w:rFonts w:ascii="Calibri Light" w:eastAsia="Times New Roman" w:hAnsi="Calibri Light" w:cs="Calibri Light"/>
          <w:szCs w:val="20"/>
          <w:lang w:eastAsia="el-GR"/>
        </w:rPr>
        <w:t xml:space="preserve">иказани </w:t>
      </w:r>
      <w:r w:rsidRPr="00565B02">
        <w:rPr>
          <w:rFonts w:ascii="Calibri Light" w:eastAsia="Times New Roman" w:hAnsi="Calibri Light" w:cs="Calibri Light"/>
          <w:szCs w:val="20"/>
          <w:lang w:eastAsia="el-GR"/>
        </w:rPr>
        <w:t>су у „Извештају о ажурираној верзији СЕМС-а” пројекта „Даљи развој капацитета за планирање енергије”, ЕuropeAid/135625/IH/SER/RS Уговор бр: 48-00-00140/2019-28</w:t>
      </w:r>
      <w:r w:rsidR="00563F59">
        <w:rPr>
          <w:rFonts w:ascii="Calibri Light" w:eastAsia="Times New Roman" w:hAnsi="Calibri Light" w:cs="Calibri Light"/>
          <w:szCs w:val="20"/>
          <w:lang w:val="sr-Latn-RS" w:eastAsia="el-GR"/>
        </w:rPr>
        <w:t>.</w:t>
      </w:r>
    </w:p>
    <w:p w14:paraId="69B2D9FF" w14:textId="5AC018F2" w:rsidR="003F57EB" w:rsidRPr="00565B02" w:rsidRDefault="003F57EB" w:rsidP="003F57EB">
      <w:pPr>
        <w:keepNext/>
        <w:keepLines/>
        <w:numPr>
          <w:ilvl w:val="0"/>
          <w:numId w:val="320"/>
        </w:numPr>
        <w:spacing w:before="200" w:after="0" w:line="240" w:lineRule="auto"/>
        <w:outlineLvl w:val="3"/>
        <w:rPr>
          <w:rFonts w:asciiTheme="majorHAnsi" w:eastAsiaTheme="majorEastAsia" w:hAnsiTheme="majorHAnsi" w:cstheme="majorBidi"/>
          <w:iCs/>
          <w:color w:val="01406B"/>
          <w:szCs w:val="24"/>
        </w:rPr>
      </w:pPr>
      <w:r w:rsidRPr="00433B0E">
        <w:rPr>
          <w:rFonts w:asciiTheme="majorHAnsi" w:eastAsiaTheme="majorEastAsia" w:hAnsiTheme="majorHAnsi" w:cstheme="majorBidi"/>
          <w:b/>
          <w:bCs/>
          <w:iCs/>
          <w:color w:val="01406B"/>
          <w:szCs w:val="24"/>
        </w:rPr>
        <w:t xml:space="preserve">Алат за макроекономску </w:t>
      </w:r>
      <w:r w:rsidR="002875B6" w:rsidRPr="00433B0E">
        <w:rPr>
          <w:rFonts w:asciiTheme="majorHAnsi" w:eastAsiaTheme="majorEastAsia" w:hAnsiTheme="majorHAnsi" w:cstheme="majorBidi"/>
          <w:b/>
          <w:bCs/>
          <w:iCs/>
          <w:color w:val="01406B"/>
          <w:szCs w:val="24"/>
        </w:rPr>
        <w:t>анали</w:t>
      </w:r>
      <w:r w:rsidR="002875B6">
        <w:rPr>
          <w:rFonts w:asciiTheme="majorHAnsi" w:eastAsiaTheme="majorEastAsia" w:hAnsiTheme="majorHAnsi" w:cstheme="majorBidi"/>
          <w:b/>
          <w:bCs/>
          <w:iCs/>
          <w:color w:val="01406B"/>
          <w:szCs w:val="24"/>
        </w:rPr>
        <w:t>з</w:t>
      </w:r>
      <w:r w:rsidR="002875B6" w:rsidRPr="00433B0E">
        <w:rPr>
          <w:rFonts w:asciiTheme="majorHAnsi" w:eastAsiaTheme="majorEastAsia" w:hAnsiTheme="majorHAnsi" w:cstheme="majorBidi"/>
          <w:b/>
          <w:bCs/>
          <w:iCs/>
          <w:color w:val="01406B"/>
          <w:szCs w:val="24"/>
        </w:rPr>
        <w:t>у</w:t>
      </w:r>
      <w:r w:rsidR="002875B6" w:rsidRPr="00565B02">
        <w:rPr>
          <w:rFonts w:asciiTheme="majorHAnsi" w:eastAsiaTheme="majorEastAsia" w:hAnsiTheme="majorHAnsi" w:cstheme="majorBidi"/>
          <w:b/>
          <w:bCs/>
          <w:iCs/>
          <w:color w:val="01406B"/>
          <w:szCs w:val="24"/>
        </w:rPr>
        <w:t xml:space="preserve"> </w:t>
      </w:r>
      <w:r w:rsidRPr="00565B02">
        <w:rPr>
          <w:rFonts w:asciiTheme="majorHAnsi" w:eastAsiaTheme="majorEastAsia" w:hAnsiTheme="majorHAnsi" w:cstheme="majorBidi"/>
          <w:b/>
          <w:bCs/>
          <w:iCs/>
          <w:color w:val="01406B"/>
          <w:szCs w:val="24"/>
        </w:rPr>
        <w:t>(</w:t>
      </w:r>
      <w:r w:rsidRPr="00565B02">
        <w:rPr>
          <w:rFonts w:asciiTheme="majorHAnsi" w:eastAsiaTheme="majorEastAsia" w:hAnsiTheme="majorHAnsi" w:cstheme="majorBidi"/>
          <w:b/>
          <w:bCs/>
          <w:i/>
          <w:color w:val="01406B"/>
          <w:szCs w:val="24"/>
        </w:rPr>
        <w:t>MANAGE</w:t>
      </w:r>
      <w:r w:rsidRPr="00565B02">
        <w:rPr>
          <w:rFonts w:asciiTheme="majorHAnsi" w:eastAsiaTheme="majorEastAsia" w:hAnsiTheme="majorHAnsi" w:cstheme="majorBidi"/>
          <w:b/>
          <w:bCs/>
          <w:iCs/>
          <w:color w:val="01406B"/>
          <w:szCs w:val="24"/>
        </w:rPr>
        <w:t>)</w:t>
      </w:r>
    </w:p>
    <w:p w14:paraId="0D620B3E" w14:textId="1689D708" w:rsidR="003F57EB" w:rsidRPr="00565B02" w:rsidRDefault="003F57EB" w:rsidP="003F57EB">
      <w:pPr>
        <w:widowControl w:val="0"/>
        <w:spacing w:after="120" w:line="240" w:lineRule="auto"/>
        <w:jc w:val="both"/>
        <w:rPr>
          <w:rFonts w:ascii="Calibri Light" w:eastAsia="Times New Roman" w:hAnsi="Calibri Light" w:cs="Calibri Light"/>
          <w:szCs w:val="20"/>
          <w:lang w:eastAsia="el-GR"/>
        </w:rPr>
      </w:pPr>
      <w:r w:rsidRPr="00565B02">
        <w:rPr>
          <w:rFonts w:ascii="Calibri Light" w:eastAsia="Times New Roman" w:hAnsi="Calibri Light" w:cs="Calibri Light"/>
          <w:szCs w:val="20"/>
          <w:lang w:eastAsia="el-GR"/>
        </w:rPr>
        <w:t>A</w:t>
      </w:r>
      <w:r w:rsidRPr="00433B0E">
        <w:rPr>
          <w:rFonts w:ascii="Calibri Light" w:eastAsia="Times New Roman" w:hAnsi="Calibri Light" w:cs="Calibri Light"/>
          <w:szCs w:val="20"/>
          <w:lang w:eastAsia="el-GR"/>
        </w:rPr>
        <w:t>лат за м</w:t>
      </w:r>
      <w:r w:rsidRPr="00565B02">
        <w:rPr>
          <w:rFonts w:ascii="Calibri Light" w:eastAsia="Times New Roman" w:hAnsi="Calibri Light" w:cs="Calibri Light"/>
          <w:szCs w:val="20"/>
          <w:lang w:eastAsia="el-GR"/>
        </w:rPr>
        <w:t xml:space="preserve">акроекономску анализу – </w:t>
      </w:r>
      <w:r w:rsidRPr="00565B02">
        <w:rPr>
          <w:rFonts w:ascii="Calibri Light" w:eastAsia="Times New Roman" w:hAnsi="Calibri Light" w:cs="Calibri Light"/>
          <w:b/>
          <w:bCs/>
          <w:szCs w:val="20"/>
          <w:lang w:eastAsia="el-GR"/>
        </w:rPr>
        <w:t>М</w:t>
      </w:r>
      <w:r w:rsidRPr="00565B02">
        <w:rPr>
          <w:rFonts w:ascii="Calibri Light" w:eastAsia="Times New Roman" w:hAnsi="Calibri Light" w:cs="Calibri Light"/>
          <w:szCs w:val="20"/>
          <w:lang w:eastAsia="el-GR"/>
        </w:rPr>
        <w:t xml:space="preserve">itigation, </w:t>
      </w:r>
      <w:r w:rsidRPr="00565B02">
        <w:rPr>
          <w:rFonts w:ascii="Calibri Light" w:eastAsia="Times New Roman" w:hAnsi="Calibri Light" w:cs="Calibri Light"/>
          <w:b/>
          <w:bCs/>
          <w:szCs w:val="20"/>
          <w:lang w:eastAsia="el-GR"/>
        </w:rPr>
        <w:t>А</w:t>
      </w:r>
      <w:r w:rsidRPr="00565B02">
        <w:rPr>
          <w:rFonts w:ascii="Calibri Light" w:eastAsia="Times New Roman" w:hAnsi="Calibri Light" w:cs="Calibri Light"/>
          <w:szCs w:val="20"/>
          <w:lang w:eastAsia="el-GR"/>
        </w:rPr>
        <w:t xml:space="preserve">daptation and </w:t>
      </w:r>
      <w:r w:rsidRPr="00565B02">
        <w:rPr>
          <w:rFonts w:ascii="Calibri Light" w:eastAsia="Times New Roman" w:hAnsi="Calibri Light" w:cs="Calibri Light"/>
          <w:b/>
          <w:bCs/>
          <w:szCs w:val="20"/>
          <w:lang w:eastAsia="el-GR"/>
        </w:rPr>
        <w:t>N</w:t>
      </w:r>
      <w:r w:rsidRPr="00565B02">
        <w:rPr>
          <w:rFonts w:ascii="Calibri Light" w:eastAsia="Times New Roman" w:hAnsi="Calibri Light" w:cs="Calibri Light"/>
          <w:szCs w:val="20"/>
          <w:lang w:eastAsia="el-GR"/>
        </w:rPr>
        <w:t xml:space="preserve">ew </w:t>
      </w:r>
      <w:r w:rsidRPr="00565B02">
        <w:rPr>
          <w:rFonts w:ascii="Calibri Light" w:eastAsia="Times New Roman" w:hAnsi="Calibri Light" w:cs="Calibri Light"/>
          <w:b/>
          <w:bCs/>
          <w:szCs w:val="20"/>
          <w:lang w:eastAsia="el-GR"/>
        </w:rPr>
        <w:t>T</w:t>
      </w:r>
      <w:r w:rsidRPr="00565B02">
        <w:rPr>
          <w:rFonts w:ascii="Calibri Light" w:eastAsia="Times New Roman" w:hAnsi="Calibri Light" w:cs="Calibri Light"/>
          <w:szCs w:val="20"/>
          <w:lang w:eastAsia="el-GR"/>
        </w:rPr>
        <w:t xml:space="preserve">echnologies </w:t>
      </w:r>
      <w:r w:rsidRPr="00565B02">
        <w:rPr>
          <w:rFonts w:ascii="Calibri Light" w:eastAsia="Times New Roman" w:hAnsi="Calibri Light" w:cs="Calibri Light"/>
          <w:b/>
          <w:bCs/>
          <w:szCs w:val="20"/>
          <w:lang w:eastAsia="el-GR"/>
        </w:rPr>
        <w:t>А</w:t>
      </w:r>
      <w:r w:rsidRPr="00565B02">
        <w:rPr>
          <w:rFonts w:ascii="Calibri Light" w:eastAsia="Times New Roman" w:hAnsi="Calibri Light" w:cs="Calibri Light"/>
          <w:szCs w:val="20"/>
          <w:lang w:eastAsia="el-GR"/>
        </w:rPr>
        <w:t xml:space="preserve">pplied </w:t>
      </w:r>
      <w:r w:rsidRPr="00565B02">
        <w:rPr>
          <w:rFonts w:ascii="Calibri Light" w:eastAsia="Times New Roman" w:hAnsi="Calibri Light" w:cs="Calibri Light"/>
          <w:b/>
          <w:bCs/>
          <w:szCs w:val="20"/>
          <w:lang w:eastAsia="el-GR"/>
        </w:rPr>
        <w:t>G</w:t>
      </w:r>
      <w:r w:rsidRPr="00565B02">
        <w:rPr>
          <w:rFonts w:ascii="Calibri Light" w:eastAsia="Times New Roman" w:hAnsi="Calibri Light" w:cs="Calibri Light"/>
          <w:szCs w:val="20"/>
          <w:lang w:eastAsia="el-GR"/>
        </w:rPr>
        <w:t xml:space="preserve">eneral </w:t>
      </w:r>
      <w:r w:rsidRPr="00565B02">
        <w:rPr>
          <w:rFonts w:ascii="Calibri Light" w:eastAsia="Times New Roman" w:hAnsi="Calibri Light" w:cs="Calibri Light"/>
          <w:b/>
          <w:bCs/>
          <w:szCs w:val="20"/>
          <w:lang w:eastAsia="el-GR"/>
        </w:rPr>
        <w:t>Е</w:t>
      </w:r>
      <w:r w:rsidRPr="00565B02">
        <w:rPr>
          <w:rFonts w:ascii="Calibri Light" w:eastAsia="Times New Roman" w:hAnsi="Calibri Light" w:cs="Calibri Light"/>
          <w:szCs w:val="20"/>
          <w:lang w:eastAsia="el-GR"/>
        </w:rPr>
        <w:t>quilibrium (</w:t>
      </w:r>
      <w:r w:rsidRPr="00565B02">
        <w:rPr>
          <w:rFonts w:ascii="Calibri Light" w:eastAsia="Times New Roman" w:hAnsi="Calibri Light" w:cs="Calibri Light"/>
          <w:i/>
          <w:iCs/>
          <w:szCs w:val="20"/>
          <w:lang w:eastAsia="el-GR"/>
        </w:rPr>
        <w:t>MANAGE</w:t>
      </w:r>
      <w:r w:rsidRPr="00565B02">
        <w:rPr>
          <w:rFonts w:ascii="Calibri Light" w:eastAsia="Times New Roman" w:hAnsi="Calibri Light" w:cs="Calibri Light"/>
          <w:szCs w:val="20"/>
          <w:lang w:eastAsia="el-GR"/>
        </w:rPr>
        <w:t xml:space="preserve">) </w:t>
      </w:r>
      <w:r w:rsidRPr="00433B0E">
        <w:rPr>
          <w:rFonts w:ascii="Calibri Light" w:eastAsia="Times New Roman" w:hAnsi="Calibri Light" w:cs="Calibri Light"/>
          <w:szCs w:val="20"/>
          <w:lang w:eastAsia="el-GR"/>
        </w:rPr>
        <w:t xml:space="preserve">представља </w:t>
      </w:r>
      <w:r w:rsidRPr="00565B02">
        <w:rPr>
          <w:rFonts w:ascii="Calibri Light" w:eastAsia="Times New Roman" w:hAnsi="Calibri Light" w:cs="Calibri Light"/>
          <w:szCs w:val="20"/>
          <w:lang w:eastAsia="el-GR"/>
        </w:rPr>
        <w:t>модела израчунљиве опште равнотеже (</w:t>
      </w:r>
      <w:r w:rsidRPr="00565B02">
        <w:rPr>
          <w:rFonts w:ascii="Calibri Light" w:eastAsia="Times New Roman" w:hAnsi="Calibri Light" w:cs="Calibri Light"/>
          <w:i/>
          <w:iCs/>
          <w:szCs w:val="20"/>
          <w:lang w:eastAsia="el-GR"/>
        </w:rPr>
        <w:t>CGE</w:t>
      </w:r>
      <w:r w:rsidRPr="00565B02">
        <w:rPr>
          <w:rFonts w:ascii="Calibri Light" w:eastAsia="Times New Roman" w:hAnsi="Calibri Light" w:cs="Calibri Light"/>
          <w:szCs w:val="20"/>
          <w:lang w:eastAsia="el-GR"/>
        </w:rPr>
        <w:t xml:space="preserve">). Модел је написан у програмском језику </w:t>
      </w:r>
      <w:r w:rsidRPr="00565B02">
        <w:rPr>
          <w:rFonts w:ascii="Calibri Light" w:eastAsia="Times New Roman" w:hAnsi="Calibri Light" w:cs="Calibri Light"/>
          <w:i/>
          <w:iCs/>
          <w:szCs w:val="20"/>
          <w:lang w:eastAsia="el-GR"/>
        </w:rPr>
        <w:t>GAMS</w:t>
      </w:r>
      <w:r w:rsidRPr="00565B02">
        <w:rPr>
          <w:rFonts w:ascii="Calibri Light" w:eastAsia="Times New Roman" w:hAnsi="Calibri Light" w:cs="Calibri Light"/>
          <w:szCs w:val="20"/>
          <w:lang w:eastAsia="el-GR"/>
        </w:rPr>
        <w:t xml:space="preserve"> (General Algebraic Modelling System – општем алгебарском систему моделирања) који представља језик за моделирање високог нивоа за математичко програмирање и </w:t>
      </w:r>
      <w:r w:rsidRPr="00565B02">
        <w:rPr>
          <w:rFonts w:ascii="Calibri Light" w:eastAsia="Times New Roman" w:hAnsi="Calibri Light" w:cs="Calibri Light"/>
          <w:szCs w:val="20"/>
          <w:lang w:eastAsia="el-GR"/>
        </w:rPr>
        <w:lastRenderedPageBreak/>
        <w:t>оптимизацију. Састоји се од компајлера језика и скупа интегрисаних контролора високих перформанси.</w:t>
      </w:r>
    </w:p>
    <w:p w14:paraId="055609D1" w14:textId="77777777" w:rsidR="003F57EB" w:rsidRPr="00565B02" w:rsidRDefault="003F57EB" w:rsidP="003F57EB">
      <w:pPr>
        <w:widowControl w:val="0"/>
        <w:spacing w:after="120" w:line="240" w:lineRule="auto"/>
        <w:jc w:val="both"/>
        <w:rPr>
          <w:rFonts w:ascii="Calibri Light" w:eastAsia="Times New Roman" w:hAnsi="Calibri Light" w:cs="Calibri Light"/>
          <w:szCs w:val="20"/>
          <w:lang w:eastAsia="el-GR"/>
        </w:rPr>
      </w:pPr>
      <w:r w:rsidRPr="00565B02">
        <w:rPr>
          <w:rFonts w:ascii="Calibri Light" w:eastAsia="Times New Roman" w:hAnsi="Calibri Light" w:cs="Calibri Light"/>
          <w:szCs w:val="20"/>
          <w:lang w:eastAsia="el-GR"/>
        </w:rPr>
        <w:t xml:space="preserve">Кључни инпути за модел укључују </w:t>
      </w:r>
      <w:r w:rsidRPr="00433B0E">
        <w:rPr>
          <w:rFonts w:ascii="Calibri Light" w:eastAsia="Times New Roman" w:hAnsi="Calibri Light" w:cs="Calibri Light"/>
          <w:szCs w:val="20"/>
          <w:lang w:eastAsia="el-GR"/>
        </w:rPr>
        <w:t>М</w:t>
      </w:r>
      <w:r w:rsidRPr="00565B02">
        <w:rPr>
          <w:rFonts w:ascii="Calibri Light" w:eastAsia="Times New Roman" w:hAnsi="Calibri Light" w:cs="Calibri Light"/>
          <w:szCs w:val="20"/>
          <w:lang w:eastAsia="el-GR"/>
        </w:rPr>
        <w:t>атрицу друштвеног рачуноводства (</w:t>
      </w:r>
      <w:r w:rsidRPr="00565B02">
        <w:rPr>
          <w:rFonts w:ascii="Calibri Light" w:eastAsia="Times New Roman" w:hAnsi="Calibri Light" w:cs="Calibri Light"/>
          <w:i/>
          <w:iCs/>
          <w:szCs w:val="20"/>
          <w:lang w:eastAsia="el-GR"/>
        </w:rPr>
        <w:t>SAM</w:t>
      </w:r>
      <w:r w:rsidRPr="00565B02">
        <w:rPr>
          <w:rFonts w:ascii="Calibri Light" w:eastAsia="Times New Roman" w:hAnsi="Calibri Light" w:cs="Calibri Light"/>
          <w:szCs w:val="20"/>
          <w:lang w:eastAsia="el-GR"/>
        </w:rPr>
        <w:t xml:space="preserve">), која описује монетарне токове између кључних економских субјеката (произвођачи, домаћинства, државе и остатак света). </w:t>
      </w:r>
      <w:r w:rsidRPr="00565B02">
        <w:rPr>
          <w:rFonts w:ascii="Calibri Light" w:eastAsia="Times New Roman" w:hAnsi="Calibri Light" w:cs="Calibri Light"/>
          <w:i/>
          <w:iCs/>
          <w:szCs w:val="20"/>
          <w:lang w:eastAsia="el-GR"/>
        </w:rPr>
        <w:t>SAM</w:t>
      </w:r>
      <w:r w:rsidRPr="00565B02">
        <w:rPr>
          <w:rFonts w:ascii="Calibri Light" w:eastAsia="Times New Roman" w:hAnsi="Calibri Light" w:cs="Calibri Light"/>
          <w:szCs w:val="20"/>
          <w:lang w:eastAsia="el-GR"/>
        </w:rPr>
        <w:t xml:space="preserve"> је прилагођен тако да одражава потпунији рачун платног биланса, како би одразио прилично значајне токове дознака и отплате камата, као и мали прилив званичне развојне помоћи. За ове измене су коришћени подаци које је обезбедила Народна банка Србије.</w:t>
      </w:r>
    </w:p>
    <w:p w14:paraId="50C3448E" w14:textId="77777777" w:rsidR="003F57EB" w:rsidRPr="00565B02" w:rsidRDefault="003F57EB" w:rsidP="003F57EB">
      <w:pPr>
        <w:widowControl w:val="0"/>
        <w:spacing w:after="120" w:line="240" w:lineRule="auto"/>
        <w:jc w:val="both"/>
        <w:rPr>
          <w:rFonts w:ascii="Calibri Light" w:eastAsia="Times New Roman" w:hAnsi="Calibri Light" w:cs="Calibri Light"/>
          <w:szCs w:val="20"/>
          <w:lang w:eastAsia="el-GR"/>
        </w:rPr>
      </w:pPr>
      <w:r w:rsidRPr="00433B0E">
        <w:rPr>
          <w:rFonts w:ascii="Calibri Light" w:eastAsia="Times New Roman" w:hAnsi="Calibri Light" w:cs="Calibri Light"/>
          <w:szCs w:val="20"/>
          <w:lang w:eastAsia="el-GR"/>
        </w:rPr>
        <w:t>Д</w:t>
      </w:r>
      <w:r w:rsidRPr="00565B02">
        <w:rPr>
          <w:rFonts w:ascii="Calibri Light" w:eastAsia="Times New Roman" w:hAnsi="Calibri Light" w:cs="Calibri Light"/>
          <w:szCs w:val="20"/>
          <w:lang w:eastAsia="el-GR"/>
        </w:rPr>
        <w:t>одатни улазни подаци у моделу су обухватили токове енергије (засноване на подацима Међународне агенције за енергетику) и рачуне емисија (процењене коришћењем</w:t>
      </w:r>
      <w:r w:rsidRPr="00565B02">
        <w:rPr>
          <w:rFonts w:ascii="Calibri Light" w:eastAsia="Times New Roman" w:hAnsi="Calibri Light" w:cs="Calibri Light"/>
          <w:i/>
          <w:iCs/>
          <w:szCs w:val="20"/>
          <w:lang w:eastAsia="el-GR"/>
        </w:rPr>
        <w:t xml:space="preserve"> IPCC</w:t>
      </w:r>
      <w:r w:rsidRPr="00565B02">
        <w:rPr>
          <w:rFonts w:ascii="Calibri Light" w:eastAsia="Times New Roman" w:hAnsi="Calibri Light" w:cs="Calibri Light"/>
          <w:szCs w:val="20"/>
          <w:lang w:eastAsia="el-GR"/>
        </w:rPr>
        <w:t xml:space="preserve"> методологије) – оба скупа података су преузета из базе података Пројекта анализе глобалне трговине (</w:t>
      </w:r>
      <w:r w:rsidRPr="00565B02">
        <w:rPr>
          <w:rFonts w:ascii="Calibri Light" w:eastAsia="Times New Roman" w:hAnsi="Calibri Light" w:cs="Calibri Light"/>
          <w:i/>
          <w:iCs/>
          <w:szCs w:val="20"/>
          <w:lang w:eastAsia="el-GR"/>
        </w:rPr>
        <w:t>GTAP</w:t>
      </w:r>
      <w:r w:rsidRPr="00565B02">
        <w:rPr>
          <w:rFonts w:ascii="Calibri Light" w:eastAsia="Times New Roman" w:hAnsi="Calibri Light" w:cs="Calibri Light"/>
          <w:szCs w:val="20"/>
          <w:lang w:eastAsia="el-GR"/>
        </w:rPr>
        <w:t xml:space="preserve">) и усклађена су са СЕМС-ом. Референтна година </w:t>
      </w:r>
      <w:r w:rsidRPr="00565B02">
        <w:rPr>
          <w:rFonts w:ascii="Calibri Light" w:eastAsia="Times New Roman" w:hAnsi="Calibri Light" w:cs="Calibri Light"/>
          <w:i/>
          <w:iCs/>
          <w:szCs w:val="20"/>
          <w:lang w:eastAsia="el-GR"/>
        </w:rPr>
        <w:t xml:space="preserve">SAM </w:t>
      </w:r>
      <w:r w:rsidRPr="00565B02">
        <w:rPr>
          <w:rFonts w:ascii="Calibri Light" w:eastAsia="Times New Roman" w:hAnsi="Calibri Light" w:cs="Calibri Light"/>
          <w:szCs w:val="20"/>
          <w:lang w:eastAsia="el-GR"/>
        </w:rPr>
        <w:t xml:space="preserve">се користи за калибрацију многих параметара модела—као што су структура трошкова производње и параметри преференција потрошача. За калибрацију ових параметара потребан је не само </w:t>
      </w:r>
      <w:r w:rsidRPr="00565B02">
        <w:rPr>
          <w:rFonts w:ascii="Calibri Light" w:eastAsia="Times New Roman" w:hAnsi="Calibri Light" w:cs="Calibri Light"/>
          <w:i/>
          <w:iCs/>
          <w:szCs w:val="20"/>
          <w:lang w:eastAsia="el-GR"/>
        </w:rPr>
        <w:t>SAM</w:t>
      </w:r>
      <w:r w:rsidRPr="00565B02">
        <w:rPr>
          <w:rFonts w:ascii="Calibri Light" w:eastAsia="Times New Roman" w:hAnsi="Calibri Light" w:cs="Calibri Light"/>
          <w:szCs w:val="20"/>
          <w:lang w:eastAsia="el-GR"/>
        </w:rPr>
        <w:t xml:space="preserve">, већ и вредности кључних параметара модела као што су супституција између капитала и рада, еластичност дохотка за робу као што је храна, еластичност замене енергије, итд. Већина ових параметара потиче од стандардних параметара </w:t>
      </w:r>
      <w:r w:rsidRPr="00565B02">
        <w:rPr>
          <w:rFonts w:ascii="Calibri Light" w:eastAsia="Times New Roman" w:hAnsi="Calibri Light" w:cs="Calibri Light"/>
          <w:i/>
          <w:iCs/>
          <w:szCs w:val="20"/>
          <w:lang w:eastAsia="el-GR"/>
        </w:rPr>
        <w:t>GTAP</w:t>
      </w:r>
      <w:r w:rsidRPr="00565B02">
        <w:rPr>
          <w:rFonts w:ascii="Calibri Light" w:eastAsia="Times New Roman" w:hAnsi="Calibri Light" w:cs="Calibri Light"/>
          <w:szCs w:val="20"/>
          <w:lang w:eastAsia="el-GR"/>
        </w:rPr>
        <w:t xml:space="preserve"> и Envisage модела. </w:t>
      </w:r>
      <w:r w:rsidRPr="00565B02">
        <w:rPr>
          <w:rFonts w:ascii="Calibri Light" w:eastAsia="Times New Roman" w:hAnsi="Calibri Light" w:cs="Calibri Light"/>
          <w:i/>
          <w:iCs/>
          <w:szCs w:val="20"/>
          <w:lang w:eastAsia="el-GR"/>
        </w:rPr>
        <w:t>SAM</w:t>
      </w:r>
      <w:r w:rsidRPr="00565B02">
        <w:rPr>
          <w:rFonts w:ascii="Calibri Light" w:eastAsia="Times New Roman" w:hAnsi="Calibri Light" w:cs="Calibri Light"/>
          <w:szCs w:val="20"/>
          <w:lang w:eastAsia="el-GR"/>
        </w:rPr>
        <w:t>, у комбинацији са кључним еластичностима, представљају једине улазне податке потребне за покретање упоредне статичке верзије модела.</w:t>
      </w:r>
    </w:p>
    <w:p w14:paraId="6E29ED2D" w14:textId="77777777" w:rsidR="003F57EB" w:rsidRPr="00565B02" w:rsidRDefault="003F57EB" w:rsidP="003F57EB">
      <w:pPr>
        <w:widowControl w:val="0"/>
        <w:spacing w:after="120" w:line="240" w:lineRule="auto"/>
        <w:jc w:val="both"/>
        <w:rPr>
          <w:rFonts w:ascii="Calibri Light" w:eastAsia="Times New Roman" w:hAnsi="Calibri Light" w:cs="Calibri Light"/>
          <w:szCs w:val="20"/>
          <w:lang w:eastAsia="el-GR"/>
        </w:rPr>
      </w:pPr>
      <w:r w:rsidRPr="00565B02">
        <w:rPr>
          <w:rFonts w:ascii="Calibri Light" w:eastAsia="Times New Roman" w:hAnsi="Calibri Light" w:cs="Calibri Light"/>
          <w:szCs w:val="20"/>
          <w:lang w:eastAsia="el-GR"/>
        </w:rPr>
        <w:t>Динамичком моделу су потребни додатни подаци да би вршила пројекција развоја економије од референтне до крајње године. Кључни покретачи економије су демографски (укупно становништво и радно способно становништво), стопе штедње и амортизације, које подстичу акумулацију капитала, и промене у технологији и преференцијама. Ови улазни подаци су узети првенствено из националних извора података и допуњени подацима међународних агенција, као што је описано у извештају.</w:t>
      </w:r>
    </w:p>
    <w:p w14:paraId="597CBF46" w14:textId="77777777" w:rsidR="003F57EB" w:rsidRPr="00565B02" w:rsidRDefault="003F57EB" w:rsidP="003F57EB">
      <w:pPr>
        <w:widowControl w:val="0"/>
        <w:spacing w:after="120" w:line="240" w:lineRule="auto"/>
        <w:jc w:val="both"/>
        <w:rPr>
          <w:rFonts w:ascii="Calibri Light" w:eastAsia="Times New Roman" w:hAnsi="Calibri Light" w:cs="Calibri Light"/>
          <w:szCs w:val="20"/>
          <w:lang w:eastAsia="el-GR"/>
        </w:rPr>
      </w:pPr>
      <w:r w:rsidRPr="00565B02">
        <w:rPr>
          <w:rFonts w:ascii="Calibri Light" w:eastAsia="Times New Roman" w:hAnsi="Calibri Light" w:cs="Calibri Light"/>
          <w:szCs w:val="20"/>
          <w:lang w:eastAsia="el-GR"/>
        </w:rPr>
        <w:t xml:space="preserve">Министарство располаже моделом </w:t>
      </w:r>
      <w:r w:rsidRPr="00565B02">
        <w:rPr>
          <w:rFonts w:ascii="Calibri Light" w:eastAsia="Times New Roman" w:hAnsi="Calibri Light" w:cs="Calibri Light"/>
          <w:i/>
          <w:iCs/>
          <w:szCs w:val="20"/>
          <w:lang w:eastAsia="el-GR"/>
        </w:rPr>
        <w:t>МANAGE</w:t>
      </w:r>
      <w:r w:rsidRPr="00565B02">
        <w:rPr>
          <w:rFonts w:ascii="Calibri Light" w:eastAsia="Times New Roman" w:hAnsi="Calibri Light" w:cs="Calibri Light"/>
          <w:szCs w:val="20"/>
          <w:lang w:eastAsia="el-GR"/>
        </w:rPr>
        <w:t xml:space="preserve"> и одговарајућим подацима за вршење упоредних статичких и динамичких симулација. У случају </w:t>
      </w:r>
      <w:r w:rsidRPr="00565B02">
        <w:rPr>
          <w:rFonts w:ascii="Calibri Light" w:eastAsia="Times New Roman" w:hAnsi="Calibri Light" w:cs="Calibri Light"/>
          <w:i/>
          <w:iCs/>
          <w:szCs w:val="20"/>
          <w:lang w:eastAsia="el-GR"/>
        </w:rPr>
        <w:t>MANAGE</w:t>
      </w:r>
      <w:r w:rsidRPr="00565B02">
        <w:rPr>
          <w:rFonts w:ascii="Calibri Light" w:eastAsia="Times New Roman" w:hAnsi="Calibri Light" w:cs="Calibri Light"/>
          <w:szCs w:val="20"/>
          <w:lang w:eastAsia="el-GR"/>
        </w:rPr>
        <w:t xml:space="preserve">-а, Министарство може редовно да ажурира референтну симулацију најновијим подацима о БДП-у и расту </w:t>
      </w:r>
      <w:r w:rsidRPr="00433B0E">
        <w:rPr>
          <w:rFonts w:ascii="Calibri Light" w:eastAsia="Times New Roman" w:hAnsi="Calibri Light" w:cs="Calibri Light"/>
          <w:szCs w:val="20"/>
          <w:lang w:eastAsia="el-GR"/>
        </w:rPr>
        <w:t xml:space="preserve">броја </w:t>
      </w:r>
      <w:r w:rsidRPr="00565B02">
        <w:rPr>
          <w:rFonts w:ascii="Calibri Light" w:eastAsia="Times New Roman" w:hAnsi="Calibri Light" w:cs="Calibri Light"/>
          <w:szCs w:val="20"/>
          <w:lang w:eastAsia="el-GR"/>
        </w:rPr>
        <w:t>становни</w:t>
      </w:r>
      <w:r w:rsidRPr="00433B0E">
        <w:rPr>
          <w:rFonts w:ascii="Calibri Light" w:eastAsia="Times New Roman" w:hAnsi="Calibri Light" w:cs="Calibri Light"/>
          <w:szCs w:val="20"/>
          <w:lang w:eastAsia="el-GR"/>
        </w:rPr>
        <w:t>ка</w:t>
      </w:r>
      <w:r w:rsidRPr="00565B02">
        <w:rPr>
          <w:rFonts w:ascii="Calibri Light" w:eastAsia="Times New Roman" w:hAnsi="Calibri Light" w:cs="Calibri Light"/>
          <w:szCs w:val="20"/>
          <w:lang w:eastAsia="el-GR"/>
        </w:rPr>
        <w:t xml:space="preserve">, као и другим егзогеним елементима модела као што су промене политике. Алат омогућава значајну флексибилност за анализу широког скупа политика, укључујући порезе и субвенције на енергију, друге облике пореза и субвенција, на пример у пољопривреди, и потенцијалне промене трговинског режима—на пример, придруживање Европској унији. Осим ажурирања динамичких покретача, основни или референтни подаци се такође могу ажурирати, на пример, верзијом V11 базе података </w:t>
      </w:r>
      <w:r w:rsidRPr="00565B02">
        <w:rPr>
          <w:rFonts w:ascii="Calibri Light" w:eastAsia="Times New Roman" w:hAnsi="Calibri Light" w:cs="Calibri Light"/>
          <w:i/>
          <w:iCs/>
          <w:szCs w:val="20"/>
          <w:lang w:eastAsia="el-GR"/>
        </w:rPr>
        <w:t>GTAP</w:t>
      </w:r>
      <w:r w:rsidRPr="00565B02">
        <w:rPr>
          <w:rFonts w:ascii="Calibri Light" w:eastAsia="Times New Roman" w:hAnsi="Calibri Light" w:cs="Calibri Light"/>
          <w:szCs w:val="20"/>
          <w:lang w:eastAsia="el-GR"/>
        </w:rPr>
        <w:t xml:space="preserve"> која ће ускоро изаћи са референтном 2017. годином. Поред тога, уз довољно локалних информација, кључне еластичности модела, као што су еластичност прихода и супституције, могле би се економетријски проценити, пружајући јачу основу за понашање модела заједно са интервалима поверења, уз могућност коришћења Монте Карло техника како би се обезбедила поузданост резултата модела. Основна база података се такође може проширити тако да укључује више репрезентативних домаћинстава, на пример по децилима, како би се могле истаћи потенцијалне дистрибутивне импликације промена политике – на пример утицај примене пореза на емисије угљен-диоксида </w:t>
      </w:r>
      <w:r w:rsidRPr="00433B0E">
        <w:rPr>
          <w:rFonts w:ascii="Calibri Light" w:eastAsia="Times New Roman" w:hAnsi="Calibri Light" w:cs="Calibri Light"/>
          <w:szCs w:val="20"/>
          <w:lang w:eastAsia="el-GR"/>
        </w:rPr>
        <w:t>за</w:t>
      </w:r>
      <w:r w:rsidRPr="00565B02">
        <w:rPr>
          <w:rFonts w:ascii="Calibri Light" w:eastAsia="Times New Roman" w:hAnsi="Calibri Light" w:cs="Calibri Light"/>
          <w:szCs w:val="20"/>
          <w:lang w:eastAsia="el-GR"/>
        </w:rPr>
        <w:t xml:space="preserve"> домаћинства.</w:t>
      </w:r>
    </w:p>
    <w:p w14:paraId="21C2B7E0" w14:textId="410AFC96" w:rsidR="003F57EB" w:rsidRPr="00565B02" w:rsidRDefault="003F57EB" w:rsidP="003F57EB">
      <w:pPr>
        <w:spacing w:after="0" w:line="240" w:lineRule="auto"/>
        <w:jc w:val="both"/>
        <w:rPr>
          <w:rFonts w:ascii="Calibri Light" w:eastAsia="Times New Roman" w:hAnsi="Calibri Light" w:cs="Calibri Light"/>
          <w:szCs w:val="20"/>
          <w:lang w:eastAsia="el-GR"/>
        </w:rPr>
      </w:pPr>
      <w:r w:rsidRPr="00565B02">
        <w:rPr>
          <w:rFonts w:ascii="Calibri Light" w:eastAsia="Times New Roman" w:hAnsi="Calibri Light" w:cs="Calibri Light"/>
          <w:szCs w:val="24"/>
          <w:lang w:eastAsia=""/>
        </w:rPr>
        <w:t xml:space="preserve">Обухватајући потпуну покривеност и потражње и снабдевања у привреди, модел </w:t>
      </w:r>
      <w:r w:rsidRPr="00565B02">
        <w:rPr>
          <w:rFonts w:ascii="Calibri Light" w:eastAsia="Times New Roman" w:hAnsi="Calibri Light" w:cs="Calibri Light"/>
          <w:i/>
          <w:szCs w:val="24"/>
          <w:lang w:eastAsia=""/>
        </w:rPr>
        <w:t>MANAGE</w:t>
      </w:r>
      <w:r w:rsidRPr="00565B02">
        <w:rPr>
          <w:rFonts w:ascii="Calibri Light" w:eastAsia="Times New Roman" w:hAnsi="Calibri Light" w:cs="Calibri Light"/>
          <w:szCs w:val="24"/>
          <w:lang w:eastAsia=""/>
        </w:rPr>
        <w:t xml:space="preserve"> пружа широк спектар резултата који се могу користити као помоћ у процесу доношења одлука. Кључне ендогене варијабле модела могу се груписати у шест категорија: макроекономск</w:t>
      </w:r>
      <w:r w:rsidRPr="00433B0E">
        <w:rPr>
          <w:rFonts w:ascii="Calibri Light" w:eastAsia="Times New Roman" w:hAnsi="Calibri Light" w:cs="Calibri Light"/>
          <w:szCs w:val="24"/>
          <w:lang w:eastAsia=""/>
        </w:rPr>
        <w:t>а</w:t>
      </w:r>
      <w:r w:rsidRPr="00565B02">
        <w:rPr>
          <w:rFonts w:ascii="Calibri Light" w:eastAsia="Times New Roman" w:hAnsi="Calibri Light" w:cs="Calibri Light"/>
          <w:szCs w:val="24"/>
          <w:lang w:eastAsia=""/>
        </w:rPr>
        <w:t xml:space="preserve">, </w:t>
      </w:r>
      <w:r w:rsidRPr="00433B0E">
        <w:rPr>
          <w:rFonts w:ascii="Calibri Light" w:eastAsia="Times New Roman" w:hAnsi="Calibri Light" w:cs="Calibri Light"/>
          <w:szCs w:val="24"/>
          <w:lang w:eastAsia=""/>
        </w:rPr>
        <w:t xml:space="preserve">категорија </w:t>
      </w:r>
      <w:r w:rsidRPr="00565B02">
        <w:rPr>
          <w:rFonts w:ascii="Calibri Light" w:eastAsia="Times New Roman" w:hAnsi="Calibri Light" w:cs="Calibri Light"/>
          <w:szCs w:val="24"/>
          <w:lang w:eastAsia=""/>
        </w:rPr>
        <w:t>произвођач</w:t>
      </w:r>
      <w:r w:rsidRPr="00433B0E">
        <w:rPr>
          <w:rFonts w:ascii="Calibri Light" w:eastAsia="Times New Roman" w:hAnsi="Calibri Light" w:cs="Calibri Light"/>
          <w:szCs w:val="24"/>
          <w:lang w:eastAsia=""/>
        </w:rPr>
        <w:t>а</w:t>
      </w:r>
      <w:r w:rsidRPr="00565B02">
        <w:rPr>
          <w:rFonts w:ascii="Calibri Light" w:eastAsia="Times New Roman" w:hAnsi="Calibri Light" w:cs="Calibri Light"/>
          <w:szCs w:val="24"/>
          <w:lang w:eastAsia=""/>
        </w:rPr>
        <w:t>, крајњ</w:t>
      </w:r>
      <w:r w:rsidRPr="00433B0E">
        <w:rPr>
          <w:rFonts w:ascii="Calibri Light" w:eastAsia="Times New Roman" w:hAnsi="Calibri Light" w:cs="Calibri Light"/>
          <w:szCs w:val="24"/>
          <w:lang w:eastAsia=""/>
        </w:rPr>
        <w:t>и</w:t>
      </w:r>
      <w:r w:rsidRPr="00565B02">
        <w:rPr>
          <w:rFonts w:ascii="Calibri Light" w:eastAsia="Times New Roman" w:hAnsi="Calibri Light" w:cs="Calibri Light"/>
          <w:szCs w:val="24"/>
          <w:lang w:eastAsia=""/>
        </w:rPr>
        <w:t xml:space="preserve"> корисни</w:t>
      </w:r>
      <w:r w:rsidRPr="00433B0E">
        <w:rPr>
          <w:rFonts w:ascii="Calibri Light" w:eastAsia="Times New Roman" w:hAnsi="Calibri Light" w:cs="Calibri Light"/>
          <w:szCs w:val="24"/>
          <w:lang w:eastAsia=""/>
        </w:rPr>
        <w:t>ци</w:t>
      </w:r>
      <w:r w:rsidRPr="00565B02">
        <w:rPr>
          <w:rFonts w:ascii="Calibri Light" w:eastAsia="Times New Roman" w:hAnsi="Calibri Light" w:cs="Calibri Light"/>
          <w:szCs w:val="24"/>
          <w:lang w:eastAsia=""/>
        </w:rPr>
        <w:t xml:space="preserve"> (домаћинства), индикатор</w:t>
      </w:r>
      <w:r w:rsidRPr="00433B0E">
        <w:rPr>
          <w:rFonts w:ascii="Calibri Light" w:eastAsia="Times New Roman" w:hAnsi="Calibri Light" w:cs="Calibri Light"/>
          <w:szCs w:val="24"/>
          <w:lang w:eastAsia=""/>
        </w:rPr>
        <w:t>и</w:t>
      </w:r>
      <w:r w:rsidRPr="00565B02">
        <w:rPr>
          <w:rFonts w:ascii="Calibri Light" w:eastAsia="Times New Roman" w:hAnsi="Calibri Light" w:cs="Calibri Light"/>
          <w:szCs w:val="24"/>
          <w:lang w:eastAsia=""/>
        </w:rPr>
        <w:t xml:space="preserve"> државе, трговинске варијабле и индикатор</w:t>
      </w:r>
      <w:r w:rsidRPr="00433B0E">
        <w:rPr>
          <w:rFonts w:ascii="Calibri Light" w:eastAsia="Times New Roman" w:hAnsi="Calibri Light" w:cs="Calibri Light"/>
          <w:szCs w:val="24"/>
          <w:lang w:eastAsia=""/>
        </w:rPr>
        <w:t>и</w:t>
      </w:r>
      <w:r w:rsidRPr="00565B02">
        <w:rPr>
          <w:rFonts w:ascii="Calibri Light" w:eastAsia="Times New Roman" w:hAnsi="Calibri Light" w:cs="Calibri Light"/>
          <w:szCs w:val="24"/>
          <w:lang w:eastAsia=""/>
        </w:rPr>
        <w:t xml:space="preserve"> животне средине (</w:t>
      </w:r>
      <w:r w:rsidR="002875B6">
        <w:rPr>
          <w:rFonts w:ascii="Calibri Light" w:eastAsia="Times New Roman" w:hAnsi="Calibri Light" w:cs="Calibri Light"/>
          <w:szCs w:val="24"/>
          <w:lang w:eastAsia=""/>
        </w:rPr>
        <w:fldChar w:fldCharType="begin"/>
      </w:r>
      <w:r w:rsidR="002875B6">
        <w:rPr>
          <w:rFonts w:ascii="Calibri Light" w:eastAsia="Times New Roman" w:hAnsi="Calibri Light" w:cs="Calibri Light"/>
          <w:szCs w:val="24"/>
          <w:lang w:eastAsia=""/>
        </w:rPr>
        <w:instrText xml:space="preserve"> REF _Ref153900020 \h  \* MERGEFORMAT </w:instrText>
      </w:r>
      <w:r w:rsidR="002875B6">
        <w:rPr>
          <w:rFonts w:ascii="Calibri Light" w:eastAsia="Times New Roman" w:hAnsi="Calibri Light" w:cs="Calibri Light"/>
          <w:szCs w:val="24"/>
          <w:lang w:eastAsia=""/>
        </w:rPr>
      </w:r>
      <w:r w:rsidR="002875B6">
        <w:rPr>
          <w:rFonts w:ascii="Calibri Light" w:eastAsia="Times New Roman" w:hAnsi="Calibri Light" w:cs="Calibri Light"/>
          <w:szCs w:val="24"/>
          <w:lang w:eastAsia=""/>
        </w:rPr>
        <w:fldChar w:fldCharType="separate"/>
      </w:r>
      <w:r w:rsidR="002875B6" w:rsidRPr="00565B02">
        <w:rPr>
          <w:rFonts w:ascii="Calibri Light" w:eastAsia="Times New Roman" w:hAnsi="Calibri Light" w:cs="Calibri Light"/>
          <w:szCs w:val="24"/>
          <w:lang w:eastAsia=""/>
        </w:rPr>
        <w:t>Слика III.3</w:t>
      </w:r>
      <w:r w:rsidR="002875B6">
        <w:rPr>
          <w:rFonts w:ascii="Calibri Light" w:eastAsia="Times New Roman" w:hAnsi="Calibri Light" w:cs="Calibri Light"/>
          <w:szCs w:val="24"/>
          <w:lang w:eastAsia=""/>
        </w:rPr>
        <w:fldChar w:fldCharType="end"/>
      </w:r>
      <w:r w:rsidRPr="00565B02">
        <w:rPr>
          <w:rFonts w:ascii="Calibri Light" w:eastAsia="Times New Roman" w:hAnsi="Calibri Light" w:cs="Calibri Light"/>
          <w:szCs w:val="24"/>
          <w:lang w:eastAsia=""/>
        </w:rPr>
        <w:t>). Треба напоменути да се ово груписање варијабли користи само за потребе пр</w:t>
      </w:r>
      <w:r w:rsidRPr="00433B0E">
        <w:rPr>
          <w:rFonts w:ascii="Calibri Light" w:eastAsia="Times New Roman" w:hAnsi="Calibri Light" w:cs="Calibri Light"/>
          <w:szCs w:val="24"/>
          <w:lang w:eastAsia=""/>
        </w:rPr>
        <w:t>иказивања</w:t>
      </w:r>
      <w:r w:rsidRPr="00565B02">
        <w:rPr>
          <w:rFonts w:ascii="Calibri Light" w:eastAsia="Times New Roman" w:hAnsi="Calibri Light" w:cs="Calibri Light"/>
          <w:szCs w:val="24"/>
          <w:lang w:eastAsia=""/>
        </w:rPr>
        <w:t xml:space="preserve"> и није нешто што се подразумева у моделу. У овом одељку немамо за циљ да пружимо потпуну листу варијабли, већ да истакнемо кључне резултате које модел генерише, док пуну листу варијабли заинтересовани читалац може наћи у одговарајућем техничком извештају са документацијом алата за моделирање.</w:t>
      </w:r>
    </w:p>
    <w:p w14:paraId="7036D563" w14:textId="55488E33" w:rsidR="002875B6" w:rsidRPr="002875B6" w:rsidRDefault="002875B6" w:rsidP="00565B02">
      <w:pPr>
        <w:pStyle w:val="Caption"/>
        <w:keepNext/>
      </w:pPr>
      <w:bookmarkStart w:id="506" w:name="_Ref153900020"/>
      <w:bookmarkStart w:id="507" w:name="_Toc153901465"/>
      <w:r>
        <w:lastRenderedPageBreak/>
        <w:t xml:space="preserve">Слика </w:t>
      </w:r>
      <w:r w:rsidR="00F35B2C">
        <w:fldChar w:fldCharType="begin"/>
      </w:r>
      <w:r w:rsidR="00F35B2C">
        <w:instrText xml:space="preserve"> STYLEREF 1 \s </w:instrText>
      </w:r>
      <w:r w:rsidR="00F35B2C">
        <w:fldChar w:fldCharType="separate"/>
      </w:r>
      <w:r w:rsidR="00F35B2C">
        <w:rPr>
          <w:noProof/>
        </w:rPr>
        <w:t>III</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3</w:t>
      </w:r>
      <w:r w:rsidR="00F35B2C">
        <w:fldChar w:fldCharType="end"/>
      </w:r>
      <w:bookmarkEnd w:id="506"/>
      <w:r>
        <w:t xml:space="preserve">: </w:t>
      </w:r>
      <w:r w:rsidRPr="002875B6">
        <w:t>Kључни аутпути модела по категоријама</w:t>
      </w:r>
      <w:bookmarkEnd w:id="507"/>
    </w:p>
    <w:p w14:paraId="79D5C075" w14:textId="77777777" w:rsidR="003F57EB" w:rsidRPr="00565B02" w:rsidRDefault="003F57EB" w:rsidP="003F57EB">
      <w:pPr>
        <w:spacing w:after="120" w:line="240" w:lineRule="auto"/>
        <w:jc w:val="center"/>
        <w:rPr>
          <w:rFonts w:ascii="Calibri Light" w:eastAsia="Times New Roman" w:hAnsi="Calibri Light" w:cs="Calibri Light"/>
          <w:szCs w:val="20"/>
          <w:highlight w:val="yellow"/>
          <w:lang w:eastAsia="el-GR"/>
        </w:rPr>
      </w:pPr>
      <w:r w:rsidRPr="00565B02">
        <w:rPr>
          <w:rFonts w:ascii="Calibri Light" w:eastAsia="Times New Roman" w:hAnsi="Calibri Light" w:cs="Calibri Light"/>
          <w:noProof/>
          <w:szCs w:val="20"/>
        </w:rPr>
        <w:drawing>
          <wp:inline distT="0" distB="0" distL="0" distR="0" wp14:anchorId="40403998" wp14:editId="7AEE5E72">
            <wp:extent cx="4625975" cy="4266927"/>
            <wp:effectExtent l="0" t="0" r="3175" b="635"/>
            <wp:docPr id="1201456043" name="Picture 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456043" name="Picture 3" descr="A screenshot of a computer screen&#10;&#10;Description automatically generated"/>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630250" cy="4270870"/>
                    </a:xfrm>
                    <a:prstGeom prst="rect">
                      <a:avLst/>
                    </a:prstGeom>
                    <a:noFill/>
                  </pic:spPr>
                </pic:pic>
              </a:graphicData>
            </a:graphic>
          </wp:inline>
        </w:drawing>
      </w:r>
    </w:p>
    <w:p w14:paraId="328AB5F4" w14:textId="77777777" w:rsidR="003F57EB" w:rsidRPr="00565B02" w:rsidRDefault="003F57EB" w:rsidP="00565B02">
      <w:pPr>
        <w:spacing w:before="200" w:after="200" w:line="240" w:lineRule="auto"/>
        <w:jc w:val="both"/>
        <w:rPr>
          <w:rFonts w:ascii="Calibri Light" w:eastAsia="Times New Roman" w:hAnsi="Calibri Light" w:cs="Calibri Light"/>
          <w:szCs w:val="24"/>
          <w:lang w:eastAsia=""/>
        </w:rPr>
      </w:pPr>
      <w:r w:rsidRPr="00565B02">
        <w:rPr>
          <w:rFonts w:ascii="Calibri Light" w:eastAsia="Times New Roman" w:hAnsi="Calibri Light" w:cs="Calibri Light"/>
          <w:szCs w:val="24"/>
          <w:lang w:eastAsia=""/>
        </w:rPr>
        <w:t xml:space="preserve">Осим индикатора </w:t>
      </w:r>
      <w:r w:rsidRPr="00433B0E">
        <w:rPr>
          <w:rFonts w:ascii="Calibri Light" w:eastAsia="Times New Roman" w:hAnsi="Calibri Light" w:cs="Calibri Light"/>
          <w:szCs w:val="24"/>
          <w:lang w:eastAsia=""/>
        </w:rPr>
        <w:t xml:space="preserve">који су претходно наведени </w:t>
      </w:r>
      <w:r w:rsidRPr="00565B02">
        <w:rPr>
          <w:rFonts w:ascii="Calibri Light" w:eastAsia="Times New Roman" w:hAnsi="Calibri Light" w:cs="Calibri Light"/>
          <w:szCs w:val="24"/>
          <w:lang w:eastAsia=""/>
        </w:rPr>
        <w:t>могуће је проценити додатне изведене индикаторе, узимајући комбинацију варијабли приказаних моделом. На пример, може се проценити интензитет угљеника финалне потрошње по роби или удео прихода од угљеника у укупним пореским приходима (или приходима владе), итд. Пошто је у већини случајева релевантно да се измери утицај политика у односу на основни сценарио (а не на апсолутним нивоима), а у случају већине варијабли наведених на слици 5.1 релевантно је да се примени исти приступ. На пример, у случају утицаја политике одређивања цене угљеника на произвођаче, неко би могао да буде заинтересован за промене обима производње и секторске додате вредности у односу на основни сценарио, а не за апсолутне вредности ових варијабли.</w:t>
      </w:r>
    </w:p>
    <w:p w14:paraId="72358C6A" w14:textId="77777777" w:rsidR="003F57EB" w:rsidRPr="00565B02" w:rsidRDefault="003F57EB" w:rsidP="003F57EB">
      <w:pPr>
        <w:spacing w:after="0" w:line="240" w:lineRule="auto"/>
        <w:jc w:val="both"/>
        <w:rPr>
          <w:rFonts w:ascii="Calibri Light" w:eastAsia="Times New Roman" w:hAnsi="Calibri Light" w:cs="Calibri Light"/>
          <w:szCs w:val="24"/>
          <w:lang w:eastAsia=""/>
        </w:rPr>
      </w:pPr>
      <w:r w:rsidRPr="00565B02">
        <w:rPr>
          <w:rFonts w:ascii="Calibri Light" w:eastAsia="Times New Roman" w:hAnsi="Calibri Light" w:cs="Calibri Light"/>
          <w:szCs w:val="24"/>
          <w:lang w:eastAsia=""/>
        </w:rPr>
        <w:t>Више детаља о имплементацији макроекономског модела дато је у „Извештају о развијеном, инсталираном и тестираном алату за макроекономску анализу“, пројекта Даљи развој капацитета енергетског планирања, EuropeAid/135625/IH/SER/RS, Уговор бр: 48-00-00140/2019-28.</w:t>
      </w:r>
    </w:p>
    <w:p w14:paraId="65AA8885" w14:textId="77777777" w:rsidR="003F57EB" w:rsidRPr="00565B02" w:rsidRDefault="003F57EB" w:rsidP="003F57EB">
      <w:pPr>
        <w:keepNext/>
        <w:keepLines/>
        <w:numPr>
          <w:ilvl w:val="0"/>
          <w:numId w:val="320"/>
        </w:numPr>
        <w:spacing w:before="200" w:after="0" w:line="240" w:lineRule="auto"/>
        <w:outlineLvl w:val="3"/>
        <w:rPr>
          <w:rFonts w:asciiTheme="majorHAnsi" w:eastAsiaTheme="majorEastAsia" w:hAnsiTheme="majorHAnsi" w:cstheme="majorBidi"/>
          <w:iCs/>
          <w:color w:val="01406B"/>
          <w:szCs w:val="24"/>
        </w:rPr>
      </w:pPr>
      <w:r w:rsidRPr="00433B0E">
        <w:rPr>
          <w:rFonts w:asciiTheme="majorHAnsi" w:eastAsiaTheme="majorEastAsia" w:hAnsiTheme="majorHAnsi" w:cstheme="majorBidi"/>
          <w:b/>
          <w:bCs/>
          <w:iCs/>
          <w:color w:val="01406B"/>
          <w:szCs w:val="24"/>
        </w:rPr>
        <w:t>Алат за анализу високог удела ОИЕ у електроенергетском систему</w:t>
      </w:r>
    </w:p>
    <w:p w14:paraId="5A4452D9" w14:textId="629B7AB8" w:rsidR="003F57EB" w:rsidRPr="00433B0E" w:rsidRDefault="003F57EB" w:rsidP="00565B02">
      <w:pPr>
        <w:widowControl w:val="0"/>
        <w:spacing w:before="120" w:after="120" w:line="240" w:lineRule="auto"/>
        <w:jc w:val="both"/>
        <w:rPr>
          <w:rFonts w:ascii="Calibri Light" w:eastAsia="Times New Roman" w:hAnsi="Calibri Light" w:cs="Calibri Light"/>
          <w:szCs w:val="20"/>
          <w:lang w:eastAsia="el-GR"/>
        </w:rPr>
      </w:pPr>
      <w:r w:rsidRPr="00565B02">
        <w:rPr>
          <w:rFonts w:ascii="Calibri Light" w:eastAsia="Times New Roman" w:hAnsi="Calibri Light" w:cs="Calibri Light"/>
          <w:szCs w:val="20"/>
          <w:lang w:eastAsia="el-GR"/>
        </w:rPr>
        <w:t xml:space="preserve">Алат за ОИЕ је </w:t>
      </w:r>
      <w:r w:rsidRPr="00433B0E">
        <w:rPr>
          <w:rFonts w:ascii="Calibri Light" w:eastAsia="Times New Roman" w:hAnsi="Calibri Light" w:cs="Calibri Light"/>
          <w:szCs w:val="20"/>
          <w:lang w:eastAsia="el-GR"/>
        </w:rPr>
        <w:t xml:space="preserve">израђен коришћењем симулатора </w:t>
      </w:r>
      <w:r w:rsidRPr="00565B02">
        <w:rPr>
          <w:rFonts w:ascii="Calibri Light" w:eastAsia="Times New Roman" w:hAnsi="Calibri Light" w:cs="Calibri Light"/>
          <w:i/>
          <w:iCs/>
          <w:szCs w:val="20"/>
          <w:lang w:eastAsia="el-GR"/>
        </w:rPr>
        <w:t>ANTARES</w:t>
      </w:r>
      <w:r w:rsidRPr="00565B02">
        <w:rPr>
          <w:rFonts w:ascii="Calibri Light" w:eastAsia="Times New Roman" w:hAnsi="Calibri Light" w:cs="Calibri Light"/>
          <w:szCs w:val="20"/>
          <w:lang w:eastAsia="el-GR"/>
        </w:rPr>
        <w:t xml:space="preserve"> </w:t>
      </w:r>
      <w:r w:rsidRPr="00433B0E">
        <w:rPr>
          <w:rFonts w:ascii="Calibri Light" w:eastAsia="Times New Roman" w:hAnsi="Calibri Light" w:cs="Calibri Light"/>
          <w:szCs w:val="20"/>
          <w:lang w:eastAsia="el-GR"/>
        </w:rPr>
        <w:t>и обухвата детаљан приказ електроенергетског система Србије, као и адекватни приказа регионално електроенергетског система Југоисточне Европе. Алат ОИЕ је дизајниран да симулира електроенергетски систем на сатном нивоу, у изабраним годинама (нпр. 2030, 2040.), користећи све додатне улазне податке који су потребни за ову симулацију а који укључују, између осталог, техничке и економске карактеристике погона за производњу електричне енергије и друге ресурсе за флексибилност, као што су системи за складиштење и интерконекције са суседним системима.</w:t>
      </w:r>
    </w:p>
    <w:p w14:paraId="0A2B2454" w14:textId="77777777" w:rsidR="003F57EB" w:rsidRPr="00433B0E" w:rsidRDefault="003F57EB" w:rsidP="003F57EB">
      <w:pPr>
        <w:widowControl w:val="0"/>
        <w:spacing w:after="120" w:line="240" w:lineRule="auto"/>
        <w:jc w:val="both"/>
        <w:rPr>
          <w:rFonts w:ascii="Calibri Light" w:eastAsia="Times New Roman" w:hAnsi="Calibri Light" w:cs="Calibri Light"/>
          <w:szCs w:val="20"/>
          <w:lang w:eastAsia="el-GR"/>
        </w:rPr>
      </w:pPr>
      <w:r w:rsidRPr="00433B0E">
        <w:rPr>
          <w:rFonts w:ascii="Calibri Light" w:eastAsia="Times New Roman" w:hAnsi="Calibri Light" w:cs="Calibri Light"/>
          <w:szCs w:val="20"/>
          <w:lang w:eastAsia="el-GR"/>
        </w:rPr>
        <w:t xml:space="preserve">Детаљна симулација електроенергетског система у алату за ОИЕ пружиће увид у адекватност производње, детаље о раду постројења за отпремање и складиштење, као и ниво ограничења </w:t>
      </w:r>
      <w:r w:rsidRPr="00433B0E">
        <w:rPr>
          <w:rFonts w:ascii="Calibri Light" w:eastAsia="Times New Roman" w:hAnsi="Calibri Light" w:cs="Calibri Light"/>
          <w:szCs w:val="20"/>
          <w:lang w:eastAsia="el-GR"/>
        </w:rPr>
        <w:lastRenderedPageBreak/>
        <w:t>производње из ОИЕ који се очекује. Ово ће пружити улазне информације за СЕМС у виду профила нове производње из ОИЕ, укључујући ограничење и друге информације о неопходности постојања опција за флексибилност потребних за правилан рад електроенергетског система.</w:t>
      </w:r>
    </w:p>
    <w:p w14:paraId="341D67A8" w14:textId="77777777" w:rsidR="003F57EB" w:rsidRPr="00565B02" w:rsidRDefault="003F57EB" w:rsidP="003F57EB">
      <w:pPr>
        <w:widowControl w:val="0"/>
        <w:spacing w:after="120" w:line="240" w:lineRule="auto"/>
        <w:jc w:val="both"/>
        <w:rPr>
          <w:rFonts w:ascii="Calibri Light" w:eastAsia="Times New Roman" w:hAnsi="Calibri Light" w:cs="Calibri Light"/>
          <w:szCs w:val="20"/>
          <w:lang w:eastAsia=""/>
        </w:rPr>
      </w:pPr>
      <w:r w:rsidRPr="00565B02">
        <w:rPr>
          <w:rFonts w:ascii="Calibri Light" w:eastAsia="Times New Roman" w:hAnsi="Calibri Light" w:cs="Calibri Light"/>
          <w:szCs w:val="20"/>
          <w:lang w:eastAsia=""/>
        </w:rPr>
        <w:t>На основу постигнутих резултата, Алат ОИЕ ће обезбедити следеће врсте закључака:</w:t>
      </w:r>
    </w:p>
    <w:p w14:paraId="671E7A43" w14:textId="77777777" w:rsidR="003F57EB" w:rsidRPr="00565B02" w:rsidRDefault="003F57EB" w:rsidP="003F57EB">
      <w:pPr>
        <w:widowControl w:val="0"/>
        <w:numPr>
          <w:ilvl w:val="0"/>
          <w:numId w:val="322"/>
        </w:numPr>
        <w:spacing w:after="0" w:line="276" w:lineRule="auto"/>
        <w:contextualSpacing/>
        <w:jc w:val="both"/>
        <w:rPr>
          <w:rFonts w:ascii="Calibri Light" w:eastAsia="Times New Roman" w:hAnsi="Calibri Light" w:cs="Calibri Light"/>
          <w:lang w:eastAsia=""/>
        </w:rPr>
      </w:pPr>
      <w:r w:rsidRPr="00565B02">
        <w:rPr>
          <w:rFonts w:ascii="Calibri Light" w:eastAsia="Times New Roman" w:hAnsi="Calibri Light" w:cs="Calibri Light"/>
          <w:lang w:eastAsia=""/>
        </w:rPr>
        <w:t>Адекватност високе интеграције ОИЕ у електроенергетск</w:t>
      </w:r>
      <w:r w:rsidRPr="00433B0E">
        <w:rPr>
          <w:rFonts w:ascii="Calibri Light" w:eastAsia="Times New Roman" w:hAnsi="Calibri Light" w:cs="Calibri Light"/>
          <w:lang w:eastAsia=""/>
        </w:rPr>
        <w:t>ом</w:t>
      </w:r>
      <w:r w:rsidRPr="00565B02">
        <w:rPr>
          <w:rFonts w:ascii="Calibri Light" w:eastAsia="Times New Roman" w:hAnsi="Calibri Light" w:cs="Calibri Light"/>
          <w:lang w:eastAsia=""/>
        </w:rPr>
        <w:t xml:space="preserve"> систем</w:t>
      </w:r>
      <w:r w:rsidRPr="00433B0E">
        <w:rPr>
          <w:rFonts w:ascii="Calibri Light" w:eastAsia="Times New Roman" w:hAnsi="Calibri Light" w:cs="Calibri Light"/>
          <w:lang w:eastAsia=""/>
        </w:rPr>
        <w:t>у</w:t>
      </w:r>
      <w:r w:rsidRPr="00565B02">
        <w:rPr>
          <w:rFonts w:ascii="Calibri Light" w:eastAsia="Times New Roman" w:hAnsi="Calibri Light" w:cs="Calibri Light"/>
          <w:lang w:eastAsia=""/>
        </w:rPr>
        <w:t xml:space="preserve"> у очекиваном миксу капацитета</w:t>
      </w:r>
    </w:p>
    <w:p w14:paraId="17453B34" w14:textId="77777777" w:rsidR="003F57EB" w:rsidRPr="00565B02" w:rsidRDefault="003F57EB" w:rsidP="003F57EB">
      <w:pPr>
        <w:widowControl w:val="0"/>
        <w:numPr>
          <w:ilvl w:val="0"/>
          <w:numId w:val="322"/>
        </w:numPr>
        <w:spacing w:after="0" w:line="276" w:lineRule="auto"/>
        <w:contextualSpacing/>
        <w:jc w:val="both"/>
        <w:rPr>
          <w:rFonts w:ascii="Calibri Light" w:eastAsia="Times New Roman" w:hAnsi="Calibri Light" w:cs="Calibri Light"/>
          <w:lang w:eastAsia=""/>
        </w:rPr>
      </w:pPr>
      <w:r w:rsidRPr="00565B02">
        <w:rPr>
          <w:rFonts w:ascii="Calibri Light" w:eastAsia="Times New Roman" w:hAnsi="Calibri Light" w:cs="Calibri Light"/>
          <w:lang w:eastAsia=""/>
        </w:rPr>
        <w:t>Економск</w:t>
      </w:r>
      <w:r w:rsidRPr="00433B0E">
        <w:rPr>
          <w:rFonts w:ascii="Calibri Light" w:eastAsia="Times New Roman" w:hAnsi="Calibri Light" w:cs="Calibri Light"/>
          <w:lang w:eastAsia=""/>
        </w:rPr>
        <w:t>у</w:t>
      </w:r>
      <w:r w:rsidRPr="00565B02">
        <w:rPr>
          <w:rFonts w:ascii="Calibri Light" w:eastAsia="Times New Roman" w:hAnsi="Calibri Light" w:cs="Calibri Light"/>
          <w:lang w:eastAsia=""/>
        </w:rPr>
        <w:t xml:space="preserve"> ефикасност </w:t>
      </w:r>
      <w:r w:rsidRPr="00433B0E">
        <w:rPr>
          <w:rFonts w:ascii="Calibri Light" w:eastAsia="Times New Roman" w:hAnsi="Calibri Light" w:cs="Calibri Light"/>
          <w:lang w:eastAsia=""/>
        </w:rPr>
        <w:t xml:space="preserve">одређеног </w:t>
      </w:r>
      <w:r w:rsidRPr="00565B02">
        <w:rPr>
          <w:rFonts w:ascii="Calibri Light" w:eastAsia="Times New Roman" w:hAnsi="Calibri Light" w:cs="Calibri Light"/>
          <w:lang w:eastAsia=""/>
        </w:rPr>
        <w:t>сценарија за електроенергетски систем Србије</w:t>
      </w:r>
    </w:p>
    <w:p w14:paraId="55FCEBB8" w14:textId="77777777" w:rsidR="003F57EB" w:rsidRPr="00565B02" w:rsidRDefault="003F57EB" w:rsidP="003F57EB">
      <w:pPr>
        <w:widowControl w:val="0"/>
        <w:numPr>
          <w:ilvl w:val="0"/>
          <w:numId w:val="322"/>
        </w:numPr>
        <w:spacing w:after="0" w:line="276" w:lineRule="auto"/>
        <w:contextualSpacing/>
        <w:jc w:val="both"/>
        <w:rPr>
          <w:rFonts w:ascii="Calibri Light" w:eastAsia="Times New Roman" w:hAnsi="Calibri Light" w:cs="Calibri Light"/>
          <w:lang w:eastAsia=""/>
        </w:rPr>
      </w:pPr>
      <w:r w:rsidRPr="00565B02">
        <w:rPr>
          <w:rFonts w:ascii="Calibri Light" w:eastAsia="Times New Roman" w:hAnsi="Calibri Light" w:cs="Calibri Light"/>
          <w:lang w:eastAsia=""/>
        </w:rPr>
        <w:t>Флексибилност електроенергетског система захтева сатну варијабилности ОИЕ за постизање циљева удела ОИЕ</w:t>
      </w:r>
    </w:p>
    <w:p w14:paraId="62EBC3AA" w14:textId="77777777" w:rsidR="003F57EB" w:rsidRPr="00565B02" w:rsidRDefault="003F57EB" w:rsidP="003F57EB">
      <w:pPr>
        <w:widowControl w:val="0"/>
        <w:numPr>
          <w:ilvl w:val="0"/>
          <w:numId w:val="322"/>
        </w:numPr>
        <w:spacing w:after="0" w:line="276" w:lineRule="auto"/>
        <w:contextualSpacing/>
        <w:jc w:val="both"/>
        <w:rPr>
          <w:rFonts w:ascii="Calibri Light" w:eastAsia="Times New Roman" w:hAnsi="Calibri Light" w:cs="Calibri Light"/>
          <w:lang w:eastAsia=""/>
        </w:rPr>
      </w:pPr>
      <w:r w:rsidRPr="00565B02">
        <w:rPr>
          <w:rFonts w:ascii="Calibri Light" w:eastAsia="Times New Roman" w:hAnsi="Calibri Light" w:cs="Calibri Light"/>
          <w:lang w:eastAsia=""/>
        </w:rPr>
        <w:t>Ниво емисије CO</w:t>
      </w:r>
      <w:r w:rsidRPr="00433B0E">
        <w:rPr>
          <w:rFonts w:ascii="Calibri Light" w:eastAsia="Times New Roman" w:hAnsi="Calibri Light" w:cs="Calibri Light"/>
          <w:vertAlign w:val="subscript"/>
          <w:lang w:eastAsia=""/>
        </w:rPr>
        <w:t>2</w:t>
      </w:r>
      <w:r w:rsidRPr="00565B02">
        <w:rPr>
          <w:rFonts w:ascii="Calibri Light" w:eastAsia="Times New Roman" w:hAnsi="Calibri Light" w:cs="Calibri Light"/>
          <w:lang w:eastAsia=""/>
        </w:rPr>
        <w:t xml:space="preserve"> у складу са одређеним сценаријом</w:t>
      </w:r>
    </w:p>
    <w:p w14:paraId="617A69F9" w14:textId="60F9DFFF" w:rsidR="003F57EB" w:rsidRPr="00565B02" w:rsidRDefault="003F57EB" w:rsidP="00565B02">
      <w:pPr>
        <w:widowControl w:val="0"/>
        <w:spacing w:before="120" w:after="120" w:line="240" w:lineRule="auto"/>
        <w:jc w:val="both"/>
        <w:rPr>
          <w:rFonts w:ascii="Calibri Light" w:eastAsia="Times New Roman" w:hAnsi="Calibri Light" w:cs="Calibri Light"/>
          <w:szCs w:val="20"/>
          <w:lang w:eastAsia=""/>
        </w:rPr>
      </w:pPr>
      <w:r w:rsidRPr="00565B02">
        <w:rPr>
          <w:rFonts w:ascii="Calibri Light" w:eastAsia="Times New Roman" w:hAnsi="Calibri Light" w:cs="Calibri Light"/>
          <w:szCs w:val="20"/>
          <w:lang w:eastAsia=""/>
        </w:rPr>
        <w:t>Предложени тржишни алат за в</w:t>
      </w:r>
      <w:r w:rsidRPr="00433B0E">
        <w:rPr>
          <w:rFonts w:ascii="Calibri Light" w:eastAsia="Times New Roman" w:hAnsi="Calibri Light" w:cs="Calibri Light"/>
          <w:szCs w:val="20"/>
          <w:lang w:eastAsia=""/>
        </w:rPr>
        <w:t>исоки удео</w:t>
      </w:r>
      <w:r w:rsidRPr="00565B02">
        <w:rPr>
          <w:rFonts w:ascii="Calibri Light" w:eastAsia="Times New Roman" w:hAnsi="Calibri Light" w:cs="Calibri Light"/>
          <w:szCs w:val="20"/>
          <w:lang w:eastAsia=""/>
        </w:rPr>
        <w:t xml:space="preserve"> ОИЕ </w:t>
      </w:r>
      <w:r w:rsidRPr="00433B0E">
        <w:rPr>
          <w:rFonts w:ascii="Calibri Light" w:eastAsia="Times New Roman" w:hAnsi="Calibri Light" w:cs="Calibri Light"/>
          <w:szCs w:val="20"/>
          <w:lang w:eastAsia=""/>
        </w:rPr>
        <w:t>је</w:t>
      </w:r>
      <w:r w:rsidRPr="00565B02">
        <w:rPr>
          <w:rFonts w:ascii="Calibri Light" w:eastAsia="Times New Roman" w:hAnsi="Calibri Light" w:cs="Calibri Light"/>
          <w:szCs w:val="20"/>
          <w:lang w:eastAsia=""/>
        </w:rPr>
        <w:t xml:space="preserve"> развијен помоћу симулатора </w:t>
      </w:r>
      <w:r w:rsidRPr="00565B02">
        <w:rPr>
          <w:rFonts w:ascii="Calibri Light" w:eastAsia="Times New Roman" w:hAnsi="Calibri Light" w:cs="Calibri Light"/>
          <w:i/>
          <w:szCs w:val="20"/>
          <w:lang w:eastAsia=""/>
        </w:rPr>
        <w:t>ANTARES</w:t>
      </w:r>
      <w:r w:rsidRPr="00565B02">
        <w:rPr>
          <w:rFonts w:ascii="Calibri Light" w:eastAsia="Times New Roman" w:hAnsi="Calibri Light" w:cs="Calibri Light"/>
          <w:szCs w:val="20"/>
          <w:lang w:eastAsia=""/>
        </w:rPr>
        <w:t xml:space="preserve"> и </w:t>
      </w:r>
      <w:r w:rsidRPr="00433B0E">
        <w:rPr>
          <w:rFonts w:ascii="Calibri Light" w:eastAsia="Times New Roman" w:hAnsi="Calibri Light" w:cs="Calibri Light"/>
          <w:szCs w:val="20"/>
          <w:lang w:eastAsia=""/>
        </w:rPr>
        <w:t>обухвата</w:t>
      </w:r>
      <w:r w:rsidRPr="00565B02">
        <w:rPr>
          <w:rFonts w:ascii="Calibri Light" w:eastAsia="Times New Roman" w:hAnsi="Calibri Light" w:cs="Calibri Light"/>
          <w:szCs w:val="20"/>
          <w:lang w:eastAsia=""/>
        </w:rPr>
        <w:t xml:space="preserve"> детаљан приказ електроенергетског система Србије и одговарајући приказ регионалног електроенергетског система, </w:t>
      </w:r>
      <w:r w:rsidRPr="00433B0E">
        <w:rPr>
          <w:rFonts w:ascii="Calibri Light" w:eastAsia="Times New Roman" w:hAnsi="Calibri Light" w:cs="Calibri Light"/>
          <w:szCs w:val="20"/>
          <w:lang w:eastAsia=""/>
        </w:rPr>
        <w:t>с обзиром на то да</w:t>
      </w:r>
      <w:r w:rsidRPr="00565B02">
        <w:rPr>
          <w:rFonts w:ascii="Calibri Light" w:eastAsia="Times New Roman" w:hAnsi="Calibri Light" w:cs="Calibri Light"/>
          <w:szCs w:val="20"/>
          <w:lang w:eastAsia=""/>
        </w:rPr>
        <w:t xml:space="preserve"> је електроенергетски систем Србије веома добро повезан са суседним земљама.</w:t>
      </w:r>
      <w:r w:rsidR="00F16D91">
        <w:rPr>
          <w:rFonts w:ascii="Calibri Light" w:eastAsia="Times New Roman" w:hAnsi="Calibri Light" w:cs="Calibri Light"/>
          <w:szCs w:val="20"/>
          <w:lang w:eastAsia=""/>
        </w:rPr>
        <w:t xml:space="preserve"> </w:t>
      </w:r>
      <w:r w:rsidR="00183A2D">
        <w:rPr>
          <w:rFonts w:ascii="Calibri Light" w:eastAsia="Times New Roman" w:hAnsi="Calibri Light" w:cs="Calibri Light"/>
          <w:szCs w:val="20"/>
          <w:lang w:eastAsia=""/>
        </w:rPr>
        <w:fldChar w:fldCharType="begin"/>
      </w:r>
      <w:r w:rsidR="00183A2D">
        <w:rPr>
          <w:rFonts w:ascii="Calibri Light" w:eastAsia="Times New Roman" w:hAnsi="Calibri Light" w:cs="Calibri Light"/>
          <w:szCs w:val="20"/>
          <w:lang w:eastAsia=""/>
        </w:rPr>
        <w:instrText xml:space="preserve"> REF _Ref153900138 \h  \* MERGEFORMAT </w:instrText>
      </w:r>
      <w:r w:rsidR="00183A2D">
        <w:rPr>
          <w:rFonts w:ascii="Calibri Light" w:eastAsia="Times New Roman" w:hAnsi="Calibri Light" w:cs="Calibri Light"/>
          <w:szCs w:val="20"/>
          <w:lang w:eastAsia=""/>
        </w:rPr>
      </w:r>
      <w:r w:rsidR="00183A2D">
        <w:rPr>
          <w:rFonts w:ascii="Calibri Light" w:eastAsia="Times New Roman" w:hAnsi="Calibri Light" w:cs="Calibri Light"/>
          <w:szCs w:val="20"/>
          <w:lang w:eastAsia=""/>
        </w:rPr>
        <w:fldChar w:fldCharType="separate"/>
      </w:r>
      <w:r w:rsidR="00183A2D" w:rsidRPr="00565B02">
        <w:rPr>
          <w:rFonts w:ascii="Calibri Light" w:eastAsia="Times New Roman" w:hAnsi="Calibri Light" w:cs="Calibri Light"/>
          <w:szCs w:val="20"/>
          <w:lang w:eastAsia=""/>
        </w:rPr>
        <w:t>Слика III.4</w:t>
      </w:r>
      <w:r w:rsidR="00183A2D">
        <w:rPr>
          <w:rFonts w:ascii="Calibri Light" w:eastAsia="Times New Roman" w:hAnsi="Calibri Light" w:cs="Calibri Light"/>
          <w:szCs w:val="20"/>
          <w:lang w:eastAsia=""/>
        </w:rPr>
        <w:fldChar w:fldCharType="end"/>
      </w:r>
      <w:r w:rsidR="00183A2D">
        <w:rPr>
          <w:rFonts w:ascii="Calibri Light" w:eastAsia="Times New Roman" w:hAnsi="Calibri Light" w:cs="Calibri Light"/>
          <w:szCs w:val="20"/>
          <w:lang w:eastAsia=""/>
        </w:rPr>
        <w:t xml:space="preserve"> </w:t>
      </w:r>
      <w:r w:rsidRPr="00565B02">
        <w:rPr>
          <w:rFonts w:ascii="Calibri Light" w:eastAsia="Times New Roman" w:hAnsi="Calibri Light" w:cs="Calibri Light"/>
          <w:szCs w:val="20"/>
          <w:lang w:eastAsia=""/>
        </w:rPr>
        <w:t>приказује предложено проширење овог региона, који обухвата остатак Западног Балкана (Хрватска, Босна и Херцеговина, Црна Гора, Албанија и Северна Македонија), као и Мађарску, Словенију, Грчку, Бугарску и Румунију. У алату за ОИЕ, систем</w:t>
      </w:r>
      <w:r w:rsidRPr="00433B0E">
        <w:rPr>
          <w:rFonts w:ascii="Calibri Light" w:eastAsia="Times New Roman" w:hAnsi="Calibri Light" w:cs="Calibri Light"/>
          <w:szCs w:val="20"/>
          <w:lang w:eastAsia=""/>
        </w:rPr>
        <w:t xml:space="preserve"> у Србији</w:t>
      </w:r>
      <w:r w:rsidRPr="00565B02">
        <w:rPr>
          <w:rFonts w:ascii="Calibri Light" w:eastAsia="Times New Roman" w:hAnsi="Calibri Light" w:cs="Calibri Light"/>
          <w:szCs w:val="20"/>
          <w:lang w:eastAsia=""/>
        </w:rPr>
        <w:t xml:space="preserve"> </w:t>
      </w:r>
      <w:r w:rsidRPr="00433B0E">
        <w:rPr>
          <w:rFonts w:ascii="Calibri Light" w:eastAsia="Times New Roman" w:hAnsi="Calibri Light" w:cs="Calibri Light"/>
          <w:szCs w:val="20"/>
          <w:lang w:eastAsia=""/>
        </w:rPr>
        <w:t>је приказан кроз две области</w:t>
      </w:r>
      <w:r w:rsidRPr="00565B02">
        <w:rPr>
          <w:rFonts w:ascii="Calibri Light" w:eastAsia="Times New Roman" w:hAnsi="Calibri Light" w:cs="Calibri Light"/>
          <w:szCs w:val="20"/>
          <w:lang w:eastAsia=""/>
        </w:rPr>
        <w:t>, једн</w:t>
      </w:r>
      <w:r w:rsidRPr="00433B0E">
        <w:rPr>
          <w:rFonts w:ascii="Calibri Light" w:eastAsia="Times New Roman" w:hAnsi="Calibri Light" w:cs="Calibri Light"/>
          <w:szCs w:val="20"/>
          <w:lang w:eastAsia=""/>
        </w:rPr>
        <w:t>у</w:t>
      </w:r>
      <w:r w:rsidRPr="00565B02">
        <w:rPr>
          <w:rFonts w:ascii="Calibri Light" w:eastAsia="Times New Roman" w:hAnsi="Calibri Light" w:cs="Calibri Light"/>
          <w:szCs w:val="20"/>
          <w:lang w:eastAsia=""/>
        </w:rPr>
        <w:t xml:space="preserve"> за систем моделиран у СЕМС-у (</w:t>
      </w:r>
      <w:r w:rsidRPr="00565B02">
        <w:rPr>
          <w:rFonts w:ascii="Calibri Light" w:eastAsia="Times New Roman" w:hAnsi="Calibri Light" w:cs="Calibri Light"/>
          <w:i/>
          <w:szCs w:val="20"/>
          <w:lang w:eastAsia=""/>
        </w:rPr>
        <w:t>RS01</w:t>
      </w:r>
      <w:r w:rsidRPr="00565B02">
        <w:rPr>
          <w:rFonts w:ascii="Calibri Light" w:eastAsia="Times New Roman" w:hAnsi="Calibri Light" w:cs="Calibri Light"/>
          <w:szCs w:val="20"/>
          <w:lang w:eastAsia=""/>
        </w:rPr>
        <w:t>), а друг</w:t>
      </w:r>
      <w:r w:rsidRPr="00433B0E">
        <w:rPr>
          <w:rFonts w:ascii="Calibri Light" w:eastAsia="Times New Roman" w:hAnsi="Calibri Light" w:cs="Calibri Light"/>
          <w:szCs w:val="20"/>
          <w:lang w:eastAsia=""/>
        </w:rPr>
        <w:t>у</w:t>
      </w:r>
      <w:r w:rsidRPr="00565B02">
        <w:rPr>
          <w:rFonts w:ascii="Calibri Light" w:eastAsia="Times New Roman" w:hAnsi="Calibri Light" w:cs="Calibri Light"/>
          <w:szCs w:val="20"/>
          <w:lang w:eastAsia=""/>
        </w:rPr>
        <w:t xml:space="preserve"> за Аутономну покрајину Косово и Метохију (</w:t>
      </w:r>
      <w:r w:rsidRPr="00565B02">
        <w:rPr>
          <w:rFonts w:ascii="Calibri Light" w:eastAsia="Times New Roman" w:hAnsi="Calibri Light" w:cs="Calibri Light"/>
          <w:i/>
          <w:szCs w:val="20"/>
          <w:lang w:eastAsia=""/>
        </w:rPr>
        <w:t>RS02</w:t>
      </w:r>
      <w:r w:rsidRPr="00565B02">
        <w:rPr>
          <w:rFonts w:ascii="Calibri Light" w:eastAsia="Times New Roman" w:hAnsi="Calibri Light" w:cs="Calibri Light"/>
          <w:szCs w:val="20"/>
          <w:lang w:eastAsia=""/>
        </w:rPr>
        <w:t>). Према стандардном приступу моделирања, претпоставља се да нема ограничења преноса унутар сваке области (приступ „бакарне плоче“), јер сваки ОПС развија преносни систем у складу са тим. Стога је свак</w:t>
      </w:r>
      <w:r w:rsidRPr="00433B0E">
        <w:rPr>
          <w:rFonts w:ascii="Calibri Light" w:eastAsia="Times New Roman" w:hAnsi="Calibri Light" w:cs="Calibri Light"/>
          <w:szCs w:val="20"/>
          <w:lang w:eastAsia=""/>
        </w:rPr>
        <w:t>а област</w:t>
      </w:r>
      <w:r w:rsidRPr="00565B02">
        <w:rPr>
          <w:rFonts w:ascii="Calibri Light" w:eastAsia="Times New Roman" w:hAnsi="Calibri Light" w:cs="Calibri Light"/>
          <w:szCs w:val="20"/>
          <w:lang w:eastAsia=""/>
        </w:rPr>
        <w:t xml:space="preserve"> моделиран</w:t>
      </w:r>
      <w:r w:rsidRPr="00433B0E">
        <w:rPr>
          <w:rFonts w:ascii="Calibri Light" w:eastAsia="Times New Roman" w:hAnsi="Calibri Light" w:cs="Calibri Light"/>
          <w:szCs w:val="20"/>
          <w:lang w:eastAsia=""/>
        </w:rPr>
        <w:t>а</w:t>
      </w:r>
      <w:r w:rsidRPr="00565B02">
        <w:rPr>
          <w:rFonts w:ascii="Calibri Light" w:eastAsia="Times New Roman" w:hAnsi="Calibri Light" w:cs="Calibri Light"/>
          <w:szCs w:val="20"/>
          <w:lang w:eastAsia=""/>
        </w:rPr>
        <w:t xml:space="preserve"> као један чвор са специфичним профилима производње и потражње, док ће се ограничења преноса рачунати у границама система кроз Нето преносни капацитет између моделираних зона.</w:t>
      </w:r>
    </w:p>
    <w:p w14:paraId="22D1B947" w14:textId="79B03F11" w:rsidR="00183A2D" w:rsidRDefault="00183A2D" w:rsidP="00565B02">
      <w:pPr>
        <w:pStyle w:val="Caption"/>
        <w:keepNext/>
      </w:pPr>
      <w:bookmarkStart w:id="508" w:name="_Ref153900138"/>
      <w:bookmarkStart w:id="509" w:name="_Toc153901466"/>
      <w:r>
        <w:t xml:space="preserve">Слика </w:t>
      </w:r>
      <w:r w:rsidR="00F35B2C">
        <w:fldChar w:fldCharType="begin"/>
      </w:r>
      <w:r w:rsidR="00F35B2C">
        <w:instrText xml:space="preserve"> STYLEREF 1 \s </w:instrText>
      </w:r>
      <w:r w:rsidR="00F35B2C">
        <w:fldChar w:fldCharType="separate"/>
      </w:r>
      <w:r w:rsidR="00F35B2C">
        <w:rPr>
          <w:noProof/>
        </w:rPr>
        <w:t>III</w:t>
      </w:r>
      <w:r w:rsidR="00F35B2C">
        <w:fldChar w:fldCharType="end"/>
      </w:r>
      <w:r w:rsidR="00F35B2C">
        <w:t>.</w:t>
      </w:r>
      <w:r w:rsidR="00F35B2C">
        <w:fldChar w:fldCharType="begin"/>
      </w:r>
      <w:r w:rsidR="00F35B2C">
        <w:instrText xml:space="preserve"> SEQ Слика \* ARABIC \s 1 </w:instrText>
      </w:r>
      <w:r w:rsidR="00F35B2C">
        <w:fldChar w:fldCharType="separate"/>
      </w:r>
      <w:r w:rsidR="00F35B2C">
        <w:rPr>
          <w:noProof/>
        </w:rPr>
        <w:t>4</w:t>
      </w:r>
      <w:r w:rsidR="00F35B2C">
        <w:fldChar w:fldCharType="end"/>
      </w:r>
      <w:bookmarkEnd w:id="508"/>
      <w:r>
        <w:t xml:space="preserve">: </w:t>
      </w:r>
      <w:r w:rsidRPr="00183A2D">
        <w:t>Географска покривеност регионалног модела</w:t>
      </w:r>
      <w:bookmarkEnd w:id="509"/>
    </w:p>
    <w:p w14:paraId="38701307" w14:textId="77777777" w:rsidR="003F57EB" w:rsidRPr="00565B02" w:rsidRDefault="003F57EB" w:rsidP="003F57EB">
      <w:pPr>
        <w:widowControl w:val="0"/>
        <w:spacing w:after="120" w:line="240" w:lineRule="auto"/>
        <w:jc w:val="center"/>
        <w:rPr>
          <w:rFonts w:ascii="Calibri Light" w:eastAsia="Times New Roman" w:hAnsi="Calibri Light" w:cs="Calibri Light"/>
          <w:szCs w:val="20"/>
          <w:lang w:eastAsia="el-GR"/>
        </w:rPr>
      </w:pPr>
      <w:r w:rsidRPr="00565B02">
        <w:rPr>
          <w:rFonts w:ascii="Calibri Light" w:eastAsia="Times New Roman" w:hAnsi="Calibri Light" w:cs="Calibri Light"/>
          <w:noProof/>
          <w:szCs w:val="20"/>
        </w:rPr>
        <w:drawing>
          <wp:inline distT="0" distB="0" distL="0" distR="0" wp14:anchorId="25AA40A3" wp14:editId="0F7E858F">
            <wp:extent cx="2742668" cy="2404316"/>
            <wp:effectExtent l="0" t="0" r="635" b="0"/>
            <wp:docPr id="1881859433" name="Picture 1881859433" descr="A map of countries/regions with blue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map of countries/regions with blue and black lines&#10;&#10;Description automatically generated"/>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748972" cy="2409842"/>
                    </a:xfrm>
                    <a:prstGeom prst="rect">
                      <a:avLst/>
                    </a:prstGeom>
                  </pic:spPr>
                </pic:pic>
              </a:graphicData>
            </a:graphic>
          </wp:inline>
        </w:drawing>
      </w:r>
    </w:p>
    <w:p w14:paraId="3E96CBCF" w14:textId="77777777" w:rsidR="003F57EB" w:rsidRPr="00565B02" w:rsidRDefault="003F57EB" w:rsidP="003F57EB">
      <w:pPr>
        <w:widowControl w:val="0"/>
        <w:spacing w:after="120" w:line="240" w:lineRule="auto"/>
        <w:jc w:val="both"/>
        <w:rPr>
          <w:rFonts w:ascii="Calibri Light" w:eastAsia="Times New Roman" w:hAnsi="Calibri Light" w:cs="Calibri Light"/>
          <w:szCs w:val="20"/>
          <w:lang w:eastAsia=""/>
        </w:rPr>
      </w:pPr>
      <w:r w:rsidRPr="00565B02">
        <w:rPr>
          <w:rFonts w:ascii="Calibri Light" w:eastAsia="Times New Roman" w:hAnsi="Calibri Light" w:cs="Calibri Light"/>
          <w:szCs w:val="20"/>
          <w:lang w:eastAsia=""/>
        </w:rPr>
        <w:t xml:space="preserve">За зоне које ће се моделирати одвојено од Србије, </w:t>
      </w:r>
      <w:r w:rsidRPr="00565B02">
        <w:rPr>
          <w:rFonts w:ascii="Calibri Light" w:eastAsia="Times New Roman" w:hAnsi="Calibri Light" w:cs="Calibri Light"/>
          <w:i/>
          <w:szCs w:val="20"/>
          <w:lang w:eastAsia=""/>
        </w:rPr>
        <w:t>ENTSO-E</w:t>
      </w:r>
      <w:r w:rsidRPr="00565B02">
        <w:rPr>
          <w:rFonts w:ascii="Calibri Light" w:eastAsia="Times New Roman" w:hAnsi="Calibri Light" w:cs="Calibri Light"/>
          <w:szCs w:val="20"/>
          <w:lang w:eastAsia=""/>
        </w:rPr>
        <w:t xml:space="preserve"> </w:t>
      </w:r>
      <w:r w:rsidRPr="00565B02">
        <w:rPr>
          <w:rFonts w:ascii="Calibri Light" w:eastAsia="Times New Roman" w:hAnsi="Calibri Light" w:cs="Calibri Light"/>
          <w:i/>
          <w:szCs w:val="20"/>
          <w:lang w:eastAsia=""/>
        </w:rPr>
        <w:t>MFA</w:t>
      </w:r>
      <w:r w:rsidRPr="00565B02">
        <w:rPr>
          <w:rFonts w:ascii="Calibri Light" w:eastAsia="Times New Roman" w:hAnsi="Calibri Light" w:cs="Calibri Light"/>
          <w:szCs w:val="20"/>
          <w:lang w:eastAsia=""/>
        </w:rPr>
        <w:t xml:space="preserve"> 2020</w:t>
      </w:r>
      <w:r w:rsidRPr="00433B0E">
        <w:rPr>
          <w:rFonts w:ascii="Calibri Light" w:eastAsia="Times New Roman" w:hAnsi="Calibri Light" w:cs="Calibri Light"/>
          <w:szCs w:val="20"/>
          <w:vertAlign w:val="superscript"/>
          <w:lang w:eastAsia=""/>
        </w:rPr>
        <w:t xml:space="preserve"> </w:t>
      </w:r>
      <w:r w:rsidRPr="00565B02">
        <w:rPr>
          <w:rFonts w:ascii="Calibri Light" w:eastAsia="Times New Roman" w:hAnsi="Calibri Light" w:cs="Calibri Light"/>
          <w:szCs w:val="20"/>
          <w:lang w:eastAsia=""/>
        </w:rPr>
        <w:t xml:space="preserve">и </w:t>
      </w:r>
      <w:r w:rsidRPr="00565B02">
        <w:rPr>
          <w:rFonts w:ascii="Calibri Light" w:eastAsia="Times New Roman" w:hAnsi="Calibri Light" w:cs="Calibri Light"/>
          <w:i/>
          <w:szCs w:val="20"/>
          <w:lang w:eastAsia=""/>
        </w:rPr>
        <w:t>TYNDP</w:t>
      </w:r>
      <w:r w:rsidRPr="00565B02">
        <w:rPr>
          <w:rFonts w:ascii="Calibri Light" w:eastAsia="Times New Roman" w:hAnsi="Calibri Light" w:cs="Calibri Light"/>
          <w:szCs w:val="20"/>
          <w:lang w:eastAsia=""/>
        </w:rPr>
        <w:t>2020</w:t>
      </w:r>
      <w:r w:rsidRPr="00433B0E">
        <w:rPr>
          <w:rFonts w:ascii="Calibri Light" w:eastAsia="Times New Roman" w:hAnsi="Calibri Light" w:cs="Calibri Light"/>
          <w:szCs w:val="20"/>
          <w:lang w:eastAsia=""/>
        </w:rPr>
        <w:t xml:space="preserve"> </w:t>
      </w:r>
      <w:r w:rsidRPr="00565B02">
        <w:rPr>
          <w:rFonts w:ascii="Calibri Light" w:eastAsia="Times New Roman" w:hAnsi="Calibri Light" w:cs="Calibri Light"/>
          <w:szCs w:val="20"/>
          <w:lang w:eastAsia=""/>
        </w:rPr>
        <w:t>(кој</w:t>
      </w:r>
      <w:r w:rsidRPr="00433B0E">
        <w:rPr>
          <w:rFonts w:ascii="Calibri Light" w:eastAsia="Times New Roman" w:hAnsi="Calibri Light" w:cs="Calibri Light"/>
          <w:szCs w:val="20"/>
          <w:lang w:eastAsia=""/>
        </w:rPr>
        <w:t>и</w:t>
      </w:r>
      <w:r w:rsidRPr="00565B02">
        <w:rPr>
          <w:rFonts w:ascii="Calibri Light" w:eastAsia="Times New Roman" w:hAnsi="Calibri Light" w:cs="Calibri Light"/>
          <w:szCs w:val="20"/>
          <w:lang w:eastAsia=""/>
        </w:rPr>
        <w:t xml:space="preserve"> користе паневропске моделе) </w:t>
      </w:r>
      <w:r w:rsidRPr="00433B0E">
        <w:rPr>
          <w:rFonts w:ascii="Calibri Light" w:eastAsia="Times New Roman" w:hAnsi="Calibri Light" w:cs="Calibri Light"/>
          <w:szCs w:val="20"/>
          <w:lang w:eastAsia=""/>
        </w:rPr>
        <w:t>су били</w:t>
      </w:r>
      <w:r w:rsidRPr="00565B02">
        <w:rPr>
          <w:rFonts w:ascii="Calibri Light" w:eastAsia="Times New Roman" w:hAnsi="Calibri Light" w:cs="Calibri Light"/>
          <w:szCs w:val="20"/>
          <w:lang w:eastAsia=""/>
        </w:rPr>
        <w:t xml:space="preserve"> главни извори параметара модела. Ови суседни системи ће остати непромењени током анализе сценарија за </w:t>
      </w:r>
      <w:r w:rsidRPr="00433B0E">
        <w:rPr>
          <w:rFonts w:ascii="Calibri Light" w:eastAsia="Times New Roman" w:hAnsi="Calibri Light" w:cs="Calibri Light"/>
          <w:szCs w:val="20"/>
          <w:lang w:eastAsia=""/>
        </w:rPr>
        <w:t>с</w:t>
      </w:r>
      <w:r w:rsidRPr="00565B02">
        <w:rPr>
          <w:rFonts w:ascii="Calibri Light" w:eastAsia="Times New Roman" w:hAnsi="Calibri Light" w:cs="Calibri Light"/>
          <w:szCs w:val="20"/>
          <w:lang w:eastAsia=""/>
        </w:rPr>
        <w:t>истем</w:t>
      </w:r>
      <w:r w:rsidRPr="00433B0E">
        <w:rPr>
          <w:rFonts w:ascii="Calibri Light" w:eastAsia="Times New Roman" w:hAnsi="Calibri Light" w:cs="Calibri Light"/>
          <w:szCs w:val="20"/>
          <w:lang w:eastAsia=""/>
        </w:rPr>
        <w:t xml:space="preserve"> Србије</w:t>
      </w:r>
      <w:r w:rsidRPr="00565B02">
        <w:rPr>
          <w:rFonts w:ascii="Calibri Light" w:eastAsia="Times New Roman" w:hAnsi="Calibri Light" w:cs="Calibri Light"/>
          <w:szCs w:val="20"/>
          <w:lang w:eastAsia=""/>
        </w:rPr>
        <w:t xml:space="preserve">, док ће </w:t>
      </w:r>
      <w:r w:rsidRPr="00433B0E">
        <w:rPr>
          <w:rFonts w:ascii="Calibri Light" w:eastAsia="Times New Roman" w:hAnsi="Calibri Light" w:cs="Calibri Light"/>
          <w:szCs w:val="20"/>
          <w:lang w:eastAsia=""/>
        </w:rPr>
        <w:t>систем за Србију</w:t>
      </w:r>
      <w:r w:rsidRPr="00565B02">
        <w:rPr>
          <w:rFonts w:ascii="Calibri Light" w:eastAsia="Times New Roman" w:hAnsi="Calibri Light" w:cs="Calibri Light"/>
          <w:szCs w:val="20"/>
          <w:lang w:eastAsia=""/>
        </w:rPr>
        <w:t xml:space="preserve"> бити моделиран </w:t>
      </w:r>
      <w:r w:rsidRPr="00433B0E">
        <w:rPr>
          <w:rFonts w:ascii="Calibri Light" w:eastAsia="Times New Roman" w:hAnsi="Calibri Light" w:cs="Calibri Light"/>
          <w:szCs w:val="20"/>
          <w:lang w:eastAsia=""/>
        </w:rPr>
        <w:t>у складу са</w:t>
      </w:r>
      <w:r w:rsidRPr="00565B02">
        <w:rPr>
          <w:rFonts w:ascii="Calibri Light" w:eastAsia="Times New Roman" w:hAnsi="Calibri Light" w:cs="Calibri Light"/>
          <w:szCs w:val="20"/>
          <w:lang w:eastAsia=""/>
        </w:rPr>
        <w:t xml:space="preserve"> свак</w:t>
      </w:r>
      <w:r w:rsidRPr="00433B0E">
        <w:rPr>
          <w:rFonts w:ascii="Calibri Light" w:eastAsia="Times New Roman" w:hAnsi="Calibri Light" w:cs="Calibri Light"/>
          <w:szCs w:val="20"/>
          <w:lang w:eastAsia=""/>
        </w:rPr>
        <w:t>им</w:t>
      </w:r>
      <w:r w:rsidRPr="00565B02">
        <w:rPr>
          <w:rFonts w:ascii="Calibri Light" w:eastAsia="Times New Roman" w:hAnsi="Calibri Light" w:cs="Calibri Light"/>
          <w:szCs w:val="20"/>
          <w:lang w:eastAsia=""/>
        </w:rPr>
        <w:t xml:space="preserve"> сценариј</w:t>
      </w:r>
      <w:r w:rsidRPr="00433B0E">
        <w:rPr>
          <w:rFonts w:ascii="Calibri Light" w:eastAsia="Times New Roman" w:hAnsi="Calibri Light" w:cs="Calibri Light"/>
          <w:szCs w:val="20"/>
          <w:lang w:eastAsia=""/>
        </w:rPr>
        <w:t>ом</w:t>
      </w:r>
      <w:r w:rsidRPr="00565B02">
        <w:rPr>
          <w:rFonts w:ascii="Calibri Light" w:eastAsia="Times New Roman" w:hAnsi="Calibri Light" w:cs="Calibri Light"/>
          <w:szCs w:val="20"/>
          <w:lang w:eastAsia=""/>
        </w:rPr>
        <w:t xml:space="preserve"> </w:t>
      </w:r>
      <w:r w:rsidRPr="00433B0E">
        <w:rPr>
          <w:rFonts w:ascii="Calibri Light" w:eastAsia="Times New Roman" w:hAnsi="Calibri Light" w:cs="Calibri Light"/>
          <w:szCs w:val="20"/>
          <w:lang w:eastAsia=""/>
        </w:rPr>
        <w:t xml:space="preserve">добијеним из </w:t>
      </w:r>
      <w:r w:rsidRPr="00565B02">
        <w:rPr>
          <w:rFonts w:ascii="Calibri Light" w:eastAsia="Times New Roman" w:hAnsi="Calibri Light" w:cs="Calibri Light"/>
          <w:szCs w:val="20"/>
          <w:lang w:eastAsia=""/>
        </w:rPr>
        <w:t>СЕМС</w:t>
      </w:r>
      <w:r w:rsidRPr="00433B0E">
        <w:rPr>
          <w:rFonts w:ascii="Calibri Light" w:eastAsia="Times New Roman" w:hAnsi="Calibri Light" w:cs="Calibri Light"/>
          <w:szCs w:val="20"/>
          <w:lang w:eastAsia=""/>
        </w:rPr>
        <w:t>-а</w:t>
      </w:r>
      <w:r w:rsidRPr="00565B02">
        <w:rPr>
          <w:rFonts w:ascii="Calibri Light" w:eastAsia="Times New Roman" w:hAnsi="Calibri Light" w:cs="Calibri Light"/>
          <w:szCs w:val="20"/>
          <w:lang w:eastAsia=""/>
        </w:rPr>
        <w:t>.</w:t>
      </w:r>
    </w:p>
    <w:p w14:paraId="4445A3BC" w14:textId="52F72C6C" w:rsidR="00F35B2C" w:rsidRDefault="00F35B2C" w:rsidP="00565B02">
      <w:pPr>
        <w:pStyle w:val="Caption"/>
        <w:keepNext/>
      </w:pPr>
      <w:bookmarkStart w:id="510" w:name="_Ref153900229"/>
      <w:bookmarkStart w:id="511" w:name="_Toc153901467"/>
      <w:r>
        <w:lastRenderedPageBreak/>
        <w:t xml:space="preserve">Слика </w:t>
      </w:r>
      <w:r>
        <w:fldChar w:fldCharType="begin"/>
      </w:r>
      <w:r>
        <w:instrText xml:space="preserve"> STYLEREF 1 \s </w:instrText>
      </w:r>
      <w:r>
        <w:fldChar w:fldCharType="separate"/>
      </w:r>
      <w:r>
        <w:rPr>
          <w:noProof/>
        </w:rPr>
        <w:t>III</w:t>
      </w:r>
      <w:r>
        <w:fldChar w:fldCharType="end"/>
      </w:r>
      <w:r>
        <w:t>.</w:t>
      </w:r>
      <w:r>
        <w:fldChar w:fldCharType="begin"/>
      </w:r>
      <w:r>
        <w:instrText xml:space="preserve"> SEQ Слика \* ARABIC \s 1 </w:instrText>
      </w:r>
      <w:r>
        <w:fldChar w:fldCharType="separate"/>
      </w:r>
      <w:r>
        <w:rPr>
          <w:noProof/>
        </w:rPr>
        <w:t>5</w:t>
      </w:r>
      <w:r>
        <w:fldChar w:fldCharType="end"/>
      </w:r>
      <w:bookmarkEnd w:id="510"/>
      <w:r>
        <w:t xml:space="preserve">: </w:t>
      </w:r>
      <w:r w:rsidRPr="00F35B2C">
        <w:t>Резултати на нивоу сата за РС01, МК година 2, седмица 10</w:t>
      </w:r>
      <w:bookmarkEnd w:id="511"/>
    </w:p>
    <w:p w14:paraId="7A173A41" w14:textId="77777777" w:rsidR="003F57EB" w:rsidRPr="00565B02" w:rsidRDefault="003F57EB" w:rsidP="003F57EB">
      <w:pPr>
        <w:spacing w:after="120" w:line="240" w:lineRule="auto"/>
        <w:jc w:val="center"/>
        <w:rPr>
          <w:rFonts w:ascii="Calibri Light" w:eastAsia="Times New Roman" w:hAnsi="Calibri Light" w:cs="Calibri Light"/>
          <w:szCs w:val="20"/>
          <w:lang w:eastAsia="el-GR"/>
        </w:rPr>
      </w:pPr>
      <w:r w:rsidRPr="00565B02">
        <w:rPr>
          <w:rFonts w:ascii="Calibri Light" w:eastAsia="Times New Roman" w:hAnsi="Calibri Light" w:cs="Calibri Light"/>
          <w:noProof/>
          <w:szCs w:val="20"/>
        </w:rPr>
        <w:drawing>
          <wp:inline distT="0" distB="0" distL="0" distR="0" wp14:anchorId="03D67859" wp14:editId="55D3A70D">
            <wp:extent cx="4279455" cy="2723168"/>
            <wp:effectExtent l="0" t="0" r="6985" b="1270"/>
            <wp:docPr id="1" name="Picture 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aph of different colored lines&#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284582" cy="2726430"/>
                    </a:xfrm>
                    <a:prstGeom prst="rect">
                      <a:avLst/>
                    </a:prstGeom>
                  </pic:spPr>
                </pic:pic>
              </a:graphicData>
            </a:graphic>
          </wp:inline>
        </w:drawing>
      </w:r>
    </w:p>
    <w:p w14:paraId="180493D9" w14:textId="687CEAF7" w:rsidR="003F57EB" w:rsidRPr="00565B02" w:rsidRDefault="003F57EB" w:rsidP="003F57EB">
      <w:pPr>
        <w:widowControl w:val="0"/>
        <w:spacing w:after="120" w:line="240" w:lineRule="auto"/>
        <w:jc w:val="both"/>
        <w:rPr>
          <w:rFonts w:ascii="Calibri Light" w:eastAsia="Times New Roman" w:hAnsi="Calibri Light" w:cs="Calibri Light"/>
          <w:szCs w:val="20"/>
          <w:lang w:eastAsia="el-GR"/>
        </w:rPr>
      </w:pPr>
      <w:r w:rsidRPr="00565B02">
        <w:rPr>
          <w:rFonts w:ascii="Calibri Light" w:eastAsia="Times New Roman" w:hAnsi="Calibri Light" w:cs="Calibri Light"/>
          <w:szCs w:val="20"/>
          <w:lang w:eastAsia="el-GR"/>
        </w:rPr>
        <w:t xml:space="preserve">Резултати симулација </w:t>
      </w:r>
      <w:r w:rsidRPr="00433B0E">
        <w:rPr>
          <w:rFonts w:ascii="Calibri Light" w:eastAsia="Times New Roman" w:hAnsi="Calibri Light" w:cs="Calibri Light"/>
          <w:szCs w:val="20"/>
          <w:lang w:eastAsia="el-GR"/>
        </w:rPr>
        <w:t xml:space="preserve">Алата за ОИЕ </w:t>
      </w:r>
      <w:r w:rsidRPr="00565B02">
        <w:rPr>
          <w:rFonts w:ascii="Calibri Light" w:eastAsia="Times New Roman" w:hAnsi="Calibri Light" w:cs="Calibri Light"/>
          <w:szCs w:val="20"/>
          <w:lang w:eastAsia="el-GR"/>
        </w:rPr>
        <w:t>углавном обухватају удео горива, маргиналне трошкове система и укупне оперативне трошкове, емисиј</w:t>
      </w:r>
      <w:r w:rsidRPr="00433B0E">
        <w:rPr>
          <w:rFonts w:ascii="Calibri Light" w:eastAsia="Times New Roman" w:hAnsi="Calibri Light" w:cs="Calibri Light"/>
          <w:szCs w:val="20"/>
          <w:lang w:eastAsia="el-GR"/>
        </w:rPr>
        <w:t>е</w:t>
      </w:r>
      <w:r w:rsidRPr="00565B02">
        <w:rPr>
          <w:rFonts w:ascii="Calibri Light" w:eastAsia="Times New Roman" w:hAnsi="Calibri Light" w:cs="Calibri Light"/>
          <w:szCs w:val="20"/>
          <w:lang w:eastAsia="el-GR"/>
        </w:rPr>
        <w:t xml:space="preserve"> CO</w:t>
      </w:r>
      <w:r w:rsidRPr="00565B02">
        <w:rPr>
          <w:rFonts w:ascii="Calibri Light" w:eastAsia="Times New Roman" w:hAnsi="Calibri Light" w:cs="Calibri Light"/>
          <w:szCs w:val="20"/>
          <w:vertAlign w:val="subscript"/>
          <w:lang w:eastAsia="el-GR"/>
        </w:rPr>
        <w:t>2</w:t>
      </w:r>
      <w:r w:rsidRPr="00565B02">
        <w:rPr>
          <w:rFonts w:ascii="Calibri Light" w:eastAsia="Times New Roman" w:hAnsi="Calibri Light" w:cs="Calibri Light"/>
          <w:szCs w:val="20"/>
          <w:lang w:eastAsia="el-GR"/>
        </w:rPr>
        <w:t xml:space="preserve"> и </w:t>
      </w:r>
      <w:r w:rsidRPr="00433B0E">
        <w:rPr>
          <w:rFonts w:ascii="Calibri Light" w:eastAsia="Times New Roman" w:hAnsi="Calibri Light" w:cs="Calibri Light"/>
          <w:szCs w:val="20"/>
          <w:lang w:eastAsia="el-GR"/>
        </w:rPr>
        <w:t>ограничења</w:t>
      </w:r>
      <w:r w:rsidRPr="00565B02">
        <w:rPr>
          <w:rFonts w:ascii="Calibri Light" w:eastAsia="Times New Roman" w:hAnsi="Calibri Light" w:cs="Calibri Light"/>
          <w:szCs w:val="20"/>
          <w:lang w:eastAsia="el-GR"/>
        </w:rPr>
        <w:t xml:space="preserve"> производње (такође се н</w:t>
      </w:r>
      <w:r w:rsidRPr="00433B0E">
        <w:rPr>
          <w:rFonts w:ascii="Calibri Light" w:eastAsia="Times New Roman" w:hAnsi="Calibri Light" w:cs="Calibri Light"/>
          <w:szCs w:val="20"/>
          <w:lang w:eastAsia="el-GR"/>
        </w:rPr>
        <w:t xml:space="preserve">аводи и као </w:t>
      </w:r>
      <w:r w:rsidRPr="00565B02">
        <w:rPr>
          <w:rFonts w:ascii="Calibri Light" w:eastAsia="Times New Roman" w:hAnsi="Calibri Light" w:cs="Calibri Light"/>
          <w:szCs w:val="20"/>
          <w:lang w:eastAsia="el-GR"/>
        </w:rPr>
        <w:t>„просута енергија“) за систем у Србији, и детаљ</w:t>
      </w:r>
      <w:r w:rsidRPr="00433B0E">
        <w:rPr>
          <w:rFonts w:ascii="Calibri Light" w:eastAsia="Times New Roman" w:hAnsi="Calibri Light" w:cs="Calibri Light"/>
          <w:szCs w:val="20"/>
          <w:lang w:eastAsia="el-GR"/>
        </w:rPr>
        <w:t>ан план ангажовања</w:t>
      </w:r>
      <w:r w:rsidRPr="00565B02">
        <w:rPr>
          <w:rFonts w:ascii="Calibri Light" w:eastAsia="Times New Roman" w:hAnsi="Calibri Light" w:cs="Calibri Light"/>
          <w:szCs w:val="20"/>
          <w:lang w:eastAsia="el-GR"/>
        </w:rPr>
        <w:t xml:space="preserve"> на сатном нивоу (</w:t>
      </w:r>
      <w:r w:rsidR="00F35B2C">
        <w:rPr>
          <w:rFonts w:ascii="Calibri Light" w:eastAsia="Times New Roman" w:hAnsi="Calibri Light" w:cs="Calibri Light"/>
          <w:szCs w:val="20"/>
          <w:lang w:eastAsia="el-GR"/>
        </w:rPr>
        <w:fldChar w:fldCharType="begin"/>
      </w:r>
      <w:r w:rsidR="00F35B2C">
        <w:rPr>
          <w:rFonts w:ascii="Calibri Light" w:eastAsia="Times New Roman" w:hAnsi="Calibri Light" w:cs="Calibri Light"/>
          <w:szCs w:val="20"/>
          <w:lang w:eastAsia="el-GR"/>
        </w:rPr>
        <w:instrText xml:space="preserve"> REF _Ref153900229 \h  \* MERGEFORMAT </w:instrText>
      </w:r>
      <w:r w:rsidR="00F35B2C">
        <w:rPr>
          <w:rFonts w:ascii="Calibri Light" w:eastAsia="Times New Roman" w:hAnsi="Calibri Light" w:cs="Calibri Light"/>
          <w:szCs w:val="20"/>
          <w:lang w:eastAsia="el-GR"/>
        </w:rPr>
      </w:r>
      <w:r w:rsidR="00F35B2C">
        <w:rPr>
          <w:rFonts w:ascii="Calibri Light" w:eastAsia="Times New Roman" w:hAnsi="Calibri Light" w:cs="Calibri Light"/>
          <w:szCs w:val="20"/>
          <w:lang w:eastAsia="el-GR"/>
        </w:rPr>
        <w:fldChar w:fldCharType="separate"/>
      </w:r>
      <w:r w:rsidR="00F35B2C" w:rsidRPr="00565B02">
        <w:rPr>
          <w:rFonts w:ascii="Calibri Light" w:eastAsia="Times New Roman" w:hAnsi="Calibri Light" w:cs="Calibri Light"/>
          <w:szCs w:val="20"/>
          <w:lang w:eastAsia="el-GR"/>
        </w:rPr>
        <w:t>Слика III.5</w:t>
      </w:r>
      <w:r w:rsidR="00F35B2C">
        <w:rPr>
          <w:rFonts w:ascii="Calibri Light" w:eastAsia="Times New Roman" w:hAnsi="Calibri Light" w:cs="Calibri Light"/>
          <w:szCs w:val="20"/>
          <w:lang w:eastAsia="el-GR"/>
        </w:rPr>
        <w:fldChar w:fldCharType="end"/>
      </w:r>
      <w:r w:rsidRPr="00565B02">
        <w:rPr>
          <w:rFonts w:ascii="Calibri Light" w:eastAsia="Times New Roman" w:hAnsi="Calibri Light" w:cs="Calibri Light"/>
          <w:szCs w:val="20"/>
          <w:lang w:eastAsia="el-GR"/>
        </w:rPr>
        <w:t xml:space="preserve">). Брзи алгоритам </w:t>
      </w:r>
      <w:r w:rsidRPr="00565B02">
        <w:rPr>
          <w:rFonts w:ascii="Calibri Light" w:eastAsia="Times New Roman" w:hAnsi="Calibri Light" w:cs="Calibri Light"/>
          <w:i/>
          <w:iCs/>
          <w:szCs w:val="20"/>
          <w:lang w:eastAsia="el-GR"/>
        </w:rPr>
        <w:t>ANTARES</w:t>
      </w:r>
      <w:r w:rsidRPr="00565B02">
        <w:rPr>
          <w:rFonts w:ascii="Calibri Light" w:eastAsia="Times New Roman" w:hAnsi="Calibri Light" w:cs="Calibri Light"/>
          <w:szCs w:val="20"/>
          <w:lang w:eastAsia="el-GR"/>
        </w:rPr>
        <w:t xml:space="preserve">-а за економичан рад електроенергетског система омогућава </w:t>
      </w:r>
      <w:r w:rsidRPr="00433B0E">
        <w:rPr>
          <w:rFonts w:ascii="Calibri Light" w:eastAsia="Times New Roman" w:hAnsi="Calibri Light" w:cs="Calibri Light"/>
          <w:szCs w:val="20"/>
          <w:lang w:eastAsia="el-GR"/>
        </w:rPr>
        <w:t>унапређено</w:t>
      </w:r>
      <w:r w:rsidRPr="00565B02">
        <w:rPr>
          <w:rFonts w:ascii="Calibri Light" w:eastAsia="Times New Roman" w:hAnsi="Calibri Light" w:cs="Calibri Light"/>
          <w:szCs w:val="20"/>
          <w:lang w:eastAsia="el-GR"/>
        </w:rPr>
        <w:t xml:space="preserve"> моделирање стохастичких параметара, као што је варијабилна производња ОИЕ. Такође, дугорочна несигурност производње из ОИЕ се бави симулацијама различитих „климатских година“ и биће приказани просечни годишњи резултати. У </w:t>
      </w:r>
      <w:r w:rsidRPr="00565B02">
        <w:rPr>
          <w:rFonts w:ascii="Calibri Light" w:eastAsia="Times New Roman" w:hAnsi="Calibri Light" w:cs="Calibri Light"/>
          <w:i/>
          <w:iCs/>
          <w:szCs w:val="20"/>
          <w:lang w:eastAsia="el-GR"/>
        </w:rPr>
        <w:t>ENTSO-E TYNDP2020</w:t>
      </w:r>
      <w:r w:rsidRPr="00565B02">
        <w:rPr>
          <w:rFonts w:ascii="Calibri Light" w:eastAsia="Times New Roman" w:hAnsi="Calibri Light" w:cs="Calibri Light"/>
          <w:szCs w:val="20"/>
          <w:lang w:eastAsia="el-GR"/>
        </w:rPr>
        <w:t xml:space="preserve"> коришћене су три климатске године (1982, 1984 и 2007) и исте климатске године коришћене су за анализу за </w:t>
      </w:r>
      <w:r w:rsidRPr="00433B0E">
        <w:rPr>
          <w:rFonts w:ascii="Calibri Light" w:eastAsia="Times New Roman" w:hAnsi="Calibri Light" w:cs="Calibri Light"/>
          <w:szCs w:val="20"/>
          <w:lang w:eastAsia="el-GR"/>
        </w:rPr>
        <w:t>И</w:t>
      </w:r>
      <w:r w:rsidRPr="00565B02">
        <w:rPr>
          <w:rFonts w:ascii="Calibri Light" w:eastAsia="Times New Roman" w:hAnsi="Calibri Light" w:cs="Calibri Light"/>
          <w:szCs w:val="20"/>
          <w:lang w:eastAsia="el-GR"/>
        </w:rPr>
        <w:t>НЕ</w:t>
      </w:r>
      <w:r w:rsidRPr="00433B0E">
        <w:rPr>
          <w:rFonts w:ascii="Calibri Light" w:eastAsia="Times New Roman" w:hAnsi="Calibri Light" w:cs="Calibri Light"/>
          <w:szCs w:val="20"/>
          <w:lang w:eastAsia="el-GR"/>
        </w:rPr>
        <w:t>К</w:t>
      </w:r>
      <w:r w:rsidRPr="00565B02">
        <w:rPr>
          <w:rFonts w:ascii="Calibri Light" w:eastAsia="Times New Roman" w:hAnsi="Calibri Light" w:cs="Calibri Light"/>
          <w:szCs w:val="20"/>
          <w:lang w:eastAsia="el-GR"/>
        </w:rPr>
        <w:t>П</w:t>
      </w:r>
      <w:r w:rsidRPr="00433B0E">
        <w:rPr>
          <w:rFonts w:ascii="Calibri Light" w:eastAsia="Times New Roman" w:hAnsi="Calibri Light" w:cs="Calibri Light"/>
          <w:szCs w:val="20"/>
          <w:lang w:eastAsia="el-GR"/>
        </w:rPr>
        <w:t>-а</w:t>
      </w:r>
      <w:r w:rsidRPr="00565B02">
        <w:rPr>
          <w:rFonts w:ascii="Calibri Light" w:eastAsia="Times New Roman" w:hAnsi="Calibri Light" w:cs="Calibri Light"/>
          <w:szCs w:val="20"/>
          <w:lang w:eastAsia="el-GR"/>
        </w:rPr>
        <w:t xml:space="preserve"> Србије.</w:t>
      </w:r>
    </w:p>
    <w:p w14:paraId="02A8B351" w14:textId="77777777" w:rsidR="003F57EB" w:rsidRPr="00565B02" w:rsidRDefault="003F57EB" w:rsidP="003F57EB">
      <w:pPr>
        <w:spacing w:after="120" w:line="240" w:lineRule="auto"/>
        <w:jc w:val="both"/>
        <w:rPr>
          <w:rFonts w:ascii="Calibri Light" w:eastAsia="Times New Roman" w:hAnsi="Calibri Light" w:cs="Calibri Light"/>
          <w:szCs w:val="20"/>
          <w:lang w:eastAsia="el-GR"/>
        </w:rPr>
      </w:pPr>
      <w:r w:rsidRPr="00565B02">
        <w:rPr>
          <w:rFonts w:ascii="Calibri Light" w:eastAsia="Times New Roman" w:hAnsi="Calibri Light" w:cs="Calibri Light"/>
          <w:szCs w:val="20"/>
          <w:lang w:eastAsia="el-GR"/>
        </w:rPr>
        <w:t xml:space="preserve">Више детаља о моделу </w:t>
      </w:r>
      <w:r w:rsidRPr="00433B0E">
        <w:rPr>
          <w:rFonts w:ascii="Calibri Light" w:eastAsia="Times New Roman" w:hAnsi="Calibri Light" w:cs="Calibri Light"/>
          <w:szCs w:val="20"/>
          <w:lang w:eastAsia="el-GR"/>
        </w:rPr>
        <w:t xml:space="preserve">за </w:t>
      </w:r>
      <w:r w:rsidRPr="00565B02">
        <w:rPr>
          <w:rFonts w:ascii="Calibri Light" w:eastAsia="Times New Roman" w:hAnsi="Calibri Light" w:cs="Calibri Light"/>
          <w:szCs w:val="20"/>
          <w:lang w:eastAsia="el-GR"/>
        </w:rPr>
        <w:t>анализ</w:t>
      </w:r>
      <w:r w:rsidRPr="00433B0E">
        <w:rPr>
          <w:rFonts w:ascii="Calibri Light" w:eastAsia="Times New Roman" w:hAnsi="Calibri Light" w:cs="Calibri Light"/>
          <w:szCs w:val="20"/>
          <w:lang w:eastAsia="el-GR"/>
        </w:rPr>
        <w:t>у</w:t>
      </w:r>
      <w:r w:rsidRPr="00565B02">
        <w:rPr>
          <w:rFonts w:ascii="Calibri Light" w:eastAsia="Times New Roman" w:hAnsi="Calibri Light" w:cs="Calibri Light"/>
          <w:szCs w:val="20"/>
          <w:lang w:eastAsia="el-GR"/>
        </w:rPr>
        <w:t xml:space="preserve"> висок</w:t>
      </w:r>
      <w:r w:rsidRPr="00433B0E">
        <w:rPr>
          <w:rFonts w:ascii="Calibri Light" w:eastAsia="Times New Roman" w:hAnsi="Calibri Light" w:cs="Calibri Light"/>
          <w:szCs w:val="20"/>
          <w:lang w:eastAsia="el-GR"/>
        </w:rPr>
        <w:t>ог</w:t>
      </w:r>
      <w:r w:rsidRPr="00565B02">
        <w:rPr>
          <w:rFonts w:ascii="Calibri Light" w:eastAsia="Times New Roman" w:hAnsi="Calibri Light" w:cs="Calibri Light"/>
          <w:szCs w:val="20"/>
          <w:lang w:eastAsia="el-GR"/>
        </w:rPr>
        <w:t xml:space="preserve"> </w:t>
      </w:r>
      <w:r w:rsidRPr="00433B0E">
        <w:rPr>
          <w:rFonts w:ascii="Calibri Light" w:eastAsia="Times New Roman" w:hAnsi="Calibri Light" w:cs="Calibri Light"/>
          <w:szCs w:val="20"/>
          <w:lang w:eastAsia="el-GR"/>
        </w:rPr>
        <w:t xml:space="preserve">удела </w:t>
      </w:r>
      <w:r w:rsidRPr="00565B02">
        <w:rPr>
          <w:rFonts w:ascii="Calibri Light" w:eastAsia="Times New Roman" w:hAnsi="Calibri Light" w:cs="Calibri Light"/>
          <w:szCs w:val="20"/>
          <w:lang w:eastAsia="el-GR"/>
        </w:rPr>
        <w:t xml:space="preserve">ОИЕ </w:t>
      </w:r>
      <w:r w:rsidRPr="00433B0E">
        <w:rPr>
          <w:rFonts w:ascii="Calibri Light" w:eastAsia="Times New Roman" w:hAnsi="Calibri Light" w:cs="Calibri Light"/>
          <w:szCs w:val="20"/>
          <w:lang w:eastAsia="el-GR"/>
        </w:rPr>
        <w:t>обухваћено</w:t>
      </w:r>
      <w:r w:rsidRPr="00565B02">
        <w:rPr>
          <w:rFonts w:ascii="Calibri Light" w:eastAsia="Times New Roman" w:hAnsi="Calibri Light" w:cs="Calibri Light"/>
          <w:szCs w:val="20"/>
          <w:lang w:eastAsia="el-GR"/>
        </w:rPr>
        <w:t xml:space="preserve"> је у „Извештају о развијеном, инсталираном и тестираном алату за </w:t>
      </w:r>
      <w:r w:rsidRPr="00433B0E">
        <w:rPr>
          <w:rFonts w:ascii="Calibri Light" w:eastAsia="Times New Roman" w:hAnsi="Calibri Light" w:cs="Calibri Light"/>
          <w:szCs w:val="20"/>
          <w:lang w:eastAsia="el-GR"/>
        </w:rPr>
        <w:t xml:space="preserve">високи удео ОИЕ </w:t>
      </w:r>
      <w:r w:rsidRPr="00565B02">
        <w:rPr>
          <w:rFonts w:ascii="Calibri Light" w:eastAsia="Times New Roman" w:hAnsi="Calibri Light" w:cs="Calibri Light"/>
          <w:szCs w:val="20"/>
          <w:lang w:eastAsia="el-GR"/>
        </w:rPr>
        <w:t>на тржишт</w:t>
      </w:r>
      <w:r w:rsidRPr="00433B0E">
        <w:rPr>
          <w:rFonts w:ascii="Calibri Light" w:eastAsia="Times New Roman" w:hAnsi="Calibri Light" w:cs="Calibri Light"/>
          <w:szCs w:val="20"/>
          <w:lang w:eastAsia="el-GR"/>
        </w:rPr>
        <w:t>у</w:t>
      </w:r>
      <w:r w:rsidRPr="00565B02">
        <w:rPr>
          <w:rFonts w:ascii="Calibri Light" w:eastAsia="Times New Roman" w:hAnsi="Calibri Light" w:cs="Calibri Light"/>
          <w:szCs w:val="20"/>
          <w:lang w:eastAsia="el-GR"/>
        </w:rPr>
        <w:t xml:space="preserve">“, </w:t>
      </w:r>
      <w:r w:rsidRPr="00433B0E">
        <w:rPr>
          <w:rFonts w:ascii="Calibri Light" w:eastAsia="Times New Roman" w:hAnsi="Calibri Light" w:cs="Calibri Light"/>
          <w:szCs w:val="20"/>
          <w:lang w:eastAsia="el-GR"/>
        </w:rPr>
        <w:t>у оквиру пројекта</w:t>
      </w:r>
      <w:r w:rsidRPr="00565B02">
        <w:rPr>
          <w:rFonts w:ascii="Calibri Light" w:eastAsia="Times New Roman" w:hAnsi="Calibri Light" w:cs="Calibri Light"/>
          <w:szCs w:val="20"/>
          <w:lang w:eastAsia="el-GR"/>
        </w:rPr>
        <w:t xml:space="preserve"> Даљи развој капацитета за </w:t>
      </w:r>
      <w:r w:rsidRPr="00433B0E">
        <w:rPr>
          <w:rFonts w:ascii="Calibri Light" w:eastAsia="Times New Roman" w:hAnsi="Calibri Light" w:cs="Calibri Light"/>
          <w:szCs w:val="20"/>
          <w:lang w:eastAsia="el-GR"/>
        </w:rPr>
        <w:t xml:space="preserve">енергетско </w:t>
      </w:r>
      <w:r w:rsidRPr="00565B02">
        <w:rPr>
          <w:rFonts w:ascii="Calibri Light" w:eastAsia="Times New Roman" w:hAnsi="Calibri Light" w:cs="Calibri Light"/>
          <w:szCs w:val="20"/>
          <w:lang w:eastAsia="el-GR"/>
        </w:rPr>
        <w:t>планирање, EuropeAid/135625/IH/SER/RS, Уговор број: 48-00-00140/2019-28.</w:t>
      </w:r>
    </w:p>
    <w:p w14:paraId="6714388A" w14:textId="3D427CF0" w:rsidR="004B41F4" w:rsidRPr="004B41F4" w:rsidRDefault="006905A9" w:rsidP="00565B02">
      <w:pPr>
        <w:pStyle w:val="Heading1"/>
        <w:numPr>
          <w:ilvl w:val="0"/>
          <w:numId w:val="394"/>
        </w:numPr>
      </w:pPr>
      <w:bookmarkStart w:id="512" w:name="_Toc153901567"/>
      <w:bookmarkStart w:id="513" w:name="_Hlk148958312"/>
      <w:bookmarkEnd w:id="512"/>
      <w:r w:rsidRPr="00433B0E">
        <w:br w:type="page"/>
      </w:r>
      <w:bookmarkStart w:id="514" w:name="_Hlk148958295"/>
      <w:bookmarkStart w:id="515" w:name="_Toc153901568"/>
      <w:r w:rsidR="004B41F4" w:rsidRPr="00433B0E">
        <w:lastRenderedPageBreak/>
        <w:t>Анекс: Списак пројекат</w:t>
      </w:r>
      <w:r w:rsidR="004B41F4">
        <w:t>а из инфраструктурног плана</w:t>
      </w:r>
      <w:bookmarkEnd w:id="514"/>
      <w:bookmarkEnd w:id="515"/>
    </w:p>
    <w:p w14:paraId="51272992" w14:textId="45C476F2" w:rsidR="006D5F5A" w:rsidRPr="00565B02" w:rsidRDefault="006D5F5A" w:rsidP="00565B02">
      <w:pPr>
        <w:pStyle w:val="Caption"/>
        <w:keepNext/>
        <w:rPr>
          <w:lang w:val="sr-Latn-RS"/>
        </w:rPr>
      </w:pPr>
      <w:bookmarkStart w:id="516" w:name="_Toc153901495"/>
      <w:bookmarkEnd w:id="513"/>
      <w:r>
        <w:t xml:space="preserve">Табела </w:t>
      </w:r>
      <w:r w:rsidR="00873C40">
        <w:fldChar w:fldCharType="begin"/>
      </w:r>
      <w:r w:rsidR="00873C40">
        <w:instrText xml:space="preserve"> STYLEREF 1 \s </w:instrText>
      </w:r>
      <w:r w:rsidR="00873C40">
        <w:fldChar w:fldCharType="separate"/>
      </w:r>
      <w:r w:rsidR="00873C40">
        <w:rPr>
          <w:noProof/>
        </w:rPr>
        <w:t>IV</w:t>
      </w:r>
      <w:r w:rsidR="00873C40">
        <w:fldChar w:fldCharType="end"/>
      </w:r>
      <w:r w:rsidR="00873C40">
        <w:t>.</w:t>
      </w:r>
      <w:r w:rsidR="00873C40">
        <w:fldChar w:fldCharType="begin"/>
      </w:r>
      <w:r w:rsidR="00873C40">
        <w:instrText xml:space="preserve"> SEQ Табела \* ARABIC \s 1 </w:instrText>
      </w:r>
      <w:r w:rsidR="00873C40">
        <w:fldChar w:fldCharType="separate"/>
      </w:r>
      <w:r w:rsidR="00873C40">
        <w:rPr>
          <w:noProof/>
        </w:rPr>
        <w:t>1</w:t>
      </w:r>
      <w:r w:rsidR="00873C40">
        <w:fldChar w:fldCharType="end"/>
      </w:r>
      <w:r>
        <w:rPr>
          <w:lang w:val="sr-Latn-RS"/>
        </w:rPr>
        <w:t xml:space="preserve">: </w:t>
      </w:r>
      <w:r w:rsidRPr="006D5F5A">
        <w:rPr>
          <w:lang w:val="sr-Latn-RS"/>
        </w:rPr>
        <w:t>Табела са додатним пројектима из Плана развоја енергетске инфраструктуре Републике Србије</w:t>
      </w:r>
      <w:bookmarkEnd w:id="516"/>
    </w:p>
    <w:tbl>
      <w:tblPr>
        <w:tblStyle w:val="TableGrid"/>
        <w:tblW w:w="9623" w:type="dxa"/>
        <w:tblInd w:w="-5" w:type="dxa"/>
        <w:tblLook w:val="04A0" w:firstRow="1" w:lastRow="0" w:firstColumn="1" w:lastColumn="0" w:noHBand="0" w:noVBand="1"/>
      </w:tblPr>
      <w:tblGrid>
        <w:gridCol w:w="1368"/>
        <w:gridCol w:w="4587"/>
        <w:gridCol w:w="1262"/>
        <w:gridCol w:w="1203"/>
        <w:gridCol w:w="1203"/>
      </w:tblGrid>
      <w:tr w:rsidR="004B41F4" w:rsidRPr="006D5F5A" w14:paraId="2E4E244B" w14:textId="77777777" w:rsidTr="00565B02">
        <w:trPr>
          <w:trHeight w:val="839"/>
        </w:trPr>
        <w:tc>
          <w:tcPr>
            <w:tcW w:w="1368" w:type="dxa"/>
            <w:shd w:val="clear" w:color="auto" w:fill="404040"/>
            <w:vAlign w:val="center"/>
          </w:tcPr>
          <w:p w14:paraId="7C1A61E0" w14:textId="3549F748" w:rsidR="004B41F4" w:rsidRPr="006D5F5A" w:rsidRDefault="004B41F4" w:rsidP="0057310C">
            <w:pPr>
              <w:spacing w:after="0" w:line="240" w:lineRule="auto"/>
              <w:jc w:val="center"/>
              <w:rPr>
                <w:rFonts w:ascii="Calibri Light" w:hAnsi="Calibri Light" w:cs="Calibri Light"/>
                <w:color w:val="FFFFFF" w:themeColor="background1"/>
              </w:rPr>
            </w:pPr>
            <w:r w:rsidRPr="006D5F5A">
              <w:rPr>
                <w:rFonts w:ascii="Calibri Light" w:hAnsi="Calibri Light" w:cs="Calibri Light"/>
                <w:color w:val="FFFFFF" w:themeColor="background1"/>
              </w:rPr>
              <w:t>Сектор</w:t>
            </w:r>
          </w:p>
        </w:tc>
        <w:tc>
          <w:tcPr>
            <w:tcW w:w="4587" w:type="dxa"/>
            <w:shd w:val="clear" w:color="auto" w:fill="1F497D"/>
            <w:vAlign w:val="center"/>
          </w:tcPr>
          <w:p w14:paraId="1B29C2F7" w14:textId="3712DF44" w:rsidR="004B41F4" w:rsidRPr="006D5F5A" w:rsidRDefault="004B41F4" w:rsidP="0057310C">
            <w:pPr>
              <w:spacing w:after="0" w:line="240" w:lineRule="auto"/>
              <w:jc w:val="center"/>
              <w:rPr>
                <w:rFonts w:ascii="Calibri Light" w:hAnsi="Calibri Light" w:cs="Calibri Light"/>
                <w:color w:val="FFFFFF" w:themeColor="background1"/>
              </w:rPr>
            </w:pPr>
            <w:r w:rsidRPr="006D5F5A">
              <w:rPr>
                <w:rFonts w:ascii="Calibri Light" w:hAnsi="Calibri Light" w:cs="Calibri Light"/>
                <w:color w:val="FFFFFF" w:themeColor="background1"/>
              </w:rPr>
              <w:t>Пројекат</w:t>
            </w:r>
          </w:p>
        </w:tc>
        <w:tc>
          <w:tcPr>
            <w:tcW w:w="1262" w:type="dxa"/>
            <w:shd w:val="clear" w:color="auto" w:fill="1F497D"/>
            <w:vAlign w:val="center"/>
          </w:tcPr>
          <w:p w14:paraId="2C29497C" w14:textId="10E9A2B1" w:rsidR="004B41F4" w:rsidRPr="006D5F5A" w:rsidRDefault="004B41F4" w:rsidP="0057310C">
            <w:pPr>
              <w:spacing w:after="0" w:line="240" w:lineRule="auto"/>
              <w:jc w:val="center"/>
              <w:rPr>
                <w:rFonts w:ascii="Calibri Light" w:hAnsi="Calibri Light" w:cs="Calibri Light"/>
                <w:color w:val="FFFFFF" w:themeColor="background1"/>
              </w:rPr>
            </w:pPr>
            <w:r w:rsidRPr="006D5F5A">
              <w:rPr>
                <w:rFonts w:ascii="Calibri Light" w:hAnsi="Calibri Light" w:cs="Calibri Light"/>
                <w:color w:val="FFFFFF" w:themeColor="background1"/>
              </w:rPr>
              <w:t>Процењени датум завршетка</w:t>
            </w:r>
          </w:p>
        </w:tc>
        <w:tc>
          <w:tcPr>
            <w:tcW w:w="1203" w:type="dxa"/>
            <w:shd w:val="clear" w:color="auto" w:fill="1F497D"/>
            <w:vAlign w:val="center"/>
          </w:tcPr>
          <w:p w14:paraId="46F4E606" w14:textId="51AD2131" w:rsidR="004B41F4" w:rsidRPr="00565B02" w:rsidRDefault="004B41F4" w:rsidP="0057310C">
            <w:pPr>
              <w:spacing w:after="0" w:line="240" w:lineRule="auto"/>
              <w:jc w:val="center"/>
              <w:rPr>
                <w:rFonts w:ascii="Calibri Light" w:hAnsi="Calibri Light" w:cs="Calibri Light"/>
                <w:color w:val="FFFFFF" w:themeColor="background1"/>
              </w:rPr>
            </w:pPr>
            <w:r w:rsidRPr="006D5F5A">
              <w:rPr>
                <w:rFonts w:ascii="Calibri Light" w:hAnsi="Calibri Light" w:cs="Calibri Light"/>
                <w:color w:val="FFFFFF" w:themeColor="background1"/>
              </w:rPr>
              <w:t>Процењена цена</w:t>
            </w:r>
            <w:r w:rsidRPr="00565B02">
              <w:rPr>
                <w:rFonts w:ascii="Calibri Light" w:hAnsi="Calibri Light" w:cs="Calibri Light"/>
                <w:color w:val="FFFFFF" w:themeColor="background1"/>
              </w:rPr>
              <w:t xml:space="preserve"> (€m) – 2030</w:t>
            </w:r>
          </w:p>
        </w:tc>
        <w:tc>
          <w:tcPr>
            <w:tcW w:w="1203" w:type="dxa"/>
            <w:shd w:val="clear" w:color="auto" w:fill="1F497D"/>
            <w:vAlign w:val="center"/>
          </w:tcPr>
          <w:p w14:paraId="3C295510" w14:textId="294FA5F7" w:rsidR="004B41F4" w:rsidRPr="00565B02" w:rsidRDefault="004B41F4" w:rsidP="0057310C">
            <w:pPr>
              <w:spacing w:after="0" w:line="240" w:lineRule="auto"/>
              <w:jc w:val="center"/>
              <w:rPr>
                <w:rFonts w:ascii="Calibri Light" w:hAnsi="Calibri Light" w:cs="Calibri Light"/>
                <w:color w:val="FFFFFF" w:themeColor="background1"/>
              </w:rPr>
            </w:pPr>
            <w:r w:rsidRPr="00565B02">
              <w:rPr>
                <w:rFonts w:ascii="Calibri Light" w:hAnsi="Calibri Light" w:cs="Calibri Light"/>
                <w:color w:val="FFFFFF" w:themeColor="background1"/>
              </w:rPr>
              <w:t>Процењена цена (€m) - 2050</w:t>
            </w:r>
          </w:p>
        </w:tc>
      </w:tr>
      <w:tr w:rsidR="004B41F4" w:rsidRPr="006D5F5A" w14:paraId="67A89D96" w14:textId="77777777" w:rsidTr="00565B02">
        <w:trPr>
          <w:trHeight w:val="853"/>
        </w:trPr>
        <w:tc>
          <w:tcPr>
            <w:tcW w:w="1368" w:type="dxa"/>
            <w:vMerge w:val="restart"/>
            <w:shd w:val="clear" w:color="auto" w:fill="E7E6E6"/>
            <w:vAlign w:val="center"/>
          </w:tcPr>
          <w:p w14:paraId="5D726185" w14:textId="181A1E3C" w:rsidR="004B41F4" w:rsidRPr="006D5F5A" w:rsidRDefault="004B41F4" w:rsidP="000A2AFE">
            <w:pPr>
              <w:tabs>
                <w:tab w:val="left" w:pos="1830"/>
              </w:tabs>
              <w:jc w:val="left"/>
              <w:rPr>
                <w:rFonts w:ascii="Calibri Light" w:hAnsi="Calibri Light" w:cs="Calibri Light"/>
                <w:color w:val="000000" w:themeColor="text1"/>
              </w:rPr>
            </w:pPr>
            <w:r w:rsidRPr="006D5F5A">
              <w:rPr>
                <w:rFonts w:ascii="Calibri Light" w:hAnsi="Calibri Light" w:cs="Calibri Light"/>
                <w:color w:val="000000" w:themeColor="text1"/>
              </w:rPr>
              <w:t>Производња</w:t>
            </w:r>
          </w:p>
        </w:tc>
        <w:tc>
          <w:tcPr>
            <w:tcW w:w="4587" w:type="dxa"/>
          </w:tcPr>
          <w:p w14:paraId="08141CC3" w14:textId="3E93D66C" w:rsidR="004B41F4" w:rsidRPr="006D5F5A" w:rsidRDefault="00F94247" w:rsidP="0057310C">
            <w:pPr>
              <w:tabs>
                <w:tab w:val="left" w:pos="1830"/>
              </w:tabs>
              <w:rPr>
                <w:rFonts w:ascii="Calibri Light" w:hAnsi="Calibri Light" w:cs="Calibri Light"/>
                <w:color w:val="000000" w:themeColor="text1"/>
              </w:rPr>
            </w:pPr>
            <w:r w:rsidRPr="006D5F5A">
              <w:rPr>
                <w:rFonts w:ascii="Calibri Light" w:hAnsi="Calibri Light" w:cs="Calibri Light"/>
                <w:color w:val="000000" w:themeColor="text1"/>
              </w:rPr>
              <w:t xml:space="preserve">Ревитализација постојећих термоелектрана </w:t>
            </w:r>
            <w:r w:rsidR="004B41F4" w:rsidRPr="006D5F5A">
              <w:rPr>
                <w:rFonts w:ascii="Calibri Light" w:hAnsi="Calibri Light" w:cs="Calibri Light"/>
                <w:color w:val="000000" w:themeColor="text1"/>
              </w:rPr>
              <w:t>(</w:t>
            </w:r>
            <w:r w:rsidR="004B41F4" w:rsidRPr="00565B02">
              <w:rPr>
                <w:rFonts w:ascii="Calibri Light" w:hAnsi="Calibri Light" w:cs="Calibri Light"/>
                <w:color w:val="000000" w:themeColor="text1"/>
              </w:rPr>
              <w:t>TE</w:t>
            </w:r>
            <w:r w:rsidRPr="006D5F5A">
              <w:rPr>
                <w:rFonts w:ascii="Calibri Light" w:hAnsi="Calibri Light" w:cs="Calibri Light"/>
                <w:color w:val="000000" w:themeColor="text1"/>
              </w:rPr>
              <w:t>Н</w:t>
            </w:r>
            <w:r w:rsidR="004B41F4" w:rsidRPr="00565B02">
              <w:rPr>
                <w:rFonts w:ascii="Calibri Light" w:hAnsi="Calibri Light" w:cs="Calibri Light"/>
                <w:color w:val="000000" w:themeColor="text1"/>
              </w:rPr>
              <w:t>T</w:t>
            </w:r>
            <w:r w:rsidR="004B41F4" w:rsidRPr="006D5F5A">
              <w:rPr>
                <w:rFonts w:ascii="Calibri Light" w:hAnsi="Calibri Light" w:cs="Calibri Light"/>
                <w:color w:val="000000" w:themeColor="text1"/>
              </w:rPr>
              <w:t xml:space="preserve"> </w:t>
            </w:r>
            <w:r w:rsidR="004B41F4" w:rsidRPr="00565B02">
              <w:rPr>
                <w:rFonts w:ascii="Calibri Light" w:hAnsi="Calibri Light" w:cs="Calibri Light"/>
                <w:color w:val="000000" w:themeColor="text1"/>
              </w:rPr>
              <w:t>A</w:t>
            </w:r>
            <w:r w:rsidR="004B41F4" w:rsidRPr="006D5F5A">
              <w:rPr>
                <w:rFonts w:ascii="Calibri Light" w:hAnsi="Calibri Light" w:cs="Calibri Light"/>
                <w:color w:val="000000" w:themeColor="text1"/>
              </w:rPr>
              <w:t xml:space="preserve">1, </w:t>
            </w:r>
            <w:r w:rsidR="004B41F4" w:rsidRPr="00565B02">
              <w:rPr>
                <w:rFonts w:ascii="Calibri Light" w:hAnsi="Calibri Light" w:cs="Calibri Light"/>
                <w:color w:val="000000" w:themeColor="text1"/>
              </w:rPr>
              <w:t>TE</w:t>
            </w:r>
            <w:r w:rsidRPr="006D5F5A">
              <w:rPr>
                <w:rFonts w:ascii="Calibri Light" w:hAnsi="Calibri Light" w:cs="Calibri Light"/>
                <w:color w:val="000000" w:themeColor="text1"/>
              </w:rPr>
              <w:t>Н</w:t>
            </w:r>
            <w:r w:rsidR="004B41F4" w:rsidRPr="00565B02">
              <w:rPr>
                <w:rFonts w:ascii="Calibri Light" w:hAnsi="Calibri Light" w:cs="Calibri Light"/>
                <w:color w:val="000000" w:themeColor="text1"/>
              </w:rPr>
              <w:t>T</w:t>
            </w:r>
            <w:r w:rsidR="004B41F4" w:rsidRPr="006D5F5A">
              <w:rPr>
                <w:rFonts w:ascii="Calibri Light" w:hAnsi="Calibri Light" w:cs="Calibri Light"/>
                <w:color w:val="000000" w:themeColor="text1"/>
              </w:rPr>
              <w:t xml:space="preserve"> </w:t>
            </w:r>
            <w:r w:rsidR="004B41F4" w:rsidRPr="00565B02">
              <w:rPr>
                <w:rFonts w:ascii="Calibri Light" w:hAnsi="Calibri Light" w:cs="Calibri Light"/>
                <w:color w:val="000000" w:themeColor="text1"/>
              </w:rPr>
              <w:t>A</w:t>
            </w:r>
            <w:r w:rsidR="004B41F4" w:rsidRPr="006D5F5A">
              <w:rPr>
                <w:rFonts w:ascii="Calibri Light" w:hAnsi="Calibri Light" w:cs="Calibri Light"/>
                <w:color w:val="000000" w:themeColor="text1"/>
              </w:rPr>
              <w:t xml:space="preserve">2, </w:t>
            </w:r>
            <w:r w:rsidR="004B41F4" w:rsidRPr="00565B02">
              <w:rPr>
                <w:rFonts w:ascii="Calibri Light" w:hAnsi="Calibri Light" w:cs="Calibri Light"/>
                <w:color w:val="000000" w:themeColor="text1"/>
              </w:rPr>
              <w:t>TEKO</w:t>
            </w:r>
            <w:r w:rsidR="004B41F4" w:rsidRPr="006D5F5A">
              <w:rPr>
                <w:rFonts w:ascii="Calibri Light" w:hAnsi="Calibri Light" w:cs="Calibri Light"/>
                <w:color w:val="000000" w:themeColor="text1"/>
              </w:rPr>
              <w:t xml:space="preserve"> </w:t>
            </w:r>
            <w:r w:rsidR="004B41F4" w:rsidRPr="00565B02">
              <w:rPr>
                <w:rFonts w:ascii="Calibri Light" w:hAnsi="Calibri Light" w:cs="Calibri Light"/>
                <w:color w:val="000000" w:themeColor="text1"/>
              </w:rPr>
              <w:t>A</w:t>
            </w:r>
            <w:r w:rsidR="004B41F4" w:rsidRPr="006D5F5A">
              <w:rPr>
                <w:rFonts w:ascii="Calibri Light" w:hAnsi="Calibri Light" w:cs="Calibri Light"/>
                <w:color w:val="000000" w:themeColor="text1"/>
              </w:rPr>
              <w:t xml:space="preserve">1, </w:t>
            </w:r>
            <w:r w:rsidR="004B41F4" w:rsidRPr="00565B02">
              <w:rPr>
                <w:rFonts w:ascii="Calibri Light" w:hAnsi="Calibri Light" w:cs="Calibri Light"/>
                <w:color w:val="000000" w:themeColor="text1"/>
              </w:rPr>
              <w:t>TEKO</w:t>
            </w:r>
            <w:r w:rsidR="004B41F4" w:rsidRPr="006D5F5A">
              <w:rPr>
                <w:rFonts w:ascii="Calibri Light" w:hAnsi="Calibri Light" w:cs="Calibri Light"/>
                <w:color w:val="000000" w:themeColor="text1"/>
              </w:rPr>
              <w:t xml:space="preserve"> </w:t>
            </w:r>
            <w:r w:rsidR="004B41F4" w:rsidRPr="00565B02">
              <w:rPr>
                <w:rFonts w:ascii="Calibri Light" w:hAnsi="Calibri Light" w:cs="Calibri Light"/>
                <w:color w:val="000000" w:themeColor="text1"/>
              </w:rPr>
              <w:t>A</w:t>
            </w:r>
            <w:r w:rsidR="004B41F4" w:rsidRPr="006D5F5A">
              <w:rPr>
                <w:rFonts w:ascii="Calibri Light" w:hAnsi="Calibri Light" w:cs="Calibri Light"/>
                <w:color w:val="000000" w:themeColor="text1"/>
              </w:rPr>
              <w:t xml:space="preserve">2, </w:t>
            </w:r>
            <w:r w:rsidR="004B41F4" w:rsidRPr="00565B02">
              <w:rPr>
                <w:rFonts w:ascii="Calibri Light" w:hAnsi="Calibri Light" w:cs="Calibri Light"/>
                <w:color w:val="000000" w:themeColor="text1"/>
              </w:rPr>
              <w:t>TEKO</w:t>
            </w:r>
            <w:r w:rsidR="004B41F4" w:rsidRPr="006D5F5A">
              <w:rPr>
                <w:rFonts w:ascii="Calibri Light" w:hAnsi="Calibri Light" w:cs="Calibri Light"/>
                <w:color w:val="000000" w:themeColor="text1"/>
              </w:rPr>
              <w:t xml:space="preserve"> </w:t>
            </w:r>
            <w:r w:rsidRPr="006D5F5A">
              <w:rPr>
                <w:rFonts w:ascii="Calibri Light" w:hAnsi="Calibri Light" w:cs="Calibri Light"/>
                <w:color w:val="000000" w:themeColor="text1"/>
              </w:rPr>
              <w:t>Б</w:t>
            </w:r>
            <w:r w:rsidR="004B41F4" w:rsidRPr="006D5F5A">
              <w:rPr>
                <w:rFonts w:ascii="Calibri Light" w:hAnsi="Calibri Light" w:cs="Calibri Light"/>
                <w:color w:val="000000" w:themeColor="text1"/>
              </w:rPr>
              <w:t xml:space="preserve">1, </w:t>
            </w:r>
            <w:r w:rsidR="004B41F4" w:rsidRPr="00565B02">
              <w:rPr>
                <w:rFonts w:ascii="Calibri Light" w:hAnsi="Calibri Light" w:cs="Calibri Light"/>
                <w:color w:val="000000" w:themeColor="text1"/>
              </w:rPr>
              <w:t>TEKO</w:t>
            </w:r>
            <w:r w:rsidR="004B41F4" w:rsidRPr="006D5F5A">
              <w:rPr>
                <w:rFonts w:ascii="Calibri Light" w:hAnsi="Calibri Light" w:cs="Calibri Light"/>
                <w:color w:val="000000" w:themeColor="text1"/>
              </w:rPr>
              <w:t xml:space="preserve"> </w:t>
            </w:r>
            <w:r w:rsidRPr="006D5F5A">
              <w:rPr>
                <w:rFonts w:ascii="Calibri Light" w:hAnsi="Calibri Light" w:cs="Calibri Light"/>
                <w:color w:val="000000" w:themeColor="text1"/>
              </w:rPr>
              <w:t>Б</w:t>
            </w:r>
            <w:r w:rsidR="004B41F4" w:rsidRPr="006D5F5A">
              <w:rPr>
                <w:rFonts w:ascii="Calibri Light" w:hAnsi="Calibri Light" w:cs="Calibri Light"/>
                <w:color w:val="000000" w:themeColor="text1"/>
              </w:rPr>
              <w:t xml:space="preserve">2, </w:t>
            </w:r>
            <w:r w:rsidR="004B41F4" w:rsidRPr="00565B02">
              <w:rPr>
                <w:rFonts w:ascii="Calibri Light" w:hAnsi="Calibri Light" w:cs="Calibri Light"/>
                <w:color w:val="000000" w:themeColor="text1"/>
              </w:rPr>
              <w:t>TE</w:t>
            </w:r>
            <w:r w:rsidRPr="006D5F5A">
              <w:rPr>
                <w:rFonts w:ascii="Calibri Light" w:hAnsi="Calibri Light" w:cs="Calibri Light"/>
                <w:color w:val="000000" w:themeColor="text1"/>
              </w:rPr>
              <w:t>Н</w:t>
            </w:r>
            <w:r w:rsidR="004B41F4" w:rsidRPr="00565B02">
              <w:rPr>
                <w:rFonts w:ascii="Calibri Light" w:hAnsi="Calibri Light" w:cs="Calibri Light"/>
                <w:color w:val="000000" w:themeColor="text1"/>
              </w:rPr>
              <w:t>T</w:t>
            </w:r>
            <w:r w:rsidR="004B41F4" w:rsidRPr="006D5F5A">
              <w:rPr>
                <w:rFonts w:ascii="Calibri Light" w:hAnsi="Calibri Light" w:cs="Calibri Light"/>
                <w:color w:val="000000" w:themeColor="text1"/>
              </w:rPr>
              <w:t xml:space="preserve"> </w:t>
            </w:r>
            <w:r w:rsidR="004B41F4" w:rsidRPr="00565B02">
              <w:rPr>
                <w:rFonts w:ascii="Calibri Light" w:hAnsi="Calibri Light" w:cs="Calibri Light"/>
                <w:color w:val="000000" w:themeColor="text1"/>
              </w:rPr>
              <w:t>A</w:t>
            </w:r>
            <w:r w:rsidR="004B41F4" w:rsidRPr="006D5F5A">
              <w:rPr>
                <w:rFonts w:ascii="Calibri Light" w:hAnsi="Calibri Light" w:cs="Calibri Light"/>
                <w:color w:val="000000" w:themeColor="text1"/>
              </w:rPr>
              <w:t xml:space="preserve"> </w:t>
            </w:r>
            <w:r w:rsidR="004B41F4" w:rsidRPr="00565B02">
              <w:rPr>
                <w:rFonts w:ascii="Calibri Light" w:hAnsi="Calibri Light" w:cs="Calibri Light"/>
                <w:color w:val="000000" w:themeColor="text1"/>
              </w:rPr>
              <w:t>A</w:t>
            </w:r>
            <w:r w:rsidR="004B41F4" w:rsidRPr="006D5F5A">
              <w:rPr>
                <w:rFonts w:ascii="Calibri Light" w:hAnsi="Calibri Light" w:cs="Calibri Light"/>
                <w:color w:val="000000" w:themeColor="text1"/>
              </w:rPr>
              <w:t>3-</w:t>
            </w:r>
            <w:r w:rsidR="004B41F4" w:rsidRPr="00565B02">
              <w:rPr>
                <w:rFonts w:ascii="Calibri Light" w:hAnsi="Calibri Light" w:cs="Calibri Light"/>
                <w:color w:val="000000" w:themeColor="text1"/>
              </w:rPr>
              <w:t>A</w:t>
            </w:r>
            <w:r w:rsidR="004B41F4" w:rsidRPr="006D5F5A">
              <w:rPr>
                <w:rFonts w:ascii="Calibri Light" w:hAnsi="Calibri Light" w:cs="Calibri Light"/>
                <w:color w:val="000000" w:themeColor="text1"/>
              </w:rPr>
              <w:t xml:space="preserve">6, </w:t>
            </w:r>
            <w:r w:rsidR="004B41F4" w:rsidRPr="00565B02">
              <w:rPr>
                <w:rFonts w:ascii="Calibri Light" w:hAnsi="Calibri Light" w:cs="Calibri Light"/>
                <w:color w:val="000000" w:themeColor="text1"/>
              </w:rPr>
              <w:t>TE</w:t>
            </w:r>
            <w:r w:rsidRPr="006D5F5A">
              <w:rPr>
                <w:rFonts w:ascii="Calibri Light" w:hAnsi="Calibri Light" w:cs="Calibri Light"/>
                <w:color w:val="000000" w:themeColor="text1"/>
              </w:rPr>
              <w:t>Н</w:t>
            </w:r>
            <w:r w:rsidR="004B41F4" w:rsidRPr="00565B02">
              <w:rPr>
                <w:rFonts w:ascii="Calibri Light" w:hAnsi="Calibri Light" w:cs="Calibri Light"/>
                <w:color w:val="000000" w:themeColor="text1"/>
              </w:rPr>
              <w:t>T</w:t>
            </w:r>
            <w:r w:rsidR="004B41F4" w:rsidRPr="006D5F5A">
              <w:rPr>
                <w:rFonts w:ascii="Calibri Light" w:hAnsi="Calibri Light" w:cs="Calibri Light"/>
                <w:color w:val="000000" w:themeColor="text1"/>
              </w:rPr>
              <w:t xml:space="preserve"> </w:t>
            </w:r>
            <w:r w:rsidR="004B41F4" w:rsidRPr="00565B02">
              <w:rPr>
                <w:rFonts w:ascii="Calibri Light" w:hAnsi="Calibri Light" w:cs="Calibri Light"/>
                <w:color w:val="000000" w:themeColor="text1"/>
              </w:rPr>
              <w:t>A</w:t>
            </w:r>
            <w:r w:rsidR="004B41F4" w:rsidRPr="006D5F5A">
              <w:rPr>
                <w:rFonts w:ascii="Calibri Light" w:hAnsi="Calibri Light" w:cs="Calibri Light"/>
                <w:color w:val="000000" w:themeColor="text1"/>
              </w:rPr>
              <w:t>5)</w:t>
            </w:r>
          </w:p>
        </w:tc>
        <w:tc>
          <w:tcPr>
            <w:tcW w:w="1262" w:type="dxa"/>
            <w:vAlign w:val="center"/>
          </w:tcPr>
          <w:p w14:paraId="06A01878"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2030</w:t>
            </w:r>
          </w:p>
        </w:tc>
        <w:tc>
          <w:tcPr>
            <w:tcW w:w="1203" w:type="dxa"/>
            <w:vAlign w:val="center"/>
          </w:tcPr>
          <w:p w14:paraId="46D76CD7"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2.000</w:t>
            </w:r>
          </w:p>
        </w:tc>
        <w:tc>
          <w:tcPr>
            <w:tcW w:w="1203" w:type="dxa"/>
            <w:vAlign w:val="center"/>
          </w:tcPr>
          <w:p w14:paraId="51774541" w14:textId="77777777" w:rsidR="004B41F4" w:rsidRPr="00565B02" w:rsidRDefault="004B41F4" w:rsidP="0057310C">
            <w:pPr>
              <w:tabs>
                <w:tab w:val="left" w:pos="1830"/>
              </w:tabs>
              <w:jc w:val="center"/>
              <w:rPr>
                <w:rFonts w:ascii="Calibri Light" w:hAnsi="Calibri Light" w:cs="Calibri Light"/>
                <w:color w:val="000000" w:themeColor="text1"/>
              </w:rPr>
            </w:pPr>
          </w:p>
        </w:tc>
      </w:tr>
      <w:tr w:rsidR="004B41F4" w:rsidRPr="006D5F5A" w14:paraId="11ACE52E" w14:textId="77777777" w:rsidTr="00565B02">
        <w:trPr>
          <w:trHeight w:val="143"/>
        </w:trPr>
        <w:tc>
          <w:tcPr>
            <w:tcW w:w="1368" w:type="dxa"/>
            <w:vMerge/>
            <w:shd w:val="clear" w:color="auto" w:fill="E7E6E6"/>
            <w:vAlign w:val="center"/>
          </w:tcPr>
          <w:p w14:paraId="4AB26E90" w14:textId="77777777" w:rsidR="004B41F4" w:rsidRPr="00565B02" w:rsidRDefault="004B41F4" w:rsidP="000A2AFE">
            <w:pPr>
              <w:tabs>
                <w:tab w:val="left" w:pos="1830"/>
              </w:tabs>
              <w:jc w:val="left"/>
              <w:rPr>
                <w:rFonts w:ascii="Calibri Light" w:hAnsi="Calibri Light" w:cs="Calibri Light"/>
                <w:color w:val="000000" w:themeColor="text1"/>
              </w:rPr>
            </w:pPr>
          </w:p>
        </w:tc>
        <w:tc>
          <w:tcPr>
            <w:tcW w:w="4587" w:type="dxa"/>
          </w:tcPr>
          <w:p w14:paraId="3A4879CE" w14:textId="4912A33A" w:rsidR="004B41F4" w:rsidRPr="00565B02" w:rsidRDefault="00F94247" w:rsidP="0057310C">
            <w:pPr>
              <w:tabs>
                <w:tab w:val="left" w:pos="1830"/>
              </w:tabs>
              <w:rPr>
                <w:rFonts w:ascii="Calibri Light" w:hAnsi="Calibri Light" w:cs="Calibri Light"/>
                <w:color w:val="000000" w:themeColor="text1"/>
              </w:rPr>
            </w:pPr>
            <w:r w:rsidRPr="00565B02">
              <w:rPr>
                <w:rFonts w:ascii="Calibri Light" w:hAnsi="Calibri Light" w:cs="Calibri Light"/>
                <w:color w:val="000000" w:themeColor="text1"/>
              </w:rPr>
              <w:t xml:space="preserve">Ревитализација постојећих </w:t>
            </w:r>
            <w:r w:rsidRPr="006D5F5A">
              <w:rPr>
                <w:rFonts w:ascii="Calibri Light" w:hAnsi="Calibri Light" w:cs="Calibri Light"/>
                <w:color w:val="000000" w:themeColor="text1"/>
              </w:rPr>
              <w:t>хидр</w:t>
            </w:r>
            <w:r w:rsidRPr="00565B02">
              <w:rPr>
                <w:rFonts w:ascii="Calibri Light" w:hAnsi="Calibri Light" w:cs="Calibri Light"/>
                <w:color w:val="000000" w:themeColor="text1"/>
              </w:rPr>
              <w:t>оелектрана</w:t>
            </w:r>
            <w:r w:rsidR="002262E0" w:rsidRPr="006D5F5A">
              <w:rPr>
                <w:rFonts w:ascii="Calibri Light" w:hAnsi="Calibri Light" w:cs="Calibri Light"/>
                <w:color w:val="000000" w:themeColor="text1"/>
              </w:rPr>
              <w:t xml:space="preserve"> </w:t>
            </w:r>
            <w:r w:rsidR="004B41F4" w:rsidRPr="00565B02">
              <w:rPr>
                <w:rFonts w:ascii="Calibri Light" w:hAnsi="Calibri Light" w:cs="Calibri Light"/>
                <w:color w:val="000000" w:themeColor="text1"/>
              </w:rPr>
              <w:t>(</w:t>
            </w:r>
            <w:r w:rsidRPr="006D5F5A">
              <w:rPr>
                <w:rFonts w:ascii="Calibri Light" w:hAnsi="Calibri Light" w:cs="Calibri Light"/>
                <w:color w:val="000000" w:themeColor="text1"/>
              </w:rPr>
              <w:t>Ђердап</w:t>
            </w:r>
            <w:r w:rsidR="004B41F4" w:rsidRPr="00565B02">
              <w:rPr>
                <w:rFonts w:ascii="Calibri Light" w:hAnsi="Calibri Light" w:cs="Calibri Light"/>
                <w:color w:val="000000" w:themeColor="text1"/>
              </w:rPr>
              <w:t xml:space="preserve"> 2, </w:t>
            </w:r>
            <w:r w:rsidRPr="006D5F5A">
              <w:rPr>
                <w:rFonts w:ascii="Calibri Light" w:hAnsi="Calibri Light" w:cs="Calibri Light"/>
                <w:color w:val="000000" w:themeColor="text1"/>
              </w:rPr>
              <w:t>Власинске</w:t>
            </w:r>
            <w:r w:rsidR="004B41F4" w:rsidRPr="00565B02">
              <w:rPr>
                <w:rFonts w:ascii="Calibri Light" w:hAnsi="Calibri Light" w:cs="Calibri Light"/>
                <w:color w:val="000000" w:themeColor="text1"/>
              </w:rPr>
              <w:t xml:space="preserve">, </w:t>
            </w:r>
            <w:r w:rsidRPr="006D5F5A">
              <w:rPr>
                <w:rFonts w:ascii="Calibri Light" w:hAnsi="Calibri Light" w:cs="Calibri Light"/>
                <w:color w:val="000000" w:themeColor="text1"/>
              </w:rPr>
              <w:t>Потпећ</w:t>
            </w:r>
            <w:r w:rsidR="004B41F4" w:rsidRPr="00565B02">
              <w:rPr>
                <w:rFonts w:ascii="Calibri Light" w:hAnsi="Calibri Light" w:cs="Calibri Light"/>
                <w:color w:val="000000" w:themeColor="text1"/>
              </w:rPr>
              <w:t xml:space="preserve">, </w:t>
            </w:r>
            <w:r w:rsidRPr="006D5F5A">
              <w:rPr>
                <w:rFonts w:ascii="Calibri Light" w:hAnsi="Calibri Light" w:cs="Calibri Light"/>
                <w:color w:val="000000" w:themeColor="text1"/>
              </w:rPr>
              <w:t>Бистрица</w:t>
            </w:r>
            <w:r w:rsidR="004B41F4" w:rsidRPr="00565B02">
              <w:rPr>
                <w:rFonts w:ascii="Calibri Light" w:hAnsi="Calibri Light" w:cs="Calibri Light"/>
                <w:color w:val="000000" w:themeColor="text1"/>
              </w:rPr>
              <w:t>)</w:t>
            </w:r>
          </w:p>
        </w:tc>
        <w:tc>
          <w:tcPr>
            <w:tcW w:w="1262" w:type="dxa"/>
            <w:vAlign w:val="center"/>
          </w:tcPr>
          <w:p w14:paraId="0975B878"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2035</w:t>
            </w:r>
          </w:p>
        </w:tc>
        <w:tc>
          <w:tcPr>
            <w:tcW w:w="1203" w:type="dxa"/>
            <w:vAlign w:val="center"/>
          </w:tcPr>
          <w:p w14:paraId="043284E7" w14:textId="77777777" w:rsidR="004B41F4" w:rsidRPr="00565B02" w:rsidRDefault="004B41F4" w:rsidP="0057310C">
            <w:pPr>
              <w:tabs>
                <w:tab w:val="left" w:pos="1830"/>
              </w:tabs>
              <w:jc w:val="center"/>
              <w:rPr>
                <w:rFonts w:ascii="Calibri Light" w:hAnsi="Calibri Light" w:cs="Calibri Light"/>
                <w:color w:val="000000" w:themeColor="text1"/>
              </w:rPr>
            </w:pPr>
          </w:p>
        </w:tc>
        <w:tc>
          <w:tcPr>
            <w:tcW w:w="1203" w:type="dxa"/>
            <w:vAlign w:val="center"/>
          </w:tcPr>
          <w:p w14:paraId="212132F7"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369</w:t>
            </w:r>
          </w:p>
        </w:tc>
      </w:tr>
      <w:tr w:rsidR="004B41F4" w:rsidRPr="006D5F5A" w14:paraId="1484DE9C" w14:textId="77777777" w:rsidTr="00565B02">
        <w:trPr>
          <w:trHeight w:val="143"/>
        </w:trPr>
        <w:tc>
          <w:tcPr>
            <w:tcW w:w="1368" w:type="dxa"/>
            <w:vMerge/>
            <w:shd w:val="clear" w:color="auto" w:fill="E7E6E6"/>
            <w:vAlign w:val="center"/>
          </w:tcPr>
          <w:p w14:paraId="30E0D913" w14:textId="77777777" w:rsidR="004B41F4" w:rsidRPr="00565B02" w:rsidRDefault="004B41F4" w:rsidP="000A2AFE">
            <w:pPr>
              <w:tabs>
                <w:tab w:val="left" w:pos="1830"/>
              </w:tabs>
              <w:jc w:val="left"/>
              <w:rPr>
                <w:rFonts w:ascii="Calibri Light" w:hAnsi="Calibri Light" w:cs="Calibri Light"/>
                <w:color w:val="000000" w:themeColor="text1"/>
              </w:rPr>
            </w:pPr>
          </w:p>
        </w:tc>
        <w:tc>
          <w:tcPr>
            <w:tcW w:w="4587" w:type="dxa"/>
          </w:tcPr>
          <w:p w14:paraId="3CF46CB1" w14:textId="7151D1BD" w:rsidR="004B41F4" w:rsidRPr="00565B02" w:rsidRDefault="00F94247" w:rsidP="0057310C">
            <w:pPr>
              <w:tabs>
                <w:tab w:val="left" w:pos="1830"/>
              </w:tabs>
              <w:rPr>
                <w:rFonts w:ascii="Calibri Light" w:hAnsi="Calibri Light" w:cs="Calibri Light"/>
                <w:color w:val="000000" w:themeColor="text1"/>
              </w:rPr>
            </w:pPr>
            <w:r w:rsidRPr="006D5F5A">
              <w:rPr>
                <w:rFonts w:ascii="Calibri Light" w:hAnsi="Calibri Light" w:cs="Calibri Light"/>
                <w:color w:val="000000" w:themeColor="text1"/>
              </w:rPr>
              <w:t>Нова</w:t>
            </w:r>
            <w:r w:rsidR="004B41F4" w:rsidRPr="00565B02">
              <w:rPr>
                <w:rFonts w:ascii="Calibri Light" w:hAnsi="Calibri Light" w:cs="Calibri Light"/>
                <w:color w:val="000000" w:themeColor="text1"/>
              </w:rPr>
              <w:t xml:space="preserve"> </w:t>
            </w:r>
            <w:r w:rsidRPr="006D5F5A">
              <w:rPr>
                <w:rFonts w:ascii="Calibri Light" w:hAnsi="Calibri Light" w:cs="Calibri Light"/>
                <w:color w:val="000000" w:themeColor="text1"/>
              </w:rPr>
              <w:t>р</w:t>
            </w:r>
            <w:r w:rsidRPr="00565B02">
              <w:rPr>
                <w:rFonts w:ascii="Calibri Light" w:hAnsi="Calibri Light" w:cs="Calibri Light"/>
                <w:color w:val="000000" w:themeColor="text1"/>
              </w:rPr>
              <w:t>еверзибилна хидроелектрана Ђердап 3</w:t>
            </w:r>
            <w:r w:rsidR="004B41F4" w:rsidRPr="00565B02">
              <w:rPr>
                <w:rFonts w:ascii="Calibri Light" w:hAnsi="Calibri Light" w:cs="Calibri Light"/>
                <w:color w:val="000000" w:themeColor="text1"/>
              </w:rPr>
              <w:t xml:space="preserve"> </w:t>
            </w:r>
            <w:r w:rsidRPr="00565B02">
              <w:rPr>
                <w:rFonts w:ascii="Calibri Light" w:hAnsi="Calibri Light" w:cs="Calibri Light"/>
                <w:color w:val="000000" w:themeColor="text1"/>
              </w:rPr>
              <w:t>укупне инсталисане снаге</w:t>
            </w:r>
            <w:r w:rsidR="004B41F4" w:rsidRPr="00565B02">
              <w:rPr>
                <w:rFonts w:ascii="Calibri Light" w:hAnsi="Calibri Light" w:cs="Calibri Light"/>
                <w:color w:val="000000" w:themeColor="text1"/>
              </w:rPr>
              <w:t xml:space="preserve"> 1800MW</w:t>
            </w:r>
          </w:p>
        </w:tc>
        <w:tc>
          <w:tcPr>
            <w:tcW w:w="1262" w:type="dxa"/>
            <w:vAlign w:val="center"/>
          </w:tcPr>
          <w:p w14:paraId="07FAA463"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2038</w:t>
            </w:r>
          </w:p>
        </w:tc>
        <w:tc>
          <w:tcPr>
            <w:tcW w:w="1203" w:type="dxa"/>
            <w:vAlign w:val="center"/>
          </w:tcPr>
          <w:p w14:paraId="35811486" w14:textId="77777777" w:rsidR="004B41F4" w:rsidRPr="00565B02" w:rsidRDefault="004B41F4" w:rsidP="0057310C">
            <w:pPr>
              <w:tabs>
                <w:tab w:val="left" w:pos="1830"/>
              </w:tabs>
              <w:jc w:val="center"/>
              <w:rPr>
                <w:rFonts w:ascii="Calibri Light" w:hAnsi="Calibri Light" w:cs="Calibri Light"/>
                <w:color w:val="000000" w:themeColor="text1"/>
              </w:rPr>
            </w:pPr>
          </w:p>
        </w:tc>
        <w:tc>
          <w:tcPr>
            <w:tcW w:w="1203" w:type="dxa"/>
            <w:vAlign w:val="center"/>
          </w:tcPr>
          <w:p w14:paraId="33FD391D"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1.400</w:t>
            </w:r>
          </w:p>
        </w:tc>
      </w:tr>
      <w:tr w:rsidR="004B41F4" w:rsidRPr="006D5F5A" w14:paraId="1D2FCEA0" w14:textId="77777777" w:rsidTr="00565B02">
        <w:trPr>
          <w:trHeight w:val="143"/>
        </w:trPr>
        <w:tc>
          <w:tcPr>
            <w:tcW w:w="1368" w:type="dxa"/>
            <w:vMerge/>
            <w:shd w:val="clear" w:color="auto" w:fill="E7E6E6"/>
            <w:vAlign w:val="center"/>
          </w:tcPr>
          <w:p w14:paraId="485CCEAE" w14:textId="77777777" w:rsidR="004B41F4" w:rsidRPr="00565B02" w:rsidRDefault="004B41F4" w:rsidP="000A2AFE">
            <w:pPr>
              <w:tabs>
                <w:tab w:val="left" w:pos="1830"/>
              </w:tabs>
              <w:jc w:val="left"/>
              <w:rPr>
                <w:rFonts w:ascii="Calibri Light" w:hAnsi="Calibri Light" w:cs="Calibri Light"/>
                <w:color w:val="000000" w:themeColor="text1"/>
              </w:rPr>
            </w:pPr>
          </w:p>
        </w:tc>
        <w:tc>
          <w:tcPr>
            <w:tcW w:w="4587" w:type="dxa"/>
          </w:tcPr>
          <w:p w14:paraId="2B71B20B" w14:textId="30176429" w:rsidR="004B41F4" w:rsidRPr="006D5F5A" w:rsidRDefault="00F94247" w:rsidP="0057310C">
            <w:pPr>
              <w:tabs>
                <w:tab w:val="left" w:pos="1830"/>
              </w:tabs>
              <w:rPr>
                <w:rFonts w:ascii="Calibri Light" w:hAnsi="Calibri Light" w:cs="Calibri Light"/>
                <w:color w:val="000000" w:themeColor="text1"/>
              </w:rPr>
            </w:pPr>
            <w:r w:rsidRPr="00565B02">
              <w:rPr>
                <w:rFonts w:ascii="Calibri Light" w:hAnsi="Calibri Light" w:cs="Calibri Light"/>
                <w:color w:val="000000" w:themeColor="text1"/>
              </w:rPr>
              <w:t xml:space="preserve">Изградња самобалансираних соларних електрана </w:t>
            </w:r>
            <w:r w:rsidR="004B41F4" w:rsidRPr="00565B02">
              <w:rPr>
                <w:rFonts w:ascii="Calibri Light" w:hAnsi="Calibri Light" w:cs="Calibri Light"/>
                <w:color w:val="000000" w:themeColor="text1"/>
              </w:rPr>
              <w:t>–</w:t>
            </w:r>
            <w:r w:rsidRPr="006D5F5A">
              <w:t xml:space="preserve"> </w:t>
            </w:r>
            <w:r w:rsidRPr="00565B02">
              <w:rPr>
                <w:rFonts w:ascii="Calibri Light" w:hAnsi="Calibri Light" w:cs="Calibri Light"/>
                <w:color w:val="000000" w:themeColor="text1"/>
              </w:rPr>
              <w:t xml:space="preserve">Батеријски систем за складиштење до </w:t>
            </w:r>
            <w:r w:rsidR="004B41F4" w:rsidRPr="00565B02">
              <w:rPr>
                <w:rFonts w:ascii="Calibri Light" w:hAnsi="Calibri Light" w:cs="Calibri Light"/>
                <w:color w:val="000000" w:themeColor="text1"/>
              </w:rPr>
              <w:t>400 MW</w:t>
            </w:r>
            <w:r w:rsidR="000C6670" w:rsidRPr="00565B02">
              <w:rPr>
                <w:rFonts w:ascii="Calibri Light" w:hAnsi="Calibri Light" w:cs="Calibri Light"/>
                <w:color w:val="000000" w:themeColor="text1"/>
              </w:rPr>
              <w:t>.</w:t>
            </w:r>
            <w:r w:rsidR="000C6670" w:rsidRPr="006D5F5A">
              <w:rPr>
                <w:rFonts w:ascii="Calibri Light" w:hAnsi="Calibri Light" w:cs="Calibri Light"/>
                <w:color w:val="000000" w:themeColor="text1"/>
              </w:rPr>
              <w:t xml:space="preserve"> </w:t>
            </w:r>
            <w:r w:rsidR="00F16D91" w:rsidRPr="006D5F5A">
              <w:rPr>
                <w:rFonts w:ascii="Calibri Light" w:hAnsi="Calibri Light" w:cs="Calibri Light"/>
                <w:color w:val="000000" w:themeColor="text1"/>
              </w:rPr>
              <w:t>Процењена</w:t>
            </w:r>
            <w:r w:rsidR="000C6670" w:rsidRPr="006D5F5A">
              <w:rPr>
                <w:rFonts w:ascii="Calibri Light" w:hAnsi="Calibri Light" w:cs="Calibri Light"/>
                <w:color w:val="000000" w:themeColor="text1"/>
              </w:rPr>
              <w:t xml:space="preserve"> цена је за батеријски систем.</w:t>
            </w:r>
          </w:p>
        </w:tc>
        <w:tc>
          <w:tcPr>
            <w:tcW w:w="1262" w:type="dxa"/>
            <w:vAlign w:val="center"/>
          </w:tcPr>
          <w:p w14:paraId="43C818C0"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2028</w:t>
            </w:r>
          </w:p>
        </w:tc>
        <w:tc>
          <w:tcPr>
            <w:tcW w:w="1203" w:type="dxa"/>
            <w:vAlign w:val="center"/>
          </w:tcPr>
          <w:p w14:paraId="6E6A65E6"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350</w:t>
            </w:r>
          </w:p>
        </w:tc>
        <w:tc>
          <w:tcPr>
            <w:tcW w:w="1203" w:type="dxa"/>
            <w:vAlign w:val="center"/>
          </w:tcPr>
          <w:p w14:paraId="02D414D5" w14:textId="77777777" w:rsidR="004B41F4" w:rsidRPr="00565B02" w:rsidRDefault="004B41F4" w:rsidP="0057310C">
            <w:pPr>
              <w:tabs>
                <w:tab w:val="left" w:pos="1830"/>
              </w:tabs>
              <w:jc w:val="center"/>
              <w:rPr>
                <w:rFonts w:ascii="Calibri Light" w:hAnsi="Calibri Light" w:cs="Calibri Light"/>
                <w:color w:val="000000" w:themeColor="text1"/>
              </w:rPr>
            </w:pPr>
          </w:p>
        </w:tc>
      </w:tr>
      <w:tr w:rsidR="004B41F4" w:rsidRPr="006D5F5A" w14:paraId="7098BC35" w14:textId="77777777" w:rsidTr="00565B02">
        <w:trPr>
          <w:trHeight w:val="143"/>
        </w:trPr>
        <w:tc>
          <w:tcPr>
            <w:tcW w:w="1368" w:type="dxa"/>
            <w:vMerge/>
            <w:shd w:val="clear" w:color="auto" w:fill="E7E6E6"/>
            <w:vAlign w:val="center"/>
          </w:tcPr>
          <w:p w14:paraId="4E16A026" w14:textId="77777777" w:rsidR="004B41F4" w:rsidRPr="00565B02" w:rsidRDefault="004B41F4" w:rsidP="000A2AFE">
            <w:pPr>
              <w:tabs>
                <w:tab w:val="left" w:pos="1830"/>
              </w:tabs>
              <w:jc w:val="left"/>
              <w:rPr>
                <w:rFonts w:ascii="Calibri Light" w:hAnsi="Calibri Light" w:cs="Calibri Light"/>
                <w:color w:val="000000" w:themeColor="text1"/>
              </w:rPr>
            </w:pPr>
          </w:p>
        </w:tc>
        <w:tc>
          <w:tcPr>
            <w:tcW w:w="4587" w:type="dxa"/>
          </w:tcPr>
          <w:p w14:paraId="550AC259" w14:textId="19491D02" w:rsidR="004B41F4" w:rsidRPr="006D5F5A" w:rsidRDefault="008A210E" w:rsidP="0057310C">
            <w:pPr>
              <w:tabs>
                <w:tab w:val="left" w:pos="1830"/>
              </w:tabs>
              <w:rPr>
                <w:rFonts w:ascii="Calibri Light" w:hAnsi="Calibri Light" w:cs="Calibri Light"/>
                <w:color w:val="000000" w:themeColor="text1"/>
              </w:rPr>
            </w:pPr>
            <w:r w:rsidRPr="00565B02">
              <w:rPr>
                <w:rFonts w:ascii="Calibri Light" w:hAnsi="Calibri Light" w:cs="Calibri Light"/>
                <w:color w:val="000000" w:themeColor="text1"/>
              </w:rPr>
              <w:t xml:space="preserve">Гасна електрана у Нишу </w:t>
            </w:r>
            <w:r w:rsidR="004B41F4" w:rsidRPr="00565B02">
              <w:rPr>
                <w:rFonts w:ascii="Calibri Light" w:hAnsi="Calibri Light" w:cs="Calibri Light"/>
                <w:color w:val="000000" w:themeColor="text1"/>
              </w:rPr>
              <w:t>150 MW</w:t>
            </w:r>
            <w:r w:rsidRPr="006D5F5A">
              <w:rPr>
                <w:rFonts w:ascii="Calibri Light" w:hAnsi="Calibri Light" w:cs="Calibri Light"/>
                <w:color w:val="000000" w:themeColor="text1"/>
              </w:rPr>
              <w:t xml:space="preserve"> електричне енергије</w:t>
            </w:r>
          </w:p>
        </w:tc>
        <w:tc>
          <w:tcPr>
            <w:tcW w:w="1262" w:type="dxa"/>
            <w:vAlign w:val="center"/>
          </w:tcPr>
          <w:p w14:paraId="18CEA36E"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2030</w:t>
            </w:r>
          </w:p>
        </w:tc>
        <w:tc>
          <w:tcPr>
            <w:tcW w:w="1203" w:type="dxa"/>
            <w:vAlign w:val="center"/>
          </w:tcPr>
          <w:p w14:paraId="4A60774C"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250</w:t>
            </w:r>
          </w:p>
        </w:tc>
        <w:tc>
          <w:tcPr>
            <w:tcW w:w="1203" w:type="dxa"/>
            <w:vAlign w:val="center"/>
          </w:tcPr>
          <w:p w14:paraId="71CD6B42" w14:textId="77777777" w:rsidR="004B41F4" w:rsidRPr="00565B02" w:rsidRDefault="004B41F4" w:rsidP="0057310C">
            <w:pPr>
              <w:tabs>
                <w:tab w:val="left" w:pos="1830"/>
              </w:tabs>
              <w:jc w:val="center"/>
              <w:rPr>
                <w:rFonts w:ascii="Calibri Light" w:hAnsi="Calibri Light" w:cs="Calibri Light"/>
                <w:color w:val="000000" w:themeColor="text1"/>
              </w:rPr>
            </w:pPr>
          </w:p>
        </w:tc>
      </w:tr>
      <w:tr w:rsidR="004B41F4" w:rsidRPr="006D5F5A" w14:paraId="15A9DA57" w14:textId="77777777" w:rsidTr="00565B02">
        <w:trPr>
          <w:trHeight w:val="366"/>
        </w:trPr>
        <w:tc>
          <w:tcPr>
            <w:tcW w:w="1368" w:type="dxa"/>
            <w:vMerge w:val="restart"/>
            <w:shd w:val="clear" w:color="auto" w:fill="E7E6E6"/>
            <w:vAlign w:val="center"/>
          </w:tcPr>
          <w:p w14:paraId="2E793990" w14:textId="34C29AB6" w:rsidR="004B41F4" w:rsidRPr="006D5F5A" w:rsidRDefault="004B41F4" w:rsidP="000A2AFE">
            <w:pPr>
              <w:tabs>
                <w:tab w:val="left" w:pos="1830"/>
              </w:tabs>
              <w:jc w:val="left"/>
              <w:rPr>
                <w:rFonts w:ascii="Calibri Light" w:hAnsi="Calibri Light" w:cs="Calibri Light"/>
                <w:color w:val="000000" w:themeColor="text1"/>
              </w:rPr>
            </w:pPr>
            <w:r w:rsidRPr="006D5F5A">
              <w:rPr>
                <w:rFonts w:ascii="Calibri Light" w:hAnsi="Calibri Light" w:cs="Calibri Light"/>
                <w:color w:val="000000" w:themeColor="text1"/>
              </w:rPr>
              <w:t>Пренос</w:t>
            </w:r>
          </w:p>
        </w:tc>
        <w:tc>
          <w:tcPr>
            <w:tcW w:w="4587" w:type="dxa"/>
          </w:tcPr>
          <w:p w14:paraId="7BA209F9" w14:textId="0707D49D" w:rsidR="004B41F4" w:rsidRPr="006D5F5A" w:rsidRDefault="008A210E" w:rsidP="0057310C">
            <w:pPr>
              <w:tabs>
                <w:tab w:val="left" w:pos="1830"/>
              </w:tabs>
              <w:rPr>
                <w:rFonts w:ascii="Calibri Light" w:hAnsi="Calibri Light" w:cs="Calibri Light"/>
                <w:color w:val="000000" w:themeColor="text1"/>
              </w:rPr>
            </w:pPr>
            <w:r w:rsidRPr="006D5F5A">
              <w:rPr>
                <w:rFonts w:ascii="Calibri Light" w:hAnsi="Calibri Light" w:cs="Calibri Light"/>
                <w:color w:val="000000" w:themeColor="text1"/>
              </w:rPr>
              <w:t xml:space="preserve">ДВ 2х400 </w:t>
            </w:r>
            <w:r w:rsidRPr="00565B02">
              <w:rPr>
                <w:rFonts w:ascii="Calibri Light" w:hAnsi="Calibri Light" w:cs="Calibri Light"/>
                <w:color w:val="000000" w:themeColor="text1"/>
              </w:rPr>
              <w:t>kV</w:t>
            </w:r>
            <w:r w:rsidRPr="006D5F5A">
              <w:rPr>
                <w:rFonts w:ascii="Calibri Light" w:hAnsi="Calibri Light" w:cs="Calibri Light"/>
                <w:color w:val="000000" w:themeColor="text1"/>
              </w:rPr>
              <w:t xml:space="preserve"> ТС Јагодина 4 – ТС Пожаревац 3</w:t>
            </w:r>
          </w:p>
        </w:tc>
        <w:tc>
          <w:tcPr>
            <w:tcW w:w="1262" w:type="dxa"/>
            <w:vAlign w:val="center"/>
          </w:tcPr>
          <w:p w14:paraId="12658C4C"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2030</w:t>
            </w:r>
          </w:p>
        </w:tc>
        <w:tc>
          <w:tcPr>
            <w:tcW w:w="1203" w:type="dxa"/>
            <w:vAlign w:val="center"/>
          </w:tcPr>
          <w:p w14:paraId="5CC3F661"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56</w:t>
            </w:r>
          </w:p>
        </w:tc>
        <w:tc>
          <w:tcPr>
            <w:tcW w:w="1203" w:type="dxa"/>
            <w:vAlign w:val="center"/>
          </w:tcPr>
          <w:p w14:paraId="64CFDEF9" w14:textId="77777777" w:rsidR="004B41F4" w:rsidRPr="00565B02" w:rsidRDefault="004B41F4" w:rsidP="0057310C">
            <w:pPr>
              <w:tabs>
                <w:tab w:val="left" w:pos="1830"/>
              </w:tabs>
              <w:jc w:val="center"/>
              <w:rPr>
                <w:rFonts w:ascii="Calibri Light" w:hAnsi="Calibri Light" w:cs="Calibri Light"/>
                <w:color w:val="000000" w:themeColor="text1"/>
              </w:rPr>
            </w:pPr>
          </w:p>
        </w:tc>
      </w:tr>
      <w:tr w:rsidR="004B41F4" w:rsidRPr="006D5F5A" w14:paraId="76FEB45D" w14:textId="77777777" w:rsidTr="00565B02">
        <w:trPr>
          <w:trHeight w:val="143"/>
        </w:trPr>
        <w:tc>
          <w:tcPr>
            <w:tcW w:w="1368" w:type="dxa"/>
            <w:vMerge/>
            <w:shd w:val="clear" w:color="auto" w:fill="E7E6E6"/>
            <w:vAlign w:val="center"/>
          </w:tcPr>
          <w:p w14:paraId="3029F3F4" w14:textId="77777777" w:rsidR="004B41F4" w:rsidRPr="00565B02" w:rsidRDefault="004B41F4" w:rsidP="000A2AFE">
            <w:pPr>
              <w:tabs>
                <w:tab w:val="left" w:pos="1830"/>
              </w:tabs>
              <w:jc w:val="left"/>
              <w:rPr>
                <w:rFonts w:ascii="Calibri Light" w:hAnsi="Calibri Light" w:cs="Calibri Light"/>
                <w:color w:val="000000" w:themeColor="text1"/>
              </w:rPr>
            </w:pPr>
          </w:p>
        </w:tc>
        <w:tc>
          <w:tcPr>
            <w:tcW w:w="4587" w:type="dxa"/>
          </w:tcPr>
          <w:p w14:paraId="5480A1E5" w14:textId="49137903" w:rsidR="004B41F4" w:rsidRPr="00565B02" w:rsidRDefault="008A210E" w:rsidP="0057310C">
            <w:pPr>
              <w:rPr>
                <w:rFonts w:ascii="Calibri Light" w:hAnsi="Calibri Light" w:cs="Calibri Light"/>
                <w:color w:val="000000" w:themeColor="text1"/>
              </w:rPr>
            </w:pPr>
            <w:r w:rsidRPr="00565B02">
              <w:rPr>
                <w:rFonts w:ascii="Calibri Light" w:hAnsi="Calibri Light" w:cs="Calibri Light"/>
                <w:color w:val="000000" w:themeColor="text1"/>
              </w:rPr>
              <w:t xml:space="preserve">Повећање преносних капацитета Борског региона </w:t>
            </w:r>
            <w:r w:rsidR="004B41F4" w:rsidRPr="00565B02">
              <w:rPr>
                <w:rFonts w:ascii="Calibri Light" w:hAnsi="Calibri Light" w:cs="Calibri Light"/>
                <w:color w:val="000000" w:themeColor="text1"/>
              </w:rPr>
              <w:t>(T</w:t>
            </w:r>
            <w:r w:rsidRPr="006D5F5A">
              <w:rPr>
                <w:rFonts w:ascii="Calibri Light" w:hAnsi="Calibri Light" w:cs="Calibri Light"/>
                <w:color w:val="000000" w:themeColor="text1"/>
              </w:rPr>
              <w:t>С</w:t>
            </w:r>
            <w:r w:rsidR="004B41F4" w:rsidRPr="00565B02">
              <w:rPr>
                <w:rFonts w:ascii="Calibri Light" w:hAnsi="Calibri Light" w:cs="Calibri Light"/>
                <w:color w:val="000000" w:themeColor="text1"/>
              </w:rPr>
              <w:t xml:space="preserve"> 400/110kV, 400kV </w:t>
            </w:r>
            <w:r w:rsidRPr="006D5F5A">
              <w:rPr>
                <w:rFonts w:ascii="Calibri Light" w:hAnsi="Calibri Light" w:cs="Calibri Light"/>
                <w:color w:val="000000" w:themeColor="text1"/>
              </w:rPr>
              <w:t>ДВ</w:t>
            </w:r>
            <w:r w:rsidR="004B41F4" w:rsidRPr="00565B02">
              <w:rPr>
                <w:rFonts w:ascii="Calibri Light" w:hAnsi="Calibri Light" w:cs="Calibri Light"/>
                <w:color w:val="000000" w:themeColor="text1"/>
              </w:rPr>
              <w:t>)</w:t>
            </w:r>
          </w:p>
        </w:tc>
        <w:tc>
          <w:tcPr>
            <w:tcW w:w="1262" w:type="dxa"/>
            <w:vAlign w:val="center"/>
          </w:tcPr>
          <w:p w14:paraId="65CFA841"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2025</w:t>
            </w:r>
          </w:p>
        </w:tc>
        <w:tc>
          <w:tcPr>
            <w:tcW w:w="1203" w:type="dxa"/>
            <w:vAlign w:val="center"/>
          </w:tcPr>
          <w:p w14:paraId="6A76AC30"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61</w:t>
            </w:r>
          </w:p>
        </w:tc>
        <w:tc>
          <w:tcPr>
            <w:tcW w:w="1203" w:type="dxa"/>
            <w:vAlign w:val="center"/>
          </w:tcPr>
          <w:p w14:paraId="65B8A0D3" w14:textId="77777777" w:rsidR="004B41F4" w:rsidRPr="00565B02" w:rsidRDefault="004B41F4" w:rsidP="0057310C">
            <w:pPr>
              <w:tabs>
                <w:tab w:val="left" w:pos="1830"/>
              </w:tabs>
              <w:jc w:val="center"/>
              <w:rPr>
                <w:rFonts w:ascii="Calibri Light" w:hAnsi="Calibri Light" w:cs="Calibri Light"/>
                <w:color w:val="000000" w:themeColor="text1"/>
              </w:rPr>
            </w:pPr>
          </w:p>
        </w:tc>
      </w:tr>
      <w:tr w:rsidR="004B41F4" w:rsidRPr="006D5F5A" w14:paraId="2F78149E" w14:textId="77777777" w:rsidTr="00565B02">
        <w:trPr>
          <w:trHeight w:val="366"/>
        </w:trPr>
        <w:tc>
          <w:tcPr>
            <w:tcW w:w="1368" w:type="dxa"/>
            <w:vMerge w:val="restart"/>
            <w:shd w:val="clear" w:color="auto" w:fill="E7E6E6"/>
            <w:vAlign w:val="center"/>
          </w:tcPr>
          <w:p w14:paraId="245A3B57" w14:textId="232160C9" w:rsidR="004B41F4" w:rsidRPr="006D5F5A" w:rsidRDefault="004B41F4" w:rsidP="000A2AFE">
            <w:pPr>
              <w:tabs>
                <w:tab w:val="left" w:pos="1830"/>
              </w:tabs>
              <w:jc w:val="left"/>
              <w:rPr>
                <w:rFonts w:ascii="Calibri Light" w:hAnsi="Calibri Light" w:cs="Calibri Light"/>
                <w:color w:val="000000" w:themeColor="text1"/>
              </w:rPr>
            </w:pPr>
            <w:r w:rsidRPr="006D5F5A">
              <w:rPr>
                <w:rFonts w:ascii="Calibri Light" w:hAnsi="Calibri Light" w:cs="Calibri Light"/>
                <w:color w:val="000000" w:themeColor="text1"/>
              </w:rPr>
              <w:t>Дистрибуција</w:t>
            </w:r>
          </w:p>
        </w:tc>
        <w:tc>
          <w:tcPr>
            <w:tcW w:w="4587" w:type="dxa"/>
          </w:tcPr>
          <w:p w14:paraId="34A32D48" w14:textId="675AA0BD" w:rsidR="004B41F4" w:rsidRPr="00565B02" w:rsidRDefault="008A210E" w:rsidP="0057310C">
            <w:pPr>
              <w:rPr>
                <w:rFonts w:ascii="Calibri Light" w:hAnsi="Calibri Light" w:cs="Calibri Light"/>
                <w:color w:val="000000" w:themeColor="text1"/>
              </w:rPr>
            </w:pPr>
            <w:r w:rsidRPr="00565B02">
              <w:rPr>
                <w:rFonts w:ascii="Calibri Light" w:hAnsi="Calibri Light" w:cs="Calibri Light"/>
                <w:color w:val="000000" w:themeColor="text1"/>
              </w:rPr>
              <w:t>Аутоматизација средњенапонске мреже</w:t>
            </w:r>
          </w:p>
        </w:tc>
        <w:tc>
          <w:tcPr>
            <w:tcW w:w="1262" w:type="dxa"/>
            <w:vAlign w:val="center"/>
          </w:tcPr>
          <w:p w14:paraId="730CF13B"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2027</w:t>
            </w:r>
          </w:p>
        </w:tc>
        <w:tc>
          <w:tcPr>
            <w:tcW w:w="1203" w:type="dxa"/>
            <w:vAlign w:val="center"/>
          </w:tcPr>
          <w:p w14:paraId="528F489D"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144</w:t>
            </w:r>
          </w:p>
        </w:tc>
        <w:tc>
          <w:tcPr>
            <w:tcW w:w="1203" w:type="dxa"/>
            <w:vAlign w:val="center"/>
          </w:tcPr>
          <w:p w14:paraId="5DE18354" w14:textId="77777777" w:rsidR="004B41F4" w:rsidRPr="00565B02" w:rsidRDefault="004B41F4" w:rsidP="0057310C">
            <w:pPr>
              <w:tabs>
                <w:tab w:val="left" w:pos="1830"/>
              </w:tabs>
              <w:jc w:val="center"/>
              <w:rPr>
                <w:rFonts w:ascii="Calibri Light" w:hAnsi="Calibri Light" w:cs="Calibri Light"/>
                <w:color w:val="000000" w:themeColor="text1"/>
              </w:rPr>
            </w:pPr>
          </w:p>
        </w:tc>
      </w:tr>
      <w:tr w:rsidR="004B41F4" w:rsidRPr="006D5F5A" w14:paraId="44258B79" w14:textId="77777777" w:rsidTr="00565B02">
        <w:trPr>
          <w:trHeight w:val="143"/>
        </w:trPr>
        <w:tc>
          <w:tcPr>
            <w:tcW w:w="1368" w:type="dxa"/>
            <w:vMerge/>
            <w:shd w:val="clear" w:color="auto" w:fill="E7E6E6"/>
            <w:vAlign w:val="center"/>
          </w:tcPr>
          <w:p w14:paraId="2CBBC8D7" w14:textId="77777777" w:rsidR="004B41F4" w:rsidRPr="00565B02" w:rsidRDefault="004B41F4" w:rsidP="000A2AFE">
            <w:pPr>
              <w:tabs>
                <w:tab w:val="left" w:pos="1830"/>
              </w:tabs>
              <w:jc w:val="left"/>
              <w:rPr>
                <w:rFonts w:ascii="Calibri Light" w:hAnsi="Calibri Light" w:cs="Calibri Light"/>
                <w:color w:val="000000" w:themeColor="text1"/>
              </w:rPr>
            </w:pPr>
          </w:p>
        </w:tc>
        <w:tc>
          <w:tcPr>
            <w:tcW w:w="4587" w:type="dxa"/>
          </w:tcPr>
          <w:p w14:paraId="3B14B8F9" w14:textId="0E345A78" w:rsidR="004B41F4" w:rsidRPr="00565B02" w:rsidRDefault="008A210E" w:rsidP="0057310C">
            <w:pPr>
              <w:rPr>
                <w:rFonts w:ascii="Calibri Light" w:hAnsi="Calibri Light" w:cs="Calibri Light"/>
                <w:color w:val="000000" w:themeColor="text1"/>
              </w:rPr>
            </w:pPr>
            <w:r w:rsidRPr="00565B02">
              <w:rPr>
                <w:rFonts w:ascii="Calibri Light" w:hAnsi="Calibri Light" w:cs="Calibri Light"/>
                <w:color w:val="000000" w:themeColor="text1"/>
              </w:rPr>
              <w:t>Замена електромеханичких бројила паметним бројилима</w:t>
            </w:r>
          </w:p>
        </w:tc>
        <w:tc>
          <w:tcPr>
            <w:tcW w:w="1262" w:type="dxa"/>
            <w:vAlign w:val="center"/>
          </w:tcPr>
          <w:p w14:paraId="2508EC45"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2029</w:t>
            </w:r>
          </w:p>
        </w:tc>
        <w:tc>
          <w:tcPr>
            <w:tcW w:w="1203" w:type="dxa"/>
            <w:vAlign w:val="center"/>
          </w:tcPr>
          <w:p w14:paraId="625CD54D"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505</w:t>
            </w:r>
          </w:p>
        </w:tc>
        <w:tc>
          <w:tcPr>
            <w:tcW w:w="1203" w:type="dxa"/>
            <w:vAlign w:val="center"/>
          </w:tcPr>
          <w:p w14:paraId="1E6FDAB1" w14:textId="77777777" w:rsidR="004B41F4" w:rsidRPr="00565B02" w:rsidRDefault="004B41F4" w:rsidP="0057310C">
            <w:pPr>
              <w:tabs>
                <w:tab w:val="left" w:pos="1830"/>
              </w:tabs>
              <w:jc w:val="center"/>
              <w:rPr>
                <w:rFonts w:ascii="Calibri Light" w:hAnsi="Calibri Light" w:cs="Calibri Light"/>
                <w:color w:val="000000" w:themeColor="text1"/>
              </w:rPr>
            </w:pPr>
          </w:p>
        </w:tc>
      </w:tr>
      <w:tr w:rsidR="004B41F4" w:rsidRPr="006D5F5A" w14:paraId="1AFF40E9" w14:textId="77777777" w:rsidTr="00565B02">
        <w:trPr>
          <w:trHeight w:val="143"/>
        </w:trPr>
        <w:tc>
          <w:tcPr>
            <w:tcW w:w="1368" w:type="dxa"/>
            <w:vMerge/>
            <w:shd w:val="clear" w:color="auto" w:fill="E7E6E6"/>
            <w:vAlign w:val="center"/>
          </w:tcPr>
          <w:p w14:paraId="6F646C42" w14:textId="77777777" w:rsidR="004B41F4" w:rsidRPr="00565B02" w:rsidRDefault="004B41F4" w:rsidP="000A2AFE">
            <w:pPr>
              <w:tabs>
                <w:tab w:val="left" w:pos="1830"/>
              </w:tabs>
              <w:jc w:val="left"/>
              <w:rPr>
                <w:rFonts w:ascii="Calibri Light" w:hAnsi="Calibri Light" w:cs="Calibri Light"/>
                <w:color w:val="000000" w:themeColor="text1"/>
              </w:rPr>
            </w:pPr>
          </w:p>
        </w:tc>
        <w:tc>
          <w:tcPr>
            <w:tcW w:w="4587" w:type="dxa"/>
          </w:tcPr>
          <w:p w14:paraId="7A9A0EDE" w14:textId="7D3489E5" w:rsidR="004B41F4" w:rsidRPr="006D5F5A" w:rsidRDefault="008A210E" w:rsidP="0057310C">
            <w:pPr>
              <w:rPr>
                <w:rFonts w:ascii="Calibri Light" w:hAnsi="Calibri Light" w:cs="Calibri Light"/>
                <w:color w:val="000000" w:themeColor="text1"/>
              </w:rPr>
            </w:pPr>
            <w:r w:rsidRPr="006D5F5A">
              <w:rPr>
                <w:rFonts w:ascii="Calibri Light" w:hAnsi="Calibri Light" w:cs="Calibri Light"/>
                <w:color w:val="000000" w:themeColor="text1"/>
              </w:rPr>
              <w:t>Д</w:t>
            </w:r>
            <w:r w:rsidRPr="00565B02">
              <w:rPr>
                <w:rFonts w:ascii="Calibri Light" w:hAnsi="Calibri Light" w:cs="Calibri Light"/>
                <w:color w:val="000000" w:themeColor="text1"/>
              </w:rPr>
              <w:t>аљинск</w:t>
            </w:r>
            <w:r w:rsidRPr="006D5F5A">
              <w:rPr>
                <w:rFonts w:ascii="Calibri Light" w:hAnsi="Calibri Light" w:cs="Calibri Light"/>
                <w:color w:val="000000" w:themeColor="text1"/>
              </w:rPr>
              <w:t>о управљање</w:t>
            </w:r>
          </w:p>
        </w:tc>
        <w:tc>
          <w:tcPr>
            <w:tcW w:w="1262" w:type="dxa"/>
            <w:vAlign w:val="center"/>
          </w:tcPr>
          <w:p w14:paraId="03395443"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2027</w:t>
            </w:r>
          </w:p>
        </w:tc>
        <w:tc>
          <w:tcPr>
            <w:tcW w:w="1203" w:type="dxa"/>
            <w:vAlign w:val="center"/>
          </w:tcPr>
          <w:p w14:paraId="49623A53"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80</w:t>
            </w:r>
          </w:p>
        </w:tc>
        <w:tc>
          <w:tcPr>
            <w:tcW w:w="1203" w:type="dxa"/>
            <w:vAlign w:val="center"/>
          </w:tcPr>
          <w:p w14:paraId="58644D88" w14:textId="77777777" w:rsidR="004B41F4" w:rsidRPr="00565B02" w:rsidRDefault="004B41F4" w:rsidP="0057310C">
            <w:pPr>
              <w:tabs>
                <w:tab w:val="left" w:pos="1830"/>
              </w:tabs>
              <w:jc w:val="center"/>
              <w:rPr>
                <w:rFonts w:ascii="Calibri Light" w:hAnsi="Calibri Light" w:cs="Calibri Light"/>
                <w:color w:val="000000" w:themeColor="text1"/>
              </w:rPr>
            </w:pPr>
          </w:p>
        </w:tc>
      </w:tr>
      <w:tr w:rsidR="004B41F4" w:rsidRPr="006D5F5A" w14:paraId="30E97644" w14:textId="77777777" w:rsidTr="00565B02">
        <w:trPr>
          <w:trHeight w:val="143"/>
        </w:trPr>
        <w:tc>
          <w:tcPr>
            <w:tcW w:w="1368" w:type="dxa"/>
            <w:vMerge/>
            <w:shd w:val="clear" w:color="auto" w:fill="E7E6E6"/>
            <w:vAlign w:val="center"/>
          </w:tcPr>
          <w:p w14:paraId="4D69F0B4" w14:textId="77777777" w:rsidR="004B41F4" w:rsidRPr="00565B02" w:rsidRDefault="004B41F4" w:rsidP="000A2AFE">
            <w:pPr>
              <w:tabs>
                <w:tab w:val="left" w:pos="1830"/>
              </w:tabs>
              <w:jc w:val="left"/>
              <w:rPr>
                <w:rFonts w:ascii="Calibri Light" w:hAnsi="Calibri Light" w:cs="Calibri Light"/>
                <w:color w:val="000000" w:themeColor="text1"/>
              </w:rPr>
            </w:pPr>
          </w:p>
        </w:tc>
        <w:tc>
          <w:tcPr>
            <w:tcW w:w="4587" w:type="dxa"/>
          </w:tcPr>
          <w:p w14:paraId="7443FCDC" w14:textId="505E9B93" w:rsidR="004B41F4" w:rsidRPr="00565B02" w:rsidRDefault="008A210E" w:rsidP="0057310C">
            <w:pPr>
              <w:rPr>
                <w:rFonts w:ascii="Calibri Light" w:hAnsi="Calibri Light" w:cs="Calibri Light"/>
                <w:color w:val="000000" w:themeColor="text1"/>
              </w:rPr>
            </w:pPr>
            <w:r w:rsidRPr="006D5F5A">
              <w:rPr>
                <w:rFonts w:ascii="Calibri Light" w:hAnsi="Calibri Light" w:cs="Calibri Light"/>
                <w:color w:val="000000" w:themeColor="text1"/>
              </w:rPr>
              <w:t>Унапређење мерних система</w:t>
            </w:r>
            <w:r w:rsidR="004B41F4" w:rsidRPr="00565B02">
              <w:rPr>
                <w:rFonts w:ascii="Calibri Light" w:hAnsi="Calibri Light" w:cs="Calibri Light"/>
                <w:color w:val="000000" w:themeColor="text1"/>
              </w:rPr>
              <w:t xml:space="preserve"> AMI, AMM and MDM/R</w:t>
            </w:r>
          </w:p>
        </w:tc>
        <w:tc>
          <w:tcPr>
            <w:tcW w:w="1262" w:type="dxa"/>
            <w:vAlign w:val="center"/>
          </w:tcPr>
          <w:p w14:paraId="6F486B18"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2029</w:t>
            </w:r>
          </w:p>
        </w:tc>
        <w:tc>
          <w:tcPr>
            <w:tcW w:w="1203" w:type="dxa"/>
            <w:vAlign w:val="center"/>
          </w:tcPr>
          <w:p w14:paraId="48417C91"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511</w:t>
            </w:r>
          </w:p>
        </w:tc>
        <w:tc>
          <w:tcPr>
            <w:tcW w:w="1203" w:type="dxa"/>
            <w:vAlign w:val="center"/>
          </w:tcPr>
          <w:p w14:paraId="1354A277" w14:textId="77777777" w:rsidR="004B41F4" w:rsidRPr="00565B02" w:rsidRDefault="004B41F4" w:rsidP="0057310C">
            <w:pPr>
              <w:tabs>
                <w:tab w:val="left" w:pos="1830"/>
              </w:tabs>
              <w:jc w:val="center"/>
              <w:rPr>
                <w:rFonts w:ascii="Calibri Light" w:hAnsi="Calibri Light" w:cs="Calibri Light"/>
                <w:color w:val="000000" w:themeColor="text1"/>
              </w:rPr>
            </w:pPr>
          </w:p>
        </w:tc>
      </w:tr>
      <w:tr w:rsidR="004B41F4" w:rsidRPr="006D5F5A" w14:paraId="1301A43D" w14:textId="77777777" w:rsidTr="00565B02">
        <w:trPr>
          <w:trHeight w:val="143"/>
        </w:trPr>
        <w:tc>
          <w:tcPr>
            <w:tcW w:w="1368" w:type="dxa"/>
            <w:vMerge/>
            <w:shd w:val="clear" w:color="auto" w:fill="E7E6E6"/>
            <w:vAlign w:val="center"/>
          </w:tcPr>
          <w:p w14:paraId="076AC9AD" w14:textId="77777777" w:rsidR="004B41F4" w:rsidRPr="00565B02" w:rsidRDefault="004B41F4" w:rsidP="000A2AFE">
            <w:pPr>
              <w:tabs>
                <w:tab w:val="left" w:pos="1830"/>
              </w:tabs>
              <w:jc w:val="left"/>
              <w:rPr>
                <w:rFonts w:ascii="Calibri Light" w:hAnsi="Calibri Light" w:cs="Calibri Light"/>
                <w:color w:val="000000" w:themeColor="text1"/>
              </w:rPr>
            </w:pPr>
          </w:p>
        </w:tc>
        <w:tc>
          <w:tcPr>
            <w:tcW w:w="4587" w:type="dxa"/>
          </w:tcPr>
          <w:p w14:paraId="26C7A374" w14:textId="60C275BD" w:rsidR="004B41F4" w:rsidRPr="00565B02" w:rsidRDefault="008A210E" w:rsidP="0057310C">
            <w:pPr>
              <w:rPr>
                <w:rFonts w:ascii="Calibri Light" w:hAnsi="Calibri Light" w:cs="Calibri Light"/>
                <w:color w:val="000000" w:themeColor="text1"/>
              </w:rPr>
            </w:pPr>
            <w:r w:rsidRPr="00565B02">
              <w:rPr>
                <w:rFonts w:ascii="Calibri Light" w:hAnsi="Calibri Light" w:cs="Calibri Light"/>
                <w:color w:val="000000" w:themeColor="text1"/>
              </w:rPr>
              <w:t>Обнова и надоградња разних делова и опреме</w:t>
            </w:r>
          </w:p>
        </w:tc>
        <w:tc>
          <w:tcPr>
            <w:tcW w:w="1262" w:type="dxa"/>
            <w:vAlign w:val="center"/>
          </w:tcPr>
          <w:p w14:paraId="53D6560E"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2030</w:t>
            </w:r>
          </w:p>
        </w:tc>
        <w:tc>
          <w:tcPr>
            <w:tcW w:w="1203" w:type="dxa"/>
            <w:vAlign w:val="center"/>
          </w:tcPr>
          <w:p w14:paraId="60B04AC6"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602</w:t>
            </w:r>
          </w:p>
        </w:tc>
        <w:tc>
          <w:tcPr>
            <w:tcW w:w="1203" w:type="dxa"/>
            <w:vAlign w:val="center"/>
          </w:tcPr>
          <w:p w14:paraId="66317926" w14:textId="77777777" w:rsidR="004B41F4" w:rsidRPr="00565B02" w:rsidRDefault="004B41F4" w:rsidP="0057310C">
            <w:pPr>
              <w:tabs>
                <w:tab w:val="left" w:pos="1830"/>
              </w:tabs>
              <w:jc w:val="center"/>
              <w:rPr>
                <w:rFonts w:ascii="Calibri Light" w:hAnsi="Calibri Light" w:cs="Calibri Light"/>
                <w:color w:val="000000" w:themeColor="text1"/>
              </w:rPr>
            </w:pPr>
          </w:p>
        </w:tc>
      </w:tr>
      <w:tr w:rsidR="004B41F4" w:rsidRPr="006D5F5A" w14:paraId="70B831CC" w14:textId="77777777" w:rsidTr="00565B02">
        <w:trPr>
          <w:trHeight w:val="379"/>
        </w:trPr>
        <w:tc>
          <w:tcPr>
            <w:tcW w:w="1368" w:type="dxa"/>
            <w:vMerge w:val="restart"/>
            <w:shd w:val="clear" w:color="auto" w:fill="E7E6E6"/>
            <w:vAlign w:val="center"/>
          </w:tcPr>
          <w:p w14:paraId="41066E2F" w14:textId="58A7E360" w:rsidR="004B41F4" w:rsidRPr="006D5F5A" w:rsidRDefault="004B41F4" w:rsidP="000A2AFE">
            <w:pPr>
              <w:tabs>
                <w:tab w:val="left" w:pos="1830"/>
              </w:tabs>
              <w:jc w:val="left"/>
              <w:rPr>
                <w:rFonts w:ascii="Calibri Light" w:hAnsi="Calibri Light" w:cs="Calibri Light"/>
                <w:color w:val="000000" w:themeColor="text1"/>
              </w:rPr>
            </w:pPr>
            <w:r w:rsidRPr="006D5F5A">
              <w:rPr>
                <w:rFonts w:ascii="Calibri Light" w:hAnsi="Calibri Light" w:cs="Calibri Light"/>
                <w:color w:val="000000" w:themeColor="text1"/>
              </w:rPr>
              <w:t>Сектор природног гаса</w:t>
            </w:r>
          </w:p>
        </w:tc>
        <w:tc>
          <w:tcPr>
            <w:tcW w:w="4587" w:type="dxa"/>
          </w:tcPr>
          <w:p w14:paraId="2EBDD97E" w14:textId="70E25124" w:rsidR="004B41F4" w:rsidRPr="006D5F5A" w:rsidRDefault="008A210E" w:rsidP="0057310C">
            <w:pPr>
              <w:rPr>
                <w:rFonts w:ascii="Calibri Light" w:hAnsi="Calibri Light" w:cs="Calibri Light"/>
                <w:color w:val="000000" w:themeColor="text1"/>
              </w:rPr>
            </w:pPr>
            <w:r w:rsidRPr="006D5F5A">
              <w:rPr>
                <w:rFonts w:ascii="Calibri Light" w:hAnsi="Calibri Light" w:cs="Calibri Light"/>
                <w:color w:val="000000" w:themeColor="text1"/>
              </w:rPr>
              <w:t>Подземна складишта Итебеј и Тилва</w:t>
            </w:r>
          </w:p>
        </w:tc>
        <w:tc>
          <w:tcPr>
            <w:tcW w:w="1262" w:type="dxa"/>
            <w:vAlign w:val="center"/>
          </w:tcPr>
          <w:p w14:paraId="444D7723" w14:textId="52606E42" w:rsidR="004B41F4" w:rsidRPr="00565B02" w:rsidRDefault="008A210E"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није дефинисан</w:t>
            </w:r>
          </w:p>
        </w:tc>
        <w:tc>
          <w:tcPr>
            <w:tcW w:w="1203" w:type="dxa"/>
            <w:vAlign w:val="center"/>
          </w:tcPr>
          <w:p w14:paraId="6AE054AD" w14:textId="77777777" w:rsidR="004B41F4" w:rsidRPr="00565B02" w:rsidRDefault="004B41F4" w:rsidP="0057310C">
            <w:pPr>
              <w:tabs>
                <w:tab w:val="left" w:pos="1830"/>
              </w:tabs>
              <w:jc w:val="center"/>
              <w:rPr>
                <w:rFonts w:ascii="Calibri Light" w:hAnsi="Calibri Light" w:cs="Calibri Light"/>
                <w:color w:val="000000" w:themeColor="text1"/>
              </w:rPr>
            </w:pPr>
          </w:p>
        </w:tc>
        <w:tc>
          <w:tcPr>
            <w:tcW w:w="1203" w:type="dxa"/>
            <w:vAlign w:val="center"/>
          </w:tcPr>
          <w:p w14:paraId="3B1D5E52"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240</w:t>
            </w:r>
          </w:p>
        </w:tc>
      </w:tr>
      <w:tr w:rsidR="004B41F4" w:rsidRPr="006D5F5A" w14:paraId="6F102BA1" w14:textId="77777777" w:rsidTr="00565B02">
        <w:trPr>
          <w:trHeight w:val="143"/>
        </w:trPr>
        <w:tc>
          <w:tcPr>
            <w:tcW w:w="1368" w:type="dxa"/>
            <w:vMerge/>
            <w:shd w:val="clear" w:color="auto" w:fill="E7E6E6"/>
            <w:vAlign w:val="center"/>
          </w:tcPr>
          <w:p w14:paraId="655B6049" w14:textId="77777777" w:rsidR="004B41F4" w:rsidRPr="00565B02" w:rsidRDefault="004B41F4" w:rsidP="000A2AFE">
            <w:pPr>
              <w:tabs>
                <w:tab w:val="left" w:pos="1830"/>
              </w:tabs>
              <w:jc w:val="left"/>
              <w:rPr>
                <w:rFonts w:ascii="Calibri Light" w:hAnsi="Calibri Light" w:cs="Calibri Light"/>
                <w:color w:val="000000" w:themeColor="text1"/>
              </w:rPr>
            </w:pPr>
          </w:p>
        </w:tc>
        <w:tc>
          <w:tcPr>
            <w:tcW w:w="4587" w:type="dxa"/>
          </w:tcPr>
          <w:p w14:paraId="7D89B00D" w14:textId="32EF2EA2" w:rsidR="004B41F4" w:rsidRPr="00565B02" w:rsidRDefault="002262E0" w:rsidP="0057310C">
            <w:pPr>
              <w:rPr>
                <w:rFonts w:ascii="Calibri Light" w:hAnsi="Calibri Light" w:cs="Calibri Light"/>
                <w:color w:val="000000" w:themeColor="text1"/>
              </w:rPr>
            </w:pPr>
            <w:r w:rsidRPr="00565B02">
              <w:rPr>
                <w:rFonts w:ascii="Calibri Light" w:hAnsi="Calibri Light" w:cs="Calibri Light"/>
                <w:color w:val="000000" w:themeColor="text1"/>
              </w:rPr>
              <w:t>Гасоводи (пренос и дистрибуција)</w:t>
            </w:r>
          </w:p>
        </w:tc>
        <w:tc>
          <w:tcPr>
            <w:tcW w:w="1262" w:type="dxa"/>
            <w:vAlign w:val="center"/>
          </w:tcPr>
          <w:p w14:paraId="2633D344" w14:textId="2AF7D53F" w:rsidR="004B41F4" w:rsidRPr="00565B02" w:rsidRDefault="008A210E"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није дефинисан</w:t>
            </w:r>
          </w:p>
        </w:tc>
        <w:tc>
          <w:tcPr>
            <w:tcW w:w="1203" w:type="dxa"/>
            <w:vAlign w:val="center"/>
          </w:tcPr>
          <w:p w14:paraId="2D3CAAF3" w14:textId="77777777" w:rsidR="004B41F4" w:rsidRPr="00565B02" w:rsidRDefault="004B41F4" w:rsidP="0057310C">
            <w:pPr>
              <w:tabs>
                <w:tab w:val="left" w:pos="1830"/>
              </w:tabs>
              <w:jc w:val="center"/>
              <w:rPr>
                <w:rFonts w:ascii="Calibri Light" w:hAnsi="Calibri Light" w:cs="Calibri Light"/>
                <w:color w:val="000000" w:themeColor="text1"/>
              </w:rPr>
            </w:pPr>
          </w:p>
        </w:tc>
        <w:tc>
          <w:tcPr>
            <w:tcW w:w="1203" w:type="dxa"/>
            <w:vAlign w:val="center"/>
          </w:tcPr>
          <w:p w14:paraId="0B76FE8D"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990</w:t>
            </w:r>
          </w:p>
        </w:tc>
      </w:tr>
      <w:tr w:rsidR="004B41F4" w:rsidRPr="006D5F5A" w14:paraId="4567B6A2" w14:textId="77777777" w:rsidTr="00565B02">
        <w:trPr>
          <w:trHeight w:val="143"/>
        </w:trPr>
        <w:tc>
          <w:tcPr>
            <w:tcW w:w="1368" w:type="dxa"/>
            <w:vMerge/>
            <w:shd w:val="clear" w:color="auto" w:fill="E7E6E6"/>
            <w:vAlign w:val="center"/>
          </w:tcPr>
          <w:p w14:paraId="5A66B978" w14:textId="77777777" w:rsidR="004B41F4" w:rsidRPr="00565B02" w:rsidRDefault="004B41F4" w:rsidP="000A2AFE">
            <w:pPr>
              <w:tabs>
                <w:tab w:val="left" w:pos="1830"/>
              </w:tabs>
              <w:jc w:val="left"/>
              <w:rPr>
                <w:rFonts w:ascii="Calibri Light" w:hAnsi="Calibri Light" w:cs="Calibri Light"/>
                <w:color w:val="000000" w:themeColor="text1"/>
              </w:rPr>
            </w:pPr>
          </w:p>
        </w:tc>
        <w:tc>
          <w:tcPr>
            <w:tcW w:w="4587" w:type="dxa"/>
          </w:tcPr>
          <w:p w14:paraId="31E625B5" w14:textId="44B26BFA" w:rsidR="004B41F4" w:rsidRPr="00565B02" w:rsidRDefault="002262E0" w:rsidP="0057310C">
            <w:pPr>
              <w:rPr>
                <w:rFonts w:ascii="Calibri Light" w:hAnsi="Calibri Light" w:cs="Calibri Light"/>
                <w:color w:val="000000" w:themeColor="text1"/>
              </w:rPr>
            </w:pPr>
            <w:r w:rsidRPr="00565B02">
              <w:rPr>
                <w:rFonts w:ascii="Calibri Light" w:hAnsi="Calibri Light" w:cs="Calibri Light"/>
                <w:color w:val="000000" w:themeColor="text1"/>
              </w:rPr>
              <w:t xml:space="preserve">Гасификација </w:t>
            </w:r>
            <w:r w:rsidRPr="006D5F5A">
              <w:rPr>
                <w:rFonts w:ascii="Calibri Light" w:hAnsi="Calibri Light" w:cs="Calibri Light"/>
                <w:color w:val="000000" w:themeColor="text1"/>
              </w:rPr>
              <w:t xml:space="preserve">региона </w:t>
            </w:r>
            <w:r w:rsidR="004B41F4" w:rsidRPr="00565B02">
              <w:rPr>
                <w:rFonts w:ascii="Calibri Light" w:hAnsi="Calibri Light" w:cs="Calibri Light"/>
                <w:color w:val="000000" w:themeColor="text1"/>
              </w:rPr>
              <w:t>(</w:t>
            </w:r>
            <w:r w:rsidRPr="006D5F5A">
              <w:rPr>
                <w:rFonts w:ascii="Calibri Light" w:hAnsi="Calibri Light" w:cs="Calibri Light"/>
                <w:color w:val="000000" w:themeColor="text1"/>
              </w:rPr>
              <w:t>Пирот</w:t>
            </w:r>
            <w:r w:rsidR="004B41F4" w:rsidRPr="00565B02">
              <w:rPr>
                <w:rFonts w:ascii="Calibri Light" w:hAnsi="Calibri Light" w:cs="Calibri Light"/>
                <w:color w:val="000000" w:themeColor="text1"/>
              </w:rPr>
              <w:t xml:space="preserve">, </w:t>
            </w:r>
            <w:r w:rsidRPr="006D5F5A">
              <w:rPr>
                <w:rFonts w:ascii="Calibri Light" w:hAnsi="Calibri Light" w:cs="Calibri Light"/>
                <w:color w:val="000000" w:themeColor="text1"/>
              </w:rPr>
              <w:t>Врање</w:t>
            </w:r>
            <w:r w:rsidR="004B41F4" w:rsidRPr="00565B02">
              <w:rPr>
                <w:rFonts w:ascii="Calibri Light" w:hAnsi="Calibri Light" w:cs="Calibri Light"/>
                <w:color w:val="000000" w:themeColor="text1"/>
              </w:rPr>
              <w:t xml:space="preserve">, </w:t>
            </w:r>
            <w:r w:rsidRPr="006D5F5A">
              <w:rPr>
                <w:rFonts w:ascii="Calibri Light" w:hAnsi="Calibri Light" w:cs="Calibri Light"/>
                <w:color w:val="000000" w:themeColor="text1"/>
              </w:rPr>
              <w:t>Лесковац</w:t>
            </w:r>
            <w:r w:rsidR="004B41F4" w:rsidRPr="00565B02">
              <w:rPr>
                <w:rFonts w:ascii="Calibri Light" w:hAnsi="Calibri Light" w:cs="Calibri Light"/>
                <w:color w:val="000000" w:themeColor="text1"/>
              </w:rPr>
              <w:t xml:space="preserve">, </w:t>
            </w:r>
            <w:r w:rsidRPr="006D5F5A">
              <w:rPr>
                <w:rFonts w:ascii="Calibri Light" w:hAnsi="Calibri Light" w:cs="Calibri Light"/>
                <w:color w:val="000000" w:themeColor="text1"/>
              </w:rPr>
              <w:t>Александровац - Тутин</w:t>
            </w:r>
            <w:r w:rsidR="004B41F4" w:rsidRPr="00565B02">
              <w:rPr>
                <w:rFonts w:ascii="Calibri Light" w:hAnsi="Calibri Light" w:cs="Calibri Light"/>
                <w:color w:val="000000" w:themeColor="text1"/>
              </w:rPr>
              <w:t>)</w:t>
            </w:r>
          </w:p>
        </w:tc>
        <w:tc>
          <w:tcPr>
            <w:tcW w:w="1262" w:type="dxa"/>
            <w:vAlign w:val="center"/>
          </w:tcPr>
          <w:p w14:paraId="654166EB" w14:textId="0FE10BAD" w:rsidR="004B41F4" w:rsidRPr="00565B02" w:rsidRDefault="002262E0"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није дефинисан</w:t>
            </w:r>
          </w:p>
        </w:tc>
        <w:tc>
          <w:tcPr>
            <w:tcW w:w="1203" w:type="dxa"/>
            <w:vAlign w:val="center"/>
          </w:tcPr>
          <w:p w14:paraId="1916413B" w14:textId="77777777" w:rsidR="004B41F4" w:rsidRPr="00565B02" w:rsidRDefault="004B41F4" w:rsidP="0057310C">
            <w:pPr>
              <w:tabs>
                <w:tab w:val="left" w:pos="1830"/>
              </w:tabs>
              <w:jc w:val="center"/>
              <w:rPr>
                <w:rFonts w:ascii="Calibri Light" w:hAnsi="Calibri Light" w:cs="Calibri Light"/>
                <w:color w:val="000000" w:themeColor="text1"/>
              </w:rPr>
            </w:pPr>
          </w:p>
        </w:tc>
        <w:tc>
          <w:tcPr>
            <w:tcW w:w="1203" w:type="dxa"/>
            <w:vAlign w:val="center"/>
          </w:tcPr>
          <w:p w14:paraId="05D13194"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137</w:t>
            </w:r>
          </w:p>
        </w:tc>
      </w:tr>
      <w:tr w:rsidR="004B41F4" w:rsidRPr="006D5F5A" w14:paraId="77CF7D99" w14:textId="77777777" w:rsidTr="00565B02">
        <w:trPr>
          <w:trHeight w:val="379"/>
        </w:trPr>
        <w:tc>
          <w:tcPr>
            <w:tcW w:w="1368" w:type="dxa"/>
            <w:vMerge w:val="restart"/>
            <w:shd w:val="clear" w:color="auto" w:fill="E7E6E6"/>
            <w:vAlign w:val="center"/>
          </w:tcPr>
          <w:p w14:paraId="36D643B6" w14:textId="39ACAB15" w:rsidR="004B41F4" w:rsidRPr="006D5F5A" w:rsidRDefault="004B41F4" w:rsidP="000A2AFE">
            <w:pPr>
              <w:tabs>
                <w:tab w:val="left" w:pos="1830"/>
              </w:tabs>
              <w:jc w:val="left"/>
              <w:rPr>
                <w:rFonts w:ascii="Calibri Light" w:hAnsi="Calibri Light" w:cs="Calibri Light"/>
                <w:color w:val="000000" w:themeColor="text1"/>
              </w:rPr>
            </w:pPr>
            <w:r w:rsidRPr="006D5F5A">
              <w:rPr>
                <w:rFonts w:ascii="Calibri Light" w:hAnsi="Calibri Light" w:cs="Calibri Light"/>
                <w:color w:val="000000" w:themeColor="text1"/>
              </w:rPr>
              <w:t>Сектор нафте</w:t>
            </w:r>
          </w:p>
        </w:tc>
        <w:tc>
          <w:tcPr>
            <w:tcW w:w="4587" w:type="dxa"/>
          </w:tcPr>
          <w:p w14:paraId="54F0754F" w14:textId="797D0CD1" w:rsidR="004B41F4" w:rsidRPr="00565B02" w:rsidRDefault="002262E0" w:rsidP="0057310C">
            <w:pPr>
              <w:rPr>
                <w:rFonts w:ascii="Calibri Light" w:hAnsi="Calibri Light" w:cs="Calibri Light"/>
                <w:color w:val="000000" w:themeColor="text1"/>
              </w:rPr>
            </w:pPr>
            <w:r w:rsidRPr="006D5F5A">
              <w:rPr>
                <w:rFonts w:ascii="Calibri Light" w:hAnsi="Calibri Light" w:cs="Calibri Light"/>
                <w:color w:val="000000" w:themeColor="text1"/>
              </w:rPr>
              <w:t>Н</w:t>
            </w:r>
            <w:r w:rsidRPr="00565B02">
              <w:rPr>
                <w:rFonts w:ascii="Calibri Light" w:hAnsi="Calibri Light" w:cs="Calibri Light"/>
                <w:color w:val="000000" w:themeColor="text1"/>
              </w:rPr>
              <w:t>афтовод Србија-Мађарска</w:t>
            </w:r>
          </w:p>
        </w:tc>
        <w:tc>
          <w:tcPr>
            <w:tcW w:w="1262" w:type="dxa"/>
            <w:vAlign w:val="center"/>
          </w:tcPr>
          <w:p w14:paraId="27D12986"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2027</w:t>
            </w:r>
          </w:p>
        </w:tc>
        <w:tc>
          <w:tcPr>
            <w:tcW w:w="1203" w:type="dxa"/>
            <w:vAlign w:val="center"/>
          </w:tcPr>
          <w:p w14:paraId="1E32BAA5"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100</w:t>
            </w:r>
          </w:p>
        </w:tc>
        <w:tc>
          <w:tcPr>
            <w:tcW w:w="1203" w:type="dxa"/>
            <w:vAlign w:val="center"/>
          </w:tcPr>
          <w:p w14:paraId="1B2F11ED" w14:textId="77777777" w:rsidR="004B41F4" w:rsidRPr="00565B02" w:rsidRDefault="004B41F4" w:rsidP="0057310C">
            <w:pPr>
              <w:tabs>
                <w:tab w:val="left" w:pos="1830"/>
              </w:tabs>
              <w:jc w:val="center"/>
              <w:rPr>
                <w:rFonts w:ascii="Calibri Light" w:hAnsi="Calibri Light" w:cs="Calibri Light"/>
                <w:color w:val="000000" w:themeColor="text1"/>
              </w:rPr>
            </w:pPr>
          </w:p>
        </w:tc>
      </w:tr>
      <w:tr w:rsidR="004B41F4" w:rsidRPr="006D5F5A" w14:paraId="5D894E64" w14:textId="77777777" w:rsidTr="00565B02">
        <w:trPr>
          <w:trHeight w:val="143"/>
        </w:trPr>
        <w:tc>
          <w:tcPr>
            <w:tcW w:w="1368" w:type="dxa"/>
            <w:vMerge/>
            <w:shd w:val="clear" w:color="auto" w:fill="E7E6E6"/>
            <w:vAlign w:val="center"/>
          </w:tcPr>
          <w:p w14:paraId="6E1241E0" w14:textId="77777777" w:rsidR="004B41F4" w:rsidRPr="00565B02" w:rsidRDefault="004B41F4" w:rsidP="000A2AFE">
            <w:pPr>
              <w:tabs>
                <w:tab w:val="left" w:pos="1830"/>
              </w:tabs>
              <w:jc w:val="left"/>
              <w:rPr>
                <w:rFonts w:ascii="Calibri Light" w:hAnsi="Calibri Light" w:cs="Calibri Light"/>
                <w:color w:val="000000" w:themeColor="text1"/>
              </w:rPr>
            </w:pPr>
          </w:p>
        </w:tc>
        <w:tc>
          <w:tcPr>
            <w:tcW w:w="4587" w:type="dxa"/>
          </w:tcPr>
          <w:p w14:paraId="4D7632C6" w14:textId="19A9A03C" w:rsidR="004B41F4" w:rsidRPr="00565B02" w:rsidRDefault="002262E0" w:rsidP="0057310C">
            <w:pPr>
              <w:rPr>
                <w:rFonts w:ascii="Calibri Light" w:hAnsi="Calibri Light" w:cs="Calibri Light"/>
                <w:color w:val="000000" w:themeColor="text1"/>
              </w:rPr>
            </w:pPr>
            <w:r w:rsidRPr="00565B02">
              <w:rPr>
                <w:rFonts w:ascii="Calibri Light" w:hAnsi="Calibri Light" w:cs="Calibri Light"/>
                <w:color w:val="000000" w:themeColor="text1"/>
              </w:rPr>
              <w:t>Складиште деривата нафте на локацији Ковин</w:t>
            </w:r>
          </w:p>
        </w:tc>
        <w:tc>
          <w:tcPr>
            <w:tcW w:w="1262" w:type="dxa"/>
            <w:vAlign w:val="center"/>
          </w:tcPr>
          <w:p w14:paraId="4A86AE45"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2027</w:t>
            </w:r>
          </w:p>
        </w:tc>
        <w:tc>
          <w:tcPr>
            <w:tcW w:w="1203" w:type="dxa"/>
            <w:vAlign w:val="center"/>
          </w:tcPr>
          <w:p w14:paraId="2BD86CD4"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23</w:t>
            </w:r>
          </w:p>
        </w:tc>
        <w:tc>
          <w:tcPr>
            <w:tcW w:w="1203" w:type="dxa"/>
            <w:vAlign w:val="center"/>
          </w:tcPr>
          <w:p w14:paraId="28D3B9BD" w14:textId="77777777" w:rsidR="004B41F4" w:rsidRPr="00565B02" w:rsidRDefault="004B41F4" w:rsidP="0057310C">
            <w:pPr>
              <w:tabs>
                <w:tab w:val="left" w:pos="1830"/>
              </w:tabs>
              <w:jc w:val="center"/>
              <w:rPr>
                <w:rFonts w:ascii="Calibri Light" w:hAnsi="Calibri Light" w:cs="Calibri Light"/>
                <w:color w:val="000000" w:themeColor="text1"/>
              </w:rPr>
            </w:pPr>
          </w:p>
        </w:tc>
      </w:tr>
      <w:tr w:rsidR="004B41F4" w:rsidRPr="006D5F5A" w14:paraId="01E2C6C5" w14:textId="77777777" w:rsidTr="00565B02">
        <w:trPr>
          <w:trHeight w:val="1151"/>
        </w:trPr>
        <w:tc>
          <w:tcPr>
            <w:tcW w:w="1368" w:type="dxa"/>
            <w:shd w:val="clear" w:color="auto" w:fill="E7E6E6"/>
            <w:vAlign w:val="center"/>
          </w:tcPr>
          <w:p w14:paraId="77913E26" w14:textId="7E44D683" w:rsidR="004B41F4" w:rsidRPr="006D5F5A" w:rsidRDefault="004B41F4" w:rsidP="000A2AFE">
            <w:pPr>
              <w:tabs>
                <w:tab w:val="left" w:pos="1830"/>
              </w:tabs>
              <w:jc w:val="left"/>
              <w:rPr>
                <w:rFonts w:ascii="Calibri Light" w:hAnsi="Calibri Light" w:cs="Calibri Light"/>
                <w:color w:val="000000" w:themeColor="text1"/>
              </w:rPr>
            </w:pPr>
            <w:r w:rsidRPr="006D5F5A">
              <w:rPr>
                <w:rFonts w:ascii="Calibri Light" w:hAnsi="Calibri Light" w:cs="Calibri Light"/>
                <w:color w:val="000000" w:themeColor="text1"/>
              </w:rPr>
              <w:lastRenderedPageBreak/>
              <w:t>Сектор грејања</w:t>
            </w:r>
          </w:p>
        </w:tc>
        <w:tc>
          <w:tcPr>
            <w:tcW w:w="4587" w:type="dxa"/>
          </w:tcPr>
          <w:p w14:paraId="1A0A2042" w14:textId="1AC06204" w:rsidR="004B41F4" w:rsidRPr="006D5F5A" w:rsidRDefault="00D05F42" w:rsidP="0057310C">
            <w:pPr>
              <w:rPr>
                <w:rFonts w:ascii="Calibri Light" w:hAnsi="Calibri Light" w:cs="Calibri Light"/>
                <w:color w:val="000000" w:themeColor="text1"/>
              </w:rPr>
            </w:pPr>
            <w:r w:rsidRPr="006D5F5A">
              <w:rPr>
                <w:rFonts w:ascii="Calibri Light" w:hAnsi="Calibri Light" w:cs="Calibri Light"/>
                <w:color w:val="000000" w:themeColor="text1"/>
              </w:rPr>
              <w:t xml:space="preserve">Подстицање развоја обновљиве енергије – развој тржишта биомасе у Србији фаза </w:t>
            </w:r>
            <w:r w:rsidRPr="00565B02">
              <w:rPr>
                <w:rFonts w:ascii="Calibri Light" w:hAnsi="Calibri Light" w:cs="Calibri Light"/>
                <w:color w:val="000000" w:themeColor="text1"/>
              </w:rPr>
              <w:t>II</w:t>
            </w:r>
            <w:r w:rsidRPr="006D5F5A">
              <w:rPr>
                <w:rFonts w:ascii="Calibri Light" w:hAnsi="Calibri Light" w:cs="Calibri Light"/>
                <w:color w:val="000000" w:themeColor="text1"/>
              </w:rPr>
              <w:t xml:space="preserve"> </w:t>
            </w:r>
            <w:r w:rsidR="004B41F4" w:rsidRPr="006D5F5A">
              <w:rPr>
                <w:rFonts w:ascii="Calibri Light" w:hAnsi="Calibri Light" w:cs="Calibri Light"/>
                <w:color w:val="000000" w:themeColor="text1"/>
              </w:rPr>
              <w:t>(2024-28). (</w:t>
            </w:r>
            <w:r w:rsidRPr="006D5F5A">
              <w:rPr>
                <w:rFonts w:ascii="Calibri Light" w:hAnsi="Calibri Light" w:cs="Calibri Light"/>
                <w:color w:val="000000" w:themeColor="text1"/>
              </w:rPr>
              <w:t xml:space="preserve">Средства ће обезбедити </w:t>
            </w:r>
            <w:r w:rsidRPr="00565B02">
              <w:rPr>
                <w:rFonts w:ascii="Calibri Light" w:hAnsi="Calibri Light" w:cs="Calibri Light"/>
                <w:color w:val="000000" w:themeColor="text1"/>
              </w:rPr>
              <w:t>KfW</w:t>
            </w:r>
            <w:r w:rsidRPr="006D5F5A">
              <w:rPr>
                <w:rFonts w:ascii="Calibri Light" w:hAnsi="Calibri Light" w:cs="Calibri Light"/>
                <w:color w:val="000000" w:themeColor="text1"/>
              </w:rPr>
              <w:t xml:space="preserve"> из зајма 20 милиона и 10 милиона из гранта</w:t>
            </w:r>
            <w:r w:rsidR="004B41F4" w:rsidRPr="006D5F5A">
              <w:rPr>
                <w:rFonts w:ascii="Calibri Light" w:hAnsi="Calibri Light" w:cs="Calibri Light"/>
                <w:color w:val="000000" w:themeColor="text1"/>
              </w:rPr>
              <w:t>)</w:t>
            </w:r>
          </w:p>
        </w:tc>
        <w:tc>
          <w:tcPr>
            <w:tcW w:w="1262" w:type="dxa"/>
            <w:vAlign w:val="center"/>
          </w:tcPr>
          <w:p w14:paraId="11843F8C"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2028</w:t>
            </w:r>
          </w:p>
        </w:tc>
        <w:tc>
          <w:tcPr>
            <w:tcW w:w="1203" w:type="dxa"/>
            <w:vAlign w:val="center"/>
          </w:tcPr>
          <w:p w14:paraId="1986A0D9" w14:textId="77777777" w:rsidR="004B41F4" w:rsidRPr="00565B02" w:rsidRDefault="004B41F4" w:rsidP="0057310C">
            <w:pPr>
              <w:tabs>
                <w:tab w:val="left" w:pos="1830"/>
              </w:tabs>
              <w:jc w:val="center"/>
              <w:rPr>
                <w:rFonts w:ascii="Calibri Light" w:hAnsi="Calibri Light" w:cs="Calibri Light"/>
                <w:color w:val="000000" w:themeColor="text1"/>
              </w:rPr>
            </w:pPr>
            <w:r w:rsidRPr="00565B02">
              <w:rPr>
                <w:rFonts w:ascii="Calibri Light" w:hAnsi="Calibri Light" w:cs="Calibri Light"/>
                <w:color w:val="000000" w:themeColor="text1"/>
              </w:rPr>
              <w:t>30</w:t>
            </w:r>
          </w:p>
        </w:tc>
        <w:tc>
          <w:tcPr>
            <w:tcW w:w="1203" w:type="dxa"/>
            <w:vAlign w:val="center"/>
          </w:tcPr>
          <w:p w14:paraId="5CD56724" w14:textId="77777777" w:rsidR="004B41F4" w:rsidRPr="00565B02" w:rsidRDefault="004B41F4" w:rsidP="0057310C">
            <w:pPr>
              <w:tabs>
                <w:tab w:val="left" w:pos="1830"/>
              </w:tabs>
              <w:jc w:val="center"/>
              <w:rPr>
                <w:rFonts w:ascii="Calibri Light" w:hAnsi="Calibri Light" w:cs="Calibri Light"/>
                <w:color w:val="000000" w:themeColor="text1"/>
              </w:rPr>
            </w:pPr>
          </w:p>
        </w:tc>
      </w:tr>
      <w:tr w:rsidR="004B41F4" w:rsidRPr="006D5F5A" w14:paraId="22210A1D" w14:textId="77777777" w:rsidTr="00565B02">
        <w:trPr>
          <w:trHeight w:val="366"/>
        </w:trPr>
        <w:tc>
          <w:tcPr>
            <w:tcW w:w="1368" w:type="dxa"/>
            <w:shd w:val="clear" w:color="auto" w:fill="E7E6E6"/>
          </w:tcPr>
          <w:p w14:paraId="73F01C40" w14:textId="77777777" w:rsidR="004B41F4" w:rsidRPr="00565B02" w:rsidRDefault="004B41F4" w:rsidP="0057310C">
            <w:pPr>
              <w:tabs>
                <w:tab w:val="left" w:pos="1830"/>
              </w:tabs>
              <w:rPr>
                <w:rFonts w:ascii="Calibri Light" w:hAnsi="Calibri Light" w:cs="Calibri Light"/>
                <w:color w:val="000000" w:themeColor="text1"/>
              </w:rPr>
            </w:pPr>
          </w:p>
        </w:tc>
        <w:tc>
          <w:tcPr>
            <w:tcW w:w="4587" w:type="dxa"/>
            <w:shd w:val="clear" w:color="auto" w:fill="E7E6E6"/>
          </w:tcPr>
          <w:p w14:paraId="5D78B54B" w14:textId="77777777" w:rsidR="004B41F4" w:rsidRPr="00565B02" w:rsidRDefault="004B41F4" w:rsidP="0057310C">
            <w:pPr>
              <w:rPr>
                <w:rFonts w:ascii="Calibri Light" w:hAnsi="Calibri Light" w:cs="Calibri Light"/>
                <w:color w:val="000000" w:themeColor="text1"/>
              </w:rPr>
            </w:pPr>
          </w:p>
        </w:tc>
        <w:tc>
          <w:tcPr>
            <w:tcW w:w="1262" w:type="dxa"/>
            <w:shd w:val="clear" w:color="auto" w:fill="E7E6E6"/>
            <w:vAlign w:val="center"/>
          </w:tcPr>
          <w:p w14:paraId="7ACFDA54" w14:textId="69E7D812" w:rsidR="004B41F4" w:rsidRPr="006D5F5A" w:rsidRDefault="004B41F4" w:rsidP="0057310C">
            <w:pPr>
              <w:tabs>
                <w:tab w:val="left" w:pos="1830"/>
              </w:tabs>
              <w:jc w:val="center"/>
              <w:rPr>
                <w:rFonts w:ascii="Calibri Light" w:hAnsi="Calibri Light" w:cs="Calibri Light"/>
                <w:b/>
                <w:bCs/>
                <w:color w:val="000000" w:themeColor="text1"/>
              </w:rPr>
            </w:pPr>
            <w:r w:rsidRPr="006D5F5A">
              <w:rPr>
                <w:rFonts w:ascii="Calibri Light" w:hAnsi="Calibri Light" w:cs="Calibri Light"/>
                <w:b/>
                <w:bCs/>
                <w:color w:val="000000" w:themeColor="text1"/>
              </w:rPr>
              <w:t>Укупно</w:t>
            </w:r>
          </w:p>
        </w:tc>
        <w:tc>
          <w:tcPr>
            <w:tcW w:w="1203" w:type="dxa"/>
            <w:shd w:val="clear" w:color="auto" w:fill="E7E6E6"/>
            <w:vAlign w:val="center"/>
          </w:tcPr>
          <w:p w14:paraId="12F7D1CA" w14:textId="77777777" w:rsidR="004B41F4" w:rsidRPr="00565B02" w:rsidRDefault="004B41F4" w:rsidP="0057310C">
            <w:pPr>
              <w:tabs>
                <w:tab w:val="left" w:pos="1830"/>
              </w:tabs>
              <w:jc w:val="center"/>
              <w:rPr>
                <w:rFonts w:ascii="Calibri Light" w:hAnsi="Calibri Light" w:cs="Calibri Light"/>
                <w:b/>
                <w:bCs/>
                <w:color w:val="000000" w:themeColor="text1"/>
              </w:rPr>
            </w:pPr>
            <w:r w:rsidRPr="00565B02">
              <w:rPr>
                <w:rFonts w:ascii="Calibri Light" w:hAnsi="Calibri Light" w:cs="Calibri Light"/>
                <w:b/>
                <w:bCs/>
                <w:color w:val="000000" w:themeColor="text1"/>
              </w:rPr>
              <w:t>4.712</w:t>
            </w:r>
          </w:p>
        </w:tc>
        <w:tc>
          <w:tcPr>
            <w:tcW w:w="1203" w:type="dxa"/>
            <w:shd w:val="clear" w:color="auto" w:fill="E7E6E6"/>
            <w:vAlign w:val="center"/>
          </w:tcPr>
          <w:p w14:paraId="4837DCDE" w14:textId="77777777" w:rsidR="004B41F4" w:rsidRPr="00565B02" w:rsidRDefault="004B41F4" w:rsidP="0057310C">
            <w:pPr>
              <w:tabs>
                <w:tab w:val="left" w:pos="1830"/>
              </w:tabs>
              <w:jc w:val="center"/>
              <w:rPr>
                <w:rFonts w:ascii="Calibri Light" w:hAnsi="Calibri Light" w:cs="Calibri Light"/>
                <w:b/>
                <w:bCs/>
                <w:color w:val="000000" w:themeColor="text1"/>
              </w:rPr>
            </w:pPr>
            <w:r w:rsidRPr="00565B02">
              <w:rPr>
                <w:rFonts w:ascii="Calibri Light" w:hAnsi="Calibri Light" w:cs="Calibri Light"/>
                <w:b/>
                <w:bCs/>
                <w:color w:val="000000" w:themeColor="text1"/>
              </w:rPr>
              <w:t>3.136</w:t>
            </w:r>
          </w:p>
        </w:tc>
      </w:tr>
    </w:tbl>
    <w:p w14:paraId="788FB3A6" w14:textId="658D4C9F" w:rsidR="009F1D0C" w:rsidRPr="009F1D0C" w:rsidRDefault="009F1D0C" w:rsidP="00565B02">
      <w:pPr>
        <w:pStyle w:val="Heading1"/>
        <w:numPr>
          <w:ilvl w:val="0"/>
          <w:numId w:val="394"/>
        </w:numPr>
      </w:pPr>
      <w:bookmarkStart w:id="517" w:name="_Toc153901569"/>
      <w:bookmarkEnd w:id="517"/>
      <w:r w:rsidRPr="00FF386D">
        <w:br w:type="page"/>
      </w:r>
      <w:bookmarkStart w:id="518" w:name="_Toc153901570"/>
      <w:r w:rsidRPr="00FF386D">
        <w:lastRenderedPageBreak/>
        <w:t xml:space="preserve">Анекс: </w:t>
      </w:r>
      <w:r>
        <w:t>Додатне табеле</w:t>
      </w:r>
      <w:bookmarkEnd w:id="518"/>
    </w:p>
    <w:p w14:paraId="4B85C365" w14:textId="5CB23CBF" w:rsidR="004B41F4" w:rsidRPr="00C312D6" w:rsidRDefault="009F1D0C" w:rsidP="000A2AFE">
      <w:pPr>
        <w:pStyle w:val="ListParagraph"/>
        <w:numPr>
          <w:ilvl w:val="0"/>
          <w:numId w:val="309"/>
        </w:numPr>
        <w:spacing w:line="259" w:lineRule="auto"/>
        <w:rPr>
          <w:rFonts w:asciiTheme="majorHAnsi" w:eastAsiaTheme="majorEastAsia" w:hAnsiTheme="majorHAnsi" w:cstheme="majorBidi"/>
          <w:b/>
          <w:bCs/>
          <w:iCs/>
          <w:color w:val="01406B"/>
          <w:szCs w:val="24"/>
        </w:rPr>
      </w:pPr>
      <w:r w:rsidRPr="00C312D6">
        <w:rPr>
          <w:rFonts w:asciiTheme="majorHAnsi" w:eastAsiaTheme="majorEastAsia" w:hAnsiTheme="majorHAnsi" w:cstheme="majorBidi"/>
          <w:b/>
          <w:bCs/>
          <w:iCs/>
          <w:color w:val="01406B"/>
          <w:szCs w:val="24"/>
        </w:rPr>
        <w:t>Емисије из употребе енергије, процеса и фугитивне емисије</w:t>
      </w:r>
    </w:p>
    <w:p w14:paraId="2423479D" w14:textId="602C31BD" w:rsidR="009F1D0C" w:rsidRDefault="009F1D0C" w:rsidP="00565B02">
      <w:pPr>
        <w:spacing w:line="259" w:lineRule="auto"/>
        <w:jc w:val="both"/>
      </w:pPr>
      <w:r>
        <w:t xml:space="preserve">Напомена да ове табеле не укључују </w:t>
      </w:r>
      <w:r w:rsidRPr="009F1D0C">
        <w:t>емисије из неенергетских сектора, односно пољопривреде, отпада, коришћења земљишта, промене коришћења земљишта и шумарства</w:t>
      </w:r>
      <w:r>
        <w:t>.</w:t>
      </w:r>
    </w:p>
    <w:p w14:paraId="21A5A688" w14:textId="5945FB12" w:rsidR="00873C40" w:rsidRDefault="00873C40" w:rsidP="00565B02">
      <w:pPr>
        <w:pStyle w:val="Caption"/>
        <w:keepNext/>
      </w:pPr>
      <w:bookmarkStart w:id="519" w:name="_Toc153901496"/>
      <w:r>
        <w:t xml:space="preserve">Табела </w:t>
      </w:r>
      <w:r>
        <w:fldChar w:fldCharType="begin"/>
      </w:r>
      <w:r>
        <w:instrText xml:space="preserve"> STYLEREF 1 \s </w:instrText>
      </w:r>
      <w:r>
        <w:fldChar w:fldCharType="separate"/>
      </w:r>
      <w:r>
        <w:rPr>
          <w:noProof/>
        </w:rPr>
        <w:t>V</w:t>
      </w:r>
      <w:r>
        <w:fldChar w:fldCharType="end"/>
      </w:r>
      <w:r>
        <w:t>.</w:t>
      </w:r>
      <w:r>
        <w:fldChar w:fldCharType="begin"/>
      </w:r>
      <w:r>
        <w:instrText xml:space="preserve"> SEQ Табела \* ARABIC \s 1 </w:instrText>
      </w:r>
      <w:r>
        <w:fldChar w:fldCharType="separate"/>
      </w:r>
      <w:r>
        <w:rPr>
          <w:noProof/>
        </w:rPr>
        <w:t>1</w:t>
      </w:r>
      <w:r>
        <w:fldChar w:fldCharType="end"/>
      </w:r>
      <w:r>
        <w:t xml:space="preserve">: </w:t>
      </w:r>
      <w:r w:rsidRPr="00873C40">
        <w:t>Сектор енергетске индустрије – емисије у ktons CO2-eq</w:t>
      </w:r>
      <w:bookmarkEnd w:id="519"/>
    </w:p>
    <w:tbl>
      <w:tblPr>
        <w:tblStyle w:val="TableGrid"/>
        <w:tblW w:w="0" w:type="auto"/>
        <w:tblLayout w:type="fixed"/>
        <w:tblLook w:val="04A0" w:firstRow="1" w:lastRow="0" w:firstColumn="1" w:lastColumn="0" w:noHBand="0" w:noVBand="1"/>
      </w:tblPr>
      <w:tblGrid>
        <w:gridCol w:w="1661"/>
        <w:gridCol w:w="724"/>
        <w:gridCol w:w="724"/>
        <w:gridCol w:w="724"/>
        <w:gridCol w:w="725"/>
        <w:gridCol w:w="724"/>
        <w:gridCol w:w="724"/>
        <w:gridCol w:w="724"/>
        <w:gridCol w:w="725"/>
        <w:gridCol w:w="724"/>
        <w:gridCol w:w="724"/>
        <w:gridCol w:w="725"/>
      </w:tblGrid>
      <w:tr w:rsidR="009F1D0C" w:rsidRPr="003B4324" w14:paraId="72A6B01F" w14:textId="77777777" w:rsidTr="0057310C">
        <w:trPr>
          <w:trHeight w:val="300"/>
        </w:trPr>
        <w:tc>
          <w:tcPr>
            <w:tcW w:w="1661" w:type="dxa"/>
            <w:shd w:val="clear" w:color="auto" w:fill="404040"/>
            <w:noWrap/>
            <w:vAlign w:val="center"/>
            <w:hideMark/>
          </w:tcPr>
          <w:p w14:paraId="412D920D" w14:textId="1540B399" w:rsidR="009F1D0C" w:rsidRPr="003208FA" w:rsidRDefault="009F1D0C" w:rsidP="0057310C">
            <w:pPr>
              <w:spacing w:after="0" w:line="240" w:lineRule="auto"/>
              <w:jc w:val="center"/>
              <w:rPr>
                <w:rFonts w:ascii="Calibri Light" w:hAnsi="Calibri Light" w:cs="Calibri Light"/>
                <w:color w:val="000000" w:themeColor="text1"/>
              </w:rPr>
            </w:pPr>
            <w:bookmarkStart w:id="520" w:name="_Hlk148688883"/>
            <w:r w:rsidRPr="009F1D0C">
              <w:rPr>
                <w:rFonts w:ascii="Calibri Light" w:hAnsi="Calibri Light" w:cs="Calibri Light"/>
                <w:color w:val="FFFFFF" w:themeColor="background1"/>
              </w:rPr>
              <w:t>Сектор</w:t>
            </w:r>
            <w:r>
              <w:rPr>
                <w:rFonts w:ascii="Calibri Light" w:hAnsi="Calibri Light" w:cs="Calibri Light"/>
                <w:color w:val="FFFFFF" w:themeColor="background1"/>
              </w:rPr>
              <w:t xml:space="preserve"> </w:t>
            </w:r>
            <w:r w:rsidRPr="009F1D0C">
              <w:rPr>
                <w:rFonts w:ascii="Calibri Light" w:hAnsi="Calibri Light" w:cs="Calibri Light"/>
                <w:color w:val="FFFFFF" w:themeColor="background1"/>
              </w:rPr>
              <w:t xml:space="preserve">енергетске индустрије </w:t>
            </w:r>
            <w:r w:rsidRPr="00C312D6">
              <w:rPr>
                <w:rFonts w:ascii="Calibri Light" w:hAnsi="Calibri Light" w:cs="Calibri Light"/>
                <w:color w:val="FFFFFF" w:themeColor="background1"/>
              </w:rPr>
              <w:t>[</w:t>
            </w:r>
            <w:r w:rsidRPr="008A5A56">
              <w:rPr>
                <w:rFonts w:ascii="Calibri Light" w:hAnsi="Calibri Light" w:cs="Calibri Light"/>
                <w:color w:val="FFFFFF" w:themeColor="background1"/>
              </w:rPr>
              <w:t xml:space="preserve">ktons </w:t>
            </w:r>
            <w:r w:rsidRPr="003208FA">
              <w:rPr>
                <w:rFonts w:ascii="Calibri Light" w:hAnsi="Calibri Light" w:cs="Calibri Light"/>
                <w:color w:val="FFFFFF" w:themeColor="background1"/>
              </w:rPr>
              <w:t>CO2</w:t>
            </w:r>
            <w:r>
              <w:rPr>
                <w:rFonts w:ascii="Calibri Light" w:hAnsi="Calibri Light" w:cs="Calibri Light"/>
                <w:color w:val="FFFFFF" w:themeColor="background1"/>
              </w:rPr>
              <w:t>-</w:t>
            </w:r>
            <w:r w:rsidRPr="003208FA">
              <w:rPr>
                <w:rFonts w:ascii="Calibri Light" w:hAnsi="Calibri Light" w:cs="Calibri Light"/>
                <w:color w:val="FFFFFF" w:themeColor="background1"/>
              </w:rPr>
              <w:t>eq</w:t>
            </w:r>
            <w:r>
              <w:rPr>
                <w:rFonts w:ascii="Calibri Light" w:hAnsi="Calibri Light" w:cs="Calibri Light"/>
                <w:color w:val="FFFFFF" w:themeColor="background1"/>
              </w:rPr>
              <w:t>]</w:t>
            </w:r>
          </w:p>
        </w:tc>
        <w:tc>
          <w:tcPr>
            <w:tcW w:w="724" w:type="dxa"/>
            <w:shd w:val="clear" w:color="auto" w:fill="1F497D"/>
            <w:noWrap/>
            <w:vAlign w:val="center"/>
            <w:hideMark/>
          </w:tcPr>
          <w:p w14:paraId="0C48C242" w14:textId="77777777" w:rsidR="009F1D0C" w:rsidRPr="003208FA" w:rsidRDefault="009F1D0C" w:rsidP="0057310C">
            <w:pPr>
              <w:spacing w:after="0" w:line="240" w:lineRule="auto"/>
              <w:jc w:val="center"/>
              <w:rPr>
                <w:rFonts w:ascii="Calibri Light" w:hAnsi="Calibri Light" w:cs="Calibri Light"/>
                <w:color w:val="FFFFFF" w:themeColor="background1"/>
              </w:rPr>
            </w:pPr>
            <w:r w:rsidRPr="003208FA">
              <w:rPr>
                <w:rFonts w:ascii="Calibri Light" w:hAnsi="Calibri Light" w:cs="Calibri Light"/>
                <w:color w:val="FFFFFF" w:themeColor="background1"/>
              </w:rPr>
              <w:t>2020</w:t>
            </w:r>
          </w:p>
        </w:tc>
        <w:tc>
          <w:tcPr>
            <w:tcW w:w="724" w:type="dxa"/>
            <w:shd w:val="clear" w:color="auto" w:fill="1F497D"/>
            <w:noWrap/>
            <w:vAlign w:val="center"/>
            <w:hideMark/>
          </w:tcPr>
          <w:p w14:paraId="5E512708" w14:textId="77777777" w:rsidR="009F1D0C" w:rsidRPr="003208FA" w:rsidRDefault="009F1D0C" w:rsidP="0057310C">
            <w:pPr>
              <w:spacing w:after="0" w:line="240" w:lineRule="auto"/>
              <w:jc w:val="center"/>
              <w:rPr>
                <w:rFonts w:ascii="Calibri Light" w:hAnsi="Calibri Light" w:cs="Calibri Light"/>
                <w:color w:val="FFFFFF" w:themeColor="background1"/>
              </w:rPr>
            </w:pPr>
            <w:r w:rsidRPr="003208FA">
              <w:rPr>
                <w:rFonts w:ascii="Calibri Light" w:hAnsi="Calibri Light" w:cs="Calibri Light"/>
                <w:color w:val="FFFFFF" w:themeColor="background1"/>
              </w:rPr>
              <w:t>2025</w:t>
            </w:r>
          </w:p>
        </w:tc>
        <w:tc>
          <w:tcPr>
            <w:tcW w:w="724" w:type="dxa"/>
            <w:shd w:val="clear" w:color="auto" w:fill="1F497D"/>
            <w:noWrap/>
            <w:vAlign w:val="center"/>
            <w:hideMark/>
          </w:tcPr>
          <w:p w14:paraId="6A533B90" w14:textId="77777777" w:rsidR="009F1D0C" w:rsidRPr="003208FA" w:rsidRDefault="009F1D0C" w:rsidP="0057310C">
            <w:pPr>
              <w:spacing w:after="0" w:line="240" w:lineRule="auto"/>
              <w:jc w:val="center"/>
              <w:rPr>
                <w:rFonts w:ascii="Calibri Light" w:hAnsi="Calibri Light" w:cs="Calibri Light"/>
                <w:color w:val="FFFFFF" w:themeColor="background1"/>
              </w:rPr>
            </w:pPr>
            <w:r w:rsidRPr="003208FA">
              <w:rPr>
                <w:rFonts w:ascii="Calibri Light" w:hAnsi="Calibri Light" w:cs="Calibri Light"/>
                <w:color w:val="FFFFFF" w:themeColor="background1"/>
              </w:rPr>
              <w:t>2026</w:t>
            </w:r>
          </w:p>
        </w:tc>
        <w:tc>
          <w:tcPr>
            <w:tcW w:w="725" w:type="dxa"/>
            <w:shd w:val="clear" w:color="auto" w:fill="1F497D"/>
            <w:noWrap/>
            <w:vAlign w:val="center"/>
            <w:hideMark/>
          </w:tcPr>
          <w:p w14:paraId="16210577" w14:textId="77777777" w:rsidR="009F1D0C" w:rsidRPr="003208FA" w:rsidRDefault="009F1D0C" w:rsidP="0057310C">
            <w:pPr>
              <w:spacing w:after="0" w:line="240" w:lineRule="auto"/>
              <w:jc w:val="center"/>
              <w:rPr>
                <w:rFonts w:ascii="Calibri Light" w:hAnsi="Calibri Light" w:cs="Calibri Light"/>
                <w:color w:val="FFFFFF" w:themeColor="background1"/>
              </w:rPr>
            </w:pPr>
            <w:r w:rsidRPr="003208FA">
              <w:rPr>
                <w:rFonts w:ascii="Calibri Light" w:hAnsi="Calibri Light" w:cs="Calibri Light"/>
                <w:color w:val="FFFFFF" w:themeColor="background1"/>
              </w:rPr>
              <w:t>2027</w:t>
            </w:r>
          </w:p>
        </w:tc>
        <w:tc>
          <w:tcPr>
            <w:tcW w:w="724" w:type="dxa"/>
            <w:shd w:val="clear" w:color="auto" w:fill="1F497D"/>
            <w:noWrap/>
            <w:vAlign w:val="center"/>
            <w:hideMark/>
          </w:tcPr>
          <w:p w14:paraId="0BDB6D44" w14:textId="77777777" w:rsidR="009F1D0C" w:rsidRPr="003208FA" w:rsidRDefault="009F1D0C" w:rsidP="0057310C">
            <w:pPr>
              <w:spacing w:after="0" w:line="240" w:lineRule="auto"/>
              <w:jc w:val="center"/>
              <w:rPr>
                <w:rFonts w:ascii="Calibri Light" w:hAnsi="Calibri Light" w:cs="Calibri Light"/>
                <w:color w:val="FFFFFF" w:themeColor="background1"/>
              </w:rPr>
            </w:pPr>
            <w:r w:rsidRPr="003208FA">
              <w:rPr>
                <w:rFonts w:ascii="Calibri Light" w:hAnsi="Calibri Light" w:cs="Calibri Light"/>
                <w:color w:val="FFFFFF" w:themeColor="background1"/>
              </w:rPr>
              <w:t>2028</w:t>
            </w:r>
          </w:p>
        </w:tc>
        <w:tc>
          <w:tcPr>
            <w:tcW w:w="724" w:type="dxa"/>
            <w:shd w:val="clear" w:color="auto" w:fill="1F497D"/>
            <w:noWrap/>
            <w:vAlign w:val="center"/>
            <w:hideMark/>
          </w:tcPr>
          <w:p w14:paraId="7BFB84AB" w14:textId="77777777" w:rsidR="009F1D0C" w:rsidRPr="003208FA" w:rsidRDefault="009F1D0C" w:rsidP="0057310C">
            <w:pPr>
              <w:spacing w:after="0" w:line="240" w:lineRule="auto"/>
              <w:jc w:val="center"/>
              <w:rPr>
                <w:rFonts w:ascii="Calibri Light" w:hAnsi="Calibri Light" w:cs="Calibri Light"/>
                <w:color w:val="FFFFFF" w:themeColor="background1"/>
              </w:rPr>
            </w:pPr>
            <w:r w:rsidRPr="003208FA">
              <w:rPr>
                <w:rFonts w:ascii="Calibri Light" w:hAnsi="Calibri Light" w:cs="Calibri Light"/>
                <w:color w:val="FFFFFF" w:themeColor="background1"/>
              </w:rPr>
              <w:t>2029</w:t>
            </w:r>
          </w:p>
        </w:tc>
        <w:tc>
          <w:tcPr>
            <w:tcW w:w="724" w:type="dxa"/>
            <w:shd w:val="clear" w:color="auto" w:fill="1F497D"/>
            <w:noWrap/>
            <w:vAlign w:val="center"/>
            <w:hideMark/>
          </w:tcPr>
          <w:p w14:paraId="7B1D9272" w14:textId="77777777" w:rsidR="009F1D0C" w:rsidRPr="003208FA" w:rsidRDefault="009F1D0C" w:rsidP="0057310C">
            <w:pPr>
              <w:spacing w:after="0" w:line="240" w:lineRule="auto"/>
              <w:jc w:val="center"/>
              <w:rPr>
                <w:rFonts w:ascii="Calibri Light" w:hAnsi="Calibri Light" w:cs="Calibri Light"/>
                <w:color w:val="FFFFFF" w:themeColor="background1"/>
              </w:rPr>
            </w:pPr>
            <w:r w:rsidRPr="003208FA">
              <w:rPr>
                <w:rFonts w:ascii="Calibri Light" w:hAnsi="Calibri Light" w:cs="Calibri Light"/>
                <w:color w:val="FFFFFF" w:themeColor="background1"/>
              </w:rPr>
              <w:t>2030</w:t>
            </w:r>
          </w:p>
        </w:tc>
        <w:tc>
          <w:tcPr>
            <w:tcW w:w="725" w:type="dxa"/>
            <w:shd w:val="clear" w:color="auto" w:fill="1F497D"/>
            <w:noWrap/>
            <w:vAlign w:val="center"/>
            <w:hideMark/>
          </w:tcPr>
          <w:p w14:paraId="38882935" w14:textId="77777777" w:rsidR="009F1D0C" w:rsidRPr="003208FA" w:rsidRDefault="009F1D0C" w:rsidP="0057310C">
            <w:pPr>
              <w:spacing w:after="0" w:line="240" w:lineRule="auto"/>
              <w:jc w:val="center"/>
              <w:rPr>
                <w:rFonts w:ascii="Calibri Light" w:hAnsi="Calibri Light" w:cs="Calibri Light"/>
                <w:color w:val="FFFFFF" w:themeColor="background1"/>
              </w:rPr>
            </w:pPr>
            <w:r w:rsidRPr="003208FA">
              <w:rPr>
                <w:rFonts w:ascii="Calibri Light" w:hAnsi="Calibri Light" w:cs="Calibri Light"/>
                <w:color w:val="FFFFFF" w:themeColor="background1"/>
              </w:rPr>
              <w:t>2035</w:t>
            </w:r>
          </w:p>
        </w:tc>
        <w:tc>
          <w:tcPr>
            <w:tcW w:w="724" w:type="dxa"/>
            <w:shd w:val="clear" w:color="auto" w:fill="1F497D"/>
            <w:noWrap/>
            <w:vAlign w:val="center"/>
            <w:hideMark/>
          </w:tcPr>
          <w:p w14:paraId="5AA1B197" w14:textId="77777777" w:rsidR="009F1D0C" w:rsidRPr="003208FA" w:rsidRDefault="009F1D0C" w:rsidP="0057310C">
            <w:pPr>
              <w:spacing w:after="0" w:line="240" w:lineRule="auto"/>
              <w:jc w:val="center"/>
              <w:rPr>
                <w:rFonts w:ascii="Calibri Light" w:hAnsi="Calibri Light" w:cs="Calibri Light"/>
                <w:color w:val="FFFFFF" w:themeColor="background1"/>
              </w:rPr>
            </w:pPr>
            <w:r w:rsidRPr="003208FA">
              <w:rPr>
                <w:rFonts w:ascii="Calibri Light" w:hAnsi="Calibri Light" w:cs="Calibri Light"/>
                <w:color w:val="FFFFFF" w:themeColor="background1"/>
              </w:rPr>
              <w:t>2040</w:t>
            </w:r>
          </w:p>
        </w:tc>
        <w:tc>
          <w:tcPr>
            <w:tcW w:w="724" w:type="dxa"/>
            <w:shd w:val="clear" w:color="auto" w:fill="1F497D"/>
            <w:noWrap/>
            <w:vAlign w:val="center"/>
            <w:hideMark/>
          </w:tcPr>
          <w:p w14:paraId="0826D7CF" w14:textId="77777777" w:rsidR="009F1D0C" w:rsidRPr="003208FA" w:rsidRDefault="009F1D0C" w:rsidP="0057310C">
            <w:pPr>
              <w:spacing w:after="0" w:line="240" w:lineRule="auto"/>
              <w:jc w:val="center"/>
              <w:rPr>
                <w:rFonts w:ascii="Calibri Light" w:hAnsi="Calibri Light" w:cs="Calibri Light"/>
                <w:color w:val="FFFFFF" w:themeColor="background1"/>
              </w:rPr>
            </w:pPr>
            <w:r w:rsidRPr="003208FA">
              <w:rPr>
                <w:rFonts w:ascii="Calibri Light" w:hAnsi="Calibri Light" w:cs="Calibri Light"/>
                <w:color w:val="FFFFFF" w:themeColor="background1"/>
              </w:rPr>
              <w:t>2045</w:t>
            </w:r>
          </w:p>
        </w:tc>
        <w:tc>
          <w:tcPr>
            <w:tcW w:w="725" w:type="dxa"/>
            <w:shd w:val="clear" w:color="auto" w:fill="1F497D"/>
            <w:noWrap/>
            <w:vAlign w:val="center"/>
            <w:hideMark/>
          </w:tcPr>
          <w:p w14:paraId="5531CD88" w14:textId="77777777" w:rsidR="009F1D0C" w:rsidRPr="003208FA" w:rsidRDefault="009F1D0C" w:rsidP="0057310C">
            <w:pPr>
              <w:spacing w:after="0" w:line="240" w:lineRule="auto"/>
              <w:jc w:val="center"/>
              <w:rPr>
                <w:rFonts w:ascii="Calibri Light" w:hAnsi="Calibri Light" w:cs="Calibri Light"/>
                <w:color w:val="FFFFFF" w:themeColor="background1"/>
              </w:rPr>
            </w:pPr>
            <w:r w:rsidRPr="003208FA">
              <w:rPr>
                <w:rFonts w:ascii="Calibri Light" w:hAnsi="Calibri Light" w:cs="Calibri Light"/>
                <w:color w:val="FFFFFF" w:themeColor="background1"/>
              </w:rPr>
              <w:t>2050</w:t>
            </w:r>
          </w:p>
        </w:tc>
      </w:tr>
      <w:tr w:rsidR="009F1D0C" w:rsidRPr="003B4324" w14:paraId="1CC24039" w14:textId="77777777" w:rsidTr="0057310C">
        <w:trPr>
          <w:trHeight w:val="300"/>
        </w:trPr>
        <w:tc>
          <w:tcPr>
            <w:tcW w:w="1661" w:type="dxa"/>
            <w:shd w:val="clear" w:color="auto" w:fill="E7E6E6"/>
            <w:noWrap/>
            <w:vAlign w:val="bottom"/>
            <w:hideMark/>
          </w:tcPr>
          <w:p w14:paraId="7FBF8DAB" w14:textId="77777777" w:rsidR="009F1D0C" w:rsidRPr="003208FA" w:rsidRDefault="009F1D0C" w:rsidP="0057310C">
            <w:pPr>
              <w:spacing w:after="0" w:line="240" w:lineRule="auto"/>
              <w:jc w:val="left"/>
              <w:rPr>
                <w:rFonts w:ascii="Calibri Light" w:hAnsi="Calibri Light" w:cs="Calibri Light"/>
                <w:color w:val="000000" w:themeColor="text1"/>
              </w:rPr>
            </w:pPr>
            <w:r w:rsidRPr="003208FA">
              <w:rPr>
                <w:rFonts w:ascii="Calibri Light" w:hAnsi="Calibri Light" w:cs="Calibri Light"/>
                <w:color w:val="000000" w:themeColor="text1"/>
              </w:rPr>
              <w:t>WEM</w:t>
            </w:r>
          </w:p>
        </w:tc>
        <w:tc>
          <w:tcPr>
            <w:tcW w:w="724" w:type="dxa"/>
            <w:noWrap/>
            <w:hideMark/>
          </w:tcPr>
          <w:p w14:paraId="72AAD56D"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32580</w:t>
            </w:r>
          </w:p>
        </w:tc>
        <w:tc>
          <w:tcPr>
            <w:tcW w:w="724" w:type="dxa"/>
            <w:noWrap/>
            <w:hideMark/>
          </w:tcPr>
          <w:p w14:paraId="1ECA9DA0"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33349</w:t>
            </w:r>
          </w:p>
        </w:tc>
        <w:tc>
          <w:tcPr>
            <w:tcW w:w="724" w:type="dxa"/>
            <w:noWrap/>
            <w:hideMark/>
          </w:tcPr>
          <w:p w14:paraId="5E0DD3AC"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33996</w:t>
            </w:r>
          </w:p>
        </w:tc>
        <w:tc>
          <w:tcPr>
            <w:tcW w:w="725" w:type="dxa"/>
            <w:noWrap/>
            <w:hideMark/>
          </w:tcPr>
          <w:p w14:paraId="537E5170"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34690</w:t>
            </w:r>
          </w:p>
        </w:tc>
        <w:tc>
          <w:tcPr>
            <w:tcW w:w="724" w:type="dxa"/>
            <w:noWrap/>
            <w:hideMark/>
          </w:tcPr>
          <w:p w14:paraId="30071B5E"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35494</w:t>
            </w:r>
          </w:p>
        </w:tc>
        <w:tc>
          <w:tcPr>
            <w:tcW w:w="724" w:type="dxa"/>
            <w:noWrap/>
            <w:hideMark/>
          </w:tcPr>
          <w:p w14:paraId="1BB1AB49"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36361</w:t>
            </w:r>
          </w:p>
        </w:tc>
        <w:tc>
          <w:tcPr>
            <w:tcW w:w="724" w:type="dxa"/>
            <w:noWrap/>
            <w:hideMark/>
          </w:tcPr>
          <w:p w14:paraId="0A04C399"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37485</w:t>
            </w:r>
          </w:p>
        </w:tc>
        <w:tc>
          <w:tcPr>
            <w:tcW w:w="725" w:type="dxa"/>
            <w:noWrap/>
            <w:hideMark/>
          </w:tcPr>
          <w:p w14:paraId="73D08145"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40010</w:t>
            </w:r>
          </w:p>
        </w:tc>
        <w:tc>
          <w:tcPr>
            <w:tcW w:w="724" w:type="dxa"/>
            <w:noWrap/>
            <w:hideMark/>
          </w:tcPr>
          <w:p w14:paraId="20FC3937"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41549</w:t>
            </w:r>
          </w:p>
        </w:tc>
        <w:tc>
          <w:tcPr>
            <w:tcW w:w="724" w:type="dxa"/>
            <w:noWrap/>
            <w:hideMark/>
          </w:tcPr>
          <w:p w14:paraId="072BC448"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43066</w:t>
            </w:r>
          </w:p>
        </w:tc>
        <w:tc>
          <w:tcPr>
            <w:tcW w:w="725" w:type="dxa"/>
            <w:noWrap/>
            <w:hideMark/>
          </w:tcPr>
          <w:p w14:paraId="3515B4B4"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37142</w:t>
            </w:r>
          </w:p>
        </w:tc>
      </w:tr>
      <w:tr w:rsidR="009F1D0C" w:rsidRPr="003B4324" w14:paraId="67FF9E4C" w14:textId="77777777" w:rsidTr="0057310C">
        <w:trPr>
          <w:trHeight w:val="300"/>
        </w:trPr>
        <w:tc>
          <w:tcPr>
            <w:tcW w:w="1661" w:type="dxa"/>
            <w:shd w:val="clear" w:color="auto" w:fill="E7E6E6"/>
            <w:noWrap/>
            <w:vAlign w:val="bottom"/>
            <w:hideMark/>
          </w:tcPr>
          <w:p w14:paraId="63269496" w14:textId="17B0943D" w:rsidR="009F1D0C" w:rsidRPr="003208FA" w:rsidRDefault="009F1D0C" w:rsidP="0057310C">
            <w:pPr>
              <w:spacing w:after="0" w:line="240" w:lineRule="auto"/>
              <w:jc w:val="left"/>
              <w:rPr>
                <w:rFonts w:ascii="Calibri Light" w:hAnsi="Calibri Light" w:cs="Calibri Light"/>
                <w:color w:val="000000" w:themeColor="text1"/>
              </w:rPr>
            </w:pPr>
            <w:r>
              <w:rPr>
                <w:rFonts w:ascii="Calibri Light" w:hAnsi="Calibri Light" w:cs="Calibri Light"/>
                <w:color w:val="000000" w:themeColor="text1"/>
              </w:rPr>
              <w:t>Сценарио</w:t>
            </w:r>
            <w:r w:rsidRPr="003208FA">
              <w:rPr>
                <w:rFonts w:ascii="Calibri Light" w:hAnsi="Calibri Light" w:cs="Calibri Light"/>
                <w:color w:val="000000" w:themeColor="text1"/>
              </w:rPr>
              <w:t>-S</w:t>
            </w:r>
          </w:p>
        </w:tc>
        <w:tc>
          <w:tcPr>
            <w:tcW w:w="724" w:type="dxa"/>
            <w:noWrap/>
            <w:hideMark/>
          </w:tcPr>
          <w:p w14:paraId="5A1F1C14"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32572</w:t>
            </w:r>
          </w:p>
        </w:tc>
        <w:tc>
          <w:tcPr>
            <w:tcW w:w="724" w:type="dxa"/>
            <w:noWrap/>
            <w:hideMark/>
          </w:tcPr>
          <w:p w14:paraId="76850015"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30129</w:t>
            </w:r>
          </w:p>
        </w:tc>
        <w:tc>
          <w:tcPr>
            <w:tcW w:w="724" w:type="dxa"/>
            <w:noWrap/>
            <w:hideMark/>
          </w:tcPr>
          <w:p w14:paraId="67611725"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29301</w:t>
            </w:r>
          </w:p>
        </w:tc>
        <w:tc>
          <w:tcPr>
            <w:tcW w:w="725" w:type="dxa"/>
            <w:noWrap/>
            <w:hideMark/>
          </w:tcPr>
          <w:p w14:paraId="12C1C77A"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28939</w:t>
            </w:r>
          </w:p>
        </w:tc>
        <w:tc>
          <w:tcPr>
            <w:tcW w:w="724" w:type="dxa"/>
            <w:noWrap/>
            <w:hideMark/>
          </w:tcPr>
          <w:p w14:paraId="2F0E4F6A"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28028</w:t>
            </w:r>
          </w:p>
        </w:tc>
        <w:tc>
          <w:tcPr>
            <w:tcW w:w="724" w:type="dxa"/>
            <w:noWrap/>
            <w:hideMark/>
          </w:tcPr>
          <w:p w14:paraId="530962E8"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26626</w:t>
            </w:r>
          </w:p>
        </w:tc>
        <w:tc>
          <w:tcPr>
            <w:tcW w:w="724" w:type="dxa"/>
            <w:noWrap/>
            <w:hideMark/>
          </w:tcPr>
          <w:p w14:paraId="2A245079"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23865</w:t>
            </w:r>
          </w:p>
        </w:tc>
        <w:tc>
          <w:tcPr>
            <w:tcW w:w="725" w:type="dxa"/>
            <w:noWrap/>
            <w:hideMark/>
          </w:tcPr>
          <w:p w14:paraId="4E3004E7"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18190</w:t>
            </w:r>
          </w:p>
        </w:tc>
        <w:tc>
          <w:tcPr>
            <w:tcW w:w="724" w:type="dxa"/>
            <w:noWrap/>
            <w:hideMark/>
          </w:tcPr>
          <w:p w14:paraId="2338EEAE"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14041</w:t>
            </w:r>
          </w:p>
        </w:tc>
        <w:tc>
          <w:tcPr>
            <w:tcW w:w="724" w:type="dxa"/>
            <w:noWrap/>
            <w:hideMark/>
          </w:tcPr>
          <w:p w14:paraId="5A295E1A"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9809</w:t>
            </w:r>
          </w:p>
        </w:tc>
        <w:tc>
          <w:tcPr>
            <w:tcW w:w="725" w:type="dxa"/>
            <w:noWrap/>
            <w:hideMark/>
          </w:tcPr>
          <w:p w14:paraId="000C03EF"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3365</w:t>
            </w:r>
          </w:p>
        </w:tc>
      </w:tr>
      <w:tr w:rsidR="009F1D0C" w:rsidRPr="003B4324" w14:paraId="311B416A" w14:textId="77777777" w:rsidTr="0057310C">
        <w:trPr>
          <w:trHeight w:val="300"/>
        </w:trPr>
        <w:tc>
          <w:tcPr>
            <w:tcW w:w="1661" w:type="dxa"/>
            <w:shd w:val="clear" w:color="auto" w:fill="E7E6E6"/>
            <w:noWrap/>
            <w:vAlign w:val="bottom"/>
            <w:hideMark/>
          </w:tcPr>
          <w:p w14:paraId="5468A579" w14:textId="32460DF2" w:rsidR="009F1D0C" w:rsidRPr="003208FA" w:rsidRDefault="009F1D0C" w:rsidP="0057310C">
            <w:pPr>
              <w:spacing w:after="0" w:line="240" w:lineRule="auto"/>
              <w:jc w:val="left"/>
              <w:rPr>
                <w:rFonts w:ascii="Calibri Light" w:hAnsi="Calibri Light" w:cs="Calibri Light"/>
                <w:color w:val="000000" w:themeColor="text1"/>
              </w:rPr>
            </w:pPr>
            <w:r w:rsidRPr="009F1D0C">
              <w:rPr>
                <w:rFonts w:ascii="Calibri Light" w:hAnsi="Calibri Light" w:cs="Calibri Light"/>
                <w:color w:val="000000" w:themeColor="text1"/>
              </w:rPr>
              <w:t>Сценарио</w:t>
            </w:r>
            <w:r w:rsidRPr="003208FA">
              <w:rPr>
                <w:rFonts w:ascii="Calibri Light" w:hAnsi="Calibri Light" w:cs="Calibri Light"/>
                <w:color w:val="000000" w:themeColor="text1"/>
              </w:rPr>
              <w:t>-S-N</w:t>
            </w:r>
          </w:p>
        </w:tc>
        <w:tc>
          <w:tcPr>
            <w:tcW w:w="724" w:type="dxa"/>
            <w:noWrap/>
            <w:hideMark/>
          </w:tcPr>
          <w:p w14:paraId="4DA0EE98"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32572</w:t>
            </w:r>
          </w:p>
        </w:tc>
        <w:tc>
          <w:tcPr>
            <w:tcW w:w="724" w:type="dxa"/>
            <w:noWrap/>
            <w:hideMark/>
          </w:tcPr>
          <w:p w14:paraId="31EE1CAE"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30129</w:t>
            </w:r>
          </w:p>
        </w:tc>
        <w:tc>
          <w:tcPr>
            <w:tcW w:w="724" w:type="dxa"/>
            <w:noWrap/>
            <w:hideMark/>
          </w:tcPr>
          <w:p w14:paraId="16CF026D"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29301</w:t>
            </w:r>
          </w:p>
        </w:tc>
        <w:tc>
          <w:tcPr>
            <w:tcW w:w="725" w:type="dxa"/>
            <w:noWrap/>
            <w:hideMark/>
          </w:tcPr>
          <w:p w14:paraId="1E9CC074"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28939</w:t>
            </w:r>
          </w:p>
        </w:tc>
        <w:tc>
          <w:tcPr>
            <w:tcW w:w="724" w:type="dxa"/>
            <w:noWrap/>
            <w:hideMark/>
          </w:tcPr>
          <w:p w14:paraId="7E8FE619"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28028</w:t>
            </w:r>
          </w:p>
        </w:tc>
        <w:tc>
          <w:tcPr>
            <w:tcW w:w="724" w:type="dxa"/>
            <w:noWrap/>
            <w:hideMark/>
          </w:tcPr>
          <w:p w14:paraId="717B439E"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26626</w:t>
            </w:r>
          </w:p>
        </w:tc>
        <w:tc>
          <w:tcPr>
            <w:tcW w:w="724" w:type="dxa"/>
            <w:noWrap/>
            <w:hideMark/>
          </w:tcPr>
          <w:p w14:paraId="20DDEC07"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23865</w:t>
            </w:r>
          </w:p>
        </w:tc>
        <w:tc>
          <w:tcPr>
            <w:tcW w:w="725" w:type="dxa"/>
            <w:noWrap/>
            <w:hideMark/>
          </w:tcPr>
          <w:p w14:paraId="7CB4841C"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18170</w:t>
            </w:r>
          </w:p>
        </w:tc>
        <w:tc>
          <w:tcPr>
            <w:tcW w:w="724" w:type="dxa"/>
            <w:noWrap/>
            <w:hideMark/>
          </w:tcPr>
          <w:p w14:paraId="343D0F86"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14954</w:t>
            </w:r>
          </w:p>
        </w:tc>
        <w:tc>
          <w:tcPr>
            <w:tcW w:w="724" w:type="dxa"/>
            <w:noWrap/>
            <w:hideMark/>
          </w:tcPr>
          <w:p w14:paraId="25894A25"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6807</w:t>
            </w:r>
          </w:p>
        </w:tc>
        <w:tc>
          <w:tcPr>
            <w:tcW w:w="725" w:type="dxa"/>
            <w:noWrap/>
            <w:hideMark/>
          </w:tcPr>
          <w:p w14:paraId="1EEE2557" w14:textId="77777777" w:rsidR="009F1D0C" w:rsidRPr="003208FA" w:rsidRDefault="009F1D0C"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2471</w:t>
            </w:r>
          </w:p>
        </w:tc>
      </w:tr>
    </w:tbl>
    <w:p w14:paraId="11603F7B" w14:textId="7CA79192" w:rsidR="00873C40" w:rsidRDefault="00873C40" w:rsidP="00565B02">
      <w:pPr>
        <w:pStyle w:val="Caption"/>
        <w:keepNext/>
        <w:spacing w:before="200"/>
      </w:pPr>
      <w:bookmarkStart w:id="521" w:name="_Hlk148689050"/>
      <w:bookmarkStart w:id="522" w:name="_Toc153901497"/>
      <w:bookmarkEnd w:id="520"/>
      <w:r>
        <w:t xml:space="preserve">Табела </w:t>
      </w:r>
      <w:r>
        <w:fldChar w:fldCharType="begin"/>
      </w:r>
      <w:r>
        <w:instrText xml:space="preserve"> STYLEREF 1 \s </w:instrText>
      </w:r>
      <w:r>
        <w:fldChar w:fldCharType="separate"/>
      </w:r>
      <w:r>
        <w:rPr>
          <w:noProof/>
        </w:rPr>
        <w:t>V</w:t>
      </w:r>
      <w:r>
        <w:fldChar w:fldCharType="end"/>
      </w:r>
      <w:r>
        <w:t>.</w:t>
      </w:r>
      <w:r>
        <w:fldChar w:fldCharType="begin"/>
      </w:r>
      <w:r>
        <w:instrText xml:space="preserve"> SEQ Табела \* ARABIC \s 1 </w:instrText>
      </w:r>
      <w:r>
        <w:fldChar w:fldCharType="separate"/>
      </w:r>
      <w:r>
        <w:rPr>
          <w:noProof/>
        </w:rPr>
        <w:t>2</w:t>
      </w:r>
      <w:r>
        <w:fldChar w:fldCharType="end"/>
      </w:r>
      <w:r>
        <w:t xml:space="preserve">: </w:t>
      </w:r>
      <w:r w:rsidRPr="00873C40">
        <w:t>Сектор електроенергетике - емисије у ktons CO2-eq</w:t>
      </w:r>
      <w:bookmarkEnd w:id="522"/>
    </w:p>
    <w:tbl>
      <w:tblPr>
        <w:tblStyle w:val="TableGrid"/>
        <w:tblW w:w="9776" w:type="dxa"/>
        <w:tblLayout w:type="fixed"/>
        <w:tblLook w:val="04A0" w:firstRow="1" w:lastRow="0" w:firstColumn="1" w:lastColumn="0" w:noHBand="0" w:noVBand="1"/>
      </w:tblPr>
      <w:tblGrid>
        <w:gridCol w:w="1413"/>
        <w:gridCol w:w="760"/>
        <w:gridCol w:w="760"/>
        <w:gridCol w:w="760"/>
        <w:gridCol w:w="761"/>
        <w:gridCol w:w="760"/>
        <w:gridCol w:w="760"/>
        <w:gridCol w:w="760"/>
        <w:gridCol w:w="761"/>
        <w:gridCol w:w="760"/>
        <w:gridCol w:w="760"/>
        <w:gridCol w:w="761"/>
      </w:tblGrid>
      <w:tr w:rsidR="009F1D0C" w:rsidRPr="003B4324" w14:paraId="2271515B" w14:textId="77777777" w:rsidTr="000A2AFE">
        <w:trPr>
          <w:trHeight w:val="300"/>
        </w:trPr>
        <w:tc>
          <w:tcPr>
            <w:tcW w:w="1413" w:type="dxa"/>
            <w:shd w:val="clear" w:color="auto" w:fill="404040"/>
            <w:noWrap/>
            <w:vAlign w:val="center"/>
            <w:hideMark/>
          </w:tcPr>
          <w:p w14:paraId="679984EF" w14:textId="5F581D71" w:rsidR="009F1D0C" w:rsidRPr="004254D2" w:rsidRDefault="009F1D0C" w:rsidP="0057310C">
            <w:pPr>
              <w:spacing w:after="0" w:line="240" w:lineRule="auto"/>
              <w:jc w:val="center"/>
              <w:rPr>
                <w:rFonts w:ascii="Calibri Light" w:hAnsi="Calibri Light" w:cs="Calibri Light"/>
                <w:color w:val="000000" w:themeColor="text1"/>
              </w:rPr>
            </w:pPr>
            <w:r w:rsidRPr="009F1D0C">
              <w:rPr>
                <w:rFonts w:ascii="Calibri Light" w:hAnsi="Calibri Light" w:cs="Calibri Light"/>
                <w:color w:val="FFFFFF" w:themeColor="background1"/>
              </w:rPr>
              <w:t>Сектор електроенергетике</w:t>
            </w:r>
            <w:r w:rsidRPr="000E2508">
              <w:rPr>
                <w:rFonts w:ascii="Calibri Light" w:hAnsi="Calibri Light" w:cs="Calibri Light"/>
                <w:color w:val="FFFFFF" w:themeColor="background1"/>
              </w:rPr>
              <w:t xml:space="preserve"> [ktons CO2-eq]</w:t>
            </w:r>
          </w:p>
        </w:tc>
        <w:tc>
          <w:tcPr>
            <w:tcW w:w="760" w:type="dxa"/>
            <w:shd w:val="clear" w:color="auto" w:fill="1F497D"/>
            <w:noWrap/>
            <w:vAlign w:val="center"/>
            <w:hideMark/>
          </w:tcPr>
          <w:p w14:paraId="078DC4F5" w14:textId="77777777" w:rsidR="009F1D0C" w:rsidRPr="004254D2" w:rsidRDefault="009F1D0C"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2020</w:t>
            </w:r>
          </w:p>
        </w:tc>
        <w:tc>
          <w:tcPr>
            <w:tcW w:w="760" w:type="dxa"/>
            <w:shd w:val="clear" w:color="auto" w:fill="1F497D"/>
            <w:noWrap/>
            <w:vAlign w:val="center"/>
            <w:hideMark/>
          </w:tcPr>
          <w:p w14:paraId="64C98F58" w14:textId="77777777" w:rsidR="009F1D0C" w:rsidRPr="004254D2" w:rsidRDefault="009F1D0C"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2025</w:t>
            </w:r>
          </w:p>
        </w:tc>
        <w:tc>
          <w:tcPr>
            <w:tcW w:w="760" w:type="dxa"/>
            <w:shd w:val="clear" w:color="auto" w:fill="1F497D"/>
            <w:noWrap/>
            <w:vAlign w:val="center"/>
            <w:hideMark/>
          </w:tcPr>
          <w:p w14:paraId="238D007B" w14:textId="77777777" w:rsidR="009F1D0C" w:rsidRPr="004254D2" w:rsidRDefault="009F1D0C"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2026</w:t>
            </w:r>
          </w:p>
        </w:tc>
        <w:tc>
          <w:tcPr>
            <w:tcW w:w="761" w:type="dxa"/>
            <w:shd w:val="clear" w:color="auto" w:fill="1F497D"/>
            <w:noWrap/>
            <w:vAlign w:val="center"/>
            <w:hideMark/>
          </w:tcPr>
          <w:p w14:paraId="73583C88" w14:textId="77777777" w:rsidR="009F1D0C" w:rsidRPr="004254D2" w:rsidRDefault="009F1D0C"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2027</w:t>
            </w:r>
          </w:p>
        </w:tc>
        <w:tc>
          <w:tcPr>
            <w:tcW w:w="760" w:type="dxa"/>
            <w:shd w:val="clear" w:color="auto" w:fill="1F497D"/>
            <w:noWrap/>
            <w:vAlign w:val="center"/>
            <w:hideMark/>
          </w:tcPr>
          <w:p w14:paraId="1B17230C" w14:textId="77777777" w:rsidR="009F1D0C" w:rsidRPr="004254D2" w:rsidRDefault="009F1D0C"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2028</w:t>
            </w:r>
          </w:p>
        </w:tc>
        <w:tc>
          <w:tcPr>
            <w:tcW w:w="760" w:type="dxa"/>
            <w:shd w:val="clear" w:color="auto" w:fill="1F497D"/>
            <w:noWrap/>
            <w:vAlign w:val="center"/>
            <w:hideMark/>
          </w:tcPr>
          <w:p w14:paraId="61A83DBA" w14:textId="77777777" w:rsidR="009F1D0C" w:rsidRPr="004254D2" w:rsidRDefault="009F1D0C"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2029</w:t>
            </w:r>
          </w:p>
        </w:tc>
        <w:tc>
          <w:tcPr>
            <w:tcW w:w="760" w:type="dxa"/>
            <w:shd w:val="clear" w:color="auto" w:fill="1F497D"/>
            <w:noWrap/>
            <w:vAlign w:val="center"/>
            <w:hideMark/>
          </w:tcPr>
          <w:p w14:paraId="0E54F585" w14:textId="77777777" w:rsidR="009F1D0C" w:rsidRPr="004254D2" w:rsidRDefault="009F1D0C"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2030</w:t>
            </w:r>
          </w:p>
        </w:tc>
        <w:tc>
          <w:tcPr>
            <w:tcW w:w="761" w:type="dxa"/>
            <w:shd w:val="clear" w:color="auto" w:fill="1F497D"/>
            <w:noWrap/>
            <w:vAlign w:val="center"/>
            <w:hideMark/>
          </w:tcPr>
          <w:p w14:paraId="6C5BA6D6" w14:textId="77777777" w:rsidR="009F1D0C" w:rsidRPr="004254D2" w:rsidRDefault="009F1D0C"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2035</w:t>
            </w:r>
          </w:p>
        </w:tc>
        <w:tc>
          <w:tcPr>
            <w:tcW w:w="760" w:type="dxa"/>
            <w:shd w:val="clear" w:color="auto" w:fill="1F497D"/>
            <w:noWrap/>
            <w:vAlign w:val="center"/>
            <w:hideMark/>
          </w:tcPr>
          <w:p w14:paraId="131C5070" w14:textId="77777777" w:rsidR="009F1D0C" w:rsidRPr="004254D2" w:rsidRDefault="009F1D0C"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2040</w:t>
            </w:r>
          </w:p>
        </w:tc>
        <w:tc>
          <w:tcPr>
            <w:tcW w:w="760" w:type="dxa"/>
            <w:shd w:val="clear" w:color="auto" w:fill="1F497D"/>
            <w:noWrap/>
            <w:vAlign w:val="center"/>
            <w:hideMark/>
          </w:tcPr>
          <w:p w14:paraId="4046935B" w14:textId="77777777" w:rsidR="009F1D0C" w:rsidRPr="004254D2" w:rsidRDefault="009F1D0C"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2045</w:t>
            </w:r>
          </w:p>
        </w:tc>
        <w:tc>
          <w:tcPr>
            <w:tcW w:w="761" w:type="dxa"/>
            <w:shd w:val="clear" w:color="auto" w:fill="1F497D"/>
            <w:noWrap/>
            <w:vAlign w:val="center"/>
            <w:hideMark/>
          </w:tcPr>
          <w:p w14:paraId="6E8FEC83" w14:textId="77777777" w:rsidR="009F1D0C" w:rsidRPr="004254D2" w:rsidRDefault="009F1D0C"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2050</w:t>
            </w:r>
          </w:p>
        </w:tc>
      </w:tr>
      <w:tr w:rsidR="009F1D0C" w:rsidRPr="003B4324" w14:paraId="1D957D15" w14:textId="77777777" w:rsidTr="000A2AFE">
        <w:trPr>
          <w:trHeight w:val="300"/>
        </w:trPr>
        <w:tc>
          <w:tcPr>
            <w:tcW w:w="1413" w:type="dxa"/>
            <w:shd w:val="clear" w:color="auto" w:fill="E7E6E6"/>
            <w:noWrap/>
            <w:vAlign w:val="bottom"/>
            <w:hideMark/>
          </w:tcPr>
          <w:p w14:paraId="704ADBF5" w14:textId="28F17BC5" w:rsidR="009F1D0C" w:rsidRPr="004254D2" w:rsidRDefault="009F1D0C" w:rsidP="009F1D0C">
            <w:pPr>
              <w:spacing w:after="0" w:line="240" w:lineRule="auto"/>
              <w:jc w:val="left"/>
              <w:rPr>
                <w:rFonts w:ascii="Calibri Light" w:hAnsi="Calibri Light" w:cs="Calibri Light"/>
                <w:color w:val="000000" w:themeColor="text1"/>
              </w:rPr>
            </w:pPr>
            <w:r w:rsidRPr="003208FA">
              <w:rPr>
                <w:rFonts w:ascii="Calibri Light" w:hAnsi="Calibri Light" w:cs="Calibri Light"/>
                <w:color w:val="000000" w:themeColor="text1"/>
              </w:rPr>
              <w:t>WEM</w:t>
            </w:r>
          </w:p>
        </w:tc>
        <w:tc>
          <w:tcPr>
            <w:tcW w:w="760" w:type="dxa"/>
            <w:noWrap/>
            <w:hideMark/>
          </w:tcPr>
          <w:p w14:paraId="02E54649" w14:textId="77777777" w:rsidR="009F1D0C" w:rsidRPr="004254D2" w:rsidRDefault="009F1D0C" w:rsidP="009F1D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30671</w:t>
            </w:r>
          </w:p>
        </w:tc>
        <w:tc>
          <w:tcPr>
            <w:tcW w:w="760" w:type="dxa"/>
            <w:noWrap/>
            <w:hideMark/>
          </w:tcPr>
          <w:p w14:paraId="30C610CC"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31307</w:t>
            </w:r>
          </w:p>
        </w:tc>
        <w:tc>
          <w:tcPr>
            <w:tcW w:w="760" w:type="dxa"/>
            <w:noWrap/>
            <w:hideMark/>
          </w:tcPr>
          <w:p w14:paraId="397F3761"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31857</w:t>
            </w:r>
          </w:p>
        </w:tc>
        <w:tc>
          <w:tcPr>
            <w:tcW w:w="761" w:type="dxa"/>
            <w:noWrap/>
            <w:hideMark/>
          </w:tcPr>
          <w:p w14:paraId="607C69D7"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32503</w:t>
            </w:r>
          </w:p>
        </w:tc>
        <w:tc>
          <w:tcPr>
            <w:tcW w:w="760" w:type="dxa"/>
            <w:noWrap/>
            <w:hideMark/>
          </w:tcPr>
          <w:p w14:paraId="1FF542A3"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33311</w:t>
            </w:r>
          </w:p>
        </w:tc>
        <w:tc>
          <w:tcPr>
            <w:tcW w:w="760" w:type="dxa"/>
            <w:noWrap/>
            <w:hideMark/>
          </w:tcPr>
          <w:p w14:paraId="1F0A1F6A"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34133</w:t>
            </w:r>
          </w:p>
        </w:tc>
        <w:tc>
          <w:tcPr>
            <w:tcW w:w="760" w:type="dxa"/>
            <w:noWrap/>
            <w:hideMark/>
          </w:tcPr>
          <w:p w14:paraId="6263E1D3"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35189</w:t>
            </w:r>
          </w:p>
        </w:tc>
        <w:tc>
          <w:tcPr>
            <w:tcW w:w="761" w:type="dxa"/>
            <w:noWrap/>
            <w:hideMark/>
          </w:tcPr>
          <w:p w14:paraId="2CDB3DF6"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37678</w:t>
            </w:r>
          </w:p>
        </w:tc>
        <w:tc>
          <w:tcPr>
            <w:tcW w:w="760" w:type="dxa"/>
            <w:noWrap/>
            <w:hideMark/>
          </w:tcPr>
          <w:p w14:paraId="71E4C5D4"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39095</w:t>
            </w:r>
          </w:p>
        </w:tc>
        <w:tc>
          <w:tcPr>
            <w:tcW w:w="760" w:type="dxa"/>
            <w:noWrap/>
            <w:hideMark/>
          </w:tcPr>
          <w:p w14:paraId="70865072"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40462</w:t>
            </w:r>
          </w:p>
        </w:tc>
        <w:tc>
          <w:tcPr>
            <w:tcW w:w="761" w:type="dxa"/>
            <w:noWrap/>
            <w:hideMark/>
          </w:tcPr>
          <w:p w14:paraId="6BC91E1F"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34552</w:t>
            </w:r>
          </w:p>
        </w:tc>
      </w:tr>
      <w:tr w:rsidR="009F1D0C" w:rsidRPr="003B4324" w14:paraId="7805F17B" w14:textId="77777777" w:rsidTr="000A2AFE">
        <w:trPr>
          <w:trHeight w:val="300"/>
        </w:trPr>
        <w:tc>
          <w:tcPr>
            <w:tcW w:w="1413" w:type="dxa"/>
            <w:shd w:val="clear" w:color="auto" w:fill="E7E6E6"/>
            <w:noWrap/>
            <w:vAlign w:val="bottom"/>
            <w:hideMark/>
          </w:tcPr>
          <w:p w14:paraId="0AEC3ED0" w14:textId="7431D267" w:rsidR="009F1D0C" w:rsidRPr="004254D2" w:rsidRDefault="009F1D0C" w:rsidP="009F1D0C">
            <w:pPr>
              <w:spacing w:after="0" w:line="240" w:lineRule="auto"/>
              <w:jc w:val="left"/>
              <w:rPr>
                <w:rFonts w:ascii="Calibri Light" w:hAnsi="Calibri Light" w:cs="Calibri Light"/>
                <w:color w:val="000000" w:themeColor="text1"/>
              </w:rPr>
            </w:pPr>
            <w:r>
              <w:rPr>
                <w:rFonts w:ascii="Calibri Light" w:hAnsi="Calibri Light" w:cs="Calibri Light"/>
                <w:color w:val="000000" w:themeColor="text1"/>
              </w:rPr>
              <w:t>Сценарио</w:t>
            </w:r>
            <w:r w:rsidRPr="003208FA">
              <w:rPr>
                <w:rFonts w:ascii="Calibri Light" w:hAnsi="Calibri Light" w:cs="Calibri Light"/>
                <w:color w:val="000000" w:themeColor="text1"/>
              </w:rPr>
              <w:t>-S</w:t>
            </w:r>
          </w:p>
        </w:tc>
        <w:tc>
          <w:tcPr>
            <w:tcW w:w="760" w:type="dxa"/>
            <w:noWrap/>
            <w:hideMark/>
          </w:tcPr>
          <w:p w14:paraId="24325D2C" w14:textId="77777777" w:rsidR="009F1D0C" w:rsidRPr="004254D2" w:rsidRDefault="009F1D0C" w:rsidP="009F1D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30664</w:t>
            </w:r>
          </w:p>
        </w:tc>
        <w:tc>
          <w:tcPr>
            <w:tcW w:w="760" w:type="dxa"/>
            <w:noWrap/>
            <w:hideMark/>
          </w:tcPr>
          <w:p w14:paraId="3B2D2FE2"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27990</w:t>
            </w:r>
          </w:p>
        </w:tc>
        <w:tc>
          <w:tcPr>
            <w:tcW w:w="760" w:type="dxa"/>
            <w:noWrap/>
            <w:hideMark/>
          </w:tcPr>
          <w:p w14:paraId="4F92D535"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27163</w:t>
            </w:r>
          </w:p>
        </w:tc>
        <w:tc>
          <w:tcPr>
            <w:tcW w:w="761" w:type="dxa"/>
            <w:noWrap/>
            <w:hideMark/>
          </w:tcPr>
          <w:p w14:paraId="4F0A1F81"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26795</w:t>
            </w:r>
          </w:p>
        </w:tc>
        <w:tc>
          <w:tcPr>
            <w:tcW w:w="760" w:type="dxa"/>
            <w:noWrap/>
            <w:hideMark/>
          </w:tcPr>
          <w:p w14:paraId="52677C1E"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26009</w:t>
            </w:r>
          </w:p>
        </w:tc>
        <w:tc>
          <w:tcPr>
            <w:tcW w:w="760" w:type="dxa"/>
            <w:noWrap/>
            <w:hideMark/>
          </w:tcPr>
          <w:p w14:paraId="67116616"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24657</w:t>
            </w:r>
          </w:p>
        </w:tc>
        <w:tc>
          <w:tcPr>
            <w:tcW w:w="760" w:type="dxa"/>
            <w:noWrap/>
            <w:hideMark/>
          </w:tcPr>
          <w:p w14:paraId="21863602"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21843</w:t>
            </w:r>
          </w:p>
        </w:tc>
        <w:tc>
          <w:tcPr>
            <w:tcW w:w="761" w:type="dxa"/>
            <w:noWrap/>
            <w:hideMark/>
          </w:tcPr>
          <w:p w14:paraId="34D2A04D"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16365</w:t>
            </w:r>
          </w:p>
        </w:tc>
        <w:tc>
          <w:tcPr>
            <w:tcW w:w="760" w:type="dxa"/>
            <w:noWrap/>
            <w:hideMark/>
          </w:tcPr>
          <w:p w14:paraId="0F5C7EF2"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12118</w:t>
            </w:r>
          </w:p>
        </w:tc>
        <w:tc>
          <w:tcPr>
            <w:tcW w:w="760" w:type="dxa"/>
            <w:noWrap/>
            <w:hideMark/>
          </w:tcPr>
          <w:p w14:paraId="6A7EBCA3"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8174</w:t>
            </w:r>
          </w:p>
        </w:tc>
        <w:tc>
          <w:tcPr>
            <w:tcW w:w="761" w:type="dxa"/>
            <w:noWrap/>
            <w:hideMark/>
          </w:tcPr>
          <w:p w14:paraId="1B17B84C"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1708</w:t>
            </w:r>
          </w:p>
        </w:tc>
      </w:tr>
      <w:tr w:rsidR="009F1D0C" w:rsidRPr="003B4324" w14:paraId="43EB3A5D" w14:textId="77777777" w:rsidTr="000A2AFE">
        <w:trPr>
          <w:trHeight w:val="300"/>
        </w:trPr>
        <w:tc>
          <w:tcPr>
            <w:tcW w:w="1413" w:type="dxa"/>
            <w:shd w:val="clear" w:color="auto" w:fill="E7E6E6"/>
            <w:noWrap/>
            <w:vAlign w:val="bottom"/>
            <w:hideMark/>
          </w:tcPr>
          <w:p w14:paraId="170DEC87" w14:textId="5A9A02DB" w:rsidR="009F1D0C" w:rsidRPr="004254D2" w:rsidRDefault="009F1D0C" w:rsidP="009F1D0C">
            <w:pPr>
              <w:spacing w:after="0" w:line="240" w:lineRule="auto"/>
              <w:jc w:val="left"/>
              <w:rPr>
                <w:rFonts w:ascii="Calibri Light" w:hAnsi="Calibri Light" w:cs="Calibri Light"/>
                <w:color w:val="000000" w:themeColor="text1"/>
              </w:rPr>
            </w:pPr>
            <w:r w:rsidRPr="009F1D0C">
              <w:rPr>
                <w:rFonts w:ascii="Calibri Light" w:hAnsi="Calibri Light" w:cs="Calibri Light"/>
                <w:color w:val="000000" w:themeColor="text1"/>
              </w:rPr>
              <w:t>Сценарио</w:t>
            </w:r>
            <w:r w:rsidRPr="003208FA">
              <w:rPr>
                <w:rFonts w:ascii="Calibri Light" w:hAnsi="Calibri Light" w:cs="Calibri Light"/>
                <w:color w:val="000000" w:themeColor="text1"/>
              </w:rPr>
              <w:t>-S-N</w:t>
            </w:r>
          </w:p>
        </w:tc>
        <w:tc>
          <w:tcPr>
            <w:tcW w:w="760" w:type="dxa"/>
            <w:noWrap/>
            <w:hideMark/>
          </w:tcPr>
          <w:p w14:paraId="0C37BFCD" w14:textId="77777777" w:rsidR="009F1D0C" w:rsidRPr="004254D2" w:rsidRDefault="009F1D0C" w:rsidP="009F1D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30664</w:t>
            </w:r>
          </w:p>
        </w:tc>
        <w:tc>
          <w:tcPr>
            <w:tcW w:w="760" w:type="dxa"/>
            <w:noWrap/>
            <w:hideMark/>
          </w:tcPr>
          <w:p w14:paraId="51C5DD42"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27990</w:t>
            </w:r>
          </w:p>
        </w:tc>
        <w:tc>
          <w:tcPr>
            <w:tcW w:w="760" w:type="dxa"/>
            <w:noWrap/>
            <w:hideMark/>
          </w:tcPr>
          <w:p w14:paraId="2EC61940"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27163</w:t>
            </w:r>
          </w:p>
        </w:tc>
        <w:tc>
          <w:tcPr>
            <w:tcW w:w="761" w:type="dxa"/>
            <w:noWrap/>
            <w:hideMark/>
          </w:tcPr>
          <w:p w14:paraId="00C371CA"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26795</w:t>
            </w:r>
          </w:p>
        </w:tc>
        <w:tc>
          <w:tcPr>
            <w:tcW w:w="760" w:type="dxa"/>
            <w:noWrap/>
            <w:hideMark/>
          </w:tcPr>
          <w:p w14:paraId="64F0F513"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26009</w:t>
            </w:r>
          </w:p>
        </w:tc>
        <w:tc>
          <w:tcPr>
            <w:tcW w:w="760" w:type="dxa"/>
            <w:noWrap/>
            <w:hideMark/>
          </w:tcPr>
          <w:p w14:paraId="0AF6B791"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24657</w:t>
            </w:r>
          </w:p>
        </w:tc>
        <w:tc>
          <w:tcPr>
            <w:tcW w:w="760" w:type="dxa"/>
            <w:noWrap/>
            <w:hideMark/>
          </w:tcPr>
          <w:p w14:paraId="35ECF691"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21843</w:t>
            </w:r>
          </w:p>
        </w:tc>
        <w:tc>
          <w:tcPr>
            <w:tcW w:w="761" w:type="dxa"/>
            <w:noWrap/>
            <w:hideMark/>
          </w:tcPr>
          <w:p w14:paraId="5EBBD7B0"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16354</w:t>
            </w:r>
          </w:p>
        </w:tc>
        <w:tc>
          <w:tcPr>
            <w:tcW w:w="760" w:type="dxa"/>
            <w:noWrap/>
            <w:hideMark/>
          </w:tcPr>
          <w:p w14:paraId="674E71EC"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13030</w:t>
            </w:r>
          </w:p>
        </w:tc>
        <w:tc>
          <w:tcPr>
            <w:tcW w:w="760" w:type="dxa"/>
            <w:noWrap/>
            <w:hideMark/>
          </w:tcPr>
          <w:p w14:paraId="477555A8"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5009</w:t>
            </w:r>
          </w:p>
        </w:tc>
        <w:tc>
          <w:tcPr>
            <w:tcW w:w="761" w:type="dxa"/>
            <w:noWrap/>
            <w:hideMark/>
          </w:tcPr>
          <w:p w14:paraId="7B63EF96" w14:textId="77777777" w:rsidR="009F1D0C" w:rsidRPr="003208FA" w:rsidRDefault="009F1D0C" w:rsidP="009F1D0C">
            <w:pPr>
              <w:spacing w:after="0" w:line="240" w:lineRule="auto"/>
              <w:jc w:val="center"/>
              <w:rPr>
                <w:rFonts w:ascii="Calibri Light" w:eastAsiaTheme="minorHAnsi" w:hAnsi="Calibri Light" w:cs="Calibri Light"/>
                <w:color w:val="000000" w:themeColor="text1"/>
                <w:lang w:eastAsia="en-US"/>
              </w:rPr>
            </w:pPr>
            <w:r w:rsidRPr="003208FA">
              <w:rPr>
                <w:rFonts w:ascii="Calibri Light" w:hAnsi="Calibri Light" w:cs="Calibri Light"/>
                <w:color w:val="000000" w:themeColor="text1"/>
              </w:rPr>
              <w:t>649</w:t>
            </w:r>
          </w:p>
        </w:tc>
      </w:tr>
    </w:tbl>
    <w:p w14:paraId="6DDA05EB" w14:textId="5138B493" w:rsidR="00873C40" w:rsidRDefault="00873C40" w:rsidP="00565B02">
      <w:pPr>
        <w:pStyle w:val="Caption"/>
        <w:spacing w:before="200"/>
      </w:pPr>
      <w:bookmarkStart w:id="523" w:name="_Toc153901498"/>
      <w:bookmarkEnd w:id="521"/>
      <w:r>
        <w:t xml:space="preserve">Табела </w:t>
      </w:r>
      <w:r>
        <w:fldChar w:fldCharType="begin"/>
      </w:r>
      <w:r>
        <w:instrText xml:space="preserve"> STYLEREF 1 \s </w:instrText>
      </w:r>
      <w:r>
        <w:fldChar w:fldCharType="separate"/>
      </w:r>
      <w:r>
        <w:rPr>
          <w:noProof/>
        </w:rPr>
        <w:t>V</w:t>
      </w:r>
      <w:r>
        <w:fldChar w:fldCharType="end"/>
      </w:r>
      <w:r>
        <w:t>.</w:t>
      </w:r>
      <w:r>
        <w:fldChar w:fldCharType="begin"/>
      </w:r>
      <w:r>
        <w:instrText xml:space="preserve"> SEQ Табела \* ARABIC \s 1 </w:instrText>
      </w:r>
      <w:r>
        <w:fldChar w:fldCharType="separate"/>
      </w:r>
      <w:r>
        <w:rPr>
          <w:noProof/>
        </w:rPr>
        <w:t>3</w:t>
      </w:r>
      <w:r>
        <w:fldChar w:fldCharType="end"/>
      </w:r>
      <w:r w:rsidRPr="00873C40">
        <w:t>: Прерађивачка индустрија и грађевинарство: Емисије из употребе енергије, процеса и фугитивне емисије у ktons CO2-eq</w:t>
      </w:r>
      <w:bookmarkEnd w:id="523"/>
    </w:p>
    <w:tbl>
      <w:tblPr>
        <w:tblStyle w:val="TableGrid"/>
        <w:tblW w:w="0" w:type="auto"/>
        <w:tblLayout w:type="fixed"/>
        <w:tblLook w:val="04A0" w:firstRow="1" w:lastRow="0" w:firstColumn="1" w:lastColumn="0" w:noHBand="0" w:noVBand="1"/>
      </w:tblPr>
      <w:tblGrid>
        <w:gridCol w:w="1661"/>
        <w:gridCol w:w="724"/>
        <w:gridCol w:w="724"/>
        <w:gridCol w:w="724"/>
        <w:gridCol w:w="725"/>
        <w:gridCol w:w="724"/>
        <w:gridCol w:w="724"/>
        <w:gridCol w:w="724"/>
        <w:gridCol w:w="725"/>
        <w:gridCol w:w="724"/>
        <w:gridCol w:w="724"/>
        <w:gridCol w:w="725"/>
      </w:tblGrid>
      <w:tr w:rsidR="00481BA7" w:rsidRPr="003B4324" w14:paraId="57949C0C" w14:textId="77777777" w:rsidTr="0057310C">
        <w:trPr>
          <w:trHeight w:val="300"/>
        </w:trPr>
        <w:tc>
          <w:tcPr>
            <w:tcW w:w="1661" w:type="dxa"/>
            <w:shd w:val="clear" w:color="auto" w:fill="404040"/>
            <w:noWrap/>
            <w:vAlign w:val="center"/>
            <w:hideMark/>
          </w:tcPr>
          <w:p w14:paraId="36F83E83" w14:textId="77777777" w:rsidR="00567704" w:rsidRDefault="0028497F" w:rsidP="0057310C">
            <w:pPr>
              <w:spacing w:after="0" w:line="240" w:lineRule="auto"/>
              <w:jc w:val="center"/>
              <w:rPr>
                <w:rFonts w:ascii="Calibri Light" w:hAnsi="Calibri Light" w:cs="Calibri Light"/>
                <w:color w:val="FFFFFF" w:themeColor="background1"/>
              </w:rPr>
            </w:pPr>
            <w:r w:rsidRPr="0028497F">
              <w:rPr>
                <w:rFonts w:ascii="Calibri Light" w:hAnsi="Calibri Light" w:cs="Calibri Light"/>
                <w:color w:val="FFFFFF" w:themeColor="background1"/>
              </w:rPr>
              <w:t>П</w:t>
            </w:r>
            <w:r w:rsidR="00567704" w:rsidRPr="00567704">
              <w:rPr>
                <w:rFonts w:ascii="Calibri Light" w:hAnsi="Calibri Light" w:cs="Calibri Light"/>
                <w:color w:val="FFFFFF" w:themeColor="background1"/>
              </w:rPr>
              <w:t>рерађивачка</w:t>
            </w:r>
          </w:p>
          <w:p w14:paraId="08BFEDF1" w14:textId="267D7B84" w:rsidR="00481BA7" w:rsidRPr="004254D2" w:rsidRDefault="0028497F" w:rsidP="0057310C">
            <w:pPr>
              <w:spacing w:after="0" w:line="240" w:lineRule="auto"/>
              <w:jc w:val="center"/>
              <w:rPr>
                <w:rFonts w:ascii="Calibri Light" w:hAnsi="Calibri Light" w:cs="Calibri Light"/>
                <w:color w:val="000000" w:themeColor="text1"/>
              </w:rPr>
            </w:pPr>
            <w:r w:rsidRPr="0028497F">
              <w:rPr>
                <w:rFonts w:ascii="Calibri Light" w:hAnsi="Calibri Light" w:cs="Calibri Light"/>
                <w:color w:val="FFFFFF" w:themeColor="background1"/>
              </w:rPr>
              <w:t xml:space="preserve">индустрија и грађевинарство </w:t>
            </w:r>
            <w:r w:rsidR="00481BA7" w:rsidRPr="000E2508">
              <w:rPr>
                <w:rFonts w:ascii="Calibri Light" w:hAnsi="Calibri Light" w:cs="Calibri Light"/>
                <w:color w:val="FFFFFF" w:themeColor="background1"/>
              </w:rPr>
              <w:t>[ktons CO2-eq]</w:t>
            </w:r>
          </w:p>
        </w:tc>
        <w:tc>
          <w:tcPr>
            <w:tcW w:w="724" w:type="dxa"/>
            <w:shd w:val="clear" w:color="auto" w:fill="1F497D"/>
            <w:noWrap/>
            <w:vAlign w:val="center"/>
            <w:hideMark/>
          </w:tcPr>
          <w:p w14:paraId="4617ECCC" w14:textId="77777777" w:rsidR="00481BA7" w:rsidRPr="004254D2" w:rsidRDefault="00481BA7"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2020</w:t>
            </w:r>
          </w:p>
        </w:tc>
        <w:tc>
          <w:tcPr>
            <w:tcW w:w="724" w:type="dxa"/>
            <w:shd w:val="clear" w:color="auto" w:fill="1F497D"/>
            <w:noWrap/>
            <w:vAlign w:val="center"/>
            <w:hideMark/>
          </w:tcPr>
          <w:p w14:paraId="1EE43B6F" w14:textId="77777777" w:rsidR="00481BA7" w:rsidRPr="004254D2" w:rsidRDefault="00481BA7"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2025</w:t>
            </w:r>
          </w:p>
        </w:tc>
        <w:tc>
          <w:tcPr>
            <w:tcW w:w="724" w:type="dxa"/>
            <w:shd w:val="clear" w:color="auto" w:fill="1F497D"/>
            <w:noWrap/>
            <w:vAlign w:val="center"/>
            <w:hideMark/>
          </w:tcPr>
          <w:p w14:paraId="34C8C553" w14:textId="77777777" w:rsidR="00481BA7" w:rsidRPr="004254D2" w:rsidRDefault="00481BA7"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2026</w:t>
            </w:r>
          </w:p>
        </w:tc>
        <w:tc>
          <w:tcPr>
            <w:tcW w:w="725" w:type="dxa"/>
            <w:shd w:val="clear" w:color="auto" w:fill="1F497D"/>
            <w:noWrap/>
            <w:vAlign w:val="center"/>
            <w:hideMark/>
          </w:tcPr>
          <w:p w14:paraId="1546DD3E" w14:textId="77777777" w:rsidR="00481BA7" w:rsidRPr="004254D2" w:rsidRDefault="00481BA7"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2027</w:t>
            </w:r>
          </w:p>
        </w:tc>
        <w:tc>
          <w:tcPr>
            <w:tcW w:w="724" w:type="dxa"/>
            <w:shd w:val="clear" w:color="auto" w:fill="1F497D"/>
            <w:noWrap/>
            <w:vAlign w:val="center"/>
            <w:hideMark/>
          </w:tcPr>
          <w:p w14:paraId="5AA25010" w14:textId="77777777" w:rsidR="00481BA7" w:rsidRPr="004254D2" w:rsidRDefault="00481BA7"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2028</w:t>
            </w:r>
          </w:p>
        </w:tc>
        <w:tc>
          <w:tcPr>
            <w:tcW w:w="724" w:type="dxa"/>
            <w:shd w:val="clear" w:color="auto" w:fill="1F497D"/>
            <w:noWrap/>
            <w:vAlign w:val="center"/>
            <w:hideMark/>
          </w:tcPr>
          <w:p w14:paraId="1FE66D07" w14:textId="77777777" w:rsidR="00481BA7" w:rsidRPr="004254D2" w:rsidRDefault="00481BA7"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2029</w:t>
            </w:r>
          </w:p>
        </w:tc>
        <w:tc>
          <w:tcPr>
            <w:tcW w:w="724" w:type="dxa"/>
            <w:shd w:val="clear" w:color="auto" w:fill="1F497D"/>
            <w:noWrap/>
            <w:vAlign w:val="center"/>
            <w:hideMark/>
          </w:tcPr>
          <w:p w14:paraId="65F158A4" w14:textId="77777777" w:rsidR="00481BA7" w:rsidRPr="004254D2" w:rsidRDefault="00481BA7"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2030</w:t>
            </w:r>
          </w:p>
        </w:tc>
        <w:tc>
          <w:tcPr>
            <w:tcW w:w="725" w:type="dxa"/>
            <w:shd w:val="clear" w:color="auto" w:fill="1F497D"/>
            <w:noWrap/>
            <w:vAlign w:val="center"/>
            <w:hideMark/>
          </w:tcPr>
          <w:p w14:paraId="76E28722" w14:textId="77777777" w:rsidR="00481BA7" w:rsidRPr="004254D2" w:rsidRDefault="00481BA7"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2035</w:t>
            </w:r>
          </w:p>
        </w:tc>
        <w:tc>
          <w:tcPr>
            <w:tcW w:w="724" w:type="dxa"/>
            <w:shd w:val="clear" w:color="auto" w:fill="1F497D"/>
            <w:noWrap/>
            <w:vAlign w:val="center"/>
            <w:hideMark/>
          </w:tcPr>
          <w:p w14:paraId="6B671158" w14:textId="77777777" w:rsidR="00481BA7" w:rsidRPr="004254D2" w:rsidRDefault="00481BA7"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2040</w:t>
            </w:r>
          </w:p>
        </w:tc>
        <w:tc>
          <w:tcPr>
            <w:tcW w:w="724" w:type="dxa"/>
            <w:shd w:val="clear" w:color="auto" w:fill="1F497D"/>
            <w:noWrap/>
            <w:vAlign w:val="center"/>
            <w:hideMark/>
          </w:tcPr>
          <w:p w14:paraId="6C114FAE" w14:textId="77777777" w:rsidR="00481BA7" w:rsidRPr="004254D2" w:rsidRDefault="00481BA7"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2045</w:t>
            </w:r>
          </w:p>
        </w:tc>
        <w:tc>
          <w:tcPr>
            <w:tcW w:w="725" w:type="dxa"/>
            <w:shd w:val="clear" w:color="auto" w:fill="1F497D"/>
            <w:noWrap/>
            <w:vAlign w:val="center"/>
            <w:hideMark/>
          </w:tcPr>
          <w:p w14:paraId="6F2ACA02" w14:textId="77777777" w:rsidR="00481BA7" w:rsidRPr="004254D2" w:rsidRDefault="00481BA7"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2050</w:t>
            </w:r>
          </w:p>
        </w:tc>
      </w:tr>
      <w:tr w:rsidR="00481BA7" w:rsidRPr="003B4324" w14:paraId="151CD348" w14:textId="77777777" w:rsidTr="0057310C">
        <w:trPr>
          <w:trHeight w:val="300"/>
        </w:trPr>
        <w:tc>
          <w:tcPr>
            <w:tcW w:w="1661" w:type="dxa"/>
            <w:shd w:val="clear" w:color="auto" w:fill="E7E6E6"/>
            <w:noWrap/>
            <w:vAlign w:val="bottom"/>
            <w:hideMark/>
          </w:tcPr>
          <w:p w14:paraId="7B3352CB" w14:textId="77777777" w:rsidR="00481BA7" w:rsidRPr="004254D2" w:rsidRDefault="00481BA7" w:rsidP="0057310C">
            <w:pPr>
              <w:spacing w:after="0" w:line="240" w:lineRule="auto"/>
              <w:jc w:val="left"/>
              <w:rPr>
                <w:rFonts w:ascii="Calibri Light" w:hAnsi="Calibri Light" w:cs="Calibri Light"/>
                <w:color w:val="000000" w:themeColor="text1"/>
              </w:rPr>
            </w:pPr>
            <w:r w:rsidRPr="002574F2">
              <w:rPr>
                <w:rFonts w:ascii="Calibri Light" w:hAnsi="Calibri Light" w:cs="Calibri Light"/>
                <w:color w:val="000000" w:themeColor="text1"/>
              </w:rPr>
              <w:t>WEM</w:t>
            </w:r>
          </w:p>
        </w:tc>
        <w:tc>
          <w:tcPr>
            <w:tcW w:w="724" w:type="dxa"/>
            <w:noWrap/>
            <w:hideMark/>
          </w:tcPr>
          <w:p w14:paraId="7AFC3F29" w14:textId="77777777" w:rsidR="00481BA7" w:rsidRPr="004254D2" w:rsidRDefault="00481BA7"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8462</w:t>
            </w:r>
          </w:p>
        </w:tc>
        <w:tc>
          <w:tcPr>
            <w:tcW w:w="724" w:type="dxa"/>
            <w:noWrap/>
            <w:hideMark/>
          </w:tcPr>
          <w:p w14:paraId="3A100D31" w14:textId="77777777" w:rsidR="00481BA7" w:rsidRPr="003208FA" w:rsidRDefault="00481BA7"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10587</w:t>
            </w:r>
          </w:p>
        </w:tc>
        <w:tc>
          <w:tcPr>
            <w:tcW w:w="724" w:type="dxa"/>
            <w:noWrap/>
            <w:hideMark/>
          </w:tcPr>
          <w:p w14:paraId="14D6F00A" w14:textId="77777777" w:rsidR="00481BA7" w:rsidRPr="003208FA" w:rsidRDefault="00481BA7"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10755</w:t>
            </w:r>
          </w:p>
        </w:tc>
        <w:tc>
          <w:tcPr>
            <w:tcW w:w="725" w:type="dxa"/>
            <w:noWrap/>
            <w:hideMark/>
          </w:tcPr>
          <w:p w14:paraId="14C35DF1" w14:textId="77777777" w:rsidR="00481BA7" w:rsidRPr="003208FA" w:rsidRDefault="00481BA7"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10957</w:t>
            </w:r>
          </w:p>
        </w:tc>
        <w:tc>
          <w:tcPr>
            <w:tcW w:w="724" w:type="dxa"/>
            <w:noWrap/>
            <w:hideMark/>
          </w:tcPr>
          <w:p w14:paraId="25F7A3C5" w14:textId="77777777" w:rsidR="00481BA7" w:rsidRPr="003208FA" w:rsidRDefault="00481BA7"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11130</w:t>
            </w:r>
          </w:p>
        </w:tc>
        <w:tc>
          <w:tcPr>
            <w:tcW w:w="724" w:type="dxa"/>
            <w:noWrap/>
            <w:hideMark/>
          </w:tcPr>
          <w:p w14:paraId="28527F67" w14:textId="77777777" w:rsidR="00481BA7" w:rsidRPr="003208FA" w:rsidRDefault="00481BA7"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11360</w:t>
            </w:r>
          </w:p>
        </w:tc>
        <w:tc>
          <w:tcPr>
            <w:tcW w:w="724" w:type="dxa"/>
            <w:noWrap/>
            <w:hideMark/>
          </w:tcPr>
          <w:p w14:paraId="7FEE6D27" w14:textId="77777777" w:rsidR="00481BA7" w:rsidRPr="003208FA" w:rsidRDefault="00481BA7"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11541</w:t>
            </w:r>
          </w:p>
        </w:tc>
        <w:tc>
          <w:tcPr>
            <w:tcW w:w="725" w:type="dxa"/>
            <w:noWrap/>
            <w:hideMark/>
          </w:tcPr>
          <w:p w14:paraId="78DE7018" w14:textId="77777777" w:rsidR="00481BA7" w:rsidRPr="003208FA" w:rsidRDefault="00481BA7"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12219</w:t>
            </w:r>
          </w:p>
        </w:tc>
        <w:tc>
          <w:tcPr>
            <w:tcW w:w="724" w:type="dxa"/>
            <w:noWrap/>
            <w:hideMark/>
          </w:tcPr>
          <w:p w14:paraId="087F3D89" w14:textId="77777777" w:rsidR="00481BA7" w:rsidRPr="003208FA" w:rsidRDefault="00481BA7"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13491</w:t>
            </w:r>
          </w:p>
        </w:tc>
        <w:tc>
          <w:tcPr>
            <w:tcW w:w="724" w:type="dxa"/>
            <w:noWrap/>
            <w:hideMark/>
          </w:tcPr>
          <w:p w14:paraId="14686B24" w14:textId="77777777" w:rsidR="00481BA7" w:rsidRPr="003208FA" w:rsidRDefault="00481BA7"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14252</w:t>
            </w:r>
          </w:p>
        </w:tc>
        <w:tc>
          <w:tcPr>
            <w:tcW w:w="725" w:type="dxa"/>
            <w:noWrap/>
            <w:hideMark/>
          </w:tcPr>
          <w:p w14:paraId="04E30AAA" w14:textId="77777777" w:rsidR="00481BA7" w:rsidRPr="003208FA" w:rsidRDefault="00481BA7"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15406</w:t>
            </w:r>
          </w:p>
        </w:tc>
      </w:tr>
      <w:tr w:rsidR="00481BA7" w:rsidRPr="003B4324" w14:paraId="46D21CFA" w14:textId="77777777" w:rsidTr="0057310C">
        <w:trPr>
          <w:trHeight w:val="300"/>
        </w:trPr>
        <w:tc>
          <w:tcPr>
            <w:tcW w:w="1661" w:type="dxa"/>
            <w:shd w:val="clear" w:color="auto" w:fill="E7E6E6"/>
            <w:noWrap/>
            <w:vAlign w:val="bottom"/>
            <w:hideMark/>
          </w:tcPr>
          <w:p w14:paraId="0DE23B7D" w14:textId="2C48A863" w:rsidR="00481BA7" w:rsidRPr="004254D2" w:rsidRDefault="00481BA7" w:rsidP="00481BA7">
            <w:pPr>
              <w:spacing w:after="0" w:line="240" w:lineRule="auto"/>
              <w:jc w:val="left"/>
              <w:rPr>
                <w:rFonts w:ascii="Calibri Light" w:hAnsi="Calibri Light" w:cs="Calibri Light"/>
                <w:color w:val="000000" w:themeColor="text1"/>
              </w:rPr>
            </w:pPr>
            <w:r>
              <w:rPr>
                <w:rFonts w:ascii="Calibri Light" w:hAnsi="Calibri Light" w:cs="Calibri Light"/>
                <w:color w:val="000000" w:themeColor="text1"/>
              </w:rPr>
              <w:t>Сценарио</w:t>
            </w:r>
            <w:r w:rsidRPr="003208FA">
              <w:rPr>
                <w:rFonts w:ascii="Calibri Light" w:hAnsi="Calibri Light" w:cs="Calibri Light"/>
                <w:color w:val="000000" w:themeColor="text1"/>
              </w:rPr>
              <w:t>-S</w:t>
            </w:r>
          </w:p>
        </w:tc>
        <w:tc>
          <w:tcPr>
            <w:tcW w:w="724" w:type="dxa"/>
            <w:noWrap/>
            <w:hideMark/>
          </w:tcPr>
          <w:p w14:paraId="3B10E514" w14:textId="77777777" w:rsidR="00481BA7" w:rsidRPr="004254D2" w:rsidRDefault="00481BA7" w:rsidP="00481BA7">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8439</w:t>
            </w:r>
          </w:p>
        </w:tc>
        <w:tc>
          <w:tcPr>
            <w:tcW w:w="724" w:type="dxa"/>
            <w:noWrap/>
            <w:hideMark/>
          </w:tcPr>
          <w:p w14:paraId="123112B9" w14:textId="77777777" w:rsidR="00481BA7" w:rsidRPr="003208FA" w:rsidRDefault="00481BA7" w:rsidP="00481BA7">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10366</w:t>
            </w:r>
          </w:p>
        </w:tc>
        <w:tc>
          <w:tcPr>
            <w:tcW w:w="724" w:type="dxa"/>
            <w:noWrap/>
            <w:hideMark/>
          </w:tcPr>
          <w:p w14:paraId="7FA8109B" w14:textId="77777777" w:rsidR="00481BA7" w:rsidRPr="003208FA" w:rsidRDefault="00481BA7" w:rsidP="00481BA7">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10354</w:t>
            </w:r>
          </w:p>
        </w:tc>
        <w:tc>
          <w:tcPr>
            <w:tcW w:w="725" w:type="dxa"/>
            <w:noWrap/>
            <w:hideMark/>
          </w:tcPr>
          <w:p w14:paraId="6D91FC7F" w14:textId="77777777" w:rsidR="00481BA7" w:rsidRPr="003208FA" w:rsidRDefault="00481BA7" w:rsidP="00481BA7">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10431</w:t>
            </w:r>
          </w:p>
        </w:tc>
        <w:tc>
          <w:tcPr>
            <w:tcW w:w="724" w:type="dxa"/>
            <w:noWrap/>
            <w:hideMark/>
          </w:tcPr>
          <w:p w14:paraId="14908D73" w14:textId="77777777" w:rsidR="00481BA7" w:rsidRPr="003208FA" w:rsidRDefault="00481BA7" w:rsidP="00481BA7">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10515</w:t>
            </w:r>
          </w:p>
        </w:tc>
        <w:tc>
          <w:tcPr>
            <w:tcW w:w="724" w:type="dxa"/>
            <w:noWrap/>
            <w:hideMark/>
          </w:tcPr>
          <w:p w14:paraId="088F2B41" w14:textId="77777777" w:rsidR="00481BA7" w:rsidRPr="003208FA" w:rsidRDefault="00481BA7" w:rsidP="00481BA7">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10460</w:t>
            </w:r>
          </w:p>
        </w:tc>
        <w:tc>
          <w:tcPr>
            <w:tcW w:w="724" w:type="dxa"/>
            <w:noWrap/>
            <w:hideMark/>
          </w:tcPr>
          <w:p w14:paraId="777B121C" w14:textId="77777777" w:rsidR="00481BA7" w:rsidRPr="003208FA" w:rsidRDefault="00481BA7" w:rsidP="00481BA7">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9858</w:t>
            </w:r>
          </w:p>
        </w:tc>
        <w:tc>
          <w:tcPr>
            <w:tcW w:w="725" w:type="dxa"/>
            <w:noWrap/>
            <w:hideMark/>
          </w:tcPr>
          <w:p w14:paraId="4772B089" w14:textId="77777777" w:rsidR="00481BA7" w:rsidRPr="003208FA" w:rsidRDefault="00481BA7" w:rsidP="00481BA7">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10336</w:t>
            </w:r>
          </w:p>
        </w:tc>
        <w:tc>
          <w:tcPr>
            <w:tcW w:w="724" w:type="dxa"/>
            <w:noWrap/>
            <w:hideMark/>
          </w:tcPr>
          <w:p w14:paraId="15EB550F" w14:textId="77777777" w:rsidR="00481BA7" w:rsidRPr="003208FA" w:rsidRDefault="00481BA7" w:rsidP="00481BA7">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9379</w:t>
            </w:r>
          </w:p>
        </w:tc>
        <w:tc>
          <w:tcPr>
            <w:tcW w:w="724" w:type="dxa"/>
            <w:noWrap/>
            <w:hideMark/>
          </w:tcPr>
          <w:p w14:paraId="002AD966" w14:textId="77777777" w:rsidR="00481BA7" w:rsidRPr="003208FA" w:rsidRDefault="00481BA7" w:rsidP="00481BA7">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7777</w:t>
            </w:r>
          </w:p>
        </w:tc>
        <w:tc>
          <w:tcPr>
            <w:tcW w:w="725" w:type="dxa"/>
            <w:noWrap/>
            <w:hideMark/>
          </w:tcPr>
          <w:p w14:paraId="06E2D355" w14:textId="77777777" w:rsidR="00481BA7" w:rsidRPr="003208FA" w:rsidRDefault="00481BA7" w:rsidP="00481BA7">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8045</w:t>
            </w:r>
          </w:p>
        </w:tc>
      </w:tr>
      <w:tr w:rsidR="00481BA7" w:rsidRPr="003B4324" w14:paraId="4FE0B824" w14:textId="77777777" w:rsidTr="0057310C">
        <w:trPr>
          <w:trHeight w:val="300"/>
        </w:trPr>
        <w:tc>
          <w:tcPr>
            <w:tcW w:w="1661" w:type="dxa"/>
            <w:shd w:val="clear" w:color="auto" w:fill="E7E6E6"/>
            <w:noWrap/>
            <w:vAlign w:val="bottom"/>
            <w:hideMark/>
          </w:tcPr>
          <w:p w14:paraId="05AE7469" w14:textId="4D099C64" w:rsidR="00481BA7" w:rsidRPr="004254D2" w:rsidRDefault="00481BA7" w:rsidP="00481BA7">
            <w:pPr>
              <w:spacing w:after="0" w:line="240" w:lineRule="auto"/>
              <w:jc w:val="left"/>
              <w:rPr>
                <w:rFonts w:ascii="Calibri Light" w:hAnsi="Calibri Light" w:cs="Calibri Light"/>
                <w:color w:val="000000" w:themeColor="text1"/>
              </w:rPr>
            </w:pPr>
            <w:r w:rsidRPr="009F1D0C">
              <w:rPr>
                <w:rFonts w:ascii="Calibri Light" w:hAnsi="Calibri Light" w:cs="Calibri Light"/>
                <w:color w:val="000000" w:themeColor="text1"/>
              </w:rPr>
              <w:t>Сценарио</w:t>
            </w:r>
            <w:r w:rsidRPr="003208FA">
              <w:rPr>
                <w:rFonts w:ascii="Calibri Light" w:hAnsi="Calibri Light" w:cs="Calibri Light"/>
                <w:color w:val="000000" w:themeColor="text1"/>
              </w:rPr>
              <w:t>-S-N</w:t>
            </w:r>
          </w:p>
        </w:tc>
        <w:tc>
          <w:tcPr>
            <w:tcW w:w="724" w:type="dxa"/>
            <w:noWrap/>
            <w:hideMark/>
          </w:tcPr>
          <w:p w14:paraId="10B4A349" w14:textId="77777777" w:rsidR="00481BA7" w:rsidRPr="004254D2" w:rsidRDefault="00481BA7" w:rsidP="00481BA7">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8439</w:t>
            </w:r>
          </w:p>
        </w:tc>
        <w:tc>
          <w:tcPr>
            <w:tcW w:w="724" w:type="dxa"/>
            <w:noWrap/>
            <w:hideMark/>
          </w:tcPr>
          <w:p w14:paraId="7CE8D167" w14:textId="77777777" w:rsidR="00481BA7" w:rsidRPr="003208FA" w:rsidRDefault="00481BA7" w:rsidP="00481BA7">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10366</w:t>
            </w:r>
          </w:p>
        </w:tc>
        <w:tc>
          <w:tcPr>
            <w:tcW w:w="724" w:type="dxa"/>
            <w:noWrap/>
            <w:hideMark/>
          </w:tcPr>
          <w:p w14:paraId="0AB64ADE" w14:textId="77777777" w:rsidR="00481BA7" w:rsidRPr="003208FA" w:rsidRDefault="00481BA7" w:rsidP="00481BA7">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10354</w:t>
            </w:r>
          </w:p>
        </w:tc>
        <w:tc>
          <w:tcPr>
            <w:tcW w:w="725" w:type="dxa"/>
            <w:noWrap/>
            <w:hideMark/>
          </w:tcPr>
          <w:p w14:paraId="0E62D03D" w14:textId="77777777" w:rsidR="00481BA7" w:rsidRPr="003208FA" w:rsidRDefault="00481BA7" w:rsidP="00481BA7">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10431</w:t>
            </w:r>
          </w:p>
        </w:tc>
        <w:tc>
          <w:tcPr>
            <w:tcW w:w="724" w:type="dxa"/>
            <w:noWrap/>
            <w:hideMark/>
          </w:tcPr>
          <w:p w14:paraId="7FDB605D" w14:textId="77777777" w:rsidR="00481BA7" w:rsidRPr="003208FA" w:rsidRDefault="00481BA7" w:rsidP="00481BA7">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10515</w:t>
            </w:r>
          </w:p>
        </w:tc>
        <w:tc>
          <w:tcPr>
            <w:tcW w:w="724" w:type="dxa"/>
            <w:noWrap/>
            <w:hideMark/>
          </w:tcPr>
          <w:p w14:paraId="1E0CD66F" w14:textId="77777777" w:rsidR="00481BA7" w:rsidRPr="003208FA" w:rsidRDefault="00481BA7" w:rsidP="00481BA7">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10460</w:t>
            </w:r>
          </w:p>
        </w:tc>
        <w:tc>
          <w:tcPr>
            <w:tcW w:w="724" w:type="dxa"/>
            <w:noWrap/>
            <w:hideMark/>
          </w:tcPr>
          <w:p w14:paraId="6D8B2388" w14:textId="77777777" w:rsidR="00481BA7" w:rsidRPr="003208FA" w:rsidRDefault="00481BA7" w:rsidP="00481BA7">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9858</w:t>
            </w:r>
          </w:p>
        </w:tc>
        <w:tc>
          <w:tcPr>
            <w:tcW w:w="725" w:type="dxa"/>
            <w:noWrap/>
            <w:hideMark/>
          </w:tcPr>
          <w:p w14:paraId="0DDF15FD" w14:textId="77777777" w:rsidR="00481BA7" w:rsidRPr="003208FA" w:rsidRDefault="00481BA7" w:rsidP="00481BA7">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10312</w:t>
            </w:r>
          </w:p>
        </w:tc>
        <w:tc>
          <w:tcPr>
            <w:tcW w:w="724" w:type="dxa"/>
            <w:noWrap/>
            <w:hideMark/>
          </w:tcPr>
          <w:p w14:paraId="425B4EDF" w14:textId="77777777" w:rsidR="00481BA7" w:rsidRPr="003208FA" w:rsidRDefault="00481BA7" w:rsidP="00481BA7">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8712</w:t>
            </w:r>
          </w:p>
        </w:tc>
        <w:tc>
          <w:tcPr>
            <w:tcW w:w="724" w:type="dxa"/>
            <w:noWrap/>
            <w:hideMark/>
          </w:tcPr>
          <w:p w14:paraId="43ED912F" w14:textId="77777777" w:rsidR="00481BA7" w:rsidRPr="003208FA" w:rsidRDefault="00481BA7" w:rsidP="00481BA7">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7812</w:t>
            </w:r>
          </w:p>
        </w:tc>
        <w:tc>
          <w:tcPr>
            <w:tcW w:w="725" w:type="dxa"/>
            <w:noWrap/>
            <w:hideMark/>
          </w:tcPr>
          <w:p w14:paraId="0BE79F8E" w14:textId="77777777" w:rsidR="00481BA7" w:rsidRPr="003208FA" w:rsidRDefault="00481BA7" w:rsidP="00481BA7">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8080</w:t>
            </w:r>
          </w:p>
        </w:tc>
      </w:tr>
    </w:tbl>
    <w:p w14:paraId="66F58EAA" w14:textId="6BDC89B3" w:rsidR="00873C40" w:rsidRDefault="00873C40" w:rsidP="00565B02">
      <w:pPr>
        <w:pStyle w:val="Caption"/>
        <w:spacing w:before="200"/>
      </w:pPr>
      <w:bookmarkStart w:id="524" w:name="_Toc153901499"/>
      <w:r>
        <w:t xml:space="preserve">Табела </w:t>
      </w:r>
      <w:r>
        <w:fldChar w:fldCharType="begin"/>
      </w:r>
      <w:r>
        <w:instrText xml:space="preserve"> STYLEREF 1 \s </w:instrText>
      </w:r>
      <w:r>
        <w:fldChar w:fldCharType="separate"/>
      </w:r>
      <w:r>
        <w:t>V</w:t>
      </w:r>
      <w:r>
        <w:fldChar w:fldCharType="end"/>
      </w:r>
      <w:r>
        <w:t>.</w:t>
      </w:r>
      <w:r>
        <w:fldChar w:fldCharType="begin"/>
      </w:r>
      <w:r>
        <w:instrText xml:space="preserve"> SEQ Табела \* ARABIC \s 1 </w:instrText>
      </w:r>
      <w:r>
        <w:fldChar w:fldCharType="separate"/>
      </w:r>
      <w:r>
        <w:t>4</w:t>
      </w:r>
      <w:r>
        <w:fldChar w:fldCharType="end"/>
      </w:r>
      <w:r w:rsidRPr="00873C40">
        <w:t>: Саобраћај - емисије у ktons CO2-eq</w:t>
      </w:r>
      <w:bookmarkEnd w:id="524"/>
    </w:p>
    <w:tbl>
      <w:tblPr>
        <w:tblStyle w:val="TableGrid"/>
        <w:tblW w:w="0" w:type="auto"/>
        <w:tblLayout w:type="fixed"/>
        <w:tblLook w:val="04A0" w:firstRow="1" w:lastRow="0" w:firstColumn="1" w:lastColumn="0" w:noHBand="0" w:noVBand="1"/>
      </w:tblPr>
      <w:tblGrid>
        <w:gridCol w:w="1661"/>
        <w:gridCol w:w="724"/>
        <w:gridCol w:w="724"/>
        <w:gridCol w:w="724"/>
        <w:gridCol w:w="725"/>
        <w:gridCol w:w="724"/>
        <w:gridCol w:w="724"/>
        <w:gridCol w:w="724"/>
        <w:gridCol w:w="725"/>
        <w:gridCol w:w="724"/>
        <w:gridCol w:w="724"/>
        <w:gridCol w:w="725"/>
      </w:tblGrid>
      <w:tr w:rsidR="00567704" w:rsidRPr="003B4324" w14:paraId="6A588767" w14:textId="77777777" w:rsidTr="0057310C">
        <w:trPr>
          <w:trHeight w:val="300"/>
        </w:trPr>
        <w:tc>
          <w:tcPr>
            <w:tcW w:w="1661" w:type="dxa"/>
            <w:shd w:val="clear" w:color="auto" w:fill="404040"/>
            <w:noWrap/>
            <w:vAlign w:val="center"/>
            <w:hideMark/>
          </w:tcPr>
          <w:p w14:paraId="1DDA3799" w14:textId="7BC588F3" w:rsidR="00567704" w:rsidRPr="004254D2" w:rsidRDefault="00567704" w:rsidP="0057310C">
            <w:pPr>
              <w:spacing w:after="0" w:line="240" w:lineRule="auto"/>
              <w:jc w:val="center"/>
              <w:rPr>
                <w:rFonts w:ascii="Calibri Light" w:hAnsi="Calibri Light" w:cs="Calibri Light"/>
                <w:color w:val="000000" w:themeColor="text1"/>
              </w:rPr>
            </w:pPr>
            <w:r w:rsidRPr="00567704">
              <w:rPr>
                <w:rFonts w:ascii="Calibri Light" w:hAnsi="Calibri Light" w:cs="Calibri Light"/>
                <w:color w:val="FFFFFF" w:themeColor="background1"/>
              </w:rPr>
              <w:t>Саобраћај</w:t>
            </w:r>
            <w:r>
              <w:t xml:space="preserve"> </w:t>
            </w:r>
            <w:r w:rsidRPr="00567704">
              <w:rPr>
                <w:rFonts w:ascii="Calibri Light" w:hAnsi="Calibri Light" w:cs="Calibri Light"/>
                <w:color w:val="FFFFFF" w:themeColor="background1"/>
              </w:rPr>
              <w:t>[ktons CO2-eq]</w:t>
            </w:r>
          </w:p>
        </w:tc>
        <w:tc>
          <w:tcPr>
            <w:tcW w:w="724" w:type="dxa"/>
            <w:shd w:val="clear" w:color="auto" w:fill="1F497D"/>
            <w:noWrap/>
            <w:vAlign w:val="center"/>
            <w:hideMark/>
          </w:tcPr>
          <w:p w14:paraId="5793B7DB" w14:textId="77777777" w:rsidR="00567704" w:rsidRPr="004254D2" w:rsidRDefault="0056770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2020</w:t>
            </w:r>
          </w:p>
        </w:tc>
        <w:tc>
          <w:tcPr>
            <w:tcW w:w="724" w:type="dxa"/>
            <w:shd w:val="clear" w:color="auto" w:fill="1F497D"/>
            <w:noWrap/>
            <w:vAlign w:val="center"/>
            <w:hideMark/>
          </w:tcPr>
          <w:p w14:paraId="59012D24" w14:textId="77777777" w:rsidR="00567704" w:rsidRPr="004254D2" w:rsidRDefault="0056770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2025</w:t>
            </w:r>
          </w:p>
        </w:tc>
        <w:tc>
          <w:tcPr>
            <w:tcW w:w="724" w:type="dxa"/>
            <w:shd w:val="clear" w:color="auto" w:fill="1F497D"/>
            <w:noWrap/>
            <w:vAlign w:val="center"/>
            <w:hideMark/>
          </w:tcPr>
          <w:p w14:paraId="1D2D9D17" w14:textId="77777777" w:rsidR="00567704" w:rsidRPr="004254D2" w:rsidRDefault="0056770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2026</w:t>
            </w:r>
          </w:p>
        </w:tc>
        <w:tc>
          <w:tcPr>
            <w:tcW w:w="725" w:type="dxa"/>
            <w:shd w:val="clear" w:color="auto" w:fill="1F497D"/>
            <w:noWrap/>
            <w:vAlign w:val="center"/>
            <w:hideMark/>
          </w:tcPr>
          <w:p w14:paraId="79F03B1E" w14:textId="77777777" w:rsidR="00567704" w:rsidRPr="004254D2" w:rsidRDefault="0056770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2027</w:t>
            </w:r>
          </w:p>
        </w:tc>
        <w:tc>
          <w:tcPr>
            <w:tcW w:w="724" w:type="dxa"/>
            <w:shd w:val="clear" w:color="auto" w:fill="1F497D"/>
            <w:noWrap/>
            <w:vAlign w:val="center"/>
            <w:hideMark/>
          </w:tcPr>
          <w:p w14:paraId="1018DDD8" w14:textId="77777777" w:rsidR="00567704" w:rsidRPr="004254D2" w:rsidRDefault="0056770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2028</w:t>
            </w:r>
          </w:p>
        </w:tc>
        <w:tc>
          <w:tcPr>
            <w:tcW w:w="724" w:type="dxa"/>
            <w:shd w:val="clear" w:color="auto" w:fill="1F497D"/>
            <w:noWrap/>
            <w:vAlign w:val="center"/>
            <w:hideMark/>
          </w:tcPr>
          <w:p w14:paraId="25036955" w14:textId="77777777" w:rsidR="00567704" w:rsidRPr="004254D2" w:rsidRDefault="0056770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2029</w:t>
            </w:r>
          </w:p>
        </w:tc>
        <w:tc>
          <w:tcPr>
            <w:tcW w:w="724" w:type="dxa"/>
            <w:shd w:val="clear" w:color="auto" w:fill="1F497D"/>
            <w:noWrap/>
            <w:vAlign w:val="center"/>
            <w:hideMark/>
          </w:tcPr>
          <w:p w14:paraId="0EECAEC2" w14:textId="77777777" w:rsidR="00567704" w:rsidRPr="004254D2" w:rsidRDefault="0056770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2030</w:t>
            </w:r>
          </w:p>
        </w:tc>
        <w:tc>
          <w:tcPr>
            <w:tcW w:w="725" w:type="dxa"/>
            <w:shd w:val="clear" w:color="auto" w:fill="1F497D"/>
            <w:noWrap/>
            <w:vAlign w:val="center"/>
            <w:hideMark/>
          </w:tcPr>
          <w:p w14:paraId="28F909E4" w14:textId="77777777" w:rsidR="00567704" w:rsidRPr="004254D2" w:rsidRDefault="0056770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2035</w:t>
            </w:r>
          </w:p>
        </w:tc>
        <w:tc>
          <w:tcPr>
            <w:tcW w:w="724" w:type="dxa"/>
            <w:shd w:val="clear" w:color="auto" w:fill="1F497D"/>
            <w:noWrap/>
            <w:vAlign w:val="center"/>
            <w:hideMark/>
          </w:tcPr>
          <w:p w14:paraId="74FD3941" w14:textId="77777777" w:rsidR="00567704" w:rsidRPr="004254D2" w:rsidRDefault="0056770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2040</w:t>
            </w:r>
          </w:p>
        </w:tc>
        <w:tc>
          <w:tcPr>
            <w:tcW w:w="724" w:type="dxa"/>
            <w:shd w:val="clear" w:color="auto" w:fill="1F497D"/>
            <w:noWrap/>
            <w:vAlign w:val="center"/>
            <w:hideMark/>
          </w:tcPr>
          <w:p w14:paraId="318A731E" w14:textId="77777777" w:rsidR="00567704" w:rsidRPr="004254D2" w:rsidRDefault="0056770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2045</w:t>
            </w:r>
          </w:p>
        </w:tc>
        <w:tc>
          <w:tcPr>
            <w:tcW w:w="725" w:type="dxa"/>
            <w:shd w:val="clear" w:color="auto" w:fill="1F497D"/>
            <w:noWrap/>
            <w:vAlign w:val="center"/>
            <w:hideMark/>
          </w:tcPr>
          <w:p w14:paraId="276F0D28" w14:textId="77777777" w:rsidR="00567704" w:rsidRPr="004254D2" w:rsidRDefault="0056770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2050</w:t>
            </w:r>
          </w:p>
        </w:tc>
      </w:tr>
      <w:tr w:rsidR="00567704" w:rsidRPr="003B4324" w14:paraId="79A67382" w14:textId="77777777" w:rsidTr="0057310C">
        <w:trPr>
          <w:trHeight w:val="300"/>
        </w:trPr>
        <w:tc>
          <w:tcPr>
            <w:tcW w:w="1661" w:type="dxa"/>
            <w:shd w:val="clear" w:color="auto" w:fill="E7E6E6"/>
            <w:noWrap/>
            <w:vAlign w:val="bottom"/>
            <w:hideMark/>
          </w:tcPr>
          <w:p w14:paraId="614F6C62" w14:textId="77777777" w:rsidR="00567704" w:rsidRPr="004254D2" w:rsidRDefault="00567704" w:rsidP="0057310C">
            <w:pPr>
              <w:spacing w:after="0" w:line="240" w:lineRule="auto"/>
              <w:jc w:val="left"/>
              <w:rPr>
                <w:rFonts w:ascii="Calibri Light" w:hAnsi="Calibri Light" w:cs="Calibri Light"/>
                <w:color w:val="000000" w:themeColor="text1"/>
              </w:rPr>
            </w:pPr>
            <w:r w:rsidRPr="002574F2">
              <w:rPr>
                <w:rFonts w:ascii="Calibri Light" w:hAnsi="Calibri Light" w:cs="Calibri Light"/>
                <w:color w:val="000000" w:themeColor="text1"/>
              </w:rPr>
              <w:t>WEM</w:t>
            </w:r>
          </w:p>
        </w:tc>
        <w:tc>
          <w:tcPr>
            <w:tcW w:w="724" w:type="dxa"/>
            <w:noWrap/>
            <w:hideMark/>
          </w:tcPr>
          <w:p w14:paraId="3EFDD002" w14:textId="77777777" w:rsidR="00567704" w:rsidRPr="004254D2" w:rsidRDefault="00567704"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7166</w:t>
            </w:r>
          </w:p>
        </w:tc>
        <w:tc>
          <w:tcPr>
            <w:tcW w:w="724" w:type="dxa"/>
            <w:noWrap/>
            <w:hideMark/>
          </w:tcPr>
          <w:p w14:paraId="2A219F7D" w14:textId="77777777" w:rsidR="00567704" w:rsidRPr="002574F2" w:rsidRDefault="00567704"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7880</w:t>
            </w:r>
          </w:p>
        </w:tc>
        <w:tc>
          <w:tcPr>
            <w:tcW w:w="724" w:type="dxa"/>
            <w:noWrap/>
            <w:hideMark/>
          </w:tcPr>
          <w:p w14:paraId="66F0522E" w14:textId="77777777" w:rsidR="00567704" w:rsidRPr="002574F2" w:rsidRDefault="00567704"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8031</w:t>
            </w:r>
          </w:p>
        </w:tc>
        <w:tc>
          <w:tcPr>
            <w:tcW w:w="725" w:type="dxa"/>
            <w:noWrap/>
            <w:hideMark/>
          </w:tcPr>
          <w:p w14:paraId="2C8D8B66" w14:textId="77777777" w:rsidR="00567704" w:rsidRPr="002574F2" w:rsidRDefault="00567704"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8119</w:t>
            </w:r>
          </w:p>
        </w:tc>
        <w:tc>
          <w:tcPr>
            <w:tcW w:w="724" w:type="dxa"/>
            <w:noWrap/>
            <w:hideMark/>
          </w:tcPr>
          <w:p w14:paraId="4D2995FB" w14:textId="77777777" w:rsidR="00567704" w:rsidRPr="002574F2" w:rsidRDefault="00567704"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8189</w:t>
            </w:r>
          </w:p>
        </w:tc>
        <w:tc>
          <w:tcPr>
            <w:tcW w:w="724" w:type="dxa"/>
            <w:noWrap/>
            <w:hideMark/>
          </w:tcPr>
          <w:p w14:paraId="4F6B946D" w14:textId="77777777" w:rsidR="00567704" w:rsidRPr="002574F2" w:rsidRDefault="00567704"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8270</w:t>
            </w:r>
          </w:p>
        </w:tc>
        <w:tc>
          <w:tcPr>
            <w:tcW w:w="724" w:type="dxa"/>
            <w:noWrap/>
            <w:hideMark/>
          </w:tcPr>
          <w:p w14:paraId="6D29F60F" w14:textId="77777777" w:rsidR="00567704" w:rsidRPr="002574F2" w:rsidRDefault="00567704"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8320</w:t>
            </w:r>
          </w:p>
        </w:tc>
        <w:tc>
          <w:tcPr>
            <w:tcW w:w="725" w:type="dxa"/>
            <w:noWrap/>
            <w:hideMark/>
          </w:tcPr>
          <w:p w14:paraId="7DD17CD4" w14:textId="77777777" w:rsidR="00567704" w:rsidRPr="002574F2" w:rsidRDefault="00567704"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8796</w:t>
            </w:r>
          </w:p>
        </w:tc>
        <w:tc>
          <w:tcPr>
            <w:tcW w:w="724" w:type="dxa"/>
            <w:noWrap/>
            <w:hideMark/>
          </w:tcPr>
          <w:p w14:paraId="68AEDA0F" w14:textId="77777777" w:rsidR="00567704" w:rsidRPr="002574F2" w:rsidRDefault="00567704"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9526</w:t>
            </w:r>
          </w:p>
        </w:tc>
        <w:tc>
          <w:tcPr>
            <w:tcW w:w="724" w:type="dxa"/>
            <w:noWrap/>
            <w:hideMark/>
          </w:tcPr>
          <w:p w14:paraId="16F053D5" w14:textId="77777777" w:rsidR="00567704" w:rsidRPr="002574F2" w:rsidRDefault="00567704"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10218</w:t>
            </w:r>
          </w:p>
        </w:tc>
        <w:tc>
          <w:tcPr>
            <w:tcW w:w="725" w:type="dxa"/>
            <w:noWrap/>
            <w:hideMark/>
          </w:tcPr>
          <w:p w14:paraId="1CCCD8D0" w14:textId="77777777" w:rsidR="00567704" w:rsidRPr="002574F2" w:rsidRDefault="00567704"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10859</w:t>
            </w:r>
          </w:p>
        </w:tc>
      </w:tr>
      <w:tr w:rsidR="00567704" w:rsidRPr="003B4324" w14:paraId="6111428B" w14:textId="77777777" w:rsidTr="0057310C">
        <w:trPr>
          <w:trHeight w:val="300"/>
        </w:trPr>
        <w:tc>
          <w:tcPr>
            <w:tcW w:w="1661" w:type="dxa"/>
            <w:shd w:val="clear" w:color="auto" w:fill="E7E6E6"/>
            <w:noWrap/>
            <w:vAlign w:val="bottom"/>
            <w:hideMark/>
          </w:tcPr>
          <w:p w14:paraId="01AA3B2A" w14:textId="5B32078D" w:rsidR="00567704" w:rsidRPr="004254D2" w:rsidRDefault="00567704" w:rsidP="00567704">
            <w:pPr>
              <w:spacing w:after="0" w:line="240" w:lineRule="auto"/>
              <w:jc w:val="left"/>
              <w:rPr>
                <w:rFonts w:ascii="Calibri Light" w:hAnsi="Calibri Light" w:cs="Calibri Light"/>
                <w:color w:val="000000" w:themeColor="text1"/>
              </w:rPr>
            </w:pPr>
            <w:r>
              <w:rPr>
                <w:rFonts w:ascii="Calibri Light" w:hAnsi="Calibri Light" w:cs="Calibri Light"/>
                <w:color w:val="000000" w:themeColor="text1"/>
              </w:rPr>
              <w:t>Сценарио</w:t>
            </w:r>
            <w:r w:rsidRPr="003208FA">
              <w:rPr>
                <w:rFonts w:ascii="Calibri Light" w:hAnsi="Calibri Light" w:cs="Calibri Light"/>
                <w:color w:val="000000" w:themeColor="text1"/>
              </w:rPr>
              <w:t>-S</w:t>
            </w:r>
          </w:p>
        </w:tc>
        <w:tc>
          <w:tcPr>
            <w:tcW w:w="724" w:type="dxa"/>
            <w:noWrap/>
            <w:hideMark/>
          </w:tcPr>
          <w:p w14:paraId="7AAC7453" w14:textId="77777777" w:rsidR="00567704" w:rsidRPr="004254D2" w:rsidRDefault="00567704" w:rsidP="00567704">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7166</w:t>
            </w:r>
          </w:p>
        </w:tc>
        <w:tc>
          <w:tcPr>
            <w:tcW w:w="724" w:type="dxa"/>
            <w:noWrap/>
            <w:hideMark/>
          </w:tcPr>
          <w:p w14:paraId="44F78B97" w14:textId="77777777" w:rsidR="00567704" w:rsidRPr="002574F2" w:rsidRDefault="00567704" w:rsidP="00567704">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7578</w:t>
            </w:r>
          </w:p>
        </w:tc>
        <w:tc>
          <w:tcPr>
            <w:tcW w:w="724" w:type="dxa"/>
            <w:noWrap/>
            <w:hideMark/>
          </w:tcPr>
          <w:p w14:paraId="67B2F366" w14:textId="77777777" w:rsidR="00567704" w:rsidRPr="002574F2" w:rsidRDefault="00567704" w:rsidP="00567704">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7618</w:t>
            </w:r>
          </w:p>
        </w:tc>
        <w:tc>
          <w:tcPr>
            <w:tcW w:w="725" w:type="dxa"/>
            <w:noWrap/>
            <w:hideMark/>
          </w:tcPr>
          <w:p w14:paraId="57307E33" w14:textId="77777777" w:rsidR="00567704" w:rsidRPr="002574F2" w:rsidRDefault="00567704" w:rsidP="00567704">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7579</w:t>
            </w:r>
          </w:p>
        </w:tc>
        <w:tc>
          <w:tcPr>
            <w:tcW w:w="724" w:type="dxa"/>
            <w:noWrap/>
            <w:hideMark/>
          </w:tcPr>
          <w:p w14:paraId="7A6644D0" w14:textId="77777777" w:rsidR="00567704" w:rsidRPr="002574F2" w:rsidRDefault="00567704" w:rsidP="00567704">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7564</w:t>
            </w:r>
          </w:p>
        </w:tc>
        <w:tc>
          <w:tcPr>
            <w:tcW w:w="724" w:type="dxa"/>
            <w:noWrap/>
            <w:hideMark/>
          </w:tcPr>
          <w:p w14:paraId="406ADB0B" w14:textId="77777777" w:rsidR="00567704" w:rsidRPr="002574F2" w:rsidRDefault="00567704" w:rsidP="00567704">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7470</w:t>
            </w:r>
          </w:p>
        </w:tc>
        <w:tc>
          <w:tcPr>
            <w:tcW w:w="724" w:type="dxa"/>
            <w:noWrap/>
            <w:hideMark/>
          </w:tcPr>
          <w:p w14:paraId="5E621C05" w14:textId="77777777" w:rsidR="00567704" w:rsidRPr="002574F2" w:rsidRDefault="00567704" w:rsidP="00567704">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7617</w:t>
            </w:r>
          </w:p>
        </w:tc>
        <w:tc>
          <w:tcPr>
            <w:tcW w:w="725" w:type="dxa"/>
            <w:noWrap/>
            <w:hideMark/>
          </w:tcPr>
          <w:p w14:paraId="74D9E2A6" w14:textId="77777777" w:rsidR="00567704" w:rsidRPr="002574F2" w:rsidRDefault="00567704" w:rsidP="00567704">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7195</w:t>
            </w:r>
          </w:p>
        </w:tc>
        <w:tc>
          <w:tcPr>
            <w:tcW w:w="724" w:type="dxa"/>
            <w:noWrap/>
            <w:hideMark/>
          </w:tcPr>
          <w:p w14:paraId="65D8FDA7" w14:textId="77777777" w:rsidR="00567704" w:rsidRPr="002574F2" w:rsidRDefault="00567704" w:rsidP="00567704">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6831</w:t>
            </w:r>
          </w:p>
        </w:tc>
        <w:tc>
          <w:tcPr>
            <w:tcW w:w="724" w:type="dxa"/>
            <w:noWrap/>
            <w:hideMark/>
          </w:tcPr>
          <w:p w14:paraId="5087D98A" w14:textId="77777777" w:rsidR="00567704" w:rsidRPr="002574F2" w:rsidRDefault="00567704" w:rsidP="00567704">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5547</w:t>
            </w:r>
          </w:p>
        </w:tc>
        <w:tc>
          <w:tcPr>
            <w:tcW w:w="725" w:type="dxa"/>
            <w:noWrap/>
            <w:hideMark/>
          </w:tcPr>
          <w:p w14:paraId="06B1763A" w14:textId="77777777" w:rsidR="00567704" w:rsidRPr="002574F2" w:rsidRDefault="00567704" w:rsidP="00567704">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4206</w:t>
            </w:r>
          </w:p>
        </w:tc>
      </w:tr>
      <w:tr w:rsidR="00567704" w:rsidRPr="003B4324" w14:paraId="2682576E" w14:textId="77777777" w:rsidTr="0057310C">
        <w:trPr>
          <w:trHeight w:val="300"/>
        </w:trPr>
        <w:tc>
          <w:tcPr>
            <w:tcW w:w="1661" w:type="dxa"/>
            <w:shd w:val="clear" w:color="auto" w:fill="E7E6E6"/>
            <w:noWrap/>
            <w:vAlign w:val="bottom"/>
            <w:hideMark/>
          </w:tcPr>
          <w:p w14:paraId="6E32C687" w14:textId="48603457" w:rsidR="00567704" w:rsidRPr="004254D2" w:rsidRDefault="00567704" w:rsidP="00567704">
            <w:pPr>
              <w:spacing w:after="0" w:line="240" w:lineRule="auto"/>
              <w:jc w:val="left"/>
              <w:rPr>
                <w:rFonts w:ascii="Calibri Light" w:hAnsi="Calibri Light" w:cs="Calibri Light"/>
                <w:color w:val="000000" w:themeColor="text1"/>
              </w:rPr>
            </w:pPr>
            <w:r w:rsidRPr="009F1D0C">
              <w:rPr>
                <w:rFonts w:ascii="Calibri Light" w:hAnsi="Calibri Light" w:cs="Calibri Light"/>
                <w:color w:val="000000" w:themeColor="text1"/>
              </w:rPr>
              <w:t>Сценарио</w:t>
            </w:r>
            <w:r w:rsidRPr="003208FA">
              <w:rPr>
                <w:rFonts w:ascii="Calibri Light" w:hAnsi="Calibri Light" w:cs="Calibri Light"/>
                <w:color w:val="000000" w:themeColor="text1"/>
              </w:rPr>
              <w:t>-S-N</w:t>
            </w:r>
          </w:p>
        </w:tc>
        <w:tc>
          <w:tcPr>
            <w:tcW w:w="724" w:type="dxa"/>
            <w:noWrap/>
            <w:hideMark/>
          </w:tcPr>
          <w:p w14:paraId="2CF728CC" w14:textId="77777777" w:rsidR="00567704" w:rsidRPr="004254D2" w:rsidRDefault="00567704" w:rsidP="00567704">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7166</w:t>
            </w:r>
          </w:p>
        </w:tc>
        <w:tc>
          <w:tcPr>
            <w:tcW w:w="724" w:type="dxa"/>
            <w:noWrap/>
            <w:hideMark/>
          </w:tcPr>
          <w:p w14:paraId="20E4E869" w14:textId="77777777" w:rsidR="00567704" w:rsidRPr="002574F2" w:rsidRDefault="00567704" w:rsidP="00567704">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7578</w:t>
            </w:r>
          </w:p>
        </w:tc>
        <w:tc>
          <w:tcPr>
            <w:tcW w:w="724" w:type="dxa"/>
            <w:noWrap/>
            <w:hideMark/>
          </w:tcPr>
          <w:p w14:paraId="08B4D6DE" w14:textId="77777777" w:rsidR="00567704" w:rsidRPr="002574F2" w:rsidRDefault="00567704" w:rsidP="00567704">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7618</w:t>
            </w:r>
          </w:p>
        </w:tc>
        <w:tc>
          <w:tcPr>
            <w:tcW w:w="725" w:type="dxa"/>
            <w:noWrap/>
            <w:hideMark/>
          </w:tcPr>
          <w:p w14:paraId="1CA3CA82" w14:textId="77777777" w:rsidR="00567704" w:rsidRPr="002574F2" w:rsidRDefault="00567704" w:rsidP="00567704">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7579</w:t>
            </w:r>
          </w:p>
        </w:tc>
        <w:tc>
          <w:tcPr>
            <w:tcW w:w="724" w:type="dxa"/>
            <w:noWrap/>
            <w:hideMark/>
          </w:tcPr>
          <w:p w14:paraId="529C981F" w14:textId="77777777" w:rsidR="00567704" w:rsidRPr="002574F2" w:rsidRDefault="00567704" w:rsidP="00567704">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7564</w:t>
            </w:r>
          </w:p>
        </w:tc>
        <w:tc>
          <w:tcPr>
            <w:tcW w:w="724" w:type="dxa"/>
            <w:noWrap/>
            <w:hideMark/>
          </w:tcPr>
          <w:p w14:paraId="5C84AE42" w14:textId="77777777" w:rsidR="00567704" w:rsidRPr="002574F2" w:rsidRDefault="00567704" w:rsidP="00567704">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7470</w:t>
            </w:r>
          </w:p>
        </w:tc>
        <w:tc>
          <w:tcPr>
            <w:tcW w:w="724" w:type="dxa"/>
            <w:noWrap/>
            <w:hideMark/>
          </w:tcPr>
          <w:p w14:paraId="691E0160" w14:textId="77777777" w:rsidR="00567704" w:rsidRPr="002574F2" w:rsidRDefault="00567704" w:rsidP="00567704">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7617</w:t>
            </w:r>
          </w:p>
        </w:tc>
        <w:tc>
          <w:tcPr>
            <w:tcW w:w="725" w:type="dxa"/>
            <w:noWrap/>
            <w:hideMark/>
          </w:tcPr>
          <w:p w14:paraId="3F27B331" w14:textId="77777777" w:rsidR="00567704" w:rsidRPr="002574F2" w:rsidRDefault="00567704" w:rsidP="00567704">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7244</w:t>
            </w:r>
          </w:p>
        </w:tc>
        <w:tc>
          <w:tcPr>
            <w:tcW w:w="724" w:type="dxa"/>
            <w:noWrap/>
            <w:hideMark/>
          </w:tcPr>
          <w:p w14:paraId="7112272E" w14:textId="77777777" w:rsidR="00567704" w:rsidRPr="002574F2" w:rsidRDefault="00567704" w:rsidP="00567704">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6588</w:t>
            </w:r>
          </w:p>
        </w:tc>
        <w:tc>
          <w:tcPr>
            <w:tcW w:w="724" w:type="dxa"/>
            <w:noWrap/>
            <w:hideMark/>
          </w:tcPr>
          <w:p w14:paraId="6075FB62" w14:textId="77777777" w:rsidR="00567704" w:rsidRPr="002574F2" w:rsidRDefault="00567704" w:rsidP="00567704">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5114</w:t>
            </w:r>
          </w:p>
        </w:tc>
        <w:tc>
          <w:tcPr>
            <w:tcW w:w="725" w:type="dxa"/>
            <w:noWrap/>
            <w:hideMark/>
          </w:tcPr>
          <w:p w14:paraId="2939B931" w14:textId="77777777" w:rsidR="00567704" w:rsidRPr="002574F2" w:rsidRDefault="00567704" w:rsidP="00567704">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3736</w:t>
            </w:r>
          </w:p>
        </w:tc>
      </w:tr>
    </w:tbl>
    <w:p w14:paraId="0189CBE5" w14:textId="7304FEE9" w:rsidR="00873C40" w:rsidRDefault="00873C40" w:rsidP="00565B02">
      <w:pPr>
        <w:pStyle w:val="Caption"/>
        <w:keepNext/>
        <w:spacing w:before="200"/>
      </w:pPr>
      <w:bookmarkStart w:id="525" w:name="_Toc153901500"/>
      <w:r>
        <w:t xml:space="preserve">Табела </w:t>
      </w:r>
      <w:r>
        <w:fldChar w:fldCharType="begin"/>
      </w:r>
      <w:r>
        <w:instrText xml:space="preserve"> STYLEREF 1 \s </w:instrText>
      </w:r>
      <w:r>
        <w:fldChar w:fldCharType="separate"/>
      </w:r>
      <w:r>
        <w:t>V</w:t>
      </w:r>
      <w:r>
        <w:fldChar w:fldCharType="end"/>
      </w:r>
      <w:r>
        <w:t>.</w:t>
      </w:r>
      <w:r>
        <w:fldChar w:fldCharType="begin"/>
      </w:r>
      <w:r>
        <w:instrText xml:space="preserve"> SEQ Табела \* ARABIC \s 1 </w:instrText>
      </w:r>
      <w:r>
        <w:fldChar w:fldCharType="separate"/>
      </w:r>
      <w:r>
        <w:t>5</w:t>
      </w:r>
      <w:r>
        <w:fldChar w:fldCharType="end"/>
      </w:r>
      <w:r w:rsidRPr="00873C40">
        <w:t>: Стамбени сектор - емисије у ktons CO2-eq</w:t>
      </w:r>
      <w:bookmarkEnd w:id="525"/>
    </w:p>
    <w:tbl>
      <w:tblPr>
        <w:tblStyle w:val="TableGrid"/>
        <w:tblW w:w="0" w:type="auto"/>
        <w:tblLayout w:type="fixed"/>
        <w:tblLook w:val="04A0" w:firstRow="1" w:lastRow="0" w:firstColumn="1" w:lastColumn="0" w:noHBand="0" w:noVBand="1"/>
      </w:tblPr>
      <w:tblGrid>
        <w:gridCol w:w="1661"/>
        <w:gridCol w:w="724"/>
        <w:gridCol w:w="724"/>
        <w:gridCol w:w="724"/>
        <w:gridCol w:w="725"/>
        <w:gridCol w:w="724"/>
        <w:gridCol w:w="724"/>
        <w:gridCol w:w="724"/>
        <w:gridCol w:w="725"/>
        <w:gridCol w:w="724"/>
        <w:gridCol w:w="724"/>
        <w:gridCol w:w="725"/>
      </w:tblGrid>
      <w:tr w:rsidR="00567704" w:rsidRPr="003B4324" w14:paraId="744EE44D" w14:textId="77777777" w:rsidTr="0057310C">
        <w:trPr>
          <w:trHeight w:val="300"/>
        </w:trPr>
        <w:tc>
          <w:tcPr>
            <w:tcW w:w="1661" w:type="dxa"/>
            <w:shd w:val="clear" w:color="auto" w:fill="404040"/>
            <w:noWrap/>
            <w:vAlign w:val="center"/>
            <w:hideMark/>
          </w:tcPr>
          <w:p w14:paraId="7A503132" w14:textId="1EAF4123" w:rsidR="00567704" w:rsidRPr="004254D2" w:rsidRDefault="00875AF5" w:rsidP="0057310C">
            <w:pPr>
              <w:spacing w:after="0" w:line="240" w:lineRule="auto"/>
              <w:jc w:val="center"/>
              <w:rPr>
                <w:rFonts w:ascii="Calibri Light" w:hAnsi="Calibri Light" w:cs="Calibri Light"/>
                <w:color w:val="000000" w:themeColor="text1"/>
              </w:rPr>
            </w:pPr>
            <w:r>
              <w:rPr>
                <w:rFonts w:ascii="Calibri Light" w:hAnsi="Calibri Light" w:cs="Calibri Light"/>
                <w:color w:val="FFFFFF" w:themeColor="background1"/>
              </w:rPr>
              <w:t>Стамбени сектор</w:t>
            </w:r>
            <w:r w:rsidR="00567704">
              <w:t xml:space="preserve"> </w:t>
            </w:r>
            <w:r w:rsidRPr="00875AF5">
              <w:rPr>
                <w:rFonts w:ascii="Calibri Light" w:hAnsi="Calibri Light" w:cs="Calibri Light"/>
                <w:color w:val="FFFFFF" w:themeColor="background1"/>
              </w:rPr>
              <w:t>[ktons CO2-eq]</w:t>
            </w:r>
          </w:p>
        </w:tc>
        <w:tc>
          <w:tcPr>
            <w:tcW w:w="724" w:type="dxa"/>
            <w:shd w:val="clear" w:color="auto" w:fill="1F497D"/>
            <w:noWrap/>
            <w:vAlign w:val="center"/>
            <w:hideMark/>
          </w:tcPr>
          <w:p w14:paraId="717C43F2" w14:textId="77777777" w:rsidR="00567704" w:rsidRPr="004254D2" w:rsidRDefault="0056770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2020</w:t>
            </w:r>
          </w:p>
        </w:tc>
        <w:tc>
          <w:tcPr>
            <w:tcW w:w="724" w:type="dxa"/>
            <w:shd w:val="clear" w:color="auto" w:fill="1F497D"/>
            <w:noWrap/>
            <w:vAlign w:val="center"/>
            <w:hideMark/>
          </w:tcPr>
          <w:p w14:paraId="474793A0" w14:textId="77777777" w:rsidR="00567704" w:rsidRPr="004254D2" w:rsidRDefault="0056770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2025</w:t>
            </w:r>
          </w:p>
        </w:tc>
        <w:tc>
          <w:tcPr>
            <w:tcW w:w="724" w:type="dxa"/>
            <w:shd w:val="clear" w:color="auto" w:fill="1F497D"/>
            <w:noWrap/>
            <w:vAlign w:val="center"/>
            <w:hideMark/>
          </w:tcPr>
          <w:p w14:paraId="1FF72C94" w14:textId="77777777" w:rsidR="00567704" w:rsidRPr="004254D2" w:rsidRDefault="0056770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2026</w:t>
            </w:r>
          </w:p>
        </w:tc>
        <w:tc>
          <w:tcPr>
            <w:tcW w:w="725" w:type="dxa"/>
            <w:shd w:val="clear" w:color="auto" w:fill="1F497D"/>
            <w:noWrap/>
            <w:vAlign w:val="center"/>
            <w:hideMark/>
          </w:tcPr>
          <w:p w14:paraId="6876003B" w14:textId="77777777" w:rsidR="00567704" w:rsidRPr="004254D2" w:rsidRDefault="0056770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2027</w:t>
            </w:r>
          </w:p>
        </w:tc>
        <w:tc>
          <w:tcPr>
            <w:tcW w:w="724" w:type="dxa"/>
            <w:shd w:val="clear" w:color="auto" w:fill="1F497D"/>
            <w:noWrap/>
            <w:vAlign w:val="center"/>
            <w:hideMark/>
          </w:tcPr>
          <w:p w14:paraId="11F3C8CE" w14:textId="77777777" w:rsidR="00567704" w:rsidRPr="004254D2" w:rsidRDefault="0056770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2028</w:t>
            </w:r>
          </w:p>
        </w:tc>
        <w:tc>
          <w:tcPr>
            <w:tcW w:w="724" w:type="dxa"/>
            <w:shd w:val="clear" w:color="auto" w:fill="1F497D"/>
            <w:noWrap/>
            <w:vAlign w:val="center"/>
            <w:hideMark/>
          </w:tcPr>
          <w:p w14:paraId="506B337E" w14:textId="77777777" w:rsidR="00567704" w:rsidRPr="004254D2" w:rsidRDefault="0056770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2029</w:t>
            </w:r>
          </w:p>
        </w:tc>
        <w:tc>
          <w:tcPr>
            <w:tcW w:w="724" w:type="dxa"/>
            <w:shd w:val="clear" w:color="auto" w:fill="1F497D"/>
            <w:noWrap/>
            <w:vAlign w:val="center"/>
            <w:hideMark/>
          </w:tcPr>
          <w:p w14:paraId="3BA34C81" w14:textId="77777777" w:rsidR="00567704" w:rsidRPr="004254D2" w:rsidRDefault="0056770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2030</w:t>
            </w:r>
          </w:p>
        </w:tc>
        <w:tc>
          <w:tcPr>
            <w:tcW w:w="725" w:type="dxa"/>
            <w:shd w:val="clear" w:color="auto" w:fill="1F497D"/>
            <w:noWrap/>
            <w:vAlign w:val="center"/>
            <w:hideMark/>
          </w:tcPr>
          <w:p w14:paraId="02BAC1A4" w14:textId="77777777" w:rsidR="00567704" w:rsidRPr="004254D2" w:rsidRDefault="0056770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2035</w:t>
            </w:r>
          </w:p>
        </w:tc>
        <w:tc>
          <w:tcPr>
            <w:tcW w:w="724" w:type="dxa"/>
            <w:shd w:val="clear" w:color="auto" w:fill="1F497D"/>
            <w:noWrap/>
            <w:vAlign w:val="center"/>
            <w:hideMark/>
          </w:tcPr>
          <w:p w14:paraId="51A35CB6" w14:textId="77777777" w:rsidR="00567704" w:rsidRPr="004254D2" w:rsidRDefault="0056770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2040</w:t>
            </w:r>
          </w:p>
        </w:tc>
        <w:tc>
          <w:tcPr>
            <w:tcW w:w="724" w:type="dxa"/>
            <w:shd w:val="clear" w:color="auto" w:fill="1F497D"/>
            <w:noWrap/>
            <w:vAlign w:val="center"/>
            <w:hideMark/>
          </w:tcPr>
          <w:p w14:paraId="03288B70" w14:textId="77777777" w:rsidR="00567704" w:rsidRPr="004254D2" w:rsidRDefault="0056770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2045</w:t>
            </w:r>
          </w:p>
        </w:tc>
        <w:tc>
          <w:tcPr>
            <w:tcW w:w="725" w:type="dxa"/>
            <w:shd w:val="clear" w:color="auto" w:fill="1F497D"/>
            <w:noWrap/>
            <w:vAlign w:val="center"/>
            <w:hideMark/>
          </w:tcPr>
          <w:p w14:paraId="4579FF96" w14:textId="77777777" w:rsidR="00567704" w:rsidRPr="004254D2" w:rsidRDefault="0056770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2050</w:t>
            </w:r>
          </w:p>
        </w:tc>
      </w:tr>
      <w:tr w:rsidR="00567704" w:rsidRPr="003B4324" w14:paraId="2509129B" w14:textId="77777777" w:rsidTr="0057310C">
        <w:trPr>
          <w:trHeight w:val="300"/>
        </w:trPr>
        <w:tc>
          <w:tcPr>
            <w:tcW w:w="1661" w:type="dxa"/>
            <w:shd w:val="clear" w:color="auto" w:fill="E7E6E6"/>
            <w:noWrap/>
            <w:vAlign w:val="bottom"/>
            <w:hideMark/>
          </w:tcPr>
          <w:p w14:paraId="11994168" w14:textId="77777777" w:rsidR="00567704" w:rsidRPr="004254D2" w:rsidRDefault="00567704" w:rsidP="0057310C">
            <w:pPr>
              <w:spacing w:after="0" w:line="240" w:lineRule="auto"/>
              <w:jc w:val="left"/>
              <w:rPr>
                <w:rFonts w:ascii="Calibri Light" w:hAnsi="Calibri Light" w:cs="Calibri Light"/>
                <w:color w:val="000000" w:themeColor="text1"/>
              </w:rPr>
            </w:pPr>
            <w:r w:rsidRPr="002574F2">
              <w:rPr>
                <w:rFonts w:ascii="Calibri Light" w:hAnsi="Calibri Light" w:cs="Calibri Light"/>
                <w:color w:val="000000" w:themeColor="text1"/>
              </w:rPr>
              <w:t>WEM</w:t>
            </w:r>
          </w:p>
        </w:tc>
        <w:tc>
          <w:tcPr>
            <w:tcW w:w="724" w:type="dxa"/>
            <w:noWrap/>
            <w:hideMark/>
          </w:tcPr>
          <w:p w14:paraId="3F6EE7C2" w14:textId="77777777" w:rsidR="00567704" w:rsidRPr="004254D2" w:rsidRDefault="00567704"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2076</w:t>
            </w:r>
          </w:p>
        </w:tc>
        <w:tc>
          <w:tcPr>
            <w:tcW w:w="724" w:type="dxa"/>
            <w:noWrap/>
            <w:hideMark/>
          </w:tcPr>
          <w:p w14:paraId="1CBDC110" w14:textId="77777777" w:rsidR="00567704" w:rsidRPr="002574F2" w:rsidRDefault="00567704"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1437</w:t>
            </w:r>
          </w:p>
        </w:tc>
        <w:tc>
          <w:tcPr>
            <w:tcW w:w="724" w:type="dxa"/>
            <w:noWrap/>
            <w:hideMark/>
          </w:tcPr>
          <w:p w14:paraId="36A45682" w14:textId="77777777" w:rsidR="00567704" w:rsidRPr="002574F2" w:rsidRDefault="00567704"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1374</w:t>
            </w:r>
          </w:p>
        </w:tc>
        <w:tc>
          <w:tcPr>
            <w:tcW w:w="725" w:type="dxa"/>
            <w:noWrap/>
            <w:hideMark/>
          </w:tcPr>
          <w:p w14:paraId="59978EF1" w14:textId="77777777" w:rsidR="00567704" w:rsidRPr="002574F2" w:rsidRDefault="00567704"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1407</w:t>
            </w:r>
          </w:p>
        </w:tc>
        <w:tc>
          <w:tcPr>
            <w:tcW w:w="724" w:type="dxa"/>
            <w:noWrap/>
            <w:hideMark/>
          </w:tcPr>
          <w:p w14:paraId="2653ABF6" w14:textId="77777777" w:rsidR="00567704" w:rsidRPr="002574F2" w:rsidRDefault="00567704"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1430</w:t>
            </w:r>
          </w:p>
        </w:tc>
        <w:tc>
          <w:tcPr>
            <w:tcW w:w="724" w:type="dxa"/>
            <w:noWrap/>
            <w:hideMark/>
          </w:tcPr>
          <w:p w14:paraId="72F8D23B" w14:textId="77777777" w:rsidR="00567704" w:rsidRPr="002574F2" w:rsidRDefault="00567704"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1476</w:t>
            </w:r>
          </w:p>
        </w:tc>
        <w:tc>
          <w:tcPr>
            <w:tcW w:w="724" w:type="dxa"/>
            <w:noWrap/>
            <w:hideMark/>
          </w:tcPr>
          <w:p w14:paraId="4EA627C8" w14:textId="77777777" w:rsidR="00567704" w:rsidRPr="002574F2" w:rsidRDefault="00567704"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1484</w:t>
            </w:r>
          </w:p>
        </w:tc>
        <w:tc>
          <w:tcPr>
            <w:tcW w:w="725" w:type="dxa"/>
            <w:noWrap/>
            <w:hideMark/>
          </w:tcPr>
          <w:p w14:paraId="5750F15B" w14:textId="77777777" w:rsidR="00567704" w:rsidRPr="002574F2" w:rsidRDefault="00567704"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1509</w:t>
            </w:r>
          </w:p>
        </w:tc>
        <w:tc>
          <w:tcPr>
            <w:tcW w:w="724" w:type="dxa"/>
            <w:noWrap/>
            <w:hideMark/>
          </w:tcPr>
          <w:p w14:paraId="574817C2" w14:textId="77777777" w:rsidR="00567704" w:rsidRPr="002574F2" w:rsidRDefault="00567704"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1553</w:t>
            </w:r>
          </w:p>
        </w:tc>
        <w:tc>
          <w:tcPr>
            <w:tcW w:w="724" w:type="dxa"/>
            <w:noWrap/>
            <w:hideMark/>
          </w:tcPr>
          <w:p w14:paraId="03C4564E" w14:textId="77777777" w:rsidR="00567704" w:rsidRPr="002574F2" w:rsidRDefault="00567704"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1538</w:t>
            </w:r>
          </w:p>
        </w:tc>
        <w:tc>
          <w:tcPr>
            <w:tcW w:w="725" w:type="dxa"/>
            <w:noWrap/>
            <w:hideMark/>
          </w:tcPr>
          <w:p w14:paraId="1E2FA63C" w14:textId="77777777" w:rsidR="00567704" w:rsidRPr="002574F2" w:rsidRDefault="00567704"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1656</w:t>
            </w:r>
          </w:p>
        </w:tc>
      </w:tr>
      <w:tr w:rsidR="00875AF5" w:rsidRPr="003B4324" w14:paraId="0CBB7AEA" w14:textId="77777777" w:rsidTr="0057310C">
        <w:trPr>
          <w:trHeight w:val="300"/>
        </w:trPr>
        <w:tc>
          <w:tcPr>
            <w:tcW w:w="1661" w:type="dxa"/>
            <w:shd w:val="clear" w:color="auto" w:fill="E7E6E6"/>
            <w:noWrap/>
            <w:vAlign w:val="bottom"/>
            <w:hideMark/>
          </w:tcPr>
          <w:p w14:paraId="681B90BC" w14:textId="6FB52440" w:rsidR="00875AF5" w:rsidRPr="004254D2" w:rsidRDefault="00875AF5" w:rsidP="00875AF5">
            <w:pPr>
              <w:spacing w:after="0" w:line="240" w:lineRule="auto"/>
              <w:jc w:val="left"/>
              <w:rPr>
                <w:rFonts w:ascii="Calibri Light" w:hAnsi="Calibri Light" w:cs="Calibri Light"/>
                <w:color w:val="000000" w:themeColor="text1"/>
              </w:rPr>
            </w:pPr>
            <w:r>
              <w:rPr>
                <w:rFonts w:ascii="Calibri Light" w:hAnsi="Calibri Light" w:cs="Calibri Light"/>
                <w:color w:val="000000" w:themeColor="text1"/>
              </w:rPr>
              <w:t>Сценарио</w:t>
            </w:r>
            <w:r w:rsidRPr="003208FA">
              <w:rPr>
                <w:rFonts w:ascii="Calibri Light" w:hAnsi="Calibri Light" w:cs="Calibri Light"/>
                <w:color w:val="000000" w:themeColor="text1"/>
              </w:rPr>
              <w:t>-S</w:t>
            </w:r>
          </w:p>
        </w:tc>
        <w:tc>
          <w:tcPr>
            <w:tcW w:w="724" w:type="dxa"/>
            <w:noWrap/>
            <w:hideMark/>
          </w:tcPr>
          <w:p w14:paraId="048C60A1" w14:textId="77777777" w:rsidR="00875AF5" w:rsidRPr="004254D2" w:rsidRDefault="00875AF5" w:rsidP="00875AF5">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2159</w:t>
            </w:r>
          </w:p>
        </w:tc>
        <w:tc>
          <w:tcPr>
            <w:tcW w:w="724" w:type="dxa"/>
            <w:noWrap/>
            <w:hideMark/>
          </w:tcPr>
          <w:p w14:paraId="1863BC49" w14:textId="77777777" w:rsidR="00875AF5" w:rsidRPr="002574F2" w:rsidRDefault="00875AF5" w:rsidP="00875AF5">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1411</w:t>
            </w:r>
          </w:p>
        </w:tc>
        <w:tc>
          <w:tcPr>
            <w:tcW w:w="724" w:type="dxa"/>
            <w:noWrap/>
            <w:hideMark/>
          </w:tcPr>
          <w:p w14:paraId="453AEE0C" w14:textId="77777777" w:rsidR="00875AF5" w:rsidRPr="002574F2" w:rsidRDefault="00875AF5" w:rsidP="00875AF5">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1330</w:t>
            </w:r>
          </w:p>
        </w:tc>
        <w:tc>
          <w:tcPr>
            <w:tcW w:w="725" w:type="dxa"/>
            <w:noWrap/>
            <w:hideMark/>
          </w:tcPr>
          <w:p w14:paraId="00CB1EAD" w14:textId="77777777" w:rsidR="00875AF5" w:rsidRPr="002574F2" w:rsidRDefault="00875AF5" w:rsidP="00875AF5">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1347</w:t>
            </w:r>
          </w:p>
        </w:tc>
        <w:tc>
          <w:tcPr>
            <w:tcW w:w="724" w:type="dxa"/>
            <w:noWrap/>
            <w:hideMark/>
          </w:tcPr>
          <w:p w14:paraId="0B647DEF" w14:textId="77777777" w:rsidR="00875AF5" w:rsidRPr="002574F2" w:rsidRDefault="00875AF5" w:rsidP="00875AF5">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1361</w:t>
            </w:r>
          </w:p>
        </w:tc>
        <w:tc>
          <w:tcPr>
            <w:tcW w:w="724" w:type="dxa"/>
            <w:noWrap/>
            <w:hideMark/>
          </w:tcPr>
          <w:p w14:paraId="293FFE50" w14:textId="77777777" w:rsidR="00875AF5" w:rsidRPr="002574F2" w:rsidRDefault="00875AF5" w:rsidP="00875AF5">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1377</w:t>
            </w:r>
          </w:p>
        </w:tc>
        <w:tc>
          <w:tcPr>
            <w:tcW w:w="724" w:type="dxa"/>
            <w:noWrap/>
            <w:hideMark/>
          </w:tcPr>
          <w:p w14:paraId="170C02CB" w14:textId="77777777" w:rsidR="00875AF5" w:rsidRPr="002574F2" w:rsidRDefault="00875AF5" w:rsidP="00875AF5">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1379</w:t>
            </w:r>
          </w:p>
        </w:tc>
        <w:tc>
          <w:tcPr>
            <w:tcW w:w="725" w:type="dxa"/>
            <w:noWrap/>
            <w:hideMark/>
          </w:tcPr>
          <w:p w14:paraId="42D3D8A9" w14:textId="77777777" w:rsidR="00875AF5" w:rsidRPr="002574F2" w:rsidRDefault="00875AF5" w:rsidP="00875AF5">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1097</w:t>
            </w:r>
          </w:p>
        </w:tc>
        <w:tc>
          <w:tcPr>
            <w:tcW w:w="724" w:type="dxa"/>
            <w:noWrap/>
            <w:hideMark/>
          </w:tcPr>
          <w:p w14:paraId="542BA259" w14:textId="77777777" w:rsidR="00875AF5" w:rsidRPr="002574F2" w:rsidRDefault="00875AF5" w:rsidP="00875AF5">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955</w:t>
            </w:r>
          </w:p>
        </w:tc>
        <w:tc>
          <w:tcPr>
            <w:tcW w:w="724" w:type="dxa"/>
            <w:noWrap/>
            <w:hideMark/>
          </w:tcPr>
          <w:p w14:paraId="2900157D" w14:textId="77777777" w:rsidR="00875AF5" w:rsidRPr="002574F2" w:rsidRDefault="00875AF5" w:rsidP="00875AF5">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764</w:t>
            </w:r>
          </w:p>
        </w:tc>
        <w:tc>
          <w:tcPr>
            <w:tcW w:w="725" w:type="dxa"/>
            <w:noWrap/>
            <w:hideMark/>
          </w:tcPr>
          <w:p w14:paraId="03451822" w14:textId="77777777" w:rsidR="00875AF5" w:rsidRPr="002574F2" w:rsidRDefault="00875AF5" w:rsidP="00875AF5">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517</w:t>
            </w:r>
          </w:p>
        </w:tc>
      </w:tr>
      <w:tr w:rsidR="00875AF5" w:rsidRPr="003B4324" w14:paraId="7D90A2F7" w14:textId="77777777" w:rsidTr="0057310C">
        <w:trPr>
          <w:trHeight w:val="300"/>
        </w:trPr>
        <w:tc>
          <w:tcPr>
            <w:tcW w:w="1661" w:type="dxa"/>
            <w:shd w:val="clear" w:color="auto" w:fill="E7E6E6"/>
            <w:noWrap/>
            <w:vAlign w:val="bottom"/>
            <w:hideMark/>
          </w:tcPr>
          <w:p w14:paraId="0F671D15" w14:textId="1964F4A5" w:rsidR="00875AF5" w:rsidRPr="004254D2" w:rsidRDefault="00875AF5" w:rsidP="00875AF5">
            <w:pPr>
              <w:spacing w:after="0" w:line="240" w:lineRule="auto"/>
              <w:jc w:val="left"/>
              <w:rPr>
                <w:rFonts w:ascii="Calibri Light" w:hAnsi="Calibri Light" w:cs="Calibri Light"/>
                <w:color w:val="000000" w:themeColor="text1"/>
              </w:rPr>
            </w:pPr>
            <w:r w:rsidRPr="009F1D0C">
              <w:rPr>
                <w:rFonts w:ascii="Calibri Light" w:hAnsi="Calibri Light" w:cs="Calibri Light"/>
                <w:color w:val="000000" w:themeColor="text1"/>
              </w:rPr>
              <w:lastRenderedPageBreak/>
              <w:t>Сценарио</w:t>
            </w:r>
            <w:r w:rsidRPr="003208FA">
              <w:rPr>
                <w:rFonts w:ascii="Calibri Light" w:hAnsi="Calibri Light" w:cs="Calibri Light"/>
                <w:color w:val="000000" w:themeColor="text1"/>
              </w:rPr>
              <w:t>-S-N</w:t>
            </w:r>
          </w:p>
        </w:tc>
        <w:tc>
          <w:tcPr>
            <w:tcW w:w="724" w:type="dxa"/>
            <w:noWrap/>
            <w:hideMark/>
          </w:tcPr>
          <w:p w14:paraId="01D37056" w14:textId="77777777" w:rsidR="00875AF5" w:rsidRPr="004254D2" w:rsidRDefault="00875AF5" w:rsidP="00875AF5">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2159</w:t>
            </w:r>
          </w:p>
        </w:tc>
        <w:tc>
          <w:tcPr>
            <w:tcW w:w="724" w:type="dxa"/>
            <w:noWrap/>
            <w:hideMark/>
          </w:tcPr>
          <w:p w14:paraId="278942F0" w14:textId="77777777" w:rsidR="00875AF5" w:rsidRPr="002574F2" w:rsidRDefault="00875AF5" w:rsidP="00875AF5">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1411</w:t>
            </w:r>
          </w:p>
        </w:tc>
        <w:tc>
          <w:tcPr>
            <w:tcW w:w="724" w:type="dxa"/>
            <w:noWrap/>
            <w:hideMark/>
          </w:tcPr>
          <w:p w14:paraId="57D9A90C" w14:textId="77777777" w:rsidR="00875AF5" w:rsidRPr="002574F2" w:rsidRDefault="00875AF5" w:rsidP="00875AF5">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1330</w:t>
            </w:r>
          </w:p>
        </w:tc>
        <w:tc>
          <w:tcPr>
            <w:tcW w:w="725" w:type="dxa"/>
            <w:noWrap/>
            <w:hideMark/>
          </w:tcPr>
          <w:p w14:paraId="54371EDE" w14:textId="77777777" w:rsidR="00875AF5" w:rsidRPr="002574F2" w:rsidRDefault="00875AF5" w:rsidP="00875AF5">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1347</w:t>
            </w:r>
          </w:p>
        </w:tc>
        <w:tc>
          <w:tcPr>
            <w:tcW w:w="724" w:type="dxa"/>
            <w:noWrap/>
            <w:hideMark/>
          </w:tcPr>
          <w:p w14:paraId="61A80336" w14:textId="77777777" w:rsidR="00875AF5" w:rsidRPr="002574F2" w:rsidRDefault="00875AF5" w:rsidP="00875AF5">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1361</w:t>
            </w:r>
          </w:p>
        </w:tc>
        <w:tc>
          <w:tcPr>
            <w:tcW w:w="724" w:type="dxa"/>
            <w:noWrap/>
            <w:hideMark/>
          </w:tcPr>
          <w:p w14:paraId="05902349" w14:textId="77777777" w:rsidR="00875AF5" w:rsidRPr="002574F2" w:rsidRDefault="00875AF5" w:rsidP="00875AF5">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1377</w:t>
            </w:r>
          </w:p>
        </w:tc>
        <w:tc>
          <w:tcPr>
            <w:tcW w:w="724" w:type="dxa"/>
            <w:noWrap/>
            <w:hideMark/>
          </w:tcPr>
          <w:p w14:paraId="05A653E2" w14:textId="77777777" w:rsidR="00875AF5" w:rsidRPr="002574F2" w:rsidRDefault="00875AF5" w:rsidP="00875AF5">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1379</w:t>
            </w:r>
          </w:p>
        </w:tc>
        <w:tc>
          <w:tcPr>
            <w:tcW w:w="725" w:type="dxa"/>
            <w:noWrap/>
            <w:hideMark/>
          </w:tcPr>
          <w:p w14:paraId="58ECA698" w14:textId="77777777" w:rsidR="00875AF5" w:rsidRPr="002574F2" w:rsidRDefault="00875AF5" w:rsidP="00875AF5">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1096</w:t>
            </w:r>
          </w:p>
        </w:tc>
        <w:tc>
          <w:tcPr>
            <w:tcW w:w="724" w:type="dxa"/>
            <w:noWrap/>
            <w:hideMark/>
          </w:tcPr>
          <w:p w14:paraId="09BFF67B" w14:textId="77777777" w:rsidR="00875AF5" w:rsidRPr="002574F2" w:rsidRDefault="00875AF5" w:rsidP="00875AF5">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937</w:t>
            </w:r>
          </w:p>
        </w:tc>
        <w:tc>
          <w:tcPr>
            <w:tcW w:w="724" w:type="dxa"/>
            <w:noWrap/>
            <w:hideMark/>
          </w:tcPr>
          <w:p w14:paraId="245F7752" w14:textId="77777777" w:rsidR="00875AF5" w:rsidRPr="002574F2" w:rsidRDefault="00875AF5" w:rsidP="00875AF5">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814</w:t>
            </w:r>
          </w:p>
        </w:tc>
        <w:tc>
          <w:tcPr>
            <w:tcW w:w="725" w:type="dxa"/>
            <w:noWrap/>
            <w:hideMark/>
          </w:tcPr>
          <w:p w14:paraId="7D7145D3" w14:textId="77777777" w:rsidR="00875AF5" w:rsidRPr="002574F2" w:rsidRDefault="00875AF5" w:rsidP="00875AF5">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532</w:t>
            </w:r>
          </w:p>
        </w:tc>
      </w:tr>
    </w:tbl>
    <w:p w14:paraId="1B3755A7" w14:textId="48263EDF" w:rsidR="00873C40" w:rsidRDefault="00873C40" w:rsidP="00565B02">
      <w:pPr>
        <w:pStyle w:val="Caption"/>
        <w:keepNext/>
        <w:spacing w:before="200"/>
      </w:pPr>
      <w:bookmarkStart w:id="526" w:name="_Toc153901501"/>
      <w:r>
        <w:t xml:space="preserve">Табела </w:t>
      </w:r>
      <w:r>
        <w:fldChar w:fldCharType="begin"/>
      </w:r>
      <w:r>
        <w:instrText xml:space="preserve"> STYLEREF 1 \s </w:instrText>
      </w:r>
      <w:r>
        <w:fldChar w:fldCharType="separate"/>
      </w:r>
      <w:r>
        <w:rPr>
          <w:noProof/>
        </w:rPr>
        <w:t>V</w:t>
      </w:r>
      <w:r>
        <w:fldChar w:fldCharType="end"/>
      </w:r>
      <w:r>
        <w:t>.</w:t>
      </w:r>
      <w:r>
        <w:fldChar w:fldCharType="begin"/>
      </w:r>
      <w:r>
        <w:instrText xml:space="preserve"> SEQ Табела \* ARABIC \s 1 </w:instrText>
      </w:r>
      <w:r>
        <w:fldChar w:fldCharType="separate"/>
      </w:r>
      <w:r>
        <w:rPr>
          <w:noProof/>
        </w:rPr>
        <w:t>6</w:t>
      </w:r>
      <w:r>
        <w:fldChar w:fldCharType="end"/>
      </w:r>
      <w:r w:rsidRPr="00873C40">
        <w:t>: Комерцијални сектор - емисије у ktons CO2-eq</w:t>
      </w:r>
      <w:bookmarkEnd w:id="526"/>
    </w:p>
    <w:tbl>
      <w:tblPr>
        <w:tblStyle w:val="TableGrid"/>
        <w:tblW w:w="0" w:type="auto"/>
        <w:tblLayout w:type="fixed"/>
        <w:tblLook w:val="04A0" w:firstRow="1" w:lastRow="0" w:firstColumn="1" w:lastColumn="0" w:noHBand="0" w:noVBand="1"/>
      </w:tblPr>
      <w:tblGrid>
        <w:gridCol w:w="1661"/>
        <w:gridCol w:w="724"/>
        <w:gridCol w:w="724"/>
        <w:gridCol w:w="724"/>
        <w:gridCol w:w="725"/>
        <w:gridCol w:w="724"/>
        <w:gridCol w:w="724"/>
        <w:gridCol w:w="724"/>
        <w:gridCol w:w="725"/>
        <w:gridCol w:w="724"/>
        <w:gridCol w:w="724"/>
        <w:gridCol w:w="725"/>
      </w:tblGrid>
      <w:tr w:rsidR="006877C1" w:rsidRPr="003B4324" w14:paraId="485FEEC7" w14:textId="77777777" w:rsidTr="0057310C">
        <w:trPr>
          <w:trHeight w:val="300"/>
        </w:trPr>
        <w:tc>
          <w:tcPr>
            <w:tcW w:w="1661" w:type="dxa"/>
            <w:shd w:val="clear" w:color="auto" w:fill="404040"/>
            <w:noWrap/>
            <w:vAlign w:val="center"/>
            <w:hideMark/>
          </w:tcPr>
          <w:p w14:paraId="6BC1DD3B" w14:textId="7B8F7A91" w:rsidR="006877C1" w:rsidRPr="004254D2" w:rsidRDefault="006877C1" w:rsidP="0057310C">
            <w:pPr>
              <w:spacing w:after="0" w:line="240" w:lineRule="auto"/>
              <w:jc w:val="center"/>
              <w:rPr>
                <w:rFonts w:ascii="Calibri Light" w:hAnsi="Calibri Light" w:cs="Calibri Light"/>
                <w:color w:val="000000" w:themeColor="text1"/>
              </w:rPr>
            </w:pPr>
            <w:r w:rsidRPr="006877C1">
              <w:rPr>
                <w:rFonts w:ascii="Calibri Light" w:hAnsi="Calibri Light" w:cs="Calibri Light"/>
                <w:color w:val="FFFFFF" w:themeColor="background1"/>
              </w:rPr>
              <w:t xml:space="preserve">Комерцијални сектор </w:t>
            </w:r>
            <w:r w:rsidRPr="000E2508">
              <w:rPr>
                <w:rFonts w:ascii="Calibri Light" w:hAnsi="Calibri Light" w:cs="Calibri Light"/>
                <w:color w:val="FFFFFF" w:themeColor="background1"/>
              </w:rPr>
              <w:t>[ktons CO2-eq]</w:t>
            </w:r>
          </w:p>
        </w:tc>
        <w:tc>
          <w:tcPr>
            <w:tcW w:w="724" w:type="dxa"/>
            <w:shd w:val="clear" w:color="auto" w:fill="1F497D"/>
            <w:noWrap/>
            <w:vAlign w:val="center"/>
            <w:hideMark/>
          </w:tcPr>
          <w:p w14:paraId="07512044" w14:textId="77777777" w:rsidR="006877C1" w:rsidRPr="004254D2" w:rsidRDefault="006877C1"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2020</w:t>
            </w:r>
          </w:p>
        </w:tc>
        <w:tc>
          <w:tcPr>
            <w:tcW w:w="724" w:type="dxa"/>
            <w:shd w:val="clear" w:color="auto" w:fill="1F497D"/>
            <w:noWrap/>
            <w:vAlign w:val="center"/>
            <w:hideMark/>
          </w:tcPr>
          <w:p w14:paraId="4E4F7FAF" w14:textId="77777777" w:rsidR="006877C1" w:rsidRPr="004254D2" w:rsidRDefault="006877C1"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2025</w:t>
            </w:r>
          </w:p>
        </w:tc>
        <w:tc>
          <w:tcPr>
            <w:tcW w:w="724" w:type="dxa"/>
            <w:shd w:val="clear" w:color="auto" w:fill="1F497D"/>
            <w:noWrap/>
            <w:vAlign w:val="center"/>
            <w:hideMark/>
          </w:tcPr>
          <w:p w14:paraId="5AE23224" w14:textId="77777777" w:rsidR="006877C1" w:rsidRPr="004254D2" w:rsidRDefault="006877C1"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2026</w:t>
            </w:r>
          </w:p>
        </w:tc>
        <w:tc>
          <w:tcPr>
            <w:tcW w:w="725" w:type="dxa"/>
            <w:shd w:val="clear" w:color="auto" w:fill="1F497D"/>
            <w:noWrap/>
            <w:vAlign w:val="center"/>
            <w:hideMark/>
          </w:tcPr>
          <w:p w14:paraId="32AA798D" w14:textId="77777777" w:rsidR="006877C1" w:rsidRPr="004254D2" w:rsidRDefault="006877C1"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2027</w:t>
            </w:r>
          </w:p>
        </w:tc>
        <w:tc>
          <w:tcPr>
            <w:tcW w:w="724" w:type="dxa"/>
            <w:shd w:val="clear" w:color="auto" w:fill="1F497D"/>
            <w:noWrap/>
            <w:vAlign w:val="center"/>
            <w:hideMark/>
          </w:tcPr>
          <w:p w14:paraId="6C7B401C" w14:textId="77777777" w:rsidR="006877C1" w:rsidRPr="004254D2" w:rsidRDefault="006877C1"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2028</w:t>
            </w:r>
          </w:p>
        </w:tc>
        <w:tc>
          <w:tcPr>
            <w:tcW w:w="724" w:type="dxa"/>
            <w:shd w:val="clear" w:color="auto" w:fill="1F497D"/>
            <w:noWrap/>
            <w:vAlign w:val="center"/>
            <w:hideMark/>
          </w:tcPr>
          <w:p w14:paraId="4F576D34" w14:textId="77777777" w:rsidR="006877C1" w:rsidRPr="004254D2" w:rsidRDefault="006877C1"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2029</w:t>
            </w:r>
          </w:p>
        </w:tc>
        <w:tc>
          <w:tcPr>
            <w:tcW w:w="724" w:type="dxa"/>
            <w:shd w:val="clear" w:color="auto" w:fill="1F497D"/>
            <w:noWrap/>
            <w:vAlign w:val="center"/>
            <w:hideMark/>
          </w:tcPr>
          <w:p w14:paraId="6805479E" w14:textId="77777777" w:rsidR="006877C1" w:rsidRPr="004254D2" w:rsidRDefault="006877C1"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2030</w:t>
            </w:r>
          </w:p>
        </w:tc>
        <w:tc>
          <w:tcPr>
            <w:tcW w:w="725" w:type="dxa"/>
            <w:shd w:val="clear" w:color="auto" w:fill="1F497D"/>
            <w:noWrap/>
            <w:vAlign w:val="center"/>
            <w:hideMark/>
          </w:tcPr>
          <w:p w14:paraId="2D996F89" w14:textId="77777777" w:rsidR="006877C1" w:rsidRPr="004254D2" w:rsidRDefault="006877C1"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2035</w:t>
            </w:r>
          </w:p>
        </w:tc>
        <w:tc>
          <w:tcPr>
            <w:tcW w:w="724" w:type="dxa"/>
            <w:shd w:val="clear" w:color="auto" w:fill="1F497D"/>
            <w:noWrap/>
            <w:vAlign w:val="center"/>
            <w:hideMark/>
          </w:tcPr>
          <w:p w14:paraId="7258AD43" w14:textId="77777777" w:rsidR="006877C1" w:rsidRPr="004254D2" w:rsidRDefault="006877C1"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2040</w:t>
            </w:r>
          </w:p>
        </w:tc>
        <w:tc>
          <w:tcPr>
            <w:tcW w:w="724" w:type="dxa"/>
            <w:shd w:val="clear" w:color="auto" w:fill="1F497D"/>
            <w:noWrap/>
            <w:vAlign w:val="center"/>
            <w:hideMark/>
          </w:tcPr>
          <w:p w14:paraId="4EFBE304" w14:textId="77777777" w:rsidR="006877C1" w:rsidRPr="004254D2" w:rsidRDefault="006877C1"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2045</w:t>
            </w:r>
          </w:p>
        </w:tc>
        <w:tc>
          <w:tcPr>
            <w:tcW w:w="725" w:type="dxa"/>
            <w:shd w:val="clear" w:color="auto" w:fill="1F497D"/>
            <w:noWrap/>
            <w:vAlign w:val="center"/>
            <w:hideMark/>
          </w:tcPr>
          <w:p w14:paraId="3040FE13" w14:textId="77777777" w:rsidR="006877C1" w:rsidRPr="004254D2" w:rsidRDefault="006877C1"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2050</w:t>
            </w:r>
          </w:p>
        </w:tc>
      </w:tr>
      <w:tr w:rsidR="006877C1" w:rsidRPr="003B4324" w14:paraId="25932FC5" w14:textId="77777777" w:rsidTr="0057310C">
        <w:trPr>
          <w:trHeight w:val="300"/>
        </w:trPr>
        <w:tc>
          <w:tcPr>
            <w:tcW w:w="1661" w:type="dxa"/>
            <w:shd w:val="clear" w:color="auto" w:fill="E7E6E6"/>
            <w:noWrap/>
            <w:vAlign w:val="bottom"/>
            <w:hideMark/>
          </w:tcPr>
          <w:p w14:paraId="235813E6" w14:textId="77777777" w:rsidR="006877C1" w:rsidRPr="004254D2" w:rsidRDefault="006877C1" w:rsidP="0057310C">
            <w:pPr>
              <w:spacing w:after="0" w:line="240" w:lineRule="auto"/>
              <w:jc w:val="left"/>
              <w:rPr>
                <w:rFonts w:ascii="Calibri Light" w:hAnsi="Calibri Light" w:cs="Calibri Light"/>
                <w:color w:val="000000" w:themeColor="text1"/>
              </w:rPr>
            </w:pPr>
            <w:r w:rsidRPr="002574F2">
              <w:rPr>
                <w:rFonts w:ascii="Calibri Light" w:hAnsi="Calibri Light" w:cs="Calibri Light"/>
                <w:color w:val="000000" w:themeColor="text1"/>
              </w:rPr>
              <w:t>WEM</w:t>
            </w:r>
          </w:p>
        </w:tc>
        <w:tc>
          <w:tcPr>
            <w:tcW w:w="724" w:type="dxa"/>
            <w:noWrap/>
            <w:hideMark/>
          </w:tcPr>
          <w:p w14:paraId="05001C99" w14:textId="77777777" w:rsidR="006877C1" w:rsidRPr="004254D2" w:rsidRDefault="006877C1"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696</w:t>
            </w:r>
          </w:p>
        </w:tc>
        <w:tc>
          <w:tcPr>
            <w:tcW w:w="724" w:type="dxa"/>
            <w:noWrap/>
            <w:hideMark/>
          </w:tcPr>
          <w:p w14:paraId="7055DC57" w14:textId="77777777" w:rsidR="006877C1" w:rsidRPr="002574F2" w:rsidRDefault="006877C1"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752</w:t>
            </w:r>
          </w:p>
        </w:tc>
        <w:tc>
          <w:tcPr>
            <w:tcW w:w="724" w:type="dxa"/>
            <w:noWrap/>
            <w:hideMark/>
          </w:tcPr>
          <w:p w14:paraId="28F2EFBE" w14:textId="77777777" w:rsidR="006877C1" w:rsidRPr="002574F2" w:rsidRDefault="006877C1"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720</w:t>
            </w:r>
          </w:p>
        </w:tc>
        <w:tc>
          <w:tcPr>
            <w:tcW w:w="725" w:type="dxa"/>
            <w:noWrap/>
            <w:hideMark/>
          </w:tcPr>
          <w:p w14:paraId="0AE40280" w14:textId="77777777" w:rsidR="006877C1" w:rsidRPr="002574F2" w:rsidRDefault="006877C1"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752</w:t>
            </w:r>
          </w:p>
        </w:tc>
        <w:tc>
          <w:tcPr>
            <w:tcW w:w="724" w:type="dxa"/>
            <w:noWrap/>
            <w:hideMark/>
          </w:tcPr>
          <w:p w14:paraId="68409DFF" w14:textId="77777777" w:rsidR="006877C1" w:rsidRPr="002574F2" w:rsidRDefault="006877C1"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781</w:t>
            </w:r>
          </w:p>
        </w:tc>
        <w:tc>
          <w:tcPr>
            <w:tcW w:w="724" w:type="dxa"/>
            <w:noWrap/>
            <w:hideMark/>
          </w:tcPr>
          <w:p w14:paraId="11FA3401" w14:textId="77777777" w:rsidR="006877C1" w:rsidRPr="002574F2" w:rsidRDefault="006877C1"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808</w:t>
            </w:r>
          </w:p>
        </w:tc>
        <w:tc>
          <w:tcPr>
            <w:tcW w:w="724" w:type="dxa"/>
            <w:noWrap/>
            <w:hideMark/>
          </w:tcPr>
          <w:p w14:paraId="46A9C136" w14:textId="77777777" w:rsidR="006877C1" w:rsidRPr="002574F2" w:rsidRDefault="006877C1"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842</w:t>
            </w:r>
          </w:p>
        </w:tc>
        <w:tc>
          <w:tcPr>
            <w:tcW w:w="725" w:type="dxa"/>
            <w:noWrap/>
            <w:hideMark/>
          </w:tcPr>
          <w:p w14:paraId="79660CF4" w14:textId="77777777" w:rsidR="006877C1" w:rsidRPr="002574F2" w:rsidRDefault="006877C1"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1007</w:t>
            </w:r>
          </w:p>
        </w:tc>
        <w:tc>
          <w:tcPr>
            <w:tcW w:w="724" w:type="dxa"/>
            <w:noWrap/>
            <w:hideMark/>
          </w:tcPr>
          <w:p w14:paraId="5B0BF2C3" w14:textId="77777777" w:rsidR="006877C1" w:rsidRPr="002574F2" w:rsidRDefault="006877C1"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1188</w:t>
            </w:r>
          </w:p>
        </w:tc>
        <w:tc>
          <w:tcPr>
            <w:tcW w:w="724" w:type="dxa"/>
            <w:noWrap/>
            <w:hideMark/>
          </w:tcPr>
          <w:p w14:paraId="746D0212" w14:textId="77777777" w:rsidR="006877C1" w:rsidRPr="002574F2" w:rsidRDefault="006877C1"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1302</w:t>
            </w:r>
          </w:p>
        </w:tc>
        <w:tc>
          <w:tcPr>
            <w:tcW w:w="725" w:type="dxa"/>
            <w:noWrap/>
            <w:hideMark/>
          </w:tcPr>
          <w:p w14:paraId="14F56793" w14:textId="77777777" w:rsidR="006877C1" w:rsidRPr="002574F2" w:rsidRDefault="006877C1"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1439</w:t>
            </w:r>
          </w:p>
        </w:tc>
      </w:tr>
      <w:tr w:rsidR="006877C1" w:rsidRPr="003B4324" w14:paraId="0399D595" w14:textId="77777777" w:rsidTr="0057310C">
        <w:trPr>
          <w:trHeight w:val="300"/>
        </w:trPr>
        <w:tc>
          <w:tcPr>
            <w:tcW w:w="1661" w:type="dxa"/>
            <w:shd w:val="clear" w:color="auto" w:fill="E7E6E6"/>
            <w:noWrap/>
            <w:vAlign w:val="bottom"/>
            <w:hideMark/>
          </w:tcPr>
          <w:p w14:paraId="1A9C6957" w14:textId="6F609F16" w:rsidR="006877C1" w:rsidRPr="004254D2" w:rsidRDefault="006877C1" w:rsidP="006877C1">
            <w:pPr>
              <w:spacing w:after="0" w:line="240" w:lineRule="auto"/>
              <w:jc w:val="left"/>
              <w:rPr>
                <w:rFonts w:ascii="Calibri Light" w:hAnsi="Calibri Light" w:cs="Calibri Light"/>
                <w:color w:val="000000" w:themeColor="text1"/>
              </w:rPr>
            </w:pPr>
            <w:r>
              <w:rPr>
                <w:rFonts w:ascii="Calibri Light" w:hAnsi="Calibri Light" w:cs="Calibri Light"/>
                <w:color w:val="000000" w:themeColor="text1"/>
              </w:rPr>
              <w:t>Сценарио</w:t>
            </w:r>
            <w:r w:rsidRPr="003208FA">
              <w:rPr>
                <w:rFonts w:ascii="Calibri Light" w:hAnsi="Calibri Light" w:cs="Calibri Light"/>
                <w:color w:val="000000" w:themeColor="text1"/>
              </w:rPr>
              <w:t>-S</w:t>
            </w:r>
          </w:p>
        </w:tc>
        <w:tc>
          <w:tcPr>
            <w:tcW w:w="724" w:type="dxa"/>
            <w:noWrap/>
            <w:hideMark/>
          </w:tcPr>
          <w:p w14:paraId="7D820119" w14:textId="77777777" w:rsidR="006877C1" w:rsidRPr="004254D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720</w:t>
            </w:r>
          </w:p>
        </w:tc>
        <w:tc>
          <w:tcPr>
            <w:tcW w:w="724" w:type="dxa"/>
            <w:noWrap/>
            <w:hideMark/>
          </w:tcPr>
          <w:p w14:paraId="7F711BC2"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659</w:t>
            </w:r>
          </w:p>
        </w:tc>
        <w:tc>
          <w:tcPr>
            <w:tcW w:w="724" w:type="dxa"/>
            <w:noWrap/>
            <w:hideMark/>
          </w:tcPr>
          <w:p w14:paraId="3142CF19"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659</w:t>
            </w:r>
          </w:p>
        </w:tc>
        <w:tc>
          <w:tcPr>
            <w:tcW w:w="725" w:type="dxa"/>
            <w:noWrap/>
            <w:hideMark/>
          </w:tcPr>
          <w:p w14:paraId="6B0FC207"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689</w:t>
            </w:r>
          </w:p>
        </w:tc>
        <w:tc>
          <w:tcPr>
            <w:tcW w:w="724" w:type="dxa"/>
            <w:noWrap/>
            <w:hideMark/>
          </w:tcPr>
          <w:p w14:paraId="56937F7A"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716</w:t>
            </w:r>
          </w:p>
        </w:tc>
        <w:tc>
          <w:tcPr>
            <w:tcW w:w="724" w:type="dxa"/>
            <w:noWrap/>
            <w:hideMark/>
          </w:tcPr>
          <w:p w14:paraId="738E4BC0"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743</w:t>
            </w:r>
          </w:p>
        </w:tc>
        <w:tc>
          <w:tcPr>
            <w:tcW w:w="724" w:type="dxa"/>
            <w:noWrap/>
            <w:hideMark/>
          </w:tcPr>
          <w:p w14:paraId="34FCFC30"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767</w:t>
            </w:r>
          </w:p>
        </w:tc>
        <w:tc>
          <w:tcPr>
            <w:tcW w:w="725" w:type="dxa"/>
            <w:noWrap/>
            <w:hideMark/>
          </w:tcPr>
          <w:p w14:paraId="68638597"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781</w:t>
            </w:r>
          </w:p>
        </w:tc>
        <w:tc>
          <w:tcPr>
            <w:tcW w:w="724" w:type="dxa"/>
            <w:noWrap/>
            <w:hideMark/>
          </w:tcPr>
          <w:p w14:paraId="4D08EEFC"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747</w:t>
            </w:r>
          </w:p>
        </w:tc>
        <w:tc>
          <w:tcPr>
            <w:tcW w:w="724" w:type="dxa"/>
            <w:noWrap/>
            <w:hideMark/>
          </w:tcPr>
          <w:p w14:paraId="6AC5206C"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764</w:t>
            </w:r>
          </w:p>
        </w:tc>
        <w:tc>
          <w:tcPr>
            <w:tcW w:w="725" w:type="dxa"/>
            <w:noWrap/>
            <w:hideMark/>
          </w:tcPr>
          <w:p w14:paraId="2779B823"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794</w:t>
            </w:r>
          </w:p>
        </w:tc>
      </w:tr>
      <w:tr w:rsidR="006877C1" w:rsidRPr="003B4324" w14:paraId="3E0E7A74" w14:textId="77777777" w:rsidTr="0057310C">
        <w:trPr>
          <w:trHeight w:val="300"/>
        </w:trPr>
        <w:tc>
          <w:tcPr>
            <w:tcW w:w="1661" w:type="dxa"/>
            <w:shd w:val="clear" w:color="auto" w:fill="E7E6E6"/>
            <w:noWrap/>
            <w:vAlign w:val="bottom"/>
            <w:hideMark/>
          </w:tcPr>
          <w:p w14:paraId="3FA377D1" w14:textId="425FDBBE" w:rsidR="006877C1" w:rsidRPr="004254D2" w:rsidRDefault="006877C1" w:rsidP="006877C1">
            <w:pPr>
              <w:spacing w:after="0" w:line="240" w:lineRule="auto"/>
              <w:jc w:val="left"/>
              <w:rPr>
                <w:rFonts w:ascii="Calibri Light" w:hAnsi="Calibri Light" w:cs="Calibri Light"/>
                <w:color w:val="000000" w:themeColor="text1"/>
              </w:rPr>
            </w:pPr>
            <w:r w:rsidRPr="009F1D0C">
              <w:rPr>
                <w:rFonts w:ascii="Calibri Light" w:hAnsi="Calibri Light" w:cs="Calibri Light"/>
                <w:color w:val="000000" w:themeColor="text1"/>
              </w:rPr>
              <w:t>Сценарио</w:t>
            </w:r>
            <w:r w:rsidRPr="003208FA">
              <w:rPr>
                <w:rFonts w:ascii="Calibri Light" w:hAnsi="Calibri Light" w:cs="Calibri Light"/>
                <w:color w:val="000000" w:themeColor="text1"/>
              </w:rPr>
              <w:t>-S-N</w:t>
            </w:r>
          </w:p>
        </w:tc>
        <w:tc>
          <w:tcPr>
            <w:tcW w:w="724" w:type="dxa"/>
            <w:noWrap/>
            <w:hideMark/>
          </w:tcPr>
          <w:p w14:paraId="7D3859B9" w14:textId="77777777" w:rsidR="006877C1" w:rsidRPr="004254D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720</w:t>
            </w:r>
          </w:p>
        </w:tc>
        <w:tc>
          <w:tcPr>
            <w:tcW w:w="724" w:type="dxa"/>
            <w:noWrap/>
            <w:hideMark/>
          </w:tcPr>
          <w:p w14:paraId="75D71560"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659</w:t>
            </w:r>
          </w:p>
        </w:tc>
        <w:tc>
          <w:tcPr>
            <w:tcW w:w="724" w:type="dxa"/>
            <w:noWrap/>
            <w:hideMark/>
          </w:tcPr>
          <w:p w14:paraId="575BF7CA"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659</w:t>
            </w:r>
          </w:p>
        </w:tc>
        <w:tc>
          <w:tcPr>
            <w:tcW w:w="725" w:type="dxa"/>
            <w:noWrap/>
            <w:hideMark/>
          </w:tcPr>
          <w:p w14:paraId="7E3DDA38"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689</w:t>
            </w:r>
          </w:p>
        </w:tc>
        <w:tc>
          <w:tcPr>
            <w:tcW w:w="724" w:type="dxa"/>
            <w:noWrap/>
            <w:hideMark/>
          </w:tcPr>
          <w:p w14:paraId="25E98E61"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716</w:t>
            </w:r>
          </w:p>
        </w:tc>
        <w:tc>
          <w:tcPr>
            <w:tcW w:w="724" w:type="dxa"/>
            <w:noWrap/>
            <w:hideMark/>
          </w:tcPr>
          <w:p w14:paraId="0C07F8C8"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743</w:t>
            </w:r>
          </w:p>
        </w:tc>
        <w:tc>
          <w:tcPr>
            <w:tcW w:w="724" w:type="dxa"/>
            <w:noWrap/>
            <w:hideMark/>
          </w:tcPr>
          <w:p w14:paraId="28DFC675"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767</w:t>
            </w:r>
          </w:p>
        </w:tc>
        <w:tc>
          <w:tcPr>
            <w:tcW w:w="725" w:type="dxa"/>
            <w:noWrap/>
            <w:hideMark/>
          </w:tcPr>
          <w:p w14:paraId="2BCD3A04"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778</w:t>
            </w:r>
          </w:p>
        </w:tc>
        <w:tc>
          <w:tcPr>
            <w:tcW w:w="724" w:type="dxa"/>
            <w:noWrap/>
            <w:hideMark/>
          </w:tcPr>
          <w:p w14:paraId="7B37782D"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747</w:t>
            </w:r>
          </w:p>
        </w:tc>
        <w:tc>
          <w:tcPr>
            <w:tcW w:w="724" w:type="dxa"/>
            <w:noWrap/>
            <w:hideMark/>
          </w:tcPr>
          <w:p w14:paraId="1A0A568D"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751</w:t>
            </w:r>
          </w:p>
        </w:tc>
        <w:tc>
          <w:tcPr>
            <w:tcW w:w="725" w:type="dxa"/>
            <w:noWrap/>
            <w:hideMark/>
          </w:tcPr>
          <w:p w14:paraId="19A730F9"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768</w:t>
            </w:r>
          </w:p>
        </w:tc>
      </w:tr>
    </w:tbl>
    <w:p w14:paraId="17EEFA1B" w14:textId="7A030670" w:rsidR="00873C40" w:rsidRDefault="00873C40" w:rsidP="00565B02">
      <w:pPr>
        <w:pStyle w:val="Caption"/>
        <w:spacing w:before="200"/>
      </w:pPr>
      <w:bookmarkStart w:id="527" w:name="_Toc153901502"/>
      <w:r>
        <w:t xml:space="preserve">Табела </w:t>
      </w:r>
      <w:r>
        <w:fldChar w:fldCharType="begin"/>
      </w:r>
      <w:r>
        <w:instrText xml:space="preserve"> STYLEREF 1 \s </w:instrText>
      </w:r>
      <w:r>
        <w:fldChar w:fldCharType="separate"/>
      </w:r>
      <w:r>
        <w:rPr>
          <w:noProof/>
        </w:rPr>
        <w:t>V</w:t>
      </w:r>
      <w:r>
        <w:fldChar w:fldCharType="end"/>
      </w:r>
      <w:r>
        <w:t>.</w:t>
      </w:r>
      <w:r>
        <w:fldChar w:fldCharType="begin"/>
      </w:r>
      <w:r>
        <w:instrText xml:space="preserve"> SEQ Табела \* ARABIC \s 1 </w:instrText>
      </w:r>
      <w:r>
        <w:fldChar w:fldCharType="separate"/>
      </w:r>
      <w:r>
        <w:rPr>
          <w:noProof/>
        </w:rPr>
        <w:t>7</w:t>
      </w:r>
      <w:r>
        <w:fldChar w:fldCharType="end"/>
      </w:r>
      <w:r w:rsidRPr="00873C40">
        <w:t>: Други сектори: Емисије из употребе енергије, процеса и фугитивне емисије у ktons CO2-eq</w:t>
      </w:r>
      <w:bookmarkEnd w:id="527"/>
    </w:p>
    <w:tbl>
      <w:tblPr>
        <w:tblStyle w:val="TableGrid"/>
        <w:tblW w:w="0" w:type="auto"/>
        <w:tblLayout w:type="fixed"/>
        <w:tblLook w:val="04A0" w:firstRow="1" w:lastRow="0" w:firstColumn="1" w:lastColumn="0" w:noHBand="0" w:noVBand="1"/>
      </w:tblPr>
      <w:tblGrid>
        <w:gridCol w:w="1661"/>
        <w:gridCol w:w="724"/>
        <w:gridCol w:w="724"/>
        <w:gridCol w:w="724"/>
        <w:gridCol w:w="725"/>
        <w:gridCol w:w="724"/>
        <w:gridCol w:w="724"/>
        <w:gridCol w:w="724"/>
        <w:gridCol w:w="725"/>
        <w:gridCol w:w="724"/>
        <w:gridCol w:w="724"/>
        <w:gridCol w:w="725"/>
      </w:tblGrid>
      <w:tr w:rsidR="006877C1" w:rsidRPr="003B4324" w14:paraId="1CA1B13C" w14:textId="77777777" w:rsidTr="0057310C">
        <w:trPr>
          <w:trHeight w:val="300"/>
        </w:trPr>
        <w:tc>
          <w:tcPr>
            <w:tcW w:w="1661" w:type="dxa"/>
            <w:shd w:val="clear" w:color="auto" w:fill="404040"/>
            <w:noWrap/>
            <w:vAlign w:val="center"/>
            <w:hideMark/>
          </w:tcPr>
          <w:p w14:paraId="16D5860B" w14:textId="7119B881" w:rsidR="006877C1" w:rsidRPr="004254D2" w:rsidRDefault="006877C1" w:rsidP="0057310C">
            <w:pPr>
              <w:spacing w:after="0" w:line="240" w:lineRule="auto"/>
              <w:jc w:val="center"/>
              <w:rPr>
                <w:rFonts w:ascii="Calibri Light" w:hAnsi="Calibri Light" w:cs="Calibri Light"/>
                <w:color w:val="000000" w:themeColor="text1"/>
              </w:rPr>
            </w:pPr>
            <w:r>
              <w:rPr>
                <w:rFonts w:ascii="Calibri Light" w:hAnsi="Calibri Light" w:cs="Calibri Light"/>
                <w:color w:val="FFFFFF" w:themeColor="background1"/>
              </w:rPr>
              <w:t xml:space="preserve">Други </w:t>
            </w:r>
            <w:r w:rsidRPr="006877C1">
              <w:rPr>
                <w:rFonts w:ascii="Calibri Light" w:hAnsi="Calibri Light" w:cs="Calibri Light"/>
                <w:color w:val="FFFFFF" w:themeColor="background1"/>
              </w:rPr>
              <w:t>сектор</w:t>
            </w:r>
            <w:r>
              <w:rPr>
                <w:rFonts w:ascii="Calibri Light" w:hAnsi="Calibri Light" w:cs="Calibri Light"/>
                <w:color w:val="FFFFFF" w:themeColor="background1"/>
              </w:rPr>
              <w:t>и</w:t>
            </w:r>
            <w:r w:rsidRPr="006877C1">
              <w:rPr>
                <w:rFonts w:ascii="Calibri Light" w:hAnsi="Calibri Light" w:cs="Calibri Light"/>
                <w:color w:val="FFFFFF" w:themeColor="background1"/>
              </w:rPr>
              <w:t xml:space="preserve"> [ktons CO2-eq]</w:t>
            </w:r>
          </w:p>
        </w:tc>
        <w:tc>
          <w:tcPr>
            <w:tcW w:w="724" w:type="dxa"/>
            <w:shd w:val="clear" w:color="auto" w:fill="1F497D"/>
            <w:noWrap/>
            <w:vAlign w:val="center"/>
            <w:hideMark/>
          </w:tcPr>
          <w:p w14:paraId="1884236C" w14:textId="77777777" w:rsidR="006877C1" w:rsidRPr="004254D2" w:rsidRDefault="006877C1"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2020</w:t>
            </w:r>
          </w:p>
        </w:tc>
        <w:tc>
          <w:tcPr>
            <w:tcW w:w="724" w:type="dxa"/>
            <w:shd w:val="clear" w:color="auto" w:fill="1F497D"/>
            <w:noWrap/>
            <w:vAlign w:val="center"/>
            <w:hideMark/>
          </w:tcPr>
          <w:p w14:paraId="204FAE65" w14:textId="77777777" w:rsidR="006877C1" w:rsidRPr="004254D2" w:rsidRDefault="006877C1"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2025</w:t>
            </w:r>
          </w:p>
        </w:tc>
        <w:tc>
          <w:tcPr>
            <w:tcW w:w="724" w:type="dxa"/>
            <w:shd w:val="clear" w:color="auto" w:fill="1F497D"/>
            <w:noWrap/>
            <w:vAlign w:val="center"/>
            <w:hideMark/>
          </w:tcPr>
          <w:p w14:paraId="2BE20919" w14:textId="77777777" w:rsidR="006877C1" w:rsidRPr="004254D2" w:rsidRDefault="006877C1"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2026</w:t>
            </w:r>
          </w:p>
        </w:tc>
        <w:tc>
          <w:tcPr>
            <w:tcW w:w="725" w:type="dxa"/>
            <w:shd w:val="clear" w:color="auto" w:fill="1F497D"/>
            <w:noWrap/>
            <w:vAlign w:val="center"/>
            <w:hideMark/>
          </w:tcPr>
          <w:p w14:paraId="1983C499" w14:textId="77777777" w:rsidR="006877C1" w:rsidRPr="004254D2" w:rsidRDefault="006877C1"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2027</w:t>
            </w:r>
          </w:p>
        </w:tc>
        <w:tc>
          <w:tcPr>
            <w:tcW w:w="724" w:type="dxa"/>
            <w:shd w:val="clear" w:color="auto" w:fill="1F497D"/>
            <w:noWrap/>
            <w:vAlign w:val="center"/>
            <w:hideMark/>
          </w:tcPr>
          <w:p w14:paraId="6F19E41E" w14:textId="77777777" w:rsidR="006877C1" w:rsidRPr="004254D2" w:rsidRDefault="006877C1"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2028</w:t>
            </w:r>
          </w:p>
        </w:tc>
        <w:tc>
          <w:tcPr>
            <w:tcW w:w="724" w:type="dxa"/>
            <w:shd w:val="clear" w:color="auto" w:fill="1F497D"/>
            <w:noWrap/>
            <w:vAlign w:val="center"/>
            <w:hideMark/>
          </w:tcPr>
          <w:p w14:paraId="4F513820" w14:textId="77777777" w:rsidR="006877C1" w:rsidRPr="004254D2" w:rsidRDefault="006877C1"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2029</w:t>
            </w:r>
          </w:p>
        </w:tc>
        <w:tc>
          <w:tcPr>
            <w:tcW w:w="724" w:type="dxa"/>
            <w:shd w:val="clear" w:color="auto" w:fill="1F497D"/>
            <w:noWrap/>
            <w:vAlign w:val="center"/>
            <w:hideMark/>
          </w:tcPr>
          <w:p w14:paraId="79E30CBF" w14:textId="77777777" w:rsidR="006877C1" w:rsidRPr="004254D2" w:rsidRDefault="006877C1"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2030</w:t>
            </w:r>
          </w:p>
        </w:tc>
        <w:tc>
          <w:tcPr>
            <w:tcW w:w="725" w:type="dxa"/>
            <w:shd w:val="clear" w:color="auto" w:fill="1F497D"/>
            <w:noWrap/>
            <w:vAlign w:val="center"/>
            <w:hideMark/>
          </w:tcPr>
          <w:p w14:paraId="166CF586" w14:textId="77777777" w:rsidR="006877C1" w:rsidRPr="004254D2" w:rsidRDefault="006877C1"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2035</w:t>
            </w:r>
          </w:p>
        </w:tc>
        <w:tc>
          <w:tcPr>
            <w:tcW w:w="724" w:type="dxa"/>
            <w:shd w:val="clear" w:color="auto" w:fill="1F497D"/>
            <w:noWrap/>
            <w:vAlign w:val="center"/>
            <w:hideMark/>
          </w:tcPr>
          <w:p w14:paraId="6D13CC26" w14:textId="77777777" w:rsidR="006877C1" w:rsidRPr="004254D2" w:rsidRDefault="006877C1"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2040</w:t>
            </w:r>
          </w:p>
        </w:tc>
        <w:tc>
          <w:tcPr>
            <w:tcW w:w="724" w:type="dxa"/>
            <w:shd w:val="clear" w:color="auto" w:fill="1F497D"/>
            <w:noWrap/>
            <w:vAlign w:val="center"/>
            <w:hideMark/>
          </w:tcPr>
          <w:p w14:paraId="2B8BD008" w14:textId="77777777" w:rsidR="006877C1" w:rsidRPr="004254D2" w:rsidRDefault="006877C1"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2045</w:t>
            </w:r>
          </w:p>
        </w:tc>
        <w:tc>
          <w:tcPr>
            <w:tcW w:w="725" w:type="dxa"/>
            <w:shd w:val="clear" w:color="auto" w:fill="1F497D"/>
            <w:noWrap/>
            <w:vAlign w:val="center"/>
            <w:hideMark/>
          </w:tcPr>
          <w:p w14:paraId="2DB8910F" w14:textId="77777777" w:rsidR="006877C1" w:rsidRPr="004254D2" w:rsidRDefault="006877C1"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2050</w:t>
            </w:r>
          </w:p>
        </w:tc>
      </w:tr>
      <w:tr w:rsidR="006877C1" w:rsidRPr="003B4324" w14:paraId="238358C6" w14:textId="77777777" w:rsidTr="0057310C">
        <w:trPr>
          <w:trHeight w:val="300"/>
        </w:trPr>
        <w:tc>
          <w:tcPr>
            <w:tcW w:w="1661" w:type="dxa"/>
            <w:shd w:val="clear" w:color="auto" w:fill="E7E6E6"/>
            <w:noWrap/>
            <w:vAlign w:val="bottom"/>
            <w:hideMark/>
          </w:tcPr>
          <w:p w14:paraId="02191AE6" w14:textId="77777777" w:rsidR="006877C1" w:rsidRPr="004254D2" w:rsidRDefault="006877C1" w:rsidP="0057310C">
            <w:pPr>
              <w:spacing w:after="0" w:line="240" w:lineRule="auto"/>
              <w:jc w:val="left"/>
              <w:rPr>
                <w:rFonts w:ascii="Calibri Light" w:hAnsi="Calibri Light" w:cs="Calibri Light"/>
                <w:color w:val="000000" w:themeColor="text1"/>
              </w:rPr>
            </w:pPr>
            <w:r w:rsidRPr="002574F2">
              <w:rPr>
                <w:rFonts w:ascii="Calibri Light" w:hAnsi="Calibri Light" w:cs="Calibri Light"/>
                <w:color w:val="000000" w:themeColor="text1"/>
              </w:rPr>
              <w:t>WEM</w:t>
            </w:r>
          </w:p>
        </w:tc>
        <w:tc>
          <w:tcPr>
            <w:tcW w:w="724" w:type="dxa"/>
            <w:noWrap/>
            <w:hideMark/>
          </w:tcPr>
          <w:p w14:paraId="1829A3B4" w14:textId="77777777" w:rsidR="006877C1" w:rsidRPr="004254D2" w:rsidRDefault="006877C1"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3986</w:t>
            </w:r>
          </w:p>
        </w:tc>
        <w:tc>
          <w:tcPr>
            <w:tcW w:w="724" w:type="dxa"/>
            <w:noWrap/>
            <w:hideMark/>
          </w:tcPr>
          <w:p w14:paraId="1079E213" w14:textId="77777777" w:rsidR="006877C1" w:rsidRPr="002574F2" w:rsidRDefault="006877C1"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4415</w:t>
            </w:r>
          </w:p>
        </w:tc>
        <w:tc>
          <w:tcPr>
            <w:tcW w:w="724" w:type="dxa"/>
            <w:noWrap/>
            <w:hideMark/>
          </w:tcPr>
          <w:p w14:paraId="2EE2A76E" w14:textId="77777777" w:rsidR="006877C1" w:rsidRPr="002574F2" w:rsidRDefault="006877C1"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4527</w:t>
            </w:r>
          </w:p>
        </w:tc>
        <w:tc>
          <w:tcPr>
            <w:tcW w:w="725" w:type="dxa"/>
            <w:noWrap/>
            <w:hideMark/>
          </w:tcPr>
          <w:p w14:paraId="483DE719" w14:textId="77777777" w:rsidR="006877C1" w:rsidRPr="002574F2" w:rsidRDefault="006877C1"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4622</w:t>
            </w:r>
          </w:p>
        </w:tc>
        <w:tc>
          <w:tcPr>
            <w:tcW w:w="724" w:type="dxa"/>
            <w:noWrap/>
            <w:hideMark/>
          </w:tcPr>
          <w:p w14:paraId="09D79682" w14:textId="77777777" w:rsidR="006877C1" w:rsidRPr="002574F2" w:rsidRDefault="006877C1"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4628</w:t>
            </w:r>
          </w:p>
        </w:tc>
        <w:tc>
          <w:tcPr>
            <w:tcW w:w="724" w:type="dxa"/>
            <w:noWrap/>
            <w:hideMark/>
          </w:tcPr>
          <w:p w14:paraId="2EB5A656" w14:textId="77777777" w:rsidR="006877C1" w:rsidRPr="002574F2" w:rsidRDefault="006877C1"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4608</w:t>
            </w:r>
          </w:p>
        </w:tc>
        <w:tc>
          <w:tcPr>
            <w:tcW w:w="724" w:type="dxa"/>
            <w:noWrap/>
            <w:hideMark/>
          </w:tcPr>
          <w:p w14:paraId="09BAF20F" w14:textId="77777777" w:rsidR="006877C1" w:rsidRPr="002574F2" w:rsidRDefault="006877C1"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4616</w:t>
            </w:r>
          </w:p>
        </w:tc>
        <w:tc>
          <w:tcPr>
            <w:tcW w:w="725" w:type="dxa"/>
            <w:noWrap/>
            <w:hideMark/>
          </w:tcPr>
          <w:p w14:paraId="63E4E17E" w14:textId="77777777" w:rsidR="006877C1" w:rsidRPr="002574F2" w:rsidRDefault="006877C1"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4379</w:t>
            </w:r>
          </w:p>
        </w:tc>
        <w:tc>
          <w:tcPr>
            <w:tcW w:w="724" w:type="dxa"/>
            <w:noWrap/>
            <w:hideMark/>
          </w:tcPr>
          <w:p w14:paraId="5EAB99E1" w14:textId="77777777" w:rsidR="006877C1" w:rsidRPr="002574F2" w:rsidRDefault="006877C1"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4140</w:t>
            </w:r>
          </w:p>
        </w:tc>
        <w:tc>
          <w:tcPr>
            <w:tcW w:w="724" w:type="dxa"/>
            <w:noWrap/>
            <w:hideMark/>
          </w:tcPr>
          <w:p w14:paraId="783B3749" w14:textId="77777777" w:rsidR="006877C1" w:rsidRPr="002574F2" w:rsidRDefault="006877C1"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3865</w:t>
            </w:r>
          </w:p>
        </w:tc>
        <w:tc>
          <w:tcPr>
            <w:tcW w:w="725" w:type="dxa"/>
            <w:noWrap/>
            <w:hideMark/>
          </w:tcPr>
          <w:p w14:paraId="12C4D09A" w14:textId="77777777" w:rsidR="006877C1" w:rsidRPr="002574F2" w:rsidRDefault="006877C1"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3502</w:t>
            </w:r>
          </w:p>
        </w:tc>
      </w:tr>
      <w:tr w:rsidR="006877C1" w:rsidRPr="003B4324" w14:paraId="1E94EBF9" w14:textId="77777777" w:rsidTr="0057310C">
        <w:trPr>
          <w:trHeight w:val="300"/>
        </w:trPr>
        <w:tc>
          <w:tcPr>
            <w:tcW w:w="1661" w:type="dxa"/>
            <w:shd w:val="clear" w:color="auto" w:fill="E7E6E6"/>
            <w:noWrap/>
            <w:vAlign w:val="bottom"/>
            <w:hideMark/>
          </w:tcPr>
          <w:p w14:paraId="00F15995" w14:textId="4A469EDB" w:rsidR="006877C1" w:rsidRPr="004254D2" w:rsidRDefault="006877C1" w:rsidP="006877C1">
            <w:pPr>
              <w:spacing w:after="0" w:line="240" w:lineRule="auto"/>
              <w:jc w:val="left"/>
              <w:rPr>
                <w:rFonts w:ascii="Calibri Light" w:hAnsi="Calibri Light" w:cs="Calibri Light"/>
                <w:color w:val="000000" w:themeColor="text1"/>
              </w:rPr>
            </w:pPr>
            <w:r>
              <w:rPr>
                <w:rFonts w:ascii="Calibri Light" w:hAnsi="Calibri Light" w:cs="Calibri Light"/>
                <w:color w:val="000000" w:themeColor="text1"/>
              </w:rPr>
              <w:t>Сценарио</w:t>
            </w:r>
            <w:r w:rsidRPr="003208FA">
              <w:rPr>
                <w:rFonts w:ascii="Calibri Light" w:hAnsi="Calibri Light" w:cs="Calibri Light"/>
                <w:color w:val="000000" w:themeColor="text1"/>
              </w:rPr>
              <w:t>-S</w:t>
            </w:r>
          </w:p>
        </w:tc>
        <w:tc>
          <w:tcPr>
            <w:tcW w:w="724" w:type="dxa"/>
            <w:noWrap/>
            <w:hideMark/>
          </w:tcPr>
          <w:p w14:paraId="46065EB4" w14:textId="77777777" w:rsidR="006877C1" w:rsidRPr="004254D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3985</w:t>
            </w:r>
          </w:p>
        </w:tc>
        <w:tc>
          <w:tcPr>
            <w:tcW w:w="724" w:type="dxa"/>
            <w:noWrap/>
            <w:hideMark/>
          </w:tcPr>
          <w:p w14:paraId="7D6BF45B"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4262</w:t>
            </w:r>
          </w:p>
        </w:tc>
        <w:tc>
          <w:tcPr>
            <w:tcW w:w="724" w:type="dxa"/>
            <w:noWrap/>
            <w:hideMark/>
          </w:tcPr>
          <w:p w14:paraId="318A51FA"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4303</w:t>
            </w:r>
          </w:p>
        </w:tc>
        <w:tc>
          <w:tcPr>
            <w:tcW w:w="725" w:type="dxa"/>
            <w:noWrap/>
            <w:hideMark/>
          </w:tcPr>
          <w:p w14:paraId="2277B4AC"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4355</w:t>
            </w:r>
          </w:p>
        </w:tc>
        <w:tc>
          <w:tcPr>
            <w:tcW w:w="724" w:type="dxa"/>
            <w:noWrap/>
            <w:hideMark/>
          </w:tcPr>
          <w:p w14:paraId="655ADD95"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4289</w:t>
            </w:r>
          </w:p>
        </w:tc>
        <w:tc>
          <w:tcPr>
            <w:tcW w:w="724" w:type="dxa"/>
            <w:noWrap/>
            <w:hideMark/>
          </w:tcPr>
          <w:p w14:paraId="69F398AF"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4154</w:t>
            </w:r>
          </w:p>
        </w:tc>
        <w:tc>
          <w:tcPr>
            <w:tcW w:w="724" w:type="dxa"/>
            <w:noWrap/>
            <w:hideMark/>
          </w:tcPr>
          <w:p w14:paraId="41355F92"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3990</w:t>
            </w:r>
          </w:p>
        </w:tc>
        <w:tc>
          <w:tcPr>
            <w:tcW w:w="725" w:type="dxa"/>
            <w:noWrap/>
            <w:hideMark/>
          </w:tcPr>
          <w:p w14:paraId="37A03064"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3388</w:t>
            </w:r>
          </w:p>
        </w:tc>
        <w:tc>
          <w:tcPr>
            <w:tcW w:w="724" w:type="dxa"/>
            <w:noWrap/>
            <w:hideMark/>
          </w:tcPr>
          <w:p w14:paraId="176D49B1"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2525</w:t>
            </w:r>
          </w:p>
        </w:tc>
        <w:tc>
          <w:tcPr>
            <w:tcW w:w="724" w:type="dxa"/>
            <w:noWrap/>
            <w:hideMark/>
          </w:tcPr>
          <w:p w14:paraId="56B0CB37"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1897</w:t>
            </w:r>
          </w:p>
        </w:tc>
        <w:tc>
          <w:tcPr>
            <w:tcW w:w="725" w:type="dxa"/>
            <w:noWrap/>
            <w:hideMark/>
          </w:tcPr>
          <w:p w14:paraId="5770D47F"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1448</w:t>
            </w:r>
          </w:p>
        </w:tc>
      </w:tr>
      <w:tr w:rsidR="006877C1" w:rsidRPr="003B4324" w14:paraId="4298B800" w14:textId="77777777" w:rsidTr="0057310C">
        <w:trPr>
          <w:trHeight w:val="300"/>
        </w:trPr>
        <w:tc>
          <w:tcPr>
            <w:tcW w:w="1661" w:type="dxa"/>
            <w:shd w:val="clear" w:color="auto" w:fill="E7E6E6"/>
            <w:noWrap/>
            <w:vAlign w:val="bottom"/>
            <w:hideMark/>
          </w:tcPr>
          <w:p w14:paraId="522D6F25" w14:textId="1A1BB17C" w:rsidR="006877C1" w:rsidRPr="004254D2" w:rsidRDefault="006877C1" w:rsidP="006877C1">
            <w:pPr>
              <w:spacing w:after="0" w:line="240" w:lineRule="auto"/>
              <w:jc w:val="left"/>
              <w:rPr>
                <w:rFonts w:ascii="Calibri Light" w:hAnsi="Calibri Light" w:cs="Calibri Light"/>
                <w:color w:val="000000" w:themeColor="text1"/>
              </w:rPr>
            </w:pPr>
            <w:r w:rsidRPr="009F1D0C">
              <w:rPr>
                <w:rFonts w:ascii="Calibri Light" w:hAnsi="Calibri Light" w:cs="Calibri Light"/>
                <w:color w:val="000000" w:themeColor="text1"/>
              </w:rPr>
              <w:t>Сценарио</w:t>
            </w:r>
            <w:r w:rsidRPr="003208FA">
              <w:rPr>
                <w:rFonts w:ascii="Calibri Light" w:hAnsi="Calibri Light" w:cs="Calibri Light"/>
                <w:color w:val="000000" w:themeColor="text1"/>
              </w:rPr>
              <w:t>-S-N</w:t>
            </w:r>
          </w:p>
        </w:tc>
        <w:tc>
          <w:tcPr>
            <w:tcW w:w="724" w:type="dxa"/>
            <w:noWrap/>
            <w:hideMark/>
          </w:tcPr>
          <w:p w14:paraId="340DC76B" w14:textId="77777777" w:rsidR="006877C1" w:rsidRPr="004254D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3985</w:t>
            </w:r>
          </w:p>
        </w:tc>
        <w:tc>
          <w:tcPr>
            <w:tcW w:w="724" w:type="dxa"/>
            <w:noWrap/>
            <w:hideMark/>
          </w:tcPr>
          <w:p w14:paraId="0FA819B5"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4262</w:t>
            </w:r>
          </w:p>
        </w:tc>
        <w:tc>
          <w:tcPr>
            <w:tcW w:w="724" w:type="dxa"/>
            <w:noWrap/>
            <w:hideMark/>
          </w:tcPr>
          <w:p w14:paraId="3EEEF352"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4303</w:t>
            </w:r>
          </w:p>
        </w:tc>
        <w:tc>
          <w:tcPr>
            <w:tcW w:w="725" w:type="dxa"/>
            <w:noWrap/>
            <w:hideMark/>
          </w:tcPr>
          <w:p w14:paraId="6FF95DF6"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4355</w:t>
            </w:r>
          </w:p>
        </w:tc>
        <w:tc>
          <w:tcPr>
            <w:tcW w:w="724" w:type="dxa"/>
            <w:noWrap/>
            <w:hideMark/>
          </w:tcPr>
          <w:p w14:paraId="4C96AA04"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4289</w:t>
            </w:r>
          </w:p>
        </w:tc>
        <w:tc>
          <w:tcPr>
            <w:tcW w:w="724" w:type="dxa"/>
            <w:noWrap/>
            <w:hideMark/>
          </w:tcPr>
          <w:p w14:paraId="4B053AD6"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4154</w:t>
            </w:r>
          </w:p>
        </w:tc>
        <w:tc>
          <w:tcPr>
            <w:tcW w:w="724" w:type="dxa"/>
            <w:noWrap/>
            <w:hideMark/>
          </w:tcPr>
          <w:p w14:paraId="22AF065A"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3990</w:t>
            </w:r>
          </w:p>
        </w:tc>
        <w:tc>
          <w:tcPr>
            <w:tcW w:w="725" w:type="dxa"/>
            <w:noWrap/>
            <w:hideMark/>
          </w:tcPr>
          <w:p w14:paraId="2F935FAC"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3388</w:t>
            </w:r>
          </w:p>
        </w:tc>
        <w:tc>
          <w:tcPr>
            <w:tcW w:w="724" w:type="dxa"/>
            <w:noWrap/>
            <w:hideMark/>
          </w:tcPr>
          <w:p w14:paraId="43CA0D12"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2541</w:t>
            </w:r>
          </w:p>
        </w:tc>
        <w:tc>
          <w:tcPr>
            <w:tcW w:w="724" w:type="dxa"/>
            <w:noWrap/>
            <w:hideMark/>
          </w:tcPr>
          <w:p w14:paraId="39643F3C"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1715</w:t>
            </w:r>
          </w:p>
        </w:tc>
        <w:tc>
          <w:tcPr>
            <w:tcW w:w="725" w:type="dxa"/>
            <w:noWrap/>
            <w:hideMark/>
          </w:tcPr>
          <w:p w14:paraId="55DAB684" w14:textId="77777777" w:rsidR="006877C1" w:rsidRPr="002574F2" w:rsidRDefault="006877C1" w:rsidP="006877C1">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1204</w:t>
            </w:r>
          </w:p>
        </w:tc>
      </w:tr>
    </w:tbl>
    <w:p w14:paraId="5C78148D" w14:textId="34E9099A" w:rsidR="009F1D0C" w:rsidRPr="00565B02" w:rsidRDefault="00B91F38" w:rsidP="00B91F38">
      <w:pPr>
        <w:pStyle w:val="Heading4"/>
        <w:numPr>
          <w:ilvl w:val="0"/>
          <w:numId w:val="309"/>
        </w:numPr>
        <w:rPr>
          <w:lang w:val="sr-Cyrl-RS"/>
        </w:rPr>
      </w:pPr>
      <w:r w:rsidRPr="00565B02">
        <w:rPr>
          <w:lang w:val="sr-Cyrl-RS"/>
        </w:rPr>
        <w:t>Сектор електроенергетике</w:t>
      </w:r>
    </w:p>
    <w:p w14:paraId="05DC9D1A" w14:textId="7B155235" w:rsidR="00873C40" w:rsidRDefault="00873C40" w:rsidP="00565B02">
      <w:pPr>
        <w:pStyle w:val="Caption"/>
        <w:keepNext/>
        <w:spacing w:before="200"/>
      </w:pPr>
      <w:bookmarkStart w:id="528" w:name="_Toc153901503"/>
      <w:r>
        <w:t xml:space="preserve">Табела </w:t>
      </w:r>
      <w:r>
        <w:fldChar w:fldCharType="begin"/>
      </w:r>
      <w:r>
        <w:instrText xml:space="preserve"> STYLEREF 1 \s </w:instrText>
      </w:r>
      <w:r>
        <w:fldChar w:fldCharType="separate"/>
      </w:r>
      <w:r>
        <w:rPr>
          <w:noProof/>
        </w:rPr>
        <w:t>V</w:t>
      </w:r>
      <w:r>
        <w:fldChar w:fldCharType="end"/>
      </w:r>
      <w:r>
        <w:t>.</w:t>
      </w:r>
      <w:r>
        <w:fldChar w:fldCharType="begin"/>
      </w:r>
      <w:r>
        <w:instrText xml:space="preserve"> SEQ Табела \* ARABIC \s 1 </w:instrText>
      </w:r>
      <w:r>
        <w:fldChar w:fldCharType="separate"/>
      </w:r>
      <w:r>
        <w:rPr>
          <w:noProof/>
        </w:rPr>
        <w:t>8</w:t>
      </w:r>
      <w:r>
        <w:fldChar w:fldCharType="end"/>
      </w:r>
      <w:r w:rsidRPr="00873C40">
        <w:t>: Производња електричне енергије по типу извора (TWh)</w:t>
      </w:r>
      <w:bookmarkEnd w:id="528"/>
    </w:p>
    <w:tbl>
      <w:tblPr>
        <w:tblStyle w:val="TableGrid"/>
        <w:tblW w:w="9776" w:type="dxa"/>
        <w:tblLayout w:type="fixed"/>
        <w:tblLook w:val="04A0" w:firstRow="1" w:lastRow="0" w:firstColumn="1" w:lastColumn="0" w:noHBand="0" w:noVBand="1"/>
      </w:tblPr>
      <w:tblGrid>
        <w:gridCol w:w="1271"/>
        <w:gridCol w:w="709"/>
        <w:gridCol w:w="992"/>
        <w:gridCol w:w="709"/>
        <w:gridCol w:w="992"/>
        <w:gridCol w:w="851"/>
        <w:gridCol w:w="1134"/>
        <w:gridCol w:w="850"/>
        <w:gridCol w:w="709"/>
        <w:gridCol w:w="709"/>
        <w:gridCol w:w="850"/>
      </w:tblGrid>
      <w:tr w:rsidR="00B91F38" w:rsidRPr="003B4324" w14:paraId="647B0EFA" w14:textId="77777777" w:rsidTr="000A2AFE">
        <w:trPr>
          <w:trHeight w:val="300"/>
        </w:trPr>
        <w:tc>
          <w:tcPr>
            <w:tcW w:w="1271" w:type="dxa"/>
            <w:tcBorders>
              <w:bottom w:val="single" w:sz="12" w:space="0" w:color="auto"/>
            </w:tcBorders>
            <w:shd w:val="clear" w:color="auto" w:fill="404040"/>
            <w:noWrap/>
            <w:vAlign w:val="center"/>
            <w:hideMark/>
          </w:tcPr>
          <w:p w14:paraId="14A53C5C" w14:textId="0FEFFDAE" w:rsidR="00B91F38" w:rsidRPr="000A2AFE" w:rsidRDefault="00B91F38" w:rsidP="0057310C">
            <w:pPr>
              <w:spacing w:after="0" w:line="240" w:lineRule="auto"/>
              <w:jc w:val="center"/>
              <w:rPr>
                <w:rFonts w:ascii="Calibri Light" w:hAnsi="Calibri Light" w:cs="Calibri Light"/>
                <w:color w:val="000000" w:themeColor="text1"/>
                <w:sz w:val="18"/>
                <w:szCs w:val="18"/>
              </w:rPr>
            </w:pPr>
            <w:bookmarkStart w:id="529" w:name="_Hlk148961916"/>
            <w:r w:rsidRPr="000A2AFE">
              <w:rPr>
                <w:rFonts w:ascii="Calibri Light" w:hAnsi="Calibri Light" w:cs="Calibri Light"/>
                <w:color w:val="FFFFFF" w:themeColor="background1"/>
                <w:sz w:val="18"/>
                <w:szCs w:val="18"/>
              </w:rPr>
              <w:t xml:space="preserve">Производња електричне енергије по </w:t>
            </w:r>
            <w:r w:rsidR="000C6670" w:rsidRPr="000A2AFE">
              <w:rPr>
                <w:rFonts w:ascii="Calibri Light" w:hAnsi="Calibri Light" w:cs="Calibri Light"/>
                <w:color w:val="FFFFFF" w:themeColor="background1"/>
                <w:sz w:val="18"/>
                <w:szCs w:val="18"/>
              </w:rPr>
              <w:t xml:space="preserve">типу </w:t>
            </w:r>
            <w:r w:rsidRPr="000A2AFE">
              <w:rPr>
                <w:rFonts w:ascii="Calibri Light" w:hAnsi="Calibri Light" w:cs="Calibri Light"/>
                <w:color w:val="FFFFFF" w:themeColor="background1"/>
                <w:sz w:val="18"/>
                <w:szCs w:val="18"/>
              </w:rPr>
              <w:t>извор</w:t>
            </w:r>
            <w:r w:rsidR="000C6670" w:rsidRPr="000A2AFE">
              <w:rPr>
                <w:rFonts w:ascii="Calibri Light" w:hAnsi="Calibri Light" w:cs="Calibri Light"/>
                <w:color w:val="FFFFFF" w:themeColor="background1"/>
                <w:sz w:val="18"/>
                <w:szCs w:val="18"/>
              </w:rPr>
              <w:t>а</w:t>
            </w:r>
            <w:r w:rsidRPr="000A2AFE">
              <w:rPr>
                <w:rFonts w:ascii="Calibri Light" w:hAnsi="Calibri Light" w:cs="Calibri Light"/>
                <w:color w:val="FFFFFF" w:themeColor="background1"/>
                <w:sz w:val="18"/>
                <w:szCs w:val="18"/>
              </w:rPr>
              <w:t xml:space="preserve"> (TWh)</w:t>
            </w:r>
          </w:p>
        </w:tc>
        <w:tc>
          <w:tcPr>
            <w:tcW w:w="709" w:type="dxa"/>
            <w:tcBorders>
              <w:bottom w:val="single" w:sz="12" w:space="0" w:color="auto"/>
            </w:tcBorders>
            <w:shd w:val="clear" w:color="auto" w:fill="1F497D"/>
            <w:noWrap/>
            <w:vAlign w:val="center"/>
            <w:hideMark/>
          </w:tcPr>
          <w:p w14:paraId="220952B7" w14:textId="6F920ABB" w:rsidR="00B91F38" w:rsidRPr="000A2AFE" w:rsidRDefault="00B91F38" w:rsidP="0057310C">
            <w:pPr>
              <w:spacing w:after="0" w:line="240" w:lineRule="auto"/>
              <w:jc w:val="center"/>
              <w:rPr>
                <w:rFonts w:ascii="Calibri Light" w:hAnsi="Calibri Light" w:cs="Calibri Light"/>
                <w:color w:val="FFFFFF" w:themeColor="background1"/>
                <w:sz w:val="16"/>
                <w:szCs w:val="16"/>
              </w:rPr>
            </w:pPr>
            <w:r w:rsidRPr="000A2AFE">
              <w:rPr>
                <w:rFonts w:ascii="Calibri Light" w:hAnsi="Calibri Light" w:cs="Calibri Light"/>
                <w:color w:val="FFFFFF" w:themeColor="background1"/>
                <w:sz w:val="16"/>
                <w:szCs w:val="16"/>
              </w:rPr>
              <w:t>Година</w:t>
            </w:r>
          </w:p>
        </w:tc>
        <w:tc>
          <w:tcPr>
            <w:tcW w:w="992" w:type="dxa"/>
            <w:tcBorders>
              <w:bottom w:val="single" w:sz="12" w:space="0" w:color="auto"/>
            </w:tcBorders>
            <w:shd w:val="clear" w:color="auto" w:fill="1F497D"/>
            <w:noWrap/>
            <w:vAlign w:val="center"/>
            <w:hideMark/>
          </w:tcPr>
          <w:p w14:paraId="5AB70049" w14:textId="4248E63B" w:rsidR="00B91F38" w:rsidRPr="000A2AFE" w:rsidRDefault="00B91F38" w:rsidP="0057310C">
            <w:pPr>
              <w:spacing w:after="0" w:line="240" w:lineRule="auto"/>
              <w:jc w:val="center"/>
              <w:rPr>
                <w:rFonts w:ascii="Calibri Light" w:hAnsi="Calibri Light" w:cs="Calibri Light"/>
                <w:color w:val="FFFFFF" w:themeColor="background1"/>
                <w:sz w:val="16"/>
                <w:szCs w:val="16"/>
              </w:rPr>
            </w:pPr>
            <w:r w:rsidRPr="000A2AFE">
              <w:rPr>
                <w:rFonts w:ascii="Calibri Light" w:hAnsi="Calibri Light" w:cs="Calibri Light"/>
                <w:color w:val="FFFFFF" w:themeColor="background1"/>
                <w:sz w:val="16"/>
                <w:szCs w:val="16"/>
              </w:rPr>
              <w:t>Нуклеарна енергија</w:t>
            </w:r>
          </w:p>
        </w:tc>
        <w:tc>
          <w:tcPr>
            <w:tcW w:w="709" w:type="dxa"/>
            <w:tcBorders>
              <w:bottom w:val="single" w:sz="12" w:space="0" w:color="auto"/>
            </w:tcBorders>
            <w:shd w:val="clear" w:color="auto" w:fill="1F497D"/>
            <w:noWrap/>
            <w:vAlign w:val="center"/>
            <w:hideMark/>
          </w:tcPr>
          <w:p w14:paraId="3992C723" w14:textId="35C0DA39" w:rsidR="00B91F38" w:rsidRPr="000A2AFE" w:rsidRDefault="00B91F38" w:rsidP="0057310C">
            <w:pPr>
              <w:spacing w:after="0" w:line="240" w:lineRule="auto"/>
              <w:jc w:val="center"/>
              <w:rPr>
                <w:rFonts w:ascii="Calibri Light" w:hAnsi="Calibri Light" w:cs="Calibri Light"/>
                <w:color w:val="FFFFFF" w:themeColor="background1"/>
                <w:sz w:val="16"/>
                <w:szCs w:val="16"/>
              </w:rPr>
            </w:pPr>
            <w:r w:rsidRPr="000A2AFE">
              <w:rPr>
                <w:rFonts w:ascii="Calibri Light" w:hAnsi="Calibri Light" w:cs="Calibri Light"/>
                <w:color w:val="FFFFFF" w:themeColor="background1"/>
                <w:sz w:val="16"/>
                <w:szCs w:val="16"/>
              </w:rPr>
              <w:t>Чврста горива</w:t>
            </w:r>
          </w:p>
        </w:tc>
        <w:tc>
          <w:tcPr>
            <w:tcW w:w="992" w:type="dxa"/>
            <w:tcBorders>
              <w:bottom w:val="single" w:sz="12" w:space="0" w:color="auto"/>
            </w:tcBorders>
            <w:shd w:val="clear" w:color="auto" w:fill="1F497D"/>
            <w:noWrap/>
            <w:vAlign w:val="center"/>
            <w:hideMark/>
          </w:tcPr>
          <w:p w14:paraId="4EEE62A7" w14:textId="07B35510" w:rsidR="00B91F38" w:rsidRPr="000A2AFE" w:rsidRDefault="00B91F38" w:rsidP="0057310C">
            <w:pPr>
              <w:spacing w:after="0" w:line="240" w:lineRule="auto"/>
              <w:jc w:val="center"/>
              <w:rPr>
                <w:rFonts w:ascii="Calibri Light" w:hAnsi="Calibri Light" w:cs="Calibri Light"/>
                <w:color w:val="FFFFFF" w:themeColor="background1"/>
                <w:sz w:val="16"/>
                <w:szCs w:val="16"/>
              </w:rPr>
            </w:pPr>
            <w:r w:rsidRPr="000A2AFE">
              <w:rPr>
                <w:rFonts w:ascii="Calibri Light" w:hAnsi="Calibri Light" w:cs="Calibri Light"/>
                <w:color w:val="FFFFFF" w:themeColor="background1"/>
                <w:sz w:val="16"/>
                <w:szCs w:val="16"/>
              </w:rPr>
              <w:t>Деривати нафте</w:t>
            </w:r>
          </w:p>
        </w:tc>
        <w:tc>
          <w:tcPr>
            <w:tcW w:w="851" w:type="dxa"/>
            <w:tcBorders>
              <w:bottom w:val="single" w:sz="12" w:space="0" w:color="auto"/>
            </w:tcBorders>
            <w:shd w:val="clear" w:color="auto" w:fill="1F497D"/>
            <w:noWrap/>
            <w:vAlign w:val="center"/>
            <w:hideMark/>
          </w:tcPr>
          <w:p w14:paraId="2A4B91D0" w14:textId="2B9F10A7" w:rsidR="00B91F38" w:rsidRPr="000A2AFE" w:rsidRDefault="00B91F38" w:rsidP="0057310C">
            <w:pPr>
              <w:spacing w:after="0" w:line="240" w:lineRule="auto"/>
              <w:jc w:val="center"/>
              <w:rPr>
                <w:rFonts w:ascii="Calibri Light" w:hAnsi="Calibri Light" w:cs="Calibri Light"/>
                <w:color w:val="FFFFFF" w:themeColor="background1"/>
                <w:sz w:val="16"/>
                <w:szCs w:val="16"/>
              </w:rPr>
            </w:pPr>
            <w:r w:rsidRPr="000A2AFE">
              <w:rPr>
                <w:rFonts w:ascii="Calibri Light" w:hAnsi="Calibri Light" w:cs="Calibri Light"/>
                <w:color w:val="FFFFFF" w:themeColor="background1"/>
                <w:sz w:val="16"/>
                <w:szCs w:val="16"/>
              </w:rPr>
              <w:t>Природни гас</w:t>
            </w:r>
          </w:p>
        </w:tc>
        <w:tc>
          <w:tcPr>
            <w:tcW w:w="1134" w:type="dxa"/>
            <w:tcBorders>
              <w:bottom w:val="single" w:sz="12" w:space="0" w:color="auto"/>
            </w:tcBorders>
            <w:shd w:val="clear" w:color="auto" w:fill="1F497D"/>
            <w:noWrap/>
            <w:vAlign w:val="center"/>
            <w:hideMark/>
          </w:tcPr>
          <w:p w14:paraId="302596AE" w14:textId="6D4E5026" w:rsidR="00B91F38" w:rsidRPr="000A2AFE" w:rsidRDefault="000C6670" w:rsidP="0057310C">
            <w:pPr>
              <w:spacing w:after="0" w:line="240" w:lineRule="auto"/>
              <w:jc w:val="center"/>
              <w:rPr>
                <w:rFonts w:ascii="Calibri Light" w:hAnsi="Calibri Light" w:cs="Calibri Light"/>
                <w:color w:val="FFFFFF" w:themeColor="background1"/>
                <w:sz w:val="16"/>
                <w:szCs w:val="16"/>
              </w:rPr>
            </w:pPr>
            <w:r w:rsidRPr="000A2AFE">
              <w:rPr>
                <w:rFonts w:ascii="Calibri Light" w:hAnsi="Calibri Light" w:cs="Calibri Light"/>
                <w:color w:val="FFFFFF" w:themeColor="background1"/>
                <w:sz w:val="16"/>
                <w:szCs w:val="16"/>
              </w:rPr>
              <w:t>Биоенергија и отпад</w:t>
            </w:r>
          </w:p>
        </w:tc>
        <w:tc>
          <w:tcPr>
            <w:tcW w:w="850" w:type="dxa"/>
            <w:tcBorders>
              <w:bottom w:val="single" w:sz="12" w:space="0" w:color="auto"/>
            </w:tcBorders>
            <w:shd w:val="clear" w:color="auto" w:fill="1F497D"/>
            <w:noWrap/>
            <w:vAlign w:val="center"/>
            <w:hideMark/>
          </w:tcPr>
          <w:p w14:paraId="2D125AF1" w14:textId="74F0ED77" w:rsidR="00B91F38" w:rsidRPr="000A2AFE" w:rsidRDefault="000C6670" w:rsidP="0057310C">
            <w:pPr>
              <w:spacing w:after="0" w:line="240" w:lineRule="auto"/>
              <w:jc w:val="center"/>
              <w:rPr>
                <w:rFonts w:ascii="Calibri Light" w:hAnsi="Calibri Light" w:cs="Calibri Light"/>
                <w:color w:val="FFFFFF" w:themeColor="background1"/>
                <w:sz w:val="16"/>
                <w:szCs w:val="16"/>
              </w:rPr>
            </w:pPr>
            <w:r w:rsidRPr="000A2AFE">
              <w:rPr>
                <w:rFonts w:ascii="Calibri Light" w:hAnsi="Calibri Light" w:cs="Calibri Light"/>
                <w:color w:val="FFFFFF" w:themeColor="background1"/>
                <w:sz w:val="16"/>
                <w:szCs w:val="16"/>
              </w:rPr>
              <w:t>Хидроенергија</w:t>
            </w:r>
          </w:p>
        </w:tc>
        <w:tc>
          <w:tcPr>
            <w:tcW w:w="709" w:type="dxa"/>
            <w:tcBorders>
              <w:bottom w:val="single" w:sz="12" w:space="0" w:color="auto"/>
            </w:tcBorders>
            <w:shd w:val="clear" w:color="auto" w:fill="1F497D"/>
            <w:noWrap/>
            <w:vAlign w:val="center"/>
            <w:hideMark/>
          </w:tcPr>
          <w:p w14:paraId="34379F33" w14:textId="48FF7080" w:rsidR="00B91F38" w:rsidRPr="000A2AFE" w:rsidRDefault="00B91F38" w:rsidP="0057310C">
            <w:pPr>
              <w:spacing w:after="0" w:line="240" w:lineRule="auto"/>
              <w:jc w:val="center"/>
              <w:rPr>
                <w:rFonts w:ascii="Calibri Light" w:hAnsi="Calibri Light" w:cs="Calibri Light"/>
                <w:color w:val="FFFFFF" w:themeColor="background1"/>
                <w:sz w:val="16"/>
                <w:szCs w:val="16"/>
              </w:rPr>
            </w:pPr>
            <w:r w:rsidRPr="000A2AFE">
              <w:rPr>
                <w:rFonts w:ascii="Calibri Light" w:hAnsi="Calibri Light" w:cs="Calibri Light"/>
                <w:color w:val="FFFFFF" w:themeColor="background1"/>
                <w:sz w:val="16"/>
                <w:szCs w:val="16"/>
              </w:rPr>
              <w:t>Ветар</w:t>
            </w:r>
          </w:p>
        </w:tc>
        <w:tc>
          <w:tcPr>
            <w:tcW w:w="709" w:type="dxa"/>
            <w:tcBorders>
              <w:bottom w:val="single" w:sz="12" w:space="0" w:color="auto"/>
            </w:tcBorders>
            <w:shd w:val="clear" w:color="auto" w:fill="1F497D"/>
            <w:noWrap/>
            <w:vAlign w:val="center"/>
            <w:hideMark/>
          </w:tcPr>
          <w:p w14:paraId="54E34496" w14:textId="4B7210F8" w:rsidR="00B91F38" w:rsidRPr="000A2AFE" w:rsidRDefault="00B91F38" w:rsidP="0057310C">
            <w:pPr>
              <w:spacing w:after="0" w:line="240" w:lineRule="auto"/>
              <w:jc w:val="center"/>
              <w:rPr>
                <w:rFonts w:ascii="Calibri Light" w:hAnsi="Calibri Light" w:cs="Calibri Light"/>
                <w:color w:val="FFFFFF" w:themeColor="background1"/>
                <w:sz w:val="16"/>
                <w:szCs w:val="16"/>
              </w:rPr>
            </w:pPr>
            <w:r w:rsidRPr="000A2AFE">
              <w:rPr>
                <w:rFonts w:ascii="Calibri Light" w:hAnsi="Calibri Light" w:cs="Calibri Light"/>
                <w:color w:val="FFFFFF" w:themeColor="background1"/>
                <w:sz w:val="16"/>
                <w:szCs w:val="16"/>
              </w:rPr>
              <w:t>Сунце</w:t>
            </w:r>
          </w:p>
        </w:tc>
        <w:tc>
          <w:tcPr>
            <w:tcW w:w="850" w:type="dxa"/>
            <w:tcBorders>
              <w:bottom w:val="single" w:sz="12" w:space="0" w:color="auto"/>
            </w:tcBorders>
            <w:shd w:val="clear" w:color="auto" w:fill="1F497D"/>
            <w:noWrap/>
            <w:vAlign w:val="center"/>
            <w:hideMark/>
          </w:tcPr>
          <w:p w14:paraId="2DCB1F43" w14:textId="66A73BFB" w:rsidR="00B91F38" w:rsidRPr="000A2AFE" w:rsidRDefault="00B91F38" w:rsidP="0057310C">
            <w:pPr>
              <w:spacing w:after="0" w:line="240" w:lineRule="auto"/>
              <w:jc w:val="center"/>
              <w:rPr>
                <w:rFonts w:ascii="Calibri Light" w:hAnsi="Calibri Light" w:cs="Calibri Light"/>
                <w:color w:val="FFFFFF" w:themeColor="background1"/>
                <w:sz w:val="16"/>
                <w:szCs w:val="16"/>
              </w:rPr>
            </w:pPr>
            <w:r w:rsidRPr="000A2AFE">
              <w:rPr>
                <w:rFonts w:ascii="Calibri Light" w:hAnsi="Calibri Light" w:cs="Calibri Light"/>
                <w:color w:val="FFFFFF" w:themeColor="background1"/>
                <w:sz w:val="16"/>
                <w:szCs w:val="16"/>
              </w:rPr>
              <w:t>Укупно (TWh)</w:t>
            </w:r>
          </w:p>
        </w:tc>
      </w:tr>
      <w:tr w:rsidR="00041EC2" w:rsidRPr="003B4324" w14:paraId="4DD618BD" w14:textId="77777777" w:rsidTr="000C6670">
        <w:trPr>
          <w:trHeight w:val="300"/>
        </w:trPr>
        <w:tc>
          <w:tcPr>
            <w:tcW w:w="1271" w:type="dxa"/>
            <w:vMerge w:val="restart"/>
            <w:tcBorders>
              <w:top w:val="single" w:sz="12" w:space="0" w:color="auto"/>
              <w:left w:val="single" w:sz="12" w:space="0" w:color="auto"/>
              <w:bottom w:val="single" w:sz="8" w:space="0" w:color="auto"/>
              <w:right w:val="single" w:sz="8" w:space="0" w:color="auto"/>
            </w:tcBorders>
            <w:shd w:val="clear" w:color="auto" w:fill="E7E6E6"/>
            <w:noWrap/>
            <w:vAlign w:val="center"/>
            <w:hideMark/>
          </w:tcPr>
          <w:p w14:paraId="5FFA6B27" w14:textId="77777777" w:rsidR="00041EC2" w:rsidRPr="004254D2" w:rsidRDefault="00041EC2" w:rsidP="00041EC2">
            <w:pPr>
              <w:spacing w:after="0" w:line="240" w:lineRule="auto"/>
              <w:jc w:val="left"/>
              <w:rPr>
                <w:rFonts w:ascii="Calibri Light" w:hAnsi="Calibri Light" w:cs="Calibri Light"/>
                <w:color w:val="000000" w:themeColor="text1"/>
              </w:rPr>
            </w:pPr>
            <w:r w:rsidRPr="00B37318">
              <w:rPr>
                <w:rFonts w:ascii="Calibri Light" w:hAnsi="Calibri Light" w:cs="Calibri Light"/>
                <w:color w:val="000000" w:themeColor="text1"/>
              </w:rPr>
              <w:t>WEM</w:t>
            </w:r>
          </w:p>
        </w:tc>
        <w:tc>
          <w:tcPr>
            <w:tcW w:w="709" w:type="dxa"/>
            <w:tcBorders>
              <w:top w:val="single" w:sz="12" w:space="0" w:color="auto"/>
              <w:left w:val="single" w:sz="8" w:space="0" w:color="auto"/>
              <w:bottom w:val="single" w:sz="8" w:space="0" w:color="auto"/>
              <w:right w:val="single" w:sz="8" w:space="0" w:color="auto"/>
            </w:tcBorders>
            <w:noWrap/>
            <w:hideMark/>
          </w:tcPr>
          <w:p w14:paraId="24EDAB4F" w14:textId="77777777" w:rsidR="00041EC2" w:rsidRPr="004254D2"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2019</w:t>
            </w:r>
          </w:p>
        </w:tc>
        <w:tc>
          <w:tcPr>
            <w:tcW w:w="992" w:type="dxa"/>
            <w:tcBorders>
              <w:top w:val="single" w:sz="12" w:space="0" w:color="auto"/>
              <w:left w:val="single" w:sz="8" w:space="0" w:color="auto"/>
              <w:bottom w:val="single" w:sz="8" w:space="0" w:color="auto"/>
              <w:right w:val="single" w:sz="8" w:space="0" w:color="auto"/>
            </w:tcBorders>
            <w:noWrap/>
            <w:hideMark/>
          </w:tcPr>
          <w:p w14:paraId="4CD1BE01" w14:textId="36C3CF21"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tcBorders>
              <w:top w:val="single" w:sz="12" w:space="0" w:color="auto"/>
              <w:left w:val="single" w:sz="8" w:space="0" w:color="auto"/>
              <w:bottom w:val="single" w:sz="8" w:space="0" w:color="auto"/>
              <w:right w:val="single" w:sz="8" w:space="0" w:color="auto"/>
            </w:tcBorders>
            <w:noWrap/>
            <w:hideMark/>
          </w:tcPr>
          <w:p w14:paraId="25731112" w14:textId="15615C2C"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25,45</w:t>
            </w:r>
          </w:p>
        </w:tc>
        <w:tc>
          <w:tcPr>
            <w:tcW w:w="992" w:type="dxa"/>
            <w:tcBorders>
              <w:top w:val="single" w:sz="12" w:space="0" w:color="auto"/>
              <w:left w:val="single" w:sz="8" w:space="0" w:color="auto"/>
              <w:bottom w:val="single" w:sz="8" w:space="0" w:color="auto"/>
              <w:right w:val="single" w:sz="8" w:space="0" w:color="auto"/>
            </w:tcBorders>
            <w:noWrap/>
            <w:hideMark/>
          </w:tcPr>
          <w:p w14:paraId="4A6297CF" w14:textId="1FD6168E"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0,05</w:t>
            </w:r>
          </w:p>
        </w:tc>
        <w:tc>
          <w:tcPr>
            <w:tcW w:w="851" w:type="dxa"/>
            <w:tcBorders>
              <w:top w:val="single" w:sz="12" w:space="0" w:color="auto"/>
              <w:left w:val="single" w:sz="8" w:space="0" w:color="auto"/>
              <w:bottom w:val="single" w:sz="8" w:space="0" w:color="auto"/>
              <w:right w:val="single" w:sz="8" w:space="0" w:color="auto"/>
            </w:tcBorders>
            <w:noWrap/>
            <w:hideMark/>
          </w:tcPr>
          <w:p w14:paraId="4366C9D9" w14:textId="7A859AE5"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0,73</w:t>
            </w:r>
          </w:p>
        </w:tc>
        <w:tc>
          <w:tcPr>
            <w:tcW w:w="1134" w:type="dxa"/>
            <w:tcBorders>
              <w:top w:val="single" w:sz="12" w:space="0" w:color="auto"/>
              <w:left w:val="single" w:sz="8" w:space="0" w:color="auto"/>
              <w:bottom w:val="single" w:sz="8" w:space="0" w:color="auto"/>
              <w:right w:val="single" w:sz="8" w:space="0" w:color="auto"/>
            </w:tcBorders>
            <w:noWrap/>
            <w:hideMark/>
          </w:tcPr>
          <w:p w14:paraId="595A6804" w14:textId="395DF44E"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0,16</w:t>
            </w:r>
          </w:p>
        </w:tc>
        <w:tc>
          <w:tcPr>
            <w:tcW w:w="850" w:type="dxa"/>
            <w:tcBorders>
              <w:top w:val="single" w:sz="12" w:space="0" w:color="auto"/>
              <w:left w:val="single" w:sz="8" w:space="0" w:color="auto"/>
              <w:bottom w:val="single" w:sz="8" w:space="0" w:color="auto"/>
              <w:right w:val="single" w:sz="8" w:space="0" w:color="auto"/>
            </w:tcBorders>
            <w:noWrap/>
            <w:hideMark/>
          </w:tcPr>
          <w:p w14:paraId="7C5547A7" w14:textId="0C0EBE43"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9,46</w:t>
            </w:r>
          </w:p>
        </w:tc>
        <w:tc>
          <w:tcPr>
            <w:tcW w:w="709" w:type="dxa"/>
            <w:tcBorders>
              <w:top w:val="single" w:sz="12" w:space="0" w:color="auto"/>
              <w:left w:val="single" w:sz="8" w:space="0" w:color="auto"/>
              <w:bottom w:val="single" w:sz="8" w:space="0" w:color="auto"/>
              <w:right w:val="single" w:sz="8" w:space="0" w:color="auto"/>
            </w:tcBorders>
            <w:noWrap/>
            <w:hideMark/>
          </w:tcPr>
          <w:p w14:paraId="6EAAC894" w14:textId="717516A4"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0,90</w:t>
            </w:r>
          </w:p>
        </w:tc>
        <w:tc>
          <w:tcPr>
            <w:tcW w:w="709" w:type="dxa"/>
            <w:tcBorders>
              <w:top w:val="single" w:sz="12" w:space="0" w:color="auto"/>
              <w:left w:val="single" w:sz="8" w:space="0" w:color="auto"/>
              <w:bottom w:val="single" w:sz="8" w:space="0" w:color="auto"/>
              <w:right w:val="single" w:sz="8" w:space="0" w:color="auto"/>
            </w:tcBorders>
            <w:noWrap/>
            <w:hideMark/>
          </w:tcPr>
          <w:p w14:paraId="28DDB9CC" w14:textId="7C876F1F"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0,01</w:t>
            </w:r>
          </w:p>
        </w:tc>
        <w:tc>
          <w:tcPr>
            <w:tcW w:w="850" w:type="dxa"/>
            <w:tcBorders>
              <w:top w:val="single" w:sz="12" w:space="0" w:color="auto"/>
              <w:left w:val="single" w:sz="8" w:space="0" w:color="auto"/>
              <w:bottom w:val="single" w:sz="8" w:space="0" w:color="auto"/>
              <w:right w:val="single" w:sz="12" w:space="0" w:color="auto"/>
            </w:tcBorders>
            <w:noWrap/>
            <w:hideMark/>
          </w:tcPr>
          <w:p w14:paraId="5D2D8D77" w14:textId="2500CB87"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36,75</w:t>
            </w:r>
          </w:p>
        </w:tc>
      </w:tr>
      <w:tr w:rsidR="00041EC2" w:rsidRPr="003B4324" w14:paraId="3984EAF0" w14:textId="77777777" w:rsidTr="000C6670">
        <w:trPr>
          <w:trHeight w:val="300"/>
        </w:trPr>
        <w:tc>
          <w:tcPr>
            <w:tcW w:w="1271" w:type="dxa"/>
            <w:vMerge/>
            <w:tcBorders>
              <w:top w:val="single" w:sz="8" w:space="0" w:color="auto"/>
              <w:left w:val="single" w:sz="12" w:space="0" w:color="auto"/>
              <w:bottom w:val="single" w:sz="8" w:space="0" w:color="auto"/>
              <w:right w:val="single" w:sz="8" w:space="0" w:color="auto"/>
            </w:tcBorders>
            <w:shd w:val="clear" w:color="auto" w:fill="E7E6E6"/>
            <w:noWrap/>
            <w:hideMark/>
          </w:tcPr>
          <w:p w14:paraId="0344C719" w14:textId="77777777" w:rsidR="00041EC2" w:rsidRPr="004254D2" w:rsidRDefault="00041EC2" w:rsidP="00041EC2">
            <w:pPr>
              <w:spacing w:after="0" w:line="240" w:lineRule="auto"/>
              <w:jc w:val="left"/>
              <w:rPr>
                <w:rFonts w:ascii="Calibri Light" w:hAnsi="Calibri Light" w:cs="Calibri Light"/>
                <w:color w:val="000000" w:themeColor="text1"/>
              </w:rPr>
            </w:pPr>
          </w:p>
        </w:tc>
        <w:tc>
          <w:tcPr>
            <w:tcW w:w="709" w:type="dxa"/>
            <w:tcBorders>
              <w:top w:val="single" w:sz="8" w:space="0" w:color="auto"/>
              <w:left w:val="single" w:sz="8" w:space="0" w:color="auto"/>
              <w:bottom w:val="single" w:sz="8" w:space="0" w:color="auto"/>
              <w:right w:val="single" w:sz="8" w:space="0" w:color="auto"/>
            </w:tcBorders>
            <w:noWrap/>
            <w:hideMark/>
          </w:tcPr>
          <w:p w14:paraId="0096C3A2" w14:textId="77777777" w:rsidR="00041EC2" w:rsidRPr="004254D2"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2025</w:t>
            </w:r>
          </w:p>
        </w:tc>
        <w:tc>
          <w:tcPr>
            <w:tcW w:w="992" w:type="dxa"/>
            <w:tcBorders>
              <w:top w:val="single" w:sz="8" w:space="0" w:color="auto"/>
              <w:left w:val="single" w:sz="8" w:space="0" w:color="auto"/>
              <w:bottom w:val="single" w:sz="8" w:space="0" w:color="auto"/>
              <w:right w:val="single" w:sz="8" w:space="0" w:color="auto"/>
            </w:tcBorders>
            <w:noWrap/>
            <w:hideMark/>
          </w:tcPr>
          <w:p w14:paraId="32DBBE26" w14:textId="72AD1031"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tcBorders>
              <w:top w:val="single" w:sz="8" w:space="0" w:color="auto"/>
              <w:left w:val="single" w:sz="8" w:space="0" w:color="auto"/>
              <w:bottom w:val="single" w:sz="8" w:space="0" w:color="auto"/>
              <w:right w:val="single" w:sz="8" w:space="0" w:color="auto"/>
            </w:tcBorders>
            <w:noWrap/>
            <w:hideMark/>
          </w:tcPr>
          <w:p w14:paraId="331A8D4B" w14:textId="3360D510"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27,73</w:t>
            </w:r>
          </w:p>
        </w:tc>
        <w:tc>
          <w:tcPr>
            <w:tcW w:w="992" w:type="dxa"/>
            <w:tcBorders>
              <w:top w:val="single" w:sz="8" w:space="0" w:color="auto"/>
              <w:left w:val="single" w:sz="8" w:space="0" w:color="auto"/>
              <w:bottom w:val="single" w:sz="8" w:space="0" w:color="auto"/>
              <w:right w:val="single" w:sz="8" w:space="0" w:color="auto"/>
            </w:tcBorders>
            <w:noWrap/>
            <w:hideMark/>
          </w:tcPr>
          <w:p w14:paraId="1CAB469C" w14:textId="6FDF5488"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0,04</w:t>
            </w:r>
          </w:p>
        </w:tc>
        <w:tc>
          <w:tcPr>
            <w:tcW w:w="851" w:type="dxa"/>
            <w:tcBorders>
              <w:top w:val="single" w:sz="8" w:space="0" w:color="auto"/>
              <w:left w:val="single" w:sz="8" w:space="0" w:color="auto"/>
              <w:bottom w:val="single" w:sz="8" w:space="0" w:color="auto"/>
              <w:right w:val="single" w:sz="8" w:space="0" w:color="auto"/>
            </w:tcBorders>
            <w:noWrap/>
            <w:hideMark/>
          </w:tcPr>
          <w:p w14:paraId="71C08E05" w14:textId="4A9D8ABC"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1,46</w:t>
            </w:r>
          </w:p>
        </w:tc>
        <w:tc>
          <w:tcPr>
            <w:tcW w:w="1134" w:type="dxa"/>
            <w:tcBorders>
              <w:top w:val="single" w:sz="8" w:space="0" w:color="auto"/>
              <w:left w:val="single" w:sz="8" w:space="0" w:color="auto"/>
              <w:bottom w:val="single" w:sz="8" w:space="0" w:color="auto"/>
              <w:right w:val="single" w:sz="8" w:space="0" w:color="auto"/>
            </w:tcBorders>
            <w:noWrap/>
            <w:hideMark/>
          </w:tcPr>
          <w:p w14:paraId="031558FC" w14:textId="6970C3E5"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0,23</w:t>
            </w:r>
          </w:p>
        </w:tc>
        <w:tc>
          <w:tcPr>
            <w:tcW w:w="850" w:type="dxa"/>
            <w:tcBorders>
              <w:top w:val="single" w:sz="8" w:space="0" w:color="auto"/>
              <w:left w:val="single" w:sz="8" w:space="0" w:color="auto"/>
              <w:bottom w:val="single" w:sz="8" w:space="0" w:color="auto"/>
              <w:right w:val="single" w:sz="8" w:space="0" w:color="auto"/>
            </w:tcBorders>
            <w:noWrap/>
            <w:hideMark/>
          </w:tcPr>
          <w:p w14:paraId="65035A7E" w14:textId="053A7A3E"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10,41</w:t>
            </w:r>
          </w:p>
        </w:tc>
        <w:tc>
          <w:tcPr>
            <w:tcW w:w="709" w:type="dxa"/>
            <w:tcBorders>
              <w:top w:val="single" w:sz="8" w:space="0" w:color="auto"/>
              <w:left w:val="single" w:sz="8" w:space="0" w:color="auto"/>
              <w:bottom w:val="single" w:sz="8" w:space="0" w:color="auto"/>
              <w:right w:val="single" w:sz="8" w:space="0" w:color="auto"/>
            </w:tcBorders>
            <w:noWrap/>
            <w:hideMark/>
          </w:tcPr>
          <w:p w14:paraId="4CB36E4A" w14:textId="01978EBD"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1,92</w:t>
            </w:r>
          </w:p>
        </w:tc>
        <w:tc>
          <w:tcPr>
            <w:tcW w:w="709" w:type="dxa"/>
            <w:tcBorders>
              <w:top w:val="single" w:sz="8" w:space="0" w:color="auto"/>
              <w:left w:val="single" w:sz="8" w:space="0" w:color="auto"/>
              <w:bottom w:val="single" w:sz="8" w:space="0" w:color="auto"/>
              <w:right w:val="single" w:sz="8" w:space="0" w:color="auto"/>
            </w:tcBorders>
            <w:noWrap/>
            <w:hideMark/>
          </w:tcPr>
          <w:p w14:paraId="1A9AE78C" w14:textId="24C32720"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0,40</w:t>
            </w:r>
          </w:p>
        </w:tc>
        <w:tc>
          <w:tcPr>
            <w:tcW w:w="850" w:type="dxa"/>
            <w:tcBorders>
              <w:top w:val="single" w:sz="8" w:space="0" w:color="auto"/>
              <w:left w:val="single" w:sz="8" w:space="0" w:color="auto"/>
              <w:bottom w:val="single" w:sz="8" w:space="0" w:color="auto"/>
              <w:right w:val="single" w:sz="12" w:space="0" w:color="auto"/>
            </w:tcBorders>
            <w:noWrap/>
            <w:hideMark/>
          </w:tcPr>
          <w:p w14:paraId="43B1B775" w14:textId="1476DB9B"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42,19</w:t>
            </w:r>
          </w:p>
        </w:tc>
      </w:tr>
      <w:tr w:rsidR="00041EC2" w:rsidRPr="003B4324" w14:paraId="5717E565" w14:textId="77777777" w:rsidTr="000C6670">
        <w:trPr>
          <w:trHeight w:val="300"/>
        </w:trPr>
        <w:tc>
          <w:tcPr>
            <w:tcW w:w="1271" w:type="dxa"/>
            <w:vMerge/>
            <w:tcBorders>
              <w:top w:val="single" w:sz="8" w:space="0" w:color="auto"/>
              <w:left w:val="single" w:sz="12" w:space="0" w:color="auto"/>
              <w:bottom w:val="single" w:sz="8" w:space="0" w:color="auto"/>
              <w:right w:val="single" w:sz="8" w:space="0" w:color="auto"/>
            </w:tcBorders>
            <w:shd w:val="clear" w:color="auto" w:fill="E7E6E6"/>
            <w:noWrap/>
            <w:hideMark/>
          </w:tcPr>
          <w:p w14:paraId="5A36B771" w14:textId="77777777" w:rsidR="00041EC2" w:rsidRPr="004254D2" w:rsidRDefault="00041EC2" w:rsidP="00041EC2">
            <w:pPr>
              <w:spacing w:after="0" w:line="240" w:lineRule="auto"/>
              <w:jc w:val="left"/>
              <w:rPr>
                <w:rFonts w:ascii="Calibri Light" w:hAnsi="Calibri Light" w:cs="Calibri Light"/>
                <w:color w:val="000000" w:themeColor="text1"/>
              </w:rPr>
            </w:pPr>
          </w:p>
        </w:tc>
        <w:tc>
          <w:tcPr>
            <w:tcW w:w="709" w:type="dxa"/>
            <w:tcBorders>
              <w:top w:val="single" w:sz="8" w:space="0" w:color="auto"/>
              <w:left w:val="single" w:sz="8" w:space="0" w:color="auto"/>
              <w:bottom w:val="single" w:sz="8" w:space="0" w:color="auto"/>
              <w:right w:val="single" w:sz="8" w:space="0" w:color="auto"/>
            </w:tcBorders>
            <w:noWrap/>
            <w:hideMark/>
          </w:tcPr>
          <w:p w14:paraId="00285BCC" w14:textId="77777777" w:rsidR="00041EC2" w:rsidRPr="004254D2"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2026</w:t>
            </w:r>
          </w:p>
        </w:tc>
        <w:tc>
          <w:tcPr>
            <w:tcW w:w="992" w:type="dxa"/>
            <w:tcBorders>
              <w:top w:val="single" w:sz="8" w:space="0" w:color="auto"/>
              <w:left w:val="single" w:sz="8" w:space="0" w:color="auto"/>
              <w:bottom w:val="single" w:sz="8" w:space="0" w:color="auto"/>
              <w:right w:val="single" w:sz="8" w:space="0" w:color="auto"/>
            </w:tcBorders>
            <w:noWrap/>
            <w:hideMark/>
          </w:tcPr>
          <w:p w14:paraId="27564A3F" w14:textId="03EDEB1B"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tcBorders>
              <w:top w:val="single" w:sz="8" w:space="0" w:color="auto"/>
              <w:left w:val="single" w:sz="8" w:space="0" w:color="auto"/>
              <w:bottom w:val="single" w:sz="8" w:space="0" w:color="auto"/>
              <w:right w:val="single" w:sz="8" w:space="0" w:color="auto"/>
            </w:tcBorders>
            <w:noWrap/>
            <w:hideMark/>
          </w:tcPr>
          <w:p w14:paraId="346B2203" w14:textId="00014F1B"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28,15</w:t>
            </w:r>
          </w:p>
        </w:tc>
        <w:tc>
          <w:tcPr>
            <w:tcW w:w="992" w:type="dxa"/>
            <w:tcBorders>
              <w:top w:val="single" w:sz="8" w:space="0" w:color="auto"/>
              <w:left w:val="single" w:sz="8" w:space="0" w:color="auto"/>
              <w:bottom w:val="single" w:sz="8" w:space="0" w:color="auto"/>
              <w:right w:val="single" w:sz="8" w:space="0" w:color="auto"/>
            </w:tcBorders>
            <w:noWrap/>
            <w:hideMark/>
          </w:tcPr>
          <w:p w14:paraId="0D04AE20" w14:textId="56BBA25D"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0,03</w:t>
            </w:r>
          </w:p>
        </w:tc>
        <w:tc>
          <w:tcPr>
            <w:tcW w:w="851" w:type="dxa"/>
            <w:tcBorders>
              <w:top w:val="single" w:sz="8" w:space="0" w:color="auto"/>
              <w:left w:val="single" w:sz="8" w:space="0" w:color="auto"/>
              <w:bottom w:val="single" w:sz="8" w:space="0" w:color="auto"/>
              <w:right w:val="single" w:sz="8" w:space="0" w:color="auto"/>
            </w:tcBorders>
            <w:noWrap/>
            <w:hideMark/>
          </w:tcPr>
          <w:p w14:paraId="0798BDB9" w14:textId="6CB31682"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1,66</w:t>
            </w:r>
          </w:p>
        </w:tc>
        <w:tc>
          <w:tcPr>
            <w:tcW w:w="1134" w:type="dxa"/>
            <w:tcBorders>
              <w:top w:val="single" w:sz="8" w:space="0" w:color="auto"/>
              <w:left w:val="single" w:sz="8" w:space="0" w:color="auto"/>
              <w:bottom w:val="single" w:sz="8" w:space="0" w:color="auto"/>
              <w:right w:val="single" w:sz="8" w:space="0" w:color="auto"/>
            </w:tcBorders>
            <w:noWrap/>
            <w:hideMark/>
          </w:tcPr>
          <w:p w14:paraId="09B30940" w14:textId="40CA10EF"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0,22</w:t>
            </w:r>
          </w:p>
        </w:tc>
        <w:tc>
          <w:tcPr>
            <w:tcW w:w="850" w:type="dxa"/>
            <w:tcBorders>
              <w:top w:val="single" w:sz="8" w:space="0" w:color="auto"/>
              <w:left w:val="single" w:sz="8" w:space="0" w:color="auto"/>
              <w:bottom w:val="single" w:sz="8" w:space="0" w:color="auto"/>
              <w:right w:val="single" w:sz="8" w:space="0" w:color="auto"/>
            </w:tcBorders>
            <w:noWrap/>
            <w:hideMark/>
          </w:tcPr>
          <w:p w14:paraId="347681B7" w14:textId="31727E56"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10,41</w:t>
            </w:r>
          </w:p>
        </w:tc>
        <w:tc>
          <w:tcPr>
            <w:tcW w:w="709" w:type="dxa"/>
            <w:tcBorders>
              <w:top w:val="single" w:sz="8" w:space="0" w:color="auto"/>
              <w:left w:val="single" w:sz="8" w:space="0" w:color="auto"/>
              <w:bottom w:val="single" w:sz="8" w:space="0" w:color="auto"/>
              <w:right w:val="single" w:sz="8" w:space="0" w:color="auto"/>
            </w:tcBorders>
            <w:noWrap/>
            <w:hideMark/>
          </w:tcPr>
          <w:p w14:paraId="415B1C6D" w14:textId="1FE43F81"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1,92</w:t>
            </w:r>
          </w:p>
        </w:tc>
        <w:tc>
          <w:tcPr>
            <w:tcW w:w="709" w:type="dxa"/>
            <w:tcBorders>
              <w:top w:val="single" w:sz="8" w:space="0" w:color="auto"/>
              <w:left w:val="single" w:sz="8" w:space="0" w:color="auto"/>
              <w:bottom w:val="single" w:sz="8" w:space="0" w:color="auto"/>
              <w:right w:val="single" w:sz="8" w:space="0" w:color="auto"/>
            </w:tcBorders>
            <w:noWrap/>
            <w:hideMark/>
          </w:tcPr>
          <w:p w14:paraId="5F5E5E5B" w14:textId="463A880B"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0,40</w:t>
            </w:r>
          </w:p>
        </w:tc>
        <w:tc>
          <w:tcPr>
            <w:tcW w:w="850" w:type="dxa"/>
            <w:tcBorders>
              <w:top w:val="single" w:sz="8" w:space="0" w:color="auto"/>
              <w:left w:val="single" w:sz="8" w:space="0" w:color="auto"/>
              <w:bottom w:val="single" w:sz="8" w:space="0" w:color="auto"/>
              <w:right w:val="single" w:sz="12" w:space="0" w:color="auto"/>
            </w:tcBorders>
            <w:noWrap/>
            <w:hideMark/>
          </w:tcPr>
          <w:p w14:paraId="4256C451" w14:textId="67BEF8E3"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42,80</w:t>
            </w:r>
          </w:p>
        </w:tc>
      </w:tr>
      <w:tr w:rsidR="00041EC2" w:rsidRPr="003B4324" w14:paraId="3E7EAC8D" w14:textId="77777777" w:rsidTr="000C6670">
        <w:trPr>
          <w:trHeight w:val="300"/>
        </w:trPr>
        <w:tc>
          <w:tcPr>
            <w:tcW w:w="1271" w:type="dxa"/>
            <w:vMerge/>
            <w:tcBorders>
              <w:top w:val="single" w:sz="8" w:space="0" w:color="auto"/>
              <w:left w:val="single" w:sz="12" w:space="0" w:color="auto"/>
              <w:bottom w:val="single" w:sz="8" w:space="0" w:color="auto"/>
              <w:right w:val="single" w:sz="8" w:space="0" w:color="auto"/>
            </w:tcBorders>
            <w:shd w:val="clear" w:color="auto" w:fill="E7E6E6"/>
            <w:noWrap/>
          </w:tcPr>
          <w:p w14:paraId="0864BCB3"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tcBorders>
              <w:top w:val="single" w:sz="8" w:space="0" w:color="auto"/>
              <w:left w:val="single" w:sz="8" w:space="0" w:color="auto"/>
              <w:bottom w:val="single" w:sz="8" w:space="0" w:color="auto"/>
              <w:right w:val="single" w:sz="8" w:space="0" w:color="auto"/>
            </w:tcBorders>
            <w:noWrap/>
          </w:tcPr>
          <w:p w14:paraId="1BA7D487" w14:textId="77777777" w:rsidR="00041EC2" w:rsidRPr="002574F2"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2027</w:t>
            </w:r>
          </w:p>
        </w:tc>
        <w:tc>
          <w:tcPr>
            <w:tcW w:w="992" w:type="dxa"/>
            <w:tcBorders>
              <w:top w:val="single" w:sz="8" w:space="0" w:color="auto"/>
              <w:left w:val="single" w:sz="8" w:space="0" w:color="auto"/>
              <w:bottom w:val="single" w:sz="8" w:space="0" w:color="auto"/>
              <w:right w:val="single" w:sz="8" w:space="0" w:color="auto"/>
            </w:tcBorders>
            <w:noWrap/>
          </w:tcPr>
          <w:p w14:paraId="10910D0C" w14:textId="6E12925A"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tcBorders>
              <w:top w:val="single" w:sz="8" w:space="0" w:color="auto"/>
              <w:left w:val="single" w:sz="8" w:space="0" w:color="auto"/>
              <w:bottom w:val="single" w:sz="8" w:space="0" w:color="auto"/>
              <w:right w:val="single" w:sz="8" w:space="0" w:color="auto"/>
            </w:tcBorders>
            <w:noWrap/>
          </w:tcPr>
          <w:p w14:paraId="27AE3C35" w14:textId="72F992D9"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28,66</w:t>
            </w:r>
          </w:p>
        </w:tc>
        <w:tc>
          <w:tcPr>
            <w:tcW w:w="992" w:type="dxa"/>
            <w:tcBorders>
              <w:top w:val="single" w:sz="8" w:space="0" w:color="auto"/>
              <w:left w:val="single" w:sz="8" w:space="0" w:color="auto"/>
              <w:bottom w:val="single" w:sz="8" w:space="0" w:color="auto"/>
              <w:right w:val="single" w:sz="8" w:space="0" w:color="auto"/>
            </w:tcBorders>
            <w:noWrap/>
          </w:tcPr>
          <w:p w14:paraId="62489598" w14:textId="2EBA591F"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0,03</w:t>
            </w:r>
          </w:p>
        </w:tc>
        <w:tc>
          <w:tcPr>
            <w:tcW w:w="851" w:type="dxa"/>
            <w:tcBorders>
              <w:top w:val="single" w:sz="8" w:space="0" w:color="auto"/>
              <w:left w:val="single" w:sz="8" w:space="0" w:color="auto"/>
              <w:bottom w:val="single" w:sz="8" w:space="0" w:color="auto"/>
              <w:right w:val="single" w:sz="8" w:space="0" w:color="auto"/>
            </w:tcBorders>
            <w:noWrap/>
          </w:tcPr>
          <w:p w14:paraId="159FC7FB" w14:textId="332B480D"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1,68</w:t>
            </w:r>
          </w:p>
        </w:tc>
        <w:tc>
          <w:tcPr>
            <w:tcW w:w="1134" w:type="dxa"/>
            <w:tcBorders>
              <w:top w:val="single" w:sz="8" w:space="0" w:color="auto"/>
              <w:left w:val="single" w:sz="8" w:space="0" w:color="auto"/>
              <w:bottom w:val="single" w:sz="8" w:space="0" w:color="auto"/>
              <w:right w:val="single" w:sz="8" w:space="0" w:color="auto"/>
            </w:tcBorders>
            <w:noWrap/>
          </w:tcPr>
          <w:p w14:paraId="2DC7A0E8" w14:textId="79615BD4"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0,22</w:t>
            </w:r>
          </w:p>
        </w:tc>
        <w:tc>
          <w:tcPr>
            <w:tcW w:w="850" w:type="dxa"/>
            <w:tcBorders>
              <w:top w:val="single" w:sz="8" w:space="0" w:color="auto"/>
              <w:left w:val="single" w:sz="8" w:space="0" w:color="auto"/>
              <w:bottom w:val="single" w:sz="8" w:space="0" w:color="auto"/>
              <w:right w:val="single" w:sz="8" w:space="0" w:color="auto"/>
            </w:tcBorders>
            <w:noWrap/>
          </w:tcPr>
          <w:p w14:paraId="5E74AB03" w14:textId="31224682"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10,44</w:t>
            </w:r>
          </w:p>
        </w:tc>
        <w:tc>
          <w:tcPr>
            <w:tcW w:w="709" w:type="dxa"/>
            <w:tcBorders>
              <w:top w:val="single" w:sz="8" w:space="0" w:color="auto"/>
              <w:left w:val="single" w:sz="8" w:space="0" w:color="auto"/>
              <w:bottom w:val="single" w:sz="8" w:space="0" w:color="auto"/>
              <w:right w:val="single" w:sz="8" w:space="0" w:color="auto"/>
            </w:tcBorders>
            <w:noWrap/>
          </w:tcPr>
          <w:p w14:paraId="3CD17DEA" w14:textId="5B09771E"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1,92</w:t>
            </w:r>
          </w:p>
        </w:tc>
        <w:tc>
          <w:tcPr>
            <w:tcW w:w="709" w:type="dxa"/>
            <w:tcBorders>
              <w:top w:val="single" w:sz="8" w:space="0" w:color="auto"/>
              <w:left w:val="single" w:sz="8" w:space="0" w:color="auto"/>
              <w:bottom w:val="single" w:sz="8" w:space="0" w:color="auto"/>
              <w:right w:val="single" w:sz="8" w:space="0" w:color="auto"/>
            </w:tcBorders>
            <w:noWrap/>
          </w:tcPr>
          <w:p w14:paraId="4BD83C18" w14:textId="466D4D33"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0,51</w:t>
            </w:r>
          </w:p>
        </w:tc>
        <w:tc>
          <w:tcPr>
            <w:tcW w:w="850" w:type="dxa"/>
            <w:tcBorders>
              <w:top w:val="single" w:sz="8" w:space="0" w:color="auto"/>
              <w:left w:val="single" w:sz="8" w:space="0" w:color="auto"/>
              <w:bottom w:val="single" w:sz="8" w:space="0" w:color="auto"/>
              <w:right w:val="single" w:sz="12" w:space="0" w:color="auto"/>
            </w:tcBorders>
            <w:noWrap/>
          </w:tcPr>
          <w:p w14:paraId="41864680" w14:textId="6CAEC589"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43,47</w:t>
            </w:r>
          </w:p>
        </w:tc>
      </w:tr>
      <w:tr w:rsidR="00041EC2" w:rsidRPr="003B4324" w14:paraId="3A77B085" w14:textId="77777777" w:rsidTr="000C6670">
        <w:trPr>
          <w:trHeight w:val="300"/>
        </w:trPr>
        <w:tc>
          <w:tcPr>
            <w:tcW w:w="1271" w:type="dxa"/>
            <w:vMerge/>
            <w:tcBorders>
              <w:top w:val="single" w:sz="8" w:space="0" w:color="auto"/>
              <w:left w:val="single" w:sz="12" w:space="0" w:color="auto"/>
              <w:bottom w:val="single" w:sz="8" w:space="0" w:color="auto"/>
              <w:right w:val="single" w:sz="8" w:space="0" w:color="auto"/>
            </w:tcBorders>
            <w:shd w:val="clear" w:color="auto" w:fill="E7E6E6"/>
            <w:noWrap/>
          </w:tcPr>
          <w:p w14:paraId="05441691"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tcBorders>
              <w:top w:val="single" w:sz="8" w:space="0" w:color="auto"/>
              <w:left w:val="single" w:sz="8" w:space="0" w:color="auto"/>
              <w:bottom w:val="single" w:sz="8" w:space="0" w:color="auto"/>
              <w:right w:val="single" w:sz="8" w:space="0" w:color="auto"/>
            </w:tcBorders>
            <w:noWrap/>
          </w:tcPr>
          <w:p w14:paraId="202261E3" w14:textId="77777777" w:rsidR="00041EC2" w:rsidRPr="002574F2"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2028</w:t>
            </w:r>
          </w:p>
        </w:tc>
        <w:tc>
          <w:tcPr>
            <w:tcW w:w="992" w:type="dxa"/>
            <w:tcBorders>
              <w:top w:val="single" w:sz="8" w:space="0" w:color="auto"/>
              <w:left w:val="single" w:sz="8" w:space="0" w:color="auto"/>
              <w:bottom w:val="single" w:sz="8" w:space="0" w:color="auto"/>
              <w:right w:val="single" w:sz="8" w:space="0" w:color="auto"/>
            </w:tcBorders>
            <w:noWrap/>
          </w:tcPr>
          <w:p w14:paraId="6212178E" w14:textId="43BB6C2E"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tcBorders>
              <w:top w:val="single" w:sz="8" w:space="0" w:color="auto"/>
              <w:left w:val="single" w:sz="8" w:space="0" w:color="auto"/>
              <w:bottom w:val="single" w:sz="8" w:space="0" w:color="auto"/>
              <w:right w:val="single" w:sz="8" w:space="0" w:color="auto"/>
            </w:tcBorders>
            <w:noWrap/>
          </w:tcPr>
          <w:p w14:paraId="6B1E9779" w14:textId="7DDF01FD"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29,44</w:t>
            </w:r>
          </w:p>
        </w:tc>
        <w:tc>
          <w:tcPr>
            <w:tcW w:w="992" w:type="dxa"/>
            <w:tcBorders>
              <w:top w:val="single" w:sz="8" w:space="0" w:color="auto"/>
              <w:left w:val="single" w:sz="8" w:space="0" w:color="auto"/>
              <w:bottom w:val="single" w:sz="8" w:space="0" w:color="auto"/>
              <w:right w:val="single" w:sz="8" w:space="0" w:color="auto"/>
            </w:tcBorders>
            <w:noWrap/>
          </w:tcPr>
          <w:p w14:paraId="0FA5E496" w14:textId="4309CABB"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0,02</w:t>
            </w:r>
          </w:p>
        </w:tc>
        <w:tc>
          <w:tcPr>
            <w:tcW w:w="851" w:type="dxa"/>
            <w:tcBorders>
              <w:top w:val="single" w:sz="8" w:space="0" w:color="auto"/>
              <w:left w:val="single" w:sz="8" w:space="0" w:color="auto"/>
              <w:bottom w:val="single" w:sz="8" w:space="0" w:color="auto"/>
              <w:right w:val="single" w:sz="8" w:space="0" w:color="auto"/>
            </w:tcBorders>
            <w:noWrap/>
          </w:tcPr>
          <w:p w14:paraId="6A3F0A0F" w14:textId="1E988777"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1,66</w:t>
            </w:r>
          </w:p>
        </w:tc>
        <w:tc>
          <w:tcPr>
            <w:tcW w:w="1134" w:type="dxa"/>
            <w:tcBorders>
              <w:top w:val="single" w:sz="8" w:space="0" w:color="auto"/>
              <w:left w:val="single" w:sz="8" w:space="0" w:color="auto"/>
              <w:bottom w:val="single" w:sz="8" w:space="0" w:color="auto"/>
              <w:right w:val="single" w:sz="8" w:space="0" w:color="auto"/>
            </w:tcBorders>
            <w:noWrap/>
          </w:tcPr>
          <w:p w14:paraId="0F71CACD" w14:textId="5860927A"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0,22</w:t>
            </w:r>
          </w:p>
        </w:tc>
        <w:tc>
          <w:tcPr>
            <w:tcW w:w="850" w:type="dxa"/>
            <w:tcBorders>
              <w:top w:val="single" w:sz="8" w:space="0" w:color="auto"/>
              <w:left w:val="single" w:sz="8" w:space="0" w:color="auto"/>
              <w:bottom w:val="single" w:sz="8" w:space="0" w:color="auto"/>
              <w:right w:val="single" w:sz="8" w:space="0" w:color="auto"/>
            </w:tcBorders>
            <w:noWrap/>
          </w:tcPr>
          <w:p w14:paraId="1B7DDCC9" w14:textId="324FEF77"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10,44</w:t>
            </w:r>
          </w:p>
        </w:tc>
        <w:tc>
          <w:tcPr>
            <w:tcW w:w="709" w:type="dxa"/>
            <w:tcBorders>
              <w:top w:val="single" w:sz="8" w:space="0" w:color="auto"/>
              <w:left w:val="single" w:sz="8" w:space="0" w:color="auto"/>
              <w:bottom w:val="single" w:sz="8" w:space="0" w:color="auto"/>
              <w:right w:val="single" w:sz="8" w:space="0" w:color="auto"/>
            </w:tcBorders>
            <w:noWrap/>
          </w:tcPr>
          <w:p w14:paraId="468BDB58" w14:textId="5500A544"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1,92</w:t>
            </w:r>
          </w:p>
        </w:tc>
        <w:tc>
          <w:tcPr>
            <w:tcW w:w="709" w:type="dxa"/>
            <w:tcBorders>
              <w:top w:val="single" w:sz="8" w:space="0" w:color="auto"/>
              <w:left w:val="single" w:sz="8" w:space="0" w:color="auto"/>
              <w:bottom w:val="single" w:sz="8" w:space="0" w:color="auto"/>
              <w:right w:val="single" w:sz="8" w:space="0" w:color="auto"/>
            </w:tcBorders>
            <w:noWrap/>
          </w:tcPr>
          <w:p w14:paraId="7E6A8E04" w14:textId="32C738B8"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0,51</w:t>
            </w:r>
          </w:p>
        </w:tc>
        <w:tc>
          <w:tcPr>
            <w:tcW w:w="850" w:type="dxa"/>
            <w:tcBorders>
              <w:top w:val="single" w:sz="8" w:space="0" w:color="auto"/>
              <w:left w:val="single" w:sz="8" w:space="0" w:color="auto"/>
              <w:bottom w:val="single" w:sz="8" w:space="0" w:color="auto"/>
              <w:right w:val="single" w:sz="12" w:space="0" w:color="auto"/>
            </w:tcBorders>
            <w:noWrap/>
          </w:tcPr>
          <w:p w14:paraId="58D7217E" w14:textId="2FECA9ED"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44,22</w:t>
            </w:r>
          </w:p>
        </w:tc>
      </w:tr>
      <w:tr w:rsidR="00041EC2" w:rsidRPr="003B4324" w14:paraId="7CBEC292" w14:textId="77777777" w:rsidTr="000C6670">
        <w:trPr>
          <w:trHeight w:val="300"/>
        </w:trPr>
        <w:tc>
          <w:tcPr>
            <w:tcW w:w="1271" w:type="dxa"/>
            <w:vMerge/>
            <w:tcBorders>
              <w:top w:val="single" w:sz="8" w:space="0" w:color="auto"/>
              <w:left w:val="single" w:sz="12" w:space="0" w:color="auto"/>
              <w:bottom w:val="single" w:sz="8" w:space="0" w:color="auto"/>
              <w:right w:val="single" w:sz="8" w:space="0" w:color="auto"/>
            </w:tcBorders>
            <w:shd w:val="clear" w:color="auto" w:fill="E7E6E6"/>
            <w:noWrap/>
          </w:tcPr>
          <w:p w14:paraId="6159922F"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tcBorders>
              <w:top w:val="single" w:sz="8" w:space="0" w:color="auto"/>
              <w:left w:val="single" w:sz="8" w:space="0" w:color="auto"/>
              <w:bottom w:val="single" w:sz="8" w:space="0" w:color="auto"/>
              <w:right w:val="single" w:sz="8" w:space="0" w:color="auto"/>
            </w:tcBorders>
            <w:noWrap/>
          </w:tcPr>
          <w:p w14:paraId="444A0757" w14:textId="77777777" w:rsidR="00041EC2" w:rsidRPr="002574F2"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2029</w:t>
            </w:r>
          </w:p>
        </w:tc>
        <w:tc>
          <w:tcPr>
            <w:tcW w:w="992" w:type="dxa"/>
            <w:tcBorders>
              <w:top w:val="single" w:sz="8" w:space="0" w:color="auto"/>
              <w:left w:val="single" w:sz="8" w:space="0" w:color="auto"/>
              <w:bottom w:val="single" w:sz="8" w:space="0" w:color="auto"/>
              <w:right w:val="single" w:sz="8" w:space="0" w:color="auto"/>
            </w:tcBorders>
            <w:noWrap/>
          </w:tcPr>
          <w:p w14:paraId="67086E84" w14:textId="16EA681C"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tcBorders>
              <w:top w:val="single" w:sz="8" w:space="0" w:color="auto"/>
              <w:left w:val="single" w:sz="8" w:space="0" w:color="auto"/>
              <w:bottom w:val="single" w:sz="8" w:space="0" w:color="auto"/>
              <w:right w:val="single" w:sz="8" w:space="0" w:color="auto"/>
            </w:tcBorders>
            <w:noWrap/>
          </w:tcPr>
          <w:p w14:paraId="4984BCF5" w14:textId="16AD4FE5"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30,21</w:t>
            </w:r>
          </w:p>
        </w:tc>
        <w:tc>
          <w:tcPr>
            <w:tcW w:w="992" w:type="dxa"/>
            <w:tcBorders>
              <w:top w:val="single" w:sz="8" w:space="0" w:color="auto"/>
              <w:left w:val="single" w:sz="8" w:space="0" w:color="auto"/>
              <w:bottom w:val="single" w:sz="8" w:space="0" w:color="auto"/>
              <w:right w:val="single" w:sz="8" w:space="0" w:color="auto"/>
            </w:tcBorders>
            <w:noWrap/>
          </w:tcPr>
          <w:p w14:paraId="0451D847" w14:textId="28A06824"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0,03</w:t>
            </w:r>
          </w:p>
        </w:tc>
        <w:tc>
          <w:tcPr>
            <w:tcW w:w="851" w:type="dxa"/>
            <w:tcBorders>
              <w:top w:val="single" w:sz="8" w:space="0" w:color="auto"/>
              <w:left w:val="single" w:sz="8" w:space="0" w:color="auto"/>
              <w:bottom w:val="single" w:sz="8" w:space="0" w:color="auto"/>
              <w:right w:val="single" w:sz="8" w:space="0" w:color="auto"/>
            </w:tcBorders>
            <w:noWrap/>
          </w:tcPr>
          <w:p w14:paraId="52E2C407" w14:textId="0BB0B13E"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1,68</w:t>
            </w:r>
          </w:p>
        </w:tc>
        <w:tc>
          <w:tcPr>
            <w:tcW w:w="1134" w:type="dxa"/>
            <w:tcBorders>
              <w:top w:val="single" w:sz="8" w:space="0" w:color="auto"/>
              <w:left w:val="single" w:sz="8" w:space="0" w:color="auto"/>
              <w:bottom w:val="single" w:sz="8" w:space="0" w:color="auto"/>
              <w:right w:val="single" w:sz="8" w:space="0" w:color="auto"/>
            </w:tcBorders>
            <w:noWrap/>
          </w:tcPr>
          <w:p w14:paraId="60872F23" w14:textId="6708FAF1"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0,22</w:t>
            </w:r>
          </w:p>
        </w:tc>
        <w:tc>
          <w:tcPr>
            <w:tcW w:w="850" w:type="dxa"/>
            <w:tcBorders>
              <w:top w:val="single" w:sz="8" w:space="0" w:color="auto"/>
              <w:left w:val="single" w:sz="8" w:space="0" w:color="auto"/>
              <w:bottom w:val="single" w:sz="8" w:space="0" w:color="auto"/>
              <w:right w:val="single" w:sz="8" w:space="0" w:color="auto"/>
            </w:tcBorders>
            <w:noWrap/>
          </w:tcPr>
          <w:p w14:paraId="3D282F73" w14:textId="529754AA"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10,44</w:t>
            </w:r>
          </w:p>
        </w:tc>
        <w:tc>
          <w:tcPr>
            <w:tcW w:w="709" w:type="dxa"/>
            <w:tcBorders>
              <w:top w:val="single" w:sz="8" w:space="0" w:color="auto"/>
              <w:left w:val="single" w:sz="8" w:space="0" w:color="auto"/>
              <w:bottom w:val="single" w:sz="8" w:space="0" w:color="auto"/>
              <w:right w:val="single" w:sz="8" w:space="0" w:color="auto"/>
            </w:tcBorders>
            <w:noWrap/>
          </w:tcPr>
          <w:p w14:paraId="49B13188" w14:textId="676D4C49"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1,92</w:t>
            </w:r>
          </w:p>
        </w:tc>
        <w:tc>
          <w:tcPr>
            <w:tcW w:w="709" w:type="dxa"/>
            <w:tcBorders>
              <w:top w:val="single" w:sz="8" w:space="0" w:color="auto"/>
              <w:left w:val="single" w:sz="8" w:space="0" w:color="auto"/>
              <w:bottom w:val="single" w:sz="8" w:space="0" w:color="auto"/>
              <w:right w:val="single" w:sz="8" w:space="0" w:color="auto"/>
            </w:tcBorders>
            <w:noWrap/>
          </w:tcPr>
          <w:p w14:paraId="2DC617AF" w14:textId="16E0CF7D"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0,51</w:t>
            </w:r>
          </w:p>
        </w:tc>
        <w:tc>
          <w:tcPr>
            <w:tcW w:w="850" w:type="dxa"/>
            <w:tcBorders>
              <w:top w:val="single" w:sz="8" w:space="0" w:color="auto"/>
              <w:left w:val="single" w:sz="8" w:space="0" w:color="auto"/>
              <w:bottom w:val="single" w:sz="8" w:space="0" w:color="auto"/>
              <w:right w:val="single" w:sz="12" w:space="0" w:color="auto"/>
            </w:tcBorders>
            <w:noWrap/>
          </w:tcPr>
          <w:p w14:paraId="23874FEB" w14:textId="0465238C"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45,00</w:t>
            </w:r>
          </w:p>
        </w:tc>
      </w:tr>
      <w:tr w:rsidR="00041EC2" w:rsidRPr="003B4324" w14:paraId="0FE12A9B" w14:textId="77777777" w:rsidTr="000C6670">
        <w:trPr>
          <w:trHeight w:val="300"/>
        </w:trPr>
        <w:tc>
          <w:tcPr>
            <w:tcW w:w="1271" w:type="dxa"/>
            <w:vMerge/>
            <w:tcBorders>
              <w:top w:val="single" w:sz="8" w:space="0" w:color="auto"/>
              <w:left w:val="single" w:sz="12" w:space="0" w:color="auto"/>
              <w:bottom w:val="single" w:sz="8" w:space="0" w:color="auto"/>
              <w:right w:val="single" w:sz="8" w:space="0" w:color="auto"/>
            </w:tcBorders>
            <w:shd w:val="clear" w:color="auto" w:fill="E7E6E6"/>
            <w:noWrap/>
          </w:tcPr>
          <w:p w14:paraId="58D22699"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tcBorders>
              <w:top w:val="single" w:sz="8" w:space="0" w:color="auto"/>
              <w:left w:val="single" w:sz="8" w:space="0" w:color="auto"/>
              <w:bottom w:val="single" w:sz="8" w:space="0" w:color="auto"/>
              <w:right w:val="single" w:sz="8" w:space="0" w:color="auto"/>
            </w:tcBorders>
            <w:noWrap/>
          </w:tcPr>
          <w:p w14:paraId="111FB126" w14:textId="77777777" w:rsidR="00041EC2" w:rsidRPr="002574F2"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2030</w:t>
            </w:r>
          </w:p>
        </w:tc>
        <w:tc>
          <w:tcPr>
            <w:tcW w:w="992" w:type="dxa"/>
            <w:tcBorders>
              <w:top w:val="single" w:sz="8" w:space="0" w:color="auto"/>
              <w:left w:val="single" w:sz="8" w:space="0" w:color="auto"/>
              <w:bottom w:val="single" w:sz="8" w:space="0" w:color="auto"/>
              <w:right w:val="single" w:sz="8" w:space="0" w:color="auto"/>
            </w:tcBorders>
            <w:noWrap/>
          </w:tcPr>
          <w:p w14:paraId="07DBB20F" w14:textId="340A07A7"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tcBorders>
              <w:top w:val="single" w:sz="8" w:space="0" w:color="auto"/>
              <w:left w:val="single" w:sz="8" w:space="0" w:color="auto"/>
              <w:bottom w:val="single" w:sz="8" w:space="0" w:color="auto"/>
              <w:right w:val="single" w:sz="8" w:space="0" w:color="auto"/>
            </w:tcBorders>
            <w:noWrap/>
          </w:tcPr>
          <w:p w14:paraId="124AA638" w14:textId="1252B5BB"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31,05</w:t>
            </w:r>
          </w:p>
        </w:tc>
        <w:tc>
          <w:tcPr>
            <w:tcW w:w="992" w:type="dxa"/>
            <w:tcBorders>
              <w:top w:val="single" w:sz="8" w:space="0" w:color="auto"/>
              <w:left w:val="single" w:sz="8" w:space="0" w:color="auto"/>
              <w:bottom w:val="single" w:sz="8" w:space="0" w:color="auto"/>
              <w:right w:val="single" w:sz="8" w:space="0" w:color="auto"/>
            </w:tcBorders>
            <w:noWrap/>
          </w:tcPr>
          <w:p w14:paraId="54D771BB" w14:textId="02D4D579"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0,03</w:t>
            </w:r>
          </w:p>
        </w:tc>
        <w:tc>
          <w:tcPr>
            <w:tcW w:w="851" w:type="dxa"/>
            <w:tcBorders>
              <w:top w:val="single" w:sz="8" w:space="0" w:color="auto"/>
              <w:left w:val="single" w:sz="8" w:space="0" w:color="auto"/>
              <w:bottom w:val="single" w:sz="8" w:space="0" w:color="auto"/>
              <w:right w:val="single" w:sz="8" w:space="0" w:color="auto"/>
            </w:tcBorders>
            <w:noWrap/>
          </w:tcPr>
          <w:p w14:paraId="68330665" w14:textId="508FB7E0"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1,71</w:t>
            </w:r>
          </w:p>
        </w:tc>
        <w:tc>
          <w:tcPr>
            <w:tcW w:w="1134" w:type="dxa"/>
            <w:tcBorders>
              <w:top w:val="single" w:sz="8" w:space="0" w:color="auto"/>
              <w:left w:val="single" w:sz="8" w:space="0" w:color="auto"/>
              <w:bottom w:val="single" w:sz="8" w:space="0" w:color="auto"/>
              <w:right w:val="single" w:sz="8" w:space="0" w:color="auto"/>
            </w:tcBorders>
            <w:noWrap/>
          </w:tcPr>
          <w:p w14:paraId="08894D60" w14:textId="4221C506"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0,22</w:t>
            </w:r>
          </w:p>
        </w:tc>
        <w:tc>
          <w:tcPr>
            <w:tcW w:w="850" w:type="dxa"/>
            <w:tcBorders>
              <w:top w:val="single" w:sz="8" w:space="0" w:color="auto"/>
              <w:left w:val="single" w:sz="8" w:space="0" w:color="auto"/>
              <w:bottom w:val="single" w:sz="8" w:space="0" w:color="auto"/>
              <w:right w:val="single" w:sz="8" w:space="0" w:color="auto"/>
            </w:tcBorders>
            <w:noWrap/>
          </w:tcPr>
          <w:p w14:paraId="166A18F2" w14:textId="5024D71E"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10,44</w:t>
            </w:r>
          </w:p>
        </w:tc>
        <w:tc>
          <w:tcPr>
            <w:tcW w:w="709" w:type="dxa"/>
            <w:tcBorders>
              <w:top w:val="single" w:sz="8" w:space="0" w:color="auto"/>
              <w:left w:val="single" w:sz="8" w:space="0" w:color="auto"/>
              <w:bottom w:val="single" w:sz="8" w:space="0" w:color="auto"/>
              <w:right w:val="single" w:sz="8" w:space="0" w:color="auto"/>
            </w:tcBorders>
            <w:noWrap/>
          </w:tcPr>
          <w:p w14:paraId="7F4BB0CF" w14:textId="0B679442"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1,92</w:t>
            </w:r>
          </w:p>
        </w:tc>
        <w:tc>
          <w:tcPr>
            <w:tcW w:w="709" w:type="dxa"/>
            <w:tcBorders>
              <w:top w:val="single" w:sz="8" w:space="0" w:color="auto"/>
              <w:left w:val="single" w:sz="8" w:space="0" w:color="auto"/>
              <w:bottom w:val="single" w:sz="8" w:space="0" w:color="auto"/>
              <w:right w:val="single" w:sz="8" w:space="0" w:color="auto"/>
            </w:tcBorders>
            <w:noWrap/>
          </w:tcPr>
          <w:p w14:paraId="15CAFE8C" w14:textId="27A1884D"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0,51</w:t>
            </w:r>
          </w:p>
        </w:tc>
        <w:tc>
          <w:tcPr>
            <w:tcW w:w="850" w:type="dxa"/>
            <w:tcBorders>
              <w:top w:val="single" w:sz="8" w:space="0" w:color="auto"/>
              <w:left w:val="single" w:sz="8" w:space="0" w:color="auto"/>
              <w:bottom w:val="single" w:sz="8" w:space="0" w:color="auto"/>
              <w:right w:val="single" w:sz="12" w:space="0" w:color="auto"/>
            </w:tcBorders>
            <w:noWrap/>
          </w:tcPr>
          <w:p w14:paraId="2793F264" w14:textId="68C4DE6E"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45,89</w:t>
            </w:r>
          </w:p>
        </w:tc>
      </w:tr>
      <w:tr w:rsidR="00041EC2" w:rsidRPr="003B4324" w14:paraId="04383178" w14:textId="77777777" w:rsidTr="000C6670">
        <w:trPr>
          <w:trHeight w:val="300"/>
        </w:trPr>
        <w:tc>
          <w:tcPr>
            <w:tcW w:w="1271" w:type="dxa"/>
            <w:vMerge/>
            <w:tcBorders>
              <w:top w:val="single" w:sz="8" w:space="0" w:color="auto"/>
              <w:left w:val="single" w:sz="12" w:space="0" w:color="auto"/>
              <w:bottom w:val="single" w:sz="8" w:space="0" w:color="auto"/>
              <w:right w:val="single" w:sz="8" w:space="0" w:color="auto"/>
            </w:tcBorders>
            <w:shd w:val="clear" w:color="auto" w:fill="E7E6E6"/>
            <w:noWrap/>
          </w:tcPr>
          <w:p w14:paraId="6B66213D"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tcBorders>
              <w:top w:val="single" w:sz="8" w:space="0" w:color="auto"/>
              <w:left w:val="single" w:sz="8" w:space="0" w:color="auto"/>
              <w:bottom w:val="single" w:sz="8" w:space="0" w:color="auto"/>
              <w:right w:val="single" w:sz="8" w:space="0" w:color="auto"/>
            </w:tcBorders>
            <w:noWrap/>
          </w:tcPr>
          <w:p w14:paraId="48160C15" w14:textId="77777777" w:rsidR="00041EC2" w:rsidRPr="002574F2"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2035</w:t>
            </w:r>
          </w:p>
        </w:tc>
        <w:tc>
          <w:tcPr>
            <w:tcW w:w="992" w:type="dxa"/>
            <w:tcBorders>
              <w:top w:val="single" w:sz="8" w:space="0" w:color="auto"/>
              <w:left w:val="single" w:sz="8" w:space="0" w:color="auto"/>
              <w:bottom w:val="single" w:sz="8" w:space="0" w:color="auto"/>
              <w:right w:val="single" w:sz="8" w:space="0" w:color="auto"/>
            </w:tcBorders>
            <w:noWrap/>
          </w:tcPr>
          <w:p w14:paraId="10DA6344" w14:textId="109B4317"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tcBorders>
              <w:top w:val="single" w:sz="8" w:space="0" w:color="auto"/>
              <w:left w:val="single" w:sz="8" w:space="0" w:color="auto"/>
              <w:bottom w:val="single" w:sz="8" w:space="0" w:color="auto"/>
              <w:right w:val="single" w:sz="8" w:space="0" w:color="auto"/>
            </w:tcBorders>
            <w:noWrap/>
          </w:tcPr>
          <w:p w14:paraId="251ECED1" w14:textId="7D65435B"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32,85</w:t>
            </w:r>
          </w:p>
        </w:tc>
        <w:tc>
          <w:tcPr>
            <w:tcW w:w="992" w:type="dxa"/>
            <w:tcBorders>
              <w:top w:val="single" w:sz="8" w:space="0" w:color="auto"/>
              <w:left w:val="single" w:sz="8" w:space="0" w:color="auto"/>
              <w:bottom w:val="single" w:sz="8" w:space="0" w:color="auto"/>
              <w:right w:val="single" w:sz="8" w:space="0" w:color="auto"/>
            </w:tcBorders>
            <w:noWrap/>
          </w:tcPr>
          <w:p w14:paraId="29F0FAB9" w14:textId="1D6FDCC2"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851" w:type="dxa"/>
            <w:tcBorders>
              <w:top w:val="single" w:sz="8" w:space="0" w:color="auto"/>
              <w:left w:val="single" w:sz="8" w:space="0" w:color="auto"/>
              <w:bottom w:val="single" w:sz="8" w:space="0" w:color="auto"/>
              <w:right w:val="single" w:sz="8" w:space="0" w:color="auto"/>
            </w:tcBorders>
            <w:noWrap/>
          </w:tcPr>
          <w:p w14:paraId="1CCF5A09" w14:textId="0750DBF9"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1,79</w:t>
            </w:r>
          </w:p>
        </w:tc>
        <w:tc>
          <w:tcPr>
            <w:tcW w:w="1134" w:type="dxa"/>
            <w:tcBorders>
              <w:top w:val="single" w:sz="8" w:space="0" w:color="auto"/>
              <w:left w:val="single" w:sz="8" w:space="0" w:color="auto"/>
              <w:bottom w:val="single" w:sz="8" w:space="0" w:color="auto"/>
              <w:right w:val="single" w:sz="8" w:space="0" w:color="auto"/>
            </w:tcBorders>
            <w:noWrap/>
          </w:tcPr>
          <w:p w14:paraId="59BDC20A" w14:textId="3FEFB5DD"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0,21</w:t>
            </w:r>
          </w:p>
        </w:tc>
        <w:tc>
          <w:tcPr>
            <w:tcW w:w="850" w:type="dxa"/>
            <w:tcBorders>
              <w:top w:val="single" w:sz="8" w:space="0" w:color="auto"/>
              <w:left w:val="single" w:sz="8" w:space="0" w:color="auto"/>
              <w:bottom w:val="single" w:sz="8" w:space="0" w:color="auto"/>
              <w:right w:val="single" w:sz="8" w:space="0" w:color="auto"/>
            </w:tcBorders>
            <w:noWrap/>
          </w:tcPr>
          <w:p w14:paraId="5FC9F15E" w14:textId="0581A5C2"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11,06</w:t>
            </w:r>
          </w:p>
        </w:tc>
        <w:tc>
          <w:tcPr>
            <w:tcW w:w="709" w:type="dxa"/>
            <w:tcBorders>
              <w:top w:val="single" w:sz="8" w:space="0" w:color="auto"/>
              <w:left w:val="single" w:sz="8" w:space="0" w:color="auto"/>
              <w:bottom w:val="single" w:sz="8" w:space="0" w:color="auto"/>
              <w:right w:val="single" w:sz="8" w:space="0" w:color="auto"/>
            </w:tcBorders>
            <w:noWrap/>
          </w:tcPr>
          <w:p w14:paraId="613D8707" w14:textId="4EBC3CE5"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1,92</w:t>
            </w:r>
          </w:p>
        </w:tc>
        <w:tc>
          <w:tcPr>
            <w:tcW w:w="709" w:type="dxa"/>
            <w:tcBorders>
              <w:top w:val="single" w:sz="8" w:space="0" w:color="auto"/>
              <w:left w:val="single" w:sz="8" w:space="0" w:color="auto"/>
              <w:bottom w:val="single" w:sz="8" w:space="0" w:color="auto"/>
              <w:right w:val="single" w:sz="8" w:space="0" w:color="auto"/>
            </w:tcBorders>
            <w:noWrap/>
          </w:tcPr>
          <w:p w14:paraId="1071F641" w14:textId="081A318F"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0,51</w:t>
            </w:r>
          </w:p>
        </w:tc>
        <w:tc>
          <w:tcPr>
            <w:tcW w:w="850" w:type="dxa"/>
            <w:tcBorders>
              <w:top w:val="single" w:sz="8" w:space="0" w:color="auto"/>
              <w:left w:val="single" w:sz="8" w:space="0" w:color="auto"/>
              <w:bottom w:val="single" w:sz="8" w:space="0" w:color="auto"/>
              <w:right w:val="single" w:sz="12" w:space="0" w:color="auto"/>
            </w:tcBorders>
            <w:noWrap/>
          </w:tcPr>
          <w:p w14:paraId="7F00E5DD" w14:textId="48B0C292"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48,33</w:t>
            </w:r>
          </w:p>
        </w:tc>
      </w:tr>
      <w:tr w:rsidR="00041EC2" w:rsidRPr="003B4324" w14:paraId="208F6B3A" w14:textId="77777777" w:rsidTr="000C6670">
        <w:trPr>
          <w:trHeight w:val="300"/>
        </w:trPr>
        <w:tc>
          <w:tcPr>
            <w:tcW w:w="1271" w:type="dxa"/>
            <w:vMerge/>
            <w:tcBorders>
              <w:top w:val="single" w:sz="8" w:space="0" w:color="auto"/>
              <w:left w:val="single" w:sz="12" w:space="0" w:color="auto"/>
              <w:bottom w:val="single" w:sz="8" w:space="0" w:color="auto"/>
              <w:right w:val="single" w:sz="8" w:space="0" w:color="auto"/>
            </w:tcBorders>
            <w:shd w:val="clear" w:color="auto" w:fill="E7E6E6"/>
            <w:noWrap/>
          </w:tcPr>
          <w:p w14:paraId="0F21DFD9"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tcBorders>
              <w:top w:val="single" w:sz="8" w:space="0" w:color="auto"/>
              <w:left w:val="single" w:sz="8" w:space="0" w:color="auto"/>
              <w:bottom w:val="single" w:sz="8" w:space="0" w:color="auto"/>
              <w:right w:val="single" w:sz="8" w:space="0" w:color="auto"/>
            </w:tcBorders>
            <w:noWrap/>
          </w:tcPr>
          <w:p w14:paraId="21953C6F" w14:textId="77777777" w:rsidR="00041EC2" w:rsidRPr="002574F2"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2040</w:t>
            </w:r>
          </w:p>
        </w:tc>
        <w:tc>
          <w:tcPr>
            <w:tcW w:w="992" w:type="dxa"/>
            <w:tcBorders>
              <w:top w:val="single" w:sz="8" w:space="0" w:color="auto"/>
              <w:left w:val="single" w:sz="8" w:space="0" w:color="auto"/>
              <w:bottom w:val="single" w:sz="8" w:space="0" w:color="auto"/>
              <w:right w:val="single" w:sz="8" w:space="0" w:color="auto"/>
            </w:tcBorders>
            <w:noWrap/>
          </w:tcPr>
          <w:p w14:paraId="753C356E" w14:textId="70AF1349"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tcBorders>
              <w:top w:val="single" w:sz="8" w:space="0" w:color="auto"/>
              <w:left w:val="single" w:sz="8" w:space="0" w:color="auto"/>
              <w:bottom w:val="single" w:sz="8" w:space="0" w:color="auto"/>
              <w:right w:val="single" w:sz="8" w:space="0" w:color="auto"/>
            </w:tcBorders>
            <w:noWrap/>
          </w:tcPr>
          <w:p w14:paraId="21DAA543" w14:textId="63E15507"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34,50</w:t>
            </w:r>
          </w:p>
        </w:tc>
        <w:tc>
          <w:tcPr>
            <w:tcW w:w="992" w:type="dxa"/>
            <w:tcBorders>
              <w:top w:val="single" w:sz="8" w:space="0" w:color="auto"/>
              <w:left w:val="single" w:sz="8" w:space="0" w:color="auto"/>
              <w:bottom w:val="single" w:sz="8" w:space="0" w:color="auto"/>
              <w:right w:val="single" w:sz="8" w:space="0" w:color="auto"/>
            </w:tcBorders>
            <w:noWrap/>
          </w:tcPr>
          <w:p w14:paraId="5C02CF2F" w14:textId="33885A4C"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851" w:type="dxa"/>
            <w:tcBorders>
              <w:top w:val="single" w:sz="8" w:space="0" w:color="auto"/>
              <w:left w:val="single" w:sz="8" w:space="0" w:color="auto"/>
              <w:bottom w:val="single" w:sz="8" w:space="0" w:color="auto"/>
              <w:right w:val="single" w:sz="8" w:space="0" w:color="auto"/>
            </w:tcBorders>
            <w:noWrap/>
          </w:tcPr>
          <w:p w14:paraId="72D321BA" w14:textId="52CE3CB3"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1,50</w:t>
            </w:r>
          </w:p>
        </w:tc>
        <w:tc>
          <w:tcPr>
            <w:tcW w:w="1134" w:type="dxa"/>
            <w:tcBorders>
              <w:top w:val="single" w:sz="8" w:space="0" w:color="auto"/>
              <w:left w:val="single" w:sz="8" w:space="0" w:color="auto"/>
              <w:bottom w:val="single" w:sz="8" w:space="0" w:color="auto"/>
              <w:right w:val="single" w:sz="8" w:space="0" w:color="auto"/>
            </w:tcBorders>
            <w:noWrap/>
          </w:tcPr>
          <w:p w14:paraId="28C1CCBD" w14:textId="659DD6B9"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0,21</w:t>
            </w:r>
          </w:p>
        </w:tc>
        <w:tc>
          <w:tcPr>
            <w:tcW w:w="850" w:type="dxa"/>
            <w:tcBorders>
              <w:top w:val="single" w:sz="8" w:space="0" w:color="auto"/>
              <w:left w:val="single" w:sz="8" w:space="0" w:color="auto"/>
              <w:bottom w:val="single" w:sz="8" w:space="0" w:color="auto"/>
              <w:right w:val="single" w:sz="8" w:space="0" w:color="auto"/>
            </w:tcBorders>
            <w:noWrap/>
          </w:tcPr>
          <w:p w14:paraId="2DD8455B" w14:textId="7E1DAAC1"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12,50</w:t>
            </w:r>
          </w:p>
        </w:tc>
        <w:tc>
          <w:tcPr>
            <w:tcW w:w="709" w:type="dxa"/>
            <w:tcBorders>
              <w:top w:val="single" w:sz="8" w:space="0" w:color="auto"/>
              <w:left w:val="single" w:sz="8" w:space="0" w:color="auto"/>
              <w:bottom w:val="single" w:sz="8" w:space="0" w:color="auto"/>
              <w:right w:val="single" w:sz="8" w:space="0" w:color="auto"/>
            </w:tcBorders>
            <w:noWrap/>
          </w:tcPr>
          <w:p w14:paraId="5CE96D9A" w14:textId="71DDC58D"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1,92</w:t>
            </w:r>
          </w:p>
        </w:tc>
        <w:tc>
          <w:tcPr>
            <w:tcW w:w="709" w:type="dxa"/>
            <w:tcBorders>
              <w:top w:val="single" w:sz="8" w:space="0" w:color="auto"/>
              <w:left w:val="single" w:sz="8" w:space="0" w:color="auto"/>
              <w:bottom w:val="single" w:sz="8" w:space="0" w:color="auto"/>
              <w:right w:val="single" w:sz="8" w:space="0" w:color="auto"/>
            </w:tcBorders>
            <w:noWrap/>
          </w:tcPr>
          <w:p w14:paraId="021E99F8" w14:textId="24756BDC"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0,50</w:t>
            </w:r>
          </w:p>
        </w:tc>
        <w:tc>
          <w:tcPr>
            <w:tcW w:w="850" w:type="dxa"/>
            <w:tcBorders>
              <w:top w:val="single" w:sz="8" w:space="0" w:color="auto"/>
              <w:left w:val="single" w:sz="8" w:space="0" w:color="auto"/>
              <w:bottom w:val="single" w:sz="8" w:space="0" w:color="auto"/>
              <w:right w:val="single" w:sz="12" w:space="0" w:color="auto"/>
            </w:tcBorders>
            <w:noWrap/>
          </w:tcPr>
          <w:p w14:paraId="6B057D95" w14:textId="6B7B2C3A"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51,14</w:t>
            </w:r>
          </w:p>
        </w:tc>
      </w:tr>
      <w:tr w:rsidR="00041EC2" w:rsidRPr="003B4324" w14:paraId="6931E852" w14:textId="77777777" w:rsidTr="000C6670">
        <w:trPr>
          <w:trHeight w:val="300"/>
        </w:trPr>
        <w:tc>
          <w:tcPr>
            <w:tcW w:w="1271" w:type="dxa"/>
            <w:vMerge/>
            <w:tcBorders>
              <w:top w:val="single" w:sz="8" w:space="0" w:color="auto"/>
              <w:left w:val="single" w:sz="12" w:space="0" w:color="auto"/>
              <w:bottom w:val="single" w:sz="8" w:space="0" w:color="auto"/>
              <w:right w:val="single" w:sz="8" w:space="0" w:color="auto"/>
            </w:tcBorders>
            <w:shd w:val="clear" w:color="auto" w:fill="E7E6E6"/>
            <w:noWrap/>
          </w:tcPr>
          <w:p w14:paraId="0A0E3071"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tcBorders>
              <w:top w:val="single" w:sz="8" w:space="0" w:color="auto"/>
              <w:left w:val="single" w:sz="8" w:space="0" w:color="auto"/>
              <w:bottom w:val="single" w:sz="8" w:space="0" w:color="auto"/>
              <w:right w:val="single" w:sz="8" w:space="0" w:color="auto"/>
            </w:tcBorders>
            <w:noWrap/>
          </w:tcPr>
          <w:p w14:paraId="5D650E8E" w14:textId="77777777" w:rsidR="00041EC2" w:rsidRPr="002574F2"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2045</w:t>
            </w:r>
          </w:p>
        </w:tc>
        <w:tc>
          <w:tcPr>
            <w:tcW w:w="992" w:type="dxa"/>
            <w:tcBorders>
              <w:top w:val="single" w:sz="8" w:space="0" w:color="auto"/>
              <w:left w:val="single" w:sz="8" w:space="0" w:color="auto"/>
              <w:bottom w:val="single" w:sz="8" w:space="0" w:color="auto"/>
              <w:right w:val="single" w:sz="8" w:space="0" w:color="auto"/>
            </w:tcBorders>
            <w:noWrap/>
          </w:tcPr>
          <w:p w14:paraId="08EC3D93" w14:textId="4FBE1BA1"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tcBorders>
              <w:top w:val="single" w:sz="8" w:space="0" w:color="auto"/>
              <w:left w:val="single" w:sz="8" w:space="0" w:color="auto"/>
              <w:bottom w:val="single" w:sz="8" w:space="0" w:color="auto"/>
              <w:right w:val="single" w:sz="8" w:space="0" w:color="auto"/>
            </w:tcBorders>
            <w:noWrap/>
          </w:tcPr>
          <w:p w14:paraId="6A02D7AA" w14:textId="110CDF39"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36,85</w:t>
            </w:r>
          </w:p>
        </w:tc>
        <w:tc>
          <w:tcPr>
            <w:tcW w:w="992" w:type="dxa"/>
            <w:tcBorders>
              <w:top w:val="single" w:sz="8" w:space="0" w:color="auto"/>
              <w:left w:val="single" w:sz="8" w:space="0" w:color="auto"/>
              <w:bottom w:val="single" w:sz="8" w:space="0" w:color="auto"/>
              <w:right w:val="single" w:sz="8" w:space="0" w:color="auto"/>
            </w:tcBorders>
            <w:noWrap/>
          </w:tcPr>
          <w:p w14:paraId="0A18757E" w14:textId="5FF6A023"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851" w:type="dxa"/>
            <w:tcBorders>
              <w:top w:val="single" w:sz="8" w:space="0" w:color="auto"/>
              <w:left w:val="single" w:sz="8" w:space="0" w:color="auto"/>
              <w:bottom w:val="single" w:sz="8" w:space="0" w:color="auto"/>
              <w:right w:val="single" w:sz="8" w:space="0" w:color="auto"/>
            </w:tcBorders>
            <w:noWrap/>
          </w:tcPr>
          <w:p w14:paraId="6760295B" w14:textId="712A41AA"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0,98</w:t>
            </w:r>
          </w:p>
        </w:tc>
        <w:tc>
          <w:tcPr>
            <w:tcW w:w="1134" w:type="dxa"/>
            <w:tcBorders>
              <w:top w:val="single" w:sz="8" w:space="0" w:color="auto"/>
              <w:left w:val="single" w:sz="8" w:space="0" w:color="auto"/>
              <w:bottom w:val="single" w:sz="8" w:space="0" w:color="auto"/>
              <w:right w:val="single" w:sz="8" w:space="0" w:color="auto"/>
            </w:tcBorders>
            <w:noWrap/>
          </w:tcPr>
          <w:p w14:paraId="6F1F65F1" w14:textId="362C9111"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0,20</w:t>
            </w:r>
          </w:p>
        </w:tc>
        <w:tc>
          <w:tcPr>
            <w:tcW w:w="850" w:type="dxa"/>
            <w:tcBorders>
              <w:top w:val="single" w:sz="8" w:space="0" w:color="auto"/>
              <w:left w:val="single" w:sz="8" w:space="0" w:color="auto"/>
              <w:bottom w:val="single" w:sz="8" w:space="0" w:color="auto"/>
              <w:right w:val="single" w:sz="8" w:space="0" w:color="auto"/>
            </w:tcBorders>
            <w:noWrap/>
          </w:tcPr>
          <w:p w14:paraId="2296BF3F" w14:textId="58080FCC"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12,50</w:t>
            </w:r>
          </w:p>
        </w:tc>
        <w:tc>
          <w:tcPr>
            <w:tcW w:w="709" w:type="dxa"/>
            <w:tcBorders>
              <w:top w:val="single" w:sz="8" w:space="0" w:color="auto"/>
              <w:left w:val="single" w:sz="8" w:space="0" w:color="auto"/>
              <w:bottom w:val="single" w:sz="8" w:space="0" w:color="auto"/>
              <w:right w:val="single" w:sz="8" w:space="0" w:color="auto"/>
            </w:tcBorders>
            <w:noWrap/>
          </w:tcPr>
          <w:p w14:paraId="0C338E8F" w14:textId="2E905E54"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1,91</w:t>
            </w:r>
          </w:p>
        </w:tc>
        <w:tc>
          <w:tcPr>
            <w:tcW w:w="709" w:type="dxa"/>
            <w:tcBorders>
              <w:top w:val="single" w:sz="8" w:space="0" w:color="auto"/>
              <w:left w:val="single" w:sz="8" w:space="0" w:color="auto"/>
              <w:bottom w:val="single" w:sz="8" w:space="0" w:color="auto"/>
              <w:right w:val="single" w:sz="8" w:space="0" w:color="auto"/>
            </w:tcBorders>
            <w:noWrap/>
          </w:tcPr>
          <w:p w14:paraId="30F0C00B" w14:textId="009B3407"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0,49</w:t>
            </w:r>
          </w:p>
        </w:tc>
        <w:tc>
          <w:tcPr>
            <w:tcW w:w="850" w:type="dxa"/>
            <w:tcBorders>
              <w:top w:val="single" w:sz="8" w:space="0" w:color="auto"/>
              <w:left w:val="single" w:sz="8" w:space="0" w:color="auto"/>
              <w:bottom w:val="single" w:sz="8" w:space="0" w:color="auto"/>
              <w:right w:val="single" w:sz="12" w:space="0" w:color="auto"/>
            </w:tcBorders>
            <w:noWrap/>
          </w:tcPr>
          <w:p w14:paraId="1F043366" w14:textId="5528215A"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52,94</w:t>
            </w:r>
          </w:p>
        </w:tc>
      </w:tr>
      <w:tr w:rsidR="00041EC2" w:rsidRPr="003B4324" w14:paraId="37306BB0" w14:textId="77777777" w:rsidTr="000C6670">
        <w:trPr>
          <w:trHeight w:val="300"/>
        </w:trPr>
        <w:tc>
          <w:tcPr>
            <w:tcW w:w="1271" w:type="dxa"/>
            <w:vMerge/>
            <w:tcBorders>
              <w:top w:val="single" w:sz="8" w:space="0" w:color="auto"/>
              <w:left w:val="single" w:sz="12" w:space="0" w:color="auto"/>
              <w:bottom w:val="single" w:sz="12" w:space="0" w:color="auto"/>
              <w:right w:val="single" w:sz="8" w:space="0" w:color="auto"/>
            </w:tcBorders>
            <w:shd w:val="clear" w:color="auto" w:fill="E7E6E6"/>
            <w:noWrap/>
          </w:tcPr>
          <w:p w14:paraId="204D000D"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tcBorders>
              <w:top w:val="single" w:sz="8" w:space="0" w:color="auto"/>
              <w:left w:val="single" w:sz="8" w:space="0" w:color="auto"/>
              <w:bottom w:val="single" w:sz="12" w:space="0" w:color="auto"/>
              <w:right w:val="single" w:sz="8" w:space="0" w:color="auto"/>
            </w:tcBorders>
            <w:noWrap/>
          </w:tcPr>
          <w:p w14:paraId="4507A932" w14:textId="77777777" w:rsidR="00041EC2" w:rsidRPr="002574F2"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2050</w:t>
            </w:r>
          </w:p>
        </w:tc>
        <w:tc>
          <w:tcPr>
            <w:tcW w:w="992" w:type="dxa"/>
            <w:tcBorders>
              <w:top w:val="single" w:sz="8" w:space="0" w:color="auto"/>
              <w:left w:val="single" w:sz="8" w:space="0" w:color="auto"/>
              <w:bottom w:val="single" w:sz="12" w:space="0" w:color="auto"/>
              <w:right w:val="single" w:sz="8" w:space="0" w:color="auto"/>
            </w:tcBorders>
            <w:noWrap/>
          </w:tcPr>
          <w:p w14:paraId="51F2BF06" w14:textId="77782A65"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tcBorders>
              <w:top w:val="single" w:sz="8" w:space="0" w:color="auto"/>
              <w:left w:val="single" w:sz="8" w:space="0" w:color="auto"/>
              <w:bottom w:val="single" w:sz="12" w:space="0" w:color="auto"/>
              <w:right w:val="single" w:sz="8" w:space="0" w:color="auto"/>
            </w:tcBorders>
            <w:noWrap/>
          </w:tcPr>
          <w:p w14:paraId="68973D8B" w14:textId="7D4FA59B"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32,15</w:t>
            </w:r>
          </w:p>
        </w:tc>
        <w:tc>
          <w:tcPr>
            <w:tcW w:w="992" w:type="dxa"/>
            <w:tcBorders>
              <w:top w:val="single" w:sz="8" w:space="0" w:color="auto"/>
              <w:left w:val="single" w:sz="8" w:space="0" w:color="auto"/>
              <w:bottom w:val="single" w:sz="12" w:space="0" w:color="auto"/>
              <w:right w:val="single" w:sz="8" w:space="0" w:color="auto"/>
            </w:tcBorders>
            <w:noWrap/>
          </w:tcPr>
          <w:p w14:paraId="0D20DAB6" w14:textId="21F48123"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851" w:type="dxa"/>
            <w:tcBorders>
              <w:top w:val="single" w:sz="8" w:space="0" w:color="auto"/>
              <w:left w:val="single" w:sz="8" w:space="0" w:color="auto"/>
              <w:bottom w:val="single" w:sz="12" w:space="0" w:color="auto"/>
              <w:right w:val="single" w:sz="8" w:space="0" w:color="auto"/>
            </w:tcBorders>
            <w:noWrap/>
          </w:tcPr>
          <w:p w14:paraId="40732A18" w14:textId="07B545B7"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1,39</w:t>
            </w:r>
          </w:p>
        </w:tc>
        <w:tc>
          <w:tcPr>
            <w:tcW w:w="1134" w:type="dxa"/>
            <w:tcBorders>
              <w:top w:val="single" w:sz="8" w:space="0" w:color="auto"/>
              <w:left w:val="single" w:sz="8" w:space="0" w:color="auto"/>
              <w:bottom w:val="single" w:sz="12" w:space="0" w:color="auto"/>
              <w:right w:val="single" w:sz="8" w:space="0" w:color="auto"/>
            </w:tcBorders>
            <w:noWrap/>
          </w:tcPr>
          <w:p w14:paraId="1D22BA7B" w14:textId="4A1BB33E"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0,21</w:t>
            </w:r>
          </w:p>
        </w:tc>
        <w:tc>
          <w:tcPr>
            <w:tcW w:w="850" w:type="dxa"/>
            <w:tcBorders>
              <w:top w:val="single" w:sz="8" w:space="0" w:color="auto"/>
              <w:left w:val="single" w:sz="8" w:space="0" w:color="auto"/>
              <w:bottom w:val="single" w:sz="12" w:space="0" w:color="auto"/>
              <w:right w:val="single" w:sz="8" w:space="0" w:color="auto"/>
            </w:tcBorders>
            <w:noWrap/>
          </w:tcPr>
          <w:p w14:paraId="5858B967" w14:textId="6E21C0E6"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13,79</w:t>
            </w:r>
          </w:p>
        </w:tc>
        <w:tc>
          <w:tcPr>
            <w:tcW w:w="709" w:type="dxa"/>
            <w:tcBorders>
              <w:top w:val="single" w:sz="8" w:space="0" w:color="auto"/>
              <w:left w:val="single" w:sz="8" w:space="0" w:color="auto"/>
              <w:bottom w:val="single" w:sz="12" w:space="0" w:color="auto"/>
              <w:right w:val="single" w:sz="8" w:space="0" w:color="auto"/>
            </w:tcBorders>
            <w:noWrap/>
          </w:tcPr>
          <w:p w14:paraId="5ECD9183" w14:textId="290A2DF8"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4,20</w:t>
            </w:r>
          </w:p>
        </w:tc>
        <w:tc>
          <w:tcPr>
            <w:tcW w:w="709" w:type="dxa"/>
            <w:tcBorders>
              <w:top w:val="single" w:sz="8" w:space="0" w:color="auto"/>
              <w:left w:val="single" w:sz="8" w:space="0" w:color="auto"/>
              <w:bottom w:val="single" w:sz="12" w:space="0" w:color="auto"/>
              <w:right w:val="single" w:sz="8" w:space="0" w:color="auto"/>
            </w:tcBorders>
            <w:noWrap/>
          </w:tcPr>
          <w:p w14:paraId="0F543A6A" w14:textId="34A8952A"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2,36</w:t>
            </w:r>
          </w:p>
        </w:tc>
        <w:tc>
          <w:tcPr>
            <w:tcW w:w="850" w:type="dxa"/>
            <w:tcBorders>
              <w:top w:val="single" w:sz="8" w:space="0" w:color="auto"/>
              <w:left w:val="single" w:sz="8" w:space="0" w:color="auto"/>
              <w:bottom w:val="single" w:sz="12" w:space="0" w:color="auto"/>
              <w:right w:val="single" w:sz="12" w:space="0" w:color="auto"/>
            </w:tcBorders>
            <w:noWrap/>
          </w:tcPr>
          <w:p w14:paraId="2D51B699" w14:textId="427F17A4" w:rsidR="00041EC2" w:rsidRPr="002574F2"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54,10</w:t>
            </w:r>
          </w:p>
        </w:tc>
      </w:tr>
      <w:tr w:rsidR="00041EC2" w:rsidRPr="003B4324" w14:paraId="3B266390" w14:textId="77777777" w:rsidTr="000A2AFE">
        <w:trPr>
          <w:trHeight w:val="300"/>
        </w:trPr>
        <w:tc>
          <w:tcPr>
            <w:tcW w:w="1271" w:type="dxa"/>
            <w:vMerge w:val="restart"/>
            <w:tcBorders>
              <w:top w:val="single" w:sz="12" w:space="0" w:color="auto"/>
              <w:left w:val="single" w:sz="12" w:space="0" w:color="auto"/>
            </w:tcBorders>
            <w:shd w:val="clear" w:color="auto" w:fill="E7E6E6"/>
            <w:noWrap/>
            <w:vAlign w:val="center"/>
          </w:tcPr>
          <w:p w14:paraId="749D2669" w14:textId="05918868" w:rsidR="00041EC2" w:rsidRPr="004254D2" w:rsidRDefault="00041EC2" w:rsidP="00041EC2">
            <w:pPr>
              <w:spacing w:after="0" w:line="240" w:lineRule="auto"/>
              <w:jc w:val="left"/>
              <w:rPr>
                <w:rFonts w:ascii="Calibri Light" w:hAnsi="Calibri Light" w:cs="Calibri Light"/>
                <w:color w:val="000000" w:themeColor="text1"/>
              </w:rPr>
            </w:pPr>
            <w:r w:rsidRPr="00B91F38">
              <w:rPr>
                <w:rFonts w:ascii="Calibri Light" w:hAnsi="Calibri Light" w:cs="Calibri Light"/>
                <w:color w:val="000000" w:themeColor="text1"/>
              </w:rPr>
              <w:t>Сценарио-S</w:t>
            </w:r>
          </w:p>
        </w:tc>
        <w:tc>
          <w:tcPr>
            <w:tcW w:w="709" w:type="dxa"/>
            <w:tcBorders>
              <w:top w:val="single" w:sz="12" w:space="0" w:color="auto"/>
            </w:tcBorders>
            <w:noWrap/>
          </w:tcPr>
          <w:p w14:paraId="4BD77B10" w14:textId="77777777" w:rsidR="00041EC2" w:rsidRPr="00B37318"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2019</w:t>
            </w:r>
          </w:p>
        </w:tc>
        <w:tc>
          <w:tcPr>
            <w:tcW w:w="992" w:type="dxa"/>
            <w:tcBorders>
              <w:top w:val="single" w:sz="12" w:space="0" w:color="auto"/>
            </w:tcBorders>
            <w:noWrap/>
          </w:tcPr>
          <w:p w14:paraId="2498E477" w14:textId="391D5D3E"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tcBorders>
              <w:top w:val="single" w:sz="12" w:space="0" w:color="auto"/>
            </w:tcBorders>
            <w:noWrap/>
          </w:tcPr>
          <w:p w14:paraId="18815FEE" w14:textId="21D09601"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25,55</w:t>
            </w:r>
          </w:p>
        </w:tc>
        <w:tc>
          <w:tcPr>
            <w:tcW w:w="992" w:type="dxa"/>
            <w:tcBorders>
              <w:top w:val="single" w:sz="12" w:space="0" w:color="auto"/>
            </w:tcBorders>
            <w:noWrap/>
          </w:tcPr>
          <w:p w14:paraId="3649F7DE" w14:textId="5190CB3A"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0,05</w:t>
            </w:r>
          </w:p>
        </w:tc>
        <w:tc>
          <w:tcPr>
            <w:tcW w:w="851" w:type="dxa"/>
            <w:tcBorders>
              <w:top w:val="single" w:sz="12" w:space="0" w:color="auto"/>
            </w:tcBorders>
            <w:noWrap/>
          </w:tcPr>
          <w:p w14:paraId="4EB6C149" w14:textId="0B1E5509"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0,73</w:t>
            </w:r>
          </w:p>
        </w:tc>
        <w:tc>
          <w:tcPr>
            <w:tcW w:w="1134" w:type="dxa"/>
            <w:tcBorders>
              <w:top w:val="single" w:sz="12" w:space="0" w:color="auto"/>
            </w:tcBorders>
            <w:noWrap/>
          </w:tcPr>
          <w:p w14:paraId="5421EBDA" w14:textId="0E5E786B"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0,16</w:t>
            </w:r>
          </w:p>
        </w:tc>
        <w:tc>
          <w:tcPr>
            <w:tcW w:w="850" w:type="dxa"/>
            <w:tcBorders>
              <w:top w:val="single" w:sz="12" w:space="0" w:color="auto"/>
            </w:tcBorders>
            <w:noWrap/>
          </w:tcPr>
          <w:p w14:paraId="3461FE56" w14:textId="46B551D3"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9,46</w:t>
            </w:r>
          </w:p>
        </w:tc>
        <w:tc>
          <w:tcPr>
            <w:tcW w:w="709" w:type="dxa"/>
            <w:tcBorders>
              <w:top w:val="single" w:sz="12" w:space="0" w:color="auto"/>
            </w:tcBorders>
            <w:noWrap/>
          </w:tcPr>
          <w:p w14:paraId="2E66F18D" w14:textId="633B5036"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0,90</w:t>
            </w:r>
          </w:p>
        </w:tc>
        <w:tc>
          <w:tcPr>
            <w:tcW w:w="709" w:type="dxa"/>
            <w:tcBorders>
              <w:top w:val="single" w:sz="12" w:space="0" w:color="auto"/>
            </w:tcBorders>
            <w:noWrap/>
          </w:tcPr>
          <w:p w14:paraId="3E4D6C90" w14:textId="7585A49B"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0,01</w:t>
            </w:r>
          </w:p>
        </w:tc>
        <w:tc>
          <w:tcPr>
            <w:tcW w:w="850" w:type="dxa"/>
            <w:tcBorders>
              <w:top w:val="single" w:sz="12" w:space="0" w:color="auto"/>
              <w:right w:val="single" w:sz="12" w:space="0" w:color="auto"/>
            </w:tcBorders>
            <w:noWrap/>
          </w:tcPr>
          <w:p w14:paraId="3B4AAEF3" w14:textId="23D60A1D"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36,85</w:t>
            </w:r>
          </w:p>
        </w:tc>
      </w:tr>
      <w:tr w:rsidR="00041EC2" w:rsidRPr="003B4324" w14:paraId="0AA7D365" w14:textId="77777777" w:rsidTr="000A2AFE">
        <w:trPr>
          <w:trHeight w:val="300"/>
        </w:trPr>
        <w:tc>
          <w:tcPr>
            <w:tcW w:w="1271" w:type="dxa"/>
            <w:vMerge/>
            <w:tcBorders>
              <w:left w:val="single" w:sz="12" w:space="0" w:color="auto"/>
            </w:tcBorders>
            <w:shd w:val="clear" w:color="auto" w:fill="E7E6E6"/>
            <w:noWrap/>
          </w:tcPr>
          <w:p w14:paraId="4AC6697F"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noWrap/>
          </w:tcPr>
          <w:p w14:paraId="38CA1357" w14:textId="77777777" w:rsidR="00041EC2" w:rsidRPr="00B37318"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2025</w:t>
            </w:r>
          </w:p>
        </w:tc>
        <w:tc>
          <w:tcPr>
            <w:tcW w:w="992" w:type="dxa"/>
            <w:noWrap/>
          </w:tcPr>
          <w:p w14:paraId="3B54C127" w14:textId="1B2524D6"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noWrap/>
          </w:tcPr>
          <w:p w14:paraId="3D82D91F" w14:textId="38709E37"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24,27</w:t>
            </w:r>
          </w:p>
        </w:tc>
        <w:tc>
          <w:tcPr>
            <w:tcW w:w="992" w:type="dxa"/>
            <w:noWrap/>
          </w:tcPr>
          <w:p w14:paraId="5FD05FF0" w14:textId="669D1DA3"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0,02</w:t>
            </w:r>
          </w:p>
        </w:tc>
        <w:tc>
          <w:tcPr>
            <w:tcW w:w="851" w:type="dxa"/>
            <w:noWrap/>
          </w:tcPr>
          <w:p w14:paraId="57FD66AF" w14:textId="356C5DCA"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1,41</w:t>
            </w:r>
          </w:p>
        </w:tc>
        <w:tc>
          <w:tcPr>
            <w:tcW w:w="1134" w:type="dxa"/>
            <w:noWrap/>
          </w:tcPr>
          <w:p w14:paraId="2F592204" w14:textId="35AA694B"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0,21</w:t>
            </w:r>
          </w:p>
        </w:tc>
        <w:tc>
          <w:tcPr>
            <w:tcW w:w="850" w:type="dxa"/>
            <w:noWrap/>
          </w:tcPr>
          <w:p w14:paraId="097AB026" w14:textId="4FF36502"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10,41</w:t>
            </w:r>
          </w:p>
        </w:tc>
        <w:tc>
          <w:tcPr>
            <w:tcW w:w="709" w:type="dxa"/>
            <w:noWrap/>
          </w:tcPr>
          <w:p w14:paraId="42C45A3A" w14:textId="35EADF55"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2,32</w:t>
            </w:r>
          </w:p>
        </w:tc>
        <w:tc>
          <w:tcPr>
            <w:tcW w:w="709" w:type="dxa"/>
            <w:noWrap/>
          </w:tcPr>
          <w:p w14:paraId="01C6344C" w14:textId="58E72601"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0,68</w:t>
            </w:r>
          </w:p>
        </w:tc>
        <w:tc>
          <w:tcPr>
            <w:tcW w:w="850" w:type="dxa"/>
            <w:tcBorders>
              <w:right w:val="single" w:sz="12" w:space="0" w:color="auto"/>
            </w:tcBorders>
            <w:noWrap/>
          </w:tcPr>
          <w:p w14:paraId="2BD0F731" w14:textId="2B023672"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39,31</w:t>
            </w:r>
          </w:p>
        </w:tc>
      </w:tr>
      <w:tr w:rsidR="00041EC2" w:rsidRPr="003B4324" w14:paraId="03D74102" w14:textId="77777777" w:rsidTr="000A2AFE">
        <w:trPr>
          <w:trHeight w:val="300"/>
        </w:trPr>
        <w:tc>
          <w:tcPr>
            <w:tcW w:w="1271" w:type="dxa"/>
            <w:vMerge/>
            <w:tcBorders>
              <w:left w:val="single" w:sz="12" w:space="0" w:color="auto"/>
            </w:tcBorders>
            <w:shd w:val="clear" w:color="auto" w:fill="E7E6E6"/>
            <w:noWrap/>
          </w:tcPr>
          <w:p w14:paraId="636583D5"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noWrap/>
          </w:tcPr>
          <w:p w14:paraId="487F80C8" w14:textId="77777777" w:rsidR="00041EC2" w:rsidRPr="00B37318"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2026</w:t>
            </w:r>
          </w:p>
        </w:tc>
        <w:tc>
          <w:tcPr>
            <w:tcW w:w="992" w:type="dxa"/>
            <w:noWrap/>
          </w:tcPr>
          <w:p w14:paraId="5E7C62E7" w14:textId="12817C89"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noWrap/>
          </w:tcPr>
          <w:p w14:paraId="64EB277C" w14:textId="0B5A33F5"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23,52</w:t>
            </w:r>
          </w:p>
        </w:tc>
        <w:tc>
          <w:tcPr>
            <w:tcW w:w="992" w:type="dxa"/>
            <w:noWrap/>
          </w:tcPr>
          <w:p w14:paraId="2C56ABA5" w14:textId="5EA9DFFA"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0,01</w:t>
            </w:r>
          </w:p>
        </w:tc>
        <w:tc>
          <w:tcPr>
            <w:tcW w:w="851" w:type="dxa"/>
            <w:noWrap/>
          </w:tcPr>
          <w:p w14:paraId="1403AC7D" w14:textId="14F0EDCF"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1,52</w:t>
            </w:r>
          </w:p>
        </w:tc>
        <w:tc>
          <w:tcPr>
            <w:tcW w:w="1134" w:type="dxa"/>
            <w:noWrap/>
          </w:tcPr>
          <w:p w14:paraId="6BFCFF30" w14:textId="19A1355A"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0,21</w:t>
            </w:r>
          </w:p>
        </w:tc>
        <w:tc>
          <w:tcPr>
            <w:tcW w:w="850" w:type="dxa"/>
            <w:noWrap/>
          </w:tcPr>
          <w:p w14:paraId="63D6D516" w14:textId="06506C50"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10,41</w:t>
            </w:r>
          </w:p>
        </w:tc>
        <w:tc>
          <w:tcPr>
            <w:tcW w:w="709" w:type="dxa"/>
            <w:noWrap/>
          </w:tcPr>
          <w:p w14:paraId="43B9A88D" w14:textId="085EE1AF"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2,71</w:t>
            </w:r>
          </w:p>
        </w:tc>
        <w:tc>
          <w:tcPr>
            <w:tcW w:w="709" w:type="dxa"/>
            <w:noWrap/>
          </w:tcPr>
          <w:p w14:paraId="4483F0DB" w14:textId="3EA5F341"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1,00</w:t>
            </w:r>
          </w:p>
        </w:tc>
        <w:tc>
          <w:tcPr>
            <w:tcW w:w="850" w:type="dxa"/>
            <w:tcBorders>
              <w:right w:val="single" w:sz="12" w:space="0" w:color="auto"/>
            </w:tcBorders>
            <w:noWrap/>
          </w:tcPr>
          <w:p w14:paraId="14BBCDEA" w14:textId="4EF413DD"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39,38</w:t>
            </w:r>
          </w:p>
        </w:tc>
      </w:tr>
      <w:tr w:rsidR="00041EC2" w:rsidRPr="003B4324" w14:paraId="34EF02F0" w14:textId="77777777" w:rsidTr="000A2AFE">
        <w:trPr>
          <w:trHeight w:val="300"/>
        </w:trPr>
        <w:tc>
          <w:tcPr>
            <w:tcW w:w="1271" w:type="dxa"/>
            <w:vMerge/>
            <w:tcBorders>
              <w:left w:val="single" w:sz="12" w:space="0" w:color="auto"/>
            </w:tcBorders>
            <w:shd w:val="clear" w:color="auto" w:fill="E7E6E6"/>
            <w:noWrap/>
          </w:tcPr>
          <w:p w14:paraId="73E5A9A3"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noWrap/>
          </w:tcPr>
          <w:p w14:paraId="4CA9D018" w14:textId="77777777" w:rsidR="00041EC2" w:rsidRPr="00B37318"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2027</w:t>
            </w:r>
          </w:p>
        </w:tc>
        <w:tc>
          <w:tcPr>
            <w:tcW w:w="992" w:type="dxa"/>
            <w:noWrap/>
          </w:tcPr>
          <w:p w14:paraId="29A1088E" w14:textId="2A839D32"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noWrap/>
          </w:tcPr>
          <w:p w14:paraId="21D1EF47" w14:textId="225C1C18"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23,25</w:t>
            </w:r>
          </w:p>
        </w:tc>
        <w:tc>
          <w:tcPr>
            <w:tcW w:w="992" w:type="dxa"/>
            <w:noWrap/>
          </w:tcPr>
          <w:p w14:paraId="0DD53968" w14:textId="3CBE4B62"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0,01</w:t>
            </w:r>
          </w:p>
        </w:tc>
        <w:tc>
          <w:tcPr>
            <w:tcW w:w="851" w:type="dxa"/>
            <w:noWrap/>
          </w:tcPr>
          <w:p w14:paraId="4808109D" w14:textId="30479130"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1,50</w:t>
            </w:r>
          </w:p>
        </w:tc>
        <w:tc>
          <w:tcPr>
            <w:tcW w:w="1134" w:type="dxa"/>
            <w:noWrap/>
          </w:tcPr>
          <w:p w14:paraId="78723BF6" w14:textId="550372B6"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0,20</w:t>
            </w:r>
          </w:p>
        </w:tc>
        <w:tc>
          <w:tcPr>
            <w:tcW w:w="850" w:type="dxa"/>
            <w:noWrap/>
          </w:tcPr>
          <w:p w14:paraId="51733FE8" w14:textId="45D01297"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10,42</w:t>
            </w:r>
          </w:p>
        </w:tc>
        <w:tc>
          <w:tcPr>
            <w:tcW w:w="709" w:type="dxa"/>
            <w:noWrap/>
          </w:tcPr>
          <w:p w14:paraId="4D6784B7" w14:textId="17367C12"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3,14</w:t>
            </w:r>
          </w:p>
        </w:tc>
        <w:tc>
          <w:tcPr>
            <w:tcW w:w="709" w:type="dxa"/>
            <w:noWrap/>
          </w:tcPr>
          <w:p w14:paraId="175B4DBB" w14:textId="30171563"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1,32</w:t>
            </w:r>
          </w:p>
        </w:tc>
        <w:tc>
          <w:tcPr>
            <w:tcW w:w="850" w:type="dxa"/>
            <w:tcBorders>
              <w:right w:val="single" w:sz="12" w:space="0" w:color="auto"/>
            </w:tcBorders>
            <w:noWrap/>
          </w:tcPr>
          <w:p w14:paraId="24C1ABF8" w14:textId="033FF547"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39,85</w:t>
            </w:r>
          </w:p>
        </w:tc>
      </w:tr>
      <w:tr w:rsidR="00041EC2" w:rsidRPr="003B4324" w14:paraId="1CA4B089" w14:textId="77777777" w:rsidTr="000A2AFE">
        <w:trPr>
          <w:trHeight w:val="300"/>
        </w:trPr>
        <w:tc>
          <w:tcPr>
            <w:tcW w:w="1271" w:type="dxa"/>
            <w:vMerge/>
            <w:tcBorders>
              <w:left w:val="single" w:sz="12" w:space="0" w:color="auto"/>
            </w:tcBorders>
            <w:shd w:val="clear" w:color="auto" w:fill="E7E6E6"/>
            <w:noWrap/>
          </w:tcPr>
          <w:p w14:paraId="505093B8"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noWrap/>
          </w:tcPr>
          <w:p w14:paraId="3E3FCE37" w14:textId="77777777" w:rsidR="00041EC2" w:rsidRPr="00B37318"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2028</w:t>
            </w:r>
          </w:p>
        </w:tc>
        <w:tc>
          <w:tcPr>
            <w:tcW w:w="992" w:type="dxa"/>
            <w:noWrap/>
          </w:tcPr>
          <w:p w14:paraId="30D6DBB0" w14:textId="7885F864"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noWrap/>
          </w:tcPr>
          <w:p w14:paraId="3DB6C242" w14:textId="2C3ADFBF"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22,74</w:t>
            </w:r>
          </w:p>
        </w:tc>
        <w:tc>
          <w:tcPr>
            <w:tcW w:w="992" w:type="dxa"/>
            <w:noWrap/>
          </w:tcPr>
          <w:p w14:paraId="27473738" w14:textId="2E49E4AC"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0,01</w:t>
            </w:r>
          </w:p>
        </w:tc>
        <w:tc>
          <w:tcPr>
            <w:tcW w:w="851" w:type="dxa"/>
            <w:noWrap/>
          </w:tcPr>
          <w:p w14:paraId="721E1FA1" w14:textId="33FA542E"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1,50</w:t>
            </w:r>
          </w:p>
        </w:tc>
        <w:tc>
          <w:tcPr>
            <w:tcW w:w="1134" w:type="dxa"/>
            <w:noWrap/>
          </w:tcPr>
          <w:p w14:paraId="08B05DDA" w14:textId="2A9092B7"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0,21</w:t>
            </w:r>
          </w:p>
        </w:tc>
        <w:tc>
          <w:tcPr>
            <w:tcW w:w="850" w:type="dxa"/>
            <w:noWrap/>
          </w:tcPr>
          <w:p w14:paraId="710D1922" w14:textId="0765973C"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10,57</w:t>
            </w:r>
          </w:p>
        </w:tc>
        <w:tc>
          <w:tcPr>
            <w:tcW w:w="709" w:type="dxa"/>
            <w:noWrap/>
          </w:tcPr>
          <w:p w14:paraId="1E8A1C3F" w14:textId="21215AC1"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3,60</w:t>
            </w:r>
          </w:p>
        </w:tc>
        <w:tc>
          <w:tcPr>
            <w:tcW w:w="709" w:type="dxa"/>
            <w:noWrap/>
          </w:tcPr>
          <w:p w14:paraId="336A7022" w14:textId="6F69C06E"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1,64</w:t>
            </w:r>
          </w:p>
        </w:tc>
        <w:tc>
          <w:tcPr>
            <w:tcW w:w="850" w:type="dxa"/>
            <w:tcBorders>
              <w:right w:val="single" w:sz="12" w:space="0" w:color="auto"/>
            </w:tcBorders>
            <w:noWrap/>
          </w:tcPr>
          <w:p w14:paraId="155C9AA0" w14:textId="207A9A48"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40,27</w:t>
            </w:r>
          </w:p>
        </w:tc>
      </w:tr>
      <w:tr w:rsidR="00041EC2" w:rsidRPr="003B4324" w14:paraId="1A02220B" w14:textId="77777777" w:rsidTr="000A2AFE">
        <w:trPr>
          <w:trHeight w:val="300"/>
        </w:trPr>
        <w:tc>
          <w:tcPr>
            <w:tcW w:w="1271" w:type="dxa"/>
            <w:vMerge/>
            <w:tcBorders>
              <w:left w:val="single" w:sz="12" w:space="0" w:color="auto"/>
            </w:tcBorders>
            <w:shd w:val="clear" w:color="auto" w:fill="E7E6E6"/>
            <w:noWrap/>
          </w:tcPr>
          <w:p w14:paraId="75154B63"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noWrap/>
          </w:tcPr>
          <w:p w14:paraId="4CFA0A14" w14:textId="77777777" w:rsidR="00041EC2" w:rsidRPr="00B37318"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2029</w:t>
            </w:r>
          </w:p>
        </w:tc>
        <w:tc>
          <w:tcPr>
            <w:tcW w:w="992" w:type="dxa"/>
            <w:noWrap/>
          </w:tcPr>
          <w:p w14:paraId="2F617782" w14:textId="5CDC613B"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noWrap/>
          </w:tcPr>
          <w:p w14:paraId="493292B0" w14:textId="2AD76C12"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21,18</w:t>
            </w:r>
          </w:p>
        </w:tc>
        <w:tc>
          <w:tcPr>
            <w:tcW w:w="992" w:type="dxa"/>
            <w:noWrap/>
          </w:tcPr>
          <w:p w14:paraId="34324952" w14:textId="7E32BC62"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0,01</w:t>
            </w:r>
          </w:p>
        </w:tc>
        <w:tc>
          <w:tcPr>
            <w:tcW w:w="851" w:type="dxa"/>
            <w:noWrap/>
          </w:tcPr>
          <w:p w14:paraId="0833B166" w14:textId="5FB3358C"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2,74</w:t>
            </w:r>
          </w:p>
        </w:tc>
        <w:tc>
          <w:tcPr>
            <w:tcW w:w="1134" w:type="dxa"/>
            <w:noWrap/>
          </w:tcPr>
          <w:p w14:paraId="42294B07" w14:textId="7CE1161B"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0,28</w:t>
            </w:r>
          </w:p>
        </w:tc>
        <w:tc>
          <w:tcPr>
            <w:tcW w:w="850" w:type="dxa"/>
            <w:noWrap/>
          </w:tcPr>
          <w:p w14:paraId="4530357E" w14:textId="18E58A89"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10,57</w:t>
            </w:r>
          </w:p>
        </w:tc>
        <w:tc>
          <w:tcPr>
            <w:tcW w:w="709" w:type="dxa"/>
            <w:noWrap/>
          </w:tcPr>
          <w:p w14:paraId="6580F677" w14:textId="5CFAB796"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4,09</w:t>
            </w:r>
          </w:p>
        </w:tc>
        <w:tc>
          <w:tcPr>
            <w:tcW w:w="709" w:type="dxa"/>
            <w:noWrap/>
          </w:tcPr>
          <w:p w14:paraId="1F7C2F50" w14:textId="583C22F9"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1,97</w:t>
            </w:r>
          </w:p>
        </w:tc>
        <w:tc>
          <w:tcPr>
            <w:tcW w:w="850" w:type="dxa"/>
            <w:tcBorders>
              <w:right w:val="single" w:sz="12" w:space="0" w:color="auto"/>
            </w:tcBorders>
            <w:noWrap/>
          </w:tcPr>
          <w:p w14:paraId="7A2FE21B" w14:textId="79D83E07"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40,83</w:t>
            </w:r>
          </w:p>
        </w:tc>
      </w:tr>
      <w:tr w:rsidR="00041EC2" w:rsidRPr="003B4324" w14:paraId="6941C36F" w14:textId="77777777" w:rsidTr="000A2AFE">
        <w:trPr>
          <w:trHeight w:val="300"/>
        </w:trPr>
        <w:tc>
          <w:tcPr>
            <w:tcW w:w="1271" w:type="dxa"/>
            <w:vMerge/>
            <w:tcBorders>
              <w:left w:val="single" w:sz="12" w:space="0" w:color="auto"/>
            </w:tcBorders>
            <w:shd w:val="clear" w:color="auto" w:fill="E7E6E6"/>
            <w:noWrap/>
          </w:tcPr>
          <w:p w14:paraId="5EE0B9C4"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noWrap/>
          </w:tcPr>
          <w:p w14:paraId="6E436FC3" w14:textId="77777777" w:rsidR="00041EC2" w:rsidRPr="00B37318"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2030</w:t>
            </w:r>
          </w:p>
        </w:tc>
        <w:tc>
          <w:tcPr>
            <w:tcW w:w="992" w:type="dxa"/>
            <w:noWrap/>
          </w:tcPr>
          <w:p w14:paraId="2C238AB2" w14:textId="158C72BA"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noWrap/>
          </w:tcPr>
          <w:p w14:paraId="6A8C9612" w14:textId="2BC7DC19"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19,16</w:t>
            </w:r>
          </w:p>
        </w:tc>
        <w:tc>
          <w:tcPr>
            <w:tcW w:w="992" w:type="dxa"/>
            <w:noWrap/>
          </w:tcPr>
          <w:p w14:paraId="2E660E5A" w14:textId="743C9026"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0,01</w:t>
            </w:r>
          </w:p>
        </w:tc>
        <w:tc>
          <w:tcPr>
            <w:tcW w:w="851" w:type="dxa"/>
            <w:noWrap/>
          </w:tcPr>
          <w:p w14:paraId="1C41560F" w14:textId="2206CE21"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2,92</w:t>
            </w:r>
          </w:p>
        </w:tc>
        <w:tc>
          <w:tcPr>
            <w:tcW w:w="1134" w:type="dxa"/>
            <w:noWrap/>
          </w:tcPr>
          <w:p w14:paraId="118F3C3E" w14:textId="01C34FC1"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0,35</w:t>
            </w:r>
          </w:p>
        </w:tc>
        <w:tc>
          <w:tcPr>
            <w:tcW w:w="850" w:type="dxa"/>
            <w:noWrap/>
          </w:tcPr>
          <w:p w14:paraId="3F06D23E" w14:textId="2D42E89D"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10,84</w:t>
            </w:r>
          </w:p>
        </w:tc>
        <w:tc>
          <w:tcPr>
            <w:tcW w:w="709" w:type="dxa"/>
            <w:noWrap/>
          </w:tcPr>
          <w:p w14:paraId="03BC6573" w14:textId="64B78812"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4,61</w:t>
            </w:r>
          </w:p>
        </w:tc>
        <w:tc>
          <w:tcPr>
            <w:tcW w:w="709" w:type="dxa"/>
            <w:noWrap/>
          </w:tcPr>
          <w:p w14:paraId="6D8CA6D8" w14:textId="4D079C82"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2,30</w:t>
            </w:r>
          </w:p>
        </w:tc>
        <w:tc>
          <w:tcPr>
            <w:tcW w:w="850" w:type="dxa"/>
            <w:tcBorders>
              <w:right w:val="single" w:sz="12" w:space="0" w:color="auto"/>
            </w:tcBorders>
            <w:noWrap/>
          </w:tcPr>
          <w:p w14:paraId="47E9A3E8" w14:textId="41F31F6E"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40,19</w:t>
            </w:r>
          </w:p>
        </w:tc>
      </w:tr>
      <w:tr w:rsidR="00041EC2" w:rsidRPr="003B4324" w14:paraId="2979C9DC" w14:textId="77777777" w:rsidTr="000A2AFE">
        <w:trPr>
          <w:trHeight w:val="300"/>
        </w:trPr>
        <w:tc>
          <w:tcPr>
            <w:tcW w:w="1271" w:type="dxa"/>
            <w:vMerge/>
            <w:tcBorders>
              <w:left w:val="single" w:sz="12" w:space="0" w:color="auto"/>
            </w:tcBorders>
            <w:shd w:val="clear" w:color="auto" w:fill="E7E6E6"/>
            <w:noWrap/>
          </w:tcPr>
          <w:p w14:paraId="1AF37675"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noWrap/>
          </w:tcPr>
          <w:p w14:paraId="09142705" w14:textId="77777777" w:rsidR="00041EC2" w:rsidRPr="00B37318"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2035</w:t>
            </w:r>
          </w:p>
        </w:tc>
        <w:tc>
          <w:tcPr>
            <w:tcW w:w="992" w:type="dxa"/>
            <w:noWrap/>
          </w:tcPr>
          <w:p w14:paraId="6529AD5A" w14:textId="3773F3EB"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noWrap/>
          </w:tcPr>
          <w:p w14:paraId="0AEC3AED" w14:textId="107ED5E9"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14,69</w:t>
            </w:r>
          </w:p>
        </w:tc>
        <w:tc>
          <w:tcPr>
            <w:tcW w:w="992" w:type="dxa"/>
            <w:noWrap/>
          </w:tcPr>
          <w:p w14:paraId="239D58C9" w14:textId="11C1763E"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0,01</w:t>
            </w:r>
          </w:p>
        </w:tc>
        <w:tc>
          <w:tcPr>
            <w:tcW w:w="851" w:type="dxa"/>
            <w:noWrap/>
          </w:tcPr>
          <w:p w14:paraId="6663E3D2" w14:textId="06BBA6EA"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2,68</w:t>
            </w:r>
          </w:p>
        </w:tc>
        <w:tc>
          <w:tcPr>
            <w:tcW w:w="1134" w:type="dxa"/>
            <w:noWrap/>
          </w:tcPr>
          <w:p w14:paraId="2127D019" w14:textId="3FEDAB4A"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0,49</w:t>
            </w:r>
          </w:p>
        </w:tc>
        <w:tc>
          <w:tcPr>
            <w:tcW w:w="850" w:type="dxa"/>
            <w:noWrap/>
          </w:tcPr>
          <w:p w14:paraId="0F671CA3" w14:textId="3B52A08A"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12,31</w:t>
            </w:r>
          </w:p>
        </w:tc>
        <w:tc>
          <w:tcPr>
            <w:tcW w:w="709" w:type="dxa"/>
            <w:noWrap/>
          </w:tcPr>
          <w:p w14:paraId="01C24C9F" w14:textId="63221BDF"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7,95</w:t>
            </w:r>
          </w:p>
        </w:tc>
        <w:tc>
          <w:tcPr>
            <w:tcW w:w="709" w:type="dxa"/>
            <w:noWrap/>
          </w:tcPr>
          <w:p w14:paraId="1602141B" w14:textId="0323545A"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5,23</w:t>
            </w:r>
          </w:p>
        </w:tc>
        <w:tc>
          <w:tcPr>
            <w:tcW w:w="850" w:type="dxa"/>
            <w:tcBorders>
              <w:right w:val="single" w:sz="12" w:space="0" w:color="auto"/>
            </w:tcBorders>
            <w:noWrap/>
          </w:tcPr>
          <w:p w14:paraId="68CA06F5" w14:textId="0F078732"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43,34</w:t>
            </w:r>
          </w:p>
        </w:tc>
      </w:tr>
      <w:tr w:rsidR="00041EC2" w:rsidRPr="003B4324" w14:paraId="0FEF0DD2" w14:textId="77777777" w:rsidTr="000A2AFE">
        <w:trPr>
          <w:trHeight w:val="300"/>
        </w:trPr>
        <w:tc>
          <w:tcPr>
            <w:tcW w:w="1271" w:type="dxa"/>
            <w:vMerge/>
            <w:tcBorders>
              <w:left w:val="single" w:sz="12" w:space="0" w:color="auto"/>
            </w:tcBorders>
            <w:shd w:val="clear" w:color="auto" w:fill="E7E6E6"/>
            <w:noWrap/>
          </w:tcPr>
          <w:p w14:paraId="4041C321"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noWrap/>
          </w:tcPr>
          <w:p w14:paraId="35E7AA65" w14:textId="77777777" w:rsidR="00041EC2" w:rsidRPr="00B37318"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2040</w:t>
            </w:r>
          </w:p>
        </w:tc>
        <w:tc>
          <w:tcPr>
            <w:tcW w:w="992" w:type="dxa"/>
            <w:noWrap/>
          </w:tcPr>
          <w:p w14:paraId="1380C3A1" w14:textId="069722C5"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noWrap/>
          </w:tcPr>
          <w:p w14:paraId="4DDDB049" w14:textId="5C5FA183"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10,22</w:t>
            </w:r>
          </w:p>
        </w:tc>
        <w:tc>
          <w:tcPr>
            <w:tcW w:w="992" w:type="dxa"/>
            <w:noWrap/>
          </w:tcPr>
          <w:p w14:paraId="4CC0AE38" w14:textId="0A23CE5C"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0,01</w:t>
            </w:r>
          </w:p>
        </w:tc>
        <w:tc>
          <w:tcPr>
            <w:tcW w:w="851" w:type="dxa"/>
            <w:noWrap/>
          </w:tcPr>
          <w:p w14:paraId="16E8820C" w14:textId="77696A3E"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3,68</w:t>
            </w:r>
          </w:p>
        </w:tc>
        <w:tc>
          <w:tcPr>
            <w:tcW w:w="1134" w:type="dxa"/>
            <w:noWrap/>
          </w:tcPr>
          <w:p w14:paraId="70D1C8D1" w14:textId="6CE4C613"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0,98</w:t>
            </w:r>
          </w:p>
        </w:tc>
        <w:tc>
          <w:tcPr>
            <w:tcW w:w="850" w:type="dxa"/>
            <w:noWrap/>
          </w:tcPr>
          <w:p w14:paraId="3B11FE8D" w14:textId="64F980A0"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13,63</w:t>
            </w:r>
          </w:p>
        </w:tc>
        <w:tc>
          <w:tcPr>
            <w:tcW w:w="709" w:type="dxa"/>
            <w:noWrap/>
          </w:tcPr>
          <w:p w14:paraId="3C5F2E2E" w14:textId="6F43631C"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8,07</w:t>
            </w:r>
          </w:p>
        </w:tc>
        <w:tc>
          <w:tcPr>
            <w:tcW w:w="709" w:type="dxa"/>
            <w:noWrap/>
          </w:tcPr>
          <w:p w14:paraId="2A7B7513" w14:textId="7353A13F"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9,78</w:t>
            </w:r>
          </w:p>
        </w:tc>
        <w:tc>
          <w:tcPr>
            <w:tcW w:w="850" w:type="dxa"/>
            <w:tcBorders>
              <w:right w:val="single" w:sz="12" w:space="0" w:color="auto"/>
            </w:tcBorders>
            <w:noWrap/>
          </w:tcPr>
          <w:p w14:paraId="5D4735FD" w14:textId="3052DC61"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46,37</w:t>
            </w:r>
          </w:p>
        </w:tc>
      </w:tr>
      <w:tr w:rsidR="00041EC2" w:rsidRPr="003B4324" w14:paraId="788B119A" w14:textId="77777777" w:rsidTr="000A2AFE">
        <w:trPr>
          <w:trHeight w:val="300"/>
        </w:trPr>
        <w:tc>
          <w:tcPr>
            <w:tcW w:w="1271" w:type="dxa"/>
            <w:vMerge/>
            <w:tcBorders>
              <w:left w:val="single" w:sz="12" w:space="0" w:color="auto"/>
            </w:tcBorders>
            <w:shd w:val="clear" w:color="auto" w:fill="E7E6E6"/>
            <w:noWrap/>
          </w:tcPr>
          <w:p w14:paraId="60F1DBC6"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noWrap/>
          </w:tcPr>
          <w:p w14:paraId="39891465" w14:textId="77777777" w:rsidR="00041EC2" w:rsidRPr="00B37318"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2045</w:t>
            </w:r>
          </w:p>
        </w:tc>
        <w:tc>
          <w:tcPr>
            <w:tcW w:w="992" w:type="dxa"/>
            <w:noWrap/>
          </w:tcPr>
          <w:p w14:paraId="5AE03BE2" w14:textId="41755A62"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noWrap/>
          </w:tcPr>
          <w:p w14:paraId="67663B18" w14:textId="3A46617F"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6,11</w:t>
            </w:r>
          </w:p>
        </w:tc>
        <w:tc>
          <w:tcPr>
            <w:tcW w:w="992" w:type="dxa"/>
            <w:noWrap/>
          </w:tcPr>
          <w:p w14:paraId="57F5FA6F" w14:textId="4809231C"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0,01</w:t>
            </w:r>
          </w:p>
        </w:tc>
        <w:tc>
          <w:tcPr>
            <w:tcW w:w="851" w:type="dxa"/>
            <w:noWrap/>
          </w:tcPr>
          <w:p w14:paraId="129551B0" w14:textId="661DB853"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4,07</w:t>
            </w:r>
          </w:p>
        </w:tc>
        <w:tc>
          <w:tcPr>
            <w:tcW w:w="1134" w:type="dxa"/>
            <w:noWrap/>
          </w:tcPr>
          <w:p w14:paraId="056B8CDB" w14:textId="1D963A38"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1,52</w:t>
            </w:r>
          </w:p>
        </w:tc>
        <w:tc>
          <w:tcPr>
            <w:tcW w:w="850" w:type="dxa"/>
            <w:noWrap/>
          </w:tcPr>
          <w:p w14:paraId="0A075EB7" w14:textId="7FC84F25"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14,06</w:t>
            </w:r>
          </w:p>
        </w:tc>
        <w:tc>
          <w:tcPr>
            <w:tcW w:w="709" w:type="dxa"/>
            <w:noWrap/>
          </w:tcPr>
          <w:p w14:paraId="57C94BF3" w14:textId="56992EA8"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14,03</w:t>
            </w:r>
          </w:p>
        </w:tc>
        <w:tc>
          <w:tcPr>
            <w:tcW w:w="709" w:type="dxa"/>
            <w:noWrap/>
          </w:tcPr>
          <w:p w14:paraId="60738F54" w14:textId="0573994C"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15,92</w:t>
            </w:r>
          </w:p>
        </w:tc>
        <w:tc>
          <w:tcPr>
            <w:tcW w:w="850" w:type="dxa"/>
            <w:tcBorders>
              <w:right w:val="single" w:sz="12" w:space="0" w:color="auto"/>
            </w:tcBorders>
            <w:noWrap/>
          </w:tcPr>
          <w:p w14:paraId="4C4E727D" w14:textId="4E206C16"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55,73</w:t>
            </w:r>
          </w:p>
        </w:tc>
      </w:tr>
      <w:tr w:rsidR="00041EC2" w:rsidRPr="003B4324" w14:paraId="4DCA0BCE" w14:textId="77777777" w:rsidTr="000A2AFE">
        <w:trPr>
          <w:trHeight w:val="300"/>
        </w:trPr>
        <w:tc>
          <w:tcPr>
            <w:tcW w:w="1271" w:type="dxa"/>
            <w:vMerge/>
            <w:tcBorders>
              <w:left w:val="single" w:sz="12" w:space="0" w:color="auto"/>
              <w:bottom w:val="single" w:sz="12" w:space="0" w:color="auto"/>
            </w:tcBorders>
            <w:shd w:val="clear" w:color="auto" w:fill="E7E6E6"/>
            <w:noWrap/>
          </w:tcPr>
          <w:p w14:paraId="0A2F4C3E"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tcBorders>
              <w:bottom w:val="single" w:sz="12" w:space="0" w:color="auto"/>
            </w:tcBorders>
            <w:noWrap/>
          </w:tcPr>
          <w:p w14:paraId="538C8D69" w14:textId="77777777" w:rsidR="00041EC2" w:rsidRPr="00B37318"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2050</w:t>
            </w:r>
          </w:p>
        </w:tc>
        <w:tc>
          <w:tcPr>
            <w:tcW w:w="992" w:type="dxa"/>
            <w:tcBorders>
              <w:bottom w:val="single" w:sz="12" w:space="0" w:color="auto"/>
            </w:tcBorders>
            <w:noWrap/>
          </w:tcPr>
          <w:p w14:paraId="5219D966" w14:textId="2F0CAD52"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tcBorders>
              <w:bottom w:val="single" w:sz="12" w:space="0" w:color="auto"/>
            </w:tcBorders>
            <w:noWrap/>
          </w:tcPr>
          <w:p w14:paraId="44B5F93E" w14:textId="0E1CDE8D"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992" w:type="dxa"/>
            <w:tcBorders>
              <w:bottom w:val="single" w:sz="12" w:space="0" w:color="auto"/>
            </w:tcBorders>
            <w:noWrap/>
          </w:tcPr>
          <w:p w14:paraId="14279B8A" w14:textId="04430224"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851" w:type="dxa"/>
            <w:tcBorders>
              <w:bottom w:val="single" w:sz="12" w:space="0" w:color="auto"/>
            </w:tcBorders>
            <w:noWrap/>
          </w:tcPr>
          <w:p w14:paraId="4E86B2B5" w14:textId="6ED44955"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4,11</w:t>
            </w:r>
          </w:p>
        </w:tc>
        <w:tc>
          <w:tcPr>
            <w:tcW w:w="1134" w:type="dxa"/>
            <w:tcBorders>
              <w:bottom w:val="single" w:sz="12" w:space="0" w:color="auto"/>
            </w:tcBorders>
            <w:noWrap/>
          </w:tcPr>
          <w:p w14:paraId="20829EBA" w14:textId="7B408EFD"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2,14</w:t>
            </w:r>
          </w:p>
        </w:tc>
        <w:tc>
          <w:tcPr>
            <w:tcW w:w="850" w:type="dxa"/>
            <w:tcBorders>
              <w:bottom w:val="single" w:sz="12" w:space="0" w:color="auto"/>
            </w:tcBorders>
            <w:noWrap/>
          </w:tcPr>
          <w:p w14:paraId="4E0FF84C" w14:textId="6D9AB5CB"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14,06</w:t>
            </w:r>
          </w:p>
        </w:tc>
        <w:tc>
          <w:tcPr>
            <w:tcW w:w="709" w:type="dxa"/>
            <w:tcBorders>
              <w:bottom w:val="single" w:sz="12" w:space="0" w:color="auto"/>
            </w:tcBorders>
            <w:noWrap/>
          </w:tcPr>
          <w:p w14:paraId="55B55453" w14:textId="38C4E822"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20,71</w:t>
            </w:r>
          </w:p>
        </w:tc>
        <w:tc>
          <w:tcPr>
            <w:tcW w:w="709" w:type="dxa"/>
            <w:tcBorders>
              <w:bottom w:val="single" w:sz="12" w:space="0" w:color="auto"/>
            </w:tcBorders>
            <w:noWrap/>
          </w:tcPr>
          <w:p w14:paraId="2870D064" w14:textId="2527D2CF"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24,59</w:t>
            </w:r>
          </w:p>
        </w:tc>
        <w:tc>
          <w:tcPr>
            <w:tcW w:w="850" w:type="dxa"/>
            <w:tcBorders>
              <w:bottom w:val="single" w:sz="12" w:space="0" w:color="auto"/>
              <w:right w:val="single" w:sz="12" w:space="0" w:color="auto"/>
            </w:tcBorders>
            <w:noWrap/>
          </w:tcPr>
          <w:p w14:paraId="0AF756CF" w14:textId="3C358404"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65,61</w:t>
            </w:r>
          </w:p>
        </w:tc>
      </w:tr>
      <w:tr w:rsidR="00041EC2" w:rsidRPr="003B4324" w14:paraId="4AFAEBAE" w14:textId="77777777" w:rsidTr="000A2AFE">
        <w:trPr>
          <w:trHeight w:val="300"/>
        </w:trPr>
        <w:tc>
          <w:tcPr>
            <w:tcW w:w="1271" w:type="dxa"/>
            <w:vMerge w:val="restart"/>
            <w:tcBorders>
              <w:top w:val="single" w:sz="12" w:space="0" w:color="auto"/>
              <w:left w:val="single" w:sz="12" w:space="0" w:color="auto"/>
            </w:tcBorders>
            <w:shd w:val="clear" w:color="auto" w:fill="E7E6E6"/>
            <w:noWrap/>
            <w:vAlign w:val="center"/>
          </w:tcPr>
          <w:p w14:paraId="5B33B80C" w14:textId="1C5EB5ED" w:rsidR="00041EC2" w:rsidRPr="004254D2" w:rsidRDefault="00041EC2" w:rsidP="00041EC2">
            <w:pPr>
              <w:spacing w:after="0" w:line="240" w:lineRule="auto"/>
              <w:jc w:val="left"/>
              <w:rPr>
                <w:rFonts w:ascii="Calibri Light" w:hAnsi="Calibri Light" w:cs="Calibri Light"/>
                <w:color w:val="000000" w:themeColor="text1"/>
              </w:rPr>
            </w:pPr>
            <w:r w:rsidRPr="00B91F38">
              <w:rPr>
                <w:rFonts w:ascii="Calibri Light" w:hAnsi="Calibri Light" w:cs="Calibri Light"/>
                <w:color w:val="000000" w:themeColor="text1"/>
              </w:rPr>
              <w:t>Сценарио-S-N</w:t>
            </w:r>
          </w:p>
        </w:tc>
        <w:tc>
          <w:tcPr>
            <w:tcW w:w="709" w:type="dxa"/>
            <w:tcBorders>
              <w:top w:val="single" w:sz="12" w:space="0" w:color="auto"/>
            </w:tcBorders>
            <w:noWrap/>
          </w:tcPr>
          <w:p w14:paraId="6A2898DF" w14:textId="77777777" w:rsidR="00041EC2" w:rsidRPr="00B37318"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2019</w:t>
            </w:r>
          </w:p>
        </w:tc>
        <w:tc>
          <w:tcPr>
            <w:tcW w:w="992" w:type="dxa"/>
            <w:tcBorders>
              <w:top w:val="single" w:sz="12" w:space="0" w:color="auto"/>
            </w:tcBorders>
            <w:noWrap/>
          </w:tcPr>
          <w:p w14:paraId="327D8E29" w14:textId="2EEDA34E"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tcBorders>
              <w:top w:val="single" w:sz="12" w:space="0" w:color="auto"/>
            </w:tcBorders>
            <w:noWrap/>
          </w:tcPr>
          <w:p w14:paraId="15C38AFF" w14:textId="7AC256EB"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25,55</w:t>
            </w:r>
          </w:p>
        </w:tc>
        <w:tc>
          <w:tcPr>
            <w:tcW w:w="992" w:type="dxa"/>
            <w:tcBorders>
              <w:top w:val="single" w:sz="12" w:space="0" w:color="auto"/>
            </w:tcBorders>
            <w:noWrap/>
          </w:tcPr>
          <w:p w14:paraId="09B812C9" w14:textId="28B9679A"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0,05</w:t>
            </w:r>
          </w:p>
        </w:tc>
        <w:tc>
          <w:tcPr>
            <w:tcW w:w="851" w:type="dxa"/>
            <w:tcBorders>
              <w:top w:val="single" w:sz="12" w:space="0" w:color="auto"/>
            </w:tcBorders>
            <w:noWrap/>
          </w:tcPr>
          <w:p w14:paraId="75B55AB2" w14:textId="7C3A3445"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0,73</w:t>
            </w:r>
          </w:p>
        </w:tc>
        <w:tc>
          <w:tcPr>
            <w:tcW w:w="1134" w:type="dxa"/>
            <w:tcBorders>
              <w:top w:val="single" w:sz="12" w:space="0" w:color="auto"/>
            </w:tcBorders>
            <w:noWrap/>
          </w:tcPr>
          <w:p w14:paraId="496548EA" w14:textId="38AC4B24"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0,16</w:t>
            </w:r>
          </w:p>
        </w:tc>
        <w:tc>
          <w:tcPr>
            <w:tcW w:w="850" w:type="dxa"/>
            <w:tcBorders>
              <w:top w:val="single" w:sz="12" w:space="0" w:color="auto"/>
            </w:tcBorders>
            <w:noWrap/>
          </w:tcPr>
          <w:p w14:paraId="4DAB025D" w14:textId="4B9C69B6"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9,46</w:t>
            </w:r>
          </w:p>
        </w:tc>
        <w:tc>
          <w:tcPr>
            <w:tcW w:w="709" w:type="dxa"/>
            <w:tcBorders>
              <w:top w:val="single" w:sz="12" w:space="0" w:color="auto"/>
            </w:tcBorders>
            <w:noWrap/>
          </w:tcPr>
          <w:p w14:paraId="34867CF5" w14:textId="19A9F416"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0,90</w:t>
            </w:r>
          </w:p>
        </w:tc>
        <w:tc>
          <w:tcPr>
            <w:tcW w:w="709" w:type="dxa"/>
            <w:tcBorders>
              <w:top w:val="single" w:sz="12" w:space="0" w:color="auto"/>
            </w:tcBorders>
            <w:noWrap/>
          </w:tcPr>
          <w:p w14:paraId="26748E4F" w14:textId="7DD847AE"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0,01</w:t>
            </w:r>
          </w:p>
        </w:tc>
        <w:tc>
          <w:tcPr>
            <w:tcW w:w="850" w:type="dxa"/>
            <w:tcBorders>
              <w:top w:val="single" w:sz="12" w:space="0" w:color="auto"/>
              <w:right w:val="single" w:sz="12" w:space="0" w:color="auto"/>
            </w:tcBorders>
            <w:noWrap/>
          </w:tcPr>
          <w:p w14:paraId="6084353A" w14:textId="3AC869E8"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36,85</w:t>
            </w:r>
          </w:p>
        </w:tc>
      </w:tr>
      <w:tr w:rsidR="00041EC2" w:rsidRPr="003B4324" w14:paraId="2F347FDF" w14:textId="77777777" w:rsidTr="000A2AFE">
        <w:trPr>
          <w:trHeight w:val="300"/>
        </w:trPr>
        <w:tc>
          <w:tcPr>
            <w:tcW w:w="1271" w:type="dxa"/>
            <w:vMerge/>
            <w:tcBorders>
              <w:left w:val="single" w:sz="12" w:space="0" w:color="auto"/>
            </w:tcBorders>
            <w:shd w:val="clear" w:color="auto" w:fill="E7E6E6"/>
            <w:noWrap/>
          </w:tcPr>
          <w:p w14:paraId="1730447C"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noWrap/>
          </w:tcPr>
          <w:p w14:paraId="31C00D75" w14:textId="77777777" w:rsidR="00041EC2" w:rsidRPr="00B37318"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2025</w:t>
            </w:r>
          </w:p>
        </w:tc>
        <w:tc>
          <w:tcPr>
            <w:tcW w:w="992" w:type="dxa"/>
            <w:noWrap/>
          </w:tcPr>
          <w:p w14:paraId="2FD11520" w14:textId="7F07E112"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noWrap/>
          </w:tcPr>
          <w:p w14:paraId="03243B61" w14:textId="30EEE546"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24,27</w:t>
            </w:r>
          </w:p>
        </w:tc>
        <w:tc>
          <w:tcPr>
            <w:tcW w:w="992" w:type="dxa"/>
            <w:noWrap/>
          </w:tcPr>
          <w:p w14:paraId="2006A80B" w14:textId="0BAEF851"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0,02</w:t>
            </w:r>
          </w:p>
        </w:tc>
        <w:tc>
          <w:tcPr>
            <w:tcW w:w="851" w:type="dxa"/>
            <w:noWrap/>
          </w:tcPr>
          <w:p w14:paraId="3A69837E" w14:textId="03A2EEE8"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1,41</w:t>
            </w:r>
          </w:p>
        </w:tc>
        <w:tc>
          <w:tcPr>
            <w:tcW w:w="1134" w:type="dxa"/>
            <w:noWrap/>
          </w:tcPr>
          <w:p w14:paraId="7CE64CEA" w14:textId="3C1CCF83"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0,21</w:t>
            </w:r>
          </w:p>
        </w:tc>
        <w:tc>
          <w:tcPr>
            <w:tcW w:w="850" w:type="dxa"/>
            <w:noWrap/>
          </w:tcPr>
          <w:p w14:paraId="2A21AC8A" w14:textId="3201F399"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10,41</w:t>
            </w:r>
          </w:p>
        </w:tc>
        <w:tc>
          <w:tcPr>
            <w:tcW w:w="709" w:type="dxa"/>
            <w:noWrap/>
          </w:tcPr>
          <w:p w14:paraId="68E4E39A" w14:textId="45AC6CE4"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2,32</w:t>
            </w:r>
          </w:p>
        </w:tc>
        <w:tc>
          <w:tcPr>
            <w:tcW w:w="709" w:type="dxa"/>
            <w:noWrap/>
          </w:tcPr>
          <w:p w14:paraId="2FFC7100" w14:textId="0B5FA13E"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0,68</w:t>
            </w:r>
          </w:p>
        </w:tc>
        <w:tc>
          <w:tcPr>
            <w:tcW w:w="850" w:type="dxa"/>
            <w:tcBorders>
              <w:right w:val="single" w:sz="12" w:space="0" w:color="auto"/>
            </w:tcBorders>
            <w:noWrap/>
          </w:tcPr>
          <w:p w14:paraId="0287CF9E" w14:textId="5E0F47E3"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39,31</w:t>
            </w:r>
          </w:p>
        </w:tc>
      </w:tr>
      <w:tr w:rsidR="00041EC2" w:rsidRPr="003B4324" w14:paraId="0A82C78B" w14:textId="77777777" w:rsidTr="000A2AFE">
        <w:trPr>
          <w:trHeight w:val="300"/>
        </w:trPr>
        <w:tc>
          <w:tcPr>
            <w:tcW w:w="1271" w:type="dxa"/>
            <w:vMerge/>
            <w:tcBorders>
              <w:left w:val="single" w:sz="12" w:space="0" w:color="auto"/>
            </w:tcBorders>
            <w:shd w:val="clear" w:color="auto" w:fill="E7E6E6"/>
            <w:noWrap/>
          </w:tcPr>
          <w:p w14:paraId="0C1A4C95"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noWrap/>
          </w:tcPr>
          <w:p w14:paraId="67F8ADF1" w14:textId="77777777" w:rsidR="00041EC2" w:rsidRPr="00B37318"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2026</w:t>
            </w:r>
          </w:p>
        </w:tc>
        <w:tc>
          <w:tcPr>
            <w:tcW w:w="992" w:type="dxa"/>
            <w:noWrap/>
          </w:tcPr>
          <w:p w14:paraId="4A35F122" w14:textId="0BECD675"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noWrap/>
          </w:tcPr>
          <w:p w14:paraId="1270857D" w14:textId="54409414"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23,52</w:t>
            </w:r>
          </w:p>
        </w:tc>
        <w:tc>
          <w:tcPr>
            <w:tcW w:w="992" w:type="dxa"/>
            <w:noWrap/>
          </w:tcPr>
          <w:p w14:paraId="01BDC19D" w14:textId="09546E3E"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0,01</w:t>
            </w:r>
          </w:p>
        </w:tc>
        <w:tc>
          <w:tcPr>
            <w:tcW w:w="851" w:type="dxa"/>
            <w:noWrap/>
          </w:tcPr>
          <w:p w14:paraId="67B95629" w14:textId="72BC98F5"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1,52</w:t>
            </w:r>
          </w:p>
        </w:tc>
        <w:tc>
          <w:tcPr>
            <w:tcW w:w="1134" w:type="dxa"/>
            <w:noWrap/>
          </w:tcPr>
          <w:p w14:paraId="4C2B5097" w14:textId="18688CB1"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0,21</w:t>
            </w:r>
          </w:p>
        </w:tc>
        <w:tc>
          <w:tcPr>
            <w:tcW w:w="850" w:type="dxa"/>
            <w:noWrap/>
          </w:tcPr>
          <w:p w14:paraId="34BF9EB4" w14:textId="1AD34821"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10,41</w:t>
            </w:r>
          </w:p>
        </w:tc>
        <w:tc>
          <w:tcPr>
            <w:tcW w:w="709" w:type="dxa"/>
            <w:noWrap/>
          </w:tcPr>
          <w:p w14:paraId="36381DCF" w14:textId="5344DD93"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2,71</w:t>
            </w:r>
          </w:p>
        </w:tc>
        <w:tc>
          <w:tcPr>
            <w:tcW w:w="709" w:type="dxa"/>
            <w:noWrap/>
          </w:tcPr>
          <w:p w14:paraId="21DC4D71" w14:textId="3FB2DA93"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1,00</w:t>
            </w:r>
          </w:p>
        </w:tc>
        <w:tc>
          <w:tcPr>
            <w:tcW w:w="850" w:type="dxa"/>
            <w:tcBorders>
              <w:right w:val="single" w:sz="12" w:space="0" w:color="auto"/>
            </w:tcBorders>
            <w:noWrap/>
          </w:tcPr>
          <w:p w14:paraId="1B93A738" w14:textId="586A447D"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39,38</w:t>
            </w:r>
          </w:p>
        </w:tc>
      </w:tr>
      <w:tr w:rsidR="00041EC2" w:rsidRPr="003B4324" w14:paraId="48F5919F" w14:textId="77777777" w:rsidTr="000A2AFE">
        <w:trPr>
          <w:trHeight w:val="300"/>
        </w:trPr>
        <w:tc>
          <w:tcPr>
            <w:tcW w:w="1271" w:type="dxa"/>
            <w:vMerge/>
            <w:tcBorders>
              <w:left w:val="single" w:sz="12" w:space="0" w:color="auto"/>
            </w:tcBorders>
            <w:shd w:val="clear" w:color="auto" w:fill="E7E6E6"/>
            <w:noWrap/>
          </w:tcPr>
          <w:p w14:paraId="562DDBD0"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noWrap/>
          </w:tcPr>
          <w:p w14:paraId="38569CDF" w14:textId="77777777" w:rsidR="00041EC2" w:rsidRPr="00B37318"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2027</w:t>
            </w:r>
          </w:p>
        </w:tc>
        <w:tc>
          <w:tcPr>
            <w:tcW w:w="992" w:type="dxa"/>
            <w:noWrap/>
          </w:tcPr>
          <w:p w14:paraId="6DCCD679" w14:textId="41ACE9C9"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noWrap/>
          </w:tcPr>
          <w:p w14:paraId="664CDA63" w14:textId="67D27014"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23,25</w:t>
            </w:r>
          </w:p>
        </w:tc>
        <w:tc>
          <w:tcPr>
            <w:tcW w:w="992" w:type="dxa"/>
            <w:noWrap/>
          </w:tcPr>
          <w:p w14:paraId="2D6300AD" w14:textId="3DB5C2AB"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0,01</w:t>
            </w:r>
          </w:p>
        </w:tc>
        <w:tc>
          <w:tcPr>
            <w:tcW w:w="851" w:type="dxa"/>
            <w:noWrap/>
          </w:tcPr>
          <w:p w14:paraId="4A1DB83A" w14:textId="0D8D1303"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1,50</w:t>
            </w:r>
          </w:p>
        </w:tc>
        <w:tc>
          <w:tcPr>
            <w:tcW w:w="1134" w:type="dxa"/>
            <w:noWrap/>
          </w:tcPr>
          <w:p w14:paraId="71315891" w14:textId="5AA30D7C"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0,20</w:t>
            </w:r>
          </w:p>
        </w:tc>
        <w:tc>
          <w:tcPr>
            <w:tcW w:w="850" w:type="dxa"/>
            <w:noWrap/>
          </w:tcPr>
          <w:p w14:paraId="0D1FA82B" w14:textId="60DEDADB"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10,42</w:t>
            </w:r>
          </w:p>
        </w:tc>
        <w:tc>
          <w:tcPr>
            <w:tcW w:w="709" w:type="dxa"/>
            <w:noWrap/>
          </w:tcPr>
          <w:p w14:paraId="128325E8" w14:textId="7F1A170D"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3,14</w:t>
            </w:r>
          </w:p>
        </w:tc>
        <w:tc>
          <w:tcPr>
            <w:tcW w:w="709" w:type="dxa"/>
            <w:noWrap/>
          </w:tcPr>
          <w:p w14:paraId="4C51F62B" w14:textId="5BE7F289"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1,32</w:t>
            </w:r>
          </w:p>
        </w:tc>
        <w:tc>
          <w:tcPr>
            <w:tcW w:w="850" w:type="dxa"/>
            <w:tcBorders>
              <w:right w:val="single" w:sz="12" w:space="0" w:color="auto"/>
            </w:tcBorders>
            <w:noWrap/>
          </w:tcPr>
          <w:p w14:paraId="7F5DB4FF" w14:textId="6425DB28"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39,85</w:t>
            </w:r>
          </w:p>
        </w:tc>
      </w:tr>
      <w:tr w:rsidR="00041EC2" w:rsidRPr="003B4324" w14:paraId="064E4D85" w14:textId="77777777" w:rsidTr="000A2AFE">
        <w:trPr>
          <w:trHeight w:val="300"/>
        </w:trPr>
        <w:tc>
          <w:tcPr>
            <w:tcW w:w="1271" w:type="dxa"/>
            <w:vMerge/>
            <w:tcBorders>
              <w:left w:val="single" w:sz="12" w:space="0" w:color="auto"/>
            </w:tcBorders>
            <w:shd w:val="clear" w:color="auto" w:fill="E7E6E6"/>
            <w:noWrap/>
          </w:tcPr>
          <w:p w14:paraId="0FE06BB0"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noWrap/>
          </w:tcPr>
          <w:p w14:paraId="2F8FFA22" w14:textId="77777777" w:rsidR="00041EC2" w:rsidRPr="00B37318"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2028</w:t>
            </w:r>
          </w:p>
        </w:tc>
        <w:tc>
          <w:tcPr>
            <w:tcW w:w="992" w:type="dxa"/>
            <w:noWrap/>
          </w:tcPr>
          <w:p w14:paraId="417BB0DC" w14:textId="364EBA7A"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noWrap/>
          </w:tcPr>
          <w:p w14:paraId="413CBED7" w14:textId="1DEC566E"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22,74</w:t>
            </w:r>
          </w:p>
        </w:tc>
        <w:tc>
          <w:tcPr>
            <w:tcW w:w="992" w:type="dxa"/>
            <w:noWrap/>
          </w:tcPr>
          <w:p w14:paraId="52720C8E" w14:textId="70E9CEE3"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0,01</w:t>
            </w:r>
          </w:p>
        </w:tc>
        <w:tc>
          <w:tcPr>
            <w:tcW w:w="851" w:type="dxa"/>
            <w:noWrap/>
          </w:tcPr>
          <w:p w14:paraId="7C58843D" w14:textId="6ABB380A"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1,50</w:t>
            </w:r>
          </w:p>
        </w:tc>
        <w:tc>
          <w:tcPr>
            <w:tcW w:w="1134" w:type="dxa"/>
            <w:noWrap/>
          </w:tcPr>
          <w:p w14:paraId="6AD62480" w14:textId="6337A332"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0,21</w:t>
            </w:r>
          </w:p>
        </w:tc>
        <w:tc>
          <w:tcPr>
            <w:tcW w:w="850" w:type="dxa"/>
            <w:noWrap/>
          </w:tcPr>
          <w:p w14:paraId="34432495" w14:textId="13100B48"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10,57</w:t>
            </w:r>
          </w:p>
        </w:tc>
        <w:tc>
          <w:tcPr>
            <w:tcW w:w="709" w:type="dxa"/>
            <w:noWrap/>
          </w:tcPr>
          <w:p w14:paraId="0EDF3921" w14:textId="741E4295"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3,60</w:t>
            </w:r>
          </w:p>
        </w:tc>
        <w:tc>
          <w:tcPr>
            <w:tcW w:w="709" w:type="dxa"/>
            <w:noWrap/>
          </w:tcPr>
          <w:p w14:paraId="249F6807" w14:textId="724DEDCE"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1,64</w:t>
            </w:r>
          </w:p>
        </w:tc>
        <w:tc>
          <w:tcPr>
            <w:tcW w:w="850" w:type="dxa"/>
            <w:tcBorders>
              <w:right w:val="single" w:sz="12" w:space="0" w:color="auto"/>
            </w:tcBorders>
            <w:noWrap/>
          </w:tcPr>
          <w:p w14:paraId="1266A17F" w14:textId="12F93ABB"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40,27</w:t>
            </w:r>
          </w:p>
        </w:tc>
      </w:tr>
      <w:tr w:rsidR="00041EC2" w:rsidRPr="003B4324" w14:paraId="0C209C3A" w14:textId="77777777" w:rsidTr="000A2AFE">
        <w:trPr>
          <w:trHeight w:val="300"/>
        </w:trPr>
        <w:tc>
          <w:tcPr>
            <w:tcW w:w="1271" w:type="dxa"/>
            <w:vMerge/>
            <w:tcBorders>
              <w:left w:val="single" w:sz="12" w:space="0" w:color="auto"/>
            </w:tcBorders>
            <w:shd w:val="clear" w:color="auto" w:fill="E7E6E6"/>
            <w:noWrap/>
          </w:tcPr>
          <w:p w14:paraId="0500ACA1"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noWrap/>
          </w:tcPr>
          <w:p w14:paraId="05EB50A4" w14:textId="77777777" w:rsidR="00041EC2" w:rsidRPr="00B37318"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2029</w:t>
            </w:r>
          </w:p>
        </w:tc>
        <w:tc>
          <w:tcPr>
            <w:tcW w:w="992" w:type="dxa"/>
            <w:noWrap/>
          </w:tcPr>
          <w:p w14:paraId="2F81673D" w14:textId="31795A53"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noWrap/>
          </w:tcPr>
          <w:p w14:paraId="126269D4" w14:textId="47CFE984"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21,18</w:t>
            </w:r>
          </w:p>
        </w:tc>
        <w:tc>
          <w:tcPr>
            <w:tcW w:w="992" w:type="dxa"/>
            <w:noWrap/>
          </w:tcPr>
          <w:p w14:paraId="6482953F" w14:textId="0879110A"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0,01</w:t>
            </w:r>
          </w:p>
        </w:tc>
        <w:tc>
          <w:tcPr>
            <w:tcW w:w="851" w:type="dxa"/>
            <w:noWrap/>
          </w:tcPr>
          <w:p w14:paraId="00A48AAD" w14:textId="42D41EEE"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2,74</w:t>
            </w:r>
          </w:p>
        </w:tc>
        <w:tc>
          <w:tcPr>
            <w:tcW w:w="1134" w:type="dxa"/>
            <w:noWrap/>
          </w:tcPr>
          <w:p w14:paraId="4368BAD5" w14:textId="2377E3DB"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0,28</w:t>
            </w:r>
          </w:p>
        </w:tc>
        <w:tc>
          <w:tcPr>
            <w:tcW w:w="850" w:type="dxa"/>
            <w:noWrap/>
          </w:tcPr>
          <w:p w14:paraId="23D448C3" w14:textId="75E26D5E"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10,57</w:t>
            </w:r>
          </w:p>
        </w:tc>
        <w:tc>
          <w:tcPr>
            <w:tcW w:w="709" w:type="dxa"/>
            <w:noWrap/>
          </w:tcPr>
          <w:p w14:paraId="21F81571" w14:textId="05AF5EDC"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4,09</w:t>
            </w:r>
          </w:p>
        </w:tc>
        <w:tc>
          <w:tcPr>
            <w:tcW w:w="709" w:type="dxa"/>
            <w:noWrap/>
          </w:tcPr>
          <w:p w14:paraId="455B5728" w14:textId="534BA64E"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1,97</w:t>
            </w:r>
          </w:p>
        </w:tc>
        <w:tc>
          <w:tcPr>
            <w:tcW w:w="850" w:type="dxa"/>
            <w:tcBorders>
              <w:right w:val="single" w:sz="12" w:space="0" w:color="auto"/>
            </w:tcBorders>
            <w:noWrap/>
          </w:tcPr>
          <w:p w14:paraId="5C2B81D4" w14:textId="305074D3"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40,83</w:t>
            </w:r>
          </w:p>
        </w:tc>
      </w:tr>
      <w:tr w:rsidR="00041EC2" w:rsidRPr="003B4324" w14:paraId="15963826" w14:textId="77777777" w:rsidTr="000A2AFE">
        <w:trPr>
          <w:trHeight w:val="300"/>
        </w:trPr>
        <w:tc>
          <w:tcPr>
            <w:tcW w:w="1271" w:type="dxa"/>
            <w:vMerge/>
            <w:tcBorders>
              <w:left w:val="single" w:sz="12" w:space="0" w:color="auto"/>
            </w:tcBorders>
            <w:shd w:val="clear" w:color="auto" w:fill="E7E6E6"/>
            <w:noWrap/>
          </w:tcPr>
          <w:p w14:paraId="5A161A5C"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noWrap/>
          </w:tcPr>
          <w:p w14:paraId="1CFE2B98" w14:textId="77777777" w:rsidR="00041EC2" w:rsidRPr="00B37318"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2030</w:t>
            </w:r>
          </w:p>
        </w:tc>
        <w:tc>
          <w:tcPr>
            <w:tcW w:w="992" w:type="dxa"/>
            <w:noWrap/>
          </w:tcPr>
          <w:p w14:paraId="5DDB1679" w14:textId="72BB9867"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noWrap/>
          </w:tcPr>
          <w:p w14:paraId="38F9F8E6" w14:textId="27DA42EE"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19,16</w:t>
            </w:r>
          </w:p>
        </w:tc>
        <w:tc>
          <w:tcPr>
            <w:tcW w:w="992" w:type="dxa"/>
            <w:noWrap/>
          </w:tcPr>
          <w:p w14:paraId="68CE5A55" w14:textId="56AAECB5"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0,01</w:t>
            </w:r>
          </w:p>
        </w:tc>
        <w:tc>
          <w:tcPr>
            <w:tcW w:w="851" w:type="dxa"/>
            <w:noWrap/>
          </w:tcPr>
          <w:p w14:paraId="4F6C535B" w14:textId="3C6F6774"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2,92</w:t>
            </w:r>
          </w:p>
        </w:tc>
        <w:tc>
          <w:tcPr>
            <w:tcW w:w="1134" w:type="dxa"/>
            <w:noWrap/>
          </w:tcPr>
          <w:p w14:paraId="09C6BA28" w14:textId="7DFCB6A5"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0,35</w:t>
            </w:r>
          </w:p>
        </w:tc>
        <w:tc>
          <w:tcPr>
            <w:tcW w:w="850" w:type="dxa"/>
            <w:noWrap/>
          </w:tcPr>
          <w:p w14:paraId="27E039D2" w14:textId="5834A04F"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10,84</w:t>
            </w:r>
          </w:p>
        </w:tc>
        <w:tc>
          <w:tcPr>
            <w:tcW w:w="709" w:type="dxa"/>
            <w:noWrap/>
          </w:tcPr>
          <w:p w14:paraId="6016E3FC" w14:textId="1B03D4C7"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4,61</w:t>
            </w:r>
          </w:p>
        </w:tc>
        <w:tc>
          <w:tcPr>
            <w:tcW w:w="709" w:type="dxa"/>
            <w:noWrap/>
          </w:tcPr>
          <w:p w14:paraId="69352B50" w14:textId="01F9788C"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2,30</w:t>
            </w:r>
          </w:p>
        </w:tc>
        <w:tc>
          <w:tcPr>
            <w:tcW w:w="850" w:type="dxa"/>
            <w:tcBorders>
              <w:right w:val="single" w:sz="12" w:space="0" w:color="auto"/>
            </w:tcBorders>
            <w:noWrap/>
          </w:tcPr>
          <w:p w14:paraId="37CB8410" w14:textId="3A9B0C28"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40,19</w:t>
            </w:r>
          </w:p>
        </w:tc>
      </w:tr>
      <w:tr w:rsidR="00041EC2" w:rsidRPr="003B4324" w14:paraId="16EF24FE" w14:textId="77777777" w:rsidTr="000A2AFE">
        <w:trPr>
          <w:trHeight w:val="300"/>
        </w:trPr>
        <w:tc>
          <w:tcPr>
            <w:tcW w:w="1271" w:type="dxa"/>
            <w:vMerge/>
            <w:tcBorders>
              <w:left w:val="single" w:sz="12" w:space="0" w:color="auto"/>
            </w:tcBorders>
            <w:shd w:val="clear" w:color="auto" w:fill="E7E6E6"/>
            <w:noWrap/>
          </w:tcPr>
          <w:p w14:paraId="3EF4D795"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noWrap/>
          </w:tcPr>
          <w:p w14:paraId="51FF376F" w14:textId="77777777" w:rsidR="00041EC2" w:rsidRPr="00B37318"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2035</w:t>
            </w:r>
          </w:p>
        </w:tc>
        <w:tc>
          <w:tcPr>
            <w:tcW w:w="992" w:type="dxa"/>
            <w:noWrap/>
          </w:tcPr>
          <w:p w14:paraId="46FE8207" w14:textId="2AC76744"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noWrap/>
          </w:tcPr>
          <w:p w14:paraId="2CCF252E" w14:textId="01B46869"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14,69</w:t>
            </w:r>
          </w:p>
        </w:tc>
        <w:tc>
          <w:tcPr>
            <w:tcW w:w="992" w:type="dxa"/>
            <w:noWrap/>
          </w:tcPr>
          <w:p w14:paraId="21D21900" w14:textId="4A0D9B35"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0,01</w:t>
            </w:r>
          </w:p>
        </w:tc>
        <w:tc>
          <w:tcPr>
            <w:tcW w:w="851" w:type="dxa"/>
            <w:noWrap/>
          </w:tcPr>
          <w:p w14:paraId="1415CCD3" w14:textId="5BDAEE8F"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2,68</w:t>
            </w:r>
          </w:p>
        </w:tc>
        <w:tc>
          <w:tcPr>
            <w:tcW w:w="1134" w:type="dxa"/>
            <w:noWrap/>
          </w:tcPr>
          <w:p w14:paraId="235F7A7E" w14:textId="61B509AE"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0,48</w:t>
            </w:r>
          </w:p>
        </w:tc>
        <w:tc>
          <w:tcPr>
            <w:tcW w:w="850" w:type="dxa"/>
            <w:noWrap/>
          </w:tcPr>
          <w:p w14:paraId="20EB0453" w14:textId="577FD37E"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12,31</w:t>
            </w:r>
          </w:p>
        </w:tc>
        <w:tc>
          <w:tcPr>
            <w:tcW w:w="709" w:type="dxa"/>
            <w:noWrap/>
          </w:tcPr>
          <w:p w14:paraId="7311A1BE" w14:textId="2E4B47C6"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8,05</w:t>
            </w:r>
          </w:p>
        </w:tc>
        <w:tc>
          <w:tcPr>
            <w:tcW w:w="709" w:type="dxa"/>
            <w:noWrap/>
          </w:tcPr>
          <w:p w14:paraId="0676DBB4" w14:textId="2AFDD3FD"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5,23</w:t>
            </w:r>
          </w:p>
        </w:tc>
        <w:tc>
          <w:tcPr>
            <w:tcW w:w="850" w:type="dxa"/>
            <w:tcBorders>
              <w:right w:val="single" w:sz="12" w:space="0" w:color="auto"/>
            </w:tcBorders>
            <w:noWrap/>
          </w:tcPr>
          <w:p w14:paraId="18D74E9A" w14:textId="13C4514B"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43,44</w:t>
            </w:r>
          </w:p>
        </w:tc>
      </w:tr>
      <w:tr w:rsidR="00041EC2" w:rsidRPr="003B4324" w14:paraId="68E25A6C" w14:textId="77777777" w:rsidTr="000A2AFE">
        <w:trPr>
          <w:trHeight w:val="300"/>
        </w:trPr>
        <w:tc>
          <w:tcPr>
            <w:tcW w:w="1271" w:type="dxa"/>
            <w:vMerge/>
            <w:tcBorders>
              <w:left w:val="single" w:sz="12" w:space="0" w:color="auto"/>
            </w:tcBorders>
            <w:shd w:val="clear" w:color="auto" w:fill="E7E6E6"/>
            <w:noWrap/>
          </w:tcPr>
          <w:p w14:paraId="6F6ADCD7"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noWrap/>
          </w:tcPr>
          <w:p w14:paraId="71A729A0" w14:textId="77777777" w:rsidR="00041EC2" w:rsidRPr="00B37318"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2040</w:t>
            </w:r>
          </w:p>
        </w:tc>
        <w:tc>
          <w:tcPr>
            <w:tcW w:w="992" w:type="dxa"/>
            <w:noWrap/>
          </w:tcPr>
          <w:p w14:paraId="34F4D357" w14:textId="66AFF9C1"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709" w:type="dxa"/>
            <w:noWrap/>
          </w:tcPr>
          <w:p w14:paraId="2F5C7FF5" w14:textId="0044E12D"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11,39</w:t>
            </w:r>
          </w:p>
        </w:tc>
        <w:tc>
          <w:tcPr>
            <w:tcW w:w="992" w:type="dxa"/>
            <w:noWrap/>
          </w:tcPr>
          <w:p w14:paraId="0AA59B32" w14:textId="43B86060"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0,01</w:t>
            </w:r>
          </w:p>
        </w:tc>
        <w:tc>
          <w:tcPr>
            <w:tcW w:w="851" w:type="dxa"/>
            <w:noWrap/>
          </w:tcPr>
          <w:p w14:paraId="0E3F81B1" w14:textId="6C054E37"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2,63</w:t>
            </w:r>
          </w:p>
        </w:tc>
        <w:tc>
          <w:tcPr>
            <w:tcW w:w="1134" w:type="dxa"/>
            <w:noWrap/>
          </w:tcPr>
          <w:p w14:paraId="355F2371" w14:textId="04836F0D"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0,98</w:t>
            </w:r>
          </w:p>
        </w:tc>
        <w:tc>
          <w:tcPr>
            <w:tcW w:w="850" w:type="dxa"/>
            <w:noWrap/>
          </w:tcPr>
          <w:p w14:paraId="1DDF6C1C" w14:textId="011BCC1C"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13,63</w:t>
            </w:r>
          </w:p>
        </w:tc>
        <w:tc>
          <w:tcPr>
            <w:tcW w:w="709" w:type="dxa"/>
            <w:noWrap/>
          </w:tcPr>
          <w:p w14:paraId="1F4341A5" w14:textId="0937C02F"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8,17</w:t>
            </w:r>
          </w:p>
        </w:tc>
        <w:tc>
          <w:tcPr>
            <w:tcW w:w="709" w:type="dxa"/>
            <w:noWrap/>
          </w:tcPr>
          <w:p w14:paraId="723A17C0" w14:textId="02968507"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9,80</w:t>
            </w:r>
          </w:p>
        </w:tc>
        <w:tc>
          <w:tcPr>
            <w:tcW w:w="850" w:type="dxa"/>
            <w:tcBorders>
              <w:right w:val="single" w:sz="12" w:space="0" w:color="auto"/>
            </w:tcBorders>
            <w:noWrap/>
          </w:tcPr>
          <w:p w14:paraId="39AE2586" w14:textId="5C142830"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46,61</w:t>
            </w:r>
          </w:p>
        </w:tc>
      </w:tr>
      <w:tr w:rsidR="00041EC2" w:rsidRPr="003B4324" w14:paraId="0829FC0E" w14:textId="77777777" w:rsidTr="000A2AFE">
        <w:trPr>
          <w:trHeight w:val="300"/>
        </w:trPr>
        <w:tc>
          <w:tcPr>
            <w:tcW w:w="1271" w:type="dxa"/>
            <w:vMerge/>
            <w:tcBorders>
              <w:left w:val="single" w:sz="12" w:space="0" w:color="auto"/>
            </w:tcBorders>
            <w:shd w:val="clear" w:color="auto" w:fill="E7E6E6"/>
            <w:noWrap/>
          </w:tcPr>
          <w:p w14:paraId="4EB3CBC8"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noWrap/>
          </w:tcPr>
          <w:p w14:paraId="629D9CBC" w14:textId="77777777" w:rsidR="00041EC2" w:rsidRPr="00B37318"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2045</w:t>
            </w:r>
          </w:p>
        </w:tc>
        <w:tc>
          <w:tcPr>
            <w:tcW w:w="992" w:type="dxa"/>
            <w:noWrap/>
          </w:tcPr>
          <w:p w14:paraId="5392B369" w14:textId="741171C9"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7,01</w:t>
            </w:r>
          </w:p>
        </w:tc>
        <w:tc>
          <w:tcPr>
            <w:tcW w:w="709" w:type="dxa"/>
            <w:noWrap/>
          </w:tcPr>
          <w:p w14:paraId="3DF99830" w14:textId="2ED1F6FA"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4,02</w:t>
            </w:r>
          </w:p>
        </w:tc>
        <w:tc>
          <w:tcPr>
            <w:tcW w:w="992" w:type="dxa"/>
            <w:noWrap/>
          </w:tcPr>
          <w:p w14:paraId="2B50497F" w14:textId="41051AC0"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0,01</w:t>
            </w:r>
          </w:p>
        </w:tc>
        <w:tc>
          <w:tcPr>
            <w:tcW w:w="851" w:type="dxa"/>
            <w:noWrap/>
          </w:tcPr>
          <w:p w14:paraId="422061BB" w14:textId="5FD2EB39"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1,84</w:t>
            </w:r>
          </w:p>
        </w:tc>
        <w:tc>
          <w:tcPr>
            <w:tcW w:w="1134" w:type="dxa"/>
            <w:noWrap/>
          </w:tcPr>
          <w:p w14:paraId="6F521F8B" w14:textId="68909B41"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1,05</w:t>
            </w:r>
          </w:p>
        </w:tc>
        <w:tc>
          <w:tcPr>
            <w:tcW w:w="850" w:type="dxa"/>
            <w:noWrap/>
          </w:tcPr>
          <w:p w14:paraId="3C9104D1" w14:textId="4E5C7A50"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14,06</w:t>
            </w:r>
          </w:p>
        </w:tc>
        <w:tc>
          <w:tcPr>
            <w:tcW w:w="709" w:type="dxa"/>
            <w:noWrap/>
          </w:tcPr>
          <w:p w14:paraId="2272A05E" w14:textId="744287A0"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14,14</w:t>
            </w:r>
          </w:p>
        </w:tc>
        <w:tc>
          <w:tcPr>
            <w:tcW w:w="709" w:type="dxa"/>
            <w:noWrap/>
          </w:tcPr>
          <w:p w14:paraId="227EF2D8" w14:textId="0F91A70C"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15,56</w:t>
            </w:r>
          </w:p>
        </w:tc>
        <w:tc>
          <w:tcPr>
            <w:tcW w:w="850" w:type="dxa"/>
            <w:tcBorders>
              <w:right w:val="single" w:sz="12" w:space="0" w:color="auto"/>
            </w:tcBorders>
            <w:noWrap/>
          </w:tcPr>
          <w:p w14:paraId="7B3700E3" w14:textId="72147859"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57,68</w:t>
            </w:r>
          </w:p>
        </w:tc>
      </w:tr>
      <w:tr w:rsidR="00041EC2" w:rsidRPr="003B4324" w14:paraId="6FF34A1E" w14:textId="77777777" w:rsidTr="000A2AFE">
        <w:trPr>
          <w:trHeight w:val="300"/>
        </w:trPr>
        <w:tc>
          <w:tcPr>
            <w:tcW w:w="1271" w:type="dxa"/>
            <w:vMerge/>
            <w:tcBorders>
              <w:left w:val="single" w:sz="12" w:space="0" w:color="auto"/>
              <w:bottom w:val="single" w:sz="12" w:space="0" w:color="auto"/>
            </w:tcBorders>
            <w:shd w:val="clear" w:color="auto" w:fill="E7E6E6"/>
            <w:noWrap/>
          </w:tcPr>
          <w:p w14:paraId="4DB754AA" w14:textId="77777777" w:rsidR="00041EC2" w:rsidRPr="004254D2" w:rsidRDefault="00041EC2" w:rsidP="00041EC2">
            <w:pPr>
              <w:spacing w:after="0" w:line="240" w:lineRule="auto"/>
              <w:rPr>
                <w:rFonts w:ascii="Calibri Light" w:hAnsi="Calibri Light" w:cs="Calibri Light"/>
                <w:color w:val="000000" w:themeColor="text1"/>
              </w:rPr>
            </w:pPr>
          </w:p>
        </w:tc>
        <w:tc>
          <w:tcPr>
            <w:tcW w:w="709" w:type="dxa"/>
            <w:tcBorders>
              <w:bottom w:val="single" w:sz="12" w:space="0" w:color="auto"/>
            </w:tcBorders>
            <w:noWrap/>
          </w:tcPr>
          <w:p w14:paraId="0D37E4B6" w14:textId="77777777" w:rsidR="00041EC2" w:rsidRPr="00B37318" w:rsidRDefault="00041EC2" w:rsidP="00041EC2">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2050</w:t>
            </w:r>
          </w:p>
        </w:tc>
        <w:tc>
          <w:tcPr>
            <w:tcW w:w="992" w:type="dxa"/>
            <w:tcBorders>
              <w:bottom w:val="single" w:sz="12" w:space="0" w:color="auto"/>
            </w:tcBorders>
            <w:noWrap/>
          </w:tcPr>
          <w:p w14:paraId="344DE39F" w14:textId="13ECE669"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7,01</w:t>
            </w:r>
          </w:p>
        </w:tc>
        <w:tc>
          <w:tcPr>
            <w:tcW w:w="709" w:type="dxa"/>
            <w:tcBorders>
              <w:bottom w:val="single" w:sz="12" w:space="0" w:color="auto"/>
            </w:tcBorders>
            <w:noWrap/>
          </w:tcPr>
          <w:p w14:paraId="2B222BDF" w14:textId="55EBFE74"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992" w:type="dxa"/>
            <w:tcBorders>
              <w:bottom w:val="single" w:sz="12" w:space="0" w:color="auto"/>
            </w:tcBorders>
            <w:noWrap/>
          </w:tcPr>
          <w:p w14:paraId="58F9CD12" w14:textId="2586B9F0"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0,00</w:t>
            </w:r>
          </w:p>
        </w:tc>
        <w:tc>
          <w:tcPr>
            <w:tcW w:w="851" w:type="dxa"/>
            <w:tcBorders>
              <w:bottom w:val="single" w:sz="12" w:space="0" w:color="auto"/>
            </w:tcBorders>
            <w:noWrap/>
          </w:tcPr>
          <w:p w14:paraId="023D1B30" w14:textId="2B6077EE"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1,63</w:t>
            </w:r>
          </w:p>
        </w:tc>
        <w:tc>
          <w:tcPr>
            <w:tcW w:w="1134" w:type="dxa"/>
            <w:tcBorders>
              <w:bottom w:val="single" w:sz="12" w:space="0" w:color="auto"/>
            </w:tcBorders>
            <w:noWrap/>
          </w:tcPr>
          <w:p w14:paraId="7D48A646" w14:textId="3ADDED34"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1,84</w:t>
            </w:r>
          </w:p>
        </w:tc>
        <w:tc>
          <w:tcPr>
            <w:tcW w:w="850" w:type="dxa"/>
            <w:tcBorders>
              <w:bottom w:val="single" w:sz="12" w:space="0" w:color="auto"/>
            </w:tcBorders>
            <w:noWrap/>
          </w:tcPr>
          <w:p w14:paraId="671FC138" w14:textId="6344571B"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14,06</w:t>
            </w:r>
          </w:p>
        </w:tc>
        <w:tc>
          <w:tcPr>
            <w:tcW w:w="709" w:type="dxa"/>
            <w:tcBorders>
              <w:bottom w:val="single" w:sz="12" w:space="0" w:color="auto"/>
            </w:tcBorders>
            <w:noWrap/>
          </w:tcPr>
          <w:p w14:paraId="48446094" w14:textId="441284F9"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20,82</w:t>
            </w:r>
          </w:p>
        </w:tc>
        <w:tc>
          <w:tcPr>
            <w:tcW w:w="709" w:type="dxa"/>
            <w:tcBorders>
              <w:bottom w:val="single" w:sz="12" w:space="0" w:color="auto"/>
            </w:tcBorders>
            <w:noWrap/>
          </w:tcPr>
          <w:p w14:paraId="0239E270" w14:textId="06467569"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22,14</w:t>
            </w:r>
          </w:p>
        </w:tc>
        <w:tc>
          <w:tcPr>
            <w:tcW w:w="850" w:type="dxa"/>
            <w:tcBorders>
              <w:bottom w:val="single" w:sz="12" w:space="0" w:color="auto"/>
              <w:right w:val="single" w:sz="12" w:space="0" w:color="auto"/>
            </w:tcBorders>
            <w:noWrap/>
          </w:tcPr>
          <w:p w14:paraId="01B09FE8" w14:textId="67D9EA20" w:rsidR="00041EC2" w:rsidRPr="00B37318" w:rsidRDefault="00041EC2" w:rsidP="00041EC2">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67,50</w:t>
            </w:r>
          </w:p>
        </w:tc>
      </w:tr>
    </w:tbl>
    <w:bookmarkEnd w:id="529"/>
    <w:p w14:paraId="1A3976FE" w14:textId="513BA65B" w:rsidR="00503DFA" w:rsidRPr="000A2AFE" w:rsidRDefault="00503DFA" w:rsidP="000A2AFE">
      <w:pPr>
        <w:pStyle w:val="ListParagraph"/>
        <w:keepNext/>
        <w:keepLines/>
        <w:numPr>
          <w:ilvl w:val="0"/>
          <w:numId w:val="309"/>
        </w:numPr>
        <w:spacing w:before="200" w:after="0" w:line="240" w:lineRule="auto"/>
        <w:outlineLvl w:val="3"/>
        <w:rPr>
          <w:rFonts w:asciiTheme="majorHAnsi" w:eastAsiaTheme="majorEastAsia" w:hAnsiTheme="majorHAnsi" w:cstheme="majorBidi"/>
          <w:b/>
          <w:bCs/>
          <w:iCs/>
          <w:color w:val="01406B"/>
          <w:szCs w:val="24"/>
          <w:lang w:val="en-GB"/>
        </w:rPr>
      </w:pPr>
      <w:r w:rsidRPr="000A2AFE">
        <w:rPr>
          <w:rFonts w:asciiTheme="majorHAnsi" w:eastAsiaTheme="majorEastAsia" w:hAnsiTheme="majorHAnsi" w:cstheme="majorBidi"/>
          <w:b/>
          <w:bCs/>
          <w:iCs/>
          <w:color w:val="01406B"/>
          <w:szCs w:val="24"/>
        </w:rPr>
        <w:t>Индикатори и финалн</w:t>
      </w:r>
      <w:r w:rsidR="00A87CB4">
        <w:rPr>
          <w:rFonts w:asciiTheme="majorHAnsi" w:eastAsiaTheme="majorEastAsia" w:hAnsiTheme="majorHAnsi" w:cstheme="majorBidi"/>
          <w:b/>
          <w:bCs/>
          <w:iCs/>
          <w:color w:val="01406B"/>
          <w:szCs w:val="24"/>
        </w:rPr>
        <w:t>а</w:t>
      </w:r>
      <w:r w:rsidRPr="000A2AFE">
        <w:rPr>
          <w:rFonts w:asciiTheme="majorHAnsi" w:eastAsiaTheme="majorEastAsia" w:hAnsiTheme="majorHAnsi" w:cstheme="majorBidi"/>
          <w:b/>
          <w:bCs/>
          <w:iCs/>
          <w:color w:val="01406B"/>
          <w:szCs w:val="24"/>
        </w:rPr>
        <w:t xml:space="preserve"> потрошњ</w:t>
      </w:r>
      <w:r w:rsidR="00A87CB4">
        <w:rPr>
          <w:rFonts w:asciiTheme="majorHAnsi" w:eastAsiaTheme="majorEastAsia" w:hAnsiTheme="majorHAnsi" w:cstheme="majorBidi"/>
          <w:b/>
          <w:bCs/>
          <w:iCs/>
          <w:color w:val="01406B"/>
          <w:szCs w:val="24"/>
        </w:rPr>
        <w:t>а</w:t>
      </w:r>
      <w:r w:rsidRPr="000A2AFE">
        <w:rPr>
          <w:rFonts w:asciiTheme="majorHAnsi" w:eastAsiaTheme="majorEastAsia" w:hAnsiTheme="majorHAnsi" w:cstheme="majorBidi"/>
          <w:b/>
          <w:bCs/>
          <w:iCs/>
          <w:color w:val="01406B"/>
          <w:szCs w:val="24"/>
        </w:rPr>
        <w:t xml:space="preserve"> енергије</w:t>
      </w:r>
    </w:p>
    <w:p w14:paraId="50CADCB3" w14:textId="1A573950" w:rsidR="00873C40" w:rsidRDefault="00873C40" w:rsidP="00565B02">
      <w:pPr>
        <w:pStyle w:val="Caption"/>
        <w:keepNext/>
        <w:spacing w:before="200"/>
      </w:pPr>
      <w:bookmarkStart w:id="530" w:name="_Toc153901504"/>
      <w:r>
        <w:t xml:space="preserve">Табела </w:t>
      </w:r>
      <w:r>
        <w:fldChar w:fldCharType="begin"/>
      </w:r>
      <w:r>
        <w:instrText xml:space="preserve"> STYLEREF 1 \s </w:instrText>
      </w:r>
      <w:r>
        <w:fldChar w:fldCharType="separate"/>
      </w:r>
      <w:r>
        <w:rPr>
          <w:noProof/>
        </w:rPr>
        <w:t>V</w:t>
      </w:r>
      <w:r>
        <w:fldChar w:fldCharType="end"/>
      </w:r>
      <w:r>
        <w:t>.</w:t>
      </w:r>
      <w:r>
        <w:fldChar w:fldCharType="begin"/>
      </w:r>
      <w:r>
        <w:instrText xml:space="preserve"> SEQ Табела \* ARABIC \s 1 </w:instrText>
      </w:r>
      <w:r>
        <w:fldChar w:fldCharType="separate"/>
      </w:r>
      <w:r>
        <w:rPr>
          <w:noProof/>
        </w:rPr>
        <w:t>9</w:t>
      </w:r>
      <w:r>
        <w:fldChar w:fldCharType="end"/>
      </w:r>
      <w:r w:rsidRPr="00873C40">
        <w:t>: Финална потрошња енергије [ktoe]</w:t>
      </w:r>
      <w:bookmarkEnd w:id="530"/>
    </w:p>
    <w:tbl>
      <w:tblPr>
        <w:tblStyle w:val="TableGrid"/>
        <w:tblW w:w="0" w:type="auto"/>
        <w:tblLayout w:type="fixed"/>
        <w:tblLook w:val="04A0" w:firstRow="1" w:lastRow="0" w:firstColumn="1" w:lastColumn="0" w:noHBand="0" w:noVBand="1"/>
      </w:tblPr>
      <w:tblGrid>
        <w:gridCol w:w="1661"/>
        <w:gridCol w:w="724"/>
        <w:gridCol w:w="724"/>
        <w:gridCol w:w="724"/>
        <w:gridCol w:w="725"/>
        <w:gridCol w:w="724"/>
        <w:gridCol w:w="724"/>
        <w:gridCol w:w="724"/>
        <w:gridCol w:w="725"/>
        <w:gridCol w:w="724"/>
        <w:gridCol w:w="724"/>
        <w:gridCol w:w="725"/>
      </w:tblGrid>
      <w:tr w:rsidR="00503DFA" w:rsidRPr="00503DFA" w14:paraId="72EE139C" w14:textId="77777777" w:rsidTr="0057310C">
        <w:trPr>
          <w:trHeight w:val="300"/>
        </w:trPr>
        <w:tc>
          <w:tcPr>
            <w:tcW w:w="1661" w:type="dxa"/>
            <w:shd w:val="clear" w:color="auto" w:fill="404040"/>
            <w:noWrap/>
            <w:vAlign w:val="center"/>
            <w:hideMark/>
          </w:tcPr>
          <w:p w14:paraId="13EA7E5E" w14:textId="430F4941" w:rsidR="00503DFA" w:rsidRPr="00503DFA" w:rsidRDefault="00503DFA" w:rsidP="00503DFA">
            <w:pPr>
              <w:spacing w:after="0" w:line="240" w:lineRule="auto"/>
              <w:jc w:val="center"/>
              <w:rPr>
                <w:rFonts w:ascii="Calibri Light" w:hAnsi="Calibri Light" w:cs="Calibri Light"/>
                <w:color w:val="000000" w:themeColor="text1"/>
                <w:lang w:val="en-GB"/>
              </w:rPr>
            </w:pPr>
            <w:r w:rsidRPr="000A2AFE">
              <w:rPr>
                <w:rFonts w:ascii="Calibri Light" w:hAnsi="Calibri Light" w:cs="Calibri Light"/>
                <w:color w:val="FFFFFF" w:themeColor="background1"/>
              </w:rPr>
              <w:t>Финална потрошња енергије</w:t>
            </w:r>
            <w:r w:rsidRPr="00503DFA">
              <w:rPr>
                <w:rFonts w:ascii="Calibri Light" w:hAnsi="Calibri Light" w:cs="Calibri Light"/>
                <w:color w:val="FFFFFF" w:themeColor="background1"/>
                <w:lang w:val="en-GB"/>
              </w:rPr>
              <w:t xml:space="preserve"> [ktoe]</w:t>
            </w:r>
          </w:p>
        </w:tc>
        <w:tc>
          <w:tcPr>
            <w:tcW w:w="724" w:type="dxa"/>
            <w:shd w:val="clear" w:color="auto" w:fill="1F497D"/>
            <w:noWrap/>
            <w:vAlign w:val="center"/>
            <w:hideMark/>
          </w:tcPr>
          <w:p w14:paraId="25FE8BE1" w14:textId="77777777" w:rsidR="00503DFA" w:rsidRPr="00503DFA" w:rsidRDefault="00503DFA" w:rsidP="00503DFA">
            <w:pPr>
              <w:spacing w:after="0" w:line="240" w:lineRule="auto"/>
              <w:jc w:val="center"/>
              <w:rPr>
                <w:rFonts w:ascii="Calibri Light" w:hAnsi="Calibri Light" w:cs="Calibri Light"/>
                <w:color w:val="FFFFFF" w:themeColor="background1"/>
                <w:lang w:val="en-GB"/>
              </w:rPr>
            </w:pPr>
            <w:r w:rsidRPr="00503DFA">
              <w:rPr>
                <w:rFonts w:ascii="Calibri Light" w:hAnsi="Calibri Light" w:cs="Calibri Light"/>
                <w:color w:val="FFFFFF" w:themeColor="background1"/>
                <w:lang w:val="en-GB"/>
              </w:rPr>
              <w:t>2020</w:t>
            </w:r>
          </w:p>
        </w:tc>
        <w:tc>
          <w:tcPr>
            <w:tcW w:w="724" w:type="dxa"/>
            <w:shd w:val="clear" w:color="auto" w:fill="1F497D"/>
            <w:noWrap/>
            <w:vAlign w:val="center"/>
            <w:hideMark/>
          </w:tcPr>
          <w:p w14:paraId="31490544" w14:textId="77777777" w:rsidR="00503DFA" w:rsidRPr="00503DFA" w:rsidRDefault="00503DFA" w:rsidP="00503DFA">
            <w:pPr>
              <w:spacing w:after="0" w:line="240" w:lineRule="auto"/>
              <w:jc w:val="center"/>
              <w:rPr>
                <w:rFonts w:ascii="Calibri Light" w:hAnsi="Calibri Light" w:cs="Calibri Light"/>
                <w:color w:val="FFFFFF" w:themeColor="background1"/>
                <w:lang w:val="en-GB"/>
              </w:rPr>
            </w:pPr>
            <w:r w:rsidRPr="00503DFA">
              <w:rPr>
                <w:rFonts w:ascii="Calibri Light" w:hAnsi="Calibri Light" w:cs="Calibri Light"/>
                <w:color w:val="FFFFFF" w:themeColor="background1"/>
                <w:lang w:val="en-GB"/>
              </w:rPr>
              <w:t>2025</w:t>
            </w:r>
          </w:p>
        </w:tc>
        <w:tc>
          <w:tcPr>
            <w:tcW w:w="724" w:type="dxa"/>
            <w:shd w:val="clear" w:color="auto" w:fill="1F497D"/>
            <w:noWrap/>
            <w:vAlign w:val="center"/>
            <w:hideMark/>
          </w:tcPr>
          <w:p w14:paraId="595BC2F7" w14:textId="77777777" w:rsidR="00503DFA" w:rsidRPr="00503DFA" w:rsidRDefault="00503DFA" w:rsidP="00503DFA">
            <w:pPr>
              <w:spacing w:after="0" w:line="240" w:lineRule="auto"/>
              <w:jc w:val="center"/>
              <w:rPr>
                <w:rFonts w:ascii="Calibri Light" w:hAnsi="Calibri Light" w:cs="Calibri Light"/>
                <w:color w:val="FFFFFF" w:themeColor="background1"/>
                <w:lang w:val="en-GB"/>
              </w:rPr>
            </w:pPr>
            <w:r w:rsidRPr="00503DFA">
              <w:rPr>
                <w:rFonts w:ascii="Calibri Light" w:hAnsi="Calibri Light" w:cs="Calibri Light"/>
                <w:color w:val="FFFFFF" w:themeColor="background1"/>
                <w:lang w:val="en-GB"/>
              </w:rPr>
              <w:t>2026</w:t>
            </w:r>
          </w:p>
        </w:tc>
        <w:tc>
          <w:tcPr>
            <w:tcW w:w="725" w:type="dxa"/>
            <w:shd w:val="clear" w:color="auto" w:fill="1F497D"/>
            <w:noWrap/>
            <w:vAlign w:val="center"/>
            <w:hideMark/>
          </w:tcPr>
          <w:p w14:paraId="30535F97" w14:textId="77777777" w:rsidR="00503DFA" w:rsidRPr="00503DFA" w:rsidRDefault="00503DFA" w:rsidP="00503DFA">
            <w:pPr>
              <w:spacing w:after="0" w:line="240" w:lineRule="auto"/>
              <w:jc w:val="center"/>
              <w:rPr>
                <w:rFonts w:ascii="Calibri Light" w:hAnsi="Calibri Light" w:cs="Calibri Light"/>
                <w:color w:val="FFFFFF" w:themeColor="background1"/>
                <w:lang w:val="en-GB"/>
              </w:rPr>
            </w:pPr>
            <w:r w:rsidRPr="00503DFA">
              <w:rPr>
                <w:rFonts w:ascii="Calibri Light" w:hAnsi="Calibri Light" w:cs="Calibri Light"/>
                <w:color w:val="FFFFFF" w:themeColor="background1"/>
                <w:lang w:val="en-GB"/>
              </w:rPr>
              <w:t>2027</w:t>
            </w:r>
          </w:p>
        </w:tc>
        <w:tc>
          <w:tcPr>
            <w:tcW w:w="724" w:type="dxa"/>
            <w:shd w:val="clear" w:color="auto" w:fill="1F497D"/>
            <w:noWrap/>
            <w:vAlign w:val="center"/>
            <w:hideMark/>
          </w:tcPr>
          <w:p w14:paraId="0986DFE0" w14:textId="77777777" w:rsidR="00503DFA" w:rsidRPr="00503DFA" w:rsidRDefault="00503DFA" w:rsidP="00503DFA">
            <w:pPr>
              <w:spacing w:after="0" w:line="240" w:lineRule="auto"/>
              <w:jc w:val="center"/>
              <w:rPr>
                <w:rFonts w:ascii="Calibri Light" w:hAnsi="Calibri Light" w:cs="Calibri Light"/>
                <w:color w:val="FFFFFF" w:themeColor="background1"/>
                <w:lang w:val="en-GB"/>
              </w:rPr>
            </w:pPr>
            <w:r w:rsidRPr="00503DFA">
              <w:rPr>
                <w:rFonts w:ascii="Calibri Light" w:hAnsi="Calibri Light" w:cs="Calibri Light"/>
                <w:color w:val="FFFFFF" w:themeColor="background1"/>
                <w:lang w:val="en-GB"/>
              </w:rPr>
              <w:t>2028</w:t>
            </w:r>
          </w:p>
        </w:tc>
        <w:tc>
          <w:tcPr>
            <w:tcW w:w="724" w:type="dxa"/>
            <w:shd w:val="clear" w:color="auto" w:fill="1F497D"/>
            <w:noWrap/>
            <w:vAlign w:val="center"/>
            <w:hideMark/>
          </w:tcPr>
          <w:p w14:paraId="16475ACF" w14:textId="77777777" w:rsidR="00503DFA" w:rsidRPr="00503DFA" w:rsidRDefault="00503DFA" w:rsidP="00503DFA">
            <w:pPr>
              <w:spacing w:after="0" w:line="240" w:lineRule="auto"/>
              <w:jc w:val="center"/>
              <w:rPr>
                <w:rFonts w:ascii="Calibri Light" w:hAnsi="Calibri Light" w:cs="Calibri Light"/>
                <w:color w:val="FFFFFF" w:themeColor="background1"/>
                <w:lang w:val="en-GB"/>
              </w:rPr>
            </w:pPr>
            <w:r w:rsidRPr="00503DFA">
              <w:rPr>
                <w:rFonts w:ascii="Calibri Light" w:hAnsi="Calibri Light" w:cs="Calibri Light"/>
                <w:color w:val="FFFFFF" w:themeColor="background1"/>
                <w:lang w:val="en-GB"/>
              </w:rPr>
              <w:t>2029</w:t>
            </w:r>
          </w:p>
        </w:tc>
        <w:tc>
          <w:tcPr>
            <w:tcW w:w="724" w:type="dxa"/>
            <w:shd w:val="clear" w:color="auto" w:fill="1F497D"/>
            <w:noWrap/>
            <w:vAlign w:val="center"/>
            <w:hideMark/>
          </w:tcPr>
          <w:p w14:paraId="4A738726" w14:textId="77777777" w:rsidR="00503DFA" w:rsidRPr="00503DFA" w:rsidRDefault="00503DFA" w:rsidP="00503DFA">
            <w:pPr>
              <w:spacing w:after="0" w:line="240" w:lineRule="auto"/>
              <w:jc w:val="center"/>
              <w:rPr>
                <w:rFonts w:ascii="Calibri Light" w:hAnsi="Calibri Light" w:cs="Calibri Light"/>
                <w:color w:val="FFFFFF" w:themeColor="background1"/>
                <w:lang w:val="en-GB"/>
              </w:rPr>
            </w:pPr>
            <w:r w:rsidRPr="00503DFA">
              <w:rPr>
                <w:rFonts w:ascii="Calibri Light" w:hAnsi="Calibri Light" w:cs="Calibri Light"/>
                <w:color w:val="FFFFFF" w:themeColor="background1"/>
                <w:lang w:val="en-GB"/>
              </w:rPr>
              <w:t>2030</w:t>
            </w:r>
          </w:p>
        </w:tc>
        <w:tc>
          <w:tcPr>
            <w:tcW w:w="725" w:type="dxa"/>
            <w:shd w:val="clear" w:color="auto" w:fill="1F497D"/>
            <w:noWrap/>
            <w:vAlign w:val="center"/>
            <w:hideMark/>
          </w:tcPr>
          <w:p w14:paraId="4D148F60" w14:textId="77777777" w:rsidR="00503DFA" w:rsidRPr="00503DFA" w:rsidRDefault="00503DFA" w:rsidP="00503DFA">
            <w:pPr>
              <w:spacing w:after="0" w:line="240" w:lineRule="auto"/>
              <w:jc w:val="center"/>
              <w:rPr>
                <w:rFonts w:ascii="Calibri Light" w:hAnsi="Calibri Light" w:cs="Calibri Light"/>
                <w:color w:val="FFFFFF" w:themeColor="background1"/>
                <w:lang w:val="en-GB"/>
              </w:rPr>
            </w:pPr>
            <w:r w:rsidRPr="00503DFA">
              <w:rPr>
                <w:rFonts w:ascii="Calibri Light" w:hAnsi="Calibri Light" w:cs="Calibri Light"/>
                <w:color w:val="FFFFFF" w:themeColor="background1"/>
                <w:lang w:val="en-GB"/>
              </w:rPr>
              <w:t>2035</w:t>
            </w:r>
          </w:p>
        </w:tc>
        <w:tc>
          <w:tcPr>
            <w:tcW w:w="724" w:type="dxa"/>
            <w:shd w:val="clear" w:color="auto" w:fill="1F497D"/>
            <w:noWrap/>
            <w:vAlign w:val="center"/>
            <w:hideMark/>
          </w:tcPr>
          <w:p w14:paraId="28CD3629" w14:textId="77777777" w:rsidR="00503DFA" w:rsidRPr="00503DFA" w:rsidRDefault="00503DFA" w:rsidP="00503DFA">
            <w:pPr>
              <w:spacing w:after="0" w:line="240" w:lineRule="auto"/>
              <w:jc w:val="center"/>
              <w:rPr>
                <w:rFonts w:ascii="Calibri Light" w:hAnsi="Calibri Light" w:cs="Calibri Light"/>
                <w:color w:val="FFFFFF" w:themeColor="background1"/>
                <w:lang w:val="en-GB"/>
              </w:rPr>
            </w:pPr>
            <w:r w:rsidRPr="00503DFA">
              <w:rPr>
                <w:rFonts w:ascii="Calibri Light" w:hAnsi="Calibri Light" w:cs="Calibri Light"/>
                <w:color w:val="FFFFFF" w:themeColor="background1"/>
                <w:lang w:val="en-GB"/>
              </w:rPr>
              <w:t>2040</w:t>
            </w:r>
          </w:p>
        </w:tc>
        <w:tc>
          <w:tcPr>
            <w:tcW w:w="724" w:type="dxa"/>
            <w:shd w:val="clear" w:color="auto" w:fill="1F497D"/>
            <w:noWrap/>
            <w:vAlign w:val="center"/>
            <w:hideMark/>
          </w:tcPr>
          <w:p w14:paraId="63A38607" w14:textId="77777777" w:rsidR="00503DFA" w:rsidRPr="00503DFA" w:rsidRDefault="00503DFA" w:rsidP="00503DFA">
            <w:pPr>
              <w:spacing w:after="0" w:line="240" w:lineRule="auto"/>
              <w:jc w:val="center"/>
              <w:rPr>
                <w:rFonts w:ascii="Calibri Light" w:hAnsi="Calibri Light" w:cs="Calibri Light"/>
                <w:color w:val="FFFFFF" w:themeColor="background1"/>
                <w:lang w:val="en-GB"/>
              </w:rPr>
            </w:pPr>
            <w:r w:rsidRPr="00503DFA">
              <w:rPr>
                <w:rFonts w:ascii="Calibri Light" w:hAnsi="Calibri Light" w:cs="Calibri Light"/>
                <w:color w:val="FFFFFF" w:themeColor="background1"/>
                <w:lang w:val="en-GB"/>
              </w:rPr>
              <w:t>2045</w:t>
            </w:r>
          </w:p>
        </w:tc>
        <w:tc>
          <w:tcPr>
            <w:tcW w:w="725" w:type="dxa"/>
            <w:shd w:val="clear" w:color="auto" w:fill="1F497D"/>
            <w:noWrap/>
            <w:vAlign w:val="center"/>
            <w:hideMark/>
          </w:tcPr>
          <w:p w14:paraId="1359B128" w14:textId="77777777" w:rsidR="00503DFA" w:rsidRPr="00503DFA" w:rsidRDefault="00503DFA" w:rsidP="00503DFA">
            <w:pPr>
              <w:spacing w:after="0" w:line="240" w:lineRule="auto"/>
              <w:jc w:val="center"/>
              <w:rPr>
                <w:rFonts w:ascii="Calibri Light" w:hAnsi="Calibri Light" w:cs="Calibri Light"/>
                <w:color w:val="FFFFFF" w:themeColor="background1"/>
                <w:lang w:val="en-GB"/>
              </w:rPr>
            </w:pPr>
            <w:r w:rsidRPr="00503DFA">
              <w:rPr>
                <w:rFonts w:ascii="Calibri Light" w:hAnsi="Calibri Light" w:cs="Calibri Light"/>
                <w:color w:val="FFFFFF" w:themeColor="background1"/>
                <w:lang w:val="en-GB"/>
              </w:rPr>
              <w:t>2050</w:t>
            </w:r>
          </w:p>
        </w:tc>
      </w:tr>
      <w:tr w:rsidR="00503DFA" w:rsidRPr="00503DFA" w14:paraId="255F2FA8" w14:textId="77777777" w:rsidTr="0057310C">
        <w:trPr>
          <w:trHeight w:val="300"/>
        </w:trPr>
        <w:tc>
          <w:tcPr>
            <w:tcW w:w="1661" w:type="dxa"/>
            <w:shd w:val="clear" w:color="auto" w:fill="E7E6E6"/>
            <w:noWrap/>
            <w:vAlign w:val="bottom"/>
            <w:hideMark/>
          </w:tcPr>
          <w:p w14:paraId="32733DD6" w14:textId="77777777" w:rsidR="00503DFA" w:rsidRPr="00503DFA" w:rsidRDefault="00503DFA" w:rsidP="00503DFA">
            <w:pPr>
              <w:spacing w:after="0" w:line="240" w:lineRule="auto"/>
              <w:jc w:val="left"/>
              <w:rPr>
                <w:rFonts w:ascii="Calibri Light" w:hAnsi="Calibri Light" w:cs="Calibri Light"/>
                <w:color w:val="000000" w:themeColor="text1"/>
                <w:lang w:val="en-GB"/>
              </w:rPr>
            </w:pPr>
            <w:r w:rsidRPr="00503DFA">
              <w:rPr>
                <w:rFonts w:ascii="Calibri Light" w:hAnsi="Calibri Light" w:cs="Calibri Light"/>
                <w:color w:val="000000" w:themeColor="text1"/>
                <w:lang w:val="en-GB"/>
              </w:rPr>
              <w:t>WEM</w:t>
            </w:r>
          </w:p>
        </w:tc>
        <w:tc>
          <w:tcPr>
            <w:tcW w:w="724" w:type="dxa"/>
            <w:noWrap/>
            <w:hideMark/>
          </w:tcPr>
          <w:p w14:paraId="0A17FF74"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8887</w:t>
            </w:r>
          </w:p>
        </w:tc>
        <w:tc>
          <w:tcPr>
            <w:tcW w:w="724" w:type="dxa"/>
            <w:noWrap/>
            <w:hideMark/>
          </w:tcPr>
          <w:p w14:paraId="55AFCE45"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9823</w:t>
            </w:r>
          </w:p>
        </w:tc>
        <w:tc>
          <w:tcPr>
            <w:tcW w:w="724" w:type="dxa"/>
            <w:noWrap/>
            <w:hideMark/>
          </w:tcPr>
          <w:p w14:paraId="548911B2"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9976</w:t>
            </w:r>
          </w:p>
        </w:tc>
        <w:tc>
          <w:tcPr>
            <w:tcW w:w="725" w:type="dxa"/>
            <w:noWrap/>
            <w:hideMark/>
          </w:tcPr>
          <w:p w14:paraId="2978B155"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10139</w:t>
            </w:r>
          </w:p>
        </w:tc>
        <w:tc>
          <w:tcPr>
            <w:tcW w:w="724" w:type="dxa"/>
            <w:noWrap/>
            <w:hideMark/>
          </w:tcPr>
          <w:p w14:paraId="1637D14A"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10295</w:t>
            </w:r>
          </w:p>
        </w:tc>
        <w:tc>
          <w:tcPr>
            <w:tcW w:w="724" w:type="dxa"/>
            <w:noWrap/>
            <w:hideMark/>
          </w:tcPr>
          <w:p w14:paraId="7664BB54"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10461</w:t>
            </w:r>
          </w:p>
        </w:tc>
        <w:tc>
          <w:tcPr>
            <w:tcW w:w="724" w:type="dxa"/>
            <w:noWrap/>
            <w:hideMark/>
          </w:tcPr>
          <w:p w14:paraId="11736F3E"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10615</w:t>
            </w:r>
          </w:p>
        </w:tc>
        <w:tc>
          <w:tcPr>
            <w:tcW w:w="725" w:type="dxa"/>
            <w:noWrap/>
            <w:hideMark/>
          </w:tcPr>
          <w:p w14:paraId="147F5C64"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11149</w:t>
            </w:r>
          </w:p>
        </w:tc>
        <w:tc>
          <w:tcPr>
            <w:tcW w:w="724" w:type="dxa"/>
            <w:noWrap/>
            <w:hideMark/>
          </w:tcPr>
          <w:p w14:paraId="75082B03"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11765</w:t>
            </w:r>
          </w:p>
        </w:tc>
        <w:tc>
          <w:tcPr>
            <w:tcW w:w="724" w:type="dxa"/>
            <w:noWrap/>
            <w:hideMark/>
          </w:tcPr>
          <w:p w14:paraId="55670541"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12327</w:t>
            </w:r>
          </w:p>
        </w:tc>
        <w:tc>
          <w:tcPr>
            <w:tcW w:w="725" w:type="dxa"/>
            <w:noWrap/>
            <w:hideMark/>
          </w:tcPr>
          <w:p w14:paraId="6C416F7E"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12969</w:t>
            </w:r>
          </w:p>
        </w:tc>
      </w:tr>
      <w:tr w:rsidR="00503DFA" w:rsidRPr="00503DFA" w14:paraId="12943A8A" w14:textId="77777777" w:rsidTr="0057310C">
        <w:trPr>
          <w:trHeight w:val="300"/>
        </w:trPr>
        <w:tc>
          <w:tcPr>
            <w:tcW w:w="1661" w:type="dxa"/>
            <w:shd w:val="clear" w:color="auto" w:fill="E7E6E6"/>
            <w:noWrap/>
            <w:vAlign w:val="bottom"/>
            <w:hideMark/>
          </w:tcPr>
          <w:p w14:paraId="4FB415AC" w14:textId="0AEBC8CB" w:rsidR="00503DFA" w:rsidRPr="00503DFA" w:rsidRDefault="00503DFA" w:rsidP="00503DFA">
            <w:pPr>
              <w:spacing w:after="0" w:line="240" w:lineRule="auto"/>
              <w:jc w:val="left"/>
              <w:rPr>
                <w:rFonts w:ascii="Calibri Light" w:hAnsi="Calibri Light" w:cs="Calibri Light"/>
                <w:color w:val="000000" w:themeColor="text1"/>
                <w:lang w:val="en-GB"/>
              </w:rPr>
            </w:pPr>
            <w:r>
              <w:rPr>
                <w:rFonts w:ascii="Calibri Light" w:hAnsi="Calibri Light" w:cs="Calibri Light"/>
                <w:color w:val="000000" w:themeColor="text1"/>
              </w:rPr>
              <w:t>Сценарио</w:t>
            </w:r>
            <w:r w:rsidRPr="003208FA">
              <w:rPr>
                <w:rFonts w:ascii="Calibri Light" w:hAnsi="Calibri Light" w:cs="Calibri Light"/>
                <w:color w:val="000000" w:themeColor="text1"/>
              </w:rPr>
              <w:t>-S</w:t>
            </w:r>
          </w:p>
        </w:tc>
        <w:tc>
          <w:tcPr>
            <w:tcW w:w="724" w:type="dxa"/>
            <w:noWrap/>
            <w:hideMark/>
          </w:tcPr>
          <w:p w14:paraId="4AB058ED"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8887</w:t>
            </w:r>
          </w:p>
        </w:tc>
        <w:tc>
          <w:tcPr>
            <w:tcW w:w="724" w:type="dxa"/>
            <w:noWrap/>
            <w:hideMark/>
          </w:tcPr>
          <w:p w14:paraId="6A505616"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9333</w:t>
            </w:r>
          </w:p>
        </w:tc>
        <w:tc>
          <w:tcPr>
            <w:tcW w:w="724" w:type="dxa"/>
            <w:noWrap/>
            <w:hideMark/>
          </w:tcPr>
          <w:p w14:paraId="2703699A"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9335</w:t>
            </w:r>
          </w:p>
        </w:tc>
        <w:tc>
          <w:tcPr>
            <w:tcW w:w="725" w:type="dxa"/>
            <w:noWrap/>
            <w:hideMark/>
          </w:tcPr>
          <w:p w14:paraId="48F70A18"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9407</w:t>
            </w:r>
          </w:p>
        </w:tc>
        <w:tc>
          <w:tcPr>
            <w:tcW w:w="724" w:type="dxa"/>
            <w:noWrap/>
            <w:hideMark/>
          </w:tcPr>
          <w:p w14:paraId="484B09B1"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9493</w:t>
            </w:r>
          </w:p>
        </w:tc>
        <w:tc>
          <w:tcPr>
            <w:tcW w:w="724" w:type="dxa"/>
            <w:noWrap/>
            <w:hideMark/>
          </w:tcPr>
          <w:p w14:paraId="01BFB661"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9554</w:t>
            </w:r>
          </w:p>
        </w:tc>
        <w:tc>
          <w:tcPr>
            <w:tcW w:w="724" w:type="dxa"/>
            <w:noWrap/>
            <w:hideMark/>
          </w:tcPr>
          <w:p w14:paraId="32C44A02"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9670</w:t>
            </w:r>
          </w:p>
        </w:tc>
        <w:tc>
          <w:tcPr>
            <w:tcW w:w="725" w:type="dxa"/>
            <w:noWrap/>
            <w:hideMark/>
          </w:tcPr>
          <w:p w14:paraId="2F57ECFF"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9718</w:t>
            </w:r>
          </w:p>
        </w:tc>
        <w:tc>
          <w:tcPr>
            <w:tcW w:w="724" w:type="dxa"/>
            <w:noWrap/>
            <w:hideMark/>
          </w:tcPr>
          <w:p w14:paraId="5B2BBAF1"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9790</w:t>
            </w:r>
          </w:p>
        </w:tc>
        <w:tc>
          <w:tcPr>
            <w:tcW w:w="724" w:type="dxa"/>
            <w:noWrap/>
            <w:hideMark/>
          </w:tcPr>
          <w:p w14:paraId="37AF9441"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9567</w:t>
            </w:r>
          </w:p>
        </w:tc>
        <w:tc>
          <w:tcPr>
            <w:tcW w:w="725" w:type="dxa"/>
            <w:noWrap/>
            <w:hideMark/>
          </w:tcPr>
          <w:p w14:paraId="65D7603F"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9528</w:t>
            </w:r>
          </w:p>
        </w:tc>
      </w:tr>
      <w:tr w:rsidR="00503DFA" w:rsidRPr="00503DFA" w14:paraId="74CE47E5" w14:textId="77777777" w:rsidTr="0057310C">
        <w:trPr>
          <w:trHeight w:val="300"/>
        </w:trPr>
        <w:tc>
          <w:tcPr>
            <w:tcW w:w="1661" w:type="dxa"/>
            <w:shd w:val="clear" w:color="auto" w:fill="E7E6E6"/>
            <w:noWrap/>
            <w:vAlign w:val="bottom"/>
            <w:hideMark/>
          </w:tcPr>
          <w:p w14:paraId="5B9677F4" w14:textId="3F71F840" w:rsidR="00503DFA" w:rsidRPr="00503DFA" w:rsidRDefault="00503DFA" w:rsidP="00503DFA">
            <w:pPr>
              <w:spacing w:after="0" w:line="240" w:lineRule="auto"/>
              <w:jc w:val="left"/>
              <w:rPr>
                <w:rFonts w:ascii="Calibri Light" w:hAnsi="Calibri Light" w:cs="Calibri Light"/>
                <w:color w:val="000000" w:themeColor="text1"/>
                <w:lang w:val="en-GB"/>
              </w:rPr>
            </w:pPr>
            <w:r w:rsidRPr="009F1D0C">
              <w:rPr>
                <w:rFonts w:ascii="Calibri Light" w:hAnsi="Calibri Light" w:cs="Calibri Light"/>
                <w:color w:val="000000" w:themeColor="text1"/>
              </w:rPr>
              <w:t>Сценарио</w:t>
            </w:r>
            <w:r w:rsidRPr="003208FA">
              <w:rPr>
                <w:rFonts w:ascii="Calibri Light" w:hAnsi="Calibri Light" w:cs="Calibri Light"/>
                <w:color w:val="000000" w:themeColor="text1"/>
              </w:rPr>
              <w:t>-S-N</w:t>
            </w:r>
          </w:p>
        </w:tc>
        <w:tc>
          <w:tcPr>
            <w:tcW w:w="724" w:type="dxa"/>
            <w:noWrap/>
            <w:hideMark/>
          </w:tcPr>
          <w:p w14:paraId="3684B1D8"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8887</w:t>
            </w:r>
          </w:p>
        </w:tc>
        <w:tc>
          <w:tcPr>
            <w:tcW w:w="724" w:type="dxa"/>
            <w:noWrap/>
            <w:hideMark/>
          </w:tcPr>
          <w:p w14:paraId="1BA77C05"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9333</w:t>
            </w:r>
          </w:p>
        </w:tc>
        <w:tc>
          <w:tcPr>
            <w:tcW w:w="724" w:type="dxa"/>
            <w:noWrap/>
            <w:hideMark/>
          </w:tcPr>
          <w:p w14:paraId="034D8969"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9335</w:t>
            </w:r>
          </w:p>
        </w:tc>
        <w:tc>
          <w:tcPr>
            <w:tcW w:w="725" w:type="dxa"/>
            <w:noWrap/>
            <w:hideMark/>
          </w:tcPr>
          <w:p w14:paraId="509D4075"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9407</w:t>
            </w:r>
          </w:p>
        </w:tc>
        <w:tc>
          <w:tcPr>
            <w:tcW w:w="724" w:type="dxa"/>
            <w:noWrap/>
            <w:hideMark/>
          </w:tcPr>
          <w:p w14:paraId="3BBEB501"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9493</w:t>
            </w:r>
          </w:p>
        </w:tc>
        <w:tc>
          <w:tcPr>
            <w:tcW w:w="724" w:type="dxa"/>
            <w:noWrap/>
            <w:hideMark/>
          </w:tcPr>
          <w:p w14:paraId="1E32B272"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9554</w:t>
            </w:r>
          </w:p>
        </w:tc>
        <w:tc>
          <w:tcPr>
            <w:tcW w:w="724" w:type="dxa"/>
            <w:noWrap/>
            <w:hideMark/>
          </w:tcPr>
          <w:p w14:paraId="19F4730B"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9670</w:t>
            </w:r>
          </w:p>
        </w:tc>
        <w:tc>
          <w:tcPr>
            <w:tcW w:w="725" w:type="dxa"/>
            <w:noWrap/>
            <w:hideMark/>
          </w:tcPr>
          <w:p w14:paraId="51EE263E"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9737</w:t>
            </w:r>
          </w:p>
        </w:tc>
        <w:tc>
          <w:tcPr>
            <w:tcW w:w="724" w:type="dxa"/>
            <w:noWrap/>
            <w:hideMark/>
          </w:tcPr>
          <w:p w14:paraId="383DE9AC"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9757</w:t>
            </w:r>
          </w:p>
        </w:tc>
        <w:tc>
          <w:tcPr>
            <w:tcW w:w="724" w:type="dxa"/>
            <w:noWrap/>
            <w:hideMark/>
          </w:tcPr>
          <w:p w14:paraId="3A3A3A76"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9501</w:t>
            </w:r>
          </w:p>
        </w:tc>
        <w:tc>
          <w:tcPr>
            <w:tcW w:w="725" w:type="dxa"/>
            <w:noWrap/>
            <w:hideMark/>
          </w:tcPr>
          <w:p w14:paraId="66E18593" w14:textId="77777777" w:rsidR="00503DFA" w:rsidRPr="00503DFA" w:rsidRDefault="00503DFA" w:rsidP="00503DFA">
            <w:pPr>
              <w:spacing w:after="0" w:line="240" w:lineRule="auto"/>
              <w:jc w:val="center"/>
              <w:rPr>
                <w:rFonts w:ascii="Calibri Light" w:hAnsi="Calibri Light" w:cs="Calibri Light"/>
                <w:color w:val="000000" w:themeColor="text1"/>
                <w:lang w:val="en-GB"/>
              </w:rPr>
            </w:pPr>
            <w:r w:rsidRPr="00503DFA">
              <w:rPr>
                <w:rFonts w:ascii="Calibri Light" w:hAnsi="Calibri Light" w:cs="Calibri Light"/>
                <w:color w:val="000000" w:themeColor="text1"/>
                <w:lang w:val="en-GB"/>
              </w:rPr>
              <w:t>9455</w:t>
            </w:r>
          </w:p>
        </w:tc>
      </w:tr>
    </w:tbl>
    <w:p w14:paraId="21E2C5A3" w14:textId="3811B8DF" w:rsidR="00873C40" w:rsidRDefault="00873C40" w:rsidP="00565B02">
      <w:pPr>
        <w:pStyle w:val="Caption"/>
        <w:spacing w:before="200"/>
      </w:pPr>
      <w:bookmarkStart w:id="531" w:name="_Toc153901505"/>
      <w:r>
        <w:t xml:space="preserve">Табела </w:t>
      </w:r>
      <w:r>
        <w:fldChar w:fldCharType="begin"/>
      </w:r>
      <w:r>
        <w:instrText xml:space="preserve"> STYLEREF 1 \s </w:instrText>
      </w:r>
      <w:r>
        <w:fldChar w:fldCharType="separate"/>
      </w:r>
      <w:r>
        <w:rPr>
          <w:noProof/>
        </w:rPr>
        <w:t>V</w:t>
      </w:r>
      <w:r>
        <w:fldChar w:fldCharType="end"/>
      </w:r>
      <w:r>
        <w:t>.</w:t>
      </w:r>
      <w:r>
        <w:fldChar w:fldCharType="begin"/>
      </w:r>
      <w:r>
        <w:instrText xml:space="preserve"> SEQ Табела \* ARABIC \s 1 </w:instrText>
      </w:r>
      <w:r>
        <w:fldChar w:fldCharType="separate"/>
      </w:r>
      <w:r>
        <w:rPr>
          <w:noProof/>
        </w:rPr>
        <w:t>10</w:t>
      </w:r>
      <w:r>
        <w:fldChar w:fldCharType="end"/>
      </w:r>
      <w:r w:rsidRPr="00873C40">
        <w:t>: Производња примарне енергије [ktoe]</w:t>
      </w:r>
      <w:bookmarkEnd w:id="531"/>
    </w:p>
    <w:tbl>
      <w:tblPr>
        <w:tblStyle w:val="TableGrid"/>
        <w:tblW w:w="0" w:type="auto"/>
        <w:tblLayout w:type="fixed"/>
        <w:tblLook w:val="04A0" w:firstRow="1" w:lastRow="0" w:firstColumn="1" w:lastColumn="0" w:noHBand="0" w:noVBand="1"/>
      </w:tblPr>
      <w:tblGrid>
        <w:gridCol w:w="1661"/>
        <w:gridCol w:w="724"/>
        <w:gridCol w:w="724"/>
        <w:gridCol w:w="724"/>
        <w:gridCol w:w="725"/>
        <w:gridCol w:w="724"/>
        <w:gridCol w:w="724"/>
        <w:gridCol w:w="724"/>
        <w:gridCol w:w="725"/>
        <w:gridCol w:w="724"/>
        <w:gridCol w:w="724"/>
        <w:gridCol w:w="725"/>
      </w:tblGrid>
      <w:tr w:rsidR="00862579" w:rsidRPr="003B4324" w14:paraId="3B38B679" w14:textId="77777777" w:rsidTr="0057310C">
        <w:trPr>
          <w:trHeight w:val="300"/>
        </w:trPr>
        <w:tc>
          <w:tcPr>
            <w:tcW w:w="1661" w:type="dxa"/>
            <w:shd w:val="clear" w:color="auto" w:fill="404040"/>
            <w:noWrap/>
            <w:vAlign w:val="center"/>
            <w:hideMark/>
          </w:tcPr>
          <w:p w14:paraId="01DACB9D" w14:textId="30A84C56" w:rsidR="00862579" w:rsidRPr="004254D2" w:rsidRDefault="00862579" w:rsidP="0057310C">
            <w:pPr>
              <w:spacing w:after="0" w:line="240" w:lineRule="auto"/>
              <w:jc w:val="center"/>
              <w:rPr>
                <w:rFonts w:ascii="Calibri Light" w:hAnsi="Calibri Light" w:cs="Calibri Light"/>
                <w:color w:val="000000" w:themeColor="text1"/>
              </w:rPr>
            </w:pPr>
            <w:r w:rsidRPr="00862579">
              <w:rPr>
                <w:rFonts w:ascii="Calibri Light" w:hAnsi="Calibri Light" w:cs="Calibri Light"/>
                <w:color w:val="FFFFFF" w:themeColor="background1"/>
              </w:rPr>
              <w:t xml:space="preserve">Производња примарне енергије </w:t>
            </w:r>
            <w:r w:rsidRPr="000E2508">
              <w:rPr>
                <w:rFonts w:ascii="Calibri Light" w:hAnsi="Calibri Light" w:cs="Calibri Light"/>
                <w:color w:val="FFFFFF" w:themeColor="background1"/>
              </w:rPr>
              <w:t>[ktoe]</w:t>
            </w:r>
          </w:p>
        </w:tc>
        <w:tc>
          <w:tcPr>
            <w:tcW w:w="724" w:type="dxa"/>
            <w:shd w:val="clear" w:color="auto" w:fill="1F497D"/>
            <w:noWrap/>
            <w:vAlign w:val="center"/>
            <w:hideMark/>
          </w:tcPr>
          <w:p w14:paraId="41C1FCCF" w14:textId="77777777" w:rsidR="00862579" w:rsidRPr="004254D2" w:rsidRDefault="00862579"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2020</w:t>
            </w:r>
          </w:p>
        </w:tc>
        <w:tc>
          <w:tcPr>
            <w:tcW w:w="724" w:type="dxa"/>
            <w:shd w:val="clear" w:color="auto" w:fill="1F497D"/>
            <w:noWrap/>
            <w:vAlign w:val="center"/>
            <w:hideMark/>
          </w:tcPr>
          <w:p w14:paraId="4A0C6293" w14:textId="77777777" w:rsidR="00862579" w:rsidRPr="004254D2" w:rsidRDefault="00862579"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2025</w:t>
            </w:r>
          </w:p>
        </w:tc>
        <w:tc>
          <w:tcPr>
            <w:tcW w:w="724" w:type="dxa"/>
            <w:shd w:val="clear" w:color="auto" w:fill="1F497D"/>
            <w:noWrap/>
            <w:vAlign w:val="center"/>
            <w:hideMark/>
          </w:tcPr>
          <w:p w14:paraId="582E75EC" w14:textId="77777777" w:rsidR="00862579" w:rsidRPr="004254D2" w:rsidRDefault="00862579"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2026</w:t>
            </w:r>
          </w:p>
        </w:tc>
        <w:tc>
          <w:tcPr>
            <w:tcW w:w="725" w:type="dxa"/>
            <w:shd w:val="clear" w:color="auto" w:fill="1F497D"/>
            <w:noWrap/>
            <w:vAlign w:val="center"/>
            <w:hideMark/>
          </w:tcPr>
          <w:p w14:paraId="096EB462" w14:textId="77777777" w:rsidR="00862579" w:rsidRPr="004254D2" w:rsidRDefault="00862579"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2027</w:t>
            </w:r>
          </w:p>
        </w:tc>
        <w:tc>
          <w:tcPr>
            <w:tcW w:w="724" w:type="dxa"/>
            <w:shd w:val="clear" w:color="auto" w:fill="1F497D"/>
            <w:noWrap/>
            <w:vAlign w:val="center"/>
            <w:hideMark/>
          </w:tcPr>
          <w:p w14:paraId="770AB850" w14:textId="77777777" w:rsidR="00862579" w:rsidRPr="004254D2" w:rsidRDefault="00862579"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2028</w:t>
            </w:r>
          </w:p>
        </w:tc>
        <w:tc>
          <w:tcPr>
            <w:tcW w:w="724" w:type="dxa"/>
            <w:shd w:val="clear" w:color="auto" w:fill="1F497D"/>
            <w:noWrap/>
            <w:vAlign w:val="center"/>
            <w:hideMark/>
          </w:tcPr>
          <w:p w14:paraId="714DD569" w14:textId="77777777" w:rsidR="00862579" w:rsidRPr="004254D2" w:rsidRDefault="00862579"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2029</w:t>
            </w:r>
          </w:p>
        </w:tc>
        <w:tc>
          <w:tcPr>
            <w:tcW w:w="724" w:type="dxa"/>
            <w:shd w:val="clear" w:color="auto" w:fill="1F497D"/>
            <w:noWrap/>
            <w:vAlign w:val="center"/>
            <w:hideMark/>
          </w:tcPr>
          <w:p w14:paraId="52012331" w14:textId="77777777" w:rsidR="00862579" w:rsidRPr="004254D2" w:rsidRDefault="00862579"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2030</w:t>
            </w:r>
          </w:p>
        </w:tc>
        <w:tc>
          <w:tcPr>
            <w:tcW w:w="725" w:type="dxa"/>
            <w:shd w:val="clear" w:color="auto" w:fill="1F497D"/>
            <w:noWrap/>
            <w:vAlign w:val="center"/>
            <w:hideMark/>
          </w:tcPr>
          <w:p w14:paraId="10AFE6FF" w14:textId="77777777" w:rsidR="00862579" w:rsidRPr="004254D2" w:rsidRDefault="00862579"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2035</w:t>
            </w:r>
          </w:p>
        </w:tc>
        <w:tc>
          <w:tcPr>
            <w:tcW w:w="724" w:type="dxa"/>
            <w:shd w:val="clear" w:color="auto" w:fill="1F497D"/>
            <w:noWrap/>
            <w:vAlign w:val="center"/>
            <w:hideMark/>
          </w:tcPr>
          <w:p w14:paraId="473D7018" w14:textId="77777777" w:rsidR="00862579" w:rsidRPr="004254D2" w:rsidRDefault="00862579"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2040</w:t>
            </w:r>
          </w:p>
        </w:tc>
        <w:tc>
          <w:tcPr>
            <w:tcW w:w="724" w:type="dxa"/>
            <w:shd w:val="clear" w:color="auto" w:fill="1F497D"/>
            <w:noWrap/>
            <w:vAlign w:val="center"/>
            <w:hideMark/>
          </w:tcPr>
          <w:p w14:paraId="1B02300C" w14:textId="77777777" w:rsidR="00862579" w:rsidRPr="004254D2" w:rsidRDefault="00862579"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2045</w:t>
            </w:r>
          </w:p>
        </w:tc>
        <w:tc>
          <w:tcPr>
            <w:tcW w:w="725" w:type="dxa"/>
            <w:shd w:val="clear" w:color="auto" w:fill="1F497D"/>
            <w:noWrap/>
            <w:vAlign w:val="center"/>
            <w:hideMark/>
          </w:tcPr>
          <w:p w14:paraId="3DFA0258" w14:textId="77777777" w:rsidR="00862579" w:rsidRPr="004254D2" w:rsidRDefault="00862579"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2050</w:t>
            </w:r>
          </w:p>
        </w:tc>
      </w:tr>
      <w:tr w:rsidR="00862579" w:rsidRPr="003B4324" w14:paraId="1CA925D7" w14:textId="77777777" w:rsidTr="0057310C">
        <w:trPr>
          <w:trHeight w:val="300"/>
        </w:trPr>
        <w:tc>
          <w:tcPr>
            <w:tcW w:w="1661" w:type="dxa"/>
            <w:shd w:val="clear" w:color="auto" w:fill="E7E6E6"/>
            <w:noWrap/>
            <w:vAlign w:val="bottom"/>
            <w:hideMark/>
          </w:tcPr>
          <w:p w14:paraId="09BD04E5" w14:textId="77777777" w:rsidR="00862579" w:rsidRPr="004254D2" w:rsidRDefault="00862579" w:rsidP="0057310C">
            <w:pPr>
              <w:spacing w:after="0" w:line="240" w:lineRule="auto"/>
              <w:jc w:val="left"/>
              <w:rPr>
                <w:rFonts w:ascii="Calibri Light" w:hAnsi="Calibri Light" w:cs="Calibri Light"/>
                <w:color w:val="000000" w:themeColor="text1"/>
              </w:rPr>
            </w:pPr>
            <w:r w:rsidRPr="002574F2">
              <w:rPr>
                <w:rFonts w:ascii="Calibri Light" w:hAnsi="Calibri Light" w:cs="Calibri Light"/>
                <w:color w:val="000000" w:themeColor="text1"/>
              </w:rPr>
              <w:t>WEM</w:t>
            </w:r>
          </w:p>
        </w:tc>
        <w:tc>
          <w:tcPr>
            <w:tcW w:w="724" w:type="dxa"/>
            <w:noWrap/>
            <w:hideMark/>
          </w:tcPr>
          <w:p w14:paraId="33717CDD" w14:textId="77777777" w:rsidR="00862579" w:rsidRPr="004254D2" w:rsidRDefault="00862579"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15954</w:t>
            </w:r>
          </w:p>
        </w:tc>
        <w:tc>
          <w:tcPr>
            <w:tcW w:w="724" w:type="dxa"/>
            <w:noWrap/>
            <w:hideMark/>
          </w:tcPr>
          <w:p w14:paraId="23D0028D" w14:textId="77777777" w:rsidR="00862579" w:rsidRPr="002574F2" w:rsidRDefault="00862579"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17100</w:t>
            </w:r>
          </w:p>
        </w:tc>
        <w:tc>
          <w:tcPr>
            <w:tcW w:w="724" w:type="dxa"/>
            <w:noWrap/>
            <w:hideMark/>
          </w:tcPr>
          <w:p w14:paraId="7DFEB402" w14:textId="77777777" w:rsidR="00862579" w:rsidRPr="002574F2" w:rsidRDefault="00862579"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17468</w:t>
            </w:r>
          </w:p>
        </w:tc>
        <w:tc>
          <w:tcPr>
            <w:tcW w:w="725" w:type="dxa"/>
            <w:noWrap/>
            <w:hideMark/>
          </w:tcPr>
          <w:p w14:paraId="2F4CBA4C" w14:textId="77777777" w:rsidR="00862579" w:rsidRPr="002574F2" w:rsidRDefault="00862579"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17781</w:t>
            </w:r>
          </w:p>
        </w:tc>
        <w:tc>
          <w:tcPr>
            <w:tcW w:w="724" w:type="dxa"/>
            <w:noWrap/>
            <w:hideMark/>
          </w:tcPr>
          <w:p w14:paraId="2D93BBF8" w14:textId="77777777" w:rsidR="00862579" w:rsidRPr="002574F2" w:rsidRDefault="00862579"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18115</w:t>
            </w:r>
          </w:p>
        </w:tc>
        <w:tc>
          <w:tcPr>
            <w:tcW w:w="724" w:type="dxa"/>
            <w:noWrap/>
            <w:hideMark/>
          </w:tcPr>
          <w:p w14:paraId="179EE214" w14:textId="77777777" w:rsidR="00862579" w:rsidRPr="002574F2" w:rsidRDefault="00862579"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18321</w:t>
            </w:r>
          </w:p>
        </w:tc>
        <w:tc>
          <w:tcPr>
            <w:tcW w:w="724" w:type="dxa"/>
            <w:noWrap/>
            <w:hideMark/>
          </w:tcPr>
          <w:p w14:paraId="4553C998" w14:textId="77777777" w:rsidR="00862579" w:rsidRPr="002574F2" w:rsidRDefault="00862579"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18757</w:t>
            </w:r>
          </w:p>
        </w:tc>
        <w:tc>
          <w:tcPr>
            <w:tcW w:w="725" w:type="dxa"/>
            <w:noWrap/>
            <w:hideMark/>
          </w:tcPr>
          <w:p w14:paraId="3A69AC21" w14:textId="77777777" w:rsidR="00862579" w:rsidRPr="002574F2" w:rsidRDefault="00862579"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19615</w:t>
            </w:r>
          </w:p>
        </w:tc>
        <w:tc>
          <w:tcPr>
            <w:tcW w:w="724" w:type="dxa"/>
            <w:noWrap/>
            <w:hideMark/>
          </w:tcPr>
          <w:p w14:paraId="02FD34A6" w14:textId="77777777" w:rsidR="00862579" w:rsidRPr="002574F2" w:rsidRDefault="00862579"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20468</w:t>
            </w:r>
          </w:p>
        </w:tc>
        <w:tc>
          <w:tcPr>
            <w:tcW w:w="724" w:type="dxa"/>
            <w:noWrap/>
            <w:hideMark/>
          </w:tcPr>
          <w:p w14:paraId="46D982CB" w14:textId="77777777" w:rsidR="00862579" w:rsidRPr="002574F2" w:rsidRDefault="00862579"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21190</w:t>
            </w:r>
          </w:p>
        </w:tc>
        <w:tc>
          <w:tcPr>
            <w:tcW w:w="725" w:type="dxa"/>
            <w:noWrap/>
            <w:hideMark/>
          </w:tcPr>
          <w:p w14:paraId="217B9252" w14:textId="77777777" w:rsidR="00862579" w:rsidRPr="002574F2" w:rsidRDefault="00862579"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20926</w:t>
            </w:r>
          </w:p>
        </w:tc>
      </w:tr>
      <w:tr w:rsidR="00862579" w:rsidRPr="003B4324" w14:paraId="4961E7A0" w14:textId="77777777" w:rsidTr="0057310C">
        <w:trPr>
          <w:trHeight w:val="300"/>
        </w:trPr>
        <w:tc>
          <w:tcPr>
            <w:tcW w:w="1661" w:type="dxa"/>
            <w:shd w:val="clear" w:color="auto" w:fill="E7E6E6"/>
            <w:noWrap/>
            <w:vAlign w:val="bottom"/>
            <w:hideMark/>
          </w:tcPr>
          <w:p w14:paraId="201D589D" w14:textId="349511B6" w:rsidR="00862579" w:rsidRPr="004254D2" w:rsidRDefault="00862579" w:rsidP="00862579">
            <w:pPr>
              <w:spacing w:after="0" w:line="240" w:lineRule="auto"/>
              <w:jc w:val="left"/>
              <w:rPr>
                <w:rFonts w:ascii="Calibri Light" w:hAnsi="Calibri Light" w:cs="Calibri Light"/>
                <w:color w:val="000000" w:themeColor="text1"/>
              </w:rPr>
            </w:pPr>
            <w:r>
              <w:rPr>
                <w:rFonts w:ascii="Calibri Light" w:hAnsi="Calibri Light" w:cs="Calibri Light"/>
                <w:color w:val="000000" w:themeColor="text1"/>
              </w:rPr>
              <w:t>Сценарио</w:t>
            </w:r>
            <w:r w:rsidRPr="003208FA">
              <w:rPr>
                <w:rFonts w:ascii="Calibri Light" w:hAnsi="Calibri Light" w:cs="Calibri Light"/>
                <w:color w:val="000000" w:themeColor="text1"/>
              </w:rPr>
              <w:t>-S</w:t>
            </w:r>
          </w:p>
        </w:tc>
        <w:tc>
          <w:tcPr>
            <w:tcW w:w="724" w:type="dxa"/>
            <w:noWrap/>
            <w:hideMark/>
          </w:tcPr>
          <w:p w14:paraId="20DD38A8" w14:textId="77777777" w:rsidR="00862579" w:rsidRPr="004254D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15955</w:t>
            </w:r>
          </w:p>
        </w:tc>
        <w:tc>
          <w:tcPr>
            <w:tcW w:w="724" w:type="dxa"/>
            <w:noWrap/>
            <w:hideMark/>
          </w:tcPr>
          <w:p w14:paraId="61D352A8"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16170</w:t>
            </w:r>
          </w:p>
        </w:tc>
        <w:tc>
          <w:tcPr>
            <w:tcW w:w="724" w:type="dxa"/>
            <w:noWrap/>
            <w:hideMark/>
          </w:tcPr>
          <w:p w14:paraId="0316D7C5"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16140</w:t>
            </w:r>
          </w:p>
        </w:tc>
        <w:tc>
          <w:tcPr>
            <w:tcW w:w="725" w:type="dxa"/>
            <w:noWrap/>
            <w:hideMark/>
          </w:tcPr>
          <w:p w14:paraId="1E6040CA"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16190</w:t>
            </w:r>
          </w:p>
        </w:tc>
        <w:tc>
          <w:tcPr>
            <w:tcW w:w="724" w:type="dxa"/>
            <w:noWrap/>
            <w:hideMark/>
          </w:tcPr>
          <w:p w14:paraId="6DA23CE8"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16163</w:t>
            </w:r>
          </w:p>
        </w:tc>
        <w:tc>
          <w:tcPr>
            <w:tcW w:w="724" w:type="dxa"/>
            <w:noWrap/>
            <w:hideMark/>
          </w:tcPr>
          <w:p w14:paraId="0407719E"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15960</w:t>
            </w:r>
          </w:p>
        </w:tc>
        <w:tc>
          <w:tcPr>
            <w:tcW w:w="724" w:type="dxa"/>
            <w:noWrap/>
            <w:hideMark/>
          </w:tcPr>
          <w:p w14:paraId="2C9E6C14"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15846</w:t>
            </w:r>
          </w:p>
        </w:tc>
        <w:tc>
          <w:tcPr>
            <w:tcW w:w="725" w:type="dxa"/>
            <w:noWrap/>
            <w:hideMark/>
          </w:tcPr>
          <w:p w14:paraId="54A4FF26"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14948</w:t>
            </w:r>
          </w:p>
        </w:tc>
        <w:tc>
          <w:tcPr>
            <w:tcW w:w="724" w:type="dxa"/>
            <w:noWrap/>
            <w:hideMark/>
          </w:tcPr>
          <w:p w14:paraId="58DD445F"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14466</w:t>
            </w:r>
          </w:p>
        </w:tc>
        <w:tc>
          <w:tcPr>
            <w:tcW w:w="724" w:type="dxa"/>
            <w:noWrap/>
            <w:hideMark/>
          </w:tcPr>
          <w:p w14:paraId="3B94DC1C"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13773</w:t>
            </w:r>
          </w:p>
        </w:tc>
        <w:tc>
          <w:tcPr>
            <w:tcW w:w="725" w:type="dxa"/>
            <w:noWrap/>
            <w:hideMark/>
          </w:tcPr>
          <w:p w14:paraId="58CCF1B7"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13052</w:t>
            </w:r>
          </w:p>
        </w:tc>
      </w:tr>
      <w:tr w:rsidR="00862579" w:rsidRPr="003B4324" w14:paraId="12F3A33B" w14:textId="77777777" w:rsidTr="0057310C">
        <w:trPr>
          <w:trHeight w:val="300"/>
        </w:trPr>
        <w:tc>
          <w:tcPr>
            <w:tcW w:w="1661" w:type="dxa"/>
            <w:shd w:val="clear" w:color="auto" w:fill="E7E6E6"/>
            <w:noWrap/>
            <w:vAlign w:val="bottom"/>
            <w:hideMark/>
          </w:tcPr>
          <w:p w14:paraId="4BFFBF6A" w14:textId="6F5E4E0F" w:rsidR="00862579" w:rsidRPr="004254D2" w:rsidRDefault="00862579" w:rsidP="00862579">
            <w:pPr>
              <w:spacing w:after="0" w:line="240" w:lineRule="auto"/>
              <w:jc w:val="left"/>
              <w:rPr>
                <w:rFonts w:ascii="Calibri Light" w:hAnsi="Calibri Light" w:cs="Calibri Light"/>
                <w:color w:val="000000" w:themeColor="text1"/>
              </w:rPr>
            </w:pPr>
            <w:r w:rsidRPr="009F1D0C">
              <w:rPr>
                <w:rFonts w:ascii="Calibri Light" w:hAnsi="Calibri Light" w:cs="Calibri Light"/>
                <w:color w:val="000000" w:themeColor="text1"/>
              </w:rPr>
              <w:t>Сценарио</w:t>
            </w:r>
            <w:r w:rsidRPr="003208FA">
              <w:rPr>
                <w:rFonts w:ascii="Calibri Light" w:hAnsi="Calibri Light" w:cs="Calibri Light"/>
                <w:color w:val="000000" w:themeColor="text1"/>
              </w:rPr>
              <w:t>-S-N</w:t>
            </w:r>
          </w:p>
        </w:tc>
        <w:tc>
          <w:tcPr>
            <w:tcW w:w="724" w:type="dxa"/>
            <w:noWrap/>
            <w:hideMark/>
          </w:tcPr>
          <w:p w14:paraId="2D5F1AA1" w14:textId="77777777" w:rsidR="00862579" w:rsidRPr="004254D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15955</w:t>
            </w:r>
          </w:p>
        </w:tc>
        <w:tc>
          <w:tcPr>
            <w:tcW w:w="724" w:type="dxa"/>
            <w:noWrap/>
            <w:hideMark/>
          </w:tcPr>
          <w:p w14:paraId="348D5327"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16170</w:t>
            </w:r>
          </w:p>
        </w:tc>
        <w:tc>
          <w:tcPr>
            <w:tcW w:w="724" w:type="dxa"/>
            <w:noWrap/>
            <w:hideMark/>
          </w:tcPr>
          <w:p w14:paraId="2CBBCFA4"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16140</w:t>
            </w:r>
          </w:p>
        </w:tc>
        <w:tc>
          <w:tcPr>
            <w:tcW w:w="725" w:type="dxa"/>
            <w:noWrap/>
            <w:hideMark/>
          </w:tcPr>
          <w:p w14:paraId="3C19A391"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16190</w:t>
            </w:r>
          </w:p>
        </w:tc>
        <w:tc>
          <w:tcPr>
            <w:tcW w:w="724" w:type="dxa"/>
            <w:noWrap/>
            <w:hideMark/>
          </w:tcPr>
          <w:p w14:paraId="3EA4B51D"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16163</w:t>
            </w:r>
          </w:p>
        </w:tc>
        <w:tc>
          <w:tcPr>
            <w:tcW w:w="724" w:type="dxa"/>
            <w:noWrap/>
            <w:hideMark/>
          </w:tcPr>
          <w:p w14:paraId="4FC4DF4B"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15960</w:t>
            </w:r>
          </w:p>
        </w:tc>
        <w:tc>
          <w:tcPr>
            <w:tcW w:w="724" w:type="dxa"/>
            <w:noWrap/>
            <w:hideMark/>
          </w:tcPr>
          <w:p w14:paraId="4EB71E35"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15846</w:t>
            </w:r>
          </w:p>
        </w:tc>
        <w:tc>
          <w:tcPr>
            <w:tcW w:w="725" w:type="dxa"/>
            <w:noWrap/>
            <w:hideMark/>
          </w:tcPr>
          <w:p w14:paraId="620EA88D"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14963</w:t>
            </w:r>
          </w:p>
        </w:tc>
        <w:tc>
          <w:tcPr>
            <w:tcW w:w="724" w:type="dxa"/>
            <w:noWrap/>
            <w:hideMark/>
          </w:tcPr>
          <w:p w14:paraId="67650622"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14567</w:t>
            </w:r>
          </w:p>
        </w:tc>
        <w:tc>
          <w:tcPr>
            <w:tcW w:w="724" w:type="dxa"/>
            <w:noWrap/>
            <w:hideMark/>
          </w:tcPr>
          <w:p w14:paraId="29A9292F"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14487</w:t>
            </w:r>
          </w:p>
        </w:tc>
        <w:tc>
          <w:tcPr>
            <w:tcW w:w="725" w:type="dxa"/>
            <w:noWrap/>
            <w:hideMark/>
          </w:tcPr>
          <w:p w14:paraId="599DB9F4"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14009</w:t>
            </w:r>
          </w:p>
        </w:tc>
      </w:tr>
    </w:tbl>
    <w:p w14:paraId="64960970" w14:textId="32EEF7B8" w:rsidR="00873C40" w:rsidRDefault="00873C40" w:rsidP="00565B02">
      <w:pPr>
        <w:pStyle w:val="Caption"/>
        <w:spacing w:before="200"/>
      </w:pPr>
      <w:bookmarkStart w:id="532" w:name="_Toc153901506"/>
      <w:r>
        <w:t xml:space="preserve">Табела </w:t>
      </w:r>
      <w:r>
        <w:fldChar w:fldCharType="begin"/>
      </w:r>
      <w:r>
        <w:instrText xml:space="preserve"> STYLEREF 1 \s </w:instrText>
      </w:r>
      <w:r>
        <w:fldChar w:fldCharType="separate"/>
      </w:r>
      <w:r>
        <w:t>V</w:t>
      </w:r>
      <w:r>
        <w:fldChar w:fldCharType="end"/>
      </w:r>
      <w:r>
        <w:t>.</w:t>
      </w:r>
      <w:r>
        <w:fldChar w:fldCharType="begin"/>
      </w:r>
      <w:r>
        <w:instrText xml:space="preserve"> SEQ Табела \* ARABIC \s 1 </w:instrText>
      </w:r>
      <w:r>
        <w:fldChar w:fldCharType="separate"/>
      </w:r>
      <w:r>
        <w:t>11</w:t>
      </w:r>
      <w:r>
        <w:fldChar w:fldCharType="end"/>
      </w:r>
      <w:r w:rsidRPr="00873C40">
        <w:t>: Потрошња примарне енергије [ktoe]</w:t>
      </w:r>
      <w:bookmarkEnd w:id="532"/>
    </w:p>
    <w:tbl>
      <w:tblPr>
        <w:tblStyle w:val="TableGrid"/>
        <w:tblW w:w="0" w:type="auto"/>
        <w:tblLayout w:type="fixed"/>
        <w:tblLook w:val="04A0" w:firstRow="1" w:lastRow="0" w:firstColumn="1" w:lastColumn="0" w:noHBand="0" w:noVBand="1"/>
      </w:tblPr>
      <w:tblGrid>
        <w:gridCol w:w="1661"/>
        <w:gridCol w:w="724"/>
        <w:gridCol w:w="724"/>
        <w:gridCol w:w="724"/>
        <w:gridCol w:w="725"/>
        <w:gridCol w:w="724"/>
        <w:gridCol w:w="724"/>
        <w:gridCol w:w="724"/>
        <w:gridCol w:w="725"/>
        <w:gridCol w:w="724"/>
        <w:gridCol w:w="724"/>
        <w:gridCol w:w="725"/>
      </w:tblGrid>
      <w:tr w:rsidR="00862579" w:rsidRPr="003B4324" w14:paraId="6BE8FFC5" w14:textId="77777777" w:rsidTr="0057310C">
        <w:trPr>
          <w:trHeight w:val="300"/>
        </w:trPr>
        <w:tc>
          <w:tcPr>
            <w:tcW w:w="1661" w:type="dxa"/>
            <w:shd w:val="clear" w:color="auto" w:fill="404040"/>
            <w:noWrap/>
            <w:vAlign w:val="center"/>
            <w:hideMark/>
          </w:tcPr>
          <w:p w14:paraId="1638C288" w14:textId="2047D7F2" w:rsidR="00862579" w:rsidRPr="004254D2" w:rsidRDefault="00862579" w:rsidP="0057310C">
            <w:pPr>
              <w:spacing w:after="0" w:line="240" w:lineRule="auto"/>
              <w:jc w:val="center"/>
              <w:rPr>
                <w:rFonts w:ascii="Calibri Light" w:hAnsi="Calibri Light" w:cs="Calibri Light"/>
                <w:color w:val="000000" w:themeColor="text1"/>
              </w:rPr>
            </w:pPr>
            <w:r w:rsidRPr="00862579">
              <w:rPr>
                <w:rFonts w:ascii="Calibri Light" w:hAnsi="Calibri Light" w:cs="Calibri Light"/>
                <w:color w:val="FFFFFF" w:themeColor="background1"/>
              </w:rPr>
              <w:t xml:space="preserve">Потрошња примарне енергије </w:t>
            </w:r>
            <w:r w:rsidRPr="000E2508">
              <w:rPr>
                <w:rFonts w:ascii="Calibri Light" w:hAnsi="Calibri Light" w:cs="Calibri Light"/>
                <w:color w:val="FFFFFF" w:themeColor="background1"/>
              </w:rPr>
              <w:t>[ktoe]</w:t>
            </w:r>
          </w:p>
        </w:tc>
        <w:tc>
          <w:tcPr>
            <w:tcW w:w="724" w:type="dxa"/>
            <w:shd w:val="clear" w:color="auto" w:fill="1F497D"/>
            <w:noWrap/>
            <w:vAlign w:val="center"/>
            <w:hideMark/>
          </w:tcPr>
          <w:p w14:paraId="1A8B922E" w14:textId="77777777" w:rsidR="00862579" w:rsidRPr="004254D2" w:rsidRDefault="00862579"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2020</w:t>
            </w:r>
          </w:p>
        </w:tc>
        <w:tc>
          <w:tcPr>
            <w:tcW w:w="724" w:type="dxa"/>
            <w:shd w:val="clear" w:color="auto" w:fill="1F497D"/>
            <w:noWrap/>
            <w:vAlign w:val="center"/>
            <w:hideMark/>
          </w:tcPr>
          <w:p w14:paraId="7773C014" w14:textId="77777777" w:rsidR="00862579" w:rsidRPr="004254D2" w:rsidRDefault="00862579"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2025</w:t>
            </w:r>
          </w:p>
        </w:tc>
        <w:tc>
          <w:tcPr>
            <w:tcW w:w="724" w:type="dxa"/>
            <w:shd w:val="clear" w:color="auto" w:fill="1F497D"/>
            <w:noWrap/>
            <w:vAlign w:val="center"/>
            <w:hideMark/>
          </w:tcPr>
          <w:p w14:paraId="2E9CC982" w14:textId="77777777" w:rsidR="00862579" w:rsidRPr="004254D2" w:rsidRDefault="00862579"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2026</w:t>
            </w:r>
          </w:p>
        </w:tc>
        <w:tc>
          <w:tcPr>
            <w:tcW w:w="725" w:type="dxa"/>
            <w:shd w:val="clear" w:color="auto" w:fill="1F497D"/>
            <w:noWrap/>
            <w:vAlign w:val="center"/>
            <w:hideMark/>
          </w:tcPr>
          <w:p w14:paraId="4FEB5F03" w14:textId="77777777" w:rsidR="00862579" w:rsidRPr="004254D2" w:rsidRDefault="00862579"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2027</w:t>
            </w:r>
          </w:p>
        </w:tc>
        <w:tc>
          <w:tcPr>
            <w:tcW w:w="724" w:type="dxa"/>
            <w:shd w:val="clear" w:color="auto" w:fill="1F497D"/>
            <w:noWrap/>
            <w:vAlign w:val="center"/>
            <w:hideMark/>
          </w:tcPr>
          <w:p w14:paraId="13A8C751" w14:textId="77777777" w:rsidR="00862579" w:rsidRPr="004254D2" w:rsidRDefault="00862579"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2028</w:t>
            </w:r>
          </w:p>
        </w:tc>
        <w:tc>
          <w:tcPr>
            <w:tcW w:w="724" w:type="dxa"/>
            <w:shd w:val="clear" w:color="auto" w:fill="1F497D"/>
            <w:noWrap/>
            <w:vAlign w:val="center"/>
            <w:hideMark/>
          </w:tcPr>
          <w:p w14:paraId="4CF31E01" w14:textId="77777777" w:rsidR="00862579" w:rsidRPr="004254D2" w:rsidRDefault="00862579"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2029</w:t>
            </w:r>
          </w:p>
        </w:tc>
        <w:tc>
          <w:tcPr>
            <w:tcW w:w="724" w:type="dxa"/>
            <w:shd w:val="clear" w:color="auto" w:fill="1F497D"/>
            <w:noWrap/>
            <w:vAlign w:val="center"/>
            <w:hideMark/>
          </w:tcPr>
          <w:p w14:paraId="25D2F351" w14:textId="77777777" w:rsidR="00862579" w:rsidRPr="004254D2" w:rsidRDefault="00862579"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2030</w:t>
            </w:r>
          </w:p>
        </w:tc>
        <w:tc>
          <w:tcPr>
            <w:tcW w:w="725" w:type="dxa"/>
            <w:shd w:val="clear" w:color="auto" w:fill="1F497D"/>
            <w:noWrap/>
            <w:vAlign w:val="center"/>
            <w:hideMark/>
          </w:tcPr>
          <w:p w14:paraId="28CD33EF" w14:textId="77777777" w:rsidR="00862579" w:rsidRPr="004254D2" w:rsidRDefault="00862579"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2035</w:t>
            </w:r>
          </w:p>
        </w:tc>
        <w:tc>
          <w:tcPr>
            <w:tcW w:w="724" w:type="dxa"/>
            <w:shd w:val="clear" w:color="auto" w:fill="1F497D"/>
            <w:noWrap/>
            <w:vAlign w:val="center"/>
            <w:hideMark/>
          </w:tcPr>
          <w:p w14:paraId="634E1291" w14:textId="77777777" w:rsidR="00862579" w:rsidRPr="004254D2" w:rsidRDefault="00862579"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2040</w:t>
            </w:r>
          </w:p>
        </w:tc>
        <w:tc>
          <w:tcPr>
            <w:tcW w:w="724" w:type="dxa"/>
            <w:shd w:val="clear" w:color="auto" w:fill="1F497D"/>
            <w:noWrap/>
            <w:vAlign w:val="center"/>
            <w:hideMark/>
          </w:tcPr>
          <w:p w14:paraId="452B2E1A" w14:textId="77777777" w:rsidR="00862579" w:rsidRPr="004254D2" w:rsidRDefault="00862579"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2045</w:t>
            </w:r>
          </w:p>
        </w:tc>
        <w:tc>
          <w:tcPr>
            <w:tcW w:w="725" w:type="dxa"/>
            <w:shd w:val="clear" w:color="auto" w:fill="1F497D"/>
            <w:noWrap/>
            <w:vAlign w:val="center"/>
            <w:hideMark/>
          </w:tcPr>
          <w:p w14:paraId="249464BA" w14:textId="77777777" w:rsidR="00862579" w:rsidRPr="004254D2" w:rsidRDefault="00862579"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2050</w:t>
            </w:r>
          </w:p>
        </w:tc>
      </w:tr>
      <w:tr w:rsidR="00862579" w:rsidRPr="003B4324" w14:paraId="1BC501A1" w14:textId="77777777" w:rsidTr="0057310C">
        <w:trPr>
          <w:trHeight w:val="300"/>
        </w:trPr>
        <w:tc>
          <w:tcPr>
            <w:tcW w:w="1661" w:type="dxa"/>
            <w:shd w:val="clear" w:color="auto" w:fill="E7E6E6"/>
            <w:noWrap/>
            <w:vAlign w:val="bottom"/>
            <w:hideMark/>
          </w:tcPr>
          <w:p w14:paraId="64A91E5A" w14:textId="77777777" w:rsidR="00862579" w:rsidRPr="004254D2" w:rsidRDefault="00862579" w:rsidP="0057310C">
            <w:pPr>
              <w:spacing w:after="0" w:line="240" w:lineRule="auto"/>
              <w:jc w:val="left"/>
              <w:rPr>
                <w:rFonts w:ascii="Calibri Light" w:hAnsi="Calibri Light" w:cs="Calibri Light"/>
                <w:color w:val="000000" w:themeColor="text1"/>
              </w:rPr>
            </w:pPr>
            <w:r w:rsidRPr="002574F2">
              <w:rPr>
                <w:rFonts w:ascii="Calibri Light" w:hAnsi="Calibri Light" w:cs="Calibri Light"/>
                <w:color w:val="000000" w:themeColor="text1"/>
              </w:rPr>
              <w:t>WEM</w:t>
            </w:r>
          </w:p>
        </w:tc>
        <w:tc>
          <w:tcPr>
            <w:tcW w:w="724" w:type="dxa"/>
            <w:noWrap/>
            <w:hideMark/>
          </w:tcPr>
          <w:p w14:paraId="46FE5137" w14:textId="77777777" w:rsidR="00862579" w:rsidRPr="004254D2" w:rsidRDefault="00862579"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15083</w:t>
            </w:r>
          </w:p>
        </w:tc>
        <w:tc>
          <w:tcPr>
            <w:tcW w:w="724" w:type="dxa"/>
            <w:noWrap/>
            <w:hideMark/>
          </w:tcPr>
          <w:p w14:paraId="257E81C0" w14:textId="77777777" w:rsidR="00862579" w:rsidRPr="002574F2" w:rsidRDefault="00862579"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16079</w:t>
            </w:r>
          </w:p>
        </w:tc>
        <w:tc>
          <w:tcPr>
            <w:tcW w:w="724" w:type="dxa"/>
            <w:noWrap/>
            <w:hideMark/>
          </w:tcPr>
          <w:p w14:paraId="01446344" w14:textId="77777777" w:rsidR="00862579" w:rsidRPr="002574F2" w:rsidRDefault="00862579"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16416</w:t>
            </w:r>
          </w:p>
        </w:tc>
        <w:tc>
          <w:tcPr>
            <w:tcW w:w="725" w:type="dxa"/>
            <w:noWrap/>
            <w:hideMark/>
          </w:tcPr>
          <w:p w14:paraId="37A0EA3E" w14:textId="77777777" w:rsidR="00862579" w:rsidRPr="002574F2" w:rsidRDefault="00862579"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16702</w:t>
            </w:r>
          </w:p>
        </w:tc>
        <w:tc>
          <w:tcPr>
            <w:tcW w:w="724" w:type="dxa"/>
            <w:noWrap/>
            <w:hideMark/>
          </w:tcPr>
          <w:p w14:paraId="33470B64" w14:textId="77777777" w:rsidR="00862579" w:rsidRPr="002574F2" w:rsidRDefault="00862579"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17010</w:t>
            </w:r>
          </w:p>
        </w:tc>
        <w:tc>
          <w:tcPr>
            <w:tcW w:w="724" w:type="dxa"/>
            <w:noWrap/>
            <w:hideMark/>
          </w:tcPr>
          <w:p w14:paraId="478CC97A" w14:textId="77777777" w:rsidR="00862579" w:rsidRPr="002574F2" w:rsidRDefault="00862579"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17190</w:t>
            </w:r>
          </w:p>
        </w:tc>
        <w:tc>
          <w:tcPr>
            <w:tcW w:w="724" w:type="dxa"/>
            <w:noWrap/>
            <w:hideMark/>
          </w:tcPr>
          <w:p w14:paraId="7F1A3877" w14:textId="77777777" w:rsidR="00862579" w:rsidRPr="002574F2" w:rsidRDefault="00862579"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17600</w:t>
            </w:r>
          </w:p>
        </w:tc>
        <w:tc>
          <w:tcPr>
            <w:tcW w:w="725" w:type="dxa"/>
            <w:noWrap/>
            <w:hideMark/>
          </w:tcPr>
          <w:p w14:paraId="2BF523B2" w14:textId="77777777" w:rsidR="00862579" w:rsidRPr="002574F2" w:rsidRDefault="00862579"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18323</w:t>
            </w:r>
          </w:p>
        </w:tc>
        <w:tc>
          <w:tcPr>
            <w:tcW w:w="724" w:type="dxa"/>
            <w:noWrap/>
            <w:hideMark/>
          </w:tcPr>
          <w:p w14:paraId="76671DE1" w14:textId="77777777" w:rsidR="00862579" w:rsidRPr="002574F2" w:rsidRDefault="00862579"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19044</w:t>
            </w:r>
          </w:p>
        </w:tc>
        <w:tc>
          <w:tcPr>
            <w:tcW w:w="724" w:type="dxa"/>
            <w:noWrap/>
            <w:hideMark/>
          </w:tcPr>
          <w:p w14:paraId="6CF2461C" w14:textId="77777777" w:rsidR="00862579" w:rsidRPr="002574F2" w:rsidRDefault="00862579"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19653</w:t>
            </w:r>
          </w:p>
        </w:tc>
        <w:tc>
          <w:tcPr>
            <w:tcW w:w="725" w:type="dxa"/>
            <w:noWrap/>
            <w:hideMark/>
          </w:tcPr>
          <w:p w14:paraId="2578864D" w14:textId="77777777" w:rsidR="00862579" w:rsidRPr="002574F2" w:rsidRDefault="00862579"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19298</w:t>
            </w:r>
          </w:p>
        </w:tc>
      </w:tr>
      <w:tr w:rsidR="00862579" w:rsidRPr="003B4324" w14:paraId="1FF7AFC8" w14:textId="77777777" w:rsidTr="0057310C">
        <w:trPr>
          <w:trHeight w:val="300"/>
        </w:trPr>
        <w:tc>
          <w:tcPr>
            <w:tcW w:w="1661" w:type="dxa"/>
            <w:shd w:val="clear" w:color="auto" w:fill="E7E6E6"/>
            <w:noWrap/>
            <w:vAlign w:val="bottom"/>
            <w:hideMark/>
          </w:tcPr>
          <w:p w14:paraId="6FDC462B" w14:textId="7C939871" w:rsidR="00862579" w:rsidRPr="004254D2" w:rsidRDefault="00862579" w:rsidP="00862579">
            <w:pPr>
              <w:spacing w:after="0" w:line="240" w:lineRule="auto"/>
              <w:jc w:val="left"/>
              <w:rPr>
                <w:rFonts w:ascii="Calibri Light" w:hAnsi="Calibri Light" w:cs="Calibri Light"/>
                <w:color w:val="000000" w:themeColor="text1"/>
              </w:rPr>
            </w:pPr>
            <w:r>
              <w:rPr>
                <w:rFonts w:ascii="Calibri Light" w:hAnsi="Calibri Light" w:cs="Calibri Light"/>
                <w:color w:val="000000" w:themeColor="text1"/>
              </w:rPr>
              <w:t>Сценарио</w:t>
            </w:r>
            <w:r w:rsidRPr="003208FA">
              <w:rPr>
                <w:rFonts w:ascii="Calibri Light" w:hAnsi="Calibri Light" w:cs="Calibri Light"/>
                <w:color w:val="000000" w:themeColor="text1"/>
              </w:rPr>
              <w:t>-S</w:t>
            </w:r>
          </w:p>
        </w:tc>
        <w:tc>
          <w:tcPr>
            <w:tcW w:w="724" w:type="dxa"/>
            <w:noWrap/>
            <w:hideMark/>
          </w:tcPr>
          <w:p w14:paraId="707CC0CD" w14:textId="77777777" w:rsidR="00862579" w:rsidRPr="004254D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15083</w:t>
            </w:r>
          </w:p>
        </w:tc>
        <w:tc>
          <w:tcPr>
            <w:tcW w:w="724" w:type="dxa"/>
            <w:noWrap/>
            <w:hideMark/>
          </w:tcPr>
          <w:p w14:paraId="7CFD68F0"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15149</w:t>
            </w:r>
          </w:p>
        </w:tc>
        <w:tc>
          <w:tcPr>
            <w:tcW w:w="724" w:type="dxa"/>
            <w:noWrap/>
            <w:hideMark/>
          </w:tcPr>
          <w:p w14:paraId="20AFB1C1"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15088</w:t>
            </w:r>
          </w:p>
        </w:tc>
        <w:tc>
          <w:tcPr>
            <w:tcW w:w="725" w:type="dxa"/>
            <w:noWrap/>
            <w:hideMark/>
          </w:tcPr>
          <w:p w14:paraId="0F43089E"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15112</w:t>
            </w:r>
          </w:p>
        </w:tc>
        <w:tc>
          <w:tcPr>
            <w:tcW w:w="724" w:type="dxa"/>
            <w:noWrap/>
            <w:hideMark/>
          </w:tcPr>
          <w:p w14:paraId="19AE3E29"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15059</w:t>
            </w:r>
          </w:p>
        </w:tc>
        <w:tc>
          <w:tcPr>
            <w:tcW w:w="724" w:type="dxa"/>
            <w:noWrap/>
            <w:hideMark/>
          </w:tcPr>
          <w:p w14:paraId="4C937D8A"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14829</w:t>
            </w:r>
          </w:p>
        </w:tc>
        <w:tc>
          <w:tcPr>
            <w:tcW w:w="724" w:type="dxa"/>
            <w:noWrap/>
            <w:hideMark/>
          </w:tcPr>
          <w:p w14:paraId="5143FE62"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14689</w:t>
            </w:r>
          </w:p>
        </w:tc>
        <w:tc>
          <w:tcPr>
            <w:tcW w:w="725" w:type="dxa"/>
            <w:noWrap/>
            <w:hideMark/>
          </w:tcPr>
          <w:p w14:paraId="3882DAFB"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13665</w:t>
            </w:r>
          </w:p>
        </w:tc>
        <w:tc>
          <w:tcPr>
            <w:tcW w:w="724" w:type="dxa"/>
            <w:noWrap/>
            <w:hideMark/>
          </w:tcPr>
          <w:p w14:paraId="0F179FCF"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13097</w:t>
            </w:r>
          </w:p>
        </w:tc>
        <w:tc>
          <w:tcPr>
            <w:tcW w:w="724" w:type="dxa"/>
            <w:noWrap/>
            <w:hideMark/>
          </w:tcPr>
          <w:p w14:paraId="185A8CC3"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12330</w:t>
            </w:r>
          </w:p>
        </w:tc>
        <w:tc>
          <w:tcPr>
            <w:tcW w:w="725" w:type="dxa"/>
            <w:noWrap/>
            <w:hideMark/>
          </w:tcPr>
          <w:p w14:paraId="64D6D008"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11548</w:t>
            </w:r>
          </w:p>
        </w:tc>
      </w:tr>
      <w:tr w:rsidR="00862579" w:rsidRPr="003B4324" w14:paraId="3316A50B" w14:textId="77777777" w:rsidTr="0057310C">
        <w:trPr>
          <w:trHeight w:val="300"/>
        </w:trPr>
        <w:tc>
          <w:tcPr>
            <w:tcW w:w="1661" w:type="dxa"/>
            <w:shd w:val="clear" w:color="auto" w:fill="E7E6E6"/>
            <w:noWrap/>
            <w:vAlign w:val="bottom"/>
            <w:hideMark/>
          </w:tcPr>
          <w:p w14:paraId="7C1F3C35" w14:textId="1623136F" w:rsidR="00862579" w:rsidRPr="004254D2" w:rsidRDefault="00862579" w:rsidP="00862579">
            <w:pPr>
              <w:spacing w:after="0" w:line="240" w:lineRule="auto"/>
              <w:jc w:val="left"/>
              <w:rPr>
                <w:rFonts w:ascii="Calibri Light" w:hAnsi="Calibri Light" w:cs="Calibri Light"/>
                <w:color w:val="000000" w:themeColor="text1"/>
              </w:rPr>
            </w:pPr>
            <w:r w:rsidRPr="009F1D0C">
              <w:rPr>
                <w:rFonts w:ascii="Calibri Light" w:hAnsi="Calibri Light" w:cs="Calibri Light"/>
                <w:color w:val="000000" w:themeColor="text1"/>
              </w:rPr>
              <w:t>Сценарио</w:t>
            </w:r>
            <w:r w:rsidRPr="003208FA">
              <w:rPr>
                <w:rFonts w:ascii="Calibri Light" w:hAnsi="Calibri Light" w:cs="Calibri Light"/>
                <w:color w:val="000000" w:themeColor="text1"/>
              </w:rPr>
              <w:t>-S-N</w:t>
            </w:r>
          </w:p>
        </w:tc>
        <w:tc>
          <w:tcPr>
            <w:tcW w:w="724" w:type="dxa"/>
            <w:noWrap/>
            <w:hideMark/>
          </w:tcPr>
          <w:p w14:paraId="5555B211" w14:textId="77777777" w:rsidR="00862579" w:rsidRPr="004254D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15083</w:t>
            </w:r>
          </w:p>
        </w:tc>
        <w:tc>
          <w:tcPr>
            <w:tcW w:w="724" w:type="dxa"/>
            <w:noWrap/>
            <w:hideMark/>
          </w:tcPr>
          <w:p w14:paraId="539D16E8"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15149</w:t>
            </w:r>
          </w:p>
        </w:tc>
        <w:tc>
          <w:tcPr>
            <w:tcW w:w="724" w:type="dxa"/>
            <w:noWrap/>
            <w:hideMark/>
          </w:tcPr>
          <w:p w14:paraId="4C84AF3A"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15088</w:t>
            </w:r>
          </w:p>
        </w:tc>
        <w:tc>
          <w:tcPr>
            <w:tcW w:w="725" w:type="dxa"/>
            <w:noWrap/>
            <w:hideMark/>
          </w:tcPr>
          <w:p w14:paraId="194321F5"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15112</w:t>
            </w:r>
          </w:p>
        </w:tc>
        <w:tc>
          <w:tcPr>
            <w:tcW w:w="724" w:type="dxa"/>
            <w:noWrap/>
            <w:hideMark/>
          </w:tcPr>
          <w:p w14:paraId="3F7A7E55"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15059</w:t>
            </w:r>
          </w:p>
        </w:tc>
        <w:tc>
          <w:tcPr>
            <w:tcW w:w="724" w:type="dxa"/>
            <w:noWrap/>
            <w:hideMark/>
          </w:tcPr>
          <w:p w14:paraId="594D63E9"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14829</w:t>
            </w:r>
          </w:p>
        </w:tc>
        <w:tc>
          <w:tcPr>
            <w:tcW w:w="724" w:type="dxa"/>
            <w:noWrap/>
            <w:hideMark/>
          </w:tcPr>
          <w:p w14:paraId="08FEC41B"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14689</w:t>
            </w:r>
          </w:p>
        </w:tc>
        <w:tc>
          <w:tcPr>
            <w:tcW w:w="725" w:type="dxa"/>
            <w:noWrap/>
            <w:hideMark/>
          </w:tcPr>
          <w:p w14:paraId="30B5E6D9"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13680</w:t>
            </w:r>
          </w:p>
        </w:tc>
        <w:tc>
          <w:tcPr>
            <w:tcW w:w="724" w:type="dxa"/>
            <w:noWrap/>
            <w:hideMark/>
          </w:tcPr>
          <w:p w14:paraId="4D65DEA9"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13198</w:t>
            </w:r>
          </w:p>
        </w:tc>
        <w:tc>
          <w:tcPr>
            <w:tcW w:w="724" w:type="dxa"/>
            <w:noWrap/>
            <w:hideMark/>
          </w:tcPr>
          <w:p w14:paraId="581BCC57"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13044</w:t>
            </w:r>
          </w:p>
        </w:tc>
        <w:tc>
          <w:tcPr>
            <w:tcW w:w="725" w:type="dxa"/>
            <w:noWrap/>
            <w:hideMark/>
          </w:tcPr>
          <w:p w14:paraId="3D7B025E" w14:textId="77777777" w:rsidR="00862579" w:rsidRPr="002574F2" w:rsidRDefault="00862579" w:rsidP="00862579">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12505</w:t>
            </w:r>
          </w:p>
        </w:tc>
      </w:tr>
    </w:tbl>
    <w:p w14:paraId="6B7F3164" w14:textId="4344751F" w:rsidR="00873C40" w:rsidRDefault="00873C40" w:rsidP="00565B02">
      <w:pPr>
        <w:pStyle w:val="Caption"/>
        <w:keepNext/>
        <w:spacing w:before="200"/>
      </w:pPr>
      <w:bookmarkStart w:id="533" w:name="_Toc153901507"/>
      <w:r>
        <w:t xml:space="preserve">Табела </w:t>
      </w:r>
      <w:r>
        <w:fldChar w:fldCharType="begin"/>
      </w:r>
      <w:r>
        <w:instrText xml:space="preserve"> STYLEREF 1 \s </w:instrText>
      </w:r>
      <w:r>
        <w:fldChar w:fldCharType="separate"/>
      </w:r>
      <w:r>
        <w:t>V</w:t>
      </w:r>
      <w:r>
        <w:fldChar w:fldCharType="end"/>
      </w:r>
      <w:r>
        <w:t>.</w:t>
      </w:r>
      <w:r>
        <w:fldChar w:fldCharType="begin"/>
      </w:r>
      <w:r>
        <w:instrText xml:space="preserve"> SEQ Табела \* ARABIC \s 1 </w:instrText>
      </w:r>
      <w:r>
        <w:fldChar w:fldCharType="separate"/>
      </w:r>
      <w:r>
        <w:t>12</w:t>
      </w:r>
      <w:r>
        <w:fldChar w:fldCharType="end"/>
      </w:r>
      <w:r w:rsidRPr="00873C40">
        <w:t>: Зависност од увоза енергије [%]</w:t>
      </w:r>
      <w:bookmarkEnd w:id="533"/>
    </w:p>
    <w:tbl>
      <w:tblPr>
        <w:tblStyle w:val="TableGrid"/>
        <w:tblW w:w="0" w:type="auto"/>
        <w:tblLayout w:type="fixed"/>
        <w:tblLook w:val="04A0" w:firstRow="1" w:lastRow="0" w:firstColumn="1" w:lastColumn="0" w:noHBand="0" w:noVBand="1"/>
      </w:tblPr>
      <w:tblGrid>
        <w:gridCol w:w="1661"/>
        <w:gridCol w:w="724"/>
        <w:gridCol w:w="724"/>
        <w:gridCol w:w="724"/>
        <w:gridCol w:w="725"/>
        <w:gridCol w:w="724"/>
        <w:gridCol w:w="724"/>
        <w:gridCol w:w="724"/>
        <w:gridCol w:w="725"/>
        <w:gridCol w:w="724"/>
        <w:gridCol w:w="724"/>
        <w:gridCol w:w="725"/>
      </w:tblGrid>
      <w:tr w:rsidR="005A7546" w:rsidRPr="003B4324" w14:paraId="6E086624" w14:textId="77777777" w:rsidTr="0057310C">
        <w:trPr>
          <w:trHeight w:val="300"/>
        </w:trPr>
        <w:tc>
          <w:tcPr>
            <w:tcW w:w="1661" w:type="dxa"/>
            <w:shd w:val="clear" w:color="auto" w:fill="404040"/>
            <w:noWrap/>
            <w:vAlign w:val="center"/>
            <w:hideMark/>
          </w:tcPr>
          <w:p w14:paraId="16069C7A" w14:textId="74D2A00E" w:rsidR="005A7546" w:rsidRPr="004254D2" w:rsidRDefault="005A7546" w:rsidP="0057310C">
            <w:pPr>
              <w:spacing w:after="0" w:line="240" w:lineRule="auto"/>
              <w:jc w:val="center"/>
              <w:rPr>
                <w:rFonts w:ascii="Calibri Light" w:hAnsi="Calibri Light" w:cs="Calibri Light"/>
                <w:color w:val="000000" w:themeColor="text1"/>
              </w:rPr>
            </w:pPr>
            <w:r w:rsidRPr="005A7546">
              <w:rPr>
                <w:rFonts w:ascii="Calibri Light" w:hAnsi="Calibri Light" w:cs="Calibri Light"/>
                <w:color w:val="FFFFFF" w:themeColor="background1"/>
              </w:rPr>
              <w:t>Зависност од увоза енергије</w:t>
            </w:r>
            <w:r w:rsidRPr="00AE1A39">
              <w:rPr>
                <w:rFonts w:ascii="Calibri Light" w:hAnsi="Calibri Light" w:cs="Calibri Light"/>
                <w:color w:val="FFFFFF" w:themeColor="background1"/>
              </w:rPr>
              <w:t xml:space="preserve"> [%]</w:t>
            </w:r>
          </w:p>
        </w:tc>
        <w:tc>
          <w:tcPr>
            <w:tcW w:w="724" w:type="dxa"/>
            <w:shd w:val="clear" w:color="auto" w:fill="1F497D"/>
            <w:noWrap/>
            <w:vAlign w:val="center"/>
            <w:hideMark/>
          </w:tcPr>
          <w:p w14:paraId="16ADABB3" w14:textId="77777777" w:rsidR="005A7546" w:rsidRPr="004254D2" w:rsidRDefault="005A7546"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2020</w:t>
            </w:r>
          </w:p>
        </w:tc>
        <w:tc>
          <w:tcPr>
            <w:tcW w:w="724" w:type="dxa"/>
            <w:shd w:val="clear" w:color="auto" w:fill="1F497D"/>
            <w:noWrap/>
            <w:vAlign w:val="center"/>
            <w:hideMark/>
          </w:tcPr>
          <w:p w14:paraId="1FA09F10" w14:textId="77777777" w:rsidR="005A7546" w:rsidRPr="004254D2" w:rsidRDefault="005A7546"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2025</w:t>
            </w:r>
          </w:p>
        </w:tc>
        <w:tc>
          <w:tcPr>
            <w:tcW w:w="724" w:type="dxa"/>
            <w:shd w:val="clear" w:color="auto" w:fill="1F497D"/>
            <w:noWrap/>
            <w:vAlign w:val="center"/>
            <w:hideMark/>
          </w:tcPr>
          <w:p w14:paraId="7002E2A8" w14:textId="77777777" w:rsidR="005A7546" w:rsidRPr="004254D2" w:rsidRDefault="005A7546"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2026</w:t>
            </w:r>
          </w:p>
        </w:tc>
        <w:tc>
          <w:tcPr>
            <w:tcW w:w="725" w:type="dxa"/>
            <w:shd w:val="clear" w:color="auto" w:fill="1F497D"/>
            <w:noWrap/>
            <w:vAlign w:val="center"/>
            <w:hideMark/>
          </w:tcPr>
          <w:p w14:paraId="39BE2990" w14:textId="77777777" w:rsidR="005A7546" w:rsidRPr="004254D2" w:rsidRDefault="005A7546"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2027</w:t>
            </w:r>
          </w:p>
        </w:tc>
        <w:tc>
          <w:tcPr>
            <w:tcW w:w="724" w:type="dxa"/>
            <w:shd w:val="clear" w:color="auto" w:fill="1F497D"/>
            <w:noWrap/>
            <w:vAlign w:val="center"/>
            <w:hideMark/>
          </w:tcPr>
          <w:p w14:paraId="4F4D4DC2" w14:textId="77777777" w:rsidR="005A7546" w:rsidRPr="004254D2" w:rsidRDefault="005A7546"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2028</w:t>
            </w:r>
          </w:p>
        </w:tc>
        <w:tc>
          <w:tcPr>
            <w:tcW w:w="724" w:type="dxa"/>
            <w:shd w:val="clear" w:color="auto" w:fill="1F497D"/>
            <w:noWrap/>
            <w:vAlign w:val="center"/>
            <w:hideMark/>
          </w:tcPr>
          <w:p w14:paraId="63ACDA26" w14:textId="77777777" w:rsidR="005A7546" w:rsidRPr="004254D2" w:rsidRDefault="005A7546"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2029</w:t>
            </w:r>
          </w:p>
        </w:tc>
        <w:tc>
          <w:tcPr>
            <w:tcW w:w="724" w:type="dxa"/>
            <w:shd w:val="clear" w:color="auto" w:fill="1F497D"/>
            <w:noWrap/>
            <w:vAlign w:val="center"/>
            <w:hideMark/>
          </w:tcPr>
          <w:p w14:paraId="7939D95D" w14:textId="77777777" w:rsidR="005A7546" w:rsidRPr="004254D2" w:rsidRDefault="005A7546"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2030</w:t>
            </w:r>
          </w:p>
        </w:tc>
        <w:tc>
          <w:tcPr>
            <w:tcW w:w="725" w:type="dxa"/>
            <w:shd w:val="clear" w:color="auto" w:fill="1F497D"/>
            <w:noWrap/>
            <w:vAlign w:val="center"/>
            <w:hideMark/>
          </w:tcPr>
          <w:p w14:paraId="3B54C4C3" w14:textId="77777777" w:rsidR="005A7546" w:rsidRPr="004254D2" w:rsidRDefault="005A7546"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2035</w:t>
            </w:r>
          </w:p>
        </w:tc>
        <w:tc>
          <w:tcPr>
            <w:tcW w:w="724" w:type="dxa"/>
            <w:shd w:val="clear" w:color="auto" w:fill="1F497D"/>
            <w:noWrap/>
            <w:vAlign w:val="center"/>
            <w:hideMark/>
          </w:tcPr>
          <w:p w14:paraId="3E0D4FF8" w14:textId="77777777" w:rsidR="005A7546" w:rsidRPr="004254D2" w:rsidRDefault="005A7546"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2040</w:t>
            </w:r>
          </w:p>
        </w:tc>
        <w:tc>
          <w:tcPr>
            <w:tcW w:w="724" w:type="dxa"/>
            <w:shd w:val="clear" w:color="auto" w:fill="1F497D"/>
            <w:noWrap/>
            <w:vAlign w:val="center"/>
            <w:hideMark/>
          </w:tcPr>
          <w:p w14:paraId="1FC1C2D9" w14:textId="77777777" w:rsidR="005A7546" w:rsidRPr="004254D2" w:rsidRDefault="005A7546"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2045</w:t>
            </w:r>
          </w:p>
        </w:tc>
        <w:tc>
          <w:tcPr>
            <w:tcW w:w="725" w:type="dxa"/>
            <w:shd w:val="clear" w:color="auto" w:fill="1F497D"/>
            <w:noWrap/>
            <w:vAlign w:val="center"/>
            <w:hideMark/>
          </w:tcPr>
          <w:p w14:paraId="675CCBEE" w14:textId="77777777" w:rsidR="005A7546" w:rsidRPr="004254D2" w:rsidRDefault="005A7546"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2050</w:t>
            </w:r>
          </w:p>
        </w:tc>
      </w:tr>
      <w:tr w:rsidR="00367DAA" w:rsidRPr="003B4324" w14:paraId="5A937BD9" w14:textId="77777777" w:rsidTr="0057310C">
        <w:trPr>
          <w:trHeight w:val="300"/>
        </w:trPr>
        <w:tc>
          <w:tcPr>
            <w:tcW w:w="1661" w:type="dxa"/>
            <w:shd w:val="clear" w:color="auto" w:fill="E7E6E6"/>
            <w:noWrap/>
            <w:vAlign w:val="bottom"/>
            <w:hideMark/>
          </w:tcPr>
          <w:p w14:paraId="53435682" w14:textId="77777777" w:rsidR="00367DAA" w:rsidRPr="004254D2" w:rsidRDefault="00367DAA" w:rsidP="00367DAA">
            <w:pPr>
              <w:spacing w:after="0" w:line="240" w:lineRule="auto"/>
              <w:jc w:val="left"/>
              <w:rPr>
                <w:rFonts w:ascii="Calibri Light" w:hAnsi="Calibri Light" w:cs="Calibri Light"/>
                <w:color w:val="000000" w:themeColor="text1"/>
              </w:rPr>
            </w:pPr>
            <w:r w:rsidRPr="002574F2">
              <w:rPr>
                <w:rFonts w:ascii="Calibri Light" w:hAnsi="Calibri Light" w:cs="Calibri Light"/>
                <w:color w:val="000000" w:themeColor="text1"/>
              </w:rPr>
              <w:t>WEM</w:t>
            </w:r>
          </w:p>
        </w:tc>
        <w:tc>
          <w:tcPr>
            <w:tcW w:w="724" w:type="dxa"/>
            <w:noWrap/>
            <w:hideMark/>
          </w:tcPr>
          <w:p w14:paraId="595A9490" w14:textId="4AB5A0D7" w:rsidR="00367DAA" w:rsidRPr="004254D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32,3%</w:t>
            </w:r>
          </w:p>
        </w:tc>
        <w:tc>
          <w:tcPr>
            <w:tcW w:w="724" w:type="dxa"/>
            <w:noWrap/>
            <w:hideMark/>
          </w:tcPr>
          <w:p w14:paraId="03024244" w14:textId="4D3AE6C8"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33,3%</w:t>
            </w:r>
          </w:p>
        </w:tc>
        <w:tc>
          <w:tcPr>
            <w:tcW w:w="724" w:type="dxa"/>
            <w:noWrap/>
            <w:hideMark/>
          </w:tcPr>
          <w:p w14:paraId="08B4D80A" w14:textId="0D48A0ED"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33,9%</w:t>
            </w:r>
          </w:p>
        </w:tc>
        <w:tc>
          <w:tcPr>
            <w:tcW w:w="725" w:type="dxa"/>
            <w:noWrap/>
            <w:hideMark/>
          </w:tcPr>
          <w:p w14:paraId="1CD0A6FE" w14:textId="0F5E1AEF"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34,3%</w:t>
            </w:r>
          </w:p>
        </w:tc>
        <w:tc>
          <w:tcPr>
            <w:tcW w:w="724" w:type="dxa"/>
            <w:noWrap/>
            <w:hideMark/>
          </w:tcPr>
          <w:p w14:paraId="0BA320F4" w14:textId="1D902EBA"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34,7%</w:t>
            </w:r>
          </w:p>
        </w:tc>
        <w:tc>
          <w:tcPr>
            <w:tcW w:w="724" w:type="dxa"/>
            <w:noWrap/>
            <w:hideMark/>
          </w:tcPr>
          <w:p w14:paraId="0C33EE33" w14:textId="7BA5220D"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34,8%</w:t>
            </w:r>
          </w:p>
        </w:tc>
        <w:tc>
          <w:tcPr>
            <w:tcW w:w="724" w:type="dxa"/>
            <w:noWrap/>
            <w:hideMark/>
          </w:tcPr>
          <w:p w14:paraId="3F45C32D" w14:textId="01F8EC8B"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35,5%</w:t>
            </w:r>
          </w:p>
        </w:tc>
        <w:tc>
          <w:tcPr>
            <w:tcW w:w="725" w:type="dxa"/>
            <w:noWrap/>
            <w:hideMark/>
          </w:tcPr>
          <w:p w14:paraId="725D70B8" w14:textId="58620A42"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36,7%</w:t>
            </w:r>
          </w:p>
        </w:tc>
        <w:tc>
          <w:tcPr>
            <w:tcW w:w="724" w:type="dxa"/>
            <w:noWrap/>
            <w:hideMark/>
          </w:tcPr>
          <w:p w14:paraId="05BA436D" w14:textId="10319715"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39,2%</w:t>
            </w:r>
          </w:p>
        </w:tc>
        <w:tc>
          <w:tcPr>
            <w:tcW w:w="724" w:type="dxa"/>
            <w:noWrap/>
            <w:hideMark/>
          </w:tcPr>
          <w:p w14:paraId="55B95462" w14:textId="4702FB04"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40,8%</w:t>
            </w:r>
          </w:p>
        </w:tc>
        <w:tc>
          <w:tcPr>
            <w:tcW w:w="725" w:type="dxa"/>
            <w:noWrap/>
            <w:hideMark/>
          </w:tcPr>
          <w:p w14:paraId="41E71EC0" w14:textId="257F8245"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44,5%</w:t>
            </w:r>
          </w:p>
        </w:tc>
      </w:tr>
      <w:tr w:rsidR="00367DAA" w:rsidRPr="003B4324" w14:paraId="3297D93A" w14:textId="77777777" w:rsidTr="0057310C">
        <w:trPr>
          <w:trHeight w:val="300"/>
        </w:trPr>
        <w:tc>
          <w:tcPr>
            <w:tcW w:w="1661" w:type="dxa"/>
            <w:shd w:val="clear" w:color="auto" w:fill="E7E6E6"/>
            <w:noWrap/>
            <w:vAlign w:val="bottom"/>
            <w:hideMark/>
          </w:tcPr>
          <w:p w14:paraId="67031456" w14:textId="009D2757" w:rsidR="00367DAA" w:rsidRPr="004254D2" w:rsidRDefault="00367DAA" w:rsidP="00367DAA">
            <w:pPr>
              <w:spacing w:after="0" w:line="240" w:lineRule="auto"/>
              <w:jc w:val="left"/>
              <w:rPr>
                <w:rFonts w:ascii="Calibri Light" w:hAnsi="Calibri Light" w:cs="Calibri Light"/>
                <w:color w:val="000000" w:themeColor="text1"/>
              </w:rPr>
            </w:pPr>
            <w:r>
              <w:rPr>
                <w:rFonts w:ascii="Calibri Light" w:hAnsi="Calibri Light" w:cs="Calibri Light"/>
                <w:color w:val="000000" w:themeColor="text1"/>
              </w:rPr>
              <w:t>Сценарио</w:t>
            </w:r>
            <w:r w:rsidRPr="003208FA">
              <w:rPr>
                <w:rFonts w:ascii="Calibri Light" w:hAnsi="Calibri Light" w:cs="Calibri Light"/>
                <w:color w:val="000000" w:themeColor="text1"/>
              </w:rPr>
              <w:t>-S</w:t>
            </w:r>
          </w:p>
        </w:tc>
        <w:tc>
          <w:tcPr>
            <w:tcW w:w="724" w:type="dxa"/>
            <w:noWrap/>
            <w:hideMark/>
          </w:tcPr>
          <w:p w14:paraId="7C3025A5" w14:textId="70529752" w:rsidR="00367DAA" w:rsidRPr="004254D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32,3%</w:t>
            </w:r>
          </w:p>
        </w:tc>
        <w:tc>
          <w:tcPr>
            <w:tcW w:w="724" w:type="dxa"/>
            <w:noWrap/>
            <w:hideMark/>
          </w:tcPr>
          <w:p w14:paraId="5E211530" w14:textId="05640EDB"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34,5%</w:t>
            </w:r>
          </w:p>
        </w:tc>
        <w:tc>
          <w:tcPr>
            <w:tcW w:w="724" w:type="dxa"/>
            <w:noWrap/>
            <w:hideMark/>
          </w:tcPr>
          <w:p w14:paraId="3636C228" w14:textId="470CA785"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35,2%</w:t>
            </w:r>
          </w:p>
        </w:tc>
        <w:tc>
          <w:tcPr>
            <w:tcW w:w="725" w:type="dxa"/>
            <w:noWrap/>
            <w:hideMark/>
          </w:tcPr>
          <w:p w14:paraId="6DC34BB3" w14:textId="0E6F657D"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35,4%</w:t>
            </w:r>
          </w:p>
        </w:tc>
        <w:tc>
          <w:tcPr>
            <w:tcW w:w="724" w:type="dxa"/>
            <w:noWrap/>
            <w:hideMark/>
          </w:tcPr>
          <w:p w14:paraId="783C03B1" w14:textId="0F84A72A"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36,1%</w:t>
            </w:r>
          </w:p>
        </w:tc>
        <w:tc>
          <w:tcPr>
            <w:tcW w:w="724" w:type="dxa"/>
            <w:noWrap/>
            <w:hideMark/>
          </w:tcPr>
          <w:p w14:paraId="31668C45" w14:textId="7A88BF37"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37,5%</w:t>
            </w:r>
          </w:p>
        </w:tc>
        <w:tc>
          <w:tcPr>
            <w:tcW w:w="724" w:type="dxa"/>
            <w:noWrap/>
            <w:hideMark/>
          </w:tcPr>
          <w:p w14:paraId="46200D5B" w14:textId="43A86219"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40,7%</w:t>
            </w:r>
          </w:p>
        </w:tc>
        <w:tc>
          <w:tcPr>
            <w:tcW w:w="725" w:type="dxa"/>
            <w:noWrap/>
            <w:hideMark/>
          </w:tcPr>
          <w:p w14:paraId="56AD312D" w14:textId="749B564D"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42,0%</w:t>
            </w:r>
          </w:p>
        </w:tc>
        <w:tc>
          <w:tcPr>
            <w:tcW w:w="724" w:type="dxa"/>
            <w:noWrap/>
            <w:hideMark/>
          </w:tcPr>
          <w:p w14:paraId="4D447260" w14:textId="7A8A1F26"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45,4%</w:t>
            </w:r>
          </w:p>
        </w:tc>
        <w:tc>
          <w:tcPr>
            <w:tcW w:w="724" w:type="dxa"/>
            <w:noWrap/>
            <w:hideMark/>
          </w:tcPr>
          <w:p w14:paraId="55E49D59" w14:textId="055D1923"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45,0%</w:t>
            </w:r>
          </w:p>
        </w:tc>
        <w:tc>
          <w:tcPr>
            <w:tcW w:w="725" w:type="dxa"/>
            <w:noWrap/>
            <w:hideMark/>
          </w:tcPr>
          <w:p w14:paraId="3E753C52" w14:textId="352C3C4A"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44,4%</w:t>
            </w:r>
          </w:p>
        </w:tc>
      </w:tr>
      <w:tr w:rsidR="00367DAA" w:rsidRPr="003B4324" w14:paraId="1C130DB6" w14:textId="77777777" w:rsidTr="0057310C">
        <w:trPr>
          <w:trHeight w:val="300"/>
        </w:trPr>
        <w:tc>
          <w:tcPr>
            <w:tcW w:w="1661" w:type="dxa"/>
            <w:shd w:val="clear" w:color="auto" w:fill="E7E6E6"/>
            <w:noWrap/>
            <w:vAlign w:val="bottom"/>
            <w:hideMark/>
          </w:tcPr>
          <w:p w14:paraId="06754BD5" w14:textId="60EB10B0" w:rsidR="00367DAA" w:rsidRPr="004254D2" w:rsidRDefault="00367DAA" w:rsidP="00367DAA">
            <w:pPr>
              <w:spacing w:after="0" w:line="240" w:lineRule="auto"/>
              <w:jc w:val="left"/>
              <w:rPr>
                <w:rFonts w:ascii="Calibri Light" w:hAnsi="Calibri Light" w:cs="Calibri Light"/>
                <w:color w:val="000000" w:themeColor="text1"/>
              </w:rPr>
            </w:pPr>
            <w:r w:rsidRPr="009F1D0C">
              <w:rPr>
                <w:rFonts w:ascii="Calibri Light" w:hAnsi="Calibri Light" w:cs="Calibri Light"/>
                <w:color w:val="000000" w:themeColor="text1"/>
              </w:rPr>
              <w:t>Сценарио</w:t>
            </w:r>
            <w:r w:rsidRPr="003208FA">
              <w:rPr>
                <w:rFonts w:ascii="Calibri Light" w:hAnsi="Calibri Light" w:cs="Calibri Light"/>
                <w:color w:val="000000" w:themeColor="text1"/>
              </w:rPr>
              <w:t>-S-N</w:t>
            </w:r>
          </w:p>
        </w:tc>
        <w:tc>
          <w:tcPr>
            <w:tcW w:w="724" w:type="dxa"/>
            <w:noWrap/>
            <w:hideMark/>
          </w:tcPr>
          <w:p w14:paraId="5CEAE1F9" w14:textId="2BEF3D7A" w:rsidR="00367DAA" w:rsidRPr="004254D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32,3%</w:t>
            </w:r>
          </w:p>
        </w:tc>
        <w:tc>
          <w:tcPr>
            <w:tcW w:w="724" w:type="dxa"/>
            <w:noWrap/>
            <w:hideMark/>
          </w:tcPr>
          <w:p w14:paraId="39EC051E" w14:textId="334058BE"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34,5%</w:t>
            </w:r>
          </w:p>
        </w:tc>
        <w:tc>
          <w:tcPr>
            <w:tcW w:w="724" w:type="dxa"/>
            <w:noWrap/>
            <w:hideMark/>
          </w:tcPr>
          <w:p w14:paraId="2E8D2CD0" w14:textId="030A8441"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35,2%</w:t>
            </w:r>
          </w:p>
        </w:tc>
        <w:tc>
          <w:tcPr>
            <w:tcW w:w="725" w:type="dxa"/>
            <w:noWrap/>
            <w:hideMark/>
          </w:tcPr>
          <w:p w14:paraId="78FCE407" w14:textId="67688F69"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35,4%</w:t>
            </w:r>
          </w:p>
        </w:tc>
        <w:tc>
          <w:tcPr>
            <w:tcW w:w="724" w:type="dxa"/>
            <w:noWrap/>
            <w:hideMark/>
          </w:tcPr>
          <w:p w14:paraId="18C4D0CA" w14:textId="4940BBFB"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36,1%</w:t>
            </w:r>
          </w:p>
        </w:tc>
        <w:tc>
          <w:tcPr>
            <w:tcW w:w="724" w:type="dxa"/>
            <w:noWrap/>
            <w:hideMark/>
          </w:tcPr>
          <w:p w14:paraId="518A8CC1" w14:textId="4F1F4CA2"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37,5%</w:t>
            </w:r>
          </w:p>
        </w:tc>
        <w:tc>
          <w:tcPr>
            <w:tcW w:w="724" w:type="dxa"/>
            <w:noWrap/>
            <w:hideMark/>
          </w:tcPr>
          <w:p w14:paraId="4B46AADE" w14:textId="694F0141"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40,7%</w:t>
            </w:r>
          </w:p>
        </w:tc>
        <w:tc>
          <w:tcPr>
            <w:tcW w:w="725" w:type="dxa"/>
            <w:noWrap/>
            <w:hideMark/>
          </w:tcPr>
          <w:p w14:paraId="7115EFEC" w14:textId="12BAA730"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42,0%</w:t>
            </w:r>
          </w:p>
        </w:tc>
        <w:tc>
          <w:tcPr>
            <w:tcW w:w="724" w:type="dxa"/>
            <w:noWrap/>
            <w:hideMark/>
          </w:tcPr>
          <w:p w14:paraId="71A21270" w14:textId="03896E1C"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43,8%</w:t>
            </w:r>
          </w:p>
        </w:tc>
        <w:tc>
          <w:tcPr>
            <w:tcW w:w="724" w:type="dxa"/>
            <w:noWrap/>
            <w:hideMark/>
          </w:tcPr>
          <w:p w14:paraId="71AA4D7E" w14:textId="4210B938"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39,5%</w:t>
            </w:r>
          </w:p>
        </w:tc>
        <w:tc>
          <w:tcPr>
            <w:tcW w:w="725" w:type="dxa"/>
            <w:noWrap/>
            <w:hideMark/>
          </w:tcPr>
          <w:p w14:paraId="2D6BCFE3" w14:textId="55150202"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37,2%</w:t>
            </w:r>
          </w:p>
        </w:tc>
      </w:tr>
    </w:tbl>
    <w:p w14:paraId="1DBA4F17" w14:textId="152DB9BE" w:rsidR="00873C40" w:rsidRDefault="00873C40" w:rsidP="00565B02">
      <w:pPr>
        <w:pStyle w:val="Caption"/>
        <w:keepNext/>
        <w:spacing w:before="200"/>
      </w:pPr>
      <w:bookmarkStart w:id="534" w:name="_Toc153901508"/>
      <w:r>
        <w:lastRenderedPageBreak/>
        <w:t xml:space="preserve">Табела </w:t>
      </w:r>
      <w:r>
        <w:fldChar w:fldCharType="begin"/>
      </w:r>
      <w:r>
        <w:instrText xml:space="preserve"> STYLEREF 1 \s </w:instrText>
      </w:r>
      <w:r>
        <w:fldChar w:fldCharType="separate"/>
      </w:r>
      <w:r>
        <w:rPr>
          <w:noProof/>
        </w:rPr>
        <w:t>V</w:t>
      </w:r>
      <w:r>
        <w:fldChar w:fldCharType="end"/>
      </w:r>
      <w:r>
        <w:t>.</w:t>
      </w:r>
      <w:r>
        <w:fldChar w:fldCharType="begin"/>
      </w:r>
      <w:r>
        <w:instrText xml:space="preserve"> SEQ Табела \* ARABIC \s 1 </w:instrText>
      </w:r>
      <w:r>
        <w:fldChar w:fldCharType="separate"/>
      </w:r>
      <w:r>
        <w:rPr>
          <w:noProof/>
        </w:rPr>
        <w:t>13</w:t>
      </w:r>
      <w:r>
        <w:fldChar w:fldCharType="end"/>
      </w:r>
      <w:r w:rsidRPr="00873C40">
        <w:t>: Зависност од увоза електричне енергије [%]</w:t>
      </w:r>
      <w:bookmarkEnd w:id="534"/>
    </w:p>
    <w:tbl>
      <w:tblPr>
        <w:tblStyle w:val="TableGrid"/>
        <w:tblW w:w="0" w:type="auto"/>
        <w:tblLayout w:type="fixed"/>
        <w:tblLook w:val="04A0" w:firstRow="1" w:lastRow="0" w:firstColumn="1" w:lastColumn="0" w:noHBand="0" w:noVBand="1"/>
      </w:tblPr>
      <w:tblGrid>
        <w:gridCol w:w="1661"/>
        <w:gridCol w:w="724"/>
        <w:gridCol w:w="724"/>
        <w:gridCol w:w="724"/>
        <w:gridCol w:w="725"/>
        <w:gridCol w:w="724"/>
        <w:gridCol w:w="724"/>
        <w:gridCol w:w="724"/>
        <w:gridCol w:w="725"/>
        <w:gridCol w:w="724"/>
        <w:gridCol w:w="724"/>
        <w:gridCol w:w="725"/>
      </w:tblGrid>
      <w:tr w:rsidR="005A7546" w:rsidRPr="003B4324" w14:paraId="15301519" w14:textId="77777777" w:rsidTr="0057310C">
        <w:trPr>
          <w:trHeight w:val="300"/>
        </w:trPr>
        <w:tc>
          <w:tcPr>
            <w:tcW w:w="1661" w:type="dxa"/>
            <w:shd w:val="clear" w:color="auto" w:fill="404040"/>
            <w:noWrap/>
            <w:vAlign w:val="center"/>
            <w:hideMark/>
          </w:tcPr>
          <w:p w14:paraId="0DD5AF5C" w14:textId="32AE7277" w:rsidR="005A7546" w:rsidRPr="004254D2" w:rsidRDefault="0006284C" w:rsidP="0057310C">
            <w:pPr>
              <w:spacing w:after="0" w:line="240" w:lineRule="auto"/>
              <w:jc w:val="center"/>
              <w:rPr>
                <w:rFonts w:ascii="Calibri Light" w:hAnsi="Calibri Light" w:cs="Calibri Light"/>
                <w:color w:val="000000" w:themeColor="text1"/>
              </w:rPr>
            </w:pPr>
            <w:bookmarkStart w:id="535" w:name="_Hlk148967239"/>
            <w:r w:rsidRPr="0006284C">
              <w:rPr>
                <w:rFonts w:ascii="Calibri Light" w:hAnsi="Calibri Light" w:cs="Calibri Light"/>
                <w:color w:val="FFFFFF" w:themeColor="background1"/>
              </w:rPr>
              <w:t xml:space="preserve">Зависност од увоза електричне енергије </w:t>
            </w:r>
            <w:r w:rsidR="005A7546" w:rsidRPr="00AE1A39">
              <w:rPr>
                <w:rFonts w:ascii="Calibri Light" w:hAnsi="Calibri Light" w:cs="Calibri Light"/>
                <w:color w:val="FFFFFF" w:themeColor="background1"/>
              </w:rPr>
              <w:t>[%]</w:t>
            </w:r>
          </w:p>
        </w:tc>
        <w:tc>
          <w:tcPr>
            <w:tcW w:w="724" w:type="dxa"/>
            <w:shd w:val="clear" w:color="auto" w:fill="1F497D"/>
            <w:noWrap/>
            <w:vAlign w:val="center"/>
            <w:hideMark/>
          </w:tcPr>
          <w:p w14:paraId="59B51AB0" w14:textId="77777777" w:rsidR="005A7546" w:rsidRPr="004254D2" w:rsidRDefault="005A7546"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2020</w:t>
            </w:r>
          </w:p>
        </w:tc>
        <w:tc>
          <w:tcPr>
            <w:tcW w:w="724" w:type="dxa"/>
            <w:shd w:val="clear" w:color="auto" w:fill="1F497D"/>
            <w:noWrap/>
            <w:vAlign w:val="center"/>
            <w:hideMark/>
          </w:tcPr>
          <w:p w14:paraId="13CDA99B" w14:textId="77777777" w:rsidR="005A7546" w:rsidRPr="004254D2" w:rsidRDefault="005A7546"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2025</w:t>
            </w:r>
          </w:p>
        </w:tc>
        <w:tc>
          <w:tcPr>
            <w:tcW w:w="724" w:type="dxa"/>
            <w:shd w:val="clear" w:color="auto" w:fill="1F497D"/>
            <w:noWrap/>
            <w:vAlign w:val="center"/>
            <w:hideMark/>
          </w:tcPr>
          <w:p w14:paraId="53F066B7" w14:textId="77777777" w:rsidR="005A7546" w:rsidRPr="004254D2" w:rsidRDefault="005A7546"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2026</w:t>
            </w:r>
          </w:p>
        </w:tc>
        <w:tc>
          <w:tcPr>
            <w:tcW w:w="725" w:type="dxa"/>
            <w:shd w:val="clear" w:color="auto" w:fill="1F497D"/>
            <w:noWrap/>
            <w:vAlign w:val="center"/>
            <w:hideMark/>
          </w:tcPr>
          <w:p w14:paraId="48A1584A" w14:textId="77777777" w:rsidR="005A7546" w:rsidRPr="004254D2" w:rsidRDefault="005A7546"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2027</w:t>
            </w:r>
          </w:p>
        </w:tc>
        <w:tc>
          <w:tcPr>
            <w:tcW w:w="724" w:type="dxa"/>
            <w:shd w:val="clear" w:color="auto" w:fill="1F497D"/>
            <w:noWrap/>
            <w:vAlign w:val="center"/>
            <w:hideMark/>
          </w:tcPr>
          <w:p w14:paraId="70C4F89B" w14:textId="77777777" w:rsidR="005A7546" w:rsidRPr="004254D2" w:rsidRDefault="005A7546"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2028</w:t>
            </w:r>
          </w:p>
        </w:tc>
        <w:tc>
          <w:tcPr>
            <w:tcW w:w="724" w:type="dxa"/>
            <w:shd w:val="clear" w:color="auto" w:fill="1F497D"/>
            <w:noWrap/>
            <w:vAlign w:val="center"/>
            <w:hideMark/>
          </w:tcPr>
          <w:p w14:paraId="4F823776" w14:textId="77777777" w:rsidR="005A7546" w:rsidRPr="004254D2" w:rsidRDefault="005A7546"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2029</w:t>
            </w:r>
          </w:p>
        </w:tc>
        <w:tc>
          <w:tcPr>
            <w:tcW w:w="724" w:type="dxa"/>
            <w:shd w:val="clear" w:color="auto" w:fill="1F497D"/>
            <w:noWrap/>
            <w:vAlign w:val="center"/>
            <w:hideMark/>
          </w:tcPr>
          <w:p w14:paraId="51968C19" w14:textId="77777777" w:rsidR="005A7546" w:rsidRPr="004254D2" w:rsidRDefault="005A7546"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2030</w:t>
            </w:r>
          </w:p>
        </w:tc>
        <w:tc>
          <w:tcPr>
            <w:tcW w:w="725" w:type="dxa"/>
            <w:shd w:val="clear" w:color="auto" w:fill="1F497D"/>
            <w:noWrap/>
            <w:vAlign w:val="center"/>
            <w:hideMark/>
          </w:tcPr>
          <w:p w14:paraId="178979F2" w14:textId="77777777" w:rsidR="005A7546" w:rsidRPr="004254D2" w:rsidRDefault="005A7546"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2035</w:t>
            </w:r>
          </w:p>
        </w:tc>
        <w:tc>
          <w:tcPr>
            <w:tcW w:w="724" w:type="dxa"/>
            <w:shd w:val="clear" w:color="auto" w:fill="1F497D"/>
            <w:noWrap/>
            <w:vAlign w:val="center"/>
            <w:hideMark/>
          </w:tcPr>
          <w:p w14:paraId="1017EABF" w14:textId="77777777" w:rsidR="005A7546" w:rsidRPr="004254D2" w:rsidRDefault="005A7546"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2040</w:t>
            </w:r>
          </w:p>
        </w:tc>
        <w:tc>
          <w:tcPr>
            <w:tcW w:w="724" w:type="dxa"/>
            <w:shd w:val="clear" w:color="auto" w:fill="1F497D"/>
            <w:noWrap/>
            <w:vAlign w:val="center"/>
            <w:hideMark/>
          </w:tcPr>
          <w:p w14:paraId="00954CD9" w14:textId="77777777" w:rsidR="005A7546" w:rsidRPr="004254D2" w:rsidRDefault="005A7546"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2045</w:t>
            </w:r>
          </w:p>
        </w:tc>
        <w:tc>
          <w:tcPr>
            <w:tcW w:w="725" w:type="dxa"/>
            <w:shd w:val="clear" w:color="auto" w:fill="1F497D"/>
            <w:noWrap/>
            <w:vAlign w:val="center"/>
            <w:hideMark/>
          </w:tcPr>
          <w:p w14:paraId="7AB1E1CB" w14:textId="77777777" w:rsidR="005A7546" w:rsidRPr="004254D2" w:rsidRDefault="005A7546"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2050</w:t>
            </w:r>
          </w:p>
        </w:tc>
      </w:tr>
      <w:tr w:rsidR="00367DAA" w:rsidRPr="003B4324" w14:paraId="4BC2800E" w14:textId="77777777" w:rsidTr="0057310C">
        <w:trPr>
          <w:trHeight w:val="300"/>
        </w:trPr>
        <w:tc>
          <w:tcPr>
            <w:tcW w:w="1661" w:type="dxa"/>
            <w:shd w:val="clear" w:color="auto" w:fill="E7E6E6"/>
            <w:noWrap/>
            <w:vAlign w:val="bottom"/>
            <w:hideMark/>
          </w:tcPr>
          <w:p w14:paraId="70A611C2" w14:textId="77777777" w:rsidR="00367DAA" w:rsidRPr="004254D2" w:rsidRDefault="00367DAA" w:rsidP="00367DAA">
            <w:pPr>
              <w:spacing w:after="0" w:line="240" w:lineRule="auto"/>
              <w:jc w:val="left"/>
              <w:rPr>
                <w:rFonts w:ascii="Calibri Light" w:hAnsi="Calibri Light" w:cs="Calibri Light"/>
                <w:color w:val="000000" w:themeColor="text1"/>
              </w:rPr>
            </w:pPr>
            <w:r w:rsidRPr="002574F2">
              <w:rPr>
                <w:rFonts w:ascii="Calibri Light" w:hAnsi="Calibri Light" w:cs="Calibri Light"/>
                <w:color w:val="000000" w:themeColor="text1"/>
              </w:rPr>
              <w:t>WEM</w:t>
            </w:r>
          </w:p>
        </w:tc>
        <w:tc>
          <w:tcPr>
            <w:tcW w:w="724" w:type="dxa"/>
            <w:noWrap/>
            <w:hideMark/>
          </w:tcPr>
          <w:p w14:paraId="2E0429BA" w14:textId="727E9312"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-0,5%</w:t>
            </w:r>
          </w:p>
        </w:tc>
        <w:tc>
          <w:tcPr>
            <w:tcW w:w="724" w:type="dxa"/>
            <w:noWrap/>
            <w:hideMark/>
          </w:tcPr>
          <w:p w14:paraId="70C18DEC" w14:textId="485129DC"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-4,2%</w:t>
            </w:r>
          </w:p>
        </w:tc>
        <w:tc>
          <w:tcPr>
            <w:tcW w:w="724" w:type="dxa"/>
            <w:noWrap/>
            <w:hideMark/>
          </w:tcPr>
          <w:p w14:paraId="4C6E9045" w14:textId="0F3E0643"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-4,3%</w:t>
            </w:r>
          </w:p>
        </w:tc>
        <w:tc>
          <w:tcPr>
            <w:tcW w:w="725" w:type="dxa"/>
            <w:noWrap/>
            <w:hideMark/>
          </w:tcPr>
          <w:p w14:paraId="48A17285" w14:textId="0CDD16C7"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-4,3%</w:t>
            </w:r>
          </w:p>
        </w:tc>
        <w:tc>
          <w:tcPr>
            <w:tcW w:w="724" w:type="dxa"/>
            <w:noWrap/>
            <w:hideMark/>
          </w:tcPr>
          <w:p w14:paraId="74B32EC8" w14:textId="04B93F0E"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-4,4%</w:t>
            </w:r>
          </w:p>
        </w:tc>
        <w:tc>
          <w:tcPr>
            <w:tcW w:w="724" w:type="dxa"/>
            <w:noWrap/>
            <w:hideMark/>
          </w:tcPr>
          <w:p w14:paraId="1916A007" w14:textId="1B7AFC17"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-4,4%</w:t>
            </w:r>
          </w:p>
        </w:tc>
        <w:tc>
          <w:tcPr>
            <w:tcW w:w="724" w:type="dxa"/>
            <w:noWrap/>
            <w:hideMark/>
          </w:tcPr>
          <w:p w14:paraId="1405D947" w14:textId="3C65A48C"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-4,4%</w:t>
            </w:r>
          </w:p>
        </w:tc>
        <w:tc>
          <w:tcPr>
            <w:tcW w:w="725" w:type="dxa"/>
            <w:noWrap/>
            <w:hideMark/>
          </w:tcPr>
          <w:p w14:paraId="3F6D3D21" w14:textId="4CD9F790"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-4,6%</w:t>
            </w:r>
          </w:p>
        </w:tc>
        <w:tc>
          <w:tcPr>
            <w:tcW w:w="724" w:type="dxa"/>
            <w:noWrap/>
            <w:hideMark/>
          </w:tcPr>
          <w:p w14:paraId="5CCEE7A3" w14:textId="1E77CE11"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-4,8%</w:t>
            </w:r>
          </w:p>
        </w:tc>
        <w:tc>
          <w:tcPr>
            <w:tcW w:w="724" w:type="dxa"/>
            <w:noWrap/>
            <w:hideMark/>
          </w:tcPr>
          <w:p w14:paraId="08995174" w14:textId="462A6294"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-5,1%</w:t>
            </w:r>
          </w:p>
        </w:tc>
        <w:tc>
          <w:tcPr>
            <w:tcW w:w="725" w:type="dxa"/>
            <w:noWrap/>
            <w:hideMark/>
          </w:tcPr>
          <w:p w14:paraId="7CD67E91" w14:textId="2A07034B"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-5,4%</w:t>
            </w:r>
          </w:p>
        </w:tc>
      </w:tr>
      <w:tr w:rsidR="00367DAA" w:rsidRPr="003B4324" w14:paraId="46EFDB0F" w14:textId="77777777" w:rsidTr="0057310C">
        <w:trPr>
          <w:trHeight w:val="300"/>
        </w:trPr>
        <w:tc>
          <w:tcPr>
            <w:tcW w:w="1661" w:type="dxa"/>
            <w:shd w:val="clear" w:color="auto" w:fill="E7E6E6"/>
            <w:noWrap/>
            <w:vAlign w:val="bottom"/>
            <w:hideMark/>
          </w:tcPr>
          <w:p w14:paraId="7FB76AD4" w14:textId="2A1A2BD6" w:rsidR="00367DAA" w:rsidRPr="004254D2" w:rsidRDefault="00367DAA" w:rsidP="00367DAA">
            <w:pPr>
              <w:spacing w:after="0" w:line="240" w:lineRule="auto"/>
              <w:jc w:val="left"/>
              <w:rPr>
                <w:rFonts w:ascii="Calibri Light" w:hAnsi="Calibri Light" w:cs="Calibri Light"/>
                <w:color w:val="000000" w:themeColor="text1"/>
              </w:rPr>
            </w:pPr>
            <w:r>
              <w:rPr>
                <w:rFonts w:ascii="Calibri Light" w:hAnsi="Calibri Light" w:cs="Calibri Light"/>
                <w:color w:val="000000" w:themeColor="text1"/>
              </w:rPr>
              <w:t>Сценарио</w:t>
            </w:r>
            <w:r w:rsidRPr="003208FA">
              <w:rPr>
                <w:rFonts w:ascii="Calibri Light" w:hAnsi="Calibri Light" w:cs="Calibri Light"/>
                <w:color w:val="000000" w:themeColor="text1"/>
              </w:rPr>
              <w:t>-S</w:t>
            </w:r>
          </w:p>
        </w:tc>
        <w:tc>
          <w:tcPr>
            <w:tcW w:w="724" w:type="dxa"/>
            <w:noWrap/>
            <w:hideMark/>
          </w:tcPr>
          <w:p w14:paraId="3A8A4DBD" w14:textId="6BB4448C"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-0,5%</w:t>
            </w:r>
          </w:p>
        </w:tc>
        <w:tc>
          <w:tcPr>
            <w:tcW w:w="724" w:type="dxa"/>
            <w:noWrap/>
            <w:hideMark/>
          </w:tcPr>
          <w:p w14:paraId="66D515E9" w14:textId="6210E575"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-3,6%</w:t>
            </w:r>
          </w:p>
        </w:tc>
        <w:tc>
          <w:tcPr>
            <w:tcW w:w="724" w:type="dxa"/>
            <w:noWrap/>
            <w:hideMark/>
          </w:tcPr>
          <w:p w14:paraId="17B68C13" w14:textId="4DFB467F"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-3,7%</w:t>
            </w:r>
          </w:p>
        </w:tc>
        <w:tc>
          <w:tcPr>
            <w:tcW w:w="725" w:type="dxa"/>
            <w:noWrap/>
            <w:hideMark/>
          </w:tcPr>
          <w:p w14:paraId="5128751D" w14:textId="2BC291DA"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-3,9%</w:t>
            </w:r>
          </w:p>
        </w:tc>
        <w:tc>
          <w:tcPr>
            <w:tcW w:w="724" w:type="dxa"/>
            <w:noWrap/>
            <w:hideMark/>
          </w:tcPr>
          <w:p w14:paraId="1821CCED" w14:textId="68B0FCC6"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-3,9%</w:t>
            </w:r>
          </w:p>
        </w:tc>
        <w:tc>
          <w:tcPr>
            <w:tcW w:w="724" w:type="dxa"/>
            <w:noWrap/>
            <w:hideMark/>
          </w:tcPr>
          <w:p w14:paraId="63BF6F72" w14:textId="2AC9BF53"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-4,1%</w:t>
            </w:r>
          </w:p>
        </w:tc>
        <w:tc>
          <w:tcPr>
            <w:tcW w:w="724" w:type="dxa"/>
            <w:noWrap/>
            <w:hideMark/>
          </w:tcPr>
          <w:p w14:paraId="42234FF7" w14:textId="3F186427"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-1,6%</w:t>
            </w:r>
          </w:p>
        </w:tc>
        <w:tc>
          <w:tcPr>
            <w:tcW w:w="725" w:type="dxa"/>
            <w:noWrap/>
            <w:hideMark/>
          </w:tcPr>
          <w:p w14:paraId="5FBF919E" w14:textId="601302D4"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-4,7%</w:t>
            </w:r>
          </w:p>
        </w:tc>
        <w:tc>
          <w:tcPr>
            <w:tcW w:w="724" w:type="dxa"/>
            <w:noWrap/>
            <w:hideMark/>
          </w:tcPr>
          <w:p w14:paraId="534240E6" w14:textId="0F7718A6"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-3,4%</w:t>
            </w:r>
          </w:p>
        </w:tc>
        <w:tc>
          <w:tcPr>
            <w:tcW w:w="724" w:type="dxa"/>
            <w:noWrap/>
            <w:hideMark/>
          </w:tcPr>
          <w:p w14:paraId="2FC0A3FA" w14:textId="03F153F0"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-4,5%</w:t>
            </w:r>
          </w:p>
        </w:tc>
        <w:tc>
          <w:tcPr>
            <w:tcW w:w="725" w:type="dxa"/>
            <w:noWrap/>
            <w:hideMark/>
          </w:tcPr>
          <w:p w14:paraId="0C5F814B" w14:textId="63A645E1"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-4,3%</w:t>
            </w:r>
          </w:p>
        </w:tc>
      </w:tr>
      <w:tr w:rsidR="00367DAA" w:rsidRPr="003B4324" w14:paraId="32A5191E" w14:textId="77777777" w:rsidTr="0057310C">
        <w:trPr>
          <w:trHeight w:val="300"/>
        </w:trPr>
        <w:tc>
          <w:tcPr>
            <w:tcW w:w="1661" w:type="dxa"/>
            <w:shd w:val="clear" w:color="auto" w:fill="E7E6E6"/>
            <w:noWrap/>
            <w:vAlign w:val="bottom"/>
            <w:hideMark/>
          </w:tcPr>
          <w:p w14:paraId="7AB3ACDB" w14:textId="1742EE9A" w:rsidR="00367DAA" w:rsidRPr="004254D2" w:rsidRDefault="00367DAA" w:rsidP="00367DAA">
            <w:pPr>
              <w:spacing w:after="0" w:line="240" w:lineRule="auto"/>
              <w:jc w:val="left"/>
              <w:rPr>
                <w:rFonts w:ascii="Calibri Light" w:hAnsi="Calibri Light" w:cs="Calibri Light"/>
                <w:color w:val="000000" w:themeColor="text1"/>
              </w:rPr>
            </w:pPr>
            <w:r w:rsidRPr="009F1D0C">
              <w:rPr>
                <w:rFonts w:ascii="Calibri Light" w:hAnsi="Calibri Light" w:cs="Calibri Light"/>
                <w:color w:val="000000" w:themeColor="text1"/>
              </w:rPr>
              <w:t>Сценарио</w:t>
            </w:r>
            <w:r w:rsidRPr="003208FA">
              <w:rPr>
                <w:rFonts w:ascii="Calibri Light" w:hAnsi="Calibri Light" w:cs="Calibri Light"/>
                <w:color w:val="000000" w:themeColor="text1"/>
              </w:rPr>
              <w:t>-S-N</w:t>
            </w:r>
          </w:p>
        </w:tc>
        <w:tc>
          <w:tcPr>
            <w:tcW w:w="724" w:type="dxa"/>
            <w:noWrap/>
            <w:hideMark/>
          </w:tcPr>
          <w:p w14:paraId="59FB48AA" w14:textId="5EFC8ED5"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-0,5%</w:t>
            </w:r>
          </w:p>
        </w:tc>
        <w:tc>
          <w:tcPr>
            <w:tcW w:w="724" w:type="dxa"/>
            <w:noWrap/>
            <w:hideMark/>
          </w:tcPr>
          <w:p w14:paraId="181F8C62" w14:textId="1BC0B91F"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-3,6%</w:t>
            </w:r>
          </w:p>
        </w:tc>
        <w:tc>
          <w:tcPr>
            <w:tcW w:w="724" w:type="dxa"/>
            <w:noWrap/>
            <w:hideMark/>
          </w:tcPr>
          <w:p w14:paraId="0D59514A" w14:textId="1E07965A"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-3,7%</w:t>
            </w:r>
          </w:p>
        </w:tc>
        <w:tc>
          <w:tcPr>
            <w:tcW w:w="725" w:type="dxa"/>
            <w:noWrap/>
            <w:hideMark/>
          </w:tcPr>
          <w:p w14:paraId="36903483" w14:textId="6F7D933D"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-3,9%</w:t>
            </w:r>
          </w:p>
        </w:tc>
        <w:tc>
          <w:tcPr>
            <w:tcW w:w="724" w:type="dxa"/>
            <w:noWrap/>
            <w:hideMark/>
          </w:tcPr>
          <w:p w14:paraId="553B5B02" w14:textId="25C01600"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-3,9%</w:t>
            </w:r>
          </w:p>
        </w:tc>
        <w:tc>
          <w:tcPr>
            <w:tcW w:w="724" w:type="dxa"/>
            <w:noWrap/>
            <w:hideMark/>
          </w:tcPr>
          <w:p w14:paraId="611F3843" w14:textId="352004A6"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-4,1%</w:t>
            </w:r>
          </w:p>
        </w:tc>
        <w:tc>
          <w:tcPr>
            <w:tcW w:w="724" w:type="dxa"/>
            <w:noWrap/>
            <w:hideMark/>
          </w:tcPr>
          <w:p w14:paraId="05BE48B2" w14:textId="65CABB00"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-1,6%</w:t>
            </w:r>
          </w:p>
        </w:tc>
        <w:tc>
          <w:tcPr>
            <w:tcW w:w="725" w:type="dxa"/>
            <w:noWrap/>
            <w:hideMark/>
          </w:tcPr>
          <w:p w14:paraId="6FF78CC8" w14:textId="7765EDF3"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-4,6%</w:t>
            </w:r>
          </w:p>
        </w:tc>
        <w:tc>
          <w:tcPr>
            <w:tcW w:w="724" w:type="dxa"/>
            <w:noWrap/>
            <w:hideMark/>
          </w:tcPr>
          <w:p w14:paraId="06E0D6BC" w14:textId="2524E81E"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-1,5%</w:t>
            </w:r>
          </w:p>
        </w:tc>
        <w:tc>
          <w:tcPr>
            <w:tcW w:w="724" w:type="dxa"/>
            <w:noWrap/>
            <w:hideMark/>
          </w:tcPr>
          <w:p w14:paraId="7A9AAA5B" w14:textId="024D00EB"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-4,4%</w:t>
            </w:r>
          </w:p>
        </w:tc>
        <w:tc>
          <w:tcPr>
            <w:tcW w:w="725" w:type="dxa"/>
            <w:noWrap/>
            <w:hideMark/>
          </w:tcPr>
          <w:p w14:paraId="1A8670E1" w14:textId="3E36CA7C" w:rsidR="00367DAA" w:rsidRPr="000A2AFE" w:rsidRDefault="00367DAA" w:rsidP="00367DAA">
            <w:pPr>
              <w:spacing w:after="0" w:line="240" w:lineRule="auto"/>
              <w:jc w:val="center"/>
              <w:rPr>
                <w:rFonts w:ascii="Calibri Light" w:hAnsi="Calibri Light" w:cs="Calibri Light"/>
                <w:color w:val="000000" w:themeColor="text1"/>
                <w:sz w:val="18"/>
                <w:szCs w:val="18"/>
              </w:rPr>
            </w:pPr>
            <w:r w:rsidRPr="000A2AFE">
              <w:rPr>
                <w:rFonts w:ascii="Calibri Light" w:hAnsi="Calibri Light" w:cs="Calibri Light"/>
                <w:color w:val="000000" w:themeColor="text1"/>
                <w:sz w:val="18"/>
                <w:szCs w:val="18"/>
              </w:rPr>
              <w:t>-4,2%</w:t>
            </w:r>
          </w:p>
        </w:tc>
      </w:tr>
    </w:tbl>
    <w:p w14:paraId="1D9A61A6" w14:textId="5E924C3A" w:rsidR="00873C40" w:rsidRDefault="00873C40" w:rsidP="00565B02">
      <w:pPr>
        <w:pStyle w:val="Caption"/>
        <w:keepNext/>
        <w:spacing w:before="200"/>
      </w:pPr>
      <w:bookmarkStart w:id="536" w:name="_Toc153901509"/>
      <w:bookmarkEnd w:id="535"/>
      <w:r>
        <w:t xml:space="preserve">Табела </w:t>
      </w:r>
      <w:r>
        <w:fldChar w:fldCharType="begin"/>
      </w:r>
      <w:r>
        <w:instrText xml:space="preserve"> STYLEREF 1 \s </w:instrText>
      </w:r>
      <w:r>
        <w:fldChar w:fldCharType="separate"/>
      </w:r>
      <w:r>
        <w:rPr>
          <w:noProof/>
        </w:rPr>
        <w:t>V</w:t>
      </w:r>
      <w:r>
        <w:fldChar w:fldCharType="end"/>
      </w:r>
      <w:r>
        <w:t>.</w:t>
      </w:r>
      <w:r>
        <w:fldChar w:fldCharType="begin"/>
      </w:r>
      <w:r>
        <w:instrText xml:space="preserve"> SEQ Табела \* ARABIC \s 1 </w:instrText>
      </w:r>
      <w:r>
        <w:fldChar w:fldCharType="separate"/>
      </w:r>
      <w:r>
        <w:rPr>
          <w:noProof/>
        </w:rPr>
        <w:t>14</w:t>
      </w:r>
      <w:r>
        <w:fldChar w:fldCharType="end"/>
      </w:r>
      <w:r w:rsidRPr="00873C40">
        <w:t>: Укупне емисије (укључујући пољопривреду, отпад и LULUCF) у ktons CO2eq</w:t>
      </w:r>
      <w:bookmarkEnd w:id="536"/>
    </w:p>
    <w:tbl>
      <w:tblPr>
        <w:tblStyle w:val="TableGrid"/>
        <w:tblW w:w="9688" w:type="dxa"/>
        <w:tblLayout w:type="fixed"/>
        <w:tblLook w:val="04A0" w:firstRow="1" w:lastRow="0" w:firstColumn="1" w:lastColumn="0" w:noHBand="0" w:noVBand="1"/>
      </w:tblPr>
      <w:tblGrid>
        <w:gridCol w:w="1113"/>
        <w:gridCol w:w="659"/>
        <w:gridCol w:w="660"/>
        <w:gridCol w:w="659"/>
        <w:gridCol w:w="660"/>
        <w:gridCol w:w="660"/>
        <w:gridCol w:w="659"/>
        <w:gridCol w:w="660"/>
        <w:gridCol w:w="659"/>
        <w:gridCol w:w="660"/>
        <w:gridCol w:w="660"/>
        <w:gridCol w:w="659"/>
        <w:gridCol w:w="660"/>
        <w:gridCol w:w="660"/>
      </w:tblGrid>
      <w:tr w:rsidR="006E2B8B" w:rsidRPr="002A6689" w14:paraId="6F45CFC6" w14:textId="77777777" w:rsidTr="0057310C">
        <w:trPr>
          <w:trHeight w:val="328"/>
        </w:trPr>
        <w:tc>
          <w:tcPr>
            <w:tcW w:w="1113" w:type="dxa"/>
            <w:shd w:val="clear" w:color="auto" w:fill="404040"/>
            <w:noWrap/>
            <w:vAlign w:val="center"/>
            <w:hideMark/>
          </w:tcPr>
          <w:p w14:paraId="52F17E7B" w14:textId="6C9F6EBB" w:rsidR="006E2B8B" w:rsidRPr="003208FA" w:rsidRDefault="006E2B8B" w:rsidP="0057310C">
            <w:pPr>
              <w:spacing w:after="0" w:line="240" w:lineRule="auto"/>
              <w:jc w:val="center"/>
              <w:rPr>
                <w:rFonts w:ascii="Calibri Light" w:hAnsi="Calibri Light" w:cs="Calibri Light"/>
                <w:color w:val="000000" w:themeColor="text1"/>
                <w:sz w:val="18"/>
                <w:szCs w:val="18"/>
              </w:rPr>
            </w:pPr>
            <w:r w:rsidRPr="006E2B8B">
              <w:rPr>
                <w:rFonts w:ascii="Calibri Light" w:hAnsi="Calibri Light" w:cs="Calibri Light"/>
                <w:color w:val="FFFFFF" w:themeColor="background1"/>
                <w:sz w:val="18"/>
                <w:szCs w:val="18"/>
              </w:rPr>
              <w:t xml:space="preserve">Укупне емисије </w:t>
            </w:r>
            <w:r>
              <w:rPr>
                <w:rFonts w:ascii="Calibri Light" w:hAnsi="Calibri Light" w:cs="Calibri Light"/>
                <w:color w:val="FFFFFF" w:themeColor="background1"/>
                <w:sz w:val="18"/>
                <w:szCs w:val="18"/>
              </w:rPr>
              <w:t xml:space="preserve">(са п. </w:t>
            </w:r>
            <w:r w:rsidR="00873C40">
              <w:rPr>
                <w:rFonts w:ascii="Calibri Light" w:hAnsi="Calibri Light" w:cs="Calibri Light"/>
                <w:color w:val="FFFFFF" w:themeColor="background1"/>
                <w:sz w:val="18"/>
                <w:szCs w:val="18"/>
              </w:rPr>
              <w:t>о</w:t>
            </w:r>
            <w:r>
              <w:rPr>
                <w:rFonts w:ascii="Calibri Light" w:hAnsi="Calibri Light" w:cs="Calibri Light"/>
                <w:color w:val="FFFFFF" w:themeColor="background1"/>
                <w:sz w:val="18"/>
                <w:szCs w:val="18"/>
              </w:rPr>
              <w:t xml:space="preserve">. и LULUCF) </w:t>
            </w:r>
            <w:r w:rsidRPr="003208FA">
              <w:rPr>
                <w:rFonts w:ascii="Calibri Light" w:hAnsi="Calibri Light" w:cs="Calibri Light"/>
                <w:color w:val="FFFFFF" w:themeColor="background1"/>
                <w:sz w:val="18"/>
                <w:szCs w:val="18"/>
              </w:rPr>
              <w:t>[ktons CO2eq]</w:t>
            </w:r>
          </w:p>
        </w:tc>
        <w:tc>
          <w:tcPr>
            <w:tcW w:w="659" w:type="dxa"/>
            <w:shd w:val="clear" w:color="auto" w:fill="1F497D"/>
            <w:vAlign w:val="center"/>
          </w:tcPr>
          <w:p w14:paraId="158E1558" w14:textId="77777777" w:rsidR="006E2B8B" w:rsidRPr="003208FA" w:rsidRDefault="006E2B8B" w:rsidP="0057310C">
            <w:pPr>
              <w:spacing w:after="0" w:line="240" w:lineRule="auto"/>
              <w:jc w:val="center"/>
              <w:rPr>
                <w:rFonts w:ascii="Calibri Light" w:hAnsi="Calibri Light" w:cs="Calibri Light"/>
                <w:color w:val="FFFFFF" w:themeColor="background1"/>
                <w:sz w:val="18"/>
                <w:szCs w:val="18"/>
              </w:rPr>
            </w:pPr>
            <w:r w:rsidRPr="003208FA">
              <w:rPr>
                <w:rFonts w:ascii="Calibri Light" w:hAnsi="Calibri Light" w:cs="Calibri Light"/>
                <w:color w:val="FFFFFF" w:themeColor="background1"/>
                <w:sz w:val="18"/>
                <w:szCs w:val="18"/>
              </w:rPr>
              <w:t>1990</w:t>
            </w:r>
          </w:p>
        </w:tc>
        <w:tc>
          <w:tcPr>
            <w:tcW w:w="660" w:type="dxa"/>
            <w:shd w:val="clear" w:color="auto" w:fill="1F497D"/>
            <w:vAlign w:val="center"/>
          </w:tcPr>
          <w:p w14:paraId="06D59096" w14:textId="77777777" w:rsidR="006E2B8B" w:rsidRPr="003208FA" w:rsidRDefault="006E2B8B" w:rsidP="0057310C">
            <w:pPr>
              <w:spacing w:after="0" w:line="240" w:lineRule="auto"/>
              <w:jc w:val="center"/>
              <w:rPr>
                <w:rFonts w:ascii="Calibri Light" w:hAnsi="Calibri Light" w:cs="Calibri Light"/>
                <w:color w:val="FFFFFF" w:themeColor="background1"/>
                <w:sz w:val="18"/>
                <w:szCs w:val="18"/>
              </w:rPr>
            </w:pPr>
            <w:r w:rsidRPr="003208FA">
              <w:rPr>
                <w:rFonts w:ascii="Calibri Light" w:hAnsi="Calibri Light" w:cs="Calibri Light"/>
                <w:color w:val="FFFFFF" w:themeColor="background1"/>
                <w:sz w:val="18"/>
                <w:szCs w:val="18"/>
              </w:rPr>
              <w:t>2010</w:t>
            </w:r>
          </w:p>
        </w:tc>
        <w:tc>
          <w:tcPr>
            <w:tcW w:w="659" w:type="dxa"/>
            <w:shd w:val="clear" w:color="auto" w:fill="1F497D"/>
            <w:noWrap/>
            <w:vAlign w:val="center"/>
            <w:hideMark/>
          </w:tcPr>
          <w:p w14:paraId="4A188623" w14:textId="77777777" w:rsidR="006E2B8B" w:rsidRPr="003208FA" w:rsidRDefault="006E2B8B" w:rsidP="0057310C">
            <w:pPr>
              <w:spacing w:after="0" w:line="240" w:lineRule="auto"/>
              <w:jc w:val="center"/>
              <w:rPr>
                <w:rFonts w:ascii="Calibri Light" w:hAnsi="Calibri Light" w:cs="Calibri Light"/>
                <w:color w:val="FFFFFF" w:themeColor="background1"/>
                <w:sz w:val="18"/>
                <w:szCs w:val="18"/>
              </w:rPr>
            </w:pPr>
            <w:r w:rsidRPr="003208FA">
              <w:rPr>
                <w:rFonts w:ascii="Calibri Light" w:hAnsi="Calibri Light" w:cs="Calibri Light"/>
                <w:color w:val="FFFFFF" w:themeColor="background1"/>
                <w:sz w:val="18"/>
                <w:szCs w:val="18"/>
              </w:rPr>
              <w:t>2020</w:t>
            </w:r>
          </w:p>
        </w:tc>
        <w:tc>
          <w:tcPr>
            <w:tcW w:w="660" w:type="dxa"/>
            <w:shd w:val="clear" w:color="auto" w:fill="1F497D"/>
            <w:noWrap/>
            <w:vAlign w:val="center"/>
            <w:hideMark/>
          </w:tcPr>
          <w:p w14:paraId="29DEB6AC" w14:textId="77777777" w:rsidR="006E2B8B" w:rsidRPr="003208FA" w:rsidRDefault="006E2B8B" w:rsidP="0057310C">
            <w:pPr>
              <w:spacing w:after="0" w:line="240" w:lineRule="auto"/>
              <w:jc w:val="center"/>
              <w:rPr>
                <w:rFonts w:ascii="Calibri Light" w:hAnsi="Calibri Light" w:cs="Calibri Light"/>
                <w:color w:val="FFFFFF" w:themeColor="background1"/>
                <w:sz w:val="18"/>
                <w:szCs w:val="18"/>
              </w:rPr>
            </w:pPr>
            <w:r w:rsidRPr="003208FA">
              <w:rPr>
                <w:rFonts w:ascii="Calibri Light" w:hAnsi="Calibri Light" w:cs="Calibri Light"/>
                <w:color w:val="FFFFFF" w:themeColor="background1"/>
                <w:sz w:val="18"/>
                <w:szCs w:val="18"/>
              </w:rPr>
              <w:t>2025</w:t>
            </w:r>
          </w:p>
        </w:tc>
        <w:tc>
          <w:tcPr>
            <w:tcW w:w="660" w:type="dxa"/>
            <w:shd w:val="clear" w:color="auto" w:fill="1F497D"/>
            <w:noWrap/>
            <w:vAlign w:val="center"/>
            <w:hideMark/>
          </w:tcPr>
          <w:p w14:paraId="6012A2AC" w14:textId="77777777" w:rsidR="006E2B8B" w:rsidRPr="003208FA" w:rsidRDefault="006E2B8B" w:rsidP="0057310C">
            <w:pPr>
              <w:spacing w:after="0" w:line="240" w:lineRule="auto"/>
              <w:jc w:val="center"/>
              <w:rPr>
                <w:rFonts w:ascii="Calibri Light" w:hAnsi="Calibri Light" w:cs="Calibri Light"/>
                <w:color w:val="FFFFFF" w:themeColor="background1"/>
                <w:sz w:val="18"/>
                <w:szCs w:val="18"/>
              </w:rPr>
            </w:pPr>
            <w:r w:rsidRPr="003208FA">
              <w:rPr>
                <w:rFonts w:ascii="Calibri Light" w:hAnsi="Calibri Light" w:cs="Calibri Light"/>
                <w:color w:val="FFFFFF" w:themeColor="background1"/>
                <w:sz w:val="18"/>
                <w:szCs w:val="18"/>
              </w:rPr>
              <w:t>2026</w:t>
            </w:r>
          </w:p>
        </w:tc>
        <w:tc>
          <w:tcPr>
            <w:tcW w:w="659" w:type="dxa"/>
            <w:shd w:val="clear" w:color="auto" w:fill="1F497D"/>
            <w:noWrap/>
            <w:vAlign w:val="center"/>
            <w:hideMark/>
          </w:tcPr>
          <w:p w14:paraId="45F7978C" w14:textId="77777777" w:rsidR="006E2B8B" w:rsidRPr="003208FA" w:rsidRDefault="006E2B8B" w:rsidP="0057310C">
            <w:pPr>
              <w:spacing w:after="0" w:line="240" w:lineRule="auto"/>
              <w:jc w:val="center"/>
              <w:rPr>
                <w:rFonts w:ascii="Calibri Light" w:hAnsi="Calibri Light" w:cs="Calibri Light"/>
                <w:color w:val="FFFFFF" w:themeColor="background1"/>
                <w:sz w:val="18"/>
                <w:szCs w:val="18"/>
              </w:rPr>
            </w:pPr>
            <w:r w:rsidRPr="003208FA">
              <w:rPr>
                <w:rFonts w:ascii="Calibri Light" w:hAnsi="Calibri Light" w:cs="Calibri Light"/>
                <w:color w:val="FFFFFF" w:themeColor="background1"/>
                <w:sz w:val="18"/>
                <w:szCs w:val="18"/>
              </w:rPr>
              <w:t>2027</w:t>
            </w:r>
          </w:p>
        </w:tc>
        <w:tc>
          <w:tcPr>
            <w:tcW w:w="660" w:type="dxa"/>
            <w:shd w:val="clear" w:color="auto" w:fill="1F497D"/>
            <w:noWrap/>
            <w:vAlign w:val="center"/>
            <w:hideMark/>
          </w:tcPr>
          <w:p w14:paraId="467DA163" w14:textId="77777777" w:rsidR="006E2B8B" w:rsidRPr="003208FA" w:rsidRDefault="006E2B8B" w:rsidP="0057310C">
            <w:pPr>
              <w:spacing w:after="0" w:line="240" w:lineRule="auto"/>
              <w:jc w:val="center"/>
              <w:rPr>
                <w:rFonts w:ascii="Calibri Light" w:hAnsi="Calibri Light" w:cs="Calibri Light"/>
                <w:color w:val="FFFFFF" w:themeColor="background1"/>
                <w:sz w:val="18"/>
                <w:szCs w:val="18"/>
              </w:rPr>
            </w:pPr>
            <w:r w:rsidRPr="003208FA">
              <w:rPr>
                <w:rFonts w:ascii="Calibri Light" w:hAnsi="Calibri Light" w:cs="Calibri Light"/>
                <w:color w:val="FFFFFF" w:themeColor="background1"/>
                <w:sz w:val="18"/>
                <w:szCs w:val="18"/>
              </w:rPr>
              <w:t>2028</w:t>
            </w:r>
          </w:p>
        </w:tc>
        <w:tc>
          <w:tcPr>
            <w:tcW w:w="659" w:type="dxa"/>
            <w:shd w:val="clear" w:color="auto" w:fill="1F497D"/>
            <w:noWrap/>
            <w:vAlign w:val="center"/>
            <w:hideMark/>
          </w:tcPr>
          <w:p w14:paraId="5CA53066" w14:textId="77777777" w:rsidR="006E2B8B" w:rsidRPr="003208FA" w:rsidRDefault="006E2B8B" w:rsidP="0057310C">
            <w:pPr>
              <w:spacing w:after="0" w:line="240" w:lineRule="auto"/>
              <w:jc w:val="center"/>
              <w:rPr>
                <w:rFonts w:ascii="Calibri Light" w:hAnsi="Calibri Light" w:cs="Calibri Light"/>
                <w:color w:val="FFFFFF" w:themeColor="background1"/>
                <w:sz w:val="18"/>
                <w:szCs w:val="18"/>
              </w:rPr>
            </w:pPr>
            <w:r w:rsidRPr="003208FA">
              <w:rPr>
                <w:rFonts w:ascii="Calibri Light" w:hAnsi="Calibri Light" w:cs="Calibri Light"/>
                <w:color w:val="FFFFFF" w:themeColor="background1"/>
                <w:sz w:val="18"/>
                <w:szCs w:val="18"/>
              </w:rPr>
              <w:t>2029</w:t>
            </w:r>
          </w:p>
        </w:tc>
        <w:tc>
          <w:tcPr>
            <w:tcW w:w="660" w:type="dxa"/>
            <w:shd w:val="clear" w:color="auto" w:fill="1F497D"/>
            <w:noWrap/>
            <w:vAlign w:val="center"/>
            <w:hideMark/>
          </w:tcPr>
          <w:p w14:paraId="483EA64D" w14:textId="77777777" w:rsidR="006E2B8B" w:rsidRPr="003208FA" w:rsidRDefault="006E2B8B" w:rsidP="0057310C">
            <w:pPr>
              <w:spacing w:after="0" w:line="240" w:lineRule="auto"/>
              <w:jc w:val="center"/>
              <w:rPr>
                <w:rFonts w:ascii="Calibri Light" w:hAnsi="Calibri Light" w:cs="Calibri Light"/>
                <w:color w:val="FFFFFF" w:themeColor="background1"/>
                <w:sz w:val="18"/>
                <w:szCs w:val="18"/>
              </w:rPr>
            </w:pPr>
            <w:r w:rsidRPr="003208FA">
              <w:rPr>
                <w:rFonts w:ascii="Calibri Light" w:hAnsi="Calibri Light" w:cs="Calibri Light"/>
                <w:color w:val="FFFFFF" w:themeColor="background1"/>
                <w:sz w:val="18"/>
                <w:szCs w:val="18"/>
              </w:rPr>
              <w:t>2030</w:t>
            </w:r>
          </w:p>
        </w:tc>
        <w:tc>
          <w:tcPr>
            <w:tcW w:w="660" w:type="dxa"/>
            <w:shd w:val="clear" w:color="auto" w:fill="1F497D"/>
            <w:noWrap/>
            <w:vAlign w:val="center"/>
            <w:hideMark/>
          </w:tcPr>
          <w:p w14:paraId="267EAB5F" w14:textId="77777777" w:rsidR="006E2B8B" w:rsidRPr="003208FA" w:rsidRDefault="006E2B8B" w:rsidP="0057310C">
            <w:pPr>
              <w:spacing w:after="0" w:line="240" w:lineRule="auto"/>
              <w:jc w:val="center"/>
              <w:rPr>
                <w:rFonts w:ascii="Calibri Light" w:hAnsi="Calibri Light" w:cs="Calibri Light"/>
                <w:color w:val="FFFFFF" w:themeColor="background1"/>
                <w:sz w:val="18"/>
                <w:szCs w:val="18"/>
              </w:rPr>
            </w:pPr>
            <w:r w:rsidRPr="003208FA">
              <w:rPr>
                <w:rFonts w:ascii="Calibri Light" w:hAnsi="Calibri Light" w:cs="Calibri Light"/>
                <w:color w:val="FFFFFF" w:themeColor="background1"/>
                <w:sz w:val="18"/>
                <w:szCs w:val="18"/>
              </w:rPr>
              <w:t>2035</w:t>
            </w:r>
          </w:p>
        </w:tc>
        <w:tc>
          <w:tcPr>
            <w:tcW w:w="659" w:type="dxa"/>
            <w:shd w:val="clear" w:color="auto" w:fill="1F497D"/>
            <w:noWrap/>
            <w:vAlign w:val="center"/>
            <w:hideMark/>
          </w:tcPr>
          <w:p w14:paraId="6481155B" w14:textId="77777777" w:rsidR="006E2B8B" w:rsidRPr="003208FA" w:rsidRDefault="006E2B8B" w:rsidP="0057310C">
            <w:pPr>
              <w:spacing w:after="0" w:line="240" w:lineRule="auto"/>
              <w:jc w:val="center"/>
              <w:rPr>
                <w:rFonts w:ascii="Calibri Light" w:hAnsi="Calibri Light" w:cs="Calibri Light"/>
                <w:color w:val="FFFFFF" w:themeColor="background1"/>
                <w:sz w:val="18"/>
                <w:szCs w:val="18"/>
              </w:rPr>
            </w:pPr>
            <w:r w:rsidRPr="003208FA">
              <w:rPr>
                <w:rFonts w:ascii="Calibri Light" w:hAnsi="Calibri Light" w:cs="Calibri Light"/>
                <w:color w:val="FFFFFF" w:themeColor="background1"/>
                <w:sz w:val="18"/>
                <w:szCs w:val="18"/>
              </w:rPr>
              <w:t>2040</w:t>
            </w:r>
          </w:p>
        </w:tc>
        <w:tc>
          <w:tcPr>
            <w:tcW w:w="660" w:type="dxa"/>
            <w:shd w:val="clear" w:color="auto" w:fill="1F497D"/>
            <w:noWrap/>
            <w:vAlign w:val="center"/>
            <w:hideMark/>
          </w:tcPr>
          <w:p w14:paraId="471D2697" w14:textId="77777777" w:rsidR="006E2B8B" w:rsidRPr="003208FA" w:rsidRDefault="006E2B8B" w:rsidP="0057310C">
            <w:pPr>
              <w:spacing w:after="0" w:line="240" w:lineRule="auto"/>
              <w:jc w:val="center"/>
              <w:rPr>
                <w:rFonts w:ascii="Calibri Light" w:hAnsi="Calibri Light" w:cs="Calibri Light"/>
                <w:color w:val="FFFFFF" w:themeColor="background1"/>
                <w:sz w:val="18"/>
                <w:szCs w:val="18"/>
              </w:rPr>
            </w:pPr>
            <w:r w:rsidRPr="003208FA">
              <w:rPr>
                <w:rFonts w:ascii="Calibri Light" w:hAnsi="Calibri Light" w:cs="Calibri Light"/>
                <w:color w:val="FFFFFF" w:themeColor="background1"/>
                <w:sz w:val="18"/>
                <w:szCs w:val="18"/>
              </w:rPr>
              <w:t>2045</w:t>
            </w:r>
          </w:p>
        </w:tc>
        <w:tc>
          <w:tcPr>
            <w:tcW w:w="660" w:type="dxa"/>
            <w:shd w:val="clear" w:color="auto" w:fill="1F497D"/>
            <w:noWrap/>
            <w:vAlign w:val="center"/>
            <w:hideMark/>
          </w:tcPr>
          <w:p w14:paraId="445E433A" w14:textId="77777777" w:rsidR="006E2B8B" w:rsidRPr="003208FA" w:rsidRDefault="006E2B8B" w:rsidP="0057310C">
            <w:pPr>
              <w:spacing w:after="0" w:line="240" w:lineRule="auto"/>
              <w:jc w:val="center"/>
              <w:rPr>
                <w:rFonts w:ascii="Calibri Light" w:hAnsi="Calibri Light" w:cs="Calibri Light"/>
                <w:color w:val="FFFFFF" w:themeColor="background1"/>
                <w:sz w:val="18"/>
                <w:szCs w:val="18"/>
              </w:rPr>
            </w:pPr>
            <w:r w:rsidRPr="003208FA">
              <w:rPr>
                <w:rFonts w:ascii="Calibri Light" w:hAnsi="Calibri Light" w:cs="Calibri Light"/>
                <w:color w:val="FFFFFF" w:themeColor="background1"/>
                <w:sz w:val="18"/>
                <w:szCs w:val="18"/>
              </w:rPr>
              <w:t>2050</w:t>
            </w:r>
          </w:p>
        </w:tc>
      </w:tr>
      <w:tr w:rsidR="006E2B8B" w:rsidRPr="002A6689" w14:paraId="2AD9246B" w14:textId="77777777" w:rsidTr="000A2AFE">
        <w:trPr>
          <w:trHeight w:val="328"/>
        </w:trPr>
        <w:tc>
          <w:tcPr>
            <w:tcW w:w="1113" w:type="dxa"/>
            <w:shd w:val="clear" w:color="auto" w:fill="E7E6E6"/>
            <w:noWrap/>
            <w:vAlign w:val="center"/>
            <w:hideMark/>
          </w:tcPr>
          <w:p w14:paraId="6440D89D" w14:textId="77777777" w:rsidR="006E2B8B" w:rsidRPr="003208FA" w:rsidRDefault="006E2B8B" w:rsidP="006E2B8B">
            <w:pPr>
              <w:spacing w:after="0" w:line="240" w:lineRule="auto"/>
              <w:jc w:val="left"/>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WEM</w:t>
            </w:r>
          </w:p>
        </w:tc>
        <w:tc>
          <w:tcPr>
            <w:tcW w:w="659" w:type="dxa"/>
            <w:vAlign w:val="center"/>
          </w:tcPr>
          <w:p w14:paraId="26C2D847" w14:textId="77777777" w:rsidR="006E2B8B" w:rsidRPr="003208FA" w:rsidRDefault="006E2B8B" w:rsidP="0057310C">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80094</w:t>
            </w:r>
          </w:p>
        </w:tc>
        <w:tc>
          <w:tcPr>
            <w:tcW w:w="660" w:type="dxa"/>
            <w:vAlign w:val="center"/>
          </w:tcPr>
          <w:p w14:paraId="1BEFDC15" w14:textId="77777777" w:rsidR="006E2B8B" w:rsidRPr="003208FA" w:rsidRDefault="006E2B8B" w:rsidP="0057310C">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57024</w:t>
            </w:r>
          </w:p>
        </w:tc>
        <w:tc>
          <w:tcPr>
            <w:tcW w:w="659" w:type="dxa"/>
            <w:noWrap/>
            <w:vAlign w:val="center"/>
            <w:hideMark/>
          </w:tcPr>
          <w:p w14:paraId="5BDAE59F" w14:textId="77777777" w:rsidR="006E2B8B" w:rsidRPr="003208FA" w:rsidRDefault="006E2B8B" w:rsidP="0057310C">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56163</w:t>
            </w:r>
          </w:p>
        </w:tc>
        <w:tc>
          <w:tcPr>
            <w:tcW w:w="660" w:type="dxa"/>
            <w:noWrap/>
            <w:vAlign w:val="center"/>
            <w:hideMark/>
          </w:tcPr>
          <w:p w14:paraId="77A7F65A" w14:textId="77777777" w:rsidR="006E2B8B" w:rsidRPr="003208FA" w:rsidRDefault="006E2B8B" w:rsidP="0057310C">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59493</w:t>
            </w:r>
          </w:p>
        </w:tc>
        <w:tc>
          <w:tcPr>
            <w:tcW w:w="660" w:type="dxa"/>
            <w:noWrap/>
            <w:vAlign w:val="center"/>
            <w:hideMark/>
          </w:tcPr>
          <w:p w14:paraId="01A2C2A0" w14:textId="77777777" w:rsidR="006E2B8B" w:rsidRPr="003208FA" w:rsidRDefault="006E2B8B" w:rsidP="0057310C">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60319</w:t>
            </w:r>
          </w:p>
        </w:tc>
        <w:tc>
          <w:tcPr>
            <w:tcW w:w="659" w:type="dxa"/>
            <w:noWrap/>
            <w:vAlign w:val="center"/>
            <w:hideMark/>
          </w:tcPr>
          <w:p w14:paraId="5C112534" w14:textId="77777777" w:rsidR="006E2B8B" w:rsidRPr="003208FA" w:rsidRDefault="006E2B8B" w:rsidP="0057310C">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61305</w:t>
            </w:r>
          </w:p>
        </w:tc>
        <w:tc>
          <w:tcPr>
            <w:tcW w:w="660" w:type="dxa"/>
            <w:noWrap/>
            <w:vAlign w:val="center"/>
            <w:hideMark/>
          </w:tcPr>
          <w:p w14:paraId="18CD14C2" w14:textId="77777777" w:rsidR="006E2B8B" w:rsidRPr="003208FA" w:rsidRDefault="006E2B8B" w:rsidP="0057310C">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62254</w:t>
            </w:r>
          </w:p>
        </w:tc>
        <w:tc>
          <w:tcPr>
            <w:tcW w:w="659" w:type="dxa"/>
            <w:noWrap/>
            <w:vAlign w:val="center"/>
            <w:hideMark/>
          </w:tcPr>
          <w:p w14:paraId="0EA225C1" w14:textId="77777777" w:rsidR="006E2B8B" w:rsidRPr="003208FA" w:rsidRDefault="006E2B8B" w:rsidP="0057310C">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63327</w:t>
            </w:r>
          </w:p>
        </w:tc>
        <w:tc>
          <w:tcPr>
            <w:tcW w:w="660" w:type="dxa"/>
            <w:noWrap/>
            <w:vAlign w:val="center"/>
            <w:hideMark/>
          </w:tcPr>
          <w:p w14:paraId="7D8F1754" w14:textId="77777777" w:rsidR="006E2B8B" w:rsidRPr="003208FA" w:rsidRDefault="006E2B8B" w:rsidP="0057310C">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64577</w:t>
            </w:r>
          </w:p>
        </w:tc>
        <w:tc>
          <w:tcPr>
            <w:tcW w:w="660" w:type="dxa"/>
            <w:noWrap/>
            <w:vAlign w:val="center"/>
            <w:hideMark/>
          </w:tcPr>
          <w:p w14:paraId="757EF6E3" w14:textId="77777777" w:rsidR="006E2B8B" w:rsidRPr="003208FA" w:rsidRDefault="006E2B8B" w:rsidP="0057310C">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68874</w:t>
            </w:r>
          </w:p>
        </w:tc>
        <w:tc>
          <w:tcPr>
            <w:tcW w:w="659" w:type="dxa"/>
            <w:noWrap/>
            <w:vAlign w:val="center"/>
            <w:hideMark/>
          </w:tcPr>
          <w:p w14:paraId="22D24898" w14:textId="77777777" w:rsidR="006E2B8B" w:rsidRPr="003208FA" w:rsidRDefault="006E2B8B" w:rsidP="0057310C">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73068</w:t>
            </w:r>
          </w:p>
        </w:tc>
        <w:tc>
          <w:tcPr>
            <w:tcW w:w="660" w:type="dxa"/>
            <w:noWrap/>
            <w:vAlign w:val="center"/>
            <w:hideMark/>
          </w:tcPr>
          <w:p w14:paraId="7837B8DF" w14:textId="77777777" w:rsidR="006E2B8B" w:rsidRPr="003208FA" w:rsidRDefault="006E2B8B" w:rsidP="0057310C">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76529</w:t>
            </w:r>
          </w:p>
        </w:tc>
        <w:tc>
          <w:tcPr>
            <w:tcW w:w="660" w:type="dxa"/>
            <w:noWrap/>
            <w:vAlign w:val="center"/>
            <w:hideMark/>
          </w:tcPr>
          <w:p w14:paraId="0CBC320F" w14:textId="77777777" w:rsidR="006E2B8B" w:rsidRPr="003208FA" w:rsidRDefault="006E2B8B" w:rsidP="0057310C">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72958</w:t>
            </w:r>
          </w:p>
        </w:tc>
      </w:tr>
      <w:tr w:rsidR="006E2B8B" w:rsidRPr="002A6689" w14:paraId="11E0E8B8" w14:textId="77777777" w:rsidTr="000A2AFE">
        <w:trPr>
          <w:trHeight w:val="328"/>
        </w:trPr>
        <w:tc>
          <w:tcPr>
            <w:tcW w:w="1113" w:type="dxa"/>
            <w:shd w:val="clear" w:color="auto" w:fill="E7E6E6"/>
            <w:noWrap/>
            <w:vAlign w:val="center"/>
            <w:hideMark/>
          </w:tcPr>
          <w:p w14:paraId="6756F4D6" w14:textId="2E6F0134" w:rsidR="006E2B8B" w:rsidRPr="003208FA" w:rsidRDefault="006E2B8B" w:rsidP="006E2B8B">
            <w:pPr>
              <w:spacing w:after="0" w:line="240" w:lineRule="auto"/>
              <w:jc w:val="left"/>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Сценарио-S</w:t>
            </w:r>
          </w:p>
        </w:tc>
        <w:tc>
          <w:tcPr>
            <w:tcW w:w="659" w:type="dxa"/>
            <w:vAlign w:val="center"/>
          </w:tcPr>
          <w:p w14:paraId="0DFB9907" w14:textId="77777777" w:rsidR="006E2B8B" w:rsidRPr="003208FA" w:rsidRDefault="006E2B8B" w:rsidP="006E2B8B">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80094</w:t>
            </w:r>
          </w:p>
        </w:tc>
        <w:tc>
          <w:tcPr>
            <w:tcW w:w="660" w:type="dxa"/>
            <w:vAlign w:val="center"/>
          </w:tcPr>
          <w:p w14:paraId="082A4882" w14:textId="77777777" w:rsidR="006E2B8B" w:rsidRPr="003208FA" w:rsidRDefault="006E2B8B" w:rsidP="006E2B8B">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57024</w:t>
            </w:r>
          </w:p>
        </w:tc>
        <w:tc>
          <w:tcPr>
            <w:tcW w:w="659" w:type="dxa"/>
            <w:noWrap/>
            <w:vAlign w:val="center"/>
            <w:hideMark/>
          </w:tcPr>
          <w:p w14:paraId="592C6816" w14:textId="77777777" w:rsidR="006E2B8B" w:rsidRPr="003208FA" w:rsidRDefault="006E2B8B" w:rsidP="006E2B8B">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56163</w:t>
            </w:r>
          </w:p>
        </w:tc>
        <w:tc>
          <w:tcPr>
            <w:tcW w:w="660" w:type="dxa"/>
            <w:noWrap/>
            <w:vAlign w:val="center"/>
            <w:hideMark/>
          </w:tcPr>
          <w:p w14:paraId="17A1EB10" w14:textId="77777777" w:rsidR="006E2B8B" w:rsidRPr="003208FA" w:rsidRDefault="006E2B8B" w:rsidP="006E2B8B">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55478</w:t>
            </w:r>
          </w:p>
        </w:tc>
        <w:tc>
          <w:tcPr>
            <w:tcW w:w="660" w:type="dxa"/>
            <w:noWrap/>
            <w:vAlign w:val="center"/>
            <w:hideMark/>
          </w:tcPr>
          <w:p w14:paraId="39C37AD6" w14:textId="77777777" w:rsidR="006E2B8B" w:rsidRPr="003208FA" w:rsidRDefault="006E2B8B" w:rsidP="006E2B8B">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54480</w:t>
            </w:r>
          </w:p>
        </w:tc>
        <w:tc>
          <w:tcPr>
            <w:tcW w:w="659" w:type="dxa"/>
            <w:noWrap/>
            <w:vAlign w:val="center"/>
            <w:hideMark/>
          </w:tcPr>
          <w:p w14:paraId="1B4C3C29" w14:textId="77777777" w:rsidR="006E2B8B" w:rsidRPr="003208FA" w:rsidRDefault="006E2B8B" w:rsidP="006E2B8B">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54099</w:t>
            </w:r>
          </w:p>
        </w:tc>
        <w:tc>
          <w:tcPr>
            <w:tcW w:w="660" w:type="dxa"/>
            <w:noWrap/>
            <w:vAlign w:val="center"/>
            <w:hideMark/>
          </w:tcPr>
          <w:p w14:paraId="56ACB142" w14:textId="77777777" w:rsidR="006E2B8B" w:rsidRPr="003208FA" w:rsidRDefault="006E2B8B" w:rsidP="006E2B8B">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53073</w:t>
            </w:r>
          </w:p>
        </w:tc>
        <w:tc>
          <w:tcPr>
            <w:tcW w:w="659" w:type="dxa"/>
            <w:noWrap/>
            <w:vAlign w:val="center"/>
            <w:hideMark/>
          </w:tcPr>
          <w:p w14:paraId="3A190BF1" w14:textId="77777777" w:rsidR="006E2B8B" w:rsidRPr="003208FA" w:rsidRDefault="006E2B8B" w:rsidP="006E2B8B">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51274</w:t>
            </w:r>
          </w:p>
        </w:tc>
        <w:tc>
          <w:tcPr>
            <w:tcW w:w="660" w:type="dxa"/>
            <w:noWrap/>
            <w:vAlign w:val="center"/>
            <w:hideMark/>
          </w:tcPr>
          <w:p w14:paraId="6DEBE3A8" w14:textId="77777777" w:rsidR="006E2B8B" w:rsidRPr="003208FA" w:rsidRDefault="006E2B8B" w:rsidP="006E2B8B">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47765</w:t>
            </w:r>
          </w:p>
        </w:tc>
        <w:tc>
          <w:tcPr>
            <w:tcW w:w="660" w:type="dxa"/>
            <w:noWrap/>
            <w:vAlign w:val="center"/>
            <w:hideMark/>
          </w:tcPr>
          <w:p w14:paraId="0D898C56" w14:textId="77777777" w:rsidR="006E2B8B" w:rsidRPr="003208FA" w:rsidRDefault="006E2B8B" w:rsidP="006E2B8B">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41942</w:t>
            </w:r>
          </w:p>
        </w:tc>
        <w:tc>
          <w:tcPr>
            <w:tcW w:w="659" w:type="dxa"/>
            <w:noWrap/>
            <w:vAlign w:val="center"/>
            <w:hideMark/>
          </w:tcPr>
          <w:p w14:paraId="70D96CB9" w14:textId="77777777" w:rsidR="006E2B8B" w:rsidRPr="003208FA" w:rsidRDefault="006E2B8B" w:rsidP="006E2B8B">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36098</w:t>
            </w:r>
          </w:p>
        </w:tc>
        <w:tc>
          <w:tcPr>
            <w:tcW w:w="660" w:type="dxa"/>
            <w:noWrap/>
            <w:vAlign w:val="center"/>
            <w:hideMark/>
          </w:tcPr>
          <w:p w14:paraId="602CD8DC" w14:textId="77777777" w:rsidR="006E2B8B" w:rsidRPr="003208FA" w:rsidRDefault="006E2B8B" w:rsidP="006E2B8B">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28846</w:t>
            </w:r>
          </w:p>
        </w:tc>
        <w:tc>
          <w:tcPr>
            <w:tcW w:w="660" w:type="dxa"/>
            <w:noWrap/>
            <w:vAlign w:val="center"/>
            <w:hideMark/>
          </w:tcPr>
          <w:p w14:paraId="3388603E" w14:textId="77777777" w:rsidR="006E2B8B" w:rsidRPr="003208FA" w:rsidRDefault="006E2B8B" w:rsidP="006E2B8B">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21330</w:t>
            </w:r>
          </w:p>
        </w:tc>
      </w:tr>
      <w:tr w:rsidR="006E2B8B" w:rsidRPr="002A6689" w14:paraId="6ED09E9F" w14:textId="77777777" w:rsidTr="000A2AFE">
        <w:trPr>
          <w:trHeight w:val="328"/>
        </w:trPr>
        <w:tc>
          <w:tcPr>
            <w:tcW w:w="1113" w:type="dxa"/>
            <w:shd w:val="clear" w:color="auto" w:fill="E7E6E6"/>
            <w:noWrap/>
            <w:vAlign w:val="center"/>
            <w:hideMark/>
          </w:tcPr>
          <w:p w14:paraId="7C4C852D" w14:textId="269DDA5F" w:rsidR="006E2B8B" w:rsidRPr="003208FA" w:rsidRDefault="006E2B8B" w:rsidP="006E2B8B">
            <w:pPr>
              <w:spacing w:after="0" w:line="240" w:lineRule="auto"/>
              <w:jc w:val="left"/>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Сценарио-S-N</w:t>
            </w:r>
          </w:p>
        </w:tc>
        <w:tc>
          <w:tcPr>
            <w:tcW w:w="659" w:type="dxa"/>
            <w:vAlign w:val="center"/>
          </w:tcPr>
          <w:p w14:paraId="1E9E013E" w14:textId="77777777" w:rsidR="006E2B8B" w:rsidRPr="003208FA" w:rsidRDefault="006E2B8B" w:rsidP="006E2B8B">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80094</w:t>
            </w:r>
          </w:p>
        </w:tc>
        <w:tc>
          <w:tcPr>
            <w:tcW w:w="660" w:type="dxa"/>
            <w:vAlign w:val="center"/>
          </w:tcPr>
          <w:p w14:paraId="2EA25E99" w14:textId="77777777" w:rsidR="006E2B8B" w:rsidRPr="003208FA" w:rsidRDefault="006E2B8B" w:rsidP="006E2B8B">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57024</w:t>
            </w:r>
          </w:p>
        </w:tc>
        <w:tc>
          <w:tcPr>
            <w:tcW w:w="659" w:type="dxa"/>
            <w:noWrap/>
            <w:vAlign w:val="center"/>
            <w:hideMark/>
          </w:tcPr>
          <w:p w14:paraId="2613DA77" w14:textId="77777777" w:rsidR="006E2B8B" w:rsidRPr="003208FA" w:rsidRDefault="006E2B8B" w:rsidP="006E2B8B">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56163</w:t>
            </w:r>
          </w:p>
        </w:tc>
        <w:tc>
          <w:tcPr>
            <w:tcW w:w="660" w:type="dxa"/>
            <w:noWrap/>
            <w:vAlign w:val="center"/>
            <w:hideMark/>
          </w:tcPr>
          <w:p w14:paraId="62B0DAA0" w14:textId="77777777" w:rsidR="006E2B8B" w:rsidRPr="003208FA" w:rsidRDefault="006E2B8B" w:rsidP="006E2B8B">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55478</w:t>
            </w:r>
          </w:p>
        </w:tc>
        <w:tc>
          <w:tcPr>
            <w:tcW w:w="660" w:type="dxa"/>
            <w:noWrap/>
            <w:vAlign w:val="center"/>
            <w:hideMark/>
          </w:tcPr>
          <w:p w14:paraId="35C00C55" w14:textId="77777777" w:rsidR="006E2B8B" w:rsidRPr="003208FA" w:rsidRDefault="006E2B8B" w:rsidP="006E2B8B">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54480</w:t>
            </w:r>
          </w:p>
        </w:tc>
        <w:tc>
          <w:tcPr>
            <w:tcW w:w="659" w:type="dxa"/>
            <w:noWrap/>
            <w:vAlign w:val="center"/>
            <w:hideMark/>
          </w:tcPr>
          <w:p w14:paraId="23A5FB69" w14:textId="77777777" w:rsidR="006E2B8B" w:rsidRPr="003208FA" w:rsidRDefault="006E2B8B" w:rsidP="006E2B8B">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54099</w:t>
            </w:r>
          </w:p>
        </w:tc>
        <w:tc>
          <w:tcPr>
            <w:tcW w:w="660" w:type="dxa"/>
            <w:noWrap/>
            <w:vAlign w:val="center"/>
            <w:hideMark/>
          </w:tcPr>
          <w:p w14:paraId="31AABF84" w14:textId="77777777" w:rsidR="006E2B8B" w:rsidRPr="003208FA" w:rsidRDefault="006E2B8B" w:rsidP="006E2B8B">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53073</w:t>
            </w:r>
          </w:p>
        </w:tc>
        <w:tc>
          <w:tcPr>
            <w:tcW w:w="659" w:type="dxa"/>
            <w:noWrap/>
            <w:vAlign w:val="center"/>
            <w:hideMark/>
          </w:tcPr>
          <w:p w14:paraId="7E81F2A8" w14:textId="77777777" w:rsidR="006E2B8B" w:rsidRPr="003208FA" w:rsidRDefault="006E2B8B" w:rsidP="006E2B8B">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51274</w:t>
            </w:r>
          </w:p>
        </w:tc>
        <w:tc>
          <w:tcPr>
            <w:tcW w:w="660" w:type="dxa"/>
            <w:noWrap/>
            <w:vAlign w:val="center"/>
            <w:hideMark/>
          </w:tcPr>
          <w:p w14:paraId="5A4710B7" w14:textId="77777777" w:rsidR="006E2B8B" w:rsidRPr="003208FA" w:rsidRDefault="006E2B8B" w:rsidP="006E2B8B">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47765</w:t>
            </w:r>
          </w:p>
        </w:tc>
        <w:tc>
          <w:tcPr>
            <w:tcW w:w="660" w:type="dxa"/>
            <w:noWrap/>
            <w:vAlign w:val="center"/>
            <w:hideMark/>
          </w:tcPr>
          <w:p w14:paraId="735915B8" w14:textId="77777777" w:rsidR="006E2B8B" w:rsidRPr="003208FA" w:rsidRDefault="006E2B8B" w:rsidP="006E2B8B">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41943</w:t>
            </w:r>
          </w:p>
        </w:tc>
        <w:tc>
          <w:tcPr>
            <w:tcW w:w="659" w:type="dxa"/>
            <w:noWrap/>
            <w:vAlign w:val="center"/>
            <w:hideMark/>
          </w:tcPr>
          <w:p w14:paraId="3BA31A7F" w14:textId="77777777" w:rsidR="006E2B8B" w:rsidRPr="003208FA" w:rsidRDefault="006E2B8B" w:rsidP="006E2B8B">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36100</w:t>
            </w:r>
          </w:p>
        </w:tc>
        <w:tc>
          <w:tcPr>
            <w:tcW w:w="660" w:type="dxa"/>
            <w:noWrap/>
            <w:vAlign w:val="center"/>
            <w:hideMark/>
          </w:tcPr>
          <w:p w14:paraId="7B3C4E47" w14:textId="77777777" w:rsidR="006E2B8B" w:rsidRPr="003208FA" w:rsidRDefault="006E2B8B" w:rsidP="006E2B8B">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25300</w:t>
            </w:r>
          </w:p>
        </w:tc>
        <w:tc>
          <w:tcPr>
            <w:tcW w:w="660" w:type="dxa"/>
            <w:noWrap/>
            <w:vAlign w:val="center"/>
            <w:hideMark/>
          </w:tcPr>
          <w:p w14:paraId="5393F952" w14:textId="77777777" w:rsidR="006E2B8B" w:rsidRPr="003208FA" w:rsidRDefault="006E2B8B" w:rsidP="006E2B8B">
            <w:pPr>
              <w:spacing w:after="0" w:line="240" w:lineRule="auto"/>
              <w:jc w:val="center"/>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19745</w:t>
            </w:r>
          </w:p>
        </w:tc>
      </w:tr>
    </w:tbl>
    <w:p w14:paraId="4562FD27" w14:textId="57C56CD3" w:rsidR="00873C40" w:rsidRDefault="00873C40" w:rsidP="00565B02">
      <w:pPr>
        <w:pStyle w:val="Caption"/>
        <w:keepNext/>
        <w:spacing w:before="200"/>
      </w:pPr>
      <w:bookmarkStart w:id="537" w:name="_Hlk148967306"/>
      <w:bookmarkStart w:id="538" w:name="_Toc153901510"/>
      <w:r>
        <w:t xml:space="preserve">Табела </w:t>
      </w:r>
      <w:r>
        <w:fldChar w:fldCharType="begin"/>
      </w:r>
      <w:r>
        <w:instrText xml:space="preserve"> STYLEREF 1 \s </w:instrText>
      </w:r>
      <w:r>
        <w:fldChar w:fldCharType="separate"/>
      </w:r>
      <w:r>
        <w:t>V</w:t>
      </w:r>
      <w:r>
        <w:fldChar w:fldCharType="end"/>
      </w:r>
      <w:r>
        <w:t>.</w:t>
      </w:r>
      <w:r>
        <w:fldChar w:fldCharType="begin"/>
      </w:r>
      <w:r>
        <w:instrText xml:space="preserve"> SEQ Табела \* ARABIC \s 1 </w:instrText>
      </w:r>
      <w:r>
        <w:fldChar w:fldCharType="separate"/>
      </w:r>
      <w:r>
        <w:t>15</w:t>
      </w:r>
      <w:r>
        <w:fldChar w:fldCharType="end"/>
      </w:r>
      <w:r w:rsidRPr="00873C40">
        <w:t>: Процентуално смањење укупних емисија у односу на нивое у 1990. години</w:t>
      </w:r>
      <w:bookmarkEnd w:id="538"/>
    </w:p>
    <w:tbl>
      <w:tblPr>
        <w:tblStyle w:val="TableGrid"/>
        <w:tblW w:w="9776" w:type="dxa"/>
        <w:tblLayout w:type="fixed"/>
        <w:tblLook w:val="04A0" w:firstRow="1" w:lastRow="0" w:firstColumn="1" w:lastColumn="0" w:noHBand="0" w:noVBand="1"/>
      </w:tblPr>
      <w:tblGrid>
        <w:gridCol w:w="846"/>
        <w:gridCol w:w="744"/>
        <w:gridCol w:w="744"/>
        <w:gridCol w:w="744"/>
        <w:gridCol w:w="744"/>
        <w:gridCol w:w="744"/>
        <w:gridCol w:w="745"/>
        <w:gridCol w:w="744"/>
        <w:gridCol w:w="744"/>
        <w:gridCol w:w="744"/>
        <w:gridCol w:w="744"/>
        <w:gridCol w:w="744"/>
        <w:gridCol w:w="745"/>
      </w:tblGrid>
      <w:tr w:rsidR="006E2B8B" w:rsidRPr="002A6689" w14:paraId="38AF8565" w14:textId="77777777" w:rsidTr="000A2AFE">
        <w:trPr>
          <w:trHeight w:val="328"/>
        </w:trPr>
        <w:tc>
          <w:tcPr>
            <w:tcW w:w="846" w:type="dxa"/>
            <w:shd w:val="clear" w:color="auto" w:fill="404040"/>
            <w:noWrap/>
            <w:vAlign w:val="center"/>
            <w:hideMark/>
          </w:tcPr>
          <w:p w14:paraId="554475CE" w14:textId="7A9C099A" w:rsidR="006E2B8B" w:rsidRPr="003208FA" w:rsidRDefault="006E2B8B" w:rsidP="0057310C">
            <w:pPr>
              <w:spacing w:after="0" w:line="240" w:lineRule="auto"/>
              <w:jc w:val="center"/>
              <w:rPr>
                <w:rFonts w:ascii="Calibri Light" w:hAnsi="Calibri Light" w:cs="Calibri Light"/>
                <w:color w:val="000000" w:themeColor="text1"/>
                <w:sz w:val="16"/>
                <w:szCs w:val="16"/>
              </w:rPr>
            </w:pPr>
            <w:r>
              <w:rPr>
                <w:rFonts w:ascii="Calibri Light" w:hAnsi="Calibri Light" w:cs="Calibri Light"/>
                <w:color w:val="FFFFFF" w:themeColor="background1"/>
                <w:sz w:val="16"/>
                <w:szCs w:val="16"/>
              </w:rPr>
              <w:t xml:space="preserve">% </w:t>
            </w:r>
            <w:r w:rsidRPr="006E2B8B">
              <w:rPr>
                <w:rFonts w:ascii="Calibri Light" w:hAnsi="Calibri Light" w:cs="Calibri Light"/>
                <w:color w:val="FFFFFF" w:themeColor="background1"/>
                <w:sz w:val="16"/>
                <w:szCs w:val="16"/>
              </w:rPr>
              <w:t>мање</w:t>
            </w:r>
            <w:r>
              <w:rPr>
                <w:rFonts w:ascii="Calibri Light" w:hAnsi="Calibri Light" w:cs="Calibri Light"/>
                <w:color w:val="FFFFFF" w:themeColor="background1"/>
                <w:sz w:val="16"/>
                <w:szCs w:val="16"/>
              </w:rPr>
              <w:t xml:space="preserve"> </w:t>
            </w:r>
            <w:r w:rsidRPr="006E2B8B">
              <w:rPr>
                <w:rFonts w:ascii="Calibri Light" w:hAnsi="Calibri Light" w:cs="Calibri Light"/>
                <w:color w:val="FFFFFF" w:themeColor="background1"/>
                <w:sz w:val="16"/>
                <w:szCs w:val="16"/>
              </w:rPr>
              <w:t xml:space="preserve">укупних емисија </w:t>
            </w:r>
            <w:r>
              <w:rPr>
                <w:rFonts w:ascii="Calibri Light" w:hAnsi="Calibri Light" w:cs="Calibri Light"/>
                <w:color w:val="FFFFFF" w:themeColor="background1"/>
                <w:sz w:val="16"/>
                <w:szCs w:val="16"/>
              </w:rPr>
              <w:t>у</w:t>
            </w:r>
            <w:r w:rsidRPr="003208FA">
              <w:rPr>
                <w:rFonts w:ascii="Calibri Light" w:hAnsi="Calibri Light" w:cs="Calibri Light"/>
                <w:color w:val="FFFFFF" w:themeColor="background1"/>
                <w:sz w:val="16"/>
                <w:szCs w:val="16"/>
              </w:rPr>
              <w:t>.</w:t>
            </w:r>
            <w:r>
              <w:rPr>
                <w:rFonts w:ascii="Calibri Light" w:hAnsi="Calibri Light" w:cs="Calibri Light"/>
                <w:color w:val="FFFFFF" w:themeColor="background1"/>
                <w:sz w:val="16"/>
                <w:szCs w:val="16"/>
              </w:rPr>
              <w:t>о</w:t>
            </w:r>
            <w:r w:rsidRPr="003208FA">
              <w:rPr>
                <w:rFonts w:ascii="Calibri Light" w:hAnsi="Calibri Light" w:cs="Calibri Light"/>
                <w:color w:val="FFFFFF" w:themeColor="background1"/>
                <w:sz w:val="16"/>
                <w:szCs w:val="16"/>
              </w:rPr>
              <w:t>.</w:t>
            </w:r>
            <w:r>
              <w:rPr>
                <w:rFonts w:ascii="Calibri Light" w:hAnsi="Calibri Light" w:cs="Calibri Light"/>
                <w:color w:val="FFFFFF" w:themeColor="background1"/>
                <w:sz w:val="16"/>
                <w:szCs w:val="16"/>
              </w:rPr>
              <w:t>н</w:t>
            </w:r>
            <w:r w:rsidRPr="003208FA">
              <w:rPr>
                <w:rFonts w:ascii="Calibri Light" w:hAnsi="Calibri Light" w:cs="Calibri Light"/>
                <w:color w:val="FFFFFF" w:themeColor="background1"/>
                <w:sz w:val="16"/>
                <w:szCs w:val="16"/>
              </w:rPr>
              <w:t>. 1990</w:t>
            </w:r>
            <w:r>
              <w:rPr>
                <w:rFonts w:ascii="Calibri Light" w:hAnsi="Calibri Light" w:cs="Calibri Light"/>
                <w:color w:val="FFFFFF" w:themeColor="background1"/>
                <w:sz w:val="16"/>
                <w:szCs w:val="16"/>
              </w:rPr>
              <w:t xml:space="preserve"> [%]</w:t>
            </w:r>
          </w:p>
        </w:tc>
        <w:tc>
          <w:tcPr>
            <w:tcW w:w="744" w:type="dxa"/>
            <w:shd w:val="clear" w:color="auto" w:fill="1F497D"/>
            <w:vAlign w:val="center"/>
          </w:tcPr>
          <w:p w14:paraId="3E685001" w14:textId="77777777" w:rsidR="006E2B8B" w:rsidRPr="003208FA" w:rsidRDefault="006E2B8B" w:rsidP="0057310C">
            <w:pPr>
              <w:spacing w:after="0" w:line="240" w:lineRule="auto"/>
              <w:jc w:val="center"/>
              <w:rPr>
                <w:rFonts w:ascii="Calibri Light" w:hAnsi="Calibri Light" w:cs="Calibri Light"/>
                <w:color w:val="FFFFFF" w:themeColor="background1"/>
                <w:sz w:val="16"/>
                <w:szCs w:val="16"/>
              </w:rPr>
            </w:pPr>
            <w:r w:rsidRPr="003208FA">
              <w:rPr>
                <w:rFonts w:ascii="Calibri Light" w:hAnsi="Calibri Light" w:cs="Calibri Light"/>
                <w:color w:val="FFFFFF" w:themeColor="background1"/>
                <w:sz w:val="16"/>
                <w:szCs w:val="16"/>
              </w:rPr>
              <w:t>2010</w:t>
            </w:r>
          </w:p>
        </w:tc>
        <w:tc>
          <w:tcPr>
            <w:tcW w:w="744" w:type="dxa"/>
            <w:shd w:val="clear" w:color="auto" w:fill="1F497D"/>
            <w:noWrap/>
            <w:vAlign w:val="center"/>
            <w:hideMark/>
          </w:tcPr>
          <w:p w14:paraId="42D20CFB" w14:textId="77777777" w:rsidR="006E2B8B" w:rsidRPr="003208FA" w:rsidRDefault="006E2B8B" w:rsidP="0057310C">
            <w:pPr>
              <w:spacing w:after="0" w:line="240" w:lineRule="auto"/>
              <w:jc w:val="center"/>
              <w:rPr>
                <w:rFonts w:ascii="Calibri Light" w:hAnsi="Calibri Light" w:cs="Calibri Light"/>
                <w:color w:val="FFFFFF" w:themeColor="background1"/>
                <w:sz w:val="16"/>
                <w:szCs w:val="16"/>
              </w:rPr>
            </w:pPr>
            <w:r w:rsidRPr="003208FA">
              <w:rPr>
                <w:rFonts w:ascii="Calibri Light" w:hAnsi="Calibri Light" w:cs="Calibri Light"/>
                <w:color w:val="FFFFFF" w:themeColor="background1"/>
                <w:sz w:val="16"/>
                <w:szCs w:val="16"/>
              </w:rPr>
              <w:t>2020</w:t>
            </w:r>
          </w:p>
        </w:tc>
        <w:tc>
          <w:tcPr>
            <w:tcW w:w="744" w:type="dxa"/>
            <w:shd w:val="clear" w:color="auto" w:fill="1F497D"/>
            <w:noWrap/>
            <w:vAlign w:val="center"/>
            <w:hideMark/>
          </w:tcPr>
          <w:p w14:paraId="0F48D220" w14:textId="77777777" w:rsidR="006E2B8B" w:rsidRPr="003208FA" w:rsidRDefault="006E2B8B" w:rsidP="0057310C">
            <w:pPr>
              <w:spacing w:after="0" w:line="240" w:lineRule="auto"/>
              <w:jc w:val="center"/>
              <w:rPr>
                <w:rFonts w:ascii="Calibri Light" w:hAnsi="Calibri Light" w:cs="Calibri Light"/>
                <w:color w:val="FFFFFF" w:themeColor="background1"/>
                <w:sz w:val="16"/>
                <w:szCs w:val="16"/>
              </w:rPr>
            </w:pPr>
            <w:r w:rsidRPr="003208FA">
              <w:rPr>
                <w:rFonts w:ascii="Calibri Light" w:hAnsi="Calibri Light" w:cs="Calibri Light"/>
                <w:color w:val="FFFFFF" w:themeColor="background1"/>
                <w:sz w:val="16"/>
                <w:szCs w:val="16"/>
              </w:rPr>
              <w:t>2025</w:t>
            </w:r>
          </w:p>
        </w:tc>
        <w:tc>
          <w:tcPr>
            <w:tcW w:w="744" w:type="dxa"/>
            <w:shd w:val="clear" w:color="auto" w:fill="1F497D"/>
            <w:noWrap/>
            <w:vAlign w:val="center"/>
            <w:hideMark/>
          </w:tcPr>
          <w:p w14:paraId="77B1E066" w14:textId="77777777" w:rsidR="006E2B8B" w:rsidRPr="003208FA" w:rsidRDefault="006E2B8B" w:rsidP="0057310C">
            <w:pPr>
              <w:spacing w:after="0" w:line="240" w:lineRule="auto"/>
              <w:jc w:val="center"/>
              <w:rPr>
                <w:rFonts w:ascii="Calibri Light" w:hAnsi="Calibri Light" w:cs="Calibri Light"/>
                <w:color w:val="FFFFFF" w:themeColor="background1"/>
                <w:sz w:val="16"/>
                <w:szCs w:val="16"/>
              </w:rPr>
            </w:pPr>
            <w:r w:rsidRPr="003208FA">
              <w:rPr>
                <w:rFonts w:ascii="Calibri Light" w:hAnsi="Calibri Light" w:cs="Calibri Light"/>
                <w:color w:val="FFFFFF" w:themeColor="background1"/>
                <w:sz w:val="16"/>
                <w:szCs w:val="16"/>
              </w:rPr>
              <w:t>2026</w:t>
            </w:r>
          </w:p>
        </w:tc>
        <w:tc>
          <w:tcPr>
            <w:tcW w:w="744" w:type="dxa"/>
            <w:shd w:val="clear" w:color="auto" w:fill="1F497D"/>
            <w:noWrap/>
            <w:vAlign w:val="center"/>
            <w:hideMark/>
          </w:tcPr>
          <w:p w14:paraId="7DFAB3E5" w14:textId="77777777" w:rsidR="006E2B8B" w:rsidRPr="003208FA" w:rsidRDefault="006E2B8B" w:rsidP="0057310C">
            <w:pPr>
              <w:spacing w:after="0" w:line="240" w:lineRule="auto"/>
              <w:jc w:val="center"/>
              <w:rPr>
                <w:rFonts w:ascii="Calibri Light" w:hAnsi="Calibri Light" w:cs="Calibri Light"/>
                <w:color w:val="FFFFFF" w:themeColor="background1"/>
                <w:sz w:val="16"/>
                <w:szCs w:val="16"/>
              </w:rPr>
            </w:pPr>
            <w:r w:rsidRPr="003208FA">
              <w:rPr>
                <w:rFonts w:ascii="Calibri Light" w:hAnsi="Calibri Light" w:cs="Calibri Light"/>
                <w:color w:val="FFFFFF" w:themeColor="background1"/>
                <w:sz w:val="16"/>
                <w:szCs w:val="16"/>
              </w:rPr>
              <w:t>2027</w:t>
            </w:r>
          </w:p>
        </w:tc>
        <w:tc>
          <w:tcPr>
            <w:tcW w:w="745" w:type="dxa"/>
            <w:shd w:val="clear" w:color="auto" w:fill="1F497D"/>
            <w:noWrap/>
            <w:vAlign w:val="center"/>
            <w:hideMark/>
          </w:tcPr>
          <w:p w14:paraId="15D4485D" w14:textId="77777777" w:rsidR="006E2B8B" w:rsidRPr="003208FA" w:rsidRDefault="006E2B8B" w:rsidP="0057310C">
            <w:pPr>
              <w:spacing w:after="0" w:line="240" w:lineRule="auto"/>
              <w:jc w:val="center"/>
              <w:rPr>
                <w:rFonts w:ascii="Calibri Light" w:hAnsi="Calibri Light" w:cs="Calibri Light"/>
                <w:color w:val="FFFFFF" w:themeColor="background1"/>
                <w:sz w:val="16"/>
                <w:szCs w:val="16"/>
              </w:rPr>
            </w:pPr>
            <w:r w:rsidRPr="003208FA">
              <w:rPr>
                <w:rFonts w:ascii="Calibri Light" w:hAnsi="Calibri Light" w:cs="Calibri Light"/>
                <w:color w:val="FFFFFF" w:themeColor="background1"/>
                <w:sz w:val="16"/>
                <w:szCs w:val="16"/>
              </w:rPr>
              <w:t>2028</w:t>
            </w:r>
          </w:p>
        </w:tc>
        <w:tc>
          <w:tcPr>
            <w:tcW w:w="744" w:type="dxa"/>
            <w:shd w:val="clear" w:color="auto" w:fill="1F497D"/>
            <w:noWrap/>
            <w:vAlign w:val="center"/>
            <w:hideMark/>
          </w:tcPr>
          <w:p w14:paraId="0BE8C81E" w14:textId="77777777" w:rsidR="006E2B8B" w:rsidRPr="003208FA" w:rsidRDefault="006E2B8B" w:rsidP="0057310C">
            <w:pPr>
              <w:spacing w:after="0" w:line="240" w:lineRule="auto"/>
              <w:jc w:val="center"/>
              <w:rPr>
                <w:rFonts w:ascii="Calibri Light" w:hAnsi="Calibri Light" w:cs="Calibri Light"/>
                <w:color w:val="FFFFFF" w:themeColor="background1"/>
                <w:sz w:val="16"/>
                <w:szCs w:val="16"/>
              </w:rPr>
            </w:pPr>
            <w:r w:rsidRPr="003208FA">
              <w:rPr>
                <w:rFonts w:ascii="Calibri Light" w:hAnsi="Calibri Light" w:cs="Calibri Light"/>
                <w:color w:val="FFFFFF" w:themeColor="background1"/>
                <w:sz w:val="16"/>
                <w:szCs w:val="16"/>
              </w:rPr>
              <w:t>2029</w:t>
            </w:r>
          </w:p>
        </w:tc>
        <w:tc>
          <w:tcPr>
            <w:tcW w:w="744" w:type="dxa"/>
            <w:shd w:val="clear" w:color="auto" w:fill="1F497D"/>
            <w:noWrap/>
            <w:vAlign w:val="center"/>
            <w:hideMark/>
          </w:tcPr>
          <w:p w14:paraId="7C51E071" w14:textId="77777777" w:rsidR="006E2B8B" w:rsidRPr="003208FA" w:rsidRDefault="006E2B8B" w:rsidP="0057310C">
            <w:pPr>
              <w:spacing w:after="0" w:line="240" w:lineRule="auto"/>
              <w:jc w:val="center"/>
              <w:rPr>
                <w:rFonts w:ascii="Calibri Light" w:hAnsi="Calibri Light" w:cs="Calibri Light"/>
                <w:color w:val="FFFFFF" w:themeColor="background1"/>
                <w:sz w:val="16"/>
                <w:szCs w:val="16"/>
              </w:rPr>
            </w:pPr>
            <w:r w:rsidRPr="003208FA">
              <w:rPr>
                <w:rFonts w:ascii="Calibri Light" w:hAnsi="Calibri Light" w:cs="Calibri Light"/>
                <w:color w:val="FFFFFF" w:themeColor="background1"/>
                <w:sz w:val="16"/>
                <w:szCs w:val="16"/>
              </w:rPr>
              <w:t>2030</w:t>
            </w:r>
          </w:p>
        </w:tc>
        <w:tc>
          <w:tcPr>
            <w:tcW w:w="744" w:type="dxa"/>
            <w:shd w:val="clear" w:color="auto" w:fill="1F497D"/>
            <w:noWrap/>
            <w:vAlign w:val="center"/>
            <w:hideMark/>
          </w:tcPr>
          <w:p w14:paraId="6C1C3C12" w14:textId="77777777" w:rsidR="006E2B8B" w:rsidRPr="003208FA" w:rsidRDefault="006E2B8B" w:rsidP="0057310C">
            <w:pPr>
              <w:spacing w:after="0" w:line="240" w:lineRule="auto"/>
              <w:jc w:val="center"/>
              <w:rPr>
                <w:rFonts w:ascii="Calibri Light" w:hAnsi="Calibri Light" w:cs="Calibri Light"/>
                <w:color w:val="FFFFFF" w:themeColor="background1"/>
                <w:sz w:val="16"/>
                <w:szCs w:val="16"/>
              </w:rPr>
            </w:pPr>
            <w:r w:rsidRPr="003208FA">
              <w:rPr>
                <w:rFonts w:ascii="Calibri Light" w:hAnsi="Calibri Light" w:cs="Calibri Light"/>
                <w:color w:val="FFFFFF" w:themeColor="background1"/>
                <w:sz w:val="16"/>
                <w:szCs w:val="16"/>
              </w:rPr>
              <w:t>2035</w:t>
            </w:r>
          </w:p>
        </w:tc>
        <w:tc>
          <w:tcPr>
            <w:tcW w:w="744" w:type="dxa"/>
            <w:shd w:val="clear" w:color="auto" w:fill="1F497D"/>
            <w:noWrap/>
            <w:vAlign w:val="center"/>
            <w:hideMark/>
          </w:tcPr>
          <w:p w14:paraId="12396378" w14:textId="77777777" w:rsidR="006E2B8B" w:rsidRPr="003208FA" w:rsidRDefault="006E2B8B" w:rsidP="0057310C">
            <w:pPr>
              <w:spacing w:after="0" w:line="240" w:lineRule="auto"/>
              <w:jc w:val="center"/>
              <w:rPr>
                <w:rFonts w:ascii="Calibri Light" w:hAnsi="Calibri Light" w:cs="Calibri Light"/>
                <w:color w:val="FFFFFF" w:themeColor="background1"/>
                <w:sz w:val="16"/>
                <w:szCs w:val="16"/>
              </w:rPr>
            </w:pPr>
            <w:r w:rsidRPr="003208FA">
              <w:rPr>
                <w:rFonts w:ascii="Calibri Light" w:hAnsi="Calibri Light" w:cs="Calibri Light"/>
                <w:color w:val="FFFFFF" w:themeColor="background1"/>
                <w:sz w:val="16"/>
                <w:szCs w:val="16"/>
              </w:rPr>
              <w:t>2040</w:t>
            </w:r>
          </w:p>
        </w:tc>
        <w:tc>
          <w:tcPr>
            <w:tcW w:w="744" w:type="dxa"/>
            <w:shd w:val="clear" w:color="auto" w:fill="1F497D"/>
            <w:noWrap/>
            <w:vAlign w:val="center"/>
            <w:hideMark/>
          </w:tcPr>
          <w:p w14:paraId="3EA9BFD8" w14:textId="77777777" w:rsidR="006E2B8B" w:rsidRPr="003208FA" w:rsidRDefault="006E2B8B" w:rsidP="0057310C">
            <w:pPr>
              <w:spacing w:after="0" w:line="240" w:lineRule="auto"/>
              <w:jc w:val="center"/>
              <w:rPr>
                <w:rFonts w:ascii="Calibri Light" w:hAnsi="Calibri Light" w:cs="Calibri Light"/>
                <w:color w:val="FFFFFF" w:themeColor="background1"/>
                <w:sz w:val="16"/>
                <w:szCs w:val="16"/>
              </w:rPr>
            </w:pPr>
            <w:r w:rsidRPr="003208FA">
              <w:rPr>
                <w:rFonts w:ascii="Calibri Light" w:hAnsi="Calibri Light" w:cs="Calibri Light"/>
                <w:color w:val="FFFFFF" w:themeColor="background1"/>
                <w:sz w:val="16"/>
                <w:szCs w:val="16"/>
              </w:rPr>
              <w:t>2045</w:t>
            </w:r>
          </w:p>
        </w:tc>
        <w:tc>
          <w:tcPr>
            <w:tcW w:w="745" w:type="dxa"/>
            <w:shd w:val="clear" w:color="auto" w:fill="1F497D"/>
            <w:noWrap/>
            <w:vAlign w:val="center"/>
            <w:hideMark/>
          </w:tcPr>
          <w:p w14:paraId="1131A5BA" w14:textId="77777777" w:rsidR="006E2B8B" w:rsidRPr="003208FA" w:rsidRDefault="006E2B8B" w:rsidP="0057310C">
            <w:pPr>
              <w:spacing w:after="0" w:line="240" w:lineRule="auto"/>
              <w:jc w:val="center"/>
              <w:rPr>
                <w:rFonts w:ascii="Calibri Light" w:hAnsi="Calibri Light" w:cs="Calibri Light"/>
                <w:color w:val="FFFFFF" w:themeColor="background1"/>
                <w:sz w:val="16"/>
                <w:szCs w:val="16"/>
              </w:rPr>
            </w:pPr>
            <w:r w:rsidRPr="003208FA">
              <w:rPr>
                <w:rFonts w:ascii="Calibri Light" w:hAnsi="Calibri Light" w:cs="Calibri Light"/>
                <w:color w:val="FFFFFF" w:themeColor="background1"/>
                <w:sz w:val="16"/>
                <w:szCs w:val="16"/>
              </w:rPr>
              <w:t>2050</w:t>
            </w:r>
          </w:p>
        </w:tc>
      </w:tr>
      <w:tr w:rsidR="00367DAA" w:rsidRPr="002A6689" w14:paraId="40A58B4D" w14:textId="77777777" w:rsidTr="00367DAA">
        <w:trPr>
          <w:trHeight w:val="328"/>
        </w:trPr>
        <w:tc>
          <w:tcPr>
            <w:tcW w:w="846" w:type="dxa"/>
            <w:shd w:val="clear" w:color="auto" w:fill="E7E6E6"/>
            <w:noWrap/>
            <w:vAlign w:val="center"/>
            <w:hideMark/>
          </w:tcPr>
          <w:p w14:paraId="409D4FB4" w14:textId="77777777" w:rsidR="00367DAA" w:rsidRPr="002869A2" w:rsidRDefault="00367DAA" w:rsidP="00367DAA">
            <w:pPr>
              <w:spacing w:after="0" w:line="240" w:lineRule="auto"/>
              <w:jc w:val="left"/>
              <w:rPr>
                <w:rFonts w:ascii="Calibri Light" w:hAnsi="Calibri Light" w:cs="Calibri Light"/>
                <w:color w:val="000000" w:themeColor="text1"/>
                <w:sz w:val="16"/>
                <w:szCs w:val="16"/>
              </w:rPr>
            </w:pPr>
            <w:r w:rsidRPr="002869A2">
              <w:rPr>
                <w:rFonts w:ascii="Calibri Light" w:hAnsi="Calibri Light" w:cs="Calibri Light"/>
                <w:color w:val="000000" w:themeColor="text1"/>
                <w:sz w:val="16"/>
                <w:szCs w:val="16"/>
              </w:rPr>
              <w:t>WEM</w:t>
            </w:r>
          </w:p>
        </w:tc>
        <w:tc>
          <w:tcPr>
            <w:tcW w:w="744" w:type="dxa"/>
            <w:vAlign w:val="center"/>
          </w:tcPr>
          <w:p w14:paraId="6E078853" w14:textId="1F31B971"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-28,80%</w:t>
            </w:r>
          </w:p>
        </w:tc>
        <w:tc>
          <w:tcPr>
            <w:tcW w:w="744" w:type="dxa"/>
            <w:noWrap/>
            <w:vAlign w:val="center"/>
            <w:hideMark/>
          </w:tcPr>
          <w:p w14:paraId="3205D37C" w14:textId="19B7B7DE"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-29,97%</w:t>
            </w:r>
          </w:p>
        </w:tc>
        <w:tc>
          <w:tcPr>
            <w:tcW w:w="744" w:type="dxa"/>
            <w:noWrap/>
            <w:vAlign w:val="center"/>
            <w:hideMark/>
          </w:tcPr>
          <w:p w14:paraId="248F154A" w14:textId="2B52D443"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-25,72%</w:t>
            </w:r>
          </w:p>
        </w:tc>
        <w:tc>
          <w:tcPr>
            <w:tcW w:w="744" w:type="dxa"/>
            <w:noWrap/>
            <w:vAlign w:val="center"/>
            <w:hideMark/>
          </w:tcPr>
          <w:p w14:paraId="2030782C" w14:textId="2CE0545F"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-24,69%</w:t>
            </w:r>
          </w:p>
        </w:tc>
        <w:tc>
          <w:tcPr>
            <w:tcW w:w="744" w:type="dxa"/>
            <w:noWrap/>
            <w:vAlign w:val="center"/>
            <w:hideMark/>
          </w:tcPr>
          <w:p w14:paraId="7E7F03FA" w14:textId="7B0B7206"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-23,46%</w:t>
            </w:r>
          </w:p>
        </w:tc>
        <w:tc>
          <w:tcPr>
            <w:tcW w:w="745" w:type="dxa"/>
            <w:noWrap/>
            <w:vAlign w:val="center"/>
            <w:hideMark/>
          </w:tcPr>
          <w:p w14:paraId="69C87F69" w14:textId="1DD14193"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-22,27%</w:t>
            </w:r>
          </w:p>
        </w:tc>
        <w:tc>
          <w:tcPr>
            <w:tcW w:w="744" w:type="dxa"/>
            <w:noWrap/>
            <w:vAlign w:val="center"/>
            <w:hideMark/>
          </w:tcPr>
          <w:p w14:paraId="4BCCC712" w14:textId="04100BA6"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-20,93%</w:t>
            </w:r>
          </w:p>
        </w:tc>
        <w:tc>
          <w:tcPr>
            <w:tcW w:w="744" w:type="dxa"/>
            <w:noWrap/>
            <w:vAlign w:val="center"/>
            <w:hideMark/>
          </w:tcPr>
          <w:p w14:paraId="09FDD4E9" w14:textId="485DDFB5"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-19,37%</w:t>
            </w:r>
          </w:p>
        </w:tc>
        <w:tc>
          <w:tcPr>
            <w:tcW w:w="744" w:type="dxa"/>
            <w:noWrap/>
            <w:vAlign w:val="center"/>
            <w:hideMark/>
          </w:tcPr>
          <w:p w14:paraId="69DD9A2D" w14:textId="6A858767"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-14,01%</w:t>
            </w:r>
          </w:p>
        </w:tc>
        <w:tc>
          <w:tcPr>
            <w:tcW w:w="744" w:type="dxa"/>
            <w:noWrap/>
            <w:vAlign w:val="center"/>
            <w:hideMark/>
          </w:tcPr>
          <w:p w14:paraId="75709EA4" w14:textId="1A8F58CD"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-8,77%</w:t>
            </w:r>
          </w:p>
        </w:tc>
        <w:tc>
          <w:tcPr>
            <w:tcW w:w="744" w:type="dxa"/>
            <w:noWrap/>
            <w:vAlign w:val="center"/>
            <w:hideMark/>
          </w:tcPr>
          <w:p w14:paraId="7C82E1CD" w14:textId="46680464"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-4,45%</w:t>
            </w:r>
          </w:p>
        </w:tc>
        <w:tc>
          <w:tcPr>
            <w:tcW w:w="745" w:type="dxa"/>
            <w:noWrap/>
            <w:vAlign w:val="center"/>
            <w:hideMark/>
          </w:tcPr>
          <w:p w14:paraId="441D68CA" w14:textId="2664D058"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-8,91%</w:t>
            </w:r>
          </w:p>
        </w:tc>
      </w:tr>
      <w:tr w:rsidR="00367DAA" w:rsidRPr="002A6689" w14:paraId="72A049A8" w14:textId="77777777" w:rsidTr="000A2AFE">
        <w:trPr>
          <w:trHeight w:val="328"/>
        </w:trPr>
        <w:tc>
          <w:tcPr>
            <w:tcW w:w="846" w:type="dxa"/>
            <w:shd w:val="clear" w:color="auto" w:fill="E7E6E6"/>
            <w:noWrap/>
            <w:vAlign w:val="center"/>
            <w:hideMark/>
          </w:tcPr>
          <w:p w14:paraId="269D6562" w14:textId="5C3DCD35" w:rsidR="00367DAA" w:rsidRPr="002869A2" w:rsidRDefault="00367DAA" w:rsidP="00367DAA">
            <w:pPr>
              <w:spacing w:after="0" w:line="240" w:lineRule="auto"/>
              <w:jc w:val="left"/>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Сценарио-S</w:t>
            </w:r>
          </w:p>
        </w:tc>
        <w:tc>
          <w:tcPr>
            <w:tcW w:w="744" w:type="dxa"/>
            <w:vAlign w:val="center"/>
          </w:tcPr>
          <w:p w14:paraId="7F4736FE" w14:textId="114D074B"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-28,80%</w:t>
            </w:r>
          </w:p>
        </w:tc>
        <w:tc>
          <w:tcPr>
            <w:tcW w:w="744" w:type="dxa"/>
            <w:noWrap/>
            <w:vAlign w:val="center"/>
            <w:hideMark/>
          </w:tcPr>
          <w:p w14:paraId="6A1598AB" w14:textId="2BC189A8"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-29,88%</w:t>
            </w:r>
          </w:p>
        </w:tc>
        <w:tc>
          <w:tcPr>
            <w:tcW w:w="744" w:type="dxa"/>
            <w:noWrap/>
            <w:vAlign w:val="center"/>
            <w:hideMark/>
          </w:tcPr>
          <w:p w14:paraId="598ED5A0" w14:textId="1185F57B"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-30,73%</w:t>
            </w:r>
          </w:p>
        </w:tc>
        <w:tc>
          <w:tcPr>
            <w:tcW w:w="744" w:type="dxa"/>
            <w:noWrap/>
            <w:vAlign w:val="center"/>
            <w:hideMark/>
          </w:tcPr>
          <w:p w14:paraId="57A63E7B" w14:textId="068578B1"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-31,98%</w:t>
            </w:r>
          </w:p>
        </w:tc>
        <w:tc>
          <w:tcPr>
            <w:tcW w:w="744" w:type="dxa"/>
            <w:noWrap/>
            <w:vAlign w:val="center"/>
            <w:hideMark/>
          </w:tcPr>
          <w:p w14:paraId="1FB7C8FB" w14:textId="7C9101F6"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-32,46%</w:t>
            </w:r>
          </w:p>
        </w:tc>
        <w:tc>
          <w:tcPr>
            <w:tcW w:w="745" w:type="dxa"/>
            <w:noWrap/>
            <w:vAlign w:val="center"/>
            <w:hideMark/>
          </w:tcPr>
          <w:p w14:paraId="68A605EB" w14:textId="7AED2414"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-33,74%</w:t>
            </w:r>
          </w:p>
        </w:tc>
        <w:tc>
          <w:tcPr>
            <w:tcW w:w="744" w:type="dxa"/>
            <w:noWrap/>
            <w:vAlign w:val="center"/>
            <w:hideMark/>
          </w:tcPr>
          <w:p w14:paraId="443E062D" w14:textId="44820946"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-35,98%</w:t>
            </w:r>
          </w:p>
        </w:tc>
        <w:tc>
          <w:tcPr>
            <w:tcW w:w="744" w:type="dxa"/>
            <w:noWrap/>
            <w:vAlign w:val="center"/>
            <w:hideMark/>
          </w:tcPr>
          <w:p w14:paraId="1A7FC537" w14:textId="6A6ADE0C"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-40,36%</w:t>
            </w:r>
          </w:p>
        </w:tc>
        <w:tc>
          <w:tcPr>
            <w:tcW w:w="744" w:type="dxa"/>
            <w:noWrap/>
            <w:vAlign w:val="center"/>
            <w:hideMark/>
          </w:tcPr>
          <w:p w14:paraId="32BD92CB" w14:textId="3600A259"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-47,63%</w:t>
            </w:r>
          </w:p>
        </w:tc>
        <w:tc>
          <w:tcPr>
            <w:tcW w:w="744" w:type="dxa"/>
            <w:noWrap/>
            <w:vAlign w:val="center"/>
            <w:hideMark/>
          </w:tcPr>
          <w:p w14:paraId="2DB537FC" w14:textId="14347B9F"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-54,93%</w:t>
            </w:r>
          </w:p>
        </w:tc>
        <w:tc>
          <w:tcPr>
            <w:tcW w:w="744" w:type="dxa"/>
            <w:noWrap/>
            <w:vAlign w:val="center"/>
            <w:hideMark/>
          </w:tcPr>
          <w:p w14:paraId="1C3187E7" w14:textId="483FA79A"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-63,99%</w:t>
            </w:r>
          </w:p>
        </w:tc>
        <w:tc>
          <w:tcPr>
            <w:tcW w:w="745" w:type="dxa"/>
            <w:noWrap/>
            <w:vAlign w:val="center"/>
            <w:hideMark/>
          </w:tcPr>
          <w:p w14:paraId="33377C17" w14:textId="1F1B1824"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-73,37%</w:t>
            </w:r>
          </w:p>
        </w:tc>
      </w:tr>
      <w:tr w:rsidR="00367DAA" w:rsidRPr="002A6689" w14:paraId="2D180FCB" w14:textId="77777777" w:rsidTr="000A2AFE">
        <w:trPr>
          <w:trHeight w:val="328"/>
        </w:trPr>
        <w:tc>
          <w:tcPr>
            <w:tcW w:w="846" w:type="dxa"/>
            <w:shd w:val="clear" w:color="auto" w:fill="E7E6E6"/>
            <w:noWrap/>
            <w:vAlign w:val="center"/>
            <w:hideMark/>
          </w:tcPr>
          <w:p w14:paraId="0A36A0EE" w14:textId="08965346" w:rsidR="00367DAA" w:rsidRPr="002869A2" w:rsidRDefault="00367DAA" w:rsidP="00367DAA">
            <w:pPr>
              <w:spacing w:after="0" w:line="240" w:lineRule="auto"/>
              <w:jc w:val="left"/>
              <w:rPr>
                <w:rFonts w:ascii="Calibri Light" w:hAnsi="Calibri Light" w:cs="Calibri Light"/>
                <w:color w:val="000000" w:themeColor="text1"/>
                <w:sz w:val="16"/>
                <w:szCs w:val="16"/>
              </w:rPr>
            </w:pPr>
            <w:r w:rsidRPr="003208FA">
              <w:rPr>
                <w:rFonts w:ascii="Calibri Light" w:hAnsi="Calibri Light" w:cs="Calibri Light"/>
                <w:color w:val="000000" w:themeColor="text1"/>
                <w:sz w:val="16"/>
                <w:szCs w:val="16"/>
              </w:rPr>
              <w:t>Сценарио-S-N</w:t>
            </w:r>
          </w:p>
        </w:tc>
        <w:tc>
          <w:tcPr>
            <w:tcW w:w="744" w:type="dxa"/>
            <w:vAlign w:val="center"/>
          </w:tcPr>
          <w:p w14:paraId="6CC87757" w14:textId="76A1597A"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-28,80%</w:t>
            </w:r>
          </w:p>
        </w:tc>
        <w:tc>
          <w:tcPr>
            <w:tcW w:w="744" w:type="dxa"/>
            <w:noWrap/>
            <w:vAlign w:val="center"/>
            <w:hideMark/>
          </w:tcPr>
          <w:p w14:paraId="61973D3D" w14:textId="43E57730"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-29,88%</w:t>
            </w:r>
          </w:p>
        </w:tc>
        <w:tc>
          <w:tcPr>
            <w:tcW w:w="744" w:type="dxa"/>
            <w:noWrap/>
            <w:vAlign w:val="center"/>
            <w:hideMark/>
          </w:tcPr>
          <w:p w14:paraId="02153816" w14:textId="69D09CF1"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-30,73%</w:t>
            </w:r>
          </w:p>
        </w:tc>
        <w:tc>
          <w:tcPr>
            <w:tcW w:w="744" w:type="dxa"/>
            <w:noWrap/>
            <w:vAlign w:val="center"/>
            <w:hideMark/>
          </w:tcPr>
          <w:p w14:paraId="03155F31" w14:textId="3D635B0B"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-31,98%</w:t>
            </w:r>
          </w:p>
        </w:tc>
        <w:tc>
          <w:tcPr>
            <w:tcW w:w="744" w:type="dxa"/>
            <w:noWrap/>
            <w:vAlign w:val="center"/>
            <w:hideMark/>
          </w:tcPr>
          <w:p w14:paraId="65F17AF2" w14:textId="06DBC32C"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-32,46%</w:t>
            </w:r>
          </w:p>
        </w:tc>
        <w:tc>
          <w:tcPr>
            <w:tcW w:w="745" w:type="dxa"/>
            <w:noWrap/>
            <w:vAlign w:val="center"/>
            <w:hideMark/>
          </w:tcPr>
          <w:p w14:paraId="7C0683D3" w14:textId="6EA8C4CF"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-33,74%</w:t>
            </w:r>
          </w:p>
        </w:tc>
        <w:tc>
          <w:tcPr>
            <w:tcW w:w="744" w:type="dxa"/>
            <w:noWrap/>
            <w:vAlign w:val="center"/>
            <w:hideMark/>
          </w:tcPr>
          <w:p w14:paraId="20FC401F" w14:textId="39B7BA0C"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-35,98%</w:t>
            </w:r>
          </w:p>
        </w:tc>
        <w:tc>
          <w:tcPr>
            <w:tcW w:w="744" w:type="dxa"/>
            <w:noWrap/>
            <w:vAlign w:val="center"/>
            <w:hideMark/>
          </w:tcPr>
          <w:p w14:paraId="0834B284" w14:textId="541FD66B"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-40,36%</w:t>
            </w:r>
          </w:p>
        </w:tc>
        <w:tc>
          <w:tcPr>
            <w:tcW w:w="744" w:type="dxa"/>
            <w:noWrap/>
            <w:vAlign w:val="center"/>
            <w:hideMark/>
          </w:tcPr>
          <w:p w14:paraId="68B12FD7" w14:textId="7876BD88"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-47,63%</w:t>
            </w:r>
          </w:p>
        </w:tc>
        <w:tc>
          <w:tcPr>
            <w:tcW w:w="744" w:type="dxa"/>
            <w:noWrap/>
            <w:vAlign w:val="center"/>
            <w:hideMark/>
          </w:tcPr>
          <w:p w14:paraId="70854CA7" w14:textId="2D792851"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-54,93%</w:t>
            </w:r>
          </w:p>
        </w:tc>
        <w:tc>
          <w:tcPr>
            <w:tcW w:w="744" w:type="dxa"/>
            <w:noWrap/>
            <w:vAlign w:val="center"/>
            <w:hideMark/>
          </w:tcPr>
          <w:p w14:paraId="44DAA50B" w14:textId="27615360"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-68,41%</w:t>
            </w:r>
          </w:p>
        </w:tc>
        <w:tc>
          <w:tcPr>
            <w:tcW w:w="745" w:type="dxa"/>
            <w:noWrap/>
            <w:vAlign w:val="center"/>
            <w:hideMark/>
          </w:tcPr>
          <w:p w14:paraId="12FA72F0" w14:textId="3194F5EE" w:rsidR="00367DAA" w:rsidRPr="00367DAA" w:rsidRDefault="00367DAA" w:rsidP="00367DAA">
            <w:pPr>
              <w:spacing w:after="0" w:line="240" w:lineRule="auto"/>
              <w:jc w:val="center"/>
              <w:rPr>
                <w:rFonts w:ascii="Calibri Light" w:hAnsi="Calibri Light" w:cs="Calibri Light"/>
                <w:color w:val="000000" w:themeColor="text1"/>
                <w:sz w:val="16"/>
                <w:szCs w:val="16"/>
              </w:rPr>
            </w:pPr>
            <w:r w:rsidRPr="000A2AFE">
              <w:rPr>
                <w:rFonts w:ascii="Calibri Light" w:hAnsi="Calibri Light" w:cs="Calibri Light"/>
                <w:color w:val="000000" w:themeColor="text1"/>
                <w:sz w:val="16"/>
                <w:szCs w:val="16"/>
              </w:rPr>
              <w:t>-75,35%</w:t>
            </w:r>
          </w:p>
        </w:tc>
      </w:tr>
    </w:tbl>
    <w:p w14:paraId="58753C47" w14:textId="73316DC5" w:rsidR="00873C40" w:rsidRDefault="00873C40" w:rsidP="00565B02">
      <w:pPr>
        <w:pStyle w:val="Caption"/>
        <w:keepNext/>
        <w:spacing w:before="200"/>
      </w:pPr>
      <w:bookmarkStart w:id="539" w:name="_Toc153901511"/>
      <w:r>
        <w:t xml:space="preserve">Табела </w:t>
      </w:r>
      <w:r>
        <w:fldChar w:fldCharType="begin"/>
      </w:r>
      <w:r>
        <w:instrText xml:space="preserve"> STYLEREF 1 \s </w:instrText>
      </w:r>
      <w:r>
        <w:fldChar w:fldCharType="separate"/>
      </w:r>
      <w:r>
        <w:rPr>
          <w:noProof/>
        </w:rPr>
        <w:t>V</w:t>
      </w:r>
      <w:r>
        <w:fldChar w:fldCharType="end"/>
      </w:r>
      <w:r>
        <w:t>.</w:t>
      </w:r>
      <w:r>
        <w:fldChar w:fldCharType="begin"/>
      </w:r>
      <w:r>
        <w:instrText xml:space="preserve"> SEQ Табела \* ARABIC \s 1 </w:instrText>
      </w:r>
      <w:r>
        <w:fldChar w:fldCharType="separate"/>
      </w:r>
      <w:r>
        <w:rPr>
          <w:noProof/>
        </w:rPr>
        <w:t>16</w:t>
      </w:r>
      <w:r>
        <w:fldChar w:fldCharType="end"/>
      </w:r>
      <w:r w:rsidRPr="00873C40">
        <w:t>: Удео ОИЕ у бруто финалној потрошњи енергије [%]</w:t>
      </w:r>
      <w:bookmarkEnd w:id="539"/>
    </w:p>
    <w:tbl>
      <w:tblPr>
        <w:tblStyle w:val="TableGrid"/>
        <w:tblW w:w="9776" w:type="dxa"/>
        <w:tblLayout w:type="fixed"/>
        <w:tblLook w:val="04A0" w:firstRow="1" w:lastRow="0" w:firstColumn="1" w:lastColumn="0" w:noHBand="0" w:noVBand="1"/>
      </w:tblPr>
      <w:tblGrid>
        <w:gridCol w:w="1661"/>
        <w:gridCol w:w="737"/>
        <w:gridCol w:w="738"/>
        <w:gridCol w:w="738"/>
        <w:gridCol w:w="737"/>
        <w:gridCol w:w="738"/>
        <w:gridCol w:w="738"/>
        <w:gridCol w:w="738"/>
        <w:gridCol w:w="737"/>
        <w:gridCol w:w="738"/>
        <w:gridCol w:w="738"/>
        <w:gridCol w:w="738"/>
      </w:tblGrid>
      <w:tr w:rsidR="00E632B4" w:rsidRPr="003B4324" w14:paraId="1D854946" w14:textId="77777777" w:rsidTr="0057310C">
        <w:trPr>
          <w:trHeight w:val="300"/>
        </w:trPr>
        <w:tc>
          <w:tcPr>
            <w:tcW w:w="1661" w:type="dxa"/>
            <w:shd w:val="clear" w:color="auto" w:fill="404040"/>
            <w:noWrap/>
            <w:vAlign w:val="center"/>
            <w:hideMark/>
          </w:tcPr>
          <w:p w14:paraId="616D7A3F" w14:textId="2C2BB016" w:rsidR="00E632B4" w:rsidRPr="004254D2" w:rsidRDefault="00E632B4" w:rsidP="0057310C">
            <w:pPr>
              <w:spacing w:after="0" w:line="240" w:lineRule="auto"/>
              <w:jc w:val="center"/>
              <w:rPr>
                <w:rFonts w:ascii="Calibri Light" w:hAnsi="Calibri Light" w:cs="Calibri Light"/>
                <w:color w:val="000000" w:themeColor="text1"/>
              </w:rPr>
            </w:pPr>
            <w:r>
              <w:rPr>
                <w:rFonts w:ascii="Calibri Light" w:hAnsi="Calibri Light" w:cs="Calibri Light"/>
                <w:color w:val="FFFFFF" w:themeColor="background1"/>
              </w:rPr>
              <w:t>Удео ОИЕ у БФПЕ</w:t>
            </w:r>
            <w:r w:rsidRPr="005666D1">
              <w:rPr>
                <w:rFonts w:ascii="Calibri Light" w:hAnsi="Calibri Light" w:cs="Calibri Light"/>
                <w:color w:val="FFFFFF" w:themeColor="background1"/>
              </w:rPr>
              <w:t xml:space="preserve"> </w:t>
            </w:r>
            <w:r w:rsidRPr="00AE1A39">
              <w:rPr>
                <w:rFonts w:ascii="Calibri Light" w:hAnsi="Calibri Light" w:cs="Calibri Light"/>
                <w:color w:val="FFFFFF" w:themeColor="background1"/>
              </w:rPr>
              <w:t>[%]</w:t>
            </w:r>
          </w:p>
        </w:tc>
        <w:tc>
          <w:tcPr>
            <w:tcW w:w="737" w:type="dxa"/>
            <w:shd w:val="clear" w:color="auto" w:fill="1F497D"/>
            <w:noWrap/>
            <w:vAlign w:val="center"/>
            <w:hideMark/>
          </w:tcPr>
          <w:p w14:paraId="3FF7BD8B"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2020</w:t>
            </w:r>
          </w:p>
        </w:tc>
        <w:tc>
          <w:tcPr>
            <w:tcW w:w="738" w:type="dxa"/>
            <w:shd w:val="clear" w:color="auto" w:fill="1F497D"/>
            <w:noWrap/>
            <w:vAlign w:val="center"/>
            <w:hideMark/>
          </w:tcPr>
          <w:p w14:paraId="1E2F649A"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2025</w:t>
            </w:r>
          </w:p>
        </w:tc>
        <w:tc>
          <w:tcPr>
            <w:tcW w:w="738" w:type="dxa"/>
            <w:shd w:val="clear" w:color="auto" w:fill="1F497D"/>
            <w:noWrap/>
            <w:vAlign w:val="center"/>
            <w:hideMark/>
          </w:tcPr>
          <w:p w14:paraId="1B331907"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2026</w:t>
            </w:r>
          </w:p>
        </w:tc>
        <w:tc>
          <w:tcPr>
            <w:tcW w:w="737" w:type="dxa"/>
            <w:shd w:val="clear" w:color="auto" w:fill="1F497D"/>
            <w:noWrap/>
            <w:vAlign w:val="center"/>
            <w:hideMark/>
          </w:tcPr>
          <w:p w14:paraId="1253D40C"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2027</w:t>
            </w:r>
          </w:p>
        </w:tc>
        <w:tc>
          <w:tcPr>
            <w:tcW w:w="738" w:type="dxa"/>
            <w:shd w:val="clear" w:color="auto" w:fill="1F497D"/>
            <w:noWrap/>
            <w:vAlign w:val="center"/>
            <w:hideMark/>
          </w:tcPr>
          <w:p w14:paraId="34FA942C"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2028</w:t>
            </w:r>
          </w:p>
        </w:tc>
        <w:tc>
          <w:tcPr>
            <w:tcW w:w="738" w:type="dxa"/>
            <w:shd w:val="clear" w:color="auto" w:fill="1F497D"/>
            <w:noWrap/>
            <w:vAlign w:val="center"/>
            <w:hideMark/>
          </w:tcPr>
          <w:p w14:paraId="0C131E39"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2029</w:t>
            </w:r>
          </w:p>
        </w:tc>
        <w:tc>
          <w:tcPr>
            <w:tcW w:w="738" w:type="dxa"/>
            <w:shd w:val="clear" w:color="auto" w:fill="1F497D"/>
            <w:noWrap/>
            <w:vAlign w:val="center"/>
            <w:hideMark/>
          </w:tcPr>
          <w:p w14:paraId="547B3A10"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2030</w:t>
            </w:r>
          </w:p>
        </w:tc>
        <w:tc>
          <w:tcPr>
            <w:tcW w:w="737" w:type="dxa"/>
            <w:shd w:val="clear" w:color="auto" w:fill="1F497D"/>
            <w:noWrap/>
            <w:vAlign w:val="center"/>
            <w:hideMark/>
          </w:tcPr>
          <w:p w14:paraId="166F4AFC"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2035</w:t>
            </w:r>
          </w:p>
        </w:tc>
        <w:tc>
          <w:tcPr>
            <w:tcW w:w="738" w:type="dxa"/>
            <w:shd w:val="clear" w:color="auto" w:fill="1F497D"/>
            <w:noWrap/>
            <w:vAlign w:val="center"/>
            <w:hideMark/>
          </w:tcPr>
          <w:p w14:paraId="469C70DA"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2040</w:t>
            </w:r>
          </w:p>
        </w:tc>
        <w:tc>
          <w:tcPr>
            <w:tcW w:w="738" w:type="dxa"/>
            <w:shd w:val="clear" w:color="auto" w:fill="1F497D"/>
            <w:noWrap/>
            <w:vAlign w:val="center"/>
            <w:hideMark/>
          </w:tcPr>
          <w:p w14:paraId="7AA223B9"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2045</w:t>
            </w:r>
          </w:p>
        </w:tc>
        <w:tc>
          <w:tcPr>
            <w:tcW w:w="738" w:type="dxa"/>
            <w:shd w:val="clear" w:color="auto" w:fill="1F497D"/>
            <w:noWrap/>
            <w:vAlign w:val="center"/>
            <w:hideMark/>
          </w:tcPr>
          <w:p w14:paraId="394169D1"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2050</w:t>
            </w:r>
          </w:p>
        </w:tc>
      </w:tr>
      <w:tr w:rsidR="00367DAA" w:rsidRPr="003B4324" w14:paraId="155A5814" w14:textId="77777777" w:rsidTr="000A2AFE">
        <w:trPr>
          <w:trHeight w:val="300"/>
        </w:trPr>
        <w:tc>
          <w:tcPr>
            <w:tcW w:w="1661" w:type="dxa"/>
            <w:shd w:val="clear" w:color="auto" w:fill="E7E6E6"/>
            <w:noWrap/>
            <w:vAlign w:val="center"/>
            <w:hideMark/>
          </w:tcPr>
          <w:p w14:paraId="1D58CDCF" w14:textId="77777777" w:rsidR="00367DAA" w:rsidRPr="004254D2" w:rsidRDefault="00367DAA" w:rsidP="00367DAA">
            <w:pPr>
              <w:spacing w:after="0" w:line="240" w:lineRule="auto"/>
              <w:jc w:val="left"/>
              <w:rPr>
                <w:rFonts w:ascii="Calibri Light" w:hAnsi="Calibri Light" w:cs="Calibri Light"/>
                <w:color w:val="000000" w:themeColor="text1"/>
              </w:rPr>
            </w:pPr>
            <w:r w:rsidRPr="002574F2">
              <w:rPr>
                <w:rFonts w:ascii="Calibri Light" w:hAnsi="Calibri Light" w:cs="Calibri Light"/>
                <w:color w:val="000000" w:themeColor="text1"/>
              </w:rPr>
              <w:t>WEM</w:t>
            </w:r>
          </w:p>
        </w:tc>
        <w:tc>
          <w:tcPr>
            <w:tcW w:w="737" w:type="dxa"/>
            <w:noWrap/>
            <w:vAlign w:val="center"/>
            <w:hideMark/>
          </w:tcPr>
          <w:p w14:paraId="72DC4DB2" w14:textId="59B76E69" w:rsidR="00367DAA" w:rsidRPr="004254D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26,3%</w:t>
            </w:r>
          </w:p>
        </w:tc>
        <w:tc>
          <w:tcPr>
            <w:tcW w:w="738" w:type="dxa"/>
            <w:noWrap/>
            <w:vAlign w:val="center"/>
            <w:hideMark/>
          </w:tcPr>
          <w:p w14:paraId="089D9B28" w14:textId="2699DE6C"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29,4%</w:t>
            </w:r>
          </w:p>
        </w:tc>
        <w:tc>
          <w:tcPr>
            <w:tcW w:w="738" w:type="dxa"/>
            <w:noWrap/>
            <w:vAlign w:val="center"/>
            <w:hideMark/>
          </w:tcPr>
          <w:p w14:paraId="2155F9D1" w14:textId="49A7EB9D"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29,1%</w:t>
            </w:r>
          </w:p>
        </w:tc>
        <w:tc>
          <w:tcPr>
            <w:tcW w:w="737" w:type="dxa"/>
            <w:noWrap/>
            <w:vAlign w:val="center"/>
            <w:hideMark/>
          </w:tcPr>
          <w:p w14:paraId="7A5D87CF" w14:textId="0154B688"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28,7%</w:t>
            </w:r>
          </w:p>
        </w:tc>
        <w:tc>
          <w:tcPr>
            <w:tcW w:w="738" w:type="dxa"/>
            <w:noWrap/>
            <w:vAlign w:val="center"/>
            <w:hideMark/>
          </w:tcPr>
          <w:p w14:paraId="71301BF0" w14:textId="3F9B934F"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28,4%</w:t>
            </w:r>
          </w:p>
        </w:tc>
        <w:tc>
          <w:tcPr>
            <w:tcW w:w="738" w:type="dxa"/>
            <w:noWrap/>
            <w:vAlign w:val="center"/>
            <w:hideMark/>
          </w:tcPr>
          <w:p w14:paraId="5DACBD3F" w14:textId="166CB057"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27,9%</w:t>
            </w:r>
          </w:p>
        </w:tc>
        <w:tc>
          <w:tcPr>
            <w:tcW w:w="738" w:type="dxa"/>
            <w:noWrap/>
            <w:vAlign w:val="center"/>
            <w:hideMark/>
          </w:tcPr>
          <w:p w14:paraId="46E50BDA" w14:textId="7272659F"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27,6%</w:t>
            </w:r>
          </w:p>
        </w:tc>
        <w:tc>
          <w:tcPr>
            <w:tcW w:w="737" w:type="dxa"/>
            <w:noWrap/>
            <w:vAlign w:val="center"/>
            <w:hideMark/>
          </w:tcPr>
          <w:p w14:paraId="5C048E99" w14:textId="17A06800"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26,6%</w:t>
            </w:r>
          </w:p>
        </w:tc>
        <w:tc>
          <w:tcPr>
            <w:tcW w:w="738" w:type="dxa"/>
            <w:noWrap/>
            <w:vAlign w:val="center"/>
            <w:hideMark/>
          </w:tcPr>
          <w:p w14:paraId="35DF6CB5" w14:textId="66074676"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25,2%</w:t>
            </w:r>
          </w:p>
        </w:tc>
        <w:tc>
          <w:tcPr>
            <w:tcW w:w="738" w:type="dxa"/>
            <w:noWrap/>
            <w:vAlign w:val="center"/>
            <w:hideMark/>
          </w:tcPr>
          <w:p w14:paraId="575A2F86" w14:textId="33997AFE"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24,2%</w:t>
            </w:r>
          </w:p>
        </w:tc>
        <w:tc>
          <w:tcPr>
            <w:tcW w:w="738" w:type="dxa"/>
            <w:noWrap/>
            <w:vAlign w:val="center"/>
            <w:hideMark/>
          </w:tcPr>
          <w:p w14:paraId="39DE045E" w14:textId="63F5F52C"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26,8%</w:t>
            </w:r>
          </w:p>
        </w:tc>
      </w:tr>
      <w:tr w:rsidR="00367DAA" w:rsidRPr="003B4324" w14:paraId="6806E3DC" w14:textId="77777777" w:rsidTr="000A2AFE">
        <w:trPr>
          <w:trHeight w:val="300"/>
        </w:trPr>
        <w:tc>
          <w:tcPr>
            <w:tcW w:w="1661" w:type="dxa"/>
            <w:shd w:val="clear" w:color="auto" w:fill="E7E6E6"/>
            <w:noWrap/>
            <w:vAlign w:val="center"/>
            <w:hideMark/>
          </w:tcPr>
          <w:p w14:paraId="45F1A725" w14:textId="3B161C3A" w:rsidR="00367DAA" w:rsidRPr="004254D2" w:rsidRDefault="00367DAA" w:rsidP="00367DAA">
            <w:pPr>
              <w:spacing w:after="0" w:line="240" w:lineRule="auto"/>
              <w:jc w:val="left"/>
              <w:rPr>
                <w:rFonts w:ascii="Calibri Light" w:hAnsi="Calibri Light" w:cs="Calibri Light"/>
                <w:color w:val="000000" w:themeColor="text1"/>
              </w:rPr>
            </w:pPr>
            <w:r w:rsidRPr="000A2AFE">
              <w:rPr>
                <w:rFonts w:ascii="Calibri Light" w:hAnsi="Calibri Light" w:cs="Calibri Light"/>
                <w:color w:val="000000" w:themeColor="text1"/>
              </w:rPr>
              <w:t>Сценарио-S</w:t>
            </w:r>
          </w:p>
        </w:tc>
        <w:tc>
          <w:tcPr>
            <w:tcW w:w="737" w:type="dxa"/>
            <w:noWrap/>
            <w:vAlign w:val="center"/>
            <w:hideMark/>
          </w:tcPr>
          <w:p w14:paraId="62A612E7" w14:textId="31BE91CA" w:rsidR="00367DAA" w:rsidRPr="004254D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26,3%</w:t>
            </w:r>
          </w:p>
        </w:tc>
        <w:tc>
          <w:tcPr>
            <w:tcW w:w="738" w:type="dxa"/>
            <w:noWrap/>
            <w:vAlign w:val="center"/>
            <w:hideMark/>
          </w:tcPr>
          <w:p w14:paraId="1830074E" w14:textId="4E70FF1A"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29,8%</w:t>
            </w:r>
          </w:p>
        </w:tc>
        <w:tc>
          <w:tcPr>
            <w:tcW w:w="738" w:type="dxa"/>
            <w:noWrap/>
            <w:vAlign w:val="center"/>
            <w:hideMark/>
          </w:tcPr>
          <w:p w14:paraId="0594F795" w14:textId="33D535E9"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30,6%</w:t>
            </w:r>
          </w:p>
        </w:tc>
        <w:tc>
          <w:tcPr>
            <w:tcW w:w="737" w:type="dxa"/>
            <w:noWrap/>
            <w:vAlign w:val="center"/>
            <w:hideMark/>
          </w:tcPr>
          <w:p w14:paraId="3EEAC41B" w14:textId="3932EB0C"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31,2%</w:t>
            </w:r>
          </w:p>
        </w:tc>
        <w:tc>
          <w:tcPr>
            <w:tcW w:w="738" w:type="dxa"/>
            <w:noWrap/>
            <w:vAlign w:val="center"/>
            <w:hideMark/>
          </w:tcPr>
          <w:p w14:paraId="4F720365" w14:textId="6E6AEAE4"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31,9%</w:t>
            </w:r>
          </w:p>
        </w:tc>
        <w:tc>
          <w:tcPr>
            <w:tcW w:w="738" w:type="dxa"/>
            <w:noWrap/>
            <w:vAlign w:val="center"/>
            <w:hideMark/>
          </w:tcPr>
          <w:p w14:paraId="63F90D62" w14:textId="30357573"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32,6%</w:t>
            </w:r>
          </w:p>
        </w:tc>
        <w:tc>
          <w:tcPr>
            <w:tcW w:w="738" w:type="dxa"/>
            <w:noWrap/>
            <w:vAlign w:val="center"/>
            <w:hideMark/>
          </w:tcPr>
          <w:p w14:paraId="648364AE" w14:textId="082B2157"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33,6%</w:t>
            </w:r>
          </w:p>
        </w:tc>
        <w:tc>
          <w:tcPr>
            <w:tcW w:w="737" w:type="dxa"/>
            <w:noWrap/>
            <w:vAlign w:val="center"/>
            <w:hideMark/>
          </w:tcPr>
          <w:p w14:paraId="1FBA5F9F" w14:textId="28C245FF"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40,8%</w:t>
            </w:r>
          </w:p>
        </w:tc>
        <w:tc>
          <w:tcPr>
            <w:tcW w:w="738" w:type="dxa"/>
            <w:noWrap/>
            <w:vAlign w:val="center"/>
            <w:hideMark/>
          </w:tcPr>
          <w:p w14:paraId="4BF32CA1" w14:textId="7796AD3C"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45,1%</w:t>
            </w:r>
          </w:p>
        </w:tc>
        <w:tc>
          <w:tcPr>
            <w:tcW w:w="738" w:type="dxa"/>
            <w:noWrap/>
            <w:vAlign w:val="center"/>
            <w:hideMark/>
          </w:tcPr>
          <w:p w14:paraId="4B03FC79" w14:textId="68B1502E"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52,5%</w:t>
            </w:r>
          </w:p>
        </w:tc>
        <w:tc>
          <w:tcPr>
            <w:tcW w:w="738" w:type="dxa"/>
            <w:noWrap/>
            <w:vAlign w:val="center"/>
            <w:hideMark/>
          </w:tcPr>
          <w:p w14:paraId="72F97B94" w14:textId="2E4200EF"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61,8%</w:t>
            </w:r>
          </w:p>
        </w:tc>
      </w:tr>
      <w:tr w:rsidR="00367DAA" w:rsidRPr="003B4324" w14:paraId="72BC0F74" w14:textId="77777777" w:rsidTr="000A2AFE">
        <w:trPr>
          <w:trHeight w:val="300"/>
        </w:trPr>
        <w:tc>
          <w:tcPr>
            <w:tcW w:w="1661" w:type="dxa"/>
            <w:shd w:val="clear" w:color="auto" w:fill="E7E6E6"/>
            <w:noWrap/>
            <w:vAlign w:val="center"/>
            <w:hideMark/>
          </w:tcPr>
          <w:p w14:paraId="6B605BF1" w14:textId="3F55FC84" w:rsidR="00367DAA" w:rsidRPr="004254D2" w:rsidRDefault="00367DAA" w:rsidP="00367DAA">
            <w:pPr>
              <w:spacing w:after="0" w:line="240" w:lineRule="auto"/>
              <w:jc w:val="left"/>
              <w:rPr>
                <w:rFonts w:ascii="Calibri Light" w:hAnsi="Calibri Light" w:cs="Calibri Light"/>
                <w:color w:val="000000" w:themeColor="text1"/>
              </w:rPr>
            </w:pPr>
            <w:r w:rsidRPr="000A2AFE">
              <w:rPr>
                <w:rFonts w:ascii="Calibri Light" w:hAnsi="Calibri Light" w:cs="Calibri Light"/>
                <w:color w:val="000000" w:themeColor="text1"/>
              </w:rPr>
              <w:t>Сценарио-S-N</w:t>
            </w:r>
          </w:p>
        </w:tc>
        <w:tc>
          <w:tcPr>
            <w:tcW w:w="737" w:type="dxa"/>
            <w:noWrap/>
            <w:vAlign w:val="center"/>
            <w:hideMark/>
          </w:tcPr>
          <w:p w14:paraId="6AB41167" w14:textId="3FB71AE1" w:rsidR="00367DAA" w:rsidRPr="004254D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26,3%</w:t>
            </w:r>
          </w:p>
        </w:tc>
        <w:tc>
          <w:tcPr>
            <w:tcW w:w="738" w:type="dxa"/>
            <w:noWrap/>
            <w:vAlign w:val="center"/>
            <w:hideMark/>
          </w:tcPr>
          <w:p w14:paraId="190C8924" w14:textId="0074CBD6"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29,8%</w:t>
            </w:r>
          </w:p>
        </w:tc>
        <w:tc>
          <w:tcPr>
            <w:tcW w:w="738" w:type="dxa"/>
            <w:noWrap/>
            <w:vAlign w:val="center"/>
            <w:hideMark/>
          </w:tcPr>
          <w:p w14:paraId="10F5F310" w14:textId="2B319E1F"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30,6%</w:t>
            </w:r>
          </w:p>
        </w:tc>
        <w:tc>
          <w:tcPr>
            <w:tcW w:w="737" w:type="dxa"/>
            <w:noWrap/>
            <w:vAlign w:val="center"/>
            <w:hideMark/>
          </w:tcPr>
          <w:p w14:paraId="467A5D24" w14:textId="73759F7E"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31,2%</w:t>
            </w:r>
          </w:p>
        </w:tc>
        <w:tc>
          <w:tcPr>
            <w:tcW w:w="738" w:type="dxa"/>
            <w:noWrap/>
            <w:vAlign w:val="center"/>
            <w:hideMark/>
          </w:tcPr>
          <w:p w14:paraId="5F540DFC" w14:textId="510D9F7A"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31,9%</w:t>
            </w:r>
          </w:p>
        </w:tc>
        <w:tc>
          <w:tcPr>
            <w:tcW w:w="738" w:type="dxa"/>
            <w:noWrap/>
            <w:vAlign w:val="center"/>
            <w:hideMark/>
          </w:tcPr>
          <w:p w14:paraId="36A96992" w14:textId="699146E7"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32,6%</w:t>
            </w:r>
          </w:p>
        </w:tc>
        <w:tc>
          <w:tcPr>
            <w:tcW w:w="738" w:type="dxa"/>
            <w:noWrap/>
            <w:vAlign w:val="center"/>
            <w:hideMark/>
          </w:tcPr>
          <w:p w14:paraId="1C43C488" w14:textId="655A0EF0"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33,6%</w:t>
            </w:r>
          </w:p>
        </w:tc>
        <w:tc>
          <w:tcPr>
            <w:tcW w:w="737" w:type="dxa"/>
            <w:noWrap/>
            <w:vAlign w:val="center"/>
            <w:hideMark/>
          </w:tcPr>
          <w:p w14:paraId="6ED75B9D" w14:textId="41A3521F"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40,8%</w:t>
            </w:r>
          </w:p>
        </w:tc>
        <w:tc>
          <w:tcPr>
            <w:tcW w:w="738" w:type="dxa"/>
            <w:noWrap/>
            <w:vAlign w:val="center"/>
            <w:hideMark/>
          </w:tcPr>
          <w:p w14:paraId="56E27771" w14:textId="5558AD1D"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45,3%</w:t>
            </w:r>
          </w:p>
        </w:tc>
        <w:tc>
          <w:tcPr>
            <w:tcW w:w="738" w:type="dxa"/>
            <w:noWrap/>
            <w:vAlign w:val="center"/>
            <w:hideMark/>
          </w:tcPr>
          <w:p w14:paraId="490D08FC" w14:textId="0E2750A2"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51,6%</w:t>
            </w:r>
          </w:p>
        </w:tc>
        <w:tc>
          <w:tcPr>
            <w:tcW w:w="738" w:type="dxa"/>
            <w:noWrap/>
            <w:vAlign w:val="center"/>
            <w:hideMark/>
          </w:tcPr>
          <w:p w14:paraId="141E8AB5" w14:textId="477B0B39"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59,5%</w:t>
            </w:r>
          </w:p>
        </w:tc>
      </w:tr>
    </w:tbl>
    <w:p w14:paraId="54248233" w14:textId="47C402C9" w:rsidR="00873C40" w:rsidRDefault="00873C40" w:rsidP="00565B02">
      <w:pPr>
        <w:pStyle w:val="Caption"/>
        <w:keepNext/>
        <w:spacing w:before="200"/>
      </w:pPr>
      <w:bookmarkStart w:id="540" w:name="_Toc153901512"/>
      <w:r>
        <w:t xml:space="preserve">Табела </w:t>
      </w:r>
      <w:r>
        <w:fldChar w:fldCharType="begin"/>
      </w:r>
      <w:r>
        <w:instrText xml:space="preserve"> STYLEREF 1 \s </w:instrText>
      </w:r>
      <w:r>
        <w:fldChar w:fldCharType="separate"/>
      </w:r>
      <w:r>
        <w:rPr>
          <w:noProof/>
        </w:rPr>
        <w:t>V</w:t>
      </w:r>
      <w:r>
        <w:fldChar w:fldCharType="end"/>
      </w:r>
      <w:r>
        <w:t>.</w:t>
      </w:r>
      <w:r>
        <w:fldChar w:fldCharType="begin"/>
      </w:r>
      <w:r>
        <w:instrText xml:space="preserve"> SEQ Табела \* ARABIC \s 1 </w:instrText>
      </w:r>
      <w:r>
        <w:fldChar w:fldCharType="separate"/>
      </w:r>
      <w:r>
        <w:rPr>
          <w:noProof/>
        </w:rPr>
        <w:t>17</w:t>
      </w:r>
      <w:r>
        <w:fldChar w:fldCharType="end"/>
      </w:r>
      <w:r w:rsidRPr="00873C40">
        <w:t>: Удео ОИЕ у производњи електричне енергије [%]</w:t>
      </w:r>
      <w:bookmarkEnd w:id="540"/>
    </w:p>
    <w:tbl>
      <w:tblPr>
        <w:tblStyle w:val="TableGrid"/>
        <w:tblW w:w="9776" w:type="dxa"/>
        <w:tblLayout w:type="fixed"/>
        <w:tblLook w:val="04A0" w:firstRow="1" w:lastRow="0" w:firstColumn="1" w:lastColumn="0" w:noHBand="0" w:noVBand="1"/>
      </w:tblPr>
      <w:tblGrid>
        <w:gridCol w:w="1661"/>
        <w:gridCol w:w="737"/>
        <w:gridCol w:w="738"/>
        <w:gridCol w:w="738"/>
        <w:gridCol w:w="737"/>
        <w:gridCol w:w="738"/>
        <w:gridCol w:w="738"/>
        <w:gridCol w:w="738"/>
        <w:gridCol w:w="737"/>
        <w:gridCol w:w="738"/>
        <w:gridCol w:w="738"/>
        <w:gridCol w:w="738"/>
      </w:tblGrid>
      <w:tr w:rsidR="00E632B4" w:rsidRPr="003B4324" w14:paraId="0771461C" w14:textId="77777777" w:rsidTr="0057310C">
        <w:trPr>
          <w:trHeight w:val="300"/>
        </w:trPr>
        <w:tc>
          <w:tcPr>
            <w:tcW w:w="1661" w:type="dxa"/>
            <w:shd w:val="clear" w:color="auto" w:fill="404040"/>
            <w:noWrap/>
            <w:vAlign w:val="center"/>
            <w:hideMark/>
          </w:tcPr>
          <w:p w14:paraId="11BE6CEF" w14:textId="0E1FD21A" w:rsidR="00E632B4" w:rsidRPr="004254D2" w:rsidRDefault="00490F49" w:rsidP="0057310C">
            <w:pPr>
              <w:spacing w:after="0" w:line="240" w:lineRule="auto"/>
              <w:jc w:val="center"/>
              <w:rPr>
                <w:rFonts w:ascii="Calibri Light" w:hAnsi="Calibri Light" w:cs="Calibri Light"/>
                <w:color w:val="000000" w:themeColor="text1"/>
              </w:rPr>
            </w:pPr>
            <w:r w:rsidRPr="00490F49">
              <w:rPr>
                <w:rFonts w:ascii="Calibri Light" w:hAnsi="Calibri Light" w:cs="Calibri Light"/>
                <w:color w:val="FFFFFF" w:themeColor="background1"/>
              </w:rPr>
              <w:t xml:space="preserve">Удео ОИЕ у производњи електричне енергије </w:t>
            </w:r>
            <w:r w:rsidR="00E632B4" w:rsidRPr="00AE1A39">
              <w:rPr>
                <w:rFonts w:ascii="Calibri Light" w:hAnsi="Calibri Light" w:cs="Calibri Light"/>
                <w:color w:val="FFFFFF" w:themeColor="background1"/>
              </w:rPr>
              <w:t>[%]</w:t>
            </w:r>
          </w:p>
        </w:tc>
        <w:tc>
          <w:tcPr>
            <w:tcW w:w="737" w:type="dxa"/>
            <w:shd w:val="clear" w:color="auto" w:fill="1F497D"/>
            <w:noWrap/>
            <w:vAlign w:val="center"/>
            <w:hideMark/>
          </w:tcPr>
          <w:p w14:paraId="5165C4B8"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2020</w:t>
            </w:r>
          </w:p>
        </w:tc>
        <w:tc>
          <w:tcPr>
            <w:tcW w:w="738" w:type="dxa"/>
            <w:shd w:val="clear" w:color="auto" w:fill="1F497D"/>
            <w:noWrap/>
            <w:vAlign w:val="center"/>
            <w:hideMark/>
          </w:tcPr>
          <w:p w14:paraId="4838B404"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2025</w:t>
            </w:r>
          </w:p>
        </w:tc>
        <w:tc>
          <w:tcPr>
            <w:tcW w:w="738" w:type="dxa"/>
            <w:shd w:val="clear" w:color="auto" w:fill="1F497D"/>
            <w:noWrap/>
            <w:vAlign w:val="center"/>
            <w:hideMark/>
          </w:tcPr>
          <w:p w14:paraId="425EC9E1"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2026</w:t>
            </w:r>
          </w:p>
        </w:tc>
        <w:tc>
          <w:tcPr>
            <w:tcW w:w="737" w:type="dxa"/>
            <w:shd w:val="clear" w:color="auto" w:fill="1F497D"/>
            <w:noWrap/>
            <w:vAlign w:val="center"/>
            <w:hideMark/>
          </w:tcPr>
          <w:p w14:paraId="4973A111"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2027</w:t>
            </w:r>
          </w:p>
        </w:tc>
        <w:tc>
          <w:tcPr>
            <w:tcW w:w="738" w:type="dxa"/>
            <w:shd w:val="clear" w:color="auto" w:fill="1F497D"/>
            <w:noWrap/>
            <w:vAlign w:val="center"/>
            <w:hideMark/>
          </w:tcPr>
          <w:p w14:paraId="73F6EB54"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2028</w:t>
            </w:r>
          </w:p>
        </w:tc>
        <w:tc>
          <w:tcPr>
            <w:tcW w:w="738" w:type="dxa"/>
            <w:shd w:val="clear" w:color="auto" w:fill="1F497D"/>
            <w:noWrap/>
            <w:vAlign w:val="center"/>
            <w:hideMark/>
          </w:tcPr>
          <w:p w14:paraId="62AEF3C5"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2029</w:t>
            </w:r>
          </w:p>
        </w:tc>
        <w:tc>
          <w:tcPr>
            <w:tcW w:w="738" w:type="dxa"/>
            <w:shd w:val="clear" w:color="auto" w:fill="1F497D"/>
            <w:noWrap/>
            <w:vAlign w:val="center"/>
            <w:hideMark/>
          </w:tcPr>
          <w:p w14:paraId="6CCAA8F3"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2030</w:t>
            </w:r>
          </w:p>
        </w:tc>
        <w:tc>
          <w:tcPr>
            <w:tcW w:w="737" w:type="dxa"/>
            <w:shd w:val="clear" w:color="auto" w:fill="1F497D"/>
            <w:noWrap/>
            <w:vAlign w:val="center"/>
            <w:hideMark/>
          </w:tcPr>
          <w:p w14:paraId="35C0710F"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2035</w:t>
            </w:r>
          </w:p>
        </w:tc>
        <w:tc>
          <w:tcPr>
            <w:tcW w:w="738" w:type="dxa"/>
            <w:shd w:val="clear" w:color="auto" w:fill="1F497D"/>
            <w:noWrap/>
            <w:vAlign w:val="center"/>
            <w:hideMark/>
          </w:tcPr>
          <w:p w14:paraId="32BE0CD0"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2040</w:t>
            </w:r>
          </w:p>
        </w:tc>
        <w:tc>
          <w:tcPr>
            <w:tcW w:w="738" w:type="dxa"/>
            <w:shd w:val="clear" w:color="auto" w:fill="1F497D"/>
            <w:noWrap/>
            <w:vAlign w:val="center"/>
            <w:hideMark/>
          </w:tcPr>
          <w:p w14:paraId="3FFE6287"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2045</w:t>
            </w:r>
          </w:p>
        </w:tc>
        <w:tc>
          <w:tcPr>
            <w:tcW w:w="738" w:type="dxa"/>
            <w:shd w:val="clear" w:color="auto" w:fill="1F497D"/>
            <w:noWrap/>
            <w:vAlign w:val="center"/>
            <w:hideMark/>
          </w:tcPr>
          <w:p w14:paraId="1D169C27"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2050</w:t>
            </w:r>
          </w:p>
        </w:tc>
      </w:tr>
      <w:tr w:rsidR="00367DAA" w:rsidRPr="003B4324" w14:paraId="76FB1C62" w14:textId="77777777" w:rsidTr="000A2AFE">
        <w:trPr>
          <w:trHeight w:val="300"/>
        </w:trPr>
        <w:tc>
          <w:tcPr>
            <w:tcW w:w="1661" w:type="dxa"/>
            <w:shd w:val="clear" w:color="auto" w:fill="E7E6E6"/>
            <w:noWrap/>
            <w:vAlign w:val="center"/>
            <w:hideMark/>
          </w:tcPr>
          <w:p w14:paraId="1F9B4DA8" w14:textId="60101703" w:rsidR="00367DAA" w:rsidRPr="004254D2" w:rsidRDefault="00367DAA" w:rsidP="00367DAA">
            <w:pPr>
              <w:spacing w:after="0" w:line="240" w:lineRule="auto"/>
              <w:jc w:val="left"/>
              <w:rPr>
                <w:rFonts w:ascii="Calibri Light" w:hAnsi="Calibri Light" w:cs="Calibri Light"/>
                <w:color w:val="000000" w:themeColor="text1"/>
              </w:rPr>
            </w:pPr>
            <w:r w:rsidRPr="002574F2">
              <w:rPr>
                <w:rFonts w:ascii="Calibri Light" w:hAnsi="Calibri Light" w:cs="Calibri Light"/>
                <w:color w:val="000000" w:themeColor="text1"/>
              </w:rPr>
              <w:t>WEM</w:t>
            </w:r>
          </w:p>
        </w:tc>
        <w:tc>
          <w:tcPr>
            <w:tcW w:w="737" w:type="dxa"/>
            <w:noWrap/>
            <w:vAlign w:val="center"/>
            <w:hideMark/>
          </w:tcPr>
          <w:p w14:paraId="23FEE353" w14:textId="4C34013E" w:rsidR="00367DAA" w:rsidRPr="004254D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29,0%</w:t>
            </w:r>
          </w:p>
        </w:tc>
        <w:tc>
          <w:tcPr>
            <w:tcW w:w="738" w:type="dxa"/>
            <w:noWrap/>
            <w:vAlign w:val="center"/>
            <w:hideMark/>
          </w:tcPr>
          <w:p w14:paraId="0463B0F6" w14:textId="340F9E75"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30,9%</w:t>
            </w:r>
          </w:p>
        </w:tc>
        <w:tc>
          <w:tcPr>
            <w:tcW w:w="738" w:type="dxa"/>
            <w:noWrap/>
            <w:vAlign w:val="center"/>
            <w:hideMark/>
          </w:tcPr>
          <w:p w14:paraId="7F887D9E" w14:textId="4187816B"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30,5%</w:t>
            </w:r>
          </w:p>
        </w:tc>
        <w:tc>
          <w:tcPr>
            <w:tcW w:w="737" w:type="dxa"/>
            <w:noWrap/>
            <w:vAlign w:val="center"/>
            <w:hideMark/>
          </w:tcPr>
          <w:p w14:paraId="324815B4" w14:textId="7D1B0088"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30,4%</w:t>
            </w:r>
          </w:p>
        </w:tc>
        <w:tc>
          <w:tcPr>
            <w:tcW w:w="738" w:type="dxa"/>
            <w:noWrap/>
            <w:vAlign w:val="center"/>
            <w:hideMark/>
          </w:tcPr>
          <w:p w14:paraId="1275653F" w14:textId="14E8C352"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29,9%</w:t>
            </w:r>
          </w:p>
        </w:tc>
        <w:tc>
          <w:tcPr>
            <w:tcW w:w="738" w:type="dxa"/>
            <w:noWrap/>
            <w:vAlign w:val="center"/>
            <w:hideMark/>
          </w:tcPr>
          <w:p w14:paraId="3CB9E6F9" w14:textId="686E2681"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29,4%</w:t>
            </w:r>
          </w:p>
        </w:tc>
        <w:tc>
          <w:tcPr>
            <w:tcW w:w="738" w:type="dxa"/>
            <w:noWrap/>
            <w:vAlign w:val="center"/>
            <w:hideMark/>
          </w:tcPr>
          <w:p w14:paraId="42DEA411" w14:textId="67C330B9"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29,0%</w:t>
            </w:r>
          </w:p>
        </w:tc>
        <w:tc>
          <w:tcPr>
            <w:tcW w:w="737" w:type="dxa"/>
            <w:noWrap/>
            <w:vAlign w:val="center"/>
            <w:hideMark/>
          </w:tcPr>
          <w:p w14:paraId="7248F032" w14:textId="6579250D"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28,6%</w:t>
            </w:r>
          </w:p>
        </w:tc>
        <w:tc>
          <w:tcPr>
            <w:tcW w:w="738" w:type="dxa"/>
            <w:noWrap/>
            <w:vAlign w:val="center"/>
            <w:hideMark/>
          </w:tcPr>
          <w:p w14:paraId="7333AE10" w14:textId="59FFE60F"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29,9%</w:t>
            </w:r>
          </w:p>
        </w:tc>
        <w:tc>
          <w:tcPr>
            <w:tcW w:w="738" w:type="dxa"/>
            <w:noWrap/>
            <w:vAlign w:val="center"/>
            <w:hideMark/>
          </w:tcPr>
          <w:p w14:paraId="20A99E6A" w14:textId="61566D46"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29,0%</w:t>
            </w:r>
          </w:p>
        </w:tc>
        <w:tc>
          <w:tcPr>
            <w:tcW w:w="738" w:type="dxa"/>
            <w:noWrap/>
            <w:vAlign w:val="center"/>
            <w:hideMark/>
          </w:tcPr>
          <w:p w14:paraId="262F1310" w14:textId="78EA0C10"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38,4%</w:t>
            </w:r>
          </w:p>
        </w:tc>
      </w:tr>
      <w:tr w:rsidR="00367DAA" w:rsidRPr="003B4324" w14:paraId="3946DAD2" w14:textId="77777777" w:rsidTr="000A2AFE">
        <w:trPr>
          <w:trHeight w:val="300"/>
        </w:trPr>
        <w:tc>
          <w:tcPr>
            <w:tcW w:w="1661" w:type="dxa"/>
            <w:shd w:val="clear" w:color="auto" w:fill="E7E6E6"/>
            <w:noWrap/>
            <w:vAlign w:val="center"/>
            <w:hideMark/>
          </w:tcPr>
          <w:p w14:paraId="1A7CD80F" w14:textId="6173C9E7" w:rsidR="00367DAA" w:rsidRPr="004254D2" w:rsidRDefault="00367DAA" w:rsidP="00367DAA">
            <w:pPr>
              <w:spacing w:after="0" w:line="240" w:lineRule="auto"/>
              <w:jc w:val="left"/>
              <w:rPr>
                <w:rFonts w:ascii="Calibri Light" w:hAnsi="Calibri Light" w:cs="Calibri Light"/>
                <w:color w:val="000000" w:themeColor="text1"/>
              </w:rPr>
            </w:pPr>
            <w:r w:rsidRPr="003208FA">
              <w:rPr>
                <w:rFonts w:ascii="Calibri Light" w:hAnsi="Calibri Light" w:cs="Calibri Light"/>
                <w:color w:val="000000" w:themeColor="text1"/>
              </w:rPr>
              <w:t>Сценарио-S</w:t>
            </w:r>
          </w:p>
        </w:tc>
        <w:tc>
          <w:tcPr>
            <w:tcW w:w="737" w:type="dxa"/>
            <w:noWrap/>
            <w:vAlign w:val="center"/>
            <w:hideMark/>
          </w:tcPr>
          <w:p w14:paraId="4279860D" w14:textId="644F88E4" w:rsidR="00367DAA" w:rsidRPr="004254D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29,0%</w:t>
            </w:r>
          </w:p>
        </w:tc>
        <w:tc>
          <w:tcPr>
            <w:tcW w:w="738" w:type="dxa"/>
            <w:noWrap/>
            <w:vAlign w:val="center"/>
            <w:hideMark/>
          </w:tcPr>
          <w:p w14:paraId="4B1868F4" w14:textId="6C61179A"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34,7%</w:t>
            </w:r>
          </w:p>
        </w:tc>
        <w:tc>
          <w:tcPr>
            <w:tcW w:w="738" w:type="dxa"/>
            <w:noWrap/>
            <w:vAlign w:val="center"/>
            <w:hideMark/>
          </w:tcPr>
          <w:p w14:paraId="027F3661" w14:textId="413C37E6"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36,7%</w:t>
            </w:r>
          </w:p>
        </w:tc>
        <w:tc>
          <w:tcPr>
            <w:tcW w:w="737" w:type="dxa"/>
            <w:noWrap/>
            <w:vAlign w:val="center"/>
            <w:hideMark/>
          </w:tcPr>
          <w:p w14:paraId="6555E3A1" w14:textId="382EA51D"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38,0%</w:t>
            </w:r>
          </w:p>
        </w:tc>
        <w:tc>
          <w:tcPr>
            <w:tcW w:w="738" w:type="dxa"/>
            <w:noWrap/>
            <w:vAlign w:val="center"/>
            <w:hideMark/>
          </w:tcPr>
          <w:p w14:paraId="2B0A80C4" w14:textId="2328E337"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39,8%</w:t>
            </w:r>
          </w:p>
        </w:tc>
        <w:tc>
          <w:tcPr>
            <w:tcW w:w="738" w:type="dxa"/>
            <w:noWrap/>
            <w:vAlign w:val="center"/>
            <w:hideMark/>
          </w:tcPr>
          <w:p w14:paraId="4CFAB18D" w14:textId="38EB773E"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41,5%</w:t>
            </w:r>
          </w:p>
        </w:tc>
        <w:tc>
          <w:tcPr>
            <w:tcW w:w="738" w:type="dxa"/>
            <w:noWrap/>
            <w:vAlign w:val="center"/>
            <w:hideMark/>
          </w:tcPr>
          <w:p w14:paraId="487A399A" w14:textId="085C70F3"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45,2%</w:t>
            </w:r>
          </w:p>
        </w:tc>
        <w:tc>
          <w:tcPr>
            <w:tcW w:w="737" w:type="dxa"/>
            <w:noWrap/>
            <w:vAlign w:val="center"/>
            <w:hideMark/>
          </w:tcPr>
          <w:p w14:paraId="14009872" w14:textId="253CFAAB"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60,2%</w:t>
            </w:r>
          </w:p>
        </w:tc>
        <w:tc>
          <w:tcPr>
            <w:tcW w:w="738" w:type="dxa"/>
            <w:noWrap/>
            <w:vAlign w:val="center"/>
            <w:hideMark/>
          </w:tcPr>
          <w:p w14:paraId="75E51C89" w14:textId="710AA249"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70,3%</w:t>
            </w:r>
          </w:p>
        </w:tc>
        <w:tc>
          <w:tcPr>
            <w:tcW w:w="738" w:type="dxa"/>
            <w:noWrap/>
            <w:vAlign w:val="center"/>
            <w:hideMark/>
          </w:tcPr>
          <w:p w14:paraId="7184ACC7" w14:textId="75E7558F"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82,1%</w:t>
            </w:r>
          </w:p>
        </w:tc>
        <w:tc>
          <w:tcPr>
            <w:tcW w:w="738" w:type="dxa"/>
            <w:noWrap/>
            <w:vAlign w:val="center"/>
            <w:hideMark/>
          </w:tcPr>
          <w:p w14:paraId="09E5359F" w14:textId="59B8C36F"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93,9%</w:t>
            </w:r>
          </w:p>
        </w:tc>
      </w:tr>
      <w:tr w:rsidR="00367DAA" w:rsidRPr="003B4324" w14:paraId="1D854B17" w14:textId="77777777" w:rsidTr="000A2AFE">
        <w:trPr>
          <w:trHeight w:val="300"/>
        </w:trPr>
        <w:tc>
          <w:tcPr>
            <w:tcW w:w="1661" w:type="dxa"/>
            <w:shd w:val="clear" w:color="auto" w:fill="E7E6E6"/>
            <w:noWrap/>
            <w:vAlign w:val="center"/>
            <w:hideMark/>
          </w:tcPr>
          <w:p w14:paraId="6E457DC2" w14:textId="01764114" w:rsidR="00367DAA" w:rsidRPr="004254D2" w:rsidRDefault="00367DAA" w:rsidP="00367DAA">
            <w:pPr>
              <w:spacing w:after="0" w:line="240" w:lineRule="auto"/>
              <w:jc w:val="left"/>
              <w:rPr>
                <w:rFonts w:ascii="Calibri Light" w:hAnsi="Calibri Light" w:cs="Calibri Light"/>
                <w:color w:val="000000" w:themeColor="text1"/>
              </w:rPr>
            </w:pPr>
            <w:r w:rsidRPr="003208FA">
              <w:rPr>
                <w:rFonts w:ascii="Calibri Light" w:hAnsi="Calibri Light" w:cs="Calibri Light"/>
                <w:color w:val="000000" w:themeColor="text1"/>
              </w:rPr>
              <w:t>Сценарио-S-N</w:t>
            </w:r>
          </w:p>
        </w:tc>
        <w:tc>
          <w:tcPr>
            <w:tcW w:w="737" w:type="dxa"/>
            <w:noWrap/>
            <w:vAlign w:val="center"/>
            <w:hideMark/>
          </w:tcPr>
          <w:p w14:paraId="7AF662A6" w14:textId="2EE84506" w:rsidR="00367DAA" w:rsidRPr="004254D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29,0%</w:t>
            </w:r>
          </w:p>
        </w:tc>
        <w:tc>
          <w:tcPr>
            <w:tcW w:w="738" w:type="dxa"/>
            <w:noWrap/>
            <w:vAlign w:val="center"/>
            <w:hideMark/>
          </w:tcPr>
          <w:p w14:paraId="59337F27" w14:textId="3FEA8BE2"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34,7%</w:t>
            </w:r>
          </w:p>
        </w:tc>
        <w:tc>
          <w:tcPr>
            <w:tcW w:w="738" w:type="dxa"/>
            <w:noWrap/>
            <w:vAlign w:val="center"/>
            <w:hideMark/>
          </w:tcPr>
          <w:p w14:paraId="27A1D6F5" w14:textId="75564186"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36,7%</w:t>
            </w:r>
          </w:p>
        </w:tc>
        <w:tc>
          <w:tcPr>
            <w:tcW w:w="737" w:type="dxa"/>
            <w:noWrap/>
            <w:vAlign w:val="center"/>
            <w:hideMark/>
          </w:tcPr>
          <w:p w14:paraId="06C03C0A" w14:textId="2C096679"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38,0%</w:t>
            </w:r>
          </w:p>
        </w:tc>
        <w:tc>
          <w:tcPr>
            <w:tcW w:w="738" w:type="dxa"/>
            <w:noWrap/>
            <w:vAlign w:val="center"/>
            <w:hideMark/>
          </w:tcPr>
          <w:p w14:paraId="17CC069B" w14:textId="2C9FC5CF"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39,8%</w:t>
            </w:r>
          </w:p>
        </w:tc>
        <w:tc>
          <w:tcPr>
            <w:tcW w:w="738" w:type="dxa"/>
            <w:noWrap/>
            <w:vAlign w:val="center"/>
            <w:hideMark/>
          </w:tcPr>
          <w:p w14:paraId="092619EA" w14:textId="7337E11E"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41,5%</w:t>
            </w:r>
          </w:p>
        </w:tc>
        <w:tc>
          <w:tcPr>
            <w:tcW w:w="738" w:type="dxa"/>
            <w:noWrap/>
            <w:vAlign w:val="center"/>
            <w:hideMark/>
          </w:tcPr>
          <w:p w14:paraId="15BCE2ED" w14:textId="1CE429FE"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45,2%</w:t>
            </w:r>
          </w:p>
        </w:tc>
        <w:tc>
          <w:tcPr>
            <w:tcW w:w="737" w:type="dxa"/>
            <w:noWrap/>
            <w:vAlign w:val="center"/>
            <w:hideMark/>
          </w:tcPr>
          <w:p w14:paraId="0A5A6B6D" w14:textId="403D252B"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60,3%</w:t>
            </w:r>
          </w:p>
        </w:tc>
        <w:tc>
          <w:tcPr>
            <w:tcW w:w="738" w:type="dxa"/>
            <w:noWrap/>
            <w:vAlign w:val="center"/>
            <w:hideMark/>
          </w:tcPr>
          <w:p w14:paraId="49D7F975" w14:textId="7EA40061"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70,4%</w:t>
            </w:r>
          </w:p>
        </w:tc>
        <w:tc>
          <w:tcPr>
            <w:tcW w:w="738" w:type="dxa"/>
            <w:noWrap/>
            <w:vAlign w:val="center"/>
            <w:hideMark/>
          </w:tcPr>
          <w:p w14:paraId="7D89D491" w14:textId="0C978D0B"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78,4%</w:t>
            </w:r>
          </w:p>
        </w:tc>
        <w:tc>
          <w:tcPr>
            <w:tcW w:w="738" w:type="dxa"/>
            <w:noWrap/>
            <w:vAlign w:val="center"/>
            <w:hideMark/>
          </w:tcPr>
          <w:p w14:paraId="2BACC16D" w14:textId="0AB5F138" w:rsidR="00367DAA" w:rsidRPr="002574F2" w:rsidRDefault="00367DAA" w:rsidP="00367DAA">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87,4%</w:t>
            </w:r>
          </w:p>
        </w:tc>
      </w:tr>
    </w:tbl>
    <w:p w14:paraId="5392CEA1" w14:textId="675A6CA7" w:rsidR="00873C40" w:rsidRDefault="00873C40" w:rsidP="00565B02">
      <w:pPr>
        <w:pStyle w:val="Caption"/>
        <w:keepNext/>
        <w:spacing w:before="200"/>
      </w:pPr>
      <w:bookmarkStart w:id="541" w:name="_Toc153901513"/>
      <w:bookmarkEnd w:id="537"/>
      <w:r>
        <w:lastRenderedPageBreak/>
        <w:t xml:space="preserve">Табела </w:t>
      </w:r>
      <w:r>
        <w:fldChar w:fldCharType="begin"/>
      </w:r>
      <w:r>
        <w:instrText xml:space="preserve"> STYLEREF 1 \s </w:instrText>
      </w:r>
      <w:r>
        <w:fldChar w:fldCharType="separate"/>
      </w:r>
      <w:r>
        <w:rPr>
          <w:noProof/>
        </w:rPr>
        <w:t>V</w:t>
      </w:r>
      <w:r>
        <w:fldChar w:fldCharType="end"/>
      </w:r>
      <w:r>
        <w:t>.</w:t>
      </w:r>
      <w:r>
        <w:fldChar w:fldCharType="begin"/>
      </w:r>
      <w:r>
        <w:instrText xml:space="preserve"> SEQ Табела \* ARABIC \s 1 </w:instrText>
      </w:r>
      <w:r>
        <w:fldChar w:fldCharType="separate"/>
      </w:r>
      <w:r>
        <w:rPr>
          <w:noProof/>
        </w:rPr>
        <w:t>18</w:t>
      </w:r>
      <w:r>
        <w:fldChar w:fldCharType="end"/>
      </w:r>
      <w:r w:rsidR="00390387" w:rsidRPr="00390387">
        <w:t>: Удео ОИЕ у саобраћају (без мултипликатора) [%]</w:t>
      </w:r>
      <w:bookmarkEnd w:id="541"/>
    </w:p>
    <w:tbl>
      <w:tblPr>
        <w:tblStyle w:val="TableGrid"/>
        <w:tblW w:w="9776" w:type="dxa"/>
        <w:tblLayout w:type="fixed"/>
        <w:tblLook w:val="04A0" w:firstRow="1" w:lastRow="0" w:firstColumn="1" w:lastColumn="0" w:noHBand="0" w:noVBand="1"/>
      </w:tblPr>
      <w:tblGrid>
        <w:gridCol w:w="1661"/>
        <w:gridCol w:w="737"/>
        <w:gridCol w:w="738"/>
        <w:gridCol w:w="738"/>
        <w:gridCol w:w="737"/>
        <w:gridCol w:w="738"/>
        <w:gridCol w:w="738"/>
        <w:gridCol w:w="738"/>
        <w:gridCol w:w="737"/>
        <w:gridCol w:w="738"/>
        <w:gridCol w:w="738"/>
        <w:gridCol w:w="738"/>
      </w:tblGrid>
      <w:tr w:rsidR="00E632B4" w:rsidRPr="003B4324" w14:paraId="612397F9" w14:textId="77777777" w:rsidTr="0057310C">
        <w:trPr>
          <w:trHeight w:val="300"/>
        </w:trPr>
        <w:tc>
          <w:tcPr>
            <w:tcW w:w="1661" w:type="dxa"/>
            <w:shd w:val="clear" w:color="auto" w:fill="404040"/>
            <w:noWrap/>
            <w:vAlign w:val="center"/>
            <w:hideMark/>
          </w:tcPr>
          <w:p w14:paraId="6388CEC7" w14:textId="5B316F39" w:rsidR="00E632B4" w:rsidRPr="004254D2" w:rsidRDefault="00490F49" w:rsidP="0057310C">
            <w:pPr>
              <w:spacing w:after="0" w:line="240" w:lineRule="auto"/>
              <w:jc w:val="center"/>
              <w:rPr>
                <w:rFonts w:ascii="Calibri Light" w:hAnsi="Calibri Light" w:cs="Calibri Light"/>
                <w:color w:val="000000" w:themeColor="text1"/>
              </w:rPr>
            </w:pPr>
            <w:bookmarkStart w:id="542" w:name="_Hlk148967423"/>
            <w:r w:rsidRPr="00490F49">
              <w:rPr>
                <w:rFonts w:ascii="Calibri Light" w:hAnsi="Calibri Light" w:cs="Calibri Light"/>
                <w:color w:val="FFFFFF" w:themeColor="background1"/>
              </w:rPr>
              <w:t xml:space="preserve">Удео ОИЕ у саобраћају (без мултипликатора) </w:t>
            </w:r>
            <w:r w:rsidR="00E632B4" w:rsidRPr="00AE1A39">
              <w:rPr>
                <w:rFonts w:ascii="Calibri Light" w:hAnsi="Calibri Light" w:cs="Calibri Light"/>
                <w:color w:val="FFFFFF" w:themeColor="background1"/>
              </w:rPr>
              <w:t>[%]</w:t>
            </w:r>
          </w:p>
        </w:tc>
        <w:tc>
          <w:tcPr>
            <w:tcW w:w="737" w:type="dxa"/>
            <w:shd w:val="clear" w:color="auto" w:fill="1F497D"/>
            <w:noWrap/>
            <w:vAlign w:val="center"/>
            <w:hideMark/>
          </w:tcPr>
          <w:p w14:paraId="12719624"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2020</w:t>
            </w:r>
          </w:p>
        </w:tc>
        <w:tc>
          <w:tcPr>
            <w:tcW w:w="738" w:type="dxa"/>
            <w:shd w:val="clear" w:color="auto" w:fill="1F497D"/>
            <w:noWrap/>
            <w:vAlign w:val="center"/>
            <w:hideMark/>
          </w:tcPr>
          <w:p w14:paraId="2A99A17F"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2025</w:t>
            </w:r>
          </w:p>
        </w:tc>
        <w:tc>
          <w:tcPr>
            <w:tcW w:w="738" w:type="dxa"/>
            <w:shd w:val="clear" w:color="auto" w:fill="1F497D"/>
            <w:noWrap/>
            <w:vAlign w:val="center"/>
            <w:hideMark/>
          </w:tcPr>
          <w:p w14:paraId="62D54460"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2026</w:t>
            </w:r>
          </w:p>
        </w:tc>
        <w:tc>
          <w:tcPr>
            <w:tcW w:w="737" w:type="dxa"/>
            <w:shd w:val="clear" w:color="auto" w:fill="1F497D"/>
            <w:noWrap/>
            <w:vAlign w:val="center"/>
            <w:hideMark/>
          </w:tcPr>
          <w:p w14:paraId="2AACFC68"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2027</w:t>
            </w:r>
          </w:p>
        </w:tc>
        <w:tc>
          <w:tcPr>
            <w:tcW w:w="738" w:type="dxa"/>
            <w:shd w:val="clear" w:color="auto" w:fill="1F497D"/>
            <w:noWrap/>
            <w:vAlign w:val="center"/>
            <w:hideMark/>
          </w:tcPr>
          <w:p w14:paraId="495BD9FA"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2028</w:t>
            </w:r>
          </w:p>
        </w:tc>
        <w:tc>
          <w:tcPr>
            <w:tcW w:w="738" w:type="dxa"/>
            <w:shd w:val="clear" w:color="auto" w:fill="1F497D"/>
            <w:noWrap/>
            <w:vAlign w:val="center"/>
            <w:hideMark/>
          </w:tcPr>
          <w:p w14:paraId="63C62E80"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2029</w:t>
            </w:r>
          </w:p>
        </w:tc>
        <w:tc>
          <w:tcPr>
            <w:tcW w:w="738" w:type="dxa"/>
            <w:shd w:val="clear" w:color="auto" w:fill="1F497D"/>
            <w:noWrap/>
            <w:vAlign w:val="center"/>
            <w:hideMark/>
          </w:tcPr>
          <w:p w14:paraId="44F2C6CE"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2030</w:t>
            </w:r>
          </w:p>
        </w:tc>
        <w:tc>
          <w:tcPr>
            <w:tcW w:w="737" w:type="dxa"/>
            <w:shd w:val="clear" w:color="auto" w:fill="1F497D"/>
            <w:noWrap/>
            <w:vAlign w:val="center"/>
            <w:hideMark/>
          </w:tcPr>
          <w:p w14:paraId="30C1B2AA"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2035</w:t>
            </w:r>
          </w:p>
        </w:tc>
        <w:tc>
          <w:tcPr>
            <w:tcW w:w="738" w:type="dxa"/>
            <w:shd w:val="clear" w:color="auto" w:fill="1F497D"/>
            <w:noWrap/>
            <w:vAlign w:val="center"/>
            <w:hideMark/>
          </w:tcPr>
          <w:p w14:paraId="11EFF7D5"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2040</w:t>
            </w:r>
          </w:p>
        </w:tc>
        <w:tc>
          <w:tcPr>
            <w:tcW w:w="738" w:type="dxa"/>
            <w:shd w:val="clear" w:color="auto" w:fill="1F497D"/>
            <w:noWrap/>
            <w:vAlign w:val="center"/>
            <w:hideMark/>
          </w:tcPr>
          <w:p w14:paraId="3E035236"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2045</w:t>
            </w:r>
          </w:p>
        </w:tc>
        <w:tc>
          <w:tcPr>
            <w:tcW w:w="738" w:type="dxa"/>
            <w:shd w:val="clear" w:color="auto" w:fill="1F497D"/>
            <w:noWrap/>
            <w:vAlign w:val="center"/>
            <w:hideMark/>
          </w:tcPr>
          <w:p w14:paraId="2075C56D" w14:textId="77777777" w:rsidR="00E632B4" w:rsidRPr="004254D2" w:rsidRDefault="00E632B4"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2050</w:t>
            </w:r>
          </w:p>
        </w:tc>
      </w:tr>
      <w:tr w:rsidR="00A0520D" w:rsidRPr="003B4324" w14:paraId="45A28BF0" w14:textId="77777777" w:rsidTr="000A2AFE">
        <w:trPr>
          <w:trHeight w:val="300"/>
        </w:trPr>
        <w:tc>
          <w:tcPr>
            <w:tcW w:w="1661" w:type="dxa"/>
            <w:shd w:val="clear" w:color="auto" w:fill="E7E6E6"/>
            <w:noWrap/>
            <w:vAlign w:val="center"/>
            <w:hideMark/>
          </w:tcPr>
          <w:p w14:paraId="2D8A2032" w14:textId="48AF3FFC" w:rsidR="00A0520D" w:rsidRPr="004254D2" w:rsidRDefault="00A0520D" w:rsidP="00A0520D">
            <w:pPr>
              <w:spacing w:after="0" w:line="240" w:lineRule="auto"/>
              <w:jc w:val="left"/>
              <w:rPr>
                <w:rFonts w:ascii="Calibri Light" w:hAnsi="Calibri Light" w:cs="Calibri Light"/>
                <w:color w:val="000000" w:themeColor="text1"/>
              </w:rPr>
            </w:pPr>
            <w:r w:rsidRPr="002574F2">
              <w:rPr>
                <w:rFonts w:ascii="Calibri Light" w:hAnsi="Calibri Light" w:cs="Calibri Light"/>
                <w:color w:val="000000" w:themeColor="text1"/>
              </w:rPr>
              <w:t>WEM</w:t>
            </w:r>
          </w:p>
        </w:tc>
        <w:tc>
          <w:tcPr>
            <w:tcW w:w="737" w:type="dxa"/>
            <w:noWrap/>
            <w:vAlign w:val="center"/>
            <w:hideMark/>
          </w:tcPr>
          <w:p w14:paraId="2701F7DB" w14:textId="3742B62B" w:rsidR="00A0520D" w:rsidRPr="004254D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0,5%</w:t>
            </w:r>
          </w:p>
        </w:tc>
        <w:tc>
          <w:tcPr>
            <w:tcW w:w="738" w:type="dxa"/>
            <w:noWrap/>
            <w:vAlign w:val="center"/>
            <w:hideMark/>
          </w:tcPr>
          <w:p w14:paraId="118E504C" w14:textId="3966C38B"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1,4%</w:t>
            </w:r>
          </w:p>
        </w:tc>
        <w:tc>
          <w:tcPr>
            <w:tcW w:w="738" w:type="dxa"/>
            <w:noWrap/>
            <w:vAlign w:val="center"/>
            <w:hideMark/>
          </w:tcPr>
          <w:p w14:paraId="1BAB2EE1" w14:textId="624BCBDC"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1,8%</w:t>
            </w:r>
          </w:p>
        </w:tc>
        <w:tc>
          <w:tcPr>
            <w:tcW w:w="737" w:type="dxa"/>
            <w:noWrap/>
            <w:vAlign w:val="center"/>
            <w:hideMark/>
          </w:tcPr>
          <w:p w14:paraId="11323B38" w14:textId="648E9CF3"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2,2%</w:t>
            </w:r>
          </w:p>
        </w:tc>
        <w:tc>
          <w:tcPr>
            <w:tcW w:w="738" w:type="dxa"/>
            <w:noWrap/>
            <w:vAlign w:val="center"/>
            <w:hideMark/>
          </w:tcPr>
          <w:p w14:paraId="4F167FC7" w14:textId="721E87EC"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2,7%</w:t>
            </w:r>
          </w:p>
        </w:tc>
        <w:tc>
          <w:tcPr>
            <w:tcW w:w="738" w:type="dxa"/>
            <w:noWrap/>
            <w:vAlign w:val="center"/>
            <w:hideMark/>
          </w:tcPr>
          <w:p w14:paraId="2D30C41E" w14:textId="05D79514"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3,2%</w:t>
            </w:r>
          </w:p>
        </w:tc>
        <w:tc>
          <w:tcPr>
            <w:tcW w:w="738" w:type="dxa"/>
            <w:noWrap/>
            <w:vAlign w:val="center"/>
            <w:hideMark/>
          </w:tcPr>
          <w:p w14:paraId="42E09009" w14:textId="2C4C2BB1"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3,7%</w:t>
            </w:r>
          </w:p>
        </w:tc>
        <w:tc>
          <w:tcPr>
            <w:tcW w:w="737" w:type="dxa"/>
            <w:noWrap/>
            <w:vAlign w:val="center"/>
            <w:hideMark/>
          </w:tcPr>
          <w:p w14:paraId="3C027AA4" w14:textId="66C2D58E"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4,0%</w:t>
            </w:r>
          </w:p>
        </w:tc>
        <w:tc>
          <w:tcPr>
            <w:tcW w:w="738" w:type="dxa"/>
            <w:noWrap/>
            <w:vAlign w:val="center"/>
            <w:hideMark/>
          </w:tcPr>
          <w:p w14:paraId="4627C975" w14:textId="791F072B"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4,1%</w:t>
            </w:r>
          </w:p>
        </w:tc>
        <w:tc>
          <w:tcPr>
            <w:tcW w:w="738" w:type="dxa"/>
            <w:noWrap/>
            <w:vAlign w:val="center"/>
            <w:hideMark/>
          </w:tcPr>
          <w:p w14:paraId="7F686C36" w14:textId="0F75B1CC"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4,1%</w:t>
            </w:r>
          </w:p>
        </w:tc>
        <w:tc>
          <w:tcPr>
            <w:tcW w:w="738" w:type="dxa"/>
            <w:noWrap/>
            <w:vAlign w:val="center"/>
            <w:hideMark/>
          </w:tcPr>
          <w:p w14:paraId="640C443C" w14:textId="7E421E3C"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4,9%</w:t>
            </w:r>
          </w:p>
        </w:tc>
      </w:tr>
      <w:tr w:rsidR="00A0520D" w:rsidRPr="003B4324" w14:paraId="1722A575" w14:textId="77777777" w:rsidTr="000A2AFE">
        <w:trPr>
          <w:trHeight w:val="300"/>
        </w:trPr>
        <w:tc>
          <w:tcPr>
            <w:tcW w:w="1661" w:type="dxa"/>
            <w:shd w:val="clear" w:color="auto" w:fill="E7E6E6"/>
            <w:noWrap/>
            <w:vAlign w:val="center"/>
            <w:hideMark/>
          </w:tcPr>
          <w:p w14:paraId="07DF3D60" w14:textId="76498C37" w:rsidR="00A0520D" w:rsidRPr="004254D2" w:rsidRDefault="00A0520D" w:rsidP="00A0520D">
            <w:pPr>
              <w:spacing w:after="0" w:line="240" w:lineRule="auto"/>
              <w:jc w:val="left"/>
              <w:rPr>
                <w:rFonts w:ascii="Calibri Light" w:hAnsi="Calibri Light" w:cs="Calibri Light"/>
                <w:color w:val="000000" w:themeColor="text1"/>
              </w:rPr>
            </w:pPr>
            <w:r w:rsidRPr="003208FA">
              <w:rPr>
                <w:rFonts w:ascii="Calibri Light" w:hAnsi="Calibri Light" w:cs="Calibri Light"/>
                <w:color w:val="000000" w:themeColor="text1"/>
              </w:rPr>
              <w:t>Сценарио-S</w:t>
            </w:r>
          </w:p>
        </w:tc>
        <w:tc>
          <w:tcPr>
            <w:tcW w:w="737" w:type="dxa"/>
            <w:noWrap/>
            <w:vAlign w:val="center"/>
            <w:hideMark/>
          </w:tcPr>
          <w:p w14:paraId="1A422E6B" w14:textId="0A773E32" w:rsidR="00A0520D" w:rsidRPr="004254D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0,5%</w:t>
            </w:r>
          </w:p>
        </w:tc>
        <w:tc>
          <w:tcPr>
            <w:tcW w:w="738" w:type="dxa"/>
            <w:noWrap/>
            <w:vAlign w:val="center"/>
            <w:hideMark/>
          </w:tcPr>
          <w:p w14:paraId="77FB8E97" w14:textId="733AFF58"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1,8%</w:t>
            </w:r>
          </w:p>
        </w:tc>
        <w:tc>
          <w:tcPr>
            <w:tcW w:w="738" w:type="dxa"/>
            <w:noWrap/>
            <w:vAlign w:val="center"/>
            <w:hideMark/>
          </w:tcPr>
          <w:p w14:paraId="089A4140" w14:textId="1AE8233A"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2,1%</w:t>
            </w:r>
          </w:p>
        </w:tc>
        <w:tc>
          <w:tcPr>
            <w:tcW w:w="737" w:type="dxa"/>
            <w:noWrap/>
            <w:vAlign w:val="center"/>
            <w:hideMark/>
          </w:tcPr>
          <w:p w14:paraId="20C5FA9C" w14:textId="3DCB3C2E"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2,3%</w:t>
            </w:r>
          </w:p>
        </w:tc>
        <w:tc>
          <w:tcPr>
            <w:tcW w:w="738" w:type="dxa"/>
            <w:noWrap/>
            <w:vAlign w:val="center"/>
            <w:hideMark/>
          </w:tcPr>
          <w:p w14:paraId="662BFBA6" w14:textId="30A59452"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2,6%</w:t>
            </w:r>
          </w:p>
        </w:tc>
        <w:tc>
          <w:tcPr>
            <w:tcW w:w="738" w:type="dxa"/>
            <w:noWrap/>
            <w:vAlign w:val="center"/>
            <w:hideMark/>
          </w:tcPr>
          <w:p w14:paraId="40620C5C" w14:textId="0B44F716"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2,9%</w:t>
            </w:r>
          </w:p>
        </w:tc>
        <w:tc>
          <w:tcPr>
            <w:tcW w:w="738" w:type="dxa"/>
            <w:noWrap/>
            <w:vAlign w:val="center"/>
            <w:hideMark/>
          </w:tcPr>
          <w:p w14:paraId="0C810555" w14:textId="5BF04346"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3,2%</w:t>
            </w:r>
          </w:p>
        </w:tc>
        <w:tc>
          <w:tcPr>
            <w:tcW w:w="737" w:type="dxa"/>
            <w:noWrap/>
            <w:vAlign w:val="center"/>
            <w:hideMark/>
          </w:tcPr>
          <w:p w14:paraId="4CB65489" w14:textId="796EC987"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5,3%</w:t>
            </w:r>
          </w:p>
        </w:tc>
        <w:tc>
          <w:tcPr>
            <w:tcW w:w="738" w:type="dxa"/>
            <w:noWrap/>
            <w:vAlign w:val="center"/>
            <w:hideMark/>
          </w:tcPr>
          <w:p w14:paraId="09D5F0A0" w14:textId="7AADEC46"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9,9%</w:t>
            </w:r>
          </w:p>
        </w:tc>
        <w:tc>
          <w:tcPr>
            <w:tcW w:w="738" w:type="dxa"/>
            <w:noWrap/>
            <w:vAlign w:val="center"/>
            <w:hideMark/>
          </w:tcPr>
          <w:p w14:paraId="6F7CF055" w14:textId="3BA43D6E"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23,9%</w:t>
            </w:r>
          </w:p>
        </w:tc>
        <w:tc>
          <w:tcPr>
            <w:tcW w:w="738" w:type="dxa"/>
            <w:noWrap/>
            <w:vAlign w:val="center"/>
            <w:hideMark/>
          </w:tcPr>
          <w:p w14:paraId="271CCE4A" w14:textId="689942B1"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45,0%</w:t>
            </w:r>
          </w:p>
        </w:tc>
      </w:tr>
      <w:tr w:rsidR="00A0520D" w:rsidRPr="003B4324" w14:paraId="6A62CD03" w14:textId="77777777" w:rsidTr="000A2AFE">
        <w:trPr>
          <w:trHeight w:val="300"/>
        </w:trPr>
        <w:tc>
          <w:tcPr>
            <w:tcW w:w="1661" w:type="dxa"/>
            <w:shd w:val="clear" w:color="auto" w:fill="E7E6E6"/>
            <w:noWrap/>
            <w:vAlign w:val="center"/>
            <w:hideMark/>
          </w:tcPr>
          <w:p w14:paraId="2732324D" w14:textId="3A568099" w:rsidR="00A0520D" w:rsidRPr="004254D2" w:rsidRDefault="00A0520D" w:rsidP="00A0520D">
            <w:pPr>
              <w:spacing w:after="0" w:line="240" w:lineRule="auto"/>
              <w:jc w:val="left"/>
              <w:rPr>
                <w:rFonts w:ascii="Calibri Light" w:hAnsi="Calibri Light" w:cs="Calibri Light"/>
                <w:color w:val="000000" w:themeColor="text1"/>
              </w:rPr>
            </w:pPr>
            <w:r w:rsidRPr="003208FA">
              <w:rPr>
                <w:rFonts w:ascii="Calibri Light" w:hAnsi="Calibri Light" w:cs="Calibri Light"/>
                <w:color w:val="000000" w:themeColor="text1"/>
              </w:rPr>
              <w:t>Сценарио-S-N</w:t>
            </w:r>
          </w:p>
        </w:tc>
        <w:tc>
          <w:tcPr>
            <w:tcW w:w="737" w:type="dxa"/>
            <w:noWrap/>
            <w:vAlign w:val="center"/>
            <w:hideMark/>
          </w:tcPr>
          <w:p w14:paraId="4BC081AC" w14:textId="596072B1" w:rsidR="00A0520D" w:rsidRPr="004254D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0,5%</w:t>
            </w:r>
          </w:p>
        </w:tc>
        <w:tc>
          <w:tcPr>
            <w:tcW w:w="738" w:type="dxa"/>
            <w:noWrap/>
            <w:vAlign w:val="center"/>
            <w:hideMark/>
          </w:tcPr>
          <w:p w14:paraId="333B8B30" w14:textId="4002130F"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1,8%</w:t>
            </w:r>
          </w:p>
        </w:tc>
        <w:tc>
          <w:tcPr>
            <w:tcW w:w="738" w:type="dxa"/>
            <w:noWrap/>
            <w:vAlign w:val="center"/>
            <w:hideMark/>
          </w:tcPr>
          <w:p w14:paraId="0E5772E7" w14:textId="2573173A"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2,1%</w:t>
            </w:r>
          </w:p>
        </w:tc>
        <w:tc>
          <w:tcPr>
            <w:tcW w:w="737" w:type="dxa"/>
            <w:noWrap/>
            <w:vAlign w:val="center"/>
            <w:hideMark/>
          </w:tcPr>
          <w:p w14:paraId="4BDFBFD0" w14:textId="2A810838"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2,3%</w:t>
            </w:r>
          </w:p>
        </w:tc>
        <w:tc>
          <w:tcPr>
            <w:tcW w:w="738" w:type="dxa"/>
            <w:noWrap/>
            <w:vAlign w:val="center"/>
            <w:hideMark/>
          </w:tcPr>
          <w:p w14:paraId="61CE7BBB" w14:textId="2F5F96FA"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2,6%</w:t>
            </w:r>
          </w:p>
        </w:tc>
        <w:tc>
          <w:tcPr>
            <w:tcW w:w="738" w:type="dxa"/>
            <w:noWrap/>
            <w:vAlign w:val="center"/>
            <w:hideMark/>
          </w:tcPr>
          <w:p w14:paraId="496DA7B9" w14:textId="20858D2D"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2,9%</w:t>
            </w:r>
          </w:p>
        </w:tc>
        <w:tc>
          <w:tcPr>
            <w:tcW w:w="738" w:type="dxa"/>
            <w:noWrap/>
            <w:vAlign w:val="center"/>
            <w:hideMark/>
          </w:tcPr>
          <w:p w14:paraId="0EC8488A" w14:textId="291F7C04"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3,2%</w:t>
            </w:r>
          </w:p>
        </w:tc>
        <w:tc>
          <w:tcPr>
            <w:tcW w:w="737" w:type="dxa"/>
            <w:noWrap/>
            <w:vAlign w:val="center"/>
            <w:hideMark/>
          </w:tcPr>
          <w:p w14:paraId="349391ED" w14:textId="798ADAD7"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5,3%</w:t>
            </w:r>
          </w:p>
        </w:tc>
        <w:tc>
          <w:tcPr>
            <w:tcW w:w="738" w:type="dxa"/>
            <w:noWrap/>
            <w:vAlign w:val="center"/>
            <w:hideMark/>
          </w:tcPr>
          <w:p w14:paraId="1C5208FE" w14:textId="445AB213"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11,7%</w:t>
            </w:r>
          </w:p>
        </w:tc>
        <w:tc>
          <w:tcPr>
            <w:tcW w:w="738" w:type="dxa"/>
            <w:noWrap/>
            <w:vAlign w:val="center"/>
            <w:hideMark/>
          </w:tcPr>
          <w:p w14:paraId="122FAE3A" w14:textId="32B7D8E5"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27,3%</w:t>
            </w:r>
          </w:p>
        </w:tc>
        <w:tc>
          <w:tcPr>
            <w:tcW w:w="738" w:type="dxa"/>
            <w:noWrap/>
            <w:vAlign w:val="center"/>
            <w:hideMark/>
          </w:tcPr>
          <w:p w14:paraId="4A3B9227" w14:textId="2F5227DE"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48,6%</w:t>
            </w:r>
          </w:p>
        </w:tc>
      </w:tr>
    </w:tbl>
    <w:p w14:paraId="72AE7C36" w14:textId="2078738C" w:rsidR="00873C40" w:rsidRDefault="00873C40" w:rsidP="00565B02">
      <w:pPr>
        <w:pStyle w:val="Caption"/>
        <w:keepNext/>
        <w:spacing w:before="200"/>
      </w:pPr>
      <w:bookmarkStart w:id="543" w:name="_Toc153901514"/>
      <w:r>
        <w:t xml:space="preserve">Табела </w:t>
      </w:r>
      <w:r>
        <w:fldChar w:fldCharType="begin"/>
      </w:r>
      <w:r>
        <w:instrText xml:space="preserve"> STYLEREF 1 \s </w:instrText>
      </w:r>
      <w:r>
        <w:fldChar w:fldCharType="separate"/>
      </w:r>
      <w:r>
        <w:rPr>
          <w:noProof/>
        </w:rPr>
        <w:t>V</w:t>
      </w:r>
      <w:r>
        <w:fldChar w:fldCharType="end"/>
      </w:r>
      <w:r>
        <w:t>.</w:t>
      </w:r>
      <w:r>
        <w:fldChar w:fldCharType="begin"/>
      </w:r>
      <w:r>
        <w:instrText xml:space="preserve"> SEQ Табела \* ARABIC \s 1 </w:instrText>
      </w:r>
      <w:r>
        <w:fldChar w:fldCharType="separate"/>
      </w:r>
      <w:r>
        <w:rPr>
          <w:noProof/>
        </w:rPr>
        <w:t>19</w:t>
      </w:r>
      <w:r>
        <w:fldChar w:fldCharType="end"/>
      </w:r>
      <w:r w:rsidR="00390387" w:rsidRPr="00390387">
        <w:t>: Удео ОИЕ у саобраћају (са мултипликаторима) [%]</w:t>
      </w:r>
      <w:bookmarkEnd w:id="543"/>
    </w:p>
    <w:tbl>
      <w:tblPr>
        <w:tblStyle w:val="TableGrid"/>
        <w:tblW w:w="9776" w:type="dxa"/>
        <w:tblLayout w:type="fixed"/>
        <w:tblLook w:val="04A0" w:firstRow="1" w:lastRow="0" w:firstColumn="1" w:lastColumn="0" w:noHBand="0" w:noVBand="1"/>
      </w:tblPr>
      <w:tblGrid>
        <w:gridCol w:w="1661"/>
        <w:gridCol w:w="737"/>
        <w:gridCol w:w="738"/>
        <w:gridCol w:w="738"/>
        <w:gridCol w:w="737"/>
        <w:gridCol w:w="738"/>
        <w:gridCol w:w="738"/>
        <w:gridCol w:w="738"/>
        <w:gridCol w:w="737"/>
        <w:gridCol w:w="738"/>
        <w:gridCol w:w="738"/>
        <w:gridCol w:w="738"/>
      </w:tblGrid>
      <w:tr w:rsidR="00227FBF" w:rsidRPr="003B4324" w14:paraId="573218E1" w14:textId="77777777" w:rsidTr="0057310C">
        <w:trPr>
          <w:trHeight w:val="300"/>
        </w:trPr>
        <w:tc>
          <w:tcPr>
            <w:tcW w:w="1661" w:type="dxa"/>
            <w:shd w:val="clear" w:color="auto" w:fill="404040"/>
            <w:noWrap/>
            <w:vAlign w:val="center"/>
            <w:hideMark/>
          </w:tcPr>
          <w:p w14:paraId="3A5DF44B" w14:textId="7D1E43EE" w:rsidR="00227FBF" w:rsidRPr="004254D2" w:rsidRDefault="00227FBF" w:rsidP="0057310C">
            <w:pPr>
              <w:spacing w:after="0" w:line="240" w:lineRule="auto"/>
              <w:jc w:val="center"/>
              <w:rPr>
                <w:rFonts w:ascii="Calibri Light" w:hAnsi="Calibri Light" w:cs="Calibri Light"/>
                <w:color w:val="000000" w:themeColor="text1"/>
              </w:rPr>
            </w:pPr>
            <w:r w:rsidRPr="00227FBF">
              <w:rPr>
                <w:rFonts w:ascii="Calibri Light" w:hAnsi="Calibri Light" w:cs="Calibri Light"/>
                <w:color w:val="FFFFFF" w:themeColor="background1"/>
              </w:rPr>
              <w:t>Удео ОИЕ у саобраћају (</w:t>
            </w:r>
            <w:r>
              <w:rPr>
                <w:rFonts w:ascii="Calibri Light" w:hAnsi="Calibri Light" w:cs="Calibri Light"/>
                <w:color w:val="FFFFFF" w:themeColor="background1"/>
              </w:rPr>
              <w:t>са</w:t>
            </w:r>
            <w:r w:rsidRPr="00227FBF">
              <w:rPr>
                <w:rFonts w:ascii="Calibri Light" w:hAnsi="Calibri Light" w:cs="Calibri Light"/>
                <w:color w:val="FFFFFF" w:themeColor="background1"/>
              </w:rPr>
              <w:t xml:space="preserve"> мултипликатор</w:t>
            </w:r>
            <w:r>
              <w:rPr>
                <w:rFonts w:ascii="Calibri Light" w:hAnsi="Calibri Light" w:cs="Calibri Light"/>
                <w:color w:val="FFFFFF" w:themeColor="background1"/>
              </w:rPr>
              <w:t>има</w:t>
            </w:r>
            <w:r w:rsidRPr="00227FBF">
              <w:rPr>
                <w:rFonts w:ascii="Calibri Light" w:hAnsi="Calibri Light" w:cs="Calibri Light"/>
                <w:color w:val="FFFFFF" w:themeColor="background1"/>
              </w:rPr>
              <w:t>) [%]</w:t>
            </w:r>
          </w:p>
        </w:tc>
        <w:tc>
          <w:tcPr>
            <w:tcW w:w="737" w:type="dxa"/>
            <w:shd w:val="clear" w:color="auto" w:fill="1F497D"/>
            <w:noWrap/>
            <w:vAlign w:val="center"/>
            <w:hideMark/>
          </w:tcPr>
          <w:p w14:paraId="4171A222"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2020</w:t>
            </w:r>
          </w:p>
        </w:tc>
        <w:tc>
          <w:tcPr>
            <w:tcW w:w="738" w:type="dxa"/>
            <w:shd w:val="clear" w:color="auto" w:fill="1F497D"/>
            <w:noWrap/>
            <w:vAlign w:val="center"/>
            <w:hideMark/>
          </w:tcPr>
          <w:p w14:paraId="3F65D7BB"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2025</w:t>
            </w:r>
          </w:p>
        </w:tc>
        <w:tc>
          <w:tcPr>
            <w:tcW w:w="738" w:type="dxa"/>
            <w:shd w:val="clear" w:color="auto" w:fill="1F497D"/>
            <w:noWrap/>
            <w:vAlign w:val="center"/>
            <w:hideMark/>
          </w:tcPr>
          <w:p w14:paraId="4111F18F"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2026</w:t>
            </w:r>
          </w:p>
        </w:tc>
        <w:tc>
          <w:tcPr>
            <w:tcW w:w="737" w:type="dxa"/>
            <w:shd w:val="clear" w:color="auto" w:fill="1F497D"/>
            <w:noWrap/>
            <w:vAlign w:val="center"/>
            <w:hideMark/>
          </w:tcPr>
          <w:p w14:paraId="686CBF82"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2027</w:t>
            </w:r>
          </w:p>
        </w:tc>
        <w:tc>
          <w:tcPr>
            <w:tcW w:w="738" w:type="dxa"/>
            <w:shd w:val="clear" w:color="auto" w:fill="1F497D"/>
            <w:noWrap/>
            <w:vAlign w:val="center"/>
            <w:hideMark/>
          </w:tcPr>
          <w:p w14:paraId="2EFBBFC9"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2028</w:t>
            </w:r>
          </w:p>
        </w:tc>
        <w:tc>
          <w:tcPr>
            <w:tcW w:w="738" w:type="dxa"/>
            <w:shd w:val="clear" w:color="auto" w:fill="1F497D"/>
            <w:noWrap/>
            <w:vAlign w:val="center"/>
            <w:hideMark/>
          </w:tcPr>
          <w:p w14:paraId="0AF94888"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2029</w:t>
            </w:r>
          </w:p>
        </w:tc>
        <w:tc>
          <w:tcPr>
            <w:tcW w:w="738" w:type="dxa"/>
            <w:shd w:val="clear" w:color="auto" w:fill="1F497D"/>
            <w:noWrap/>
            <w:vAlign w:val="center"/>
            <w:hideMark/>
          </w:tcPr>
          <w:p w14:paraId="186039F6"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2030</w:t>
            </w:r>
          </w:p>
        </w:tc>
        <w:tc>
          <w:tcPr>
            <w:tcW w:w="737" w:type="dxa"/>
            <w:shd w:val="clear" w:color="auto" w:fill="1F497D"/>
            <w:noWrap/>
            <w:vAlign w:val="center"/>
            <w:hideMark/>
          </w:tcPr>
          <w:p w14:paraId="3E9C60D1"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2035</w:t>
            </w:r>
          </w:p>
        </w:tc>
        <w:tc>
          <w:tcPr>
            <w:tcW w:w="738" w:type="dxa"/>
            <w:shd w:val="clear" w:color="auto" w:fill="1F497D"/>
            <w:noWrap/>
            <w:vAlign w:val="center"/>
            <w:hideMark/>
          </w:tcPr>
          <w:p w14:paraId="103B1296"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2040</w:t>
            </w:r>
          </w:p>
        </w:tc>
        <w:tc>
          <w:tcPr>
            <w:tcW w:w="738" w:type="dxa"/>
            <w:shd w:val="clear" w:color="auto" w:fill="1F497D"/>
            <w:noWrap/>
            <w:vAlign w:val="center"/>
            <w:hideMark/>
          </w:tcPr>
          <w:p w14:paraId="4544C41B"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2045</w:t>
            </w:r>
          </w:p>
        </w:tc>
        <w:tc>
          <w:tcPr>
            <w:tcW w:w="738" w:type="dxa"/>
            <w:shd w:val="clear" w:color="auto" w:fill="1F497D"/>
            <w:noWrap/>
            <w:vAlign w:val="center"/>
            <w:hideMark/>
          </w:tcPr>
          <w:p w14:paraId="7A2421D0"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2050</w:t>
            </w:r>
          </w:p>
        </w:tc>
      </w:tr>
      <w:tr w:rsidR="00A0520D" w:rsidRPr="003B4324" w14:paraId="68D7982C" w14:textId="77777777" w:rsidTr="000A2AFE">
        <w:trPr>
          <w:trHeight w:val="300"/>
        </w:trPr>
        <w:tc>
          <w:tcPr>
            <w:tcW w:w="1661" w:type="dxa"/>
            <w:shd w:val="clear" w:color="auto" w:fill="E7E6E6"/>
            <w:noWrap/>
            <w:vAlign w:val="bottom"/>
            <w:hideMark/>
          </w:tcPr>
          <w:p w14:paraId="37F1545E" w14:textId="77777777" w:rsidR="00A0520D" w:rsidRPr="004254D2" w:rsidRDefault="00A0520D" w:rsidP="00A0520D">
            <w:pPr>
              <w:spacing w:after="0" w:line="240" w:lineRule="auto"/>
              <w:jc w:val="left"/>
              <w:rPr>
                <w:rFonts w:ascii="Calibri Light" w:hAnsi="Calibri Light" w:cs="Calibri Light"/>
                <w:color w:val="000000" w:themeColor="text1"/>
              </w:rPr>
            </w:pPr>
            <w:r w:rsidRPr="002574F2">
              <w:rPr>
                <w:rFonts w:ascii="Calibri Light" w:hAnsi="Calibri Light" w:cs="Calibri Light"/>
                <w:color w:val="000000" w:themeColor="text1"/>
              </w:rPr>
              <w:t>WEM</w:t>
            </w:r>
          </w:p>
        </w:tc>
        <w:tc>
          <w:tcPr>
            <w:tcW w:w="737" w:type="dxa"/>
            <w:noWrap/>
            <w:vAlign w:val="center"/>
            <w:hideMark/>
          </w:tcPr>
          <w:p w14:paraId="403E71D1" w14:textId="7C7EA29E" w:rsidR="00A0520D" w:rsidRPr="004254D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1,2%</w:t>
            </w:r>
          </w:p>
        </w:tc>
        <w:tc>
          <w:tcPr>
            <w:tcW w:w="738" w:type="dxa"/>
            <w:noWrap/>
            <w:vAlign w:val="center"/>
            <w:hideMark/>
          </w:tcPr>
          <w:p w14:paraId="36A12655" w14:textId="010FB498"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2,3%</w:t>
            </w:r>
          </w:p>
        </w:tc>
        <w:tc>
          <w:tcPr>
            <w:tcW w:w="738" w:type="dxa"/>
            <w:noWrap/>
            <w:vAlign w:val="center"/>
            <w:hideMark/>
          </w:tcPr>
          <w:p w14:paraId="5F4868B0" w14:textId="74FD3D39"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2,8%</w:t>
            </w:r>
          </w:p>
        </w:tc>
        <w:tc>
          <w:tcPr>
            <w:tcW w:w="737" w:type="dxa"/>
            <w:noWrap/>
            <w:vAlign w:val="center"/>
            <w:hideMark/>
          </w:tcPr>
          <w:p w14:paraId="77E511A9" w14:textId="74CAAC84"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3,4%</w:t>
            </w:r>
          </w:p>
        </w:tc>
        <w:tc>
          <w:tcPr>
            <w:tcW w:w="738" w:type="dxa"/>
            <w:noWrap/>
            <w:vAlign w:val="center"/>
            <w:hideMark/>
          </w:tcPr>
          <w:p w14:paraId="29E3658D" w14:textId="77EE908F"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4,1%</w:t>
            </w:r>
          </w:p>
        </w:tc>
        <w:tc>
          <w:tcPr>
            <w:tcW w:w="738" w:type="dxa"/>
            <w:noWrap/>
            <w:vAlign w:val="center"/>
            <w:hideMark/>
          </w:tcPr>
          <w:p w14:paraId="13BB8E18" w14:textId="4C935AFB"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4,7%</w:t>
            </w:r>
          </w:p>
        </w:tc>
        <w:tc>
          <w:tcPr>
            <w:tcW w:w="738" w:type="dxa"/>
            <w:noWrap/>
            <w:vAlign w:val="center"/>
            <w:hideMark/>
          </w:tcPr>
          <w:p w14:paraId="1D46E738" w14:textId="0BF69CE9"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5,5%</w:t>
            </w:r>
          </w:p>
        </w:tc>
        <w:tc>
          <w:tcPr>
            <w:tcW w:w="737" w:type="dxa"/>
            <w:noWrap/>
            <w:vAlign w:val="center"/>
            <w:hideMark/>
          </w:tcPr>
          <w:p w14:paraId="4421012C" w14:textId="693C1ACC"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6,5%</w:t>
            </w:r>
          </w:p>
        </w:tc>
        <w:tc>
          <w:tcPr>
            <w:tcW w:w="738" w:type="dxa"/>
            <w:noWrap/>
            <w:vAlign w:val="center"/>
            <w:hideMark/>
          </w:tcPr>
          <w:p w14:paraId="4136C6CE" w14:textId="56BEE573"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7,1%</w:t>
            </w:r>
          </w:p>
        </w:tc>
        <w:tc>
          <w:tcPr>
            <w:tcW w:w="738" w:type="dxa"/>
            <w:noWrap/>
            <w:vAlign w:val="center"/>
            <w:hideMark/>
          </w:tcPr>
          <w:p w14:paraId="6D75B429" w14:textId="538A3CE7"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7,4%</w:t>
            </w:r>
          </w:p>
        </w:tc>
        <w:tc>
          <w:tcPr>
            <w:tcW w:w="738" w:type="dxa"/>
            <w:noWrap/>
            <w:vAlign w:val="center"/>
            <w:hideMark/>
          </w:tcPr>
          <w:p w14:paraId="578D753D" w14:textId="742315E6"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9,9%</w:t>
            </w:r>
          </w:p>
        </w:tc>
      </w:tr>
      <w:tr w:rsidR="00A0520D" w:rsidRPr="003B4324" w14:paraId="6EA8A039" w14:textId="77777777" w:rsidTr="000A2AFE">
        <w:trPr>
          <w:trHeight w:val="300"/>
        </w:trPr>
        <w:tc>
          <w:tcPr>
            <w:tcW w:w="1661" w:type="dxa"/>
            <w:shd w:val="clear" w:color="auto" w:fill="E7E6E6"/>
            <w:noWrap/>
            <w:vAlign w:val="center"/>
            <w:hideMark/>
          </w:tcPr>
          <w:p w14:paraId="31F5C938" w14:textId="71C4C44F" w:rsidR="00A0520D" w:rsidRPr="004254D2" w:rsidRDefault="00A0520D" w:rsidP="00A0520D">
            <w:pPr>
              <w:spacing w:after="0" w:line="240" w:lineRule="auto"/>
              <w:jc w:val="left"/>
              <w:rPr>
                <w:rFonts w:ascii="Calibri Light" w:hAnsi="Calibri Light" w:cs="Calibri Light"/>
                <w:color w:val="000000" w:themeColor="text1"/>
              </w:rPr>
            </w:pPr>
            <w:r w:rsidRPr="003208FA">
              <w:rPr>
                <w:rFonts w:ascii="Calibri Light" w:hAnsi="Calibri Light" w:cs="Calibri Light"/>
                <w:color w:val="000000" w:themeColor="text1"/>
              </w:rPr>
              <w:t>Сценарио-S</w:t>
            </w:r>
          </w:p>
        </w:tc>
        <w:tc>
          <w:tcPr>
            <w:tcW w:w="737" w:type="dxa"/>
            <w:noWrap/>
            <w:vAlign w:val="center"/>
            <w:hideMark/>
          </w:tcPr>
          <w:p w14:paraId="3D353F23" w14:textId="486F189A" w:rsidR="00A0520D" w:rsidRPr="004254D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1,2%</w:t>
            </w:r>
          </w:p>
        </w:tc>
        <w:tc>
          <w:tcPr>
            <w:tcW w:w="738" w:type="dxa"/>
            <w:noWrap/>
            <w:vAlign w:val="center"/>
            <w:hideMark/>
          </w:tcPr>
          <w:p w14:paraId="3EC3FABB" w14:textId="1946826D"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2,9%</w:t>
            </w:r>
          </w:p>
        </w:tc>
        <w:tc>
          <w:tcPr>
            <w:tcW w:w="738" w:type="dxa"/>
            <w:noWrap/>
            <w:vAlign w:val="center"/>
            <w:hideMark/>
          </w:tcPr>
          <w:p w14:paraId="7F76A9AD" w14:textId="277ECAA1"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3,3%</w:t>
            </w:r>
          </w:p>
        </w:tc>
        <w:tc>
          <w:tcPr>
            <w:tcW w:w="737" w:type="dxa"/>
            <w:noWrap/>
            <w:vAlign w:val="center"/>
            <w:hideMark/>
          </w:tcPr>
          <w:p w14:paraId="06585893" w14:textId="457E74C7"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3,7%</w:t>
            </w:r>
          </w:p>
        </w:tc>
        <w:tc>
          <w:tcPr>
            <w:tcW w:w="738" w:type="dxa"/>
            <w:noWrap/>
            <w:vAlign w:val="center"/>
            <w:hideMark/>
          </w:tcPr>
          <w:p w14:paraId="064AA34C" w14:textId="475DB625"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4,4%</w:t>
            </w:r>
          </w:p>
        </w:tc>
        <w:tc>
          <w:tcPr>
            <w:tcW w:w="738" w:type="dxa"/>
            <w:noWrap/>
            <w:vAlign w:val="center"/>
            <w:hideMark/>
          </w:tcPr>
          <w:p w14:paraId="78674E4F" w14:textId="2C5D4259"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6,0%</w:t>
            </w:r>
          </w:p>
        </w:tc>
        <w:tc>
          <w:tcPr>
            <w:tcW w:w="738" w:type="dxa"/>
            <w:noWrap/>
            <w:vAlign w:val="center"/>
            <w:hideMark/>
          </w:tcPr>
          <w:p w14:paraId="2E341347" w14:textId="42FD336A"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6,8%</w:t>
            </w:r>
          </w:p>
        </w:tc>
        <w:tc>
          <w:tcPr>
            <w:tcW w:w="737" w:type="dxa"/>
            <w:noWrap/>
            <w:vAlign w:val="center"/>
            <w:hideMark/>
          </w:tcPr>
          <w:p w14:paraId="1ED457E6" w14:textId="4F64A24B"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12,5%</w:t>
            </w:r>
          </w:p>
        </w:tc>
        <w:tc>
          <w:tcPr>
            <w:tcW w:w="738" w:type="dxa"/>
            <w:noWrap/>
            <w:vAlign w:val="center"/>
            <w:hideMark/>
          </w:tcPr>
          <w:p w14:paraId="533CC282" w14:textId="06A6A15B"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21,4%</w:t>
            </w:r>
          </w:p>
        </w:tc>
        <w:tc>
          <w:tcPr>
            <w:tcW w:w="738" w:type="dxa"/>
            <w:noWrap/>
            <w:vAlign w:val="center"/>
            <w:hideMark/>
          </w:tcPr>
          <w:p w14:paraId="5CFED8A8" w14:textId="3A9DAFA1"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44,8%</w:t>
            </w:r>
          </w:p>
        </w:tc>
        <w:tc>
          <w:tcPr>
            <w:tcW w:w="738" w:type="dxa"/>
            <w:noWrap/>
            <w:vAlign w:val="center"/>
            <w:hideMark/>
          </w:tcPr>
          <w:p w14:paraId="37CA804B" w14:textId="75C81FA2"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68,1%</w:t>
            </w:r>
          </w:p>
        </w:tc>
      </w:tr>
      <w:tr w:rsidR="00A0520D" w:rsidRPr="003B4324" w14:paraId="24EAF797" w14:textId="77777777" w:rsidTr="000A2AFE">
        <w:trPr>
          <w:trHeight w:val="300"/>
        </w:trPr>
        <w:tc>
          <w:tcPr>
            <w:tcW w:w="1661" w:type="dxa"/>
            <w:shd w:val="clear" w:color="auto" w:fill="E7E6E6"/>
            <w:noWrap/>
            <w:vAlign w:val="center"/>
            <w:hideMark/>
          </w:tcPr>
          <w:p w14:paraId="5617A8E3" w14:textId="72BE849E" w:rsidR="00A0520D" w:rsidRPr="004254D2" w:rsidRDefault="00A0520D" w:rsidP="00A0520D">
            <w:pPr>
              <w:spacing w:after="0" w:line="240" w:lineRule="auto"/>
              <w:jc w:val="left"/>
              <w:rPr>
                <w:rFonts w:ascii="Calibri Light" w:hAnsi="Calibri Light" w:cs="Calibri Light"/>
                <w:color w:val="000000" w:themeColor="text1"/>
              </w:rPr>
            </w:pPr>
            <w:r w:rsidRPr="003208FA">
              <w:rPr>
                <w:rFonts w:ascii="Calibri Light" w:hAnsi="Calibri Light" w:cs="Calibri Light"/>
                <w:color w:val="000000" w:themeColor="text1"/>
              </w:rPr>
              <w:t>Сценарио-S-N</w:t>
            </w:r>
          </w:p>
        </w:tc>
        <w:tc>
          <w:tcPr>
            <w:tcW w:w="737" w:type="dxa"/>
            <w:noWrap/>
            <w:vAlign w:val="center"/>
            <w:hideMark/>
          </w:tcPr>
          <w:p w14:paraId="64B6E1CE" w14:textId="586C60BF" w:rsidR="00A0520D" w:rsidRPr="004254D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1,2%</w:t>
            </w:r>
          </w:p>
        </w:tc>
        <w:tc>
          <w:tcPr>
            <w:tcW w:w="738" w:type="dxa"/>
            <w:noWrap/>
            <w:vAlign w:val="center"/>
            <w:hideMark/>
          </w:tcPr>
          <w:p w14:paraId="570197C4" w14:textId="352D088A"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2,9%</w:t>
            </w:r>
          </w:p>
        </w:tc>
        <w:tc>
          <w:tcPr>
            <w:tcW w:w="738" w:type="dxa"/>
            <w:noWrap/>
            <w:vAlign w:val="center"/>
            <w:hideMark/>
          </w:tcPr>
          <w:p w14:paraId="732824AC" w14:textId="6668A3BE"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3,3%</w:t>
            </w:r>
          </w:p>
        </w:tc>
        <w:tc>
          <w:tcPr>
            <w:tcW w:w="737" w:type="dxa"/>
            <w:noWrap/>
            <w:vAlign w:val="center"/>
            <w:hideMark/>
          </w:tcPr>
          <w:p w14:paraId="6613DEF5" w14:textId="61968C8D"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3,7%</w:t>
            </w:r>
          </w:p>
        </w:tc>
        <w:tc>
          <w:tcPr>
            <w:tcW w:w="738" w:type="dxa"/>
            <w:noWrap/>
            <w:vAlign w:val="center"/>
            <w:hideMark/>
          </w:tcPr>
          <w:p w14:paraId="235D3C3D" w14:textId="3A41F219"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4,4%</w:t>
            </w:r>
          </w:p>
        </w:tc>
        <w:tc>
          <w:tcPr>
            <w:tcW w:w="738" w:type="dxa"/>
            <w:noWrap/>
            <w:vAlign w:val="center"/>
            <w:hideMark/>
          </w:tcPr>
          <w:p w14:paraId="4ADCC4D4" w14:textId="604CDF85"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6,0%</w:t>
            </w:r>
          </w:p>
        </w:tc>
        <w:tc>
          <w:tcPr>
            <w:tcW w:w="738" w:type="dxa"/>
            <w:noWrap/>
            <w:vAlign w:val="center"/>
            <w:hideMark/>
          </w:tcPr>
          <w:p w14:paraId="1277DC99" w14:textId="13B7978A"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6,8%</w:t>
            </w:r>
          </w:p>
        </w:tc>
        <w:tc>
          <w:tcPr>
            <w:tcW w:w="737" w:type="dxa"/>
            <w:noWrap/>
            <w:vAlign w:val="center"/>
            <w:hideMark/>
          </w:tcPr>
          <w:p w14:paraId="1B569C6C" w14:textId="1B30D6DC"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12,5%</w:t>
            </w:r>
          </w:p>
        </w:tc>
        <w:tc>
          <w:tcPr>
            <w:tcW w:w="738" w:type="dxa"/>
            <w:noWrap/>
            <w:vAlign w:val="center"/>
            <w:hideMark/>
          </w:tcPr>
          <w:p w14:paraId="64BB8F9B" w14:textId="52EC0D78"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23,8%</w:t>
            </w:r>
          </w:p>
        </w:tc>
        <w:tc>
          <w:tcPr>
            <w:tcW w:w="738" w:type="dxa"/>
            <w:noWrap/>
            <w:vAlign w:val="center"/>
            <w:hideMark/>
          </w:tcPr>
          <w:p w14:paraId="0A812C3E" w14:textId="1BA4B818"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48,9%</w:t>
            </w:r>
          </w:p>
        </w:tc>
        <w:tc>
          <w:tcPr>
            <w:tcW w:w="738" w:type="dxa"/>
            <w:noWrap/>
            <w:vAlign w:val="center"/>
            <w:hideMark/>
          </w:tcPr>
          <w:p w14:paraId="188AEE77" w14:textId="777695AA"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71,1%</w:t>
            </w:r>
          </w:p>
        </w:tc>
      </w:tr>
    </w:tbl>
    <w:p w14:paraId="36946691" w14:textId="12E7D17E" w:rsidR="00873C40" w:rsidRDefault="00873C40" w:rsidP="00565B02">
      <w:pPr>
        <w:pStyle w:val="Caption"/>
        <w:keepNext/>
        <w:spacing w:before="200"/>
      </w:pPr>
      <w:bookmarkStart w:id="544" w:name="_Toc153901515"/>
      <w:r>
        <w:t xml:space="preserve">Табела </w:t>
      </w:r>
      <w:r>
        <w:fldChar w:fldCharType="begin"/>
      </w:r>
      <w:r>
        <w:instrText xml:space="preserve"> STYLEREF 1 \s </w:instrText>
      </w:r>
      <w:r>
        <w:fldChar w:fldCharType="separate"/>
      </w:r>
      <w:r>
        <w:rPr>
          <w:noProof/>
        </w:rPr>
        <w:t>V</w:t>
      </w:r>
      <w:r>
        <w:fldChar w:fldCharType="end"/>
      </w:r>
      <w:r>
        <w:t>.</w:t>
      </w:r>
      <w:r>
        <w:fldChar w:fldCharType="begin"/>
      </w:r>
      <w:r>
        <w:instrText xml:space="preserve"> SEQ Табела \* ARABIC \s 1 </w:instrText>
      </w:r>
      <w:r>
        <w:fldChar w:fldCharType="separate"/>
      </w:r>
      <w:r>
        <w:rPr>
          <w:noProof/>
        </w:rPr>
        <w:t>20</w:t>
      </w:r>
      <w:r>
        <w:fldChar w:fldCharType="end"/>
      </w:r>
      <w:r w:rsidR="00390387" w:rsidRPr="00390387">
        <w:t>: Удео ОИЕ у грејању [%]</w:t>
      </w:r>
      <w:bookmarkEnd w:id="544"/>
    </w:p>
    <w:tbl>
      <w:tblPr>
        <w:tblStyle w:val="TableGrid"/>
        <w:tblW w:w="9776" w:type="dxa"/>
        <w:tblLayout w:type="fixed"/>
        <w:tblLook w:val="04A0" w:firstRow="1" w:lastRow="0" w:firstColumn="1" w:lastColumn="0" w:noHBand="0" w:noVBand="1"/>
      </w:tblPr>
      <w:tblGrid>
        <w:gridCol w:w="1661"/>
        <w:gridCol w:w="737"/>
        <w:gridCol w:w="738"/>
        <w:gridCol w:w="738"/>
        <w:gridCol w:w="737"/>
        <w:gridCol w:w="738"/>
        <w:gridCol w:w="738"/>
        <w:gridCol w:w="738"/>
        <w:gridCol w:w="737"/>
        <w:gridCol w:w="738"/>
        <w:gridCol w:w="738"/>
        <w:gridCol w:w="738"/>
      </w:tblGrid>
      <w:tr w:rsidR="00227FBF" w:rsidRPr="003B4324" w14:paraId="6FB66A92" w14:textId="77777777" w:rsidTr="0057310C">
        <w:trPr>
          <w:trHeight w:val="300"/>
        </w:trPr>
        <w:tc>
          <w:tcPr>
            <w:tcW w:w="1661" w:type="dxa"/>
            <w:shd w:val="clear" w:color="auto" w:fill="404040"/>
            <w:noWrap/>
            <w:vAlign w:val="center"/>
            <w:hideMark/>
          </w:tcPr>
          <w:p w14:paraId="764BDE5F" w14:textId="477CF93F" w:rsidR="00227FBF" w:rsidRPr="004254D2" w:rsidRDefault="00227FBF" w:rsidP="0057310C">
            <w:pPr>
              <w:spacing w:after="0" w:line="240" w:lineRule="auto"/>
              <w:jc w:val="center"/>
              <w:rPr>
                <w:rFonts w:ascii="Calibri Light" w:hAnsi="Calibri Light" w:cs="Calibri Light"/>
                <w:color w:val="000000" w:themeColor="text1"/>
              </w:rPr>
            </w:pPr>
            <w:r w:rsidRPr="00227FBF">
              <w:rPr>
                <w:rFonts w:ascii="Calibri Light" w:hAnsi="Calibri Light" w:cs="Calibri Light"/>
                <w:color w:val="FFFFFF" w:themeColor="background1"/>
              </w:rPr>
              <w:t xml:space="preserve">Удео ОИЕ у грејању </w:t>
            </w:r>
            <w:r w:rsidRPr="00AE1A39">
              <w:rPr>
                <w:rFonts w:ascii="Calibri Light" w:hAnsi="Calibri Light" w:cs="Calibri Light"/>
                <w:color w:val="FFFFFF" w:themeColor="background1"/>
              </w:rPr>
              <w:t>[%]</w:t>
            </w:r>
          </w:p>
        </w:tc>
        <w:tc>
          <w:tcPr>
            <w:tcW w:w="737" w:type="dxa"/>
            <w:shd w:val="clear" w:color="auto" w:fill="1F497D"/>
            <w:noWrap/>
            <w:vAlign w:val="center"/>
            <w:hideMark/>
          </w:tcPr>
          <w:p w14:paraId="579ED9DF"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2020</w:t>
            </w:r>
          </w:p>
        </w:tc>
        <w:tc>
          <w:tcPr>
            <w:tcW w:w="738" w:type="dxa"/>
            <w:shd w:val="clear" w:color="auto" w:fill="1F497D"/>
            <w:noWrap/>
            <w:vAlign w:val="center"/>
            <w:hideMark/>
          </w:tcPr>
          <w:p w14:paraId="0419277E"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2025</w:t>
            </w:r>
          </w:p>
        </w:tc>
        <w:tc>
          <w:tcPr>
            <w:tcW w:w="738" w:type="dxa"/>
            <w:shd w:val="clear" w:color="auto" w:fill="1F497D"/>
            <w:noWrap/>
            <w:vAlign w:val="center"/>
            <w:hideMark/>
          </w:tcPr>
          <w:p w14:paraId="540CBA54"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2026</w:t>
            </w:r>
          </w:p>
        </w:tc>
        <w:tc>
          <w:tcPr>
            <w:tcW w:w="737" w:type="dxa"/>
            <w:shd w:val="clear" w:color="auto" w:fill="1F497D"/>
            <w:noWrap/>
            <w:vAlign w:val="center"/>
            <w:hideMark/>
          </w:tcPr>
          <w:p w14:paraId="07551324"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2027</w:t>
            </w:r>
          </w:p>
        </w:tc>
        <w:tc>
          <w:tcPr>
            <w:tcW w:w="738" w:type="dxa"/>
            <w:shd w:val="clear" w:color="auto" w:fill="1F497D"/>
            <w:noWrap/>
            <w:vAlign w:val="center"/>
            <w:hideMark/>
          </w:tcPr>
          <w:p w14:paraId="65CC11C2"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2028</w:t>
            </w:r>
          </w:p>
        </w:tc>
        <w:tc>
          <w:tcPr>
            <w:tcW w:w="738" w:type="dxa"/>
            <w:shd w:val="clear" w:color="auto" w:fill="1F497D"/>
            <w:noWrap/>
            <w:vAlign w:val="center"/>
            <w:hideMark/>
          </w:tcPr>
          <w:p w14:paraId="60D23CD4"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2029</w:t>
            </w:r>
          </w:p>
        </w:tc>
        <w:tc>
          <w:tcPr>
            <w:tcW w:w="738" w:type="dxa"/>
            <w:shd w:val="clear" w:color="auto" w:fill="1F497D"/>
            <w:noWrap/>
            <w:vAlign w:val="center"/>
            <w:hideMark/>
          </w:tcPr>
          <w:p w14:paraId="7C748CCB"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2030</w:t>
            </w:r>
          </w:p>
        </w:tc>
        <w:tc>
          <w:tcPr>
            <w:tcW w:w="737" w:type="dxa"/>
            <w:shd w:val="clear" w:color="auto" w:fill="1F497D"/>
            <w:noWrap/>
            <w:vAlign w:val="center"/>
            <w:hideMark/>
          </w:tcPr>
          <w:p w14:paraId="1E4A4AA6"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2035</w:t>
            </w:r>
          </w:p>
        </w:tc>
        <w:tc>
          <w:tcPr>
            <w:tcW w:w="738" w:type="dxa"/>
            <w:shd w:val="clear" w:color="auto" w:fill="1F497D"/>
            <w:noWrap/>
            <w:vAlign w:val="center"/>
            <w:hideMark/>
          </w:tcPr>
          <w:p w14:paraId="231E825F"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2040</w:t>
            </w:r>
          </w:p>
        </w:tc>
        <w:tc>
          <w:tcPr>
            <w:tcW w:w="738" w:type="dxa"/>
            <w:shd w:val="clear" w:color="auto" w:fill="1F497D"/>
            <w:noWrap/>
            <w:vAlign w:val="center"/>
            <w:hideMark/>
          </w:tcPr>
          <w:p w14:paraId="647C3599"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2045</w:t>
            </w:r>
          </w:p>
        </w:tc>
        <w:tc>
          <w:tcPr>
            <w:tcW w:w="738" w:type="dxa"/>
            <w:shd w:val="clear" w:color="auto" w:fill="1F497D"/>
            <w:noWrap/>
            <w:vAlign w:val="center"/>
            <w:hideMark/>
          </w:tcPr>
          <w:p w14:paraId="0C212C8A"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2050</w:t>
            </w:r>
          </w:p>
        </w:tc>
      </w:tr>
      <w:tr w:rsidR="00A0520D" w:rsidRPr="003B4324" w14:paraId="48D791B9" w14:textId="77777777" w:rsidTr="000A2AFE">
        <w:trPr>
          <w:trHeight w:val="300"/>
        </w:trPr>
        <w:tc>
          <w:tcPr>
            <w:tcW w:w="1661" w:type="dxa"/>
            <w:shd w:val="clear" w:color="auto" w:fill="E7E6E6"/>
            <w:noWrap/>
            <w:vAlign w:val="bottom"/>
            <w:hideMark/>
          </w:tcPr>
          <w:p w14:paraId="442344F8" w14:textId="77777777" w:rsidR="00A0520D" w:rsidRPr="004254D2" w:rsidRDefault="00A0520D" w:rsidP="00A0520D">
            <w:pPr>
              <w:spacing w:after="0" w:line="240" w:lineRule="auto"/>
              <w:jc w:val="left"/>
              <w:rPr>
                <w:rFonts w:ascii="Calibri Light" w:hAnsi="Calibri Light" w:cs="Calibri Light"/>
                <w:color w:val="000000" w:themeColor="text1"/>
              </w:rPr>
            </w:pPr>
            <w:r w:rsidRPr="002574F2">
              <w:rPr>
                <w:rFonts w:ascii="Calibri Light" w:hAnsi="Calibri Light" w:cs="Calibri Light"/>
                <w:color w:val="000000" w:themeColor="text1"/>
              </w:rPr>
              <w:t>WEM</w:t>
            </w:r>
          </w:p>
        </w:tc>
        <w:tc>
          <w:tcPr>
            <w:tcW w:w="737" w:type="dxa"/>
            <w:noWrap/>
            <w:vAlign w:val="center"/>
            <w:hideMark/>
          </w:tcPr>
          <w:p w14:paraId="1819C785" w14:textId="43AB90DF" w:rsidR="00A0520D" w:rsidRPr="004254D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35,7%</w:t>
            </w:r>
          </w:p>
        </w:tc>
        <w:tc>
          <w:tcPr>
            <w:tcW w:w="738" w:type="dxa"/>
            <w:noWrap/>
            <w:vAlign w:val="center"/>
            <w:hideMark/>
          </w:tcPr>
          <w:p w14:paraId="30080299" w14:textId="1475ACA1"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42,9%</w:t>
            </w:r>
          </w:p>
        </w:tc>
        <w:tc>
          <w:tcPr>
            <w:tcW w:w="738" w:type="dxa"/>
            <w:noWrap/>
            <w:vAlign w:val="center"/>
            <w:hideMark/>
          </w:tcPr>
          <w:p w14:paraId="3E5873C9" w14:textId="359A6D81"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42,3%</w:t>
            </w:r>
          </w:p>
        </w:tc>
        <w:tc>
          <w:tcPr>
            <w:tcW w:w="737" w:type="dxa"/>
            <w:noWrap/>
            <w:vAlign w:val="center"/>
            <w:hideMark/>
          </w:tcPr>
          <w:p w14:paraId="625EB571" w14:textId="2659F911"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41,3%</w:t>
            </w:r>
          </w:p>
        </w:tc>
        <w:tc>
          <w:tcPr>
            <w:tcW w:w="738" w:type="dxa"/>
            <w:noWrap/>
            <w:vAlign w:val="center"/>
            <w:hideMark/>
          </w:tcPr>
          <w:p w14:paraId="66639E91" w14:textId="056914E0"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40,7%</w:t>
            </w:r>
          </w:p>
        </w:tc>
        <w:tc>
          <w:tcPr>
            <w:tcW w:w="738" w:type="dxa"/>
            <w:noWrap/>
            <w:vAlign w:val="center"/>
            <w:hideMark/>
          </w:tcPr>
          <w:p w14:paraId="16C71DCF" w14:textId="16AC9824"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39,6%</w:t>
            </w:r>
          </w:p>
        </w:tc>
        <w:tc>
          <w:tcPr>
            <w:tcW w:w="738" w:type="dxa"/>
            <w:noWrap/>
            <w:vAlign w:val="center"/>
            <w:hideMark/>
          </w:tcPr>
          <w:p w14:paraId="6FCF4EB6" w14:textId="41F789A5"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38,9%</w:t>
            </w:r>
          </w:p>
        </w:tc>
        <w:tc>
          <w:tcPr>
            <w:tcW w:w="737" w:type="dxa"/>
            <w:noWrap/>
            <w:vAlign w:val="center"/>
            <w:hideMark/>
          </w:tcPr>
          <w:p w14:paraId="7F0B8503" w14:textId="4FEEADA3"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37,0%</w:t>
            </w:r>
          </w:p>
        </w:tc>
        <w:tc>
          <w:tcPr>
            <w:tcW w:w="738" w:type="dxa"/>
            <w:noWrap/>
            <w:vAlign w:val="center"/>
            <w:hideMark/>
          </w:tcPr>
          <w:p w14:paraId="77FACFAE" w14:textId="0A1D57F4"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33,4%</w:t>
            </w:r>
          </w:p>
        </w:tc>
        <w:tc>
          <w:tcPr>
            <w:tcW w:w="738" w:type="dxa"/>
            <w:noWrap/>
            <w:vAlign w:val="center"/>
            <w:hideMark/>
          </w:tcPr>
          <w:p w14:paraId="6BFE2F55" w14:textId="4F02D731"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32,3%</w:t>
            </w:r>
          </w:p>
        </w:tc>
        <w:tc>
          <w:tcPr>
            <w:tcW w:w="738" w:type="dxa"/>
            <w:noWrap/>
            <w:vAlign w:val="center"/>
            <w:hideMark/>
          </w:tcPr>
          <w:p w14:paraId="116ACA17" w14:textId="7BB14181"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31,3%</w:t>
            </w:r>
          </w:p>
        </w:tc>
      </w:tr>
      <w:tr w:rsidR="00A0520D" w:rsidRPr="003B4324" w14:paraId="28E74E21" w14:textId="77777777" w:rsidTr="000A2AFE">
        <w:trPr>
          <w:trHeight w:val="300"/>
        </w:trPr>
        <w:tc>
          <w:tcPr>
            <w:tcW w:w="1661" w:type="dxa"/>
            <w:shd w:val="clear" w:color="auto" w:fill="E7E6E6"/>
            <w:noWrap/>
            <w:vAlign w:val="center"/>
            <w:hideMark/>
          </w:tcPr>
          <w:p w14:paraId="10FE36FC" w14:textId="426BDB24" w:rsidR="00A0520D" w:rsidRPr="004254D2" w:rsidRDefault="00A0520D" w:rsidP="00A0520D">
            <w:pPr>
              <w:spacing w:after="0" w:line="240" w:lineRule="auto"/>
              <w:jc w:val="left"/>
              <w:rPr>
                <w:rFonts w:ascii="Calibri Light" w:hAnsi="Calibri Light" w:cs="Calibri Light"/>
                <w:color w:val="000000" w:themeColor="text1"/>
              </w:rPr>
            </w:pPr>
            <w:r w:rsidRPr="003208FA">
              <w:rPr>
                <w:rFonts w:ascii="Calibri Light" w:hAnsi="Calibri Light" w:cs="Calibri Light"/>
                <w:color w:val="000000" w:themeColor="text1"/>
              </w:rPr>
              <w:t>Сценарио-S</w:t>
            </w:r>
          </w:p>
        </w:tc>
        <w:tc>
          <w:tcPr>
            <w:tcW w:w="737" w:type="dxa"/>
            <w:noWrap/>
            <w:vAlign w:val="center"/>
            <w:hideMark/>
          </w:tcPr>
          <w:p w14:paraId="03900DAF" w14:textId="3DC03A79" w:rsidR="00A0520D" w:rsidRPr="004254D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35,7%</w:t>
            </w:r>
          </w:p>
        </w:tc>
        <w:tc>
          <w:tcPr>
            <w:tcW w:w="738" w:type="dxa"/>
            <w:noWrap/>
            <w:vAlign w:val="center"/>
            <w:hideMark/>
          </w:tcPr>
          <w:p w14:paraId="4869A586" w14:textId="3B6B3CE9"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41,1%</w:t>
            </w:r>
          </w:p>
        </w:tc>
        <w:tc>
          <w:tcPr>
            <w:tcW w:w="738" w:type="dxa"/>
            <w:noWrap/>
            <w:vAlign w:val="center"/>
            <w:hideMark/>
          </w:tcPr>
          <w:p w14:paraId="17FFF34D" w14:textId="299C9062"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41,5%</w:t>
            </w:r>
          </w:p>
        </w:tc>
        <w:tc>
          <w:tcPr>
            <w:tcW w:w="737" w:type="dxa"/>
            <w:noWrap/>
            <w:vAlign w:val="center"/>
            <w:hideMark/>
          </w:tcPr>
          <w:p w14:paraId="5125A0D8" w14:textId="3B1C47F5"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41,2%</w:t>
            </w:r>
          </w:p>
        </w:tc>
        <w:tc>
          <w:tcPr>
            <w:tcW w:w="738" w:type="dxa"/>
            <w:noWrap/>
            <w:vAlign w:val="center"/>
            <w:hideMark/>
          </w:tcPr>
          <w:p w14:paraId="2B987070" w14:textId="1AF67617"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41,1%</w:t>
            </w:r>
          </w:p>
        </w:tc>
        <w:tc>
          <w:tcPr>
            <w:tcW w:w="738" w:type="dxa"/>
            <w:noWrap/>
            <w:vAlign w:val="center"/>
            <w:hideMark/>
          </w:tcPr>
          <w:p w14:paraId="121E36BB" w14:textId="02DAB504"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41,0%</w:t>
            </w:r>
          </w:p>
        </w:tc>
        <w:tc>
          <w:tcPr>
            <w:tcW w:w="738" w:type="dxa"/>
            <w:noWrap/>
            <w:vAlign w:val="center"/>
            <w:hideMark/>
          </w:tcPr>
          <w:p w14:paraId="2C2666B2" w14:textId="29DCA72B"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41,4%</w:t>
            </w:r>
          </w:p>
        </w:tc>
        <w:tc>
          <w:tcPr>
            <w:tcW w:w="737" w:type="dxa"/>
            <w:noWrap/>
            <w:vAlign w:val="center"/>
            <w:hideMark/>
          </w:tcPr>
          <w:p w14:paraId="583E8E6F" w14:textId="2CB8BF72"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44,0%</w:t>
            </w:r>
          </w:p>
        </w:tc>
        <w:tc>
          <w:tcPr>
            <w:tcW w:w="738" w:type="dxa"/>
            <w:noWrap/>
            <w:vAlign w:val="center"/>
            <w:hideMark/>
          </w:tcPr>
          <w:p w14:paraId="72EB1502" w14:textId="68030A7C"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44,2%</w:t>
            </w:r>
          </w:p>
        </w:tc>
        <w:tc>
          <w:tcPr>
            <w:tcW w:w="738" w:type="dxa"/>
            <w:noWrap/>
            <w:vAlign w:val="center"/>
            <w:hideMark/>
          </w:tcPr>
          <w:p w14:paraId="3F91E204" w14:textId="0047F3E8"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41,1%</w:t>
            </w:r>
          </w:p>
        </w:tc>
        <w:tc>
          <w:tcPr>
            <w:tcW w:w="738" w:type="dxa"/>
            <w:noWrap/>
            <w:vAlign w:val="center"/>
            <w:hideMark/>
          </w:tcPr>
          <w:p w14:paraId="5A9889B2" w14:textId="2A0E14A0"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39,1%</w:t>
            </w:r>
          </w:p>
        </w:tc>
      </w:tr>
      <w:tr w:rsidR="00A0520D" w:rsidRPr="003B4324" w14:paraId="13C133C5" w14:textId="77777777" w:rsidTr="000A2AFE">
        <w:trPr>
          <w:trHeight w:val="300"/>
        </w:trPr>
        <w:tc>
          <w:tcPr>
            <w:tcW w:w="1661" w:type="dxa"/>
            <w:shd w:val="clear" w:color="auto" w:fill="E7E6E6"/>
            <w:noWrap/>
            <w:vAlign w:val="center"/>
            <w:hideMark/>
          </w:tcPr>
          <w:p w14:paraId="4CAD0102" w14:textId="54370CF6" w:rsidR="00A0520D" w:rsidRPr="004254D2" w:rsidRDefault="00A0520D" w:rsidP="00A0520D">
            <w:pPr>
              <w:spacing w:after="0" w:line="240" w:lineRule="auto"/>
              <w:jc w:val="left"/>
              <w:rPr>
                <w:rFonts w:ascii="Calibri Light" w:hAnsi="Calibri Light" w:cs="Calibri Light"/>
                <w:color w:val="000000" w:themeColor="text1"/>
              </w:rPr>
            </w:pPr>
            <w:r w:rsidRPr="003208FA">
              <w:rPr>
                <w:rFonts w:ascii="Calibri Light" w:hAnsi="Calibri Light" w:cs="Calibri Light"/>
                <w:color w:val="000000" w:themeColor="text1"/>
              </w:rPr>
              <w:t>Сценарио-S-N</w:t>
            </w:r>
          </w:p>
        </w:tc>
        <w:tc>
          <w:tcPr>
            <w:tcW w:w="737" w:type="dxa"/>
            <w:noWrap/>
            <w:vAlign w:val="center"/>
            <w:hideMark/>
          </w:tcPr>
          <w:p w14:paraId="240C8C56" w14:textId="45150C22" w:rsidR="00A0520D" w:rsidRPr="004254D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35,7%</w:t>
            </w:r>
          </w:p>
        </w:tc>
        <w:tc>
          <w:tcPr>
            <w:tcW w:w="738" w:type="dxa"/>
            <w:noWrap/>
            <w:vAlign w:val="center"/>
            <w:hideMark/>
          </w:tcPr>
          <w:p w14:paraId="10707438" w14:textId="5876E1FC"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41,1%</w:t>
            </w:r>
          </w:p>
        </w:tc>
        <w:tc>
          <w:tcPr>
            <w:tcW w:w="738" w:type="dxa"/>
            <w:noWrap/>
            <w:vAlign w:val="center"/>
            <w:hideMark/>
          </w:tcPr>
          <w:p w14:paraId="45274BEE" w14:textId="1B1A78CA"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41,5%</w:t>
            </w:r>
          </w:p>
        </w:tc>
        <w:tc>
          <w:tcPr>
            <w:tcW w:w="737" w:type="dxa"/>
            <w:noWrap/>
            <w:vAlign w:val="center"/>
            <w:hideMark/>
          </w:tcPr>
          <w:p w14:paraId="0F98BD29" w14:textId="3904EB0A"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41,2%</w:t>
            </w:r>
          </w:p>
        </w:tc>
        <w:tc>
          <w:tcPr>
            <w:tcW w:w="738" w:type="dxa"/>
            <w:noWrap/>
            <w:vAlign w:val="center"/>
            <w:hideMark/>
          </w:tcPr>
          <w:p w14:paraId="719D7D3F" w14:textId="47F8B8E5"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41,1%</w:t>
            </w:r>
          </w:p>
        </w:tc>
        <w:tc>
          <w:tcPr>
            <w:tcW w:w="738" w:type="dxa"/>
            <w:noWrap/>
            <w:vAlign w:val="center"/>
            <w:hideMark/>
          </w:tcPr>
          <w:p w14:paraId="41DAD24C" w14:textId="6351B6FE"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41,0%</w:t>
            </w:r>
          </w:p>
        </w:tc>
        <w:tc>
          <w:tcPr>
            <w:tcW w:w="738" w:type="dxa"/>
            <w:noWrap/>
            <w:vAlign w:val="center"/>
            <w:hideMark/>
          </w:tcPr>
          <w:p w14:paraId="02C2838E" w14:textId="28331FC6"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41,4%</w:t>
            </w:r>
          </w:p>
        </w:tc>
        <w:tc>
          <w:tcPr>
            <w:tcW w:w="737" w:type="dxa"/>
            <w:noWrap/>
            <w:vAlign w:val="center"/>
            <w:hideMark/>
          </w:tcPr>
          <w:p w14:paraId="7B3D9F2C" w14:textId="332B3B3F"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44,1%</w:t>
            </w:r>
          </w:p>
        </w:tc>
        <w:tc>
          <w:tcPr>
            <w:tcW w:w="738" w:type="dxa"/>
            <w:noWrap/>
            <w:vAlign w:val="center"/>
            <w:hideMark/>
          </w:tcPr>
          <w:p w14:paraId="06104ADC" w14:textId="5CC6B15D"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44,4%</w:t>
            </w:r>
          </w:p>
        </w:tc>
        <w:tc>
          <w:tcPr>
            <w:tcW w:w="738" w:type="dxa"/>
            <w:noWrap/>
            <w:vAlign w:val="center"/>
            <w:hideMark/>
          </w:tcPr>
          <w:p w14:paraId="3A14854E" w14:textId="06B13ACD"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40,6%</w:t>
            </w:r>
          </w:p>
        </w:tc>
        <w:tc>
          <w:tcPr>
            <w:tcW w:w="738" w:type="dxa"/>
            <w:noWrap/>
            <w:vAlign w:val="center"/>
            <w:hideMark/>
          </w:tcPr>
          <w:p w14:paraId="404AE1B2" w14:textId="481A043F"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39,1%</w:t>
            </w:r>
          </w:p>
        </w:tc>
      </w:tr>
    </w:tbl>
    <w:p w14:paraId="7A59B1DA" w14:textId="7962CA23" w:rsidR="00873C40" w:rsidRDefault="00873C40" w:rsidP="00565B02">
      <w:pPr>
        <w:pStyle w:val="Caption"/>
        <w:keepNext/>
        <w:spacing w:before="200"/>
      </w:pPr>
      <w:bookmarkStart w:id="545" w:name="_Toc153901516"/>
      <w:r>
        <w:t xml:space="preserve">Табела </w:t>
      </w:r>
      <w:r>
        <w:fldChar w:fldCharType="begin"/>
      </w:r>
      <w:r>
        <w:instrText xml:space="preserve"> STYLEREF 1 \s </w:instrText>
      </w:r>
      <w:r>
        <w:fldChar w:fldCharType="separate"/>
      </w:r>
      <w:r>
        <w:rPr>
          <w:noProof/>
        </w:rPr>
        <w:t>V</w:t>
      </w:r>
      <w:r>
        <w:fldChar w:fldCharType="end"/>
      </w:r>
      <w:r>
        <w:t>.</w:t>
      </w:r>
      <w:r>
        <w:fldChar w:fldCharType="begin"/>
      </w:r>
      <w:r>
        <w:instrText xml:space="preserve"> SEQ Табела \* ARABIC \s 1 </w:instrText>
      </w:r>
      <w:r>
        <w:fldChar w:fldCharType="separate"/>
      </w:r>
      <w:r>
        <w:rPr>
          <w:noProof/>
        </w:rPr>
        <w:t>21</w:t>
      </w:r>
      <w:r>
        <w:fldChar w:fldCharType="end"/>
      </w:r>
      <w:r w:rsidR="00390387" w:rsidRPr="00390387">
        <w:t>: Инсталисани капацитет ветроелектрана [GW]</w:t>
      </w:r>
      <w:bookmarkEnd w:id="545"/>
    </w:p>
    <w:tbl>
      <w:tblPr>
        <w:tblStyle w:val="TableGrid"/>
        <w:tblW w:w="9776" w:type="dxa"/>
        <w:tblLayout w:type="fixed"/>
        <w:tblLook w:val="04A0" w:firstRow="1" w:lastRow="0" w:firstColumn="1" w:lastColumn="0" w:noHBand="0" w:noVBand="1"/>
      </w:tblPr>
      <w:tblGrid>
        <w:gridCol w:w="1661"/>
        <w:gridCol w:w="737"/>
        <w:gridCol w:w="738"/>
        <w:gridCol w:w="738"/>
        <w:gridCol w:w="737"/>
        <w:gridCol w:w="738"/>
        <w:gridCol w:w="738"/>
        <w:gridCol w:w="738"/>
        <w:gridCol w:w="737"/>
        <w:gridCol w:w="738"/>
        <w:gridCol w:w="738"/>
        <w:gridCol w:w="738"/>
      </w:tblGrid>
      <w:tr w:rsidR="00227FBF" w:rsidRPr="003B4324" w14:paraId="3266BA43" w14:textId="77777777" w:rsidTr="0057310C">
        <w:trPr>
          <w:trHeight w:val="300"/>
        </w:trPr>
        <w:tc>
          <w:tcPr>
            <w:tcW w:w="1661" w:type="dxa"/>
            <w:shd w:val="clear" w:color="auto" w:fill="404040"/>
            <w:noWrap/>
            <w:vAlign w:val="center"/>
            <w:hideMark/>
          </w:tcPr>
          <w:p w14:paraId="43ACFC4C" w14:textId="43E27333" w:rsidR="00227FBF" w:rsidRPr="004254D2" w:rsidRDefault="005274E3" w:rsidP="0057310C">
            <w:pPr>
              <w:spacing w:after="0" w:line="240" w:lineRule="auto"/>
              <w:jc w:val="center"/>
              <w:rPr>
                <w:rFonts w:ascii="Calibri Light" w:hAnsi="Calibri Light" w:cs="Calibri Light"/>
                <w:color w:val="000000" w:themeColor="text1"/>
              </w:rPr>
            </w:pPr>
            <w:r w:rsidRPr="005274E3">
              <w:rPr>
                <w:rFonts w:ascii="Calibri Light" w:hAnsi="Calibri Light" w:cs="Calibri Light"/>
                <w:color w:val="FFFFFF" w:themeColor="background1"/>
              </w:rPr>
              <w:t xml:space="preserve">Инсталисани капацитет ветроелектрана </w:t>
            </w:r>
            <w:r w:rsidR="00227FBF" w:rsidRPr="00AE1A39">
              <w:rPr>
                <w:rFonts w:ascii="Calibri Light" w:hAnsi="Calibri Light" w:cs="Calibri Light"/>
                <w:color w:val="FFFFFF" w:themeColor="background1"/>
              </w:rPr>
              <w:t>[</w:t>
            </w:r>
            <w:r w:rsidR="00227FBF">
              <w:rPr>
                <w:rFonts w:ascii="Calibri Light" w:hAnsi="Calibri Light" w:cs="Calibri Light"/>
                <w:color w:val="FFFFFF" w:themeColor="background1"/>
              </w:rPr>
              <w:t>GW</w:t>
            </w:r>
            <w:r w:rsidR="00227FBF" w:rsidRPr="00AE1A39">
              <w:rPr>
                <w:rFonts w:ascii="Calibri Light" w:hAnsi="Calibri Light" w:cs="Calibri Light"/>
                <w:color w:val="FFFFFF" w:themeColor="background1"/>
              </w:rPr>
              <w:t>]</w:t>
            </w:r>
          </w:p>
        </w:tc>
        <w:tc>
          <w:tcPr>
            <w:tcW w:w="737" w:type="dxa"/>
            <w:shd w:val="clear" w:color="auto" w:fill="1F497D"/>
            <w:noWrap/>
            <w:vAlign w:val="center"/>
            <w:hideMark/>
          </w:tcPr>
          <w:p w14:paraId="5E57B571"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2020</w:t>
            </w:r>
          </w:p>
        </w:tc>
        <w:tc>
          <w:tcPr>
            <w:tcW w:w="738" w:type="dxa"/>
            <w:shd w:val="clear" w:color="auto" w:fill="1F497D"/>
            <w:noWrap/>
            <w:vAlign w:val="center"/>
            <w:hideMark/>
          </w:tcPr>
          <w:p w14:paraId="65D894FA"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2025</w:t>
            </w:r>
          </w:p>
        </w:tc>
        <w:tc>
          <w:tcPr>
            <w:tcW w:w="738" w:type="dxa"/>
            <w:shd w:val="clear" w:color="auto" w:fill="1F497D"/>
            <w:noWrap/>
            <w:vAlign w:val="center"/>
            <w:hideMark/>
          </w:tcPr>
          <w:p w14:paraId="40D82E5C"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2026</w:t>
            </w:r>
          </w:p>
        </w:tc>
        <w:tc>
          <w:tcPr>
            <w:tcW w:w="737" w:type="dxa"/>
            <w:shd w:val="clear" w:color="auto" w:fill="1F497D"/>
            <w:noWrap/>
            <w:vAlign w:val="center"/>
            <w:hideMark/>
          </w:tcPr>
          <w:p w14:paraId="40775CB5"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2027</w:t>
            </w:r>
          </w:p>
        </w:tc>
        <w:tc>
          <w:tcPr>
            <w:tcW w:w="738" w:type="dxa"/>
            <w:shd w:val="clear" w:color="auto" w:fill="1F497D"/>
            <w:noWrap/>
            <w:vAlign w:val="center"/>
            <w:hideMark/>
          </w:tcPr>
          <w:p w14:paraId="3E2C6B10"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2028</w:t>
            </w:r>
          </w:p>
        </w:tc>
        <w:tc>
          <w:tcPr>
            <w:tcW w:w="738" w:type="dxa"/>
            <w:shd w:val="clear" w:color="auto" w:fill="1F497D"/>
            <w:noWrap/>
            <w:vAlign w:val="center"/>
            <w:hideMark/>
          </w:tcPr>
          <w:p w14:paraId="49142073"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2029</w:t>
            </w:r>
          </w:p>
        </w:tc>
        <w:tc>
          <w:tcPr>
            <w:tcW w:w="738" w:type="dxa"/>
            <w:shd w:val="clear" w:color="auto" w:fill="1F497D"/>
            <w:noWrap/>
            <w:vAlign w:val="center"/>
            <w:hideMark/>
          </w:tcPr>
          <w:p w14:paraId="242DBB3D"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2030</w:t>
            </w:r>
          </w:p>
        </w:tc>
        <w:tc>
          <w:tcPr>
            <w:tcW w:w="737" w:type="dxa"/>
            <w:shd w:val="clear" w:color="auto" w:fill="1F497D"/>
            <w:noWrap/>
            <w:vAlign w:val="center"/>
            <w:hideMark/>
          </w:tcPr>
          <w:p w14:paraId="0974D660"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2035</w:t>
            </w:r>
          </w:p>
        </w:tc>
        <w:tc>
          <w:tcPr>
            <w:tcW w:w="738" w:type="dxa"/>
            <w:shd w:val="clear" w:color="auto" w:fill="1F497D"/>
            <w:noWrap/>
            <w:vAlign w:val="center"/>
            <w:hideMark/>
          </w:tcPr>
          <w:p w14:paraId="6250D1BA"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2040</w:t>
            </w:r>
          </w:p>
        </w:tc>
        <w:tc>
          <w:tcPr>
            <w:tcW w:w="738" w:type="dxa"/>
            <w:shd w:val="clear" w:color="auto" w:fill="1F497D"/>
            <w:noWrap/>
            <w:vAlign w:val="center"/>
            <w:hideMark/>
          </w:tcPr>
          <w:p w14:paraId="518AB6E5"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2045</w:t>
            </w:r>
          </w:p>
        </w:tc>
        <w:tc>
          <w:tcPr>
            <w:tcW w:w="738" w:type="dxa"/>
            <w:shd w:val="clear" w:color="auto" w:fill="1F497D"/>
            <w:noWrap/>
            <w:vAlign w:val="center"/>
            <w:hideMark/>
          </w:tcPr>
          <w:p w14:paraId="51973F5D"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2050</w:t>
            </w:r>
          </w:p>
        </w:tc>
      </w:tr>
      <w:tr w:rsidR="00A0520D" w:rsidRPr="003B4324" w14:paraId="75F17432" w14:textId="77777777" w:rsidTr="000A2AFE">
        <w:trPr>
          <w:trHeight w:val="300"/>
        </w:trPr>
        <w:tc>
          <w:tcPr>
            <w:tcW w:w="1661" w:type="dxa"/>
            <w:shd w:val="clear" w:color="auto" w:fill="E7E6E6"/>
            <w:noWrap/>
            <w:vAlign w:val="bottom"/>
            <w:hideMark/>
          </w:tcPr>
          <w:p w14:paraId="2A047043" w14:textId="77777777" w:rsidR="00A0520D" w:rsidRPr="004254D2" w:rsidRDefault="00A0520D" w:rsidP="00A0520D">
            <w:pPr>
              <w:spacing w:after="0" w:line="240" w:lineRule="auto"/>
              <w:jc w:val="left"/>
              <w:rPr>
                <w:rFonts w:ascii="Calibri Light" w:hAnsi="Calibri Light" w:cs="Calibri Light"/>
                <w:color w:val="000000" w:themeColor="text1"/>
              </w:rPr>
            </w:pPr>
            <w:r w:rsidRPr="002574F2">
              <w:rPr>
                <w:rFonts w:ascii="Calibri Light" w:hAnsi="Calibri Light" w:cs="Calibri Light"/>
                <w:color w:val="000000" w:themeColor="text1"/>
              </w:rPr>
              <w:t>WEM</w:t>
            </w:r>
          </w:p>
        </w:tc>
        <w:tc>
          <w:tcPr>
            <w:tcW w:w="737" w:type="dxa"/>
            <w:noWrap/>
            <w:vAlign w:val="center"/>
            <w:hideMark/>
          </w:tcPr>
          <w:p w14:paraId="07537E9A" w14:textId="605DA35D" w:rsidR="00A0520D" w:rsidRPr="004254D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0,407</w:t>
            </w:r>
          </w:p>
        </w:tc>
        <w:tc>
          <w:tcPr>
            <w:tcW w:w="738" w:type="dxa"/>
            <w:noWrap/>
            <w:vAlign w:val="center"/>
            <w:hideMark/>
          </w:tcPr>
          <w:p w14:paraId="292C9FA1" w14:textId="58074F79"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0,745</w:t>
            </w:r>
          </w:p>
        </w:tc>
        <w:tc>
          <w:tcPr>
            <w:tcW w:w="738" w:type="dxa"/>
            <w:noWrap/>
            <w:vAlign w:val="center"/>
            <w:hideMark/>
          </w:tcPr>
          <w:p w14:paraId="2FF4BA7B" w14:textId="0567F223"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0,745</w:t>
            </w:r>
          </w:p>
        </w:tc>
        <w:tc>
          <w:tcPr>
            <w:tcW w:w="737" w:type="dxa"/>
            <w:noWrap/>
            <w:vAlign w:val="center"/>
            <w:hideMark/>
          </w:tcPr>
          <w:p w14:paraId="5AA2D61A" w14:textId="267B4213"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0,745</w:t>
            </w:r>
          </w:p>
        </w:tc>
        <w:tc>
          <w:tcPr>
            <w:tcW w:w="738" w:type="dxa"/>
            <w:noWrap/>
            <w:vAlign w:val="center"/>
            <w:hideMark/>
          </w:tcPr>
          <w:p w14:paraId="33FC7FFC" w14:textId="3811CEF9"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0,745</w:t>
            </w:r>
          </w:p>
        </w:tc>
        <w:tc>
          <w:tcPr>
            <w:tcW w:w="738" w:type="dxa"/>
            <w:noWrap/>
            <w:vAlign w:val="center"/>
            <w:hideMark/>
          </w:tcPr>
          <w:p w14:paraId="78C6A688" w14:textId="4AD4FE55"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0,745</w:t>
            </w:r>
          </w:p>
        </w:tc>
        <w:tc>
          <w:tcPr>
            <w:tcW w:w="738" w:type="dxa"/>
            <w:noWrap/>
            <w:vAlign w:val="center"/>
            <w:hideMark/>
          </w:tcPr>
          <w:p w14:paraId="77EFB440" w14:textId="4564AEE4"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0,745</w:t>
            </w:r>
          </w:p>
        </w:tc>
        <w:tc>
          <w:tcPr>
            <w:tcW w:w="737" w:type="dxa"/>
            <w:noWrap/>
            <w:vAlign w:val="center"/>
            <w:hideMark/>
          </w:tcPr>
          <w:p w14:paraId="41E2FD67" w14:textId="18ABBFEA"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0,745</w:t>
            </w:r>
          </w:p>
        </w:tc>
        <w:tc>
          <w:tcPr>
            <w:tcW w:w="738" w:type="dxa"/>
            <w:noWrap/>
            <w:vAlign w:val="center"/>
            <w:hideMark/>
          </w:tcPr>
          <w:p w14:paraId="3C201F87" w14:textId="42D45F06"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0,745</w:t>
            </w:r>
          </w:p>
        </w:tc>
        <w:tc>
          <w:tcPr>
            <w:tcW w:w="738" w:type="dxa"/>
            <w:noWrap/>
            <w:vAlign w:val="center"/>
            <w:hideMark/>
          </w:tcPr>
          <w:p w14:paraId="37663FFB" w14:textId="1CBBB082"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0,745</w:t>
            </w:r>
          </w:p>
        </w:tc>
        <w:tc>
          <w:tcPr>
            <w:tcW w:w="738" w:type="dxa"/>
            <w:noWrap/>
            <w:vAlign w:val="center"/>
            <w:hideMark/>
          </w:tcPr>
          <w:p w14:paraId="68B15407" w14:textId="30B40621"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1,659</w:t>
            </w:r>
          </w:p>
        </w:tc>
      </w:tr>
      <w:tr w:rsidR="00A0520D" w:rsidRPr="003B4324" w14:paraId="47C5C882" w14:textId="77777777" w:rsidTr="000A2AFE">
        <w:trPr>
          <w:trHeight w:val="300"/>
        </w:trPr>
        <w:tc>
          <w:tcPr>
            <w:tcW w:w="1661" w:type="dxa"/>
            <w:shd w:val="clear" w:color="auto" w:fill="E7E6E6"/>
            <w:noWrap/>
            <w:vAlign w:val="center"/>
            <w:hideMark/>
          </w:tcPr>
          <w:p w14:paraId="4B039255" w14:textId="487D3EF9" w:rsidR="00A0520D" w:rsidRPr="004254D2" w:rsidRDefault="00A0520D" w:rsidP="00A0520D">
            <w:pPr>
              <w:spacing w:after="0" w:line="240" w:lineRule="auto"/>
              <w:jc w:val="left"/>
              <w:rPr>
                <w:rFonts w:ascii="Calibri Light" w:hAnsi="Calibri Light" w:cs="Calibri Light"/>
                <w:color w:val="000000" w:themeColor="text1"/>
              </w:rPr>
            </w:pPr>
            <w:r w:rsidRPr="003208FA">
              <w:rPr>
                <w:rFonts w:ascii="Calibri Light" w:hAnsi="Calibri Light" w:cs="Calibri Light"/>
                <w:color w:val="000000" w:themeColor="text1"/>
              </w:rPr>
              <w:t>Сценарио-S</w:t>
            </w:r>
          </w:p>
        </w:tc>
        <w:tc>
          <w:tcPr>
            <w:tcW w:w="737" w:type="dxa"/>
            <w:noWrap/>
            <w:vAlign w:val="center"/>
            <w:hideMark/>
          </w:tcPr>
          <w:p w14:paraId="63119D92" w14:textId="30A9786F" w:rsidR="00A0520D" w:rsidRPr="004254D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0,407</w:t>
            </w:r>
          </w:p>
        </w:tc>
        <w:tc>
          <w:tcPr>
            <w:tcW w:w="738" w:type="dxa"/>
            <w:noWrap/>
            <w:vAlign w:val="center"/>
            <w:hideMark/>
          </w:tcPr>
          <w:p w14:paraId="35D6C9F3" w14:textId="30BE5696"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0,895</w:t>
            </w:r>
          </w:p>
        </w:tc>
        <w:tc>
          <w:tcPr>
            <w:tcW w:w="738" w:type="dxa"/>
            <w:noWrap/>
            <w:vAlign w:val="center"/>
            <w:hideMark/>
          </w:tcPr>
          <w:p w14:paraId="0C0E35F0" w14:textId="26E14063"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1,045</w:t>
            </w:r>
          </w:p>
        </w:tc>
        <w:tc>
          <w:tcPr>
            <w:tcW w:w="737" w:type="dxa"/>
            <w:noWrap/>
            <w:vAlign w:val="center"/>
            <w:hideMark/>
          </w:tcPr>
          <w:p w14:paraId="1837F6AE" w14:textId="1DFD00D0"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1,208</w:t>
            </w:r>
          </w:p>
        </w:tc>
        <w:tc>
          <w:tcPr>
            <w:tcW w:w="738" w:type="dxa"/>
            <w:noWrap/>
            <w:vAlign w:val="center"/>
            <w:hideMark/>
          </w:tcPr>
          <w:p w14:paraId="35FF376B" w14:textId="51335A83"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1,383</w:t>
            </w:r>
          </w:p>
        </w:tc>
        <w:tc>
          <w:tcPr>
            <w:tcW w:w="738" w:type="dxa"/>
            <w:noWrap/>
            <w:vAlign w:val="center"/>
            <w:hideMark/>
          </w:tcPr>
          <w:p w14:paraId="1AFDE548" w14:textId="19C45D11"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1,570</w:t>
            </w:r>
          </w:p>
        </w:tc>
        <w:tc>
          <w:tcPr>
            <w:tcW w:w="738" w:type="dxa"/>
            <w:noWrap/>
            <w:vAlign w:val="center"/>
            <w:hideMark/>
          </w:tcPr>
          <w:p w14:paraId="1951B3BB" w14:textId="4A193DC1"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1,770</w:t>
            </w:r>
          </w:p>
        </w:tc>
        <w:tc>
          <w:tcPr>
            <w:tcW w:w="737" w:type="dxa"/>
            <w:noWrap/>
            <w:vAlign w:val="center"/>
            <w:hideMark/>
          </w:tcPr>
          <w:p w14:paraId="6E68C5BA" w14:textId="7E8A22EA"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3,067</w:t>
            </w:r>
          </w:p>
        </w:tc>
        <w:tc>
          <w:tcPr>
            <w:tcW w:w="738" w:type="dxa"/>
            <w:noWrap/>
            <w:vAlign w:val="center"/>
            <w:hideMark/>
          </w:tcPr>
          <w:p w14:paraId="447664A2" w14:textId="5074D5D0"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3,117</w:t>
            </w:r>
          </w:p>
        </w:tc>
        <w:tc>
          <w:tcPr>
            <w:tcW w:w="738" w:type="dxa"/>
            <w:noWrap/>
            <w:vAlign w:val="center"/>
            <w:hideMark/>
          </w:tcPr>
          <w:p w14:paraId="0CFF82A1" w14:textId="5CCB5875"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5,415</w:t>
            </w:r>
          </w:p>
        </w:tc>
        <w:tc>
          <w:tcPr>
            <w:tcW w:w="738" w:type="dxa"/>
            <w:noWrap/>
            <w:vAlign w:val="center"/>
            <w:hideMark/>
          </w:tcPr>
          <w:p w14:paraId="414323EB" w14:textId="1C668719"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7,969</w:t>
            </w:r>
          </w:p>
        </w:tc>
      </w:tr>
      <w:tr w:rsidR="00A0520D" w:rsidRPr="003B4324" w14:paraId="6069B85E" w14:textId="77777777" w:rsidTr="000A2AFE">
        <w:trPr>
          <w:trHeight w:val="300"/>
        </w:trPr>
        <w:tc>
          <w:tcPr>
            <w:tcW w:w="1661" w:type="dxa"/>
            <w:shd w:val="clear" w:color="auto" w:fill="E7E6E6"/>
            <w:noWrap/>
            <w:vAlign w:val="center"/>
            <w:hideMark/>
          </w:tcPr>
          <w:p w14:paraId="09AA10C6" w14:textId="12753C1A" w:rsidR="00A0520D" w:rsidRPr="004254D2" w:rsidRDefault="00A0520D" w:rsidP="00A0520D">
            <w:pPr>
              <w:spacing w:after="0" w:line="240" w:lineRule="auto"/>
              <w:jc w:val="left"/>
              <w:rPr>
                <w:rFonts w:ascii="Calibri Light" w:hAnsi="Calibri Light" w:cs="Calibri Light"/>
                <w:color w:val="000000" w:themeColor="text1"/>
              </w:rPr>
            </w:pPr>
            <w:r w:rsidRPr="003208FA">
              <w:rPr>
                <w:rFonts w:ascii="Calibri Light" w:hAnsi="Calibri Light" w:cs="Calibri Light"/>
                <w:color w:val="000000" w:themeColor="text1"/>
              </w:rPr>
              <w:t>Сценарио-S-N</w:t>
            </w:r>
          </w:p>
        </w:tc>
        <w:tc>
          <w:tcPr>
            <w:tcW w:w="737" w:type="dxa"/>
            <w:noWrap/>
            <w:vAlign w:val="center"/>
            <w:hideMark/>
          </w:tcPr>
          <w:p w14:paraId="5C5244D5" w14:textId="1B7730A0" w:rsidR="00A0520D" w:rsidRPr="004254D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0,407</w:t>
            </w:r>
          </w:p>
        </w:tc>
        <w:tc>
          <w:tcPr>
            <w:tcW w:w="738" w:type="dxa"/>
            <w:noWrap/>
            <w:vAlign w:val="center"/>
            <w:hideMark/>
          </w:tcPr>
          <w:p w14:paraId="5B279577" w14:textId="4CAFDA80"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0,895</w:t>
            </w:r>
          </w:p>
        </w:tc>
        <w:tc>
          <w:tcPr>
            <w:tcW w:w="738" w:type="dxa"/>
            <w:noWrap/>
            <w:vAlign w:val="center"/>
            <w:hideMark/>
          </w:tcPr>
          <w:p w14:paraId="189DDA43" w14:textId="65336152"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1,045</w:t>
            </w:r>
          </w:p>
        </w:tc>
        <w:tc>
          <w:tcPr>
            <w:tcW w:w="737" w:type="dxa"/>
            <w:noWrap/>
            <w:vAlign w:val="center"/>
            <w:hideMark/>
          </w:tcPr>
          <w:p w14:paraId="7ACB029F" w14:textId="7518C7DE"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1,208</w:t>
            </w:r>
          </w:p>
        </w:tc>
        <w:tc>
          <w:tcPr>
            <w:tcW w:w="738" w:type="dxa"/>
            <w:noWrap/>
            <w:vAlign w:val="center"/>
            <w:hideMark/>
          </w:tcPr>
          <w:p w14:paraId="59307623" w14:textId="0CAA3900"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1,383</w:t>
            </w:r>
          </w:p>
        </w:tc>
        <w:tc>
          <w:tcPr>
            <w:tcW w:w="738" w:type="dxa"/>
            <w:noWrap/>
            <w:vAlign w:val="center"/>
            <w:hideMark/>
          </w:tcPr>
          <w:p w14:paraId="3330F79B" w14:textId="7440D68D"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1,570</w:t>
            </w:r>
          </w:p>
        </w:tc>
        <w:tc>
          <w:tcPr>
            <w:tcW w:w="738" w:type="dxa"/>
            <w:noWrap/>
            <w:vAlign w:val="center"/>
            <w:hideMark/>
          </w:tcPr>
          <w:p w14:paraId="7897B572" w14:textId="56B6A5B0"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1,770</w:t>
            </w:r>
          </w:p>
        </w:tc>
        <w:tc>
          <w:tcPr>
            <w:tcW w:w="737" w:type="dxa"/>
            <w:noWrap/>
            <w:vAlign w:val="center"/>
            <w:hideMark/>
          </w:tcPr>
          <w:p w14:paraId="6F18C2D5" w14:textId="54D951CA"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3,109</w:t>
            </w:r>
          </w:p>
        </w:tc>
        <w:tc>
          <w:tcPr>
            <w:tcW w:w="738" w:type="dxa"/>
            <w:noWrap/>
            <w:vAlign w:val="center"/>
            <w:hideMark/>
          </w:tcPr>
          <w:p w14:paraId="23F75F4A" w14:textId="601A691E"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3,158</w:t>
            </w:r>
          </w:p>
        </w:tc>
        <w:tc>
          <w:tcPr>
            <w:tcW w:w="738" w:type="dxa"/>
            <w:noWrap/>
            <w:vAlign w:val="center"/>
            <w:hideMark/>
          </w:tcPr>
          <w:p w14:paraId="640F61BD" w14:textId="509378A4"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5,457</w:t>
            </w:r>
          </w:p>
        </w:tc>
        <w:tc>
          <w:tcPr>
            <w:tcW w:w="738" w:type="dxa"/>
            <w:noWrap/>
            <w:vAlign w:val="center"/>
            <w:hideMark/>
          </w:tcPr>
          <w:p w14:paraId="3D2570EB" w14:textId="3025387A"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8,010</w:t>
            </w:r>
          </w:p>
        </w:tc>
      </w:tr>
    </w:tbl>
    <w:p w14:paraId="756FADE8" w14:textId="7E8A26F0" w:rsidR="00873C40" w:rsidRDefault="00873C40" w:rsidP="00565B02">
      <w:pPr>
        <w:pStyle w:val="Caption"/>
        <w:keepNext/>
        <w:spacing w:before="200"/>
      </w:pPr>
      <w:bookmarkStart w:id="546" w:name="_Toc153901517"/>
      <w:r>
        <w:t xml:space="preserve">Табела </w:t>
      </w:r>
      <w:r>
        <w:fldChar w:fldCharType="begin"/>
      </w:r>
      <w:r>
        <w:instrText xml:space="preserve"> STYLEREF 1 \s </w:instrText>
      </w:r>
      <w:r>
        <w:fldChar w:fldCharType="separate"/>
      </w:r>
      <w:r>
        <w:rPr>
          <w:noProof/>
        </w:rPr>
        <w:t>V</w:t>
      </w:r>
      <w:r>
        <w:fldChar w:fldCharType="end"/>
      </w:r>
      <w:r>
        <w:t>.</w:t>
      </w:r>
      <w:r>
        <w:fldChar w:fldCharType="begin"/>
      </w:r>
      <w:r>
        <w:instrText xml:space="preserve"> SEQ Табела \* ARABIC \s 1 </w:instrText>
      </w:r>
      <w:r>
        <w:fldChar w:fldCharType="separate"/>
      </w:r>
      <w:r>
        <w:rPr>
          <w:noProof/>
        </w:rPr>
        <w:t>22</w:t>
      </w:r>
      <w:r>
        <w:fldChar w:fldCharType="end"/>
      </w:r>
      <w:r w:rsidR="00390387" w:rsidRPr="00390387">
        <w:t>: Инсталисани капацитет соларних електрана [GW]</w:t>
      </w:r>
      <w:bookmarkEnd w:id="546"/>
    </w:p>
    <w:tbl>
      <w:tblPr>
        <w:tblStyle w:val="TableGrid"/>
        <w:tblW w:w="9776" w:type="dxa"/>
        <w:tblLayout w:type="fixed"/>
        <w:tblLook w:val="04A0" w:firstRow="1" w:lastRow="0" w:firstColumn="1" w:lastColumn="0" w:noHBand="0" w:noVBand="1"/>
      </w:tblPr>
      <w:tblGrid>
        <w:gridCol w:w="1271"/>
        <w:gridCol w:w="773"/>
        <w:gridCol w:w="773"/>
        <w:gridCol w:w="773"/>
        <w:gridCol w:w="773"/>
        <w:gridCol w:w="773"/>
        <w:gridCol w:w="774"/>
        <w:gridCol w:w="773"/>
        <w:gridCol w:w="773"/>
        <w:gridCol w:w="773"/>
        <w:gridCol w:w="773"/>
        <w:gridCol w:w="774"/>
      </w:tblGrid>
      <w:tr w:rsidR="00227FBF" w:rsidRPr="003B4324" w14:paraId="3ACD5D60" w14:textId="77777777" w:rsidTr="000A2AFE">
        <w:trPr>
          <w:trHeight w:val="300"/>
        </w:trPr>
        <w:tc>
          <w:tcPr>
            <w:tcW w:w="1271" w:type="dxa"/>
            <w:shd w:val="clear" w:color="auto" w:fill="404040"/>
            <w:noWrap/>
            <w:vAlign w:val="center"/>
            <w:hideMark/>
          </w:tcPr>
          <w:p w14:paraId="7D574F2C" w14:textId="2E889171" w:rsidR="00227FBF" w:rsidRPr="004254D2" w:rsidRDefault="005274E3" w:rsidP="0057310C">
            <w:pPr>
              <w:spacing w:after="0" w:line="240" w:lineRule="auto"/>
              <w:jc w:val="center"/>
              <w:rPr>
                <w:rFonts w:ascii="Calibri Light" w:hAnsi="Calibri Light" w:cs="Calibri Light"/>
                <w:color w:val="000000" w:themeColor="text1"/>
              </w:rPr>
            </w:pPr>
            <w:r w:rsidRPr="005274E3">
              <w:rPr>
                <w:rFonts w:ascii="Calibri Light" w:hAnsi="Calibri Light" w:cs="Calibri Light"/>
                <w:color w:val="FFFFFF" w:themeColor="background1"/>
              </w:rPr>
              <w:t>Инсталисани капацитет соларних електрана</w:t>
            </w:r>
            <w:r w:rsidR="00227FBF">
              <w:rPr>
                <w:rFonts w:ascii="Calibri Light" w:hAnsi="Calibri Light" w:cs="Calibri Light"/>
                <w:color w:val="FFFFFF" w:themeColor="background1"/>
              </w:rPr>
              <w:t xml:space="preserve"> </w:t>
            </w:r>
            <w:r w:rsidR="00227FBF" w:rsidRPr="00AE1A39">
              <w:rPr>
                <w:rFonts w:ascii="Calibri Light" w:hAnsi="Calibri Light" w:cs="Calibri Light"/>
                <w:color w:val="FFFFFF" w:themeColor="background1"/>
              </w:rPr>
              <w:t>[</w:t>
            </w:r>
            <w:r w:rsidR="00227FBF">
              <w:rPr>
                <w:rFonts w:ascii="Calibri Light" w:hAnsi="Calibri Light" w:cs="Calibri Light"/>
                <w:color w:val="FFFFFF" w:themeColor="background1"/>
              </w:rPr>
              <w:t>GW</w:t>
            </w:r>
            <w:r w:rsidR="00227FBF" w:rsidRPr="00AE1A39">
              <w:rPr>
                <w:rFonts w:ascii="Calibri Light" w:hAnsi="Calibri Light" w:cs="Calibri Light"/>
                <w:color w:val="FFFFFF" w:themeColor="background1"/>
              </w:rPr>
              <w:t>]</w:t>
            </w:r>
          </w:p>
        </w:tc>
        <w:tc>
          <w:tcPr>
            <w:tcW w:w="773" w:type="dxa"/>
            <w:shd w:val="clear" w:color="auto" w:fill="1F497D"/>
            <w:noWrap/>
            <w:vAlign w:val="center"/>
            <w:hideMark/>
          </w:tcPr>
          <w:p w14:paraId="198539BB"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2020</w:t>
            </w:r>
          </w:p>
        </w:tc>
        <w:tc>
          <w:tcPr>
            <w:tcW w:w="773" w:type="dxa"/>
            <w:shd w:val="clear" w:color="auto" w:fill="1F497D"/>
            <w:noWrap/>
            <w:vAlign w:val="center"/>
            <w:hideMark/>
          </w:tcPr>
          <w:p w14:paraId="27048065"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2025</w:t>
            </w:r>
          </w:p>
        </w:tc>
        <w:tc>
          <w:tcPr>
            <w:tcW w:w="773" w:type="dxa"/>
            <w:shd w:val="clear" w:color="auto" w:fill="1F497D"/>
            <w:noWrap/>
            <w:vAlign w:val="center"/>
            <w:hideMark/>
          </w:tcPr>
          <w:p w14:paraId="72BE64C7"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2026</w:t>
            </w:r>
          </w:p>
        </w:tc>
        <w:tc>
          <w:tcPr>
            <w:tcW w:w="773" w:type="dxa"/>
            <w:shd w:val="clear" w:color="auto" w:fill="1F497D"/>
            <w:noWrap/>
            <w:vAlign w:val="center"/>
            <w:hideMark/>
          </w:tcPr>
          <w:p w14:paraId="0D2D0814"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2027</w:t>
            </w:r>
          </w:p>
        </w:tc>
        <w:tc>
          <w:tcPr>
            <w:tcW w:w="773" w:type="dxa"/>
            <w:shd w:val="clear" w:color="auto" w:fill="1F497D"/>
            <w:noWrap/>
            <w:vAlign w:val="center"/>
            <w:hideMark/>
          </w:tcPr>
          <w:p w14:paraId="139B9C65"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2028</w:t>
            </w:r>
          </w:p>
        </w:tc>
        <w:tc>
          <w:tcPr>
            <w:tcW w:w="774" w:type="dxa"/>
            <w:shd w:val="clear" w:color="auto" w:fill="1F497D"/>
            <w:noWrap/>
            <w:vAlign w:val="center"/>
            <w:hideMark/>
          </w:tcPr>
          <w:p w14:paraId="53CB79D9"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2029</w:t>
            </w:r>
          </w:p>
        </w:tc>
        <w:tc>
          <w:tcPr>
            <w:tcW w:w="773" w:type="dxa"/>
            <w:shd w:val="clear" w:color="auto" w:fill="1F497D"/>
            <w:noWrap/>
            <w:vAlign w:val="center"/>
            <w:hideMark/>
          </w:tcPr>
          <w:p w14:paraId="400E6BA6"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2030</w:t>
            </w:r>
          </w:p>
        </w:tc>
        <w:tc>
          <w:tcPr>
            <w:tcW w:w="773" w:type="dxa"/>
            <w:shd w:val="clear" w:color="auto" w:fill="1F497D"/>
            <w:noWrap/>
            <w:vAlign w:val="center"/>
            <w:hideMark/>
          </w:tcPr>
          <w:p w14:paraId="044495C7"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2035</w:t>
            </w:r>
          </w:p>
        </w:tc>
        <w:tc>
          <w:tcPr>
            <w:tcW w:w="773" w:type="dxa"/>
            <w:shd w:val="clear" w:color="auto" w:fill="1F497D"/>
            <w:noWrap/>
            <w:vAlign w:val="center"/>
            <w:hideMark/>
          </w:tcPr>
          <w:p w14:paraId="563297EF"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2040</w:t>
            </w:r>
          </w:p>
        </w:tc>
        <w:tc>
          <w:tcPr>
            <w:tcW w:w="773" w:type="dxa"/>
            <w:shd w:val="clear" w:color="auto" w:fill="1F497D"/>
            <w:noWrap/>
            <w:vAlign w:val="center"/>
            <w:hideMark/>
          </w:tcPr>
          <w:p w14:paraId="6DFB7ED8"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2045</w:t>
            </w:r>
          </w:p>
        </w:tc>
        <w:tc>
          <w:tcPr>
            <w:tcW w:w="774" w:type="dxa"/>
            <w:shd w:val="clear" w:color="auto" w:fill="1F497D"/>
            <w:noWrap/>
            <w:vAlign w:val="center"/>
            <w:hideMark/>
          </w:tcPr>
          <w:p w14:paraId="643E0832" w14:textId="77777777" w:rsidR="00227FBF" w:rsidRPr="004254D2" w:rsidRDefault="00227FBF"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2050</w:t>
            </w:r>
          </w:p>
        </w:tc>
      </w:tr>
      <w:tr w:rsidR="00A0520D" w:rsidRPr="003B4324" w14:paraId="70311215" w14:textId="77777777" w:rsidTr="000A2AFE">
        <w:trPr>
          <w:trHeight w:val="300"/>
        </w:trPr>
        <w:tc>
          <w:tcPr>
            <w:tcW w:w="1271" w:type="dxa"/>
            <w:shd w:val="clear" w:color="auto" w:fill="E7E6E6"/>
            <w:noWrap/>
            <w:vAlign w:val="bottom"/>
            <w:hideMark/>
          </w:tcPr>
          <w:p w14:paraId="73840556" w14:textId="77777777" w:rsidR="00A0520D" w:rsidRPr="004254D2" w:rsidRDefault="00A0520D" w:rsidP="00A0520D">
            <w:pPr>
              <w:spacing w:after="0" w:line="240" w:lineRule="auto"/>
              <w:jc w:val="left"/>
              <w:rPr>
                <w:rFonts w:ascii="Calibri Light" w:hAnsi="Calibri Light" w:cs="Calibri Light"/>
                <w:color w:val="000000" w:themeColor="text1"/>
              </w:rPr>
            </w:pPr>
            <w:r w:rsidRPr="002574F2">
              <w:rPr>
                <w:rFonts w:ascii="Calibri Light" w:hAnsi="Calibri Light" w:cs="Calibri Light"/>
                <w:color w:val="000000" w:themeColor="text1"/>
              </w:rPr>
              <w:t>WEM</w:t>
            </w:r>
          </w:p>
        </w:tc>
        <w:tc>
          <w:tcPr>
            <w:tcW w:w="773" w:type="dxa"/>
            <w:noWrap/>
            <w:vAlign w:val="center"/>
            <w:hideMark/>
          </w:tcPr>
          <w:p w14:paraId="2ACDAFCD" w14:textId="5BF81FDA" w:rsidR="00A0520D" w:rsidRPr="004254D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0,016</w:t>
            </w:r>
          </w:p>
        </w:tc>
        <w:tc>
          <w:tcPr>
            <w:tcW w:w="773" w:type="dxa"/>
            <w:noWrap/>
            <w:vAlign w:val="center"/>
            <w:hideMark/>
          </w:tcPr>
          <w:p w14:paraId="2FDE132E" w14:textId="43F73CB3"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0,301</w:t>
            </w:r>
          </w:p>
        </w:tc>
        <w:tc>
          <w:tcPr>
            <w:tcW w:w="773" w:type="dxa"/>
            <w:noWrap/>
            <w:vAlign w:val="center"/>
            <w:hideMark/>
          </w:tcPr>
          <w:p w14:paraId="75929F07" w14:textId="01BB0EA8"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0,301</w:t>
            </w:r>
          </w:p>
        </w:tc>
        <w:tc>
          <w:tcPr>
            <w:tcW w:w="773" w:type="dxa"/>
            <w:noWrap/>
            <w:vAlign w:val="center"/>
            <w:hideMark/>
          </w:tcPr>
          <w:p w14:paraId="14EBCF26" w14:textId="7D70B53E"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0,381</w:t>
            </w:r>
          </w:p>
        </w:tc>
        <w:tc>
          <w:tcPr>
            <w:tcW w:w="773" w:type="dxa"/>
            <w:noWrap/>
            <w:vAlign w:val="center"/>
            <w:hideMark/>
          </w:tcPr>
          <w:p w14:paraId="3576A52B" w14:textId="0067CDAC"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0,381</w:t>
            </w:r>
          </w:p>
        </w:tc>
        <w:tc>
          <w:tcPr>
            <w:tcW w:w="774" w:type="dxa"/>
            <w:noWrap/>
            <w:vAlign w:val="center"/>
            <w:hideMark/>
          </w:tcPr>
          <w:p w14:paraId="23AB3D96" w14:textId="139EC8B1"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0,381</w:t>
            </w:r>
          </w:p>
        </w:tc>
        <w:tc>
          <w:tcPr>
            <w:tcW w:w="773" w:type="dxa"/>
            <w:noWrap/>
            <w:vAlign w:val="center"/>
            <w:hideMark/>
          </w:tcPr>
          <w:p w14:paraId="7B666A99" w14:textId="2647290B"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0,381</w:t>
            </w:r>
          </w:p>
        </w:tc>
        <w:tc>
          <w:tcPr>
            <w:tcW w:w="773" w:type="dxa"/>
            <w:noWrap/>
            <w:vAlign w:val="center"/>
            <w:hideMark/>
          </w:tcPr>
          <w:p w14:paraId="231457E2" w14:textId="3F591200"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0,381</w:t>
            </w:r>
          </w:p>
        </w:tc>
        <w:tc>
          <w:tcPr>
            <w:tcW w:w="773" w:type="dxa"/>
            <w:noWrap/>
            <w:vAlign w:val="center"/>
            <w:hideMark/>
          </w:tcPr>
          <w:p w14:paraId="5E7C4CF2" w14:textId="424477ED"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0,378</w:t>
            </w:r>
          </w:p>
        </w:tc>
        <w:tc>
          <w:tcPr>
            <w:tcW w:w="773" w:type="dxa"/>
            <w:noWrap/>
            <w:vAlign w:val="center"/>
            <w:hideMark/>
          </w:tcPr>
          <w:p w14:paraId="61A0C391" w14:textId="076C1282"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0,366</w:t>
            </w:r>
          </w:p>
        </w:tc>
        <w:tc>
          <w:tcPr>
            <w:tcW w:w="774" w:type="dxa"/>
            <w:noWrap/>
            <w:vAlign w:val="center"/>
            <w:hideMark/>
          </w:tcPr>
          <w:p w14:paraId="6F7B81D7" w14:textId="482F7ECB"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1,772</w:t>
            </w:r>
          </w:p>
        </w:tc>
      </w:tr>
      <w:tr w:rsidR="00A0520D" w:rsidRPr="003B4324" w14:paraId="0F0831E4" w14:textId="77777777" w:rsidTr="000A2AFE">
        <w:trPr>
          <w:trHeight w:val="300"/>
        </w:trPr>
        <w:tc>
          <w:tcPr>
            <w:tcW w:w="1271" w:type="dxa"/>
            <w:shd w:val="clear" w:color="auto" w:fill="E7E6E6"/>
            <w:noWrap/>
            <w:vAlign w:val="center"/>
            <w:hideMark/>
          </w:tcPr>
          <w:p w14:paraId="258FAEEF" w14:textId="406EF00F" w:rsidR="00A0520D" w:rsidRPr="004254D2" w:rsidRDefault="00A0520D" w:rsidP="00A0520D">
            <w:pPr>
              <w:spacing w:after="0" w:line="240" w:lineRule="auto"/>
              <w:jc w:val="left"/>
              <w:rPr>
                <w:rFonts w:ascii="Calibri Light" w:hAnsi="Calibri Light" w:cs="Calibri Light"/>
                <w:color w:val="000000" w:themeColor="text1"/>
              </w:rPr>
            </w:pPr>
            <w:r w:rsidRPr="003208FA">
              <w:rPr>
                <w:rFonts w:ascii="Calibri Light" w:hAnsi="Calibri Light" w:cs="Calibri Light"/>
                <w:color w:val="000000" w:themeColor="text1"/>
              </w:rPr>
              <w:t>Сценарио-S</w:t>
            </w:r>
          </w:p>
        </w:tc>
        <w:tc>
          <w:tcPr>
            <w:tcW w:w="773" w:type="dxa"/>
            <w:noWrap/>
            <w:vAlign w:val="center"/>
            <w:hideMark/>
          </w:tcPr>
          <w:p w14:paraId="1436D1AE" w14:textId="27F5CDCF" w:rsidR="00A0520D" w:rsidRPr="004254D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0,016</w:t>
            </w:r>
          </w:p>
        </w:tc>
        <w:tc>
          <w:tcPr>
            <w:tcW w:w="773" w:type="dxa"/>
            <w:noWrap/>
            <w:vAlign w:val="center"/>
            <w:hideMark/>
          </w:tcPr>
          <w:p w14:paraId="1616C54C" w14:textId="4627C38F"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0,512</w:t>
            </w:r>
          </w:p>
        </w:tc>
        <w:tc>
          <w:tcPr>
            <w:tcW w:w="773" w:type="dxa"/>
            <w:noWrap/>
            <w:vAlign w:val="center"/>
            <w:hideMark/>
          </w:tcPr>
          <w:p w14:paraId="029BBA39" w14:textId="792A2AA1"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0,749</w:t>
            </w:r>
          </w:p>
        </w:tc>
        <w:tc>
          <w:tcPr>
            <w:tcW w:w="773" w:type="dxa"/>
            <w:noWrap/>
            <w:vAlign w:val="center"/>
            <w:hideMark/>
          </w:tcPr>
          <w:p w14:paraId="2B43C65E" w14:textId="150DA034"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0,989</w:t>
            </w:r>
          </w:p>
        </w:tc>
        <w:tc>
          <w:tcPr>
            <w:tcW w:w="773" w:type="dxa"/>
            <w:noWrap/>
            <w:vAlign w:val="center"/>
            <w:hideMark/>
          </w:tcPr>
          <w:p w14:paraId="621DDDB0" w14:textId="751016ED"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1,232</w:t>
            </w:r>
          </w:p>
        </w:tc>
        <w:tc>
          <w:tcPr>
            <w:tcW w:w="774" w:type="dxa"/>
            <w:noWrap/>
            <w:vAlign w:val="center"/>
            <w:hideMark/>
          </w:tcPr>
          <w:p w14:paraId="2ECE9C1B" w14:textId="630A3779"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1,479</w:t>
            </w:r>
          </w:p>
        </w:tc>
        <w:tc>
          <w:tcPr>
            <w:tcW w:w="773" w:type="dxa"/>
            <w:noWrap/>
            <w:vAlign w:val="center"/>
            <w:hideMark/>
          </w:tcPr>
          <w:p w14:paraId="47477241" w14:textId="699BB03F"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1,729</w:t>
            </w:r>
          </w:p>
        </w:tc>
        <w:tc>
          <w:tcPr>
            <w:tcW w:w="773" w:type="dxa"/>
            <w:noWrap/>
            <w:vAlign w:val="center"/>
            <w:hideMark/>
          </w:tcPr>
          <w:p w14:paraId="1AF6F52B" w14:textId="72476B3E"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3,929</w:t>
            </w:r>
          </w:p>
        </w:tc>
        <w:tc>
          <w:tcPr>
            <w:tcW w:w="773" w:type="dxa"/>
            <w:noWrap/>
            <w:vAlign w:val="center"/>
            <w:hideMark/>
          </w:tcPr>
          <w:p w14:paraId="0F282606" w14:textId="074A592F"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7,357</w:t>
            </w:r>
          </w:p>
        </w:tc>
        <w:tc>
          <w:tcPr>
            <w:tcW w:w="773" w:type="dxa"/>
            <w:noWrap/>
            <w:vAlign w:val="center"/>
            <w:hideMark/>
          </w:tcPr>
          <w:p w14:paraId="12477EE3" w14:textId="6503E978"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11,975</w:t>
            </w:r>
          </w:p>
        </w:tc>
        <w:tc>
          <w:tcPr>
            <w:tcW w:w="774" w:type="dxa"/>
            <w:noWrap/>
            <w:vAlign w:val="center"/>
            <w:hideMark/>
          </w:tcPr>
          <w:p w14:paraId="5BDB819C" w14:textId="15028F1C"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18,495</w:t>
            </w:r>
          </w:p>
        </w:tc>
      </w:tr>
      <w:tr w:rsidR="00A0520D" w:rsidRPr="003B4324" w14:paraId="154BD1A5" w14:textId="77777777" w:rsidTr="000A2AFE">
        <w:trPr>
          <w:trHeight w:val="300"/>
        </w:trPr>
        <w:tc>
          <w:tcPr>
            <w:tcW w:w="1271" w:type="dxa"/>
            <w:shd w:val="clear" w:color="auto" w:fill="E7E6E6"/>
            <w:noWrap/>
            <w:vAlign w:val="center"/>
            <w:hideMark/>
          </w:tcPr>
          <w:p w14:paraId="486EA0BD" w14:textId="3DCAB414" w:rsidR="00A0520D" w:rsidRPr="004254D2" w:rsidRDefault="00A0520D" w:rsidP="00A0520D">
            <w:pPr>
              <w:spacing w:after="0" w:line="240" w:lineRule="auto"/>
              <w:jc w:val="left"/>
              <w:rPr>
                <w:rFonts w:ascii="Calibri Light" w:hAnsi="Calibri Light" w:cs="Calibri Light"/>
                <w:color w:val="000000" w:themeColor="text1"/>
              </w:rPr>
            </w:pPr>
            <w:r w:rsidRPr="003208FA">
              <w:rPr>
                <w:rFonts w:ascii="Calibri Light" w:hAnsi="Calibri Light" w:cs="Calibri Light"/>
                <w:color w:val="000000" w:themeColor="text1"/>
              </w:rPr>
              <w:t>Сценарио-S-N</w:t>
            </w:r>
          </w:p>
        </w:tc>
        <w:tc>
          <w:tcPr>
            <w:tcW w:w="773" w:type="dxa"/>
            <w:noWrap/>
            <w:vAlign w:val="center"/>
            <w:hideMark/>
          </w:tcPr>
          <w:p w14:paraId="5719533E" w14:textId="05B6CBA9" w:rsidR="00A0520D" w:rsidRPr="004254D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0,016</w:t>
            </w:r>
          </w:p>
        </w:tc>
        <w:tc>
          <w:tcPr>
            <w:tcW w:w="773" w:type="dxa"/>
            <w:noWrap/>
            <w:vAlign w:val="center"/>
            <w:hideMark/>
          </w:tcPr>
          <w:p w14:paraId="019B5089" w14:textId="047D1436"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0,512</w:t>
            </w:r>
          </w:p>
        </w:tc>
        <w:tc>
          <w:tcPr>
            <w:tcW w:w="773" w:type="dxa"/>
            <w:noWrap/>
            <w:vAlign w:val="center"/>
            <w:hideMark/>
          </w:tcPr>
          <w:p w14:paraId="3E6D5789" w14:textId="50B908E6"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0,749</w:t>
            </w:r>
          </w:p>
        </w:tc>
        <w:tc>
          <w:tcPr>
            <w:tcW w:w="773" w:type="dxa"/>
            <w:noWrap/>
            <w:vAlign w:val="center"/>
            <w:hideMark/>
          </w:tcPr>
          <w:p w14:paraId="03C3EC5B" w14:textId="78A96505"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0,989</w:t>
            </w:r>
          </w:p>
        </w:tc>
        <w:tc>
          <w:tcPr>
            <w:tcW w:w="773" w:type="dxa"/>
            <w:noWrap/>
            <w:vAlign w:val="center"/>
            <w:hideMark/>
          </w:tcPr>
          <w:p w14:paraId="0E4F05E0" w14:textId="1FFB4BB4"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1,232</w:t>
            </w:r>
          </w:p>
        </w:tc>
        <w:tc>
          <w:tcPr>
            <w:tcW w:w="774" w:type="dxa"/>
            <w:noWrap/>
            <w:vAlign w:val="center"/>
            <w:hideMark/>
          </w:tcPr>
          <w:p w14:paraId="08A1194D" w14:textId="74F487FF"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1,479</w:t>
            </w:r>
          </w:p>
        </w:tc>
        <w:tc>
          <w:tcPr>
            <w:tcW w:w="773" w:type="dxa"/>
            <w:noWrap/>
            <w:vAlign w:val="center"/>
            <w:hideMark/>
          </w:tcPr>
          <w:p w14:paraId="275457EC" w14:textId="2B048BD3"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1,729</w:t>
            </w:r>
          </w:p>
        </w:tc>
        <w:tc>
          <w:tcPr>
            <w:tcW w:w="773" w:type="dxa"/>
            <w:noWrap/>
            <w:vAlign w:val="center"/>
            <w:hideMark/>
          </w:tcPr>
          <w:p w14:paraId="69BDAE02" w14:textId="658D44E4"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3,929</w:t>
            </w:r>
          </w:p>
        </w:tc>
        <w:tc>
          <w:tcPr>
            <w:tcW w:w="773" w:type="dxa"/>
            <w:noWrap/>
            <w:vAlign w:val="center"/>
            <w:hideMark/>
          </w:tcPr>
          <w:p w14:paraId="2CC96230" w14:textId="3A2A9BB2"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7,370</w:t>
            </w:r>
          </w:p>
        </w:tc>
        <w:tc>
          <w:tcPr>
            <w:tcW w:w="773" w:type="dxa"/>
            <w:noWrap/>
            <w:vAlign w:val="center"/>
            <w:hideMark/>
          </w:tcPr>
          <w:p w14:paraId="44C88EA6" w14:textId="1CE074EA"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11,702</w:t>
            </w:r>
          </w:p>
        </w:tc>
        <w:tc>
          <w:tcPr>
            <w:tcW w:w="774" w:type="dxa"/>
            <w:noWrap/>
            <w:vAlign w:val="center"/>
            <w:hideMark/>
          </w:tcPr>
          <w:p w14:paraId="5D154D85" w14:textId="036D4C52" w:rsidR="00A0520D" w:rsidRPr="002574F2" w:rsidRDefault="00A0520D" w:rsidP="00A0520D">
            <w:pPr>
              <w:spacing w:after="0" w:line="240" w:lineRule="auto"/>
              <w:jc w:val="center"/>
              <w:rPr>
                <w:rFonts w:ascii="Calibri Light" w:hAnsi="Calibri Light" w:cs="Calibri Light"/>
                <w:color w:val="000000" w:themeColor="text1"/>
              </w:rPr>
            </w:pPr>
            <w:r w:rsidRPr="000A2AFE">
              <w:rPr>
                <w:rFonts w:ascii="Calibri Light" w:hAnsi="Calibri Light" w:cs="Calibri Light"/>
                <w:color w:val="000000" w:themeColor="text1"/>
              </w:rPr>
              <w:t>16,656</w:t>
            </w:r>
          </w:p>
        </w:tc>
      </w:tr>
    </w:tbl>
    <w:p w14:paraId="1D353AC1" w14:textId="1FD6F53D" w:rsidR="00873C40" w:rsidRDefault="00873C40" w:rsidP="00565B02">
      <w:pPr>
        <w:pStyle w:val="Caption"/>
        <w:keepNext/>
        <w:spacing w:before="200"/>
      </w:pPr>
      <w:bookmarkStart w:id="547" w:name="_Toc153901518"/>
      <w:bookmarkEnd w:id="542"/>
      <w:r>
        <w:lastRenderedPageBreak/>
        <w:t xml:space="preserve">Табела </w:t>
      </w:r>
      <w:r>
        <w:fldChar w:fldCharType="begin"/>
      </w:r>
      <w:r>
        <w:instrText xml:space="preserve"> STYLEREF 1 \s </w:instrText>
      </w:r>
      <w:r>
        <w:fldChar w:fldCharType="separate"/>
      </w:r>
      <w:r>
        <w:rPr>
          <w:noProof/>
        </w:rPr>
        <w:t>V</w:t>
      </w:r>
      <w:r>
        <w:fldChar w:fldCharType="end"/>
      </w:r>
      <w:r>
        <w:t>.</w:t>
      </w:r>
      <w:r>
        <w:fldChar w:fldCharType="begin"/>
      </w:r>
      <w:r>
        <w:instrText xml:space="preserve"> SEQ Табела \* ARABIC \s 1 </w:instrText>
      </w:r>
      <w:r>
        <w:fldChar w:fldCharType="separate"/>
      </w:r>
      <w:r>
        <w:rPr>
          <w:noProof/>
        </w:rPr>
        <w:t>23</w:t>
      </w:r>
      <w:r>
        <w:fldChar w:fldCharType="end"/>
      </w:r>
      <w:r w:rsidR="00390387" w:rsidRPr="00390387">
        <w:t>: Финална потрошња енергије по гориву [ktoe]</w:t>
      </w:r>
      <w:bookmarkEnd w:id="547"/>
    </w:p>
    <w:tbl>
      <w:tblPr>
        <w:tblStyle w:val="TableGrid"/>
        <w:tblW w:w="9918" w:type="dxa"/>
        <w:tblLayout w:type="fixed"/>
        <w:tblLook w:val="04A0" w:firstRow="1" w:lastRow="0" w:firstColumn="1" w:lastColumn="0" w:noHBand="0" w:noVBand="1"/>
      </w:tblPr>
      <w:tblGrid>
        <w:gridCol w:w="895"/>
        <w:gridCol w:w="801"/>
        <w:gridCol w:w="709"/>
        <w:gridCol w:w="950"/>
        <w:gridCol w:w="821"/>
        <w:gridCol w:w="820"/>
        <w:gridCol w:w="820"/>
        <w:gridCol w:w="700"/>
        <w:gridCol w:w="941"/>
        <w:gridCol w:w="820"/>
        <w:gridCol w:w="820"/>
        <w:gridCol w:w="821"/>
      </w:tblGrid>
      <w:tr w:rsidR="006D4628" w:rsidRPr="003B4324" w14:paraId="3F6AC870" w14:textId="77777777" w:rsidTr="000A2AFE">
        <w:trPr>
          <w:trHeight w:val="298"/>
        </w:trPr>
        <w:tc>
          <w:tcPr>
            <w:tcW w:w="895" w:type="dxa"/>
            <w:tcBorders>
              <w:bottom w:val="single" w:sz="12" w:space="0" w:color="auto"/>
            </w:tcBorders>
            <w:shd w:val="clear" w:color="auto" w:fill="404040"/>
            <w:noWrap/>
            <w:vAlign w:val="center"/>
            <w:hideMark/>
          </w:tcPr>
          <w:p w14:paraId="37F31A6A" w14:textId="1C54FEAD" w:rsidR="00DB5AA8" w:rsidRPr="004254D2" w:rsidRDefault="006D4628" w:rsidP="0057310C">
            <w:pPr>
              <w:spacing w:after="0" w:line="240" w:lineRule="auto"/>
              <w:jc w:val="center"/>
              <w:rPr>
                <w:rFonts w:ascii="Calibri Light" w:hAnsi="Calibri Light" w:cs="Calibri Light"/>
                <w:color w:val="000000" w:themeColor="text1"/>
              </w:rPr>
            </w:pPr>
            <w:r>
              <w:rPr>
                <w:rFonts w:ascii="Calibri Light" w:hAnsi="Calibri Light" w:cs="Calibri Light"/>
                <w:color w:val="FFFFFF" w:themeColor="background1"/>
              </w:rPr>
              <w:t>ФПЕ по гориву</w:t>
            </w:r>
            <w:r w:rsidR="00DB5AA8" w:rsidRPr="00127690">
              <w:rPr>
                <w:rFonts w:ascii="Calibri Light" w:hAnsi="Calibri Light" w:cs="Calibri Light"/>
                <w:color w:val="FFFFFF" w:themeColor="background1"/>
              </w:rPr>
              <w:t xml:space="preserve"> [ktoe]</w:t>
            </w:r>
          </w:p>
        </w:tc>
        <w:tc>
          <w:tcPr>
            <w:tcW w:w="801" w:type="dxa"/>
            <w:tcBorders>
              <w:bottom w:val="single" w:sz="12" w:space="0" w:color="auto"/>
            </w:tcBorders>
            <w:shd w:val="clear" w:color="auto" w:fill="1F497D"/>
            <w:noWrap/>
            <w:vAlign w:val="center"/>
            <w:hideMark/>
          </w:tcPr>
          <w:p w14:paraId="044919D2" w14:textId="79AE62D9" w:rsidR="00DB5AA8" w:rsidRPr="000A2AFE" w:rsidRDefault="006D4628" w:rsidP="0057310C">
            <w:pPr>
              <w:spacing w:after="0" w:line="240" w:lineRule="auto"/>
              <w:jc w:val="center"/>
              <w:rPr>
                <w:rFonts w:ascii="Calibri Light" w:hAnsi="Calibri Light" w:cs="Calibri Light"/>
                <w:color w:val="FFFFFF" w:themeColor="background1"/>
                <w:sz w:val="16"/>
                <w:szCs w:val="16"/>
              </w:rPr>
            </w:pPr>
            <w:r w:rsidRPr="000A2AFE">
              <w:rPr>
                <w:rFonts w:ascii="Calibri Light" w:hAnsi="Calibri Light" w:cs="Calibri Light"/>
                <w:color w:val="FFFFFF" w:themeColor="background1"/>
                <w:sz w:val="16"/>
                <w:szCs w:val="16"/>
              </w:rPr>
              <w:t>Година</w:t>
            </w:r>
          </w:p>
        </w:tc>
        <w:tc>
          <w:tcPr>
            <w:tcW w:w="709" w:type="dxa"/>
            <w:tcBorders>
              <w:bottom w:val="single" w:sz="12" w:space="0" w:color="auto"/>
            </w:tcBorders>
            <w:shd w:val="clear" w:color="auto" w:fill="1F497D"/>
            <w:noWrap/>
            <w:vAlign w:val="center"/>
            <w:hideMark/>
          </w:tcPr>
          <w:p w14:paraId="03704171" w14:textId="782EB58A" w:rsidR="00DB5AA8" w:rsidRPr="000A2AFE" w:rsidRDefault="006D4628" w:rsidP="0057310C">
            <w:pPr>
              <w:spacing w:after="0" w:line="240" w:lineRule="auto"/>
              <w:jc w:val="center"/>
              <w:rPr>
                <w:rFonts w:ascii="Calibri Light" w:hAnsi="Calibri Light" w:cs="Calibri Light"/>
                <w:color w:val="FFFFFF" w:themeColor="background1"/>
                <w:sz w:val="16"/>
                <w:szCs w:val="16"/>
              </w:rPr>
            </w:pPr>
            <w:r w:rsidRPr="000A2AFE">
              <w:rPr>
                <w:rFonts w:ascii="Calibri Light" w:hAnsi="Calibri Light" w:cs="Calibri Light"/>
                <w:color w:val="FFFFFF" w:themeColor="background1"/>
                <w:sz w:val="16"/>
                <w:szCs w:val="16"/>
              </w:rPr>
              <w:t>Чврста горива</w:t>
            </w:r>
          </w:p>
        </w:tc>
        <w:tc>
          <w:tcPr>
            <w:tcW w:w="950" w:type="dxa"/>
            <w:tcBorders>
              <w:bottom w:val="single" w:sz="12" w:space="0" w:color="auto"/>
            </w:tcBorders>
            <w:shd w:val="clear" w:color="auto" w:fill="1F497D"/>
            <w:noWrap/>
            <w:vAlign w:val="center"/>
            <w:hideMark/>
          </w:tcPr>
          <w:p w14:paraId="048B4FB7" w14:textId="21753DD2" w:rsidR="00DB5AA8" w:rsidRPr="000A2AFE" w:rsidRDefault="006D4628" w:rsidP="0057310C">
            <w:pPr>
              <w:spacing w:after="0" w:line="240" w:lineRule="auto"/>
              <w:jc w:val="center"/>
              <w:rPr>
                <w:rFonts w:ascii="Calibri Light" w:hAnsi="Calibri Light" w:cs="Calibri Light"/>
                <w:color w:val="FFFFFF" w:themeColor="background1"/>
                <w:sz w:val="16"/>
                <w:szCs w:val="16"/>
              </w:rPr>
            </w:pPr>
            <w:r w:rsidRPr="000A2AFE">
              <w:rPr>
                <w:rFonts w:ascii="Calibri Light" w:hAnsi="Calibri Light" w:cs="Calibri Light"/>
                <w:color w:val="FFFFFF" w:themeColor="background1"/>
                <w:sz w:val="16"/>
                <w:szCs w:val="16"/>
              </w:rPr>
              <w:t>Деривати нафте</w:t>
            </w:r>
          </w:p>
        </w:tc>
        <w:tc>
          <w:tcPr>
            <w:tcW w:w="821" w:type="dxa"/>
            <w:tcBorders>
              <w:bottom w:val="single" w:sz="12" w:space="0" w:color="auto"/>
            </w:tcBorders>
            <w:shd w:val="clear" w:color="auto" w:fill="1F497D"/>
            <w:noWrap/>
            <w:vAlign w:val="center"/>
            <w:hideMark/>
          </w:tcPr>
          <w:p w14:paraId="6F7DD3C7" w14:textId="223F9231" w:rsidR="00DB5AA8" w:rsidRPr="000A2AFE" w:rsidRDefault="006D4628" w:rsidP="0057310C">
            <w:pPr>
              <w:spacing w:after="0" w:line="240" w:lineRule="auto"/>
              <w:jc w:val="center"/>
              <w:rPr>
                <w:rFonts w:ascii="Calibri Light" w:hAnsi="Calibri Light" w:cs="Calibri Light"/>
                <w:color w:val="FFFFFF" w:themeColor="background1"/>
                <w:sz w:val="16"/>
                <w:szCs w:val="16"/>
              </w:rPr>
            </w:pPr>
            <w:r w:rsidRPr="000A2AFE">
              <w:rPr>
                <w:rFonts w:ascii="Calibri Light" w:hAnsi="Calibri Light" w:cs="Calibri Light"/>
                <w:color w:val="FFFFFF" w:themeColor="background1"/>
                <w:sz w:val="16"/>
                <w:szCs w:val="16"/>
              </w:rPr>
              <w:t>Природни гас</w:t>
            </w:r>
          </w:p>
        </w:tc>
        <w:tc>
          <w:tcPr>
            <w:tcW w:w="820" w:type="dxa"/>
            <w:tcBorders>
              <w:bottom w:val="single" w:sz="12" w:space="0" w:color="auto"/>
            </w:tcBorders>
            <w:shd w:val="clear" w:color="auto" w:fill="1F497D"/>
            <w:noWrap/>
            <w:vAlign w:val="center"/>
            <w:hideMark/>
          </w:tcPr>
          <w:p w14:paraId="49327141" w14:textId="0BD04C87" w:rsidR="00DB5AA8" w:rsidRPr="000A2AFE" w:rsidRDefault="006D4628" w:rsidP="0057310C">
            <w:pPr>
              <w:spacing w:after="0" w:line="240" w:lineRule="auto"/>
              <w:jc w:val="center"/>
              <w:rPr>
                <w:rFonts w:ascii="Calibri Light" w:hAnsi="Calibri Light" w:cs="Calibri Light"/>
                <w:color w:val="FFFFFF" w:themeColor="background1"/>
                <w:sz w:val="16"/>
                <w:szCs w:val="16"/>
              </w:rPr>
            </w:pPr>
            <w:r w:rsidRPr="000A2AFE">
              <w:rPr>
                <w:rFonts w:ascii="Calibri Light" w:hAnsi="Calibri Light" w:cs="Calibri Light"/>
                <w:color w:val="FFFFFF" w:themeColor="background1"/>
                <w:sz w:val="16"/>
                <w:szCs w:val="16"/>
              </w:rPr>
              <w:t>Биомаса</w:t>
            </w:r>
            <w:r w:rsidR="00DB5AA8" w:rsidRPr="000A2AFE">
              <w:rPr>
                <w:rFonts w:ascii="Calibri Light" w:hAnsi="Calibri Light" w:cs="Calibri Light"/>
                <w:color w:val="FFFFFF" w:themeColor="background1"/>
                <w:sz w:val="16"/>
                <w:szCs w:val="16"/>
              </w:rPr>
              <w:t>/</w:t>
            </w:r>
            <w:r w:rsidRPr="000A2AFE">
              <w:rPr>
                <w:rFonts w:ascii="Calibri Light" w:hAnsi="Calibri Light" w:cs="Calibri Light"/>
                <w:color w:val="FFFFFF" w:themeColor="background1"/>
                <w:sz w:val="16"/>
                <w:szCs w:val="16"/>
              </w:rPr>
              <w:t>Биогас</w:t>
            </w:r>
          </w:p>
        </w:tc>
        <w:tc>
          <w:tcPr>
            <w:tcW w:w="820" w:type="dxa"/>
            <w:tcBorders>
              <w:bottom w:val="single" w:sz="12" w:space="0" w:color="auto"/>
            </w:tcBorders>
            <w:shd w:val="clear" w:color="auto" w:fill="1F497D"/>
            <w:noWrap/>
            <w:vAlign w:val="center"/>
            <w:hideMark/>
          </w:tcPr>
          <w:p w14:paraId="2F2F9D1C" w14:textId="08F8A459" w:rsidR="00DB5AA8" w:rsidRPr="000A2AFE" w:rsidRDefault="006D4628" w:rsidP="0057310C">
            <w:pPr>
              <w:spacing w:after="0" w:line="240" w:lineRule="auto"/>
              <w:jc w:val="center"/>
              <w:rPr>
                <w:rFonts w:ascii="Calibri Light" w:hAnsi="Calibri Light" w:cs="Calibri Light"/>
                <w:color w:val="FFFFFF" w:themeColor="background1"/>
                <w:sz w:val="16"/>
                <w:szCs w:val="16"/>
              </w:rPr>
            </w:pPr>
            <w:r w:rsidRPr="000A2AFE">
              <w:rPr>
                <w:rFonts w:ascii="Calibri Light" w:hAnsi="Calibri Light" w:cs="Calibri Light"/>
                <w:color w:val="FFFFFF" w:themeColor="background1"/>
                <w:sz w:val="16"/>
                <w:szCs w:val="16"/>
              </w:rPr>
              <w:t>Биогорива</w:t>
            </w:r>
          </w:p>
        </w:tc>
        <w:tc>
          <w:tcPr>
            <w:tcW w:w="700" w:type="dxa"/>
            <w:tcBorders>
              <w:bottom w:val="single" w:sz="12" w:space="0" w:color="auto"/>
            </w:tcBorders>
            <w:shd w:val="clear" w:color="auto" w:fill="1F497D"/>
            <w:noWrap/>
            <w:vAlign w:val="center"/>
            <w:hideMark/>
          </w:tcPr>
          <w:p w14:paraId="50AB147C" w14:textId="7E9019AB" w:rsidR="00DB5AA8" w:rsidRPr="000A2AFE" w:rsidRDefault="006D4628" w:rsidP="0057310C">
            <w:pPr>
              <w:spacing w:after="0" w:line="240" w:lineRule="auto"/>
              <w:jc w:val="center"/>
              <w:rPr>
                <w:rFonts w:ascii="Calibri Light" w:hAnsi="Calibri Light" w:cs="Calibri Light"/>
                <w:color w:val="FFFFFF" w:themeColor="background1"/>
                <w:sz w:val="16"/>
                <w:szCs w:val="16"/>
              </w:rPr>
            </w:pPr>
            <w:r w:rsidRPr="000A2AFE">
              <w:rPr>
                <w:rFonts w:ascii="Calibri Light" w:hAnsi="Calibri Light" w:cs="Calibri Light"/>
                <w:color w:val="FFFFFF" w:themeColor="background1"/>
                <w:sz w:val="16"/>
                <w:szCs w:val="16"/>
              </w:rPr>
              <w:t>Сунце</w:t>
            </w:r>
          </w:p>
        </w:tc>
        <w:tc>
          <w:tcPr>
            <w:tcW w:w="941" w:type="dxa"/>
            <w:tcBorders>
              <w:bottom w:val="single" w:sz="12" w:space="0" w:color="auto"/>
            </w:tcBorders>
            <w:shd w:val="clear" w:color="auto" w:fill="1F497D"/>
            <w:noWrap/>
            <w:vAlign w:val="center"/>
            <w:hideMark/>
          </w:tcPr>
          <w:p w14:paraId="4E3DC6AB" w14:textId="75D4D72D" w:rsidR="00DB5AA8" w:rsidRPr="000A2AFE" w:rsidRDefault="006D4628" w:rsidP="0057310C">
            <w:pPr>
              <w:spacing w:after="0" w:line="240" w:lineRule="auto"/>
              <w:jc w:val="center"/>
              <w:rPr>
                <w:rFonts w:ascii="Calibri Light" w:hAnsi="Calibri Light" w:cs="Calibri Light"/>
                <w:color w:val="FFFFFF" w:themeColor="background1"/>
                <w:sz w:val="16"/>
                <w:szCs w:val="16"/>
              </w:rPr>
            </w:pPr>
            <w:r w:rsidRPr="000A2AFE">
              <w:rPr>
                <w:rFonts w:ascii="Calibri Light" w:hAnsi="Calibri Light" w:cs="Calibri Light"/>
                <w:color w:val="FFFFFF" w:themeColor="background1"/>
                <w:sz w:val="16"/>
                <w:szCs w:val="16"/>
              </w:rPr>
              <w:t>Геотермална енергија</w:t>
            </w:r>
          </w:p>
        </w:tc>
        <w:tc>
          <w:tcPr>
            <w:tcW w:w="820" w:type="dxa"/>
            <w:tcBorders>
              <w:bottom w:val="single" w:sz="12" w:space="0" w:color="auto"/>
            </w:tcBorders>
            <w:shd w:val="clear" w:color="auto" w:fill="1F497D"/>
            <w:vAlign w:val="center"/>
          </w:tcPr>
          <w:p w14:paraId="32FB5DFF" w14:textId="24BA6743" w:rsidR="00DB5AA8" w:rsidRPr="000A2AFE" w:rsidRDefault="006D4628" w:rsidP="0057310C">
            <w:pPr>
              <w:spacing w:after="0" w:line="240" w:lineRule="auto"/>
              <w:jc w:val="center"/>
              <w:rPr>
                <w:rFonts w:ascii="Calibri Light" w:hAnsi="Calibri Light" w:cs="Calibri Light"/>
                <w:color w:val="FFFFFF" w:themeColor="background1"/>
                <w:sz w:val="16"/>
                <w:szCs w:val="16"/>
              </w:rPr>
            </w:pPr>
            <w:r w:rsidRPr="000A2AFE">
              <w:rPr>
                <w:rFonts w:ascii="Calibri Light" w:hAnsi="Calibri Light" w:cs="Calibri Light"/>
                <w:color w:val="FFFFFF" w:themeColor="background1"/>
                <w:sz w:val="16"/>
                <w:szCs w:val="16"/>
              </w:rPr>
              <w:t>Изведена топлота</w:t>
            </w:r>
          </w:p>
        </w:tc>
        <w:tc>
          <w:tcPr>
            <w:tcW w:w="820" w:type="dxa"/>
            <w:tcBorders>
              <w:bottom w:val="single" w:sz="12" w:space="0" w:color="auto"/>
            </w:tcBorders>
            <w:shd w:val="clear" w:color="auto" w:fill="1F497D"/>
            <w:noWrap/>
            <w:vAlign w:val="center"/>
            <w:hideMark/>
          </w:tcPr>
          <w:p w14:paraId="7051CB3D" w14:textId="61AC50FE" w:rsidR="00DB5AA8" w:rsidRPr="000A2AFE" w:rsidRDefault="006D4628" w:rsidP="0057310C">
            <w:pPr>
              <w:spacing w:after="0" w:line="240" w:lineRule="auto"/>
              <w:jc w:val="center"/>
              <w:rPr>
                <w:rFonts w:ascii="Calibri Light" w:hAnsi="Calibri Light" w:cs="Calibri Light"/>
                <w:color w:val="FFFFFF" w:themeColor="background1"/>
                <w:sz w:val="16"/>
                <w:szCs w:val="16"/>
              </w:rPr>
            </w:pPr>
            <w:r w:rsidRPr="000A2AFE">
              <w:rPr>
                <w:rFonts w:ascii="Calibri Light" w:hAnsi="Calibri Light" w:cs="Calibri Light"/>
                <w:color w:val="FFFFFF" w:themeColor="background1"/>
                <w:sz w:val="16"/>
                <w:szCs w:val="16"/>
              </w:rPr>
              <w:t>Електрична енергија</w:t>
            </w:r>
          </w:p>
        </w:tc>
        <w:tc>
          <w:tcPr>
            <w:tcW w:w="821" w:type="dxa"/>
            <w:tcBorders>
              <w:bottom w:val="single" w:sz="12" w:space="0" w:color="auto"/>
            </w:tcBorders>
            <w:shd w:val="clear" w:color="auto" w:fill="1F497D"/>
            <w:noWrap/>
            <w:vAlign w:val="center"/>
            <w:hideMark/>
          </w:tcPr>
          <w:p w14:paraId="0CEEC791" w14:textId="240AF959" w:rsidR="00DB5AA8" w:rsidRPr="000A2AFE" w:rsidRDefault="006D4628" w:rsidP="0057310C">
            <w:pPr>
              <w:spacing w:after="0" w:line="240" w:lineRule="auto"/>
              <w:jc w:val="center"/>
              <w:rPr>
                <w:rFonts w:ascii="Calibri Light" w:hAnsi="Calibri Light" w:cs="Calibri Light"/>
                <w:color w:val="FFFFFF" w:themeColor="background1"/>
                <w:sz w:val="16"/>
                <w:szCs w:val="16"/>
              </w:rPr>
            </w:pPr>
            <w:r w:rsidRPr="000A2AFE">
              <w:rPr>
                <w:rFonts w:ascii="Calibri Light" w:hAnsi="Calibri Light" w:cs="Calibri Light"/>
                <w:color w:val="FFFFFF" w:themeColor="background1"/>
                <w:sz w:val="16"/>
                <w:szCs w:val="16"/>
              </w:rPr>
              <w:t>Водоник</w:t>
            </w:r>
          </w:p>
        </w:tc>
      </w:tr>
      <w:tr w:rsidR="006D4628" w:rsidRPr="003B4324" w14:paraId="476733DE" w14:textId="77777777" w:rsidTr="006D4628">
        <w:trPr>
          <w:trHeight w:val="298"/>
        </w:trPr>
        <w:tc>
          <w:tcPr>
            <w:tcW w:w="895" w:type="dxa"/>
            <w:vMerge w:val="restart"/>
            <w:tcBorders>
              <w:top w:val="single" w:sz="12" w:space="0" w:color="auto"/>
              <w:left w:val="single" w:sz="12" w:space="0" w:color="auto"/>
            </w:tcBorders>
            <w:shd w:val="clear" w:color="auto" w:fill="E7E6E6"/>
            <w:noWrap/>
            <w:vAlign w:val="center"/>
            <w:hideMark/>
          </w:tcPr>
          <w:p w14:paraId="7E984474" w14:textId="77777777" w:rsidR="00DB5AA8" w:rsidRPr="004254D2" w:rsidRDefault="00DB5AA8" w:rsidP="0057310C">
            <w:pPr>
              <w:spacing w:after="0" w:line="240" w:lineRule="auto"/>
              <w:jc w:val="left"/>
              <w:rPr>
                <w:rFonts w:ascii="Calibri Light" w:hAnsi="Calibri Light" w:cs="Calibri Light"/>
                <w:color w:val="000000" w:themeColor="text1"/>
              </w:rPr>
            </w:pPr>
            <w:r w:rsidRPr="00B37318">
              <w:rPr>
                <w:rFonts w:ascii="Calibri Light" w:hAnsi="Calibri Light" w:cs="Calibri Light"/>
                <w:color w:val="000000" w:themeColor="text1"/>
              </w:rPr>
              <w:t>WEM</w:t>
            </w:r>
          </w:p>
        </w:tc>
        <w:tc>
          <w:tcPr>
            <w:tcW w:w="801" w:type="dxa"/>
            <w:tcBorders>
              <w:top w:val="single" w:sz="12" w:space="0" w:color="auto"/>
            </w:tcBorders>
            <w:noWrap/>
          </w:tcPr>
          <w:p w14:paraId="32871931" w14:textId="77777777" w:rsidR="00DB5AA8" w:rsidRPr="004254D2"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w:t>
            </w:r>
            <w:r>
              <w:rPr>
                <w:rFonts w:ascii="Calibri Light" w:hAnsi="Calibri Light" w:cs="Calibri Light"/>
                <w:color w:val="000000" w:themeColor="text1"/>
              </w:rPr>
              <w:t>20</w:t>
            </w:r>
          </w:p>
        </w:tc>
        <w:tc>
          <w:tcPr>
            <w:tcW w:w="709" w:type="dxa"/>
            <w:tcBorders>
              <w:top w:val="single" w:sz="12" w:space="0" w:color="auto"/>
            </w:tcBorders>
            <w:noWrap/>
          </w:tcPr>
          <w:p w14:paraId="03DE3ACE"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356</w:t>
            </w:r>
          </w:p>
        </w:tc>
        <w:tc>
          <w:tcPr>
            <w:tcW w:w="950" w:type="dxa"/>
            <w:tcBorders>
              <w:top w:val="single" w:sz="12" w:space="0" w:color="auto"/>
            </w:tcBorders>
            <w:noWrap/>
          </w:tcPr>
          <w:p w14:paraId="7F82A7AE"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2879</w:t>
            </w:r>
          </w:p>
        </w:tc>
        <w:tc>
          <w:tcPr>
            <w:tcW w:w="821" w:type="dxa"/>
            <w:tcBorders>
              <w:top w:val="single" w:sz="12" w:space="0" w:color="auto"/>
            </w:tcBorders>
            <w:noWrap/>
          </w:tcPr>
          <w:p w14:paraId="5267BCEA"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1021</w:t>
            </w:r>
          </w:p>
        </w:tc>
        <w:tc>
          <w:tcPr>
            <w:tcW w:w="820" w:type="dxa"/>
            <w:tcBorders>
              <w:top w:val="single" w:sz="12" w:space="0" w:color="auto"/>
            </w:tcBorders>
            <w:noWrap/>
          </w:tcPr>
          <w:p w14:paraId="70C73CD7"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1571</w:t>
            </w:r>
          </w:p>
        </w:tc>
        <w:tc>
          <w:tcPr>
            <w:tcW w:w="820" w:type="dxa"/>
            <w:tcBorders>
              <w:top w:val="single" w:sz="12" w:space="0" w:color="auto"/>
            </w:tcBorders>
            <w:noWrap/>
          </w:tcPr>
          <w:p w14:paraId="2675EA29"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c>
          <w:tcPr>
            <w:tcW w:w="700" w:type="dxa"/>
            <w:tcBorders>
              <w:top w:val="single" w:sz="12" w:space="0" w:color="auto"/>
            </w:tcBorders>
            <w:noWrap/>
          </w:tcPr>
          <w:p w14:paraId="14A4E9A9"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w:t>
            </w:r>
          </w:p>
        </w:tc>
        <w:tc>
          <w:tcPr>
            <w:tcW w:w="941" w:type="dxa"/>
            <w:tcBorders>
              <w:top w:val="single" w:sz="12" w:space="0" w:color="auto"/>
            </w:tcBorders>
            <w:noWrap/>
          </w:tcPr>
          <w:p w14:paraId="15A4A5CE"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6</w:t>
            </w:r>
          </w:p>
        </w:tc>
        <w:tc>
          <w:tcPr>
            <w:tcW w:w="820" w:type="dxa"/>
            <w:tcBorders>
              <w:top w:val="single" w:sz="12" w:space="0" w:color="auto"/>
            </w:tcBorders>
          </w:tcPr>
          <w:p w14:paraId="68798628"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670</w:t>
            </w:r>
          </w:p>
        </w:tc>
        <w:tc>
          <w:tcPr>
            <w:tcW w:w="820" w:type="dxa"/>
            <w:tcBorders>
              <w:top w:val="single" w:sz="12" w:space="0" w:color="auto"/>
            </w:tcBorders>
            <w:noWrap/>
          </w:tcPr>
          <w:p w14:paraId="191CA0D3"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2214</w:t>
            </w:r>
          </w:p>
        </w:tc>
        <w:tc>
          <w:tcPr>
            <w:tcW w:w="821" w:type="dxa"/>
            <w:tcBorders>
              <w:top w:val="single" w:sz="12" w:space="0" w:color="auto"/>
              <w:right w:val="single" w:sz="12" w:space="0" w:color="auto"/>
            </w:tcBorders>
            <w:noWrap/>
          </w:tcPr>
          <w:p w14:paraId="7A526E87"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r>
      <w:tr w:rsidR="006D4628" w:rsidRPr="003B4324" w14:paraId="7BD552A4" w14:textId="77777777" w:rsidTr="006D4628">
        <w:trPr>
          <w:trHeight w:val="298"/>
        </w:trPr>
        <w:tc>
          <w:tcPr>
            <w:tcW w:w="895" w:type="dxa"/>
            <w:vMerge/>
            <w:tcBorders>
              <w:left w:val="single" w:sz="12" w:space="0" w:color="auto"/>
            </w:tcBorders>
            <w:shd w:val="clear" w:color="auto" w:fill="E7E6E6"/>
            <w:noWrap/>
            <w:hideMark/>
          </w:tcPr>
          <w:p w14:paraId="5D3DAB2E" w14:textId="77777777" w:rsidR="00DB5AA8" w:rsidRPr="004254D2" w:rsidRDefault="00DB5AA8" w:rsidP="0057310C">
            <w:pPr>
              <w:spacing w:after="0" w:line="240" w:lineRule="auto"/>
              <w:jc w:val="left"/>
              <w:rPr>
                <w:rFonts w:ascii="Calibri Light" w:hAnsi="Calibri Light" w:cs="Calibri Light"/>
                <w:color w:val="000000" w:themeColor="text1"/>
              </w:rPr>
            </w:pPr>
          </w:p>
        </w:tc>
        <w:tc>
          <w:tcPr>
            <w:tcW w:w="801" w:type="dxa"/>
            <w:noWrap/>
          </w:tcPr>
          <w:p w14:paraId="21DCF441" w14:textId="77777777" w:rsidR="00DB5AA8" w:rsidRPr="004254D2"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2025</w:t>
            </w:r>
          </w:p>
        </w:tc>
        <w:tc>
          <w:tcPr>
            <w:tcW w:w="709" w:type="dxa"/>
            <w:noWrap/>
          </w:tcPr>
          <w:p w14:paraId="349334B6"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253</w:t>
            </w:r>
          </w:p>
        </w:tc>
        <w:tc>
          <w:tcPr>
            <w:tcW w:w="950" w:type="dxa"/>
            <w:noWrap/>
          </w:tcPr>
          <w:p w14:paraId="0E59EE75"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3156</w:t>
            </w:r>
          </w:p>
        </w:tc>
        <w:tc>
          <w:tcPr>
            <w:tcW w:w="821" w:type="dxa"/>
            <w:noWrap/>
          </w:tcPr>
          <w:p w14:paraId="2B1DA4CB"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988</w:t>
            </w:r>
          </w:p>
        </w:tc>
        <w:tc>
          <w:tcPr>
            <w:tcW w:w="820" w:type="dxa"/>
            <w:noWrap/>
          </w:tcPr>
          <w:p w14:paraId="2B47D29E"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1818</w:t>
            </w:r>
          </w:p>
        </w:tc>
        <w:tc>
          <w:tcPr>
            <w:tcW w:w="820" w:type="dxa"/>
            <w:noWrap/>
          </w:tcPr>
          <w:p w14:paraId="7D67CD30"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23</w:t>
            </w:r>
          </w:p>
        </w:tc>
        <w:tc>
          <w:tcPr>
            <w:tcW w:w="700" w:type="dxa"/>
            <w:noWrap/>
          </w:tcPr>
          <w:p w14:paraId="1237A9D2"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c>
          <w:tcPr>
            <w:tcW w:w="941" w:type="dxa"/>
            <w:noWrap/>
          </w:tcPr>
          <w:p w14:paraId="7C7A88AB"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w:t>
            </w:r>
          </w:p>
        </w:tc>
        <w:tc>
          <w:tcPr>
            <w:tcW w:w="820" w:type="dxa"/>
          </w:tcPr>
          <w:p w14:paraId="03DA0ED9"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805</w:t>
            </w:r>
          </w:p>
        </w:tc>
        <w:tc>
          <w:tcPr>
            <w:tcW w:w="820" w:type="dxa"/>
            <w:noWrap/>
          </w:tcPr>
          <w:p w14:paraId="5F783EB9"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2749</w:t>
            </w:r>
          </w:p>
        </w:tc>
        <w:tc>
          <w:tcPr>
            <w:tcW w:w="821" w:type="dxa"/>
            <w:tcBorders>
              <w:right w:val="single" w:sz="12" w:space="0" w:color="auto"/>
            </w:tcBorders>
            <w:noWrap/>
          </w:tcPr>
          <w:p w14:paraId="230B1946"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r>
      <w:tr w:rsidR="006D4628" w:rsidRPr="003B4324" w14:paraId="780EA26C" w14:textId="77777777" w:rsidTr="006D4628">
        <w:trPr>
          <w:trHeight w:val="298"/>
        </w:trPr>
        <w:tc>
          <w:tcPr>
            <w:tcW w:w="895" w:type="dxa"/>
            <w:vMerge/>
            <w:tcBorders>
              <w:left w:val="single" w:sz="12" w:space="0" w:color="auto"/>
            </w:tcBorders>
            <w:shd w:val="clear" w:color="auto" w:fill="E7E6E6"/>
            <w:noWrap/>
            <w:hideMark/>
          </w:tcPr>
          <w:p w14:paraId="41D050F8" w14:textId="77777777" w:rsidR="00DB5AA8" w:rsidRPr="004254D2" w:rsidRDefault="00DB5AA8" w:rsidP="0057310C">
            <w:pPr>
              <w:spacing w:after="0" w:line="240" w:lineRule="auto"/>
              <w:jc w:val="left"/>
              <w:rPr>
                <w:rFonts w:ascii="Calibri Light" w:hAnsi="Calibri Light" w:cs="Calibri Light"/>
                <w:color w:val="000000" w:themeColor="text1"/>
              </w:rPr>
            </w:pPr>
          </w:p>
        </w:tc>
        <w:tc>
          <w:tcPr>
            <w:tcW w:w="801" w:type="dxa"/>
            <w:noWrap/>
          </w:tcPr>
          <w:p w14:paraId="6FBF0971" w14:textId="77777777" w:rsidR="00DB5AA8" w:rsidRPr="004254D2"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2026</w:t>
            </w:r>
          </w:p>
        </w:tc>
        <w:tc>
          <w:tcPr>
            <w:tcW w:w="709" w:type="dxa"/>
            <w:noWrap/>
          </w:tcPr>
          <w:p w14:paraId="0EDA1B9B"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223</w:t>
            </w:r>
          </w:p>
        </w:tc>
        <w:tc>
          <w:tcPr>
            <w:tcW w:w="950" w:type="dxa"/>
            <w:noWrap/>
          </w:tcPr>
          <w:p w14:paraId="6061BDFB"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3187</w:t>
            </w:r>
          </w:p>
        </w:tc>
        <w:tc>
          <w:tcPr>
            <w:tcW w:w="821" w:type="dxa"/>
            <w:noWrap/>
          </w:tcPr>
          <w:p w14:paraId="20C23AA0"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1062</w:t>
            </w:r>
          </w:p>
        </w:tc>
        <w:tc>
          <w:tcPr>
            <w:tcW w:w="820" w:type="dxa"/>
            <w:noWrap/>
          </w:tcPr>
          <w:p w14:paraId="564FC9F1"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1809</w:t>
            </w:r>
          </w:p>
        </w:tc>
        <w:tc>
          <w:tcPr>
            <w:tcW w:w="820" w:type="dxa"/>
            <w:noWrap/>
          </w:tcPr>
          <w:p w14:paraId="4E02F6C5"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33</w:t>
            </w:r>
          </w:p>
        </w:tc>
        <w:tc>
          <w:tcPr>
            <w:tcW w:w="700" w:type="dxa"/>
            <w:noWrap/>
          </w:tcPr>
          <w:p w14:paraId="62C1C3B3"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c>
          <w:tcPr>
            <w:tcW w:w="941" w:type="dxa"/>
            <w:noWrap/>
          </w:tcPr>
          <w:p w14:paraId="3E7D8597"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w:t>
            </w:r>
          </w:p>
        </w:tc>
        <w:tc>
          <w:tcPr>
            <w:tcW w:w="820" w:type="dxa"/>
          </w:tcPr>
          <w:p w14:paraId="707ACA58"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843</w:t>
            </w:r>
          </w:p>
        </w:tc>
        <w:tc>
          <w:tcPr>
            <w:tcW w:w="820" w:type="dxa"/>
            <w:noWrap/>
          </w:tcPr>
          <w:p w14:paraId="31B17FAA"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2787</w:t>
            </w:r>
          </w:p>
        </w:tc>
        <w:tc>
          <w:tcPr>
            <w:tcW w:w="821" w:type="dxa"/>
            <w:tcBorders>
              <w:right w:val="single" w:sz="12" w:space="0" w:color="auto"/>
            </w:tcBorders>
            <w:noWrap/>
          </w:tcPr>
          <w:p w14:paraId="017B739B"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r>
      <w:tr w:rsidR="006D4628" w:rsidRPr="003B4324" w14:paraId="664F9395" w14:textId="77777777" w:rsidTr="006D4628">
        <w:trPr>
          <w:trHeight w:val="298"/>
        </w:trPr>
        <w:tc>
          <w:tcPr>
            <w:tcW w:w="895" w:type="dxa"/>
            <w:vMerge/>
            <w:tcBorders>
              <w:left w:val="single" w:sz="12" w:space="0" w:color="auto"/>
            </w:tcBorders>
            <w:shd w:val="clear" w:color="auto" w:fill="E7E6E6"/>
            <w:noWrap/>
          </w:tcPr>
          <w:p w14:paraId="647A1460"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noWrap/>
          </w:tcPr>
          <w:p w14:paraId="3A6C9818" w14:textId="77777777" w:rsidR="00DB5AA8" w:rsidRPr="002574F2"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2027</w:t>
            </w:r>
          </w:p>
        </w:tc>
        <w:tc>
          <w:tcPr>
            <w:tcW w:w="709" w:type="dxa"/>
            <w:noWrap/>
          </w:tcPr>
          <w:p w14:paraId="731395CD"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228</w:t>
            </w:r>
          </w:p>
        </w:tc>
        <w:tc>
          <w:tcPr>
            <w:tcW w:w="950" w:type="dxa"/>
            <w:noWrap/>
          </w:tcPr>
          <w:p w14:paraId="5166C572"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3247</w:t>
            </w:r>
          </w:p>
        </w:tc>
        <w:tc>
          <w:tcPr>
            <w:tcW w:w="821" w:type="dxa"/>
            <w:noWrap/>
          </w:tcPr>
          <w:p w14:paraId="6EB17683"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1111</w:t>
            </w:r>
          </w:p>
        </w:tc>
        <w:tc>
          <w:tcPr>
            <w:tcW w:w="820" w:type="dxa"/>
            <w:noWrap/>
          </w:tcPr>
          <w:p w14:paraId="291C6019"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1794</w:t>
            </w:r>
          </w:p>
        </w:tc>
        <w:tc>
          <w:tcPr>
            <w:tcW w:w="820" w:type="dxa"/>
            <w:noWrap/>
          </w:tcPr>
          <w:p w14:paraId="409F7720"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43</w:t>
            </w:r>
          </w:p>
        </w:tc>
        <w:tc>
          <w:tcPr>
            <w:tcW w:w="700" w:type="dxa"/>
            <w:noWrap/>
          </w:tcPr>
          <w:p w14:paraId="40A9CA83"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c>
          <w:tcPr>
            <w:tcW w:w="941" w:type="dxa"/>
            <w:noWrap/>
          </w:tcPr>
          <w:p w14:paraId="4CCACCCB"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w:t>
            </w:r>
          </w:p>
        </w:tc>
        <w:tc>
          <w:tcPr>
            <w:tcW w:w="820" w:type="dxa"/>
          </w:tcPr>
          <w:p w14:paraId="1B1F7358"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855</w:t>
            </w:r>
          </w:p>
        </w:tc>
        <w:tc>
          <w:tcPr>
            <w:tcW w:w="820" w:type="dxa"/>
            <w:noWrap/>
          </w:tcPr>
          <w:p w14:paraId="2098CA84"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2826</w:t>
            </w:r>
          </w:p>
        </w:tc>
        <w:tc>
          <w:tcPr>
            <w:tcW w:w="821" w:type="dxa"/>
            <w:tcBorders>
              <w:right w:val="single" w:sz="12" w:space="0" w:color="auto"/>
            </w:tcBorders>
            <w:noWrap/>
          </w:tcPr>
          <w:p w14:paraId="209DF1BD"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r>
      <w:tr w:rsidR="006D4628" w:rsidRPr="003B4324" w14:paraId="153ADE14" w14:textId="77777777" w:rsidTr="006D4628">
        <w:trPr>
          <w:trHeight w:val="298"/>
        </w:trPr>
        <w:tc>
          <w:tcPr>
            <w:tcW w:w="895" w:type="dxa"/>
            <w:vMerge/>
            <w:tcBorders>
              <w:left w:val="single" w:sz="12" w:space="0" w:color="auto"/>
            </w:tcBorders>
            <w:shd w:val="clear" w:color="auto" w:fill="E7E6E6"/>
            <w:noWrap/>
          </w:tcPr>
          <w:p w14:paraId="15DDB69D"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noWrap/>
          </w:tcPr>
          <w:p w14:paraId="75B365B2" w14:textId="77777777" w:rsidR="00DB5AA8" w:rsidRPr="002574F2"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2028</w:t>
            </w:r>
          </w:p>
        </w:tc>
        <w:tc>
          <w:tcPr>
            <w:tcW w:w="709" w:type="dxa"/>
            <w:noWrap/>
          </w:tcPr>
          <w:p w14:paraId="7E51547F"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235</w:t>
            </w:r>
          </w:p>
        </w:tc>
        <w:tc>
          <w:tcPr>
            <w:tcW w:w="950" w:type="dxa"/>
            <w:noWrap/>
          </w:tcPr>
          <w:p w14:paraId="11238FA4"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3271</w:t>
            </w:r>
          </w:p>
        </w:tc>
        <w:tc>
          <w:tcPr>
            <w:tcW w:w="821" w:type="dxa"/>
            <w:noWrap/>
          </w:tcPr>
          <w:p w14:paraId="1C4A31AA"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1173</w:t>
            </w:r>
          </w:p>
        </w:tc>
        <w:tc>
          <w:tcPr>
            <w:tcW w:w="820" w:type="dxa"/>
            <w:noWrap/>
          </w:tcPr>
          <w:p w14:paraId="65600B3E"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1786</w:t>
            </w:r>
          </w:p>
        </w:tc>
        <w:tc>
          <w:tcPr>
            <w:tcW w:w="820" w:type="dxa"/>
            <w:noWrap/>
          </w:tcPr>
          <w:p w14:paraId="309C241D"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53</w:t>
            </w:r>
          </w:p>
        </w:tc>
        <w:tc>
          <w:tcPr>
            <w:tcW w:w="700" w:type="dxa"/>
            <w:noWrap/>
          </w:tcPr>
          <w:p w14:paraId="71223729"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c>
          <w:tcPr>
            <w:tcW w:w="941" w:type="dxa"/>
            <w:noWrap/>
          </w:tcPr>
          <w:p w14:paraId="48AB1CCD"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w:t>
            </w:r>
          </w:p>
        </w:tc>
        <w:tc>
          <w:tcPr>
            <w:tcW w:w="820" w:type="dxa"/>
          </w:tcPr>
          <w:p w14:paraId="677CB684"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869</w:t>
            </w:r>
          </w:p>
        </w:tc>
        <w:tc>
          <w:tcPr>
            <w:tcW w:w="820" w:type="dxa"/>
            <w:noWrap/>
          </w:tcPr>
          <w:p w14:paraId="3672E22F"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2872</w:t>
            </w:r>
          </w:p>
        </w:tc>
        <w:tc>
          <w:tcPr>
            <w:tcW w:w="821" w:type="dxa"/>
            <w:tcBorders>
              <w:right w:val="single" w:sz="12" w:space="0" w:color="auto"/>
            </w:tcBorders>
            <w:noWrap/>
          </w:tcPr>
          <w:p w14:paraId="705C050E"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r>
      <w:tr w:rsidR="006D4628" w:rsidRPr="003B4324" w14:paraId="2D58490F" w14:textId="77777777" w:rsidTr="006D4628">
        <w:trPr>
          <w:trHeight w:val="298"/>
        </w:trPr>
        <w:tc>
          <w:tcPr>
            <w:tcW w:w="895" w:type="dxa"/>
            <w:vMerge/>
            <w:tcBorders>
              <w:left w:val="single" w:sz="12" w:space="0" w:color="auto"/>
            </w:tcBorders>
            <w:shd w:val="clear" w:color="auto" w:fill="E7E6E6"/>
            <w:noWrap/>
          </w:tcPr>
          <w:p w14:paraId="0E665FA3"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noWrap/>
          </w:tcPr>
          <w:p w14:paraId="086FB6CD" w14:textId="77777777" w:rsidR="00DB5AA8" w:rsidRPr="002574F2"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2029</w:t>
            </w:r>
          </w:p>
        </w:tc>
        <w:tc>
          <w:tcPr>
            <w:tcW w:w="709" w:type="dxa"/>
            <w:noWrap/>
          </w:tcPr>
          <w:p w14:paraId="40C48DFF"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246</w:t>
            </w:r>
          </w:p>
        </w:tc>
        <w:tc>
          <w:tcPr>
            <w:tcW w:w="950" w:type="dxa"/>
            <w:noWrap/>
          </w:tcPr>
          <w:p w14:paraId="4F8839F7"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3310</w:t>
            </w:r>
          </w:p>
        </w:tc>
        <w:tc>
          <w:tcPr>
            <w:tcW w:w="821" w:type="dxa"/>
            <w:noWrap/>
          </w:tcPr>
          <w:p w14:paraId="382499C3"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1237</w:t>
            </w:r>
          </w:p>
        </w:tc>
        <w:tc>
          <w:tcPr>
            <w:tcW w:w="820" w:type="dxa"/>
            <w:noWrap/>
          </w:tcPr>
          <w:p w14:paraId="6F2BB04B"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1766</w:t>
            </w:r>
          </w:p>
        </w:tc>
        <w:tc>
          <w:tcPr>
            <w:tcW w:w="820" w:type="dxa"/>
            <w:noWrap/>
          </w:tcPr>
          <w:p w14:paraId="7A172102"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63</w:t>
            </w:r>
          </w:p>
        </w:tc>
        <w:tc>
          <w:tcPr>
            <w:tcW w:w="700" w:type="dxa"/>
            <w:noWrap/>
          </w:tcPr>
          <w:p w14:paraId="645A3BFE"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c>
          <w:tcPr>
            <w:tcW w:w="941" w:type="dxa"/>
            <w:noWrap/>
          </w:tcPr>
          <w:p w14:paraId="74BC5942"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w:t>
            </w:r>
          </w:p>
        </w:tc>
        <w:tc>
          <w:tcPr>
            <w:tcW w:w="820" w:type="dxa"/>
          </w:tcPr>
          <w:p w14:paraId="78B93EF2"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881</w:t>
            </w:r>
          </w:p>
        </w:tc>
        <w:tc>
          <w:tcPr>
            <w:tcW w:w="820" w:type="dxa"/>
            <w:noWrap/>
          </w:tcPr>
          <w:p w14:paraId="75B0C16C"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2920</w:t>
            </w:r>
          </w:p>
        </w:tc>
        <w:tc>
          <w:tcPr>
            <w:tcW w:w="821" w:type="dxa"/>
            <w:tcBorders>
              <w:right w:val="single" w:sz="12" w:space="0" w:color="auto"/>
            </w:tcBorders>
            <w:noWrap/>
          </w:tcPr>
          <w:p w14:paraId="18F941A6"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r>
      <w:tr w:rsidR="006D4628" w:rsidRPr="003B4324" w14:paraId="7BE2EA5C" w14:textId="77777777" w:rsidTr="006D4628">
        <w:trPr>
          <w:trHeight w:val="298"/>
        </w:trPr>
        <w:tc>
          <w:tcPr>
            <w:tcW w:w="895" w:type="dxa"/>
            <w:vMerge/>
            <w:tcBorders>
              <w:left w:val="single" w:sz="12" w:space="0" w:color="auto"/>
            </w:tcBorders>
            <w:shd w:val="clear" w:color="auto" w:fill="E7E6E6"/>
            <w:noWrap/>
          </w:tcPr>
          <w:p w14:paraId="2EF7906E"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noWrap/>
          </w:tcPr>
          <w:p w14:paraId="6A6C867A" w14:textId="77777777" w:rsidR="00DB5AA8" w:rsidRPr="002574F2"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2030</w:t>
            </w:r>
          </w:p>
        </w:tc>
        <w:tc>
          <w:tcPr>
            <w:tcW w:w="709" w:type="dxa"/>
            <w:noWrap/>
          </w:tcPr>
          <w:p w14:paraId="606FF133"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253</w:t>
            </w:r>
          </w:p>
        </w:tc>
        <w:tc>
          <w:tcPr>
            <w:tcW w:w="950" w:type="dxa"/>
            <w:noWrap/>
          </w:tcPr>
          <w:p w14:paraId="41852D89"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3328</w:t>
            </w:r>
          </w:p>
        </w:tc>
        <w:tc>
          <w:tcPr>
            <w:tcW w:w="821" w:type="dxa"/>
            <w:noWrap/>
          </w:tcPr>
          <w:p w14:paraId="2D30ABD9"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1310</w:t>
            </w:r>
          </w:p>
        </w:tc>
        <w:tc>
          <w:tcPr>
            <w:tcW w:w="820" w:type="dxa"/>
            <w:noWrap/>
          </w:tcPr>
          <w:p w14:paraId="3F3D7DD2"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1755</w:t>
            </w:r>
          </w:p>
        </w:tc>
        <w:tc>
          <w:tcPr>
            <w:tcW w:w="820" w:type="dxa"/>
            <w:noWrap/>
          </w:tcPr>
          <w:p w14:paraId="3510C0E6"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73</w:t>
            </w:r>
          </w:p>
        </w:tc>
        <w:tc>
          <w:tcPr>
            <w:tcW w:w="700" w:type="dxa"/>
            <w:noWrap/>
          </w:tcPr>
          <w:p w14:paraId="5EC508B3"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c>
          <w:tcPr>
            <w:tcW w:w="941" w:type="dxa"/>
            <w:noWrap/>
          </w:tcPr>
          <w:p w14:paraId="47EBB05D"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w:t>
            </w:r>
          </w:p>
        </w:tc>
        <w:tc>
          <w:tcPr>
            <w:tcW w:w="820" w:type="dxa"/>
          </w:tcPr>
          <w:p w14:paraId="37D9CADC"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887</w:t>
            </w:r>
          </w:p>
        </w:tc>
        <w:tc>
          <w:tcPr>
            <w:tcW w:w="820" w:type="dxa"/>
            <w:noWrap/>
          </w:tcPr>
          <w:p w14:paraId="3948230D"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2971</w:t>
            </w:r>
          </w:p>
        </w:tc>
        <w:tc>
          <w:tcPr>
            <w:tcW w:w="821" w:type="dxa"/>
            <w:tcBorders>
              <w:right w:val="single" w:sz="12" w:space="0" w:color="auto"/>
            </w:tcBorders>
            <w:noWrap/>
          </w:tcPr>
          <w:p w14:paraId="1F758E5B"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r>
      <w:tr w:rsidR="006D4628" w:rsidRPr="003B4324" w14:paraId="19B79609" w14:textId="77777777" w:rsidTr="006D4628">
        <w:trPr>
          <w:trHeight w:val="298"/>
        </w:trPr>
        <w:tc>
          <w:tcPr>
            <w:tcW w:w="895" w:type="dxa"/>
            <w:vMerge/>
            <w:tcBorders>
              <w:left w:val="single" w:sz="12" w:space="0" w:color="auto"/>
            </w:tcBorders>
            <w:shd w:val="clear" w:color="auto" w:fill="E7E6E6"/>
            <w:noWrap/>
          </w:tcPr>
          <w:p w14:paraId="4B45B931"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noWrap/>
          </w:tcPr>
          <w:p w14:paraId="4CDE6AAF" w14:textId="77777777" w:rsidR="00DB5AA8" w:rsidRPr="002574F2"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2035</w:t>
            </w:r>
          </w:p>
        </w:tc>
        <w:tc>
          <w:tcPr>
            <w:tcW w:w="709" w:type="dxa"/>
            <w:noWrap/>
          </w:tcPr>
          <w:p w14:paraId="0BAFAC45"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299</w:t>
            </w:r>
          </w:p>
        </w:tc>
        <w:tc>
          <w:tcPr>
            <w:tcW w:w="950" w:type="dxa"/>
            <w:noWrap/>
          </w:tcPr>
          <w:p w14:paraId="6D708DBC"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3429</w:t>
            </w:r>
          </w:p>
        </w:tc>
        <w:tc>
          <w:tcPr>
            <w:tcW w:w="821" w:type="dxa"/>
            <w:noWrap/>
          </w:tcPr>
          <w:p w14:paraId="11FA47C1"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1623</w:t>
            </w:r>
          </w:p>
        </w:tc>
        <w:tc>
          <w:tcPr>
            <w:tcW w:w="820" w:type="dxa"/>
            <w:noWrap/>
          </w:tcPr>
          <w:p w14:paraId="499F84AA"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1687</w:t>
            </w:r>
          </w:p>
        </w:tc>
        <w:tc>
          <w:tcPr>
            <w:tcW w:w="820" w:type="dxa"/>
            <w:noWrap/>
          </w:tcPr>
          <w:p w14:paraId="07B14787"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78</w:t>
            </w:r>
          </w:p>
        </w:tc>
        <w:tc>
          <w:tcPr>
            <w:tcW w:w="700" w:type="dxa"/>
            <w:noWrap/>
          </w:tcPr>
          <w:p w14:paraId="3711AA62"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c>
          <w:tcPr>
            <w:tcW w:w="941" w:type="dxa"/>
            <w:noWrap/>
          </w:tcPr>
          <w:p w14:paraId="3BC24F1D"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12</w:t>
            </w:r>
          </w:p>
        </w:tc>
        <w:tc>
          <w:tcPr>
            <w:tcW w:w="820" w:type="dxa"/>
          </w:tcPr>
          <w:p w14:paraId="2861D963"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865</w:t>
            </w:r>
          </w:p>
        </w:tc>
        <w:tc>
          <w:tcPr>
            <w:tcW w:w="820" w:type="dxa"/>
            <w:noWrap/>
          </w:tcPr>
          <w:p w14:paraId="4CDD7A3D"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3122</w:t>
            </w:r>
          </w:p>
        </w:tc>
        <w:tc>
          <w:tcPr>
            <w:tcW w:w="821" w:type="dxa"/>
            <w:tcBorders>
              <w:right w:val="single" w:sz="12" w:space="0" w:color="auto"/>
            </w:tcBorders>
            <w:noWrap/>
          </w:tcPr>
          <w:p w14:paraId="67A756BE"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r>
      <w:tr w:rsidR="006D4628" w:rsidRPr="003B4324" w14:paraId="4179D755" w14:textId="77777777" w:rsidTr="006D4628">
        <w:trPr>
          <w:trHeight w:val="298"/>
        </w:trPr>
        <w:tc>
          <w:tcPr>
            <w:tcW w:w="895" w:type="dxa"/>
            <w:vMerge/>
            <w:tcBorders>
              <w:left w:val="single" w:sz="12" w:space="0" w:color="auto"/>
            </w:tcBorders>
            <w:shd w:val="clear" w:color="auto" w:fill="E7E6E6"/>
            <w:noWrap/>
          </w:tcPr>
          <w:p w14:paraId="33039709"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noWrap/>
          </w:tcPr>
          <w:p w14:paraId="2BC5FDDA" w14:textId="77777777" w:rsidR="00DB5AA8" w:rsidRPr="002574F2"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2040</w:t>
            </w:r>
          </w:p>
        </w:tc>
        <w:tc>
          <w:tcPr>
            <w:tcW w:w="709" w:type="dxa"/>
            <w:noWrap/>
          </w:tcPr>
          <w:p w14:paraId="65A855E8"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336</w:t>
            </w:r>
          </w:p>
        </w:tc>
        <w:tc>
          <w:tcPr>
            <w:tcW w:w="950" w:type="dxa"/>
            <w:noWrap/>
          </w:tcPr>
          <w:p w14:paraId="05F48A97"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3716</w:t>
            </w:r>
          </w:p>
        </w:tc>
        <w:tc>
          <w:tcPr>
            <w:tcW w:w="821" w:type="dxa"/>
            <w:noWrap/>
          </w:tcPr>
          <w:p w14:paraId="11756626"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1842</w:t>
            </w:r>
          </w:p>
        </w:tc>
        <w:tc>
          <w:tcPr>
            <w:tcW w:w="820" w:type="dxa"/>
            <w:noWrap/>
          </w:tcPr>
          <w:p w14:paraId="5FDC887C"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1554</w:t>
            </w:r>
          </w:p>
        </w:tc>
        <w:tc>
          <w:tcPr>
            <w:tcW w:w="820" w:type="dxa"/>
            <w:noWrap/>
          </w:tcPr>
          <w:p w14:paraId="2A6CDE3B"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84</w:t>
            </w:r>
          </w:p>
        </w:tc>
        <w:tc>
          <w:tcPr>
            <w:tcW w:w="700" w:type="dxa"/>
            <w:noWrap/>
          </w:tcPr>
          <w:p w14:paraId="2D964777"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c>
          <w:tcPr>
            <w:tcW w:w="941" w:type="dxa"/>
            <w:noWrap/>
          </w:tcPr>
          <w:p w14:paraId="79406563"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13</w:t>
            </w:r>
          </w:p>
        </w:tc>
        <w:tc>
          <w:tcPr>
            <w:tcW w:w="820" w:type="dxa"/>
          </w:tcPr>
          <w:p w14:paraId="367E79E8"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879</w:t>
            </w:r>
          </w:p>
        </w:tc>
        <w:tc>
          <w:tcPr>
            <w:tcW w:w="820" w:type="dxa"/>
            <w:noWrap/>
          </w:tcPr>
          <w:p w14:paraId="2D178556"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3306</w:t>
            </w:r>
          </w:p>
        </w:tc>
        <w:tc>
          <w:tcPr>
            <w:tcW w:w="821" w:type="dxa"/>
            <w:tcBorders>
              <w:right w:val="single" w:sz="12" w:space="0" w:color="auto"/>
            </w:tcBorders>
            <w:noWrap/>
          </w:tcPr>
          <w:p w14:paraId="7A62F5BA"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r>
      <w:tr w:rsidR="006D4628" w:rsidRPr="003B4324" w14:paraId="284F292B" w14:textId="77777777" w:rsidTr="006D4628">
        <w:trPr>
          <w:trHeight w:val="298"/>
        </w:trPr>
        <w:tc>
          <w:tcPr>
            <w:tcW w:w="895" w:type="dxa"/>
            <w:vMerge/>
            <w:tcBorders>
              <w:left w:val="single" w:sz="12" w:space="0" w:color="auto"/>
            </w:tcBorders>
            <w:shd w:val="clear" w:color="auto" w:fill="E7E6E6"/>
            <w:noWrap/>
          </w:tcPr>
          <w:p w14:paraId="7A46ADF8"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noWrap/>
          </w:tcPr>
          <w:p w14:paraId="048CF7FC" w14:textId="77777777" w:rsidR="00DB5AA8" w:rsidRPr="002574F2"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2045</w:t>
            </w:r>
          </w:p>
        </w:tc>
        <w:tc>
          <w:tcPr>
            <w:tcW w:w="709" w:type="dxa"/>
            <w:noWrap/>
          </w:tcPr>
          <w:p w14:paraId="2F123FD0"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339</w:t>
            </w:r>
          </w:p>
        </w:tc>
        <w:tc>
          <w:tcPr>
            <w:tcW w:w="950" w:type="dxa"/>
            <w:noWrap/>
          </w:tcPr>
          <w:p w14:paraId="6A26CA0E"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3947</w:t>
            </w:r>
          </w:p>
        </w:tc>
        <w:tc>
          <w:tcPr>
            <w:tcW w:w="821" w:type="dxa"/>
            <w:noWrap/>
          </w:tcPr>
          <w:p w14:paraId="6D225D77"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2062</w:t>
            </w:r>
          </w:p>
        </w:tc>
        <w:tc>
          <w:tcPr>
            <w:tcW w:w="820" w:type="dxa"/>
            <w:noWrap/>
          </w:tcPr>
          <w:p w14:paraId="5A688B06"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1524</w:t>
            </w:r>
          </w:p>
        </w:tc>
        <w:tc>
          <w:tcPr>
            <w:tcW w:w="820" w:type="dxa"/>
            <w:noWrap/>
          </w:tcPr>
          <w:p w14:paraId="77AA5B7D"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90</w:t>
            </w:r>
          </w:p>
        </w:tc>
        <w:tc>
          <w:tcPr>
            <w:tcW w:w="700" w:type="dxa"/>
            <w:noWrap/>
          </w:tcPr>
          <w:p w14:paraId="5D84C358"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c>
          <w:tcPr>
            <w:tcW w:w="941" w:type="dxa"/>
            <w:noWrap/>
          </w:tcPr>
          <w:p w14:paraId="4946E767"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w:t>
            </w:r>
          </w:p>
        </w:tc>
        <w:tc>
          <w:tcPr>
            <w:tcW w:w="820" w:type="dxa"/>
          </w:tcPr>
          <w:p w14:paraId="40282B7E"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891</w:t>
            </w:r>
          </w:p>
        </w:tc>
        <w:tc>
          <w:tcPr>
            <w:tcW w:w="820" w:type="dxa"/>
            <w:noWrap/>
          </w:tcPr>
          <w:p w14:paraId="601948C7"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3423</w:t>
            </w:r>
          </w:p>
        </w:tc>
        <w:tc>
          <w:tcPr>
            <w:tcW w:w="821" w:type="dxa"/>
            <w:tcBorders>
              <w:right w:val="single" w:sz="12" w:space="0" w:color="auto"/>
            </w:tcBorders>
            <w:noWrap/>
          </w:tcPr>
          <w:p w14:paraId="4509E97D"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r>
      <w:tr w:rsidR="006D4628" w:rsidRPr="003B4324" w14:paraId="2A6233F0" w14:textId="77777777" w:rsidTr="006D4628">
        <w:trPr>
          <w:trHeight w:val="298"/>
        </w:trPr>
        <w:tc>
          <w:tcPr>
            <w:tcW w:w="895" w:type="dxa"/>
            <w:vMerge/>
            <w:tcBorders>
              <w:left w:val="single" w:sz="12" w:space="0" w:color="auto"/>
              <w:bottom w:val="single" w:sz="12" w:space="0" w:color="auto"/>
            </w:tcBorders>
            <w:shd w:val="clear" w:color="auto" w:fill="E7E6E6"/>
            <w:noWrap/>
          </w:tcPr>
          <w:p w14:paraId="7FEB1868"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tcBorders>
              <w:bottom w:val="single" w:sz="12" w:space="0" w:color="auto"/>
            </w:tcBorders>
            <w:noWrap/>
          </w:tcPr>
          <w:p w14:paraId="79143A0D" w14:textId="77777777" w:rsidR="00DB5AA8" w:rsidRPr="002574F2"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2050</w:t>
            </w:r>
          </w:p>
        </w:tc>
        <w:tc>
          <w:tcPr>
            <w:tcW w:w="709" w:type="dxa"/>
            <w:tcBorders>
              <w:bottom w:val="single" w:sz="12" w:space="0" w:color="auto"/>
            </w:tcBorders>
            <w:noWrap/>
          </w:tcPr>
          <w:p w14:paraId="1803F0B2"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376</w:t>
            </w:r>
          </w:p>
        </w:tc>
        <w:tc>
          <w:tcPr>
            <w:tcW w:w="950" w:type="dxa"/>
            <w:tcBorders>
              <w:bottom w:val="single" w:sz="12" w:space="0" w:color="auto"/>
            </w:tcBorders>
            <w:noWrap/>
          </w:tcPr>
          <w:p w14:paraId="6A35ACC3"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4156</w:t>
            </w:r>
          </w:p>
        </w:tc>
        <w:tc>
          <w:tcPr>
            <w:tcW w:w="821" w:type="dxa"/>
            <w:tcBorders>
              <w:bottom w:val="single" w:sz="12" w:space="0" w:color="auto"/>
            </w:tcBorders>
            <w:noWrap/>
          </w:tcPr>
          <w:p w14:paraId="28319559"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2319</w:t>
            </w:r>
          </w:p>
        </w:tc>
        <w:tc>
          <w:tcPr>
            <w:tcW w:w="820" w:type="dxa"/>
            <w:tcBorders>
              <w:bottom w:val="single" w:sz="12" w:space="0" w:color="auto"/>
            </w:tcBorders>
            <w:noWrap/>
          </w:tcPr>
          <w:p w14:paraId="113B4F60"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1520</w:t>
            </w:r>
          </w:p>
        </w:tc>
        <w:tc>
          <w:tcPr>
            <w:tcW w:w="820" w:type="dxa"/>
            <w:tcBorders>
              <w:bottom w:val="single" w:sz="12" w:space="0" w:color="auto"/>
            </w:tcBorders>
            <w:noWrap/>
          </w:tcPr>
          <w:p w14:paraId="2B60D9C3"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94</w:t>
            </w:r>
          </w:p>
        </w:tc>
        <w:tc>
          <w:tcPr>
            <w:tcW w:w="700" w:type="dxa"/>
            <w:tcBorders>
              <w:bottom w:val="single" w:sz="12" w:space="0" w:color="auto"/>
            </w:tcBorders>
            <w:noWrap/>
          </w:tcPr>
          <w:p w14:paraId="3D8ED70C"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c>
          <w:tcPr>
            <w:tcW w:w="941" w:type="dxa"/>
            <w:tcBorders>
              <w:bottom w:val="single" w:sz="12" w:space="0" w:color="auto"/>
            </w:tcBorders>
            <w:noWrap/>
          </w:tcPr>
          <w:p w14:paraId="2BDCAC98"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w:t>
            </w:r>
          </w:p>
        </w:tc>
        <w:tc>
          <w:tcPr>
            <w:tcW w:w="820" w:type="dxa"/>
            <w:tcBorders>
              <w:bottom w:val="single" w:sz="12" w:space="0" w:color="auto"/>
            </w:tcBorders>
          </w:tcPr>
          <w:p w14:paraId="4BD616C3"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898</w:t>
            </w:r>
          </w:p>
        </w:tc>
        <w:tc>
          <w:tcPr>
            <w:tcW w:w="820" w:type="dxa"/>
            <w:tcBorders>
              <w:bottom w:val="single" w:sz="12" w:space="0" w:color="auto"/>
            </w:tcBorders>
            <w:noWrap/>
          </w:tcPr>
          <w:p w14:paraId="6F3424FB"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3552</w:t>
            </w:r>
          </w:p>
        </w:tc>
        <w:tc>
          <w:tcPr>
            <w:tcW w:w="821" w:type="dxa"/>
            <w:tcBorders>
              <w:bottom w:val="single" w:sz="12" w:space="0" w:color="auto"/>
              <w:right w:val="single" w:sz="12" w:space="0" w:color="auto"/>
            </w:tcBorders>
            <w:noWrap/>
          </w:tcPr>
          <w:p w14:paraId="3E7BB1D6" w14:textId="77777777" w:rsidR="00DB5AA8" w:rsidRPr="002574F2"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r>
      <w:tr w:rsidR="006D4628" w:rsidRPr="003B4324" w14:paraId="3189C9F7" w14:textId="77777777" w:rsidTr="006D4628">
        <w:trPr>
          <w:trHeight w:val="298"/>
        </w:trPr>
        <w:tc>
          <w:tcPr>
            <w:tcW w:w="895" w:type="dxa"/>
            <w:vMerge w:val="restart"/>
            <w:tcBorders>
              <w:top w:val="single" w:sz="12" w:space="0" w:color="auto"/>
              <w:left w:val="single" w:sz="12" w:space="0" w:color="auto"/>
            </w:tcBorders>
            <w:shd w:val="clear" w:color="auto" w:fill="E7E6E6"/>
            <w:noWrap/>
            <w:vAlign w:val="center"/>
          </w:tcPr>
          <w:p w14:paraId="146F45D2" w14:textId="4FCF1AB1" w:rsidR="00DB5AA8" w:rsidRPr="004254D2" w:rsidRDefault="006D4628" w:rsidP="0057310C">
            <w:pPr>
              <w:spacing w:after="0" w:line="240" w:lineRule="auto"/>
              <w:jc w:val="left"/>
              <w:rPr>
                <w:rFonts w:ascii="Calibri Light" w:hAnsi="Calibri Light" w:cs="Calibri Light"/>
                <w:color w:val="000000" w:themeColor="text1"/>
              </w:rPr>
            </w:pPr>
            <w:r w:rsidRPr="006D4628">
              <w:rPr>
                <w:rFonts w:ascii="Calibri Light" w:hAnsi="Calibri Light" w:cs="Calibri Light"/>
                <w:color w:val="000000" w:themeColor="text1"/>
              </w:rPr>
              <w:t>Сценарио</w:t>
            </w:r>
            <w:r w:rsidR="00DB5AA8" w:rsidRPr="00B37318">
              <w:rPr>
                <w:rFonts w:ascii="Calibri Light" w:hAnsi="Calibri Light" w:cs="Calibri Light"/>
                <w:color w:val="000000" w:themeColor="text1"/>
              </w:rPr>
              <w:t>-S</w:t>
            </w:r>
          </w:p>
        </w:tc>
        <w:tc>
          <w:tcPr>
            <w:tcW w:w="801" w:type="dxa"/>
            <w:tcBorders>
              <w:top w:val="single" w:sz="12" w:space="0" w:color="auto"/>
            </w:tcBorders>
            <w:noWrap/>
          </w:tcPr>
          <w:p w14:paraId="0BD655A5" w14:textId="77777777" w:rsidR="00DB5AA8" w:rsidRPr="00B37318"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w:t>
            </w:r>
            <w:r>
              <w:rPr>
                <w:rFonts w:ascii="Calibri Light" w:hAnsi="Calibri Light" w:cs="Calibri Light"/>
                <w:color w:val="000000" w:themeColor="text1"/>
              </w:rPr>
              <w:t>20</w:t>
            </w:r>
          </w:p>
        </w:tc>
        <w:tc>
          <w:tcPr>
            <w:tcW w:w="709" w:type="dxa"/>
            <w:tcBorders>
              <w:top w:val="single" w:sz="12" w:space="0" w:color="auto"/>
            </w:tcBorders>
            <w:noWrap/>
          </w:tcPr>
          <w:p w14:paraId="38A051F1"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358</w:t>
            </w:r>
          </w:p>
        </w:tc>
        <w:tc>
          <w:tcPr>
            <w:tcW w:w="950" w:type="dxa"/>
            <w:tcBorders>
              <w:top w:val="single" w:sz="12" w:space="0" w:color="auto"/>
            </w:tcBorders>
            <w:noWrap/>
          </w:tcPr>
          <w:p w14:paraId="79744A76"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2910</w:t>
            </w:r>
          </w:p>
        </w:tc>
        <w:tc>
          <w:tcPr>
            <w:tcW w:w="821" w:type="dxa"/>
            <w:tcBorders>
              <w:top w:val="single" w:sz="12" w:space="0" w:color="auto"/>
            </w:tcBorders>
            <w:noWrap/>
          </w:tcPr>
          <w:p w14:paraId="7D598EBE"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1030</w:t>
            </w:r>
          </w:p>
        </w:tc>
        <w:tc>
          <w:tcPr>
            <w:tcW w:w="820" w:type="dxa"/>
            <w:tcBorders>
              <w:top w:val="single" w:sz="12" w:space="0" w:color="auto"/>
            </w:tcBorders>
            <w:noWrap/>
          </w:tcPr>
          <w:p w14:paraId="6FC61538"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1571</w:t>
            </w:r>
          </w:p>
        </w:tc>
        <w:tc>
          <w:tcPr>
            <w:tcW w:w="820" w:type="dxa"/>
            <w:tcBorders>
              <w:top w:val="single" w:sz="12" w:space="0" w:color="auto"/>
            </w:tcBorders>
            <w:noWrap/>
          </w:tcPr>
          <w:p w14:paraId="1D28EB79"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c>
          <w:tcPr>
            <w:tcW w:w="700" w:type="dxa"/>
            <w:tcBorders>
              <w:top w:val="single" w:sz="12" w:space="0" w:color="auto"/>
            </w:tcBorders>
            <w:noWrap/>
          </w:tcPr>
          <w:p w14:paraId="45DE4A9D"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w:t>
            </w:r>
          </w:p>
        </w:tc>
        <w:tc>
          <w:tcPr>
            <w:tcW w:w="941" w:type="dxa"/>
            <w:tcBorders>
              <w:top w:val="single" w:sz="12" w:space="0" w:color="auto"/>
            </w:tcBorders>
            <w:noWrap/>
          </w:tcPr>
          <w:p w14:paraId="7BE131B6"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6</w:t>
            </w:r>
          </w:p>
        </w:tc>
        <w:tc>
          <w:tcPr>
            <w:tcW w:w="820" w:type="dxa"/>
            <w:tcBorders>
              <w:top w:val="single" w:sz="12" w:space="0" w:color="auto"/>
            </w:tcBorders>
          </w:tcPr>
          <w:p w14:paraId="093D1AAB"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736</w:t>
            </w:r>
          </w:p>
        </w:tc>
        <w:tc>
          <w:tcPr>
            <w:tcW w:w="820" w:type="dxa"/>
            <w:tcBorders>
              <w:top w:val="single" w:sz="12" w:space="0" w:color="auto"/>
            </w:tcBorders>
            <w:noWrap/>
          </w:tcPr>
          <w:p w14:paraId="0834B5DE"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2400</w:t>
            </w:r>
          </w:p>
        </w:tc>
        <w:tc>
          <w:tcPr>
            <w:tcW w:w="821" w:type="dxa"/>
            <w:tcBorders>
              <w:top w:val="single" w:sz="12" w:space="0" w:color="auto"/>
              <w:right w:val="single" w:sz="12" w:space="0" w:color="auto"/>
            </w:tcBorders>
            <w:noWrap/>
          </w:tcPr>
          <w:p w14:paraId="6931AB69"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r>
      <w:tr w:rsidR="006D4628" w:rsidRPr="003B4324" w14:paraId="2CB09470" w14:textId="77777777" w:rsidTr="006D4628">
        <w:trPr>
          <w:trHeight w:val="298"/>
        </w:trPr>
        <w:tc>
          <w:tcPr>
            <w:tcW w:w="895" w:type="dxa"/>
            <w:vMerge/>
            <w:tcBorders>
              <w:left w:val="single" w:sz="12" w:space="0" w:color="auto"/>
            </w:tcBorders>
            <w:shd w:val="clear" w:color="auto" w:fill="E7E6E6"/>
            <w:noWrap/>
          </w:tcPr>
          <w:p w14:paraId="0E15D503"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noWrap/>
          </w:tcPr>
          <w:p w14:paraId="7699841E" w14:textId="77777777" w:rsidR="00DB5AA8" w:rsidRPr="00B37318"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2025</w:t>
            </w:r>
          </w:p>
        </w:tc>
        <w:tc>
          <w:tcPr>
            <w:tcW w:w="709" w:type="dxa"/>
            <w:noWrap/>
          </w:tcPr>
          <w:p w14:paraId="7A6E5D4B"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251</w:t>
            </w:r>
          </w:p>
        </w:tc>
        <w:tc>
          <w:tcPr>
            <w:tcW w:w="950" w:type="dxa"/>
            <w:noWrap/>
          </w:tcPr>
          <w:p w14:paraId="76FE03BF"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3077</w:t>
            </w:r>
          </w:p>
        </w:tc>
        <w:tc>
          <w:tcPr>
            <w:tcW w:w="821" w:type="dxa"/>
            <w:noWrap/>
          </w:tcPr>
          <w:p w14:paraId="09E2C02F"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893</w:t>
            </w:r>
          </w:p>
        </w:tc>
        <w:tc>
          <w:tcPr>
            <w:tcW w:w="820" w:type="dxa"/>
            <w:noWrap/>
          </w:tcPr>
          <w:p w14:paraId="5AF3800C"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1637</w:t>
            </w:r>
          </w:p>
        </w:tc>
        <w:tc>
          <w:tcPr>
            <w:tcW w:w="820" w:type="dxa"/>
            <w:noWrap/>
          </w:tcPr>
          <w:p w14:paraId="4A84364F"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30</w:t>
            </w:r>
          </w:p>
        </w:tc>
        <w:tc>
          <w:tcPr>
            <w:tcW w:w="700" w:type="dxa"/>
            <w:noWrap/>
          </w:tcPr>
          <w:p w14:paraId="4D244865"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12</w:t>
            </w:r>
          </w:p>
        </w:tc>
        <w:tc>
          <w:tcPr>
            <w:tcW w:w="941" w:type="dxa"/>
            <w:noWrap/>
          </w:tcPr>
          <w:p w14:paraId="03FA206A"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w:t>
            </w:r>
          </w:p>
        </w:tc>
        <w:tc>
          <w:tcPr>
            <w:tcW w:w="820" w:type="dxa"/>
          </w:tcPr>
          <w:p w14:paraId="2DBA2E31"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841</w:t>
            </w:r>
          </w:p>
        </w:tc>
        <w:tc>
          <w:tcPr>
            <w:tcW w:w="820" w:type="dxa"/>
            <w:noWrap/>
          </w:tcPr>
          <w:p w14:paraId="5A8AE3AB"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2559</w:t>
            </w:r>
          </w:p>
        </w:tc>
        <w:tc>
          <w:tcPr>
            <w:tcW w:w="821" w:type="dxa"/>
            <w:tcBorders>
              <w:right w:val="single" w:sz="12" w:space="0" w:color="auto"/>
            </w:tcBorders>
            <w:noWrap/>
          </w:tcPr>
          <w:p w14:paraId="1D4CF71B"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r>
      <w:tr w:rsidR="006D4628" w:rsidRPr="003B4324" w14:paraId="1787A0A7" w14:textId="77777777" w:rsidTr="006D4628">
        <w:trPr>
          <w:trHeight w:val="298"/>
        </w:trPr>
        <w:tc>
          <w:tcPr>
            <w:tcW w:w="895" w:type="dxa"/>
            <w:vMerge/>
            <w:tcBorders>
              <w:left w:val="single" w:sz="12" w:space="0" w:color="auto"/>
            </w:tcBorders>
            <w:shd w:val="clear" w:color="auto" w:fill="E7E6E6"/>
            <w:noWrap/>
          </w:tcPr>
          <w:p w14:paraId="0D3B470F"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noWrap/>
          </w:tcPr>
          <w:p w14:paraId="3621D108" w14:textId="77777777" w:rsidR="00DB5AA8" w:rsidRPr="00B37318"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2026</w:t>
            </w:r>
          </w:p>
        </w:tc>
        <w:tc>
          <w:tcPr>
            <w:tcW w:w="709" w:type="dxa"/>
            <w:noWrap/>
          </w:tcPr>
          <w:p w14:paraId="4A5CFDCB"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185</w:t>
            </w:r>
          </w:p>
        </w:tc>
        <w:tc>
          <w:tcPr>
            <w:tcW w:w="950" w:type="dxa"/>
            <w:noWrap/>
          </w:tcPr>
          <w:p w14:paraId="6C811F13"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3116</w:t>
            </w:r>
          </w:p>
        </w:tc>
        <w:tc>
          <w:tcPr>
            <w:tcW w:w="821" w:type="dxa"/>
            <w:noWrap/>
          </w:tcPr>
          <w:p w14:paraId="3091FCF0"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903</w:t>
            </w:r>
          </w:p>
        </w:tc>
        <w:tc>
          <w:tcPr>
            <w:tcW w:w="820" w:type="dxa"/>
            <w:noWrap/>
          </w:tcPr>
          <w:p w14:paraId="6BA13F5A"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1635</w:t>
            </w:r>
          </w:p>
        </w:tc>
        <w:tc>
          <w:tcPr>
            <w:tcW w:w="820" w:type="dxa"/>
            <w:noWrap/>
          </w:tcPr>
          <w:p w14:paraId="24085A6E"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34</w:t>
            </w:r>
          </w:p>
        </w:tc>
        <w:tc>
          <w:tcPr>
            <w:tcW w:w="700" w:type="dxa"/>
            <w:noWrap/>
          </w:tcPr>
          <w:p w14:paraId="6F81F5D1"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w:t>
            </w:r>
          </w:p>
        </w:tc>
        <w:tc>
          <w:tcPr>
            <w:tcW w:w="941" w:type="dxa"/>
            <w:noWrap/>
          </w:tcPr>
          <w:p w14:paraId="67C0342E"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w:t>
            </w:r>
          </w:p>
        </w:tc>
        <w:tc>
          <w:tcPr>
            <w:tcW w:w="820" w:type="dxa"/>
          </w:tcPr>
          <w:p w14:paraId="539EC038"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847</w:t>
            </w:r>
          </w:p>
        </w:tc>
        <w:tc>
          <w:tcPr>
            <w:tcW w:w="820" w:type="dxa"/>
            <w:noWrap/>
          </w:tcPr>
          <w:p w14:paraId="0C4119AF"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2568</w:t>
            </w:r>
          </w:p>
        </w:tc>
        <w:tc>
          <w:tcPr>
            <w:tcW w:w="821" w:type="dxa"/>
            <w:tcBorders>
              <w:right w:val="single" w:sz="12" w:space="0" w:color="auto"/>
            </w:tcBorders>
            <w:noWrap/>
          </w:tcPr>
          <w:p w14:paraId="38831349"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r>
      <w:tr w:rsidR="006D4628" w:rsidRPr="003B4324" w14:paraId="613AECA0" w14:textId="77777777" w:rsidTr="006D4628">
        <w:trPr>
          <w:trHeight w:val="298"/>
        </w:trPr>
        <w:tc>
          <w:tcPr>
            <w:tcW w:w="895" w:type="dxa"/>
            <w:vMerge/>
            <w:tcBorders>
              <w:left w:val="single" w:sz="12" w:space="0" w:color="auto"/>
            </w:tcBorders>
            <w:shd w:val="clear" w:color="auto" w:fill="E7E6E6"/>
            <w:noWrap/>
          </w:tcPr>
          <w:p w14:paraId="492AE4EF"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noWrap/>
          </w:tcPr>
          <w:p w14:paraId="0D9D7C7E" w14:textId="77777777" w:rsidR="00DB5AA8" w:rsidRPr="00B37318"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2027</w:t>
            </w:r>
          </w:p>
        </w:tc>
        <w:tc>
          <w:tcPr>
            <w:tcW w:w="709" w:type="dxa"/>
            <w:noWrap/>
          </w:tcPr>
          <w:p w14:paraId="6DBDB52D"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189</w:t>
            </w:r>
          </w:p>
        </w:tc>
        <w:tc>
          <w:tcPr>
            <w:tcW w:w="950" w:type="dxa"/>
            <w:noWrap/>
          </w:tcPr>
          <w:p w14:paraId="21DC8386"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3137</w:t>
            </w:r>
          </w:p>
        </w:tc>
        <w:tc>
          <w:tcPr>
            <w:tcW w:w="821" w:type="dxa"/>
            <w:noWrap/>
          </w:tcPr>
          <w:p w14:paraId="23AE6F0B"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920</w:t>
            </w:r>
          </w:p>
        </w:tc>
        <w:tc>
          <w:tcPr>
            <w:tcW w:w="820" w:type="dxa"/>
            <w:noWrap/>
          </w:tcPr>
          <w:p w14:paraId="75E6B7C8"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1620</w:t>
            </w:r>
          </w:p>
        </w:tc>
        <w:tc>
          <w:tcPr>
            <w:tcW w:w="820" w:type="dxa"/>
            <w:noWrap/>
          </w:tcPr>
          <w:p w14:paraId="2F257C1A"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38</w:t>
            </w:r>
          </w:p>
        </w:tc>
        <w:tc>
          <w:tcPr>
            <w:tcW w:w="700" w:type="dxa"/>
            <w:noWrap/>
          </w:tcPr>
          <w:p w14:paraId="4C16C271"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17</w:t>
            </w:r>
          </w:p>
        </w:tc>
        <w:tc>
          <w:tcPr>
            <w:tcW w:w="941" w:type="dxa"/>
            <w:noWrap/>
          </w:tcPr>
          <w:p w14:paraId="202E5074"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w:t>
            </w:r>
          </w:p>
        </w:tc>
        <w:tc>
          <w:tcPr>
            <w:tcW w:w="820" w:type="dxa"/>
          </w:tcPr>
          <w:p w14:paraId="2BD13F18"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844</w:t>
            </w:r>
          </w:p>
        </w:tc>
        <w:tc>
          <w:tcPr>
            <w:tcW w:w="820" w:type="dxa"/>
            <w:noWrap/>
          </w:tcPr>
          <w:p w14:paraId="156E441A"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2607</w:t>
            </w:r>
          </w:p>
        </w:tc>
        <w:tc>
          <w:tcPr>
            <w:tcW w:w="821" w:type="dxa"/>
            <w:tcBorders>
              <w:right w:val="single" w:sz="12" w:space="0" w:color="auto"/>
            </w:tcBorders>
            <w:noWrap/>
          </w:tcPr>
          <w:p w14:paraId="42375EC1"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r>
      <w:tr w:rsidR="006D4628" w:rsidRPr="003B4324" w14:paraId="6FE5CFB0" w14:textId="77777777" w:rsidTr="006D4628">
        <w:trPr>
          <w:trHeight w:val="298"/>
        </w:trPr>
        <w:tc>
          <w:tcPr>
            <w:tcW w:w="895" w:type="dxa"/>
            <w:vMerge/>
            <w:tcBorders>
              <w:left w:val="single" w:sz="12" w:space="0" w:color="auto"/>
            </w:tcBorders>
            <w:shd w:val="clear" w:color="auto" w:fill="E7E6E6"/>
            <w:noWrap/>
          </w:tcPr>
          <w:p w14:paraId="2C94A026"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noWrap/>
          </w:tcPr>
          <w:p w14:paraId="5CD0AC77" w14:textId="77777777" w:rsidR="00DB5AA8" w:rsidRPr="00B37318"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2028</w:t>
            </w:r>
          </w:p>
        </w:tc>
        <w:tc>
          <w:tcPr>
            <w:tcW w:w="709" w:type="dxa"/>
            <w:noWrap/>
          </w:tcPr>
          <w:p w14:paraId="4C754931"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187</w:t>
            </w:r>
          </w:p>
        </w:tc>
        <w:tc>
          <w:tcPr>
            <w:tcW w:w="950" w:type="dxa"/>
            <w:noWrap/>
          </w:tcPr>
          <w:p w14:paraId="4A85AF39"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3116</w:t>
            </w:r>
          </w:p>
        </w:tc>
        <w:tc>
          <w:tcPr>
            <w:tcW w:w="821" w:type="dxa"/>
            <w:noWrap/>
          </w:tcPr>
          <w:p w14:paraId="059FF00F"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982</w:t>
            </w:r>
          </w:p>
        </w:tc>
        <w:tc>
          <w:tcPr>
            <w:tcW w:w="820" w:type="dxa"/>
            <w:noWrap/>
          </w:tcPr>
          <w:p w14:paraId="63C91476"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1616</w:t>
            </w:r>
          </w:p>
        </w:tc>
        <w:tc>
          <w:tcPr>
            <w:tcW w:w="820" w:type="dxa"/>
            <w:noWrap/>
          </w:tcPr>
          <w:p w14:paraId="3422E8BB"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41</w:t>
            </w:r>
          </w:p>
        </w:tc>
        <w:tc>
          <w:tcPr>
            <w:tcW w:w="700" w:type="dxa"/>
            <w:noWrap/>
          </w:tcPr>
          <w:p w14:paraId="3A471D0F"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19</w:t>
            </w:r>
          </w:p>
        </w:tc>
        <w:tc>
          <w:tcPr>
            <w:tcW w:w="941" w:type="dxa"/>
            <w:noWrap/>
          </w:tcPr>
          <w:p w14:paraId="55329B18"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11</w:t>
            </w:r>
          </w:p>
        </w:tc>
        <w:tc>
          <w:tcPr>
            <w:tcW w:w="820" w:type="dxa"/>
          </w:tcPr>
          <w:p w14:paraId="1174CEF9"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846</w:t>
            </w:r>
          </w:p>
        </w:tc>
        <w:tc>
          <w:tcPr>
            <w:tcW w:w="820" w:type="dxa"/>
            <w:noWrap/>
          </w:tcPr>
          <w:p w14:paraId="4934E579"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2651</w:t>
            </w:r>
          </w:p>
        </w:tc>
        <w:tc>
          <w:tcPr>
            <w:tcW w:w="821" w:type="dxa"/>
            <w:tcBorders>
              <w:right w:val="single" w:sz="12" w:space="0" w:color="auto"/>
            </w:tcBorders>
            <w:noWrap/>
          </w:tcPr>
          <w:p w14:paraId="0D542395"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r>
      <w:tr w:rsidR="006D4628" w:rsidRPr="003B4324" w14:paraId="7314AA71" w14:textId="77777777" w:rsidTr="006D4628">
        <w:trPr>
          <w:trHeight w:val="298"/>
        </w:trPr>
        <w:tc>
          <w:tcPr>
            <w:tcW w:w="895" w:type="dxa"/>
            <w:vMerge/>
            <w:tcBorders>
              <w:left w:val="single" w:sz="12" w:space="0" w:color="auto"/>
            </w:tcBorders>
            <w:shd w:val="clear" w:color="auto" w:fill="E7E6E6"/>
            <w:noWrap/>
          </w:tcPr>
          <w:p w14:paraId="5E5D747E"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noWrap/>
          </w:tcPr>
          <w:p w14:paraId="424AF2CB" w14:textId="77777777" w:rsidR="00DB5AA8" w:rsidRPr="00B37318"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2029</w:t>
            </w:r>
          </w:p>
        </w:tc>
        <w:tc>
          <w:tcPr>
            <w:tcW w:w="709" w:type="dxa"/>
            <w:noWrap/>
          </w:tcPr>
          <w:p w14:paraId="50513A99"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190</w:t>
            </w:r>
          </w:p>
        </w:tc>
        <w:tc>
          <w:tcPr>
            <w:tcW w:w="950" w:type="dxa"/>
            <w:noWrap/>
          </w:tcPr>
          <w:p w14:paraId="5741EC27"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3124</w:t>
            </w:r>
          </w:p>
        </w:tc>
        <w:tc>
          <w:tcPr>
            <w:tcW w:w="821" w:type="dxa"/>
            <w:noWrap/>
          </w:tcPr>
          <w:p w14:paraId="170D7594"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993</w:t>
            </w:r>
          </w:p>
        </w:tc>
        <w:tc>
          <w:tcPr>
            <w:tcW w:w="820" w:type="dxa"/>
            <w:noWrap/>
          </w:tcPr>
          <w:p w14:paraId="7A646755"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1598</w:t>
            </w:r>
          </w:p>
        </w:tc>
        <w:tc>
          <w:tcPr>
            <w:tcW w:w="820" w:type="dxa"/>
            <w:noWrap/>
          </w:tcPr>
          <w:p w14:paraId="78DD2D66"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45</w:t>
            </w:r>
          </w:p>
        </w:tc>
        <w:tc>
          <w:tcPr>
            <w:tcW w:w="700" w:type="dxa"/>
            <w:noWrap/>
          </w:tcPr>
          <w:p w14:paraId="58239644"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22</w:t>
            </w:r>
          </w:p>
        </w:tc>
        <w:tc>
          <w:tcPr>
            <w:tcW w:w="941" w:type="dxa"/>
            <w:noWrap/>
          </w:tcPr>
          <w:p w14:paraId="6848A46A"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12</w:t>
            </w:r>
          </w:p>
        </w:tc>
        <w:tc>
          <w:tcPr>
            <w:tcW w:w="820" w:type="dxa"/>
          </w:tcPr>
          <w:p w14:paraId="45D85E0F"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847</w:t>
            </w:r>
          </w:p>
        </w:tc>
        <w:tc>
          <w:tcPr>
            <w:tcW w:w="820" w:type="dxa"/>
            <w:noWrap/>
          </w:tcPr>
          <w:p w14:paraId="189D4057"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2697</w:t>
            </w:r>
          </w:p>
        </w:tc>
        <w:tc>
          <w:tcPr>
            <w:tcW w:w="821" w:type="dxa"/>
            <w:tcBorders>
              <w:right w:val="single" w:sz="12" w:space="0" w:color="auto"/>
            </w:tcBorders>
            <w:noWrap/>
          </w:tcPr>
          <w:p w14:paraId="63BA09BE"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r>
      <w:tr w:rsidR="006D4628" w:rsidRPr="003B4324" w14:paraId="70E30F33" w14:textId="77777777" w:rsidTr="006D4628">
        <w:trPr>
          <w:trHeight w:val="298"/>
        </w:trPr>
        <w:tc>
          <w:tcPr>
            <w:tcW w:w="895" w:type="dxa"/>
            <w:vMerge/>
            <w:tcBorders>
              <w:left w:val="single" w:sz="12" w:space="0" w:color="auto"/>
            </w:tcBorders>
            <w:shd w:val="clear" w:color="auto" w:fill="E7E6E6"/>
            <w:noWrap/>
          </w:tcPr>
          <w:p w14:paraId="7ADBAAE2"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noWrap/>
          </w:tcPr>
          <w:p w14:paraId="5837876D" w14:textId="77777777" w:rsidR="00DB5AA8" w:rsidRPr="00B37318"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2030</w:t>
            </w:r>
          </w:p>
        </w:tc>
        <w:tc>
          <w:tcPr>
            <w:tcW w:w="709" w:type="dxa"/>
            <w:noWrap/>
          </w:tcPr>
          <w:p w14:paraId="65534D04"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214</w:t>
            </w:r>
          </w:p>
        </w:tc>
        <w:tc>
          <w:tcPr>
            <w:tcW w:w="950" w:type="dxa"/>
            <w:noWrap/>
          </w:tcPr>
          <w:p w14:paraId="47BE8C49"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3145</w:t>
            </w:r>
          </w:p>
        </w:tc>
        <w:tc>
          <w:tcPr>
            <w:tcW w:w="821" w:type="dxa"/>
            <w:noWrap/>
          </w:tcPr>
          <w:p w14:paraId="7418B3B1"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1055</w:t>
            </w:r>
          </w:p>
        </w:tc>
        <w:tc>
          <w:tcPr>
            <w:tcW w:w="820" w:type="dxa"/>
            <w:noWrap/>
          </w:tcPr>
          <w:p w14:paraId="72B29212"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1577</w:t>
            </w:r>
          </w:p>
        </w:tc>
        <w:tc>
          <w:tcPr>
            <w:tcW w:w="820" w:type="dxa"/>
            <w:noWrap/>
          </w:tcPr>
          <w:p w14:paraId="479AB7A5"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49</w:t>
            </w:r>
          </w:p>
        </w:tc>
        <w:tc>
          <w:tcPr>
            <w:tcW w:w="700" w:type="dxa"/>
            <w:noWrap/>
          </w:tcPr>
          <w:p w14:paraId="15841F91"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24</w:t>
            </w:r>
          </w:p>
        </w:tc>
        <w:tc>
          <w:tcPr>
            <w:tcW w:w="941" w:type="dxa"/>
            <w:noWrap/>
          </w:tcPr>
          <w:p w14:paraId="08BBC35D"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12</w:t>
            </w:r>
          </w:p>
        </w:tc>
        <w:tc>
          <w:tcPr>
            <w:tcW w:w="820" w:type="dxa"/>
          </w:tcPr>
          <w:p w14:paraId="2642776A"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833</w:t>
            </w:r>
          </w:p>
        </w:tc>
        <w:tc>
          <w:tcPr>
            <w:tcW w:w="820" w:type="dxa"/>
            <w:noWrap/>
          </w:tcPr>
          <w:p w14:paraId="5EEBF2ED"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2732</w:t>
            </w:r>
          </w:p>
        </w:tc>
        <w:tc>
          <w:tcPr>
            <w:tcW w:w="821" w:type="dxa"/>
            <w:tcBorders>
              <w:right w:val="single" w:sz="12" w:space="0" w:color="auto"/>
            </w:tcBorders>
            <w:noWrap/>
          </w:tcPr>
          <w:p w14:paraId="1CD34AA3"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r>
      <w:tr w:rsidR="006D4628" w:rsidRPr="003B4324" w14:paraId="263EDD0D" w14:textId="77777777" w:rsidTr="000A2AFE">
        <w:trPr>
          <w:trHeight w:val="298"/>
        </w:trPr>
        <w:tc>
          <w:tcPr>
            <w:tcW w:w="895" w:type="dxa"/>
            <w:vMerge/>
            <w:tcBorders>
              <w:left w:val="single" w:sz="12" w:space="0" w:color="auto"/>
            </w:tcBorders>
            <w:shd w:val="clear" w:color="auto" w:fill="E7E6E6"/>
            <w:noWrap/>
          </w:tcPr>
          <w:p w14:paraId="51CB1C60"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noWrap/>
          </w:tcPr>
          <w:p w14:paraId="780C6AA9" w14:textId="77777777" w:rsidR="00DB5AA8" w:rsidRPr="00B37318"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2035</w:t>
            </w:r>
          </w:p>
        </w:tc>
        <w:tc>
          <w:tcPr>
            <w:tcW w:w="709" w:type="dxa"/>
            <w:noWrap/>
          </w:tcPr>
          <w:p w14:paraId="0F64C2CB"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196</w:t>
            </w:r>
          </w:p>
        </w:tc>
        <w:tc>
          <w:tcPr>
            <w:tcW w:w="950" w:type="dxa"/>
            <w:noWrap/>
          </w:tcPr>
          <w:p w14:paraId="2791A0B7"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2949</w:t>
            </w:r>
          </w:p>
        </w:tc>
        <w:tc>
          <w:tcPr>
            <w:tcW w:w="821" w:type="dxa"/>
            <w:noWrap/>
          </w:tcPr>
          <w:p w14:paraId="18CF6473"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1159</w:t>
            </w:r>
          </w:p>
        </w:tc>
        <w:tc>
          <w:tcPr>
            <w:tcW w:w="820" w:type="dxa"/>
            <w:noWrap/>
          </w:tcPr>
          <w:p w14:paraId="674D4CB1"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1587</w:t>
            </w:r>
          </w:p>
        </w:tc>
        <w:tc>
          <w:tcPr>
            <w:tcW w:w="820" w:type="dxa"/>
            <w:noWrap/>
          </w:tcPr>
          <w:p w14:paraId="1B8415FE"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46</w:t>
            </w:r>
          </w:p>
        </w:tc>
        <w:tc>
          <w:tcPr>
            <w:tcW w:w="700" w:type="dxa"/>
            <w:noWrap/>
          </w:tcPr>
          <w:p w14:paraId="354C7622"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33</w:t>
            </w:r>
          </w:p>
        </w:tc>
        <w:tc>
          <w:tcPr>
            <w:tcW w:w="941" w:type="dxa"/>
            <w:noWrap/>
          </w:tcPr>
          <w:p w14:paraId="515CCD6B"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27</w:t>
            </w:r>
          </w:p>
        </w:tc>
        <w:tc>
          <w:tcPr>
            <w:tcW w:w="820" w:type="dxa"/>
          </w:tcPr>
          <w:p w14:paraId="70415E41"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765</w:t>
            </w:r>
          </w:p>
        </w:tc>
        <w:tc>
          <w:tcPr>
            <w:tcW w:w="820" w:type="dxa"/>
            <w:noWrap/>
          </w:tcPr>
          <w:p w14:paraId="16C9E265"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2918</w:t>
            </w:r>
          </w:p>
        </w:tc>
        <w:tc>
          <w:tcPr>
            <w:tcW w:w="821" w:type="dxa"/>
            <w:tcBorders>
              <w:right w:val="single" w:sz="12" w:space="0" w:color="auto"/>
            </w:tcBorders>
            <w:noWrap/>
          </w:tcPr>
          <w:p w14:paraId="59FEFD0E"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r>
      <w:tr w:rsidR="006D4628" w:rsidRPr="003B4324" w14:paraId="3E3E96B6" w14:textId="77777777" w:rsidTr="000A2AFE">
        <w:trPr>
          <w:trHeight w:val="298"/>
        </w:trPr>
        <w:tc>
          <w:tcPr>
            <w:tcW w:w="895" w:type="dxa"/>
            <w:vMerge/>
            <w:tcBorders>
              <w:left w:val="single" w:sz="12" w:space="0" w:color="auto"/>
            </w:tcBorders>
            <w:shd w:val="clear" w:color="auto" w:fill="E7E6E6"/>
            <w:noWrap/>
          </w:tcPr>
          <w:p w14:paraId="54B302D4"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noWrap/>
          </w:tcPr>
          <w:p w14:paraId="72806750" w14:textId="77777777" w:rsidR="00DB5AA8" w:rsidRPr="00B37318"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2040</w:t>
            </w:r>
          </w:p>
        </w:tc>
        <w:tc>
          <w:tcPr>
            <w:tcW w:w="709" w:type="dxa"/>
            <w:noWrap/>
          </w:tcPr>
          <w:p w14:paraId="43086245"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181</w:t>
            </w:r>
          </w:p>
        </w:tc>
        <w:tc>
          <w:tcPr>
            <w:tcW w:w="950" w:type="dxa"/>
            <w:noWrap/>
          </w:tcPr>
          <w:p w14:paraId="33AED4CC"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2828</w:t>
            </w:r>
          </w:p>
        </w:tc>
        <w:tc>
          <w:tcPr>
            <w:tcW w:w="821" w:type="dxa"/>
            <w:noWrap/>
          </w:tcPr>
          <w:p w14:paraId="552666E2"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1181</w:t>
            </w:r>
          </w:p>
        </w:tc>
        <w:tc>
          <w:tcPr>
            <w:tcW w:w="820" w:type="dxa"/>
            <w:noWrap/>
          </w:tcPr>
          <w:p w14:paraId="3D45BE99"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1440</w:t>
            </w:r>
          </w:p>
        </w:tc>
        <w:tc>
          <w:tcPr>
            <w:tcW w:w="820" w:type="dxa"/>
            <w:noWrap/>
          </w:tcPr>
          <w:p w14:paraId="37ADCCE6"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45</w:t>
            </w:r>
          </w:p>
        </w:tc>
        <w:tc>
          <w:tcPr>
            <w:tcW w:w="700" w:type="dxa"/>
            <w:noWrap/>
          </w:tcPr>
          <w:p w14:paraId="219A5AD0"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42</w:t>
            </w:r>
          </w:p>
        </w:tc>
        <w:tc>
          <w:tcPr>
            <w:tcW w:w="941" w:type="dxa"/>
            <w:noWrap/>
          </w:tcPr>
          <w:p w14:paraId="399AAD70"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43</w:t>
            </w:r>
          </w:p>
        </w:tc>
        <w:tc>
          <w:tcPr>
            <w:tcW w:w="820" w:type="dxa"/>
          </w:tcPr>
          <w:p w14:paraId="7DFC6D49"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792</w:t>
            </w:r>
          </w:p>
        </w:tc>
        <w:tc>
          <w:tcPr>
            <w:tcW w:w="820" w:type="dxa"/>
            <w:noWrap/>
          </w:tcPr>
          <w:p w14:paraId="57F99449"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3097</w:t>
            </w:r>
          </w:p>
        </w:tc>
        <w:tc>
          <w:tcPr>
            <w:tcW w:w="821" w:type="dxa"/>
            <w:tcBorders>
              <w:right w:val="single" w:sz="12" w:space="0" w:color="auto"/>
            </w:tcBorders>
            <w:noWrap/>
          </w:tcPr>
          <w:p w14:paraId="1CBA9DA5"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102</w:t>
            </w:r>
          </w:p>
        </w:tc>
      </w:tr>
      <w:tr w:rsidR="006D4628" w:rsidRPr="003B4324" w14:paraId="00EF5851" w14:textId="77777777" w:rsidTr="000A2AFE">
        <w:trPr>
          <w:trHeight w:val="298"/>
        </w:trPr>
        <w:tc>
          <w:tcPr>
            <w:tcW w:w="895" w:type="dxa"/>
            <w:vMerge/>
            <w:tcBorders>
              <w:left w:val="single" w:sz="12" w:space="0" w:color="auto"/>
            </w:tcBorders>
            <w:shd w:val="clear" w:color="auto" w:fill="E7E6E6"/>
            <w:noWrap/>
          </w:tcPr>
          <w:p w14:paraId="0228A0CF"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noWrap/>
          </w:tcPr>
          <w:p w14:paraId="6BADCCC2" w14:textId="77777777" w:rsidR="00DB5AA8" w:rsidRPr="00B37318"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2045</w:t>
            </w:r>
          </w:p>
        </w:tc>
        <w:tc>
          <w:tcPr>
            <w:tcW w:w="709" w:type="dxa"/>
            <w:noWrap/>
          </w:tcPr>
          <w:p w14:paraId="05952B17"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191</w:t>
            </w:r>
          </w:p>
        </w:tc>
        <w:tc>
          <w:tcPr>
            <w:tcW w:w="950" w:type="dxa"/>
            <w:noWrap/>
          </w:tcPr>
          <w:p w14:paraId="46A2B818"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2425</w:t>
            </w:r>
          </w:p>
        </w:tc>
        <w:tc>
          <w:tcPr>
            <w:tcW w:w="821" w:type="dxa"/>
            <w:noWrap/>
          </w:tcPr>
          <w:p w14:paraId="6B7D4709"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1206</w:t>
            </w:r>
          </w:p>
        </w:tc>
        <w:tc>
          <w:tcPr>
            <w:tcW w:w="820" w:type="dxa"/>
            <w:noWrap/>
          </w:tcPr>
          <w:p w14:paraId="401B07B3"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985</w:t>
            </w:r>
          </w:p>
        </w:tc>
        <w:tc>
          <w:tcPr>
            <w:tcW w:w="820" w:type="dxa"/>
            <w:noWrap/>
          </w:tcPr>
          <w:p w14:paraId="6803395D"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43</w:t>
            </w:r>
          </w:p>
        </w:tc>
        <w:tc>
          <w:tcPr>
            <w:tcW w:w="700" w:type="dxa"/>
            <w:noWrap/>
          </w:tcPr>
          <w:p w14:paraId="5EBC8EBB"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51</w:t>
            </w:r>
          </w:p>
        </w:tc>
        <w:tc>
          <w:tcPr>
            <w:tcW w:w="941" w:type="dxa"/>
            <w:noWrap/>
          </w:tcPr>
          <w:p w14:paraId="02BC95FF"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85</w:t>
            </w:r>
          </w:p>
        </w:tc>
        <w:tc>
          <w:tcPr>
            <w:tcW w:w="820" w:type="dxa"/>
          </w:tcPr>
          <w:p w14:paraId="17D306FF"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802</w:t>
            </w:r>
          </w:p>
        </w:tc>
        <w:tc>
          <w:tcPr>
            <w:tcW w:w="820" w:type="dxa"/>
            <w:noWrap/>
          </w:tcPr>
          <w:p w14:paraId="15C01053"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3484</w:t>
            </w:r>
          </w:p>
        </w:tc>
        <w:tc>
          <w:tcPr>
            <w:tcW w:w="821" w:type="dxa"/>
            <w:tcBorders>
              <w:right w:val="single" w:sz="12" w:space="0" w:color="auto"/>
            </w:tcBorders>
            <w:noWrap/>
          </w:tcPr>
          <w:p w14:paraId="043F06AA"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256</w:t>
            </w:r>
          </w:p>
        </w:tc>
      </w:tr>
      <w:tr w:rsidR="006D4628" w:rsidRPr="003B4324" w14:paraId="77683A10" w14:textId="77777777" w:rsidTr="000A2AFE">
        <w:trPr>
          <w:trHeight w:val="298"/>
        </w:trPr>
        <w:tc>
          <w:tcPr>
            <w:tcW w:w="895" w:type="dxa"/>
            <w:vMerge/>
            <w:tcBorders>
              <w:left w:val="single" w:sz="12" w:space="0" w:color="auto"/>
              <w:bottom w:val="single" w:sz="12" w:space="0" w:color="auto"/>
            </w:tcBorders>
            <w:shd w:val="clear" w:color="auto" w:fill="E7E6E6"/>
            <w:noWrap/>
          </w:tcPr>
          <w:p w14:paraId="791BC382"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tcBorders>
              <w:bottom w:val="single" w:sz="12" w:space="0" w:color="auto"/>
            </w:tcBorders>
            <w:noWrap/>
          </w:tcPr>
          <w:p w14:paraId="39285940" w14:textId="77777777" w:rsidR="00DB5AA8" w:rsidRPr="00B37318"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2050</w:t>
            </w:r>
          </w:p>
        </w:tc>
        <w:tc>
          <w:tcPr>
            <w:tcW w:w="709" w:type="dxa"/>
            <w:tcBorders>
              <w:bottom w:val="single" w:sz="12" w:space="0" w:color="auto"/>
            </w:tcBorders>
            <w:noWrap/>
          </w:tcPr>
          <w:p w14:paraId="5BF4B767"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202</w:t>
            </w:r>
          </w:p>
        </w:tc>
        <w:tc>
          <w:tcPr>
            <w:tcW w:w="950" w:type="dxa"/>
            <w:tcBorders>
              <w:bottom w:val="single" w:sz="12" w:space="0" w:color="auto"/>
            </w:tcBorders>
            <w:noWrap/>
          </w:tcPr>
          <w:p w14:paraId="562CCB60"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1967</w:t>
            </w:r>
          </w:p>
        </w:tc>
        <w:tc>
          <w:tcPr>
            <w:tcW w:w="821" w:type="dxa"/>
            <w:tcBorders>
              <w:bottom w:val="single" w:sz="12" w:space="0" w:color="auto"/>
            </w:tcBorders>
            <w:noWrap/>
          </w:tcPr>
          <w:p w14:paraId="0F82FD5E"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1274</w:t>
            </w:r>
          </w:p>
        </w:tc>
        <w:tc>
          <w:tcPr>
            <w:tcW w:w="820" w:type="dxa"/>
            <w:tcBorders>
              <w:bottom w:val="single" w:sz="12" w:space="0" w:color="auto"/>
            </w:tcBorders>
            <w:noWrap/>
          </w:tcPr>
          <w:p w14:paraId="2F3EAA4F"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618</w:t>
            </w:r>
          </w:p>
        </w:tc>
        <w:tc>
          <w:tcPr>
            <w:tcW w:w="820" w:type="dxa"/>
            <w:tcBorders>
              <w:bottom w:val="single" w:sz="12" w:space="0" w:color="auto"/>
            </w:tcBorders>
            <w:noWrap/>
          </w:tcPr>
          <w:p w14:paraId="12186428"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41</w:t>
            </w:r>
          </w:p>
        </w:tc>
        <w:tc>
          <w:tcPr>
            <w:tcW w:w="700" w:type="dxa"/>
            <w:tcBorders>
              <w:bottom w:val="single" w:sz="12" w:space="0" w:color="auto"/>
            </w:tcBorders>
            <w:noWrap/>
          </w:tcPr>
          <w:p w14:paraId="4CC702A2"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61</w:t>
            </w:r>
          </w:p>
        </w:tc>
        <w:tc>
          <w:tcPr>
            <w:tcW w:w="941" w:type="dxa"/>
            <w:tcBorders>
              <w:bottom w:val="single" w:sz="12" w:space="0" w:color="auto"/>
            </w:tcBorders>
            <w:noWrap/>
          </w:tcPr>
          <w:p w14:paraId="09BCF239"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147</w:t>
            </w:r>
          </w:p>
        </w:tc>
        <w:tc>
          <w:tcPr>
            <w:tcW w:w="820" w:type="dxa"/>
            <w:tcBorders>
              <w:bottom w:val="single" w:sz="12" w:space="0" w:color="auto"/>
            </w:tcBorders>
          </w:tcPr>
          <w:p w14:paraId="30A5215E"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822</w:t>
            </w:r>
          </w:p>
        </w:tc>
        <w:tc>
          <w:tcPr>
            <w:tcW w:w="820" w:type="dxa"/>
            <w:tcBorders>
              <w:bottom w:val="single" w:sz="12" w:space="0" w:color="auto"/>
            </w:tcBorders>
            <w:noWrap/>
          </w:tcPr>
          <w:p w14:paraId="49FDD084"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3944</w:t>
            </w:r>
          </w:p>
        </w:tc>
        <w:tc>
          <w:tcPr>
            <w:tcW w:w="821" w:type="dxa"/>
            <w:tcBorders>
              <w:bottom w:val="single" w:sz="12" w:space="0" w:color="auto"/>
              <w:right w:val="single" w:sz="12" w:space="0" w:color="auto"/>
            </w:tcBorders>
            <w:noWrap/>
          </w:tcPr>
          <w:p w14:paraId="293528BA"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412</w:t>
            </w:r>
          </w:p>
        </w:tc>
      </w:tr>
      <w:tr w:rsidR="006D4628" w:rsidRPr="003B4324" w14:paraId="1589C13D" w14:textId="77777777" w:rsidTr="000A2AFE">
        <w:trPr>
          <w:trHeight w:val="298"/>
        </w:trPr>
        <w:tc>
          <w:tcPr>
            <w:tcW w:w="895" w:type="dxa"/>
            <w:vMerge w:val="restart"/>
            <w:tcBorders>
              <w:top w:val="single" w:sz="12" w:space="0" w:color="auto"/>
              <w:left w:val="single" w:sz="12" w:space="0" w:color="auto"/>
            </w:tcBorders>
            <w:shd w:val="clear" w:color="auto" w:fill="E7E6E6"/>
            <w:noWrap/>
            <w:vAlign w:val="center"/>
          </w:tcPr>
          <w:p w14:paraId="7488777D" w14:textId="1F0B20F4" w:rsidR="00DB5AA8" w:rsidRPr="004254D2" w:rsidRDefault="006D4628" w:rsidP="0057310C">
            <w:pPr>
              <w:spacing w:after="0" w:line="240" w:lineRule="auto"/>
              <w:jc w:val="left"/>
              <w:rPr>
                <w:rFonts w:ascii="Calibri Light" w:hAnsi="Calibri Light" w:cs="Calibri Light"/>
                <w:color w:val="000000" w:themeColor="text1"/>
              </w:rPr>
            </w:pPr>
            <w:r w:rsidRPr="006D4628">
              <w:rPr>
                <w:rFonts w:ascii="Calibri Light" w:hAnsi="Calibri Light" w:cs="Calibri Light"/>
                <w:color w:val="000000" w:themeColor="text1"/>
              </w:rPr>
              <w:t>Сценарио</w:t>
            </w:r>
            <w:r w:rsidR="00DB5AA8" w:rsidRPr="00B37318">
              <w:rPr>
                <w:rFonts w:ascii="Calibri Light" w:hAnsi="Calibri Light" w:cs="Calibri Light"/>
                <w:color w:val="000000" w:themeColor="text1"/>
              </w:rPr>
              <w:t>-S-N</w:t>
            </w:r>
          </w:p>
        </w:tc>
        <w:tc>
          <w:tcPr>
            <w:tcW w:w="801" w:type="dxa"/>
            <w:tcBorders>
              <w:top w:val="single" w:sz="12" w:space="0" w:color="auto"/>
            </w:tcBorders>
            <w:noWrap/>
          </w:tcPr>
          <w:p w14:paraId="325CE408" w14:textId="77777777" w:rsidR="00DB5AA8" w:rsidRPr="00B37318"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w:t>
            </w:r>
            <w:r>
              <w:rPr>
                <w:rFonts w:ascii="Calibri Light" w:hAnsi="Calibri Light" w:cs="Calibri Light"/>
                <w:color w:val="000000" w:themeColor="text1"/>
              </w:rPr>
              <w:t>20</w:t>
            </w:r>
          </w:p>
        </w:tc>
        <w:tc>
          <w:tcPr>
            <w:tcW w:w="709" w:type="dxa"/>
            <w:tcBorders>
              <w:top w:val="single" w:sz="12" w:space="0" w:color="auto"/>
            </w:tcBorders>
            <w:noWrap/>
          </w:tcPr>
          <w:p w14:paraId="30A4D6DB"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358</w:t>
            </w:r>
          </w:p>
        </w:tc>
        <w:tc>
          <w:tcPr>
            <w:tcW w:w="950" w:type="dxa"/>
            <w:tcBorders>
              <w:top w:val="single" w:sz="12" w:space="0" w:color="auto"/>
            </w:tcBorders>
            <w:noWrap/>
          </w:tcPr>
          <w:p w14:paraId="3ED36221"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2910</w:t>
            </w:r>
          </w:p>
        </w:tc>
        <w:tc>
          <w:tcPr>
            <w:tcW w:w="821" w:type="dxa"/>
            <w:tcBorders>
              <w:top w:val="single" w:sz="12" w:space="0" w:color="auto"/>
            </w:tcBorders>
            <w:noWrap/>
          </w:tcPr>
          <w:p w14:paraId="4E686C45"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1030</w:t>
            </w:r>
          </w:p>
        </w:tc>
        <w:tc>
          <w:tcPr>
            <w:tcW w:w="820" w:type="dxa"/>
            <w:tcBorders>
              <w:top w:val="single" w:sz="12" w:space="0" w:color="auto"/>
            </w:tcBorders>
            <w:noWrap/>
          </w:tcPr>
          <w:p w14:paraId="170E7C91"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1571</w:t>
            </w:r>
          </w:p>
        </w:tc>
        <w:tc>
          <w:tcPr>
            <w:tcW w:w="820" w:type="dxa"/>
            <w:tcBorders>
              <w:top w:val="single" w:sz="12" w:space="0" w:color="auto"/>
            </w:tcBorders>
            <w:noWrap/>
          </w:tcPr>
          <w:p w14:paraId="21CD96ED"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c>
          <w:tcPr>
            <w:tcW w:w="700" w:type="dxa"/>
            <w:tcBorders>
              <w:top w:val="single" w:sz="12" w:space="0" w:color="auto"/>
            </w:tcBorders>
            <w:noWrap/>
          </w:tcPr>
          <w:p w14:paraId="6723CA2D"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w:t>
            </w:r>
          </w:p>
        </w:tc>
        <w:tc>
          <w:tcPr>
            <w:tcW w:w="941" w:type="dxa"/>
            <w:tcBorders>
              <w:top w:val="single" w:sz="12" w:space="0" w:color="auto"/>
            </w:tcBorders>
            <w:noWrap/>
          </w:tcPr>
          <w:p w14:paraId="63101682"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6</w:t>
            </w:r>
          </w:p>
        </w:tc>
        <w:tc>
          <w:tcPr>
            <w:tcW w:w="820" w:type="dxa"/>
            <w:tcBorders>
              <w:top w:val="single" w:sz="12" w:space="0" w:color="auto"/>
            </w:tcBorders>
          </w:tcPr>
          <w:p w14:paraId="7B3C6439"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736</w:t>
            </w:r>
          </w:p>
        </w:tc>
        <w:tc>
          <w:tcPr>
            <w:tcW w:w="820" w:type="dxa"/>
            <w:tcBorders>
              <w:top w:val="single" w:sz="12" w:space="0" w:color="auto"/>
            </w:tcBorders>
            <w:noWrap/>
          </w:tcPr>
          <w:p w14:paraId="56DDC73B"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2400</w:t>
            </w:r>
          </w:p>
        </w:tc>
        <w:tc>
          <w:tcPr>
            <w:tcW w:w="821" w:type="dxa"/>
            <w:tcBorders>
              <w:top w:val="single" w:sz="12" w:space="0" w:color="auto"/>
              <w:right w:val="single" w:sz="12" w:space="0" w:color="auto"/>
            </w:tcBorders>
            <w:noWrap/>
          </w:tcPr>
          <w:p w14:paraId="15310B43"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r>
      <w:tr w:rsidR="006D4628" w:rsidRPr="003B4324" w14:paraId="2508390F" w14:textId="77777777" w:rsidTr="000A2AFE">
        <w:trPr>
          <w:trHeight w:val="298"/>
        </w:trPr>
        <w:tc>
          <w:tcPr>
            <w:tcW w:w="895" w:type="dxa"/>
            <w:vMerge/>
            <w:tcBorders>
              <w:left w:val="single" w:sz="12" w:space="0" w:color="auto"/>
            </w:tcBorders>
            <w:shd w:val="clear" w:color="auto" w:fill="E7E6E6"/>
            <w:noWrap/>
          </w:tcPr>
          <w:p w14:paraId="60C707F7"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noWrap/>
          </w:tcPr>
          <w:p w14:paraId="4E898185" w14:textId="77777777" w:rsidR="00DB5AA8" w:rsidRPr="00B37318"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2025</w:t>
            </w:r>
          </w:p>
        </w:tc>
        <w:tc>
          <w:tcPr>
            <w:tcW w:w="709" w:type="dxa"/>
            <w:noWrap/>
          </w:tcPr>
          <w:p w14:paraId="0C3AAFA6"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251</w:t>
            </w:r>
          </w:p>
        </w:tc>
        <w:tc>
          <w:tcPr>
            <w:tcW w:w="950" w:type="dxa"/>
            <w:noWrap/>
          </w:tcPr>
          <w:p w14:paraId="42712F19"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3077</w:t>
            </w:r>
          </w:p>
        </w:tc>
        <w:tc>
          <w:tcPr>
            <w:tcW w:w="821" w:type="dxa"/>
            <w:noWrap/>
          </w:tcPr>
          <w:p w14:paraId="0B28A9FA"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893</w:t>
            </w:r>
          </w:p>
        </w:tc>
        <w:tc>
          <w:tcPr>
            <w:tcW w:w="820" w:type="dxa"/>
            <w:noWrap/>
          </w:tcPr>
          <w:p w14:paraId="320D91C5"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1637</w:t>
            </w:r>
          </w:p>
        </w:tc>
        <w:tc>
          <w:tcPr>
            <w:tcW w:w="820" w:type="dxa"/>
            <w:noWrap/>
          </w:tcPr>
          <w:p w14:paraId="4D9E0403"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30</w:t>
            </w:r>
          </w:p>
        </w:tc>
        <w:tc>
          <w:tcPr>
            <w:tcW w:w="700" w:type="dxa"/>
            <w:noWrap/>
          </w:tcPr>
          <w:p w14:paraId="420CD1F0"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12</w:t>
            </w:r>
          </w:p>
        </w:tc>
        <w:tc>
          <w:tcPr>
            <w:tcW w:w="941" w:type="dxa"/>
            <w:noWrap/>
          </w:tcPr>
          <w:p w14:paraId="00DEBEC8"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w:t>
            </w:r>
          </w:p>
        </w:tc>
        <w:tc>
          <w:tcPr>
            <w:tcW w:w="820" w:type="dxa"/>
          </w:tcPr>
          <w:p w14:paraId="7C49A2EB"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841</w:t>
            </w:r>
          </w:p>
        </w:tc>
        <w:tc>
          <w:tcPr>
            <w:tcW w:w="820" w:type="dxa"/>
            <w:noWrap/>
          </w:tcPr>
          <w:p w14:paraId="2FFC0E47"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2559</w:t>
            </w:r>
          </w:p>
        </w:tc>
        <w:tc>
          <w:tcPr>
            <w:tcW w:w="821" w:type="dxa"/>
            <w:tcBorders>
              <w:right w:val="single" w:sz="12" w:space="0" w:color="auto"/>
            </w:tcBorders>
            <w:noWrap/>
          </w:tcPr>
          <w:p w14:paraId="73BC9760"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r>
      <w:tr w:rsidR="006D4628" w:rsidRPr="003B4324" w14:paraId="79407556" w14:textId="77777777" w:rsidTr="000A2AFE">
        <w:trPr>
          <w:trHeight w:val="298"/>
        </w:trPr>
        <w:tc>
          <w:tcPr>
            <w:tcW w:w="895" w:type="dxa"/>
            <w:vMerge/>
            <w:tcBorders>
              <w:left w:val="single" w:sz="12" w:space="0" w:color="auto"/>
            </w:tcBorders>
            <w:shd w:val="clear" w:color="auto" w:fill="E7E6E6"/>
            <w:noWrap/>
          </w:tcPr>
          <w:p w14:paraId="4781BF9A"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noWrap/>
          </w:tcPr>
          <w:p w14:paraId="57A057E7" w14:textId="77777777" w:rsidR="00DB5AA8" w:rsidRPr="00B37318"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2026</w:t>
            </w:r>
          </w:p>
        </w:tc>
        <w:tc>
          <w:tcPr>
            <w:tcW w:w="709" w:type="dxa"/>
            <w:noWrap/>
          </w:tcPr>
          <w:p w14:paraId="3D591468"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185</w:t>
            </w:r>
          </w:p>
        </w:tc>
        <w:tc>
          <w:tcPr>
            <w:tcW w:w="950" w:type="dxa"/>
            <w:noWrap/>
          </w:tcPr>
          <w:p w14:paraId="1D70AB4E"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3116</w:t>
            </w:r>
          </w:p>
        </w:tc>
        <w:tc>
          <w:tcPr>
            <w:tcW w:w="821" w:type="dxa"/>
            <w:noWrap/>
          </w:tcPr>
          <w:p w14:paraId="06689ACB"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903</w:t>
            </w:r>
          </w:p>
        </w:tc>
        <w:tc>
          <w:tcPr>
            <w:tcW w:w="820" w:type="dxa"/>
            <w:noWrap/>
          </w:tcPr>
          <w:p w14:paraId="76070DD9"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1635</w:t>
            </w:r>
          </w:p>
        </w:tc>
        <w:tc>
          <w:tcPr>
            <w:tcW w:w="820" w:type="dxa"/>
            <w:noWrap/>
          </w:tcPr>
          <w:p w14:paraId="07AB2F34"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34</w:t>
            </w:r>
          </w:p>
        </w:tc>
        <w:tc>
          <w:tcPr>
            <w:tcW w:w="700" w:type="dxa"/>
            <w:noWrap/>
          </w:tcPr>
          <w:p w14:paraId="4D3E8A9F"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w:t>
            </w:r>
          </w:p>
        </w:tc>
        <w:tc>
          <w:tcPr>
            <w:tcW w:w="941" w:type="dxa"/>
            <w:noWrap/>
          </w:tcPr>
          <w:p w14:paraId="7358E075"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w:t>
            </w:r>
          </w:p>
        </w:tc>
        <w:tc>
          <w:tcPr>
            <w:tcW w:w="820" w:type="dxa"/>
          </w:tcPr>
          <w:p w14:paraId="33A7DB85"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847</w:t>
            </w:r>
          </w:p>
        </w:tc>
        <w:tc>
          <w:tcPr>
            <w:tcW w:w="820" w:type="dxa"/>
            <w:noWrap/>
          </w:tcPr>
          <w:p w14:paraId="499D5043"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2568</w:t>
            </w:r>
          </w:p>
        </w:tc>
        <w:tc>
          <w:tcPr>
            <w:tcW w:w="821" w:type="dxa"/>
            <w:tcBorders>
              <w:right w:val="single" w:sz="12" w:space="0" w:color="auto"/>
            </w:tcBorders>
            <w:noWrap/>
          </w:tcPr>
          <w:p w14:paraId="331CF71A"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r>
      <w:tr w:rsidR="006D4628" w:rsidRPr="003B4324" w14:paraId="54AA112A" w14:textId="77777777" w:rsidTr="000A2AFE">
        <w:trPr>
          <w:trHeight w:val="298"/>
        </w:trPr>
        <w:tc>
          <w:tcPr>
            <w:tcW w:w="895" w:type="dxa"/>
            <w:vMerge/>
            <w:tcBorders>
              <w:left w:val="single" w:sz="12" w:space="0" w:color="auto"/>
            </w:tcBorders>
            <w:shd w:val="clear" w:color="auto" w:fill="E7E6E6"/>
            <w:noWrap/>
          </w:tcPr>
          <w:p w14:paraId="38E25CBA"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noWrap/>
          </w:tcPr>
          <w:p w14:paraId="5F0C2868" w14:textId="77777777" w:rsidR="00DB5AA8" w:rsidRPr="00B37318"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2027</w:t>
            </w:r>
          </w:p>
        </w:tc>
        <w:tc>
          <w:tcPr>
            <w:tcW w:w="709" w:type="dxa"/>
            <w:noWrap/>
          </w:tcPr>
          <w:p w14:paraId="7076F9A4"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189</w:t>
            </w:r>
          </w:p>
        </w:tc>
        <w:tc>
          <w:tcPr>
            <w:tcW w:w="950" w:type="dxa"/>
            <w:noWrap/>
          </w:tcPr>
          <w:p w14:paraId="1F53FCF2"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3137</w:t>
            </w:r>
          </w:p>
        </w:tc>
        <w:tc>
          <w:tcPr>
            <w:tcW w:w="821" w:type="dxa"/>
            <w:noWrap/>
          </w:tcPr>
          <w:p w14:paraId="741B86D5"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920</w:t>
            </w:r>
          </w:p>
        </w:tc>
        <w:tc>
          <w:tcPr>
            <w:tcW w:w="820" w:type="dxa"/>
            <w:noWrap/>
          </w:tcPr>
          <w:p w14:paraId="5F109F0D"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1620</w:t>
            </w:r>
          </w:p>
        </w:tc>
        <w:tc>
          <w:tcPr>
            <w:tcW w:w="820" w:type="dxa"/>
            <w:noWrap/>
          </w:tcPr>
          <w:p w14:paraId="1BB2915D"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38</w:t>
            </w:r>
          </w:p>
        </w:tc>
        <w:tc>
          <w:tcPr>
            <w:tcW w:w="700" w:type="dxa"/>
            <w:noWrap/>
          </w:tcPr>
          <w:p w14:paraId="2C7F55E2"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17</w:t>
            </w:r>
          </w:p>
        </w:tc>
        <w:tc>
          <w:tcPr>
            <w:tcW w:w="941" w:type="dxa"/>
            <w:noWrap/>
          </w:tcPr>
          <w:p w14:paraId="2C0E8250"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w:t>
            </w:r>
          </w:p>
        </w:tc>
        <w:tc>
          <w:tcPr>
            <w:tcW w:w="820" w:type="dxa"/>
          </w:tcPr>
          <w:p w14:paraId="43AA0E47"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844</w:t>
            </w:r>
          </w:p>
        </w:tc>
        <w:tc>
          <w:tcPr>
            <w:tcW w:w="820" w:type="dxa"/>
            <w:noWrap/>
          </w:tcPr>
          <w:p w14:paraId="6DF2A41D"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2607</w:t>
            </w:r>
          </w:p>
        </w:tc>
        <w:tc>
          <w:tcPr>
            <w:tcW w:w="821" w:type="dxa"/>
            <w:tcBorders>
              <w:right w:val="single" w:sz="12" w:space="0" w:color="auto"/>
            </w:tcBorders>
            <w:noWrap/>
          </w:tcPr>
          <w:p w14:paraId="108EE313"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r>
      <w:tr w:rsidR="006D4628" w:rsidRPr="003B4324" w14:paraId="355A99FA" w14:textId="77777777" w:rsidTr="000A2AFE">
        <w:trPr>
          <w:trHeight w:val="298"/>
        </w:trPr>
        <w:tc>
          <w:tcPr>
            <w:tcW w:w="895" w:type="dxa"/>
            <w:vMerge/>
            <w:tcBorders>
              <w:left w:val="single" w:sz="12" w:space="0" w:color="auto"/>
            </w:tcBorders>
            <w:shd w:val="clear" w:color="auto" w:fill="E7E6E6"/>
            <w:noWrap/>
          </w:tcPr>
          <w:p w14:paraId="1B615A1E"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noWrap/>
          </w:tcPr>
          <w:p w14:paraId="00CAECEC" w14:textId="77777777" w:rsidR="00DB5AA8" w:rsidRPr="00B37318"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2028</w:t>
            </w:r>
          </w:p>
        </w:tc>
        <w:tc>
          <w:tcPr>
            <w:tcW w:w="709" w:type="dxa"/>
            <w:noWrap/>
          </w:tcPr>
          <w:p w14:paraId="03EFB9CF"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187</w:t>
            </w:r>
          </w:p>
        </w:tc>
        <w:tc>
          <w:tcPr>
            <w:tcW w:w="950" w:type="dxa"/>
            <w:noWrap/>
          </w:tcPr>
          <w:p w14:paraId="1EB7E3CA"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3116</w:t>
            </w:r>
          </w:p>
        </w:tc>
        <w:tc>
          <w:tcPr>
            <w:tcW w:w="821" w:type="dxa"/>
            <w:noWrap/>
          </w:tcPr>
          <w:p w14:paraId="0FAA7417"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982</w:t>
            </w:r>
          </w:p>
        </w:tc>
        <w:tc>
          <w:tcPr>
            <w:tcW w:w="820" w:type="dxa"/>
            <w:noWrap/>
          </w:tcPr>
          <w:p w14:paraId="19345749"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1616</w:t>
            </w:r>
          </w:p>
        </w:tc>
        <w:tc>
          <w:tcPr>
            <w:tcW w:w="820" w:type="dxa"/>
            <w:noWrap/>
          </w:tcPr>
          <w:p w14:paraId="08053AD7"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41</w:t>
            </w:r>
          </w:p>
        </w:tc>
        <w:tc>
          <w:tcPr>
            <w:tcW w:w="700" w:type="dxa"/>
            <w:noWrap/>
          </w:tcPr>
          <w:p w14:paraId="4BAF057C"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19</w:t>
            </w:r>
          </w:p>
        </w:tc>
        <w:tc>
          <w:tcPr>
            <w:tcW w:w="941" w:type="dxa"/>
            <w:noWrap/>
          </w:tcPr>
          <w:p w14:paraId="14725129"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11</w:t>
            </w:r>
          </w:p>
        </w:tc>
        <w:tc>
          <w:tcPr>
            <w:tcW w:w="820" w:type="dxa"/>
          </w:tcPr>
          <w:p w14:paraId="00A04B4B"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846</w:t>
            </w:r>
          </w:p>
        </w:tc>
        <w:tc>
          <w:tcPr>
            <w:tcW w:w="820" w:type="dxa"/>
            <w:noWrap/>
          </w:tcPr>
          <w:p w14:paraId="207534F8"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2651</w:t>
            </w:r>
          </w:p>
        </w:tc>
        <w:tc>
          <w:tcPr>
            <w:tcW w:w="821" w:type="dxa"/>
            <w:tcBorders>
              <w:right w:val="single" w:sz="12" w:space="0" w:color="auto"/>
            </w:tcBorders>
            <w:noWrap/>
          </w:tcPr>
          <w:p w14:paraId="4B7DD4D4"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r>
      <w:tr w:rsidR="006D4628" w:rsidRPr="003B4324" w14:paraId="4B802B60" w14:textId="77777777" w:rsidTr="000A2AFE">
        <w:trPr>
          <w:trHeight w:val="298"/>
        </w:trPr>
        <w:tc>
          <w:tcPr>
            <w:tcW w:w="895" w:type="dxa"/>
            <w:vMerge/>
            <w:tcBorders>
              <w:left w:val="single" w:sz="12" w:space="0" w:color="auto"/>
            </w:tcBorders>
            <w:shd w:val="clear" w:color="auto" w:fill="E7E6E6"/>
            <w:noWrap/>
          </w:tcPr>
          <w:p w14:paraId="6FD1DC97"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noWrap/>
          </w:tcPr>
          <w:p w14:paraId="610885B7" w14:textId="77777777" w:rsidR="00DB5AA8" w:rsidRPr="00B37318"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2029</w:t>
            </w:r>
          </w:p>
        </w:tc>
        <w:tc>
          <w:tcPr>
            <w:tcW w:w="709" w:type="dxa"/>
            <w:noWrap/>
          </w:tcPr>
          <w:p w14:paraId="1EFE96DF"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190</w:t>
            </w:r>
          </w:p>
        </w:tc>
        <w:tc>
          <w:tcPr>
            <w:tcW w:w="950" w:type="dxa"/>
            <w:noWrap/>
          </w:tcPr>
          <w:p w14:paraId="27EEB73D"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3124</w:t>
            </w:r>
          </w:p>
        </w:tc>
        <w:tc>
          <w:tcPr>
            <w:tcW w:w="821" w:type="dxa"/>
            <w:noWrap/>
          </w:tcPr>
          <w:p w14:paraId="0BF86AEB"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993</w:t>
            </w:r>
          </w:p>
        </w:tc>
        <w:tc>
          <w:tcPr>
            <w:tcW w:w="820" w:type="dxa"/>
            <w:noWrap/>
          </w:tcPr>
          <w:p w14:paraId="542A5EFC"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1598</w:t>
            </w:r>
          </w:p>
        </w:tc>
        <w:tc>
          <w:tcPr>
            <w:tcW w:w="820" w:type="dxa"/>
            <w:noWrap/>
          </w:tcPr>
          <w:p w14:paraId="788ACA6D"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45</w:t>
            </w:r>
          </w:p>
        </w:tc>
        <w:tc>
          <w:tcPr>
            <w:tcW w:w="700" w:type="dxa"/>
            <w:noWrap/>
          </w:tcPr>
          <w:p w14:paraId="7F84B27A"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22</w:t>
            </w:r>
          </w:p>
        </w:tc>
        <w:tc>
          <w:tcPr>
            <w:tcW w:w="941" w:type="dxa"/>
            <w:noWrap/>
          </w:tcPr>
          <w:p w14:paraId="20BFEE54"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12</w:t>
            </w:r>
          </w:p>
        </w:tc>
        <w:tc>
          <w:tcPr>
            <w:tcW w:w="820" w:type="dxa"/>
          </w:tcPr>
          <w:p w14:paraId="7E26D7AA"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847</w:t>
            </w:r>
          </w:p>
        </w:tc>
        <w:tc>
          <w:tcPr>
            <w:tcW w:w="820" w:type="dxa"/>
            <w:noWrap/>
          </w:tcPr>
          <w:p w14:paraId="332C9C14"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2697</w:t>
            </w:r>
          </w:p>
        </w:tc>
        <w:tc>
          <w:tcPr>
            <w:tcW w:w="821" w:type="dxa"/>
            <w:tcBorders>
              <w:right w:val="single" w:sz="12" w:space="0" w:color="auto"/>
            </w:tcBorders>
            <w:noWrap/>
          </w:tcPr>
          <w:p w14:paraId="516C86E7"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r>
      <w:tr w:rsidR="006D4628" w:rsidRPr="003B4324" w14:paraId="7F0C532F" w14:textId="77777777" w:rsidTr="000A2AFE">
        <w:trPr>
          <w:trHeight w:val="298"/>
        </w:trPr>
        <w:tc>
          <w:tcPr>
            <w:tcW w:w="895" w:type="dxa"/>
            <w:vMerge/>
            <w:tcBorders>
              <w:left w:val="single" w:sz="12" w:space="0" w:color="auto"/>
            </w:tcBorders>
            <w:shd w:val="clear" w:color="auto" w:fill="E7E6E6"/>
            <w:noWrap/>
          </w:tcPr>
          <w:p w14:paraId="0F0CEB74"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noWrap/>
          </w:tcPr>
          <w:p w14:paraId="7DB171FE" w14:textId="77777777" w:rsidR="00DB5AA8" w:rsidRPr="00B37318"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2030</w:t>
            </w:r>
          </w:p>
        </w:tc>
        <w:tc>
          <w:tcPr>
            <w:tcW w:w="709" w:type="dxa"/>
            <w:noWrap/>
          </w:tcPr>
          <w:p w14:paraId="1B6F0799"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214</w:t>
            </w:r>
          </w:p>
        </w:tc>
        <w:tc>
          <w:tcPr>
            <w:tcW w:w="950" w:type="dxa"/>
            <w:noWrap/>
          </w:tcPr>
          <w:p w14:paraId="0D8348D5"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3145</w:t>
            </w:r>
          </w:p>
        </w:tc>
        <w:tc>
          <w:tcPr>
            <w:tcW w:w="821" w:type="dxa"/>
            <w:noWrap/>
          </w:tcPr>
          <w:p w14:paraId="008DDB77"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1055</w:t>
            </w:r>
          </w:p>
        </w:tc>
        <w:tc>
          <w:tcPr>
            <w:tcW w:w="820" w:type="dxa"/>
            <w:noWrap/>
          </w:tcPr>
          <w:p w14:paraId="5D290DAA"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1577</w:t>
            </w:r>
          </w:p>
        </w:tc>
        <w:tc>
          <w:tcPr>
            <w:tcW w:w="820" w:type="dxa"/>
            <w:noWrap/>
          </w:tcPr>
          <w:p w14:paraId="0AFE1DC3"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49</w:t>
            </w:r>
          </w:p>
        </w:tc>
        <w:tc>
          <w:tcPr>
            <w:tcW w:w="700" w:type="dxa"/>
            <w:noWrap/>
          </w:tcPr>
          <w:p w14:paraId="51C8691A"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24</w:t>
            </w:r>
          </w:p>
        </w:tc>
        <w:tc>
          <w:tcPr>
            <w:tcW w:w="941" w:type="dxa"/>
            <w:noWrap/>
          </w:tcPr>
          <w:p w14:paraId="1074EB2E"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12</w:t>
            </w:r>
          </w:p>
        </w:tc>
        <w:tc>
          <w:tcPr>
            <w:tcW w:w="820" w:type="dxa"/>
          </w:tcPr>
          <w:p w14:paraId="706F0A4A"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833</w:t>
            </w:r>
          </w:p>
        </w:tc>
        <w:tc>
          <w:tcPr>
            <w:tcW w:w="820" w:type="dxa"/>
            <w:noWrap/>
          </w:tcPr>
          <w:p w14:paraId="6EEABD21"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2732</w:t>
            </w:r>
          </w:p>
        </w:tc>
        <w:tc>
          <w:tcPr>
            <w:tcW w:w="821" w:type="dxa"/>
            <w:tcBorders>
              <w:right w:val="single" w:sz="12" w:space="0" w:color="auto"/>
            </w:tcBorders>
            <w:noWrap/>
          </w:tcPr>
          <w:p w14:paraId="3E668BC1"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r>
      <w:tr w:rsidR="006D4628" w:rsidRPr="003B4324" w14:paraId="52B8B4C3" w14:textId="77777777" w:rsidTr="000A2AFE">
        <w:trPr>
          <w:trHeight w:val="298"/>
        </w:trPr>
        <w:tc>
          <w:tcPr>
            <w:tcW w:w="895" w:type="dxa"/>
            <w:vMerge/>
            <w:tcBorders>
              <w:left w:val="single" w:sz="12" w:space="0" w:color="auto"/>
            </w:tcBorders>
            <w:shd w:val="clear" w:color="auto" w:fill="E7E6E6"/>
            <w:noWrap/>
          </w:tcPr>
          <w:p w14:paraId="16E03DBE"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noWrap/>
          </w:tcPr>
          <w:p w14:paraId="33AD6BAE" w14:textId="77777777" w:rsidR="00DB5AA8" w:rsidRPr="00B37318"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2035</w:t>
            </w:r>
          </w:p>
        </w:tc>
        <w:tc>
          <w:tcPr>
            <w:tcW w:w="709" w:type="dxa"/>
            <w:noWrap/>
          </w:tcPr>
          <w:p w14:paraId="1F08BAE5"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206</w:t>
            </w:r>
          </w:p>
        </w:tc>
        <w:tc>
          <w:tcPr>
            <w:tcW w:w="950" w:type="dxa"/>
            <w:noWrap/>
          </w:tcPr>
          <w:p w14:paraId="2CF69E03"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2957</w:t>
            </w:r>
          </w:p>
        </w:tc>
        <w:tc>
          <w:tcPr>
            <w:tcW w:w="821" w:type="dxa"/>
            <w:noWrap/>
          </w:tcPr>
          <w:p w14:paraId="0C18A31F"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1157</w:t>
            </w:r>
          </w:p>
        </w:tc>
        <w:tc>
          <w:tcPr>
            <w:tcW w:w="820" w:type="dxa"/>
            <w:noWrap/>
          </w:tcPr>
          <w:p w14:paraId="2836A16C"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1590</w:t>
            </w:r>
          </w:p>
        </w:tc>
        <w:tc>
          <w:tcPr>
            <w:tcW w:w="820" w:type="dxa"/>
            <w:noWrap/>
          </w:tcPr>
          <w:p w14:paraId="52DB78CF"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46</w:t>
            </w:r>
          </w:p>
        </w:tc>
        <w:tc>
          <w:tcPr>
            <w:tcW w:w="700" w:type="dxa"/>
            <w:noWrap/>
          </w:tcPr>
          <w:p w14:paraId="48B68F77"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33</w:t>
            </w:r>
          </w:p>
        </w:tc>
        <w:tc>
          <w:tcPr>
            <w:tcW w:w="941" w:type="dxa"/>
            <w:noWrap/>
          </w:tcPr>
          <w:p w14:paraId="1EAAA226"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28</w:t>
            </w:r>
          </w:p>
        </w:tc>
        <w:tc>
          <w:tcPr>
            <w:tcW w:w="820" w:type="dxa"/>
          </w:tcPr>
          <w:p w14:paraId="131B3E16"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759</w:t>
            </w:r>
          </w:p>
        </w:tc>
        <w:tc>
          <w:tcPr>
            <w:tcW w:w="820" w:type="dxa"/>
            <w:noWrap/>
          </w:tcPr>
          <w:p w14:paraId="172980E6"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2925</w:t>
            </w:r>
          </w:p>
        </w:tc>
        <w:tc>
          <w:tcPr>
            <w:tcW w:w="821" w:type="dxa"/>
            <w:tcBorders>
              <w:right w:val="single" w:sz="12" w:space="0" w:color="auto"/>
            </w:tcBorders>
            <w:noWrap/>
          </w:tcPr>
          <w:p w14:paraId="2E42C628"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0</w:t>
            </w:r>
          </w:p>
        </w:tc>
      </w:tr>
      <w:tr w:rsidR="006D4628" w:rsidRPr="003B4324" w14:paraId="0BC4D246" w14:textId="77777777" w:rsidTr="000A2AFE">
        <w:trPr>
          <w:trHeight w:val="298"/>
        </w:trPr>
        <w:tc>
          <w:tcPr>
            <w:tcW w:w="895" w:type="dxa"/>
            <w:vMerge/>
            <w:tcBorders>
              <w:left w:val="single" w:sz="12" w:space="0" w:color="auto"/>
            </w:tcBorders>
            <w:shd w:val="clear" w:color="auto" w:fill="E7E6E6"/>
            <w:noWrap/>
          </w:tcPr>
          <w:p w14:paraId="12FB7A94"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noWrap/>
          </w:tcPr>
          <w:p w14:paraId="549A3C28" w14:textId="77777777" w:rsidR="00DB5AA8" w:rsidRPr="00B37318"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2040</w:t>
            </w:r>
          </w:p>
        </w:tc>
        <w:tc>
          <w:tcPr>
            <w:tcW w:w="709" w:type="dxa"/>
            <w:noWrap/>
          </w:tcPr>
          <w:p w14:paraId="3C02B3CE"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181</w:t>
            </w:r>
          </w:p>
        </w:tc>
        <w:tc>
          <w:tcPr>
            <w:tcW w:w="950" w:type="dxa"/>
            <w:noWrap/>
          </w:tcPr>
          <w:p w14:paraId="4EB8C78B"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2744</w:t>
            </w:r>
          </w:p>
        </w:tc>
        <w:tc>
          <w:tcPr>
            <w:tcW w:w="821" w:type="dxa"/>
            <w:noWrap/>
          </w:tcPr>
          <w:p w14:paraId="21CBF3F1"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1170</w:t>
            </w:r>
          </w:p>
        </w:tc>
        <w:tc>
          <w:tcPr>
            <w:tcW w:w="820" w:type="dxa"/>
            <w:noWrap/>
          </w:tcPr>
          <w:p w14:paraId="285A333A"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1440</w:t>
            </w:r>
          </w:p>
        </w:tc>
        <w:tc>
          <w:tcPr>
            <w:tcW w:w="820" w:type="dxa"/>
            <w:noWrap/>
          </w:tcPr>
          <w:p w14:paraId="276C0745"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44</w:t>
            </w:r>
          </w:p>
        </w:tc>
        <w:tc>
          <w:tcPr>
            <w:tcW w:w="700" w:type="dxa"/>
            <w:noWrap/>
          </w:tcPr>
          <w:p w14:paraId="765FBBAD"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42</w:t>
            </w:r>
          </w:p>
        </w:tc>
        <w:tc>
          <w:tcPr>
            <w:tcW w:w="941" w:type="dxa"/>
            <w:noWrap/>
          </w:tcPr>
          <w:p w14:paraId="51AFE557"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43</w:t>
            </w:r>
          </w:p>
        </w:tc>
        <w:tc>
          <w:tcPr>
            <w:tcW w:w="820" w:type="dxa"/>
          </w:tcPr>
          <w:p w14:paraId="63FE206E"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793</w:t>
            </w:r>
          </w:p>
        </w:tc>
        <w:tc>
          <w:tcPr>
            <w:tcW w:w="820" w:type="dxa"/>
            <w:noWrap/>
          </w:tcPr>
          <w:p w14:paraId="272F1665"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3113</w:t>
            </w:r>
          </w:p>
        </w:tc>
        <w:tc>
          <w:tcPr>
            <w:tcW w:w="821" w:type="dxa"/>
            <w:tcBorders>
              <w:right w:val="single" w:sz="12" w:space="0" w:color="auto"/>
            </w:tcBorders>
            <w:noWrap/>
          </w:tcPr>
          <w:p w14:paraId="547AF2E3"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152</w:t>
            </w:r>
          </w:p>
        </w:tc>
      </w:tr>
      <w:tr w:rsidR="006D4628" w:rsidRPr="003B4324" w14:paraId="112F4C42" w14:textId="77777777" w:rsidTr="000A2AFE">
        <w:trPr>
          <w:trHeight w:val="298"/>
        </w:trPr>
        <w:tc>
          <w:tcPr>
            <w:tcW w:w="895" w:type="dxa"/>
            <w:vMerge/>
            <w:tcBorders>
              <w:left w:val="single" w:sz="12" w:space="0" w:color="auto"/>
            </w:tcBorders>
            <w:shd w:val="clear" w:color="auto" w:fill="E7E6E6"/>
            <w:noWrap/>
          </w:tcPr>
          <w:p w14:paraId="18C378CF"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noWrap/>
          </w:tcPr>
          <w:p w14:paraId="1DFE6B94" w14:textId="77777777" w:rsidR="00DB5AA8" w:rsidRPr="00B37318"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2045</w:t>
            </w:r>
          </w:p>
        </w:tc>
        <w:tc>
          <w:tcPr>
            <w:tcW w:w="709" w:type="dxa"/>
            <w:noWrap/>
          </w:tcPr>
          <w:p w14:paraId="4471C017"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198</w:t>
            </w:r>
          </w:p>
        </w:tc>
        <w:tc>
          <w:tcPr>
            <w:tcW w:w="950" w:type="dxa"/>
            <w:noWrap/>
          </w:tcPr>
          <w:p w14:paraId="5AE31C74"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2286</w:t>
            </w:r>
          </w:p>
        </w:tc>
        <w:tc>
          <w:tcPr>
            <w:tcW w:w="821" w:type="dxa"/>
            <w:noWrap/>
          </w:tcPr>
          <w:p w14:paraId="55C76FC5"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1229</w:t>
            </w:r>
          </w:p>
        </w:tc>
        <w:tc>
          <w:tcPr>
            <w:tcW w:w="820" w:type="dxa"/>
            <w:noWrap/>
          </w:tcPr>
          <w:p w14:paraId="5F17CC67"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945</w:t>
            </w:r>
          </w:p>
        </w:tc>
        <w:tc>
          <w:tcPr>
            <w:tcW w:w="820" w:type="dxa"/>
            <w:noWrap/>
          </w:tcPr>
          <w:p w14:paraId="2F098494"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42</w:t>
            </w:r>
          </w:p>
        </w:tc>
        <w:tc>
          <w:tcPr>
            <w:tcW w:w="700" w:type="dxa"/>
            <w:noWrap/>
          </w:tcPr>
          <w:p w14:paraId="1B2FF098"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51</w:t>
            </w:r>
          </w:p>
        </w:tc>
        <w:tc>
          <w:tcPr>
            <w:tcW w:w="941" w:type="dxa"/>
            <w:noWrap/>
          </w:tcPr>
          <w:p w14:paraId="192DADFE"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80</w:t>
            </w:r>
          </w:p>
        </w:tc>
        <w:tc>
          <w:tcPr>
            <w:tcW w:w="820" w:type="dxa"/>
          </w:tcPr>
          <w:p w14:paraId="0878BAA6"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779</w:t>
            </w:r>
          </w:p>
        </w:tc>
        <w:tc>
          <w:tcPr>
            <w:tcW w:w="820" w:type="dxa"/>
            <w:noWrap/>
          </w:tcPr>
          <w:p w14:paraId="1A9D2FD3"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3552</w:t>
            </w:r>
          </w:p>
        </w:tc>
        <w:tc>
          <w:tcPr>
            <w:tcW w:w="821" w:type="dxa"/>
            <w:tcBorders>
              <w:right w:val="single" w:sz="12" w:space="0" w:color="auto"/>
            </w:tcBorders>
            <w:noWrap/>
          </w:tcPr>
          <w:p w14:paraId="1B406A00"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304</w:t>
            </w:r>
          </w:p>
        </w:tc>
      </w:tr>
      <w:tr w:rsidR="006D4628" w:rsidRPr="003B4324" w14:paraId="2E859DBA" w14:textId="77777777" w:rsidTr="000A2AFE">
        <w:trPr>
          <w:trHeight w:val="298"/>
        </w:trPr>
        <w:tc>
          <w:tcPr>
            <w:tcW w:w="895" w:type="dxa"/>
            <w:vMerge/>
            <w:tcBorders>
              <w:left w:val="single" w:sz="12" w:space="0" w:color="auto"/>
              <w:bottom w:val="single" w:sz="12" w:space="0" w:color="auto"/>
            </w:tcBorders>
            <w:shd w:val="clear" w:color="auto" w:fill="E7E6E6"/>
            <w:noWrap/>
          </w:tcPr>
          <w:p w14:paraId="5E8D33AD" w14:textId="77777777" w:rsidR="00DB5AA8" w:rsidRPr="004254D2" w:rsidRDefault="00DB5AA8" w:rsidP="0057310C">
            <w:pPr>
              <w:spacing w:after="0" w:line="240" w:lineRule="auto"/>
              <w:rPr>
                <w:rFonts w:ascii="Calibri Light" w:hAnsi="Calibri Light" w:cs="Calibri Light"/>
                <w:color w:val="000000" w:themeColor="text1"/>
              </w:rPr>
            </w:pPr>
          </w:p>
        </w:tc>
        <w:tc>
          <w:tcPr>
            <w:tcW w:w="801" w:type="dxa"/>
            <w:tcBorders>
              <w:bottom w:val="single" w:sz="12" w:space="0" w:color="auto"/>
            </w:tcBorders>
            <w:noWrap/>
          </w:tcPr>
          <w:p w14:paraId="6A045A6C" w14:textId="77777777" w:rsidR="00DB5AA8" w:rsidRPr="00B37318" w:rsidRDefault="00DB5AA8" w:rsidP="0057310C">
            <w:pPr>
              <w:spacing w:after="0" w:line="240" w:lineRule="auto"/>
              <w:jc w:val="center"/>
              <w:rPr>
                <w:rFonts w:ascii="Calibri Light" w:hAnsi="Calibri Light" w:cs="Calibri Light"/>
                <w:color w:val="000000" w:themeColor="text1"/>
              </w:rPr>
            </w:pPr>
            <w:r w:rsidRPr="004A34BA">
              <w:rPr>
                <w:rFonts w:ascii="Calibri Light" w:hAnsi="Calibri Light" w:cs="Calibri Light"/>
                <w:color w:val="000000" w:themeColor="text1"/>
              </w:rPr>
              <w:t>2050</w:t>
            </w:r>
          </w:p>
        </w:tc>
        <w:tc>
          <w:tcPr>
            <w:tcW w:w="709" w:type="dxa"/>
            <w:tcBorders>
              <w:bottom w:val="single" w:sz="12" w:space="0" w:color="auto"/>
            </w:tcBorders>
            <w:noWrap/>
          </w:tcPr>
          <w:p w14:paraId="440DD4A0"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208</w:t>
            </w:r>
          </w:p>
        </w:tc>
        <w:tc>
          <w:tcPr>
            <w:tcW w:w="950" w:type="dxa"/>
            <w:tcBorders>
              <w:bottom w:val="single" w:sz="12" w:space="0" w:color="auto"/>
            </w:tcBorders>
            <w:noWrap/>
          </w:tcPr>
          <w:p w14:paraId="61A2CD79"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1813</w:t>
            </w:r>
          </w:p>
        </w:tc>
        <w:tc>
          <w:tcPr>
            <w:tcW w:w="821" w:type="dxa"/>
            <w:tcBorders>
              <w:bottom w:val="single" w:sz="12" w:space="0" w:color="auto"/>
            </w:tcBorders>
            <w:noWrap/>
          </w:tcPr>
          <w:p w14:paraId="3DB18282"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1276</w:t>
            </w:r>
          </w:p>
        </w:tc>
        <w:tc>
          <w:tcPr>
            <w:tcW w:w="820" w:type="dxa"/>
            <w:tcBorders>
              <w:bottom w:val="single" w:sz="12" w:space="0" w:color="auto"/>
            </w:tcBorders>
            <w:noWrap/>
          </w:tcPr>
          <w:p w14:paraId="5DE8901D"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586</w:t>
            </w:r>
          </w:p>
        </w:tc>
        <w:tc>
          <w:tcPr>
            <w:tcW w:w="820" w:type="dxa"/>
            <w:tcBorders>
              <w:bottom w:val="single" w:sz="12" w:space="0" w:color="auto"/>
            </w:tcBorders>
            <w:noWrap/>
          </w:tcPr>
          <w:p w14:paraId="3DED8F0A"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40</w:t>
            </w:r>
          </w:p>
        </w:tc>
        <w:tc>
          <w:tcPr>
            <w:tcW w:w="700" w:type="dxa"/>
            <w:tcBorders>
              <w:bottom w:val="single" w:sz="12" w:space="0" w:color="auto"/>
            </w:tcBorders>
            <w:noWrap/>
          </w:tcPr>
          <w:p w14:paraId="5D9538B0"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61</w:t>
            </w:r>
          </w:p>
        </w:tc>
        <w:tc>
          <w:tcPr>
            <w:tcW w:w="941" w:type="dxa"/>
            <w:tcBorders>
              <w:bottom w:val="single" w:sz="12" w:space="0" w:color="auto"/>
            </w:tcBorders>
            <w:noWrap/>
          </w:tcPr>
          <w:p w14:paraId="40ACB1C5"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135</w:t>
            </w:r>
          </w:p>
        </w:tc>
        <w:tc>
          <w:tcPr>
            <w:tcW w:w="820" w:type="dxa"/>
            <w:tcBorders>
              <w:bottom w:val="single" w:sz="12" w:space="0" w:color="auto"/>
            </w:tcBorders>
          </w:tcPr>
          <w:p w14:paraId="3C2CB9BE" w14:textId="77777777" w:rsidR="00DB5AA8" w:rsidRPr="004A34BA"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803</w:t>
            </w:r>
          </w:p>
        </w:tc>
        <w:tc>
          <w:tcPr>
            <w:tcW w:w="820" w:type="dxa"/>
            <w:tcBorders>
              <w:bottom w:val="single" w:sz="12" w:space="0" w:color="auto"/>
            </w:tcBorders>
            <w:noWrap/>
          </w:tcPr>
          <w:p w14:paraId="1ADE8C70"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4038</w:t>
            </w:r>
          </w:p>
        </w:tc>
        <w:tc>
          <w:tcPr>
            <w:tcW w:w="821" w:type="dxa"/>
            <w:tcBorders>
              <w:bottom w:val="single" w:sz="12" w:space="0" w:color="auto"/>
              <w:right w:val="single" w:sz="12" w:space="0" w:color="auto"/>
            </w:tcBorders>
            <w:noWrap/>
          </w:tcPr>
          <w:p w14:paraId="66BE5311" w14:textId="77777777" w:rsidR="00DB5AA8" w:rsidRPr="00B37318" w:rsidRDefault="00DB5AA8" w:rsidP="0057310C">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459</w:t>
            </w:r>
          </w:p>
        </w:tc>
      </w:tr>
    </w:tbl>
    <w:p w14:paraId="7364BF65" w14:textId="0001A9FE" w:rsidR="00873C40" w:rsidRDefault="00873C40" w:rsidP="00565B02">
      <w:pPr>
        <w:pStyle w:val="Caption"/>
        <w:keepNext/>
        <w:spacing w:before="200"/>
      </w:pPr>
      <w:bookmarkStart w:id="548" w:name="_Toc153901519"/>
      <w:r>
        <w:t xml:space="preserve">Табела </w:t>
      </w:r>
      <w:r>
        <w:fldChar w:fldCharType="begin"/>
      </w:r>
      <w:r>
        <w:instrText xml:space="preserve"> STYLEREF 1 \s </w:instrText>
      </w:r>
      <w:r>
        <w:fldChar w:fldCharType="separate"/>
      </w:r>
      <w:r>
        <w:rPr>
          <w:noProof/>
        </w:rPr>
        <w:t>V</w:t>
      </w:r>
      <w:r>
        <w:fldChar w:fldCharType="end"/>
      </w:r>
      <w:r>
        <w:t>.</w:t>
      </w:r>
      <w:r>
        <w:fldChar w:fldCharType="begin"/>
      </w:r>
      <w:r>
        <w:instrText xml:space="preserve"> SEQ Табела \* ARABIC \s 1 </w:instrText>
      </w:r>
      <w:r>
        <w:fldChar w:fldCharType="separate"/>
      </w:r>
      <w:r>
        <w:rPr>
          <w:noProof/>
        </w:rPr>
        <w:t>24</w:t>
      </w:r>
      <w:r>
        <w:fldChar w:fldCharType="end"/>
      </w:r>
      <w:r w:rsidR="00390387" w:rsidRPr="00390387">
        <w:t>: Финална потрошња енергије по сектору - Индустрија [ktoe]</w:t>
      </w:r>
      <w:bookmarkEnd w:id="548"/>
    </w:p>
    <w:tbl>
      <w:tblPr>
        <w:tblStyle w:val="TableGrid"/>
        <w:tblW w:w="9776" w:type="dxa"/>
        <w:tblLayout w:type="fixed"/>
        <w:tblLook w:val="04A0" w:firstRow="1" w:lastRow="0" w:firstColumn="1" w:lastColumn="0" w:noHBand="0" w:noVBand="1"/>
      </w:tblPr>
      <w:tblGrid>
        <w:gridCol w:w="1271"/>
        <w:gridCol w:w="773"/>
        <w:gridCol w:w="773"/>
        <w:gridCol w:w="773"/>
        <w:gridCol w:w="773"/>
        <w:gridCol w:w="773"/>
        <w:gridCol w:w="774"/>
        <w:gridCol w:w="773"/>
        <w:gridCol w:w="773"/>
        <w:gridCol w:w="773"/>
        <w:gridCol w:w="773"/>
        <w:gridCol w:w="774"/>
      </w:tblGrid>
      <w:tr w:rsidR="00C42548" w:rsidRPr="003B4324" w14:paraId="0CBAF721" w14:textId="77777777" w:rsidTr="0057310C">
        <w:trPr>
          <w:trHeight w:val="300"/>
        </w:trPr>
        <w:tc>
          <w:tcPr>
            <w:tcW w:w="1271" w:type="dxa"/>
            <w:shd w:val="clear" w:color="auto" w:fill="404040"/>
            <w:noWrap/>
            <w:vAlign w:val="center"/>
            <w:hideMark/>
          </w:tcPr>
          <w:p w14:paraId="450DDD39" w14:textId="2E60A452" w:rsidR="00C42548" w:rsidRPr="004254D2" w:rsidRDefault="00C42548" w:rsidP="0057310C">
            <w:pPr>
              <w:spacing w:after="0" w:line="240" w:lineRule="auto"/>
              <w:jc w:val="center"/>
              <w:rPr>
                <w:rFonts w:ascii="Calibri Light" w:hAnsi="Calibri Light" w:cs="Calibri Light"/>
                <w:color w:val="000000" w:themeColor="text1"/>
              </w:rPr>
            </w:pPr>
            <w:r>
              <w:rPr>
                <w:rFonts w:ascii="Calibri Light" w:hAnsi="Calibri Light" w:cs="Calibri Light"/>
                <w:color w:val="FFFFFF" w:themeColor="background1"/>
              </w:rPr>
              <w:t>ФПЕ индустрија</w:t>
            </w:r>
            <w:r w:rsidRPr="001E4E92">
              <w:rPr>
                <w:rFonts w:ascii="Calibri Light" w:hAnsi="Calibri Light" w:cs="Calibri Light"/>
                <w:color w:val="FFFFFF" w:themeColor="background1"/>
              </w:rPr>
              <w:t xml:space="preserve"> [ktoe]</w:t>
            </w:r>
          </w:p>
        </w:tc>
        <w:tc>
          <w:tcPr>
            <w:tcW w:w="773" w:type="dxa"/>
            <w:shd w:val="clear" w:color="auto" w:fill="1F497D"/>
            <w:noWrap/>
            <w:vAlign w:val="center"/>
            <w:hideMark/>
          </w:tcPr>
          <w:p w14:paraId="3FECBE2E"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2020</w:t>
            </w:r>
          </w:p>
        </w:tc>
        <w:tc>
          <w:tcPr>
            <w:tcW w:w="773" w:type="dxa"/>
            <w:shd w:val="clear" w:color="auto" w:fill="1F497D"/>
            <w:noWrap/>
            <w:vAlign w:val="center"/>
            <w:hideMark/>
          </w:tcPr>
          <w:p w14:paraId="7848C8D1"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2025</w:t>
            </w:r>
          </w:p>
        </w:tc>
        <w:tc>
          <w:tcPr>
            <w:tcW w:w="773" w:type="dxa"/>
            <w:shd w:val="clear" w:color="auto" w:fill="1F497D"/>
            <w:noWrap/>
            <w:vAlign w:val="center"/>
            <w:hideMark/>
          </w:tcPr>
          <w:p w14:paraId="1B4CFF87"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2026</w:t>
            </w:r>
          </w:p>
        </w:tc>
        <w:tc>
          <w:tcPr>
            <w:tcW w:w="773" w:type="dxa"/>
            <w:shd w:val="clear" w:color="auto" w:fill="1F497D"/>
            <w:noWrap/>
            <w:vAlign w:val="center"/>
            <w:hideMark/>
          </w:tcPr>
          <w:p w14:paraId="73F38C6C"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2027</w:t>
            </w:r>
          </w:p>
        </w:tc>
        <w:tc>
          <w:tcPr>
            <w:tcW w:w="773" w:type="dxa"/>
            <w:shd w:val="clear" w:color="auto" w:fill="1F497D"/>
            <w:noWrap/>
            <w:vAlign w:val="center"/>
            <w:hideMark/>
          </w:tcPr>
          <w:p w14:paraId="615EF5C8"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2028</w:t>
            </w:r>
          </w:p>
        </w:tc>
        <w:tc>
          <w:tcPr>
            <w:tcW w:w="774" w:type="dxa"/>
            <w:shd w:val="clear" w:color="auto" w:fill="1F497D"/>
            <w:noWrap/>
            <w:vAlign w:val="center"/>
            <w:hideMark/>
          </w:tcPr>
          <w:p w14:paraId="1307DEE3"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2029</w:t>
            </w:r>
          </w:p>
        </w:tc>
        <w:tc>
          <w:tcPr>
            <w:tcW w:w="773" w:type="dxa"/>
            <w:shd w:val="clear" w:color="auto" w:fill="1F497D"/>
            <w:noWrap/>
            <w:vAlign w:val="center"/>
            <w:hideMark/>
          </w:tcPr>
          <w:p w14:paraId="2FFE6D27"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2030</w:t>
            </w:r>
          </w:p>
        </w:tc>
        <w:tc>
          <w:tcPr>
            <w:tcW w:w="773" w:type="dxa"/>
            <w:shd w:val="clear" w:color="auto" w:fill="1F497D"/>
            <w:noWrap/>
            <w:vAlign w:val="center"/>
            <w:hideMark/>
          </w:tcPr>
          <w:p w14:paraId="4EAE3DF8"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2035</w:t>
            </w:r>
          </w:p>
        </w:tc>
        <w:tc>
          <w:tcPr>
            <w:tcW w:w="773" w:type="dxa"/>
            <w:shd w:val="clear" w:color="auto" w:fill="1F497D"/>
            <w:noWrap/>
            <w:vAlign w:val="center"/>
            <w:hideMark/>
          </w:tcPr>
          <w:p w14:paraId="0D8C33E8"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2040</w:t>
            </w:r>
          </w:p>
        </w:tc>
        <w:tc>
          <w:tcPr>
            <w:tcW w:w="773" w:type="dxa"/>
            <w:shd w:val="clear" w:color="auto" w:fill="1F497D"/>
            <w:noWrap/>
            <w:vAlign w:val="center"/>
            <w:hideMark/>
          </w:tcPr>
          <w:p w14:paraId="56AFF278"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2045</w:t>
            </w:r>
          </w:p>
        </w:tc>
        <w:tc>
          <w:tcPr>
            <w:tcW w:w="774" w:type="dxa"/>
            <w:shd w:val="clear" w:color="auto" w:fill="1F497D"/>
            <w:noWrap/>
            <w:vAlign w:val="center"/>
            <w:hideMark/>
          </w:tcPr>
          <w:p w14:paraId="36F5BF5C"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2050</w:t>
            </w:r>
          </w:p>
        </w:tc>
      </w:tr>
      <w:tr w:rsidR="00C42548" w:rsidRPr="003B4324" w14:paraId="30742C6A" w14:textId="77777777" w:rsidTr="000A2AFE">
        <w:trPr>
          <w:trHeight w:val="300"/>
        </w:trPr>
        <w:tc>
          <w:tcPr>
            <w:tcW w:w="1271" w:type="dxa"/>
            <w:shd w:val="clear" w:color="auto" w:fill="E7E6E6"/>
            <w:noWrap/>
            <w:vAlign w:val="bottom"/>
            <w:hideMark/>
          </w:tcPr>
          <w:p w14:paraId="7BA76422" w14:textId="77777777" w:rsidR="00C42548" w:rsidRPr="004254D2" w:rsidRDefault="00C42548" w:rsidP="0057310C">
            <w:pPr>
              <w:spacing w:after="0" w:line="240" w:lineRule="auto"/>
              <w:jc w:val="left"/>
              <w:rPr>
                <w:rFonts w:ascii="Calibri Light" w:hAnsi="Calibri Light" w:cs="Calibri Light"/>
                <w:color w:val="000000" w:themeColor="text1"/>
              </w:rPr>
            </w:pPr>
            <w:r w:rsidRPr="002574F2">
              <w:rPr>
                <w:rFonts w:ascii="Calibri Light" w:hAnsi="Calibri Light" w:cs="Calibri Light"/>
                <w:color w:val="000000" w:themeColor="text1"/>
              </w:rPr>
              <w:t>WEM</w:t>
            </w:r>
          </w:p>
        </w:tc>
        <w:tc>
          <w:tcPr>
            <w:tcW w:w="773" w:type="dxa"/>
            <w:noWrap/>
            <w:vAlign w:val="center"/>
            <w:hideMark/>
          </w:tcPr>
          <w:p w14:paraId="5FB96090" w14:textId="77777777" w:rsidR="00C42548" w:rsidRPr="004254D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2188</w:t>
            </w:r>
          </w:p>
        </w:tc>
        <w:tc>
          <w:tcPr>
            <w:tcW w:w="773" w:type="dxa"/>
            <w:noWrap/>
            <w:vAlign w:val="center"/>
            <w:hideMark/>
          </w:tcPr>
          <w:p w14:paraId="65BA6A06"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2417</w:t>
            </w:r>
          </w:p>
        </w:tc>
        <w:tc>
          <w:tcPr>
            <w:tcW w:w="773" w:type="dxa"/>
            <w:noWrap/>
            <w:vAlign w:val="center"/>
            <w:hideMark/>
          </w:tcPr>
          <w:p w14:paraId="3B824FBB"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2477</w:t>
            </w:r>
          </w:p>
        </w:tc>
        <w:tc>
          <w:tcPr>
            <w:tcW w:w="773" w:type="dxa"/>
            <w:noWrap/>
            <w:vAlign w:val="center"/>
            <w:hideMark/>
          </w:tcPr>
          <w:p w14:paraId="113993D3"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2555</w:t>
            </w:r>
          </w:p>
        </w:tc>
        <w:tc>
          <w:tcPr>
            <w:tcW w:w="773" w:type="dxa"/>
            <w:noWrap/>
            <w:vAlign w:val="center"/>
            <w:hideMark/>
          </w:tcPr>
          <w:p w14:paraId="68E8C5CA"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2622</w:t>
            </w:r>
          </w:p>
        </w:tc>
        <w:tc>
          <w:tcPr>
            <w:tcW w:w="774" w:type="dxa"/>
            <w:noWrap/>
            <w:vAlign w:val="center"/>
            <w:hideMark/>
          </w:tcPr>
          <w:p w14:paraId="44F8C2CE"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2706</w:t>
            </w:r>
          </w:p>
        </w:tc>
        <w:tc>
          <w:tcPr>
            <w:tcW w:w="773" w:type="dxa"/>
            <w:noWrap/>
            <w:vAlign w:val="center"/>
            <w:hideMark/>
          </w:tcPr>
          <w:p w14:paraId="16562C4F"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2784</w:t>
            </w:r>
          </w:p>
        </w:tc>
        <w:tc>
          <w:tcPr>
            <w:tcW w:w="773" w:type="dxa"/>
            <w:noWrap/>
            <w:vAlign w:val="center"/>
            <w:hideMark/>
          </w:tcPr>
          <w:p w14:paraId="02EE9384"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3027</w:t>
            </w:r>
          </w:p>
        </w:tc>
        <w:tc>
          <w:tcPr>
            <w:tcW w:w="773" w:type="dxa"/>
            <w:noWrap/>
            <w:vAlign w:val="center"/>
            <w:hideMark/>
          </w:tcPr>
          <w:p w14:paraId="159DE701"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3319</w:t>
            </w:r>
          </w:p>
        </w:tc>
        <w:tc>
          <w:tcPr>
            <w:tcW w:w="773" w:type="dxa"/>
            <w:noWrap/>
            <w:vAlign w:val="center"/>
            <w:hideMark/>
          </w:tcPr>
          <w:p w14:paraId="65B3BFBF"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3541</w:t>
            </w:r>
          </w:p>
        </w:tc>
        <w:tc>
          <w:tcPr>
            <w:tcW w:w="774" w:type="dxa"/>
            <w:noWrap/>
            <w:vAlign w:val="center"/>
            <w:hideMark/>
          </w:tcPr>
          <w:p w14:paraId="3BCFDD93"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3814</w:t>
            </w:r>
          </w:p>
        </w:tc>
      </w:tr>
      <w:tr w:rsidR="00C42548" w:rsidRPr="003B4324" w14:paraId="3F9D6157" w14:textId="77777777" w:rsidTr="000A2AFE">
        <w:trPr>
          <w:trHeight w:val="300"/>
        </w:trPr>
        <w:tc>
          <w:tcPr>
            <w:tcW w:w="1271" w:type="dxa"/>
            <w:shd w:val="clear" w:color="auto" w:fill="E7E6E6"/>
            <w:noWrap/>
            <w:vAlign w:val="center"/>
            <w:hideMark/>
          </w:tcPr>
          <w:p w14:paraId="73D8BA71" w14:textId="3D05E4BB" w:rsidR="00C42548" w:rsidRPr="004254D2" w:rsidRDefault="00C42548" w:rsidP="00C42548">
            <w:pPr>
              <w:spacing w:after="0" w:line="240" w:lineRule="auto"/>
              <w:jc w:val="left"/>
              <w:rPr>
                <w:rFonts w:ascii="Calibri Light" w:hAnsi="Calibri Light" w:cs="Calibri Light"/>
                <w:color w:val="000000" w:themeColor="text1"/>
              </w:rPr>
            </w:pPr>
            <w:r w:rsidRPr="003208FA">
              <w:rPr>
                <w:rFonts w:ascii="Calibri Light" w:hAnsi="Calibri Light" w:cs="Calibri Light"/>
                <w:color w:val="000000" w:themeColor="text1"/>
              </w:rPr>
              <w:t>Сценарио-S</w:t>
            </w:r>
          </w:p>
        </w:tc>
        <w:tc>
          <w:tcPr>
            <w:tcW w:w="773" w:type="dxa"/>
            <w:noWrap/>
            <w:vAlign w:val="center"/>
            <w:hideMark/>
          </w:tcPr>
          <w:p w14:paraId="5C757C62" w14:textId="77777777" w:rsidR="00C42548" w:rsidRPr="004254D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2187</w:t>
            </w:r>
          </w:p>
        </w:tc>
        <w:tc>
          <w:tcPr>
            <w:tcW w:w="773" w:type="dxa"/>
            <w:noWrap/>
            <w:vAlign w:val="center"/>
            <w:hideMark/>
          </w:tcPr>
          <w:p w14:paraId="223194D8"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2358</w:t>
            </w:r>
          </w:p>
        </w:tc>
        <w:tc>
          <w:tcPr>
            <w:tcW w:w="773" w:type="dxa"/>
            <w:noWrap/>
            <w:vAlign w:val="center"/>
            <w:hideMark/>
          </w:tcPr>
          <w:p w14:paraId="6327E2C1"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2341</w:t>
            </w:r>
          </w:p>
        </w:tc>
        <w:tc>
          <w:tcPr>
            <w:tcW w:w="773" w:type="dxa"/>
            <w:noWrap/>
            <w:vAlign w:val="center"/>
            <w:hideMark/>
          </w:tcPr>
          <w:p w14:paraId="0C33007A"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2399</w:t>
            </w:r>
          </w:p>
        </w:tc>
        <w:tc>
          <w:tcPr>
            <w:tcW w:w="773" w:type="dxa"/>
            <w:noWrap/>
            <w:vAlign w:val="center"/>
            <w:hideMark/>
          </w:tcPr>
          <w:p w14:paraId="1BA5ED30"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2454</w:t>
            </w:r>
          </w:p>
        </w:tc>
        <w:tc>
          <w:tcPr>
            <w:tcW w:w="774" w:type="dxa"/>
            <w:noWrap/>
            <w:vAlign w:val="center"/>
            <w:hideMark/>
          </w:tcPr>
          <w:p w14:paraId="47890C00"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2504</w:t>
            </w:r>
          </w:p>
        </w:tc>
        <w:tc>
          <w:tcPr>
            <w:tcW w:w="773" w:type="dxa"/>
            <w:noWrap/>
            <w:vAlign w:val="center"/>
            <w:hideMark/>
          </w:tcPr>
          <w:p w14:paraId="6F9E335D"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2547</w:t>
            </w:r>
          </w:p>
        </w:tc>
        <w:tc>
          <w:tcPr>
            <w:tcW w:w="773" w:type="dxa"/>
            <w:noWrap/>
            <w:vAlign w:val="center"/>
            <w:hideMark/>
          </w:tcPr>
          <w:p w14:paraId="23256F0C"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2803</w:t>
            </w:r>
          </w:p>
        </w:tc>
        <w:tc>
          <w:tcPr>
            <w:tcW w:w="773" w:type="dxa"/>
            <w:noWrap/>
            <w:vAlign w:val="center"/>
            <w:hideMark/>
          </w:tcPr>
          <w:p w14:paraId="6E21E75D"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3019</w:t>
            </w:r>
          </w:p>
        </w:tc>
        <w:tc>
          <w:tcPr>
            <w:tcW w:w="773" w:type="dxa"/>
            <w:noWrap/>
            <w:vAlign w:val="center"/>
            <w:hideMark/>
          </w:tcPr>
          <w:p w14:paraId="25B5C9FB"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3182</w:t>
            </w:r>
          </w:p>
        </w:tc>
        <w:tc>
          <w:tcPr>
            <w:tcW w:w="774" w:type="dxa"/>
            <w:noWrap/>
            <w:vAlign w:val="center"/>
            <w:hideMark/>
          </w:tcPr>
          <w:p w14:paraId="4A126AF0"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3403</w:t>
            </w:r>
          </w:p>
        </w:tc>
      </w:tr>
      <w:tr w:rsidR="00C42548" w:rsidRPr="003B4324" w14:paraId="063A0DB7" w14:textId="77777777" w:rsidTr="000A2AFE">
        <w:trPr>
          <w:trHeight w:val="300"/>
        </w:trPr>
        <w:tc>
          <w:tcPr>
            <w:tcW w:w="1271" w:type="dxa"/>
            <w:shd w:val="clear" w:color="auto" w:fill="E7E6E6"/>
            <w:noWrap/>
            <w:vAlign w:val="center"/>
            <w:hideMark/>
          </w:tcPr>
          <w:p w14:paraId="13AC0C84" w14:textId="6903253F" w:rsidR="00C42548" w:rsidRPr="004254D2" w:rsidRDefault="00C42548" w:rsidP="00C42548">
            <w:pPr>
              <w:spacing w:after="0" w:line="240" w:lineRule="auto"/>
              <w:jc w:val="left"/>
              <w:rPr>
                <w:rFonts w:ascii="Calibri Light" w:hAnsi="Calibri Light" w:cs="Calibri Light"/>
                <w:color w:val="000000" w:themeColor="text1"/>
              </w:rPr>
            </w:pPr>
            <w:r w:rsidRPr="003208FA">
              <w:rPr>
                <w:rFonts w:ascii="Calibri Light" w:hAnsi="Calibri Light" w:cs="Calibri Light"/>
                <w:color w:val="000000" w:themeColor="text1"/>
              </w:rPr>
              <w:lastRenderedPageBreak/>
              <w:t>Сценарио-S-N</w:t>
            </w:r>
          </w:p>
        </w:tc>
        <w:tc>
          <w:tcPr>
            <w:tcW w:w="773" w:type="dxa"/>
            <w:noWrap/>
            <w:vAlign w:val="center"/>
            <w:hideMark/>
          </w:tcPr>
          <w:p w14:paraId="4A68E97C" w14:textId="77777777" w:rsidR="00C42548" w:rsidRPr="004254D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2187</w:t>
            </w:r>
          </w:p>
        </w:tc>
        <w:tc>
          <w:tcPr>
            <w:tcW w:w="773" w:type="dxa"/>
            <w:noWrap/>
            <w:vAlign w:val="center"/>
            <w:hideMark/>
          </w:tcPr>
          <w:p w14:paraId="35D22977"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2358</w:t>
            </w:r>
          </w:p>
        </w:tc>
        <w:tc>
          <w:tcPr>
            <w:tcW w:w="773" w:type="dxa"/>
            <w:noWrap/>
            <w:vAlign w:val="center"/>
            <w:hideMark/>
          </w:tcPr>
          <w:p w14:paraId="5A8D97E4"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2341</w:t>
            </w:r>
          </w:p>
        </w:tc>
        <w:tc>
          <w:tcPr>
            <w:tcW w:w="773" w:type="dxa"/>
            <w:noWrap/>
            <w:vAlign w:val="center"/>
            <w:hideMark/>
          </w:tcPr>
          <w:p w14:paraId="0508E19F"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2399</w:t>
            </w:r>
          </w:p>
        </w:tc>
        <w:tc>
          <w:tcPr>
            <w:tcW w:w="773" w:type="dxa"/>
            <w:noWrap/>
            <w:vAlign w:val="center"/>
            <w:hideMark/>
          </w:tcPr>
          <w:p w14:paraId="40C4316E"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2454</w:t>
            </w:r>
          </w:p>
        </w:tc>
        <w:tc>
          <w:tcPr>
            <w:tcW w:w="774" w:type="dxa"/>
            <w:noWrap/>
            <w:vAlign w:val="center"/>
            <w:hideMark/>
          </w:tcPr>
          <w:p w14:paraId="41A92A4B"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2504</w:t>
            </w:r>
          </w:p>
        </w:tc>
        <w:tc>
          <w:tcPr>
            <w:tcW w:w="773" w:type="dxa"/>
            <w:noWrap/>
            <w:vAlign w:val="center"/>
            <w:hideMark/>
          </w:tcPr>
          <w:p w14:paraId="11C85737"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2547</w:t>
            </w:r>
          </w:p>
        </w:tc>
        <w:tc>
          <w:tcPr>
            <w:tcW w:w="773" w:type="dxa"/>
            <w:noWrap/>
            <w:vAlign w:val="center"/>
            <w:hideMark/>
          </w:tcPr>
          <w:p w14:paraId="4DC695E6"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2805</w:t>
            </w:r>
          </w:p>
        </w:tc>
        <w:tc>
          <w:tcPr>
            <w:tcW w:w="773" w:type="dxa"/>
            <w:noWrap/>
            <w:vAlign w:val="center"/>
            <w:hideMark/>
          </w:tcPr>
          <w:p w14:paraId="567165E1"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3011</w:t>
            </w:r>
          </w:p>
        </w:tc>
        <w:tc>
          <w:tcPr>
            <w:tcW w:w="773" w:type="dxa"/>
            <w:noWrap/>
            <w:vAlign w:val="center"/>
            <w:hideMark/>
          </w:tcPr>
          <w:p w14:paraId="575E53F6"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3184</w:t>
            </w:r>
          </w:p>
        </w:tc>
        <w:tc>
          <w:tcPr>
            <w:tcW w:w="774" w:type="dxa"/>
            <w:noWrap/>
            <w:vAlign w:val="center"/>
            <w:hideMark/>
          </w:tcPr>
          <w:p w14:paraId="58C7DB6F"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3406</w:t>
            </w:r>
          </w:p>
        </w:tc>
      </w:tr>
    </w:tbl>
    <w:p w14:paraId="0C505B43" w14:textId="7FB1C456" w:rsidR="00873C40" w:rsidRDefault="00873C40" w:rsidP="00565B02">
      <w:pPr>
        <w:pStyle w:val="Caption"/>
        <w:keepNext/>
        <w:spacing w:before="200"/>
      </w:pPr>
      <w:bookmarkStart w:id="549" w:name="_Toc153901520"/>
      <w:r>
        <w:t xml:space="preserve">Табела </w:t>
      </w:r>
      <w:r>
        <w:fldChar w:fldCharType="begin"/>
      </w:r>
      <w:r>
        <w:instrText xml:space="preserve"> STYLEREF 1 \s </w:instrText>
      </w:r>
      <w:r>
        <w:fldChar w:fldCharType="separate"/>
      </w:r>
      <w:r>
        <w:rPr>
          <w:noProof/>
        </w:rPr>
        <w:t>V</w:t>
      </w:r>
      <w:r>
        <w:fldChar w:fldCharType="end"/>
      </w:r>
      <w:r>
        <w:t>.</w:t>
      </w:r>
      <w:r>
        <w:fldChar w:fldCharType="begin"/>
      </w:r>
      <w:r>
        <w:instrText xml:space="preserve"> SEQ Табела \* ARABIC \s 1 </w:instrText>
      </w:r>
      <w:r>
        <w:fldChar w:fldCharType="separate"/>
      </w:r>
      <w:r>
        <w:rPr>
          <w:noProof/>
        </w:rPr>
        <w:t>25</w:t>
      </w:r>
      <w:r>
        <w:fldChar w:fldCharType="end"/>
      </w:r>
      <w:r w:rsidR="00390387" w:rsidRPr="00390387">
        <w:t>: Финална потрошња енергије по сектору - Саобраћај [ktoe]</w:t>
      </w:r>
      <w:bookmarkEnd w:id="549"/>
    </w:p>
    <w:tbl>
      <w:tblPr>
        <w:tblStyle w:val="TableGrid"/>
        <w:tblW w:w="9776" w:type="dxa"/>
        <w:tblLayout w:type="fixed"/>
        <w:tblLook w:val="04A0" w:firstRow="1" w:lastRow="0" w:firstColumn="1" w:lastColumn="0" w:noHBand="0" w:noVBand="1"/>
      </w:tblPr>
      <w:tblGrid>
        <w:gridCol w:w="1271"/>
        <w:gridCol w:w="773"/>
        <w:gridCol w:w="773"/>
        <w:gridCol w:w="773"/>
        <w:gridCol w:w="773"/>
        <w:gridCol w:w="773"/>
        <w:gridCol w:w="774"/>
        <w:gridCol w:w="773"/>
        <w:gridCol w:w="773"/>
        <w:gridCol w:w="773"/>
        <w:gridCol w:w="773"/>
        <w:gridCol w:w="774"/>
      </w:tblGrid>
      <w:tr w:rsidR="00C42548" w:rsidRPr="003B4324" w14:paraId="1C2B3B03" w14:textId="77777777" w:rsidTr="0057310C">
        <w:trPr>
          <w:trHeight w:val="300"/>
        </w:trPr>
        <w:tc>
          <w:tcPr>
            <w:tcW w:w="1271" w:type="dxa"/>
            <w:shd w:val="clear" w:color="auto" w:fill="404040"/>
            <w:noWrap/>
            <w:vAlign w:val="center"/>
            <w:hideMark/>
          </w:tcPr>
          <w:p w14:paraId="5F556322" w14:textId="1B2496E8" w:rsidR="00C42548" w:rsidRPr="004254D2" w:rsidRDefault="00C42548" w:rsidP="0057310C">
            <w:pPr>
              <w:spacing w:after="0" w:line="240" w:lineRule="auto"/>
              <w:jc w:val="center"/>
              <w:rPr>
                <w:rFonts w:ascii="Calibri Light" w:hAnsi="Calibri Light" w:cs="Calibri Light"/>
                <w:color w:val="000000" w:themeColor="text1"/>
              </w:rPr>
            </w:pPr>
            <w:r w:rsidRPr="00C42548">
              <w:rPr>
                <w:rFonts w:ascii="Calibri Light" w:hAnsi="Calibri Light" w:cs="Calibri Light"/>
                <w:color w:val="FFFFFF" w:themeColor="background1"/>
              </w:rPr>
              <w:t xml:space="preserve">ФПЕ </w:t>
            </w:r>
            <w:r>
              <w:rPr>
                <w:rFonts w:ascii="Calibri Light" w:hAnsi="Calibri Light" w:cs="Calibri Light"/>
                <w:color w:val="FFFFFF" w:themeColor="background1"/>
              </w:rPr>
              <w:t xml:space="preserve">саобраћај </w:t>
            </w:r>
            <w:r w:rsidRPr="001E4E92">
              <w:rPr>
                <w:rFonts w:ascii="Calibri Light" w:hAnsi="Calibri Light" w:cs="Calibri Light"/>
                <w:color w:val="FFFFFF" w:themeColor="background1"/>
              </w:rPr>
              <w:t>[ktoe]</w:t>
            </w:r>
          </w:p>
        </w:tc>
        <w:tc>
          <w:tcPr>
            <w:tcW w:w="773" w:type="dxa"/>
            <w:shd w:val="clear" w:color="auto" w:fill="1F497D"/>
            <w:noWrap/>
            <w:vAlign w:val="center"/>
            <w:hideMark/>
          </w:tcPr>
          <w:p w14:paraId="69C8EA63"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2020</w:t>
            </w:r>
          </w:p>
        </w:tc>
        <w:tc>
          <w:tcPr>
            <w:tcW w:w="773" w:type="dxa"/>
            <w:shd w:val="clear" w:color="auto" w:fill="1F497D"/>
            <w:noWrap/>
            <w:vAlign w:val="center"/>
            <w:hideMark/>
          </w:tcPr>
          <w:p w14:paraId="5BD4CC67"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2025</w:t>
            </w:r>
          </w:p>
        </w:tc>
        <w:tc>
          <w:tcPr>
            <w:tcW w:w="773" w:type="dxa"/>
            <w:shd w:val="clear" w:color="auto" w:fill="1F497D"/>
            <w:noWrap/>
            <w:vAlign w:val="center"/>
            <w:hideMark/>
          </w:tcPr>
          <w:p w14:paraId="0DB26F9A"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2026</w:t>
            </w:r>
          </w:p>
        </w:tc>
        <w:tc>
          <w:tcPr>
            <w:tcW w:w="773" w:type="dxa"/>
            <w:shd w:val="clear" w:color="auto" w:fill="1F497D"/>
            <w:noWrap/>
            <w:vAlign w:val="center"/>
            <w:hideMark/>
          </w:tcPr>
          <w:p w14:paraId="117014CE"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2027</w:t>
            </w:r>
          </w:p>
        </w:tc>
        <w:tc>
          <w:tcPr>
            <w:tcW w:w="773" w:type="dxa"/>
            <w:shd w:val="clear" w:color="auto" w:fill="1F497D"/>
            <w:noWrap/>
            <w:vAlign w:val="center"/>
            <w:hideMark/>
          </w:tcPr>
          <w:p w14:paraId="13DADC9C"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2028</w:t>
            </w:r>
          </w:p>
        </w:tc>
        <w:tc>
          <w:tcPr>
            <w:tcW w:w="774" w:type="dxa"/>
            <w:shd w:val="clear" w:color="auto" w:fill="1F497D"/>
            <w:noWrap/>
            <w:vAlign w:val="center"/>
            <w:hideMark/>
          </w:tcPr>
          <w:p w14:paraId="4E4E01DF"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2029</w:t>
            </w:r>
          </w:p>
        </w:tc>
        <w:tc>
          <w:tcPr>
            <w:tcW w:w="773" w:type="dxa"/>
            <w:shd w:val="clear" w:color="auto" w:fill="1F497D"/>
            <w:noWrap/>
            <w:vAlign w:val="center"/>
            <w:hideMark/>
          </w:tcPr>
          <w:p w14:paraId="21AAA081"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2030</w:t>
            </w:r>
          </w:p>
        </w:tc>
        <w:tc>
          <w:tcPr>
            <w:tcW w:w="773" w:type="dxa"/>
            <w:shd w:val="clear" w:color="auto" w:fill="1F497D"/>
            <w:noWrap/>
            <w:vAlign w:val="center"/>
            <w:hideMark/>
          </w:tcPr>
          <w:p w14:paraId="29DC3C32"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2035</w:t>
            </w:r>
          </w:p>
        </w:tc>
        <w:tc>
          <w:tcPr>
            <w:tcW w:w="773" w:type="dxa"/>
            <w:shd w:val="clear" w:color="auto" w:fill="1F497D"/>
            <w:noWrap/>
            <w:vAlign w:val="center"/>
            <w:hideMark/>
          </w:tcPr>
          <w:p w14:paraId="00FE2103"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2040</w:t>
            </w:r>
          </w:p>
        </w:tc>
        <w:tc>
          <w:tcPr>
            <w:tcW w:w="773" w:type="dxa"/>
            <w:shd w:val="clear" w:color="auto" w:fill="1F497D"/>
            <w:noWrap/>
            <w:vAlign w:val="center"/>
            <w:hideMark/>
          </w:tcPr>
          <w:p w14:paraId="30451136"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2045</w:t>
            </w:r>
          </w:p>
        </w:tc>
        <w:tc>
          <w:tcPr>
            <w:tcW w:w="774" w:type="dxa"/>
            <w:shd w:val="clear" w:color="auto" w:fill="1F497D"/>
            <w:noWrap/>
            <w:vAlign w:val="center"/>
            <w:hideMark/>
          </w:tcPr>
          <w:p w14:paraId="64B20308"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2050</w:t>
            </w:r>
          </w:p>
        </w:tc>
      </w:tr>
      <w:tr w:rsidR="00C42548" w:rsidRPr="003B4324" w14:paraId="3AE63B55" w14:textId="77777777" w:rsidTr="000A2AFE">
        <w:trPr>
          <w:trHeight w:val="300"/>
        </w:trPr>
        <w:tc>
          <w:tcPr>
            <w:tcW w:w="1271" w:type="dxa"/>
            <w:shd w:val="clear" w:color="auto" w:fill="E7E6E6"/>
            <w:noWrap/>
            <w:vAlign w:val="bottom"/>
            <w:hideMark/>
          </w:tcPr>
          <w:p w14:paraId="4183AFDE" w14:textId="77777777" w:rsidR="00C42548" w:rsidRPr="004254D2" w:rsidRDefault="00C42548" w:rsidP="0057310C">
            <w:pPr>
              <w:spacing w:after="0" w:line="240" w:lineRule="auto"/>
              <w:jc w:val="left"/>
              <w:rPr>
                <w:rFonts w:ascii="Calibri Light" w:hAnsi="Calibri Light" w:cs="Calibri Light"/>
                <w:color w:val="000000" w:themeColor="text1"/>
              </w:rPr>
            </w:pPr>
            <w:r w:rsidRPr="002574F2">
              <w:rPr>
                <w:rFonts w:ascii="Calibri Light" w:hAnsi="Calibri Light" w:cs="Calibri Light"/>
                <w:color w:val="000000" w:themeColor="text1"/>
              </w:rPr>
              <w:t>WEM</w:t>
            </w:r>
          </w:p>
        </w:tc>
        <w:tc>
          <w:tcPr>
            <w:tcW w:w="773" w:type="dxa"/>
            <w:noWrap/>
            <w:vAlign w:val="center"/>
            <w:hideMark/>
          </w:tcPr>
          <w:p w14:paraId="73FE9FF4" w14:textId="77777777" w:rsidR="00C42548" w:rsidRPr="004254D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2347</w:t>
            </w:r>
          </w:p>
        </w:tc>
        <w:tc>
          <w:tcPr>
            <w:tcW w:w="773" w:type="dxa"/>
            <w:noWrap/>
            <w:vAlign w:val="center"/>
            <w:hideMark/>
          </w:tcPr>
          <w:p w14:paraId="0A4B3859"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2573</w:t>
            </w:r>
          </w:p>
        </w:tc>
        <w:tc>
          <w:tcPr>
            <w:tcW w:w="773" w:type="dxa"/>
            <w:noWrap/>
            <w:vAlign w:val="center"/>
            <w:hideMark/>
          </w:tcPr>
          <w:p w14:paraId="02BD669B"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2623</w:t>
            </w:r>
          </w:p>
        </w:tc>
        <w:tc>
          <w:tcPr>
            <w:tcW w:w="773" w:type="dxa"/>
            <w:noWrap/>
            <w:vAlign w:val="center"/>
            <w:hideMark/>
          </w:tcPr>
          <w:p w14:paraId="37160B98"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2654</w:t>
            </w:r>
          </w:p>
        </w:tc>
        <w:tc>
          <w:tcPr>
            <w:tcW w:w="773" w:type="dxa"/>
            <w:noWrap/>
            <w:vAlign w:val="center"/>
            <w:hideMark/>
          </w:tcPr>
          <w:p w14:paraId="63C7A467"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2687</w:t>
            </w:r>
          </w:p>
        </w:tc>
        <w:tc>
          <w:tcPr>
            <w:tcW w:w="774" w:type="dxa"/>
            <w:noWrap/>
            <w:vAlign w:val="center"/>
            <w:hideMark/>
          </w:tcPr>
          <w:p w14:paraId="7CFB009F"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2721</w:t>
            </w:r>
          </w:p>
        </w:tc>
        <w:tc>
          <w:tcPr>
            <w:tcW w:w="773" w:type="dxa"/>
            <w:noWrap/>
            <w:vAlign w:val="center"/>
            <w:hideMark/>
          </w:tcPr>
          <w:p w14:paraId="4453C19B"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2748</w:t>
            </w:r>
          </w:p>
        </w:tc>
        <w:tc>
          <w:tcPr>
            <w:tcW w:w="773" w:type="dxa"/>
            <w:noWrap/>
            <w:vAlign w:val="center"/>
            <w:hideMark/>
          </w:tcPr>
          <w:p w14:paraId="5C373C3C"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2935</w:t>
            </w:r>
          </w:p>
        </w:tc>
        <w:tc>
          <w:tcPr>
            <w:tcW w:w="773" w:type="dxa"/>
            <w:noWrap/>
            <w:vAlign w:val="center"/>
            <w:hideMark/>
          </w:tcPr>
          <w:p w14:paraId="4E0EBD56"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3190</w:t>
            </w:r>
          </w:p>
        </w:tc>
        <w:tc>
          <w:tcPr>
            <w:tcW w:w="773" w:type="dxa"/>
            <w:noWrap/>
            <w:vAlign w:val="center"/>
            <w:hideMark/>
          </w:tcPr>
          <w:p w14:paraId="26826988"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3434</w:t>
            </w:r>
          </w:p>
        </w:tc>
        <w:tc>
          <w:tcPr>
            <w:tcW w:w="774" w:type="dxa"/>
            <w:noWrap/>
            <w:vAlign w:val="center"/>
            <w:hideMark/>
          </w:tcPr>
          <w:p w14:paraId="74173F59"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3679</w:t>
            </w:r>
          </w:p>
        </w:tc>
      </w:tr>
      <w:tr w:rsidR="00C42548" w:rsidRPr="003B4324" w14:paraId="0B645176" w14:textId="77777777" w:rsidTr="000A2AFE">
        <w:trPr>
          <w:trHeight w:val="300"/>
        </w:trPr>
        <w:tc>
          <w:tcPr>
            <w:tcW w:w="1271" w:type="dxa"/>
            <w:shd w:val="clear" w:color="auto" w:fill="E7E6E6"/>
            <w:noWrap/>
            <w:vAlign w:val="center"/>
            <w:hideMark/>
          </w:tcPr>
          <w:p w14:paraId="2D7F0B6A" w14:textId="5BCC6FBF" w:rsidR="00C42548" w:rsidRPr="004254D2" w:rsidRDefault="00C42548" w:rsidP="00C42548">
            <w:pPr>
              <w:spacing w:after="0" w:line="240" w:lineRule="auto"/>
              <w:jc w:val="left"/>
              <w:rPr>
                <w:rFonts w:ascii="Calibri Light" w:hAnsi="Calibri Light" w:cs="Calibri Light"/>
                <w:color w:val="000000" w:themeColor="text1"/>
              </w:rPr>
            </w:pPr>
            <w:r w:rsidRPr="003208FA">
              <w:rPr>
                <w:rFonts w:ascii="Calibri Light" w:hAnsi="Calibri Light" w:cs="Calibri Light"/>
                <w:color w:val="000000" w:themeColor="text1"/>
              </w:rPr>
              <w:t>Сценарио-S</w:t>
            </w:r>
          </w:p>
        </w:tc>
        <w:tc>
          <w:tcPr>
            <w:tcW w:w="773" w:type="dxa"/>
            <w:noWrap/>
            <w:vAlign w:val="center"/>
            <w:hideMark/>
          </w:tcPr>
          <w:p w14:paraId="7DE5ABAF" w14:textId="77777777" w:rsidR="00C42548" w:rsidRPr="004254D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2347</w:t>
            </w:r>
          </w:p>
        </w:tc>
        <w:tc>
          <w:tcPr>
            <w:tcW w:w="773" w:type="dxa"/>
            <w:noWrap/>
            <w:vAlign w:val="center"/>
            <w:hideMark/>
          </w:tcPr>
          <w:p w14:paraId="6EF85208"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2481</w:t>
            </w:r>
          </w:p>
        </w:tc>
        <w:tc>
          <w:tcPr>
            <w:tcW w:w="773" w:type="dxa"/>
            <w:noWrap/>
            <w:vAlign w:val="center"/>
            <w:hideMark/>
          </w:tcPr>
          <w:p w14:paraId="476FE7AE"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2494</w:t>
            </w:r>
          </w:p>
        </w:tc>
        <w:tc>
          <w:tcPr>
            <w:tcW w:w="773" w:type="dxa"/>
            <w:noWrap/>
            <w:vAlign w:val="center"/>
            <w:hideMark/>
          </w:tcPr>
          <w:p w14:paraId="2B17D1E8"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2480</w:t>
            </w:r>
          </w:p>
        </w:tc>
        <w:tc>
          <w:tcPr>
            <w:tcW w:w="773" w:type="dxa"/>
            <w:noWrap/>
            <w:vAlign w:val="center"/>
            <w:hideMark/>
          </w:tcPr>
          <w:p w14:paraId="4BDC8700"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2482</w:t>
            </w:r>
          </w:p>
        </w:tc>
        <w:tc>
          <w:tcPr>
            <w:tcW w:w="774" w:type="dxa"/>
            <w:noWrap/>
            <w:vAlign w:val="center"/>
            <w:hideMark/>
          </w:tcPr>
          <w:p w14:paraId="6633DD0B"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2461</w:t>
            </w:r>
          </w:p>
        </w:tc>
        <w:tc>
          <w:tcPr>
            <w:tcW w:w="773" w:type="dxa"/>
            <w:noWrap/>
            <w:vAlign w:val="center"/>
            <w:hideMark/>
          </w:tcPr>
          <w:p w14:paraId="6EB3EB3A"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2512</w:t>
            </w:r>
          </w:p>
        </w:tc>
        <w:tc>
          <w:tcPr>
            <w:tcW w:w="773" w:type="dxa"/>
            <w:noWrap/>
            <w:vAlign w:val="center"/>
            <w:hideMark/>
          </w:tcPr>
          <w:p w14:paraId="0753F00F"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2427</w:t>
            </w:r>
          </w:p>
        </w:tc>
        <w:tc>
          <w:tcPr>
            <w:tcW w:w="773" w:type="dxa"/>
            <w:noWrap/>
            <w:vAlign w:val="center"/>
            <w:hideMark/>
          </w:tcPr>
          <w:p w14:paraId="3A2D16CA"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2444</w:t>
            </w:r>
          </w:p>
        </w:tc>
        <w:tc>
          <w:tcPr>
            <w:tcW w:w="773" w:type="dxa"/>
            <w:noWrap/>
            <w:vAlign w:val="center"/>
            <w:hideMark/>
          </w:tcPr>
          <w:p w14:paraId="6ED004B8"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2316</w:t>
            </w:r>
          </w:p>
        </w:tc>
        <w:tc>
          <w:tcPr>
            <w:tcW w:w="774" w:type="dxa"/>
            <w:noWrap/>
            <w:vAlign w:val="center"/>
            <w:hideMark/>
          </w:tcPr>
          <w:p w14:paraId="3D51EFAB"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2208</w:t>
            </w:r>
          </w:p>
        </w:tc>
      </w:tr>
      <w:tr w:rsidR="00C42548" w:rsidRPr="003B4324" w14:paraId="75391CCF" w14:textId="77777777" w:rsidTr="000A2AFE">
        <w:trPr>
          <w:trHeight w:val="300"/>
        </w:trPr>
        <w:tc>
          <w:tcPr>
            <w:tcW w:w="1271" w:type="dxa"/>
            <w:shd w:val="clear" w:color="auto" w:fill="E7E6E6"/>
            <w:noWrap/>
            <w:vAlign w:val="center"/>
            <w:hideMark/>
          </w:tcPr>
          <w:p w14:paraId="2295C348" w14:textId="747E5422" w:rsidR="00C42548" w:rsidRPr="004254D2" w:rsidRDefault="00C42548" w:rsidP="00C42548">
            <w:pPr>
              <w:spacing w:after="0" w:line="240" w:lineRule="auto"/>
              <w:jc w:val="left"/>
              <w:rPr>
                <w:rFonts w:ascii="Calibri Light" w:hAnsi="Calibri Light" w:cs="Calibri Light"/>
                <w:color w:val="000000" w:themeColor="text1"/>
              </w:rPr>
            </w:pPr>
            <w:r w:rsidRPr="003208FA">
              <w:rPr>
                <w:rFonts w:ascii="Calibri Light" w:hAnsi="Calibri Light" w:cs="Calibri Light"/>
                <w:color w:val="000000" w:themeColor="text1"/>
              </w:rPr>
              <w:t>Сценарио-S-N</w:t>
            </w:r>
          </w:p>
        </w:tc>
        <w:tc>
          <w:tcPr>
            <w:tcW w:w="773" w:type="dxa"/>
            <w:noWrap/>
            <w:vAlign w:val="center"/>
            <w:hideMark/>
          </w:tcPr>
          <w:p w14:paraId="66716976" w14:textId="77777777" w:rsidR="00C42548" w:rsidRPr="004254D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2347</w:t>
            </w:r>
          </w:p>
        </w:tc>
        <w:tc>
          <w:tcPr>
            <w:tcW w:w="773" w:type="dxa"/>
            <w:noWrap/>
            <w:vAlign w:val="center"/>
            <w:hideMark/>
          </w:tcPr>
          <w:p w14:paraId="27E7B893"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2481</w:t>
            </w:r>
          </w:p>
        </w:tc>
        <w:tc>
          <w:tcPr>
            <w:tcW w:w="773" w:type="dxa"/>
            <w:noWrap/>
            <w:vAlign w:val="center"/>
            <w:hideMark/>
          </w:tcPr>
          <w:p w14:paraId="7FA097AC"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2494</w:t>
            </w:r>
          </w:p>
        </w:tc>
        <w:tc>
          <w:tcPr>
            <w:tcW w:w="773" w:type="dxa"/>
            <w:noWrap/>
            <w:vAlign w:val="center"/>
            <w:hideMark/>
          </w:tcPr>
          <w:p w14:paraId="4EE78B22"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2480</w:t>
            </w:r>
          </w:p>
        </w:tc>
        <w:tc>
          <w:tcPr>
            <w:tcW w:w="773" w:type="dxa"/>
            <w:noWrap/>
            <w:vAlign w:val="center"/>
            <w:hideMark/>
          </w:tcPr>
          <w:p w14:paraId="23D175B0"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2482</w:t>
            </w:r>
          </w:p>
        </w:tc>
        <w:tc>
          <w:tcPr>
            <w:tcW w:w="774" w:type="dxa"/>
            <w:noWrap/>
            <w:vAlign w:val="center"/>
            <w:hideMark/>
          </w:tcPr>
          <w:p w14:paraId="359CAEB7"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2461</w:t>
            </w:r>
          </w:p>
        </w:tc>
        <w:tc>
          <w:tcPr>
            <w:tcW w:w="773" w:type="dxa"/>
            <w:noWrap/>
            <w:vAlign w:val="center"/>
            <w:hideMark/>
          </w:tcPr>
          <w:p w14:paraId="56E76AC9"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2512</w:t>
            </w:r>
          </w:p>
        </w:tc>
        <w:tc>
          <w:tcPr>
            <w:tcW w:w="773" w:type="dxa"/>
            <w:noWrap/>
            <w:vAlign w:val="center"/>
            <w:hideMark/>
          </w:tcPr>
          <w:p w14:paraId="06F885BA"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2445</w:t>
            </w:r>
          </w:p>
        </w:tc>
        <w:tc>
          <w:tcPr>
            <w:tcW w:w="773" w:type="dxa"/>
            <w:noWrap/>
            <w:vAlign w:val="center"/>
            <w:hideMark/>
          </w:tcPr>
          <w:p w14:paraId="072EE8D8"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2420</w:t>
            </w:r>
          </w:p>
        </w:tc>
        <w:tc>
          <w:tcPr>
            <w:tcW w:w="773" w:type="dxa"/>
            <w:noWrap/>
            <w:vAlign w:val="center"/>
            <w:hideMark/>
          </w:tcPr>
          <w:p w14:paraId="2DA769C1"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2265</w:t>
            </w:r>
          </w:p>
        </w:tc>
        <w:tc>
          <w:tcPr>
            <w:tcW w:w="774" w:type="dxa"/>
            <w:noWrap/>
            <w:vAlign w:val="center"/>
            <w:hideMark/>
          </w:tcPr>
          <w:p w14:paraId="0A90EF4D"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2149</w:t>
            </w:r>
          </w:p>
        </w:tc>
      </w:tr>
    </w:tbl>
    <w:p w14:paraId="017252EC" w14:textId="620794E0" w:rsidR="00873C40" w:rsidRDefault="00873C40" w:rsidP="00565B02">
      <w:pPr>
        <w:pStyle w:val="Caption"/>
        <w:keepNext/>
        <w:spacing w:before="200"/>
      </w:pPr>
      <w:bookmarkStart w:id="550" w:name="_Toc153901521"/>
      <w:r>
        <w:t xml:space="preserve">Табела </w:t>
      </w:r>
      <w:r>
        <w:fldChar w:fldCharType="begin"/>
      </w:r>
      <w:r>
        <w:instrText xml:space="preserve"> STYLEREF 1 \s </w:instrText>
      </w:r>
      <w:r>
        <w:fldChar w:fldCharType="separate"/>
      </w:r>
      <w:r>
        <w:rPr>
          <w:noProof/>
        </w:rPr>
        <w:t>V</w:t>
      </w:r>
      <w:r>
        <w:fldChar w:fldCharType="end"/>
      </w:r>
      <w:r>
        <w:t>.</w:t>
      </w:r>
      <w:r>
        <w:fldChar w:fldCharType="begin"/>
      </w:r>
      <w:r>
        <w:instrText xml:space="preserve"> SEQ Табела \* ARABIC \s 1 </w:instrText>
      </w:r>
      <w:r>
        <w:fldChar w:fldCharType="separate"/>
      </w:r>
      <w:r>
        <w:rPr>
          <w:noProof/>
        </w:rPr>
        <w:t>26</w:t>
      </w:r>
      <w:r>
        <w:fldChar w:fldCharType="end"/>
      </w:r>
      <w:r w:rsidR="00390387" w:rsidRPr="00390387">
        <w:t>: Финална потрошња енергије по сектору - Услуге [ktoe]</w:t>
      </w:r>
      <w:bookmarkEnd w:id="550"/>
    </w:p>
    <w:tbl>
      <w:tblPr>
        <w:tblStyle w:val="TableGrid"/>
        <w:tblW w:w="9776" w:type="dxa"/>
        <w:tblLayout w:type="fixed"/>
        <w:tblLook w:val="04A0" w:firstRow="1" w:lastRow="0" w:firstColumn="1" w:lastColumn="0" w:noHBand="0" w:noVBand="1"/>
      </w:tblPr>
      <w:tblGrid>
        <w:gridCol w:w="1271"/>
        <w:gridCol w:w="773"/>
        <w:gridCol w:w="773"/>
        <w:gridCol w:w="773"/>
        <w:gridCol w:w="773"/>
        <w:gridCol w:w="773"/>
        <w:gridCol w:w="774"/>
        <w:gridCol w:w="773"/>
        <w:gridCol w:w="773"/>
        <w:gridCol w:w="773"/>
        <w:gridCol w:w="773"/>
        <w:gridCol w:w="774"/>
      </w:tblGrid>
      <w:tr w:rsidR="00C42548" w:rsidRPr="003B4324" w14:paraId="72EA3D5A" w14:textId="77777777" w:rsidTr="0057310C">
        <w:trPr>
          <w:trHeight w:val="300"/>
        </w:trPr>
        <w:tc>
          <w:tcPr>
            <w:tcW w:w="1271" w:type="dxa"/>
            <w:shd w:val="clear" w:color="auto" w:fill="404040"/>
            <w:noWrap/>
            <w:vAlign w:val="center"/>
            <w:hideMark/>
          </w:tcPr>
          <w:p w14:paraId="18F69E34" w14:textId="5815529D" w:rsidR="00C42548" w:rsidRPr="004254D2" w:rsidRDefault="00C42548" w:rsidP="0057310C">
            <w:pPr>
              <w:spacing w:after="0" w:line="240" w:lineRule="auto"/>
              <w:jc w:val="center"/>
              <w:rPr>
                <w:rFonts w:ascii="Calibri Light" w:hAnsi="Calibri Light" w:cs="Calibri Light"/>
                <w:color w:val="000000" w:themeColor="text1"/>
              </w:rPr>
            </w:pPr>
            <w:r w:rsidRPr="00C42548">
              <w:rPr>
                <w:rFonts w:ascii="Calibri Light" w:hAnsi="Calibri Light" w:cs="Calibri Light"/>
                <w:color w:val="FFFFFF" w:themeColor="background1"/>
              </w:rPr>
              <w:t xml:space="preserve">ФПЕ </w:t>
            </w:r>
            <w:r>
              <w:rPr>
                <w:rFonts w:ascii="Calibri Light" w:hAnsi="Calibri Light" w:cs="Calibri Light"/>
                <w:color w:val="FFFFFF" w:themeColor="background1"/>
              </w:rPr>
              <w:t xml:space="preserve">услуге </w:t>
            </w:r>
            <w:r w:rsidRPr="001E4E92">
              <w:rPr>
                <w:rFonts w:ascii="Calibri Light" w:hAnsi="Calibri Light" w:cs="Calibri Light"/>
                <w:color w:val="FFFFFF" w:themeColor="background1"/>
              </w:rPr>
              <w:t>[ktoe]</w:t>
            </w:r>
          </w:p>
        </w:tc>
        <w:tc>
          <w:tcPr>
            <w:tcW w:w="773" w:type="dxa"/>
            <w:shd w:val="clear" w:color="auto" w:fill="1F497D"/>
            <w:noWrap/>
            <w:vAlign w:val="center"/>
            <w:hideMark/>
          </w:tcPr>
          <w:p w14:paraId="481FF72C"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2020</w:t>
            </w:r>
          </w:p>
        </w:tc>
        <w:tc>
          <w:tcPr>
            <w:tcW w:w="773" w:type="dxa"/>
            <w:shd w:val="clear" w:color="auto" w:fill="1F497D"/>
            <w:noWrap/>
            <w:vAlign w:val="center"/>
            <w:hideMark/>
          </w:tcPr>
          <w:p w14:paraId="0D5A3B5D"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2025</w:t>
            </w:r>
          </w:p>
        </w:tc>
        <w:tc>
          <w:tcPr>
            <w:tcW w:w="773" w:type="dxa"/>
            <w:shd w:val="clear" w:color="auto" w:fill="1F497D"/>
            <w:noWrap/>
            <w:vAlign w:val="center"/>
            <w:hideMark/>
          </w:tcPr>
          <w:p w14:paraId="59A4133C"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2026</w:t>
            </w:r>
          </w:p>
        </w:tc>
        <w:tc>
          <w:tcPr>
            <w:tcW w:w="773" w:type="dxa"/>
            <w:shd w:val="clear" w:color="auto" w:fill="1F497D"/>
            <w:noWrap/>
            <w:vAlign w:val="center"/>
            <w:hideMark/>
          </w:tcPr>
          <w:p w14:paraId="0682C456"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2027</w:t>
            </w:r>
          </w:p>
        </w:tc>
        <w:tc>
          <w:tcPr>
            <w:tcW w:w="773" w:type="dxa"/>
            <w:shd w:val="clear" w:color="auto" w:fill="1F497D"/>
            <w:noWrap/>
            <w:vAlign w:val="center"/>
            <w:hideMark/>
          </w:tcPr>
          <w:p w14:paraId="61B2BB0E"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2028</w:t>
            </w:r>
          </w:p>
        </w:tc>
        <w:tc>
          <w:tcPr>
            <w:tcW w:w="774" w:type="dxa"/>
            <w:shd w:val="clear" w:color="auto" w:fill="1F497D"/>
            <w:noWrap/>
            <w:vAlign w:val="center"/>
            <w:hideMark/>
          </w:tcPr>
          <w:p w14:paraId="20BF018C"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2029</w:t>
            </w:r>
          </w:p>
        </w:tc>
        <w:tc>
          <w:tcPr>
            <w:tcW w:w="773" w:type="dxa"/>
            <w:shd w:val="clear" w:color="auto" w:fill="1F497D"/>
            <w:noWrap/>
            <w:vAlign w:val="center"/>
            <w:hideMark/>
          </w:tcPr>
          <w:p w14:paraId="5AAB1C31"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2030</w:t>
            </w:r>
          </w:p>
        </w:tc>
        <w:tc>
          <w:tcPr>
            <w:tcW w:w="773" w:type="dxa"/>
            <w:shd w:val="clear" w:color="auto" w:fill="1F497D"/>
            <w:noWrap/>
            <w:vAlign w:val="center"/>
            <w:hideMark/>
          </w:tcPr>
          <w:p w14:paraId="716576D0"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2035</w:t>
            </w:r>
          </w:p>
        </w:tc>
        <w:tc>
          <w:tcPr>
            <w:tcW w:w="773" w:type="dxa"/>
            <w:shd w:val="clear" w:color="auto" w:fill="1F497D"/>
            <w:noWrap/>
            <w:vAlign w:val="center"/>
            <w:hideMark/>
          </w:tcPr>
          <w:p w14:paraId="5C8C02CC"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2040</w:t>
            </w:r>
          </w:p>
        </w:tc>
        <w:tc>
          <w:tcPr>
            <w:tcW w:w="773" w:type="dxa"/>
            <w:shd w:val="clear" w:color="auto" w:fill="1F497D"/>
            <w:noWrap/>
            <w:vAlign w:val="center"/>
            <w:hideMark/>
          </w:tcPr>
          <w:p w14:paraId="0254220E"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2045</w:t>
            </w:r>
          </w:p>
        </w:tc>
        <w:tc>
          <w:tcPr>
            <w:tcW w:w="774" w:type="dxa"/>
            <w:shd w:val="clear" w:color="auto" w:fill="1F497D"/>
            <w:noWrap/>
            <w:vAlign w:val="center"/>
            <w:hideMark/>
          </w:tcPr>
          <w:p w14:paraId="70AB33AC"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2050</w:t>
            </w:r>
          </w:p>
        </w:tc>
      </w:tr>
      <w:tr w:rsidR="00C42548" w:rsidRPr="003B4324" w14:paraId="46BF0CC9" w14:textId="77777777" w:rsidTr="000A2AFE">
        <w:trPr>
          <w:trHeight w:val="300"/>
        </w:trPr>
        <w:tc>
          <w:tcPr>
            <w:tcW w:w="1271" w:type="dxa"/>
            <w:shd w:val="clear" w:color="auto" w:fill="E7E6E6"/>
            <w:noWrap/>
            <w:vAlign w:val="bottom"/>
            <w:hideMark/>
          </w:tcPr>
          <w:p w14:paraId="1F409DCF" w14:textId="77777777" w:rsidR="00C42548" w:rsidRPr="004254D2" w:rsidRDefault="00C42548" w:rsidP="0057310C">
            <w:pPr>
              <w:spacing w:after="0" w:line="240" w:lineRule="auto"/>
              <w:jc w:val="left"/>
              <w:rPr>
                <w:rFonts w:ascii="Calibri Light" w:hAnsi="Calibri Light" w:cs="Calibri Light"/>
                <w:color w:val="000000" w:themeColor="text1"/>
              </w:rPr>
            </w:pPr>
            <w:r w:rsidRPr="002574F2">
              <w:rPr>
                <w:rFonts w:ascii="Calibri Light" w:hAnsi="Calibri Light" w:cs="Calibri Light"/>
                <w:color w:val="000000" w:themeColor="text1"/>
              </w:rPr>
              <w:t>WEM</w:t>
            </w:r>
          </w:p>
        </w:tc>
        <w:tc>
          <w:tcPr>
            <w:tcW w:w="773" w:type="dxa"/>
            <w:noWrap/>
            <w:vAlign w:val="center"/>
            <w:hideMark/>
          </w:tcPr>
          <w:p w14:paraId="0CF2C846" w14:textId="77777777" w:rsidR="00C42548" w:rsidRPr="004254D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761</w:t>
            </w:r>
          </w:p>
        </w:tc>
        <w:tc>
          <w:tcPr>
            <w:tcW w:w="773" w:type="dxa"/>
            <w:noWrap/>
            <w:vAlign w:val="center"/>
            <w:hideMark/>
          </w:tcPr>
          <w:p w14:paraId="58F9D023"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974</w:t>
            </w:r>
          </w:p>
        </w:tc>
        <w:tc>
          <w:tcPr>
            <w:tcW w:w="773" w:type="dxa"/>
            <w:noWrap/>
            <w:vAlign w:val="center"/>
            <w:hideMark/>
          </w:tcPr>
          <w:p w14:paraId="02B2BD17"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998</w:t>
            </w:r>
          </w:p>
        </w:tc>
        <w:tc>
          <w:tcPr>
            <w:tcW w:w="773" w:type="dxa"/>
            <w:noWrap/>
            <w:vAlign w:val="center"/>
            <w:hideMark/>
          </w:tcPr>
          <w:p w14:paraId="1E0CBDD3"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1022</w:t>
            </w:r>
          </w:p>
        </w:tc>
        <w:tc>
          <w:tcPr>
            <w:tcW w:w="773" w:type="dxa"/>
            <w:noWrap/>
            <w:vAlign w:val="center"/>
            <w:hideMark/>
          </w:tcPr>
          <w:p w14:paraId="69DB1068"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1047</w:t>
            </w:r>
          </w:p>
        </w:tc>
        <w:tc>
          <w:tcPr>
            <w:tcW w:w="774" w:type="dxa"/>
            <w:noWrap/>
            <w:vAlign w:val="center"/>
            <w:hideMark/>
          </w:tcPr>
          <w:p w14:paraId="141164F0"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1072</w:t>
            </w:r>
          </w:p>
        </w:tc>
        <w:tc>
          <w:tcPr>
            <w:tcW w:w="773" w:type="dxa"/>
            <w:noWrap/>
            <w:vAlign w:val="center"/>
            <w:hideMark/>
          </w:tcPr>
          <w:p w14:paraId="7A5A0807"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1097</w:t>
            </w:r>
          </w:p>
        </w:tc>
        <w:tc>
          <w:tcPr>
            <w:tcW w:w="773" w:type="dxa"/>
            <w:noWrap/>
            <w:vAlign w:val="center"/>
            <w:hideMark/>
          </w:tcPr>
          <w:p w14:paraId="6AF2E143"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1219</w:t>
            </w:r>
          </w:p>
        </w:tc>
        <w:tc>
          <w:tcPr>
            <w:tcW w:w="773" w:type="dxa"/>
            <w:noWrap/>
            <w:vAlign w:val="center"/>
            <w:hideMark/>
          </w:tcPr>
          <w:p w14:paraId="02B8B6C3"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1342</w:t>
            </w:r>
          </w:p>
        </w:tc>
        <w:tc>
          <w:tcPr>
            <w:tcW w:w="773" w:type="dxa"/>
            <w:noWrap/>
            <w:vAlign w:val="center"/>
            <w:hideMark/>
          </w:tcPr>
          <w:p w14:paraId="03480E37"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1459</w:t>
            </w:r>
          </w:p>
        </w:tc>
        <w:tc>
          <w:tcPr>
            <w:tcW w:w="774" w:type="dxa"/>
            <w:noWrap/>
            <w:vAlign w:val="center"/>
            <w:hideMark/>
          </w:tcPr>
          <w:p w14:paraId="7E56105F"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1579</w:t>
            </w:r>
          </w:p>
        </w:tc>
      </w:tr>
      <w:tr w:rsidR="00C42548" w:rsidRPr="003B4324" w14:paraId="3EB70753" w14:textId="77777777" w:rsidTr="000A2AFE">
        <w:trPr>
          <w:trHeight w:val="300"/>
        </w:trPr>
        <w:tc>
          <w:tcPr>
            <w:tcW w:w="1271" w:type="dxa"/>
            <w:shd w:val="clear" w:color="auto" w:fill="E7E6E6"/>
            <w:noWrap/>
            <w:vAlign w:val="center"/>
            <w:hideMark/>
          </w:tcPr>
          <w:p w14:paraId="2A5A4C2B" w14:textId="0FF35F0B" w:rsidR="00C42548" w:rsidRPr="004254D2" w:rsidRDefault="00C42548" w:rsidP="00C42548">
            <w:pPr>
              <w:spacing w:after="0" w:line="240" w:lineRule="auto"/>
              <w:jc w:val="left"/>
              <w:rPr>
                <w:rFonts w:ascii="Calibri Light" w:hAnsi="Calibri Light" w:cs="Calibri Light"/>
                <w:color w:val="000000" w:themeColor="text1"/>
              </w:rPr>
            </w:pPr>
            <w:r w:rsidRPr="003208FA">
              <w:rPr>
                <w:rFonts w:ascii="Calibri Light" w:hAnsi="Calibri Light" w:cs="Calibri Light"/>
                <w:color w:val="000000" w:themeColor="text1"/>
              </w:rPr>
              <w:t>Сценарио-S</w:t>
            </w:r>
          </w:p>
        </w:tc>
        <w:tc>
          <w:tcPr>
            <w:tcW w:w="773" w:type="dxa"/>
            <w:noWrap/>
            <w:vAlign w:val="center"/>
            <w:hideMark/>
          </w:tcPr>
          <w:p w14:paraId="6528DC98" w14:textId="77777777" w:rsidR="00C42548" w:rsidRPr="004254D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842</w:t>
            </w:r>
          </w:p>
        </w:tc>
        <w:tc>
          <w:tcPr>
            <w:tcW w:w="773" w:type="dxa"/>
            <w:noWrap/>
            <w:vAlign w:val="center"/>
            <w:hideMark/>
          </w:tcPr>
          <w:p w14:paraId="6BA39E4A"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864</w:t>
            </w:r>
          </w:p>
        </w:tc>
        <w:tc>
          <w:tcPr>
            <w:tcW w:w="773" w:type="dxa"/>
            <w:noWrap/>
            <w:vAlign w:val="center"/>
            <w:hideMark/>
          </w:tcPr>
          <w:p w14:paraId="7EFC6C5F"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870</w:t>
            </w:r>
          </w:p>
        </w:tc>
        <w:tc>
          <w:tcPr>
            <w:tcW w:w="773" w:type="dxa"/>
            <w:noWrap/>
            <w:vAlign w:val="center"/>
            <w:hideMark/>
          </w:tcPr>
          <w:p w14:paraId="34D68381"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881</w:t>
            </w:r>
          </w:p>
        </w:tc>
        <w:tc>
          <w:tcPr>
            <w:tcW w:w="773" w:type="dxa"/>
            <w:noWrap/>
            <w:vAlign w:val="center"/>
            <w:hideMark/>
          </w:tcPr>
          <w:p w14:paraId="247FC39B"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891</w:t>
            </w:r>
          </w:p>
        </w:tc>
        <w:tc>
          <w:tcPr>
            <w:tcW w:w="774" w:type="dxa"/>
            <w:noWrap/>
            <w:vAlign w:val="center"/>
            <w:hideMark/>
          </w:tcPr>
          <w:p w14:paraId="547FDFAF"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901</w:t>
            </w:r>
          </w:p>
        </w:tc>
        <w:tc>
          <w:tcPr>
            <w:tcW w:w="773" w:type="dxa"/>
            <w:noWrap/>
            <w:vAlign w:val="center"/>
            <w:hideMark/>
          </w:tcPr>
          <w:p w14:paraId="48B51643"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910</w:t>
            </w:r>
          </w:p>
        </w:tc>
        <w:tc>
          <w:tcPr>
            <w:tcW w:w="773" w:type="dxa"/>
            <w:noWrap/>
            <w:vAlign w:val="center"/>
            <w:hideMark/>
          </w:tcPr>
          <w:p w14:paraId="6623F270"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922</w:t>
            </w:r>
          </w:p>
        </w:tc>
        <w:tc>
          <w:tcPr>
            <w:tcW w:w="773" w:type="dxa"/>
            <w:noWrap/>
            <w:vAlign w:val="center"/>
            <w:hideMark/>
          </w:tcPr>
          <w:p w14:paraId="0C189453"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946</w:t>
            </w:r>
          </w:p>
        </w:tc>
        <w:tc>
          <w:tcPr>
            <w:tcW w:w="773" w:type="dxa"/>
            <w:noWrap/>
            <w:vAlign w:val="center"/>
            <w:hideMark/>
          </w:tcPr>
          <w:p w14:paraId="25FEDB44"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1041</w:t>
            </w:r>
          </w:p>
        </w:tc>
        <w:tc>
          <w:tcPr>
            <w:tcW w:w="774" w:type="dxa"/>
            <w:noWrap/>
            <w:vAlign w:val="center"/>
            <w:hideMark/>
          </w:tcPr>
          <w:p w14:paraId="3D2E9280"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1198</w:t>
            </w:r>
          </w:p>
        </w:tc>
      </w:tr>
      <w:tr w:rsidR="00C42548" w:rsidRPr="003B4324" w14:paraId="3849DC1C" w14:textId="77777777" w:rsidTr="000A2AFE">
        <w:trPr>
          <w:trHeight w:val="300"/>
        </w:trPr>
        <w:tc>
          <w:tcPr>
            <w:tcW w:w="1271" w:type="dxa"/>
            <w:shd w:val="clear" w:color="auto" w:fill="E7E6E6"/>
            <w:noWrap/>
            <w:vAlign w:val="center"/>
            <w:hideMark/>
          </w:tcPr>
          <w:p w14:paraId="0EA0D84B" w14:textId="276D37FC" w:rsidR="00C42548" w:rsidRPr="004254D2" w:rsidRDefault="00C42548" w:rsidP="00C42548">
            <w:pPr>
              <w:spacing w:after="0" w:line="240" w:lineRule="auto"/>
              <w:jc w:val="left"/>
              <w:rPr>
                <w:rFonts w:ascii="Calibri Light" w:hAnsi="Calibri Light" w:cs="Calibri Light"/>
                <w:color w:val="000000" w:themeColor="text1"/>
              </w:rPr>
            </w:pPr>
            <w:r w:rsidRPr="003208FA">
              <w:rPr>
                <w:rFonts w:ascii="Calibri Light" w:hAnsi="Calibri Light" w:cs="Calibri Light"/>
                <w:color w:val="000000" w:themeColor="text1"/>
              </w:rPr>
              <w:t>Сценарио-S-N</w:t>
            </w:r>
          </w:p>
        </w:tc>
        <w:tc>
          <w:tcPr>
            <w:tcW w:w="773" w:type="dxa"/>
            <w:noWrap/>
            <w:vAlign w:val="center"/>
            <w:hideMark/>
          </w:tcPr>
          <w:p w14:paraId="4B966041" w14:textId="77777777" w:rsidR="00C42548" w:rsidRPr="004254D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842</w:t>
            </w:r>
          </w:p>
        </w:tc>
        <w:tc>
          <w:tcPr>
            <w:tcW w:w="773" w:type="dxa"/>
            <w:noWrap/>
            <w:vAlign w:val="center"/>
            <w:hideMark/>
          </w:tcPr>
          <w:p w14:paraId="62F7817E"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864</w:t>
            </w:r>
          </w:p>
        </w:tc>
        <w:tc>
          <w:tcPr>
            <w:tcW w:w="773" w:type="dxa"/>
            <w:noWrap/>
            <w:vAlign w:val="center"/>
            <w:hideMark/>
          </w:tcPr>
          <w:p w14:paraId="4C2F9D7B"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870</w:t>
            </w:r>
          </w:p>
        </w:tc>
        <w:tc>
          <w:tcPr>
            <w:tcW w:w="773" w:type="dxa"/>
            <w:noWrap/>
            <w:vAlign w:val="center"/>
            <w:hideMark/>
          </w:tcPr>
          <w:p w14:paraId="59B9684D"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881</w:t>
            </w:r>
          </w:p>
        </w:tc>
        <w:tc>
          <w:tcPr>
            <w:tcW w:w="773" w:type="dxa"/>
            <w:noWrap/>
            <w:vAlign w:val="center"/>
            <w:hideMark/>
          </w:tcPr>
          <w:p w14:paraId="38E32C0A"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891</w:t>
            </w:r>
          </w:p>
        </w:tc>
        <w:tc>
          <w:tcPr>
            <w:tcW w:w="774" w:type="dxa"/>
            <w:noWrap/>
            <w:vAlign w:val="center"/>
            <w:hideMark/>
          </w:tcPr>
          <w:p w14:paraId="7E1D3BD8"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901</w:t>
            </w:r>
          </w:p>
        </w:tc>
        <w:tc>
          <w:tcPr>
            <w:tcW w:w="773" w:type="dxa"/>
            <w:noWrap/>
            <w:vAlign w:val="center"/>
            <w:hideMark/>
          </w:tcPr>
          <w:p w14:paraId="428DC0DC"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910</w:t>
            </w:r>
          </w:p>
        </w:tc>
        <w:tc>
          <w:tcPr>
            <w:tcW w:w="773" w:type="dxa"/>
            <w:noWrap/>
            <w:vAlign w:val="center"/>
            <w:hideMark/>
          </w:tcPr>
          <w:p w14:paraId="532C8745"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922</w:t>
            </w:r>
          </w:p>
        </w:tc>
        <w:tc>
          <w:tcPr>
            <w:tcW w:w="773" w:type="dxa"/>
            <w:noWrap/>
            <w:vAlign w:val="center"/>
            <w:hideMark/>
          </w:tcPr>
          <w:p w14:paraId="6E4E499D"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947</w:t>
            </w:r>
          </w:p>
        </w:tc>
        <w:tc>
          <w:tcPr>
            <w:tcW w:w="773" w:type="dxa"/>
            <w:noWrap/>
            <w:vAlign w:val="center"/>
            <w:hideMark/>
          </w:tcPr>
          <w:p w14:paraId="4C6B0D49"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1041</w:t>
            </w:r>
          </w:p>
        </w:tc>
        <w:tc>
          <w:tcPr>
            <w:tcW w:w="774" w:type="dxa"/>
            <w:noWrap/>
            <w:vAlign w:val="center"/>
            <w:hideMark/>
          </w:tcPr>
          <w:p w14:paraId="41E99019"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1197</w:t>
            </w:r>
          </w:p>
        </w:tc>
      </w:tr>
    </w:tbl>
    <w:p w14:paraId="0CDF586C" w14:textId="78D18415" w:rsidR="00873C40" w:rsidRDefault="00873C40" w:rsidP="00565B02">
      <w:pPr>
        <w:pStyle w:val="Caption"/>
        <w:keepNext/>
        <w:spacing w:before="200"/>
      </w:pPr>
      <w:bookmarkStart w:id="551" w:name="_Toc153901522"/>
      <w:r>
        <w:t xml:space="preserve">Табела </w:t>
      </w:r>
      <w:r>
        <w:fldChar w:fldCharType="begin"/>
      </w:r>
      <w:r>
        <w:instrText xml:space="preserve"> STYLEREF 1 \s </w:instrText>
      </w:r>
      <w:r>
        <w:fldChar w:fldCharType="separate"/>
      </w:r>
      <w:r>
        <w:rPr>
          <w:noProof/>
        </w:rPr>
        <w:t>V</w:t>
      </w:r>
      <w:r>
        <w:fldChar w:fldCharType="end"/>
      </w:r>
      <w:r>
        <w:t>.</w:t>
      </w:r>
      <w:r>
        <w:fldChar w:fldCharType="begin"/>
      </w:r>
      <w:r>
        <w:instrText xml:space="preserve"> SEQ Табела \* ARABIC \s 1 </w:instrText>
      </w:r>
      <w:r>
        <w:fldChar w:fldCharType="separate"/>
      </w:r>
      <w:r>
        <w:rPr>
          <w:noProof/>
        </w:rPr>
        <w:t>27</w:t>
      </w:r>
      <w:r>
        <w:fldChar w:fldCharType="end"/>
      </w:r>
      <w:r w:rsidR="00390387" w:rsidRPr="00390387">
        <w:t>: Финална потрошња енергије по сектору – Стамбени сектор [ktoe]</w:t>
      </w:r>
      <w:bookmarkEnd w:id="551"/>
    </w:p>
    <w:tbl>
      <w:tblPr>
        <w:tblStyle w:val="TableGrid"/>
        <w:tblW w:w="9776" w:type="dxa"/>
        <w:tblLayout w:type="fixed"/>
        <w:tblLook w:val="04A0" w:firstRow="1" w:lastRow="0" w:firstColumn="1" w:lastColumn="0" w:noHBand="0" w:noVBand="1"/>
      </w:tblPr>
      <w:tblGrid>
        <w:gridCol w:w="1271"/>
        <w:gridCol w:w="773"/>
        <w:gridCol w:w="773"/>
        <w:gridCol w:w="773"/>
        <w:gridCol w:w="773"/>
        <w:gridCol w:w="773"/>
        <w:gridCol w:w="774"/>
        <w:gridCol w:w="773"/>
        <w:gridCol w:w="773"/>
        <w:gridCol w:w="773"/>
        <w:gridCol w:w="773"/>
        <w:gridCol w:w="774"/>
      </w:tblGrid>
      <w:tr w:rsidR="00C42548" w:rsidRPr="003B4324" w14:paraId="0E1E40E7" w14:textId="77777777" w:rsidTr="0057310C">
        <w:trPr>
          <w:trHeight w:val="300"/>
        </w:trPr>
        <w:tc>
          <w:tcPr>
            <w:tcW w:w="1271" w:type="dxa"/>
            <w:shd w:val="clear" w:color="auto" w:fill="404040"/>
            <w:noWrap/>
            <w:vAlign w:val="center"/>
            <w:hideMark/>
          </w:tcPr>
          <w:p w14:paraId="6D751A01" w14:textId="66EEEE79" w:rsidR="00C42548" w:rsidRPr="004254D2" w:rsidRDefault="00C42548" w:rsidP="0057310C">
            <w:pPr>
              <w:spacing w:after="0" w:line="240" w:lineRule="auto"/>
              <w:jc w:val="center"/>
              <w:rPr>
                <w:rFonts w:ascii="Calibri Light" w:hAnsi="Calibri Light" w:cs="Calibri Light"/>
                <w:color w:val="000000" w:themeColor="text1"/>
              </w:rPr>
            </w:pPr>
            <w:r w:rsidRPr="00C42548">
              <w:rPr>
                <w:rFonts w:ascii="Calibri Light" w:hAnsi="Calibri Light" w:cs="Calibri Light"/>
                <w:color w:val="FFFFFF" w:themeColor="background1"/>
              </w:rPr>
              <w:t>ФПЕ Стамбени сектор</w:t>
            </w:r>
            <w:r w:rsidRPr="001E4E92">
              <w:rPr>
                <w:rFonts w:ascii="Calibri Light" w:hAnsi="Calibri Light" w:cs="Calibri Light"/>
                <w:color w:val="FFFFFF" w:themeColor="background1"/>
              </w:rPr>
              <w:t xml:space="preserve"> [ktoe]</w:t>
            </w:r>
          </w:p>
        </w:tc>
        <w:tc>
          <w:tcPr>
            <w:tcW w:w="773" w:type="dxa"/>
            <w:shd w:val="clear" w:color="auto" w:fill="1F497D"/>
            <w:noWrap/>
            <w:vAlign w:val="center"/>
            <w:hideMark/>
          </w:tcPr>
          <w:p w14:paraId="407383E3"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2020</w:t>
            </w:r>
          </w:p>
        </w:tc>
        <w:tc>
          <w:tcPr>
            <w:tcW w:w="773" w:type="dxa"/>
            <w:shd w:val="clear" w:color="auto" w:fill="1F497D"/>
            <w:noWrap/>
            <w:vAlign w:val="center"/>
            <w:hideMark/>
          </w:tcPr>
          <w:p w14:paraId="2A97681E"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2025</w:t>
            </w:r>
          </w:p>
        </w:tc>
        <w:tc>
          <w:tcPr>
            <w:tcW w:w="773" w:type="dxa"/>
            <w:shd w:val="clear" w:color="auto" w:fill="1F497D"/>
            <w:noWrap/>
            <w:vAlign w:val="center"/>
            <w:hideMark/>
          </w:tcPr>
          <w:p w14:paraId="0D8219C6"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2026</w:t>
            </w:r>
          </w:p>
        </w:tc>
        <w:tc>
          <w:tcPr>
            <w:tcW w:w="773" w:type="dxa"/>
            <w:shd w:val="clear" w:color="auto" w:fill="1F497D"/>
            <w:noWrap/>
            <w:vAlign w:val="center"/>
            <w:hideMark/>
          </w:tcPr>
          <w:p w14:paraId="5323705C"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2027</w:t>
            </w:r>
          </w:p>
        </w:tc>
        <w:tc>
          <w:tcPr>
            <w:tcW w:w="773" w:type="dxa"/>
            <w:shd w:val="clear" w:color="auto" w:fill="1F497D"/>
            <w:noWrap/>
            <w:vAlign w:val="center"/>
            <w:hideMark/>
          </w:tcPr>
          <w:p w14:paraId="119A5271"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2028</w:t>
            </w:r>
          </w:p>
        </w:tc>
        <w:tc>
          <w:tcPr>
            <w:tcW w:w="774" w:type="dxa"/>
            <w:shd w:val="clear" w:color="auto" w:fill="1F497D"/>
            <w:noWrap/>
            <w:vAlign w:val="center"/>
            <w:hideMark/>
          </w:tcPr>
          <w:p w14:paraId="6859646F"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2029</w:t>
            </w:r>
          </w:p>
        </w:tc>
        <w:tc>
          <w:tcPr>
            <w:tcW w:w="773" w:type="dxa"/>
            <w:shd w:val="clear" w:color="auto" w:fill="1F497D"/>
            <w:noWrap/>
            <w:vAlign w:val="center"/>
            <w:hideMark/>
          </w:tcPr>
          <w:p w14:paraId="486ED6AF"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2030</w:t>
            </w:r>
          </w:p>
        </w:tc>
        <w:tc>
          <w:tcPr>
            <w:tcW w:w="773" w:type="dxa"/>
            <w:shd w:val="clear" w:color="auto" w:fill="1F497D"/>
            <w:noWrap/>
            <w:vAlign w:val="center"/>
            <w:hideMark/>
          </w:tcPr>
          <w:p w14:paraId="5F2EC1AD"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2035</w:t>
            </w:r>
          </w:p>
        </w:tc>
        <w:tc>
          <w:tcPr>
            <w:tcW w:w="773" w:type="dxa"/>
            <w:shd w:val="clear" w:color="auto" w:fill="1F497D"/>
            <w:noWrap/>
            <w:vAlign w:val="center"/>
            <w:hideMark/>
          </w:tcPr>
          <w:p w14:paraId="1FC8FC57"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2040</w:t>
            </w:r>
          </w:p>
        </w:tc>
        <w:tc>
          <w:tcPr>
            <w:tcW w:w="773" w:type="dxa"/>
            <w:shd w:val="clear" w:color="auto" w:fill="1F497D"/>
            <w:noWrap/>
            <w:vAlign w:val="center"/>
            <w:hideMark/>
          </w:tcPr>
          <w:p w14:paraId="7C855E0F"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2045</w:t>
            </w:r>
          </w:p>
        </w:tc>
        <w:tc>
          <w:tcPr>
            <w:tcW w:w="774" w:type="dxa"/>
            <w:shd w:val="clear" w:color="auto" w:fill="1F497D"/>
            <w:noWrap/>
            <w:vAlign w:val="center"/>
            <w:hideMark/>
          </w:tcPr>
          <w:p w14:paraId="23765817"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2050</w:t>
            </w:r>
          </w:p>
        </w:tc>
      </w:tr>
      <w:tr w:rsidR="00C42548" w:rsidRPr="003B4324" w14:paraId="2E2A1CD9" w14:textId="77777777" w:rsidTr="000A2AFE">
        <w:trPr>
          <w:trHeight w:val="300"/>
        </w:trPr>
        <w:tc>
          <w:tcPr>
            <w:tcW w:w="1271" w:type="dxa"/>
            <w:shd w:val="clear" w:color="auto" w:fill="E7E6E6"/>
            <w:noWrap/>
            <w:vAlign w:val="bottom"/>
            <w:hideMark/>
          </w:tcPr>
          <w:p w14:paraId="39AC8987" w14:textId="77777777" w:rsidR="00C42548" w:rsidRPr="004254D2" w:rsidRDefault="00C42548" w:rsidP="0057310C">
            <w:pPr>
              <w:spacing w:after="0" w:line="240" w:lineRule="auto"/>
              <w:jc w:val="left"/>
              <w:rPr>
                <w:rFonts w:ascii="Calibri Light" w:hAnsi="Calibri Light" w:cs="Calibri Light"/>
                <w:color w:val="000000" w:themeColor="text1"/>
              </w:rPr>
            </w:pPr>
            <w:r w:rsidRPr="002574F2">
              <w:rPr>
                <w:rFonts w:ascii="Calibri Light" w:hAnsi="Calibri Light" w:cs="Calibri Light"/>
                <w:color w:val="000000" w:themeColor="text1"/>
              </w:rPr>
              <w:t>WEM</w:t>
            </w:r>
          </w:p>
        </w:tc>
        <w:tc>
          <w:tcPr>
            <w:tcW w:w="773" w:type="dxa"/>
            <w:noWrap/>
            <w:vAlign w:val="center"/>
            <w:hideMark/>
          </w:tcPr>
          <w:p w14:paraId="2B24CEF2" w14:textId="77777777" w:rsidR="00C42548" w:rsidRPr="004254D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3284</w:t>
            </w:r>
          </w:p>
        </w:tc>
        <w:tc>
          <w:tcPr>
            <w:tcW w:w="773" w:type="dxa"/>
            <w:noWrap/>
            <w:vAlign w:val="center"/>
            <w:hideMark/>
          </w:tcPr>
          <w:p w14:paraId="3E23D7A8"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3685</w:t>
            </w:r>
          </w:p>
        </w:tc>
        <w:tc>
          <w:tcPr>
            <w:tcW w:w="773" w:type="dxa"/>
            <w:noWrap/>
            <w:vAlign w:val="center"/>
            <w:hideMark/>
          </w:tcPr>
          <w:p w14:paraId="00151549"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3700</w:t>
            </w:r>
          </w:p>
        </w:tc>
        <w:tc>
          <w:tcPr>
            <w:tcW w:w="773" w:type="dxa"/>
            <w:noWrap/>
            <w:vAlign w:val="center"/>
            <w:hideMark/>
          </w:tcPr>
          <w:p w14:paraId="43DE4F69"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3728</w:t>
            </w:r>
          </w:p>
        </w:tc>
        <w:tc>
          <w:tcPr>
            <w:tcW w:w="773" w:type="dxa"/>
            <w:noWrap/>
            <w:vAlign w:val="center"/>
            <w:hideMark/>
          </w:tcPr>
          <w:p w14:paraId="42994A55"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3756</w:t>
            </w:r>
          </w:p>
        </w:tc>
        <w:tc>
          <w:tcPr>
            <w:tcW w:w="774" w:type="dxa"/>
            <w:noWrap/>
            <w:vAlign w:val="center"/>
            <w:hideMark/>
          </w:tcPr>
          <w:p w14:paraId="0DC58888"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3777</w:t>
            </w:r>
          </w:p>
        </w:tc>
        <w:tc>
          <w:tcPr>
            <w:tcW w:w="773" w:type="dxa"/>
            <w:noWrap/>
            <w:vAlign w:val="center"/>
            <w:hideMark/>
          </w:tcPr>
          <w:p w14:paraId="6E13813A"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3798</w:t>
            </w:r>
          </w:p>
        </w:tc>
        <w:tc>
          <w:tcPr>
            <w:tcW w:w="773" w:type="dxa"/>
            <w:noWrap/>
            <w:vAlign w:val="center"/>
            <w:hideMark/>
          </w:tcPr>
          <w:p w14:paraId="7D517445"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3771</w:t>
            </w:r>
          </w:p>
        </w:tc>
        <w:tc>
          <w:tcPr>
            <w:tcW w:w="773" w:type="dxa"/>
            <w:noWrap/>
            <w:vAlign w:val="center"/>
            <w:hideMark/>
          </w:tcPr>
          <w:p w14:paraId="38E671FA"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3711</w:t>
            </w:r>
          </w:p>
        </w:tc>
        <w:tc>
          <w:tcPr>
            <w:tcW w:w="773" w:type="dxa"/>
            <w:noWrap/>
            <w:vAlign w:val="center"/>
            <w:hideMark/>
          </w:tcPr>
          <w:p w14:paraId="7BAF67D9"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3686</w:t>
            </w:r>
          </w:p>
        </w:tc>
        <w:tc>
          <w:tcPr>
            <w:tcW w:w="774" w:type="dxa"/>
            <w:noWrap/>
            <w:vAlign w:val="center"/>
            <w:hideMark/>
          </w:tcPr>
          <w:p w14:paraId="132FDC7B"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3687</w:t>
            </w:r>
          </w:p>
        </w:tc>
      </w:tr>
      <w:tr w:rsidR="00C42548" w:rsidRPr="003B4324" w14:paraId="2B6E7B94" w14:textId="77777777" w:rsidTr="000A2AFE">
        <w:trPr>
          <w:trHeight w:val="300"/>
        </w:trPr>
        <w:tc>
          <w:tcPr>
            <w:tcW w:w="1271" w:type="dxa"/>
            <w:shd w:val="clear" w:color="auto" w:fill="E7E6E6"/>
            <w:noWrap/>
            <w:vAlign w:val="center"/>
            <w:hideMark/>
          </w:tcPr>
          <w:p w14:paraId="20A17339" w14:textId="7CF100E1" w:rsidR="00C42548" w:rsidRPr="004254D2" w:rsidRDefault="00C42548" w:rsidP="00C42548">
            <w:pPr>
              <w:spacing w:after="0" w:line="240" w:lineRule="auto"/>
              <w:jc w:val="left"/>
              <w:rPr>
                <w:rFonts w:ascii="Calibri Light" w:hAnsi="Calibri Light" w:cs="Calibri Light"/>
                <w:color w:val="000000" w:themeColor="text1"/>
              </w:rPr>
            </w:pPr>
            <w:r w:rsidRPr="003208FA">
              <w:rPr>
                <w:rFonts w:ascii="Calibri Light" w:hAnsi="Calibri Light" w:cs="Calibri Light"/>
                <w:color w:val="000000" w:themeColor="text1"/>
              </w:rPr>
              <w:t>Сценарио-S</w:t>
            </w:r>
          </w:p>
        </w:tc>
        <w:tc>
          <w:tcPr>
            <w:tcW w:w="773" w:type="dxa"/>
            <w:noWrap/>
            <w:vAlign w:val="center"/>
            <w:hideMark/>
          </w:tcPr>
          <w:p w14:paraId="6CCE02A2" w14:textId="77777777" w:rsidR="00C42548" w:rsidRPr="004254D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3497</w:t>
            </w:r>
          </w:p>
        </w:tc>
        <w:tc>
          <w:tcPr>
            <w:tcW w:w="773" w:type="dxa"/>
            <w:noWrap/>
            <w:vAlign w:val="center"/>
            <w:hideMark/>
          </w:tcPr>
          <w:p w14:paraId="3647F225"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3462</w:t>
            </w:r>
          </w:p>
        </w:tc>
        <w:tc>
          <w:tcPr>
            <w:tcW w:w="773" w:type="dxa"/>
            <w:noWrap/>
            <w:vAlign w:val="center"/>
            <w:hideMark/>
          </w:tcPr>
          <w:p w14:paraId="0121417F"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3463</w:t>
            </w:r>
          </w:p>
        </w:tc>
        <w:tc>
          <w:tcPr>
            <w:tcW w:w="773" w:type="dxa"/>
            <w:noWrap/>
            <w:vAlign w:val="center"/>
            <w:hideMark/>
          </w:tcPr>
          <w:p w14:paraId="73DA669F"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3477</w:t>
            </w:r>
          </w:p>
        </w:tc>
        <w:tc>
          <w:tcPr>
            <w:tcW w:w="773" w:type="dxa"/>
            <w:noWrap/>
            <w:vAlign w:val="center"/>
            <w:hideMark/>
          </w:tcPr>
          <w:p w14:paraId="1C9FD887"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3495</w:t>
            </w:r>
          </w:p>
        </w:tc>
        <w:tc>
          <w:tcPr>
            <w:tcW w:w="774" w:type="dxa"/>
            <w:noWrap/>
            <w:vAlign w:val="center"/>
            <w:hideMark/>
          </w:tcPr>
          <w:p w14:paraId="3B426E50"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3513</w:t>
            </w:r>
          </w:p>
        </w:tc>
        <w:tc>
          <w:tcPr>
            <w:tcW w:w="773" w:type="dxa"/>
            <w:noWrap/>
            <w:vAlign w:val="center"/>
            <w:hideMark/>
          </w:tcPr>
          <w:p w14:paraId="7E8EC089"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3523</w:t>
            </w:r>
          </w:p>
        </w:tc>
        <w:tc>
          <w:tcPr>
            <w:tcW w:w="773" w:type="dxa"/>
            <w:noWrap/>
            <w:vAlign w:val="center"/>
            <w:hideMark/>
          </w:tcPr>
          <w:p w14:paraId="457D40EE"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3382</w:t>
            </w:r>
          </w:p>
        </w:tc>
        <w:tc>
          <w:tcPr>
            <w:tcW w:w="773" w:type="dxa"/>
            <w:noWrap/>
            <w:vAlign w:val="center"/>
            <w:hideMark/>
          </w:tcPr>
          <w:p w14:paraId="7130B95C"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3193</w:t>
            </w:r>
          </w:p>
        </w:tc>
        <w:tc>
          <w:tcPr>
            <w:tcW w:w="773" w:type="dxa"/>
            <w:noWrap/>
            <w:vAlign w:val="center"/>
            <w:hideMark/>
          </w:tcPr>
          <w:p w14:paraId="7543E286"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2838</w:t>
            </w:r>
          </w:p>
        </w:tc>
        <w:tc>
          <w:tcPr>
            <w:tcW w:w="774" w:type="dxa"/>
            <w:noWrap/>
            <w:vAlign w:val="center"/>
            <w:hideMark/>
          </w:tcPr>
          <w:p w14:paraId="4856224B"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2528</w:t>
            </w:r>
          </w:p>
        </w:tc>
      </w:tr>
      <w:tr w:rsidR="00C42548" w:rsidRPr="003B4324" w14:paraId="535C96E4" w14:textId="77777777" w:rsidTr="000A2AFE">
        <w:trPr>
          <w:trHeight w:val="300"/>
        </w:trPr>
        <w:tc>
          <w:tcPr>
            <w:tcW w:w="1271" w:type="dxa"/>
            <w:shd w:val="clear" w:color="auto" w:fill="E7E6E6"/>
            <w:noWrap/>
            <w:vAlign w:val="center"/>
            <w:hideMark/>
          </w:tcPr>
          <w:p w14:paraId="4887988F" w14:textId="7230176A" w:rsidR="00C42548" w:rsidRPr="004254D2" w:rsidRDefault="00C42548" w:rsidP="00C42548">
            <w:pPr>
              <w:spacing w:after="0" w:line="240" w:lineRule="auto"/>
              <w:jc w:val="left"/>
              <w:rPr>
                <w:rFonts w:ascii="Calibri Light" w:hAnsi="Calibri Light" w:cs="Calibri Light"/>
                <w:color w:val="000000" w:themeColor="text1"/>
              </w:rPr>
            </w:pPr>
            <w:r w:rsidRPr="003208FA">
              <w:rPr>
                <w:rFonts w:ascii="Calibri Light" w:hAnsi="Calibri Light" w:cs="Calibri Light"/>
                <w:color w:val="000000" w:themeColor="text1"/>
              </w:rPr>
              <w:t>Сценарио-S-N</w:t>
            </w:r>
          </w:p>
        </w:tc>
        <w:tc>
          <w:tcPr>
            <w:tcW w:w="773" w:type="dxa"/>
            <w:noWrap/>
            <w:vAlign w:val="center"/>
            <w:hideMark/>
          </w:tcPr>
          <w:p w14:paraId="14F47DD8" w14:textId="77777777" w:rsidR="00C42548" w:rsidRPr="004254D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3497</w:t>
            </w:r>
          </w:p>
        </w:tc>
        <w:tc>
          <w:tcPr>
            <w:tcW w:w="773" w:type="dxa"/>
            <w:noWrap/>
            <w:vAlign w:val="center"/>
            <w:hideMark/>
          </w:tcPr>
          <w:p w14:paraId="028C7D6C"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3462</w:t>
            </w:r>
          </w:p>
        </w:tc>
        <w:tc>
          <w:tcPr>
            <w:tcW w:w="773" w:type="dxa"/>
            <w:noWrap/>
            <w:vAlign w:val="center"/>
            <w:hideMark/>
          </w:tcPr>
          <w:p w14:paraId="62B44351"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3463</w:t>
            </w:r>
          </w:p>
        </w:tc>
        <w:tc>
          <w:tcPr>
            <w:tcW w:w="773" w:type="dxa"/>
            <w:noWrap/>
            <w:vAlign w:val="center"/>
            <w:hideMark/>
          </w:tcPr>
          <w:p w14:paraId="38876547"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3477</w:t>
            </w:r>
          </w:p>
        </w:tc>
        <w:tc>
          <w:tcPr>
            <w:tcW w:w="773" w:type="dxa"/>
            <w:noWrap/>
            <w:vAlign w:val="center"/>
            <w:hideMark/>
          </w:tcPr>
          <w:p w14:paraId="3D452005"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3495</w:t>
            </w:r>
          </w:p>
        </w:tc>
        <w:tc>
          <w:tcPr>
            <w:tcW w:w="774" w:type="dxa"/>
            <w:noWrap/>
            <w:vAlign w:val="center"/>
            <w:hideMark/>
          </w:tcPr>
          <w:p w14:paraId="1FEA47BF"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3513</w:t>
            </w:r>
          </w:p>
        </w:tc>
        <w:tc>
          <w:tcPr>
            <w:tcW w:w="773" w:type="dxa"/>
            <w:noWrap/>
            <w:vAlign w:val="center"/>
            <w:hideMark/>
          </w:tcPr>
          <w:p w14:paraId="79CF1B63"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3523</w:t>
            </w:r>
          </w:p>
        </w:tc>
        <w:tc>
          <w:tcPr>
            <w:tcW w:w="773" w:type="dxa"/>
            <w:noWrap/>
            <w:vAlign w:val="center"/>
            <w:hideMark/>
          </w:tcPr>
          <w:p w14:paraId="195A9D3A"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3381</w:t>
            </w:r>
          </w:p>
        </w:tc>
        <w:tc>
          <w:tcPr>
            <w:tcW w:w="773" w:type="dxa"/>
            <w:noWrap/>
            <w:vAlign w:val="center"/>
            <w:hideMark/>
          </w:tcPr>
          <w:p w14:paraId="444E8214"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3192</w:t>
            </w:r>
          </w:p>
        </w:tc>
        <w:tc>
          <w:tcPr>
            <w:tcW w:w="773" w:type="dxa"/>
            <w:noWrap/>
            <w:vAlign w:val="center"/>
            <w:hideMark/>
          </w:tcPr>
          <w:p w14:paraId="12E10219"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2824</w:t>
            </w:r>
          </w:p>
        </w:tc>
        <w:tc>
          <w:tcPr>
            <w:tcW w:w="774" w:type="dxa"/>
            <w:noWrap/>
            <w:vAlign w:val="center"/>
            <w:hideMark/>
          </w:tcPr>
          <w:p w14:paraId="5D1A41D6"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2517</w:t>
            </w:r>
          </w:p>
        </w:tc>
      </w:tr>
    </w:tbl>
    <w:p w14:paraId="63C7B05F" w14:textId="55559167" w:rsidR="00873C40" w:rsidRDefault="00873C40" w:rsidP="00565B02">
      <w:pPr>
        <w:pStyle w:val="Caption"/>
        <w:keepNext/>
        <w:spacing w:before="200"/>
      </w:pPr>
      <w:bookmarkStart w:id="552" w:name="_Toc153901523"/>
      <w:r>
        <w:t xml:space="preserve">Табела </w:t>
      </w:r>
      <w:r>
        <w:fldChar w:fldCharType="begin"/>
      </w:r>
      <w:r>
        <w:instrText xml:space="preserve"> STYLEREF 1 \s </w:instrText>
      </w:r>
      <w:r>
        <w:fldChar w:fldCharType="separate"/>
      </w:r>
      <w:r>
        <w:rPr>
          <w:noProof/>
        </w:rPr>
        <w:t>V</w:t>
      </w:r>
      <w:r>
        <w:fldChar w:fldCharType="end"/>
      </w:r>
      <w:r>
        <w:t>.</w:t>
      </w:r>
      <w:r>
        <w:fldChar w:fldCharType="begin"/>
      </w:r>
      <w:r>
        <w:instrText xml:space="preserve"> SEQ Табела \* ARABIC \s 1 </w:instrText>
      </w:r>
      <w:r>
        <w:fldChar w:fldCharType="separate"/>
      </w:r>
      <w:r>
        <w:rPr>
          <w:noProof/>
        </w:rPr>
        <w:t>28</w:t>
      </w:r>
      <w:r>
        <w:fldChar w:fldCharType="end"/>
      </w:r>
      <w:r w:rsidR="00390387" w:rsidRPr="00390387">
        <w:t>: Финална потрошња енергије по сектору - Пољопривреда [ktoe]</w:t>
      </w:r>
      <w:bookmarkEnd w:id="552"/>
    </w:p>
    <w:tbl>
      <w:tblPr>
        <w:tblStyle w:val="TableGrid"/>
        <w:tblW w:w="9776" w:type="dxa"/>
        <w:tblLayout w:type="fixed"/>
        <w:tblLook w:val="04A0" w:firstRow="1" w:lastRow="0" w:firstColumn="1" w:lastColumn="0" w:noHBand="0" w:noVBand="1"/>
      </w:tblPr>
      <w:tblGrid>
        <w:gridCol w:w="1271"/>
        <w:gridCol w:w="773"/>
        <w:gridCol w:w="773"/>
        <w:gridCol w:w="773"/>
        <w:gridCol w:w="773"/>
        <w:gridCol w:w="773"/>
        <w:gridCol w:w="774"/>
        <w:gridCol w:w="773"/>
        <w:gridCol w:w="773"/>
        <w:gridCol w:w="773"/>
        <w:gridCol w:w="773"/>
        <w:gridCol w:w="774"/>
      </w:tblGrid>
      <w:tr w:rsidR="00C42548" w:rsidRPr="003B4324" w14:paraId="2D7C8D27" w14:textId="77777777" w:rsidTr="0057310C">
        <w:trPr>
          <w:trHeight w:val="300"/>
        </w:trPr>
        <w:tc>
          <w:tcPr>
            <w:tcW w:w="1271" w:type="dxa"/>
            <w:shd w:val="clear" w:color="auto" w:fill="404040"/>
            <w:noWrap/>
            <w:vAlign w:val="center"/>
            <w:hideMark/>
          </w:tcPr>
          <w:p w14:paraId="3105CBFB" w14:textId="7D3F3258" w:rsidR="00C42548" w:rsidRPr="004254D2" w:rsidRDefault="00C42548" w:rsidP="0057310C">
            <w:pPr>
              <w:spacing w:after="0" w:line="240" w:lineRule="auto"/>
              <w:jc w:val="center"/>
              <w:rPr>
                <w:rFonts w:ascii="Calibri Light" w:hAnsi="Calibri Light" w:cs="Calibri Light"/>
                <w:color w:val="000000" w:themeColor="text1"/>
              </w:rPr>
            </w:pPr>
            <w:r w:rsidRPr="00C42548">
              <w:rPr>
                <w:rFonts w:ascii="Calibri Light" w:hAnsi="Calibri Light" w:cs="Calibri Light"/>
                <w:color w:val="FFFFFF" w:themeColor="background1"/>
              </w:rPr>
              <w:t xml:space="preserve">ФПЕ Пољопривреда </w:t>
            </w:r>
            <w:r w:rsidRPr="001E4E92">
              <w:rPr>
                <w:rFonts w:ascii="Calibri Light" w:hAnsi="Calibri Light" w:cs="Calibri Light"/>
                <w:color w:val="FFFFFF" w:themeColor="background1"/>
              </w:rPr>
              <w:t>[ktoe]</w:t>
            </w:r>
          </w:p>
        </w:tc>
        <w:tc>
          <w:tcPr>
            <w:tcW w:w="773" w:type="dxa"/>
            <w:shd w:val="clear" w:color="auto" w:fill="1F497D"/>
            <w:noWrap/>
            <w:vAlign w:val="center"/>
            <w:hideMark/>
          </w:tcPr>
          <w:p w14:paraId="466F253D"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2020</w:t>
            </w:r>
          </w:p>
        </w:tc>
        <w:tc>
          <w:tcPr>
            <w:tcW w:w="773" w:type="dxa"/>
            <w:shd w:val="clear" w:color="auto" w:fill="1F497D"/>
            <w:noWrap/>
            <w:vAlign w:val="center"/>
            <w:hideMark/>
          </w:tcPr>
          <w:p w14:paraId="30F472D2"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2025</w:t>
            </w:r>
          </w:p>
        </w:tc>
        <w:tc>
          <w:tcPr>
            <w:tcW w:w="773" w:type="dxa"/>
            <w:shd w:val="clear" w:color="auto" w:fill="1F497D"/>
            <w:noWrap/>
            <w:vAlign w:val="center"/>
            <w:hideMark/>
          </w:tcPr>
          <w:p w14:paraId="2CE5BE14"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2026</w:t>
            </w:r>
          </w:p>
        </w:tc>
        <w:tc>
          <w:tcPr>
            <w:tcW w:w="773" w:type="dxa"/>
            <w:shd w:val="clear" w:color="auto" w:fill="1F497D"/>
            <w:noWrap/>
            <w:vAlign w:val="center"/>
            <w:hideMark/>
          </w:tcPr>
          <w:p w14:paraId="04B9CC4D"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2027</w:t>
            </w:r>
          </w:p>
        </w:tc>
        <w:tc>
          <w:tcPr>
            <w:tcW w:w="773" w:type="dxa"/>
            <w:shd w:val="clear" w:color="auto" w:fill="1F497D"/>
            <w:noWrap/>
            <w:vAlign w:val="center"/>
            <w:hideMark/>
          </w:tcPr>
          <w:p w14:paraId="66DF60F0"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2028</w:t>
            </w:r>
          </w:p>
        </w:tc>
        <w:tc>
          <w:tcPr>
            <w:tcW w:w="774" w:type="dxa"/>
            <w:shd w:val="clear" w:color="auto" w:fill="1F497D"/>
            <w:noWrap/>
            <w:vAlign w:val="center"/>
            <w:hideMark/>
          </w:tcPr>
          <w:p w14:paraId="2296D585"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2029</w:t>
            </w:r>
          </w:p>
        </w:tc>
        <w:tc>
          <w:tcPr>
            <w:tcW w:w="773" w:type="dxa"/>
            <w:shd w:val="clear" w:color="auto" w:fill="1F497D"/>
            <w:noWrap/>
            <w:vAlign w:val="center"/>
            <w:hideMark/>
          </w:tcPr>
          <w:p w14:paraId="0F8A0C3D"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2030</w:t>
            </w:r>
          </w:p>
        </w:tc>
        <w:tc>
          <w:tcPr>
            <w:tcW w:w="773" w:type="dxa"/>
            <w:shd w:val="clear" w:color="auto" w:fill="1F497D"/>
            <w:noWrap/>
            <w:vAlign w:val="center"/>
            <w:hideMark/>
          </w:tcPr>
          <w:p w14:paraId="3E042720"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2035</w:t>
            </w:r>
          </w:p>
        </w:tc>
        <w:tc>
          <w:tcPr>
            <w:tcW w:w="773" w:type="dxa"/>
            <w:shd w:val="clear" w:color="auto" w:fill="1F497D"/>
            <w:noWrap/>
            <w:vAlign w:val="center"/>
            <w:hideMark/>
          </w:tcPr>
          <w:p w14:paraId="405DBB7C"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2040</w:t>
            </w:r>
          </w:p>
        </w:tc>
        <w:tc>
          <w:tcPr>
            <w:tcW w:w="773" w:type="dxa"/>
            <w:shd w:val="clear" w:color="auto" w:fill="1F497D"/>
            <w:noWrap/>
            <w:vAlign w:val="center"/>
            <w:hideMark/>
          </w:tcPr>
          <w:p w14:paraId="66EE5B1D"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2045</w:t>
            </w:r>
          </w:p>
        </w:tc>
        <w:tc>
          <w:tcPr>
            <w:tcW w:w="774" w:type="dxa"/>
            <w:shd w:val="clear" w:color="auto" w:fill="1F497D"/>
            <w:noWrap/>
            <w:vAlign w:val="center"/>
            <w:hideMark/>
          </w:tcPr>
          <w:p w14:paraId="612A43EC" w14:textId="77777777" w:rsidR="00C42548" w:rsidRPr="004254D2" w:rsidRDefault="00C42548" w:rsidP="0057310C">
            <w:pPr>
              <w:spacing w:after="0" w:line="240" w:lineRule="auto"/>
              <w:jc w:val="center"/>
              <w:rPr>
                <w:rFonts w:ascii="Calibri Light" w:hAnsi="Calibri Light" w:cs="Calibri Light"/>
                <w:color w:val="FFFFFF" w:themeColor="background1"/>
              </w:rPr>
            </w:pPr>
            <w:r w:rsidRPr="004254D2">
              <w:rPr>
                <w:rFonts w:ascii="Calibri Light" w:hAnsi="Calibri Light" w:cs="Calibri Light"/>
                <w:color w:val="FFFFFF" w:themeColor="background1"/>
              </w:rPr>
              <w:t>2050</w:t>
            </w:r>
          </w:p>
        </w:tc>
      </w:tr>
      <w:tr w:rsidR="00C42548" w:rsidRPr="003B4324" w14:paraId="66BDB8FF" w14:textId="77777777" w:rsidTr="000A2AFE">
        <w:trPr>
          <w:trHeight w:val="300"/>
        </w:trPr>
        <w:tc>
          <w:tcPr>
            <w:tcW w:w="1271" w:type="dxa"/>
            <w:shd w:val="clear" w:color="auto" w:fill="E7E6E6"/>
            <w:noWrap/>
            <w:vAlign w:val="bottom"/>
            <w:hideMark/>
          </w:tcPr>
          <w:p w14:paraId="1E3FD189" w14:textId="77777777" w:rsidR="00C42548" w:rsidRPr="004254D2" w:rsidRDefault="00C42548" w:rsidP="0057310C">
            <w:pPr>
              <w:spacing w:after="0" w:line="240" w:lineRule="auto"/>
              <w:jc w:val="left"/>
              <w:rPr>
                <w:rFonts w:ascii="Calibri Light" w:hAnsi="Calibri Light" w:cs="Calibri Light"/>
                <w:color w:val="000000" w:themeColor="text1"/>
              </w:rPr>
            </w:pPr>
            <w:r w:rsidRPr="002574F2">
              <w:rPr>
                <w:rFonts w:ascii="Calibri Light" w:hAnsi="Calibri Light" w:cs="Calibri Light"/>
                <w:color w:val="000000" w:themeColor="text1"/>
              </w:rPr>
              <w:t>WEM</w:t>
            </w:r>
          </w:p>
        </w:tc>
        <w:tc>
          <w:tcPr>
            <w:tcW w:w="773" w:type="dxa"/>
            <w:noWrap/>
            <w:vAlign w:val="center"/>
            <w:hideMark/>
          </w:tcPr>
          <w:p w14:paraId="1156295F" w14:textId="77777777" w:rsidR="00C42548" w:rsidRPr="004254D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140</w:t>
            </w:r>
          </w:p>
        </w:tc>
        <w:tc>
          <w:tcPr>
            <w:tcW w:w="773" w:type="dxa"/>
            <w:noWrap/>
            <w:vAlign w:val="center"/>
            <w:hideMark/>
          </w:tcPr>
          <w:p w14:paraId="317DE89F"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150</w:t>
            </w:r>
          </w:p>
        </w:tc>
        <w:tc>
          <w:tcPr>
            <w:tcW w:w="773" w:type="dxa"/>
            <w:noWrap/>
            <w:vAlign w:val="center"/>
            <w:hideMark/>
          </w:tcPr>
          <w:p w14:paraId="4651DDB3"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152</w:t>
            </w:r>
          </w:p>
        </w:tc>
        <w:tc>
          <w:tcPr>
            <w:tcW w:w="773" w:type="dxa"/>
            <w:noWrap/>
            <w:vAlign w:val="center"/>
            <w:hideMark/>
          </w:tcPr>
          <w:p w14:paraId="4DB2EFDF"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154</w:t>
            </w:r>
          </w:p>
        </w:tc>
        <w:tc>
          <w:tcPr>
            <w:tcW w:w="773" w:type="dxa"/>
            <w:noWrap/>
            <w:vAlign w:val="center"/>
            <w:hideMark/>
          </w:tcPr>
          <w:p w14:paraId="64A921AA"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156</w:t>
            </w:r>
          </w:p>
        </w:tc>
        <w:tc>
          <w:tcPr>
            <w:tcW w:w="774" w:type="dxa"/>
            <w:noWrap/>
            <w:vAlign w:val="center"/>
            <w:hideMark/>
          </w:tcPr>
          <w:p w14:paraId="477D66ED"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157</w:t>
            </w:r>
          </w:p>
        </w:tc>
        <w:tc>
          <w:tcPr>
            <w:tcW w:w="773" w:type="dxa"/>
            <w:noWrap/>
            <w:vAlign w:val="center"/>
            <w:hideMark/>
          </w:tcPr>
          <w:p w14:paraId="30E268B7"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159</w:t>
            </w:r>
          </w:p>
        </w:tc>
        <w:tc>
          <w:tcPr>
            <w:tcW w:w="773" w:type="dxa"/>
            <w:noWrap/>
            <w:vAlign w:val="center"/>
            <w:hideMark/>
          </w:tcPr>
          <w:p w14:paraId="78D80D6B"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164</w:t>
            </w:r>
          </w:p>
        </w:tc>
        <w:tc>
          <w:tcPr>
            <w:tcW w:w="773" w:type="dxa"/>
            <w:noWrap/>
            <w:vAlign w:val="center"/>
            <w:hideMark/>
          </w:tcPr>
          <w:p w14:paraId="1387B304"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168</w:t>
            </w:r>
          </w:p>
        </w:tc>
        <w:tc>
          <w:tcPr>
            <w:tcW w:w="773" w:type="dxa"/>
            <w:noWrap/>
            <w:vAlign w:val="center"/>
            <w:hideMark/>
          </w:tcPr>
          <w:p w14:paraId="57EB5EB8"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169</w:t>
            </w:r>
          </w:p>
        </w:tc>
        <w:tc>
          <w:tcPr>
            <w:tcW w:w="774" w:type="dxa"/>
            <w:noWrap/>
            <w:vAlign w:val="center"/>
            <w:hideMark/>
          </w:tcPr>
          <w:p w14:paraId="7B9D9082"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169</w:t>
            </w:r>
          </w:p>
        </w:tc>
      </w:tr>
      <w:tr w:rsidR="00C42548" w:rsidRPr="003B4324" w14:paraId="27FE9DB7" w14:textId="77777777" w:rsidTr="000A2AFE">
        <w:trPr>
          <w:trHeight w:val="300"/>
        </w:trPr>
        <w:tc>
          <w:tcPr>
            <w:tcW w:w="1271" w:type="dxa"/>
            <w:shd w:val="clear" w:color="auto" w:fill="E7E6E6"/>
            <w:noWrap/>
            <w:vAlign w:val="center"/>
            <w:hideMark/>
          </w:tcPr>
          <w:p w14:paraId="176EEC86" w14:textId="0B693E16" w:rsidR="00C42548" w:rsidRPr="004254D2" w:rsidRDefault="00C42548" w:rsidP="00C42548">
            <w:pPr>
              <w:spacing w:after="0" w:line="240" w:lineRule="auto"/>
              <w:jc w:val="left"/>
              <w:rPr>
                <w:rFonts w:ascii="Calibri Light" w:hAnsi="Calibri Light" w:cs="Calibri Light"/>
                <w:color w:val="000000" w:themeColor="text1"/>
              </w:rPr>
            </w:pPr>
            <w:r w:rsidRPr="003208FA">
              <w:rPr>
                <w:rFonts w:ascii="Calibri Light" w:hAnsi="Calibri Light" w:cs="Calibri Light"/>
                <w:color w:val="000000" w:themeColor="text1"/>
              </w:rPr>
              <w:t>Сценарио-S</w:t>
            </w:r>
          </w:p>
        </w:tc>
        <w:tc>
          <w:tcPr>
            <w:tcW w:w="773" w:type="dxa"/>
            <w:noWrap/>
            <w:vAlign w:val="center"/>
            <w:hideMark/>
          </w:tcPr>
          <w:p w14:paraId="15749B03" w14:textId="77777777" w:rsidR="00C42548" w:rsidRPr="004254D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140</w:t>
            </w:r>
          </w:p>
        </w:tc>
        <w:tc>
          <w:tcPr>
            <w:tcW w:w="773" w:type="dxa"/>
            <w:noWrap/>
            <w:vAlign w:val="center"/>
            <w:hideMark/>
          </w:tcPr>
          <w:p w14:paraId="356B7CC2"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146</w:t>
            </w:r>
          </w:p>
        </w:tc>
        <w:tc>
          <w:tcPr>
            <w:tcW w:w="773" w:type="dxa"/>
            <w:noWrap/>
            <w:vAlign w:val="center"/>
            <w:hideMark/>
          </w:tcPr>
          <w:p w14:paraId="779E00EE"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144</w:t>
            </w:r>
          </w:p>
        </w:tc>
        <w:tc>
          <w:tcPr>
            <w:tcW w:w="773" w:type="dxa"/>
            <w:noWrap/>
            <w:vAlign w:val="center"/>
            <w:hideMark/>
          </w:tcPr>
          <w:p w14:paraId="03969E3B"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145</w:t>
            </w:r>
          </w:p>
        </w:tc>
        <w:tc>
          <w:tcPr>
            <w:tcW w:w="773" w:type="dxa"/>
            <w:noWrap/>
            <w:vAlign w:val="center"/>
            <w:hideMark/>
          </w:tcPr>
          <w:p w14:paraId="4440E2F9"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147</w:t>
            </w:r>
          </w:p>
        </w:tc>
        <w:tc>
          <w:tcPr>
            <w:tcW w:w="774" w:type="dxa"/>
            <w:noWrap/>
            <w:vAlign w:val="center"/>
            <w:hideMark/>
          </w:tcPr>
          <w:p w14:paraId="08504460"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148</w:t>
            </w:r>
          </w:p>
        </w:tc>
        <w:tc>
          <w:tcPr>
            <w:tcW w:w="773" w:type="dxa"/>
            <w:noWrap/>
            <w:vAlign w:val="center"/>
            <w:hideMark/>
          </w:tcPr>
          <w:p w14:paraId="0A5BC928"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150</w:t>
            </w:r>
          </w:p>
        </w:tc>
        <w:tc>
          <w:tcPr>
            <w:tcW w:w="773" w:type="dxa"/>
            <w:noWrap/>
            <w:vAlign w:val="center"/>
            <w:hideMark/>
          </w:tcPr>
          <w:p w14:paraId="7E40B26F"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155</w:t>
            </w:r>
          </w:p>
        </w:tc>
        <w:tc>
          <w:tcPr>
            <w:tcW w:w="773" w:type="dxa"/>
            <w:noWrap/>
            <w:vAlign w:val="center"/>
            <w:hideMark/>
          </w:tcPr>
          <w:p w14:paraId="130A414A"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158</w:t>
            </w:r>
          </w:p>
        </w:tc>
        <w:tc>
          <w:tcPr>
            <w:tcW w:w="773" w:type="dxa"/>
            <w:noWrap/>
            <w:vAlign w:val="center"/>
            <w:hideMark/>
          </w:tcPr>
          <w:p w14:paraId="0B777C31"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159</w:t>
            </w:r>
          </w:p>
        </w:tc>
        <w:tc>
          <w:tcPr>
            <w:tcW w:w="774" w:type="dxa"/>
            <w:noWrap/>
            <w:vAlign w:val="center"/>
            <w:hideMark/>
          </w:tcPr>
          <w:p w14:paraId="01E42225"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159</w:t>
            </w:r>
          </w:p>
        </w:tc>
      </w:tr>
      <w:tr w:rsidR="00C42548" w:rsidRPr="003B4324" w14:paraId="2957E838" w14:textId="77777777" w:rsidTr="000A2AFE">
        <w:trPr>
          <w:trHeight w:val="300"/>
        </w:trPr>
        <w:tc>
          <w:tcPr>
            <w:tcW w:w="1271" w:type="dxa"/>
            <w:shd w:val="clear" w:color="auto" w:fill="E7E6E6"/>
            <w:noWrap/>
            <w:vAlign w:val="center"/>
            <w:hideMark/>
          </w:tcPr>
          <w:p w14:paraId="6DF538C4" w14:textId="3BE50A9C" w:rsidR="00C42548" w:rsidRPr="004254D2" w:rsidRDefault="00C42548" w:rsidP="00C42548">
            <w:pPr>
              <w:spacing w:after="0" w:line="240" w:lineRule="auto"/>
              <w:jc w:val="left"/>
              <w:rPr>
                <w:rFonts w:ascii="Calibri Light" w:hAnsi="Calibri Light" w:cs="Calibri Light"/>
                <w:color w:val="000000" w:themeColor="text1"/>
              </w:rPr>
            </w:pPr>
            <w:r w:rsidRPr="003208FA">
              <w:rPr>
                <w:rFonts w:ascii="Calibri Light" w:hAnsi="Calibri Light" w:cs="Calibri Light"/>
                <w:color w:val="000000" w:themeColor="text1"/>
              </w:rPr>
              <w:t>Сценарио-S-N</w:t>
            </w:r>
          </w:p>
        </w:tc>
        <w:tc>
          <w:tcPr>
            <w:tcW w:w="773" w:type="dxa"/>
            <w:noWrap/>
            <w:vAlign w:val="center"/>
            <w:hideMark/>
          </w:tcPr>
          <w:p w14:paraId="738FAC63" w14:textId="77777777" w:rsidR="00C42548" w:rsidRPr="004254D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140</w:t>
            </w:r>
          </w:p>
        </w:tc>
        <w:tc>
          <w:tcPr>
            <w:tcW w:w="773" w:type="dxa"/>
            <w:noWrap/>
            <w:vAlign w:val="center"/>
            <w:hideMark/>
          </w:tcPr>
          <w:p w14:paraId="69D55576"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146</w:t>
            </w:r>
          </w:p>
        </w:tc>
        <w:tc>
          <w:tcPr>
            <w:tcW w:w="773" w:type="dxa"/>
            <w:noWrap/>
            <w:vAlign w:val="center"/>
            <w:hideMark/>
          </w:tcPr>
          <w:p w14:paraId="383C87AE"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144</w:t>
            </w:r>
          </w:p>
        </w:tc>
        <w:tc>
          <w:tcPr>
            <w:tcW w:w="773" w:type="dxa"/>
            <w:noWrap/>
            <w:vAlign w:val="center"/>
            <w:hideMark/>
          </w:tcPr>
          <w:p w14:paraId="052DE2B3"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145</w:t>
            </w:r>
          </w:p>
        </w:tc>
        <w:tc>
          <w:tcPr>
            <w:tcW w:w="773" w:type="dxa"/>
            <w:noWrap/>
            <w:vAlign w:val="center"/>
            <w:hideMark/>
          </w:tcPr>
          <w:p w14:paraId="4C5EA140"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147</w:t>
            </w:r>
          </w:p>
        </w:tc>
        <w:tc>
          <w:tcPr>
            <w:tcW w:w="774" w:type="dxa"/>
            <w:noWrap/>
            <w:vAlign w:val="center"/>
            <w:hideMark/>
          </w:tcPr>
          <w:p w14:paraId="655D053D"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148</w:t>
            </w:r>
          </w:p>
        </w:tc>
        <w:tc>
          <w:tcPr>
            <w:tcW w:w="773" w:type="dxa"/>
            <w:noWrap/>
            <w:vAlign w:val="center"/>
            <w:hideMark/>
          </w:tcPr>
          <w:p w14:paraId="3C9EF211"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150</w:t>
            </w:r>
          </w:p>
        </w:tc>
        <w:tc>
          <w:tcPr>
            <w:tcW w:w="773" w:type="dxa"/>
            <w:noWrap/>
            <w:vAlign w:val="center"/>
            <w:hideMark/>
          </w:tcPr>
          <w:p w14:paraId="38B94826"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155</w:t>
            </w:r>
          </w:p>
        </w:tc>
        <w:tc>
          <w:tcPr>
            <w:tcW w:w="773" w:type="dxa"/>
            <w:noWrap/>
            <w:vAlign w:val="center"/>
            <w:hideMark/>
          </w:tcPr>
          <w:p w14:paraId="3711A8B4"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158</w:t>
            </w:r>
          </w:p>
        </w:tc>
        <w:tc>
          <w:tcPr>
            <w:tcW w:w="773" w:type="dxa"/>
            <w:noWrap/>
            <w:vAlign w:val="center"/>
            <w:hideMark/>
          </w:tcPr>
          <w:p w14:paraId="3B81E57F"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159</w:t>
            </w:r>
          </w:p>
        </w:tc>
        <w:tc>
          <w:tcPr>
            <w:tcW w:w="774" w:type="dxa"/>
            <w:noWrap/>
            <w:vAlign w:val="center"/>
            <w:hideMark/>
          </w:tcPr>
          <w:p w14:paraId="014E0664" w14:textId="77777777" w:rsidR="00C42548" w:rsidRPr="002574F2" w:rsidRDefault="00C42548" w:rsidP="00367DAA">
            <w:pPr>
              <w:spacing w:after="0" w:line="240" w:lineRule="auto"/>
              <w:jc w:val="center"/>
              <w:rPr>
                <w:rFonts w:ascii="Calibri Light" w:hAnsi="Calibri Light" w:cs="Calibri Light"/>
                <w:color w:val="000000" w:themeColor="text1"/>
              </w:rPr>
            </w:pPr>
            <w:r w:rsidRPr="003208FA">
              <w:rPr>
                <w:rFonts w:ascii="Calibri Light" w:hAnsi="Calibri Light" w:cs="Calibri Light"/>
                <w:color w:val="000000" w:themeColor="text1"/>
              </w:rPr>
              <w:t>159</w:t>
            </w:r>
          </w:p>
        </w:tc>
      </w:tr>
    </w:tbl>
    <w:p w14:paraId="72C3E37D" w14:textId="77777777" w:rsidR="00B91F38" w:rsidRPr="000A2AFE" w:rsidRDefault="00B91F38" w:rsidP="000A2AFE">
      <w:pPr>
        <w:rPr>
          <w:lang w:val="en-US"/>
        </w:rPr>
      </w:pPr>
    </w:p>
    <w:sectPr w:rsidR="00B91F38" w:rsidRPr="000A2AFE" w:rsidSect="00565B02">
      <w:headerReference w:type="default" r:id="rId156"/>
      <w:footerReference w:type="default" r:id="rId157"/>
      <w:pgSz w:w="11906" w:h="16838"/>
      <w:pgMar w:top="238"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80FFDC" w14:textId="77777777" w:rsidR="00036471" w:rsidRPr="00FF386D" w:rsidRDefault="00036471" w:rsidP="00941E3F">
      <w:pPr>
        <w:spacing w:after="0" w:line="240" w:lineRule="auto"/>
      </w:pPr>
      <w:r w:rsidRPr="00FF386D">
        <w:separator/>
      </w:r>
    </w:p>
  </w:endnote>
  <w:endnote w:type="continuationSeparator" w:id="0">
    <w:p w14:paraId="0C118D19" w14:textId="77777777" w:rsidR="00036471" w:rsidRPr="00FF386D" w:rsidRDefault="00036471" w:rsidP="00941E3F">
      <w:pPr>
        <w:spacing w:after="0" w:line="240" w:lineRule="auto"/>
      </w:pPr>
      <w:r w:rsidRPr="00FF386D">
        <w:continuationSeparator/>
      </w:r>
    </w:p>
  </w:endnote>
  <w:endnote w:type="continuationNotice" w:id="1">
    <w:p w14:paraId="024765DE" w14:textId="77777777" w:rsidR="00036471" w:rsidRPr="00FF386D" w:rsidRDefault="0003647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rebuchet MS Bold">
    <w:altName w:val="Trebuchet MS"/>
    <w:panose1 w:val="020B0703020202020204"/>
    <w:charset w:val="00"/>
    <w:family w:val="auto"/>
    <w:pitch w:val="default"/>
    <w:sig w:usb0="00000000"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icrosoft Sans Serif">
    <w:panose1 w:val="020B0604020202020204"/>
    <w:charset w:val="00"/>
    <w:family w:val="swiss"/>
    <w:pitch w:val="variable"/>
    <w:sig w:usb0="E5002EFF" w:usb1="C000605B" w:usb2="00000029" w:usb3="00000000" w:csb0="000101FF" w:csb1="00000000"/>
  </w:font>
  <w:font w:name="NSimSun">
    <w:panose1 w:val="02010609030101010101"/>
    <w:charset w:val="86"/>
    <w:family w:val="modern"/>
    <w:pitch w:val="fixed"/>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9061560"/>
      <w:docPartObj>
        <w:docPartGallery w:val="Page Numbers (Bottom of Page)"/>
        <w:docPartUnique/>
      </w:docPartObj>
    </w:sdtPr>
    <w:sdtEndPr>
      <w:rPr>
        <w:noProof/>
      </w:rPr>
    </w:sdtEndPr>
    <w:sdtContent>
      <w:p w14:paraId="63265FBF" w14:textId="4CD7C4AE" w:rsidR="00990755" w:rsidRDefault="00990755">
        <w:pPr>
          <w:pStyle w:val="Footer"/>
          <w:jc w:val="center"/>
        </w:pPr>
        <w:r>
          <w:fldChar w:fldCharType="begin"/>
        </w:r>
        <w:r>
          <w:instrText xml:space="preserve"> PAGE   \* MERGEFORMAT </w:instrText>
        </w:r>
        <w:r>
          <w:fldChar w:fldCharType="separate"/>
        </w:r>
        <w:r w:rsidR="00EC6AA7">
          <w:rPr>
            <w:noProof/>
          </w:rPr>
          <w:t>2</w:t>
        </w:r>
        <w:r>
          <w:rPr>
            <w:noProof/>
          </w:rPr>
          <w:fldChar w:fldCharType="end"/>
        </w:r>
      </w:p>
    </w:sdtContent>
  </w:sdt>
  <w:p w14:paraId="52340AD6" w14:textId="77777777" w:rsidR="00990755" w:rsidRDefault="0099075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6978030"/>
      <w:docPartObj>
        <w:docPartGallery w:val="Page Numbers (Bottom of Page)"/>
        <w:docPartUnique/>
      </w:docPartObj>
    </w:sdtPr>
    <w:sdtContent>
      <w:p w14:paraId="0A265AE6" w14:textId="08E9F88C" w:rsidR="00990755" w:rsidRPr="00FF386D" w:rsidRDefault="00990755">
        <w:pPr>
          <w:pStyle w:val="Footer"/>
          <w:jc w:val="center"/>
        </w:pPr>
        <w:r w:rsidRPr="000A2AFE">
          <w:fldChar w:fldCharType="begin"/>
        </w:r>
        <w:r w:rsidRPr="00FF386D">
          <w:instrText xml:space="preserve"> PAGE   \* MERGEFORMAT </w:instrText>
        </w:r>
        <w:r w:rsidRPr="000A2AFE">
          <w:fldChar w:fldCharType="separate"/>
        </w:r>
        <w:r w:rsidR="00673593">
          <w:rPr>
            <w:noProof/>
          </w:rPr>
          <w:t>337</w:t>
        </w:r>
        <w:r w:rsidRPr="000A2AFE">
          <w:fldChar w:fldCharType="end"/>
        </w:r>
      </w:p>
    </w:sdtContent>
  </w:sdt>
  <w:p w14:paraId="7C79F11C" w14:textId="77777777" w:rsidR="00990755" w:rsidRPr="00FF386D" w:rsidRDefault="0099075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1A0E56" w14:textId="77777777" w:rsidR="00036471" w:rsidRPr="00FF386D" w:rsidRDefault="00036471" w:rsidP="007B7486">
      <w:pPr>
        <w:pStyle w:val="Footer"/>
      </w:pPr>
    </w:p>
  </w:footnote>
  <w:footnote w:type="continuationSeparator" w:id="0">
    <w:p w14:paraId="4BE3EE14" w14:textId="77777777" w:rsidR="00036471" w:rsidRPr="00FF386D" w:rsidRDefault="00036471" w:rsidP="00941E3F">
      <w:pPr>
        <w:spacing w:after="0" w:line="240" w:lineRule="auto"/>
      </w:pPr>
      <w:r w:rsidRPr="00FF386D">
        <w:continuationSeparator/>
      </w:r>
    </w:p>
  </w:footnote>
  <w:footnote w:type="continuationNotice" w:id="1">
    <w:p w14:paraId="393E8A46" w14:textId="77777777" w:rsidR="00036471" w:rsidRPr="00FF386D" w:rsidRDefault="00036471">
      <w:pPr>
        <w:spacing w:after="0" w:line="240" w:lineRule="auto"/>
      </w:pPr>
    </w:p>
  </w:footnote>
  <w:footnote w:id="2">
    <w:p w14:paraId="6F65A64C" w14:textId="77777777" w:rsidR="00990755" w:rsidRPr="000A2AFE" w:rsidRDefault="00990755" w:rsidP="00EB3C75">
      <w:pPr>
        <w:pStyle w:val="FootnoteText"/>
      </w:pPr>
      <w:r w:rsidRPr="000A2AFE">
        <w:rPr>
          <w:rStyle w:val="FootnoteReference"/>
          <w:rFonts w:eastAsia="Calibri"/>
          <w:lang w:val="sr-Cyrl-RS"/>
        </w:rPr>
        <w:footnoteRef/>
      </w:r>
      <w:r w:rsidRPr="000A2AFE">
        <w:rPr>
          <w:rFonts w:asciiTheme="majorHAnsi" w:hAnsiTheme="majorHAnsi" w:cstheme="majorHAnsi"/>
        </w:rPr>
        <w:t>Службени гласник РС, бр. 40/21</w:t>
      </w:r>
    </w:p>
  </w:footnote>
  <w:footnote w:id="3">
    <w:p w14:paraId="29A9A108" w14:textId="77777777" w:rsidR="00990755" w:rsidRPr="000A2AFE" w:rsidRDefault="00990755" w:rsidP="00EB3C75">
      <w:pPr>
        <w:pStyle w:val="FootnoteText"/>
      </w:pPr>
      <w:r w:rsidRPr="000A2AFE">
        <w:rPr>
          <w:rStyle w:val="FootnoteReference"/>
          <w:rFonts w:eastAsia="Calibri"/>
          <w:lang w:val="sr-Cyrl-RS"/>
        </w:rPr>
        <w:footnoteRef/>
      </w:r>
      <w:r w:rsidRPr="000A2AFE">
        <w:rPr>
          <w:rFonts w:asciiTheme="majorHAnsi" w:hAnsiTheme="majorHAnsi" w:cstheme="majorHAnsi"/>
        </w:rPr>
        <w:t>Службени гласник РС, бр. 40/21</w:t>
      </w:r>
    </w:p>
  </w:footnote>
  <w:footnote w:id="4">
    <w:p w14:paraId="6B936747" w14:textId="77777777" w:rsidR="00990755" w:rsidRPr="000A2AFE" w:rsidRDefault="00990755" w:rsidP="00EB3C75">
      <w:pPr>
        <w:pStyle w:val="FootnoteText"/>
      </w:pPr>
      <w:r w:rsidRPr="000A2AFE">
        <w:rPr>
          <w:rStyle w:val="FootnoteReference"/>
          <w:rFonts w:eastAsia="Calibri"/>
          <w:lang w:val="sr-Cyrl-RS"/>
        </w:rPr>
        <w:footnoteRef/>
      </w:r>
      <w:r w:rsidRPr="000A2AFE">
        <w:rPr>
          <w:rFonts w:asciiTheme="majorHAnsi" w:hAnsiTheme="majorHAnsi" w:cstheme="majorHAnsi"/>
        </w:rPr>
        <w:t>Службени гласник РС, бр. 40/21</w:t>
      </w:r>
    </w:p>
  </w:footnote>
  <w:footnote w:id="5">
    <w:p w14:paraId="1EDB9887" w14:textId="5ED8C5F1" w:rsidR="00990755" w:rsidRPr="00FF386D" w:rsidRDefault="00990755" w:rsidP="002A0D84">
      <w:pPr>
        <w:pStyle w:val="FootnoteText"/>
        <w:rPr>
          <w:rFonts w:asciiTheme="majorHAnsi" w:hAnsiTheme="majorHAnsi" w:cstheme="majorHAnsi"/>
        </w:rPr>
      </w:pPr>
      <w:r w:rsidRPr="000A2AFE">
        <w:rPr>
          <w:rStyle w:val="FootnoteReference"/>
          <w:lang w:val="sr-Cyrl-RS"/>
        </w:rPr>
        <w:footnoteRef/>
      </w:r>
      <w:r w:rsidRPr="00FF386D">
        <w:rPr>
          <w:rFonts w:asciiTheme="majorHAnsi" w:hAnsiTheme="majorHAnsi" w:cstheme="majorHAnsi"/>
        </w:rPr>
        <w:t>Службени гласник РС, бр. 35/23</w:t>
      </w:r>
    </w:p>
  </w:footnote>
  <w:footnote w:id="6">
    <w:p w14:paraId="10EDF18D" w14:textId="77777777" w:rsidR="00990755" w:rsidRPr="000A2AFE" w:rsidRDefault="00990755" w:rsidP="00EB3C75">
      <w:pPr>
        <w:pStyle w:val="FootnoteText"/>
      </w:pPr>
      <w:r w:rsidRPr="000A2AFE">
        <w:rPr>
          <w:rStyle w:val="FootnoteReference"/>
          <w:rFonts w:eastAsia="Calibri"/>
          <w:lang w:val="sr-Cyrl-RS"/>
        </w:rPr>
        <w:footnoteRef/>
      </w:r>
      <w:r w:rsidRPr="000A2AFE">
        <w:rPr>
          <w:rFonts w:asciiTheme="majorHAnsi" w:hAnsiTheme="majorHAnsi" w:cstheme="majorHAnsi"/>
        </w:rPr>
        <w:t>Службени гласник РС, бр. 40/21</w:t>
      </w:r>
    </w:p>
  </w:footnote>
  <w:footnote w:id="7">
    <w:p w14:paraId="13587149" w14:textId="77777777" w:rsidR="00990755" w:rsidRPr="000A2AFE" w:rsidRDefault="00990755" w:rsidP="00EB3C75">
      <w:pPr>
        <w:pStyle w:val="FootnoteText"/>
      </w:pPr>
      <w:r w:rsidRPr="000A2AFE">
        <w:rPr>
          <w:rStyle w:val="FootnoteReference"/>
          <w:rFonts w:eastAsia="Calibri"/>
          <w:lang w:val="sr-Cyrl-RS"/>
        </w:rPr>
        <w:footnoteRef/>
      </w:r>
      <w:r w:rsidRPr="000A2AFE">
        <w:rPr>
          <w:rFonts w:asciiTheme="majorHAnsi" w:hAnsiTheme="majorHAnsi" w:cstheme="majorHAnsi"/>
        </w:rPr>
        <w:t>Службени гласник РС, бр.26/21</w:t>
      </w:r>
    </w:p>
  </w:footnote>
  <w:footnote w:id="8">
    <w:p w14:paraId="20EC92A5" w14:textId="77777777" w:rsidR="00990755" w:rsidRPr="00461519" w:rsidRDefault="00990755" w:rsidP="00C377B5">
      <w:pPr>
        <w:pStyle w:val="FootnoteText"/>
        <w:rPr>
          <w:lang w:val="sr-Cyrl-CS"/>
        </w:rPr>
      </w:pPr>
      <w:r w:rsidRPr="000A2AFE">
        <w:rPr>
          <w:rStyle w:val="FootnoteReference"/>
          <w:lang w:val="sr-Cyrl-RS"/>
        </w:rPr>
        <w:footnoteRef/>
      </w:r>
      <w:r w:rsidRPr="00FF386D">
        <w:rPr>
          <w:rFonts w:asciiTheme="majorHAnsi" w:hAnsiTheme="majorHAnsi" w:cstheme="majorHAnsi"/>
        </w:rPr>
        <w:t>Службени гласник РС, бр. 46/23</w:t>
      </w:r>
    </w:p>
  </w:footnote>
  <w:footnote w:id="9">
    <w:p w14:paraId="526E1214" w14:textId="72E54D9D" w:rsidR="00990755" w:rsidRPr="00FF386D" w:rsidRDefault="00990755">
      <w:pPr>
        <w:pStyle w:val="FootnoteText"/>
      </w:pPr>
      <w:r w:rsidRPr="000A2AFE">
        <w:rPr>
          <w:rStyle w:val="FootnoteReference"/>
          <w:lang w:val="sr-Cyrl-RS"/>
        </w:rPr>
        <w:footnoteRef/>
      </w:r>
      <w:r w:rsidRPr="00FF386D">
        <w:rPr>
          <w:rFonts w:asciiTheme="majorHAnsi" w:hAnsiTheme="majorHAnsi" w:cstheme="majorHAnsi"/>
        </w:rPr>
        <w:t>https://www.berlinprocess.de/uploads/documents/declaration-on-energy-security-and-green-transition-in-the-western-balkans_1686662540.pdf</w:t>
      </w:r>
    </w:p>
  </w:footnote>
  <w:footnote w:id="10">
    <w:p w14:paraId="42FEC6CD" w14:textId="77777777"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 xml:space="preserve"> 2018/1/</w:t>
      </w:r>
      <w:r w:rsidRPr="00FF386D">
        <w:rPr>
          <w:rFonts w:asciiTheme="majorHAnsi" w:hAnsiTheme="majorHAnsi" w:cstheme="majorHAnsi"/>
        </w:rPr>
        <w:t>MC</w:t>
      </w:r>
      <w:r w:rsidRPr="000A2AFE">
        <w:rPr>
          <w:rFonts w:asciiTheme="majorHAnsi" w:hAnsiTheme="majorHAnsi" w:cstheme="majorHAnsi"/>
        </w:rPr>
        <w:t>-</w:t>
      </w:r>
      <w:r w:rsidRPr="00FF386D">
        <w:rPr>
          <w:rFonts w:asciiTheme="majorHAnsi" w:hAnsiTheme="majorHAnsi" w:cstheme="majorHAnsi"/>
        </w:rPr>
        <w:t>EnC</w:t>
      </w:r>
    </w:p>
  </w:footnote>
  <w:footnote w:id="11">
    <w:p w14:paraId="431D72AD" w14:textId="77777777"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 xml:space="preserve"> </w:t>
      </w:r>
      <w:r w:rsidRPr="00FF386D">
        <w:rPr>
          <w:rFonts w:asciiTheme="majorHAnsi" w:hAnsiTheme="majorHAnsi" w:cstheme="majorHAnsi"/>
        </w:rPr>
        <w:t>PG</w:t>
      </w:r>
      <w:r w:rsidRPr="000A2AFE">
        <w:rPr>
          <w:rFonts w:asciiTheme="majorHAnsi" w:hAnsiTheme="majorHAnsi" w:cstheme="majorHAnsi"/>
        </w:rPr>
        <w:t xml:space="preserve"> 03/2018</w:t>
      </w:r>
    </w:p>
  </w:footnote>
  <w:footnote w:id="12">
    <w:p w14:paraId="5BC52645" w14:textId="77777777"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 xml:space="preserve"> </w:t>
      </w:r>
      <w:r w:rsidRPr="00FF386D">
        <w:rPr>
          <w:rFonts w:asciiTheme="majorHAnsi" w:hAnsiTheme="majorHAnsi" w:cstheme="majorHAnsi"/>
        </w:rPr>
        <w:t>Одлука Министарског савета</w:t>
      </w:r>
      <w:r w:rsidRPr="000A2AFE">
        <w:rPr>
          <w:rFonts w:asciiTheme="majorHAnsi" w:hAnsiTheme="majorHAnsi" w:cstheme="majorHAnsi"/>
        </w:rPr>
        <w:t xml:space="preserve"> 2021/14/</w:t>
      </w:r>
      <w:r w:rsidRPr="00FF386D">
        <w:rPr>
          <w:rFonts w:asciiTheme="majorHAnsi" w:hAnsiTheme="majorHAnsi" w:cstheme="majorHAnsi"/>
        </w:rPr>
        <w:t>MC</w:t>
      </w:r>
      <w:r w:rsidRPr="000A2AFE">
        <w:rPr>
          <w:rFonts w:asciiTheme="majorHAnsi" w:hAnsiTheme="majorHAnsi" w:cstheme="majorHAnsi"/>
        </w:rPr>
        <w:t>-</w:t>
      </w:r>
      <w:r w:rsidRPr="00FF386D">
        <w:rPr>
          <w:rFonts w:asciiTheme="majorHAnsi" w:hAnsiTheme="majorHAnsi" w:cstheme="majorHAnsi"/>
        </w:rPr>
        <w:t>EnC, новембар</w:t>
      </w:r>
      <w:r w:rsidRPr="000A2AFE">
        <w:rPr>
          <w:rFonts w:asciiTheme="majorHAnsi" w:hAnsiTheme="majorHAnsi" w:cstheme="majorHAnsi"/>
        </w:rPr>
        <w:t xml:space="preserve"> 2021</w:t>
      </w:r>
    </w:p>
  </w:footnote>
  <w:footnote w:id="13">
    <w:p w14:paraId="355A1396" w14:textId="71907456"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 xml:space="preserve"> </w:t>
      </w:r>
      <w:r w:rsidRPr="00FF386D">
        <w:rPr>
          <w:rFonts w:asciiTheme="majorHAnsi" w:hAnsiTheme="majorHAnsi" w:cstheme="majorHAnsi"/>
        </w:rPr>
        <w:t>Сходно одлукама Министарског савета</w:t>
      </w:r>
      <w:r w:rsidRPr="000A2AFE">
        <w:rPr>
          <w:rFonts w:asciiTheme="majorHAnsi" w:hAnsiTheme="majorHAnsi" w:cstheme="majorHAnsi"/>
        </w:rPr>
        <w:t xml:space="preserve"> 2022/02/MC-EnC </w:t>
      </w:r>
      <w:r w:rsidRPr="00FF386D">
        <w:rPr>
          <w:rFonts w:asciiTheme="majorHAnsi" w:hAnsiTheme="majorHAnsi" w:cstheme="majorHAnsi"/>
        </w:rPr>
        <w:t>и</w:t>
      </w:r>
      <w:r w:rsidRPr="000A2AFE">
        <w:rPr>
          <w:rFonts w:asciiTheme="majorHAnsi" w:hAnsiTheme="majorHAnsi" w:cstheme="majorHAnsi"/>
        </w:rPr>
        <w:t xml:space="preserve"> 2022/03/MC-EnC.</w:t>
      </w:r>
    </w:p>
  </w:footnote>
  <w:footnote w:id="14">
    <w:p w14:paraId="5BAE3842" w14:textId="77777777" w:rsidR="00990755" w:rsidRPr="000A2AFE" w:rsidRDefault="00990755" w:rsidP="00EB3C75">
      <w:pPr>
        <w:pStyle w:val="FootnoteText"/>
      </w:pPr>
      <w:r w:rsidRPr="000A2AFE">
        <w:rPr>
          <w:rStyle w:val="FootnoteReference"/>
          <w:rFonts w:eastAsia="Calibri"/>
          <w:lang w:val="sr-Cyrl-RS"/>
        </w:rPr>
        <w:footnoteRef/>
      </w:r>
      <w:r w:rsidRPr="00FF386D">
        <w:t xml:space="preserve"> </w:t>
      </w:r>
      <w:r w:rsidRPr="00FF386D">
        <w:rPr>
          <w:rFonts w:asciiTheme="majorHAnsi" w:hAnsiTheme="majorHAnsi" w:cstheme="majorHAnsi"/>
        </w:rPr>
        <w:t>Службени гласник РС, бр. 49/22</w:t>
      </w:r>
    </w:p>
  </w:footnote>
  <w:footnote w:id="15">
    <w:p w14:paraId="6ADD1D62" w14:textId="7A3D8A48" w:rsidR="00990755" w:rsidRPr="00FF386D" w:rsidRDefault="00990755">
      <w:pPr>
        <w:pStyle w:val="FootnoteText"/>
      </w:pPr>
      <w:r w:rsidRPr="000A2AFE">
        <w:rPr>
          <w:rStyle w:val="FootnoteReference"/>
          <w:lang w:val="sr-Cyrl-RS"/>
        </w:rPr>
        <w:footnoteRef/>
      </w:r>
      <w:r w:rsidRPr="00FF386D">
        <w:t xml:space="preserve"> </w:t>
      </w:r>
      <w:r w:rsidRPr="00FF386D">
        <w:rPr>
          <w:rFonts w:asciiTheme="majorHAnsi" w:hAnsiTheme="majorHAnsi" w:cstheme="majorHAnsi"/>
        </w:rPr>
        <w:t>Одлука D/2018/2/MC-EnC Министарског савета Енергетске заједнице којом се мења и допуњује Одлука 2012/04/MC-EnC од 18. октобра 2012. године о спровођењу Директиве 2009/28/EC и члан 20. Уговора о оснивању Енергетске заједнице</w:t>
      </w:r>
    </w:p>
  </w:footnote>
  <w:footnote w:id="16">
    <w:p w14:paraId="1D5A0AAD" w14:textId="77777777"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Theme="majorEastAsia" w:hAnsiTheme="majorHAnsi" w:cstheme="majorHAnsi"/>
          <w:lang w:val="sr-Cyrl-RS"/>
        </w:rPr>
        <w:footnoteRef/>
      </w:r>
      <w:r w:rsidRPr="000A2AFE">
        <w:rPr>
          <w:rFonts w:asciiTheme="majorHAnsi" w:hAnsiTheme="majorHAnsi" w:cstheme="majorHAnsi"/>
        </w:rPr>
        <w:t>Службени гласник РС, бр. 135/04, 36/09, 36/09, 72/09, 43/11, 14/16, 76/18 и 95/18</w:t>
      </w:r>
    </w:p>
  </w:footnote>
  <w:footnote w:id="17">
    <w:p w14:paraId="225841CD" w14:textId="77777777" w:rsidR="00990755" w:rsidRPr="000A2AFE" w:rsidRDefault="00990755" w:rsidP="00EB3C75">
      <w:pPr>
        <w:pStyle w:val="FootnoteText"/>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Службени гласник РС, бр. 26/21</w:t>
      </w:r>
    </w:p>
  </w:footnote>
  <w:footnote w:id="18">
    <w:p w14:paraId="17AF1CC7" w14:textId="16EC56C1" w:rsidR="00990755" w:rsidRPr="00FF386D" w:rsidRDefault="00990755">
      <w:pPr>
        <w:pStyle w:val="FootnoteText"/>
      </w:pPr>
      <w:r w:rsidRPr="000A2AFE">
        <w:rPr>
          <w:rStyle w:val="FootnoteReference"/>
          <w:lang w:val="sr-Cyrl-RS"/>
        </w:rPr>
        <w:footnoteRef/>
      </w:r>
      <w:r w:rsidRPr="00FF386D">
        <w:rPr>
          <w:rFonts w:asciiTheme="majorHAnsi" w:hAnsiTheme="majorHAnsi" w:cstheme="majorHAnsi"/>
          <w:lang w:bidi="he-IL"/>
        </w:rPr>
        <w:t>Службени гласник РС, бр.</w:t>
      </w:r>
      <w:r w:rsidRPr="000A2AFE">
        <w:rPr>
          <w:rFonts w:asciiTheme="majorHAnsi" w:hAnsiTheme="majorHAnsi" w:cstheme="majorHAnsi"/>
          <w:lang w:bidi="he-IL"/>
        </w:rPr>
        <w:t xml:space="preserve"> 88/10</w:t>
      </w:r>
    </w:p>
  </w:footnote>
  <w:footnote w:id="19">
    <w:p w14:paraId="2EE11CBB" w14:textId="68716811" w:rsidR="00990755" w:rsidRPr="000A2AFE" w:rsidRDefault="00990755" w:rsidP="00EB3C75">
      <w:pPr>
        <w:autoSpaceDE w:val="0"/>
        <w:autoSpaceDN w:val="0"/>
        <w:adjustRightInd w:val="0"/>
        <w:spacing w:after="0" w:line="240" w:lineRule="auto"/>
        <w:rPr>
          <w:rFonts w:asciiTheme="majorHAnsi" w:hAnsiTheme="majorHAnsi" w:cstheme="majorHAnsi"/>
          <w:sz w:val="20"/>
          <w:szCs w:val="20"/>
          <w:lang w:bidi="he-IL"/>
        </w:rPr>
      </w:pPr>
      <w:r w:rsidRPr="000A2AFE">
        <w:rPr>
          <w:rStyle w:val="FootnoteReference"/>
          <w:rFonts w:ascii="Calibri Light" w:hAnsi="Calibri Light" w:cs="Calibri Light"/>
          <w:lang w:val="sr-Cyrl-RS"/>
        </w:rPr>
        <w:footnoteRef/>
      </w:r>
      <w:r w:rsidRPr="000A2AFE">
        <w:rPr>
          <w:rFonts w:asciiTheme="majorHAnsi" w:hAnsiTheme="majorHAnsi" w:cstheme="majorHAnsi"/>
          <w:sz w:val="20"/>
          <w:szCs w:val="20"/>
          <w:lang w:bidi="he-IL"/>
        </w:rPr>
        <w:t>Службени гласник РС, бр. 35/20</w:t>
      </w:r>
    </w:p>
  </w:footnote>
  <w:footnote w:id="20">
    <w:p w14:paraId="0D1801D0" w14:textId="77777777"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Службени гласник Републике Србије, бр. 17/09</w:t>
      </w:r>
    </w:p>
  </w:footnote>
  <w:footnote w:id="21">
    <w:p w14:paraId="78B386F0" w14:textId="5DF55408" w:rsidR="00990755" w:rsidRPr="00FF386D" w:rsidRDefault="00990755">
      <w:pPr>
        <w:pStyle w:val="FootnoteText"/>
      </w:pPr>
      <w:r w:rsidRPr="000A2AFE">
        <w:rPr>
          <w:rStyle w:val="FootnoteReference"/>
          <w:lang w:val="sr-Cyrl-RS"/>
        </w:rPr>
        <w:footnoteRef/>
      </w:r>
      <w:r w:rsidRPr="000A2AFE">
        <w:rPr>
          <w:rFonts w:asciiTheme="majorHAnsi" w:hAnsiTheme="majorHAnsi" w:cstheme="majorHAnsi"/>
        </w:rPr>
        <w:t>Службени гласник РС, бр. 145/14, 95/18 и 40/21 и 35/23</w:t>
      </w:r>
      <w:r w:rsidRPr="00FF386D">
        <w:rPr>
          <w:rFonts w:asciiTheme="majorHAnsi" w:hAnsiTheme="majorHAnsi" w:cstheme="majorHAnsi"/>
        </w:rPr>
        <w:t xml:space="preserve"> </w:t>
      </w:r>
      <w:r w:rsidRPr="000A2AFE">
        <w:rPr>
          <w:rFonts w:asciiTheme="majorHAnsi" w:hAnsiTheme="majorHAnsi" w:cstheme="majorHAnsi"/>
        </w:rPr>
        <w:t>-</w:t>
      </w:r>
      <w:r w:rsidRPr="00FF386D">
        <w:rPr>
          <w:rFonts w:asciiTheme="majorHAnsi" w:hAnsiTheme="majorHAnsi" w:cstheme="majorHAnsi"/>
        </w:rPr>
        <w:t xml:space="preserve"> </w:t>
      </w:r>
      <w:r w:rsidRPr="000A2AFE">
        <w:rPr>
          <w:rFonts w:asciiTheme="majorHAnsi" w:hAnsiTheme="majorHAnsi" w:cstheme="majorHAnsi"/>
        </w:rPr>
        <w:t>др. закон</w:t>
      </w:r>
    </w:p>
  </w:footnote>
  <w:footnote w:id="22">
    <w:p w14:paraId="6D0A2DCD" w14:textId="4DCBFF5A"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 xml:space="preserve">Службени гласник РС, бр. 56/16, 60/17, 44/18 - др. </w:t>
      </w:r>
      <w:r w:rsidRPr="00FF386D">
        <w:rPr>
          <w:rFonts w:asciiTheme="majorHAnsi" w:hAnsiTheme="majorHAnsi" w:cstheme="majorHAnsi"/>
        </w:rPr>
        <w:t>з</w:t>
      </w:r>
      <w:r w:rsidRPr="000A2AFE">
        <w:rPr>
          <w:rFonts w:asciiTheme="majorHAnsi" w:hAnsiTheme="majorHAnsi" w:cstheme="majorHAnsi"/>
        </w:rPr>
        <w:t>акон, 54/19, 112/21 - др. уредба</w:t>
      </w:r>
    </w:p>
  </w:footnote>
  <w:footnote w:id="23">
    <w:p w14:paraId="3A8BF5E1" w14:textId="3117D426"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Службени гласник РС, бр. 56/16, 60/17, 91/18,</w:t>
      </w:r>
    </w:p>
  </w:footnote>
  <w:footnote w:id="24">
    <w:p w14:paraId="26647B80" w14:textId="7A327B69"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Службени гласник РС, бр. 56/16, 61/17 и 106/20</w:t>
      </w:r>
    </w:p>
  </w:footnote>
  <w:footnote w:id="25">
    <w:p w14:paraId="77E2B144" w14:textId="77777777"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Службени гласник РС, бр.12/16</w:t>
      </w:r>
    </w:p>
  </w:footnote>
  <w:footnote w:id="26">
    <w:p w14:paraId="00AD55AF" w14:textId="377E48E9" w:rsidR="00990755" w:rsidRPr="00FF386D" w:rsidRDefault="00990755">
      <w:pPr>
        <w:pStyle w:val="FootnoteText"/>
      </w:pPr>
      <w:r w:rsidRPr="000A2AFE">
        <w:rPr>
          <w:rStyle w:val="FootnoteReference"/>
          <w:lang w:val="sr-Cyrl-RS"/>
        </w:rPr>
        <w:footnoteRef/>
      </w:r>
      <w:r w:rsidRPr="000A2AFE">
        <w:rPr>
          <w:rFonts w:asciiTheme="majorHAnsi" w:hAnsiTheme="majorHAnsi" w:cstheme="majorHAnsi"/>
        </w:rPr>
        <w:t>Службени гласник РС, бр. 112/21</w:t>
      </w:r>
    </w:p>
  </w:footnote>
  <w:footnote w:id="27">
    <w:p w14:paraId="0EFF9DB6" w14:textId="46D21BD0" w:rsidR="00990755" w:rsidRPr="00FF386D" w:rsidRDefault="00990755">
      <w:pPr>
        <w:pStyle w:val="FootnoteText"/>
      </w:pPr>
      <w:r w:rsidRPr="000A2AFE">
        <w:rPr>
          <w:rStyle w:val="FootnoteReference"/>
          <w:lang w:val="sr-Cyrl-RS"/>
        </w:rPr>
        <w:footnoteRef/>
      </w:r>
      <w:r w:rsidRPr="000A2AFE">
        <w:rPr>
          <w:rFonts w:asciiTheme="majorHAnsi" w:hAnsiTheme="majorHAnsi" w:cstheme="majorHAnsi"/>
        </w:rPr>
        <w:t>Службени гласник РС, бр. 45/23</w:t>
      </w:r>
    </w:p>
  </w:footnote>
  <w:footnote w:id="28">
    <w:p w14:paraId="43D17A57" w14:textId="24F963F9" w:rsidR="00990755" w:rsidRPr="00FF386D" w:rsidRDefault="00990755" w:rsidP="001927AB">
      <w:pPr>
        <w:pStyle w:val="FootnoteText"/>
      </w:pPr>
      <w:r w:rsidRPr="000A2AFE">
        <w:rPr>
          <w:rStyle w:val="FootnoteReference"/>
          <w:lang w:val="sr-Cyrl-RS"/>
        </w:rPr>
        <w:footnoteRef/>
      </w:r>
      <w:r w:rsidRPr="000A2AFE">
        <w:rPr>
          <w:rFonts w:asciiTheme="majorHAnsi" w:hAnsiTheme="majorHAnsi" w:cstheme="majorHAnsi"/>
        </w:rPr>
        <w:t>Службени гласник РС, бр. 45/23</w:t>
      </w:r>
    </w:p>
  </w:footnote>
  <w:footnote w:id="29">
    <w:p w14:paraId="120AF7B4" w14:textId="10730964" w:rsidR="00990755" w:rsidRPr="00FF386D" w:rsidRDefault="00990755">
      <w:pPr>
        <w:pStyle w:val="FootnoteText"/>
        <w:rPr>
          <w:rFonts w:asciiTheme="majorHAnsi" w:hAnsiTheme="majorHAnsi" w:cstheme="majorHAnsi"/>
        </w:rPr>
      </w:pPr>
      <w:r w:rsidRPr="000A2AFE">
        <w:rPr>
          <w:rStyle w:val="FootnoteReference"/>
          <w:rFonts w:asciiTheme="majorHAnsi" w:hAnsiTheme="majorHAnsi" w:cstheme="majorHAnsi"/>
          <w:lang w:val="sr-Cyrl-RS"/>
        </w:rPr>
        <w:footnoteRef/>
      </w:r>
      <w:r w:rsidRPr="00FF386D">
        <w:rPr>
          <w:rFonts w:asciiTheme="majorHAnsi" w:hAnsiTheme="majorHAnsi" w:cstheme="majorHAnsi"/>
        </w:rPr>
        <w:t>Службени гласник РС, бр. 40/21</w:t>
      </w:r>
    </w:p>
  </w:footnote>
  <w:footnote w:id="30">
    <w:p w14:paraId="0A2EEDEA" w14:textId="283BE8E4" w:rsidR="00990755" w:rsidRPr="00FF386D" w:rsidRDefault="00990755">
      <w:pPr>
        <w:pStyle w:val="FootnoteText"/>
        <w:rPr>
          <w:rFonts w:asciiTheme="majorHAnsi" w:hAnsiTheme="majorHAnsi" w:cstheme="majorHAnsi"/>
        </w:rPr>
      </w:pPr>
      <w:r w:rsidRPr="000A2AFE">
        <w:rPr>
          <w:rStyle w:val="FootnoteReference"/>
          <w:rFonts w:asciiTheme="majorHAnsi" w:hAnsiTheme="majorHAnsi" w:cstheme="majorHAnsi"/>
          <w:lang w:val="sr-Cyrl-RS"/>
        </w:rPr>
        <w:footnoteRef/>
      </w:r>
      <w:r w:rsidRPr="00FF386D">
        <w:rPr>
          <w:rFonts w:asciiTheme="majorHAnsi" w:hAnsiTheme="majorHAnsi" w:cstheme="majorHAnsi"/>
        </w:rPr>
        <w:t>Службени гласник РС, бр. 35/23</w:t>
      </w:r>
    </w:p>
  </w:footnote>
  <w:footnote w:id="31">
    <w:p w14:paraId="4EB780C1" w14:textId="14BFCC82"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 xml:space="preserve">Службени гласник РС, бр. 40/21 </w:t>
      </w:r>
      <w:r w:rsidRPr="00FF386D">
        <w:rPr>
          <w:rFonts w:asciiTheme="majorHAnsi" w:hAnsiTheme="majorHAnsi" w:cstheme="majorHAnsi"/>
        </w:rPr>
        <w:t>и 35/23</w:t>
      </w:r>
    </w:p>
  </w:footnote>
  <w:footnote w:id="32">
    <w:p w14:paraId="70D33A1C" w14:textId="77777777" w:rsidR="00990755" w:rsidRPr="000A2AFE" w:rsidRDefault="00990755" w:rsidP="00EB3C75">
      <w:pPr>
        <w:pStyle w:val="FootnoteText"/>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Службени гласник РС, бр. 40/21</w:t>
      </w:r>
    </w:p>
  </w:footnote>
  <w:footnote w:id="33">
    <w:p w14:paraId="5000959F" w14:textId="112E29EC" w:rsidR="00990755" w:rsidRPr="00FF386D" w:rsidRDefault="00990755">
      <w:pPr>
        <w:pStyle w:val="FootnoteText"/>
      </w:pPr>
      <w:r w:rsidRPr="000A2AFE">
        <w:rPr>
          <w:rStyle w:val="FootnoteReference"/>
          <w:lang w:val="sr-Cyrl-RS"/>
        </w:rPr>
        <w:footnoteRef/>
      </w:r>
      <w:r w:rsidRPr="00FF386D">
        <w:rPr>
          <w:rFonts w:asciiTheme="majorHAnsi" w:hAnsiTheme="majorHAnsi" w:cstheme="majorHAnsi"/>
        </w:rPr>
        <w:t>Службени гласник РС, бр. 71/19</w:t>
      </w:r>
    </w:p>
  </w:footnote>
  <w:footnote w:id="34">
    <w:p w14:paraId="36B37BC8" w14:textId="466D6B5F" w:rsidR="00990755" w:rsidRPr="00FF386D" w:rsidRDefault="00990755">
      <w:pPr>
        <w:pStyle w:val="FootnoteText"/>
      </w:pPr>
      <w:r w:rsidRPr="000A2AFE">
        <w:rPr>
          <w:rStyle w:val="FootnoteReference"/>
          <w:lang w:val="sr-Cyrl-RS"/>
        </w:rPr>
        <w:footnoteRef/>
      </w:r>
      <w:r w:rsidRPr="00FF386D">
        <w:rPr>
          <w:rFonts w:asciiTheme="majorHAnsi" w:hAnsiTheme="majorHAnsi" w:cstheme="majorHAnsi"/>
        </w:rPr>
        <w:t>Службени гласник РС, бр. 73/19</w:t>
      </w:r>
    </w:p>
  </w:footnote>
  <w:footnote w:id="35">
    <w:p w14:paraId="599A4954" w14:textId="0B923272" w:rsidR="00990755" w:rsidRPr="00FF386D" w:rsidRDefault="00990755">
      <w:pPr>
        <w:pStyle w:val="FootnoteText"/>
      </w:pPr>
      <w:r w:rsidRPr="000A2AFE">
        <w:rPr>
          <w:rStyle w:val="FootnoteReference"/>
          <w:lang w:val="sr-Cyrl-RS"/>
        </w:rPr>
        <w:footnoteRef/>
      </w:r>
      <w:r w:rsidRPr="00FF386D">
        <w:rPr>
          <w:rFonts w:asciiTheme="majorHAnsi" w:hAnsiTheme="majorHAnsi" w:cstheme="majorHAnsi"/>
        </w:rPr>
        <w:t>Службени гласник РС, бр. 89/19</w:t>
      </w:r>
    </w:p>
  </w:footnote>
  <w:footnote w:id="36">
    <w:p w14:paraId="11800058" w14:textId="7535EE85" w:rsidR="00990755" w:rsidRPr="00FF386D" w:rsidRDefault="00990755">
      <w:pPr>
        <w:pStyle w:val="FootnoteText"/>
      </w:pPr>
      <w:r w:rsidRPr="000A2AFE">
        <w:rPr>
          <w:rStyle w:val="FootnoteReference"/>
          <w:lang w:val="sr-Cyrl-RS"/>
        </w:rPr>
        <w:footnoteRef/>
      </w:r>
      <w:r w:rsidRPr="00FF386D">
        <w:rPr>
          <w:rFonts w:asciiTheme="majorHAnsi" w:hAnsiTheme="majorHAnsi" w:cstheme="majorHAnsi"/>
        </w:rPr>
        <w:t>Службени гласник РС, бр. 37/20</w:t>
      </w:r>
    </w:p>
  </w:footnote>
  <w:footnote w:id="37">
    <w:p w14:paraId="726947BE" w14:textId="77777777" w:rsidR="00990755" w:rsidRPr="000A2AFE" w:rsidRDefault="00990755" w:rsidP="00EB3C75">
      <w:pPr>
        <w:pStyle w:val="FootnoteText"/>
        <w:jc w:val="both"/>
        <w:rPr>
          <w:rFonts w:asciiTheme="majorHAnsi" w:hAnsiTheme="majorHAnsi" w:cstheme="majorHAnsi"/>
        </w:rPr>
      </w:pPr>
      <w:r w:rsidRPr="000A2AFE">
        <w:rPr>
          <w:rStyle w:val="FootnoteReference"/>
          <w:rFonts w:eastAsiaTheme="majorEastAsia"/>
          <w:lang w:val="sr-Cyrl-RS"/>
        </w:rPr>
        <w:footnoteRef/>
      </w:r>
      <w:r w:rsidRPr="000A2AFE">
        <w:rPr>
          <w:rFonts w:asciiTheme="majorHAnsi" w:hAnsiTheme="majorHAnsi" w:cstheme="majorHAnsi"/>
        </w:rPr>
        <w:t>Службени гласник РС, бр. 40/21</w:t>
      </w:r>
    </w:p>
  </w:footnote>
  <w:footnote w:id="38">
    <w:p w14:paraId="4BF242BA" w14:textId="1D624913"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lang w:eastAsia="el-GR"/>
        </w:rPr>
        <w:t>Службени гласник РС, бр. 25/13</w:t>
      </w:r>
    </w:p>
  </w:footnote>
  <w:footnote w:id="39">
    <w:p w14:paraId="27F6B968" w14:textId="5E9A1400" w:rsidR="00990755" w:rsidRPr="000A2AFE" w:rsidRDefault="00990755" w:rsidP="00EB3C75">
      <w:pPr>
        <w:pStyle w:val="FootnoteText"/>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Преношење је обухватило ревизије ЕЕД Директивом 2013/12/ЕУ, Директивом (ЕУ) 2018/844, Директивом (ЕУ) 2018/2002, Уредбом (ЕУ) 2018/1999, Делегираном Уредбом Комисије (ЕУ) 2019/826 и Директивом (ЕУ) 2019/944.</w:t>
      </w:r>
    </w:p>
  </w:footnote>
  <w:footnote w:id="40">
    <w:p w14:paraId="6940DDBD" w14:textId="1947C657" w:rsidR="00990755" w:rsidRPr="00FF386D" w:rsidRDefault="00990755">
      <w:pPr>
        <w:pStyle w:val="FootnoteText"/>
      </w:pPr>
      <w:r w:rsidRPr="000A2AFE">
        <w:rPr>
          <w:rStyle w:val="FootnoteReference"/>
          <w:lang w:val="sr-Cyrl-RS"/>
        </w:rPr>
        <w:footnoteRef/>
      </w:r>
      <w:r w:rsidRPr="00FF386D">
        <w:rPr>
          <w:rFonts w:asciiTheme="majorHAnsi" w:hAnsiTheme="majorHAnsi" w:cstheme="majorHAnsi"/>
        </w:rPr>
        <w:t>Службени гласник РС, бр. 30/22</w:t>
      </w:r>
    </w:p>
  </w:footnote>
  <w:footnote w:id="41">
    <w:p w14:paraId="7D72265C" w14:textId="1C70CD0B" w:rsidR="00990755" w:rsidRPr="00FF386D" w:rsidRDefault="00990755">
      <w:pPr>
        <w:pStyle w:val="FootnoteText"/>
      </w:pPr>
      <w:r w:rsidRPr="000A2AFE">
        <w:rPr>
          <w:rStyle w:val="FootnoteReference"/>
          <w:lang w:val="sr-Cyrl-RS"/>
        </w:rPr>
        <w:footnoteRef/>
      </w:r>
      <w:r w:rsidRPr="00FF386D">
        <w:rPr>
          <w:rFonts w:asciiTheme="majorHAnsi" w:hAnsiTheme="majorHAnsi" w:cstheme="majorHAnsi"/>
        </w:rPr>
        <w:t>Службени гласник РС, бр. 44/22</w:t>
      </w:r>
    </w:p>
  </w:footnote>
  <w:footnote w:id="42">
    <w:p w14:paraId="31D3CC05" w14:textId="22EEECB9" w:rsidR="00990755" w:rsidRPr="00FF386D" w:rsidRDefault="00990755">
      <w:pPr>
        <w:pStyle w:val="FootnoteText"/>
      </w:pPr>
      <w:r w:rsidRPr="000A2AFE">
        <w:rPr>
          <w:rStyle w:val="FootnoteReference"/>
          <w:lang w:val="sr-Cyrl-RS"/>
        </w:rPr>
        <w:footnoteRef/>
      </w:r>
      <w:bookmarkStart w:id="49" w:name="_Hlk146543553"/>
      <w:r w:rsidRPr="00FF386D">
        <w:rPr>
          <w:rFonts w:asciiTheme="majorHAnsi" w:hAnsiTheme="majorHAnsi" w:cstheme="majorHAnsi"/>
        </w:rPr>
        <w:t xml:space="preserve">Службени гласник РС, бр. </w:t>
      </w:r>
      <w:bookmarkEnd w:id="49"/>
      <w:r w:rsidRPr="00FF386D">
        <w:rPr>
          <w:rFonts w:asciiTheme="majorHAnsi" w:hAnsiTheme="majorHAnsi" w:cstheme="majorHAnsi"/>
        </w:rPr>
        <w:t>59/22</w:t>
      </w:r>
    </w:p>
  </w:footnote>
  <w:footnote w:id="43">
    <w:p w14:paraId="1C653324" w14:textId="0720FFF7" w:rsidR="00990755" w:rsidRPr="00FF386D" w:rsidRDefault="00990755">
      <w:pPr>
        <w:pStyle w:val="FootnoteText"/>
      </w:pPr>
      <w:r w:rsidRPr="000A2AFE">
        <w:rPr>
          <w:rStyle w:val="FootnoteReference"/>
          <w:lang w:val="sr-Cyrl-RS"/>
        </w:rPr>
        <w:footnoteRef/>
      </w:r>
      <w:r w:rsidRPr="00FF386D">
        <w:rPr>
          <w:rFonts w:asciiTheme="majorHAnsi" w:hAnsiTheme="majorHAnsi" w:cstheme="majorHAnsi"/>
        </w:rPr>
        <w:t>Службени гласник РС, бр. 43/23</w:t>
      </w:r>
    </w:p>
  </w:footnote>
  <w:footnote w:id="44">
    <w:p w14:paraId="64B5816F" w14:textId="2BE568DB" w:rsidR="00990755" w:rsidRPr="00FF386D" w:rsidRDefault="00990755">
      <w:pPr>
        <w:pStyle w:val="FootnoteText"/>
      </w:pPr>
      <w:r w:rsidRPr="000A2AFE">
        <w:rPr>
          <w:rStyle w:val="FootnoteReference"/>
          <w:lang w:val="sr-Cyrl-RS"/>
        </w:rPr>
        <w:footnoteRef/>
      </w:r>
      <w:r w:rsidRPr="000A2AFE">
        <w:rPr>
          <w:rFonts w:asciiTheme="majorHAnsi" w:hAnsiTheme="majorHAnsi" w:cstheme="majorHAnsi"/>
        </w:rPr>
        <w:t>Службени гласник РС, бр. 72/09, 81/09 - исправка, 64/10 - УС, 24/11, 121/12, 42/13 - УС, 50/13 - УС, 98/13 - УС, 132/14, 145/14, 83/18, 31/19, 37/19 – др.закон, 9/20, 52/21, 62/23</w:t>
      </w:r>
    </w:p>
  </w:footnote>
  <w:footnote w:id="45">
    <w:p w14:paraId="7EE4EA2F" w14:textId="2F67B831" w:rsidR="00990755" w:rsidRPr="00FF386D" w:rsidRDefault="00990755">
      <w:pPr>
        <w:pStyle w:val="FootnoteText"/>
      </w:pPr>
      <w:r w:rsidRPr="000A2AFE">
        <w:rPr>
          <w:rStyle w:val="FootnoteReference"/>
          <w:lang w:val="sr-Cyrl-RS"/>
        </w:rPr>
        <w:footnoteRef/>
      </w:r>
      <w:r w:rsidRPr="00FF386D">
        <w:rPr>
          <w:rFonts w:asciiTheme="majorHAnsi" w:hAnsiTheme="majorHAnsi" w:cstheme="majorHAnsi"/>
        </w:rPr>
        <w:t>Службени гласник РС, бр. 83/18</w:t>
      </w:r>
    </w:p>
  </w:footnote>
  <w:footnote w:id="46">
    <w:p w14:paraId="5E027387" w14:textId="24005113" w:rsidR="00990755" w:rsidRPr="00461519" w:rsidRDefault="00990755">
      <w:pPr>
        <w:pStyle w:val="FootnoteText"/>
        <w:rPr>
          <w:lang w:val="sr-Cyrl-CS"/>
        </w:rPr>
      </w:pPr>
      <w:r>
        <w:rPr>
          <w:rStyle w:val="FootnoteReference"/>
        </w:rPr>
        <w:footnoteRef/>
      </w:r>
      <w:r>
        <w:t xml:space="preserve"> </w:t>
      </w:r>
      <w:r w:rsidRPr="002C40BD">
        <w:rPr>
          <w:rFonts w:asciiTheme="majorHAnsi" w:hAnsiTheme="majorHAnsi" w:cstheme="majorHAnsi"/>
          <w:lang w:val="en-GB" w:eastAsia="el-GR"/>
        </w:rPr>
        <w:t>https</w:t>
      </w:r>
      <w:r w:rsidRPr="00C312D6">
        <w:rPr>
          <w:rFonts w:asciiTheme="majorHAnsi" w:hAnsiTheme="majorHAnsi" w:cstheme="majorHAnsi"/>
          <w:lang w:eastAsia="el-GR"/>
        </w:rPr>
        <w:t>://</w:t>
      </w:r>
      <w:r w:rsidRPr="002C40BD">
        <w:rPr>
          <w:rFonts w:asciiTheme="majorHAnsi" w:hAnsiTheme="majorHAnsi" w:cstheme="majorHAnsi"/>
          <w:lang w:val="en-GB" w:eastAsia="el-GR"/>
        </w:rPr>
        <w:t>www</w:t>
      </w:r>
      <w:r w:rsidRPr="00C312D6">
        <w:rPr>
          <w:rFonts w:asciiTheme="majorHAnsi" w:hAnsiTheme="majorHAnsi" w:cstheme="majorHAnsi"/>
          <w:lang w:eastAsia="el-GR"/>
        </w:rPr>
        <w:t>.</w:t>
      </w:r>
      <w:r w:rsidRPr="002C40BD">
        <w:rPr>
          <w:rFonts w:asciiTheme="majorHAnsi" w:hAnsiTheme="majorHAnsi" w:cstheme="majorHAnsi"/>
          <w:lang w:val="en-GB" w:eastAsia="el-GR"/>
        </w:rPr>
        <w:t>crep</w:t>
      </w:r>
      <w:r w:rsidRPr="00C312D6">
        <w:rPr>
          <w:rFonts w:asciiTheme="majorHAnsi" w:hAnsiTheme="majorHAnsi" w:cstheme="majorHAnsi"/>
          <w:lang w:eastAsia="el-GR"/>
        </w:rPr>
        <w:t>.</w:t>
      </w:r>
      <w:r w:rsidRPr="002C40BD">
        <w:rPr>
          <w:rFonts w:asciiTheme="majorHAnsi" w:hAnsiTheme="majorHAnsi" w:cstheme="majorHAnsi"/>
          <w:lang w:val="en-GB" w:eastAsia="el-GR"/>
        </w:rPr>
        <w:t>gov</w:t>
      </w:r>
      <w:r w:rsidRPr="00C312D6">
        <w:rPr>
          <w:rFonts w:asciiTheme="majorHAnsi" w:hAnsiTheme="majorHAnsi" w:cstheme="majorHAnsi"/>
          <w:lang w:eastAsia="el-GR"/>
        </w:rPr>
        <w:t>.</w:t>
      </w:r>
      <w:r w:rsidRPr="002C40BD">
        <w:rPr>
          <w:rFonts w:asciiTheme="majorHAnsi" w:hAnsiTheme="majorHAnsi" w:cstheme="majorHAnsi"/>
          <w:lang w:val="en-GB" w:eastAsia="el-GR"/>
        </w:rPr>
        <w:t>rs</w:t>
      </w:r>
      <w:r w:rsidRPr="00C312D6">
        <w:rPr>
          <w:rFonts w:asciiTheme="majorHAnsi" w:hAnsiTheme="majorHAnsi" w:cstheme="majorHAnsi"/>
          <w:lang w:eastAsia="el-GR"/>
        </w:rPr>
        <w:t>/</w:t>
      </w:r>
      <w:r w:rsidRPr="002C40BD">
        <w:rPr>
          <w:rFonts w:asciiTheme="majorHAnsi" w:hAnsiTheme="majorHAnsi" w:cstheme="majorHAnsi"/>
          <w:lang w:val="en-GB" w:eastAsia="el-GR"/>
        </w:rPr>
        <w:t>EnergetskiPasosi</w:t>
      </w:r>
      <w:r w:rsidRPr="00C312D6">
        <w:rPr>
          <w:rFonts w:asciiTheme="majorHAnsi" w:hAnsiTheme="majorHAnsi" w:cstheme="majorHAnsi"/>
          <w:lang w:eastAsia="el-GR"/>
        </w:rPr>
        <w:t>.</w:t>
      </w:r>
      <w:r w:rsidRPr="002C40BD">
        <w:rPr>
          <w:rFonts w:asciiTheme="majorHAnsi" w:hAnsiTheme="majorHAnsi" w:cstheme="majorHAnsi"/>
          <w:lang w:val="en-GB" w:eastAsia="el-GR"/>
        </w:rPr>
        <w:t>aspx</w:t>
      </w:r>
    </w:p>
  </w:footnote>
  <w:footnote w:id="47">
    <w:p w14:paraId="3F338A78" w14:textId="57FE2362" w:rsidR="00990755" w:rsidRPr="00FF386D"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FF386D">
        <w:rPr>
          <w:rFonts w:asciiTheme="majorHAnsi" w:hAnsiTheme="majorHAnsi" w:cstheme="majorHAnsi"/>
        </w:rPr>
        <w:t>Службени гласник РС, бр. 9/20</w:t>
      </w:r>
    </w:p>
  </w:footnote>
  <w:footnote w:id="48">
    <w:p w14:paraId="37540692" w14:textId="4BA04935" w:rsidR="00990755" w:rsidRPr="00FF386D"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FF386D">
        <w:rPr>
          <w:rFonts w:asciiTheme="majorHAnsi" w:hAnsiTheme="majorHAnsi" w:cstheme="majorHAnsi"/>
        </w:rPr>
        <w:t>Службени гласник РС, бр. 27/22</w:t>
      </w:r>
    </w:p>
  </w:footnote>
  <w:footnote w:id="49">
    <w:p w14:paraId="2D8CD4E0" w14:textId="31174CF9" w:rsidR="00990755" w:rsidRPr="000A2AFE" w:rsidRDefault="00990755" w:rsidP="00EB3C75">
      <w:pPr>
        <w:spacing w:after="0" w:line="240" w:lineRule="auto"/>
        <w:jc w:val="both"/>
        <w:rPr>
          <w:rFonts w:asciiTheme="majorHAnsi" w:hAnsiTheme="majorHAnsi" w:cstheme="majorHAnsi"/>
          <w:sz w:val="20"/>
          <w:szCs w:val="20"/>
        </w:rPr>
      </w:pPr>
      <w:r w:rsidRPr="00FF386D">
        <w:rPr>
          <w:rFonts w:asciiTheme="majorHAnsi" w:hAnsiTheme="majorHAnsi" w:cstheme="majorHAnsi"/>
          <w:sz w:val="20"/>
          <w:szCs w:val="20"/>
          <w:vertAlign w:val="superscript"/>
        </w:rPr>
        <w:footnoteRef/>
      </w:r>
      <w:r w:rsidRPr="000A2AFE">
        <w:rPr>
          <w:rFonts w:asciiTheme="majorHAnsi" w:hAnsiTheme="majorHAnsi" w:cstheme="majorHAnsi"/>
          <w:sz w:val="20"/>
          <w:szCs w:val="20"/>
        </w:rPr>
        <w:t>Службени гласник РС, бр. 104/16 и 09/20</w:t>
      </w:r>
    </w:p>
  </w:footnote>
  <w:footnote w:id="50">
    <w:p w14:paraId="0ECF53F2" w14:textId="7EAB66F0" w:rsidR="00990755" w:rsidRPr="000A2AFE" w:rsidRDefault="00990755" w:rsidP="00EB3C75">
      <w:pPr>
        <w:pStyle w:val="FootnoteText"/>
        <w:jc w:val="both"/>
        <w:rPr>
          <w:rFonts w:asciiTheme="majorHAnsi" w:hAnsiTheme="majorHAnsi" w:cstheme="majorHAnsi"/>
        </w:rPr>
      </w:pPr>
      <w:r w:rsidRPr="00FF386D">
        <w:rPr>
          <w:rFonts w:asciiTheme="majorHAnsi" w:hAnsiTheme="majorHAnsi" w:cstheme="majorHAnsi"/>
          <w:vertAlign w:val="superscript"/>
        </w:rPr>
        <w:footnoteRef/>
      </w:r>
      <w:r w:rsidRPr="000A2AFE">
        <w:rPr>
          <w:rFonts w:asciiTheme="majorHAnsi" w:hAnsiTheme="majorHAnsi" w:cstheme="majorHAnsi"/>
        </w:rPr>
        <w:t>Службени гласник РС, бр. 61/11</w:t>
      </w:r>
    </w:p>
  </w:footnote>
  <w:footnote w:id="51">
    <w:p w14:paraId="42D411BA" w14:textId="2F7ED83D" w:rsidR="00990755" w:rsidRPr="00FF386D" w:rsidRDefault="00990755" w:rsidP="00EB3C75">
      <w:pPr>
        <w:pStyle w:val="FootnoteText"/>
        <w:jc w:val="both"/>
        <w:rPr>
          <w:rFonts w:asciiTheme="majorHAnsi" w:hAnsiTheme="majorHAnsi" w:cstheme="majorHAnsi"/>
        </w:rPr>
      </w:pPr>
      <w:r w:rsidRPr="000A2AFE">
        <w:rPr>
          <w:rFonts w:asciiTheme="majorHAnsi" w:hAnsiTheme="majorHAnsi" w:cstheme="majorHAnsi"/>
          <w:vertAlign w:val="superscript"/>
        </w:rPr>
        <w:footnoteRef/>
      </w:r>
      <w:r w:rsidRPr="000A2AFE">
        <w:rPr>
          <w:rFonts w:asciiTheme="majorHAnsi" w:hAnsiTheme="majorHAnsi" w:cstheme="majorHAnsi"/>
        </w:rPr>
        <w:t>Службени гласник РС, бр. 69/12</w:t>
      </w:r>
      <w:r w:rsidRPr="00FF386D">
        <w:rPr>
          <w:rFonts w:asciiTheme="majorHAnsi" w:hAnsiTheme="majorHAnsi" w:cstheme="majorHAnsi"/>
        </w:rPr>
        <w:t>, 44/18 др.закон и 111/22</w:t>
      </w:r>
    </w:p>
  </w:footnote>
  <w:footnote w:id="52">
    <w:p w14:paraId="7BDEA99E" w14:textId="678AF6F0" w:rsidR="00990755" w:rsidRPr="00FF386D" w:rsidRDefault="00990755">
      <w:pPr>
        <w:pStyle w:val="FootnoteText"/>
      </w:pPr>
      <w:r w:rsidRPr="000A2AFE">
        <w:rPr>
          <w:rStyle w:val="FootnoteReference"/>
          <w:lang w:val="sr-Cyrl-RS"/>
        </w:rPr>
        <w:footnoteRef/>
      </w:r>
      <w:r w:rsidRPr="00FF386D">
        <w:rPr>
          <w:rFonts w:asciiTheme="majorHAnsi" w:hAnsiTheme="majorHAnsi" w:cstheme="majorHAnsi"/>
        </w:rPr>
        <w:t>Службени гласник РС, бр. 91/19</w:t>
      </w:r>
    </w:p>
  </w:footnote>
  <w:footnote w:id="53">
    <w:p w14:paraId="5CB8E9DB" w14:textId="525AE91F" w:rsidR="00990755" w:rsidRPr="000A2AFE" w:rsidRDefault="00990755" w:rsidP="00EB3C75">
      <w:pPr>
        <w:pStyle w:val="LDKbody"/>
        <w:spacing w:before="0" w:after="0"/>
        <w:rPr>
          <w:rFonts w:asciiTheme="majorHAnsi" w:hAnsiTheme="majorHAnsi" w:cstheme="majorHAnsi"/>
          <w:sz w:val="20"/>
          <w:szCs w:val="20"/>
          <w:lang w:val="sr-Cyrl-RS"/>
        </w:rPr>
      </w:pPr>
      <w:r w:rsidRPr="000A2AFE">
        <w:rPr>
          <w:rFonts w:asciiTheme="majorHAnsi" w:hAnsiTheme="majorHAnsi" w:cstheme="majorHAnsi"/>
          <w:sz w:val="20"/>
          <w:szCs w:val="20"/>
          <w:vertAlign w:val="superscript"/>
          <w:lang w:val="sr-Cyrl-RS"/>
        </w:rPr>
        <w:footnoteRef/>
      </w:r>
      <w:r w:rsidRPr="000A2AFE">
        <w:rPr>
          <w:rFonts w:asciiTheme="majorHAnsi" w:hAnsiTheme="majorHAnsi" w:cstheme="majorHAnsi"/>
          <w:sz w:val="20"/>
          <w:szCs w:val="20"/>
          <w:lang w:val="sr-Cyrl-RS"/>
        </w:rPr>
        <w:t>Службени гласник РС, бр.</w:t>
      </w:r>
      <w:r w:rsidRPr="00FF386D">
        <w:rPr>
          <w:rFonts w:asciiTheme="majorHAnsi" w:hAnsiTheme="majorHAnsi" w:cstheme="majorHAnsi"/>
          <w:sz w:val="20"/>
          <w:szCs w:val="20"/>
          <w:lang w:val="sr-Cyrl-RS"/>
        </w:rPr>
        <w:t xml:space="preserve"> </w:t>
      </w:r>
      <w:r w:rsidRPr="000A2AFE">
        <w:rPr>
          <w:rFonts w:asciiTheme="majorHAnsi" w:hAnsiTheme="majorHAnsi" w:cstheme="majorHAnsi"/>
          <w:sz w:val="20"/>
          <w:szCs w:val="20"/>
          <w:lang w:val="sr-Cyrl-RS"/>
        </w:rPr>
        <w:t>30/18</w:t>
      </w:r>
    </w:p>
  </w:footnote>
  <w:footnote w:id="54">
    <w:p w14:paraId="504B6CB4" w14:textId="5F255197" w:rsidR="00990755" w:rsidRPr="00FF386D" w:rsidRDefault="00990755">
      <w:pPr>
        <w:pStyle w:val="FootnoteText"/>
      </w:pPr>
      <w:r w:rsidRPr="000A2AFE">
        <w:rPr>
          <w:rStyle w:val="FootnoteReference"/>
          <w:rFonts w:asciiTheme="majorHAnsi" w:hAnsiTheme="majorHAnsi" w:cstheme="majorHAnsi"/>
          <w:lang w:val="sr-Cyrl-RS"/>
        </w:rPr>
        <w:footnoteRef/>
      </w:r>
      <w:r w:rsidRPr="00FF386D">
        <w:rPr>
          <w:rFonts w:asciiTheme="majorHAnsi" w:hAnsiTheme="majorHAnsi" w:cstheme="majorHAnsi"/>
        </w:rPr>
        <w:t>Службени гласник РС, бр. 95/18, 49/19 и 86/19</w:t>
      </w:r>
    </w:p>
  </w:footnote>
  <w:footnote w:id="55">
    <w:p w14:paraId="580C8B2E" w14:textId="6DAA6D87" w:rsidR="00990755" w:rsidRPr="00FF386D" w:rsidRDefault="00990755">
      <w:pPr>
        <w:pStyle w:val="FootnoteText"/>
        <w:rPr>
          <w:rFonts w:asciiTheme="majorHAnsi" w:hAnsiTheme="majorHAnsi" w:cstheme="majorHAnsi"/>
        </w:rPr>
      </w:pPr>
      <w:r w:rsidRPr="000A2AFE">
        <w:rPr>
          <w:rStyle w:val="FootnoteReference"/>
          <w:lang w:val="sr-Cyrl-RS"/>
        </w:rPr>
        <w:footnoteRef/>
      </w:r>
      <w:r w:rsidRPr="00FF386D">
        <w:rPr>
          <w:rFonts w:asciiTheme="majorHAnsi" w:hAnsiTheme="majorHAnsi" w:cstheme="majorHAnsi"/>
        </w:rPr>
        <w:t>Службени гласник РС, бр. 41/19</w:t>
      </w:r>
    </w:p>
  </w:footnote>
  <w:footnote w:id="56">
    <w:p w14:paraId="060D2CFB" w14:textId="77777777" w:rsidR="00990755" w:rsidRPr="000A2AFE" w:rsidRDefault="00990755" w:rsidP="00EB3C75">
      <w:pPr>
        <w:pStyle w:val="FootnoteText"/>
        <w:rPr>
          <w:rFonts w:asciiTheme="majorHAnsi" w:hAnsiTheme="majorHAnsi"/>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 xml:space="preserve">Службени гласник РС, бр. </w:t>
      </w:r>
      <w:r w:rsidRPr="000A2AFE">
        <w:rPr>
          <w:rFonts w:asciiTheme="majorHAnsi" w:hAnsiTheme="majorHAnsi" w:cstheme="majorHAnsi"/>
          <w:lang w:eastAsia="el-GR"/>
        </w:rPr>
        <w:t>104/17</w:t>
      </w:r>
    </w:p>
  </w:footnote>
  <w:footnote w:id="57">
    <w:p w14:paraId="42835C8B" w14:textId="77777777" w:rsidR="00990755" w:rsidRPr="00FF386D" w:rsidRDefault="00990755" w:rsidP="00791FE2">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FF386D">
        <w:rPr>
          <w:rFonts w:asciiTheme="majorHAnsi" w:hAnsiTheme="majorHAnsi" w:cstheme="majorHAnsi"/>
        </w:rPr>
        <w:t>Службени гласник РС, бр. 145/14, 95/18 и 40/21</w:t>
      </w:r>
    </w:p>
  </w:footnote>
  <w:footnote w:id="58">
    <w:p w14:paraId="2096F6C1" w14:textId="3BA938B5" w:rsidR="00990755" w:rsidRPr="00FF386D" w:rsidRDefault="00990755">
      <w:pPr>
        <w:pStyle w:val="FootnoteText"/>
      </w:pPr>
      <w:r w:rsidRPr="000A2AFE">
        <w:rPr>
          <w:rStyle w:val="FootnoteReference"/>
          <w:lang w:val="sr-Cyrl-RS"/>
        </w:rPr>
        <w:footnoteRef/>
      </w:r>
      <w:r w:rsidRPr="00FF386D">
        <w:t xml:space="preserve"> </w:t>
      </w:r>
      <w:bookmarkStart w:id="54" w:name="_Hlk147335172"/>
      <w:r w:rsidRPr="000A2AFE">
        <w:rPr>
          <w:rFonts w:asciiTheme="majorHAnsi" w:hAnsiTheme="majorHAnsi" w:cstheme="majorHAnsi"/>
        </w:rPr>
        <w:t>https://www.aers.rs/Files/AktiAERS/AERSDajeSaglasnost/2020-04-16_PRAVILA%20O%20RADU%20PRENOSNOG_SISTEMA%20-%20Mart%202020.pdf</w:t>
      </w:r>
      <w:bookmarkEnd w:id="54"/>
    </w:p>
  </w:footnote>
  <w:footnote w:id="59">
    <w:p w14:paraId="2319A68E" w14:textId="06BC55C1" w:rsidR="00990755" w:rsidRPr="00FF386D" w:rsidRDefault="00990755">
      <w:pPr>
        <w:pStyle w:val="FootnoteText"/>
      </w:pPr>
      <w:r w:rsidRPr="000A2AFE">
        <w:rPr>
          <w:rStyle w:val="FootnoteReference"/>
          <w:rFonts w:eastAsia="Calibri"/>
          <w:lang w:val="sr-Cyrl-RS"/>
        </w:rPr>
        <w:footnoteRef/>
      </w:r>
      <w:r w:rsidRPr="000A2AFE">
        <w:rPr>
          <w:rStyle w:val="FootnoteReference"/>
          <w:rFonts w:eastAsia="Calibri"/>
          <w:lang w:val="sr-Cyrl-RS"/>
        </w:rPr>
        <w:t xml:space="preserve"> </w:t>
      </w:r>
      <w:bookmarkStart w:id="55" w:name="_Hlk147334980"/>
      <w:r w:rsidRPr="000A2AFE">
        <w:rPr>
          <w:rFonts w:asciiTheme="majorHAnsi" w:hAnsiTheme="majorHAnsi" w:cstheme="majorHAnsi"/>
        </w:rPr>
        <w:t>https://www.aers.rs/FILES/AktiAERS/AERSDajeSaglasnost/2017-07-19_Pravila%20o%20radu%20ED-ODS%20EPS%20distr.pdf</w:t>
      </w:r>
      <w:bookmarkEnd w:id="55"/>
    </w:p>
  </w:footnote>
  <w:footnote w:id="60">
    <w:p w14:paraId="448225A6" w14:textId="77777777" w:rsidR="00990755" w:rsidRPr="000A2AFE" w:rsidRDefault="00990755" w:rsidP="00791FE2">
      <w:pPr>
        <w:pStyle w:val="FootnoteText"/>
      </w:pPr>
      <w:r w:rsidRPr="000A2AFE">
        <w:rPr>
          <w:rStyle w:val="FootnoteReference"/>
          <w:rFonts w:asciiTheme="majorHAnsi" w:eastAsia="Calibri" w:hAnsiTheme="majorHAnsi" w:cstheme="majorHAnsi"/>
          <w:lang w:val="sr-Cyrl-RS"/>
        </w:rPr>
        <w:footnoteRef/>
      </w:r>
      <w:r w:rsidRPr="00FF386D">
        <w:rPr>
          <w:rFonts w:asciiTheme="majorHAnsi" w:hAnsiTheme="majorHAnsi" w:cstheme="majorHAnsi"/>
        </w:rPr>
        <w:t>Веб страница Енергетске заједнице: https://www.energy-community.org/news/Energy-Community-News/2021/02/15.html</w:t>
      </w:r>
    </w:p>
  </w:footnote>
  <w:footnote w:id="61">
    <w:p w14:paraId="1A90351F" w14:textId="5420BCF1" w:rsidR="00990755" w:rsidRPr="00FF386D" w:rsidRDefault="00990755">
      <w:pPr>
        <w:pStyle w:val="FootnoteText"/>
      </w:pPr>
      <w:r w:rsidRPr="000A2AFE">
        <w:rPr>
          <w:rStyle w:val="FootnoteReference"/>
          <w:lang w:val="sr-Cyrl-RS"/>
        </w:rPr>
        <w:footnoteRef/>
      </w:r>
      <w:r w:rsidRPr="000A2AFE">
        <w:rPr>
          <w:rFonts w:asciiTheme="majorHAnsi" w:hAnsiTheme="majorHAnsi" w:cstheme="majorHAnsi"/>
        </w:rPr>
        <w:t>Службени гласник РС, бр. 40/21</w:t>
      </w:r>
    </w:p>
  </w:footnote>
  <w:footnote w:id="62">
    <w:p w14:paraId="60E02743" w14:textId="24952DAC" w:rsidR="00990755" w:rsidRPr="00FF386D" w:rsidRDefault="00990755">
      <w:pPr>
        <w:pStyle w:val="FootnoteText"/>
        <w:rPr>
          <w:rFonts w:asciiTheme="majorHAnsi" w:hAnsiTheme="majorHAnsi" w:cstheme="majorHAnsi"/>
        </w:rPr>
      </w:pPr>
      <w:r w:rsidRPr="000A2AFE">
        <w:rPr>
          <w:rStyle w:val="FootnoteReference"/>
          <w:rFonts w:asciiTheme="majorHAnsi" w:hAnsiTheme="majorHAnsi" w:cstheme="majorHAnsi"/>
          <w:lang w:val="sr-Cyrl-RS"/>
        </w:rPr>
        <w:footnoteRef/>
      </w:r>
      <w:r w:rsidRPr="00FF386D">
        <w:rPr>
          <w:rFonts w:asciiTheme="majorHAnsi" w:hAnsiTheme="majorHAnsi" w:cstheme="majorHAnsi"/>
        </w:rPr>
        <w:t xml:space="preserve">Службени гласник РС, бр. </w:t>
      </w:r>
      <w:r w:rsidRPr="000A2AFE">
        <w:rPr>
          <w:rFonts w:asciiTheme="majorHAnsi" w:hAnsiTheme="majorHAnsi" w:cstheme="majorHAnsi"/>
        </w:rPr>
        <w:t>35</w:t>
      </w:r>
      <w:r w:rsidRPr="00FF386D">
        <w:rPr>
          <w:rFonts w:asciiTheme="majorHAnsi" w:hAnsiTheme="majorHAnsi" w:cstheme="majorHAnsi"/>
        </w:rPr>
        <w:t>/2</w:t>
      </w:r>
      <w:r w:rsidRPr="000A2AFE">
        <w:rPr>
          <w:rFonts w:asciiTheme="majorHAnsi" w:hAnsiTheme="majorHAnsi" w:cstheme="majorHAnsi"/>
        </w:rPr>
        <w:t>3</w:t>
      </w:r>
    </w:p>
  </w:footnote>
  <w:footnote w:id="63">
    <w:p w14:paraId="0D1F2DE4" w14:textId="77777777"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Службени гласник РС, бр. 40/21</w:t>
      </w:r>
    </w:p>
  </w:footnote>
  <w:footnote w:id="64">
    <w:p w14:paraId="00303DE7" w14:textId="0A05F55B"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Службени гласник РС, бр. 113/15, 48/16, 88/16, 49/17, 104/17, 36/18, 59/18, 88/18, 34/19, 82/19, 76/20, 144/20 и 51/21</w:t>
      </w:r>
    </w:p>
  </w:footnote>
  <w:footnote w:id="65">
    <w:p w14:paraId="56F1D6BA" w14:textId="11A39A2B" w:rsidR="00990755" w:rsidRPr="00FF386D" w:rsidRDefault="00990755">
      <w:pPr>
        <w:pStyle w:val="FootnoteText"/>
      </w:pPr>
      <w:r w:rsidRPr="000A2AFE">
        <w:rPr>
          <w:rStyle w:val="FootnoteReference"/>
          <w:lang w:val="sr-Cyrl-RS"/>
        </w:rPr>
        <w:footnoteRef/>
      </w:r>
      <w:r w:rsidRPr="00FF386D">
        <w:rPr>
          <w:rFonts w:asciiTheme="majorHAnsi" w:hAnsiTheme="majorHAnsi" w:cstheme="majorHAnsi"/>
        </w:rPr>
        <w:t>Службени гласник РС, бр.</w:t>
      </w:r>
      <w:bookmarkStart w:id="56" w:name="_Hlk147482658"/>
      <w:r w:rsidRPr="00FF386D">
        <w:rPr>
          <w:rFonts w:asciiTheme="majorHAnsi" w:hAnsiTheme="majorHAnsi" w:cstheme="majorHAnsi"/>
        </w:rPr>
        <w:t xml:space="preserve"> 137/22 и 46/23</w:t>
      </w:r>
      <w:bookmarkEnd w:id="56"/>
    </w:p>
  </w:footnote>
  <w:footnote w:id="66">
    <w:p w14:paraId="55C371A0" w14:textId="77777777"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Службени гласник РС, бр. 145/14, 95/18 и 40/21</w:t>
      </w:r>
    </w:p>
  </w:footnote>
  <w:footnote w:id="67">
    <w:p w14:paraId="45EAF57F" w14:textId="77777777" w:rsidR="00990755" w:rsidRPr="000A2AFE" w:rsidRDefault="00990755" w:rsidP="00EB3C75">
      <w:pPr>
        <w:pStyle w:val="FootnoteText"/>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Службени гласник РС, бр. 104/13, 145/14 и 95/18</w:t>
      </w:r>
    </w:p>
  </w:footnote>
  <w:footnote w:id="68">
    <w:p w14:paraId="61D8E05A" w14:textId="77777777"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Службени гласник РС, бр. 87/18</w:t>
      </w:r>
    </w:p>
  </w:footnote>
  <w:footnote w:id="69">
    <w:p w14:paraId="5823C704" w14:textId="77777777"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Службени гласник РС, бр. 63/13, 91/18</w:t>
      </w:r>
    </w:p>
  </w:footnote>
  <w:footnote w:id="70">
    <w:p w14:paraId="6F96DAFD" w14:textId="77777777"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Службени гласник РС, бр. 47/06, 3/10 и 48/10</w:t>
      </w:r>
    </w:p>
  </w:footnote>
  <w:footnote w:id="71">
    <w:p w14:paraId="095C0364" w14:textId="77777777"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Службени гласник РС, бр. 63/19</w:t>
      </w:r>
    </w:p>
  </w:footnote>
  <w:footnote w:id="72">
    <w:p w14:paraId="29FAC0F6" w14:textId="77777777"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Службени гласник РС, бр. 50/16 и 48/21</w:t>
      </w:r>
    </w:p>
  </w:footnote>
  <w:footnote w:id="73">
    <w:p w14:paraId="13C96899" w14:textId="21A25DAE"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FF386D">
        <w:rPr>
          <w:rFonts w:asciiTheme="majorHAnsi" w:hAnsiTheme="majorHAnsi" w:cstheme="majorHAnsi"/>
        </w:rPr>
        <w:t>Службени гласник РС, бр</w:t>
      </w:r>
      <w:r w:rsidRPr="000A2AFE">
        <w:rPr>
          <w:rFonts w:asciiTheme="majorHAnsi" w:hAnsiTheme="majorHAnsi" w:cstheme="majorHAnsi"/>
        </w:rPr>
        <w:t>. 48/21</w:t>
      </w:r>
    </w:p>
  </w:footnote>
  <w:footnote w:id="74">
    <w:p w14:paraId="30BE7725" w14:textId="6CF0A9D6"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FF386D">
        <w:rPr>
          <w:rFonts w:asciiTheme="majorHAnsi" w:hAnsiTheme="majorHAnsi" w:cstheme="majorHAnsi"/>
        </w:rPr>
        <w:t>Службени гласник РС, бр</w:t>
      </w:r>
      <w:r w:rsidRPr="000A2AFE">
        <w:rPr>
          <w:rFonts w:asciiTheme="majorHAnsi" w:hAnsiTheme="majorHAnsi" w:cstheme="majorHAnsi"/>
        </w:rPr>
        <w:t>. 55/21</w:t>
      </w:r>
    </w:p>
  </w:footnote>
  <w:footnote w:id="75">
    <w:p w14:paraId="15ED9DD0" w14:textId="77777777"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Службени гласник РС, бр. 102/18</w:t>
      </w:r>
    </w:p>
  </w:footnote>
  <w:footnote w:id="76">
    <w:p w14:paraId="57CBE018" w14:textId="77777777"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Службени гласник РС, бр. 102/18</w:t>
      </w:r>
    </w:p>
  </w:footnote>
  <w:footnote w:id="77">
    <w:p w14:paraId="4360E703" w14:textId="77777777"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Службени гласник РС, бр. 59/20</w:t>
      </w:r>
    </w:p>
  </w:footnote>
  <w:footnote w:id="78">
    <w:p w14:paraId="778B4650" w14:textId="77777777"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Службени гласник РС, бр. 63/19</w:t>
      </w:r>
    </w:p>
  </w:footnote>
  <w:footnote w:id="79">
    <w:p w14:paraId="2280F9B9" w14:textId="39727A73" w:rsidR="00990755" w:rsidRDefault="00990755">
      <w:pPr>
        <w:pStyle w:val="FootnoteText"/>
      </w:pPr>
      <w:r>
        <w:rPr>
          <w:rStyle w:val="FootnoteReference"/>
        </w:rPr>
        <w:footnoteRef/>
      </w:r>
      <w:r w:rsidRPr="004254D2">
        <w:rPr>
          <w:rFonts w:asciiTheme="majorHAnsi" w:hAnsiTheme="majorHAnsi" w:cstheme="majorHAnsi"/>
        </w:rPr>
        <w:t>Службени гласник РС, бр.</w:t>
      </w:r>
      <w:r>
        <w:rPr>
          <w:rFonts w:asciiTheme="majorHAnsi" w:hAnsiTheme="majorHAnsi" w:cstheme="majorHAnsi"/>
        </w:rPr>
        <w:t xml:space="preserve"> 101/15</w:t>
      </w:r>
    </w:p>
  </w:footnote>
  <w:footnote w:id="80">
    <w:p w14:paraId="35155E4E" w14:textId="73BFFDFC" w:rsidR="00990755" w:rsidRPr="000A2AFE" w:rsidRDefault="00990755" w:rsidP="00EB3C75">
      <w:pPr>
        <w:pStyle w:val="FootnoteText"/>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Службени гласник РС, бр.</w:t>
      </w:r>
      <w:r>
        <w:rPr>
          <w:rFonts w:asciiTheme="majorHAnsi" w:hAnsiTheme="majorHAnsi" w:cstheme="majorHAnsi"/>
        </w:rPr>
        <w:t xml:space="preserve"> </w:t>
      </w:r>
      <w:r w:rsidRPr="000A2AFE">
        <w:rPr>
          <w:rFonts w:asciiTheme="majorHAnsi" w:hAnsiTheme="majorHAnsi" w:cstheme="majorHAnsi"/>
        </w:rPr>
        <w:t>06/16, 94/17 и 77/19</w:t>
      </w:r>
    </w:p>
  </w:footnote>
  <w:footnote w:id="81">
    <w:p w14:paraId="0FCF97E7" w14:textId="2F041A64" w:rsidR="00990755" w:rsidRPr="000A2AFE" w:rsidRDefault="00990755" w:rsidP="00EB3C75">
      <w:pPr>
        <w:pStyle w:val="FootnoteText"/>
        <w:rPr>
          <w:rFonts w:asciiTheme="majorHAnsi" w:hAnsiTheme="majorHAnsi" w:cstheme="majorHAnsi"/>
        </w:rPr>
      </w:pPr>
      <w:r w:rsidRPr="000A2AFE">
        <w:rPr>
          <w:rStyle w:val="FootnoteReference"/>
          <w:rFonts w:eastAsia="Calibri"/>
          <w:lang w:val="sr-Cyrl-RS"/>
        </w:rPr>
        <w:footnoteRef/>
      </w:r>
      <w:r w:rsidRPr="000A2AFE">
        <w:rPr>
          <w:rFonts w:asciiTheme="majorHAnsi" w:hAnsiTheme="majorHAnsi" w:cstheme="majorHAnsi"/>
        </w:rPr>
        <w:t>Службени гласник РС, бр.</w:t>
      </w:r>
      <w:r>
        <w:rPr>
          <w:rFonts w:asciiTheme="majorHAnsi" w:hAnsiTheme="majorHAnsi" w:cstheme="majorHAnsi"/>
        </w:rPr>
        <w:t xml:space="preserve"> </w:t>
      </w:r>
      <w:r w:rsidRPr="000A2AFE">
        <w:rPr>
          <w:rFonts w:asciiTheme="majorHAnsi" w:hAnsiTheme="majorHAnsi" w:cstheme="majorHAnsi"/>
        </w:rPr>
        <w:t>94/16</w:t>
      </w:r>
    </w:p>
  </w:footnote>
  <w:footnote w:id="82">
    <w:p w14:paraId="4C72FA58" w14:textId="1CCF4D54" w:rsidR="00990755" w:rsidRPr="00FF386D" w:rsidRDefault="00990755">
      <w:pPr>
        <w:pStyle w:val="FootnoteText"/>
      </w:pPr>
      <w:r w:rsidRPr="000A2AFE">
        <w:rPr>
          <w:rStyle w:val="FootnoteReference"/>
          <w:rFonts w:eastAsia="Calibri"/>
          <w:lang w:val="sr-Cyrl-RS"/>
        </w:rPr>
        <w:footnoteRef/>
      </w:r>
      <w:r w:rsidRPr="000A2AFE">
        <w:rPr>
          <w:rFonts w:asciiTheme="majorHAnsi" w:hAnsiTheme="majorHAnsi" w:cstheme="majorHAnsi"/>
        </w:rPr>
        <w:t>Службени гласник РС, бр. 53/17</w:t>
      </w:r>
    </w:p>
  </w:footnote>
  <w:footnote w:id="83">
    <w:p w14:paraId="2A0329EC" w14:textId="3405C21F"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Службени гласник РС, бр.</w:t>
      </w:r>
      <w:r>
        <w:rPr>
          <w:rFonts w:asciiTheme="majorHAnsi" w:hAnsiTheme="majorHAnsi" w:cstheme="majorHAnsi"/>
        </w:rPr>
        <w:t xml:space="preserve"> </w:t>
      </w:r>
      <w:r w:rsidRPr="000A2AFE">
        <w:rPr>
          <w:rFonts w:asciiTheme="majorHAnsi" w:hAnsiTheme="majorHAnsi" w:cstheme="majorHAnsi"/>
        </w:rPr>
        <w:t>94/16</w:t>
      </w:r>
    </w:p>
  </w:footnote>
  <w:footnote w:id="84">
    <w:p w14:paraId="0086A5EF" w14:textId="3913D0A0" w:rsidR="00990755" w:rsidRDefault="00990755">
      <w:pPr>
        <w:pStyle w:val="FootnoteText"/>
      </w:pPr>
      <w:r>
        <w:rPr>
          <w:rStyle w:val="FootnoteReference"/>
        </w:rPr>
        <w:footnoteRef/>
      </w:r>
      <w:r w:rsidRPr="000A2AFE">
        <w:rPr>
          <w:rFonts w:asciiTheme="majorHAnsi" w:hAnsiTheme="majorHAnsi" w:cstheme="majorHAnsi"/>
        </w:rPr>
        <w:t>Службени лист СРЈ, бр</w:t>
      </w:r>
      <w:r>
        <w:rPr>
          <w:rFonts w:asciiTheme="majorHAnsi" w:hAnsiTheme="majorHAnsi" w:cstheme="majorHAnsi"/>
        </w:rPr>
        <w:t>.</w:t>
      </w:r>
      <w:r w:rsidRPr="000A2AFE">
        <w:rPr>
          <w:rFonts w:asciiTheme="majorHAnsi" w:hAnsiTheme="majorHAnsi" w:cstheme="majorHAnsi"/>
        </w:rPr>
        <w:t xml:space="preserve"> 12</w:t>
      </w:r>
      <w:r>
        <w:rPr>
          <w:rFonts w:asciiTheme="majorHAnsi" w:hAnsiTheme="majorHAnsi" w:cstheme="majorHAnsi"/>
        </w:rPr>
        <w:t>/</w:t>
      </w:r>
      <w:r w:rsidRPr="000A2AFE">
        <w:rPr>
          <w:rFonts w:asciiTheme="majorHAnsi" w:hAnsiTheme="majorHAnsi" w:cstheme="majorHAnsi"/>
        </w:rPr>
        <w:t>95</w:t>
      </w:r>
      <w:r>
        <w:rPr>
          <w:rFonts w:asciiTheme="majorHAnsi" w:hAnsiTheme="majorHAnsi" w:cstheme="majorHAnsi"/>
          <w:lang w:val="en-US"/>
        </w:rPr>
        <w:t xml:space="preserve"> </w:t>
      </w:r>
      <w:r>
        <w:rPr>
          <w:rFonts w:asciiTheme="majorHAnsi" w:hAnsiTheme="majorHAnsi" w:cstheme="majorHAnsi"/>
        </w:rPr>
        <w:t>и</w:t>
      </w:r>
      <w:r w:rsidRPr="000A2AFE">
        <w:rPr>
          <w:rFonts w:asciiTheme="majorHAnsi" w:hAnsiTheme="majorHAnsi" w:cstheme="majorHAnsi"/>
        </w:rPr>
        <w:t xml:space="preserve"> Службени гласник РС, бр</w:t>
      </w:r>
      <w:r>
        <w:rPr>
          <w:rFonts w:asciiTheme="majorHAnsi" w:hAnsiTheme="majorHAnsi" w:cstheme="majorHAnsi"/>
        </w:rPr>
        <w:t>.</w:t>
      </w:r>
      <w:r w:rsidRPr="000A2AFE">
        <w:rPr>
          <w:rFonts w:asciiTheme="majorHAnsi" w:hAnsiTheme="majorHAnsi" w:cstheme="majorHAnsi"/>
        </w:rPr>
        <w:t xml:space="preserve"> 85</w:t>
      </w:r>
      <w:r>
        <w:rPr>
          <w:rFonts w:asciiTheme="majorHAnsi" w:hAnsiTheme="majorHAnsi" w:cstheme="majorHAnsi"/>
        </w:rPr>
        <w:t>/</w:t>
      </w:r>
      <w:r w:rsidRPr="000A2AFE">
        <w:rPr>
          <w:rFonts w:asciiTheme="majorHAnsi" w:hAnsiTheme="majorHAnsi" w:cstheme="majorHAnsi"/>
        </w:rPr>
        <w:t>05 - др. закон</w:t>
      </w:r>
    </w:p>
  </w:footnote>
  <w:footnote w:id="85">
    <w:p w14:paraId="566C14A1" w14:textId="77777777"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Службени гласник РС, бр. 25/16</w:t>
      </w:r>
    </w:p>
  </w:footnote>
  <w:footnote w:id="86">
    <w:p w14:paraId="0B6052C9" w14:textId="77777777" w:rsidR="00990755" w:rsidRPr="000A2AFE" w:rsidRDefault="00990755" w:rsidP="00EB3C75">
      <w:pPr>
        <w:pStyle w:val="FootnoteText"/>
        <w:rPr>
          <w:lang w:val="sr-Latn-RS"/>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Службени гласник РС, бр.21/20</w:t>
      </w:r>
    </w:p>
  </w:footnote>
  <w:footnote w:id="87">
    <w:p w14:paraId="0954AAE3" w14:textId="77777777" w:rsidR="00990755" w:rsidRPr="000A2AFE" w:rsidRDefault="00990755" w:rsidP="00EB3C75">
      <w:pPr>
        <w:pStyle w:val="FootnoteText"/>
        <w:rPr>
          <w:rFonts w:asciiTheme="majorHAnsi" w:hAnsiTheme="majorHAnsi" w:cstheme="majorHAnsi"/>
        </w:rPr>
      </w:pPr>
      <w:r w:rsidRPr="000A2AFE">
        <w:rPr>
          <w:rStyle w:val="FootnoteReference"/>
          <w:rFonts w:eastAsia="Calibri"/>
          <w:lang w:val="sr-Cyrl-RS"/>
        </w:rPr>
        <w:footnoteRef/>
      </w:r>
      <w:r w:rsidRPr="000A2AFE">
        <w:rPr>
          <w:rFonts w:asciiTheme="majorHAnsi" w:hAnsiTheme="majorHAnsi" w:cstheme="majorHAnsi"/>
        </w:rPr>
        <w:t>Службени гласник РС, бр. 95/18</w:t>
      </w:r>
    </w:p>
  </w:footnote>
  <w:footnote w:id="88">
    <w:p w14:paraId="102C6CFB" w14:textId="77777777" w:rsidR="00990755" w:rsidRPr="000A2AFE"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0A2AFE">
        <w:rPr>
          <w:rFonts w:asciiTheme="majorHAnsi" w:hAnsiTheme="majorHAnsi" w:cstheme="majorHAnsi"/>
        </w:rPr>
        <w:t>Службени гласник РС, бр. 49/19</w:t>
      </w:r>
    </w:p>
  </w:footnote>
  <w:footnote w:id="89">
    <w:p w14:paraId="135D9A99" w14:textId="77777777" w:rsidR="00990755" w:rsidRPr="00FF386D" w:rsidRDefault="00990755" w:rsidP="00EB3C75">
      <w:pPr>
        <w:pStyle w:val="FootnoteText"/>
        <w:rPr>
          <w:rFonts w:asciiTheme="majorHAnsi" w:hAnsiTheme="majorHAnsi" w:cstheme="majorHAnsi"/>
        </w:rPr>
      </w:pPr>
      <w:r w:rsidRPr="000A2AFE">
        <w:rPr>
          <w:rStyle w:val="FootnoteReference"/>
          <w:rFonts w:asciiTheme="majorHAnsi" w:eastAsia="Calibri" w:hAnsiTheme="majorHAnsi" w:cstheme="majorHAnsi"/>
          <w:lang w:val="sr-Cyrl-RS"/>
        </w:rPr>
        <w:footnoteRef/>
      </w:r>
      <w:r w:rsidRPr="00FF386D">
        <w:rPr>
          <w:rFonts w:asciiTheme="majorHAnsi" w:hAnsiTheme="majorHAnsi" w:cstheme="majorHAnsi"/>
        </w:rPr>
        <w:t>Службени гласник РС, бр. 10/21</w:t>
      </w:r>
    </w:p>
  </w:footnote>
  <w:footnote w:id="90">
    <w:p w14:paraId="6A789BB4" w14:textId="7C8A2B56" w:rsidR="00990755" w:rsidRDefault="00990755">
      <w:pPr>
        <w:pStyle w:val="FootnoteText"/>
      </w:pPr>
      <w:r>
        <w:rPr>
          <w:rStyle w:val="FootnoteReference"/>
        </w:rPr>
        <w:footnoteRef/>
      </w:r>
      <w:r w:rsidRPr="00FF386D">
        <w:rPr>
          <w:rFonts w:asciiTheme="majorHAnsi" w:hAnsiTheme="majorHAnsi" w:cstheme="majorHAnsi"/>
        </w:rPr>
        <w:t>Службени гласник РС, бр.</w:t>
      </w:r>
      <w:r>
        <w:rPr>
          <w:rFonts w:asciiTheme="majorHAnsi" w:hAnsiTheme="majorHAnsi" w:cstheme="majorHAnsi"/>
        </w:rPr>
        <w:t xml:space="preserve"> 47/19</w:t>
      </w:r>
    </w:p>
  </w:footnote>
  <w:footnote w:id="91">
    <w:p w14:paraId="080D85A8" w14:textId="5F15A8F0" w:rsidR="00990755" w:rsidRPr="00FF386D" w:rsidRDefault="00990755">
      <w:pPr>
        <w:pStyle w:val="FootnoteText"/>
      </w:pPr>
      <w:r w:rsidRPr="000A2AFE">
        <w:rPr>
          <w:rStyle w:val="FootnoteReference"/>
          <w:lang w:val="sr-Cyrl-RS"/>
        </w:rPr>
        <w:footnoteRef/>
      </w:r>
      <w:r w:rsidRPr="00FF386D">
        <w:rPr>
          <w:rFonts w:asciiTheme="majorHAnsi" w:hAnsiTheme="majorHAnsi" w:cstheme="majorHAnsi"/>
        </w:rPr>
        <w:t xml:space="preserve">Службени гласник РС, бр. </w:t>
      </w:r>
      <w:bookmarkStart w:id="86" w:name="_Hlk148701370"/>
      <w:r w:rsidRPr="00FF386D">
        <w:rPr>
          <w:rFonts w:asciiTheme="majorHAnsi" w:hAnsiTheme="majorHAnsi" w:cstheme="majorHAnsi"/>
        </w:rPr>
        <w:t>27/22</w:t>
      </w:r>
      <w:bookmarkEnd w:id="86"/>
    </w:p>
  </w:footnote>
  <w:footnote w:id="92">
    <w:p w14:paraId="7A0FAF25" w14:textId="3430C587" w:rsidR="00990755" w:rsidRDefault="00990755">
      <w:pPr>
        <w:pStyle w:val="FootnoteText"/>
        <w:rPr>
          <w:rFonts w:asciiTheme="majorHAnsi" w:hAnsiTheme="majorHAnsi" w:cstheme="majorHAnsi"/>
        </w:rPr>
      </w:pPr>
      <w:r w:rsidRPr="000A2AFE">
        <w:rPr>
          <w:rStyle w:val="FootnoteReference"/>
          <w:lang w:val="sr-Cyrl-RS"/>
        </w:rPr>
        <w:footnoteRef/>
      </w:r>
      <w:r w:rsidRPr="000A2AFE">
        <w:rPr>
          <w:rFonts w:asciiTheme="majorHAnsi" w:hAnsiTheme="majorHAnsi" w:cstheme="majorHAnsi"/>
        </w:rPr>
        <w:t>Службени гласник РС, бр. 26/21</w:t>
      </w:r>
    </w:p>
    <w:p w14:paraId="17BB6428" w14:textId="77777777" w:rsidR="0090689D" w:rsidRPr="000A2AFE" w:rsidRDefault="0090689D">
      <w:pPr>
        <w:pStyle w:val="FootnoteText"/>
        <w:rPr>
          <w:lang w:val="sr-Latn-RS"/>
        </w:rPr>
      </w:pPr>
    </w:p>
  </w:footnote>
  <w:footnote w:id="93">
    <w:p w14:paraId="64C19B38" w14:textId="77777777" w:rsidR="00990755" w:rsidRPr="00FF386D" w:rsidRDefault="00990755" w:rsidP="00854ADA">
      <w:pPr>
        <w:pStyle w:val="FootnoteText"/>
        <w:jc w:val="both"/>
        <w:rPr>
          <w:rFonts w:asciiTheme="majorHAnsi" w:hAnsiTheme="majorHAnsi" w:cstheme="majorHAnsi"/>
        </w:rPr>
      </w:pPr>
      <w:r w:rsidRPr="000A2AFE">
        <w:rPr>
          <w:rStyle w:val="FootnoteReference"/>
          <w:rFonts w:asciiTheme="majorHAnsi" w:eastAsiaTheme="majorEastAsia" w:hAnsiTheme="majorHAnsi" w:cstheme="majorHAnsi"/>
          <w:lang w:val="sr-Cyrl-RS"/>
        </w:rPr>
        <w:footnoteRef/>
      </w:r>
      <w:hyperlink r:id="rId1" w:history="1">
        <w:r w:rsidRPr="000A2AFE">
          <w:rPr>
            <w:rStyle w:val="Hyperlink"/>
            <w:rFonts w:asciiTheme="majorHAnsi" w:hAnsiTheme="majorHAnsi" w:cstheme="majorHAnsi"/>
          </w:rPr>
          <w:t>https://ec.europa.eu/neighbourhood-enlargement/serbia-report-2021_en</w:t>
        </w:r>
      </w:hyperlink>
    </w:p>
  </w:footnote>
  <w:footnote w:id="94">
    <w:p w14:paraId="4E78E746" w14:textId="77777777" w:rsidR="00990755" w:rsidRPr="00FF386D" w:rsidRDefault="00990755" w:rsidP="00854ADA">
      <w:pPr>
        <w:pStyle w:val="FootnoteText"/>
        <w:rPr>
          <w:rFonts w:asciiTheme="majorHAnsi" w:hAnsiTheme="majorHAnsi" w:cstheme="majorHAnsi"/>
        </w:rPr>
      </w:pPr>
      <w:r w:rsidRPr="000A2AFE">
        <w:rPr>
          <w:rStyle w:val="FootnoteReference"/>
          <w:rFonts w:asciiTheme="majorHAnsi" w:eastAsiaTheme="majorEastAsia" w:hAnsiTheme="majorHAnsi" w:cstheme="majorHAnsi"/>
          <w:lang w:val="sr-Cyrl-RS"/>
        </w:rPr>
        <w:footnoteRef/>
      </w:r>
      <w:hyperlink r:id="rId2" w:history="1">
        <w:r w:rsidRPr="00FF386D">
          <w:rPr>
            <w:rStyle w:val="Hyperlink"/>
            <w:rFonts w:asciiTheme="majorHAnsi" w:hAnsiTheme="majorHAnsi" w:cstheme="majorHAnsi"/>
          </w:rPr>
          <w:t>https://circulareconomy.europa.eu/platform/sites/default/files/roadmap-for-circular-economy-in-serbia.pdf</w:t>
        </w:r>
      </w:hyperlink>
    </w:p>
  </w:footnote>
  <w:footnote w:id="95">
    <w:p w14:paraId="0F4D3516" w14:textId="67B05779" w:rsidR="00990755" w:rsidRPr="00FF386D" w:rsidRDefault="00990755" w:rsidP="00854ADA">
      <w:pPr>
        <w:pStyle w:val="FootnoteText"/>
        <w:rPr>
          <w:rFonts w:asciiTheme="minorHAnsi" w:hAnsiTheme="minorHAnsi"/>
        </w:rPr>
      </w:pPr>
      <w:r w:rsidRPr="000A2AFE">
        <w:rPr>
          <w:rStyle w:val="FootnoteReference"/>
          <w:rFonts w:asciiTheme="majorHAnsi" w:eastAsiaTheme="majorEastAsia" w:hAnsiTheme="majorHAnsi" w:cstheme="majorHAnsi"/>
          <w:lang w:val="sr-Cyrl-RS"/>
        </w:rPr>
        <w:footnoteRef/>
      </w:r>
      <w:r w:rsidRPr="000A2AFE">
        <w:rPr>
          <w:rFonts w:asciiTheme="majorHAnsi" w:eastAsiaTheme="minorHAnsi" w:hAnsiTheme="majorHAnsi" w:cstheme="majorHAnsi"/>
          <w:bCs/>
          <w:color w:val="000000"/>
        </w:rPr>
        <w:t>Службени гласник РС, бр. 12/22</w:t>
      </w:r>
    </w:p>
  </w:footnote>
  <w:footnote w:id="96">
    <w:p w14:paraId="0FAD11C9" w14:textId="25EBFB65" w:rsidR="00990755" w:rsidRDefault="00990755">
      <w:pPr>
        <w:pStyle w:val="FootnoteText"/>
      </w:pPr>
      <w:r>
        <w:rPr>
          <w:rStyle w:val="FootnoteReference"/>
        </w:rPr>
        <w:footnoteRef/>
      </w:r>
      <w:r w:rsidRPr="006171AE">
        <w:rPr>
          <w:rFonts w:asciiTheme="majorHAnsi" w:eastAsiaTheme="minorHAnsi" w:hAnsiTheme="majorHAnsi" w:cstheme="majorHAnsi"/>
          <w:bCs/>
          <w:color w:val="000000"/>
        </w:rPr>
        <w:t>Службени гласник РС, бр.</w:t>
      </w:r>
      <w:r>
        <w:rPr>
          <w:rFonts w:asciiTheme="majorHAnsi" w:eastAsiaTheme="minorHAnsi" w:hAnsiTheme="majorHAnsi" w:cstheme="majorHAnsi"/>
          <w:bCs/>
          <w:color w:val="000000"/>
        </w:rPr>
        <w:t xml:space="preserve"> </w:t>
      </w:r>
      <w:r w:rsidRPr="00A33AE8">
        <w:rPr>
          <w:rFonts w:ascii="Calibri Light" w:hAnsi="Calibri Light" w:cs="Calibri Light"/>
        </w:rPr>
        <w:t>84/23</w:t>
      </w:r>
    </w:p>
  </w:footnote>
  <w:footnote w:id="97">
    <w:p w14:paraId="1FFA3980" w14:textId="57F46560" w:rsidR="00990755" w:rsidRPr="000A2AFE" w:rsidRDefault="00990755" w:rsidP="00854ADA">
      <w:pPr>
        <w:pStyle w:val="FootnoteText"/>
        <w:rPr>
          <w:rFonts w:asciiTheme="majorHAnsi" w:hAnsiTheme="majorHAnsi" w:cstheme="majorHAnsi"/>
          <w:lang w:val="sr-Latn-RS"/>
        </w:rPr>
      </w:pPr>
      <w:r w:rsidRPr="000A2AFE">
        <w:rPr>
          <w:rStyle w:val="FootnoteReference"/>
          <w:rFonts w:asciiTheme="majorHAnsi" w:eastAsiaTheme="majorEastAsia" w:hAnsiTheme="majorHAnsi" w:cstheme="majorHAnsi"/>
          <w:lang w:val="sr-Cyrl-RS"/>
        </w:rPr>
        <w:footnoteRef/>
      </w:r>
      <w:hyperlink r:id="rId3" w:history="1">
        <w:r w:rsidRPr="00FF386D">
          <w:rPr>
            <w:rStyle w:val="Hyperlink"/>
            <w:rFonts w:asciiTheme="majorHAnsi" w:hAnsiTheme="majorHAnsi" w:cstheme="majorHAnsi"/>
          </w:rPr>
          <w:t>https://ec.europa.eu/neighbourhood-enlargement/serbia-report-2021_en</w:t>
        </w:r>
      </w:hyperlink>
      <w:r>
        <w:rPr>
          <w:rStyle w:val="Hyperlink"/>
          <w:rFonts w:asciiTheme="majorHAnsi" w:hAnsiTheme="majorHAnsi" w:cstheme="majorHAnsi"/>
          <w:lang w:val="sr-Latn-RS"/>
        </w:rPr>
        <w:t>a</w:t>
      </w:r>
    </w:p>
  </w:footnote>
  <w:footnote w:id="98">
    <w:p w14:paraId="02B9B227" w14:textId="0E50C98B" w:rsidR="00990755" w:rsidRDefault="00990755">
      <w:pPr>
        <w:pStyle w:val="FootnoteText"/>
      </w:pPr>
      <w:r>
        <w:rPr>
          <w:rStyle w:val="FootnoteReference"/>
        </w:rPr>
        <w:footnoteRef/>
      </w:r>
      <w:r>
        <w:rPr>
          <w:rFonts w:ascii="Calibri Light" w:hAnsi="Calibri Light" w:cs="Calibri Light"/>
        </w:rPr>
        <w:t>Службени гласник РЕ, бр.</w:t>
      </w:r>
      <w:r w:rsidRPr="00A33AE8">
        <w:rPr>
          <w:rFonts w:ascii="Calibri Light" w:hAnsi="Calibri Light" w:cs="Calibri Light"/>
        </w:rPr>
        <w:t xml:space="preserve"> 3/17</w:t>
      </w:r>
    </w:p>
  </w:footnote>
  <w:footnote w:id="99">
    <w:p w14:paraId="2806F870" w14:textId="18567196" w:rsidR="00990755" w:rsidRDefault="00990755">
      <w:pPr>
        <w:pStyle w:val="FootnoteText"/>
      </w:pPr>
      <w:r>
        <w:rPr>
          <w:rStyle w:val="FootnoteReference"/>
        </w:rPr>
        <w:footnoteRef/>
      </w:r>
      <w:r>
        <w:rPr>
          <w:rFonts w:ascii="Calibri Light" w:hAnsi="Calibri Light" w:cs="Calibri Light"/>
        </w:rPr>
        <w:t>Службени гласник РС, бр.</w:t>
      </w:r>
      <w:r w:rsidRPr="00A33AE8">
        <w:rPr>
          <w:rFonts w:ascii="Calibri Light" w:hAnsi="Calibri Light" w:cs="Calibri Light"/>
        </w:rPr>
        <w:t xml:space="preserve"> 33/23</w:t>
      </w:r>
    </w:p>
  </w:footnote>
  <w:footnote w:id="100">
    <w:p w14:paraId="1C3429A8" w14:textId="2CCFCC0C" w:rsidR="00990755" w:rsidRDefault="00990755">
      <w:pPr>
        <w:pStyle w:val="FootnoteText"/>
      </w:pPr>
      <w:r>
        <w:rPr>
          <w:rStyle w:val="FootnoteReference"/>
        </w:rPr>
        <w:footnoteRef/>
      </w:r>
      <w:r>
        <w:rPr>
          <w:rFonts w:ascii="Calibri Light" w:hAnsi="Calibri Light" w:cs="Calibri Light"/>
        </w:rPr>
        <w:t>Службени гласник РС, бр.</w:t>
      </w:r>
      <w:r w:rsidRPr="00A33AE8">
        <w:rPr>
          <w:rFonts w:ascii="Calibri Light" w:hAnsi="Calibri Light" w:cs="Calibri Light"/>
        </w:rPr>
        <w:t xml:space="preserve"> 30/10, 93/12, 101/16, 95/18 </w:t>
      </w:r>
      <w:r>
        <w:rPr>
          <w:rFonts w:ascii="Calibri Light" w:hAnsi="Calibri Light" w:cs="Calibri Light"/>
        </w:rPr>
        <w:t>и</w:t>
      </w:r>
      <w:r w:rsidRPr="00A33AE8">
        <w:rPr>
          <w:rFonts w:ascii="Calibri Light" w:hAnsi="Calibri Light" w:cs="Calibri Light"/>
        </w:rPr>
        <w:t xml:space="preserve"> 95/2018 – </w:t>
      </w:r>
      <w:r>
        <w:rPr>
          <w:rFonts w:ascii="Calibri Light" w:hAnsi="Calibri Light" w:cs="Calibri Light"/>
        </w:rPr>
        <w:t>други закон</w:t>
      </w:r>
    </w:p>
  </w:footnote>
  <w:footnote w:id="101">
    <w:p w14:paraId="5D7CB94B" w14:textId="77777777" w:rsidR="00990755" w:rsidRPr="00FF386D" w:rsidRDefault="00990755" w:rsidP="00854ADA">
      <w:pPr>
        <w:pStyle w:val="FootnoteText"/>
        <w:rPr>
          <w:rFonts w:asciiTheme="majorHAnsi" w:hAnsiTheme="majorHAnsi" w:cstheme="majorHAnsi"/>
        </w:rPr>
      </w:pPr>
      <w:r w:rsidRPr="000A2AFE">
        <w:rPr>
          <w:rStyle w:val="FootnoteReference"/>
          <w:rFonts w:asciiTheme="majorHAnsi" w:eastAsiaTheme="majorEastAsia" w:hAnsiTheme="majorHAnsi" w:cstheme="majorHAnsi"/>
          <w:lang w:val="sr-Cyrl-RS"/>
        </w:rPr>
        <w:footnoteRef/>
      </w:r>
      <w:hyperlink r:id="rId4" w:history="1">
        <w:r w:rsidRPr="00FF386D">
          <w:rPr>
            <w:rStyle w:val="Hyperlink"/>
            <w:rFonts w:asciiTheme="majorHAnsi" w:hAnsiTheme="majorHAnsi" w:cstheme="majorHAnsi"/>
          </w:rPr>
          <w:t>https://www.paragraf.rs/propisi/zakon_o_poljoprivredi_i_ruralnom_razvoju.html</w:t>
        </w:r>
      </w:hyperlink>
    </w:p>
  </w:footnote>
  <w:footnote w:id="102">
    <w:p w14:paraId="14DD4B44" w14:textId="77777777" w:rsidR="00990755" w:rsidRPr="00FF386D" w:rsidRDefault="00990755" w:rsidP="00854ADA">
      <w:pPr>
        <w:pStyle w:val="FootnoteText"/>
        <w:rPr>
          <w:rFonts w:asciiTheme="minorHAnsi" w:hAnsiTheme="minorHAnsi"/>
        </w:rPr>
      </w:pPr>
      <w:r w:rsidRPr="000A2AFE">
        <w:rPr>
          <w:rStyle w:val="FootnoteReference"/>
          <w:rFonts w:asciiTheme="majorHAnsi" w:eastAsiaTheme="majorEastAsia" w:hAnsiTheme="majorHAnsi" w:cstheme="majorHAnsi"/>
          <w:lang w:val="sr-Cyrl-RS"/>
        </w:rPr>
        <w:footnoteRef/>
      </w:r>
      <w:hyperlink r:id="rId5" w:history="1">
        <w:r w:rsidRPr="000A2AFE">
          <w:rPr>
            <w:rStyle w:val="Hyperlink"/>
            <w:rFonts w:asciiTheme="majorHAnsi" w:hAnsiTheme="majorHAnsi" w:cstheme="majorHAnsi"/>
          </w:rPr>
          <w:t>https</w:t>
        </w:r>
        <w:r w:rsidRPr="00FF386D">
          <w:rPr>
            <w:rStyle w:val="Hyperlink"/>
            <w:rFonts w:asciiTheme="majorHAnsi" w:hAnsiTheme="majorHAnsi" w:cstheme="majorHAnsi"/>
          </w:rPr>
          <w:t>://</w:t>
        </w:r>
        <w:r w:rsidRPr="000A2AFE">
          <w:rPr>
            <w:rStyle w:val="Hyperlink"/>
            <w:rFonts w:asciiTheme="majorHAnsi" w:hAnsiTheme="majorHAnsi" w:cstheme="majorHAnsi"/>
          </w:rPr>
          <w:t>www</w:t>
        </w:r>
        <w:r w:rsidRPr="00FF386D">
          <w:rPr>
            <w:rStyle w:val="Hyperlink"/>
            <w:rFonts w:asciiTheme="majorHAnsi" w:hAnsiTheme="majorHAnsi" w:cstheme="majorHAnsi"/>
          </w:rPr>
          <w:t>.</w:t>
        </w:r>
        <w:r w:rsidRPr="000A2AFE">
          <w:rPr>
            <w:rStyle w:val="Hyperlink"/>
            <w:rFonts w:asciiTheme="majorHAnsi" w:hAnsiTheme="majorHAnsi" w:cstheme="majorHAnsi"/>
          </w:rPr>
          <w:t>paragraf</w:t>
        </w:r>
        <w:r w:rsidRPr="00FF386D">
          <w:rPr>
            <w:rStyle w:val="Hyperlink"/>
            <w:rFonts w:asciiTheme="majorHAnsi" w:hAnsiTheme="majorHAnsi" w:cstheme="majorHAnsi"/>
          </w:rPr>
          <w:t>.</w:t>
        </w:r>
        <w:r w:rsidRPr="000A2AFE">
          <w:rPr>
            <w:rStyle w:val="Hyperlink"/>
            <w:rFonts w:asciiTheme="majorHAnsi" w:hAnsiTheme="majorHAnsi" w:cstheme="majorHAnsi"/>
          </w:rPr>
          <w:t>rs</w:t>
        </w:r>
        <w:r w:rsidRPr="00FF386D">
          <w:rPr>
            <w:rStyle w:val="Hyperlink"/>
            <w:rFonts w:asciiTheme="majorHAnsi" w:hAnsiTheme="majorHAnsi" w:cstheme="majorHAnsi"/>
          </w:rPr>
          <w:t>/</w:t>
        </w:r>
        <w:r w:rsidRPr="000A2AFE">
          <w:rPr>
            <w:rStyle w:val="Hyperlink"/>
            <w:rFonts w:asciiTheme="majorHAnsi" w:hAnsiTheme="majorHAnsi" w:cstheme="majorHAnsi"/>
          </w:rPr>
          <w:t>propisi</w:t>
        </w:r>
        <w:r w:rsidRPr="00FF386D">
          <w:rPr>
            <w:rStyle w:val="Hyperlink"/>
            <w:rFonts w:asciiTheme="majorHAnsi" w:hAnsiTheme="majorHAnsi" w:cstheme="majorHAnsi"/>
          </w:rPr>
          <w:t>/</w:t>
        </w:r>
        <w:r w:rsidRPr="000A2AFE">
          <w:rPr>
            <w:rStyle w:val="Hyperlink"/>
            <w:rFonts w:asciiTheme="majorHAnsi" w:hAnsiTheme="majorHAnsi" w:cstheme="majorHAnsi"/>
          </w:rPr>
          <w:t>zakon</w:t>
        </w:r>
        <w:r w:rsidRPr="00FF386D">
          <w:rPr>
            <w:rStyle w:val="Hyperlink"/>
            <w:rFonts w:asciiTheme="majorHAnsi" w:hAnsiTheme="majorHAnsi" w:cstheme="majorHAnsi"/>
          </w:rPr>
          <w:t>_</w:t>
        </w:r>
        <w:r w:rsidRPr="000A2AFE">
          <w:rPr>
            <w:rStyle w:val="Hyperlink"/>
            <w:rFonts w:asciiTheme="majorHAnsi" w:hAnsiTheme="majorHAnsi" w:cstheme="majorHAnsi"/>
          </w:rPr>
          <w:t>o</w:t>
        </w:r>
        <w:r w:rsidRPr="00FF386D">
          <w:rPr>
            <w:rStyle w:val="Hyperlink"/>
            <w:rFonts w:asciiTheme="majorHAnsi" w:hAnsiTheme="majorHAnsi" w:cstheme="majorHAnsi"/>
          </w:rPr>
          <w:t>_</w:t>
        </w:r>
        <w:r w:rsidRPr="000A2AFE">
          <w:rPr>
            <w:rStyle w:val="Hyperlink"/>
            <w:rFonts w:asciiTheme="majorHAnsi" w:hAnsiTheme="majorHAnsi" w:cstheme="majorHAnsi"/>
          </w:rPr>
          <w:t>podsticajima</w:t>
        </w:r>
        <w:r w:rsidRPr="00FF386D">
          <w:rPr>
            <w:rStyle w:val="Hyperlink"/>
            <w:rFonts w:asciiTheme="majorHAnsi" w:hAnsiTheme="majorHAnsi" w:cstheme="majorHAnsi"/>
          </w:rPr>
          <w:t>_</w:t>
        </w:r>
        <w:r w:rsidRPr="000A2AFE">
          <w:rPr>
            <w:rStyle w:val="Hyperlink"/>
            <w:rFonts w:asciiTheme="majorHAnsi" w:hAnsiTheme="majorHAnsi" w:cstheme="majorHAnsi"/>
          </w:rPr>
          <w:t>u</w:t>
        </w:r>
        <w:r w:rsidRPr="00FF386D">
          <w:rPr>
            <w:rStyle w:val="Hyperlink"/>
            <w:rFonts w:asciiTheme="majorHAnsi" w:hAnsiTheme="majorHAnsi" w:cstheme="majorHAnsi"/>
          </w:rPr>
          <w:t>_</w:t>
        </w:r>
        <w:r w:rsidRPr="000A2AFE">
          <w:rPr>
            <w:rStyle w:val="Hyperlink"/>
            <w:rFonts w:asciiTheme="majorHAnsi" w:hAnsiTheme="majorHAnsi" w:cstheme="majorHAnsi"/>
          </w:rPr>
          <w:t>poljoprivredi</w:t>
        </w:r>
        <w:r w:rsidRPr="00FF386D">
          <w:rPr>
            <w:rStyle w:val="Hyperlink"/>
            <w:rFonts w:asciiTheme="majorHAnsi" w:hAnsiTheme="majorHAnsi" w:cstheme="majorHAnsi"/>
          </w:rPr>
          <w:t>_</w:t>
        </w:r>
        <w:r w:rsidRPr="000A2AFE">
          <w:rPr>
            <w:rStyle w:val="Hyperlink"/>
            <w:rFonts w:asciiTheme="majorHAnsi" w:hAnsiTheme="majorHAnsi" w:cstheme="majorHAnsi"/>
          </w:rPr>
          <w:t>i</w:t>
        </w:r>
        <w:r w:rsidRPr="00FF386D">
          <w:rPr>
            <w:rStyle w:val="Hyperlink"/>
            <w:rFonts w:asciiTheme="majorHAnsi" w:hAnsiTheme="majorHAnsi" w:cstheme="majorHAnsi"/>
          </w:rPr>
          <w:t>_</w:t>
        </w:r>
        <w:r w:rsidRPr="000A2AFE">
          <w:rPr>
            <w:rStyle w:val="Hyperlink"/>
            <w:rFonts w:asciiTheme="majorHAnsi" w:hAnsiTheme="majorHAnsi" w:cstheme="majorHAnsi"/>
          </w:rPr>
          <w:t>ruralnom</w:t>
        </w:r>
        <w:r w:rsidRPr="00FF386D">
          <w:rPr>
            <w:rStyle w:val="Hyperlink"/>
            <w:rFonts w:asciiTheme="majorHAnsi" w:hAnsiTheme="majorHAnsi" w:cstheme="majorHAnsi"/>
          </w:rPr>
          <w:t>_</w:t>
        </w:r>
        <w:r w:rsidRPr="000A2AFE">
          <w:rPr>
            <w:rStyle w:val="Hyperlink"/>
            <w:rFonts w:asciiTheme="majorHAnsi" w:hAnsiTheme="majorHAnsi" w:cstheme="majorHAnsi"/>
          </w:rPr>
          <w:t>razvoju</w:t>
        </w:r>
        <w:r w:rsidRPr="00FF386D">
          <w:rPr>
            <w:rStyle w:val="Hyperlink"/>
            <w:rFonts w:asciiTheme="majorHAnsi" w:hAnsiTheme="majorHAnsi" w:cstheme="majorHAnsi"/>
          </w:rPr>
          <w:t>.</w:t>
        </w:r>
        <w:r w:rsidRPr="000A2AFE">
          <w:rPr>
            <w:rStyle w:val="Hyperlink"/>
            <w:rFonts w:asciiTheme="majorHAnsi" w:hAnsiTheme="majorHAnsi" w:cstheme="majorHAnsi"/>
          </w:rPr>
          <w:t>html</w:t>
        </w:r>
      </w:hyperlink>
    </w:p>
  </w:footnote>
  <w:footnote w:id="103">
    <w:p w14:paraId="67017924" w14:textId="6CC7FCFA" w:rsidR="00990755" w:rsidRPr="00FF386D" w:rsidRDefault="00990755">
      <w:pPr>
        <w:pStyle w:val="FootnoteText"/>
      </w:pPr>
      <w:r w:rsidRPr="000A2AFE">
        <w:rPr>
          <w:rStyle w:val="FootnoteReference"/>
          <w:lang w:val="sr-Cyrl-RS"/>
        </w:rPr>
        <w:footnoteRef/>
      </w:r>
      <w:r w:rsidRPr="00FF386D">
        <w:rPr>
          <w:rFonts w:asciiTheme="majorHAnsi" w:hAnsiTheme="majorHAnsi" w:cstheme="majorHAnsi"/>
        </w:rPr>
        <w:t>Службени гласник РС, бр. 67/21</w:t>
      </w:r>
    </w:p>
  </w:footnote>
  <w:footnote w:id="104">
    <w:p w14:paraId="089D1B17" w14:textId="143DC0AD" w:rsidR="00990755" w:rsidRPr="00FF386D" w:rsidRDefault="00990755" w:rsidP="00854ADA">
      <w:pPr>
        <w:pStyle w:val="FootnoteText"/>
        <w:rPr>
          <w:rFonts w:asciiTheme="majorHAnsi" w:hAnsiTheme="majorHAnsi" w:cstheme="majorHAnsi"/>
        </w:rPr>
      </w:pPr>
      <w:r w:rsidRPr="00177366">
        <w:rPr>
          <w:rFonts w:asciiTheme="majorHAnsi" w:eastAsiaTheme="minorHAnsi" w:hAnsiTheme="majorHAnsi" w:cstheme="majorHAnsi"/>
          <w:color w:val="0563C1" w:themeColor="hyperlink"/>
          <w:sz w:val="22"/>
          <w:szCs w:val="22"/>
          <w:u w:val="single"/>
          <w:lang w:val="en-GB"/>
        </w:rPr>
        <w:t xml:space="preserve"> </w:t>
      </w:r>
      <w:r w:rsidRPr="00177366">
        <w:rPr>
          <w:rFonts w:asciiTheme="majorHAnsi" w:hAnsiTheme="majorHAnsi" w:cstheme="majorHAnsi"/>
          <w:color w:val="0563C1" w:themeColor="hyperlink"/>
          <w:u w:val="single"/>
          <w:lang w:val="en-GB"/>
        </w:rPr>
        <w:t>https://data.stat.gov.rs/Home/Result/130401?languageCode=en-US</w:t>
      </w:r>
    </w:p>
  </w:footnote>
  <w:footnote w:id="105">
    <w:p w14:paraId="0E24FB5A" w14:textId="77777777" w:rsidR="00990755" w:rsidRPr="00FF386D" w:rsidRDefault="00990755" w:rsidP="00854ADA">
      <w:pPr>
        <w:pStyle w:val="FootnoteText"/>
        <w:rPr>
          <w:rFonts w:asciiTheme="majorHAnsi" w:hAnsiTheme="majorHAnsi" w:cstheme="majorHAnsi"/>
        </w:rPr>
      </w:pPr>
      <w:r w:rsidRPr="000A2AFE">
        <w:rPr>
          <w:rStyle w:val="FootnoteReference"/>
          <w:rFonts w:asciiTheme="majorHAnsi" w:eastAsiaTheme="majorEastAsia" w:hAnsiTheme="majorHAnsi" w:cstheme="majorHAnsi"/>
          <w:lang w:val="sr-Cyrl-RS"/>
        </w:rPr>
        <w:footnoteRef/>
      </w:r>
      <w:hyperlink r:id="rId6" w:history="1">
        <w:r w:rsidRPr="000A2AFE">
          <w:rPr>
            <w:rStyle w:val="Hyperlink"/>
            <w:rFonts w:asciiTheme="majorHAnsi" w:hAnsiTheme="majorHAnsi" w:cstheme="majorHAnsi"/>
          </w:rPr>
          <w:t>http</w:t>
        </w:r>
        <w:r w:rsidRPr="00FF386D">
          <w:rPr>
            <w:rStyle w:val="Hyperlink"/>
            <w:rFonts w:asciiTheme="majorHAnsi" w:hAnsiTheme="majorHAnsi" w:cstheme="majorHAnsi"/>
          </w:rPr>
          <w:t>://</w:t>
        </w:r>
        <w:r w:rsidRPr="000A2AFE">
          <w:rPr>
            <w:rStyle w:val="Hyperlink"/>
            <w:rFonts w:asciiTheme="majorHAnsi" w:hAnsiTheme="majorHAnsi" w:cstheme="majorHAnsi"/>
          </w:rPr>
          <w:t>www</w:t>
        </w:r>
        <w:r w:rsidRPr="00FF386D">
          <w:rPr>
            <w:rStyle w:val="Hyperlink"/>
            <w:rFonts w:asciiTheme="majorHAnsi" w:hAnsiTheme="majorHAnsi" w:cstheme="majorHAnsi"/>
          </w:rPr>
          <w:t>.</w:t>
        </w:r>
        <w:r w:rsidRPr="000A2AFE">
          <w:rPr>
            <w:rStyle w:val="Hyperlink"/>
            <w:rFonts w:asciiTheme="majorHAnsi" w:hAnsiTheme="majorHAnsi" w:cstheme="majorHAnsi"/>
          </w:rPr>
          <w:t>fao</w:t>
        </w:r>
        <w:r w:rsidRPr="00FF386D">
          <w:rPr>
            <w:rStyle w:val="Hyperlink"/>
            <w:rFonts w:asciiTheme="majorHAnsi" w:hAnsiTheme="majorHAnsi" w:cstheme="majorHAnsi"/>
          </w:rPr>
          <w:t>.</w:t>
        </w:r>
        <w:r w:rsidRPr="000A2AFE">
          <w:rPr>
            <w:rStyle w:val="Hyperlink"/>
            <w:rFonts w:asciiTheme="majorHAnsi" w:hAnsiTheme="majorHAnsi" w:cstheme="majorHAnsi"/>
          </w:rPr>
          <w:t>org</w:t>
        </w:r>
        <w:r w:rsidRPr="00FF386D">
          <w:rPr>
            <w:rStyle w:val="Hyperlink"/>
            <w:rFonts w:asciiTheme="majorHAnsi" w:hAnsiTheme="majorHAnsi" w:cstheme="majorHAnsi"/>
          </w:rPr>
          <w:t>/</w:t>
        </w:r>
        <w:r w:rsidRPr="000A2AFE">
          <w:rPr>
            <w:rStyle w:val="Hyperlink"/>
            <w:rFonts w:asciiTheme="majorHAnsi" w:hAnsiTheme="majorHAnsi" w:cstheme="majorHAnsi"/>
          </w:rPr>
          <w:t>faolex</w:t>
        </w:r>
        <w:r w:rsidRPr="00FF386D">
          <w:rPr>
            <w:rStyle w:val="Hyperlink"/>
            <w:rFonts w:asciiTheme="majorHAnsi" w:hAnsiTheme="majorHAnsi" w:cstheme="majorHAnsi"/>
          </w:rPr>
          <w:t>/</w:t>
        </w:r>
        <w:r w:rsidRPr="000A2AFE">
          <w:rPr>
            <w:rStyle w:val="Hyperlink"/>
            <w:rFonts w:asciiTheme="majorHAnsi" w:hAnsiTheme="majorHAnsi" w:cstheme="majorHAnsi"/>
          </w:rPr>
          <w:t>results</w:t>
        </w:r>
        <w:r w:rsidRPr="00FF386D">
          <w:rPr>
            <w:rStyle w:val="Hyperlink"/>
            <w:rFonts w:asciiTheme="majorHAnsi" w:hAnsiTheme="majorHAnsi" w:cstheme="majorHAnsi"/>
          </w:rPr>
          <w:t>/</w:t>
        </w:r>
        <w:r w:rsidRPr="000A2AFE">
          <w:rPr>
            <w:rStyle w:val="Hyperlink"/>
            <w:rFonts w:asciiTheme="majorHAnsi" w:hAnsiTheme="majorHAnsi" w:cstheme="majorHAnsi"/>
          </w:rPr>
          <w:t>details</w:t>
        </w:r>
        <w:r w:rsidRPr="00FF386D">
          <w:rPr>
            <w:rStyle w:val="Hyperlink"/>
            <w:rFonts w:asciiTheme="majorHAnsi" w:hAnsiTheme="majorHAnsi" w:cstheme="majorHAnsi"/>
          </w:rPr>
          <w:t>/</w:t>
        </w:r>
        <w:r w:rsidRPr="000A2AFE">
          <w:rPr>
            <w:rStyle w:val="Hyperlink"/>
            <w:rFonts w:asciiTheme="majorHAnsi" w:hAnsiTheme="majorHAnsi" w:cstheme="majorHAnsi"/>
          </w:rPr>
          <w:t>en</w:t>
        </w:r>
        <w:r w:rsidRPr="00FF386D">
          <w:rPr>
            <w:rStyle w:val="Hyperlink"/>
            <w:rFonts w:asciiTheme="majorHAnsi" w:hAnsiTheme="majorHAnsi" w:cstheme="majorHAnsi"/>
          </w:rPr>
          <w:t>/</w:t>
        </w:r>
        <w:r w:rsidRPr="000A2AFE">
          <w:rPr>
            <w:rStyle w:val="Hyperlink"/>
            <w:rFonts w:asciiTheme="majorHAnsi" w:hAnsiTheme="majorHAnsi" w:cstheme="majorHAnsi"/>
          </w:rPr>
          <w:t>c</w:t>
        </w:r>
        <w:r w:rsidRPr="00FF386D">
          <w:rPr>
            <w:rStyle w:val="Hyperlink"/>
            <w:rFonts w:asciiTheme="majorHAnsi" w:hAnsiTheme="majorHAnsi" w:cstheme="majorHAnsi"/>
          </w:rPr>
          <w:t>/</w:t>
        </w:r>
        <w:r w:rsidRPr="000A2AFE">
          <w:rPr>
            <w:rStyle w:val="Hyperlink"/>
            <w:rFonts w:asciiTheme="majorHAnsi" w:hAnsiTheme="majorHAnsi" w:cstheme="majorHAnsi"/>
          </w:rPr>
          <w:t>LEX</w:t>
        </w:r>
        <w:r w:rsidRPr="00FF386D">
          <w:rPr>
            <w:rStyle w:val="Hyperlink"/>
            <w:rFonts w:asciiTheme="majorHAnsi" w:hAnsiTheme="majorHAnsi" w:cstheme="majorHAnsi"/>
          </w:rPr>
          <w:t>-</w:t>
        </w:r>
        <w:r w:rsidRPr="000A2AFE">
          <w:rPr>
            <w:rStyle w:val="Hyperlink"/>
            <w:rFonts w:asciiTheme="majorHAnsi" w:hAnsiTheme="majorHAnsi" w:cstheme="majorHAnsi"/>
          </w:rPr>
          <w:t>FAOC</w:t>
        </w:r>
        <w:r w:rsidRPr="00FF386D">
          <w:rPr>
            <w:rStyle w:val="Hyperlink"/>
            <w:rFonts w:asciiTheme="majorHAnsi" w:hAnsiTheme="majorHAnsi" w:cstheme="majorHAnsi"/>
          </w:rPr>
          <w:t>143404</w:t>
        </w:r>
      </w:hyperlink>
    </w:p>
  </w:footnote>
  <w:footnote w:id="106">
    <w:p w14:paraId="3BCB75CD" w14:textId="77777777" w:rsidR="00990755" w:rsidRPr="00FF386D" w:rsidRDefault="00990755" w:rsidP="00854ADA">
      <w:pPr>
        <w:pStyle w:val="FootnoteText"/>
        <w:rPr>
          <w:rFonts w:asciiTheme="majorHAnsi" w:hAnsiTheme="majorHAnsi" w:cstheme="majorHAnsi"/>
        </w:rPr>
      </w:pPr>
      <w:r w:rsidRPr="000A2AFE">
        <w:rPr>
          <w:rStyle w:val="FootnoteReference"/>
          <w:rFonts w:asciiTheme="majorHAnsi" w:eastAsiaTheme="majorEastAsia" w:hAnsiTheme="majorHAnsi" w:cstheme="majorHAnsi"/>
          <w:lang w:val="sr-Cyrl-RS"/>
        </w:rPr>
        <w:footnoteRef/>
      </w:r>
      <w:hyperlink r:id="rId7" w:history="1">
        <w:r w:rsidRPr="000A2AFE">
          <w:rPr>
            <w:rStyle w:val="Hyperlink"/>
            <w:rFonts w:asciiTheme="majorHAnsi" w:hAnsiTheme="majorHAnsi" w:cstheme="majorHAnsi"/>
          </w:rPr>
          <w:t>http</w:t>
        </w:r>
        <w:r w:rsidRPr="00FF386D">
          <w:rPr>
            <w:rStyle w:val="Hyperlink"/>
            <w:rFonts w:asciiTheme="majorHAnsi" w:hAnsiTheme="majorHAnsi" w:cstheme="majorHAnsi"/>
          </w:rPr>
          <w:t>://</w:t>
        </w:r>
        <w:r w:rsidRPr="000A2AFE">
          <w:rPr>
            <w:rStyle w:val="Hyperlink"/>
            <w:rFonts w:asciiTheme="majorHAnsi" w:hAnsiTheme="majorHAnsi" w:cstheme="majorHAnsi"/>
          </w:rPr>
          <w:t>www</w:t>
        </w:r>
        <w:r w:rsidRPr="00FF386D">
          <w:rPr>
            <w:rStyle w:val="Hyperlink"/>
            <w:rFonts w:asciiTheme="majorHAnsi" w:hAnsiTheme="majorHAnsi" w:cstheme="majorHAnsi"/>
          </w:rPr>
          <w:t>.</w:t>
        </w:r>
        <w:r w:rsidRPr="000A2AFE">
          <w:rPr>
            <w:rStyle w:val="Hyperlink"/>
            <w:rFonts w:asciiTheme="majorHAnsi" w:hAnsiTheme="majorHAnsi" w:cstheme="majorHAnsi"/>
          </w:rPr>
          <w:t>fao</w:t>
        </w:r>
        <w:r w:rsidRPr="00FF386D">
          <w:rPr>
            <w:rStyle w:val="Hyperlink"/>
            <w:rFonts w:asciiTheme="majorHAnsi" w:hAnsiTheme="majorHAnsi" w:cstheme="majorHAnsi"/>
          </w:rPr>
          <w:t>.</w:t>
        </w:r>
        <w:r w:rsidRPr="000A2AFE">
          <w:rPr>
            <w:rStyle w:val="Hyperlink"/>
            <w:rFonts w:asciiTheme="majorHAnsi" w:hAnsiTheme="majorHAnsi" w:cstheme="majorHAnsi"/>
          </w:rPr>
          <w:t>org</w:t>
        </w:r>
        <w:r w:rsidRPr="00FF386D">
          <w:rPr>
            <w:rStyle w:val="Hyperlink"/>
            <w:rFonts w:asciiTheme="majorHAnsi" w:hAnsiTheme="majorHAnsi" w:cstheme="majorHAnsi"/>
          </w:rPr>
          <w:t>/</w:t>
        </w:r>
        <w:r w:rsidRPr="000A2AFE">
          <w:rPr>
            <w:rStyle w:val="Hyperlink"/>
            <w:rFonts w:asciiTheme="majorHAnsi" w:hAnsiTheme="majorHAnsi" w:cstheme="majorHAnsi"/>
          </w:rPr>
          <w:t>forestry</w:t>
        </w:r>
        <w:r w:rsidRPr="00FF386D">
          <w:rPr>
            <w:rStyle w:val="Hyperlink"/>
            <w:rFonts w:asciiTheme="majorHAnsi" w:hAnsiTheme="majorHAnsi" w:cstheme="majorHAnsi"/>
          </w:rPr>
          <w:t>/16159-0</w:t>
        </w:r>
        <w:r w:rsidRPr="000A2AFE">
          <w:rPr>
            <w:rStyle w:val="Hyperlink"/>
            <w:rFonts w:asciiTheme="majorHAnsi" w:hAnsiTheme="majorHAnsi" w:cstheme="majorHAnsi"/>
          </w:rPr>
          <w:t>f</w:t>
        </w:r>
        <w:r w:rsidRPr="00FF386D">
          <w:rPr>
            <w:rStyle w:val="Hyperlink"/>
            <w:rFonts w:asciiTheme="majorHAnsi" w:hAnsiTheme="majorHAnsi" w:cstheme="majorHAnsi"/>
          </w:rPr>
          <w:t>033</w:t>
        </w:r>
        <w:r w:rsidRPr="000A2AFE">
          <w:rPr>
            <w:rStyle w:val="Hyperlink"/>
            <w:rFonts w:asciiTheme="majorHAnsi" w:hAnsiTheme="majorHAnsi" w:cstheme="majorHAnsi"/>
          </w:rPr>
          <w:t>f</w:t>
        </w:r>
        <w:r w:rsidRPr="00FF386D">
          <w:rPr>
            <w:rStyle w:val="Hyperlink"/>
            <w:rFonts w:asciiTheme="majorHAnsi" w:hAnsiTheme="majorHAnsi" w:cstheme="majorHAnsi"/>
          </w:rPr>
          <w:t>89</w:t>
        </w:r>
        <w:r w:rsidRPr="000A2AFE">
          <w:rPr>
            <w:rStyle w:val="Hyperlink"/>
            <w:rFonts w:asciiTheme="majorHAnsi" w:hAnsiTheme="majorHAnsi" w:cstheme="majorHAnsi"/>
          </w:rPr>
          <w:t>b</w:t>
        </w:r>
        <w:r w:rsidRPr="00FF386D">
          <w:rPr>
            <w:rStyle w:val="Hyperlink"/>
            <w:rFonts w:asciiTheme="majorHAnsi" w:hAnsiTheme="majorHAnsi" w:cstheme="majorHAnsi"/>
          </w:rPr>
          <w:t>9</w:t>
        </w:r>
        <w:r w:rsidRPr="000A2AFE">
          <w:rPr>
            <w:rStyle w:val="Hyperlink"/>
            <w:rFonts w:asciiTheme="majorHAnsi" w:hAnsiTheme="majorHAnsi" w:cstheme="majorHAnsi"/>
          </w:rPr>
          <w:t>da</w:t>
        </w:r>
        <w:r w:rsidRPr="00FF386D">
          <w:rPr>
            <w:rStyle w:val="Hyperlink"/>
            <w:rFonts w:asciiTheme="majorHAnsi" w:hAnsiTheme="majorHAnsi" w:cstheme="majorHAnsi"/>
          </w:rPr>
          <w:t>00</w:t>
        </w:r>
        <w:r w:rsidRPr="000A2AFE">
          <w:rPr>
            <w:rStyle w:val="Hyperlink"/>
            <w:rFonts w:asciiTheme="majorHAnsi" w:hAnsiTheme="majorHAnsi" w:cstheme="majorHAnsi"/>
          </w:rPr>
          <w:t>ac</w:t>
        </w:r>
        <w:r w:rsidRPr="00FF386D">
          <w:rPr>
            <w:rStyle w:val="Hyperlink"/>
            <w:rFonts w:asciiTheme="majorHAnsi" w:hAnsiTheme="majorHAnsi" w:cstheme="majorHAnsi"/>
          </w:rPr>
          <w:t>3</w:t>
        </w:r>
        <w:r w:rsidRPr="000A2AFE">
          <w:rPr>
            <w:rStyle w:val="Hyperlink"/>
            <w:rFonts w:asciiTheme="majorHAnsi" w:hAnsiTheme="majorHAnsi" w:cstheme="majorHAnsi"/>
          </w:rPr>
          <w:t>d</w:t>
        </w:r>
        <w:r w:rsidRPr="00FF386D">
          <w:rPr>
            <w:rStyle w:val="Hyperlink"/>
            <w:rFonts w:asciiTheme="majorHAnsi" w:hAnsiTheme="majorHAnsi" w:cstheme="majorHAnsi"/>
          </w:rPr>
          <w:t>5</w:t>
        </w:r>
        <w:r w:rsidRPr="000A2AFE">
          <w:rPr>
            <w:rStyle w:val="Hyperlink"/>
            <w:rFonts w:asciiTheme="majorHAnsi" w:hAnsiTheme="majorHAnsi" w:cstheme="majorHAnsi"/>
          </w:rPr>
          <w:t>a</w:t>
        </w:r>
        <w:r w:rsidRPr="00FF386D">
          <w:rPr>
            <w:rStyle w:val="Hyperlink"/>
            <w:rFonts w:asciiTheme="majorHAnsi" w:hAnsiTheme="majorHAnsi" w:cstheme="majorHAnsi"/>
          </w:rPr>
          <w:t>3</w:t>
        </w:r>
        <w:r w:rsidRPr="000A2AFE">
          <w:rPr>
            <w:rStyle w:val="Hyperlink"/>
            <w:rFonts w:asciiTheme="majorHAnsi" w:hAnsiTheme="majorHAnsi" w:cstheme="majorHAnsi"/>
          </w:rPr>
          <w:t>c</w:t>
        </w:r>
        <w:r w:rsidRPr="00FF386D">
          <w:rPr>
            <w:rStyle w:val="Hyperlink"/>
            <w:rFonts w:asciiTheme="majorHAnsi" w:hAnsiTheme="majorHAnsi" w:cstheme="majorHAnsi"/>
          </w:rPr>
          <w:t>81</w:t>
        </w:r>
        <w:r w:rsidRPr="000A2AFE">
          <w:rPr>
            <w:rStyle w:val="Hyperlink"/>
            <w:rFonts w:asciiTheme="majorHAnsi" w:hAnsiTheme="majorHAnsi" w:cstheme="majorHAnsi"/>
          </w:rPr>
          <w:t>cda</w:t>
        </w:r>
        <w:r w:rsidRPr="00FF386D">
          <w:rPr>
            <w:rStyle w:val="Hyperlink"/>
            <w:rFonts w:asciiTheme="majorHAnsi" w:hAnsiTheme="majorHAnsi" w:cstheme="majorHAnsi"/>
          </w:rPr>
          <w:t>247</w:t>
        </w:r>
        <w:r w:rsidRPr="000A2AFE">
          <w:rPr>
            <w:rStyle w:val="Hyperlink"/>
            <w:rFonts w:asciiTheme="majorHAnsi" w:hAnsiTheme="majorHAnsi" w:cstheme="majorHAnsi"/>
          </w:rPr>
          <w:t>f</w:t>
        </w:r>
        <w:r w:rsidRPr="00FF386D">
          <w:rPr>
            <w:rStyle w:val="Hyperlink"/>
            <w:rFonts w:asciiTheme="majorHAnsi" w:hAnsiTheme="majorHAnsi" w:cstheme="majorHAnsi"/>
          </w:rPr>
          <w:t>26.</w:t>
        </w:r>
        <w:r w:rsidRPr="000A2AFE">
          <w:rPr>
            <w:rStyle w:val="Hyperlink"/>
            <w:rFonts w:asciiTheme="majorHAnsi" w:hAnsiTheme="majorHAnsi" w:cstheme="majorHAnsi"/>
          </w:rPr>
          <w:t>pdf</w:t>
        </w:r>
      </w:hyperlink>
    </w:p>
  </w:footnote>
  <w:footnote w:id="107">
    <w:p w14:paraId="0773059B" w14:textId="77777777" w:rsidR="00990755" w:rsidRPr="00FF386D" w:rsidRDefault="00990755" w:rsidP="00854ADA">
      <w:pPr>
        <w:pStyle w:val="FootnoteText"/>
        <w:rPr>
          <w:rFonts w:asciiTheme="majorHAnsi" w:hAnsiTheme="majorHAnsi" w:cstheme="majorHAnsi"/>
        </w:rPr>
      </w:pPr>
      <w:r w:rsidRPr="000A2AFE">
        <w:rPr>
          <w:rStyle w:val="FootnoteReference"/>
          <w:rFonts w:asciiTheme="majorHAnsi" w:eastAsiaTheme="majorEastAsia" w:hAnsiTheme="majorHAnsi" w:cstheme="majorHAnsi"/>
          <w:lang w:val="sr-Cyrl-RS"/>
        </w:rPr>
        <w:footnoteRef/>
      </w:r>
      <w:r w:rsidRPr="00FF386D">
        <w:rPr>
          <w:rFonts w:asciiTheme="majorHAnsi" w:hAnsiTheme="majorHAnsi" w:cstheme="majorHAnsi"/>
        </w:rPr>
        <w:t xml:space="preserve"> Ratknic, M., Rakonjac, Lj., Braunovic, S., Miletic, Z., Ratknic, T. (2015), “The Republic of Serbia’s afforestation strategy with an action plan”, </w:t>
      </w:r>
      <w:r w:rsidRPr="00FF386D">
        <w:rPr>
          <w:rFonts w:asciiTheme="majorHAnsi" w:hAnsiTheme="majorHAnsi" w:cstheme="majorHAnsi"/>
          <w:i/>
        </w:rPr>
        <w:t>Reforesta</w:t>
      </w:r>
      <w:r w:rsidRPr="00FF386D">
        <w:rPr>
          <w:rFonts w:asciiTheme="majorHAnsi" w:hAnsiTheme="majorHAnsi" w:cstheme="majorHAnsi"/>
        </w:rPr>
        <w:t>. pp. 13-22.</w:t>
      </w:r>
    </w:p>
  </w:footnote>
  <w:footnote w:id="108">
    <w:p w14:paraId="5005A467" w14:textId="26100021" w:rsidR="00990755" w:rsidRPr="00FF386D" w:rsidRDefault="00990755" w:rsidP="00854ADA">
      <w:pPr>
        <w:pStyle w:val="FootnoteText"/>
        <w:rPr>
          <w:rFonts w:asciiTheme="majorHAnsi" w:hAnsiTheme="majorHAnsi" w:cstheme="majorHAnsi"/>
          <w:szCs w:val="22"/>
        </w:rPr>
      </w:pPr>
      <w:r w:rsidRPr="00FF386D">
        <w:rPr>
          <w:rFonts w:asciiTheme="majorHAnsi" w:hAnsiTheme="majorHAnsi" w:cstheme="majorHAnsi"/>
          <w:vertAlign w:val="superscript"/>
        </w:rPr>
        <w:footnoteRef/>
      </w:r>
      <w:r w:rsidRPr="00FF386D">
        <w:rPr>
          <w:rFonts w:asciiTheme="majorHAnsi" w:hAnsiTheme="majorHAnsi" w:cstheme="majorHAnsi"/>
          <w:szCs w:val="22"/>
        </w:rPr>
        <w:t>Албанија, Босна и Херцеговина, Косово</w:t>
      </w:r>
      <w:r w:rsidRPr="000A2AFE">
        <w:rPr>
          <w:rFonts w:asciiTheme="majorHAnsi" w:hAnsiTheme="majorHAnsi" w:cstheme="majorHAnsi"/>
          <w:szCs w:val="22"/>
          <w:vertAlign w:val="superscript"/>
        </w:rPr>
        <w:t>*</w:t>
      </w:r>
      <w:r w:rsidRPr="00FF386D">
        <w:rPr>
          <w:rFonts w:asciiTheme="majorHAnsi" w:hAnsiTheme="majorHAnsi" w:cstheme="majorHAnsi"/>
          <w:szCs w:val="22"/>
        </w:rPr>
        <w:t>, Северна Македонија, Црна Гора, Република Србија.</w:t>
      </w:r>
    </w:p>
    <w:p w14:paraId="62AAAD66" w14:textId="0380EAC0" w:rsidR="00990755" w:rsidRPr="00FF386D" w:rsidRDefault="00990755" w:rsidP="00854ADA">
      <w:pPr>
        <w:pStyle w:val="FootnoteText"/>
        <w:rPr>
          <w:rFonts w:asciiTheme="majorHAnsi" w:hAnsiTheme="majorHAnsi" w:cstheme="majorHAnsi"/>
          <w:szCs w:val="22"/>
        </w:rPr>
      </w:pPr>
      <w:r w:rsidRPr="000A2AFE">
        <w:rPr>
          <w:rFonts w:asciiTheme="majorHAnsi" w:hAnsiTheme="majorHAnsi" w:cstheme="majorHAnsi"/>
          <w:szCs w:val="22"/>
          <w:vertAlign w:val="superscript"/>
        </w:rPr>
        <w:t>*</w:t>
      </w:r>
      <w:r w:rsidRPr="00FF386D">
        <w:rPr>
          <w:rFonts w:asciiTheme="majorHAnsi" w:hAnsiTheme="majorHAnsi" w:cstheme="majorHAnsi"/>
          <w:szCs w:val="22"/>
        </w:rPr>
        <w:t>У целом тексту ИНЕКП-а, овај назив не доводи у питање ставове о статусу и у складу је са Резолуцијом Савета безбедности Уједињених нација 1244 и мишљењем Међународног суда праве о проглашењу независности Косова.</w:t>
      </w:r>
    </w:p>
    <w:p w14:paraId="48CB14B2" w14:textId="77777777" w:rsidR="00990755" w:rsidRPr="00FF386D" w:rsidRDefault="00990755" w:rsidP="00854ADA">
      <w:pPr>
        <w:pStyle w:val="FootnoteText"/>
        <w:rPr>
          <w:rFonts w:asciiTheme="majorHAnsi" w:hAnsiTheme="majorHAnsi" w:cstheme="majorHAnsi"/>
          <w:szCs w:val="22"/>
        </w:rPr>
      </w:pPr>
    </w:p>
  </w:footnote>
  <w:footnote w:id="109">
    <w:p w14:paraId="335FB019" w14:textId="6179278D" w:rsidR="00990755" w:rsidRPr="000A2AFE" w:rsidRDefault="00990755">
      <w:pPr>
        <w:pStyle w:val="FootnoteText"/>
        <w:rPr>
          <w:lang w:val="sr-Latn-RS"/>
        </w:rPr>
      </w:pPr>
      <w:r>
        <w:rPr>
          <w:rStyle w:val="FootnoteReference"/>
        </w:rPr>
        <w:footnoteRef/>
      </w:r>
      <w:r>
        <w:rPr>
          <w:rFonts w:asciiTheme="majorHAnsi" w:hAnsiTheme="majorHAnsi" w:cstheme="majorHAnsi"/>
        </w:rPr>
        <w:t>Службени гласник РС, бр.</w:t>
      </w:r>
      <w:r w:rsidRPr="00A33AE8">
        <w:rPr>
          <w:rFonts w:asciiTheme="majorHAnsi" w:hAnsiTheme="majorHAnsi" w:cstheme="majorHAnsi"/>
        </w:rPr>
        <w:t xml:space="preserve"> 26/01, 80/02, 43/04, 132/04, 112/05, 114/06, 118/07, 114/08, </w:t>
      </w:r>
      <w:r>
        <w:rPr>
          <w:rFonts w:asciiTheme="majorHAnsi" w:hAnsiTheme="majorHAnsi" w:cstheme="majorHAnsi"/>
        </w:rPr>
        <w:t xml:space="preserve">и </w:t>
      </w:r>
      <w:r w:rsidRPr="00A33AE8">
        <w:rPr>
          <w:rFonts w:asciiTheme="majorHAnsi" w:hAnsiTheme="majorHAnsi" w:cstheme="majorHAnsi"/>
        </w:rPr>
        <w:t>31/09</w:t>
      </w:r>
    </w:p>
  </w:footnote>
  <w:footnote w:id="110">
    <w:p w14:paraId="29FE0CA3" w14:textId="19248072" w:rsidR="00990755" w:rsidRPr="00FF386D" w:rsidRDefault="00990755" w:rsidP="0003727C">
      <w:pPr>
        <w:pStyle w:val="FootnoteText"/>
      </w:pPr>
      <w:r w:rsidRPr="000A2AFE">
        <w:rPr>
          <w:rStyle w:val="FootnoteReference"/>
          <w:lang w:val="sr-Cyrl-RS"/>
        </w:rPr>
        <w:footnoteRef/>
      </w:r>
      <w:r w:rsidRPr="00FF386D">
        <w:t xml:space="preserve"> </w:t>
      </w:r>
      <w:r w:rsidRPr="00FF386D">
        <w:rPr>
          <w:rFonts w:asciiTheme="majorHAnsi" w:hAnsiTheme="majorHAnsi" w:cstheme="majorHAnsi"/>
        </w:rPr>
        <w:t xml:space="preserve">Дугорочна стратегија за подстицање улагања у обнову националног фонда зграда Републике Србије до </w:t>
      </w:r>
      <w:r w:rsidRPr="000A2AFE">
        <w:rPr>
          <w:rFonts w:asciiTheme="majorHAnsi" w:hAnsiTheme="majorHAnsi" w:cstheme="majorHAnsi"/>
        </w:rPr>
        <w:t>2050</w:t>
      </w:r>
      <w:r w:rsidRPr="00FF386D">
        <w:rPr>
          <w:rFonts w:asciiTheme="majorHAnsi" w:hAnsiTheme="majorHAnsi" w:cstheme="majorHAnsi"/>
        </w:rPr>
        <w:t>. године усвојена је 25. фебруара 2022. године</w:t>
      </w:r>
      <w:r w:rsidRPr="000A2AFE">
        <w:rPr>
          <w:rFonts w:asciiTheme="majorHAnsi" w:hAnsiTheme="majorHAnsi" w:cstheme="majorHAnsi"/>
        </w:rPr>
        <w:t>. (</w:t>
      </w:r>
      <w:r w:rsidRPr="00FF386D">
        <w:rPr>
          <w:rFonts w:asciiTheme="majorHAnsi" w:hAnsiTheme="majorHAnsi" w:cstheme="majorHAnsi"/>
        </w:rPr>
        <w:t>Службени гласник РС, бр.</w:t>
      </w:r>
      <w:r w:rsidRPr="000A2AFE">
        <w:rPr>
          <w:rFonts w:asciiTheme="majorHAnsi" w:hAnsiTheme="majorHAnsi" w:cstheme="majorHAnsi"/>
        </w:rPr>
        <w:t xml:space="preserve"> 27/22).</w:t>
      </w:r>
    </w:p>
  </w:footnote>
  <w:footnote w:id="111">
    <w:p w14:paraId="4B0841A6" w14:textId="2040BA06" w:rsidR="00990755" w:rsidRDefault="00990755">
      <w:pPr>
        <w:pStyle w:val="FootnoteText"/>
      </w:pPr>
      <w:r>
        <w:rPr>
          <w:rStyle w:val="FootnoteReference"/>
        </w:rPr>
        <w:footnoteRef/>
      </w:r>
      <w:r>
        <w:rPr>
          <w:rFonts w:asciiTheme="majorHAnsi" w:hAnsiTheme="majorHAnsi" w:cstheme="majorHAnsi"/>
        </w:rPr>
        <w:t>Службени гласник РС, бр.</w:t>
      </w:r>
      <w:r w:rsidRPr="00A33AE8">
        <w:rPr>
          <w:rFonts w:asciiTheme="majorHAnsi" w:hAnsiTheme="majorHAnsi" w:cstheme="majorHAnsi"/>
        </w:rPr>
        <w:t xml:space="preserve"> 3/14 </w:t>
      </w:r>
      <w:r>
        <w:rPr>
          <w:rFonts w:asciiTheme="majorHAnsi" w:hAnsiTheme="majorHAnsi" w:cstheme="majorHAnsi"/>
        </w:rPr>
        <w:t>и</w:t>
      </w:r>
      <w:r w:rsidRPr="00A33AE8">
        <w:rPr>
          <w:rFonts w:asciiTheme="majorHAnsi" w:hAnsiTheme="majorHAnsi" w:cstheme="majorHAnsi"/>
        </w:rPr>
        <w:t xml:space="preserve"> 66/20</w:t>
      </w:r>
    </w:p>
  </w:footnote>
  <w:footnote w:id="112">
    <w:p w14:paraId="57E141E3" w14:textId="32D16DEB" w:rsidR="00990755" w:rsidRPr="00867FDB" w:rsidRDefault="00990755">
      <w:pPr>
        <w:pStyle w:val="FootnoteText"/>
      </w:pPr>
      <w:r>
        <w:rPr>
          <w:rStyle w:val="FootnoteReference"/>
        </w:rPr>
        <w:footnoteRef/>
      </w:r>
      <w:r w:rsidRPr="004254D2">
        <w:rPr>
          <w:rFonts w:asciiTheme="majorHAnsi" w:hAnsiTheme="majorHAnsi" w:cstheme="majorHAnsi"/>
        </w:rPr>
        <w:t>Службени гласник РС, бр.</w:t>
      </w:r>
      <w:r>
        <w:rPr>
          <w:rFonts w:asciiTheme="majorHAnsi" w:hAnsiTheme="majorHAnsi" w:cstheme="majorHAnsi"/>
          <w:lang w:val="en-US"/>
        </w:rPr>
        <w:t xml:space="preserve"> 83/21 </w:t>
      </w:r>
      <w:r>
        <w:rPr>
          <w:rFonts w:asciiTheme="majorHAnsi" w:hAnsiTheme="majorHAnsi" w:cstheme="majorHAnsi"/>
        </w:rPr>
        <w:t>и 74/22</w:t>
      </w:r>
    </w:p>
  </w:footnote>
  <w:footnote w:id="113">
    <w:p w14:paraId="4D87C773" w14:textId="4DE26E7E" w:rsidR="00990755" w:rsidRDefault="00990755">
      <w:pPr>
        <w:pStyle w:val="FootnoteText"/>
      </w:pPr>
      <w:r>
        <w:rPr>
          <w:rStyle w:val="FootnoteReference"/>
        </w:rPr>
        <w:footnoteRef/>
      </w:r>
      <w:r w:rsidRPr="004254D2">
        <w:rPr>
          <w:rFonts w:asciiTheme="majorHAnsi" w:hAnsiTheme="majorHAnsi" w:cstheme="majorHAnsi"/>
        </w:rPr>
        <w:t>Службени гласник РС, бр.</w:t>
      </w:r>
      <w:r>
        <w:rPr>
          <w:rFonts w:asciiTheme="majorHAnsi" w:hAnsiTheme="majorHAnsi" w:cstheme="majorHAnsi"/>
        </w:rPr>
        <w:t xml:space="preserve"> 2/23</w:t>
      </w:r>
    </w:p>
  </w:footnote>
  <w:footnote w:id="114">
    <w:p w14:paraId="16AC20EC" w14:textId="1DA14B34" w:rsidR="00990755" w:rsidRDefault="00990755">
      <w:pPr>
        <w:pStyle w:val="FootnoteText"/>
      </w:pPr>
      <w:r>
        <w:rPr>
          <w:rStyle w:val="FootnoteReference"/>
        </w:rPr>
        <w:footnoteRef/>
      </w:r>
      <w:r w:rsidRPr="004254D2">
        <w:rPr>
          <w:rFonts w:asciiTheme="majorHAnsi" w:hAnsiTheme="majorHAnsi" w:cstheme="majorHAnsi"/>
        </w:rPr>
        <w:t>Службени гласник РС, бр.</w:t>
      </w:r>
      <w:r>
        <w:rPr>
          <w:rFonts w:asciiTheme="majorHAnsi" w:hAnsiTheme="majorHAnsi" w:cstheme="majorHAnsi"/>
        </w:rPr>
        <w:t xml:space="preserve"> 2/23</w:t>
      </w:r>
    </w:p>
  </w:footnote>
  <w:footnote w:id="115">
    <w:p w14:paraId="16B44086" w14:textId="38500752" w:rsidR="00990755" w:rsidRPr="000A2AFE" w:rsidRDefault="00990755">
      <w:pPr>
        <w:pStyle w:val="FootnoteText"/>
        <w:rPr>
          <w:lang w:val="sr-Latn-RS"/>
        </w:rPr>
      </w:pPr>
      <w:r>
        <w:rPr>
          <w:rStyle w:val="FootnoteReference"/>
        </w:rPr>
        <w:footnoteRef/>
      </w:r>
      <w:r w:rsidRPr="004254D2">
        <w:rPr>
          <w:rFonts w:asciiTheme="majorHAnsi" w:hAnsiTheme="majorHAnsi" w:cstheme="majorHAnsi"/>
        </w:rPr>
        <w:t>Службени гласник РС, бр.</w:t>
      </w:r>
      <w:r>
        <w:rPr>
          <w:rFonts w:asciiTheme="majorHAnsi" w:hAnsiTheme="majorHAnsi" w:cstheme="majorHAnsi"/>
          <w:lang w:val="sr-Latn-RS"/>
        </w:rPr>
        <w:t xml:space="preserve"> 104/22</w:t>
      </w:r>
    </w:p>
  </w:footnote>
  <w:footnote w:id="116">
    <w:p w14:paraId="5C7DD914" w14:textId="4ABE686E" w:rsidR="00990755" w:rsidRPr="000A2AFE" w:rsidRDefault="00990755">
      <w:pPr>
        <w:pStyle w:val="FootnoteText"/>
        <w:rPr>
          <w:lang w:val="sr-Latn-RS"/>
        </w:rPr>
      </w:pPr>
      <w:r>
        <w:rPr>
          <w:rStyle w:val="FootnoteReference"/>
        </w:rPr>
        <w:footnoteRef/>
      </w:r>
      <w:r w:rsidRPr="004254D2">
        <w:rPr>
          <w:rFonts w:asciiTheme="majorHAnsi" w:hAnsiTheme="majorHAnsi" w:cstheme="majorHAnsi"/>
        </w:rPr>
        <w:t>Службени гласник РС, бр.</w:t>
      </w:r>
      <w:r w:rsidRPr="000A2AFE">
        <w:rPr>
          <w:rFonts w:asciiTheme="majorHAnsi" w:hAnsiTheme="majorHAnsi" w:cstheme="majorHAnsi"/>
        </w:rPr>
        <w:t xml:space="preserve"> 104/22</w:t>
      </w:r>
    </w:p>
  </w:footnote>
  <w:footnote w:id="117">
    <w:p w14:paraId="79E4AF25" w14:textId="5B2F9194" w:rsidR="00990755" w:rsidRPr="000A2AFE" w:rsidRDefault="00990755">
      <w:pPr>
        <w:pStyle w:val="FootnoteText"/>
        <w:rPr>
          <w:lang w:val="sr-Latn-RS"/>
        </w:rPr>
      </w:pPr>
      <w:r>
        <w:rPr>
          <w:rStyle w:val="FootnoteReference"/>
        </w:rPr>
        <w:footnoteRef/>
      </w:r>
      <w:r w:rsidRPr="004254D2">
        <w:rPr>
          <w:rFonts w:asciiTheme="majorHAnsi" w:hAnsiTheme="majorHAnsi" w:cstheme="majorHAnsi"/>
        </w:rPr>
        <w:t>Службени гласник РС, бр.</w:t>
      </w:r>
      <w:r>
        <w:rPr>
          <w:rFonts w:asciiTheme="majorHAnsi" w:hAnsiTheme="majorHAnsi" w:cstheme="majorHAnsi"/>
          <w:lang w:val="sr-Latn-RS"/>
        </w:rPr>
        <w:t xml:space="preserve"> 95/22</w:t>
      </w:r>
    </w:p>
  </w:footnote>
  <w:footnote w:id="118">
    <w:p w14:paraId="23EE39FD" w14:textId="4AF4A99A" w:rsidR="00990755" w:rsidRPr="000A2AFE" w:rsidRDefault="00990755">
      <w:pPr>
        <w:pStyle w:val="FootnoteText"/>
        <w:rPr>
          <w:lang w:val="sr-Latn-RS"/>
        </w:rPr>
      </w:pPr>
      <w:r>
        <w:rPr>
          <w:rStyle w:val="FootnoteReference"/>
        </w:rPr>
        <w:footnoteRef/>
      </w:r>
      <w:r w:rsidRPr="004254D2">
        <w:rPr>
          <w:rFonts w:asciiTheme="majorHAnsi" w:hAnsiTheme="majorHAnsi" w:cstheme="majorHAnsi"/>
        </w:rPr>
        <w:t>Службени гласник РС, бр.</w:t>
      </w:r>
      <w:r>
        <w:rPr>
          <w:rFonts w:asciiTheme="majorHAnsi" w:hAnsiTheme="majorHAnsi" w:cstheme="majorHAnsi"/>
          <w:lang w:val="sr-Latn-RS"/>
        </w:rPr>
        <w:t xml:space="preserve"> 84/22</w:t>
      </w:r>
    </w:p>
  </w:footnote>
  <w:footnote w:id="119">
    <w:p w14:paraId="4AE37333" w14:textId="54832DEC" w:rsidR="00990755" w:rsidRPr="000A2AFE" w:rsidRDefault="00990755" w:rsidP="007264C1">
      <w:pPr>
        <w:pStyle w:val="FootnoteText"/>
        <w:rPr>
          <w:rFonts w:asciiTheme="majorHAnsi" w:hAnsiTheme="majorHAnsi" w:cstheme="majorHAnsi"/>
        </w:rPr>
      </w:pPr>
      <w:r w:rsidRPr="000A2AFE">
        <w:rPr>
          <w:rStyle w:val="FootnoteReference"/>
          <w:rFonts w:eastAsia="Calibri"/>
          <w:lang w:val="sr-Cyrl-RS" w:bidi="sr-Cyrl-CS"/>
        </w:rPr>
        <w:footnoteRef/>
      </w:r>
      <w:r w:rsidRPr="000A2AFE">
        <w:rPr>
          <w:lang w:bidi="sr-Cyrl-CS"/>
        </w:rPr>
        <w:t xml:space="preserve"> </w:t>
      </w:r>
      <w:r w:rsidRPr="000A2AFE">
        <w:rPr>
          <w:rFonts w:asciiTheme="majorHAnsi" w:hAnsiTheme="majorHAnsi" w:cstheme="majorHAnsi"/>
          <w:lang w:bidi="sr-Cyrl-CS"/>
        </w:rPr>
        <w:t>Ово су дугорочне социо-економске пројекције (пројекције БДП-а) по земљи, које је развио Међународни институт за примењену системску анализу (МИПСА) за сценарије Међувладиног панела о климатским променама (МПКП)</w:t>
      </w:r>
    </w:p>
  </w:footnote>
  <w:footnote w:id="120">
    <w:p w14:paraId="0A687777" w14:textId="49E1079A" w:rsidR="00990755" w:rsidRPr="0011238E" w:rsidRDefault="00990755">
      <w:pPr>
        <w:pStyle w:val="FootnoteText"/>
      </w:pPr>
      <w:r>
        <w:rPr>
          <w:rStyle w:val="FootnoteReference"/>
        </w:rPr>
        <w:footnoteRef/>
      </w:r>
      <w:r>
        <w:t xml:space="preserve">Узети у обзир да инвестиције у технологије за балансирање и технологије за складиштење нису имплицитно укључене у цену технологија обновљиве енергије, већ су прорачунате експлицитно по </w:t>
      </w:r>
      <w:r>
        <w:rPr>
          <w:lang w:val="sr-Latn-RS"/>
        </w:rPr>
        <w:t xml:space="preserve">kW </w:t>
      </w:r>
      <w:r>
        <w:t>технологије за балансирање или складиштење које су укључене у систем.</w:t>
      </w:r>
    </w:p>
  </w:footnote>
  <w:footnote w:id="121">
    <w:p w14:paraId="3FE18048" w14:textId="20157335" w:rsidR="00990755" w:rsidRPr="00FF386D" w:rsidRDefault="00990755" w:rsidP="00D90012">
      <w:pPr>
        <w:pStyle w:val="FootnoteText"/>
      </w:pPr>
      <w:r w:rsidRPr="000A2AFE">
        <w:rPr>
          <w:rStyle w:val="FootnoteReference"/>
          <w:lang w:val="sr-Cyrl-RS"/>
        </w:rPr>
        <w:footnoteRef/>
      </w:r>
      <w:r w:rsidRPr="00FF386D">
        <w:t xml:space="preserve">Последњи расположиви подаци за емисије </w:t>
      </w:r>
      <w:r w:rsidRPr="000A2AFE">
        <w:rPr>
          <w:i/>
          <w:iCs/>
        </w:rPr>
        <w:t>GHG</w:t>
      </w:r>
      <w:r w:rsidRPr="000A2AFE">
        <w:t xml:space="preserve"> </w:t>
      </w:r>
      <w:r w:rsidRPr="00FF386D">
        <w:t>су за 2019. годину</w:t>
      </w:r>
    </w:p>
  </w:footnote>
  <w:footnote w:id="122">
    <w:p w14:paraId="474ED9EF" w14:textId="4C56B821" w:rsidR="00990755" w:rsidRDefault="00990755">
      <w:pPr>
        <w:pStyle w:val="FootnoteText"/>
      </w:pPr>
      <w:r>
        <w:rPr>
          <w:rStyle w:val="FootnoteReference"/>
        </w:rPr>
        <w:footnoteRef/>
      </w:r>
      <w:r>
        <w:t xml:space="preserve"> Узети у обзир да ова слика </w:t>
      </w:r>
      <w:r w:rsidRPr="00A534CF">
        <w:t>представља само топлане повезане на системе даљинског грејања, а не и когенерациона постројења која такође обезбеђују топлоту систему даљинског грејања.</w:t>
      </w:r>
    </w:p>
  </w:footnote>
  <w:footnote w:id="123">
    <w:p w14:paraId="71B724EB" w14:textId="743965CE" w:rsidR="00990755" w:rsidRPr="000A2AFE" w:rsidRDefault="00990755" w:rsidP="002A1A23">
      <w:pPr>
        <w:pStyle w:val="FootnoteText"/>
      </w:pPr>
      <w:r w:rsidRPr="000A2AFE">
        <w:rPr>
          <w:rStyle w:val="FootnoteReference"/>
          <w:rFonts w:eastAsia="Calibri"/>
          <w:lang w:val="sr-Cyrl-RS" w:bidi="sr-Cyrl-CS"/>
        </w:rPr>
        <w:footnoteRef/>
      </w:r>
      <w:r w:rsidRPr="000A2AFE">
        <w:rPr>
          <w:lang w:bidi="sr-Cyrl-CS"/>
        </w:rPr>
        <w:t xml:space="preserve"> </w:t>
      </w:r>
      <w:r w:rsidRPr="00FF386D">
        <w:rPr>
          <w:lang w:bidi="sr-Cyrl-CS"/>
        </w:rPr>
        <w:t>Energy Community Secretariat</w:t>
      </w:r>
      <w:r w:rsidRPr="000A2AFE">
        <w:rPr>
          <w:lang w:bidi="sr-Cyrl-CS"/>
        </w:rPr>
        <w:t xml:space="preserve">, </w:t>
      </w:r>
      <w:r w:rsidRPr="00FF386D">
        <w:rPr>
          <w:lang w:bidi="sr-Cyrl-CS"/>
        </w:rPr>
        <w:t>“Electricity Interconnection Targets in the Energy Community Contracting Parties”, Feb. 2021</w:t>
      </w:r>
    </w:p>
  </w:footnote>
  <w:footnote w:id="124">
    <w:p w14:paraId="167F2422" w14:textId="3160E865" w:rsidR="00990755" w:rsidRPr="00FF386D" w:rsidRDefault="00990755" w:rsidP="00A0370B">
      <w:pPr>
        <w:pStyle w:val="FootnoteText"/>
      </w:pPr>
      <w:r w:rsidRPr="000A2AFE">
        <w:rPr>
          <w:rStyle w:val="FootnoteReference"/>
          <w:lang w:val="sr-Cyrl-RS"/>
        </w:rPr>
        <w:footnoteRef/>
      </w:r>
      <w:r w:rsidRPr="00FF386D">
        <w:t xml:space="preserve"> </w:t>
      </w:r>
      <w:r w:rsidRPr="00FF386D">
        <w:rPr>
          <w:lang w:bidi="sr-Cyrl-CS"/>
        </w:rPr>
        <w:t xml:space="preserve">Извор: </w:t>
      </w:r>
      <w:r w:rsidRPr="00C9524E">
        <w:rPr>
          <w:lang w:bidi="sr-Cyrl-CS"/>
        </w:rPr>
        <w:t>План развоја преносног система Републике Србије за период од 2021. до 2030. године</w:t>
      </w:r>
    </w:p>
  </w:footnote>
  <w:footnote w:id="125">
    <w:p w14:paraId="6544FD5B" w14:textId="77777777" w:rsidR="00990755" w:rsidRPr="00FF386D" w:rsidRDefault="00990755" w:rsidP="00F1286D">
      <w:pPr>
        <w:pStyle w:val="FootnoteText"/>
      </w:pPr>
      <w:r w:rsidRPr="000A2AFE">
        <w:rPr>
          <w:rStyle w:val="FootnoteReference"/>
          <w:rFonts w:eastAsiaTheme="majorEastAsia"/>
          <w:lang w:val="sr-Cyrl-RS"/>
        </w:rPr>
        <w:footnoteRef/>
      </w:r>
      <w:r w:rsidRPr="00FF386D">
        <w:t xml:space="preserve"> </w:t>
      </w:r>
      <w:r w:rsidRPr="000A2AFE">
        <w:rPr>
          <w:rFonts w:asciiTheme="majorHAnsi" w:hAnsiTheme="majorHAnsi" w:cstheme="majorHAnsi"/>
        </w:rPr>
        <w:t xml:space="preserve">2020 </w:t>
      </w:r>
      <w:r w:rsidRPr="00FF386D">
        <w:rPr>
          <w:rFonts w:asciiTheme="majorHAnsi" w:hAnsiTheme="majorHAnsi" w:cstheme="majorHAnsi"/>
        </w:rPr>
        <w:t>Годишњи извештај Агенције за енергетику, Београд, мај 2021 (website: https://www.aers.rs/Index.asp?l=2&amp;a=53)</w:t>
      </w:r>
    </w:p>
  </w:footnote>
  <w:footnote w:id="126">
    <w:p w14:paraId="424D8324" w14:textId="77777777" w:rsidR="00990755" w:rsidRDefault="00990755" w:rsidP="0035784B">
      <w:pPr>
        <w:pStyle w:val="FootnoteText"/>
      </w:pPr>
      <w:r>
        <w:rPr>
          <w:rStyle w:val="FootnoteReference"/>
        </w:rPr>
        <w:footnoteRef/>
      </w:r>
      <w:r w:rsidRPr="00FF386D">
        <w:rPr>
          <w:rFonts w:asciiTheme="majorHAnsi" w:hAnsiTheme="majorHAnsi" w:cstheme="majorHAnsi"/>
        </w:rPr>
        <w:t>Службени гласник РС, бр.</w:t>
      </w:r>
      <w:r>
        <w:rPr>
          <w:rFonts w:asciiTheme="majorHAnsi" w:hAnsiTheme="majorHAnsi" w:cstheme="majorHAnsi"/>
        </w:rPr>
        <w:t xml:space="preserve"> 45/23</w:t>
      </w:r>
    </w:p>
  </w:footnote>
  <w:footnote w:id="127">
    <w:p w14:paraId="32ACD17F" w14:textId="0705578E" w:rsidR="00990755" w:rsidRPr="00FF386D" w:rsidRDefault="00990755" w:rsidP="0035784B">
      <w:pPr>
        <w:pStyle w:val="FootnoteText"/>
        <w:rPr>
          <w:rFonts w:asciiTheme="majorHAnsi" w:hAnsiTheme="majorHAnsi" w:cstheme="majorHAnsi"/>
        </w:rPr>
      </w:pPr>
      <w:r w:rsidRPr="003377A4">
        <w:rPr>
          <w:rStyle w:val="FootnoteReference"/>
          <w:rFonts w:eastAsiaTheme="majorEastAsia" w:cstheme="majorHAnsi"/>
          <w:lang w:val="sr-Cyrl-RS"/>
        </w:rPr>
        <w:footnoteRef/>
      </w:r>
      <w:r w:rsidRPr="00FF386D">
        <w:rPr>
          <w:rFonts w:asciiTheme="majorHAnsi" w:hAnsiTheme="majorHAnsi" w:cstheme="majorHAnsi"/>
        </w:rPr>
        <w:t xml:space="preserve">Службени гласник РС, бр. </w:t>
      </w:r>
      <w:r>
        <w:rPr>
          <w:rFonts w:asciiTheme="majorHAnsi" w:hAnsiTheme="majorHAnsi" w:cstheme="majorHAnsi"/>
          <w:lang w:val="en-US"/>
        </w:rPr>
        <w:t>18</w:t>
      </w:r>
      <w:r w:rsidRPr="00FF386D">
        <w:rPr>
          <w:rFonts w:asciiTheme="majorHAnsi" w:hAnsiTheme="majorHAnsi" w:cstheme="majorHAnsi"/>
        </w:rPr>
        <w:t>/2</w:t>
      </w:r>
      <w:r>
        <w:rPr>
          <w:rFonts w:asciiTheme="majorHAnsi" w:hAnsiTheme="majorHAnsi" w:cstheme="majorHAnsi"/>
          <w:lang w:val="en-US"/>
        </w:rPr>
        <w:t>3</w:t>
      </w:r>
    </w:p>
  </w:footnote>
  <w:footnote w:id="128">
    <w:p w14:paraId="2C6506D3" w14:textId="77777777" w:rsidR="00FF33E3" w:rsidRPr="00FF386D" w:rsidRDefault="00FF33E3" w:rsidP="00FF33E3">
      <w:pPr>
        <w:pStyle w:val="FootnoteText"/>
      </w:pPr>
      <w:r w:rsidRPr="000A2AFE">
        <w:rPr>
          <w:rStyle w:val="FootnoteReference"/>
          <w:lang w:val="sr-Cyrl-RS"/>
        </w:rPr>
        <w:footnoteRef/>
      </w:r>
      <w:r w:rsidRPr="00FF386D">
        <w:t xml:space="preserve"> </w:t>
      </w:r>
      <w:r w:rsidRPr="00FF386D">
        <w:rPr>
          <w:rFonts w:asciiTheme="majorHAnsi" w:hAnsiTheme="majorHAnsi" w:cstheme="majorHAnsi"/>
        </w:rPr>
        <w:t>Интензитет финалне енергије представља финалну потрошњу енергије у посебној грани/варијабли по јединици нивоа активности.</w:t>
      </w:r>
    </w:p>
  </w:footnote>
  <w:footnote w:id="129">
    <w:p w14:paraId="60B2157B" w14:textId="2F1730DF" w:rsidR="00990755" w:rsidRPr="00FF386D" w:rsidRDefault="00990755" w:rsidP="00CA5936">
      <w:pPr>
        <w:pStyle w:val="FootnoteText"/>
      </w:pPr>
      <w:r w:rsidRPr="000A2AFE">
        <w:rPr>
          <w:rStyle w:val="FootnoteReference"/>
          <w:rFonts w:asciiTheme="majorHAnsi" w:hAnsiTheme="majorHAnsi" w:cstheme="majorHAnsi"/>
          <w:lang w:val="sr-Cyrl-RS"/>
        </w:rPr>
        <w:footnoteRef/>
      </w:r>
      <w:r w:rsidRPr="00FF386D">
        <w:rPr>
          <w:rFonts w:asciiTheme="majorHAnsi" w:hAnsiTheme="majorHAnsi" w:cstheme="majorHAnsi"/>
        </w:rPr>
        <w:t xml:space="preserve"> Претпоставља се да је за инсталацију великих фотонапонских електрана потребно у просеку годину дана, за ветроелектране две године а за електране на биомасу </w:t>
      </w:r>
      <w:r>
        <w:rPr>
          <w:rFonts w:asciiTheme="majorHAnsi" w:hAnsiTheme="majorHAnsi" w:cstheme="majorHAnsi"/>
        </w:rPr>
        <w:t>две</w:t>
      </w:r>
      <w:r w:rsidRPr="00FF386D">
        <w:rPr>
          <w:rFonts w:asciiTheme="majorHAnsi" w:hAnsiTheme="majorHAnsi" w:cstheme="majorHAnsi"/>
        </w:rPr>
        <w:t xml:space="preserve"> године.</w:t>
      </w:r>
    </w:p>
  </w:footnote>
  <w:footnote w:id="130">
    <w:p w14:paraId="33BC8AD2" w14:textId="77777777" w:rsidR="00990755" w:rsidRPr="00A06060" w:rsidRDefault="00990755" w:rsidP="003F57EB">
      <w:pPr>
        <w:pStyle w:val="FootnoteText"/>
      </w:pPr>
      <w:r>
        <w:rPr>
          <w:rStyle w:val="FootnoteReference"/>
        </w:rPr>
        <w:footnoteRef/>
      </w:r>
      <w:r>
        <w:t xml:space="preserve"> </w:t>
      </w:r>
      <w:r w:rsidRPr="00A06060">
        <w:t>https://episcope.eu/building-typology/country/rs/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1FDDC1" w14:textId="77777777" w:rsidR="00990755" w:rsidRPr="00FF386D" w:rsidRDefault="00990755" w:rsidP="00AF20A4">
    <w:pPr>
      <w:pStyle w:val="Header"/>
    </w:pPr>
  </w:p>
  <w:p w14:paraId="12BAED74" w14:textId="77777777" w:rsidR="00990755" w:rsidRPr="00FF386D" w:rsidRDefault="00990755">
    <w:pPr>
      <w:pStyle w:val="Header"/>
    </w:pPr>
  </w:p>
  <w:p w14:paraId="28342D45" w14:textId="77777777" w:rsidR="00990755" w:rsidRPr="00FF386D" w:rsidRDefault="0099075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57B4F"/>
    <w:multiLevelType w:val="hybridMultilevel"/>
    <w:tmpl w:val="D78EDA24"/>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04637E1"/>
    <w:multiLevelType w:val="hybridMultilevel"/>
    <w:tmpl w:val="F2C40D5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0770FDE"/>
    <w:multiLevelType w:val="hybridMultilevel"/>
    <w:tmpl w:val="18640B5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08F11BB"/>
    <w:multiLevelType w:val="hybridMultilevel"/>
    <w:tmpl w:val="BCE420D4"/>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0B70ACA"/>
    <w:multiLevelType w:val="hybridMultilevel"/>
    <w:tmpl w:val="3E604294"/>
    <w:lvl w:ilvl="0" w:tplc="F17A6916">
      <w:start w:val="5"/>
      <w:numFmt w:val="lowerRoman"/>
      <w:lvlText w:val="%1."/>
      <w:lvlJc w:val="righ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5" w15:restartNumberingAfterBreak="0">
    <w:nsid w:val="00B84583"/>
    <w:multiLevelType w:val="hybridMultilevel"/>
    <w:tmpl w:val="CCDC8ED4"/>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6" w15:restartNumberingAfterBreak="0">
    <w:nsid w:val="00EA36B7"/>
    <w:multiLevelType w:val="hybridMultilevel"/>
    <w:tmpl w:val="A2BA294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0EE4B78"/>
    <w:multiLevelType w:val="hybridMultilevel"/>
    <w:tmpl w:val="0BA652F4"/>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19A25B7"/>
    <w:multiLevelType w:val="hybridMultilevel"/>
    <w:tmpl w:val="446062E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1B35C83"/>
    <w:multiLevelType w:val="hybridMultilevel"/>
    <w:tmpl w:val="D78E0AB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1CD3F5D"/>
    <w:multiLevelType w:val="hybridMultilevel"/>
    <w:tmpl w:val="15629A86"/>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1" w15:restartNumberingAfterBreak="0">
    <w:nsid w:val="0219228C"/>
    <w:multiLevelType w:val="hybridMultilevel"/>
    <w:tmpl w:val="3BC4173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2C57133"/>
    <w:multiLevelType w:val="hybridMultilevel"/>
    <w:tmpl w:val="F47012F2"/>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36C762C"/>
    <w:multiLevelType w:val="hybridMultilevel"/>
    <w:tmpl w:val="6C8C966C"/>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4" w15:restartNumberingAfterBreak="0">
    <w:nsid w:val="03A21AC8"/>
    <w:multiLevelType w:val="hybridMultilevel"/>
    <w:tmpl w:val="5F20B84C"/>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5" w15:restartNumberingAfterBreak="0">
    <w:nsid w:val="03CE1CB0"/>
    <w:multiLevelType w:val="hybridMultilevel"/>
    <w:tmpl w:val="8F682164"/>
    <w:lvl w:ilvl="0" w:tplc="CF405A12">
      <w:start w:val="1"/>
      <w:numFmt w:val="lowerRoman"/>
      <w:lvlText w:val="%1."/>
      <w:lvlJc w:val="righ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6" w15:restartNumberingAfterBreak="0">
    <w:nsid w:val="042C41C8"/>
    <w:multiLevelType w:val="hybridMultilevel"/>
    <w:tmpl w:val="CC2A15E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4695233"/>
    <w:multiLevelType w:val="hybridMultilevel"/>
    <w:tmpl w:val="49E2D65A"/>
    <w:lvl w:ilvl="0" w:tplc="E98C4502">
      <w:start w:val="6"/>
      <w:numFmt w:val="lowerRoman"/>
      <w:lvlText w:val="%1."/>
      <w:lvlJc w:val="righ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8" w15:restartNumberingAfterBreak="0">
    <w:nsid w:val="0499076F"/>
    <w:multiLevelType w:val="hybridMultilevel"/>
    <w:tmpl w:val="A4829930"/>
    <w:lvl w:ilvl="0" w:tplc="58B0BA9E">
      <w:start w:val="1"/>
      <w:numFmt w:val="lowerRoman"/>
      <w:pStyle w:val="Heading4"/>
      <w:lvlText w:val="%1."/>
      <w:lvlJc w:val="righ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05704431"/>
    <w:multiLevelType w:val="hybridMultilevel"/>
    <w:tmpl w:val="8D883184"/>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5FA7041"/>
    <w:multiLevelType w:val="hybridMultilevel"/>
    <w:tmpl w:val="32BA8B7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6977C7B"/>
    <w:multiLevelType w:val="hybridMultilevel"/>
    <w:tmpl w:val="F620B25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75B573E"/>
    <w:multiLevelType w:val="hybridMultilevel"/>
    <w:tmpl w:val="5C940BB4"/>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79C2446"/>
    <w:multiLevelType w:val="hybridMultilevel"/>
    <w:tmpl w:val="D472D6E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07E76BD4"/>
    <w:multiLevelType w:val="hybridMultilevel"/>
    <w:tmpl w:val="C764FCA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07ED3A0F"/>
    <w:multiLevelType w:val="hybridMultilevel"/>
    <w:tmpl w:val="26A00FC8"/>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8AF644D"/>
    <w:multiLevelType w:val="hybridMultilevel"/>
    <w:tmpl w:val="891A1DC2"/>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08DE553E"/>
    <w:multiLevelType w:val="hybridMultilevel"/>
    <w:tmpl w:val="76900836"/>
    <w:lvl w:ilvl="0" w:tplc="B480364C">
      <w:numFmt w:val="bullet"/>
      <w:lvlText w:val="•"/>
      <w:lvlJc w:val="left"/>
      <w:pPr>
        <w:ind w:left="1080" w:hanging="72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9460633"/>
    <w:multiLevelType w:val="hybridMultilevel"/>
    <w:tmpl w:val="2124D2B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095C324D"/>
    <w:multiLevelType w:val="hybridMultilevel"/>
    <w:tmpl w:val="FEF4A11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09B7657F"/>
    <w:multiLevelType w:val="hybridMultilevel"/>
    <w:tmpl w:val="83E20D2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09DA1994"/>
    <w:multiLevelType w:val="hybridMultilevel"/>
    <w:tmpl w:val="DB108930"/>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2" w15:restartNumberingAfterBreak="0">
    <w:nsid w:val="0A0D4102"/>
    <w:multiLevelType w:val="hybridMultilevel"/>
    <w:tmpl w:val="E3A00AB0"/>
    <w:lvl w:ilvl="0" w:tplc="A6D4831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0A6D2AD6"/>
    <w:multiLevelType w:val="hybridMultilevel"/>
    <w:tmpl w:val="FC142FC0"/>
    <w:lvl w:ilvl="0" w:tplc="04C4563E">
      <w:start w:val="1"/>
      <w:numFmt w:val="lowerRoman"/>
      <w:lvlText w:val="%1."/>
      <w:lvlJc w:val="righ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4" w15:restartNumberingAfterBreak="0">
    <w:nsid w:val="0A994D90"/>
    <w:multiLevelType w:val="multilevel"/>
    <w:tmpl w:val="13CA9F02"/>
    <w:lvl w:ilvl="0">
      <w:start w:val="1"/>
      <w:numFmt w:val="bullet"/>
      <w:pStyle w:val="Bullet"/>
      <w:lvlText w:val=""/>
      <w:lvlJc w:val="left"/>
      <w:pPr>
        <w:tabs>
          <w:tab w:val="num" w:pos="360"/>
        </w:tabs>
        <w:ind w:left="36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0B346DF9"/>
    <w:multiLevelType w:val="hybridMultilevel"/>
    <w:tmpl w:val="052EF196"/>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0C11287C"/>
    <w:multiLevelType w:val="hybridMultilevel"/>
    <w:tmpl w:val="CC00C58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0CA964A5"/>
    <w:multiLevelType w:val="hybridMultilevel"/>
    <w:tmpl w:val="CEB469B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0CCB07EF"/>
    <w:multiLevelType w:val="hybridMultilevel"/>
    <w:tmpl w:val="2104134C"/>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9" w15:restartNumberingAfterBreak="0">
    <w:nsid w:val="0D2F7031"/>
    <w:multiLevelType w:val="hybridMultilevel"/>
    <w:tmpl w:val="C7BE4C3E"/>
    <w:lvl w:ilvl="0" w:tplc="4AD07A4A">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0D3F637A"/>
    <w:multiLevelType w:val="hybridMultilevel"/>
    <w:tmpl w:val="49C4472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0D645F33"/>
    <w:multiLevelType w:val="hybridMultilevel"/>
    <w:tmpl w:val="EBD636D2"/>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0E212EEE"/>
    <w:multiLevelType w:val="hybridMultilevel"/>
    <w:tmpl w:val="F876505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0E6D1A88"/>
    <w:multiLevelType w:val="hybridMultilevel"/>
    <w:tmpl w:val="628C280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0E8C3D91"/>
    <w:multiLevelType w:val="hybridMultilevel"/>
    <w:tmpl w:val="86B8B2BE"/>
    <w:lvl w:ilvl="0" w:tplc="5CE4ED2C">
      <w:start w:val="1"/>
      <w:numFmt w:val="bullet"/>
      <w:lvlText w:val=""/>
      <w:lvlJc w:val="left"/>
      <w:pPr>
        <w:ind w:left="720" w:hanging="360"/>
      </w:pPr>
      <w:rPr>
        <w:rFonts w:ascii="Wingdings" w:hAnsi="Wingdings" w:hint="default"/>
        <w:color w:val="01406B"/>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0F2526C3"/>
    <w:multiLevelType w:val="hybridMultilevel"/>
    <w:tmpl w:val="C190437C"/>
    <w:lvl w:ilvl="0" w:tplc="C51EBEBA">
      <w:start w:val="2"/>
      <w:numFmt w:val="low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0F3337AD"/>
    <w:multiLevelType w:val="hybridMultilevel"/>
    <w:tmpl w:val="44444562"/>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7" w15:restartNumberingAfterBreak="0">
    <w:nsid w:val="0F8E6D9E"/>
    <w:multiLevelType w:val="hybridMultilevel"/>
    <w:tmpl w:val="274E223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0FD514EE"/>
    <w:multiLevelType w:val="hybridMultilevel"/>
    <w:tmpl w:val="289441D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1036140D"/>
    <w:multiLevelType w:val="hybridMultilevel"/>
    <w:tmpl w:val="C91CD3F6"/>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0" w15:restartNumberingAfterBreak="0">
    <w:nsid w:val="10BF1FE8"/>
    <w:multiLevelType w:val="hybridMultilevel"/>
    <w:tmpl w:val="6B16952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11FF1CB2"/>
    <w:multiLevelType w:val="hybridMultilevel"/>
    <w:tmpl w:val="EE942CD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124C1A93"/>
    <w:multiLevelType w:val="hybridMultilevel"/>
    <w:tmpl w:val="533227C0"/>
    <w:lvl w:ilvl="0" w:tplc="5CE4ED2C">
      <w:start w:val="1"/>
      <w:numFmt w:val="bullet"/>
      <w:lvlText w:val=""/>
      <w:lvlJc w:val="left"/>
      <w:pPr>
        <w:ind w:left="1080" w:hanging="360"/>
      </w:pPr>
      <w:rPr>
        <w:rFonts w:ascii="Wingdings" w:hAnsi="Wingdings" w:hint="default"/>
        <w:color w:val="01406B"/>
      </w:rPr>
    </w:lvl>
    <w:lvl w:ilvl="1" w:tplc="241A0003">
      <w:start w:val="1"/>
      <w:numFmt w:val="bullet"/>
      <w:lvlText w:val="o"/>
      <w:lvlJc w:val="left"/>
      <w:pPr>
        <w:ind w:left="1800" w:hanging="360"/>
      </w:pPr>
      <w:rPr>
        <w:rFonts w:ascii="Courier New" w:hAnsi="Courier New" w:cs="Courier New" w:hint="default"/>
      </w:rPr>
    </w:lvl>
    <w:lvl w:ilvl="2" w:tplc="241A0005">
      <w:start w:val="1"/>
      <w:numFmt w:val="bullet"/>
      <w:lvlText w:val=""/>
      <w:lvlJc w:val="left"/>
      <w:pPr>
        <w:ind w:left="2520" w:hanging="360"/>
      </w:pPr>
      <w:rPr>
        <w:rFonts w:ascii="Wingdings" w:hAnsi="Wingdings" w:hint="default"/>
      </w:rPr>
    </w:lvl>
    <w:lvl w:ilvl="3" w:tplc="241A0001">
      <w:start w:val="1"/>
      <w:numFmt w:val="bullet"/>
      <w:lvlText w:val=""/>
      <w:lvlJc w:val="left"/>
      <w:pPr>
        <w:ind w:left="3240" w:hanging="360"/>
      </w:pPr>
      <w:rPr>
        <w:rFonts w:ascii="Symbol" w:hAnsi="Symbol" w:hint="default"/>
      </w:rPr>
    </w:lvl>
    <w:lvl w:ilvl="4" w:tplc="241A0003" w:tentative="1">
      <w:start w:val="1"/>
      <w:numFmt w:val="bullet"/>
      <w:lvlText w:val="o"/>
      <w:lvlJc w:val="left"/>
      <w:pPr>
        <w:ind w:left="3960" w:hanging="360"/>
      </w:pPr>
      <w:rPr>
        <w:rFonts w:ascii="Courier New" w:hAnsi="Courier New" w:cs="Courier New" w:hint="default"/>
      </w:rPr>
    </w:lvl>
    <w:lvl w:ilvl="5" w:tplc="241A0005" w:tentative="1">
      <w:start w:val="1"/>
      <w:numFmt w:val="bullet"/>
      <w:lvlText w:val=""/>
      <w:lvlJc w:val="left"/>
      <w:pPr>
        <w:ind w:left="4680" w:hanging="360"/>
      </w:pPr>
      <w:rPr>
        <w:rFonts w:ascii="Wingdings" w:hAnsi="Wingdings" w:hint="default"/>
      </w:rPr>
    </w:lvl>
    <w:lvl w:ilvl="6" w:tplc="241A0001" w:tentative="1">
      <w:start w:val="1"/>
      <w:numFmt w:val="bullet"/>
      <w:lvlText w:val=""/>
      <w:lvlJc w:val="left"/>
      <w:pPr>
        <w:ind w:left="5400" w:hanging="360"/>
      </w:pPr>
      <w:rPr>
        <w:rFonts w:ascii="Symbol" w:hAnsi="Symbol" w:hint="default"/>
      </w:rPr>
    </w:lvl>
    <w:lvl w:ilvl="7" w:tplc="241A0003" w:tentative="1">
      <w:start w:val="1"/>
      <w:numFmt w:val="bullet"/>
      <w:lvlText w:val="o"/>
      <w:lvlJc w:val="left"/>
      <w:pPr>
        <w:ind w:left="6120" w:hanging="360"/>
      </w:pPr>
      <w:rPr>
        <w:rFonts w:ascii="Courier New" w:hAnsi="Courier New" w:cs="Courier New" w:hint="default"/>
      </w:rPr>
    </w:lvl>
    <w:lvl w:ilvl="8" w:tplc="241A0005" w:tentative="1">
      <w:start w:val="1"/>
      <w:numFmt w:val="bullet"/>
      <w:lvlText w:val=""/>
      <w:lvlJc w:val="left"/>
      <w:pPr>
        <w:ind w:left="6840" w:hanging="360"/>
      </w:pPr>
      <w:rPr>
        <w:rFonts w:ascii="Wingdings" w:hAnsi="Wingdings" w:hint="default"/>
      </w:rPr>
    </w:lvl>
  </w:abstractNum>
  <w:abstractNum w:abstractNumId="53" w15:restartNumberingAfterBreak="0">
    <w:nsid w:val="127B1D88"/>
    <w:multiLevelType w:val="hybridMultilevel"/>
    <w:tmpl w:val="9E5EFEE2"/>
    <w:lvl w:ilvl="0" w:tplc="5CE4ED2C">
      <w:start w:val="1"/>
      <w:numFmt w:val="bullet"/>
      <w:lvlText w:val=""/>
      <w:lvlJc w:val="left"/>
      <w:pPr>
        <w:ind w:left="768" w:hanging="360"/>
      </w:pPr>
      <w:rPr>
        <w:rFonts w:ascii="Wingdings" w:hAnsi="Wingdings" w:hint="default"/>
        <w:color w:val="01406B"/>
      </w:rPr>
    </w:lvl>
    <w:lvl w:ilvl="1" w:tplc="241A0003" w:tentative="1">
      <w:start w:val="1"/>
      <w:numFmt w:val="bullet"/>
      <w:lvlText w:val="o"/>
      <w:lvlJc w:val="left"/>
      <w:pPr>
        <w:ind w:left="1488" w:hanging="360"/>
      </w:pPr>
      <w:rPr>
        <w:rFonts w:ascii="Courier New" w:hAnsi="Courier New" w:cs="Courier New" w:hint="default"/>
      </w:rPr>
    </w:lvl>
    <w:lvl w:ilvl="2" w:tplc="241A0005" w:tentative="1">
      <w:start w:val="1"/>
      <w:numFmt w:val="bullet"/>
      <w:lvlText w:val=""/>
      <w:lvlJc w:val="left"/>
      <w:pPr>
        <w:ind w:left="2208" w:hanging="360"/>
      </w:pPr>
      <w:rPr>
        <w:rFonts w:ascii="Wingdings" w:hAnsi="Wingdings" w:hint="default"/>
      </w:rPr>
    </w:lvl>
    <w:lvl w:ilvl="3" w:tplc="241A0001" w:tentative="1">
      <w:start w:val="1"/>
      <w:numFmt w:val="bullet"/>
      <w:lvlText w:val=""/>
      <w:lvlJc w:val="left"/>
      <w:pPr>
        <w:ind w:left="2928" w:hanging="360"/>
      </w:pPr>
      <w:rPr>
        <w:rFonts w:ascii="Symbol" w:hAnsi="Symbol" w:hint="default"/>
      </w:rPr>
    </w:lvl>
    <w:lvl w:ilvl="4" w:tplc="241A0003" w:tentative="1">
      <w:start w:val="1"/>
      <w:numFmt w:val="bullet"/>
      <w:lvlText w:val="o"/>
      <w:lvlJc w:val="left"/>
      <w:pPr>
        <w:ind w:left="3648" w:hanging="360"/>
      </w:pPr>
      <w:rPr>
        <w:rFonts w:ascii="Courier New" w:hAnsi="Courier New" w:cs="Courier New" w:hint="default"/>
      </w:rPr>
    </w:lvl>
    <w:lvl w:ilvl="5" w:tplc="241A0005" w:tentative="1">
      <w:start w:val="1"/>
      <w:numFmt w:val="bullet"/>
      <w:lvlText w:val=""/>
      <w:lvlJc w:val="left"/>
      <w:pPr>
        <w:ind w:left="4368" w:hanging="360"/>
      </w:pPr>
      <w:rPr>
        <w:rFonts w:ascii="Wingdings" w:hAnsi="Wingdings" w:hint="default"/>
      </w:rPr>
    </w:lvl>
    <w:lvl w:ilvl="6" w:tplc="241A0001" w:tentative="1">
      <w:start w:val="1"/>
      <w:numFmt w:val="bullet"/>
      <w:lvlText w:val=""/>
      <w:lvlJc w:val="left"/>
      <w:pPr>
        <w:ind w:left="5088" w:hanging="360"/>
      </w:pPr>
      <w:rPr>
        <w:rFonts w:ascii="Symbol" w:hAnsi="Symbol" w:hint="default"/>
      </w:rPr>
    </w:lvl>
    <w:lvl w:ilvl="7" w:tplc="241A0003" w:tentative="1">
      <w:start w:val="1"/>
      <w:numFmt w:val="bullet"/>
      <w:lvlText w:val="o"/>
      <w:lvlJc w:val="left"/>
      <w:pPr>
        <w:ind w:left="5808" w:hanging="360"/>
      </w:pPr>
      <w:rPr>
        <w:rFonts w:ascii="Courier New" w:hAnsi="Courier New" w:cs="Courier New" w:hint="default"/>
      </w:rPr>
    </w:lvl>
    <w:lvl w:ilvl="8" w:tplc="241A0005" w:tentative="1">
      <w:start w:val="1"/>
      <w:numFmt w:val="bullet"/>
      <w:lvlText w:val=""/>
      <w:lvlJc w:val="left"/>
      <w:pPr>
        <w:ind w:left="6528" w:hanging="360"/>
      </w:pPr>
      <w:rPr>
        <w:rFonts w:ascii="Wingdings" w:hAnsi="Wingdings" w:hint="default"/>
      </w:rPr>
    </w:lvl>
  </w:abstractNum>
  <w:abstractNum w:abstractNumId="54" w15:restartNumberingAfterBreak="0">
    <w:nsid w:val="12B5567F"/>
    <w:multiLevelType w:val="hybridMultilevel"/>
    <w:tmpl w:val="2FEE2C6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12B56C1C"/>
    <w:multiLevelType w:val="hybridMultilevel"/>
    <w:tmpl w:val="55A27B9A"/>
    <w:lvl w:ilvl="0" w:tplc="B480364C">
      <w:numFmt w:val="bullet"/>
      <w:lvlText w:val="•"/>
      <w:lvlJc w:val="left"/>
      <w:pPr>
        <w:ind w:left="720" w:hanging="360"/>
      </w:pPr>
      <w:rPr>
        <w:rFonts w:ascii="Calibri" w:eastAsia="Times New Roman" w:hAnsi="Calibri" w:cs="Calibri"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6" w15:restartNumberingAfterBreak="0">
    <w:nsid w:val="1390207E"/>
    <w:multiLevelType w:val="hybridMultilevel"/>
    <w:tmpl w:val="820A4DF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13AA1379"/>
    <w:multiLevelType w:val="hybridMultilevel"/>
    <w:tmpl w:val="90E64236"/>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13FB4A6B"/>
    <w:multiLevelType w:val="hybridMultilevel"/>
    <w:tmpl w:val="669C0C6A"/>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9" w15:restartNumberingAfterBreak="0">
    <w:nsid w:val="141639D7"/>
    <w:multiLevelType w:val="hybridMultilevel"/>
    <w:tmpl w:val="6BECA162"/>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141F133D"/>
    <w:multiLevelType w:val="hybridMultilevel"/>
    <w:tmpl w:val="817A8C9C"/>
    <w:lvl w:ilvl="0" w:tplc="F776EDE2">
      <w:start w:val="3"/>
      <w:numFmt w:val="lowerRoman"/>
      <w:lvlText w:val="%1."/>
      <w:lvlJc w:val="righ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61" w15:restartNumberingAfterBreak="0">
    <w:nsid w:val="14A70F54"/>
    <w:multiLevelType w:val="hybridMultilevel"/>
    <w:tmpl w:val="48A8E28C"/>
    <w:lvl w:ilvl="0" w:tplc="BDBED758">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15592FEB"/>
    <w:multiLevelType w:val="hybridMultilevel"/>
    <w:tmpl w:val="0378663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173D317F"/>
    <w:multiLevelType w:val="hybridMultilevel"/>
    <w:tmpl w:val="BB92461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17AF373B"/>
    <w:multiLevelType w:val="hybridMultilevel"/>
    <w:tmpl w:val="549A1E32"/>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65" w15:restartNumberingAfterBreak="0">
    <w:nsid w:val="17F12721"/>
    <w:multiLevelType w:val="hybridMultilevel"/>
    <w:tmpl w:val="C5F4CF1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18192A9F"/>
    <w:multiLevelType w:val="hybridMultilevel"/>
    <w:tmpl w:val="752ECCC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182868D4"/>
    <w:multiLevelType w:val="hybridMultilevel"/>
    <w:tmpl w:val="E742504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18AF1C8A"/>
    <w:multiLevelType w:val="hybridMultilevel"/>
    <w:tmpl w:val="460CC480"/>
    <w:lvl w:ilvl="0" w:tplc="241A0005">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69" w15:restartNumberingAfterBreak="0">
    <w:nsid w:val="18B33164"/>
    <w:multiLevelType w:val="hybridMultilevel"/>
    <w:tmpl w:val="F932BFE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18C61288"/>
    <w:multiLevelType w:val="hybridMultilevel"/>
    <w:tmpl w:val="26EA3570"/>
    <w:lvl w:ilvl="0" w:tplc="ED1C0512">
      <w:start w:val="1"/>
      <w:numFmt w:val="lowerRoman"/>
      <w:lvlText w:val="%1."/>
      <w:lvlJc w:val="righ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71" w15:restartNumberingAfterBreak="0">
    <w:nsid w:val="19A1655F"/>
    <w:multiLevelType w:val="multilevel"/>
    <w:tmpl w:val="5302F69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72" w15:restartNumberingAfterBreak="0">
    <w:nsid w:val="1A4613BF"/>
    <w:multiLevelType w:val="hybridMultilevel"/>
    <w:tmpl w:val="0ABAEC28"/>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1A795A19"/>
    <w:multiLevelType w:val="hybridMultilevel"/>
    <w:tmpl w:val="93D26C02"/>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1B153374"/>
    <w:multiLevelType w:val="hybridMultilevel"/>
    <w:tmpl w:val="A9C21148"/>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1BF95DEF"/>
    <w:multiLevelType w:val="hybridMultilevel"/>
    <w:tmpl w:val="D362D01A"/>
    <w:lvl w:ilvl="0" w:tplc="241A0011">
      <w:start w:val="1"/>
      <w:numFmt w:val="decimal"/>
      <w:lvlText w:val="%1)"/>
      <w:lvlJc w:val="left"/>
      <w:pPr>
        <w:ind w:left="360" w:hanging="360"/>
      </w:pPr>
      <w:rPr>
        <w:rFonts w:hint="default"/>
      </w:rPr>
    </w:lvl>
    <w:lvl w:ilvl="1" w:tplc="241A0019" w:tentative="1">
      <w:start w:val="1"/>
      <w:numFmt w:val="lowerLetter"/>
      <w:lvlText w:val="%2."/>
      <w:lvlJc w:val="left"/>
      <w:pPr>
        <w:ind w:left="1080" w:hanging="360"/>
      </w:pPr>
    </w:lvl>
    <w:lvl w:ilvl="2" w:tplc="241A001B" w:tentative="1">
      <w:start w:val="1"/>
      <w:numFmt w:val="lowerRoman"/>
      <w:lvlText w:val="%3."/>
      <w:lvlJc w:val="right"/>
      <w:pPr>
        <w:ind w:left="1800" w:hanging="180"/>
      </w:pPr>
    </w:lvl>
    <w:lvl w:ilvl="3" w:tplc="241A000F" w:tentative="1">
      <w:start w:val="1"/>
      <w:numFmt w:val="decimal"/>
      <w:lvlText w:val="%4."/>
      <w:lvlJc w:val="left"/>
      <w:pPr>
        <w:ind w:left="2520" w:hanging="360"/>
      </w:pPr>
    </w:lvl>
    <w:lvl w:ilvl="4" w:tplc="241A0019" w:tentative="1">
      <w:start w:val="1"/>
      <w:numFmt w:val="lowerLetter"/>
      <w:lvlText w:val="%5."/>
      <w:lvlJc w:val="left"/>
      <w:pPr>
        <w:ind w:left="3240" w:hanging="360"/>
      </w:pPr>
    </w:lvl>
    <w:lvl w:ilvl="5" w:tplc="241A001B" w:tentative="1">
      <w:start w:val="1"/>
      <w:numFmt w:val="lowerRoman"/>
      <w:lvlText w:val="%6."/>
      <w:lvlJc w:val="right"/>
      <w:pPr>
        <w:ind w:left="3960" w:hanging="180"/>
      </w:pPr>
    </w:lvl>
    <w:lvl w:ilvl="6" w:tplc="241A000F" w:tentative="1">
      <w:start w:val="1"/>
      <w:numFmt w:val="decimal"/>
      <w:lvlText w:val="%7."/>
      <w:lvlJc w:val="left"/>
      <w:pPr>
        <w:ind w:left="4680" w:hanging="360"/>
      </w:pPr>
    </w:lvl>
    <w:lvl w:ilvl="7" w:tplc="241A0019" w:tentative="1">
      <w:start w:val="1"/>
      <w:numFmt w:val="lowerLetter"/>
      <w:lvlText w:val="%8."/>
      <w:lvlJc w:val="left"/>
      <w:pPr>
        <w:ind w:left="5400" w:hanging="360"/>
      </w:pPr>
    </w:lvl>
    <w:lvl w:ilvl="8" w:tplc="241A001B" w:tentative="1">
      <w:start w:val="1"/>
      <w:numFmt w:val="lowerRoman"/>
      <w:lvlText w:val="%9."/>
      <w:lvlJc w:val="right"/>
      <w:pPr>
        <w:ind w:left="6120" w:hanging="180"/>
      </w:pPr>
    </w:lvl>
  </w:abstractNum>
  <w:abstractNum w:abstractNumId="76" w15:restartNumberingAfterBreak="0">
    <w:nsid w:val="1C645AE0"/>
    <w:multiLevelType w:val="hybridMultilevel"/>
    <w:tmpl w:val="EAC2A7B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1C7620E0"/>
    <w:multiLevelType w:val="hybridMultilevel"/>
    <w:tmpl w:val="F840677A"/>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78" w15:restartNumberingAfterBreak="0">
    <w:nsid w:val="1D2538C5"/>
    <w:multiLevelType w:val="hybridMultilevel"/>
    <w:tmpl w:val="50A05B50"/>
    <w:lvl w:ilvl="0" w:tplc="2124A700">
      <w:start w:val="1"/>
      <w:numFmt w:val="lowerRoman"/>
      <w:lvlText w:val="%1."/>
      <w:lvlJc w:val="righ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79" w15:restartNumberingAfterBreak="0">
    <w:nsid w:val="1D3A02BC"/>
    <w:multiLevelType w:val="hybridMultilevel"/>
    <w:tmpl w:val="FCE8F36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1D42180E"/>
    <w:multiLevelType w:val="hybridMultilevel"/>
    <w:tmpl w:val="0E786538"/>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1D5B6417"/>
    <w:multiLevelType w:val="hybridMultilevel"/>
    <w:tmpl w:val="860E64F2"/>
    <w:lvl w:ilvl="0" w:tplc="241A0011">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82" w15:restartNumberingAfterBreak="0">
    <w:nsid w:val="1E44532E"/>
    <w:multiLevelType w:val="hybridMultilevel"/>
    <w:tmpl w:val="AF6A10C8"/>
    <w:lvl w:ilvl="0" w:tplc="CB145356">
      <w:start w:val="2"/>
      <w:numFmt w:val="lowerRoman"/>
      <w:lvlText w:val="%1."/>
      <w:lvlJc w:val="righ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83" w15:restartNumberingAfterBreak="0">
    <w:nsid w:val="1E7407FB"/>
    <w:multiLevelType w:val="hybridMultilevel"/>
    <w:tmpl w:val="CA0852E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1E985E20"/>
    <w:multiLevelType w:val="hybridMultilevel"/>
    <w:tmpl w:val="6EB22F02"/>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1EB24D32"/>
    <w:multiLevelType w:val="hybridMultilevel"/>
    <w:tmpl w:val="8C204F32"/>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1EFD7AC6"/>
    <w:multiLevelType w:val="hybridMultilevel"/>
    <w:tmpl w:val="75084652"/>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1F21643C"/>
    <w:multiLevelType w:val="hybridMultilevel"/>
    <w:tmpl w:val="49DCE84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1F5956CE"/>
    <w:multiLevelType w:val="hybridMultilevel"/>
    <w:tmpl w:val="BA5AAB8C"/>
    <w:lvl w:ilvl="0" w:tplc="2D5ED114">
      <w:start w:val="6"/>
      <w:numFmt w:val="lowerRoman"/>
      <w:lvlText w:val="%1."/>
      <w:lvlJc w:val="righ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89" w15:restartNumberingAfterBreak="0">
    <w:nsid w:val="20187DE3"/>
    <w:multiLevelType w:val="hybridMultilevel"/>
    <w:tmpl w:val="10EA2B82"/>
    <w:lvl w:ilvl="0" w:tplc="9966626C">
      <w:start w:val="1"/>
      <w:numFmt w:val="bullet"/>
      <w:pStyle w:val="LDKBullets-main2"/>
      <w:lvlText w:val="-"/>
      <w:lvlJc w:val="left"/>
      <w:pPr>
        <w:tabs>
          <w:tab w:val="num" w:pos="360"/>
        </w:tabs>
        <w:ind w:left="360" w:hanging="360"/>
      </w:pPr>
      <w:rPr>
        <w:rFonts w:ascii="Courier New" w:hAnsi="Courier New" w:hint="default"/>
        <w:b/>
        <w:i w:val="0"/>
        <w:color w:val="365F91"/>
        <w:sz w:val="24"/>
        <w:u w:color="993366"/>
      </w:rPr>
    </w:lvl>
    <w:lvl w:ilvl="1" w:tplc="04080003">
      <w:start w:val="1"/>
      <w:numFmt w:val="bullet"/>
      <w:lvlText w:val="o"/>
      <w:lvlJc w:val="left"/>
      <w:pPr>
        <w:tabs>
          <w:tab w:val="num" w:pos="1490"/>
        </w:tabs>
        <w:ind w:left="1490" w:hanging="360"/>
      </w:pPr>
      <w:rPr>
        <w:rFonts w:ascii="Courier New" w:hAnsi="Courier New" w:cs="Courier New" w:hint="default"/>
      </w:rPr>
    </w:lvl>
    <w:lvl w:ilvl="2" w:tplc="04080005" w:tentative="1">
      <w:start w:val="1"/>
      <w:numFmt w:val="bullet"/>
      <w:lvlText w:val=""/>
      <w:lvlJc w:val="left"/>
      <w:pPr>
        <w:tabs>
          <w:tab w:val="num" w:pos="2210"/>
        </w:tabs>
        <w:ind w:left="2210" w:hanging="360"/>
      </w:pPr>
      <w:rPr>
        <w:rFonts w:ascii="Wingdings" w:hAnsi="Wingdings" w:hint="default"/>
      </w:rPr>
    </w:lvl>
    <w:lvl w:ilvl="3" w:tplc="04080001" w:tentative="1">
      <w:start w:val="1"/>
      <w:numFmt w:val="bullet"/>
      <w:lvlText w:val=""/>
      <w:lvlJc w:val="left"/>
      <w:pPr>
        <w:tabs>
          <w:tab w:val="num" w:pos="2930"/>
        </w:tabs>
        <w:ind w:left="2930" w:hanging="360"/>
      </w:pPr>
      <w:rPr>
        <w:rFonts w:ascii="Symbol" w:hAnsi="Symbol" w:hint="default"/>
      </w:rPr>
    </w:lvl>
    <w:lvl w:ilvl="4" w:tplc="04080003" w:tentative="1">
      <w:start w:val="1"/>
      <w:numFmt w:val="bullet"/>
      <w:lvlText w:val="o"/>
      <w:lvlJc w:val="left"/>
      <w:pPr>
        <w:tabs>
          <w:tab w:val="num" w:pos="3650"/>
        </w:tabs>
        <w:ind w:left="3650" w:hanging="360"/>
      </w:pPr>
      <w:rPr>
        <w:rFonts w:ascii="Courier New" w:hAnsi="Courier New" w:cs="Courier New" w:hint="default"/>
      </w:rPr>
    </w:lvl>
    <w:lvl w:ilvl="5" w:tplc="04080005" w:tentative="1">
      <w:start w:val="1"/>
      <w:numFmt w:val="bullet"/>
      <w:lvlText w:val=""/>
      <w:lvlJc w:val="left"/>
      <w:pPr>
        <w:tabs>
          <w:tab w:val="num" w:pos="4370"/>
        </w:tabs>
        <w:ind w:left="4370" w:hanging="360"/>
      </w:pPr>
      <w:rPr>
        <w:rFonts w:ascii="Wingdings" w:hAnsi="Wingdings" w:hint="default"/>
      </w:rPr>
    </w:lvl>
    <w:lvl w:ilvl="6" w:tplc="04080001" w:tentative="1">
      <w:start w:val="1"/>
      <w:numFmt w:val="bullet"/>
      <w:lvlText w:val=""/>
      <w:lvlJc w:val="left"/>
      <w:pPr>
        <w:tabs>
          <w:tab w:val="num" w:pos="5090"/>
        </w:tabs>
        <w:ind w:left="5090" w:hanging="360"/>
      </w:pPr>
      <w:rPr>
        <w:rFonts w:ascii="Symbol" w:hAnsi="Symbol" w:hint="default"/>
      </w:rPr>
    </w:lvl>
    <w:lvl w:ilvl="7" w:tplc="04080003" w:tentative="1">
      <w:start w:val="1"/>
      <w:numFmt w:val="bullet"/>
      <w:lvlText w:val="o"/>
      <w:lvlJc w:val="left"/>
      <w:pPr>
        <w:tabs>
          <w:tab w:val="num" w:pos="5810"/>
        </w:tabs>
        <w:ind w:left="5810" w:hanging="360"/>
      </w:pPr>
      <w:rPr>
        <w:rFonts w:ascii="Courier New" w:hAnsi="Courier New" w:cs="Courier New" w:hint="default"/>
      </w:rPr>
    </w:lvl>
    <w:lvl w:ilvl="8" w:tplc="04080005" w:tentative="1">
      <w:start w:val="1"/>
      <w:numFmt w:val="bullet"/>
      <w:lvlText w:val=""/>
      <w:lvlJc w:val="left"/>
      <w:pPr>
        <w:tabs>
          <w:tab w:val="num" w:pos="6530"/>
        </w:tabs>
        <w:ind w:left="6530" w:hanging="360"/>
      </w:pPr>
      <w:rPr>
        <w:rFonts w:ascii="Wingdings" w:hAnsi="Wingdings" w:hint="default"/>
      </w:rPr>
    </w:lvl>
  </w:abstractNum>
  <w:abstractNum w:abstractNumId="90" w15:restartNumberingAfterBreak="0">
    <w:nsid w:val="201F04E7"/>
    <w:multiLevelType w:val="hybridMultilevel"/>
    <w:tmpl w:val="F6EE8D0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204F29B4"/>
    <w:multiLevelType w:val="hybridMultilevel"/>
    <w:tmpl w:val="DE8E73A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206758C1"/>
    <w:multiLevelType w:val="hybridMultilevel"/>
    <w:tmpl w:val="4C8AE2C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20730678"/>
    <w:multiLevelType w:val="hybridMultilevel"/>
    <w:tmpl w:val="8F24CF1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20E120BE"/>
    <w:multiLevelType w:val="hybridMultilevel"/>
    <w:tmpl w:val="21A067C2"/>
    <w:lvl w:ilvl="0" w:tplc="B1C8F142">
      <w:start w:val="1"/>
      <w:numFmt w:val="low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20F459E9"/>
    <w:multiLevelType w:val="hybridMultilevel"/>
    <w:tmpl w:val="E4925B62"/>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6" w15:restartNumberingAfterBreak="0">
    <w:nsid w:val="21533489"/>
    <w:multiLevelType w:val="hybridMultilevel"/>
    <w:tmpl w:val="34A89F86"/>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21573CC0"/>
    <w:multiLevelType w:val="hybridMultilevel"/>
    <w:tmpl w:val="8B0A67E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219F05A4"/>
    <w:multiLevelType w:val="hybridMultilevel"/>
    <w:tmpl w:val="0C36F986"/>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22100374"/>
    <w:multiLevelType w:val="hybridMultilevel"/>
    <w:tmpl w:val="4620AAE8"/>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00" w15:restartNumberingAfterBreak="0">
    <w:nsid w:val="222771FA"/>
    <w:multiLevelType w:val="hybridMultilevel"/>
    <w:tmpl w:val="A81A5B7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22391336"/>
    <w:multiLevelType w:val="hybridMultilevel"/>
    <w:tmpl w:val="5C2EAC32"/>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22815CC3"/>
    <w:multiLevelType w:val="hybridMultilevel"/>
    <w:tmpl w:val="EF507D2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22B112A2"/>
    <w:multiLevelType w:val="hybridMultilevel"/>
    <w:tmpl w:val="25B628E8"/>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22B352F7"/>
    <w:multiLevelType w:val="hybridMultilevel"/>
    <w:tmpl w:val="76E0FD0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22B356BA"/>
    <w:multiLevelType w:val="hybridMultilevel"/>
    <w:tmpl w:val="BF42C9D2"/>
    <w:lvl w:ilvl="0" w:tplc="241A0013">
      <w:start w:val="1"/>
      <w:numFmt w:val="upperRoman"/>
      <w:lvlText w:val="%1."/>
      <w:lvlJc w:val="right"/>
      <w:pPr>
        <w:ind w:left="1080" w:hanging="360"/>
      </w:pPr>
    </w:lvl>
    <w:lvl w:ilvl="1" w:tplc="241A0019" w:tentative="1">
      <w:start w:val="1"/>
      <w:numFmt w:val="lowerLetter"/>
      <w:lvlText w:val="%2."/>
      <w:lvlJc w:val="left"/>
      <w:pPr>
        <w:ind w:left="1800" w:hanging="360"/>
      </w:pPr>
    </w:lvl>
    <w:lvl w:ilvl="2" w:tplc="241A001B" w:tentative="1">
      <w:start w:val="1"/>
      <w:numFmt w:val="lowerRoman"/>
      <w:lvlText w:val="%3."/>
      <w:lvlJc w:val="right"/>
      <w:pPr>
        <w:ind w:left="2520" w:hanging="180"/>
      </w:pPr>
    </w:lvl>
    <w:lvl w:ilvl="3" w:tplc="241A000F" w:tentative="1">
      <w:start w:val="1"/>
      <w:numFmt w:val="decimal"/>
      <w:lvlText w:val="%4."/>
      <w:lvlJc w:val="left"/>
      <w:pPr>
        <w:ind w:left="3240" w:hanging="360"/>
      </w:pPr>
    </w:lvl>
    <w:lvl w:ilvl="4" w:tplc="241A0019" w:tentative="1">
      <w:start w:val="1"/>
      <w:numFmt w:val="lowerLetter"/>
      <w:lvlText w:val="%5."/>
      <w:lvlJc w:val="left"/>
      <w:pPr>
        <w:ind w:left="3960" w:hanging="360"/>
      </w:pPr>
    </w:lvl>
    <w:lvl w:ilvl="5" w:tplc="241A001B" w:tentative="1">
      <w:start w:val="1"/>
      <w:numFmt w:val="lowerRoman"/>
      <w:lvlText w:val="%6."/>
      <w:lvlJc w:val="right"/>
      <w:pPr>
        <w:ind w:left="4680" w:hanging="180"/>
      </w:pPr>
    </w:lvl>
    <w:lvl w:ilvl="6" w:tplc="241A000F" w:tentative="1">
      <w:start w:val="1"/>
      <w:numFmt w:val="decimal"/>
      <w:lvlText w:val="%7."/>
      <w:lvlJc w:val="left"/>
      <w:pPr>
        <w:ind w:left="5400" w:hanging="360"/>
      </w:pPr>
    </w:lvl>
    <w:lvl w:ilvl="7" w:tplc="241A0019" w:tentative="1">
      <w:start w:val="1"/>
      <w:numFmt w:val="lowerLetter"/>
      <w:lvlText w:val="%8."/>
      <w:lvlJc w:val="left"/>
      <w:pPr>
        <w:ind w:left="6120" w:hanging="360"/>
      </w:pPr>
    </w:lvl>
    <w:lvl w:ilvl="8" w:tplc="241A001B" w:tentative="1">
      <w:start w:val="1"/>
      <w:numFmt w:val="lowerRoman"/>
      <w:lvlText w:val="%9."/>
      <w:lvlJc w:val="right"/>
      <w:pPr>
        <w:ind w:left="6840" w:hanging="180"/>
      </w:pPr>
    </w:lvl>
  </w:abstractNum>
  <w:abstractNum w:abstractNumId="106" w15:restartNumberingAfterBreak="0">
    <w:nsid w:val="232620CB"/>
    <w:multiLevelType w:val="hybridMultilevel"/>
    <w:tmpl w:val="083C4C7A"/>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07" w15:restartNumberingAfterBreak="0">
    <w:nsid w:val="23482FD3"/>
    <w:multiLevelType w:val="hybridMultilevel"/>
    <w:tmpl w:val="E0466502"/>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23884739"/>
    <w:multiLevelType w:val="hybridMultilevel"/>
    <w:tmpl w:val="247AB492"/>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246A1CA3"/>
    <w:multiLevelType w:val="hybridMultilevel"/>
    <w:tmpl w:val="913882E2"/>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24C30912"/>
    <w:multiLevelType w:val="hybridMultilevel"/>
    <w:tmpl w:val="5E788EE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2509042C"/>
    <w:multiLevelType w:val="hybridMultilevel"/>
    <w:tmpl w:val="5CD00CB6"/>
    <w:lvl w:ilvl="0" w:tplc="07AA58A6">
      <w:start w:val="1"/>
      <w:numFmt w:val="bullet"/>
      <w:pStyle w:val="LDKTableBullets2"/>
      <w:lvlText w:val="►"/>
      <w:lvlJc w:val="left"/>
      <w:pPr>
        <w:ind w:left="933" w:hanging="360"/>
      </w:pPr>
      <w:rPr>
        <w:rFonts w:ascii="Arial Narrow" w:hAnsi="Arial Narrow" w:cs="Times New Roman" w:hint="default"/>
        <w:b/>
        <w:i w:val="0"/>
        <w:color w:val="7030A0"/>
        <w:sz w:val="14"/>
        <w:u w:color="993366"/>
      </w:rPr>
    </w:lvl>
    <w:lvl w:ilvl="1" w:tplc="04080003" w:tentative="1">
      <w:start w:val="1"/>
      <w:numFmt w:val="bullet"/>
      <w:lvlText w:val="o"/>
      <w:lvlJc w:val="left"/>
      <w:pPr>
        <w:ind w:left="1653" w:hanging="360"/>
      </w:pPr>
      <w:rPr>
        <w:rFonts w:ascii="Courier New" w:hAnsi="Courier New" w:cs="Courier New" w:hint="default"/>
      </w:rPr>
    </w:lvl>
    <w:lvl w:ilvl="2" w:tplc="04080005" w:tentative="1">
      <w:start w:val="1"/>
      <w:numFmt w:val="bullet"/>
      <w:lvlText w:val=""/>
      <w:lvlJc w:val="left"/>
      <w:pPr>
        <w:ind w:left="2373" w:hanging="360"/>
      </w:pPr>
      <w:rPr>
        <w:rFonts w:ascii="Wingdings" w:hAnsi="Wingdings" w:hint="default"/>
      </w:rPr>
    </w:lvl>
    <w:lvl w:ilvl="3" w:tplc="04080001" w:tentative="1">
      <w:start w:val="1"/>
      <w:numFmt w:val="bullet"/>
      <w:lvlText w:val=""/>
      <w:lvlJc w:val="left"/>
      <w:pPr>
        <w:ind w:left="3093" w:hanging="360"/>
      </w:pPr>
      <w:rPr>
        <w:rFonts w:ascii="Symbol" w:hAnsi="Symbol" w:hint="default"/>
      </w:rPr>
    </w:lvl>
    <w:lvl w:ilvl="4" w:tplc="04080003" w:tentative="1">
      <w:start w:val="1"/>
      <w:numFmt w:val="bullet"/>
      <w:lvlText w:val="o"/>
      <w:lvlJc w:val="left"/>
      <w:pPr>
        <w:ind w:left="3813" w:hanging="360"/>
      </w:pPr>
      <w:rPr>
        <w:rFonts w:ascii="Courier New" w:hAnsi="Courier New" w:cs="Courier New" w:hint="default"/>
      </w:rPr>
    </w:lvl>
    <w:lvl w:ilvl="5" w:tplc="04080005" w:tentative="1">
      <w:start w:val="1"/>
      <w:numFmt w:val="bullet"/>
      <w:lvlText w:val=""/>
      <w:lvlJc w:val="left"/>
      <w:pPr>
        <w:ind w:left="4533" w:hanging="360"/>
      </w:pPr>
      <w:rPr>
        <w:rFonts w:ascii="Wingdings" w:hAnsi="Wingdings" w:hint="default"/>
      </w:rPr>
    </w:lvl>
    <w:lvl w:ilvl="6" w:tplc="04080001" w:tentative="1">
      <w:start w:val="1"/>
      <w:numFmt w:val="bullet"/>
      <w:lvlText w:val=""/>
      <w:lvlJc w:val="left"/>
      <w:pPr>
        <w:ind w:left="5253" w:hanging="360"/>
      </w:pPr>
      <w:rPr>
        <w:rFonts w:ascii="Symbol" w:hAnsi="Symbol" w:hint="default"/>
      </w:rPr>
    </w:lvl>
    <w:lvl w:ilvl="7" w:tplc="04080003" w:tentative="1">
      <w:start w:val="1"/>
      <w:numFmt w:val="bullet"/>
      <w:lvlText w:val="o"/>
      <w:lvlJc w:val="left"/>
      <w:pPr>
        <w:ind w:left="5973" w:hanging="360"/>
      </w:pPr>
      <w:rPr>
        <w:rFonts w:ascii="Courier New" w:hAnsi="Courier New" w:cs="Courier New" w:hint="default"/>
      </w:rPr>
    </w:lvl>
    <w:lvl w:ilvl="8" w:tplc="04080005" w:tentative="1">
      <w:start w:val="1"/>
      <w:numFmt w:val="bullet"/>
      <w:lvlText w:val=""/>
      <w:lvlJc w:val="left"/>
      <w:pPr>
        <w:ind w:left="6693" w:hanging="360"/>
      </w:pPr>
      <w:rPr>
        <w:rFonts w:ascii="Wingdings" w:hAnsi="Wingdings" w:hint="default"/>
      </w:rPr>
    </w:lvl>
  </w:abstractNum>
  <w:abstractNum w:abstractNumId="112" w15:restartNumberingAfterBreak="0">
    <w:nsid w:val="25253DFB"/>
    <w:multiLevelType w:val="hybridMultilevel"/>
    <w:tmpl w:val="18885F6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254177A3"/>
    <w:multiLevelType w:val="hybridMultilevel"/>
    <w:tmpl w:val="DAD01C5C"/>
    <w:lvl w:ilvl="0" w:tplc="241A0001">
      <w:start w:val="1"/>
      <w:numFmt w:val="bullet"/>
      <w:lvlText w:val=""/>
      <w:lvlJc w:val="left"/>
      <w:pPr>
        <w:ind w:left="1287" w:hanging="360"/>
      </w:pPr>
      <w:rPr>
        <w:rFonts w:ascii="Symbol" w:hAnsi="Symbol"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14" w15:restartNumberingAfterBreak="0">
    <w:nsid w:val="26751346"/>
    <w:multiLevelType w:val="hybridMultilevel"/>
    <w:tmpl w:val="767CEAA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26E37B1F"/>
    <w:multiLevelType w:val="hybridMultilevel"/>
    <w:tmpl w:val="37900646"/>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16" w15:restartNumberingAfterBreak="0">
    <w:nsid w:val="27CA2801"/>
    <w:multiLevelType w:val="hybridMultilevel"/>
    <w:tmpl w:val="BF081D9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28516AED"/>
    <w:multiLevelType w:val="hybridMultilevel"/>
    <w:tmpl w:val="8FC889E4"/>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28A32725"/>
    <w:multiLevelType w:val="hybridMultilevel"/>
    <w:tmpl w:val="DB2E1BC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29FD0052"/>
    <w:multiLevelType w:val="hybridMultilevel"/>
    <w:tmpl w:val="D6FE6B42"/>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2A2F199C"/>
    <w:multiLevelType w:val="hybridMultilevel"/>
    <w:tmpl w:val="399EAE64"/>
    <w:lvl w:ilvl="0" w:tplc="241A0005">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21" w15:restartNumberingAfterBreak="0">
    <w:nsid w:val="2AC622A9"/>
    <w:multiLevelType w:val="hybridMultilevel"/>
    <w:tmpl w:val="4E1ACFE6"/>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2B89607F"/>
    <w:multiLevelType w:val="hybridMultilevel"/>
    <w:tmpl w:val="30C2CAE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2BA760D8"/>
    <w:multiLevelType w:val="hybridMultilevel"/>
    <w:tmpl w:val="DA72C5A6"/>
    <w:lvl w:ilvl="0" w:tplc="363635A8">
      <w:start w:val="4"/>
      <w:numFmt w:val="low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4" w15:restartNumberingAfterBreak="0">
    <w:nsid w:val="2BEF3808"/>
    <w:multiLevelType w:val="hybridMultilevel"/>
    <w:tmpl w:val="71788C56"/>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25" w15:restartNumberingAfterBreak="0">
    <w:nsid w:val="2BFB7A7F"/>
    <w:multiLevelType w:val="hybridMultilevel"/>
    <w:tmpl w:val="58260318"/>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15:restartNumberingAfterBreak="0">
    <w:nsid w:val="2D1C4908"/>
    <w:multiLevelType w:val="hybridMultilevel"/>
    <w:tmpl w:val="D93EA17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 w15:restartNumberingAfterBreak="0">
    <w:nsid w:val="2D665040"/>
    <w:multiLevelType w:val="hybridMultilevel"/>
    <w:tmpl w:val="C8B68BF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15:restartNumberingAfterBreak="0">
    <w:nsid w:val="2D74080E"/>
    <w:multiLevelType w:val="hybridMultilevel"/>
    <w:tmpl w:val="C6AE8B6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2DA605ED"/>
    <w:multiLevelType w:val="hybridMultilevel"/>
    <w:tmpl w:val="09F45254"/>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 w15:restartNumberingAfterBreak="0">
    <w:nsid w:val="2E621940"/>
    <w:multiLevelType w:val="hybridMultilevel"/>
    <w:tmpl w:val="E8349610"/>
    <w:lvl w:ilvl="0" w:tplc="D95EAAE0">
      <w:start w:val="1"/>
      <w:numFmt w:val="lowerLetter"/>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31" w15:restartNumberingAfterBreak="0">
    <w:nsid w:val="2E6223A4"/>
    <w:multiLevelType w:val="hybridMultilevel"/>
    <w:tmpl w:val="E4B240E4"/>
    <w:lvl w:ilvl="0" w:tplc="B96629D4">
      <w:start w:val="3"/>
      <w:numFmt w:val="lowerRoman"/>
      <w:lvlText w:val="%1."/>
      <w:lvlJc w:val="righ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32" w15:restartNumberingAfterBreak="0">
    <w:nsid w:val="2EB6490C"/>
    <w:multiLevelType w:val="hybridMultilevel"/>
    <w:tmpl w:val="122097B4"/>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3" w15:restartNumberingAfterBreak="0">
    <w:nsid w:val="2F0507D2"/>
    <w:multiLevelType w:val="hybridMultilevel"/>
    <w:tmpl w:val="6B842D52"/>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34" w15:restartNumberingAfterBreak="0">
    <w:nsid w:val="2FB57385"/>
    <w:multiLevelType w:val="hybridMultilevel"/>
    <w:tmpl w:val="B700F9D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300579AC"/>
    <w:multiLevelType w:val="hybridMultilevel"/>
    <w:tmpl w:val="FD5419D8"/>
    <w:lvl w:ilvl="0" w:tplc="749029F6">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308D41DB"/>
    <w:multiLevelType w:val="hybridMultilevel"/>
    <w:tmpl w:val="4D7A979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7" w15:restartNumberingAfterBreak="0">
    <w:nsid w:val="30D5287B"/>
    <w:multiLevelType w:val="hybridMultilevel"/>
    <w:tmpl w:val="7656497A"/>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38" w15:restartNumberingAfterBreak="0">
    <w:nsid w:val="31221111"/>
    <w:multiLevelType w:val="hybridMultilevel"/>
    <w:tmpl w:val="98B6F496"/>
    <w:lvl w:ilvl="0" w:tplc="0408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9" w15:restartNumberingAfterBreak="0">
    <w:nsid w:val="31820F94"/>
    <w:multiLevelType w:val="hybridMultilevel"/>
    <w:tmpl w:val="9E801F08"/>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328A066E"/>
    <w:multiLevelType w:val="hybridMultilevel"/>
    <w:tmpl w:val="1130C380"/>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41" w15:restartNumberingAfterBreak="0">
    <w:nsid w:val="32EA73C1"/>
    <w:multiLevelType w:val="hybridMultilevel"/>
    <w:tmpl w:val="1D7ECC46"/>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2" w15:restartNumberingAfterBreak="0">
    <w:nsid w:val="3397563A"/>
    <w:multiLevelType w:val="hybridMultilevel"/>
    <w:tmpl w:val="87007F88"/>
    <w:lvl w:ilvl="0" w:tplc="42541B1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342B0E30"/>
    <w:multiLevelType w:val="hybridMultilevel"/>
    <w:tmpl w:val="19BCA45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345148D0"/>
    <w:multiLevelType w:val="hybridMultilevel"/>
    <w:tmpl w:val="0D1EB08A"/>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45" w15:restartNumberingAfterBreak="0">
    <w:nsid w:val="34D87B47"/>
    <w:multiLevelType w:val="hybridMultilevel"/>
    <w:tmpl w:val="E76C9A10"/>
    <w:lvl w:ilvl="0" w:tplc="85C09BEA">
      <w:start w:val="1"/>
      <w:numFmt w:val="lowerRoman"/>
      <w:lvlText w:val="%1."/>
      <w:lvlJc w:val="left"/>
      <w:pPr>
        <w:ind w:left="1080" w:hanging="72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46" w15:restartNumberingAfterBreak="0">
    <w:nsid w:val="35007B0D"/>
    <w:multiLevelType w:val="hybridMultilevel"/>
    <w:tmpl w:val="C95419B4"/>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7" w15:restartNumberingAfterBreak="0">
    <w:nsid w:val="35523CB4"/>
    <w:multiLevelType w:val="hybridMultilevel"/>
    <w:tmpl w:val="4F64023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35BE7BFC"/>
    <w:multiLevelType w:val="hybridMultilevel"/>
    <w:tmpl w:val="AA18E7CE"/>
    <w:lvl w:ilvl="0" w:tplc="0F6E71D2">
      <w:start w:val="7"/>
      <w:numFmt w:val="lowerRoman"/>
      <w:lvlText w:val="%1."/>
      <w:lvlJc w:val="righ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49" w15:restartNumberingAfterBreak="0">
    <w:nsid w:val="35C61EEF"/>
    <w:multiLevelType w:val="hybridMultilevel"/>
    <w:tmpl w:val="F21EF12C"/>
    <w:lvl w:ilvl="0" w:tplc="25860C96">
      <w:start w:val="1"/>
      <w:numFmt w:val="lowerRoman"/>
      <w:lvlText w:val="%1."/>
      <w:lvlJc w:val="right"/>
      <w:pPr>
        <w:ind w:left="1077" w:hanging="360"/>
      </w:pPr>
    </w:lvl>
    <w:lvl w:ilvl="1" w:tplc="241A0019" w:tentative="1">
      <w:start w:val="1"/>
      <w:numFmt w:val="lowerLetter"/>
      <w:lvlText w:val="%2."/>
      <w:lvlJc w:val="left"/>
      <w:pPr>
        <w:ind w:left="1797" w:hanging="360"/>
      </w:pPr>
    </w:lvl>
    <w:lvl w:ilvl="2" w:tplc="241A001B" w:tentative="1">
      <w:start w:val="1"/>
      <w:numFmt w:val="lowerRoman"/>
      <w:lvlText w:val="%3."/>
      <w:lvlJc w:val="right"/>
      <w:pPr>
        <w:ind w:left="2517" w:hanging="180"/>
      </w:pPr>
    </w:lvl>
    <w:lvl w:ilvl="3" w:tplc="241A000F" w:tentative="1">
      <w:start w:val="1"/>
      <w:numFmt w:val="decimal"/>
      <w:lvlText w:val="%4."/>
      <w:lvlJc w:val="left"/>
      <w:pPr>
        <w:ind w:left="3237" w:hanging="360"/>
      </w:pPr>
    </w:lvl>
    <w:lvl w:ilvl="4" w:tplc="241A0019" w:tentative="1">
      <w:start w:val="1"/>
      <w:numFmt w:val="lowerLetter"/>
      <w:lvlText w:val="%5."/>
      <w:lvlJc w:val="left"/>
      <w:pPr>
        <w:ind w:left="3957" w:hanging="360"/>
      </w:pPr>
    </w:lvl>
    <w:lvl w:ilvl="5" w:tplc="241A001B" w:tentative="1">
      <w:start w:val="1"/>
      <w:numFmt w:val="lowerRoman"/>
      <w:lvlText w:val="%6."/>
      <w:lvlJc w:val="right"/>
      <w:pPr>
        <w:ind w:left="4677" w:hanging="180"/>
      </w:pPr>
    </w:lvl>
    <w:lvl w:ilvl="6" w:tplc="241A000F" w:tentative="1">
      <w:start w:val="1"/>
      <w:numFmt w:val="decimal"/>
      <w:lvlText w:val="%7."/>
      <w:lvlJc w:val="left"/>
      <w:pPr>
        <w:ind w:left="5397" w:hanging="360"/>
      </w:pPr>
    </w:lvl>
    <w:lvl w:ilvl="7" w:tplc="241A0019" w:tentative="1">
      <w:start w:val="1"/>
      <w:numFmt w:val="lowerLetter"/>
      <w:lvlText w:val="%8."/>
      <w:lvlJc w:val="left"/>
      <w:pPr>
        <w:ind w:left="6117" w:hanging="360"/>
      </w:pPr>
    </w:lvl>
    <w:lvl w:ilvl="8" w:tplc="241A001B" w:tentative="1">
      <w:start w:val="1"/>
      <w:numFmt w:val="lowerRoman"/>
      <w:lvlText w:val="%9."/>
      <w:lvlJc w:val="right"/>
      <w:pPr>
        <w:ind w:left="6837" w:hanging="180"/>
      </w:pPr>
    </w:lvl>
  </w:abstractNum>
  <w:abstractNum w:abstractNumId="150" w15:restartNumberingAfterBreak="0">
    <w:nsid w:val="35F35E95"/>
    <w:multiLevelType w:val="hybridMultilevel"/>
    <w:tmpl w:val="7882787E"/>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51" w15:restartNumberingAfterBreak="0">
    <w:nsid w:val="36006DED"/>
    <w:multiLevelType w:val="hybridMultilevel"/>
    <w:tmpl w:val="EE76A402"/>
    <w:lvl w:ilvl="0" w:tplc="BC7EE088">
      <w:start w:val="5"/>
      <w:numFmt w:val="lowerRoman"/>
      <w:lvlText w:val="%1."/>
      <w:lvlJc w:val="righ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52" w15:restartNumberingAfterBreak="0">
    <w:nsid w:val="362C7A03"/>
    <w:multiLevelType w:val="hybridMultilevel"/>
    <w:tmpl w:val="4CB8BC38"/>
    <w:lvl w:ilvl="0" w:tplc="65A4AD24">
      <w:start w:val="1"/>
      <w:numFmt w:val="bullet"/>
      <w:lvlText w:val=""/>
      <w:lvlJc w:val="left"/>
      <w:pPr>
        <w:tabs>
          <w:tab w:val="num" w:pos="1800"/>
        </w:tabs>
        <w:ind w:left="1800" w:hanging="360"/>
      </w:pPr>
      <w:rPr>
        <w:rFonts w:ascii="Wingdings" w:hAnsi="Wingdings" w:hint="default"/>
      </w:rPr>
    </w:lvl>
    <w:lvl w:ilvl="1" w:tplc="CE2861B4" w:tentative="1">
      <w:start w:val="1"/>
      <w:numFmt w:val="bullet"/>
      <w:lvlText w:val=""/>
      <w:lvlJc w:val="left"/>
      <w:pPr>
        <w:tabs>
          <w:tab w:val="num" w:pos="2520"/>
        </w:tabs>
        <w:ind w:left="2520" w:hanging="360"/>
      </w:pPr>
      <w:rPr>
        <w:rFonts w:ascii="Wingdings" w:hAnsi="Wingdings" w:hint="default"/>
      </w:rPr>
    </w:lvl>
    <w:lvl w:ilvl="2" w:tplc="A5568656" w:tentative="1">
      <w:start w:val="1"/>
      <w:numFmt w:val="bullet"/>
      <w:lvlText w:val=""/>
      <w:lvlJc w:val="left"/>
      <w:pPr>
        <w:tabs>
          <w:tab w:val="num" w:pos="3240"/>
        </w:tabs>
        <w:ind w:left="3240" w:hanging="360"/>
      </w:pPr>
      <w:rPr>
        <w:rFonts w:ascii="Wingdings" w:hAnsi="Wingdings" w:hint="default"/>
      </w:rPr>
    </w:lvl>
    <w:lvl w:ilvl="3" w:tplc="F5E03EF4" w:tentative="1">
      <w:start w:val="1"/>
      <w:numFmt w:val="bullet"/>
      <w:lvlText w:val=""/>
      <w:lvlJc w:val="left"/>
      <w:pPr>
        <w:tabs>
          <w:tab w:val="num" w:pos="3960"/>
        </w:tabs>
        <w:ind w:left="3960" w:hanging="360"/>
      </w:pPr>
      <w:rPr>
        <w:rFonts w:ascii="Wingdings" w:hAnsi="Wingdings" w:hint="default"/>
      </w:rPr>
    </w:lvl>
    <w:lvl w:ilvl="4" w:tplc="89B0CFE2" w:tentative="1">
      <w:start w:val="1"/>
      <w:numFmt w:val="bullet"/>
      <w:lvlText w:val=""/>
      <w:lvlJc w:val="left"/>
      <w:pPr>
        <w:tabs>
          <w:tab w:val="num" w:pos="4680"/>
        </w:tabs>
        <w:ind w:left="4680" w:hanging="360"/>
      </w:pPr>
      <w:rPr>
        <w:rFonts w:ascii="Wingdings" w:hAnsi="Wingdings" w:hint="default"/>
      </w:rPr>
    </w:lvl>
    <w:lvl w:ilvl="5" w:tplc="9386012E" w:tentative="1">
      <w:start w:val="1"/>
      <w:numFmt w:val="bullet"/>
      <w:lvlText w:val=""/>
      <w:lvlJc w:val="left"/>
      <w:pPr>
        <w:tabs>
          <w:tab w:val="num" w:pos="5400"/>
        </w:tabs>
        <w:ind w:left="5400" w:hanging="360"/>
      </w:pPr>
      <w:rPr>
        <w:rFonts w:ascii="Wingdings" w:hAnsi="Wingdings" w:hint="default"/>
      </w:rPr>
    </w:lvl>
    <w:lvl w:ilvl="6" w:tplc="B75E0226" w:tentative="1">
      <w:start w:val="1"/>
      <w:numFmt w:val="bullet"/>
      <w:lvlText w:val=""/>
      <w:lvlJc w:val="left"/>
      <w:pPr>
        <w:tabs>
          <w:tab w:val="num" w:pos="6120"/>
        </w:tabs>
        <w:ind w:left="6120" w:hanging="360"/>
      </w:pPr>
      <w:rPr>
        <w:rFonts w:ascii="Wingdings" w:hAnsi="Wingdings" w:hint="default"/>
      </w:rPr>
    </w:lvl>
    <w:lvl w:ilvl="7" w:tplc="BA249D16" w:tentative="1">
      <w:start w:val="1"/>
      <w:numFmt w:val="bullet"/>
      <w:lvlText w:val=""/>
      <w:lvlJc w:val="left"/>
      <w:pPr>
        <w:tabs>
          <w:tab w:val="num" w:pos="6840"/>
        </w:tabs>
        <w:ind w:left="6840" w:hanging="360"/>
      </w:pPr>
      <w:rPr>
        <w:rFonts w:ascii="Wingdings" w:hAnsi="Wingdings" w:hint="default"/>
      </w:rPr>
    </w:lvl>
    <w:lvl w:ilvl="8" w:tplc="BF7C8064" w:tentative="1">
      <w:start w:val="1"/>
      <w:numFmt w:val="bullet"/>
      <w:lvlText w:val=""/>
      <w:lvlJc w:val="left"/>
      <w:pPr>
        <w:tabs>
          <w:tab w:val="num" w:pos="7560"/>
        </w:tabs>
        <w:ind w:left="7560" w:hanging="360"/>
      </w:pPr>
      <w:rPr>
        <w:rFonts w:ascii="Wingdings" w:hAnsi="Wingdings" w:hint="default"/>
      </w:rPr>
    </w:lvl>
  </w:abstractNum>
  <w:abstractNum w:abstractNumId="153" w15:restartNumberingAfterBreak="0">
    <w:nsid w:val="36B74281"/>
    <w:multiLevelType w:val="hybridMultilevel"/>
    <w:tmpl w:val="FCC6F316"/>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54" w15:restartNumberingAfterBreak="0">
    <w:nsid w:val="36F16DE2"/>
    <w:multiLevelType w:val="hybridMultilevel"/>
    <w:tmpl w:val="A4D4FBA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5" w15:restartNumberingAfterBreak="0">
    <w:nsid w:val="372B1979"/>
    <w:multiLevelType w:val="hybridMultilevel"/>
    <w:tmpl w:val="0FD4BC42"/>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37352879"/>
    <w:multiLevelType w:val="hybridMultilevel"/>
    <w:tmpl w:val="C5B2F7A2"/>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7" w15:restartNumberingAfterBreak="0">
    <w:nsid w:val="37434A9F"/>
    <w:multiLevelType w:val="hybridMultilevel"/>
    <w:tmpl w:val="0B283D7E"/>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58" w15:restartNumberingAfterBreak="0">
    <w:nsid w:val="37457E6F"/>
    <w:multiLevelType w:val="hybridMultilevel"/>
    <w:tmpl w:val="748A6C68"/>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9" w15:restartNumberingAfterBreak="0">
    <w:nsid w:val="37BB44E9"/>
    <w:multiLevelType w:val="hybridMultilevel"/>
    <w:tmpl w:val="150CAE3C"/>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60" w15:restartNumberingAfterBreak="0">
    <w:nsid w:val="37C259E2"/>
    <w:multiLevelType w:val="hybridMultilevel"/>
    <w:tmpl w:val="06B6B536"/>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61" w15:restartNumberingAfterBreak="0">
    <w:nsid w:val="37D47F7E"/>
    <w:multiLevelType w:val="hybridMultilevel"/>
    <w:tmpl w:val="E7BA9162"/>
    <w:lvl w:ilvl="0" w:tplc="5CE4ED2C">
      <w:start w:val="1"/>
      <w:numFmt w:val="bullet"/>
      <w:lvlText w:val=""/>
      <w:lvlJc w:val="left"/>
      <w:pPr>
        <w:ind w:left="1080" w:hanging="360"/>
      </w:pPr>
      <w:rPr>
        <w:rFonts w:ascii="Wingdings" w:hAnsi="Wingdings" w:hint="default"/>
        <w:color w:val="01406B"/>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2" w15:restartNumberingAfterBreak="0">
    <w:nsid w:val="37D94E6D"/>
    <w:multiLevelType w:val="hybridMultilevel"/>
    <w:tmpl w:val="CB2863D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3" w15:restartNumberingAfterBreak="0">
    <w:nsid w:val="381E23F5"/>
    <w:multiLevelType w:val="hybridMultilevel"/>
    <w:tmpl w:val="D53C1BC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4" w15:restartNumberingAfterBreak="0">
    <w:nsid w:val="393A31E1"/>
    <w:multiLevelType w:val="hybridMultilevel"/>
    <w:tmpl w:val="6CC2C5A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5" w15:restartNumberingAfterBreak="0">
    <w:nsid w:val="39651CC3"/>
    <w:multiLevelType w:val="hybridMultilevel"/>
    <w:tmpl w:val="5C56C866"/>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6" w15:restartNumberingAfterBreak="0">
    <w:nsid w:val="39750C54"/>
    <w:multiLevelType w:val="hybridMultilevel"/>
    <w:tmpl w:val="4E0208E2"/>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67" w15:restartNumberingAfterBreak="0">
    <w:nsid w:val="39801E1D"/>
    <w:multiLevelType w:val="hybridMultilevel"/>
    <w:tmpl w:val="D9FC4748"/>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398D1999"/>
    <w:multiLevelType w:val="hybridMultilevel"/>
    <w:tmpl w:val="8F16BFE4"/>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9" w15:restartNumberingAfterBreak="0">
    <w:nsid w:val="39E37345"/>
    <w:multiLevelType w:val="hybridMultilevel"/>
    <w:tmpl w:val="FEF80BA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0" w15:restartNumberingAfterBreak="0">
    <w:nsid w:val="3A852D61"/>
    <w:multiLevelType w:val="hybridMultilevel"/>
    <w:tmpl w:val="E05CE80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1" w15:restartNumberingAfterBreak="0">
    <w:nsid w:val="3B5E3569"/>
    <w:multiLevelType w:val="hybridMultilevel"/>
    <w:tmpl w:val="5E984F24"/>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2" w15:restartNumberingAfterBreak="0">
    <w:nsid w:val="3B9C1856"/>
    <w:multiLevelType w:val="hybridMultilevel"/>
    <w:tmpl w:val="A86A5F7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3" w15:restartNumberingAfterBreak="0">
    <w:nsid w:val="3BDC1EBB"/>
    <w:multiLevelType w:val="hybridMultilevel"/>
    <w:tmpl w:val="527A8558"/>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4" w15:restartNumberingAfterBreak="0">
    <w:nsid w:val="3BEC11CA"/>
    <w:multiLevelType w:val="hybridMultilevel"/>
    <w:tmpl w:val="ECECCC08"/>
    <w:lvl w:ilvl="0" w:tplc="BAD4F4FA">
      <w:start w:val="2"/>
      <w:numFmt w:val="low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5" w15:restartNumberingAfterBreak="0">
    <w:nsid w:val="3C996F03"/>
    <w:multiLevelType w:val="hybridMultilevel"/>
    <w:tmpl w:val="C63EB83A"/>
    <w:lvl w:ilvl="0" w:tplc="25860C96">
      <w:start w:val="1"/>
      <w:numFmt w:val="lowerRoman"/>
      <w:lvlText w:val="%1."/>
      <w:lvlJc w:val="righ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76" w15:restartNumberingAfterBreak="0">
    <w:nsid w:val="3C997176"/>
    <w:multiLevelType w:val="hybridMultilevel"/>
    <w:tmpl w:val="1B9479B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7" w15:restartNumberingAfterBreak="0">
    <w:nsid w:val="3CB0747C"/>
    <w:multiLevelType w:val="hybridMultilevel"/>
    <w:tmpl w:val="29889C06"/>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8" w15:restartNumberingAfterBreak="0">
    <w:nsid w:val="3CBF2F3B"/>
    <w:multiLevelType w:val="hybridMultilevel"/>
    <w:tmpl w:val="3490C04A"/>
    <w:lvl w:ilvl="0" w:tplc="B480364C">
      <w:numFmt w:val="bullet"/>
      <w:lvlText w:val="•"/>
      <w:lvlJc w:val="left"/>
      <w:pPr>
        <w:ind w:left="720" w:hanging="360"/>
      </w:pPr>
      <w:rPr>
        <w:rFonts w:ascii="Calibri" w:eastAsia="Times New Roman" w:hAnsi="Calibri" w:cs="Calibri"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79" w15:restartNumberingAfterBreak="0">
    <w:nsid w:val="3CDE4EDA"/>
    <w:multiLevelType w:val="hybridMultilevel"/>
    <w:tmpl w:val="E9E802A4"/>
    <w:lvl w:ilvl="0" w:tplc="5CE4ED2C">
      <w:start w:val="1"/>
      <w:numFmt w:val="bullet"/>
      <w:lvlText w:val=""/>
      <w:lvlJc w:val="left"/>
      <w:pPr>
        <w:ind w:left="768" w:hanging="360"/>
      </w:pPr>
      <w:rPr>
        <w:rFonts w:ascii="Wingdings" w:hAnsi="Wingdings" w:hint="default"/>
        <w:color w:val="01406B"/>
      </w:rPr>
    </w:lvl>
    <w:lvl w:ilvl="1" w:tplc="241A0003" w:tentative="1">
      <w:start w:val="1"/>
      <w:numFmt w:val="bullet"/>
      <w:lvlText w:val="o"/>
      <w:lvlJc w:val="left"/>
      <w:pPr>
        <w:ind w:left="1488" w:hanging="360"/>
      </w:pPr>
      <w:rPr>
        <w:rFonts w:ascii="Courier New" w:hAnsi="Courier New" w:cs="Courier New" w:hint="default"/>
      </w:rPr>
    </w:lvl>
    <w:lvl w:ilvl="2" w:tplc="241A0005" w:tentative="1">
      <w:start w:val="1"/>
      <w:numFmt w:val="bullet"/>
      <w:lvlText w:val=""/>
      <w:lvlJc w:val="left"/>
      <w:pPr>
        <w:ind w:left="2208" w:hanging="360"/>
      </w:pPr>
      <w:rPr>
        <w:rFonts w:ascii="Wingdings" w:hAnsi="Wingdings" w:hint="default"/>
      </w:rPr>
    </w:lvl>
    <w:lvl w:ilvl="3" w:tplc="241A0001" w:tentative="1">
      <w:start w:val="1"/>
      <w:numFmt w:val="bullet"/>
      <w:lvlText w:val=""/>
      <w:lvlJc w:val="left"/>
      <w:pPr>
        <w:ind w:left="2928" w:hanging="360"/>
      </w:pPr>
      <w:rPr>
        <w:rFonts w:ascii="Symbol" w:hAnsi="Symbol" w:hint="default"/>
      </w:rPr>
    </w:lvl>
    <w:lvl w:ilvl="4" w:tplc="241A0003" w:tentative="1">
      <w:start w:val="1"/>
      <w:numFmt w:val="bullet"/>
      <w:lvlText w:val="o"/>
      <w:lvlJc w:val="left"/>
      <w:pPr>
        <w:ind w:left="3648" w:hanging="360"/>
      </w:pPr>
      <w:rPr>
        <w:rFonts w:ascii="Courier New" w:hAnsi="Courier New" w:cs="Courier New" w:hint="default"/>
      </w:rPr>
    </w:lvl>
    <w:lvl w:ilvl="5" w:tplc="241A0005" w:tentative="1">
      <w:start w:val="1"/>
      <w:numFmt w:val="bullet"/>
      <w:lvlText w:val=""/>
      <w:lvlJc w:val="left"/>
      <w:pPr>
        <w:ind w:left="4368" w:hanging="360"/>
      </w:pPr>
      <w:rPr>
        <w:rFonts w:ascii="Wingdings" w:hAnsi="Wingdings" w:hint="default"/>
      </w:rPr>
    </w:lvl>
    <w:lvl w:ilvl="6" w:tplc="241A0001" w:tentative="1">
      <w:start w:val="1"/>
      <w:numFmt w:val="bullet"/>
      <w:lvlText w:val=""/>
      <w:lvlJc w:val="left"/>
      <w:pPr>
        <w:ind w:left="5088" w:hanging="360"/>
      </w:pPr>
      <w:rPr>
        <w:rFonts w:ascii="Symbol" w:hAnsi="Symbol" w:hint="default"/>
      </w:rPr>
    </w:lvl>
    <w:lvl w:ilvl="7" w:tplc="241A0003" w:tentative="1">
      <w:start w:val="1"/>
      <w:numFmt w:val="bullet"/>
      <w:lvlText w:val="o"/>
      <w:lvlJc w:val="left"/>
      <w:pPr>
        <w:ind w:left="5808" w:hanging="360"/>
      </w:pPr>
      <w:rPr>
        <w:rFonts w:ascii="Courier New" w:hAnsi="Courier New" w:cs="Courier New" w:hint="default"/>
      </w:rPr>
    </w:lvl>
    <w:lvl w:ilvl="8" w:tplc="241A0005" w:tentative="1">
      <w:start w:val="1"/>
      <w:numFmt w:val="bullet"/>
      <w:lvlText w:val=""/>
      <w:lvlJc w:val="left"/>
      <w:pPr>
        <w:ind w:left="6528" w:hanging="360"/>
      </w:pPr>
      <w:rPr>
        <w:rFonts w:ascii="Wingdings" w:hAnsi="Wingdings" w:hint="default"/>
      </w:rPr>
    </w:lvl>
  </w:abstractNum>
  <w:abstractNum w:abstractNumId="180" w15:restartNumberingAfterBreak="0">
    <w:nsid w:val="3CE155D8"/>
    <w:multiLevelType w:val="hybridMultilevel"/>
    <w:tmpl w:val="22D6C582"/>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81" w15:restartNumberingAfterBreak="0">
    <w:nsid w:val="3CEA225C"/>
    <w:multiLevelType w:val="multilevel"/>
    <w:tmpl w:val="99280700"/>
    <w:lvl w:ilvl="0">
      <w:start w:val="4"/>
      <w:numFmt w:val="decimal"/>
      <w:lvlText w:val="%1."/>
      <w:lvlJc w:val="left"/>
      <w:pPr>
        <w:ind w:left="624" w:hanging="624"/>
      </w:pPr>
      <w:rPr>
        <w:rFonts w:hint="default"/>
      </w:rPr>
    </w:lvl>
    <w:lvl w:ilvl="1">
      <w:start w:val="5"/>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2" w15:restartNumberingAfterBreak="0">
    <w:nsid w:val="3D645DEC"/>
    <w:multiLevelType w:val="hybridMultilevel"/>
    <w:tmpl w:val="F5FC5794"/>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3" w15:restartNumberingAfterBreak="0">
    <w:nsid w:val="3D91135F"/>
    <w:multiLevelType w:val="hybridMultilevel"/>
    <w:tmpl w:val="8C229A12"/>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4" w15:restartNumberingAfterBreak="0">
    <w:nsid w:val="3DDA265E"/>
    <w:multiLevelType w:val="hybridMultilevel"/>
    <w:tmpl w:val="421A67A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3E144406"/>
    <w:multiLevelType w:val="hybridMultilevel"/>
    <w:tmpl w:val="C236231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15:restartNumberingAfterBreak="0">
    <w:nsid w:val="3E712C68"/>
    <w:multiLevelType w:val="hybridMultilevel"/>
    <w:tmpl w:val="90B61422"/>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87" w15:restartNumberingAfterBreak="0">
    <w:nsid w:val="3E7E166F"/>
    <w:multiLevelType w:val="hybridMultilevel"/>
    <w:tmpl w:val="8D3828A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8" w15:restartNumberingAfterBreak="0">
    <w:nsid w:val="3E8816F1"/>
    <w:multiLevelType w:val="hybridMultilevel"/>
    <w:tmpl w:val="92DEBFE6"/>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9" w15:restartNumberingAfterBreak="0">
    <w:nsid w:val="3EAE4BE2"/>
    <w:multiLevelType w:val="hybridMultilevel"/>
    <w:tmpl w:val="A5EE3646"/>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0" w15:restartNumberingAfterBreak="0">
    <w:nsid w:val="3F766526"/>
    <w:multiLevelType w:val="hybridMultilevel"/>
    <w:tmpl w:val="6A58227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1" w15:restartNumberingAfterBreak="0">
    <w:nsid w:val="40607399"/>
    <w:multiLevelType w:val="hybridMultilevel"/>
    <w:tmpl w:val="9D44DDC0"/>
    <w:lvl w:ilvl="0" w:tplc="B480364C">
      <w:numFmt w:val="bullet"/>
      <w:lvlText w:val="•"/>
      <w:lvlJc w:val="left"/>
      <w:pPr>
        <w:ind w:left="720" w:hanging="360"/>
      </w:pPr>
      <w:rPr>
        <w:rFonts w:ascii="Calibri" w:eastAsia="Times New Roman" w:hAnsi="Calibri" w:cs="Calibri"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92" w15:restartNumberingAfterBreak="0">
    <w:nsid w:val="40D01D6D"/>
    <w:multiLevelType w:val="hybridMultilevel"/>
    <w:tmpl w:val="2AD8F738"/>
    <w:lvl w:ilvl="0" w:tplc="40DA6EEC">
      <w:start w:val="1"/>
      <w:numFmt w:val="lowerRoman"/>
      <w:lvlText w:val="%1."/>
      <w:lvlJc w:val="left"/>
      <w:pPr>
        <w:ind w:left="1440" w:hanging="360"/>
      </w:pPr>
      <w:rPr>
        <w:rFonts w:hint="default"/>
      </w:rPr>
    </w:lvl>
    <w:lvl w:ilvl="1" w:tplc="241A0019" w:tentative="1">
      <w:start w:val="1"/>
      <w:numFmt w:val="lowerLetter"/>
      <w:lvlText w:val="%2."/>
      <w:lvlJc w:val="left"/>
      <w:pPr>
        <w:ind w:left="2160" w:hanging="360"/>
      </w:pPr>
    </w:lvl>
    <w:lvl w:ilvl="2" w:tplc="241A001B" w:tentative="1">
      <w:start w:val="1"/>
      <w:numFmt w:val="lowerRoman"/>
      <w:lvlText w:val="%3."/>
      <w:lvlJc w:val="right"/>
      <w:pPr>
        <w:ind w:left="2880" w:hanging="180"/>
      </w:pPr>
    </w:lvl>
    <w:lvl w:ilvl="3" w:tplc="241A000F" w:tentative="1">
      <w:start w:val="1"/>
      <w:numFmt w:val="decimal"/>
      <w:lvlText w:val="%4."/>
      <w:lvlJc w:val="left"/>
      <w:pPr>
        <w:ind w:left="3600" w:hanging="360"/>
      </w:pPr>
    </w:lvl>
    <w:lvl w:ilvl="4" w:tplc="241A0019" w:tentative="1">
      <w:start w:val="1"/>
      <w:numFmt w:val="lowerLetter"/>
      <w:lvlText w:val="%5."/>
      <w:lvlJc w:val="left"/>
      <w:pPr>
        <w:ind w:left="4320" w:hanging="360"/>
      </w:pPr>
    </w:lvl>
    <w:lvl w:ilvl="5" w:tplc="241A001B" w:tentative="1">
      <w:start w:val="1"/>
      <w:numFmt w:val="lowerRoman"/>
      <w:lvlText w:val="%6."/>
      <w:lvlJc w:val="right"/>
      <w:pPr>
        <w:ind w:left="5040" w:hanging="180"/>
      </w:pPr>
    </w:lvl>
    <w:lvl w:ilvl="6" w:tplc="241A000F" w:tentative="1">
      <w:start w:val="1"/>
      <w:numFmt w:val="decimal"/>
      <w:lvlText w:val="%7."/>
      <w:lvlJc w:val="left"/>
      <w:pPr>
        <w:ind w:left="5760" w:hanging="360"/>
      </w:pPr>
    </w:lvl>
    <w:lvl w:ilvl="7" w:tplc="241A0019" w:tentative="1">
      <w:start w:val="1"/>
      <w:numFmt w:val="lowerLetter"/>
      <w:lvlText w:val="%8."/>
      <w:lvlJc w:val="left"/>
      <w:pPr>
        <w:ind w:left="6480" w:hanging="360"/>
      </w:pPr>
    </w:lvl>
    <w:lvl w:ilvl="8" w:tplc="241A001B" w:tentative="1">
      <w:start w:val="1"/>
      <w:numFmt w:val="lowerRoman"/>
      <w:lvlText w:val="%9."/>
      <w:lvlJc w:val="right"/>
      <w:pPr>
        <w:ind w:left="7200" w:hanging="180"/>
      </w:pPr>
    </w:lvl>
  </w:abstractNum>
  <w:abstractNum w:abstractNumId="193" w15:restartNumberingAfterBreak="0">
    <w:nsid w:val="40DE4180"/>
    <w:multiLevelType w:val="hybridMultilevel"/>
    <w:tmpl w:val="172A212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4" w15:restartNumberingAfterBreak="0">
    <w:nsid w:val="41202026"/>
    <w:multiLevelType w:val="hybridMultilevel"/>
    <w:tmpl w:val="20EED564"/>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5" w15:restartNumberingAfterBreak="0">
    <w:nsid w:val="41341F93"/>
    <w:multiLevelType w:val="hybridMultilevel"/>
    <w:tmpl w:val="77B4D714"/>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6" w15:restartNumberingAfterBreak="0">
    <w:nsid w:val="41D30BFD"/>
    <w:multiLevelType w:val="hybridMultilevel"/>
    <w:tmpl w:val="50D8C4D0"/>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97" w15:restartNumberingAfterBreak="0">
    <w:nsid w:val="42253EC2"/>
    <w:multiLevelType w:val="hybridMultilevel"/>
    <w:tmpl w:val="D20CA67A"/>
    <w:lvl w:ilvl="0" w:tplc="241A0017">
      <w:start w:val="1"/>
      <w:numFmt w:val="lowerLetter"/>
      <w:lvlText w:val="%1)"/>
      <w:lvlJc w:val="lef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98" w15:restartNumberingAfterBreak="0">
    <w:nsid w:val="42394A20"/>
    <w:multiLevelType w:val="hybridMultilevel"/>
    <w:tmpl w:val="B1883DA4"/>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9" w15:restartNumberingAfterBreak="0">
    <w:nsid w:val="42410C4D"/>
    <w:multiLevelType w:val="hybridMultilevel"/>
    <w:tmpl w:val="EA30CC1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0" w15:restartNumberingAfterBreak="0">
    <w:nsid w:val="43443D18"/>
    <w:multiLevelType w:val="hybridMultilevel"/>
    <w:tmpl w:val="14069ED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1" w15:restartNumberingAfterBreak="0">
    <w:nsid w:val="444F546F"/>
    <w:multiLevelType w:val="hybridMultilevel"/>
    <w:tmpl w:val="1B76C27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2" w15:restartNumberingAfterBreak="0">
    <w:nsid w:val="44C169EE"/>
    <w:multiLevelType w:val="hybridMultilevel"/>
    <w:tmpl w:val="CAC2003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3" w15:restartNumberingAfterBreak="0">
    <w:nsid w:val="44CA4010"/>
    <w:multiLevelType w:val="hybridMultilevel"/>
    <w:tmpl w:val="CFCECB7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44EE1D90"/>
    <w:multiLevelType w:val="singleLevel"/>
    <w:tmpl w:val="CAB4F21C"/>
    <w:lvl w:ilvl="0">
      <w:start w:val="1"/>
      <w:numFmt w:val="bullet"/>
      <w:pStyle w:val="LDKBullets-main"/>
      <w:lvlText w:val=""/>
      <w:lvlJc w:val="left"/>
      <w:pPr>
        <w:tabs>
          <w:tab w:val="num" w:pos="360"/>
        </w:tabs>
        <w:ind w:left="360" w:hanging="360"/>
      </w:pPr>
      <w:rPr>
        <w:rFonts w:ascii="Wingdings" w:hAnsi="Wingdings" w:cs="Wingdings" w:hint="default"/>
        <w:color w:val="002060"/>
        <w:sz w:val="28"/>
      </w:rPr>
    </w:lvl>
  </w:abstractNum>
  <w:abstractNum w:abstractNumId="205" w15:restartNumberingAfterBreak="0">
    <w:nsid w:val="44F4073F"/>
    <w:multiLevelType w:val="hybridMultilevel"/>
    <w:tmpl w:val="EAD2230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6" w15:restartNumberingAfterBreak="0">
    <w:nsid w:val="45047D2E"/>
    <w:multiLevelType w:val="hybridMultilevel"/>
    <w:tmpl w:val="2280CC68"/>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7" w15:restartNumberingAfterBreak="0">
    <w:nsid w:val="45080204"/>
    <w:multiLevelType w:val="hybridMultilevel"/>
    <w:tmpl w:val="010A257A"/>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08" w15:restartNumberingAfterBreak="0">
    <w:nsid w:val="45550D24"/>
    <w:multiLevelType w:val="hybridMultilevel"/>
    <w:tmpl w:val="C0F888F4"/>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9" w15:restartNumberingAfterBreak="0">
    <w:nsid w:val="4596433B"/>
    <w:multiLevelType w:val="hybridMultilevel"/>
    <w:tmpl w:val="6ADE4E4C"/>
    <w:lvl w:ilvl="0" w:tplc="241A0005">
      <w:start w:val="1"/>
      <w:numFmt w:val="bullet"/>
      <w:lvlText w:val=""/>
      <w:lvlJc w:val="left"/>
      <w:pPr>
        <w:ind w:left="720" w:hanging="360"/>
      </w:pPr>
      <w:rPr>
        <w:rFonts w:ascii="Wingdings" w:hAnsi="Wingding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0" w15:restartNumberingAfterBreak="0">
    <w:nsid w:val="45CB2EDF"/>
    <w:multiLevelType w:val="hybridMultilevel"/>
    <w:tmpl w:val="DECCD5A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46CC3EDF"/>
    <w:multiLevelType w:val="hybridMultilevel"/>
    <w:tmpl w:val="8570AF98"/>
    <w:lvl w:ilvl="0" w:tplc="1FC04EE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15:restartNumberingAfterBreak="0">
    <w:nsid w:val="46FE3F9A"/>
    <w:multiLevelType w:val="hybridMultilevel"/>
    <w:tmpl w:val="80268F26"/>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13" w15:restartNumberingAfterBreak="0">
    <w:nsid w:val="471B1254"/>
    <w:multiLevelType w:val="hybridMultilevel"/>
    <w:tmpl w:val="891A3F54"/>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4" w15:restartNumberingAfterBreak="0">
    <w:nsid w:val="47B9418D"/>
    <w:multiLevelType w:val="hybridMultilevel"/>
    <w:tmpl w:val="1A50D18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5" w15:restartNumberingAfterBreak="0">
    <w:nsid w:val="47BE0EC3"/>
    <w:multiLevelType w:val="hybridMultilevel"/>
    <w:tmpl w:val="A59A72D6"/>
    <w:lvl w:ilvl="0" w:tplc="5CE4ED2C">
      <w:start w:val="1"/>
      <w:numFmt w:val="bullet"/>
      <w:lvlText w:val=""/>
      <w:lvlJc w:val="left"/>
      <w:pPr>
        <w:ind w:left="768" w:hanging="360"/>
      </w:pPr>
      <w:rPr>
        <w:rFonts w:ascii="Wingdings" w:hAnsi="Wingdings" w:hint="default"/>
        <w:color w:val="01406B"/>
      </w:rPr>
    </w:lvl>
    <w:lvl w:ilvl="1" w:tplc="241A0003" w:tentative="1">
      <w:start w:val="1"/>
      <w:numFmt w:val="bullet"/>
      <w:lvlText w:val="o"/>
      <w:lvlJc w:val="left"/>
      <w:pPr>
        <w:ind w:left="1488" w:hanging="360"/>
      </w:pPr>
      <w:rPr>
        <w:rFonts w:ascii="Courier New" w:hAnsi="Courier New" w:cs="Courier New" w:hint="default"/>
      </w:rPr>
    </w:lvl>
    <w:lvl w:ilvl="2" w:tplc="241A0005" w:tentative="1">
      <w:start w:val="1"/>
      <w:numFmt w:val="bullet"/>
      <w:lvlText w:val=""/>
      <w:lvlJc w:val="left"/>
      <w:pPr>
        <w:ind w:left="2208" w:hanging="360"/>
      </w:pPr>
      <w:rPr>
        <w:rFonts w:ascii="Wingdings" w:hAnsi="Wingdings" w:hint="default"/>
      </w:rPr>
    </w:lvl>
    <w:lvl w:ilvl="3" w:tplc="241A0001" w:tentative="1">
      <w:start w:val="1"/>
      <w:numFmt w:val="bullet"/>
      <w:lvlText w:val=""/>
      <w:lvlJc w:val="left"/>
      <w:pPr>
        <w:ind w:left="2928" w:hanging="360"/>
      </w:pPr>
      <w:rPr>
        <w:rFonts w:ascii="Symbol" w:hAnsi="Symbol" w:hint="default"/>
      </w:rPr>
    </w:lvl>
    <w:lvl w:ilvl="4" w:tplc="241A0003" w:tentative="1">
      <w:start w:val="1"/>
      <w:numFmt w:val="bullet"/>
      <w:lvlText w:val="o"/>
      <w:lvlJc w:val="left"/>
      <w:pPr>
        <w:ind w:left="3648" w:hanging="360"/>
      </w:pPr>
      <w:rPr>
        <w:rFonts w:ascii="Courier New" w:hAnsi="Courier New" w:cs="Courier New" w:hint="default"/>
      </w:rPr>
    </w:lvl>
    <w:lvl w:ilvl="5" w:tplc="241A0005" w:tentative="1">
      <w:start w:val="1"/>
      <w:numFmt w:val="bullet"/>
      <w:lvlText w:val=""/>
      <w:lvlJc w:val="left"/>
      <w:pPr>
        <w:ind w:left="4368" w:hanging="360"/>
      </w:pPr>
      <w:rPr>
        <w:rFonts w:ascii="Wingdings" w:hAnsi="Wingdings" w:hint="default"/>
      </w:rPr>
    </w:lvl>
    <w:lvl w:ilvl="6" w:tplc="241A0001" w:tentative="1">
      <w:start w:val="1"/>
      <w:numFmt w:val="bullet"/>
      <w:lvlText w:val=""/>
      <w:lvlJc w:val="left"/>
      <w:pPr>
        <w:ind w:left="5088" w:hanging="360"/>
      </w:pPr>
      <w:rPr>
        <w:rFonts w:ascii="Symbol" w:hAnsi="Symbol" w:hint="default"/>
      </w:rPr>
    </w:lvl>
    <w:lvl w:ilvl="7" w:tplc="241A0003" w:tentative="1">
      <w:start w:val="1"/>
      <w:numFmt w:val="bullet"/>
      <w:lvlText w:val="o"/>
      <w:lvlJc w:val="left"/>
      <w:pPr>
        <w:ind w:left="5808" w:hanging="360"/>
      </w:pPr>
      <w:rPr>
        <w:rFonts w:ascii="Courier New" w:hAnsi="Courier New" w:cs="Courier New" w:hint="default"/>
      </w:rPr>
    </w:lvl>
    <w:lvl w:ilvl="8" w:tplc="241A0005" w:tentative="1">
      <w:start w:val="1"/>
      <w:numFmt w:val="bullet"/>
      <w:lvlText w:val=""/>
      <w:lvlJc w:val="left"/>
      <w:pPr>
        <w:ind w:left="6528" w:hanging="360"/>
      </w:pPr>
      <w:rPr>
        <w:rFonts w:ascii="Wingdings" w:hAnsi="Wingdings" w:hint="default"/>
      </w:rPr>
    </w:lvl>
  </w:abstractNum>
  <w:abstractNum w:abstractNumId="216" w15:restartNumberingAfterBreak="0">
    <w:nsid w:val="47F7033F"/>
    <w:multiLevelType w:val="hybridMultilevel"/>
    <w:tmpl w:val="F9002D6C"/>
    <w:lvl w:ilvl="0" w:tplc="286AB5CC">
      <w:start w:val="1"/>
      <w:numFmt w:val="lowerRoman"/>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17" w15:restartNumberingAfterBreak="0">
    <w:nsid w:val="48065452"/>
    <w:multiLevelType w:val="hybridMultilevel"/>
    <w:tmpl w:val="0D442F0E"/>
    <w:lvl w:ilvl="0" w:tplc="25860C96">
      <w:start w:val="1"/>
      <w:numFmt w:val="lowerRoman"/>
      <w:lvlText w:val="%1."/>
      <w:lvlJc w:val="righ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218" w15:restartNumberingAfterBreak="0">
    <w:nsid w:val="484B25B7"/>
    <w:multiLevelType w:val="hybridMultilevel"/>
    <w:tmpl w:val="86DE91D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9" w15:restartNumberingAfterBreak="0">
    <w:nsid w:val="4913277A"/>
    <w:multiLevelType w:val="hybridMultilevel"/>
    <w:tmpl w:val="303602E4"/>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0" w15:restartNumberingAfterBreak="0">
    <w:nsid w:val="493B1046"/>
    <w:multiLevelType w:val="hybridMultilevel"/>
    <w:tmpl w:val="1480F95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1" w15:restartNumberingAfterBreak="0">
    <w:nsid w:val="498706A8"/>
    <w:multiLevelType w:val="hybridMultilevel"/>
    <w:tmpl w:val="362CACBA"/>
    <w:lvl w:ilvl="0" w:tplc="0FCC4F9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49B27396"/>
    <w:multiLevelType w:val="hybridMultilevel"/>
    <w:tmpl w:val="B1883DA4"/>
    <w:lvl w:ilvl="0" w:tplc="E62CE892">
      <w:start w:val="1"/>
      <w:numFmt w:val="lowerRoman"/>
      <w:lvlText w:val="%1)"/>
      <w:lvlJc w:val="left"/>
      <w:pPr>
        <w:ind w:left="1080" w:hanging="72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223" w15:restartNumberingAfterBreak="0">
    <w:nsid w:val="49F622D9"/>
    <w:multiLevelType w:val="hybridMultilevel"/>
    <w:tmpl w:val="1DC8E25E"/>
    <w:lvl w:ilvl="0" w:tplc="E0EA2164">
      <w:start w:val="1"/>
      <w:numFmt w:val="lowerRoman"/>
      <w:lvlText w:val="%1."/>
      <w:lvlJc w:val="righ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224" w15:restartNumberingAfterBreak="0">
    <w:nsid w:val="4A2834F6"/>
    <w:multiLevelType w:val="hybridMultilevel"/>
    <w:tmpl w:val="E604A688"/>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25" w15:restartNumberingAfterBreak="0">
    <w:nsid w:val="4A487B1F"/>
    <w:multiLevelType w:val="hybridMultilevel"/>
    <w:tmpl w:val="2C80A45A"/>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26" w15:restartNumberingAfterBreak="0">
    <w:nsid w:val="4A7A6239"/>
    <w:multiLevelType w:val="hybridMultilevel"/>
    <w:tmpl w:val="FB4668F6"/>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7" w15:restartNumberingAfterBreak="0">
    <w:nsid w:val="4A805A67"/>
    <w:multiLevelType w:val="hybridMultilevel"/>
    <w:tmpl w:val="C7B02D6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8" w15:restartNumberingAfterBreak="0">
    <w:nsid w:val="4A98780A"/>
    <w:multiLevelType w:val="hybridMultilevel"/>
    <w:tmpl w:val="C1D8F7E2"/>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9" w15:restartNumberingAfterBreak="0">
    <w:nsid w:val="4ABE1A5A"/>
    <w:multiLevelType w:val="hybridMultilevel"/>
    <w:tmpl w:val="5A12F734"/>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0" w15:restartNumberingAfterBreak="0">
    <w:nsid w:val="4AC1105A"/>
    <w:multiLevelType w:val="hybridMultilevel"/>
    <w:tmpl w:val="DC64A5A6"/>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1" w15:restartNumberingAfterBreak="0">
    <w:nsid w:val="4B7D3729"/>
    <w:multiLevelType w:val="hybridMultilevel"/>
    <w:tmpl w:val="D24E735A"/>
    <w:lvl w:ilvl="0" w:tplc="241A0005">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32" w15:restartNumberingAfterBreak="0">
    <w:nsid w:val="4B997AE2"/>
    <w:multiLevelType w:val="hybridMultilevel"/>
    <w:tmpl w:val="E78ED7A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3" w15:restartNumberingAfterBreak="0">
    <w:nsid w:val="4BAA6C94"/>
    <w:multiLevelType w:val="hybridMultilevel"/>
    <w:tmpl w:val="7332A784"/>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34" w15:restartNumberingAfterBreak="0">
    <w:nsid w:val="4C3E21EC"/>
    <w:multiLevelType w:val="hybridMultilevel"/>
    <w:tmpl w:val="375072C8"/>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5" w15:restartNumberingAfterBreak="0">
    <w:nsid w:val="4D7B1B98"/>
    <w:multiLevelType w:val="hybridMultilevel"/>
    <w:tmpl w:val="8A9E5A0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6" w15:restartNumberingAfterBreak="0">
    <w:nsid w:val="4D9F2358"/>
    <w:multiLevelType w:val="hybridMultilevel"/>
    <w:tmpl w:val="30964A28"/>
    <w:lvl w:ilvl="0" w:tplc="5CE4ED2C">
      <w:start w:val="1"/>
      <w:numFmt w:val="bullet"/>
      <w:lvlText w:val=""/>
      <w:lvlJc w:val="left"/>
      <w:pPr>
        <w:ind w:left="768" w:hanging="360"/>
      </w:pPr>
      <w:rPr>
        <w:rFonts w:ascii="Wingdings" w:hAnsi="Wingdings" w:hint="default"/>
        <w:color w:val="01406B"/>
      </w:rPr>
    </w:lvl>
    <w:lvl w:ilvl="1" w:tplc="241A0003" w:tentative="1">
      <w:start w:val="1"/>
      <w:numFmt w:val="bullet"/>
      <w:lvlText w:val="o"/>
      <w:lvlJc w:val="left"/>
      <w:pPr>
        <w:ind w:left="1488" w:hanging="360"/>
      </w:pPr>
      <w:rPr>
        <w:rFonts w:ascii="Courier New" w:hAnsi="Courier New" w:cs="Courier New" w:hint="default"/>
      </w:rPr>
    </w:lvl>
    <w:lvl w:ilvl="2" w:tplc="241A0005" w:tentative="1">
      <w:start w:val="1"/>
      <w:numFmt w:val="bullet"/>
      <w:lvlText w:val=""/>
      <w:lvlJc w:val="left"/>
      <w:pPr>
        <w:ind w:left="2208" w:hanging="360"/>
      </w:pPr>
      <w:rPr>
        <w:rFonts w:ascii="Wingdings" w:hAnsi="Wingdings" w:hint="default"/>
      </w:rPr>
    </w:lvl>
    <w:lvl w:ilvl="3" w:tplc="241A0001" w:tentative="1">
      <w:start w:val="1"/>
      <w:numFmt w:val="bullet"/>
      <w:lvlText w:val=""/>
      <w:lvlJc w:val="left"/>
      <w:pPr>
        <w:ind w:left="2928" w:hanging="360"/>
      </w:pPr>
      <w:rPr>
        <w:rFonts w:ascii="Symbol" w:hAnsi="Symbol" w:hint="default"/>
      </w:rPr>
    </w:lvl>
    <w:lvl w:ilvl="4" w:tplc="241A0003" w:tentative="1">
      <w:start w:val="1"/>
      <w:numFmt w:val="bullet"/>
      <w:lvlText w:val="o"/>
      <w:lvlJc w:val="left"/>
      <w:pPr>
        <w:ind w:left="3648" w:hanging="360"/>
      </w:pPr>
      <w:rPr>
        <w:rFonts w:ascii="Courier New" w:hAnsi="Courier New" w:cs="Courier New" w:hint="default"/>
      </w:rPr>
    </w:lvl>
    <w:lvl w:ilvl="5" w:tplc="241A0005" w:tentative="1">
      <w:start w:val="1"/>
      <w:numFmt w:val="bullet"/>
      <w:lvlText w:val=""/>
      <w:lvlJc w:val="left"/>
      <w:pPr>
        <w:ind w:left="4368" w:hanging="360"/>
      </w:pPr>
      <w:rPr>
        <w:rFonts w:ascii="Wingdings" w:hAnsi="Wingdings" w:hint="default"/>
      </w:rPr>
    </w:lvl>
    <w:lvl w:ilvl="6" w:tplc="241A0001" w:tentative="1">
      <w:start w:val="1"/>
      <w:numFmt w:val="bullet"/>
      <w:lvlText w:val=""/>
      <w:lvlJc w:val="left"/>
      <w:pPr>
        <w:ind w:left="5088" w:hanging="360"/>
      </w:pPr>
      <w:rPr>
        <w:rFonts w:ascii="Symbol" w:hAnsi="Symbol" w:hint="default"/>
      </w:rPr>
    </w:lvl>
    <w:lvl w:ilvl="7" w:tplc="241A0003" w:tentative="1">
      <w:start w:val="1"/>
      <w:numFmt w:val="bullet"/>
      <w:lvlText w:val="o"/>
      <w:lvlJc w:val="left"/>
      <w:pPr>
        <w:ind w:left="5808" w:hanging="360"/>
      </w:pPr>
      <w:rPr>
        <w:rFonts w:ascii="Courier New" w:hAnsi="Courier New" w:cs="Courier New" w:hint="default"/>
      </w:rPr>
    </w:lvl>
    <w:lvl w:ilvl="8" w:tplc="241A0005" w:tentative="1">
      <w:start w:val="1"/>
      <w:numFmt w:val="bullet"/>
      <w:lvlText w:val=""/>
      <w:lvlJc w:val="left"/>
      <w:pPr>
        <w:ind w:left="6528" w:hanging="360"/>
      </w:pPr>
      <w:rPr>
        <w:rFonts w:ascii="Wingdings" w:hAnsi="Wingdings" w:hint="default"/>
      </w:rPr>
    </w:lvl>
  </w:abstractNum>
  <w:abstractNum w:abstractNumId="237" w15:restartNumberingAfterBreak="0">
    <w:nsid w:val="4DA6134C"/>
    <w:multiLevelType w:val="hybridMultilevel"/>
    <w:tmpl w:val="E5FA234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8" w15:restartNumberingAfterBreak="0">
    <w:nsid w:val="4DE80910"/>
    <w:multiLevelType w:val="hybridMultilevel"/>
    <w:tmpl w:val="C0D422DA"/>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39" w15:restartNumberingAfterBreak="0">
    <w:nsid w:val="4EC23029"/>
    <w:multiLevelType w:val="hybridMultilevel"/>
    <w:tmpl w:val="99B08842"/>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40" w15:restartNumberingAfterBreak="0">
    <w:nsid w:val="4F151CB9"/>
    <w:multiLevelType w:val="hybridMultilevel"/>
    <w:tmpl w:val="4E742DA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1" w15:restartNumberingAfterBreak="0">
    <w:nsid w:val="4FC866D1"/>
    <w:multiLevelType w:val="hybridMultilevel"/>
    <w:tmpl w:val="65CCDC3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15:restartNumberingAfterBreak="0">
    <w:nsid w:val="50422FF0"/>
    <w:multiLevelType w:val="hybridMultilevel"/>
    <w:tmpl w:val="9B76A96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3" w15:restartNumberingAfterBreak="0">
    <w:nsid w:val="5078621E"/>
    <w:multiLevelType w:val="hybridMultilevel"/>
    <w:tmpl w:val="4A5C1664"/>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4" w15:restartNumberingAfterBreak="0">
    <w:nsid w:val="519D3DD8"/>
    <w:multiLevelType w:val="hybridMultilevel"/>
    <w:tmpl w:val="7520BBA8"/>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5" w15:restartNumberingAfterBreak="0">
    <w:nsid w:val="51C95396"/>
    <w:multiLevelType w:val="hybridMultilevel"/>
    <w:tmpl w:val="C5D06174"/>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6" w15:restartNumberingAfterBreak="0">
    <w:nsid w:val="51F02388"/>
    <w:multiLevelType w:val="hybridMultilevel"/>
    <w:tmpl w:val="8A7AD74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7" w15:restartNumberingAfterBreak="0">
    <w:nsid w:val="520138E3"/>
    <w:multiLevelType w:val="hybridMultilevel"/>
    <w:tmpl w:val="5AC6D75A"/>
    <w:lvl w:ilvl="0" w:tplc="241A0005">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48" w15:restartNumberingAfterBreak="0">
    <w:nsid w:val="52345504"/>
    <w:multiLevelType w:val="hybridMultilevel"/>
    <w:tmpl w:val="5566909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9" w15:restartNumberingAfterBreak="0">
    <w:nsid w:val="527176BC"/>
    <w:multiLevelType w:val="hybridMultilevel"/>
    <w:tmpl w:val="7BC489E8"/>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0" w15:restartNumberingAfterBreak="0">
    <w:nsid w:val="527B0E1F"/>
    <w:multiLevelType w:val="hybridMultilevel"/>
    <w:tmpl w:val="C980D76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1" w15:restartNumberingAfterBreak="0">
    <w:nsid w:val="529E2D08"/>
    <w:multiLevelType w:val="hybridMultilevel"/>
    <w:tmpl w:val="EB663274"/>
    <w:lvl w:ilvl="0" w:tplc="CE70217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15:restartNumberingAfterBreak="0">
    <w:nsid w:val="52CE7BBE"/>
    <w:multiLevelType w:val="hybridMultilevel"/>
    <w:tmpl w:val="C5C80CF2"/>
    <w:lvl w:ilvl="0" w:tplc="241A0011">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253" w15:restartNumberingAfterBreak="0">
    <w:nsid w:val="52DA2950"/>
    <w:multiLevelType w:val="hybridMultilevel"/>
    <w:tmpl w:val="32EE3274"/>
    <w:lvl w:ilvl="0" w:tplc="241A0005">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54" w15:restartNumberingAfterBreak="0">
    <w:nsid w:val="533C6193"/>
    <w:multiLevelType w:val="hybridMultilevel"/>
    <w:tmpl w:val="26528AB8"/>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5" w15:restartNumberingAfterBreak="0">
    <w:nsid w:val="53C90D6C"/>
    <w:multiLevelType w:val="hybridMultilevel"/>
    <w:tmpl w:val="46323D8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6" w15:restartNumberingAfterBreak="0">
    <w:nsid w:val="548A6A4D"/>
    <w:multiLevelType w:val="hybridMultilevel"/>
    <w:tmpl w:val="3D44C42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7" w15:restartNumberingAfterBreak="0">
    <w:nsid w:val="54CB4779"/>
    <w:multiLevelType w:val="hybridMultilevel"/>
    <w:tmpl w:val="61B2640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58" w15:restartNumberingAfterBreak="0">
    <w:nsid w:val="55086A20"/>
    <w:multiLevelType w:val="hybridMultilevel"/>
    <w:tmpl w:val="20C225F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9" w15:restartNumberingAfterBreak="0">
    <w:nsid w:val="551379C9"/>
    <w:multiLevelType w:val="hybridMultilevel"/>
    <w:tmpl w:val="9E1AF04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0" w15:restartNumberingAfterBreak="0">
    <w:nsid w:val="551975BA"/>
    <w:multiLevelType w:val="hybridMultilevel"/>
    <w:tmpl w:val="F1FAB914"/>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1" w15:restartNumberingAfterBreak="0">
    <w:nsid w:val="552F413B"/>
    <w:multiLevelType w:val="hybridMultilevel"/>
    <w:tmpl w:val="8AD0BDB2"/>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2" w15:restartNumberingAfterBreak="0">
    <w:nsid w:val="563733F9"/>
    <w:multiLevelType w:val="hybridMultilevel"/>
    <w:tmpl w:val="08482E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3" w15:restartNumberingAfterBreak="0">
    <w:nsid w:val="565004E4"/>
    <w:multiLevelType w:val="hybridMultilevel"/>
    <w:tmpl w:val="E63C07D6"/>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4" w15:restartNumberingAfterBreak="0">
    <w:nsid w:val="56803000"/>
    <w:multiLevelType w:val="hybridMultilevel"/>
    <w:tmpl w:val="B128DC9E"/>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65" w15:restartNumberingAfterBreak="0">
    <w:nsid w:val="56E9023F"/>
    <w:multiLevelType w:val="hybridMultilevel"/>
    <w:tmpl w:val="B5786DFA"/>
    <w:lvl w:ilvl="0" w:tplc="241A0005">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66" w15:restartNumberingAfterBreak="0">
    <w:nsid w:val="577F6F56"/>
    <w:multiLevelType w:val="hybridMultilevel"/>
    <w:tmpl w:val="1916E1D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7" w15:restartNumberingAfterBreak="0">
    <w:nsid w:val="57F100D5"/>
    <w:multiLevelType w:val="hybridMultilevel"/>
    <w:tmpl w:val="2608837A"/>
    <w:lvl w:ilvl="0" w:tplc="241A0005">
      <w:start w:val="1"/>
      <w:numFmt w:val="bullet"/>
      <w:lvlText w:val=""/>
      <w:lvlJc w:val="left"/>
      <w:pPr>
        <w:ind w:left="1080" w:hanging="360"/>
      </w:pPr>
      <w:rPr>
        <w:rFonts w:ascii="Wingdings" w:hAnsi="Wingdings" w:hint="default"/>
      </w:rPr>
    </w:lvl>
    <w:lvl w:ilvl="1" w:tplc="241A0003" w:tentative="1">
      <w:start w:val="1"/>
      <w:numFmt w:val="bullet"/>
      <w:lvlText w:val="o"/>
      <w:lvlJc w:val="left"/>
      <w:pPr>
        <w:ind w:left="1800" w:hanging="360"/>
      </w:pPr>
      <w:rPr>
        <w:rFonts w:ascii="Courier New" w:hAnsi="Courier New" w:cs="Courier New" w:hint="default"/>
      </w:rPr>
    </w:lvl>
    <w:lvl w:ilvl="2" w:tplc="241A0005" w:tentative="1">
      <w:start w:val="1"/>
      <w:numFmt w:val="bullet"/>
      <w:lvlText w:val=""/>
      <w:lvlJc w:val="left"/>
      <w:pPr>
        <w:ind w:left="2520" w:hanging="360"/>
      </w:pPr>
      <w:rPr>
        <w:rFonts w:ascii="Wingdings" w:hAnsi="Wingdings" w:hint="default"/>
      </w:rPr>
    </w:lvl>
    <w:lvl w:ilvl="3" w:tplc="241A0001" w:tentative="1">
      <w:start w:val="1"/>
      <w:numFmt w:val="bullet"/>
      <w:lvlText w:val=""/>
      <w:lvlJc w:val="left"/>
      <w:pPr>
        <w:ind w:left="3240" w:hanging="360"/>
      </w:pPr>
      <w:rPr>
        <w:rFonts w:ascii="Symbol" w:hAnsi="Symbol" w:hint="default"/>
      </w:rPr>
    </w:lvl>
    <w:lvl w:ilvl="4" w:tplc="241A0003" w:tentative="1">
      <w:start w:val="1"/>
      <w:numFmt w:val="bullet"/>
      <w:lvlText w:val="o"/>
      <w:lvlJc w:val="left"/>
      <w:pPr>
        <w:ind w:left="3960" w:hanging="360"/>
      </w:pPr>
      <w:rPr>
        <w:rFonts w:ascii="Courier New" w:hAnsi="Courier New" w:cs="Courier New" w:hint="default"/>
      </w:rPr>
    </w:lvl>
    <w:lvl w:ilvl="5" w:tplc="241A0005" w:tentative="1">
      <w:start w:val="1"/>
      <w:numFmt w:val="bullet"/>
      <w:lvlText w:val=""/>
      <w:lvlJc w:val="left"/>
      <w:pPr>
        <w:ind w:left="4680" w:hanging="360"/>
      </w:pPr>
      <w:rPr>
        <w:rFonts w:ascii="Wingdings" w:hAnsi="Wingdings" w:hint="default"/>
      </w:rPr>
    </w:lvl>
    <w:lvl w:ilvl="6" w:tplc="241A0001" w:tentative="1">
      <w:start w:val="1"/>
      <w:numFmt w:val="bullet"/>
      <w:lvlText w:val=""/>
      <w:lvlJc w:val="left"/>
      <w:pPr>
        <w:ind w:left="5400" w:hanging="360"/>
      </w:pPr>
      <w:rPr>
        <w:rFonts w:ascii="Symbol" w:hAnsi="Symbol" w:hint="default"/>
      </w:rPr>
    </w:lvl>
    <w:lvl w:ilvl="7" w:tplc="241A0003" w:tentative="1">
      <w:start w:val="1"/>
      <w:numFmt w:val="bullet"/>
      <w:lvlText w:val="o"/>
      <w:lvlJc w:val="left"/>
      <w:pPr>
        <w:ind w:left="6120" w:hanging="360"/>
      </w:pPr>
      <w:rPr>
        <w:rFonts w:ascii="Courier New" w:hAnsi="Courier New" w:cs="Courier New" w:hint="default"/>
      </w:rPr>
    </w:lvl>
    <w:lvl w:ilvl="8" w:tplc="241A0005" w:tentative="1">
      <w:start w:val="1"/>
      <w:numFmt w:val="bullet"/>
      <w:lvlText w:val=""/>
      <w:lvlJc w:val="left"/>
      <w:pPr>
        <w:ind w:left="6840" w:hanging="360"/>
      </w:pPr>
      <w:rPr>
        <w:rFonts w:ascii="Wingdings" w:hAnsi="Wingdings" w:hint="default"/>
      </w:rPr>
    </w:lvl>
  </w:abstractNum>
  <w:abstractNum w:abstractNumId="268" w15:restartNumberingAfterBreak="0">
    <w:nsid w:val="58033735"/>
    <w:multiLevelType w:val="hybridMultilevel"/>
    <w:tmpl w:val="FBEC4AFC"/>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69" w15:restartNumberingAfterBreak="0">
    <w:nsid w:val="581D0981"/>
    <w:multiLevelType w:val="hybridMultilevel"/>
    <w:tmpl w:val="00D2E7DC"/>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70" w15:restartNumberingAfterBreak="0">
    <w:nsid w:val="581E4DFA"/>
    <w:multiLevelType w:val="hybridMultilevel"/>
    <w:tmpl w:val="4D88E116"/>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1" w15:restartNumberingAfterBreak="0">
    <w:nsid w:val="58282C75"/>
    <w:multiLevelType w:val="hybridMultilevel"/>
    <w:tmpl w:val="9B62865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2" w15:restartNumberingAfterBreak="0">
    <w:nsid w:val="58353626"/>
    <w:multiLevelType w:val="hybridMultilevel"/>
    <w:tmpl w:val="F518396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3" w15:restartNumberingAfterBreak="0">
    <w:nsid w:val="58AC7523"/>
    <w:multiLevelType w:val="hybridMultilevel"/>
    <w:tmpl w:val="4030E992"/>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4" w15:restartNumberingAfterBreak="0">
    <w:nsid w:val="596A0A9D"/>
    <w:multiLevelType w:val="hybridMultilevel"/>
    <w:tmpl w:val="B1521FC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5" w15:restartNumberingAfterBreak="0">
    <w:nsid w:val="59747132"/>
    <w:multiLevelType w:val="hybridMultilevel"/>
    <w:tmpl w:val="CE32CB0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6" w15:restartNumberingAfterBreak="0">
    <w:nsid w:val="59AD7AAB"/>
    <w:multiLevelType w:val="hybridMultilevel"/>
    <w:tmpl w:val="98DE05B4"/>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7" w15:restartNumberingAfterBreak="0">
    <w:nsid w:val="59E14AAD"/>
    <w:multiLevelType w:val="hybridMultilevel"/>
    <w:tmpl w:val="A8FA0B94"/>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8" w15:restartNumberingAfterBreak="0">
    <w:nsid w:val="59E608B1"/>
    <w:multiLevelType w:val="hybridMultilevel"/>
    <w:tmpl w:val="2F30C0D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9" w15:restartNumberingAfterBreak="0">
    <w:nsid w:val="59EB542F"/>
    <w:multiLevelType w:val="hybridMultilevel"/>
    <w:tmpl w:val="A5D09D48"/>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80" w15:restartNumberingAfterBreak="0">
    <w:nsid w:val="59EB55B4"/>
    <w:multiLevelType w:val="hybridMultilevel"/>
    <w:tmpl w:val="2FF4EA5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81" w15:restartNumberingAfterBreak="0">
    <w:nsid w:val="5A87332A"/>
    <w:multiLevelType w:val="hybridMultilevel"/>
    <w:tmpl w:val="1A7EAE82"/>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2" w15:restartNumberingAfterBreak="0">
    <w:nsid w:val="5AAA7743"/>
    <w:multiLevelType w:val="multilevel"/>
    <w:tmpl w:val="BDB44A8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3" w15:restartNumberingAfterBreak="0">
    <w:nsid w:val="5AF10D4D"/>
    <w:multiLevelType w:val="hybridMultilevel"/>
    <w:tmpl w:val="17685016"/>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4" w15:restartNumberingAfterBreak="0">
    <w:nsid w:val="5B04644B"/>
    <w:multiLevelType w:val="hybridMultilevel"/>
    <w:tmpl w:val="522A86D2"/>
    <w:lvl w:ilvl="0" w:tplc="1FEC2970">
      <w:start w:val="1"/>
      <w:numFmt w:val="bullet"/>
      <w:lvlText w:val=""/>
      <w:lvlJc w:val="left"/>
      <w:pPr>
        <w:ind w:left="720" w:hanging="360"/>
      </w:pPr>
      <w:rPr>
        <w:rFonts w:ascii="Wingdings" w:hAnsi="Wingdings" w:hint="default"/>
        <w:color w:val="A6A6A6" w:themeColor="background1" w:themeShade="A6"/>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5" w15:restartNumberingAfterBreak="0">
    <w:nsid w:val="5B0F2AD3"/>
    <w:multiLevelType w:val="hybridMultilevel"/>
    <w:tmpl w:val="DA42BA5C"/>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6" w15:restartNumberingAfterBreak="0">
    <w:nsid w:val="5BE763EB"/>
    <w:multiLevelType w:val="hybridMultilevel"/>
    <w:tmpl w:val="10DAC6E8"/>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87" w15:restartNumberingAfterBreak="0">
    <w:nsid w:val="5BFE5AAD"/>
    <w:multiLevelType w:val="hybridMultilevel"/>
    <w:tmpl w:val="E5F80C08"/>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8" w15:restartNumberingAfterBreak="0">
    <w:nsid w:val="5CAB4616"/>
    <w:multiLevelType w:val="hybridMultilevel"/>
    <w:tmpl w:val="1F4CFF2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9" w15:restartNumberingAfterBreak="0">
    <w:nsid w:val="5CD6468A"/>
    <w:multiLevelType w:val="hybridMultilevel"/>
    <w:tmpl w:val="C4021AF4"/>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90" w15:restartNumberingAfterBreak="0">
    <w:nsid w:val="5DBD5A05"/>
    <w:multiLevelType w:val="hybridMultilevel"/>
    <w:tmpl w:val="0DC0FA74"/>
    <w:lvl w:ilvl="0" w:tplc="58C4C9B6">
      <w:start w:val="2"/>
      <w:numFmt w:val="low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1" w15:restartNumberingAfterBreak="0">
    <w:nsid w:val="5E5B1A29"/>
    <w:multiLevelType w:val="hybridMultilevel"/>
    <w:tmpl w:val="A204E28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2" w15:restartNumberingAfterBreak="0">
    <w:nsid w:val="5E6A410F"/>
    <w:multiLevelType w:val="hybridMultilevel"/>
    <w:tmpl w:val="4380D55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3" w15:restartNumberingAfterBreak="0">
    <w:nsid w:val="5E8C77CC"/>
    <w:multiLevelType w:val="hybridMultilevel"/>
    <w:tmpl w:val="B1883DA4"/>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4" w15:restartNumberingAfterBreak="0">
    <w:nsid w:val="5EB76F69"/>
    <w:multiLevelType w:val="hybridMultilevel"/>
    <w:tmpl w:val="9A3EBFC2"/>
    <w:lvl w:ilvl="0" w:tplc="241A0017">
      <w:start w:val="1"/>
      <w:numFmt w:val="lowerLetter"/>
      <w:lvlText w:val="%1)"/>
      <w:lvlJc w:val="lef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295" w15:restartNumberingAfterBreak="0">
    <w:nsid w:val="5EE544EA"/>
    <w:multiLevelType w:val="hybridMultilevel"/>
    <w:tmpl w:val="D0E6B1EA"/>
    <w:lvl w:ilvl="0" w:tplc="13061700">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6" w15:restartNumberingAfterBreak="0">
    <w:nsid w:val="6065608C"/>
    <w:multiLevelType w:val="hybridMultilevel"/>
    <w:tmpl w:val="4C6AEBB0"/>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97" w15:restartNumberingAfterBreak="0">
    <w:nsid w:val="60B83F73"/>
    <w:multiLevelType w:val="hybridMultilevel"/>
    <w:tmpl w:val="E0D86D1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8" w15:restartNumberingAfterBreak="0">
    <w:nsid w:val="60E75424"/>
    <w:multiLevelType w:val="hybridMultilevel"/>
    <w:tmpl w:val="D0D2BC5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9" w15:restartNumberingAfterBreak="0">
    <w:nsid w:val="6167011E"/>
    <w:multiLevelType w:val="hybridMultilevel"/>
    <w:tmpl w:val="09A0886C"/>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00" w15:restartNumberingAfterBreak="0">
    <w:nsid w:val="61AD01F7"/>
    <w:multiLevelType w:val="hybridMultilevel"/>
    <w:tmpl w:val="50901D7E"/>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01" w15:restartNumberingAfterBreak="0">
    <w:nsid w:val="61BC36A4"/>
    <w:multiLevelType w:val="hybridMultilevel"/>
    <w:tmpl w:val="2B3016F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2" w15:restartNumberingAfterBreak="0">
    <w:nsid w:val="61EA0826"/>
    <w:multiLevelType w:val="hybridMultilevel"/>
    <w:tmpl w:val="6F60287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3" w15:restartNumberingAfterBreak="0">
    <w:nsid w:val="626759F1"/>
    <w:multiLevelType w:val="hybridMultilevel"/>
    <w:tmpl w:val="8438BC84"/>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4" w15:restartNumberingAfterBreak="0">
    <w:nsid w:val="62C615F5"/>
    <w:multiLevelType w:val="hybridMultilevel"/>
    <w:tmpl w:val="574A491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5" w15:restartNumberingAfterBreak="0">
    <w:nsid w:val="63046280"/>
    <w:multiLevelType w:val="hybridMultilevel"/>
    <w:tmpl w:val="27507DA6"/>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6" w15:restartNumberingAfterBreak="0">
    <w:nsid w:val="637A7EBA"/>
    <w:multiLevelType w:val="hybridMultilevel"/>
    <w:tmpl w:val="94002D76"/>
    <w:lvl w:ilvl="0" w:tplc="5E322CD0">
      <w:start w:val="1"/>
      <w:numFmt w:val="low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7" w15:restartNumberingAfterBreak="0">
    <w:nsid w:val="643C0ED5"/>
    <w:multiLevelType w:val="hybridMultilevel"/>
    <w:tmpl w:val="55FE77C8"/>
    <w:lvl w:ilvl="0" w:tplc="10EA2D80">
      <w:start w:val="1"/>
      <w:numFmt w:val="lowerRoman"/>
      <w:lvlText w:val="%1."/>
      <w:lvlJc w:val="righ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08" w15:restartNumberingAfterBreak="0">
    <w:nsid w:val="644C7632"/>
    <w:multiLevelType w:val="hybridMultilevel"/>
    <w:tmpl w:val="48428256"/>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9" w15:restartNumberingAfterBreak="0">
    <w:nsid w:val="64AB47FE"/>
    <w:multiLevelType w:val="hybridMultilevel"/>
    <w:tmpl w:val="59048BE6"/>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0" w15:restartNumberingAfterBreak="0">
    <w:nsid w:val="64FB318C"/>
    <w:multiLevelType w:val="hybridMultilevel"/>
    <w:tmpl w:val="1442AC06"/>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1" w15:restartNumberingAfterBreak="0">
    <w:nsid w:val="674F7CCA"/>
    <w:multiLevelType w:val="hybridMultilevel"/>
    <w:tmpl w:val="2DCEC17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2" w15:restartNumberingAfterBreak="0">
    <w:nsid w:val="67614EA7"/>
    <w:multiLevelType w:val="hybridMultilevel"/>
    <w:tmpl w:val="3662BEE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3" w15:restartNumberingAfterBreak="0">
    <w:nsid w:val="67F977A7"/>
    <w:multiLevelType w:val="hybridMultilevel"/>
    <w:tmpl w:val="456E1D9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4" w15:restartNumberingAfterBreak="0">
    <w:nsid w:val="68000B30"/>
    <w:multiLevelType w:val="hybridMultilevel"/>
    <w:tmpl w:val="0B841B58"/>
    <w:lvl w:ilvl="0" w:tplc="B7F8329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5" w15:restartNumberingAfterBreak="0">
    <w:nsid w:val="680561C1"/>
    <w:multiLevelType w:val="hybridMultilevel"/>
    <w:tmpl w:val="65643CCC"/>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16" w15:restartNumberingAfterBreak="0">
    <w:nsid w:val="68154398"/>
    <w:multiLevelType w:val="hybridMultilevel"/>
    <w:tmpl w:val="9B128D26"/>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17" w15:restartNumberingAfterBreak="0">
    <w:nsid w:val="68363CBB"/>
    <w:multiLevelType w:val="hybridMultilevel"/>
    <w:tmpl w:val="414E9708"/>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18" w15:restartNumberingAfterBreak="0">
    <w:nsid w:val="68BB25CA"/>
    <w:multiLevelType w:val="hybridMultilevel"/>
    <w:tmpl w:val="F8FED7C2"/>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9" w15:restartNumberingAfterBreak="0">
    <w:nsid w:val="68FA0E8C"/>
    <w:multiLevelType w:val="hybridMultilevel"/>
    <w:tmpl w:val="922E5E96"/>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0" w15:restartNumberingAfterBreak="0">
    <w:nsid w:val="69401B9F"/>
    <w:multiLevelType w:val="hybridMultilevel"/>
    <w:tmpl w:val="C7D48882"/>
    <w:lvl w:ilvl="0" w:tplc="241A0017">
      <w:start w:val="1"/>
      <w:numFmt w:val="lowerLetter"/>
      <w:lvlText w:val="%1)"/>
      <w:lvlJc w:val="lef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21" w15:restartNumberingAfterBreak="0">
    <w:nsid w:val="69633922"/>
    <w:multiLevelType w:val="hybridMultilevel"/>
    <w:tmpl w:val="5E5C6F18"/>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2" w15:restartNumberingAfterBreak="0">
    <w:nsid w:val="6B7542FD"/>
    <w:multiLevelType w:val="hybridMultilevel"/>
    <w:tmpl w:val="3606DD4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3" w15:restartNumberingAfterBreak="0">
    <w:nsid w:val="6B851F06"/>
    <w:multiLevelType w:val="hybridMultilevel"/>
    <w:tmpl w:val="C188F408"/>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4" w15:restartNumberingAfterBreak="0">
    <w:nsid w:val="6B9868CF"/>
    <w:multiLevelType w:val="hybridMultilevel"/>
    <w:tmpl w:val="7A66016C"/>
    <w:lvl w:ilvl="0" w:tplc="D960BC8C">
      <w:start w:val="1"/>
      <w:numFmt w:val="lowerRoman"/>
      <w:lvlText w:val="%1."/>
      <w:lvlJc w:val="righ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25" w15:restartNumberingAfterBreak="0">
    <w:nsid w:val="6BB30782"/>
    <w:multiLevelType w:val="hybridMultilevel"/>
    <w:tmpl w:val="004E2C0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6" w15:restartNumberingAfterBreak="0">
    <w:nsid w:val="6BF13AE1"/>
    <w:multiLevelType w:val="hybridMultilevel"/>
    <w:tmpl w:val="102CD4B4"/>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7" w15:restartNumberingAfterBreak="0">
    <w:nsid w:val="6CE61061"/>
    <w:multiLevelType w:val="hybridMultilevel"/>
    <w:tmpl w:val="BE0C5228"/>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8" w15:restartNumberingAfterBreak="0">
    <w:nsid w:val="6D1623B8"/>
    <w:multiLevelType w:val="hybridMultilevel"/>
    <w:tmpl w:val="361421A2"/>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9" w15:restartNumberingAfterBreak="0">
    <w:nsid w:val="6D5648A8"/>
    <w:multiLevelType w:val="hybridMultilevel"/>
    <w:tmpl w:val="B1B4C74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0" w15:restartNumberingAfterBreak="0">
    <w:nsid w:val="6DCC7EB6"/>
    <w:multiLevelType w:val="hybridMultilevel"/>
    <w:tmpl w:val="80EC7E56"/>
    <w:lvl w:ilvl="0" w:tplc="04090011">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1" w15:restartNumberingAfterBreak="0">
    <w:nsid w:val="6DE658E3"/>
    <w:multiLevelType w:val="hybridMultilevel"/>
    <w:tmpl w:val="93268854"/>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32" w15:restartNumberingAfterBreak="0">
    <w:nsid w:val="6DEA7FF3"/>
    <w:multiLevelType w:val="hybridMultilevel"/>
    <w:tmpl w:val="C13245F6"/>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3" w15:restartNumberingAfterBreak="0">
    <w:nsid w:val="6E1E478F"/>
    <w:multiLevelType w:val="hybridMultilevel"/>
    <w:tmpl w:val="07F6A30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4" w15:restartNumberingAfterBreak="0">
    <w:nsid w:val="6E4C1659"/>
    <w:multiLevelType w:val="hybridMultilevel"/>
    <w:tmpl w:val="0B02A8D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5" w15:restartNumberingAfterBreak="0">
    <w:nsid w:val="6F902533"/>
    <w:multiLevelType w:val="hybridMultilevel"/>
    <w:tmpl w:val="BFE8DE5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6" w15:restartNumberingAfterBreak="0">
    <w:nsid w:val="6FB37FBF"/>
    <w:multiLevelType w:val="hybridMultilevel"/>
    <w:tmpl w:val="DD5801F4"/>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37" w15:restartNumberingAfterBreak="0">
    <w:nsid w:val="6FC52EEA"/>
    <w:multiLevelType w:val="hybridMultilevel"/>
    <w:tmpl w:val="E7FC4FD0"/>
    <w:lvl w:ilvl="0" w:tplc="0409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8" w15:restartNumberingAfterBreak="0">
    <w:nsid w:val="6FFD07F1"/>
    <w:multiLevelType w:val="hybridMultilevel"/>
    <w:tmpl w:val="7D6AEE14"/>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39" w15:restartNumberingAfterBreak="0">
    <w:nsid w:val="7035737E"/>
    <w:multiLevelType w:val="hybridMultilevel"/>
    <w:tmpl w:val="096CD6F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0" w15:restartNumberingAfterBreak="0">
    <w:nsid w:val="71B44800"/>
    <w:multiLevelType w:val="hybridMultilevel"/>
    <w:tmpl w:val="B4E2E28C"/>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41" w15:restartNumberingAfterBreak="0">
    <w:nsid w:val="72267E23"/>
    <w:multiLevelType w:val="hybridMultilevel"/>
    <w:tmpl w:val="9C422AE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2" w15:restartNumberingAfterBreak="0">
    <w:nsid w:val="723367C8"/>
    <w:multiLevelType w:val="hybridMultilevel"/>
    <w:tmpl w:val="76F0585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3" w15:restartNumberingAfterBreak="0">
    <w:nsid w:val="72487A1D"/>
    <w:multiLevelType w:val="hybridMultilevel"/>
    <w:tmpl w:val="CC2C3FD8"/>
    <w:lvl w:ilvl="0" w:tplc="5CE4ED2C">
      <w:start w:val="1"/>
      <w:numFmt w:val="bullet"/>
      <w:lvlText w:val=""/>
      <w:lvlJc w:val="left"/>
      <w:pPr>
        <w:ind w:left="1211"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4" w15:restartNumberingAfterBreak="0">
    <w:nsid w:val="72545697"/>
    <w:multiLevelType w:val="hybridMultilevel"/>
    <w:tmpl w:val="CF2A0136"/>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5" w15:restartNumberingAfterBreak="0">
    <w:nsid w:val="728F1755"/>
    <w:multiLevelType w:val="hybridMultilevel"/>
    <w:tmpl w:val="C0145374"/>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6" w15:restartNumberingAfterBreak="0">
    <w:nsid w:val="72F60F68"/>
    <w:multiLevelType w:val="hybridMultilevel"/>
    <w:tmpl w:val="808264DA"/>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47" w15:restartNumberingAfterBreak="0">
    <w:nsid w:val="730725C0"/>
    <w:multiLevelType w:val="hybridMultilevel"/>
    <w:tmpl w:val="D160F1B2"/>
    <w:lvl w:ilvl="0" w:tplc="2BE8C9F0">
      <w:start w:val="1"/>
      <w:numFmt w:val="lowerRoman"/>
      <w:lvlText w:val="%1."/>
      <w:lvlJc w:val="righ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48" w15:restartNumberingAfterBreak="0">
    <w:nsid w:val="73402367"/>
    <w:multiLevelType w:val="hybridMultilevel"/>
    <w:tmpl w:val="BADC3B0C"/>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49" w15:restartNumberingAfterBreak="0">
    <w:nsid w:val="73990CF5"/>
    <w:multiLevelType w:val="hybridMultilevel"/>
    <w:tmpl w:val="7C8C91F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0" w15:restartNumberingAfterBreak="0">
    <w:nsid w:val="74547A45"/>
    <w:multiLevelType w:val="hybridMultilevel"/>
    <w:tmpl w:val="38349B6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1" w15:restartNumberingAfterBreak="0">
    <w:nsid w:val="745E7F30"/>
    <w:multiLevelType w:val="hybridMultilevel"/>
    <w:tmpl w:val="5A12CA3A"/>
    <w:lvl w:ilvl="0" w:tplc="1130C10C">
      <w:start w:val="1"/>
      <w:numFmt w:val="lowerRoman"/>
      <w:lvlText w:val="%1."/>
      <w:lvlJc w:val="righ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52" w15:restartNumberingAfterBreak="0">
    <w:nsid w:val="74A64F4E"/>
    <w:multiLevelType w:val="hybridMultilevel"/>
    <w:tmpl w:val="4C90C47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3" w15:restartNumberingAfterBreak="0">
    <w:nsid w:val="74D969A2"/>
    <w:multiLevelType w:val="hybridMultilevel"/>
    <w:tmpl w:val="92CE4E36"/>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54" w15:restartNumberingAfterBreak="0">
    <w:nsid w:val="75BC03E9"/>
    <w:multiLevelType w:val="hybridMultilevel"/>
    <w:tmpl w:val="6B8650D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5" w15:restartNumberingAfterBreak="0">
    <w:nsid w:val="76060EED"/>
    <w:multiLevelType w:val="hybridMultilevel"/>
    <w:tmpl w:val="31CCEF0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6" w15:restartNumberingAfterBreak="0">
    <w:nsid w:val="76475403"/>
    <w:multiLevelType w:val="hybridMultilevel"/>
    <w:tmpl w:val="4AF6162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7" w15:restartNumberingAfterBreak="0">
    <w:nsid w:val="764D3C0E"/>
    <w:multiLevelType w:val="hybridMultilevel"/>
    <w:tmpl w:val="7FAA3D56"/>
    <w:lvl w:ilvl="0" w:tplc="241A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58" w15:restartNumberingAfterBreak="0">
    <w:nsid w:val="771C3C3E"/>
    <w:multiLevelType w:val="hybridMultilevel"/>
    <w:tmpl w:val="9E7EBD12"/>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9" w15:restartNumberingAfterBreak="0">
    <w:nsid w:val="777B6EEA"/>
    <w:multiLevelType w:val="hybridMultilevel"/>
    <w:tmpl w:val="D0A6EBC8"/>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0" w15:restartNumberingAfterBreak="0">
    <w:nsid w:val="779B3E40"/>
    <w:multiLevelType w:val="hybridMultilevel"/>
    <w:tmpl w:val="CAE2F9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1" w15:restartNumberingAfterBreak="0">
    <w:nsid w:val="77F54AED"/>
    <w:multiLevelType w:val="hybridMultilevel"/>
    <w:tmpl w:val="676E6D7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2" w15:restartNumberingAfterBreak="0">
    <w:nsid w:val="7807003E"/>
    <w:multiLevelType w:val="hybridMultilevel"/>
    <w:tmpl w:val="3ACE7C96"/>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3" w15:restartNumberingAfterBreak="0">
    <w:nsid w:val="7891365D"/>
    <w:multiLevelType w:val="hybridMultilevel"/>
    <w:tmpl w:val="1546A042"/>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4" w15:restartNumberingAfterBreak="0">
    <w:nsid w:val="79904D95"/>
    <w:multiLevelType w:val="hybridMultilevel"/>
    <w:tmpl w:val="FF2AA940"/>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5" w15:restartNumberingAfterBreak="0">
    <w:nsid w:val="799776BF"/>
    <w:multiLevelType w:val="hybridMultilevel"/>
    <w:tmpl w:val="ADEE17E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6" w15:restartNumberingAfterBreak="0">
    <w:nsid w:val="79A577E7"/>
    <w:multiLevelType w:val="hybridMultilevel"/>
    <w:tmpl w:val="4C8E649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7" w15:restartNumberingAfterBreak="0">
    <w:nsid w:val="7A1C6450"/>
    <w:multiLevelType w:val="hybridMultilevel"/>
    <w:tmpl w:val="3BDE3B9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8" w15:restartNumberingAfterBreak="0">
    <w:nsid w:val="7A997FC1"/>
    <w:multiLevelType w:val="hybridMultilevel"/>
    <w:tmpl w:val="B9FEEA0A"/>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69" w15:restartNumberingAfterBreak="0">
    <w:nsid w:val="7B2D3CE3"/>
    <w:multiLevelType w:val="hybridMultilevel"/>
    <w:tmpl w:val="1D106EDC"/>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0" w15:restartNumberingAfterBreak="0">
    <w:nsid w:val="7BCF7C1C"/>
    <w:multiLevelType w:val="hybridMultilevel"/>
    <w:tmpl w:val="31F6377A"/>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1" w15:restartNumberingAfterBreak="0">
    <w:nsid w:val="7C3B37B8"/>
    <w:multiLevelType w:val="hybridMultilevel"/>
    <w:tmpl w:val="BA3074C8"/>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2" w15:restartNumberingAfterBreak="0">
    <w:nsid w:val="7C517BDD"/>
    <w:multiLevelType w:val="hybridMultilevel"/>
    <w:tmpl w:val="B5EC9554"/>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3" w15:restartNumberingAfterBreak="0">
    <w:nsid w:val="7C540446"/>
    <w:multiLevelType w:val="hybridMultilevel"/>
    <w:tmpl w:val="43CC64E4"/>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4" w15:restartNumberingAfterBreak="0">
    <w:nsid w:val="7C867820"/>
    <w:multiLevelType w:val="hybridMultilevel"/>
    <w:tmpl w:val="46DCF9A8"/>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5" w15:restartNumberingAfterBreak="0">
    <w:nsid w:val="7CDE26AB"/>
    <w:multiLevelType w:val="hybridMultilevel"/>
    <w:tmpl w:val="4300B4E2"/>
    <w:lvl w:ilvl="0" w:tplc="4B927AE4">
      <w:start w:val="1"/>
      <w:numFmt w:val="lowerRoman"/>
      <w:lvlText w:val="%1."/>
      <w:lvlJc w:val="righ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76" w15:restartNumberingAfterBreak="0">
    <w:nsid w:val="7CE81A51"/>
    <w:multiLevelType w:val="hybridMultilevel"/>
    <w:tmpl w:val="AF40DBA8"/>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77" w15:restartNumberingAfterBreak="0">
    <w:nsid w:val="7D6B3B27"/>
    <w:multiLevelType w:val="hybridMultilevel"/>
    <w:tmpl w:val="052A95A6"/>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8" w15:restartNumberingAfterBreak="0">
    <w:nsid w:val="7DD23E80"/>
    <w:multiLevelType w:val="hybridMultilevel"/>
    <w:tmpl w:val="F8CC4C96"/>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9" w15:restartNumberingAfterBreak="0">
    <w:nsid w:val="7E5608EF"/>
    <w:multiLevelType w:val="hybridMultilevel"/>
    <w:tmpl w:val="5D68B30E"/>
    <w:lvl w:ilvl="0" w:tplc="5CE4ED2C">
      <w:start w:val="1"/>
      <w:numFmt w:val="bullet"/>
      <w:lvlText w:val=""/>
      <w:lvlJc w:val="left"/>
      <w:pPr>
        <w:ind w:left="720" w:hanging="360"/>
      </w:pPr>
      <w:rPr>
        <w:rFonts w:ascii="Wingdings" w:hAnsi="Wingdings" w:hint="default"/>
        <w:color w:val="01406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0" w15:restartNumberingAfterBreak="0">
    <w:nsid w:val="7EC050D1"/>
    <w:multiLevelType w:val="hybridMultilevel"/>
    <w:tmpl w:val="76E22B86"/>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81" w15:restartNumberingAfterBreak="0">
    <w:nsid w:val="7F483DB0"/>
    <w:multiLevelType w:val="hybridMultilevel"/>
    <w:tmpl w:val="0AD62CB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2" w15:restartNumberingAfterBreak="0">
    <w:nsid w:val="7F744C10"/>
    <w:multiLevelType w:val="hybridMultilevel"/>
    <w:tmpl w:val="7F56A744"/>
    <w:lvl w:ilvl="0" w:tplc="5CE4ED2C">
      <w:start w:val="1"/>
      <w:numFmt w:val="bullet"/>
      <w:lvlText w:val=""/>
      <w:lvlJc w:val="left"/>
      <w:pPr>
        <w:ind w:left="720" w:hanging="360"/>
      </w:pPr>
      <w:rPr>
        <w:rFonts w:ascii="Wingdings" w:hAnsi="Wingdings" w:hint="default"/>
        <w:color w:val="01406B"/>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num w:numId="1" w16cid:durableId="2024747934">
    <w:abstractNumId w:val="2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977253239">
    <w:abstractNumId w:val="71"/>
  </w:num>
  <w:num w:numId="3" w16cid:durableId="1864052297">
    <w:abstractNumId w:val="209"/>
  </w:num>
  <w:num w:numId="4" w16cid:durableId="1313676626">
    <w:abstractNumId w:val="39"/>
  </w:num>
  <w:num w:numId="5" w16cid:durableId="2126074092">
    <w:abstractNumId w:val="204"/>
  </w:num>
  <w:num w:numId="6" w16cid:durableId="263995921">
    <w:abstractNumId w:val="93"/>
  </w:num>
  <w:num w:numId="7" w16cid:durableId="1767729192">
    <w:abstractNumId w:val="176"/>
  </w:num>
  <w:num w:numId="8" w16cid:durableId="1504970486">
    <w:abstractNumId w:val="312"/>
  </w:num>
  <w:num w:numId="9" w16cid:durableId="850686966">
    <w:abstractNumId w:val="288"/>
  </w:num>
  <w:num w:numId="10" w16cid:durableId="372314979">
    <w:abstractNumId w:val="228"/>
  </w:num>
  <w:num w:numId="11" w16cid:durableId="1085809763">
    <w:abstractNumId w:val="1"/>
  </w:num>
  <w:num w:numId="12" w16cid:durableId="1961764368">
    <w:abstractNumId w:val="165"/>
  </w:num>
  <w:num w:numId="13" w16cid:durableId="894967129">
    <w:abstractNumId w:val="199"/>
  </w:num>
  <w:num w:numId="14" w16cid:durableId="472724095">
    <w:abstractNumId w:val="85"/>
  </w:num>
  <w:num w:numId="15" w16cid:durableId="705181098">
    <w:abstractNumId w:val="162"/>
  </w:num>
  <w:num w:numId="16" w16cid:durableId="543056169">
    <w:abstractNumId w:val="291"/>
  </w:num>
  <w:num w:numId="17" w16cid:durableId="685906554">
    <w:abstractNumId w:val="193"/>
  </w:num>
  <w:num w:numId="18" w16cid:durableId="575869081">
    <w:abstractNumId w:val="240"/>
  </w:num>
  <w:num w:numId="19" w16cid:durableId="2110273208">
    <w:abstractNumId w:val="110"/>
  </w:num>
  <w:num w:numId="20" w16cid:durableId="1332180624">
    <w:abstractNumId w:val="305"/>
  </w:num>
  <w:num w:numId="21" w16cid:durableId="1025398208">
    <w:abstractNumId w:val="275"/>
  </w:num>
  <w:num w:numId="22" w16cid:durableId="1075515893">
    <w:abstractNumId w:val="206"/>
  </w:num>
  <w:num w:numId="23" w16cid:durableId="66660536">
    <w:abstractNumId w:val="41"/>
  </w:num>
  <w:num w:numId="24" w16cid:durableId="1127088902">
    <w:abstractNumId w:val="66"/>
  </w:num>
  <w:num w:numId="25" w16cid:durableId="472186986">
    <w:abstractNumId w:val="343"/>
  </w:num>
  <w:num w:numId="26" w16cid:durableId="445738343">
    <w:abstractNumId w:val="366"/>
  </w:num>
  <w:num w:numId="27" w16cid:durableId="157966349">
    <w:abstractNumId w:val="156"/>
  </w:num>
  <w:num w:numId="28" w16cid:durableId="294920302">
    <w:abstractNumId w:val="287"/>
  </w:num>
  <w:num w:numId="29" w16cid:durableId="1836217158">
    <w:abstractNumId w:val="272"/>
  </w:num>
  <w:num w:numId="30" w16cid:durableId="574970914">
    <w:abstractNumId w:val="167"/>
  </w:num>
  <w:num w:numId="31" w16cid:durableId="1652903857">
    <w:abstractNumId w:val="8"/>
  </w:num>
  <w:num w:numId="32" w16cid:durableId="986593072">
    <w:abstractNumId w:val="248"/>
  </w:num>
  <w:num w:numId="33" w16cid:durableId="2140217870">
    <w:abstractNumId w:val="235"/>
  </w:num>
  <w:num w:numId="34" w16cid:durableId="1785298303">
    <w:abstractNumId w:val="185"/>
  </w:num>
  <w:num w:numId="35" w16cid:durableId="1771853922">
    <w:abstractNumId w:val="108"/>
  </w:num>
  <w:num w:numId="36" w16cid:durableId="2082756390">
    <w:abstractNumId w:val="63"/>
  </w:num>
  <w:num w:numId="37" w16cid:durableId="579558765">
    <w:abstractNumId w:val="350"/>
  </w:num>
  <w:num w:numId="38" w16cid:durableId="1873377944">
    <w:abstractNumId w:val="259"/>
  </w:num>
  <w:num w:numId="39" w16cid:durableId="1642224831">
    <w:abstractNumId w:val="9"/>
  </w:num>
  <w:num w:numId="40" w16cid:durableId="1656907341">
    <w:abstractNumId w:val="278"/>
  </w:num>
  <w:num w:numId="41" w16cid:durableId="1719165761">
    <w:abstractNumId w:val="103"/>
  </w:num>
  <w:num w:numId="42" w16cid:durableId="418528080">
    <w:abstractNumId w:val="112"/>
  </w:num>
  <w:num w:numId="43" w16cid:durableId="23212314">
    <w:abstractNumId w:val="328"/>
  </w:num>
  <w:num w:numId="44" w16cid:durableId="301741154">
    <w:abstractNumId w:val="363"/>
  </w:num>
  <w:num w:numId="45" w16cid:durableId="1459373040">
    <w:abstractNumId w:val="271"/>
  </w:num>
  <w:num w:numId="46" w16cid:durableId="322704755">
    <w:abstractNumId w:val="377"/>
  </w:num>
  <w:num w:numId="47" w16cid:durableId="18168058">
    <w:abstractNumId w:val="254"/>
  </w:num>
  <w:num w:numId="48" w16cid:durableId="699473725">
    <w:abstractNumId w:val="170"/>
  </w:num>
  <w:num w:numId="49" w16cid:durableId="1023095065">
    <w:abstractNumId w:val="273"/>
  </w:num>
  <w:num w:numId="50" w16cid:durableId="4094487">
    <w:abstractNumId w:val="303"/>
  </w:num>
  <w:num w:numId="51" w16cid:durableId="1933778763">
    <w:abstractNumId w:val="74"/>
  </w:num>
  <w:num w:numId="52" w16cid:durableId="190730252">
    <w:abstractNumId w:val="169"/>
  </w:num>
  <w:num w:numId="53" w16cid:durableId="2024014701">
    <w:abstractNumId w:val="6"/>
  </w:num>
  <w:num w:numId="54" w16cid:durableId="1831750777">
    <w:abstractNumId w:val="325"/>
  </w:num>
  <w:num w:numId="55" w16cid:durableId="1822845395">
    <w:abstractNumId w:val="79"/>
  </w:num>
  <w:num w:numId="56" w16cid:durableId="389620080">
    <w:abstractNumId w:val="35"/>
  </w:num>
  <w:num w:numId="57" w16cid:durableId="1054894152">
    <w:abstractNumId w:val="232"/>
  </w:num>
  <w:num w:numId="58" w16cid:durableId="177812252">
    <w:abstractNumId w:val="42"/>
  </w:num>
  <w:num w:numId="59" w16cid:durableId="161286617">
    <w:abstractNumId w:val="323"/>
  </w:num>
  <w:num w:numId="60" w16cid:durableId="730008412">
    <w:abstractNumId w:val="25"/>
  </w:num>
  <w:num w:numId="61" w16cid:durableId="1405881122">
    <w:abstractNumId w:val="250"/>
  </w:num>
  <w:num w:numId="62" w16cid:durableId="2147161304">
    <w:abstractNumId w:val="177"/>
  </w:num>
  <w:num w:numId="63" w16cid:durableId="1275428">
    <w:abstractNumId w:val="62"/>
  </w:num>
  <w:num w:numId="64" w16cid:durableId="526479590">
    <w:abstractNumId w:val="292"/>
  </w:num>
  <w:num w:numId="65" w16cid:durableId="1804687276">
    <w:abstractNumId w:val="205"/>
  </w:num>
  <w:num w:numId="66" w16cid:durableId="1194344257">
    <w:abstractNumId w:val="73"/>
  </w:num>
  <w:num w:numId="67" w16cid:durableId="1967196911">
    <w:abstractNumId w:val="126"/>
  </w:num>
  <w:num w:numId="68" w16cid:durableId="1979608669">
    <w:abstractNumId w:val="349"/>
  </w:num>
  <w:num w:numId="69" w16cid:durableId="791367607">
    <w:abstractNumId w:val="101"/>
  </w:num>
  <w:num w:numId="70" w16cid:durableId="212272286">
    <w:abstractNumId w:val="24"/>
  </w:num>
  <w:num w:numId="71" w16cid:durableId="1058825980">
    <w:abstractNumId w:val="172"/>
  </w:num>
  <w:num w:numId="72" w16cid:durableId="650520928">
    <w:abstractNumId w:val="59"/>
  </w:num>
  <w:num w:numId="73" w16cid:durableId="940379313">
    <w:abstractNumId w:val="243"/>
  </w:num>
  <w:num w:numId="74" w16cid:durableId="11342775">
    <w:abstractNumId w:val="321"/>
  </w:num>
  <w:num w:numId="75" w16cid:durableId="1270048297">
    <w:abstractNumId w:val="261"/>
  </w:num>
  <w:num w:numId="76" w16cid:durableId="2066878642">
    <w:abstractNumId w:val="11"/>
  </w:num>
  <w:num w:numId="77" w16cid:durableId="794836610">
    <w:abstractNumId w:val="188"/>
  </w:num>
  <w:num w:numId="78" w16cid:durableId="738788346">
    <w:abstractNumId w:val="54"/>
  </w:num>
  <w:num w:numId="79" w16cid:durableId="8410748">
    <w:abstractNumId w:val="281"/>
  </w:num>
  <w:num w:numId="80" w16cid:durableId="435515399">
    <w:abstractNumId w:val="263"/>
  </w:num>
  <w:num w:numId="81" w16cid:durableId="431122806">
    <w:abstractNumId w:val="183"/>
  </w:num>
  <w:num w:numId="82" w16cid:durableId="966934785">
    <w:abstractNumId w:val="16"/>
  </w:num>
  <w:num w:numId="83" w16cid:durableId="742948681">
    <w:abstractNumId w:val="194"/>
  </w:num>
  <w:num w:numId="84" w16cid:durableId="712995387">
    <w:abstractNumId w:val="245"/>
  </w:num>
  <w:num w:numId="85" w16cid:durableId="672144559">
    <w:abstractNumId w:val="28"/>
  </w:num>
  <w:num w:numId="86" w16cid:durableId="1177041904">
    <w:abstractNumId w:val="80"/>
  </w:num>
  <w:num w:numId="87" w16cid:durableId="918709742">
    <w:abstractNumId w:val="333"/>
  </w:num>
  <w:num w:numId="88" w16cid:durableId="1457260987">
    <w:abstractNumId w:val="47"/>
  </w:num>
  <w:num w:numId="89" w16cid:durableId="1918054505">
    <w:abstractNumId w:val="164"/>
  </w:num>
  <w:num w:numId="90" w16cid:durableId="1516651547">
    <w:abstractNumId w:val="163"/>
  </w:num>
  <w:num w:numId="91" w16cid:durableId="720255380">
    <w:abstractNumId w:val="12"/>
  </w:num>
  <w:num w:numId="92" w16cid:durableId="2000184812">
    <w:abstractNumId w:val="230"/>
  </w:num>
  <w:num w:numId="93" w16cid:durableId="1003045152">
    <w:abstractNumId w:val="318"/>
  </w:num>
  <w:num w:numId="94" w16cid:durableId="1062290641">
    <w:abstractNumId w:val="22"/>
  </w:num>
  <w:num w:numId="95" w16cid:durableId="255601134">
    <w:abstractNumId w:val="65"/>
  </w:num>
  <w:num w:numId="96" w16cid:durableId="1571233038">
    <w:abstractNumId w:val="173"/>
  </w:num>
  <w:num w:numId="97" w16cid:durableId="1237516347">
    <w:abstractNumId w:val="129"/>
  </w:num>
  <w:num w:numId="98" w16cid:durableId="1156922370">
    <w:abstractNumId w:val="57"/>
  </w:num>
  <w:num w:numId="99" w16cid:durableId="918750841">
    <w:abstractNumId w:val="139"/>
  </w:num>
  <w:num w:numId="100" w16cid:durableId="1603680618">
    <w:abstractNumId w:val="249"/>
  </w:num>
  <w:num w:numId="101" w16cid:durableId="776216856">
    <w:abstractNumId w:val="258"/>
  </w:num>
  <w:num w:numId="102" w16cid:durableId="1858541431">
    <w:abstractNumId w:val="43"/>
  </w:num>
  <w:num w:numId="103" w16cid:durableId="651450392">
    <w:abstractNumId w:val="304"/>
  </w:num>
  <w:num w:numId="104" w16cid:durableId="684987480">
    <w:abstractNumId w:val="50"/>
  </w:num>
  <w:num w:numId="105" w16cid:durableId="38669952">
    <w:abstractNumId w:val="339"/>
  </w:num>
  <w:num w:numId="106" w16cid:durableId="628323005">
    <w:abstractNumId w:val="187"/>
  </w:num>
  <w:num w:numId="107" w16cid:durableId="698703821">
    <w:abstractNumId w:val="2"/>
  </w:num>
  <w:num w:numId="108" w16cid:durableId="1379277801">
    <w:abstractNumId w:val="200"/>
  </w:num>
  <w:num w:numId="109" w16cid:durableId="923801848">
    <w:abstractNumId w:val="141"/>
  </w:num>
  <w:num w:numId="110" w16cid:durableId="71783457">
    <w:abstractNumId w:val="266"/>
  </w:num>
  <w:num w:numId="111" w16cid:durableId="1384673900">
    <w:abstractNumId w:val="219"/>
  </w:num>
  <w:num w:numId="112" w16cid:durableId="1372731244">
    <w:abstractNumId w:val="7"/>
  </w:num>
  <w:num w:numId="113" w16cid:durableId="152264057">
    <w:abstractNumId w:val="96"/>
  </w:num>
  <w:num w:numId="114" w16cid:durableId="460349039">
    <w:abstractNumId w:val="218"/>
  </w:num>
  <w:num w:numId="115" w16cid:durableId="1106579453">
    <w:abstractNumId w:val="97"/>
  </w:num>
  <w:num w:numId="116" w16cid:durableId="1452086806">
    <w:abstractNumId w:val="378"/>
  </w:num>
  <w:num w:numId="117" w16cid:durableId="561216919">
    <w:abstractNumId w:val="51"/>
  </w:num>
  <w:num w:numId="118" w16cid:durableId="1728064124">
    <w:abstractNumId w:val="87"/>
  </w:num>
  <w:num w:numId="119" w16cid:durableId="585266351">
    <w:abstractNumId w:val="332"/>
  </w:num>
  <w:num w:numId="120" w16cid:durableId="2058626991">
    <w:abstractNumId w:val="109"/>
  </w:num>
  <w:num w:numId="121" w16cid:durableId="878055256">
    <w:abstractNumId w:val="208"/>
  </w:num>
  <w:num w:numId="122" w16cid:durableId="134838917">
    <w:abstractNumId w:val="213"/>
  </w:num>
  <w:num w:numId="123" w16cid:durableId="192573115">
    <w:abstractNumId w:val="371"/>
  </w:num>
  <w:num w:numId="124" w16cid:durableId="610090197">
    <w:abstractNumId w:val="44"/>
  </w:num>
  <w:num w:numId="125" w16cid:durableId="1852911108">
    <w:abstractNumId w:val="146"/>
  </w:num>
  <w:num w:numId="126" w16cid:durableId="1400397916">
    <w:abstractNumId w:val="161"/>
  </w:num>
  <w:num w:numId="127" w16cid:durableId="847057073">
    <w:abstractNumId w:val="322"/>
  </w:num>
  <w:num w:numId="128" w16cid:durableId="411199475">
    <w:abstractNumId w:val="3"/>
  </w:num>
  <w:num w:numId="129" w16cid:durableId="2089960702">
    <w:abstractNumId w:val="132"/>
  </w:num>
  <w:num w:numId="130" w16cid:durableId="1286035601">
    <w:abstractNumId w:val="301"/>
  </w:num>
  <w:num w:numId="131" w16cid:durableId="488980649">
    <w:abstractNumId w:val="277"/>
  </w:num>
  <w:num w:numId="132" w16cid:durableId="1010067710">
    <w:abstractNumId w:val="69"/>
  </w:num>
  <w:num w:numId="133" w16cid:durableId="27800110">
    <w:abstractNumId w:val="214"/>
  </w:num>
  <w:num w:numId="134" w16cid:durableId="51344702">
    <w:abstractNumId w:val="370"/>
  </w:num>
  <w:num w:numId="135" w16cid:durableId="1766685440">
    <w:abstractNumId w:val="379"/>
  </w:num>
  <w:num w:numId="136" w16cid:durableId="812059770">
    <w:abstractNumId w:val="128"/>
  </w:num>
  <w:num w:numId="137" w16cid:durableId="1539318653">
    <w:abstractNumId w:val="107"/>
  </w:num>
  <w:num w:numId="138" w16cid:durableId="1826165754">
    <w:abstractNumId w:val="313"/>
  </w:num>
  <w:num w:numId="139" w16cid:durableId="843521537">
    <w:abstractNumId w:val="202"/>
  </w:num>
  <w:num w:numId="140" w16cid:durableId="1299266868">
    <w:abstractNumId w:val="91"/>
  </w:num>
  <w:num w:numId="141" w16cid:durableId="2079815897">
    <w:abstractNumId w:val="283"/>
  </w:num>
  <w:num w:numId="142" w16cid:durableId="1661612941">
    <w:abstractNumId w:val="227"/>
  </w:num>
  <w:num w:numId="143" w16cid:durableId="951279314">
    <w:abstractNumId w:val="329"/>
  </w:num>
  <w:num w:numId="144" w16cid:durableId="656148113">
    <w:abstractNumId w:val="260"/>
  </w:num>
  <w:num w:numId="145" w16cid:durableId="1789352908">
    <w:abstractNumId w:val="30"/>
  </w:num>
  <w:num w:numId="146" w16cid:durableId="1434402937">
    <w:abstractNumId w:val="311"/>
  </w:num>
  <w:num w:numId="147" w16cid:durableId="1420174082">
    <w:abstractNumId w:val="21"/>
  </w:num>
  <w:num w:numId="148" w16cid:durableId="907619912">
    <w:abstractNumId w:val="195"/>
  </w:num>
  <w:num w:numId="149" w16cid:durableId="894585590">
    <w:abstractNumId w:val="171"/>
  </w:num>
  <w:num w:numId="150" w16cid:durableId="1364597679">
    <w:abstractNumId w:val="40"/>
  </w:num>
  <w:num w:numId="151" w16cid:durableId="2124108180">
    <w:abstractNumId w:val="86"/>
  </w:num>
  <w:num w:numId="152" w16cid:durableId="1924726809">
    <w:abstractNumId w:val="342"/>
  </w:num>
  <w:num w:numId="153" w16cid:durableId="1002463832">
    <w:abstractNumId w:val="134"/>
  </w:num>
  <w:num w:numId="154" w16cid:durableId="911428480">
    <w:abstractNumId w:val="190"/>
  </w:num>
  <w:num w:numId="155" w16cid:durableId="43067018">
    <w:abstractNumId w:val="256"/>
  </w:num>
  <w:num w:numId="156" w16cid:durableId="1603762627">
    <w:abstractNumId w:val="136"/>
  </w:num>
  <w:num w:numId="157" w16cid:durableId="1293751821">
    <w:abstractNumId w:val="26"/>
  </w:num>
  <w:num w:numId="158" w16cid:durableId="786194143">
    <w:abstractNumId w:val="23"/>
  </w:num>
  <w:num w:numId="159" w16cid:durableId="1654214273">
    <w:abstractNumId w:val="104"/>
  </w:num>
  <w:num w:numId="160" w16cid:durableId="1113356264">
    <w:abstractNumId w:val="201"/>
  </w:num>
  <w:num w:numId="161" w16cid:durableId="224416899">
    <w:abstractNumId w:val="90"/>
  </w:num>
  <w:num w:numId="162" w16cid:durableId="50472438">
    <w:abstractNumId w:val="326"/>
  </w:num>
  <w:num w:numId="163" w16cid:durableId="1476333932">
    <w:abstractNumId w:val="344"/>
  </w:num>
  <w:num w:numId="164" w16cid:durableId="2053652309">
    <w:abstractNumId w:val="121"/>
  </w:num>
  <w:num w:numId="165" w16cid:durableId="493909523">
    <w:abstractNumId w:val="67"/>
  </w:num>
  <w:num w:numId="166" w16cid:durableId="311953802">
    <w:abstractNumId w:val="114"/>
  </w:num>
  <w:num w:numId="167" w16cid:durableId="1811315517">
    <w:abstractNumId w:val="72"/>
  </w:num>
  <w:num w:numId="168" w16cid:durableId="800342012">
    <w:abstractNumId w:val="297"/>
  </w:num>
  <w:num w:numId="169" w16cid:durableId="607009876">
    <w:abstractNumId w:val="367"/>
  </w:num>
  <w:num w:numId="170" w16cid:durableId="36394669">
    <w:abstractNumId w:val="244"/>
  </w:num>
  <w:num w:numId="171" w16cid:durableId="2142922184">
    <w:abstractNumId w:val="358"/>
  </w:num>
  <w:num w:numId="172" w16cid:durableId="1168250051">
    <w:abstractNumId w:val="229"/>
  </w:num>
  <w:num w:numId="173" w16cid:durableId="62653446">
    <w:abstractNumId w:val="237"/>
  </w:num>
  <w:num w:numId="174" w16cid:durableId="349379205">
    <w:abstractNumId w:val="127"/>
  </w:num>
  <w:num w:numId="175" w16cid:durableId="1014070941">
    <w:abstractNumId w:val="373"/>
  </w:num>
  <w:num w:numId="176" w16cid:durableId="1671984005">
    <w:abstractNumId w:val="276"/>
  </w:num>
  <w:num w:numId="177" w16cid:durableId="1410541270">
    <w:abstractNumId w:val="246"/>
  </w:num>
  <w:num w:numId="178" w16cid:durableId="1285115634">
    <w:abstractNumId w:val="334"/>
  </w:num>
  <w:num w:numId="179" w16cid:durableId="287784852">
    <w:abstractNumId w:val="189"/>
  </w:num>
  <w:num w:numId="180" w16cid:durableId="1744524188">
    <w:abstractNumId w:val="102"/>
  </w:num>
  <w:num w:numId="181" w16cid:durableId="1743142287">
    <w:abstractNumId w:val="274"/>
  </w:num>
  <w:num w:numId="182" w16cid:durableId="205259488">
    <w:abstractNumId w:val="155"/>
  </w:num>
  <w:num w:numId="183" w16cid:durableId="443228088">
    <w:abstractNumId w:val="154"/>
  </w:num>
  <w:num w:numId="184" w16cid:durableId="889146911">
    <w:abstractNumId w:val="143"/>
  </w:num>
  <w:num w:numId="185" w16cid:durableId="1084569964">
    <w:abstractNumId w:val="298"/>
  </w:num>
  <w:num w:numId="186" w16cid:durableId="319240276">
    <w:abstractNumId w:val="84"/>
  </w:num>
  <w:num w:numId="187" w16cid:durableId="277682881">
    <w:abstractNumId w:val="335"/>
  </w:num>
  <w:num w:numId="188" w16cid:durableId="166949390">
    <w:abstractNumId w:val="98"/>
  </w:num>
  <w:num w:numId="189" w16cid:durableId="286742019">
    <w:abstractNumId w:val="119"/>
  </w:num>
  <w:num w:numId="190" w16cid:durableId="1757508469">
    <w:abstractNumId w:val="374"/>
  </w:num>
  <w:num w:numId="191" w16cid:durableId="1697928902">
    <w:abstractNumId w:val="158"/>
  </w:num>
  <w:num w:numId="192" w16cid:durableId="1131509944">
    <w:abstractNumId w:val="182"/>
  </w:num>
  <w:num w:numId="193" w16cid:durableId="1279801441">
    <w:abstractNumId w:val="92"/>
  </w:num>
  <w:num w:numId="194" w16cid:durableId="1576009877">
    <w:abstractNumId w:val="369"/>
  </w:num>
  <w:num w:numId="195" w16cid:durableId="945117893">
    <w:abstractNumId w:val="341"/>
  </w:num>
  <w:num w:numId="196" w16cid:durableId="541019265">
    <w:abstractNumId w:val="83"/>
  </w:num>
  <w:num w:numId="197" w16cid:durableId="1160775564">
    <w:abstractNumId w:val="147"/>
  </w:num>
  <w:num w:numId="198" w16cid:durableId="1103958759">
    <w:abstractNumId w:val="117"/>
  </w:num>
  <w:num w:numId="199" w16cid:durableId="1887906105">
    <w:abstractNumId w:val="345"/>
  </w:num>
  <w:num w:numId="200" w16cid:durableId="996496458">
    <w:abstractNumId w:val="309"/>
  </w:num>
  <w:num w:numId="201" w16cid:durableId="2007635455">
    <w:abstractNumId w:val="125"/>
  </w:num>
  <w:num w:numId="202" w16cid:durableId="1085103998">
    <w:abstractNumId w:val="226"/>
  </w:num>
  <w:num w:numId="203" w16cid:durableId="1781298221">
    <w:abstractNumId w:val="100"/>
  </w:num>
  <w:num w:numId="204" w16cid:durableId="1876497524">
    <w:abstractNumId w:val="364"/>
  </w:num>
  <w:num w:numId="205" w16cid:durableId="804159401">
    <w:abstractNumId w:val="270"/>
  </w:num>
  <w:num w:numId="206" w16cid:durableId="1298756846">
    <w:abstractNumId w:val="48"/>
  </w:num>
  <w:num w:numId="207" w16cid:durableId="702561742">
    <w:abstractNumId w:val="308"/>
  </w:num>
  <w:num w:numId="208" w16cid:durableId="2026055150">
    <w:abstractNumId w:val="56"/>
  </w:num>
  <w:num w:numId="209" w16cid:durableId="170996935">
    <w:abstractNumId w:val="116"/>
  </w:num>
  <w:num w:numId="210" w16cid:durableId="1052315053">
    <w:abstractNumId w:val="352"/>
  </w:num>
  <w:num w:numId="211" w16cid:durableId="73668933">
    <w:abstractNumId w:val="0"/>
  </w:num>
  <w:num w:numId="212" w16cid:durableId="1634676163">
    <w:abstractNumId w:val="319"/>
  </w:num>
  <w:num w:numId="213" w16cid:durableId="1234311364">
    <w:abstractNumId w:val="122"/>
  </w:num>
  <w:num w:numId="214" w16cid:durableId="1679309826">
    <w:abstractNumId w:val="372"/>
  </w:num>
  <w:num w:numId="215" w16cid:durableId="148057120">
    <w:abstractNumId w:val="210"/>
  </w:num>
  <w:num w:numId="216" w16cid:durableId="933318304">
    <w:abstractNumId w:val="234"/>
  </w:num>
  <w:num w:numId="217" w16cid:durableId="411199884">
    <w:abstractNumId w:val="327"/>
  </w:num>
  <w:num w:numId="218" w16cid:durableId="1593590399">
    <w:abstractNumId w:val="216"/>
  </w:num>
  <w:num w:numId="219" w16cid:durableId="1983805757">
    <w:abstractNumId w:val="280"/>
  </w:num>
  <w:num w:numId="220" w16cid:durableId="289825549">
    <w:abstractNumId w:val="27"/>
  </w:num>
  <w:num w:numId="221" w16cid:durableId="1521116960">
    <w:abstractNumId w:val="209"/>
    <w:lvlOverride w:ilvl="0">
      <w:startOverride w:val="1"/>
    </w:lvlOverride>
  </w:num>
  <w:num w:numId="222" w16cid:durableId="1322392954">
    <w:abstractNumId w:val="209"/>
  </w:num>
  <w:num w:numId="223" w16cid:durableId="1823081596">
    <w:abstractNumId w:val="257"/>
  </w:num>
  <w:num w:numId="224" w16cid:durableId="1485663425">
    <w:abstractNumId w:val="34"/>
  </w:num>
  <w:num w:numId="225" w16cid:durableId="2039115374">
    <w:abstractNumId w:val="111"/>
  </w:num>
  <w:num w:numId="226" w16cid:durableId="1237785929">
    <w:abstractNumId w:val="89"/>
  </w:num>
  <w:num w:numId="227" w16cid:durableId="1325627700">
    <w:abstractNumId w:val="138"/>
  </w:num>
  <w:num w:numId="228" w16cid:durableId="1719426848">
    <w:abstractNumId w:val="285"/>
  </w:num>
  <w:num w:numId="229" w16cid:durableId="1326663968">
    <w:abstractNumId w:val="19"/>
  </w:num>
  <w:num w:numId="230" w16cid:durableId="75903521">
    <w:abstractNumId w:val="355"/>
  </w:num>
  <w:num w:numId="231" w16cid:durableId="1124076204">
    <w:abstractNumId w:val="362"/>
  </w:num>
  <w:num w:numId="232" w16cid:durableId="2141071931">
    <w:abstractNumId w:val="220"/>
  </w:num>
  <w:num w:numId="233" w16cid:durableId="235554712">
    <w:abstractNumId w:val="36"/>
  </w:num>
  <w:num w:numId="234" w16cid:durableId="1588423671">
    <w:abstractNumId w:val="37"/>
  </w:num>
  <w:num w:numId="235" w16cid:durableId="173617311">
    <w:abstractNumId w:val="52"/>
  </w:num>
  <w:num w:numId="236" w16cid:durableId="1591162277">
    <w:abstractNumId w:val="255"/>
  </w:num>
  <w:num w:numId="237" w16cid:durableId="215970136">
    <w:abstractNumId w:val="359"/>
  </w:num>
  <w:num w:numId="238" w16cid:durableId="151457830">
    <w:abstractNumId w:val="76"/>
  </w:num>
  <w:num w:numId="239" w16cid:durableId="962885555">
    <w:abstractNumId w:val="29"/>
  </w:num>
  <w:num w:numId="240" w16cid:durableId="1357806144">
    <w:abstractNumId w:val="267"/>
  </w:num>
  <w:num w:numId="241" w16cid:durableId="722363415">
    <w:abstractNumId w:val="242"/>
  </w:num>
  <w:num w:numId="242" w16cid:durableId="418332587">
    <w:abstractNumId w:val="184"/>
  </w:num>
  <w:num w:numId="243" w16cid:durableId="1428305371">
    <w:abstractNumId w:val="356"/>
  </w:num>
  <w:num w:numId="244" w16cid:durableId="191500729">
    <w:abstractNumId w:val="361"/>
  </w:num>
  <w:num w:numId="245" w16cid:durableId="833035711">
    <w:abstractNumId w:val="310"/>
  </w:num>
  <w:num w:numId="246" w16cid:durableId="1758357300">
    <w:abstractNumId w:val="181"/>
  </w:num>
  <w:num w:numId="247" w16cid:durableId="362679600">
    <w:abstractNumId w:val="2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16cid:durableId="1126389531">
    <w:abstractNumId w:val="15"/>
  </w:num>
  <w:num w:numId="249" w16cid:durableId="777870558">
    <w:abstractNumId w:val="324"/>
  </w:num>
  <w:num w:numId="250" w16cid:durableId="1642222895">
    <w:abstractNumId w:val="70"/>
  </w:num>
  <w:num w:numId="251" w16cid:durableId="1498691100">
    <w:abstractNumId w:val="33"/>
  </w:num>
  <w:num w:numId="252" w16cid:durableId="2059936876">
    <w:abstractNumId w:val="204"/>
  </w:num>
  <w:num w:numId="253" w16cid:durableId="1191336982">
    <w:abstractNumId w:val="71"/>
    <w:lvlOverride w:ilvl="0">
      <w:startOverride w:val="4"/>
    </w:lvlOverride>
    <w:lvlOverride w:ilvl="1">
      <w:startOverride w:val="4"/>
    </w:lvlOverride>
  </w:num>
  <w:num w:numId="254" w16cid:durableId="478544603">
    <w:abstractNumId w:val="78"/>
  </w:num>
  <w:num w:numId="255" w16cid:durableId="495607253">
    <w:abstractNumId w:val="175"/>
  </w:num>
  <w:num w:numId="256" w16cid:durableId="1896970200">
    <w:abstractNumId w:val="375"/>
  </w:num>
  <w:num w:numId="257" w16cid:durableId="546066329">
    <w:abstractNumId w:val="347"/>
  </w:num>
  <w:num w:numId="258" w16cid:durableId="1832213965">
    <w:abstractNumId w:val="357"/>
  </w:num>
  <w:num w:numId="259" w16cid:durableId="779647201">
    <w:abstractNumId w:val="61"/>
  </w:num>
  <w:num w:numId="260" w16cid:durableId="1405493731">
    <w:abstractNumId w:val="71"/>
    <w:lvlOverride w:ilvl="0">
      <w:startOverride w:val="1"/>
    </w:lvlOverride>
    <w:lvlOverride w:ilvl="1">
      <w:startOverride w:val="3"/>
    </w:lvlOverride>
  </w:num>
  <w:num w:numId="261" w16cid:durableId="1398164267">
    <w:abstractNumId w:val="94"/>
  </w:num>
  <w:num w:numId="262" w16cid:durableId="1110513921">
    <w:abstractNumId w:val="290"/>
  </w:num>
  <w:num w:numId="263" w16cid:durableId="1027176135">
    <w:abstractNumId w:val="99"/>
  </w:num>
  <w:num w:numId="264" w16cid:durableId="1974292516">
    <w:abstractNumId w:val="174"/>
  </w:num>
  <w:num w:numId="265" w16cid:durableId="1090276727">
    <w:abstractNumId w:val="269"/>
  </w:num>
  <w:num w:numId="266" w16cid:durableId="436995110">
    <w:abstractNumId w:val="217"/>
  </w:num>
  <w:num w:numId="267" w16cid:durableId="1603611646">
    <w:abstractNumId w:val="338"/>
  </w:num>
  <w:num w:numId="268" w16cid:durableId="1054349904">
    <w:abstractNumId w:val="284"/>
  </w:num>
  <w:num w:numId="269" w16cid:durableId="744306857">
    <w:abstractNumId w:val="209"/>
  </w:num>
  <w:num w:numId="270" w16cid:durableId="1802382588">
    <w:abstractNumId w:val="209"/>
  </w:num>
  <w:num w:numId="271" w16cid:durableId="1865291018">
    <w:abstractNumId w:val="209"/>
    <w:lvlOverride w:ilvl="0">
      <w:startOverride w:val="1"/>
    </w:lvlOverride>
  </w:num>
  <w:num w:numId="272" w16cid:durableId="997197110">
    <w:abstractNumId w:val="68"/>
  </w:num>
  <w:num w:numId="273" w16cid:durableId="1705405226">
    <w:abstractNumId w:val="120"/>
  </w:num>
  <w:num w:numId="274" w16cid:durableId="1901204605">
    <w:abstractNumId w:val="253"/>
  </w:num>
  <w:num w:numId="275" w16cid:durableId="305017810">
    <w:abstractNumId w:val="247"/>
  </w:num>
  <w:num w:numId="276" w16cid:durableId="622612677">
    <w:abstractNumId w:val="331"/>
  </w:num>
  <w:num w:numId="277" w16cid:durableId="1825656096">
    <w:abstractNumId w:val="223"/>
  </w:num>
  <w:num w:numId="278" w16cid:durableId="363139779">
    <w:abstractNumId w:val="316"/>
  </w:num>
  <w:num w:numId="279" w16cid:durableId="815103990">
    <w:abstractNumId w:val="49"/>
  </w:num>
  <w:num w:numId="280" w16cid:durableId="362707820">
    <w:abstractNumId w:val="360"/>
  </w:num>
  <w:num w:numId="281" w16cid:durableId="42947154">
    <w:abstractNumId w:val="306"/>
  </w:num>
  <w:num w:numId="282" w16cid:durableId="224219232">
    <w:abstractNumId w:val="45"/>
  </w:num>
  <w:num w:numId="283" w16cid:durableId="1499954033">
    <w:abstractNumId w:val="60"/>
  </w:num>
  <w:num w:numId="284" w16cid:durableId="2074619870">
    <w:abstractNumId w:val="123"/>
  </w:num>
  <w:num w:numId="285" w16cid:durableId="1829175747">
    <w:abstractNumId w:val="239"/>
  </w:num>
  <w:num w:numId="286" w16cid:durableId="695158296">
    <w:abstractNumId w:val="151"/>
  </w:num>
  <w:num w:numId="287" w16cid:durableId="1575891535">
    <w:abstractNumId w:val="88"/>
  </w:num>
  <w:num w:numId="288" w16cid:durableId="764618232">
    <w:abstractNumId w:val="268"/>
  </w:num>
  <w:num w:numId="289" w16cid:durableId="16664504">
    <w:abstractNumId w:val="307"/>
  </w:num>
  <w:num w:numId="290" w16cid:durableId="1700936097">
    <w:abstractNumId w:val="340"/>
  </w:num>
  <w:num w:numId="291" w16cid:durableId="942608413">
    <w:abstractNumId w:val="212"/>
  </w:num>
  <w:num w:numId="292" w16cid:durableId="576062058">
    <w:abstractNumId w:val="82"/>
  </w:num>
  <w:num w:numId="293" w16cid:durableId="2085252316">
    <w:abstractNumId w:val="131"/>
  </w:num>
  <w:num w:numId="294" w16cid:durableId="1040325281">
    <w:abstractNumId w:val="105"/>
  </w:num>
  <w:num w:numId="295" w16cid:durableId="708648463">
    <w:abstractNumId w:val="4"/>
  </w:num>
  <w:num w:numId="296" w16cid:durableId="417215982">
    <w:abstractNumId w:val="149"/>
  </w:num>
  <w:num w:numId="297" w16cid:durableId="853029897">
    <w:abstractNumId w:val="17"/>
  </w:num>
  <w:num w:numId="298" w16cid:durableId="48311125">
    <w:abstractNumId w:val="148"/>
  </w:num>
  <w:num w:numId="299" w16cid:durableId="1444423018">
    <w:abstractNumId w:val="231"/>
  </w:num>
  <w:num w:numId="300" w16cid:durableId="1153641641">
    <w:abstractNumId w:val="351"/>
  </w:num>
  <w:num w:numId="301" w16cid:durableId="1295674948">
    <w:abstractNumId w:val="221"/>
  </w:num>
  <w:num w:numId="302" w16cid:durableId="648246401">
    <w:abstractNumId w:val="354"/>
  </w:num>
  <w:num w:numId="303" w16cid:durableId="990328374">
    <w:abstractNumId w:val="135"/>
  </w:num>
  <w:num w:numId="304" w16cid:durableId="2109150986">
    <w:abstractNumId w:val="365"/>
  </w:num>
  <w:num w:numId="305" w16cid:durableId="1692992617">
    <w:abstractNumId w:val="337"/>
  </w:num>
  <w:num w:numId="306" w16cid:durableId="952787302">
    <w:abstractNumId w:val="330"/>
  </w:num>
  <w:num w:numId="307" w16cid:durableId="2092769276">
    <w:abstractNumId w:val="295"/>
  </w:num>
  <w:num w:numId="308" w16cid:durableId="14894281">
    <w:abstractNumId w:val="32"/>
  </w:num>
  <w:num w:numId="309" w16cid:durableId="1762332769">
    <w:abstractNumId w:val="142"/>
  </w:num>
  <w:num w:numId="310" w16cid:durableId="615063028">
    <w:abstractNumId w:val="314"/>
  </w:num>
  <w:num w:numId="311" w16cid:durableId="1961105065">
    <w:abstractNumId w:val="203"/>
  </w:num>
  <w:num w:numId="312" w16cid:durableId="1616400215">
    <w:abstractNumId w:val="241"/>
  </w:num>
  <w:num w:numId="313" w16cid:durableId="1858425398">
    <w:abstractNumId w:val="207"/>
  </w:num>
  <w:num w:numId="314" w16cid:durableId="1806697971">
    <w:abstractNumId w:val="262"/>
  </w:num>
  <w:num w:numId="315" w16cid:durableId="72704355">
    <w:abstractNumId w:val="20"/>
  </w:num>
  <w:num w:numId="316" w16cid:durableId="414477330">
    <w:abstractNumId w:val="381"/>
  </w:num>
  <w:num w:numId="317" w16cid:durableId="660930683">
    <w:abstractNumId w:val="302"/>
  </w:num>
  <w:num w:numId="318" w16cid:durableId="682243094">
    <w:abstractNumId w:val="118"/>
  </w:num>
  <w:num w:numId="319" w16cid:durableId="1538854520">
    <w:abstractNumId w:val="168"/>
  </w:num>
  <w:num w:numId="320" w16cid:durableId="741221710">
    <w:abstractNumId w:val="251"/>
  </w:num>
  <w:num w:numId="321" w16cid:durableId="1763841943">
    <w:abstractNumId w:val="152"/>
  </w:num>
  <w:num w:numId="322" w16cid:durableId="1590382709">
    <w:abstractNumId w:val="265"/>
  </w:num>
  <w:num w:numId="323" w16cid:durableId="1890410932">
    <w:abstractNumId w:val="179"/>
  </w:num>
  <w:num w:numId="324" w16cid:durableId="1775442809">
    <w:abstractNumId w:val="376"/>
  </w:num>
  <w:num w:numId="325" w16cid:durableId="1168597226">
    <w:abstractNumId w:val="300"/>
  </w:num>
  <w:num w:numId="326" w16cid:durableId="1829250790">
    <w:abstractNumId w:val="10"/>
  </w:num>
  <w:num w:numId="327" w16cid:durableId="566578452">
    <w:abstractNumId w:val="64"/>
  </w:num>
  <w:num w:numId="328" w16cid:durableId="2070418877">
    <w:abstractNumId w:val="336"/>
  </w:num>
  <w:num w:numId="329" w16cid:durableId="1125200278">
    <w:abstractNumId w:val="95"/>
  </w:num>
  <w:num w:numId="330" w16cid:durableId="1369454681">
    <w:abstractNumId w:val="140"/>
  </w:num>
  <w:num w:numId="331" w16cid:durableId="601492599">
    <w:abstractNumId w:val="159"/>
  </w:num>
  <w:num w:numId="332" w16cid:durableId="1092775796">
    <w:abstractNumId w:val="233"/>
  </w:num>
  <w:num w:numId="333" w16cid:durableId="1474298686">
    <w:abstractNumId w:val="58"/>
  </w:num>
  <w:num w:numId="334" w16cid:durableId="705566616">
    <w:abstractNumId w:val="124"/>
  </w:num>
  <w:num w:numId="335" w16cid:durableId="1810828684">
    <w:abstractNumId w:val="296"/>
  </w:num>
  <w:num w:numId="336" w16cid:durableId="1023896362">
    <w:abstractNumId w:val="317"/>
  </w:num>
  <w:num w:numId="337" w16cid:durableId="1088506243">
    <w:abstractNumId w:val="380"/>
  </w:num>
  <w:num w:numId="338" w16cid:durableId="1790202605">
    <w:abstractNumId w:val="353"/>
  </w:num>
  <w:num w:numId="339" w16cid:durableId="587428689">
    <w:abstractNumId w:val="224"/>
  </w:num>
  <w:num w:numId="340" w16cid:durableId="2105566916">
    <w:abstractNumId w:val="46"/>
  </w:num>
  <w:num w:numId="341" w16cid:durableId="865288064">
    <w:abstractNumId w:val="315"/>
  </w:num>
  <w:num w:numId="342" w16cid:durableId="1150512905">
    <w:abstractNumId w:val="71"/>
  </w:num>
  <w:num w:numId="343" w16cid:durableId="1958246906">
    <w:abstractNumId w:val="71"/>
  </w:num>
  <w:num w:numId="344" w16cid:durableId="1368873716">
    <w:abstractNumId w:val="18"/>
  </w:num>
  <w:num w:numId="345" w16cid:durableId="1420952376">
    <w:abstractNumId w:val="215"/>
  </w:num>
  <w:num w:numId="346" w16cid:durableId="1062673165">
    <w:abstractNumId w:val="53"/>
  </w:num>
  <w:num w:numId="347" w16cid:durableId="174072918">
    <w:abstractNumId w:val="160"/>
  </w:num>
  <w:num w:numId="348" w16cid:durableId="912424396">
    <w:abstractNumId w:val="196"/>
  </w:num>
  <w:num w:numId="349" w16cid:durableId="39598785">
    <w:abstractNumId w:val="299"/>
  </w:num>
  <w:num w:numId="350" w16cid:durableId="1330328716">
    <w:abstractNumId w:val="368"/>
  </w:num>
  <w:num w:numId="351" w16cid:durableId="1338339280">
    <w:abstractNumId w:val="14"/>
  </w:num>
  <w:num w:numId="352" w16cid:durableId="284770511">
    <w:abstractNumId w:val="279"/>
  </w:num>
  <w:num w:numId="353" w16cid:durableId="560872137">
    <w:abstractNumId w:val="289"/>
  </w:num>
  <w:num w:numId="354" w16cid:durableId="1733310933">
    <w:abstractNumId w:val="382"/>
  </w:num>
  <w:num w:numId="355" w16cid:durableId="1655261478">
    <w:abstractNumId w:val="166"/>
  </w:num>
  <w:num w:numId="356" w16cid:durableId="640422407">
    <w:abstractNumId w:val="286"/>
  </w:num>
  <w:num w:numId="357" w16cid:durableId="1287349794">
    <w:abstractNumId w:val="346"/>
  </w:num>
  <w:num w:numId="358" w16cid:durableId="444083665">
    <w:abstractNumId w:val="180"/>
  </w:num>
  <w:num w:numId="359" w16cid:durableId="1190414234">
    <w:abstractNumId w:val="5"/>
  </w:num>
  <w:num w:numId="360" w16cid:durableId="1219121973">
    <w:abstractNumId w:val="106"/>
  </w:num>
  <w:num w:numId="361" w16cid:durableId="2099979628">
    <w:abstractNumId w:val="157"/>
  </w:num>
  <w:num w:numId="362" w16cid:durableId="1974016508">
    <w:abstractNumId w:val="38"/>
  </w:num>
  <w:num w:numId="363" w16cid:durableId="893125231">
    <w:abstractNumId w:val="150"/>
  </w:num>
  <w:num w:numId="364" w16cid:durableId="1966307289">
    <w:abstractNumId w:val="348"/>
  </w:num>
  <w:num w:numId="365" w16cid:durableId="1610314209">
    <w:abstractNumId w:val="13"/>
  </w:num>
  <w:num w:numId="366" w16cid:durableId="611059309">
    <w:abstractNumId w:val="137"/>
  </w:num>
  <w:num w:numId="367" w16cid:durableId="360057261">
    <w:abstractNumId w:val="186"/>
  </w:num>
  <w:num w:numId="368" w16cid:durableId="1925453178">
    <w:abstractNumId w:val="144"/>
  </w:num>
  <w:num w:numId="369" w16cid:durableId="611867213">
    <w:abstractNumId w:val="133"/>
  </w:num>
  <w:num w:numId="370" w16cid:durableId="678896518">
    <w:abstractNumId w:val="31"/>
  </w:num>
  <w:num w:numId="371" w16cid:durableId="2110541706">
    <w:abstractNumId w:val="115"/>
  </w:num>
  <w:num w:numId="372" w16cid:durableId="689795536">
    <w:abstractNumId w:val="264"/>
  </w:num>
  <w:num w:numId="373" w16cid:durableId="102966840">
    <w:abstractNumId w:val="153"/>
  </w:num>
  <w:num w:numId="374" w16cid:durableId="1672566292">
    <w:abstractNumId w:val="238"/>
  </w:num>
  <w:num w:numId="375" w16cid:durableId="30154954">
    <w:abstractNumId w:val="77"/>
  </w:num>
  <w:num w:numId="376" w16cid:durableId="1123889672">
    <w:abstractNumId w:val="236"/>
  </w:num>
  <w:num w:numId="377" w16cid:durableId="1482697499">
    <w:abstractNumId w:val="225"/>
  </w:num>
  <w:num w:numId="378" w16cid:durableId="1726947800">
    <w:abstractNumId w:val="222"/>
  </w:num>
  <w:num w:numId="379" w16cid:durableId="1955477013">
    <w:abstractNumId w:val="113"/>
  </w:num>
  <w:num w:numId="380" w16cid:durableId="1102338317">
    <w:abstractNumId w:val="81"/>
  </w:num>
  <w:num w:numId="381" w16cid:durableId="2100828943">
    <w:abstractNumId w:val="55"/>
  </w:num>
  <w:num w:numId="382" w16cid:durableId="77361773">
    <w:abstractNumId w:val="178"/>
  </w:num>
  <w:num w:numId="383" w16cid:durableId="1080442699">
    <w:abstractNumId w:val="191"/>
  </w:num>
  <w:num w:numId="384" w16cid:durableId="602229655">
    <w:abstractNumId w:val="252"/>
  </w:num>
  <w:num w:numId="385" w16cid:durableId="1186676011">
    <w:abstractNumId w:val="293"/>
  </w:num>
  <w:num w:numId="386" w16cid:durableId="621378203">
    <w:abstractNumId w:val="198"/>
  </w:num>
  <w:num w:numId="387" w16cid:durableId="816725628">
    <w:abstractNumId w:val="192"/>
  </w:num>
  <w:num w:numId="388" w16cid:durableId="127481645">
    <w:abstractNumId w:val="145"/>
  </w:num>
  <w:num w:numId="389" w16cid:durableId="2000883755">
    <w:abstractNumId w:val="75"/>
  </w:num>
  <w:num w:numId="390" w16cid:durableId="1592934262">
    <w:abstractNumId w:val="294"/>
  </w:num>
  <w:num w:numId="391" w16cid:durableId="525483950">
    <w:abstractNumId w:val="197"/>
  </w:num>
  <w:num w:numId="392" w16cid:durableId="1892379502">
    <w:abstractNumId w:val="130"/>
  </w:num>
  <w:num w:numId="393" w16cid:durableId="1117215228">
    <w:abstractNumId w:val="320"/>
  </w:num>
  <w:num w:numId="394" w16cid:durableId="1336877011">
    <w:abstractNumId w:val="211"/>
  </w:num>
  <w:numIdMacAtCleanup w:val="3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5B5E"/>
    <w:rsid w:val="0000104E"/>
    <w:rsid w:val="00001085"/>
    <w:rsid w:val="0000114B"/>
    <w:rsid w:val="000012F9"/>
    <w:rsid w:val="00001AF6"/>
    <w:rsid w:val="0000297D"/>
    <w:rsid w:val="00002A59"/>
    <w:rsid w:val="00002CCA"/>
    <w:rsid w:val="00002DFC"/>
    <w:rsid w:val="00002E6C"/>
    <w:rsid w:val="000030E5"/>
    <w:rsid w:val="00003623"/>
    <w:rsid w:val="00003AE0"/>
    <w:rsid w:val="00004F46"/>
    <w:rsid w:val="00005654"/>
    <w:rsid w:val="00005BEA"/>
    <w:rsid w:val="00006C9E"/>
    <w:rsid w:val="000072FC"/>
    <w:rsid w:val="0001015A"/>
    <w:rsid w:val="0001046D"/>
    <w:rsid w:val="000105D2"/>
    <w:rsid w:val="000106FF"/>
    <w:rsid w:val="0001075E"/>
    <w:rsid w:val="0001086D"/>
    <w:rsid w:val="000119B7"/>
    <w:rsid w:val="00011B4F"/>
    <w:rsid w:val="00011FD6"/>
    <w:rsid w:val="00012739"/>
    <w:rsid w:val="00012958"/>
    <w:rsid w:val="00012E32"/>
    <w:rsid w:val="00013858"/>
    <w:rsid w:val="000154A5"/>
    <w:rsid w:val="0001556B"/>
    <w:rsid w:val="000161BB"/>
    <w:rsid w:val="0001703B"/>
    <w:rsid w:val="000170FF"/>
    <w:rsid w:val="00020757"/>
    <w:rsid w:val="00020928"/>
    <w:rsid w:val="00020A32"/>
    <w:rsid w:val="00020B26"/>
    <w:rsid w:val="00020E60"/>
    <w:rsid w:val="00020F14"/>
    <w:rsid w:val="000214C5"/>
    <w:rsid w:val="00021937"/>
    <w:rsid w:val="0002359A"/>
    <w:rsid w:val="00023BC3"/>
    <w:rsid w:val="000241B9"/>
    <w:rsid w:val="0002448F"/>
    <w:rsid w:val="00024FB3"/>
    <w:rsid w:val="000251F0"/>
    <w:rsid w:val="000255B1"/>
    <w:rsid w:val="000259D3"/>
    <w:rsid w:val="0002633D"/>
    <w:rsid w:val="0002657F"/>
    <w:rsid w:val="0002696D"/>
    <w:rsid w:val="000269CE"/>
    <w:rsid w:val="00026A7C"/>
    <w:rsid w:val="00026B21"/>
    <w:rsid w:val="00026DCB"/>
    <w:rsid w:val="00027AC1"/>
    <w:rsid w:val="00027BA5"/>
    <w:rsid w:val="00027F01"/>
    <w:rsid w:val="0003026B"/>
    <w:rsid w:val="00030EFC"/>
    <w:rsid w:val="00031002"/>
    <w:rsid w:val="00031D85"/>
    <w:rsid w:val="00031E1F"/>
    <w:rsid w:val="0003208F"/>
    <w:rsid w:val="00032938"/>
    <w:rsid w:val="0003296B"/>
    <w:rsid w:val="00032F33"/>
    <w:rsid w:val="00033318"/>
    <w:rsid w:val="00033969"/>
    <w:rsid w:val="00033E95"/>
    <w:rsid w:val="000341E4"/>
    <w:rsid w:val="0003434C"/>
    <w:rsid w:val="00034D35"/>
    <w:rsid w:val="00034ECE"/>
    <w:rsid w:val="0003589D"/>
    <w:rsid w:val="0003618B"/>
    <w:rsid w:val="000363CB"/>
    <w:rsid w:val="00036471"/>
    <w:rsid w:val="00036A3D"/>
    <w:rsid w:val="000370A3"/>
    <w:rsid w:val="0003727C"/>
    <w:rsid w:val="0003750D"/>
    <w:rsid w:val="00037A71"/>
    <w:rsid w:val="00037A9E"/>
    <w:rsid w:val="00040CE7"/>
    <w:rsid w:val="00041EC2"/>
    <w:rsid w:val="00041ECA"/>
    <w:rsid w:val="00041F95"/>
    <w:rsid w:val="000423BB"/>
    <w:rsid w:val="00042D40"/>
    <w:rsid w:val="000431FE"/>
    <w:rsid w:val="000437D3"/>
    <w:rsid w:val="000439BB"/>
    <w:rsid w:val="00043E30"/>
    <w:rsid w:val="0004473B"/>
    <w:rsid w:val="00044A07"/>
    <w:rsid w:val="00044E09"/>
    <w:rsid w:val="0004569E"/>
    <w:rsid w:val="0004587B"/>
    <w:rsid w:val="00045986"/>
    <w:rsid w:val="000462B2"/>
    <w:rsid w:val="00046323"/>
    <w:rsid w:val="00046472"/>
    <w:rsid w:val="00047231"/>
    <w:rsid w:val="00047A97"/>
    <w:rsid w:val="00047DE4"/>
    <w:rsid w:val="00050118"/>
    <w:rsid w:val="0005164A"/>
    <w:rsid w:val="00051895"/>
    <w:rsid w:val="000526E9"/>
    <w:rsid w:val="00052826"/>
    <w:rsid w:val="000529F5"/>
    <w:rsid w:val="00054366"/>
    <w:rsid w:val="00054506"/>
    <w:rsid w:val="00054666"/>
    <w:rsid w:val="00055507"/>
    <w:rsid w:val="00055586"/>
    <w:rsid w:val="00055757"/>
    <w:rsid w:val="00055AFF"/>
    <w:rsid w:val="0005641E"/>
    <w:rsid w:val="00056ACB"/>
    <w:rsid w:val="00056C05"/>
    <w:rsid w:val="00056D85"/>
    <w:rsid w:val="00056E7F"/>
    <w:rsid w:val="00056FAD"/>
    <w:rsid w:val="00057006"/>
    <w:rsid w:val="00057564"/>
    <w:rsid w:val="00057817"/>
    <w:rsid w:val="000578D5"/>
    <w:rsid w:val="00057FDC"/>
    <w:rsid w:val="00060B30"/>
    <w:rsid w:val="00060CFB"/>
    <w:rsid w:val="000610CB"/>
    <w:rsid w:val="00061151"/>
    <w:rsid w:val="00061288"/>
    <w:rsid w:val="00061413"/>
    <w:rsid w:val="00061562"/>
    <w:rsid w:val="00061CFE"/>
    <w:rsid w:val="0006239F"/>
    <w:rsid w:val="00062569"/>
    <w:rsid w:val="0006284C"/>
    <w:rsid w:val="00062DF8"/>
    <w:rsid w:val="0006359C"/>
    <w:rsid w:val="00063826"/>
    <w:rsid w:val="00063DBF"/>
    <w:rsid w:val="00064419"/>
    <w:rsid w:val="000650FA"/>
    <w:rsid w:val="00065462"/>
    <w:rsid w:val="00065A13"/>
    <w:rsid w:val="000662A9"/>
    <w:rsid w:val="000666BE"/>
    <w:rsid w:val="00066D50"/>
    <w:rsid w:val="000672ED"/>
    <w:rsid w:val="000674C8"/>
    <w:rsid w:val="000708D4"/>
    <w:rsid w:val="00070B86"/>
    <w:rsid w:val="000718E3"/>
    <w:rsid w:val="000720C2"/>
    <w:rsid w:val="00073B72"/>
    <w:rsid w:val="00073F42"/>
    <w:rsid w:val="000740AF"/>
    <w:rsid w:val="000744B6"/>
    <w:rsid w:val="000747C0"/>
    <w:rsid w:val="00074ED3"/>
    <w:rsid w:val="0007528A"/>
    <w:rsid w:val="0007586D"/>
    <w:rsid w:val="00075A23"/>
    <w:rsid w:val="00075CB0"/>
    <w:rsid w:val="000764A3"/>
    <w:rsid w:val="00076E07"/>
    <w:rsid w:val="000771D2"/>
    <w:rsid w:val="000773A2"/>
    <w:rsid w:val="000777F2"/>
    <w:rsid w:val="00077898"/>
    <w:rsid w:val="00077E8C"/>
    <w:rsid w:val="00080193"/>
    <w:rsid w:val="00080C44"/>
    <w:rsid w:val="000812D1"/>
    <w:rsid w:val="000813D7"/>
    <w:rsid w:val="000817D1"/>
    <w:rsid w:val="00081B68"/>
    <w:rsid w:val="00081E96"/>
    <w:rsid w:val="00083408"/>
    <w:rsid w:val="0008411E"/>
    <w:rsid w:val="00084C6F"/>
    <w:rsid w:val="0008626C"/>
    <w:rsid w:val="000866BF"/>
    <w:rsid w:val="000867EC"/>
    <w:rsid w:val="0008702F"/>
    <w:rsid w:val="0008747B"/>
    <w:rsid w:val="0008778C"/>
    <w:rsid w:val="00087B62"/>
    <w:rsid w:val="000902DC"/>
    <w:rsid w:val="000906B8"/>
    <w:rsid w:val="00090A3E"/>
    <w:rsid w:val="0009103F"/>
    <w:rsid w:val="000911C7"/>
    <w:rsid w:val="00091E4C"/>
    <w:rsid w:val="000925A8"/>
    <w:rsid w:val="00092765"/>
    <w:rsid w:val="0009298E"/>
    <w:rsid w:val="000929DE"/>
    <w:rsid w:val="00094431"/>
    <w:rsid w:val="00094461"/>
    <w:rsid w:val="000949A9"/>
    <w:rsid w:val="00094B57"/>
    <w:rsid w:val="00095621"/>
    <w:rsid w:val="00096DBF"/>
    <w:rsid w:val="00097974"/>
    <w:rsid w:val="000A06F7"/>
    <w:rsid w:val="000A094D"/>
    <w:rsid w:val="000A0D7C"/>
    <w:rsid w:val="000A10E7"/>
    <w:rsid w:val="000A14F2"/>
    <w:rsid w:val="000A1E36"/>
    <w:rsid w:val="000A1EA4"/>
    <w:rsid w:val="000A2441"/>
    <w:rsid w:val="000A27D5"/>
    <w:rsid w:val="000A2AFE"/>
    <w:rsid w:val="000A2D3E"/>
    <w:rsid w:val="000A3185"/>
    <w:rsid w:val="000A360E"/>
    <w:rsid w:val="000A37F1"/>
    <w:rsid w:val="000A3970"/>
    <w:rsid w:val="000A5529"/>
    <w:rsid w:val="000A57A7"/>
    <w:rsid w:val="000A5B96"/>
    <w:rsid w:val="000A5D12"/>
    <w:rsid w:val="000A602A"/>
    <w:rsid w:val="000A62CE"/>
    <w:rsid w:val="000A640B"/>
    <w:rsid w:val="000A660A"/>
    <w:rsid w:val="000A6729"/>
    <w:rsid w:val="000A673B"/>
    <w:rsid w:val="000A673F"/>
    <w:rsid w:val="000A69C5"/>
    <w:rsid w:val="000B0568"/>
    <w:rsid w:val="000B07DE"/>
    <w:rsid w:val="000B095B"/>
    <w:rsid w:val="000B0A48"/>
    <w:rsid w:val="000B1017"/>
    <w:rsid w:val="000B16ED"/>
    <w:rsid w:val="000B1823"/>
    <w:rsid w:val="000B1FC7"/>
    <w:rsid w:val="000B2012"/>
    <w:rsid w:val="000B218D"/>
    <w:rsid w:val="000B2807"/>
    <w:rsid w:val="000B3137"/>
    <w:rsid w:val="000B32BD"/>
    <w:rsid w:val="000B35AE"/>
    <w:rsid w:val="000B4036"/>
    <w:rsid w:val="000B4497"/>
    <w:rsid w:val="000B465E"/>
    <w:rsid w:val="000B4FA4"/>
    <w:rsid w:val="000B66B2"/>
    <w:rsid w:val="000B69B5"/>
    <w:rsid w:val="000B7042"/>
    <w:rsid w:val="000B709B"/>
    <w:rsid w:val="000B7889"/>
    <w:rsid w:val="000B7C73"/>
    <w:rsid w:val="000C0536"/>
    <w:rsid w:val="000C0B1C"/>
    <w:rsid w:val="000C282E"/>
    <w:rsid w:val="000C2930"/>
    <w:rsid w:val="000C2A57"/>
    <w:rsid w:val="000C3104"/>
    <w:rsid w:val="000C31F3"/>
    <w:rsid w:val="000C39F2"/>
    <w:rsid w:val="000C4043"/>
    <w:rsid w:val="000C46F0"/>
    <w:rsid w:val="000C4D30"/>
    <w:rsid w:val="000C57F5"/>
    <w:rsid w:val="000C6347"/>
    <w:rsid w:val="000C6670"/>
    <w:rsid w:val="000C6DAA"/>
    <w:rsid w:val="000C7A7C"/>
    <w:rsid w:val="000C7BE8"/>
    <w:rsid w:val="000C7DCF"/>
    <w:rsid w:val="000D000F"/>
    <w:rsid w:val="000D049D"/>
    <w:rsid w:val="000D06CD"/>
    <w:rsid w:val="000D0731"/>
    <w:rsid w:val="000D09A1"/>
    <w:rsid w:val="000D0E11"/>
    <w:rsid w:val="000D1AB5"/>
    <w:rsid w:val="000D2240"/>
    <w:rsid w:val="000D2529"/>
    <w:rsid w:val="000D2B15"/>
    <w:rsid w:val="000D3B4C"/>
    <w:rsid w:val="000D4443"/>
    <w:rsid w:val="000D4BD4"/>
    <w:rsid w:val="000D4EB7"/>
    <w:rsid w:val="000D57E3"/>
    <w:rsid w:val="000D5A63"/>
    <w:rsid w:val="000D5C75"/>
    <w:rsid w:val="000D5F4E"/>
    <w:rsid w:val="000D616E"/>
    <w:rsid w:val="000D6801"/>
    <w:rsid w:val="000D6D59"/>
    <w:rsid w:val="000D73C7"/>
    <w:rsid w:val="000D74CC"/>
    <w:rsid w:val="000D7D28"/>
    <w:rsid w:val="000D7F6A"/>
    <w:rsid w:val="000E0595"/>
    <w:rsid w:val="000E0CA4"/>
    <w:rsid w:val="000E177E"/>
    <w:rsid w:val="000E240D"/>
    <w:rsid w:val="000E28A0"/>
    <w:rsid w:val="000E2A66"/>
    <w:rsid w:val="000E2AE0"/>
    <w:rsid w:val="000E3F4A"/>
    <w:rsid w:val="000E447C"/>
    <w:rsid w:val="000E4619"/>
    <w:rsid w:val="000E47E5"/>
    <w:rsid w:val="000E4911"/>
    <w:rsid w:val="000E4F47"/>
    <w:rsid w:val="000E5B40"/>
    <w:rsid w:val="000E6207"/>
    <w:rsid w:val="000E6284"/>
    <w:rsid w:val="000E6621"/>
    <w:rsid w:val="000E69DC"/>
    <w:rsid w:val="000E6E12"/>
    <w:rsid w:val="000E6E77"/>
    <w:rsid w:val="000E6E8B"/>
    <w:rsid w:val="000E7914"/>
    <w:rsid w:val="000E7D01"/>
    <w:rsid w:val="000F0542"/>
    <w:rsid w:val="000F133E"/>
    <w:rsid w:val="000F138E"/>
    <w:rsid w:val="000F1402"/>
    <w:rsid w:val="000F16F9"/>
    <w:rsid w:val="000F1B0A"/>
    <w:rsid w:val="000F238F"/>
    <w:rsid w:val="000F3248"/>
    <w:rsid w:val="000F33A1"/>
    <w:rsid w:val="000F3D03"/>
    <w:rsid w:val="000F4F85"/>
    <w:rsid w:val="000F4FE1"/>
    <w:rsid w:val="000F5023"/>
    <w:rsid w:val="000F6356"/>
    <w:rsid w:val="000F6477"/>
    <w:rsid w:val="000F64E9"/>
    <w:rsid w:val="000F6571"/>
    <w:rsid w:val="000F6632"/>
    <w:rsid w:val="000F6AC5"/>
    <w:rsid w:val="000F6ED1"/>
    <w:rsid w:val="00101415"/>
    <w:rsid w:val="00101D40"/>
    <w:rsid w:val="00101D63"/>
    <w:rsid w:val="00101E11"/>
    <w:rsid w:val="00102A19"/>
    <w:rsid w:val="00102A82"/>
    <w:rsid w:val="00102CA1"/>
    <w:rsid w:val="00102D06"/>
    <w:rsid w:val="001034E2"/>
    <w:rsid w:val="0010391C"/>
    <w:rsid w:val="001044AF"/>
    <w:rsid w:val="00105056"/>
    <w:rsid w:val="00105838"/>
    <w:rsid w:val="00105A6E"/>
    <w:rsid w:val="00105B38"/>
    <w:rsid w:val="001068FD"/>
    <w:rsid w:val="00106DD0"/>
    <w:rsid w:val="00107767"/>
    <w:rsid w:val="0010776F"/>
    <w:rsid w:val="00107C1E"/>
    <w:rsid w:val="00107C50"/>
    <w:rsid w:val="00110554"/>
    <w:rsid w:val="001106EC"/>
    <w:rsid w:val="0011165C"/>
    <w:rsid w:val="0011177D"/>
    <w:rsid w:val="0011238E"/>
    <w:rsid w:val="00112A7A"/>
    <w:rsid w:val="00113344"/>
    <w:rsid w:val="00113485"/>
    <w:rsid w:val="001136FF"/>
    <w:rsid w:val="00113873"/>
    <w:rsid w:val="0011388E"/>
    <w:rsid w:val="00113A51"/>
    <w:rsid w:val="00113B9F"/>
    <w:rsid w:val="00113FDA"/>
    <w:rsid w:val="00114275"/>
    <w:rsid w:val="00114DFD"/>
    <w:rsid w:val="0011502F"/>
    <w:rsid w:val="001152C3"/>
    <w:rsid w:val="00115314"/>
    <w:rsid w:val="00115944"/>
    <w:rsid w:val="00115AC8"/>
    <w:rsid w:val="00115D30"/>
    <w:rsid w:val="00115EA0"/>
    <w:rsid w:val="00116700"/>
    <w:rsid w:val="00116AA2"/>
    <w:rsid w:val="00116B52"/>
    <w:rsid w:val="00116F79"/>
    <w:rsid w:val="001174BC"/>
    <w:rsid w:val="001174FD"/>
    <w:rsid w:val="00117910"/>
    <w:rsid w:val="00121C68"/>
    <w:rsid w:val="001223E8"/>
    <w:rsid w:val="0012269E"/>
    <w:rsid w:val="001228D1"/>
    <w:rsid w:val="00122C71"/>
    <w:rsid w:val="00123282"/>
    <w:rsid w:val="00123815"/>
    <w:rsid w:val="00123E1C"/>
    <w:rsid w:val="00124474"/>
    <w:rsid w:val="00124F36"/>
    <w:rsid w:val="0012628F"/>
    <w:rsid w:val="00126449"/>
    <w:rsid w:val="001272CB"/>
    <w:rsid w:val="001276CB"/>
    <w:rsid w:val="00127DB3"/>
    <w:rsid w:val="00130061"/>
    <w:rsid w:val="001305EF"/>
    <w:rsid w:val="00130D98"/>
    <w:rsid w:val="00131174"/>
    <w:rsid w:val="00131420"/>
    <w:rsid w:val="001317C7"/>
    <w:rsid w:val="00131A88"/>
    <w:rsid w:val="00132039"/>
    <w:rsid w:val="001320C5"/>
    <w:rsid w:val="001321F9"/>
    <w:rsid w:val="0013237E"/>
    <w:rsid w:val="001325F6"/>
    <w:rsid w:val="0013375A"/>
    <w:rsid w:val="00133A14"/>
    <w:rsid w:val="00134E44"/>
    <w:rsid w:val="001364FF"/>
    <w:rsid w:val="0013676D"/>
    <w:rsid w:val="00136AA1"/>
    <w:rsid w:val="00137874"/>
    <w:rsid w:val="00137F07"/>
    <w:rsid w:val="001409EC"/>
    <w:rsid w:val="00141C08"/>
    <w:rsid w:val="00142406"/>
    <w:rsid w:val="00142438"/>
    <w:rsid w:val="001428C4"/>
    <w:rsid w:val="00143850"/>
    <w:rsid w:val="001440A8"/>
    <w:rsid w:val="00144ED6"/>
    <w:rsid w:val="00145062"/>
    <w:rsid w:val="0014513D"/>
    <w:rsid w:val="001452AC"/>
    <w:rsid w:val="00145754"/>
    <w:rsid w:val="00145B96"/>
    <w:rsid w:val="00145D5F"/>
    <w:rsid w:val="00146B9B"/>
    <w:rsid w:val="00146E3B"/>
    <w:rsid w:val="001470A0"/>
    <w:rsid w:val="00147D2D"/>
    <w:rsid w:val="00147EE6"/>
    <w:rsid w:val="001511F5"/>
    <w:rsid w:val="00151508"/>
    <w:rsid w:val="00151815"/>
    <w:rsid w:val="00151A8F"/>
    <w:rsid w:val="00151D48"/>
    <w:rsid w:val="00151E55"/>
    <w:rsid w:val="001523C0"/>
    <w:rsid w:val="0015253B"/>
    <w:rsid w:val="00154C63"/>
    <w:rsid w:val="00154DF3"/>
    <w:rsid w:val="00154F7E"/>
    <w:rsid w:val="001554D8"/>
    <w:rsid w:val="00155D15"/>
    <w:rsid w:val="0015690E"/>
    <w:rsid w:val="00156BDA"/>
    <w:rsid w:val="00156F51"/>
    <w:rsid w:val="0015708B"/>
    <w:rsid w:val="0015730E"/>
    <w:rsid w:val="00157C37"/>
    <w:rsid w:val="001606E3"/>
    <w:rsid w:val="00160E85"/>
    <w:rsid w:val="0016113F"/>
    <w:rsid w:val="001611C6"/>
    <w:rsid w:val="00161B8B"/>
    <w:rsid w:val="00162ACD"/>
    <w:rsid w:val="00162AD9"/>
    <w:rsid w:val="00162E14"/>
    <w:rsid w:val="00162F0D"/>
    <w:rsid w:val="00163117"/>
    <w:rsid w:val="00163235"/>
    <w:rsid w:val="001634FE"/>
    <w:rsid w:val="00163550"/>
    <w:rsid w:val="0016563B"/>
    <w:rsid w:val="001656C0"/>
    <w:rsid w:val="00165F98"/>
    <w:rsid w:val="001668FF"/>
    <w:rsid w:val="00166AE0"/>
    <w:rsid w:val="00167EA0"/>
    <w:rsid w:val="001704A3"/>
    <w:rsid w:val="001708EE"/>
    <w:rsid w:val="00170B1A"/>
    <w:rsid w:val="00170CE9"/>
    <w:rsid w:val="00170F66"/>
    <w:rsid w:val="00171519"/>
    <w:rsid w:val="00171644"/>
    <w:rsid w:val="00171721"/>
    <w:rsid w:val="0017184E"/>
    <w:rsid w:val="001718D7"/>
    <w:rsid w:val="001719DE"/>
    <w:rsid w:val="00172029"/>
    <w:rsid w:val="00172392"/>
    <w:rsid w:val="001732BB"/>
    <w:rsid w:val="00174DD8"/>
    <w:rsid w:val="001756C7"/>
    <w:rsid w:val="0017572E"/>
    <w:rsid w:val="00175EB1"/>
    <w:rsid w:val="00176078"/>
    <w:rsid w:val="00176193"/>
    <w:rsid w:val="0017654C"/>
    <w:rsid w:val="00176BBD"/>
    <w:rsid w:val="0017703A"/>
    <w:rsid w:val="00177366"/>
    <w:rsid w:val="00177426"/>
    <w:rsid w:val="00177C23"/>
    <w:rsid w:val="00177C36"/>
    <w:rsid w:val="00177CA3"/>
    <w:rsid w:val="00180A1E"/>
    <w:rsid w:val="00180CEC"/>
    <w:rsid w:val="001810B2"/>
    <w:rsid w:val="001813B2"/>
    <w:rsid w:val="001817D4"/>
    <w:rsid w:val="00181940"/>
    <w:rsid w:val="00181C5C"/>
    <w:rsid w:val="00181D4C"/>
    <w:rsid w:val="00182A0D"/>
    <w:rsid w:val="00182DAA"/>
    <w:rsid w:val="001835E3"/>
    <w:rsid w:val="0018378B"/>
    <w:rsid w:val="00183A2D"/>
    <w:rsid w:val="00183D0F"/>
    <w:rsid w:val="00183EC4"/>
    <w:rsid w:val="00184030"/>
    <w:rsid w:val="00184837"/>
    <w:rsid w:val="00184ADF"/>
    <w:rsid w:val="00184DF5"/>
    <w:rsid w:val="00185F29"/>
    <w:rsid w:val="001861ED"/>
    <w:rsid w:val="001861FE"/>
    <w:rsid w:val="00186B54"/>
    <w:rsid w:val="00187099"/>
    <w:rsid w:val="001876A2"/>
    <w:rsid w:val="00187763"/>
    <w:rsid w:val="001904C7"/>
    <w:rsid w:val="0019059D"/>
    <w:rsid w:val="00190635"/>
    <w:rsid w:val="001907E2"/>
    <w:rsid w:val="00190DC0"/>
    <w:rsid w:val="00190FCA"/>
    <w:rsid w:val="00191443"/>
    <w:rsid w:val="00191C87"/>
    <w:rsid w:val="001927AB"/>
    <w:rsid w:val="00193618"/>
    <w:rsid w:val="001938A1"/>
    <w:rsid w:val="00193C16"/>
    <w:rsid w:val="0019425B"/>
    <w:rsid w:val="00194955"/>
    <w:rsid w:val="00194B5D"/>
    <w:rsid w:val="00195002"/>
    <w:rsid w:val="00195317"/>
    <w:rsid w:val="00197076"/>
    <w:rsid w:val="00197306"/>
    <w:rsid w:val="001976A6"/>
    <w:rsid w:val="00197F2A"/>
    <w:rsid w:val="001A0452"/>
    <w:rsid w:val="001A0FF3"/>
    <w:rsid w:val="001A10B7"/>
    <w:rsid w:val="001A165D"/>
    <w:rsid w:val="001A18A8"/>
    <w:rsid w:val="001A1D7F"/>
    <w:rsid w:val="001A1F41"/>
    <w:rsid w:val="001A2CD0"/>
    <w:rsid w:val="001A321C"/>
    <w:rsid w:val="001A3732"/>
    <w:rsid w:val="001A38C1"/>
    <w:rsid w:val="001A38FF"/>
    <w:rsid w:val="001A3CAA"/>
    <w:rsid w:val="001A4B56"/>
    <w:rsid w:val="001A4C0C"/>
    <w:rsid w:val="001A51CC"/>
    <w:rsid w:val="001A60CD"/>
    <w:rsid w:val="001A63CB"/>
    <w:rsid w:val="001A65C9"/>
    <w:rsid w:val="001A6891"/>
    <w:rsid w:val="001A71AD"/>
    <w:rsid w:val="001B109D"/>
    <w:rsid w:val="001B112C"/>
    <w:rsid w:val="001B1BB6"/>
    <w:rsid w:val="001B2201"/>
    <w:rsid w:val="001B239F"/>
    <w:rsid w:val="001B39CC"/>
    <w:rsid w:val="001B3BD5"/>
    <w:rsid w:val="001B4440"/>
    <w:rsid w:val="001B47D1"/>
    <w:rsid w:val="001B47D8"/>
    <w:rsid w:val="001B4E31"/>
    <w:rsid w:val="001B4EAC"/>
    <w:rsid w:val="001B51B5"/>
    <w:rsid w:val="001B52A8"/>
    <w:rsid w:val="001B5CF2"/>
    <w:rsid w:val="001B60DE"/>
    <w:rsid w:val="001B6591"/>
    <w:rsid w:val="001B70AB"/>
    <w:rsid w:val="001B761C"/>
    <w:rsid w:val="001B76C3"/>
    <w:rsid w:val="001B7902"/>
    <w:rsid w:val="001B7B41"/>
    <w:rsid w:val="001B7E62"/>
    <w:rsid w:val="001C026B"/>
    <w:rsid w:val="001C1837"/>
    <w:rsid w:val="001C1A4B"/>
    <w:rsid w:val="001C1CD1"/>
    <w:rsid w:val="001C1E2E"/>
    <w:rsid w:val="001C218D"/>
    <w:rsid w:val="001C22F4"/>
    <w:rsid w:val="001C26B9"/>
    <w:rsid w:val="001C296B"/>
    <w:rsid w:val="001C3116"/>
    <w:rsid w:val="001C3577"/>
    <w:rsid w:val="001C3FE8"/>
    <w:rsid w:val="001C667A"/>
    <w:rsid w:val="001C6D08"/>
    <w:rsid w:val="001C6D47"/>
    <w:rsid w:val="001C7048"/>
    <w:rsid w:val="001D0482"/>
    <w:rsid w:val="001D1254"/>
    <w:rsid w:val="001D1A52"/>
    <w:rsid w:val="001D1BB0"/>
    <w:rsid w:val="001D22EB"/>
    <w:rsid w:val="001D2568"/>
    <w:rsid w:val="001D27A3"/>
    <w:rsid w:val="001D2C8E"/>
    <w:rsid w:val="001D36D0"/>
    <w:rsid w:val="001D3864"/>
    <w:rsid w:val="001D3A00"/>
    <w:rsid w:val="001D3BA1"/>
    <w:rsid w:val="001D4037"/>
    <w:rsid w:val="001D42B0"/>
    <w:rsid w:val="001D44C7"/>
    <w:rsid w:val="001D4D20"/>
    <w:rsid w:val="001D4D2B"/>
    <w:rsid w:val="001D5294"/>
    <w:rsid w:val="001D52F0"/>
    <w:rsid w:val="001D53EE"/>
    <w:rsid w:val="001D5B61"/>
    <w:rsid w:val="001D5CA0"/>
    <w:rsid w:val="001D5EAB"/>
    <w:rsid w:val="001D62E7"/>
    <w:rsid w:val="001D6DA8"/>
    <w:rsid w:val="001D6FA8"/>
    <w:rsid w:val="001D7278"/>
    <w:rsid w:val="001D74A1"/>
    <w:rsid w:val="001D74FC"/>
    <w:rsid w:val="001D7511"/>
    <w:rsid w:val="001D7ADF"/>
    <w:rsid w:val="001D7C50"/>
    <w:rsid w:val="001D7D13"/>
    <w:rsid w:val="001D7EFC"/>
    <w:rsid w:val="001E0A31"/>
    <w:rsid w:val="001E1AFF"/>
    <w:rsid w:val="001E1DD1"/>
    <w:rsid w:val="001E2101"/>
    <w:rsid w:val="001E2118"/>
    <w:rsid w:val="001E21F4"/>
    <w:rsid w:val="001E2590"/>
    <w:rsid w:val="001E35C0"/>
    <w:rsid w:val="001E35CD"/>
    <w:rsid w:val="001E43A8"/>
    <w:rsid w:val="001E4499"/>
    <w:rsid w:val="001E4572"/>
    <w:rsid w:val="001E4DC5"/>
    <w:rsid w:val="001E52A1"/>
    <w:rsid w:val="001E53D4"/>
    <w:rsid w:val="001E64A3"/>
    <w:rsid w:val="001E65A9"/>
    <w:rsid w:val="001E72CE"/>
    <w:rsid w:val="001F09F2"/>
    <w:rsid w:val="001F0A2F"/>
    <w:rsid w:val="001F1036"/>
    <w:rsid w:val="001F12FD"/>
    <w:rsid w:val="001F17CB"/>
    <w:rsid w:val="001F1AAA"/>
    <w:rsid w:val="001F263C"/>
    <w:rsid w:val="001F2E83"/>
    <w:rsid w:val="001F32F9"/>
    <w:rsid w:val="001F34DA"/>
    <w:rsid w:val="001F3517"/>
    <w:rsid w:val="001F4636"/>
    <w:rsid w:val="001F4A27"/>
    <w:rsid w:val="001F4A85"/>
    <w:rsid w:val="001F5567"/>
    <w:rsid w:val="001F5DEB"/>
    <w:rsid w:val="001F62E4"/>
    <w:rsid w:val="001F64AF"/>
    <w:rsid w:val="001F68E7"/>
    <w:rsid w:val="001F6911"/>
    <w:rsid w:val="001F6C09"/>
    <w:rsid w:val="001F6F43"/>
    <w:rsid w:val="001F6FE7"/>
    <w:rsid w:val="001F7487"/>
    <w:rsid w:val="001F7AFD"/>
    <w:rsid w:val="001F7F7D"/>
    <w:rsid w:val="00200328"/>
    <w:rsid w:val="00200506"/>
    <w:rsid w:val="00200595"/>
    <w:rsid w:val="002007C0"/>
    <w:rsid w:val="00200856"/>
    <w:rsid w:val="00201464"/>
    <w:rsid w:val="00201BB7"/>
    <w:rsid w:val="00202AEF"/>
    <w:rsid w:val="00202CC8"/>
    <w:rsid w:val="00202D29"/>
    <w:rsid w:val="002033B4"/>
    <w:rsid w:val="002033FF"/>
    <w:rsid w:val="002035E7"/>
    <w:rsid w:val="00203AFA"/>
    <w:rsid w:val="00203D3E"/>
    <w:rsid w:val="0020424B"/>
    <w:rsid w:val="00204D52"/>
    <w:rsid w:val="00205281"/>
    <w:rsid w:val="00205BAB"/>
    <w:rsid w:val="002066EE"/>
    <w:rsid w:val="00206D6D"/>
    <w:rsid w:val="00207A21"/>
    <w:rsid w:val="002102A2"/>
    <w:rsid w:val="00210317"/>
    <w:rsid w:val="00210890"/>
    <w:rsid w:val="00210A93"/>
    <w:rsid w:val="00210CEE"/>
    <w:rsid w:val="00210D0B"/>
    <w:rsid w:val="00211141"/>
    <w:rsid w:val="002115A0"/>
    <w:rsid w:val="002116AA"/>
    <w:rsid w:val="0021254A"/>
    <w:rsid w:val="002128DD"/>
    <w:rsid w:val="00212AE8"/>
    <w:rsid w:val="00213839"/>
    <w:rsid w:val="00213B57"/>
    <w:rsid w:val="00213C79"/>
    <w:rsid w:val="002147EA"/>
    <w:rsid w:val="00214952"/>
    <w:rsid w:val="00214D11"/>
    <w:rsid w:val="00215140"/>
    <w:rsid w:val="002157F9"/>
    <w:rsid w:val="002158A1"/>
    <w:rsid w:val="0021591F"/>
    <w:rsid w:val="00215CE0"/>
    <w:rsid w:val="0021629B"/>
    <w:rsid w:val="00217053"/>
    <w:rsid w:val="00221615"/>
    <w:rsid w:val="00221B83"/>
    <w:rsid w:val="0022244A"/>
    <w:rsid w:val="00222699"/>
    <w:rsid w:val="00223155"/>
    <w:rsid w:val="002239A0"/>
    <w:rsid w:val="00223F8E"/>
    <w:rsid w:val="00224D53"/>
    <w:rsid w:val="00224F82"/>
    <w:rsid w:val="00225397"/>
    <w:rsid w:val="00225452"/>
    <w:rsid w:val="002262E0"/>
    <w:rsid w:val="002266FA"/>
    <w:rsid w:val="00226878"/>
    <w:rsid w:val="00227761"/>
    <w:rsid w:val="00227792"/>
    <w:rsid w:val="00227C94"/>
    <w:rsid w:val="00227FBF"/>
    <w:rsid w:val="00227FF4"/>
    <w:rsid w:val="0023049B"/>
    <w:rsid w:val="002305C2"/>
    <w:rsid w:val="002305FD"/>
    <w:rsid w:val="002307C7"/>
    <w:rsid w:val="00230E9A"/>
    <w:rsid w:val="002314DD"/>
    <w:rsid w:val="00231AFE"/>
    <w:rsid w:val="0023226D"/>
    <w:rsid w:val="00232342"/>
    <w:rsid w:val="00232569"/>
    <w:rsid w:val="0023315C"/>
    <w:rsid w:val="00233172"/>
    <w:rsid w:val="002331D8"/>
    <w:rsid w:val="002331E2"/>
    <w:rsid w:val="0023398B"/>
    <w:rsid w:val="0023405A"/>
    <w:rsid w:val="00234B7F"/>
    <w:rsid w:val="00234BD9"/>
    <w:rsid w:val="00234C35"/>
    <w:rsid w:val="00234FA9"/>
    <w:rsid w:val="002353B4"/>
    <w:rsid w:val="002362A3"/>
    <w:rsid w:val="002371A1"/>
    <w:rsid w:val="00237354"/>
    <w:rsid w:val="00237379"/>
    <w:rsid w:val="0024011E"/>
    <w:rsid w:val="0024016C"/>
    <w:rsid w:val="002404DF"/>
    <w:rsid w:val="00240C72"/>
    <w:rsid w:val="00240D90"/>
    <w:rsid w:val="00240EB2"/>
    <w:rsid w:val="00241115"/>
    <w:rsid w:val="0024260E"/>
    <w:rsid w:val="002430C9"/>
    <w:rsid w:val="002441BA"/>
    <w:rsid w:val="00244B8D"/>
    <w:rsid w:val="00244D3D"/>
    <w:rsid w:val="00244DBA"/>
    <w:rsid w:val="002453B3"/>
    <w:rsid w:val="00245762"/>
    <w:rsid w:val="0024590C"/>
    <w:rsid w:val="00245A42"/>
    <w:rsid w:val="00245A48"/>
    <w:rsid w:val="00246155"/>
    <w:rsid w:val="0024624B"/>
    <w:rsid w:val="0024690E"/>
    <w:rsid w:val="002469EE"/>
    <w:rsid w:val="00247436"/>
    <w:rsid w:val="00247C7B"/>
    <w:rsid w:val="00247CAB"/>
    <w:rsid w:val="0025022C"/>
    <w:rsid w:val="002502F4"/>
    <w:rsid w:val="00250628"/>
    <w:rsid w:val="00250687"/>
    <w:rsid w:val="00250700"/>
    <w:rsid w:val="00250CA9"/>
    <w:rsid w:val="00251505"/>
    <w:rsid w:val="00251C13"/>
    <w:rsid w:val="002520AD"/>
    <w:rsid w:val="00252177"/>
    <w:rsid w:val="00252F4A"/>
    <w:rsid w:val="0025334A"/>
    <w:rsid w:val="00253B22"/>
    <w:rsid w:val="00254A52"/>
    <w:rsid w:val="00255346"/>
    <w:rsid w:val="00255B35"/>
    <w:rsid w:val="00256A2F"/>
    <w:rsid w:val="00256CF2"/>
    <w:rsid w:val="00256F95"/>
    <w:rsid w:val="00257801"/>
    <w:rsid w:val="0025791E"/>
    <w:rsid w:val="002600B5"/>
    <w:rsid w:val="00260959"/>
    <w:rsid w:val="002609A6"/>
    <w:rsid w:val="00260D7C"/>
    <w:rsid w:val="00261225"/>
    <w:rsid w:val="002612C5"/>
    <w:rsid w:val="0026160E"/>
    <w:rsid w:val="00261AC2"/>
    <w:rsid w:val="00262688"/>
    <w:rsid w:val="0026292E"/>
    <w:rsid w:val="00263375"/>
    <w:rsid w:val="002640FD"/>
    <w:rsid w:val="00264DC6"/>
    <w:rsid w:val="00264F8C"/>
    <w:rsid w:val="002659E1"/>
    <w:rsid w:val="00265CE3"/>
    <w:rsid w:val="00265FD3"/>
    <w:rsid w:val="00266140"/>
    <w:rsid w:val="00266743"/>
    <w:rsid w:val="00267036"/>
    <w:rsid w:val="002672AA"/>
    <w:rsid w:val="00267511"/>
    <w:rsid w:val="002719D2"/>
    <w:rsid w:val="00272D80"/>
    <w:rsid w:val="00273B98"/>
    <w:rsid w:val="00274789"/>
    <w:rsid w:val="00274A2C"/>
    <w:rsid w:val="00274D44"/>
    <w:rsid w:val="0027513D"/>
    <w:rsid w:val="00275A1F"/>
    <w:rsid w:val="00275ED5"/>
    <w:rsid w:val="002760E2"/>
    <w:rsid w:val="00276898"/>
    <w:rsid w:val="00276CC1"/>
    <w:rsid w:val="0027710B"/>
    <w:rsid w:val="00277ACD"/>
    <w:rsid w:val="00277D51"/>
    <w:rsid w:val="00277DB8"/>
    <w:rsid w:val="002800CB"/>
    <w:rsid w:val="0028091B"/>
    <w:rsid w:val="00281125"/>
    <w:rsid w:val="00281827"/>
    <w:rsid w:val="00281B89"/>
    <w:rsid w:val="00281C30"/>
    <w:rsid w:val="00282B70"/>
    <w:rsid w:val="00283ED5"/>
    <w:rsid w:val="00283F25"/>
    <w:rsid w:val="00283FDF"/>
    <w:rsid w:val="0028497F"/>
    <w:rsid w:val="00284C0D"/>
    <w:rsid w:val="00285427"/>
    <w:rsid w:val="002856E4"/>
    <w:rsid w:val="00285B15"/>
    <w:rsid w:val="00286A90"/>
    <w:rsid w:val="002873ED"/>
    <w:rsid w:val="002875B6"/>
    <w:rsid w:val="002908B7"/>
    <w:rsid w:val="00290A04"/>
    <w:rsid w:val="00290EF3"/>
    <w:rsid w:val="00291531"/>
    <w:rsid w:val="00292075"/>
    <w:rsid w:val="00292642"/>
    <w:rsid w:val="00292CC5"/>
    <w:rsid w:val="00292DAD"/>
    <w:rsid w:val="00292EB1"/>
    <w:rsid w:val="00292EE7"/>
    <w:rsid w:val="00293202"/>
    <w:rsid w:val="00294544"/>
    <w:rsid w:val="002949DA"/>
    <w:rsid w:val="00294A1A"/>
    <w:rsid w:val="00294C4A"/>
    <w:rsid w:val="00294DD2"/>
    <w:rsid w:val="00294F50"/>
    <w:rsid w:val="00295061"/>
    <w:rsid w:val="0029576C"/>
    <w:rsid w:val="00295998"/>
    <w:rsid w:val="00295B63"/>
    <w:rsid w:val="00295DDF"/>
    <w:rsid w:val="00296611"/>
    <w:rsid w:val="00296C9E"/>
    <w:rsid w:val="00297758"/>
    <w:rsid w:val="002979ED"/>
    <w:rsid w:val="00297B37"/>
    <w:rsid w:val="002A0D84"/>
    <w:rsid w:val="002A0D90"/>
    <w:rsid w:val="002A1477"/>
    <w:rsid w:val="002A1A23"/>
    <w:rsid w:val="002A2205"/>
    <w:rsid w:val="002A28AA"/>
    <w:rsid w:val="002A297A"/>
    <w:rsid w:val="002A2F3E"/>
    <w:rsid w:val="002A3A7C"/>
    <w:rsid w:val="002A3AD4"/>
    <w:rsid w:val="002A3BDB"/>
    <w:rsid w:val="002A4195"/>
    <w:rsid w:val="002A4353"/>
    <w:rsid w:val="002A4508"/>
    <w:rsid w:val="002A45D2"/>
    <w:rsid w:val="002A5002"/>
    <w:rsid w:val="002A52BC"/>
    <w:rsid w:val="002A53DC"/>
    <w:rsid w:val="002A59EC"/>
    <w:rsid w:val="002A6440"/>
    <w:rsid w:val="002A6F17"/>
    <w:rsid w:val="002A7EF9"/>
    <w:rsid w:val="002B00A4"/>
    <w:rsid w:val="002B1383"/>
    <w:rsid w:val="002B152D"/>
    <w:rsid w:val="002B2B51"/>
    <w:rsid w:val="002B3E08"/>
    <w:rsid w:val="002B4031"/>
    <w:rsid w:val="002B43C4"/>
    <w:rsid w:val="002B4672"/>
    <w:rsid w:val="002B4A38"/>
    <w:rsid w:val="002B4BCC"/>
    <w:rsid w:val="002B4FCB"/>
    <w:rsid w:val="002B5578"/>
    <w:rsid w:val="002B5BC3"/>
    <w:rsid w:val="002B5F80"/>
    <w:rsid w:val="002B61DD"/>
    <w:rsid w:val="002B6251"/>
    <w:rsid w:val="002B67CD"/>
    <w:rsid w:val="002B6A6B"/>
    <w:rsid w:val="002B6C49"/>
    <w:rsid w:val="002B7039"/>
    <w:rsid w:val="002B764A"/>
    <w:rsid w:val="002B79B7"/>
    <w:rsid w:val="002B7B0C"/>
    <w:rsid w:val="002C00B3"/>
    <w:rsid w:val="002C09D4"/>
    <w:rsid w:val="002C0B01"/>
    <w:rsid w:val="002C117F"/>
    <w:rsid w:val="002C12A9"/>
    <w:rsid w:val="002C1EE6"/>
    <w:rsid w:val="002C2039"/>
    <w:rsid w:val="002C2307"/>
    <w:rsid w:val="002C26BE"/>
    <w:rsid w:val="002C2A4D"/>
    <w:rsid w:val="002C3958"/>
    <w:rsid w:val="002C40BD"/>
    <w:rsid w:val="002C4227"/>
    <w:rsid w:val="002C496D"/>
    <w:rsid w:val="002C4A88"/>
    <w:rsid w:val="002C517D"/>
    <w:rsid w:val="002C577B"/>
    <w:rsid w:val="002C5CB8"/>
    <w:rsid w:val="002C5DD7"/>
    <w:rsid w:val="002C5E53"/>
    <w:rsid w:val="002C619C"/>
    <w:rsid w:val="002C6803"/>
    <w:rsid w:val="002C6A5F"/>
    <w:rsid w:val="002C6D95"/>
    <w:rsid w:val="002C7475"/>
    <w:rsid w:val="002C7638"/>
    <w:rsid w:val="002C77C6"/>
    <w:rsid w:val="002D061E"/>
    <w:rsid w:val="002D0753"/>
    <w:rsid w:val="002D0894"/>
    <w:rsid w:val="002D0C13"/>
    <w:rsid w:val="002D1367"/>
    <w:rsid w:val="002D1577"/>
    <w:rsid w:val="002D16F0"/>
    <w:rsid w:val="002D1A6B"/>
    <w:rsid w:val="002D1B59"/>
    <w:rsid w:val="002D2156"/>
    <w:rsid w:val="002D21AB"/>
    <w:rsid w:val="002D23E1"/>
    <w:rsid w:val="002D247F"/>
    <w:rsid w:val="002D33A2"/>
    <w:rsid w:val="002D3483"/>
    <w:rsid w:val="002D3C12"/>
    <w:rsid w:val="002D3D34"/>
    <w:rsid w:val="002D4858"/>
    <w:rsid w:val="002D4AFF"/>
    <w:rsid w:val="002D5014"/>
    <w:rsid w:val="002D56B0"/>
    <w:rsid w:val="002D5C49"/>
    <w:rsid w:val="002D62C4"/>
    <w:rsid w:val="002D7783"/>
    <w:rsid w:val="002D7CA6"/>
    <w:rsid w:val="002D7DA6"/>
    <w:rsid w:val="002E00EE"/>
    <w:rsid w:val="002E0289"/>
    <w:rsid w:val="002E14B4"/>
    <w:rsid w:val="002E1742"/>
    <w:rsid w:val="002E1D45"/>
    <w:rsid w:val="002E1FB3"/>
    <w:rsid w:val="002E2279"/>
    <w:rsid w:val="002E29BA"/>
    <w:rsid w:val="002E3799"/>
    <w:rsid w:val="002E38D9"/>
    <w:rsid w:val="002E3C93"/>
    <w:rsid w:val="002E4C9F"/>
    <w:rsid w:val="002E518B"/>
    <w:rsid w:val="002E56D6"/>
    <w:rsid w:val="002E5987"/>
    <w:rsid w:val="002E5D56"/>
    <w:rsid w:val="002E6769"/>
    <w:rsid w:val="002E73AF"/>
    <w:rsid w:val="002F0137"/>
    <w:rsid w:val="002F1536"/>
    <w:rsid w:val="002F16B7"/>
    <w:rsid w:val="002F17E0"/>
    <w:rsid w:val="002F1ABA"/>
    <w:rsid w:val="002F1C64"/>
    <w:rsid w:val="002F1F5B"/>
    <w:rsid w:val="002F20B4"/>
    <w:rsid w:val="002F281C"/>
    <w:rsid w:val="002F29F2"/>
    <w:rsid w:val="002F3258"/>
    <w:rsid w:val="002F3618"/>
    <w:rsid w:val="002F36EF"/>
    <w:rsid w:val="002F3750"/>
    <w:rsid w:val="002F3C29"/>
    <w:rsid w:val="002F438E"/>
    <w:rsid w:val="002F471C"/>
    <w:rsid w:val="002F4C4C"/>
    <w:rsid w:val="002F4CF4"/>
    <w:rsid w:val="002F4E61"/>
    <w:rsid w:val="002F5085"/>
    <w:rsid w:val="002F5165"/>
    <w:rsid w:val="002F51CF"/>
    <w:rsid w:val="002F6F51"/>
    <w:rsid w:val="002F78ED"/>
    <w:rsid w:val="002F7938"/>
    <w:rsid w:val="002F7BC3"/>
    <w:rsid w:val="002F7EFE"/>
    <w:rsid w:val="003009EF"/>
    <w:rsid w:val="003014DC"/>
    <w:rsid w:val="00301EE9"/>
    <w:rsid w:val="00301FEA"/>
    <w:rsid w:val="003020DD"/>
    <w:rsid w:val="00303663"/>
    <w:rsid w:val="00303EBD"/>
    <w:rsid w:val="00303F13"/>
    <w:rsid w:val="00304F8B"/>
    <w:rsid w:val="0030560C"/>
    <w:rsid w:val="00305BF9"/>
    <w:rsid w:val="00305EFC"/>
    <w:rsid w:val="0030629C"/>
    <w:rsid w:val="003064C0"/>
    <w:rsid w:val="00306576"/>
    <w:rsid w:val="00307530"/>
    <w:rsid w:val="00307FCC"/>
    <w:rsid w:val="003104D4"/>
    <w:rsid w:val="00310D5D"/>
    <w:rsid w:val="00311186"/>
    <w:rsid w:val="003117ED"/>
    <w:rsid w:val="00311C83"/>
    <w:rsid w:val="00311E93"/>
    <w:rsid w:val="003123AE"/>
    <w:rsid w:val="00312E38"/>
    <w:rsid w:val="00312E72"/>
    <w:rsid w:val="003131E9"/>
    <w:rsid w:val="00313D67"/>
    <w:rsid w:val="00313E77"/>
    <w:rsid w:val="00314881"/>
    <w:rsid w:val="00314B47"/>
    <w:rsid w:val="00315538"/>
    <w:rsid w:val="00315BFF"/>
    <w:rsid w:val="0031601F"/>
    <w:rsid w:val="003162C1"/>
    <w:rsid w:val="00316444"/>
    <w:rsid w:val="0031644A"/>
    <w:rsid w:val="003165F7"/>
    <w:rsid w:val="003167A5"/>
    <w:rsid w:val="003169F5"/>
    <w:rsid w:val="00316C7C"/>
    <w:rsid w:val="00317429"/>
    <w:rsid w:val="003175B6"/>
    <w:rsid w:val="0032070E"/>
    <w:rsid w:val="00320B4E"/>
    <w:rsid w:val="0032100D"/>
    <w:rsid w:val="00321349"/>
    <w:rsid w:val="00321655"/>
    <w:rsid w:val="00321706"/>
    <w:rsid w:val="00321DE5"/>
    <w:rsid w:val="00321F7B"/>
    <w:rsid w:val="0032231E"/>
    <w:rsid w:val="0032249D"/>
    <w:rsid w:val="00322767"/>
    <w:rsid w:val="003229CF"/>
    <w:rsid w:val="003229D7"/>
    <w:rsid w:val="00322B17"/>
    <w:rsid w:val="00323186"/>
    <w:rsid w:val="00323E77"/>
    <w:rsid w:val="0032438B"/>
    <w:rsid w:val="00325C70"/>
    <w:rsid w:val="00325FC0"/>
    <w:rsid w:val="003261D4"/>
    <w:rsid w:val="003263E7"/>
    <w:rsid w:val="00326943"/>
    <w:rsid w:val="00326CA3"/>
    <w:rsid w:val="003274B1"/>
    <w:rsid w:val="00327F16"/>
    <w:rsid w:val="00330474"/>
    <w:rsid w:val="003309A3"/>
    <w:rsid w:val="00330AC1"/>
    <w:rsid w:val="00330E99"/>
    <w:rsid w:val="00331283"/>
    <w:rsid w:val="003320E1"/>
    <w:rsid w:val="00332182"/>
    <w:rsid w:val="00332280"/>
    <w:rsid w:val="00332EA5"/>
    <w:rsid w:val="0033347C"/>
    <w:rsid w:val="00333835"/>
    <w:rsid w:val="00333C92"/>
    <w:rsid w:val="00334106"/>
    <w:rsid w:val="00334523"/>
    <w:rsid w:val="00334DE6"/>
    <w:rsid w:val="00335522"/>
    <w:rsid w:val="003357A2"/>
    <w:rsid w:val="00336ADA"/>
    <w:rsid w:val="00337196"/>
    <w:rsid w:val="00341072"/>
    <w:rsid w:val="00341C02"/>
    <w:rsid w:val="00341D70"/>
    <w:rsid w:val="00341FA5"/>
    <w:rsid w:val="0034205A"/>
    <w:rsid w:val="003421A3"/>
    <w:rsid w:val="00342294"/>
    <w:rsid w:val="0034231C"/>
    <w:rsid w:val="0034239C"/>
    <w:rsid w:val="00342470"/>
    <w:rsid w:val="0034282F"/>
    <w:rsid w:val="00343103"/>
    <w:rsid w:val="00343174"/>
    <w:rsid w:val="003438FA"/>
    <w:rsid w:val="00345F4A"/>
    <w:rsid w:val="003464D1"/>
    <w:rsid w:val="003464EA"/>
    <w:rsid w:val="00346A80"/>
    <w:rsid w:val="00346E7F"/>
    <w:rsid w:val="00346F57"/>
    <w:rsid w:val="00347EA1"/>
    <w:rsid w:val="00350D84"/>
    <w:rsid w:val="00351084"/>
    <w:rsid w:val="00351A09"/>
    <w:rsid w:val="00351DC9"/>
    <w:rsid w:val="00352169"/>
    <w:rsid w:val="0035415B"/>
    <w:rsid w:val="003559A5"/>
    <w:rsid w:val="00355A28"/>
    <w:rsid w:val="003569FB"/>
    <w:rsid w:val="00357467"/>
    <w:rsid w:val="00357655"/>
    <w:rsid w:val="0035784B"/>
    <w:rsid w:val="00357F2A"/>
    <w:rsid w:val="00361A80"/>
    <w:rsid w:val="00361AC8"/>
    <w:rsid w:val="00362132"/>
    <w:rsid w:val="003622E6"/>
    <w:rsid w:val="00362581"/>
    <w:rsid w:val="00362A9E"/>
    <w:rsid w:val="00362AEE"/>
    <w:rsid w:val="0036316E"/>
    <w:rsid w:val="00363898"/>
    <w:rsid w:val="00364429"/>
    <w:rsid w:val="00364548"/>
    <w:rsid w:val="003648EA"/>
    <w:rsid w:val="00364B8A"/>
    <w:rsid w:val="003652D1"/>
    <w:rsid w:val="00365CEB"/>
    <w:rsid w:val="0036641A"/>
    <w:rsid w:val="0036671D"/>
    <w:rsid w:val="00366731"/>
    <w:rsid w:val="00366AC9"/>
    <w:rsid w:val="00366FCD"/>
    <w:rsid w:val="00367183"/>
    <w:rsid w:val="00367DAA"/>
    <w:rsid w:val="00370339"/>
    <w:rsid w:val="003705F8"/>
    <w:rsid w:val="00370AE4"/>
    <w:rsid w:val="00370BF3"/>
    <w:rsid w:val="00370F37"/>
    <w:rsid w:val="00371950"/>
    <w:rsid w:val="00371A1C"/>
    <w:rsid w:val="003720CC"/>
    <w:rsid w:val="00372877"/>
    <w:rsid w:val="00373635"/>
    <w:rsid w:val="00373C0E"/>
    <w:rsid w:val="00374390"/>
    <w:rsid w:val="003743E4"/>
    <w:rsid w:val="0037584E"/>
    <w:rsid w:val="00375CE3"/>
    <w:rsid w:val="00375FA4"/>
    <w:rsid w:val="00376574"/>
    <w:rsid w:val="00380174"/>
    <w:rsid w:val="00380289"/>
    <w:rsid w:val="00381226"/>
    <w:rsid w:val="00382E0E"/>
    <w:rsid w:val="00382F4D"/>
    <w:rsid w:val="00383179"/>
    <w:rsid w:val="00383507"/>
    <w:rsid w:val="00383DA8"/>
    <w:rsid w:val="003843ED"/>
    <w:rsid w:val="00384D7E"/>
    <w:rsid w:val="00385DC9"/>
    <w:rsid w:val="00386771"/>
    <w:rsid w:val="00387367"/>
    <w:rsid w:val="0038753E"/>
    <w:rsid w:val="00387C42"/>
    <w:rsid w:val="00387D1D"/>
    <w:rsid w:val="00387DFB"/>
    <w:rsid w:val="0039002D"/>
    <w:rsid w:val="0039013B"/>
    <w:rsid w:val="003901AB"/>
    <w:rsid w:val="00390387"/>
    <w:rsid w:val="003904CD"/>
    <w:rsid w:val="00390886"/>
    <w:rsid w:val="0039141C"/>
    <w:rsid w:val="003916FB"/>
    <w:rsid w:val="0039208E"/>
    <w:rsid w:val="00392E30"/>
    <w:rsid w:val="003930AC"/>
    <w:rsid w:val="00393D7A"/>
    <w:rsid w:val="00394037"/>
    <w:rsid w:val="003948FC"/>
    <w:rsid w:val="00394F11"/>
    <w:rsid w:val="00395DAD"/>
    <w:rsid w:val="00396276"/>
    <w:rsid w:val="0039785B"/>
    <w:rsid w:val="003A1EB5"/>
    <w:rsid w:val="003A23A0"/>
    <w:rsid w:val="003A2723"/>
    <w:rsid w:val="003A2746"/>
    <w:rsid w:val="003A357C"/>
    <w:rsid w:val="003A39F9"/>
    <w:rsid w:val="003A3B19"/>
    <w:rsid w:val="003A4713"/>
    <w:rsid w:val="003A48FC"/>
    <w:rsid w:val="003A4EB3"/>
    <w:rsid w:val="003A5274"/>
    <w:rsid w:val="003A53D9"/>
    <w:rsid w:val="003A680B"/>
    <w:rsid w:val="003A6E85"/>
    <w:rsid w:val="003A780B"/>
    <w:rsid w:val="003A7DBA"/>
    <w:rsid w:val="003B11AF"/>
    <w:rsid w:val="003B1C80"/>
    <w:rsid w:val="003B1D67"/>
    <w:rsid w:val="003B2426"/>
    <w:rsid w:val="003B26D9"/>
    <w:rsid w:val="003B301A"/>
    <w:rsid w:val="003B305F"/>
    <w:rsid w:val="003B3301"/>
    <w:rsid w:val="003B38F4"/>
    <w:rsid w:val="003B3E91"/>
    <w:rsid w:val="003B45CB"/>
    <w:rsid w:val="003B4856"/>
    <w:rsid w:val="003B491E"/>
    <w:rsid w:val="003B5631"/>
    <w:rsid w:val="003B597F"/>
    <w:rsid w:val="003B5C9B"/>
    <w:rsid w:val="003B5E05"/>
    <w:rsid w:val="003B67DE"/>
    <w:rsid w:val="003B6BD6"/>
    <w:rsid w:val="003B7FAF"/>
    <w:rsid w:val="003C0046"/>
    <w:rsid w:val="003C123F"/>
    <w:rsid w:val="003C1704"/>
    <w:rsid w:val="003C185F"/>
    <w:rsid w:val="003C21B6"/>
    <w:rsid w:val="003C28A3"/>
    <w:rsid w:val="003C28FD"/>
    <w:rsid w:val="003C2C2A"/>
    <w:rsid w:val="003C3022"/>
    <w:rsid w:val="003C3CB1"/>
    <w:rsid w:val="003C4366"/>
    <w:rsid w:val="003C46F1"/>
    <w:rsid w:val="003C46F2"/>
    <w:rsid w:val="003C5EE5"/>
    <w:rsid w:val="003C5FE5"/>
    <w:rsid w:val="003C639B"/>
    <w:rsid w:val="003C6454"/>
    <w:rsid w:val="003C6651"/>
    <w:rsid w:val="003D0882"/>
    <w:rsid w:val="003D0AC8"/>
    <w:rsid w:val="003D104C"/>
    <w:rsid w:val="003D12FE"/>
    <w:rsid w:val="003D178D"/>
    <w:rsid w:val="003D17D6"/>
    <w:rsid w:val="003D1E9A"/>
    <w:rsid w:val="003D2275"/>
    <w:rsid w:val="003D2464"/>
    <w:rsid w:val="003D27B9"/>
    <w:rsid w:val="003D2872"/>
    <w:rsid w:val="003D2E2E"/>
    <w:rsid w:val="003D3670"/>
    <w:rsid w:val="003D3A5B"/>
    <w:rsid w:val="003D3D71"/>
    <w:rsid w:val="003D4270"/>
    <w:rsid w:val="003D4955"/>
    <w:rsid w:val="003D4E57"/>
    <w:rsid w:val="003D4E7A"/>
    <w:rsid w:val="003D55A4"/>
    <w:rsid w:val="003D5616"/>
    <w:rsid w:val="003D5806"/>
    <w:rsid w:val="003D5FF6"/>
    <w:rsid w:val="003D6A96"/>
    <w:rsid w:val="003D7632"/>
    <w:rsid w:val="003E2311"/>
    <w:rsid w:val="003E244A"/>
    <w:rsid w:val="003E283E"/>
    <w:rsid w:val="003E2A7A"/>
    <w:rsid w:val="003E2ADD"/>
    <w:rsid w:val="003E31FD"/>
    <w:rsid w:val="003E328C"/>
    <w:rsid w:val="003E3397"/>
    <w:rsid w:val="003E33E3"/>
    <w:rsid w:val="003E3690"/>
    <w:rsid w:val="003E392D"/>
    <w:rsid w:val="003E3F6E"/>
    <w:rsid w:val="003E403B"/>
    <w:rsid w:val="003E446E"/>
    <w:rsid w:val="003E469E"/>
    <w:rsid w:val="003E4B76"/>
    <w:rsid w:val="003E5809"/>
    <w:rsid w:val="003E5B4C"/>
    <w:rsid w:val="003E5ED7"/>
    <w:rsid w:val="003E614F"/>
    <w:rsid w:val="003E634E"/>
    <w:rsid w:val="003E6A0D"/>
    <w:rsid w:val="003E6E3E"/>
    <w:rsid w:val="003E71F7"/>
    <w:rsid w:val="003F11E7"/>
    <w:rsid w:val="003F1A89"/>
    <w:rsid w:val="003F1C65"/>
    <w:rsid w:val="003F21E5"/>
    <w:rsid w:val="003F29E8"/>
    <w:rsid w:val="003F2AFA"/>
    <w:rsid w:val="003F33FC"/>
    <w:rsid w:val="003F37E6"/>
    <w:rsid w:val="003F4887"/>
    <w:rsid w:val="003F4C54"/>
    <w:rsid w:val="003F4D0F"/>
    <w:rsid w:val="003F536F"/>
    <w:rsid w:val="003F54E6"/>
    <w:rsid w:val="003F5721"/>
    <w:rsid w:val="003F57EB"/>
    <w:rsid w:val="003F62D9"/>
    <w:rsid w:val="003F6769"/>
    <w:rsid w:val="003F7364"/>
    <w:rsid w:val="003F7841"/>
    <w:rsid w:val="003F78A3"/>
    <w:rsid w:val="003F7F8E"/>
    <w:rsid w:val="00400B45"/>
    <w:rsid w:val="004016FB"/>
    <w:rsid w:val="00401726"/>
    <w:rsid w:val="00401986"/>
    <w:rsid w:val="00401AC1"/>
    <w:rsid w:val="0040280F"/>
    <w:rsid w:val="00402CC1"/>
    <w:rsid w:val="00402D75"/>
    <w:rsid w:val="00402E5D"/>
    <w:rsid w:val="0040302C"/>
    <w:rsid w:val="00403B08"/>
    <w:rsid w:val="00404461"/>
    <w:rsid w:val="0040465F"/>
    <w:rsid w:val="00405458"/>
    <w:rsid w:val="00405843"/>
    <w:rsid w:val="00405990"/>
    <w:rsid w:val="00405C0E"/>
    <w:rsid w:val="0040614E"/>
    <w:rsid w:val="00406911"/>
    <w:rsid w:val="00406A2F"/>
    <w:rsid w:val="00406BB0"/>
    <w:rsid w:val="0040768B"/>
    <w:rsid w:val="00410CF1"/>
    <w:rsid w:val="004117F6"/>
    <w:rsid w:val="004119F5"/>
    <w:rsid w:val="00411D36"/>
    <w:rsid w:val="00412106"/>
    <w:rsid w:val="00412F61"/>
    <w:rsid w:val="00413E57"/>
    <w:rsid w:val="00413E7C"/>
    <w:rsid w:val="004141EF"/>
    <w:rsid w:val="00415265"/>
    <w:rsid w:val="0041580B"/>
    <w:rsid w:val="00415DD7"/>
    <w:rsid w:val="00415FFD"/>
    <w:rsid w:val="00416143"/>
    <w:rsid w:val="00416B4C"/>
    <w:rsid w:val="0042032C"/>
    <w:rsid w:val="004204D8"/>
    <w:rsid w:val="00420A8F"/>
    <w:rsid w:val="00420ACC"/>
    <w:rsid w:val="004213AD"/>
    <w:rsid w:val="0042167C"/>
    <w:rsid w:val="00421D3F"/>
    <w:rsid w:val="004222DC"/>
    <w:rsid w:val="00422691"/>
    <w:rsid w:val="00422908"/>
    <w:rsid w:val="004231D7"/>
    <w:rsid w:val="00423373"/>
    <w:rsid w:val="00423E90"/>
    <w:rsid w:val="00425861"/>
    <w:rsid w:val="00425FB9"/>
    <w:rsid w:val="00427196"/>
    <w:rsid w:val="0042777E"/>
    <w:rsid w:val="00430676"/>
    <w:rsid w:val="00430A7E"/>
    <w:rsid w:val="00431A4F"/>
    <w:rsid w:val="00431B47"/>
    <w:rsid w:val="00431E6E"/>
    <w:rsid w:val="00431FEA"/>
    <w:rsid w:val="00432180"/>
    <w:rsid w:val="004324C2"/>
    <w:rsid w:val="004329EB"/>
    <w:rsid w:val="004334A9"/>
    <w:rsid w:val="00433B0E"/>
    <w:rsid w:val="00435E0E"/>
    <w:rsid w:val="00436553"/>
    <w:rsid w:val="00436DF6"/>
    <w:rsid w:val="00436E78"/>
    <w:rsid w:val="004372F9"/>
    <w:rsid w:val="0043788F"/>
    <w:rsid w:val="00437B2B"/>
    <w:rsid w:val="00437CD3"/>
    <w:rsid w:val="004414A7"/>
    <w:rsid w:val="0044255A"/>
    <w:rsid w:val="00442598"/>
    <w:rsid w:val="00442653"/>
    <w:rsid w:val="00442DEF"/>
    <w:rsid w:val="004430AF"/>
    <w:rsid w:val="0044319F"/>
    <w:rsid w:val="00443701"/>
    <w:rsid w:val="004439B8"/>
    <w:rsid w:val="004439C3"/>
    <w:rsid w:val="00443C0B"/>
    <w:rsid w:val="00444B8B"/>
    <w:rsid w:val="00444EF5"/>
    <w:rsid w:val="00444F04"/>
    <w:rsid w:val="00445281"/>
    <w:rsid w:val="00445471"/>
    <w:rsid w:val="004456AF"/>
    <w:rsid w:val="00445B75"/>
    <w:rsid w:val="00446F0A"/>
    <w:rsid w:val="0045010E"/>
    <w:rsid w:val="004508FB"/>
    <w:rsid w:val="00450A05"/>
    <w:rsid w:val="00450A72"/>
    <w:rsid w:val="00450C19"/>
    <w:rsid w:val="00450FC9"/>
    <w:rsid w:val="00451EC0"/>
    <w:rsid w:val="00452229"/>
    <w:rsid w:val="004527C4"/>
    <w:rsid w:val="00453609"/>
    <w:rsid w:val="004537AD"/>
    <w:rsid w:val="00454716"/>
    <w:rsid w:val="00454BE6"/>
    <w:rsid w:val="00454C06"/>
    <w:rsid w:val="00456276"/>
    <w:rsid w:val="004574F4"/>
    <w:rsid w:val="00457A22"/>
    <w:rsid w:val="00460244"/>
    <w:rsid w:val="004609F7"/>
    <w:rsid w:val="00460E17"/>
    <w:rsid w:val="00461519"/>
    <w:rsid w:val="00461794"/>
    <w:rsid w:val="00461C05"/>
    <w:rsid w:val="00461EAE"/>
    <w:rsid w:val="004632CC"/>
    <w:rsid w:val="004634F8"/>
    <w:rsid w:val="0046462F"/>
    <w:rsid w:val="00465885"/>
    <w:rsid w:val="00465C29"/>
    <w:rsid w:val="00466346"/>
    <w:rsid w:val="00467239"/>
    <w:rsid w:val="00467A01"/>
    <w:rsid w:val="00467AE8"/>
    <w:rsid w:val="00467F98"/>
    <w:rsid w:val="00470886"/>
    <w:rsid w:val="00471CEF"/>
    <w:rsid w:val="004737A9"/>
    <w:rsid w:val="00473D64"/>
    <w:rsid w:val="0047404D"/>
    <w:rsid w:val="0047444C"/>
    <w:rsid w:val="004744DE"/>
    <w:rsid w:val="00474931"/>
    <w:rsid w:val="00474C69"/>
    <w:rsid w:val="004756D7"/>
    <w:rsid w:val="00475748"/>
    <w:rsid w:val="0047578A"/>
    <w:rsid w:val="00475989"/>
    <w:rsid w:val="00476E47"/>
    <w:rsid w:val="0047783C"/>
    <w:rsid w:val="00477920"/>
    <w:rsid w:val="004800F1"/>
    <w:rsid w:val="00480422"/>
    <w:rsid w:val="00481320"/>
    <w:rsid w:val="004813D5"/>
    <w:rsid w:val="0048160A"/>
    <w:rsid w:val="00481BA7"/>
    <w:rsid w:val="00481D86"/>
    <w:rsid w:val="00481DB0"/>
    <w:rsid w:val="00483660"/>
    <w:rsid w:val="00483964"/>
    <w:rsid w:val="00483981"/>
    <w:rsid w:val="00483D1C"/>
    <w:rsid w:val="00484638"/>
    <w:rsid w:val="00484D72"/>
    <w:rsid w:val="00485769"/>
    <w:rsid w:val="00485E55"/>
    <w:rsid w:val="004861F4"/>
    <w:rsid w:val="00486A7F"/>
    <w:rsid w:val="00486DD0"/>
    <w:rsid w:val="0048742B"/>
    <w:rsid w:val="00487CA1"/>
    <w:rsid w:val="0049025B"/>
    <w:rsid w:val="00490373"/>
    <w:rsid w:val="004907CE"/>
    <w:rsid w:val="00490F49"/>
    <w:rsid w:val="00491119"/>
    <w:rsid w:val="00491221"/>
    <w:rsid w:val="00491738"/>
    <w:rsid w:val="004917FF"/>
    <w:rsid w:val="00491CF7"/>
    <w:rsid w:val="004926F5"/>
    <w:rsid w:val="00492E63"/>
    <w:rsid w:val="004931B7"/>
    <w:rsid w:val="00493467"/>
    <w:rsid w:val="00493977"/>
    <w:rsid w:val="00493CB9"/>
    <w:rsid w:val="00493FD5"/>
    <w:rsid w:val="00494B8F"/>
    <w:rsid w:val="00495791"/>
    <w:rsid w:val="00495989"/>
    <w:rsid w:val="004968F7"/>
    <w:rsid w:val="0049715F"/>
    <w:rsid w:val="004974A9"/>
    <w:rsid w:val="004976CF"/>
    <w:rsid w:val="004978A2"/>
    <w:rsid w:val="00497C84"/>
    <w:rsid w:val="004A0297"/>
    <w:rsid w:val="004A0CED"/>
    <w:rsid w:val="004A1048"/>
    <w:rsid w:val="004A1058"/>
    <w:rsid w:val="004A14F3"/>
    <w:rsid w:val="004A1D4C"/>
    <w:rsid w:val="004A1EEF"/>
    <w:rsid w:val="004A2019"/>
    <w:rsid w:val="004A34B9"/>
    <w:rsid w:val="004A34CB"/>
    <w:rsid w:val="004A3801"/>
    <w:rsid w:val="004A3C6F"/>
    <w:rsid w:val="004A3FEB"/>
    <w:rsid w:val="004A4124"/>
    <w:rsid w:val="004A55A9"/>
    <w:rsid w:val="004A5815"/>
    <w:rsid w:val="004A63AB"/>
    <w:rsid w:val="004A674B"/>
    <w:rsid w:val="004A68EF"/>
    <w:rsid w:val="004A6B37"/>
    <w:rsid w:val="004A6CDE"/>
    <w:rsid w:val="004A6F16"/>
    <w:rsid w:val="004A7150"/>
    <w:rsid w:val="004A72C6"/>
    <w:rsid w:val="004B0074"/>
    <w:rsid w:val="004B03EA"/>
    <w:rsid w:val="004B0D7C"/>
    <w:rsid w:val="004B1038"/>
    <w:rsid w:val="004B17A5"/>
    <w:rsid w:val="004B18D4"/>
    <w:rsid w:val="004B1A6B"/>
    <w:rsid w:val="004B1FD9"/>
    <w:rsid w:val="004B31AC"/>
    <w:rsid w:val="004B397A"/>
    <w:rsid w:val="004B41F4"/>
    <w:rsid w:val="004B42D5"/>
    <w:rsid w:val="004B6011"/>
    <w:rsid w:val="004B6EA4"/>
    <w:rsid w:val="004B71DA"/>
    <w:rsid w:val="004B721D"/>
    <w:rsid w:val="004B75DB"/>
    <w:rsid w:val="004B7BAD"/>
    <w:rsid w:val="004B7CD9"/>
    <w:rsid w:val="004B7D4D"/>
    <w:rsid w:val="004C0327"/>
    <w:rsid w:val="004C074B"/>
    <w:rsid w:val="004C236F"/>
    <w:rsid w:val="004C2CC0"/>
    <w:rsid w:val="004C33AE"/>
    <w:rsid w:val="004C3B38"/>
    <w:rsid w:val="004C5B09"/>
    <w:rsid w:val="004C5E63"/>
    <w:rsid w:val="004C620C"/>
    <w:rsid w:val="004C6341"/>
    <w:rsid w:val="004C6CE1"/>
    <w:rsid w:val="004C6D9C"/>
    <w:rsid w:val="004C7137"/>
    <w:rsid w:val="004C7186"/>
    <w:rsid w:val="004C7296"/>
    <w:rsid w:val="004C73DF"/>
    <w:rsid w:val="004C7DFC"/>
    <w:rsid w:val="004D1AEC"/>
    <w:rsid w:val="004D2907"/>
    <w:rsid w:val="004D2D13"/>
    <w:rsid w:val="004D35DC"/>
    <w:rsid w:val="004D361E"/>
    <w:rsid w:val="004D3ACC"/>
    <w:rsid w:val="004D3F5A"/>
    <w:rsid w:val="004D4036"/>
    <w:rsid w:val="004D5B02"/>
    <w:rsid w:val="004D672C"/>
    <w:rsid w:val="004D6D45"/>
    <w:rsid w:val="004D6EB0"/>
    <w:rsid w:val="004D786B"/>
    <w:rsid w:val="004D7893"/>
    <w:rsid w:val="004D7B07"/>
    <w:rsid w:val="004D7B1C"/>
    <w:rsid w:val="004E0852"/>
    <w:rsid w:val="004E0D9E"/>
    <w:rsid w:val="004E1008"/>
    <w:rsid w:val="004E165A"/>
    <w:rsid w:val="004E1824"/>
    <w:rsid w:val="004E1E3F"/>
    <w:rsid w:val="004E2710"/>
    <w:rsid w:val="004E2DBE"/>
    <w:rsid w:val="004E31F9"/>
    <w:rsid w:val="004E347D"/>
    <w:rsid w:val="004E3A81"/>
    <w:rsid w:val="004E44AE"/>
    <w:rsid w:val="004E48D8"/>
    <w:rsid w:val="004E5584"/>
    <w:rsid w:val="004E569A"/>
    <w:rsid w:val="004E5DEF"/>
    <w:rsid w:val="004E6281"/>
    <w:rsid w:val="004E6725"/>
    <w:rsid w:val="004E6BBE"/>
    <w:rsid w:val="004E73AE"/>
    <w:rsid w:val="004F0352"/>
    <w:rsid w:val="004F14D0"/>
    <w:rsid w:val="004F1D9E"/>
    <w:rsid w:val="004F294A"/>
    <w:rsid w:val="004F295D"/>
    <w:rsid w:val="004F331E"/>
    <w:rsid w:val="004F3731"/>
    <w:rsid w:val="004F4B09"/>
    <w:rsid w:val="004F53D7"/>
    <w:rsid w:val="004F5CBB"/>
    <w:rsid w:val="004F647E"/>
    <w:rsid w:val="004F6C54"/>
    <w:rsid w:val="004F7831"/>
    <w:rsid w:val="004F7E70"/>
    <w:rsid w:val="004F7F0A"/>
    <w:rsid w:val="00500035"/>
    <w:rsid w:val="00500B62"/>
    <w:rsid w:val="00500D90"/>
    <w:rsid w:val="00501424"/>
    <w:rsid w:val="00502179"/>
    <w:rsid w:val="0050246E"/>
    <w:rsid w:val="0050344D"/>
    <w:rsid w:val="005035DD"/>
    <w:rsid w:val="00503706"/>
    <w:rsid w:val="005037AC"/>
    <w:rsid w:val="00503A19"/>
    <w:rsid w:val="00503DFA"/>
    <w:rsid w:val="00504171"/>
    <w:rsid w:val="0050501C"/>
    <w:rsid w:val="0050533B"/>
    <w:rsid w:val="00505524"/>
    <w:rsid w:val="005055F0"/>
    <w:rsid w:val="00505D6B"/>
    <w:rsid w:val="00505EA8"/>
    <w:rsid w:val="00506688"/>
    <w:rsid w:val="005068B2"/>
    <w:rsid w:val="00506B97"/>
    <w:rsid w:val="005070B3"/>
    <w:rsid w:val="00507882"/>
    <w:rsid w:val="00507954"/>
    <w:rsid w:val="0050795C"/>
    <w:rsid w:val="00507BA9"/>
    <w:rsid w:val="00507F66"/>
    <w:rsid w:val="0051006E"/>
    <w:rsid w:val="00510F5D"/>
    <w:rsid w:val="00511239"/>
    <w:rsid w:val="00512026"/>
    <w:rsid w:val="00512372"/>
    <w:rsid w:val="005126F3"/>
    <w:rsid w:val="005128BA"/>
    <w:rsid w:val="0051339A"/>
    <w:rsid w:val="00513428"/>
    <w:rsid w:val="005142F5"/>
    <w:rsid w:val="00514828"/>
    <w:rsid w:val="00514A0E"/>
    <w:rsid w:val="00514DAF"/>
    <w:rsid w:val="00515DB8"/>
    <w:rsid w:val="00516F3D"/>
    <w:rsid w:val="005174FA"/>
    <w:rsid w:val="005176B7"/>
    <w:rsid w:val="00517CD6"/>
    <w:rsid w:val="005200EF"/>
    <w:rsid w:val="005206EE"/>
    <w:rsid w:val="00520B7B"/>
    <w:rsid w:val="00520E25"/>
    <w:rsid w:val="00521113"/>
    <w:rsid w:val="005214BB"/>
    <w:rsid w:val="0052177F"/>
    <w:rsid w:val="0052188B"/>
    <w:rsid w:val="00521ADF"/>
    <w:rsid w:val="00521BF2"/>
    <w:rsid w:val="005223DA"/>
    <w:rsid w:val="005225B8"/>
    <w:rsid w:val="0052467D"/>
    <w:rsid w:val="00524F38"/>
    <w:rsid w:val="0052618B"/>
    <w:rsid w:val="00526A86"/>
    <w:rsid w:val="005274E3"/>
    <w:rsid w:val="005277FB"/>
    <w:rsid w:val="005278E1"/>
    <w:rsid w:val="00527E07"/>
    <w:rsid w:val="00527E0A"/>
    <w:rsid w:val="0053111C"/>
    <w:rsid w:val="00531DB8"/>
    <w:rsid w:val="00531E82"/>
    <w:rsid w:val="00531EA4"/>
    <w:rsid w:val="00532B7A"/>
    <w:rsid w:val="00532D8F"/>
    <w:rsid w:val="00533DD3"/>
    <w:rsid w:val="00534D57"/>
    <w:rsid w:val="00534E3D"/>
    <w:rsid w:val="00534F58"/>
    <w:rsid w:val="005351E4"/>
    <w:rsid w:val="005354E2"/>
    <w:rsid w:val="00536237"/>
    <w:rsid w:val="0053626B"/>
    <w:rsid w:val="00536481"/>
    <w:rsid w:val="00537337"/>
    <w:rsid w:val="005373AF"/>
    <w:rsid w:val="00537BC0"/>
    <w:rsid w:val="00540100"/>
    <w:rsid w:val="00540FF7"/>
    <w:rsid w:val="00541022"/>
    <w:rsid w:val="0054226A"/>
    <w:rsid w:val="00542A38"/>
    <w:rsid w:val="005436F6"/>
    <w:rsid w:val="00543876"/>
    <w:rsid w:val="00544136"/>
    <w:rsid w:val="005446E5"/>
    <w:rsid w:val="00545395"/>
    <w:rsid w:val="00546277"/>
    <w:rsid w:val="0054668C"/>
    <w:rsid w:val="005467CE"/>
    <w:rsid w:val="00546832"/>
    <w:rsid w:val="00546DD9"/>
    <w:rsid w:val="00547458"/>
    <w:rsid w:val="0054768C"/>
    <w:rsid w:val="00547A6F"/>
    <w:rsid w:val="00550168"/>
    <w:rsid w:val="00550472"/>
    <w:rsid w:val="00550968"/>
    <w:rsid w:val="00550F39"/>
    <w:rsid w:val="00551490"/>
    <w:rsid w:val="00551625"/>
    <w:rsid w:val="00552106"/>
    <w:rsid w:val="0055331F"/>
    <w:rsid w:val="00553388"/>
    <w:rsid w:val="00553A6A"/>
    <w:rsid w:val="00555057"/>
    <w:rsid w:val="00555F9B"/>
    <w:rsid w:val="0055687D"/>
    <w:rsid w:val="005573D7"/>
    <w:rsid w:val="00557D20"/>
    <w:rsid w:val="005607E9"/>
    <w:rsid w:val="005610A8"/>
    <w:rsid w:val="005614AE"/>
    <w:rsid w:val="00561B54"/>
    <w:rsid w:val="00562382"/>
    <w:rsid w:val="0056239B"/>
    <w:rsid w:val="00562812"/>
    <w:rsid w:val="005629B2"/>
    <w:rsid w:val="00562B88"/>
    <w:rsid w:val="005632FA"/>
    <w:rsid w:val="00563F59"/>
    <w:rsid w:val="0056400E"/>
    <w:rsid w:val="00564192"/>
    <w:rsid w:val="00564FC6"/>
    <w:rsid w:val="005655E1"/>
    <w:rsid w:val="00565900"/>
    <w:rsid w:val="00565B02"/>
    <w:rsid w:val="00565DBC"/>
    <w:rsid w:val="00566348"/>
    <w:rsid w:val="00566668"/>
    <w:rsid w:val="0056683F"/>
    <w:rsid w:val="00566886"/>
    <w:rsid w:val="00566B53"/>
    <w:rsid w:val="00566E09"/>
    <w:rsid w:val="00567704"/>
    <w:rsid w:val="00567919"/>
    <w:rsid w:val="00567BB5"/>
    <w:rsid w:val="0057049C"/>
    <w:rsid w:val="005707C0"/>
    <w:rsid w:val="005714AD"/>
    <w:rsid w:val="0057191A"/>
    <w:rsid w:val="005721C3"/>
    <w:rsid w:val="0057310C"/>
    <w:rsid w:val="00573B50"/>
    <w:rsid w:val="00573F7F"/>
    <w:rsid w:val="00574055"/>
    <w:rsid w:val="005741BA"/>
    <w:rsid w:val="00574255"/>
    <w:rsid w:val="0057494D"/>
    <w:rsid w:val="0057542B"/>
    <w:rsid w:val="00575838"/>
    <w:rsid w:val="00575AB0"/>
    <w:rsid w:val="00575AB2"/>
    <w:rsid w:val="00575C7F"/>
    <w:rsid w:val="00576383"/>
    <w:rsid w:val="0057651A"/>
    <w:rsid w:val="0057651B"/>
    <w:rsid w:val="00576D4F"/>
    <w:rsid w:val="005771B5"/>
    <w:rsid w:val="00577932"/>
    <w:rsid w:val="00580082"/>
    <w:rsid w:val="005803D3"/>
    <w:rsid w:val="005815F4"/>
    <w:rsid w:val="00581662"/>
    <w:rsid w:val="005819AE"/>
    <w:rsid w:val="00581F63"/>
    <w:rsid w:val="00582063"/>
    <w:rsid w:val="00582CF3"/>
    <w:rsid w:val="00583032"/>
    <w:rsid w:val="005833AC"/>
    <w:rsid w:val="00583D9A"/>
    <w:rsid w:val="00583ED6"/>
    <w:rsid w:val="0058467D"/>
    <w:rsid w:val="0058469D"/>
    <w:rsid w:val="00584A0F"/>
    <w:rsid w:val="00584A97"/>
    <w:rsid w:val="00584B58"/>
    <w:rsid w:val="00584F97"/>
    <w:rsid w:val="005853E2"/>
    <w:rsid w:val="00585599"/>
    <w:rsid w:val="005855EF"/>
    <w:rsid w:val="00585BF8"/>
    <w:rsid w:val="00586A42"/>
    <w:rsid w:val="00586CAA"/>
    <w:rsid w:val="00587644"/>
    <w:rsid w:val="0058783C"/>
    <w:rsid w:val="0059004E"/>
    <w:rsid w:val="00590AB2"/>
    <w:rsid w:val="00591264"/>
    <w:rsid w:val="005916D7"/>
    <w:rsid w:val="00591DF0"/>
    <w:rsid w:val="00592043"/>
    <w:rsid w:val="00592215"/>
    <w:rsid w:val="00592C31"/>
    <w:rsid w:val="00592D4E"/>
    <w:rsid w:val="005932CC"/>
    <w:rsid w:val="005940AE"/>
    <w:rsid w:val="00595076"/>
    <w:rsid w:val="00595132"/>
    <w:rsid w:val="00595335"/>
    <w:rsid w:val="00596268"/>
    <w:rsid w:val="00596B79"/>
    <w:rsid w:val="005970FE"/>
    <w:rsid w:val="005975CB"/>
    <w:rsid w:val="005A136C"/>
    <w:rsid w:val="005A19B1"/>
    <w:rsid w:val="005A4253"/>
    <w:rsid w:val="005A4EC9"/>
    <w:rsid w:val="005A50A9"/>
    <w:rsid w:val="005A512F"/>
    <w:rsid w:val="005A526B"/>
    <w:rsid w:val="005A5CF8"/>
    <w:rsid w:val="005A61EF"/>
    <w:rsid w:val="005A626E"/>
    <w:rsid w:val="005A7131"/>
    <w:rsid w:val="005A7546"/>
    <w:rsid w:val="005A758D"/>
    <w:rsid w:val="005B0244"/>
    <w:rsid w:val="005B0256"/>
    <w:rsid w:val="005B03D8"/>
    <w:rsid w:val="005B2F22"/>
    <w:rsid w:val="005B41BD"/>
    <w:rsid w:val="005B42A9"/>
    <w:rsid w:val="005B44B9"/>
    <w:rsid w:val="005B489C"/>
    <w:rsid w:val="005B63A7"/>
    <w:rsid w:val="005B71BA"/>
    <w:rsid w:val="005B7CF8"/>
    <w:rsid w:val="005C137A"/>
    <w:rsid w:val="005C1ED3"/>
    <w:rsid w:val="005C30B6"/>
    <w:rsid w:val="005C36CA"/>
    <w:rsid w:val="005C3FD2"/>
    <w:rsid w:val="005C4B5A"/>
    <w:rsid w:val="005C4DEA"/>
    <w:rsid w:val="005C5692"/>
    <w:rsid w:val="005C5B12"/>
    <w:rsid w:val="005C6292"/>
    <w:rsid w:val="005C6E8B"/>
    <w:rsid w:val="005C7424"/>
    <w:rsid w:val="005C75DE"/>
    <w:rsid w:val="005C7C85"/>
    <w:rsid w:val="005D0066"/>
    <w:rsid w:val="005D0DA1"/>
    <w:rsid w:val="005D0F26"/>
    <w:rsid w:val="005D12C1"/>
    <w:rsid w:val="005D1783"/>
    <w:rsid w:val="005D2BF6"/>
    <w:rsid w:val="005D310E"/>
    <w:rsid w:val="005D349F"/>
    <w:rsid w:val="005D3CFF"/>
    <w:rsid w:val="005D46E4"/>
    <w:rsid w:val="005D5A17"/>
    <w:rsid w:val="005D5BE4"/>
    <w:rsid w:val="005D618E"/>
    <w:rsid w:val="005D69C8"/>
    <w:rsid w:val="005D706B"/>
    <w:rsid w:val="005D756A"/>
    <w:rsid w:val="005D7A70"/>
    <w:rsid w:val="005D7AD3"/>
    <w:rsid w:val="005D7CF0"/>
    <w:rsid w:val="005E058C"/>
    <w:rsid w:val="005E05EC"/>
    <w:rsid w:val="005E068D"/>
    <w:rsid w:val="005E09C6"/>
    <w:rsid w:val="005E0E3B"/>
    <w:rsid w:val="005E1485"/>
    <w:rsid w:val="005E17AA"/>
    <w:rsid w:val="005E1BFD"/>
    <w:rsid w:val="005E2964"/>
    <w:rsid w:val="005E2A44"/>
    <w:rsid w:val="005E2DDC"/>
    <w:rsid w:val="005E347D"/>
    <w:rsid w:val="005E3540"/>
    <w:rsid w:val="005E3D7E"/>
    <w:rsid w:val="005E43A2"/>
    <w:rsid w:val="005E4832"/>
    <w:rsid w:val="005E4DBE"/>
    <w:rsid w:val="005E4EFB"/>
    <w:rsid w:val="005E5008"/>
    <w:rsid w:val="005E61D8"/>
    <w:rsid w:val="005E6514"/>
    <w:rsid w:val="005E68CB"/>
    <w:rsid w:val="005E6B1A"/>
    <w:rsid w:val="005E6C1F"/>
    <w:rsid w:val="005E6FDD"/>
    <w:rsid w:val="005E7398"/>
    <w:rsid w:val="005E7BBA"/>
    <w:rsid w:val="005E7D57"/>
    <w:rsid w:val="005E7DFD"/>
    <w:rsid w:val="005F127E"/>
    <w:rsid w:val="005F130F"/>
    <w:rsid w:val="005F17E5"/>
    <w:rsid w:val="005F18B1"/>
    <w:rsid w:val="005F23BC"/>
    <w:rsid w:val="005F27E5"/>
    <w:rsid w:val="005F362F"/>
    <w:rsid w:val="005F3BF7"/>
    <w:rsid w:val="005F51B0"/>
    <w:rsid w:val="005F5201"/>
    <w:rsid w:val="005F55F9"/>
    <w:rsid w:val="005F5622"/>
    <w:rsid w:val="005F56D9"/>
    <w:rsid w:val="005F5A5A"/>
    <w:rsid w:val="005F5C73"/>
    <w:rsid w:val="005F68DF"/>
    <w:rsid w:val="005F73B6"/>
    <w:rsid w:val="005F78B2"/>
    <w:rsid w:val="005F7BE4"/>
    <w:rsid w:val="006009E3"/>
    <w:rsid w:val="00601232"/>
    <w:rsid w:val="006024EC"/>
    <w:rsid w:val="0060279D"/>
    <w:rsid w:val="00602B50"/>
    <w:rsid w:val="006034B6"/>
    <w:rsid w:val="00603ACE"/>
    <w:rsid w:val="00603B1C"/>
    <w:rsid w:val="00604762"/>
    <w:rsid w:val="00604972"/>
    <w:rsid w:val="00604B57"/>
    <w:rsid w:val="0060511B"/>
    <w:rsid w:val="00606D25"/>
    <w:rsid w:val="00607CA3"/>
    <w:rsid w:val="00611A12"/>
    <w:rsid w:val="00611A98"/>
    <w:rsid w:val="00612673"/>
    <w:rsid w:val="00612DAB"/>
    <w:rsid w:val="006130A7"/>
    <w:rsid w:val="0061320E"/>
    <w:rsid w:val="006134AF"/>
    <w:rsid w:val="00613731"/>
    <w:rsid w:val="0061405E"/>
    <w:rsid w:val="00615269"/>
    <w:rsid w:val="0061575A"/>
    <w:rsid w:val="0061619C"/>
    <w:rsid w:val="00616220"/>
    <w:rsid w:val="00616221"/>
    <w:rsid w:val="0061786B"/>
    <w:rsid w:val="00617A2C"/>
    <w:rsid w:val="0062057F"/>
    <w:rsid w:val="00620B7D"/>
    <w:rsid w:val="00620FB5"/>
    <w:rsid w:val="0062108F"/>
    <w:rsid w:val="00621433"/>
    <w:rsid w:val="00623A60"/>
    <w:rsid w:val="00624AF6"/>
    <w:rsid w:val="006258A5"/>
    <w:rsid w:val="006264F1"/>
    <w:rsid w:val="00626640"/>
    <w:rsid w:val="00626668"/>
    <w:rsid w:val="00626D07"/>
    <w:rsid w:val="0062704F"/>
    <w:rsid w:val="006274E8"/>
    <w:rsid w:val="00627CD1"/>
    <w:rsid w:val="0063064D"/>
    <w:rsid w:val="006313B4"/>
    <w:rsid w:val="006321DA"/>
    <w:rsid w:val="00632405"/>
    <w:rsid w:val="00632A3C"/>
    <w:rsid w:val="0063344C"/>
    <w:rsid w:val="00633B55"/>
    <w:rsid w:val="006347DB"/>
    <w:rsid w:val="00634B7D"/>
    <w:rsid w:val="00634C6C"/>
    <w:rsid w:val="00635520"/>
    <w:rsid w:val="00635E7B"/>
    <w:rsid w:val="00636290"/>
    <w:rsid w:val="00636581"/>
    <w:rsid w:val="00636CBE"/>
    <w:rsid w:val="00636E53"/>
    <w:rsid w:val="006373E7"/>
    <w:rsid w:val="00637427"/>
    <w:rsid w:val="00637DB5"/>
    <w:rsid w:val="006403B4"/>
    <w:rsid w:val="006406CE"/>
    <w:rsid w:val="006409E1"/>
    <w:rsid w:val="00640D3E"/>
    <w:rsid w:val="00640DD0"/>
    <w:rsid w:val="00640EE9"/>
    <w:rsid w:val="00641776"/>
    <w:rsid w:val="00641B6D"/>
    <w:rsid w:val="00641E50"/>
    <w:rsid w:val="00641EE7"/>
    <w:rsid w:val="00642AA5"/>
    <w:rsid w:val="006434D4"/>
    <w:rsid w:val="0064362F"/>
    <w:rsid w:val="00643C8A"/>
    <w:rsid w:val="0064551D"/>
    <w:rsid w:val="00645CDA"/>
    <w:rsid w:val="0064666E"/>
    <w:rsid w:val="006502C0"/>
    <w:rsid w:val="00650689"/>
    <w:rsid w:val="006507A0"/>
    <w:rsid w:val="00650DEE"/>
    <w:rsid w:val="0065102B"/>
    <w:rsid w:val="00651E88"/>
    <w:rsid w:val="00652622"/>
    <w:rsid w:val="00652705"/>
    <w:rsid w:val="0065317C"/>
    <w:rsid w:val="006535BC"/>
    <w:rsid w:val="00653806"/>
    <w:rsid w:val="0065382B"/>
    <w:rsid w:val="00653D73"/>
    <w:rsid w:val="00653FD6"/>
    <w:rsid w:val="00654040"/>
    <w:rsid w:val="006552C2"/>
    <w:rsid w:val="0065579F"/>
    <w:rsid w:val="00655C77"/>
    <w:rsid w:val="00655D0D"/>
    <w:rsid w:val="006561AF"/>
    <w:rsid w:val="0065676A"/>
    <w:rsid w:val="00660A9B"/>
    <w:rsid w:val="00660D26"/>
    <w:rsid w:val="00661409"/>
    <w:rsid w:val="00661664"/>
    <w:rsid w:val="00662381"/>
    <w:rsid w:val="00662819"/>
    <w:rsid w:val="006630C7"/>
    <w:rsid w:val="00663312"/>
    <w:rsid w:val="00663327"/>
    <w:rsid w:val="00663718"/>
    <w:rsid w:val="00663860"/>
    <w:rsid w:val="00663F20"/>
    <w:rsid w:val="00664C93"/>
    <w:rsid w:val="00665D43"/>
    <w:rsid w:val="00666162"/>
    <w:rsid w:val="006661C4"/>
    <w:rsid w:val="00666B92"/>
    <w:rsid w:val="00667833"/>
    <w:rsid w:val="00670329"/>
    <w:rsid w:val="006704A5"/>
    <w:rsid w:val="00670682"/>
    <w:rsid w:val="00670AD6"/>
    <w:rsid w:val="00671116"/>
    <w:rsid w:val="0067124F"/>
    <w:rsid w:val="00671258"/>
    <w:rsid w:val="00672333"/>
    <w:rsid w:val="00672357"/>
    <w:rsid w:val="00672F1C"/>
    <w:rsid w:val="006730C3"/>
    <w:rsid w:val="00673593"/>
    <w:rsid w:val="0067401D"/>
    <w:rsid w:val="006742AC"/>
    <w:rsid w:val="00675AB9"/>
    <w:rsid w:val="00675B5A"/>
    <w:rsid w:val="00675E97"/>
    <w:rsid w:val="006765C2"/>
    <w:rsid w:val="006769DA"/>
    <w:rsid w:val="00676D36"/>
    <w:rsid w:val="0067714F"/>
    <w:rsid w:val="0067731F"/>
    <w:rsid w:val="00677B4E"/>
    <w:rsid w:val="006804F5"/>
    <w:rsid w:val="00681074"/>
    <w:rsid w:val="00681089"/>
    <w:rsid w:val="00681A48"/>
    <w:rsid w:val="00681A9A"/>
    <w:rsid w:val="00681FE7"/>
    <w:rsid w:val="00682148"/>
    <w:rsid w:val="0068223F"/>
    <w:rsid w:val="00682567"/>
    <w:rsid w:val="006827CA"/>
    <w:rsid w:val="006831EA"/>
    <w:rsid w:val="00683947"/>
    <w:rsid w:val="00684FEF"/>
    <w:rsid w:val="006851AB"/>
    <w:rsid w:val="0068528A"/>
    <w:rsid w:val="0068532F"/>
    <w:rsid w:val="00685778"/>
    <w:rsid w:val="00685FEB"/>
    <w:rsid w:val="00686389"/>
    <w:rsid w:val="00686588"/>
    <w:rsid w:val="0068673B"/>
    <w:rsid w:val="006868A6"/>
    <w:rsid w:val="006873A1"/>
    <w:rsid w:val="006877C1"/>
    <w:rsid w:val="00687FDE"/>
    <w:rsid w:val="00690304"/>
    <w:rsid w:val="006905A9"/>
    <w:rsid w:val="006907DC"/>
    <w:rsid w:val="00690C0D"/>
    <w:rsid w:val="00690C18"/>
    <w:rsid w:val="00690FDB"/>
    <w:rsid w:val="00691BFF"/>
    <w:rsid w:val="00692C83"/>
    <w:rsid w:val="00692CE5"/>
    <w:rsid w:val="00693045"/>
    <w:rsid w:val="006936F6"/>
    <w:rsid w:val="00693E85"/>
    <w:rsid w:val="006940EC"/>
    <w:rsid w:val="006943F9"/>
    <w:rsid w:val="006948B0"/>
    <w:rsid w:val="00695B3D"/>
    <w:rsid w:val="00695C76"/>
    <w:rsid w:val="006963F6"/>
    <w:rsid w:val="00696DA9"/>
    <w:rsid w:val="006970B4"/>
    <w:rsid w:val="006972B5"/>
    <w:rsid w:val="00697777"/>
    <w:rsid w:val="00697AFE"/>
    <w:rsid w:val="00697B27"/>
    <w:rsid w:val="006A012F"/>
    <w:rsid w:val="006A06F5"/>
    <w:rsid w:val="006A0DF4"/>
    <w:rsid w:val="006A1C40"/>
    <w:rsid w:val="006A1EB2"/>
    <w:rsid w:val="006A225F"/>
    <w:rsid w:val="006A233D"/>
    <w:rsid w:val="006A2B98"/>
    <w:rsid w:val="006A2C01"/>
    <w:rsid w:val="006A30A6"/>
    <w:rsid w:val="006A36E9"/>
    <w:rsid w:val="006A3879"/>
    <w:rsid w:val="006A39C7"/>
    <w:rsid w:val="006A427E"/>
    <w:rsid w:val="006A432E"/>
    <w:rsid w:val="006A4689"/>
    <w:rsid w:val="006A4700"/>
    <w:rsid w:val="006A4712"/>
    <w:rsid w:val="006A4835"/>
    <w:rsid w:val="006A4B93"/>
    <w:rsid w:val="006A510E"/>
    <w:rsid w:val="006A516A"/>
    <w:rsid w:val="006A6116"/>
    <w:rsid w:val="006A618E"/>
    <w:rsid w:val="006A663F"/>
    <w:rsid w:val="006A709A"/>
    <w:rsid w:val="006A7D95"/>
    <w:rsid w:val="006A7FA4"/>
    <w:rsid w:val="006B0BB9"/>
    <w:rsid w:val="006B11A6"/>
    <w:rsid w:val="006B18A8"/>
    <w:rsid w:val="006B18F4"/>
    <w:rsid w:val="006B1B0A"/>
    <w:rsid w:val="006B23E6"/>
    <w:rsid w:val="006B2672"/>
    <w:rsid w:val="006B26A0"/>
    <w:rsid w:val="006B2D6B"/>
    <w:rsid w:val="006B2FCE"/>
    <w:rsid w:val="006B3760"/>
    <w:rsid w:val="006B43C1"/>
    <w:rsid w:val="006B4912"/>
    <w:rsid w:val="006B4D79"/>
    <w:rsid w:val="006B51BD"/>
    <w:rsid w:val="006B5811"/>
    <w:rsid w:val="006B67C4"/>
    <w:rsid w:val="006B707A"/>
    <w:rsid w:val="006B7611"/>
    <w:rsid w:val="006B76FD"/>
    <w:rsid w:val="006B7710"/>
    <w:rsid w:val="006C0916"/>
    <w:rsid w:val="006C0FC9"/>
    <w:rsid w:val="006C133D"/>
    <w:rsid w:val="006C1ED0"/>
    <w:rsid w:val="006C22E0"/>
    <w:rsid w:val="006C25AD"/>
    <w:rsid w:val="006C2B0A"/>
    <w:rsid w:val="006C3176"/>
    <w:rsid w:val="006C3FCC"/>
    <w:rsid w:val="006C3FE9"/>
    <w:rsid w:val="006C4983"/>
    <w:rsid w:val="006C57A6"/>
    <w:rsid w:val="006C6496"/>
    <w:rsid w:val="006C6A30"/>
    <w:rsid w:val="006C6C41"/>
    <w:rsid w:val="006C6D12"/>
    <w:rsid w:val="006C6DBC"/>
    <w:rsid w:val="006C70DD"/>
    <w:rsid w:val="006C7465"/>
    <w:rsid w:val="006C76BD"/>
    <w:rsid w:val="006D129B"/>
    <w:rsid w:val="006D1498"/>
    <w:rsid w:val="006D19B3"/>
    <w:rsid w:val="006D2252"/>
    <w:rsid w:val="006D23EB"/>
    <w:rsid w:val="006D26AB"/>
    <w:rsid w:val="006D41E1"/>
    <w:rsid w:val="006D41FC"/>
    <w:rsid w:val="006D4398"/>
    <w:rsid w:val="006D43E6"/>
    <w:rsid w:val="006D4628"/>
    <w:rsid w:val="006D4843"/>
    <w:rsid w:val="006D48D9"/>
    <w:rsid w:val="006D4A92"/>
    <w:rsid w:val="006D4BAE"/>
    <w:rsid w:val="006D4DE9"/>
    <w:rsid w:val="006D532F"/>
    <w:rsid w:val="006D57A5"/>
    <w:rsid w:val="006D5989"/>
    <w:rsid w:val="006D5F5A"/>
    <w:rsid w:val="006D60CE"/>
    <w:rsid w:val="006D65FC"/>
    <w:rsid w:val="006D69F0"/>
    <w:rsid w:val="006D743A"/>
    <w:rsid w:val="006D7A4A"/>
    <w:rsid w:val="006D7B46"/>
    <w:rsid w:val="006D7E87"/>
    <w:rsid w:val="006D7FBD"/>
    <w:rsid w:val="006E009A"/>
    <w:rsid w:val="006E0851"/>
    <w:rsid w:val="006E0ED7"/>
    <w:rsid w:val="006E0F71"/>
    <w:rsid w:val="006E1086"/>
    <w:rsid w:val="006E16AB"/>
    <w:rsid w:val="006E20FD"/>
    <w:rsid w:val="006E211E"/>
    <w:rsid w:val="006E21C2"/>
    <w:rsid w:val="006E2B8B"/>
    <w:rsid w:val="006E2DB6"/>
    <w:rsid w:val="006E4479"/>
    <w:rsid w:val="006E515B"/>
    <w:rsid w:val="006E57AC"/>
    <w:rsid w:val="006E6018"/>
    <w:rsid w:val="006E61D8"/>
    <w:rsid w:val="006E6B14"/>
    <w:rsid w:val="006E6B66"/>
    <w:rsid w:val="006E6BAC"/>
    <w:rsid w:val="006E6FC3"/>
    <w:rsid w:val="006E73DA"/>
    <w:rsid w:val="006E74D4"/>
    <w:rsid w:val="006E771F"/>
    <w:rsid w:val="006E794B"/>
    <w:rsid w:val="006F0271"/>
    <w:rsid w:val="006F02D6"/>
    <w:rsid w:val="006F0A45"/>
    <w:rsid w:val="006F0F58"/>
    <w:rsid w:val="006F13F9"/>
    <w:rsid w:val="006F15F7"/>
    <w:rsid w:val="006F2C85"/>
    <w:rsid w:val="006F4556"/>
    <w:rsid w:val="006F591D"/>
    <w:rsid w:val="006F5B11"/>
    <w:rsid w:val="006F6226"/>
    <w:rsid w:val="006F7449"/>
    <w:rsid w:val="006F77D4"/>
    <w:rsid w:val="006F7853"/>
    <w:rsid w:val="006F7AC3"/>
    <w:rsid w:val="006F7CB3"/>
    <w:rsid w:val="006F7E03"/>
    <w:rsid w:val="00700004"/>
    <w:rsid w:val="007008EF"/>
    <w:rsid w:val="0070091E"/>
    <w:rsid w:val="007009FB"/>
    <w:rsid w:val="00700B5E"/>
    <w:rsid w:val="00700E77"/>
    <w:rsid w:val="007013BD"/>
    <w:rsid w:val="00701814"/>
    <w:rsid w:val="0070183C"/>
    <w:rsid w:val="00701A27"/>
    <w:rsid w:val="00701F50"/>
    <w:rsid w:val="007021C5"/>
    <w:rsid w:val="00702656"/>
    <w:rsid w:val="00702ABB"/>
    <w:rsid w:val="00702F9B"/>
    <w:rsid w:val="00703480"/>
    <w:rsid w:val="00704336"/>
    <w:rsid w:val="007047EE"/>
    <w:rsid w:val="0070487D"/>
    <w:rsid w:val="007057A7"/>
    <w:rsid w:val="00705E83"/>
    <w:rsid w:val="00706435"/>
    <w:rsid w:val="0070697D"/>
    <w:rsid w:val="007069D9"/>
    <w:rsid w:val="00706DDD"/>
    <w:rsid w:val="00707042"/>
    <w:rsid w:val="007072A1"/>
    <w:rsid w:val="007107E4"/>
    <w:rsid w:val="00710C75"/>
    <w:rsid w:val="00710E0C"/>
    <w:rsid w:val="00710FBE"/>
    <w:rsid w:val="007110DA"/>
    <w:rsid w:val="00711965"/>
    <w:rsid w:val="00712083"/>
    <w:rsid w:val="00712121"/>
    <w:rsid w:val="0071261F"/>
    <w:rsid w:val="007128C5"/>
    <w:rsid w:val="0071349F"/>
    <w:rsid w:val="00714467"/>
    <w:rsid w:val="00714B46"/>
    <w:rsid w:val="00714D31"/>
    <w:rsid w:val="00715B24"/>
    <w:rsid w:val="00715E30"/>
    <w:rsid w:val="00716D48"/>
    <w:rsid w:val="00716E7C"/>
    <w:rsid w:val="0071721C"/>
    <w:rsid w:val="00717383"/>
    <w:rsid w:val="00717475"/>
    <w:rsid w:val="0071759E"/>
    <w:rsid w:val="00717A28"/>
    <w:rsid w:val="0072002A"/>
    <w:rsid w:val="007200C1"/>
    <w:rsid w:val="007203B0"/>
    <w:rsid w:val="007208EE"/>
    <w:rsid w:val="00720DA6"/>
    <w:rsid w:val="007228FE"/>
    <w:rsid w:val="007242C7"/>
    <w:rsid w:val="007245D2"/>
    <w:rsid w:val="00724B1C"/>
    <w:rsid w:val="00724E68"/>
    <w:rsid w:val="00725413"/>
    <w:rsid w:val="007255E9"/>
    <w:rsid w:val="00726371"/>
    <w:rsid w:val="007264C1"/>
    <w:rsid w:val="007264F3"/>
    <w:rsid w:val="0072666A"/>
    <w:rsid w:val="007268FB"/>
    <w:rsid w:val="00727B75"/>
    <w:rsid w:val="00727C84"/>
    <w:rsid w:val="00730269"/>
    <w:rsid w:val="00730C73"/>
    <w:rsid w:val="007310A5"/>
    <w:rsid w:val="007311E2"/>
    <w:rsid w:val="00731A7C"/>
    <w:rsid w:val="00731D70"/>
    <w:rsid w:val="00731E67"/>
    <w:rsid w:val="00731F1A"/>
    <w:rsid w:val="00732006"/>
    <w:rsid w:val="00732182"/>
    <w:rsid w:val="00732471"/>
    <w:rsid w:val="00732E04"/>
    <w:rsid w:val="00734E58"/>
    <w:rsid w:val="00734FB5"/>
    <w:rsid w:val="007353B4"/>
    <w:rsid w:val="00735571"/>
    <w:rsid w:val="00735581"/>
    <w:rsid w:val="00735724"/>
    <w:rsid w:val="00735842"/>
    <w:rsid w:val="00735B9E"/>
    <w:rsid w:val="007361D9"/>
    <w:rsid w:val="00736511"/>
    <w:rsid w:val="00736BA3"/>
    <w:rsid w:val="00736DC1"/>
    <w:rsid w:val="007375C2"/>
    <w:rsid w:val="00737672"/>
    <w:rsid w:val="00737F93"/>
    <w:rsid w:val="007415DF"/>
    <w:rsid w:val="00741744"/>
    <w:rsid w:val="00741A05"/>
    <w:rsid w:val="00741AC6"/>
    <w:rsid w:val="00742415"/>
    <w:rsid w:val="007429B7"/>
    <w:rsid w:val="007430A8"/>
    <w:rsid w:val="007434E3"/>
    <w:rsid w:val="0074376D"/>
    <w:rsid w:val="00743DE3"/>
    <w:rsid w:val="00743F09"/>
    <w:rsid w:val="00744CF5"/>
    <w:rsid w:val="00744DA5"/>
    <w:rsid w:val="007451EB"/>
    <w:rsid w:val="00745ACE"/>
    <w:rsid w:val="007460F2"/>
    <w:rsid w:val="0074694F"/>
    <w:rsid w:val="00746C04"/>
    <w:rsid w:val="00747181"/>
    <w:rsid w:val="0074770D"/>
    <w:rsid w:val="007504F7"/>
    <w:rsid w:val="00751097"/>
    <w:rsid w:val="00751312"/>
    <w:rsid w:val="00751F11"/>
    <w:rsid w:val="007520A2"/>
    <w:rsid w:val="0075251F"/>
    <w:rsid w:val="007529BF"/>
    <w:rsid w:val="00752DB2"/>
    <w:rsid w:val="00753218"/>
    <w:rsid w:val="0075343C"/>
    <w:rsid w:val="00753B7A"/>
    <w:rsid w:val="00753F1E"/>
    <w:rsid w:val="0075525A"/>
    <w:rsid w:val="00755370"/>
    <w:rsid w:val="0075563E"/>
    <w:rsid w:val="0075685C"/>
    <w:rsid w:val="00756B5D"/>
    <w:rsid w:val="007579B6"/>
    <w:rsid w:val="00757F88"/>
    <w:rsid w:val="00757FD0"/>
    <w:rsid w:val="00760B1E"/>
    <w:rsid w:val="00760BB2"/>
    <w:rsid w:val="00760E20"/>
    <w:rsid w:val="00760E9B"/>
    <w:rsid w:val="00760FBA"/>
    <w:rsid w:val="00762205"/>
    <w:rsid w:val="0076249C"/>
    <w:rsid w:val="0076265E"/>
    <w:rsid w:val="00762CA8"/>
    <w:rsid w:val="00762DAB"/>
    <w:rsid w:val="007630A5"/>
    <w:rsid w:val="00763C27"/>
    <w:rsid w:val="00763F13"/>
    <w:rsid w:val="007644B7"/>
    <w:rsid w:val="00764A80"/>
    <w:rsid w:val="0076567D"/>
    <w:rsid w:val="00765D28"/>
    <w:rsid w:val="007661B8"/>
    <w:rsid w:val="00766BD0"/>
    <w:rsid w:val="00766F0E"/>
    <w:rsid w:val="00767522"/>
    <w:rsid w:val="00770596"/>
    <w:rsid w:val="007707DF"/>
    <w:rsid w:val="0077117E"/>
    <w:rsid w:val="00771211"/>
    <w:rsid w:val="007715B3"/>
    <w:rsid w:val="0077186F"/>
    <w:rsid w:val="00771CAE"/>
    <w:rsid w:val="00771FC4"/>
    <w:rsid w:val="007724B6"/>
    <w:rsid w:val="00772612"/>
    <w:rsid w:val="0077262E"/>
    <w:rsid w:val="007727D3"/>
    <w:rsid w:val="0077285E"/>
    <w:rsid w:val="007728A8"/>
    <w:rsid w:val="0077372C"/>
    <w:rsid w:val="00773885"/>
    <w:rsid w:val="00774052"/>
    <w:rsid w:val="00774495"/>
    <w:rsid w:val="00774832"/>
    <w:rsid w:val="00774E9C"/>
    <w:rsid w:val="00775434"/>
    <w:rsid w:val="00776175"/>
    <w:rsid w:val="00777B2C"/>
    <w:rsid w:val="00777B33"/>
    <w:rsid w:val="00777F6C"/>
    <w:rsid w:val="007801CD"/>
    <w:rsid w:val="0078048F"/>
    <w:rsid w:val="0078146B"/>
    <w:rsid w:val="00781D5C"/>
    <w:rsid w:val="00782A7E"/>
    <w:rsid w:val="00782AF1"/>
    <w:rsid w:val="00782CC5"/>
    <w:rsid w:val="007837BA"/>
    <w:rsid w:val="007841EC"/>
    <w:rsid w:val="007843D2"/>
    <w:rsid w:val="00784A6A"/>
    <w:rsid w:val="00784B07"/>
    <w:rsid w:val="00785163"/>
    <w:rsid w:val="0078592C"/>
    <w:rsid w:val="00785C1C"/>
    <w:rsid w:val="00785E0F"/>
    <w:rsid w:val="00786861"/>
    <w:rsid w:val="00786BDA"/>
    <w:rsid w:val="0078722D"/>
    <w:rsid w:val="00787763"/>
    <w:rsid w:val="00790B05"/>
    <w:rsid w:val="00790B38"/>
    <w:rsid w:val="00790BBC"/>
    <w:rsid w:val="00790D18"/>
    <w:rsid w:val="007911D4"/>
    <w:rsid w:val="00791464"/>
    <w:rsid w:val="00791CCB"/>
    <w:rsid w:val="00791E8B"/>
    <w:rsid w:val="00791FE2"/>
    <w:rsid w:val="00792031"/>
    <w:rsid w:val="0079205C"/>
    <w:rsid w:val="007922D2"/>
    <w:rsid w:val="007928C6"/>
    <w:rsid w:val="007930D1"/>
    <w:rsid w:val="0079324D"/>
    <w:rsid w:val="00793629"/>
    <w:rsid w:val="00793790"/>
    <w:rsid w:val="00794043"/>
    <w:rsid w:val="007950FB"/>
    <w:rsid w:val="00795580"/>
    <w:rsid w:val="00795B2C"/>
    <w:rsid w:val="00795C75"/>
    <w:rsid w:val="00796337"/>
    <w:rsid w:val="007964AA"/>
    <w:rsid w:val="00796A94"/>
    <w:rsid w:val="00796BF1"/>
    <w:rsid w:val="00797BC2"/>
    <w:rsid w:val="007A0690"/>
    <w:rsid w:val="007A0779"/>
    <w:rsid w:val="007A0B52"/>
    <w:rsid w:val="007A186C"/>
    <w:rsid w:val="007A1B28"/>
    <w:rsid w:val="007A1CA4"/>
    <w:rsid w:val="007A1F7F"/>
    <w:rsid w:val="007A23DA"/>
    <w:rsid w:val="007A2EC6"/>
    <w:rsid w:val="007A3448"/>
    <w:rsid w:val="007A3BD8"/>
    <w:rsid w:val="007A3CF2"/>
    <w:rsid w:val="007A4630"/>
    <w:rsid w:val="007A4F31"/>
    <w:rsid w:val="007A506D"/>
    <w:rsid w:val="007A5703"/>
    <w:rsid w:val="007A583D"/>
    <w:rsid w:val="007A5E36"/>
    <w:rsid w:val="007A603F"/>
    <w:rsid w:val="007A64F5"/>
    <w:rsid w:val="007A6C02"/>
    <w:rsid w:val="007A7521"/>
    <w:rsid w:val="007A7711"/>
    <w:rsid w:val="007A7723"/>
    <w:rsid w:val="007A7731"/>
    <w:rsid w:val="007B0B63"/>
    <w:rsid w:val="007B103D"/>
    <w:rsid w:val="007B1676"/>
    <w:rsid w:val="007B1737"/>
    <w:rsid w:val="007B2BAE"/>
    <w:rsid w:val="007B3468"/>
    <w:rsid w:val="007B356D"/>
    <w:rsid w:val="007B3DF4"/>
    <w:rsid w:val="007B46CC"/>
    <w:rsid w:val="007B4842"/>
    <w:rsid w:val="007B5741"/>
    <w:rsid w:val="007B656C"/>
    <w:rsid w:val="007B7433"/>
    <w:rsid w:val="007B7486"/>
    <w:rsid w:val="007B7625"/>
    <w:rsid w:val="007B784E"/>
    <w:rsid w:val="007C1299"/>
    <w:rsid w:val="007C1535"/>
    <w:rsid w:val="007C1536"/>
    <w:rsid w:val="007C1B05"/>
    <w:rsid w:val="007C2839"/>
    <w:rsid w:val="007C28C7"/>
    <w:rsid w:val="007C2B96"/>
    <w:rsid w:val="007C2E31"/>
    <w:rsid w:val="007C330E"/>
    <w:rsid w:val="007C3722"/>
    <w:rsid w:val="007C39C4"/>
    <w:rsid w:val="007C3F0D"/>
    <w:rsid w:val="007C4CA9"/>
    <w:rsid w:val="007C522C"/>
    <w:rsid w:val="007C58F4"/>
    <w:rsid w:val="007C60A2"/>
    <w:rsid w:val="007C71C3"/>
    <w:rsid w:val="007C71E5"/>
    <w:rsid w:val="007C7510"/>
    <w:rsid w:val="007C7790"/>
    <w:rsid w:val="007C790C"/>
    <w:rsid w:val="007D0C2A"/>
    <w:rsid w:val="007D1305"/>
    <w:rsid w:val="007D1311"/>
    <w:rsid w:val="007D1A40"/>
    <w:rsid w:val="007D2095"/>
    <w:rsid w:val="007D20BA"/>
    <w:rsid w:val="007D341E"/>
    <w:rsid w:val="007D3559"/>
    <w:rsid w:val="007D3A54"/>
    <w:rsid w:val="007D45B5"/>
    <w:rsid w:val="007D5680"/>
    <w:rsid w:val="007D57A8"/>
    <w:rsid w:val="007D5DFC"/>
    <w:rsid w:val="007D6369"/>
    <w:rsid w:val="007D636E"/>
    <w:rsid w:val="007D6983"/>
    <w:rsid w:val="007E1A82"/>
    <w:rsid w:val="007E1F30"/>
    <w:rsid w:val="007E25AA"/>
    <w:rsid w:val="007E2E34"/>
    <w:rsid w:val="007E3E9A"/>
    <w:rsid w:val="007E3FF3"/>
    <w:rsid w:val="007E5D69"/>
    <w:rsid w:val="007E6240"/>
    <w:rsid w:val="007E6416"/>
    <w:rsid w:val="007E68EE"/>
    <w:rsid w:val="007E6C4A"/>
    <w:rsid w:val="007E7195"/>
    <w:rsid w:val="007E72F8"/>
    <w:rsid w:val="007E7541"/>
    <w:rsid w:val="007E7E55"/>
    <w:rsid w:val="007F08E3"/>
    <w:rsid w:val="007F1236"/>
    <w:rsid w:val="007F239B"/>
    <w:rsid w:val="007F23AA"/>
    <w:rsid w:val="007F3DF6"/>
    <w:rsid w:val="007F42DF"/>
    <w:rsid w:val="007F475F"/>
    <w:rsid w:val="007F59C9"/>
    <w:rsid w:val="007F6A1A"/>
    <w:rsid w:val="007F7ED1"/>
    <w:rsid w:val="00801F2B"/>
    <w:rsid w:val="00802554"/>
    <w:rsid w:val="0080281C"/>
    <w:rsid w:val="008029DE"/>
    <w:rsid w:val="00802D0D"/>
    <w:rsid w:val="008031B4"/>
    <w:rsid w:val="00803493"/>
    <w:rsid w:val="008040FA"/>
    <w:rsid w:val="0080593C"/>
    <w:rsid w:val="008061E9"/>
    <w:rsid w:val="0080637E"/>
    <w:rsid w:val="00806726"/>
    <w:rsid w:val="00806A2B"/>
    <w:rsid w:val="00807686"/>
    <w:rsid w:val="00807AB6"/>
    <w:rsid w:val="0081025F"/>
    <w:rsid w:val="00810379"/>
    <w:rsid w:val="00810525"/>
    <w:rsid w:val="00810A00"/>
    <w:rsid w:val="00810C57"/>
    <w:rsid w:val="008114D7"/>
    <w:rsid w:val="00811695"/>
    <w:rsid w:val="00811817"/>
    <w:rsid w:val="00811E58"/>
    <w:rsid w:val="00811F1F"/>
    <w:rsid w:val="00812138"/>
    <w:rsid w:val="00812616"/>
    <w:rsid w:val="008126D2"/>
    <w:rsid w:val="00812BFA"/>
    <w:rsid w:val="0081343F"/>
    <w:rsid w:val="00813877"/>
    <w:rsid w:val="00813889"/>
    <w:rsid w:val="00813CA8"/>
    <w:rsid w:val="008142A9"/>
    <w:rsid w:val="00814435"/>
    <w:rsid w:val="00814A81"/>
    <w:rsid w:val="008153CE"/>
    <w:rsid w:val="00815D70"/>
    <w:rsid w:val="0081678F"/>
    <w:rsid w:val="0081694E"/>
    <w:rsid w:val="00817116"/>
    <w:rsid w:val="0081747B"/>
    <w:rsid w:val="00820257"/>
    <w:rsid w:val="008203E5"/>
    <w:rsid w:val="00820EBB"/>
    <w:rsid w:val="0082164E"/>
    <w:rsid w:val="00821FF3"/>
    <w:rsid w:val="0082225B"/>
    <w:rsid w:val="008222DC"/>
    <w:rsid w:val="00822430"/>
    <w:rsid w:val="00822888"/>
    <w:rsid w:val="00822E7C"/>
    <w:rsid w:val="0082355F"/>
    <w:rsid w:val="008239F7"/>
    <w:rsid w:val="00823B84"/>
    <w:rsid w:val="00823B85"/>
    <w:rsid w:val="008254A0"/>
    <w:rsid w:val="00825735"/>
    <w:rsid w:val="008263D9"/>
    <w:rsid w:val="00826580"/>
    <w:rsid w:val="0082676E"/>
    <w:rsid w:val="008269D3"/>
    <w:rsid w:val="00826B84"/>
    <w:rsid w:val="00826DCF"/>
    <w:rsid w:val="00827198"/>
    <w:rsid w:val="008273D2"/>
    <w:rsid w:val="00827E49"/>
    <w:rsid w:val="008304F8"/>
    <w:rsid w:val="008311BD"/>
    <w:rsid w:val="008316EE"/>
    <w:rsid w:val="008321EA"/>
    <w:rsid w:val="008325D3"/>
    <w:rsid w:val="008327E9"/>
    <w:rsid w:val="00832836"/>
    <w:rsid w:val="0083294F"/>
    <w:rsid w:val="00832BE5"/>
    <w:rsid w:val="00833710"/>
    <w:rsid w:val="008337C7"/>
    <w:rsid w:val="00834726"/>
    <w:rsid w:val="00834A80"/>
    <w:rsid w:val="00834D6C"/>
    <w:rsid w:val="00834E55"/>
    <w:rsid w:val="00835718"/>
    <w:rsid w:val="00835AA9"/>
    <w:rsid w:val="00836096"/>
    <w:rsid w:val="00836176"/>
    <w:rsid w:val="00836502"/>
    <w:rsid w:val="0083668D"/>
    <w:rsid w:val="0083671A"/>
    <w:rsid w:val="008378AE"/>
    <w:rsid w:val="00837DD3"/>
    <w:rsid w:val="0084161B"/>
    <w:rsid w:val="00842781"/>
    <w:rsid w:val="008428EF"/>
    <w:rsid w:val="00842AFD"/>
    <w:rsid w:val="008430FC"/>
    <w:rsid w:val="008434DA"/>
    <w:rsid w:val="00843A24"/>
    <w:rsid w:val="00843CC9"/>
    <w:rsid w:val="008441BE"/>
    <w:rsid w:val="00844710"/>
    <w:rsid w:val="0084492D"/>
    <w:rsid w:val="00845374"/>
    <w:rsid w:val="00846104"/>
    <w:rsid w:val="008462D1"/>
    <w:rsid w:val="00846309"/>
    <w:rsid w:val="00846900"/>
    <w:rsid w:val="00846FE6"/>
    <w:rsid w:val="00847051"/>
    <w:rsid w:val="008471D9"/>
    <w:rsid w:val="008475BF"/>
    <w:rsid w:val="00847AD0"/>
    <w:rsid w:val="008503C5"/>
    <w:rsid w:val="00850C88"/>
    <w:rsid w:val="00852174"/>
    <w:rsid w:val="008523A8"/>
    <w:rsid w:val="0085276E"/>
    <w:rsid w:val="00853A07"/>
    <w:rsid w:val="0085403C"/>
    <w:rsid w:val="00854329"/>
    <w:rsid w:val="00854477"/>
    <w:rsid w:val="00854ADA"/>
    <w:rsid w:val="00854D5B"/>
    <w:rsid w:val="008551C8"/>
    <w:rsid w:val="00855605"/>
    <w:rsid w:val="0085582B"/>
    <w:rsid w:val="00855A3F"/>
    <w:rsid w:val="00855A4F"/>
    <w:rsid w:val="008563F1"/>
    <w:rsid w:val="00856699"/>
    <w:rsid w:val="00856B23"/>
    <w:rsid w:val="00856F88"/>
    <w:rsid w:val="00857891"/>
    <w:rsid w:val="00857A7D"/>
    <w:rsid w:val="00857E8F"/>
    <w:rsid w:val="00857F11"/>
    <w:rsid w:val="00860B80"/>
    <w:rsid w:val="00860FDC"/>
    <w:rsid w:val="00861229"/>
    <w:rsid w:val="008612BE"/>
    <w:rsid w:val="008613EE"/>
    <w:rsid w:val="008616B5"/>
    <w:rsid w:val="00862579"/>
    <w:rsid w:val="00862CD9"/>
    <w:rsid w:val="00863246"/>
    <w:rsid w:val="00864595"/>
    <w:rsid w:val="00864A57"/>
    <w:rsid w:val="00865778"/>
    <w:rsid w:val="008669DB"/>
    <w:rsid w:val="00866B20"/>
    <w:rsid w:val="0086740D"/>
    <w:rsid w:val="00867546"/>
    <w:rsid w:val="00867645"/>
    <w:rsid w:val="0086790E"/>
    <w:rsid w:val="00867DF2"/>
    <w:rsid w:val="00867FDB"/>
    <w:rsid w:val="00871D40"/>
    <w:rsid w:val="00871DF7"/>
    <w:rsid w:val="0087240E"/>
    <w:rsid w:val="00872B04"/>
    <w:rsid w:val="00873597"/>
    <w:rsid w:val="00873C40"/>
    <w:rsid w:val="0087411A"/>
    <w:rsid w:val="008747A0"/>
    <w:rsid w:val="00874B45"/>
    <w:rsid w:val="008759C4"/>
    <w:rsid w:val="00875AF5"/>
    <w:rsid w:val="008761A0"/>
    <w:rsid w:val="008768C5"/>
    <w:rsid w:val="00876F07"/>
    <w:rsid w:val="008770DF"/>
    <w:rsid w:val="008772D0"/>
    <w:rsid w:val="008773BB"/>
    <w:rsid w:val="00877ABD"/>
    <w:rsid w:val="00877CAA"/>
    <w:rsid w:val="00877E96"/>
    <w:rsid w:val="0088051D"/>
    <w:rsid w:val="00881534"/>
    <w:rsid w:val="0088241E"/>
    <w:rsid w:val="008825E8"/>
    <w:rsid w:val="00882990"/>
    <w:rsid w:val="00882ABD"/>
    <w:rsid w:val="00884344"/>
    <w:rsid w:val="00884FC3"/>
    <w:rsid w:val="0088546F"/>
    <w:rsid w:val="00885625"/>
    <w:rsid w:val="0088579E"/>
    <w:rsid w:val="00886015"/>
    <w:rsid w:val="008862E9"/>
    <w:rsid w:val="008864C6"/>
    <w:rsid w:val="00886752"/>
    <w:rsid w:val="00886931"/>
    <w:rsid w:val="008869E2"/>
    <w:rsid w:val="00886FCD"/>
    <w:rsid w:val="00886FFB"/>
    <w:rsid w:val="008873D1"/>
    <w:rsid w:val="008877DC"/>
    <w:rsid w:val="00887834"/>
    <w:rsid w:val="008879D1"/>
    <w:rsid w:val="008900A2"/>
    <w:rsid w:val="00890237"/>
    <w:rsid w:val="0089039D"/>
    <w:rsid w:val="00890D9A"/>
    <w:rsid w:val="008917EA"/>
    <w:rsid w:val="00891E38"/>
    <w:rsid w:val="008930B4"/>
    <w:rsid w:val="0089316A"/>
    <w:rsid w:val="00893527"/>
    <w:rsid w:val="0089354E"/>
    <w:rsid w:val="008946D1"/>
    <w:rsid w:val="00894EE8"/>
    <w:rsid w:val="00895546"/>
    <w:rsid w:val="0089560A"/>
    <w:rsid w:val="00895DC4"/>
    <w:rsid w:val="00896295"/>
    <w:rsid w:val="0089692E"/>
    <w:rsid w:val="00896A90"/>
    <w:rsid w:val="008973E1"/>
    <w:rsid w:val="00897549"/>
    <w:rsid w:val="0089778E"/>
    <w:rsid w:val="00897BDA"/>
    <w:rsid w:val="00897E59"/>
    <w:rsid w:val="008A0C89"/>
    <w:rsid w:val="008A142D"/>
    <w:rsid w:val="008A19E0"/>
    <w:rsid w:val="008A1B30"/>
    <w:rsid w:val="008A210E"/>
    <w:rsid w:val="008A26C6"/>
    <w:rsid w:val="008A3DD9"/>
    <w:rsid w:val="008A4017"/>
    <w:rsid w:val="008A4263"/>
    <w:rsid w:val="008A4EAE"/>
    <w:rsid w:val="008A4F23"/>
    <w:rsid w:val="008A5737"/>
    <w:rsid w:val="008A609E"/>
    <w:rsid w:val="008A647C"/>
    <w:rsid w:val="008A66C5"/>
    <w:rsid w:val="008A6CDE"/>
    <w:rsid w:val="008A7982"/>
    <w:rsid w:val="008B0299"/>
    <w:rsid w:val="008B0548"/>
    <w:rsid w:val="008B0881"/>
    <w:rsid w:val="008B0D5E"/>
    <w:rsid w:val="008B12F3"/>
    <w:rsid w:val="008B1A77"/>
    <w:rsid w:val="008B26CE"/>
    <w:rsid w:val="008B2C75"/>
    <w:rsid w:val="008B3599"/>
    <w:rsid w:val="008B3781"/>
    <w:rsid w:val="008B3EA0"/>
    <w:rsid w:val="008B4002"/>
    <w:rsid w:val="008B48B4"/>
    <w:rsid w:val="008B4F1C"/>
    <w:rsid w:val="008B502C"/>
    <w:rsid w:val="008B5F15"/>
    <w:rsid w:val="008B6070"/>
    <w:rsid w:val="008B61BE"/>
    <w:rsid w:val="008B64F1"/>
    <w:rsid w:val="008B709C"/>
    <w:rsid w:val="008B7CD4"/>
    <w:rsid w:val="008B7EE7"/>
    <w:rsid w:val="008C055D"/>
    <w:rsid w:val="008C076D"/>
    <w:rsid w:val="008C0B46"/>
    <w:rsid w:val="008C0FF6"/>
    <w:rsid w:val="008C18A4"/>
    <w:rsid w:val="008C1988"/>
    <w:rsid w:val="008C1A69"/>
    <w:rsid w:val="008C39B9"/>
    <w:rsid w:val="008C3C73"/>
    <w:rsid w:val="008C4B58"/>
    <w:rsid w:val="008C59E2"/>
    <w:rsid w:val="008C5B98"/>
    <w:rsid w:val="008C5CA0"/>
    <w:rsid w:val="008C5FD1"/>
    <w:rsid w:val="008C6792"/>
    <w:rsid w:val="008C6B65"/>
    <w:rsid w:val="008C725F"/>
    <w:rsid w:val="008C799B"/>
    <w:rsid w:val="008C7C00"/>
    <w:rsid w:val="008D0A01"/>
    <w:rsid w:val="008D0A65"/>
    <w:rsid w:val="008D0BBF"/>
    <w:rsid w:val="008D0E7D"/>
    <w:rsid w:val="008D1120"/>
    <w:rsid w:val="008D1A97"/>
    <w:rsid w:val="008D2497"/>
    <w:rsid w:val="008D30D7"/>
    <w:rsid w:val="008D315D"/>
    <w:rsid w:val="008D350E"/>
    <w:rsid w:val="008D3510"/>
    <w:rsid w:val="008D3998"/>
    <w:rsid w:val="008D4130"/>
    <w:rsid w:val="008D494F"/>
    <w:rsid w:val="008D4954"/>
    <w:rsid w:val="008D4AEF"/>
    <w:rsid w:val="008D4DAB"/>
    <w:rsid w:val="008D5A1A"/>
    <w:rsid w:val="008D6038"/>
    <w:rsid w:val="008D6148"/>
    <w:rsid w:val="008D615C"/>
    <w:rsid w:val="008D6521"/>
    <w:rsid w:val="008D67F4"/>
    <w:rsid w:val="008D6B83"/>
    <w:rsid w:val="008D6EBD"/>
    <w:rsid w:val="008D6FA9"/>
    <w:rsid w:val="008D733E"/>
    <w:rsid w:val="008D7522"/>
    <w:rsid w:val="008D752D"/>
    <w:rsid w:val="008E0003"/>
    <w:rsid w:val="008E04A0"/>
    <w:rsid w:val="008E0734"/>
    <w:rsid w:val="008E0AC9"/>
    <w:rsid w:val="008E0F79"/>
    <w:rsid w:val="008E176F"/>
    <w:rsid w:val="008E1839"/>
    <w:rsid w:val="008E25B0"/>
    <w:rsid w:val="008E270C"/>
    <w:rsid w:val="008E299C"/>
    <w:rsid w:val="008E2D9F"/>
    <w:rsid w:val="008E401C"/>
    <w:rsid w:val="008E404C"/>
    <w:rsid w:val="008E40F4"/>
    <w:rsid w:val="008E43FB"/>
    <w:rsid w:val="008E5372"/>
    <w:rsid w:val="008E5386"/>
    <w:rsid w:val="008E5EB3"/>
    <w:rsid w:val="008E5F89"/>
    <w:rsid w:val="008E6290"/>
    <w:rsid w:val="008E631F"/>
    <w:rsid w:val="008E726B"/>
    <w:rsid w:val="008E7871"/>
    <w:rsid w:val="008E7A3A"/>
    <w:rsid w:val="008E7A4A"/>
    <w:rsid w:val="008F172D"/>
    <w:rsid w:val="008F1B38"/>
    <w:rsid w:val="008F28D5"/>
    <w:rsid w:val="008F2957"/>
    <w:rsid w:val="008F2AC0"/>
    <w:rsid w:val="008F3366"/>
    <w:rsid w:val="008F355C"/>
    <w:rsid w:val="008F3A8D"/>
    <w:rsid w:val="008F3D4A"/>
    <w:rsid w:val="008F3D7A"/>
    <w:rsid w:val="008F4356"/>
    <w:rsid w:val="008F4DE1"/>
    <w:rsid w:val="008F5D73"/>
    <w:rsid w:val="008F6033"/>
    <w:rsid w:val="008F7542"/>
    <w:rsid w:val="008F76C3"/>
    <w:rsid w:val="00900669"/>
    <w:rsid w:val="00900C4C"/>
    <w:rsid w:val="00900D44"/>
    <w:rsid w:val="00901060"/>
    <w:rsid w:val="0090175C"/>
    <w:rsid w:val="00902895"/>
    <w:rsid w:val="009028CA"/>
    <w:rsid w:val="00902B7B"/>
    <w:rsid w:val="00902C40"/>
    <w:rsid w:val="00902E45"/>
    <w:rsid w:val="00903272"/>
    <w:rsid w:val="0090350F"/>
    <w:rsid w:val="00903D02"/>
    <w:rsid w:val="00904042"/>
    <w:rsid w:val="0090486C"/>
    <w:rsid w:val="009049EA"/>
    <w:rsid w:val="00904C5C"/>
    <w:rsid w:val="009053DA"/>
    <w:rsid w:val="00905D46"/>
    <w:rsid w:val="00906854"/>
    <w:rsid w:val="0090689D"/>
    <w:rsid w:val="009069EE"/>
    <w:rsid w:val="00906D48"/>
    <w:rsid w:val="0090714C"/>
    <w:rsid w:val="00907165"/>
    <w:rsid w:val="009071D1"/>
    <w:rsid w:val="00910552"/>
    <w:rsid w:val="009106BF"/>
    <w:rsid w:val="00911AF3"/>
    <w:rsid w:val="00911F14"/>
    <w:rsid w:val="00912603"/>
    <w:rsid w:val="009126EC"/>
    <w:rsid w:val="00913398"/>
    <w:rsid w:val="009134A7"/>
    <w:rsid w:val="009136CE"/>
    <w:rsid w:val="0091388F"/>
    <w:rsid w:val="00913B6B"/>
    <w:rsid w:val="009141DF"/>
    <w:rsid w:val="009143ED"/>
    <w:rsid w:val="009148D7"/>
    <w:rsid w:val="00914986"/>
    <w:rsid w:val="0091543A"/>
    <w:rsid w:val="0091569C"/>
    <w:rsid w:val="00916CE4"/>
    <w:rsid w:val="00916D20"/>
    <w:rsid w:val="00916E25"/>
    <w:rsid w:val="00917CC0"/>
    <w:rsid w:val="00917F8A"/>
    <w:rsid w:val="00920D7D"/>
    <w:rsid w:val="00921943"/>
    <w:rsid w:val="00922109"/>
    <w:rsid w:val="00924DB5"/>
    <w:rsid w:val="009259D8"/>
    <w:rsid w:val="00925AEE"/>
    <w:rsid w:val="009260AE"/>
    <w:rsid w:val="00926268"/>
    <w:rsid w:val="0092647D"/>
    <w:rsid w:val="0092660B"/>
    <w:rsid w:val="00926776"/>
    <w:rsid w:val="0092740C"/>
    <w:rsid w:val="00927A32"/>
    <w:rsid w:val="00927F4B"/>
    <w:rsid w:val="00927FD1"/>
    <w:rsid w:val="00930132"/>
    <w:rsid w:val="009301E4"/>
    <w:rsid w:val="009303D2"/>
    <w:rsid w:val="00930E05"/>
    <w:rsid w:val="009313F1"/>
    <w:rsid w:val="009319A7"/>
    <w:rsid w:val="00931CE1"/>
    <w:rsid w:val="00931D02"/>
    <w:rsid w:val="0093249A"/>
    <w:rsid w:val="009327BA"/>
    <w:rsid w:val="0093332A"/>
    <w:rsid w:val="00934ED6"/>
    <w:rsid w:val="0093542C"/>
    <w:rsid w:val="009358ED"/>
    <w:rsid w:val="00935C9F"/>
    <w:rsid w:val="00936268"/>
    <w:rsid w:val="00936856"/>
    <w:rsid w:val="00936D14"/>
    <w:rsid w:val="00937348"/>
    <w:rsid w:val="009376D5"/>
    <w:rsid w:val="00937EAA"/>
    <w:rsid w:val="00937F3A"/>
    <w:rsid w:val="00940D1E"/>
    <w:rsid w:val="00941E3F"/>
    <w:rsid w:val="0094320E"/>
    <w:rsid w:val="009433B3"/>
    <w:rsid w:val="00943B32"/>
    <w:rsid w:val="00943EA6"/>
    <w:rsid w:val="0094469E"/>
    <w:rsid w:val="009448AA"/>
    <w:rsid w:val="0094492F"/>
    <w:rsid w:val="00944959"/>
    <w:rsid w:val="00944AA1"/>
    <w:rsid w:val="00944BCA"/>
    <w:rsid w:val="009451DB"/>
    <w:rsid w:val="00945AD2"/>
    <w:rsid w:val="00946DA2"/>
    <w:rsid w:val="00947CAB"/>
    <w:rsid w:val="0095045E"/>
    <w:rsid w:val="009504C4"/>
    <w:rsid w:val="0095117B"/>
    <w:rsid w:val="009514C3"/>
    <w:rsid w:val="00951F76"/>
    <w:rsid w:val="0095329C"/>
    <w:rsid w:val="00953BAB"/>
    <w:rsid w:val="00953D53"/>
    <w:rsid w:val="00954FAA"/>
    <w:rsid w:val="00955D9F"/>
    <w:rsid w:val="009563C0"/>
    <w:rsid w:val="00956BF3"/>
    <w:rsid w:val="00957C58"/>
    <w:rsid w:val="009603EE"/>
    <w:rsid w:val="00960586"/>
    <w:rsid w:val="009612B8"/>
    <w:rsid w:val="009613FB"/>
    <w:rsid w:val="00961E28"/>
    <w:rsid w:val="00962409"/>
    <w:rsid w:val="00963231"/>
    <w:rsid w:val="0096471F"/>
    <w:rsid w:val="009648CB"/>
    <w:rsid w:val="00965706"/>
    <w:rsid w:val="00965FBA"/>
    <w:rsid w:val="009661B7"/>
    <w:rsid w:val="009666FA"/>
    <w:rsid w:val="00966BCC"/>
    <w:rsid w:val="00966D5C"/>
    <w:rsid w:val="00966DAA"/>
    <w:rsid w:val="00967657"/>
    <w:rsid w:val="009702A7"/>
    <w:rsid w:val="0097031B"/>
    <w:rsid w:val="00970DC2"/>
    <w:rsid w:val="00971237"/>
    <w:rsid w:val="0097124C"/>
    <w:rsid w:val="00971990"/>
    <w:rsid w:val="00971B7E"/>
    <w:rsid w:val="00972513"/>
    <w:rsid w:val="00973220"/>
    <w:rsid w:val="009736BC"/>
    <w:rsid w:val="00974588"/>
    <w:rsid w:val="00974A77"/>
    <w:rsid w:val="00974C2A"/>
    <w:rsid w:val="00974F64"/>
    <w:rsid w:val="009752EE"/>
    <w:rsid w:val="009753C1"/>
    <w:rsid w:val="00976838"/>
    <w:rsid w:val="00976D0F"/>
    <w:rsid w:val="00976D42"/>
    <w:rsid w:val="00977577"/>
    <w:rsid w:val="00977D06"/>
    <w:rsid w:val="00977F16"/>
    <w:rsid w:val="0098147A"/>
    <w:rsid w:val="009815FF"/>
    <w:rsid w:val="00981876"/>
    <w:rsid w:val="00981AD3"/>
    <w:rsid w:val="009832C0"/>
    <w:rsid w:val="00983579"/>
    <w:rsid w:val="00983588"/>
    <w:rsid w:val="009835BD"/>
    <w:rsid w:val="00983822"/>
    <w:rsid w:val="00984200"/>
    <w:rsid w:val="009844AA"/>
    <w:rsid w:val="009855CB"/>
    <w:rsid w:val="009859C4"/>
    <w:rsid w:val="0098609A"/>
    <w:rsid w:val="0098699E"/>
    <w:rsid w:val="009871F8"/>
    <w:rsid w:val="009875E5"/>
    <w:rsid w:val="0098793C"/>
    <w:rsid w:val="00987CCF"/>
    <w:rsid w:val="009904A7"/>
    <w:rsid w:val="009906DB"/>
    <w:rsid w:val="00990755"/>
    <w:rsid w:val="00990B5A"/>
    <w:rsid w:val="00990DC1"/>
    <w:rsid w:val="00990FC7"/>
    <w:rsid w:val="00991915"/>
    <w:rsid w:val="009919A9"/>
    <w:rsid w:val="00991C80"/>
    <w:rsid w:val="00991D0A"/>
    <w:rsid w:val="00992104"/>
    <w:rsid w:val="00992164"/>
    <w:rsid w:val="00992B35"/>
    <w:rsid w:val="00992C3D"/>
    <w:rsid w:val="00992D76"/>
    <w:rsid w:val="00993828"/>
    <w:rsid w:val="009941B6"/>
    <w:rsid w:val="009945A7"/>
    <w:rsid w:val="00994ABA"/>
    <w:rsid w:val="00995B32"/>
    <w:rsid w:val="009962A5"/>
    <w:rsid w:val="0099779D"/>
    <w:rsid w:val="009A0AC4"/>
    <w:rsid w:val="009A0C5B"/>
    <w:rsid w:val="009A1530"/>
    <w:rsid w:val="009A17AD"/>
    <w:rsid w:val="009A19A6"/>
    <w:rsid w:val="009A2580"/>
    <w:rsid w:val="009A294E"/>
    <w:rsid w:val="009A2CFB"/>
    <w:rsid w:val="009A2E5F"/>
    <w:rsid w:val="009A2F90"/>
    <w:rsid w:val="009A30BE"/>
    <w:rsid w:val="009A33E5"/>
    <w:rsid w:val="009A371A"/>
    <w:rsid w:val="009A3946"/>
    <w:rsid w:val="009A3B2A"/>
    <w:rsid w:val="009A4B08"/>
    <w:rsid w:val="009A4DEF"/>
    <w:rsid w:val="009A4E89"/>
    <w:rsid w:val="009A54B1"/>
    <w:rsid w:val="009A5931"/>
    <w:rsid w:val="009A6B02"/>
    <w:rsid w:val="009A7462"/>
    <w:rsid w:val="009A7B29"/>
    <w:rsid w:val="009A7DEF"/>
    <w:rsid w:val="009A7FC7"/>
    <w:rsid w:val="009B0A11"/>
    <w:rsid w:val="009B0D86"/>
    <w:rsid w:val="009B17C9"/>
    <w:rsid w:val="009B1E4D"/>
    <w:rsid w:val="009B26A0"/>
    <w:rsid w:val="009B26CB"/>
    <w:rsid w:val="009B3DB7"/>
    <w:rsid w:val="009B4456"/>
    <w:rsid w:val="009B4553"/>
    <w:rsid w:val="009B6021"/>
    <w:rsid w:val="009B60E8"/>
    <w:rsid w:val="009B6571"/>
    <w:rsid w:val="009B6DFC"/>
    <w:rsid w:val="009B7AE1"/>
    <w:rsid w:val="009B7AF2"/>
    <w:rsid w:val="009C0323"/>
    <w:rsid w:val="009C03BB"/>
    <w:rsid w:val="009C0FEB"/>
    <w:rsid w:val="009C13AE"/>
    <w:rsid w:val="009C2353"/>
    <w:rsid w:val="009C2F42"/>
    <w:rsid w:val="009C3652"/>
    <w:rsid w:val="009C3DF0"/>
    <w:rsid w:val="009C3E3C"/>
    <w:rsid w:val="009C43C5"/>
    <w:rsid w:val="009C4441"/>
    <w:rsid w:val="009C445C"/>
    <w:rsid w:val="009C4682"/>
    <w:rsid w:val="009C4BF4"/>
    <w:rsid w:val="009C51F6"/>
    <w:rsid w:val="009C5283"/>
    <w:rsid w:val="009C53DF"/>
    <w:rsid w:val="009C54E2"/>
    <w:rsid w:val="009C5908"/>
    <w:rsid w:val="009C5FE5"/>
    <w:rsid w:val="009C67B9"/>
    <w:rsid w:val="009C6A80"/>
    <w:rsid w:val="009C6D2B"/>
    <w:rsid w:val="009C7118"/>
    <w:rsid w:val="009C78BF"/>
    <w:rsid w:val="009C7C73"/>
    <w:rsid w:val="009D0043"/>
    <w:rsid w:val="009D0EEB"/>
    <w:rsid w:val="009D1486"/>
    <w:rsid w:val="009D1AB8"/>
    <w:rsid w:val="009D1DAC"/>
    <w:rsid w:val="009D1EC3"/>
    <w:rsid w:val="009D28A4"/>
    <w:rsid w:val="009D2FEF"/>
    <w:rsid w:val="009D3380"/>
    <w:rsid w:val="009D3462"/>
    <w:rsid w:val="009D4444"/>
    <w:rsid w:val="009D460A"/>
    <w:rsid w:val="009D4C7B"/>
    <w:rsid w:val="009D50F6"/>
    <w:rsid w:val="009D548E"/>
    <w:rsid w:val="009D57BC"/>
    <w:rsid w:val="009D59E1"/>
    <w:rsid w:val="009D5F88"/>
    <w:rsid w:val="009D6D57"/>
    <w:rsid w:val="009D7D68"/>
    <w:rsid w:val="009D7F9F"/>
    <w:rsid w:val="009E094C"/>
    <w:rsid w:val="009E1DA2"/>
    <w:rsid w:val="009E1DE7"/>
    <w:rsid w:val="009E1F4D"/>
    <w:rsid w:val="009E22A3"/>
    <w:rsid w:val="009E2426"/>
    <w:rsid w:val="009E27D9"/>
    <w:rsid w:val="009E3576"/>
    <w:rsid w:val="009E3BA4"/>
    <w:rsid w:val="009E3D95"/>
    <w:rsid w:val="009E3E63"/>
    <w:rsid w:val="009E4BFC"/>
    <w:rsid w:val="009E4C0B"/>
    <w:rsid w:val="009E51C3"/>
    <w:rsid w:val="009E5BB4"/>
    <w:rsid w:val="009E5D0B"/>
    <w:rsid w:val="009E7237"/>
    <w:rsid w:val="009E7728"/>
    <w:rsid w:val="009E79BA"/>
    <w:rsid w:val="009E7B75"/>
    <w:rsid w:val="009E7E78"/>
    <w:rsid w:val="009E7F58"/>
    <w:rsid w:val="009F0A7D"/>
    <w:rsid w:val="009F0B40"/>
    <w:rsid w:val="009F0B9F"/>
    <w:rsid w:val="009F0F0E"/>
    <w:rsid w:val="009F10E3"/>
    <w:rsid w:val="009F1D0C"/>
    <w:rsid w:val="009F1EA4"/>
    <w:rsid w:val="009F226F"/>
    <w:rsid w:val="009F25AA"/>
    <w:rsid w:val="009F2763"/>
    <w:rsid w:val="009F2A3F"/>
    <w:rsid w:val="009F2DC8"/>
    <w:rsid w:val="009F3A07"/>
    <w:rsid w:val="009F40DA"/>
    <w:rsid w:val="009F4765"/>
    <w:rsid w:val="009F4D23"/>
    <w:rsid w:val="009F4FFF"/>
    <w:rsid w:val="009F54B7"/>
    <w:rsid w:val="009F5958"/>
    <w:rsid w:val="009F5C0F"/>
    <w:rsid w:val="009F6280"/>
    <w:rsid w:val="009F63EA"/>
    <w:rsid w:val="00A00334"/>
    <w:rsid w:val="00A00AF6"/>
    <w:rsid w:val="00A00F63"/>
    <w:rsid w:val="00A012CF"/>
    <w:rsid w:val="00A01E3E"/>
    <w:rsid w:val="00A0226E"/>
    <w:rsid w:val="00A02732"/>
    <w:rsid w:val="00A02F04"/>
    <w:rsid w:val="00A03101"/>
    <w:rsid w:val="00A0370B"/>
    <w:rsid w:val="00A04924"/>
    <w:rsid w:val="00A04AFE"/>
    <w:rsid w:val="00A04F48"/>
    <w:rsid w:val="00A0520D"/>
    <w:rsid w:val="00A0582B"/>
    <w:rsid w:val="00A06136"/>
    <w:rsid w:val="00A0628D"/>
    <w:rsid w:val="00A062A4"/>
    <w:rsid w:val="00A0633D"/>
    <w:rsid w:val="00A06741"/>
    <w:rsid w:val="00A06B5B"/>
    <w:rsid w:val="00A06F9C"/>
    <w:rsid w:val="00A070DD"/>
    <w:rsid w:val="00A07A06"/>
    <w:rsid w:val="00A07B67"/>
    <w:rsid w:val="00A07E1F"/>
    <w:rsid w:val="00A10057"/>
    <w:rsid w:val="00A1090C"/>
    <w:rsid w:val="00A10B78"/>
    <w:rsid w:val="00A10E2F"/>
    <w:rsid w:val="00A12503"/>
    <w:rsid w:val="00A12752"/>
    <w:rsid w:val="00A1289D"/>
    <w:rsid w:val="00A12FBF"/>
    <w:rsid w:val="00A13762"/>
    <w:rsid w:val="00A1442E"/>
    <w:rsid w:val="00A14648"/>
    <w:rsid w:val="00A14C99"/>
    <w:rsid w:val="00A1502E"/>
    <w:rsid w:val="00A169F1"/>
    <w:rsid w:val="00A179AA"/>
    <w:rsid w:val="00A200D4"/>
    <w:rsid w:val="00A21789"/>
    <w:rsid w:val="00A21A0C"/>
    <w:rsid w:val="00A21AB5"/>
    <w:rsid w:val="00A21B6F"/>
    <w:rsid w:val="00A23014"/>
    <w:rsid w:val="00A23425"/>
    <w:rsid w:val="00A235C5"/>
    <w:rsid w:val="00A244A7"/>
    <w:rsid w:val="00A244F6"/>
    <w:rsid w:val="00A2469A"/>
    <w:rsid w:val="00A259F0"/>
    <w:rsid w:val="00A25CFE"/>
    <w:rsid w:val="00A26048"/>
    <w:rsid w:val="00A26A77"/>
    <w:rsid w:val="00A26DFF"/>
    <w:rsid w:val="00A27225"/>
    <w:rsid w:val="00A27B6F"/>
    <w:rsid w:val="00A27F97"/>
    <w:rsid w:val="00A30501"/>
    <w:rsid w:val="00A30663"/>
    <w:rsid w:val="00A3074F"/>
    <w:rsid w:val="00A312C4"/>
    <w:rsid w:val="00A3132B"/>
    <w:rsid w:val="00A31538"/>
    <w:rsid w:val="00A315AB"/>
    <w:rsid w:val="00A31661"/>
    <w:rsid w:val="00A31AB4"/>
    <w:rsid w:val="00A31DB8"/>
    <w:rsid w:val="00A32276"/>
    <w:rsid w:val="00A324D4"/>
    <w:rsid w:val="00A33265"/>
    <w:rsid w:val="00A333D2"/>
    <w:rsid w:val="00A33496"/>
    <w:rsid w:val="00A336FB"/>
    <w:rsid w:val="00A362E3"/>
    <w:rsid w:val="00A36753"/>
    <w:rsid w:val="00A36B39"/>
    <w:rsid w:val="00A36FBF"/>
    <w:rsid w:val="00A37230"/>
    <w:rsid w:val="00A37477"/>
    <w:rsid w:val="00A37623"/>
    <w:rsid w:val="00A402D6"/>
    <w:rsid w:val="00A40DCE"/>
    <w:rsid w:val="00A41EDC"/>
    <w:rsid w:val="00A42667"/>
    <w:rsid w:val="00A43054"/>
    <w:rsid w:val="00A442F4"/>
    <w:rsid w:val="00A44D6C"/>
    <w:rsid w:val="00A45191"/>
    <w:rsid w:val="00A452E2"/>
    <w:rsid w:val="00A46034"/>
    <w:rsid w:val="00A501CB"/>
    <w:rsid w:val="00A50891"/>
    <w:rsid w:val="00A50ADC"/>
    <w:rsid w:val="00A52303"/>
    <w:rsid w:val="00A52510"/>
    <w:rsid w:val="00A52BE5"/>
    <w:rsid w:val="00A52FBB"/>
    <w:rsid w:val="00A534CF"/>
    <w:rsid w:val="00A53CFD"/>
    <w:rsid w:val="00A53D4E"/>
    <w:rsid w:val="00A54071"/>
    <w:rsid w:val="00A545C2"/>
    <w:rsid w:val="00A54749"/>
    <w:rsid w:val="00A547FB"/>
    <w:rsid w:val="00A54BFF"/>
    <w:rsid w:val="00A54CBB"/>
    <w:rsid w:val="00A54D08"/>
    <w:rsid w:val="00A54EDF"/>
    <w:rsid w:val="00A54F36"/>
    <w:rsid w:val="00A558C7"/>
    <w:rsid w:val="00A56308"/>
    <w:rsid w:val="00A5645E"/>
    <w:rsid w:val="00A56BD6"/>
    <w:rsid w:val="00A578BE"/>
    <w:rsid w:val="00A57A65"/>
    <w:rsid w:val="00A57DD4"/>
    <w:rsid w:val="00A60AB3"/>
    <w:rsid w:val="00A60C78"/>
    <w:rsid w:val="00A61546"/>
    <w:rsid w:val="00A615AB"/>
    <w:rsid w:val="00A6169D"/>
    <w:rsid w:val="00A62023"/>
    <w:rsid w:val="00A62224"/>
    <w:rsid w:val="00A629DD"/>
    <w:rsid w:val="00A62A52"/>
    <w:rsid w:val="00A6485C"/>
    <w:rsid w:val="00A6498C"/>
    <w:rsid w:val="00A649D2"/>
    <w:rsid w:val="00A65B17"/>
    <w:rsid w:val="00A6631A"/>
    <w:rsid w:val="00A6691C"/>
    <w:rsid w:val="00A66E66"/>
    <w:rsid w:val="00A67818"/>
    <w:rsid w:val="00A70034"/>
    <w:rsid w:val="00A711C9"/>
    <w:rsid w:val="00A71206"/>
    <w:rsid w:val="00A71252"/>
    <w:rsid w:val="00A712E7"/>
    <w:rsid w:val="00A71479"/>
    <w:rsid w:val="00A7152F"/>
    <w:rsid w:val="00A718C9"/>
    <w:rsid w:val="00A7218A"/>
    <w:rsid w:val="00A72A00"/>
    <w:rsid w:val="00A73D3E"/>
    <w:rsid w:val="00A743B3"/>
    <w:rsid w:val="00A74ACF"/>
    <w:rsid w:val="00A74C3C"/>
    <w:rsid w:val="00A74FDC"/>
    <w:rsid w:val="00A7614A"/>
    <w:rsid w:val="00A76BCD"/>
    <w:rsid w:val="00A76E35"/>
    <w:rsid w:val="00A771F1"/>
    <w:rsid w:val="00A773D0"/>
    <w:rsid w:val="00A777F8"/>
    <w:rsid w:val="00A802EF"/>
    <w:rsid w:val="00A81775"/>
    <w:rsid w:val="00A81A8B"/>
    <w:rsid w:val="00A82E61"/>
    <w:rsid w:val="00A830A7"/>
    <w:rsid w:val="00A83761"/>
    <w:rsid w:val="00A83B88"/>
    <w:rsid w:val="00A84431"/>
    <w:rsid w:val="00A84E39"/>
    <w:rsid w:val="00A856F8"/>
    <w:rsid w:val="00A8598B"/>
    <w:rsid w:val="00A85D38"/>
    <w:rsid w:val="00A86139"/>
    <w:rsid w:val="00A861E8"/>
    <w:rsid w:val="00A866C0"/>
    <w:rsid w:val="00A86A08"/>
    <w:rsid w:val="00A87708"/>
    <w:rsid w:val="00A87CB4"/>
    <w:rsid w:val="00A87FFD"/>
    <w:rsid w:val="00A903B5"/>
    <w:rsid w:val="00A90BCE"/>
    <w:rsid w:val="00A9135B"/>
    <w:rsid w:val="00A9148F"/>
    <w:rsid w:val="00A92421"/>
    <w:rsid w:val="00A92E82"/>
    <w:rsid w:val="00A93463"/>
    <w:rsid w:val="00A93763"/>
    <w:rsid w:val="00A93D5D"/>
    <w:rsid w:val="00A94405"/>
    <w:rsid w:val="00A94524"/>
    <w:rsid w:val="00A955B2"/>
    <w:rsid w:val="00A95A89"/>
    <w:rsid w:val="00A95AA9"/>
    <w:rsid w:val="00A95DAD"/>
    <w:rsid w:val="00A96F87"/>
    <w:rsid w:val="00A96FE7"/>
    <w:rsid w:val="00A9756E"/>
    <w:rsid w:val="00A9764D"/>
    <w:rsid w:val="00A976BE"/>
    <w:rsid w:val="00A97810"/>
    <w:rsid w:val="00AA0CE3"/>
    <w:rsid w:val="00AA18DE"/>
    <w:rsid w:val="00AA1C11"/>
    <w:rsid w:val="00AA1C55"/>
    <w:rsid w:val="00AA1F01"/>
    <w:rsid w:val="00AA213B"/>
    <w:rsid w:val="00AA21D9"/>
    <w:rsid w:val="00AA2222"/>
    <w:rsid w:val="00AA23A1"/>
    <w:rsid w:val="00AA29D1"/>
    <w:rsid w:val="00AA4B61"/>
    <w:rsid w:val="00AA5816"/>
    <w:rsid w:val="00AA5D18"/>
    <w:rsid w:val="00AA616C"/>
    <w:rsid w:val="00AA61AF"/>
    <w:rsid w:val="00AA66FF"/>
    <w:rsid w:val="00AA6E0A"/>
    <w:rsid w:val="00AA742B"/>
    <w:rsid w:val="00AA77F1"/>
    <w:rsid w:val="00AA7824"/>
    <w:rsid w:val="00AB056A"/>
    <w:rsid w:val="00AB15B8"/>
    <w:rsid w:val="00AB19F4"/>
    <w:rsid w:val="00AB2594"/>
    <w:rsid w:val="00AB2DFD"/>
    <w:rsid w:val="00AB2E37"/>
    <w:rsid w:val="00AB33A3"/>
    <w:rsid w:val="00AB37BE"/>
    <w:rsid w:val="00AB4EB2"/>
    <w:rsid w:val="00AB536A"/>
    <w:rsid w:val="00AB6830"/>
    <w:rsid w:val="00AB6BEF"/>
    <w:rsid w:val="00AB6D26"/>
    <w:rsid w:val="00AB6E3A"/>
    <w:rsid w:val="00AB732F"/>
    <w:rsid w:val="00AB7413"/>
    <w:rsid w:val="00AB77AE"/>
    <w:rsid w:val="00AB7992"/>
    <w:rsid w:val="00AB7EA0"/>
    <w:rsid w:val="00AC154B"/>
    <w:rsid w:val="00AC1631"/>
    <w:rsid w:val="00AC165C"/>
    <w:rsid w:val="00AC1668"/>
    <w:rsid w:val="00AC17C6"/>
    <w:rsid w:val="00AC2CDA"/>
    <w:rsid w:val="00AC37A7"/>
    <w:rsid w:val="00AC3EB8"/>
    <w:rsid w:val="00AC46C7"/>
    <w:rsid w:val="00AC572C"/>
    <w:rsid w:val="00AC5A51"/>
    <w:rsid w:val="00AC60C0"/>
    <w:rsid w:val="00AC6196"/>
    <w:rsid w:val="00AC6465"/>
    <w:rsid w:val="00AC6995"/>
    <w:rsid w:val="00AC70D7"/>
    <w:rsid w:val="00AC727F"/>
    <w:rsid w:val="00AC7C04"/>
    <w:rsid w:val="00AD0008"/>
    <w:rsid w:val="00AD089C"/>
    <w:rsid w:val="00AD0C00"/>
    <w:rsid w:val="00AD1492"/>
    <w:rsid w:val="00AD166C"/>
    <w:rsid w:val="00AD16BA"/>
    <w:rsid w:val="00AD1899"/>
    <w:rsid w:val="00AD20F9"/>
    <w:rsid w:val="00AD22DD"/>
    <w:rsid w:val="00AD259A"/>
    <w:rsid w:val="00AD2CDA"/>
    <w:rsid w:val="00AD2E2C"/>
    <w:rsid w:val="00AD320C"/>
    <w:rsid w:val="00AD355D"/>
    <w:rsid w:val="00AD3816"/>
    <w:rsid w:val="00AD41A2"/>
    <w:rsid w:val="00AD50B1"/>
    <w:rsid w:val="00AD54B0"/>
    <w:rsid w:val="00AD5870"/>
    <w:rsid w:val="00AD5A77"/>
    <w:rsid w:val="00AD5C81"/>
    <w:rsid w:val="00AD6F9E"/>
    <w:rsid w:val="00AD7170"/>
    <w:rsid w:val="00AD736E"/>
    <w:rsid w:val="00AD7880"/>
    <w:rsid w:val="00AE075D"/>
    <w:rsid w:val="00AE0C50"/>
    <w:rsid w:val="00AE0C5A"/>
    <w:rsid w:val="00AE0E0C"/>
    <w:rsid w:val="00AE152E"/>
    <w:rsid w:val="00AE18CB"/>
    <w:rsid w:val="00AE1E48"/>
    <w:rsid w:val="00AE2A4E"/>
    <w:rsid w:val="00AE2EC6"/>
    <w:rsid w:val="00AE2FF0"/>
    <w:rsid w:val="00AE3003"/>
    <w:rsid w:val="00AE3075"/>
    <w:rsid w:val="00AE3338"/>
    <w:rsid w:val="00AE3504"/>
    <w:rsid w:val="00AE377B"/>
    <w:rsid w:val="00AE3E01"/>
    <w:rsid w:val="00AE43BF"/>
    <w:rsid w:val="00AE45D6"/>
    <w:rsid w:val="00AE4B26"/>
    <w:rsid w:val="00AE4D93"/>
    <w:rsid w:val="00AE4DE5"/>
    <w:rsid w:val="00AE5BE7"/>
    <w:rsid w:val="00AE6891"/>
    <w:rsid w:val="00AE68CA"/>
    <w:rsid w:val="00AE727D"/>
    <w:rsid w:val="00AE75CC"/>
    <w:rsid w:val="00AF03C9"/>
    <w:rsid w:val="00AF14FA"/>
    <w:rsid w:val="00AF1DE4"/>
    <w:rsid w:val="00AF1E4B"/>
    <w:rsid w:val="00AF20A4"/>
    <w:rsid w:val="00AF27D8"/>
    <w:rsid w:val="00AF2909"/>
    <w:rsid w:val="00AF2D42"/>
    <w:rsid w:val="00AF308D"/>
    <w:rsid w:val="00AF364D"/>
    <w:rsid w:val="00AF3708"/>
    <w:rsid w:val="00AF3A50"/>
    <w:rsid w:val="00AF3D73"/>
    <w:rsid w:val="00AF5108"/>
    <w:rsid w:val="00AF5CF7"/>
    <w:rsid w:val="00AF665D"/>
    <w:rsid w:val="00AF6784"/>
    <w:rsid w:val="00AF75A4"/>
    <w:rsid w:val="00AF7CDA"/>
    <w:rsid w:val="00B00240"/>
    <w:rsid w:val="00B006A9"/>
    <w:rsid w:val="00B00762"/>
    <w:rsid w:val="00B01392"/>
    <w:rsid w:val="00B0163D"/>
    <w:rsid w:val="00B01655"/>
    <w:rsid w:val="00B020D2"/>
    <w:rsid w:val="00B028C1"/>
    <w:rsid w:val="00B02A35"/>
    <w:rsid w:val="00B03103"/>
    <w:rsid w:val="00B03413"/>
    <w:rsid w:val="00B0368D"/>
    <w:rsid w:val="00B04CBD"/>
    <w:rsid w:val="00B05505"/>
    <w:rsid w:val="00B063AA"/>
    <w:rsid w:val="00B064D6"/>
    <w:rsid w:val="00B06AD3"/>
    <w:rsid w:val="00B06FDF"/>
    <w:rsid w:val="00B070FD"/>
    <w:rsid w:val="00B07698"/>
    <w:rsid w:val="00B076AF"/>
    <w:rsid w:val="00B1080B"/>
    <w:rsid w:val="00B10A16"/>
    <w:rsid w:val="00B10FB8"/>
    <w:rsid w:val="00B112B7"/>
    <w:rsid w:val="00B113C7"/>
    <w:rsid w:val="00B11877"/>
    <w:rsid w:val="00B122E1"/>
    <w:rsid w:val="00B12503"/>
    <w:rsid w:val="00B12AD1"/>
    <w:rsid w:val="00B13233"/>
    <w:rsid w:val="00B13368"/>
    <w:rsid w:val="00B13649"/>
    <w:rsid w:val="00B15302"/>
    <w:rsid w:val="00B158CF"/>
    <w:rsid w:val="00B15A7E"/>
    <w:rsid w:val="00B17087"/>
    <w:rsid w:val="00B170D2"/>
    <w:rsid w:val="00B1744F"/>
    <w:rsid w:val="00B17C1B"/>
    <w:rsid w:val="00B17E5B"/>
    <w:rsid w:val="00B210FA"/>
    <w:rsid w:val="00B2124C"/>
    <w:rsid w:val="00B2190D"/>
    <w:rsid w:val="00B21A3A"/>
    <w:rsid w:val="00B21C42"/>
    <w:rsid w:val="00B21D0C"/>
    <w:rsid w:val="00B21DEE"/>
    <w:rsid w:val="00B21F62"/>
    <w:rsid w:val="00B2233C"/>
    <w:rsid w:val="00B22526"/>
    <w:rsid w:val="00B23425"/>
    <w:rsid w:val="00B234D9"/>
    <w:rsid w:val="00B235D4"/>
    <w:rsid w:val="00B23CD5"/>
    <w:rsid w:val="00B23DF3"/>
    <w:rsid w:val="00B24792"/>
    <w:rsid w:val="00B24AFA"/>
    <w:rsid w:val="00B25287"/>
    <w:rsid w:val="00B25309"/>
    <w:rsid w:val="00B254E3"/>
    <w:rsid w:val="00B25900"/>
    <w:rsid w:val="00B25981"/>
    <w:rsid w:val="00B25E13"/>
    <w:rsid w:val="00B268B7"/>
    <w:rsid w:val="00B26ABA"/>
    <w:rsid w:val="00B26B61"/>
    <w:rsid w:val="00B278B6"/>
    <w:rsid w:val="00B307E5"/>
    <w:rsid w:val="00B30AC3"/>
    <w:rsid w:val="00B31248"/>
    <w:rsid w:val="00B3246F"/>
    <w:rsid w:val="00B3293A"/>
    <w:rsid w:val="00B329C9"/>
    <w:rsid w:val="00B3404F"/>
    <w:rsid w:val="00B343C5"/>
    <w:rsid w:val="00B3580C"/>
    <w:rsid w:val="00B3581D"/>
    <w:rsid w:val="00B36155"/>
    <w:rsid w:val="00B36A25"/>
    <w:rsid w:val="00B402B7"/>
    <w:rsid w:val="00B40DF2"/>
    <w:rsid w:val="00B416C1"/>
    <w:rsid w:val="00B41807"/>
    <w:rsid w:val="00B4182E"/>
    <w:rsid w:val="00B419C5"/>
    <w:rsid w:val="00B41E4B"/>
    <w:rsid w:val="00B42120"/>
    <w:rsid w:val="00B4216E"/>
    <w:rsid w:val="00B42568"/>
    <w:rsid w:val="00B42B31"/>
    <w:rsid w:val="00B43429"/>
    <w:rsid w:val="00B43684"/>
    <w:rsid w:val="00B4458F"/>
    <w:rsid w:val="00B44809"/>
    <w:rsid w:val="00B44FF3"/>
    <w:rsid w:val="00B455F6"/>
    <w:rsid w:val="00B4582B"/>
    <w:rsid w:val="00B45CF3"/>
    <w:rsid w:val="00B45D26"/>
    <w:rsid w:val="00B4614D"/>
    <w:rsid w:val="00B465E1"/>
    <w:rsid w:val="00B46C72"/>
    <w:rsid w:val="00B46F49"/>
    <w:rsid w:val="00B47036"/>
    <w:rsid w:val="00B474D6"/>
    <w:rsid w:val="00B506C8"/>
    <w:rsid w:val="00B50EE3"/>
    <w:rsid w:val="00B51D71"/>
    <w:rsid w:val="00B52935"/>
    <w:rsid w:val="00B5367F"/>
    <w:rsid w:val="00B53A77"/>
    <w:rsid w:val="00B543A1"/>
    <w:rsid w:val="00B543AB"/>
    <w:rsid w:val="00B549DB"/>
    <w:rsid w:val="00B54ADB"/>
    <w:rsid w:val="00B5591F"/>
    <w:rsid w:val="00B56E4A"/>
    <w:rsid w:val="00B57D45"/>
    <w:rsid w:val="00B57E42"/>
    <w:rsid w:val="00B6097F"/>
    <w:rsid w:val="00B6107E"/>
    <w:rsid w:val="00B61695"/>
    <w:rsid w:val="00B616A3"/>
    <w:rsid w:val="00B616D0"/>
    <w:rsid w:val="00B61791"/>
    <w:rsid w:val="00B61D65"/>
    <w:rsid w:val="00B61E02"/>
    <w:rsid w:val="00B61F6E"/>
    <w:rsid w:val="00B63140"/>
    <w:rsid w:val="00B6362C"/>
    <w:rsid w:val="00B63A05"/>
    <w:rsid w:val="00B63E46"/>
    <w:rsid w:val="00B6466C"/>
    <w:rsid w:val="00B65882"/>
    <w:rsid w:val="00B65A51"/>
    <w:rsid w:val="00B67FB6"/>
    <w:rsid w:val="00B70D85"/>
    <w:rsid w:val="00B71215"/>
    <w:rsid w:val="00B71338"/>
    <w:rsid w:val="00B7133F"/>
    <w:rsid w:val="00B716FD"/>
    <w:rsid w:val="00B71C81"/>
    <w:rsid w:val="00B72AA8"/>
    <w:rsid w:val="00B73956"/>
    <w:rsid w:val="00B73F73"/>
    <w:rsid w:val="00B74072"/>
    <w:rsid w:val="00B7420A"/>
    <w:rsid w:val="00B743A3"/>
    <w:rsid w:val="00B74BD3"/>
    <w:rsid w:val="00B75227"/>
    <w:rsid w:val="00B759CC"/>
    <w:rsid w:val="00B75BBB"/>
    <w:rsid w:val="00B75E2A"/>
    <w:rsid w:val="00B768A0"/>
    <w:rsid w:val="00B76E09"/>
    <w:rsid w:val="00B772B8"/>
    <w:rsid w:val="00B7749A"/>
    <w:rsid w:val="00B775A9"/>
    <w:rsid w:val="00B777B1"/>
    <w:rsid w:val="00B806CE"/>
    <w:rsid w:val="00B81BDE"/>
    <w:rsid w:val="00B81E4B"/>
    <w:rsid w:val="00B82BEF"/>
    <w:rsid w:val="00B8343A"/>
    <w:rsid w:val="00B834AA"/>
    <w:rsid w:val="00B83ABA"/>
    <w:rsid w:val="00B84A76"/>
    <w:rsid w:val="00B84AE0"/>
    <w:rsid w:val="00B84B7B"/>
    <w:rsid w:val="00B853CF"/>
    <w:rsid w:val="00B853E6"/>
    <w:rsid w:val="00B85A54"/>
    <w:rsid w:val="00B86F6D"/>
    <w:rsid w:val="00B874D9"/>
    <w:rsid w:val="00B876F6"/>
    <w:rsid w:val="00B87A0F"/>
    <w:rsid w:val="00B87AF5"/>
    <w:rsid w:val="00B87C1C"/>
    <w:rsid w:val="00B87DEF"/>
    <w:rsid w:val="00B87E5A"/>
    <w:rsid w:val="00B90698"/>
    <w:rsid w:val="00B90726"/>
    <w:rsid w:val="00B90B63"/>
    <w:rsid w:val="00B91B96"/>
    <w:rsid w:val="00B91EA9"/>
    <w:rsid w:val="00B91F38"/>
    <w:rsid w:val="00B92467"/>
    <w:rsid w:val="00B92935"/>
    <w:rsid w:val="00B92A5A"/>
    <w:rsid w:val="00B92AEA"/>
    <w:rsid w:val="00B92C50"/>
    <w:rsid w:val="00B9382E"/>
    <w:rsid w:val="00B940E7"/>
    <w:rsid w:val="00B9551E"/>
    <w:rsid w:val="00B95F28"/>
    <w:rsid w:val="00B9607C"/>
    <w:rsid w:val="00B96EAB"/>
    <w:rsid w:val="00B96FB7"/>
    <w:rsid w:val="00B97250"/>
    <w:rsid w:val="00B97747"/>
    <w:rsid w:val="00BA02FD"/>
    <w:rsid w:val="00BA0EF2"/>
    <w:rsid w:val="00BA1061"/>
    <w:rsid w:val="00BA13B6"/>
    <w:rsid w:val="00BA1A7E"/>
    <w:rsid w:val="00BA1D0B"/>
    <w:rsid w:val="00BA1D31"/>
    <w:rsid w:val="00BA1D4B"/>
    <w:rsid w:val="00BA2998"/>
    <w:rsid w:val="00BA29A7"/>
    <w:rsid w:val="00BA39FC"/>
    <w:rsid w:val="00BA3A4C"/>
    <w:rsid w:val="00BA3ACA"/>
    <w:rsid w:val="00BA3B67"/>
    <w:rsid w:val="00BA3C02"/>
    <w:rsid w:val="00BA3F80"/>
    <w:rsid w:val="00BA3FC0"/>
    <w:rsid w:val="00BA4189"/>
    <w:rsid w:val="00BA42ED"/>
    <w:rsid w:val="00BA45DF"/>
    <w:rsid w:val="00BA4B63"/>
    <w:rsid w:val="00BA4E41"/>
    <w:rsid w:val="00BA52B7"/>
    <w:rsid w:val="00BA55BE"/>
    <w:rsid w:val="00BA570A"/>
    <w:rsid w:val="00BA5781"/>
    <w:rsid w:val="00BA5D98"/>
    <w:rsid w:val="00BA6125"/>
    <w:rsid w:val="00BA61F5"/>
    <w:rsid w:val="00BA6ACB"/>
    <w:rsid w:val="00BA754B"/>
    <w:rsid w:val="00BA76F4"/>
    <w:rsid w:val="00BA77FE"/>
    <w:rsid w:val="00BB010C"/>
    <w:rsid w:val="00BB0DA9"/>
    <w:rsid w:val="00BB19B5"/>
    <w:rsid w:val="00BB2556"/>
    <w:rsid w:val="00BB26A8"/>
    <w:rsid w:val="00BB2E05"/>
    <w:rsid w:val="00BB3B27"/>
    <w:rsid w:val="00BB3CD5"/>
    <w:rsid w:val="00BB42F2"/>
    <w:rsid w:val="00BB4AD5"/>
    <w:rsid w:val="00BB4BF4"/>
    <w:rsid w:val="00BB53EF"/>
    <w:rsid w:val="00BB5510"/>
    <w:rsid w:val="00BB5945"/>
    <w:rsid w:val="00BB5D40"/>
    <w:rsid w:val="00BB6205"/>
    <w:rsid w:val="00BB65C1"/>
    <w:rsid w:val="00BB6610"/>
    <w:rsid w:val="00BB68FA"/>
    <w:rsid w:val="00BB6EAC"/>
    <w:rsid w:val="00BB7018"/>
    <w:rsid w:val="00BB71F0"/>
    <w:rsid w:val="00BC0296"/>
    <w:rsid w:val="00BC11DF"/>
    <w:rsid w:val="00BC1DFA"/>
    <w:rsid w:val="00BC1EEA"/>
    <w:rsid w:val="00BC2241"/>
    <w:rsid w:val="00BC23DE"/>
    <w:rsid w:val="00BC2BE8"/>
    <w:rsid w:val="00BC400A"/>
    <w:rsid w:val="00BC4169"/>
    <w:rsid w:val="00BC4194"/>
    <w:rsid w:val="00BC4747"/>
    <w:rsid w:val="00BC49C6"/>
    <w:rsid w:val="00BC5890"/>
    <w:rsid w:val="00BC5938"/>
    <w:rsid w:val="00BC5B54"/>
    <w:rsid w:val="00BC66EA"/>
    <w:rsid w:val="00BC6E60"/>
    <w:rsid w:val="00BC795D"/>
    <w:rsid w:val="00BC7F18"/>
    <w:rsid w:val="00BD00DC"/>
    <w:rsid w:val="00BD00DD"/>
    <w:rsid w:val="00BD0876"/>
    <w:rsid w:val="00BD124C"/>
    <w:rsid w:val="00BD1B4F"/>
    <w:rsid w:val="00BD29C2"/>
    <w:rsid w:val="00BD3B4E"/>
    <w:rsid w:val="00BD43DF"/>
    <w:rsid w:val="00BD495D"/>
    <w:rsid w:val="00BD49A5"/>
    <w:rsid w:val="00BD4E09"/>
    <w:rsid w:val="00BD53AE"/>
    <w:rsid w:val="00BD6135"/>
    <w:rsid w:val="00BD6EB9"/>
    <w:rsid w:val="00BD6F55"/>
    <w:rsid w:val="00BD71E4"/>
    <w:rsid w:val="00BD72D6"/>
    <w:rsid w:val="00BD769A"/>
    <w:rsid w:val="00BD7891"/>
    <w:rsid w:val="00BD7BFA"/>
    <w:rsid w:val="00BE0A42"/>
    <w:rsid w:val="00BE155B"/>
    <w:rsid w:val="00BE1F44"/>
    <w:rsid w:val="00BE22F1"/>
    <w:rsid w:val="00BE23E8"/>
    <w:rsid w:val="00BE2630"/>
    <w:rsid w:val="00BE2ACF"/>
    <w:rsid w:val="00BE2C3E"/>
    <w:rsid w:val="00BE2CBC"/>
    <w:rsid w:val="00BE2D13"/>
    <w:rsid w:val="00BE348A"/>
    <w:rsid w:val="00BE3E47"/>
    <w:rsid w:val="00BE3F52"/>
    <w:rsid w:val="00BE468D"/>
    <w:rsid w:val="00BE4B14"/>
    <w:rsid w:val="00BE5E4C"/>
    <w:rsid w:val="00BE6598"/>
    <w:rsid w:val="00BE67D7"/>
    <w:rsid w:val="00BE7364"/>
    <w:rsid w:val="00BE7EF6"/>
    <w:rsid w:val="00BE7FA4"/>
    <w:rsid w:val="00BF07CC"/>
    <w:rsid w:val="00BF0B1D"/>
    <w:rsid w:val="00BF101F"/>
    <w:rsid w:val="00BF1873"/>
    <w:rsid w:val="00BF1DC8"/>
    <w:rsid w:val="00BF1FC8"/>
    <w:rsid w:val="00BF2405"/>
    <w:rsid w:val="00BF28B8"/>
    <w:rsid w:val="00BF332B"/>
    <w:rsid w:val="00BF341D"/>
    <w:rsid w:val="00BF46ED"/>
    <w:rsid w:val="00BF4DA5"/>
    <w:rsid w:val="00BF52F0"/>
    <w:rsid w:val="00BF533B"/>
    <w:rsid w:val="00BF57D8"/>
    <w:rsid w:val="00BF5A00"/>
    <w:rsid w:val="00BF65BC"/>
    <w:rsid w:val="00BF6663"/>
    <w:rsid w:val="00BF66BF"/>
    <w:rsid w:val="00BF672F"/>
    <w:rsid w:val="00BF6DA9"/>
    <w:rsid w:val="00BF702F"/>
    <w:rsid w:val="00BF718A"/>
    <w:rsid w:val="00BF7323"/>
    <w:rsid w:val="00BF77CA"/>
    <w:rsid w:val="00BF7A78"/>
    <w:rsid w:val="00C001A0"/>
    <w:rsid w:val="00C009D5"/>
    <w:rsid w:val="00C01008"/>
    <w:rsid w:val="00C01B34"/>
    <w:rsid w:val="00C01E4C"/>
    <w:rsid w:val="00C01E5F"/>
    <w:rsid w:val="00C020D0"/>
    <w:rsid w:val="00C02ED6"/>
    <w:rsid w:val="00C03883"/>
    <w:rsid w:val="00C03CE1"/>
    <w:rsid w:val="00C042D8"/>
    <w:rsid w:val="00C04F8C"/>
    <w:rsid w:val="00C052EE"/>
    <w:rsid w:val="00C052FE"/>
    <w:rsid w:val="00C053EC"/>
    <w:rsid w:val="00C06113"/>
    <w:rsid w:val="00C0742F"/>
    <w:rsid w:val="00C07870"/>
    <w:rsid w:val="00C07BAC"/>
    <w:rsid w:val="00C07EA3"/>
    <w:rsid w:val="00C07F09"/>
    <w:rsid w:val="00C100B8"/>
    <w:rsid w:val="00C1022C"/>
    <w:rsid w:val="00C10A1A"/>
    <w:rsid w:val="00C10A48"/>
    <w:rsid w:val="00C11708"/>
    <w:rsid w:val="00C119FD"/>
    <w:rsid w:val="00C11DB9"/>
    <w:rsid w:val="00C11DE0"/>
    <w:rsid w:val="00C1210D"/>
    <w:rsid w:val="00C12145"/>
    <w:rsid w:val="00C126A3"/>
    <w:rsid w:val="00C1286D"/>
    <w:rsid w:val="00C13267"/>
    <w:rsid w:val="00C13BBC"/>
    <w:rsid w:val="00C145AA"/>
    <w:rsid w:val="00C1463D"/>
    <w:rsid w:val="00C14B2B"/>
    <w:rsid w:val="00C14C35"/>
    <w:rsid w:val="00C14E92"/>
    <w:rsid w:val="00C15663"/>
    <w:rsid w:val="00C15910"/>
    <w:rsid w:val="00C15A93"/>
    <w:rsid w:val="00C165C4"/>
    <w:rsid w:val="00C16776"/>
    <w:rsid w:val="00C20CCA"/>
    <w:rsid w:val="00C21007"/>
    <w:rsid w:val="00C21159"/>
    <w:rsid w:val="00C21890"/>
    <w:rsid w:val="00C21F95"/>
    <w:rsid w:val="00C224D8"/>
    <w:rsid w:val="00C22682"/>
    <w:rsid w:val="00C2311A"/>
    <w:rsid w:val="00C234F2"/>
    <w:rsid w:val="00C2465A"/>
    <w:rsid w:val="00C24FEB"/>
    <w:rsid w:val="00C2534C"/>
    <w:rsid w:val="00C25B19"/>
    <w:rsid w:val="00C25D7E"/>
    <w:rsid w:val="00C260CE"/>
    <w:rsid w:val="00C26495"/>
    <w:rsid w:val="00C2683C"/>
    <w:rsid w:val="00C2750F"/>
    <w:rsid w:val="00C2753C"/>
    <w:rsid w:val="00C27664"/>
    <w:rsid w:val="00C27CAF"/>
    <w:rsid w:val="00C27F1C"/>
    <w:rsid w:val="00C27F69"/>
    <w:rsid w:val="00C31027"/>
    <w:rsid w:val="00C312D6"/>
    <w:rsid w:val="00C3143F"/>
    <w:rsid w:val="00C318A9"/>
    <w:rsid w:val="00C318C7"/>
    <w:rsid w:val="00C31F91"/>
    <w:rsid w:val="00C32F47"/>
    <w:rsid w:val="00C3373E"/>
    <w:rsid w:val="00C338A4"/>
    <w:rsid w:val="00C344EF"/>
    <w:rsid w:val="00C34D8A"/>
    <w:rsid w:val="00C358DB"/>
    <w:rsid w:val="00C35C75"/>
    <w:rsid w:val="00C35F9A"/>
    <w:rsid w:val="00C362A2"/>
    <w:rsid w:val="00C377B1"/>
    <w:rsid w:val="00C377B5"/>
    <w:rsid w:val="00C37CA3"/>
    <w:rsid w:val="00C40252"/>
    <w:rsid w:val="00C4031B"/>
    <w:rsid w:val="00C41128"/>
    <w:rsid w:val="00C41305"/>
    <w:rsid w:val="00C42548"/>
    <w:rsid w:val="00C42B95"/>
    <w:rsid w:val="00C42C01"/>
    <w:rsid w:val="00C444D1"/>
    <w:rsid w:val="00C4556C"/>
    <w:rsid w:val="00C456A0"/>
    <w:rsid w:val="00C466A1"/>
    <w:rsid w:val="00C46C7D"/>
    <w:rsid w:val="00C46ECA"/>
    <w:rsid w:val="00C471D3"/>
    <w:rsid w:val="00C47B8C"/>
    <w:rsid w:val="00C47B99"/>
    <w:rsid w:val="00C47E18"/>
    <w:rsid w:val="00C504EF"/>
    <w:rsid w:val="00C50A81"/>
    <w:rsid w:val="00C50B00"/>
    <w:rsid w:val="00C51922"/>
    <w:rsid w:val="00C51BCA"/>
    <w:rsid w:val="00C51E23"/>
    <w:rsid w:val="00C52354"/>
    <w:rsid w:val="00C523B2"/>
    <w:rsid w:val="00C52ABE"/>
    <w:rsid w:val="00C53A49"/>
    <w:rsid w:val="00C547AA"/>
    <w:rsid w:val="00C554E2"/>
    <w:rsid w:val="00C555CA"/>
    <w:rsid w:val="00C56606"/>
    <w:rsid w:val="00C5665D"/>
    <w:rsid w:val="00C56F12"/>
    <w:rsid w:val="00C57FE9"/>
    <w:rsid w:val="00C60F2F"/>
    <w:rsid w:val="00C611EF"/>
    <w:rsid w:val="00C61E19"/>
    <w:rsid w:val="00C61EF9"/>
    <w:rsid w:val="00C6200D"/>
    <w:rsid w:val="00C621DC"/>
    <w:rsid w:val="00C6316F"/>
    <w:rsid w:val="00C631A0"/>
    <w:rsid w:val="00C6417D"/>
    <w:rsid w:val="00C6452C"/>
    <w:rsid w:val="00C64587"/>
    <w:rsid w:val="00C6518D"/>
    <w:rsid w:val="00C65352"/>
    <w:rsid w:val="00C65421"/>
    <w:rsid w:val="00C66728"/>
    <w:rsid w:val="00C66875"/>
    <w:rsid w:val="00C671D3"/>
    <w:rsid w:val="00C67CE8"/>
    <w:rsid w:val="00C7020D"/>
    <w:rsid w:val="00C702F8"/>
    <w:rsid w:val="00C709D5"/>
    <w:rsid w:val="00C70A60"/>
    <w:rsid w:val="00C70D3E"/>
    <w:rsid w:val="00C71280"/>
    <w:rsid w:val="00C729A8"/>
    <w:rsid w:val="00C732C9"/>
    <w:rsid w:val="00C73340"/>
    <w:rsid w:val="00C73665"/>
    <w:rsid w:val="00C743DF"/>
    <w:rsid w:val="00C74595"/>
    <w:rsid w:val="00C74CD2"/>
    <w:rsid w:val="00C74E11"/>
    <w:rsid w:val="00C75290"/>
    <w:rsid w:val="00C75679"/>
    <w:rsid w:val="00C756F2"/>
    <w:rsid w:val="00C75B5E"/>
    <w:rsid w:val="00C7613E"/>
    <w:rsid w:val="00C763D9"/>
    <w:rsid w:val="00C77208"/>
    <w:rsid w:val="00C77863"/>
    <w:rsid w:val="00C805A8"/>
    <w:rsid w:val="00C80782"/>
    <w:rsid w:val="00C807B3"/>
    <w:rsid w:val="00C80CAD"/>
    <w:rsid w:val="00C81215"/>
    <w:rsid w:val="00C81302"/>
    <w:rsid w:val="00C81CDC"/>
    <w:rsid w:val="00C81CE9"/>
    <w:rsid w:val="00C82782"/>
    <w:rsid w:val="00C8290D"/>
    <w:rsid w:val="00C82DAB"/>
    <w:rsid w:val="00C82FF1"/>
    <w:rsid w:val="00C832CD"/>
    <w:rsid w:val="00C84207"/>
    <w:rsid w:val="00C8427B"/>
    <w:rsid w:val="00C849E1"/>
    <w:rsid w:val="00C84AE3"/>
    <w:rsid w:val="00C84EC5"/>
    <w:rsid w:val="00C86294"/>
    <w:rsid w:val="00C8663C"/>
    <w:rsid w:val="00C86893"/>
    <w:rsid w:val="00C86BF0"/>
    <w:rsid w:val="00C8703F"/>
    <w:rsid w:val="00C8735D"/>
    <w:rsid w:val="00C90579"/>
    <w:rsid w:val="00C91126"/>
    <w:rsid w:val="00C91CFB"/>
    <w:rsid w:val="00C926B5"/>
    <w:rsid w:val="00C9281C"/>
    <w:rsid w:val="00C92FA8"/>
    <w:rsid w:val="00C93770"/>
    <w:rsid w:val="00C94042"/>
    <w:rsid w:val="00C9439A"/>
    <w:rsid w:val="00C9524E"/>
    <w:rsid w:val="00C963EB"/>
    <w:rsid w:val="00C97B1E"/>
    <w:rsid w:val="00C97E71"/>
    <w:rsid w:val="00CA060A"/>
    <w:rsid w:val="00CA092D"/>
    <w:rsid w:val="00CA0A1B"/>
    <w:rsid w:val="00CA20F4"/>
    <w:rsid w:val="00CA247B"/>
    <w:rsid w:val="00CA2566"/>
    <w:rsid w:val="00CA2B92"/>
    <w:rsid w:val="00CA3709"/>
    <w:rsid w:val="00CA3920"/>
    <w:rsid w:val="00CA3C1D"/>
    <w:rsid w:val="00CA3EEA"/>
    <w:rsid w:val="00CA40EC"/>
    <w:rsid w:val="00CA4669"/>
    <w:rsid w:val="00CA4990"/>
    <w:rsid w:val="00CA5205"/>
    <w:rsid w:val="00CA5936"/>
    <w:rsid w:val="00CA6128"/>
    <w:rsid w:val="00CA638D"/>
    <w:rsid w:val="00CA67A4"/>
    <w:rsid w:val="00CA6A64"/>
    <w:rsid w:val="00CA6C8F"/>
    <w:rsid w:val="00CA75AC"/>
    <w:rsid w:val="00CA7693"/>
    <w:rsid w:val="00CB0068"/>
    <w:rsid w:val="00CB008F"/>
    <w:rsid w:val="00CB12E3"/>
    <w:rsid w:val="00CB1CF8"/>
    <w:rsid w:val="00CB1EB3"/>
    <w:rsid w:val="00CB2255"/>
    <w:rsid w:val="00CB296F"/>
    <w:rsid w:val="00CB2A1C"/>
    <w:rsid w:val="00CB2A3E"/>
    <w:rsid w:val="00CB31CE"/>
    <w:rsid w:val="00CB3D64"/>
    <w:rsid w:val="00CB4256"/>
    <w:rsid w:val="00CB46DA"/>
    <w:rsid w:val="00CB47B0"/>
    <w:rsid w:val="00CB4ACE"/>
    <w:rsid w:val="00CB519D"/>
    <w:rsid w:val="00CB5449"/>
    <w:rsid w:val="00CB5612"/>
    <w:rsid w:val="00CB58AA"/>
    <w:rsid w:val="00CB62C7"/>
    <w:rsid w:val="00CB649A"/>
    <w:rsid w:val="00CB6615"/>
    <w:rsid w:val="00CB6BE4"/>
    <w:rsid w:val="00CB740B"/>
    <w:rsid w:val="00CB740C"/>
    <w:rsid w:val="00CB760F"/>
    <w:rsid w:val="00CB7938"/>
    <w:rsid w:val="00CB7A08"/>
    <w:rsid w:val="00CB7EA2"/>
    <w:rsid w:val="00CC0DE1"/>
    <w:rsid w:val="00CC0DF9"/>
    <w:rsid w:val="00CC1815"/>
    <w:rsid w:val="00CC2310"/>
    <w:rsid w:val="00CC23A9"/>
    <w:rsid w:val="00CC2610"/>
    <w:rsid w:val="00CC292B"/>
    <w:rsid w:val="00CC2944"/>
    <w:rsid w:val="00CC2AA6"/>
    <w:rsid w:val="00CC2BD9"/>
    <w:rsid w:val="00CC3099"/>
    <w:rsid w:val="00CC3FF4"/>
    <w:rsid w:val="00CC418B"/>
    <w:rsid w:val="00CC44D6"/>
    <w:rsid w:val="00CC49EA"/>
    <w:rsid w:val="00CC52B3"/>
    <w:rsid w:val="00CC59E6"/>
    <w:rsid w:val="00CC6670"/>
    <w:rsid w:val="00CC6B33"/>
    <w:rsid w:val="00CC6D2A"/>
    <w:rsid w:val="00CC6D89"/>
    <w:rsid w:val="00CC733A"/>
    <w:rsid w:val="00CC771E"/>
    <w:rsid w:val="00CD059C"/>
    <w:rsid w:val="00CD05A2"/>
    <w:rsid w:val="00CD0AA0"/>
    <w:rsid w:val="00CD0BAC"/>
    <w:rsid w:val="00CD0E08"/>
    <w:rsid w:val="00CD1E21"/>
    <w:rsid w:val="00CD1F8E"/>
    <w:rsid w:val="00CD289E"/>
    <w:rsid w:val="00CD2938"/>
    <w:rsid w:val="00CD2F75"/>
    <w:rsid w:val="00CD2FC5"/>
    <w:rsid w:val="00CD3153"/>
    <w:rsid w:val="00CD319D"/>
    <w:rsid w:val="00CD3B53"/>
    <w:rsid w:val="00CD5D93"/>
    <w:rsid w:val="00CD6110"/>
    <w:rsid w:val="00CD62A2"/>
    <w:rsid w:val="00CD66DE"/>
    <w:rsid w:val="00CD7BFB"/>
    <w:rsid w:val="00CD7F31"/>
    <w:rsid w:val="00CE0487"/>
    <w:rsid w:val="00CE0C61"/>
    <w:rsid w:val="00CE1C4B"/>
    <w:rsid w:val="00CE229F"/>
    <w:rsid w:val="00CE2B8B"/>
    <w:rsid w:val="00CE2C13"/>
    <w:rsid w:val="00CE2D90"/>
    <w:rsid w:val="00CE2FF5"/>
    <w:rsid w:val="00CE3587"/>
    <w:rsid w:val="00CE3A03"/>
    <w:rsid w:val="00CE40BD"/>
    <w:rsid w:val="00CE50AE"/>
    <w:rsid w:val="00CE55F7"/>
    <w:rsid w:val="00CE5898"/>
    <w:rsid w:val="00CE5CD1"/>
    <w:rsid w:val="00CE618D"/>
    <w:rsid w:val="00CE61BC"/>
    <w:rsid w:val="00CE64C7"/>
    <w:rsid w:val="00CE666F"/>
    <w:rsid w:val="00CF02E6"/>
    <w:rsid w:val="00CF0BB3"/>
    <w:rsid w:val="00CF1440"/>
    <w:rsid w:val="00CF21E4"/>
    <w:rsid w:val="00CF2B7A"/>
    <w:rsid w:val="00CF3C8E"/>
    <w:rsid w:val="00CF4825"/>
    <w:rsid w:val="00CF51A0"/>
    <w:rsid w:val="00CF58E3"/>
    <w:rsid w:val="00CF593E"/>
    <w:rsid w:val="00CF5E7E"/>
    <w:rsid w:val="00CF6A36"/>
    <w:rsid w:val="00CF6A76"/>
    <w:rsid w:val="00CF7134"/>
    <w:rsid w:val="00D00F94"/>
    <w:rsid w:val="00D011A3"/>
    <w:rsid w:val="00D01892"/>
    <w:rsid w:val="00D01922"/>
    <w:rsid w:val="00D01F5C"/>
    <w:rsid w:val="00D02592"/>
    <w:rsid w:val="00D02C4C"/>
    <w:rsid w:val="00D02FBC"/>
    <w:rsid w:val="00D03D5F"/>
    <w:rsid w:val="00D04081"/>
    <w:rsid w:val="00D047EA"/>
    <w:rsid w:val="00D04B94"/>
    <w:rsid w:val="00D04E51"/>
    <w:rsid w:val="00D050A3"/>
    <w:rsid w:val="00D05833"/>
    <w:rsid w:val="00D05884"/>
    <w:rsid w:val="00D05F42"/>
    <w:rsid w:val="00D06304"/>
    <w:rsid w:val="00D0644C"/>
    <w:rsid w:val="00D064DD"/>
    <w:rsid w:val="00D06A75"/>
    <w:rsid w:val="00D112D9"/>
    <w:rsid w:val="00D11738"/>
    <w:rsid w:val="00D12963"/>
    <w:rsid w:val="00D129D8"/>
    <w:rsid w:val="00D12E90"/>
    <w:rsid w:val="00D1323D"/>
    <w:rsid w:val="00D13BE0"/>
    <w:rsid w:val="00D14055"/>
    <w:rsid w:val="00D14188"/>
    <w:rsid w:val="00D141B9"/>
    <w:rsid w:val="00D145CB"/>
    <w:rsid w:val="00D14AC6"/>
    <w:rsid w:val="00D14C24"/>
    <w:rsid w:val="00D14D10"/>
    <w:rsid w:val="00D152B5"/>
    <w:rsid w:val="00D15869"/>
    <w:rsid w:val="00D15E8D"/>
    <w:rsid w:val="00D1633B"/>
    <w:rsid w:val="00D170E5"/>
    <w:rsid w:val="00D176E4"/>
    <w:rsid w:val="00D17964"/>
    <w:rsid w:val="00D17B3C"/>
    <w:rsid w:val="00D17B65"/>
    <w:rsid w:val="00D20853"/>
    <w:rsid w:val="00D20861"/>
    <w:rsid w:val="00D20CCB"/>
    <w:rsid w:val="00D21026"/>
    <w:rsid w:val="00D21082"/>
    <w:rsid w:val="00D213AB"/>
    <w:rsid w:val="00D213DC"/>
    <w:rsid w:val="00D214A8"/>
    <w:rsid w:val="00D2190F"/>
    <w:rsid w:val="00D21FE6"/>
    <w:rsid w:val="00D222D4"/>
    <w:rsid w:val="00D23AA9"/>
    <w:rsid w:val="00D2449E"/>
    <w:rsid w:val="00D24590"/>
    <w:rsid w:val="00D24C20"/>
    <w:rsid w:val="00D24D79"/>
    <w:rsid w:val="00D2554B"/>
    <w:rsid w:val="00D25C85"/>
    <w:rsid w:val="00D2655C"/>
    <w:rsid w:val="00D26B7E"/>
    <w:rsid w:val="00D26D7F"/>
    <w:rsid w:val="00D26E18"/>
    <w:rsid w:val="00D27588"/>
    <w:rsid w:val="00D27AB0"/>
    <w:rsid w:val="00D27D92"/>
    <w:rsid w:val="00D302CD"/>
    <w:rsid w:val="00D3036F"/>
    <w:rsid w:val="00D30C68"/>
    <w:rsid w:val="00D30E18"/>
    <w:rsid w:val="00D315AF"/>
    <w:rsid w:val="00D315EF"/>
    <w:rsid w:val="00D32A45"/>
    <w:rsid w:val="00D33A3A"/>
    <w:rsid w:val="00D33D6E"/>
    <w:rsid w:val="00D33DEB"/>
    <w:rsid w:val="00D3403D"/>
    <w:rsid w:val="00D3406B"/>
    <w:rsid w:val="00D357E2"/>
    <w:rsid w:val="00D35856"/>
    <w:rsid w:val="00D35D15"/>
    <w:rsid w:val="00D36072"/>
    <w:rsid w:val="00D3611E"/>
    <w:rsid w:val="00D36237"/>
    <w:rsid w:val="00D36947"/>
    <w:rsid w:val="00D36BDF"/>
    <w:rsid w:val="00D3718A"/>
    <w:rsid w:val="00D377AE"/>
    <w:rsid w:val="00D40A54"/>
    <w:rsid w:val="00D41754"/>
    <w:rsid w:val="00D4191D"/>
    <w:rsid w:val="00D4341B"/>
    <w:rsid w:val="00D4390B"/>
    <w:rsid w:val="00D44C6A"/>
    <w:rsid w:val="00D453BC"/>
    <w:rsid w:val="00D453D1"/>
    <w:rsid w:val="00D45A4C"/>
    <w:rsid w:val="00D45BA0"/>
    <w:rsid w:val="00D45D24"/>
    <w:rsid w:val="00D462DA"/>
    <w:rsid w:val="00D46F26"/>
    <w:rsid w:val="00D46FED"/>
    <w:rsid w:val="00D47015"/>
    <w:rsid w:val="00D47D7E"/>
    <w:rsid w:val="00D47F82"/>
    <w:rsid w:val="00D505C8"/>
    <w:rsid w:val="00D51E45"/>
    <w:rsid w:val="00D52810"/>
    <w:rsid w:val="00D53185"/>
    <w:rsid w:val="00D53668"/>
    <w:rsid w:val="00D53ABC"/>
    <w:rsid w:val="00D53BD6"/>
    <w:rsid w:val="00D53ED5"/>
    <w:rsid w:val="00D5582E"/>
    <w:rsid w:val="00D55F8A"/>
    <w:rsid w:val="00D56853"/>
    <w:rsid w:val="00D56936"/>
    <w:rsid w:val="00D56FD9"/>
    <w:rsid w:val="00D57358"/>
    <w:rsid w:val="00D577B9"/>
    <w:rsid w:val="00D57923"/>
    <w:rsid w:val="00D5799D"/>
    <w:rsid w:val="00D605B4"/>
    <w:rsid w:val="00D60AE8"/>
    <w:rsid w:val="00D61551"/>
    <w:rsid w:val="00D615D1"/>
    <w:rsid w:val="00D61B58"/>
    <w:rsid w:val="00D62090"/>
    <w:rsid w:val="00D62C44"/>
    <w:rsid w:val="00D630F5"/>
    <w:rsid w:val="00D6315C"/>
    <w:rsid w:val="00D637B4"/>
    <w:rsid w:val="00D63F0F"/>
    <w:rsid w:val="00D647AD"/>
    <w:rsid w:val="00D64B32"/>
    <w:rsid w:val="00D64C4E"/>
    <w:rsid w:val="00D65305"/>
    <w:rsid w:val="00D666AA"/>
    <w:rsid w:val="00D669E5"/>
    <w:rsid w:val="00D67344"/>
    <w:rsid w:val="00D678B6"/>
    <w:rsid w:val="00D67E47"/>
    <w:rsid w:val="00D67E4E"/>
    <w:rsid w:val="00D70FD9"/>
    <w:rsid w:val="00D713DB"/>
    <w:rsid w:val="00D7176F"/>
    <w:rsid w:val="00D71A57"/>
    <w:rsid w:val="00D7232F"/>
    <w:rsid w:val="00D72565"/>
    <w:rsid w:val="00D72C56"/>
    <w:rsid w:val="00D732FB"/>
    <w:rsid w:val="00D73477"/>
    <w:rsid w:val="00D735EF"/>
    <w:rsid w:val="00D73715"/>
    <w:rsid w:val="00D73855"/>
    <w:rsid w:val="00D73CA5"/>
    <w:rsid w:val="00D742E8"/>
    <w:rsid w:val="00D74457"/>
    <w:rsid w:val="00D74B50"/>
    <w:rsid w:val="00D74E63"/>
    <w:rsid w:val="00D7571F"/>
    <w:rsid w:val="00D75CAD"/>
    <w:rsid w:val="00D75EBA"/>
    <w:rsid w:val="00D75F83"/>
    <w:rsid w:val="00D75F98"/>
    <w:rsid w:val="00D76500"/>
    <w:rsid w:val="00D76E37"/>
    <w:rsid w:val="00D76F81"/>
    <w:rsid w:val="00D77380"/>
    <w:rsid w:val="00D77559"/>
    <w:rsid w:val="00D7755A"/>
    <w:rsid w:val="00D77F14"/>
    <w:rsid w:val="00D77FDE"/>
    <w:rsid w:val="00D801A6"/>
    <w:rsid w:val="00D8032B"/>
    <w:rsid w:val="00D80A11"/>
    <w:rsid w:val="00D80AA7"/>
    <w:rsid w:val="00D8136E"/>
    <w:rsid w:val="00D8169C"/>
    <w:rsid w:val="00D81963"/>
    <w:rsid w:val="00D827A0"/>
    <w:rsid w:val="00D82935"/>
    <w:rsid w:val="00D82E08"/>
    <w:rsid w:val="00D832DC"/>
    <w:rsid w:val="00D838C5"/>
    <w:rsid w:val="00D83BF3"/>
    <w:rsid w:val="00D84B7F"/>
    <w:rsid w:val="00D84B8C"/>
    <w:rsid w:val="00D854C0"/>
    <w:rsid w:val="00D8614E"/>
    <w:rsid w:val="00D87644"/>
    <w:rsid w:val="00D8769B"/>
    <w:rsid w:val="00D87A7D"/>
    <w:rsid w:val="00D90012"/>
    <w:rsid w:val="00D90364"/>
    <w:rsid w:val="00D90C7F"/>
    <w:rsid w:val="00D90E1F"/>
    <w:rsid w:val="00D9167B"/>
    <w:rsid w:val="00D9176D"/>
    <w:rsid w:val="00D91A67"/>
    <w:rsid w:val="00D921DC"/>
    <w:rsid w:val="00D92E17"/>
    <w:rsid w:val="00D93B0D"/>
    <w:rsid w:val="00D946F9"/>
    <w:rsid w:val="00D948B9"/>
    <w:rsid w:val="00D952F1"/>
    <w:rsid w:val="00D95F98"/>
    <w:rsid w:val="00D96608"/>
    <w:rsid w:val="00D9696C"/>
    <w:rsid w:val="00D96CA0"/>
    <w:rsid w:val="00DA0150"/>
    <w:rsid w:val="00DA01C5"/>
    <w:rsid w:val="00DA05DD"/>
    <w:rsid w:val="00DA099C"/>
    <w:rsid w:val="00DA0D9E"/>
    <w:rsid w:val="00DA12AA"/>
    <w:rsid w:val="00DA16C0"/>
    <w:rsid w:val="00DA2B7B"/>
    <w:rsid w:val="00DA4395"/>
    <w:rsid w:val="00DA49FF"/>
    <w:rsid w:val="00DA4CA9"/>
    <w:rsid w:val="00DA4E66"/>
    <w:rsid w:val="00DA51B1"/>
    <w:rsid w:val="00DA5319"/>
    <w:rsid w:val="00DA53D8"/>
    <w:rsid w:val="00DA5568"/>
    <w:rsid w:val="00DA5B77"/>
    <w:rsid w:val="00DA636A"/>
    <w:rsid w:val="00DA636C"/>
    <w:rsid w:val="00DA65B2"/>
    <w:rsid w:val="00DA664E"/>
    <w:rsid w:val="00DA68C7"/>
    <w:rsid w:val="00DA6BE7"/>
    <w:rsid w:val="00DA6D3A"/>
    <w:rsid w:val="00DA71E5"/>
    <w:rsid w:val="00DA7573"/>
    <w:rsid w:val="00DA7692"/>
    <w:rsid w:val="00DA781C"/>
    <w:rsid w:val="00DA7AC7"/>
    <w:rsid w:val="00DB00C0"/>
    <w:rsid w:val="00DB08D9"/>
    <w:rsid w:val="00DB0A50"/>
    <w:rsid w:val="00DB0B79"/>
    <w:rsid w:val="00DB1C84"/>
    <w:rsid w:val="00DB2101"/>
    <w:rsid w:val="00DB21E1"/>
    <w:rsid w:val="00DB2345"/>
    <w:rsid w:val="00DB2B79"/>
    <w:rsid w:val="00DB34B1"/>
    <w:rsid w:val="00DB397B"/>
    <w:rsid w:val="00DB3A93"/>
    <w:rsid w:val="00DB3AFE"/>
    <w:rsid w:val="00DB3FE0"/>
    <w:rsid w:val="00DB4330"/>
    <w:rsid w:val="00DB469E"/>
    <w:rsid w:val="00DB471C"/>
    <w:rsid w:val="00DB4E73"/>
    <w:rsid w:val="00DB5046"/>
    <w:rsid w:val="00DB5195"/>
    <w:rsid w:val="00DB522A"/>
    <w:rsid w:val="00DB5290"/>
    <w:rsid w:val="00DB5AA8"/>
    <w:rsid w:val="00DB5C54"/>
    <w:rsid w:val="00DB5D66"/>
    <w:rsid w:val="00DB6006"/>
    <w:rsid w:val="00DB7219"/>
    <w:rsid w:val="00DB758D"/>
    <w:rsid w:val="00DB7A3E"/>
    <w:rsid w:val="00DB7BB8"/>
    <w:rsid w:val="00DC0044"/>
    <w:rsid w:val="00DC0231"/>
    <w:rsid w:val="00DC08C4"/>
    <w:rsid w:val="00DC0A49"/>
    <w:rsid w:val="00DC1A6E"/>
    <w:rsid w:val="00DC1FED"/>
    <w:rsid w:val="00DC246F"/>
    <w:rsid w:val="00DC2A9B"/>
    <w:rsid w:val="00DC2E8F"/>
    <w:rsid w:val="00DC303D"/>
    <w:rsid w:val="00DC30A2"/>
    <w:rsid w:val="00DC31AA"/>
    <w:rsid w:val="00DC3A0E"/>
    <w:rsid w:val="00DC4463"/>
    <w:rsid w:val="00DC482F"/>
    <w:rsid w:val="00DC4A4C"/>
    <w:rsid w:val="00DC5141"/>
    <w:rsid w:val="00DC5AB3"/>
    <w:rsid w:val="00DC5EAC"/>
    <w:rsid w:val="00DC62C9"/>
    <w:rsid w:val="00DC66B4"/>
    <w:rsid w:val="00DC6720"/>
    <w:rsid w:val="00DC6D96"/>
    <w:rsid w:val="00DC7CC8"/>
    <w:rsid w:val="00DC7D02"/>
    <w:rsid w:val="00DD00B3"/>
    <w:rsid w:val="00DD0230"/>
    <w:rsid w:val="00DD02A2"/>
    <w:rsid w:val="00DD08A4"/>
    <w:rsid w:val="00DD0F63"/>
    <w:rsid w:val="00DD1DAE"/>
    <w:rsid w:val="00DD22A8"/>
    <w:rsid w:val="00DD2F37"/>
    <w:rsid w:val="00DD3005"/>
    <w:rsid w:val="00DD3654"/>
    <w:rsid w:val="00DD435F"/>
    <w:rsid w:val="00DD43F5"/>
    <w:rsid w:val="00DD4B16"/>
    <w:rsid w:val="00DD530E"/>
    <w:rsid w:val="00DD556D"/>
    <w:rsid w:val="00DD56E1"/>
    <w:rsid w:val="00DD5A48"/>
    <w:rsid w:val="00DD5A4F"/>
    <w:rsid w:val="00DD5F82"/>
    <w:rsid w:val="00DD61FD"/>
    <w:rsid w:val="00DD647F"/>
    <w:rsid w:val="00DD664A"/>
    <w:rsid w:val="00DD6BEE"/>
    <w:rsid w:val="00DD7419"/>
    <w:rsid w:val="00DD762E"/>
    <w:rsid w:val="00DD76AE"/>
    <w:rsid w:val="00DD7AAE"/>
    <w:rsid w:val="00DD7CB7"/>
    <w:rsid w:val="00DD7DFF"/>
    <w:rsid w:val="00DE05AD"/>
    <w:rsid w:val="00DE0774"/>
    <w:rsid w:val="00DE1267"/>
    <w:rsid w:val="00DE12B6"/>
    <w:rsid w:val="00DE1F54"/>
    <w:rsid w:val="00DE26F7"/>
    <w:rsid w:val="00DE2722"/>
    <w:rsid w:val="00DE2DCC"/>
    <w:rsid w:val="00DE31E0"/>
    <w:rsid w:val="00DE38D3"/>
    <w:rsid w:val="00DE3F33"/>
    <w:rsid w:val="00DE4A2C"/>
    <w:rsid w:val="00DE4B03"/>
    <w:rsid w:val="00DE4B75"/>
    <w:rsid w:val="00DE4D84"/>
    <w:rsid w:val="00DE5701"/>
    <w:rsid w:val="00DE6756"/>
    <w:rsid w:val="00DE67D0"/>
    <w:rsid w:val="00DE680F"/>
    <w:rsid w:val="00DE6C8B"/>
    <w:rsid w:val="00DE6FE3"/>
    <w:rsid w:val="00DF0631"/>
    <w:rsid w:val="00DF1186"/>
    <w:rsid w:val="00DF13BA"/>
    <w:rsid w:val="00DF145C"/>
    <w:rsid w:val="00DF1ABB"/>
    <w:rsid w:val="00DF1B08"/>
    <w:rsid w:val="00DF1B0D"/>
    <w:rsid w:val="00DF2151"/>
    <w:rsid w:val="00DF24D2"/>
    <w:rsid w:val="00DF25FF"/>
    <w:rsid w:val="00DF3190"/>
    <w:rsid w:val="00DF4538"/>
    <w:rsid w:val="00DF4A0E"/>
    <w:rsid w:val="00DF4BBD"/>
    <w:rsid w:val="00DF57FE"/>
    <w:rsid w:val="00DF5E72"/>
    <w:rsid w:val="00DF6749"/>
    <w:rsid w:val="00DF689A"/>
    <w:rsid w:val="00DF73A5"/>
    <w:rsid w:val="00DF760F"/>
    <w:rsid w:val="00DF7C5E"/>
    <w:rsid w:val="00E00800"/>
    <w:rsid w:val="00E00B6D"/>
    <w:rsid w:val="00E0116B"/>
    <w:rsid w:val="00E0171D"/>
    <w:rsid w:val="00E017DE"/>
    <w:rsid w:val="00E01FD8"/>
    <w:rsid w:val="00E028C3"/>
    <w:rsid w:val="00E0365C"/>
    <w:rsid w:val="00E0366E"/>
    <w:rsid w:val="00E042FD"/>
    <w:rsid w:val="00E0485F"/>
    <w:rsid w:val="00E049CC"/>
    <w:rsid w:val="00E05505"/>
    <w:rsid w:val="00E057B8"/>
    <w:rsid w:val="00E06443"/>
    <w:rsid w:val="00E06FF9"/>
    <w:rsid w:val="00E074B0"/>
    <w:rsid w:val="00E07F6F"/>
    <w:rsid w:val="00E10265"/>
    <w:rsid w:val="00E109EA"/>
    <w:rsid w:val="00E10DDB"/>
    <w:rsid w:val="00E1207D"/>
    <w:rsid w:val="00E13283"/>
    <w:rsid w:val="00E134C0"/>
    <w:rsid w:val="00E13557"/>
    <w:rsid w:val="00E141B7"/>
    <w:rsid w:val="00E1425D"/>
    <w:rsid w:val="00E14DB9"/>
    <w:rsid w:val="00E15597"/>
    <w:rsid w:val="00E1575D"/>
    <w:rsid w:val="00E15B45"/>
    <w:rsid w:val="00E1638D"/>
    <w:rsid w:val="00E16FE0"/>
    <w:rsid w:val="00E171CE"/>
    <w:rsid w:val="00E17393"/>
    <w:rsid w:val="00E175B4"/>
    <w:rsid w:val="00E178A3"/>
    <w:rsid w:val="00E17C29"/>
    <w:rsid w:val="00E2018C"/>
    <w:rsid w:val="00E20F8C"/>
    <w:rsid w:val="00E211C2"/>
    <w:rsid w:val="00E21355"/>
    <w:rsid w:val="00E2141F"/>
    <w:rsid w:val="00E219B3"/>
    <w:rsid w:val="00E21CBE"/>
    <w:rsid w:val="00E220A9"/>
    <w:rsid w:val="00E223FC"/>
    <w:rsid w:val="00E22D55"/>
    <w:rsid w:val="00E235A7"/>
    <w:rsid w:val="00E23765"/>
    <w:rsid w:val="00E237EF"/>
    <w:rsid w:val="00E2397A"/>
    <w:rsid w:val="00E23C07"/>
    <w:rsid w:val="00E23E50"/>
    <w:rsid w:val="00E24C77"/>
    <w:rsid w:val="00E2534B"/>
    <w:rsid w:val="00E253E5"/>
    <w:rsid w:val="00E25480"/>
    <w:rsid w:val="00E25796"/>
    <w:rsid w:val="00E258D4"/>
    <w:rsid w:val="00E25C5B"/>
    <w:rsid w:val="00E26050"/>
    <w:rsid w:val="00E260B0"/>
    <w:rsid w:val="00E261DB"/>
    <w:rsid w:val="00E262A1"/>
    <w:rsid w:val="00E26B78"/>
    <w:rsid w:val="00E26CBE"/>
    <w:rsid w:val="00E27933"/>
    <w:rsid w:val="00E2793A"/>
    <w:rsid w:val="00E27DC9"/>
    <w:rsid w:val="00E27EAD"/>
    <w:rsid w:val="00E30246"/>
    <w:rsid w:val="00E30304"/>
    <w:rsid w:val="00E30A4E"/>
    <w:rsid w:val="00E3120C"/>
    <w:rsid w:val="00E31E98"/>
    <w:rsid w:val="00E321AE"/>
    <w:rsid w:val="00E32E35"/>
    <w:rsid w:val="00E337A6"/>
    <w:rsid w:val="00E33DCD"/>
    <w:rsid w:val="00E33E18"/>
    <w:rsid w:val="00E33E6D"/>
    <w:rsid w:val="00E3464F"/>
    <w:rsid w:val="00E348FB"/>
    <w:rsid w:val="00E34D02"/>
    <w:rsid w:val="00E34DA2"/>
    <w:rsid w:val="00E35116"/>
    <w:rsid w:val="00E357A7"/>
    <w:rsid w:val="00E35802"/>
    <w:rsid w:val="00E361A1"/>
    <w:rsid w:val="00E36F1F"/>
    <w:rsid w:val="00E3760A"/>
    <w:rsid w:val="00E376FC"/>
    <w:rsid w:val="00E40168"/>
    <w:rsid w:val="00E4051C"/>
    <w:rsid w:val="00E40C84"/>
    <w:rsid w:val="00E41088"/>
    <w:rsid w:val="00E42ACF"/>
    <w:rsid w:val="00E4303A"/>
    <w:rsid w:val="00E4335F"/>
    <w:rsid w:val="00E43A29"/>
    <w:rsid w:val="00E43A88"/>
    <w:rsid w:val="00E43C82"/>
    <w:rsid w:val="00E443CD"/>
    <w:rsid w:val="00E44595"/>
    <w:rsid w:val="00E446BF"/>
    <w:rsid w:val="00E44B77"/>
    <w:rsid w:val="00E45102"/>
    <w:rsid w:val="00E45277"/>
    <w:rsid w:val="00E452D8"/>
    <w:rsid w:val="00E455D6"/>
    <w:rsid w:val="00E456B4"/>
    <w:rsid w:val="00E45957"/>
    <w:rsid w:val="00E462ED"/>
    <w:rsid w:val="00E464E6"/>
    <w:rsid w:val="00E465DA"/>
    <w:rsid w:val="00E46619"/>
    <w:rsid w:val="00E46DB4"/>
    <w:rsid w:val="00E470AC"/>
    <w:rsid w:val="00E4755E"/>
    <w:rsid w:val="00E47670"/>
    <w:rsid w:val="00E47AA7"/>
    <w:rsid w:val="00E47E3A"/>
    <w:rsid w:val="00E5115F"/>
    <w:rsid w:val="00E51A5B"/>
    <w:rsid w:val="00E51C8E"/>
    <w:rsid w:val="00E52A6B"/>
    <w:rsid w:val="00E53732"/>
    <w:rsid w:val="00E537A7"/>
    <w:rsid w:val="00E53CDA"/>
    <w:rsid w:val="00E53F3C"/>
    <w:rsid w:val="00E5428B"/>
    <w:rsid w:val="00E546AA"/>
    <w:rsid w:val="00E54910"/>
    <w:rsid w:val="00E54A39"/>
    <w:rsid w:val="00E54CD8"/>
    <w:rsid w:val="00E54D1C"/>
    <w:rsid w:val="00E559ED"/>
    <w:rsid w:val="00E55F04"/>
    <w:rsid w:val="00E56456"/>
    <w:rsid w:val="00E5646D"/>
    <w:rsid w:val="00E5647E"/>
    <w:rsid w:val="00E56779"/>
    <w:rsid w:val="00E5684C"/>
    <w:rsid w:val="00E56DBB"/>
    <w:rsid w:val="00E575E0"/>
    <w:rsid w:val="00E60129"/>
    <w:rsid w:val="00E60B3C"/>
    <w:rsid w:val="00E60EF1"/>
    <w:rsid w:val="00E61101"/>
    <w:rsid w:val="00E61DD6"/>
    <w:rsid w:val="00E6202E"/>
    <w:rsid w:val="00E62C16"/>
    <w:rsid w:val="00E62F54"/>
    <w:rsid w:val="00E631ED"/>
    <w:rsid w:val="00E632B4"/>
    <w:rsid w:val="00E639E1"/>
    <w:rsid w:val="00E63EEC"/>
    <w:rsid w:val="00E64737"/>
    <w:rsid w:val="00E65976"/>
    <w:rsid w:val="00E65B12"/>
    <w:rsid w:val="00E65B29"/>
    <w:rsid w:val="00E65D30"/>
    <w:rsid w:val="00E662F7"/>
    <w:rsid w:val="00E6658B"/>
    <w:rsid w:val="00E66DD4"/>
    <w:rsid w:val="00E678E8"/>
    <w:rsid w:val="00E701DA"/>
    <w:rsid w:val="00E70967"/>
    <w:rsid w:val="00E709E5"/>
    <w:rsid w:val="00E71759"/>
    <w:rsid w:val="00E723E0"/>
    <w:rsid w:val="00E72EB6"/>
    <w:rsid w:val="00E73519"/>
    <w:rsid w:val="00E73638"/>
    <w:rsid w:val="00E73B12"/>
    <w:rsid w:val="00E75173"/>
    <w:rsid w:val="00E75201"/>
    <w:rsid w:val="00E7562E"/>
    <w:rsid w:val="00E75633"/>
    <w:rsid w:val="00E769FA"/>
    <w:rsid w:val="00E774A4"/>
    <w:rsid w:val="00E77E4C"/>
    <w:rsid w:val="00E77EED"/>
    <w:rsid w:val="00E809AC"/>
    <w:rsid w:val="00E811DB"/>
    <w:rsid w:val="00E815E9"/>
    <w:rsid w:val="00E81A78"/>
    <w:rsid w:val="00E821CB"/>
    <w:rsid w:val="00E82E22"/>
    <w:rsid w:val="00E82FF4"/>
    <w:rsid w:val="00E83097"/>
    <w:rsid w:val="00E83597"/>
    <w:rsid w:val="00E83869"/>
    <w:rsid w:val="00E8386D"/>
    <w:rsid w:val="00E84826"/>
    <w:rsid w:val="00E84D2A"/>
    <w:rsid w:val="00E84FD2"/>
    <w:rsid w:val="00E8583E"/>
    <w:rsid w:val="00E866D1"/>
    <w:rsid w:val="00E86E2F"/>
    <w:rsid w:val="00E877DE"/>
    <w:rsid w:val="00E9024C"/>
    <w:rsid w:val="00E90A63"/>
    <w:rsid w:val="00E9110F"/>
    <w:rsid w:val="00E9159E"/>
    <w:rsid w:val="00E9196B"/>
    <w:rsid w:val="00E91C28"/>
    <w:rsid w:val="00E91E35"/>
    <w:rsid w:val="00E925CB"/>
    <w:rsid w:val="00E926B3"/>
    <w:rsid w:val="00E92D9B"/>
    <w:rsid w:val="00E92DF7"/>
    <w:rsid w:val="00E93200"/>
    <w:rsid w:val="00E93292"/>
    <w:rsid w:val="00E93296"/>
    <w:rsid w:val="00E93858"/>
    <w:rsid w:val="00E93A7D"/>
    <w:rsid w:val="00E9455B"/>
    <w:rsid w:val="00E94C2E"/>
    <w:rsid w:val="00E9592D"/>
    <w:rsid w:val="00E95C30"/>
    <w:rsid w:val="00E962E2"/>
    <w:rsid w:val="00E962E9"/>
    <w:rsid w:val="00E96915"/>
    <w:rsid w:val="00E97111"/>
    <w:rsid w:val="00EA0315"/>
    <w:rsid w:val="00EA0F8B"/>
    <w:rsid w:val="00EA0FE9"/>
    <w:rsid w:val="00EA250B"/>
    <w:rsid w:val="00EA2517"/>
    <w:rsid w:val="00EA327C"/>
    <w:rsid w:val="00EA32A7"/>
    <w:rsid w:val="00EA3ECF"/>
    <w:rsid w:val="00EA4087"/>
    <w:rsid w:val="00EA41B8"/>
    <w:rsid w:val="00EA4D2A"/>
    <w:rsid w:val="00EA4F3A"/>
    <w:rsid w:val="00EA50CE"/>
    <w:rsid w:val="00EA6366"/>
    <w:rsid w:val="00EA641D"/>
    <w:rsid w:val="00EA6A1B"/>
    <w:rsid w:val="00EA6F74"/>
    <w:rsid w:val="00EA7BA6"/>
    <w:rsid w:val="00EA7BD6"/>
    <w:rsid w:val="00EB040C"/>
    <w:rsid w:val="00EB09A0"/>
    <w:rsid w:val="00EB0C16"/>
    <w:rsid w:val="00EB0D3C"/>
    <w:rsid w:val="00EB0E9B"/>
    <w:rsid w:val="00EB1177"/>
    <w:rsid w:val="00EB1871"/>
    <w:rsid w:val="00EB1E93"/>
    <w:rsid w:val="00EB23E7"/>
    <w:rsid w:val="00EB3019"/>
    <w:rsid w:val="00EB3C75"/>
    <w:rsid w:val="00EB3DC5"/>
    <w:rsid w:val="00EB41D7"/>
    <w:rsid w:val="00EB458D"/>
    <w:rsid w:val="00EB4721"/>
    <w:rsid w:val="00EB5025"/>
    <w:rsid w:val="00EB53E3"/>
    <w:rsid w:val="00EB55E9"/>
    <w:rsid w:val="00EB578C"/>
    <w:rsid w:val="00EB5CE0"/>
    <w:rsid w:val="00EB6074"/>
    <w:rsid w:val="00EB6282"/>
    <w:rsid w:val="00EB68A5"/>
    <w:rsid w:val="00EB6F61"/>
    <w:rsid w:val="00EC04AA"/>
    <w:rsid w:val="00EC0534"/>
    <w:rsid w:val="00EC0A06"/>
    <w:rsid w:val="00EC0BE5"/>
    <w:rsid w:val="00EC0E58"/>
    <w:rsid w:val="00EC1D53"/>
    <w:rsid w:val="00EC1E21"/>
    <w:rsid w:val="00EC2CE5"/>
    <w:rsid w:val="00EC351A"/>
    <w:rsid w:val="00EC3ACF"/>
    <w:rsid w:val="00EC531C"/>
    <w:rsid w:val="00EC5911"/>
    <w:rsid w:val="00EC67EC"/>
    <w:rsid w:val="00EC686A"/>
    <w:rsid w:val="00EC6AA7"/>
    <w:rsid w:val="00EC7471"/>
    <w:rsid w:val="00EC7793"/>
    <w:rsid w:val="00EC7EA1"/>
    <w:rsid w:val="00ED006F"/>
    <w:rsid w:val="00ED0BB1"/>
    <w:rsid w:val="00ED105A"/>
    <w:rsid w:val="00ED1835"/>
    <w:rsid w:val="00ED1DF8"/>
    <w:rsid w:val="00ED20AA"/>
    <w:rsid w:val="00ED2500"/>
    <w:rsid w:val="00ED2627"/>
    <w:rsid w:val="00ED299B"/>
    <w:rsid w:val="00ED342C"/>
    <w:rsid w:val="00ED3694"/>
    <w:rsid w:val="00ED3A33"/>
    <w:rsid w:val="00ED3AB8"/>
    <w:rsid w:val="00ED3C69"/>
    <w:rsid w:val="00ED416E"/>
    <w:rsid w:val="00ED4508"/>
    <w:rsid w:val="00ED4975"/>
    <w:rsid w:val="00ED54A7"/>
    <w:rsid w:val="00ED5CDC"/>
    <w:rsid w:val="00ED63A5"/>
    <w:rsid w:val="00ED6880"/>
    <w:rsid w:val="00ED6E44"/>
    <w:rsid w:val="00ED72A1"/>
    <w:rsid w:val="00ED781F"/>
    <w:rsid w:val="00EE059E"/>
    <w:rsid w:val="00EE0A4D"/>
    <w:rsid w:val="00EE0C1C"/>
    <w:rsid w:val="00EE0F1D"/>
    <w:rsid w:val="00EE14A5"/>
    <w:rsid w:val="00EE17DA"/>
    <w:rsid w:val="00EE1845"/>
    <w:rsid w:val="00EE1D57"/>
    <w:rsid w:val="00EE1EDD"/>
    <w:rsid w:val="00EE2448"/>
    <w:rsid w:val="00EE2AE6"/>
    <w:rsid w:val="00EE2B80"/>
    <w:rsid w:val="00EE4152"/>
    <w:rsid w:val="00EE458F"/>
    <w:rsid w:val="00EE4C1B"/>
    <w:rsid w:val="00EE4C2E"/>
    <w:rsid w:val="00EE51DA"/>
    <w:rsid w:val="00EE639E"/>
    <w:rsid w:val="00EE751D"/>
    <w:rsid w:val="00EF0218"/>
    <w:rsid w:val="00EF041F"/>
    <w:rsid w:val="00EF04EC"/>
    <w:rsid w:val="00EF065F"/>
    <w:rsid w:val="00EF08E4"/>
    <w:rsid w:val="00EF0D5B"/>
    <w:rsid w:val="00EF10CA"/>
    <w:rsid w:val="00EF15CC"/>
    <w:rsid w:val="00EF1A6D"/>
    <w:rsid w:val="00EF1BD5"/>
    <w:rsid w:val="00EF2A12"/>
    <w:rsid w:val="00EF30AC"/>
    <w:rsid w:val="00EF3370"/>
    <w:rsid w:val="00EF3D51"/>
    <w:rsid w:val="00EF4CB6"/>
    <w:rsid w:val="00EF4CBB"/>
    <w:rsid w:val="00EF5C71"/>
    <w:rsid w:val="00EF6CBD"/>
    <w:rsid w:val="00EF6E2A"/>
    <w:rsid w:val="00EF73F9"/>
    <w:rsid w:val="00EF7412"/>
    <w:rsid w:val="00EF7753"/>
    <w:rsid w:val="00EF77E4"/>
    <w:rsid w:val="00EF7D6A"/>
    <w:rsid w:val="00F009B3"/>
    <w:rsid w:val="00F00DD0"/>
    <w:rsid w:val="00F01AB4"/>
    <w:rsid w:val="00F021F0"/>
    <w:rsid w:val="00F02390"/>
    <w:rsid w:val="00F026DB"/>
    <w:rsid w:val="00F02CEC"/>
    <w:rsid w:val="00F02FC5"/>
    <w:rsid w:val="00F02FC7"/>
    <w:rsid w:val="00F033A8"/>
    <w:rsid w:val="00F0370B"/>
    <w:rsid w:val="00F04345"/>
    <w:rsid w:val="00F04D0A"/>
    <w:rsid w:val="00F0552E"/>
    <w:rsid w:val="00F05623"/>
    <w:rsid w:val="00F05B5E"/>
    <w:rsid w:val="00F0625C"/>
    <w:rsid w:val="00F07DBE"/>
    <w:rsid w:val="00F10A58"/>
    <w:rsid w:val="00F10DEE"/>
    <w:rsid w:val="00F10FFD"/>
    <w:rsid w:val="00F1100C"/>
    <w:rsid w:val="00F11470"/>
    <w:rsid w:val="00F119FE"/>
    <w:rsid w:val="00F11B50"/>
    <w:rsid w:val="00F11B69"/>
    <w:rsid w:val="00F11F49"/>
    <w:rsid w:val="00F122B2"/>
    <w:rsid w:val="00F1286D"/>
    <w:rsid w:val="00F12C9C"/>
    <w:rsid w:val="00F12D51"/>
    <w:rsid w:val="00F13557"/>
    <w:rsid w:val="00F1411D"/>
    <w:rsid w:val="00F14CFC"/>
    <w:rsid w:val="00F15242"/>
    <w:rsid w:val="00F1564C"/>
    <w:rsid w:val="00F159C2"/>
    <w:rsid w:val="00F169D7"/>
    <w:rsid w:val="00F16BD2"/>
    <w:rsid w:val="00F16D91"/>
    <w:rsid w:val="00F16EAE"/>
    <w:rsid w:val="00F17632"/>
    <w:rsid w:val="00F179C9"/>
    <w:rsid w:val="00F17CD3"/>
    <w:rsid w:val="00F17EFA"/>
    <w:rsid w:val="00F17FA0"/>
    <w:rsid w:val="00F203DC"/>
    <w:rsid w:val="00F20A69"/>
    <w:rsid w:val="00F20AB2"/>
    <w:rsid w:val="00F212AF"/>
    <w:rsid w:val="00F212D8"/>
    <w:rsid w:val="00F217B1"/>
    <w:rsid w:val="00F21906"/>
    <w:rsid w:val="00F21E98"/>
    <w:rsid w:val="00F225CE"/>
    <w:rsid w:val="00F227C2"/>
    <w:rsid w:val="00F22BCF"/>
    <w:rsid w:val="00F22CD9"/>
    <w:rsid w:val="00F232C6"/>
    <w:rsid w:val="00F23C6F"/>
    <w:rsid w:val="00F25C0C"/>
    <w:rsid w:val="00F25D9B"/>
    <w:rsid w:val="00F261DE"/>
    <w:rsid w:val="00F26963"/>
    <w:rsid w:val="00F26DA0"/>
    <w:rsid w:val="00F26FA8"/>
    <w:rsid w:val="00F274D9"/>
    <w:rsid w:val="00F27B15"/>
    <w:rsid w:val="00F27EF9"/>
    <w:rsid w:val="00F30294"/>
    <w:rsid w:val="00F30402"/>
    <w:rsid w:val="00F3103F"/>
    <w:rsid w:val="00F316BB"/>
    <w:rsid w:val="00F32924"/>
    <w:rsid w:val="00F32CF2"/>
    <w:rsid w:val="00F32FA4"/>
    <w:rsid w:val="00F330AD"/>
    <w:rsid w:val="00F338F7"/>
    <w:rsid w:val="00F3410B"/>
    <w:rsid w:val="00F347C2"/>
    <w:rsid w:val="00F349F3"/>
    <w:rsid w:val="00F34E17"/>
    <w:rsid w:val="00F350BD"/>
    <w:rsid w:val="00F352C5"/>
    <w:rsid w:val="00F35891"/>
    <w:rsid w:val="00F35B2C"/>
    <w:rsid w:val="00F35C69"/>
    <w:rsid w:val="00F36408"/>
    <w:rsid w:val="00F36658"/>
    <w:rsid w:val="00F36699"/>
    <w:rsid w:val="00F36749"/>
    <w:rsid w:val="00F36818"/>
    <w:rsid w:val="00F3711F"/>
    <w:rsid w:val="00F37B3D"/>
    <w:rsid w:val="00F41590"/>
    <w:rsid w:val="00F41B21"/>
    <w:rsid w:val="00F41F3E"/>
    <w:rsid w:val="00F42430"/>
    <w:rsid w:val="00F428B0"/>
    <w:rsid w:val="00F4340E"/>
    <w:rsid w:val="00F44287"/>
    <w:rsid w:val="00F44BBD"/>
    <w:rsid w:val="00F45172"/>
    <w:rsid w:val="00F45492"/>
    <w:rsid w:val="00F455C0"/>
    <w:rsid w:val="00F45F0D"/>
    <w:rsid w:val="00F46026"/>
    <w:rsid w:val="00F46450"/>
    <w:rsid w:val="00F50A2C"/>
    <w:rsid w:val="00F5131B"/>
    <w:rsid w:val="00F518F3"/>
    <w:rsid w:val="00F51F72"/>
    <w:rsid w:val="00F523F2"/>
    <w:rsid w:val="00F526CF"/>
    <w:rsid w:val="00F532CB"/>
    <w:rsid w:val="00F5383E"/>
    <w:rsid w:val="00F539A5"/>
    <w:rsid w:val="00F539B6"/>
    <w:rsid w:val="00F5466C"/>
    <w:rsid w:val="00F5495E"/>
    <w:rsid w:val="00F555C4"/>
    <w:rsid w:val="00F557C9"/>
    <w:rsid w:val="00F5587C"/>
    <w:rsid w:val="00F562EF"/>
    <w:rsid w:val="00F56CFB"/>
    <w:rsid w:val="00F56DC8"/>
    <w:rsid w:val="00F56E2A"/>
    <w:rsid w:val="00F56FED"/>
    <w:rsid w:val="00F57454"/>
    <w:rsid w:val="00F57527"/>
    <w:rsid w:val="00F5784F"/>
    <w:rsid w:val="00F57B7C"/>
    <w:rsid w:val="00F60128"/>
    <w:rsid w:val="00F605AA"/>
    <w:rsid w:val="00F6064A"/>
    <w:rsid w:val="00F60823"/>
    <w:rsid w:val="00F61463"/>
    <w:rsid w:val="00F615F2"/>
    <w:rsid w:val="00F6186E"/>
    <w:rsid w:val="00F62532"/>
    <w:rsid w:val="00F62AED"/>
    <w:rsid w:val="00F63D7F"/>
    <w:rsid w:val="00F6470B"/>
    <w:rsid w:val="00F6479B"/>
    <w:rsid w:val="00F64A74"/>
    <w:rsid w:val="00F64AB4"/>
    <w:rsid w:val="00F64EBD"/>
    <w:rsid w:val="00F65D83"/>
    <w:rsid w:val="00F667CB"/>
    <w:rsid w:val="00F66819"/>
    <w:rsid w:val="00F669B5"/>
    <w:rsid w:val="00F66CE3"/>
    <w:rsid w:val="00F6728D"/>
    <w:rsid w:val="00F676D3"/>
    <w:rsid w:val="00F701DF"/>
    <w:rsid w:val="00F704E8"/>
    <w:rsid w:val="00F70592"/>
    <w:rsid w:val="00F706C0"/>
    <w:rsid w:val="00F718B5"/>
    <w:rsid w:val="00F71C48"/>
    <w:rsid w:val="00F72C48"/>
    <w:rsid w:val="00F72DA9"/>
    <w:rsid w:val="00F73139"/>
    <w:rsid w:val="00F736C8"/>
    <w:rsid w:val="00F738A5"/>
    <w:rsid w:val="00F73A44"/>
    <w:rsid w:val="00F73CA9"/>
    <w:rsid w:val="00F73D29"/>
    <w:rsid w:val="00F74514"/>
    <w:rsid w:val="00F74870"/>
    <w:rsid w:val="00F74F4A"/>
    <w:rsid w:val="00F75995"/>
    <w:rsid w:val="00F75F35"/>
    <w:rsid w:val="00F7616C"/>
    <w:rsid w:val="00F770D9"/>
    <w:rsid w:val="00F77AAE"/>
    <w:rsid w:val="00F80228"/>
    <w:rsid w:val="00F80B4B"/>
    <w:rsid w:val="00F82138"/>
    <w:rsid w:val="00F822F5"/>
    <w:rsid w:val="00F82778"/>
    <w:rsid w:val="00F83802"/>
    <w:rsid w:val="00F83DAA"/>
    <w:rsid w:val="00F83F24"/>
    <w:rsid w:val="00F840AA"/>
    <w:rsid w:val="00F84776"/>
    <w:rsid w:val="00F8479A"/>
    <w:rsid w:val="00F85647"/>
    <w:rsid w:val="00F87003"/>
    <w:rsid w:val="00F87050"/>
    <w:rsid w:val="00F87AC2"/>
    <w:rsid w:val="00F87B87"/>
    <w:rsid w:val="00F87E33"/>
    <w:rsid w:val="00F916F7"/>
    <w:rsid w:val="00F91F6E"/>
    <w:rsid w:val="00F92693"/>
    <w:rsid w:val="00F92C66"/>
    <w:rsid w:val="00F92DA1"/>
    <w:rsid w:val="00F93385"/>
    <w:rsid w:val="00F934B6"/>
    <w:rsid w:val="00F93A02"/>
    <w:rsid w:val="00F93C59"/>
    <w:rsid w:val="00F93D76"/>
    <w:rsid w:val="00F93FDB"/>
    <w:rsid w:val="00F9406C"/>
    <w:rsid w:val="00F9422C"/>
    <w:rsid w:val="00F94247"/>
    <w:rsid w:val="00F945B1"/>
    <w:rsid w:val="00F950B3"/>
    <w:rsid w:val="00F953F6"/>
    <w:rsid w:val="00F95AEA"/>
    <w:rsid w:val="00F9667A"/>
    <w:rsid w:val="00F96EFA"/>
    <w:rsid w:val="00F9735E"/>
    <w:rsid w:val="00F97988"/>
    <w:rsid w:val="00F97D97"/>
    <w:rsid w:val="00FA000E"/>
    <w:rsid w:val="00FA0BDA"/>
    <w:rsid w:val="00FA0C51"/>
    <w:rsid w:val="00FA125D"/>
    <w:rsid w:val="00FA1428"/>
    <w:rsid w:val="00FA2224"/>
    <w:rsid w:val="00FA23C4"/>
    <w:rsid w:val="00FA3824"/>
    <w:rsid w:val="00FA3EBC"/>
    <w:rsid w:val="00FA58BB"/>
    <w:rsid w:val="00FA58E8"/>
    <w:rsid w:val="00FA5AA5"/>
    <w:rsid w:val="00FA60D1"/>
    <w:rsid w:val="00FA6119"/>
    <w:rsid w:val="00FA6210"/>
    <w:rsid w:val="00FA6545"/>
    <w:rsid w:val="00FA6894"/>
    <w:rsid w:val="00FA6C50"/>
    <w:rsid w:val="00FA793A"/>
    <w:rsid w:val="00FB021C"/>
    <w:rsid w:val="00FB07DA"/>
    <w:rsid w:val="00FB0B5B"/>
    <w:rsid w:val="00FB1D15"/>
    <w:rsid w:val="00FB289A"/>
    <w:rsid w:val="00FB2E38"/>
    <w:rsid w:val="00FB3019"/>
    <w:rsid w:val="00FB3356"/>
    <w:rsid w:val="00FB33C5"/>
    <w:rsid w:val="00FB3C6B"/>
    <w:rsid w:val="00FB3E6C"/>
    <w:rsid w:val="00FB4032"/>
    <w:rsid w:val="00FB4CE5"/>
    <w:rsid w:val="00FB5512"/>
    <w:rsid w:val="00FB5B49"/>
    <w:rsid w:val="00FB67FB"/>
    <w:rsid w:val="00FB6A69"/>
    <w:rsid w:val="00FB6D43"/>
    <w:rsid w:val="00FB7A48"/>
    <w:rsid w:val="00FC012E"/>
    <w:rsid w:val="00FC106F"/>
    <w:rsid w:val="00FC15F4"/>
    <w:rsid w:val="00FC1C05"/>
    <w:rsid w:val="00FC1C11"/>
    <w:rsid w:val="00FC1D1A"/>
    <w:rsid w:val="00FC1D57"/>
    <w:rsid w:val="00FC1DDD"/>
    <w:rsid w:val="00FC3310"/>
    <w:rsid w:val="00FC3639"/>
    <w:rsid w:val="00FC3646"/>
    <w:rsid w:val="00FC3B59"/>
    <w:rsid w:val="00FC5509"/>
    <w:rsid w:val="00FC5936"/>
    <w:rsid w:val="00FC5E21"/>
    <w:rsid w:val="00FC652A"/>
    <w:rsid w:val="00FC6F5B"/>
    <w:rsid w:val="00FC7123"/>
    <w:rsid w:val="00FC75B7"/>
    <w:rsid w:val="00FC76C8"/>
    <w:rsid w:val="00FD03AE"/>
    <w:rsid w:val="00FD09CC"/>
    <w:rsid w:val="00FD1046"/>
    <w:rsid w:val="00FD19B6"/>
    <w:rsid w:val="00FD2113"/>
    <w:rsid w:val="00FD2B5A"/>
    <w:rsid w:val="00FD2B99"/>
    <w:rsid w:val="00FD3140"/>
    <w:rsid w:val="00FD365C"/>
    <w:rsid w:val="00FD3C66"/>
    <w:rsid w:val="00FD41A9"/>
    <w:rsid w:val="00FD4322"/>
    <w:rsid w:val="00FD440D"/>
    <w:rsid w:val="00FD44D0"/>
    <w:rsid w:val="00FD4828"/>
    <w:rsid w:val="00FD4BFF"/>
    <w:rsid w:val="00FD4C1D"/>
    <w:rsid w:val="00FD4C59"/>
    <w:rsid w:val="00FD4FB0"/>
    <w:rsid w:val="00FD64E4"/>
    <w:rsid w:val="00FD66C9"/>
    <w:rsid w:val="00FD7479"/>
    <w:rsid w:val="00FD7690"/>
    <w:rsid w:val="00FD77F1"/>
    <w:rsid w:val="00FD7D79"/>
    <w:rsid w:val="00FE079A"/>
    <w:rsid w:val="00FE07DA"/>
    <w:rsid w:val="00FE0CFA"/>
    <w:rsid w:val="00FE139E"/>
    <w:rsid w:val="00FE1FC0"/>
    <w:rsid w:val="00FE2598"/>
    <w:rsid w:val="00FE2C9E"/>
    <w:rsid w:val="00FE2D7A"/>
    <w:rsid w:val="00FE35E5"/>
    <w:rsid w:val="00FE3892"/>
    <w:rsid w:val="00FE3A2F"/>
    <w:rsid w:val="00FE3EB7"/>
    <w:rsid w:val="00FE43AA"/>
    <w:rsid w:val="00FE4A96"/>
    <w:rsid w:val="00FE551C"/>
    <w:rsid w:val="00FE5804"/>
    <w:rsid w:val="00FE6A27"/>
    <w:rsid w:val="00FE6E9F"/>
    <w:rsid w:val="00FE6F5B"/>
    <w:rsid w:val="00FE7CE5"/>
    <w:rsid w:val="00FE7DF3"/>
    <w:rsid w:val="00FF036C"/>
    <w:rsid w:val="00FF03FA"/>
    <w:rsid w:val="00FF0509"/>
    <w:rsid w:val="00FF0993"/>
    <w:rsid w:val="00FF0AFF"/>
    <w:rsid w:val="00FF0F48"/>
    <w:rsid w:val="00FF121C"/>
    <w:rsid w:val="00FF12DA"/>
    <w:rsid w:val="00FF1FA1"/>
    <w:rsid w:val="00FF33E3"/>
    <w:rsid w:val="00FF386D"/>
    <w:rsid w:val="00FF395C"/>
    <w:rsid w:val="00FF3C4A"/>
    <w:rsid w:val="00FF43B4"/>
    <w:rsid w:val="00FF4A75"/>
    <w:rsid w:val="00FF4B5B"/>
    <w:rsid w:val="00FF4CC4"/>
    <w:rsid w:val="00FF5433"/>
    <w:rsid w:val="00FF5A82"/>
    <w:rsid w:val="00FF5C56"/>
    <w:rsid w:val="00FF5D39"/>
    <w:rsid w:val="00FF60DE"/>
    <w:rsid w:val="00FF639B"/>
    <w:rsid w:val="00FF6647"/>
    <w:rsid w:val="00FF7040"/>
    <w:rsid w:val="00FF76B7"/>
    <w:rsid w:val="00FF7FC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B140E9"/>
  <w15:docId w15:val="{62D50E21-926A-4863-8A90-943E57EC46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002D"/>
    <w:pPr>
      <w:spacing w:line="254" w:lineRule="auto"/>
    </w:pPr>
    <w:rPr>
      <w:lang w:val="sr-Cyrl-RS"/>
    </w:rPr>
  </w:style>
  <w:style w:type="paragraph" w:styleId="Heading1">
    <w:name w:val="heading 1"/>
    <w:aliases w:val="Heading 1 - LDK,Headline,ELI PD H1,Hoofdstuk,ΔΞ-Άρθρο,ÄÎ-¢ñèñï,Heading 1 Char1 Char,Heading 1 Char Char Char"/>
    <w:basedOn w:val="Normal"/>
    <w:next w:val="Normal"/>
    <w:link w:val="Heading1Char"/>
    <w:uiPriority w:val="9"/>
    <w:qFormat/>
    <w:rsid w:val="00CE2C13"/>
    <w:pPr>
      <w:keepNext/>
      <w:numPr>
        <w:numId w:val="343"/>
      </w:numPr>
      <w:pBdr>
        <w:bottom w:val="single" w:sz="4" w:space="3" w:color="auto"/>
      </w:pBdr>
      <w:shd w:val="clear" w:color="auto" w:fill="004D73"/>
      <w:spacing w:before="120" w:after="240" w:line="240" w:lineRule="auto"/>
      <w:jc w:val="both"/>
      <w:outlineLvl w:val="0"/>
    </w:pPr>
    <w:rPr>
      <w:rFonts w:ascii="Calibri Light" w:eastAsia="Times New Roman" w:hAnsi="Calibri Light" w:cs="Calibri Light"/>
      <w:b/>
      <w:smallCaps/>
      <w:color w:val="FFFFFF"/>
      <w:kern w:val="28"/>
      <w:sz w:val="48"/>
      <w:szCs w:val="32"/>
      <w:lang w:eastAsia="el-GR"/>
    </w:rPr>
  </w:style>
  <w:style w:type="paragraph" w:styleId="Heading2">
    <w:name w:val="heading 2"/>
    <w:basedOn w:val="Normal"/>
    <w:next w:val="Normal"/>
    <w:link w:val="Heading2Char"/>
    <w:uiPriority w:val="9"/>
    <w:unhideWhenUsed/>
    <w:qFormat/>
    <w:rsid w:val="000A640B"/>
    <w:pPr>
      <w:keepNext/>
      <w:numPr>
        <w:ilvl w:val="1"/>
        <w:numId w:val="343"/>
      </w:numPr>
      <w:spacing w:before="240" w:after="120" w:line="240" w:lineRule="auto"/>
      <w:jc w:val="both"/>
      <w:outlineLvl w:val="1"/>
    </w:pPr>
    <w:rPr>
      <w:rFonts w:ascii="Calibri Light" w:eastAsia="Times New Roman" w:hAnsi="Calibri Light" w:cs="Calibri Light"/>
      <w:b/>
      <w:color w:val="01406B"/>
      <w:sz w:val="32"/>
      <w:lang w:val="en-GB" w:eastAsia="el-GR"/>
    </w:rPr>
  </w:style>
  <w:style w:type="paragraph" w:styleId="Heading3">
    <w:name w:val="heading 3"/>
    <w:basedOn w:val="Heading2"/>
    <w:next w:val="Normal"/>
    <w:link w:val="Heading3Char"/>
    <w:qFormat/>
    <w:rsid w:val="000A640B"/>
    <w:pPr>
      <w:numPr>
        <w:ilvl w:val="2"/>
      </w:numPr>
      <w:spacing w:after="60"/>
      <w:outlineLvl w:val="2"/>
    </w:pPr>
    <w:rPr>
      <w:rFonts w:asciiTheme="majorHAnsi" w:hAnsiTheme="majorHAnsi" w:cs="Arial"/>
      <w:bCs/>
      <w:sz w:val="26"/>
      <w:szCs w:val="26"/>
      <w:lang w:eastAsia="tr-TR"/>
    </w:rPr>
  </w:style>
  <w:style w:type="paragraph" w:styleId="Heading4">
    <w:name w:val="heading 4"/>
    <w:basedOn w:val="Normal"/>
    <w:next w:val="Normal"/>
    <w:link w:val="Heading4Char"/>
    <w:uiPriority w:val="9"/>
    <w:unhideWhenUsed/>
    <w:qFormat/>
    <w:rsid w:val="00DB3AFE"/>
    <w:pPr>
      <w:keepNext/>
      <w:keepLines/>
      <w:numPr>
        <w:numId w:val="344"/>
      </w:numPr>
      <w:spacing w:before="200" w:after="0" w:line="240" w:lineRule="auto"/>
      <w:outlineLvl w:val="3"/>
    </w:pPr>
    <w:rPr>
      <w:rFonts w:asciiTheme="majorHAnsi" w:eastAsiaTheme="majorEastAsia" w:hAnsiTheme="majorHAnsi" w:cstheme="majorBidi"/>
      <w:b/>
      <w:bCs/>
      <w:iCs/>
      <w:color w:val="01406B"/>
      <w:szCs w:val="24"/>
      <w:lang w:val="en-GB"/>
    </w:rPr>
  </w:style>
  <w:style w:type="paragraph" w:styleId="Heading5">
    <w:name w:val="heading 5"/>
    <w:basedOn w:val="Normal"/>
    <w:next w:val="Normal"/>
    <w:link w:val="Heading5Char"/>
    <w:uiPriority w:val="9"/>
    <w:semiHidden/>
    <w:unhideWhenUsed/>
    <w:qFormat/>
    <w:rsid w:val="00CE2C13"/>
    <w:pPr>
      <w:keepNext/>
      <w:keepLines/>
      <w:numPr>
        <w:ilvl w:val="4"/>
        <w:numId w:val="343"/>
      </w:numPr>
      <w:tabs>
        <w:tab w:val="num" w:pos="360"/>
      </w:tabs>
      <w:spacing w:before="200" w:after="0" w:line="240" w:lineRule="auto"/>
      <w:ind w:left="0" w:firstLine="0"/>
      <w:outlineLvl w:val="4"/>
    </w:pPr>
    <w:rPr>
      <w:rFonts w:asciiTheme="majorHAnsi" w:eastAsiaTheme="majorEastAsia" w:hAnsiTheme="majorHAnsi" w:cstheme="majorBidi"/>
      <w:color w:val="1F3763" w:themeColor="accent1" w:themeShade="7F"/>
      <w:sz w:val="24"/>
      <w:szCs w:val="24"/>
    </w:rPr>
  </w:style>
  <w:style w:type="paragraph" w:styleId="Heading6">
    <w:name w:val="heading 6"/>
    <w:basedOn w:val="Normal"/>
    <w:next w:val="Normal"/>
    <w:link w:val="Heading6Char"/>
    <w:uiPriority w:val="9"/>
    <w:semiHidden/>
    <w:unhideWhenUsed/>
    <w:qFormat/>
    <w:rsid w:val="00CE2C13"/>
    <w:pPr>
      <w:keepNext/>
      <w:keepLines/>
      <w:numPr>
        <w:ilvl w:val="5"/>
        <w:numId w:val="343"/>
      </w:numPr>
      <w:tabs>
        <w:tab w:val="num" w:pos="360"/>
      </w:tabs>
      <w:spacing w:before="200" w:after="0" w:line="240" w:lineRule="auto"/>
      <w:ind w:left="0" w:firstLine="0"/>
      <w:outlineLvl w:val="5"/>
    </w:pPr>
    <w:rPr>
      <w:rFonts w:asciiTheme="majorHAnsi" w:eastAsiaTheme="majorEastAsia" w:hAnsiTheme="majorHAnsi" w:cstheme="majorBidi"/>
      <w:i/>
      <w:iCs/>
      <w:color w:val="1F3763" w:themeColor="accent1" w:themeShade="7F"/>
      <w:sz w:val="24"/>
      <w:szCs w:val="24"/>
    </w:rPr>
  </w:style>
  <w:style w:type="paragraph" w:styleId="Heading7">
    <w:name w:val="heading 7"/>
    <w:basedOn w:val="Normal"/>
    <w:next w:val="Normal"/>
    <w:link w:val="Heading7Char"/>
    <w:uiPriority w:val="9"/>
    <w:semiHidden/>
    <w:unhideWhenUsed/>
    <w:qFormat/>
    <w:rsid w:val="00CE2C13"/>
    <w:pPr>
      <w:keepNext/>
      <w:keepLines/>
      <w:numPr>
        <w:ilvl w:val="6"/>
        <w:numId w:val="343"/>
      </w:numPr>
      <w:tabs>
        <w:tab w:val="num" w:pos="360"/>
      </w:tabs>
      <w:spacing w:before="200" w:after="0" w:line="240" w:lineRule="auto"/>
      <w:ind w:left="0" w:firstLine="0"/>
      <w:outlineLvl w:val="6"/>
    </w:pPr>
    <w:rPr>
      <w:rFonts w:asciiTheme="majorHAnsi" w:eastAsiaTheme="majorEastAsia" w:hAnsiTheme="majorHAnsi" w:cstheme="majorBidi"/>
      <w:i/>
      <w:iCs/>
      <w:color w:val="404040" w:themeColor="text1" w:themeTint="BF"/>
      <w:sz w:val="24"/>
      <w:szCs w:val="24"/>
    </w:rPr>
  </w:style>
  <w:style w:type="paragraph" w:styleId="Heading8">
    <w:name w:val="heading 8"/>
    <w:basedOn w:val="Normal"/>
    <w:next w:val="Normal"/>
    <w:link w:val="Heading8Char"/>
    <w:uiPriority w:val="9"/>
    <w:semiHidden/>
    <w:unhideWhenUsed/>
    <w:qFormat/>
    <w:rsid w:val="00CE2C13"/>
    <w:pPr>
      <w:keepNext/>
      <w:keepLines/>
      <w:numPr>
        <w:ilvl w:val="7"/>
        <w:numId w:val="343"/>
      </w:numPr>
      <w:tabs>
        <w:tab w:val="num" w:pos="360"/>
      </w:tabs>
      <w:spacing w:before="200" w:after="0" w:line="240" w:lineRule="auto"/>
      <w:ind w:left="0" w:firstLine="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E2C13"/>
    <w:pPr>
      <w:keepNext/>
      <w:keepLines/>
      <w:numPr>
        <w:ilvl w:val="8"/>
        <w:numId w:val="343"/>
      </w:numPr>
      <w:tabs>
        <w:tab w:val="num" w:pos="360"/>
      </w:tabs>
      <w:spacing w:before="200" w:after="0" w:line="240" w:lineRule="auto"/>
      <w:ind w:left="0" w:firstLine="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 LDK Char,Headline Char,ELI PD H1 Char,Hoofdstuk Char,ΔΞ-Άρθρο Char,ÄÎ-¢ñèñï Char,Heading 1 Char1 Char Char,Heading 1 Char Char Char Char"/>
    <w:basedOn w:val="DefaultParagraphFont"/>
    <w:link w:val="Heading1"/>
    <w:uiPriority w:val="9"/>
    <w:rsid w:val="00CE2C13"/>
    <w:rPr>
      <w:rFonts w:ascii="Calibri Light" w:eastAsia="Times New Roman" w:hAnsi="Calibri Light" w:cs="Calibri Light"/>
      <w:b/>
      <w:smallCaps/>
      <w:color w:val="FFFFFF"/>
      <w:kern w:val="28"/>
      <w:sz w:val="48"/>
      <w:szCs w:val="32"/>
      <w:shd w:val="clear" w:color="auto" w:fill="004D73"/>
      <w:lang w:val="sr-Cyrl-RS" w:eastAsia="el-GR"/>
    </w:rPr>
  </w:style>
  <w:style w:type="character" w:customStyle="1" w:styleId="Heading2Char">
    <w:name w:val="Heading 2 Char"/>
    <w:basedOn w:val="DefaultParagraphFont"/>
    <w:link w:val="Heading2"/>
    <w:uiPriority w:val="9"/>
    <w:rsid w:val="000A640B"/>
    <w:rPr>
      <w:rFonts w:ascii="Calibri Light" w:eastAsia="Times New Roman" w:hAnsi="Calibri Light" w:cs="Calibri Light"/>
      <w:b/>
      <w:color w:val="01406B"/>
      <w:sz w:val="32"/>
      <w:lang w:eastAsia="el-GR"/>
    </w:rPr>
  </w:style>
  <w:style w:type="character" w:customStyle="1" w:styleId="Heading3Char">
    <w:name w:val="Heading 3 Char"/>
    <w:basedOn w:val="DefaultParagraphFont"/>
    <w:link w:val="Heading3"/>
    <w:rsid w:val="000A640B"/>
    <w:rPr>
      <w:rFonts w:asciiTheme="majorHAnsi" w:eastAsia="Times New Roman" w:hAnsiTheme="majorHAnsi" w:cs="Arial"/>
      <w:b/>
      <w:bCs/>
      <w:color w:val="01406B"/>
      <w:sz w:val="26"/>
      <w:szCs w:val="26"/>
      <w:lang w:eastAsia="tr-TR"/>
    </w:rPr>
  </w:style>
  <w:style w:type="character" w:customStyle="1" w:styleId="Heading4Char">
    <w:name w:val="Heading 4 Char"/>
    <w:basedOn w:val="DefaultParagraphFont"/>
    <w:link w:val="Heading4"/>
    <w:uiPriority w:val="9"/>
    <w:rsid w:val="00DB3AFE"/>
    <w:rPr>
      <w:rFonts w:asciiTheme="majorHAnsi" w:eastAsiaTheme="majorEastAsia" w:hAnsiTheme="majorHAnsi" w:cstheme="majorBidi"/>
      <w:b/>
      <w:bCs/>
      <w:iCs/>
      <w:color w:val="01406B"/>
      <w:szCs w:val="24"/>
    </w:rPr>
  </w:style>
  <w:style w:type="character" w:customStyle="1" w:styleId="Heading5Char">
    <w:name w:val="Heading 5 Char"/>
    <w:basedOn w:val="DefaultParagraphFont"/>
    <w:link w:val="Heading5"/>
    <w:uiPriority w:val="9"/>
    <w:semiHidden/>
    <w:rsid w:val="00CE2C13"/>
    <w:rPr>
      <w:rFonts w:asciiTheme="majorHAnsi" w:eastAsiaTheme="majorEastAsia" w:hAnsiTheme="majorHAnsi" w:cstheme="majorBidi"/>
      <w:color w:val="1F3763" w:themeColor="accent1" w:themeShade="7F"/>
      <w:sz w:val="24"/>
      <w:szCs w:val="24"/>
      <w:lang w:val="sr-Cyrl-RS"/>
    </w:rPr>
  </w:style>
  <w:style w:type="character" w:customStyle="1" w:styleId="Heading6Char">
    <w:name w:val="Heading 6 Char"/>
    <w:basedOn w:val="DefaultParagraphFont"/>
    <w:link w:val="Heading6"/>
    <w:uiPriority w:val="9"/>
    <w:semiHidden/>
    <w:rsid w:val="00CE2C13"/>
    <w:rPr>
      <w:rFonts w:asciiTheme="majorHAnsi" w:eastAsiaTheme="majorEastAsia" w:hAnsiTheme="majorHAnsi" w:cstheme="majorBidi"/>
      <w:i/>
      <w:iCs/>
      <w:color w:val="1F3763" w:themeColor="accent1" w:themeShade="7F"/>
      <w:sz w:val="24"/>
      <w:szCs w:val="24"/>
      <w:lang w:val="sr-Cyrl-RS"/>
    </w:rPr>
  </w:style>
  <w:style w:type="character" w:customStyle="1" w:styleId="Heading7Char">
    <w:name w:val="Heading 7 Char"/>
    <w:basedOn w:val="DefaultParagraphFont"/>
    <w:link w:val="Heading7"/>
    <w:uiPriority w:val="9"/>
    <w:semiHidden/>
    <w:rsid w:val="00CE2C13"/>
    <w:rPr>
      <w:rFonts w:asciiTheme="majorHAnsi" w:eastAsiaTheme="majorEastAsia" w:hAnsiTheme="majorHAnsi" w:cstheme="majorBidi"/>
      <w:i/>
      <w:iCs/>
      <w:color w:val="404040" w:themeColor="text1" w:themeTint="BF"/>
      <w:sz w:val="24"/>
      <w:szCs w:val="24"/>
      <w:lang w:val="sr-Cyrl-RS"/>
    </w:rPr>
  </w:style>
  <w:style w:type="character" w:customStyle="1" w:styleId="Heading8Char">
    <w:name w:val="Heading 8 Char"/>
    <w:basedOn w:val="DefaultParagraphFont"/>
    <w:link w:val="Heading8"/>
    <w:uiPriority w:val="9"/>
    <w:semiHidden/>
    <w:rsid w:val="00CE2C13"/>
    <w:rPr>
      <w:rFonts w:asciiTheme="majorHAnsi" w:eastAsiaTheme="majorEastAsia" w:hAnsiTheme="majorHAnsi" w:cstheme="majorBidi"/>
      <w:color w:val="404040" w:themeColor="text1" w:themeTint="BF"/>
      <w:sz w:val="20"/>
      <w:szCs w:val="20"/>
      <w:lang w:val="sr-Cyrl-RS"/>
    </w:rPr>
  </w:style>
  <w:style w:type="character" w:customStyle="1" w:styleId="Heading9Char">
    <w:name w:val="Heading 9 Char"/>
    <w:basedOn w:val="DefaultParagraphFont"/>
    <w:link w:val="Heading9"/>
    <w:uiPriority w:val="9"/>
    <w:semiHidden/>
    <w:rsid w:val="00CE2C13"/>
    <w:rPr>
      <w:rFonts w:asciiTheme="majorHAnsi" w:eastAsiaTheme="majorEastAsia" w:hAnsiTheme="majorHAnsi" w:cstheme="majorBidi"/>
      <w:i/>
      <w:iCs/>
      <w:color w:val="404040" w:themeColor="text1" w:themeTint="BF"/>
      <w:sz w:val="20"/>
      <w:szCs w:val="20"/>
      <w:lang w:val="sr-Cyrl-RS"/>
    </w:rPr>
  </w:style>
  <w:style w:type="paragraph" w:styleId="ListParagraph">
    <w:name w:val="List Paragraph"/>
    <w:aliases w:val="Bullet OFM,List Paragraph1,члан,List (Mannvit),Left Bullet L1,Table/Figure Heading,Paragraph,Bullet EY,Normal bullet 2,Bullet list,List Paragraph Red,Resume Title,Citation List,List L1,Bullet Points,Table of contents numbered,Dot pt"/>
    <w:basedOn w:val="Normal"/>
    <w:link w:val="ListParagraphChar"/>
    <w:uiPriority w:val="34"/>
    <w:qFormat/>
    <w:rsid w:val="0082225B"/>
    <w:pPr>
      <w:ind w:left="720"/>
      <w:contextualSpacing/>
    </w:pPr>
  </w:style>
  <w:style w:type="character" w:customStyle="1" w:styleId="ListParagraphChar">
    <w:name w:val="List Paragraph Char"/>
    <w:aliases w:val="Bullet OFM Char,List Paragraph1 Char,члан Char,List (Mannvit) Char,Left Bullet L1 Char,Table/Figure Heading Char,Paragraph Char,Bullet EY Char,Normal bullet 2 Char,Bullet list Char,List Paragraph Red Char,Resume Title Char"/>
    <w:link w:val="ListParagraph"/>
    <w:uiPriority w:val="34"/>
    <w:qFormat/>
    <w:locked/>
    <w:rsid w:val="00CE2C13"/>
  </w:style>
  <w:style w:type="character" w:styleId="Hyperlink">
    <w:name w:val="Hyperlink"/>
    <w:basedOn w:val="DefaultParagraphFont"/>
    <w:uiPriority w:val="99"/>
    <w:unhideWhenUsed/>
    <w:rsid w:val="0082225B"/>
    <w:rPr>
      <w:color w:val="0563C1" w:themeColor="hyperlink"/>
      <w:u w:val="single"/>
    </w:rPr>
  </w:style>
  <w:style w:type="paragraph" w:styleId="Header">
    <w:name w:val="header"/>
    <w:basedOn w:val="Normal"/>
    <w:link w:val="HeaderChar"/>
    <w:unhideWhenUsed/>
    <w:rsid w:val="00941E3F"/>
    <w:pPr>
      <w:tabs>
        <w:tab w:val="center" w:pos="4513"/>
        <w:tab w:val="right" w:pos="9026"/>
      </w:tabs>
      <w:spacing w:after="0" w:line="240" w:lineRule="auto"/>
    </w:pPr>
  </w:style>
  <w:style w:type="character" w:customStyle="1" w:styleId="HeaderChar">
    <w:name w:val="Header Char"/>
    <w:basedOn w:val="DefaultParagraphFont"/>
    <w:link w:val="Header"/>
    <w:rsid w:val="00941E3F"/>
  </w:style>
  <w:style w:type="paragraph" w:styleId="Footer">
    <w:name w:val="footer"/>
    <w:basedOn w:val="Normal"/>
    <w:link w:val="FooterChar"/>
    <w:uiPriority w:val="99"/>
    <w:unhideWhenUsed/>
    <w:rsid w:val="00941E3F"/>
    <w:pPr>
      <w:tabs>
        <w:tab w:val="center" w:pos="4513"/>
        <w:tab w:val="right" w:pos="9026"/>
      </w:tabs>
      <w:spacing w:after="0" w:line="240" w:lineRule="auto"/>
    </w:pPr>
  </w:style>
  <w:style w:type="character" w:customStyle="1" w:styleId="FooterChar">
    <w:name w:val="Footer Char"/>
    <w:basedOn w:val="DefaultParagraphFont"/>
    <w:link w:val="Footer"/>
    <w:uiPriority w:val="99"/>
    <w:rsid w:val="00941E3F"/>
  </w:style>
  <w:style w:type="paragraph" w:styleId="FootnoteText">
    <w:name w:val="footnote text"/>
    <w:aliases w:val="Footnote,12pt,single space,Footnote Text Char Char,Footnote Text1,Fußnotentextf,FOOTNOTES,fn Car Car,fn Car Car Car,fn Car,Footnote Text Char2,Footnote Text Char1 Char,Geneva 9,Font: Geneva 9,Boston 1,Fußnote,WB-Fußnotentext,fn,f,Car"/>
    <w:basedOn w:val="Normal"/>
    <w:link w:val="FootnoteTextChar"/>
    <w:uiPriority w:val="99"/>
    <w:unhideWhenUsed/>
    <w:qFormat/>
    <w:rsid w:val="00CE2C13"/>
    <w:pPr>
      <w:spacing w:after="0" w:line="240" w:lineRule="auto"/>
    </w:pPr>
    <w:rPr>
      <w:rFonts w:ascii="Times New Roman" w:eastAsia="Times New Roman" w:hAnsi="Times New Roman" w:cs="Times New Roman"/>
      <w:sz w:val="20"/>
      <w:szCs w:val="20"/>
    </w:rPr>
  </w:style>
  <w:style w:type="character" w:customStyle="1" w:styleId="FootnoteTextChar">
    <w:name w:val="Footnote Text Char"/>
    <w:aliases w:val="Footnote Char,12pt Char,single space Char,Footnote Text Char Char Char,Footnote Text1 Char,Fußnotentextf Char,FOOTNOTES Char,fn Car Car Char,fn Car Car Car Char,fn Car Char,Footnote Text Char2 Char,Footnote Text Char1 Char Char,f Char"/>
    <w:basedOn w:val="DefaultParagraphFont"/>
    <w:link w:val="FootnoteText"/>
    <w:uiPriority w:val="99"/>
    <w:qFormat/>
    <w:rsid w:val="00CE2C13"/>
    <w:rPr>
      <w:rFonts w:ascii="Times New Roman" w:eastAsia="Times New Roman" w:hAnsi="Times New Roman" w:cs="Times New Roman"/>
      <w:sz w:val="20"/>
      <w:szCs w:val="20"/>
    </w:rPr>
  </w:style>
  <w:style w:type="character" w:styleId="FootnoteReference">
    <w:name w:val="footnote reference"/>
    <w:aliases w:val="ftref,Ref,de nota al pie,Знак сноски-FN,16 Point,Superscript 6 Point,Footnote symbol,Footnote reference number,Footnote Reference Number,note de bas de page,Pocacito_Footnote Reference,Cecilia_Footnote Reference,BVI fnr,Times 10 Point"/>
    <w:link w:val="BVIfnrCarCar"/>
    <w:uiPriority w:val="99"/>
    <w:qFormat/>
    <w:rsid w:val="00CE2C13"/>
    <w:rPr>
      <w:noProof w:val="0"/>
      <w:vertAlign w:val="superscript"/>
      <w:lang w:val="en-GB"/>
    </w:rPr>
  </w:style>
  <w:style w:type="character" w:customStyle="1" w:styleId="NoSpacingChar">
    <w:name w:val="No Spacing Char"/>
    <w:link w:val="NoSpacing"/>
    <w:uiPriority w:val="1"/>
    <w:locked/>
    <w:rsid w:val="00CE2C13"/>
    <w:rPr>
      <w:rFonts w:ascii="Calibri" w:eastAsia="Calibri" w:hAnsi="Calibri" w:cs="Times New Roman"/>
      <w:lang w:val="el-GR"/>
    </w:rPr>
  </w:style>
  <w:style w:type="paragraph" w:styleId="NoSpacing">
    <w:name w:val="No Spacing"/>
    <w:link w:val="NoSpacingChar"/>
    <w:uiPriority w:val="1"/>
    <w:qFormat/>
    <w:rsid w:val="00CE2C13"/>
    <w:pPr>
      <w:spacing w:after="0" w:line="240" w:lineRule="auto"/>
    </w:pPr>
    <w:rPr>
      <w:rFonts w:ascii="Calibri" w:eastAsia="Calibri" w:hAnsi="Calibri" w:cs="Times New Roman"/>
      <w:lang w:val="el-GR"/>
    </w:rPr>
  </w:style>
  <w:style w:type="paragraph" w:styleId="Caption">
    <w:name w:val="caption"/>
    <w:basedOn w:val="Normal"/>
    <w:next w:val="Normal"/>
    <w:link w:val="CaptionChar"/>
    <w:uiPriority w:val="35"/>
    <w:unhideWhenUsed/>
    <w:qFormat/>
    <w:rsid w:val="00AF6784"/>
    <w:pPr>
      <w:spacing w:after="200" w:line="240" w:lineRule="auto"/>
    </w:pPr>
    <w:rPr>
      <w:rFonts w:ascii="Calibri Light" w:hAnsi="Calibri Light" w:cs="Times New Roman"/>
      <w:b/>
      <w:bCs/>
      <w:color w:val="01406B"/>
    </w:rPr>
  </w:style>
  <w:style w:type="table" w:styleId="TableGrid">
    <w:name w:val="Table Grid"/>
    <w:aliases w:val="Envelope Address1"/>
    <w:basedOn w:val="TableNormal"/>
    <w:uiPriority w:val="1"/>
    <w:rsid w:val="00CE2C13"/>
    <w:pPr>
      <w:spacing w:after="120" w:line="240" w:lineRule="auto"/>
      <w:jc w:val="both"/>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DKbody">
    <w:name w:val="LDK body"/>
    <w:basedOn w:val="Normal"/>
    <w:link w:val="LDKbodyChar"/>
    <w:qFormat/>
    <w:rsid w:val="00CE2C13"/>
    <w:pPr>
      <w:spacing w:before="120" w:after="120" w:line="240" w:lineRule="auto"/>
      <w:jc w:val="both"/>
    </w:pPr>
    <w:rPr>
      <w:rFonts w:ascii="Calibri" w:eastAsia="Times New Roman" w:hAnsi="Calibri" w:cs="Arial"/>
      <w:lang w:val="da-DK" w:eastAsia="el-GR"/>
    </w:rPr>
  </w:style>
  <w:style w:type="character" w:customStyle="1" w:styleId="LDKbodyChar">
    <w:name w:val="LDK body Char"/>
    <w:link w:val="LDKbody"/>
    <w:rsid w:val="00CE2C13"/>
    <w:rPr>
      <w:rFonts w:ascii="Calibri" w:eastAsia="Times New Roman" w:hAnsi="Calibri" w:cs="Arial"/>
      <w:lang w:val="da-DK" w:eastAsia="el-GR"/>
    </w:rPr>
  </w:style>
  <w:style w:type="paragraph" w:styleId="BalloonText">
    <w:name w:val="Balloon Text"/>
    <w:basedOn w:val="Normal"/>
    <w:link w:val="BalloonTextChar"/>
    <w:uiPriority w:val="99"/>
    <w:unhideWhenUsed/>
    <w:rsid w:val="00CE2C13"/>
    <w:pPr>
      <w:spacing w:after="0" w:line="240" w:lineRule="auto"/>
    </w:pPr>
    <w:rPr>
      <w:rFonts w:ascii="Segoe UI" w:eastAsia="Times New Roman" w:hAnsi="Segoe UI" w:cs="Segoe UI"/>
      <w:sz w:val="18"/>
      <w:szCs w:val="18"/>
    </w:rPr>
  </w:style>
  <w:style w:type="character" w:customStyle="1" w:styleId="BalloonTextChar">
    <w:name w:val="Balloon Text Char"/>
    <w:basedOn w:val="DefaultParagraphFont"/>
    <w:link w:val="BalloonText"/>
    <w:uiPriority w:val="99"/>
    <w:rsid w:val="00CE2C13"/>
    <w:rPr>
      <w:rFonts w:ascii="Segoe UI" w:eastAsia="Times New Roman" w:hAnsi="Segoe UI" w:cs="Segoe UI"/>
      <w:sz w:val="18"/>
      <w:szCs w:val="18"/>
    </w:rPr>
  </w:style>
  <w:style w:type="paragraph" w:styleId="CommentText">
    <w:name w:val="annotation text"/>
    <w:basedOn w:val="Normal"/>
    <w:link w:val="CommentTextChar"/>
    <w:uiPriority w:val="99"/>
    <w:unhideWhenUsed/>
    <w:rsid w:val="00CE2C13"/>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CE2C13"/>
    <w:rPr>
      <w:rFonts w:ascii="Times New Roman" w:eastAsia="Times New Roman" w:hAnsi="Times New Roman" w:cs="Times New Roman"/>
      <w:sz w:val="20"/>
      <w:szCs w:val="20"/>
    </w:rPr>
  </w:style>
  <w:style w:type="character" w:customStyle="1" w:styleId="CommentSubjectChar">
    <w:name w:val="Comment Subject Char"/>
    <w:basedOn w:val="CommentTextChar"/>
    <w:link w:val="CommentSubject"/>
    <w:uiPriority w:val="99"/>
    <w:semiHidden/>
    <w:rsid w:val="00CE2C13"/>
    <w:rPr>
      <w:rFonts w:ascii="Times New Roman" w:eastAsia="Times New Roman" w:hAnsi="Times New Roman" w:cs="Times New Roman"/>
      <w:b/>
      <w:bCs/>
      <w:sz w:val="20"/>
      <w:szCs w:val="20"/>
    </w:rPr>
  </w:style>
  <w:style w:type="paragraph" w:styleId="CommentSubject">
    <w:name w:val="annotation subject"/>
    <w:basedOn w:val="CommentText"/>
    <w:next w:val="CommentText"/>
    <w:link w:val="CommentSubjectChar"/>
    <w:uiPriority w:val="99"/>
    <w:semiHidden/>
    <w:unhideWhenUsed/>
    <w:rsid w:val="00CE2C13"/>
    <w:rPr>
      <w:b/>
      <w:bCs/>
    </w:rPr>
  </w:style>
  <w:style w:type="paragraph" w:customStyle="1" w:styleId="Default">
    <w:name w:val="Default"/>
    <w:rsid w:val="00CE2C13"/>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UnresolvedMention1">
    <w:name w:val="Unresolved Mention1"/>
    <w:basedOn w:val="DefaultParagraphFont"/>
    <w:uiPriority w:val="99"/>
    <w:semiHidden/>
    <w:unhideWhenUsed/>
    <w:rsid w:val="009E5D0B"/>
    <w:rPr>
      <w:color w:val="605E5C"/>
      <w:shd w:val="clear" w:color="auto" w:fill="E1DFDD"/>
    </w:rPr>
  </w:style>
  <w:style w:type="paragraph" w:customStyle="1" w:styleId="ldkbody0">
    <w:name w:val="ldkbody"/>
    <w:basedOn w:val="Normal"/>
    <w:rsid w:val="00F82778"/>
    <w:pPr>
      <w:spacing w:before="100" w:beforeAutospacing="1" w:after="100" w:afterAutospacing="1" w:line="240" w:lineRule="auto"/>
    </w:pPr>
    <w:rPr>
      <w:rFonts w:ascii="Times New Roman" w:eastAsia="Times New Roman" w:hAnsi="Times New Roman" w:cs="Times New Roman"/>
      <w:sz w:val="24"/>
      <w:szCs w:val="24"/>
    </w:rPr>
  </w:style>
  <w:style w:type="paragraph" w:styleId="TOCHeading">
    <w:name w:val="TOC Heading"/>
    <w:basedOn w:val="Heading1"/>
    <w:next w:val="Normal"/>
    <w:uiPriority w:val="39"/>
    <w:unhideWhenUsed/>
    <w:qFormat/>
    <w:rsid w:val="003D1E9A"/>
    <w:pPr>
      <w:keepLines/>
      <w:numPr>
        <w:numId w:val="0"/>
      </w:numPr>
      <w:pBdr>
        <w:bottom w:val="none" w:sz="0" w:space="0" w:color="auto"/>
      </w:pBdr>
      <w:shd w:val="clear" w:color="auto" w:fill="auto"/>
      <w:spacing w:before="240" w:after="0" w:line="259" w:lineRule="auto"/>
      <w:jc w:val="left"/>
      <w:outlineLvl w:val="9"/>
    </w:pPr>
    <w:rPr>
      <w:rFonts w:asciiTheme="majorHAnsi" w:eastAsiaTheme="majorEastAsia" w:hAnsiTheme="majorHAnsi" w:cstheme="majorBidi"/>
      <w:b w:val="0"/>
      <w:smallCaps w:val="0"/>
      <w:color w:val="2F5496" w:themeColor="accent1" w:themeShade="BF"/>
      <w:kern w:val="0"/>
      <w:sz w:val="32"/>
      <w:lang w:val="en-US" w:eastAsia="en-US"/>
    </w:rPr>
  </w:style>
  <w:style w:type="paragraph" w:styleId="TOC1">
    <w:name w:val="toc 1"/>
    <w:basedOn w:val="Normal"/>
    <w:next w:val="Normal"/>
    <w:autoRedefine/>
    <w:uiPriority w:val="39"/>
    <w:unhideWhenUsed/>
    <w:rsid w:val="00642AA5"/>
    <w:pPr>
      <w:tabs>
        <w:tab w:val="right" w:leader="dot" w:pos="9628"/>
      </w:tabs>
      <w:spacing w:after="100"/>
      <w:jc w:val="both"/>
    </w:pPr>
  </w:style>
  <w:style w:type="paragraph" w:styleId="TOC2">
    <w:name w:val="toc 2"/>
    <w:basedOn w:val="Normal"/>
    <w:next w:val="Normal"/>
    <w:autoRedefine/>
    <w:uiPriority w:val="39"/>
    <w:unhideWhenUsed/>
    <w:rsid w:val="005C5B12"/>
    <w:pPr>
      <w:tabs>
        <w:tab w:val="left" w:pos="880"/>
        <w:tab w:val="right" w:leader="dot" w:pos="9628"/>
      </w:tabs>
      <w:spacing w:after="100"/>
      <w:ind w:left="220"/>
    </w:pPr>
  </w:style>
  <w:style w:type="paragraph" w:styleId="TOC3">
    <w:name w:val="toc 3"/>
    <w:basedOn w:val="Normal"/>
    <w:next w:val="Normal"/>
    <w:autoRedefine/>
    <w:uiPriority w:val="39"/>
    <w:unhideWhenUsed/>
    <w:rsid w:val="001E64A3"/>
    <w:pPr>
      <w:spacing w:after="100"/>
      <w:ind w:left="440"/>
    </w:pPr>
  </w:style>
  <w:style w:type="paragraph" w:customStyle="1" w:styleId="LDKBullets-main">
    <w:name w:val="LDK Bullets - main"/>
    <w:basedOn w:val="Normal"/>
    <w:link w:val="LDKBullets-mainChar"/>
    <w:qFormat/>
    <w:rsid w:val="002314DD"/>
    <w:pPr>
      <w:widowControl w:val="0"/>
      <w:numPr>
        <w:numId w:val="5"/>
      </w:numPr>
      <w:spacing w:after="0" w:line="276" w:lineRule="auto"/>
      <w:jc w:val="both"/>
    </w:pPr>
    <w:rPr>
      <w:rFonts w:ascii="Calibri Light" w:eastAsia="Times New Roman" w:hAnsi="Calibri Light" w:cs="Calibri Light"/>
      <w:lang w:eastAsia="en-GB"/>
    </w:rPr>
  </w:style>
  <w:style w:type="character" w:customStyle="1" w:styleId="LDKBullets-mainChar">
    <w:name w:val="LDK Bullets - main Char"/>
    <w:link w:val="LDKBullets-main"/>
    <w:rsid w:val="002314DD"/>
    <w:rPr>
      <w:rFonts w:ascii="Calibri Light" w:eastAsia="Times New Roman" w:hAnsi="Calibri Light" w:cs="Calibri Light"/>
      <w:lang w:val="sr-Cyrl-RS" w:eastAsia="en-GB"/>
    </w:rPr>
  </w:style>
  <w:style w:type="character" w:styleId="CommentReference">
    <w:name w:val="annotation reference"/>
    <w:basedOn w:val="DefaultParagraphFont"/>
    <w:uiPriority w:val="99"/>
    <w:semiHidden/>
    <w:unhideWhenUsed/>
    <w:rsid w:val="00E95C30"/>
    <w:rPr>
      <w:sz w:val="16"/>
      <w:szCs w:val="16"/>
    </w:rPr>
  </w:style>
  <w:style w:type="paragraph" w:customStyle="1" w:styleId="basic-paragraph">
    <w:name w:val="basic-paragraph"/>
    <w:basedOn w:val="Normal"/>
    <w:rsid w:val="003175B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7A7731"/>
    <w:rPr>
      <w:color w:val="954F72" w:themeColor="followedHyperlink"/>
      <w:u w:val="single"/>
    </w:rPr>
  </w:style>
  <w:style w:type="character" w:customStyle="1" w:styleId="fontstyle01">
    <w:name w:val="fontstyle01"/>
    <w:basedOn w:val="DefaultParagraphFont"/>
    <w:rsid w:val="00924DB5"/>
    <w:rPr>
      <w:rFonts w:ascii="Arial" w:hAnsi="Arial" w:cs="Arial" w:hint="default"/>
      <w:b w:val="0"/>
      <w:bCs w:val="0"/>
      <w:i w:val="0"/>
      <w:iCs w:val="0"/>
      <w:color w:val="000000"/>
      <w:sz w:val="20"/>
      <w:szCs w:val="20"/>
    </w:rPr>
  </w:style>
  <w:style w:type="table" w:customStyle="1" w:styleId="GridTable4-Accent11">
    <w:name w:val="Grid Table 4 - Accent 11"/>
    <w:basedOn w:val="TableNormal"/>
    <w:uiPriority w:val="49"/>
    <w:rsid w:val="00506B97"/>
    <w:pPr>
      <w:spacing w:after="0" w:line="240" w:lineRule="auto"/>
    </w:pPr>
    <w:rPr>
      <w:lang w:val="el-GR"/>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ableofFigures">
    <w:name w:val="table of figures"/>
    <w:basedOn w:val="Normal"/>
    <w:next w:val="Normal"/>
    <w:uiPriority w:val="99"/>
    <w:unhideWhenUsed/>
    <w:rsid w:val="005D5BE4"/>
    <w:pPr>
      <w:spacing w:after="0"/>
    </w:pPr>
  </w:style>
  <w:style w:type="paragraph" w:styleId="Revision">
    <w:name w:val="Revision"/>
    <w:hidden/>
    <w:uiPriority w:val="99"/>
    <w:semiHidden/>
    <w:rsid w:val="00033E95"/>
    <w:pPr>
      <w:spacing w:after="0" w:line="240" w:lineRule="auto"/>
    </w:pPr>
  </w:style>
  <w:style w:type="character" w:styleId="Emphasis">
    <w:name w:val="Emphasis"/>
    <w:basedOn w:val="DefaultParagraphFont"/>
    <w:uiPriority w:val="20"/>
    <w:qFormat/>
    <w:rsid w:val="00227FF4"/>
    <w:rPr>
      <w:i/>
      <w:iCs/>
    </w:rPr>
  </w:style>
  <w:style w:type="character" w:customStyle="1" w:styleId="CaptionChar">
    <w:name w:val="Caption Char"/>
    <w:link w:val="Caption"/>
    <w:uiPriority w:val="35"/>
    <w:qFormat/>
    <w:rsid w:val="00D2554B"/>
    <w:rPr>
      <w:rFonts w:ascii="Calibri Light" w:hAnsi="Calibri Light" w:cs="Times New Roman"/>
      <w:b/>
      <w:bCs/>
      <w:color w:val="01406B"/>
    </w:rPr>
  </w:style>
  <w:style w:type="paragraph" w:customStyle="1" w:styleId="LDKBody1">
    <w:name w:val="LDK Body"/>
    <w:basedOn w:val="Normal"/>
    <w:link w:val="LDKBodyChar0"/>
    <w:qFormat/>
    <w:rsid w:val="007C790C"/>
    <w:pPr>
      <w:widowControl w:val="0"/>
      <w:spacing w:after="120" w:line="240" w:lineRule="auto"/>
      <w:jc w:val="both"/>
    </w:pPr>
    <w:rPr>
      <w:rFonts w:ascii="Calibri Light" w:eastAsia="Times New Roman" w:hAnsi="Calibri Light" w:cs="Calibri Light"/>
      <w:szCs w:val="20"/>
      <w:lang w:eastAsia="el-GR"/>
    </w:rPr>
  </w:style>
  <w:style w:type="character" w:customStyle="1" w:styleId="LDKBodyChar0">
    <w:name w:val="LDK Body Char"/>
    <w:basedOn w:val="DefaultParagraphFont"/>
    <w:link w:val="LDKBody1"/>
    <w:rsid w:val="007C790C"/>
    <w:rPr>
      <w:rFonts w:ascii="Calibri Light" w:eastAsia="Times New Roman" w:hAnsi="Calibri Light" w:cs="Calibri Light"/>
      <w:szCs w:val="20"/>
      <w:lang w:eastAsia="el-GR"/>
    </w:rPr>
  </w:style>
  <w:style w:type="paragraph" w:customStyle="1" w:styleId="xmsonormal">
    <w:name w:val="x_msonormal"/>
    <w:basedOn w:val="Normal"/>
    <w:rsid w:val="000154A5"/>
    <w:pPr>
      <w:spacing w:after="0" w:line="240" w:lineRule="auto"/>
    </w:pPr>
    <w:rPr>
      <w:rFonts w:ascii="Calibri" w:hAnsi="Calibri" w:cs="Calibri"/>
      <w:lang w:val="el-GR" w:eastAsia="el-GR"/>
    </w:rPr>
  </w:style>
  <w:style w:type="paragraph" w:customStyle="1" w:styleId="xmsotoc1">
    <w:name w:val="x_msotoc1"/>
    <w:basedOn w:val="Normal"/>
    <w:rsid w:val="000154A5"/>
    <w:pPr>
      <w:spacing w:after="100" w:line="252" w:lineRule="auto"/>
    </w:pPr>
    <w:rPr>
      <w:rFonts w:ascii="Calibri" w:hAnsi="Calibri" w:cs="Calibri"/>
      <w:lang w:val="el-GR" w:eastAsia="el-GR"/>
    </w:rPr>
  </w:style>
  <w:style w:type="paragraph" w:customStyle="1" w:styleId="Style2">
    <w:name w:val="Style2"/>
    <w:basedOn w:val="Normal"/>
    <w:autoRedefine/>
    <w:uiPriority w:val="9"/>
    <w:qFormat/>
    <w:rsid w:val="000154A5"/>
    <w:pPr>
      <w:keepNext/>
      <w:spacing w:before="240" w:after="120" w:line="320" w:lineRule="exact"/>
      <w:ind w:left="720" w:hanging="720"/>
      <w:outlineLvl w:val="1"/>
    </w:pPr>
    <w:rPr>
      <w:rFonts w:asciiTheme="majorHAnsi" w:eastAsia="Arial" w:hAnsiTheme="majorHAnsi" w:cstheme="majorHAnsi"/>
      <w:color w:val="4472C4" w:themeColor="accent1"/>
      <w:kern w:val="32"/>
      <w:sz w:val="28"/>
      <w:szCs w:val="28"/>
    </w:rPr>
  </w:style>
  <w:style w:type="paragraph" w:customStyle="1" w:styleId="Style3">
    <w:name w:val="Style3"/>
    <w:basedOn w:val="Style2"/>
    <w:next w:val="Heading3"/>
    <w:link w:val="Style3Char"/>
    <w:uiPriority w:val="9"/>
    <w:qFormat/>
    <w:rsid w:val="000154A5"/>
  </w:style>
  <w:style w:type="character" w:customStyle="1" w:styleId="Style3Char">
    <w:name w:val="Style3 Char"/>
    <w:basedOn w:val="DefaultParagraphFont"/>
    <w:link w:val="Style3"/>
    <w:uiPriority w:val="9"/>
    <w:rsid w:val="000154A5"/>
    <w:rPr>
      <w:rFonts w:asciiTheme="majorHAnsi" w:eastAsia="Arial" w:hAnsiTheme="majorHAnsi" w:cstheme="majorHAnsi"/>
      <w:color w:val="4472C4" w:themeColor="accent1"/>
      <w:kern w:val="32"/>
      <w:sz w:val="28"/>
      <w:szCs w:val="28"/>
    </w:rPr>
  </w:style>
  <w:style w:type="table" w:customStyle="1" w:styleId="GridTable4-Accent511">
    <w:name w:val="Grid Table 4 - Accent 511"/>
    <w:basedOn w:val="TableNormal"/>
    <w:uiPriority w:val="49"/>
    <w:rsid w:val="000154A5"/>
    <w:pPr>
      <w:spacing w:after="0" w:line="240" w:lineRule="auto"/>
    </w:pPr>
    <w:rPr>
      <w:rFonts w:ascii="Calibri" w:eastAsia="Calibri" w:hAnsi="Calibri" w:cs="Arial"/>
    </w:rPr>
    <w:tblPr>
      <w:tblStyleRowBandSize w:val="1"/>
      <w:tblStyleColBandSize w:val="1"/>
      <w:tblBorders>
        <w:top w:val="single" w:sz="4" w:space="0" w:color="FFB078"/>
        <w:left w:val="single" w:sz="4" w:space="0" w:color="FFB078"/>
        <w:bottom w:val="single" w:sz="4" w:space="0" w:color="FFB078"/>
        <w:right w:val="single" w:sz="4" w:space="0" w:color="FFB078"/>
        <w:insideH w:val="single" w:sz="4" w:space="0" w:color="FFB078"/>
        <w:insideV w:val="single" w:sz="4" w:space="0" w:color="FFB078"/>
      </w:tblBorders>
    </w:tblPr>
    <w:tblStylePr w:type="firstRow">
      <w:rPr>
        <w:b/>
        <w:bCs/>
        <w:color w:val="FFFFFF"/>
      </w:rPr>
      <w:tblPr/>
      <w:tcPr>
        <w:tcBorders>
          <w:top w:val="single" w:sz="4" w:space="0" w:color="FF7D1E"/>
          <w:left w:val="single" w:sz="4" w:space="0" w:color="FF7D1E"/>
          <w:bottom w:val="single" w:sz="4" w:space="0" w:color="FF7D1E"/>
          <w:right w:val="single" w:sz="4" w:space="0" w:color="FF7D1E"/>
          <w:insideH w:val="nil"/>
          <w:insideV w:val="nil"/>
        </w:tcBorders>
        <w:shd w:val="clear" w:color="auto" w:fill="FF7D1E"/>
      </w:tcPr>
    </w:tblStylePr>
    <w:tblStylePr w:type="lastRow">
      <w:rPr>
        <w:b/>
        <w:bCs/>
      </w:rPr>
      <w:tblPr/>
      <w:tcPr>
        <w:tcBorders>
          <w:top w:val="double" w:sz="4" w:space="0" w:color="FF7D1E"/>
        </w:tcBorders>
      </w:tcPr>
    </w:tblStylePr>
    <w:tblStylePr w:type="firstCol">
      <w:rPr>
        <w:b/>
        <w:bCs/>
      </w:rPr>
    </w:tblStylePr>
    <w:tblStylePr w:type="lastCol">
      <w:rPr>
        <w:b/>
        <w:bCs/>
      </w:rPr>
    </w:tblStylePr>
    <w:tblStylePr w:type="band1Vert">
      <w:tblPr/>
      <w:tcPr>
        <w:shd w:val="clear" w:color="auto" w:fill="FFE4D2"/>
      </w:tcPr>
    </w:tblStylePr>
    <w:tblStylePr w:type="band1Horz">
      <w:tblPr/>
      <w:tcPr>
        <w:shd w:val="clear" w:color="auto" w:fill="FFE4D2"/>
      </w:tcPr>
    </w:tblStylePr>
  </w:style>
  <w:style w:type="paragraph" w:styleId="BodyText">
    <w:name w:val="Body Text"/>
    <w:basedOn w:val="Normal"/>
    <w:link w:val="BodyTextChar"/>
    <w:uiPriority w:val="1"/>
    <w:qFormat/>
    <w:rsid w:val="000154A5"/>
    <w:pPr>
      <w:spacing w:after="120" w:line="240" w:lineRule="atLeast"/>
      <w:jc w:val="both"/>
    </w:pPr>
    <w:rPr>
      <w:rFonts w:eastAsia="Times New Roman" w:cs="Arial"/>
      <w:szCs w:val="20"/>
    </w:rPr>
  </w:style>
  <w:style w:type="character" w:customStyle="1" w:styleId="BodyTextChar">
    <w:name w:val="Body Text Char"/>
    <w:basedOn w:val="DefaultParagraphFont"/>
    <w:link w:val="BodyText"/>
    <w:uiPriority w:val="1"/>
    <w:rsid w:val="000154A5"/>
    <w:rPr>
      <w:rFonts w:eastAsia="Times New Roman" w:cs="Arial"/>
      <w:szCs w:val="20"/>
    </w:rPr>
  </w:style>
  <w:style w:type="paragraph" w:customStyle="1" w:styleId="BVIfnrCarCar">
    <w:name w:val="BVI fnr Car Car"/>
    <w:aliases w:val="BVI fnr Car,BVI fnr Car Car Car Car,BVI fnr Car Car Char,BVI fnr Car Car Car Car Char"/>
    <w:basedOn w:val="Normal"/>
    <w:link w:val="FootnoteReference"/>
    <w:uiPriority w:val="99"/>
    <w:rsid w:val="000154A5"/>
    <w:pPr>
      <w:spacing w:before="240" w:after="0" w:line="240" w:lineRule="exact"/>
      <w:jc w:val="both"/>
    </w:pPr>
    <w:rPr>
      <w:vertAlign w:val="superscript"/>
    </w:rPr>
  </w:style>
  <w:style w:type="character" w:customStyle="1" w:styleId="LDKTableChar">
    <w:name w:val="LDK Table Char"/>
    <w:basedOn w:val="DefaultParagraphFont"/>
    <w:link w:val="LDKTable"/>
    <w:rsid w:val="000154A5"/>
    <w:rPr>
      <w:rFonts w:ascii="Calibri Light" w:eastAsia="Times New Roman" w:hAnsi="Calibri Light" w:cs="Times New Roman"/>
      <w:b/>
      <w:bCs/>
      <w:color w:val="01406B"/>
      <w:lang w:val="da-DK" w:eastAsia="el-GR"/>
    </w:rPr>
  </w:style>
  <w:style w:type="paragraph" w:customStyle="1" w:styleId="LDKTable">
    <w:name w:val="LDK Table"/>
    <w:basedOn w:val="Normal"/>
    <w:link w:val="LDKTableChar"/>
    <w:qFormat/>
    <w:rsid w:val="000154A5"/>
    <w:pPr>
      <w:keepNext/>
      <w:spacing w:before="120" w:after="120" w:line="240" w:lineRule="auto"/>
      <w:jc w:val="both"/>
    </w:pPr>
    <w:rPr>
      <w:rFonts w:ascii="Calibri Light" w:eastAsia="Times New Roman" w:hAnsi="Calibri Light" w:cs="Times New Roman"/>
      <w:b/>
      <w:bCs/>
      <w:color w:val="01406B"/>
      <w:lang w:val="da-DK" w:eastAsia="el-GR"/>
    </w:rPr>
  </w:style>
  <w:style w:type="paragraph" w:customStyle="1" w:styleId="Headline2">
    <w:name w:val="Headline 2"/>
    <w:basedOn w:val="Normal"/>
    <w:rsid w:val="000154A5"/>
    <w:pPr>
      <w:suppressAutoHyphens/>
      <w:spacing w:after="200" w:line="240" w:lineRule="auto"/>
      <w:ind w:left="1843" w:hanging="1843"/>
    </w:pPr>
    <w:rPr>
      <w:rFonts w:ascii="Trebuchet MS Bold" w:eastAsia="Cambria" w:hAnsi="Trebuchet MS Bold" w:cs="Times New Roman"/>
      <w:color w:val="262727"/>
      <w:sz w:val="32"/>
      <w:szCs w:val="24"/>
      <w:lang w:val="de-DE" w:eastAsia="ar-SA"/>
    </w:rPr>
  </w:style>
  <w:style w:type="character" w:styleId="PageNumber">
    <w:name w:val="page number"/>
    <w:basedOn w:val="DefaultParagraphFont"/>
    <w:rsid w:val="000154A5"/>
  </w:style>
  <w:style w:type="paragraph" w:customStyle="1" w:styleId="Bullet">
    <w:name w:val="Bullet"/>
    <w:aliases w:val="bl,Bullet L1,bl1"/>
    <w:basedOn w:val="Normal"/>
    <w:rsid w:val="000154A5"/>
    <w:pPr>
      <w:numPr>
        <w:numId w:val="224"/>
      </w:numPr>
      <w:spacing w:after="0" w:line="240" w:lineRule="auto"/>
    </w:pPr>
    <w:rPr>
      <w:rFonts w:ascii="Calibri" w:eastAsia="Times New Roman" w:hAnsi="Calibri" w:cs="Times New Roman"/>
      <w:sz w:val="18"/>
      <w:szCs w:val="20"/>
      <w:lang w:eastAsia="el-GR"/>
    </w:rPr>
  </w:style>
  <w:style w:type="character" w:styleId="Strong">
    <w:name w:val="Strong"/>
    <w:basedOn w:val="DefaultParagraphFont"/>
    <w:uiPriority w:val="22"/>
    <w:qFormat/>
    <w:rsid w:val="000154A5"/>
    <w:rPr>
      <w:rFonts w:asciiTheme="minorHAnsi" w:hAnsiTheme="minorHAnsi"/>
      <w:b/>
      <w:bCs/>
    </w:rPr>
  </w:style>
  <w:style w:type="paragraph" w:styleId="ListContinue">
    <w:name w:val="List Continue"/>
    <w:basedOn w:val="Normal"/>
    <w:uiPriority w:val="99"/>
    <w:semiHidden/>
    <w:unhideWhenUsed/>
    <w:rsid w:val="000154A5"/>
    <w:pPr>
      <w:spacing w:after="120" w:line="240" w:lineRule="auto"/>
      <w:ind w:left="283"/>
      <w:contextualSpacing/>
    </w:pPr>
    <w:rPr>
      <w:rFonts w:ascii="Calibri" w:eastAsia="Times New Roman" w:hAnsi="Calibri" w:cs="Times New Roman"/>
      <w:szCs w:val="24"/>
    </w:rPr>
  </w:style>
  <w:style w:type="paragraph" w:customStyle="1" w:styleId="LDKTableBullets2">
    <w:name w:val="LDK Table Bullets 2"/>
    <w:basedOn w:val="Normal"/>
    <w:link w:val="LDKTableBullets2Char"/>
    <w:qFormat/>
    <w:rsid w:val="000154A5"/>
    <w:pPr>
      <w:widowControl w:val="0"/>
      <w:numPr>
        <w:numId w:val="225"/>
      </w:numPr>
      <w:spacing w:after="0" w:line="276" w:lineRule="auto"/>
      <w:jc w:val="both"/>
    </w:pPr>
    <w:rPr>
      <w:rFonts w:ascii="Calibri Light" w:eastAsia="Times New Roman" w:hAnsi="Calibri Light" w:cs="Calibri Light"/>
      <w:sz w:val="20"/>
      <w:szCs w:val="20"/>
      <w:lang w:eastAsia="en-GB"/>
    </w:rPr>
  </w:style>
  <w:style w:type="character" w:customStyle="1" w:styleId="LDKTableBullets2Char">
    <w:name w:val="LDK Table Bullets 2 Char"/>
    <w:basedOn w:val="DefaultParagraphFont"/>
    <w:link w:val="LDKTableBullets2"/>
    <w:rsid w:val="000154A5"/>
    <w:rPr>
      <w:rFonts w:ascii="Calibri Light" w:eastAsia="Times New Roman" w:hAnsi="Calibri Light" w:cs="Calibri Light"/>
      <w:sz w:val="20"/>
      <w:szCs w:val="20"/>
      <w:lang w:val="sr-Cyrl-RS" w:eastAsia="en-GB"/>
    </w:rPr>
  </w:style>
  <w:style w:type="paragraph" w:customStyle="1" w:styleId="LDKBullets-main2">
    <w:name w:val="LDK Bullets - main 2"/>
    <w:basedOn w:val="Normal"/>
    <w:link w:val="LDKBullets-main2Char"/>
    <w:qFormat/>
    <w:rsid w:val="000154A5"/>
    <w:pPr>
      <w:keepLines/>
      <w:numPr>
        <w:numId w:val="226"/>
      </w:numPr>
      <w:spacing w:after="60" w:line="240" w:lineRule="auto"/>
      <w:jc w:val="both"/>
    </w:pPr>
    <w:rPr>
      <w:rFonts w:ascii="Calibri" w:eastAsia="Calibri" w:hAnsi="Calibri" w:cs="Times New Roman"/>
      <w:szCs w:val="20"/>
    </w:rPr>
  </w:style>
  <w:style w:type="character" w:customStyle="1" w:styleId="LDKBullets-main2Char">
    <w:name w:val="LDK Bullets - main 2 Char"/>
    <w:link w:val="LDKBullets-main2"/>
    <w:rsid w:val="000154A5"/>
    <w:rPr>
      <w:rFonts w:ascii="Calibri" w:eastAsia="Calibri" w:hAnsi="Calibri" w:cs="Times New Roman"/>
      <w:szCs w:val="20"/>
      <w:lang w:val="sr-Cyrl-RS"/>
    </w:rPr>
  </w:style>
  <w:style w:type="character" w:styleId="IntenseReference">
    <w:name w:val="Intense Reference"/>
    <w:uiPriority w:val="32"/>
    <w:qFormat/>
    <w:rsid w:val="000154A5"/>
    <w:rPr>
      <w:rFonts w:ascii="Calibri Light" w:hAnsi="Calibri Light" w:cs="Calibri Light"/>
      <w:b/>
      <w:color w:val="01406B"/>
      <w:sz w:val="22"/>
      <w:szCs w:val="20"/>
      <w:lang w:val="da-DK" w:eastAsia="el-GR"/>
    </w:rPr>
  </w:style>
  <w:style w:type="paragraph" w:customStyle="1" w:styleId="LDKFigure">
    <w:name w:val="LDK Figure"/>
    <w:basedOn w:val="Caption"/>
    <w:link w:val="LDKFigureChar"/>
    <w:qFormat/>
    <w:rsid w:val="000154A5"/>
    <w:pPr>
      <w:keepNext/>
      <w:spacing w:before="120"/>
      <w:jc w:val="both"/>
    </w:pPr>
    <w:rPr>
      <w:rFonts w:eastAsia="Times New Roman"/>
      <w:iCs/>
      <w:color w:val="44546A" w:themeColor="text2"/>
      <w:sz w:val="18"/>
      <w:szCs w:val="18"/>
      <w:lang w:val="da-DK" w:eastAsia="el-GR"/>
    </w:rPr>
  </w:style>
  <w:style w:type="character" w:customStyle="1" w:styleId="LDKFigureChar">
    <w:name w:val="LDK Figure Char"/>
    <w:basedOn w:val="CaptionChar"/>
    <w:link w:val="LDKFigure"/>
    <w:rsid w:val="000154A5"/>
    <w:rPr>
      <w:rFonts w:ascii="Calibri Light" w:eastAsia="Times New Roman" w:hAnsi="Calibri Light" w:cs="Times New Roman"/>
      <w:b/>
      <w:bCs/>
      <w:iCs/>
      <w:color w:val="44546A" w:themeColor="text2"/>
      <w:sz w:val="18"/>
      <w:szCs w:val="18"/>
      <w:lang w:val="da-DK" w:eastAsia="el-GR"/>
    </w:rPr>
  </w:style>
  <w:style w:type="character" w:customStyle="1" w:styleId="highlight">
    <w:name w:val="highlight"/>
    <w:basedOn w:val="DefaultParagraphFont"/>
    <w:rsid w:val="000154A5"/>
  </w:style>
  <w:style w:type="paragraph" w:customStyle="1" w:styleId="msonormal0">
    <w:name w:val="msonormal"/>
    <w:basedOn w:val="Normal"/>
    <w:rsid w:val="000154A5"/>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9">
    <w:name w:val="xl79"/>
    <w:basedOn w:val="Normal"/>
    <w:rsid w:val="000154A5"/>
    <w:pPr>
      <w:spacing w:before="100" w:beforeAutospacing="1" w:after="100" w:afterAutospacing="1" w:line="240" w:lineRule="auto"/>
    </w:pPr>
    <w:rPr>
      <w:rFonts w:ascii="Calibri Light" w:eastAsia="Times New Roman" w:hAnsi="Calibri Light" w:cs="Calibri Light"/>
      <w:sz w:val="12"/>
      <w:szCs w:val="12"/>
      <w:lang w:eastAsia="en-GB"/>
    </w:rPr>
  </w:style>
  <w:style w:type="paragraph" w:customStyle="1" w:styleId="xl80">
    <w:name w:val="xl80"/>
    <w:basedOn w:val="Normal"/>
    <w:rsid w:val="000154A5"/>
    <w:pPr>
      <w:pBdr>
        <w:top w:val="single" w:sz="4" w:space="0" w:color="696969"/>
        <w:left w:val="single" w:sz="4" w:space="0" w:color="696969"/>
        <w:bottom w:val="single" w:sz="4" w:space="0" w:color="696969"/>
        <w:right w:val="single" w:sz="4" w:space="0" w:color="696969"/>
      </w:pBdr>
      <w:shd w:val="clear" w:color="EFF6FF" w:fill="EFF6FF"/>
      <w:spacing w:before="100" w:beforeAutospacing="1" w:after="100" w:afterAutospacing="1" w:line="240" w:lineRule="auto"/>
      <w:textAlignment w:val="center"/>
    </w:pPr>
    <w:rPr>
      <w:rFonts w:ascii="Calibri Light" w:eastAsia="Times New Roman" w:hAnsi="Calibri Light" w:cs="Calibri Light"/>
      <w:color w:val="2B2C3C"/>
      <w:sz w:val="12"/>
      <w:szCs w:val="12"/>
      <w:lang w:eastAsia="en-GB"/>
    </w:rPr>
  </w:style>
  <w:style w:type="paragraph" w:customStyle="1" w:styleId="xl81">
    <w:name w:val="xl81"/>
    <w:basedOn w:val="Normal"/>
    <w:rsid w:val="000154A5"/>
    <w:pPr>
      <w:pBdr>
        <w:top w:val="single" w:sz="4" w:space="0" w:color="696969"/>
        <w:left w:val="single" w:sz="4" w:space="0" w:color="696969"/>
        <w:bottom w:val="single" w:sz="4" w:space="0" w:color="696969"/>
        <w:right w:val="single" w:sz="4" w:space="0" w:color="696969"/>
      </w:pBdr>
      <w:shd w:val="clear" w:color="EAF1FB" w:fill="EAF1FB"/>
      <w:spacing w:before="100" w:beforeAutospacing="1" w:after="100" w:afterAutospacing="1" w:line="240" w:lineRule="auto"/>
      <w:jc w:val="right"/>
      <w:textAlignment w:val="center"/>
    </w:pPr>
    <w:rPr>
      <w:rFonts w:ascii="Calibri Light" w:eastAsia="Times New Roman" w:hAnsi="Calibri Light" w:cs="Calibri Light"/>
      <w:color w:val="000000"/>
      <w:sz w:val="12"/>
      <w:szCs w:val="12"/>
      <w:lang w:eastAsia="en-GB"/>
    </w:rPr>
  </w:style>
  <w:style w:type="paragraph" w:customStyle="1" w:styleId="xl82">
    <w:name w:val="xl82"/>
    <w:basedOn w:val="Normal"/>
    <w:rsid w:val="000154A5"/>
    <w:pPr>
      <w:pBdr>
        <w:top w:val="single" w:sz="4" w:space="0" w:color="696969"/>
        <w:left w:val="single" w:sz="4" w:space="0" w:color="696969"/>
        <w:bottom w:val="single" w:sz="4" w:space="0" w:color="696969"/>
        <w:right w:val="single" w:sz="4" w:space="0" w:color="696969"/>
      </w:pBdr>
      <w:shd w:val="clear" w:color="EAF1FB" w:fill="EAF1FB"/>
      <w:spacing w:before="100" w:beforeAutospacing="1" w:after="100" w:afterAutospacing="1" w:line="240" w:lineRule="auto"/>
      <w:textAlignment w:val="center"/>
    </w:pPr>
    <w:rPr>
      <w:rFonts w:ascii="Calibri Light" w:eastAsia="Times New Roman" w:hAnsi="Calibri Light" w:cs="Calibri Light"/>
      <w:color w:val="000000"/>
      <w:sz w:val="12"/>
      <w:szCs w:val="12"/>
      <w:lang w:eastAsia="en-GB"/>
    </w:rPr>
  </w:style>
  <w:style w:type="paragraph" w:customStyle="1" w:styleId="xl83">
    <w:name w:val="xl83"/>
    <w:basedOn w:val="Normal"/>
    <w:rsid w:val="000154A5"/>
    <w:pPr>
      <w:pBdr>
        <w:top w:val="single" w:sz="4" w:space="0" w:color="696969"/>
        <w:left w:val="single" w:sz="4" w:space="0" w:color="696969"/>
        <w:bottom w:val="single" w:sz="4" w:space="0" w:color="696969"/>
        <w:right w:val="single" w:sz="4" w:space="0" w:color="696969"/>
      </w:pBdr>
      <w:shd w:val="clear" w:color="FFFFFF" w:fill="FFFFFF"/>
      <w:spacing w:before="100" w:beforeAutospacing="1" w:after="100" w:afterAutospacing="1" w:line="240" w:lineRule="auto"/>
      <w:jc w:val="right"/>
      <w:textAlignment w:val="center"/>
    </w:pPr>
    <w:rPr>
      <w:rFonts w:ascii="Calibri Light" w:eastAsia="Times New Roman" w:hAnsi="Calibri Light" w:cs="Calibri Light"/>
      <w:color w:val="000000"/>
      <w:sz w:val="12"/>
      <w:szCs w:val="12"/>
      <w:lang w:eastAsia="en-GB"/>
    </w:rPr>
  </w:style>
  <w:style w:type="paragraph" w:customStyle="1" w:styleId="xl84">
    <w:name w:val="xl84"/>
    <w:basedOn w:val="Normal"/>
    <w:rsid w:val="000154A5"/>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right"/>
      <w:textAlignment w:val="center"/>
    </w:pPr>
    <w:rPr>
      <w:rFonts w:ascii="Calibri Light" w:eastAsia="Times New Roman" w:hAnsi="Calibri Light" w:cs="Calibri Light"/>
      <w:color w:val="000000"/>
      <w:sz w:val="12"/>
      <w:szCs w:val="12"/>
      <w:lang w:eastAsia="en-GB"/>
    </w:rPr>
  </w:style>
  <w:style w:type="paragraph" w:customStyle="1" w:styleId="xl85">
    <w:name w:val="xl85"/>
    <w:basedOn w:val="Normal"/>
    <w:rsid w:val="000154A5"/>
    <w:pPr>
      <w:pBdr>
        <w:top w:val="single" w:sz="4" w:space="0" w:color="696969"/>
        <w:left w:val="single" w:sz="4" w:space="0" w:color="696969"/>
        <w:bottom w:val="single" w:sz="4" w:space="0" w:color="696969"/>
        <w:right w:val="single" w:sz="4" w:space="0" w:color="696969"/>
      </w:pBdr>
      <w:shd w:val="clear" w:color="FFFFFF" w:fill="FFFFFF"/>
      <w:spacing w:before="100" w:beforeAutospacing="1" w:after="100" w:afterAutospacing="1" w:line="240" w:lineRule="auto"/>
      <w:jc w:val="right"/>
      <w:textAlignment w:val="center"/>
    </w:pPr>
    <w:rPr>
      <w:rFonts w:ascii="Calibri Light" w:eastAsia="Times New Roman" w:hAnsi="Calibri Light" w:cs="Calibri Light"/>
      <w:color w:val="000000"/>
      <w:sz w:val="12"/>
      <w:szCs w:val="12"/>
      <w:lang w:eastAsia="en-GB"/>
    </w:rPr>
  </w:style>
  <w:style w:type="paragraph" w:customStyle="1" w:styleId="xl86">
    <w:name w:val="xl86"/>
    <w:basedOn w:val="Normal"/>
    <w:rsid w:val="000154A5"/>
    <w:pPr>
      <w:shd w:val="clear" w:color="FFFFFF" w:fill="FFFFFF"/>
      <w:spacing w:before="100" w:beforeAutospacing="1" w:after="100" w:afterAutospacing="1" w:line="240" w:lineRule="auto"/>
      <w:jc w:val="right"/>
      <w:textAlignment w:val="center"/>
    </w:pPr>
    <w:rPr>
      <w:rFonts w:ascii="Calibri Light" w:eastAsia="Times New Roman" w:hAnsi="Calibri Light" w:cs="Calibri Light"/>
      <w:color w:val="000000"/>
      <w:sz w:val="12"/>
      <w:szCs w:val="12"/>
      <w:lang w:eastAsia="en-GB"/>
    </w:rPr>
  </w:style>
  <w:style w:type="paragraph" w:customStyle="1" w:styleId="xl87">
    <w:name w:val="xl87"/>
    <w:basedOn w:val="Normal"/>
    <w:rsid w:val="000154A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Light" w:eastAsia="Times New Roman" w:hAnsi="Calibri Light" w:cs="Calibri Light"/>
      <w:sz w:val="12"/>
      <w:szCs w:val="12"/>
      <w:lang w:eastAsia="en-GB"/>
    </w:rPr>
  </w:style>
  <w:style w:type="paragraph" w:customStyle="1" w:styleId="xl88">
    <w:name w:val="xl88"/>
    <w:basedOn w:val="Normal"/>
    <w:rsid w:val="000154A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Light" w:eastAsia="Times New Roman" w:hAnsi="Calibri Light" w:cs="Calibri Light"/>
      <w:sz w:val="12"/>
      <w:szCs w:val="12"/>
      <w:lang w:eastAsia="en-GB"/>
    </w:rPr>
  </w:style>
  <w:style w:type="paragraph" w:customStyle="1" w:styleId="xl89">
    <w:name w:val="xl89"/>
    <w:basedOn w:val="Normal"/>
    <w:rsid w:val="000154A5"/>
    <w:pPr>
      <w:pBdr>
        <w:top w:val="single" w:sz="4" w:space="0" w:color="696969"/>
        <w:left w:val="single" w:sz="4" w:space="0" w:color="696969"/>
        <w:bottom w:val="single" w:sz="4" w:space="0" w:color="696969"/>
        <w:right w:val="single" w:sz="4" w:space="0" w:color="696969"/>
      </w:pBdr>
      <w:shd w:val="clear" w:color="EFF6FF" w:fill="EFF6FF"/>
      <w:spacing w:before="100" w:beforeAutospacing="1" w:after="100" w:afterAutospacing="1" w:line="240" w:lineRule="auto"/>
      <w:textAlignment w:val="center"/>
    </w:pPr>
    <w:rPr>
      <w:rFonts w:ascii="Calibri Light" w:eastAsia="Times New Roman" w:hAnsi="Calibri Light" w:cs="Calibri Light"/>
      <w:color w:val="2B2C3C"/>
      <w:sz w:val="12"/>
      <w:szCs w:val="12"/>
      <w:lang w:eastAsia="en-GB"/>
    </w:rPr>
  </w:style>
  <w:style w:type="paragraph" w:customStyle="1" w:styleId="xl90">
    <w:name w:val="xl90"/>
    <w:basedOn w:val="Normal"/>
    <w:rsid w:val="000154A5"/>
    <w:pPr>
      <w:pBdr>
        <w:top w:val="single" w:sz="4" w:space="0" w:color="696969"/>
        <w:left w:val="single" w:sz="4" w:space="0" w:color="696969"/>
        <w:bottom w:val="single" w:sz="4" w:space="0" w:color="696969"/>
        <w:right w:val="single" w:sz="4" w:space="0" w:color="696969"/>
      </w:pBdr>
      <w:shd w:val="clear" w:color="EAF1FB" w:fill="EAF1FB"/>
      <w:spacing w:before="100" w:beforeAutospacing="1" w:after="100" w:afterAutospacing="1" w:line="240" w:lineRule="auto"/>
      <w:textAlignment w:val="center"/>
    </w:pPr>
    <w:rPr>
      <w:rFonts w:ascii="Calibri Light" w:eastAsia="Times New Roman" w:hAnsi="Calibri Light" w:cs="Calibri Light"/>
      <w:color w:val="000000"/>
      <w:sz w:val="12"/>
      <w:szCs w:val="12"/>
      <w:lang w:eastAsia="en-GB"/>
    </w:rPr>
  </w:style>
  <w:style w:type="paragraph" w:customStyle="1" w:styleId="xl91">
    <w:name w:val="xl91"/>
    <w:basedOn w:val="Normal"/>
    <w:rsid w:val="000154A5"/>
    <w:pPr>
      <w:pBdr>
        <w:top w:val="single" w:sz="4" w:space="0" w:color="696969"/>
        <w:left w:val="single" w:sz="4" w:space="0" w:color="696969"/>
        <w:bottom w:val="single" w:sz="4" w:space="0" w:color="696969"/>
        <w:right w:val="single" w:sz="4" w:space="0" w:color="696969"/>
      </w:pBdr>
      <w:shd w:val="clear" w:color="FFFFFF" w:fill="FFFFFF"/>
      <w:spacing w:before="100" w:beforeAutospacing="1" w:after="100" w:afterAutospacing="1" w:line="240" w:lineRule="auto"/>
      <w:jc w:val="right"/>
      <w:textAlignment w:val="center"/>
    </w:pPr>
    <w:rPr>
      <w:rFonts w:ascii="Calibri Light" w:eastAsia="Times New Roman" w:hAnsi="Calibri Light" w:cs="Calibri Light"/>
      <w:color w:val="000000"/>
      <w:sz w:val="12"/>
      <w:szCs w:val="12"/>
      <w:lang w:eastAsia="en-GB"/>
    </w:rPr>
  </w:style>
  <w:style w:type="paragraph" w:customStyle="1" w:styleId="xl92">
    <w:name w:val="xl92"/>
    <w:basedOn w:val="Normal"/>
    <w:rsid w:val="000154A5"/>
    <w:pPr>
      <w:pBdr>
        <w:top w:val="single" w:sz="4" w:space="0" w:color="696969"/>
        <w:left w:val="single" w:sz="4" w:space="0" w:color="696969"/>
        <w:bottom w:val="single" w:sz="4" w:space="0" w:color="696969"/>
      </w:pBdr>
      <w:shd w:val="clear" w:color="FFFFFF" w:fill="FFFFFF"/>
      <w:spacing w:before="100" w:beforeAutospacing="1" w:after="100" w:afterAutospacing="1" w:line="240" w:lineRule="auto"/>
      <w:jc w:val="right"/>
      <w:textAlignment w:val="center"/>
    </w:pPr>
    <w:rPr>
      <w:rFonts w:ascii="Calibri Light" w:eastAsia="Times New Roman" w:hAnsi="Calibri Light" w:cs="Calibri Light"/>
      <w:color w:val="000000"/>
      <w:sz w:val="12"/>
      <w:szCs w:val="12"/>
      <w:lang w:eastAsia="en-GB"/>
    </w:rPr>
  </w:style>
  <w:style w:type="paragraph" w:customStyle="1" w:styleId="xl93">
    <w:name w:val="xl93"/>
    <w:basedOn w:val="Normal"/>
    <w:rsid w:val="000154A5"/>
    <w:pPr>
      <w:pBdr>
        <w:top w:val="single" w:sz="4" w:space="0" w:color="696969"/>
        <w:left w:val="single" w:sz="4" w:space="0" w:color="696969"/>
        <w:bottom w:val="single" w:sz="4" w:space="0" w:color="696969"/>
      </w:pBdr>
      <w:shd w:val="clear" w:color="EAF1FB" w:fill="EAF1FB"/>
      <w:spacing w:before="100" w:beforeAutospacing="1" w:after="100" w:afterAutospacing="1" w:line="240" w:lineRule="auto"/>
      <w:jc w:val="right"/>
      <w:textAlignment w:val="center"/>
    </w:pPr>
    <w:rPr>
      <w:rFonts w:ascii="Calibri Light" w:eastAsia="Times New Roman" w:hAnsi="Calibri Light" w:cs="Calibri Light"/>
      <w:color w:val="000000"/>
      <w:sz w:val="12"/>
      <w:szCs w:val="12"/>
      <w:lang w:eastAsia="en-GB"/>
    </w:rPr>
  </w:style>
  <w:style w:type="paragraph" w:customStyle="1" w:styleId="xl94">
    <w:name w:val="xl94"/>
    <w:basedOn w:val="Normal"/>
    <w:rsid w:val="000154A5"/>
    <w:pPr>
      <w:pBdr>
        <w:top w:val="single" w:sz="4" w:space="0" w:color="auto"/>
        <w:left w:val="single" w:sz="4" w:space="0" w:color="auto"/>
        <w:bottom w:val="single" w:sz="4" w:space="0" w:color="auto"/>
        <w:right w:val="single" w:sz="4" w:space="0" w:color="auto"/>
      </w:pBdr>
      <w:shd w:val="clear" w:color="EAF1FB" w:fill="EAF1FB"/>
      <w:spacing w:before="100" w:beforeAutospacing="1" w:after="100" w:afterAutospacing="1" w:line="240" w:lineRule="auto"/>
      <w:jc w:val="right"/>
      <w:textAlignment w:val="center"/>
    </w:pPr>
    <w:rPr>
      <w:rFonts w:ascii="Calibri Light" w:eastAsia="Times New Roman" w:hAnsi="Calibri Light" w:cs="Calibri Light"/>
      <w:color w:val="000000"/>
      <w:sz w:val="12"/>
      <w:szCs w:val="12"/>
      <w:lang w:eastAsia="en-GB"/>
    </w:rPr>
  </w:style>
  <w:style w:type="paragraph" w:customStyle="1" w:styleId="xl95">
    <w:name w:val="xl95"/>
    <w:basedOn w:val="Normal"/>
    <w:rsid w:val="000154A5"/>
    <w:pPr>
      <w:pBdr>
        <w:top w:val="single" w:sz="4" w:space="0" w:color="696969"/>
        <w:left w:val="single" w:sz="4" w:space="0" w:color="696969"/>
        <w:bottom w:val="single" w:sz="4" w:space="0" w:color="696969"/>
      </w:pBdr>
      <w:shd w:val="clear" w:color="EAF1FB" w:fill="EAF1FB"/>
      <w:spacing w:before="100" w:beforeAutospacing="1" w:after="100" w:afterAutospacing="1" w:line="240" w:lineRule="auto"/>
      <w:jc w:val="right"/>
      <w:textAlignment w:val="center"/>
    </w:pPr>
    <w:rPr>
      <w:rFonts w:ascii="Calibri Light" w:eastAsia="Times New Roman" w:hAnsi="Calibri Light" w:cs="Calibri Light"/>
      <w:color w:val="000000"/>
      <w:sz w:val="12"/>
      <w:szCs w:val="12"/>
      <w:lang w:eastAsia="en-GB"/>
    </w:rPr>
  </w:style>
  <w:style w:type="paragraph" w:customStyle="1" w:styleId="xl96">
    <w:name w:val="xl96"/>
    <w:basedOn w:val="Normal"/>
    <w:rsid w:val="000154A5"/>
    <w:pPr>
      <w:pBdr>
        <w:top w:val="single" w:sz="4" w:space="0" w:color="auto"/>
        <w:left w:val="single" w:sz="4" w:space="0" w:color="auto"/>
        <w:bottom w:val="single" w:sz="4" w:space="0" w:color="auto"/>
        <w:right w:val="single" w:sz="4" w:space="0" w:color="auto"/>
      </w:pBdr>
      <w:shd w:val="clear" w:color="EAF1FB" w:fill="EAF1FB"/>
      <w:spacing w:before="100" w:beforeAutospacing="1" w:after="100" w:afterAutospacing="1" w:line="240" w:lineRule="auto"/>
      <w:jc w:val="right"/>
      <w:textAlignment w:val="center"/>
    </w:pPr>
    <w:rPr>
      <w:rFonts w:ascii="Calibri Light" w:eastAsia="Times New Roman" w:hAnsi="Calibri Light" w:cs="Calibri Light"/>
      <w:color w:val="000000"/>
      <w:sz w:val="12"/>
      <w:szCs w:val="12"/>
      <w:lang w:eastAsia="en-GB"/>
    </w:rPr>
  </w:style>
  <w:style w:type="paragraph" w:customStyle="1" w:styleId="font5">
    <w:name w:val="font5"/>
    <w:basedOn w:val="Normal"/>
    <w:rsid w:val="000154A5"/>
    <w:pPr>
      <w:spacing w:before="100" w:beforeAutospacing="1" w:after="100" w:afterAutospacing="1" w:line="240" w:lineRule="auto"/>
    </w:pPr>
    <w:rPr>
      <w:rFonts w:ascii="Tahoma" w:eastAsia="Times New Roman" w:hAnsi="Tahoma" w:cs="Tahoma"/>
      <w:color w:val="000000"/>
      <w:sz w:val="18"/>
      <w:szCs w:val="18"/>
      <w:lang w:eastAsia="en-GB"/>
    </w:rPr>
  </w:style>
  <w:style w:type="paragraph" w:customStyle="1" w:styleId="font6">
    <w:name w:val="font6"/>
    <w:basedOn w:val="Normal"/>
    <w:rsid w:val="000154A5"/>
    <w:pPr>
      <w:spacing w:before="100" w:beforeAutospacing="1" w:after="100" w:afterAutospacing="1" w:line="240" w:lineRule="auto"/>
    </w:pPr>
    <w:rPr>
      <w:rFonts w:ascii="Tahoma" w:eastAsia="Times New Roman" w:hAnsi="Tahoma" w:cs="Tahoma"/>
      <w:b/>
      <w:bCs/>
      <w:color w:val="000000"/>
      <w:sz w:val="18"/>
      <w:szCs w:val="18"/>
      <w:lang w:eastAsia="en-GB"/>
    </w:rPr>
  </w:style>
  <w:style w:type="paragraph" w:customStyle="1" w:styleId="xl97">
    <w:name w:val="xl97"/>
    <w:basedOn w:val="Normal"/>
    <w:rsid w:val="000154A5"/>
    <w:pPr>
      <w:pBdr>
        <w:top w:val="single" w:sz="4" w:space="0" w:color="auto"/>
        <w:left w:val="single" w:sz="4" w:space="0" w:color="auto"/>
        <w:bottom w:val="single" w:sz="4" w:space="0" w:color="auto"/>
        <w:right w:val="single" w:sz="4" w:space="0" w:color="auto"/>
      </w:pBdr>
      <w:shd w:val="clear" w:color="EAF1FB" w:fill="EAF1FB"/>
      <w:spacing w:before="100" w:beforeAutospacing="1" w:after="100" w:afterAutospacing="1" w:line="240" w:lineRule="auto"/>
      <w:jc w:val="right"/>
      <w:textAlignment w:val="center"/>
    </w:pPr>
    <w:rPr>
      <w:rFonts w:ascii="Microsoft Sans Serif" w:eastAsia="Times New Roman" w:hAnsi="Microsoft Sans Serif" w:cs="Microsoft Sans Serif"/>
      <w:color w:val="000000"/>
      <w:sz w:val="17"/>
      <w:szCs w:val="17"/>
      <w:lang w:eastAsia="en-GB"/>
    </w:rPr>
  </w:style>
  <w:style w:type="paragraph" w:customStyle="1" w:styleId="xl98">
    <w:name w:val="xl98"/>
    <w:basedOn w:val="Normal"/>
    <w:rsid w:val="000154A5"/>
    <w:pPr>
      <w:pBdr>
        <w:top w:val="single" w:sz="4" w:space="0" w:color="auto"/>
        <w:left w:val="single" w:sz="4" w:space="0" w:color="auto"/>
        <w:bottom w:val="single" w:sz="4" w:space="0" w:color="auto"/>
        <w:right w:val="single" w:sz="4" w:space="0" w:color="auto"/>
      </w:pBdr>
      <w:shd w:val="clear" w:color="000000" w:fill="EAF1FB"/>
      <w:spacing w:before="100" w:beforeAutospacing="1" w:after="100" w:afterAutospacing="1" w:line="240" w:lineRule="auto"/>
      <w:jc w:val="center"/>
      <w:textAlignment w:val="center"/>
    </w:pPr>
    <w:rPr>
      <w:rFonts w:ascii="Calibri Light" w:eastAsia="Times New Roman" w:hAnsi="Calibri Light" w:cs="Calibri Light"/>
      <w:b/>
      <w:bCs/>
      <w:color w:val="000000"/>
      <w:sz w:val="16"/>
      <w:szCs w:val="16"/>
      <w:lang w:eastAsia="en-GB"/>
    </w:rPr>
  </w:style>
  <w:style w:type="table" w:customStyle="1" w:styleId="PlainTable51">
    <w:name w:val="Plain Table 51"/>
    <w:basedOn w:val="TableNormal"/>
    <w:uiPriority w:val="45"/>
    <w:rsid w:val="00DB34B1"/>
    <w:pPr>
      <w:spacing w:after="0" w:line="240" w:lineRule="auto"/>
    </w:pPr>
    <w:rPr>
      <w:lang w:val="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UnresolvedMention2">
    <w:name w:val="Unresolved Mention2"/>
    <w:basedOn w:val="DefaultParagraphFont"/>
    <w:uiPriority w:val="99"/>
    <w:semiHidden/>
    <w:unhideWhenUsed/>
    <w:rsid w:val="000C7A7C"/>
    <w:rPr>
      <w:color w:val="605E5C"/>
      <w:shd w:val="clear" w:color="auto" w:fill="E1DFDD"/>
    </w:rPr>
  </w:style>
  <w:style w:type="character" w:styleId="PlaceholderText">
    <w:name w:val="Placeholder Text"/>
    <w:basedOn w:val="DefaultParagraphFont"/>
    <w:uiPriority w:val="99"/>
    <w:semiHidden/>
    <w:rsid w:val="005126F3"/>
    <w:rPr>
      <w:color w:val="808080"/>
    </w:rPr>
  </w:style>
  <w:style w:type="character" w:customStyle="1" w:styleId="CommentSubjectChar1">
    <w:name w:val="Comment Subject Char1"/>
    <w:basedOn w:val="CommentTextChar"/>
    <w:uiPriority w:val="99"/>
    <w:semiHidden/>
    <w:rsid w:val="00877ABD"/>
    <w:rPr>
      <w:rFonts w:ascii="Times New Roman" w:eastAsia="Times New Roman" w:hAnsi="Times New Roman" w:cs="Times New Roman"/>
      <w:b/>
      <w:bCs/>
      <w:sz w:val="20"/>
      <w:szCs w:val="20"/>
      <w:lang w:val="en-GB"/>
    </w:rPr>
  </w:style>
  <w:style w:type="character" w:customStyle="1" w:styleId="UnresolvedMention3">
    <w:name w:val="Unresolved Mention3"/>
    <w:basedOn w:val="DefaultParagraphFont"/>
    <w:uiPriority w:val="99"/>
    <w:semiHidden/>
    <w:unhideWhenUsed/>
    <w:rsid w:val="00E877DE"/>
    <w:rPr>
      <w:color w:val="605E5C"/>
      <w:shd w:val="clear" w:color="auto" w:fill="E1DFDD"/>
    </w:rPr>
  </w:style>
  <w:style w:type="paragraph" w:customStyle="1" w:styleId="TableContents">
    <w:name w:val="Table Contents"/>
    <w:basedOn w:val="Normal"/>
    <w:qFormat/>
    <w:rsid w:val="007A2EC6"/>
    <w:pPr>
      <w:widowControl w:val="0"/>
      <w:suppressLineNumbers/>
      <w:suppressAutoHyphens/>
      <w:spacing w:after="0" w:line="240" w:lineRule="auto"/>
    </w:pPr>
    <w:rPr>
      <w:rFonts w:ascii="Times New Roman" w:eastAsia="NSimSun" w:hAnsi="Times New Roman" w:cs="Mangal"/>
      <w:kern w:val="2"/>
      <w:sz w:val="28"/>
      <w:szCs w:val="24"/>
      <w:lang w:eastAsia="zh-CN" w:bidi="hi-IN"/>
    </w:rPr>
  </w:style>
  <w:style w:type="character" w:customStyle="1" w:styleId="UnresolvedMention30">
    <w:name w:val="Unresolved Mention3"/>
    <w:basedOn w:val="DefaultParagraphFont"/>
    <w:uiPriority w:val="99"/>
    <w:semiHidden/>
    <w:unhideWhenUsed/>
    <w:rsid w:val="002A1A23"/>
    <w:rPr>
      <w:color w:val="605E5C"/>
      <w:shd w:val="clear" w:color="auto" w:fill="E1DFDD"/>
    </w:rPr>
  </w:style>
  <w:style w:type="paragraph" w:customStyle="1" w:styleId="1tekst">
    <w:name w:val="_1tekst"/>
    <w:basedOn w:val="Normal"/>
    <w:rsid w:val="002A1A23"/>
    <w:pPr>
      <w:spacing w:after="0" w:line="240" w:lineRule="auto"/>
      <w:ind w:left="150" w:right="150" w:firstLine="240"/>
      <w:jc w:val="both"/>
    </w:pPr>
    <w:rPr>
      <w:rFonts w:ascii="Tahoma" w:eastAsia="Times New Roman" w:hAnsi="Tahoma" w:cs="Tahoma"/>
      <w:sz w:val="23"/>
      <w:szCs w:val="23"/>
      <w:lang w:val="sr-Latn-RS" w:eastAsia="sr-Latn-RS"/>
    </w:rPr>
  </w:style>
  <w:style w:type="paragraph" w:styleId="HTMLPreformatted">
    <w:name w:val="HTML Preformatted"/>
    <w:basedOn w:val="Normal"/>
    <w:link w:val="HTMLPreformattedChar"/>
    <w:uiPriority w:val="99"/>
    <w:semiHidden/>
    <w:unhideWhenUsed/>
    <w:rsid w:val="00854ADA"/>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54ADA"/>
    <w:rPr>
      <w:rFonts w:ascii="Consolas" w:hAnsi="Consolas"/>
      <w:sz w:val="20"/>
      <w:szCs w:val="20"/>
    </w:rPr>
  </w:style>
  <w:style w:type="table" w:customStyle="1" w:styleId="TableGrid1">
    <w:name w:val="Table Grid1"/>
    <w:basedOn w:val="TableNormal"/>
    <w:next w:val="TableGrid"/>
    <w:uiPriority w:val="39"/>
    <w:rsid w:val="0090350F"/>
    <w:pPr>
      <w:spacing w:after="0" w:line="240" w:lineRule="auto"/>
    </w:pPr>
    <w:rPr>
      <w:rFonts w:eastAsiaTheme="minorEastAsia"/>
      <w:sz w:val="24"/>
      <w:szCs w:val="24"/>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B7219"/>
  </w:style>
  <w:style w:type="paragraph" w:styleId="EndnoteText">
    <w:name w:val="endnote text"/>
    <w:basedOn w:val="Normal"/>
    <w:link w:val="EndnoteTextChar"/>
    <w:uiPriority w:val="99"/>
    <w:semiHidden/>
    <w:unhideWhenUsed/>
    <w:rsid w:val="0012644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126449"/>
    <w:rPr>
      <w:sz w:val="20"/>
      <w:szCs w:val="20"/>
      <w:lang w:val="sr-Cyrl-RS"/>
    </w:rPr>
  </w:style>
  <w:style w:type="character" w:styleId="EndnoteReference">
    <w:name w:val="endnote reference"/>
    <w:basedOn w:val="DefaultParagraphFont"/>
    <w:uiPriority w:val="99"/>
    <w:semiHidden/>
    <w:unhideWhenUsed/>
    <w:rsid w:val="00126449"/>
    <w:rPr>
      <w:vertAlign w:val="superscript"/>
    </w:rPr>
  </w:style>
  <w:style w:type="character" w:styleId="UnresolvedMention">
    <w:name w:val="Unresolved Mention"/>
    <w:basedOn w:val="DefaultParagraphFont"/>
    <w:uiPriority w:val="99"/>
    <w:semiHidden/>
    <w:unhideWhenUsed/>
    <w:rsid w:val="00ED416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79678">
      <w:bodyDiv w:val="1"/>
      <w:marLeft w:val="0"/>
      <w:marRight w:val="0"/>
      <w:marTop w:val="0"/>
      <w:marBottom w:val="0"/>
      <w:divBdr>
        <w:top w:val="none" w:sz="0" w:space="0" w:color="auto"/>
        <w:left w:val="none" w:sz="0" w:space="0" w:color="auto"/>
        <w:bottom w:val="none" w:sz="0" w:space="0" w:color="auto"/>
        <w:right w:val="none" w:sz="0" w:space="0" w:color="auto"/>
      </w:divBdr>
    </w:div>
    <w:div w:id="30615662">
      <w:bodyDiv w:val="1"/>
      <w:marLeft w:val="0"/>
      <w:marRight w:val="0"/>
      <w:marTop w:val="0"/>
      <w:marBottom w:val="0"/>
      <w:divBdr>
        <w:top w:val="none" w:sz="0" w:space="0" w:color="auto"/>
        <w:left w:val="none" w:sz="0" w:space="0" w:color="auto"/>
        <w:bottom w:val="none" w:sz="0" w:space="0" w:color="auto"/>
        <w:right w:val="none" w:sz="0" w:space="0" w:color="auto"/>
      </w:divBdr>
    </w:div>
    <w:div w:id="32655861">
      <w:bodyDiv w:val="1"/>
      <w:marLeft w:val="0"/>
      <w:marRight w:val="0"/>
      <w:marTop w:val="0"/>
      <w:marBottom w:val="0"/>
      <w:divBdr>
        <w:top w:val="none" w:sz="0" w:space="0" w:color="auto"/>
        <w:left w:val="none" w:sz="0" w:space="0" w:color="auto"/>
        <w:bottom w:val="none" w:sz="0" w:space="0" w:color="auto"/>
        <w:right w:val="none" w:sz="0" w:space="0" w:color="auto"/>
      </w:divBdr>
    </w:div>
    <w:div w:id="39135820">
      <w:bodyDiv w:val="1"/>
      <w:marLeft w:val="0"/>
      <w:marRight w:val="0"/>
      <w:marTop w:val="0"/>
      <w:marBottom w:val="0"/>
      <w:divBdr>
        <w:top w:val="none" w:sz="0" w:space="0" w:color="auto"/>
        <w:left w:val="none" w:sz="0" w:space="0" w:color="auto"/>
        <w:bottom w:val="none" w:sz="0" w:space="0" w:color="auto"/>
        <w:right w:val="none" w:sz="0" w:space="0" w:color="auto"/>
      </w:divBdr>
    </w:div>
    <w:div w:id="42487418">
      <w:bodyDiv w:val="1"/>
      <w:marLeft w:val="0"/>
      <w:marRight w:val="0"/>
      <w:marTop w:val="0"/>
      <w:marBottom w:val="0"/>
      <w:divBdr>
        <w:top w:val="none" w:sz="0" w:space="0" w:color="auto"/>
        <w:left w:val="none" w:sz="0" w:space="0" w:color="auto"/>
        <w:bottom w:val="none" w:sz="0" w:space="0" w:color="auto"/>
        <w:right w:val="none" w:sz="0" w:space="0" w:color="auto"/>
      </w:divBdr>
    </w:div>
    <w:div w:id="42796153">
      <w:bodyDiv w:val="1"/>
      <w:marLeft w:val="0"/>
      <w:marRight w:val="0"/>
      <w:marTop w:val="0"/>
      <w:marBottom w:val="0"/>
      <w:divBdr>
        <w:top w:val="none" w:sz="0" w:space="0" w:color="auto"/>
        <w:left w:val="none" w:sz="0" w:space="0" w:color="auto"/>
        <w:bottom w:val="none" w:sz="0" w:space="0" w:color="auto"/>
        <w:right w:val="none" w:sz="0" w:space="0" w:color="auto"/>
      </w:divBdr>
    </w:div>
    <w:div w:id="45569353">
      <w:bodyDiv w:val="1"/>
      <w:marLeft w:val="0"/>
      <w:marRight w:val="0"/>
      <w:marTop w:val="0"/>
      <w:marBottom w:val="0"/>
      <w:divBdr>
        <w:top w:val="none" w:sz="0" w:space="0" w:color="auto"/>
        <w:left w:val="none" w:sz="0" w:space="0" w:color="auto"/>
        <w:bottom w:val="none" w:sz="0" w:space="0" w:color="auto"/>
        <w:right w:val="none" w:sz="0" w:space="0" w:color="auto"/>
      </w:divBdr>
    </w:div>
    <w:div w:id="53552034">
      <w:bodyDiv w:val="1"/>
      <w:marLeft w:val="0"/>
      <w:marRight w:val="0"/>
      <w:marTop w:val="0"/>
      <w:marBottom w:val="0"/>
      <w:divBdr>
        <w:top w:val="none" w:sz="0" w:space="0" w:color="auto"/>
        <w:left w:val="none" w:sz="0" w:space="0" w:color="auto"/>
        <w:bottom w:val="none" w:sz="0" w:space="0" w:color="auto"/>
        <w:right w:val="none" w:sz="0" w:space="0" w:color="auto"/>
      </w:divBdr>
    </w:div>
    <w:div w:id="59838083">
      <w:bodyDiv w:val="1"/>
      <w:marLeft w:val="0"/>
      <w:marRight w:val="0"/>
      <w:marTop w:val="0"/>
      <w:marBottom w:val="0"/>
      <w:divBdr>
        <w:top w:val="none" w:sz="0" w:space="0" w:color="auto"/>
        <w:left w:val="none" w:sz="0" w:space="0" w:color="auto"/>
        <w:bottom w:val="none" w:sz="0" w:space="0" w:color="auto"/>
        <w:right w:val="none" w:sz="0" w:space="0" w:color="auto"/>
      </w:divBdr>
    </w:div>
    <w:div w:id="61415266">
      <w:bodyDiv w:val="1"/>
      <w:marLeft w:val="0"/>
      <w:marRight w:val="0"/>
      <w:marTop w:val="0"/>
      <w:marBottom w:val="0"/>
      <w:divBdr>
        <w:top w:val="none" w:sz="0" w:space="0" w:color="auto"/>
        <w:left w:val="none" w:sz="0" w:space="0" w:color="auto"/>
        <w:bottom w:val="none" w:sz="0" w:space="0" w:color="auto"/>
        <w:right w:val="none" w:sz="0" w:space="0" w:color="auto"/>
      </w:divBdr>
    </w:div>
    <w:div w:id="64300275">
      <w:bodyDiv w:val="1"/>
      <w:marLeft w:val="0"/>
      <w:marRight w:val="0"/>
      <w:marTop w:val="0"/>
      <w:marBottom w:val="0"/>
      <w:divBdr>
        <w:top w:val="none" w:sz="0" w:space="0" w:color="auto"/>
        <w:left w:val="none" w:sz="0" w:space="0" w:color="auto"/>
        <w:bottom w:val="none" w:sz="0" w:space="0" w:color="auto"/>
        <w:right w:val="none" w:sz="0" w:space="0" w:color="auto"/>
      </w:divBdr>
    </w:div>
    <w:div w:id="64692380">
      <w:bodyDiv w:val="1"/>
      <w:marLeft w:val="0"/>
      <w:marRight w:val="0"/>
      <w:marTop w:val="0"/>
      <w:marBottom w:val="0"/>
      <w:divBdr>
        <w:top w:val="none" w:sz="0" w:space="0" w:color="auto"/>
        <w:left w:val="none" w:sz="0" w:space="0" w:color="auto"/>
        <w:bottom w:val="none" w:sz="0" w:space="0" w:color="auto"/>
        <w:right w:val="none" w:sz="0" w:space="0" w:color="auto"/>
      </w:divBdr>
    </w:div>
    <w:div w:id="68158006">
      <w:bodyDiv w:val="1"/>
      <w:marLeft w:val="0"/>
      <w:marRight w:val="0"/>
      <w:marTop w:val="0"/>
      <w:marBottom w:val="0"/>
      <w:divBdr>
        <w:top w:val="none" w:sz="0" w:space="0" w:color="auto"/>
        <w:left w:val="none" w:sz="0" w:space="0" w:color="auto"/>
        <w:bottom w:val="none" w:sz="0" w:space="0" w:color="auto"/>
        <w:right w:val="none" w:sz="0" w:space="0" w:color="auto"/>
      </w:divBdr>
    </w:div>
    <w:div w:id="69542024">
      <w:bodyDiv w:val="1"/>
      <w:marLeft w:val="0"/>
      <w:marRight w:val="0"/>
      <w:marTop w:val="0"/>
      <w:marBottom w:val="0"/>
      <w:divBdr>
        <w:top w:val="none" w:sz="0" w:space="0" w:color="auto"/>
        <w:left w:val="none" w:sz="0" w:space="0" w:color="auto"/>
        <w:bottom w:val="none" w:sz="0" w:space="0" w:color="auto"/>
        <w:right w:val="none" w:sz="0" w:space="0" w:color="auto"/>
      </w:divBdr>
    </w:div>
    <w:div w:id="72360416">
      <w:bodyDiv w:val="1"/>
      <w:marLeft w:val="0"/>
      <w:marRight w:val="0"/>
      <w:marTop w:val="0"/>
      <w:marBottom w:val="0"/>
      <w:divBdr>
        <w:top w:val="none" w:sz="0" w:space="0" w:color="auto"/>
        <w:left w:val="none" w:sz="0" w:space="0" w:color="auto"/>
        <w:bottom w:val="none" w:sz="0" w:space="0" w:color="auto"/>
        <w:right w:val="none" w:sz="0" w:space="0" w:color="auto"/>
      </w:divBdr>
    </w:div>
    <w:div w:id="74515281">
      <w:bodyDiv w:val="1"/>
      <w:marLeft w:val="0"/>
      <w:marRight w:val="0"/>
      <w:marTop w:val="0"/>
      <w:marBottom w:val="0"/>
      <w:divBdr>
        <w:top w:val="none" w:sz="0" w:space="0" w:color="auto"/>
        <w:left w:val="none" w:sz="0" w:space="0" w:color="auto"/>
        <w:bottom w:val="none" w:sz="0" w:space="0" w:color="auto"/>
        <w:right w:val="none" w:sz="0" w:space="0" w:color="auto"/>
      </w:divBdr>
    </w:div>
    <w:div w:id="82456306">
      <w:bodyDiv w:val="1"/>
      <w:marLeft w:val="0"/>
      <w:marRight w:val="0"/>
      <w:marTop w:val="0"/>
      <w:marBottom w:val="0"/>
      <w:divBdr>
        <w:top w:val="none" w:sz="0" w:space="0" w:color="auto"/>
        <w:left w:val="none" w:sz="0" w:space="0" w:color="auto"/>
        <w:bottom w:val="none" w:sz="0" w:space="0" w:color="auto"/>
        <w:right w:val="none" w:sz="0" w:space="0" w:color="auto"/>
      </w:divBdr>
    </w:div>
    <w:div w:id="83035495">
      <w:bodyDiv w:val="1"/>
      <w:marLeft w:val="0"/>
      <w:marRight w:val="0"/>
      <w:marTop w:val="0"/>
      <w:marBottom w:val="0"/>
      <w:divBdr>
        <w:top w:val="none" w:sz="0" w:space="0" w:color="auto"/>
        <w:left w:val="none" w:sz="0" w:space="0" w:color="auto"/>
        <w:bottom w:val="none" w:sz="0" w:space="0" w:color="auto"/>
        <w:right w:val="none" w:sz="0" w:space="0" w:color="auto"/>
      </w:divBdr>
    </w:div>
    <w:div w:id="91827437">
      <w:bodyDiv w:val="1"/>
      <w:marLeft w:val="0"/>
      <w:marRight w:val="0"/>
      <w:marTop w:val="0"/>
      <w:marBottom w:val="0"/>
      <w:divBdr>
        <w:top w:val="none" w:sz="0" w:space="0" w:color="auto"/>
        <w:left w:val="none" w:sz="0" w:space="0" w:color="auto"/>
        <w:bottom w:val="none" w:sz="0" w:space="0" w:color="auto"/>
        <w:right w:val="none" w:sz="0" w:space="0" w:color="auto"/>
      </w:divBdr>
    </w:div>
    <w:div w:id="93215492">
      <w:bodyDiv w:val="1"/>
      <w:marLeft w:val="0"/>
      <w:marRight w:val="0"/>
      <w:marTop w:val="0"/>
      <w:marBottom w:val="0"/>
      <w:divBdr>
        <w:top w:val="none" w:sz="0" w:space="0" w:color="auto"/>
        <w:left w:val="none" w:sz="0" w:space="0" w:color="auto"/>
        <w:bottom w:val="none" w:sz="0" w:space="0" w:color="auto"/>
        <w:right w:val="none" w:sz="0" w:space="0" w:color="auto"/>
      </w:divBdr>
    </w:div>
    <w:div w:id="94400547">
      <w:bodyDiv w:val="1"/>
      <w:marLeft w:val="0"/>
      <w:marRight w:val="0"/>
      <w:marTop w:val="0"/>
      <w:marBottom w:val="0"/>
      <w:divBdr>
        <w:top w:val="none" w:sz="0" w:space="0" w:color="auto"/>
        <w:left w:val="none" w:sz="0" w:space="0" w:color="auto"/>
        <w:bottom w:val="none" w:sz="0" w:space="0" w:color="auto"/>
        <w:right w:val="none" w:sz="0" w:space="0" w:color="auto"/>
      </w:divBdr>
    </w:div>
    <w:div w:id="98916666">
      <w:bodyDiv w:val="1"/>
      <w:marLeft w:val="0"/>
      <w:marRight w:val="0"/>
      <w:marTop w:val="0"/>
      <w:marBottom w:val="0"/>
      <w:divBdr>
        <w:top w:val="none" w:sz="0" w:space="0" w:color="auto"/>
        <w:left w:val="none" w:sz="0" w:space="0" w:color="auto"/>
        <w:bottom w:val="none" w:sz="0" w:space="0" w:color="auto"/>
        <w:right w:val="none" w:sz="0" w:space="0" w:color="auto"/>
      </w:divBdr>
    </w:div>
    <w:div w:id="100341973">
      <w:bodyDiv w:val="1"/>
      <w:marLeft w:val="0"/>
      <w:marRight w:val="0"/>
      <w:marTop w:val="0"/>
      <w:marBottom w:val="0"/>
      <w:divBdr>
        <w:top w:val="none" w:sz="0" w:space="0" w:color="auto"/>
        <w:left w:val="none" w:sz="0" w:space="0" w:color="auto"/>
        <w:bottom w:val="none" w:sz="0" w:space="0" w:color="auto"/>
        <w:right w:val="none" w:sz="0" w:space="0" w:color="auto"/>
      </w:divBdr>
    </w:div>
    <w:div w:id="105733543">
      <w:bodyDiv w:val="1"/>
      <w:marLeft w:val="0"/>
      <w:marRight w:val="0"/>
      <w:marTop w:val="0"/>
      <w:marBottom w:val="0"/>
      <w:divBdr>
        <w:top w:val="none" w:sz="0" w:space="0" w:color="auto"/>
        <w:left w:val="none" w:sz="0" w:space="0" w:color="auto"/>
        <w:bottom w:val="none" w:sz="0" w:space="0" w:color="auto"/>
        <w:right w:val="none" w:sz="0" w:space="0" w:color="auto"/>
      </w:divBdr>
    </w:div>
    <w:div w:id="109977924">
      <w:bodyDiv w:val="1"/>
      <w:marLeft w:val="0"/>
      <w:marRight w:val="0"/>
      <w:marTop w:val="0"/>
      <w:marBottom w:val="0"/>
      <w:divBdr>
        <w:top w:val="none" w:sz="0" w:space="0" w:color="auto"/>
        <w:left w:val="none" w:sz="0" w:space="0" w:color="auto"/>
        <w:bottom w:val="none" w:sz="0" w:space="0" w:color="auto"/>
        <w:right w:val="none" w:sz="0" w:space="0" w:color="auto"/>
      </w:divBdr>
    </w:div>
    <w:div w:id="113404718">
      <w:bodyDiv w:val="1"/>
      <w:marLeft w:val="0"/>
      <w:marRight w:val="0"/>
      <w:marTop w:val="0"/>
      <w:marBottom w:val="0"/>
      <w:divBdr>
        <w:top w:val="none" w:sz="0" w:space="0" w:color="auto"/>
        <w:left w:val="none" w:sz="0" w:space="0" w:color="auto"/>
        <w:bottom w:val="none" w:sz="0" w:space="0" w:color="auto"/>
        <w:right w:val="none" w:sz="0" w:space="0" w:color="auto"/>
      </w:divBdr>
    </w:div>
    <w:div w:id="115560688">
      <w:bodyDiv w:val="1"/>
      <w:marLeft w:val="0"/>
      <w:marRight w:val="0"/>
      <w:marTop w:val="0"/>
      <w:marBottom w:val="0"/>
      <w:divBdr>
        <w:top w:val="none" w:sz="0" w:space="0" w:color="auto"/>
        <w:left w:val="none" w:sz="0" w:space="0" w:color="auto"/>
        <w:bottom w:val="none" w:sz="0" w:space="0" w:color="auto"/>
        <w:right w:val="none" w:sz="0" w:space="0" w:color="auto"/>
      </w:divBdr>
    </w:div>
    <w:div w:id="123305975">
      <w:bodyDiv w:val="1"/>
      <w:marLeft w:val="0"/>
      <w:marRight w:val="0"/>
      <w:marTop w:val="0"/>
      <w:marBottom w:val="0"/>
      <w:divBdr>
        <w:top w:val="none" w:sz="0" w:space="0" w:color="auto"/>
        <w:left w:val="none" w:sz="0" w:space="0" w:color="auto"/>
        <w:bottom w:val="none" w:sz="0" w:space="0" w:color="auto"/>
        <w:right w:val="none" w:sz="0" w:space="0" w:color="auto"/>
      </w:divBdr>
    </w:div>
    <w:div w:id="127090137">
      <w:bodyDiv w:val="1"/>
      <w:marLeft w:val="0"/>
      <w:marRight w:val="0"/>
      <w:marTop w:val="0"/>
      <w:marBottom w:val="0"/>
      <w:divBdr>
        <w:top w:val="none" w:sz="0" w:space="0" w:color="auto"/>
        <w:left w:val="none" w:sz="0" w:space="0" w:color="auto"/>
        <w:bottom w:val="none" w:sz="0" w:space="0" w:color="auto"/>
        <w:right w:val="none" w:sz="0" w:space="0" w:color="auto"/>
      </w:divBdr>
    </w:div>
    <w:div w:id="139347525">
      <w:bodyDiv w:val="1"/>
      <w:marLeft w:val="0"/>
      <w:marRight w:val="0"/>
      <w:marTop w:val="0"/>
      <w:marBottom w:val="0"/>
      <w:divBdr>
        <w:top w:val="none" w:sz="0" w:space="0" w:color="auto"/>
        <w:left w:val="none" w:sz="0" w:space="0" w:color="auto"/>
        <w:bottom w:val="none" w:sz="0" w:space="0" w:color="auto"/>
        <w:right w:val="none" w:sz="0" w:space="0" w:color="auto"/>
      </w:divBdr>
    </w:div>
    <w:div w:id="147065601">
      <w:bodyDiv w:val="1"/>
      <w:marLeft w:val="0"/>
      <w:marRight w:val="0"/>
      <w:marTop w:val="0"/>
      <w:marBottom w:val="0"/>
      <w:divBdr>
        <w:top w:val="none" w:sz="0" w:space="0" w:color="auto"/>
        <w:left w:val="none" w:sz="0" w:space="0" w:color="auto"/>
        <w:bottom w:val="none" w:sz="0" w:space="0" w:color="auto"/>
        <w:right w:val="none" w:sz="0" w:space="0" w:color="auto"/>
      </w:divBdr>
    </w:div>
    <w:div w:id="152911439">
      <w:bodyDiv w:val="1"/>
      <w:marLeft w:val="0"/>
      <w:marRight w:val="0"/>
      <w:marTop w:val="0"/>
      <w:marBottom w:val="0"/>
      <w:divBdr>
        <w:top w:val="none" w:sz="0" w:space="0" w:color="auto"/>
        <w:left w:val="none" w:sz="0" w:space="0" w:color="auto"/>
        <w:bottom w:val="none" w:sz="0" w:space="0" w:color="auto"/>
        <w:right w:val="none" w:sz="0" w:space="0" w:color="auto"/>
      </w:divBdr>
    </w:div>
    <w:div w:id="162597236">
      <w:bodyDiv w:val="1"/>
      <w:marLeft w:val="0"/>
      <w:marRight w:val="0"/>
      <w:marTop w:val="0"/>
      <w:marBottom w:val="0"/>
      <w:divBdr>
        <w:top w:val="none" w:sz="0" w:space="0" w:color="auto"/>
        <w:left w:val="none" w:sz="0" w:space="0" w:color="auto"/>
        <w:bottom w:val="none" w:sz="0" w:space="0" w:color="auto"/>
        <w:right w:val="none" w:sz="0" w:space="0" w:color="auto"/>
      </w:divBdr>
    </w:div>
    <w:div w:id="178009387">
      <w:bodyDiv w:val="1"/>
      <w:marLeft w:val="0"/>
      <w:marRight w:val="0"/>
      <w:marTop w:val="0"/>
      <w:marBottom w:val="0"/>
      <w:divBdr>
        <w:top w:val="none" w:sz="0" w:space="0" w:color="auto"/>
        <w:left w:val="none" w:sz="0" w:space="0" w:color="auto"/>
        <w:bottom w:val="none" w:sz="0" w:space="0" w:color="auto"/>
        <w:right w:val="none" w:sz="0" w:space="0" w:color="auto"/>
      </w:divBdr>
    </w:div>
    <w:div w:id="179970631">
      <w:bodyDiv w:val="1"/>
      <w:marLeft w:val="0"/>
      <w:marRight w:val="0"/>
      <w:marTop w:val="0"/>
      <w:marBottom w:val="0"/>
      <w:divBdr>
        <w:top w:val="none" w:sz="0" w:space="0" w:color="auto"/>
        <w:left w:val="none" w:sz="0" w:space="0" w:color="auto"/>
        <w:bottom w:val="none" w:sz="0" w:space="0" w:color="auto"/>
        <w:right w:val="none" w:sz="0" w:space="0" w:color="auto"/>
      </w:divBdr>
    </w:div>
    <w:div w:id="181168666">
      <w:bodyDiv w:val="1"/>
      <w:marLeft w:val="0"/>
      <w:marRight w:val="0"/>
      <w:marTop w:val="0"/>
      <w:marBottom w:val="0"/>
      <w:divBdr>
        <w:top w:val="none" w:sz="0" w:space="0" w:color="auto"/>
        <w:left w:val="none" w:sz="0" w:space="0" w:color="auto"/>
        <w:bottom w:val="none" w:sz="0" w:space="0" w:color="auto"/>
        <w:right w:val="none" w:sz="0" w:space="0" w:color="auto"/>
      </w:divBdr>
    </w:div>
    <w:div w:id="183443624">
      <w:bodyDiv w:val="1"/>
      <w:marLeft w:val="0"/>
      <w:marRight w:val="0"/>
      <w:marTop w:val="0"/>
      <w:marBottom w:val="0"/>
      <w:divBdr>
        <w:top w:val="none" w:sz="0" w:space="0" w:color="auto"/>
        <w:left w:val="none" w:sz="0" w:space="0" w:color="auto"/>
        <w:bottom w:val="none" w:sz="0" w:space="0" w:color="auto"/>
        <w:right w:val="none" w:sz="0" w:space="0" w:color="auto"/>
      </w:divBdr>
    </w:div>
    <w:div w:id="185683796">
      <w:bodyDiv w:val="1"/>
      <w:marLeft w:val="0"/>
      <w:marRight w:val="0"/>
      <w:marTop w:val="0"/>
      <w:marBottom w:val="0"/>
      <w:divBdr>
        <w:top w:val="none" w:sz="0" w:space="0" w:color="auto"/>
        <w:left w:val="none" w:sz="0" w:space="0" w:color="auto"/>
        <w:bottom w:val="none" w:sz="0" w:space="0" w:color="auto"/>
        <w:right w:val="none" w:sz="0" w:space="0" w:color="auto"/>
      </w:divBdr>
    </w:div>
    <w:div w:id="186215018">
      <w:bodyDiv w:val="1"/>
      <w:marLeft w:val="0"/>
      <w:marRight w:val="0"/>
      <w:marTop w:val="0"/>
      <w:marBottom w:val="0"/>
      <w:divBdr>
        <w:top w:val="none" w:sz="0" w:space="0" w:color="auto"/>
        <w:left w:val="none" w:sz="0" w:space="0" w:color="auto"/>
        <w:bottom w:val="none" w:sz="0" w:space="0" w:color="auto"/>
        <w:right w:val="none" w:sz="0" w:space="0" w:color="auto"/>
      </w:divBdr>
    </w:div>
    <w:div w:id="192228516">
      <w:bodyDiv w:val="1"/>
      <w:marLeft w:val="0"/>
      <w:marRight w:val="0"/>
      <w:marTop w:val="0"/>
      <w:marBottom w:val="0"/>
      <w:divBdr>
        <w:top w:val="none" w:sz="0" w:space="0" w:color="auto"/>
        <w:left w:val="none" w:sz="0" w:space="0" w:color="auto"/>
        <w:bottom w:val="none" w:sz="0" w:space="0" w:color="auto"/>
        <w:right w:val="none" w:sz="0" w:space="0" w:color="auto"/>
      </w:divBdr>
    </w:div>
    <w:div w:id="193228025">
      <w:bodyDiv w:val="1"/>
      <w:marLeft w:val="0"/>
      <w:marRight w:val="0"/>
      <w:marTop w:val="0"/>
      <w:marBottom w:val="0"/>
      <w:divBdr>
        <w:top w:val="none" w:sz="0" w:space="0" w:color="auto"/>
        <w:left w:val="none" w:sz="0" w:space="0" w:color="auto"/>
        <w:bottom w:val="none" w:sz="0" w:space="0" w:color="auto"/>
        <w:right w:val="none" w:sz="0" w:space="0" w:color="auto"/>
      </w:divBdr>
    </w:div>
    <w:div w:id="205527869">
      <w:bodyDiv w:val="1"/>
      <w:marLeft w:val="0"/>
      <w:marRight w:val="0"/>
      <w:marTop w:val="0"/>
      <w:marBottom w:val="0"/>
      <w:divBdr>
        <w:top w:val="none" w:sz="0" w:space="0" w:color="auto"/>
        <w:left w:val="none" w:sz="0" w:space="0" w:color="auto"/>
        <w:bottom w:val="none" w:sz="0" w:space="0" w:color="auto"/>
        <w:right w:val="none" w:sz="0" w:space="0" w:color="auto"/>
      </w:divBdr>
    </w:div>
    <w:div w:id="209849956">
      <w:bodyDiv w:val="1"/>
      <w:marLeft w:val="0"/>
      <w:marRight w:val="0"/>
      <w:marTop w:val="0"/>
      <w:marBottom w:val="0"/>
      <w:divBdr>
        <w:top w:val="none" w:sz="0" w:space="0" w:color="auto"/>
        <w:left w:val="none" w:sz="0" w:space="0" w:color="auto"/>
        <w:bottom w:val="none" w:sz="0" w:space="0" w:color="auto"/>
        <w:right w:val="none" w:sz="0" w:space="0" w:color="auto"/>
      </w:divBdr>
    </w:div>
    <w:div w:id="217405100">
      <w:bodyDiv w:val="1"/>
      <w:marLeft w:val="0"/>
      <w:marRight w:val="0"/>
      <w:marTop w:val="0"/>
      <w:marBottom w:val="0"/>
      <w:divBdr>
        <w:top w:val="none" w:sz="0" w:space="0" w:color="auto"/>
        <w:left w:val="none" w:sz="0" w:space="0" w:color="auto"/>
        <w:bottom w:val="none" w:sz="0" w:space="0" w:color="auto"/>
        <w:right w:val="none" w:sz="0" w:space="0" w:color="auto"/>
      </w:divBdr>
    </w:div>
    <w:div w:id="236979157">
      <w:bodyDiv w:val="1"/>
      <w:marLeft w:val="0"/>
      <w:marRight w:val="0"/>
      <w:marTop w:val="0"/>
      <w:marBottom w:val="0"/>
      <w:divBdr>
        <w:top w:val="none" w:sz="0" w:space="0" w:color="auto"/>
        <w:left w:val="none" w:sz="0" w:space="0" w:color="auto"/>
        <w:bottom w:val="none" w:sz="0" w:space="0" w:color="auto"/>
        <w:right w:val="none" w:sz="0" w:space="0" w:color="auto"/>
      </w:divBdr>
    </w:div>
    <w:div w:id="239288613">
      <w:bodyDiv w:val="1"/>
      <w:marLeft w:val="0"/>
      <w:marRight w:val="0"/>
      <w:marTop w:val="0"/>
      <w:marBottom w:val="0"/>
      <w:divBdr>
        <w:top w:val="none" w:sz="0" w:space="0" w:color="auto"/>
        <w:left w:val="none" w:sz="0" w:space="0" w:color="auto"/>
        <w:bottom w:val="none" w:sz="0" w:space="0" w:color="auto"/>
        <w:right w:val="none" w:sz="0" w:space="0" w:color="auto"/>
      </w:divBdr>
    </w:div>
    <w:div w:id="242688276">
      <w:bodyDiv w:val="1"/>
      <w:marLeft w:val="0"/>
      <w:marRight w:val="0"/>
      <w:marTop w:val="0"/>
      <w:marBottom w:val="0"/>
      <w:divBdr>
        <w:top w:val="none" w:sz="0" w:space="0" w:color="auto"/>
        <w:left w:val="none" w:sz="0" w:space="0" w:color="auto"/>
        <w:bottom w:val="none" w:sz="0" w:space="0" w:color="auto"/>
        <w:right w:val="none" w:sz="0" w:space="0" w:color="auto"/>
      </w:divBdr>
    </w:div>
    <w:div w:id="244187584">
      <w:bodyDiv w:val="1"/>
      <w:marLeft w:val="0"/>
      <w:marRight w:val="0"/>
      <w:marTop w:val="0"/>
      <w:marBottom w:val="0"/>
      <w:divBdr>
        <w:top w:val="none" w:sz="0" w:space="0" w:color="auto"/>
        <w:left w:val="none" w:sz="0" w:space="0" w:color="auto"/>
        <w:bottom w:val="none" w:sz="0" w:space="0" w:color="auto"/>
        <w:right w:val="none" w:sz="0" w:space="0" w:color="auto"/>
      </w:divBdr>
    </w:div>
    <w:div w:id="245847575">
      <w:bodyDiv w:val="1"/>
      <w:marLeft w:val="0"/>
      <w:marRight w:val="0"/>
      <w:marTop w:val="0"/>
      <w:marBottom w:val="0"/>
      <w:divBdr>
        <w:top w:val="none" w:sz="0" w:space="0" w:color="auto"/>
        <w:left w:val="none" w:sz="0" w:space="0" w:color="auto"/>
        <w:bottom w:val="none" w:sz="0" w:space="0" w:color="auto"/>
        <w:right w:val="none" w:sz="0" w:space="0" w:color="auto"/>
      </w:divBdr>
    </w:div>
    <w:div w:id="258952208">
      <w:bodyDiv w:val="1"/>
      <w:marLeft w:val="0"/>
      <w:marRight w:val="0"/>
      <w:marTop w:val="0"/>
      <w:marBottom w:val="0"/>
      <w:divBdr>
        <w:top w:val="none" w:sz="0" w:space="0" w:color="auto"/>
        <w:left w:val="none" w:sz="0" w:space="0" w:color="auto"/>
        <w:bottom w:val="none" w:sz="0" w:space="0" w:color="auto"/>
        <w:right w:val="none" w:sz="0" w:space="0" w:color="auto"/>
      </w:divBdr>
    </w:div>
    <w:div w:id="265233217">
      <w:bodyDiv w:val="1"/>
      <w:marLeft w:val="0"/>
      <w:marRight w:val="0"/>
      <w:marTop w:val="0"/>
      <w:marBottom w:val="0"/>
      <w:divBdr>
        <w:top w:val="none" w:sz="0" w:space="0" w:color="auto"/>
        <w:left w:val="none" w:sz="0" w:space="0" w:color="auto"/>
        <w:bottom w:val="none" w:sz="0" w:space="0" w:color="auto"/>
        <w:right w:val="none" w:sz="0" w:space="0" w:color="auto"/>
      </w:divBdr>
    </w:div>
    <w:div w:id="267661551">
      <w:bodyDiv w:val="1"/>
      <w:marLeft w:val="0"/>
      <w:marRight w:val="0"/>
      <w:marTop w:val="0"/>
      <w:marBottom w:val="0"/>
      <w:divBdr>
        <w:top w:val="none" w:sz="0" w:space="0" w:color="auto"/>
        <w:left w:val="none" w:sz="0" w:space="0" w:color="auto"/>
        <w:bottom w:val="none" w:sz="0" w:space="0" w:color="auto"/>
        <w:right w:val="none" w:sz="0" w:space="0" w:color="auto"/>
      </w:divBdr>
    </w:div>
    <w:div w:id="277689637">
      <w:bodyDiv w:val="1"/>
      <w:marLeft w:val="0"/>
      <w:marRight w:val="0"/>
      <w:marTop w:val="0"/>
      <w:marBottom w:val="0"/>
      <w:divBdr>
        <w:top w:val="none" w:sz="0" w:space="0" w:color="auto"/>
        <w:left w:val="none" w:sz="0" w:space="0" w:color="auto"/>
        <w:bottom w:val="none" w:sz="0" w:space="0" w:color="auto"/>
        <w:right w:val="none" w:sz="0" w:space="0" w:color="auto"/>
      </w:divBdr>
    </w:div>
    <w:div w:id="282615691">
      <w:bodyDiv w:val="1"/>
      <w:marLeft w:val="0"/>
      <w:marRight w:val="0"/>
      <w:marTop w:val="0"/>
      <w:marBottom w:val="0"/>
      <w:divBdr>
        <w:top w:val="none" w:sz="0" w:space="0" w:color="auto"/>
        <w:left w:val="none" w:sz="0" w:space="0" w:color="auto"/>
        <w:bottom w:val="none" w:sz="0" w:space="0" w:color="auto"/>
        <w:right w:val="none" w:sz="0" w:space="0" w:color="auto"/>
      </w:divBdr>
    </w:div>
    <w:div w:id="318508323">
      <w:bodyDiv w:val="1"/>
      <w:marLeft w:val="0"/>
      <w:marRight w:val="0"/>
      <w:marTop w:val="0"/>
      <w:marBottom w:val="0"/>
      <w:divBdr>
        <w:top w:val="none" w:sz="0" w:space="0" w:color="auto"/>
        <w:left w:val="none" w:sz="0" w:space="0" w:color="auto"/>
        <w:bottom w:val="none" w:sz="0" w:space="0" w:color="auto"/>
        <w:right w:val="none" w:sz="0" w:space="0" w:color="auto"/>
      </w:divBdr>
    </w:div>
    <w:div w:id="329674863">
      <w:bodyDiv w:val="1"/>
      <w:marLeft w:val="0"/>
      <w:marRight w:val="0"/>
      <w:marTop w:val="0"/>
      <w:marBottom w:val="0"/>
      <w:divBdr>
        <w:top w:val="none" w:sz="0" w:space="0" w:color="auto"/>
        <w:left w:val="none" w:sz="0" w:space="0" w:color="auto"/>
        <w:bottom w:val="none" w:sz="0" w:space="0" w:color="auto"/>
        <w:right w:val="none" w:sz="0" w:space="0" w:color="auto"/>
      </w:divBdr>
    </w:div>
    <w:div w:id="335773160">
      <w:bodyDiv w:val="1"/>
      <w:marLeft w:val="0"/>
      <w:marRight w:val="0"/>
      <w:marTop w:val="0"/>
      <w:marBottom w:val="0"/>
      <w:divBdr>
        <w:top w:val="none" w:sz="0" w:space="0" w:color="auto"/>
        <w:left w:val="none" w:sz="0" w:space="0" w:color="auto"/>
        <w:bottom w:val="none" w:sz="0" w:space="0" w:color="auto"/>
        <w:right w:val="none" w:sz="0" w:space="0" w:color="auto"/>
      </w:divBdr>
    </w:div>
    <w:div w:id="338898343">
      <w:bodyDiv w:val="1"/>
      <w:marLeft w:val="0"/>
      <w:marRight w:val="0"/>
      <w:marTop w:val="0"/>
      <w:marBottom w:val="0"/>
      <w:divBdr>
        <w:top w:val="none" w:sz="0" w:space="0" w:color="auto"/>
        <w:left w:val="none" w:sz="0" w:space="0" w:color="auto"/>
        <w:bottom w:val="none" w:sz="0" w:space="0" w:color="auto"/>
        <w:right w:val="none" w:sz="0" w:space="0" w:color="auto"/>
      </w:divBdr>
    </w:div>
    <w:div w:id="339240820">
      <w:bodyDiv w:val="1"/>
      <w:marLeft w:val="0"/>
      <w:marRight w:val="0"/>
      <w:marTop w:val="0"/>
      <w:marBottom w:val="0"/>
      <w:divBdr>
        <w:top w:val="none" w:sz="0" w:space="0" w:color="auto"/>
        <w:left w:val="none" w:sz="0" w:space="0" w:color="auto"/>
        <w:bottom w:val="none" w:sz="0" w:space="0" w:color="auto"/>
        <w:right w:val="none" w:sz="0" w:space="0" w:color="auto"/>
      </w:divBdr>
    </w:div>
    <w:div w:id="370956469">
      <w:bodyDiv w:val="1"/>
      <w:marLeft w:val="0"/>
      <w:marRight w:val="0"/>
      <w:marTop w:val="0"/>
      <w:marBottom w:val="0"/>
      <w:divBdr>
        <w:top w:val="none" w:sz="0" w:space="0" w:color="auto"/>
        <w:left w:val="none" w:sz="0" w:space="0" w:color="auto"/>
        <w:bottom w:val="none" w:sz="0" w:space="0" w:color="auto"/>
        <w:right w:val="none" w:sz="0" w:space="0" w:color="auto"/>
      </w:divBdr>
    </w:div>
    <w:div w:id="373970924">
      <w:bodyDiv w:val="1"/>
      <w:marLeft w:val="0"/>
      <w:marRight w:val="0"/>
      <w:marTop w:val="0"/>
      <w:marBottom w:val="0"/>
      <w:divBdr>
        <w:top w:val="none" w:sz="0" w:space="0" w:color="auto"/>
        <w:left w:val="none" w:sz="0" w:space="0" w:color="auto"/>
        <w:bottom w:val="none" w:sz="0" w:space="0" w:color="auto"/>
        <w:right w:val="none" w:sz="0" w:space="0" w:color="auto"/>
      </w:divBdr>
    </w:div>
    <w:div w:id="375741180">
      <w:bodyDiv w:val="1"/>
      <w:marLeft w:val="0"/>
      <w:marRight w:val="0"/>
      <w:marTop w:val="0"/>
      <w:marBottom w:val="0"/>
      <w:divBdr>
        <w:top w:val="none" w:sz="0" w:space="0" w:color="auto"/>
        <w:left w:val="none" w:sz="0" w:space="0" w:color="auto"/>
        <w:bottom w:val="none" w:sz="0" w:space="0" w:color="auto"/>
        <w:right w:val="none" w:sz="0" w:space="0" w:color="auto"/>
      </w:divBdr>
    </w:div>
    <w:div w:id="380177242">
      <w:bodyDiv w:val="1"/>
      <w:marLeft w:val="0"/>
      <w:marRight w:val="0"/>
      <w:marTop w:val="0"/>
      <w:marBottom w:val="0"/>
      <w:divBdr>
        <w:top w:val="none" w:sz="0" w:space="0" w:color="auto"/>
        <w:left w:val="none" w:sz="0" w:space="0" w:color="auto"/>
        <w:bottom w:val="none" w:sz="0" w:space="0" w:color="auto"/>
        <w:right w:val="none" w:sz="0" w:space="0" w:color="auto"/>
      </w:divBdr>
    </w:div>
    <w:div w:id="383725722">
      <w:bodyDiv w:val="1"/>
      <w:marLeft w:val="0"/>
      <w:marRight w:val="0"/>
      <w:marTop w:val="0"/>
      <w:marBottom w:val="0"/>
      <w:divBdr>
        <w:top w:val="none" w:sz="0" w:space="0" w:color="auto"/>
        <w:left w:val="none" w:sz="0" w:space="0" w:color="auto"/>
        <w:bottom w:val="none" w:sz="0" w:space="0" w:color="auto"/>
        <w:right w:val="none" w:sz="0" w:space="0" w:color="auto"/>
      </w:divBdr>
    </w:div>
    <w:div w:id="386147973">
      <w:bodyDiv w:val="1"/>
      <w:marLeft w:val="0"/>
      <w:marRight w:val="0"/>
      <w:marTop w:val="0"/>
      <w:marBottom w:val="0"/>
      <w:divBdr>
        <w:top w:val="none" w:sz="0" w:space="0" w:color="auto"/>
        <w:left w:val="none" w:sz="0" w:space="0" w:color="auto"/>
        <w:bottom w:val="none" w:sz="0" w:space="0" w:color="auto"/>
        <w:right w:val="none" w:sz="0" w:space="0" w:color="auto"/>
      </w:divBdr>
    </w:div>
    <w:div w:id="390158705">
      <w:bodyDiv w:val="1"/>
      <w:marLeft w:val="0"/>
      <w:marRight w:val="0"/>
      <w:marTop w:val="0"/>
      <w:marBottom w:val="0"/>
      <w:divBdr>
        <w:top w:val="none" w:sz="0" w:space="0" w:color="auto"/>
        <w:left w:val="none" w:sz="0" w:space="0" w:color="auto"/>
        <w:bottom w:val="none" w:sz="0" w:space="0" w:color="auto"/>
        <w:right w:val="none" w:sz="0" w:space="0" w:color="auto"/>
      </w:divBdr>
    </w:div>
    <w:div w:id="400366948">
      <w:bodyDiv w:val="1"/>
      <w:marLeft w:val="0"/>
      <w:marRight w:val="0"/>
      <w:marTop w:val="0"/>
      <w:marBottom w:val="0"/>
      <w:divBdr>
        <w:top w:val="none" w:sz="0" w:space="0" w:color="auto"/>
        <w:left w:val="none" w:sz="0" w:space="0" w:color="auto"/>
        <w:bottom w:val="none" w:sz="0" w:space="0" w:color="auto"/>
        <w:right w:val="none" w:sz="0" w:space="0" w:color="auto"/>
      </w:divBdr>
    </w:div>
    <w:div w:id="401680438">
      <w:bodyDiv w:val="1"/>
      <w:marLeft w:val="0"/>
      <w:marRight w:val="0"/>
      <w:marTop w:val="0"/>
      <w:marBottom w:val="0"/>
      <w:divBdr>
        <w:top w:val="none" w:sz="0" w:space="0" w:color="auto"/>
        <w:left w:val="none" w:sz="0" w:space="0" w:color="auto"/>
        <w:bottom w:val="none" w:sz="0" w:space="0" w:color="auto"/>
        <w:right w:val="none" w:sz="0" w:space="0" w:color="auto"/>
      </w:divBdr>
    </w:div>
    <w:div w:id="402684163">
      <w:bodyDiv w:val="1"/>
      <w:marLeft w:val="0"/>
      <w:marRight w:val="0"/>
      <w:marTop w:val="0"/>
      <w:marBottom w:val="0"/>
      <w:divBdr>
        <w:top w:val="none" w:sz="0" w:space="0" w:color="auto"/>
        <w:left w:val="none" w:sz="0" w:space="0" w:color="auto"/>
        <w:bottom w:val="none" w:sz="0" w:space="0" w:color="auto"/>
        <w:right w:val="none" w:sz="0" w:space="0" w:color="auto"/>
      </w:divBdr>
    </w:div>
    <w:div w:id="414522825">
      <w:bodyDiv w:val="1"/>
      <w:marLeft w:val="0"/>
      <w:marRight w:val="0"/>
      <w:marTop w:val="0"/>
      <w:marBottom w:val="0"/>
      <w:divBdr>
        <w:top w:val="none" w:sz="0" w:space="0" w:color="auto"/>
        <w:left w:val="none" w:sz="0" w:space="0" w:color="auto"/>
        <w:bottom w:val="none" w:sz="0" w:space="0" w:color="auto"/>
        <w:right w:val="none" w:sz="0" w:space="0" w:color="auto"/>
      </w:divBdr>
    </w:div>
    <w:div w:id="416169893">
      <w:bodyDiv w:val="1"/>
      <w:marLeft w:val="0"/>
      <w:marRight w:val="0"/>
      <w:marTop w:val="0"/>
      <w:marBottom w:val="0"/>
      <w:divBdr>
        <w:top w:val="none" w:sz="0" w:space="0" w:color="auto"/>
        <w:left w:val="none" w:sz="0" w:space="0" w:color="auto"/>
        <w:bottom w:val="none" w:sz="0" w:space="0" w:color="auto"/>
        <w:right w:val="none" w:sz="0" w:space="0" w:color="auto"/>
      </w:divBdr>
    </w:div>
    <w:div w:id="416486626">
      <w:bodyDiv w:val="1"/>
      <w:marLeft w:val="0"/>
      <w:marRight w:val="0"/>
      <w:marTop w:val="0"/>
      <w:marBottom w:val="0"/>
      <w:divBdr>
        <w:top w:val="none" w:sz="0" w:space="0" w:color="auto"/>
        <w:left w:val="none" w:sz="0" w:space="0" w:color="auto"/>
        <w:bottom w:val="none" w:sz="0" w:space="0" w:color="auto"/>
        <w:right w:val="none" w:sz="0" w:space="0" w:color="auto"/>
      </w:divBdr>
    </w:div>
    <w:div w:id="417099409">
      <w:bodyDiv w:val="1"/>
      <w:marLeft w:val="0"/>
      <w:marRight w:val="0"/>
      <w:marTop w:val="0"/>
      <w:marBottom w:val="0"/>
      <w:divBdr>
        <w:top w:val="none" w:sz="0" w:space="0" w:color="auto"/>
        <w:left w:val="none" w:sz="0" w:space="0" w:color="auto"/>
        <w:bottom w:val="none" w:sz="0" w:space="0" w:color="auto"/>
        <w:right w:val="none" w:sz="0" w:space="0" w:color="auto"/>
      </w:divBdr>
    </w:div>
    <w:div w:id="427579389">
      <w:bodyDiv w:val="1"/>
      <w:marLeft w:val="0"/>
      <w:marRight w:val="0"/>
      <w:marTop w:val="0"/>
      <w:marBottom w:val="0"/>
      <w:divBdr>
        <w:top w:val="none" w:sz="0" w:space="0" w:color="auto"/>
        <w:left w:val="none" w:sz="0" w:space="0" w:color="auto"/>
        <w:bottom w:val="none" w:sz="0" w:space="0" w:color="auto"/>
        <w:right w:val="none" w:sz="0" w:space="0" w:color="auto"/>
      </w:divBdr>
    </w:div>
    <w:div w:id="428045224">
      <w:bodyDiv w:val="1"/>
      <w:marLeft w:val="0"/>
      <w:marRight w:val="0"/>
      <w:marTop w:val="0"/>
      <w:marBottom w:val="0"/>
      <w:divBdr>
        <w:top w:val="none" w:sz="0" w:space="0" w:color="auto"/>
        <w:left w:val="none" w:sz="0" w:space="0" w:color="auto"/>
        <w:bottom w:val="none" w:sz="0" w:space="0" w:color="auto"/>
        <w:right w:val="none" w:sz="0" w:space="0" w:color="auto"/>
      </w:divBdr>
    </w:div>
    <w:div w:id="429667298">
      <w:bodyDiv w:val="1"/>
      <w:marLeft w:val="0"/>
      <w:marRight w:val="0"/>
      <w:marTop w:val="0"/>
      <w:marBottom w:val="0"/>
      <w:divBdr>
        <w:top w:val="none" w:sz="0" w:space="0" w:color="auto"/>
        <w:left w:val="none" w:sz="0" w:space="0" w:color="auto"/>
        <w:bottom w:val="none" w:sz="0" w:space="0" w:color="auto"/>
        <w:right w:val="none" w:sz="0" w:space="0" w:color="auto"/>
      </w:divBdr>
    </w:div>
    <w:div w:id="435758725">
      <w:bodyDiv w:val="1"/>
      <w:marLeft w:val="0"/>
      <w:marRight w:val="0"/>
      <w:marTop w:val="0"/>
      <w:marBottom w:val="0"/>
      <w:divBdr>
        <w:top w:val="none" w:sz="0" w:space="0" w:color="auto"/>
        <w:left w:val="none" w:sz="0" w:space="0" w:color="auto"/>
        <w:bottom w:val="none" w:sz="0" w:space="0" w:color="auto"/>
        <w:right w:val="none" w:sz="0" w:space="0" w:color="auto"/>
      </w:divBdr>
    </w:div>
    <w:div w:id="437137159">
      <w:bodyDiv w:val="1"/>
      <w:marLeft w:val="0"/>
      <w:marRight w:val="0"/>
      <w:marTop w:val="0"/>
      <w:marBottom w:val="0"/>
      <w:divBdr>
        <w:top w:val="none" w:sz="0" w:space="0" w:color="auto"/>
        <w:left w:val="none" w:sz="0" w:space="0" w:color="auto"/>
        <w:bottom w:val="none" w:sz="0" w:space="0" w:color="auto"/>
        <w:right w:val="none" w:sz="0" w:space="0" w:color="auto"/>
      </w:divBdr>
    </w:div>
    <w:div w:id="438525977">
      <w:bodyDiv w:val="1"/>
      <w:marLeft w:val="0"/>
      <w:marRight w:val="0"/>
      <w:marTop w:val="0"/>
      <w:marBottom w:val="0"/>
      <w:divBdr>
        <w:top w:val="none" w:sz="0" w:space="0" w:color="auto"/>
        <w:left w:val="none" w:sz="0" w:space="0" w:color="auto"/>
        <w:bottom w:val="none" w:sz="0" w:space="0" w:color="auto"/>
        <w:right w:val="none" w:sz="0" w:space="0" w:color="auto"/>
      </w:divBdr>
    </w:div>
    <w:div w:id="438648071">
      <w:bodyDiv w:val="1"/>
      <w:marLeft w:val="0"/>
      <w:marRight w:val="0"/>
      <w:marTop w:val="0"/>
      <w:marBottom w:val="0"/>
      <w:divBdr>
        <w:top w:val="none" w:sz="0" w:space="0" w:color="auto"/>
        <w:left w:val="none" w:sz="0" w:space="0" w:color="auto"/>
        <w:bottom w:val="none" w:sz="0" w:space="0" w:color="auto"/>
        <w:right w:val="none" w:sz="0" w:space="0" w:color="auto"/>
      </w:divBdr>
    </w:div>
    <w:div w:id="448816389">
      <w:bodyDiv w:val="1"/>
      <w:marLeft w:val="0"/>
      <w:marRight w:val="0"/>
      <w:marTop w:val="0"/>
      <w:marBottom w:val="0"/>
      <w:divBdr>
        <w:top w:val="none" w:sz="0" w:space="0" w:color="auto"/>
        <w:left w:val="none" w:sz="0" w:space="0" w:color="auto"/>
        <w:bottom w:val="none" w:sz="0" w:space="0" w:color="auto"/>
        <w:right w:val="none" w:sz="0" w:space="0" w:color="auto"/>
      </w:divBdr>
    </w:div>
    <w:div w:id="468472803">
      <w:bodyDiv w:val="1"/>
      <w:marLeft w:val="0"/>
      <w:marRight w:val="0"/>
      <w:marTop w:val="0"/>
      <w:marBottom w:val="0"/>
      <w:divBdr>
        <w:top w:val="none" w:sz="0" w:space="0" w:color="auto"/>
        <w:left w:val="none" w:sz="0" w:space="0" w:color="auto"/>
        <w:bottom w:val="none" w:sz="0" w:space="0" w:color="auto"/>
        <w:right w:val="none" w:sz="0" w:space="0" w:color="auto"/>
      </w:divBdr>
    </w:div>
    <w:div w:id="476845618">
      <w:bodyDiv w:val="1"/>
      <w:marLeft w:val="0"/>
      <w:marRight w:val="0"/>
      <w:marTop w:val="0"/>
      <w:marBottom w:val="0"/>
      <w:divBdr>
        <w:top w:val="none" w:sz="0" w:space="0" w:color="auto"/>
        <w:left w:val="none" w:sz="0" w:space="0" w:color="auto"/>
        <w:bottom w:val="none" w:sz="0" w:space="0" w:color="auto"/>
        <w:right w:val="none" w:sz="0" w:space="0" w:color="auto"/>
      </w:divBdr>
    </w:div>
    <w:div w:id="481123671">
      <w:bodyDiv w:val="1"/>
      <w:marLeft w:val="0"/>
      <w:marRight w:val="0"/>
      <w:marTop w:val="0"/>
      <w:marBottom w:val="0"/>
      <w:divBdr>
        <w:top w:val="none" w:sz="0" w:space="0" w:color="auto"/>
        <w:left w:val="none" w:sz="0" w:space="0" w:color="auto"/>
        <w:bottom w:val="none" w:sz="0" w:space="0" w:color="auto"/>
        <w:right w:val="none" w:sz="0" w:space="0" w:color="auto"/>
      </w:divBdr>
    </w:div>
    <w:div w:id="481504848">
      <w:bodyDiv w:val="1"/>
      <w:marLeft w:val="0"/>
      <w:marRight w:val="0"/>
      <w:marTop w:val="0"/>
      <w:marBottom w:val="0"/>
      <w:divBdr>
        <w:top w:val="none" w:sz="0" w:space="0" w:color="auto"/>
        <w:left w:val="none" w:sz="0" w:space="0" w:color="auto"/>
        <w:bottom w:val="none" w:sz="0" w:space="0" w:color="auto"/>
        <w:right w:val="none" w:sz="0" w:space="0" w:color="auto"/>
      </w:divBdr>
    </w:div>
    <w:div w:id="489323453">
      <w:bodyDiv w:val="1"/>
      <w:marLeft w:val="0"/>
      <w:marRight w:val="0"/>
      <w:marTop w:val="0"/>
      <w:marBottom w:val="0"/>
      <w:divBdr>
        <w:top w:val="none" w:sz="0" w:space="0" w:color="auto"/>
        <w:left w:val="none" w:sz="0" w:space="0" w:color="auto"/>
        <w:bottom w:val="none" w:sz="0" w:space="0" w:color="auto"/>
        <w:right w:val="none" w:sz="0" w:space="0" w:color="auto"/>
      </w:divBdr>
    </w:div>
    <w:div w:id="492454612">
      <w:bodyDiv w:val="1"/>
      <w:marLeft w:val="0"/>
      <w:marRight w:val="0"/>
      <w:marTop w:val="0"/>
      <w:marBottom w:val="0"/>
      <w:divBdr>
        <w:top w:val="none" w:sz="0" w:space="0" w:color="auto"/>
        <w:left w:val="none" w:sz="0" w:space="0" w:color="auto"/>
        <w:bottom w:val="none" w:sz="0" w:space="0" w:color="auto"/>
        <w:right w:val="none" w:sz="0" w:space="0" w:color="auto"/>
      </w:divBdr>
    </w:div>
    <w:div w:id="495876092">
      <w:bodyDiv w:val="1"/>
      <w:marLeft w:val="0"/>
      <w:marRight w:val="0"/>
      <w:marTop w:val="0"/>
      <w:marBottom w:val="0"/>
      <w:divBdr>
        <w:top w:val="none" w:sz="0" w:space="0" w:color="auto"/>
        <w:left w:val="none" w:sz="0" w:space="0" w:color="auto"/>
        <w:bottom w:val="none" w:sz="0" w:space="0" w:color="auto"/>
        <w:right w:val="none" w:sz="0" w:space="0" w:color="auto"/>
      </w:divBdr>
    </w:div>
    <w:div w:id="495923347">
      <w:bodyDiv w:val="1"/>
      <w:marLeft w:val="0"/>
      <w:marRight w:val="0"/>
      <w:marTop w:val="0"/>
      <w:marBottom w:val="0"/>
      <w:divBdr>
        <w:top w:val="none" w:sz="0" w:space="0" w:color="auto"/>
        <w:left w:val="none" w:sz="0" w:space="0" w:color="auto"/>
        <w:bottom w:val="none" w:sz="0" w:space="0" w:color="auto"/>
        <w:right w:val="none" w:sz="0" w:space="0" w:color="auto"/>
      </w:divBdr>
    </w:div>
    <w:div w:id="507790681">
      <w:bodyDiv w:val="1"/>
      <w:marLeft w:val="0"/>
      <w:marRight w:val="0"/>
      <w:marTop w:val="0"/>
      <w:marBottom w:val="0"/>
      <w:divBdr>
        <w:top w:val="none" w:sz="0" w:space="0" w:color="auto"/>
        <w:left w:val="none" w:sz="0" w:space="0" w:color="auto"/>
        <w:bottom w:val="none" w:sz="0" w:space="0" w:color="auto"/>
        <w:right w:val="none" w:sz="0" w:space="0" w:color="auto"/>
      </w:divBdr>
    </w:div>
    <w:div w:id="509104640">
      <w:bodyDiv w:val="1"/>
      <w:marLeft w:val="0"/>
      <w:marRight w:val="0"/>
      <w:marTop w:val="0"/>
      <w:marBottom w:val="0"/>
      <w:divBdr>
        <w:top w:val="none" w:sz="0" w:space="0" w:color="auto"/>
        <w:left w:val="none" w:sz="0" w:space="0" w:color="auto"/>
        <w:bottom w:val="none" w:sz="0" w:space="0" w:color="auto"/>
        <w:right w:val="none" w:sz="0" w:space="0" w:color="auto"/>
      </w:divBdr>
    </w:div>
    <w:div w:id="518281998">
      <w:bodyDiv w:val="1"/>
      <w:marLeft w:val="0"/>
      <w:marRight w:val="0"/>
      <w:marTop w:val="0"/>
      <w:marBottom w:val="0"/>
      <w:divBdr>
        <w:top w:val="none" w:sz="0" w:space="0" w:color="auto"/>
        <w:left w:val="none" w:sz="0" w:space="0" w:color="auto"/>
        <w:bottom w:val="none" w:sz="0" w:space="0" w:color="auto"/>
        <w:right w:val="none" w:sz="0" w:space="0" w:color="auto"/>
      </w:divBdr>
    </w:div>
    <w:div w:id="522212978">
      <w:bodyDiv w:val="1"/>
      <w:marLeft w:val="0"/>
      <w:marRight w:val="0"/>
      <w:marTop w:val="0"/>
      <w:marBottom w:val="0"/>
      <w:divBdr>
        <w:top w:val="none" w:sz="0" w:space="0" w:color="auto"/>
        <w:left w:val="none" w:sz="0" w:space="0" w:color="auto"/>
        <w:bottom w:val="none" w:sz="0" w:space="0" w:color="auto"/>
        <w:right w:val="none" w:sz="0" w:space="0" w:color="auto"/>
      </w:divBdr>
    </w:div>
    <w:div w:id="522479048">
      <w:bodyDiv w:val="1"/>
      <w:marLeft w:val="0"/>
      <w:marRight w:val="0"/>
      <w:marTop w:val="0"/>
      <w:marBottom w:val="0"/>
      <w:divBdr>
        <w:top w:val="none" w:sz="0" w:space="0" w:color="auto"/>
        <w:left w:val="none" w:sz="0" w:space="0" w:color="auto"/>
        <w:bottom w:val="none" w:sz="0" w:space="0" w:color="auto"/>
        <w:right w:val="none" w:sz="0" w:space="0" w:color="auto"/>
      </w:divBdr>
    </w:div>
    <w:div w:id="524945997">
      <w:bodyDiv w:val="1"/>
      <w:marLeft w:val="0"/>
      <w:marRight w:val="0"/>
      <w:marTop w:val="0"/>
      <w:marBottom w:val="0"/>
      <w:divBdr>
        <w:top w:val="none" w:sz="0" w:space="0" w:color="auto"/>
        <w:left w:val="none" w:sz="0" w:space="0" w:color="auto"/>
        <w:bottom w:val="none" w:sz="0" w:space="0" w:color="auto"/>
        <w:right w:val="none" w:sz="0" w:space="0" w:color="auto"/>
      </w:divBdr>
    </w:div>
    <w:div w:id="527720432">
      <w:bodyDiv w:val="1"/>
      <w:marLeft w:val="0"/>
      <w:marRight w:val="0"/>
      <w:marTop w:val="0"/>
      <w:marBottom w:val="0"/>
      <w:divBdr>
        <w:top w:val="none" w:sz="0" w:space="0" w:color="auto"/>
        <w:left w:val="none" w:sz="0" w:space="0" w:color="auto"/>
        <w:bottom w:val="none" w:sz="0" w:space="0" w:color="auto"/>
        <w:right w:val="none" w:sz="0" w:space="0" w:color="auto"/>
      </w:divBdr>
    </w:div>
    <w:div w:id="529997521">
      <w:bodyDiv w:val="1"/>
      <w:marLeft w:val="0"/>
      <w:marRight w:val="0"/>
      <w:marTop w:val="0"/>
      <w:marBottom w:val="0"/>
      <w:divBdr>
        <w:top w:val="none" w:sz="0" w:space="0" w:color="auto"/>
        <w:left w:val="none" w:sz="0" w:space="0" w:color="auto"/>
        <w:bottom w:val="none" w:sz="0" w:space="0" w:color="auto"/>
        <w:right w:val="none" w:sz="0" w:space="0" w:color="auto"/>
      </w:divBdr>
    </w:div>
    <w:div w:id="532620531">
      <w:bodyDiv w:val="1"/>
      <w:marLeft w:val="0"/>
      <w:marRight w:val="0"/>
      <w:marTop w:val="0"/>
      <w:marBottom w:val="0"/>
      <w:divBdr>
        <w:top w:val="none" w:sz="0" w:space="0" w:color="auto"/>
        <w:left w:val="none" w:sz="0" w:space="0" w:color="auto"/>
        <w:bottom w:val="none" w:sz="0" w:space="0" w:color="auto"/>
        <w:right w:val="none" w:sz="0" w:space="0" w:color="auto"/>
      </w:divBdr>
    </w:div>
    <w:div w:id="538006847">
      <w:bodyDiv w:val="1"/>
      <w:marLeft w:val="0"/>
      <w:marRight w:val="0"/>
      <w:marTop w:val="0"/>
      <w:marBottom w:val="0"/>
      <w:divBdr>
        <w:top w:val="none" w:sz="0" w:space="0" w:color="auto"/>
        <w:left w:val="none" w:sz="0" w:space="0" w:color="auto"/>
        <w:bottom w:val="none" w:sz="0" w:space="0" w:color="auto"/>
        <w:right w:val="none" w:sz="0" w:space="0" w:color="auto"/>
      </w:divBdr>
    </w:div>
    <w:div w:id="541021764">
      <w:bodyDiv w:val="1"/>
      <w:marLeft w:val="0"/>
      <w:marRight w:val="0"/>
      <w:marTop w:val="0"/>
      <w:marBottom w:val="0"/>
      <w:divBdr>
        <w:top w:val="none" w:sz="0" w:space="0" w:color="auto"/>
        <w:left w:val="none" w:sz="0" w:space="0" w:color="auto"/>
        <w:bottom w:val="none" w:sz="0" w:space="0" w:color="auto"/>
        <w:right w:val="none" w:sz="0" w:space="0" w:color="auto"/>
      </w:divBdr>
    </w:div>
    <w:div w:id="552041529">
      <w:bodyDiv w:val="1"/>
      <w:marLeft w:val="0"/>
      <w:marRight w:val="0"/>
      <w:marTop w:val="0"/>
      <w:marBottom w:val="0"/>
      <w:divBdr>
        <w:top w:val="none" w:sz="0" w:space="0" w:color="auto"/>
        <w:left w:val="none" w:sz="0" w:space="0" w:color="auto"/>
        <w:bottom w:val="none" w:sz="0" w:space="0" w:color="auto"/>
        <w:right w:val="none" w:sz="0" w:space="0" w:color="auto"/>
      </w:divBdr>
    </w:div>
    <w:div w:id="561644875">
      <w:bodyDiv w:val="1"/>
      <w:marLeft w:val="0"/>
      <w:marRight w:val="0"/>
      <w:marTop w:val="0"/>
      <w:marBottom w:val="0"/>
      <w:divBdr>
        <w:top w:val="none" w:sz="0" w:space="0" w:color="auto"/>
        <w:left w:val="none" w:sz="0" w:space="0" w:color="auto"/>
        <w:bottom w:val="none" w:sz="0" w:space="0" w:color="auto"/>
        <w:right w:val="none" w:sz="0" w:space="0" w:color="auto"/>
      </w:divBdr>
    </w:div>
    <w:div w:id="567300324">
      <w:bodyDiv w:val="1"/>
      <w:marLeft w:val="0"/>
      <w:marRight w:val="0"/>
      <w:marTop w:val="0"/>
      <w:marBottom w:val="0"/>
      <w:divBdr>
        <w:top w:val="none" w:sz="0" w:space="0" w:color="auto"/>
        <w:left w:val="none" w:sz="0" w:space="0" w:color="auto"/>
        <w:bottom w:val="none" w:sz="0" w:space="0" w:color="auto"/>
        <w:right w:val="none" w:sz="0" w:space="0" w:color="auto"/>
      </w:divBdr>
    </w:div>
    <w:div w:id="586113300">
      <w:bodyDiv w:val="1"/>
      <w:marLeft w:val="0"/>
      <w:marRight w:val="0"/>
      <w:marTop w:val="0"/>
      <w:marBottom w:val="0"/>
      <w:divBdr>
        <w:top w:val="none" w:sz="0" w:space="0" w:color="auto"/>
        <w:left w:val="none" w:sz="0" w:space="0" w:color="auto"/>
        <w:bottom w:val="none" w:sz="0" w:space="0" w:color="auto"/>
        <w:right w:val="none" w:sz="0" w:space="0" w:color="auto"/>
      </w:divBdr>
    </w:div>
    <w:div w:id="592324499">
      <w:bodyDiv w:val="1"/>
      <w:marLeft w:val="0"/>
      <w:marRight w:val="0"/>
      <w:marTop w:val="0"/>
      <w:marBottom w:val="0"/>
      <w:divBdr>
        <w:top w:val="none" w:sz="0" w:space="0" w:color="auto"/>
        <w:left w:val="none" w:sz="0" w:space="0" w:color="auto"/>
        <w:bottom w:val="none" w:sz="0" w:space="0" w:color="auto"/>
        <w:right w:val="none" w:sz="0" w:space="0" w:color="auto"/>
      </w:divBdr>
    </w:div>
    <w:div w:id="621110058">
      <w:bodyDiv w:val="1"/>
      <w:marLeft w:val="0"/>
      <w:marRight w:val="0"/>
      <w:marTop w:val="0"/>
      <w:marBottom w:val="0"/>
      <w:divBdr>
        <w:top w:val="none" w:sz="0" w:space="0" w:color="auto"/>
        <w:left w:val="none" w:sz="0" w:space="0" w:color="auto"/>
        <w:bottom w:val="none" w:sz="0" w:space="0" w:color="auto"/>
        <w:right w:val="none" w:sz="0" w:space="0" w:color="auto"/>
      </w:divBdr>
    </w:div>
    <w:div w:id="625818014">
      <w:bodyDiv w:val="1"/>
      <w:marLeft w:val="0"/>
      <w:marRight w:val="0"/>
      <w:marTop w:val="0"/>
      <w:marBottom w:val="0"/>
      <w:divBdr>
        <w:top w:val="none" w:sz="0" w:space="0" w:color="auto"/>
        <w:left w:val="none" w:sz="0" w:space="0" w:color="auto"/>
        <w:bottom w:val="none" w:sz="0" w:space="0" w:color="auto"/>
        <w:right w:val="none" w:sz="0" w:space="0" w:color="auto"/>
      </w:divBdr>
    </w:div>
    <w:div w:id="626592502">
      <w:bodyDiv w:val="1"/>
      <w:marLeft w:val="0"/>
      <w:marRight w:val="0"/>
      <w:marTop w:val="0"/>
      <w:marBottom w:val="0"/>
      <w:divBdr>
        <w:top w:val="none" w:sz="0" w:space="0" w:color="auto"/>
        <w:left w:val="none" w:sz="0" w:space="0" w:color="auto"/>
        <w:bottom w:val="none" w:sz="0" w:space="0" w:color="auto"/>
        <w:right w:val="none" w:sz="0" w:space="0" w:color="auto"/>
      </w:divBdr>
    </w:div>
    <w:div w:id="631403835">
      <w:bodyDiv w:val="1"/>
      <w:marLeft w:val="0"/>
      <w:marRight w:val="0"/>
      <w:marTop w:val="0"/>
      <w:marBottom w:val="0"/>
      <w:divBdr>
        <w:top w:val="none" w:sz="0" w:space="0" w:color="auto"/>
        <w:left w:val="none" w:sz="0" w:space="0" w:color="auto"/>
        <w:bottom w:val="none" w:sz="0" w:space="0" w:color="auto"/>
        <w:right w:val="none" w:sz="0" w:space="0" w:color="auto"/>
      </w:divBdr>
    </w:div>
    <w:div w:id="633603697">
      <w:bodyDiv w:val="1"/>
      <w:marLeft w:val="0"/>
      <w:marRight w:val="0"/>
      <w:marTop w:val="0"/>
      <w:marBottom w:val="0"/>
      <w:divBdr>
        <w:top w:val="none" w:sz="0" w:space="0" w:color="auto"/>
        <w:left w:val="none" w:sz="0" w:space="0" w:color="auto"/>
        <w:bottom w:val="none" w:sz="0" w:space="0" w:color="auto"/>
        <w:right w:val="none" w:sz="0" w:space="0" w:color="auto"/>
      </w:divBdr>
    </w:div>
    <w:div w:id="638998510">
      <w:bodyDiv w:val="1"/>
      <w:marLeft w:val="0"/>
      <w:marRight w:val="0"/>
      <w:marTop w:val="0"/>
      <w:marBottom w:val="0"/>
      <w:divBdr>
        <w:top w:val="none" w:sz="0" w:space="0" w:color="auto"/>
        <w:left w:val="none" w:sz="0" w:space="0" w:color="auto"/>
        <w:bottom w:val="none" w:sz="0" w:space="0" w:color="auto"/>
        <w:right w:val="none" w:sz="0" w:space="0" w:color="auto"/>
      </w:divBdr>
    </w:div>
    <w:div w:id="642580561">
      <w:bodyDiv w:val="1"/>
      <w:marLeft w:val="0"/>
      <w:marRight w:val="0"/>
      <w:marTop w:val="0"/>
      <w:marBottom w:val="0"/>
      <w:divBdr>
        <w:top w:val="none" w:sz="0" w:space="0" w:color="auto"/>
        <w:left w:val="none" w:sz="0" w:space="0" w:color="auto"/>
        <w:bottom w:val="none" w:sz="0" w:space="0" w:color="auto"/>
        <w:right w:val="none" w:sz="0" w:space="0" w:color="auto"/>
      </w:divBdr>
    </w:div>
    <w:div w:id="644429348">
      <w:bodyDiv w:val="1"/>
      <w:marLeft w:val="0"/>
      <w:marRight w:val="0"/>
      <w:marTop w:val="0"/>
      <w:marBottom w:val="0"/>
      <w:divBdr>
        <w:top w:val="none" w:sz="0" w:space="0" w:color="auto"/>
        <w:left w:val="none" w:sz="0" w:space="0" w:color="auto"/>
        <w:bottom w:val="none" w:sz="0" w:space="0" w:color="auto"/>
        <w:right w:val="none" w:sz="0" w:space="0" w:color="auto"/>
      </w:divBdr>
    </w:div>
    <w:div w:id="652028789">
      <w:bodyDiv w:val="1"/>
      <w:marLeft w:val="0"/>
      <w:marRight w:val="0"/>
      <w:marTop w:val="0"/>
      <w:marBottom w:val="0"/>
      <w:divBdr>
        <w:top w:val="none" w:sz="0" w:space="0" w:color="auto"/>
        <w:left w:val="none" w:sz="0" w:space="0" w:color="auto"/>
        <w:bottom w:val="none" w:sz="0" w:space="0" w:color="auto"/>
        <w:right w:val="none" w:sz="0" w:space="0" w:color="auto"/>
      </w:divBdr>
    </w:div>
    <w:div w:id="659698150">
      <w:bodyDiv w:val="1"/>
      <w:marLeft w:val="0"/>
      <w:marRight w:val="0"/>
      <w:marTop w:val="0"/>
      <w:marBottom w:val="0"/>
      <w:divBdr>
        <w:top w:val="none" w:sz="0" w:space="0" w:color="auto"/>
        <w:left w:val="none" w:sz="0" w:space="0" w:color="auto"/>
        <w:bottom w:val="none" w:sz="0" w:space="0" w:color="auto"/>
        <w:right w:val="none" w:sz="0" w:space="0" w:color="auto"/>
      </w:divBdr>
    </w:div>
    <w:div w:id="665086916">
      <w:bodyDiv w:val="1"/>
      <w:marLeft w:val="0"/>
      <w:marRight w:val="0"/>
      <w:marTop w:val="0"/>
      <w:marBottom w:val="0"/>
      <w:divBdr>
        <w:top w:val="none" w:sz="0" w:space="0" w:color="auto"/>
        <w:left w:val="none" w:sz="0" w:space="0" w:color="auto"/>
        <w:bottom w:val="none" w:sz="0" w:space="0" w:color="auto"/>
        <w:right w:val="none" w:sz="0" w:space="0" w:color="auto"/>
      </w:divBdr>
    </w:div>
    <w:div w:id="672227638">
      <w:bodyDiv w:val="1"/>
      <w:marLeft w:val="0"/>
      <w:marRight w:val="0"/>
      <w:marTop w:val="0"/>
      <w:marBottom w:val="0"/>
      <w:divBdr>
        <w:top w:val="none" w:sz="0" w:space="0" w:color="auto"/>
        <w:left w:val="none" w:sz="0" w:space="0" w:color="auto"/>
        <w:bottom w:val="none" w:sz="0" w:space="0" w:color="auto"/>
        <w:right w:val="none" w:sz="0" w:space="0" w:color="auto"/>
      </w:divBdr>
    </w:div>
    <w:div w:id="674308950">
      <w:bodyDiv w:val="1"/>
      <w:marLeft w:val="0"/>
      <w:marRight w:val="0"/>
      <w:marTop w:val="0"/>
      <w:marBottom w:val="0"/>
      <w:divBdr>
        <w:top w:val="none" w:sz="0" w:space="0" w:color="auto"/>
        <w:left w:val="none" w:sz="0" w:space="0" w:color="auto"/>
        <w:bottom w:val="none" w:sz="0" w:space="0" w:color="auto"/>
        <w:right w:val="none" w:sz="0" w:space="0" w:color="auto"/>
      </w:divBdr>
    </w:div>
    <w:div w:id="692809100">
      <w:bodyDiv w:val="1"/>
      <w:marLeft w:val="0"/>
      <w:marRight w:val="0"/>
      <w:marTop w:val="0"/>
      <w:marBottom w:val="0"/>
      <w:divBdr>
        <w:top w:val="none" w:sz="0" w:space="0" w:color="auto"/>
        <w:left w:val="none" w:sz="0" w:space="0" w:color="auto"/>
        <w:bottom w:val="none" w:sz="0" w:space="0" w:color="auto"/>
        <w:right w:val="none" w:sz="0" w:space="0" w:color="auto"/>
      </w:divBdr>
    </w:div>
    <w:div w:id="697967216">
      <w:bodyDiv w:val="1"/>
      <w:marLeft w:val="0"/>
      <w:marRight w:val="0"/>
      <w:marTop w:val="0"/>
      <w:marBottom w:val="0"/>
      <w:divBdr>
        <w:top w:val="none" w:sz="0" w:space="0" w:color="auto"/>
        <w:left w:val="none" w:sz="0" w:space="0" w:color="auto"/>
        <w:bottom w:val="none" w:sz="0" w:space="0" w:color="auto"/>
        <w:right w:val="none" w:sz="0" w:space="0" w:color="auto"/>
      </w:divBdr>
    </w:div>
    <w:div w:id="726532637">
      <w:bodyDiv w:val="1"/>
      <w:marLeft w:val="0"/>
      <w:marRight w:val="0"/>
      <w:marTop w:val="0"/>
      <w:marBottom w:val="0"/>
      <w:divBdr>
        <w:top w:val="none" w:sz="0" w:space="0" w:color="auto"/>
        <w:left w:val="none" w:sz="0" w:space="0" w:color="auto"/>
        <w:bottom w:val="none" w:sz="0" w:space="0" w:color="auto"/>
        <w:right w:val="none" w:sz="0" w:space="0" w:color="auto"/>
      </w:divBdr>
    </w:div>
    <w:div w:id="749500889">
      <w:bodyDiv w:val="1"/>
      <w:marLeft w:val="0"/>
      <w:marRight w:val="0"/>
      <w:marTop w:val="0"/>
      <w:marBottom w:val="0"/>
      <w:divBdr>
        <w:top w:val="none" w:sz="0" w:space="0" w:color="auto"/>
        <w:left w:val="none" w:sz="0" w:space="0" w:color="auto"/>
        <w:bottom w:val="none" w:sz="0" w:space="0" w:color="auto"/>
        <w:right w:val="none" w:sz="0" w:space="0" w:color="auto"/>
      </w:divBdr>
    </w:div>
    <w:div w:id="750740104">
      <w:bodyDiv w:val="1"/>
      <w:marLeft w:val="0"/>
      <w:marRight w:val="0"/>
      <w:marTop w:val="0"/>
      <w:marBottom w:val="0"/>
      <w:divBdr>
        <w:top w:val="none" w:sz="0" w:space="0" w:color="auto"/>
        <w:left w:val="none" w:sz="0" w:space="0" w:color="auto"/>
        <w:bottom w:val="none" w:sz="0" w:space="0" w:color="auto"/>
        <w:right w:val="none" w:sz="0" w:space="0" w:color="auto"/>
      </w:divBdr>
    </w:div>
    <w:div w:id="751320313">
      <w:bodyDiv w:val="1"/>
      <w:marLeft w:val="0"/>
      <w:marRight w:val="0"/>
      <w:marTop w:val="0"/>
      <w:marBottom w:val="0"/>
      <w:divBdr>
        <w:top w:val="none" w:sz="0" w:space="0" w:color="auto"/>
        <w:left w:val="none" w:sz="0" w:space="0" w:color="auto"/>
        <w:bottom w:val="none" w:sz="0" w:space="0" w:color="auto"/>
        <w:right w:val="none" w:sz="0" w:space="0" w:color="auto"/>
      </w:divBdr>
    </w:div>
    <w:div w:id="755369359">
      <w:bodyDiv w:val="1"/>
      <w:marLeft w:val="0"/>
      <w:marRight w:val="0"/>
      <w:marTop w:val="0"/>
      <w:marBottom w:val="0"/>
      <w:divBdr>
        <w:top w:val="none" w:sz="0" w:space="0" w:color="auto"/>
        <w:left w:val="none" w:sz="0" w:space="0" w:color="auto"/>
        <w:bottom w:val="none" w:sz="0" w:space="0" w:color="auto"/>
        <w:right w:val="none" w:sz="0" w:space="0" w:color="auto"/>
      </w:divBdr>
    </w:div>
    <w:div w:id="766000363">
      <w:bodyDiv w:val="1"/>
      <w:marLeft w:val="0"/>
      <w:marRight w:val="0"/>
      <w:marTop w:val="0"/>
      <w:marBottom w:val="0"/>
      <w:divBdr>
        <w:top w:val="none" w:sz="0" w:space="0" w:color="auto"/>
        <w:left w:val="none" w:sz="0" w:space="0" w:color="auto"/>
        <w:bottom w:val="none" w:sz="0" w:space="0" w:color="auto"/>
        <w:right w:val="none" w:sz="0" w:space="0" w:color="auto"/>
      </w:divBdr>
    </w:div>
    <w:div w:id="785660376">
      <w:bodyDiv w:val="1"/>
      <w:marLeft w:val="0"/>
      <w:marRight w:val="0"/>
      <w:marTop w:val="0"/>
      <w:marBottom w:val="0"/>
      <w:divBdr>
        <w:top w:val="none" w:sz="0" w:space="0" w:color="auto"/>
        <w:left w:val="none" w:sz="0" w:space="0" w:color="auto"/>
        <w:bottom w:val="none" w:sz="0" w:space="0" w:color="auto"/>
        <w:right w:val="none" w:sz="0" w:space="0" w:color="auto"/>
      </w:divBdr>
    </w:div>
    <w:div w:id="808864164">
      <w:bodyDiv w:val="1"/>
      <w:marLeft w:val="0"/>
      <w:marRight w:val="0"/>
      <w:marTop w:val="0"/>
      <w:marBottom w:val="0"/>
      <w:divBdr>
        <w:top w:val="none" w:sz="0" w:space="0" w:color="auto"/>
        <w:left w:val="none" w:sz="0" w:space="0" w:color="auto"/>
        <w:bottom w:val="none" w:sz="0" w:space="0" w:color="auto"/>
        <w:right w:val="none" w:sz="0" w:space="0" w:color="auto"/>
      </w:divBdr>
    </w:div>
    <w:div w:id="810294120">
      <w:bodyDiv w:val="1"/>
      <w:marLeft w:val="0"/>
      <w:marRight w:val="0"/>
      <w:marTop w:val="0"/>
      <w:marBottom w:val="0"/>
      <w:divBdr>
        <w:top w:val="none" w:sz="0" w:space="0" w:color="auto"/>
        <w:left w:val="none" w:sz="0" w:space="0" w:color="auto"/>
        <w:bottom w:val="none" w:sz="0" w:space="0" w:color="auto"/>
        <w:right w:val="none" w:sz="0" w:space="0" w:color="auto"/>
      </w:divBdr>
    </w:div>
    <w:div w:id="811144107">
      <w:bodyDiv w:val="1"/>
      <w:marLeft w:val="0"/>
      <w:marRight w:val="0"/>
      <w:marTop w:val="0"/>
      <w:marBottom w:val="0"/>
      <w:divBdr>
        <w:top w:val="none" w:sz="0" w:space="0" w:color="auto"/>
        <w:left w:val="none" w:sz="0" w:space="0" w:color="auto"/>
        <w:bottom w:val="none" w:sz="0" w:space="0" w:color="auto"/>
        <w:right w:val="none" w:sz="0" w:space="0" w:color="auto"/>
      </w:divBdr>
    </w:div>
    <w:div w:id="812596322">
      <w:bodyDiv w:val="1"/>
      <w:marLeft w:val="0"/>
      <w:marRight w:val="0"/>
      <w:marTop w:val="0"/>
      <w:marBottom w:val="0"/>
      <w:divBdr>
        <w:top w:val="none" w:sz="0" w:space="0" w:color="auto"/>
        <w:left w:val="none" w:sz="0" w:space="0" w:color="auto"/>
        <w:bottom w:val="none" w:sz="0" w:space="0" w:color="auto"/>
        <w:right w:val="none" w:sz="0" w:space="0" w:color="auto"/>
      </w:divBdr>
    </w:div>
    <w:div w:id="819730990">
      <w:bodyDiv w:val="1"/>
      <w:marLeft w:val="0"/>
      <w:marRight w:val="0"/>
      <w:marTop w:val="0"/>
      <w:marBottom w:val="0"/>
      <w:divBdr>
        <w:top w:val="none" w:sz="0" w:space="0" w:color="auto"/>
        <w:left w:val="none" w:sz="0" w:space="0" w:color="auto"/>
        <w:bottom w:val="none" w:sz="0" w:space="0" w:color="auto"/>
        <w:right w:val="none" w:sz="0" w:space="0" w:color="auto"/>
      </w:divBdr>
    </w:div>
    <w:div w:id="827135007">
      <w:bodyDiv w:val="1"/>
      <w:marLeft w:val="0"/>
      <w:marRight w:val="0"/>
      <w:marTop w:val="0"/>
      <w:marBottom w:val="0"/>
      <w:divBdr>
        <w:top w:val="none" w:sz="0" w:space="0" w:color="auto"/>
        <w:left w:val="none" w:sz="0" w:space="0" w:color="auto"/>
        <w:bottom w:val="none" w:sz="0" w:space="0" w:color="auto"/>
        <w:right w:val="none" w:sz="0" w:space="0" w:color="auto"/>
      </w:divBdr>
    </w:div>
    <w:div w:id="831993949">
      <w:bodyDiv w:val="1"/>
      <w:marLeft w:val="0"/>
      <w:marRight w:val="0"/>
      <w:marTop w:val="0"/>
      <w:marBottom w:val="0"/>
      <w:divBdr>
        <w:top w:val="none" w:sz="0" w:space="0" w:color="auto"/>
        <w:left w:val="none" w:sz="0" w:space="0" w:color="auto"/>
        <w:bottom w:val="none" w:sz="0" w:space="0" w:color="auto"/>
        <w:right w:val="none" w:sz="0" w:space="0" w:color="auto"/>
      </w:divBdr>
    </w:div>
    <w:div w:id="835847821">
      <w:bodyDiv w:val="1"/>
      <w:marLeft w:val="0"/>
      <w:marRight w:val="0"/>
      <w:marTop w:val="0"/>
      <w:marBottom w:val="0"/>
      <w:divBdr>
        <w:top w:val="none" w:sz="0" w:space="0" w:color="auto"/>
        <w:left w:val="none" w:sz="0" w:space="0" w:color="auto"/>
        <w:bottom w:val="none" w:sz="0" w:space="0" w:color="auto"/>
        <w:right w:val="none" w:sz="0" w:space="0" w:color="auto"/>
      </w:divBdr>
    </w:div>
    <w:div w:id="838927731">
      <w:bodyDiv w:val="1"/>
      <w:marLeft w:val="0"/>
      <w:marRight w:val="0"/>
      <w:marTop w:val="0"/>
      <w:marBottom w:val="0"/>
      <w:divBdr>
        <w:top w:val="none" w:sz="0" w:space="0" w:color="auto"/>
        <w:left w:val="none" w:sz="0" w:space="0" w:color="auto"/>
        <w:bottom w:val="none" w:sz="0" w:space="0" w:color="auto"/>
        <w:right w:val="none" w:sz="0" w:space="0" w:color="auto"/>
      </w:divBdr>
    </w:div>
    <w:div w:id="849032382">
      <w:bodyDiv w:val="1"/>
      <w:marLeft w:val="0"/>
      <w:marRight w:val="0"/>
      <w:marTop w:val="0"/>
      <w:marBottom w:val="0"/>
      <w:divBdr>
        <w:top w:val="none" w:sz="0" w:space="0" w:color="auto"/>
        <w:left w:val="none" w:sz="0" w:space="0" w:color="auto"/>
        <w:bottom w:val="none" w:sz="0" w:space="0" w:color="auto"/>
        <w:right w:val="none" w:sz="0" w:space="0" w:color="auto"/>
      </w:divBdr>
    </w:div>
    <w:div w:id="851066539">
      <w:bodyDiv w:val="1"/>
      <w:marLeft w:val="0"/>
      <w:marRight w:val="0"/>
      <w:marTop w:val="0"/>
      <w:marBottom w:val="0"/>
      <w:divBdr>
        <w:top w:val="none" w:sz="0" w:space="0" w:color="auto"/>
        <w:left w:val="none" w:sz="0" w:space="0" w:color="auto"/>
        <w:bottom w:val="none" w:sz="0" w:space="0" w:color="auto"/>
        <w:right w:val="none" w:sz="0" w:space="0" w:color="auto"/>
      </w:divBdr>
    </w:div>
    <w:div w:id="852039026">
      <w:bodyDiv w:val="1"/>
      <w:marLeft w:val="0"/>
      <w:marRight w:val="0"/>
      <w:marTop w:val="0"/>
      <w:marBottom w:val="0"/>
      <w:divBdr>
        <w:top w:val="none" w:sz="0" w:space="0" w:color="auto"/>
        <w:left w:val="none" w:sz="0" w:space="0" w:color="auto"/>
        <w:bottom w:val="none" w:sz="0" w:space="0" w:color="auto"/>
        <w:right w:val="none" w:sz="0" w:space="0" w:color="auto"/>
      </w:divBdr>
    </w:div>
    <w:div w:id="852690399">
      <w:bodyDiv w:val="1"/>
      <w:marLeft w:val="0"/>
      <w:marRight w:val="0"/>
      <w:marTop w:val="0"/>
      <w:marBottom w:val="0"/>
      <w:divBdr>
        <w:top w:val="none" w:sz="0" w:space="0" w:color="auto"/>
        <w:left w:val="none" w:sz="0" w:space="0" w:color="auto"/>
        <w:bottom w:val="none" w:sz="0" w:space="0" w:color="auto"/>
        <w:right w:val="none" w:sz="0" w:space="0" w:color="auto"/>
      </w:divBdr>
    </w:div>
    <w:div w:id="854686447">
      <w:bodyDiv w:val="1"/>
      <w:marLeft w:val="0"/>
      <w:marRight w:val="0"/>
      <w:marTop w:val="0"/>
      <w:marBottom w:val="0"/>
      <w:divBdr>
        <w:top w:val="none" w:sz="0" w:space="0" w:color="auto"/>
        <w:left w:val="none" w:sz="0" w:space="0" w:color="auto"/>
        <w:bottom w:val="none" w:sz="0" w:space="0" w:color="auto"/>
        <w:right w:val="none" w:sz="0" w:space="0" w:color="auto"/>
      </w:divBdr>
    </w:div>
    <w:div w:id="862599088">
      <w:bodyDiv w:val="1"/>
      <w:marLeft w:val="0"/>
      <w:marRight w:val="0"/>
      <w:marTop w:val="0"/>
      <w:marBottom w:val="0"/>
      <w:divBdr>
        <w:top w:val="none" w:sz="0" w:space="0" w:color="auto"/>
        <w:left w:val="none" w:sz="0" w:space="0" w:color="auto"/>
        <w:bottom w:val="none" w:sz="0" w:space="0" w:color="auto"/>
        <w:right w:val="none" w:sz="0" w:space="0" w:color="auto"/>
      </w:divBdr>
    </w:div>
    <w:div w:id="862673193">
      <w:bodyDiv w:val="1"/>
      <w:marLeft w:val="0"/>
      <w:marRight w:val="0"/>
      <w:marTop w:val="0"/>
      <w:marBottom w:val="0"/>
      <w:divBdr>
        <w:top w:val="none" w:sz="0" w:space="0" w:color="auto"/>
        <w:left w:val="none" w:sz="0" w:space="0" w:color="auto"/>
        <w:bottom w:val="none" w:sz="0" w:space="0" w:color="auto"/>
        <w:right w:val="none" w:sz="0" w:space="0" w:color="auto"/>
      </w:divBdr>
    </w:div>
    <w:div w:id="880901397">
      <w:bodyDiv w:val="1"/>
      <w:marLeft w:val="0"/>
      <w:marRight w:val="0"/>
      <w:marTop w:val="0"/>
      <w:marBottom w:val="0"/>
      <w:divBdr>
        <w:top w:val="none" w:sz="0" w:space="0" w:color="auto"/>
        <w:left w:val="none" w:sz="0" w:space="0" w:color="auto"/>
        <w:bottom w:val="none" w:sz="0" w:space="0" w:color="auto"/>
        <w:right w:val="none" w:sz="0" w:space="0" w:color="auto"/>
      </w:divBdr>
    </w:div>
    <w:div w:id="890460297">
      <w:bodyDiv w:val="1"/>
      <w:marLeft w:val="0"/>
      <w:marRight w:val="0"/>
      <w:marTop w:val="0"/>
      <w:marBottom w:val="0"/>
      <w:divBdr>
        <w:top w:val="none" w:sz="0" w:space="0" w:color="auto"/>
        <w:left w:val="none" w:sz="0" w:space="0" w:color="auto"/>
        <w:bottom w:val="none" w:sz="0" w:space="0" w:color="auto"/>
        <w:right w:val="none" w:sz="0" w:space="0" w:color="auto"/>
      </w:divBdr>
    </w:div>
    <w:div w:id="911502611">
      <w:bodyDiv w:val="1"/>
      <w:marLeft w:val="0"/>
      <w:marRight w:val="0"/>
      <w:marTop w:val="0"/>
      <w:marBottom w:val="0"/>
      <w:divBdr>
        <w:top w:val="none" w:sz="0" w:space="0" w:color="auto"/>
        <w:left w:val="none" w:sz="0" w:space="0" w:color="auto"/>
        <w:bottom w:val="none" w:sz="0" w:space="0" w:color="auto"/>
        <w:right w:val="none" w:sz="0" w:space="0" w:color="auto"/>
      </w:divBdr>
    </w:div>
    <w:div w:id="911887009">
      <w:bodyDiv w:val="1"/>
      <w:marLeft w:val="0"/>
      <w:marRight w:val="0"/>
      <w:marTop w:val="0"/>
      <w:marBottom w:val="0"/>
      <w:divBdr>
        <w:top w:val="none" w:sz="0" w:space="0" w:color="auto"/>
        <w:left w:val="none" w:sz="0" w:space="0" w:color="auto"/>
        <w:bottom w:val="none" w:sz="0" w:space="0" w:color="auto"/>
        <w:right w:val="none" w:sz="0" w:space="0" w:color="auto"/>
      </w:divBdr>
    </w:div>
    <w:div w:id="922030470">
      <w:bodyDiv w:val="1"/>
      <w:marLeft w:val="0"/>
      <w:marRight w:val="0"/>
      <w:marTop w:val="0"/>
      <w:marBottom w:val="0"/>
      <w:divBdr>
        <w:top w:val="none" w:sz="0" w:space="0" w:color="auto"/>
        <w:left w:val="none" w:sz="0" w:space="0" w:color="auto"/>
        <w:bottom w:val="none" w:sz="0" w:space="0" w:color="auto"/>
        <w:right w:val="none" w:sz="0" w:space="0" w:color="auto"/>
      </w:divBdr>
    </w:div>
    <w:div w:id="925502697">
      <w:bodyDiv w:val="1"/>
      <w:marLeft w:val="0"/>
      <w:marRight w:val="0"/>
      <w:marTop w:val="0"/>
      <w:marBottom w:val="0"/>
      <w:divBdr>
        <w:top w:val="none" w:sz="0" w:space="0" w:color="auto"/>
        <w:left w:val="none" w:sz="0" w:space="0" w:color="auto"/>
        <w:bottom w:val="none" w:sz="0" w:space="0" w:color="auto"/>
        <w:right w:val="none" w:sz="0" w:space="0" w:color="auto"/>
      </w:divBdr>
    </w:div>
    <w:div w:id="938371646">
      <w:bodyDiv w:val="1"/>
      <w:marLeft w:val="0"/>
      <w:marRight w:val="0"/>
      <w:marTop w:val="0"/>
      <w:marBottom w:val="0"/>
      <w:divBdr>
        <w:top w:val="none" w:sz="0" w:space="0" w:color="auto"/>
        <w:left w:val="none" w:sz="0" w:space="0" w:color="auto"/>
        <w:bottom w:val="none" w:sz="0" w:space="0" w:color="auto"/>
        <w:right w:val="none" w:sz="0" w:space="0" w:color="auto"/>
      </w:divBdr>
    </w:div>
    <w:div w:id="942617171">
      <w:bodyDiv w:val="1"/>
      <w:marLeft w:val="0"/>
      <w:marRight w:val="0"/>
      <w:marTop w:val="0"/>
      <w:marBottom w:val="0"/>
      <w:divBdr>
        <w:top w:val="none" w:sz="0" w:space="0" w:color="auto"/>
        <w:left w:val="none" w:sz="0" w:space="0" w:color="auto"/>
        <w:bottom w:val="none" w:sz="0" w:space="0" w:color="auto"/>
        <w:right w:val="none" w:sz="0" w:space="0" w:color="auto"/>
      </w:divBdr>
    </w:div>
    <w:div w:id="942683535">
      <w:bodyDiv w:val="1"/>
      <w:marLeft w:val="0"/>
      <w:marRight w:val="0"/>
      <w:marTop w:val="0"/>
      <w:marBottom w:val="0"/>
      <w:divBdr>
        <w:top w:val="none" w:sz="0" w:space="0" w:color="auto"/>
        <w:left w:val="none" w:sz="0" w:space="0" w:color="auto"/>
        <w:bottom w:val="none" w:sz="0" w:space="0" w:color="auto"/>
        <w:right w:val="none" w:sz="0" w:space="0" w:color="auto"/>
      </w:divBdr>
    </w:div>
    <w:div w:id="958678993">
      <w:bodyDiv w:val="1"/>
      <w:marLeft w:val="0"/>
      <w:marRight w:val="0"/>
      <w:marTop w:val="0"/>
      <w:marBottom w:val="0"/>
      <w:divBdr>
        <w:top w:val="none" w:sz="0" w:space="0" w:color="auto"/>
        <w:left w:val="none" w:sz="0" w:space="0" w:color="auto"/>
        <w:bottom w:val="none" w:sz="0" w:space="0" w:color="auto"/>
        <w:right w:val="none" w:sz="0" w:space="0" w:color="auto"/>
      </w:divBdr>
    </w:div>
    <w:div w:id="970402623">
      <w:bodyDiv w:val="1"/>
      <w:marLeft w:val="0"/>
      <w:marRight w:val="0"/>
      <w:marTop w:val="0"/>
      <w:marBottom w:val="0"/>
      <w:divBdr>
        <w:top w:val="none" w:sz="0" w:space="0" w:color="auto"/>
        <w:left w:val="none" w:sz="0" w:space="0" w:color="auto"/>
        <w:bottom w:val="none" w:sz="0" w:space="0" w:color="auto"/>
        <w:right w:val="none" w:sz="0" w:space="0" w:color="auto"/>
      </w:divBdr>
    </w:div>
    <w:div w:id="973021304">
      <w:bodyDiv w:val="1"/>
      <w:marLeft w:val="0"/>
      <w:marRight w:val="0"/>
      <w:marTop w:val="0"/>
      <w:marBottom w:val="0"/>
      <w:divBdr>
        <w:top w:val="none" w:sz="0" w:space="0" w:color="auto"/>
        <w:left w:val="none" w:sz="0" w:space="0" w:color="auto"/>
        <w:bottom w:val="none" w:sz="0" w:space="0" w:color="auto"/>
        <w:right w:val="none" w:sz="0" w:space="0" w:color="auto"/>
      </w:divBdr>
    </w:div>
    <w:div w:id="978994648">
      <w:bodyDiv w:val="1"/>
      <w:marLeft w:val="0"/>
      <w:marRight w:val="0"/>
      <w:marTop w:val="0"/>
      <w:marBottom w:val="0"/>
      <w:divBdr>
        <w:top w:val="none" w:sz="0" w:space="0" w:color="auto"/>
        <w:left w:val="none" w:sz="0" w:space="0" w:color="auto"/>
        <w:bottom w:val="none" w:sz="0" w:space="0" w:color="auto"/>
        <w:right w:val="none" w:sz="0" w:space="0" w:color="auto"/>
      </w:divBdr>
    </w:div>
    <w:div w:id="985475847">
      <w:bodyDiv w:val="1"/>
      <w:marLeft w:val="0"/>
      <w:marRight w:val="0"/>
      <w:marTop w:val="0"/>
      <w:marBottom w:val="0"/>
      <w:divBdr>
        <w:top w:val="none" w:sz="0" w:space="0" w:color="auto"/>
        <w:left w:val="none" w:sz="0" w:space="0" w:color="auto"/>
        <w:bottom w:val="none" w:sz="0" w:space="0" w:color="auto"/>
        <w:right w:val="none" w:sz="0" w:space="0" w:color="auto"/>
      </w:divBdr>
    </w:div>
    <w:div w:id="995911546">
      <w:bodyDiv w:val="1"/>
      <w:marLeft w:val="0"/>
      <w:marRight w:val="0"/>
      <w:marTop w:val="0"/>
      <w:marBottom w:val="0"/>
      <w:divBdr>
        <w:top w:val="none" w:sz="0" w:space="0" w:color="auto"/>
        <w:left w:val="none" w:sz="0" w:space="0" w:color="auto"/>
        <w:bottom w:val="none" w:sz="0" w:space="0" w:color="auto"/>
        <w:right w:val="none" w:sz="0" w:space="0" w:color="auto"/>
      </w:divBdr>
    </w:div>
    <w:div w:id="1005475757">
      <w:bodyDiv w:val="1"/>
      <w:marLeft w:val="0"/>
      <w:marRight w:val="0"/>
      <w:marTop w:val="0"/>
      <w:marBottom w:val="0"/>
      <w:divBdr>
        <w:top w:val="none" w:sz="0" w:space="0" w:color="auto"/>
        <w:left w:val="none" w:sz="0" w:space="0" w:color="auto"/>
        <w:bottom w:val="none" w:sz="0" w:space="0" w:color="auto"/>
        <w:right w:val="none" w:sz="0" w:space="0" w:color="auto"/>
      </w:divBdr>
    </w:div>
    <w:div w:id="1007943787">
      <w:bodyDiv w:val="1"/>
      <w:marLeft w:val="0"/>
      <w:marRight w:val="0"/>
      <w:marTop w:val="0"/>
      <w:marBottom w:val="0"/>
      <w:divBdr>
        <w:top w:val="none" w:sz="0" w:space="0" w:color="auto"/>
        <w:left w:val="none" w:sz="0" w:space="0" w:color="auto"/>
        <w:bottom w:val="none" w:sz="0" w:space="0" w:color="auto"/>
        <w:right w:val="none" w:sz="0" w:space="0" w:color="auto"/>
      </w:divBdr>
    </w:div>
    <w:div w:id="1017654738">
      <w:bodyDiv w:val="1"/>
      <w:marLeft w:val="0"/>
      <w:marRight w:val="0"/>
      <w:marTop w:val="0"/>
      <w:marBottom w:val="0"/>
      <w:divBdr>
        <w:top w:val="none" w:sz="0" w:space="0" w:color="auto"/>
        <w:left w:val="none" w:sz="0" w:space="0" w:color="auto"/>
        <w:bottom w:val="none" w:sz="0" w:space="0" w:color="auto"/>
        <w:right w:val="none" w:sz="0" w:space="0" w:color="auto"/>
      </w:divBdr>
    </w:div>
    <w:div w:id="1018042579">
      <w:bodyDiv w:val="1"/>
      <w:marLeft w:val="0"/>
      <w:marRight w:val="0"/>
      <w:marTop w:val="0"/>
      <w:marBottom w:val="0"/>
      <w:divBdr>
        <w:top w:val="none" w:sz="0" w:space="0" w:color="auto"/>
        <w:left w:val="none" w:sz="0" w:space="0" w:color="auto"/>
        <w:bottom w:val="none" w:sz="0" w:space="0" w:color="auto"/>
        <w:right w:val="none" w:sz="0" w:space="0" w:color="auto"/>
      </w:divBdr>
    </w:div>
    <w:div w:id="1022166747">
      <w:bodyDiv w:val="1"/>
      <w:marLeft w:val="0"/>
      <w:marRight w:val="0"/>
      <w:marTop w:val="0"/>
      <w:marBottom w:val="0"/>
      <w:divBdr>
        <w:top w:val="none" w:sz="0" w:space="0" w:color="auto"/>
        <w:left w:val="none" w:sz="0" w:space="0" w:color="auto"/>
        <w:bottom w:val="none" w:sz="0" w:space="0" w:color="auto"/>
        <w:right w:val="none" w:sz="0" w:space="0" w:color="auto"/>
      </w:divBdr>
    </w:div>
    <w:div w:id="1024095630">
      <w:bodyDiv w:val="1"/>
      <w:marLeft w:val="0"/>
      <w:marRight w:val="0"/>
      <w:marTop w:val="0"/>
      <w:marBottom w:val="0"/>
      <w:divBdr>
        <w:top w:val="none" w:sz="0" w:space="0" w:color="auto"/>
        <w:left w:val="none" w:sz="0" w:space="0" w:color="auto"/>
        <w:bottom w:val="none" w:sz="0" w:space="0" w:color="auto"/>
        <w:right w:val="none" w:sz="0" w:space="0" w:color="auto"/>
      </w:divBdr>
    </w:div>
    <w:div w:id="1033457733">
      <w:bodyDiv w:val="1"/>
      <w:marLeft w:val="0"/>
      <w:marRight w:val="0"/>
      <w:marTop w:val="0"/>
      <w:marBottom w:val="0"/>
      <w:divBdr>
        <w:top w:val="none" w:sz="0" w:space="0" w:color="auto"/>
        <w:left w:val="none" w:sz="0" w:space="0" w:color="auto"/>
        <w:bottom w:val="none" w:sz="0" w:space="0" w:color="auto"/>
        <w:right w:val="none" w:sz="0" w:space="0" w:color="auto"/>
      </w:divBdr>
    </w:div>
    <w:div w:id="1034385819">
      <w:bodyDiv w:val="1"/>
      <w:marLeft w:val="0"/>
      <w:marRight w:val="0"/>
      <w:marTop w:val="0"/>
      <w:marBottom w:val="0"/>
      <w:divBdr>
        <w:top w:val="none" w:sz="0" w:space="0" w:color="auto"/>
        <w:left w:val="none" w:sz="0" w:space="0" w:color="auto"/>
        <w:bottom w:val="none" w:sz="0" w:space="0" w:color="auto"/>
        <w:right w:val="none" w:sz="0" w:space="0" w:color="auto"/>
      </w:divBdr>
    </w:div>
    <w:div w:id="1034504121">
      <w:bodyDiv w:val="1"/>
      <w:marLeft w:val="0"/>
      <w:marRight w:val="0"/>
      <w:marTop w:val="0"/>
      <w:marBottom w:val="0"/>
      <w:divBdr>
        <w:top w:val="none" w:sz="0" w:space="0" w:color="auto"/>
        <w:left w:val="none" w:sz="0" w:space="0" w:color="auto"/>
        <w:bottom w:val="none" w:sz="0" w:space="0" w:color="auto"/>
        <w:right w:val="none" w:sz="0" w:space="0" w:color="auto"/>
      </w:divBdr>
    </w:div>
    <w:div w:id="1035037473">
      <w:bodyDiv w:val="1"/>
      <w:marLeft w:val="0"/>
      <w:marRight w:val="0"/>
      <w:marTop w:val="0"/>
      <w:marBottom w:val="0"/>
      <w:divBdr>
        <w:top w:val="none" w:sz="0" w:space="0" w:color="auto"/>
        <w:left w:val="none" w:sz="0" w:space="0" w:color="auto"/>
        <w:bottom w:val="none" w:sz="0" w:space="0" w:color="auto"/>
        <w:right w:val="none" w:sz="0" w:space="0" w:color="auto"/>
      </w:divBdr>
    </w:div>
    <w:div w:id="1038166384">
      <w:bodyDiv w:val="1"/>
      <w:marLeft w:val="0"/>
      <w:marRight w:val="0"/>
      <w:marTop w:val="0"/>
      <w:marBottom w:val="0"/>
      <w:divBdr>
        <w:top w:val="none" w:sz="0" w:space="0" w:color="auto"/>
        <w:left w:val="none" w:sz="0" w:space="0" w:color="auto"/>
        <w:bottom w:val="none" w:sz="0" w:space="0" w:color="auto"/>
        <w:right w:val="none" w:sz="0" w:space="0" w:color="auto"/>
      </w:divBdr>
    </w:div>
    <w:div w:id="1042485707">
      <w:bodyDiv w:val="1"/>
      <w:marLeft w:val="0"/>
      <w:marRight w:val="0"/>
      <w:marTop w:val="0"/>
      <w:marBottom w:val="0"/>
      <w:divBdr>
        <w:top w:val="none" w:sz="0" w:space="0" w:color="auto"/>
        <w:left w:val="none" w:sz="0" w:space="0" w:color="auto"/>
        <w:bottom w:val="none" w:sz="0" w:space="0" w:color="auto"/>
        <w:right w:val="none" w:sz="0" w:space="0" w:color="auto"/>
      </w:divBdr>
    </w:div>
    <w:div w:id="1048068229">
      <w:bodyDiv w:val="1"/>
      <w:marLeft w:val="0"/>
      <w:marRight w:val="0"/>
      <w:marTop w:val="0"/>
      <w:marBottom w:val="0"/>
      <w:divBdr>
        <w:top w:val="none" w:sz="0" w:space="0" w:color="auto"/>
        <w:left w:val="none" w:sz="0" w:space="0" w:color="auto"/>
        <w:bottom w:val="none" w:sz="0" w:space="0" w:color="auto"/>
        <w:right w:val="none" w:sz="0" w:space="0" w:color="auto"/>
      </w:divBdr>
    </w:div>
    <w:div w:id="1057554547">
      <w:bodyDiv w:val="1"/>
      <w:marLeft w:val="0"/>
      <w:marRight w:val="0"/>
      <w:marTop w:val="0"/>
      <w:marBottom w:val="0"/>
      <w:divBdr>
        <w:top w:val="none" w:sz="0" w:space="0" w:color="auto"/>
        <w:left w:val="none" w:sz="0" w:space="0" w:color="auto"/>
        <w:bottom w:val="none" w:sz="0" w:space="0" w:color="auto"/>
        <w:right w:val="none" w:sz="0" w:space="0" w:color="auto"/>
      </w:divBdr>
    </w:div>
    <w:div w:id="1057822274">
      <w:bodyDiv w:val="1"/>
      <w:marLeft w:val="0"/>
      <w:marRight w:val="0"/>
      <w:marTop w:val="0"/>
      <w:marBottom w:val="0"/>
      <w:divBdr>
        <w:top w:val="none" w:sz="0" w:space="0" w:color="auto"/>
        <w:left w:val="none" w:sz="0" w:space="0" w:color="auto"/>
        <w:bottom w:val="none" w:sz="0" w:space="0" w:color="auto"/>
        <w:right w:val="none" w:sz="0" w:space="0" w:color="auto"/>
      </w:divBdr>
    </w:div>
    <w:div w:id="1068041738">
      <w:bodyDiv w:val="1"/>
      <w:marLeft w:val="0"/>
      <w:marRight w:val="0"/>
      <w:marTop w:val="0"/>
      <w:marBottom w:val="0"/>
      <w:divBdr>
        <w:top w:val="none" w:sz="0" w:space="0" w:color="auto"/>
        <w:left w:val="none" w:sz="0" w:space="0" w:color="auto"/>
        <w:bottom w:val="none" w:sz="0" w:space="0" w:color="auto"/>
        <w:right w:val="none" w:sz="0" w:space="0" w:color="auto"/>
      </w:divBdr>
    </w:div>
    <w:div w:id="1081826586">
      <w:bodyDiv w:val="1"/>
      <w:marLeft w:val="0"/>
      <w:marRight w:val="0"/>
      <w:marTop w:val="0"/>
      <w:marBottom w:val="0"/>
      <w:divBdr>
        <w:top w:val="none" w:sz="0" w:space="0" w:color="auto"/>
        <w:left w:val="none" w:sz="0" w:space="0" w:color="auto"/>
        <w:bottom w:val="none" w:sz="0" w:space="0" w:color="auto"/>
        <w:right w:val="none" w:sz="0" w:space="0" w:color="auto"/>
      </w:divBdr>
    </w:div>
    <w:div w:id="1082874673">
      <w:bodyDiv w:val="1"/>
      <w:marLeft w:val="0"/>
      <w:marRight w:val="0"/>
      <w:marTop w:val="0"/>
      <w:marBottom w:val="0"/>
      <w:divBdr>
        <w:top w:val="none" w:sz="0" w:space="0" w:color="auto"/>
        <w:left w:val="none" w:sz="0" w:space="0" w:color="auto"/>
        <w:bottom w:val="none" w:sz="0" w:space="0" w:color="auto"/>
        <w:right w:val="none" w:sz="0" w:space="0" w:color="auto"/>
      </w:divBdr>
    </w:div>
    <w:div w:id="1093741006">
      <w:bodyDiv w:val="1"/>
      <w:marLeft w:val="0"/>
      <w:marRight w:val="0"/>
      <w:marTop w:val="0"/>
      <w:marBottom w:val="0"/>
      <w:divBdr>
        <w:top w:val="none" w:sz="0" w:space="0" w:color="auto"/>
        <w:left w:val="none" w:sz="0" w:space="0" w:color="auto"/>
        <w:bottom w:val="none" w:sz="0" w:space="0" w:color="auto"/>
        <w:right w:val="none" w:sz="0" w:space="0" w:color="auto"/>
      </w:divBdr>
    </w:div>
    <w:div w:id="1131940620">
      <w:bodyDiv w:val="1"/>
      <w:marLeft w:val="0"/>
      <w:marRight w:val="0"/>
      <w:marTop w:val="0"/>
      <w:marBottom w:val="0"/>
      <w:divBdr>
        <w:top w:val="none" w:sz="0" w:space="0" w:color="auto"/>
        <w:left w:val="none" w:sz="0" w:space="0" w:color="auto"/>
        <w:bottom w:val="none" w:sz="0" w:space="0" w:color="auto"/>
        <w:right w:val="none" w:sz="0" w:space="0" w:color="auto"/>
      </w:divBdr>
    </w:div>
    <w:div w:id="1137796525">
      <w:bodyDiv w:val="1"/>
      <w:marLeft w:val="0"/>
      <w:marRight w:val="0"/>
      <w:marTop w:val="0"/>
      <w:marBottom w:val="0"/>
      <w:divBdr>
        <w:top w:val="none" w:sz="0" w:space="0" w:color="auto"/>
        <w:left w:val="none" w:sz="0" w:space="0" w:color="auto"/>
        <w:bottom w:val="none" w:sz="0" w:space="0" w:color="auto"/>
        <w:right w:val="none" w:sz="0" w:space="0" w:color="auto"/>
      </w:divBdr>
    </w:div>
    <w:div w:id="1149249805">
      <w:bodyDiv w:val="1"/>
      <w:marLeft w:val="0"/>
      <w:marRight w:val="0"/>
      <w:marTop w:val="0"/>
      <w:marBottom w:val="0"/>
      <w:divBdr>
        <w:top w:val="none" w:sz="0" w:space="0" w:color="auto"/>
        <w:left w:val="none" w:sz="0" w:space="0" w:color="auto"/>
        <w:bottom w:val="none" w:sz="0" w:space="0" w:color="auto"/>
        <w:right w:val="none" w:sz="0" w:space="0" w:color="auto"/>
      </w:divBdr>
    </w:div>
    <w:div w:id="1150443219">
      <w:bodyDiv w:val="1"/>
      <w:marLeft w:val="0"/>
      <w:marRight w:val="0"/>
      <w:marTop w:val="0"/>
      <w:marBottom w:val="0"/>
      <w:divBdr>
        <w:top w:val="none" w:sz="0" w:space="0" w:color="auto"/>
        <w:left w:val="none" w:sz="0" w:space="0" w:color="auto"/>
        <w:bottom w:val="none" w:sz="0" w:space="0" w:color="auto"/>
        <w:right w:val="none" w:sz="0" w:space="0" w:color="auto"/>
      </w:divBdr>
    </w:div>
    <w:div w:id="1164977971">
      <w:bodyDiv w:val="1"/>
      <w:marLeft w:val="0"/>
      <w:marRight w:val="0"/>
      <w:marTop w:val="0"/>
      <w:marBottom w:val="0"/>
      <w:divBdr>
        <w:top w:val="none" w:sz="0" w:space="0" w:color="auto"/>
        <w:left w:val="none" w:sz="0" w:space="0" w:color="auto"/>
        <w:bottom w:val="none" w:sz="0" w:space="0" w:color="auto"/>
        <w:right w:val="none" w:sz="0" w:space="0" w:color="auto"/>
      </w:divBdr>
    </w:div>
    <w:div w:id="1174614059">
      <w:bodyDiv w:val="1"/>
      <w:marLeft w:val="0"/>
      <w:marRight w:val="0"/>
      <w:marTop w:val="0"/>
      <w:marBottom w:val="0"/>
      <w:divBdr>
        <w:top w:val="none" w:sz="0" w:space="0" w:color="auto"/>
        <w:left w:val="none" w:sz="0" w:space="0" w:color="auto"/>
        <w:bottom w:val="none" w:sz="0" w:space="0" w:color="auto"/>
        <w:right w:val="none" w:sz="0" w:space="0" w:color="auto"/>
      </w:divBdr>
    </w:div>
    <w:div w:id="1175150539">
      <w:bodyDiv w:val="1"/>
      <w:marLeft w:val="0"/>
      <w:marRight w:val="0"/>
      <w:marTop w:val="0"/>
      <w:marBottom w:val="0"/>
      <w:divBdr>
        <w:top w:val="none" w:sz="0" w:space="0" w:color="auto"/>
        <w:left w:val="none" w:sz="0" w:space="0" w:color="auto"/>
        <w:bottom w:val="none" w:sz="0" w:space="0" w:color="auto"/>
        <w:right w:val="none" w:sz="0" w:space="0" w:color="auto"/>
      </w:divBdr>
    </w:div>
    <w:div w:id="1176118655">
      <w:bodyDiv w:val="1"/>
      <w:marLeft w:val="0"/>
      <w:marRight w:val="0"/>
      <w:marTop w:val="0"/>
      <w:marBottom w:val="0"/>
      <w:divBdr>
        <w:top w:val="none" w:sz="0" w:space="0" w:color="auto"/>
        <w:left w:val="none" w:sz="0" w:space="0" w:color="auto"/>
        <w:bottom w:val="none" w:sz="0" w:space="0" w:color="auto"/>
        <w:right w:val="none" w:sz="0" w:space="0" w:color="auto"/>
      </w:divBdr>
    </w:div>
    <w:div w:id="1187020347">
      <w:bodyDiv w:val="1"/>
      <w:marLeft w:val="0"/>
      <w:marRight w:val="0"/>
      <w:marTop w:val="0"/>
      <w:marBottom w:val="0"/>
      <w:divBdr>
        <w:top w:val="none" w:sz="0" w:space="0" w:color="auto"/>
        <w:left w:val="none" w:sz="0" w:space="0" w:color="auto"/>
        <w:bottom w:val="none" w:sz="0" w:space="0" w:color="auto"/>
        <w:right w:val="none" w:sz="0" w:space="0" w:color="auto"/>
      </w:divBdr>
    </w:div>
    <w:div w:id="1195659286">
      <w:bodyDiv w:val="1"/>
      <w:marLeft w:val="0"/>
      <w:marRight w:val="0"/>
      <w:marTop w:val="0"/>
      <w:marBottom w:val="0"/>
      <w:divBdr>
        <w:top w:val="none" w:sz="0" w:space="0" w:color="auto"/>
        <w:left w:val="none" w:sz="0" w:space="0" w:color="auto"/>
        <w:bottom w:val="none" w:sz="0" w:space="0" w:color="auto"/>
        <w:right w:val="none" w:sz="0" w:space="0" w:color="auto"/>
      </w:divBdr>
    </w:div>
    <w:div w:id="1207109211">
      <w:bodyDiv w:val="1"/>
      <w:marLeft w:val="0"/>
      <w:marRight w:val="0"/>
      <w:marTop w:val="0"/>
      <w:marBottom w:val="0"/>
      <w:divBdr>
        <w:top w:val="none" w:sz="0" w:space="0" w:color="auto"/>
        <w:left w:val="none" w:sz="0" w:space="0" w:color="auto"/>
        <w:bottom w:val="none" w:sz="0" w:space="0" w:color="auto"/>
        <w:right w:val="none" w:sz="0" w:space="0" w:color="auto"/>
      </w:divBdr>
    </w:div>
    <w:div w:id="1211072233">
      <w:bodyDiv w:val="1"/>
      <w:marLeft w:val="0"/>
      <w:marRight w:val="0"/>
      <w:marTop w:val="0"/>
      <w:marBottom w:val="0"/>
      <w:divBdr>
        <w:top w:val="none" w:sz="0" w:space="0" w:color="auto"/>
        <w:left w:val="none" w:sz="0" w:space="0" w:color="auto"/>
        <w:bottom w:val="none" w:sz="0" w:space="0" w:color="auto"/>
        <w:right w:val="none" w:sz="0" w:space="0" w:color="auto"/>
      </w:divBdr>
    </w:div>
    <w:div w:id="1216576637">
      <w:bodyDiv w:val="1"/>
      <w:marLeft w:val="0"/>
      <w:marRight w:val="0"/>
      <w:marTop w:val="0"/>
      <w:marBottom w:val="0"/>
      <w:divBdr>
        <w:top w:val="none" w:sz="0" w:space="0" w:color="auto"/>
        <w:left w:val="none" w:sz="0" w:space="0" w:color="auto"/>
        <w:bottom w:val="none" w:sz="0" w:space="0" w:color="auto"/>
        <w:right w:val="none" w:sz="0" w:space="0" w:color="auto"/>
      </w:divBdr>
    </w:div>
    <w:div w:id="1216812935">
      <w:bodyDiv w:val="1"/>
      <w:marLeft w:val="0"/>
      <w:marRight w:val="0"/>
      <w:marTop w:val="0"/>
      <w:marBottom w:val="0"/>
      <w:divBdr>
        <w:top w:val="none" w:sz="0" w:space="0" w:color="auto"/>
        <w:left w:val="none" w:sz="0" w:space="0" w:color="auto"/>
        <w:bottom w:val="none" w:sz="0" w:space="0" w:color="auto"/>
        <w:right w:val="none" w:sz="0" w:space="0" w:color="auto"/>
      </w:divBdr>
    </w:div>
    <w:div w:id="1218980241">
      <w:bodyDiv w:val="1"/>
      <w:marLeft w:val="0"/>
      <w:marRight w:val="0"/>
      <w:marTop w:val="0"/>
      <w:marBottom w:val="0"/>
      <w:divBdr>
        <w:top w:val="none" w:sz="0" w:space="0" w:color="auto"/>
        <w:left w:val="none" w:sz="0" w:space="0" w:color="auto"/>
        <w:bottom w:val="none" w:sz="0" w:space="0" w:color="auto"/>
        <w:right w:val="none" w:sz="0" w:space="0" w:color="auto"/>
      </w:divBdr>
    </w:div>
    <w:div w:id="1223367169">
      <w:bodyDiv w:val="1"/>
      <w:marLeft w:val="0"/>
      <w:marRight w:val="0"/>
      <w:marTop w:val="0"/>
      <w:marBottom w:val="0"/>
      <w:divBdr>
        <w:top w:val="none" w:sz="0" w:space="0" w:color="auto"/>
        <w:left w:val="none" w:sz="0" w:space="0" w:color="auto"/>
        <w:bottom w:val="none" w:sz="0" w:space="0" w:color="auto"/>
        <w:right w:val="none" w:sz="0" w:space="0" w:color="auto"/>
      </w:divBdr>
    </w:div>
    <w:div w:id="1226724793">
      <w:bodyDiv w:val="1"/>
      <w:marLeft w:val="0"/>
      <w:marRight w:val="0"/>
      <w:marTop w:val="0"/>
      <w:marBottom w:val="0"/>
      <w:divBdr>
        <w:top w:val="none" w:sz="0" w:space="0" w:color="auto"/>
        <w:left w:val="none" w:sz="0" w:space="0" w:color="auto"/>
        <w:bottom w:val="none" w:sz="0" w:space="0" w:color="auto"/>
        <w:right w:val="none" w:sz="0" w:space="0" w:color="auto"/>
      </w:divBdr>
    </w:div>
    <w:div w:id="1248031384">
      <w:bodyDiv w:val="1"/>
      <w:marLeft w:val="0"/>
      <w:marRight w:val="0"/>
      <w:marTop w:val="0"/>
      <w:marBottom w:val="0"/>
      <w:divBdr>
        <w:top w:val="none" w:sz="0" w:space="0" w:color="auto"/>
        <w:left w:val="none" w:sz="0" w:space="0" w:color="auto"/>
        <w:bottom w:val="none" w:sz="0" w:space="0" w:color="auto"/>
        <w:right w:val="none" w:sz="0" w:space="0" w:color="auto"/>
      </w:divBdr>
    </w:div>
    <w:div w:id="1253854893">
      <w:bodyDiv w:val="1"/>
      <w:marLeft w:val="0"/>
      <w:marRight w:val="0"/>
      <w:marTop w:val="0"/>
      <w:marBottom w:val="0"/>
      <w:divBdr>
        <w:top w:val="none" w:sz="0" w:space="0" w:color="auto"/>
        <w:left w:val="none" w:sz="0" w:space="0" w:color="auto"/>
        <w:bottom w:val="none" w:sz="0" w:space="0" w:color="auto"/>
        <w:right w:val="none" w:sz="0" w:space="0" w:color="auto"/>
      </w:divBdr>
    </w:div>
    <w:div w:id="1254120888">
      <w:bodyDiv w:val="1"/>
      <w:marLeft w:val="0"/>
      <w:marRight w:val="0"/>
      <w:marTop w:val="0"/>
      <w:marBottom w:val="0"/>
      <w:divBdr>
        <w:top w:val="none" w:sz="0" w:space="0" w:color="auto"/>
        <w:left w:val="none" w:sz="0" w:space="0" w:color="auto"/>
        <w:bottom w:val="none" w:sz="0" w:space="0" w:color="auto"/>
        <w:right w:val="none" w:sz="0" w:space="0" w:color="auto"/>
      </w:divBdr>
    </w:div>
    <w:div w:id="1258826225">
      <w:bodyDiv w:val="1"/>
      <w:marLeft w:val="0"/>
      <w:marRight w:val="0"/>
      <w:marTop w:val="0"/>
      <w:marBottom w:val="0"/>
      <w:divBdr>
        <w:top w:val="none" w:sz="0" w:space="0" w:color="auto"/>
        <w:left w:val="none" w:sz="0" w:space="0" w:color="auto"/>
        <w:bottom w:val="none" w:sz="0" w:space="0" w:color="auto"/>
        <w:right w:val="none" w:sz="0" w:space="0" w:color="auto"/>
      </w:divBdr>
    </w:div>
    <w:div w:id="1271015806">
      <w:bodyDiv w:val="1"/>
      <w:marLeft w:val="0"/>
      <w:marRight w:val="0"/>
      <w:marTop w:val="0"/>
      <w:marBottom w:val="0"/>
      <w:divBdr>
        <w:top w:val="none" w:sz="0" w:space="0" w:color="auto"/>
        <w:left w:val="none" w:sz="0" w:space="0" w:color="auto"/>
        <w:bottom w:val="none" w:sz="0" w:space="0" w:color="auto"/>
        <w:right w:val="none" w:sz="0" w:space="0" w:color="auto"/>
      </w:divBdr>
    </w:div>
    <w:div w:id="1284074223">
      <w:bodyDiv w:val="1"/>
      <w:marLeft w:val="0"/>
      <w:marRight w:val="0"/>
      <w:marTop w:val="0"/>
      <w:marBottom w:val="0"/>
      <w:divBdr>
        <w:top w:val="none" w:sz="0" w:space="0" w:color="auto"/>
        <w:left w:val="none" w:sz="0" w:space="0" w:color="auto"/>
        <w:bottom w:val="none" w:sz="0" w:space="0" w:color="auto"/>
        <w:right w:val="none" w:sz="0" w:space="0" w:color="auto"/>
      </w:divBdr>
    </w:div>
    <w:div w:id="1285036456">
      <w:bodyDiv w:val="1"/>
      <w:marLeft w:val="0"/>
      <w:marRight w:val="0"/>
      <w:marTop w:val="0"/>
      <w:marBottom w:val="0"/>
      <w:divBdr>
        <w:top w:val="none" w:sz="0" w:space="0" w:color="auto"/>
        <w:left w:val="none" w:sz="0" w:space="0" w:color="auto"/>
        <w:bottom w:val="none" w:sz="0" w:space="0" w:color="auto"/>
        <w:right w:val="none" w:sz="0" w:space="0" w:color="auto"/>
      </w:divBdr>
    </w:div>
    <w:div w:id="1311982327">
      <w:bodyDiv w:val="1"/>
      <w:marLeft w:val="0"/>
      <w:marRight w:val="0"/>
      <w:marTop w:val="0"/>
      <w:marBottom w:val="0"/>
      <w:divBdr>
        <w:top w:val="none" w:sz="0" w:space="0" w:color="auto"/>
        <w:left w:val="none" w:sz="0" w:space="0" w:color="auto"/>
        <w:bottom w:val="none" w:sz="0" w:space="0" w:color="auto"/>
        <w:right w:val="none" w:sz="0" w:space="0" w:color="auto"/>
      </w:divBdr>
    </w:div>
    <w:div w:id="1314524940">
      <w:bodyDiv w:val="1"/>
      <w:marLeft w:val="0"/>
      <w:marRight w:val="0"/>
      <w:marTop w:val="0"/>
      <w:marBottom w:val="0"/>
      <w:divBdr>
        <w:top w:val="none" w:sz="0" w:space="0" w:color="auto"/>
        <w:left w:val="none" w:sz="0" w:space="0" w:color="auto"/>
        <w:bottom w:val="none" w:sz="0" w:space="0" w:color="auto"/>
        <w:right w:val="none" w:sz="0" w:space="0" w:color="auto"/>
      </w:divBdr>
    </w:div>
    <w:div w:id="1318143767">
      <w:bodyDiv w:val="1"/>
      <w:marLeft w:val="0"/>
      <w:marRight w:val="0"/>
      <w:marTop w:val="0"/>
      <w:marBottom w:val="0"/>
      <w:divBdr>
        <w:top w:val="none" w:sz="0" w:space="0" w:color="auto"/>
        <w:left w:val="none" w:sz="0" w:space="0" w:color="auto"/>
        <w:bottom w:val="none" w:sz="0" w:space="0" w:color="auto"/>
        <w:right w:val="none" w:sz="0" w:space="0" w:color="auto"/>
      </w:divBdr>
    </w:div>
    <w:div w:id="1320311541">
      <w:bodyDiv w:val="1"/>
      <w:marLeft w:val="0"/>
      <w:marRight w:val="0"/>
      <w:marTop w:val="0"/>
      <w:marBottom w:val="0"/>
      <w:divBdr>
        <w:top w:val="none" w:sz="0" w:space="0" w:color="auto"/>
        <w:left w:val="none" w:sz="0" w:space="0" w:color="auto"/>
        <w:bottom w:val="none" w:sz="0" w:space="0" w:color="auto"/>
        <w:right w:val="none" w:sz="0" w:space="0" w:color="auto"/>
      </w:divBdr>
    </w:div>
    <w:div w:id="1321614749">
      <w:bodyDiv w:val="1"/>
      <w:marLeft w:val="0"/>
      <w:marRight w:val="0"/>
      <w:marTop w:val="0"/>
      <w:marBottom w:val="0"/>
      <w:divBdr>
        <w:top w:val="none" w:sz="0" w:space="0" w:color="auto"/>
        <w:left w:val="none" w:sz="0" w:space="0" w:color="auto"/>
        <w:bottom w:val="none" w:sz="0" w:space="0" w:color="auto"/>
        <w:right w:val="none" w:sz="0" w:space="0" w:color="auto"/>
      </w:divBdr>
    </w:div>
    <w:div w:id="1326742631">
      <w:bodyDiv w:val="1"/>
      <w:marLeft w:val="0"/>
      <w:marRight w:val="0"/>
      <w:marTop w:val="0"/>
      <w:marBottom w:val="0"/>
      <w:divBdr>
        <w:top w:val="none" w:sz="0" w:space="0" w:color="auto"/>
        <w:left w:val="none" w:sz="0" w:space="0" w:color="auto"/>
        <w:bottom w:val="none" w:sz="0" w:space="0" w:color="auto"/>
        <w:right w:val="none" w:sz="0" w:space="0" w:color="auto"/>
      </w:divBdr>
    </w:div>
    <w:div w:id="1349521809">
      <w:bodyDiv w:val="1"/>
      <w:marLeft w:val="0"/>
      <w:marRight w:val="0"/>
      <w:marTop w:val="0"/>
      <w:marBottom w:val="0"/>
      <w:divBdr>
        <w:top w:val="none" w:sz="0" w:space="0" w:color="auto"/>
        <w:left w:val="none" w:sz="0" w:space="0" w:color="auto"/>
        <w:bottom w:val="none" w:sz="0" w:space="0" w:color="auto"/>
        <w:right w:val="none" w:sz="0" w:space="0" w:color="auto"/>
      </w:divBdr>
    </w:div>
    <w:div w:id="1350445916">
      <w:bodyDiv w:val="1"/>
      <w:marLeft w:val="0"/>
      <w:marRight w:val="0"/>
      <w:marTop w:val="0"/>
      <w:marBottom w:val="0"/>
      <w:divBdr>
        <w:top w:val="none" w:sz="0" w:space="0" w:color="auto"/>
        <w:left w:val="none" w:sz="0" w:space="0" w:color="auto"/>
        <w:bottom w:val="none" w:sz="0" w:space="0" w:color="auto"/>
        <w:right w:val="none" w:sz="0" w:space="0" w:color="auto"/>
      </w:divBdr>
    </w:div>
    <w:div w:id="1375495808">
      <w:bodyDiv w:val="1"/>
      <w:marLeft w:val="0"/>
      <w:marRight w:val="0"/>
      <w:marTop w:val="0"/>
      <w:marBottom w:val="0"/>
      <w:divBdr>
        <w:top w:val="none" w:sz="0" w:space="0" w:color="auto"/>
        <w:left w:val="none" w:sz="0" w:space="0" w:color="auto"/>
        <w:bottom w:val="none" w:sz="0" w:space="0" w:color="auto"/>
        <w:right w:val="none" w:sz="0" w:space="0" w:color="auto"/>
      </w:divBdr>
    </w:div>
    <w:div w:id="1376077504">
      <w:bodyDiv w:val="1"/>
      <w:marLeft w:val="0"/>
      <w:marRight w:val="0"/>
      <w:marTop w:val="0"/>
      <w:marBottom w:val="0"/>
      <w:divBdr>
        <w:top w:val="none" w:sz="0" w:space="0" w:color="auto"/>
        <w:left w:val="none" w:sz="0" w:space="0" w:color="auto"/>
        <w:bottom w:val="none" w:sz="0" w:space="0" w:color="auto"/>
        <w:right w:val="none" w:sz="0" w:space="0" w:color="auto"/>
      </w:divBdr>
    </w:div>
    <w:div w:id="1384017091">
      <w:bodyDiv w:val="1"/>
      <w:marLeft w:val="0"/>
      <w:marRight w:val="0"/>
      <w:marTop w:val="0"/>
      <w:marBottom w:val="0"/>
      <w:divBdr>
        <w:top w:val="none" w:sz="0" w:space="0" w:color="auto"/>
        <w:left w:val="none" w:sz="0" w:space="0" w:color="auto"/>
        <w:bottom w:val="none" w:sz="0" w:space="0" w:color="auto"/>
        <w:right w:val="none" w:sz="0" w:space="0" w:color="auto"/>
      </w:divBdr>
    </w:div>
    <w:div w:id="1385829891">
      <w:bodyDiv w:val="1"/>
      <w:marLeft w:val="0"/>
      <w:marRight w:val="0"/>
      <w:marTop w:val="0"/>
      <w:marBottom w:val="0"/>
      <w:divBdr>
        <w:top w:val="none" w:sz="0" w:space="0" w:color="auto"/>
        <w:left w:val="none" w:sz="0" w:space="0" w:color="auto"/>
        <w:bottom w:val="none" w:sz="0" w:space="0" w:color="auto"/>
        <w:right w:val="none" w:sz="0" w:space="0" w:color="auto"/>
      </w:divBdr>
    </w:div>
    <w:div w:id="1387946669">
      <w:bodyDiv w:val="1"/>
      <w:marLeft w:val="0"/>
      <w:marRight w:val="0"/>
      <w:marTop w:val="0"/>
      <w:marBottom w:val="0"/>
      <w:divBdr>
        <w:top w:val="none" w:sz="0" w:space="0" w:color="auto"/>
        <w:left w:val="none" w:sz="0" w:space="0" w:color="auto"/>
        <w:bottom w:val="none" w:sz="0" w:space="0" w:color="auto"/>
        <w:right w:val="none" w:sz="0" w:space="0" w:color="auto"/>
      </w:divBdr>
    </w:div>
    <w:div w:id="1392341803">
      <w:bodyDiv w:val="1"/>
      <w:marLeft w:val="0"/>
      <w:marRight w:val="0"/>
      <w:marTop w:val="0"/>
      <w:marBottom w:val="0"/>
      <w:divBdr>
        <w:top w:val="none" w:sz="0" w:space="0" w:color="auto"/>
        <w:left w:val="none" w:sz="0" w:space="0" w:color="auto"/>
        <w:bottom w:val="none" w:sz="0" w:space="0" w:color="auto"/>
        <w:right w:val="none" w:sz="0" w:space="0" w:color="auto"/>
      </w:divBdr>
    </w:div>
    <w:div w:id="1397783450">
      <w:bodyDiv w:val="1"/>
      <w:marLeft w:val="0"/>
      <w:marRight w:val="0"/>
      <w:marTop w:val="0"/>
      <w:marBottom w:val="0"/>
      <w:divBdr>
        <w:top w:val="none" w:sz="0" w:space="0" w:color="auto"/>
        <w:left w:val="none" w:sz="0" w:space="0" w:color="auto"/>
        <w:bottom w:val="none" w:sz="0" w:space="0" w:color="auto"/>
        <w:right w:val="none" w:sz="0" w:space="0" w:color="auto"/>
      </w:divBdr>
    </w:div>
    <w:div w:id="1421684827">
      <w:bodyDiv w:val="1"/>
      <w:marLeft w:val="0"/>
      <w:marRight w:val="0"/>
      <w:marTop w:val="0"/>
      <w:marBottom w:val="0"/>
      <w:divBdr>
        <w:top w:val="none" w:sz="0" w:space="0" w:color="auto"/>
        <w:left w:val="none" w:sz="0" w:space="0" w:color="auto"/>
        <w:bottom w:val="none" w:sz="0" w:space="0" w:color="auto"/>
        <w:right w:val="none" w:sz="0" w:space="0" w:color="auto"/>
      </w:divBdr>
    </w:div>
    <w:div w:id="1436749803">
      <w:bodyDiv w:val="1"/>
      <w:marLeft w:val="0"/>
      <w:marRight w:val="0"/>
      <w:marTop w:val="0"/>
      <w:marBottom w:val="0"/>
      <w:divBdr>
        <w:top w:val="none" w:sz="0" w:space="0" w:color="auto"/>
        <w:left w:val="none" w:sz="0" w:space="0" w:color="auto"/>
        <w:bottom w:val="none" w:sz="0" w:space="0" w:color="auto"/>
        <w:right w:val="none" w:sz="0" w:space="0" w:color="auto"/>
      </w:divBdr>
    </w:div>
    <w:div w:id="1446924478">
      <w:bodyDiv w:val="1"/>
      <w:marLeft w:val="0"/>
      <w:marRight w:val="0"/>
      <w:marTop w:val="0"/>
      <w:marBottom w:val="0"/>
      <w:divBdr>
        <w:top w:val="none" w:sz="0" w:space="0" w:color="auto"/>
        <w:left w:val="none" w:sz="0" w:space="0" w:color="auto"/>
        <w:bottom w:val="none" w:sz="0" w:space="0" w:color="auto"/>
        <w:right w:val="none" w:sz="0" w:space="0" w:color="auto"/>
      </w:divBdr>
    </w:div>
    <w:div w:id="1452548981">
      <w:bodyDiv w:val="1"/>
      <w:marLeft w:val="0"/>
      <w:marRight w:val="0"/>
      <w:marTop w:val="0"/>
      <w:marBottom w:val="0"/>
      <w:divBdr>
        <w:top w:val="none" w:sz="0" w:space="0" w:color="auto"/>
        <w:left w:val="none" w:sz="0" w:space="0" w:color="auto"/>
        <w:bottom w:val="none" w:sz="0" w:space="0" w:color="auto"/>
        <w:right w:val="none" w:sz="0" w:space="0" w:color="auto"/>
      </w:divBdr>
    </w:div>
    <w:div w:id="1458063865">
      <w:bodyDiv w:val="1"/>
      <w:marLeft w:val="0"/>
      <w:marRight w:val="0"/>
      <w:marTop w:val="0"/>
      <w:marBottom w:val="0"/>
      <w:divBdr>
        <w:top w:val="none" w:sz="0" w:space="0" w:color="auto"/>
        <w:left w:val="none" w:sz="0" w:space="0" w:color="auto"/>
        <w:bottom w:val="none" w:sz="0" w:space="0" w:color="auto"/>
        <w:right w:val="none" w:sz="0" w:space="0" w:color="auto"/>
      </w:divBdr>
    </w:div>
    <w:div w:id="1458374398">
      <w:bodyDiv w:val="1"/>
      <w:marLeft w:val="0"/>
      <w:marRight w:val="0"/>
      <w:marTop w:val="0"/>
      <w:marBottom w:val="0"/>
      <w:divBdr>
        <w:top w:val="none" w:sz="0" w:space="0" w:color="auto"/>
        <w:left w:val="none" w:sz="0" w:space="0" w:color="auto"/>
        <w:bottom w:val="none" w:sz="0" w:space="0" w:color="auto"/>
        <w:right w:val="none" w:sz="0" w:space="0" w:color="auto"/>
      </w:divBdr>
    </w:div>
    <w:div w:id="1462529302">
      <w:bodyDiv w:val="1"/>
      <w:marLeft w:val="0"/>
      <w:marRight w:val="0"/>
      <w:marTop w:val="0"/>
      <w:marBottom w:val="0"/>
      <w:divBdr>
        <w:top w:val="none" w:sz="0" w:space="0" w:color="auto"/>
        <w:left w:val="none" w:sz="0" w:space="0" w:color="auto"/>
        <w:bottom w:val="none" w:sz="0" w:space="0" w:color="auto"/>
        <w:right w:val="none" w:sz="0" w:space="0" w:color="auto"/>
      </w:divBdr>
    </w:div>
    <w:div w:id="1475558149">
      <w:bodyDiv w:val="1"/>
      <w:marLeft w:val="0"/>
      <w:marRight w:val="0"/>
      <w:marTop w:val="0"/>
      <w:marBottom w:val="0"/>
      <w:divBdr>
        <w:top w:val="none" w:sz="0" w:space="0" w:color="auto"/>
        <w:left w:val="none" w:sz="0" w:space="0" w:color="auto"/>
        <w:bottom w:val="none" w:sz="0" w:space="0" w:color="auto"/>
        <w:right w:val="none" w:sz="0" w:space="0" w:color="auto"/>
      </w:divBdr>
    </w:div>
    <w:div w:id="1487622119">
      <w:bodyDiv w:val="1"/>
      <w:marLeft w:val="0"/>
      <w:marRight w:val="0"/>
      <w:marTop w:val="0"/>
      <w:marBottom w:val="0"/>
      <w:divBdr>
        <w:top w:val="none" w:sz="0" w:space="0" w:color="auto"/>
        <w:left w:val="none" w:sz="0" w:space="0" w:color="auto"/>
        <w:bottom w:val="none" w:sz="0" w:space="0" w:color="auto"/>
        <w:right w:val="none" w:sz="0" w:space="0" w:color="auto"/>
      </w:divBdr>
    </w:div>
    <w:div w:id="1501119184">
      <w:bodyDiv w:val="1"/>
      <w:marLeft w:val="0"/>
      <w:marRight w:val="0"/>
      <w:marTop w:val="0"/>
      <w:marBottom w:val="0"/>
      <w:divBdr>
        <w:top w:val="none" w:sz="0" w:space="0" w:color="auto"/>
        <w:left w:val="none" w:sz="0" w:space="0" w:color="auto"/>
        <w:bottom w:val="none" w:sz="0" w:space="0" w:color="auto"/>
        <w:right w:val="none" w:sz="0" w:space="0" w:color="auto"/>
      </w:divBdr>
    </w:div>
    <w:div w:id="1517619252">
      <w:bodyDiv w:val="1"/>
      <w:marLeft w:val="0"/>
      <w:marRight w:val="0"/>
      <w:marTop w:val="0"/>
      <w:marBottom w:val="0"/>
      <w:divBdr>
        <w:top w:val="none" w:sz="0" w:space="0" w:color="auto"/>
        <w:left w:val="none" w:sz="0" w:space="0" w:color="auto"/>
        <w:bottom w:val="none" w:sz="0" w:space="0" w:color="auto"/>
        <w:right w:val="none" w:sz="0" w:space="0" w:color="auto"/>
      </w:divBdr>
    </w:div>
    <w:div w:id="1524441408">
      <w:bodyDiv w:val="1"/>
      <w:marLeft w:val="0"/>
      <w:marRight w:val="0"/>
      <w:marTop w:val="0"/>
      <w:marBottom w:val="0"/>
      <w:divBdr>
        <w:top w:val="none" w:sz="0" w:space="0" w:color="auto"/>
        <w:left w:val="none" w:sz="0" w:space="0" w:color="auto"/>
        <w:bottom w:val="none" w:sz="0" w:space="0" w:color="auto"/>
        <w:right w:val="none" w:sz="0" w:space="0" w:color="auto"/>
      </w:divBdr>
    </w:div>
    <w:div w:id="1526360720">
      <w:bodyDiv w:val="1"/>
      <w:marLeft w:val="0"/>
      <w:marRight w:val="0"/>
      <w:marTop w:val="0"/>
      <w:marBottom w:val="0"/>
      <w:divBdr>
        <w:top w:val="none" w:sz="0" w:space="0" w:color="auto"/>
        <w:left w:val="none" w:sz="0" w:space="0" w:color="auto"/>
        <w:bottom w:val="none" w:sz="0" w:space="0" w:color="auto"/>
        <w:right w:val="none" w:sz="0" w:space="0" w:color="auto"/>
      </w:divBdr>
    </w:div>
    <w:div w:id="1540360940">
      <w:bodyDiv w:val="1"/>
      <w:marLeft w:val="0"/>
      <w:marRight w:val="0"/>
      <w:marTop w:val="0"/>
      <w:marBottom w:val="0"/>
      <w:divBdr>
        <w:top w:val="none" w:sz="0" w:space="0" w:color="auto"/>
        <w:left w:val="none" w:sz="0" w:space="0" w:color="auto"/>
        <w:bottom w:val="none" w:sz="0" w:space="0" w:color="auto"/>
        <w:right w:val="none" w:sz="0" w:space="0" w:color="auto"/>
      </w:divBdr>
    </w:div>
    <w:div w:id="1541236434">
      <w:bodyDiv w:val="1"/>
      <w:marLeft w:val="0"/>
      <w:marRight w:val="0"/>
      <w:marTop w:val="0"/>
      <w:marBottom w:val="0"/>
      <w:divBdr>
        <w:top w:val="none" w:sz="0" w:space="0" w:color="auto"/>
        <w:left w:val="none" w:sz="0" w:space="0" w:color="auto"/>
        <w:bottom w:val="none" w:sz="0" w:space="0" w:color="auto"/>
        <w:right w:val="none" w:sz="0" w:space="0" w:color="auto"/>
      </w:divBdr>
    </w:div>
    <w:div w:id="1558786787">
      <w:bodyDiv w:val="1"/>
      <w:marLeft w:val="0"/>
      <w:marRight w:val="0"/>
      <w:marTop w:val="0"/>
      <w:marBottom w:val="0"/>
      <w:divBdr>
        <w:top w:val="none" w:sz="0" w:space="0" w:color="auto"/>
        <w:left w:val="none" w:sz="0" w:space="0" w:color="auto"/>
        <w:bottom w:val="none" w:sz="0" w:space="0" w:color="auto"/>
        <w:right w:val="none" w:sz="0" w:space="0" w:color="auto"/>
      </w:divBdr>
    </w:div>
    <w:div w:id="1564633504">
      <w:bodyDiv w:val="1"/>
      <w:marLeft w:val="0"/>
      <w:marRight w:val="0"/>
      <w:marTop w:val="0"/>
      <w:marBottom w:val="0"/>
      <w:divBdr>
        <w:top w:val="none" w:sz="0" w:space="0" w:color="auto"/>
        <w:left w:val="none" w:sz="0" w:space="0" w:color="auto"/>
        <w:bottom w:val="none" w:sz="0" w:space="0" w:color="auto"/>
        <w:right w:val="none" w:sz="0" w:space="0" w:color="auto"/>
      </w:divBdr>
    </w:div>
    <w:div w:id="1569343468">
      <w:bodyDiv w:val="1"/>
      <w:marLeft w:val="0"/>
      <w:marRight w:val="0"/>
      <w:marTop w:val="0"/>
      <w:marBottom w:val="0"/>
      <w:divBdr>
        <w:top w:val="none" w:sz="0" w:space="0" w:color="auto"/>
        <w:left w:val="none" w:sz="0" w:space="0" w:color="auto"/>
        <w:bottom w:val="none" w:sz="0" w:space="0" w:color="auto"/>
        <w:right w:val="none" w:sz="0" w:space="0" w:color="auto"/>
      </w:divBdr>
    </w:div>
    <w:div w:id="1572352535">
      <w:bodyDiv w:val="1"/>
      <w:marLeft w:val="0"/>
      <w:marRight w:val="0"/>
      <w:marTop w:val="0"/>
      <w:marBottom w:val="0"/>
      <w:divBdr>
        <w:top w:val="none" w:sz="0" w:space="0" w:color="auto"/>
        <w:left w:val="none" w:sz="0" w:space="0" w:color="auto"/>
        <w:bottom w:val="none" w:sz="0" w:space="0" w:color="auto"/>
        <w:right w:val="none" w:sz="0" w:space="0" w:color="auto"/>
      </w:divBdr>
    </w:div>
    <w:div w:id="1574506593">
      <w:bodyDiv w:val="1"/>
      <w:marLeft w:val="0"/>
      <w:marRight w:val="0"/>
      <w:marTop w:val="0"/>
      <w:marBottom w:val="0"/>
      <w:divBdr>
        <w:top w:val="none" w:sz="0" w:space="0" w:color="auto"/>
        <w:left w:val="none" w:sz="0" w:space="0" w:color="auto"/>
        <w:bottom w:val="none" w:sz="0" w:space="0" w:color="auto"/>
        <w:right w:val="none" w:sz="0" w:space="0" w:color="auto"/>
      </w:divBdr>
    </w:div>
    <w:div w:id="1603609136">
      <w:bodyDiv w:val="1"/>
      <w:marLeft w:val="0"/>
      <w:marRight w:val="0"/>
      <w:marTop w:val="0"/>
      <w:marBottom w:val="0"/>
      <w:divBdr>
        <w:top w:val="none" w:sz="0" w:space="0" w:color="auto"/>
        <w:left w:val="none" w:sz="0" w:space="0" w:color="auto"/>
        <w:bottom w:val="none" w:sz="0" w:space="0" w:color="auto"/>
        <w:right w:val="none" w:sz="0" w:space="0" w:color="auto"/>
      </w:divBdr>
    </w:div>
    <w:div w:id="1604804218">
      <w:bodyDiv w:val="1"/>
      <w:marLeft w:val="0"/>
      <w:marRight w:val="0"/>
      <w:marTop w:val="0"/>
      <w:marBottom w:val="0"/>
      <w:divBdr>
        <w:top w:val="none" w:sz="0" w:space="0" w:color="auto"/>
        <w:left w:val="none" w:sz="0" w:space="0" w:color="auto"/>
        <w:bottom w:val="none" w:sz="0" w:space="0" w:color="auto"/>
        <w:right w:val="none" w:sz="0" w:space="0" w:color="auto"/>
      </w:divBdr>
    </w:div>
    <w:div w:id="1611664813">
      <w:bodyDiv w:val="1"/>
      <w:marLeft w:val="0"/>
      <w:marRight w:val="0"/>
      <w:marTop w:val="0"/>
      <w:marBottom w:val="0"/>
      <w:divBdr>
        <w:top w:val="none" w:sz="0" w:space="0" w:color="auto"/>
        <w:left w:val="none" w:sz="0" w:space="0" w:color="auto"/>
        <w:bottom w:val="none" w:sz="0" w:space="0" w:color="auto"/>
        <w:right w:val="none" w:sz="0" w:space="0" w:color="auto"/>
      </w:divBdr>
    </w:div>
    <w:div w:id="1617712531">
      <w:bodyDiv w:val="1"/>
      <w:marLeft w:val="0"/>
      <w:marRight w:val="0"/>
      <w:marTop w:val="0"/>
      <w:marBottom w:val="0"/>
      <w:divBdr>
        <w:top w:val="none" w:sz="0" w:space="0" w:color="auto"/>
        <w:left w:val="none" w:sz="0" w:space="0" w:color="auto"/>
        <w:bottom w:val="none" w:sz="0" w:space="0" w:color="auto"/>
        <w:right w:val="none" w:sz="0" w:space="0" w:color="auto"/>
      </w:divBdr>
    </w:div>
    <w:div w:id="1618488378">
      <w:bodyDiv w:val="1"/>
      <w:marLeft w:val="0"/>
      <w:marRight w:val="0"/>
      <w:marTop w:val="0"/>
      <w:marBottom w:val="0"/>
      <w:divBdr>
        <w:top w:val="none" w:sz="0" w:space="0" w:color="auto"/>
        <w:left w:val="none" w:sz="0" w:space="0" w:color="auto"/>
        <w:bottom w:val="none" w:sz="0" w:space="0" w:color="auto"/>
        <w:right w:val="none" w:sz="0" w:space="0" w:color="auto"/>
      </w:divBdr>
    </w:div>
    <w:div w:id="1622229306">
      <w:bodyDiv w:val="1"/>
      <w:marLeft w:val="0"/>
      <w:marRight w:val="0"/>
      <w:marTop w:val="0"/>
      <w:marBottom w:val="0"/>
      <w:divBdr>
        <w:top w:val="none" w:sz="0" w:space="0" w:color="auto"/>
        <w:left w:val="none" w:sz="0" w:space="0" w:color="auto"/>
        <w:bottom w:val="none" w:sz="0" w:space="0" w:color="auto"/>
        <w:right w:val="none" w:sz="0" w:space="0" w:color="auto"/>
      </w:divBdr>
    </w:div>
    <w:div w:id="1624069664">
      <w:bodyDiv w:val="1"/>
      <w:marLeft w:val="0"/>
      <w:marRight w:val="0"/>
      <w:marTop w:val="0"/>
      <w:marBottom w:val="0"/>
      <w:divBdr>
        <w:top w:val="none" w:sz="0" w:space="0" w:color="auto"/>
        <w:left w:val="none" w:sz="0" w:space="0" w:color="auto"/>
        <w:bottom w:val="none" w:sz="0" w:space="0" w:color="auto"/>
        <w:right w:val="none" w:sz="0" w:space="0" w:color="auto"/>
      </w:divBdr>
    </w:div>
    <w:div w:id="1635990809">
      <w:bodyDiv w:val="1"/>
      <w:marLeft w:val="0"/>
      <w:marRight w:val="0"/>
      <w:marTop w:val="0"/>
      <w:marBottom w:val="0"/>
      <w:divBdr>
        <w:top w:val="none" w:sz="0" w:space="0" w:color="auto"/>
        <w:left w:val="none" w:sz="0" w:space="0" w:color="auto"/>
        <w:bottom w:val="none" w:sz="0" w:space="0" w:color="auto"/>
        <w:right w:val="none" w:sz="0" w:space="0" w:color="auto"/>
      </w:divBdr>
    </w:div>
    <w:div w:id="1638298269">
      <w:bodyDiv w:val="1"/>
      <w:marLeft w:val="0"/>
      <w:marRight w:val="0"/>
      <w:marTop w:val="0"/>
      <w:marBottom w:val="0"/>
      <w:divBdr>
        <w:top w:val="none" w:sz="0" w:space="0" w:color="auto"/>
        <w:left w:val="none" w:sz="0" w:space="0" w:color="auto"/>
        <w:bottom w:val="none" w:sz="0" w:space="0" w:color="auto"/>
        <w:right w:val="none" w:sz="0" w:space="0" w:color="auto"/>
      </w:divBdr>
    </w:div>
    <w:div w:id="1640191000">
      <w:bodyDiv w:val="1"/>
      <w:marLeft w:val="0"/>
      <w:marRight w:val="0"/>
      <w:marTop w:val="0"/>
      <w:marBottom w:val="0"/>
      <w:divBdr>
        <w:top w:val="none" w:sz="0" w:space="0" w:color="auto"/>
        <w:left w:val="none" w:sz="0" w:space="0" w:color="auto"/>
        <w:bottom w:val="none" w:sz="0" w:space="0" w:color="auto"/>
        <w:right w:val="none" w:sz="0" w:space="0" w:color="auto"/>
      </w:divBdr>
    </w:div>
    <w:div w:id="1670400629">
      <w:bodyDiv w:val="1"/>
      <w:marLeft w:val="0"/>
      <w:marRight w:val="0"/>
      <w:marTop w:val="0"/>
      <w:marBottom w:val="0"/>
      <w:divBdr>
        <w:top w:val="none" w:sz="0" w:space="0" w:color="auto"/>
        <w:left w:val="none" w:sz="0" w:space="0" w:color="auto"/>
        <w:bottom w:val="none" w:sz="0" w:space="0" w:color="auto"/>
        <w:right w:val="none" w:sz="0" w:space="0" w:color="auto"/>
      </w:divBdr>
    </w:div>
    <w:div w:id="1675448624">
      <w:bodyDiv w:val="1"/>
      <w:marLeft w:val="0"/>
      <w:marRight w:val="0"/>
      <w:marTop w:val="0"/>
      <w:marBottom w:val="0"/>
      <w:divBdr>
        <w:top w:val="none" w:sz="0" w:space="0" w:color="auto"/>
        <w:left w:val="none" w:sz="0" w:space="0" w:color="auto"/>
        <w:bottom w:val="none" w:sz="0" w:space="0" w:color="auto"/>
        <w:right w:val="none" w:sz="0" w:space="0" w:color="auto"/>
      </w:divBdr>
    </w:div>
    <w:div w:id="1679038315">
      <w:bodyDiv w:val="1"/>
      <w:marLeft w:val="0"/>
      <w:marRight w:val="0"/>
      <w:marTop w:val="0"/>
      <w:marBottom w:val="0"/>
      <w:divBdr>
        <w:top w:val="none" w:sz="0" w:space="0" w:color="auto"/>
        <w:left w:val="none" w:sz="0" w:space="0" w:color="auto"/>
        <w:bottom w:val="none" w:sz="0" w:space="0" w:color="auto"/>
        <w:right w:val="none" w:sz="0" w:space="0" w:color="auto"/>
      </w:divBdr>
    </w:div>
    <w:div w:id="1690570309">
      <w:bodyDiv w:val="1"/>
      <w:marLeft w:val="0"/>
      <w:marRight w:val="0"/>
      <w:marTop w:val="0"/>
      <w:marBottom w:val="0"/>
      <w:divBdr>
        <w:top w:val="none" w:sz="0" w:space="0" w:color="auto"/>
        <w:left w:val="none" w:sz="0" w:space="0" w:color="auto"/>
        <w:bottom w:val="none" w:sz="0" w:space="0" w:color="auto"/>
        <w:right w:val="none" w:sz="0" w:space="0" w:color="auto"/>
      </w:divBdr>
    </w:div>
    <w:div w:id="1692024483">
      <w:bodyDiv w:val="1"/>
      <w:marLeft w:val="0"/>
      <w:marRight w:val="0"/>
      <w:marTop w:val="0"/>
      <w:marBottom w:val="0"/>
      <w:divBdr>
        <w:top w:val="none" w:sz="0" w:space="0" w:color="auto"/>
        <w:left w:val="none" w:sz="0" w:space="0" w:color="auto"/>
        <w:bottom w:val="none" w:sz="0" w:space="0" w:color="auto"/>
        <w:right w:val="none" w:sz="0" w:space="0" w:color="auto"/>
      </w:divBdr>
    </w:div>
    <w:div w:id="1695883502">
      <w:bodyDiv w:val="1"/>
      <w:marLeft w:val="0"/>
      <w:marRight w:val="0"/>
      <w:marTop w:val="0"/>
      <w:marBottom w:val="0"/>
      <w:divBdr>
        <w:top w:val="none" w:sz="0" w:space="0" w:color="auto"/>
        <w:left w:val="none" w:sz="0" w:space="0" w:color="auto"/>
        <w:bottom w:val="none" w:sz="0" w:space="0" w:color="auto"/>
        <w:right w:val="none" w:sz="0" w:space="0" w:color="auto"/>
      </w:divBdr>
    </w:div>
    <w:div w:id="1709336220">
      <w:bodyDiv w:val="1"/>
      <w:marLeft w:val="0"/>
      <w:marRight w:val="0"/>
      <w:marTop w:val="0"/>
      <w:marBottom w:val="0"/>
      <w:divBdr>
        <w:top w:val="none" w:sz="0" w:space="0" w:color="auto"/>
        <w:left w:val="none" w:sz="0" w:space="0" w:color="auto"/>
        <w:bottom w:val="none" w:sz="0" w:space="0" w:color="auto"/>
        <w:right w:val="none" w:sz="0" w:space="0" w:color="auto"/>
      </w:divBdr>
    </w:div>
    <w:div w:id="1711414895">
      <w:bodyDiv w:val="1"/>
      <w:marLeft w:val="0"/>
      <w:marRight w:val="0"/>
      <w:marTop w:val="0"/>
      <w:marBottom w:val="0"/>
      <w:divBdr>
        <w:top w:val="none" w:sz="0" w:space="0" w:color="auto"/>
        <w:left w:val="none" w:sz="0" w:space="0" w:color="auto"/>
        <w:bottom w:val="none" w:sz="0" w:space="0" w:color="auto"/>
        <w:right w:val="none" w:sz="0" w:space="0" w:color="auto"/>
      </w:divBdr>
    </w:div>
    <w:div w:id="1715037523">
      <w:bodyDiv w:val="1"/>
      <w:marLeft w:val="0"/>
      <w:marRight w:val="0"/>
      <w:marTop w:val="0"/>
      <w:marBottom w:val="0"/>
      <w:divBdr>
        <w:top w:val="none" w:sz="0" w:space="0" w:color="auto"/>
        <w:left w:val="none" w:sz="0" w:space="0" w:color="auto"/>
        <w:bottom w:val="none" w:sz="0" w:space="0" w:color="auto"/>
        <w:right w:val="none" w:sz="0" w:space="0" w:color="auto"/>
      </w:divBdr>
    </w:div>
    <w:div w:id="1717392174">
      <w:bodyDiv w:val="1"/>
      <w:marLeft w:val="0"/>
      <w:marRight w:val="0"/>
      <w:marTop w:val="0"/>
      <w:marBottom w:val="0"/>
      <w:divBdr>
        <w:top w:val="none" w:sz="0" w:space="0" w:color="auto"/>
        <w:left w:val="none" w:sz="0" w:space="0" w:color="auto"/>
        <w:bottom w:val="none" w:sz="0" w:space="0" w:color="auto"/>
        <w:right w:val="none" w:sz="0" w:space="0" w:color="auto"/>
      </w:divBdr>
    </w:div>
    <w:div w:id="1727802008">
      <w:bodyDiv w:val="1"/>
      <w:marLeft w:val="0"/>
      <w:marRight w:val="0"/>
      <w:marTop w:val="0"/>
      <w:marBottom w:val="0"/>
      <w:divBdr>
        <w:top w:val="none" w:sz="0" w:space="0" w:color="auto"/>
        <w:left w:val="none" w:sz="0" w:space="0" w:color="auto"/>
        <w:bottom w:val="none" w:sz="0" w:space="0" w:color="auto"/>
        <w:right w:val="none" w:sz="0" w:space="0" w:color="auto"/>
      </w:divBdr>
    </w:div>
    <w:div w:id="1740710792">
      <w:bodyDiv w:val="1"/>
      <w:marLeft w:val="0"/>
      <w:marRight w:val="0"/>
      <w:marTop w:val="0"/>
      <w:marBottom w:val="0"/>
      <w:divBdr>
        <w:top w:val="none" w:sz="0" w:space="0" w:color="auto"/>
        <w:left w:val="none" w:sz="0" w:space="0" w:color="auto"/>
        <w:bottom w:val="none" w:sz="0" w:space="0" w:color="auto"/>
        <w:right w:val="none" w:sz="0" w:space="0" w:color="auto"/>
      </w:divBdr>
    </w:div>
    <w:div w:id="1744257938">
      <w:bodyDiv w:val="1"/>
      <w:marLeft w:val="0"/>
      <w:marRight w:val="0"/>
      <w:marTop w:val="0"/>
      <w:marBottom w:val="0"/>
      <w:divBdr>
        <w:top w:val="none" w:sz="0" w:space="0" w:color="auto"/>
        <w:left w:val="none" w:sz="0" w:space="0" w:color="auto"/>
        <w:bottom w:val="none" w:sz="0" w:space="0" w:color="auto"/>
        <w:right w:val="none" w:sz="0" w:space="0" w:color="auto"/>
      </w:divBdr>
    </w:div>
    <w:div w:id="1753509479">
      <w:bodyDiv w:val="1"/>
      <w:marLeft w:val="0"/>
      <w:marRight w:val="0"/>
      <w:marTop w:val="0"/>
      <w:marBottom w:val="0"/>
      <w:divBdr>
        <w:top w:val="none" w:sz="0" w:space="0" w:color="auto"/>
        <w:left w:val="none" w:sz="0" w:space="0" w:color="auto"/>
        <w:bottom w:val="none" w:sz="0" w:space="0" w:color="auto"/>
        <w:right w:val="none" w:sz="0" w:space="0" w:color="auto"/>
      </w:divBdr>
    </w:div>
    <w:div w:id="1754428737">
      <w:bodyDiv w:val="1"/>
      <w:marLeft w:val="0"/>
      <w:marRight w:val="0"/>
      <w:marTop w:val="0"/>
      <w:marBottom w:val="0"/>
      <w:divBdr>
        <w:top w:val="none" w:sz="0" w:space="0" w:color="auto"/>
        <w:left w:val="none" w:sz="0" w:space="0" w:color="auto"/>
        <w:bottom w:val="none" w:sz="0" w:space="0" w:color="auto"/>
        <w:right w:val="none" w:sz="0" w:space="0" w:color="auto"/>
      </w:divBdr>
    </w:div>
    <w:div w:id="1757289860">
      <w:bodyDiv w:val="1"/>
      <w:marLeft w:val="0"/>
      <w:marRight w:val="0"/>
      <w:marTop w:val="0"/>
      <w:marBottom w:val="0"/>
      <w:divBdr>
        <w:top w:val="none" w:sz="0" w:space="0" w:color="auto"/>
        <w:left w:val="none" w:sz="0" w:space="0" w:color="auto"/>
        <w:bottom w:val="none" w:sz="0" w:space="0" w:color="auto"/>
        <w:right w:val="none" w:sz="0" w:space="0" w:color="auto"/>
      </w:divBdr>
    </w:div>
    <w:div w:id="1759207775">
      <w:bodyDiv w:val="1"/>
      <w:marLeft w:val="0"/>
      <w:marRight w:val="0"/>
      <w:marTop w:val="0"/>
      <w:marBottom w:val="0"/>
      <w:divBdr>
        <w:top w:val="none" w:sz="0" w:space="0" w:color="auto"/>
        <w:left w:val="none" w:sz="0" w:space="0" w:color="auto"/>
        <w:bottom w:val="none" w:sz="0" w:space="0" w:color="auto"/>
        <w:right w:val="none" w:sz="0" w:space="0" w:color="auto"/>
      </w:divBdr>
    </w:div>
    <w:div w:id="1762946925">
      <w:bodyDiv w:val="1"/>
      <w:marLeft w:val="0"/>
      <w:marRight w:val="0"/>
      <w:marTop w:val="0"/>
      <w:marBottom w:val="0"/>
      <w:divBdr>
        <w:top w:val="none" w:sz="0" w:space="0" w:color="auto"/>
        <w:left w:val="none" w:sz="0" w:space="0" w:color="auto"/>
        <w:bottom w:val="none" w:sz="0" w:space="0" w:color="auto"/>
        <w:right w:val="none" w:sz="0" w:space="0" w:color="auto"/>
      </w:divBdr>
    </w:div>
    <w:div w:id="1765876483">
      <w:bodyDiv w:val="1"/>
      <w:marLeft w:val="0"/>
      <w:marRight w:val="0"/>
      <w:marTop w:val="0"/>
      <w:marBottom w:val="0"/>
      <w:divBdr>
        <w:top w:val="none" w:sz="0" w:space="0" w:color="auto"/>
        <w:left w:val="none" w:sz="0" w:space="0" w:color="auto"/>
        <w:bottom w:val="none" w:sz="0" w:space="0" w:color="auto"/>
        <w:right w:val="none" w:sz="0" w:space="0" w:color="auto"/>
      </w:divBdr>
    </w:div>
    <w:div w:id="1771004972">
      <w:bodyDiv w:val="1"/>
      <w:marLeft w:val="0"/>
      <w:marRight w:val="0"/>
      <w:marTop w:val="0"/>
      <w:marBottom w:val="0"/>
      <w:divBdr>
        <w:top w:val="none" w:sz="0" w:space="0" w:color="auto"/>
        <w:left w:val="none" w:sz="0" w:space="0" w:color="auto"/>
        <w:bottom w:val="none" w:sz="0" w:space="0" w:color="auto"/>
        <w:right w:val="none" w:sz="0" w:space="0" w:color="auto"/>
      </w:divBdr>
    </w:div>
    <w:div w:id="1773746242">
      <w:bodyDiv w:val="1"/>
      <w:marLeft w:val="0"/>
      <w:marRight w:val="0"/>
      <w:marTop w:val="0"/>
      <w:marBottom w:val="0"/>
      <w:divBdr>
        <w:top w:val="none" w:sz="0" w:space="0" w:color="auto"/>
        <w:left w:val="none" w:sz="0" w:space="0" w:color="auto"/>
        <w:bottom w:val="none" w:sz="0" w:space="0" w:color="auto"/>
        <w:right w:val="none" w:sz="0" w:space="0" w:color="auto"/>
      </w:divBdr>
    </w:div>
    <w:div w:id="1798259299">
      <w:bodyDiv w:val="1"/>
      <w:marLeft w:val="0"/>
      <w:marRight w:val="0"/>
      <w:marTop w:val="0"/>
      <w:marBottom w:val="0"/>
      <w:divBdr>
        <w:top w:val="none" w:sz="0" w:space="0" w:color="auto"/>
        <w:left w:val="none" w:sz="0" w:space="0" w:color="auto"/>
        <w:bottom w:val="none" w:sz="0" w:space="0" w:color="auto"/>
        <w:right w:val="none" w:sz="0" w:space="0" w:color="auto"/>
      </w:divBdr>
    </w:div>
    <w:div w:id="1806240351">
      <w:bodyDiv w:val="1"/>
      <w:marLeft w:val="0"/>
      <w:marRight w:val="0"/>
      <w:marTop w:val="0"/>
      <w:marBottom w:val="0"/>
      <w:divBdr>
        <w:top w:val="none" w:sz="0" w:space="0" w:color="auto"/>
        <w:left w:val="none" w:sz="0" w:space="0" w:color="auto"/>
        <w:bottom w:val="none" w:sz="0" w:space="0" w:color="auto"/>
        <w:right w:val="none" w:sz="0" w:space="0" w:color="auto"/>
      </w:divBdr>
    </w:div>
    <w:div w:id="1806965531">
      <w:bodyDiv w:val="1"/>
      <w:marLeft w:val="0"/>
      <w:marRight w:val="0"/>
      <w:marTop w:val="0"/>
      <w:marBottom w:val="0"/>
      <w:divBdr>
        <w:top w:val="none" w:sz="0" w:space="0" w:color="auto"/>
        <w:left w:val="none" w:sz="0" w:space="0" w:color="auto"/>
        <w:bottom w:val="none" w:sz="0" w:space="0" w:color="auto"/>
        <w:right w:val="none" w:sz="0" w:space="0" w:color="auto"/>
      </w:divBdr>
    </w:div>
    <w:div w:id="1809589911">
      <w:bodyDiv w:val="1"/>
      <w:marLeft w:val="0"/>
      <w:marRight w:val="0"/>
      <w:marTop w:val="0"/>
      <w:marBottom w:val="0"/>
      <w:divBdr>
        <w:top w:val="none" w:sz="0" w:space="0" w:color="auto"/>
        <w:left w:val="none" w:sz="0" w:space="0" w:color="auto"/>
        <w:bottom w:val="none" w:sz="0" w:space="0" w:color="auto"/>
        <w:right w:val="none" w:sz="0" w:space="0" w:color="auto"/>
      </w:divBdr>
    </w:div>
    <w:div w:id="1817188215">
      <w:bodyDiv w:val="1"/>
      <w:marLeft w:val="0"/>
      <w:marRight w:val="0"/>
      <w:marTop w:val="0"/>
      <w:marBottom w:val="0"/>
      <w:divBdr>
        <w:top w:val="none" w:sz="0" w:space="0" w:color="auto"/>
        <w:left w:val="none" w:sz="0" w:space="0" w:color="auto"/>
        <w:bottom w:val="none" w:sz="0" w:space="0" w:color="auto"/>
        <w:right w:val="none" w:sz="0" w:space="0" w:color="auto"/>
      </w:divBdr>
    </w:div>
    <w:div w:id="1827092212">
      <w:bodyDiv w:val="1"/>
      <w:marLeft w:val="0"/>
      <w:marRight w:val="0"/>
      <w:marTop w:val="0"/>
      <w:marBottom w:val="0"/>
      <w:divBdr>
        <w:top w:val="none" w:sz="0" w:space="0" w:color="auto"/>
        <w:left w:val="none" w:sz="0" w:space="0" w:color="auto"/>
        <w:bottom w:val="none" w:sz="0" w:space="0" w:color="auto"/>
        <w:right w:val="none" w:sz="0" w:space="0" w:color="auto"/>
      </w:divBdr>
    </w:div>
    <w:div w:id="1834178379">
      <w:bodyDiv w:val="1"/>
      <w:marLeft w:val="0"/>
      <w:marRight w:val="0"/>
      <w:marTop w:val="0"/>
      <w:marBottom w:val="0"/>
      <w:divBdr>
        <w:top w:val="none" w:sz="0" w:space="0" w:color="auto"/>
        <w:left w:val="none" w:sz="0" w:space="0" w:color="auto"/>
        <w:bottom w:val="none" w:sz="0" w:space="0" w:color="auto"/>
        <w:right w:val="none" w:sz="0" w:space="0" w:color="auto"/>
      </w:divBdr>
    </w:div>
    <w:div w:id="1837768954">
      <w:bodyDiv w:val="1"/>
      <w:marLeft w:val="0"/>
      <w:marRight w:val="0"/>
      <w:marTop w:val="0"/>
      <w:marBottom w:val="0"/>
      <w:divBdr>
        <w:top w:val="none" w:sz="0" w:space="0" w:color="auto"/>
        <w:left w:val="none" w:sz="0" w:space="0" w:color="auto"/>
        <w:bottom w:val="none" w:sz="0" w:space="0" w:color="auto"/>
        <w:right w:val="none" w:sz="0" w:space="0" w:color="auto"/>
      </w:divBdr>
    </w:div>
    <w:div w:id="1838761840">
      <w:bodyDiv w:val="1"/>
      <w:marLeft w:val="0"/>
      <w:marRight w:val="0"/>
      <w:marTop w:val="0"/>
      <w:marBottom w:val="0"/>
      <w:divBdr>
        <w:top w:val="none" w:sz="0" w:space="0" w:color="auto"/>
        <w:left w:val="none" w:sz="0" w:space="0" w:color="auto"/>
        <w:bottom w:val="none" w:sz="0" w:space="0" w:color="auto"/>
        <w:right w:val="none" w:sz="0" w:space="0" w:color="auto"/>
      </w:divBdr>
    </w:div>
    <w:div w:id="1844709219">
      <w:bodyDiv w:val="1"/>
      <w:marLeft w:val="0"/>
      <w:marRight w:val="0"/>
      <w:marTop w:val="0"/>
      <w:marBottom w:val="0"/>
      <w:divBdr>
        <w:top w:val="none" w:sz="0" w:space="0" w:color="auto"/>
        <w:left w:val="none" w:sz="0" w:space="0" w:color="auto"/>
        <w:bottom w:val="none" w:sz="0" w:space="0" w:color="auto"/>
        <w:right w:val="none" w:sz="0" w:space="0" w:color="auto"/>
      </w:divBdr>
    </w:div>
    <w:div w:id="1850946466">
      <w:bodyDiv w:val="1"/>
      <w:marLeft w:val="0"/>
      <w:marRight w:val="0"/>
      <w:marTop w:val="0"/>
      <w:marBottom w:val="0"/>
      <w:divBdr>
        <w:top w:val="none" w:sz="0" w:space="0" w:color="auto"/>
        <w:left w:val="none" w:sz="0" w:space="0" w:color="auto"/>
        <w:bottom w:val="none" w:sz="0" w:space="0" w:color="auto"/>
        <w:right w:val="none" w:sz="0" w:space="0" w:color="auto"/>
      </w:divBdr>
    </w:div>
    <w:div w:id="1853452397">
      <w:bodyDiv w:val="1"/>
      <w:marLeft w:val="0"/>
      <w:marRight w:val="0"/>
      <w:marTop w:val="0"/>
      <w:marBottom w:val="0"/>
      <w:divBdr>
        <w:top w:val="none" w:sz="0" w:space="0" w:color="auto"/>
        <w:left w:val="none" w:sz="0" w:space="0" w:color="auto"/>
        <w:bottom w:val="none" w:sz="0" w:space="0" w:color="auto"/>
        <w:right w:val="none" w:sz="0" w:space="0" w:color="auto"/>
      </w:divBdr>
    </w:div>
    <w:div w:id="1859807919">
      <w:bodyDiv w:val="1"/>
      <w:marLeft w:val="0"/>
      <w:marRight w:val="0"/>
      <w:marTop w:val="0"/>
      <w:marBottom w:val="0"/>
      <w:divBdr>
        <w:top w:val="none" w:sz="0" w:space="0" w:color="auto"/>
        <w:left w:val="none" w:sz="0" w:space="0" w:color="auto"/>
        <w:bottom w:val="none" w:sz="0" w:space="0" w:color="auto"/>
        <w:right w:val="none" w:sz="0" w:space="0" w:color="auto"/>
      </w:divBdr>
    </w:div>
    <w:div w:id="1860191241">
      <w:bodyDiv w:val="1"/>
      <w:marLeft w:val="0"/>
      <w:marRight w:val="0"/>
      <w:marTop w:val="0"/>
      <w:marBottom w:val="0"/>
      <w:divBdr>
        <w:top w:val="none" w:sz="0" w:space="0" w:color="auto"/>
        <w:left w:val="none" w:sz="0" w:space="0" w:color="auto"/>
        <w:bottom w:val="none" w:sz="0" w:space="0" w:color="auto"/>
        <w:right w:val="none" w:sz="0" w:space="0" w:color="auto"/>
      </w:divBdr>
    </w:div>
    <w:div w:id="1864398142">
      <w:bodyDiv w:val="1"/>
      <w:marLeft w:val="0"/>
      <w:marRight w:val="0"/>
      <w:marTop w:val="0"/>
      <w:marBottom w:val="0"/>
      <w:divBdr>
        <w:top w:val="none" w:sz="0" w:space="0" w:color="auto"/>
        <w:left w:val="none" w:sz="0" w:space="0" w:color="auto"/>
        <w:bottom w:val="none" w:sz="0" w:space="0" w:color="auto"/>
        <w:right w:val="none" w:sz="0" w:space="0" w:color="auto"/>
      </w:divBdr>
    </w:div>
    <w:div w:id="1877693361">
      <w:bodyDiv w:val="1"/>
      <w:marLeft w:val="0"/>
      <w:marRight w:val="0"/>
      <w:marTop w:val="0"/>
      <w:marBottom w:val="0"/>
      <w:divBdr>
        <w:top w:val="none" w:sz="0" w:space="0" w:color="auto"/>
        <w:left w:val="none" w:sz="0" w:space="0" w:color="auto"/>
        <w:bottom w:val="none" w:sz="0" w:space="0" w:color="auto"/>
        <w:right w:val="none" w:sz="0" w:space="0" w:color="auto"/>
      </w:divBdr>
    </w:div>
    <w:div w:id="1881166892">
      <w:bodyDiv w:val="1"/>
      <w:marLeft w:val="0"/>
      <w:marRight w:val="0"/>
      <w:marTop w:val="0"/>
      <w:marBottom w:val="0"/>
      <w:divBdr>
        <w:top w:val="none" w:sz="0" w:space="0" w:color="auto"/>
        <w:left w:val="none" w:sz="0" w:space="0" w:color="auto"/>
        <w:bottom w:val="none" w:sz="0" w:space="0" w:color="auto"/>
        <w:right w:val="none" w:sz="0" w:space="0" w:color="auto"/>
      </w:divBdr>
    </w:div>
    <w:div w:id="1881555208">
      <w:bodyDiv w:val="1"/>
      <w:marLeft w:val="0"/>
      <w:marRight w:val="0"/>
      <w:marTop w:val="0"/>
      <w:marBottom w:val="0"/>
      <w:divBdr>
        <w:top w:val="none" w:sz="0" w:space="0" w:color="auto"/>
        <w:left w:val="none" w:sz="0" w:space="0" w:color="auto"/>
        <w:bottom w:val="none" w:sz="0" w:space="0" w:color="auto"/>
        <w:right w:val="none" w:sz="0" w:space="0" w:color="auto"/>
      </w:divBdr>
    </w:div>
    <w:div w:id="1882666384">
      <w:bodyDiv w:val="1"/>
      <w:marLeft w:val="0"/>
      <w:marRight w:val="0"/>
      <w:marTop w:val="0"/>
      <w:marBottom w:val="0"/>
      <w:divBdr>
        <w:top w:val="none" w:sz="0" w:space="0" w:color="auto"/>
        <w:left w:val="none" w:sz="0" w:space="0" w:color="auto"/>
        <w:bottom w:val="none" w:sz="0" w:space="0" w:color="auto"/>
        <w:right w:val="none" w:sz="0" w:space="0" w:color="auto"/>
      </w:divBdr>
    </w:div>
    <w:div w:id="1888296959">
      <w:bodyDiv w:val="1"/>
      <w:marLeft w:val="0"/>
      <w:marRight w:val="0"/>
      <w:marTop w:val="0"/>
      <w:marBottom w:val="0"/>
      <w:divBdr>
        <w:top w:val="none" w:sz="0" w:space="0" w:color="auto"/>
        <w:left w:val="none" w:sz="0" w:space="0" w:color="auto"/>
        <w:bottom w:val="none" w:sz="0" w:space="0" w:color="auto"/>
        <w:right w:val="none" w:sz="0" w:space="0" w:color="auto"/>
      </w:divBdr>
    </w:div>
    <w:div w:id="1896236008">
      <w:bodyDiv w:val="1"/>
      <w:marLeft w:val="0"/>
      <w:marRight w:val="0"/>
      <w:marTop w:val="0"/>
      <w:marBottom w:val="0"/>
      <w:divBdr>
        <w:top w:val="none" w:sz="0" w:space="0" w:color="auto"/>
        <w:left w:val="none" w:sz="0" w:space="0" w:color="auto"/>
        <w:bottom w:val="none" w:sz="0" w:space="0" w:color="auto"/>
        <w:right w:val="none" w:sz="0" w:space="0" w:color="auto"/>
      </w:divBdr>
    </w:div>
    <w:div w:id="1901012352">
      <w:bodyDiv w:val="1"/>
      <w:marLeft w:val="0"/>
      <w:marRight w:val="0"/>
      <w:marTop w:val="0"/>
      <w:marBottom w:val="0"/>
      <w:divBdr>
        <w:top w:val="none" w:sz="0" w:space="0" w:color="auto"/>
        <w:left w:val="none" w:sz="0" w:space="0" w:color="auto"/>
        <w:bottom w:val="none" w:sz="0" w:space="0" w:color="auto"/>
        <w:right w:val="none" w:sz="0" w:space="0" w:color="auto"/>
      </w:divBdr>
    </w:div>
    <w:div w:id="1908958417">
      <w:bodyDiv w:val="1"/>
      <w:marLeft w:val="0"/>
      <w:marRight w:val="0"/>
      <w:marTop w:val="0"/>
      <w:marBottom w:val="0"/>
      <w:divBdr>
        <w:top w:val="none" w:sz="0" w:space="0" w:color="auto"/>
        <w:left w:val="none" w:sz="0" w:space="0" w:color="auto"/>
        <w:bottom w:val="none" w:sz="0" w:space="0" w:color="auto"/>
        <w:right w:val="none" w:sz="0" w:space="0" w:color="auto"/>
      </w:divBdr>
    </w:div>
    <w:div w:id="1909876333">
      <w:bodyDiv w:val="1"/>
      <w:marLeft w:val="0"/>
      <w:marRight w:val="0"/>
      <w:marTop w:val="0"/>
      <w:marBottom w:val="0"/>
      <w:divBdr>
        <w:top w:val="none" w:sz="0" w:space="0" w:color="auto"/>
        <w:left w:val="none" w:sz="0" w:space="0" w:color="auto"/>
        <w:bottom w:val="none" w:sz="0" w:space="0" w:color="auto"/>
        <w:right w:val="none" w:sz="0" w:space="0" w:color="auto"/>
      </w:divBdr>
    </w:div>
    <w:div w:id="1910309627">
      <w:bodyDiv w:val="1"/>
      <w:marLeft w:val="0"/>
      <w:marRight w:val="0"/>
      <w:marTop w:val="0"/>
      <w:marBottom w:val="0"/>
      <w:divBdr>
        <w:top w:val="none" w:sz="0" w:space="0" w:color="auto"/>
        <w:left w:val="none" w:sz="0" w:space="0" w:color="auto"/>
        <w:bottom w:val="none" w:sz="0" w:space="0" w:color="auto"/>
        <w:right w:val="none" w:sz="0" w:space="0" w:color="auto"/>
      </w:divBdr>
    </w:div>
    <w:div w:id="1914510005">
      <w:bodyDiv w:val="1"/>
      <w:marLeft w:val="0"/>
      <w:marRight w:val="0"/>
      <w:marTop w:val="0"/>
      <w:marBottom w:val="0"/>
      <w:divBdr>
        <w:top w:val="none" w:sz="0" w:space="0" w:color="auto"/>
        <w:left w:val="none" w:sz="0" w:space="0" w:color="auto"/>
        <w:bottom w:val="none" w:sz="0" w:space="0" w:color="auto"/>
        <w:right w:val="none" w:sz="0" w:space="0" w:color="auto"/>
      </w:divBdr>
    </w:div>
    <w:div w:id="1920795765">
      <w:bodyDiv w:val="1"/>
      <w:marLeft w:val="0"/>
      <w:marRight w:val="0"/>
      <w:marTop w:val="0"/>
      <w:marBottom w:val="0"/>
      <w:divBdr>
        <w:top w:val="none" w:sz="0" w:space="0" w:color="auto"/>
        <w:left w:val="none" w:sz="0" w:space="0" w:color="auto"/>
        <w:bottom w:val="none" w:sz="0" w:space="0" w:color="auto"/>
        <w:right w:val="none" w:sz="0" w:space="0" w:color="auto"/>
      </w:divBdr>
    </w:div>
    <w:div w:id="1923947659">
      <w:bodyDiv w:val="1"/>
      <w:marLeft w:val="0"/>
      <w:marRight w:val="0"/>
      <w:marTop w:val="0"/>
      <w:marBottom w:val="0"/>
      <w:divBdr>
        <w:top w:val="none" w:sz="0" w:space="0" w:color="auto"/>
        <w:left w:val="none" w:sz="0" w:space="0" w:color="auto"/>
        <w:bottom w:val="none" w:sz="0" w:space="0" w:color="auto"/>
        <w:right w:val="none" w:sz="0" w:space="0" w:color="auto"/>
      </w:divBdr>
    </w:div>
    <w:div w:id="1932011500">
      <w:bodyDiv w:val="1"/>
      <w:marLeft w:val="0"/>
      <w:marRight w:val="0"/>
      <w:marTop w:val="0"/>
      <w:marBottom w:val="0"/>
      <w:divBdr>
        <w:top w:val="none" w:sz="0" w:space="0" w:color="auto"/>
        <w:left w:val="none" w:sz="0" w:space="0" w:color="auto"/>
        <w:bottom w:val="none" w:sz="0" w:space="0" w:color="auto"/>
        <w:right w:val="none" w:sz="0" w:space="0" w:color="auto"/>
      </w:divBdr>
    </w:div>
    <w:div w:id="1941065873">
      <w:bodyDiv w:val="1"/>
      <w:marLeft w:val="0"/>
      <w:marRight w:val="0"/>
      <w:marTop w:val="0"/>
      <w:marBottom w:val="0"/>
      <w:divBdr>
        <w:top w:val="none" w:sz="0" w:space="0" w:color="auto"/>
        <w:left w:val="none" w:sz="0" w:space="0" w:color="auto"/>
        <w:bottom w:val="none" w:sz="0" w:space="0" w:color="auto"/>
        <w:right w:val="none" w:sz="0" w:space="0" w:color="auto"/>
      </w:divBdr>
    </w:div>
    <w:div w:id="1942571363">
      <w:bodyDiv w:val="1"/>
      <w:marLeft w:val="0"/>
      <w:marRight w:val="0"/>
      <w:marTop w:val="0"/>
      <w:marBottom w:val="0"/>
      <w:divBdr>
        <w:top w:val="none" w:sz="0" w:space="0" w:color="auto"/>
        <w:left w:val="none" w:sz="0" w:space="0" w:color="auto"/>
        <w:bottom w:val="none" w:sz="0" w:space="0" w:color="auto"/>
        <w:right w:val="none" w:sz="0" w:space="0" w:color="auto"/>
      </w:divBdr>
    </w:div>
    <w:div w:id="1948653830">
      <w:bodyDiv w:val="1"/>
      <w:marLeft w:val="0"/>
      <w:marRight w:val="0"/>
      <w:marTop w:val="0"/>
      <w:marBottom w:val="0"/>
      <w:divBdr>
        <w:top w:val="none" w:sz="0" w:space="0" w:color="auto"/>
        <w:left w:val="none" w:sz="0" w:space="0" w:color="auto"/>
        <w:bottom w:val="none" w:sz="0" w:space="0" w:color="auto"/>
        <w:right w:val="none" w:sz="0" w:space="0" w:color="auto"/>
      </w:divBdr>
    </w:div>
    <w:div w:id="1949460740">
      <w:bodyDiv w:val="1"/>
      <w:marLeft w:val="0"/>
      <w:marRight w:val="0"/>
      <w:marTop w:val="0"/>
      <w:marBottom w:val="0"/>
      <w:divBdr>
        <w:top w:val="none" w:sz="0" w:space="0" w:color="auto"/>
        <w:left w:val="none" w:sz="0" w:space="0" w:color="auto"/>
        <w:bottom w:val="none" w:sz="0" w:space="0" w:color="auto"/>
        <w:right w:val="none" w:sz="0" w:space="0" w:color="auto"/>
      </w:divBdr>
    </w:div>
    <w:div w:id="1950579707">
      <w:bodyDiv w:val="1"/>
      <w:marLeft w:val="0"/>
      <w:marRight w:val="0"/>
      <w:marTop w:val="0"/>
      <w:marBottom w:val="0"/>
      <w:divBdr>
        <w:top w:val="none" w:sz="0" w:space="0" w:color="auto"/>
        <w:left w:val="none" w:sz="0" w:space="0" w:color="auto"/>
        <w:bottom w:val="none" w:sz="0" w:space="0" w:color="auto"/>
        <w:right w:val="none" w:sz="0" w:space="0" w:color="auto"/>
      </w:divBdr>
    </w:div>
    <w:div w:id="1952937616">
      <w:bodyDiv w:val="1"/>
      <w:marLeft w:val="0"/>
      <w:marRight w:val="0"/>
      <w:marTop w:val="0"/>
      <w:marBottom w:val="0"/>
      <w:divBdr>
        <w:top w:val="none" w:sz="0" w:space="0" w:color="auto"/>
        <w:left w:val="none" w:sz="0" w:space="0" w:color="auto"/>
        <w:bottom w:val="none" w:sz="0" w:space="0" w:color="auto"/>
        <w:right w:val="none" w:sz="0" w:space="0" w:color="auto"/>
      </w:divBdr>
    </w:div>
    <w:div w:id="1953585393">
      <w:bodyDiv w:val="1"/>
      <w:marLeft w:val="0"/>
      <w:marRight w:val="0"/>
      <w:marTop w:val="0"/>
      <w:marBottom w:val="0"/>
      <w:divBdr>
        <w:top w:val="none" w:sz="0" w:space="0" w:color="auto"/>
        <w:left w:val="none" w:sz="0" w:space="0" w:color="auto"/>
        <w:bottom w:val="none" w:sz="0" w:space="0" w:color="auto"/>
        <w:right w:val="none" w:sz="0" w:space="0" w:color="auto"/>
      </w:divBdr>
    </w:div>
    <w:div w:id="1960641202">
      <w:bodyDiv w:val="1"/>
      <w:marLeft w:val="0"/>
      <w:marRight w:val="0"/>
      <w:marTop w:val="0"/>
      <w:marBottom w:val="0"/>
      <w:divBdr>
        <w:top w:val="none" w:sz="0" w:space="0" w:color="auto"/>
        <w:left w:val="none" w:sz="0" w:space="0" w:color="auto"/>
        <w:bottom w:val="none" w:sz="0" w:space="0" w:color="auto"/>
        <w:right w:val="none" w:sz="0" w:space="0" w:color="auto"/>
      </w:divBdr>
    </w:div>
    <w:div w:id="1983653402">
      <w:bodyDiv w:val="1"/>
      <w:marLeft w:val="0"/>
      <w:marRight w:val="0"/>
      <w:marTop w:val="0"/>
      <w:marBottom w:val="0"/>
      <w:divBdr>
        <w:top w:val="none" w:sz="0" w:space="0" w:color="auto"/>
        <w:left w:val="none" w:sz="0" w:space="0" w:color="auto"/>
        <w:bottom w:val="none" w:sz="0" w:space="0" w:color="auto"/>
        <w:right w:val="none" w:sz="0" w:space="0" w:color="auto"/>
      </w:divBdr>
    </w:div>
    <w:div w:id="1987127116">
      <w:bodyDiv w:val="1"/>
      <w:marLeft w:val="0"/>
      <w:marRight w:val="0"/>
      <w:marTop w:val="0"/>
      <w:marBottom w:val="0"/>
      <w:divBdr>
        <w:top w:val="none" w:sz="0" w:space="0" w:color="auto"/>
        <w:left w:val="none" w:sz="0" w:space="0" w:color="auto"/>
        <w:bottom w:val="none" w:sz="0" w:space="0" w:color="auto"/>
        <w:right w:val="none" w:sz="0" w:space="0" w:color="auto"/>
      </w:divBdr>
    </w:div>
    <w:div w:id="1988166782">
      <w:bodyDiv w:val="1"/>
      <w:marLeft w:val="0"/>
      <w:marRight w:val="0"/>
      <w:marTop w:val="0"/>
      <w:marBottom w:val="0"/>
      <w:divBdr>
        <w:top w:val="none" w:sz="0" w:space="0" w:color="auto"/>
        <w:left w:val="none" w:sz="0" w:space="0" w:color="auto"/>
        <w:bottom w:val="none" w:sz="0" w:space="0" w:color="auto"/>
        <w:right w:val="none" w:sz="0" w:space="0" w:color="auto"/>
      </w:divBdr>
    </w:div>
    <w:div w:id="1994412036">
      <w:bodyDiv w:val="1"/>
      <w:marLeft w:val="0"/>
      <w:marRight w:val="0"/>
      <w:marTop w:val="0"/>
      <w:marBottom w:val="0"/>
      <w:divBdr>
        <w:top w:val="none" w:sz="0" w:space="0" w:color="auto"/>
        <w:left w:val="none" w:sz="0" w:space="0" w:color="auto"/>
        <w:bottom w:val="none" w:sz="0" w:space="0" w:color="auto"/>
        <w:right w:val="none" w:sz="0" w:space="0" w:color="auto"/>
      </w:divBdr>
    </w:div>
    <w:div w:id="1994947074">
      <w:bodyDiv w:val="1"/>
      <w:marLeft w:val="0"/>
      <w:marRight w:val="0"/>
      <w:marTop w:val="0"/>
      <w:marBottom w:val="0"/>
      <w:divBdr>
        <w:top w:val="none" w:sz="0" w:space="0" w:color="auto"/>
        <w:left w:val="none" w:sz="0" w:space="0" w:color="auto"/>
        <w:bottom w:val="none" w:sz="0" w:space="0" w:color="auto"/>
        <w:right w:val="none" w:sz="0" w:space="0" w:color="auto"/>
      </w:divBdr>
    </w:div>
    <w:div w:id="1994947831">
      <w:bodyDiv w:val="1"/>
      <w:marLeft w:val="0"/>
      <w:marRight w:val="0"/>
      <w:marTop w:val="0"/>
      <w:marBottom w:val="0"/>
      <w:divBdr>
        <w:top w:val="none" w:sz="0" w:space="0" w:color="auto"/>
        <w:left w:val="none" w:sz="0" w:space="0" w:color="auto"/>
        <w:bottom w:val="none" w:sz="0" w:space="0" w:color="auto"/>
        <w:right w:val="none" w:sz="0" w:space="0" w:color="auto"/>
      </w:divBdr>
    </w:div>
    <w:div w:id="2002736935">
      <w:bodyDiv w:val="1"/>
      <w:marLeft w:val="0"/>
      <w:marRight w:val="0"/>
      <w:marTop w:val="0"/>
      <w:marBottom w:val="0"/>
      <w:divBdr>
        <w:top w:val="none" w:sz="0" w:space="0" w:color="auto"/>
        <w:left w:val="none" w:sz="0" w:space="0" w:color="auto"/>
        <w:bottom w:val="none" w:sz="0" w:space="0" w:color="auto"/>
        <w:right w:val="none" w:sz="0" w:space="0" w:color="auto"/>
      </w:divBdr>
    </w:div>
    <w:div w:id="2007634767">
      <w:bodyDiv w:val="1"/>
      <w:marLeft w:val="0"/>
      <w:marRight w:val="0"/>
      <w:marTop w:val="0"/>
      <w:marBottom w:val="0"/>
      <w:divBdr>
        <w:top w:val="none" w:sz="0" w:space="0" w:color="auto"/>
        <w:left w:val="none" w:sz="0" w:space="0" w:color="auto"/>
        <w:bottom w:val="none" w:sz="0" w:space="0" w:color="auto"/>
        <w:right w:val="none" w:sz="0" w:space="0" w:color="auto"/>
      </w:divBdr>
    </w:div>
    <w:div w:id="2013147158">
      <w:bodyDiv w:val="1"/>
      <w:marLeft w:val="0"/>
      <w:marRight w:val="0"/>
      <w:marTop w:val="0"/>
      <w:marBottom w:val="0"/>
      <w:divBdr>
        <w:top w:val="none" w:sz="0" w:space="0" w:color="auto"/>
        <w:left w:val="none" w:sz="0" w:space="0" w:color="auto"/>
        <w:bottom w:val="none" w:sz="0" w:space="0" w:color="auto"/>
        <w:right w:val="none" w:sz="0" w:space="0" w:color="auto"/>
      </w:divBdr>
    </w:div>
    <w:div w:id="2036809922">
      <w:bodyDiv w:val="1"/>
      <w:marLeft w:val="0"/>
      <w:marRight w:val="0"/>
      <w:marTop w:val="0"/>
      <w:marBottom w:val="0"/>
      <w:divBdr>
        <w:top w:val="none" w:sz="0" w:space="0" w:color="auto"/>
        <w:left w:val="none" w:sz="0" w:space="0" w:color="auto"/>
        <w:bottom w:val="none" w:sz="0" w:space="0" w:color="auto"/>
        <w:right w:val="none" w:sz="0" w:space="0" w:color="auto"/>
      </w:divBdr>
    </w:div>
    <w:div w:id="2056393118">
      <w:bodyDiv w:val="1"/>
      <w:marLeft w:val="0"/>
      <w:marRight w:val="0"/>
      <w:marTop w:val="0"/>
      <w:marBottom w:val="0"/>
      <w:divBdr>
        <w:top w:val="none" w:sz="0" w:space="0" w:color="auto"/>
        <w:left w:val="none" w:sz="0" w:space="0" w:color="auto"/>
        <w:bottom w:val="none" w:sz="0" w:space="0" w:color="auto"/>
        <w:right w:val="none" w:sz="0" w:space="0" w:color="auto"/>
      </w:divBdr>
    </w:div>
    <w:div w:id="2057001070">
      <w:bodyDiv w:val="1"/>
      <w:marLeft w:val="0"/>
      <w:marRight w:val="0"/>
      <w:marTop w:val="0"/>
      <w:marBottom w:val="0"/>
      <w:divBdr>
        <w:top w:val="none" w:sz="0" w:space="0" w:color="auto"/>
        <w:left w:val="none" w:sz="0" w:space="0" w:color="auto"/>
        <w:bottom w:val="none" w:sz="0" w:space="0" w:color="auto"/>
        <w:right w:val="none" w:sz="0" w:space="0" w:color="auto"/>
      </w:divBdr>
    </w:div>
    <w:div w:id="2058042437">
      <w:bodyDiv w:val="1"/>
      <w:marLeft w:val="0"/>
      <w:marRight w:val="0"/>
      <w:marTop w:val="0"/>
      <w:marBottom w:val="0"/>
      <w:divBdr>
        <w:top w:val="none" w:sz="0" w:space="0" w:color="auto"/>
        <w:left w:val="none" w:sz="0" w:space="0" w:color="auto"/>
        <w:bottom w:val="none" w:sz="0" w:space="0" w:color="auto"/>
        <w:right w:val="none" w:sz="0" w:space="0" w:color="auto"/>
      </w:divBdr>
    </w:div>
    <w:div w:id="2066567847">
      <w:bodyDiv w:val="1"/>
      <w:marLeft w:val="0"/>
      <w:marRight w:val="0"/>
      <w:marTop w:val="0"/>
      <w:marBottom w:val="0"/>
      <w:divBdr>
        <w:top w:val="none" w:sz="0" w:space="0" w:color="auto"/>
        <w:left w:val="none" w:sz="0" w:space="0" w:color="auto"/>
        <w:bottom w:val="none" w:sz="0" w:space="0" w:color="auto"/>
        <w:right w:val="none" w:sz="0" w:space="0" w:color="auto"/>
      </w:divBdr>
    </w:div>
    <w:div w:id="2068718645">
      <w:bodyDiv w:val="1"/>
      <w:marLeft w:val="0"/>
      <w:marRight w:val="0"/>
      <w:marTop w:val="0"/>
      <w:marBottom w:val="0"/>
      <w:divBdr>
        <w:top w:val="none" w:sz="0" w:space="0" w:color="auto"/>
        <w:left w:val="none" w:sz="0" w:space="0" w:color="auto"/>
        <w:bottom w:val="none" w:sz="0" w:space="0" w:color="auto"/>
        <w:right w:val="none" w:sz="0" w:space="0" w:color="auto"/>
      </w:divBdr>
    </w:div>
    <w:div w:id="2073651830">
      <w:bodyDiv w:val="1"/>
      <w:marLeft w:val="0"/>
      <w:marRight w:val="0"/>
      <w:marTop w:val="0"/>
      <w:marBottom w:val="0"/>
      <w:divBdr>
        <w:top w:val="none" w:sz="0" w:space="0" w:color="auto"/>
        <w:left w:val="none" w:sz="0" w:space="0" w:color="auto"/>
        <w:bottom w:val="none" w:sz="0" w:space="0" w:color="auto"/>
        <w:right w:val="none" w:sz="0" w:space="0" w:color="auto"/>
      </w:divBdr>
    </w:div>
    <w:div w:id="2079596975">
      <w:bodyDiv w:val="1"/>
      <w:marLeft w:val="0"/>
      <w:marRight w:val="0"/>
      <w:marTop w:val="0"/>
      <w:marBottom w:val="0"/>
      <w:divBdr>
        <w:top w:val="none" w:sz="0" w:space="0" w:color="auto"/>
        <w:left w:val="none" w:sz="0" w:space="0" w:color="auto"/>
        <w:bottom w:val="none" w:sz="0" w:space="0" w:color="auto"/>
        <w:right w:val="none" w:sz="0" w:space="0" w:color="auto"/>
      </w:divBdr>
    </w:div>
    <w:div w:id="2082941282">
      <w:bodyDiv w:val="1"/>
      <w:marLeft w:val="0"/>
      <w:marRight w:val="0"/>
      <w:marTop w:val="0"/>
      <w:marBottom w:val="0"/>
      <w:divBdr>
        <w:top w:val="none" w:sz="0" w:space="0" w:color="auto"/>
        <w:left w:val="none" w:sz="0" w:space="0" w:color="auto"/>
        <w:bottom w:val="none" w:sz="0" w:space="0" w:color="auto"/>
        <w:right w:val="none" w:sz="0" w:space="0" w:color="auto"/>
      </w:divBdr>
    </w:div>
    <w:div w:id="2085640318">
      <w:bodyDiv w:val="1"/>
      <w:marLeft w:val="0"/>
      <w:marRight w:val="0"/>
      <w:marTop w:val="0"/>
      <w:marBottom w:val="0"/>
      <w:divBdr>
        <w:top w:val="none" w:sz="0" w:space="0" w:color="auto"/>
        <w:left w:val="none" w:sz="0" w:space="0" w:color="auto"/>
        <w:bottom w:val="none" w:sz="0" w:space="0" w:color="auto"/>
        <w:right w:val="none" w:sz="0" w:space="0" w:color="auto"/>
      </w:divBdr>
    </w:div>
    <w:div w:id="2087338122">
      <w:bodyDiv w:val="1"/>
      <w:marLeft w:val="0"/>
      <w:marRight w:val="0"/>
      <w:marTop w:val="0"/>
      <w:marBottom w:val="0"/>
      <w:divBdr>
        <w:top w:val="none" w:sz="0" w:space="0" w:color="auto"/>
        <w:left w:val="none" w:sz="0" w:space="0" w:color="auto"/>
        <w:bottom w:val="none" w:sz="0" w:space="0" w:color="auto"/>
        <w:right w:val="none" w:sz="0" w:space="0" w:color="auto"/>
      </w:divBdr>
    </w:div>
    <w:div w:id="2092579313">
      <w:bodyDiv w:val="1"/>
      <w:marLeft w:val="0"/>
      <w:marRight w:val="0"/>
      <w:marTop w:val="0"/>
      <w:marBottom w:val="0"/>
      <w:divBdr>
        <w:top w:val="none" w:sz="0" w:space="0" w:color="auto"/>
        <w:left w:val="none" w:sz="0" w:space="0" w:color="auto"/>
        <w:bottom w:val="none" w:sz="0" w:space="0" w:color="auto"/>
        <w:right w:val="none" w:sz="0" w:space="0" w:color="auto"/>
      </w:divBdr>
    </w:div>
    <w:div w:id="2103641972">
      <w:bodyDiv w:val="1"/>
      <w:marLeft w:val="0"/>
      <w:marRight w:val="0"/>
      <w:marTop w:val="0"/>
      <w:marBottom w:val="0"/>
      <w:divBdr>
        <w:top w:val="none" w:sz="0" w:space="0" w:color="auto"/>
        <w:left w:val="none" w:sz="0" w:space="0" w:color="auto"/>
        <w:bottom w:val="none" w:sz="0" w:space="0" w:color="auto"/>
        <w:right w:val="none" w:sz="0" w:space="0" w:color="auto"/>
      </w:divBdr>
    </w:div>
    <w:div w:id="2108233874">
      <w:bodyDiv w:val="1"/>
      <w:marLeft w:val="0"/>
      <w:marRight w:val="0"/>
      <w:marTop w:val="0"/>
      <w:marBottom w:val="0"/>
      <w:divBdr>
        <w:top w:val="none" w:sz="0" w:space="0" w:color="auto"/>
        <w:left w:val="none" w:sz="0" w:space="0" w:color="auto"/>
        <w:bottom w:val="none" w:sz="0" w:space="0" w:color="auto"/>
        <w:right w:val="none" w:sz="0" w:space="0" w:color="auto"/>
      </w:divBdr>
    </w:div>
    <w:div w:id="2129006434">
      <w:bodyDiv w:val="1"/>
      <w:marLeft w:val="0"/>
      <w:marRight w:val="0"/>
      <w:marTop w:val="0"/>
      <w:marBottom w:val="0"/>
      <w:divBdr>
        <w:top w:val="none" w:sz="0" w:space="0" w:color="auto"/>
        <w:left w:val="none" w:sz="0" w:space="0" w:color="auto"/>
        <w:bottom w:val="none" w:sz="0" w:space="0" w:color="auto"/>
        <w:right w:val="none" w:sz="0" w:space="0" w:color="auto"/>
      </w:divBdr>
    </w:div>
    <w:div w:id="2130777966">
      <w:bodyDiv w:val="1"/>
      <w:marLeft w:val="0"/>
      <w:marRight w:val="0"/>
      <w:marTop w:val="0"/>
      <w:marBottom w:val="0"/>
      <w:divBdr>
        <w:top w:val="none" w:sz="0" w:space="0" w:color="auto"/>
        <w:left w:val="none" w:sz="0" w:space="0" w:color="auto"/>
        <w:bottom w:val="none" w:sz="0" w:space="0" w:color="auto"/>
        <w:right w:val="none" w:sz="0" w:space="0" w:color="auto"/>
      </w:divBdr>
    </w:div>
    <w:div w:id="2135564342">
      <w:bodyDiv w:val="1"/>
      <w:marLeft w:val="0"/>
      <w:marRight w:val="0"/>
      <w:marTop w:val="0"/>
      <w:marBottom w:val="0"/>
      <w:divBdr>
        <w:top w:val="none" w:sz="0" w:space="0" w:color="auto"/>
        <w:left w:val="none" w:sz="0" w:space="0" w:color="auto"/>
        <w:bottom w:val="none" w:sz="0" w:space="0" w:color="auto"/>
        <w:right w:val="none" w:sz="0" w:space="0" w:color="auto"/>
      </w:divBdr>
    </w:div>
    <w:div w:id="2138839159">
      <w:bodyDiv w:val="1"/>
      <w:marLeft w:val="0"/>
      <w:marRight w:val="0"/>
      <w:marTop w:val="0"/>
      <w:marBottom w:val="0"/>
      <w:divBdr>
        <w:top w:val="none" w:sz="0" w:space="0" w:color="auto"/>
        <w:left w:val="none" w:sz="0" w:space="0" w:color="auto"/>
        <w:bottom w:val="none" w:sz="0" w:space="0" w:color="auto"/>
        <w:right w:val="none" w:sz="0" w:space="0" w:color="auto"/>
      </w:divBdr>
    </w:div>
    <w:div w:id="21435005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11.png"/><Relationship Id="rId42" Type="http://schemas.openxmlformats.org/officeDocument/2006/relationships/image" Target="media/image31.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21.png"/><Relationship Id="rId159" Type="http://schemas.openxmlformats.org/officeDocument/2006/relationships/theme" Target="theme/theme1.xml"/><Relationship Id="rId107" Type="http://schemas.openxmlformats.org/officeDocument/2006/relationships/image" Target="media/image91.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image" Target="media/image111.png"/><Relationship Id="rId149" Type="http://schemas.openxmlformats.org/officeDocument/2006/relationships/image" Target="media/image132.png"/><Relationship Id="rId5" Type="http://schemas.openxmlformats.org/officeDocument/2006/relationships/numbering" Target="numbering.xml"/><Relationship Id="rId95" Type="http://schemas.openxmlformats.org/officeDocument/2006/relationships/image" Target="media/image79.png"/><Relationship Id="rId22" Type="http://schemas.openxmlformats.org/officeDocument/2006/relationships/image" Target="media/image12.png"/><Relationship Id="rId43" Type="http://schemas.openxmlformats.org/officeDocument/2006/relationships/chart" Target="charts/chart2.xml"/><Relationship Id="rId64" Type="http://schemas.openxmlformats.org/officeDocument/2006/relationships/image" Target="media/image50.png"/><Relationship Id="rId118" Type="http://schemas.openxmlformats.org/officeDocument/2006/relationships/image" Target="media/image101.png"/><Relationship Id="rId139" Type="http://schemas.openxmlformats.org/officeDocument/2006/relationships/image" Target="media/image122.png"/><Relationship Id="rId80" Type="http://schemas.openxmlformats.org/officeDocument/2006/relationships/image" Target="media/image65.png"/><Relationship Id="rId85" Type="http://schemas.openxmlformats.org/officeDocument/2006/relationships/image" Target="media/image70.png"/><Relationship Id="rId150" Type="http://schemas.openxmlformats.org/officeDocument/2006/relationships/footer" Target="footer1.xml"/><Relationship Id="rId155" Type="http://schemas.openxmlformats.org/officeDocument/2006/relationships/image" Target="media/image137.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5.png"/><Relationship Id="rId103" Type="http://schemas.openxmlformats.org/officeDocument/2006/relationships/image" Target="media/image87.png"/><Relationship Id="rId108" Type="http://schemas.openxmlformats.org/officeDocument/2006/relationships/image" Target="media/image92.png"/><Relationship Id="rId124" Type="http://schemas.openxmlformats.org/officeDocument/2006/relationships/image" Target="media/image107.png"/><Relationship Id="rId129" Type="http://schemas.openxmlformats.org/officeDocument/2006/relationships/image" Target="media/image112.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5.png"/><Relationship Id="rId96" Type="http://schemas.openxmlformats.org/officeDocument/2006/relationships/image" Target="media/image80.png"/><Relationship Id="rId140" Type="http://schemas.openxmlformats.org/officeDocument/2006/relationships/image" Target="media/image123.png"/><Relationship Id="rId145" Type="http://schemas.openxmlformats.org/officeDocument/2006/relationships/image" Target="media/image128.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6.png"/><Relationship Id="rId114" Type="http://schemas.openxmlformats.org/officeDocument/2006/relationships/image" Target="media/image97.png"/><Relationship Id="rId119" Type="http://schemas.openxmlformats.org/officeDocument/2006/relationships/image" Target="media/image102.png"/><Relationship Id="rId44" Type="http://schemas.openxmlformats.org/officeDocument/2006/relationships/chart" Target="charts/chart3.xml"/><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openxmlformats.org/officeDocument/2006/relationships/image" Target="media/image71.jpeg"/><Relationship Id="rId130" Type="http://schemas.openxmlformats.org/officeDocument/2006/relationships/image" Target="media/image113.png"/><Relationship Id="rId135" Type="http://schemas.openxmlformats.org/officeDocument/2006/relationships/image" Target="media/image118.png"/><Relationship Id="rId151" Type="http://schemas.openxmlformats.org/officeDocument/2006/relationships/image" Target="media/image133.png"/><Relationship Id="rId156"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3.png"/><Relationship Id="rId34" Type="http://schemas.openxmlformats.org/officeDocument/2006/relationships/image" Target="media/image24.png"/><Relationship Id="rId50" Type="http://schemas.openxmlformats.org/officeDocument/2006/relationships/chart" Target="charts/chart4.xml"/><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4.png"/><Relationship Id="rId146" Type="http://schemas.openxmlformats.org/officeDocument/2006/relationships/image" Target="media/image129.png"/><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6.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image" Target="media/image98.pn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footer" Target="footer2.xml"/><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34.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2.png"/><Relationship Id="rId77" Type="http://schemas.openxmlformats.org/officeDocument/2006/relationships/chart" Target="charts/chart5.xml"/><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9.png"/><Relationship Id="rId147" Type="http://schemas.openxmlformats.org/officeDocument/2006/relationships/image" Target="media/image130.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4.png"/><Relationship Id="rId142" Type="http://schemas.openxmlformats.org/officeDocument/2006/relationships/image" Target="media/image125.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chart" Target="charts/chart1.xml"/><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chart" Target="charts/chart6.xml"/><Relationship Id="rId111" Type="http://schemas.openxmlformats.org/officeDocument/2006/relationships/image" Target="media/image95.png"/><Relationship Id="rId132" Type="http://schemas.openxmlformats.org/officeDocument/2006/relationships/image" Target="media/image115.png"/><Relationship Id="rId153" Type="http://schemas.openxmlformats.org/officeDocument/2006/relationships/image" Target="media/image135.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10.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3.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5.png"/><Relationship Id="rId143" Type="http://schemas.openxmlformats.org/officeDocument/2006/relationships/image" Target="media/image126.png"/><Relationship Id="rId148" Type="http://schemas.openxmlformats.org/officeDocument/2006/relationships/image" Target="media/image131.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sv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3.png"/><Relationship Id="rId112" Type="http://schemas.openxmlformats.org/officeDocument/2006/relationships/chart" Target="charts/chart7.xml"/><Relationship Id="rId133" Type="http://schemas.openxmlformats.org/officeDocument/2006/relationships/image" Target="media/image116.png"/><Relationship Id="rId154" Type="http://schemas.openxmlformats.org/officeDocument/2006/relationships/image" Target="media/image136.png"/><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6.png"/><Relationship Id="rId123" Type="http://schemas.openxmlformats.org/officeDocument/2006/relationships/image" Target="media/image106.png"/><Relationship Id="rId144" Type="http://schemas.openxmlformats.org/officeDocument/2006/relationships/image" Target="media/image127.png"/><Relationship Id="rId90" Type="http://schemas.openxmlformats.org/officeDocument/2006/relationships/image" Target="media/image74.png"/><Relationship Id="rId27" Type="http://schemas.openxmlformats.org/officeDocument/2006/relationships/image" Target="media/image17.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6.png"/><Relationship Id="rId134" Type="http://schemas.openxmlformats.org/officeDocument/2006/relationships/image" Target="media/image117.png"/></Relationships>
</file>

<file path=word/_rels/footnotes.xml.rels><?xml version="1.0" encoding="UTF-8" standalone="yes"?>
<Relationships xmlns="http://schemas.openxmlformats.org/package/2006/relationships"><Relationship Id="rId3" Type="http://schemas.openxmlformats.org/officeDocument/2006/relationships/hyperlink" Target="https://ec.europa.eu/neighbourhood-enlargement/serbia-report-2021_en" TargetMode="External"/><Relationship Id="rId7" Type="http://schemas.openxmlformats.org/officeDocument/2006/relationships/hyperlink" Target="http://www.fao.org/forestry/16159-0f033f89b9da00ac3d5a3c81cda247f26.pdf" TargetMode="External"/><Relationship Id="rId2" Type="http://schemas.openxmlformats.org/officeDocument/2006/relationships/hyperlink" Target="https://circulareconomy.europa.eu/platform/sites/default/files/roadmap-for-circular-economy-in-serbia.pdf" TargetMode="External"/><Relationship Id="rId1" Type="http://schemas.openxmlformats.org/officeDocument/2006/relationships/hyperlink" Target="https://ec.europa.eu/neighbourhood-enlargement/serbia-report-2021_en" TargetMode="External"/><Relationship Id="rId6" Type="http://schemas.openxmlformats.org/officeDocument/2006/relationships/hyperlink" Target="http://www.fao.org/faolex/results/details/en/c/LEX-FAOC143404" TargetMode="External"/><Relationship Id="rId5" Type="http://schemas.openxmlformats.org/officeDocument/2006/relationships/hyperlink" Target="https://www.paragraf.rs/propisi/zakon_o_podsticajima_u_poljoprivredi_i_ruralnom_razvoju.html" TargetMode="External"/><Relationship Id="rId4" Type="http://schemas.openxmlformats.org/officeDocument/2006/relationships/hyperlink" Target="https://www.paragraf.rs/propisi/zakon_o_poljoprivredi_i_ruralnom_razvoju.html"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natasa\Desktop\MAY%202023_NECP_LAST%20REVISION\Chapter%204_EN\Serbia's%20energy%20balances%20(2010-2020).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natasa\Desktop\MAY%202023_NECP_LAST%20REVISION\Chapter%204_EN\Res_Scenario-WEMupd2.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natasa\Desktop\MAY%202023_NECP_LAST%20REVISION\Chapter%204_EN\Res_Scenario-WEMupd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natasa\Desktop\MAY%202023_NECP_LAST%20REVISION\Chapter%204_EN\Serbia's%20energy%20balances%20(2010-2020).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bojan\Documents\INECP\FINAL%20INECP\Graphs%20SERBIAN_NECP\Graphs\Annex-Tables-+Fig-upd%20sa%20prevodom.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'Gross heat production'!$A$12</c:f>
              <c:strCache>
                <c:ptCount val="1"/>
                <c:pt idx="0">
                  <c:v>Чврста фосилна горива</c:v>
                </c:pt>
              </c:strCache>
            </c:strRef>
          </c:tx>
          <c:spPr>
            <a:solidFill>
              <a:srgbClr val="5B9BD5"/>
            </a:solidFill>
            <a:ln w="25400">
              <a:noFill/>
            </a:ln>
          </c:spPr>
          <c:invertIfNegative val="0"/>
          <c:cat>
            <c:strRef>
              <c:f>'Gross heat production'!$B$11:$L$11</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'Gross heat production'!$B$12:$L$12</c:f>
              <c:numCache>
                <c:formatCode>#,##0.000</c:formatCode>
                <c:ptCount val="11"/>
                <c:pt idx="0">
                  <c:v>152.14500000000001</c:v>
                </c:pt>
                <c:pt idx="1">
                  <c:v>163.108</c:v>
                </c:pt>
                <c:pt idx="2">
                  <c:v>158.85599999999999</c:v>
                </c:pt>
                <c:pt idx="3">
                  <c:v>170.05799999999999</c:v>
                </c:pt>
                <c:pt idx="4">
                  <c:v>119.996</c:v>
                </c:pt>
                <c:pt idx="5">
                  <c:v>141.636</c:v>
                </c:pt>
                <c:pt idx="6">
                  <c:v>143.02099999999999</c:v>
                </c:pt>
                <c:pt idx="7">
                  <c:v>147.84800000000001</c:v>
                </c:pt>
                <c:pt idx="8">
                  <c:v>139.36199999999999</c:v>
                </c:pt>
                <c:pt idx="9">
                  <c:v>136.05600000000001</c:v>
                </c:pt>
                <c:pt idx="10">
                  <c:v>146.477</c:v>
                </c:pt>
              </c:numCache>
            </c:numRef>
          </c:val>
          <c:extLst>
            <c:ext xmlns:c16="http://schemas.microsoft.com/office/drawing/2014/chart" uri="{C3380CC4-5D6E-409C-BE32-E72D297353CC}">
              <c16:uniqueId val="{00000000-6FD8-42A4-BFAF-AB5DE2D7DF14}"/>
            </c:ext>
          </c:extLst>
        </c:ser>
        <c:ser>
          <c:idx val="1"/>
          <c:order val="1"/>
          <c:tx>
            <c:strRef>
              <c:f>'Gross heat production'!$A$13</c:f>
              <c:strCache>
                <c:ptCount val="1"/>
                <c:pt idx="0">
                  <c:v>Произведени гасови</c:v>
                </c:pt>
              </c:strCache>
            </c:strRef>
          </c:tx>
          <c:spPr>
            <a:solidFill>
              <a:srgbClr val="ED7D31"/>
            </a:solidFill>
            <a:ln w="25400">
              <a:noFill/>
            </a:ln>
          </c:spPr>
          <c:invertIfNegative val="0"/>
          <c:cat>
            <c:strRef>
              <c:f>'Gross heat production'!$B$11:$L$11</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'Gross heat production'!$B$13:$L$13</c:f>
              <c:numCache>
                <c:formatCode>#,##0.000</c:formatCode>
                <c:ptCount val="11"/>
                <c:pt idx="0">
                  <c:v>76.525999999999996</c:v>
                </c:pt>
                <c:pt idx="1">
                  <c:v>75.929000000000002</c:v>
                </c:pt>
                <c:pt idx="2">
                  <c:v>13.757999999999999</c:v>
                </c:pt>
                <c:pt idx="3">
                  <c:v>14.593</c:v>
                </c:pt>
                <c:pt idx="4">
                  <c:v>22.786000000000001</c:v>
                </c:pt>
                <c:pt idx="5">
                  <c:v>37.116999999999997</c:v>
                </c:pt>
                <c:pt idx="6">
                  <c:v>46.765999999999998</c:v>
                </c:pt>
                <c:pt idx="7">
                  <c:v>52.415999999999997</c:v>
                </c:pt>
                <c:pt idx="8">
                  <c:v>59.94</c:v>
                </c:pt>
                <c:pt idx="9">
                  <c:v>59.923999999999999</c:v>
                </c:pt>
                <c:pt idx="10">
                  <c:v>46.11</c:v>
                </c:pt>
              </c:numCache>
            </c:numRef>
          </c:val>
          <c:extLst>
            <c:ext xmlns:c16="http://schemas.microsoft.com/office/drawing/2014/chart" uri="{C3380CC4-5D6E-409C-BE32-E72D297353CC}">
              <c16:uniqueId val="{00000001-6FD8-42A4-BFAF-AB5DE2D7DF14}"/>
            </c:ext>
          </c:extLst>
        </c:ser>
        <c:ser>
          <c:idx val="2"/>
          <c:order val="2"/>
          <c:tx>
            <c:strRef>
              <c:f>'Gross heat production'!$A$14</c:f>
              <c:strCache>
                <c:ptCount val="1"/>
                <c:pt idx="0">
                  <c:v>Природни гас</c:v>
                </c:pt>
              </c:strCache>
            </c:strRef>
          </c:tx>
          <c:spPr>
            <a:solidFill>
              <a:srgbClr val="A5A5A5"/>
            </a:solidFill>
            <a:ln w="25400">
              <a:noFill/>
            </a:ln>
          </c:spPr>
          <c:invertIfNegative val="0"/>
          <c:cat>
            <c:strRef>
              <c:f>'Gross heat production'!$B$11:$L$11</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'Gross heat production'!$B$14:$L$14</c:f>
              <c:numCache>
                <c:formatCode>#,##0.000</c:formatCode>
                <c:ptCount val="11"/>
                <c:pt idx="0">
                  <c:v>441.19600000000003</c:v>
                </c:pt>
                <c:pt idx="1">
                  <c:v>510.55700000000002</c:v>
                </c:pt>
                <c:pt idx="2">
                  <c:v>512.89800000000002</c:v>
                </c:pt>
                <c:pt idx="3">
                  <c:v>524.88800000000003</c:v>
                </c:pt>
                <c:pt idx="4">
                  <c:v>491.66399999999999</c:v>
                </c:pt>
                <c:pt idx="5">
                  <c:v>514.06799999999998</c:v>
                </c:pt>
                <c:pt idx="6">
                  <c:v>498.42399999999998</c:v>
                </c:pt>
                <c:pt idx="7">
                  <c:v>512.03399999999999</c:v>
                </c:pt>
                <c:pt idx="8">
                  <c:v>497.37200000000001</c:v>
                </c:pt>
                <c:pt idx="9">
                  <c:v>491.97399999999999</c:v>
                </c:pt>
                <c:pt idx="10">
                  <c:v>569.125</c:v>
                </c:pt>
              </c:numCache>
            </c:numRef>
          </c:val>
          <c:extLst>
            <c:ext xmlns:c16="http://schemas.microsoft.com/office/drawing/2014/chart" uri="{C3380CC4-5D6E-409C-BE32-E72D297353CC}">
              <c16:uniqueId val="{00000002-6FD8-42A4-BFAF-AB5DE2D7DF14}"/>
            </c:ext>
          </c:extLst>
        </c:ser>
        <c:ser>
          <c:idx val="3"/>
          <c:order val="3"/>
          <c:tx>
            <c:strRef>
              <c:f>'Gross heat production'!$A$15</c:f>
              <c:strCache>
                <c:ptCount val="1"/>
                <c:pt idx="0">
                  <c:v>Нафта и нафтни деривати</c:v>
                </c:pt>
              </c:strCache>
            </c:strRef>
          </c:tx>
          <c:spPr>
            <a:solidFill>
              <a:srgbClr val="FFC000"/>
            </a:solidFill>
            <a:ln w="25400">
              <a:noFill/>
            </a:ln>
          </c:spPr>
          <c:invertIfNegative val="0"/>
          <c:cat>
            <c:strRef>
              <c:f>'Gross heat production'!$B$11:$L$11</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'Gross heat production'!$B$15:$L$15</c:f>
              <c:numCache>
                <c:formatCode>#,##0.000</c:formatCode>
                <c:ptCount val="11"/>
                <c:pt idx="0">
                  <c:v>233.52</c:v>
                </c:pt>
                <c:pt idx="1">
                  <c:v>233.066</c:v>
                </c:pt>
                <c:pt idx="2">
                  <c:v>153.84100000000001</c:v>
                </c:pt>
                <c:pt idx="3">
                  <c:v>106.71599999999999</c:v>
                </c:pt>
                <c:pt idx="4">
                  <c:v>85.100999999999999</c:v>
                </c:pt>
                <c:pt idx="5">
                  <c:v>134.11199999999999</c:v>
                </c:pt>
                <c:pt idx="6">
                  <c:v>156.37200000000001</c:v>
                </c:pt>
                <c:pt idx="7">
                  <c:v>155.727</c:v>
                </c:pt>
                <c:pt idx="8">
                  <c:v>148.18100000000001</c:v>
                </c:pt>
                <c:pt idx="9">
                  <c:v>91.694999999999993</c:v>
                </c:pt>
                <c:pt idx="10">
                  <c:v>86.71</c:v>
                </c:pt>
              </c:numCache>
            </c:numRef>
          </c:val>
          <c:extLst>
            <c:ext xmlns:c16="http://schemas.microsoft.com/office/drawing/2014/chart" uri="{C3380CC4-5D6E-409C-BE32-E72D297353CC}">
              <c16:uniqueId val="{00000003-6FD8-42A4-BFAF-AB5DE2D7DF14}"/>
            </c:ext>
          </c:extLst>
        </c:ser>
        <c:ser>
          <c:idx val="4"/>
          <c:order val="4"/>
          <c:tx>
            <c:strRef>
              <c:f>'Gross heat production'!$A$16</c:f>
              <c:strCache>
                <c:ptCount val="1"/>
                <c:pt idx="0">
                  <c:v>ОИЕ и биогорива</c:v>
                </c:pt>
              </c:strCache>
            </c:strRef>
          </c:tx>
          <c:spPr>
            <a:solidFill>
              <a:srgbClr val="4472C4"/>
            </a:solidFill>
            <a:ln w="25400">
              <a:noFill/>
            </a:ln>
          </c:spPr>
          <c:invertIfNegative val="0"/>
          <c:cat>
            <c:strRef>
              <c:f>'Gross heat production'!$B$11:$L$11</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'Gross heat production'!$B$16:$L$16</c:f>
              <c:numCache>
                <c:formatCode>#,##0.000</c:formatCode>
                <c:ptCount val="11"/>
                <c:pt idx="0">
                  <c:v>1.6</c:v>
                </c:pt>
                <c:pt idx="1">
                  <c:v>1.744</c:v>
                </c:pt>
                <c:pt idx="2">
                  <c:v>1.4570000000000001</c:v>
                </c:pt>
                <c:pt idx="3">
                  <c:v>3.129</c:v>
                </c:pt>
                <c:pt idx="4">
                  <c:v>3.0569999999999999</c:v>
                </c:pt>
                <c:pt idx="5">
                  <c:v>3.702</c:v>
                </c:pt>
                <c:pt idx="6">
                  <c:v>3.5350000000000001</c:v>
                </c:pt>
                <c:pt idx="7">
                  <c:v>3.3370000000000002</c:v>
                </c:pt>
                <c:pt idx="8">
                  <c:v>3.907</c:v>
                </c:pt>
                <c:pt idx="9">
                  <c:v>9.0380000000000003</c:v>
                </c:pt>
                <c:pt idx="10">
                  <c:v>12.689</c:v>
                </c:pt>
              </c:numCache>
            </c:numRef>
          </c:val>
          <c:extLst>
            <c:ext xmlns:c16="http://schemas.microsoft.com/office/drawing/2014/chart" uri="{C3380CC4-5D6E-409C-BE32-E72D297353CC}">
              <c16:uniqueId val="{00000004-6FD8-42A4-BFAF-AB5DE2D7DF14}"/>
            </c:ext>
          </c:extLst>
        </c:ser>
        <c:dLbls>
          <c:showLegendKey val="0"/>
          <c:showVal val="0"/>
          <c:showCatName val="0"/>
          <c:showSerName val="0"/>
          <c:showPercent val="0"/>
          <c:showBubbleSize val="0"/>
        </c:dLbls>
        <c:gapWidth val="55"/>
        <c:overlap val="100"/>
        <c:axId val="34079120"/>
        <c:axId val="1"/>
      </c:barChart>
      <c:catAx>
        <c:axId val="34079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max val="1000"/>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en-US"/>
                  <a:t>ktoe</a:t>
                </a:r>
              </a:p>
            </c:rich>
          </c:tx>
          <c:overlay val="0"/>
        </c:title>
        <c:numFmt formatCode="#,##0" sourceLinked="0"/>
        <c:majorTickMark val="none"/>
        <c:minorTickMark val="none"/>
        <c:tickLblPos val="nextTo"/>
        <c:spPr>
          <a:noFill/>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079120"/>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6.5226216442898527E-2"/>
          <c:y val="8.2975497901858486E-2"/>
          <c:w val="0.87773664169474785"/>
          <c:h val="0.73177255801167107"/>
        </c:manualLayout>
      </c:layout>
      <c:lineChart>
        <c:grouping val="standard"/>
        <c:varyColors val="0"/>
        <c:ser>
          <c:idx val="1"/>
          <c:order val="0"/>
          <c:tx>
            <c:strRef>
              <c:f>'9.'!$CQ$37</c:f>
              <c:strCache>
                <c:ptCount val="1"/>
                <c:pt idx="0">
                  <c:v> Удео обновљивих извора енергије у бруто финалној потрошњи енергије (према Директиви 2009/28/EЗ) </c:v>
                </c:pt>
              </c:strCache>
            </c:strRef>
          </c:tx>
          <c:spPr>
            <a:ln w="19050" cap="rnd" cmpd="sng" algn="ctr">
              <a:solidFill>
                <a:srgbClr val="FF0000"/>
              </a:solidFill>
              <a:prstDash val="solid"/>
              <a:round/>
            </a:ln>
            <a:effectLst/>
          </c:spPr>
          <c:marker>
            <c:spPr>
              <a:solidFill>
                <a:schemeClr val="accent2">
                  <a:shade val="76000"/>
                </a:schemeClr>
              </a:solidFill>
              <a:ln w="6350" cap="flat" cmpd="sng" algn="ctr">
                <a:solidFill>
                  <a:schemeClr val="accent2">
                    <a:shade val="76000"/>
                  </a:schemeClr>
                </a:solidFill>
                <a:prstDash val="solid"/>
                <a:round/>
              </a:ln>
              <a:effectLst/>
            </c:spPr>
          </c:marker>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'9.'!$CR$36:$DB$36</c:f>
              <c:numCache>
                <c:formatCode>General</c:formatCode>
                <c:ptCount val="11"/>
                <c:pt idx="0">
                  <c:v>2020</c:v>
                </c:pt>
                <c:pt idx="1">
                  <c:v>2025</c:v>
                </c:pt>
                <c:pt idx="2">
                  <c:v>2026</c:v>
                </c:pt>
                <c:pt idx="3">
                  <c:v>2027</c:v>
                </c:pt>
                <c:pt idx="4">
                  <c:v>2028</c:v>
                </c:pt>
                <c:pt idx="5">
                  <c:v>2029</c:v>
                </c:pt>
                <c:pt idx="6">
                  <c:v>2030</c:v>
                </c:pt>
                <c:pt idx="7">
                  <c:v>2035</c:v>
                </c:pt>
                <c:pt idx="8">
                  <c:v>2040</c:v>
                </c:pt>
                <c:pt idx="9">
                  <c:v>2045</c:v>
                </c:pt>
                <c:pt idx="10">
                  <c:v>2050</c:v>
                </c:pt>
              </c:numCache>
            </c:numRef>
          </c:cat>
          <c:val>
            <c:numRef>
              <c:f>'9.'!$CR$37:$DB$37</c:f>
              <c:numCache>
                <c:formatCode>0%</c:formatCode>
                <c:ptCount val="11"/>
                <c:pt idx="0">
                  <c:v>0.26300000000000001</c:v>
                </c:pt>
                <c:pt idx="1">
                  <c:v>0.29123405018724913</c:v>
                </c:pt>
                <c:pt idx="2">
                  <c:v>0.28766821575666818</c:v>
                </c:pt>
                <c:pt idx="3">
                  <c:v>0.2850552306692658</c:v>
                </c:pt>
                <c:pt idx="4">
                  <c:v>0.28189291647144021</c:v>
                </c:pt>
                <c:pt idx="5">
                  <c:v>0.27732217573221768</c:v>
                </c:pt>
                <c:pt idx="6">
                  <c:v>0.27360605499681218</c:v>
                </c:pt>
                <c:pt idx="7">
                  <c:v>0.26274654306382494</c:v>
                </c:pt>
                <c:pt idx="8">
                  <c:v>0.25032120700414806</c:v>
                </c:pt>
                <c:pt idx="9">
                  <c:v>0.24069283741741535</c:v>
                </c:pt>
                <c:pt idx="10">
                  <c:v>0.26647669516239231</c:v>
                </c:pt>
              </c:numCache>
            </c:numRef>
          </c:val>
          <c:smooth val="0"/>
          <c:extLst>
            <c:ext xmlns:c16="http://schemas.microsoft.com/office/drawing/2014/chart" uri="{C3380CC4-5D6E-409C-BE32-E72D297353CC}">
              <c16:uniqueId val="{00000000-7C0A-4FB8-BA78-994F28FEED56}"/>
            </c:ext>
          </c:extLst>
        </c:ser>
        <c:dLbls>
          <c:showLegendKey val="0"/>
          <c:showVal val="0"/>
          <c:showCatName val="0"/>
          <c:showSerName val="0"/>
          <c:showPercent val="0"/>
          <c:showBubbleSize val="0"/>
        </c:dLbls>
        <c:marker val="1"/>
        <c:smooth val="0"/>
        <c:axId val="158344320"/>
        <c:axId val="158345856"/>
      </c:lineChart>
      <c:catAx>
        <c:axId val="158344320"/>
        <c:scaling>
          <c:orientation val="minMax"/>
        </c:scaling>
        <c:delete val="0"/>
        <c:axPos val="b"/>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crossAx val="158345856"/>
        <c:crosses val="autoZero"/>
        <c:auto val="1"/>
        <c:lblAlgn val="ctr"/>
        <c:lblOffset val="100"/>
        <c:noMultiLvlLbl val="0"/>
      </c:catAx>
      <c:valAx>
        <c:axId val="158345856"/>
        <c:scaling>
          <c:orientation val="minMax"/>
        </c:scaling>
        <c:delete val="0"/>
        <c:axPos val="l"/>
        <c:majorGridlines>
          <c:spPr>
            <a:ln w="6350" cap="flat" cmpd="sng" algn="ctr">
              <a:solidFill>
                <a:schemeClr val="tx1">
                  <a:tint val="75000"/>
                </a:schemeClr>
              </a:solidFill>
              <a:prstDash val="solid"/>
              <a:round/>
            </a:ln>
            <a:effectLst/>
          </c:spPr>
        </c:majorGridlines>
        <c:numFmt formatCode="0%"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crossAx val="158344320"/>
        <c:crosses val="autoZero"/>
        <c:crossBetween val="between"/>
      </c:valAx>
      <c:spPr>
        <a:solidFill>
          <a:schemeClr val="bg1"/>
        </a:solidFill>
        <a:ln>
          <a:noFill/>
        </a:ln>
        <a:effectLst/>
      </c:spPr>
    </c:plotArea>
    <c:legend>
      <c:legendPos val="b"/>
      <c:layout>
        <c:manualLayout>
          <c:xMode val="edge"/>
          <c:yMode val="edge"/>
          <c:x val="4.9999918302389E-2"/>
          <c:y val="0.90314557470391033"/>
          <c:w val="0.9"/>
          <c:h val="7.3223074370528413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sz="1100"/>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226216442898527E-2"/>
          <c:y val="8.2975497901858486E-2"/>
          <c:w val="0.87773664169474785"/>
          <c:h val="0.73177255801167107"/>
        </c:manualLayout>
      </c:layout>
      <c:lineChart>
        <c:grouping val="standard"/>
        <c:varyColors val="0"/>
        <c:ser>
          <c:idx val="1"/>
          <c:order val="0"/>
          <c:tx>
            <c:strRef>
              <c:f>'9.'!$CQ$63</c:f>
              <c:strCache>
                <c:ptCount val="1"/>
                <c:pt idx="0">
                  <c:v> Удео обновљивих извора енергије у укупној производњи електричне енергије (без нормализације) </c:v>
                </c:pt>
              </c:strCache>
            </c:strRef>
          </c:tx>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'9.'!$CR$62:$DB$62</c:f>
              <c:numCache>
                <c:formatCode>General</c:formatCode>
                <c:ptCount val="11"/>
                <c:pt idx="0">
                  <c:v>2020</c:v>
                </c:pt>
                <c:pt idx="1">
                  <c:v>2025</c:v>
                </c:pt>
                <c:pt idx="2">
                  <c:v>2026</c:v>
                </c:pt>
                <c:pt idx="3">
                  <c:v>2027</c:v>
                </c:pt>
                <c:pt idx="4">
                  <c:v>2028</c:v>
                </c:pt>
                <c:pt idx="5">
                  <c:v>2029</c:v>
                </c:pt>
                <c:pt idx="6">
                  <c:v>2030</c:v>
                </c:pt>
                <c:pt idx="7">
                  <c:v>2035</c:v>
                </c:pt>
                <c:pt idx="8">
                  <c:v>2040</c:v>
                </c:pt>
                <c:pt idx="9">
                  <c:v>2045</c:v>
                </c:pt>
                <c:pt idx="10">
                  <c:v>2050</c:v>
                </c:pt>
              </c:numCache>
            </c:numRef>
          </c:cat>
          <c:val>
            <c:numRef>
              <c:f>'9.'!$CR$63:$DB$63</c:f>
              <c:numCache>
                <c:formatCode>0%</c:formatCode>
                <c:ptCount val="11"/>
                <c:pt idx="0">
                  <c:v>0.27195425890631869</c:v>
                </c:pt>
                <c:pt idx="1">
                  <c:v>0.30822277682910804</c:v>
                </c:pt>
                <c:pt idx="2">
                  <c:v>0.30389173088130544</c:v>
                </c:pt>
                <c:pt idx="3">
                  <c:v>0.30239081925406436</c:v>
                </c:pt>
                <c:pt idx="4">
                  <c:v>0.29729221511846554</c:v>
                </c:pt>
                <c:pt idx="5">
                  <c:v>0.29213621528419237</c:v>
                </c:pt>
                <c:pt idx="6">
                  <c:v>0.28655112023672924</c:v>
                </c:pt>
                <c:pt idx="7">
                  <c:v>0.28490338856716929</c:v>
                </c:pt>
                <c:pt idx="8">
                  <c:v>0.29741005635023837</c:v>
                </c:pt>
                <c:pt idx="9">
                  <c:v>0.28846756502663745</c:v>
                </c:pt>
                <c:pt idx="10">
                  <c:v>0.3838661975421957</c:v>
                </c:pt>
              </c:numCache>
            </c:numRef>
          </c:val>
          <c:smooth val="0"/>
          <c:extLst>
            <c:ext xmlns:c16="http://schemas.microsoft.com/office/drawing/2014/chart" uri="{C3380CC4-5D6E-409C-BE32-E72D297353CC}">
              <c16:uniqueId val="{00000000-B3BA-4D2D-870B-73014CD7561D}"/>
            </c:ext>
          </c:extLst>
        </c:ser>
        <c:dLbls>
          <c:showLegendKey val="0"/>
          <c:showVal val="0"/>
          <c:showCatName val="0"/>
          <c:showSerName val="0"/>
          <c:showPercent val="0"/>
          <c:showBubbleSize val="0"/>
        </c:dLbls>
        <c:marker val="1"/>
        <c:smooth val="0"/>
        <c:axId val="159115136"/>
        <c:axId val="159116672"/>
      </c:lineChart>
      <c:catAx>
        <c:axId val="159115136"/>
        <c:scaling>
          <c:orientation val="minMax"/>
        </c:scaling>
        <c:delete val="0"/>
        <c:axPos val="b"/>
        <c:numFmt formatCode="General" sourceLinked="1"/>
        <c:majorTickMark val="out"/>
        <c:minorTickMark val="none"/>
        <c:tickLblPos val="nextTo"/>
        <c:crossAx val="159116672"/>
        <c:crosses val="autoZero"/>
        <c:auto val="1"/>
        <c:lblAlgn val="ctr"/>
        <c:lblOffset val="100"/>
        <c:noMultiLvlLbl val="0"/>
      </c:catAx>
      <c:valAx>
        <c:axId val="159116672"/>
        <c:scaling>
          <c:orientation val="minMax"/>
        </c:scaling>
        <c:delete val="0"/>
        <c:axPos val="l"/>
        <c:majorGridlines/>
        <c:numFmt formatCode="0%" sourceLinked="1"/>
        <c:majorTickMark val="out"/>
        <c:minorTickMark val="none"/>
        <c:tickLblPos val="nextTo"/>
        <c:crossAx val="159115136"/>
        <c:crosses val="autoZero"/>
        <c:crossBetween val="between"/>
      </c:valAx>
    </c:plotArea>
    <c:legend>
      <c:legendPos val="b"/>
      <c:legendEntry>
        <c:idx val="0"/>
        <c:txPr>
          <a:bodyPr/>
          <a:lstStyle/>
          <a:p>
            <a:pPr>
              <a:defRPr sz="800" baseline="0"/>
            </a:pPr>
            <a:endParaRPr lang="en-US"/>
          </a:p>
        </c:txPr>
      </c:legendEntry>
      <c:layout>
        <c:manualLayout>
          <c:xMode val="edge"/>
          <c:yMode val="edge"/>
          <c:x val="4.9999918302389E-2"/>
          <c:y val="0.9036200721823352"/>
          <c:w val="0.9"/>
          <c:h val="7.2864348746530139E-2"/>
        </c:manualLayout>
      </c:layout>
      <c:overlay val="0"/>
      <c:txPr>
        <a:bodyPr/>
        <a:lstStyle/>
        <a:p>
          <a:pPr>
            <a:defRPr sz="800"/>
          </a:pPr>
          <a:endParaRPr lang="en-US"/>
        </a:p>
      </c:txPr>
    </c:legend>
    <c:plotVisOnly val="1"/>
    <c:dispBlanksAs val="gap"/>
    <c:showDLblsOverMax val="0"/>
  </c:chart>
  <c:txPr>
    <a:bodyPr/>
    <a:lstStyle/>
    <a:p>
      <a:pPr>
        <a:defRPr sz="1100"/>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660725983106102"/>
          <c:y val="4.906333630686887E-2"/>
          <c:w val="0.86671313793755411"/>
          <c:h val="0.77642571663377047"/>
        </c:manualLayout>
      </c:layout>
      <c:barChart>
        <c:barDir val="col"/>
        <c:grouping val="stacked"/>
        <c:varyColors val="0"/>
        <c:ser>
          <c:idx val="0"/>
          <c:order val="0"/>
          <c:tx>
            <c:strRef>
              <c:f>'Gross inland consumption'!$A$12</c:f>
              <c:strCache>
                <c:ptCount val="1"/>
                <c:pt idx="0">
                  <c:v>Чврста фосилна горива</c:v>
                </c:pt>
              </c:strCache>
            </c:strRef>
          </c:tx>
          <c:spPr>
            <a:solidFill>
              <a:srgbClr val="5B9BD5"/>
            </a:solidFill>
            <a:ln w="25400">
              <a:noFill/>
            </a:ln>
          </c:spPr>
          <c:invertIfNegative val="0"/>
          <c:cat>
            <c:strRef>
              <c:f>'Gross inland consumption'!$B$11:$L$11</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'Gross inland consumption'!$B$12:$L$12</c:f>
              <c:numCache>
                <c:formatCode>#,##0.000</c:formatCode>
                <c:ptCount val="11"/>
                <c:pt idx="0">
                  <c:v>7752.5690000000004</c:v>
                </c:pt>
                <c:pt idx="1">
                  <c:v>8758.4480000000003</c:v>
                </c:pt>
                <c:pt idx="2">
                  <c:v>7621.41</c:v>
                </c:pt>
                <c:pt idx="3">
                  <c:v>7909.8130000000001</c:v>
                </c:pt>
                <c:pt idx="4">
                  <c:v>6261.0110000000004</c:v>
                </c:pt>
                <c:pt idx="5">
                  <c:v>7739.9459999999999</c:v>
                </c:pt>
                <c:pt idx="6">
                  <c:v>7917.6480000000001</c:v>
                </c:pt>
                <c:pt idx="7">
                  <c:v>7872.652</c:v>
                </c:pt>
                <c:pt idx="8">
                  <c:v>7548.933</c:v>
                </c:pt>
                <c:pt idx="9">
                  <c:v>7503.6559999999999</c:v>
                </c:pt>
                <c:pt idx="10">
                  <c:v>7902.4129999999996</c:v>
                </c:pt>
              </c:numCache>
            </c:numRef>
          </c:val>
          <c:extLst>
            <c:ext xmlns:c16="http://schemas.microsoft.com/office/drawing/2014/chart" uri="{C3380CC4-5D6E-409C-BE32-E72D297353CC}">
              <c16:uniqueId val="{00000000-6F37-4A92-88A0-41D6BA3AEF4E}"/>
            </c:ext>
          </c:extLst>
        </c:ser>
        <c:ser>
          <c:idx val="1"/>
          <c:order val="1"/>
          <c:tx>
            <c:strRef>
              <c:f>'Gross inland consumption'!$A$13</c:f>
              <c:strCache>
                <c:ptCount val="1"/>
                <c:pt idx="0">
                  <c:v>Произведени гасови</c:v>
                </c:pt>
              </c:strCache>
            </c:strRef>
          </c:tx>
          <c:spPr>
            <a:solidFill>
              <a:srgbClr val="ED7D31"/>
            </a:solidFill>
            <a:ln w="25400">
              <a:noFill/>
            </a:ln>
          </c:spPr>
          <c:invertIfNegative val="0"/>
          <c:cat>
            <c:strRef>
              <c:f>'Gross inland consumption'!$B$11:$L$11</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'Gross inland consumption'!$B$13:$L$13</c:f>
              <c:numCache>
                <c:formatCode>#,##0.000</c:formatCode>
                <c:ptCount val="11"/>
                <c:pt idx="0">
                  <c:v>0</c:v>
                </c:pt>
                <c:pt idx="1">
                  <c:v>0</c:v>
                </c:pt>
                <c:pt idx="2">
                  <c:v>0</c:v>
                </c:pt>
                <c:pt idx="3">
                  <c:v>0</c:v>
                </c:pt>
                <c:pt idx="4">
                  <c:v>0</c:v>
                </c:pt>
                <c:pt idx="5">
                  <c:v>0</c:v>
                </c:pt>
                <c:pt idx="6">
                  <c:v>0</c:v>
                </c:pt>
                <c:pt idx="7">
                  <c:v>0</c:v>
                </c:pt>
                <c:pt idx="8">
                  <c:v>0</c:v>
                </c:pt>
                <c:pt idx="9">
                  <c:v>0</c:v>
                </c:pt>
                <c:pt idx="10">
                  <c:v>0</c:v>
                </c:pt>
              </c:numCache>
            </c:numRef>
          </c:val>
          <c:extLst>
            <c:ext xmlns:c16="http://schemas.microsoft.com/office/drawing/2014/chart" uri="{C3380CC4-5D6E-409C-BE32-E72D297353CC}">
              <c16:uniqueId val="{00000001-6F37-4A92-88A0-41D6BA3AEF4E}"/>
            </c:ext>
          </c:extLst>
        </c:ser>
        <c:ser>
          <c:idx val="2"/>
          <c:order val="2"/>
          <c:tx>
            <c:strRef>
              <c:f>'Gross inland consumption'!$A$14</c:f>
              <c:strCache>
                <c:ptCount val="1"/>
                <c:pt idx="0">
                  <c:v>Природни гас</c:v>
                </c:pt>
              </c:strCache>
            </c:strRef>
          </c:tx>
          <c:spPr>
            <a:solidFill>
              <a:srgbClr val="A5A5A5"/>
            </a:solidFill>
            <a:ln w="25400">
              <a:noFill/>
            </a:ln>
          </c:spPr>
          <c:invertIfNegative val="0"/>
          <c:cat>
            <c:strRef>
              <c:f>'Gross inland consumption'!$B$11:$L$11</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'Gross inland consumption'!$B$14:$L$14</c:f>
              <c:numCache>
                <c:formatCode>#,##0.000</c:formatCode>
                <c:ptCount val="11"/>
                <c:pt idx="0">
                  <c:v>1853.375</c:v>
                </c:pt>
                <c:pt idx="1">
                  <c:v>1902.6010000000001</c:v>
                </c:pt>
                <c:pt idx="2">
                  <c:v>1677.8589999999999</c:v>
                </c:pt>
                <c:pt idx="3">
                  <c:v>1866.5519999999999</c:v>
                </c:pt>
                <c:pt idx="4">
                  <c:v>1608.942</c:v>
                </c:pt>
                <c:pt idx="5">
                  <c:v>1750.3440000000001</c:v>
                </c:pt>
                <c:pt idx="6">
                  <c:v>1891.3589999999999</c:v>
                </c:pt>
                <c:pt idx="7">
                  <c:v>2117.1959999999999</c:v>
                </c:pt>
                <c:pt idx="8">
                  <c:v>2131.8829999999998</c:v>
                </c:pt>
                <c:pt idx="9">
                  <c:v>1993.2550000000001</c:v>
                </c:pt>
                <c:pt idx="10">
                  <c:v>1989.471</c:v>
                </c:pt>
              </c:numCache>
            </c:numRef>
          </c:val>
          <c:extLst>
            <c:ext xmlns:c16="http://schemas.microsoft.com/office/drawing/2014/chart" uri="{C3380CC4-5D6E-409C-BE32-E72D297353CC}">
              <c16:uniqueId val="{00000002-6F37-4A92-88A0-41D6BA3AEF4E}"/>
            </c:ext>
          </c:extLst>
        </c:ser>
        <c:ser>
          <c:idx val="3"/>
          <c:order val="3"/>
          <c:tx>
            <c:strRef>
              <c:f>'Gross inland consumption'!$A$15</c:f>
              <c:strCache>
                <c:ptCount val="1"/>
                <c:pt idx="0">
                  <c:v>Нафта и нафтни деривати </c:v>
                </c:pt>
              </c:strCache>
            </c:strRef>
          </c:tx>
          <c:invertIfNegative val="0"/>
          <c:cat>
            <c:strRef>
              <c:f>'Gross inland consumption'!$B$11:$L$11</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'Gross inland consumption'!$B$15:$L$15</c:f>
              <c:numCache>
                <c:formatCode>#,##0.000</c:formatCode>
                <c:ptCount val="11"/>
                <c:pt idx="0">
                  <c:v>3963.2860000000001</c:v>
                </c:pt>
                <c:pt idx="1">
                  <c:v>3895.444</c:v>
                </c:pt>
                <c:pt idx="2">
                  <c:v>3430.962</c:v>
                </c:pt>
                <c:pt idx="3">
                  <c:v>3452.6370000000002</c:v>
                </c:pt>
                <c:pt idx="4">
                  <c:v>3347.6239999999998</c:v>
                </c:pt>
                <c:pt idx="5">
                  <c:v>3464.9229999999998</c:v>
                </c:pt>
                <c:pt idx="6">
                  <c:v>3786.3560000000002</c:v>
                </c:pt>
                <c:pt idx="7">
                  <c:v>3802.3829999999998</c:v>
                </c:pt>
                <c:pt idx="8">
                  <c:v>3816.13</c:v>
                </c:pt>
                <c:pt idx="9">
                  <c:v>3873.8380000000002</c:v>
                </c:pt>
                <c:pt idx="10">
                  <c:v>3613.3009999999999</c:v>
                </c:pt>
              </c:numCache>
            </c:numRef>
          </c:val>
          <c:extLst>
            <c:ext xmlns:c16="http://schemas.microsoft.com/office/drawing/2014/chart" uri="{C3380CC4-5D6E-409C-BE32-E72D297353CC}">
              <c16:uniqueId val="{00000003-6F37-4A92-88A0-41D6BA3AEF4E}"/>
            </c:ext>
          </c:extLst>
        </c:ser>
        <c:ser>
          <c:idx val="4"/>
          <c:order val="4"/>
          <c:tx>
            <c:strRef>
              <c:f>'Gross inland consumption'!$A$16</c:f>
              <c:strCache>
                <c:ptCount val="1"/>
                <c:pt idx="0">
                  <c:v>ОИЕ и биогорива</c:v>
                </c:pt>
              </c:strCache>
            </c:strRef>
          </c:tx>
          <c:invertIfNegative val="0"/>
          <c:cat>
            <c:strRef>
              <c:f>'Gross inland consumption'!$B$11:$L$11</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'Gross inland consumption'!$B$16:$L$16</c:f>
              <c:numCache>
                <c:formatCode>#,##0.000</c:formatCode>
                <c:ptCount val="11"/>
                <c:pt idx="0">
                  <c:v>2054.8290000000002</c:v>
                </c:pt>
                <c:pt idx="1">
                  <c:v>1785.664</c:v>
                </c:pt>
                <c:pt idx="2">
                  <c:v>1843.403</c:v>
                </c:pt>
                <c:pt idx="3">
                  <c:v>1929.2809999999999</c:v>
                </c:pt>
                <c:pt idx="4">
                  <c:v>2005.8610000000001</c:v>
                </c:pt>
                <c:pt idx="5">
                  <c:v>1931.442</c:v>
                </c:pt>
                <c:pt idx="6">
                  <c:v>2001.067</c:v>
                </c:pt>
                <c:pt idx="7">
                  <c:v>1884.2349999999999</c:v>
                </c:pt>
                <c:pt idx="8">
                  <c:v>2019.856</c:v>
                </c:pt>
                <c:pt idx="9">
                  <c:v>2038.9190000000001</c:v>
                </c:pt>
                <c:pt idx="10">
                  <c:v>2501.4029999999998</c:v>
                </c:pt>
              </c:numCache>
            </c:numRef>
          </c:val>
          <c:extLst>
            <c:ext xmlns:c16="http://schemas.microsoft.com/office/drawing/2014/chart" uri="{C3380CC4-5D6E-409C-BE32-E72D297353CC}">
              <c16:uniqueId val="{00000004-6F37-4A92-88A0-41D6BA3AEF4E}"/>
            </c:ext>
          </c:extLst>
        </c:ser>
        <c:ser>
          <c:idx val="5"/>
          <c:order val="5"/>
          <c:tx>
            <c:strRef>
              <c:f>'Gross inland consumption'!$A$17</c:f>
              <c:strCache>
                <c:ptCount val="1"/>
                <c:pt idx="0">
                  <c:v>Електрична енергија</c:v>
                </c:pt>
              </c:strCache>
            </c:strRef>
          </c:tx>
          <c:invertIfNegative val="0"/>
          <c:cat>
            <c:strRef>
              <c:f>'Gross inland consumption'!$B$11:$L$11</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'Gross inland consumption'!$B$17:$L$17</c:f>
              <c:numCache>
                <c:formatCode>#,##0.000</c:formatCode>
                <c:ptCount val="11"/>
                <c:pt idx="0">
                  <c:v>-25.536999999999999</c:v>
                </c:pt>
                <c:pt idx="1">
                  <c:v>-23.904</c:v>
                </c:pt>
                <c:pt idx="2">
                  <c:v>33.448</c:v>
                </c:pt>
                <c:pt idx="3">
                  <c:v>-218.143</c:v>
                </c:pt>
                <c:pt idx="4">
                  <c:v>134.39400000000001</c:v>
                </c:pt>
                <c:pt idx="5">
                  <c:v>-78.933999999999997</c:v>
                </c:pt>
                <c:pt idx="6">
                  <c:v>-165.262</c:v>
                </c:pt>
                <c:pt idx="7">
                  <c:v>70.941999999999993</c:v>
                </c:pt>
                <c:pt idx="8">
                  <c:v>10.016999999999999</c:v>
                </c:pt>
                <c:pt idx="9">
                  <c:v>6.5039999999999996</c:v>
                </c:pt>
                <c:pt idx="10">
                  <c:v>-52.039000000000001</c:v>
                </c:pt>
              </c:numCache>
            </c:numRef>
          </c:val>
          <c:extLst>
            <c:ext xmlns:c16="http://schemas.microsoft.com/office/drawing/2014/chart" uri="{C3380CC4-5D6E-409C-BE32-E72D297353CC}">
              <c16:uniqueId val="{00000005-6F37-4A92-88A0-41D6BA3AEF4E}"/>
            </c:ext>
          </c:extLst>
        </c:ser>
        <c:ser>
          <c:idx val="6"/>
          <c:order val="6"/>
          <c:tx>
            <c:strRef>
              <c:f>'Gross inland consumption'!$A$18</c:f>
              <c:strCache>
                <c:ptCount val="1"/>
                <c:pt idx="0">
                  <c:v>Топлота</c:v>
                </c:pt>
              </c:strCache>
            </c:strRef>
          </c:tx>
          <c:invertIfNegative val="0"/>
          <c:cat>
            <c:strRef>
              <c:f>'Gross inland consumption'!$B$11:$L$11</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'Gross inland consumption'!$B$18:$L$18</c:f>
              <c:numCache>
                <c:formatCode>#,##0.000</c:formatCode>
                <c:ptCount val="11"/>
                <c:pt idx="0">
                  <c:v>0</c:v>
                </c:pt>
                <c:pt idx="1">
                  <c:v>0</c:v>
                </c:pt>
                <c:pt idx="2">
                  <c:v>0</c:v>
                </c:pt>
                <c:pt idx="3">
                  <c:v>0</c:v>
                </c:pt>
                <c:pt idx="4">
                  <c:v>0</c:v>
                </c:pt>
                <c:pt idx="5">
                  <c:v>0</c:v>
                </c:pt>
                <c:pt idx="6">
                  <c:v>0</c:v>
                </c:pt>
                <c:pt idx="7">
                  <c:v>0</c:v>
                </c:pt>
                <c:pt idx="8">
                  <c:v>0</c:v>
                </c:pt>
                <c:pt idx="9">
                  <c:v>0</c:v>
                </c:pt>
                <c:pt idx="10">
                  <c:v>0</c:v>
                </c:pt>
              </c:numCache>
            </c:numRef>
          </c:val>
          <c:extLst>
            <c:ext xmlns:c16="http://schemas.microsoft.com/office/drawing/2014/chart" uri="{C3380CC4-5D6E-409C-BE32-E72D297353CC}">
              <c16:uniqueId val="{00000006-6F37-4A92-88A0-41D6BA3AEF4E}"/>
            </c:ext>
          </c:extLst>
        </c:ser>
        <c:dLbls>
          <c:showLegendKey val="0"/>
          <c:showVal val="0"/>
          <c:showCatName val="0"/>
          <c:showSerName val="0"/>
          <c:showPercent val="0"/>
          <c:showBubbleSize val="0"/>
        </c:dLbls>
        <c:gapWidth val="55"/>
        <c:overlap val="100"/>
        <c:axId val="34079952"/>
        <c:axId val="1"/>
      </c:barChart>
      <c:catAx>
        <c:axId val="34079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1"/>
        <c:crosses val="autoZero"/>
        <c:auto val="1"/>
        <c:lblAlgn val="ctr"/>
        <c:lblOffset val="100"/>
        <c:noMultiLvlLbl val="0"/>
      </c:catAx>
      <c:valAx>
        <c:axId val="1"/>
        <c:scaling>
          <c:orientation val="minMax"/>
          <c:max val="18000"/>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en-US"/>
                  <a:t>Mtoe</a:t>
                </a:r>
              </a:p>
            </c:rich>
          </c:tx>
          <c:overlay val="0"/>
        </c:title>
        <c:numFmt formatCode="#,##0" sourceLinked="0"/>
        <c:majorTickMark val="none"/>
        <c:minorTickMark val="none"/>
        <c:tickLblPos val="nextTo"/>
        <c:spPr>
          <a:noFill/>
          <a:effectLst/>
        </c:spPr>
        <c:txPr>
          <a:bodyPr rot="-60000000" vert="horz"/>
          <a:lstStyle/>
          <a:p>
            <a:pPr>
              <a:defRPr/>
            </a:pPr>
            <a:endParaRPr lang="en-US"/>
          </a:p>
        </c:txPr>
        <c:crossAx val="34079952"/>
        <c:crosses val="autoZero"/>
        <c:crossBetween val="between"/>
        <c:dispUnits>
          <c:builtInUnit val="thousands"/>
        </c:dispUnits>
      </c:valAx>
      <c:spPr>
        <a:noFill/>
        <a:ln w="25400">
          <a:noFill/>
        </a:ln>
      </c:spPr>
    </c:plotArea>
    <c:legend>
      <c:legendPos val="b"/>
      <c:layout>
        <c:manualLayout>
          <c:xMode val="edge"/>
          <c:yMode val="edge"/>
          <c:x val="9.9127231337169427E-2"/>
          <c:y val="0.8388699628425127"/>
          <c:w val="0.83085036696389181"/>
          <c:h val="0.16113003715748733"/>
        </c:manualLayout>
      </c:layout>
      <c:overlay val="0"/>
      <c:spPr>
        <a:noFill/>
        <a:ln w="25400">
          <a:noFill/>
        </a:ln>
      </c:sp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0222193645854598E-2"/>
          <c:y val="3.0674233709555628E-2"/>
          <c:w val="0.61477495270517823"/>
          <c:h val="0.9098129223059207"/>
        </c:manualLayout>
      </c:layout>
      <c:lineChart>
        <c:grouping val="standard"/>
        <c:varyColors val="0"/>
        <c:ser>
          <c:idx val="0"/>
          <c:order val="0"/>
          <c:tx>
            <c:strRef>
              <c:f>'6.'!$A$7</c:f>
              <c:strCache>
                <c:ptCount val="1"/>
                <c:pt idx="0">
                  <c:v>Губици електричне енергије на преносној мрежи као % укупне производње</c:v>
                </c:pt>
              </c:strCache>
            </c:strRef>
          </c:tx>
          <c:marker>
            <c:symbol val="circle"/>
            <c:size val="7"/>
          </c:marker>
          <c:dLbls>
            <c:numFmt formatCode="0.0%" sourceLinked="0"/>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'6.'!$G$3:$AK$3</c:f>
              <c:numCache>
                <c:formatCode>General</c:formatCode>
                <c:ptCount val="11"/>
                <c:pt idx="0">
                  <c:v>2020</c:v>
                </c:pt>
                <c:pt idx="1">
                  <c:v>2025</c:v>
                </c:pt>
                <c:pt idx="2">
                  <c:v>2026</c:v>
                </c:pt>
                <c:pt idx="3">
                  <c:v>2027</c:v>
                </c:pt>
                <c:pt idx="4">
                  <c:v>2028</c:v>
                </c:pt>
                <c:pt idx="5">
                  <c:v>2029</c:v>
                </c:pt>
                <c:pt idx="6">
                  <c:v>2030</c:v>
                </c:pt>
                <c:pt idx="7">
                  <c:v>2035</c:v>
                </c:pt>
                <c:pt idx="8">
                  <c:v>2040</c:v>
                </c:pt>
                <c:pt idx="9">
                  <c:v>2045</c:v>
                </c:pt>
                <c:pt idx="10">
                  <c:v>2050</c:v>
                </c:pt>
              </c:numCache>
            </c:numRef>
          </c:cat>
          <c:val>
            <c:numRef>
              <c:f>'6.'!$G$7:$AK$7</c:f>
              <c:numCache>
                <c:formatCode>0.0%</c:formatCode>
                <c:ptCount val="11"/>
                <c:pt idx="0">
                  <c:v>2.5528117703391043E-2</c:v>
                </c:pt>
                <c:pt idx="1">
                  <c:v>2.2132965889038559E-2</c:v>
                </c:pt>
                <c:pt idx="2">
                  <c:v>2.1912613948684264E-2</c:v>
                </c:pt>
                <c:pt idx="3">
                  <c:v>2.1813184864485191E-2</c:v>
                </c:pt>
                <c:pt idx="4">
                  <c:v>2.1827927243104617E-2</c:v>
                </c:pt>
                <c:pt idx="5">
                  <c:v>2.1770319403252088E-2</c:v>
                </c:pt>
                <c:pt idx="6">
                  <c:v>2.1719300640237003E-2</c:v>
                </c:pt>
                <c:pt idx="7">
                  <c:v>2.1445141700257117E-2</c:v>
                </c:pt>
                <c:pt idx="8">
                  <c:v>2.1070939955566876E-2</c:v>
                </c:pt>
                <c:pt idx="9">
                  <c:v>2.0237773783378564E-2</c:v>
                </c:pt>
                <c:pt idx="10">
                  <c:v>2.0106429991652595E-2</c:v>
                </c:pt>
              </c:numCache>
            </c:numRef>
          </c:val>
          <c:smooth val="0"/>
          <c:extLst>
            <c:ext xmlns:c16="http://schemas.microsoft.com/office/drawing/2014/chart" uri="{C3380CC4-5D6E-409C-BE32-E72D297353CC}">
              <c16:uniqueId val="{00000000-7B21-490B-BFA7-A87551ECA054}"/>
            </c:ext>
          </c:extLst>
        </c:ser>
        <c:ser>
          <c:idx val="1"/>
          <c:order val="1"/>
          <c:tx>
            <c:strRef>
              <c:f>'6.'!$A$8</c:f>
              <c:strCache>
                <c:ptCount val="1"/>
                <c:pt idx="0">
                  <c:v>Губици електричне енергије на дистрибутивној мрежи као % укупне производње</c:v>
                </c:pt>
              </c:strCache>
            </c:strRef>
          </c:tx>
          <c:marker>
            <c:symbol val="circle"/>
            <c:size val="7"/>
          </c:marker>
          <c:dLbls>
            <c:numFmt formatCode="0.0%" sourceLinked="0"/>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'6.'!$G$3:$AK$3</c:f>
              <c:numCache>
                <c:formatCode>General</c:formatCode>
                <c:ptCount val="11"/>
                <c:pt idx="0">
                  <c:v>2020</c:v>
                </c:pt>
                <c:pt idx="1">
                  <c:v>2025</c:v>
                </c:pt>
                <c:pt idx="2">
                  <c:v>2026</c:v>
                </c:pt>
                <c:pt idx="3">
                  <c:v>2027</c:v>
                </c:pt>
                <c:pt idx="4">
                  <c:v>2028</c:v>
                </c:pt>
                <c:pt idx="5">
                  <c:v>2029</c:v>
                </c:pt>
                <c:pt idx="6">
                  <c:v>2030</c:v>
                </c:pt>
                <c:pt idx="7">
                  <c:v>2035</c:v>
                </c:pt>
                <c:pt idx="8">
                  <c:v>2040</c:v>
                </c:pt>
                <c:pt idx="9">
                  <c:v>2045</c:v>
                </c:pt>
                <c:pt idx="10">
                  <c:v>2050</c:v>
                </c:pt>
              </c:numCache>
            </c:numRef>
          </c:cat>
          <c:val>
            <c:numRef>
              <c:f>'6.'!$G$8:$AK$8</c:f>
              <c:numCache>
                <c:formatCode>0.0%</c:formatCode>
                <c:ptCount val="11"/>
                <c:pt idx="0">
                  <c:v>0.1123</c:v>
                </c:pt>
                <c:pt idx="1">
                  <c:v>0.10009019018709658</c:v>
                </c:pt>
                <c:pt idx="2">
                  <c:v>9.9093709745716602E-2</c:v>
                </c:pt>
                <c:pt idx="3">
                  <c:v>9.864406933161636E-2</c:v>
                </c:pt>
                <c:pt idx="4">
                  <c:v>9.8710737643817548E-2</c:v>
                </c:pt>
                <c:pt idx="5">
                  <c:v>9.8450222190262227E-2</c:v>
                </c:pt>
                <c:pt idx="6">
                  <c:v>9.8219504006405098E-2</c:v>
                </c:pt>
                <c:pt idx="7">
                  <c:v>9.6979696355607187E-2</c:v>
                </c:pt>
                <c:pt idx="8">
                  <c:v>9.5287472910174656E-2</c:v>
                </c:pt>
                <c:pt idx="9">
                  <c:v>9.1519710331500831E-2</c:v>
                </c:pt>
                <c:pt idx="10">
                  <c:v>9.0925744517806731E-2</c:v>
                </c:pt>
              </c:numCache>
            </c:numRef>
          </c:val>
          <c:smooth val="0"/>
          <c:extLst>
            <c:ext xmlns:c16="http://schemas.microsoft.com/office/drawing/2014/chart" uri="{C3380CC4-5D6E-409C-BE32-E72D297353CC}">
              <c16:uniqueId val="{00000001-7B21-490B-BFA7-A87551ECA054}"/>
            </c:ext>
          </c:extLst>
        </c:ser>
        <c:ser>
          <c:idx val="2"/>
          <c:order val="2"/>
          <c:tx>
            <c:strRef>
              <c:f>'6.'!$A$9</c:f>
              <c:strCache>
                <c:ptCount val="1"/>
                <c:pt idx="0">
                  <c:v>Укупни губици</c:v>
                </c:pt>
              </c:strCache>
            </c:strRef>
          </c:tx>
          <c:spPr>
            <a:ln>
              <a:solidFill>
                <a:schemeClr val="bg1">
                  <a:lumMod val="65000"/>
                </a:schemeClr>
              </a:solidFill>
            </a:ln>
          </c:spPr>
          <c:marker>
            <c:symbol val="circle"/>
            <c:size val="7"/>
            <c:spPr>
              <a:solidFill>
                <a:schemeClr val="bg1">
                  <a:lumMod val="65000"/>
                </a:schemeClr>
              </a:solidFill>
              <a:ln>
                <a:solidFill>
                  <a:schemeClr val="bg1">
                    <a:lumMod val="65000"/>
                    <a:alpha val="93000"/>
                  </a:schemeClr>
                </a:solidFill>
              </a:ln>
            </c:spPr>
          </c:marker>
          <c:dLbls>
            <c:numFmt formatCode="0.0%" sourceLinked="0"/>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'6.'!$G$3:$AK$3</c:f>
              <c:numCache>
                <c:formatCode>General</c:formatCode>
                <c:ptCount val="11"/>
                <c:pt idx="0">
                  <c:v>2020</c:v>
                </c:pt>
                <c:pt idx="1">
                  <c:v>2025</c:v>
                </c:pt>
                <c:pt idx="2">
                  <c:v>2026</c:v>
                </c:pt>
                <c:pt idx="3">
                  <c:v>2027</c:v>
                </c:pt>
                <c:pt idx="4">
                  <c:v>2028</c:v>
                </c:pt>
                <c:pt idx="5">
                  <c:v>2029</c:v>
                </c:pt>
                <c:pt idx="6">
                  <c:v>2030</c:v>
                </c:pt>
                <c:pt idx="7">
                  <c:v>2035</c:v>
                </c:pt>
                <c:pt idx="8">
                  <c:v>2040</c:v>
                </c:pt>
                <c:pt idx="9">
                  <c:v>2045</c:v>
                </c:pt>
                <c:pt idx="10">
                  <c:v>2050</c:v>
                </c:pt>
              </c:numCache>
            </c:numRef>
          </c:cat>
          <c:val>
            <c:numRef>
              <c:f>'6.'!$G$9:$AK$9</c:f>
              <c:numCache>
                <c:formatCode>0.0%</c:formatCode>
                <c:ptCount val="11"/>
                <c:pt idx="0">
                  <c:v>0.13</c:v>
                </c:pt>
                <c:pt idx="1">
                  <c:v>0.12222315607613514</c:v>
                </c:pt>
                <c:pt idx="2">
                  <c:v>0.12100632369440087</c:v>
                </c:pt>
                <c:pt idx="3">
                  <c:v>0.12045725419610155</c:v>
                </c:pt>
                <c:pt idx="4">
                  <c:v>0.12053866488692216</c:v>
                </c:pt>
                <c:pt idx="5">
                  <c:v>0.12022054159351431</c:v>
                </c:pt>
                <c:pt idx="6">
                  <c:v>0.1199388046466421</c:v>
                </c:pt>
                <c:pt idx="7">
                  <c:v>0.1184248380558643</c:v>
                </c:pt>
                <c:pt idx="8">
                  <c:v>0.11635841286574153</c:v>
                </c:pt>
                <c:pt idx="9">
                  <c:v>0.1117574841148794</c:v>
                </c:pt>
                <c:pt idx="10">
                  <c:v>0.11103217450945932</c:v>
                </c:pt>
              </c:numCache>
            </c:numRef>
          </c:val>
          <c:smooth val="0"/>
          <c:extLst>
            <c:ext xmlns:c16="http://schemas.microsoft.com/office/drawing/2014/chart" uri="{C3380CC4-5D6E-409C-BE32-E72D297353CC}">
              <c16:uniqueId val="{00000002-7B21-490B-BFA7-A87551ECA054}"/>
            </c:ext>
          </c:extLst>
        </c:ser>
        <c:dLbls>
          <c:showLegendKey val="0"/>
          <c:showVal val="0"/>
          <c:showCatName val="0"/>
          <c:showSerName val="0"/>
          <c:showPercent val="0"/>
          <c:showBubbleSize val="0"/>
        </c:dLbls>
        <c:marker val="1"/>
        <c:smooth val="0"/>
        <c:axId val="139822208"/>
        <c:axId val="139823744"/>
      </c:lineChart>
      <c:catAx>
        <c:axId val="139822208"/>
        <c:scaling>
          <c:orientation val="minMax"/>
        </c:scaling>
        <c:delete val="0"/>
        <c:axPos val="b"/>
        <c:numFmt formatCode="General" sourceLinked="1"/>
        <c:majorTickMark val="none"/>
        <c:minorTickMark val="none"/>
        <c:tickLblPos val="nextTo"/>
        <c:crossAx val="139823744"/>
        <c:crosses val="autoZero"/>
        <c:auto val="1"/>
        <c:lblAlgn val="ctr"/>
        <c:lblOffset val="100"/>
        <c:noMultiLvlLbl val="0"/>
      </c:catAx>
      <c:valAx>
        <c:axId val="139823744"/>
        <c:scaling>
          <c:orientation val="minMax"/>
          <c:max val="0.16000000000000003"/>
          <c:min val="0"/>
        </c:scaling>
        <c:delete val="0"/>
        <c:axPos val="l"/>
        <c:title>
          <c:tx>
            <c:rich>
              <a:bodyPr/>
              <a:lstStyle/>
              <a:p>
                <a:pPr>
                  <a:defRPr/>
                </a:pPr>
                <a:r>
                  <a:rPr lang="sr-Cyrl-RS"/>
                  <a:t>Губици</a:t>
                </a:r>
                <a:r>
                  <a:rPr lang="sr-Cyrl-RS" baseline="0"/>
                  <a:t> </a:t>
                </a:r>
                <a:r>
                  <a:rPr lang="en-US"/>
                  <a:t>[</a:t>
                </a:r>
                <a:r>
                  <a:rPr lang="sr-Latn-RS"/>
                  <a:t>%</a:t>
                </a:r>
                <a:r>
                  <a:rPr lang="en-US"/>
                  <a:t>]</a:t>
                </a:r>
              </a:p>
            </c:rich>
          </c:tx>
          <c:overlay val="0"/>
        </c:title>
        <c:numFmt formatCode="0%" sourceLinked="0"/>
        <c:majorTickMark val="out"/>
        <c:minorTickMark val="none"/>
        <c:tickLblPos val="nextTo"/>
        <c:crossAx val="139822208"/>
        <c:crosses val="autoZero"/>
        <c:crossBetween val="between"/>
      </c:valAx>
    </c:plotArea>
    <c:legend>
      <c:legendPos val="r"/>
      <c:layout>
        <c:manualLayout>
          <c:xMode val="edge"/>
          <c:yMode val="edge"/>
          <c:x val="0.71455473220748367"/>
          <c:y val="0.27284580318148488"/>
          <c:w val="0.26410964436961887"/>
          <c:h val="0.50996728095774924"/>
        </c:manualLayout>
      </c:layout>
      <c:overlay val="0"/>
      <c:txPr>
        <a:bodyPr/>
        <a:lstStyle/>
        <a:p>
          <a:pPr>
            <a:defRPr sz="700"/>
          </a:pPr>
          <a:endParaRPr lang="en-US"/>
        </a:p>
      </c:txPr>
    </c:legend>
    <c:plotVisOnly val="1"/>
    <c:dispBlanksAs val="zero"/>
    <c:showDLblsOverMax val="0"/>
  </c:chart>
  <c:txPr>
    <a:bodyPr/>
    <a:lstStyle/>
    <a:p>
      <a:pPr>
        <a:defRPr sz="800"/>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'electricity prices'!$B$14</c:f>
              <c:strCache>
                <c:ptCount val="1"/>
                <c:pt idx="0">
                  <c:v>Households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'electricity prices'!$C$4:$G$4</c:f>
              <c:numCache>
                <c:formatCode>General</c:formatCode>
                <c:ptCount val="5"/>
                <c:pt idx="0">
                  <c:v>2016</c:v>
                </c:pt>
                <c:pt idx="1">
                  <c:v>2017</c:v>
                </c:pt>
                <c:pt idx="2">
                  <c:v>2018</c:v>
                </c:pt>
                <c:pt idx="3">
                  <c:v>2019</c:v>
                </c:pt>
                <c:pt idx="4">
                  <c:v>2020</c:v>
                </c:pt>
              </c:numCache>
            </c:numRef>
          </c:cat>
          <c:val>
            <c:numRef>
              <c:f>'electricity prices'!$C$14:$G$14</c:f>
              <c:numCache>
                <c:formatCode>General</c:formatCode>
                <c:ptCount val="5"/>
                <c:pt idx="0">
                  <c:v>6.49</c:v>
                </c:pt>
                <c:pt idx="1">
                  <c:v>6.73</c:v>
                </c:pt>
                <c:pt idx="2">
                  <c:v>6.84</c:v>
                </c:pt>
                <c:pt idx="3">
                  <c:v>6.88</c:v>
                </c:pt>
                <c:pt idx="4">
                  <c:v>7.14</c:v>
                </c:pt>
              </c:numCache>
            </c:numRef>
          </c:val>
          <c:extLst>
            <c:ext xmlns:c16="http://schemas.microsoft.com/office/drawing/2014/chart" uri="{C3380CC4-5D6E-409C-BE32-E72D297353CC}">
              <c16:uniqueId val="{00000000-3474-47F4-A976-2E89A71C5344}"/>
            </c:ext>
          </c:extLst>
        </c:ser>
        <c:dLbls>
          <c:showLegendKey val="0"/>
          <c:showVal val="0"/>
          <c:showCatName val="0"/>
          <c:showSerName val="0"/>
          <c:showPercent val="0"/>
          <c:showBubbleSize val="0"/>
        </c:dLbls>
        <c:gapWidth val="150"/>
        <c:axId val="325951488"/>
        <c:axId val="325953792"/>
      </c:barChart>
      <c:catAx>
        <c:axId val="325951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953792"/>
        <c:crosses val="autoZero"/>
        <c:auto val="1"/>
        <c:lblAlgn val="ctr"/>
        <c:lblOffset val="100"/>
        <c:noMultiLvlLbl val="0"/>
      </c:catAx>
      <c:valAx>
        <c:axId val="325953792"/>
        <c:scaling>
          <c:orientation val="minMax"/>
          <c:min val="0"/>
        </c:scaling>
        <c:delete val="1"/>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RSD/kWh</a:t>
                </a:r>
              </a:p>
            </c:rich>
          </c:tx>
          <c:overlay val="0"/>
          <c:spPr>
            <a:noFill/>
            <a:ln>
              <a:noFill/>
            </a:ln>
            <a:effectLst/>
          </c:spPr>
        </c:title>
        <c:numFmt formatCode="General" sourceLinked="1"/>
        <c:majorTickMark val="none"/>
        <c:minorTickMark val="none"/>
        <c:tickLblPos val="nextTo"/>
        <c:crossAx val="325951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0"/>
          <c:tx>
            <c:strRef>
              <c:f>'Power Sector'!$C$46</c:f>
              <c:strCache>
                <c:ptCount val="1"/>
                <c:pt idx="0">
                  <c:v>Чврста горива</c:v>
                </c:pt>
              </c:strCache>
            </c:strRef>
          </c:tx>
          <c:spPr>
            <a:solidFill>
              <a:schemeClr val="accent2"/>
            </a:solidFill>
            <a:ln>
              <a:noFill/>
            </a:ln>
            <a:effectLst/>
          </c:spPr>
          <c:invertIfNegative val="0"/>
          <c:cat>
            <c:numRef>
              <c:f>'Power Sector'!$B$47:$B$53</c:f>
              <c:numCache>
                <c:formatCode>General</c:formatCode>
                <c:ptCount val="7"/>
                <c:pt idx="0">
                  <c:v>2019</c:v>
                </c:pt>
                <c:pt idx="1">
                  <c:v>2025</c:v>
                </c:pt>
                <c:pt idx="2">
                  <c:v>2030</c:v>
                </c:pt>
                <c:pt idx="3">
                  <c:v>2035</c:v>
                </c:pt>
                <c:pt idx="4">
                  <c:v>2040</c:v>
                </c:pt>
                <c:pt idx="5">
                  <c:v>2045</c:v>
                </c:pt>
                <c:pt idx="6">
                  <c:v>2050</c:v>
                </c:pt>
              </c:numCache>
            </c:numRef>
          </c:cat>
          <c:val>
            <c:numRef>
              <c:f>'Power Sector'!$C$47:$C$53</c:f>
              <c:numCache>
                <c:formatCode>0.00</c:formatCode>
                <c:ptCount val="7"/>
                <c:pt idx="0">
                  <c:v>25.545999999999999</c:v>
                </c:pt>
                <c:pt idx="1">
                  <c:v>24.268700000000003</c:v>
                </c:pt>
                <c:pt idx="2">
                  <c:v>19.159500000277781</c:v>
                </c:pt>
                <c:pt idx="3">
                  <c:v>14.688950000000004</c:v>
                </c:pt>
                <c:pt idx="4">
                  <c:v>10.218400000555555</c:v>
                </c:pt>
                <c:pt idx="5">
                  <c:v>6.1111111111111116</c:v>
                </c:pt>
                <c:pt idx="6">
                  <c:v>0</c:v>
                </c:pt>
              </c:numCache>
            </c:numRef>
          </c:val>
          <c:extLst>
            <c:ext xmlns:c16="http://schemas.microsoft.com/office/drawing/2014/chart" uri="{C3380CC4-5D6E-409C-BE32-E72D297353CC}">
              <c16:uniqueId val="{00000000-8926-465A-900C-67FAF3D15810}"/>
            </c:ext>
          </c:extLst>
        </c:ser>
        <c:ser>
          <c:idx val="2"/>
          <c:order val="1"/>
          <c:tx>
            <c:strRef>
              <c:f>'Power Sector'!$D$46</c:f>
              <c:strCache>
                <c:ptCount val="1"/>
                <c:pt idx="0">
                  <c:v>Деривати нафте</c:v>
                </c:pt>
              </c:strCache>
            </c:strRef>
          </c:tx>
          <c:spPr>
            <a:solidFill>
              <a:schemeClr val="accent3"/>
            </a:solidFill>
            <a:ln>
              <a:noFill/>
            </a:ln>
            <a:effectLst/>
          </c:spPr>
          <c:invertIfNegative val="0"/>
          <c:cat>
            <c:numRef>
              <c:f>'Power Sector'!$B$47:$B$53</c:f>
              <c:numCache>
                <c:formatCode>General</c:formatCode>
                <c:ptCount val="7"/>
                <c:pt idx="0">
                  <c:v>2019</c:v>
                </c:pt>
                <c:pt idx="1">
                  <c:v>2025</c:v>
                </c:pt>
                <c:pt idx="2">
                  <c:v>2030</c:v>
                </c:pt>
                <c:pt idx="3">
                  <c:v>2035</c:v>
                </c:pt>
                <c:pt idx="4">
                  <c:v>2040</c:v>
                </c:pt>
                <c:pt idx="5">
                  <c:v>2045</c:v>
                </c:pt>
                <c:pt idx="6">
                  <c:v>2050</c:v>
                </c:pt>
              </c:numCache>
            </c:numRef>
          </c:cat>
          <c:val>
            <c:numRef>
              <c:f>'Power Sector'!$D$47:$D$53</c:f>
              <c:numCache>
                <c:formatCode>0.00</c:formatCode>
                <c:ptCount val="7"/>
                <c:pt idx="0">
                  <c:v>5.3284988131215592E-2</c:v>
                </c:pt>
                <c:pt idx="1">
                  <c:v>1.7100152848130191E-2</c:v>
                </c:pt>
                <c:pt idx="2">
                  <c:v>7.8271780356323397E-3</c:v>
                </c:pt>
                <c:pt idx="3">
                  <c:v>6.5828288123971797E-3</c:v>
                </c:pt>
                <c:pt idx="4">
                  <c:v>7.8413627547944779E-3</c:v>
                </c:pt>
                <c:pt idx="5">
                  <c:v>7.8130386629252785E-3</c:v>
                </c:pt>
                <c:pt idx="6">
                  <c:v>0</c:v>
                </c:pt>
              </c:numCache>
            </c:numRef>
          </c:val>
          <c:extLst>
            <c:ext xmlns:c16="http://schemas.microsoft.com/office/drawing/2014/chart" uri="{C3380CC4-5D6E-409C-BE32-E72D297353CC}">
              <c16:uniqueId val="{00000001-8926-465A-900C-67FAF3D15810}"/>
            </c:ext>
          </c:extLst>
        </c:ser>
        <c:ser>
          <c:idx val="3"/>
          <c:order val="2"/>
          <c:tx>
            <c:strRef>
              <c:f>'Power Sector'!$E$46</c:f>
              <c:strCache>
                <c:ptCount val="1"/>
                <c:pt idx="0">
                  <c:v>Природни гас</c:v>
                </c:pt>
              </c:strCache>
            </c:strRef>
          </c:tx>
          <c:spPr>
            <a:solidFill>
              <a:schemeClr val="tx2"/>
            </a:solidFill>
            <a:ln>
              <a:noFill/>
            </a:ln>
            <a:effectLst/>
          </c:spPr>
          <c:invertIfNegative val="0"/>
          <c:cat>
            <c:numRef>
              <c:f>'Power Sector'!$B$47:$B$53</c:f>
              <c:numCache>
                <c:formatCode>General</c:formatCode>
                <c:ptCount val="7"/>
                <c:pt idx="0">
                  <c:v>2019</c:v>
                </c:pt>
                <c:pt idx="1">
                  <c:v>2025</c:v>
                </c:pt>
                <c:pt idx="2">
                  <c:v>2030</c:v>
                </c:pt>
                <c:pt idx="3">
                  <c:v>2035</c:v>
                </c:pt>
                <c:pt idx="4">
                  <c:v>2040</c:v>
                </c:pt>
                <c:pt idx="5">
                  <c:v>2045</c:v>
                </c:pt>
                <c:pt idx="6">
                  <c:v>2050</c:v>
                </c:pt>
              </c:numCache>
            </c:numRef>
          </c:cat>
          <c:val>
            <c:numRef>
              <c:f>'Power Sector'!$E$47:$E$53</c:f>
              <c:numCache>
                <c:formatCode>0.00</c:formatCode>
                <c:ptCount val="7"/>
                <c:pt idx="0">
                  <c:v>0.72628345909159731</c:v>
                </c:pt>
                <c:pt idx="1">
                  <c:v>1.4081665561698722</c:v>
                </c:pt>
                <c:pt idx="2">
                  <c:v>2.9179623824526408</c:v>
                </c:pt>
                <c:pt idx="3">
                  <c:v>2.6771657151882309</c:v>
                </c:pt>
                <c:pt idx="4">
                  <c:v>3.679455743148131</c:v>
                </c:pt>
                <c:pt idx="5">
                  <c:v>4.0716447248901355</c:v>
                </c:pt>
                <c:pt idx="6">
                  <c:v>4.10995384916317</c:v>
                </c:pt>
              </c:numCache>
            </c:numRef>
          </c:val>
          <c:extLst>
            <c:ext xmlns:c16="http://schemas.microsoft.com/office/drawing/2014/chart" uri="{C3380CC4-5D6E-409C-BE32-E72D297353CC}">
              <c16:uniqueId val="{00000002-8926-465A-900C-67FAF3D15810}"/>
            </c:ext>
          </c:extLst>
        </c:ser>
        <c:ser>
          <c:idx val="4"/>
          <c:order val="3"/>
          <c:tx>
            <c:strRef>
              <c:f>'Power Sector'!$F$46</c:f>
              <c:strCache>
                <c:ptCount val="1"/>
                <c:pt idx="0">
                  <c:v>Биогориво и отпад</c:v>
                </c:pt>
              </c:strCache>
            </c:strRef>
          </c:tx>
          <c:spPr>
            <a:solidFill>
              <a:schemeClr val="bg2"/>
            </a:solidFill>
            <a:ln>
              <a:noFill/>
            </a:ln>
            <a:effectLst/>
          </c:spPr>
          <c:invertIfNegative val="0"/>
          <c:cat>
            <c:numRef>
              <c:f>'Power Sector'!$B$47:$B$53</c:f>
              <c:numCache>
                <c:formatCode>General</c:formatCode>
                <c:ptCount val="7"/>
                <c:pt idx="0">
                  <c:v>2019</c:v>
                </c:pt>
                <c:pt idx="1">
                  <c:v>2025</c:v>
                </c:pt>
                <c:pt idx="2">
                  <c:v>2030</c:v>
                </c:pt>
                <c:pt idx="3">
                  <c:v>2035</c:v>
                </c:pt>
                <c:pt idx="4">
                  <c:v>2040</c:v>
                </c:pt>
                <c:pt idx="5">
                  <c:v>2045</c:v>
                </c:pt>
                <c:pt idx="6">
                  <c:v>2050</c:v>
                </c:pt>
              </c:numCache>
            </c:numRef>
          </c:cat>
          <c:val>
            <c:numRef>
              <c:f>'Power Sector'!$F$47:$F$53</c:f>
              <c:numCache>
                <c:formatCode>0.00</c:formatCode>
                <c:ptCount val="7"/>
                <c:pt idx="0">
                  <c:v>0.15704757169632169</c:v>
                </c:pt>
                <c:pt idx="1">
                  <c:v>0.2072972375331438</c:v>
                </c:pt>
                <c:pt idx="2">
                  <c:v>0.34844194976033077</c:v>
                </c:pt>
                <c:pt idx="3">
                  <c:v>0.48607755996188268</c:v>
                </c:pt>
                <c:pt idx="4">
                  <c:v>0.97653655423634222</c:v>
                </c:pt>
                <c:pt idx="5">
                  <c:v>1.5194823156766546</c:v>
                </c:pt>
                <c:pt idx="6">
                  <c:v>2.1399016373887481</c:v>
                </c:pt>
              </c:numCache>
            </c:numRef>
          </c:val>
          <c:extLst>
            <c:ext xmlns:c16="http://schemas.microsoft.com/office/drawing/2014/chart" uri="{C3380CC4-5D6E-409C-BE32-E72D297353CC}">
              <c16:uniqueId val="{00000003-8926-465A-900C-67FAF3D15810}"/>
            </c:ext>
          </c:extLst>
        </c:ser>
        <c:ser>
          <c:idx val="5"/>
          <c:order val="4"/>
          <c:tx>
            <c:strRef>
              <c:f>'Power Sector'!$G$46</c:f>
              <c:strCache>
                <c:ptCount val="1"/>
                <c:pt idx="0">
                  <c:v>Хидроенергија</c:v>
                </c:pt>
              </c:strCache>
            </c:strRef>
          </c:tx>
          <c:spPr>
            <a:solidFill>
              <a:schemeClr val="accent1"/>
            </a:solidFill>
            <a:ln>
              <a:noFill/>
            </a:ln>
            <a:effectLst/>
          </c:spPr>
          <c:invertIfNegative val="0"/>
          <c:cat>
            <c:numRef>
              <c:f>'Power Sector'!$B$47:$B$53</c:f>
              <c:numCache>
                <c:formatCode>General</c:formatCode>
                <c:ptCount val="7"/>
                <c:pt idx="0">
                  <c:v>2019</c:v>
                </c:pt>
                <c:pt idx="1">
                  <c:v>2025</c:v>
                </c:pt>
                <c:pt idx="2">
                  <c:v>2030</c:v>
                </c:pt>
                <c:pt idx="3">
                  <c:v>2035</c:v>
                </c:pt>
                <c:pt idx="4">
                  <c:v>2040</c:v>
                </c:pt>
                <c:pt idx="5">
                  <c:v>2045</c:v>
                </c:pt>
                <c:pt idx="6">
                  <c:v>2050</c:v>
                </c:pt>
              </c:numCache>
            </c:numRef>
          </c:cat>
          <c:val>
            <c:numRef>
              <c:f>'Power Sector'!$G$47:$G$53</c:f>
              <c:numCache>
                <c:formatCode>0.00</c:formatCode>
                <c:ptCount val="7"/>
                <c:pt idx="0">
                  <c:v>9.4571787297222247</c:v>
                </c:pt>
                <c:pt idx="1">
                  <c:v>10.411670420833333</c:v>
                </c:pt>
                <c:pt idx="2">
                  <c:v>10.839914142499996</c:v>
                </c:pt>
                <c:pt idx="3">
                  <c:v>12.312231073611114</c:v>
                </c:pt>
                <c:pt idx="4">
                  <c:v>13.633415641944449</c:v>
                </c:pt>
                <c:pt idx="5">
                  <c:v>14.06101736416667</c:v>
                </c:pt>
                <c:pt idx="6">
                  <c:v>14.061017363888887</c:v>
                </c:pt>
              </c:numCache>
            </c:numRef>
          </c:val>
          <c:extLst>
            <c:ext xmlns:c16="http://schemas.microsoft.com/office/drawing/2014/chart" uri="{C3380CC4-5D6E-409C-BE32-E72D297353CC}">
              <c16:uniqueId val="{00000004-8926-465A-900C-67FAF3D15810}"/>
            </c:ext>
          </c:extLst>
        </c:ser>
        <c:ser>
          <c:idx val="6"/>
          <c:order val="5"/>
          <c:tx>
            <c:strRef>
              <c:f>'Power Sector'!$H$46</c:f>
              <c:strCache>
                <c:ptCount val="1"/>
                <c:pt idx="0">
                  <c:v>Ветар</c:v>
                </c:pt>
              </c:strCache>
            </c:strRef>
          </c:tx>
          <c:spPr>
            <a:solidFill>
              <a:schemeClr val="accent6">
                <a:lumMod val="75000"/>
              </a:schemeClr>
            </a:solidFill>
            <a:ln>
              <a:noFill/>
            </a:ln>
            <a:effectLst/>
          </c:spPr>
          <c:invertIfNegative val="0"/>
          <c:cat>
            <c:numRef>
              <c:f>'Power Sector'!$B$47:$B$53</c:f>
              <c:numCache>
                <c:formatCode>General</c:formatCode>
                <c:ptCount val="7"/>
                <c:pt idx="0">
                  <c:v>2019</c:v>
                </c:pt>
                <c:pt idx="1">
                  <c:v>2025</c:v>
                </c:pt>
                <c:pt idx="2">
                  <c:v>2030</c:v>
                </c:pt>
                <c:pt idx="3">
                  <c:v>2035</c:v>
                </c:pt>
                <c:pt idx="4">
                  <c:v>2040</c:v>
                </c:pt>
                <c:pt idx="5">
                  <c:v>2045</c:v>
                </c:pt>
                <c:pt idx="6">
                  <c:v>2050</c:v>
                </c:pt>
              </c:numCache>
            </c:numRef>
          </c:cat>
          <c:val>
            <c:numRef>
              <c:f>'Power Sector'!$H$47:$H$53</c:f>
              <c:numCache>
                <c:formatCode>0.00</c:formatCode>
                <c:ptCount val="7"/>
                <c:pt idx="0">
                  <c:v>0.89820815972222245</c:v>
                </c:pt>
                <c:pt idx="1">
                  <c:v>2.316705772222222</c:v>
                </c:pt>
                <c:pt idx="2">
                  <c:v>4.6111234299999992</c:v>
                </c:pt>
                <c:pt idx="3">
                  <c:v>7.9474802230555559</c:v>
                </c:pt>
                <c:pt idx="4">
                  <c:v>8.0689088611111117</c:v>
                </c:pt>
                <c:pt idx="5">
                  <c:v>14.034422349444444</c:v>
                </c:pt>
                <c:pt idx="6">
                  <c:v>20.710157964166665</c:v>
                </c:pt>
              </c:numCache>
            </c:numRef>
          </c:val>
          <c:extLst>
            <c:ext xmlns:c16="http://schemas.microsoft.com/office/drawing/2014/chart" uri="{C3380CC4-5D6E-409C-BE32-E72D297353CC}">
              <c16:uniqueId val="{00000005-8926-465A-900C-67FAF3D15810}"/>
            </c:ext>
          </c:extLst>
        </c:ser>
        <c:ser>
          <c:idx val="7"/>
          <c:order val="6"/>
          <c:tx>
            <c:strRef>
              <c:f>'Power Sector'!$I$46</c:f>
              <c:strCache>
                <c:ptCount val="1"/>
                <c:pt idx="0">
                  <c:v>Сунце</c:v>
                </c:pt>
              </c:strCache>
            </c:strRef>
          </c:tx>
          <c:spPr>
            <a:solidFill>
              <a:schemeClr val="accent4"/>
            </a:solidFill>
            <a:ln>
              <a:noFill/>
            </a:ln>
            <a:effectLst/>
          </c:spPr>
          <c:invertIfNegative val="0"/>
          <c:cat>
            <c:numRef>
              <c:f>'Power Sector'!$B$47:$B$53</c:f>
              <c:numCache>
                <c:formatCode>General</c:formatCode>
                <c:ptCount val="7"/>
                <c:pt idx="0">
                  <c:v>2019</c:v>
                </c:pt>
                <c:pt idx="1">
                  <c:v>2025</c:v>
                </c:pt>
                <c:pt idx="2">
                  <c:v>2030</c:v>
                </c:pt>
                <c:pt idx="3">
                  <c:v>2035</c:v>
                </c:pt>
                <c:pt idx="4">
                  <c:v>2040</c:v>
                </c:pt>
                <c:pt idx="5">
                  <c:v>2045</c:v>
                </c:pt>
                <c:pt idx="6">
                  <c:v>2050</c:v>
                </c:pt>
              </c:numCache>
            </c:numRef>
          </c:cat>
          <c:val>
            <c:numRef>
              <c:f>'Power Sector'!$I$47:$I$53</c:f>
              <c:numCache>
                <c:formatCode>0.00</c:formatCode>
                <c:ptCount val="7"/>
                <c:pt idx="0">
                  <c:v>1.3548941111111112E-2</c:v>
                </c:pt>
                <c:pt idx="1">
                  <c:v>0.68340036111111113</c:v>
                </c:pt>
                <c:pt idx="2">
                  <c:v>2.3009084724999997</c:v>
                </c:pt>
                <c:pt idx="3">
                  <c:v>5.2257176599999999</c:v>
                </c:pt>
                <c:pt idx="4">
                  <c:v>9.7820856216666652</c:v>
                </c:pt>
                <c:pt idx="5">
                  <c:v>15.920430293611116</c:v>
                </c:pt>
                <c:pt idx="6">
                  <c:v>24.588522782777783</c:v>
                </c:pt>
              </c:numCache>
            </c:numRef>
          </c:val>
          <c:extLst>
            <c:ext xmlns:c16="http://schemas.microsoft.com/office/drawing/2014/chart" uri="{C3380CC4-5D6E-409C-BE32-E72D297353CC}">
              <c16:uniqueId val="{00000006-8926-465A-900C-67FAF3D15810}"/>
            </c:ext>
          </c:extLst>
        </c:ser>
        <c:dLbls>
          <c:showLegendKey val="0"/>
          <c:showVal val="0"/>
          <c:showCatName val="0"/>
          <c:showSerName val="0"/>
          <c:showPercent val="0"/>
          <c:showBubbleSize val="0"/>
        </c:dLbls>
        <c:gapWidth val="150"/>
        <c:overlap val="100"/>
        <c:axId val="675427408"/>
        <c:axId val="2067075184"/>
      </c:barChart>
      <c:catAx>
        <c:axId val="675427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7075184"/>
        <c:crosses val="autoZero"/>
        <c:auto val="1"/>
        <c:lblAlgn val="ctr"/>
        <c:lblOffset val="100"/>
        <c:noMultiLvlLbl val="0"/>
      </c:catAx>
      <c:valAx>
        <c:axId val="2067075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TWh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5427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2">
  <a:schemeClr val="accent2"/>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0.12451</cdr:x>
      <cdr:y>0.08271</cdr:y>
    </cdr:from>
    <cdr:to>
      <cdr:x>0.59141</cdr:x>
      <cdr:y>0.81528</cdr:y>
    </cdr:to>
    <cdr:sp macro="" textlink="">
      <cdr:nvSpPr>
        <cdr:cNvPr id="2" name="Text Box 1"/>
        <cdr:cNvSpPr txBox="1"/>
      </cdr:nvSpPr>
      <cdr:spPr>
        <a:xfrm xmlns:a="http://schemas.openxmlformats.org/drawingml/2006/main">
          <a:off x="762000" y="266700"/>
          <a:ext cx="2857500" cy="2362200"/>
        </a:xfrm>
        <a:prstGeom xmlns:a="http://schemas.openxmlformats.org/drawingml/2006/main" prst="rect">
          <a:avLst/>
        </a:prstGeom>
        <a:solidFill xmlns:a="http://schemas.openxmlformats.org/drawingml/2006/main">
          <a:schemeClr val="bg1">
            <a:lumMod val="65000"/>
            <a:alpha val="50000"/>
          </a:schemeClr>
        </a:solidFill>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wrap="square" rtlCol="0"/>
        <a:lstStyle xmlns:a="http://schemas.openxmlformats.org/drawingml/2006/main"/>
        <a:p xmlns:a="http://schemas.openxmlformats.org/drawingml/2006/main">
          <a:endParaRPr lang="sr-Latn-R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91a9cc87bea49a1838df93b8271acb3 xmlns="1245a0cc-d3b5-453f-a25b-905cec2ffeda">
      <Terms xmlns="http://schemas.microsoft.com/office/infopath/2007/PartnerControls"/>
    </l91a9cc87bea49a1838df93b8271acb3>
    <Test xmlns="1245a0cc-d3b5-453f-a25b-905cec2ffeda" xsi:nil="true"/>
    <TaxKeywordTaxHTField xmlns="9300985e-39b3-4abd-9d78-758df8ad3c27">
      <Terms xmlns="http://schemas.microsoft.com/office/infopath/2007/PartnerControls"/>
    </TaxKeywordTaxHTField>
    <Icon xmlns="1245a0cc-d3b5-453f-a25b-905cec2ffeda">
      <Url xsi:nil="true"/>
      <Description xsi:nil="true"/>
    </Icon>
    <_ip_UnifiedCompliancePolicyProperties xmlns="http://schemas.microsoft.com/sharepoint/v3" xsi:nil="true"/>
    <TaxCatchAll xmlns="9300985e-39b3-4abd-9d78-758df8ad3c27"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70CEE924E92BB54190990FE67987027D" ma:contentTypeVersion="22" ma:contentTypeDescription="Create a new document." ma:contentTypeScope="" ma:versionID="f601d6271d616ad19e75a63f4e36590c">
  <xsd:schema xmlns:xsd="http://www.w3.org/2001/XMLSchema" xmlns:xs="http://www.w3.org/2001/XMLSchema" xmlns:p="http://schemas.microsoft.com/office/2006/metadata/properties" xmlns:ns1="http://schemas.microsoft.com/sharepoint/v3" xmlns:ns2="9300985e-39b3-4abd-9d78-758df8ad3c27" xmlns:ns3="1245a0cc-d3b5-453f-a25b-905cec2ffeda" targetNamespace="http://schemas.microsoft.com/office/2006/metadata/properties" ma:root="true" ma:fieldsID="b949dd62490804bb9b078fdf978f7771" ns1:_="" ns2:_="" ns3:_="">
    <xsd:import namespace="http://schemas.microsoft.com/sharepoint/v3"/>
    <xsd:import namespace="9300985e-39b3-4abd-9d78-758df8ad3c27"/>
    <xsd:import namespace="1245a0cc-d3b5-453f-a25b-905cec2ffeda"/>
    <xsd:element name="properties">
      <xsd:complexType>
        <xsd:sequence>
          <xsd:element name="documentManagement">
            <xsd:complexType>
              <xsd:all>
                <xsd:element ref="ns3:Test" minOccurs="0"/>
                <xsd:element ref="ns3:Icon" minOccurs="0"/>
                <xsd:element ref="ns3:MediaServiceMetadata" minOccurs="0"/>
                <xsd:element ref="ns3:MediaServiceFastMetadata" minOccurs="0"/>
                <xsd:element ref="ns2:SharedWithUsers" minOccurs="0"/>
                <xsd:element ref="ns2:SharedWithDetails"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element ref="ns3:l91a9cc87bea49a1838df93b8271acb3" minOccurs="0"/>
                <xsd:element ref="ns2:TaxCatchAll" minOccurs="0"/>
                <xsd:element ref="ns2:TaxKeywordTaxHTField" minOccurs="0"/>
                <xsd:element ref="ns1:_ip_UnifiedCompliancePolicyProperties" minOccurs="0"/>
                <xsd:element ref="ns1:_ip_UnifiedCompliancePolicyUIAction"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300985e-39b3-4abd-9d78-758df8ad3c27"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c53b4293-7e68-46ae-acbd-bb87084c35d5}" ma:internalName="TaxCatchAll" ma:showField="CatchAllData" ma:web="9300985e-39b3-4abd-9d78-758df8ad3c27">
      <xsd:complexType>
        <xsd:complexContent>
          <xsd:extension base="dms:MultiChoiceLookup">
            <xsd:sequence>
              <xsd:element name="Value" type="dms:Lookup" maxOccurs="unbounded" minOccurs="0" nillable="true"/>
            </xsd:sequence>
          </xsd:extension>
        </xsd:complexContent>
      </xsd:complexType>
    </xsd:element>
    <xsd:element name="TaxKeywordTaxHTField" ma:index="20" nillable="true" ma:taxonomy="true" ma:internalName="TaxKeywordTaxHTField" ma:taxonomyFieldName="TaxKeyword" ma:displayName="Enterprise Keywords" ma:fieldId="{23f27201-bee3-471e-b2e7-b64fd8b7ca38}" ma:taxonomyMulti="true" ma:sspId="6cc3e670-e3cd-4e3e-b247-833b089b6a3f" ma:termSetId="00000000-0000-0000-0000-000000000000" ma:anchorId="00000000-0000-0000-0000-000000000000" ma:open="true" ma:isKeyword="tru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245a0cc-d3b5-453f-a25b-905cec2ffeda" elementFormDefault="qualified">
    <xsd:import namespace="http://schemas.microsoft.com/office/2006/documentManagement/types"/>
    <xsd:import namespace="http://schemas.microsoft.com/office/infopath/2007/PartnerControls"/>
    <xsd:element name="Test" ma:index="3" nillable="true" ma:displayName="Expertise" ma:description="Areas of specialization" ma:format="Dropdown" ma:internalName="Test">
      <xsd:complexType>
        <xsd:complexContent>
          <xsd:extension base="dms:MultiChoiceFillIn">
            <xsd:sequence>
              <xsd:element name="Value" maxOccurs="unbounded" minOccurs="0" nillable="true">
                <xsd:simpleType>
                  <xsd:union memberTypes="dms:Text">
                    <xsd:simpleType>
                      <xsd:restriction base="dms:Choice">
                        <xsd:enumeration value="Electricity"/>
                        <xsd:enumeration value="Gas"/>
                        <xsd:enumeration value="Renewables"/>
                      </xsd:restriction>
                    </xsd:simpleType>
                  </xsd:union>
                </xsd:simpleType>
              </xsd:element>
            </xsd:sequence>
          </xsd:extension>
        </xsd:complexContent>
      </xsd:complexType>
    </xsd:element>
    <xsd:element name="Icon" ma:index="5" nillable="true" ma:displayName="Icon" ma:format="Image" ma:internalName="Icon">
      <xsd:complexType>
        <xsd:complexContent>
          <xsd:extension base="dms:URL">
            <xsd:sequence>
              <xsd:element name="Url" type="dms:ValidUrl" minOccurs="0" nillable="true"/>
              <xsd:element name="Description" type="xsd:string" nillable="true"/>
            </xsd:sequence>
          </xsd:extension>
        </xsd:complexContent>
      </xsd:complex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l91a9cc87bea49a1838df93b8271acb3" ma:index="18" nillable="true" ma:taxonomy="true" ma:internalName="l91a9cc87bea49a1838df93b8271acb3" ma:taxonomyFieldName="ExpertIn" ma:displayName="ExpertIn" ma:default="" ma:fieldId="{591a9cc8-7bea-49a1-838d-f93b8271acb3}" ma:taxonomyMulti="true" ma:sspId="6cc3e670-e3cd-4e3e-b247-833b089b6a3f" ma:termSetId="7727eade-7942-4bb5-a7d4-2067a86b7bda" ma:anchorId="00000000-0000-0000-0000-000000000000" ma:open="true" ma:isKeyword="false">
      <xsd:complexType>
        <xsd:sequence>
          <xsd:element ref="pc:Terms" minOccurs="0" maxOccurs="1"/>
        </xsd:sequence>
      </xsd:complexType>
    </xsd:element>
    <xsd:element name="MediaServiceAutoKeyPoints" ma:index="27" nillable="true" ma:displayName="MediaServiceAutoKeyPoints" ma:hidden="true" ma:internalName="MediaServiceAutoKeyPoints" ma:readOnly="true">
      <xsd:simpleType>
        <xsd:restriction base="dms:Note"/>
      </xsd:simpleType>
    </xsd:element>
    <xsd:element name="MediaServiceKeyPoints" ma:index="28" nillable="true" ma:displayName="KeyPoints" ma:internalName="MediaServiceKeyPoints" ma:readOnly="true">
      <xsd:simpleType>
        <xsd:restriction base="dms:Note">
          <xsd:maxLength value="255"/>
        </xsd:restriction>
      </xsd:simpleType>
    </xsd:element>
    <xsd:element name="MediaLengthInSeconds" ma:index="29"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1"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D861C77-0C8A-4838-ADA4-F184E0DB9615}">
  <ds:schemaRefs>
    <ds:schemaRef ds:uri="http://schemas.microsoft.com/office/2006/metadata/properties"/>
    <ds:schemaRef ds:uri="http://schemas.microsoft.com/office/infopath/2007/PartnerControls"/>
    <ds:schemaRef ds:uri="http://schemas.microsoft.com/sharepoint/v3"/>
    <ds:schemaRef ds:uri="1245a0cc-d3b5-453f-a25b-905cec2ffeda"/>
    <ds:schemaRef ds:uri="9300985e-39b3-4abd-9d78-758df8ad3c27"/>
  </ds:schemaRefs>
</ds:datastoreItem>
</file>

<file path=customXml/itemProps2.xml><?xml version="1.0" encoding="utf-8"?>
<ds:datastoreItem xmlns:ds="http://schemas.openxmlformats.org/officeDocument/2006/customXml" ds:itemID="{FD69A59E-59E4-4028-AB28-C26FFF0B30D4}">
  <ds:schemaRefs>
    <ds:schemaRef ds:uri="http://schemas.openxmlformats.org/officeDocument/2006/bibliography"/>
  </ds:schemaRefs>
</ds:datastoreItem>
</file>

<file path=customXml/itemProps3.xml><?xml version="1.0" encoding="utf-8"?>
<ds:datastoreItem xmlns:ds="http://schemas.openxmlformats.org/officeDocument/2006/customXml" ds:itemID="{61E67458-C1F7-437B-AB49-0A89B32E1E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300985e-39b3-4abd-9d78-758df8ad3c27"/>
    <ds:schemaRef ds:uri="1245a0cc-d3b5-453f-a25b-905cec2ffed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0E7489C-C441-4025-8EEE-9134B0BC993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706</TotalTime>
  <Pages>341</Pages>
  <Words>113861</Words>
  <Characters>649013</Characters>
  <Application>Microsoft Office Word</Application>
  <DocSecurity>0</DocSecurity>
  <Lines>5408</Lines>
  <Paragraphs>1522</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761352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Editor</dc:creator>
  <cp:keywords/>
  <dc:description/>
  <cp:lastModifiedBy>Bojan  Stamenkovic</cp:lastModifiedBy>
  <cp:revision>104</cp:revision>
  <cp:lastPrinted>2022-09-13T19:04:00Z</cp:lastPrinted>
  <dcterms:created xsi:type="dcterms:W3CDTF">2023-12-12T11:06:00Z</dcterms:created>
  <dcterms:modified xsi:type="dcterms:W3CDTF">2023-12-27T12:09:00Z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0x01010070CEE924E92BB54190990FE67987027D</vt:lpwstr>
  </property>
  <property fmtid="{D5CDD505-2E9C-101B-9397-08002B2CF9AE}" pid="3" name="TaxKeyword">
    <vt:lpwstr/>
  </property>
  <property fmtid="{D5CDD505-2E9C-101B-9397-08002B2CF9AE}" pid="4" name="ExpertIn">
    <vt:lpwstr/>
  </property>
  <property fmtid="{D5CDD505-2E9C-101B-9397-08002B2CF9AE}" pid="5" name="_ip_UnifiedCompliancePolicyUIAction">
    <vt:lpwstr/>
  </property>
  <property fmtid="{D5CDD505-2E9C-101B-9397-08002B2CF9AE}" pid="6" name="l91a9cc87bea49a1838df93b8271acb3">
    <vt:lpwstr/>
  </property>
  <property fmtid="{D5CDD505-2E9C-101B-9397-08002B2CF9AE}" pid="7" name="Test">
    <vt:lpwstr/>
  </property>
  <property fmtid="{D5CDD505-2E9C-101B-9397-08002B2CF9AE}" pid="8" name="TaxKeywordTaxHTField">
    <vt:lpwstr/>
  </property>
  <property fmtid="{D5CDD505-2E9C-101B-9397-08002B2CF9AE}" pid="9" name="Icon">
    <vt:lpwstr>, </vt:lpwstr>
  </property>
  <property fmtid="{D5CDD505-2E9C-101B-9397-08002B2CF9AE}" pid="10" name="_ip_UnifiedCompliancePolicyProperties">
    <vt:lpwstr/>
  </property>
  <property fmtid="{D5CDD505-2E9C-101B-9397-08002B2CF9AE}" pid="11" name="TaxCatchAll">
    <vt:lpwstr/>
  </property>
</Properties>
</file>